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3F925" w14:textId="3F26E837" w:rsidR="00A72181" w:rsidRPr="001A77A9" w:rsidRDefault="00FD624B" w:rsidP="0014037C">
      <w:pPr>
        <w:pStyle w:val="Heading1"/>
      </w:pPr>
      <w:bookmarkStart w:id="0" w:name="_Toc487643054"/>
      <w:bookmarkStart w:id="1" w:name="_Toc490848471"/>
      <w:bookmarkStart w:id="2" w:name="_Toc137504648"/>
      <w:r w:rsidRPr="001A77A9">
        <w:rPr>
          <w:noProof/>
        </w:rPr>
        <w:drawing>
          <wp:anchor distT="0" distB="0" distL="114300" distR="114300" simplePos="0" relativeHeight="251658240" behindDoc="1" locked="0" layoutInCell="1" allowOverlap="1" wp14:anchorId="6B124D00" wp14:editId="09E34BA2">
            <wp:simplePos x="0" y="0"/>
            <wp:positionH relativeFrom="column">
              <wp:posOffset>946513</wp:posOffset>
            </wp:positionH>
            <wp:positionV relativeFrom="paragraph">
              <wp:posOffset>76200</wp:posOffset>
            </wp:positionV>
            <wp:extent cx="3820795" cy="1403985"/>
            <wp:effectExtent l="0" t="0" r="1905" b="5715"/>
            <wp:wrapTight wrapText="bothSides">
              <wp:wrapPolygon edited="0">
                <wp:start x="0" y="0"/>
                <wp:lineTo x="0" y="21493"/>
                <wp:lineTo x="21539" y="21493"/>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0795" cy="14039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p>
    <w:p w14:paraId="1189F09D" w14:textId="77777777" w:rsidR="00A72181" w:rsidRPr="001A77A9" w:rsidRDefault="00A72181" w:rsidP="00A72181"/>
    <w:p w14:paraId="73E06749" w14:textId="77777777" w:rsidR="00A72181" w:rsidRPr="001A77A9" w:rsidRDefault="00A72181" w:rsidP="00A72181">
      <w:pPr>
        <w:jc w:val="center"/>
      </w:pPr>
    </w:p>
    <w:p w14:paraId="02E75AD4" w14:textId="77777777" w:rsidR="00A72181" w:rsidRPr="001A77A9" w:rsidRDefault="00A72181" w:rsidP="00A72181">
      <w:pPr>
        <w:jc w:val="center"/>
      </w:pPr>
    </w:p>
    <w:p w14:paraId="77F21655" w14:textId="77777777" w:rsidR="00A72181" w:rsidRPr="001A77A9" w:rsidRDefault="00A72181" w:rsidP="000A6AA8">
      <w:pPr>
        <w:jc w:val="center"/>
      </w:pPr>
    </w:p>
    <w:p w14:paraId="6D78EEE2" w14:textId="77777777" w:rsidR="007C2B10" w:rsidRDefault="007C2B10" w:rsidP="000A6AA8">
      <w:pPr>
        <w:jc w:val="center"/>
        <w:rPr>
          <w:rFonts w:ascii="Avenir Black" w:hAnsi="Avenir Black"/>
          <w:b/>
          <w:bCs/>
          <w:sz w:val="32"/>
          <w:szCs w:val="32"/>
        </w:rPr>
      </w:pPr>
    </w:p>
    <w:p w14:paraId="01524A4B" w14:textId="0383AC62" w:rsidR="00A72181" w:rsidRPr="00F07107" w:rsidRDefault="001A77A9" w:rsidP="000A6AA8">
      <w:pPr>
        <w:jc w:val="center"/>
        <w:rPr>
          <w:rFonts w:cs="Arial"/>
        </w:rPr>
      </w:pPr>
      <w:r w:rsidRPr="00F07107">
        <w:rPr>
          <w:rFonts w:cs="Arial"/>
          <w:b/>
          <w:bCs/>
          <w:sz w:val="32"/>
          <w:szCs w:val="32"/>
        </w:rPr>
        <w:t>Outcome Measurement in Functional Neurological</w:t>
      </w:r>
      <w:r w:rsidR="000A6AA8" w:rsidRPr="00F07107">
        <w:rPr>
          <w:rFonts w:cs="Arial"/>
          <w:b/>
          <w:bCs/>
          <w:sz w:val="32"/>
          <w:szCs w:val="32"/>
        </w:rPr>
        <w:t xml:space="preserve"> Symptom</w:t>
      </w:r>
      <w:r w:rsidRPr="00F07107">
        <w:rPr>
          <w:rFonts w:cs="Arial"/>
          <w:b/>
          <w:bCs/>
          <w:sz w:val="32"/>
          <w:szCs w:val="32"/>
        </w:rPr>
        <w:t xml:space="preserve"> </w:t>
      </w:r>
      <w:r w:rsidR="000A6AA8" w:rsidRPr="00F07107">
        <w:rPr>
          <w:rFonts w:cs="Arial"/>
          <w:b/>
          <w:bCs/>
          <w:sz w:val="32"/>
          <w:szCs w:val="32"/>
        </w:rPr>
        <w:t>D</w:t>
      </w:r>
      <w:r w:rsidRPr="00F07107">
        <w:rPr>
          <w:rFonts w:cs="Arial"/>
          <w:b/>
          <w:bCs/>
          <w:sz w:val="32"/>
          <w:szCs w:val="32"/>
        </w:rPr>
        <w:t>isorder</w:t>
      </w:r>
      <w:r w:rsidRPr="00F07107">
        <w:rPr>
          <w:rFonts w:cs="Arial"/>
          <w:b/>
          <w:bCs/>
          <w:sz w:val="32"/>
          <w:szCs w:val="32"/>
        </w:rPr>
        <w:br/>
      </w:r>
    </w:p>
    <w:p w14:paraId="011A907D" w14:textId="62A738B8" w:rsidR="00A72181" w:rsidRPr="007C2B10" w:rsidRDefault="001A77A9" w:rsidP="00A72181">
      <w:pPr>
        <w:jc w:val="center"/>
        <w:rPr>
          <w:sz w:val="28"/>
          <w:szCs w:val="28"/>
        </w:rPr>
      </w:pPr>
      <w:r w:rsidRPr="007C2B10">
        <w:rPr>
          <w:sz w:val="28"/>
          <w:szCs w:val="28"/>
        </w:rPr>
        <w:t>by</w:t>
      </w:r>
    </w:p>
    <w:p w14:paraId="7325B0DF" w14:textId="4437D910" w:rsidR="00A72181" w:rsidRPr="007C2B10" w:rsidRDefault="00A72181" w:rsidP="00A72181">
      <w:pPr>
        <w:jc w:val="center"/>
        <w:rPr>
          <w:sz w:val="28"/>
          <w:szCs w:val="28"/>
        </w:rPr>
      </w:pPr>
    </w:p>
    <w:p w14:paraId="2D8F1C12" w14:textId="77777777" w:rsidR="001A77A9" w:rsidRPr="007C2B10" w:rsidRDefault="001A77A9" w:rsidP="00A72181">
      <w:pPr>
        <w:jc w:val="center"/>
        <w:rPr>
          <w:sz w:val="28"/>
          <w:szCs w:val="28"/>
        </w:rPr>
      </w:pPr>
    </w:p>
    <w:p w14:paraId="07FF5453" w14:textId="7F0F9F38" w:rsidR="00A72181" w:rsidRPr="00F07107" w:rsidRDefault="00A72181" w:rsidP="00A72181">
      <w:pPr>
        <w:jc w:val="center"/>
        <w:rPr>
          <w:sz w:val="28"/>
          <w:szCs w:val="28"/>
        </w:rPr>
      </w:pPr>
      <w:r w:rsidRPr="00F07107">
        <w:rPr>
          <w:sz w:val="28"/>
          <w:szCs w:val="28"/>
        </w:rPr>
        <w:t>J</w:t>
      </w:r>
      <w:r w:rsidR="001A77A9" w:rsidRPr="00F07107">
        <w:rPr>
          <w:sz w:val="28"/>
          <w:szCs w:val="28"/>
        </w:rPr>
        <w:t xml:space="preserve"> K </w:t>
      </w:r>
      <w:r w:rsidRPr="00F07107">
        <w:rPr>
          <w:sz w:val="28"/>
          <w:szCs w:val="28"/>
        </w:rPr>
        <w:t>Adewusi</w:t>
      </w:r>
    </w:p>
    <w:p w14:paraId="4B9E3614" w14:textId="0F8D7190" w:rsidR="001A77A9" w:rsidRDefault="001A77A9" w:rsidP="00A72181">
      <w:pPr>
        <w:jc w:val="center"/>
      </w:pPr>
    </w:p>
    <w:p w14:paraId="383BF2A2" w14:textId="77777777" w:rsidR="00F07107" w:rsidRPr="007C2B10" w:rsidRDefault="00F07107" w:rsidP="00A72181">
      <w:pPr>
        <w:jc w:val="center"/>
      </w:pPr>
    </w:p>
    <w:p w14:paraId="0895C16E" w14:textId="77777777" w:rsidR="001A77A9" w:rsidRPr="007C2B10" w:rsidRDefault="001A77A9" w:rsidP="00A72181">
      <w:pPr>
        <w:jc w:val="center"/>
      </w:pPr>
    </w:p>
    <w:p w14:paraId="2FCFF950" w14:textId="5BB6DAFE" w:rsidR="001A77A9" w:rsidRPr="00F07107" w:rsidRDefault="001A77A9" w:rsidP="001A77A9">
      <w:pPr>
        <w:jc w:val="center"/>
        <w:rPr>
          <w:rFonts w:eastAsia="Times New Roman" w:cs="Arial"/>
          <w:lang w:eastAsia="en-GB"/>
        </w:rPr>
      </w:pPr>
      <w:r w:rsidRPr="00F07107">
        <w:rPr>
          <w:rFonts w:eastAsia="Times New Roman" w:cs="Arial"/>
          <w:color w:val="000000"/>
          <w:lang w:eastAsia="en-GB"/>
        </w:rPr>
        <w:t>A Thesis</w:t>
      </w:r>
      <w:r w:rsidRPr="00F07107">
        <w:rPr>
          <w:rFonts w:eastAsia="Times New Roman" w:cs="Arial"/>
          <w:lang w:eastAsia="en-GB"/>
        </w:rPr>
        <w:t xml:space="preserve"> </w:t>
      </w:r>
      <w:r w:rsidRPr="00F07107">
        <w:rPr>
          <w:rFonts w:eastAsia="Times New Roman" w:cs="Arial"/>
          <w:color w:val="000000"/>
          <w:lang w:eastAsia="en-GB"/>
        </w:rPr>
        <w:t>submitted to the Department of Neuroscience,</w:t>
      </w:r>
    </w:p>
    <w:p w14:paraId="589C2ED4" w14:textId="10FC2E19" w:rsidR="001A77A9" w:rsidRPr="00F07107" w:rsidRDefault="001A77A9" w:rsidP="001A77A9">
      <w:pPr>
        <w:jc w:val="center"/>
        <w:rPr>
          <w:rFonts w:eastAsia="Times New Roman" w:cs="Arial"/>
          <w:color w:val="000000"/>
          <w:lang w:eastAsia="en-GB"/>
        </w:rPr>
      </w:pPr>
      <w:r w:rsidRPr="00F07107">
        <w:rPr>
          <w:rFonts w:eastAsia="Times New Roman" w:cs="Arial"/>
          <w:color w:val="000000"/>
          <w:lang w:eastAsia="en-GB"/>
        </w:rPr>
        <w:t>The University of Sheffield.</w:t>
      </w:r>
    </w:p>
    <w:p w14:paraId="271CF893" w14:textId="77777777" w:rsidR="001A77A9" w:rsidRPr="00F07107" w:rsidRDefault="001A77A9" w:rsidP="001A77A9">
      <w:pPr>
        <w:jc w:val="center"/>
        <w:rPr>
          <w:rFonts w:eastAsia="Times New Roman" w:cs="Arial"/>
          <w:color w:val="000000"/>
          <w:lang w:eastAsia="en-GB"/>
        </w:rPr>
      </w:pPr>
    </w:p>
    <w:p w14:paraId="5B3195C4" w14:textId="77777777" w:rsidR="001A77A9" w:rsidRPr="00F07107" w:rsidRDefault="001A77A9" w:rsidP="001A77A9">
      <w:pPr>
        <w:jc w:val="center"/>
        <w:rPr>
          <w:rFonts w:cs="Arial"/>
        </w:rPr>
      </w:pPr>
      <w:r w:rsidRPr="00F07107">
        <w:rPr>
          <w:rFonts w:cs="Arial"/>
        </w:rPr>
        <w:t>Under the supervision of Professor Markus Reuber, Dr Liat Levita and Cordelia Gray.</w:t>
      </w:r>
    </w:p>
    <w:p w14:paraId="0A5D8382" w14:textId="77777777" w:rsidR="001A77A9" w:rsidRPr="00F07107" w:rsidRDefault="001A77A9" w:rsidP="001A77A9">
      <w:pPr>
        <w:jc w:val="center"/>
        <w:rPr>
          <w:rFonts w:eastAsia="Times New Roman" w:cs="Arial"/>
          <w:lang w:eastAsia="en-GB"/>
        </w:rPr>
      </w:pPr>
    </w:p>
    <w:p w14:paraId="5C76D641" w14:textId="087965E6" w:rsidR="001A77A9" w:rsidRPr="00F07107" w:rsidRDefault="001A77A9" w:rsidP="001A77A9">
      <w:pPr>
        <w:jc w:val="center"/>
        <w:rPr>
          <w:rFonts w:eastAsia="Times New Roman" w:cs="Arial"/>
          <w:lang w:eastAsia="en-GB"/>
        </w:rPr>
      </w:pPr>
      <w:r w:rsidRPr="00F07107">
        <w:rPr>
          <w:rFonts w:eastAsia="Times New Roman" w:cs="Arial"/>
          <w:color w:val="000000"/>
          <w:lang w:eastAsia="en-GB"/>
        </w:rPr>
        <w:t xml:space="preserve">In Fulfilment of the Requirements for the </w:t>
      </w:r>
      <w:r w:rsidR="00352F7F" w:rsidRPr="00F07107">
        <w:rPr>
          <w:rFonts w:eastAsia="Times New Roman" w:cs="Arial"/>
          <w:color w:val="000000"/>
          <w:lang w:eastAsia="en-GB"/>
        </w:rPr>
        <w:t>Degree</w:t>
      </w:r>
      <w:r w:rsidRPr="00F07107">
        <w:rPr>
          <w:rFonts w:eastAsia="Times New Roman" w:cs="Arial"/>
          <w:color w:val="000000"/>
          <w:lang w:eastAsia="en-GB"/>
        </w:rPr>
        <w:t xml:space="preserve"> of</w:t>
      </w:r>
    </w:p>
    <w:p w14:paraId="4E3632AB" w14:textId="5351A0B6" w:rsidR="001A77A9" w:rsidRPr="00F07107" w:rsidRDefault="001A77A9" w:rsidP="001A77A9">
      <w:pPr>
        <w:jc w:val="center"/>
        <w:rPr>
          <w:rFonts w:eastAsia="Times New Roman" w:cs="Arial"/>
          <w:lang w:eastAsia="en-GB"/>
        </w:rPr>
      </w:pPr>
      <w:r w:rsidRPr="00F07107">
        <w:rPr>
          <w:rFonts w:eastAsia="Times New Roman" w:cs="Arial"/>
          <w:color w:val="000000"/>
          <w:lang w:eastAsia="en-GB"/>
        </w:rPr>
        <w:t>Doctor of Philosophy in Clinical Neuroscience</w:t>
      </w:r>
    </w:p>
    <w:p w14:paraId="1042A084" w14:textId="7F3F17DE" w:rsidR="001A77A9" w:rsidRPr="00F07107" w:rsidRDefault="000A6AA8" w:rsidP="001A77A9">
      <w:pPr>
        <w:jc w:val="center"/>
        <w:rPr>
          <w:rFonts w:eastAsia="Times New Roman" w:cs="Arial"/>
          <w:lang w:eastAsia="en-GB"/>
        </w:rPr>
      </w:pPr>
      <w:r w:rsidRPr="00F07107">
        <w:rPr>
          <w:rFonts w:eastAsia="Times New Roman" w:cs="Arial"/>
          <w:color w:val="000000"/>
          <w:lang w:eastAsia="en-GB"/>
        </w:rPr>
        <w:t>June</w:t>
      </w:r>
      <w:r w:rsidR="001A77A9" w:rsidRPr="00F07107">
        <w:rPr>
          <w:rFonts w:eastAsia="Times New Roman" w:cs="Arial"/>
          <w:color w:val="000000"/>
          <w:lang w:eastAsia="en-GB"/>
        </w:rPr>
        <w:t xml:space="preserve"> 202</w:t>
      </w:r>
      <w:r w:rsidRPr="00F07107">
        <w:rPr>
          <w:rFonts w:eastAsia="Times New Roman" w:cs="Arial"/>
          <w:color w:val="000000"/>
          <w:lang w:eastAsia="en-GB"/>
        </w:rPr>
        <w:t>3</w:t>
      </w:r>
    </w:p>
    <w:p w14:paraId="6714ABFC" w14:textId="77777777" w:rsidR="001A77A9" w:rsidRPr="00F07107" w:rsidRDefault="001A77A9" w:rsidP="001A77A9">
      <w:pPr>
        <w:rPr>
          <w:rFonts w:eastAsia="Times New Roman" w:cs="Arial"/>
          <w:sz w:val="22"/>
          <w:szCs w:val="22"/>
          <w:lang w:eastAsia="en-GB"/>
        </w:rPr>
      </w:pPr>
    </w:p>
    <w:p w14:paraId="25234413" w14:textId="77777777" w:rsidR="00A72181" w:rsidRPr="00F07107" w:rsidRDefault="00A72181" w:rsidP="00A72181">
      <w:pPr>
        <w:jc w:val="center"/>
        <w:rPr>
          <w:rFonts w:cs="Arial"/>
          <w:sz w:val="22"/>
          <w:szCs w:val="22"/>
        </w:rPr>
      </w:pPr>
    </w:p>
    <w:p w14:paraId="2D481115" w14:textId="184B61FD" w:rsidR="00A72181" w:rsidRPr="001A77A9" w:rsidRDefault="00A72181" w:rsidP="00A72181">
      <w:pPr>
        <w:jc w:val="center"/>
        <w:rPr>
          <w:sz w:val="22"/>
          <w:szCs w:val="22"/>
        </w:rPr>
      </w:pPr>
    </w:p>
    <w:p w14:paraId="1EFADBF6" w14:textId="18D536EC" w:rsidR="001A77A9" w:rsidRPr="001A77A9" w:rsidRDefault="001A77A9" w:rsidP="00A72181">
      <w:pPr>
        <w:jc w:val="center"/>
        <w:rPr>
          <w:sz w:val="22"/>
          <w:szCs w:val="22"/>
        </w:rPr>
      </w:pPr>
    </w:p>
    <w:p w14:paraId="43690D13" w14:textId="77777777" w:rsidR="0095179B" w:rsidRDefault="0095179B">
      <w:pPr>
        <w:spacing w:line="240" w:lineRule="auto"/>
        <w:jc w:val="left"/>
        <w:rPr>
          <w:rStyle w:val="IntenseReference"/>
          <w:rFonts w:ascii="Calibri Light" w:eastAsia="Times New Roman" w:hAnsi="Calibri Light" w:cs="Times New Roman"/>
          <w:b w:val="0"/>
          <w:bCs w:val="0"/>
          <w:smallCaps w:val="0"/>
          <w:color w:val="2E74B5" w:themeColor="accent1" w:themeShade="BF"/>
          <w:spacing w:val="0"/>
          <w:sz w:val="40"/>
          <w:szCs w:val="20"/>
          <w:lang w:val="en-US"/>
        </w:rPr>
      </w:pPr>
      <w:r>
        <w:rPr>
          <w:rStyle w:val="IntenseReference"/>
          <w:rFonts w:ascii="Calibri Light" w:hAnsi="Calibri Light"/>
          <w:b w:val="0"/>
          <w:bCs w:val="0"/>
          <w:smallCaps w:val="0"/>
          <w:color w:val="2E74B5" w:themeColor="accent1" w:themeShade="BF"/>
          <w:spacing w:val="0"/>
          <w:sz w:val="40"/>
          <w:szCs w:val="20"/>
        </w:rPr>
        <w:br w:type="page"/>
      </w:r>
    </w:p>
    <w:p w14:paraId="7656AB7E" w14:textId="5D272FFE" w:rsidR="00FD624B" w:rsidRPr="009456C9" w:rsidRDefault="009456C9" w:rsidP="0014037C">
      <w:pPr>
        <w:pStyle w:val="Heading1"/>
        <w:rPr>
          <w:rStyle w:val="IntenseReference"/>
          <w:rFonts w:ascii="Calibri Light" w:hAnsi="Calibri Light"/>
          <w:b w:val="0"/>
          <w:bCs w:val="0"/>
          <w:smallCaps w:val="0"/>
          <w:color w:val="2E74B5" w:themeColor="accent1" w:themeShade="BF"/>
          <w:spacing w:val="0"/>
          <w:szCs w:val="20"/>
        </w:rPr>
      </w:pPr>
      <w:bookmarkStart w:id="3" w:name="_Toc137504649"/>
      <w:r w:rsidRPr="009456C9">
        <w:rPr>
          <w:rStyle w:val="IntenseReference"/>
          <w:rFonts w:ascii="Calibri Light" w:hAnsi="Calibri Light"/>
          <w:b w:val="0"/>
          <w:bCs w:val="0"/>
          <w:smallCaps w:val="0"/>
          <w:color w:val="2E74B5" w:themeColor="accent1" w:themeShade="BF"/>
          <w:spacing w:val="0"/>
          <w:sz w:val="40"/>
          <w:szCs w:val="20"/>
        </w:rPr>
        <w:lastRenderedPageBreak/>
        <w:t>DECLARATION</w:t>
      </w:r>
      <w:bookmarkEnd w:id="3"/>
    </w:p>
    <w:p w14:paraId="75FDFB47" w14:textId="77777777" w:rsidR="00FD624B" w:rsidRPr="002758B0" w:rsidRDefault="00FD624B" w:rsidP="00C3141D"/>
    <w:p w14:paraId="5D59E469" w14:textId="77777777" w:rsidR="008C4A66" w:rsidRDefault="008C4A66" w:rsidP="00FD624B"/>
    <w:p w14:paraId="2B9DD266" w14:textId="0D7F07C6" w:rsidR="00FD624B" w:rsidRPr="002758B0" w:rsidRDefault="00FD624B" w:rsidP="00FD624B">
      <w:pPr>
        <w:rPr>
          <w:b/>
        </w:rPr>
      </w:pPr>
      <w:r w:rsidRPr="002758B0">
        <w:t>I, Joy Adewusi, confirm that the work described in the thesis</w:t>
      </w:r>
      <w:r w:rsidR="00352F7F">
        <w:t>, "</w:t>
      </w:r>
      <w:r w:rsidRPr="002758B0">
        <w:rPr>
          <w:bCs/>
        </w:rPr>
        <w:t>Outcome Measurement in Functional Neurological Disorders</w:t>
      </w:r>
      <w:r w:rsidR="00352F7F">
        <w:rPr>
          <w:bCs/>
        </w:rPr>
        <w:t>",</w:t>
      </w:r>
      <w:r w:rsidRPr="002758B0">
        <w:t xml:space="preserve"> was carried out by me and is the first of its kind. I confirm that I am the independent author of this thesis, with all work and contributions duly acknowledged and referenced.</w:t>
      </w:r>
    </w:p>
    <w:p w14:paraId="609D536B" w14:textId="77777777" w:rsidR="00FD624B" w:rsidRPr="002758B0" w:rsidRDefault="00FD624B" w:rsidP="00FD624B"/>
    <w:p w14:paraId="6BE714D1" w14:textId="77777777" w:rsidR="00FD624B" w:rsidRPr="002758B0" w:rsidRDefault="00FD624B" w:rsidP="00FD624B"/>
    <w:p w14:paraId="1B168619" w14:textId="77777777" w:rsidR="00FD624B" w:rsidRPr="002758B0" w:rsidRDefault="00FD624B" w:rsidP="00FD624B"/>
    <w:p w14:paraId="4A231D69" w14:textId="0B8D31DD" w:rsidR="00FD624B" w:rsidRPr="002758B0" w:rsidRDefault="00FD624B" w:rsidP="00FD624B">
      <w:r w:rsidRPr="002758B0">
        <w:t>Date:</w:t>
      </w:r>
      <w:r>
        <w:t xml:space="preserve"> 10/06/2023</w:t>
      </w:r>
    </w:p>
    <w:p w14:paraId="402C250E" w14:textId="77777777" w:rsidR="00FD624B" w:rsidRPr="002758B0" w:rsidRDefault="00FD624B" w:rsidP="00FD624B"/>
    <w:p w14:paraId="789650BD" w14:textId="77777777" w:rsidR="00FD624B" w:rsidRPr="002758B0" w:rsidRDefault="00FD624B" w:rsidP="00FD624B"/>
    <w:p w14:paraId="39A46DE1" w14:textId="77777777" w:rsidR="00FD624B" w:rsidRPr="002758B0" w:rsidRDefault="00FD624B" w:rsidP="00FD624B"/>
    <w:p w14:paraId="74181718" w14:textId="77777777" w:rsidR="00FD624B" w:rsidRPr="002758B0" w:rsidRDefault="00FD624B" w:rsidP="00FD624B"/>
    <w:p w14:paraId="5B3AE310" w14:textId="77777777" w:rsidR="00FD624B" w:rsidRPr="002758B0" w:rsidRDefault="00FD624B" w:rsidP="00FD624B"/>
    <w:p w14:paraId="7D25B3A7" w14:textId="77777777" w:rsidR="00FD624B" w:rsidRPr="002758B0" w:rsidRDefault="00FD624B" w:rsidP="00FD624B"/>
    <w:p w14:paraId="2A69FB84" w14:textId="77777777" w:rsidR="00FD624B" w:rsidRPr="002758B0" w:rsidRDefault="00FD624B" w:rsidP="00FD624B"/>
    <w:p w14:paraId="3EE2B585" w14:textId="77777777" w:rsidR="00FD624B" w:rsidRPr="002758B0" w:rsidRDefault="00FD624B" w:rsidP="00FD624B"/>
    <w:p w14:paraId="1A5A7C7F" w14:textId="77777777" w:rsidR="00FD624B" w:rsidRPr="002758B0" w:rsidRDefault="00FD624B" w:rsidP="00FD624B"/>
    <w:p w14:paraId="1C66CB10" w14:textId="77777777" w:rsidR="00FD624B" w:rsidRPr="002758B0" w:rsidRDefault="00FD624B" w:rsidP="00FD624B"/>
    <w:p w14:paraId="2E88DDC2" w14:textId="77777777" w:rsidR="00FD624B" w:rsidRPr="002758B0" w:rsidRDefault="00FD624B" w:rsidP="00FD624B"/>
    <w:p w14:paraId="53B0371D" w14:textId="77777777" w:rsidR="00FD624B" w:rsidRPr="002758B0" w:rsidRDefault="00FD624B" w:rsidP="00FD624B"/>
    <w:p w14:paraId="2A3F32FF" w14:textId="77777777" w:rsidR="00FD624B" w:rsidRPr="002758B0" w:rsidRDefault="00FD624B" w:rsidP="00FD624B"/>
    <w:p w14:paraId="745E2F8F" w14:textId="77777777" w:rsidR="0092671A" w:rsidRDefault="0092671A">
      <w:pPr>
        <w:spacing w:line="240" w:lineRule="auto"/>
        <w:jc w:val="left"/>
        <w:rPr>
          <w:rStyle w:val="IntenseReference"/>
          <w:rFonts w:ascii="Calibri Light" w:eastAsia="Times New Roman" w:hAnsi="Calibri Light" w:cs="Times New Roman"/>
          <w:b w:val="0"/>
          <w:bCs w:val="0"/>
          <w:smallCaps w:val="0"/>
          <w:color w:val="2E74B5" w:themeColor="accent1" w:themeShade="BF"/>
          <w:spacing w:val="0"/>
          <w:sz w:val="40"/>
          <w:szCs w:val="20"/>
          <w:lang w:val="en-US"/>
        </w:rPr>
      </w:pPr>
      <w:r>
        <w:rPr>
          <w:rStyle w:val="IntenseReference"/>
          <w:rFonts w:ascii="Calibri Light" w:hAnsi="Calibri Light"/>
          <w:b w:val="0"/>
          <w:bCs w:val="0"/>
          <w:smallCaps w:val="0"/>
          <w:color w:val="2E74B5" w:themeColor="accent1" w:themeShade="BF"/>
          <w:spacing w:val="0"/>
          <w:sz w:val="40"/>
          <w:szCs w:val="20"/>
        </w:rPr>
        <w:br w:type="page"/>
      </w:r>
    </w:p>
    <w:p w14:paraId="559423D9" w14:textId="4DD80C56" w:rsidR="00FD624B" w:rsidRPr="009456C9" w:rsidRDefault="009456C9" w:rsidP="00F07107">
      <w:pPr>
        <w:pStyle w:val="Heading1"/>
        <w:jc w:val="left"/>
        <w:rPr>
          <w:rStyle w:val="IntenseReference"/>
          <w:rFonts w:ascii="Calibri Light" w:hAnsi="Calibri Light"/>
          <w:b w:val="0"/>
          <w:bCs w:val="0"/>
          <w:smallCaps w:val="0"/>
          <w:color w:val="2E74B5" w:themeColor="accent1" w:themeShade="BF"/>
          <w:spacing w:val="0"/>
          <w:szCs w:val="20"/>
        </w:rPr>
      </w:pPr>
      <w:bookmarkStart w:id="4" w:name="_Toc137504650"/>
      <w:r w:rsidRPr="009456C9">
        <w:rPr>
          <w:rStyle w:val="IntenseReference"/>
          <w:rFonts w:ascii="Calibri Light" w:hAnsi="Calibri Light"/>
          <w:b w:val="0"/>
          <w:bCs w:val="0"/>
          <w:smallCaps w:val="0"/>
          <w:color w:val="2E74B5" w:themeColor="accent1" w:themeShade="BF"/>
          <w:spacing w:val="0"/>
          <w:sz w:val="40"/>
          <w:szCs w:val="20"/>
        </w:rPr>
        <w:lastRenderedPageBreak/>
        <w:t>ACKNOWLEDGEMENTS</w:t>
      </w:r>
      <w:bookmarkEnd w:id="4"/>
    </w:p>
    <w:p w14:paraId="68D279CF" w14:textId="77777777" w:rsidR="007C2B10" w:rsidRDefault="007C2B10" w:rsidP="00F07107">
      <w:pPr>
        <w:jc w:val="left"/>
      </w:pPr>
    </w:p>
    <w:p w14:paraId="2F30130D" w14:textId="4F52BA06" w:rsidR="00FD624B" w:rsidRPr="002758B0" w:rsidRDefault="00FD624B" w:rsidP="00F07107">
      <w:pPr>
        <w:jc w:val="left"/>
        <w:rPr>
          <w:lang w:val="en-US"/>
        </w:rPr>
      </w:pPr>
      <w:r w:rsidRPr="002758B0">
        <w:t>I am very grateful to my supervisor</w:t>
      </w:r>
      <w:r>
        <w:t>s</w:t>
      </w:r>
      <w:r w:rsidR="00352F7F">
        <w:t>,</w:t>
      </w:r>
      <w:r w:rsidRPr="002758B0">
        <w:t xml:space="preserve"> </w:t>
      </w:r>
      <w:r>
        <w:t>Professor Markus Reuber, Dr Liat Levita and Cordelia Gray</w:t>
      </w:r>
      <w:r w:rsidR="00352F7F">
        <w:t>,</w:t>
      </w:r>
      <w:r w:rsidRPr="002758B0">
        <w:t xml:space="preserve"> for </w:t>
      </w:r>
      <w:r>
        <w:t>their</w:t>
      </w:r>
      <w:r w:rsidRPr="002758B0">
        <w:t xml:space="preserve"> continuous guidance, dedicated time and encouragement throughout this project. I am grateful to </w:t>
      </w:r>
      <w:r>
        <w:t xml:space="preserve">Chris Gaskell, Jennifer Lewis, Liam Mason, </w:t>
      </w:r>
      <w:r w:rsidR="00352F7F">
        <w:t xml:space="preserve">and </w:t>
      </w:r>
      <w:r>
        <w:t>Suzanne Mason</w:t>
      </w:r>
      <w:r w:rsidR="00352F7F">
        <w:t xml:space="preserve"> </w:t>
      </w:r>
      <w:r w:rsidRPr="002758B0">
        <w:t>o</w:t>
      </w:r>
      <w:r>
        <w:t xml:space="preserve">f The University of </w:t>
      </w:r>
      <w:r w:rsidRPr="002758B0">
        <w:t>Sheffield</w:t>
      </w:r>
      <w:r>
        <w:t xml:space="preserve"> and Sheffield Teaching Hospitals NHS FT</w:t>
      </w:r>
      <w:r w:rsidRPr="002758B0">
        <w:t xml:space="preserve">, </w:t>
      </w:r>
      <w:r>
        <w:t xml:space="preserve">who have all contributed to </w:t>
      </w:r>
      <w:r w:rsidR="00F07107">
        <w:t>the outcome of this</w:t>
      </w:r>
      <w:r>
        <w:t xml:space="preserve"> work.</w:t>
      </w:r>
    </w:p>
    <w:p w14:paraId="62579DAE" w14:textId="77777777" w:rsidR="00FD624B" w:rsidRPr="002758B0" w:rsidRDefault="00FD624B" w:rsidP="00F07107">
      <w:pPr>
        <w:jc w:val="left"/>
      </w:pPr>
    </w:p>
    <w:p w14:paraId="564912BF" w14:textId="1E6627DA" w:rsidR="00FD624B" w:rsidRDefault="00FD624B" w:rsidP="00F07107">
      <w:pPr>
        <w:jc w:val="left"/>
      </w:pPr>
      <w:r w:rsidRPr="002758B0">
        <w:t xml:space="preserve">I am thankful to </w:t>
      </w:r>
      <w:r>
        <w:t>the administrative and clinical</w:t>
      </w:r>
      <w:r w:rsidRPr="002758B0">
        <w:t xml:space="preserve"> staff within the </w:t>
      </w:r>
      <w:r>
        <w:t xml:space="preserve">Specialist Neurology Psychotherapy Department </w:t>
      </w:r>
      <w:r w:rsidRPr="002758B0">
        <w:t xml:space="preserve">for their kind assistance throughout the project. </w:t>
      </w:r>
      <w:r>
        <w:t xml:space="preserve">The Support of FND HOPE and FND Action charities and the willing individuals from across the world, who live with a diagnosis of FNSD, </w:t>
      </w:r>
      <w:r w:rsidRPr="002758B0">
        <w:t>are duly recognised and appreciated</w:t>
      </w:r>
      <w:r>
        <w:t>. W</w:t>
      </w:r>
      <w:r w:rsidRPr="002758B0">
        <w:t>ithout their contribution, this project would not have been possible</w:t>
      </w:r>
      <w:r>
        <w:t>.</w:t>
      </w:r>
    </w:p>
    <w:p w14:paraId="4C6110DD" w14:textId="77777777" w:rsidR="00FD624B" w:rsidRPr="002758B0" w:rsidRDefault="00FD624B" w:rsidP="00F07107">
      <w:pPr>
        <w:jc w:val="left"/>
      </w:pPr>
    </w:p>
    <w:p w14:paraId="5DB72F83" w14:textId="60BFE65F" w:rsidR="00FD624B" w:rsidRDefault="00FD624B" w:rsidP="00F07107">
      <w:pPr>
        <w:jc w:val="left"/>
      </w:pPr>
      <w:r w:rsidRPr="002758B0">
        <w:t xml:space="preserve">I would like to </w:t>
      </w:r>
      <w:r w:rsidR="00352F7F">
        <w:t>thank</w:t>
      </w:r>
      <w:r>
        <w:t xml:space="preserve"> my mother</w:t>
      </w:r>
      <w:r w:rsidR="00352F7F">
        <w:t>,</w:t>
      </w:r>
      <w:r>
        <w:t xml:space="preserve"> whose vision for my life and education has led me this far and my fiancé, Wisdom </w:t>
      </w:r>
      <w:proofErr w:type="spellStart"/>
      <w:r>
        <w:t>Hambolu</w:t>
      </w:r>
      <w:proofErr w:type="spellEnd"/>
      <w:r w:rsidR="00352F7F">
        <w:t>,</w:t>
      </w:r>
      <w:r>
        <w:t xml:space="preserve"> for his patient love, encouragement, insistent cheer and support.</w:t>
      </w:r>
    </w:p>
    <w:p w14:paraId="23F39573" w14:textId="77777777" w:rsidR="007C2B10" w:rsidRPr="002758B0" w:rsidRDefault="007C2B10" w:rsidP="00F07107">
      <w:pPr>
        <w:jc w:val="left"/>
      </w:pPr>
    </w:p>
    <w:p w14:paraId="57A6A0A3" w14:textId="77777777" w:rsidR="00FD624B" w:rsidRDefault="00FD624B" w:rsidP="00F07107">
      <w:pPr>
        <w:jc w:val="left"/>
      </w:pPr>
      <w:r>
        <w:t>Finally, I must thank God.</w:t>
      </w:r>
    </w:p>
    <w:p w14:paraId="35AA1AAC" w14:textId="77777777" w:rsidR="00FD624B" w:rsidRPr="009B028A" w:rsidRDefault="00FD624B" w:rsidP="00F07107">
      <w:pPr>
        <w:jc w:val="left"/>
        <w:rPr>
          <w:i/>
          <w:iCs/>
        </w:rPr>
      </w:pPr>
    </w:p>
    <w:p w14:paraId="59CE1505" w14:textId="77777777" w:rsidR="00FD624B" w:rsidRPr="002758B0" w:rsidRDefault="00FD624B" w:rsidP="00F07107">
      <w:pPr>
        <w:jc w:val="left"/>
      </w:pPr>
      <w:r w:rsidRPr="002758B0">
        <w:t>Joy Adewusi</w:t>
      </w:r>
    </w:p>
    <w:p w14:paraId="5209472B" w14:textId="77777777" w:rsidR="00FD624B" w:rsidRDefault="00FD624B" w:rsidP="0014037C">
      <w:pPr>
        <w:pStyle w:val="Heading1"/>
        <w:rPr>
          <w:rStyle w:val="IntenseReference"/>
          <w:rFonts w:ascii="Avenir Book" w:hAnsi="Avenir Book"/>
          <w:b w:val="0"/>
        </w:rPr>
      </w:pPr>
    </w:p>
    <w:p w14:paraId="48FC1B1B" w14:textId="77777777" w:rsidR="00FD624B" w:rsidRDefault="00FD624B" w:rsidP="0014037C">
      <w:pPr>
        <w:pStyle w:val="Heading1"/>
        <w:rPr>
          <w:rStyle w:val="IntenseReference"/>
          <w:rFonts w:ascii="Avenir Book" w:hAnsi="Avenir Book"/>
          <w:b w:val="0"/>
        </w:rPr>
      </w:pPr>
    </w:p>
    <w:p w14:paraId="292A8A7E" w14:textId="77777777" w:rsidR="00FD624B" w:rsidRDefault="00FD624B">
      <w:pPr>
        <w:spacing w:line="240" w:lineRule="auto"/>
        <w:jc w:val="left"/>
        <w:rPr>
          <w:rStyle w:val="IntenseReference"/>
          <w:rFonts w:ascii="Avenir Book" w:eastAsia="Times New Roman" w:hAnsi="Avenir Book" w:cs="Times New Roman"/>
          <w:b w:val="0"/>
          <w:lang w:val="en-US"/>
        </w:rPr>
      </w:pPr>
      <w:r>
        <w:rPr>
          <w:rStyle w:val="IntenseReference"/>
          <w:rFonts w:ascii="Avenir Book" w:hAnsi="Avenir Book"/>
        </w:rPr>
        <w:br w:type="page"/>
      </w:r>
    </w:p>
    <w:p w14:paraId="609F28FE" w14:textId="6B7AC502" w:rsidR="00352F7F" w:rsidRPr="00352F7F" w:rsidRDefault="009456C9" w:rsidP="0014037C">
      <w:pPr>
        <w:pStyle w:val="Heading1"/>
      </w:pPr>
      <w:bookmarkStart w:id="5" w:name="_Toc137504651"/>
      <w:r w:rsidRPr="009456C9">
        <w:rPr>
          <w:rStyle w:val="IntenseReference"/>
          <w:rFonts w:ascii="Calibri Light" w:hAnsi="Calibri Light"/>
          <w:b w:val="0"/>
          <w:bCs w:val="0"/>
          <w:smallCaps w:val="0"/>
          <w:color w:val="2E74B5" w:themeColor="accent1" w:themeShade="BF"/>
          <w:spacing w:val="0"/>
          <w:sz w:val="40"/>
          <w:szCs w:val="20"/>
        </w:rPr>
        <w:lastRenderedPageBreak/>
        <w:t>ABSTRACT</w:t>
      </w:r>
      <w:bookmarkEnd w:id="5"/>
    </w:p>
    <w:p w14:paraId="45EC391B" w14:textId="668C945A" w:rsidR="00352F7F" w:rsidRDefault="00352F7F" w:rsidP="00352F7F">
      <w:r>
        <w:t xml:space="preserve">Outcome measurement in </w:t>
      </w:r>
      <w:r w:rsidRPr="00D339DC">
        <w:t xml:space="preserve">Functional </w:t>
      </w:r>
      <w:r>
        <w:t>N</w:t>
      </w:r>
      <w:r w:rsidRPr="00D339DC">
        <w:t xml:space="preserve">eurological </w:t>
      </w:r>
      <w:r>
        <w:t>Symptom D</w:t>
      </w:r>
      <w:r w:rsidRPr="00D339DC">
        <w:t>isorders (FN</w:t>
      </w:r>
      <w:r>
        <w:t>S</w:t>
      </w:r>
      <w:r w:rsidRPr="00D339DC">
        <w:t xml:space="preserve">Ds) </w:t>
      </w:r>
      <w:r>
        <w:t xml:space="preserve">is </w:t>
      </w:r>
      <w:r w:rsidRPr="00D339DC">
        <w:t>particularly complex</w:t>
      </w:r>
      <w:r>
        <w:t>. Pressing questions include what kind of measure is</w:t>
      </w:r>
      <w:r w:rsidRPr="00E21878">
        <w:t xml:space="preserve"> more accurate or meaningful</w:t>
      </w:r>
      <w:r w:rsidR="00F07107">
        <w:t>,</w:t>
      </w:r>
      <w:r w:rsidRPr="00E21878">
        <w:t xml:space="preserve"> or how</w:t>
      </w:r>
      <w:r>
        <w:t xml:space="preserve"> to achieve</w:t>
      </w:r>
      <w:r w:rsidRPr="00E21878">
        <w:t xml:space="preserve"> standardisation in a clinically heterogenous group where</w:t>
      </w:r>
      <w:r>
        <w:t xml:space="preserve"> </w:t>
      </w:r>
      <w:r w:rsidRPr="00E21878">
        <w:t>subjective</w:t>
      </w:r>
      <w:r>
        <w:t xml:space="preserve"> </w:t>
      </w:r>
      <w:r w:rsidRPr="00E21878">
        <w:t>and</w:t>
      </w:r>
      <w:r>
        <w:t xml:space="preserve"> </w:t>
      </w:r>
      <w:r w:rsidRPr="00E21878">
        <w:t>objective</w:t>
      </w:r>
      <w:r>
        <w:t xml:space="preserve"> </w:t>
      </w:r>
      <w:r w:rsidRPr="00E21878">
        <w:t>observations</w:t>
      </w:r>
      <w:r>
        <w:t xml:space="preserve"> </w:t>
      </w:r>
      <w:r w:rsidRPr="00E21878">
        <w:t>of the same construct may deviate.</w:t>
      </w:r>
      <w:r>
        <w:t xml:space="preserve"> </w:t>
      </w:r>
      <w:r w:rsidRPr="0019030D">
        <w:t xml:space="preserve">This </w:t>
      </w:r>
      <w:r>
        <w:t>project</w:t>
      </w:r>
      <w:r w:rsidRPr="0019030D">
        <w:t xml:space="preserve"> aim</w:t>
      </w:r>
      <w:r>
        <w:t>ed</w:t>
      </w:r>
      <w:r w:rsidRPr="0019030D">
        <w:t xml:space="preserve"> to build on the limited knowledge of measuring outcomes in FN</w:t>
      </w:r>
      <w:r>
        <w:t>S</w:t>
      </w:r>
      <w:r w:rsidRPr="0019030D">
        <w:t>Ds</w:t>
      </w:r>
      <w:r>
        <w:t xml:space="preserve"> and </w:t>
      </w:r>
      <w:r w:rsidRPr="00E21878">
        <w:t xml:space="preserve">attempts to address one of </w:t>
      </w:r>
      <w:r w:rsidR="00F07107">
        <w:t>its</w:t>
      </w:r>
      <w:r w:rsidRPr="00E21878">
        <w:t xml:space="preserve"> inherent complexities</w:t>
      </w:r>
      <w:r w:rsidR="00F07107">
        <w:t>;</w:t>
      </w:r>
      <w:r w:rsidRPr="00E21878">
        <w:t xml:space="preserve"> where clinical aspects of the disorder confound the usual prioritisation of </w:t>
      </w:r>
      <w:r>
        <w:t>"</w:t>
      </w:r>
      <w:r w:rsidRPr="00E21878">
        <w:t>objective</w:t>
      </w:r>
      <w:r>
        <w:t>"</w:t>
      </w:r>
      <w:r w:rsidRPr="00E21878">
        <w:t xml:space="preserve"> over </w:t>
      </w:r>
      <w:r>
        <w:t>"</w:t>
      </w:r>
      <w:r w:rsidRPr="00E21878">
        <w:t>subjective</w:t>
      </w:r>
      <w:r>
        <w:t>"</w:t>
      </w:r>
      <w:r w:rsidRPr="00E21878">
        <w:t xml:space="preserve"> (or patient-rated) measures.</w:t>
      </w:r>
      <w:r>
        <w:t xml:space="preserve"> </w:t>
      </w:r>
      <w:r w:rsidRPr="00D339DC">
        <w:t>This</w:t>
      </w:r>
      <w:r w:rsidRPr="003741E0">
        <w:t xml:space="preserve"> PhD </w:t>
      </w:r>
      <w:r>
        <w:t>comprised a literature review and three research studies, each using different measures to assess the current status and (potential) outcomes</w:t>
      </w:r>
      <w:r w:rsidRPr="003741E0">
        <w:t xml:space="preserve"> </w:t>
      </w:r>
      <w:r>
        <w:t xml:space="preserve">in </w:t>
      </w:r>
      <w:r w:rsidRPr="003741E0">
        <w:t>FN</w:t>
      </w:r>
      <w:r>
        <w:t>S</w:t>
      </w:r>
      <w:r w:rsidRPr="003741E0">
        <w:t xml:space="preserve">D </w:t>
      </w:r>
      <w:r>
        <w:t xml:space="preserve">patients. </w:t>
      </w:r>
    </w:p>
    <w:p w14:paraId="749A52BA" w14:textId="77777777" w:rsidR="001D4234" w:rsidRPr="00E21878" w:rsidRDefault="001D4234" w:rsidP="00352F7F"/>
    <w:p w14:paraId="453C4AD5" w14:textId="55156B98" w:rsidR="00352F7F" w:rsidRPr="00E21878" w:rsidRDefault="00352F7F" w:rsidP="00352F7F">
      <w:r w:rsidRPr="00E21878">
        <w:t>A narrative description of systematically identified literature on stress, distress</w:t>
      </w:r>
      <w:r>
        <w:t>,</w:t>
      </w:r>
      <w:r w:rsidRPr="00E21878">
        <w:t xml:space="preserve"> and arousal </w:t>
      </w:r>
      <w:r>
        <w:t xml:space="preserve">measures </w:t>
      </w:r>
      <w:r w:rsidRPr="00E21878">
        <w:t>in FNSD presents an overarching profile of the relationships between subjective and objective study measures.</w:t>
      </w:r>
      <w:r>
        <w:t xml:space="preserve"> </w:t>
      </w:r>
      <w:r w:rsidRPr="00E21878">
        <w:t xml:space="preserve">Eighteen studies (12 </w:t>
      </w:r>
      <w:r w:rsidR="00A72E4B">
        <w:t>functional seizures</w:t>
      </w:r>
      <w:r w:rsidRPr="00E21878">
        <w:t xml:space="preserve">, </w:t>
      </w:r>
      <w:r>
        <w:t>six</w:t>
      </w:r>
      <w:r w:rsidRPr="00E21878">
        <w:t xml:space="preserve"> other FNSD) capturing 396 FN</w:t>
      </w:r>
      <w:r>
        <w:t>S</w:t>
      </w:r>
      <w:r w:rsidRPr="00E21878">
        <w:t>D patients were included.</w:t>
      </w:r>
      <w:r>
        <w:t xml:space="preserve"> </w:t>
      </w:r>
      <w:r w:rsidRPr="00E21878">
        <w:t>Eleven reported no correlation between subjective and objective measures.</w:t>
      </w:r>
      <w:r>
        <w:t xml:space="preserve"> </w:t>
      </w:r>
      <w:r w:rsidRPr="00E21878">
        <w:t>Only four studies reported significant correlations (</w:t>
      </w:r>
      <w:r>
        <w:t>r's=-0.74-0.59</w:t>
      </w:r>
      <w:r w:rsidRPr="00E21878">
        <w:t xml:space="preserve">, </w:t>
      </w:r>
      <w:r>
        <w:t xml:space="preserve">p's </w:t>
      </w:r>
      <w:r w:rsidRPr="00E21878">
        <w:t xml:space="preserve">&lt;0.05). The small number of studies and diverse methodologies </w:t>
      </w:r>
      <w:r>
        <w:t>limit the conclusions of this review</w:t>
      </w:r>
      <w:r w:rsidRPr="00E21878">
        <w:t>.</w:t>
      </w:r>
      <w:r>
        <w:t xml:space="preserve"> However, the</w:t>
      </w:r>
      <w:r w:rsidRPr="004F675D">
        <w:t xml:space="preserve"> </w:t>
      </w:r>
      <w:r>
        <w:t>review's findings</w:t>
      </w:r>
      <w:r w:rsidRPr="004F675D">
        <w:t xml:space="preserve"> underscore the importance of </w:t>
      </w:r>
      <w:r>
        <w:t>validating</w:t>
      </w:r>
      <w:r w:rsidRPr="004F675D">
        <w:t xml:space="preserve"> outcome measures in patients with FNSD</w:t>
      </w:r>
      <w:r>
        <w:t>,</w:t>
      </w:r>
      <w:r w:rsidRPr="004F675D">
        <w:t xml:space="preserve"> </w:t>
      </w:r>
      <w:r>
        <w:t>carefully selecting</w:t>
      </w:r>
      <w:r w:rsidRPr="004F675D">
        <w:t xml:space="preserve"> the most appropriate measures for the research objectives</w:t>
      </w:r>
      <w:r>
        <w:t>, and possibly combining different measures optimally to triangulate a patient's current state, level of functioning or disability</w:t>
      </w:r>
      <w:r w:rsidRPr="004F675D">
        <w:t>.</w:t>
      </w:r>
      <w:r>
        <w:t xml:space="preserve"> </w:t>
      </w:r>
    </w:p>
    <w:p w14:paraId="32BA5619" w14:textId="303BF063" w:rsidR="00352F7F" w:rsidRPr="0057072F" w:rsidRDefault="00352F7F" w:rsidP="00352F7F">
      <w:r w:rsidRPr="00E21878">
        <w:t xml:space="preserve">Study </w:t>
      </w:r>
      <w:r>
        <w:t>O</w:t>
      </w:r>
      <w:r w:rsidRPr="00E21878">
        <w:t xml:space="preserve">ne used factor analysis and Rasch modelling to investigate the psychometric properties of a novel FNSD-specific </w:t>
      </w:r>
      <w:r>
        <w:t>resource-based</w:t>
      </w:r>
      <w:r w:rsidRPr="00E21878">
        <w:t xml:space="preserve"> measure </w:t>
      </w:r>
      <w:r>
        <w:t xml:space="preserve">developed as an outcome measure for psychological therapies </w:t>
      </w:r>
      <w:r w:rsidRPr="00E21878">
        <w:t xml:space="preserve">(The </w:t>
      </w:r>
      <w:proofErr w:type="spellStart"/>
      <w:r w:rsidRPr="00E21878">
        <w:t>sElf</w:t>
      </w:r>
      <w:proofErr w:type="spellEnd"/>
      <w:r w:rsidRPr="00E21878">
        <w:t>-efficacy, assertiveness, Social support, self-awareness and helpful thinking (EASE) questionnaire).</w:t>
      </w:r>
      <w:r>
        <w:t xml:space="preserve"> A</w:t>
      </w:r>
      <w:r w:rsidRPr="00E21878">
        <w:t xml:space="preserve"> 4-factor model </w:t>
      </w:r>
      <w:r>
        <w:t>identified</w:t>
      </w:r>
      <w:r w:rsidRPr="00E21878">
        <w:t xml:space="preserve"> self-efficacy (SE), self-awareness/assertiveness (SA), social support (SS) and interpersonal illness burden (IIB)</w:t>
      </w:r>
      <w:r>
        <w:t xml:space="preserve"> as relevant domains</w:t>
      </w:r>
      <w:r w:rsidRPr="00E21878">
        <w:t>.</w:t>
      </w:r>
      <w:r>
        <w:t xml:space="preserve"> </w:t>
      </w:r>
      <w:r w:rsidRPr="00E21878">
        <w:t xml:space="preserve">Each latent scale </w:t>
      </w:r>
      <w:r>
        <w:t>fits</w:t>
      </w:r>
      <w:r w:rsidRPr="00E21878">
        <w:t xml:space="preserve"> the Rasch model after refinement of the category responses and removing two items.</w:t>
      </w:r>
      <w:r>
        <w:t xml:space="preserve"> </w:t>
      </w:r>
      <w:r w:rsidRPr="00E21878">
        <w:t xml:space="preserve">With further </w:t>
      </w:r>
      <w:r>
        <w:t>improvement</w:t>
      </w:r>
      <w:r w:rsidRPr="00E21878">
        <w:t xml:space="preserve">, the EASE-F has the potential to reliably measure self-reported SE, SA, SS, and IIB </w:t>
      </w:r>
      <w:r w:rsidRPr="008F4C64">
        <w:t>constructs</w:t>
      </w:r>
      <w:r w:rsidR="00A72E4B">
        <w:t xml:space="preserve"> which were</w:t>
      </w:r>
      <w:r w:rsidRPr="008F4C64">
        <w:t xml:space="preserve"> found to be meaningful to </w:t>
      </w:r>
      <w:r>
        <w:t>patients</w:t>
      </w:r>
      <w:r w:rsidRPr="00E21878">
        <w:t xml:space="preserve"> </w:t>
      </w:r>
      <w:r>
        <w:t>with</w:t>
      </w:r>
      <w:r w:rsidRPr="00E21878">
        <w:t xml:space="preserve"> FNSD.</w:t>
      </w:r>
      <w:r>
        <w:t xml:space="preserve"> </w:t>
      </w:r>
      <w:r w:rsidRPr="00E21878">
        <w:t xml:space="preserve">This can identify patients with </w:t>
      </w:r>
      <w:r>
        <w:t xml:space="preserve">strengths and </w:t>
      </w:r>
      <w:r w:rsidRPr="00E21878">
        <w:t>deficits in these constructs</w:t>
      </w:r>
      <w:r>
        <w:t xml:space="preserve">, </w:t>
      </w:r>
      <w:r>
        <w:lastRenderedPageBreak/>
        <w:t xml:space="preserve">allowing therapists to </w:t>
      </w:r>
      <w:r w:rsidRPr="00E21878">
        <w:t>individualise interventions.</w:t>
      </w:r>
      <w:r>
        <w:t xml:space="preserve"> </w:t>
      </w:r>
      <w:r w:rsidRPr="00E21878">
        <w:t xml:space="preserve">Recommendations for refinement </w:t>
      </w:r>
      <w:r>
        <w:t>of</w:t>
      </w:r>
      <w:r w:rsidRPr="00E21878">
        <w:t xml:space="preserve"> future instrument versions, using the measure in clinical practice, and research in FNSDs are discussed.</w:t>
      </w:r>
    </w:p>
    <w:p w14:paraId="73B02EA4" w14:textId="1CA50526" w:rsidR="00352F7F" w:rsidRDefault="00352F7F" w:rsidP="00352F7F">
      <w:r w:rsidRPr="0057072F">
        <w:t xml:space="preserve">Study Two sought to understand the urgent </w:t>
      </w:r>
      <w:r>
        <w:t xml:space="preserve">and emergency </w:t>
      </w:r>
      <w:r w:rsidRPr="0057072F">
        <w:t>care (UEC) service usage patterns among FNSD</w:t>
      </w:r>
      <w:r>
        <w:t xml:space="preserve"> patients</w:t>
      </w:r>
      <w:r w:rsidRPr="0057072F">
        <w:t>.</w:t>
      </w:r>
      <w:r>
        <w:t xml:space="preserve"> </w:t>
      </w:r>
      <w:r w:rsidRPr="0057072F">
        <w:t>Retrospective FNSD patient data from 2013 to 2016 UEC</w:t>
      </w:r>
      <w:r w:rsidR="00A72E4B">
        <w:t xml:space="preserve"> records</w:t>
      </w:r>
      <w:r w:rsidRPr="0057072F">
        <w:t xml:space="preserve"> (including NHS 111 calls, ambulance services, A&amp;E visits, and acute admissions) were used to compare F</w:t>
      </w:r>
      <w:r w:rsidR="00A72E4B">
        <w:t>N</w:t>
      </w:r>
      <w:r w:rsidRPr="0057072F">
        <w:t xml:space="preserve">SD </w:t>
      </w:r>
      <w:r>
        <w:t>UE</w:t>
      </w:r>
      <w:r w:rsidR="00A72E4B">
        <w:t>C</w:t>
      </w:r>
      <w:r>
        <w:t xml:space="preserve"> usage </w:t>
      </w:r>
      <w:r w:rsidRPr="0057072F">
        <w:t>rates with those of the general population</w:t>
      </w:r>
      <w:r>
        <w:t xml:space="preserve"> and </w:t>
      </w:r>
      <w:r w:rsidRPr="0057072F">
        <w:t>to model rates before and after psychotherapy.</w:t>
      </w:r>
      <w:r>
        <w:t xml:space="preserve"> </w:t>
      </w:r>
      <w:r w:rsidRPr="0057072F">
        <w:t xml:space="preserve">FNSD patients displayed </w:t>
      </w:r>
      <w:r>
        <w:t>23 to 60 times</w:t>
      </w:r>
      <w:r w:rsidRPr="0057072F">
        <w:t xml:space="preserve"> higher UEC usage than the general population.</w:t>
      </w:r>
      <w:r>
        <w:t xml:space="preserve"> </w:t>
      </w:r>
      <w:r w:rsidRPr="0057072F">
        <w:t xml:space="preserve">Emergency service usage rates showed a significant reduction in level (rate level change = -0.90--0.70, </w:t>
      </w:r>
      <w:r>
        <w:t>p's</w:t>
      </w:r>
      <w:r w:rsidRPr="0057072F">
        <w:t xml:space="preserve"> &lt;0.05) immediately after psychotherapy</w:t>
      </w:r>
      <w:r>
        <w:t>.</w:t>
      </w:r>
      <w:r w:rsidRPr="0057072F">
        <w:t xml:space="preserve"> </w:t>
      </w:r>
      <w:r>
        <w:t>While this study was uncontrolled, and a causal relationship between psychotherapy and reduced UEC service use cannot be proven by its design, t</w:t>
      </w:r>
      <w:r w:rsidRPr="0057072F">
        <w:t xml:space="preserve">he </w:t>
      </w:r>
      <w:r>
        <w:t xml:space="preserve">decrease in pre-treatment </w:t>
      </w:r>
      <w:r w:rsidRPr="0057072F">
        <w:t xml:space="preserve">service usage among FNSD patients </w:t>
      </w:r>
      <w:r>
        <w:t xml:space="preserve">mirrors </w:t>
      </w:r>
      <w:r w:rsidRPr="0057072F">
        <w:t xml:space="preserve">treatment-related </w:t>
      </w:r>
      <w:r>
        <w:t xml:space="preserve">improvements in health status and functioning </w:t>
      </w:r>
      <w:r w:rsidRPr="0057072F">
        <w:t xml:space="preserve">previously documented </w:t>
      </w:r>
      <w:r>
        <w:t>using</w:t>
      </w:r>
      <w:r w:rsidRPr="0057072F">
        <w:t xml:space="preserve"> self-reported outcome</w:t>
      </w:r>
      <w:r>
        <w:t xml:space="preserve"> measure</w:t>
      </w:r>
      <w:r w:rsidRPr="0057072F">
        <w:t>s.</w:t>
      </w:r>
      <w:r>
        <w:t xml:space="preserve"> </w:t>
      </w:r>
      <w:r w:rsidRPr="0057072F">
        <w:t xml:space="preserve">Further research is warranted to elucidate features of emergency care service use by patients with FNSD, assess </w:t>
      </w:r>
      <w:r>
        <w:t>interventions'</w:t>
      </w:r>
      <w:r w:rsidRPr="0057072F">
        <w:t xml:space="preserve"> cost-effectiveness, and help </w:t>
      </w:r>
      <w:r>
        <w:t xml:space="preserve">to optimise limited health care </w:t>
      </w:r>
      <w:r w:rsidRPr="0057072F">
        <w:t xml:space="preserve">resource allocation. </w:t>
      </w:r>
    </w:p>
    <w:p w14:paraId="429A4A19" w14:textId="129E5C45" w:rsidR="00352F7F" w:rsidRPr="002B2D28" w:rsidRDefault="00352F7F" w:rsidP="00352F7F">
      <w:r>
        <w:t xml:space="preserve">Study Three utilised a </w:t>
      </w:r>
      <w:r w:rsidRPr="003741E0">
        <w:t xml:space="preserve">delay discounting and emotional bias task </w:t>
      </w:r>
      <w:r w:rsidRPr="00A7070C">
        <w:t xml:space="preserve">to assess if these measures could indicate </w:t>
      </w:r>
      <w:r>
        <w:t xml:space="preserve">the </w:t>
      </w:r>
      <w:r w:rsidRPr="00A7070C">
        <w:t xml:space="preserve">health </w:t>
      </w:r>
      <w:r>
        <w:t>state</w:t>
      </w:r>
      <w:r w:rsidRPr="00A7070C">
        <w:t xml:space="preserve"> </w:t>
      </w:r>
      <w:r>
        <w:t xml:space="preserve">of FNSD </w:t>
      </w:r>
      <w:r w:rsidRPr="003741E0">
        <w:t>patients</w:t>
      </w:r>
      <w:r>
        <w:t xml:space="preserve"> and to compare findings in patients with those in healthy controls</w:t>
      </w:r>
      <w:r w:rsidRPr="00A7070C">
        <w:t>.</w:t>
      </w:r>
      <w:r>
        <w:t xml:space="preserve"> This online-based study </w:t>
      </w:r>
      <w:r w:rsidRPr="003741E0">
        <w:t>collect</w:t>
      </w:r>
      <w:r>
        <w:t>ed</w:t>
      </w:r>
      <w:r w:rsidRPr="003741E0">
        <w:t xml:space="preserve"> data on cognitive-affective functioning</w:t>
      </w:r>
      <w:r>
        <w:t>, decision-making</w:t>
      </w:r>
      <w:r w:rsidRPr="003741E0">
        <w:t xml:space="preserve"> and</w:t>
      </w:r>
      <w:r>
        <w:t>,</w:t>
      </w:r>
      <w:r w:rsidRPr="003741E0">
        <w:t xml:space="preserve"> </w:t>
      </w:r>
      <w:r>
        <w:t xml:space="preserve">indirectly, </w:t>
      </w:r>
      <w:r w:rsidRPr="003741E0">
        <w:t>emotion regulation</w:t>
      </w:r>
      <w:r>
        <w:t xml:space="preserve">, alongside self-reported health data and indicators of mood while completing the tasks. </w:t>
      </w:r>
      <w:r w:rsidRPr="004F675D">
        <w:t xml:space="preserve">Delay discounting </w:t>
      </w:r>
      <w:r>
        <w:t xml:space="preserve">(DD) </w:t>
      </w:r>
      <w:r w:rsidRPr="004F675D">
        <w:t>was steeper in patients with FNSD, indicating a preference for less subjectively valuable immediate rewards</w:t>
      </w:r>
      <w:r>
        <w:t xml:space="preserve">. Patients </w:t>
      </w:r>
      <w:r w:rsidRPr="004F675D">
        <w:t>displayed priming and interference effects for angry and happy facial expressions</w:t>
      </w:r>
      <w:r>
        <w:t>, which differed from the interference effects observed in</w:t>
      </w:r>
      <w:r w:rsidRPr="004F675D">
        <w:t xml:space="preserve"> healthy controls</w:t>
      </w:r>
      <w:r>
        <w:t xml:space="preserve"> </w:t>
      </w:r>
      <w:r w:rsidRPr="00154FCE">
        <w:t xml:space="preserve"> [F(1,76) = 3.5, p = 0.037, </w:t>
      </w:r>
      <w:r w:rsidRPr="00154FCE">
        <w:rPr>
          <w:rFonts w:ascii="Avenir Heavy" w:hAnsi="Avenir Heavy" w:cs="Avenir Heavy"/>
        </w:rPr>
        <w:t>η</w:t>
      </w:r>
      <w:r w:rsidRPr="00154FCE">
        <w:t>2p = 0.084]</w:t>
      </w:r>
      <w:r>
        <w:t>. Modest associations (r's =0.26-0.33, p's &lt;0.05) were found between the DD estimates and self-reported generalised anxiety, but not current feelings of anxiety in FNSD. There were no correlations with indices for negative affective priming or interference. These measures did not show predictive ability for self-reported difficulty regulating emotions, anxiety, depression or coping in FNSD. However, t</w:t>
      </w:r>
      <w:r w:rsidRPr="00E45A55">
        <w:t xml:space="preserve">he fact that the DD task and self-reported constructs failed to correlate does not invalidate this </w:t>
      </w:r>
      <w:r w:rsidRPr="00E45A55">
        <w:lastRenderedPageBreak/>
        <w:t>objective test.</w:t>
      </w:r>
      <w:r>
        <w:t xml:space="preserve"> </w:t>
      </w:r>
      <w:r w:rsidRPr="0017043A">
        <w:t>The findings underscore the importance of using a combined approach to outcome measurement</w:t>
      </w:r>
      <w:r>
        <w:t>.</w:t>
      </w:r>
    </w:p>
    <w:p w14:paraId="3419838A" w14:textId="135C1AFB" w:rsidR="00352F7F" w:rsidRPr="008E188B" w:rsidRDefault="00352F7F" w:rsidP="00352F7F">
      <w:r>
        <w:t xml:space="preserve">This project </w:t>
      </w:r>
      <w:r w:rsidRPr="00D339DC">
        <w:t>highlight</w:t>
      </w:r>
      <w:r>
        <w:t xml:space="preserve">s </w:t>
      </w:r>
      <w:r w:rsidRPr="00D339DC">
        <w:t xml:space="preserve">the importance of </w:t>
      </w:r>
      <w:r w:rsidRPr="003741E0">
        <w:t xml:space="preserve">a </w:t>
      </w:r>
      <w:r>
        <w:t xml:space="preserve">more </w:t>
      </w:r>
      <w:r w:rsidRPr="003741E0">
        <w:t>comprehensive understanding of outcomes and measures that capture clinically valid and meaningful</w:t>
      </w:r>
      <w:r>
        <w:t xml:space="preserve"> health </w:t>
      </w:r>
      <w:r w:rsidRPr="003741E0">
        <w:t>information</w:t>
      </w:r>
      <w:r>
        <w:t xml:space="preserve">. </w:t>
      </w:r>
      <w:r w:rsidRPr="00E21878">
        <w:t>Given that subjective</w:t>
      </w:r>
      <w:r>
        <w:t xml:space="preserve"> and </w:t>
      </w:r>
      <w:r w:rsidRPr="00E21878">
        <w:t xml:space="preserve">objective measures capture different aspects of </w:t>
      </w:r>
      <w:r>
        <w:t xml:space="preserve">health </w:t>
      </w:r>
      <w:r w:rsidRPr="00E21878">
        <w:t>state</w:t>
      </w:r>
      <w:r>
        <w:t xml:space="preserve"> </w:t>
      </w:r>
      <w:r w:rsidRPr="00E21878">
        <w:t>or</w:t>
      </w:r>
      <w:r>
        <w:t xml:space="preserve"> </w:t>
      </w:r>
      <w:r w:rsidRPr="00E21878">
        <w:t>function, a combination</w:t>
      </w:r>
      <w:r>
        <w:t xml:space="preserve"> </w:t>
      </w:r>
      <w:r w:rsidRPr="00E21878">
        <w:t>of measurement</w:t>
      </w:r>
      <w:r>
        <w:t xml:space="preserve"> </w:t>
      </w:r>
      <w:r w:rsidRPr="00E21878">
        <w:t>approaches</w:t>
      </w:r>
      <w:r>
        <w:t xml:space="preserve"> will likely p</w:t>
      </w:r>
      <w:r w:rsidRPr="004F675D">
        <w:t xml:space="preserve">roduce the most comprehensive understanding of </w:t>
      </w:r>
      <w:r>
        <w:t>patients'</w:t>
      </w:r>
      <w:r w:rsidRPr="004F675D">
        <w:t xml:space="preserve"> current state or treatment outcome</w:t>
      </w:r>
      <w:r>
        <w:t xml:space="preserve">. Because of </w:t>
      </w:r>
      <w:r w:rsidRPr="00E21878">
        <w:t>the</w:t>
      </w:r>
      <w:r>
        <w:t xml:space="preserve"> </w:t>
      </w:r>
      <w:r w:rsidRPr="00E21878">
        <w:t>attentional, emotional,</w:t>
      </w:r>
      <w:r>
        <w:t xml:space="preserve"> </w:t>
      </w:r>
      <w:r w:rsidRPr="00E21878">
        <w:t>and</w:t>
      </w:r>
      <w:r>
        <w:t xml:space="preserve"> </w:t>
      </w:r>
      <w:r w:rsidRPr="00E21878">
        <w:t>perceptual</w:t>
      </w:r>
      <w:r>
        <w:t xml:space="preserve"> </w:t>
      </w:r>
      <w:r w:rsidRPr="00E21878">
        <w:t>alterations implicated in FNSD</w:t>
      </w:r>
      <w:r>
        <w:t xml:space="preserve"> and the variable external representations of these,</w:t>
      </w:r>
      <w:r w:rsidRPr="00E21878">
        <w:t xml:space="preserve"> the difference between objective and subjective measures represents an interesting observation in its own right.</w:t>
      </w:r>
      <w:r>
        <w:t xml:space="preserve"> T</w:t>
      </w:r>
      <w:r w:rsidRPr="004F675D">
        <w:t>he size of the discrepancy between subjective and objective measures may</w:t>
      </w:r>
      <w:r>
        <w:t xml:space="preserve"> </w:t>
      </w:r>
      <w:r w:rsidRPr="004F675D">
        <w:t xml:space="preserve">provide additional </w:t>
      </w:r>
      <w:r>
        <w:t>valuable</w:t>
      </w:r>
      <w:r w:rsidRPr="004F675D">
        <w:t xml:space="preserve"> insights into the underlying pathology.</w:t>
      </w:r>
      <w:r>
        <w:t xml:space="preserve"> Nonetheless, there is still a need </w:t>
      </w:r>
      <w:r w:rsidRPr="00D339DC">
        <w:t xml:space="preserve">for standardisation and consistency in </w:t>
      </w:r>
      <w:r>
        <w:t xml:space="preserve">FNSD </w:t>
      </w:r>
      <w:r w:rsidRPr="00D339DC">
        <w:t>outcome measurement</w:t>
      </w:r>
      <w:r>
        <w:t xml:space="preserve"> and reporting</w:t>
      </w:r>
      <w:r w:rsidRPr="00D339DC">
        <w:t>.</w:t>
      </w:r>
      <w:r>
        <w:t xml:space="preserve"> Several important factors, such as the timeframe of measures, the influence of confounding factors, and the variety of presentation of any aspect of the disorder (e.g., physiological, cognitive, social, or behavioural presentations of arousal/stress), will need to be considered when designing and interpreting measurements for research or clinical analysis of the patient group. </w:t>
      </w:r>
    </w:p>
    <w:p w14:paraId="3530AAB0" w14:textId="55BA627A" w:rsidR="00352F7F" w:rsidRPr="00352F7F" w:rsidRDefault="00352F7F" w:rsidP="004B04C3">
      <w:pPr>
        <w:spacing w:line="240" w:lineRule="auto"/>
        <w:jc w:val="left"/>
        <w:rPr>
          <w:lang w:val="en-US"/>
        </w:rPr>
      </w:pPr>
      <w:r>
        <w:rPr>
          <w:lang w:val="en-US"/>
        </w:rPr>
        <w:br w:type="page"/>
      </w:r>
    </w:p>
    <w:sdt>
      <w:sdtPr>
        <w:rPr>
          <w:rFonts w:ascii="Arial" w:eastAsiaTheme="minorEastAsia" w:hAnsi="Arial" w:cstheme="minorBidi"/>
          <w:bCs w:val="0"/>
          <w:color w:val="auto"/>
          <w:sz w:val="24"/>
          <w:szCs w:val="24"/>
          <w:lang w:val="en-GB"/>
        </w:rPr>
        <w:id w:val="-105885751"/>
        <w:docPartObj>
          <w:docPartGallery w:val="Table of Contents"/>
          <w:docPartUnique/>
        </w:docPartObj>
      </w:sdtPr>
      <w:sdtEndPr>
        <w:rPr>
          <w:b/>
          <w:noProof/>
        </w:rPr>
      </w:sdtEndPr>
      <w:sdtContent>
        <w:p w14:paraId="068D308D" w14:textId="2704C3D1" w:rsidR="002751BF" w:rsidRDefault="002751BF" w:rsidP="004F74E8">
          <w:pPr>
            <w:pStyle w:val="TOCHeading"/>
          </w:pPr>
          <w:r>
            <w:t>Table of Contents</w:t>
          </w:r>
        </w:p>
        <w:p w14:paraId="22295684" w14:textId="0F7CB3CA" w:rsidR="00061C72" w:rsidRDefault="002751BF">
          <w:pPr>
            <w:pStyle w:val="TOC1"/>
            <w:tabs>
              <w:tab w:val="right" w:leader="dot" w:pos="9010"/>
            </w:tabs>
            <w:rPr>
              <w:rFonts w:cstheme="minorBidi"/>
              <w:b w:val="0"/>
              <w:bCs w:val="0"/>
              <w:caps w:val="0"/>
              <w:noProof/>
              <w:kern w:val="2"/>
              <w:sz w:val="24"/>
              <w:szCs w:val="24"/>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37504648" w:history="1">
            <w:r w:rsidR="00061C72">
              <w:rPr>
                <w:noProof/>
                <w:webHidden/>
              </w:rPr>
              <w:tab/>
            </w:r>
            <w:r w:rsidR="00061C72">
              <w:rPr>
                <w:noProof/>
                <w:webHidden/>
              </w:rPr>
              <w:fldChar w:fldCharType="begin"/>
            </w:r>
            <w:r w:rsidR="00061C72">
              <w:rPr>
                <w:noProof/>
                <w:webHidden/>
              </w:rPr>
              <w:instrText xml:space="preserve"> PAGEREF _Toc137504648 \h </w:instrText>
            </w:r>
            <w:r w:rsidR="00061C72">
              <w:rPr>
                <w:noProof/>
                <w:webHidden/>
              </w:rPr>
            </w:r>
            <w:r w:rsidR="00061C72">
              <w:rPr>
                <w:noProof/>
                <w:webHidden/>
              </w:rPr>
              <w:fldChar w:fldCharType="separate"/>
            </w:r>
            <w:r w:rsidR="00061C72">
              <w:rPr>
                <w:noProof/>
                <w:webHidden/>
              </w:rPr>
              <w:t>1</w:t>
            </w:r>
            <w:r w:rsidR="00061C72">
              <w:rPr>
                <w:noProof/>
                <w:webHidden/>
              </w:rPr>
              <w:fldChar w:fldCharType="end"/>
            </w:r>
          </w:hyperlink>
        </w:p>
        <w:p w14:paraId="26E8C3B2" w14:textId="4DF3C979"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49" w:history="1">
            <w:r w:rsidR="00061C72" w:rsidRPr="00845E86">
              <w:rPr>
                <w:rStyle w:val="Hyperlink"/>
                <w:noProof/>
              </w:rPr>
              <w:t>DECLARATION</w:t>
            </w:r>
            <w:r w:rsidR="00061C72">
              <w:rPr>
                <w:noProof/>
                <w:webHidden/>
              </w:rPr>
              <w:tab/>
            </w:r>
            <w:r w:rsidR="00061C72">
              <w:rPr>
                <w:noProof/>
                <w:webHidden/>
              </w:rPr>
              <w:fldChar w:fldCharType="begin"/>
            </w:r>
            <w:r w:rsidR="00061C72">
              <w:rPr>
                <w:noProof/>
                <w:webHidden/>
              </w:rPr>
              <w:instrText xml:space="preserve"> PAGEREF _Toc137504649 \h </w:instrText>
            </w:r>
            <w:r w:rsidR="00061C72">
              <w:rPr>
                <w:noProof/>
                <w:webHidden/>
              </w:rPr>
            </w:r>
            <w:r w:rsidR="00061C72">
              <w:rPr>
                <w:noProof/>
                <w:webHidden/>
              </w:rPr>
              <w:fldChar w:fldCharType="separate"/>
            </w:r>
            <w:r w:rsidR="00061C72">
              <w:rPr>
                <w:noProof/>
                <w:webHidden/>
              </w:rPr>
              <w:t>2</w:t>
            </w:r>
            <w:r w:rsidR="00061C72">
              <w:rPr>
                <w:noProof/>
                <w:webHidden/>
              </w:rPr>
              <w:fldChar w:fldCharType="end"/>
            </w:r>
          </w:hyperlink>
        </w:p>
        <w:p w14:paraId="4AA850EA" w14:textId="34FB5129"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50" w:history="1">
            <w:r w:rsidR="00061C72" w:rsidRPr="00845E86">
              <w:rPr>
                <w:rStyle w:val="Hyperlink"/>
                <w:noProof/>
              </w:rPr>
              <w:t>ACKNOWLEDGEMENTS</w:t>
            </w:r>
            <w:r w:rsidR="00061C72">
              <w:rPr>
                <w:noProof/>
                <w:webHidden/>
              </w:rPr>
              <w:tab/>
            </w:r>
            <w:r w:rsidR="00061C72">
              <w:rPr>
                <w:noProof/>
                <w:webHidden/>
              </w:rPr>
              <w:fldChar w:fldCharType="begin"/>
            </w:r>
            <w:r w:rsidR="00061C72">
              <w:rPr>
                <w:noProof/>
                <w:webHidden/>
              </w:rPr>
              <w:instrText xml:space="preserve"> PAGEREF _Toc137504650 \h </w:instrText>
            </w:r>
            <w:r w:rsidR="00061C72">
              <w:rPr>
                <w:noProof/>
                <w:webHidden/>
              </w:rPr>
            </w:r>
            <w:r w:rsidR="00061C72">
              <w:rPr>
                <w:noProof/>
                <w:webHidden/>
              </w:rPr>
              <w:fldChar w:fldCharType="separate"/>
            </w:r>
            <w:r w:rsidR="00061C72">
              <w:rPr>
                <w:noProof/>
                <w:webHidden/>
              </w:rPr>
              <w:t>3</w:t>
            </w:r>
            <w:r w:rsidR="00061C72">
              <w:rPr>
                <w:noProof/>
                <w:webHidden/>
              </w:rPr>
              <w:fldChar w:fldCharType="end"/>
            </w:r>
          </w:hyperlink>
        </w:p>
        <w:p w14:paraId="36350543" w14:textId="3276B2FC"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51" w:history="1">
            <w:r w:rsidR="00061C72" w:rsidRPr="00845E86">
              <w:rPr>
                <w:rStyle w:val="Hyperlink"/>
                <w:noProof/>
              </w:rPr>
              <w:t>ABSTRACT</w:t>
            </w:r>
            <w:r w:rsidR="00061C72">
              <w:rPr>
                <w:noProof/>
                <w:webHidden/>
              </w:rPr>
              <w:tab/>
            </w:r>
            <w:r w:rsidR="00061C72">
              <w:rPr>
                <w:noProof/>
                <w:webHidden/>
              </w:rPr>
              <w:fldChar w:fldCharType="begin"/>
            </w:r>
            <w:r w:rsidR="00061C72">
              <w:rPr>
                <w:noProof/>
                <w:webHidden/>
              </w:rPr>
              <w:instrText xml:space="preserve"> PAGEREF _Toc137504651 \h </w:instrText>
            </w:r>
            <w:r w:rsidR="00061C72">
              <w:rPr>
                <w:noProof/>
                <w:webHidden/>
              </w:rPr>
            </w:r>
            <w:r w:rsidR="00061C72">
              <w:rPr>
                <w:noProof/>
                <w:webHidden/>
              </w:rPr>
              <w:fldChar w:fldCharType="separate"/>
            </w:r>
            <w:r w:rsidR="00061C72">
              <w:rPr>
                <w:noProof/>
                <w:webHidden/>
              </w:rPr>
              <w:t>4</w:t>
            </w:r>
            <w:r w:rsidR="00061C72">
              <w:rPr>
                <w:noProof/>
                <w:webHidden/>
              </w:rPr>
              <w:fldChar w:fldCharType="end"/>
            </w:r>
          </w:hyperlink>
        </w:p>
        <w:p w14:paraId="2B17B687" w14:textId="275E650C"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52" w:history="1">
            <w:r w:rsidR="00061C72" w:rsidRPr="00845E86">
              <w:rPr>
                <w:rStyle w:val="Hyperlink"/>
                <w:noProof/>
              </w:rPr>
              <w:t>List of Tables</w:t>
            </w:r>
            <w:r w:rsidR="00061C72">
              <w:rPr>
                <w:noProof/>
                <w:webHidden/>
              </w:rPr>
              <w:tab/>
            </w:r>
            <w:r w:rsidR="00061C72">
              <w:rPr>
                <w:noProof/>
                <w:webHidden/>
              </w:rPr>
              <w:fldChar w:fldCharType="begin"/>
            </w:r>
            <w:r w:rsidR="00061C72">
              <w:rPr>
                <w:noProof/>
                <w:webHidden/>
              </w:rPr>
              <w:instrText xml:space="preserve"> PAGEREF _Toc137504652 \h </w:instrText>
            </w:r>
            <w:r w:rsidR="00061C72">
              <w:rPr>
                <w:noProof/>
                <w:webHidden/>
              </w:rPr>
            </w:r>
            <w:r w:rsidR="00061C72">
              <w:rPr>
                <w:noProof/>
                <w:webHidden/>
              </w:rPr>
              <w:fldChar w:fldCharType="separate"/>
            </w:r>
            <w:r w:rsidR="00061C72">
              <w:rPr>
                <w:noProof/>
                <w:webHidden/>
              </w:rPr>
              <w:t>12</w:t>
            </w:r>
            <w:r w:rsidR="00061C72">
              <w:rPr>
                <w:noProof/>
                <w:webHidden/>
              </w:rPr>
              <w:fldChar w:fldCharType="end"/>
            </w:r>
          </w:hyperlink>
        </w:p>
        <w:p w14:paraId="47C2350E" w14:textId="15796C22"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53" w:history="1">
            <w:r w:rsidR="00061C72" w:rsidRPr="00845E86">
              <w:rPr>
                <w:rStyle w:val="Hyperlink"/>
                <w:noProof/>
              </w:rPr>
              <w:t>List of Figures</w:t>
            </w:r>
            <w:r w:rsidR="00061C72">
              <w:rPr>
                <w:noProof/>
                <w:webHidden/>
              </w:rPr>
              <w:tab/>
            </w:r>
            <w:r w:rsidR="00061C72">
              <w:rPr>
                <w:noProof/>
                <w:webHidden/>
              </w:rPr>
              <w:fldChar w:fldCharType="begin"/>
            </w:r>
            <w:r w:rsidR="00061C72">
              <w:rPr>
                <w:noProof/>
                <w:webHidden/>
              </w:rPr>
              <w:instrText xml:space="preserve"> PAGEREF _Toc137504653 \h </w:instrText>
            </w:r>
            <w:r w:rsidR="00061C72">
              <w:rPr>
                <w:noProof/>
                <w:webHidden/>
              </w:rPr>
            </w:r>
            <w:r w:rsidR="00061C72">
              <w:rPr>
                <w:noProof/>
                <w:webHidden/>
              </w:rPr>
              <w:fldChar w:fldCharType="separate"/>
            </w:r>
            <w:r w:rsidR="00061C72">
              <w:rPr>
                <w:noProof/>
                <w:webHidden/>
              </w:rPr>
              <w:t>14</w:t>
            </w:r>
            <w:r w:rsidR="00061C72">
              <w:rPr>
                <w:noProof/>
                <w:webHidden/>
              </w:rPr>
              <w:fldChar w:fldCharType="end"/>
            </w:r>
          </w:hyperlink>
        </w:p>
        <w:p w14:paraId="007A3607" w14:textId="3B6C6F72"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54" w:history="1">
            <w:r w:rsidR="00061C72" w:rsidRPr="00845E86">
              <w:rPr>
                <w:rStyle w:val="Hyperlink"/>
                <w:noProof/>
              </w:rPr>
              <w:t>STATEMENT OF CONTRIBUTIONS</w:t>
            </w:r>
            <w:r w:rsidR="00061C72">
              <w:rPr>
                <w:noProof/>
                <w:webHidden/>
              </w:rPr>
              <w:tab/>
            </w:r>
            <w:r w:rsidR="00061C72">
              <w:rPr>
                <w:noProof/>
                <w:webHidden/>
              </w:rPr>
              <w:fldChar w:fldCharType="begin"/>
            </w:r>
            <w:r w:rsidR="00061C72">
              <w:rPr>
                <w:noProof/>
                <w:webHidden/>
              </w:rPr>
              <w:instrText xml:space="preserve"> PAGEREF _Toc137504654 \h </w:instrText>
            </w:r>
            <w:r w:rsidR="00061C72">
              <w:rPr>
                <w:noProof/>
                <w:webHidden/>
              </w:rPr>
            </w:r>
            <w:r w:rsidR="00061C72">
              <w:rPr>
                <w:noProof/>
                <w:webHidden/>
              </w:rPr>
              <w:fldChar w:fldCharType="separate"/>
            </w:r>
            <w:r w:rsidR="00061C72">
              <w:rPr>
                <w:noProof/>
                <w:webHidden/>
              </w:rPr>
              <w:t>16</w:t>
            </w:r>
            <w:r w:rsidR="00061C72">
              <w:rPr>
                <w:noProof/>
                <w:webHidden/>
              </w:rPr>
              <w:fldChar w:fldCharType="end"/>
            </w:r>
          </w:hyperlink>
        </w:p>
        <w:p w14:paraId="6B775925" w14:textId="2C2CCEED"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55" w:history="1">
            <w:r w:rsidR="00061C72" w:rsidRPr="00845E86">
              <w:rPr>
                <w:rStyle w:val="Hyperlink"/>
                <w:noProof/>
              </w:rPr>
              <w:t>1.0 Thesis Introduction</w:t>
            </w:r>
            <w:r w:rsidR="00061C72">
              <w:rPr>
                <w:noProof/>
                <w:webHidden/>
              </w:rPr>
              <w:tab/>
            </w:r>
            <w:r w:rsidR="00061C72">
              <w:rPr>
                <w:noProof/>
                <w:webHidden/>
              </w:rPr>
              <w:fldChar w:fldCharType="begin"/>
            </w:r>
            <w:r w:rsidR="00061C72">
              <w:rPr>
                <w:noProof/>
                <w:webHidden/>
              </w:rPr>
              <w:instrText xml:space="preserve"> PAGEREF _Toc137504655 \h </w:instrText>
            </w:r>
            <w:r w:rsidR="00061C72">
              <w:rPr>
                <w:noProof/>
                <w:webHidden/>
              </w:rPr>
            </w:r>
            <w:r w:rsidR="00061C72">
              <w:rPr>
                <w:noProof/>
                <w:webHidden/>
              </w:rPr>
              <w:fldChar w:fldCharType="separate"/>
            </w:r>
            <w:r w:rsidR="00061C72">
              <w:rPr>
                <w:noProof/>
                <w:webHidden/>
              </w:rPr>
              <w:t>17</w:t>
            </w:r>
            <w:r w:rsidR="00061C72">
              <w:rPr>
                <w:noProof/>
                <w:webHidden/>
              </w:rPr>
              <w:fldChar w:fldCharType="end"/>
            </w:r>
          </w:hyperlink>
        </w:p>
        <w:p w14:paraId="5CA3DFE5" w14:textId="744F7B1B"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56" w:history="1">
            <w:r w:rsidR="00061C72" w:rsidRPr="00845E86">
              <w:rPr>
                <w:rStyle w:val="Hyperlink"/>
                <w:noProof/>
              </w:rPr>
              <w:t>1.1 Functional Neurological Disorders</w:t>
            </w:r>
            <w:r w:rsidR="00061C72">
              <w:rPr>
                <w:noProof/>
                <w:webHidden/>
              </w:rPr>
              <w:tab/>
            </w:r>
            <w:r w:rsidR="00061C72">
              <w:rPr>
                <w:noProof/>
                <w:webHidden/>
              </w:rPr>
              <w:fldChar w:fldCharType="begin"/>
            </w:r>
            <w:r w:rsidR="00061C72">
              <w:rPr>
                <w:noProof/>
                <w:webHidden/>
              </w:rPr>
              <w:instrText xml:space="preserve"> PAGEREF _Toc137504656 \h </w:instrText>
            </w:r>
            <w:r w:rsidR="00061C72">
              <w:rPr>
                <w:noProof/>
                <w:webHidden/>
              </w:rPr>
            </w:r>
            <w:r w:rsidR="00061C72">
              <w:rPr>
                <w:noProof/>
                <w:webHidden/>
              </w:rPr>
              <w:fldChar w:fldCharType="separate"/>
            </w:r>
            <w:r w:rsidR="00061C72">
              <w:rPr>
                <w:noProof/>
                <w:webHidden/>
              </w:rPr>
              <w:t>17</w:t>
            </w:r>
            <w:r w:rsidR="00061C72">
              <w:rPr>
                <w:noProof/>
                <w:webHidden/>
              </w:rPr>
              <w:fldChar w:fldCharType="end"/>
            </w:r>
          </w:hyperlink>
        </w:p>
        <w:p w14:paraId="15D13886" w14:textId="0A076E3D"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57" w:history="1">
            <w:r w:rsidR="00061C72" w:rsidRPr="00845E86">
              <w:rPr>
                <w:rStyle w:val="Hyperlink"/>
                <w:noProof/>
              </w:rPr>
              <w:t>1.1.1 Introduction</w:t>
            </w:r>
            <w:r w:rsidR="00061C72">
              <w:rPr>
                <w:noProof/>
                <w:webHidden/>
              </w:rPr>
              <w:tab/>
            </w:r>
            <w:r w:rsidR="00061C72">
              <w:rPr>
                <w:noProof/>
                <w:webHidden/>
              </w:rPr>
              <w:fldChar w:fldCharType="begin"/>
            </w:r>
            <w:r w:rsidR="00061C72">
              <w:rPr>
                <w:noProof/>
                <w:webHidden/>
              </w:rPr>
              <w:instrText xml:space="preserve"> PAGEREF _Toc137504657 \h </w:instrText>
            </w:r>
            <w:r w:rsidR="00061C72">
              <w:rPr>
                <w:noProof/>
                <w:webHidden/>
              </w:rPr>
            </w:r>
            <w:r w:rsidR="00061C72">
              <w:rPr>
                <w:noProof/>
                <w:webHidden/>
              </w:rPr>
              <w:fldChar w:fldCharType="separate"/>
            </w:r>
            <w:r w:rsidR="00061C72">
              <w:rPr>
                <w:noProof/>
                <w:webHidden/>
              </w:rPr>
              <w:t>17</w:t>
            </w:r>
            <w:r w:rsidR="00061C72">
              <w:rPr>
                <w:noProof/>
                <w:webHidden/>
              </w:rPr>
              <w:fldChar w:fldCharType="end"/>
            </w:r>
          </w:hyperlink>
        </w:p>
        <w:p w14:paraId="1672287A" w14:textId="5A08BCE4"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58" w:history="1">
            <w:r w:rsidR="00061C72" w:rsidRPr="00845E86">
              <w:rPr>
                <w:rStyle w:val="Hyperlink"/>
                <w:noProof/>
              </w:rPr>
              <w:t>1.1.2 Terminology</w:t>
            </w:r>
            <w:r w:rsidR="00061C72">
              <w:rPr>
                <w:noProof/>
                <w:webHidden/>
              </w:rPr>
              <w:tab/>
            </w:r>
            <w:r w:rsidR="00061C72">
              <w:rPr>
                <w:noProof/>
                <w:webHidden/>
              </w:rPr>
              <w:fldChar w:fldCharType="begin"/>
            </w:r>
            <w:r w:rsidR="00061C72">
              <w:rPr>
                <w:noProof/>
                <w:webHidden/>
              </w:rPr>
              <w:instrText xml:space="preserve"> PAGEREF _Toc137504658 \h </w:instrText>
            </w:r>
            <w:r w:rsidR="00061C72">
              <w:rPr>
                <w:noProof/>
                <w:webHidden/>
              </w:rPr>
            </w:r>
            <w:r w:rsidR="00061C72">
              <w:rPr>
                <w:noProof/>
                <w:webHidden/>
              </w:rPr>
              <w:fldChar w:fldCharType="separate"/>
            </w:r>
            <w:r w:rsidR="00061C72">
              <w:rPr>
                <w:noProof/>
                <w:webHidden/>
              </w:rPr>
              <w:t>17</w:t>
            </w:r>
            <w:r w:rsidR="00061C72">
              <w:rPr>
                <w:noProof/>
                <w:webHidden/>
              </w:rPr>
              <w:fldChar w:fldCharType="end"/>
            </w:r>
          </w:hyperlink>
        </w:p>
        <w:p w14:paraId="348781D9" w14:textId="6326313F"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59" w:history="1">
            <w:r w:rsidR="00061C72" w:rsidRPr="00845E86">
              <w:rPr>
                <w:rStyle w:val="Hyperlink"/>
                <w:noProof/>
              </w:rPr>
              <w:t>1.1.3 Epidemiology/Prevalence</w:t>
            </w:r>
            <w:r w:rsidR="00061C72">
              <w:rPr>
                <w:noProof/>
                <w:webHidden/>
              </w:rPr>
              <w:tab/>
            </w:r>
            <w:r w:rsidR="00061C72">
              <w:rPr>
                <w:noProof/>
                <w:webHidden/>
              </w:rPr>
              <w:fldChar w:fldCharType="begin"/>
            </w:r>
            <w:r w:rsidR="00061C72">
              <w:rPr>
                <w:noProof/>
                <w:webHidden/>
              </w:rPr>
              <w:instrText xml:space="preserve"> PAGEREF _Toc137504659 \h </w:instrText>
            </w:r>
            <w:r w:rsidR="00061C72">
              <w:rPr>
                <w:noProof/>
                <w:webHidden/>
              </w:rPr>
            </w:r>
            <w:r w:rsidR="00061C72">
              <w:rPr>
                <w:noProof/>
                <w:webHidden/>
              </w:rPr>
              <w:fldChar w:fldCharType="separate"/>
            </w:r>
            <w:r w:rsidR="00061C72">
              <w:rPr>
                <w:noProof/>
                <w:webHidden/>
              </w:rPr>
              <w:t>18</w:t>
            </w:r>
            <w:r w:rsidR="00061C72">
              <w:rPr>
                <w:noProof/>
                <w:webHidden/>
              </w:rPr>
              <w:fldChar w:fldCharType="end"/>
            </w:r>
          </w:hyperlink>
        </w:p>
        <w:p w14:paraId="4D8D3E25" w14:textId="074FAE6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60" w:history="1">
            <w:r w:rsidR="00061C72" w:rsidRPr="00845E86">
              <w:rPr>
                <w:rStyle w:val="Hyperlink"/>
                <w:noProof/>
              </w:rPr>
              <w:t>1.1.4 Aetiology/Pathophysiology</w:t>
            </w:r>
            <w:r w:rsidR="00061C72">
              <w:rPr>
                <w:noProof/>
                <w:webHidden/>
              </w:rPr>
              <w:tab/>
            </w:r>
            <w:r w:rsidR="00061C72">
              <w:rPr>
                <w:noProof/>
                <w:webHidden/>
              </w:rPr>
              <w:fldChar w:fldCharType="begin"/>
            </w:r>
            <w:r w:rsidR="00061C72">
              <w:rPr>
                <w:noProof/>
                <w:webHidden/>
              </w:rPr>
              <w:instrText xml:space="preserve"> PAGEREF _Toc137504660 \h </w:instrText>
            </w:r>
            <w:r w:rsidR="00061C72">
              <w:rPr>
                <w:noProof/>
                <w:webHidden/>
              </w:rPr>
            </w:r>
            <w:r w:rsidR="00061C72">
              <w:rPr>
                <w:noProof/>
                <w:webHidden/>
              </w:rPr>
              <w:fldChar w:fldCharType="separate"/>
            </w:r>
            <w:r w:rsidR="00061C72">
              <w:rPr>
                <w:noProof/>
                <w:webHidden/>
              </w:rPr>
              <w:t>20</w:t>
            </w:r>
            <w:r w:rsidR="00061C72">
              <w:rPr>
                <w:noProof/>
                <w:webHidden/>
              </w:rPr>
              <w:fldChar w:fldCharType="end"/>
            </w:r>
          </w:hyperlink>
        </w:p>
        <w:p w14:paraId="3E95E2E4" w14:textId="3FC0553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61" w:history="1">
            <w:r w:rsidR="00061C72" w:rsidRPr="00845E86">
              <w:rPr>
                <w:rStyle w:val="Hyperlink"/>
                <w:noProof/>
              </w:rPr>
              <w:t>1.1.5 Symptoms/Presentations/Semiology/Phenomenology</w:t>
            </w:r>
            <w:r w:rsidR="00061C72">
              <w:rPr>
                <w:noProof/>
                <w:webHidden/>
              </w:rPr>
              <w:tab/>
            </w:r>
            <w:r w:rsidR="00061C72">
              <w:rPr>
                <w:noProof/>
                <w:webHidden/>
              </w:rPr>
              <w:fldChar w:fldCharType="begin"/>
            </w:r>
            <w:r w:rsidR="00061C72">
              <w:rPr>
                <w:noProof/>
                <w:webHidden/>
              </w:rPr>
              <w:instrText xml:space="preserve"> PAGEREF _Toc137504661 \h </w:instrText>
            </w:r>
            <w:r w:rsidR="00061C72">
              <w:rPr>
                <w:noProof/>
                <w:webHidden/>
              </w:rPr>
            </w:r>
            <w:r w:rsidR="00061C72">
              <w:rPr>
                <w:noProof/>
                <w:webHidden/>
              </w:rPr>
              <w:fldChar w:fldCharType="separate"/>
            </w:r>
            <w:r w:rsidR="00061C72">
              <w:rPr>
                <w:noProof/>
                <w:webHidden/>
              </w:rPr>
              <w:t>22</w:t>
            </w:r>
            <w:r w:rsidR="00061C72">
              <w:rPr>
                <w:noProof/>
                <w:webHidden/>
              </w:rPr>
              <w:fldChar w:fldCharType="end"/>
            </w:r>
          </w:hyperlink>
        </w:p>
        <w:p w14:paraId="172E0951" w14:textId="7294400D"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62" w:history="1">
            <w:r w:rsidR="00061C72" w:rsidRPr="00845E86">
              <w:rPr>
                <w:rStyle w:val="Hyperlink"/>
                <w:noProof/>
              </w:rPr>
              <w:t>1.1.6 Diagnosis</w:t>
            </w:r>
            <w:r w:rsidR="00061C72">
              <w:rPr>
                <w:noProof/>
                <w:webHidden/>
              </w:rPr>
              <w:tab/>
            </w:r>
            <w:r w:rsidR="00061C72">
              <w:rPr>
                <w:noProof/>
                <w:webHidden/>
              </w:rPr>
              <w:fldChar w:fldCharType="begin"/>
            </w:r>
            <w:r w:rsidR="00061C72">
              <w:rPr>
                <w:noProof/>
                <w:webHidden/>
              </w:rPr>
              <w:instrText xml:space="preserve"> PAGEREF _Toc137504662 \h </w:instrText>
            </w:r>
            <w:r w:rsidR="00061C72">
              <w:rPr>
                <w:noProof/>
                <w:webHidden/>
              </w:rPr>
            </w:r>
            <w:r w:rsidR="00061C72">
              <w:rPr>
                <w:noProof/>
                <w:webHidden/>
              </w:rPr>
              <w:fldChar w:fldCharType="separate"/>
            </w:r>
            <w:r w:rsidR="00061C72">
              <w:rPr>
                <w:noProof/>
                <w:webHidden/>
              </w:rPr>
              <w:t>23</w:t>
            </w:r>
            <w:r w:rsidR="00061C72">
              <w:rPr>
                <w:noProof/>
                <w:webHidden/>
              </w:rPr>
              <w:fldChar w:fldCharType="end"/>
            </w:r>
          </w:hyperlink>
        </w:p>
        <w:p w14:paraId="5C281CA6" w14:textId="394601BD"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63" w:history="1">
            <w:r w:rsidR="00061C72" w:rsidRPr="00845E86">
              <w:rPr>
                <w:rStyle w:val="Hyperlink"/>
                <w:noProof/>
              </w:rPr>
              <w:t>1.1.7 Treatment</w:t>
            </w:r>
            <w:r w:rsidR="00061C72">
              <w:rPr>
                <w:noProof/>
                <w:webHidden/>
              </w:rPr>
              <w:tab/>
            </w:r>
            <w:r w:rsidR="00061C72">
              <w:rPr>
                <w:noProof/>
                <w:webHidden/>
              </w:rPr>
              <w:fldChar w:fldCharType="begin"/>
            </w:r>
            <w:r w:rsidR="00061C72">
              <w:rPr>
                <w:noProof/>
                <w:webHidden/>
              </w:rPr>
              <w:instrText xml:space="preserve"> PAGEREF _Toc137504663 \h </w:instrText>
            </w:r>
            <w:r w:rsidR="00061C72">
              <w:rPr>
                <w:noProof/>
                <w:webHidden/>
              </w:rPr>
            </w:r>
            <w:r w:rsidR="00061C72">
              <w:rPr>
                <w:noProof/>
                <w:webHidden/>
              </w:rPr>
              <w:fldChar w:fldCharType="separate"/>
            </w:r>
            <w:r w:rsidR="00061C72">
              <w:rPr>
                <w:noProof/>
                <w:webHidden/>
              </w:rPr>
              <w:t>24</w:t>
            </w:r>
            <w:r w:rsidR="00061C72">
              <w:rPr>
                <w:noProof/>
                <w:webHidden/>
              </w:rPr>
              <w:fldChar w:fldCharType="end"/>
            </w:r>
          </w:hyperlink>
        </w:p>
        <w:p w14:paraId="09DFFD4D" w14:textId="7681B596"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64" w:history="1">
            <w:r w:rsidR="00061C72" w:rsidRPr="00845E86">
              <w:rPr>
                <w:rStyle w:val="Hyperlink"/>
                <w:noProof/>
              </w:rPr>
              <w:t>1.2 Outcome Measurement in FNSD</w:t>
            </w:r>
            <w:r w:rsidR="00061C72">
              <w:rPr>
                <w:noProof/>
                <w:webHidden/>
              </w:rPr>
              <w:tab/>
            </w:r>
            <w:r w:rsidR="00061C72">
              <w:rPr>
                <w:noProof/>
                <w:webHidden/>
              </w:rPr>
              <w:fldChar w:fldCharType="begin"/>
            </w:r>
            <w:r w:rsidR="00061C72">
              <w:rPr>
                <w:noProof/>
                <w:webHidden/>
              </w:rPr>
              <w:instrText xml:space="preserve"> PAGEREF _Toc137504664 \h </w:instrText>
            </w:r>
            <w:r w:rsidR="00061C72">
              <w:rPr>
                <w:noProof/>
                <w:webHidden/>
              </w:rPr>
            </w:r>
            <w:r w:rsidR="00061C72">
              <w:rPr>
                <w:noProof/>
                <w:webHidden/>
              </w:rPr>
              <w:fldChar w:fldCharType="separate"/>
            </w:r>
            <w:r w:rsidR="00061C72">
              <w:rPr>
                <w:noProof/>
                <w:webHidden/>
              </w:rPr>
              <w:t>26</w:t>
            </w:r>
            <w:r w:rsidR="00061C72">
              <w:rPr>
                <w:noProof/>
                <w:webHidden/>
              </w:rPr>
              <w:fldChar w:fldCharType="end"/>
            </w:r>
          </w:hyperlink>
        </w:p>
        <w:p w14:paraId="71052326" w14:textId="3FBA4A71"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65" w:history="1">
            <w:r w:rsidR="00061C72" w:rsidRPr="00845E86">
              <w:rPr>
                <w:rStyle w:val="Hyperlink"/>
                <w:noProof/>
              </w:rPr>
              <w:t>1.3 Importance and Purpose of the Study</w:t>
            </w:r>
            <w:r w:rsidR="00061C72">
              <w:rPr>
                <w:noProof/>
                <w:webHidden/>
              </w:rPr>
              <w:tab/>
            </w:r>
            <w:r w:rsidR="00061C72">
              <w:rPr>
                <w:noProof/>
                <w:webHidden/>
              </w:rPr>
              <w:fldChar w:fldCharType="begin"/>
            </w:r>
            <w:r w:rsidR="00061C72">
              <w:rPr>
                <w:noProof/>
                <w:webHidden/>
              </w:rPr>
              <w:instrText xml:space="preserve"> PAGEREF _Toc137504665 \h </w:instrText>
            </w:r>
            <w:r w:rsidR="00061C72">
              <w:rPr>
                <w:noProof/>
                <w:webHidden/>
              </w:rPr>
            </w:r>
            <w:r w:rsidR="00061C72">
              <w:rPr>
                <w:noProof/>
                <w:webHidden/>
              </w:rPr>
              <w:fldChar w:fldCharType="separate"/>
            </w:r>
            <w:r w:rsidR="00061C72">
              <w:rPr>
                <w:noProof/>
                <w:webHidden/>
              </w:rPr>
              <w:t>28</w:t>
            </w:r>
            <w:r w:rsidR="00061C72">
              <w:rPr>
                <w:noProof/>
                <w:webHidden/>
              </w:rPr>
              <w:fldChar w:fldCharType="end"/>
            </w:r>
          </w:hyperlink>
        </w:p>
        <w:p w14:paraId="6D226123" w14:textId="12D6198C"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66" w:history="1">
            <w:r w:rsidR="00061C72" w:rsidRPr="00845E86">
              <w:rPr>
                <w:rStyle w:val="Hyperlink"/>
                <w:noProof/>
              </w:rPr>
              <w:t>1.4 Research Study</w:t>
            </w:r>
            <w:r w:rsidR="00061C72">
              <w:rPr>
                <w:noProof/>
                <w:webHidden/>
              </w:rPr>
              <w:tab/>
            </w:r>
            <w:r w:rsidR="00061C72">
              <w:rPr>
                <w:noProof/>
                <w:webHidden/>
              </w:rPr>
              <w:fldChar w:fldCharType="begin"/>
            </w:r>
            <w:r w:rsidR="00061C72">
              <w:rPr>
                <w:noProof/>
                <w:webHidden/>
              </w:rPr>
              <w:instrText xml:space="preserve"> PAGEREF _Toc137504666 \h </w:instrText>
            </w:r>
            <w:r w:rsidR="00061C72">
              <w:rPr>
                <w:noProof/>
                <w:webHidden/>
              </w:rPr>
            </w:r>
            <w:r w:rsidR="00061C72">
              <w:rPr>
                <w:noProof/>
                <w:webHidden/>
              </w:rPr>
              <w:fldChar w:fldCharType="separate"/>
            </w:r>
            <w:r w:rsidR="00061C72">
              <w:rPr>
                <w:noProof/>
                <w:webHidden/>
              </w:rPr>
              <w:t>30</w:t>
            </w:r>
            <w:r w:rsidR="00061C72">
              <w:rPr>
                <w:noProof/>
                <w:webHidden/>
              </w:rPr>
              <w:fldChar w:fldCharType="end"/>
            </w:r>
          </w:hyperlink>
        </w:p>
        <w:p w14:paraId="5AF57120" w14:textId="01C94EA3"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67" w:history="1">
            <w:r w:rsidR="00061C72" w:rsidRPr="00845E86">
              <w:rPr>
                <w:rStyle w:val="Hyperlink"/>
                <w:noProof/>
              </w:rPr>
              <w:t>1.4.1 Patient Self-report</w:t>
            </w:r>
            <w:r w:rsidR="00061C72">
              <w:rPr>
                <w:noProof/>
                <w:webHidden/>
              </w:rPr>
              <w:tab/>
            </w:r>
            <w:r w:rsidR="00061C72">
              <w:rPr>
                <w:noProof/>
                <w:webHidden/>
              </w:rPr>
              <w:fldChar w:fldCharType="begin"/>
            </w:r>
            <w:r w:rsidR="00061C72">
              <w:rPr>
                <w:noProof/>
                <w:webHidden/>
              </w:rPr>
              <w:instrText xml:space="preserve"> PAGEREF _Toc137504667 \h </w:instrText>
            </w:r>
            <w:r w:rsidR="00061C72">
              <w:rPr>
                <w:noProof/>
                <w:webHidden/>
              </w:rPr>
            </w:r>
            <w:r w:rsidR="00061C72">
              <w:rPr>
                <w:noProof/>
                <w:webHidden/>
              </w:rPr>
              <w:fldChar w:fldCharType="separate"/>
            </w:r>
            <w:r w:rsidR="00061C72">
              <w:rPr>
                <w:noProof/>
                <w:webHidden/>
              </w:rPr>
              <w:t>30</w:t>
            </w:r>
            <w:r w:rsidR="00061C72">
              <w:rPr>
                <w:noProof/>
                <w:webHidden/>
              </w:rPr>
              <w:fldChar w:fldCharType="end"/>
            </w:r>
          </w:hyperlink>
        </w:p>
        <w:p w14:paraId="1501CABE" w14:textId="4F09DEF8"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68" w:history="1">
            <w:r w:rsidR="00061C72" w:rsidRPr="00845E86">
              <w:rPr>
                <w:rStyle w:val="Hyperlink"/>
                <w:noProof/>
              </w:rPr>
              <w:t>1.4.2 Emergency Service Utilisation</w:t>
            </w:r>
            <w:r w:rsidR="00061C72">
              <w:rPr>
                <w:noProof/>
                <w:webHidden/>
              </w:rPr>
              <w:tab/>
            </w:r>
            <w:r w:rsidR="00061C72">
              <w:rPr>
                <w:noProof/>
                <w:webHidden/>
              </w:rPr>
              <w:fldChar w:fldCharType="begin"/>
            </w:r>
            <w:r w:rsidR="00061C72">
              <w:rPr>
                <w:noProof/>
                <w:webHidden/>
              </w:rPr>
              <w:instrText xml:space="preserve"> PAGEREF _Toc137504668 \h </w:instrText>
            </w:r>
            <w:r w:rsidR="00061C72">
              <w:rPr>
                <w:noProof/>
                <w:webHidden/>
              </w:rPr>
            </w:r>
            <w:r w:rsidR="00061C72">
              <w:rPr>
                <w:noProof/>
                <w:webHidden/>
              </w:rPr>
              <w:fldChar w:fldCharType="separate"/>
            </w:r>
            <w:r w:rsidR="00061C72">
              <w:rPr>
                <w:noProof/>
                <w:webHidden/>
              </w:rPr>
              <w:t>32</w:t>
            </w:r>
            <w:r w:rsidR="00061C72">
              <w:rPr>
                <w:noProof/>
                <w:webHidden/>
              </w:rPr>
              <w:fldChar w:fldCharType="end"/>
            </w:r>
          </w:hyperlink>
        </w:p>
        <w:p w14:paraId="00CBA701" w14:textId="32A8A458"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69" w:history="1">
            <w:r w:rsidR="00061C72" w:rsidRPr="00845E86">
              <w:rPr>
                <w:rStyle w:val="Hyperlink"/>
                <w:noProof/>
              </w:rPr>
              <w:t>1.4.3 Affective Cognition</w:t>
            </w:r>
            <w:r w:rsidR="00061C72">
              <w:rPr>
                <w:noProof/>
                <w:webHidden/>
              </w:rPr>
              <w:tab/>
            </w:r>
            <w:r w:rsidR="00061C72">
              <w:rPr>
                <w:noProof/>
                <w:webHidden/>
              </w:rPr>
              <w:fldChar w:fldCharType="begin"/>
            </w:r>
            <w:r w:rsidR="00061C72">
              <w:rPr>
                <w:noProof/>
                <w:webHidden/>
              </w:rPr>
              <w:instrText xml:space="preserve"> PAGEREF _Toc137504669 \h </w:instrText>
            </w:r>
            <w:r w:rsidR="00061C72">
              <w:rPr>
                <w:noProof/>
                <w:webHidden/>
              </w:rPr>
            </w:r>
            <w:r w:rsidR="00061C72">
              <w:rPr>
                <w:noProof/>
                <w:webHidden/>
              </w:rPr>
              <w:fldChar w:fldCharType="separate"/>
            </w:r>
            <w:r w:rsidR="00061C72">
              <w:rPr>
                <w:noProof/>
                <w:webHidden/>
              </w:rPr>
              <w:t>33</w:t>
            </w:r>
            <w:r w:rsidR="00061C72">
              <w:rPr>
                <w:noProof/>
                <w:webHidden/>
              </w:rPr>
              <w:fldChar w:fldCharType="end"/>
            </w:r>
          </w:hyperlink>
        </w:p>
        <w:p w14:paraId="1FD28BE2" w14:textId="0E74796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70" w:history="1">
            <w:r w:rsidR="00061C72" w:rsidRPr="00845E86">
              <w:rPr>
                <w:rStyle w:val="Hyperlink"/>
                <w:noProof/>
              </w:rPr>
              <w:t>1.4.4 Research objective</w:t>
            </w:r>
            <w:r w:rsidR="00061C72">
              <w:rPr>
                <w:noProof/>
                <w:webHidden/>
              </w:rPr>
              <w:tab/>
            </w:r>
            <w:r w:rsidR="00061C72">
              <w:rPr>
                <w:noProof/>
                <w:webHidden/>
              </w:rPr>
              <w:fldChar w:fldCharType="begin"/>
            </w:r>
            <w:r w:rsidR="00061C72">
              <w:rPr>
                <w:noProof/>
                <w:webHidden/>
              </w:rPr>
              <w:instrText xml:space="preserve"> PAGEREF _Toc137504670 \h </w:instrText>
            </w:r>
            <w:r w:rsidR="00061C72">
              <w:rPr>
                <w:noProof/>
                <w:webHidden/>
              </w:rPr>
            </w:r>
            <w:r w:rsidR="00061C72">
              <w:rPr>
                <w:noProof/>
                <w:webHidden/>
              </w:rPr>
              <w:fldChar w:fldCharType="separate"/>
            </w:r>
            <w:r w:rsidR="00061C72">
              <w:rPr>
                <w:noProof/>
                <w:webHidden/>
              </w:rPr>
              <w:t>34</w:t>
            </w:r>
            <w:r w:rsidR="00061C72">
              <w:rPr>
                <w:noProof/>
                <w:webHidden/>
              </w:rPr>
              <w:fldChar w:fldCharType="end"/>
            </w:r>
          </w:hyperlink>
        </w:p>
        <w:p w14:paraId="6B4D319F" w14:textId="7ACAF99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71" w:history="1">
            <w:r w:rsidR="00061C72" w:rsidRPr="00845E86">
              <w:rPr>
                <w:rStyle w:val="Hyperlink"/>
                <w:noProof/>
              </w:rPr>
              <w:t>1.4.5 Research Questions</w:t>
            </w:r>
            <w:r w:rsidR="00061C72">
              <w:rPr>
                <w:noProof/>
                <w:webHidden/>
              </w:rPr>
              <w:tab/>
            </w:r>
            <w:r w:rsidR="00061C72">
              <w:rPr>
                <w:noProof/>
                <w:webHidden/>
              </w:rPr>
              <w:fldChar w:fldCharType="begin"/>
            </w:r>
            <w:r w:rsidR="00061C72">
              <w:rPr>
                <w:noProof/>
                <w:webHidden/>
              </w:rPr>
              <w:instrText xml:space="preserve"> PAGEREF _Toc137504671 \h </w:instrText>
            </w:r>
            <w:r w:rsidR="00061C72">
              <w:rPr>
                <w:noProof/>
                <w:webHidden/>
              </w:rPr>
            </w:r>
            <w:r w:rsidR="00061C72">
              <w:rPr>
                <w:noProof/>
                <w:webHidden/>
              </w:rPr>
              <w:fldChar w:fldCharType="separate"/>
            </w:r>
            <w:r w:rsidR="00061C72">
              <w:rPr>
                <w:noProof/>
                <w:webHidden/>
              </w:rPr>
              <w:t>35</w:t>
            </w:r>
            <w:r w:rsidR="00061C72">
              <w:rPr>
                <w:noProof/>
                <w:webHidden/>
              </w:rPr>
              <w:fldChar w:fldCharType="end"/>
            </w:r>
          </w:hyperlink>
        </w:p>
        <w:p w14:paraId="0B7581E9" w14:textId="58AAB8A9"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72" w:history="1">
            <w:r w:rsidR="00061C72" w:rsidRPr="00845E86">
              <w:rPr>
                <w:rStyle w:val="Hyperlink"/>
                <w:noProof/>
              </w:rPr>
              <w:t>1.5 Thesis</w:t>
            </w:r>
            <w:r w:rsidR="00061C72">
              <w:rPr>
                <w:noProof/>
                <w:webHidden/>
              </w:rPr>
              <w:tab/>
            </w:r>
            <w:r w:rsidR="00061C72">
              <w:rPr>
                <w:noProof/>
                <w:webHidden/>
              </w:rPr>
              <w:fldChar w:fldCharType="begin"/>
            </w:r>
            <w:r w:rsidR="00061C72">
              <w:rPr>
                <w:noProof/>
                <w:webHidden/>
              </w:rPr>
              <w:instrText xml:space="preserve"> PAGEREF _Toc137504672 \h </w:instrText>
            </w:r>
            <w:r w:rsidR="00061C72">
              <w:rPr>
                <w:noProof/>
                <w:webHidden/>
              </w:rPr>
            </w:r>
            <w:r w:rsidR="00061C72">
              <w:rPr>
                <w:noProof/>
                <w:webHidden/>
              </w:rPr>
              <w:fldChar w:fldCharType="separate"/>
            </w:r>
            <w:r w:rsidR="00061C72">
              <w:rPr>
                <w:noProof/>
                <w:webHidden/>
              </w:rPr>
              <w:t>35</w:t>
            </w:r>
            <w:r w:rsidR="00061C72">
              <w:rPr>
                <w:noProof/>
                <w:webHidden/>
              </w:rPr>
              <w:fldChar w:fldCharType="end"/>
            </w:r>
          </w:hyperlink>
        </w:p>
        <w:p w14:paraId="36057B1F" w14:textId="0C6A4B0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73" w:history="1">
            <w:r w:rsidR="00061C72" w:rsidRPr="00845E86">
              <w:rPr>
                <w:rStyle w:val="Hyperlink"/>
                <w:noProof/>
              </w:rPr>
              <w:t>1.5.1 Thesis Aim</w:t>
            </w:r>
            <w:r w:rsidR="00061C72">
              <w:rPr>
                <w:noProof/>
                <w:webHidden/>
              </w:rPr>
              <w:tab/>
            </w:r>
            <w:r w:rsidR="00061C72">
              <w:rPr>
                <w:noProof/>
                <w:webHidden/>
              </w:rPr>
              <w:fldChar w:fldCharType="begin"/>
            </w:r>
            <w:r w:rsidR="00061C72">
              <w:rPr>
                <w:noProof/>
                <w:webHidden/>
              </w:rPr>
              <w:instrText xml:space="preserve"> PAGEREF _Toc137504673 \h </w:instrText>
            </w:r>
            <w:r w:rsidR="00061C72">
              <w:rPr>
                <w:noProof/>
                <w:webHidden/>
              </w:rPr>
            </w:r>
            <w:r w:rsidR="00061C72">
              <w:rPr>
                <w:noProof/>
                <w:webHidden/>
              </w:rPr>
              <w:fldChar w:fldCharType="separate"/>
            </w:r>
            <w:r w:rsidR="00061C72">
              <w:rPr>
                <w:noProof/>
                <w:webHidden/>
              </w:rPr>
              <w:t>35</w:t>
            </w:r>
            <w:r w:rsidR="00061C72">
              <w:rPr>
                <w:noProof/>
                <w:webHidden/>
              </w:rPr>
              <w:fldChar w:fldCharType="end"/>
            </w:r>
          </w:hyperlink>
        </w:p>
        <w:p w14:paraId="0B5125F0" w14:textId="775379EA"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74" w:history="1">
            <w:r w:rsidR="00061C72" w:rsidRPr="00845E86">
              <w:rPr>
                <w:rStyle w:val="Hyperlink"/>
                <w:noProof/>
              </w:rPr>
              <w:t>2.0 Subjective versus Objective measures of distress, arousal and symptom burden in patients with Functional seizures and other manifestations of Functional Neurological Symptom Disorder: A Systematic Review.</w:t>
            </w:r>
            <w:r w:rsidR="00061C72">
              <w:rPr>
                <w:noProof/>
                <w:webHidden/>
              </w:rPr>
              <w:tab/>
            </w:r>
            <w:r w:rsidR="00061C72">
              <w:rPr>
                <w:noProof/>
                <w:webHidden/>
              </w:rPr>
              <w:fldChar w:fldCharType="begin"/>
            </w:r>
            <w:r w:rsidR="00061C72">
              <w:rPr>
                <w:noProof/>
                <w:webHidden/>
              </w:rPr>
              <w:instrText xml:space="preserve"> PAGEREF _Toc137504674 \h </w:instrText>
            </w:r>
            <w:r w:rsidR="00061C72">
              <w:rPr>
                <w:noProof/>
                <w:webHidden/>
              </w:rPr>
            </w:r>
            <w:r w:rsidR="00061C72">
              <w:rPr>
                <w:noProof/>
                <w:webHidden/>
              </w:rPr>
              <w:fldChar w:fldCharType="separate"/>
            </w:r>
            <w:r w:rsidR="00061C72">
              <w:rPr>
                <w:noProof/>
                <w:webHidden/>
              </w:rPr>
              <w:t>36</w:t>
            </w:r>
            <w:r w:rsidR="00061C72">
              <w:rPr>
                <w:noProof/>
                <w:webHidden/>
              </w:rPr>
              <w:fldChar w:fldCharType="end"/>
            </w:r>
          </w:hyperlink>
        </w:p>
        <w:p w14:paraId="43291B37" w14:textId="592083A2"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75" w:history="1">
            <w:r w:rsidR="00061C72" w:rsidRPr="00845E86">
              <w:rPr>
                <w:rStyle w:val="Hyperlink"/>
                <w:noProof/>
              </w:rPr>
              <w:t>2.1 Introduction</w:t>
            </w:r>
            <w:r w:rsidR="00061C72">
              <w:rPr>
                <w:noProof/>
                <w:webHidden/>
              </w:rPr>
              <w:tab/>
            </w:r>
            <w:r w:rsidR="00061C72">
              <w:rPr>
                <w:noProof/>
                <w:webHidden/>
              </w:rPr>
              <w:fldChar w:fldCharType="begin"/>
            </w:r>
            <w:r w:rsidR="00061C72">
              <w:rPr>
                <w:noProof/>
                <w:webHidden/>
              </w:rPr>
              <w:instrText xml:space="preserve"> PAGEREF _Toc137504675 \h </w:instrText>
            </w:r>
            <w:r w:rsidR="00061C72">
              <w:rPr>
                <w:noProof/>
                <w:webHidden/>
              </w:rPr>
            </w:r>
            <w:r w:rsidR="00061C72">
              <w:rPr>
                <w:noProof/>
                <w:webHidden/>
              </w:rPr>
              <w:fldChar w:fldCharType="separate"/>
            </w:r>
            <w:r w:rsidR="00061C72">
              <w:rPr>
                <w:noProof/>
                <w:webHidden/>
              </w:rPr>
              <w:t>36</w:t>
            </w:r>
            <w:r w:rsidR="00061C72">
              <w:rPr>
                <w:noProof/>
                <w:webHidden/>
              </w:rPr>
              <w:fldChar w:fldCharType="end"/>
            </w:r>
          </w:hyperlink>
        </w:p>
        <w:p w14:paraId="1B05DB35" w14:textId="41D0A953"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76" w:history="1">
            <w:r w:rsidR="00061C72" w:rsidRPr="00845E86">
              <w:rPr>
                <w:rStyle w:val="Hyperlink"/>
                <w:noProof/>
              </w:rPr>
              <w:t>2.2 Subjective and objective measures in FNSD</w:t>
            </w:r>
            <w:r w:rsidR="00061C72">
              <w:rPr>
                <w:noProof/>
                <w:webHidden/>
              </w:rPr>
              <w:tab/>
            </w:r>
            <w:r w:rsidR="00061C72">
              <w:rPr>
                <w:noProof/>
                <w:webHidden/>
              </w:rPr>
              <w:fldChar w:fldCharType="begin"/>
            </w:r>
            <w:r w:rsidR="00061C72">
              <w:rPr>
                <w:noProof/>
                <w:webHidden/>
              </w:rPr>
              <w:instrText xml:space="preserve"> PAGEREF _Toc137504676 \h </w:instrText>
            </w:r>
            <w:r w:rsidR="00061C72">
              <w:rPr>
                <w:noProof/>
                <w:webHidden/>
              </w:rPr>
            </w:r>
            <w:r w:rsidR="00061C72">
              <w:rPr>
                <w:noProof/>
                <w:webHidden/>
              </w:rPr>
              <w:fldChar w:fldCharType="separate"/>
            </w:r>
            <w:r w:rsidR="00061C72">
              <w:rPr>
                <w:noProof/>
                <w:webHidden/>
              </w:rPr>
              <w:t>36</w:t>
            </w:r>
            <w:r w:rsidR="00061C72">
              <w:rPr>
                <w:noProof/>
                <w:webHidden/>
              </w:rPr>
              <w:fldChar w:fldCharType="end"/>
            </w:r>
          </w:hyperlink>
        </w:p>
        <w:p w14:paraId="4AB74C02" w14:textId="5BF1D6AB"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77" w:history="1">
            <w:r w:rsidR="00061C72" w:rsidRPr="00845E86">
              <w:rPr>
                <w:rStyle w:val="Hyperlink"/>
                <w:rFonts w:eastAsia="Arial"/>
                <w:noProof/>
              </w:rPr>
              <w:t>2.3 Methods</w:t>
            </w:r>
            <w:r w:rsidR="00061C72">
              <w:rPr>
                <w:noProof/>
                <w:webHidden/>
              </w:rPr>
              <w:tab/>
            </w:r>
            <w:r w:rsidR="00061C72">
              <w:rPr>
                <w:noProof/>
                <w:webHidden/>
              </w:rPr>
              <w:fldChar w:fldCharType="begin"/>
            </w:r>
            <w:r w:rsidR="00061C72">
              <w:rPr>
                <w:noProof/>
                <w:webHidden/>
              </w:rPr>
              <w:instrText xml:space="preserve"> PAGEREF _Toc137504677 \h </w:instrText>
            </w:r>
            <w:r w:rsidR="00061C72">
              <w:rPr>
                <w:noProof/>
                <w:webHidden/>
              </w:rPr>
            </w:r>
            <w:r w:rsidR="00061C72">
              <w:rPr>
                <w:noProof/>
                <w:webHidden/>
              </w:rPr>
              <w:fldChar w:fldCharType="separate"/>
            </w:r>
            <w:r w:rsidR="00061C72">
              <w:rPr>
                <w:noProof/>
                <w:webHidden/>
              </w:rPr>
              <w:t>38</w:t>
            </w:r>
            <w:r w:rsidR="00061C72">
              <w:rPr>
                <w:noProof/>
                <w:webHidden/>
              </w:rPr>
              <w:fldChar w:fldCharType="end"/>
            </w:r>
          </w:hyperlink>
        </w:p>
        <w:p w14:paraId="74EBB4B3" w14:textId="75AA559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78" w:history="1">
            <w:r w:rsidR="00061C72" w:rsidRPr="00845E86">
              <w:rPr>
                <w:rStyle w:val="Hyperlink"/>
                <w:rFonts w:eastAsia="Arial"/>
                <w:noProof/>
              </w:rPr>
              <w:t>2.3.1 Literature search</w:t>
            </w:r>
            <w:r w:rsidR="00061C72">
              <w:rPr>
                <w:noProof/>
                <w:webHidden/>
              </w:rPr>
              <w:tab/>
            </w:r>
            <w:r w:rsidR="00061C72">
              <w:rPr>
                <w:noProof/>
                <w:webHidden/>
              </w:rPr>
              <w:fldChar w:fldCharType="begin"/>
            </w:r>
            <w:r w:rsidR="00061C72">
              <w:rPr>
                <w:noProof/>
                <w:webHidden/>
              </w:rPr>
              <w:instrText xml:space="preserve"> PAGEREF _Toc137504678 \h </w:instrText>
            </w:r>
            <w:r w:rsidR="00061C72">
              <w:rPr>
                <w:noProof/>
                <w:webHidden/>
              </w:rPr>
            </w:r>
            <w:r w:rsidR="00061C72">
              <w:rPr>
                <w:noProof/>
                <w:webHidden/>
              </w:rPr>
              <w:fldChar w:fldCharType="separate"/>
            </w:r>
            <w:r w:rsidR="00061C72">
              <w:rPr>
                <w:noProof/>
                <w:webHidden/>
              </w:rPr>
              <w:t>38</w:t>
            </w:r>
            <w:r w:rsidR="00061C72">
              <w:rPr>
                <w:noProof/>
                <w:webHidden/>
              </w:rPr>
              <w:fldChar w:fldCharType="end"/>
            </w:r>
          </w:hyperlink>
        </w:p>
        <w:p w14:paraId="11803E47" w14:textId="14CE68B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79" w:history="1">
            <w:r w:rsidR="00061C72" w:rsidRPr="00845E86">
              <w:rPr>
                <w:rStyle w:val="Hyperlink"/>
                <w:rFonts w:eastAsia="Arial"/>
                <w:noProof/>
              </w:rPr>
              <w:t>2.3.2 Study Selection</w:t>
            </w:r>
            <w:r w:rsidR="00061C72">
              <w:rPr>
                <w:noProof/>
                <w:webHidden/>
              </w:rPr>
              <w:tab/>
            </w:r>
            <w:r w:rsidR="00061C72">
              <w:rPr>
                <w:noProof/>
                <w:webHidden/>
              </w:rPr>
              <w:fldChar w:fldCharType="begin"/>
            </w:r>
            <w:r w:rsidR="00061C72">
              <w:rPr>
                <w:noProof/>
                <w:webHidden/>
              </w:rPr>
              <w:instrText xml:space="preserve"> PAGEREF _Toc137504679 \h </w:instrText>
            </w:r>
            <w:r w:rsidR="00061C72">
              <w:rPr>
                <w:noProof/>
                <w:webHidden/>
              </w:rPr>
            </w:r>
            <w:r w:rsidR="00061C72">
              <w:rPr>
                <w:noProof/>
                <w:webHidden/>
              </w:rPr>
              <w:fldChar w:fldCharType="separate"/>
            </w:r>
            <w:r w:rsidR="00061C72">
              <w:rPr>
                <w:noProof/>
                <w:webHidden/>
              </w:rPr>
              <w:t>39</w:t>
            </w:r>
            <w:r w:rsidR="00061C72">
              <w:rPr>
                <w:noProof/>
                <w:webHidden/>
              </w:rPr>
              <w:fldChar w:fldCharType="end"/>
            </w:r>
          </w:hyperlink>
        </w:p>
        <w:p w14:paraId="7FE1D805" w14:textId="015BAFA9"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80" w:history="1">
            <w:r w:rsidR="00061C72" w:rsidRPr="00845E86">
              <w:rPr>
                <w:rStyle w:val="Hyperlink"/>
                <w:rFonts w:eastAsia="Arial"/>
                <w:noProof/>
              </w:rPr>
              <w:t>2.3.3 Data Extraction and Analysis</w:t>
            </w:r>
            <w:r w:rsidR="00061C72">
              <w:rPr>
                <w:noProof/>
                <w:webHidden/>
              </w:rPr>
              <w:tab/>
            </w:r>
            <w:r w:rsidR="00061C72">
              <w:rPr>
                <w:noProof/>
                <w:webHidden/>
              </w:rPr>
              <w:fldChar w:fldCharType="begin"/>
            </w:r>
            <w:r w:rsidR="00061C72">
              <w:rPr>
                <w:noProof/>
                <w:webHidden/>
              </w:rPr>
              <w:instrText xml:space="preserve"> PAGEREF _Toc137504680 \h </w:instrText>
            </w:r>
            <w:r w:rsidR="00061C72">
              <w:rPr>
                <w:noProof/>
                <w:webHidden/>
              </w:rPr>
            </w:r>
            <w:r w:rsidR="00061C72">
              <w:rPr>
                <w:noProof/>
                <w:webHidden/>
              </w:rPr>
              <w:fldChar w:fldCharType="separate"/>
            </w:r>
            <w:r w:rsidR="00061C72">
              <w:rPr>
                <w:noProof/>
                <w:webHidden/>
              </w:rPr>
              <w:t>40</w:t>
            </w:r>
            <w:r w:rsidR="00061C72">
              <w:rPr>
                <w:noProof/>
                <w:webHidden/>
              </w:rPr>
              <w:fldChar w:fldCharType="end"/>
            </w:r>
          </w:hyperlink>
        </w:p>
        <w:p w14:paraId="16293ACB" w14:textId="7613C219"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81" w:history="1">
            <w:r w:rsidR="00061C72" w:rsidRPr="00845E86">
              <w:rPr>
                <w:rStyle w:val="Hyperlink"/>
                <w:noProof/>
              </w:rPr>
              <w:t>2.4 Quality Assessment</w:t>
            </w:r>
            <w:r w:rsidR="00061C72">
              <w:rPr>
                <w:noProof/>
                <w:webHidden/>
              </w:rPr>
              <w:tab/>
            </w:r>
            <w:r w:rsidR="00061C72">
              <w:rPr>
                <w:noProof/>
                <w:webHidden/>
              </w:rPr>
              <w:fldChar w:fldCharType="begin"/>
            </w:r>
            <w:r w:rsidR="00061C72">
              <w:rPr>
                <w:noProof/>
                <w:webHidden/>
              </w:rPr>
              <w:instrText xml:space="preserve"> PAGEREF _Toc137504681 \h </w:instrText>
            </w:r>
            <w:r w:rsidR="00061C72">
              <w:rPr>
                <w:noProof/>
                <w:webHidden/>
              </w:rPr>
            </w:r>
            <w:r w:rsidR="00061C72">
              <w:rPr>
                <w:noProof/>
                <w:webHidden/>
              </w:rPr>
              <w:fldChar w:fldCharType="separate"/>
            </w:r>
            <w:r w:rsidR="00061C72">
              <w:rPr>
                <w:noProof/>
                <w:webHidden/>
              </w:rPr>
              <w:t>42</w:t>
            </w:r>
            <w:r w:rsidR="00061C72">
              <w:rPr>
                <w:noProof/>
                <w:webHidden/>
              </w:rPr>
              <w:fldChar w:fldCharType="end"/>
            </w:r>
          </w:hyperlink>
        </w:p>
        <w:p w14:paraId="46C144B4" w14:textId="1BFAE80C"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82" w:history="1">
            <w:r w:rsidR="00061C72" w:rsidRPr="00845E86">
              <w:rPr>
                <w:rStyle w:val="Hyperlink"/>
                <w:rFonts w:eastAsia="Arial"/>
                <w:noProof/>
              </w:rPr>
              <w:t>2.5 Results</w:t>
            </w:r>
            <w:r w:rsidR="00061C72">
              <w:rPr>
                <w:noProof/>
                <w:webHidden/>
              </w:rPr>
              <w:tab/>
            </w:r>
            <w:r w:rsidR="00061C72">
              <w:rPr>
                <w:noProof/>
                <w:webHidden/>
              </w:rPr>
              <w:fldChar w:fldCharType="begin"/>
            </w:r>
            <w:r w:rsidR="00061C72">
              <w:rPr>
                <w:noProof/>
                <w:webHidden/>
              </w:rPr>
              <w:instrText xml:space="preserve"> PAGEREF _Toc137504682 \h </w:instrText>
            </w:r>
            <w:r w:rsidR="00061C72">
              <w:rPr>
                <w:noProof/>
                <w:webHidden/>
              </w:rPr>
            </w:r>
            <w:r w:rsidR="00061C72">
              <w:rPr>
                <w:noProof/>
                <w:webHidden/>
              </w:rPr>
              <w:fldChar w:fldCharType="separate"/>
            </w:r>
            <w:r w:rsidR="00061C72">
              <w:rPr>
                <w:noProof/>
                <w:webHidden/>
              </w:rPr>
              <w:t>42</w:t>
            </w:r>
            <w:r w:rsidR="00061C72">
              <w:rPr>
                <w:noProof/>
                <w:webHidden/>
              </w:rPr>
              <w:fldChar w:fldCharType="end"/>
            </w:r>
          </w:hyperlink>
        </w:p>
        <w:p w14:paraId="7F7587C0" w14:textId="0A458221"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83" w:history="1">
            <w:r w:rsidR="00061C72" w:rsidRPr="00845E86">
              <w:rPr>
                <w:rStyle w:val="Hyperlink"/>
                <w:rFonts w:eastAsia="Arial"/>
                <w:noProof/>
              </w:rPr>
              <w:t>2.5.1 Included studies</w:t>
            </w:r>
            <w:r w:rsidR="00061C72">
              <w:rPr>
                <w:noProof/>
                <w:webHidden/>
              </w:rPr>
              <w:tab/>
            </w:r>
            <w:r w:rsidR="00061C72">
              <w:rPr>
                <w:noProof/>
                <w:webHidden/>
              </w:rPr>
              <w:fldChar w:fldCharType="begin"/>
            </w:r>
            <w:r w:rsidR="00061C72">
              <w:rPr>
                <w:noProof/>
                <w:webHidden/>
              </w:rPr>
              <w:instrText xml:space="preserve"> PAGEREF _Toc137504683 \h </w:instrText>
            </w:r>
            <w:r w:rsidR="00061C72">
              <w:rPr>
                <w:noProof/>
                <w:webHidden/>
              </w:rPr>
            </w:r>
            <w:r w:rsidR="00061C72">
              <w:rPr>
                <w:noProof/>
                <w:webHidden/>
              </w:rPr>
              <w:fldChar w:fldCharType="separate"/>
            </w:r>
            <w:r w:rsidR="00061C72">
              <w:rPr>
                <w:noProof/>
                <w:webHidden/>
              </w:rPr>
              <w:t>42</w:t>
            </w:r>
            <w:r w:rsidR="00061C72">
              <w:rPr>
                <w:noProof/>
                <w:webHidden/>
              </w:rPr>
              <w:fldChar w:fldCharType="end"/>
            </w:r>
          </w:hyperlink>
        </w:p>
        <w:p w14:paraId="5AE5D333" w14:textId="3E94805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84" w:history="1">
            <w:r w:rsidR="00061C72" w:rsidRPr="00845E86">
              <w:rPr>
                <w:rStyle w:val="Hyperlink"/>
                <w:rFonts w:eastAsia="Arial"/>
                <w:noProof/>
              </w:rPr>
              <w:t>2.5.2 Quality of studies</w:t>
            </w:r>
            <w:r w:rsidR="00061C72">
              <w:rPr>
                <w:noProof/>
                <w:webHidden/>
              </w:rPr>
              <w:tab/>
            </w:r>
            <w:r w:rsidR="00061C72">
              <w:rPr>
                <w:noProof/>
                <w:webHidden/>
              </w:rPr>
              <w:fldChar w:fldCharType="begin"/>
            </w:r>
            <w:r w:rsidR="00061C72">
              <w:rPr>
                <w:noProof/>
                <w:webHidden/>
              </w:rPr>
              <w:instrText xml:space="preserve"> PAGEREF _Toc137504684 \h </w:instrText>
            </w:r>
            <w:r w:rsidR="00061C72">
              <w:rPr>
                <w:noProof/>
                <w:webHidden/>
              </w:rPr>
            </w:r>
            <w:r w:rsidR="00061C72">
              <w:rPr>
                <w:noProof/>
                <w:webHidden/>
              </w:rPr>
              <w:fldChar w:fldCharType="separate"/>
            </w:r>
            <w:r w:rsidR="00061C72">
              <w:rPr>
                <w:noProof/>
                <w:webHidden/>
              </w:rPr>
              <w:t>42</w:t>
            </w:r>
            <w:r w:rsidR="00061C72">
              <w:rPr>
                <w:noProof/>
                <w:webHidden/>
              </w:rPr>
              <w:fldChar w:fldCharType="end"/>
            </w:r>
          </w:hyperlink>
        </w:p>
        <w:p w14:paraId="3DE42E82" w14:textId="50DB02A8"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85" w:history="1">
            <w:r w:rsidR="00061C72" w:rsidRPr="00845E86">
              <w:rPr>
                <w:rStyle w:val="Hyperlink"/>
                <w:rFonts w:eastAsia="Arial"/>
                <w:noProof/>
              </w:rPr>
              <w:t>2.5.3 Categorisation of Studies</w:t>
            </w:r>
            <w:r w:rsidR="00061C72">
              <w:rPr>
                <w:noProof/>
                <w:webHidden/>
              </w:rPr>
              <w:tab/>
            </w:r>
            <w:r w:rsidR="00061C72">
              <w:rPr>
                <w:noProof/>
                <w:webHidden/>
              </w:rPr>
              <w:fldChar w:fldCharType="begin"/>
            </w:r>
            <w:r w:rsidR="00061C72">
              <w:rPr>
                <w:noProof/>
                <w:webHidden/>
              </w:rPr>
              <w:instrText xml:space="preserve"> PAGEREF _Toc137504685 \h </w:instrText>
            </w:r>
            <w:r w:rsidR="00061C72">
              <w:rPr>
                <w:noProof/>
                <w:webHidden/>
              </w:rPr>
            </w:r>
            <w:r w:rsidR="00061C72">
              <w:rPr>
                <w:noProof/>
                <w:webHidden/>
              </w:rPr>
              <w:fldChar w:fldCharType="separate"/>
            </w:r>
            <w:r w:rsidR="00061C72">
              <w:rPr>
                <w:noProof/>
                <w:webHidden/>
              </w:rPr>
              <w:t>43</w:t>
            </w:r>
            <w:r w:rsidR="00061C72">
              <w:rPr>
                <w:noProof/>
                <w:webHidden/>
              </w:rPr>
              <w:fldChar w:fldCharType="end"/>
            </w:r>
          </w:hyperlink>
        </w:p>
        <w:p w14:paraId="75D9090A" w14:textId="4F4565F1"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86" w:history="1">
            <w:r w:rsidR="00061C72" w:rsidRPr="00845E86">
              <w:rPr>
                <w:rStyle w:val="Hyperlink"/>
                <w:rFonts w:eastAsia="Arial"/>
                <w:noProof/>
              </w:rPr>
              <w:t>2.5.4 Stress response</w:t>
            </w:r>
            <w:r w:rsidR="00061C72">
              <w:rPr>
                <w:noProof/>
                <w:webHidden/>
              </w:rPr>
              <w:tab/>
            </w:r>
            <w:r w:rsidR="00061C72">
              <w:rPr>
                <w:noProof/>
                <w:webHidden/>
              </w:rPr>
              <w:fldChar w:fldCharType="begin"/>
            </w:r>
            <w:r w:rsidR="00061C72">
              <w:rPr>
                <w:noProof/>
                <w:webHidden/>
              </w:rPr>
              <w:instrText xml:space="preserve"> PAGEREF _Toc137504686 \h </w:instrText>
            </w:r>
            <w:r w:rsidR="00061C72">
              <w:rPr>
                <w:noProof/>
                <w:webHidden/>
              </w:rPr>
            </w:r>
            <w:r w:rsidR="00061C72">
              <w:rPr>
                <w:noProof/>
                <w:webHidden/>
              </w:rPr>
              <w:fldChar w:fldCharType="separate"/>
            </w:r>
            <w:r w:rsidR="00061C72">
              <w:rPr>
                <w:noProof/>
                <w:webHidden/>
              </w:rPr>
              <w:t>43</w:t>
            </w:r>
            <w:r w:rsidR="00061C72">
              <w:rPr>
                <w:noProof/>
                <w:webHidden/>
              </w:rPr>
              <w:fldChar w:fldCharType="end"/>
            </w:r>
          </w:hyperlink>
        </w:p>
        <w:p w14:paraId="223CC057" w14:textId="63B77C9F"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87" w:history="1">
            <w:r w:rsidR="00061C72" w:rsidRPr="00845E86">
              <w:rPr>
                <w:rStyle w:val="Hyperlink"/>
                <w:rFonts w:eastAsia="Arial"/>
                <w:noProof/>
              </w:rPr>
              <w:t>2.5.5 Emotion processing</w:t>
            </w:r>
            <w:r w:rsidR="00061C72">
              <w:rPr>
                <w:noProof/>
                <w:webHidden/>
              </w:rPr>
              <w:tab/>
            </w:r>
            <w:r w:rsidR="00061C72">
              <w:rPr>
                <w:noProof/>
                <w:webHidden/>
              </w:rPr>
              <w:fldChar w:fldCharType="begin"/>
            </w:r>
            <w:r w:rsidR="00061C72">
              <w:rPr>
                <w:noProof/>
                <w:webHidden/>
              </w:rPr>
              <w:instrText xml:space="preserve"> PAGEREF _Toc137504687 \h </w:instrText>
            </w:r>
            <w:r w:rsidR="00061C72">
              <w:rPr>
                <w:noProof/>
                <w:webHidden/>
              </w:rPr>
            </w:r>
            <w:r w:rsidR="00061C72">
              <w:rPr>
                <w:noProof/>
                <w:webHidden/>
              </w:rPr>
              <w:fldChar w:fldCharType="separate"/>
            </w:r>
            <w:r w:rsidR="00061C72">
              <w:rPr>
                <w:noProof/>
                <w:webHidden/>
              </w:rPr>
              <w:t>44</w:t>
            </w:r>
            <w:r w:rsidR="00061C72">
              <w:rPr>
                <w:noProof/>
                <w:webHidden/>
              </w:rPr>
              <w:fldChar w:fldCharType="end"/>
            </w:r>
          </w:hyperlink>
        </w:p>
        <w:p w14:paraId="0FAB9F40" w14:textId="1CF91DEE"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88" w:history="1">
            <w:r w:rsidR="00061C72" w:rsidRPr="00845E86">
              <w:rPr>
                <w:rStyle w:val="Hyperlink"/>
                <w:rFonts w:eastAsia="Arial"/>
                <w:noProof/>
              </w:rPr>
              <w:t>2.5.6 Illness burden</w:t>
            </w:r>
            <w:r w:rsidR="00061C72">
              <w:rPr>
                <w:noProof/>
                <w:webHidden/>
              </w:rPr>
              <w:tab/>
            </w:r>
            <w:r w:rsidR="00061C72">
              <w:rPr>
                <w:noProof/>
                <w:webHidden/>
              </w:rPr>
              <w:fldChar w:fldCharType="begin"/>
            </w:r>
            <w:r w:rsidR="00061C72">
              <w:rPr>
                <w:noProof/>
                <w:webHidden/>
              </w:rPr>
              <w:instrText xml:space="preserve"> PAGEREF _Toc137504688 \h </w:instrText>
            </w:r>
            <w:r w:rsidR="00061C72">
              <w:rPr>
                <w:noProof/>
                <w:webHidden/>
              </w:rPr>
            </w:r>
            <w:r w:rsidR="00061C72">
              <w:rPr>
                <w:noProof/>
                <w:webHidden/>
              </w:rPr>
              <w:fldChar w:fldCharType="separate"/>
            </w:r>
            <w:r w:rsidR="00061C72">
              <w:rPr>
                <w:noProof/>
                <w:webHidden/>
              </w:rPr>
              <w:t>45</w:t>
            </w:r>
            <w:r w:rsidR="00061C72">
              <w:rPr>
                <w:noProof/>
                <w:webHidden/>
              </w:rPr>
              <w:fldChar w:fldCharType="end"/>
            </w:r>
          </w:hyperlink>
        </w:p>
        <w:p w14:paraId="46092554" w14:textId="20BB53E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89" w:history="1">
            <w:r w:rsidR="00061C72" w:rsidRPr="00845E86">
              <w:rPr>
                <w:rStyle w:val="Hyperlink"/>
                <w:rFonts w:eastAsia="Arial"/>
                <w:noProof/>
              </w:rPr>
              <w:t>2.5.7 Associations between subjective versus objective measures in FNSD</w:t>
            </w:r>
            <w:r w:rsidR="00061C72">
              <w:rPr>
                <w:noProof/>
                <w:webHidden/>
              </w:rPr>
              <w:tab/>
            </w:r>
            <w:r w:rsidR="00061C72">
              <w:rPr>
                <w:noProof/>
                <w:webHidden/>
              </w:rPr>
              <w:fldChar w:fldCharType="begin"/>
            </w:r>
            <w:r w:rsidR="00061C72">
              <w:rPr>
                <w:noProof/>
                <w:webHidden/>
              </w:rPr>
              <w:instrText xml:space="preserve"> PAGEREF _Toc137504689 \h </w:instrText>
            </w:r>
            <w:r w:rsidR="00061C72">
              <w:rPr>
                <w:noProof/>
                <w:webHidden/>
              </w:rPr>
            </w:r>
            <w:r w:rsidR="00061C72">
              <w:rPr>
                <w:noProof/>
                <w:webHidden/>
              </w:rPr>
              <w:fldChar w:fldCharType="separate"/>
            </w:r>
            <w:r w:rsidR="00061C72">
              <w:rPr>
                <w:noProof/>
                <w:webHidden/>
              </w:rPr>
              <w:t>45</w:t>
            </w:r>
            <w:r w:rsidR="00061C72">
              <w:rPr>
                <w:noProof/>
                <w:webHidden/>
              </w:rPr>
              <w:fldChar w:fldCharType="end"/>
            </w:r>
          </w:hyperlink>
        </w:p>
        <w:p w14:paraId="67E9E181" w14:textId="142422CF"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90" w:history="1">
            <w:r w:rsidR="00061C72" w:rsidRPr="00845E86">
              <w:rPr>
                <w:rStyle w:val="Hyperlink"/>
                <w:rFonts w:eastAsia="Arial"/>
                <w:noProof/>
              </w:rPr>
              <w:t>2.6 Discussion</w:t>
            </w:r>
            <w:r w:rsidR="00061C72">
              <w:rPr>
                <w:noProof/>
                <w:webHidden/>
              </w:rPr>
              <w:tab/>
            </w:r>
            <w:r w:rsidR="00061C72">
              <w:rPr>
                <w:noProof/>
                <w:webHidden/>
              </w:rPr>
              <w:fldChar w:fldCharType="begin"/>
            </w:r>
            <w:r w:rsidR="00061C72">
              <w:rPr>
                <w:noProof/>
                <w:webHidden/>
              </w:rPr>
              <w:instrText xml:space="preserve"> PAGEREF _Toc137504690 \h </w:instrText>
            </w:r>
            <w:r w:rsidR="00061C72">
              <w:rPr>
                <w:noProof/>
                <w:webHidden/>
              </w:rPr>
            </w:r>
            <w:r w:rsidR="00061C72">
              <w:rPr>
                <w:noProof/>
                <w:webHidden/>
              </w:rPr>
              <w:fldChar w:fldCharType="separate"/>
            </w:r>
            <w:r w:rsidR="00061C72">
              <w:rPr>
                <w:noProof/>
                <w:webHidden/>
              </w:rPr>
              <w:t>49</w:t>
            </w:r>
            <w:r w:rsidR="00061C72">
              <w:rPr>
                <w:noProof/>
                <w:webHidden/>
              </w:rPr>
              <w:fldChar w:fldCharType="end"/>
            </w:r>
          </w:hyperlink>
        </w:p>
        <w:p w14:paraId="127CF17A" w14:textId="35B3E8AF"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91" w:history="1">
            <w:r w:rsidR="00061C72" w:rsidRPr="00845E86">
              <w:rPr>
                <w:rStyle w:val="Hyperlink"/>
                <w:rFonts w:eastAsia="Arial"/>
                <w:noProof/>
              </w:rPr>
              <w:t>2.6.1 Limitations</w:t>
            </w:r>
            <w:r w:rsidR="00061C72">
              <w:rPr>
                <w:noProof/>
                <w:webHidden/>
              </w:rPr>
              <w:tab/>
            </w:r>
            <w:r w:rsidR="00061C72">
              <w:rPr>
                <w:noProof/>
                <w:webHidden/>
              </w:rPr>
              <w:fldChar w:fldCharType="begin"/>
            </w:r>
            <w:r w:rsidR="00061C72">
              <w:rPr>
                <w:noProof/>
                <w:webHidden/>
              </w:rPr>
              <w:instrText xml:space="preserve"> PAGEREF _Toc137504691 \h </w:instrText>
            </w:r>
            <w:r w:rsidR="00061C72">
              <w:rPr>
                <w:noProof/>
                <w:webHidden/>
              </w:rPr>
            </w:r>
            <w:r w:rsidR="00061C72">
              <w:rPr>
                <w:noProof/>
                <w:webHidden/>
              </w:rPr>
              <w:fldChar w:fldCharType="separate"/>
            </w:r>
            <w:r w:rsidR="00061C72">
              <w:rPr>
                <w:noProof/>
                <w:webHidden/>
              </w:rPr>
              <w:t>53</w:t>
            </w:r>
            <w:r w:rsidR="00061C72">
              <w:rPr>
                <w:noProof/>
                <w:webHidden/>
              </w:rPr>
              <w:fldChar w:fldCharType="end"/>
            </w:r>
          </w:hyperlink>
        </w:p>
        <w:p w14:paraId="5E48801A" w14:textId="45B3C4E3"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92" w:history="1">
            <w:r w:rsidR="00061C72" w:rsidRPr="00845E86">
              <w:rPr>
                <w:rStyle w:val="Hyperlink"/>
                <w:rFonts w:eastAsia="Arial"/>
                <w:noProof/>
              </w:rPr>
              <w:t>2.6.2  Future directions</w:t>
            </w:r>
            <w:r w:rsidR="00061C72">
              <w:rPr>
                <w:noProof/>
                <w:webHidden/>
              </w:rPr>
              <w:tab/>
            </w:r>
            <w:r w:rsidR="00061C72">
              <w:rPr>
                <w:noProof/>
                <w:webHidden/>
              </w:rPr>
              <w:fldChar w:fldCharType="begin"/>
            </w:r>
            <w:r w:rsidR="00061C72">
              <w:rPr>
                <w:noProof/>
                <w:webHidden/>
              </w:rPr>
              <w:instrText xml:space="preserve"> PAGEREF _Toc137504692 \h </w:instrText>
            </w:r>
            <w:r w:rsidR="00061C72">
              <w:rPr>
                <w:noProof/>
                <w:webHidden/>
              </w:rPr>
            </w:r>
            <w:r w:rsidR="00061C72">
              <w:rPr>
                <w:noProof/>
                <w:webHidden/>
              </w:rPr>
              <w:fldChar w:fldCharType="separate"/>
            </w:r>
            <w:r w:rsidR="00061C72">
              <w:rPr>
                <w:noProof/>
                <w:webHidden/>
              </w:rPr>
              <w:t>54</w:t>
            </w:r>
            <w:r w:rsidR="00061C72">
              <w:rPr>
                <w:noProof/>
                <w:webHidden/>
              </w:rPr>
              <w:fldChar w:fldCharType="end"/>
            </w:r>
          </w:hyperlink>
        </w:p>
        <w:p w14:paraId="1E675AC9" w14:textId="5E79AC0C"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93" w:history="1">
            <w:r w:rsidR="00061C72" w:rsidRPr="00845E86">
              <w:rPr>
                <w:rStyle w:val="Hyperlink"/>
                <w:rFonts w:eastAsia="Arial"/>
                <w:noProof/>
              </w:rPr>
              <w:t>2.7 Conclusions</w:t>
            </w:r>
            <w:r w:rsidR="00061C72">
              <w:rPr>
                <w:noProof/>
                <w:webHidden/>
              </w:rPr>
              <w:tab/>
            </w:r>
            <w:r w:rsidR="00061C72">
              <w:rPr>
                <w:noProof/>
                <w:webHidden/>
              </w:rPr>
              <w:fldChar w:fldCharType="begin"/>
            </w:r>
            <w:r w:rsidR="00061C72">
              <w:rPr>
                <w:noProof/>
                <w:webHidden/>
              </w:rPr>
              <w:instrText xml:space="preserve"> PAGEREF _Toc137504693 \h </w:instrText>
            </w:r>
            <w:r w:rsidR="00061C72">
              <w:rPr>
                <w:noProof/>
                <w:webHidden/>
              </w:rPr>
            </w:r>
            <w:r w:rsidR="00061C72">
              <w:rPr>
                <w:noProof/>
                <w:webHidden/>
              </w:rPr>
              <w:fldChar w:fldCharType="separate"/>
            </w:r>
            <w:r w:rsidR="00061C72">
              <w:rPr>
                <w:noProof/>
                <w:webHidden/>
              </w:rPr>
              <w:t>54</w:t>
            </w:r>
            <w:r w:rsidR="00061C72">
              <w:rPr>
                <w:noProof/>
                <w:webHidden/>
              </w:rPr>
              <w:fldChar w:fldCharType="end"/>
            </w:r>
          </w:hyperlink>
        </w:p>
        <w:p w14:paraId="7E1295BA" w14:textId="2A5052A3"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694" w:history="1">
            <w:r w:rsidR="00061C72" w:rsidRPr="00845E86">
              <w:rPr>
                <w:rStyle w:val="Hyperlink"/>
                <w:noProof/>
              </w:rPr>
              <w:t>3.0 Evaluation and refinement of the novel sElf-efficacy, Assertiveness, Social support, self-awareness and hElpful thinking (EASE) questionnaire for patients with Functional Neurological Symptom Disorder.</w:t>
            </w:r>
            <w:r w:rsidR="00061C72">
              <w:rPr>
                <w:noProof/>
                <w:webHidden/>
              </w:rPr>
              <w:tab/>
            </w:r>
            <w:r w:rsidR="00061C72">
              <w:rPr>
                <w:noProof/>
                <w:webHidden/>
              </w:rPr>
              <w:fldChar w:fldCharType="begin"/>
            </w:r>
            <w:r w:rsidR="00061C72">
              <w:rPr>
                <w:noProof/>
                <w:webHidden/>
              </w:rPr>
              <w:instrText xml:space="preserve"> PAGEREF _Toc137504694 \h </w:instrText>
            </w:r>
            <w:r w:rsidR="00061C72">
              <w:rPr>
                <w:noProof/>
                <w:webHidden/>
              </w:rPr>
            </w:r>
            <w:r w:rsidR="00061C72">
              <w:rPr>
                <w:noProof/>
                <w:webHidden/>
              </w:rPr>
              <w:fldChar w:fldCharType="separate"/>
            </w:r>
            <w:r w:rsidR="00061C72">
              <w:rPr>
                <w:noProof/>
                <w:webHidden/>
              </w:rPr>
              <w:t>5</w:t>
            </w:r>
            <w:r w:rsidR="00061C72">
              <w:rPr>
                <w:noProof/>
                <w:webHidden/>
              </w:rPr>
              <w:fldChar w:fldCharType="end"/>
            </w:r>
          </w:hyperlink>
        </w:p>
        <w:p w14:paraId="2A06F011" w14:textId="546A9ABA"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695" w:history="1">
            <w:r w:rsidR="00061C72" w:rsidRPr="00845E86">
              <w:rPr>
                <w:rStyle w:val="Hyperlink"/>
                <w:noProof/>
              </w:rPr>
              <w:t>3.1 Introduction</w:t>
            </w:r>
            <w:r w:rsidR="00061C72">
              <w:rPr>
                <w:noProof/>
                <w:webHidden/>
              </w:rPr>
              <w:tab/>
            </w:r>
            <w:r w:rsidR="00061C72">
              <w:rPr>
                <w:noProof/>
                <w:webHidden/>
              </w:rPr>
              <w:fldChar w:fldCharType="begin"/>
            </w:r>
            <w:r w:rsidR="00061C72">
              <w:rPr>
                <w:noProof/>
                <w:webHidden/>
              </w:rPr>
              <w:instrText xml:space="preserve"> PAGEREF _Toc137504695 \h </w:instrText>
            </w:r>
            <w:r w:rsidR="00061C72">
              <w:rPr>
                <w:noProof/>
                <w:webHidden/>
              </w:rPr>
            </w:r>
            <w:r w:rsidR="00061C72">
              <w:rPr>
                <w:noProof/>
                <w:webHidden/>
              </w:rPr>
              <w:fldChar w:fldCharType="separate"/>
            </w:r>
            <w:r w:rsidR="00061C72">
              <w:rPr>
                <w:noProof/>
                <w:webHidden/>
              </w:rPr>
              <w:t>5</w:t>
            </w:r>
            <w:r w:rsidR="00061C72">
              <w:rPr>
                <w:noProof/>
                <w:webHidden/>
              </w:rPr>
              <w:fldChar w:fldCharType="end"/>
            </w:r>
          </w:hyperlink>
        </w:p>
        <w:p w14:paraId="67347A70" w14:textId="74034DA6"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96" w:history="1">
            <w:r w:rsidR="00061C72" w:rsidRPr="00845E86">
              <w:rPr>
                <w:rStyle w:val="Hyperlink"/>
                <w:noProof/>
              </w:rPr>
              <w:t>3.1.1 Outcome measurement in FNSD</w:t>
            </w:r>
            <w:r w:rsidR="00061C72">
              <w:rPr>
                <w:noProof/>
                <w:webHidden/>
              </w:rPr>
              <w:tab/>
            </w:r>
            <w:r w:rsidR="00061C72">
              <w:rPr>
                <w:noProof/>
                <w:webHidden/>
              </w:rPr>
              <w:fldChar w:fldCharType="begin"/>
            </w:r>
            <w:r w:rsidR="00061C72">
              <w:rPr>
                <w:noProof/>
                <w:webHidden/>
              </w:rPr>
              <w:instrText xml:space="preserve"> PAGEREF _Toc137504696 \h </w:instrText>
            </w:r>
            <w:r w:rsidR="00061C72">
              <w:rPr>
                <w:noProof/>
                <w:webHidden/>
              </w:rPr>
            </w:r>
            <w:r w:rsidR="00061C72">
              <w:rPr>
                <w:noProof/>
                <w:webHidden/>
              </w:rPr>
              <w:fldChar w:fldCharType="separate"/>
            </w:r>
            <w:r w:rsidR="00061C72">
              <w:rPr>
                <w:noProof/>
                <w:webHidden/>
              </w:rPr>
              <w:t>5</w:t>
            </w:r>
            <w:r w:rsidR="00061C72">
              <w:rPr>
                <w:noProof/>
                <w:webHidden/>
              </w:rPr>
              <w:fldChar w:fldCharType="end"/>
            </w:r>
          </w:hyperlink>
        </w:p>
        <w:p w14:paraId="634A18B7" w14:textId="0332C06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97" w:history="1">
            <w:r w:rsidR="00061C72" w:rsidRPr="00845E86">
              <w:rPr>
                <w:rStyle w:val="Hyperlink"/>
                <w:noProof/>
              </w:rPr>
              <w:t>3.1.2 EASE questionnaire</w:t>
            </w:r>
            <w:r w:rsidR="00061C72">
              <w:rPr>
                <w:noProof/>
                <w:webHidden/>
              </w:rPr>
              <w:tab/>
            </w:r>
            <w:r w:rsidR="00061C72">
              <w:rPr>
                <w:noProof/>
                <w:webHidden/>
              </w:rPr>
              <w:fldChar w:fldCharType="begin"/>
            </w:r>
            <w:r w:rsidR="00061C72">
              <w:rPr>
                <w:noProof/>
                <w:webHidden/>
              </w:rPr>
              <w:instrText xml:space="preserve"> PAGEREF _Toc137504697 \h </w:instrText>
            </w:r>
            <w:r w:rsidR="00061C72">
              <w:rPr>
                <w:noProof/>
                <w:webHidden/>
              </w:rPr>
            </w:r>
            <w:r w:rsidR="00061C72">
              <w:rPr>
                <w:noProof/>
                <w:webHidden/>
              </w:rPr>
              <w:fldChar w:fldCharType="separate"/>
            </w:r>
            <w:r w:rsidR="00061C72">
              <w:rPr>
                <w:noProof/>
                <w:webHidden/>
              </w:rPr>
              <w:t>7</w:t>
            </w:r>
            <w:r w:rsidR="00061C72">
              <w:rPr>
                <w:noProof/>
                <w:webHidden/>
              </w:rPr>
              <w:fldChar w:fldCharType="end"/>
            </w:r>
          </w:hyperlink>
        </w:p>
        <w:p w14:paraId="2CA31240" w14:textId="478632AF"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98" w:history="1">
            <w:r w:rsidR="00061C72" w:rsidRPr="00845E86">
              <w:rPr>
                <w:rStyle w:val="Hyperlink"/>
                <w:noProof/>
              </w:rPr>
              <w:t>3.1.3 Clinically Meaningful Constructs in FNSD</w:t>
            </w:r>
            <w:r w:rsidR="00061C72">
              <w:rPr>
                <w:noProof/>
                <w:webHidden/>
              </w:rPr>
              <w:tab/>
            </w:r>
            <w:r w:rsidR="00061C72">
              <w:rPr>
                <w:noProof/>
                <w:webHidden/>
              </w:rPr>
              <w:fldChar w:fldCharType="begin"/>
            </w:r>
            <w:r w:rsidR="00061C72">
              <w:rPr>
                <w:noProof/>
                <w:webHidden/>
              </w:rPr>
              <w:instrText xml:space="preserve"> PAGEREF _Toc137504698 \h </w:instrText>
            </w:r>
            <w:r w:rsidR="00061C72">
              <w:rPr>
                <w:noProof/>
                <w:webHidden/>
              </w:rPr>
            </w:r>
            <w:r w:rsidR="00061C72">
              <w:rPr>
                <w:noProof/>
                <w:webHidden/>
              </w:rPr>
              <w:fldChar w:fldCharType="separate"/>
            </w:r>
            <w:r w:rsidR="00061C72">
              <w:rPr>
                <w:noProof/>
                <w:webHidden/>
              </w:rPr>
              <w:t>8</w:t>
            </w:r>
            <w:r w:rsidR="00061C72">
              <w:rPr>
                <w:noProof/>
                <w:webHidden/>
              </w:rPr>
              <w:fldChar w:fldCharType="end"/>
            </w:r>
          </w:hyperlink>
        </w:p>
        <w:p w14:paraId="06FFFF10" w14:textId="5A9A4CF8"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699" w:history="1">
            <w:r w:rsidR="00061C72" w:rsidRPr="00845E86">
              <w:rPr>
                <w:rStyle w:val="Hyperlink"/>
                <w:noProof/>
              </w:rPr>
              <w:t>3.1.4 Factor Analysis and Rasch Modelling</w:t>
            </w:r>
            <w:r w:rsidR="00061C72">
              <w:rPr>
                <w:noProof/>
                <w:webHidden/>
              </w:rPr>
              <w:tab/>
            </w:r>
            <w:r w:rsidR="00061C72">
              <w:rPr>
                <w:noProof/>
                <w:webHidden/>
              </w:rPr>
              <w:fldChar w:fldCharType="begin"/>
            </w:r>
            <w:r w:rsidR="00061C72">
              <w:rPr>
                <w:noProof/>
                <w:webHidden/>
              </w:rPr>
              <w:instrText xml:space="preserve"> PAGEREF _Toc137504699 \h </w:instrText>
            </w:r>
            <w:r w:rsidR="00061C72">
              <w:rPr>
                <w:noProof/>
                <w:webHidden/>
              </w:rPr>
            </w:r>
            <w:r w:rsidR="00061C72">
              <w:rPr>
                <w:noProof/>
                <w:webHidden/>
              </w:rPr>
              <w:fldChar w:fldCharType="separate"/>
            </w:r>
            <w:r w:rsidR="00061C72">
              <w:rPr>
                <w:noProof/>
                <w:webHidden/>
              </w:rPr>
              <w:t>16</w:t>
            </w:r>
            <w:r w:rsidR="00061C72">
              <w:rPr>
                <w:noProof/>
                <w:webHidden/>
              </w:rPr>
              <w:fldChar w:fldCharType="end"/>
            </w:r>
          </w:hyperlink>
        </w:p>
        <w:p w14:paraId="25E8CC2D" w14:textId="7C1E5F6E"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0" w:history="1">
            <w:r w:rsidR="00061C72" w:rsidRPr="00845E86">
              <w:rPr>
                <w:rStyle w:val="Hyperlink"/>
                <w:rFonts w:eastAsia="DengXian"/>
                <w:noProof/>
              </w:rPr>
              <w:t>3.1.5 Research Study</w:t>
            </w:r>
            <w:r w:rsidR="00061C72">
              <w:rPr>
                <w:noProof/>
                <w:webHidden/>
              </w:rPr>
              <w:tab/>
            </w:r>
            <w:r w:rsidR="00061C72">
              <w:rPr>
                <w:noProof/>
                <w:webHidden/>
              </w:rPr>
              <w:fldChar w:fldCharType="begin"/>
            </w:r>
            <w:r w:rsidR="00061C72">
              <w:rPr>
                <w:noProof/>
                <w:webHidden/>
              </w:rPr>
              <w:instrText xml:space="preserve"> PAGEREF _Toc137504700 \h </w:instrText>
            </w:r>
            <w:r w:rsidR="00061C72">
              <w:rPr>
                <w:noProof/>
                <w:webHidden/>
              </w:rPr>
            </w:r>
            <w:r w:rsidR="00061C72">
              <w:rPr>
                <w:noProof/>
                <w:webHidden/>
              </w:rPr>
              <w:fldChar w:fldCharType="separate"/>
            </w:r>
            <w:r w:rsidR="00061C72">
              <w:rPr>
                <w:noProof/>
                <w:webHidden/>
              </w:rPr>
              <w:t>17</w:t>
            </w:r>
            <w:r w:rsidR="00061C72">
              <w:rPr>
                <w:noProof/>
                <w:webHidden/>
              </w:rPr>
              <w:fldChar w:fldCharType="end"/>
            </w:r>
          </w:hyperlink>
        </w:p>
        <w:p w14:paraId="6EED9923" w14:textId="20BCE8F3"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01" w:history="1">
            <w:r w:rsidR="00061C72" w:rsidRPr="00845E86">
              <w:rPr>
                <w:rStyle w:val="Hyperlink"/>
                <w:noProof/>
              </w:rPr>
              <w:t>3.2 Methods</w:t>
            </w:r>
            <w:r w:rsidR="00061C72">
              <w:rPr>
                <w:noProof/>
                <w:webHidden/>
              </w:rPr>
              <w:tab/>
            </w:r>
            <w:r w:rsidR="00061C72">
              <w:rPr>
                <w:noProof/>
                <w:webHidden/>
              </w:rPr>
              <w:fldChar w:fldCharType="begin"/>
            </w:r>
            <w:r w:rsidR="00061C72">
              <w:rPr>
                <w:noProof/>
                <w:webHidden/>
              </w:rPr>
              <w:instrText xml:space="preserve"> PAGEREF _Toc137504701 \h </w:instrText>
            </w:r>
            <w:r w:rsidR="00061C72">
              <w:rPr>
                <w:noProof/>
                <w:webHidden/>
              </w:rPr>
            </w:r>
            <w:r w:rsidR="00061C72">
              <w:rPr>
                <w:noProof/>
                <w:webHidden/>
              </w:rPr>
              <w:fldChar w:fldCharType="separate"/>
            </w:r>
            <w:r w:rsidR="00061C72">
              <w:rPr>
                <w:noProof/>
                <w:webHidden/>
              </w:rPr>
              <w:t>19</w:t>
            </w:r>
            <w:r w:rsidR="00061C72">
              <w:rPr>
                <w:noProof/>
                <w:webHidden/>
              </w:rPr>
              <w:fldChar w:fldCharType="end"/>
            </w:r>
          </w:hyperlink>
        </w:p>
        <w:p w14:paraId="2C18B5CC" w14:textId="6CA82D32"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2" w:history="1">
            <w:r w:rsidR="00061C72" w:rsidRPr="00845E86">
              <w:rPr>
                <w:rStyle w:val="Hyperlink"/>
                <w:noProof/>
              </w:rPr>
              <w:t>3.2.1 Design and Participants</w:t>
            </w:r>
            <w:r w:rsidR="00061C72">
              <w:rPr>
                <w:noProof/>
                <w:webHidden/>
              </w:rPr>
              <w:tab/>
            </w:r>
            <w:r w:rsidR="00061C72">
              <w:rPr>
                <w:noProof/>
                <w:webHidden/>
              </w:rPr>
              <w:fldChar w:fldCharType="begin"/>
            </w:r>
            <w:r w:rsidR="00061C72">
              <w:rPr>
                <w:noProof/>
                <w:webHidden/>
              </w:rPr>
              <w:instrText xml:space="preserve"> PAGEREF _Toc137504702 \h </w:instrText>
            </w:r>
            <w:r w:rsidR="00061C72">
              <w:rPr>
                <w:noProof/>
                <w:webHidden/>
              </w:rPr>
            </w:r>
            <w:r w:rsidR="00061C72">
              <w:rPr>
                <w:noProof/>
                <w:webHidden/>
              </w:rPr>
              <w:fldChar w:fldCharType="separate"/>
            </w:r>
            <w:r w:rsidR="00061C72">
              <w:rPr>
                <w:noProof/>
                <w:webHidden/>
              </w:rPr>
              <w:t>19</w:t>
            </w:r>
            <w:r w:rsidR="00061C72">
              <w:rPr>
                <w:noProof/>
                <w:webHidden/>
              </w:rPr>
              <w:fldChar w:fldCharType="end"/>
            </w:r>
          </w:hyperlink>
        </w:p>
        <w:p w14:paraId="4B03241B" w14:textId="6A535845"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3" w:history="1">
            <w:r w:rsidR="00061C72" w:rsidRPr="00845E86">
              <w:rPr>
                <w:rStyle w:val="Hyperlink"/>
                <w:noProof/>
              </w:rPr>
              <w:t>3.2.2 Data Governance and Ethical Approval</w:t>
            </w:r>
            <w:r w:rsidR="00061C72">
              <w:rPr>
                <w:noProof/>
                <w:webHidden/>
              </w:rPr>
              <w:tab/>
            </w:r>
            <w:r w:rsidR="00061C72">
              <w:rPr>
                <w:noProof/>
                <w:webHidden/>
              </w:rPr>
              <w:fldChar w:fldCharType="begin"/>
            </w:r>
            <w:r w:rsidR="00061C72">
              <w:rPr>
                <w:noProof/>
                <w:webHidden/>
              </w:rPr>
              <w:instrText xml:space="preserve"> PAGEREF _Toc137504703 \h </w:instrText>
            </w:r>
            <w:r w:rsidR="00061C72">
              <w:rPr>
                <w:noProof/>
                <w:webHidden/>
              </w:rPr>
            </w:r>
            <w:r w:rsidR="00061C72">
              <w:rPr>
                <w:noProof/>
                <w:webHidden/>
              </w:rPr>
              <w:fldChar w:fldCharType="separate"/>
            </w:r>
            <w:r w:rsidR="00061C72">
              <w:rPr>
                <w:noProof/>
                <w:webHidden/>
              </w:rPr>
              <w:t>19</w:t>
            </w:r>
            <w:r w:rsidR="00061C72">
              <w:rPr>
                <w:noProof/>
                <w:webHidden/>
              </w:rPr>
              <w:fldChar w:fldCharType="end"/>
            </w:r>
          </w:hyperlink>
        </w:p>
        <w:p w14:paraId="528D0735" w14:textId="51C76E52"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4" w:history="1">
            <w:r w:rsidR="00061C72" w:rsidRPr="00845E86">
              <w:rPr>
                <w:rStyle w:val="Hyperlink"/>
                <w:noProof/>
              </w:rPr>
              <w:t>3.2.3 Data Collection – Measures</w:t>
            </w:r>
            <w:r w:rsidR="00061C72">
              <w:rPr>
                <w:noProof/>
                <w:webHidden/>
              </w:rPr>
              <w:tab/>
            </w:r>
            <w:r w:rsidR="00061C72">
              <w:rPr>
                <w:noProof/>
                <w:webHidden/>
              </w:rPr>
              <w:fldChar w:fldCharType="begin"/>
            </w:r>
            <w:r w:rsidR="00061C72">
              <w:rPr>
                <w:noProof/>
                <w:webHidden/>
              </w:rPr>
              <w:instrText xml:space="preserve"> PAGEREF _Toc137504704 \h </w:instrText>
            </w:r>
            <w:r w:rsidR="00061C72">
              <w:rPr>
                <w:noProof/>
                <w:webHidden/>
              </w:rPr>
            </w:r>
            <w:r w:rsidR="00061C72">
              <w:rPr>
                <w:noProof/>
                <w:webHidden/>
              </w:rPr>
              <w:fldChar w:fldCharType="separate"/>
            </w:r>
            <w:r w:rsidR="00061C72">
              <w:rPr>
                <w:noProof/>
                <w:webHidden/>
              </w:rPr>
              <w:t>19</w:t>
            </w:r>
            <w:r w:rsidR="00061C72">
              <w:rPr>
                <w:noProof/>
                <w:webHidden/>
              </w:rPr>
              <w:fldChar w:fldCharType="end"/>
            </w:r>
          </w:hyperlink>
        </w:p>
        <w:p w14:paraId="075A6F93" w14:textId="5B5944B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5" w:history="1">
            <w:r w:rsidR="00061C72" w:rsidRPr="00845E86">
              <w:rPr>
                <w:rStyle w:val="Hyperlink"/>
                <w:noProof/>
              </w:rPr>
              <w:t>3.2.4 Analyses</w:t>
            </w:r>
            <w:r w:rsidR="00061C72">
              <w:rPr>
                <w:noProof/>
                <w:webHidden/>
              </w:rPr>
              <w:tab/>
            </w:r>
            <w:r w:rsidR="00061C72">
              <w:rPr>
                <w:noProof/>
                <w:webHidden/>
              </w:rPr>
              <w:fldChar w:fldCharType="begin"/>
            </w:r>
            <w:r w:rsidR="00061C72">
              <w:rPr>
                <w:noProof/>
                <w:webHidden/>
              </w:rPr>
              <w:instrText xml:space="preserve"> PAGEREF _Toc137504705 \h </w:instrText>
            </w:r>
            <w:r w:rsidR="00061C72">
              <w:rPr>
                <w:noProof/>
                <w:webHidden/>
              </w:rPr>
            </w:r>
            <w:r w:rsidR="00061C72">
              <w:rPr>
                <w:noProof/>
                <w:webHidden/>
              </w:rPr>
              <w:fldChar w:fldCharType="separate"/>
            </w:r>
            <w:r w:rsidR="00061C72">
              <w:rPr>
                <w:noProof/>
                <w:webHidden/>
              </w:rPr>
              <w:t>23</w:t>
            </w:r>
            <w:r w:rsidR="00061C72">
              <w:rPr>
                <w:noProof/>
                <w:webHidden/>
              </w:rPr>
              <w:fldChar w:fldCharType="end"/>
            </w:r>
          </w:hyperlink>
        </w:p>
        <w:p w14:paraId="3376FC6C" w14:textId="55CD6CD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6" w:history="1">
            <w:r w:rsidR="00061C72" w:rsidRPr="00845E86">
              <w:rPr>
                <w:rStyle w:val="Hyperlink"/>
                <w:noProof/>
              </w:rPr>
              <w:t>3.2.5 Exploratory Factor Analysis (EFA)</w:t>
            </w:r>
            <w:r w:rsidR="00061C72">
              <w:rPr>
                <w:noProof/>
                <w:webHidden/>
              </w:rPr>
              <w:tab/>
            </w:r>
            <w:r w:rsidR="00061C72">
              <w:rPr>
                <w:noProof/>
                <w:webHidden/>
              </w:rPr>
              <w:fldChar w:fldCharType="begin"/>
            </w:r>
            <w:r w:rsidR="00061C72">
              <w:rPr>
                <w:noProof/>
                <w:webHidden/>
              </w:rPr>
              <w:instrText xml:space="preserve"> PAGEREF _Toc137504706 \h </w:instrText>
            </w:r>
            <w:r w:rsidR="00061C72">
              <w:rPr>
                <w:noProof/>
                <w:webHidden/>
              </w:rPr>
            </w:r>
            <w:r w:rsidR="00061C72">
              <w:rPr>
                <w:noProof/>
                <w:webHidden/>
              </w:rPr>
              <w:fldChar w:fldCharType="separate"/>
            </w:r>
            <w:r w:rsidR="00061C72">
              <w:rPr>
                <w:noProof/>
                <w:webHidden/>
              </w:rPr>
              <w:t>25</w:t>
            </w:r>
            <w:r w:rsidR="00061C72">
              <w:rPr>
                <w:noProof/>
                <w:webHidden/>
              </w:rPr>
              <w:fldChar w:fldCharType="end"/>
            </w:r>
          </w:hyperlink>
        </w:p>
        <w:p w14:paraId="76BE808A" w14:textId="73E07EB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7" w:history="1">
            <w:r w:rsidR="00061C72" w:rsidRPr="00845E86">
              <w:rPr>
                <w:rStyle w:val="Hyperlink"/>
                <w:noProof/>
              </w:rPr>
              <w:t>3.2.6 Confirmatory Factor Analysis</w:t>
            </w:r>
            <w:r w:rsidR="00061C72">
              <w:rPr>
                <w:noProof/>
                <w:webHidden/>
              </w:rPr>
              <w:tab/>
            </w:r>
            <w:r w:rsidR="00061C72">
              <w:rPr>
                <w:noProof/>
                <w:webHidden/>
              </w:rPr>
              <w:fldChar w:fldCharType="begin"/>
            </w:r>
            <w:r w:rsidR="00061C72">
              <w:rPr>
                <w:noProof/>
                <w:webHidden/>
              </w:rPr>
              <w:instrText xml:space="preserve"> PAGEREF _Toc137504707 \h </w:instrText>
            </w:r>
            <w:r w:rsidR="00061C72">
              <w:rPr>
                <w:noProof/>
                <w:webHidden/>
              </w:rPr>
            </w:r>
            <w:r w:rsidR="00061C72">
              <w:rPr>
                <w:noProof/>
                <w:webHidden/>
              </w:rPr>
              <w:fldChar w:fldCharType="separate"/>
            </w:r>
            <w:r w:rsidR="00061C72">
              <w:rPr>
                <w:noProof/>
                <w:webHidden/>
              </w:rPr>
              <w:t>25</w:t>
            </w:r>
            <w:r w:rsidR="00061C72">
              <w:rPr>
                <w:noProof/>
                <w:webHidden/>
              </w:rPr>
              <w:fldChar w:fldCharType="end"/>
            </w:r>
          </w:hyperlink>
        </w:p>
        <w:p w14:paraId="05562F03" w14:textId="6796264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8" w:history="1">
            <w:r w:rsidR="00061C72" w:rsidRPr="00845E86">
              <w:rPr>
                <w:rStyle w:val="Hyperlink"/>
                <w:noProof/>
              </w:rPr>
              <w:t>3.2.7 Rasch Analysis</w:t>
            </w:r>
            <w:r w:rsidR="00061C72">
              <w:rPr>
                <w:noProof/>
                <w:webHidden/>
              </w:rPr>
              <w:tab/>
            </w:r>
            <w:r w:rsidR="00061C72">
              <w:rPr>
                <w:noProof/>
                <w:webHidden/>
              </w:rPr>
              <w:fldChar w:fldCharType="begin"/>
            </w:r>
            <w:r w:rsidR="00061C72">
              <w:rPr>
                <w:noProof/>
                <w:webHidden/>
              </w:rPr>
              <w:instrText xml:space="preserve"> PAGEREF _Toc137504708 \h </w:instrText>
            </w:r>
            <w:r w:rsidR="00061C72">
              <w:rPr>
                <w:noProof/>
                <w:webHidden/>
              </w:rPr>
            </w:r>
            <w:r w:rsidR="00061C72">
              <w:rPr>
                <w:noProof/>
                <w:webHidden/>
              </w:rPr>
              <w:fldChar w:fldCharType="separate"/>
            </w:r>
            <w:r w:rsidR="00061C72">
              <w:rPr>
                <w:noProof/>
                <w:webHidden/>
              </w:rPr>
              <w:t>26</w:t>
            </w:r>
            <w:r w:rsidR="00061C72">
              <w:rPr>
                <w:noProof/>
                <w:webHidden/>
              </w:rPr>
              <w:fldChar w:fldCharType="end"/>
            </w:r>
          </w:hyperlink>
        </w:p>
        <w:p w14:paraId="565649C0" w14:textId="384203F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09" w:history="1">
            <w:r w:rsidR="00061C72" w:rsidRPr="00845E86">
              <w:rPr>
                <w:rStyle w:val="Hyperlink"/>
                <w:noProof/>
              </w:rPr>
              <w:t>3.2.8 Convergent validity</w:t>
            </w:r>
            <w:r w:rsidR="00061C72">
              <w:rPr>
                <w:noProof/>
                <w:webHidden/>
              </w:rPr>
              <w:tab/>
            </w:r>
            <w:r w:rsidR="00061C72">
              <w:rPr>
                <w:noProof/>
                <w:webHidden/>
              </w:rPr>
              <w:fldChar w:fldCharType="begin"/>
            </w:r>
            <w:r w:rsidR="00061C72">
              <w:rPr>
                <w:noProof/>
                <w:webHidden/>
              </w:rPr>
              <w:instrText xml:space="preserve"> PAGEREF _Toc137504709 \h </w:instrText>
            </w:r>
            <w:r w:rsidR="00061C72">
              <w:rPr>
                <w:noProof/>
                <w:webHidden/>
              </w:rPr>
            </w:r>
            <w:r w:rsidR="00061C72">
              <w:rPr>
                <w:noProof/>
                <w:webHidden/>
              </w:rPr>
              <w:fldChar w:fldCharType="separate"/>
            </w:r>
            <w:r w:rsidR="00061C72">
              <w:rPr>
                <w:noProof/>
                <w:webHidden/>
              </w:rPr>
              <w:t>31</w:t>
            </w:r>
            <w:r w:rsidR="00061C72">
              <w:rPr>
                <w:noProof/>
                <w:webHidden/>
              </w:rPr>
              <w:fldChar w:fldCharType="end"/>
            </w:r>
          </w:hyperlink>
        </w:p>
        <w:p w14:paraId="4758256A" w14:textId="04757EC2"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10" w:history="1">
            <w:r w:rsidR="00061C72" w:rsidRPr="00845E86">
              <w:rPr>
                <w:rStyle w:val="Hyperlink"/>
                <w:noProof/>
              </w:rPr>
              <w:t>3.3 Results</w:t>
            </w:r>
            <w:r w:rsidR="00061C72">
              <w:rPr>
                <w:noProof/>
                <w:webHidden/>
              </w:rPr>
              <w:tab/>
            </w:r>
            <w:r w:rsidR="00061C72">
              <w:rPr>
                <w:noProof/>
                <w:webHidden/>
              </w:rPr>
              <w:fldChar w:fldCharType="begin"/>
            </w:r>
            <w:r w:rsidR="00061C72">
              <w:rPr>
                <w:noProof/>
                <w:webHidden/>
              </w:rPr>
              <w:instrText xml:space="preserve"> PAGEREF _Toc137504710 \h </w:instrText>
            </w:r>
            <w:r w:rsidR="00061C72">
              <w:rPr>
                <w:noProof/>
                <w:webHidden/>
              </w:rPr>
            </w:r>
            <w:r w:rsidR="00061C72">
              <w:rPr>
                <w:noProof/>
                <w:webHidden/>
              </w:rPr>
              <w:fldChar w:fldCharType="separate"/>
            </w:r>
            <w:r w:rsidR="00061C72">
              <w:rPr>
                <w:noProof/>
                <w:webHidden/>
              </w:rPr>
              <w:t>32</w:t>
            </w:r>
            <w:r w:rsidR="00061C72">
              <w:rPr>
                <w:noProof/>
                <w:webHidden/>
              </w:rPr>
              <w:fldChar w:fldCharType="end"/>
            </w:r>
          </w:hyperlink>
        </w:p>
        <w:p w14:paraId="1BA0251B" w14:textId="02DD444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11" w:history="1">
            <w:r w:rsidR="00061C72" w:rsidRPr="00845E86">
              <w:rPr>
                <w:rStyle w:val="Hyperlink"/>
                <w:noProof/>
              </w:rPr>
              <w:t>3.3.1 Baseline Sample Descriptive Statistics</w:t>
            </w:r>
            <w:r w:rsidR="00061C72">
              <w:rPr>
                <w:noProof/>
                <w:webHidden/>
              </w:rPr>
              <w:tab/>
            </w:r>
            <w:r w:rsidR="00061C72">
              <w:rPr>
                <w:noProof/>
                <w:webHidden/>
              </w:rPr>
              <w:fldChar w:fldCharType="begin"/>
            </w:r>
            <w:r w:rsidR="00061C72">
              <w:rPr>
                <w:noProof/>
                <w:webHidden/>
              </w:rPr>
              <w:instrText xml:space="preserve"> PAGEREF _Toc137504711 \h </w:instrText>
            </w:r>
            <w:r w:rsidR="00061C72">
              <w:rPr>
                <w:noProof/>
                <w:webHidden/>
              </w:rPr>
            </w:r>
            <w:r w:rsidR="00061C72">
              <w:rPr>
                <w:noProof/>
                <w:webHidden/>
              </w:rPr>
              <w:fldChar w:fldCharType="separate"/>
            </w:r>
            <w:r w:rsidR="00061C72">
              <w:rPr>
                <w:noProof/>
                <w:webHidden/>
              </w:rPr>
              <w:t>32</w:t>
            </w:r>
            <w:r w:rsidR="00061C72">
              <w:rPr>
                <w:noProof/>
                <w:webHidden/>
              </w:rPr>
              <w:fldChar w:fldCharType="end"/>
            </w:r>
          </w:hyperlink>
        </w:p>
        <w:p w14:paraId="69BC4F3A" w14:textId="6F0E9F0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12" w:history="1">
            <w:r w:rsidR="00061C72" w:rsidRPr="00845E86">
              <w:rPr>
                <w:rStyle w:val="Hyperlink"/>
                <w:noProof/>
              </w:rPr>
              <w:t>3.3.2 Baseline EASE-F descriptive analyses</w:t>
            </w:r>
            <w:r w:rsidR="00061C72">
              <w:rPr>
                <w:noProof/>
                <w:webHidden/>
              </w:rPr>
              <w:tab/>
            </w:r>
            <w:r w:rsidR="00061C72">
              <w:rPr>
                <w:noProof/>
                <w:webHidden/>
              </w:rPr>
              <w:fldChar w:fldCharType="begin"/>
            </w:r>
            <w:r w:rsidR="00061C72">
              <w:rPr>
                <w:noProof/>
                <w:webHidden/>
              </w:rPr>
              <w:instrText xml:space="preserve"> PAGEREF _Toc137504712 \h </w:instrText>
            </w:r>
            <w:r w:rsidR="00061C72">
              <w:rPr>
                <w:noProof/>
                <w:webHidden/>
              </w:rPr>
            </w:r>
            <w:r w:rsidR="00061C72">
              <w:rPr>
                <w:noProof/>
                <w:webHidden/>
              </w:rPr>
              <w:fldChar w:fldCharType="separate"/>
            </w:r>
            <w:r w:rsidR="00061C72">
              <w:rPr>
                <w:noProof/>
                <w:webHidden/>
              </w:rPr>
              <w:t>35</w:t>
            </w:r>
            <w:r w:rsidR="00061C72">
              <w:rPr>
                <w:noProof/>
                <w:webHidden/>
              </w:rPr>
              <w:fldChar w:fldCharType="end"/>
            </w:r>
          </w:hyperlink>
        </w:p>
        <w:p w14:paraId="78385CC7" w14:textId="6783771D"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13" w:history="1">
            <w:r w:rsidR="00061C72" w:rsidRPr="00845E86">
              <w:rPr>
                <w:rStyle w:val="Hyperlink"/>
                <w:noProof/>
              </w:rPr>
              <w:t>3.3.3 Data Preparation and Adequacy</w:t>
            </w:r>
            <w:r w:rsidR="00061C72">
              <w:rPr>
                <w:noProof/>
                <w:webHidden/>
              </w:rPr>
              <w:tab/>
            </w:r>
            <w:r w:rsidR="00061C72">
              <w:rPr>
                <w:noProof/>
                <w:webHidden/>
              </w:rPr>
              <w:fldChar w:fldCharType="begin"/>
            </w:r>
            <w:r w:rsidR="00061C72">
              <w:rPr>
                <w:noProof/>
                <w:webHidden/>
              </w:rPr>
              <w:instrText xml:space="preserve"> PAGEREF _Toc137504713 \h </w:instrText>
            </w:r>
            <w:r w:rsidR="00061C72">
              <w:rPr>
                <w:noProof/>
                <w:webHidden/>
              </w:rPr>
            </w:r>
            <w:r w:rsidR="00061C72">
              <w:rPr>
                <w:noProof/>
                <w:webHidden/>
              </w:rPr>
              <w:fldChar w:fldCharType="separate"/>
            </w:r>
            <w:r w:rsidR="00061C72">
              <w:rPr>
                <w:noProof/>
                <w:webHidden/>
              </w:rPr>
              <w:t>38</w:t>
            </w:r>
            <w:r w:rsidR="00061C72">
              <w:rPr>
                <w:noProof/>
                <w:webHidden/>
              </w:rPr>
              <w:fldChar w:fldCharType="end"/>
            </w:r>
          </w:hyperlink>
        </w:p>
        <w:p w14:paraId="254C3009" w14:textId="752904F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14" w:history="1">
            <w:r w:rsidR="00061C72" w:rsidRPr="00845E86">
              <w:rPr>
                <w:rStyle w:val="Hyperlink"/>
                <w:noProof/>
              </w:rPr>
              <w:t>3.3.4 Exploratory Factor Analysis (EFA)</w:t>
            </w:r>
            <w:r w:rsidR="00061C72">
              <w:rPr>
                <w:noProof/>
                <w:webHidden/>
              </w:rPr>
              <w:tab/>
            </w:r>
            <w:r w:rsidR="00061C72">
              <w:rPr>
                <w:noProof/>
                <w:webHidden/>
              </w:rPr>
              <w:fldChar w:fldCharType="begin"/>
            </w:r>
            <w:r w:rsidR="00061C72">
              <w:rPr>
                <w:noProof/>
                <w:webHidden/>
              </w:rPr>
              <w:instrText xml:space="preserve"> PAGEREF _Toc137504714 \h </w:instrText>
            </w:r>
            <w:r w:rsidR="00061C72">
              <w:rPr>
                <w:noProof/>
                <w:webHidden/>
              </w:rPr>
            </w:r>
            <w:r w:rsidR="00061C72">
              <w:rPr>
                <w:noProof/>
                <w:webHidden/>
              </w:rPr>
              <w:fldChar w:fldCharType="separate"/>
            </w:r>
            <w:r w:rsidR="00061C72">
              <w:rPr>
                <w:noProof/>
                <w:webHidden/>
              </w:rPr>
              <w:t>38</w:t>
            </w:r>
            <w:r w:rsidR="00061C72">
              <w:rPr>
                <w:noProof/>
                <w:webHidden/>
              </w:rPr>
              <w:fldChar w:fldCharType="end"/>
            </w:r>
          </w:hyperlink>
        </w:p>
        <w:p w14:paraId="76DB98EA" w14:textId="190363E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15" w:history="1">
            <w:r w:rsidR="00061C72" w:rsidRPr="00845E86">
              <w:rPr>
                <w:rStyle w:val="Hyperlink"/>
                <w:noProof/>
              </w:rPr>
              <w:t>3.3.5 Confirmatory Factor Analysis (CFA)</w:t>
            </w:r>
            <w:r w:rsidR="00061C72">
              <w:rPr>
                <w:noProof/>
                <w:webHidden/>
              </w:rPr>
              <w:tab/>
            </w:r>
            <w:r w:rsidR="00061C72">
              <w:rPr>
                <w:noProof/>
                <w:webHidden/>
              </w:rPr>
              <w:fldChar w:fldCharType="begin"/>
            </w:r>
            <w:r w:rsidR="00061C72">
              <w:rPr>
                <w:noProof/>
                <w:webHidden/>
              </w:rPr>
              <w:instrText xml:space="preserve"> PAGEREF _Toc137504715 \h </w:instrText>
            </w:r>
            <w:r w:rsidR="00061C72">
              <w:rPr>
                <w:noProof/>
                <w:webHidden/>
              </w:rPr>
            </w:r>
            <w:r w:rsidR="00061C72">
              <w:rPr>
                <w:noProof/>
                <w:webHidden/>
              </w:rPr>
              <w:fldChar w:fldCharType="separate"/>
            </w:r>
            <w:r w:rsidR="00061C72">
              <w:rPr>
                <w:noProof/>
                <w:webHidden/>
              </w:rPr>
              <w:t>43</w:t>
            </w:r>
            <w:r w:rsidR="00061C72">
              <w:rPr>
                <w:noProof/>
                <w:webHidden/>
              </w:rPr>
              <w:fldChar w:fldCharType="end"/>
            </w:r>
          </w:hyperlink>
        </w:p>
        <w:p w14:paraId="61864C6E" w14:textId="1B4C4FE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16" w:history="1">
            <w:r w:rsidR="00061C72" w:rsidRPr="00845E86">
              <w:rPr>
                <w:rStyle w:val="Hyperlink"/>
                <w:noProof/>
              </w:rPr>
              <w:t>3.3.6 Rasch Modelling</w:t>
            </w:r>
            <w:r w:rsidR="00061C72">
              <w:rPr>
                <w:noProof/>
                <w:webHidden/>
              </w:rPr>
              <w:tab/>
            </w:r>
            <w:r w:rsidR="00061C72">
              <w:rPr>
                <w:noProof/>
                <w:webHidden/>
              </w:rPr>
              <w:fldChar w:fldCharType="begin"/>
            </w:r>
            <w:r w:rsidR="00061C72">
              <w:rPr>
                <w:noProof/>
                <w:webHidden/>
              </w:rPr>
              <w:instrText xml:space="preserve"> PAGEREF _Toc137504716 \h </w:instrText>
            </w:r>
            <w:r w:rsidR="00061C72">
              <w:rPr>
                <w:noProof/>
                <w:webHidden/>
              </w:rPr>
            </w:r>
            <w:r w:rsidR="00061C72">
              <w:rPr>
                <w:noProof/>
                <w:webHidden/>
              </w:rPr>
              <w:fldChar w:fldCharType="separate"/>
            </w:r>
            <w:r w:rsidR="00061C72">
              <w:rPr>
                <w:noProof/>
                <w:webHidden/>
              </w:rPr>
              <w:t>44</w:t>
            </w:r>
            <w:r w:rsidR="00061C72">
              <w:rPr>
                <w:noProof/>
                <w:webHidden/>
              </w:rPr>
              <w:fldChar w:fldCharType="end"/>
            </w:r>
          </w:hyperlink>
        </w:p>
        <w:p w14:paraId="782F08E0" w14:textId="0F7871B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17" w:history="1">
            <w:r w:rsidR="00061C72" w:rsidRPr="00845E86">
              <w:rPr>
                <w:rStyle w:val="Hyperlink"/>
                <w:noProof/>
              </w:rPr>
              <w:t>3.3.7 Final Rasch model Convergent validity</w:t>
            </w:r>
            <w:r w:rsidR="00061C72">
              <w:rPr>
                <w:noProof/>
                <w:webHidden/>
              </w:rPr>
              <w:tab/>
            </w:r>
            <w:r w:rsidR="00061C72">
              <w:rPr>
                <w:noProof/>
                <w:webHidden/>
              </w:rPr>
              <w:fldChar w:fldCharType="begin"/>
            </w:r>
            <w:r w:rsidR="00061C72">
              <w:rPr>
                <w:noProof/>
                <w:webHidden/>
              </w:rPr>
              <w:instrText xml:space="preserve"> PAGEREF _Toc137504717 \h </w:instrText>
            </w:r>
            <w:r w:rsidR="00061C72">
              <w:rPr>
                <w:noProof/>
                <w:webHidden/>
              </w:rPr>
            </w:r>
            <w:r w:rsidR="00061C72">
              <w:rPr>
                <w:noProof/>
                <w:webHidden/>
              </w:rPr>
              <w:fldChar w:fldCharType="separate"/>
            </w:r>
            <w:r w:rsidR="00061C72">
              <w:rPr>
                <w:noProof/>
                <w:webHidden/>
              </w:rPr>
              <w:t>56</w:t>
            </w:r>
            <w:r w:rsidR="00061C72">
              <w:rPr>
                <w:noProof/>
                <w:webHidden/>
              </w:rPr>
              <w:fldChar w:fldCharType="end"/>
            </w:r>
          </w:hyperlink>
        </w:p>
        <w:p w14:paraId="3F746F50" w14:textId="3E5C5800"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18" w:history="1">
            <w:r w:rsidR="00061C72" w:rsidRPr="00845E86">
              <w:rPr>
                <w:rStyle w:val="Hyperlink"/>
                <w:noProof/>
              </w:rPr>
              <w:t>3.4 Discussion</w:t>
            </w:r>
            <w:r w:rsidR="00061C72">
              <w:rPr>
                <w:noProof/>
                <w:webHidden/>
              </w:rPr>
              <w:tab/>
            </w:r>
            <w:r w:rsidR="00061C72">
              <w:rPr>
                <w:noProof/>
                <w:webHidden/>
              </w:rPr>
              <w:fldChar w:fldCharType="begin"/>
            </w:r>
            <w:r w:rsidR="00061C72">
              <w:rPr>
                <w:noProof/>
                <w:webHidden/>
              </w:rPr>
              <w:instrText xml:space="preserve"> PAGEREF _Toc137504718 \h </w:instrText>
            </w:r>
            <w:r w:rsidR="00061C72">
              <w:rPr>
                <w:noProof/>
                <w:webHidden/>
              </w:rPr>
            </w:r>
            <w:r w:rsidR="00061C72">
              <w:rPr>
                <w:noProof/>
                <w:webHidden/>
              </w:rPr>
              <w:fldChar w:fldCharType="separate"/>
            </w:r>
            <w:r w:rsidR="00061C72">
              <w:rPr>
                <w:noProof/>
                <w:webHidden/>
              </w:rPr>
              <w:t>60</w:t>
            </w:r>
            <w:r w:rsidR="00061C72">
              <w:rPr>
                <w:noProof/>
                <w:webHidden/>
              </w:rPr>
              <w:fldChar w:fldCharType="end"/>
            </w:r>
          </w:hyperlink>
        </w:p>
        <w:p w14:paraId="70DF264D" w14:textId="77642926"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19" w:history="1">
            <w:r w:rsidR="00061C72" w:rsidRPr="00845E86">
              <w:rPr>
                <w:rStyle w:val="Hyperlink"/>
                <w:noProof/>
              </w:rPr>
              <w:t>3.4.1 Key Findings - Factor Structure</w:t>
            </w:r>
            <w:r w:rsidR="00061C72">
              <w:rPr>
                <w:noProof/>
                <w:webHidden/>
              </w:rPr>
              <w:tab/>
            </w:r>
            <w:r w:rsidR="00061C72">
              <w:rPr>
                <w:noProof/>
                <w:webHidden/>
              </w:rPr>
              <w:fldChar w:fldCharType="begin"/>
            </w:r>
            <w:r w:rsidR="00061C72">
              <w:rPr>
                <w:noProof/>
                <w:webHidden/>
              </w:rPr>
              <w:instrText xml:space="preserve"> PAGEREF _Toc137504719 \h </w:instrText>
            </w:r>
            <w:r w:rsidR="00061C72">
              <w:rPr>
                <w:noProof/>
                <w:webHidden/>
              </w:rPr>
            </w:r>
            <w:r w:rsidR="00061C72">
              <w:rPr>
                <w:noProof/>
                <w:webHidden/>
              </w:rPr>
              <w:fldChar w:fldCharType="separate"/>
            </w:r>
            <w:r w:rsidR="00061C72">
              <w:rPr>
                <w:noProof/>
                <w:webHidden/>
              </w:rPr>
              <w:t>60</w:t>
            </w:r>
            <w:r w:rsidR="00061C72">
              <w:rPr>
                <w:noProof/>
                <w:webHidden/>
              </w:rPr>
              <w:fldChar w:fldCharType="end"/>
            </w:r>
          </w:hyperlink>
        </w:p>
        <w:p w14:paraId="3BCD5ACC" w14:textId="47F386E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20" w:history="1">
            <w:r w:rsidR="00061C72" w:rsidRPr="00845E86">
              <w:rPr>
                <w:rStyle w:val="Hyperlink"/>
                <w:noProof/>
              </w:rPr>
              <w:t>3.4.2 Key Findings – EASE-F refinement</w:t>
            </w:r>
            <w:r w:rsidR="00061C72">
              <w:rPr>
                <w:noProof/>
                <w:webHidden/>
              </w:rPr>
              <w:tab/>
            </w:r>
            <w:r w:rsidR="00061C72">
              <w:rPr>
                <w:noProof/>
                <w:webHidden/>
              </w:rPr>
              <w:fldChar w:fldCharType="begin"/>
            </w:r>
            <w:r w:rsidR="00061C72">
              <w:rPr>
                <w:noProof/>
                <w:webHidden/>
              </w:rPr>
              <w:instrText xml:space="preserve"> PAGEREF _Toc137504720 \h </w:instrText>
            </w:r>
            <w:r w:rsidR="00061C72">
              <w:rPr>
                <w:noProof/>
                <w:webHidden/>
              </w:rPr>
            </w:r>
            <w:r w:rsidR="00061C72">
              <w:rPr>
                <w:noProof/>
                <w:webHidden/>
              </w:rPr>
              <w:fldChar w:fldCharType="separate"/>
            </w:r>
            <w:r w:rsidR="00061C72">
              <w:rPr>
                <w:noProof/>
                <w:webHidden/>
              </w:rPr>
              <w:t>67</w:t>
            </w:r>
            <w:r w:rsidR="00061C72">
              <w:rPr>
                <w:noProof/>
                <w:webHidden/>
              </w:rPr>
              <w:fldChar w:fldCharType="end"/>
            </w:r>
          </w:hyperlink>
        </w:p>
        <w:p w14:paraId="502123A4" w14:textId="3D1979B4"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21" w:history="1">
            <w:r w:rsidR="00061C72" w:rsidRPr="00845E86">
              <w:rPr>
                <w:rStyle w:val="Hyperlink"/>
                <w:noProof/>
              </w:rPr>
              <w:t>3.4.3 Hypothesis Testing - Convergent Validity</w:t>
            </w:r>
            <w:r w:rsidR="00061C72">
              <w:rPr>
                <w:noProof/>
                <w:webHidden/>
              </w:rPr>
              <w:tab/>
            </w:r>
            <w:r w:rsidR="00061C72">
              <w:rPr>
                <w:noProof/>
                <w:webHidden/>
              </w:rPr>
              <w:fldChar w:fldCharType="begin"/>
            </w:r>
            <w:r w:rsidR="00061C72">
              <w:rPr>
                <w:noProof/>
                <w:webHidden/>
              </w:rPr>
              <w:instrText xml:space="preserve"> PAGEREF _Toc137504721 \h </w:instrText>
            </w:r>
            <w:r w:rsidR="00061C72">
              <w:rPr>
                <w:noProof/>
                <w:webHidden/>
              </w:rPr>
            </w:r>
            <w:r w:rsidR="00061C72">
              <w:rPr>
                <w:noProof/>
                <w:webHidden/>
              </w:rPr>
              <w:fldChar w:fldCharType="separate"/>
            </w:r>
            <w:r w:rsidR="00061C72">
              <w:rPr>
                <w:noProof/>
                <w:webHidden/>
              </w:rPr>
              <w:t>72</w:t>
            </w:r>
            <w:r w:rsidR="00061C72">
              <w:rPr>
                <w:noProof/>
                <w:webHidden/>
              </w:rPr>
              <w:fldChar w:fldCharType="end"/>
            </w:r>
          </w:hyperlink>
        </w:p>
        <w:p w14:paraId="22613B1F" w14:textId="51906855"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22" w:history="1">
            <w:r w:rsidR="00061C72" w:rsidRPr="00845E86">
              <w:rPr>
                <w:rStyle w:val="Hyperlink"/>
                <w:noProof/>
              </w:rPr>
              <w:t>3.4.4 Scoring</w:t>
            </w:r>
            <w:r w:rsidR="00061C72">
              <w:rPr>
                <w:noProof/>
                <w:webHidden/>
              </w:rPr>
              <w:tab/>
            </w:r>
            <w:r w:rsidR="00061C72">
              <w:rPr>
                <w:noProof/>
                <w:webHidden/>
              </w:rPr>
              <w:fldChar w:fldCharType="begin"/>
            </w:r>
            <w:r w:rsidR="00061C72">
              <w:rPr>
                <w:noProof/>
                <w:webHidden/>
              </w:rPr>
              <w:instrText xml:space="preserve"> PAGEREF _Toc137504722 \h </w:instrText>
            </w:r>
            <w:r w:rsidR="00061C72">
              <w:rPr>
                <w:noProof/>
                <w:webHidden/>
              </w:rPr>
            </w:r>
            <w:r w:rsidR="00061C72">
              <w:rPr>
                <w:noProof/>
                <w:webHidden/>
              </w:rPr>
              <w:fldChar w:fldCharType="separate"/>
            </w:r>
            <w:r w:rsidR="00061C72">
              <w:rPr>
                <w:noProof/>
                <w:webHidden/>
              </w:rPr>
              <w:t>73</w:t>
            </w:r>
            <w:r w:rsidR="00061C72">
              <w:rPr>
                <w:noProof/>
                <w:webHidden/>
              </w:rPr>
              <w:fldChar w:fldCharType="end"/>
            </w:r>
          </w:hyperlink>
        </w:p>
        <w:p w14:paraId="0725E75C" w14:textId="4C7678C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23" w:history="1">
            <w:r w:rsidR="00061C72" w:rsidRPr="00845E86">
              <w:rPr>
                <w:rStyle w:val="Hyperlink"/>
                <w:noProof/>
              </w:rPr>
              <w:t>3.4.5 Recommendations for Further Refinement</w:t>
            </w:r>
            <w:r w:rsidR="00061C72">
              <w:rPr>
                <w:noProof/>
                <w:webHidden/>
              </w:rPr>
              <w:tab/>
            </w:r>
            <w:r w:rsidR="00061C72">
              <w:rPr>
                <w:noProof/>
                <w:webHidden/>
              </w:rPr>
              <w:fldChar w:fldCharType="begin"/>
            </w:r>
            <w:r w:rsidR="00061C72">
              <w:rPr>
                <w:noProof/>
                <w:webHidden/>
              </w:rPr>
              <w:instrText xml:space="preserve"> PAGEREF _Toc137504723 \h </w:instrText>
            </w:r>
            <w:r w:rsidR="00061C72">
              <w:rPr>
                <w:noProof/>
                <w:webHidden/>
              </w:rPr>
            </w:r>
            <w:r w:rsidR="00061C72">
              <w:rPr>
                <w:noProof/>
                <w:webHidden/>
              </w:rPr>
              <w:fldChar w:fldCharType="separate"/>
            </w:r>
            <w:r w:rsidR="00061C72">
              <w:rPr>
                <w:noProof/>
                <w:webHidden/>
              </w:rPr>
              <w:t>73</w:t>
            </w:r>
            <w:r w:rsidR="00061C72">
              <w:rPr>
                <w:noProof/>
                <w:webHidden/>
              </w:rPr>
              <w:fldChar w:fldCharType="end"/>
            </w:r>
          </w:hyperlink>
        </w:p>
        <w:p w14:paraId="542978C1" w14:textId="1D12D43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24" w:history="1">
            <w:r w:rsidR="00061C72" w:rsidRPr="00845E86">
              <w:rPr>
                <w:rStyle w:val="Hyperlink"/>
                <w:noProof/>
              </w:rPr>
              <w:t>3.4.6 Strengths and Limitations</w:t>
            </w:r>
            <w:r w:rsidR="00061C72">
              <w:rPr>
                <w:noProof/>
                <w:webHidden/>
              </w:rPr>
              <w:tab/>
            </w:r>
            <w:r w:rsidR="00061C72">
              <w:rPr>
                <w:noProof/>
                <w:webHidden/>
              </w:rPr>
              <w:fldChar w:fldCharType="begin"/>
            </w:r>
            <w:r w:rsidR="00061C72">
              <w:rPr>
                <w:noProof/>
                <w:webHidden/>
              </w:rPr>
              <w:instrText xml:space="preserve"> PAGEREF _Toc137504724 \h </w:instrText>
            </w:r>
            <w:r w:rsidR="00061C72">
              <w:rPr>
                <w:noProof/>
                <w:webHidden/>
              </w:rPr>
            </w:r>
            <w:r w:rsidR="00061C72">
              <w:rPr>
                <w:noProof/>
                <w:webHidden/>
              </w:rPr>
              <w:fldChar w:fldCharType="separate"/>
            </w:r>
            <w:r w:rsidR="00061C72">
              <w:rPr>
                <w:noProof/>
                <w:webHidden/>
              </w:rPr>
              <w:t>75</w:t>
            </w:r>
            <w:r w:rsidR="00061C72">
              <w:rPr>
                <w:noProof/>
                <w:webHidden/>
              </w:rPr>
              <w:fldChar w:fldCharType="end"/>
            </w:r>
          </w:hyperlink>
        </w:p>
        <w:p w14:paraId="560A7721" w14:textId="41F58EF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25" w:history="1">
            <w:r w:rsidR="00061C72" w:rsidRPr="00845E86">
              <w:rPr>
                <w:rStyle w:val="Hyperlink"/>
                <w:noProof/>
              </w:rPr>
              <w:t>3.4.7 Clinical and Research Implications</w:t>
            </w:r>
            <w:r w:rsidR="00061C72">
              <w:rPr>
                <w:noProof/>
                <w:webHidden/>
              </w:rPr>
              <w:tab/>
            </w:r>
            <w:r w:rsidR="00061C72">
              <w:rPr>
                <w:noProof/>
                <w:webHidden/>
              </w:rPr>
              <w:fldChar w:fldCharType="begin"/>
            </w:r>
            <w:r w:rsidR="00061C72">
              <w:rPr>
                <w:noProof/>
                <w:webHidden/>
              </w:rPr>
              <w:instrText xml:space="preserve"> PAGEREF _Toc137504725 \h </w:instrText>
            </w:r>
            <w:r w:rsidR="00061C72">
              <w:rPr>
                <w:noProof/>
                <w:webHidden/>
              </w:rPr>
            </w:r>
            <w:r w:rsidR="00061C72">
              <w:rPr>
                <w:noProof/>
                <w:webHidden/>
              </w:rPr>
              <w:fldChar w:fldCharType="separate"/>
            </w:r>
            <w:r w:rsidR="00061C72">
              <w:rPr>
                <w:noProof/>
                <w:webHidden/>
              </w:rPr>
              <w:t>76</w:t>
            </w:r>
            <w:r w:rsidR="00061C72">
              <w:rPr>
                <w:noProof/>
                <w:webHidden/>
              </w:rPr>
              <w:fldChar w:fldCharType="end"/>
            </w:r>
          </w:hyperlink>
        </w:p>
        <w:p w14:paraId="6A88FFDB" w14:textId="6FE3CF36"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26" w:history="1">
            <w:r w:rsidR="00061C72" w:rsidRPr="00845E86">
              <w:rPr>
                <w:rStyle w:val="Hyperlink"/>
                <w:noProof/>
              </w:rPr>
              <w:t>3.4.8 Further Research</w:t>
            </w:r>
            <w:r w:rsidR="00061C72">
              <w:rPr>
                <w:noProof/>
                <w:webHidden/>
              </w:rPr>
              <w:tab/>
            </w:r>
            <w:r w:rsidR="00061C72">
              <w:rPr>
                <w:noProof/>
                <w:webHidden/>
              </w:rPr>
              <w:fldChar w:fldCharType="begin"/>
            </w:r>
            <w:r w:rsidR="00061C72">
              <w:rPr>
                <w:noProof/>
                <w:webHidden/>
              </w:rPr>
              <w:instrText xml:space="preserve"> PAGEREF _Toc137504726 \h </w:instrText>
            </w:r>
            <w:r w:rsidR="00061C72">
              <w:rPr>
                <w:noProof/>
                <w:webHidden/>
              </w:rPr>
            </w:r>
            <w:r w:rsidR="00061C72">
              <w:rPr>
                <w:noProof/>
                <w:webHidden/>
              </w:rPr>
              <w:fldChar w:fldCharType="separate"/>
            </w:r>
            <w:r w:rsidR="00061C72">
              <w:rPr>
                <w:noProof/>
                <w:webHidden/>
              </w:rPr>
              <w:t>77</w:t>
            </w:r>
            <w:r w:rsidR="00061C72">
              <w:rPr>
                <w:noProof/>
                <w:webHidden/>
              </w:rPr>
              <w:fldChar w:fldCharType="end"/>
            </w:r>
          </w:hyperlink>
        </w:p>
        <w:p w14:paraId="24CC70B7" w14:textId="51D635A0"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27" w:history="1">
            <w:r w:rsidR="00061C72" w:rsidRPr="00845E86">
              <w:rPr>
                <w:rStyle w:val="Hyperlink"/>
                <w:noProof/>
              </w:rPr>
              <w:t>3.4.9 Conclusion</w:t>
            </w:r>
            <w:r w:rsidR="00061C72">
              <w:rPr>
                <w:noProof/>
                <w:webHidden/>
              </w:rPr>
              <w:tab/>
            </w:r>
            <w:r w:rsidR="00061C72">
              <w:rPr>
                <w:noProof/>
                <w:webHidden/>
              </w:rPr>
              <w:fldChar w:fldCharType="begin"/>
            </w:r>
            <w:r w:rsidR="00061C72">
              <w:rPr>
                <w:noProof/>
                <w:webHidden/>
              </w:rPr>
              <w:instrText xml:space="preserve"> PAGEREF _Toc137504727 \h </w:instrText>
            </w:r>
            <w:r w:rsidR="00061C72">
              <w:rPr>
                <w:noProof/>
                <w:webHidden/>
              </w:rPr>
            </w:r>
            <w:r w:rsidR="00061C72">
              <w:rPr>
                <w:noProof/>
                <w:webHidden/>
              </w:rPr>
              <w:fldChar w:fldCharType="separate"/>
            </w:r>
            <w:r w:rsidR="00061C72">
              <w:rPr>
                <w:noProof/>
                <w:webHidden/>
              </w:rPr>
              <w:t>77</w:t>
            </w:r>
            <w:r w:rsidR="00061C72">
              <w:rPr>
                <w:noProof/>
                <w:webHidden/>
              </w:rPr>
              <w:fldChar w:fldCharType="end"/>
            </w:r>
          </w:hyperlink>
        </w:p>
        <w:p w14:paraId="520CF57F" w14:textId="072D48CB"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728" w:history="1">
            <w:r w:rsidR="00061C72" w:rsidRPr="00845E86">
              <w:rPr>
                <w:rStyle w:val="Hyperlink"/>
                <w:noProof/>
              </w:rPr>
              <w:t>4.0 Urgent and Emergency Care Utilisation in patients with Functional Neurological Symptom Disorder</w:t>
            </w:r>
            <w:r w:rsidR="00061C72">
              <w:rPr>
                <w:noProof/>
                <w:webHidden/>
              </w:rPr>
              <w:tab/>
            </w:r>
            <w:r w:rsidR="00061C72">
              <w:rPr>
                <w:noProof/>
                <w:webHidden/>
              </w:rPr>
              <w:fldChar w:fldCharType="begin"/>
            </w:r>
            <w:r w:rsidR="00061C72">
              <w:rPr>
                <w:noProof/>
                <w:webHidden/>
              </w:rPr>
              <w:instrText xml:space="preserve"> PAGEREF _Toc137504728 \h </w:instrText>
            </w:r>
            <w:r w:rsidR="00061C72">
              <w:rPr>
                <w:noProof/>
                <w:webHidden/>
              </w:rPr>
            </w:r>
            <w:r w:rsidR="00061C72">
              <w:rPr>
                <w:noProof/>
                <w:webHidden/>
              </w:rPr>
              <w:fldChar w:fldCharType="separate"/>
            </w:r>
            <w:r w:rsidR="00061C72">
              <w:rPr>
                <w:noProof/>
                <w:webHidden/>
              </w:rPr>
              <w:t>79</w:t>
            </w:r>
            <w:r w:rsidR="00061C72">
              <w:rPr>
                <w:noProof/>
                <w:webHidden/>
              </w:rPr>
              <w:fldChar w:fldCharType="end"/>
            </w:r>
          </w:hyperlink>
        </w:p>
        <w:p w14:paraId="5632DAE2" w14:textId="4D9DAF7E"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29" w:history="1">
            <w:r w:rsidR="00061C72" w:rsidRPr="00845E86">
              <w:rPr>
                <w:rStyle w:val="Hyperlink"/>
                <w:noProof/>
              </w:rPr>
              <w:t>4.1. Introduction</w:t>
            </w:r>
            <w:r w:rsidR="00061C72">
              <w:rPr>
                <w:noProof/>
                <w:webHidden/>
              </w:rPr>
              <w:tab/>
            </w:r>
            <w:r w:rsidR="00061C72">
              <w:rPr>
                <w:noProof/>
                <w:webHidden/>
              </w:rPr>
              <w:fldChar w:fldCharType="begin"/>
            </w:r>
            <w:r w:rsidR="00061C72">
              <w:rPr>
                <w:noProof/>
                <w:webHidden/>
              </w:rPr>
              <w:instrText xml:space="preserve"> PAGEREF _Toc137504729 \h </w:instrText>
            </w:r>
            <w:r w:rsidR="00061C72">
              <w:rPr>
                <w:noProof/>
                <w:webHidden/>
              </w:rPr>
            </w:r>
            <w:r w:rsidR="00061C72">
              <w:rPr>
                <w:noProof/>
                <w:webHidden/>
              </w:rPr>
              <w:fldChar w:fldCharType="separate"/>
            </w:r>
            <w:r w:rsidR="00061C72">
              <w:rPr>
                <w:noProof/>
                <w:webHidden/>
              </w:rPr>
              <w:t>79</w:t>
            </w:r>
            <w:r w:rsidR="00061C72">
              <w:rPr>
                <w:noProof/>
                <w:webHidden/>
              </w:rPr>
              <w:fldChar w:fldCharType="end"/>
            </w:r>
          </w:hyperlink>
        </w:p>
        <w:p w14:paraId="7803F075" w14:textId="19DEC2E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0" w:history="1">
            <w:r w:rsidR="00061C72" w:rsidRPr="00845E86">
              <w:rPr>
                <w:rStyle w:val="Hyperlink"/>
                <w:noProof/>
              </w:rPr>
              <w:t>4.1.1 Emergency/Urgent Care Services Use in FNSD</w:t>
            </w:r>
            <w:r w:rsidR="00061C72">
              <w:rPr>
                <w:noProof/>
                <w:webHidden/>
              </w:rPr>
              <w:tab/>
            </w:r>
            <w:r w:rsidR="00061C72">
              <w:rPr>
                <w:noProof/>
                <w:webHidden/>
              </w:rPr>
              <w:fldChar w:fldCharType="begin"/>
            </w:r>
            <w:r w:rsidR="00061C72">
              <w:rPr>
                <w:noProof/>
                <w:webHidden/>
              </w:rPr>
              <w:instrText xml:space="preserve"> PAGEREF _Toc137504730 \h </w:instrText>
            </w:r>
            <w:r w:rsidR="00061C72">
              <w:rPr>
                <w:noProof/>
                <w:webHidden/>
              </w:rPr>
            </w:r>
            <w:r w:rsidR="00061C72">
              <w:rPr>
                <w:noProof/>
                <w:webHidden/>
              </w:rPr>
              <w:fldChar w:fldCharType="separate"/>
            </w:r>
            <w:r w:rsidR="00061C72">
              <w:rPr>
                <w:noProof/>
                <w:webHidden/>
              </w:rPr>
              <w:t>79</w:t>
            </w:r>
            <w:r w:rsidR="00061C72">
              <w:rPr>
                <w:noProof/>
                <w:webHidden/>
              </w:rPr>
              <w:fldChar w:fldCharType="end"/>
            </w:r>
          </w:hyperlink>
        </w:p>
        <w:p w14:paraId="4A2CA8F9" w14:textId="6594EE04"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1" w:history="1">
            <w:r w:rsidR="00061C72" w:rsidRPr="00845E86">
              <w:rPr>
                <w:rStyle w:val="Hyperlink"/>
                <w:noProof/>
              </w:rPr>
              <w:t>4.1.2 Prevalence statistics</w:t>
            </w:r>
            <w:r w:rsidR="00061C72">
              <w:rPr>
                <w:noProof/>
                <w:webHidden/>
              </w:rPr>
              <w:tab/>
            </w:r>
            <w:r w:rsidR="00061C72">
              <w:rPr>
                <w:noProof/>
                <w:webHidden/>
              </w:rPr>
              <w:fldChar w:fldCharType="begin"/>
            </w:r>
            <w:r w:rsidR="00061C72">
              <w:rPr>
                <w:noProof/>
                <w:webHidden/>
              </w:rPr>
              <w:instrText xml:space="preserve"> PAGEREF _Toc137504731 \h </w:instrText>
            </w:r>
            <w:r w:rsidR="00061C72">
              <w:rPr>
                <w:noProof/>
                <w:webHidden/>
              </w:rPr>
            </w:r>
            <w:r w:rsidR="00061C72">
              <w:rPr>
                <w:noProof/>
                <w:webHidden/>
              </w:rPr>
              <w:fldChar w:fldCharType="separate"/>
            </w:r>
            <w:r w:rsidR="00061C72">
              <w:rPr>
                <w:noProof/>
                <w:webHidden/>
              </w:rPr>
              <w:t>80</w:t>
            </w:r>
            <w:r w:rsidR="00061C72">
              <w:rPr>
                <w:noProof/>
                <w:webHidden/>
              </w:rPr>
              <w:fldChar w:fldCharType="end"/>
            </w:r>
          </w:hyperlink>
        </w:p>
        <w:p w14:paraId="2E5B24A9" w14:textId="3776D7A4"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2" w:history="1">
            <w:r w:rsidR="00061C72" w:rsidRPr="00845E86">
              <w:rPr>
                <w:rStyle w:val="Hyperlink"/>
                <w:noProof/>
              </w:rPr>
              <w:t>4.1.3 Mis-/ lack of diagnosis</w:t>
            </w:r>
            <w:r w:rsidR="00061C72">
              <w:rPr>
                <w:noProof/>
                <w:webHidden/>
              </w:rPr>
              <w:tab/>
            </w:r>
            <w:r w:rsidR="00061C72">
              <w:rPr>
                <w:noProof/>
                <w:webHidden/>
              </w:rPr>
              <w:fldChar w:fldCharType="begin"/>
            </w:r>
            <w:r w:rsidR="00061C72">
              <w:rPr>
                <w:noProof/>
                <w:webHidden/>
              </w:rPr>
              <w:instrText xml:space="preserve"> PAGEREF _Toc137504732 \h </w:instrText>
            </w:r>
            <w:r w:rsidR="00061C72">
              <w:rPr>
                <w:noProof/>
                <w:webHidden/>
              </w:rPr>
            </w:r>
            <w:r w:rsidR="00061C72">
              <w:rPr>
                <w:noProof/>
                <w:webHidden/>
              </w:rPr>
              <w:fldChar w:fldCharType="separate"/>
            </w:r>
            <w:r w:rsidR="00061C72">
              <w:rPr>
                <w:noProof/>
                <w:webHidden/>
              </w:rPr>
              <w:t>80</w:t>
            </w:r>
            <w:r w:rsidR="00061C72">
              <w:rPr>
                <w:noProof/>
                <w:webHidden/>
              </w:rPr>
              <w:fldChar w:fldCharType="end"/>
            </w:r>
          </w:hyperlink>
        </w:p>
        <w:p w14:paraId="799A36D1" w14:textId="421B6220"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3" w:history="1">
            <w:r w:rsidR="00061C72" w:rsidRPr="00845E86">
              <w:rPr>
                <w:rStyle w:val="Hyperlink"/>
                <w:noProof/>
              </w:rPr>
              <w:t>4.1.4 Mistreatment</w:t>
            </w:r>
            <w:r w:rsidR="00061C72">
              <w:rPr>
                <w:noProof/>
                <w:webHidden/>
              </w:rPr>
              <w:tab/>
            </w:r>
            <w:r w:rsidR="00061C72">
              <w:rPr>
                <w:noProof/>
                <w:webHidden/>
              </w:rPr>
              <w:fldChar w:fldCharType="begin"/>
            </w:r>
            <w:r w:rsidR="00061C72">
              <w:rPr>
                <w:noProof/>
                <w:webHidden/>
              </w:rPr>
              <w:instrText xml:space="preserve"> PAGEREF _Toc137504733 \h </w:instrText>
            </w:r>
            <w:r w:rsidR="00061C72">
              <w:rPr>
                <w:noProof/>
                <w:webHidden/>
              </w:rPr>
            </w:r>
            <w:r w:rsidR="00061C72">
              <w:rPr>
                <w:noProof/>
                <w:webHidden/>
              </w:rPr>
              <w:fldChar w:fldCharType="separate"/>
            </w:r>
            <w:r w:rsidR="00061C72">
              <w:rPr>
                <w:noProof/>
                <w:webHidden/>
              </w:rPr>
              <w:t>81</w:t>
            </w:r>
            <w:r w:rsidR="00061C72">
              <w:rPr>
                <w:noProof/>
                <w:webHidden/>
              </w:rPr>
              <w:fldChar w:fldCharType="end"/>
            </w:r>
          </w:hyperlink>
        </w:p>
        <w:p w14:paraId="2C35DE72" w14:textId="51831A84"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4" w:history="1">
            <w:r w:rsidR="00061C72" w:rsidRPr="00845E86">
              <w:rPr>
                <w:rStyle w:val="Hyperlink"/>
                <w:noProof/>
              </w:rPr>
              <w:t>4.1.5 Lack of specialist treatment</w:t>
            </w:r>
            <w:r w:rsidR="00061C72">
              <w:rPr>
                <w:noProof/>
                <w:webHidden/>
              </w:rPr>
              <w:tab/>
            </w:r>
            <w:r w:rsidR="00061C72">
              <w:rPr>
                <w:noProof/>
                <w:webHidden/>
              </w:rPr>
              <w:fldChar w:fldCharType="begin"/>
            </w:r>
            <w:r w:rsidR="00061C72">
              <w:rPr>
                <w:noProof/>
                <w:webHidden/>
              </w:rPr>
              <w:instrText xml:space="preserve"> PAGEREF _Toc137504734 \h </w:instrText>
            </w:r>
            <w:r w:rsidR="00061C72">
              <w:rPr>
                <w:noProof/>
                <w:webHidden/>
              </w:rPr>
            </w:r>
            <w:r w:rsidR="00061C72">
              <w:rPr>
                <w:noProof/>
                <w:webHidden/>
              </w:rPr>
              <w:fldChar w:fldCharType="separate"/>
            </w:r>
            <w:r w:rsidR="00061C72">
              <w:rPr>
                <w:noProof/>
                <w:webHidden/>
              </w:rPr>
              <w:t>81</w:t>
            </w:r>
            <w:r w:rsidR="00061C72">
              <w:rPr>
                <w:noProof/>
                <w:webHidden/>
              </w:rPr>
              <w:fldChar w:fldCharType="end"/>
            </w:r>
          </w:hyperlink>
        </w:p>
        <w:p w14:paraId="29A39242" w14:textId="5EB1683D"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5" w:history="1">
            <w:r w:rsidR="00061C72" w:rsidRPr="00845E86">
              <w:rPr>
                <w:rStyle w:val="Hyperlink"/>
                <w:noProof/>
              </w:rPr>
              <w:t>4.1.6 Financial Implications</w:t>
            </w:r>
            <w:r w:rsidR="00061C72">
              <w:rPr>
                <w:noProof/>
                <w:webHidden/>
              </w:rPr>
              <w:tab/>
            </w:r>
            <w:r w:rsidR="00061C72">
              <w:rPr>
                <w:noProof/>
                <w:webHidden/>
              </w:rPr>
              <w:fldChar w:fldCharType="begin"/>
            </w:r>
            <w:r w:rsidR="00061C72">
              <w:rPr>
                <w:noProof/>
                <w:webHidden/>
              </w:rPr>
              <w:instrText xml:space="preserve"> PAGEREF _Toc137504735 \h </w:instrText>
            </w:r>
            <w:r w:rsidR="00061C72">
              <w:rPr>
                <w:noProof/>
                <w:webHidden/>
              </w:rPr>
            </w:r>
            <w:r w:rsidR="00061C72">
              <w:rPr>
                <w:noProof/>
                <w:webHidden/>
              </w:rPr>
              <w:fldChar w:fldCharType="separate"/>
            </w:r>
            <w:r w:rsidR="00061C72">
              <w:rPr>
                <w:noProof/>
                <w:webHidden/>
              </w:rPr>
              <w:t>82</w:t>
            </w:r>
            <w:r w:rsidR="00061C72">
              <w:rPr>
                <w:noProof/>
                <w:webHidden/>
              </w:rPr>
              <w:fldChar w:fldCharType="end"/>
            </w:r>
          </w:hyperlink>
        </w:p>
        <w:p w14:paraId="032EB576" w14:textId="42145BE2"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6" w:history="1">
            <w:r w:rsidR="00061C72" w:rsidRPr="00845E86">
              <w:rPr>
                <w:rStyle w:val="Hyperlink"/>
                <w:noProof/>
              </w:rPr>
              <w:t>4.1.7 Treatment-Related Change</w:t>
            </w:r>
            <w:r w:rsidR="00061C72">
              <w:rPr>
                <w:noProof/>
                <w:webHidden/>
              </w:rPr>
              <w:tab/>
            </w:r>
            <w:r w:rsidR="00061C72">
              <w:rPr>
                <w:noProof/>
                <w:webHidden/>
              </w:rPr>
              <w:fldChar w:fldCharType="begin"/>
            </w:r>
            <w:r w:rsidR="00061C72">
              <w:rPr>
                <w:noProof/>
                <w:webHidden/>
              </w:rPr>
              <w:instrText xml:space="preserve"> PAGEREF _Toc137504736 \h </w:instrText>
            </w:r>
            <w:r w:rsidR="00061C72">
              <w:rPr>
                <w:noProof/>
                <w:webHidden/>
              </w:rPr>
            </w:r>
            <w:r w:rsidR="00061C72">
              <w:rPr>
                <w:noProof/>
                <w:webHidden/>
              </w:rPr>
              <w:fldChar w:fldCharType="separate"/>
            </w:r>
            <w:r w:rsidR="00061C72">
              <w:rPr>
                <w:noProof/>
                <w:webHidden/>
              </w:rPr>
              <w:t>82</w:t>
            </w:r>
            <w:r w:rsidR="00061C72">
              <w:rPr>
                <w:noProof/>
                <w:webHidden/>
              </w:rPr>
              <w:fldChar w:fldCharType="end"/>
            </w:r>
          </w:hyperlink>
        </w:p>
        <w:p w14:paraId="31F42E49" w14:textId="3998DA6F"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7" w:history="1">
            <w:r w:rsidR="00061C72" w:rsidRPr="00845E86">
              <w:rPr>
                <w:rStyle w:val="Hyperlink"/>
                <w:noProof/>
              </w:rPr>
              <w:t>4.1.8 Emergency Service Use as an Outcome Measure</w:t>
            </w:r>
            <w:r w:rsidR="00061C72">
              <w:rPr>
                <w:noProof/>
                <w:webHidden/>
              </w:rPr>
              <w:tab/>
            </w:r>
            <w:r w:rsidR="00061C72">
              <w:rPr>
                <w:noProof/>
                <w:webHidden/>
              </w:rPr>
              <w:fldChar w:fldCharType="begin"/>
            </w:r>
            <w:r w:rsidR="00061C72">
              <w:rPr>
                <w:noProof/>
                <w:webHidden/>
              </w:rPr>
              <w:instrText xml:space="preserve"> PAGEREF _Toc137504737 \h </w:instrText>
            </w:r>
            <w:r w:rsidR="00061C72">
              <w:rPr>
                <w:noProof/>
                <w:webHidden/>
              </w:rPr>
            </w:r>
            <w:r w:rsidR="00061C72">
              <w:rPr>
                <w:noProof/>
                <w:webHidden/>
              </w:rPr>
              <w:fldChar w:fldCharType="separate"/>
            </w:r>
            <w:r w:rsidR="00061C72">
              <w:rPr>
                <w:noProof/>
                <w:webHidden/>
              </w:rPr>
              <w:t>83</w:t>
            </w:r>
            <w:r w:rsidR="00061C72">
              <w:rPr>
                <w:noProof/>
                <w:webHidden/>
              </w:rPr>
              <w:fldChar w:fldCharType="end"/>
            </w:r>
          </w:hyperlink>
        </w:p>
        <w:p w14:paraId="7FA065C2" w14:textId="45EB836F"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8" w:history="1">
            <w:r w:rsidR="00061C72" w:rsidRPr="00845E86">
              <w:rPr>
                <w:rStyle w:val="Hyperlink"/>
                <w:noProof/>
              </w:rPr>
              <w:t>4.1.9 Time Series Analysis</w:t>
            </w:r>
            <w:r w:rsidR="00061C72">
              <w:rPr>
                <w:noProof/>
                <w:webHidden/>
              </w:rPr>
              <w:tab/>
            </w:r>
            <w:r w:rsidR="00061C72">
              <w:rPr>
                <w:noProof/>
                <w:webHidden/>
              </w:rPr>
              <w:fldChar w:fldCharType="begin"/>
            </w:r>
            <w:r w:rsidR="00061C72">
              <w:rPr>
                <w:noProof/>
                <w:webHidden/>
              </w:rPr>
              <w:instrText xml:space="preserve"> PAGEREF _Toc137504738 \h </w:instrText>
            </w:r>
            <w:r w:rsidR="00061C72">
              <w:rPr>
                <w:noProof/>
                <w:webHidden/>
              </w:rPr>
            </w:r>
            <w:r w:rsidR="00061C72">
              <w:rPr>
                <w:noProof/>
                <w:webHidden/>
              </w:rPr>
              <w:fldChar w:fldCharType="separate"/>
            </w:r>
            <w:r w:rsidR="00061C72">
              <w:rPr>
                <w:noProof/>
                <w:webHidden/>
              </w:rPr>
              <w:t>84</w:t>
            </w:r>
            <w:r w:rsidR="00061C72">
              <w:rPr>
                <w:noProof/>
                <w:webHidden/>
              </w:rPr>
              <w:fldChar w:fldCharType="end"/>
            </w:r>
          </w:hyperlink>
        </w:p>
        <w:p w14:paraId="476CC002" w14:textId="12F6E1D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39" w:history="1">
            <w:r w:rsidR="00061C72" w:rsidRPr="00845E86">
              <w:rPr>
                <w:rStyle w:val="Hyperlink"/>
                <w:noProof/>
              </w:rPr>
              <w:t>4.1.10 Research Study</w:t>
            </w:r>
            <w:r w:rsidR="00061C72">
              <w:rPr>
                <w:noProof/>
                <w:webHidden/>
              </w:rPr>
              <w:tab/>
            </w:r>
            <w:r w:rsidR="00061C72">
              <w:rPr>
                <w:noProof/>
                <w:webHidden/>
              </w:rPr>
              <w:fldChar w:fldCharType="begin"/>
            </w:r>
            <w:r w:rsidR="00061C72">
              <w:rPr>
                <w:noProof/>
                <w:webHidden/>
              </w:rPr>
              <w:instrText xml:space="preserve"> PAGEREF _Toc137504739 \h </w:instrText>
            </w:r>
            <w:r w:rsidR="00061C72">
              <w:rPr>
                <w:noProof/>
                <w:webHidden/>
              </w:rPr>
            </w:r>
            <w:r w:rsidR="00061C72">
              <w:rPr>
                <w:noProof/>
                <w:webHidden/>
              </w:rPr>
              <w:fldChar w:fldCharType="separate"/>
            </w:r>
            <w:r w:rsidR="00061C72">
              <w:rPr>
                <w:noProof/>
                <w:webHidden/>
              </w:rPr>
              <w:t>84</w:t>
            </w:r>
            <w:r w:rsidR="00061C72">
              <w:rPr>
                <w:noProof/>
                <w:webHidden/>
              </w:rPr>
              <w:fldChar w:fldCharType="end"/>
            </w:r>
          </w:hyperlink>
        </w:p>
        <w:p w14:paraId="320EE25F" w14:textId="1A68005A"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40" w:history="1">
            <w:r w:rsidR="00061C72" w:rsidRPr="00845E86">
              <w:rPr>
                <w:rStyle w:val="Hyperlink"/>
                <w:noProof/>
              </w:rPr>
              <w:t>4.2 Methods</w:t>
            </w:r>
            <w:r w:rsidR="00061C72">
              <w:rPr>
                <w:noProof/>
                <w:webHidden/>
              </w:rPr>
              <w:tab/>
            </w:r>
            <w:r w:rsidR="00061C72">
              <w:rPr>
                <w:noProof/>
                <w:webHidden/>
              </w:rPr>
              <w:fldChar w:fldCharType="begin"/>
            </w:r>
            <w:r w:rsidR="00061C72">
              <w:rPr>
                <w:noProof/>
                <w:webHidden/>
              </w:rPr>
              <w:instrText xml:space="preserve"> PAGEREF _Toc137504740 \h </w:instrText>
            </w:r>
            <w:r w:rsidR="00061C72">
              <w:rPr>
                <w:noProof/>
                <w:webHidden/>
              </w:rPr>
            </w:r>
            <w:r w:rsidR="00061C72">
              <w:rPr>
                <w:noProof/>
                <w:webHidden/>
              </w:rPr>
              <w:fldChar w:fldCharType="separate"/>
            </w:r>
            <w:r w:rsidR="00061C72">
              <w:rPr>
                <w:noProof/>
                <w:webHidden/>
              </w:rPr>
              <w:t>86</w:t>
            </w:r>
            <w:r w:rsidR="00061C72">
              <w:rPr>
                <w:noProof/>
                <w:webHidden/>
              </w:rPr>
              <w:fldChar w:fldCharType="end"/>
            </w:r>
          </w:hyperlink>
        </w:p>
        <w:p w14:paraId="000F2198" w14:textId="0760695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41" w:history="1">
            <w:r w:rsidR="00061C72" w:rsidRPr="00845E86">
              <w:rPr>
                <w:rStyle w:val="Hyperlink"/>
                <w:noProof/>
              </w:rPr>
              <w:t>4.2.1 Summary</w:t>
            </w:r>
            <w:r w:rsidR="00061C72">
              <w:rPr>
                <w:noProof/>
                <w:webHidden/>
              </w:rPr>
              <w:tab/>
            </w:r>
            <w:r w:rsidR="00061C72">
              <w:rPr>
                <w:noProof/>
                <w:webHidden/>
              </w:rPr>
              <w:fldChar w:fldCharType="begin"/>
            </w:r>
            <w:r w:rsidR="00061C72">
              <w:rPr>
                <w:noProof/>
                <w:webHidden/>
              </w:rPr>
              <w:instrText xml:space="preserve"> PAGEREF _Toc137504741 \h </w:instrText>
            </w:r>
            <w:r w:rsidR="00061C72">
              <w:rPr>
                <w:noProof/>
                <w:webHidden/>
              </w:rPr>
            </w:r>
            <w:r w:rsidR="00061C72">
              <w:rPr>
                <w:noProof/>
                <w:webHidden/>
              </w:rPr>
              <w:fldChar w:fldCharType="separate"/>
            </w:r>
            <w:r w:rsidR="00061C72">
              <w:rPr>
                <w:noProof/>
                <w:webHidden/>
              </w:rPr>
              <w:t>86</w:t>
            </w:r>
            <w:r w:rsidR="00061C72">
              <w:rPr>
                <w:noProof/>
                <w:webHidden/>
              </w:rPr>
              <w:fldChar w:fldCharType="end"/>
            </w:r>
          </w:hyperlink>
        </w:p>
        <w:p w14:paraId="5F8877D8" w14:textId="4EBBA8D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42" w:history="1">
            <w:r w:rsidR="00061C72" w:rsidRPr="00845E86">
              <w:rPr>
                <w:rStyle w:val="Hyperlink"/>
                <w:noProof/>
              </w:rPr>
              <w:t>4.2.2 Data sources</w:t>
            </w:r>
            <w:r w:rsidR="00061C72">
              <w:rPr>
                <w:noProof/>
                <w:webHidden/>
              </w:rPr>
              <w:tab/>
            </w:r>
            <w:r w:rsidR="00061C72">
              <w:rPr>
                <w:noProof/>
                <w:webHidden/>
              </w:rPr>
              <w:fldChar w:fldCharType="begin"/>
            </w:r>
            <w:r w:rsidR="00061C72">
              <w:rPr>
                <w:noProof/>
                <w:webHidden/>
              </w:rPr>
              <w:instrText xml:space="preserve"> PAGEREF _Toc137504742 \h </w:instrText>
            </w:r>
            <w:r w:rsidR="00061C72">
              <w:rPr>
                <w:noProof/>
                <w:webHidden/>
              </w:rPr>
            </w:r>
            <w:r w:rsidR="00061C72">
              <w:rPr>
                <w:noProof/>
                <w:webHidden/>
              </w:rPr>
              <w:fldChar w:fldCharType="separate"/>
            </w:r>
            <w:r w:rsidR="00061C72">
              <w:rPr>
                <w:noProof/>
                <w:webHidden/>
              </w:rPr>
              <w:t>86</w:t>
            </w:r>
            <w:r w:rsidR="00061C72">
              <w:rPr>
                <w:noProof/>
                <w:webHidden/>
              </w:rPr>
              <w:fldChar w:fldCharType="end"/>
            </w:r>
          </w:hyperlink>
        </w:p>
        <w:p w14:paraId="116A7915" w14:textId="03898343"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43" w:history="1">
            <w:r w:rsidR="00061C72" w:rsidRPr="00845E86">
              <w:rPr>
                <w:rStyle w:val="Hyperlink"/>
                <w:noProof/>
              </w:rPr>
              <w:t>4.2.3 Data linkage</w:t>
            </w:r>
            <w:r w:rsidR="00061C72">
              <w:rPr>
                <w:noProof/>
                <w:webHidden/>
              </w:rPr>
              <w:tab/>
            </w:r>
            <w:r w:rsidR="00061C72">
              <w:rPr>
                <w:noProof/>
                <w:webHidden/>
              </w:rPr>
              <w:fldChar w:fldCharType="begin"/>
            </w:r>
            <w:r w:rsidR="00061C72">
              <w:rPr>
                <w:noProof/>
                <w:webHidden/>
              </w:rPr>
              <w:instrText xml:space="preserve"> PAGEREF _Toc137504743 \h </w:instrText>
            </w:r>
            <w:r w:rsidR="00061C72">
              <w:rPr>
                <w:noProof/>
                <w:webHidden/>
              </w:rPr>
            </w:r>
            <w:r w:rsidR="00061C72">
              <w:rPr>
                <w:noProof/>
                <w:webHidden/>
              </w:rPr>
              <w:fldChar w:fldCharType="separate"/>
            </w:r>
            <w:r w:rsidR="00061C72">
              <w:rPr>
                <w:noProof/>
                <w:webHidden/>
              </w:rPr>
              <w:t>88</w:t>
            </w:r>
            <w:r w:rsidR="00061C72">
              <w:rPr>
                <w:noProof/>
                <w:webHidden/>
              </w:rPr>
              <w:fldChar w:fldCharType="end"/>
            </w:r>
          </w:hyperlink>
        </w:p>
        <w:p w14:paraId="3CB3D30D" w14:textId="7E28F7C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44" w:history="1">
            <w:r w:rsidR="00061C72" w:rsidRPr="00845E86">
              <w:rPr>
                <w:rStyle w:val="Hyperlink"/>
                <w:noProof/>
              </w:rPr>
              <w:t>4.2.4 Extracted Data</w:t>
            </w:r>
            <w:r w:rsidR="00061C72">
              <w:rPr>
                <w:noProof/>
                <w:webHidden/>
              </w:rPr>
              <w:tab/>
            </w:r>
            <w:r w:rsidR="00061C72">
              <w:rPr>
                <w:noProof/>
                <w:webHidden/>
              </w:rPr>
              <w:fldChar w:fldCharType="begin"/>
            </w:r>
            <w:r w:rsidR="00061C72">
              <w:rPr>
                <w:noProof/>
                <w:webHidden/>
              </w:rPr>
              <w:instrText xml:space="preserve"> PAGEREF _Toc137504744 \h </w:instrText>
            </w:r>
            <w:r w:rsidR="00061C72">
              <w:rPr>
                <w:noProof/>
                <w:webHidden/>
              </w:rPr>
            </w:r>
            <w:r w:rsidR="00061C72">
              <w:rPr>
                <w:noProof/>
                <w:webHidden/>
              </w:rPr>
              <w:fldChar w:fldCharType="separate"/>
            </w:r>
            <w:r w:rsidR="00061C72">
              <w:rPr>
                <w:noProof/>
                <w:webHidden/>
              </w:rPr>
              <w:t>88</w:t>
            </w:r>
            <w:r w:rsidR="00061C72">
              <w:rPr>
                <w:noProof/>
                <w:webHidden/>
              </w:rPr>
              <w:fldChar w:fldCharType="end"/>
            </w:r>
          </w:hyperlink>
        </w:p>
        <w:p w14:paraId="59B46AF2" w14:textId="75C2B0A3"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45" w:history="1">
            <w:r w:rsidR="00061C72" w:rsidRPr="00845E86">
              <w:rPr>
                <w:rStyle w:val="Hyperlink"/>
                <w:noProof/>
              </w:rPr>
              <w:t>4.2.5 Ethics and Permissions</w:t>
            </w:r>
            <w:r w:rsidR="00061C72">
              <w:rPr>
                <w:noProof/>
                <w:webHidden/>
              </w:rPr>
              <w:tab/>
            </w:r>
            <w:r w:rsidR="00061C72">
              <w:rPr>
                <w:noProof/>
                <w:webHidden/>
              </w:rPr>
              <w:fldChar w:fldCharType="begin"/>
            </w:r>
            <w:r w:rsidR="00061C72">
              <w:rPr>
                <w:noProof/>
                <w:webHidden/>
              </w:rPr>
              <w:instrText xml:space="preserve"> PAGEREF _Toc137504745 \h </w:instrText>
            </w:r>
            <w:r w:rsidR="00061C72">
              <w:rPr>
                <w:noProof/>
                <w:webHidden/>
              </w:rPr>
            </w:r>
            <w:r w:rsidR="00061C72">
              <w:rPr>
                <w:noProof/>
                <w:webHidden/>
              </w:rPr>
              <w:fldChar w:fldCharType="separate"/>
            </w:r>
            <w:r w:rsidR="00061C72">
              <w:rPr>
                <w:noProof/>
                <w:webHidden/>
              </w:rPr>
              <w:t>90</w:t>
            </w:r>
            <w:r w:rsidR="00061C72">
              <w:rPr>
                <w:noProof/>
                <w:webHidden/>
              </w:rPr>
              <w:fldChar w:fldCharType="end"/>
            </w:r>
          </w:hyperlink>
        </w:p>
        <w:p w14:paraId="79779BDB" w14:textId="6706C02E"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46" w:history="1">
            <w:r w:rsidR="00061C72" w:rsidRPr="00845E86">
              <w:rPr>
                <w:rStyle w:val="Hyperlink"/>
                <w:noProof/>
              </w:rPr>
              <w:t>4.2.6 Research Study Design</w:t>
            </w:r>
            <w:r w:rsidR="00061C72">
              <w:rPr>
                <w:noProof/>
                <w:webHidden/>
              </w:rPr>
              <w:tab/>
            </w:r>
            <w:r w:rsidR="00061C72">
              <w:rPr>
                <w:noProof/>
                <w:webHidden/>
              </w:rPr>
              <w:fldChar w:fldCharType="begin"/>
            </w:r>
            <w:r w:rsidR="00061C72">
              <w:rPr>
                <w:noProof/>
                <w:webHidden/>
              </w:rPr>
              <w:instrText xml:space="preserve"> PAGEREF _Toc137504746 \h </w:instrText>
            </w:r>
            <w:r w:rsidR="00061C72">
              <w:rPr>
                <w:noProof/>
                <w:webHidden/>
              </w:rPr>
            </w:r>
            <w:r w:rsidR="00061C72">
              <w:rPr>
                <w:noProof/>
                <w:webHidden/>
              </w:rPr>
              <w:fldChar w:fldCharType="separate"/>
            </w:r>
            <w:r w:rsidR="00061C72">
              <w:rPr>
                <w:noProof/>
                <w:webHidden/>
              </w:rPr>
              <w:t>90</w:t>
            </w:r>
            <w:r w:rsidR="00061C72">
              <w:rPr>
                <w:noProof/>
                <w:webHidden/>
              </w:rPr>
              <w:fldChar w:fldCharType="end"/>
            </w:r>
          </w:hyperlink>
        </w:p>
        <w:p w14:paraId="7CA30782" w14:textId="094E2EC0"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47" w:history="1">
            <w:r w:rsidR="00061C72" w:rsidRPr="00845E86">
              <w:rPr>
                <w:rStyle w:val="Hyperlink"/>
                <w:noProof/>
              </w:rPr>
              <w:t>4.2.9 Statistical analysis</w:t>
            </w:r>
            <w:r w:rsidR="00061C72">
              <w:rPr>
                <w:noProof/>
                <w:webHidden/>
              </w:rPr>
              <w:tab/>
            </w:r>
            <w:r w:rsidR="00061C72">
              <w:rPr>
                <w:noProof/>
                <w:webHidden/>
              </w:rPr>
              <w:fldChar w:fldCharType="begin"/>
            </w:r>
            <w:r w:rsidR="00061C72">
              <w:rPr>
                <w:noProof/>
                <w:webHidden/>
              </w:rPr>
              <w:instrText xml:space="preserve"> PAGEREF _Toc137504747 \h </w:instrText>
            </w:r>
            <w:r w:rsidR="00061C72">
              <w:rPr>
                <w:noProof/>
                <w:webHidden/>
              </w:rPr>
            </w:r>
            <w:r w:rsidR="00061C72">
              <w:rPr>
                <w:noProof/>
                <w:webHidden/>
              </w:rPr>
              <w:fldChar w:fldCharType="separate"/>
            </w:r>
            <w:r w:rsidR="00061C72">
              <w:rPr>
                <w:noProof/>
                <w:webHidden/>
              </w:rPr>
              <w:t>98</w:t>
            </w:r>
            <w:r w:rsidR="00061C72">
              <w:rPr>
                <w:noProof/>
                <w:webHidden/>
              </w:rPr>
              <w:fldChar w:fldCharType="end"/>
            </w:r>
          </w:hyperlink>
        </w:p>
        <w:p w14:paraId="1563F63F" w14:textId="3598BF78"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48" w:history="1">
            <w:r w:rsidR="00061C72" w:rsidRPr="00845E86">
              <w:rPr>
                <w:rStyle w:val="Hyperlink"/>
                <w:noProof/>
              </w:rPr>
              <w:t>4.3. Results</w:t>
            </w:r>
            <w:r w:rsidR="00061C72">
              <w:rPr>
                <w:noProof/>
                <w:webHidden/>
              </w:rPr>
              <w:tab/>
            </w:r>
            <w:r w:rsidR="00061C72">
              <w:rPr>
                <w:noProof/>
                <w:webHidden/>
              </w:rPr>
              <w:fldChar w:fldCharType="begin"/>
            </w:r>
            <w:r w:rsidR="00061C72">
              <w:rPr>
                <w:noProof/>
                <w:webHidden/>
              </w:rPr>
              <w:instrText xml:space="preserve"> PAGEREF _Toc137504748 \h </w:instrText>
            </w:r>
            <w:r w:rsidR="00061C72">
              <w:rPr>
                <w:noProof/>
                <w:webHidden/>
              </w:rPr>
            </w:r>
            <w:r w:rsidR="00061C72">
              <w:rPr>
                <w:noProof/>
                <w:webHidden/>
              </w:rPr>
              <w:fldChar w:fldCharType="separate"/>
            </w:r>
            <w:r w:rsidR="00061C72">
              <w:rPr>
                <w:noProof/>
                <w:webHidden/>
              </w:rPr>
              <w:t>99</w:t>
            </w:r>
            <w:r w:rsidR="00061C72">
              <w:rPr>
                <w:noProof/>
                <w:webHidden/>
              </w:rPr>
              <w:fldChar w:fldCharType="end"/>
            </w:r>
          </w:hyperlink>
        </w:p>
        <w:p w14:paraId="36EA97A5" w14:textId="5943ED5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49" w:history="1">
            <w:r w:rsidR="00061C72" w:rsidRPr="00845E86">
              <w:rPr>
                <w:rStyle w:val="Hyperlink"/>
                <w:noProof/>
              </w:rPr>
              <w:t>4.3.1 General Description</w:t>
            </w:r>
            <w:r w:rsidR="00061C72">
              <w:rPr>
                <w:noProof/>
                <w:webHidden/>
              </w:rPr>
              <w:tab/>
            </w:r>
            <w:r w:rsidR="00061C72">
              <w:rPr>
                <w:noProof/>
                <w:webHidden/>
              </w:rPr>
              <w:fldChar w:fldCharType="begin"/>
            </w:r>
            <w:r w:rsidR="00061C72">
              <w:rPr>
                <w:noProof/>
                <w:webHidden/>
              </w:rPr>
              <w:instrText xml:space="preserve"> PAGEREF _Toc137504749 \h </w:instrText>
            </w:r>
            <w:r w:rsidR="00061C72">
              <w:rPr>
                <w:noProof/>
                <w:webHidden/>
              </w:rPr>
            </w:r>
            <w:r w:rsidR="00061C72">
              <w:rPr>
                <w:noProof/>
                <w:webHidden/>
              </w:rPr>
              <w:fldChar w:fldCharType="separate"/>
            </w:r>
            <w:r w:rsidR="00061C72">
              <w:rPr>
                <w:noProof/>
                <w:webHidden/>
              </w:rPr>
              <w:t>99</w:t>
            </w:r>
            <w:r w:rsidR="00061C72">
              <w:rPr>
                <w:noProof/>
                <w:webHidden/>
              </w:rPr>
              <w:fldChar w:fldCharType="end"/>
            </w:r>
          </w:hyperlink>
        </w:p>
        <w:p w14:paraId="60C856BA" w14:textId="22C3A725"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0" w:history="1">
            <w:r w:rsidR="00061C72" w:rsidRPr="00845E86">
              <w:rPr>
                <w:rStyle w:val="Hyperlink"/>
                <w:noProof/>
              </w:rPr>
              <w:t>4.3.2 Cross-sectional comparison of UEC utilisation by pwFNSD and the general population</w:t>
            </w:r>
            <w:r w:rsidR="00061C72">
              <w:rPr>
                <w:noProof/>
                <w:webHidden/>
              </w:rPr>
              <w:tab/>
            </w:r>
            <w:r w:rsidR="00061C72">
              <w:rPr>
                <w:noProof/>
                <w:webHidden/>
              </w:rPr>
              <w:fldChar w:fldCharType="begin"/>
            </w:r>
            <w:r w:rsidR="00061C72">
              <w:rPr>
                <w:noProof/>
                <w:webHidden/>
              </w:rPr>
              <w:instrText xml:space="preserve"> PAGEREF _Toc137504750 \h </w:instrText>
            </w:r>
            <w:r w:rsidR="00061C72">
              <w:rPr>
                <w:noProof/>
                <w:webHidden/>
              </w:rPr>
            </w:r>
            <w:r w:rsidR="00061C72">
              <w:rPr>
                <w:noProof/>
                <w:webHidden/>
              </w:rPr>
              <w:fldChar w:fldCharType="separate"/>
            </w:r>
            <w:r w:rsidR="00061C72">
              <w:rPr>
                <w:noProof/>
                <w:webHidden/>
              </w:rPr>
              <w:t>100</w:t>
            </w:r>
            <w:r w:rsidR="00061C72">
              <w:rPr>
                <w:noProof/>
                <w:webHidden/>
              </w:rPr>
              <w:fldChar w:fldCharType="end"/>
            </w:r>
          </w:hyperlink>
        </w:p>
        <w:p w14:paraId="00B409D9" w14:textId="15270DB8"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1" w:history="1">
            <w:r w:rsidR="00061C72" w:rsidRPr="00845E86">
              <w:rPr>
                <w:rStyle w:val="Hyperlink"/>
                <w:noProof/>
              </w:rPr>
              <w:t>4.3.3 Longitudinal UEC utilisation by pwFNSD before and after psychotherapy</w:t>
            </w:r>
            <w:r w:rsidR="00061C72">
              <w:rPr>
                <w:noProof/>
                <w:webHidden/>
              </w:rPr>
              <w:tab/>
            </w:r>
            <w:r w:rsidR="00061C72">
              <w:rPr>
                <w:noProof/>
                <w:webHidden/>
              </w:rPr>
              <w:fldChar w:fldCharType="begin"/>
            </w:r>
            <w:r w:rsidR="00061C72">
              <w:rPr>
                <w:noProof/>
                <w:webHidden/>
              </w:rPr>
              <w:instrText xml:space="preserve"> PAGEREF _Toc137504751 \h </w:instrText>
            </w:r>
            <w:r w:rsidR="00061C72">
              <w:rPr>
                <w:noProof/>
                <w:webHidden/>
              </w:rPr>
            </w:r>
            <w:r w:rsidR="00061C72">
              <w:rPr>
                <w:noProof/>
                <w:webHidden/>
              </w:rPr>
              <w:fldChar w:fldCharType="separate"/>
            </w:r>
            <w:r w:rsidR="00061C72">
              <w:rPr>
                <w:noProof/>
                <w:webHidden/>
              </w:rPr>
              <w:t>106</w:t>
            </w:r>
            <w:r w:rsidR="00061C72">
              <w:rPr>
                <w:noProof/>
                <w:webHidden/>
              </w:rPr>
              <w:fldChar w:fldCharType="end"/>
            </w:r>
          </w:hyperlink>
        </w:p>
        <w:p w14:paraId="15EA6901" w14:textId="33968312"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2" w:history="1">
            <w:r w:rsidR="00061C72" w:rsidRPr="00845E86">
              <w:rPr>
                <w:rStyle w:val="Hyperlink"/>
                <w:noProof/>
              </w:rPr>
              <w:t>4.3.4 UEC Trend Analysis</w:t>
            </w:r>
            <w:r w:rsidR="00061C72">
              <w:rPr>
                <w:noProof/>
                <w:webHidden/>
              </w:rPr>
              <w:tab/>
            </w:r>
            <w:r w:rsidR="00061C72">
              <w:rPr>
                <w:noProof/>
                <w:webHidden/>
              </w:rPr>
              <w:fldChar w:fldCharType="begin"/>
            </w:r>
            <w:r w:rsidR="00061C72">
              <w:rPr>
                <w:noProof/>
                <w:webHidden/>
              </w:rPr>
              <w:instrText xml:space="preserve"> PAGEREF _Toc137504752 \h </w:instrText>
            </w:r>
            <w:r w:rsidR="00061C72">
              <w:rPr>
                <w:noProof/>
                <w:webHidden/>
              </w:rPr>
            </w:r>
            <w:r w:rsidR="00061C72">
              <w:rPr>
                <w:noProof/>
                <w:webHidden/>
              </w:rPr>
              <w:fldChar w:fldCharType="separate"/>
            </w:r>
            <w:r w:rsidR="00061C72">
              <w:rPr>
                <w:noProof/>
                <w:webHidden/>
              </w:rPr>
              <w:t>109</w:t>
            </w:r>
            <w:r w:rsidR="00061C72">
              <w:rPr>
                <w:noProof/>
                <w:webHidden/>
              </w:rPr>
              <w:fldChar w:fldCharType="end"/>
            </w:r>
          </w:hyperlink>
        </w:p>
        <w:p w14:paraId="5CCB146B" w14:textId="3117CF5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3" w:history="1">
            <w:r w:rsidR="00061C72" w:rsidRPr="00845E86">
              <w:rPr>
                <w:rStyle w:val="Hyperlink"/>
                <w:noProof/>
              </w:rPr>
              <w:t>4.3.5 Features of UEC Service use</w:t>
            </w:r>
            <w:r w:rsidR="00061C72">
              <w:rPr>
                <w:noProof/>
                <w:webHidden/>
              </w:rPr>
              <w:tab/>
            </w:r>
            <w:r w:rsidR="00061C72">
              <w:rPr>
                <w:noProof/>
                <w:webHidden/>
              </w:rPr>
              <w:fldChar w:fldCharType="begin"/>
            </w:r>
            <w:r w:rsidR="00061C72">
              <w:rPr>
                <w:noProof/>
                <w:webHidden/>
              </w:rPr>
              <w:instrText xml:space="preserve"> PAGEREF _Toc137504753 \h </w:instrText>
            </w:r>
            <w:r w:rsidR="00061C72">
              <w:rPr>
                <w:noProof/>
                <w:webHidden/>
              </w:rPr>
            </w:r>
            <w:r w:rsidR="00061C72">
              <w:rPr>
                <w:noProof/>
                <w:webHidden/>
              </w:rPr>
              <w:fldChar w:fldCharType="separate"/>
            </w:r>
            <w:r w:rsidR="00061C72">
              <w:rPr>
                <w:noProof/>
                <w:webHidden/>
              </w:rPr>
              <w:t>114</w:t>
            </w:r>
            <w:r w:rsidR="00061C72">
              <w:rPr>
                <w:noProof/>
                <w:webHidden/>
              </w:rPr>
              <w:fldChar w:fldCharType="end"/>
            </w:r>
          </w:hyperlink>
        </w:p>
        <w:p w14:paraId="75DB3608" w14:textId="0473410B"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54" w:history="1">
            <w:r w:rsidR="00061C72" w:rsidRPr="00845E86">
              <w:rPr>
                <w:rStyle w:val="Hyperlink"/>
                <w:noProof/>
              </w:rPr>
              <w:t>4.4 Discussion</w:t>
            </w:r>
            <w:r w:rsidR="00061C72">
              <w:rPr>
                <w:noProof/>
                <w:webHidden/>
              </w:rPr>
              <w:tab/>
            </w:r>
            <w:r w:rsidR="00061C72">
              <w:rPr>
                <w:noProof/>
                <w:webHidden/>
              </w:rPr>
              <w:fldChar w:fldCharType="begin"/>
            </w:r>
            <w:r w:rsidR="00061C72">
              <w:rPr>
                <w:noProof/>
                <w:webHidden/>
              </w:rPr>
              <w:instrText xml:space="preserve"> PAGEREF _Toc137504754 \h </w:instrText>
            </w:r>
            <w:r w:rsidR="00061C72">
              <w:rPr>
                <w:noProof/>
                <w:webHidden/>
              </w:rPr>
            </w:r>
            <w:r w:rsidR="00061C72">
              <w:rPr>
                <w:noProof/>
                <w:webHidden/>
              </w:rPr>
              <w:fldChar w:fldCharType="separate"/>
            </w:r>
            <w:r w:rsidR="00061C72">
              <w:rPr>
                <w:noProof/>
                <w:webHidden/>
              </w:rPr>
              <w:t>115</w:t>
            </w:r>
            <w:r w:rsidR="00061C72">
              <w:rPr>
                <w:noProof/>
                <w:webHidden/>
              </w:rPr>
              <w:fldChar w:fldCharType="end"/>
            </w:r>
          </w:hyperlink>
        </w:p>
        <w:p w14:paraId="75B4BB4D" w14:textId="558CC8AE"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5" w:history="1">
            <w:r w:rsidR="00061C72" w:rsidRPr="00845E86">
              <w:rPr>
                <w:rStyle w:val="Hyperlink"/>
                <w:noProof/>
              </w:rPr>
              <w:t>4.4.1 Summary</w:t>
            </w:r>
            <w:r w:rsidR="00061C72">
              <w:rPr>
                <w:noProof/>
                <w:webHidden/>
              </w:rPr>
              <w:tab/>
            </w:r>
            <w:r w:rsidR="00061C72">
              <w:rPr>
                <w:noProof/>
                <w:webHidden/>
              </w:rPr>
              <w:fldChar w:fldCharType="begin"/>
            </w:r>
            <w:r w:rsidR="00061C72">
              <w:rPr>
                <w:noProof/>
                <w:webHidden/>
              </w:rPr>
              <w:instrText xml:space="preserve"> PAGEREF _Toc137504755 \h </w:instrText>
            </w:r>
            <w:r w:rsidR="00061C72">
              <w:rPr>
                <w:noProof/>
                <w:webHidden/>
              </w:rPr>
            </w:r>
            <w:r w:rsidR="00061C72">
              <w:rPr>
                <w:noProof/>
                <w:webHidden/>
              </w:rPr>
              <w:fldChar w:fldCharType="separate"/>
            </w:r>
            <w:r w:rsidR="00061C72">
              <w:rPr>
                <w:noProof/>
                <w:webHidden/>
              </w:rPr>
              <w:t>115</w:t>
            </w:r>
            <w:r w:rsidR="00061C72">
              <w:rPr>
                <w:noProof/>
                <w:webHidden/>
              </w:rPr>
              <w:fldChar w:fldCharType="end"/>
            </w:r>
          </w:hyperlink>
        </w:p>
        <w:p w14:paraId="3182767B" w14:textId="1763511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6" w:history="1">
            <w:r w:rsidR="00061C72" w:rsidRPr="00845E86">
              <w:rPr>
                <w:rStyle w:val="Hyperlink"/>
                <w:noProof/>
              </w:rPr>
              <w:t>4.4.2 FNSD rates compared to the general population</w:t>
            </w:r>
            <w:r w:rsidR="00061C72">
              <w:rPr>
                <w:noProof/>
                <w:webHidden/>
              </w:rPr>
              <w:tab/>
            </w:r>
            <w:r w:rsidR="00061C72">
              <w:rPr>
                <w:noProof/>
                <w:webHidden/>
              </w:rPr>
              <w:fldChar w:fldCharType="begin"/>
            </w:r>
            <w:r w:rsidR="00061C72">
              <w:rPr>
                <w:noProof/>
                <w:webHidden/>
              </w:rPr>
              <w:instrText xml:space="preserve"> PAGEREF _Toc137504756 \h </w:instrText>
            </w:r>
            <w:r w:rsidR="00061C72">
              <w:rPr>
                <w:noProof/>
                <w:webHidden/>
              </w:rPr>
            </w:r>
            <w:r w:rsidR="00061C72">
              <w:rPr>
                <w:noProof/>
                <w:webHidden/>
              </w:rPr>
              <w:fldChar w:fldCharType="separate"/>
            </w:r>
            <w:r w:rsidR="00061C72">
              <w:rPr>
                <w:noProof/>
                <w:webHidden/>
              </w:rPr>
              <w:t>115</w:t>
            </w:r>
            <w:r w:rsidR="00061C72">
              <w:rPr>
                <w:noProof/>
                <w:webHidden/>
              </w:rPr>
              <w:fldChar w:fldCharType="end"/>
            </w:r>
          </w:hyperlink>
        </w:p>
        <w:p w14:paraId="750809BF" w14:textId="7FDB063B"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7" w:history="1">
            <w:r w:rsidR="00061C72" w:rsidRPr="00845E86">
              <w:rPr>
                <w:rStyle w:val="Hyperlink"/>
                <w:noProof/>
              </w:rPr>
              <w:t>4.4.3 Treatment-related Rate Changes</w:t>
            </w:r>
            <w:r w:rsidR="00061C72">
              <w:rPr>
                <w:noProof/>
                <w:webHidden/>
              </w:rPr>
              <w:tab/>
            </w:r>
            <w:r w:rsidR="00061C72">
              <w:rPr>
                <w:noProof/>
                <w:webHidden/>
              </w:rPr>
              <w:fldChar w:fldCharType="begin"/>
            </w:r>
            <w:r w:rsidR="00061C72">
              <w:rPr>
                <w:noProof/>
                <w:webHidden/>
              </w:rPr>
              <w:instrText xml:space="preserve"> PAGEREF _Toc137504757 \h </w:instrText>
            </w:r>
            <w:r w:rsidR="00061C72">
              <w:rPr>
                <w:noProof/>
                <w:webHidden/>
              </w:rPr>
            </w:r>
            <w:r w:rsidR="00061C72">
              <w:rPr>
                <w:noProof/>
                <w:webHidden/>
              </w:rPr>
              <w:fldChar w:fldCharType="separate"/>
            </w:r>
            <w:r w:rsidR="00061C72">
              <w:rPr>
                <w:noProof/>
                <w:webHidden/>
              </w:rPr>
              <w:t>118</w:t>
            </w:r>
            <w:r w:rsidR="00061C72">
              <w:rPr>
                <w:noProof/>
                <w:webHidden/>
              </w:rPr>
              <w:fldChar w:fldCharType="end"/>
            </w:r>
          </w:hyperlink>
        </w:p>
        <w:p w14:paraId="506AE603" w14:textId="6B81A6B4"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8" w:history="1">
            <w:r w:rsidR="00061C72" w:rsidRPr="00845E86">
              <w:rPr>
                <w:rStyle w:val="Hyperlink"/>
                <w:noProof/>
              </w:rPr>
              <w:t>4.4.4. Features of FNSD UEC utilisation</w:t>
            </w:r>
            <w:r w:rsidR="00061C72">
              <w:rPr>
                <w:noProof/>
                <w:webHidden/>
              </w:rPr>
              <w:tab/>
            </w:r>
            <w:r w:rsidR="00061C72">
              <w:rPr>
                <w:noProof/>
                <w:webHidden/>
              </w:rPr>
              <w:fldChar w:fldCharType="begin"/>
            </w:r>
            <w:r w:rsidR="00061C72">
              <w:rPr>
                <w:noProof/>
                <w:webHidden/>
              </w:rPr>
              <w:instrText xml:space="preserve"> PAGEREF _Toc137504758 \h </w:instrText>
            </w:r>
            <w:r w:rsidR="00061C72">
              <w:rPr>
                <w:noProof/>
                <w:webHidden/>
              </w:rPr>
            </w:r>
            <w:r w:rsidR="00061C72">
              <w:rPr>
                <w:noProof/>
                <w:webHidden/>
              </w:rPr>
              <w:fldChar w:fldCharType="separate"/>
            </w:r>
            <w:r w:rsidR="00061C72">
              <w:rPr>
                <w:noProof/>
                <w:webHidden/>
              </w:rPr>
              <w:t>120</w:t>
            </w:r>
            <w:r w:rsidR="00061C72">
              <w:rPr>
                <w:noProof/>
                <w:webHidden/>
              </w:rPr>
              <w:fldChar w:fldCharType="end"/>
            </w:r>
          </w:hyperlink>
        </w:p>
        <w:p w14:paraId="3006E439" w14:textId="42DC2C9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59" w:history="1">
            <w:r w:rsidR="00061C72" w:rsidRPr="00845E86">
              <w:rPr>
                <w:rStyle w:val="Hyperlink"/>
                <w:noProof/>
              </w:rPr>
              <w:t>4.4.5 Emergency Service Use as an Outcome Measure in FNSD</w:t>
            </w:r>
            <w:r w:rsidR="00061C72">
              <w:rPr>
                <w:noProof/>
                <w:webHidden/>
              </w:rPr>
              <w:tab/>
            </w:r>
            <w:r w:rsidR="00061C72">
              <w:rPr>
                <w:noProof/>
                <w:webHidden/>
              </w:rPr>
              <w:fldChar w:fldCharType="begin"/>
            </w:r>
            <w:r w:rsidR="00061C72">
              <w:rPr>
                <w:noProof/>
                <w:webHidden/>
              </w:rPr>
              <w:instrText xml:space="preserve"> PAGEREF _Toc137504759 \h </w:instrText>
            </w:r>
            <w:r w:rsidR="00061C72">
              <w:rPr>
                <w:noProof/>
                <w:webHidden/>
              </w:rPr>
            </w:r>
            <w:r w:rsidR="00061C72">
              <w:rPr>
                <w:noProof/>
                <w:webHidden/>
              </w:rPr>
              <w:fldChar w:fldCharType="separate"/>
            </w:r>
            <w:r w:rsidR="00061C72">
              <w:rPr>
                <w:noProof/>
                <w:webHidden/>
              </w:rPr>
              <w:t>121</w:t>
            </w:r>
            <w:r w:rsidR="00061C72">
              <w:rPr>
                <w:noProof/>
                <w:webHidden/>
              </w:rPr>
              <w:fldChar w:fldCharType="end"/>
            </w:r>
          </w:hyperlink>
        </w:p>
        <w:p w14:paraId="136E1E19" w14:textId="5949235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60" w:history="1">
            <w:r w:rsidR="00061C72" w:rsidRPr="00845E86">
              <w:rPr>
                <w:rStyle w:val="Hyperlink"/>
                <w:noProof/>
              </w:rPr>
              <w:t>4.4.6 Implications for clinical practice/research</w:t>
            </w:r>
            <w:r w:rsidR="00061C72">
              <w:rPr>
                <w:noProof/>
                <w:webHidden/>
              </w:rPr>
              <w:tab/>
            </w:r>
            <w:r w:rsidR="00061C72">
              <w:rPr>
                <w:noProof/>
                <w:webHidden/>
              </w:rPr>
              <w:fldChar w:fldCharType="begin"/>
            </w:r>
            <w:r w:rsidR="00061C72">
              <w:rPr>
                <w:noProof/>
                <w:webHidden/>
              </w:rPr>
              <w:instrText xml:space="preserve"> PAGEREF _Toc137504760 \h </w:instrText>
            </w:r>
            <w:r w:rsidR="00061C72">
              <w:rPr>
                <w:noProof/>
                <w:webHidden/>
              </w:rPr>
            </w:r>
            <w:r w:rsidR="00061C72">
              <w:rPr>
                <w:noProof/>
                <w:webHidden/>
              </w:rPr>
              <w:fldChar w:fldCharType="separate"/>
            </w:r>
            <w:r w:rsidR="00061C72">
              <w:rPr>
                <w:noProof/>
                <w:webHidden/>
              </w:rPr>
              <w:t>122</w:t>
            </w:r>
            <w:r w:rsidR="00061C72">
              <w:rPr>
                <w:noProof/>
                <w:webHidden/>
              </w:rPr>
              <w:fldChar w:fldCharType="end"/>
            </w:r>
          </w:hyperlink>
        </w:p>
        <w:p w14:paraId="02857230" w14:textId="1E925A88"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61" w:history="1">
            <w:r w:rsidR="00061C72" w:rsidRPr="00845E86">
              <w:rPr>
                <w:rStyle w:val="Hyperlink"/>
                <w:noProof/>
              </w:rPr>
              <w:t>4.4.7 Strengths and Limitations</w:t>
            </w:r>
            <w:r w:rsidR="00061C72">
              <w:rPr>
                <w:noProof/>
                <w:webHidden/>
              </w:rPr>
              <w:tab/>
            </w:r>
            <w:r w:rsidR="00061C72">
              <w:rPr>
                <w:noProof/>
                <w:webHidden/>
              </w:rPr>
              <w:fldChar w:fldCharType="begin"/>
            </w:r>
            <w:r w:rsidR="00061C72">
              <w:rPr>
                <w:noProof/>
                <w:webHidden/>
              </w:rPr>
              <w:instrText xml:space="preserve"> PAGEREF _Toc137504761 \h </w:instrText>
            </w:r>
            <w:r w:rsidR="00061C72">
              <w:rPr>
                <w:noProof/>
                <w:webHidden/>
              </w:rPr>
            </w:r>
            <w:r w:rsidR="00061C72">
              <w:rPr>
                <w:noProof/>
                <w:webHidden/>
              </w:rPr>
              <w:fldChar w:fldCharType="separate"/>
            </w:r>
            <w:r w:rsidR="00061C72">
              <w:rPr>
                <w:noProof/>
                <w:webHidden/>
              </w:rPr>
              <w:t>123</w:t>
            </w:r>
            <w:r w:rsidR="00061C72">
              <w:rPr>
                <w:noProof/>
                <w:webHidden/>
              </w:rPr>
              <w:fldChar w:fldCharType="end"/>
            </w:r>
          </w:hyperlink>
        </w:p>
        <w:p w14:paraId="547A4B64" w14:textId="40A909A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62" w:history="1">
            <w:r w:rsidR="00061C72" w:rsidRPr="00845E86">
              <w:rPr>
                <w:rStyle w:val="Hyperlink"/>
                <w:noProof/>
              </w:rPr>
              <w:t>4.4.8 Recommendations/Future work</w:t>
            </w:r>
            <w:r w:rsidR="00061C72">
              <w:rPr>
                <w:noProof/>
                <w:webHidden/>
              </w:rPr>
              <w:tab/>
            </w:r>
            <w:r w:rsidR="00061C72">
              <w:rPr>
                <w:noProof/>
                <w:webHidden/>
              </w:rPr>
              <w:fldChar w:fldCharType="begin"/>
            </w:r>
            <w:r w:rsidR="00061C72">
              <w:rPr>
                <w:noProof/>
                <w:webHidden/>
              </w:rPr>
              <w:instrText xml:space="preserve"> PAGEREF _Toc137504762 \h </w:instrText>
            </w:r>
            <w:r w:rsidR="00061C72">
              <w:rPr>
                <w:noProof/>
                <w:webHidden/>
              </w:rPr>
            </w:r>
            <w:r w:rsidR="00061C72">
              <w:rPr>
                <w:noProof/>
                <w:webHidden/>
              </w:rPr>
              <w:fldChar w:fldCharType="separate"/>
            </w:r>
            <w:r w:rsidR="00061C72">
              <w:rPr>
                <w:noProof/>
                <w:webHidden/>
              </w:rPr>
              <w:t>124</w:t>
            </w:r>
            <w:r w:rsidR="00061C72">
              <w:rPr>
                <w:noProof/>
                <w:webHidden/>
              </w:rPr>
              <w:fldChar w:fldCharType="end"/>
            </w:r>
          </w:hyperlink>
        </w:p>
        <w:p w14:paraId="72AB1EC2" w14:textId="33BE9DA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63" w:history="1">
            <w:r w:rsidR="00061C72" w:rsidRPr="00845E86">
              <w:rPr>
                <w:rStyle w:val="Hyperlink"/>
                <w:noProof/>
              </w:rPr>
              <w:t>4.4.9 Conclusion</w:t>
            </w:r>
            <w:r w:rsidR="00061C72">
              <w:rPr>
                <w:noProof/>
                <w:webHidden/>
              </w:rPr>
              <w:tab/>
            </w:r>
            <w:r w:rsidR="00061C72">
              <w:rPr>
                <w:noProof/>
                <w:webHidden/>
              </w:rPr>
              <w:fldChar w:fldCharType="begin"/>
            </w:r>
            <w:r w:rsidR="00061C72">
              <w:rPr>
                <w:noProof/>
                <w:webHidden/>
              </w:rPr>
              <w:instrText xml:space="preserve"> PAGEREF _Toc137504763 \h </w:instrText>
            </w:r>
            <w:r w:rsidR="00061C72">
              <w:rPr>
                <w:noProof/>
                <w:webHidden/>
              </w:rPr>
            </w:r>
            <w:r w:rsidR="00061C72">
              <w:rPr>
                <w:noProof/>
                <w:webHidden/>
              </w:rPr>
              <w:fldChar w:fldCharType="separate"/>
            </w:r>
            <w:r w:rsidR="00061C72">
              <w:rPr>
                <w:noProof/>
                <w:webHidden/>
              </w:rPr>
              <w:t>125</w:t>
            </w:r>
            <w:r w:rsidR="00061C72">
              <w:rPr>
                <w:noProof/>
                <w:webHidden/>
              </w:rPr>
              <w:fldChar w:fldCharType="end"/>
            </w:r>
          </w:hyperlink>
        </w:p>
        <w:p w14:paraId="29C7EABE" w14:textId="4B1CEB58"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764" w:history="1">
            <w:r w:rsidR="00061C72" w:rsidRPr="00845E86">
              <w:rPr>
                <w:rStyle w:val="Hyperlink"/>
                <w:noProof/>
              </w:rPr>
              <w:t>5.0 Delay Discounting and Negative Affective Priming in patients with Functional Neurological Symptom Disorder</w:t>
            </w:r>
            <w:r w:rsidR="00061C72">
              <w:rPr>
                <w:noProof/>
                <w:webHidden/>
              </w:rPr>
              <w:tab/>
            </w:r>
            <w:r w:rsidR="00061C72">
              <w:rPr>
                <w:noProof/>
                <w:webHidden/>
              </w:rPr>
              <w:fldChar w:fldCharType="begin"/>
            </w:r>
            <w:r w:rsidR="00061C72">
              <w:rPr>
                <w:noProof/>
                <w:webHidden/>
              </w:rPr>
              <w:instrText xml:space="preserve"> PAGEREF _Toc137504764 \h </w:instrText>
            </w:r>
            <w:r w:rsidR="00061C72">
              <w:rPr>
                <w:noProof/>
                <w:webHidden/>
              </w:rPr>
            </w:r>
            <w:r w:rsidR="00061C72">
              <w:rPr>
                <w:noProof/>
                <w:webHidden/>
              </w:rPr>
              <w:fldChar w:fldCharType="separate"/>
            </w:r>
            <w:r w:rsidR="00061C72">
              <w:rPr>
                <w:noProof/>
                <w:webHidden/>
              </w:rPr>
              <w:t>126</w:t>
            </w:r>
            <w:r w:rsidR="00061C72">
              <w:rPr>
                <w:noProof/>
                <w:webHidden/>
              </w:rPr>
              <w:fldChar w:fldCharType="end"/>
            </w:r>
          </w:hyperlink>
        </w:p>
        <w:p w14:paraId="75855502" w14:textId="1C649FEC"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65" w:history="1">
            <w:r w:rsidR="00061C72" w:rsidRPr="00845E86">
              <w:rPr>
                <w:rStyle w:val="Hyperlink"/>
                <w:noProof/>
              </w:rPr>
              <w:t>5.1 Introduction</w:t>
            </w:r>
            <w:r w:rsidR="00061C72">
              <w:rPr>
                <w:noProof/>
                <w:webHidden/>
              </w:rPr>
              <w:tab/>
            </w:r>
            <w:r w:rsidR="00061C72">
              <w:rPr>
                <w:noProof/>
                <w:webHidden/>
              </w:rPr>
              <w:fldChar w:fldCharType="begin"/>
            </w:r>
            <w:r w:rsidR="00061C72">
              <w:rPr>
                <w:noProof/>
                <w:webHidden/>
              </w:rPr>
              <w:instrText xml:space="preserve"> PAGEREF _Toc137504765 \h </w:instrText>
            </w:r>
            <w:r w:rsidR="00061C72">
              <w:rPr>
                <w:noProof/>
                <w:webHidden/>
              </w:rPr>
            </w:r>
            <w:r w:rsidR="00061C72">
              <w:rPr>
                <w:noProof/>
                <w:webHidden/>
              </w:rPr>
              <w:fldChar w:fldCharType="separate"/>
            </w:r>
            <w:r w:rsidR="00061C72">
              <w:rPr>
                <w:noProof/>
                <w:webHidden/>
              </w:rPr>
              <w:t>126</w:t>
            </w:r>
            <w:r w:rsidR="00061C72">
              <w:rPr>
                <w:noProof/>
                <w:webHidden/>
              </w:rPr>
              <w:fldChar w:fldCharType="end"/>
            </w:r>
          </w:hyperlink>
        </w:p>
        <w:p w14:paraId="171B33B3" w14:textId="2E0D8B9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66" w:history="1">
            <w:r w:rsidR="00061C72" w:rsidRPr="00845E86">
              <w:rPr>
                <w:rStyle w:val="Hyperlink"/>
                <w:noProof/>
              </w:rPr>
              <w:t>5.1.1 Introduction</w:t>
            </w:r>
            <w:r w:rsidR="00061C72">
              <w:rPr>
                <w:noProof/>
                <w:webHidden/>
              </w:rPr>
              <w:tab/>
            </w:r>
            <w:r w:rsidR="00061C72">
              <w:rPr>
                <w:noProof/>
                <w:webHidden/>
              </w:rPr>
              <w:fldChar w:fldCharType="begin"/>
            </w:r>
            <w:r w:rsidR="00061C72">
              <w:rPr>
                <w:noProof/>
                <w:webHidden/>
              </w:rPr>
              <w:instrText xml:space="preserve"> PAGEREF _Toc137504766 \h </w:instrText>
            </w:r>
            <w:r w:rsidR="00061C72">
              <w:rPr>
                <w:noProof/>
                <w:webHidden/>
              </w:rPr>
            </w:r>
            <w:r w:rsidR="00061C72">
              <w:rPr>
                <w:noProof/>
                <w:webHidden/>
              </w:rPr>
              <w:fldChar w:fldCharType="separate"/>
            </w:r>
            <w:r w:rsidR="00061C72">
              <w:rPr>
                <w:noProof/>
                <w:webHidden/>
              </w:rPr>
              <w:t>126</w:t>
            </w:r>
            <w:r w:rsidR="00061C72">
              <w:rPr>
                <w:noProof/>
                <w:webHidden/>
              </w:rPr>
              <w:fldChar w:fldCharType="end"/>
            </w:r>
          </w:hyperlink>
        </w:p>
        <w:p w14:paraId="099B2B2E" w14:textId="14FCAA22"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67" w:history="1">
            <w:r w:rsidR="00061C72" w:rsidRPr="00845E86">
              <w:rPr>
                <w:rStyle w:val="Hyperlink"/>
                <w:noProof/>
              </w:rPr>
              <w:t>5.1.2  Emotion Dysregulation and Alexithymia in FNSD</w:t>
            </w:r>
            <w:r w:rsidR="00061C72">
              <w:rPr>
                <w:noProof/>
                <w:webHidden/>
              </w:rPr>
              <w:tab/>
            </w:r>
            <w:r w:rsidR="00061C72">
              <w:rPr>
                <w:noProof/>
                <w:webHidden/>
              </w:rPr>
              <w:fldChar w:fldCharType="begin"/>
            </w:r>
            <w:r w:rsidR="00061C72">
              <w:rPr>
                <w:noProof/>
                <w:webHidden/>
              </w:rPr>
              <w:instrText xml:space="preserve"> PAGEREF _Toc137504767 \h </w:instrText>
            </w:r>
            <w:r w:rsidR="00061C72">
              <w:rPr>
                <w:noProof/>
                <w:webHidden/>
              </w:rPr>
            </w:r>
            <w:r w:rsidR="00061C72">
              <w:rPr>
                <w:noProof/>
                <w:webHidden/>
              </w:rPr>
              <w:fldChar w:fldCharType="separate"/>
            </w:r>
            <w:r w:rsidR="00061C72">
              <w:rPr>
                <w:noProof/>
                <w:webHidden/>
              </w:rPr>
              <w:t>127</w:t>
            </w:r>
            <w:r w:rsidR="00061C72">
              <w:rPr>
                <w:noProof/>
                <w:webHidden/>
              </w:rPr>
              <w:fldChar w:fldCharType="end"/>
            </w:r>
          </w:hyperlink>
        </w:p>
        <w:p w14:paraId="20D42C53" w14:textId="3EF977DF"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68" w:history="1">
            <w:r w:rsidR="00061C72" w:rsidRPr="00845E86">
              <w:rPr>
                <w:rStyle w:val="Hyperlink"/>
                <w:noProof/>
              </w:rPr>
              <w:t>5.1.3  Attentional Processing and Interpretative Bias in FNSD</w:t>
            </w:r>
            <w:r w:rsidR="00061C72">
              <w:rPr>
                <w:noProof/>
                <w:webHidden/>
              </w:rPr>
              <w:tab/>
            </w:r>
            <w:r w:rsidR="00061C72">
              <w:rPr>
                <w:noProof/>
                <w:webHidden/>
              </w:rPr>
              <w:fldChar w:fldCharType="begin"/>
            </w:r>
            <w:r w:rsidR="00061C72">
              <w:rPr>
                <w:noProof/>
                <w:webHidden/>
              </w:rPr>
              <w:instrText xml:space="preserve"> PAGEREF _Toc137504768 \h </w:instrText>
            </w:r>
            <w:r w:rsidR="00061C72">
              <w:rPr>
                <w:noProof/>
                <w:webHidden/>
              </w:rPr>
            </w:r>
            <w:r w:rsidR="00061C72">
              <w:rPr>
                <w:noProof/>
                <w:webHidden/>
              </w:rPr>
              <w:fldChar w:fldCharType="separate"/>
            </w:r>
            <w:r w:rsidR="00061C72">
              <w:rPr>
                <w:noProof/>
                <w:webHidden/>
              </w:rPr>
              <w:t>128</w:t>
            </w:r>
            <w:r w:rsidR="00061C72">
              <w:rPr>
                <w:noProof/>
                <w:webHidden/>
              </w:rPr>
              <w:fldChar w:fldCharType="end"/>
            </w:r>
          </w:hyperlink>
        </w:p>
        <w:p w14:paraId="06B530DE" w14:textId="177D0F8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69" w:history="1">
            <w:r w:rsidR="00061C72" w:rsidRPr="00845E86">
              <w:rPr>
                <w:rStyle w:val="Hyperlink"/>
                <w:noProof/>
              </w:rPr>
              <w:t>5.1.4 Measures of Affective Cognition in FNSD</w:t>
            </w:r>
            <w:r w:rsidR="00061C72">
              <w:rPr>
                <w:noProof/>
                <w:webHidden/>
              </w:rPr>
              <w:tab/>
            </w:r>
            <w:r w:rsidR="00061C72">
              <w:rPr>
                <w:noProof/>
                <w:webHidden/>
              </w:rPr>
              <w:fldChar w:fldCharType="begin"/>
            </w:r>
            <w:r w:rsidR="00061C72">
              <w:rPr>
                <w:noProof/>
                <w:webHidden/>
              </w:rPr>
              <w:instrText xml:space="preserve"> PAGEREF _Toc137504769 \h </w:instrText>
            </w:r>
            <w:r w:rsidR="00061C72">
              <w:rPr>
                <w:noProof/>
                <w:webHidden/>
              </w:rPr>
            </w:r>
            <w:r w:rsidR="00061C72">
              <w:rPr>
                <w:noProof/>
                <w:webHidden/>
              </w:rPr>
              <w:fldChar w:fldCharType="separate"/>
            </w:r>
            <w:r w:rsidR="00061C72">
              <w:rPr>
                <w:noProof/>
                <w:webHidden/>
              </w:rPr>
              <w:t>129</w:t>
            </w:r>
            <w:r w:rsidR="00061C72">
              <w:rPr>
                <w:noProof/>
                <w:webHidden/>
              </w:rPr>
              <w:fldChar w:fldCharType="end"/>
            </w:r>
          </w:hyperlink>
        </w:p>
        <w:p w14:paraId="7020576A" w14:textId="11E43AD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0" w:history="1">
            <w:r w:rsidR="00061C72" w:rsidRPr="00845E86">
              <w:rPr>
                <w:rStyle w:val="Hyperlink"/>
                <w:noProof/>
              </w:rPr>
              <w:t>5.1.5 Delay discounting</w:t>
            </w:r>
            <w:r w:rsidR="00061C72">
              <w:rPr>
                <w:noProof/>
                <w:webHidden/>
              </w:rPr>
              <w:tab/>
            </w:r>
            <w:r w:rsidR="00061C72">
              <w:rPr>
                <w:noProof/>
                <w:webHidden/>
              </w:rPr>
              <w:fldChar w:fldCharType="begin"/>
            </w:r>
            <w:r w:rsidR="00061C72">
              <w:rPr>
                <w:noProof/>
                <w:webHidden/>
              </w:rPr>
              <w:instrText xml:space="preserve"> PAGEREF _Toc137504770 \h </w:instrText>
            </w:r>
            <w:r w:rsidR="00061C72">
              <w:rPr>
                <w:noProof/>
                <w:webHidden/>
              </w:rPr>
            </w:r>
            <w:r w:rsidR="00061C72">
              <w:rPr>
                <w:noProof/>
                <w:webHidden/>
              </w:rPr>
              <w:fldChar w:fldCharType="separate"/>
            </w:r>
            <w:r w:rsidR="00061C72">
              <w:rPr>
                <w:noProof/>
                <w:webHidden/>
              </w:rPr>
              <w:t>129</w:t>
            </w:r>
            <w:r w:rsidR="00061C72">
              <w:rPr>
                <w:noProof/>
                <w:webHidden/>
              </w:rPr>
              <w:fldChar w:fldCharType="end"/>
            </w:r>
          </w:hyperlink>
        </w:p>
        <w:p w14:paraId="23C66223" w14:textId="3819901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1" w:history="1">
            <w:r w:rsidR="00061C72" w:rsidRPr="00845E86">
              <w:rPr>
                <w:rStyle w:val="Hyperlink"/>
                <w:noProof/>
              </w:rPr>
              <w:t>5.1.6 Negative Affective Priming</w:t>
            </w:r>
            <w:r w:rsidR="00061C72">
              <w:rPr>
                <w:noProof/>
                <w:webHidden/>
              </w:rPr>
              <w:tab/>
            </w:r>
            <w:r w:rsidR="00061C72">
              <w:rPr>
                <w:noProof/>
                <w:webHidden/>
              </w:rPr>
              <w:fldChar w:fldCharType="begin"/>
            </w:r>
            <w:r w:rsidR="00061C72">
              <w:rPr>
                <w:noProof/>
                <w:webHidden/>
              </w:rPr>
              <w:instrText xml:space="preserve"> PAGEREF _Toc137504771 \h </w:instrText>
            </w:r>
            <w:r w:rsidR="00061C72">
              <w:rPr>
                <w:noProof/>
                <w:webHidden/>
              </w:rPr>
            </w:r>
            <w:r w:rsidR="00061C72">
              <w:rPr>
                <w:noProof/>
                <w:webHidden/>
              </w:rPr>
              <w:fldChar w:fldCharType="separate"/>
            </w:r>
            <w:r w:rsidR="00061C72">
              <w:rPr>
                <w:noProof/>
                <w:webHidden/>
              </w:rPr>
              <w:t>131</w:t>
            </w:r>
            <w:r w:rsidR="00061C72">
              <w:rPr>
                <w:noProof/>
                <w:webHidden/>
              </w:rPr>
              <w:fldChar w:fldCharType="end"/>
            </w:r>
          </w:hyperlink>
        </w:p>
        <w:p w14:paraId="0CAFB076" w14:textId="4CD8D4D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2" w:history="1">
            <w:r w:rsidR="00061C72" w:rsidRPr="00845E86">
              <w:rPr>
                <w:rStyle w:val="Hyperlink"/>
                <w:noProof/>
              </w:rPr>
              <w:t>5.1.7 Research Study</w:t>
            </w:r>
            <w:r w:rsidR="00061C72">
              <w:rPr>
                <w:noProof/>
                <w:webHidden/>
              </w:rPr>
              <w:tab/>
            </w:r>
            <w:r w:rsidR="00061C72">
              <w:rPr>
                <w:noProof/>
                <w:webHidden/>
              </w:rPr>
              <w:fldChar w:fldCharType="begin"/>
            </w:r>
            <w:r w:rsidR="00061C72">
              <w:rPr>
                <w:noProof/>
                <w:webHidden/>
              </w:rPr>
              <w:instrText xml:space="preserve"> PAGEREF _Toc137504772 \h </w:instrText>
            </w:r>
            <w:r w:rsidR="00061C72">
              <w:rPr>
                <w:noProof/>
                <w:webHidden/>
              </w:rPr>
            </w:r>
            <w:r w:rsidR="00061C72">
              <w:rPr>
                <w:noProof/>
                <w:webHidden/>
              </w:rPr>
              <w:fldChar w:fldCharType="separate"/>
            </w:r>
            <w:r w:rsidR="00061C72">
              <w:rPr>
                <w:noProof/>
                <w:webHidden/>
              </w:rPr>
              <w:t>134</w:t>
            </w:r>
            <w:r w:rsidR="00061C72">
              <w:rPr>
                <w:noProof/>
                <w:webHidden/>
              </w:rPr>
              <w:fldChar w:fldCharType="end"/>
            </w:r>
          </w:hyperlink>
        </w:p>
        <w:p w14:paraId="4B1146E1" w14:textId="31E171E2"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73" w:history="1">
            <w:r w:rsidR="00061C72" w:rsidRPr="00845E86">
              <w:rPr>
                <w:rStyle w:val="Hyperlink"/>
                <w:noProof/>
              </w:rPr>
              <w:t>5.2 Methods</w:t>
            </w:r>
            <w:r w:rsidR="00061C72">
              <w:rPr>
                <w:noProof/>
                <w:webHidden/>
              </w:rPr>
              <w:tab/>
            </w:r>
            <w:r w:rsidR="00061C72">
              <w:rPr>
                <w:noProof/>
                <w:webHidden/>
              </w:rPr>
              <w:fldChar w:fldCharType="begin"/>
            </w:r>
            <w:r w:rsidR="00061C72">
              <w:rPr>
                <w:noProof/>
                <w:webHidden/>
              </w:rPr>
              <w:instrText xml:space="preserve"> PAGEREF _Toc137504773 \h </w:instrText>
            </w:r>
            <w:r w:rsidR="00061C72">
              <w:rPr>
                <w:noProof/>
                <w:webHidden/>
              </w:rPr>
            </w:r>
            <w:r w:rsidR="00061C72">
              <w:rPr>
                <w:noProof/>
                <w:webHidden/>
              </w:rPr>
              <w:fldChar w:fldCharType="separate"/>
            </w:r>
            <w:r w:rsidR="00061C72">
              <w:rPr>
                <w:noProof/>
                <w:webHidden/>
              </w:rPr>
              <w:t>136</w:t>
            </w:r>
            <w:r w:rsidR="00061C72">
              <w:rPr>
                <w:noProof/>
                <w:webHidden/>
              </w:rPr>
              <w:fldChar w:fldCharType="end"/>
            </w:r>
          </w:hyperlink>
        </w:p>
        <w:p w14:paraId="70D8FF6D" w14:textId="152BFE0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4" w:history="1">
            <w:r w:rsidR="00061C72" w:rsidRPr="00845E86">
              <w:rPr>
                <w:rStyle w:val="Hyperlink"/>
                <w:noProof/>
              </w:rPr>
              <w:t>5.2.1 Summary of Study Design</w:t>
            </w:r>
            <w:r w:rsidR="00061C72">
              <w:rPr>
                <w:noProof/>
                <w:webHidden/>
              </w:rPr>
              <w:tab/>
            </w:r>
            <w:r w:rsidR="00061C72">
              <w:rPr>
                <w:noProof/>
                <w:webHidden/>
              </w:rPr>
              <w:fldChar w:fldCharType="begin"/>
            </w:r>
            <w:r w:rsidR="00061C72">
              <w:rPr>
                <w:noProof/>
                <w:webHidden/>
              </w:rPr>
              <w:instrText xml:space="preserve"> PAGEREF _Toc137504774 \h </w:instrText>
            </w:r>
            <w:r w:rsidR="00061C72">
              <w:rPr>
                <w:noProof/>
                <w:webHidden/>
              </w:rPr>
            </w:r>
            <w:r w:rsidR="00061C72">
              <w:rPr>
                <w:noProof/>
                <w:webHidden/>
              </w:rPr>
              <w:fldChar w:fldCharType="separate"/>
            </w:r>
            <w:r w:rsidR="00061C72">
              <w:rPr>
                <w:noProof/>
                <w:webHidden/>
              </w:rPr>
              <w:t>136</w:t>
            </w:r>
            <w:r w:rsidR="00061C72">
              <w:rPr>
                <w:noProof/>
                <w:webHidden/>
              </w:rPr>
              <w:fldChar w:fldCharType="end"/>
            </w:r>
          </w:hyperlink>
        </w:p>
        <w:p w14:paraId="4FCBE2B2" w14:textId="7768C19E"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5" w:history="1">
            <w:r w:rsidR="00061C72" w:rsidRPr="00845E86">
              <w:rPr>
                <w:rStyle w:val="Hyperlink"/>
                <w:noProof/>
              </w:rPr>
              <w:t>5.2.2 Participants</w:t>
            </w:r>
            <w:r w:rsidR="00061C72">
              <w:rPr>
                <w:noProof/>
                <w:webHidden/>
              </w:rPr>
              <w:tab/>
            </w:r>
            <w:r w:rsidR="00061C72">
              <w:rPr>
                <w:noProof/>
                <w:webHidden/>
              </w:rPr>
              <w:fldChar w:fldCharType="begin"/>
            </w:r>
            <w:r w:rsidR="00061C72">
              <w:rPr>
                <w:noProof/>
                <w:webHidden/>
              </w:rPr>
              <w:instrText xml:space="preserve"> PAGEREF _Toc137504775 \h </w:instrText>
            </w:r>
            <w:r w:rsidR="00061C72">
              <w:rPr>
                <w:noProof/>
                <w:webHidden/>
              </w:rPr>
            </w:r>
            <w:r w:rsidR="00061C72">
              <w:rPr>
                <w:noProof/>
                <w:webHidden/>
              </w:rPr>
              <w:fldChar w:fldCharType="separate"/>
            </w:r>
            <w:r w:rsidR="00061C72">
              <w:rPr>
                <w:noProof/>
                <w:webHidden/>
              </w:rPr>
              <w:t>136</w:t>
            </w:r>
            <w:r w:rsidR="00061C72">
              <w:rPr>
                <w:noProof/>
                <w:webHidden/>
              </w:rPr>
              <w:fldChar w:fldCharType="end"/>
            </w:r>
          </w:hyperlink>
        </w:p>
        <w:p w14:paraId="5BC4A84B" w14:textId="245B9512"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6" w:history="1">
            <w:r w:rsidR="00061C72" w:rsidRPr="00845E86">
              <w:rPr>
                <w:rStyle w:val="Hyperlink"/>
                <w:noProof/>
              </w:rPr>
              <w:t>5.2.3 Recruitment</w:t>
            </w:r>
            <w:r w:rsidR="00061C72">
              <w:rPr>
                <w:noProof/>
                <w:webHidden/>
              </w:rPr>
              <w:tab/>
            </w:r>
            <w:r w:rsidR="00061C72">
              <w:rPr>
                <w:noProof/>
                <w:webHidden/>
              </w:rPr>
              <w:fldChar w:fldCharType="begin"/>
            </w:r>
            <w:r w:rsidR="00061C72">
              <w:rPr>
                <w:noProof/>
                <w:webHidden/>
              </w:rPr>
              <w:instrText xml:space="preserve"> PAGEREF _Toc137504776 \h </w:instrText>
            </w:r>
            <w:r w:rsidR="00061C72">
              <w:rPr>
                <w:noProof/>
                <w:webHidden/>
              </w:rPr>
            </w:r>
            <w:r w:rsidR="00061C72">
              <w:rPr>
                <w:noProof/>
                <w:webHidden/>
              </w:rPr>
              <w:fldChar w:fldCharType="separate"/>
            </w:r>
            <w:r w:rsidR="00061C72">
              <w:rPr>
                <w:noProof/>
                <w:webHidden/>
              </w:rPr>
              <w:t>137</w:t>
            </w:r>
            <w:r w:rsidR="00061C72">
              <w:rPr>
                <w:noProof/>
                <w:webHidden/>
              </w:rPr>
              <w:fldChar w:fldCharType="end"/>
            </w:r>
          </w:hyperlink>
        </w:p>
        <w:p w14:paraId="22793916" w14:textId="44A1A38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7" w:history="1">
            <w:r w:rsidR="00061C72" w:rsidRPr="00845E86">
              <w:rPr>
                <w:rStyle w:val="Hyperlink"/>
                <w:noProof/>
              </w:rPr>
              <w:t>5.2.4 Study Setting and Procedure</w:t>
            </w:r>
            <w:r w:rsidR="00061C72">
              <w:rPr>
                <w:noProof/>
                <w:webHidden/>
              </w:rPr>
              <w:tab/>
            </w:r>
            <w:r w:rsidR="00061C72">
              <w:rPr>
                <w:noProof/>
                <w:webHidden/>
              </w:rPr>
              <w:fldChar w:fldCharType="begin"/>
            </w:r>
            <w:r w:rsidR="00061C72">
              <w:rPr>
                <w:noProof/>
                <w:webHidden/>
              </w:rPr>
              <w:instrText xml:space="preserve"> PAGEREF _Toc137504777 \h </w:instrText>
            </w:r>
            <w:r w:rsidR="00061C72">
              <w:rPr>
                <w:noProof/>
                <w:webHidden/>
              </w:rPr>
            </w:r>
            <w:r w:rsidR="00061C72">
              <w:rPr>
                <w:noProof/>
                <w:webHidden/>
              </w:rPr>
              <w:fldChar w:fldCharType="separate"/>
            </w:r>
            <w:r w:rsidR="00061C72">
              <w:rPr>
                <w:noProof/>
                <w:webHidden/>
              </w:rPr>
              <w:t>138</w:t>
            </w:r>
            <w:r w:rsidR="00061C72">
              <w:rPr>
                <w:noProof/>
                <w:webHidden/>
              </w:rPr>
              <w:fldChar w:fldCharType="end"/>
            </w:r>
          </w:hyperlink>
        </w:p>
        <w:p w14:paraId="1F8FD3CA" w14:textId="664D28C3"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8" w:history="1">
            <w:r w:rsidR="00061C72" w:rsidRPr="00845E86">
              <w:rPr>
                <w:rStyle w:val="Hyperlink"/>
                <w:noProof/>
              </w:rPr>
              <w:t>5.2.5 Measures</w:t>
            </w:r>
            <w:r w:rsidR="00061C72">
              <w:rPr>
                <w:noProof/>
                <w:webHidden/>
              </w:rPr>
              <w:tab/>
            </w:r>
            <w:r w:rsidR="00061C72">
              <w:rPr>
                <w:noProof/>
                <w:webHidden/>
              </w:rPr>
              <w:fldChar w:fldCharType="begin"/>
            </w:r>
            <w:r w:rsidR="00061C72">
              <w:rPr>
                <w:noProof/>
                <w:webHidden/>
              </w:rPr>
              <w:instrText xml:space="preserve"> PAGEREF _Toc137504778 \h </w:instrText>
            </w:r>
            <w:r w:rsidR="00061C72">
              <w:rPr>
                <w:noProof/>
                <w:webHidden/>
              </w:rPr>
            </w:r>
            <w:r w:rsidR="00061C72">
              <w:rPr>
                <w:noProof/>
                <w:webHidden/>
              </w:rPr>
              <w:fldChar w:fldCharType="separate"/>
            </w:r>
            <w:r w:rsidR="00061C72">
              <w:rPr>
                <w:noProof/>
                <w:webHidden/>
              </w:rPr>
              <w:t>139</w:t>
            </w:r>
            <w:r w:rsidR="00061C72">
              <w:rPr>
                <w:noProof/>
                <w:webHidden/>
              </w:rPr>
              <w:fldChar w:fldCharType="end"/>
            </w:r>
          </w:hyperlink>
        </w:p>
        <w:p w14:paraId="6BBCBB34" w14:textId="14E393B8"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79" w:history="1">
            <w:r w:rsidR="00061C72" w:rsidRPr="00845E86">
              <w:rPr>
                <w:rStyle w:val="Hyperlink"/>
                <w:noProof/>
              </w:rPr>
              <w:t>5.2.6 Analysis</w:t>
            </w:r>
            <w:r w:rsidR="00061C72">
              <w:rPr>
                <w:noProof/>
                <w:webHidden/>
              </w:rPr>
              <w:tab/>
            </w:r>
            <w:r w:rsidR="00061C72">
              <w:rPr>
                <w:noProof/>
                <w:webHidden/>
              </w:rPr>
              <w:fldChar w:fldCharType="begin"/>
            </w:r>
            <w:r w:rsidR="00061C72">
              <w:rPr>
                <w:noProof/>
                <w:webHidden/>
              </w:rPr>
              <w:instrText xml:space="preserve"> PAGEREF _Toc137504779 \h </w:instrText>
            </w:r>
            <w:r w:rsidR="00061C72">
              <w:rPr>
                <w:noProof/>
                <w:webHidden/>
              </w:rPr>
            </w:r>
            <w:r w:rsidR="00061C72">
              <w:rPr>
                <w:noProof/>
                <w:webHidden/>
              </w:rPr>
              <w:fldChar w:fldCharType="separate"/>
            </w:r>
            <w:r w:rsidR="00061C72">
              <w:rPr>
                <w:noProof/>
                <w:webHidden/>
              </w:rPr>
              <w:t>145</w:t>
            </w:r>
            <w:r w:rsidR="00061C72">
              <w:rPr>
                <w:noProof/>
                <w:webHidden/>
              </w:rPr>
              <w:fldChar w:fldCharType="end"/>
            </w:r>
          </w:hyperlink>
        </w:p>
        <w:p w14:paraId="4266BD64" w14:textId="61A8DE60"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0" w:history="1">
            <w:r w:rsidR="00061C72" w:rsidRPr="00845E86">
              <w:rPr>
                <w:rStyle w:val="Hyperlink"/>
                <w:noProof/>
              </w:rPr>
              <w:t>5.2.7 Data</w:t>
            </w:r>
            <w:r w:rsidR="00061C72">
              <w:rPr>
                <w:noProof/>
                <w:webHidden/>
              </w:rPr>
              <w:tab/>
            </w:r>
            <w:r w:rsidR="00061C72">
              <w:rPr>
                <w:noProof/>
                <w:webHidden/>
              </w:rPr>
              <w:fldChar w:fldCharType="begin"/>
            </w:r>
            <w:r w:rsidR="00061C72">
              <w:rPr>
                <w:noProof/>
                <w:webHidden/>
              </w:rPr>
              <w:instrText xml:space="preserve"> PAGEREF _Toc137504780 \h </w:instrText>
            </w:r>
            <w:r w:rsidR="00061C72">
              <w:rPr>
                <w:noProof/>
                <w:webHidden/>
              </w:rPr>
            </w:r>
            <w:r w:rsidR="00061C72">
              <w:rPr>
                <w:noProof/>
                <w:webHidden/>
              </w:rPr>
              <w:fldChar w:fldCharType="separate"/>
            </w:r>
            <w:r w:rsidR="00061C72">
              <w:rPr>
                <w:noProof/>
                <w:webHidden/>
              </w:rPr>
              <w:t>145</w:t>
            </w:r>
            <w:r w:rsidR="00061C72">
              <w:rPr>
                <w:noProof/>
                <w:webHidden/>
              </w:rPr>
              <w:fldChar w:fldCharType="end"/>
            </w:r>
          </w:hyperlink>
        </w:p>
        <w:p w14:paraId="7A7C76C6" w14:textId="10334696"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1" w:history="1">
            <w:r w:rsidR="00061C72" w:rsidRPr="00845E86">
              <w:rPr>
                <w:rStyle w:val="Hyperlink"/>
                <w:noProof/>
              </w:rPr>
              <w:t>5.2.8 Statistical Analysis</w:t>
            </w:r>
            <w:r w:rsidR="00061C72">
              <w:rPr>
                <w:noProof/>
                <w:webHidden/>
              </w:rPr>
              <w:tab/>
            </w:r>
            <w:r w:rsidR="00061C72">
              <w:rPr>
                <w:noProof/>
                <w:webHidden/>
              </w:rPr>
              <w:fldChar w:fldCharType="begin"/>
            </w:r>
            <w:r w:rsidR="00061C72">
              <w:rPr>
                <w:noProof/>
                <w:webHidden/>
              </w:rPr>
              <w:instrText xml:space="preserve"> PAGEREF _Toc137504781 \h </w:instrText>
            </w:r>
            <w:r w:rsidR="00061C72">
              <w:rPr>
                <w:noProof/>
                <w:webHidden/>
              </w:rPr>
            </w:r>
            <w:r w:rsidR="00061C72">
              <w:rPr>
                <w:noProof/>
                <w:webHidden/>
              </w:rPr>
              <w:fldChar w:fldCharType="separate"/>
            </w:r>
            <w:r w:rsidR="00061C72">
              <w:rPr>
                <w:noProof/>
                <w:webHidden/>
              </w:rPr>
              <w:t>147</w:t>
            </w:r>
            <w:r w:rsidR="00061C72">
              <w:rPr>
                <w:noProof/>
                <w:webHidden/>
              </w:rPr>
              <w:fldChar w:fldCharType="end"/>
            </w:r>
          </w:hyperlink>
        </w:p>
        <w:p w14:paraId="13E574C8" w14:textId="13D1526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2" w:history="1">
            <w:r w:rsidR="00061C72" w:rsidRPr="00845E86">
              <w:rPr>
                <w:rStyle w:val="Hyperlink"/>
                <w:noProof/>
              </w:rPr>
              <w:t>5.2.9 Ethical Considerations and Regulatory Approvals</w:t>
            </w:r>
            <w:r w:rsidR="00061C72">
              <w:rPr>
                <w:noProof/>
                <w:webHidden/>
              </w:rPr>
              <w:tab/>
            </w:r>
            <w:r w:rsidR="00061C72">
              <w:rPr>
                <w:noProof/>
                <w:webHidden/>
              </w:rPr>
              <w:fldChar w:fldCharType="begin"/>
            </w:r>
            <w:r w:rsidR="00061C72">
              <w:rPr>
                <w:noProof/>
                <w:webHidden/>
              </w:rPr>
              <w:instrText xml:space="preserve"> PAGEREF _Toc137504782 \h </w:instrText>
            </w:r>
            <w:r w:rsidR="00061C72">
              <w:rPr>
                <w:noProof/>
                <w:webHidden/>
              </w:rPr>
            </w:r>
            <w:r w:rsidR="00061C72">
              <w:rPr>
                <w:noProof/>
                <w:webHidden/>
              </w:rPr>
              <w:fldChar w:fldCharType="separate"/>
            </w:r>
            <w:r w:rsidR="00061C72">
              <w:rPr>
                <w:noProof/>
                <w:webHidden/>
              </w:rPr>
              <w:t>148</w:t>
            </w:r>
            <w:r w:rsidR="00061C72">
              <w:rPr>
                <w:noProof/>
                <w:webHidden/>
              </w:rPr>
              <w:fldChar w:fldCharType="end"/>
            </w:r>
          </w:hyperlink>
        </w:p>
        <w:p w14:paraId="64BDD107" w14:textId="6E8691A4"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83" w:history="1">
            <w:r w:rsidR="00061C72" w:rsidRPr="00845E86">
              <w:rPr>
                <w:rStyle w:val="Hyperlink"/>
                <w:noProof/>
              </w:rPr>
              <w:t>5.3 Results</w:t>
            </w:r>
            <w:r w:rsidR="00061C72">
              <w:rPr>
                <w:noProof/>
                <w:webHidden/>
              </w:rPr>
              <w:tab/>
            </w:r>
            <w:r w:rsidR="00061C72">
              <w:rPr>
                <w:noProof/>
                <w:webHidden/>
              </w:rPr>
              <w:fldChar w:fldCharType="begin"/>
            </w:r>
            <w:r w:rsidR="00061C72">
              <w:rPr>
                <w:noProof/>
                <w:webHidden/>
              </w:rPr>
              <w:instrText xml:space="preserve"> PAGEREF _Toc137504783 \h </w:instrText>
            </w:r>
            <w:r w:rsidR="00061C72">
              <w:rPr>
                <w:noProof/>
                <w:webHidden/>
              </w:rPr>
            </w:r>
            <w:r w:rsidR="00061C72">
              <w:rPr>
                <w:noProof/>
                <w:webHidden/>
              </w:rPr>
              <w:fldChar w:fldCharType="separate"/>
            </w:r>
            <w:r w:rsidR="00061C72">
              <w:rPr>
                <w:noProof/>
                <w:webHidden/>
              </w:rPr>
              <w:t>150</w:t>
            </w:r>
            <w:r w:rsidR="00061C72">
              <w:rPr>
                <w:noProof/>
                <w:webHidden/>
              </w:rPr>
              <w:fldChar w:fldCharType="end"/>
            </w:r>
          </w:hyperlink>
        </w:p>
        <w:p w14:paraId="6108F878" w14:textId="5A298223"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4" w:history="1">
            <w:r w:rsidR="00061C72" w:rsidRPr="00845E86">
              <w:rPr>
                <w:rStyle w:val="Hyperlink"/>
                <w:noProof/>
              </w:rPr>
              <w:t>5.3.1 Confirming diagnosis of patients recruited online</w:t>
            </w:r>
            <w:r w:rsidR="00061C72">
              <w:rPr>
                <w:noProof/>
                <w:webHidden/>
              </w:rPr>
              <w:tab/>
            </w:r>
            <w:r w:rsidR="00061C72">
              <w:rPr>
                <w:noProof/>
                <w:webHidden/>
              </w:rPr>
              <w:fldChar w:fldCharType="begin"/>
            </w:r>
            <w:r w:rsidR="00061C72">
              <w:rPr>
                <w:noProof/>
                <w:webHidden/>
              </w:rPr>
              <w:instrText xml:space="preserve"> PAGEREF _Toc137504784 \h </w:instrText>
            </w:r>
            <w:r w:rsidR="00061C72">
              <w:rPr>
                <w:noProof/>
                <w:webHidden/>
              </w:rPr>
            </w:r>
            <w:r w:rsidR="00061C72">
              <w:rPr>
                <w:noProof/>
                <w:webHidden/>
              </w:rPr>
              <w:fldChar w:fldCharType="separate"/>
            </w:r>
            <w:r w:rsidR="00061C72">
              <w:rPr>
                <w:noProof/>
                <w:webHidden/>
              </w:rPr>
              <w:t>150</w:t>
            </w:r>
            <w:r w:rsidR="00061C72">
              <w:rPr>
                <w:noProof/>
                <w:webHidden/>
              </w:rPr>
              <w:fldChar w:fldCharType="end"/>
            </w:r>
          </w:hyperlink>
        </w:p>
        <w:p w14:paraId="30310842" w14:textId="17F4493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5" w:history="1">
            <w:r w:rsidR="00061C72" w:rsidRPr="00845E86">
              <w:rPr>
                <w:rStyle w:val="Hyperlink"/>
                <w:noProof/>
              </w:rPr>
              <w:t>5.3.2 Descriptive Statistics</w:t>
            </w:r>
            <w:r w:rsidR="00061C72">
              <w:rPr>
                <w:noProof/>
                <w:webHidden/>
              </w:rPr>
              <w:tab/>
            </w:r>
            <w:r w:rsidR="00061C72">
              <w:rPr>
                <w:noProof/>
                <w:webHidden/>
              </w:rPr>
              <w:fldChar w:fldCharType="begin"/>
            </w:r>
            <w:r w:rsidR="00061C72">
              <w:rPr>
                <w:noProof/>
                <w:webHidden/>
              </w:rPr>
              <w:instrText xml:space="preserve"> PAGEREF _Toc137504785 \h </w:instrText>
            </w:r>
            <w:r w:rsidR="00061C72">
              <w:rPr>
                <w:noProof/>
                <w:webHidden/>
              </w:rPr>
            </w:r>
            <w:r w:rsidR="00061C72">
              <w:rPr>
                <w:noProof/>
                <w:webHidden/>
              </w:rPr>
              <w:fldChar w:fldCharType="separate"/>
            </w:r>
            <w:r w:rsidR="00061C72">
              <w:rPr>
                <w:noProof/>
                <w:webHidden/>
              </w:rPr>
              <w:t>150</w:t>
            </w:r>
            <w:r w:rsidR="00061C72">
              <w:rPr>
                <w:noProof/>
                <w:webHidden/>
              </w:rPr>
              <w:fldChar w:fldCharType="end"/>
            </w:r>
          </w:hyperlink>
        </w:p>
        <w:p w14:paraId="64169EB2" w14:textId="46583AF9"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6" w:history="1">
            <w:r w:rsidR="00061C72" w:rsidRPr="00845E86">
              <w:rPr>
                <w:rStyle w:val="Hyperlink"/>
                <w:noProof/>
              </w:rPr>
              <w:t>5.3.3 Between-group comparisons</w:t>
            </w:r>
            <w:r w:rsidR="00061C72">
              <w:rPr>
                <w:noProof/>
                <w:webHidden/>
              </w:rPr>
              <w:tab/>
            </w:r>
            <w:r w:rsidR="00061C72">
              <w:rPr>
                <w:noProof/>
                <w:webHidden/>
              </w:rPr>
              <w:fldChar w:fldCharType="begin"/>
            </w:r>
            <w:r w:rsidR="00061C72">
              <w:rPr>
                <w:noProof/>
                <w:webHidden/>
              </w:rPr>
              <w:instrText xml:space="preserve"> PAGEREF _Toc137504786 \h </w:instrText>
            </w:r>
            <w:r w:rsidR="00061C72">
              <w:rPr>
                <w:noProof/>
                <w:webHidden/>
              </w:rPr>
            </w:r>
            <w:r w:rsidR="00061C72">
              <w:rPr>
                <w:noProof/>
                <w:webHidden/>
              </w:rPr>
              <w:fldChar w:fldCharType="separate"/>
            </w:r>
            <w:r w:rsidR="00061C72">
              <w:rPr>
                <w:noProof/>
                <w:webHidden/>
              </w:rPr>
              <w:t>151</w:t>
            </w:r>
            <w:r w:rsidR="00061C72">
              <w:rPr>
                <w:noProof/>
                <w:webHidden/>
              </w:rPr>
              <w:fldChar w:fldCharType="end"/>
            </w:r>
          </w:hyperlink>
        </w:p>
        <w:p w14:paraId="52D300E2" w14:textId="47DFDB5A"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7" w:history="1">
            <w:r w:rsidR="00061C72" w:rsidRPr="00845E86">
              <w:rPr>
                <w:rStyle w:val="Hyperlink"/>
                <w:noProof/>
              </w:rPr>
              <w:t>5.3.4 Delay discounting</w:t>
            </w:r>
            <w:r w:rsidR="00061C72">
              <w:rPr>
                <w:noProof/>
                <w:webHidden/>
              </w:rPr>
              <w:tab/>
            </w:r>
            <w:r w:rsidR="00061C72">
              <w:rPr>
                <w:noProof/>
                <w:webHidden/>
              </w:rPr>
              <w:fldChar w:fldCharType="begin"/>
            </w:r>
            <w:r w:rsidR="00061C72">
              <w:rPr>
                <w:noProof/>
                <w:webHidden/>
              </w:rPr>
              <w:instrText xml:space="preserve"> PAGEREF _Toc137504787 \h </w:instrText>
            </w:r>
            <w:r w:rsidR="00061C72">
              <w:rPr>
                <w:noProof/>
                <w:webHidden/>
              </w:rPr>
            </w:r>
            <w:r w:rsidR="00061C72">
              <w:rPr>
                <w:noProof/>
                <w:webHidden/>
              </w:rPr>
              <w:fldChar w:fldCharType="separate"/>
            </w:r>
            <w:r w:rsidR="00061C72">
              <w:rPr>
                <w:noProof/>
                <w:webHidden/>
              </w:rPr>
              <w:t>153</w:t>
            </w:r>
            <w:r w:rsidR="00061C72">
              <w:rPr>
                <w:noProof/>
                <w:webHidden/>
              </w:rPr>
              <w:fldChar w:fldCharType="end"/>
            </w:r>
          </w:hyperlink>
        </w:p>
        <w:p w14:paraId="03D5BF5D" w14:textId="788DA387"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8" w:history="1">
            <w:r w:rsidR="00061C72" w:rsidRPr="00845E86">
              <w:rPr>
                <w:rStyle w:val="Hyperlink"/>
                <w:noProof/>
              </w:rPr>
              <w:t>5.3.5 Negative Affective Priming Effects</w:t>
            </w:r>
            <w:r w:rsidR="00061C72">
              <w:rPr>
                <w:noProof/>
                <w:webHidden/>
              </w:rPr>
              <w:tab/>
            </w:r>
            <w:r w:rsidR="00061C72">
              <w:rPr>
                <w:noProof/>
                <w:webHidden/>
              </w:rPr>
              <w:fldChar w:fldCharType="begin"/>
            </w:r>
            <w:r w:rsidR="00061C72">
              <w:rPr>
                <w:noProof/>
                <w:webHidden/>
              </w:rPr>
              <w:instrText xml:space="preserve"> PAGEREF _Toc137504788 \h </w:instrText>
            </w:r>
            <w:r w:rsidR="00061C72">
              <w:rPr>
                <w:noProof/>
                <w:webHidden/>
              </w:rPr>
            </w:r>
            <w:r w:rsidR="00061C72">
              <w:rPr>
                <w:noProof/>
                <w:webHidden/>
              </w:rPr>
              <w:fldChar w:fldCharType="separate"/>
            </w:r>
            <w:r w:rsidR="00061C72">
              <w:rPr>
                <w:noProof/>
                <w:webHidden/>
              </w:rPr>
              <w:t>153</w:t>
            </w:r>
            <w:r w:rsidR="00061C72">
              <w:rPr>
                <w:noProof/>
                <w:webHidden/>
              </w:rPr>
              <w:fldChar w:fldCharType="end"/>
            </w:r>
          </w:hyperlink>
        </w:p>
        <w:p w14:paraId="3A1AFD6C" w14:textId="11630509"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89" w:history="1">
            <w:r w:rsidR="00061C72" w:rsidRPr="00845E86">
              <w:rPr>
                <w:rStyle w:val="Hyperlink"/>
                <w:noProof/>
              </w:rPr>
              <w:t>3.6 Exploratory Analysis - Correlations</w:t>
            </w:r>
            <w:r w:rsidR="00061C72">
              <w:rPr>
                <w:noProof/>
                <w:webHidden/>
              </w:rPr>
              <w:tab/>
            </w:r>
            <w:r w:rsidR="00061C72">
              <w:rPr>
                <w:noProof/>
                <w:webHidden/>
              </w:rPr>
              <w:fldChar w:fldCharType="begin"/>
            </w:r>
            <w:r w:rsidR="00061C72">
              <w:rPr>
                <w:noProof/>
                <w:webHidden/>
              </w:rPr>
              <w:instrText xml:space="preserve"> PAGEREF _Toc137504789 \h </w:instrText>
            </w:r>
            <w:r w:rsidR="00061C72">
              <w:rPr>
                <w:noProof/>
                <w:webHidden/>
              </w:rPr>
            </w:r>
            <w:r w:rsidR="00061C72">
              <w:rPr>
                <w:noProof/>
                <w:webHidden/>
              </w:rPr>
              <w:fldChar w:fldCharType="separate"/>
            </w:r>
            <w:r w:rsidR="00061C72">
              <w:rPr>
                <w:noProof/>
                <w:webHidden/>
              </w:rPr>
              <w:t>157</w:t>
            </w:r>
            <w:r w:rsidR="00061C72">
              <w:rPr>
                <w:noProof/>
                <w:webHidden/>
              </w:rPr>
              <w:fldChar w:fldCharType="end"/>
            </w:r>
          </w:hyperlink>
        </w:p>
        <w:p w14:paraId="3878D946" w14:textId="3341F666"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90" w:history="1">
            <w:r w:rsidR="00061C72" w:rsidRPr="00845E86">
              <w:rPr>
                <w:rStyle w:val="Hyperlink"/>
                <w:noProof/>
              </w:rPr>
              <w:t>5.4 Discussion</w:t>
            </w:r>
            <w:r w:rsidR="00061C72">
              <w:rPr>
                <w:noProof/>
                <w:webHidden/>
              </w:rPr>
              <w:tab/>
            </w:r>
            <w:r w:rsidR="00061C72">
              <w:rPr>
                <w:noProof/>
                <w:webHidden/>
              </w:rPr>
              <w:fldChar w:fldCharType="begin"/>
            </w:r>
            <w:r w:rsidR="00061C72">
              <w:rPr>
                <w:noProof/>
                <w:webHidden/>
              </w:rPr>
              <w:instrText xml:space="preserve"> PAGEREF _Toc137504790 \h </w:instrText>
            </w:r>
            <w:r w:rsidR="00061C72">
              <w:rPr>
                <w:noProof/>
                <w:webHidden/>
              </w:rPr>
            </w:r>
            <w:r w:rsidR="00061C72">
              <w:rPr>
                <w:noProof/>
                <w:webHidden/>
              </w:rPr>
              <w:fldChar w:fldCharType="separate"/>
            </w:r>
            <w:r w:rsidR="00061C72">
              <w:rPr>
                <w:noProof/>
                <w:webHidden/>
              </w:rPr>
              <w:t>160</w:t>
            </w:r>
            <w:r w:rsidR="00061C72">
              <w:rPr>
                <w:noProof/>
                <w:webHidden/>
              </w:rPr>
              <w:fldChar w:fldCharType="end"/>
            </w:r>
          </w:hyperlink>
        </w:p>
        <w:p w14:paraId="0F341F62" w14:textId="391BD65C"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91" w:history="1">
            <w:r w:rsidR="00061C72" w:rsidRPr="00845E86">
              <w:rPr>
                <w:rStyle w:val="Hyperlink"/>
                <w:noProof/>
              </w:rPr>
              <w:t>5.4.1 Negative Affective Priming – Indications for attentional biases in FNSDs.</w:t>
            </w:r>
            <w:r w:rsidR="00061C72">
              <w:rPr>
                <w:noProof/>
                <w:webHidden/>
              </w:rPr>
              <w:tab/>
            </w:r>
            <w:r w:rsidR="00061C72">
              <w:rPr>
                <w:noProof/>
                <w:webHidden/>
              </w:rPr>
              <w:fldChar w:fldCharType="begin"/>
            </w:r>
            <w:r w:rsidR="00061C72">
              <w:rPr>
                <w:noProof/>
                <w:webHidden/>
              </w:rPr>
              <w:instrText xml:space="preserve"> PAGEREF _Toc137504791 \h </w:instrText>
            </w:r>
            <w:r w:rsidR="00061C72">
              <w:rPr>
                <w:noProof/>
                <w:webHidden/>
              </w:rPr>
            </w:r>
            <w:r w:rsidR="00061C72">
              <w:rPr>
                <w:noProof/>
                <w:webHidden/>
              </w:rPr>
              <w:fldChar w:fldCharType="separate"/>
            </w:r>
            <w:r w:rsidR="00061C72">
              <w:rPr>
                <w:noProof/>
                <w:webHidden/>
              </w:rPr>
              <w:t>160</w:t>
            </w:r>
            <w:r w:rsidR="00061C72">
              <w:rPr>
                <w:noProof/>
                <w:webHidden/>
              </w:rPr>
              <w:fldChar w:fldCharType="end"/>
            </w:r>
          </w:hyperlink>
        </w:p>
        <w:p w14:paraId="5DA4BAFB" w14:textId="15A923F0"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92" w:history="1">
            <w:r w:rsidR="00061C72" w:rsidRPr="00845E86">
              <w:rPr>
                <w:rStyle w:val="Hyperlink"/>
                <w:noProof/>
              </w:rPr>
              <w:t>5.4.2 Delay Discounting</w:t>
            </w:r>
            <w:r w:rsidR="00061C72">
              <w:rPr>
                <w:noProof/>
                <w:webHidden/>
              </w:rPr>
              <w:tab/>
            </w:r>
            <w:r w:rsidR="00061C72">
              <w:rPr>
                <w:noProof/>
                <w:webHidden/>
              </w:rPr>
              <w:fldChar w:fldCharType="begin"/>
            </w:r>
            <w:r w:rsidR="00061C72">
              <w:rPr>
                <w:noProof/>
                <w:webHidden/>
              </w:rPr>
              <w:instrText xml:space="preserve"> PAGEREF _Toc137504792 \h </w:instrText>
            </w:r>
            <w:r w:rsidR="00061C72">
              <w:rPr>
                <w:noProof/>
                <w:webHidden/>
              </w:rPr>
            </w:r>
            <w:r w:rsidR="00061C72">
              <w:rPr>
                <w:noProof/>
                <w:webHidden/>
              </w:rPr>
              <w:fldChar w:fldCharType="separate"/>
            </w:r>
            <w:r w:rsidR="00061C72">
              <w:rPr>
                <w:noProof/>
                <w:webHidden/>
              </w:rPr>
              <w:t>162</w:t>
            </w:r>
            <w:r w:rsidR="00061C72">
              <w:rPr>
                <w:noProof/>
                <w:webHidden/>
              </w:rPr>
              <w:fldChar w:fldCharType="end"/>
            </w:r>
          </w:hyperlink>
        </w:p>
        <w:p w14:paraId="13A61ADC" w14:textId="3F8AA5FD"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93" w:history="1">
            <w:r w:rsidR="00061C72" w:rsidRPr="00845E86">
              <w:rPr>
                <w:rStyle w:val="Hyperlink"/>
                <w:noProof/>
              </w:rPr>
              <w:t>5.4.3 Outcome Measurement using NAP and DD in FNSDs</w:t>
            </w:r>
            <w:r w:rsidR="00061C72">
              <w:rPr>
                <w:noProof/>
                <w:webHidden/>
              </w:rPr>
              <w:tab/>
            </w:r>
            <w:r w:rsidR="00061C72">
              <w:rPr>
                <w:noProof/>
                <w:webHidden/>
              </w:rPr>
              <w:fldChar w:fldCharType="begin"/>
            </w:r>
            <w:r w:rsidR="00061C72">
              <w:rPr>
                <w:noProof/>
                <w:webHidden/>
              </w:rPr>
              <w:instrText xml:space="preserve"> PAGEREF _Toc137504793 \h </w:instrText>
            </w:r>
            <w:r w:rsidR="00061C72">
              <w:rPr>
                <w:noProof/>
                <w:webHidden/>
              </w:rPr>
            </w:r>
            <w:r w:rsidR="00061C72">
              <w:rPr>
                <w:noProof/>
                <w:webHidden/>
              </w:rPr>
              <w:fldChar w:fldCharType="separate"/>
            </w:r>
            <w:r w:rsidR="00061C72">
              <w:rPr>
                <w:noProof/>
                <w:webHidden/>
              </w:rPr>
              <w:t>165</w:t>
            </w:r>
            <w:r w:rsidR="00061C72">
              <w:rPr>
                <w:noProof/>
                <w:webHidden/>
              </w:rPr>
              <w:fldChar w:fldCharType="end"/>
            </w:r>
          </w:hyperlink>
        </w:p>
        <w:p w14:paraId="66611E12" w14:textId="790D4DB4"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94" w:history="1">
            <w:r w:rsidR="00061C72" w:rsidRPr="00845E86">
              <w:rPr>
                <w:rStyle w:val="Hyperlink"/>
                <w:noProof/>
              </w:rPr>
              <w:t>5.4.4 Strengths and limitations</w:t>
            </w:r>
            <w:r w:rsidR="00061C72">
              <w:rPr>
                <w:noProof/>
                <w:webHidden/>
              </w:rPr>
              <w:tab/>
            </w:r>
            <w:r w:rsidR="00061C72">
              <w:rPr>
                <w:noProof/>
                <w:webHidden/>
              </w:rPr>
              <w:fldChar w:fldCharType="begin"/>
            </w:r>
            <w:r w:rsidR="00061C72">
              <w:rPr>
                <w:noProof/>
                <w:webHidden/>
              </w:rPr>
              <w:instrText xml:space="preserve"> PAGEREF _Toc137504794 \h </w:instrText>
            </w:r>
            <w:r w:rsidR="00061C72">
              <w:rPr>
                <w:noProof/>
                <w:webHidden/>
              </w:rPr>
            </w:r>
            <w:r w:rsidR="00061C72">
              <w:rPr>
                <w:noProof/>
                <w:webHidden/>
              </w:rPr>
              <w:fldChar w:fldCharType="separate"/>
            </w:r>
            <w:r w:rsidR="00061C72">
              <w:rPr>
                <w:noProof/>
                <w:webHidden/>
              </w:rPr>
              <w:t>165</w:t>
            </w:r>
            <w:r w:rsidR="00061C72">
              <w:rPr>
                <w:noProof/>
                <w:webHidden/>
              </w:rPr>
              <w:fldChar w:fldCharType="end"/>
            </w:r>
          </w:hyperlink>
        </w:p>
        <w:p w14:paraId="36CB8290" w14:textId="06C3A76E"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95" w:history="1">
            <w:r w:rsidR="00061C72" w:rsidRPr="00845E86">
              <w:rPr>
                <w:rStyle w:val="Hyperlink"/>
                <w:noProof/>
              </w:rPr>
              <w:t>5.4.5 Future Research</w:t>
            </w:r>
            <w:r w:rsidR="00061C72">
              <w:rPr>
                <w:noProof/>
                <w:webHidden/>
              </w:rPr>
              <w:tab/>
            </w:r>
            <w:r w:rsidR="00061C72">
              <w:rPr>
                <w:noProof/>
                <w:webHidden/>
              </w:rPr>
              <w:fldChar w:fldCharType="begin"/>
            </w:r>
            <w:r w:rsidR="00061C72">
              <w:rPr>
                <w:noProof/>
                <w:webHidden/>
              </w:rPr>
              <w:instrText xml:space="preserve"> PAGEREF _Toc137504795 \h </w:instrText>
            </w:r>
            <w:r w:rsidR="00061C72">
              <w:rPr>
                <w:noProof/>
                <w:webHidden/>
              </w:rPr>
            </w:r>
            <w:r w:rsidR="00061C72">
              <w:rPr>
                <w:noProof/>
                <w:webHidden/>
              </w:rPr>
              <w:fldChar w:fldCharType="separate"/>
            </w:r>
            <w:r w:rsidR="00061C72">
              <w:rPr>
                <w:noProof/>
                <w:webHidden/>
              </w:rPr>
              <w:t>166</w:t>
            </w:r>
            <w:r w:rsidR="00061C72">
              <w:rPr>
                <w:noProof/>
                <w:webHidden/>
              </w:rPr>
              <w:fldChar w:fldCharType="end"/>
            </w:r>
          </w:hyperlink>
        </w:p>
        <w:p w14:paraId="385CA8FA" w14:textId="41BB2082" w:rsidR="00061C72" w:rsidRDefault="00000000">
          <w:pPr>
            <w:pStyle w:val="TOC3"/>
            <w:tabs>
              <w:tab w:val="right" w:leader="dot" w:pos="9010"/>
            </w:tabs>
            <w:rPr>
              <w:rFonts w:cstheme="minorBidi"/>
              <w:i w:val="0"/>
              <w:iCs w:val="0"/>
              <w:noProof/>
              <w:kern w:val="2"/>
              <w:sz w:val="24"/>
              <w:szCs w:val="24"/>
              <w:lang w:eastAsia="en-GB"/>
              <w14:ligatures w14:val="standardContextual"/>
            </w:rPr>
          </w:pPr>
          <w:hyperlink w:anchor="_Toc137504796" w:history="1">
            <w:r w:rsidR="00061C72" w:rsidRPr="00845E86">
              <w:rPr>
                <w:rStyle w:val="Hyperlink"/>
                <w:noProof/>
              </w:rPr>
              <w:t>5.4.6 Conclusions</w:t>
            </w:r>
            <w:r w:rsidR="00061C72">
              <w:rPr>
                <w:noProof/>
                <w:webHidden/>
              </w:rPr>
              <w:tab/>
            </w:r>
            <w:r w:rsidR="00061C72">
              <w:rPr>
                <w:noProof/>
                <w:webHidden/>
              </w:rPr>
              <w:fldChar w:fldCharType="begin"/>
            </w:r>
            <w:r w:rsidR="00061C72">
              <w:rPr>
                <w:noProof/>
                <w:webHidden/>
              </w:rPr>
              <w:instrText xml:space="preserve"> PAGEREF _Toc137504796 \h </w:instrText>
            </w:r>
            <w:r w:rsidR="00061C72">
              <w:rPr>
                <w:noProof/>
                <w:webHidden/>
              </w:rPr>
            </w:r>
            <w:r w:rsidR="00061C72">
              <w:rPr>
                <w:noProof/>
                <w:webHidden/>
              </w:rPr>
              <w:fldChar w:fldCharType="separate"/>
            </w:r>
            <w:r w:rsidR="00061C72">
              <w:rPr>
                <w:noProof/>
                <w:webHidden/>
              </w:rPr>
              <w:t>167</w:t>
            </w:r>
            <w:r w:rsidR="00061C72">
              <w:rPr>
                <w:noProof/>
                <w:webHidden/>
              </w:rPr>
              <w:fldChar w:fldCharType="end"/>
            </w:r>
          </w:hyperlink>
        </w:p>
        <w:p w14:paraId="55CB506B" w14:textId="299FBF9C"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797" w:history="1">
            <w:r w:rsidR="00061C72" w:rsidRPr="00845E86">
              <w:rPr>
                <w:rStyle w:val="Hyperlink"/>
                <w:noProof/>
              </w:rPr>
              <w:t>6.0 Discussion</w:t>
            </w:r>
            <w:r w:rsidR="00061C72">
              <w:rPr>
                <w:noProof/>
                <w:webHidden/>
              </w:rPr>
              <w:tab/>
            </w:r>
            <w:r w:rsidR="00061C72">
              <w:rPr>
                <w:noProof/>
                <w:webHidden/>
              </w:rPr>
              <w:fldChar w:fldCharType="begin"/>
            </w:r>
            <w:r w:rsidR="00061C72">
              <w:rPr>
                <w:noProof/>
                <w:webHidden/>
              </w:rPr>
              <w:instrText xml:space="preserve"> PAGEREF _Toc137504797 \h </w:instrText>
            </w:r>
            <w:r w:rsidR="00061C72">
              <w:rPr>
                <w:noProof/>
                <w:webHidden/>
              </w:rPr>
            </w:r>
            <w:r w:rsidR="00061C72">
              <w:rPr>
                <w:noProof/>
                <w:webHidden/>
              </w:rPr>
              <w:fldChar w:fldCharType="separate"/>
            </w:r>
            <w:r w:rsidR="00061C72">
              <w:rPr>
                <w:noProof/>
                <w:webHidden/>
              </w:rPr>
              <w:t>168</w:t>
            </w:r>
            <w:r w:rsidR="00061C72">
              <w:rPr>
                <w:noProof/>
                <w:webHidden/>
              </w:rPr>
              <w:fldChar w:fldCharType="end"/>
            </w:r>
          </w:hyperlink>
        </w:p>
        <w:p w14:paraId="73D8EB4A" w14:textId="7913C39E"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98" w:history="1">
            <w:r w:rsidR="00061C72" w:rsidRPr="00845E86">
              <w:rPr>
                <w:rStyle w:val="Hyperlink"/>
                <w:noProof/>
              </w:rPr>
              <w:t>6.1 Patient self-report measures for FNSD outcome measurement</w:t>
            </w:r>
            <w:r w:rsidR="00061C72">
              <w:rPr>
                <w:noProof/>
                <w:webHidden/>
              </w:rPr>
              <w:tab/>
            </w:r>
            <w:r w:rsidR="00061C72">
              <w:rPr>
                <w:noProof/>
                <w:webHidden/>
              </w:rPr>
              <w:fldChar w:fldCharType="begin"/>
            </w:r>
            <w:r w:rsidR="00061C72">
              <w:rPr>
                <w:noProof/>
                <w:webHidden/>
              </w:rPr>
              <w:instrText xml:space="preserve"> PAGEREF _Toc137504798 \h </w:instrText>
            </w:r>
            <w:r w:rsidR="00061C72">
              <w:rPr>
                <w:noProof/>
                <w:webHidden/>
              </w:rPr>
            </w:r>
            <w:r w:rsidR="00061C72">
              <w:rPr>
                <w:noProof/>
                <w:webHidden/>
              </w:rPr>
              <w:fldChar w:fldCharType="separate"/>
            </w:r>
            <w:r w:rsidR="00061C72">
              <w:rPr>
                <w:noProof/>
                <w:webHidden/>
              </w:rPr>
              <w:t>168</w:t>
            </w:r>
            <w:r w:rsidR="00061C72">
              <w:rPr>
                <w:noProof/>
                <w:webHidden/>
              </w:rPr>
              <w:fldChar w:fldCharType="end"/>
            </w:r>
          </w:hyperlink>
        </w:p>
        <w:p w14:paraId="63C76E97" w14:textId="4704CC06"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799" w:history="1">
            <w:r w:rsidR="00061C72" w:rsidRPr="00845E86">
              <w:rPr>
                <w:rStyle w:val="Hyperlink"/>
                <w:noProof/>
              </w:rPr>
              <w:t>6.2 Emergency Service Use for FNSD outcome measurement</w:t>
            </w:r>
            <w:r w:rsidR="00061C72">
              <w:rPr>
                <w:noProof/>
                <w:webHidden/>
              </w:rPr>
              <w:tab/>
            </w:r>
            <w:r w:rsidR="00061C72">
              <w:rPr>
                <w:noProof/>
                <w:webHidden/>
              </w:rPr>
              <w:fldChar w:fldCharType="begin"/>
            </w:r>
            <w:r w:rsidR="00061C72">
              <w:rPr>
                <w:noProof/>
                <w:webHidden/>
              </w:rPr>
              <w:instrText xml:space="preserve"> PAGEREF _Toc137504799 \h </w:instrText>
            </w:r>
            <w:r w:rsidR="00061C72">
              <w:rPr>
                <w:noProof/>
                <w:webHidden/>
              </w:rPr>
            </w:r>
            <w:r w:rsidR="00061C72">
              <w:rPr>
                <w:noProof/>
                <w:webHidden/>
              </w:rPr>
              <w:fldChar w:fldCharType="separate"/>
            </w:r>
            <w:r w:rsidR="00061C72">
              <w:rPr>
                <w:noProof/>
                <w:webHidden/>
              </w:rPr>
              <w:t>169</w:t>
            </w:r>
            <w:r w:rsidR="00061C72">
              <w:rPr>
                <w:noProof/>
                <w:webHidden/>
              </w:rPr>
              <w:fldChar w:fldCharType="end"/>
            </w:r>
          </w:hyperlink>
        </w:p>
        <w:p w14:paraId="74EA88AB" w14:textId="073B4AA4"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800" w:history="1">
            <w:r w:rsidR="00061C72" w:rsidRPr="00845E86">
              <w:rPr>
                <w:rStyle w:val="Hyperlink"/>
                <w:noProof/>
              </w:rPr>
              <w:t>6.3 Utilising Cognitive Affective Traits for FNSD outcome measurement</w:t>
            </w:r>
            <w:r w:rsidR="00061C72">
              <w:rPr>
                <w:noProof/>
                <w:webHidden/>
              </w:rPr>
              <w:tab/>
            </w:r>
            <w:r w:rsidR="00061C72">
              <w:rPr>
                <w:noProof/>
                <w:webHidden/>
              </w:rPr>
              <w:fldChar w:fldCharType="begin"/>
            </w:r>
            <w:r w:rsidR="00061C72">
              <w:rPr>
                <w:noProof/>
                <w:webHidden/>
              </w:rPr>
              <w:instrText xml:space="preserve"> PAGEREF _Toc137504800 \h </w:instrText>
            </w:r>
            <w:r w:rsidR="00061C72">
              <w:rPr>
                <w:noProof/>
                <w:webHidden/>
              </w:rPr>
            </w:r>
            <w:r w:rsidR="00061C72">
              <w:rPr>
                <w:noProof/>
                <w:webHidden/>
              </w:rPr>
              <w:fldChar w:fldCharType="separate"/>
            </w:r>
            <w:r w:rsidR="00061C72">
              <w:rPr>
                <w:noProof/>
                <w:webHidden/>
              </w:rPr>
              <w:t>171</w:t>
            </w:r>
            <w:r w:rsidR="00061C72">
              <w:rPr>
                <w:noProof/>
                <w:webHidden/>
              </w:rPr>
              <w:fldChar w:fldCharType="end"/>
            </w:r>
          </w:hyperlink>
        </w:p>
        <w:p w14:paraId="648A04F3" w14:textId="7C7A7BEE"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801" w:history="1">
            <w:r w:rsidR="00061C72" w:rsidRPr="00845E86">
              <w:rPr>
                <w:rStyle w:val="Hyperlink"/>
                <w:noProof/>
              </w:rPr>
              <w:t>6.4 Enhancing outcome measurement in FNSD</w:t>
            </w:r>
            <w:r w:rsidR="00061C72">
              <w:rPr>
                <w:noProof/>
                <w:webHidden/>
              </w:rPr>
              <w:tab/>
            </w:r>
            <w:r w:rsidR="00061C72">
              <w:rPr>
                <w:noProof/>
                <w:webHidden/>
              </w:rPr>
              <w:fldChar w:fldCharType="begin"/>
            </w:r>
            <w:r w:rsidR="00061C72">
              <w:rPr>
                <w:noProof/>
                <w:webHidden/>
              </w:rPr>
              <w:instrText xml:space="preserve"> PAGEREF _Toc137504801 \h </w:instrText>
            </w:r>
            <w:r w:rsidR="00061C72">
              <w:rPr>
                <w:noProof/>
                <w:webHidden/>
              </w:rPr>
            </w:r>
            <w:r w:rsidR="00061C72">
              <w:rPr>
                <w:noProof/>
                <w:webHidden/>
              </w:rPr>
              <w:fldChar w:fldCharType="separate"/>
            </w:r>
            <w:r w:rsidR="00061C72">
              <w:rPr>
                <w:noProof/>
                <w:webHidden/>
              </w:rPr>
              <w:t>172</w:t>
            </w:r>
            <w:r w:rsidR="00061C72">
              <w:rPr>
                <w:noProof/>
                <w:webHidden/>
              </w:rPr>
              <w:fldChar w:fldCharType="end"/>
            </w:r>
          </w:hyperlink>
        </w:p>
        <w:p w14:paraId="1DECCFCC" w14:textId="536D619C"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802" w:history="1">
            <w:r w:rsidR="00061C72" w:rsidRPr="00845E86">
              <w:rPr>
                <w:rStyle w:val="Hyperlink"/>
                <w:noProof/>
              </w:rPr>
              <w:t>6.5 Implications of this research</w:t>
            </w:r>
            <w:r w:rsidR="00061C72">
              <w:rPr>
                <w:noProof/>
                <w:webHidden/>
              </w:rPr>
              <w:tab/>
            </w:r>
            <w:r w:rsidR="00061C72">
              <w:rPr>
                <w:noProof/>
                <w:webHidden/>
              </w:rPr>
              <w:fldChar w:fldCharType="begin"/>
            </w:r>
            <w:r w:rsidR="00061C72">
              <w:rPr>
                <w:noProof/>
                <w:webHidden/>
              </w:rPr>
              <w:instrText xml:space="preserve"> PAGEREF _Toc137504802 \h </w:instrText>
            </w:r>
            <w:r w:rsidR="00061C72">
              <w:rPr>
                <w:noProof/>
                <w:webHidden/>
              </w:rPr>
            </w:r>
            <w:r w:rsidR="00061C72">
              <w:rPr>
                <w:noProof/>
                <w:webHidden/>
              </w:rPr>
              <w:fldChar w:fldCharType="separate"/>
            </w:r>
            <w:r w:rsidR="00061C72">
              <w:rPr>
                <w:noProof/>
                <w:webHidden/>
              </w:rPr>
              <w:t>174</w:t>
            </w:r>
            <w:r w:rsidR="00061C72">
              <w:rPr>
                <w:noProof/>
                <w:webHidden/>
              </w:rPr>
              <w:fldChar w:fldCharType="end"/>
            </w:r>
          </w:hyperlink>
        </w:p>
        <w:p w14:paraId="20EC7FB5" w14:textId="06EC2673"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803" w:history="1">
            <w:r w:rsidR="00061C72" w:rsidRPr="00845E86">
              <w:rPr>
                <w:rStyle w:val="Hyperlink"/>
                <w:noProof/>
              </w:rPr>
              <w:t>6.6 Strengths and Limitations</w:t>
            </w:r>
            <w:r w:rsidR="00061C72">
              <w:rPr>
                <w:noProof/>
                <w:webHidden/>
              </w:rPr>
              <w:tab/>
            </w:r>
            <w:r w:rsidR="00061C72">
              <w:rPr>
                <w:noProof/>
                <w:webHidden/>
              </w:rPr>
              <w:fldChar w:fldCharType="begin"/>
            </w:r>
            <w:r w:rsidR="00061C72">
              <w:rPr>
                <w:noProof/>
                <w:webHidden/>
              </w:rPr>
              <w:instrText xml:space="preserve"> PAGEREF _Toc137504803 \h </w:instrText>
            </w:r>
            <w:r w:rsidR="00061C72">
              <w:rPr>
                <w:noProof/>
                <w:webHidden/>
              </w:rPr>
            </w:r>
            <w:r w:rsidR="00061C72">
              <w:rPr>
                <w:noProof/>
                <w:webHidden/>
              </w:rPr>
              <w:fldChar w:fldCharType="separate"/>
            </w:r>
            <w:r w:rsidR="00061C72">
              <w:rPr>
                <w:noProof/>
                <w:webHidden/>
              </w:rPr>
              <w:t>175</w:t>
            </w:r>
            <w:r w:rsidR="00061C72">
              <w:rPr>
                <w:noProof/>
                <w:webHidden/>
              </w:rPr>
              <w:fldChar w:fldCharType="end"/>
            </w:r>
          </w:hyperlink>
        </w:p>
        <w:p w14:paraId="2BEBF7E1" w14:textId="572AC029" w:rsidR="00061C72" w:rsidRDefault="00000000">
          <w:pPr>
            <w:pStyle w:val="TOC2"/>
            <w:tabs>
              <w:tab w:val="right" w:leader="dot" w:pos="9010"/>
            </w:tabs>
            <w:rPr>
              <w:rFonts w:cstheme="minorBidi"/>
              <w:smallCaps w:val="0"/>
              <w:noProof/>
              <w:kern w:val="2"/>
              <w:sz w:val="24"/>
              <w:szCs w:val="24"/>
              <w:lang w:eastAsia="en-GB"/>
              <w14:ligatures w14:val="standardContextual"/>
            </w:rPr>
          </w:pPr>
          <w:hyperlink w:anchor="_Toc137504804" w:history="1">
            <w:r w:rsidR="00061C72" w:rsidRPr="00845E86">
              <w:rPr>
                <w:rStyle w:val="Hyperlink"/>
                <w:noProof/>
              </w:rPr>
              <w:t>6.7 Future work</w:t>
            </w:r>
            <w:r w:rsidR="00061C72">
              <w:rPr>
                <w:noProof/>
                <w:webHidden/>
              </w:rPr>
              <w:tab/>
            </w:r>
            <w:r w:rsidR="00061C72">
              <w:rPr>
                <w:noProof/>
                <w:webHidden/>
              </w:rPr>
              <w:fldChar w:fldCharType="begin"/>
            </w:r>
            <w:r w:rsidR="00061C72">
              <w:rPr>
                <w:noProof/>
                <w:webHidden/>
              </w:rPr>
              <w:instrText xml:space="preserve"> PAGEREF _Toc137504804 \h </w:instrText>
            </w:r>
            <w:r w:rsidR="00061C72">
              <w:rPr>
                <w:noProof/>
                <w:webHidden/>
              </w:rPr>
            </w:r>
            <w:r w:rsidR="00061C72">
              <w:rPr>
                <w:noProof/>
                <w:webHidden/>
              </w:rPr>
              <w:fldChar w:fldCharType="separate"/>
            </w:r>
            <w:r w:rsidR="00061C72">
              <w:rPr>
                <w:noProof/>
                <w:webHidden/>
              </w:rPr>
              <w:t>176</w:t>
            </w:r>
            <w:r w:rsidR="00061C72">
              <w:rPr>
                <w:noProof/>
                <w:webHidden/>
              </w:rPr>
              <w:fldChar w:fldCharType="end"/>
            </w:r>
          </w:hyperlink>
        </w:p>
        <w:p w14:paraId="16914443" w14:textId="634814AE" w:rsidR="00061C72" w:rsidRDefault="00000000">
          <w:pPr>
            <w:pStyle w:val="TOC1"/>
            <w:tabs>
              <w:tab w:val="right" w:leader="dot" w:pos="9010"/>
            </w:tabs>
            <w:rPr>
              <w:rFonts w:cstheme="minorBidi"/>
              <w:b w:val="0"/>
              <w:bCs w:val="0"/>
              <w:caps w:val="0"/>
              <w:noProof/>
              <w:kern w:val="2"/>
              <w:sz w:val="24"/>
              <w:szCs w:val="24"/>
              <w:lang w:eastAsia="en-GB"/>
              <w14:ligatures w14:val="standardContextual"/>
            </w:rPr>
          </w:pPr>
          <w:hyperlink w:anchor="_Toc137504805" w:history="1">
            <w:r w:rsidR="00061C72" w:rsidRPr="00845E86">
              <w:rPr>
                <w:rStyle w:val="Hyperlink"/>
                <w:noProof/>
              </w:rPr>
              <w:t>7.0 Conclusion</w:t>
            </w:r>
            <w:r w:rsidR="00061C72">
              <w:rPr>
                <w:noProof/>
                <w:webHidden/>
              </w:rPr>
              <w:tab/>
            </w:r>
            <w:r w:rsidR="00061C72">
              <w:rPr>
                <w:noProof/>
                <w:webHidden/>
              </w:rPr>
              <w:fldChar w:fldCharType="begin"/>
            </w:r>
            <w:r w:rsidR="00061C72">
              <w:rPr>
                <w:noProof/>
                <w:webHidden/>
              </w:rPr>
              <w:instrText xml:space="preserve"> PAGEREF _Toc137504805 \h </w:instrText>
            </w:r>
            <w:r w:rsidR="00061C72">
              <w:rPr>
                <w:noProof/>
                <w:webHidden/>
              </w:rPr>
            </w:r>
            <w:r w:rsidR="00061C72">
              <w:rPr>
                <w:noProof/>
                <w:webHidden/>
              </w:rPr>
              <w:fldChar w:fldCharType="separate"/>
            </w:r>
            <w:r w:rsidR="00061C72">
              <w:rPr>
                <w:noProof/>
                <w:webHidden/>
              </w:rPr>
              <w:t>177</w:t>
            </w:r>
            <w:r w:rsidR="00061C72">
              <w:rPr>
                <w:noProof/>
                <w:webHidden/>
              </w:rPr>
              <w:fldChar w:fldCharType="end"/>
            </w:r>
          </w:hyperlink>
        </w:p>
        <w:p w14:paraId="718C3F60" w14:textId="5DF489CB" w:rsidR="002751BF" w:rsidRDefault="002751BF" w:rsidP="004F74E8">
          <w:pPr>
            <w:spacing w:line="276" w:lineRule="auto"/>
          </w:pPr>
          <w:r>
            <w:rPr>
              <w:b/>
              <w:bCs/>
              <w:noProof/>
            </w:rPr>
            <w:fldChar w:fldCharType="end"/>
          </w:r>
        </w:p>
      </w:sdtContent>
    </w:sdt>
    <w:p w14:paraId="1935293E" w14:textId="77777777" w:rsidR="00FD624B" w:rsidRPr="002758B0" w:rsidRDefault="00FD624B" w:rsidP="00727596"/>
    <w:p w14:paraId="1F22A321" w14:textId="77777777" w:rsidR="00FD624B" w:rsidRDefault="00FD624B">
      <w:pPr>
        <w:spacing w:line="240" w:lineRule="auto"/>
        <w:jc w:val="left"/>
        <w:rPr>
          <w:rStyle w:val="IntenseReference"/>
          <w:rFonts w:ascii="Avenir Book" w:eastAsia="Times New Roman" w:hAnsi="Avenir Book" w:cs="Times New Roman"/>
          <w:b w:val="0"/>
          <w:lang w:val="en-US"/>
        </w:rPr>
      </w:pPr>
      <w:r>
        <w:rPr>
          <w:rStyle w:val="IntenseReference"/>
          <w:rFonts w:ascii="Avenir Book" w:hAnsi="Avenir Book"/>
        </w:rPr>
        <w:br w:type="page"/>
      </w:r>
    </w:p>
    <w:p w14:paraId="277BE3C0" w14:textId="7F6DD7EF" w:rsidR="00FD624B" w:rsidRPr="002751BF" w:rsidRDefault="00FD624B" w:rsidP="0014037C">
      <w:pPr>
        <w:pStyle w:val="Heading1"/>
        <w:rPr>
          <w:rStyle w:val="IntenseReference"/>
          <w:rFonts w:ascii="Calibri Light" w:hAnsi="Calibri Light"/>
          <w:b w:val="0"/>
          <w:bCs w:val="0"/>
          <w:smallCaps w:val="0"/>
          <w:color w:val="2E74B5" w:themeColor="accent1" w:themeShade="BF"/>
          <w:spacing w:val="0"/>
          <w:szCs w:val="20"/>
        </w:rPr>
      </w:pPr>
      <w:bookmarkStart w:id="6" w:name="_Toc137504652"/>
      <w:r w:rsidRPr="002751BF">
        <w:rPr>
          <w:rStyle w:val="IntenseReference"/>
          <w:rFonts w:ascii="Calibri Light" w:hAnsi="Calibri Light"/>
          <w:b w:val="0"/>
          <w:bCs w:val="0"/>
          <w:smallCaps w:val="0"/>
          <w:color w:val="2E74B5" w:themeColor="accent1" w:themeShade="BF"/>
          <w:spacing w:val="0"/>
          <w:szCs w:val="20"/>
        </w:rPr>
        <w:lastRenderedPageBreak/>
        <w:t xml:space="preserve">List of </w:t>
      </w:r>
      <w:r w:rsidR="002751BF">
        <w:rPr>
          <w:rStyle w:val="IntenseReference"/>
          <w:rFonts w:ascii="Calibri Light" w:hAnsi="Calibri Light"/>
          <w:b w:val="0"/>
          <w:bCs w:val="0"/>
          <w:smallCaps w:val="0"/>
          <w:color w:val="2E74B5" w:themeColor="accent1" w:themeShade="BF"/>
          <w:spacing w:val="0"/>
          <w:szCs w:val="20"/>
        </w:rPr>
        <w:t>T</w:t>
      </w:r>
      <w:r w:rsidRPr="002751BF">
        <w:rPr>
          <w:rStyle w:val="IntenseReference"/>
          <w:rFonts w:ascii="Calibri Light" w:hAnsi="Calibri Light"/>
          <w:b w:val="0"/>
          <w:bCs w:val="0"/>
          <w:smallCaps w:val="0"/>
          <w:color w:val="2E74B5" w:themeColor="accent1" w:themeShade="BF"/>
          <w:spacing w:val="0"/>
          <w:szCs w:val="20"/>
        </w:rPr>
        <w:t>ables</w:t>
      </w:r>
      <w:bookmarkEnd w:id="6"/>
    </w:p>
    <w:p w14:paraId="2CFB14B6" w14:textId="77777777" w:rsidR="00402356" w:rsidRPr="007C2B10" w:rsidRDefault="00402356" w:rsidP="0014037C">
      <w:pPr>
        <w:rPr>
          <w:rFonts w:cs="Arial"/>
          <w:bdr w:val="none" w:sz="0" w:space="0" w:color="auto" w:frame="1"/>
          <w:shd w:val="clear" w:color="auto" w:fill="FFFFFF"/>
        </w:rPr>
      </w:pPr>
    </w:p>
    <w:p w14:paraId="25846A6A" w14:textId="280BE54E" w:rsidR="0014037C" w:rsidRPr="007C2B10" w:rsidRDefault="0014037C" w:rsidP="0014037C">
      <w:pPr>
        <w:rPr>
          <w:rFonts w:cs="Arial"/>
          <w:b/>
          <w:bCs/>
          <w:bdr w:val="none" w:sz="0" w:space="0" w:color="auto" w:frame="1"/>
          <w:shd w:val="clear" w:color="auto" w:fill="FFFFFF"/>
        </w:rPr>
      </w:pPr>
      <w:r w:rsidRPr="007C2B10">
        <w:rPr>
          <w:rFonts w:cs="Arial"/>
          <w:b/>
          <w:bCs/>
          <w:bdr w:val="none" w:sz="0" w:space="0" w:color="auto" w:frame="1"/>
          <w:shd w:val="clear" w:color="auto" w:fill="FFFFFF"/>
        </w:rPr>
        <w:t>Table 1.</w:t>
      </w:r>
      <w:r w:rsidR="008B1523" w:rsidRPr="007C2B10">
        <w:rPr>
          <w:rFonts w:cs="Arial"/>
          <w:bdr w:val="none" w:sz="0" w:space="0" w:color="auto" w:frame="1"/>
          <w:shd w:val="clear" w:color="auto" w:fill="FFFFFF"/>
        </w:rPr>
        <w:t xml:space="preserve"> Correlations between self-report scores and objective measures reported in the</w:t>
      </w:r>
      <w:r w:rsidR="000F59C4">
        <w:rPr>
          <w:rFonts w:cs="Arial"/>
          <w:bdr w:val="none" w:sz="0" w:space="0" w:color="auto" w:frame="1"/>
          <w:shd w:val="clear" w:color="auto" w:fill="FFFFFF"/>
        </w:rPr>
        <w:t xml:space="preserve"> reviewed</w:t>
      </w:r>
      <w:r w:rsidR="008B1523" w:rsidRPr="007C2B10">
        <w:rPr>
          <w:rFonts w:cs="Arial"/>
          <w:bdr w:val="none" w:sz="0" w:space="0" w:color="auto" w:frame="1"/>
          <w:shd w:val="clear" w:color="auto" w:fill="FFFFFF"/>
        </w:rPr>
        <w:t xml:space="preserve"> studies</w:t>
      </w:r>
    </w:p>
    <w:p w14:paraId="5EDE2348" w14:textId="6E4D4607" w:rsidR="0014037C" w:rsidRPr="007C2B10" w:rsidRDefault="0014037C" w:rsidP="0014037C">
      <w:pPr>
        <w:rPr>
          <w:rFonts w:cs="Arial"/>
          <w:bdr w:val="none" w:sz="0" w:space="0" w:color="auto" w:frame="1"/>
          <w:shd w:val="clear" w:color="auto" w:fill="FFFFFF"/>
        </w:rPr>
      </w:pPr>
      <w:r w:rsidRPr="007C2B10">
        <w:rPr>
          <w:rFonts w:cs="Arial"/>
          <w:b/>
          <w:bCs/>
          <w:bdr w:val="none" w:sz="0" w:space="0" w:color="auto" w:frame="1"/>
          <w:shd w:val="clear" w:color="auto" w:fill="FFFFFF"/>
        </w:rPr>
        <w:t>Table 2.</w:t>
      </w:r>
      <w:r w:rsidRPr="007C2B10">
        <w:rPr>
          <w:rFonts w:cs="Arial"/>
          <w:bdr w:val="none" w:sz="0" w:space="0" w:color="auto" w:frame="1"/>
          <w:shd w:val="clear" w:color="auto" w:fill="FFFFFF"/>
        </w:rPr>
        <w:t xml:space="preserve"> Overview of the analytic process using a Rasch model approach, with measurement properties and assessment criteria.</w:t>
      </w:r>
    </w:p>
    <w:p w14:paraId="66581A2D" w14:textId="5EC982EA" w:rsidR="003539FA" w:rsidRPr="007C2B10" w:rsidRDefault="003539FA" w:rsidP="003539FA">
      <w:pPr>
        <w:rPr>
          <w:rFonts w:cs="Arial"/>
        </w:rPr>
      </w:pPr>
      <w:r w:rsidRPr="007C2B10">
        <w:rPr>
          <w:rFonts w:cs="Arial"/>
          <w:b/>
          <w:bCs/>
        </w:rPr>
        <w:t>Table 3.</w:t>
      </w:r>
      <w:r w:rsidRPr="007C2B10">
        <w:rPr>
          <w:rFonts w:cs="Arial"/>
        </w:rPr>
        <w:t xml:space="preserve"> Summary of baseline demographic characteristics of the study sample.</w:t>
      </w:r>
    </w:p>
    <w:p w14:paraId="0CD61228" w14:textId="5C6CE86C" w:rsidR="003539FA" w:rsidRPr="007C2B10" w:rsidRDefault="003539FA" w:rsidP="003539FA">
      <w:pPr>
        <w:rPr>
          <w:rFonts w:cs="Arial"/>
        </w:rPr>
      </w:pPr>
      <w:r w:rsidRPr="007C2B10">
        <w:rPr>
          <w:rFonts w:cs="Arial"/>
          <w:b/>
          <w:bCs/>
        </w:rPr>
        <w:t>Table 4.</w:t>
      </w:r>
      <w:r w:rsidRPr="007C2B10">
        <w:rPr>
          <w:rFonts w:cs="Arial"/>
        </w:rPr>
        <w:t xml:space="preserve"> Descriptive statistics for currently considered measures with imputed missing data. </w:t>
      </w:r>
    </w:p>
    <w:p w14:paraId="055E8253" w14:textId="29273AE3" w:rsidR="00262C1F" w:rsidRPr="007C2B10" w:rsidRDefault="00262C1F" w:rsidP="00262C1F">
      <w:pPr>
        <w:rPr>
          <w:rFonts w:cs="Arial"/>
          <w:lang w:eastAsia="zh-CN"/>
        </w:rPr>
      </w:pPr>
      <w:r w:rsidRPr="007C2B10">
        <w:rPr>
          <w:rFonts w:cs="Arial"/>
          <w:b/>
          <w:bCs/>
          <w:lang w:eastAsia="zh-CN"/>
        </w:rPr>
        <w:t>Table 5.</w:t>
      </w:r>
      <w:r w:rsidRPr="007C2B10">
        <w:rPr>
          <w:rFonts w:cs="Arial"/>
          <w:lang w:eastAsia="zh-CN"/>
        </w:rPr>
        <w:t xml:space="preserve"> Missing items analysis of follow-up questions on the EASE-F.</w:t>
      </w:r>
    </w:p>
    <w:p w14:paraId="47546C93" w14:textId="09E8202E" w:rsidR="003539FA" w:rsidRPr="007C2B10" w:rsidRDefault="00262C1F" w:rsidP="003539FA">
      <w:pPr>
        <w:rPr>
          <w:rFonts w:cs="Arial"/>
        </w:rPr>
      </w:pPr>
      <w:r w:rsidRPr="007C2B10">
        <w:rPr>
          <w:rFonts w:cs="Arial"/>
          <w:b/>
          <w:bCs/>
        </w:rPr>
        <w:t>Table 6.</w:t>
      </w:r>
      <w:r w:rsidRPr="007C2B10">
        <w:rPr>
          <w:rFonts w:cs="Arial"/>
        </w:rPr>
        <w:t xml:space="preserve"> Summary of the 3-9 factor models generated by the EFA.</w:t>
      </w:r>
    </w:p>
    <w:p w14:paraId="4C25EEA3" w14:textId="01EA05AB" w:rsidR="00262C1F" w:rsidRPr="007C2B10" w:rsidRDefault="00262C1F" w:rsidP="00262C1F">
      <w:pPr>
        <w:rPr>
          <w:rFonts w:cs="Arial"/>
        </w:rPr>
      </w:pPr>
      <w:r w:rsidRPr="007C2B10">
        <w:rPr>
          <w:rFonts w:cs="Arial"/>
          <w:b/>
          <w:bCs/>
        </w:rPr>
        <w:t>Table 7.</w:t>
      </w:r>
      <w:r w:rsidRPr="007C2B10">
        <w:rPr>
          <w:rFonts w:cs="Arial"/>
        </w:rPr>
        <w:t xml:space="preserve"> EASE-F 4F subscale items.</w:t>
      </w:r>
    </w:p>
    <w:p w14:paraId="0389C5AF" w14:textId="2C24269C" w:rsidR="00262C1F" w:rsidRPr="007C2B10" w:rsidRDefault="00262C1F" w:rsidP="00262C1F">
      <w:pPr>
        <w:rPr>
          <w:rFonts w:cs="Arial"/>
        </w:rPr>
      </w:pPr>
      <w:r w:rsidRPr="007C2B10">
        <w:rPr>
          <w:rFonts w:cs="Arial"/>
          <w:b/>
          <w:bCs/>
        </w:rPr>
        <w:t>Table 8.</w:t>
      </w:r>
      <w:r w:rsidRPr="007C2B10">
        <w:rPr>
          <w:rFonts w:cs="Arial"/>
        </w:rPr>
        <w:t xml:space="preserve"> Modification indices to the 4-factor model of the EASE-F.</w:t>
      </w:r>
    </w:p>
    <w:p w14:paraId="610AED72" w14:textId="4D16B146" w:rsidR="00262C1F" w:rsidRPr="007C2B10" w:rsidRDefault="00262C1F" w:rsidP="00262C1F">
      <w:pPr>
        <w:rPr>
          <w:rFonts w:cs="Arial"/>
        </w:rPr>
      </w:pPr>
      <w:r w:rsidRPr="007C2B10">
        <w:rPr>
          <w:rFonts w:cs="Arial"/>
          <w:b/>
          <w:bCs/>
        </w:rPr>
        <w:t>Table 9.</w:t>
      </w:r>
      <w:r w:rsidR="00D50F5A" w:rsidRPr="007C2B10">
        <w:rPr>
          <w:rFonts w:cs="Arial"/>
        </w:rPr>
        <w:t xml:space="preserve"> </w:t>
      </w:r>
      <w:r w:rsidRPr="007C2B10">
        <w:rPr>
          <w:rFonts w:cs="Arial"/>
        </w:rPr>
        <w:t>Uni-dimensionality statistics of the final Rasch model of the EASE-F subscales.</w:t>
      </w:r>
    </w:p>
    <w:p w14:paraId="14A29DA5" w14:textId="09CCAEA8" w:rsidR="00262C1F" w:rsidRPr="007C2B10" w:rsidRDefault="00262C1F" w:rsidP="00262C1F">
      <w:pPr>
        <w:rPr>
          <w:rFonts w:cs="Arial"/>
        </w:rPr>
      </w:pPr>
      <w:r w:rsidRPr="007C2B10">
        <w:rPr>
          <w:rFonts w:cs="Arial"/>
          <w:b/>
          <w:bCs/>
        </w:rPr>
        <w:t>Table 10.</w:t>
      </w:r>
      <w:r w:rsidRPr="007C2B10">
        <w:rPr>
          <w:rFonts w:cs="Arial"/>
        </w:rPr>
        <w:t xml:space="preserve"> Global fit statistics of the final Rasch model of the EASE-F subscales.</w:t>
      </w:r>
    </w:p>
    <w:p w14:paraId="5C3D3D41" w14:textId="19CB1AB6" w:rsidR="00262C1F" w:rsidRPr="007C2B10" w:rsidRDefault="00262C1F" w:rsidP="00262C1F">
      <w:pPr>
        <w:rPr>
          <w:rFonts w:cs="Arial"/>
        </w:rPr>
      </w:pPr>
      <w:r w:rsidRPr="007C2B10">
        <w:rPr>
          <w:rFonts w:cs="Arial"/>
          <w:b/>
          <w:bCs/>
        </w:rPr>
        <w:t>Table 11.</w:t>
      </w:r>
      <w:r w:rsidRPr="007C2B10">
        <w:rPr>
          <w:rFonts w:cs="Arial"/>
        </w:rPr>
        <w:t xml:space="preserve"> Fit statistics of misfitting items in each EASE-F subscale of the final tested Rasch model</w:t>
      </w:r>
      <w:r w:rsidR="00A27A2B" w:rsidRPr="007C2B10">
        <w:rPr>
          <w:rFonts w:cs="Arial"/>
        </w:rPr>
        <w:t>.</w:t>
      </w:r>
    </w:p>
    <w:p w14:paraId="2C80ED04" w14:textId="1FCC7E7A" w:rsidR="00262C1F" w:rsidRPr="007C2B10" w:rsidRDefault="00262C1F" w:rsidP="00262C1F">
      <w:pPr>
        <w:rPr>
          <w:rFonts w:cs="Arial"/>
        </w:rPr>
      </w:pPr>
      <w:r w:rsidRPr="007C2B10">
        <w:rPr>
          <w:rFonts w:cs="Arial"/>
          <w:b/>
          <w:bCs/>
        </w:rPr>
        <w:t>Table 12.</w:t>
      </w:r>
      <w:r w:rsidRPr="007C2B10">
        <w:rPr>
          <w:rFonts w:cs="Arial"/>
        </w:rPr>
        <w:t xml:space="preserve"> Item/person reliability statistics of the final Rasch model of the EASE-F subscales</w:t>
      </w:r>
      <w:r w:rsidR="00A27A2B" w:rsidRPr="007C2B10">
        <w:rPr>
          <w:rFonts w:cs="Arial"/>
        </w:rPr>
        <w:t>.</w:t>
      </w:r>
    </w:p>
    <w:p w14:paraId="77925CFF" w14:textId="36A108AB" w:rsidR="00262C1F" w:rsidRPr="007C2B10" w:rsidRDefault="00262C1F" w:rsidP="00262C1F">
      <w:pPr>
        <w:rPr>
          <w:rFonts w:cs="Arial"/>
        </w:rPr>
      </w:pPr>
      <w:r w:rsidRPr="007C2B10">
        <w:rPr>
          <w:rFonts w:cs="Arial"/>
          <w:b/>
          <w:bCs/>
        </w:rPr>
        <w:t>Table 13.</w:t>
      </w:r>
      <w:r w:rsidRPr="007C2B10">
        <w:rPr>
          <w:rFonts w:cs="Arial"/>
        </w:rPr>
        <w:t xml:space="preserve"> Psychometric properties of the different EASE subscale scale models</w:t>
      </w:r>
      <w:r w:rsidR="00A27A2B" w:rsidRPr="007C2B10">
        <w:rPr>
          <w:rFonts w:cs="Arial"/>
        </w:rPr>
        <w:t>.</w:t>
      </w:r>
    </w:p>
    <w:p w14:paraId="0CF933AA" w14:textId="047C7BAB" w:rsidR="00402356" w:rsidRPr="007C2B10" w:rsidRDefault="00402356" w:rsidP="00402356">
      <w:pPr>
        <w:rPr>
          <w:rFonts w:cs="Arial"/>
        </w:rPr>
      </w:pPr>
      <w:r w:rsidRPr="007C2B10">
        <w:rPr>
          <w:rFonts w:cs="Arial"/>
          <w:b/>
          <w:bCs/>
        </w:rPr>
        <w:t>Table 14.</w:t>
      </w:r>
      <w:r w:rsidRPr="007C2B10">
        <w:rPr>
          <w:rFonts w:cs="Arial"/>
        </w:rPr>
        <w:t xml:space="preserve"> Correlational analysis of EASE-F subscale total score and comparator measures.</w:t>
      </w:r>
    </w:p>
    <w:p w14:paraId="32A2ED29" w14:textId="3B0192A0" w:rsidR="00D50F5A" w:rsidRPr="007C2B10" w:rsidRDefault="00D50F5A" w:rsidP="00D50F5A">
      <w:pPr>
        <w:rPr>
          <w:rFonts w:eastAsia="Calibri" w:cs="Arial"/>
        </w:rPr>
      </w:pPr>
      <w:r w:rsidRPr="007C2B10">
        <w:rPr>
          <w:rFonts w:eastAsia="Calibri" w:cs="Arial"/>
          <w:b/>
          <w:bCs/>
        </w:rPr>
        <w:t>Table 15.</w:t>
      </w:r>
      <w:r w:rsidRPr="007C2B10">
        <w:rPr>
          <w:rFonts w:eastAsia="Calibri" w:cs="Arial"/>
        </w:rPr>
        <w:t xml:space="preserve"> Characteristics of FNSD patient cohort and general population UEC health service users in 2013-2015.</w:t>
      </w:r>
    </w:p>
    <w:p w14:paraId="06ED38B4" w14:textId="791BB2B4" w:rsidR="00D50F5A" w:rsidRPr="007C2B10" w:rsidRDefault="00D50F5A" w:rsidP="00D50F5A">
      <w:pPr>
        <w:spacing w:after="240" w:line="240" w:lineRule="auto"/>
        <w:rPr>
          <w:rFonts w:eastAsia="Calibri" w:cs="Arial"/>
        </w:rPr>
      </w:pPr>
      <w:r w:rsidRPr="007C2B10">
        <w:rPr>
          <w:rFonts w:eastAsia="Calibri" w:cs="Arial"/>
          <w:b/>
          <w:bCs/>
        </w:rPr>
        <w:t xml:space="preserve">Table </w:t>
      </w:r>
      <w:r w:rsidRPr="007C2B10">
        <w:rPr>
          <w:rFonts w:eastAsia="Calibri" w:cs="Arial"/>
          <w:b/>
          <w:bCs/>
          <w:i/>
          <w:iCs/>
        </w:rPr>
        <w:t>16</w:t>
      </w:r>
      <w:r w:rsidRPr="007C2B10">
        <w:rPr>
          <w:rFonts w:eastAsia="Calibri" w:cs="Arial"/>
          <w:b/>
          <w:bCs/>
        </w:rPr>
        <w:t>a-b</w:t>
      </w:r>
      <w:r w:rsidRPr="007C2B10">
        <w:rPr>
          <w:rFonts w:eastAsia="Calibri" w:cs="Arial"/>
        </w:rPr>
        <w:t>. Indirectly standardised rates and proportions of UEC service use per 1,000 person-years for FNSD patients between 2013-2015.</w:t>
      </w:r>
    </w:p>
    <w:p w14:paraId="690681BB" w14:textId="77777777" w:rsidR="00D50F5A" w:rsidRPr="007C2B10" w:rsidRDefault="00D50F5A" w:rsidP="00D50F5A">
      <w:pPr>
        <w:rPr>
          <w:rFonts w:cs="Arial"/>
        </w:rPr>
      </w:pPr>
      <w:r w:rsidRPr="007C2B10">
        <w:rPr>
          <w:rFonts w:cs="Arial"/>
          <w:b/>
          <w:bCs/>
        </w:rPr>
        <w:t>Table 17.</w:t>
      </w:r>
      <w:r w:rsidRPr="007C2B10">
        <w:rPr>
          <w:rFonts w:cs="Arial"/>
        </w:rPr>
        <w:t xml:space="preserve"> FNSD UEC count contacts/events in 1.5 years before and after therapy, during and after therapy.</w:t>
      </w:r>
    </w:p>
    <w:p w14:paraId="7C71FA89" w14:textId="77777777" w:rsidR="002772E2" w:rsidRPr="007C2B10" w:rsidRDefault="002772E2" w:rsidP="002772E2">
      <w:pPr>
        <w:rPr>
          <w:rFonts w:eastAsia="Calibri" w:cs="Arial"/>
          <w:szCs w:val="21"/>
        </w:rPr>
      </w:pPr>
      <w:r w:rsidRPr="007C2B10">
        <w:rPr>
          <w:rFonts w:eastAsia="Calibri" w:cs="Arial"/>
          <w:b/>
          <w:bCs/>
          <w:szCs w:val="21"/>
        </w:rPr>
        <w:t>Table 18a.</w:t>
      </w:r>
      <w:r w:rsidRPr="007C2B10">
        <w:rPr>
          <w:rFonts w:eastAsia="Calibri" w:cs="Arial"/>
          <w:szCs w:val="21"/>
        </w:rPr>
        <w:t xml:space="preserve"> Usage rates (95% confidence intervals) per 1,000 person-years for each UEC service before and after therapy and split by 1 and 2 years relative to therapy, and comparison as rate ratio.</w:t>
      </w:r>
    </w:p>
    <w:p w14:paraId="36079783" w14:textId="77777777" w:rsidR="00C845B6" w:rsidRPr="007C2B10" w:rsidRDefault="00C845B6" w:rsidP="00C845B6">
      <w:pPr>
        <w:pStyle w:val="Heading4"/>
        <w:rPr>
          <w:rFonts w:ascii="Arial" w:eastAsia="Calibri" w:hAnsi="Arial" w:cs="Arial"/>
          <w:i w:val="0"/>
          <w:iCs w:val="0"/>
          <w:color w:val="auto"/>
          <w:szCs w:val="21"/>
        </w:rPr>
      </w:pPr>
      <w:r w:rsidRPr="007C2B10">
        <w:rPr>
          <w:rFonts w:ascii="Arial" w:eastAsia="Calibri" w:hAnsi="Arial" w:cs="Arial"/>
          <w:b/>
          <w:bCs/>
          <w:i w:val="0"/>
          <w:iCs w:val="0"/>
          <w:color w:val="auto"/>
          <w:szCs w:val="21"/>
        </w:rPr>
        <w:lastRenderedPageBreak/>
        <w:t>Table 19.</w:t>
      </w:r>
      <w:r w:rsidRPr="007C2B10">
        <w:rPr>
          <w:rFonts w:ascii="Arial" w:eastAsia="Calibri" w:hAnsi="Arial" w:cs="Arial"/>
          <w:i w:val="0"/>
          <w:iCs w:val="0"/>
          <w:color w:val="auto"/>
          <w:szCs w:val="21"/>
        </w:rPr>
        <w:t xml:space="preserve"> Usage proportion (95% confidence intervals) per 1000 population for each UEC service by year relative to therapy, and comparison as rate ratio.</w:t>
      </w:r>
    </w:p>
    <w:p w14:paraId="69CC7693" w14:textId="77777777" w:rsidR="00850777" w:rsidRPr="007C2B10" w:rsidRDefault="00850777" w:rsidP="00850777">
      <w:pPr>
        <w:rPr>
          <w:rFonts w:cs="Arial"/>
        </w:rPr>
      </w:pPr>
      <w:r w:rsidRPr="007C2B10">
        <w:rPr>
          <w:rFonts w:cs="Arial"/>
          <w:b/>
          <w:bCs/>
        </w:rPr>
        <w:t>Table 20.</w:t>
      </w:r>
      <w:r w:rsidRPr="007C2B10">
        <w:rPr>
          <w:rFonts w:cs="Arial"/>
        </w:rPr>
        <w:t xml:space="preserve"> Segmented negative binomial regression of utilisation rate ratios (per 1000 person-quarters). </w:t>
      </w:r>
    </w:p>
    <w:p w14:paraId="6101E22D" w14:textId="4C9A6485" w:rsidR="00C741CE" w:rsidRPr="007C2B10" w:rsidRDefault="00C741CE" w:rsidP="00C741CE">
      <w:pPr>
        <w:rPr>
          <w:rFonts w:eastAsia="Calibri" w:cs="Arial"/>
          <w:color w:val="000000"/>
          <w:szCs w:val="20"/>
        </w:rPr>
      </w:pPr>
      <w:r w:rsidRPr="007C2B10">
        <w:rPr>
          <w:rFonts w:eastAsia="Calibri" w:cs="Arial"/>
          <w:b/>
          <w:bCs/>
          <w:color w:val="000000"/>
          <w:szCs w:val="20"/>
        </w:rPr>
        <w:t xml:space="preserve">Table 21. </w:t>
      </w:r>
      <w:r w:rsidRPr="007C2B10">
        <w:rPr>
          <w:rFonts w:eastAsia="Calibri" w:cs="Arial"/>
          <w:color w:val="000000"/>
          <w:szCs w:val="20"/>
        </w:rPr>
        <w:t>Condition characteristics of prime/probe trials and control and experimental conditions.</w:t>
      </w:r>
    </w:p>
    <w:p w14:paraId="35C2870A" w14:textId="0ABF8BB3" w:rsidR="000123AE" w:rsidRPr="007C2B10" w:rsidRDefault="000123AE" w:rsidP="000123AE">
      <w:pPr>
        <w:rPr>
          <w:rFonts w:cs="Arial"/>
        </w:rPr>
      </w:pPr>
      <w:r w:rsidRPr="007C2B10">
        <w:rPr>
          <w:rFonts w:cs="Arial"/>
          <w:b/>
          <w:bCs/>
        </w:rPr>
        <w:t>Table 22.</w:t>
      </w:r>
      <w:r w:rsidRPr="007C2B10">
        <w:rPr>
          <w:rFonts w:cs="Arial"/>
        </w:rPr>
        <w:t xml:space="preserve"> Demographic and clinical comparison of patients with FNSD and healthy controls.</w:t>
      </w:r>
    </w:p>
    <w:p w14:paraId="2673C881" w14:textId="614A9054" w:rsidR="000123AE" w:rsidRPr="007C2B10" w:rsidRDefault="000123AE" w:rsidP="000123AE">
      <w:pPr>
        <w:rPr>
          <w:rFonts w:cs="Arial"/>
          <w:szCs w:val="22"/>
        </w:rPr>
      </w:pPr>
      <w:r w:rsidRPr="007C2B10">
        <w:rPr>
          <w:rFonts w:cs="Arial"/>
          <w:b/>
          <w:bCs/>
          <w:szCs w:val="22"/>
        </w:rPr>
        <w:t>Table 23.</w:t>
      </w:r>
      <w:r w:rsidRPr="007C2B10">
        <w:rPr>
          <w:rFonts w:cs="Arial"/>
          <w:szCs w:val="22"/>
        </w:rPr>
        <w:t xml:space="preserve"> Between-Group Analysis of study clinical and cognitive variables</w:t>
      </w:r>
      <w:r w:rsidR="003A134E" w:rsidRPr="007C2B10">
        <w:rPr>
          <w:rFonts w:cs="Arial"/>
          <w:szCs w:val="22"/>
        </w:rPr>
        <w:t>.</w:t>
      </w:r>
    </w:p>
    <w:p w14:paraId="79CFB553" w14:textId="306C2F55" w:rsidR="003A134E" w:rsidRPr="007C2B10" w:rsidRDefault="003A134E" w:rsidP="003A134E">
      <w:pPr>
        <w:rPr>
          <w:rFonts w:eastAsia="Times New Roman" w:cs="Arial"/>
        </w:rPr>
      </w:pPr>
      <w:r w:rsidRPr="007C2B10">
        <w:rPr>
          <w:rFonts w:eastAsia="Times New Roman" w:cs="Arial"/>
          <w:b/>
          <w:bCs/>
        </w:rPr>
        <w:t>Table 24.</w:t>
      </w:r>
      <w:r w:rsidRPr="007C2B10">
        <w:rPr>
          <w:rFonts w:eastAsia="Times New Roman" w:cs="Arial"/>
        </w:rPr>
        <w:t xml:space="preserve"> Prime trials post Hoc Tests – Valence * Group.</w:t>
      </w:r>
    </w:p>
    <w:p w14:paraId="3F49D7EB" w14:textId="77777777" w:rsidR="00C12C63" w:rsidRPr="007C2B10" w:rsidRDefault="00C12C63" w:rsidP="00C12C63">
      <w:pPr>
        <w:rPr>
          <w:rFonts w:cs="Arial"/>
        </w:rPr>
      </w:pPr>
      <w:r w:rsidRPr="007C2B10">
        <w:rPr>
          <w:rFonts w:cs="Arial"/>
          <w:b/>
          <w:bCs/>
        </w:rPr>
        <w:t>Table 25.</w:t>
      </w:r>
      <w:r w:rsidRPr="007C2B10">
        <w:rPr>
          <w:rFonts w:cs="Arial"/>
        </w:rPr>
        <w:t xml:space="preserve"> Multiple Regression Analysis of Delay discounting estimates (k) in the FNSD population (n=59).</w:t>
      </w:r>
    </w:p>
    <w:p w14:paraId="33AF5147" w14:textId="77777777" w:rsidR="003A134E" w:rsidRPr="007C2B10" w:rsidRDefault="003A134E" w:rsidP="003A134E">
      <w:pPr>
        <w:rPr>
          <w:rFonts w:eastAsia="Times New Roman" w:cs="Arial"/>
        </w:rPr>
      </w:pPr>
    </w:p>
    <w:p w14:paraId="1B43242E" w14:textId="77777777" w:rsidR="003A134E" w:rsidRPr="007C2B10" w:rsidRDefault="003A134E" w:rsidP="000123AE">
      <w:pPr>
        <w:rPr>
          <w:rFonts w:cs="Arial"/>
          <w:szCs w:val="22"/>
        </w:rPr>
      </w:pPr>
    </w:p>
    <w:p w14:paraId="66996991" w14:textId="77777777" w:rsidR="000123AE" w:rsidRPr="007C2B10" w:rsidRDefault="000123AE" w:rsidP="000123AE">
      <w:pPr>
        <w:rPr>
          <w:rFonts w:cs="Arial"/>
        </w:rPr>
      </w:pPr>
    </w:p>
    <w:p w14:paraId="487C7620" w14:textId="77777777" w:rsidR="00850777" w:rsidRPr="007C2B10" w:rsidRDefault="00850777" w:rsidP="00850777">
      <w:pPr>
        <w:rPr>
          <w:rFonts w:cs="Arial"/>
        </w:rPr>
      </w:pPr>
    </w:p>
    <w:p w14:paraId="40741C9F" w14:textId="77777777" w:rsidR="00D50F5A" w:rsidRPr="007C2B10" w:rsidRDefault="00D50F5A" w:rsidP="00D50F5A">
      <w:pPr>
        <w:spacing w:after="240" w:line="240" w:lineRule="auto"/>
        <w:rPr>
          <w:rFonts w:eastAsia="Calibri" w:cs="Arial"/>
          <w:i/>
          <w:iCs/>
        </w:rPr>
      </w:pPr>
    </w:p>
    <w:p w14:paraId="36521B47" w14:textId="77777777" w:rsidR="00D50F5A" w:rsidRPr="007C2B10" w:rsidRDefault="00D50F5A" w:rsidP="00D50F5A">
      <w:pPr>
        <w:rPr>
          <w:rFonts w:cs="Arial"/>
        </w:rPr>
      </w:pPr>
    </w:p>
    <w:p w14:paraId="35C62153" w14:textId="77777777" w:rsidR="00402356" w:rsidRPr="007C2B10" w:rsidRDefault="00402356" w:rsidP="00262C1F">
      <w:pPr>
        <w:rPr>
          <w:rFonts w:cs="Arial"/>
        </w:rPr>
      </w:pPr>
    </w:p>
    <w:p w14:paraId="1DFBB436" w14:textId="77777777" w:rsidR="00262C1F" w:rsidRPr="007C2B10" w:rsidRDefault="00262C1F" w:rsidP="00262C1F">
      <w:pPr>
        <w:rPr>
          <w:rFonts w:cs="Arial"/>
        </w:rPr>
      </w:pPr>
    </w:p>
    <w:p w14:paraId="2ED74C9B" w14:textId="77777777" w:rsidR="00262C1F" w:rsidRPr="007C2B10" w:rsidRDefault="00262C1F" w:rsidP="00262C1F">
      <w:pPr>
        <w:rPr>
          <w:rFonts w:cs="Arial"/>
        </w:rPr>
      </w:pPr>
    </w:p>
    <w:p w14:paraId="49B88892" w14:textId="77777777" w:rsidR="00FD624B" w:rsidRPr="007C2B10" w:rsidRDefault="00FD624B">
      <w:pPr>
        <w:rPr>
          <w:rStyle w:val="IntenseReference"/>
          <w:rFonts w:ascii="Arial" w:eastAsia="Times New Roman" w:hAnsi="Arial" w:cs="Arial"/>
          <w:sz w:val="40"/>
          <w:lang w:val="en-US"/>
        </w:rPr>
      </w:pPr>
      <w:r w:rsidRPr="007C2B10">
        <w:rPr>
          <w:rStyle w:val="IntenseReference"/>
          <w:rFonts w:ascii="Arial" w:hAnsi="Arial" w:cs="Arial"/>
          <w:sz w:val="40"/>
        </w:rPr>
        <w:br w:type="page"/>
      </w:r>
    </w:p>
    <w:p w14:paraId="03BC33ED" w14:textId="23BE7EA1" w:rsidR="00402356" w:rsidRDefault="00FD624B" w:rsidP="002772E2">
      <w:pPr>
        <w:pStyle w:val="Heading1"/>
        <w:rPr>
          <w:rStyle w:val="IntenseReference"/>
          <w:rFonts w:ascii="Calibri Light" w:hAnsi="Calibri Light"/>
          <w:b w:val="0"/>
          <w:bCs w:val="0"/>
          <w:smallCaps w:val="0"/>
          <w:color w:val="2E74B5" w:themeColor="accent1" w:themeShade="BF"/>
          <w:spacing w:val="0"/>
          <w:szCs w:val="20"/>
        </w:rPr>
      </w:pPr>
      <w:bookmarkStart w:id="7" w:name="_Toc137504653"/>
      <w:r w:rsidRPr="002751BF">
        <w:rPr>
          <w:rStyle w:val="IntenseReference"/>
          <w:rFonts w:ascii="Calibri Light" w:hAnsi="Calibri Light"/>
          <w:b w:val="0"/>
          <w:bCs w:val="0"/>
          <w:smallCaps w:val="0"/>
          <w:color w:val="2E74B5" w:themeColor="accent1" w:themeShade="BF"/>
          <w:spacing w:val="0"/>
          <w:szCs w:val="20"/>
        </w:rPr>
        <w:lastRenderedPageBreak/>
        <w:t xml:space="preserve">List of </w:t>
      </w:r>
      <w:r w:rsidR="002751BF">
        <w:rPr>
          <w:rStyle w:val="IntenseReference"/>
          <w:rFonts w:ascii="Calibri Light" w:hAnsi="Calibri Light"/>
          <w:b w:val="0"/>
          <w:bCs w:val="0"/>
          <w:smallCaps w:val="0"/>
          <w:color w:val="2E74B5" w:themeColor="accent1" w:themeShade="BF"/>
          <w:spacing w:val="0"/>
          <w:szCs w:val="20"/>
        </w:rPr>
        <w:t>F</w:t>
      </w:r>
      <w:r w:rsidRPr="002751BF">
        <w:rPr>
          <w:rStyle w:val="IntenseReference"/>
          <w:rFonts w:ascii="Calibri Light" w:hAnsi="Calibri Light"/>
          <w:b w:val="0"/>
          <w:bCs w:val="0"/>
          <w:smallCaps w:val="0"/>
          <w:color w:val="2E74B5" w:themeColor="accent1" w:themeShade="BF"/>
          <w:spacing w:val="0"/>
          <w:szCs w:val="20"/>
        </w:rPr>
        <w:t>igures</w:t>
      </w:r>
      <w:bookmarkEnd w:id="7"/>
    </w:p>
    <w:p w14:paraId="2761090A" w14:textId="77777777" w:rsidR="002772E2" w:rsidRPr="002772E2" w:rsidRDefault="002772E2" w:rsidP="002772E2">
      <w:pPr>
        <w:rPr>
          <w:lang w:val="en-US"/>
        </w:rPr>
      </w:pPr>
    </w:p>
    <w:p w14:paraId="37E57218" w14:textId="375645B0" w:rsidR="00616AAE" w:rsidRDefault="00616AAE" w:rsidP="00616AAE">
      <w:pPr>
        <w:rPr>
          <w:lang w:val="en-US"/>
        </w:rPr>
      </w:pPr>
      <w:r w:rsidRPr="00616AAE">
        <w:rPr>
          <w:lang w:val="en-US"/>
        </w:rPr>
        <w:t>Figure 1 – DSM-5 Criteria for Functional Neurological Disorder</w:t>
      </w:r>
      <w:r w:rsidR="00262C1F">
        <w:rPr>
          <w:lang w:val="en-US"/>
        </w:rPr>
        <w:t>.</w:t>
      </w:r>
    </w:p>
    <w:p w14:paraId="68C15CAD" w14:textId="77777777" w:rsidR="003539FA" w:rsidRPr="00E36B1E" w:rsidRDefault="002751BF" w:rsidP="003539FA">
      <w:r>
        <w:rPr>
          <w:lang w:val="en-US"/>
        </w:rPr>
        <w:t xml:space="preserve">Figure 2 – </w:t>
      </w:r>
      <w:r w:rsidR="003539FA" w:rsidRPr="00E36B1E">
        <w:t xml:space="preserve">Overall Summary of </w:t>
      </w:r>
      <w:r w:rsidR="003539FA">
        <w:t>m</w:t>
      </w:r>
      <w:r w:rsidR="003539FA" w:rsidRPr="00E36B1E">
        <w:t>issing values</w:t>
      </w:r>
      <w:r w:rsidR="003539FA">
        <w:t xml:space="preserve"> across the questionnaire battery.</w:t>
      </w:r>
    </w:p>
    <w:p w14:paraId="2145BB69" w14:textId="7D904610" w:rsidR="00262C1F" w:rsidRDefault="002751BF" w:rsidP="00262C1F">
      <w:r>
        <w:rPr>
          <w:lang w:val="en-US"/>
        </w:rPr>
        <w:t xml:space="preserve">Figure 3 </w:t>
      </w:r>
      <w:r w:rsidR="00262C1F">
        <w:t xml:space="preserve">- </w:t>
      </w:r>
      <w:r w:rsidR="00262C1F" w:rsidRPr="0018681D">
        <w:t xml:space="preserve">Parallel analysis scree plot from </w:t>
      </w:r>
      <w:r w:rsidR="00262C1F">
        <w:t>EASE-F</w:t>
      </w:r>
      <w:r w:rsidR="00262C1F" w:rsidRPr="0018681D">
        <w:t xml:space="preserve"> EFA</w:t>
      </w:r>
      <w:r w:rsidR="00262C1F">
        <w:t>.</w:t>
      </w:r>
    </w:p>
    <w:p w14:paraId="69FA448D" w14:textId="4A099DD5" w:rsidR="00262C1F" w:rsidRDefault="00262C1F" w:rsidP="00262C1F">
      <w:r w:rsidRPr="00514FEB">
        <w:t xml:space="preserve">Figure </w:t>
      </w:r>
      <w:r>
        <w:t>4</w:t>
      </w:r>
      <w:r w:rsidRPr="00514FEB">
        <w:t>a</w:t>
      </w:r>
      <w:r>
        <w:t>-d</w:t>
      </w:r>
      <w:r w:rsidRPr="00514FEB">
        <w:t>.</w:t>
      </w:r>
      <w:r>
        <w:t xml:space="preserve"> Category Probability Curves</w:t>
      </w:r>
      <w:r w:rsidRPr="00514FEB">
        <w:t xml:space="preserve"> for original and collapsed categories.</w:t>
      </w:r>
    </w:p>
    <w:p w14:paraId="01BC77ED" w14:textId="5AD665C5" w:rsidR="00262C1F" w:rsidRPr="0018681D" w:rsidRDefault="00262C1F" w:rsidP="00262C1F">
      <w:r w:rsidRPr="001D2561">
        <w:t xml:space="preserve">Figure </w:t>
      </w:r>
      <w:r>
        <w:t>5</w:t>
      </w:r>
      <w:r w:rsidRPr="001D2561">
        <w:t>.</w:t>
      </w:r>
      <w:r>
        <w:t xml:space="preserve"> </w:t>
      </w:r>
      <w:r w:rsidRPr="001D2561">
        <w:t>Wright maps of the final Rasch model of the EASE-F subscales</w:t>
      </w:r>
      <w:r w:rsidR="00A27A2B">
        <w:t>.</w:t>
      </w:r>
    </w:p>
    <w:p w14:paraId="5AC17BAC" w14:textId="76F79921" w:rsidR="002751BF" w:rsidRPr="00616AAE" w:rsidRDefault="00D50F5A" w:rsidP="00616AAE">
      <w:pPr>
        <w:rPr>
          <w:lang w:val="en-US"/>
        </w:rPr>
      </w:pPr>
      <w:r w:rsidRPr="00D50F5A">
        <w:rPr>
          <w:lang w:val="en-US"/>
        </w:rPr>
        <w:t>Figure 6. Venn diagram showing the number of patients in the Sheffield FNSD cohort (total population =705) using one or more UEC health services between 2012 and 2016.</w:t>
      </w:r>
    </w:p>
    <w:p w14:paraId="2E514A80" w14:textId="77777777" w:rsidR="00850777" w:rsidRDefault="00D50F5A" w:rsidP="00850777">
      <w:pPr>
        <w:rPr>
          <w:rFonts w:eastAsia="Calibri"/>
          <w:i/>
          <w:iCs/>
        </w:rPr>
      </w:pPr>
      <w:r w:rsidRPr="00D55AF1">
        <w:rPr>
          <w:rFonts w:eastAsia="Calibri"/>
        </w:rPr>
        <w:t xml:space="preserve">Figure </w:t>
      </w:r>
      <w:r>
        <w:rPr>
          <w:rFonts w:eastAsia="Calibri"/>
        </w:rPr>
        <w:t>7</w:t>
      </w:r>
      <w:r w:rsidRPr="00D55AF1">
        <w:rPr>
          <w:rFonts w:eastAsia="Calibri"/>
        </w:rPr>
        <w:t>.</w:t>
      </w:r>
      <w:r>
        <w:rPr>
          <w:rFonts w:eastAsia="Calibri"/>
        </w:rPr>
        <w:t xml:space="preserve"> </w:t>
      </w:r>
      <w:r w:rsidRPr="00D55AF1">
        <w:rPr>
          <w:rFonts w:eastAsia="Calibri"/>
        </w:rPr>
        <w:t xml:space="preserve">Age structure for FNSD patients in the Sheffield Psychotherapy cohort and the general population living within </w:t>
      </w:r>
      <w:r>
        <w:rPr>
          <w:rFonts w:eastAsia="Calibri"/>
        </w:rPr>
        <w:t xml:space="preserve">the </w:t>
      </w:r>
      <w:r w:rsidRPr="00D55AF1">
        <w:rPr>
          <w:rFonts w:eastAsia="Calibri"/>
        </w:rPr>
        <w:t>Sheffield CCG area between 2013 and 2015.</w:t>
      </w:r>
    </w:p>
    <w:p w14:paraId="564710C9" w14:textId="7F610C9F" w:rsidR="00850777" w:rsidRDefault="00850777" w:rsidP="00850777">
      <w:r w:rsidRPr="002B04FB">
        <w:t xml:space="preserve">Figure </w:t>
      </w:r>
      <w:r>
        <w:t>8</w:t>
      </w:r>
      <w:r w:rsidRPr="002B04FB">
        <w:t>.</w:t>
      </w:r>
      <w:r>
        <w:t xml:space="preserve"> B</w:t>
      </w:r>
      <w:r w:rsidRPr="002B04FB">
        <w:t>efore and</w:t>
      </w:r>
      <w:r>
        <w:t xml:space="preserve"> a</w:t>
      </w:r>
      <w:r w:rsidRPr="002B04FB">
        <w:t xml:space="preserve">fter </w:t>
      </w:r>
      <w:r>
        <w:t xml:space="preserve">psychotherapy, UEC use </w:t>
      </w:r>
      <w:r w:rsidRPr="002B04FB">
        <w:t>rate ratio</w:t>
      </w:r>
      <w:r>
        <w:t>s</w:t>
      </w:r>
      <w:r w:rsidRPr="002B04FB">
        <w:t xml:space="preserve"> plot for the 4 UEC services</w:t>
      </w:r>
      <w:r>
        <w:t>.</w:t>
      </w:r>
    </w:p>
    <w:p w14:paraId="5985C400" w14:textId="2939390A" w:rsidR="00850777" w:rsidRDefault="00850777" w:rsidP="00850777">
      <w:r>
        <w:t>Figure 9a-d. Segmented regression analyses of UEC utilisation rates before and after psychotherapy, for the 4 UEC services.</w:t>
      </w:r>
    </w:p>
    <w:p w14:paraId="78F286CC" w14:textId="65C9913C" w:rsidR="00672A68" w:rsidRPr="003E3E93" w:rsidRDefault="00672A68" w:rsidP="00672A68">
      <w:pPr>
        <w:rPr>
          <w:rFonts w:eastAsia="Calibri"/>
        </w:rPr>
      </w:pPr>
      <w:r>
        <w:rPr>
          <w:rFonts w:eastAsia="Calibri"/>
        </w:rPr>
        <w:t>Figure</w:t>
      </w:r>
      <w:r w:rsidRPr="003E3E93">
        <w:rPr>
          <w:rFonts w:eastAsia="Calibri"/>
        </w:rPr>
        <w:t xml:space="preserve"> </w:t>
      </w:r>
      <w:r>
        <w:rPr>
          <w:rFonts w:eastAsia="Calibri"/>
        </w:rPr>
        <w:t>10</w:t>
      </w:r>
      <w:r w:rsidRPr="003E3E93">
        <w:rPr>
          <w:rFonts w:eastAsia="Calibri"/>
        </w:rPr>
        <w:t xml:space="preserve">. </w:t>
      </w:r>
      <w:r>
        <w:rPr>
          <w:rFonts w:eastAsia="Calibri"/>
        </w:rPr>
        <w:t xml:space="preserve">The NAP task (modified from </w:t>
      </w:r>
      <w:sdt>
        <w:sdtPr>
          <w:rPr>
            <w:rFonts w:eastAsia="Calibri"/>
            <w:color w:val="000000"/>
          </w:rPr>
          <w:tag w:val="MENDELEY_CITATION_v3_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"/>
          <w:id w:val="-685825020"/>
          <w:placeholder>
            <w:docPart w:val="6329134786F17A4197CCEA0D605B6A3C"/>
          </w:placeholder>
        </w:sdtPr>
        <w:sdtContent>
          <w:r w:rsidR="005E4029" w:rsidRPr="005E4029">
            <w:rPr>
              <w:rFonts w:eastAsia="Calibri"/>
              <w:color w:val="000000"/>
            </w:rPr>
            <w:t>(</w:t>
          </w:r>
          <w:proofErr w:type="spellStart"/>
          <w:r w:rsidR="005E4029" w:rsidRPr="005E4029">
            <w:rPr>
              <w:rFonts w:eastAsia="Calibri"/>
              <w:color w:val="000000"/>
            </w:rPr>
            <w:t>Joormann</w:t>
          </w:r>
          <w:proofErr w:type="spellEnd"/>
          <w:r w:rsidR="005E4029" w:rsidRPr="005E4029">
            <w:rPr>
              <w:rFonts w:eastAsia="Calibri"/>
              <w:color w:val="000000"/>
            </w:rPr>
            <w:t>, 2004)</w:t>
          </w:r>
        </w:sdtContent>
      </w:sdt>
      <w:r>
        <w:rPr>
          <w:rFonts w:eastAsia="Calibri"/>
        </w:rPr>
        <w:t>)</w:t>
      </w:r>
    </w:p>
    <w:p w14:paraId="79002418" w14:textId="77777777" w:rsidR="005E4029" w:rsidRPr="00E94095" w:rsidRDefault="005E4029" w:rsidP="005E4029">
      <w:pPr>
        <w:rPr>
          <w:rFonts w:eastAsia="Calibri"/>
        </w:rPr>
      </w:pPr>
      <w:r w:rsidRPr="00E94095">
        <w:rPr>
          <w:rFonts w:eastAsia="Calibri"/>
        </w:rPr>
        <w:t xml:space="preserve">Figure </w:t>
      </w:r>
      <w:r>
        <w:rPr>
          <w:rFonts w:eastAsia="Calibri"/>
        </w:rPr>
        <w:t>11</w:t>
      </w:r>
      <w:r w:rsidRPr="00E94095">
        <w:rPr>
          <w:rFonts w:eastAsia="Calibri"/>
        </w:rPr>
        <w:t>. The computerised Monetary Choice Questionnaire.</w:t>
      </w:r>
    </w:p>
    <w:p w14:paraId="44C4C4F4" w14:textId="432938F0" w:rsidR="00C12C63" w:rsidRDefault="003A134E" w:rsidP="00C12C63">
      <w:r>
        <w:t>Figure 1</w:t>
      </w:r>
      <w:r w:rsidR="0047170A">
        <w:t>2</w:t>
      </w:r>
      <w:r>
        <w:t>. Mean RT to probe trials in the control and experimental trials.</w:t>
      </w:r>
    </w:p>
    <w:p w14:paraId="76DCF705" w14:textId="31F20437" w:rsidR="00C12C63" w:rsidRDefault="00C12C63" w:rsidP="00C12C63">
      <w:r w:rsidRPr="00FC747D">
        <w:t xml:space="preserve">Figure </w:t>
      </w:r>
      <w:r>
        <w:t>1</w:t>
      </w:r>
      <w:r w:rsidR="0047170A">
        <w:t>3</w:t>
      </w:r>
      <w:r w:rsidRPr="00FC747D">
        <w:t>.</w:t>
      </w:r>
      <w:r>
        <w:t xml:space="preserve"> </w:t>
      </w:r>
      <w:r w:rsidRPr="00FC747D">
        <w:t>NAP Effect Estimated Marginal Means – Group</w:t>
      </w:r>
      <w:r>
        <w:t xml:space="preserve"> (FNSD vs HC)</w:t>
      </w:r>
      <w:r w:rsidRPr="00FC747D">
        <w:t xml:space="preserve"> x Valence</w:t>
      </w:r>
      <w:r>
        <w:t xml:space="preserve"> (Positive vs Negative)</w:t>
      </w:r>
    </w:p>
    <w:p w14:paraId="235B875C" w14:textId="7557B92D" w:rsidR="00C12C63" w:rsidRPr="00E70E61" w:rsidRDefault="00C12C63" w:rsidP="00C12C63">
      <w:r w:rsidRPr="00C44D1A">
        <w:t xml:space="preserve">Figure </w:t>
      </w:r>
      <w:r>
        <w:t>1</w:t>
      </w:r>
      <w:r w:rsidR="0047170A">
        <w:t>4</w:t>
      </w:r>
      <w:r w:rsidRPr="00C44D1A">
        <w:t>.</w:t>
      </w:r>
      <w:r>
        <w:t xml:space="preserve"> </w:t>
      </w:r>
      <w:r w:rsidRPr="00C44D1A">
        <w:t xml:space="preserve">Interference Effect </w:t>
      </w:r>
      <w:r w:rsidRPr="0005330E">
        <w:t>Estimated Marginal Means</w:t>
      </w:r>
      <w:r>
        <w:t xml:space="preserve"> – </w:t>
      </w:r>
      <w:r w:rsidRPr="00FC747D">
        <w:t>Group</w:t>
      </w:r>
      <w:r>
        <w:t xml:space="preserve"> (FNSD vs HC)</w:t>
      </w:r>
      <w:r w:rsidRPr="00FC747D">
        <w:t xml:space="preserve"> x Valence</w:t>
      </w:r>
      <w:r>
        <w:t xml:space="preserve"> (Positive vs Negative)</w:t>
      </w:r>
    </w:p>
    <w:p w14:paraId="4C48E3E4" w14:textId="77777777" w:rsidR="00C12C63" w:rsidRPr="001C4F89" w:rsidRDefault="00C12C63" w:rsidP="00C12C63">
      <w:pPr>
        <w:rPr>
          <w:rFonts w:ascii="Avenir Book" w:hAnsi="Avenir Book"/>
        </w:rPr>
      </w:pPr>
    </w:p>
    <w:p w14:paraId="4CC6CFC5" w14:textId="15FD7D92" w:rsidR="00850777" w:rsidRPr="00C12C63" w:rsidRDefault="00850777" w:rsidP="00850777"/>
    <w:p w14:paraId="774E6D5B" w14:textId="5382C044" w:rsidR="00616AAE" w:rsidRDefault="00616AAE">
      <w:pPr>
        <w:spacing w:line="240" w:lineRule="auto"/>
        <w:jc w:val="left"/>
        <w:rPr>
          <w:rStyle w:val="IntenseReference"/>
          <w:rFonts w:ascii="Avenir Book" w:eastAsia="Times New Roman" w:hAnsi="Avenir Book" w:cs="Times New Roman"/>
          <w:b w:val="0"/>
          <w:lang w:val="en-US"/>
        </w:rPr>
      </w:pPr>
    </w:p>
    <w:p w14:paraId="7E3A262C" w14:textId="0A7EB463" w:rsidR="00FD624B" w:rsidRPr="007C2B10" w:rsidRDefault="00850777" w:rsidP="007C2B10">
      <w:pPr>
        <w:spacing w:line="240" w:lineRule="auto"/>
        <w:jc w:val="left"/>
        <w:rPr>
          <w:rFonts w:ascii="Calibri Light" w:eastAsia="Times New Roman" w:hAnsi="Calibri Light" w:cs="Times New Roman"/>
          <w:color w:val="2E74B5" w:themeColor="accent1" w:themeShade="BF"/>
          <w:sz w:val="40"/>
          <w:szCs w:val="20"/>
          <w:lang w:val="en-US"/>
        </w:rPr>
      </w:pPr>
      <w:r>
        <w:rPr>
          <w:rStyle w:val="IntenseReference"/>
          <w:rFonts w:ascii="Calibri Light" w:hAnsi="Calibri Light"/>
          <w:b w:val="0"/>
          <w:bCs w:val="0"/>
          <w:smallCaps w:val="0"/>
          <w:color w:val="2E74B5" w:themeColor="accent1" w:themeShade="BF"/>
          <w:spacing w:val="0"/>
          <w:sz w:val="40"/>
          <w:szCs w:val="20"/>
        </w:rPr>
        <w:br w:type="page"/>
      </w:r>
    </w:p>
    <w:p w14:paraId="440F3621" w14:textId="1B090490" w:rsidR="00501AC3" w:rsidRPr="0060408E" w:rsidRDefault="00FD624B" w:rsidP="0060408E">
      <w:pPr>
        <w:spacing w:line="240" w:lineRule="auto"/>
        <w:jc w:val="left"/>
      </w:pPr>
      <w:r>
        <w:lastRenderedPageBreak/>
        <w:br w:type="page"/>
      </w:r>
    </w:p>
    <w:p w14:paraId="700F64E0" w14:textId="4400C395" w:rsidR="00501AC3" w:rsidRDefault="00501AC3">
      <w:pPr>
        <w:spacing w:line="240" w:lineRule="auto"/>
        <w:jc w:val="left"/>
        <w:rPr>
          <w:lang w:val="en-US"/>
        </w:rPr>
      </w:pPr>
    </w:p>
    <w:p w14:paraId="2D9B2C72" w14:textId="4B2F48F9" w:rsidR="00501AC3" w:rsidRPr="009456C9" w:rsidRDefault="00501AC3" w:rsidP="0014037C">
      <w:pPr>
        <w:pStyle w:val="Heading1"/>
        <w:rPr>
          <w:rStyle w:val="IntenseReference"/>
          <w:rFonts w:ascii="Calibri Light" w:hAnsi="Calibri Light"/>
          <w:b w:val="0"/>
          <w:bCs w:val="0"/>
          <w:smallCaps w:val="0"/>
          <w:color w:val="2E74B5" w:themeColor="accent1" w:themeShade="BF"/>
          <w:spacing w:val="0"/>
          <w:szCs w:val="20"/>
        </w:rPr>
      </w:pPr>
      <w:bookmarkStart w:id="8" w:name="_Toc137504654"/>
      <w:r w:rsidRPr="009456C9">
        <w:rPr>
          <w:rStyle w:val="IntenseReference"/>
          <w:rFonts w:ascii="Calibri Light" w:hAnsi="Calibri Light"/>
          <w:b w:val="0"/>
          <w:bCs w:val="0"/>
          <w:smallCaps w:val="0"/>
          <w:color w:val="2E74B5" w:themeColor="accent1" w:themeShade="BF"/>
          <w:spacing w:val="0"/>
          <w:szCs w:val="20"/>
        </w:rPr>
        <w:t>STATEMENT OF CONTRIBUTIONS</w:t>
      </w:r>
      <w:bookmarkEnd w:id="8"/>
    </w:p>
    <w:p w14:paraId="710B17A3" w14:textId="3ECCD384" w:rsidR="00501AC3" w:rsidRPr="008565D7" w:rsidRDefault="00501AC3" w:rsidP="008565D7">
      <w:pPr>
        <w:rPr>
          <w:lang w:val="en-US"/>
        </w:rPr>
      </w:pPr>
      <w:r w:rsidRPr="00501AC3">
        <w:rPr>
          <w:bCs/>
        </w:rPr>
        <w:t xml:space="preserve">Chapter 2: </w:t>
      </w:r>
      <w:r w:rsidR="008565D7" w:rsidRPr="008565D7">
        <w:rPr>
          <w:b/>
          <w:bCs/>
          <w:lang w:val="en-US"/>
        </w:rPr>
        <w:t>Subjective versus objective measures of distress, arousal and symptom burden in patients with Functional seizures and other Functional Neurological Symptom Disorder presentations: a systematic review</w:t>
      </w:r>
    </w:p>
    <w:p w14:paraId="5196BB61" w14:textId="4B094C9C" w:rsidR="00501AC3" w:rsidRDefault="00501AC3" w:rsidP="008565D7">
      <w:r>
        <w:t xml:space="preserve">Joy Adewusi conducted the literature search, quality assessment, study categorisation, data analysis, and wrote the article. </w:t>
      </w:r>
      <w:r w:rsidR="008565D7">
        <w:t xml:space="preserve">Prof Markus Reuber and </w:t>
      </w:r>
      <w:proofErr w:type="spellStart"/>
      <w:r>
        <w:t>Dr.</w:t>
      </w:r>
      <w:proofErr w:type="spellEnd"/>
      <w:r>
        <w:t xml:space="preserve"> Liat Levita second-rated the study categorisation</w:t>
      </w:r>
      <w:r w:rsidR="008565D7">
        <w:t xml:space="preserve"> and</w:t>
      </w:r>
      <w:r>
        <w:t xml:space="preserve"> conducted </w:t>
      </w:r>
      <w:r w:rsidR="008565D7">
        <w:t>a</w:t>
      </w:r>
      <w:r>
        <w:t xml:space="preserve"> second quality assessment</w:t>
      </w:r>
      <w:r w:rsidR="008565D7">
        <w:t xml:space="preserve"> for a subset of the identified studies.</w:t>
      </w:r>
    </w:p>
    <w:p w14:paraId="0A99F744" w14:textId="77777777" w:rsidR="000F59C4" w:rsidRDefault="000F59C4" w:rsidP="008565D7"/>
    <w:p w14:paraId="1E9F591F" w14:textId="7D562359" w:rsidR="00501AC3" w:rsidRDefault="00501AC3" w:rsidP="008565D7">
      <w:r>
        <w:t xml:space="preserve">Chapter 3: </w:t>
      </w:r>
      <w:r w:rsidR="008565D7" w:rsidRPr="008565D7">
        <w:rPr>
          <w:b/>
        </w:rPr>
        <w:t xml:space="preserve">Evaluation and refinement of the novel </w:t>
      </w:r>
      <w:proofErr w:type="spellStart"/>
      <w:r w:rsidR="008565D7" w:rsidRPr="008565D7">
        <w:rPr>
          <w:b/>
        </w:rPr>
        <w:t>sElf</w:t>
      </w:r>
      <w:proofErr w:type="spellEnd"/>
      <w:r w:rsidR="008565D7" w:rsidRPr="008565D7">
        <w:rPr>
          <w:b/>
        </w:rPr>
        <w:t xml:space="preserve">-efficacy, Assertiveness, Social support, self-awareness and </w:t>
      </w:r>
      <w:proofErr w:type="spellStart"/>
      <w:r w:rsidR="008565D7" w:rsidRPr="008565D7">
        <w:rPr>
          <w:b/>
        </w:rPr>
        <w:t>hElpful</w:t>
      </w:r>
      <w:proofErr w:type="spellEnd"/>
      <w:r w:rsidR="008565D7" w:rsidRPr="008565D7">
        <w:rPr>
          <w:b/>
        </w:rPr>
        <w:t xml:space="preserve"> thinking (EASE) questionnaire for patients with Functional Neurological Symptom Disorde</w:t>
      </w:r>
      <w:r w:rsidR="00F07107">
        <w:rPr>
          <w:b/>
        </w:rPr>
        <w:t>r</w:t>
      </w:r>
      <w:r w:rsidR="008565D7" w:rsidRPr="008565D7">
        <w:rPr>
          <w:bCs/>
        </w:rPr>
        <w:t xml:space="preserve"> </w:t>
      </w:r>
      <w:r>
        <w:t xml:space="preserve">(Study 1) </w:t>
      </w:r>
    </w:p>
    <w:p w14:paraId="622ACEC7" w14:textId="1F434F0C" w:rsidR="00501AC3" w:rsidRDefault="008565D7" w:rsidP="008565D7">
      <w:r>
        <w:t>Joy Adewusi extracted, prepared and analysed the data,</w:t>
      </w:r>
      <w:r w:rsidR="00501AC3">
        <w:t xml:space="preserve"> and wrote the article. </w:t>
      </w:r>
    </w:p>
    <w:p w14:paraId="21A8204C" w14:textId="77777777" w:rsidR="000F59C4" w:rsidRDefault="000F59C4" w:rsidP="008565D7"/>
    <w:p w14:paraId="1F4BA44D" w14:textId="2FD67524" w:rsidR="00501AC3" w:rsidRDefault="00501AC3" w:rsidP="008565D7">
      <w:r>
        <w:t>Chapter 4:</w:t>
      </w:r>
      <w:r w:rsidR="00B90746">
        <w:t xml:space="preserve"> </w:t>
      </w:r>
      <w:r w:rsidR="00B90746" w:rsidRPr="00B90746">
        <w:rPr>
          <w:b/>
          <w:bCs/>
        </w:rPr>
        <w:t xml:space="preserve">Urgent and Emergency Care Utilisation in patients with Functional Neurological Symptom Disorder </w:t>
      </w:r>
      <w:r w:rsidRPr="005D63E2">
        <w:t>(Study</w:t>
      </w:r>
      <w:r>
        <w:t xml:space="preserve"> 2) </w:t>
      </w:r>
    </w:p>
    <w:p w14:paraId="33EAE90D" w14:textId="466912A7" w:rsidR="00501AC3" w:rsidRDefault="008565D7" w:rsidP="008565D7">
      <w:r>
        <w:t>Joy Adewusi</w:t>
      </w:r>
      <w:r w:rsidR="00501AC3">
        <w:t xml:space="preserve"> designed the study, analysed the data, and wrote the article. </w:t>
      </w:r>
      <w:r w:rsidR="00B90746">
        <w:t xml:space="preserve">Tony Stone assisted in the data linkage between the STH psychology therapy database and University of Sheffield. </w:t>
      </w:r>
      <w:r>
        <w:t>Jennifer Lewis (ScHARR) shared age- and sex- stratified counts of emergency service utilisation within the general population, as well as advised on the analytical plan.</w:t>
      </w:r>
    </w:p>
    <w:p w14:paraId="73B60ED5" w14:textId="77777777" w:rsidR="000F59C4" w:rsidRDefault="000F59C4" w:rsidP="008565D7"/>
    <w:p w14:paraId="55FB71B6" w14:textId="480E48EA" w:rsidR="00501AC3" w:rsidRDefault="00501AC3" w:rsidP="008565D7">
      <w:r>
        <w:t xml:space="preserve">Chapter </w:t>
      </w:r>
      <w:r w:rsidR="008565D7">
        <w:t>5</w:t>
      </w:r>
      <w:r w:rsidRPr="006A549A">
        <w:rPr>
          <w:b/>
          <w:bCs/>
        </w:rPr>
        <w:t xml:space="preserve">:  </w:t>
      </w:r>
      <w:r w:rsidR="00180A0A">
        <w:rPr>
          <w:b/>
          <w:bCs/>
        </w:rPr>
        <w:t>Delay Discounting</w:t>
      </w:r>
      <w:r w:rsidR="006A549A" w:rsidRPr="006A549A">
        <w:rPr>
          <w:b/>
          <w:bCs/>
        </w:rPr>
        <w:t xml:space="preserve"> and Negative </w:t>
      </w:r>
      <w:r w:rsidR="00180A0A">
        <w:rPr>
          <w:b/>
          <w:bCs/>
        </w:rPr>
        <w:t>Affective Priming</w:t>
      </w:r>
      <w:r w:rsidR="006A549A" w:rsidRPr="006A549A">
        <w:rPr>
          <w:b/>
          <w:bCs/>
        </w:rPr>
        <w:t xml:space="preserve"> in patient</w:t>
      </w:r>
      <w:r w:rsidR="00180A0A">
        <w:rPr>
          <w:b/>
          <w:bCs/>
        </w:rPr>
        <w:t>s</w:t>
      </w:r>
      <w:r w:rsidR="006A549A" w:rsidRPr="006A549A">
        <w:rPr>
          <w:b/>
          <w:bCs/>
        </w:rPr>
        <w:t xml:space="preserve"> with</w:t>
      </w:r>
      <w:r w:rsidR="006A549A">
        <w:t xml:space="preserve"> </w:t>
      </w:r>
      <w:r w:rsidR="006A549A" w:rsidRPr="00B90746">
        <w:rPr>
          <w:b/>
          <w:bCs/>
        </w:rPr>
        <w:t>Functional Neurological Symptom Disorder</w:t>
      </w:r>
      <w:r w:rsidR="006A549A">
        <w:t xml:space="preserve"> </w:t>
      </w:r>
      <w:r>
        <w:t xml:space="preserve">(Study 3) </w:t>
      </w:r>
    </w:p>
    <w:p w14:paraId="2A4632BA" w14:textId="0FCEAA87" w:rsidR="00501AC3" w:rsidRDefault="008565D7" w:rsidP="008565D7">
      <w:r>
        <w:t>Joy Adewusi</w:t>
      </w:r>
      <w:r w:rsidR="00501AC3">
        <w:t xml:space="preserve"> designed the study, recruited participants, collected and analysed the data, and wrote the article. </w:t>
      </w:r>
      <w:r>
        <w:t>Liam Mason</w:t>
      </w:r>
      <w:r w:rsidR="00501AC3">
        <w:t xml:space="preserve"> advis</w:t>
      </w:r>
      <w:r w:rsidR="00B90746">
        <w:t xml:space="preserve">ed </w:t>
      </w:r>
      <w:r w:rsidR="00501AC3">
        <w:t xml:space="preserve">on experimental design. </w:t>
      </w:r>
    </w:p>
    <w:p w14:paraId="74EFFD4C" w14:textId="77777777" w:rsidR="008565D7" w:rsidRDefault="008565D7" w:rsidP="008565D7"/>
    <w:p w14:paraId="32C66578" w14:textId="743C524D" w:rsidR="00501AC3" w:rsidRDefault="008565D7" w:rsidP="008565D7">
      <w:pPr>
        <w:rPr>
          <w:rFonts w:ascii="Calibri Light" w:eastAsia="Times New Roman" w:hAnsi="Calibri Light" w:cs="Times New Roman"/>
          <w:color w:val="2E74B5" w:themeColor="accent1" w:themeShade="BF"/>
          <w:sz w:val="40"/>
          <w:szCs w:val="20"/>
          <w:lang w:val="en-US"/>
        </w:rPr>
      </w:pPr>
      <w:r w:rsidRPr="00B90746">
        <w:t xml:space="preserve">Prof. Markus Reuber </w:t>
      </w:r>
      <w:proofErr w:type="spellStart"/>
      <w:r w:rsidRPr="00B90746">
        <w:t>Dr.</w:t>
      </w:r>
      <w:proofErr w:type="spellEnd"/>
      <w:r w:rsidRPr="00B90746">
        <w:t xml:space="preserve"> Liat Levita</w:t>
      </w:r>
      <w:r w:rsidR="00180A0A">
        <w:t xml:space="preserve"> and Cordelia Gray</w:t>
      </w:r>
      <w:r w:rsidRPr="00B90746">
        <w:t xml:space="preserve"> supervised the overall project, and provided feedback on the work presented in this thesis. </w:t>
      </w:r>
      <w:r w:rsidR="00501AC3">
        <w:br w:type="page"/>
      </w:r>
    </w:p>
    <w:p w14:paraId="4D8099B1" w14:textId="4BF17DB3" w:rsidR="00616AAE" w:rsidRPr="002751BF" w:rsidRDefault="002751BF" w:rsidP="0014037C">
      <w:pPr>
        <w:pStyle w:val="Heading1"/>
        <w:rPr>
          <w:rStyle w:val="IntenseReference"/>
          <w:rFonts w:ascii="Calibri Light" w:hAnsi="Calibri Light"/>
          <w:b w:val="0"/>
          <w:bCs w:val="0"/>
          <w:smallCaps w:val="0"/>
          <w:color w:val="2E74B5" w:themeColor="accent1" w:themeShade="BF"/>
          <w:spacing w:val="0"/>
          <w:szCs w:val="20"/>
        </w:rPr>
      </w:pPr>
      <w:bookmarkStart w:id="9" w:name="_Toc137504655"/>
      <w:r w:rsidRPr="002751BF">
        <w:rPr>
          <w:rStyle w:val="IntenseReference"/>
          <w:rFonts w:ascii="Calibri Light" w:hAnsi="Calibri Light"/>
          <w:b w:val="0"/>
          <w:bCs w:val="0"/>
          <w:smallCaps w:val="0"/>
          <w:color w:val="2E74B5" w:themeColor="accent1" w:themeShade="BF"/>
          <w:spacing w:val="0"/>
          <w:szCs w:val="20"/>
        </w:rPr>
        <w:lastRenderedPageBreak/>
        <w:t xml:space="preserve">1.0 </w:t>
      </w:r>
      <w:r w:rsidR="00616AAE" w:rsidRPr="002751BF">
        <w:rPr>
          <w:rStyle w:val="IntenseReference"/>
          <w:rFonts w:ascii="Calibri Light" w:hAnsi="Calibri Light"/>
          <w:b w:val="0"/>
          <w:bCs w:val="0"/>
          <w:smallCaps w:val="0"/>
          <w:color w:val="2E74B5" w:themeColor="accent1" w:themeShade="BF"/>
          <w:spacing w:val="0"/>
          <w:szCs w:val="20"/>
        </w:rPr>
        <w:t>Thesis Introduction</w:t>
      </w:r>
      <w:bookmarkEnd w:id="9"/>
    </w:p>
    <w:p w14:paraId="5994FBCF" w14:textId="77777777" w:rsidR="00616AAE" w:rsidRPr="003100A1" w:rsidRDefault="00616AAE" w:rsidP="0014037C">
      <w:pPr>
        <w:pStyle w:val="Heading2"/>
      </w:pPr>
      <w:bookmarkStart w:id="10" w:name="_Toc137504656"/>
      <w:r>
        <w:t xml:space="preserve">1.1 </w:t>
      </w:r>
      <w:r w:rsidRPr="003100A1">
        <w:t>Functional Neurological Disorders</w:t>
      </w:r>
      <w:bookmarkEnd w:id="10"/>
    </w:p>
    <w:p w14:paraId="438D0C3D" w14:textId="77777777" w:rsidR="00616AAE" w:rsidRDefault="00616AAE" w:rsidP="00616AAE">
      <w:pPr>
        <w:pStyle w:val="Heading3"/>
      </w:pPr>
      <w:bookmarkStart w:id="11" w:name="_Toc137504657"/>
      <w:r>
        <w:t xml:space="preserve">1.1.1 </w:t>
      </w:r>
      <w:r w:rsidRPr="003100A1">
        <w:t>Intro</w:t>
      </w:r>
      <w:r>
        <w:t>duction</w:t>
      </w:r>
      <w:bookmarkEnd w:id="11"/>
    </w:p>
    <w:p w14:paraId="151B6A69" w14:textId="02A1126F" w:rsidR="00616AAE" w:rsidRDefault="00616AAE" w:rsidP="006A535C">
      <w:pPr>
        <w:rPr>
          <w:szCs w:val="22"/>
        </w:rPr>
      </w:pPr>
      <w:r>
        <w:rPr>
          <w:szCs w:val="22"/>
        </w:rPr>
        <w:t xml:space="preserve">The term </w:t>
      </w:r>
      <w:r w:rsidR="00352F7F">
        <w:rPr>
          <w:szCs w:val="22"/>
        </w:rPr>
        <w:t>"</w:t>
      </w:r>
      <w:r w:rsidRPr="007364DD">
        <w:rPr>
          <w:szCs w:val="22"/>
        </w:rPr>
        <w:t>Medically Unexplained Symptoms</w:t>
      </w:r>
      <w:r w:rsidR="00352F7F">
        <w:rPr>
          <w:szCs w:val="22"/>
        </w:rPr>
        <w:t>"</w:t>
      </w:r>
      <w:r w:rsidRPr="007364DD">
        <w:rPr>
          <w:szCs w:val="22"/>
        </w:rPr>
        <w:t xml:space="preserve"> (MUS) </w:t>
      </w:r>
      <w:r>
        <w:rPr>
          <w:szCs w:val="22"/>
        </w:rPr>
        <w:t>ha</w:t>
      </w:r>
      <w:r w:rsidRPr="007364DD">
        <w:rPr>
          <w:szCs w:val="22"/>
        </w:rPr>
        <w:t xml:space="preserve">s </w:t>
      </w:r>
      <w:r>
        <w:rPr>
          <w:szCs w:val="22"/>
        </w:rPr>
        <w:t xml:space="preserve">been used as </w:t>
      </w:r>
      <w:r w:rsidRPr="007364DD">
        <w:rPr>
          <w:szCs w:val="22"/>
        </w:rPr>
        <w:t xml:space="preserve">an umbrella term describing symptoms ascribed to disorders which cannot be associated with </w:t>
      </w:r>
      <w:r w:rsidRPr="007364DD">
        <w:rPr>
          <w:color w:val="000000"/>
          <w:szCs w:val="22"/>
        </w:rPr>
        <w:t xml:space="preserve">readily demonstrable pathophysiological or </w:t>
      </w:r>
      <w:r w:rsidRPr="00B869AE">
        <w:rPr>
          <w:color w:val="000000"/>
          <w:szCs w:val="22"/>
        </w:rPr>
        <w:t>structural changes</w:t>
      </w:r>
      <w:r w:rsidRPr="00B869AE">
        <w:rPr>
          <w:szCs w:val="22"/>
        </w:rPr>
        <w:t xml:space="preserve">. </w:t>
      </w:r>
    </w:p>
    <w:p w14:paraId="57CE0759" w14:textId="39013688" w:rsidR="00616AAE" w:rsidRDefault="00616AAE" w:rsidP="006A535C">
      <w:pPr>
        <w:rPr>
          <w:szCs w:val="22"/>
        </w:rPr>
      </w:pPr>
      <w:r w:rsidRPr="00B869AE">
        <w:rPr>
          <w:szCs w:val="22"/>
        </w:rPr>
        <w:t>In 2008/2009, the annual cost of MUS in working-age adults to NHS England was estimated at £2.89 billion. Further</w:t>
      </w:r>
      <w:r w:rsidRPr="007364DD">
        <w:rPr>
          <w:szCs w:val="22"/>
        </w:rPr>
        <w:t xml:space="preserve"> costs of £14 billion per annum to the UK economy were estimated owing to illness absence and reduced quality of life for MUS patients</w:t>
      </w:r>
      <w:r>
        <w:rPr>
          <w:szCs w:val="22"/>
        </w:rPr>
        <w:t xml:space="preserve"> </w:t>
      </w:r>
      <w:sdt>
        <w:sdtPr>
          <w:rPr>
            <w:color w:val="000000"/>
            <w:szCs w:val="22"/>
          </w:rPr>
          <w:tag w:val="MENDELEY_CITATION_v3_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"/>
          <w:id w:val="1010958637"/>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Bermingham</w:t>
          </w:r>
          <w:proofErr w:type="spellEnd"/>
          <w:r w:rsidR="005E4029" w:rsidRPr="005E4029">
            <w:rPr>
              <w:color w:val="000000"/>
              <w:szCs w:val="22"/>
            </w:rPr>
            <w:t xml:space="preserve"> et al., 2010)</w:t>
          </w:r>
        </w:sdtContent>
      </w:sdt>
      <w:r>
        <w:rPr>
          <w:szCs w:val="22"/>
        </w:rPr>
        <w:t xml:space="preserve">. </w:t>
      </w:r>
      <w:r w:rsidRPr="007364DD">
        <w:rPr>
          <w:szCs w:val="22"/>
        </w:rPr>
        <w:t>MUS</w:t>
      </w:r>
      <w:r>
        <w:rPr>
          <w:szCs w:val="22"/>
        </w:rPr>
        <w:t>, therefore,</w:t>
      </w:r>
      <w:r w:rsidRPr="007364DD">
        <w:rPr>
          <w:szCs w:val="22"/>
        </w:rPr>
        <w:t xml:space="preserve"> represent a significant challenge for the UK economy. They also account for about 20% of general practitioner consultations, specialist outpatient referrals, and </w:t>
      </w:r>
      <w:r>
        <w:rPr>
          <w:szCs w:val="22"/>
        </w:rPr>
        <w:t>hospitalisation</w:t>
      </w:r>
      <w:r w:rsidRPr="007364DD">
        <w:rPr>
          <w:szCs w:val="22"/>
        </w:rPr>
        <w:t xml:space="preserve"> episodes </w:t>
      </w:r>
      <w:sdt>
        <w:sdtPr>
          <w:rPr>
            <w:color w:val="000000"/>
            <w:szCs w:val="22"/>
          </w:rPr>
          <w:tag w:val="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"/>
          <w:id w:val="1138920043"/>
          <w:placeholder>
            <w:docPart w:val="E11707C14A687C4394FB968AA7E5B24E"/>
          </w:placeholder>
        </w:sdtPr>
        <w:sdtContent>
          <w:r w:rsidR="005E4029" w:rsidRPr="005E4029">
            <w:rPr>
              <w:color w:val="000000"/>
              <w:szCs w:val="22"/>
            </w:rPr>
            <w:t>(Barsky et al., 2005; de Waal et al., 2006)</w:t>
          </w:r>
        </w:sdtContent>
      </w:sdt>
      <w:r>
        <w:rPr>
          <w:szCs w:val="22"/>
        </w:rPr>
        <w:t>.</w:t>
      </w:r>
      <w:r w:rsidRPr="007364DD">
        <w:rPr>
          <w:szCs w:val="22"/>
        </w:rPr>
        <w:t xml:space="preserve"> </w:t>
      </w:r>
      <w:r w:rsidRPr="003E7CFA">
        <w:rPr>
          <w:szCs w:val="22"/>
        </w:rPr>
        <w:t>The individual burden on patients with unexplained symptoms can be considerable, as they frequently encounter stress, distress, and anxiety due to the uncertainty surrounding their condition.</w:t>
      </w:r>
    </w:p>
    <w:p w14:paraId="15FCCCEF" w14:textId="63D08A25" w:rsidR="00616AAE" w:rsidRPr="007364DD" w:rsidRDefault="00616AAE" w:rsidP="00DE1069">
      <w:pPr>
        <w:spacing w:after="200"/>
        <w:rPr>
          <w:szCs w:val="22"/>
        </w:rPr>
      </w:pPr>
      <w:r w:rsidRPr="003E7CFA">
        <w:rPr>
          <w:szCs w:val="22"/>
        </w:rPr>
        <w:t>Moreover, patients may feel that their concerns are dismissed or inadequately addressed by their healthcare providers, potentially exacerbating the manifestation of somatic symptoms</w:t>
      </w:r>
      <w:r>
        <w:rPr>
          <w:szCs w:val="22"/>
        </w:rPr>
        <w:t xml:space="preserve"> </w:t>
      </w:r>
      <w:sdt>
        <w:sdtPr>
          <w:rPr>
            <w:color w:val="000000"/>
            <w:szCs w:val="22"/>
          </w:rPr>
          <w:tag w:val="MENDELEY_CITATION_v3_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"/>
          <w:id w:val="1265955828"/>
          <w:placeholder>
            <w:docPart w:val="E11707C14A687C4394FB968AA7E5B24E"/>
          </w:placeholder>
        </w:sdtPr>
        <w:sdtContent>
          <w:r w:rsidR="005E4029" w:rsidRPr="005E4029">
            <w:rPr>
              <w:color w:val="000000"/>
              <w:szCs w:val="22"/>
            </w:rPr>
            <w:t>(Edwards et al., 2010)</w:t>
          </w:r>
        </w:sdtContent>
      </w:sdt>
      <w:r w:rsidRPr="003E7CFA">
        <w:rPr>
          <w:szCs w:val="22"/>
        </w:rPr>
        <w:t>.</w:t>
      </w:r>
      <w:r>
        <w:rPr>
          <w:szCs w:val="22"/>
        </w:rPr>
        <w:t xml:space="preserve"> </w:t>
      </w:r>
      <w:r w:rsidRPr="007364DD">
        <w:rPr>
          <w:szCs w:val="22"/>
        </w:rPr>
        <w:t xml:space="preserve">MUS can manifest in several ways, including fatigue (e.g., Myalgic Encephalopathy), </w:t>
      </w:r>
      <w:r>
        <w:rPr>
          <w:szCs w:val="22"/>
        </w:rPr>
        <w:t>respiratory</w:t>
      </w:r>
      <w:r w:rsidRPr="00DE1069">
        <w:rPr>
          <w:szCs w:val="22"/>
        </w:rPr>
        <w:t xml:space="preserve"> (dysfunctional breathing), </w:t>
      </w:r>
      <w:r w:rsidRPr="007364DD">
        <w:rPr>
          <w:szCs w:val="22"/>
        </w:rPr>
        <w:t xml:space="preserve">abdominal (e.g., irritable bowel syndrome) or neurological symptoms, known as </w:t>
      </w:r>
      <w:r>
        <w:rPr>
          <w:szCs w:val="22"/>
        </w:rPr>
        <w:t>a F</w:t>
      </w:r>
      <w:r w:rsidRPr="007364DD">
        <w:rPr>
          <w:szCs w:val="22"/>
        </w:rPr>
        <w:t xml:space="preserve">unctional </w:t>
      </w:r>
      <w:r>
        <w:rPr>
          <w:szCs w:val="22"/>
        </w:rPr>
        <w:t>N</w:t>
      </w:r>
      <w:r w:rsidRPr="007364DD">
        <w:rPr>
          <w:szCs w:val="22"/>
        </w:rPr>
        <w:t xml:space="preserve">eurological </w:t>
      </w:r>
      <w:r>
        <w:rPr>
          <w:szCs w:val="22"/>
        </w:rPr>
        <w:t>Symptom D</w:t>
      </w:r>
      <w:r w:rsidRPr="007364DD">
        <w:rPr>
          <w:szCs w:val="22"/>
        </w:rPr>
        <w:t>isorder (FN</w:t>
      </w:r>
      <w:r>
        <w:rPr>
          <w:szCs w:val="22"/>
        </w:rPr>
        <w:t>S</w:t>
      </w:r>
      <w:r w:rsidRPr="007364DD">
        <w:rPr>
          <w:szCs w:val="22"/>
        </w:rPr>
        <w:t>D).</w:t>
      </w:r>
      <w:r>
        <w:rPr>
          <w:szCs w:val="22"/>
        </w:rPr>
        <w:t xml:space="preserve"> FNSD </w:t>
      </w:r>
      <w:r w:rsidRPr="007364DD">
        <w:rPr>
          <w:szCs w:val="22"/>
        </w:rPr>
        <w:t xml:space="preserve">is </w:t>
      </w:r>
      <w:r>
        <w:rPr>
          <w:szCs w:val="22"/>
        </w:rPr>
        <w:t>the</w:t>
      </w:r>
      <w:r w:rsidRPr="00F41695">
        <w:rPr>
          <w:szCs w:val="22"/>
        </w:rPr>
        <w:t xml:space="preserve"> </w:t>
      </w:r>
      <w:r w:rsidR="00352F7F">
        <w:rPr>
          <w:szCs w:val="22"/>
        </w:rPr>
        <w:t>"</w:t>
      </w:r>
      <w:r w:rsidRPr="00F41695">
        <w:rPr>
          <w:szCs w:val="22"/>
        </w:rPr>
        <w:t>abnormal central nervous system functioning of presumed psychogenic aetiology</w:t>
      </w:r>
      <w:r w:rsidR="00352F7F">
        <w:rPr>
          <w:szCs w:val="22"/>
        </w:rPr>
        <w:t>"</w:t>
      </w:r>
      <w:r>
        <w:rPr>
          <w:szCs w:val="22"/>
        </w:rPr>
        <w:t xml:space="preserve"> </w:t>
      </w:r>
      <w:sdt>
        <w:sdtPr>
          <w:rPr>
            <w:color w:val="000000"/>
            <w:szCs w:val="22"/>
          </w:rPr>
          <w:tag w:val="MENDELEY_CITATION_v3_eyJjaXRhdGlvbklEIjoiTUVOREVMRVlfQ0lUQVRJT05fNjA4MTcwY2EtNzVkZi00NjVkLTk2MTAtMmY3YzY3ZjBlODRiIiwicHJvcGVydGllcyI6eyJub3RlSW5kZXgiOjB9LCJpc0VkaXRlZCI6ZmFsc2UsIm1hbnVhbE92ZXJyaWRlIjp7ImlzTWFudWFsbHlPdmVycmlkZGVuIjpmYWxzZSwiY2l0ZXByb2NUZXh0IjoiKEFtZXJpY2FuIFBzeWNoaWF0cmljIEFzc29jaWF0aW9uLCAyMDEzKSIsIm1hbnVhbE92ZXJyaWRlVGV4dCI6IiJ9LCJjaXRhdGlvbkl0ZW1zIjpb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
          <w:id w:val="-1643271908"/>
          <w:placeholder>
            <w:docPart w:val="E11707C14A687C4394FB968AA7E5B24E"/>
          </w:placeholder>
        </w:sdtPr>
        <w:sdtContent>
          <w:r w:rsidR="005E4029" w:rsidRPr="005E4029">
            <w:rPr>
              <w:color w:val="000000"/>
              <w:szCs w:val="22"/>
            </w:rPr>
            <w:t>(American Psychiatric Association, 2013)</w:t>
          </w:r>
        </w:sdtContent>
      </w:sdt>
      <w:r>
        <w:rPr>
          <w:szCs w:val="22"/>
        </w:rPr>
        <w:t>.</w:t>
      </w:r>
    </w:p>
    <w:p w14:paraId="1E4E9A02" w14:textId="77777777" w:rsidR="00616AAE" w:rsidRPr="00F11AB6" w:rsidRDefault="00616AAE" w:rsidP="00F11AB6">
      <w:pPr>
        <w:pStyle w:val="Heading3"/>
      </w:pPr>
      <w:bookmarkStart w:id="12" w:name="_Toc137504658"/>
      <w:r>
        <w:t xml:space="preserve">1.1.2 </w:t>
      </w:r>
      <w:r w:rsidRPr="00F11AB6">
        <w:t>Terminology</w:t>
      </w:r>
      <w:bookmarkEnd w:id="12"/>
    </w:p>
    <w:p w14:paraId="48770682" w14:textId="24C9BBFF" w:rsidR="00616AAE" w:rsidRDefault="00616AAE" w:rsidP="002E1A1E">
      <w:pPr>
        <w:rPr>
          <w:szCs w:val="22"/>
        </w:rPr>
      </w:pPr>
      <w:r w:rsidRPr="004C04D1">
        <w:rPr>
          <w:szCs w:val="22"/>
        </w:rPr>
        <w:t xml:space="preserve">The terminology used to describe functional </w:t>
      </w:r>
      <w:r>
        <w:rPr>
          <w:szCs w:val="22"/>
        </w:rPr>
        <w:t xml:space="preserve">neurological symptom </w:t>
      </w:r>
      <w:r w:rsidRPr="004C04D1">
        <w:rPr>
          <w:szCs w:val="22"/>
        </w:rPr>
        <w:t>disorders has evolve</w:t>
      </w:r>
      <w:r>
        <w:rPr>
          <w:szCs w:val="22"/>
        </w:rPr>
        <w:t>d</w:t>
      </w:r>
      <w:r w:rsidRPr="004C04D1">
        <w:rPr>
          <w:szCs w:val="22"/>
        </w:rPr>
        <w:t xml:space="preserve">. Terms such as </w:t>
      </w:r>
      <w:r w:rsidR="00352F7F">
        <w:rPr>
          <w:szCs w:val="22"/>
        </w:rPr>
        <w:t>"</w:t>
      </w:r>
      <w:r w:rsidRPr="004C04D1">
        <w:rPr>
          <w:szCs w:val="22"/>
        </w:rPr>
        <w:t>Psychogenic,</w:t>
      </w:r>
      <w:r w:rsidR="00352F7F">
        <w:rPr>
          <w:szCs w:val="22"/>
        </w:rPr>
        <w:t>"</w:t>
      </w:r>
      <w:r w:rsidRPr="004C04D1">
        <w:rPr>
          <w:szCs w:val="22"/>
        </w:rPr>
        <w:t xml:space="preserve"> </w:t>
      </w:r>
      <w:r w:rsidR="00352F7F">
        <w:rPr>
          <w:szCs w:val="22"/>
        </w:rPr>
        <w:t>"</w:t>
      </w:r>
      <w:r w:rsidRPr="004C04D1">
        <w:rPr>
          <w:szCs w:val="22"/>
        </w:rPr>
        <w:t>psychosomatic,</w:t>
      </w:r>
      <w:r w:rsidR="00352F7F">
        <w:rPr>
          <w:szCs w:val="22"/>
        </w:rPr>
        <w:t>"</w:t>
      </w:r>
      <w:r w:rsidRPr="004C04D1">
        <w:rPr>
          <w:szCs w:val="22"/>
        </w:rPr>
        <w:t xml:space="preserve"> and </w:t>
      </w:r>
      <w:r w:rsidR="00352F7F">
        <w:rPr>
          <w:szCs w:val="22"/>
        </w:rPr>
        <w:t>"</w:t>
      </w:r>
      <w:r w:rsidRPr="004C04D1">
        <w:rPr>
          <w:szCs w:val="22"/>
        </w:rPr>
        <w:t>conversion</w:t>
      </w:r>
      <w:r w:rsidR="00352F7F">
        <w:rPr>
          <w:szCs w:val="22"/>
        </w:rPr>
        <w:t>"</w:t>
      </w:r>
      <w:r w:rsidRPr="004C04D1">
        <w:rPr>
          <w:szCs w:val="22"/>
        </w:rPr>
        <w:t xml:space="preserve"> disorders, as well as </w:t>
      </w:r>
      <w:r w:rsidR="00352F7F">
        <w:rPr>
          <w:szCs w:val="22"/>
        </w:rPr>
        <w:t>"</w:t>
      </w:r>
      <w:r>
        <w:rPr>
          <w:szCs w:val="22"/>
        </w:rPr>
        <w:t>somatisation</w:t>
      </w:r>
      <w:r w:rsidRPr="004C04D1">
        <w:rPr>
          <w:szCs w:val="22"/>
        </w:rPr>
        <w:t>,</w:t>
      </w:r>
      <w:r w:rsidR="00352F7F">
        <w:rPr>
          <w:szCs w:val="22"/>
        </w:rPr>
        <w:t>"</w:t>
      </w:r>
      <w:r w:rsidRPr="004C04D1">
        <w:rPr>
          <w:szCs w:val="22"/>
        </w:rPr>
        <w:t xml:space="preserve"> imply that an exclusively psychological cause is present, but this is not always the case. </w:t>
      </w:r>
      <w:r w:rsidR="00352F7F">
        <w:rPr>
          <w:szCs w:val="22"/>
        </w:rPr>
        <w:t>"</w:t>
      </w:r>
      <w:r w:rsidRPr="004C04D1">
        <w:rPr>
          <w:szCs w:val="22"/>
        </w:rPr>
        <w:t>Non-organic</w:t>
      </w:r>
      <w:r w:rsidR="00352F7F">
        <w:rPr>
          <w:szCs w:val="22"/>
        </w:rPr>
        <w:t>"</w:t>
      </w:r>
      <w:r w:rsidRPr="004C04D1">
        <w:rPr>
          <w:szCs w:val="22"/>
        </w:rPr>
        <w:t xml:space="preserve"> suggests a dualism between the brain and the mind, while </w:t>
      </w:r>
      <w:r w:rsidR="00352F7F">
        <w:rPr>
          <w:szCs w:val="22"/>
        </w:rPr>
        <w:t>"</w:t>
      </w:r>
      <w:r w:rsidRPr="004C04D1">
        <w:rPr>
          <w:szCs w:val="22"/>
        </w:rPr>
        <w:t>medically unexplained</w:t>
      </w:r>
      <w:r w:rsidR="00352F7F">
        <w:rPr>
          <w:szCs w:val="22"/>
        </w:rPr>
        <w:t>"</w:t>
      </w:r>
      <w:r w:rsidRPr="004C04D1">
        <w:rPr>
          <w:szCs w:val="22"/>
        </w:rPr>
        <w:t xml:space="preserve"> </w:t>
      </w:r>
      <w:r>
        <w:rPr>
          <w:szCs w:val="22"/>
        </w:rPr>
        <w:t>indicates</w:t>
      </w:r>
      <w:r w:rsidRPr="004C04D1">
        <w:rPr>
          <w:szCs w:val="22"/>
        </w:rPr>
        <w:t xml:space="preserve"> a problem </w:t>
      </w:r>
      <w:r>
        <w:rPr>
          <w:szCs w:val="22"/>
        </w:rPr>
        <w:t>without</w:t>
      </w:r>
      <w:r w:rsidRPr="004C04D1">
        <w:rPr>
          <w:szCs w:val="22"/>
        </w:rPr>
        <w:t xml:space="preserve"> know</w:t>
      </w:r>
      <w:r>
        <w:rPr>
          <w:szCs w:val="22"/>
        </w:rPr>
        <w:t xml:space="preserve">n </w:t>
      </w:r>
      <w:r w:rsidRPr="004C04D1">
        <w:rPr>
          <w:szCs w:val="22"/>
        </w:rPr>
        <w:t xml:space="preserve">aetiology, diagnosis, or treatment. Terms such as </w:t>
      </w:r>
      <w:r w:rsidR="00352F7F">
        <w:rPr>
          <w:szCs w:val="22"/>
        </w:rPr>
        <w:t>"</w:t>
      </w:r>
      <w:r w:rsidRPr="004C04D1">
        <w:rPr>
          <w:szCs w:val="22"/>
        </w:rPr>
        <w:t>hysteria</w:t>
      </w:r>
      <w:r w:rsidR="00352F7F">
        <w:rPr>
          <w:szCs w:val="22"/>
        </w:rPr>
        <w:t>"</w:t>
      </w:r>
      <w:r w:rsidRPr="004C04D1">
        <w:rPr>
          <w:szCs w:val="22"/>
        </w:rPr>
        <w:t xml:space="preserve"> or </w:t>
      </w:r>
      <w:r w:rsidR="00352F7F">
        <w:rPr>
          <w:szCs w:val="22"/>
        </w:rPr>
        <w:t>"</w:t>
      </w:r>
      <w:r w:rsidRPr="004C04D1">
        <w:rPr>
          <w:szCs w:val="22"/>
        </w:rPr>
        <w:t>pseudo-seizures</w:t>
      </w:r>
      <w:r w:rsidR="00352F7F">
        <w:rPr>
          <w:szCs w:val="22"/>
        </w:rPr>
        <w:t>"</w:t>
      </w:r>
      <w:r w:rsidRPr="004C04D1">
        <w:rPr>
          <w:szCs w:val="22"/>
        </w:rPr>
        <w:t xml:space="preserve"> carry a negative connotation and may imply that the issue is feigned or fabricated. As a result, there is </w:t>
      </w:r>
      <w:r>
        <w:rPr>
          <w:szCs w:val="22"/>
        </w:rPr>
        <w:t xml:space="preserve">an emerging </w:t>
      </w:r>
      <w:r w:rsidRPr="004C04D1">
        <w:rPr>
          <w:szCs w:val="22"/>
        </w:rPr>
        <w:t>consensus among researchers</w:t>
      </w:r>
      <w:r>
        <w:rPr>
          <w:szCs w:val="22"/>
        </w:rPr>
        <w:t xml:space="preserve"> and patient groups</w:t>
      </w:r>
      <w:r w:rsidRPr="004C04D1">
        <w:rPr>
          <w:szCs w:val="22"/>
        </w:rPr>
        <w:t xml:space="preserve"> to use the </w:t>
      </w:r>
      <w:r w:rsidRPr="004C04D1">
        <w:rPr>
          <w:szCs w:val="22"/>
        </w:rPr>
        <w:lastRenderedPageBreak/>
        <w:t xml:space="preserve">term </w:t>
      </w:r>
      <w:r w:rsidR="00352F7F">
        <w:rPr>
          <w:szCs w:val="22"/>
        </w:rPr>
        <w:t>'</w:t>
      </w:r>
      <w:r w:rsidRPr="004C04D1">
        <w:rPr>
          <w:szCs w:val="22"/>
        </w:rPr>
        <w:t>Functional Neurological Disorder</w:t>
      </w:r>
      <w:r>
        <w:rPr>
          <w:szCs w:val="22"/>
        </w:rPr>
        <w:t xml:space="preserve"> (FND)</w:t>
      </w:r>
      <w:r w:rsidRPr="004C04D1">
        <w:rPr>
          <w:szCs w:val="22"/>
        </w:rPr>
        <w:t xml:space="preserve"> or Functional Neurological Symptom Disorder</w:t>
      </w:r>
      <w:r>
        <w:rPr>
          <w:szCs w:val="22"/>
        </w:rPr>
        <w:t xml:space="preserve"> (FNSD)</w:t>
      </w:r>
      <w:r w:rsidR="00352F7F">
        <w:rPr>
          <w:szCs w:val="22"/>
        </w:rPr>
        <w:t>'</w:t>
      </w:r>
      <w:r w:rsidRPr="004C04D1">
        <w:rPr>
          <w:szCs w:val="22"/>
        </w:rPr>
        <w:t xml:space="preserve"> as an etiologically neutral alternative</w:t>
      </w:r>
      <w:r>
        <w:rPr>
          <w:szCs w:val="22"/>
        </w:rPr>
        <w:t xml:space="preserve"> </w:t>
      </w:r>
      <w:sdt>
        <w:sdtPr>
          <w:rPr>
            <w:szCs w:val="22"/>
          </w:rPr>
          <w:tag w:val="MENDELEY_CITATION_v3_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"/>
          <w:id w:val="-97255012"/>
          <w:placeholder>
            <w:docPart w:val="E11707C14A687C4394FB968AA7E5B24E"/>
          </w:placeholder>
        </w:sdtPr>
        <w:sdtContent>
          <w:r w:rsidR="005E4029">
            <w:rPr>
              <w:rFonts w:eastAsia="Times New Roman"/>
            </w:rPr>
            <w:t>(Ding &amp; Kanaan, 2017)</w:t>
          </w:r>
        </w:sdtContent>
      </w:sdt>
      <w:r w:rsidRPr="004C04D1">
        <w:rPr>
          <w:szCs w:val="22"/>
        </w:rPr>
        <w:t>.</w:t>
      </w:r>
      <w:r>
        <w:rPr>
          <w:szCs w:val="22"/>
        </w:rPr>
        <w:t xml:space="preserve"> </w:t>
      </w:r>
    </w:p>
    <w:p w14:paraId="19418385" w14:textId="673F7FD6" w:rsidR="00616AAE" w:rsidRDefault="00616AAE" w:rsidP="00613474">
      <w:pPr>
        <w:rPr>
          <w:color w:val="5B9BD5" w:themeColor="accent1"/>
          <w:szCs w:val="22"/>
        </w:rPr>
      </w:pPr>
      <w:r w:rsidRPr="007364DD">
        <w:rPr>
          <w:szCs w:val="22"/>
        </w:rPr>
        <w:t xml:space="preserve">There are several </w:t>
      </w:r>
      <w:r>
        <w:rPr>
          <w:szCs w:val="22"/>
        </w:rPr>
        <w:t xml:space="preserve">types of symptoms </w:t>
      </w:r>
      <w:r w:rsidRPr="007364DD">
        <w:rPr>
          <w:szCs w:val="22"/>
        </w:rPr>
        <w:t xml:space="preserve">of </w:t>
      </w:r>
      <w:r>
        <w:rPr>
          <w:szCs w:val="22"/>
        </w:rPr>
        <w:t>FNSD</w:t>
      </w:r>
      <w:r w:rsidRPr="007364DD">
        <w:rPr>
          <w:szCs w:val="22"/>
        </w:rPr>
        <w:t xml:space="preserve">, including but not </w:t>
      </w:r>
      <w:r>
        <w:rPr>
          <w:szCs w:val="22"/>
        </w:rPr>
        <w:t xml:space="preserve">limited to attacks or seizures, </w:t>
      </w:r>
      <w:r w:rsidRPr="002E1A1E">
        <w:rPr>
          <w:szCs w:val="22"/>
        </w:rPr>
        <w:t>weakness or paralysis</w:t>
      </w:r>
      <w:r>
        <w:rPr>
          <w:szCs w:val="22"/>
        </w:rPr>
        <w:t xml:space="preserve">, </w:t>
      </w:r>
      <w:r w:rsidRPr="002E1A1E">
        <w:rPr>
          <w:szCs w:val="22"/>
        </w:rPr>
        <w:t>abnormal movement</w:t>
      </w:r>
      <w:r>
        <w:rPr>
          <w:szCs w:val="22"/>
        </w:rPr>
        <w:t>s</w:t>
      </w:r>
      <w:r w:rsidRPr="002E1A1E">
        <w:rPr>
          <w:szCs w:val="22"/>
        </w:rPr>
        <w:t xml:space="preserve"> (e.g., tremor, dystonic movement, myoclonus, gait disorder)</w:t>
      </w:r>
      <w:r>
        <w:rPr>
          <w:szCs w:val="22"/>
        </w:rPr>
        <w:t xml:space="preserve">, </w:t>
      </w:r>
      <w:r w:rsidRPr="002E1A1E">
        <w:rPr>
          <w:szCs w:val="22"/>
        </w:rPr>
        <w:t xml:space="preserve"> swallowing symptoms</w:t>
      </w:r>
      <w:r>
        <w:rPr>
          <w:szCs w:val="22"/>
        </w:rPr>
        <w:t xml:space="preserve"> and </w:t>
      </w:r>
      <w:r w:rsidRPr="002E1A1E">
        <w:rPr>
          <w:szCs w:val="22"/>
        </w:rPr>
        <w:t>speech symptom</w:t>
      </w:r>
      <w:r>
        <w:rPr>
          <w:szCs w:val="22"/>
        </w:rPr>
        <w:t>s</w:t>
      </w:r>
      <w:r w:rsidRPr="002E1A1E">
        <w:rPr>
          <w:szCs w:val="22"/>
        </w:rPr>
        <w:t xml:space="preserve"> (e.g., dysphonia, slurred speech)</w:t>
      </w:r>
      <w:r>
        <w:rPr>
          <w:szCs w:val="22"/>
        </w:rPr>
        <w:t xml:space="preserve">. The intentional fabrication of symptoms </w:t>
      </w:r>
      <w:r w:rsidRPr="004C04D1">
        <w:rPr>
          <w:szCs w:val="22"/>
        </w:rPr>
        <w:t>without external motivators</w:t>
      </w:r>
      <w:r>
        <w:rPr>
          <w:szCs w:val="22"/>
        </w:rPr>
        <w:t xml:space="preserve"> characterises a factitious disorder</w:t>
      </w:r>
      <w:r w:rsidRPr="004C04D1">
        <w:rPr>
          <w:szCs w:val="22"/>
        </w:rPr>
        <w:t xml:space="preserve">, whereas malingering involves the deliberate feigning symptoms for secondary </w:t>
      </w:r>
      <w:r>
        <w:rPr>
          <w:szCs w:val="22"/>
        </w:rPr>
        <w:t>gains</w:t>
      </w:r>
      <w:r w:rsidRPr="004C04D1">
        <w:rPr>
          <w:szCs w:val="22"/>
        </w:rPr>
        <w:t xml:space="preserve">, such as financial benefits. It is </w:t>
      </w:r>
      <w:r>
        <w:rPr>
          <w:szCs w:val="22"/>
        </w:rPr>
        <w:t>crucial</w:t>
      </w:r>
      <w:r w:rsidRPr="004C04D1">
        <w:rPr>
          <w:szCs w:val="22"/>
        </w:rPr>
        <w:t xml:space="preserve"> to differentiate </w:t>
      </w:r>
      <w:r>
        <w:rPr>
          <w:szCs w:val="22"/>
        </w:rPr>
        <w:t>FNSD</w:t>
      </w:r>
      <w:r w:rsidRPr="004C04D1">
        <w:rPr>
          <w:szCs w:val="22"/>
        </w:rPr>
        <w:t xml:space="preserve"> from factitious disorder and malingering based on intentionality, as </w:t>
      </w:r>
      <w:r>
        <w:rPr>
          <w:szCs w:val="22"/>
        </w:rPr>
        <w:t>FNSD</w:t>
      </w:r>
      <w:r w:rsidRPr="004C04D1">
        <w:rPr>
          <w:szCs w:val="22"/>
        </w:rPr>
        <w:t xml:space="preserve"> symptoms are involuntary and unintentional</w:t>
      </w:r>
      <w:r>
        <w:rPr>
          <w:szCs w:val="22"/>
        </w:rPr>
        <w:t xml:space="preserve"> </w:t>
      </w:r>
      <w:sdt>
        <w:sdtPr>
          <w:rPr>
            <w:color w:val="000000"/>
            <w:szCs w:val="22"/>
          </w:rPr>
          <w:tag w:val="MENDELEY_CITATION_v3_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"/>
          <w:id w:val="-1413391491"/>
          <w:placeholder>
            <w:docPart w:val="E11707C14A687C4394FB968AA7E5B24E"/>
          </w:placeholder>
        </w:sdtPr>
        <w:sdtContent>
          <w:r w:rsidR="005E4029" w:rsidRPr="005E4029">
            <w:rPr>
              <w:color w:val="000000"/>
              <w:szCs w:val="22"/>
            </w:rPr>
            <w:t>(Galli et al., 2018)</w:t>
          </w:r>
        </w:sdtContent>
      </w:sdt>
      <w:r>
        <w:rPr>
          <w:szCs w:val="22"/>
        </w:rPr>
        <w:t>.</w:t>
      </w:r>
      <w:r w:rsidRPr="003100A1">
        <w:rPr>
          <w:color w:val="5B9BD5" w:themeColor="accent1"/>
          <w:szCs w:val="22"/>
        </w:rPr>
        <w:t xml:space="preserve"> </w:t>
      </w:r>
    </w:p>
    <w:p w14:paraId="015F3413" w14:textId="552A85C1" w:rsidR="00616AAE" w:rsidRDefault="00616AAE" w:rsidP="00613474">
      <w:pPr>
        <w:rPr>
          <w:szCs w:val="22"/>
        </w:rPr>
      </w:pPr>
      <w:r>
        <w:rPr>
          <w:szCs w:val="22"/>
        </w:rPr>
        <w:t>M</w:t>
      </w:r>
      <w:r w:rsidRPr="007364D4">
        <w:rPr>
          <w:szCs w:val="22"/>
        </w:rPr>
        <w:t>ultiple terminologies have been suggested for</w:t>
      </w:r>
      <w:r>
        <w:rPr>
          <w:szCs w:val="22"/>
        </w:rPr>
        <w:t xml:space="preserve"> seizure presentations of</w:t>
      </w:r>
      <w:r w:rsidRPr="007364D4">
        <w:rPr>
          <w:szCs w:val="22"/>
        </w:rPr>
        <w:t xml:space="preserve"> FNSD.</w:t>
      </w:r>
      <w:r>
        <w:rPr>
          <w:szCs w:val="22"/>
        </w:rPr>
        <w:t xml:space="preserve"> </w:t>
      </w:r>
      <w:r w:rsidRPr="004C04D1">
        <w:rPr>
          <w:szCs w:val="22"/>
        </w:rPr>
        <w:t xml:space="preserve">In this thesis, </w:t>
      </w:r>
      <w:r>
        <w:rPr>
          <w:szCs w:val="22"/>
        </w:rPr>
        <w:t>FNSD</w:t>
      </w:r>
      <w:r w:rsidRPr="004C04D1">
        <w:rPr>
          <w:szCs w:val="22"/>
        </w:rPr>
        <w:t xml:space="preserve"> seizures will be referred to as </w:t>
      </w:r>
      <w:r>
        <w:rPr>
          <w:szCs w:val="22"/>
        </w:rPr>
        <w:t>functional seizures. However,</w:t>
      </w:r>
      <w:r w:rsidRPr="004C04D1">
        <w:rPr>
          <w:szCs w:val="22"/>
        </w:rPr>
        <w:t xml:space="preserve"> they are also commonly referred to in the literature as </w:t>
      </w:r>
      <w:r w:rsidRPr="007364D4">
        <w:rPr>
          <w:szCs w:val="22"/>
        </w:rPr>
        <w:t xml:space="preserve">Psychogenic </w:t>
      </w:r>
      <w:r>
        <w:rPr>
          <w:szCs w:val="22"/>
        </w:rPr>
        <w:t>Non-epileptic</w:t>
      </w:r>
      <w:r w:rsidRPr="007364D4">
        <w:rPr>
          <w:szCs w:val="22"/>
        </w:rPr>
        <w:t xml:space="preserve"> Seizures (PNES)</w:t>
      </w:r>
      <w:r>
        <w:rPr>
          <w:szCs w:val="22"/>
        </w:rPr>
        <w:t xml:space="preserve">, </w:t>
      </w:r>
      <w:r w:rsidRPr="004C04D1">
        <w:rPr>
          <w:szCs w:val="22"/>
        </w:rPr>
        <w:t xml:space="preserve">dissociative, psychogenic, </w:t>
      </w:r>
      <w:r>
        <w:rPr>
          <w:szCs w:val="22"/>
        </w:rPr>
        <w:t>and non-epileptic</w:t>
      </w:r>
      <w:r w:rsidRPr="004C04D1">
        <w:rPr>
          <w:szCs w:val="22"/>
        </w:rPr>
        <w:t xml:space="preserve"> </w:t>
      </w:r>
      <w:r>
        <w:rPr>
          <w:szCs w:val="22"/>
        </w:rPr>
        <w:t xml:space="preserve">attacks or seizures </w:t>
      </w:r>
      <w:sdt>
        <w:sdtPr>
          <w:rPr>
            <w:color w:val="000000"/>
            <w:szCs w:val="22"/>
          </w:rPr>
          <w:tag w:val="MENDELEY_CITATION_v3_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"/>
          <w:id w:val="2090291"/>
          <w:placeholder>
            <w:docPart w:val="DE1179DA080434489AD9D03C8790EA02"/>
          </w:placeholder>
        </w:sdtPr>
        <w:sdtContent>
          <w:r w:rsidR="005E4029" w:rsidRPr="005E4029">
            <w:rPr>
              <w:color w:val="000000"/>
              <w:szCs w:val="22"/>
            </w:rPr>
            <w:t>(</w:t>
          </w:r>
          <w:proofErr w:type="spellStart"/>
          <w:r w:rsidR="005E4029" w:rsidRPr="005E4029">
            <w:rPr>
              <w:color w:val="000000"/>
              <w:szCs w:val="22"/>
            </w:rPr>
            <w:t>Asadi-Pooya</w:t>
          </w:r>
          <w:proofErr w:type="spellEnd"/>
          <w:r w:rsidR="005E4029" w:rsidRPr="005E4029">
            <w:rPr>
              <w:color w:val="000000"/>
              <w:szCs w:val="22"/>
            </w:rPr>
            <w:t xml:space="preserve"> et al., 2020; </w:t>
          </w:r>
          <w:proofErr w:type="spellStart"/>
          <w:r w:rsidR="005E4029" w:rsidRPr="005E4029">
            <w:rPr>
              <w:color w:val="000000"/>
              <w:szCs w:val="22"/>
            </w:rPr>
            <w:t>Wardrope</w:t>
          </w:r>
          <w:proofErr w:type="spellEnd"/>
          <w:r w:rsidR="005E4029" w:rsidRPr="005E4029">
            <w:rPr>
              <w:color w:val="000000"/>
              <w:szCs w:val="22"/>
            </w:rPr>
            <w:t xml:space="preserve"> et al., 2021)</w:t>
          </w:r>
        </w:sdtContent>
      </w:sdt>
      <w:r w:rsidRPr="004C04D1">
        <w:rPr>
          <w:szCs w:val="22"/>
        </w:rPr>
        <w:t xml:space="preserve">. </w:t>
      </w:r>
      <w:r>
        <w:rPr>
          <w:szCs w:val="22"/>
        </w:rPr>
        <w:t xml:space="preserve">Just as FS are a subtype of the overarching FNSDs, </w:t>
      </w:r>
      <w:r w:rsidRPr="002E1A1E">
        <w:rPr>
          <w:szCs w:val="22"/>
        </w:rPr>
        <w:t>a similar shift from psychogenic movement disorder</w:t>
      </w:r>
      <w:r w:rsidR="00352F7F">
        <w:rPr>
          <w:szCs w:val="22"/>
        </w:rPr>
        <w:t>"</w:t>
      </w:r>
      <w:r w:rsidRPr="002E1A1E">
        <w:rPr>
          <w:szCs w:val="22"/>
        </w:rPr>
        <w:t xml:space="preserve"> to </w:t>
      </w:r>
      <w:r w:rsidR="00352F7F">
        <w:rPr>
          <w:szCs w:val="22"/>
        </w:rPr>
        <w:t>"</w:t>
      </w:r>
      <w:r w:rsidRPr="002E1A1E">
        <w:rPr>
          <w:szCs w:val="22"/>
        </w:rPr>
        <w:t>functional movement disorder</w:t>
      </w:r>
      <w:r w:rsidR="00352F7F">
        <w:rPr>
          <w:szCs w:val="22"/>
        </w:rPr>
        <w:t>"</w:t>
      </w:r>
      <w:r w:rsidRPr="002E1A1E">
        <w:rPr>
          <w:szCs w:val="22"/>
        </w:rPr>
        <w:t xml:space="preserve"> occurred </w:t>
      </w:r>
      <w:r>
        <w:rPr>
          <w:szCs w:val="22"/>
        </w:rPr>
        <w:t xml:space="preserve">among motor presentation in FNSDs </w:t>
      </w:r>
      <w:r w:rsidRPr="002E1A1E">
        <w:rPr>
          <w:szCs w:val="22"/>
        </w:rPr>
        <w:t xml:space="preserve">in 2014 </w:t>
      </w:r>
      <w:sdt>
        <w:sdtPr>
          <w:rPr>
            <w:color w:val="000000"/>
            <w:szCs w:val="22"/>
          </w:rPr>
          <w:tag w:val="MENDELEY_CITATION_v3_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"/>
          <w:id w:val="1210614938"/>
          <w:placeholder>
            <w:docPart w:val="DE1179DA080434489AD9D03C8790EA02"/>
          </w:placeholder>
        </w:sdtPr>
        <w:sdtContent>
          <w:r w:rsidR="005E4029" w:rsidRPr="005E4029">
            <w:rPr>
              <w:color w:val="000000"/>
              <w:szCs w:val="22"/>
            </w:rPr>
            <w:t>(Edwards et al., 2014)</w:t>
          </w:r>
        </w:sdtContent>
      </w:sdt>
      <w:r w:rsidRPr="002E1A1E">
        <w:rPr>
          <w:szCs w:val="22"/>
        </w:rPr>
        <w:t xml:space="preserve">. </w:t>
      </w:r>
      <w:r w:rsidR="00352F7F">
        <w:rPr>
          <w:szCs w:val="22"/>
        </w:rPr>
        <w:t>"</w:t>
      </w:r>
      <w:r w:rsidRPr="002E1A1E">
        <w:rPr>
          <w:szCs w:val="22"/>
        </w:rPr>
        <w:t>Functional</w:t>
      </w:r>
      <w:r w:rsidR="00352F7F">
        <w:rPr>
          <w:szCs w:val="22"/>
        </w:rPr>
        <w:t>"</w:t>
      </w:r>
      <w:r w:rsidRPr="002E1A1E">
        <w:rPr>
          <w:szCs w:val="22"/>
        </w:rPr>
        <w:t xml:space="preserve"> is a theoretical framing that is etiologically and mechanically neutral, </w:t>
      </w:r>
      <w:r>
        <w:rPr>
          <w:szCs w:val="22"/>
        </w:rPr>
        <w:t>considering</w:t>
      </w:r>
      <w:r w:rsidRPr="002E1A1E">
        <w:rPr>
          <w:szCs w:val="22"/>
        </w:rPr>
        <w:t xml:space="preserve"> individual differences in developing functional neurological symptoms </w:t>
      </w:r>
      <w:sdt>
        <w:sdtPr>
          <w:rPr>
            <w:color w:val="000000"/>
            <w:szCs w:val="22"/>
          </w:rPr>
          <w:tag w:val="MENDELEY_CITATION_v3_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"/>
          <w:id w:val="1683171132"/>
          <w:placeholder>
            <w:docPart w:val="DE1179DA080434489AD9D03C8790EA02"/>
          </w:placeholder>
        </w:sdtPr>
        <w:sdtContent>
          <w:r w:rsidR="005E4029" w:rsidRPr="005E4029">
            <w:rPr>
              <w:color w:val="000000"/>
              <w:szCs w:val="22"/>
            </w:rPr>
            <w:t>(</w:t>
          </w:r>
          <w:proofErr w:type="spellStart"/>
          <w:r w:rsidR="005E4029" w:rsidRPr="005E4029">
            <w:rPr>
              <w:color w:val="000000"/>
              <w:szCs w:val="22"/>
            </w:rPr>
            <w:t>Asadi-Pooya</w:t>
          </w:r>
          <w:proofErr w:type="spellEnd"/>
          <w:r w:rsidR="005E4029" w:rsidRPr="005E4029">
            <w:rPr>
              <w:color w:val="000000"/>
              <w:szCs w:val="22"/>
            </w:rPr>
            <w:t xml:space="preserve"> et al., 2020)</w:t>
          </w:r>
        </w:sdtContent>
      </w:sdt>
      <w:r w:rsidRPr="002E1A1E">
        <w:rPr>
          <w:szCs w:val="22"/>
        </w:rPr>
        <w:t xml:space="preserve">. </w:t>
      </w:r>
      <w:r>
        <w:rPr>
          <w:szCs w:val="22"/>
        </w:rPr>
        <w:t>However, it should be noted</w:t>
      </w:r>
      <w:r w:rsidRPr="002E1A1E">
        <w:rPr>
          <w:szCs w:val="22"/>
        </w:rPr>
        <w:t xml:space="preserve"> that the optimal terminology continues to be debated in the field, </w:t>
      </w:r>
      <w:r>
        <w:rPr>
          <w:szCs w:val="22"/>
        </w:rPr>
        <w:t xml:space="preserve">with no </w:t>
      </w:r>
      <w:r w:rsidRPr="002E1A1E">
        <w:rPr>
          <w:szCs w:val="22"/>
        </w:rPr>
        <w:t>formal consensus yet</w:t>
      </w:r>
      <w:r>
        <w:rPr>
          <w:szCs w:val="22"/>
        </w:rPr>
        <w:t>.</w:t>
      </w:r>
    </w:p>
    <w:p w14:paraId="3C5D7D91" w14:textId="77777777" w:rsidR="00616AAE" w:rsidRPr="00BD7DCF" w:rsidRDefault="00616AAE" w:rsidP="00BD7DCF">
      <w:pPr>
        <w:pStyle w:val="Heading3"/>
      </w:pPr>
      <w:bookmarkStart w:id="13" w:name="_Toc137504659"/>
      <w:r>
        <w:t xml:space="preserve">1.1.3 </w:t>
      </w:r>
      <w:r w:rsidRPr="00BD7DCF">
        <w:t>Epidemiology/</w:t>
      </w:r>
      <w:r>
        <w:t>P</w:t>
      </w:r>
      <w:r w:rsidRPr="00BD7DCF">
        <w:t>revalence</w:t>
      </w:r>
      <w:bookmarkEnd w:id="13"/>
    </w:p>
    <w:p w14:paraId="69A6F426" w14:textId="75F9D4F5" w:rsidR="00616AAE" w:rsidRPr="002E1A1E" w:rsidRDefault="00616AAE" w:rsidP="002E1A1E">
      <w:r>
        <w:t>Historically, the epidemiological study of</w:t>
      </w:r>
      <w:r w:rsidRPr="00BD7DCF">
        <w:t xml:space="preserve"> </w:t>
      </w:r>
      <w:r>
        <w:t>FNSD</w:t>
      </w:r>
      <w:r w:rsidRPr="00BD7DCF">
        <w:t xml:space="preserve">s has been </w:t>
      </w:r>
      <w:r>
        <w:t xml:space="preserve">challenging and </w:t>
      </w:r>
      <w:r w:rsidRPr="00BD7DCF">
        <w:t xml:space="preserve">limited in clinical and research </w:t>
      </w:r>
      <w:r>
        <w:t>practice. M</w:t>
      </w:r>
      <w:r w:rsidRPr="00BD7DCF">
        <w:t>ore recent</w:t>
      </w:r>
      <w:r>
        <w:t xml:space="preserve">ly, </w:t>
      </w:r>
      <w:r w:rsidRPr="00BD7DCF">
        <w:t xml:space="preserve">studies have revealed that these disorders are </w:t>
      </w:r>
      <w:r>
        <w:t xml:space="preserve">relatively </w:t>
      </w:r>
      <w:r w:rsidRPr="00BD7DCF">
        <w:t>widespread</w:t>
      </w:r>
      <w:r>
        <w:t xml:space="preserve"> </w:t>
      </w:r>
      <w:sdt>
        <w:sdtPr>
          <w:rPr>
            <w:color w:val="000000"/>
          </w:rPr>
          <w:tag w:val="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"/>
          <w:id w:val="899710961"/>
          <w:placeholder>
            <w:docPart w:val="E11707C14A687C4394FB968AA7E5B24E"/>
          </w:placeholder>
        </w:sdtPr>
        <w:sdtContent>
          <w:r w:rsidR="005E4029">
            <w:rPr>
              <w:rFonts w:eastAsia="Times New Roman"/>
            </w:rPr>
            <w:t xml:space="preserve">(Akagi &amp; House, 2002; </w:t>
          </w:r>
          <w:proofErr w:type="spellStart"/>
          <w:r w:rsidR="005E4029">
            <w:rPr>
              <w:rFonts w:eastAsia="Times New Roman"/>
            </w:rPr>
            <w:t>Benbadis</w:t>
          </w:r>
          <w:proofErr w:type="spellEnd"/>
          <w:r w:rsidR="005E4029">
            <w:rPr>
              <w:rFonts w:eastAsia="Times New Roman"/>
            </w:rPr>
            <w:t xml:space="preserve"> &amp; Allen Hauser, 2000; </w:t>
          </w:r>
          <w:proofErr w:type="spellStart"/>
          <w:r w:rsidR="005E4029">
            <w:rPr>
              <w:rFonts w:eastAsia="Times New Roman"/>
            </w:rPr>
            <w:t>Binzer</w:t>
          </w:r>
          <w:proofErr w:type="spellEnd"/>
          <w:r w:rsidR="005E4029">
            <w:rPr>
              <w:rFonts w:eastAsia="Times New Roman"/>
            </w:rPr>
            <w:t xml:space="preserve"> et al., 1997; Carson &amp; Lehn, 2016; Duncan et al., 2011; </w:t>
          </w:r>
          <w:proofErr w:type="spellStart"/>
          <w:r w:rsidR="005E4029">
            <w:rPr>
              <w:rFonts w:eastAsia="Times New Roman"/>
            </w:rPr>
            <w:t>Espay</w:t>
          </w:r>
          <w:proofErr w:type="spellEnd"/>
          <w:r w:rsidR="005E4029">
            <w:rPr>
              <w:rFonts w:eastAsia="Times New Roman"/>
            </w:rPr>
            <w:t xml:space="preserve"> et al., 2018; Stone et al., 2010; Szaflarski et al., 2000; </w:t>
          </w:r>
          <w:proofErr w:type="spellStart"/>
          <w:r w:rsidR="005E4029">
            <w:rPr>
              <w:rFonts w:eastAsia="Times New Roman"/>
            </w:rPr>
            <w:t>Villagrán</w:t>
          </w:r>
          <w:proofErr w:type="spellEnd"/>
          <w:r w:rsidR="005E4029">
            <w:rPr>
              <w:rFonts w:eastAsia="Times New Roman"/>
            </w:rPr>
            <w:t xml:space="preserve"> et al., 2021)</w:t>
          </w:r>
        </w:sdtContent>
      </w:sdt>
      <w:r>
        <w:t>. T</w:t>
      </w:r>
      <w:r w:rsidRPr="00092B6B">
        <w:t xml:space="preserve">ightly defined </w:t>
      </w:r>
      <w:r>
        <w:t>FNSD</w:t>
      </w:r>
      <w:r w:rsidRPr="00092B6B">
        <w:t xml:space="preserve"> </w:t>
      </w:r>
      <w:r>
        <w:t>accounts</w:t>
      </w:r>
      <w:r w:rsidRPr="00092B6B">
        <w:t xml:space="preserve"> for 5-10% of new neurological consultations</w:t>
      </w:r>
      <w:r>
        <w:t>,</w:t>
      </w:r>
      <w:r w:rsidRPr="00092B6B">
        <w:t xml:space="preserve"> and conservative incidence estimates </w:t>
      </w:r>
      <w:r>
        <w:t xml:space="preserve">are </w:t>
      </w:r>
      <w:r w:rsidRPr="00092B6B">
        <w:t xml:space="preserve">at </w:t>
      </w:r>
      <w:r>
        <w:t xml:space="preserve">a rate of </w:t>
      </w:r>
      <w:r w:rsidRPr="00092B6B">
        <w:t>12 per 100,000 annually</w:t>
      </w:r>
      <w:r>
        <w:t xml:space="preserve"> </w:t>
      </w:r>
      <w:sdt>
        <w:sdtPr>
          <w:rPr>
            <w:color w:val="000000"/>
          </w:rPr>
          <w:tag w:val="MENDELEY_CITATION_v3_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"/>
          <w:id w:val="1764872293"/>
          <w:placeholder>
            <w:docPart w:val="E11707C14A687C4394FB968AA7E5B24E"/>
          </w:placeholder>
        </w:sdtPr>
        <w:sdtContent>
          <w:r w:rsidR="005E4029">
            <w:rPr>
              <w:rFonts w:eastAsia="Times New Roman"/>
            </w:rPr>
            <w:t>(Carson &amp; Lehn, 2016)</w:t>
          </w:r>
        </w:sdtContent>
      </w:sdt>
      <w:r>
        <w:t xml:space="preserve">. </w:t>
      </w:r>
      <w:r w:rsidRPr="00092B6B">
        <w:t xml:space="preserve">Based on these figures, approximately 8,000 new </w:t>
      </w:r>
      <w:r>
        <w:t>FNSD</w:t>
      </w:r>
      <w:r w:rsidRPr="00092B6B">
        <w:t xml:space="preserve"> diagnoses occur annually in the UK, with an estimated 50,000 to 100,000 individuals affected within the community.</w:t>
      </w:r>
      <w:r>
        <w:t xml:space="preserve"> </w:t>
      </w:r>
      <w:sdt>
        <w:sdtPr>
          <w:rPr>
            <w:color w:val="000000"/>
            <w:szCs w:val="22"/>
          </w:rPr>
          <w:tag w:val="MENDELEY_CITATION_v3_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"/>
          <w:id w:val="-1279027658"/>
          <w:placeholder>
            <w:docPart w:val="E11707C14A687C4394FB968AA7E5B24E"/>
          </w:placeholder>
        </w:sdtPr>
        <w:sdtContent>
          <w:r w:rsidR="005E4029" w:rsidRPr="005E4029">
            <w:rPr>
              <w:color w:val="000000"/>
              <w:szCs w:val="22"/>
            </w:rPr>
            <w:t>Stone et al. (2010)</w:t>
          </w:r>
        </w:sdtContent>
      </w:sdt>
      <w:r w:rsidRPr="00BD7DCF">
        <w:rPr>
          <w:szCs w:val="22"/>
        </w:rPr>
        <w:t xml:space="preserve"> reported that functional and psychological symptoms account for </w:t>
      </w:r>
      <w:r>
        <w:rPr>
          <w:szCs w:val="22"/>
        </w:rPr>
        <w:lastRenderedPageBreak/>
        <w:t>9</w:t>
      </w:r>
      <w:r w:rsidRPr="00BD7DCF">
        <w:rPr>
          <w:szCs w:val="22"/>
        </w:rPr>
        <w:t>% of neurological hospital admissions</w:t>
      </w:r>
      <w:r>
        <w:rPr>
          <w:szCs w:val="22"/>
        </w:rPr>
        <w:t>,</w:t>
      </w:r>
      <w:r w:rsidRPr="00BD7DCF">
        <w:rPr>
          <w:szCs w:val="22"/>
        </w:rPr>
        <w:t xml:space="preserve"> making it the second most common diagnosis after headaches</w:t>
      </w:r>
      <w:r>
        <w:rPr>
          <w:szCs w:val="22"/>
        </w:rPr>
        <w:t>.</w:t>
      </w:r>
      <w:r w:rsidRPr="00BD7DCF">
        <w:rPr>
          <w:szCs w:val="22"/>
        </w:rPr>
        <w:t xml:space="preserve"> </w:t>
      </w:r>
    </w:p>
    <w:p w14:paraId="44F13E41" w14:textId="13065D7A" w:rsidR="00616AAE" w:rsidRPr="002E1A1E" w:rsidRDefault="00616AAE" w:rsidP="002E1A1E">
      <w:pPr>
        <w:autoSpaceDE w:val="0"/>
        <w:autoSpaceDN w:val="0"/>
        <w:adjustRightInd w:val="0"/>
        <w:rPr>
          <w:szCs w:val="22"/>
        </w:rPr>
      </w:pPr>
      <w:r w:rsidRPr="00092B6B">
        <w:rPr>
          <w:szCs w:val="22"/>
        </w:rPr>
        <w:t xml:space="preserve">Incidence rates for motor </w:t>
      </w:r>
      <w:r>
        <w:rPr>
          <w:szCs w:val="22"/>
        </w:rPr>
        <w:t>FNSD</w:t>
      </w:r>
      <w:r w:rsidRPr="00092B6B">
        <w:rPr>
          <w:szCs w:val="22"/>
        </w:rPr>
        <w:t>s have ranged between 4 to 5 incidents per 100,000 population yearly</w:t>
      </w:r>
      <w:r>
        <w:rPr>
          <w:szCs w:val="22"/>
        </w:rPr>
        <w:t>,</w:t>
      </w:r>
      <w:r w:rsidRPr="00092B6B">
        <w:rPr>
          <w:szCs w:val="22"/>
        </w:rPr>
        <w:t xml:space="preserve"> and video electroencephalography-confirmed cases of functional seizures have been reported at 1.5 to 4.9 incidents per 100,000 population per year </w:t>
      </w:r>
      <w:sdt>
        <w:sdtPr>
          <w:rPr>
            <w:color w:val="000000"/>
            <w:szCs w:val="22"/>
          </w:rPr>
          <w:tag w:val="MENDELEY_CITATION_v3_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"/>
          <w:id w:val="1608783890"/>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Binzer</w:t>
          </w:r>
          <w:proofErr w:type="spellEnd"/>
          <w:r w:rsidR="005E4029" w:rsidRPr="005E4029">
            <w:rPr>
              <w:color w:val="000000"/>
              <w:szCs w:val="22"/>
            </w:rPr>
            <w:t xml:space="preserve"> et al., 1997; Duncan et al., 2011; </w:t>
          </w:r>
          <w:proofErr w:type="spellStart"/>
          <w:r w:rsidR="005E4029" w:rsidRPr="005E4029">
            <w:rPr>
              <w:color w:val="000000"/>
              <w:szCs w:val="22"/>
            </w:rPr>
            <w:t>Espay</w:t>
          </w:r>
          <w:proofErr w:type="spellEnd"/>
          <w:r w:rsidR="005E4029" w:rsidRPr="005E4029">
            <w:rPr>
              <w:color w:val="000000"/>
              <w:szCs w:val="22"/>
            </w:rPr>
            <w:t xml:space="preserve"> et al., 2018; Stone et al., 2010; Szaflarski et al., 2000)</w:t>
          </w:r>
        </w:sdtContent>
      </w:sdt>
      <w:r w:rsidRPr="00092B6B">
        <w:rPr>
          <w:szCs w:val="22"/>
        </w:rPr>
        <w:t>. These figures differ depending on the criteria</w:t>
      </w:r>
      <w:r>
        <w:rPr>
          <w:szCs w:val="22"/>
        </w:rPr>
        <w:t xml:space="preserve"> used to define FNSD</w:t>
      </w:r>
      <w:r w:rsidRPr="00092B6B">
        <w:rPr>
          <w:szCs w:val="22"/>
        </w:rPr>
        <w:t xml:space="preserve">s </w:t>
      </w:r>
      <w:r>
        <w:rPr>
          <w:szCs w:val="22"/>
        </w:rPr>
        <w:t xml:space="preserve">and the consideration of </w:t>
      </w:r>
      <w:r w:rsidRPr="00092B6B">
        <w:rPr>
          <w:szCs w:val="22"/>
        </w:rPr>
        <w:t>overlap with other functional symptoms</w:t>
      </w:r>
      <w:r>
        <w:rPr>
          <w:szCs w:val="22"/>
        </w:rPr>
        <w:t>;</w:t>
      </w:r>
      <w:r w:rsidRPr="00092B6B">
        <w:rPr>
          <w:szCs w:val="22"/>
        </w:rPr>
        <w:t xml:space="preserve"> for example, FS </w:t>
      </w:r>
      <w:r>
        <w:rPr>
          <w:szCs w:val="22"/>
        </w:rPr>
        <w:t>has</w:t>
      </w:r>
      <w:r w:rsidRPr="00092B6B">
        <w:rPr>
          <w:szCs w:val="22"/>
        </w:rPr>
        <w:t xml:space="preserve"> been estimated at up to 33/100000 elsewhere </w:t>
      </w:r>
      <w:sdt>
        <w:sdtPr>
          <w:rPr>
            <w:szCs w:val="22"/>
          </w:rPr>
          <w:tag w:val="MENDELEY_CITATION_v3_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"/>
          <w:id w:val="-418098862"/>
          <w:placeholder>
            <w:docPart w:val="E11707C14A687C4394FB968AA7E5B24E"/>
          </w:placeholder>
        </w:sdtPr>
        <w:sdtContent>
          <w:r w:rsidR="005E4029">
            <w:rPr>
              <w:rFonts w:eastAsia="Times New Roman"/>
            </w:rPr>
            <w:t>(</w:t>
          </w:r>
          <w:proofErr w:type="spellStart"/>
          <w:r w:rsidR="005E4029">
            <w:rPr>
              <w:rFonts w:eastAsia="Times New Roman"/>
            </w:rPr>
            <w:t>Benbadis</w:t>
          </w:r>
          <w:proofErr w:type="spellEnd"/>
          <w:r w:rsidR="005E4029">
            <w:rPr>
              <w:rFonts w:eastAsia="Times New Roman"/>
            </w:rPr>
            <w:t xml:space="preserve"> &amp; Allen Hauser, 2000)</w:t>
          </w:r>
        </w:sdtContent>
      </w:sdt>
      <w:r>
        <w:rPr>
          <w:szCs w:val="22"/>
        </w:rPr>
        <w:t xml:space="preserve">. In a more recent study, </w:t>
      </w:r>
      <w:sdt>
        <w:sdtPr>
          <w:rPr>
            <w:color w:val="000000"/>
            <w:szCs w:val="22"/>
          </w:rPr>
          <w:tag w:val="MENDELEY_CITATION_v3_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"/>
          <w:id w:val="-1183048181"/>
          <w:placeholder>
            <w:docPart w:val="E11707C14A687C4394FB968AA7E5B24E"/>
          </w:placeholder>
        </w:sdtPr>
        <w:sdtContent>
          <w:proofErr w:type="spellStart"/>
          <w:r w:rsidR="005E4029" w:rsidRPr="005E4029">
            <w:rPr>
              <w:color w:val="000000"/>
              <w:szCs w:val="22"/>
            </w:rPr>
            <w:t>Villagrán</w:t>
          </w:r>
          <w:proofErr w:type="spellEnd"/>
          <w:r w:rsidR="005E4029" w:rsidRPr="005E4029">
            <w:rPr>
              <w:color w:val="000000"/>
              <w:szCs w:val="22"/>
            </w:rPr>
            <w:t xml:space="preserve"> et al. (2021)</w:t>
          </w:r>
        </w:sdtContent>
      </w:sdt>
      <w:r>
        <w:rPr>
          <w:szCs w:val="22"/>
        </w:rPr>
        <w:t xml:space="preserve"> reported an</w:t>
      </w:r>
      <w:r w:rsidRPr="002E1A1E">
        <w:rPr>
          <w:szCs w:val="22"/>
        </w:rPr>
        <w:t xml:space="preserve"> </w:t>
      </w:r>
      <w:r>
        <w:rPr>
          <w:szCs w:val="22"/>
        </w:rPr>
        <w:t xml:space="preserve">FS </w:t>
      </w:r>
      <w:r w:rsidRPr="002E1A1E">
        <w:rPr>
          <w:szCs w:val="22"/>
        </w:rPr>
        <w:t>prevalence of 23.8/100000</w:t>
      </w:r>
      <w:r>
        <w:rPr>
          <w:szCs w:val="22"/>
        </w:rPr>
        <w:t xml:space="preserve"> at</w:t>
      </w:r>
      <w:r w:rsidRPr="002E1A1E">
        <w:rPr>
          <w:szCs w:val="22"/>
        </w:rPr>
        <w:t xml:space="preserve"> all levels of diagnostic certainty</w:t>
      </w:r>
      <w:r>
        <w:rPr>
          <w:szCs w:val="22"/>
        </w:rPr>
        <w:t>. Still, for</w:t>
      </w:r>
      <w:r w:rsidRPr="002E1A1E">
        <w:rPr>
          <w:szCs w:val="22"/>
        </w:rPr>
        <w:t xml:space="preserve"> the highest </w:t>
      </w:r>
      <w:r>
        <w:rPr>
          <w:szCs w:val="22"/>
        </w:rPr>
        <w:t>diagnostic confidence</w:t>
      </w:r>
      <w:r w:rsidRPr="002E1A1E">
        <w:rPr>
          <w:szCs w:val="22"/>
        </w:rPr>
        <w:t xml:space="preserve"> (video-electroencephalographically confirmed), the prevalence was 10.6/100000</w:t>
      </w:r>
      <w:r>
        <w:rPr>
          <w:szCs w:val="22"/>
        </w:rPr>
        <w:t>.</w:t>
      </w:r>
    </w:p>
    <w:p w14:paraId="75EE2564" w14:textId="0D32A623" w:rsidR="00616AAE" w:rsidRDefault="00616AAE" w:rsidP="002E1A1E">
      <w:pPr>
        <w:autoSpaceDE w:val="0"/>
        <w:autoSpaceDN w:val="0"/>
        <w:adjustRightInd w:val="0"/>
        <w:rPr>
          <w:szCs w:val="22"/>
        </w:rPr>
      </w:pPr>
      <w:r>
        <w:rPr>
          <w:szCs w:val="22"/>
        </w:rPr>
        <w:t>FNSD</w:t>
      </w:r>
      <w:r w:rsidRPr="008C174A">
        <w:rPr>
          <w:szCs w:val="22"/>
        </w:rPr>
        <w:t>s are more commonly found in females, making up 60% to 75% of the patient population and exhibiting a female-to-male ratio of approximately 3:1. This ratio, however, may differ based on the specific presentation of the disorder</w:t>
      </w:r>
      <w:r>
        <w:rPr>
          <w:szCs w:val="22"/>
        </w:rPr>
        <w:t xml:space="preserve">. </w:t>
      </w:r>
      <w:r w:rsidRPr="008C174A">
        <w:rPr>
          <w:szCs w:val="22"/>
        </w:rPr>
        <w:t>Additionally, the proportion of males affected</w:t>
      </w:r>
      <w:r>
        <w:rPr>
          <w:szCs w:val="22"/>
        </w:rPr>
        <w:t xml:space="preserve"> was found</w:t>
      </w:r>
      <w:r w:rsidRPr="008C174A">
        <w:rPr>
          <w:szCs w:val="22"/>
        </w:rPr>
        <w:t xml:space="preserve"> to increase with the age of onset</w:t>
      </w:r>
      <w:r>
        <w:rPr>
          <w:szCs w:val="22"/>
        </w:rPr>
        <w:t xml:space="preserve"> </w:t>
      </w:r>
      <w:sdt>
        <w:sdtPr>
          <w:rPr>
            <w:color w:val="000000"/>
            <w:szCs w:val="22"/>
          </w:rPr>
          <w:tag w:val="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"/>
          <w:id w:val="-1649121815"/>
          <w:placeholder>
            <w:docPart w:val="520A1877F09E6841B9982BB4F476029B"/>
          </w:placeholder>
        </w:sdtPr>
        <w:sdtContent>
          <w:r w:rsidR="005E4029" w:rsidRPr="005E4029">
            <w:rPr>
              <w:color w:val="000000"/>
              <w:szCs w:val="22"/>
            </w:rPr>
            <w:t>(Goldstein et al., 2019)</w:t>
          </w:r>
        </w:sdtContent>
      </w:sdt>
      <w:r w:rsidRPr="008C174A">
        <w:rPr>
          <w:szCs w:val="22"/>
        </w:rPr>
        <w:t xml:space="preserve">. While patients with </w:t>
      </w:r>
      <w:r>
        <w:rPr>
          <w:szCs w:val="22"/>
        </w:rPr>
        <w:t>FNSD</w:t>
      </w:r>
      <w:r w:rsidRPr="008C174A">
        <w:rPr>
          <w:szCs w:val="22"/>
        </w:rPr>
        <w:t xml:space="preserve"> are typically diagnosed in their mid-to-late 30s</w:t>
      </w:r>
      <w:r>
        <w:rPr>
          <w:szCs w:val="22"/>
        </w:rPr>
        <w:t>, FNSD</w:t>
      </w:r>
      <w:r w:rsidRPr="008C174A">
        <w:rPr>
          <w:szCs w:val="22"/>
        </w:rPr>
        <w:t xml:space="preserve">s can appear across all age groups, from young children (though rare before age 10) to individuals in their 80s </w:t>
      </w:r>
      <w:sdt>
        <w:sdtPr>
          <w:rPr>
            <w:color w:val="000000"/>
            <w:szCs w:val="22"/>
          </w:rPr>
          <w:tag w:val="MENDELEY_CITATION_v3_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"/>
          <w:id w:val="1796411593"/>
          <w:placeholder>
            <w:docPart w:val="D121A86E8EA7D441875D2D01BB4C71C1"/>
          </w:placeholder>
        </w:sdtPr>
        <w:sdtContent>
          <w:r w:rsidR="005E4029" w:rsidRPr="005E4029">
            <w:rPr>
              <w:color w:val="000000"/>
              <w:szCs w:val="22"/>
            </w:rPr>
            <w:t>(Bennett et al., 2021)</w:t>
          </w:r>
        </w:sdtContent>
      </w:sdt>
      <w:r w:rsidRPr="008C174A">
        <w:rPr>
          <w:szCs w:val="22"/>
        </w:rPr>
        <w:t>.</w:t>
      </w:r>
      <w:r>
        <w:rPr>
          <w:szCs w:val="22"/>
        </w:rPr>
        <w:t xml:space="preserve"> </w:t>
      </w:r>
    </w:p>
    <w:p w14:paraId="4C1D6F1A" w14:textId="17C21341" w:rsidR="00616AAE" w:rsidRPr="002D7213" w:rsidRDefault="00616AAE" w:rsidP="00216348">
      <w:pPr>
        <w:rPr>
          <w:szCs w:val="22"/>
        </w:rPr>
      </w:pPr>
      <w:r w:rsidRPr="00092B6B">
        <w:rPr>
          <w:szCs w:val="22"/>
        </w:rPr>
        <w:t xml:space="preserve">A significant concern associated with </w:t>
      </w:r>
      <w:r>
        <w:rPr>
          <w:szCs w:val="22"/>
        </w:rPr>
        <w:t>FNSD</w:t>
      </w:r>
      <w:r w:rsidRPr="00092B6B">
        <w:rPr>
          <w:szCs w:val="22"/>
        </w:rPr>
        <w:t xml:space="preserve">s is the possibility of misdiagnosis. </w:t>
      </w:r>
      <w:r>
        <w:rPr>
          <w:szCs w:val="22"/>
        </w:rPr>
        <w:t>However</w:t>
      </w:r>
      <w:r w:rsidRPr="00092B6B">
        <w:rPr>
          <w:szCs w:val="22"/>
        </w:rPr>
        <w:t xml:space="preserve">, an analysis of 27 </w:t>
      </w:r>
      <w:r>
        <w:rPr>
          <w:szCs w:val="22"/>
        </w:rPr>
        <w:t>FNSD</w:t>
      </w:r>
      <w:r w:rsidRPr="00092B6B">
        <w:rPr>
          <w:szCs w:val="22"/>
        </w:rPr>
        <w:t xml:space="preserve"> studies, which included 1,466 participants, showed a consistently low misdiagnosis rate of 4% after an average five-year follow-up period </w:t>
      </w:r>
      <w:sdt>
        <w:sdtPr>
          <w:rPr>
            <w:color w:val="000000"/>
            <w:szCs w:val="22"/>
          </w:rPr>
          <w:tag w:val="MENDELEY_CITATION_v3_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"/>
          <w:id w:val="-172412219"/>
          <w:placeholder>
            <w:docPart w:val="9D7BA5D1CEC19F44B652ADCF5ABA0B50"/>
          </w:placeholder>
        </w:sdtPr>
        <w:sdtContent>
          <w:r w:rsidR="005E4029" w:rsidRPr="005E4029">
            <w:rPr>
              <w:color w:val="000000"/>
              <w:szCs w:val="22"/>
            </w:rPr>
            <w:t>(Stone et al., 2005)</w:t>
          </w:r>
        </w:sdtContent>
      </w:sdt>
      <w:r w:rsidRPr="00092B6B">
        <w:rPr>
          <w:szCs w:val="22"/>
        </w:rPr>
        <w:t xml:space="preserve">. In a subsequent study that focused on patients referred from primary care to </w:t>
      </w:r>
      <w:r>
        <w:rPr>
          <w:szCs w:val="22"/>
        </w:rPr>
        <w:t>specialised</w:t>
      </w:r>
      <w:r w:rsidRPr="00092B6B">
        <w:rPr>
          <w:szCs w:val="22"/>
        </w:rPr>
        <w:t xml:space="preserve"> neurology clinics with diagnoses that could not be explained by</w:t>
      </w:r>
      <w:r>
        <w:rPr>
          <w:szCs w:val="22"/>
        </w:rPr>
        <w:t xml:space="preserve"> alternative diagnoses</w:t>
      </w:r>
      <w:r w:rsidRPr="00092B6B">
        <w:rPr>
          <w:szCs w:val="22"/>
        </w:rPr>
        <w:t xml:space="preserve">, only 0.4% (4 out of 1,030 patients) had their diagnoses revised or received a new neurological </w:t>
      </w:r>
      <w:r>
        <w:rPr>
          <w:szCs w:val="22"/>
        </w:rPr>
        <w:t>diagnosis</w:t>
      </w:r>
      <w:r w:rsidRPr="00092B6B">
        <w:rPr>
          <w:szCs w:val="22"/>
        </w:rPr>
        <w:t xml:space="preserve"> after 18 months of follow-up </w:t>
      </w:r>
      <w:sdt>
        <w:sdtPr>
          <w:rPr>
            <w:color w:val="000000"/>
            <w:szCs w:val="22"/>
          </w:rPr>
          <w:tag w:val="MENDELEY_CITATION_v3_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"/>
          <w:id w:val="-1929339006"/>
          <w:placeholder>
            <w:docPart w:val="9D7BA5D1CEC19F44B652ADCF5ABA0B50"/>
          </w:placeholder>
        </w:sdtPr>
        <w:sdtContent>
          <w:r w:rsidR="005E4029" w:rsidRPr="005E4029">
            <w:rPr>
              <w:color w:val="000000"/>
              <w:szCs w:val="22"/>
            </w:rPr>
            <w:t>(Stone et al., 2009)</w:t>
          </w:r>
        </w:sdtContent>
      </w:sdt>
      <w:r>
        <w:rPr>
          <w:szCs w:val="22"/>
        </w:rPr>
        <w:t xml:space="preserve">. </w:t>
      </w:r>
    </w:p>
    <w:p w14:paraId="203C295D" w14:textId="6C77785A" w:rsidR="00616AAE" w:rsidRPr="006A535C" w:rsidRDefault="00616AAE" w:rsidP="002D7213">
      <w:pPr>
        <w:autoSpaceDE w:val="0"/>
        <w:autoSpaceDN w:val="0"/>
        <w:adjustRightInd w:val="0"/>
        <w:rPr>
          <w:szCs w:val="22"/>
        </w:rPr>
      </w:pPr>
      <w:r>
        <w:rPr>
          <w:szCs w:val="22"/>
        </w:rPr>
        <w:t>FNSD</w:t>
      </w:r>
      <w:r w:rsidRPr="00E87E54">
        <w:rPr>
          <w:szCs w:val="22"/>
        </w:rPr>
        <w:t xml:space="preserve"> symptoms </w:t>
      </w:r>
      <w:r>
        <w:rPr>
          <w:szCs w:val="22"/>
        </w:rPr>
        <w:t>cause</w:t>
      </w:r>
      <w:r w:rsidRPr="00E87E54">
        <w:rPr>
          <w:szCs w:val="22"/>
        </w:rPr>
        <w:t xml:space="preserve"> comparable lev</w:t>
      </w:r>
      <w:r>
        <w:rPr>
          <w:szCs w:val="22"/>
        </w:rPr>
        <w:t>e</w:t>
      </w:r>
      <w:r w:rsidRPr="00E87E54">
        <w:rPr>
          <w:szCs w:val="22"/>
        </w:rPr>
        <w:t>ls of disability to those found in o</w:t>
      </w:r>
      <w:r>
        <w:rPr>
          <w:szCs w:val="22"/>
        </w:rPr>
        <w:t xml:space="preserve">ther </w:t>
      </w:r>
      <w:r w:rsidRPr="00E87E54">
        <w:rPr>
          <w:szCs w:val="22"/>
        </w:rPr>
        <w:t>neurological diseases</w:t>
      </w:r>
      <w:r>
        <w:rPr>
          <w:szCs w:val="22"/>
        </w:rPr>
        <w:t>,</w:t>
      </w:r>
      <w:r w:rsidRPr="00E87E54">
        <w:rPr>
          <w:szCs w:val="22"/>
        </w:rPr>
        <w:t xml:space="preserve"> such as epilepsy or multiple sclerosis</w:t>
      </w:r>
      <w:r>
        <w:rPr>
          <w:szCs w:val="22"/>
        </w:rPr>
        <w:t>,</w:t>
      </w:r>
      <w:r w:rsidRPr="00E87E54">
        <w:rPr>
          <w:szCs w:val="22"/>
        </w:rPr>
        <w:t xml:space="preserve"> while also exhibiting a greater prevalence of psychological comorbidities </w:t>
      </w:r>
      <w:r>
        <w:rPr>
          <w:szCs w:val="22"/>
        </w:rPr>
        <w:t>than</w:t>
      </w:r>
      <w:r w:rsidRPr="00E87E54">
        <w:rPr>
          <w:szCs w:val="22"/>
        </w:rPr>
        <w:t xml:space="preserve"> these disorders</w:t>
      </w:r>
      <w:r>
        <w:rPr>
          <w:szCs w:val="22"/>
        </w:rPr>
        <w:t xml:space="preserve"> </w:t>
      </w:r>
      <w:sdt>
        <w:sdtPr>
          <w:rPr>
            <w:color w:val="000000"/>
            <w:szCs w:val="22"/>
          </w:rPr>
          <w:tag w:val="MENDELEY_CITATION_v3_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"/>
          <w:id w:val="-1838449209"/>
          <w:placeholder>
            <w:docPart w:val="E11707C14A687C4394FB968AA7E5B24E"/>
          </w:placeholder>
        </w:sdtPr>
        <w:sdtContent>
          <w:r w:rsidR="005E4029" w:rsidRPr="005E4029">
            <w:rPr>
              <w:color w:val="000000"/>
              <w:szCs w:val="22"/>
            </w:rPr>
            <w:t>(Carson et al., 2011)</w:t>
          </w:r>
        </w:sdtContent>
      </w:sdt>
      <w:r w:rsidRPr="00E87E54">
        <w:rPr>
          <w:szCs w:val="22"/>
        </w:rPr>
        <w:t xml:space="preserve">. </w:t>
      </w:r>
      <w:r>
        <w:rPr>
          <w:szCs w:val="22"/>
        </w:rPr>
        <w:t>FNSDs are</w:t>
      </w:r>
      <w:r w:rsidRPr="00E87E54">
        <w:rPr>
          <w:szCs w:val="22"/>
        </w:rPr>
        <w:t xml:space="preserve"> associated with high </w:t>
      </w:r>
      <w:r>
        <w:rPr>
          <w:szCs w:val="22"/>
        </w:rPr>
        <w:t>healthcare utilisation rates and</w:t>
      </w:r>
      <w:r w:rsidRPr="00E87E54">
        <w:rPr>
          <w:szCs w:val="22"/>
        </w:rPr>
        <w:t xml:space="preserve"> costs</w:t>
      </w:r>
      <w:r>
        <w:rPr>
          <w:szCs w:val="22"/>
        </w:rPr>
        <w:t xml:space="preserve"> </w:t>
      </w:r>
      <w:sdt>
        <w:sdtPr>
          <w:rPr>
            <w:color w:val="000000"/>
            <w:szCs w:val="22"/>
          </w:rPr>
          <w:tag w:val="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"/>
          <w:id w:val="995915707"/>
          <w:placeholder>
            <w:docPart w:val="E11707C14A687C4394FB968AA7E5B24E"/>
          </w:placeholder>
        </w:sdtPr>
        <w:sdtContent>
          <w:r w:rsidR="005E4029" w:rsidRPr="005E4029">
            <w:rPr>
              <w:color w:val="000000"/>
              <w:szCs w:val="22"/>
            </w:rPr>
            <w:t>(Gallagher et al., 2013; Stone et al., 2010)</w:t>
          </w:r>
        </w:sdtContent>
      </w:sdt>
      <w:r w:rsidRPr="00E87E54">
        <w:rPr>
          <w:szCs w:val="22"/>
        </w:rPr>
        <w:t xml:space="preserve">. The estimated total annual healthcare cost of </w:t>
      </w:r>
      <w:r>
        <w:rPr>
          <w:szCs w:val="22"/>
        </w:rPr>
        <w:t>FNSD</w:t>
      </w:r>
      <w:r w:rsidRPr="00E87E54">
        <w:rPr>
          <w:szCs w:val="22"/>
        </w:rPr>
        <w:t>, narrowly defined in a recent study from the USA</w:t>
      </w:r>
      <w:r>
        <w:rPr>
          <w:szCs w:val="22"/>
        </w:rPr>
        <w:t>,</w:t>
      </w:r>
      <w:r w:rsidRPr="00E87E54">
        <w:rPr>
          <w:szCs w:val="22"/>
        </w:rPr>
        <w:t xml:space="preserve"> equate</w:t>
      </w:r>
      <w:r>
        <w:rPr>
          <w:szCs w:val="22"/>
        </w:rPr>
        <w:t>d</w:t>
      </w:r>
      <w:r w:rsidRPr="00E87E54">
        <w:rPr>
          <w:szCs w:val="22"/>
        </w:rPr>
        <w:t xml:space="preserve"> to $900 million </w:t>
      </w:r>
      <w:sdt>
        <w:sdtPr>
          <w:rPr>
            <w:color w:val="000000"/>
            <w:szCs w:val="22"/>
          </w:rPr>
          <w:tag w:val="MENDELEY_CITATION_v3_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"/>
          <w:id w:val="1219932293"/>
          <w:placeholder>
            <w:docPart w:val="E11707C14A687C4394FB968AA7E5B24E"/>
          </w:placeholder>
        </w:sdtPr>
        <w:sdtContent>
          <w:r w:rsidR="005E4029" w:rsidRPr="005E4029">
            <w:rPr>
              <w:color w:val="000000"/>
              <w:szCs w:val="22"/>
            </w:rPr>
            <w:t xml:space="preserve">(C. </w:t>
          </w:r>
          <w:r w:rsidR="005E4029" w:rsidRPr="005E4029">
            <w:rPr>
              <w:color w:val="000000"/>
              <w:szCs w:val="22"/>
            </w:rPr>
            <w:lastRenderedPageBreak/>
            <w:t>Stephen et al., 2021)</w:t>
          </w:r>
        </w:sdtContent>
      </w:sdt>
      <w:r w:rsidRPr="00E87E54">
        <w:rPr>
          <w:szCs w:val="22"/>
        </w:rPr>
        <w:t>.</w:t>
      </w:r>
      <w:r>
        <w:rPr>
          <w:szCs w:val="22"/>
        </w:rPr>
        <w:t xml:space="preserve"> </w:t>
      </w:r>
      <w:r w:rsidRPr="00E87E54">
        <w:rPr>
          <w:szCs w:val="22"/>
        </w:rPr>
        <w:t xml:space="preserve">Functional seizures </w:t>
      </w:r>
      <w:r>
        <w:rPr>
          <w:szCs w:val="22"/>
        </w:rPr>
        <w:t xml:space="preserve">were found to </w:t>
      </w:r>
      <w:r w:rsidRPr="00E87E54">
        <w:rPr>
          <w:szCs w:val="22"/>
        </w:rPr>
        <w:t xml:space="preserve">represent around 10% of all seizures in the </w:t>
      </w:r>
      <w:r>
        <w:rPr>
          <w:szCs w:val="22"/>
        </w:rPr>
        <w:t xml:space="preserve">emergency department </w:t>
      </w:r>
      <w:sdt>
        <w:sdtPr>
          <w:rPr>
            <w:color w:val="000000"/>
            <w:szCs w:val="22"/>
          </w:rPr>
          <w:tag w:val="MENDELEY_CITATION_v3_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"/>
          <w:id w:val="-18554217"/>
          <w:placeholder>
            <w:docPart w:val="E11707C14A687C4394FB968AA7E5B24E"/>
          </w:placeholder>
        </w:sdtPr>
        <w:sdtContent>
          <w:r w:rsidR="005E4029" w:rsidRPr="005E4029">
            <w:rPr>
              <w:color w:val="000000"/>
              <w:szCs w:val="22"/>
            </w:rPr>
            <w:t>(Dickson et al., 2017)</w:t>
          </w:r>
        </w:sdtContent>
      </w:sdt>
      <w:r>
        <w:rPr>
          <w:color w:val="000000"/>
          <w:szCs w:val="22"/>
        </w:rPr>
        <w:t>, while p</w:t>
      </w:r>
      <w:r w:rsidRPr="00871F44">
        <w:rPr>
          <w:color w:val="000000"/>
          <w:szCs w:val="22"/>
        </w:rPr>
        <w:t xml:space="preserve">rolonged </w:t>
      </w:r>
      <w:r>
        <w:rPr>
          <w:color w:val="000000"/>
          <w:szCs w:val="22"/>
        </w:rPr>
        <w:t>seizures</w:t>
      </w:r>
      <w:r w:rsidRPr="00871F44">
        <w:rPr>
          <w:color w:val="000000"/>
          <w:szCs w:val="22"/>
        </w:rPr>
        <w:t xml:space="preserve"> </w:t>
      </w:r>
      <w:r>
        <w:rPr>
          <w:color w:val="000000"/>
          <w:szCs w:val="22"/>
        </w:rPr>
        <w:t>we</w:t>
      </w:r>
      <w:r w:rsidRPr="00871F44">
        <w:rPr>
          <w:color w:val="000000"/>
          <w:szCs w:val="22"/>
        </w:rPr>
        <w:t>re reported by 78% of patients with PNES and led to emergency admissions to the intensive care unit (ICU) in 18%–27% of patients</w:t>
      </w:r>
      <w:r>
        <w:rPr>
          <w:color w:val="000000"/>
          <w:szCs w:val="22"/>
        </w:rPr>
        <w:t xml:space="preserve"> </w:t>
      </w:r>
      <w:sdt>
        <w:sdtPr>
          <w:rPr>
            <w:color w:val="000000"/>
            <w:szCs w:val="22"/>
          </w:rPr>
          <w:tag w:val="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"/>
          <w:id w:val="-1233690349"/>
          <w:placeholder>
            <w:docPart w:val="E11707C14A687C4394FB968AA7E5B24E"/>
          </w:placeholder>
        </w:sdtPr>
        <w:sdtContent>
          <w:r w:rsidR="005E4029" w:rsidRPr="005E4029">
            <w:rPr>
              <w:color w:val="000000"/>
              <w:szCs w:val="22"/>
            </w:rPr>
            <w:t xml:space="preserve">(Reuber, </w:t>
          </w:r>
          <w:proofErr w:type="spellStart"/>
          <w:r w:rsidR="005E4029" w:rsidRPr="005E4029">
            <w:rPr>
              <w:color w:val="000000"/>
              <w:szCs w:val="22"/>
            </w:rPr>
            <w:t>Pukrop</w:t>
          </w:r>
          <w:proofErr w:type="spellEnd"/>
          <w:r w:rsidR="005E4029" w:rsidRPr="005E4029">
            <w:rPr>
              <w:color w:val="000000"/>
              <w:szCs w:val="22"/>
            </w:rPr>
            <w:t>, Mitchell, et al., 2003; Seneviratne et al., 2019)</w:t>
          </w:r>
        </w:sdtContent>
      </w:sdt>
      <w:r>
        <w:rPr>
          <w:color w:val="000000"/>
          <w:szCs w:val="22"/>
        </w:rPr>
        <w:t xml:space="preserve">. </w:t>
      </w:r>
      <w:r>
        <w:rPr>
          <w:szCs w:val="22"/>
        </w:rPr>
        <w:t xml:space="preserve">A recent study showed that 8.1% </w:t>
      </w:r>
      <w:r w:rsidRPr="00E87E54">
        <w:rPr>
          <w:szCs w:val="22"/>
        </w:rPr>
        <w:t xml:space="preserve">of </w:t>
      </w:r>
      <w:r>
        <w:rPr>
          <w:szCs w:val="22"/>
        </w:rPr>
        <w:t xml:space="preserve">presentations with prolonged seizures </w:t>
      </w:r>
      <w:r w:rsidRPr="00E87E54">
        <w:rPr>
          <w:szCs w:val="22"/>
        </w:rPr>
        <w:t xml:space="preserve">resulting in </w:t>
      </w:r>
      <w:r>
        <w:rPr>
          <w:szCs w:val="22"/>
        </w:rPr>
        <w:t>treatment for status epilepticus</w:t>
      </w:r>
      <w:r w:rsidRPr="00E87E54">
        <w:rPr>
          <w:szCs w:val="22"/>
        </w:rPr>
        <w:t xml:space="preserve"> </w:t>
      </w:r>
      <w:r>
        <w:rPr>
          <w:szCs w:val="22"/>
        </w:rPr>
        <w:t>were found to be</w:t>
      </w:r>
      <w:r w:rsidRPr="00E87E54">
        <w:rPr>
          <w:szCs w:val="22"/>
        </w:rPr>
        <w:t xml:space="preserve"> </w:t>
      </w:r>
      <w:r>
        <w:rPr>
          <w:szCs w:val="22"/>
        </w:rPr>
        <w:t>FNSD</w:t>
      </w:r>
      <w:r w:rsidRPr="00E87E54">
        <w:rPr>
          <w:szCs w:val="22"/>
        </w:rPr>
        <w:t xml:space="preserve"> seizures and not epilepsy</w:t>
      </w:r>
      <w:r>
        <w:rPr>
          <w:szCs w:val="22"/>
        </w:rPr>
        <w:t xml:space="preserve"> </w:t>
      </w:r>
      <w:sdt>
        <w:sdtPr>
          <w:rPr>
            <w:color w:val="000000"/>
            <w:szCs w:val="22"/>
          </w:rPr>
          <w:tag w:val="MENDELEY_CITATION_v3_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"/>
          <w:id w:val="645475490"/>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Jungilligens</w:t>
          </w:r>
          <w:proofErr w:type="spellEnd"/>
          <w:r w:rsidR="005E4029" w:rsidRPr="005E4029">
            <w:rPr>
              <w:color w:val="000000"/>
              <w:szCs w:val="22"/>
            </w:rPr>
            <w:t xml:space="preserve"> et al., 2021)</w:t>
          </w:r>
        </w:sdtContent>
      </w:sdt>
      <w:r w:rsidRPr="00E87E54">
        <w:rPr>
          <w:szCs w:val="22"/>
        </w:rPr>
        <w:t>.</w:t>
      </w:r>
      <w:r>
        <w:rPr>
          <w:szCs w:val="22"/>
        </w:rPr>
        <w:t xml:space="preserve"> </w:t>
      </w:r>
      <w:r w:rsidRPr="00E87E54">
        <w:rPr>
          <w:szCs w:val="22"/>
        </w:rPr>
        <w:t xml:space="preserve">Though comprehensive data on the global epidemiology of </w:t>
      </w:r>
      <w:r>
        <w:rPr>
          <w:szCs w:val="22"/>
        </w:rPr>
        <w:t>FNSD</w:t>
      </w:r>
      <w:r w:rsidRPr="00E87E54">
        <w:rPr>
          <w:szCs w:val="22"/>
        </w:rPr>
        <w:t xml:space="preserve"> remains limited, existing research</w:t>
      </w:r>
      <w:r>
        <w:rPr>
          <w:szCs w:val="22"/>
        </w:rPr>
        <w:t xml:space="preserve"> underscores</w:t>
      </w:r>
      <w:r w:rsidRPr="00E87E54">
        <w:rPr>
          <w:szCs w:val="22"/>
        </w:rPr>
        <w:t xml:space="preserve"> the importance of addressing this area of neurological disorders</w:t>
      </w:r>
      <w:r>
        <w:rPr>
          <w:szCs w:val="22"/>
        </w:rPr>
        <w:t>.</w:t>
      </w:r>
    </w:p>
    <w:p w14:paraId="3F0BA45C" w14:textId="77777777" w:rsidR="00616AAE" w:rsidRPr="00BD7DCF" w:rsidRDefault="00616AAE" w:rsidP="00BD7DCF">
      <w:pPr>
        <w:pStyle w:val="Heading3"/>
      </w:pPr>
      <w:bookmarkStart w:id="14" w:name="_Toc137504660"/>
      <w:r>
        <w:t>1.1.4 Aetiology/</w:t>
      </w:r>
      <w:r w:rsidRPr="00BD7DCF">
        <w:t>Pathophysiology</w:t>
      </w:r>
      <w:bookmarkEnd w:id="14"/>
    </w:p>
    <w:p w14:paraId="3CAD3384" w14:textId="4E154B5B" w:rsidR="00616AAE" w:rsidRDefault="00616AAE" w:rsidP="0040466E">
      <w:pPr>
        <w:autoSpaceDE w:val="0"/>
        <w:autoSpaceDN w:val="0"/>
        <w:adjustRightInd w:val="0"/>
        <w:rPr>
          <w:szCs w:val="22"/>
        </w:rPr>
      </w:pPr>
      <w:r>
        <w:rPr>
          <w:szCs w:val="22"/>
        </w:rPr>
        <w:t>FNSD</w:t>
      </w:r>
      <w:r w:rsidRPr="00D162E4">
        <w:rPr>
          <w:szCs w:val="22"/>
        </w:rPr>
        <w:t xml:space="preserve">s are marked by diverse </w:t>
      </w:r>
      <w:r>
        <w:rPr>
          <w:szCs w:val="22"/>
        </w:rPr>
        <w:t xml:space="preserve">aetiology </w:t>
      </w:r>
      <w:sdt>
        <w:sdtPr>
          <w:rPr>
            <w:color w:val="000000"/>
            <w:szCs w:val="22"/>
          </w:rPr>
          <w:tag w:val="MENDELEY_CITATION_v3_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"/>
          <w:id w:val="1734190284"/>
          <w:placeholder>
            <w:docPart w:val="E11707C14A687C4394FB968AA7E5B24E"/>
          </w:placeholder>
        </w:sdtPr>
        <w:sdtContent>
          <w:r w:rsidR="005E4029">
            <w:rPr>
              <w:rFonts w:eastAsia="Times New Roman"/>
            </w:rPr>
            <w:t xml:space="preserve">(R. J. Brown &amp; Reuber, 2016a; </w:t>
          </w:r>
          <w:proofErr w:type="spellStart"/>
          <w:r w:rsidR="005E4029">
            <w:rPr>
              <w:rFonts w:eastAsia="Times New Roman"/>
            </w:rPr>
            <w:t>Fobian</w:t>
          </w:r>
          <w:proofErr w:type="spellEnd"/>
          <w:r w:rsidR="005E4029">
            <w:rPr>
              <w:rFonts w:eastAsia="Times New Roman"/>
            </w:rPr>
            <w:t xml:space="preserve"> &amp; Elliott, 2019)</w:t>
          </w:r>
        </w:sdtContent>
      </w:sdt>
      <w:r>
        <w:rPr>
          <w:szCs w:val="22"/>
        </w:rPr>
        <w:t>. Ae</w:t>
      </w:r>
      <w:r w:rsidRPr="00D162E4">
        <w:rPr>
          <w:szCs w:val="22"/>
        </w:rPr>
        <w:t xml:space="preserve">tiological factors may include sexual and physical abuse, </w:t>
      </w:r>
      <w:r>
        <w:rPr>
          <w:szCs w:val="22"/>
        </w:rPr>
        <w:t xml:space="preserve">neglect, </w:t>
      </w:r>
      <w:r w:rsidRPr="00D162E4">
        <w:rPr>
          <w:szCs w:val="22"/>
        </w:rPr>
        <w:t xml:space="preserve">depression, chronic anxiety, and trauma-related disorders </w:t>
      </w:r>
      <w:sdt>
        <w:sdtPr>
          <w:rPr>
            <w:color w:val="000000"/>
            <w:szCs w:val="22"/>
          </w:rPr>
          <w:tag w:val="MENDELEY_CITATION_v3_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"/>
          <w:id w:val="91061752"/>
          <w:placeholder>
            <w:docPart w:val="E11707C14A687C4394FB968AA7E5B24E"/>
          </w:placeholder>
        </w:sdtPr>
        <w:sdtContent>
          <w:r w:rsidR="005E4029" w:rsidRPr="005E4029">
            <w:rPr>
              <w:color w:val="000000"/>
              <w:szCs w:val="22"/>
            </w:rPr>
            <w:t xml:space="preserve">(N. M. </w:t>
          </w:r>
          <w:proofErr w:type="spellStart"/>
          <w:r w:rsidR="005E4029" w:rsidRPr="005E4029">
            <w:rPr>
              <w:color w:val="000000"/>
              <w:szCs w:val="22"/>
            </w:rPr>
            <w:t>Bodde</w:t>
          </w:r>
          <w:proofErr w:type="spellEnd"/>
          <w:r w:rsidR="005E4029" w:rsidRPr="005E4029">
            <w:rPr>
              <w:color w:val="000000"/>
              <w:szCs w:val="22"/>
            </w:rPr>
            <w:t xml:space="preserve"> et al., 2009)</w:t>
          </w:r>
        </w:sdtContent>
      </w:sdt>
      <w:r>
        <w:rPr>
          <w:szCs w:val="22"/>
        </w:rPr>
        <w:t>.</w:t>
      </w:r>
    </w:p>
    <w:p w14:paraId="5B9E1D7A" w14:textId="31FFA0F8" w:rsidR="00616AAE" w:rsidRPr="0040466E" w:rsidRDefault="00616AAE" w:rsidP="0040466E">
      <w:pPr>
        <w:autoSpaceDE w:val="0"/>
        <w:autoSpaceDN w:val="0"/>
        <w:adjustRightInd w:val="0"/>
        <w:rPr>
          <w:szCs w:val="22"/>
        </w:rPr>
      </w:pPr>
      <w:r w:rsidRPr="0040466E">
        <w:rPr>
          <w:szCs w:val="22"/>
        </w:rPr>
        <w:t xml:space="preserve">The aetiology and pathophysiology of </w:t>
      </w:r>
      <w:r>
        <w:rPr>
          <w:szCs w:val="22"/>
        </w:rPr>
        <w:t>FNSDs</w:t>
      </w:r>
      <w:r w:rsidRPr="0040466E">
        <w:rPr>
          <w:szCs w:val="22"/>
        </w:rPr>
        <w:t xml:space="preserve"> remain complex and not yet fully elucidated, but ongoing research continues to unveil aspects of these disorders</w:t>
      </w:r>
      <w:r>
        <w:rPr>
          <w:szCs w:val="22"/>
        </w:rPr>
        <w:t xml:space="preserve"> </w:t>
      </w:r>
      <w:sdt>
        <w:sdtPr>
          <w:rPr>
            <w:color w:val="000000"/>
            <w:szCs w:val="22"/>
          </w:rPr>
          <w:tag w:val="MENDELEY_CITATION_v3_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"/>
          <w:id w:val="-1014532600"/>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Drane</w:t>
          </w:r>
          <w:proofErr w:type="spellEnd"/>
          <w:r w:rsidR="005E4029" w:rsidRPr="005E4029">
            <w:rPr>
              <w:color w:val="000000"/>
              <w:szCs w:val="22"/>
            </w:rPr>
            <w:t xml:space="preserve"> et al., 2021)</w:t>
          </w:r>
        </w:sdtContent>
      </w:sdt>
      <w:r w:rsidRPr="0040466E">
        <w:rPr>
          <w:szCs w:val="22"/>
        </w:rPr>
        <w:t xml:space="preserve">. </w:t>
      </w:r>
    </w:p>
    <w:p w14:paraId="5BDDB8F2" w14:textId="6941E217" w:rsidR="00616AAE" w:rsidRPr="0040466E" w:rsidRDefault="00616AAE" w:rsidP="0040466E">
      <w:pPr>
        <w:autoSpaceDE w:val="0"/>
        <w:autoSpaceDN w:val="0"/>
        <w:adjustRightInd w:val="0"/>
        <w:rPr>
          <w:szCs w:val="22"/>
        </w:rPr>
      </w:pPr>
      <w:r w:rsidRPr="0040466E">
        <w:rPr>
          <w:szCs w:val="22"/>
        </w:rPr>
        <w:t xml:space="preserve">Several theories attempt to explain the pathological mechanism underlying </w:t>
      </w:r>
      <w:r>
        <w:rPr>
          <w:szCs w:val="22"/>
        </w:rPr>
        <w:t>f</w:t>
      </w:r>
      <w:r w:rsidRPr="0040466E">
        <w:rPr>
          <w:szCs w:val="22"/>
        </w:rPr>
        <w:t xml:space="preserve">unctional symptoms. </w:t>
      </w:r>
      <w:sdt>
        <w:sdtPr>
          <w:rPr>
            <w:color w:val="000000"/>
            <w:szCs w:val="22"/>
          </w:rPr>
          <w:tag w:val="MENDELEY_CITATION_v3_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"/>
          <w:id w:val="-232787598"/>
          <w:placeholder>
            <w:docPart w:val="E11707C14A687C4394FB968AA7E5B24E"/>
          </w:placeholder>
        </w:sdtPr>
        <w:sdtContent>
          <w:proofErr w:type="spellStart"/>
          <w:r w:rsidR="005E4029" w:rsidRPr="005E4029">
            <w:rPr>
              <w:color w:val="000000"/>
              <w:szCs w:val="22"/>
            </w:rPr>
            <w:t>Baslet</w:t>
          </w:r>
          <w:proofErr w:type="spellEnd"/>
          <w:r w:rsidR="005E4029" w:rsidRPr="005E4029">
            <w:rPr>
              <w:color w:val="000000"/>
              <w:szCs w:val="22"/>
            </w:rPr>
            <w:t xml:space="preserve"> (2011),</w:t>
          </w:r>
        </w:sdtContent>
      </w:sdt>
      <w:r w:rsidRPr="0040466E">
        <w:rPr>
          <w:szCs w:val="22"/>
        </w:rPr>
        <w:t xml:space="preserve"> for example, postulates that functional seizures represent a protective behaviour, where a stimulus with emotional valence </w:t>
      </w:r>
      <w:r>
        <w:rPr>
          <w:szCs w:val="22"/>
        </w:rPr>
        <w:t>destabilises</w:t>
      </w:r>
      <w:r w:rsidRPr="0040466E">
        <w:rPr>
          <w:szCs w:val="22"/>
        </w:rPr>
        <w:t xml:space="preserve"> the cognitive-emotional system, leading to a loss of integrity in emotional, cognitive, and sensorimotor processes, which subsequently operate autonomously and manifest as a seizure for example.</w:t>
      </w:r>
    </w:p>
    <w:p w14:paraId="640CFDC5" w14:textId="7ED2A43D" w:rsidR="00616AAE" w:rsidRPr="0040466E" w:rsidRDefault="00616AAE" w:rsidP="0040466E">
      <w:pPr>
        <w:autoSpaceDE w:val="0"/>
        <w:autoSpaceDN w:val="0"/>
        <w:adjustRightInd w:val="0"/>
        <w:rPr>
          <w:szCs w:val="22"/>
        </w:rPr>
      </w:pPr>
      <w:r w:rsidRPr="0040466E">
        <w:rPr>
          <w:szCs w:val="22"/>
        </w:rPr>
        <w:t xml:space="preserve">A multidimensional biopsychosocial model has gained increasing support in explaining the development and maintenance of </w:t>
      </w:r>
      <w:r>
        <w:rPr>
          <w:szCs w:val="22"/>
        </w:rPr>
        <w:t>FNSD</w:t>
      </w:r>
      <w:r w:rsidRPr="0040466E">
        <w:rPr>
          <w:szCs w:val="22"/>
        </w:rPr>
        <w:t xml:space="preserve">s. According to this model, </w:t>
      </w:r>
      <w:r>
        <w:rPr>
          <w:szCs w:val="22"/>
        </w:rPr>
        <w:t>FNSD</w:t>
      </w:r>
      <w:r w:rsidRPr="0040466E">
        <w:rPr>
          <w:szCs w:val="22"/>
        </w:rPr>
        <w:t xml:space="preserve">s arise from </w:t>
      </w:r>
      <w:r>
        <w:rPr>
          <w:szCs w:val="22"/>
        </w:rPr>
        <w:t xml:space="preserve">the </w:t>
      </w:r>
      <w:r w:rsidRPr="0040466E">
        <w:rPr>
          <w:szCs w:val="22"/>
        </w:rPr>
        <w:t>inter</w:t>
      </w:r>
      <w:r>
        <w:rPr>
          <w:szCs w:val="22"/>
        </w:rPr>
        <w:t xml:space="preserve">action </w:t>
      </w:r>
      <w:r w:rsidRPr="0040466E">
        <w:rPr>
          <w:szCs w:val="22"/>
        </w:rPr>
        <w:t xml:space="preserve">between genetic predispositions, neurobiological vulnerabilities, and environmental influences, such as psychosocial stressors </w:t>
      </w:r>
      <w:sdt>
        <w:sdtPr>
          <w:rPr>
            <w:color w:val="000000"/>
            <w:szCs w:val="22"/>
          </w:rPr>
          <w:tag w:val="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"/>
          <w:id w:val="398560641"/>
          <w:placeholder>
            <w:docPart w:val="E11707C14A687C4394FB968AA7E5B24E"/>
          </w:placeholder>
        </w:sdtPr>
        <w:sdtContent>
          <w:r w:rsidR="005E4029">
            <w:rPr>
              <w:rFonts w:eastAsia="Times New Roman"/>
            </w:rPr>
            <w:t>(</w:t>
          </w:r>
          <w:proofErr w:type="spellStart"/>
          <w:r w:rsidR="005E4029">
            <w:rPr>
              <w:rFonts w:eastAsia="Times New Roman"/>
            </w:rPr>
            <w:t>Drane</w:t>
          </w:r>
          <w:proofErr w:type="spellEnd"/>
          <w:r w:rsidR="005E4029">
            <w:rPr>
              <w:rFonts w:eastAsia="Times New Roman"/>
            </w:rPr>
            <w:t xml:space="preserve"> et al., 2021; Elliott &amp; </w:t>
          </w:r>
          <w:proofErr w:type="spellStart"/>
          <w:r w:rsidR="005E4029">
            <w:rPr>
              <w:rFonts w:eastAsia="Times New Roman"/>
            </w:rPr>
            <w:t>Charyton</w:t>
          </w:r>
          <w:proofErr w:type="spellEnd"/>
          <w:r w:rsidR="005E4029">
            <w:rPr>
              <w:rFonts w:eastAsia="Times New Roman"/>
            </w:rPr>
            <w:t xml:space="preserve">, 2014; </w:t>
          </w:r>
          <w:proofErr w:type="spellStart"/>
          <w:r w:rsidR="005E4029">
            <w:rPr>
              <w:rFonts w:eastAsia="Times New Roman"/>
            </w:rPr>
            <w:t>Ertan</w:t>
          </w:r>
          <w:proofErr w:type="spellEnd"/>
          <w:r w:rsidR="005E4029">
            <w:rPr>
              <w:rFonts w:eastAsia="Times New Roman"/>
            </w:rPr>
            <w:t xml:space="preserve"> et al., 2022; Pick et al., 2019; Reuber, 2009)</w:t>
          </w:r>
        </w:sdtContent>
      </w:sdt>
      <w:r>
        <w:rPr>
          <w:szCs w:val="22"/>
        </w:rPr>
        <w:t>.</w:t>
      </w:r>
      <w:r w:rsidRPr="0040466E">
        <w:rPr>
          <w:szCs w:val="22"/>
        </w:rPr>
        <w:t xml:space="preserve"> Research has shown that certain genetic factors may predispose individuals to develop </w:t>
      </w:r>
      <w:r>
        <w:rPr>
          <w:szCs w:val="22"/>
        </w:rPr>
        <w:t>FNSD</w:t>
      </w:r>
      <w:r w:rsidRPr="0040466E">
        <w:rPr>
          <w:szCs w:val="22"/>
        </w:rPr>
        <w:t>s, while early life stressors, such as physical or sexual abuse, are also associated with increased risk</w:t>
      </w:r>
      <w:r>
        <w:rPr>
          <w:szCs w:val="22"/>
        </w:rPr>
        <w:t xml:space="preserve"> </w:t>
      </w:r>
      <w:sdt>
        <w:sdtPr>
          <w:rPr>
            <w:color w:val="000000"/>
            <w:szCs w:val="22"/>
          </w:rPr>
          <w:tag w:val="MENDELEY_CITATION_v3_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"/>
          <w:id w:val="-1717342908"/>
          <w:placeholder>
            <w:docPart w:val="E11707C14A687C4394FB968AA7E5B24E"/>
          </w:placeholder>
        </w:sdtPr>
        <w:sdtContent>
          <w:r w:rsidR="005E4029" w:rsidRPr="005E4029">
            <w:rPr>
              <w:color w:val="000000"/>
              <w:szCs w:val="22"/>
            </w:rPr>
            <w:t>(Ludwig et al., 2018)</w:t>
          </w:r>
        </w:sdtContent>
      </w:sdt>
      <w:r>
        <w:rPr>
          <w:szCs w:val="22"/>
        </w:rPr>
        <w:t>.</w:t>
      </w:r>
    </w:p>
    <w:p w14:paraId="617050F2" w14:textId="1A4A5108" w:rsidR="00616AAE" w:rsidRPr="0040466E" w:rsidRDefault="00616AAE" w:rsidP="0040466E">
      <w:pPr>
        <w:autoSpaceDE w:val="0"/>
        <w:autoSpaceDN w:val="0"/>
        <w:adjustRightInd w:val="0"/>
        <w:rPr>
          <w:szCs w:val="22"/>
        </w:rPr>
      </w:pPr>
      <w:r w:rsidRPr="0040466E">
        <w:rPr>
          <w:szCs w:val="22"/>
        </w:rPr>
        <w:t>Neuroimagin</w:t>
      </w:r>
      <w:r>
        <w:rPr>
          <w:szCs w:val="22"/>
        </w:rPr>
        <w:t xml:space="preserve">g, </w:t>
      </w:r>
      <w:r w:rsidRPr="00F612C3">
        <w:rPr>
          <w:szCs w:val="22"/>
        </w:rPr>
        <w:t xml:space="preserve">biological markers, </w:t>
      </w:r>
      <w:r>
        <w:rPr>
          <w:szCs w:val="22"/>
        </w:rPr>
        <w:t xml:space="preserve">cognitive psychology </w:t>
      </w:r>
      <w:r w:rsidRPr="00F612C3">
        <w:rPr>
          <w:szCs w:val="22"/>
        </w:rPr>
        <w:t xml:space="preserve">and epigenetic </w:t>
      </w:r>
      <w:r>
        <w:rPr>
          <w:szCs w:val="22"/>
        </w:rPr>
        <w:t xml:space="preserve">studies </w:t>
      </w:r>
      <w:r w:rsidRPr="0040466E">
        <w:rPr>
          <w:szCs w:val="22"/>
        </w:rPr>
        <w:t xml:space="preserve">have contributed significantly to understanding the neurobiological underpinnings of </w:t>
      </w:r>
      <w:r>
        <w:rPr>
          <w:szCs w:val="22"/>
        </w:rPr>
        <w:t>FNSD</w:t>
      </w:r>
      <w:r w:rsidRPr="0040466E">
        <w:rPr>
          <w:szCs w:val="22"/>
        </w:rPr>
        <w:t xml:space="preserve">s. Patients with these disorders exhibit functional and structural abnormalities in </w:t>
      </w:r>
      <w:r w:rsidRPr="0040466E">
        <w:rPr>
          <w:szCs w:val="22"/>
        </w:rPr>
        <w:lastRenderedPageBreak/>
        <w:t xml:space="preserve">brain regions involved in motor control, emotion regulation, and self-agency, such as the prefrontal cortex, the insula, and the basal ganglia </w:t>
      </w:r>
      <w:sdt>
        <w:sdtPr>
          <w:rPr>
            <w:szCs w:val="22"/>
          </w:rPr>
          <w:tag w:val="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"/>
          <w:id w:val="349534777"/>
          <w:placeholder>
            <w:docPart w:val="E11707C14A687C4394FB968AA7E5B24E"/>
          </w:placeholder>
        </w:sdtPr>
        <w:sdtContent>
          <w:r w:rsidR="005E4029">
            <w:rPr>
              <w:rFonts w:eastAsia="Times New Roman"/>
            </w:rPr>
            <w:t>(</w:t>
          </w:r>
          <w:proofErr w:type="spellStart"/>
          <w:r w:rsidR="005E4029">
            <w:rPr>
              <w:rFonts w:eastAsia="Times New Roman"/>
            </w:rPr>
            <w:t>Cretton</w:t>
          </w:r>
          <w:proofErr w:type="spellEnd"/>
          <w:r w:rsidR="005E4029">
            <w:rPr>
              <w:rFonts w:eastAsia="Times New Roman"/>
            </w:rPr>
            <w:t xml:space="preserve"> et al., 2020; </w:t>
          </w:r>
          <w:proofErr w:type="spellStart"/>
          <w:r w:rsidR="005E4029">
            <w:rPr>
              <w:rFonts w:eastAsia="Times New Roman"/>
            </w:rPr>
            <w:t>Keynejad</w:t>
          </w:r>
          <w:proofErr w:type="spellEnd"/>
          <w:r w:rsidR="005E4029">
            <w:rPr>
              <w:rFonts w:eastAsia="Times New Roman"/>
            </w:rPr>
            <w:t xml:space="preserve"> et al., 2019; Szaflarski &amp; LaFrance, 2018; </w:t>
          </w:r>
          <w:proofErr w:type="spellStart"/>
          <w:r w:rsidR="005E4029">
            <w:rPr>
              <w:rFonts w:eastAsia="Times New Roman"/>
            </w:rPr>
            <w:t>Voon</w:t>
          </w:r>
          <w:proofErr w:type="spellEnd"/>
          <w:r w:rsidR="005E4029">
            <w:rPr>
              <w:rFonts w:eastAsia="Times New Roman"/>
            </w:rPr>
            <w:t xml:space="preserve"> et al., 2016)</w:t>
          </w:r>
        </w:sdtContent>
      </w:sdt>
      <w:r>
        <w:rPr>
          <w:szCs w:val="22"/>
        </w:rPr>
        <w:t xml:space="preserve">. </w:t>
      </w:r>
      <w:r w:rsidRPr="0040466E">
        <w:rPr>
          <w:szCs w:val="22"/>
        </w:rPr>
        <w:t xml:space="preserve">Altered connectivity between these regions has been implicated in </w:t>
      </w:r>
      <w:r>
        <w:rPr>
          <w:szCs w:val="22"/>
        </w:rPr>
        <w:t>generating and maintaining</w:t>
      </w:r>
      <w:r w:rsidRPr="0040466E">
        <w:rPr>
          <w:szCs w:val="22"/>
        </w:rPr>
        <w:t xml:space="preserve"> </w:t>
      </w:r>
      <w:r>
        <w:rPr>
          <w:szCs w:val="22"/>
        </w:rPr>
        <w:t>FNSD</w:t>
      </w:r>
      <w:r w:rsidRPr="0040466E">
        <w:rPr>
          <w:szCs w:val="22"/>
        </w:rPr>
        <w:t xml:space="preserve"> symptoms</w:t>
      </w:r>
      <w:r>
        <w:rPr>
          <w:szCs w:val="22"/>
        </w:rPr>
        <w:t xml:space="preserve"> </w:t>
      </w:r>
      <w:sdt>
        <w:sdtPr>
          <w:rPr>
            <w:color w:val="000000"/>
            <w:szCs w:val="22"/>
          </w:rPr>
          <w:tag w:val="MENDELEY_CITATION_v3_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"/>
          <w:id w:val="724961222"/>
          <w:placeholder>
            <w:docPart w:val="E11707C14A687C4394FB968AA7E5B24E"/>
          </w:placeholder>
        </w:sdtPr>
        <w:sdtContent>
          <w:r w:rsidR="005E4029" w:rsidRPr="005E4029">
            <w:rPr>
              <w:color w:val="000000"/>
              <w:szCs w:val="22"/>
            </w:rPr>
            <w:t>(Diez et al., 2019)</w:t>
          </w:r>
        </w:sdtContent>
      </w:sdt>
      <w:r w:rsidRPr="0040466E">
        <w:rPr>
          <w:szCs w:val="22"/>
        </w:rPr>
        <w:t xml:space="preserve">. Moreover, research has shown that patients with </w:t>
      </w:r>
      <w:r>
        <w:rPr>
          <w:szCs w:val="22"/>
        </w:rPr>
        <w:t>FNSD</w:t>
      </w:r>
      <w:r w:rsidRPr="0040466E">
        <w:rPr>
          <w:szCs w:val="22"/>
        </w:rPr>
        <w:t xml:space="preserve">s often display abnormal motor and emotional processing networks, pointing to a possible neurocircuitry dysfunction at the core of these disorders </w:t>
      </w:r>
      <w:sdt>
        <w:sdtPr>
          <w:rPr>
            <w:color w:val="000000"/>
            <w:szCs w:val="22"/>
          </w:rPr>
          <w:tag w:val="MENDELEY_CITATION_v3_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"/>
          <w:id w:val="-789429921"/>
          <w:placeholder>
            <w:docPart w:val="E11707C14A687C4394FB968AA7E5B24E"/>
          </w:placeholder>
        </w:sdtPr>
        <w:sdtContent>
          <w:r w:rsidR="005E4029" w:rsidRPr="005E4029">
            <w:rPr>
              <w:color w:val="000000"/>
              <w:szCs w:val="22"/>
            </w:rPr>
            <w:t>(Perez, Matin, et al., 2017)</w:t>
          </w:r>
        </w:sdtContent>
      </w:sdt>
      <w:r>
        <w:rPr>
          <w:szCs w:val="22"/>
        </w:rPr>
        <w:t>.</w:t>
      </w:r>
    </w:p>
    <w:p w14:paraId="2CDE40B6" w14:textId="07305B72" w:rsidR="00616AAE" w:rsidRPr="0040466E" w:rsidRDefault="00616AAE" w:rsidP="0040466E">
      <w:pPr>
        <w:autoSpaceDE w:val="0"/>
        <w:autoSpaceDN w:val="0"/>
        <w:adjustRightInd w:val="0"/>
        <w:rPr>
          <w:szCs w:val="22"/>
        </w:rPr>
      </w:pPr>
      <w:r>
        <w:rPr>
          <w:szCs w:val="22"/>
        </w:rPr>
        <w:t>Interoception</w:t>
      </w:r>
      <w:r w:rsidRPr="0040466E">
        <w:rPr>
          <w:szCs w:val="22"/>
        </w:rPr>
        <w:t xml:space="preserve">, or the perception of internal bodily sensations, has also been highlighted in the pathophysiology of </w:t>
      </w:r>
      <w:r>
        <w:rPr>
          <w:szCs w:val="22"/>
        </w:rPr>
        <w:t>FNSD</w:t>
      </w:r>
      <w:r w:rsidRPr="0040466E">
        <w:rPr>
          <w:szCs w:val="22"/>
        </w:rPr>
        <w:t xml:space="preserve">s. Patients with these disorders often experience alterations in interoceptive processing, which can contribute to the generation and maintenance of symptoms </w:t>
      </w:r>
      <w:sdt>
        <w:sdtPr>
          <w:rPr>
            <w:color w:val="000000"/>
            <w:szCs w:val="22"/>
          </w:rPr>
          <w:tag w:val="MENDELEY_CITATION_v3_eyJjaXRhdGlvbklEIjoiTUVOREVMRVlfQ0lUQVRJT05fZmY2M2Q5ODctNjk2Zi00MGE3LTgwZmEtMzQzMDAwZTEzYzllIiwicHJvcGVydGllcyI6eyJub3RlSW5kZXgiOjB9LCJpc0VkaXRlZCI6ZmFsc2UsIm1hbnVhbE92ZXJyaWRlIjp7ImlzTWFudWFsbHlPdmVycmlkZGVuIjpmYWxzZSwiY2l0ZXByb2NUZXh0IjoiKFBpY2ssIFJvamFzLUFndWlsdXosIGV0IGFsLiwgMjAyMDsgUmljY2lhcmRpIGV0IGFsLiwgMjAxNjsgSS4gQS4gV2lsbGlhbXMgZXQgYWwuLCAyMDIxKSIsIm1hbnVhbE92ZXJyaWRlVGV4dCI6IiJ9LCJjaXRhdGlvbkl0ZW1zIjpb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"/>
          <w:id w:val="1132674385"/>
          <w:placeholder>
            <w:docPart w:val="E11707C14A687C4394FB968AA7E5B24E"/>
          </w:placeholder>
        </w:sdtPr>
        <w:sdtContent>
          <w:r w:rsidR="005E4029" w:rsidRPr="005E4029">
            <w:rPr>
              <w:color w:val="000000"/>
              <w:szCs w:val="22"/>
            </w:rPr>
            <w:t>(Pick, Rojas-</w:t>
          </w:r>
          <w:proofErr w:type="spellStart"/>
          <w:r w:rsidR="005E4029" w:rsidRPr="005E4029">
            <w:rPr>
              <w:color w:val="000000"/>
              <w:szCs w:val="22"/>
            </w:rPr>
            <w:t>Aguiluz</w:t>
          </w:r>
          <w:proofErr w:type="spellEnd"/>
          <w:r w:rsidR="005E4029" w:rsidRPr="005E4029">
            <w:rPr>
              <w:color w:val="000000"/>
              <w:szCs w:val="22"/>
            </w:rPr>
            <w:t>, et al., 2020; Ricciardi et al., 2016; I. A. Williams et al., 2021)</w:t>
          </w:r>
        </w:sdtContent>
      </w:sdt>
      <w:r>
        <w:rPr>
          <w:szCs w:val="22"/>
        </w:rPr>
        <w:t xml:space="preserve">. </w:t>
      </w:r>
      <w:r w:rsidRPr="0040466E">
        <w:rPr>
          <w:szCs w:val="22"/>
        </w:rPr>
        <w:t xml:space="preserve">Studies have demonstrated that patients with </w:t>
      </w:r>
      <w:r>
        <w:rPr>
          <w:szCs w:val="22"/>
        </w:rPr>
        <w:t>FNSD</w:t>
      </w:r>
      <w:r w:rsidRPr="0040466E">
        <w:rPr>
          <w:szCs w:val="22"/>
        </w:rPr>
        <w:t xml:space="preserve">s have an altered sense of agency, the subjective feeling of controlling </w:t>
      </w:r>
      <w:r w:rsidR="00352F7F">
        <w:rPr>
          <w:szCs w:val="22"/>
        </w:rPr>
        <w:t>one's</w:t>
      </w:r>
      <w:r w:rsidRPr="0040466E">
        <w:rPr>
          <w:szCs w:val="22"/>
        </w:rPr>
        <w:t xml:space="preserve"> actions and outcomes, which may be associated with abnormal interoceptive awareness </w:t>
      </w:r>
      <w:sdt>
        <w:sdtPr>
          <w:rPr>
            <w:color w:val="000000"/>
            <w:szCs w:val="22"/>
          </w:rPr>
          <w:tag w:val="MENDELEY_CITATION_v3_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"/>
          <w:id w:val="268976748"/>
          <w:placeholder>
            <w:docPart w:val="E11707C14A687C4394FB968AA7E5B24E"/>
          </w:placeholder>
        </w:sdtPr>
        <w:sdtContent>
          <w:r w:rsidR="005E4029" w:rsidRPr="005E4029">
            <w:rPr>
              <w:color w:val="000000"/>
              <w:szCs w:val="22"/>
            </w:rPr>
            <w:t xml:space="preserve">(Maurer et al., 2016; </w:t>
          </w:r>
          <w:proofErr w:type="spellStart"/>
          <w:r w:rsidR="005E4029" w:rsidRPr="005E4029">
            <w:rPr>
              <w:color w:val="000000"/>
              <w:szCs w:val="22"/>
            </w:rPr>
            <w:t>Nahab</w:t>
          </w:r>
          <w:proofErr w:type="spellEnd"/>
          <w:r w:rsidR="005E4029" w:rsidRPr="005E4029">
            <w:rPr>
              <w:color w:val="000000"/>
              <w:szCs w:val="22"/>
            </w:rPr>
            <w:t xml:space="preserve"> et al., 2017)</w:t>
          </w:r>
        </w:sdtContent>
      </w:sdt>
      <w:r>
        <w:rPr>
          <w:szCs w:val="22"/>
        </w:rPr>
        <w:t>.</w:t>
      </w:r>
    </w:p>
    <w:p w14:paraId="65655610" w14:textId="07F5647C" w:rsidR="00616AAE" w:rsidRPr="0040466E" w:rsidRDefault="00616AAE" w:rsidP="0040466E">
      <w:pPr>
        <w:autoSpaceDE w:val="0"/>
        <w:autoSpaceDN w:val="0"/>
        <w:adjustRightInd w:val="0"/>
        <w:rPr>
          <w:szCs w:val="22"/>
        </w:rPr>
      </w:pPr>
      <w:r w:rsidRPr="0040466E">
        <w:rPr>
          <w:szCs w:val="22"/>
        </w:rPr>
        <w:t xml:space="preserve">Cognitive factors, such as attention and memory biases, have also been implicated in the development and persistence of </w:t>
      </w:r>
      <w:r>
        <w:rPr>
          <w:szCs w:val="22"/>
        </w:rPr>
        <w:t>FNSD</w:t>
      </w:r>
      <w:r w:rsidRPr="0040466E">
        <w:rPr>
          <w:szCs w:val="22"/>
        </w:rPr>
        <w:t xml:space="preserve"> symptoms. </w:t>
      </w:r>
      <w:r>
        <w:rPr>
          <w:szCs w:val="22"/>
        </w:rPr>
        <w:t>P</w:t>
      </w:r>
      <w:r w:rsidRPr="0040466E">
        <w:rPr>
          <w:szCs w:val="22"/>
        </w:rPr>
        <w:t xml:space="preserve">atients with </w:t>
      </w:r>
      <w:r>
        <w:rPr>
          <w:szCs w:val="22"/>
        </w:rPr>
        <w:t>FNSD</w:t>
      </w:r>
      <w:r w:rsidRPr="0040466E">
        <w:rPr>
          <w:szCs w:val="22"/>
        </w:rPr>
        <w:t xml:space="preserve">s often exhibit heightened attention to bodily sensations, which may exacerbate symptoms and contribute to a vicious cycle of symptom amplification. </w:t>
      </w:r>
      <w:sdt>
        <w:sdtPr>
          <w:rPr>
            <w:color w:val="000000"/>
            <w:szCs w:val="22"/>
          </w:rPr>
          <w:tag w:val="MENDELEY_CITATION_v3_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"/>
          <w:id w:val="-14232076"/>
          <w:placeholder>
            <w:docPart w:val="E11707C14A687C4394FB968AA7E5B24E"/>
          </w:placeholder>
        </w:sdtPr>
        <w:sdtContent>
          <w:r w:rsidR="005E4029">
            <w:rPr>
              <w:rFonts w:eastAsia="Times New Roman"/>
            </w:rPr>
            <w:t>Reuber &amp; Brown (2017)</w:t>
          </w:r>
        </w:sdtContent>
      </w:sdt>
      <w:r w:rsidRPr="0040466E">
        <w:rPr>
          <w:szCs w:val="22"/>
        </w:rPr>
        <w:t xml:space="preserve"> propose such a cognitive approach in the inception of functional seizures, wherein an internal or external stimulus (e.g., trauma memory) elicits a perception of danger and anticipation of a seizure. The subsequent activation of the mental representation of a seizure, </w:t>
      </w:r>
      <w:r>
        <w:rPr>
          <w:szCs w:val="22"/>
        </w:rPr>
        <w:t>combined with</w:t>
      </w:r>
      <w:r w:rsidRPr="0040466E">
        <w:rPr>
          <w:szCs w:val="22"/>
        </w:rPr>
        <w:t xml:space="preserve"> dysfunctional inhibition processes such as chronic stress, result in a functional seizure. Furthermore, studies have reported that individuals with </w:t>
      </w:r>
      <w:r>
        <w:rPr>
          <w:szCs w:val="22"/>
        </w:rPr>
        <w:t>FNSD</w:t>
      </w:r>
      <w:r w:rsidRPr="0040466E">
        <w:rPr>
          <w:szCs w:val="22"/>
        </w:rPr>
        <w:t xml:space="preserve">s display memory biases for negative or illness-related information, potentially influencing symptom perception and maintenance </w:t>
      </w:r>
      <w:sdt>
        <w:sdtPr>
          <w:rPr>
            <w:color w:val="000000"/>
            <w:szCs w:val="22"/>
          </w:rPr>
          <w:tag w:val="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
          <w:id w:val="-297841959"/>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Drane</w:t>
          </w:r>
          <w:proofErr w:type="spellEnd"/>
          <w:r w:rsidR="005E4029" w:rsidRPr="005E4029">
            <w:rPr>
              <w:color w:val="000000"/>
              <w:szCs w:val="22"/>
            </w:rPr>
            <w:t xml:space="preserve"> et al., 2021; </w:t>
          </w:r>
          <w:proofErr w:type="spellStart"/>
          <w:r w:rsidR="005E4029" w:rsidRPr="005E4029">
            <w:rPr>
              <w:color w:val="000000"/>
              <w:szCs w:val="22"/>
            </w:rPr>
            <w:t>Keynejad</w:t>
          </w:r>
          <w:proofErr w:type="spellEnd"/>
          <w:r w:rsidR="005E4029" w:rsidRPr="005E4029">
            <w:rPr>
              <w:color w:val="000000"/>
              <w:szCs w:val="22"/>
            </w:rPr>
            <w:t xml:space="preserve"> et al., 2020; Pick et al., 2019)</w:t>
          </w:r>
        </w:sdtContent>
      </w:sdt>
      <w:r>
        <w:rPr>
          <w:color w:val="000000"/>
          <w:szCs w:val="22"/>
        </w:rPr>
        <w:t>.</w:t>
      </w:r>
    </w:p>
    <w:p w14:paraId="7BA39CBE" w14:textId="77777777" w:rsidR="00616AAE" w:rsidRDefault="00616AAE" w:rsidP="0040466E">
      <w:pPr>
        <w:autoSpaceDE w:val="0"/>
        <w:autoSpaceDN w:val="0"/>
        <w:adjustRightInd w:val="0"/>
        <w:rPr>
          <w:szCs w:val="22"/>
        </w:rPr>
      </w:pPr>
      <w:r w:rsidRPr="0040466E">
        <w:rPr>
          <w:szCs w:val="22"/>
        </w:rPr>
        <w:t xml:space="preserve">As research </w:t>
      </w:r>
      <w:r>
        <w:rPr>
          <w:szCs w:val="22"/>
        </w:rPr>
        <w:t>advances</w:t>
      </w:r>
      <w:r w:rsidRPr="0040466E">
        <w:rPr>
          <w:szCs w:val="22"/>
        </w:rPr>
        <w:t xml:space="preserve">, further insights into the underlying mechanisms of </w:t>
      </w:r>
      <w:r>
        <w:rPr>
          <w:szCs w:val="22"/>
        </w:rPr>
        <w:t>FNSD</w:t>
      </w:r>
      <w:r w:rsidRPr="0040466E">
        <w:rPr>
          <w:szCs w:val="22"/>
        </w:rPr>
        <w:t>s will undoubtedly inform the development of targeted treatment strategies and improve patient outcomes.</w:t>
      </w:r>
    </w:p>
    <w:p w14:paraId="4EC12BAB" w14:textId="77777777" w:rsidR="00616AAE" w:rsidRPr="00BD7DCF" w:rsidRDefault="00616AAE" w:rsidP="00BD7DCF">
      <w:pPr>
        <w:pStyle w:val="Heading3"/>
      </w:pPr>
      <w:bookmarkStart w:id="15" w:name="_Toc137504661"/>
      <w:r>
        <w:lastRenderedPageBreak/>
        <w:t xml:space="preserve">1.1.5 </w:t>
      </w:r>
      <w:r w:rsidRPr="00BD7DCF">
        <w:t>Symptoms/</w:t>
      </w:r>
      <w:r>
        <w:t>P</w:t>
      </w:r>
      <w:r w:rsidRPr="00BD7DCF">
        <w:t>resentations</w:t>
      </w:r>
      <w:r>
        <w:t>/Semiology/Phenomenology</w:t>
      </w:r>
      <w:bookmarkEnd w:id="15"/>
    </w:p>
    <w:p w14:paraId="63B528B1" w14:textId="5AFCEB1F" w:rsidR="00616AAE" w:rsidRPr="0040466E" w:rsidRDefault="00616AAE" w:rsidP="0040466E">
      <w:pPr>
        <w:autoSpaceDE w:val="0"/>
        <w:autoSpaceDN w:val="0"/>
        <w:adjustRightInd w:val="0"/>
        <w:rPr>
          <w:szCs w:val="22"/>
        </w:rPr>
      </w:pPr>
      <w:r>
        <w:rPr>
          <w:szCs w:val="22"/>
        </w:rPr>
        <w:t>FNSD</w:t>
      </w:r>
      <w:r w:rsidRPr="0040466E">
        <w:rPr>
          <w:szCs w:val="22"/>
        </w:rPr>
        <w:t xml:space="preserve">s encompass a heterogeneous group of symptoms and presentations that mimic </w:t>
      </w:r>
      <w:r>
        <w:rPr>
          <w:szCs w:val="22"/>
        </w:rPr>
        <w:t xml:space="preserve">other </w:t>
      </w:r>
      <w:r w:rsidRPr="0040466E">
        <w:rPr>
          <w:szCs w:val="22"/>
        </w:rPr>
        <w:t xml:space="preserve">neurological disorders </w:t>
      </w:r>
      <w:sdt>
        <w:sdtPr>
          <w:rPr>
            <w:color w:val="000000"/>
            <w:szCs w:val="22"/>
          </w:rPr>
          <w:tag w:val="MENDELEY_CITATION_v3_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"/>
          <w:id w:val="-1017229302"/>
          <w:placeholder>
            <w:docPart w:val="E11707C14A687C4394FB968AA7E5B24E"/>
          </w:placeholder>
        </w:sdtPr>
        <w:sdtContent>
          <w:r w:rsidR="005E4029" w:rsidRPr="005E4029">
            <w:rPr>
              <w:color w:val="000000"/>
              <w:szCs w:val="22"/>
            </w:rPr>
            <w:t>(Carson et al., 2012a; Gilmour et al., 2020)</w:t>
          </w:r>
        </w:sdtContent>
      </w:sdt>
      <w:r>
        <w:rPr>
          <w:szCs w:val="22"/>
        </w:rPr>
        <w:t xml:space="preserve">. </w:t>
      </w:r>
      <w:r w:rsidRPr="0040466E">
        <w:rPr>
          <w:szCs w:val="22"/>
        </w:rPr>
        <w:t xml:space="preserve">The semiology and phenomenology of </w:t>
      </w:r>
      <w:r>
        <w:rPr>
          <w:szCs w:val="22"/>
        </w:rPr>
        <w:t>FNSD</w:t>
      </w:r>
      <w:r w:rsidRPr="0040466E">
        <w:rPr>
          <w:szCs w:val="22"/>
        </w:rPr>
        <w:t xml:space="preserve">s are diverse, with motor and sensory manifestations being the most common. Motor symptoms include functional movement disorders, such as </w:t>
      </w:r>
      <w:r>
        <w:rPr>
          <w:szCs w:val="22"/>
        </w:rPr>
        <w:t>tremors</w:t>
      </w:r>
      <w:r w:rsidRPr="0040466E">
        <w:rPr>
          <w:szCs w:val="22"/>
        </w:rPr>
        <w:t xml:space="preserve">, dystonia, gait abnormalities, and myoclonus, which may appear suddenly or progressively </w:t>
      </w:r>
      <w:sdt>
        <w:sdtPr>
          <w:rPr>
            <w:color w:val="000000"/>
            <w:szCs w:val="22"/>
          </w:rPr>
          <w:tag w:val="MENDELEY_CITATION_v3_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"/>
          <w:id w:val="1449043453"/>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Espay</w:t>
          </w:r>
          <w:proofErr w:type="spellEnd"/>
          <w:r w:rsidR="005E4029" w:rsidRPr="005E4029">
            <w:rPr>
              <w:color w:val="000000"/>
              <w:szCs w:val="22"/>
            </w:rPr>
            <w:t xml:space="preserve"> et al., 2018)</w:t>
          </w:r>
        </w:sdtContent>
      </w:sdt>
      <w:r>
        <w:rPr>
          <w:szCs w:val="22"/>
        </w:rPr>
        <w:t xml:space="preserve">. </w:t>
      </w:r>
      <w:r w:rsidRPr="0040466E">
        <w:rPr>
          <w:szCs w:val="22"/>
        </w:rPr>
        <w:t xml:space="preserve">Sensory symptoms, on the other hand, comprise non-dermatomal sensory loss, tingling, or numbness </w:t>
      </w:r>
      <w:sdt>
        <w:sdtPr>
          <w:rPr>
            <w:color w:val="000000"/>
            <w:szCs w:val="22"/>
          </w:rPr>
          <w:tag w:val="MENDELEY_CITATION_v3_eyJjaXRhdGlvbklEIjoiTUVOREVMRVlfQ0lUQVRJT05fNzQ1YTdjNjItMDljZC00YTM5LWI0NWItYjRhODViMDk5YTJhIiwicHJvcGVydGllcyI6eyJub3RlSW5kZXgiOjB9LCJpc0VkaXRlZCI6ZmFsc2UsIm1hbnVhbE92ZXJyaWRlIjp7ImlzTWFudWFsbHlPdmVycmlkZGVuIjpmYWxzZSwiY2l0ZXByb2NUZXh0IjoiKEFtZXJpY2FuIFBzeWNoaWF0cmljIEFzc29jaWF0aW9uLCAyMDEzKSIsIm1hbnVhbE92ZXJyaWRlVGV4dCI6IiJ9LCJjaXRhdGlvbkl0ZW1zIjpb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
          <w:id w:val="493536279"/>
          <w:placeholder>
            <w:docPart w:val="E11707C14A687C4394FB968AA7E5B24E"/>
          </w:placeholder>
        </w:sdtPr>
        <w:sdtContent>
          <w:r w:rsidR="005E4029" w:rsidRPr="005E4029">
            <w:rPr>
              <w:color w:val="000000"/>
              <w:szCs w:val="22"/>
            </w:rPr>
            <w:t>(American Psychiatric Association, 2013)</w:t>
          </w:r>
        </w:sdtContent>
      </w:sdt>
      <w:r>
        <w:rPr>
          <w:szCs w:val="22"/>
        </w:rPr>
        <w:t>.</w:t>
      </w:r>
    </w:p>
    <w:p w14:paraId="37E70BE2" w14:textId="505900C0" w:rsidR="00616AAE" w:rsidRPr="0040466E" w:rsidRDefault="00616AAE" w:rsidP="0040466E">
      <w:pPr>
        <w:autoSpaceDE w:val="0"/>
        <w:autoSpaceDN w:val="0"/>
        <w:adjustRightInd w:val="0"/>
        <w:rPr>
          <w:szCs w:val="22"/>
        </w:rPr>
      </w:pPr>
      <w:r w:rsidRPr="0040466E">
        <w:rPr>
          <w:szCs w:val="22"/>
        </w:rPr>
        <w:t xml:space="preserve">Functional seizures (FS) are another common presentation of </w:t>
      </w:r>
      <w:r>
        <w:rPr>
          <w:szCs w:val="22"/>
        </w:rPr>
        <w:t>FNSD</w:t>
      </w:r>
      <w:r w:rsidRPr="0040466E">
        <w:rPr>
          <w:szCs w:val="22"/>
        </w:rPr>
        <w:t xml:space="preserve">s, </w:t>
      </w:r>
      <w:r>
        <w:rPr>
          <w:szCs w:val="22"/>
        </w:rPr>
        <w:t>characterised</w:t>
      </w:r>
      <w:r w:rsidRPr="0040466E">
        <w:rPr>
          <w:szCs w:val="22"/>
        </w:rPr>
        <w:t xml:space="preserve"> by episodic disturbances of motor, sensory, or autonomic function. FS exhibit similar semiological features to epileptic seizures, such as the presence of physical sensations during a seizure; however, these characteristics are also closely related to dissociation and flashbacks </w:t>
      </w:r>
      <w:sdt>
        <w:sdtPr>
          <w:rPr>
            <w:color w:val="000000"/>
            <w:szCs w:val="22"/>
          </w:rPr>
          <w:tag w:val="MENDELEY_CITATION_v3_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"/>
          <w:id w:val="1021429804"/>
          <w:placeholder>
            <w:docPart w:val="E11707C14A687C4394FB968AA7E5B24E"/>
          </w:placeholder>
        </w:sdtPr>
        <w:sdtContent>
          <w:r w:rsidR="005E4029">
            <w:rPr>
              <w:rFonts w:eastAsia="Times New Roman"/>
            </w:rPr>
            <w:t>(Reuber &amp; Brown, 2017; Reuber &amp; Mayor, 2012),</w:t>
          </w:r>
        </w:sdtContent>
      </w:sdt>
      <w:r>
        <w:rPr>
          <w:szCs w:val="22"/>
        </w:rPr>
        <w:t xml:space="preserve"> </w:t>
      </w:r>
      <w:r w:rsidRPr="0040466E">
        <w:rPr>
          <w:szCs w:val="22"/>
        </w:rPr>
        <w:t xml:space="preserve">and FS lack the </w:t>
      </w:r>
      <w:r>
        <w:rPr>
          <w:szCs w:val="22"/>
        </w:rPr>
        <w:t xml:space="preserve">association with </w:t>
      </w:r>
      <w:r w:rsidRPr="0040466E">
        <w:rPr>
          <w:szCs w:val="22"/>
        </w:rPr>
        <w:t xml:space="preserve">epileptic changes detectable in the brain via electroencephalogram (EEG) </w:t>
      </w:r>
      <w:r>
        <w:rPr>
          <w:szCs w:val="22"/>
        </w:rPr>
        <w:t xml:space="preserve">during epileptic seizures  </w:t>
      </w:r>
      <w:sdt>
        <w:sdtPr>
          <w:rPr>
            <w:color w:val="000000"/>
            <w:szCs w:val="22"/>
          </w:rPr>
          <w:tag w:val="MENDELEY_CITATION_v3_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"/>
          <w:id w:val="-1973508361"/>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Baslet</w:t>
          </w:r>
          <w:proofErr w:type="spellEnd"/>
          <w:r w:rsidR="005E4029" w:rsidRPr="005E4029">
            <w:rPr>
              <w:color w:val="000000"/>
              <w:szCs w:val="22"/>
            </w:rPr>
            <w:t xml:space="preserve">, 2011; </w:t>
          </w:r>
          <w:proofErr w:type="spellStart"/>
          <w:r w:rsidR="005E4029" w:rsidRPr="005E4029">
            <w:rPr>
              <w:color w:val="000000"/>
              <w:szCs w:val="22"/>
            </w:rPr>
            <w:t>Ertan</w:t>
          </w:r>
          <w:proofErr w:type="spellEnd"/>
          <w:r w:rsidR="005E4029" w:rsidRPr="005E4029">
            <w:rPr>
              <w:color w:val="000000"/>
              <w:szCs w:val="22"/>
            </w:rPr>
            <w:t xml:space="preserve"> et al., 2022)</w:t>
          </w:r>
        </w:sdtContent>
      </w:sdt>
      <w:r w:rsidRPr="0040466E">
        <w:rPr>
          <w:szCs w:val="22"/>
        </w:rPr>
        <w:t xml:space="preserve">. This absence of </w:t>
      </w:r>
      <w:r>
        <w:rPr>
          <w:szCs w:val="22"/>
        </w:rPr>
        <w:t xml:space="preserve">physiological </w:t>
      </w:r>
      <w:r w:rsidRPr="0040466E">
        <w:rPr>
          <w:szCs w:val="22"/>
        </w:rPr>
        <w:t>correlat</w:t>
      </w:r>
      <w:r>
        <w:rPr>
          <w:szCs w:val="22"/>
        </w:rPr>
        <w:t>es</w:t>
      </w:r>
      <w:r w:rsidRPr="0040466E">
        <w:rPr>
          <w:szCs w:val="22"/>
        </w:rPr>
        <w:t xml:space="preserve"> suggests that psychological processes may play a role in seizure manifestation</w:t>
      </w:r>
      <w:r>
        <w:rPr>
          <w:szCs w:val="22"/>
        </w:rPr>
        <w:t xml:space="preserve"> </w:t>
      </w:r>
      <w:sdt>
        <w:sdtPr>
          <w:rPr>
            <w:color w:val="000000"/>
            <w:szCs w:val="22"/>
          </w:rPr>
          <w:tag w:val="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"/>
          <w:id w:val="-126946779"/>
          <w:placeholder>
            <w:docPart w:val="E11707C14A687C4394FB968AA7E5B24E"/>
          </w:placeholder>
        </w:sdtPr>
        <w:sdtContent>
          <w:r w:rsidR="005E4029" w:rsidRPr="005E4029">
            <w:rPr>
              <w:color w:val="000000"/>
              <w:szCs w:val="22"/>
            </w:rPr>
            <w:t xml:space="preserve">(N. M. </w:t>
          </w:r>
          <w:proofErr w:type="spellStart"/>
          <w:r w:rsidR="005E4029" w:rsidRPr="005E4029">
            <w:rPr>
              <w:color w:val="000000"/>
              <w:szCs w:val="22"/>
            </w:rPr>
            <w:t>Bodde</w:t>
          </w:r>
          <w:proofErr w:type="spellEnd"/>
          <w:r w:rsidR="005E4029" w:rsidRPr="005E4029">
            <w:rPr>
              <w:color w:val="000000"/>
              <w:szCs w:val="22"/>
            </w:rPr>
            <w:t xml:space="preserve"> et al., 2009; </w:t>
          </w:r>
          <w:proofErr w:type="spellStart"/>
          <w:r w:rsidR="005E4029" w:rsidRPr="005E4029">
            <w:rPr>
              <w:color w:val="000000"/>
              <w:szCs w:val="22"/>
            </w:rPr>
            <w:t>Popkirov</w:t>
          </w:r>
          <w:proofErr w:type="spellEnd"/>
          <w:r w:rsidR="005E4029" w:rsidRPr="005E4029">
            <w:rPr>
              <w:color w:val="000000"/>
              <w:szCs w:val="22"/>
            </w:rPr>
            <w:t xml:space="preserve"> et al., 2019)</w:t>
          </w:r>
        </w:sdtContent>
      </w:sdt>
      <w:r w:rsidRPr="0040466E">
        <w:rPr>
          <w:szCs w:val="22"/>
        </w:rPr>
        <w:t>.</w:t>
      </w:r>
      <w:r>
        <w:rPr>
          <w:szCs w:val="22"/>
        </w:rPr>
        <w:t xml:space="preserve"> P</w:t>
      </w:r>
      <w:r w:rsidRPr="00E43FCD">
        <w:rPr>
          <w:szCs w:val="22"/>
        </w:rPr>
        <w:t xml:space="preserve">atients with overlapping illness manifestations can present to syncope services with collapses more closely resembling syncope (fainting) than epilepsy. These collapses have mostly been described as </w:t>
      </w:r>
      <w:r w:rsidR="00352F7F">
        <w:rPr>
          <w:szCs w:val="22"/>
        </w:rPr>
        <w:t>"</w:t>
      </w:r>
      <w:r w:rsidRPr="00E43FCD">
        <w:rPr>
          <w:szCs w:val="22"/>
        </w:rPr>
        <w:t>psychogenic pseudo syncope</w:t>
      </w:r>
      <w:r w:rsidR="00352F7F">
        <w:rPr>
          <w:szCs w:val="22"/>
        </w:rPr>
        <w:t>"</w:t>
      </w:r>
      <w:r w:rsidRPr="00E43FCD">
        <w:rPr>
          <w:szCs w:val="22"/>
        </w:rPr>
        <w:t xml:space="preserve"> in the literature</w:t>
      </w:r>
      <w:r>
        <w:rPr>
          <w:szCs w:val="22"/>
        </w:rPr>
        <w:t xml:space="preserve"> </w:t>
      </w:r>
      <w:sdt>
        <w:sdtPr>
          <w:rPr>
            <w:color w:val="000000"/>
            <w:szCs w:val="22"/>
          </w:rPr>
          <w:tag w:val="MENDELEY_CITATION_v3_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"/>
          <w:id w:val="-880626967"/>
          <w:placeholder>
            <w:docPart w:val="E11707C14A687C4394FB968AA7E5B24E"/>
          </w:placeholder>
        </w:sdtPr>
        <w:sdtContent>
          <w:r w:rsidR="005E4029" w:rsidRPr="005E4029">
            <w:rPr>
              <w:color w:val="000000"/>
              <w:szCs w:val="22"/>
            </w:rPr>
            <w:t xml:space="preserve">(Blad et al., 2015; </w:t>
          </w:r>
          <w:proofErr w:type="spellStart"/>
          <w:r w:rsidR="005E4029" w:rsidRPr="005E4029">
            <w:rPr>
              <w:color w:val="000000"/>
              <w:szCs w:val="22"/>
            </w:rPr>
            <w:t>Tannemaat</w:t>
          </w:r>
          <w:proofErr w:type="spellEnd"/>
          <w:r w:rsidR="005E4029" w:rsidRPr="005E4029">
            <w:rPr>
              <w:color w:val="000000"/>
              <w:szCs w:val="22"/>
            </w:rPr>
            <w:t xml:space="preserve"> et al., 2013)</w:t>
          </w:r>
        </w:sdtContent>
      </w:sdt>
      <w:r w:rsidRPr="00E43FCD">
        <w:rPr>
          <w:szCs w:val="22"/>
        </w:rPr>
        <w:t>.</w:t>
      </w:r>
      <w:r>
        <w:rPr>
          <w:szCs w:val="22"/>
        </w:rPr>
        <w:t xml:space="preserve"> </w:t>
      </w:r>
      <w:r w:rsidRPr="0040466E">
        <w:rPr>
          <w:szCs w:val="22"/>
        </w:rPr>
        <w:t>Similarly, functional cognitive disorders present with subjective cognitive complaints and objective cognitive impairments</w:t>
      </w:r>
      <w:r>
        <w:rPr>
          <w:szCs w:val="22"/>
        </w:rPr>
        <w:t xml:space="preserve"> but </w:t>
      </w:r>
      <w:r w:rsidRPr="0040466E">
        <w:rPr>
          <w:szCs w:val="22"/>
        </w:rPr>
        <w:t>cannot be explained by neurodegenerative, psychiatric, or other medical conditions</w:t>
      </w:r>
      <w:r>
        <w:rPr>
          <w:szCs w:val="22"/>
        </w:rPr>
        <w:t xml:space="preserve"> </w:t>
      </w:r>
      <w:sdt>
        <w:sdtPr>
          <w:rPr>
            <w:color w:val="000000"/>
            <w:szCs w:val="22"/>
          </w:rPr>
          <w:tag w:val="MENDELEY_CITATION_v3_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"/>
          <w:id w:val="-344944810"/>
          <w:placeholder>
            <w:docPart w:val="E11707C14A687C4394FB968AA7E5B24E"/>
          </w:placeholder>
        </w:sdtPr>
        <w:sdtContent>
          <w:r w:rsidR="005E4029" w:rsidRPr="005E4029">
            <w:rPr>
              <w:color w:val="000000"/>
              <w:szCs w:val="22"/>
            </w:rPr>
            <w:t>(Kemp et al., 2022)</w:t>
          </w:r>
        </w:sdtContent>
      </w:sdt>
      <w:r>
        <w:rPr>
          <w:szCs w:val="22"/>
        </w:rPr>
        <w:t>.</w:t>
      </w:r>
    </w:p>
    <w:p w14:paraId="35BFA110" w14:textId="24157EC7" w:rsidR="00616AAE" w:rsidRPr="0040466E" w:rsidRDefault="00616AAE" w:rsidP="0040466E">
      <w:pPr>
        <w:autoSpaceDE w:val="0"/>
        <w:autoSpaceDN w:val="0"/>
        <w:adjustRightInd w:val="0"/>
        <w:rPr>
          <w:szCs w:val="22"/>
        </w:rPr>
      </w:pPr>
      <w:r>
        <w:rPr>
          <w:szCs w:val="22"/>
        </w:rPr>
        <w:t>FNSD</w:t>
      </w:r>
      <w:r w:rsidRPr="0040466E">
        <w:rPr>
          <w:szCs w:val="22"/>
        </w:rPr>
        <w:t>s frequently co-occur with other functional or medically unexplained symptoms, such as chronic pain, irritable bowel syndrome, or fibromyalgia, further complicating their clinical presentation</w:t>
      </w:r>
      <w:r>
        <w:rPr>
          <w:szCs w:val="22"/>
        </w:rPr>
        <w:t xml:space="preserve"> </w:t>
      </w:r>
      <w:sdt>
        <w:sdtPr>
          <w:rPr>
            <w:color w:val="000000"/>
            <w:szCs w:val="22"/>
          </w:rPr>
          <w:tag w:val="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"/>
          <w:id w:val="-24019462"/>
          <w:placeholder>
            <w:docPart w:val="E11707C14A687C4394FB968AA7E5B24E"/>
          </w:placeholder>
        </w:sdtPr>
        <w:sdtContent>
          <w:r w:rsidR="005E4029" w:rsidRPr="005E4029">
            <w:rPr>
              <w:color w:val="000000"/>
              <w:szCs w:val="22"/>
            </w:rPr>
            <w:t xml:space="preserve">(Butler et al., 2021; </w:t>
          </w:r>
          <w:proofErr w:type="spellStart"/>
          <w:r w:rsidR="005E4029" w:rsidRPr="005E4029">
            <w:rPr>
              <w:color w:val="000000"/>
              <w:szCs w:val="22"/>
            </w:rPr>
            <w:t>Ducroizet</w:t>
          </w:r>
          <w:proofErr w:type="spellEnd"/>
          <w:r w:rsidR="005E4029" w:rsidRPr="005E4029">
            <w:rPr>
              <w:color w:val="000000"/>
              <w:szCs w:val="22"/>
            </w:rPr>
            <w:t xml:space="preserve"> et al., 2023; </w:t>
          </w:r>
          <w:proofErr w:type="spellStart"/>
          <w:r w:rsidR="005E4029" w:rsidRPr="005E4029">
            <w:rPr>
              <w:color w:val="000000"/>
              <w:szCs w:val="22"/>
            </w:rPr>
            <w:t>Tsui</w:t>
          </w:r>
          <w:proofErr w:type="spellEnd"/>
          <w:r w:rsidR="005E4029" w:rsidRPr="005E4029">
            <w:rPr>
              <w:color w:val="000000"/>
              <w:szCs w:val="22"/>
            </w:rPr>
            <w:t xml:space="preserve"> et al., 2017)</w:t>
          </w:r>
        </w:sdtContent>
      </w:sdt>
      <w:r>
        <w:rPr>
          <w:szCs w:val="22"/>
        </w:rPr>
        <w:t xml:space="preserve">. </w:t>
      </w:r>
      <w:r w:rsidRPr="0040466E">
        <w:rPr>
          <w:szCs w:val="22"/>
        </w:rPr>
        <w:t xml:space="preserve">Psychiatric comorbidities, such as anxiety, depression, or post-traumatic stress disorder, are common and can influence </w:t>
      </w:r>
      <w:r w:rsidR="00352F7F">
        <w:rPr>
          <w:szCs w:val="22"/>
        </w:rPr>
        <w:t>symptoms'</w:t>
      </w:r>
      <w:r>
        <w:rPr>
          <w:szCs w:val="22"/>
        </w:rPr>
        <w:t xml:space="preserve"> onset and maintenance </w:t>
      </w:r>
      <w:sdt>
        <w:sdtPr>
          <w:rPr>
            <w:color w:val="000000"/>
            <w:szCs w:val="22"/>
          </w:rPr>
          <w:tag w:val="MENDELEY_CITATION_v3_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"/>
          <w:id w:val="1332881681"/>
          <w:placeholder>
            <w:docPart w:val="E11707C14A687C4394FB968AA7E5B24E"/>
          </w:placeholder>
        </w:sdtPr>
        <w:sdtContent>
          <w:r w:rsidR="005E4029">
            <w:rPr>
              <w:rFonts w:eastAsia="Times New Roman"/>
            </w:rPr>
            <w:t>(</w:t>
          </w:r>
          <w:proofErr w:type="spellStart"/>
          <w:r w:rsidR="005E4029">
            <w:rPr>
              <w:rFonts w:eastAsia="Times New Roman"/>
            </w:rPr>
            <w:t>Gelauff</w:t>
          </w:r>
          <w:proofErr w:type="spellEnd"/>
          <w:r w:rsidR="005E4029">
            <w:rPr>
              <w:rFonts w:eastAsia="Times New Roman"/>
            </w:rPr>
            <w:t xml:space="preserve"> &amp; Stone, 2016; Patron et al., 2022; Pun et al., 2020)</w:t>
          </w:r>
        </w:sdtContent>
      </w:sdt>
      <w:r>
        <w:rPr>
          <w:szCs w:val="22"/>
        </w:rPr>
        <w:t>.</w:t>
      </w:r>
    </w:p>
    <w:p w14:paraId="1392B2FD" w14:textId="03149EA2" w:rsidR="00616AAE" w:rsidRDefault="00616AAE" w:rsidP="006A7AB5">
      <w:pPr>
        <w:autoSpaceDE w:val="0"/>
        <w:autoSpaceDN w:val="0"/>
        <w:adjustRightInd w:val="0"/>
        <w:spacing w:after="240"/>
        <w:rPr>
          <w:szCs w:val="22"/>
        </w:rPr>
      </w:pPr>
      <w:r>
        <w:rPr>
          <w:szCs w:val="22"/>
        </w:rPr>
        <w:t xml:space="preserve">Multiple factors, including individual patient characteristics, cultural influences, and the interplay between biological, psychological, and social determinants, shape the </w:t>
      </w:r>
      <w:r>
        <w:rPr>
          <w:szCs w:val="22"/>
        </w:rPr>
        <w:lastRenderedPageBreak/>
        <w:t>phenomenology of FNSDs</w:t>
      </w:r>
      <w:r w:rsidRPr="0040466E">
        <w:rPr>
          <w:szCs w:val="22"/>
        </w:rPr>
        <w:t xml:space="preserve">. This multifaceted nature often poses diagnostic challenges for clinicians, necessitating the integration of clinical history, physical examination, and relevant investigations to establish a positive diagnosis </w:t>
      </w:r>
      <w:sdt>
        <w:sdtPr>
          <w:rPr>
            <w:color w:val="000000"/>
            <w:szCs w:val="22"/>
          </w:rPr>
          <w:tag w:val="MENDELEY_CITATION_v3_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"/>
          <w:id w:val="486055777"/>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Espay</w:t>
          </w:r>
          <w:proofErr w:type="spellEnd"/>
          <w:r w:rsidR="005E4029" w:rsidRPr="005E4029">
            <w:rPr>
              <w:color w:val="000000"/>
              <w:szCs w:val="22"/>
            </w:rPr>
            <w:t xml:space="preserve">, </w:t>
          </w:r>
          <w:proofErr w:type="spellStart"/>
          <w:r w:rsidR="005E4029" w:rsidRPr="005E4029">
            <w:rPr>
              <w:color w:val="000000"/>
              <w:szCs w:val="22"/>
            </w:rPr>
            <w:t>Aybek</w:t>
          </w:r>
          <w:proofErr w:type="spellEnd"/>
          <w:r w:rsidR="005E4029" w:rsidRPr="005E4029">
            <w:rPr>
              <w:color w:val="000000"/>
              <w:szCs w:val="22"/>
            </w:rPr>
            <w:t xml:space="preserve"> et al., 2018)</w:t>
          </w:r>
        </w:sdtContent>
      </w:sdt>
      <w:r>
        <w:rPr>
          <w:szCs w:val="22"/>
        </w:rPr>
        <w:t>.</w:t>
      </w:r>
    </w:p>
    <w:p w14:paraId="7DE95505" w14:textId="77777777" w:rsidR="00616AAE" w:rsidRPr="00BC5B2B" w:rsidRDefault="00616AAE" w:rsidP="00BD7DCF">
      <w:pPr>
        <w:pStyle w:val="Heading3"/>
      </w:pPr>
      <w:bookmarkStart w:id="16" w:name="_Toc137504662"/>
      <w:r>
        <w:t xml:space="preserve">1.1.6 </w:t>
      </w:r>
      <w:r w:rsidRPr="00BC5B2B">
        <w:t>Diagnosis</w:t>
      </w:r>
      <w:bookmarkEnd w:id="16"/>
    </w:p>
    <w:p w14:paraId="7B6F9B19" w14:textId="36160C84" w:rsidR="00616AAE" w:rsidRDefault="00616AAE" w:rsidP="00287416">
      <w:pPr>
        <w:rPr>
          <w:szCs w:val="22"/>
        </w:rPr>
      </w:pPr>
      <w:r>
        <w:rPr>
          <w:noProof/>
        </w:rPr>
        <mc:AlternateContent>
          <mc:Choice Requires="wps">
            <w:drawing>
              <wp:anchor distT="0" distB="0" distL="114300" distR="114300" simplePos="0" relativeHeight="251662336" behindDoc="0" locked="0" layoutInCell="1" hidden="0" allowOverlap="1" wp14:anchorId="03B46127" wp14:editId="6FD94CBB">
                <wp:simplePos x="0" y="0"/>
                <wp:positionH relativeFrom="column">
                  <wp:posOffset>2618740</wp:posOffset>
                </wp:positionH>
                <wp:positionV relativeFrom="paragraph">
                  <wp:posOffset>1425575</wp:posOffset>
                </wp:positionV>
                <wp:extent cx="3284855" cy="7077710"/>
                <wp:effectExtent l="0" t="0" r="4445" b="0"/>
                <wp:wrapSquare wrapText="bothSides" distT="0" distB="0" distL="114300" distR="114300"/>
                <wp:docPr id="517" name="Rectangle 517"/>
                <wp:cNvGraphicFramePr/>
                <a:graphic xmlns:a="http://schemas.openxmlformats.org/drawingml/2006/main">
                  <a:graphicData uri="http://schemas.microsoft.com/office/word/2010/wordprocessingShape">
                    <wps:wsp>
                      <wps:cNvSpPr/>
                      <wps:spPr>
                        <a:xfrm>
                          <a:off x="0" y="0"/>
                          <a:ext cx="3284855" cy="7077710"/>
                        </a:xfrm>
                        <a:prstGeom prst="rect">
                          <a:avLst/>
                        </a:prstGeom>
                        <a:solidFill>
                          <a:srgbClr val="F2F2F2"/>
                        </a:solidFill>
                        <a:ln>
                          <a:noFill/>
                        </a:ln>
                      </wps:spPr>
                      <wps:txbx>
                        <w:txbxContent>
                          <w:p w14:paraId="73343200" w14:textId="77777777" w:rsidR="00616AAE" w:rsidRPr="002D7213" w:rsidRDefault="00616AAE" w:rsidP="002D7213">
                            <w:pPr>
                              <w:spacing w:line="276" w:lineRule="auto"/>
                              <w:textDirection w:val="btLr"/>
                              <w:rPr>
                                <w:bCs/>
                                <w:sz w:val="20"/>
                                <w:szCs w:val="20"/>
                              </w:rPr>
                            </w:pPr>
                            <w:r w:rsidRPr="002D7213">
                              <w:rPr>
                                <w:rFonts w:eastAsia="Calibri" w:cs="Calibri"/>
                                <w:bCs/>
                                <w:color w:val="000000"/>
                                <w:sz w:val="20"/>
                                <w:szCs w:val="20"/>
                                <w:u w:val="single"/>
                              </w:rPr>
                              <w:t>Figure 1 – DSM-5 Criteria for Functional Neurological Disorder</w:t>
                            </w:r>
                          </w:p>
                          <w:p w14:paraId="346F1E71" w14:textId="77777777" w:rsidR="00616AAE" w:rsidRPr="002D7213" w:rsidRDefault="00616AAE" w:rsidP="00616AAE">
                            <w:pPr>
                              <w:pStyle w:val="ListParagraph"/>
                              <w:numPr>
                                <w:ilvl w:val="0"/>
                                <w:numId w:val="17"/>
                              </w:numPr>
                              <w:spacing w:line="276" w:lineRule="auto"/>
                              <w:textDirection w:val="btLr"/>
                              <w:rPr>
                                <w:sz w:val="20"/>
                                <w:szCs w:val="20"/>
                              </w:rPr>
                            </w:pPr>
                            <w:r w:rsidRPr="002D7213">
                              <w:rPr>
                                <w:rFonts w:eastAsia="Arial" w:cs="Arial"/>
                                <w:color w:val="000000"/>
                                <w:sz w:val="20"/>
                                <w:szCs w:val="20"/>
                              </w:rPr>
                              <w:t>One or more symptoms of altered voluntary motor or sensory function.</w:t>
                            </w:r>
                          </w:p>
                          <w:p w14:paraId="25EF9305" w14:textId="77777777" w:rsidR="00616AAE" w:rsidRPr="002D7213" w:rsidRDefault="00616AAE" w:rsidP="00616AAE">
                            <w:pPr>
                              <w:pStyle w:val="ListParagraph"/>
                              <w:numPr>
                                <w:ilvl w:val="0"/>
                                <w:numId w:val="17"/>
                              </w:numPr>
                              <w:spacing w:line="276" w:lineRule="auto"/>
                              <w:textDirection w:val="btLr"/>
                              <w:rPr>
                                <w:sz w:val="20"/>
                                <w:szCs w:val="20"/>
                              </w:rPr>
                            </w:pPr>
                            <w:r w:rsidRPr="002D7213">
                              <w:rPr>
                                <w:rFonts w:eastAsia="Arial" w:cs="Arial"/>
                                <w:color w:val="000000"/>
                                <w:sz w:val="20"/>
                                <w:szCs w:val="20"/>
                              </w:rPr>
                              <w:t>Clinical findings provide evidence of incompatibility between symptoms and recognised neurological or medical conditions.</w:t>
                            </w:r>
                          </w:p>
                          <w:p w14:paraId="72E7E29B" w14:textId="77777777" w:rsidR="00616AAE" w:rsidRPr="002D7213" w:rsidRDefault="00616AAE" w:rsidP="00616AAE">
                            <w:pPr>
                              <w:pStyle w:val="ListParagraph"/>
                              <w:numPr>
                                <w:ilvl w:val="0"/>
                                <w:numId w:val="17"/>
                              </w:numPr>
                              <w:spacing w:line="276" w:lineRule="auto"/>
                              <w:textDirection w:val="btLr"/>
                              <w:rPr>
                                <w:sz w:val="20"/>
                                <w:szCs w:val="20"/>
                              </w:rPr>
                            </w:pPr>
                            <w:r w:rsidRPr="002D7213">
                              <w:rPr>
                                <w:rFonts w:eastAsia="Arial" w:cs="Arial"/>
                                <w:color w:val="000000"/>
                                <w:sz w:val="20"/>
                                <w:szCs w:val="20"/>
                              </w:rPr>
                              <w:t>The symptom or deficit is not better explained by another medical or mental disorder.</w:t>
                            </w:r>
                          </w:p>
                          <w:p w14:paraId="44ED5290" w14:textId="77777777" w:rsidR="00616AAE" w:rsidRPr="002D7213" w:rsidRDefault="00616AAE" w:rsidP="00616AAE">
                            <w:pPr>
                              <w:pStyle w:val="ListParagraph"/>
                              <w:numPr>
                                <w:ilvl w:val="0"/>
                                <w:numId w:val="17"/>
                              </w:numPr>
                              <w:spacing w:line="276" w:lineRule="auto"/>
                              <w:textDirection w:val="btLr"/>
                              <w:rPr>
                                <w:sz w:val="20"/>
                                <w:szCs w:val="20"/>
                              </w:rPr>
                            </w:pPr>
                            <w:r w:rsidRPr="002D7213">
                              <w:rPr>
                                <w:rFonts w:eastAsia="Arial" w:cs="Arial"/>
                                <w:color w:val="000000"/>
                                <w:sz w:val="20"/>
                                <w:szCs w:val="20"/>
                              </w:rPr>
                              <w:t>The symptom or deficit causes clinically significant distress or impairment in social, occupational, or other important areas of functioning or warrants medical evaluation.</w:t>
                            </w:r>
                          </w:p>
                          <w:p w14:paraId="5F853AB3" w14:textId="77777777" w:rsidR="00616AAE" w:rsidRPr="002D7213" w:rsidRDefault="00616AAE" w:rsidP="002D7213">
                            <w:pPr>
                              <w:spacing w:line="276" w:lineRule="auto"/>
                              <w:ind w:left="720" w:firstLine="360"/>
                              <w:textDirection w:val="btLr"/>
                              <w:rPr>
                                <w:sz w:val="20"/>
                                <w:szCs w:val="20"/>
                              </w:rPr>
                            </w:pPr>
                          </w:p>
                          <w:p w14:paraId="1529BD72" w14:textId="77777777" w:rsidR="00616AAE" w:rsidRPr="002D7213" w:rsidRDefault="00616AAE" w:rsidP="002D7213">
                            <w:pPr>
                              <w:spacing w:line="276" w:lineRule="auto"/>
                              <w:textDirection w:val="btLr"/>
                              <w:rPr>
                                <w:sz w:val="20"/>
                                <w:szCs w:val="20"/>
                              </w:rPr>
                            </w:pPr>
                            <w:r w:rsidRPr="002D7213">
                              <w:rPr>
                                <w:rFonts w:eastAsia="Calibri" w:cs="Calibri"/>
                                <w:i/>
                                <w:color w:val="000000"/>
                                <w:sz w:val="20"/>
                                <w:szCs w:val="20"/>
                              </w:rPr>
                              <w:t>Specify symptom type:</w:t>
                            </w:r>
                          </w:p>
                          <w:p w14:paraId="7D557EC6" w14:textId="77777777" w:rsidR="00616AAE" w:rsidRPr="002D7213" w:rsidRDefault="00616AAE" w:rsidP="002D7213">
                            <w:pPr>
                              <w:spacing w:line="276" w:lineRule="auto"/>
                              <w:textDirection w:val="btLr"/>
                              <w:rPr>
                                <w:bCs/>
                                <w:sz w:val="20"/>
                                <w:szCs w:val="20"/>
                                <w:u w:val="single"/>
                              </w:rPr>
                            </w:pPr>
                            <w:r w:rsidRPr="002D7213">
                              <w:rPr>
                                <w:rFonts w:eastAsia="Calibri" w:cs="Calibri"/>
                                <w:bCs/>
                                <w:color w:val="000000"/>
                                <w:sz w:val="20"/>
                                <w:szCs w:val="20"/>
                                <w:u w:val="single"/>
                              </w:rPr>
                              <w:t>With weakness or paralysis</w:t>
                            </w:r>
                          </w:p>
                          <w:p w14:paraId="53ED7341" w14:textId="77777777" w:rsidR="00616AAE" w:rsidRPr="002D7213" w:rsidRDefault="00616AAE" w:rsidP="002D7213">
                            <w:pPr>
                              <w:spacing w:line="276" w:lineRule="auto"/>
                              <w:textDirection w:val="btLr"/>
                              <w:rPr>
                                <w:sz w:val="20"/>
                                <w:szCs w:val="20"/>
                              </w:rPr>
                            </w:pPr>
                            <w:r w:rsidRPr="002D7213">
                              <w:rPr>
                                <w:rFonts w:eastAsia="Calibri" w:cs="Calibri"/>
                                <w:bCs/>
                                <w:color w:val="000000"/>
                                <w:sz w:val="20"/>
                                <w:szCs w:val="20"/>
                                <w:u w:val="single"/>
                              </w:rPr>
                              <w:t>With abnormal movement</w:t>
                            </w:r>
                            <w:r w:rsidRPr="002D7213">
                              <w:rPr>
                                <w:rFonts w:eastAsia="Calibri" w:cs="Calibri"/>
                                <w:color w:val="000000"/>
                                <w:sz w:val="20"/>
                                <w:szCs w:val="20"/>
                              </w:rPr>
                              <w:t xml:space="preserve"> (e.g., tremor, dystonic movement, myoclonus, gait disorder)</w:t>
                            </w:r>
                          </w:p>
                          <w:p w14:paraId="576B723B" w14:textId="77777777" w:rsidR="00616AAE" w:rsidRPr="002D7213" w:rsidRDefault="00616AAE" w:rsidP="002D7213">
                            <w:pPr>
                              <w:spacing w:line="276" w:lineRule="auto"/>
                              <w:textDirection w:val="btLr"/>
                              <w:rPr>
                                <w:bCs/>
                                <w:sz w:val="20"/>
                                <w:szCs w:val="20"/>
                                <w:u w:val="single"/>
                              </w:rPr>
                            </w:pPr>
                            <w:r w:rsidRPr="002D7213">
                              <w:rPr>
                                <w:rFonts w:eastAsia="Calibri" w:cs="Calibri"/>
                                <w:bCs/>
                                <w:color w:val="000000"/>
                                <w:sz w:val="20"/>
                                <w:szCs w:val="20"/>
                                <w:u w:val="single"/>
                              </w:rPr>
                              <w:t>With swallowing symptoms</w:t>
                            </w:r>
                          </w:p>
                          <w:p w14:paraId="500A37AB" w14:textId="77777777" w:rsidR="00616AAE" w:rsidRPr="002D7213" w:rsidRDefault="00616AAE" w:rsidP="002D7213">
                            <w:pPr>
                              <w:spacing w:line="276" w:lineRule="auto"/>
                              <w:textDirection w:val="btLr"/>
                              <w:rPr>
                                <w:sz w:val="20"/>
                                <w:szCs w:val="20"/>
                              </w:rPr>
                            </w:pPr>
                            <w:r w:rsidRPr="002D7213">
                              <w:rPr>
                                <w:rFonts w:eastAsia="Calibri" w:cs="Calibri"/>
                                <w:bCs/>
                                <w:color w:val="000000"/>
                                <w:sz w:val="20"/>
                                <w:szCs w:val="20"/>
                                <w:u w:val="single"/>
                              </w:rPr>
                              <w:t>With speech symptom</w:t>
                            </w:r>
                            <w:r w:rsidRPr="002D7213">
                              <w:rPr>
                                <w:rFonts w:eastAsia="Calibri" w:cs="Calibri"/>
                                <w:color w:val="000000"/>
                                <w:sz w:val="20"/>
                                <w:szCs w:val="20"/>
                              </w:rPr>
                              <w:t xml:space="preserve"> (e.g., dysphonia, slurred speech)</w:t>
                            </w:r>
                          </w:p>
                          <w:p w14:paraId="33068D17" w14:textId="77777777" w:rsidR="00616AAE" w:rsidRPr="002D7213" w:rsidRDefault="00616AAE" w:rsidP="002D7213">
                            <w:pPr>
                              <w:spacing w:line="276" w:lineRule="auto"/>
                              <w:textDirection w:val="btLr"/>
                              <w:rPr>
                                <w:bCs/>
                                <w:sz w:val="20"/>
                                <w:szCs w:val="20"/>
                                <w:u w:val="single"/>
                              </w:rPr>
                            </w:pPr>
                            <w:r w:rsidRPr="002D7213">
                              <w:rPr>
                                <w:rFonts w:eastAsia="Calibri" w:cs="Calibri"/>
                                <w:bCs/>
                                <w:color w:val="000000"/>
                                <w:sz w:val="20"/>
                                <w:szCs w:val="20"/>
                                <w:u w:val="single"/>
                              </w:rPr>
                              <w:t>With attacks or seizures</w:t>
                            </w:r>
                          </w:p>
                          <w:p w14:paraId="1D5F6966" w14:textId="77777777" w:rsidR="00616AAE" w:rsidRPr="002D7213" w:rsidRDefault="00616AAE" w:rsidP="002D7213">
                            <w:pPr>
                              <w:spacing w:line="276" w:lineRule="auto"/>
                              <w:textDirection w:val="btLr"/>
                              <w:rPr>
                                <w:bCs/>
                                <w:sz w:val="20"/>
                                <w:szCs w:val="20"/>
                                <w:u w:val="single"/>
                              </w:rPr>
                            </w:pPr>
                            <w:r w:rsidRPr="002D7213">
                              <w:rPr>
                                <w:rFonts w:eastAsia="Calibri" w:cs="Calibri"/>
                                <w:bCs/>
                                <w:color w:val="000000"/>
                                <w:sz w:val="20"/>
                                <w:szCs w:val="20"/>
                                <w:u w:val="single"/>
                              </w:rPr>
                              <w:t>With anaesthesia or sensory loss</w:t>
                            </w:r>
                          </w:p>
                          <w:p w14:paraId="705B30D0" w14:textId="77777777" w:rsidR="00616AAE" w:rsidRPr="002D7213" w:rsidRDefault="00616AAE" w:rsidP="002D7213">
                            <w:pPr>
                              <w:spacing w:line="276" w:lineRule="auto"/>
                              <w:textDirection w:val="btLr"/>
                              <w:rPr>
                                <w:sz w:val="20"/>
                                <w:szCs w:val="20"/>
                              </w:rPr>
                            </w:pPr>
                            <w:r w:rsidRPr="002D7213">
                              <w:rPr>
                                <w:rFonts w:eastAsia="Calibri" w:cs="Calibri"/>
                                <w:bCs/>
                                <w:color w:val="000000"/>
                                <w:sz w:val="20"/>
                                <w:szCs w:val="20"/>
                                <w:u w:val="single"/>
                              </w:rPr>
                              <w:t>With special sensory symptom</w:t>
                            </w:r>
                            <w:r w:rsidRPr="002D7213">
                              <w:rPr>
                                <w:rFonts w:eastAsia="Calibri" w:cs="Calibri"/>
                                <w:color w:val="000000"/>
                                <w:sz w:val="20"/>
                                <w:szCs w:val="20"/>
                              </w:rPr>
                              <w:t xml:space="preserve"> (e.g., visual, olfactory, or hearing disturbance)</w:t>
                            </w:r>
                          </w:p>
                          <w:p w14:paraId="756C95B1" w14:textId="77777777" w:rsidR="00616AAE" w:rsidRDefault="00616AAE" w:rsidP="002D7213">
                            <w:pPr>
                              <w:spacing w:line="276" w:lineRule="auto"/>
                              <w:textDirection w:val="btLr"/>
                              <w:rPr>
                                <w:rFonts w:eastAsia="Calibri" w:cs="Calibri"/>
                                <w:bCs/>
                                <w:color w:val="000000"/>
                                <w:sz w:val="19"/>
                                <w:szCs w:val="19"/>
                                <w:u w:val="single"/>
                              </w:rPr>
                            </w:pPr>
                            <w:r w:rsidRPr="00E87E54">
                              <w:rPr>
                                <w:rFonts w:eastAsia="Calibri" w:cs="Calibri"/>
                                <w:bCs/>
                                <w:color w:val="000000"/>
                                <w:sz w:val="19"/>
                                <w:szCs w:val="19"/>
                                <w:u w:val="single"/>
                              </w:rPr>
                              <w:t>With mixed symptoms</w:t>
                            </w:r>
                          </w:p>
                          <w:p w14:paraId="61B7AA80" w14:textId="77777777" w:rsidR="00616AAE" w:rsidRPr="00E87E54" w:rsidRDefault="00616AAE" w:rsidP="002D7213">
                            <w:pPr>
                              <w:spacing w:line="276" w:lineRule="auto"/>
                              <w:textDirection w:val="btLr"/>
                              <w:rPr>
                                <w:bCs/>
                                <w:sz w:val="19"/>
                                <w:szCs w:val="19"/>
                                <w:u w:val="single"/>
                              </w:rPr>
                            </w:pPr>
                          </w:p>
                          <w:p w14:paraId="5E14CC6F" w14:textId="77777777" w:rsidR="00616AAE" w:rsidRPr="00E87E54" w:rsidRDefault="00616AAE" w:rsidP="002D7213">
                            <w:pPr>
                              <w:spacing w:line="276" w:lineRule="auto"/>
                              <w:textDirection w:val="btLr"/>
                              <w:rPr>
                                <w:sz w:val="19"/>
                                <w:szCs w:val="19"/>
                              </w:rPr>
                            </w:pPr>
                            <w:r w:rsidRPr="00E87E54">
                              <w:rPr>
                                <w:rFonts w:eastAsia="Calibri" w:cs="Calibri"/>
                                <w:i/>
                                <w:color w:val="000000"/>
                                <w:sz w:val="19"/>
                                <w:szCs w:val="19"/>
                              </w:rPr>
                              <w:t xml:space="preserve">Specify if: </w:t>
                            </w:r>
                          </w:p>
                          <w:p w14:paraId="5EF3B9A8" w14:textId="77777777" w:rsidR="00616AAE" w:rsidRPr="00E87E54" w:rsidRDefault="00616AAE" w:rsidP="002D7213">
                            <w:pPr>
                              <w:spacing w:line="276" w:lineRule="auto"/>
                              <w:textDirection w:val="btLr"/>
                              <w:rPr>
                                <w:sz w:val="19"/>
                                <w:szCs w:val="19"/>
                              </w:rPr>
                            </w:pPr>
                            <w:r w:rsidRPr="00E87E54">
                              <w:rPr>
                                <w:rFonts w:eastAsia="Calibri" w:cs="Calibri"/>
                                <w:bCs/>
                                <w:color w:val="000000"/>
                                <w:sz w:val="19"/>
                                <w:szCs w:val="19"/>
                                <w:u w:val="single"/>
                              </w:rPr>
                              <w:t>Acute episode:</w:t>
                            </w:r>
                            <w:r w:rsidRPr="00E87E54">
                              <w:rPr>
                                <w:rFonts w:eastAsia="Calibri" w:cs="Calibri"/>
                                <w:color w:val="000000"/>
                                <w:sz w:val="19"/>
                                <w:szCs w:val="19"/>
                              </w:rPr>
                              <w:t xml:space="preserve"> Symptoms present for less than 6 months.</w:t>
                            </w:r>
                          </w:p>
                          <w:p w14:paraId="47263B1F" w14:textId="77777777" w:rsidR="00616AAE" w:rsidRDefault="00616AAE" w:rsidP="002D7213">
                            <w:pPr>
                              <w:spacing w:line="276" w:lineRule="auto"/>
                              <w:textDirection w:val="btLr"/>
                              <w:rPr>
                                <w:rFonts w:eastAsia="Calibri" w:cs="Calibri"/>
                                <w:color w:val="000000"/>
                                <w:sz w:val="19"/>
                                <w:szCs w:val="19"/>
                              </w:rPr>
                            </w:pPr>
                            <w:r w:rsidRPr="00E87E54">
                              <w:rPr>
                                <w:rFonts w:eastAsia="Calibri" w:cs="Calibri"/>
                                <w:bCs/>
                                <w:color w:val="000000"/>
                                <w:sz w:val="19"/>
                                <w:szCs w:val="19"/>
                                <w:u w:val="single"/>
                              </w:rPr>
                              <w:t>Persistent:</w:t>
                            </w:r>
                            <w:r w:rsidRPr="00E87E54">
                              <w:rPr>
                                <w:rFonts w:eastAsia="Calibri" w:cs="Calibri"/>
                                <w:color w:val="000000"/>
                                <w:sz w:val="19"/>
                                <w:szCs w:val="19"/>
                              </w:rPr>
                              <w:t xml:space="preserve"> Symptoms occurring for 6 months or more</w:t>
                            </w:r>
                          </w:p>
                          <w:p w14:paraId="20B6ECFB" w14:textId="77777777" w:rsidR="00616AAE" w:rsidRPr="00E87E54" w:rsidRDefault="00616AAE" w:rsidP="002D7213">
                            <w:pPr>
                              <w:spacing w:line="276" w:lineRule="auto"/>
                              <w:textDirection w:val="btLr"/>
                              <w:rPr>
                                <w:sz w:val="19"/>
                                <w:szCs w:val="19"/>
                              </w:rPr>
                            </w:pPr>
                          </w:p>
                          <w:p w14:paraId="24AE0F0F" w14:textId="77777777" w:rsidR="00616AAE" w:rsidRPr="00E87E54" w:rsidRDefault="00616AAE" w:rsidP="002D7213">
                            <w:pPr>
                              <w:spacing w:line="276" w:lineRule="auto"/>
                              <w:textDirection w:val="btLr"/>
                              <w:rPr>
                                <w:sz w:val="19"/>
                                <w:szCs w:val="19"/>
                              </w:rPr>
                            </w:pPr>
                            <w:r w:rsidRPr="00E87E54">
                              <w:rPr>
                                <w:rFonts w:eastAsia="Calibri" w:cs="Calibri"/>
                                <w:i/>
                                <w:color w:val="000000"/>
                                <w:sz w:val="19"/>
                                <w:szCs w:val="19"/>
                              </w:rPr>
                              <w:t>Specify if:</w:t>
                            </w:r>
                          </w:p>
                          <w:p w14:paraId="44847CEE" w14:textId="77777777" w:rsidR="00616AAE" w:rsidRPr="00E87E54" w:rsidRDefault="00616AAE" w:rsidP="002D7213">
                            <w:pPr>
                              <w:spacing w:line="276" w:lineRule="auto"/>
                              <w:textDirection w:val="btLr"/>
                              <w:rPr>
                                <w:sz w:val="19"/>
                                <w:szCs w:val="19"/>
                              </w:rPr>
                            </w:pPr>
                            <w:r w:rsidRPr="00E87E54">
                              <w:rPr>
                                <w:rFonts w:eastAsia="Calibri" w:cs="Calibri"/>
                                <w:bCs/>
                                <w:color w:val="000000"/>
                                <w:sz w:val="19"/>
                                <w:szCs w:val="19"/>
                                <w:u w:val="single"/>
                              </w:rPr>
                              <w:t>With psychological stressor</w:t>
                            </w:r>
                            <w:r w:rsidRPr="00E87E54">
                              <w:rPr>
                                <w:rFonts w:eastAsia="Calibri" w:cs="Calibri"/>
                                <w:color w:val="000000"/>
                                <w:sz w:val="19"/>
                                <w:szCs w:val="19"/>
                              </w:rPr>
                              <w:t xml:space="preserve"> </w:t>
                            </w:r>
                            <w:r w:rsidRPr="00E87E54">
                              <w:rPr>
                                <w:rFonts w:eastAsia="Calibri" w:cs="Calibri"/>
                                <w:i/>
                                <w:color w:val="000000"/>
                                <w:sz w:val="19"/>
                                <w:szCs w:val="19"/>
                              </w:rPr>
                              <w:t>(specify stressor)</w:t>
                            </w:r>
                          </w:p>
                          <w:p w14:paraId="29B97F11" w14:textId="77777777" w:rsidR="00616AAE" w:rsidRPr="00E87E54" w:rsidRDefault="00616AAE" w:rsidP="002D7213">
                            <w:pPr>
                              <w:spacing w:line="276" w:lineRule="auto"/>
                              <w:textDirection w:val="btLr"/>
                              <w:rPr>
                                <w:bCs/>
                                <w:sz w:val="19"/>
                                <w:szCs w:val="19"/>
                                <w:u w:val="single"/>
                              </w:rPr>
                            </w:pPr>
                            <w:r w:rsidRPr="00E87E54">
                              <w:rPr>
                                <w:rFonts w:eastAsia="Calibri" w:cs="Calibri"/>
                                <w:bCs/>
                                <w:color w:val="000000"/>
                                <w:sz w:val="19"/>
                                <w:szCs w:val="19"/>
                                <w:u w:val="single"/>
                              </w:rPr>
                              <w:t>Without psychological stressor</w:t>
                            </w:r>
                          </w:p>
                          <w:p w14:paraId="4C4C8964" w14:textId="77777777" w:rsidR="00616AAE" w:rsidRPr="00E87E54" w:rsidRDefault="00616AAE" w:rsidP="002D7213">
                            <w:pPr>
                              <w:spacing w:line="276" w:lineRule="auto"/>
                              <w:textDirection w:val="btLr"/>
                              <w:rPr>
                                <w:sz w:val="19"/>
                                <w:szCs w:val="19"/>
                              </w:rPr>
                            </w:pPr>
                          </w:p>
                          <w:p w14:paraId="2F3F8F7B" w14:textId="77777777" w:rsidR="00616AAE" w:rsidRPr="00E87E54" w:rsidRDefault="00616AAE" w:rsidP="002D7213">
                            <w:pPr>
                              <w:spacing w:line="276" w:lineRule="auto"/>
                              <w:textDirection w:val="btLr"/>
                              <w:rPr>
                                <w:sz w:val="19"/>
                                <w:szCs w:val="19"/>
                              </w:rPr>
                            </w:pPr>
                            <w:r w:rsidRPr="00E87E54">
                              <w:rPr>
                                <w:rFonts w:eastAsia="Calibri" w:cs="Calibri"/>
                                <w:color w:val="000000"/>
                                <w:sz w:val="19"/>
                                <w:szCs w:val="19"/>
                              </w:rPr>
                              <w:t>(DSM-5; American Psychiatric Association, 2013)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B46127" id="Rectangle 517" o:spid="_x0000_s1026" style="position:absolute;left:0;text-align:left;margin-left:206.2pt;margin-top:112.25pt;width:258.65pt;height:55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" fillcolor="#f2f2f2" stroked="f">
                <v:textbox inset="2.53958mm,1.2694mm,2.53958mm,1.2694mm">
                  <w:txbxContent>
                    <w:p w14:paraId="73343200" w14:textId="77777777" w:rsidR="00616AAE" w:rsidRPr="002D7213" w:rsidRDefault="00616AAE" w:rsidP="002D7213">
                      <w:pPr>
                        <w:spacing w:line="276" w:lineRule="auto"/>
                        <w:textDirection w:val="btLr"/>
                        <w:rPr>
                          <w:bCs/>
                          <w:sz w:val="20"/>
                          <w:szCs w:val="20"/>
                        </w:rPr>
                      </w:pPr>
                      <w:r w:rsidRPr="002D7213">
                        <w:rPr>
                          <w:rFonts w:eastAsia="Calibri" w:cs="Calibri"/>
                          <w:bCs/>
                          <w:color w:val="000000"/>
                          <w:sz w:val="20"/>
                          <w:szCs w:val="20"/>
                          <w:u w:val="single"/>
                        </w:rPr>
                        <w:t>Figure 1 – DSM-5 Criteria for Functional Neurological Disorder</w:t>
                      </w:r>
                    </w:p>
                    <w:p w14:paraId="346F1E71" w14:textId="77777777" w:rsidR="00616AAE" w:rsidRPr="002D7213" w:rsidRDefault="00616AAE" w:rsidP="00616AAE">
                      <w:pPr>
                        <w:pStyle w:val="ListParagraph"/>
                        <w:numPr>
                          <w:ilvl w:val="0"/>
                          <w:numId w:val="17"/>
                        </w:numPr>
                        <w:spacing w:line="276" w:lineRule="auto"/>
                        <w:textDirection w:val="btLr"/>
                        <w:rPr>
                          <w:sz w:val="20"/>
                          <w:szCs w:val="20"/>
                        </w:rPr>
                      </w:pPr>
                      <w:r w:rsidRPr="002D7213">
                        <w:rPr>
                          <w:rFonts w:eastAsia="Arial" w:cs="Arial"/>
                          <w:color w:val="000000"/>
                          <w:sz w:val="20"/>
                          <w:szCs w:val="20"/>
                        </w:rPr>
                        <w:t>One or more symptoms of altered voluntary motor or sensory function.</w:t>
                      </w:r>
                    </w:p>
                    <w:p w14:paraId="25EF9305" w14:textId="77777777" w:rsidR="00616AAE" w:rsidRPr="002D7213" w:rsidRDefault="00616AAE" w:rsidP="00616AAE">
                      <w:pPr>
                        <w:pStyle w:val="ListParagraph"/>
                        <w:numPr>
                          <w:ilvl w:val="0"/>
                          <w:numId w:val="17"/>
                        </w:numPr>
                        <w:spacing w:line="276" w:lineRule="auto"/>
                        <w:textDirection w:val="btLr"/>
                        <w:rPr>
                          <w:sz w:val="20"/>
                          <w:szCs w:val="20"/>
                        </w:rPr>
                      </w:pPr>
                      <w:r w:rsidRPr="002D7213">
                        <w:rPr>
                          <w:rFonts w:eastAsia="Arial" w:cs="Arial"/>
                          <w:color w:val="000000"/>
                          <w:sz w:val="20"/>
                          <w:szCs w:val="20"/>
                        </w:rPr>
                        <w:t>Clinical findings provide evidence of incompatibility between symptoms and recognised neurological or medical conditions.</w:t>
                      </w:r>
                    </w:p>
                    <w:p w14:paraId="72E7E29B" w14:textId="77777777" w:rsidR="00616AAE" w:rsidRPr="002D7213" w:rsidRDefault="00616AAE" w:rsidP="00616AAE">
                      <w:pPr>
                        <w:pStyle w:val="ListParagraph"/>
                        <w:numPr>
                          <w:ilvl w:val="0"/>
                          <w:numId w:val="17"/>
                        </w:numPr>
                        <w:spacing w:line="276" w:lineRule="auto"/>
                        <w:textDirection w:val="btLr"/>
                        <w:rPr>
                          <w:sz w:val="20"/>
                          <w:szCs w:val="20"/>
                        </w:rPr>
                      </w:pPr>
                      <w:r w:rsidRPr="002D7213">
                        <w:rPr>
                          <w:rFonts w:eastAsia="Arial" w:cs="Arial"/>
                          <w:color w:val="000000"/>
                          <w:sz w:val="20"/>
                          <w:szCs w:val="20"/>
                        </w:rPr>
                        <w:t>The symptom or deficit is not better explained by another medical or mental disorder.</w:t>
                      </w:r>
                    </w:p>
                    <w:p w14:paraId="44ED5290" w14:textId="77777777" w:rsidR="00616AAE" w:rsidRPr="002D7213" w:rsidRDefault="00616AAE" w:rsidP="00616AAE">
                      <w:pPr>
                        <w:pStyle w:val="ListParagraph"/>
                        <w:numPr>
                          <w:ilvl w:val="0"/>
                          <w:numId w:val="17"/>
                        </w:numPr>
                        <w:spacing w:line="276" w:lineRule="auto"/>
                        <w:textDirection w:val="btLr"/>
                        <w:rPr>
                          <w:sz w:val="20"/>
                          <w:szCs w:val="20"/>
                        </w:rPr>
                      </w:pPr>
                      <w:r w:rsidRPr="002D7213">
                        <w:rPr>
                          <w:rFonts w:eastAsia="Arial" w:cs="Arial"/>
                          <w:color w:val="000000"/>
                          <w:sz w:val="20"/>
                          <w:szCs w:val="20"/>
                        </w:rPr>
                        <w:t>The symptom or deficit causes clinically significant distress or impairment in social, occupational, or other important areas of functioning or warrants medical evaluation.</w:t>
                      </w:r>
                    </w:p>
                    <w:p w14:paraId="5F853AB3" w14:textId="77777777" w:rsidR="00616AAE" w:rsidRPr="002D7213" w:rsidRDefault="00616AAE" w:rsidP="002D7213">
                      <w:pPr>
                        <w:spacing w:line="276" w:lineRule="auto"/>
                        <w:ind w:left="720" w:firstLine="360"/>
                        <w:textDirection w:val="btLr"/>
                        <w:rPr>
                          <w:sz w:val="20"/>
                          <w:szCs w:val="20"/>
                        </w:rPr>
                      </w:pPr>
                    </w:p>
                    <w:p w14:paraId="1529BD72" w14:textId="77777777" w:rsidR="00616AAE" w:rsidRPr="002D7213" w:rsidRDefault="00616AAE" w:rsidP="002D7213">
                      <w:pPr>
                        <w:spacing w:line="276" w:lineRule="auto"/>
                        <w:textDirection w:val="btLr"/>
                        <w:rPr>
                          <w:sz w:val="20"/>
                          <w:szCs w:val="20"/>
                        </w:rPr>
                      </w:pPr>
                      <w:r w:rsidRPr="002D7213">
                        <w:rPr>
                          <w:rFonts w:eastAsia="Calibri" w:cs="Calibri"/>
                          <w:i/>
                          <w:color w:val="000000"/>
                          <w:sz w:val="20"/>
                          <w:szCs w:val="20"/>
                        </w:rPr>
                        <w:t>Specify symptom type:</w:t>
                      </w:r>
                    </w:p>
                    <w:p w14:paraId="7D557EC6" w14:textId="77777777" w:rsidR="00616AAE" w:rsidRPr="002D7213" w:rsidRDefault="00616AAE" w:rsidP="002D7213">
                      <w:pPr>
                        <w:spacing w:line="276" w:lineRule="auto"/>
                        <w:textDirection w:val="btLr"/>
                        <w:rPr>
                          <w:bCs/>
                          <w:sz w:val="20"/>
                          <w:szCs w:val="20"/>
                          <w:u w:val="single"/>
                        </w:rPr>
                      </w:pPr>
                      <w:r w:rsidRPr="002D7213">
                        <w:rPr>
                          <w:rFonts w:eastAsia="Calibri" w:cs="Calibri"/>
                          <w:bCs/>
                          <w:color w:val="000000"/>
                          <w:sz w:val="20"/>
                          <w:szCs w:val="20"/>
                          <w:u w:val="single"/>
                        </w:rPr>
                        <w:t>With weakness or paralysis</w:t>
                      </w:r>
                    </w:p>
                    <w:p w14:paraId="53ED7341" w14:textId="77777777" w:rsidR="00616AAE" w:rsidRPr="002D7213" w:rsidRDefault="00616AAE" w:rsidP="002D7213">
                      <w:pPr>
                        <w:spacing w:line="276" w:lineRule="auto"/>
                        <w:textDirection w:val="btLr"/>
                        <w:rPr>
                          <w:sz w:val="20"/>
                          <w:szCs w:val="20"/>
                        </w:rPr>
                      </w:pPr>
                      <w:r w:rsidRPr="002D7213">
                        <w:rPr>
                          <w:rFonts w:eastAsia="Calibri" w:cs="Calibri"/>
                          <w:bCs/>
                          <w:color w:val="000000"/>
                          <w:sz w:val="20"/>
                          <w:szCs w:val="20"/>
                          <w:u w:val="single"/>
                        </w:rPr>
                        <w:t>With abnormal movement</w:t>
                      </w:r>
                      <w:r w:rsidRPr="002D7213">
                        <w:rPr>
                          <w:rFonts w:eastAsia="Calibri" w:cs="Calibri"/>
                          <w:color w:val="000000"/>
                          <w:sz w:val="20"/>
                          <w:szCs w:val="20"/>
                        </w:rPr>
                        <w:t xml:space="preserve"> (e.g., tremor, dystonic movement, myoclonus, gait disorder)</w:t>
                      </w:r>
                    </w:p>
                    <w:p w14:paraId="576B723B" w14:textId="77777777" w:rsidR="00616AAE" w:rsidRPr="002D7213" w:rsidRDefault="00616AAE" w:rsidP="002D7213">
                      <w:pPr>
                        <w:spacing w:line="276" w:lineRule="auto"/>
                        <w:textDirection w:val="btLr"/>
                        <w:rPr>
                          <w:bCs/>
                          <w:sz w:val="20"/>
                          <w:szCs w:val="20"/>
                          <w:u w:val="single"/>
                        </w:rPr>
                      </w:pPr>
                      <w:r w:rsidRPr="002D7213">
                        <w:rPr>
                          <w:rFonts w:eastAsia="Calibri" w:cs="Calibri"/>
                          <w:bCs/>
                          <w:color w:val="000000"/>
                          <w:sz w:val="20"/>
                          <w:szCs w:val="20"/>
                          <w:u w:val="single"/>
                        </w:rPr>
                        <w:t>With swallowing symptoms</w:t>
                      </w:r>
                    </w:p>
                    <w:p w14:paraId="500A37AB" w14:textId="77777777" w:rsidR="00616AAE" w:rsidRPr="002D7213" w:rsidRDefault="00616AAE" w:rsidP="002D7213">
                      <w:pPr>
                        <w:spacing w:line="276" w:lineRule="auto"/>
                        <w:textDirection w:val="btLr"/>
                        <w:rPr>
                          <w:sz w:val="20"/>
                          <w:szCs w:val="20"/>
                        </w:rPr>
                      </w:pPr>
                      <w:r w:rsidRPr="002D7213">
                        <w:rPr>
                          <w:rFonts w:eastAsia="Calibri" w:cs="Calibri"/>
                          <w:bCs/>
                          <w:color w:val="000000"/>
                          <w:sz w:val="20"/>
                          <w:szCs w:val="20"/>
                          <w:u w:val="single"/>
                        </w:rPr>
                        <w:t>With speech symptom</w:t>
                      </w:r>
                      <w:r w:rsidRPr="002D7213">
                        <w:rPr>
                          <w:rFonts w:eastAsia="Calibri" w:cs="Calibri"/>
                          <w:color w:val="000000"/>
                          <w:sz w:val="20"/>
                          <w:szCs w:val="20"/>
                        </w:rPr>
                        <w:t xml:space="preserve"> (e.g., dysphonia, slurred speech)</w:t>
                      </w:r>
                    </w:p>
                    <w:p w14:paraId="33068D17" w14:textId="77777777" w:rsidR="00616AAE" w:rsidRPr="002D7213" w:rsidRDefault="00616AAE" w:rsidP="002D7213">
                      <w:pPr>
                        <w:spacing w:line="276" w:lineRule="auto"/>
                        <w:textDirection w:val="btLr"/>
                        <w:rPr>
                          <w:bCs/>
                          <w:sz w:val="20"/>
                          <w:szCs w:val="20"/>
                          <w:u w:val="single"/>
                        </w:rPr>
                      </w:pPr>
                      <w:r w:rsidRPr="002D7213">
                        <w:rPr>
                          <w:rFonts w:eastAsia="Calibri" w:cs="Calibri"/>
                          <w:bCs/>
                          <w:color w:val="000000"/>
                          <w:sz w:val="20"/>
                          <w:szCs w:val="20"/>
                          <w:u w:val="single"/>
                        </w:rPr>
                        <w:t>With attacks or seizures</w:t>
                      </w:r>
                    </w:p>
                    <w:p w14:paraId="1D5F6966" w14:textId="77777777" w:rsidR="00616AAE" w:rsidRPr="002D7213" w:rsidRDefault="00616AAE" w:rsidP="002D7213">
                      <w:pPr>
                        <w:spacing w:line="276" w:lineRule="auto"/>
                        <w:textDirection w:val="btLr"/>
                        <w:rPr>
                          <w:bCs/>
                          <w:sz w:val="20"/>
                          <w:szCs w:val="20"/>
                          <w:u w:val="single"/>
                        </w:rPr>
                      </w:pPr>
                      <w:r w:rsidRPr="002D7213">
                        <w:rPr>
                          <w:rFonts w:eastAsia="Calibri" w:cs="Calibri"/>
                          <w:bCs/>
                          <w:color w:val="000000"/>
                          <w:sz w:val="20"/>
                          <w:szCs w:val="20"/>
                          <w:u w:val="single"/>
                        </w:rPr>
                        <w:t>With anaesthesia or sensory loss</w:t>
                      </w:r>
                    </w:p>
                    <w:p w14:paraId="705B30D0" w14:textId="77777777" w:rsidR="00616AAE" w:rsidRPr="002D7213" w:rsidRDefault="00616AAE" w:rsidP="002D7213">
                      <w:pPr>
                        <w:spacing w:line="276" w:lineRule="auto"/>
                        <w:textDirection w:val="btLr"/>
                        <w:rPr>
                          <w:sz w:val="20"/>
                          <w:szCs w:val="20"/>
                        </w:rPr>
                      </w:pPr>
                      <w:r w:rsidRPr="002D7213">
                        <w:rPr>
                          <w:rFonts w:eastAsia="Calibri" w:cs="Calibri"/>
                          <w:bCs/>
                          <w:color w:val="000000"/>
                          <w:sz w:val="20"/>
                          <w:szCs w:val="20"/>
                          <w:u w:val="single"/>
                        </w:rPr>
                        <w:t>With special sensory symptom</w:t>
                      </w:r>
                      <w:r w:rsidRPr="002D7213">
                        <w:rPr>
                          <w:rFonts w:eastAsia="Calibri" w:cs="Calibri"/>
                          <w:color w:val="000000"/>
                          <w:sz w:val="20"/>
                          <w:szCs w:val="20"/>
                        </w:rPr>
                        <w:t xml:space="preserve"> (e.g., visual, olfactory, or hearing disturbance)</w:t>
                      </w:r>
                    </w:p>
                    <w:p w14:paraId="756C95B1" w14:textId="77777777" w:rsidR="00616AAE" w:rsidRDefault="00616AAE" w:rsidP="002D7213">
                      <w:pPr>
                        <w:spacing w:line="276" w:lineRule="auto"/>
                        <w:textDirection w:val="btLr"/>
                        <w:rPr>
                          <w:rFonts w:eastAsia="Calibri" w:cs="Calibri"/>
                          <w:bCs/>
                          <w:color w:val="000000"/>
                          <w:sz w:val="19"/>
                          <w:szCs w:val="19"/>
                          <w:u w:val="single"/>
                        </w:rPr>
                      </w:pPr>
                      <w:r w:rsidRPr="00E87E54">
                        <w:rPr>
                          <w:rFonts w:eastAsia="Calibri" w:cs="Calibri"/>
                          <w:bCs/>
                          <w:color w:val="000000"/>
                          <w:sz w:val="19"/>
                          <w:szCs w:val="19"/>
                          <w:u w:val="single"/>
                        </w:rPr>
                        <w:t>With mixed symptoms</w:t>
                      </w:r>
                    </w:p>
                    <w:p w14:paraId="61B7AA80" w14:textId="77777777" w:rsidR="00616AAE" w:rsidRPr="00E87E54" w:rsidRDefault="00616AAE" w:rsidP="002D7213">
                      <w:pPr>
                        <w:spacing w:line="276" w:lineRule="auto"/>
                        <w:textDirection w:val="btLr"/>
                        <w:rPr>
                          <w:bCs/>
                          <w:sz w:val="19"/>
                          <w:szCs w:val="19"/>
                          <w:u w:val="single"/>
                        </w:rPr>
                      </w:pPr>
                    </w:p>
                    <w:p w14:paraId="5E14CC6F" w14:textId="77777777" w:rsidR="00616AAE" w:rsidRPr="00E87E54" w:rsidRDefault="00616AAE" w:rsidP="002D7213">
                      <w:pPr>
                        <w:spacing w:line="276" w:lineRule="auto"/>
                        <w:textDirection w:val="btLr"/>
                        <w:rPr>
                          <w:sz w:val="19"/>
                          <w:szCs w:val="19"/>
                        </w:rPr>
                      </w:pPr>
                      <w:r w:rsidRPr="00E87E54">
                        <w:rPr>
                          <w:rFonts w:eastAsia="Calibri" w:cs="Calibri"/>
                          <w:i/>
                          <w:color w:val="000000"/>
                          <w:sz w:val="19"/>
                          <w:szCs w:val="19"/>
                        </w:rPr>
                        <w:t xml:space="preserve">Specify if: </w:t>
                      </w:r>
                    </w:p>
                    <w:p w14:paraId="5EF3B9A8" w14:textId="77777777" w:rsidR="00616AAE" w:rsidRPr="00E87E54" w:rsidRDefault="00616AAE" w:rsidP="002D7213">
                      <w:pPr>
                        <w:spacing w:line="276" w:lineRule="auto"/>
                        <w:textDirection w:val="btLr"/>
                        <w:rPr>
                          <w:sz w:val="19"/>
                          <w:szCs w:val="19"/>
                        </w:rPr>
                      </w:pPr>
                      <w:r w:rsidRPr="00E87E54">
                        <w:rPr>
                          <w:rFonts w:eastAsia="Calibri" w:cs="Calibri"/>
                          <w:bCs/>
                          <w:color w:val="000000"/>
                          <w:sz w:val="19"/>
                          <w:szCs w:val="19"/>
                          <w:u w:val="single"/>
                        </w:rPr>
                        <w:t>Acute episode:</w:t>
                      </w:r>
                      <w:r w:rsidRPr="00E87E54">
                        <w:rPr>
                          <w:rFonts w:eastAsia="Calibri" w:cs="Calibri"/>
                          <w:color w:val="000000"/>
                          <w:sz w:val="19"/>
                          <w:szCs w:val="19"/>
                        </w:rPr>
                        <w:t xml:space="preserve"> Symptoms present for less than 6 months.</w:t>
                      </w:r>
                    </w:p>
                    <w:p w14:paraId="47263B1F" w14:textId="77777777" w:rsidR="00616AAE" w:rsidRDefault="00616AAE" w:rsidP="002D7213">
                      <w:pPr>
                        <w:spacing w:line="276" w:lineRule="auto"/>
                        <w:textDirection w:val="btLr"/>
                        <w:rPr>
                          <w:rFonts w:eastAsia="Calibri" w:cs="Calibri"/>
                          <w:color w:val="000000"/>
                          <w:sz w:val="19"/>
                          <w:szCs w:val="19"/>
                        </w:rPr>
                      </w:pPr>
                      <w:r w:rsidRPr="00E87E54">
                        <w:rPr>
                          <w:rFonts w:eastAsia="Calibri" w:cs="Calibri"/>
                          <w:bCs/>
                          <w:color w:val="000000"/>
                          <w:sz w:val="19"/>
                          <w:szCs w:val="19"/>
                          <w:u w:val="single"/>
                        </w:rPr>
                        <w:t>Persistent:</w:t>
                      </w:r>
                      <w:r w:rsidRPr="00E87E54">
                        <w:rPr>
                          <w:rFonts w:eastAsia="Calibri" w:cs="Calibri"/>
                          <w:color w:val="000000"/>
                          <w:sz w:val="19"/>
                          <w:szCs w:val="19"/>
                        </w:rPr>
                        <w:t xml:space="preserve"> Symptoms occurring for 6 months or more</w:t>
                      </w:r>
                    </w:p>
                    <w:p w14:paraId="20B6ECFB" w14:textId="77777777" w:rsidR="00616AAE" w:rsidRPr="00E87E54" w:rsidRDefault="00616AAE" w:rsidP="002D7213">
                      <w:pPr>
                        <w:spacing w:line="276" w:lineRule="auto"/>
                        <w:textDirection w:val="btLr"/>
                        <w:rPr>
                          <w:sz w:val="19"/>
                          <w:szCs w:val="19"/>
                        </w:rPr>
                      </w:pPr>
                    </w:p>
                    <w:p w14:paraId="24AE0F0F" w14:textId="77777777" w:rsidR="00616AAE" w:rsidRPr="00E87E54" w:rsidRDefault="00616AAE" w:rsidP="002D7213">
                      <w:pPr>
                        <w:spacing w:line="276" w:lineRule="auto"/>
                        <w:textDirection w:val="btLr"/>
                        <w:rPr>
                          <w:sz w:val="19"/>
                          <w:szCs w:val="19"/>
                        </w:rPr>
                      </w:pPr>
                      <w:r w:rsidRPr="00E87E54">
                        <w:rPr>
                          <w:rFonts w:eastAsia="Calibri" w:cs="Calibri"/>
                          <w:i/>
                          <w:color w:val="000000"/>
                          <w:sz w:val="19"/>
                          <w:szCs w:val="19"/>
                        </w:rPr>
                        <w:t>Specify if:</w:t>
                      </w:r>
                    </w:p>
                    <w:p w14:paraId="44847CEE" w14:textId="77777777" w:rsidR="00616AAE" w:rsidRPr="00E87E54" w:rsidRDefault="00616AAE" w:rsidP="002D7213">
                      <w:pPr>
                        <w:spacing w:line="276" w:lineRule="auto"/>
                        <w:textDirection w:val="btLr"/>
                        <w:rPr>
                          <w:sz w:val="19"/>
                          <w:szCs w:val="19"/>
                        </w:rPr>
                      </w:pPr>
                      <w:r w:rsidRPr="00E87E54">
                        <w:rPr>
                          <w:rFonts w:eastAsia="Calibri" w:cs="Calibri"/>
                          <w:bCs/>
                          <w:color w:val="000000"/>
                          <w:sz w:val="19"/>
                          <w:szCs w:val="19"/>
                          <w:u w:val="single"/>
                        </w:rPr>
                        <w:t>With psychological stressor</w:t>
                      </w:r>
                      <w:r w:rsidRPr="00E87E54">
                        <w:rPr>
                          <w:rFonts w:eastAsia="Calibri" w:cs="Calibri"/>
                          <w:color w:val="000000"/>
                          <w:sz w:val="19"/>
                          <w:szCs w:val="19"/>
                        </w:rPr>
                        <w:t xml:space="preserve"> </w:t>
                      </w:r>
                      <w:r w:rsidRPr="00E87E54">
                        <w:rPr>
                          <w:rFonts w:eastAsia="Calibri" w:cs="Calibri"/>
                          <w:i/>
                          <w:color w:val="000000"/>
                          <w:sz w:val="19"/>
                          <w:szCs w:val="19"/>
                        </w:rPr>
                        <w:t>(specify stressor)</w:t>
                      </w:r>
                    </w:p>
                    <w:p w14:paraId="29B97F11" w14:textId="77777777" w:rsidR="00616AAE" w:rsidRPr="00E87E54" w:rsidRDefault="00616AAE" w:rsidP="002D7213">
                      <w:pPr>
                        <w:spacing w:line="276" w:lineRule="auto"/>
                        <w:textDirection w:val="btLr"/>
                        <w:rPr>
                          <w:bCs/>
                          <w:sz w:val="19"/>
                          <w:szCs w:val="19"/>
                          <w:u w:val="single"/>
                        </w:rPr>
                      </w:pPr>
                      <w:r w:rsidRPr="00E87E54">
                        <w:rPr>
                          <w:rFonts w:eastAsia="Calibri" w:cs="Calibri"/>
                          <w:bCs/>
                          <w:color w:val="000000"/>
                          <w:sz w:val="19"/>
                          <w:szCs w:val="19"/>
                          <w:u w:val="single"/>
                        </w:rPr>
                        <w:t>Without psychological stressor</w:t>
                      </w:r>
                    </w:p>
                    <w:p w14:paraId="4C4C8964" w14:textId="77777777" w:rsidR="00616AAE" w:rsidRPr="00E87E54" w:rsidRDefault="00616AAE" w:rsidP="002D7213">
                      <w:pPr>
                        <w:spacing w:line="276" w:lineRule="auto"/>
                        <w:textDirection w:val="btLr"/>
                        <w:rPr>
                          <w:sz w:val="19"/>
                          <w:szCs w:val="19"/>
                        </w:rPr>
                      </w:pPr>
                    </w:p>
                    <w:p w14:paraId="2F3F8F7B" w14:textId="77777777" w:rsidR="00616AAE" w:rsidRPr="00E87E54" w:rsidRDefault="00616AAE" w:rsidP="002D7213">
                      <w:pPr>
                        <w:spacing w:line="276" w:lineRule="auto"/>
                        <w:textDirection w:val="btLr"/>
                        <w:rPr>
                          <w:sz w:val="19"/>
                          <w:szCs w:val="19"/>
                        </w:rPr>
                      </w:pPr>
                      <w:r w:rsidRPr="00E87E54">
                        <w:rPr>
                          <w:rFonts w:eastAsia="Calibri" w:cs="Calibri"/>
                          <w:color w:val="000000"/>
                          <w:sz w:val="19"/>
                          <w:szCs w:val="19"/>
                        </w:rPr>
                        <w:t>(DSM-5; American Psychiatric Association, 2013)</w:t>
                      </w:r>
                    </w:p>
                  </w:txbxContent>
                </v:textbox>
                <w10:wrap type="square"/>
              </v:rect>
            </w:pict>
          </mc:Fallback>
        </mc:AlternateContent>
      </w:r>
      <w:r w:rsidRPr="00F41695">
        <w:rPr>
          <w:szCs w:val="22"/>
        </w:rPr>
        <w:t xml:space="preserve">Diagnosis and treatment of </w:t>
      </w:r>
      <w:r>
        <w:rPr>
          <w:szCs w:val="22"/>
        </w:rPr>
        <w:t>FNSD</w:t>
      </w:r>
      <w:r w:rsidRPr="00F41695">
        <w:rPr>
          <w:szCs w:val="22"/>
        </w:rPr>
        <w:t xml:space="preserve"> have been historically challenging, with patients often experiencing long delays in receiving a definitive diagnosis</w:t>
      </w:r>
      <w:r>
        <w:rPr>
          <w:szCs w:val="22"/>
        </w:rPr>
        <w:t>,</w:t>
      </w:r>
      <w:r w:rsidRPr="00F41695">
        <w:rPr>
          <w:szCs w:val="22"/>
        </w:rPr>
        <w:t xml:space="preserve"> </w:t>
      </w:r>
      <w:r>
        <w:rPr>
          <w:szCs w:val="22"/>
        </w:rPr>
        <w:t xml:space="preserve">misdiagnoses or subsequently </w:t>
      </w:r>
      <w:r w:rsidRPr="00F41695">
        <w:rPr>
          <w:szCs w:val="22"/>
        </w:rPr>
        <w:t>inappropriate treatment interventions</w:t>
      </w:r>
      <w:r>
        <w:rPr>
          <w:szCs w:val="22"/>
        </w:rPr>
        <w:t xml:space="preserve"> </w:t>
      </w:r>
      <w:sdt>
        <w:sdtPr>
          <w:rPr>
            <w:szCs w:val="22"/>
          </w:rPr>
          <w:tag w:val="MENDELEY_CITATION_v3_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"/>
          <w:id w:val="826786641"/>
          <w:placeholder>
            <w:docPart w:val="E11707C14A687C4394FB968AA7E5B24E"/>
          </w:placeholder>
        </w:sdtPr>
        <w:sdtContent>
          <w:r w:rsidR="005E4029">
            <w:rPr>
              <w:rFonts w:eastAsia="Times New Roman"/>
            </w:rPr>
            <w:t>(</w:t>
          </w:r>
          <w:proofErr w:type="spellStart"/>
          <w:r w:rsidR="005E4029">
            <w:rPr>
              <w:rFonts w:eastAsia="Times New Roman"/>
            </w:rPr>
            <w:t>Gelauff</w:t>
          </w:r>
          <w:proofErr w:type="spellEnd"/>
          <w:r w:rsidR="005E4029">
            <w:rPr>
              <w:rFonts w:eastAsia="Times New Roman"/>
            </w:rPr>
            <w:t xml:space="preserve"> et al., 2014; </w:t>
          </w:r>
          <w:proofErr w:type="spellStart"/>
          <w:r w:rsidR="005E4029">
            <w:rPr>
              <w:rFonts w:eastAsia="Times New Roman"/>
            </w:rPr>
            <w:t>Gelauff</w:t>
          </w:r>
          <w:proofErr w:type="spellEnd"/>
          <w:r w:rsidR="005E4029">
            <w:rPr>
              <w:rFonts w:eastAsia="Times New Roman"/>
            </w:rPr>
            <w:t xml:space="preserve"> &amp; Stone, 2016)</w:t>
          </w:r>
        </w:sdtContent>
      </w:sdt>
      <w:r w:rsidRPr="00F41695">
        <w:rPr>
          <w:szCs w:val="22"/>
        </w:rPr>
        <w:t xml:space="preserve">. The diagnostic criteria have evolved as the understanding of the condition has improved. Historically, </w:t>
      </w:r>
      <w:r>
        <w:rPr>
          <w:szCs w:val="22"/>
        </w:rPr>
        <w:t>FNSD</w:t>
      </w:r>
      <w:r w:rsidRPr="00F41695">
        <w:rPr>
          <w:szCs w:val="22"/>
        </w:rPr>
        <w:t xml:space="preserve"> was a diagnosis of exclusion, requiring the elimination of other potential organic causes before being considered</w:t>
      </w:r>
      <w:r>
        <w:rPr>
          <w:szCs w:val="22"/>
        </w:rPr>
        <w:t xml:space="preserve"> </w:t>
      </w:r>
      <w:sdt>
        <w:sdtPr>
          <w:rPr>
            <w:color w:val="000000"/>
            <w:szCs w:val="22"/>
          </w:rPr>
          <w:tag w:val="MENDELEY_CITATION_v3_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"/>
          <w:id w:val="1487827881"/>
          <w:placeholder>
            <w:docPart w:val="E11707C14A687C4394FB968AA7E5B24E"/>
          </w:placeholder>
        </w:sdtPr>
        <w:sdtContent>
          <w:r w:rsidR="005E4029" w:rsidRPr="005E4029">
            <w:rPr>
              <w:color w:val="000000"/>
              <w:szCs w:val="22"/>
            </w:rPr>
            <w:t>(Stone et al., 2005)</w:t>
          </w:r>
        </w:sdtContent>
      </w:sdt>
      <w:r>
        <w:rPr>
          <w:szCs w:val="22"/>
        </w:rPr>
        <w:t xml:space="preserve">. </w:t>
      </w:r>
      <w:r w:rsidRPr="00F41695">
        <w:rPr>
          <w:szCs w:val="22"/>
        </w:rPr>
        <w:t>However,</w:t>
      </w:r>
      <w:r>
        <w:rPr>
          <w:szCs w:val="22"/>
        </w:rPr>
        <w:t xml:space="preserve"> </w:t>
      </w:r>
      <w:r w:rsidRPr="00155AF3">
        <w:rPr>
          <w:szCs w:val="22"/>
        </w:rPr>
        <w:t xml:space="preserve">advancements in understanding the pathophysiology and semiology of </w:t>
      </w:r>
      <w:r>
        <w:rPr>
          <w:szCs w:val="22"/>
        </w:rPr>
        <w:t>FNSD</w:t>
      </w:r>
      <w:r w:rsidRPr="00155AF3">
        <w:rPr>
          <w:szCs w:val="22"/>
        </w:rPr>
        <w:t>s have led to the development of specific diagnostic criteria</w:t>
      </w:r>
      <w:r>
        <w:rPr>
          <w:szCs w:val="22"/>
        </w:rPr>
        <w:t xml:space="preserve">. </w:t>
      </w:r>
    </w:p>
    <w:p w14:paraId="039DF8B6" w14:textId="40CE518D" w:rsidR="00616AAE" w:rsidRDefault="00616AAE" w:rsidP="00287416">
      <w:pPr>
        <w:rPr>
          <w:szCs w:val="22"/>
        </w:rPr>
      </w:pPr>
      <w:r>
        <w:rPr>
          <w:szCs w:val="22"/>
        </w:rPr>
        <w:t>T</w:t>
      </w:r>
      <w:r w:rsidRPr="00F41695">
        <w:rPr>
          <w:szCs w:val="22"/>
        </w:rPr>
        <w:t xml:space="preserve">he publication of the Diagnostic and Statistical Manual of Mental Disorders, Fifth Edition (DSM-5) introduced positive diagnostic criteria for </w:t>
      </w:r>
      <w:r>
        <w:rPr>
          <w:szCs w:val="22"/>
        </w:rPr>
        <w:t>FNSD</w:t>
      </w:r>
      <w:r w:rsidRPr="00F41695">
        <w:rPr>
          <w:szCs w:val="22"/>
        </w:rPr>
        <w:t xml:space="preserve">, </w:t>
      </w:r>
      <w:r>
        <w:rPr>
          <w:szCs w:val="22"/>
        </w:rPr>
        <w:t>emphasising</w:t>
      </w:r>
      <w:r w:rsidRPr="00F41695">
        <w:rPr>
          <w:szCs w:val="22"/>
        </w:rPr>
        <w:t xml:space="preserve"> the identification of specific clinical features indicative of the disorder </w:t>
      </w:r>
      <w:sdt>
        <w:sdtPr>
          <w:rPr>
            <w:color w:val="000000"/>
            <w:szCs w:val="22"/>
          </w:rPr>
          <w:tag w:val="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"/>
          <w:id w:val="-2056925497"/>
          <w:placeholder>
            <w:docPart w:val="E11707C14A687C4394FB968AA7E5B24E"/>
          </w:placeholder>
        </w:sdtPr>
        <w:sdtContent>
          <w:r w:rsidR="005E4029" w:rsidRPr="005E4029">
            <w:rPr>
              <w:color w:val="000000"/>
              <w:szCs w:val="22"/>
            </w:rPr>
            <w:t xml:space="preserve">(American Psychiatric Association, 2013; Kanaan et al., 2010; Stone et </w:t>
          </w:r>
          <w:r w:rsidR="005E4029" w:rsidRPr="005E4029">
            <w:rPr>
              <w:color w:val="000000"/>
              <w:szCs w:val="22"/>
            </w:rPr>
            <w:lastRenderedPageBreak/>
            <w:t>al., 2020)</w:t>
          </w:r>
        </w:sdtContent>
      </w:sdt>
      <w:r>
        <w:rPr>
          <w:color w:val="000000"/>
          <w:szCs w:val="22"/>
        </w:rPr>
        <w:t>.</w:t>
      </w:r>
      <w:r w:rsidRPr="00F41695">
        <w:rPr>
          <w:szCs w:val="22"/>
        </w:rPr>
        <w:t xml:space="preserve"> In the DSM-5</w:t>
      </w:r>
      <w:r>
        <w:rPr>
          <w:szCs w:val="22"/>
        </w:rPr>
        <w:t>, FNSD</w:t>
      </w:r>
      <w:r w:rsidRPr="00F41695">
        <w:rPr>
          <w:szCs w:val="22"/>
        </w:rPr>
        <w:t xml:space="preserve"> presentations can occur as acute episodes or as persistent symptoms. </w:t>
      </w:r>
    </w:p>
    <w:p w14:paraId="5E5AFD83" w14:textId="741B914C" w:rsidR="00616AAE" w:rsidRDefault="00616AAE" w:rsidP="00287416">
      <w:pPr>
        <w:rPr>
          <w:szCs w:val="22"/>
        </w:rPr>
      </w:pPr>
      <w:r w:rsidRPr="00F41695">
        <w:rPr>
          <w:szCs w:val="22"/>
        </w:rPr>
        <w:t xml:space="preserve">See </w:t>
      </w:r>
      <w:r>
        <w:rPr>
          <w:szCs w:val="22"/>
        </w:rPr>
        <w:t>Figure</w:t>
      </w:r>
      <w:r w:rsidRPr="00F41695">
        <w:rPr>
          <w:szCs w:val="22"/>
        </w:rPr>
        <w:t xml:space="preserve"> 1 for full diagnostic criteria. The update of the criteria from DSM-4 to DSM-5 also removed the requirement for a </w:t>
      </w:r>
      <w:r w:rsidR="00352F7F">
        <w:rPr>
          <w:szCs w:val="22"/>
        </w:rPr>
        <w:t>"</w:t>
      </w:r>
      <w:r w:rsidRPr="00F41695">
        <w:rPr>
          <w:szCs w:val="22"/>
        </w:rPr>
        <w:t>recent psychological stressor</w:t>
      </w:r>
      <w:r w:rsidR="00352F7F">
        <w:rPr>
          <w:szCs w:val="22"/>
        </w:rPr>
        <w:t>"</w:t>
      </w:r>
      <w:r w:rsidRPr="00F41695">
        <w:rPr>
          <w:szCs w:val="22"/>
        </w:rPr>
        <w:t xml:space="preserve"> </w:t>
      </w:r>
      <w:r>
        <w:rPr>
          <w:szCs w:val="22"/>
        </w:rPr>
        <w:t>and</w:t>
      </w:r>
      <w:r w:rsidRPr="00F41695">
        <w:rPr>
          <w:szCs w:val="22"/>
        </w:rPr>
        <w:t xml:space="preserve"> the need to exclude factitious disorder or malingering. </w:t>
      </w:r>
      <w:r>
        <w:rPr>
          <w:szCs w:val="22"/>
        </w:rPr>
        <w:t>More explicit</w:t>
      </w:r>
      <w:r w:rsidRPr="00287416">
        <w:rPr>
          <w:szCs w:val="22"/>
        </w:rPr>
        <w:t xml:space="preserve"> recognition of the value of typical manifestations and clinical signs of FN</w:t>
      </w:r>
      <w:r>
        <w:rPr>
          <w:szCs w:val="22"/>
        </w:rPr>
        <w:t>S</w:t>
      </w:r>
      <w:r w:rsidRPr="00287416">
        <w:rPr>
          <w:szCs w:val="22"/>
        </w:rPr>
        <w:t>D</w:t>
      </w:r>
      <w:r>
        <w:rPr>
          <w:szCs w:val="22"/>
        </w:rPr>
        <w:t xml:space="preserve"> </w:t>
      </w:r>
      <w:sdt>
        <w:sdtPr>
          <w:rPr>
            <w:color w:val="000000"/>
            <w:szCs w:val="22"/>
          </w:rPr>
          <w:tag w:val="MENDELEY_CITATION_v3_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"/>
          <w:id w:val="360552620"/>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Daum</w:t>
          </w:r>
          <w:proofErr w:type="spellEnd"/>
          <w:r w:rsidR="005E4029" w:rsidRPr="005E4029">
            <w:rPr>
              <w:color w:val="000000"/>
              <w:szCs w:val="22"/>
            </w:rPr>
            <w:t xml:space="preserve"> et al., 2014)</w:t>
          </w:r>
        </w:sdtContent>
      </w:sdt>
      <w:r>
        <w:rPr>
          <w:szCs w:val="22"/>
        </w:rPr>
        <w:t xml:space="preserve">, such as the value of semiological observation for the diagnosis of FS </w:t>
      </w:r>
      <w:sdt>
        <w:sdtPr>
          <w:rPr>
            <w:color w:val="000000"/>
            <w:szCs w:val="22"/>
          </w:rPr>
          <w:tag w:val="MENDELEY_CITATION_v3_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"/>
          <w:id w:val="2075387228"/>
          <w:placeholder>
            <w:docPart w:val="E11707C14A687C4394FB968AA7E5B24E"/>
          </w:placeholder>
        </w:sdtPr>
        <w:sdtContent>
          <w:r w:rsidR="005E4029" w:rsidRPr="005E4029">
            <w:rPr>
              <w:color w:val="000000"/>
              <w:szCs w:val="22"/>
            </w:rPr>
            <w:t xml:space="preserve">(A. J. Duncan et al., 2022), </w:t>
          </w:r>
        </w:sdtContent>
      </w:sdt>
      <w:r>
        <w:rPr>
          <w:szCs w:val="22"/>
        </w:rPr>
        <w:t>has</w:t>
      </w:r>
      <w:r w:rsidRPr="00F41695">
        <w:rPr>
          <w:szCs w:val="22"/>
        </w:rPr>
        <w:t xml:space="preserve"> </w:t>
      </w:r>
      <w:r>
        <w:rPr>
          <w:szCs w:val="22"/>
        </w:rPr>
        <w:t>advanced</w:t>
      </w:r>
      <w:r w:rsidRPr="00F41695">
        <w:rPr>
          <w:szCs w:val="22"/>
        </w:rPr>
        <w:t xml:space="preserve"> the accuracy and efficiency of </w:t>
      </w:r>
      <w:r>
        <w:rPr>
          <w:szCs w:val="22"/>
        </w:rPr>
        <w:t>FNSD</w:t>
      </w:r>
      <w:r w:rsidRPr="00F41695">
        <w:rPr>
          <w:szCs w:val="22"/>
        </w:rPr>
        <w:t xml:space="preserve"> diagnos</w:t>
      </w:r>
      <w:r>
        <w:rPr>
          <w:szCs w:val="22"/>
        </w:rPr>
        <w:t>e</w:t>
      </w:r>
      <w:r w:rsidRPr="00F41695">
        <w:rPr>
          <w:szCs w:val="22"/>
        </w:rPr>
        <w:t>s</w:t>
      </w:r>
      <w:r>
        <w:rPr>
          <w:szCs w:val="22"/>
        </w:rPr>
        <w:t>.</w:t>
      </w:r>
    </w:p>
    <w:p w14:paraId="63BC688C" w14:textId="4426ABC9" w:rsidR="00616AAE" w:rsidRDefault="00616AAE" w:rsidP="002D7213">
      <w:pPr>
        <w:rPr>
          <w:i/>
          <w:iCs/>
          <w:color w:val="1F4E79" w:themeColor="accent1" w:themeShade="80"/>
          <w:szCs w:val="22"/>
        </w:rPr>
      </w:pPr>
      <w:r>
        <w:rPr>
          <w:szCs w:val="22"/>
        </w:rPr>
        <w:t>Specialised</w:t>
      </w:r>
      <w:r w:rsidRPr="00F41695">
        <w:rPr>
          <w:szCs w:val="22"/>
        </w:rPr>
        <w:t xml:space="preserve"> clinical tests, including </w:t>
      </w:r>
      <w:r w:rsidR="00352F7F">
        <w:rPr>
          <w:szCs w:val="22"/>
        </w:rPr>
        <w:t>Hoover's</w:t>
      </w:r>
      <w:r w:rsidRPr="00F41695">
        <w:rPr>
          <w:szCs w:val="22"/>
        </w:rPr>
        <w:t xml:space="preserve"> sign for limb weakness and the co-contraction sign for movement disorders</w:t>
      </w:r>
      <w:r>
        <w:rPr>
          <w:szCs w:val="22"/>
        </w:rPr>
        <w:t xml:space="preserve">, </w:t>
      </w:r>
      <w:r w:rsidRPr="00F41695">
        <w:rPr>
          <w:szCs w:val="22"/>
        </w:rPr>
        <w:t>aid clinicians in the diagnostic process</w:t>
      </w:r>
      <w:r>
        <w:rPr>
          <w:szCs w:val="22"/>
        </w:rPr>
        <w:t xml:space="preserve"> </w:t>
      </w:r>
      <w:sdt>
        <w:sdtPr>
          <w:rPr>
            <w:color w:val="000000"/>
            <w:szCs w:val="22"/>
          </w:rPr>
          <w:tag w:val="MENDELEY_CITATION_v3_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"/>
          <w:id w:val="214013948"/>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Daum</w:t>
          </w:r>
          <w:proofErr w:type="spellEnd"/>
          <w:r w:rsidR="005E4029" w:rsidRPr="005E4029">
            <w:rPr>
              <w:color w:val="000000"/>
              <w:szCs w:val="22"/>
            </w:rPr>
            <w:t xml:space="preserve"> et al., 2014)</w:t>
          </w:r>
        </w:sdtContent>
      </w:sdt>
      <w:r>
        <w:rPr>
          <w:szCs w:val="22"/>
        </w:rPr>
        <w:t xml:space="preserve">. </w:t>
      </w:r>
      <w:r w:rsidRPr="00E87E54">
        <w:rPr>
          <w:szCs w:val="22"/>
        </w:rPr>
        <w:t xml:space="preserve">Despite these advances, diagnosis remains challenging </w:t>
      </w:r>
      <w:sdt>
        <w:sdtPr>
          <w:rPr>
            <w:color w:val="000000"/>
            <w:szCs w:val="22"/>
          </w:rPr>
          <w:tag w:val="MENDELEY_CITATION_v3_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"/>
          <w:id w:val="714085368"/>
          <w:placeholder>
            <w:docPart w:val="E11707C14A687C4394FB968AA7E5B24E"/>
          </w:placeholder>
        </w:sdtPr>
        <w:sdtContent>
          <w:r w:rsidR="005E4029">
            <w:rPr>
              <w:rFonts w:eastAsia="Times New Roman"/>
            </w:rPr>
            <w:t>(</w:t>
          </w:r>
          <w:proofErr w:type="spellStart"/>
          <w:r w:rsidR="005E4029">
            <w:rPr>
              <w:rFonts w:eastAsia="Times New Roman"/>
            </w:rPr>
            <w:t>Aybek</w:t>
          </w:r>
          <w:proofErr w:type="spellEnd"/>
          <w:r w:rsidR="005E4029">
            <w:rPr>
              <w:rFonts w:eastAsia="Times New Roman"/>
            </w:rPr>
            <w:t xml:space="preserve"> &amp; Perez, 2022),</w:t>
          </w:r>
        </w:sdtContent>
      </w:sdt>
      <w:r w:rsidRPr="00E87E54">
        <w:rPr>
          <w:szCs w:val="22"/>
        </w:rPr>
        <w:t xml:space="preserve"> and ongoing research is required to determine the optimal way to educate on identifying, confirming, and communicating diagnoses in different healthcare settings.</w:t>
      </w:r>
      <w:r>
        <w:rPr>
          <w:i/>
          <w:iCs/>
          <w:color w:val="1F4E79" w:themeColor="accent1" w:themeShade="80"/>
          <w:szCs w:val="22"/>
        </w:rPr>
        <w:t xml:space="preserve"> </w:t>
      </w:r>
    </w:p>
    <w:p w14:paraId="4E03BA85" w14:textId="77777777" w:rsidR="00616AAE" w:rsidRPr="000D1871" w:rsidRDefault="00616AAE" w:rsidP="002751BF">
      <w:pPr>
        <w:pStyle w:val="Heading3"/>
      </w:pPr>
      <w:bookmarkStart w:id="17" w:name="_Toc137504663"/>
      <w:r>
        <w:t xml:space="preserve">1.1.7 </w:t>
      </w:r>
      <w:r w:rsidRPr="00BD7DCF">
        <w:t>Treatment</w:t>
      </w:r>
      <w:bookmarkEnd w:id="17"/>
    </w:p>
    <w:p w14:paraId="00175D3B" w14:textId="44BAE14D" w:rsidR="00616AAE" w:rsidRPr="00F41695" w:rsidRDefault="00616AAE" w:rsidP="004965AF">
      <w:pPr>
        <w:rPr>
          <w:szCs w:val="22"/>
        </w:rPr>
      </w:pPr>
      <w:r>
        <w:rPr>
          <w:szCs w:val="22"/>
        </w:rPr>
        <w:t>Effective t</w:t>
      </w:r>
      <w:r w:rsidRPr="00F41695">
        <w:rPr>
          <w:szCs w:val="22"/>
        </w:rPr>
        <w:t xml:space="preserve">reatment for </w:t>
      </w:r>
      <w:r>
        <w:rPr>
          <w:szCs w:val="22"/>
        </w:rPr>
        <w:t>FNSD</w:t>
      </w:r>
      <w:r w:rsidRPr="00F41695">
        <w:rPr>
          <w:szCs w:val="22"/>
        </w:rPr>
        <w:t xml:space="preserve"> typically </w:t>
      </w:r>
      <w:r>
        <w:rPr>
          <w:szCs w:val="22"/>
        </w:rPr>
        <w:t xml:space="preserve">requires </w:t>
      </w:r>
      <w:r w:rsidRPr="00F41695">
        <w:rPr>
          <w:szCs w:val="22"/>
        </w:rPr>
        <w:t>a multi</w:t>
      </w:r>
      <w:r>
        <w:rPr>
          <w:szCs w:val="22"/>
        </w:rPr>
        <w:t>faceted</w:t>
      </w:r>
      <w:r w:rsidRPr="00F41695">
        <w:rPr>
          <w:szCs w:val="22"/>
        </w:rPr>
        <w:t xml:space="preserve"> approach that addresses the diverse</w:t>
      </w:r>
      <w:r>
        <w:rPr>
          <w:szCs w:val="22"/>
        </w:rPr>
        <w:t xml:space="preserve"> </w:t>
      </w:r>
      <w:r w:rsidRPr="00F41695">
        <w:rPr>
          <w:szCs w:val="22"/>
        </w:rPr>
        <w:t xml:space="preserve">biological, psychological, and social factors contributing to the disorder </w:t>
      </w:r>
      <w:sdt>
        <w:sdtPr>
          <w:rPr>
            <w:szCs w:val="22"/>
          </w:rPr>
          <w:tag w:val="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"/>
          <w:id w:val="995684861"/>
          <w:placeholder>
            <w:docPart w:val="E11707C14A687C4394FB968AA7E5B24E"/>
          </w:placeholder>
        </w:sdtPr>
        <w:sdtContent>
          <w:r w:rsidR="005E4029">
            <w:rPr>
              <w:rFonts w:eastAsia="Times New Roman"/>
            </w:rPr>
            <w:t>(</w:t>
          </w:r>
          <w:proofErr w:type="spellStart"/>
          <w:r w:rsidR="005E4029">
            <w:rPr>
              <w:rFonts w:eastAsia="Times New Roman"/>
            </w:rPr>
            <w:t>Aybek</w:t>
          </w:r>
          <w:proofErr w:type="spellEnd"/>
          <w:r w:rsidR="005E4029">
            <w:rPr>
              <w:rFonts w:eastAsia="Times New Roman"/>
            </w:rPr>
            <w:t xml:space="preserve"> &amp; Perez, 2022; Gilmour et al., 2020; Nicholson et al., 2020)</w:t>
          </w:r>
        </w:sdtContent>
      </w:sdt>
      <w:r w:rsidRPr="00F41695">
        <w:rPr>
          <w:szCs w:val="22"/>
        </w:rPr>
        <w:t xml:space="preserve">. A comprehensive treatment plan may </w:t>
      </w:r>
      <w:r>
        <w:rPr>
          <w:szCs w:val="22"/>
        </w:rPr>
        <w:t xml:space="preserve">be multidisciplinary and </w:t>
      </w:r>
      <w:r w:rsidRPr="00F41695">
        <w:rPr>
          <w:szCs w:val="22"/>
        </w:rPr>
        <w:t xml:space="preserve">include psychotherapy (e.g., cognitive-behavioural therapy), physical and occupational therapy, pharmacotherapy, and psychosocial interventions </w:t>
      </w:r>
      <w:sdt>
        <w:sdtPr>
          <w:rPr>
            <w:color w:val="000000"/>
            <w:szCs w:val="22"/>
          </w:rPr>
          <w:tag w:val="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"/>
          <w:id w:val="-1979525824"/>
          <w:placeholder>
            <w:docPart w:val="E11707C14A687C4394FB968AA7E5B24E"/>
          </w:placeholder>
        </w:sdtPr>
        <w:sdtContent>
          <w:r w:rsidR="005E4029" w:rsidRPr="005E4029">
            <w:rPr>
              <w:color w:val="000000"/>
              <w:szCs w:val="22"/>
            </w:rPr>
            <w:t xml:space="preserve">(Demartini et al., 2014; </w:t>
          </w:r>
          <w:proofErr w:type="spellStart"/>
          <w:r w:rsidR="005E4029" w:rsidRPr="005E4029">
            <w:rPr>
              <w:color w:val="000000"/>
              <w:szCs w:val="22"/>
            </w:rPr>
            <w:t>Espay</w:t>
          </w:r>
          <w:proofErr w:type="spellEnd"/>
          <w:r w:rsidR="005E4029" w:rsidRPr="005E4029">
            <w:rPr>
              <w:color w:val="000000"/>
              <w:szCs w:val="22"/>
            </w:rPr>
            <w:t xml:space="preserve">, </w:t>
          </w:r>
          <w:proofErr w:type="spellStart"/>
          <w:r w:rsidR="005E4029" w:rsidRPr="005E4029">
            <w:rPr>
              <w:color w:val="000000"/>
              <w:szCs w:val="22"/>
            </w:rPr>
            <w:t>Aybek</w:t>
          </w:r>
          <w:proofErr w:type="spellEnd"/>
          <w:r w:rsidR="005E4029" w:rsidRPr="005E4029">
            <w:rPr>
              <w:color w:val="000000"/>
              <w:szCs w:val="22"/>
            </w:rPr>
            <w:t xml:space="preserve"> et al., 2018; Gasparini et al., 2019; LaFrance et al., 2014; McCormack et al., 2014)</w:t>
          </w:r>
        </w:sdtContent>
      </w:sdt>
      <w:r w:rsidRPr="00F41695">
        <w:rPr>
          <w:szCs w:val="22"/>
        </w:rPr>
        <w:t xml:space="preserve">. </w:t>
      </w:r>
    </w:p>
    <w:p w14:paraId="1B605CE7" w14:textId="51BDBC0E" w:rsidR="00616AAE" w:rsidRDefault="00616AAE" w:rsidP="004965AF">
      <w:pPr>
        <w:rPr>
          <w:szCs w:val="22"/>
        </w:rPr>
      </w:pPr>
      <w:r>
        <w:rPr>
          <w:szCs w:val="22"/>
        </w:rPr>
        <w:t>Three main categories can broadly classify c</w:t>
      </w:r>
      <w:r w:rsidRPr="00F41695">
        <w:rPr>
          <w:szCs w:val="22"/>
        </w:rPr>
        <w:t xml:space="preserve">urrent treatment strategies for </w:t>
      </w:r>
      <w:r>
        <w:rPr>
          <w:szCs w:val="22"/>
        </w:rPr>
        <w:t>FNSD</w:t>
      </w:r>
      <w:r w:rsidRPr="00F41695">
        <w:rPr>
          <w:szCs w:val="22"/>
        </w:rPr>
        <w:t>: psychological interventions</w:t>
      </w:r>
      <w:r>
        <w:rPr>
          <w:szCs w:val="22"/>
        </w:rPr>
        <w:t xml:space="preserve"> </w:t>
      </w:r>
      <w:sdt>
        <w:sdtPr>
          <w:rPr>
            <w:szCs w:val="22"/>
          </w:rPr>
          <w:tag w:val="MENDELEY_CITATION_v3_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"/>
          <w:id w:val="-1698697345"/>
          <w:placeholder>
            <w:docPart w:val="E11707C14A687C4394FB968AA7E5B24E"/>
          </w:placeholder>
        </w:sdtPr>
        <w:sdtContent>
          <w:r w:rsidR="005E4029">
            <w:rPr>
              <w:rFonts w:eastAsia="Times New Roman"/>
            </w:rPr>
            <w:t>(Carlson &amp; Nicholson, 2017)</w:t>
          </w:r>
        </w:sdtContent>
      </w:sdt>
      <w:r w:rsidRPr="00F41695">
        <w:rPr>
          <w:szCs w:val="22"/>
        </w:rPr>
        <w:t>, physical rehabilitation</w:t>
      </w:r>
      <w:r>
        <w:rPr>
          <w:szCs w:val="22"/>
        </w:rPr>
        <w:t xml:space="preserve"> </w:t>
      </w:r>
      <w:sdt>
        <w:sdtPr>
          <w:rPr>
            <w:color w:val="000000"/>
            <w:szCs w:val="22"/>
          </w:rPr>
          <w:tag w:val="MENDELEY_CITATION_v3_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"/>
          <w:id w:val="-432829054"/>
          <w:placeholder>
            <w:docPart w:val="E11707C14A687C4394FB968AA7E5B24E"/>
          </w:placeholder>
        </w:sdtPr>
        <w:sdtContent>
          <w:r w:rsidR="005E4029" w:rsidRPr="005E4029">
            <w:rPr>
              <w:color w:val="000000"/>
              <w:szCs w:val="22"/>
            </w:rPr>
            <w:t>(Nielsen et al., 2013)</w:t>
          </w:r>
        </w:sdtContent>
      </w:sdt>
      <w:r w:rsidRPr="00F41695">
        <w:rPr>
          <w:szCs w:val="22"/>
        </w:rPr>
        <w:t xml:space="preserve">, and pharmacological treatments </w:t>
      </w:r>
      <w:sdt>
        <w:sdtPr>
          <w:rPr>
            <w:color w:val="000000"/>
            <w:szCs w:val="22"/>
          </w:rPr>
          <w:tag w:val="MENDELEY_CITATION_v3_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"/>
          <w:id w:val="1795482599"/>
          <w:placeholder>
            <w:docPart w:val="E11707C14A687C4394FB968AA7E5B24E"/>
          </w:placeholder>
        </w:sdtPr>
        <w:sdtContent>
          <w:r w:rsidR="005E4029" w:rsidRPr="005E4029">
            <w:rPr>
              <w:color w:val="000000"/>
              <w:szCs w:val="22"/>
            </w:rPr>
            <w:t>(Gilmour et al., 2020)</w:t>
          </w:r>
        </w:sdtContent>
      </w:sdt>
      <w:r w:rsidRPr="00F41695">
        <w:rPr>
          <w:szCs w:val="22"/>
        </w:rPr>
        <w:t>.</w:t>
      </w:r>
      <w:r>
        <w:rPr>
          <w:szCs w:val="22"/>
        </w:rPr>
        <w:t xml:space="preserve"> </w:t>
      </w:r>
      <w:r w:rsidRPr="00F41695">
        <w:rPr>
          <w:szCs w:val="22"/>
        </w:rPr>
        <w:t xml:space="preserve">Cognitive-behavioural therapy (CBT) is the most widely studied and </w:t>
      </w:r>
      <w:r>
        <w:rPr>
          <w:szCs w:val="22"/>
        </w:rPr>
        <w:t>utilised</w:t>
      </w:r>
      <w:r w:rsidRPr="00F41695">
        <w:rPr>
          <w:szCs w:val="22"/>
        </w:rPr>
        <w:t xml:space="preserve"> psychological intervention for </w:t>
      </w:r>
      <w:r>
        <w:rPr>
          <w:szCs w:val="22"/>
        </w:rPr>
        <w:t>FNSD</w:t>
      </w:r>
      <w:r w:rsidRPr="00F41695">
        <w:rPr>
          <w:szCs w:val="22"/>
        </w:rPr>
        <w:t xml:space="preserve"> </w:t>
      </w:r>
      <w:sdt>
        <w:sdtPr>
          <w:rPr>
            <w:color w:val="000000"/>
            <w:szCs w:val="22"/>
          </w:rPr>
          <w:tag w:val="MENDELEY_CITATION_v3_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"/>
          <w:id w:val="-241568480"/>
          <w:placeholder>
            <w:docPart w:val="E11707C14A687C4394FB968AA7E5B24E"/>
          </w:placeholder>
        </w:sdtPr>
        <w:sdtContent>
          <w:r w:rsidR="005E4029" w:rsidRPr="005E4029">
            <w:rPr>
              <w:color w:val="000000"/>
              <w:szCs w:val="22"/>
            </w:rPr>
            <w:t>(Gilmour et al., 2020; Goldstein et al., 2020a)</w:t>
          </w:r>
        </w:sdtContent>
      </w:sdt>
      <w:r w:rsidRPr="00F41695">
        <w:rPr>
          <w:szCs w:val="22"/>
        </w:rPr>
        <w:t>.</w:t>
      </w:r>
      <w:r>
        <w:rPr>
          <w:szCs w:val="22"/>
        </w:rPr>
        <w:t xml:space="preserve"> </w:t>
      </w:r>
      <w:r w:rsidRPr="00F41695">
        <w:rPr>
          <w:szCs w:val="22"/>
        </w:rPr>
        <w:t xml:space="preserve">CBT aims to help patients understand underlying psychological factors and modify maladaptive thoughts, emotions, and behaviours </w:t>
      </w:r>
      <w:r>
        <w:rPr>
          <w:szCs w:val="22"/>
        </w:rPr>
        <w:t>contributing</w:t>
      </w:r>
      <w:r w:rsidRPr="00F41695">
        <w:rPr>
          <w:szCs w:val="22"/>
        </w:rPr>
        <w:t xml:space="preserve"> to their symptoms </w:t>
      </w:r>
      <w:sdt>
        <w:sdtPr>
          <w:rPr>
            <w:color w:val="000000"/>
            <w:szCs w:val="22"/>
          </w:rPr>
          <w:tag w:val="MENDELEY_CITATION_v3_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"/>
          <w:id w:val="-998418288"/>
          <w:placeholder>
            <w:docPart w:val="4BB2C36A7BB10E42A2FE523F5FBCB862"/>
          </w:placeholder>
        </w:sdtPr>
        <w:sdtContent>
          <w:r w:rsidR="005E4029">
            <w:rPr>
              <w:rFonts w:eastAsia="Times New Roman"/>
            </w:rPr>
            <w:t xml:space="preserve">(Lin &amp; </w:t>
          </w:r>
          <w:proofErr w:type="spellStart"/>
          <w:r w:rsidR="005E4029">
            <w:rPr>
              <w:rFonts w:eastAsia="Times New Roman"/>
            </w:rPr>
            <w:t>Espay</w:t>
          </w:r>
          <w:proofErr w:type="spellEnd"/>
          <w:r w:rsidR="005E4029">
            <w:rPr>
              <w:rFonts w:eastAsia="Times New Roman"/>
            </w:rPr>
            <w:t>, 2021; O'Connell et al., 2020)</w:t>
          </w:r>
        </w:sdtContent>
      </w:sdt>
      <w:r w:rsidRPr="00F41695">
        <w:rPr>
          <w:szCs w:val="22"/>
        </w:rPr>
        <w:t xml:space="preserve">. </w:t>
      </w:r>
      <w:r>
        <w:t xml:space="preserve">A systematic review showed benefits of CBT for functional seizures, including one randomised clinical trial that reported a significant reduction in the frequency of non-epileptic attacks after treatment, with an </w:t>
      </w:r>
      <w:r>
        <w:lastRenderedPageBreak/>
        <w:t xml:space="preserve">improvement in quality of life at a 6-month follow-up </w:t>
      </w:r>
      <w:sdt>
        <w:sdtPr>
          <w:rPr>
            <w:color w:val="000000"/>
          </w:rPr>
          <w:tag w:val="MENDELEY_CITATION_v3_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"/>
          <w:id w:val="965242133"/>
          <w:placeholder>
            <w:docPart w:val="E11707C14A687C4394FB968AA7E5B24E"/>
          </w:placeholder>
        </w:sdtPr>
        <w:sdtContent>
          <w:r w:rsidR="005E4029" w:rsidRPr="005E4029">
            <w:rPr>
              <w:color w:val="000000"/>
            </w:rPr>
            <w:t>(</w:t>
          </w:r>
          <w:proofErr w:type="spellStart"/>
          <w:r w:rsidR="005E4029" w:rsidRPr="005E4029">
            <w:rPr>
              <w:color w:val="000000"/>
            </w:rPr>
            <w:t>Martlew</w:t>
          </w:r>
          <w:proofErr w:type="spellEnd"/>
          <w:r w:rsidR="005E4029" w:rsidRPr="005E4029">
            <w:rPr>
              <w:color w:val="000000"/>
            </w:rPr>
            <w:t xml:space="preserve"> et al., 2014)</w:t>
          </w:r>
        </w:sdtContent>
      </w:sdt>
      <w:r>
        <w:t xml:space="preserve">. </w:t>
      </w:r>
      <w:r>
        <w:rPr>
          <w:szCs w:val="22"/>
        </w:rPr>
        <w:t xml:space="preserve">Another </w:t>
      </w:r>
      <w:r w:rsidRPr="004965AF">
        <w:rPr>
          <w:szCs w:val="22"/>
        </w:rPr>
        <w:t xml:space="preserve">multicentre </w:t>
      </w:r>
      <w:r>
        <w:rPr>
          <w:szCs w:val="22"/>
        </w:rPr>
        <w:t>randomised</w:t>
      </w:r>
      <w:r w:rsidRPr="004965AF">
        <w:rPr>
          <w:szCs w:val="22"/>
        </w:rPr>
        <w:t xml:space="preserve"> controlled trial</w:t>
      </w:r>
      <w:r>
        <w:rPr>
          <w:szCs w:val="22"/>
        </w:rPr>
        <w:t xml:space="preserve"> showed </w:t>
      </w:r>
      <w:r w:rsidRPr="004965AF">
        <w:rPr>
          <w:szCs w:val="22"/>
        </w:rPr>
        <w:t xml:space="preserve">improvements </w:t>
      </w:r>
      <w:r>
        <w:rPr>
          <w:szCs w:val="22"/>
        </w:rPr>
        <w:t xml:space="preserve">in psychosocial functioning,  seizure </w:t>
      </w:r>
      <w:proofErr w:type="spellStart"/>
      <w:r>
        <w:rPr>
          <w:szCs w:val="22"/>
        </w:rPr>
        <w:t>bothersomeness</w:t>
      </w:r>
      <w:proofErr w:type="spellEnd"/>
      <w:r>
        <w:rPr>
          <w:szCs w:val="22"/>
        </w:rPr>
        <w:t xml:space="preserve"> and HRQOL, among other </w:t>
      </w:r>
      <w:r w:rsidRPr="004965AF">
        <w:rPr>
          <w:szCs w:val="22"/>
        </w:rPr>
        <w:t>clinically relevant secondary outcomes following</w:t>
      </w:r>
      <w:r>
        <w:rPr>
          <w:szCs w:val="22"/>
        </w:rPr>
        <w:t xml:space="preserve"> specialised CBT for functional seizures and standardised</w:t>
      </w:r>
      <w:r w:rsidRPr="004965AF">
        <w:rPr>
          <w:szCs w:val="22"/>
        </w:rPr>
        <w:t xml:space="preserve"> medical care </w:t>
      </w:r>
      <w:r>
        <w:rPr>
          <w:szCs w:val="22"/>
        </w:rPr>
        <w:t>compared to</w:t>
      </w:r>
      <w:r w:rsidRPr="004965AF">
        <w:rPr>
          <w:szCs w:val="22"/>
        </w:rPr>
        <w:t xml:space="preserve"> </w:t>
      </w:r>
      <w:r>
        <w:rPr>
          <w:szCs w:val="22"/>
        </w:rPr>
        <w:t>standardised</w:t>
      </w:r>
      <w:r w:rsidRPr="004965AF">
        <w:rPr>
          <w:szCs w:val="22"/>
        </w:rPr>
        <w:t xml:space="preserve"> medical care alone</w:t>
      </w:r>
      <w:r>
        <w:rPr>
          <w:szCs w:val="22"/>
        </w:rPr>
        <w:t xml:space="preserve"> </w:t>
      </w:r>
      <w:sdt>
        <w:sdtPr>
          <w:rPr>
            <w:color w:val="000000"/>
            <w:szCs w:val="22"/>
          </w:rPr>
          <w:tag w:val="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"/>
          <w:id w:val="-35353691"/>
          <w:placeholder>
            <w:docPart w:val="9DEFD53D1C129D46BEB0F76F0FC563D8"/>
          </w:placeholder>
        </w:sdtPr>
        <w:sdtContent>
          <w:r w:rsidR="005E4029" w:rsidRPr="005E4029">
            <w:rPr>
              <w:color w:val="000000"/>
              <w:szCs w:val="22"/>
            </w:rPr>
            <w:t>(Goldstein et al., 2020a)</w:t>
          </w:r>
        </w:sdtContent>
      </w:sdt>
      <w:r>
        <w:rPr>
          <w:color w:val="000000"/>
          <w:szCs w:val="22"/>
        </w:rPr>
        <w:t>.</w:t>
      </w:r>
    </w:p>
    <w:p w14:paraId="5AD8D3CC" w14:textId="2770DE59" w:rsidR="00616AAE" w:rsidRPr="002D3945" w:rsidRDefault="00616AAE" w:rsidP="00424E25">
      <w:pPr>
        <w:rPr>
          <w:szCs w:val="22"/>
        </w:rPr>
      </w:pPr>
      <w:r w:rsidRPr="00F41695">
        <w:rPr>
          <w:szCs w:val="22"/>
        </w:rPr>
        <w:t xml:space="preserve">Other psychological interventions, such as psychodynamic therapy and acceptance and commitment therapy, have also been explored for </w:t>
      </w:r>
      <w:r>
        <w:rPr>
          <w:szCs w:val="22"/>
        </w:rPr>
        <w:t>FNSD</w:t>
      </w:r>
      <w:r w:rsidRPr="00F41695">
        <w:rPr>
          <w:szCs w:val="22"/>
        </w:rPr>
        <w:t xml:space="preserve"> treatment, with promising preliminary results</w:t>
      </w:r>
      <w:r>
        <w:rPr>
          <w:szCs w:val="22"/>
        </w:rPr>
        <w:t xml:space="preserve"> </w:t>
      </w:r>
      <w:sdt>
        <w:sdtPr>
          <w:rPr>
            <w:color w:val="000000"/>
            <w:szCs w:val="22"/>
          </w:rPr>
          <w:tag w:val="MENDELEY_CITATION_v3_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"/>
          <w:id w:val="79343438"/>
          <w:placeholder>
            <w:docPart w:val="E11707C14A687C4394FB968AA7E5B24E"/>
          </w:placeholder>
        </w:sdtPr>
        <w:sdtContent>
          <w:r w:rsidR="005E4029" w:rsidRPr="005E4029">
            <w:rPr>
              <w:color w:val="000000"/>
              <w:szCs w:val="22"/>
            </w:rPr>
            <w:t>(Perez, 2020; Pick et al., 2016)</w:t>
          </w:r>
        </w:sdtContent>
      </w:sdt>
      <w:r w:rsidRPr="00F41695">
        <w:rPr>
          <w:szCs w:val="22"/>
        </w:rPr>
        <w:t>.</w:t>
      </w:r>
      <w:r>
        <w:rPr>
          <w:szCs w:val="22"/>
        </w:rPr>
        <w:t xml:space="preserve"> </w:t>
      </w:r>
      <w:r w:rsidRPr="00F41695">
        <w:rPr>
          <w:szCs w:val="22"/>
        </w:rPr>
        <w:t xml:space="preserve">Physical rehabilitation, including physiotherapy and occupational therapy, plays a critical role in </w:t>
      </w:r>
      <w:r>
        <w:rPr>
          <w:szCs w:val="22"/>
        </w:rPr>
        <w:t>managing</w:t>
      </w:r>
      <w:r w:rsidRPr="00F41695">
        <w:rPr>
          <w:szCs w:val="22"/>
        </w:rPr>
        <w:t xml:space="preserve"> </w:t>
      </w:r>
      <w:r>
        <w:rPr>
          <w:szCs w:val="22"/>
        </w:rPr>
        <w:t>FNSD</w:t>
      </w:r>
      <w:r w:rsidRPr="00F41695">
        <w:rPr>
          <w:szCs w:val="22"/>
        </w:rPr>
        <w:t xml:space="preserve">, particularly for patients with motor symptoms </w:t>
      </w:r>
      <w:sdt>
        <w:sdtPr>
          <w:rPr>
            <w:color w:val="000000"/>
            <w:szCs w:val="22"/>
          </w:rPr>
          <w:tag w:val="MENDELEY_CITATION_v3_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"/>
          <w:id w:val="-1354948513"/>
          <w:placeholder>
            <w:docPart w:val="E11707C14A687C4394FB968AA7E5B24E"/>
          </w:placeholder>
        </w:sdtPr>
        <w:sdtContent>
          <w:r w:rsidR="005E4029" w:rsidRPr="005E4029">
            <w:rPr>
              <w:color w:val="000000"/>
              <w:szCs w:val="22"/>
            </w:rPr>
            <w:t>(Nielsen et al., 2013; Nielsen, Ricciardi et al., 2015)</w:t>
          </w:r>
        </w:sdtContent>
      </w:sdt>
      <w:r w:rsidRPr="00F41695">
        <w:rPr>
          <w:szCs w:val="22"/>
        </w:rPr>
        <w:t xml:space="preserve">. </w:t>
      </w:r>
      <w:r>
        <w:rPr>
          <w:szCs w:val="22"/>
        </w:rPr>
        <w:t>Specialised</w:t>
      </w:r>
      <w:r w:rsidRPr="002D3945">
        <w:rPr>
          <w:szCs w:val="22"/>
        </w:rPr>
        <w:t xml:space="preserve"> physiotherapy interventions that focus on motor relearning and functional rehabilitation have demonstrated efficacy in improving motor symptoms and functional outcomes in patients with </w:t>
      </w:r>
      <w:r>
        <w:rPr>
          <w:szCs w:val="22"/>
        </w:rPr>
        <w:t>FNS</w:t>
      </w:r>
      <w:r w:rsidRPr="007C3970">
        <w:rPr>
          <w:szCs w:val="22"/>
        </w:rPr>
        <w:t xml:space="preserve"> </w:t>
      </w:r>
      <w:sdt>
        <w:sdtPr>
          <w:rPr>
            <w:szCs w:val="22"/>
          </w:rPr>
          <w:tag w:val="MENDELEY_CITATION_v3_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"/>
          <w:id w:val="-114287181"/>
          <w:placeholder>
            <w:docPart w:val="57043F9F0A50A249A59F71AD51C00323"/>
          </w:placeholder>
        </w:sdtPr>
        <w:sdtContent>
          <w:r w:rsidR="005E4029">
            <w:rPr>
              <w:rFonts w:eastAsia="Times New Roman"/>
            </w:rPr>
            <w:t>(</w:t>
          </w:r>
          <w:proofErr w:type="spellStart"/>
          <w:r w:rsidR="005E4029">
            <w:rPr>
              <w:rFonts w:eastAsia="Times New Roman"/>
            </w:rPr>
            <w:t>Molero</w:t>
          </w:r>
          <w:proofErr w:type="spellEnd"/>
          <w:r w:rsidR="005E4029">
            <w:rPr>
              <w:rFonts w:eastAsia="Times New Roman"/>
            </w:rPr>
            <w:t>-Mateo &amp; Molina-Rueda, 2023)</w:t>
          </w:r>
        </w:sdtContent>
      </w:sdt>
      <w:r>
        <w:rPr>
          <w:szCs w:val="22"/>
        </w:rPr>
        <w:t xml:space="preserve"> D. These programs </w:t>
      </w:r>
      <w:r w:rsidRPr="00F41695">
        <w:rPr>
          <w:szCs w:val="22"/>
        </w:rPr>
        <w:t>often involve retraining motor function, improving strength, and addressing compensatory strategies that may contribute to symptom maintenan</w:t>
      </w:r>
      <w:r>
        <w:rPr>
          <w:szCs w:val="22"/>
        </w:rPr>
        <w:t>ce</w:t>
      </w:r>
      <w:r w:rsidRPr="002D3945">
        <w:rPr>
          <w:szCs w:val="22"/>
        </w:rPr>
        <w:t xml:space="preserve"> </w:t>
      </w:r>
      <w:sdt>
        <w:sdtPr>
          <w:rPr>
            <w:color w:val="000000"/>
            <w:szCs w:val="22"/>
          </w:rPr>
          <w:tag w:val="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"/>
          <w:id w:val="-185755366"/>
          <w:placeholder>
            <w:docPart w:val="E11707C14A687C4394FB968AA7E5B24E"/>
          </w:placeholder>
        </w:sdtPr>
        <w:sdtContent>
          <w:r w:rsidR="005E4029">
            <w:rPr>
              <w:rFonts w:eastAsia="Times New Roman"/>
            </w:rPr>
            <w:t>(Jacob et al., 2018; Nielsen, Ricciardi et al., 2015; Nielsen, Stone, et al., 2015; Ricciardi &amp; Edwards, 2014)</w:t>
          </w:r>
        </w:sdtContent>
      </w:sdt>
      <w:r>
        <w:rPr>
          <w:color w:val="000000"/>
          <w:szCs w:val="22"/>
        </w:rPr>
        <w:t>.</w:t>
      </w:r>
      <w:r>
        <w:rPr>
          <w:szCs w:val="22"/>
        </w:rPr>
        <w:t xml:space="preserve"> </w:t>
      </w:r>
      <w:r w:rsidRPr="00F41695">
        <w:rPr>
          <w:szCs w:val="22"/>
        </w:rPr>
        <w:t xml:space="preserve">Pharmacological </w:t>
      </w:r>
      <w:r>
        <w:rPr>
          <w:szCs w:val="22"/>
        </w:rPr>
        <w:t>FNSD treatments are generally adjunctive</w:t>
      </w:r>
      <w:r w:rsidRPr="00F41695">
        <w:rPr>
          <w:szCs w:val="22"/>
        </w:rPr>
        <w:t xml:space="preserve"> to psychological and physical interventions </w:t>
      </w:r>
      <w:sdt>
        <w:sdtPr>
          <w:rPr>
            <w:color w:val="000000"/>
            <w:szCs w:val="22"/>
          </w:rPr>
          <w:tag w:val="MENDELEY_CITATION_v3_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"/>
          <w:id w:val="652885018"/>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Espay</w:t>
          </w:r>
          <w:proofErr w:type="spellEnd"/>
          <w:r w:rsidR="005E4029" w:rsidRPr="005E4029">
            <w:rPr>
              <w:color w:val="000000"/>
              <w:szCs w:val="22"/>
            </w:rPr>
            <w:t>, Maloney et al., 2018)</w:t>
          </w:r>
        </w:sdtContent>
      </w:sdt>
      <w:r w:rsidRPr="00F41695">
        <w:rPr>
          <w:szCs w:val="22"/>
        </w:rPr>
        <w:t>. Antidepressants, such as selective serotonin reuptake inhibitors (SSRIs), may be used to manage comorbid mood disorders, anxiety, or pain</w:t>
      </w:r>
      <w:r>
        <w:rPr>
          <w:szCs w:val="22"/>
        </w:rPr>
        <w:t xml:space="preserve">. However, there have been different recommendations for using </w:t>
      </w:r>
      <w:r w:rsidRPr="004965AF">
        <w:rPr>
          <w:color w:val="000000"/>
          <w:szCs w:val="22"/>
        </w:rPr>
        <w:t>antiepileptic medications in patients without comorbid epilepsy</w:t>
      </w:r>
      <w:r w:rsidRPr="00F41695">
        <w:rPr>
          <w:szCs w:val="22"/>
        </w:rPr>
        <w:t xml:space="preserve"> </w:t>
      </w:r>
      <w:sdt>
        <w:sdtPr>
          <w:rPr>
            <w:color w:val="000000"/>
            <w:szCs w:val="22"/>
          </w:rPr>
          <w:tag w:val="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"/>
          <w:id w:val="1294338798"/>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Espay</w:t>
          </w:r>
          <w:proofErr w:type="spellEnd"/>
          <w:r w:rsidR="005E4029" w:rsidRPr="005E4029">
            <w:rPr>
              <w:color w:val="000000"/>
              <w:szCs w:val="22"/>
            </w:rPr>
            <w:t xml:space="preserve">, </w:t>
          </w:r>
          <w:proofErr w:type="spellStart"/>
          <w:r w:rsidR="005E4029" w:rsidRPr="005E4029">
            <w:rPr>
              <w:color w:val="000000"/>
              <w:szCs w:val="22"/>
            </w:rPr>
            <w:t>Aybek</w:t>
          </w:r>
          <w:proofErr w:type="spellEnd"/>
          <w:r w:rsidR="005E4029" w:rsidRPr="005E4029">
            <w:rPr>
              <w:color w:val="000000"/>
              <w:szCs w:val="22"/>
            </w:rPr>
            <w:t xml:space="preserve"> et al., 2018; Gasparini et al., 2019)</w:t>
          </w:r>
        </w:sdtContent>
      </w:sdt>
      <w:r w:rsidRPr="00F41695">
        <w:rPr>
          <w:szCs w:val="22"/>
        </w:rPr>
        <w:t xml:space="preserve">. </w:t>
      </w:r>
      <w:r>
        <w:rPr>
          <w:szCs w:val="22"/>
        </w:rPr>
        <w:t>T</w:t>
      </w:r>
      <w:r w:rsidRPr="00F41695">
        <w:rPr>
          <w:szCs w:val="22"/>
        </w:rPr>
        <w:t xml:space="preserve">he evidence for pharmacological treatments in </w:t>
      </w:r>
      <w:r>
        <w:rPr>
          <w:szCs w:val="22"/>
        </w:rPr>
        <w:t>FNSD</w:t>
      </w:r>
      <w:r w:rsidRPr="00F41695">
        <w:rPr>
          <w:szCs w:val="22"/>
        </w:rPr>
        <w:t xml:space="preserve"> remains limited, and further research is necessary to establish the efficacy of these interventions</w:t>
      </w:r>
      <w:r>
        <w:rPr>
          <w:szCs w:val="22"/>
        </w:rPr>
        <w:t xml:space="preserve"> </w:t>
      </w:r>
      <w:sdt>
        <w:sdtPr>
          <w:rPr>
            <w:color w:val="000000"/>
            <w:szCs w:val="22"/>
          </w:rPr>
          <w:tag w:val="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"/>
          <w:id w:val="-817260512"/>
          <w:placeholder>
            <w:docPart w:val="E11707C14A687C4394FB968AA7E5B24E"/>
          </w:placeholder>
        </w:sdtPr>
        <w:sdtContent>
          <w:r w:rsidR="005E4029" w:rsidRPr="005E4029">
            <w:rPr>
              <w:color w:val="000000"/>
              <w:szCs w:val="22"/>
            </w:rPr>
            <w:t>(Gasparini et al., 2019)</w:t>
          </w:r>
        </w:sdtContent>
      </w:sdt>
      <w:r w:rsidRPr="00F41695">
        <w:rPr>
          <w:szCs w:val="22"/>
        </w:rPr>
        <w:t>.</w:t>
      </w:r>
      <w:r>
        <w:rPr>
          <w:szCs w:val="22"/>
        </w:rPr>
        <w:t xml:space="preserve"> </w:t>
      </w:r>
      <w:r w:rsidRPr="002D3945">
        <w:rPr>
          <w:szCs w:val="22"/>
        </w:rPr>
        <w:t xml:space="preserve">Patient education and therapeutic alliance are also crucial components of treatment, as they facilitate </w:t>
      </w:r>
      <w:r>
        <w:rPr>
          <w:szCs w:val="22"/>
        </w:rPr>
        <w:t xml:space="preserve">a </w:t>
      </w:r>
      <w:r w:rsidRPr="002D3945">
        <w:rPr>
          <w:szCs w:val="22"/>
        </w:rPr>
        <w:t>better understanding</w:t>
      </w:r>
      <w:r>
        <w:rPr>
          <w:szCs w:val="22"/>
        </w:rPr>
        <w:t>, planning for future management</w:t>
      </w:r>
      <w:r w:rsidRPr="002D3945">
        <w:rPr>
          <w:szCs w:val="22"/>
        </w:rPr>
        <w:t xml:space="preserve"> and self-management of the disorder </w:t>
      </w:r>
      <w:sdt>
        <w:sdtPr>
          <w:rPr>
            <w:color w:val="000000"/>
            <w:szCs w:val="22"/>
          </w:rPr>
          <w:tag w:val="MENDELEY_CITATION_v3_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"/>
          <w:id w:val="-152215260"/>
          <w:placeholder>
            <w:docPart w:val="E11707C14A687C4394FB968AA7E5B24E"/>
          </w:placeholder>
        </w:sdtPr>
        <w:sdtContent>
          <w:r w:rsidR="005E4029" w:rsidRPr="005E4029">
            <w:rPr>
              <w:color w:val="000000"/>
              <w:szCs w:val="22"/>
            </w:rPr>
            <w:t>(Gilmour et al., 2020; Stone, 2016)</w:t>
          </w:r>
        </w:sdtContent>
      </w:sdt>
      <w:r w:rsidRPr="002D3945">
        <w:rPr>
          <w:szCs w:val="22"/>
        </w:rPr>
        <w:t xml:space="preserve">. Ultimately, </w:t>
      </w:r>
      <w:r>
        <w:rPr>
          <w:szCs w:val="22"/>
        </w:rPr>
        <w:t>individualised,</w:t>
      </w:r>
      <w:r w:rsidRPr="002D3945">
        <w:rPr>
          <w:szCs w:val="22"/>
        </w:rPr>
        <w:t xml:space="preserve"> targeted </w:t>
      </w:r>
      <w:r>
        <w:rPr>
          <w:szCs w:val="22"/>
        </w:rPr>
        <w:t xml:space="preserve">and interdisciplinary </w:t>
      </w:r>
      <w:r w:rsidRPr="002D3945">
        <w:rPr>
          <w:szCs w:val="22"/>
        </w:rPr>
        <w:t xml:space="preserve">interventions </w:t>
      </w:r>
      <w:r>
        <w:rPr>
          <w:szCs w:val="22"/>
        </w:rPr>
        <w:t>addressing the</w:t>
      </w:r>
      <w:r w:rsidRPr="002D3945">
        <w:rPr>
          <w:szCs w:val="22"/>
        </w:rPr>
        <w:t xml:space="preserve"> unique needs and </w:t>
      </w:r>
      <w:r>
        <w:rPr>
          <w:szCs w:val="22"/>
        </w:rPr>
        <w:t xml:space="preserve">heterogenous </w:t>
      </w:r>
      <w:r w:rsidRPr="002D3945">
        <w:rPr>
          <w:szCs w:val="22"/>
        </w:rPr>
        <w:t>symptomatology of</w:t>
      </w:r>
      <w:r w:rsidRPr="00F41695">
        <w:rPr>
          <w:szCs w:val="22"/>
        </w:rPr>
        <w:t xml:space="preserve"> individuals</w:t>
      </w:r>
      <w:r w:rsidRPr="002D3945">
        <w:rPr>
          <w:szCs w:val="22"/>
        </w:rPr>
        <w:t xml:space="preserve"> with </w:t>
      </w:r>
      <w:r>
        <w:rPr>
          <w:szCs w:val="22"/>
        </w:rPr>
        <w:t>FNSD</w:t>
      </w:r>
      <w:r w:rsidRPr="002D3945">
        <w:rPr>
          <w:szCs w:val="22"/>
        </w:rPr>
        <w:t xml:space="preserve"> are essential for optimal treatment outcomes </w:t>
      </w:r>
      <w:sdt>
        <w:sdtPr>
          <w:rPr>
            <w:color w:val="000000"/>
            <w:szCs w:val="22"/>
          </w:rPr>
          <w:tag w:val="MENDELEY_CITATION_v3_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"/>
          <w:id w:val="-1233930343"/>
          <w:placeholder>
            <w:docPart w:val="E11707C14A687C4394FB968AA7E5B24E"/>
          </w:placeholder>
        </w:sdtPr>
        <w:sdtContent>
          <w:r w:rsidR="005E4029" w:rsidRPr="005E4029">
            <w:rPr>
              <w:color w:val="000000"/>
              <w:szCs w:val="22"/>
            </w:rPr>
            <w:t>(Gilmour et al., 2020).</w:t>
          </w:r>
        </w:sdtContent>
      </w:sdt>
    </w:p>
    <w:p w14:paraId="4B422455" w14:textId="77777777" w:rsidR="00616AAE" w:rsidRPr="000D1871" w:rsidRDefault="00616AAE" w:rsidP="0014037C">
      <w:pPr>
        <w:pStyle w:val="Heading2"/>
      </w:pPr>
      <w:bookmarkStart w:id="18" w:name="_Toc137504664"/>
      <w:r>
        <w:lastRenderedPageBreak/>
        <w:t xml:space="preserve">1.2 </w:t>
      </w:r>
      <w:r w:rsidRPr="00BC5B2B">
        <w:t xml:space="preserve">Outcome </w:t>
      </w:r>
      <w:r>
        <w:t>M</w:t>
      </w:r>
      <w:r w:rsidRPr="00BC5B2B">
        <w:t xml:space="preserve">easurement </w:t>
      </w:r>
      <w:r>
        <w:t>in FNSD</w:t>
      </w:r>
      <w:bookmarkEnd w:id="18"/>
    </w:p>
    <w:p w14:paraId="4378A7F2" w14:textId="77777777" w:rsidR="00616AAE" w:rsidRPr="00EC5631" w:rsidRDefault="00616AAE" w:rsidP="006A7AB5">
      <w:pPr>
        <w:rPr>
          <w:szCs w:val="22"/>
        </w:rPr>
      </w:pPr>
      <w:r>
        <w:rPr>
          <w:szCs w:val="22"/>
        </w:rPr>
        <w:t>Various</w:t>
      </w:r>
      <w:r w:rsidRPr="00EC5631">
        <w:rPr>
          <w:szCs w:val="22"/>
        </w:rPr>
        <w:t xml:space="preserve"> outcome measurement tools </w:t>
      </w:r>
      <w:r>
        <w:rPr>
          <w:szCs w:val="22"/>
        </w:rPr>
        <w:t>have</w:t>
      </w:r>
      <w:r w:rsidRPr="00EC5631">
        <w:rPr>
          <w:szCs w:val="22"/>
        </w:rPr>
        <w:t xml:space="preserve"> been </w:t>
      </w:r>
      <w:r>
        <w:rPr>
          <w:szCs w:val="22"/>
        </w:rPr>
        <w:t>utilised</w:t>
      </w:r>
      <w:r w:rsidRPr="00EC5631">
        <w:rPr>
          <w:szCs w:val="22"/>
        </w:rPr>
        <w:t xml:space="preserve"> in </w:t>
      </w:r>
      <w:r>
        <w:rPr>
          <w:szCs w:val="22"/>
        </w:rPr>
        <w:t>FNSD</w:t>
      </w:r>
      <w:r w:rsidRPr="00EC5631">
        <w:rPr>
          <w:szCs w:val="22"/>
        </w:rPr>
        <w:t xml:space="preserve"> research, focusing on diverse aspects such as symptom severity, functional status, and psychological well-being</w:t>
      </w:r>
      <w:r>
        <w:rPr>
          <w:szCs w:val="22"/>
        </w:rPr>
        <w:t xml:space="preserve">. In measuring outcomes in FNSD, key considerations include who should be asked to report outcomes in particular contexts, for example, patient self-ratings, clinician assessments, or caregivers and what types of measures, e.g., subjective, objective, or implicit, would be relevant. </w:t>
      </w:r>
      <w:r w:rsidRPr="00EC5631">
        <w:rPr>
          <w:szCs w:val="22"/>
        </w:rPr>
        <w:t xml:space="preserve">Furthermore, as there is often more than one way to measure the same outcomes, the selection of the optimal outcome measure </w:t>
      </w:r>
      <w:r>
        <w:rPr>
          <w:szCs w:val="22"/>
        </w:rPr>
        <w:t xml:space="preserve">for clinical or </w:t>
      </w:r>
      <w:r w:rsidRPr="00EC5631">
        <w:rPr>
          <w:szCs w:val="22"/>
        </w:rPr>
        <w:t>research</w:t>
      </w:r>
      <w:r>
        <w:rPr>
          <w:szCs w:val="22"/>
        </w:rPr>
        <w:t xml:space="preserve"> work </w:t>
      </w:r>
      <w:r w:rsidRPr="00EC5631">
        <w:rPr>
          <w:szCs w:val="22"/>
        </w:rPr>
        <w:t xml:space="preserve">would be dependent on </w:t>
      </w:r>
      <w:r>
        <w:rPr>
          <w:szCs w:val="22"/>
        </w:rPr>
        <w:t xml:space="preserve">if and why </w:t>
      </w:r>
      <w:r w:rsidRPr="00EC5631">
        <w:rPr>
          <w:szCs w:val="22"/>
        </w:rPr>
        <w:t>one approach is more favourable than the other</w:t>
      </w:r>
      <w:r>
        <w:rPr>
          <w:szCs w:val="22"/>
        </w:rPr>
        <w:t>,</w:t>
      </w:r>
      <w:r w:rsidRPr="00EC5631">
        <w:rPr>
          <w:szCs w:val="22"/>
        </w:rPr>
        <w:t xml:space="preserve"> whether one measure provides a more accurate </w:t>
      </w:r>
      <w:r>
        <w:rPr>
          <w:szCs w:val="22"/>
        </w:rPr>
        <w:t>or</w:t>
      </w:r>
      <w:r w:rsidRPr="00EC5631">
        <w:rPr>
          <w:szCs w:val="22"/>
        </w:rPr>
        <w:t xml:space="preserve"> meaningful clinical picture and</w:t>
      </w:r>
      <w:r>
        <w:rPr>
          <w:szCs w:val="22"/>
        </w:rPr>
        <w:t xml:space="preserve"> the extent of correlation between these measures. </w:t>
      </w:r>
      <w:r w:rsidRPr="00E028C5">
        <w:rPr>
          <w:szCs w:val="22"/>
        </w:rPr>
        <w:t>Another fundamental</w:t>
      </w:r>
      <w:r>
        <w:rPr>
          <w:szCs w:val="22"/>
        </w:rPr>
        <w:t xml:space="preserve"> consideration</w:t>
      </w:r>
      <w:r w:rsidRPr="00E028C5">
        <w:rPr>
          <w:szCs w:val="22"/>
        </w:rPr>
        <w:t xml:space="preserve"> is </w:t>
      </w:r>
      <w:r>
        <w:rPr>
          <w:szCs w:val="22"/>
        </w:rPr>
        <w:t>whether to use illness-specific measures designed for disorder peculiarities or generic measures that</w:t>
      </w:r>
      <w:r w:rsidRPr="00E028C5">
        <w:rPr>
          <w:szCs w:val="22"/>
        </w:rPr>
        <w:t xml:space="preserve"> can </w:t>
      </w:r>
      <w:r>
        <w:rPr>
          <w:szCs w:val="22"/>
        </w:rPr>
        <w:t>compare</w:t>
      </w:r>
      <w:r w:rsidRPr="00E028C5">
        <w:rPr>
          <w:szCs w:val="22"/>
        </w:rPr>
        <w:t xml:space="preserve"> treatment effects across disorders.</w:t>
      </w:r>
    </w:p>
    <w:p w14:paraId="06CFCB4E" w14:textId="259F09BE" w:rsidR="00616AAE" w:rsidRPr="00EC5631" w:rsidRDefault="00616AAE" w:rsidP="003F6920">
      <w:pPr>
        <w:rPr>
          <w:szCs w:val="22"/>
        </w:rPr>
      </w:pPr>
      <w:r w:rsidRPr="00EC5631">
        <w:rPr>
          <w:szCs w:val="22"/>
        </w:rPr>
        <w:t xml:space="preserve">A review by Pick </w:t>
      </w:r>
      <w:r>
        <w:rPr>
          <w:szCs w:val="22"/>
        </w:rPr>
        <w:t>et al.</w:t>
      </w:r>
      <w:r w:rsidRPr="00EC5631">
        <w:rPr>
          <w:szCs w:val="22"/>
        </w:rPr>
        <w:t xml:space="preserve"> (2020) on outcome measurement for </w:t>
      </w:r>
      <w:r>
        <w:rPr>
          <w:szCs w:val="22"/>
        </w:rPr>
        <w:t>FNSD</w:t>
      </w:r>
      <w:r w:rsidRPr="00EC5631">
        <w:rPr>
          <w:szCs w:val="22"/>
        </w:rPr>
        <w:t xml:space="preserve"> found only four </w:t>
      </w:r>
      <w:r>
        <w:rPr>
          <w:szCs w:val="22"/>
        </w:rPr>
        <w:t>FNSD</w:t>
      </w:r>
      <w:r w:rsidRPr="00EC5631">
        <w:rPr>
          <w:szCs w:val="22"/>
        </w:rPr>
        <w:t xml:space="preserve">-specific self-report measures in the literature, the validity of which had not been well-established. These included functional movement disorder (FMD) symptoms scales: The Psychogenic Movement Disorder Rating Scale </w:t>
      </w:r>
      <w:sdt>
        <w:sdtPr>
          <w:rPr>
            <w:color w:val="000000"/>
            <w:szCs w:val="22"/>
          </w:rPr>
          <w:tag w:val="MENDELEY_CITATION_v3_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"/>
          <w:id w:val="-1001274739"/>
          <w:placeholder>
            <w:docPart w:val="E11707C14A687C4394FB968AA7E5B24E"/>
          </w:placeholder>
        </w:sdtPr>
        <w:sdtContent>
          <w:r w:rsidR="005E4029" w:rsidRPr="005E4029">
            <w:rPr>
              <w:color w:val="000000"/>
              <w:szCs w:val="22"/>
            </w:rPr>
            <w:t>(Hinson et al., 2005)</w:t>
          </w:r>
        </w:sdtContent>
      </w:sdt>
      <w:r w:rsidRPr="00EC5631">
        <w:rPr>
          <w:szCs w:val="22"/>
        </w:rPr>
        <w:t xml:space="preserve"> and the Simplified Functional Movement Disorder Rating Scale </w:t>
      </w:r>
      <w:sdt>
        <w:sdtPr>
          <w:rPr>
            <w:color w:val="000000"/>
            <w:szCs w:val="22"/>
          </w:rPr>
          <w:tag w:val="MENDELEY_CITATION_v3_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"/>
          <w:id w:val="-1768291748"/>
          <w:placeholder>
            <w:docPart w:val="E11707C14A687C4394FB968AA7E5B24E"/>
          </w:placeholder>
        </w:sdtPr>
        <w:sdtContent>
          <w:r w:rsidR="005E4029" w:rsidRPr="005E4029">
            <w:rPr>
              <w:color w:val="000000"/>
              <w:szCs w:val="22"/>
            </w:rPr>
            <w:t>(Nielsen et al., 2017)</w:t>
          </w:r>
        </w:sdtContent>
      </w:sdt>
      <w:r w:rsidRPr="00EC5631">
        <w:rPr>
          <w:szCs w:val="22"/>
        </w:rPr>
        <w:t xml:space="preserve">; and two separate scales assessing </w:t>
      </w:r>
      <w:r>
        <w:rPr>
          <w:szCs w:val="22"/>
        </w:rPr>
        <w:t>FNSD</w:t>
      </w:r>
      <w:r w:rsidRPr="00EC5631">
        <w:rPr>
          <w:szCs w:val="22"/>
        </w:rPr>
        <w:t xml:space="preserve"> symptoms in children (The Conversion Disorder Scale and Conversion Disorder Scale—Revised) </w:t>
      </w:r>
      <w:sdt>
        <w:sdtPr>
          <w:rPr>
            <w:szCs w:val="22"/>
          </w:rPr>
          <w:tag w:val="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"/>
          <w:id w:val="948208057"/>
          <w:placeholder>
            <w:docPart w:val="E11707C14A687C4394FB968AA7E5B24E"/>
          </w:placeholder>
        </w:sdtPr>
        <w:sdtContent>
          <w:r w:rsidR="005E4029">
            <w:rPr>
              <w:rFonts w:eastAsia="Times New Roman"/>
            </w:rPr>
            <w:t>(</w:t>
          </w:r>
          <w:proofErr w:type="spellStart"/>
          <w:r w:rsidR="005E4029">
            <w:rPr>
              <w:rFonts w:eastAsia="Times New Roman"/>
            </w:rPr>
            <w:t>Espay</w:t>
          </w:r>
          <w:proofErr w:type="spellEnd"/>
          <w:r w:rsidR="005E4029">
            <w:rPr>
              <w:rFonts w:eastAsia="Times New Roman"/>
            </w:rPr>
            <w:t>, Maloney, et al., 2018; Ijaz et al., 2017; Sarfraz &amp; Ijaz, 2014)</w:t>
          </w:r>
        </w:sdtContent>
      </w:sdt>
      <w:r w:rsidRPr="00EC5631">
        <w:rPr>
          <w:szCs w:val="22"/>
        </w:rPr>
        <w:t xml:space="preserve">. However, no single outcome measure could be applied across the different symptoms presenting in </w:t>
      </w:r>
      <w:r>
        <w:rPr>
          <w:szCs w:val="22"/>
        </w:rPr>
        <w:t>FNSD</w:t>
      </w:r>
      <w:r w:rsidRPr="00EC5631">
        <w:rPr>
          <w:szCs w:val="22"/>
        </w:rPr>
        <w:t xml:space="preserve"> patients</w:t>
      </w:r>
      <w:r>
        <w:rPr>
          <w:szCs w:val="22"/>
        </w:rPr>
        <w:t>,</w:t>
      </w:r>
      <w:r w:rsidRPr="00EC5631">
        <w:rPr>
          <w:szCs w:val="22"/>
        </w:rPr>
        <w:t xml:space="preserve"> nor were any specifically designed for functional weakness/ paralysis or sensory symptoms.</w:t>
      </w:r>
      <w:r>
        <w:rPr>
          <w:szCs w:val="22"/>
        </w:rPr>
        <w:t xml:space="preserve"> </w:t>
      </w:r>
      <w:r w:rsidRPr="00EC5631">
        <w:rPr>
          <w:szCs w:val="22"/>
        </w:rPr>
        <w:t xml:space="preserve">Pick and colleagues (2020) found </w:t>
      </w:r>
      <w:r>
        <w:rPr>
          <w:szCs w:val="22"/>
        </w:rPr>
        <w:t xml:space="preserve">that </w:t>
      </w:r>
      <w:r w:rsidRPr="00EC5631">
        <w:rPr>
          <w:szCs w:val="22"/>
        </w:rPr>
        <w:t xml:space="preserve">the most common primary outcome measure </w:t>
      </w:r>
      <w:r>
        <w:rPr>
          <w:szCs w:val="22"/>
        </w:rPr>
        <w:t>utilised</w:t>
      </w:r>
      <w:r w:rsidRPr="00EC5631">
        <w:rPr>
          <w:szCs w:val="22"/>
        </w:rPr>
        <w:t xml:space="preserve"> in existing </w:t>
      </w:r>
      <w:r>
        <w:rPr>
          <w:szCs w:val="22"/>
        </w:rPr>
        <w:t>FNSD</w:t>
      </w:r>
      <w:r w:rsidRPr="00EC5631">
        <w:rPr>
          <w:szCs w:val="22"/>
        </w:rPr>
        <w:t xml:space="preserve"> research is symptom burden (such as functional seizure frequency or core symptom severity in mixed symptoms), although no single </w:t>
      </w:r>
      <w:r w:rsidR="00352F7F">
        <w:rPr>
          <w:szCs w:val="22"/>
        </w:rPr>
        <w:t>'</w:t>
      </w:r>
      <w:r w:rsidRPr="00EC5631">
        <w:rPr>
          <w:szCs w:val="22"/>
        </w:rPr>
        <w:t>gold-standard</w:t>
      </w:r>
      <w:r w:rsidR="00352F7F">
        <w:rPr>
          <w:szCs w:val="22"/>
        </w:rPr>
        <w:t>'</w:t>
      </w:r>
      <w:r w:rsidRPr="00EC5631">
        <w:rPr>
          <w:szCs w:val="22"/>
        </w:rPr>
        <w:t xml:space="preserve"> way of recording these has been established. In prospective observational or intervention studies, these were adopted as core symptom change measures. Additional physical </w:t>
      </w:r>
      <w:r>
        <w:rPr>
          <w:szCs w:val="22"/>
        </w:rPr>
        <w:t xml:space="preserve">or </w:t>
      </w:r>
      <w:r w:rsidRPr="00EC5631">
        <w:rPr>
          <w:szCs w:val="22"/>
        </w:rPr>
        <w:t>psychological</w:t>
      </w:r>
      <w:r>
        <w:rPr>
          <w:szCs w:val="22"/>
        </w:rPr>
        <w:t xml:space="preserve"> </w:t>
      </w:r>
      <w:r w:rsidRPr="00EC5631">
        <w:rPr>
          <w:szCs w:val="22"/>
        </w:rPr>
        <w:t>comorbidity, life impact</w:t>
      </w:r>
      <w:r>
        <w:rPr>
          <w:szCs w:val="22"/>
        </w:rPr>
        <w:t>,</w:t>
      </w:r>
      <w:r w:rsidRPr="00EC5631">
        <w:rPr>
          <w:szCs w:val="22"/>
        </w:rPr>
        <w:t xml:space="preserve"> disability, general function (i.e., social and occupational) and illness perceptions were other key outcome</w:t>
      </w:r>
      <w:r>
        <w:rPr>
          <w:szCs w:val="22"/>
        </w:rPr>
        <w:t>s</w:t>
      </w:r>
      <w:r w:rsidRPr="00EC5631">
        <w:rPr>
          <w:szCs w:val="22"/>
        </w:rPr>
        <w:t xml:space="preserve"> </w:t>
      </w:r>
      <w:r>
        <w:rPr>
          <w:szCs w:val="22"/>
        </w:rPr>
        <w:t>e</w:t>
      </w:r>
      <w:r w:rsidRPr="00EC5631">
        <w:rPr>
          <w:szCs w:val="22"/>
        </w:rPr>
        <w:t xml:space="preserve">mployed in the previous literature. These </w:t>
      </w:r>
      <w:r>
        <w:rPr>
          <w:szCs w:val="22"/>
        </w:rPr>
        <w:t>were</w:t>
      </w:r>
      <w:r w:rsidRPr="00EC5631">
        <w:rPr>
          <w:szCs w:val="22"/>
        </w:rPr>
        <w:t xml:space="preserve"> typically measured using scales validated in other </w:t>
      </w:r>
      <w:r w:rsidRPr="00EC5631">
        <w:rPr>
          <w:szCs w:val="22"/>
        </w:rPr>
        <w:lastRenderedPageBreak/>
        <w:t>(superficially similar or related) disorders</w:t>
      </w:r>
      <w:r>
        <w:rPr>
          <w:szCs w:val="22"/>
        </w:rPr>
        <w:t>. However</w:t>
      </w:r>
      <w:r w:rsidRPr="00EC5631">
        <w:rPr>
          <w:szCs w:val="22"/>
        </w:rPr>
        <w:t xml:space="preserve">, the scales adopted for </w:t>
      </w:r>
      <w:r>
        <w:rPr>
          <w:szCs w:val="22"/>
        </w:rPr>
        <w:t>FNSD</w:t>
      </w:r>
      <w:r w:rsidRPr="00EC5631">
        <w:rPr>
          <w:szCs w:val="22"/>
        </w:rPr>
        <w:t xml:space="preserve"> research</w:t>
      </w:r>
      <w:r>
        <w:rPr>
          <w:szCs w:val="22"/>
        </w:rPr>
        <w:t xml:space="preserve"> seem to have little consistency</w:t>
      </w:r>
      <w:r w:rsidRPr="00EC5631">
        <w:rPr>
          <w:szCs w:val="22"/>
        </w:rPr>
        <w:t xml:space="preserve">. </w:t>
      </w:r>
    </w:p>
    <w:p w14:paraId="6CB72163" w14:textId="413CA05E" w:rsidR="00616AAE" w:rsidRPr="00EC5631" w:rsidRDefault="00616AAE" w:rsidP="006A7AB5">
      <w:pPr>
        <w:rPr>
          <w:szCs w:val="22"/>
        </w:rPr>
      </w:pPr>
      <w:r w:rsidRPr="00EC5631">
        <w:rPr>
          <w:szCs w:val="22"/>
        </w:rPr>
        <w:t xml:space="preserve">While symptoms of the disorder are usually the most intuitive aspect of disorders to measure, diagnostic features, core symptom heterogeneity, physical and psychological comorbidities, and variability of symptoms and signs in </w:t>
      </w:r>
      <w:r>
        <w:rPr>
          <w:szCs w:val="22"/>
        </w:rPr>
        <w:t>FNSD</w:t>
      </w:r>
      <w:r w:rsidRPr="00EC5631">
        <w:rPr>
          <w:szCs w:val="22"/>
        </w:rPr>
        <w:t xml:space="preserve"> confound the selection and </w:t>
      </w:r>
      <w:r>
        <w:rPr>
          <w:szCs w:val="22"/>
        </w:rPr>
        <w:t>utilisation</w:t>
      </w:r>
      <w:r w:rsidRPr="00EC5631">
        <w:rPr>
          <w:szCs w:val="22"/>
        </w:rPr>
        <w:t xml:space="preserve"> of outcome measurement </w:t>
      </w:r>
      <w:sdt>
        <w:sdtPr>
          <w:rPr>
            <w:color w:val="000000"/>
            <w:szCs w:val="22"/>
          </w:rPr>
          <w:tag w:val="MENDELEY_CITATION_v3_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
          <w:id w:val="744305133"/>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Baizabal-Carvallo</w:t>
          </w:r>
          <w:proofErr w:type="spellEnd"/>
          <w:r w:rsidR="005E4029" w:rsidRPr="005E4029">
            <w:rPr>
              <w:color w:val="000000"/>
              <w:szCs w:val="22"/>
            </w:rPr>
            <w:t xml:space="preserve"> et al., 2019; Nicholson et al., 2020)</w:t>
          </w:r>
        </w:sdtContent>
      </w:sdt>
      <w:r>
        <w:rPr>
          <w:szCs w:val="22"/>
        </w:rPr>
        <w:t>.</w:t>
      </w:r>
      <w:r w:rsidRPr="00EC5631">
        <w:rPr>
          <w:szCs w:val="22"/>
        </w:rPr>
        <w:t xml:space="preserve"> As research interest in </w:t>
      </w:r>
      <w:r>
        <w:rPr>
          <w:szCs w:val="22"/>
        </w:rPr>
        <w:t>FNSD</w:t>
      </w:r>
      <w:r w:rsidRPr="00EC5631">
        <w:rPr>
          <w:szCs w:val="22"/>
        </w:rPr>
        <w:t xml:space="preserve"> has moved beyond the emphasis of psychosocial stressors and psychological theories to exploring neuro-biological aetiologies, researchers have adopted objective approaches including physiological, task-based testing or neuroimaging rather than solely relying on self-reported subjective experiences or clinical data..</w:t>
      </w:r>
    </w:p>
    <w:p w14:paraId="4888B9B1" w14:textId="70283ACF" w:rsidR="00616AAE" w:rsidRDefault="00616AAE" w:rsidP="0097310E">
      <w:pPr>
        <w:rPr>
          <w:szCs w:val="22"/>
        </w:rPr>
      </w:pPr>
      <w:r w:rsidRPr="00EC5631">
        <w:rPr>
          <w:szCs w:val="22"/>
        </w:rPr>
        <w:t xml:space="preserve">The understanding of </w:t>
      </w:r>
      <w:r w:rsidR="00352F7F">
        <w:rPr>
          <w:szCs w:val="22"/>
        </w:rPr>
        <w:t>"</w:t>
      </w:r>
      <w:r w:rsidRPr="00EC5631">
        <w:rPr>
          <w:szCs w:val="22"/>
        </w:rPr>
        <w:t>objectivity</w:t>
      </w:r>
      <w:r w:rsidR="00352F7F">
        <w:rPr>
          <w:szCs w:val="22"/>
        </w:rPr>
        <w:t>"</w:t>
      </w:r>
      <w:r w:rsidRPr="00EC5631">
        <w:rPr>
          <w:szCs w:val="22"/>
        </w:rPr>
        <w:t xml:space="preserve"> of outcome measures varies in the literature depending on methods, researcher perspectives or aims. Objective measures can be considered any measure distinct from the influence of </w:t>
      </w:r>
      <w:r>
        <w:rPr>
          <w:szCs w:val="22"/>
        </w:rPr>
        <w:t xml:space="preserve">a </w:t>
      </w:r>
      <w:r w:rsidR="00352F7F">
        <w:rPr>
          <w:szCs w:val="22"/>
        </w:rPr>
        <w:t>patient's</w:t>
      </w:r>
      <w:r w:rsidRPr="00EC5631">
        <w:rPr>
          <w:szCs w:val="22"/>
        </w:rPr>
        <w:t xml:space="preserve"> subjective experience</w:t>
      </w:r>
      <w:r>
        <w:rPr>
          <w:szCs w:val="22"/>
        </w:rPr>
        <w:t>, including</w:t>
      </w:r>
      <w:r w:rsidRPr="00EC5631">
        <w:rPr>
          <w:szCs w:val="22"/>
        </w:rPr>
        <w:t xml:space="preserve"> routine neurological examination (clinician grading of power</w:t>
      </w:r>
      <w:r>
        <w:rPr>
          <w:szCs w:val="22"/>
        </w:rPr>
        <w:t xml:space="preserve">) </w:t>
      </w:r>
      <w:r w:rsidRPr="00EC5631">
        <w:rPr>
          <w:szCs w:val="22"/>
        </w:rPr>
        <w:t xml:space="preserve">or an </w:t>
      </w:r>
      <w:r w:rsidR="00352F7F">
        <w:rPr>
          <w:szCs w:val="22"/>
        </w:rPr>
        <w:t>observer's</w:t>
      </w:r>
      <w:r w:rsidRPr="00EC5631">
        <w:rPr>
          <w:szCs w:val="22"/>
        </w:rPr>
        <w:t xml:space="preserve"> impression of symptoms or function (clinical or caregiver rated).</w:t>
      </w:r>
      <w:r>
        <w:rPr>
          <w:szCs w:val="22"/>
        </w:rPr>
        <w:t xml:space="preserve"> </w:t>
      </w:r>
      <w:r w:rsidRPr="00EC5631">
        <w:rPr>
          <w:szCs w:val="22"/>
        </w:rPr>
        <w:t xml:space="preserve">However, some clinician-rated measurements are not truly objective due to the degree of subjectivity involved on the </w:t>
      </w:r>
      <w:r w:rsidR="00352F7F">
        <w:rPr>
          <w:szCs w:val="22"/>
        </w:rPr>
        <w:t>examiner's</w:t>
      </w:r>
      <w:r>
        <w:rPr>
          <w:szCs w:val="22"/>
        </w:rPr>
        <w:t xml:space="preserve"> part</w:t>
      </w:r>
      <w:r w:rsidRPr="00EC5631">
        <w:rPr>
          <w:szCs w:val="22"/>
        </w:rPr>
        <w:t xml:space="preserve"> in the grade allocation or grading based on observation. This can be assessed using interrater reliability. </w:t>
      </w:r>
      <w:r>
        <w:rPr>
          <w:szCs w:val="22"/>
        </w:rPr>
        <w:t xml:space="preserve">An example is </w:t>
      </w:r>
      <w:r w:rsidRPr="00EC5631">
        <w:rPr>
          <w:szCs w:val="22"/>
        </w:rPr>
        <w:t>the Clinical Global Impression Scale (CGI),</w:t>
      </w:r>
      <w:r>
        <w:rPr>
          <w:szCs w:val="22"/>
        </w:rPr>
        <w:t xml:space="preserve"> </w:t>
      </w:r>
      <w:r w:rsidRPr="00EC5631">
        <w:rPr>
          <w:szCs w:val="22"/>
        </w:rPr>
        <w:t xml:space="preserve">which assesses the severity of </w:t>
      </w:r>
      <w:r>
        <w:rPr>
          <w:szCs w:val="22"/>
        </w:rPr>
        <w:t xml:space="preserve">mental disorders </w:t>
      </w:r>
      <w:r w:rsidRPr="00EC5631">
        <w:rPr>
          <w:szCs w:val="22"/>
        </w:rPr>
        <w:t>symptoms and the degree of improvement following treatment</w:t>
      </w:r>
      <w:r>
        <w:rPr>
          <w:szCs w:val="22"/>
        </w:rPr>
        <w:t xml:space="preserve">. This scale is </w:t>
      </w:r>
      <w:r w:rsidRPr="00326086">
        <w:rPr>
          <w:szCs w:val="22"/>
        </w:rPr>
        <w:t>consider</w:t>
      </w:r>
      <w:r>
        <w:rPr>
          <w:szCs w:val="22"/>
        </w:rPr>
        <w:t xml:space="preserve">ed </w:t>
      </w:r>
      <w:r w:rsidRPr="00326086">
        <w:rPr>
          <w:szCs w:val="22"/>
        </w:rPr>
        <w:t>subjective</w:t>
      </w:r>
      <w:r>
        <w:rPr>
          <w:szCs w:val="22"/>
        </w:rPr>
        <w:t>, requiring</w:t>
      </w:r>
      <w:r w:rsidRPr="00326086">
        <w:rPr>
          <w:szCs w:val="22"/>
        </w:rPr>
        <w:t xml:space="preserve"> the </w:t>
      </w:r>
      <w:r>
        <w:rPr>
          <w:szCs w:val="22"/>
        </w:rPr>
        <w:t>clinician</w:t>
      </w:r>
      <w:r w:rsidRPr="00326086">
        <w:rPr>
          <w:szCs w:val="22"/>
        </w:rPr>
        <w:t xml:space="preserve"> to compare the </w:t>
      </w:r>
      <w:r>
        <w:rPr>
          <w:szCs w:val="22"/>
        </w:rPr>
        <w:t>examined patients</w:t>
      </w:r>
      <w:r w:rsidRPr="00326086">
        <w:rPr>
          <w:szCs w:val="22"/>
        </w:rPr>
        <w:t xml:space="preserve"> to typical patients in the</w:t>
      </w:r>
      <w:r>
        <w:rPr>
          <w:szCs w:val="22"/>
        </w:rPr>
        <w:t>ir own clinical</w:t>
      </w:r>
      <w:r w:rsidRPr="00326086">
        <w:rPr>
          <w:szCs w:val="22"/>
        </w:rPr>
        <w:t xml:space="preserve"> experience</w:t>
      </w:r>
      <w:r w:rsidRPr="00EC5631">
        <w:rPr>
          <w:szCs w:val="22"/>
        </w:rPr>
        <w:t xml:space="preserve"> </w:t>
      </w:r>
      <w:sdt>
        <w:sdtPr>
          <w:rPr>
            <w:szCs w:val="22"/>
          </w:rPr>
          <w:tag w:val="MENDELEY_CITATION_v3_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"/>
          <w:id w:val="-1278559899"/>
          <w:placeholder>
            <w:docPart w:val="3608C013BCF14C479DD2270DB967AA2F"/>
          </w:placeholder>
        </w:sdtPr>
        <w:sdtContent>
          <w:r w:rsidR="005E4029">
            <w:rPr>
              <w:rFonts w:eastAsia="Times New Roman"/>
            </w:rPr>
            <w:t>(</w:t>
          </w:r>
          <w:proofErr w:type="spellStart"/>
          <w:r w:rsidR="005E4029">
            <w:rPr>
              <w:rFonts w:eastAsia="Times New Roman"/>
            </w:rPr>
            <w:t>Busner</w:t>
          </w:r>
          <w:proofErr w:type="spellEnd"/>
          <w:r w:rsidR="005E4029">
            <w:rPr>
              <w:rFonts w:eastAsia="Times New Roman"/>
            </w:rPr>
            <w:t xml:space="preserve"> &amp; Targum, 2007)</w:t>
          </w:r>
        </w:sdtContent>
      </w:sdt>
      <w:r>
        <w:rPr>
          <w:szCs w:val="22"/>
        </w:rPr>
        <w:t>.</w:t>
      </w:r>
      <w:r w:rsidRPr="00EC5631">
        <w:rPr>
          <w:szCs w:val="22"/>
        </w:rPr>
        <w:t xml:space="preserve"> </w:t>
      </w:r>
      <w:r>
        <w:rPr>
          <w:szCs w:val="22"/>
        </w:rPr>
        <w:t>B</w:t>
      </w:r>
      <w:r w:rsidRPr="00EC5631">
        <w:rPr>
          <w:szCs w:val="22"/>
        </w:rPr>
        <w:t>iological</w:t>
      </w:r>
      <w:r>
        <w:rPr>
          <w:szCs w:val="22"/>
        </w:rPr>
        <w:t xml:space="preserve"> or </w:t>
      </w:r>
      <w:r w:rsidRPr="00EC5631">
        <w:rPr>
          <w:szCs w:val="22"/>
        </w:rPr>
        <w:t>physiological changes</w:t>
      </w:r>
      <w:r>
        <w:rPr>
          <w:szCs w:val="22"/>
        </w:rPr>
        <w:t xml:space="preserve"> may form more reliable objective measures</w:t>
      </w:r>
      <w:r w:rsidRPr="00EC5631">
        <w:rPr>
          <w:szCs w:val="22"/>
        </w:rPr>
        <w:t xml:space="preserve">, for example, seizure frequency during continuous EEG telemetry or changes measured using wearable monitoring devices. </w:t>
      </w:r>
      <w:r>
        <w:rPr>
          <w:szCs w:val="22"/>
        </w:rPr>
        <w:t>R</w:t>
      </w:r>
      <w:r w:rsidRPr="00EC5631">
        <w:rPr>
          <w:szCs w:val="22"/>
        </w:rPr>
        <w:t xml:space="preserve">esearch has increasingly investigated pathophysiological changes in </w:t>
      </w:r>
      <w:r>
        <w:rPr>
          <w:szCs w:val="22"/>
        </w:rPr>
        <w:t>FNSD</w:t>
      </w:r>
      <w:r w:rsidRPr="00EC5631">
        <w:rPr>
          <w:szCs w:val="22"/>
        </w:rPr>
        <w:t xml:space="preserve">  </w:t>
      </w:r>
      <w:r>
        <w:rPr>
          <w:szCs w:val="22"/>
        </w:rPr>
        <w:t>utilising</w:t>
      </w:r>
      <w:r w:rsidRPr="00EC5631">
        <w:rPr>
          <w:szCs w:val="22"/>
        </w:rPr>
        <w:t xml:space="preserve"> physiological monitoring, task-based or performance testing or neuroimaging</w:t>
      </w:r>
      <w:r w:rsidRPr="00424E25">
        <w:rPr>
          <w:color w:val="000000"/>
          <w:szCs w:val="22"/>
        </w:rPr>
        <w:t xml:space="preserve"> </w:t>
      </w:r>
      <w:sdt>
        <w:sdtPr>
          <w:rPr>
            <w:color w:val="000000"/>
            <w:szCs w:val="22"/>
          </w:rPr>
          <w:tag w:val="MENDELEY_CITATION_v3_eyJjaXRhdGlvbklEIjoiTUVOREVMRVlfQ0lUQVRJT05fMWNmYjRmMTktMDIyZS00NzA1LWFjMTAtY2ZjMTc1NjE1ZDk2IiwicHJvcGVydGllcyI6eyJub3RlSW5kZXgiOjB9LCJpc0VkaXRlZCI6ZmFsc2UsIm1hbnVhbE92ZXJyaWRlIjp7ImlzTWFudWFsbHlPdmVycmlkZGVuIjpmYWxzZSwiY2l0ZXByb2NUZXh0IjoiKE5pY2hvbHNvbi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
          <w:id w:val="1702980623"/>
          <w:placeholder>
            <w:docPart w:val="1C00E898EB546B4A9FDB10DB9EB216E1"/>
          </w:placeholder>
        </w:sdtPr>
        <w:sdtContent>
          <w:r w:rsidR="005E4029" w:rsidRPr="005E4029">
            <w:rPr>
              <w:color w:val="000000"/>
              <w:szCs w:val="22"/>
            </w:rPr>
            <w:t>(Nicholson et al., 2020)</w:t>
          </w:r>
        </w:sdtContent>
      </w:sdt>
      <w:r w:rsidRPr="00EC5631">
        <w:rPr>
          <w:szCs w:val="22"/>
        </w:rPr>
        <w:t>.</w:t>
      </w:r>
      <w:r>
        <w:rPr>
          <w:szCs w:val="22"/>
        </w:rPr>
        <w:t xml:space="preserve"> </w:t>
      </w:r>
      <w:r w:rsidRPr="00EC5631">
        <w:rPr>
          <w:szCs w:val="22"/>
        </w:rPr>
        <w:t xml:space="preserve">An additional objective measure of </w:t>
      </w:r>
      <w:r>
        <w:rPr>
          <w:szCs w:val="22"/>
        </w:rPr>
        <w:t>FNSD</w:t>
      </w:r>
      <w:r w:rsidRPr="00EC5631">
        <w:rPr>
          <w:szCs w:val="22"/>
        </w:rPr>
        <w:t xml:space="preserve"> outcome</w:t>
      </w:r>
      <w:r>
        <w:rPr>
          <w:szCs w:val="22"/>
        </w:rPr>
        <w:t>s</w:t>
      </w:r>
      <w:r w:rsidRPr="00EC5631">
        <w:rPr>
          <w:szCs w:val="22"/>
        </w:rPr>
        <w:t xml:space="preserve">, which has attracted limited research interest to date, </w:t>
      </w:r>
      <w:r>
        <w:rPr>
          <w:szCs w:val="22"/>
        </w:rPr>
        <w:t>are</w:t>
      </w:r>
      <w:r w:rsidRPr="00EC5631">
        <w:rPr>
          <w:szCs w:val="22"/>
        </w:rPr>
        <w:t xml:space="preserve"> those </w:t>
      </w:r>
      <w:r>
        <w:rPr>
          <w:szCs w:val="22"/>
        </w:rPr>
        <w:t>of</w:t>
      </w:r>
      <w:r w:rsidRPr="00EC5631">
        <w:rPr>
          <w:szCs w:val="22"/>
        </w:rPr>
        <w:t xml:space="preserve"> behavioural outcomes. As one of the most common diagnoses in neurology, </w:t>
      </w:r>
      <w:r>
        <w:rPr>
          <w:szCs w:val="22"/>
        </w:rPr>
        <w:t>FNSD</w:t>
      </w:r>
      <w:r w:rsidRPr="00EC5631">
        <w:rPr>
          <w:szCs w:val="22"/>
        </w:rPr>
        <w:t xml:space="preserve"> is </w:t>
      </w:r>
      <w:r>
        <w:rPr>
          <w:szCs w:val="22"/>
        </w:rPr>
        <w:t>a major</w:t>
      </w:r>
      <w:r w:rsidRPr="00EC5631">
        <w:rPr>
          <w:szCs w:val="22"/>
        </w:rPr>
        <w:t xml:space="preserve"> cause of long-term disability, impaired quality of life and acute presentations</w:t>
      </w:r>
      <w:r>
        <w:rPr>
          <w:szCs w:val="22"/>
        </w:rPr>
        <w:t xml:space="preserve">, </w:t>
      </w:r>
      <w:r w:rsidRPr="00EF5CB7">
        <w:rPr>
          <w:szCs w:val="22"/>
        </w:rPr>
        <w:t>where the symptoms often mimic those of organic neurological diseases. The frequent use of emergency services</w:t>
      </w:r>
      <w:r>
        <w:rPr>
          <w:szCs w:val="22"/>
        </w:rPr>
        <w:t>, for example,</w:t>
      </w:r>
      <w:r w:rsidRPr="00EF5CB7">
        <w:rPr>
          <w:szCs w:val="22"/>
        </w:rPr>
        <w:t xml:space="preserve"> may be used as a proxy for the severity of symptoms, the perceived need for immediate medical </w:t>
      </w:r>
      <w:r w:rsidRPr="00EF5CB7">
        <w:rPr>
          <w:szCs w:val="22"/>
        </w:rPr>
        <w:lastRenderedPageBreak/>
        <w:t xml:space="preserve">attention and as a measure of the efficacy of interventions </w:t>
      </w:r>
      <w:r>
        <w:rPr>
          <w:szCs w:val="22"/>
        </w:rPr>
        <w:t>to reduce</w:t>
      </w:r>
      <w:r w:rsidRPr="00EF5CB7">
        <w:rPr>
          <w:szCs w:val="22"/>
        </w:rPr>
        <w:t xml:space="preserve"> unnecessary healthcare </w:t>
      </w:r>
      <w:r>
        <w:rPr>
          <w:szCs w:val="22"/>
        </w:rPr>
        <w:t xml:space="preserve">utilisation </w:t>
      </w:r>
      <w:sdt>
        <w:sdtPr>
          <w:rPr>
            <w:color w:val="000000"/>
            <w:szCs w:val="22"/>
          </w:rPr>
          <w:tag w:val="MENDELEY_CITATION_v3_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"/>
          <w:id w:val="-1167388892"/>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Gelauff</w:t>
          </w:r>
          <w:proofErr w:type="spellEnd"/>
          <w:r w:rsidR="005E4029" w:rsidRPr="005E4029">
            <w:rPr>
              <w:color w:val="000000"/>
              <w:szCs w:val="22"/>
            </w:rPr>
            <w:t xml:space="preserve"> et al., 2014)</w:t>
          </w:r>
        </w:sdtContent>
      </w:sdt>
      <w:r>
        <w:rPr>
          <w:szCs w:val="22"/>
        </w:rPr>
        <w:t>.</w:t>
      </w:r>
    </w:p>
    <w:p w14:paraId="40489657" w14:textId="6828C8AE" w:rsidR="00616AAE" w:rsidRPr="00EC5631" w:rsidRDefault="00616AAE" w:rsidP="0072052E">
      <w:pPr>
        <w:spacing w:after="200"/>
        <w:rPr>
          <w:szCs w:val="22"/>
        </w:rPr>
      </w:pPr>
      <w:r>
        <w:rPr>
          <w:szCs w:val="22"/>
        </w:rPr>
        <w:t>Interestingly, f</w:t>
      </w:r>
      <w:r w:rsidRPr="00EC5631">
        <w:rPr>
          <w:szCs w:val="22"/>
        </w:rPr>
        <w:t xml:space="preserve">indings from subjective and objective outcome measurements in </w:t>
      </w:r>
      <w:r>
        <w:rPr>
          <w:szCs w:val="22"/>
        </w:rPr>
        <w:t>FNSD</w:t>
      </w:r>
      <w:r w:rsidRPr="00EC5631">
        <w:rPr>
          <w:szCs w:val="22"/>
        </w:rPr>
        <w:t xml:space="preserve"> populations have shown limited association in the available literature. Several studies have revealed that scores self-reported by </w:t>
      </w:r>
      <w:r>
        <w:rPr>
          <w:szCs w:val="22"/>
        </w:rPr>
        <w:t>FNSD</w:t>
      </w:r>
      <w:r w:rsidRPr="00EC5631">
        <w:rPr>
          <w:szCs w:val="22"/>
        </w:rPr>
        <w:t xml:space="preserve"> patients do not show a close relationship to findings from the same or related outcomes that were measured objectively or physiologically</w:t>
      </w:r>
      <w:r>
        <w:rPr>
          <w:szCs w:val="22"/>
        </w:rPr>
        <w:t xml:space="preserve"> in the same group</w:t>
      </w:r>
      <w:r w:rsidRPr="00EC5631">
        <w:rPr>
          <w:szCs w:val="22"/>
        </w:rPr>
        <w:t xml:space="preserve"> </w:t>
      </w:r>
      <w:sdt>
        <w:sdtPr>
          <w:rPr>
            <w:color w:val="000000"/>
            <w:szCs w:val="22"/>
          </w:rPr>
          <w:tag w:val="MENDELEY_CITATION_v3_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"/>
          <w:id w:val="-907601345"/>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Allendorfer</w:t>
          </w:r>
          <w:proofErr w:type="spellEnd"/>
          <w:r w:rsidR="005E4029" w:rsidRPr="005E4029">
            <w:rPr>
              <w:color w:val="000000"/>
              <w:szCs w:val="22"/>
            </w:rPr>
            <w:t xml:space="preserve"> et al., 2019; </w:t>
          </w:r>
          <w:proofErr w:type="spellStart"/>
          <w:r w:rsidR="005E4029" w:rsidRPr="005E4029">
            <w:rPr>
              <w:color w:val="000000"/>
              <w:szCs w:val="22"/>
            </w:rPr>
            <w:t>Kotwas</w:t>
          </w:r>
          <w:proofErr w:type="spellEnd"/>
          <w:r w:rsidR="005E4029" w:rsidRPr="005E4029">
            <w:rPr>
              <w:color w:val="000000"/>
              <w:szCs w:val="22"/>
            </w:rPr>
            <w:t xml:space="preserve"> et al., 2019; </w:t>
          </w:r>
          <w:proofErr w:type="spellStart"/>
          <w:r w:rsidR="005E4029" w:rsidRPr="005E4029">
            <w:rPr>
              <w:color w:val="000000"/>
              <w:szCs w:val="22"/>
            </w:rPr>
            <w:t>Latreille</w:t>
          </w:r>
          <w:proofErr w:type="spellEnd"/>
          <w:r w:rsidR="005E4029" w:rsidRPr="005E4029">
            <w:rPr>
              <w:color w:val="000000"/>
              <w:szCs w:val="22"/>
            </w:rPr>
            <w:t xml:space="preserve"> et al., 2019; Novakova et al., 2017; </w:t>
          </w:r>
          <w:proofErr w:type="spellStart"/>
          <w:r w:rsidR="005E4029" w:rsidRPr="005E4029">
            <w:rPr>
              <w:color w:val="000000"/>
              <w:szCs w:val="22"/>
            </w:rPr>
            <w:t>Pareés</w:t>
          </w:r>
          <w:proofErr w:type="spellEnd"/>
          <w:r w:rsidR="005E4029" w:rsidRPr="005E4029">
            <w:rPr>
              <w:color w:val="000000"/>
              <w:szCs w:val="22"/>
            </w:rPr>
            <w:t xml:space="preserve"> et al., 2012; Pick et al., 2018a; </w:t>
          </w:r>
          <w:proofErr w:type="spellStart"/>
          <w:r w:rsidR="005E4029" w:rsidRPr="005E4029">
            <w:rPr>
              <w:color w:val="000000"/>
              <w:szCs w:val="22"/>
            </w:rPr>
            <w:t>Pouretemad</w:t>
          </w:r>
          <w:proofErr w:type="spellEnd"/>
          <w:r w:rsidR="005E4029" w:rsidRPr="005E4029">
            <w:rPr>
              <w:color w:val="000000"/>
              <w:szCs w:val="22"/>
            </w:rPr>
            <w:t xml:space="preserve"> et al., 1998)</w:t>
          </w:r>
        </w:sdtContent>
      </w:sdt>
      <w:r>
        <w:rPr>
          <w:szCs w:val="22"/>
        </w:rPr>
        <w:t xml:space="preserve">. </w:t>
      </w:r>
      <w:r w:rsidRPr="00EC5631">
        <w:rPr>
          <w:szCs w:val="22"/>
        </w:rPr>
        <w:t xml:space="preserve">There are many reasons why subjective, objective and behavioural measures may not be correlated, </w:t>
      </w:r>
      <w:r>
        <w:rPr>
          <w:szCs w:val="22"/>
        </w:rPr>
        <w:t>but</w:t>
      </w:r>
      <w:r w:rsidRPr="00EC5631">
        <w:rPr>
          <w:szCs w:val="22"/>
        </w:rPr>
        <w:t xml:space="preserve"> this discrepancy </w:t>
      </w:r>
      <w:r>
        <w:rPr>
          <w:szCs w:val="22"/>
        </w:rPr>
        <w:t xml:space="preserve">further highlights the need to study and refine outcome measures, </w:t>
      </w:r>
      <w:r w:rsidRPr="00EC5631">
        <w:rPr>
          <w:szCs w:val="22"/>
        </w:rPr>
        <w:t>particularly in this patient population</w:t>
      </w:r>
      <w:r>
        <w:rPr>
          <w:szCs w:val="22"/>
        </w:rPr>
        <w:t>. A combination of several approaches to measure outcomes may be warranted to</w:t>
      </w:r>
      <w:r w:rsidRPr="00EC5631">
        <w:rPr>
          <w:szCs w:val="22"/>
        </w:rPr>
        <w:t xml:space="preserve"> comprehensively study </w:t>
      </w:r>
      <w:r>
        <w:rPr>
          <w:szCs w:val="22"/>
        </w:rPr>
        <w:t>FNSD</w:t>
      </w:r>
      <w:r w:rsidRPr="00EC5631">
        <w:rPr>
          <w:szCs w:val="22"/>
        </w:rPr>
        <w:t xml:space="preserve"> phenomenology and treatment efficacy or facilitate comparisons of therapeutic interventions.</w:t>
      </w:r>
    </w:p>
    <w:p w14:paraId="3BBC55AE" w14:textId="77777777" w:rsidR="00616AAE" w:rsidRPr="000D1871" w:rsidRDefault="00616AAE" w:rsidP="0014037C">
      <w:pPr>
        <w:pStyle w:val="Heading2"/>
      </w:pPr>
      <w:bookmarkStart w:id="19" w:name="_Toc137504665"/>
      <w:r>
        <w:t>1.3 Importance and Purpose of the Study</w:t>
      </w:r>
      <w:bookmarkEnd w:id="19"/>
    </w:p>
    <w:p w14:paraId="502502FE" w14:textId="05AA3556" w:rsidR="00616AAE" w:rsidRPr="00616AAE" w:rsidRDefault="00616AAE" w:rsidP="0097310E">
      <w:pPr>
        <w:rPr>
          <w:szCs w:val="22"/>
        </w:rPr>
      </w:pPr>
      <w:r w:rsidRPr="002D3945">
        <w:rPr>
          <w:szCs w:val="22"/>
        </w:rPr>
        <w:t xml:space="preserve">Evaluating outcomes in patients with </w:t>
      </w:r>
      <w:r>
        <w:rPr>
          <w:szCs w:val="22"/>
        </w:rPr>
        <w:t>FNSDs</w:t>
      </w:r>
      <w:r w:rsidRPr="002D3945">
        <w:rPr>
          <w:szCs w:val="22"/>
        </w:rPr>
        <w:t xml:space="preserve"> p</w:t>
      </w:r>
      <w:r>
        <w:rPr>
          <w:szCs w:val="22"/>
        </w:rPr>
        <w:t xml:space="preserve">resents several </w:t>
      </w:r>
      <w:r w:rsidRPr="002D3945">
        <w:rPr>
          <w:szCs w:val="22"/>
        </w:rPr>
        <w:t xml:space="preserve">challenges due to the complex and heterogeneous nature of </w:t>
      </w:r>
      <w:r>
        <w:rPr>
          <w:szCs w:val="22"/>
        </w:rPr>
        <w:t>symptoms</w:t>
      </w:r>
      <w:r w:rsidRPr="002D3945">
        <w:rPr>
          <w:szCs w:val="22"/>
        </w:rPr>
        <w:t xml:space="preserve"> </w:t>
      </w:r>
      <w:sdt>
        <w:sdtPr>
          <w:rPr>
            <w:color w:val="000000"/>
            <w:szCs w:val="22"/>
          </w:rPr>
          <w:tag w:val="MENDELEY_CITATION_v3_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"/>
          <w:id w:val="-683676817"/>
          <w:placeholder>
            <w:docPart w:val="E11707C14A687C4394FB968AA7E5B24E"/>
          </w:placeholder>
        </w:sdtPr>
        <w:sdtContent>
          <w:r w:rsidR="005E4029" w:rsidRPr="005E4029">
            <w:rPr>
              <w:color w:val="000000"/>
              <w:szCs w:val="22"/>
            </w:rPr>
            <w:t xml:space="preserve">(Hallett et al., 2022; </w:t>
          </w:r>
          <w:proofErr w:type="spellStart"/>
          <w:r w:rsidR="005E4029" w:rsidRPr="005E4029">
            <w:rPr>
              <w:color w:val="000000"/>
              <w:szCs w:val="22"/>
            </w:rPr>
            <w:t>Kranick</w:t>
          </w:r>
          <w:proofErr w:type="spellEnd"/>
          <w:r w:rsidR="005E4029" w:rsidRPr="005E4029">
            <w:rPr>
              <w:color w:val="000000"/>
              <w:szCs w:val="22"/>
            </w:rPr>
            <w:t xml:space="preserve"> et al., 2011)</w:t>
          </w:r>
        </w:sdtContent>
      </w:sdt>
      <w:r w:rsidRPr="002D3945">
        <w:rPr>
          <w:szCs w:val="22"/>
        </w:rPr>
        <w:t>.</w:t>
      </w:r>
      <w:r>
        <w:t xml:space="preserve"> </w:t>
      </w:r>
      <w:r>
        <w:rPr>
          <w:szCs w:val="22"/>
        </w:rPr>
        <w:t>D</w:t>
      </w:r>
      <w:r w:rsidRPr="00287416">
        <w:rPr>
          <w:szCs w:val="22"/>
        </w:rPr>
        <w:t>iscrepancies between subjective illness experience and objective findings on examination  (</w:t>
      </w:r>
      <w:r>
        <w:rPr>
          <w:szCs w:val="22"/>
        </w:rPr>
        <w:t xml:space="preserve">including physiological and imaging </w:t>
      </w:r>
      <w:r w:rsidRPr="00287416">
        <w:rPr>
          <w:szCs w:val="22"/>
        </w:rPr>
        <w:t xml:space="preserve">testing such as MRI) pose a challenge to </w:t>
      </w:r>
      <w:r>
        <w:rPr>
          <w:szCs w:val="22"/>
        </w:rPr>
        <w:t>interpreting</w:t>
      </w:r>
      <w:r w:rsidRPr="00287416">
        <w:rPr>
          <w:szCs w:val="22"/>
        </w:rPr>
        <w:t xml:space="preserve"> subjective measures. </w:t>
      </w:r>
      <w:r>
        <w:rPr>
          <w:szCs w:val="22"/>
        </w:rPr>
        <w:t>O</w:t>
      </w:r>
      <w:r w:rsidRPr="00287416">
        <w:rPr>
          <w:szCs w:val="22"/>
        </w:rPr>
        <w:t xml:space="preserve">ther problems with objective outcome measurement may be more immediately </w:t>
      </w:r>
      <w:r>
        <w:rPr>
          <w:szCs w:val="22"/>
        </w:rPr>
        <w:t>apparent</w:t>
      </w:r>
      <w:r w:rsidRPr="00287416">
        <w:rPr>
          <w:szCs w:val="22"/>
        </w:rPr>
        <w:t xml:space="preserve"> - for instance</w:t>
      </w:r>
      <w:r>
        <w:rPr>
          <w:szCs w:val="22"/>
        </w:rPr>
        <w:t>, with</w:t>
      </w:r>
      <w:r w:rsidRPr="00287416">
        <w:rPr>
          <w:szCs w:val="22"/>
        </w:rPr>
        <w:t xml:space="preserve"> the range of different symptoms p</w:t>
      </w:r>
      <w:r>
        <w:rPr>
          <w:szCs w:val="22"/>
        </w:rPr>
        <w:t xml:space="preserve">wFNSD </w:t>
      </w:r>
      <w:r w:rsidRPr="00287416">
        <w:rPr>
          <w:szCs w:val="22"/>
        </w:rPr>
        <w:t>present with</w:t>
      </w:r>
      <w:r>
        <w:rPr>
          <w:szCs w:val="22"/>
        </w:rPr>
        <w:t xml:space="preserve">, </w:t>
      </w:r>
      <w:r w:rsidRPr="00287416">
        <w:rPr>
          <w:szCs w:val="22"/>
        </w:rPr>
        <w:t>testing the cognitive function of someone with FCD or seizure duration in someone with functional blindness</w:t>
      </w:r>
      <w:r>
        <w:rPr>
          <w:szCs w:val="22"/>
        </w:rPr>
        <w:t xml:space="preserve"> would be futile</w:t>
      </w:r>
      <w:r w:rsidRPr="00287416">
        <w:rPr>
          <w:szCs w:val="22"/>
        </w:rPr>
        <w:t>.</w:t>
      </w:r>
      <w:r>
        <w:rPr>
          <w:szCs w:val="22"/>
        </w:rPr>
        <w:t xml:space="preserve"> </w:t>
      </w:r>
      <w:r w:rsidRPr="002D3945">
        <w:rPr>
          <w:szCs w:val="22"/>
        </w:rPr>
        <w:t xml:space="preserve">On the other hand, patient self-rated outcomes may be more susceptible to response bias as patients might underreport or overreport symptoms due to factors such as perceived stigma, denial, or the desire to appease healthcare providers </w:t>
      </w:r>
      <w:sdt>
        <w:sdtPr>
          <w:rPr>
            <w:szCs w:val="22"/>
          </w:rPr>
          <w:tag w:val="MENDELEY_CITATION_v3_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"/>
          <w:id w:val="-879319411"/>
          <w:placeholder>
            <w:docPart w:val="E11707C14A687C4394FB968AA7E5B24E"/>
          </w:placeholder>
        </w:sdtPr>
        <w:sdtContent>
          <w:r w:rsidR="005E4029">
            <w:rPr>
              <w:rFonts w:eastAsia="Times New Roman"/>
            </w:rPr>
            <w:t>(</w:t>
          </w:r>
          <w:proofErr w:type="spellStart"/>
          <w:r w:rsidR="005E4029">
            <w:rPr>
              <w:rFonts w:eastAsia="Times New Roman"/>
            </w:rPr>
            <w:t>Gargon</w:t>
          </w:r>
          <w:proofErr w:type="spellEnd"/>
          <w:r w:rsidR="005E4029">
            <w:rPr>
              <w:rFonts w:eastAsia="Times New Roman"/>
            </w:rPr>
            <w:t xml:space="preserve">, 2016; </w:t>
          </w:r>
          <w:proofErr w:type="spellStart"/>
          <w:r w:rsidR="005E4029">
            <w:rPr>
              <w:rFonts w:eastAsia="Times New Roman"/>
            </w:rPr>
            <w:t>Haeffel</w:t>
          </w:r>
          <w:proofErr w:type="spellEnd"/>
          <w:r w:rsidR="005E4029">
            <w:rPr>
              <w:rFonts w:eastAsia="Times New Roman"/>
            </w:rPr>
            <w:t xml:space="preserve"> &amp; Howard, 2010; </w:t>
          </w:r>
          <w:proofErr w:type="spellStart"/>
          <w:r w:rsidR="005E4029">
            <w:rPr>
              <w:rFonts w:eastAsia="Times New Roman"/>
            </w:rPr>
            <w:t>Pareés</w:t>
          </w:r>
          <w:proofErr w:type="spellEnd"/>
          <w:r w:rsidR="005E4029">
            <w:rPr>
              <w:rFonts w:eastAsia="Times New Roman"/>
            </w:rPr>
            <w:t xml:space="preserve"> et al., 2012)</w:t>
          </w:r>
        </w:sdtContent>
      </w:sdt>
      <w:r>
        <w:rPr>
          <w:szCs w:val="22"/>
        </w:rPr>
        <w:t xml:space="preserve">, </w:t>
      </w:r>
      <w:r w:rsidRPr="002D3945">
        <w:rPr>
          <w:szCs w:val="22"/>
        </w:rPr>
        <w:t xml:space="preserve">thereby yielding less reliable information. </w:t>
      </w:r>
    </w:p>
    <w:p w14:paraId="36F0A5D6" w14:textId="7D8A926D" w:rsidR="00616AAE" w:rsidRPr="002D3945" w:rsidRDefault="00616AAE" w:rsidP="002D3945">
      <w:pPr>
        <w:rPr>
          <w:szCs w:val="22"/>
        </w:rPr>
      </w:pPr>
      <w:r>
        <w:rPr>
          <w:szCs w:val="22"/>
        </w:rPr>
        <w:t>Due to these factors and the varied and changing FNSD</w:t>
      </w:r>
      <w:r w:rsidRPr="002D3945">
        <w:rPr>
          <w:szCs w:val="22"/>
        </w:rPr>
        <w:t xml:space="preserve"> symptoms among individuals and over time, </w:t>
      </w:r>
      <w:r>
        <w:rPr>
          <w:szCs w:val="22"/>
        </w:rPr>
        <w:t>establishing</w:t>
      </w:r>
      <w:r w:rsidRPr="002D3945">
        <w:rPr>
          <w:szCs w:val="22"/>
        </w:rPr>
        <w:t xml:space="preserve"> a consistent and reliable set of outcome measures </w:t>
      </w:r>
      <w:r>
        <w:rPr>
          <w:szCs w:val="22"/>
        </w:rPr>
        <w:t xml:space="preserve">is </w:t>
      </w:r>
      <w:r w:rsidRPr="002D3945">
        <w:rPr>
          <w:szCs w:val="22"/>
        </w:rPr>
        <w:t xml:space="preserve">difficult </w:t>
      </w:r>
      <w:sdt>
        <w:sdtPr>
          <w:rPr>
            <w:color w:val="000000"/>
            <w:szCs w:val="22"/>
          </w:rPr>
          <w:tag w:val="MENDELEY_CITATION_v3_eyJjaXRhdGlvbklEIjoiTUVOREVMRVlfQ0lUQVRJT05fNDQ3ZTgwYmEtZTNiMS00ODM2LTk4NTYtMzMzZDUzNDYxYzZiIiwicHJvcGVydGllcyI6eyJub3RlSW5kZXgiOjB9LCJpc0VkaXRlZCI6ZmFsc2UsIm1hbnVhbE92ZXJyaWRlIjp7ImlzTWFudWFsbHlPdmVycmlkZGVuIjpmYWxzZSwiY2l0ZXByb2NUZXh0IjoiKE5pY2hvbHNvbiBldCBhbC4sIDIwMjA7IFBpY2ssIEFuZGVyc29uLC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"/>
          <w:id w:val="1608465839"/>
          <w:placeholder>
            <w:docPart w:val="E11707C14A687C4394FB968AA7E5B24E"/>
          </w:placeholder>
        </w:sdtPr>
        <w:sdtContent>
          <w:r w:rsidR="005E4029" w:rsidRPr="005E4029">
            <w:rPr>
              <w:color w:val="000000"/>
              <w:szCs w:val="22"/>
            </w:rPr>
            <w:t>(Nicholson et al., 2020; Pick, Anderson, et al., 2020)</w:t>
          </w:r>
        </w:sdtContent>
      </w:sdt>
      <w:r w:rsidRPr="002D3945">
        <w:rPr>
          <w:szCs w:val="22"/>
        </w:rPr>
        <w:t xml:space="preserve">. Moreover, </w:t>
      </w:r>
      <w:r>
        <w:rPr>
          <w:szCs w:val="22"/>
        </w:rPr>
        <w:t>FNSD</w:t>
      </w:r>
      <w:r w:rsidRPr="002D3945">
        <w:rPr>
          <w:szCs w:val="22"/>
        </w:rPr>
        <w:t>s are frequently accompanied by comorbid psychological and psychiatric disorders</w:t>
      </w:r>
      <w:r>
        <w:rPr>
          <w:szCs w:val="22"/>
        </w:rPr>
        <w:t>,</w:t>
      </w:r>
      <w:r w:rsidRPr="002D3945">
        <w:rPr>
          <w:szCs w:val="22"/>
        </w:rPr>
        <w:t xml:space="preserve"> which can affect treatment outcomes and complicate assessment processes </w:t>
      </w:r>
      <w:sdt>
        <w:sdtPr>
          <w:rPr>
            <w:color w:val="000000"/>
            <w:szCs w:val="22"/>
          </w:rPr>
          <w:tag w:val="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"/>
          <w:id w:val="-975680140"/>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Gelauff</w:t>
          </w:r>
          <w:proofErr w:type="spellEnd"/>
          <w:r w:rsidR="005E4029" w:rsidRPr="005E4029">
            <w:rPr>
              <w:color w:val="000000"/>
              <w:szCs w:val="22"/>
            </w:rPr>
            <w:t xml:space="preserve"> et al., </w:t>
          </w:r>
          <w:r w:rsidR="005E4029" w:rsidRPr="005E4029">
            <w:rPr>
              <w:color w:val="000000"/>
              <w:szCs w:val="22"/>
            </w:rPr>
            <w:lastRenderedPageBreak/>
            <w:t xml:space="preserve">2014; </w:t>
          </w:r>
          <w:proofErr w:type="spellStart"/>
          <w:r w:rsidR="005E4029" w:rsidRPr="005E4029">
            <w:rPr>
              <w:color w:val="000000"/>
              <w:szCs w:val="22"/>
            </w:rPr>
            <w:t>Jalilianhasanpour</w:t>
          </w:r>
          <w:proofErr w:type="spellEnd"/>
          <w:r w:rsidR="005E4029" w:rsidRPr="005E4029">
            <w:rPr>
              <w:color w:val="000000"/>
              <w:szCs w:val="22"/>
            </w:rPr>
            <w:t xml:space="preserve"> et al., 2019; Patron et al., 2022; Walther et al., 2020)</w:t>
          </w:r>
        </w:sdtContent>
      </w:sdt>
      <w:r w:rsidRPr="002D3945">
        <w:rPr>
          <w:szCs w:val="22"/>
        </w:rPr>
        <w:t>.</w:t>
      </w:r>
      <w:r>
        <w:rPr>
          <w:szCs w:val="22"/>
        </w:rPr>
        <w:t xml:space="preserve"> </w:t>
      </w:r>
      <w:r w:rsidRPr="002D3945">
        <w:rPr>
          <w:szCs w:val="22"/>
        </w:rPr>
        <w:t xml:space="preserve">Additionally, methodological issues in treatment studies involving </w:t>
      </w:r>
      <w:r>
        <w:rPr>
          <w:szCs w:val="22"/>
        </w:rPr>
        <w:t>FNSD</w:t>
      </w:r>
      <w:r w:rsidRPr="002D3945">
        <w:rPr>
          <w:szCs w:val="22"/>
        </w:rPr>
        <w:t xml:space="preserve"> patients, including small sample sizes,</w:t>
      </w:r>
      <w:r>
        <w:rPr>
          <w:szCs w:val="22"/>
        </w:rPr>
        <w:t xml:space="preserve"> identification of appropriate</w:t>
      </w:r>
      <w:r w:rsidRPr="002D3945">
        <w:rPr>
          <w:szCs w:val="22"/>
        </w:rPr>
        <w:t xml:space="preserve"> control groups, and variable follow-up periods, further hinder the interpretation and generali</w:t>
      </w:r>
      <w:r>
        <w:rPr>
          <w:szCs w:val="22"/>
        </w:rPr>
        <w:t>s</w:t>
      </w:r>
      <w:r w:rsidRPr="002D3945">
        <w:rPr>
          <w:szCs w:val="22"/>
        </w:rPr>
        <w:t>ability of treatment outcomes</w:t>
      </w:r>
      <w:r>
        <w:rPr>
          <w:szCs w:val="22"/>
        </w:rPr>
        <w:t xml:space="preserve"> </w:t>
      </w:r>
      <w:sdt>
        <w:sdtPr>
          <w:rPr>
            <w:color w:val="000000"/>
            <w:szCs w:val="22"/>
          </w:rPr>
          <w:tag w:val="MENDELEY_CITATION_v3_eyJjaXRhdGlvbklEIjoiTUVOREVMRVlfQ0lUQVRJT05fZTIyZDY5MTItY2I2My00MDVmLWIzNmMtNDkzZjY0YjgwYWY5IiwicHJvcGVydGllcyI6eyJub3RlSW5kZXgiOjB9LCJpc0VkaXRlZCI6ZmFsc2UsIm1hbnVhbE92ZXJyaWRlIjp7ImlzTWFudWFsbHlPdmVycmlkZGVuIjpmYWxzZSwiY2l0ZXByb2NUZXh0IjoiKE5pY2hvbHNvbi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
          <w:id w:val="2117947294"/>
          <w:placeholder>
            <w:docPart w:val="E11707C14A687C4394FB968AA7E5B24E"/>
          </w:placeholder>
        </w:sdtPr>
        <w:sdtContent>
          <w:r w:rsidR="005E4029" w:rsidRPr="005E4029">
            <w:rPr>
              <w:color w:val="000000"/>
              <w:szCs w:val="22"/>
            </w:rPr>
            <w:t>(Nicholson et al., 2020)</w:t>
          </w:r>
        </w:sdtContent>
      </w:sdt>
      <w:r>
        <w:rPr>
          <w:szCs w:val="22"/>
        </w:rPr>
        <w:t>.</w:t>
      </w:r>
    </w:p>
    <w:p w14:paraId="4916DB3B" w14:textId="435E3CAC" w:rsidR="00616AAE" w:rsidRPr="002D3945" w:rsidRDefault="00616AAE" w:rsidP="002D3945">
      <w:pPr>
        <w:rPr>
          <w:szCs w:val="22"/>
        </w:rPr>
      </w:pPr>
      <w:r w:rsidRPr="002D3945">
        <w:rPr>
          <w:szCs w:val="22"/>
        </w:rPr>
        <w:t xml:space="preserve">To address these challenges, </w:t>
      </w:r>
      <w:r>
        <w:rPr>
          <w:szCs w:val="22"/>
        </w:rPr>
        <w:t xml:space="preserve">researchers </w:t>
      </w:r>
      <w:r w:rsidRPr="002D3945">
        <w:rPr>
          <w:szCs w:val="22"/>
        </w:rPr>
        <w:t xml:space="preserve">have </w:t>
      </w:r>
      <w:r>
        <w:rPr>
          <w:szCs w:val="22"/>
        </w:rPr>
        <w:t>recommended</w:t>
      </w:r>
      <w:r w:rsidRPr="002D3945">
        <w:rPr>
          <w:szCs w:val="22"/>
        </w:rPr>
        <w:t xml:space="preserve"> the development of </w:t>
      </w:r>
      <w:r>
        <w:rPr>
          <w:szCs w:val="22"/>
        </w:rPr>
        <w:t>standardised</w:t>
      </w:r>
      <w:r w:rsidRPr="002D3945">
        <w:rPr>
          <w:szCs w:val="22"/>
        </w:rPr>
        <w:t xml:space="preserve">, multidimensional, and </w:t>
      </w:r>
      <w:r>
        <w:rPr>
          <w:szCs w:val="22"/>
        </w:rPr>
        <w:t>patient-centred</w:t>
      </w:r>
      <w:r w:rsidRPr="002D3945">
        <w:rPr>
          <w:szCs w:val="22"/>
        </w:rPr>
        <w:t xml:space="preserve"> outcome measures that encompass the full range of symptoms and psychosocial factors associated with </w:t>
      </w:r>
      <w:r>
        <w:rPr>
          <w:szCs w:val="22"/>
        </w:rPr>
        <w:t>FNSD</w:t>
      </w:r>
      <w:r w:rsidRPr="002D3945">
        <w:rPr>
          <w:szCs w:val="22"/>
        </w:rPr>
        <w:t xml:space="preserve"> </w:t>
      </w:r>
      <w:sdt>
        <w:sdtPr>
          <w:rPr>
            <w:color w:val="000000"/>
            <w:szCs w:val="22"/>
          </w:rPr>
          <w:tag w:val="MENDELEY_CITATION_v3_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"/>
          <w:id w:val="-663627347"/>
          <w:placeholder>
            <w:docPart w:val="E11707C14A687C4394FB968AA7E5B24E"/>
          </w:placeholder>
        </w:sdtPr>
        <w:sdtContent>
          <w:r w:rsidR="005E4029" w:rsidRPr="005E4029">
            <w:rPr>
              <w:color w:val="000000"/>
              <w:szCs w:val="22"/>
            </w:rPr>
            <w:t>(Carson et al., 2012b; Nicholson et al., 2020; Pick, Anderson, et al., 2020)</w:t>
          </w:r>
        </w:sdtContent>
      </w:sdt>
      <w:r>
        <w:rPr>
          <w:color w:val="000000"/>
          <w:szCs w:val="22"/>
        </w:rPr>
        <w:t>.</w:t>
      </w:r>
    </w:p>
    <w:p w14:paraId="0CE55422" w14:textId="518F9469" w:rsidR="00616AAE" w:rsidRPr="002D3945" w:rsidRDefault="00616AAE" w:rsidP="002D3945">
      <w:pPr>
        <w:rPr>
          <w:szCs w:val="22"/>
        </w:rPr>
      </w:pPr>
      <w:r w:rsidRPr="002D3945">
        <w:rPr>
          <w:szCs w:val="22"/>
        </w:rPr>
        <w:t xml:space="preserve">Developing </w:t>
      </w:r>
      <w:r>
        <w:rPr>
          <w:szCs w:val="22"/>
        </w:rPr>
        <w:t>these</w:t>
      </w:r>
      <w:r w:rsidRPr="002D3945">
        <w:rPr>
          <w:szCs w:val="22"/>
        </w:rPr>
        <w:t xml:space="preserve"> outcome measures for patients with </w:t>
      </w:r>
      <w:r>
        <w:rPr>
          <w:szCs w:val="22"/>
        </w:rPr>
        <w:t>FNSD</w:t>
      </w:r>
      <w:r w:rsidRPr="002D3945">
        <w:rPr>
          <w:szCs w:val="22"/>
        </w:rPr>
        <w:t xml:space="preserve">s is crucial for several reasons. First, it facilitates the comparison of treatment outcomes across different studies and populations, thereby providing a robust evidence base for effective interventions </w:t>
      </w:r>
      <w:sdt>
        <w:sdtPr>
          <w:rPr>
            <w:color w:val="000000"/>
            <w:szCs w:val="22"/>
          </w:rPr>
          <w:tag w:val="MENDELEY_CITATION_v3_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"/>
          <w:id w:val="-2112196571"/>
          <w:placeholder>
            <w:docPart w:val="E11707C14A687C4394FB968AA7E5B24E"/>
          </w:placeholder>
        </w:sdtPr>
        <w:sdtContent>
          <w:r w:rsidR="005E4029" w:rsidRPr="005E4029">
            <w:rPr>
              <w:color w:val="000000"/>
              <w:szCs w:val="22"/>
            </w:rPr>
            <w:t>(LaFrance et al., 2014; Nicholson et al., 2020; Perez, 2020; Pick, Anderson et al., 2020)</w:t>
          </w:r>
        </w:sdtContent>
      </w:sdt>
      <w:r w:rsidRPr="002D3945">
        <w:rPr>
          <w:szCs w:val="22"/>
        </w:rPr>
        <w:t xml:space="preserve"> </w:t>
      </w:r>
      <w:r>
        <w:rPr>
          <w:szCs w:val="22"/>
        </w:rPr>
        <w:t>Standardised</w:t>
      </w:r>
      <w:r w:rsidRPr="002D3945">
        <w:rPr>
          <w:szCs w:val="22"/>
        </w:rPr>
        <w:t xml:space="preserve"> measures help overcome the challenges posed by the heterogeneity of </w:t>
      </w:r>
      <w:r>
        <w:rPr>
          <w:szCs w:val="22"/>
        </w:rPr>
        <w:t>FNSD</w:t>
      </w:r>
      <w:r w:rsidRPr="002D3945">
        <w:rPr>
          <w:szCs w:val="22"/>
        </w:rPr>
        <w:t xml:space="preserve"> symptoms and the diverse clinical presentations, which can otherwise hinder the interpretation of research findings and impede the development of targeted treatments</w:t>
      </w:r>
      <w:r>
        <w:rPr>
          <w:szCs w:val="22"/>
        </w:rPr>
        <w:t xml:space="preserve"> </w:t>
      </w:r>
      <w:sdt>
        <w:sdtPr>
          <w:rPr>
            <w:color w:val="000000"/>
            <w:szCs w:val="22"/>
          </w:rPr>
          <w:tag w:val="MENDELEY_CITATION_v3_eyJjaXRhdGlvbklEIjoiTUVOREVMRVlfQ0lUQVRJT05fN2JiZWIyYjktNjg3NS00MDU1LWIwYjgtNDlhM2ZjODRhMGUzIiwicHJvcGVydGllcyI6eyJub3RlSW5kZXgiOjB9LCJpc0VkaXRlZCI6ZmFsc2UsIm1hbnVhbE92ZXJyaWRlIjp7ImlzTWFudWFsbHlPdmVycmlkZGVuIjp0cnVlLCJjaXRlcHJvY1RleHQiOiIoRXNwYXksIEF5YmVrLCBldCBhbC4sIDIwMTg7IFBpY2ssIEFuZGVyc29uLCBldCBhbC4sIDIwMjApIiwibWFudWFsT3ZlcnJpZGVUZXh0IjoiKEVzcGF5IGV0IGFsLiwgMjAxODsgUGljayBldCBhbC4sIDIwMjApIn0sImNpdGF0aW9uSXRlbXMiOlt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LHsiaWQiOiJmM2JkZWZlMS0xNmFhLTM0YjktOWVlZC02OGJhYWRmYzQ0MmIiLCJpdGVtRGF0YSI6eyJ0eXBlIjoiYXJ0aWNsZS1qb3VybmFsIiwiaWQiOiJmM2JkZWZlMS0xNmFhLTM0YjktOWVlZC02OGJhYWRmYzQ0MmIiLCJ0aXRsZSI6IkN1cnJlbnQgQ29uY2VwdHMgaW4gRGlhZ25vc2lzIGFuZCBUcmVhdG1lbnQgb2YgRnVuY3Rpb25hbCBOZXVyb2xvZ2ljYWwgRGlzb3JkZXJzIiwiYXV0aG9yIjpbeyJmYW1pbHkiOiJFc3BheSIsImdpdmVuIjoiQSBKIiwicGFyc2UtbmFtZXMiOmZhbHNlLCJkcm9wcGluZy1wYXJ0aWNsZSI6IiIsIm5vbi1kcm9wcGluZy1wYXJ0aWNsZSI6IiJ9LHsiZmFtaWx5IjoiQXliZWsiLCJnaXZlbiI6IlM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"/>
          <w:id w:val="1874882300"/>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Espay</w:t>
          </w:r>
          <w:proofErr w:type="spellEnd"/>
          <w:r w:rsidR="005E4029" w:rsidRPr="005E4029">
            <w:rPr>
              <w:color w:val="000000"/>
              <w:szCs w:val="22"/>
            </w:rPr>
            <w:t xml:space="preserve"> et al., 2018; Pick et al., 2020)</w:t>
          </w:r>
        </w:sdtContent>
      </w:sdt>
      <w:r w:rsidRPr="002D3945">
        <w:rPr>
          <w:szCs w:val="22"/>
        </w:rPr>
        <w:t>.</w:t>
      </w:r>
      <w:r>
        <w:rPr>
          <w:szCs w:val="22"/>
        </w:rPr>
        <w:t xml:space="preserve"> M</w:t>
      </w:r>
      <w:r w:rsidRPr="002D3945">
        <w:rPr>
          <w:szCs w:val="22"/>
        </w:rPr>
        <w:t xml:space="preserve">ultidimensional measures capture the full spectrum of symptoms and psychosocial factors related to </w:t>
      </w:r>
      <w:r>
        <w:rPr>
          <w:szCs w:val="22"/>
        </w:rPr>
        <w:t>FNSD</w:t>
      </w:r>
      <w:r w:rsidRPr="002D3945">
        <w:rPr>
          <w:szCs w:val="22"/>
        </w:rPr>
        <w:t xml:space="preserve">, providing a comprehensive understanding of the </w:t>
      </w:r>
      <w:r w:rsidR="00352F7F">
        <w:rPr>
          <w:szCs w:val="22"/>
        </w:rPr>
        <w:t>patient's</w:t>
      </w:r>
      <w:r w:rsidRPr="002D3945">
        <w:rPr>
          <w:szCs w:val="22"/>
        </w:rPr>
        <w:t xml:space="preserve"> experience and impact on their quality of life (QOL). This holistic approach acknowledges the complex physical, psychological, and social factors </w:t>
      </w:r>
      <w:r>
        <w:rPr>
          <w:szCs w:val="22"/>
        </w:rPr>
        <w:t>contributing</w:t>
      </w:r>
      <w:r w:rsidRPr="002D3945">
        <w:rPr>
          <w:szCs w:val="22"/>
        </w:rPr>
        <w:t xml:space="preserve"> to </w:t>
      </w:r>
      <w:r>
        <w:rPr>
          <w:szCs w:val="22"/>
        </w:rPr>
        <w:t>FNSD</w:t>
      </w:r>
      <w:r w:rsidRPr="002D3945">
        <w:rPr>
          <w:szCs w:val="22"/>
        </w:rPr>
        <w:t xml:space="preserve"> and helps </w:t>
      </w:r>
      <w:r>
        <w:rPr>
          <w:szCs w:val="22"/>
        </w:rPr>
        <w:t>develop</w:t>
      </w:r>
      <w:r w:rsidRPr="002D3945">
        <w:rPr>
          <w:szCs w:val="22"/>
        </w:rPr>
        <w:t xml:space="preserve"> more effective and </w:t>
      </w:r>
      <w:r>
        <w:rPr>
          <w:szCs w:val="22"/>
        </w:rPr>
        <w:t>individualised</w:t>
      </w:r>
      <w:r w:rsidRPr="002D3945">
        <w:rPr>
          <w:szCs w:val="22"/>
        </w:rPr>
        <w:t xml:space="preserve"> treatment plans </w:t>
      </w:r>
      <w:sdt>
        <w:sdtPr>
          <w:rPr>
            <w:szCs w:val="22"/>
          </w:rPr>
          <w:tag w:val="MENDELEY_CITATION_v3_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
          <w:id w:val="-1411465042"/>
          <w:placeholder>
            <w:docPart w:val="E11707C14A687C4394FB968AA7E5B24E"/>
          </w:placeholder>
        </w:sdtPr>
        <w:sdtContent>
          <w:r w:rsidR="005E4029">
            <w:rPr>
              <w:rFonts w:eastAsia="Times New Roman"/>
            </w:rPr>
            <w:t>(</w:t>
          </w:r>
          <w:proofErr w:type="spellStart"/>
          <w:r w:rsidR="005E4029">
            <w:rPr>
              <w:rFonts w:eastAsia="Times New Roman"/>
            </w:rPr>
            <w:t>Asadi-Pooya</w:t>
          </w:r>
          <w:proofErr w:type="spellEnd"/>
          <w:r w:rsidR="005E4029">
            <w:rPr>
              <w:rFonts w:eastAsia="Times New Roman"/>
            </w:rPr>
            <w:t xml:space="preserve"> et al., 2021; Elliott &amp; </w:t>
          </w:r>
          <w:proofErr w:type="spellStart"/>
          <w:r w:rsidR="005E4029">
            <w:rPr>
              <w:rFonts w:eastAsia="Times New Roman"/>
            </w:rPr>
            <w:t>Charyton</w:t>
          </w:r>
          <w:proofErr w:type="spellEnd"/>
          <w:r w:rsidR="005E4029">
            <w:rPr>
              <w:rFonts w:eastAsia="Times New Roman"/>
            </w:rPr>
            <w:t>, 2014; Pick et al., 2019)</w:t>
          </w:r>
        </w:sdtContent>
      </w:sdt>
      <w:r>
        <w:rPr>
          <w:szCs w:val="22"/>
        </w:rPr>
        <w:t xml:space="preserve">. </w:t>
      </w:r>
      <w:r w:rsidRPr="002D3945">
        <w:rPr>
          <w:szCs w:val="22"/>
        </w:rPr>
        <w:t xml:space="preserve">Patient-centred outcome measures ensure that </w:t>
      </w:r>
      <w:r w:rsidR="00352F7F">
        <w:rPr>
          <w:szCs w:val="22"/>
        </w:rPr>
        <w:t>patients'</w:t>
      </w:r>
      <w:r w:rsidRPr="002D3945">
        <w:rPr>
          <w:szCs w:val="22"/>
        </w:rPr>
        <w:t xml:space="preserve"> perspectives, experiences, and priorities are considered when evaluating treatment effectiveness. By focusing on outcomes that are meaningful to patients, such as symptom reduction, functional improvement, and increased QOL, these measures provide a more accurate assessment of treatment success and can help guide clinical decision-making </w:t>
      </w:r>
      <w:sdt>
        <w:sdtPr>
          <w:rPr>
            <w:szCs w:val="22"/>
          </w:rPr>
          <w:tag w:val="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"/>
          <w:id w:val="2068843784"/>
          <w:placeholder>
            <w:docPart w:val="F1CD3AB50FEB7549B97C565296F4C3E4"/>
          </w:placeholder>
        </w:sdtPr>
        <w:sdtContent>
          <w:r w:rsidR="005E4029">
            <w:rPr>
              <w:rFonts w:eastAsia="Times New Roman"/>
            </w:rPr>
            <w:t>(Pick et al., 2016; Pretorius, 2016; Pretorius &amp; Sparrow, 2015)</w:t>
          </w:r>
        </w:sdtContent>
      </w:sdt>
      <w:r>
        <w:rPr>
          <w:szCs w:val="22"/>
        </w:rPr>
        <w:t>.</w:t>
      </w:r>
    </w:p>
    <w:p w14:paraId="54D94CD4" w14:textId="565AAEC6" w:rsidR="00616AAE" w:rsidRDefault="00616AAE" w:rsidP="000D1871">
      <w:pPr>
        <w:rPr>
          <w:szCs w:val="22"/>
        </w:rPr>
      </w:pPr>
      <w:r>
        <w:rPr>
          <w:szCs w:val="22"/>
        </w:rPr>
        <w:t>Developing and implementing</w:t>
      </w:r>
      <w:r w:rsidRPr="002D3945">
        <w:rPr>
          <w:szCs w:val="22"/>
        </w:rPr>
        <w:t xml:space="preserve"> </w:t>
      </w:r>
      <w:r>
        <w:rPr>
          <w:szCs w:val="22"/>
        </w:rPr>
        <w:t>standardised</w:t>
      </w:r>
      <w:r w:rsidRPr="002D3945">
        <w:rPr>
          <w:szCs w:val="22"/>
        </w:rPr>
        <w:t>, multidimensional, and patient-centred outcome measures c</w:t>
      </w:r>
      <w:r>
        <w:rPr>
          <w:szCs w:val="22"/>
        </w:rPr>
        <w:t>ould</w:t>
      </w:r>
      <w:r w:rsidRPr="002D3945">
        <w:rPr>
          <w:szCs w:val="22"/>
        </w:rPr>
        <w:t xml:space="preserve"> also inform health policy, resource allocation, and the design of healthcare services tailored to the unique needs of </w:t>
      </w:r>
      <w:r>
        <w:rPr>
          <w:szCs w:val="22"/>
        </w:rPr>
        <w:t>FNSD</w:t>
      </w:r>
      <w:r w:rsidRPr="002D3945">
        <w:rPr>
          <w:szCs w:val="22"/>
        </w:rPr>
        <w:t xml:space="preserve"> patients</w:t>
      </w:r>
      <w:r w:rsidR="00400BA2">
        <w:rPr>
          <w:szCs w:val="22"/>
        </w:rPr>
        <w:t xml:space="preserve"> </w:t>
      </w:r>
      <w:sdt>
        <w:sdtPr>
          <w:rPr>
            <w:color w:val="000000"/>
            <w:szCs w:val="22"/>
          </w:rPr>
          <w:tag w:val="MENDELEY_CITATION_v3_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"/>
          <w:id w:val="-1486705168"/>
          <w:placeholder>
            <w:docPart w:val="E11707C14A687C4394FB968AA7E5B24E"/>
          </w:placeholder>
        </w:sdtPr>
        <w:sdtContent>
          <w:r w:rsidR="005E4029" w:rsidRPr="005E4029">
            <w:rPr>
              <w:color w:val="000000"/>
              <w:szCs w:val="22"/>
            </w:rPr>
            <w:t>(De Vet et al., 2011)</w:t>
          </w:r>
        </w:sdtContent>
      </w:sdt>
      <w:r>
        <w:rPr>
          <w:szCs w:val="22"/>
        </w:rPr>
        <w:t>.</w:t>
      </w:r>
      <w:r w:rsidRPr="002D3945">
        <w:rPr>
          <w:szCs w:val="22"/>
        </w:rPr>
        <w:t xml:space="preserve"> By promoting consistent and rigorous evaluation methodologies, these </w:t>
      </w:r>
      <w:r w:rsidRPr="002D3945">
        <w:rPr>
          <w:szCs w:val="22"/>
        </w:rPr>
        <w:lastRenderedPageBreak/>
        <w:t xml:space="preserve">measures </w:t>
      </w:r>
      <w:r>
        <w:rPr>
          <w:szCs w:val="22"/>
        </w:rPr>
        <w:t>would</w:t>
      </w:r>
      <w:r w:rsidRPr="002D3945">
        <w:rPr>
          <w:szCs w:val="22"/>
        </w:rPr>
        <w:t xml:space="preserve"> contribute to better clinical outcomes and improved patient satisfaction in </w:t>
      </w:r>
      <w:r>
        <w:rPr>
          <w:szCs w:val="22"/>
        </w:rPr>
        <w:t>managing</w:t>
      </w:r>
      <w:r w:rsidRPr="002D3945">
        <w:rPr>
          <w:szCs w:val="22"/>
        </w:rPr>
        <w:t xml:space="preserve"> </w:t>
      </w:r>
      <w:r>
        <w:rPr>
          <w:szCs w:val="22"/>
        </w:rPr>
        <w:t>FNSD.</w:t>
      </w:r>
    </w:p>
    <w:p w14:paraId="2F654EDD" w14:textId="79B1972B" w:rsidR="00616AAE" w:rsidRPr="0072052E" w:rsidRDefault="00616AAE" w:rsidP="00EC4ED7">
      <w:pPr>
        <w:spacing w:after="240"/>
        <w:rPr>
          <w:szCs w:val="22"/>
        </w:rPr>
      </w:pPr>
      <w:r>
        <w:rPr>
          <w:szCs w:val="22"/>
        </w:rPr>
        <w:t>Research that identifies and explores key measurable aspects of FNSD and aims to refine</w:t>
      </w:r>
      <w:r w:rsidRPr="0072052E">
        <w:rPr>
          <w:szCs w:val="22"/>
        </w:rPr>
        <w:t xml:space="preserve"> and </w:t>
      </w:r>
      <w:r>
        <w:rPr>
          <w:szCs w:val="22"/>
        </w:rPr>
        <w:t>validate</w:t>
      </w:r>
      <w:r w:rsidRPr="0072052E">
        <w:rPr>
          <w:szCs w:val="22"/>
        </w:rPr>
        <w:t xml:space="preserve"> </w:t>
      </w:r>
      <w:r>
        <w:rPr>
          <w:szCs w:val="22"/>
        </w:rPr>
        <w:t xml:space="preserve">relevant </w:t>
      </w:r>
      <w:r w:rsidRPr="0072052E">
        <w:rPr>
          <w:szCs w:val="22"/>
        </w:rPr>
        <w:t>measure</w:t>
      </w:r>
      <w:r>
        <w:rPr>
          <w:szCs w:val="22"/>
        </w:rPr>
        <w:t>ment tools</w:t>
      </w:r>
      <w:r w:rsidRPr="0072052E">
        <w:rPr>
          <w:szCs w:val="22"/>
        </w:rPr>
        <w:t xml:space="preserve"> </w:t>
      </w:r>
      <w:r>
        <w:rPr>
          <w:szCs w:val="22"/>
        </w:rPr>
        <w:t>is needed. E</w:t>
      </w:r>
      <w:r w:rsidRPr="0072052E">
        <w:rPr>
          <w:szCs w:val="22"/>
        </w:rPr>
        <w:t>nsuring the</w:t>
      </w:r>
      <w:r>
        <w:rPr>
          <w:szCs w:val="22"/>
        </w:rPr>
        <w:t>se measures</w:t>
      </w:r>
      <w:r w:rsidRPr="0072052E">
        <w:rPr>
          <w:szCs w:val="22"/>
        </w:rPr>
        <w:t xml:space="preserve"> are tailored to the unique and diverse symptomatology of </w:t>
      </w:r>
      <w:r>
        <w:rPr>
          <w:szCs w:val="22"/>
        </w:rPr>
        <w:t>FNSD</w:t>
      </w:r>
      <w:r w:rsidRPr="0072052E">
        <w:rPr>
          <w:szCs w:val="22"/>
        </w:rPr>
        <w:t xml:space="preserve"> </w:t>
      </w:r>
      <w:sdt>
        <w:sdtPr>
          <w:rPr>
            <w:color w:val="000000"/>
            <w:szCs w:val="22"/>
          </w:rPr>
          <w:tag w:val="MENDELEY_CITATION_v3_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"/>
          <w:id w:val="-1388800466"/>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Dallocchio</w:t>
          </w:r>
          <w:proofErr w:type="spellEnd"/>
          <w:r w:rsidR="005E4029" w:rsidRPr="005E4029">
            <w:rPr>
              <w:color w:val="000000"/>
              <w:szCs w:val="22"/>
            </w:rPr>
            <w:t xml:space="preserve"> et al., 2016)</w:t>
          </w:r>
        </w:sdtContent>
      </w:sdt>
      <w:r>
        <w:rPr>
          <w:szCs w:val="22"/>
        </w:rPr>
        <w:t xml:space="preserve"> and can yield clinically useful information, such as treatment-related change,</w:t>
      </w:r>
      <w:r w:rsidRPr="0072052E">
        <w:rPr>
          <w:szCs w:val="22"/>
        </w:rPr>
        <w:t xml:space="preserve"> will be essential for advancing </w:t>
      </w:r>
      <w:r>
        <w:rPr>
          <w:szCs w:val="22"/>
        </w:rPr>
        <w:t xml:space="preserve">the </w:t>
      </w:r>
      <w:r w:rsidRPr="0072052E">
        <w:rPr>
          <w:szCs w:val="22"/>
        </w:rPr>
        <w:t xml:space="preserve">understanding of </w:t>
      </w:r>
      <w:r>
        <w:rPr>
          <w:szCs w:val="22"/>
        </w:rPr>
        <w:t>FNSD</w:t>
      </w:r>
      <w:r w:rsidRPr="0072052E">
        <w:rPr>
          <w:szCs w:val="22"/>
        </w:rPr>
        <w:t xml:space="preserve"> and improving patient outcomes.</w:t>
      </w:r>
    </w:p>
    <w:p w14:paraId="5C8F32B3" w14:textId="77777777" w:rsidR="00616AAE" w:rsidRDefault="00616AAE" w:rsidP="0014037C">
      <w:pPr>
        <w:pStyle w:val="Heading2"/>
      </w:pPr>
      <w:bookmarkStart w:id="20" w:name="_Toc137504666"/>
      <w:r>
        <w:t>1.4 Research Study</w:t>
      </w:r>
      <w:bookmarkEnd w:id="20"/>
    </w:p>
    <w:p w14:paraId="7C98E2A0" w14:textId="77777777" w:rsidR="00616AAE" w:rsidRDefault="00616AAE" w:rsidP="002E5558">
      <w:pPr>
        <w:pStyle w:val="Heading3"/>
      </w:pPr>
      <w:bookmarkStart w:id="21" w:name="_Toc137504667"/>
      <w:r>
        <w:t>1.4.1 Patient Self-report</w:t>
      </w:r>
      <w:bookmarkEnd w:id="21"/>
      <w:r>
        <w:t xml:space="preserve"> </w:t>
      </w:r>
    </w:p>
    <w:p w14:paraId="103B2005" w14:textId="6AE76B0B" w:rsidR="00616AAE" w:rsidRDefault="00616AAE" w:rsidP="002E5558">
      <w:pPr>
        <w:rPr>
          <w:szCs w:val="22"/>
        </w:rPr>
      </w:pPr>
      <w:r w:rsidRPr="00CB61ED">
        <w:rPr>
          <w:szCs w:val="22"/>
        </w:rPr>
        <w:t xml:space="preserve">Patient self-report measures have become essential </w:t>
      </w:r>
      <w:r>
        <w:rPr>
          <w:szCs w:val="22"/>
        </w:rPr>
        <w:t>to</w:t>
      </w:r>
      <w:r w:rsidRPr="00CB61ED">
        <w:rPr>
          <w:szCs w:val="22"/>
        </w:rPr>
        <w:t xml:space="preserve"> health outcome assessment in clinical research and practice, providing valuable information about </w:t>
      </w:r>
      <w:r w:rsidR="00352F7F">
        <w:rPr>
          <w:szCs w:val="22"/>
        </w:rPr>
        <w:t>individuals'</w:t>
      </w:r>
      <w:r w:rsidRPr="00CB61ED">
        <w:rPr>
          <w:szCs w:val="22"/>
        </w:rPr>
        <w:t xml:space="preserve"> subjective experiences, perceptions, and functioning</w:t>
      </w:r>
      <w:r>
        <w:rPr>
          <w:szCs w:val="22"/>
        </w:rPr>
        <w:t xml:space="preserve"> </w:t>
      </w:r>
      <w:sdt>
        <w:sdtPr>
          <w:rPr>
            <w:color w:val="000000"/>
            <w:szCs w:val="22"/>
          </w:rPr>
          <w:tag w:val="MENDELEY_CITATION_v3_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"/>
          <w:id w:val="-1077283176"/>
          <w:placeholder>
            <w:docPart w:val="7BCD736B0A053E41A7BFB68AD794E05C"/>
          </w:placeholder>
        </w:sdtPr>
        <w:sdtContent>
          <w:r w:rsidR="005E4029" w:rsidRPr="005E4029">
            <w:rPr>
              <w:color w:val="000000"/>
              <w:szCs w:val="22"/>
            </w:rPr>
            <w:t xml:space="preserve">(D. </w:t>
          </w:r>
          <w:proofErr w:type="spellStart"/>
          <w:r w:rsidR="005E4029" w:rsidRPr="005E4029">
            <w:rPr>
              <w:color w:val="000000"/>
              <w:szCs w:val="22"/>
            </w:rPr>
            <w:t>Cella</w:t>
          </w:r>
          <w:proofErr w:type="spellEnd"/>
          <w:r w:rsidR="005E4029" w:rsidRPr="005E4029">
            <w:rPr>
              <w:color w:val="000000"/>
              <w:szCs w:val="22"/>
            </w:rPr>
            <w:t xml:space="preserve"> et al., 2010)</w:t>
          </w:r>
        </w:sdtContent>
      </w:sdt>
      <w:r>
        <w:rPr>
          <w:szCs w:val="22"/>
        </w:rPr>
        <w:t xml:space="preserve">. </w:t>
      </w:r>
      <w:r w:rsidRPr="00CB61ED">
        <w:rPr>
          <w:szCs w:val="22"/>
        </w:rPr>
        <w:t xml:space="preserve">These measures encompass questionnaires, interviews, or diaries that capture data on </w:t>
      </w:r>
      <w:r>
        <w:rPr>
          <w:szCs w:val="22"/>
        </w:rPr>
        <w:t>various</w:t>
      </w:r>
      <w:r w:rsidRPr="00CB61ED">
        <w:rPr>
          <w:szCs w:val="22"/>
        </w:rPr>
        <w:t xml:space="preserve"> constructs, </w:t>
      </w:r>
      <w:r>
        <w:rPr>
          <w:szCs w:val="22"/>
        </w:rPr>
        <w:t>such as</w:t>
      </w:r>
      <w:r w:rsidRPr="00CB61ED">
        <w:rPr>
          <w:szCs w:val="22"/>
        </w:rPr>
        <w:t xml:space="preserve"> symptom severity, </w:t>
      </w:r>
      <w:r>
        <w:rPr>
          <w:szCs w:val="22"/>
        </w:rPr>
        <w:t xml:space="preserve">health-related </w:t>
      </w:r>
      <w:r w:rsidRPr="00CB61ED">
        <w:rPr>
          <w:szCs w:val="22"/>
        </w:rPr>
        <w:t xml:space="preserve">quality of life, </w:t>
      </w:r>
      <w:r>
        <w:rPr>
          <w:szCs w:val="22"/>
        </w:rPr>
        <w:t xml:space="preserve">psychological comorbidities, </w:t>
      </w:r>
      <w:r w:rsidRPr="00CB61ED">
        <w:rPr>
          <w:szCs w:val="22"/>
        </w:rPr>
        <w:t>physical and emotional functioning</w:t>
      </w:r>
      <w:r>
        <w:rPr>
          <w:szCs w:val="22"/>
        </w:rPr>
        <w:t xml:space="preserve"> and</w:t>
      </w:r>
      <w:r w:rsidRPr="00CB61ED">
        <w:rPr>
          <w:szCs w:val="22"/>
        </w:rPr>
        <w:t xml:space="preserve"> treatment satisfaction. Due to their </w:t>
      </w:r>
      <w:r>
        <w:rPr>
          <w:szCs w:val="22"/>
        </w:rPr>
        <w:t>patient-centred</w:t>
      </w:r>
      <w:r w:rsidRPr="00CB61ED">
        <w:rPr>
          <w:szCs w:val="22"/>
        </w:rPr>
        <w:t xml:space="preserve"> nature, self-report measures offer unique insights into</w:t>
      </w:r>
      <w:r>
        <w:rPr>
          <w:szCs w:val="22"/>
        </w:rPr>
        <w:t xml:space="preserve"> FNSD</w:t>
      </w:r>
      <w:r w:rsidRPr="00CB61ED">
        <w:rPr>
          <w:szCs w:val="22"/>
        </w:rPr>
        <w:t xml:space="preserve"> </w:t>
      </w:r>
      <w:r w:rsidR="00352F7F">
        <w:rPr>
          <w:szCs w:val="22"/>
        </w:rPr>
        <w:t>patients'</w:t>
      </w:r>
      <w:r w:rsidRPr="00CB61ED">
        <w:rPr>
          <w:szCs w:val="22"/>
        </w:rPr>
        <w:t xml:space="preserve"> perspectives, which may not be fully captured by objective clinical measures, such as </w:t>
      </w:r>
      <w:r>
        <w:rPr>
          <w:szCs w:val="22"/>
        </w:rPr>
        <w:t xml:space="preserve">physiological </w:t>
      </w:r>
      <w:r w:rsidRPr="00CB61ED">
        <w:rPr>
          <w:szCs w:val="22"/>
        </w:rPr>
        <w:t xml:space="preserve">tests or imaging </w:t>
      </w:r>
      <w:sdt>
        <w:sdtPr>
          <w:rPr>
            <w:color w:val="000000"/>
            <w:szCs w:val="22"/>
          </w:rPr>
          <w:tag w:val="MENDELEY_CITATION_v3_eyJjaXRhdGlvbklEIjoiTUVOREVMRVlfQ0lUQVRJT05fMGNjNDc1YjktN2FiOC00YzRlLWI1M2QtMjAyNjkwNDE3YjlkIiwicHJvcGVydGllcyI6eyJub3RlSW5kZXgiOjB9LCJpc0VkaXRlZCI6ZmFsc2UsIm1hbnVhbE92ZXJyaWRlIjp7ImlzTWFudWFsbHlPdmVycmlkZGVuIjpmYWxzZSwiY2l0ZXByb2NUZXh0IjoiKE5pY2hvbHNvbi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
          <w:id w:val="1193037363"/>
          <w:placeholder>
            <w:docPart w:val="7BCD736B0A053E41A7BFB68AD794E05C"/>
          </w:placeholder>
        </w:sdtPr>
        <w:sdtContent>
          <w:r w:rsidR="005E4029" w:rsidRPr="005E4029">
            <w:rPr>
              <w:color w:val="000000"/>
              <w:szCs w:val="22"/>
            </w:rPr>
            <w:t>(Nicholson et al., 2020)</w:t>
          </w:r>
        </w:sdtContent>
      </w:sdt>
      <w:r>
        <w:rPr>
          <w:color w:val="000000"/>
          <w:szCs w:val="22"/>
        </w:rPr>
        <w:t>.</w:t>
      </w:r>
    </w:p>
    <w:p w14:paraId="47481816" w14:textId="54EF1BE4" w:rsidR="00616AAE" w:rsidRDefault="00616AAE" w:rsidP="002E5558">
      <w:pPr>
        <w:rPr>
          <w:szCs w:val="22"/>
        </w:rPr>
      </w:pPr>
      <w:r w:rsidRPr="00CB61ED">
        <w:rPr>
          <w:szCs w:val="22"/>
        </w:rPr>
        <w:t xml:space="preserve">Incorporating patient self-report measures in </w:t>
      </w:r>
      <w:r>
        <w:rPr>
          <w:szCs w:val="22"/>
        </w:rPr>
        <w:t>FNSD</w:t>
      </w:r>
      <w:r w:rsidRPr="00CB61ED">
        <w:rPr>
          <w:szCs w:val="22"/>
        </w:rPr>
        <w:t xml:space="preserve"> research and clinical practice has contributed to an improved understanding of the </w:t>
      </w:r>
      <w:r w:rsidR="00352F7F">
        <w:rPr>
          <w:szCs w:val="22"/>
        </w:rPr>
        <w:t>disorder's</w:t>
      </w:r>
      <w:r w:rsidRPr="00CB61ED">
        <w:rPr>
          <w:szCs w:val="22"/>
        </w:rPr>
        <w:t xml:space="preserve"> complexity</w:t>
      </w:r>
      <w:r>
        <w:rPr>
          <w:szCs w:val="22"/>
        </w:rPr>
        <w:t xml:space="preserve"> and</w:t>
      </w:r>
      <w:r w:rsidRPr="00CB61ED">
        <w:rPr>
          <w:szCs w:val="22"/>
        </w:rPr>
        <w:t xml:space="preserve"> the evaluation of </w:t>
      </w:r>
      <w:r>
        <w:rPr>
          <w:szCs w:val="22"/>
        </w:rPr>
        <w:t>treatments</w:t>
      </w:r>
      <w:r w:rsidRPr="00CB61ED">
        <w:rPr>
          <w:szCs w:val="22"/>
        </w:rPr>
        <w:t xml:space="preserve"> for </w:t>
      </w:r>
      <w:r>
        <w:rPr>
          <w:szCs w:val="22"/>
        </w:rPr>
        <w:t>FNSD</w:t>
      </w:r>
      <w:r w:rsidRPr="00CB61ED">
        <w:rPr>
          <w:szCs w:val="22"/>
        </w:rPr>
        <w:t xml:space="preserve">. </w:t>
      </w:r>
      <w:r>
        <w:rPr>
          <w:szCs w:val="22"/>
        </w:rPr>
        <w:t>S</w:t>
      </w:r>
      <w:r w:rsidRPr="00CB61ED">
        <w:rPr>
          <w:szCs w:val="22"/>
        </w:rPr>
        <w:t xml:space="preserve">tudies </w:t>
      </w:r>
      <w:r>
        <w:rPr>
          <w:szCs w:val="22"/>
        </w:rPr>
        <w:t>utilising</w:t>
      </w:r>
      <w:r w:rsidRPr="00CB61ED">
        <w:rPr>
          <w:szCs w:val="22"/>
        </w:rPr>
        <w:t xml:space="preserve"> self-report measures have highlighted the significant impact of </w:t>
      </w:r>
      <w:r>
        <w:rPr>
          <w:szCs w:val="22"/>
        </w:rPr>
        <w:t>FNSD</w:t>
      </w:r>
      <w:r w:rsidRPr="00CB61ED">
        <w:rPr>
          <w:szCs w:val="22"/>
        </w:rPr>
        <w:t xml:space="preserve"> on </w:t>
      </w:r>
      <w:r w:rsidR="00352F7F">
        <w:rPr>
          <w:szCs w:val="22"/>
        </w:rPr>
        <w:t>patients'</w:t>
      </w:r>
      <w:r w:rsidRPr="00CB61ED">
        <w:rPr>
          <w:szCs w:val="22"/>
        </w:rPr>
        <w:t xml:space="preserve"> quality of life, daily functioning, and mental health, underscoring the need for comprehensive and multidisciplinary treatment approaches</w:t>
      </w:r>
      <w:r w:rsidRPr="000E7BE8">
        <w:rPr>
          <w:color w:val="000000"/>
          <w:szCs w:val="22"/>
        </w:rPr>
        <w:t xml:space="preserve"> </w:t>
      </w:r>
      <w:sdt>
        <w:sdtPr>
          <w:rPr>
            <w:color w:val="000000"/>
            <w:szCs w:val="22"/>
          </w:rPr>
          <w:tag w:val="MENDELEY_CITATION_v3_eyJjaXRhdGlvbklEIjoiTUVOREVMRVlfQ0lUQVRJT05fNmQ2YTE1MTktNmJmZi00NTZhLTg2ZDUtOTQwNmJjMGQ2NTQ2IiwicHJvcGVydGllcyI6eyJub3RlSW5kZXgiOjB9LCJpc0VkaXRlZCI6ZmFsc2UsIm1hbnVhbE92ZXJyaWRlIjp7ImlzTWFudWFsbHlPdmVycmlkZGVuIjpmYWxzZSwiY2l0ZXByb2NUZXh0IjoiKFBpY2ssIEFuZGVyc29uLCBldCBhbC4sIDIwMjApIiwibWFudWFsT3ZlcnJpZGVUZXh0IjoiIn0sImNpdGF0aW9uSXRlbXMiOlt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XX0="/>
          <w:id w:val="-1340768552"/>
          <w:placeholder>
            <w:docPart w:val="7BCD736B0A053E41A7BFB68AD794E05C"/>
          </w:placeholder>
        </w:sdtPr>
        <w:sdtContent>
          <w:r w:rsidR="005E4029" w:rsidRPr="005E4029">
            <w:rPr>
              <w:color w:val="000000"/>
              <w:szCs w:val="22"/>
            </w:rPr>
            <w:t>(Pick, Anderson, et al., 2020)</w:t>
          </w:r>
        </w:sdtContent>
      </w:sdt>
      <w:r>
        <w:rPr>
          <w:color w:val="000000"/>
          <w:szCs w:val="22"/>
        </w:rPr>
        <w:t>.</w:t>
      </w:r>
    </w:p>
    <w:p w14:paraId="33D0EDA4" w14:textId="36EE7B62" w:rsidR="00616AAE" w:rsidRPr="00CB61ED" w:rsidRDefault="00616AAE" w:rsidP="002E5558">
      <w:pPr>
        <w:rPr>
          <w:szCs w:val="22"/>
        </w:rPr>
      </w:pPr>
      <w:r w:rsidRPr="00CB61ED">
        <w:rPr>
          <w:szCs w:val="22"/>
        </w:rPr>
        <w:t xml:space="preserve">Initiatives like the COMET (the Core Outcome Measures in Effectiveness Trials) </w:t>
      </w:r>
      <w:r>
        <w:rPr>
          <w:szCs w:val="22"/>
        </w:rPr>
        <w:t>or PROMIS (</w:t>
      </w:r>
      <w:r w:rsidRPr="00CB61ED">
        <w:rPr>
          <w:szCs w:val="22"/>
        </w:rPr>
        <w:t>Patient-Reported Outcomes Measurement Information System</w:t>
      </w:r>
      <w:r>
        <w:rPr>
          <w:szCs w:val="22"/>
        </w:rPr>
        <w:t xml:space="preserve">) </w:t>
      </w:r>
      <w:r w:rsidRPr="00CB61ED">
        <w:rPr>
          <w:szCs w:val="22"/>
        </w:rPr>
        <w:t>collaboration</w:t>
      </w:r>
      <w:r>
        <w:rPr>
          <w:szCs w:val="22"/>
        </w:rPr>
        <w:t>s</w:t>
      </w:r>
      <w:r w:rsidRPr="00CB61ED">
        <w:rPr>
          <w:szCs w:val="22"/>
        </w:rPr>
        <w:t xml:space="preserve"> propose key outcome domains to enable the development of </w:t>
      </w:r>
      <w:r>
        <w:rPr>
          <w:szCs w:val="22"/>
        </w:rPr>
        <w:t>standardised</w:t>
      </w:r>
      <w:r w:rsidRPr="00CB61ED">
        <w:rPr>
          <w:szCs w:val="22"/>
        </w:rPr>
        <w:t xml:space="preserve"> outcome measure sets across different physical and mental health disorders</w:t>
      </w:r>
      <w:r>
        <w:rPr>
          <w:szCs w:val="22"/>
        </w:rPr>
        <w:t xml:space="preserve"> </w:t>
      </w:r>
      <w:sdt>
        <w:sdtPr>
          <w:rPr>
            <w:color w:val="000000"/>
            <w:szCs w:val="22"/>
          </w:rPr>
          <w:tag w:val="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"/>
          <w:id w:val="1803727909"/>
          <w:placeholder>
            <w:docPart w:val="7BCD736B0A053E41A7BFB68AD794E05C"/>
          </w:placeholder>
        </w:sdtPr>
        <w:sdtContent>
          <w:r w:rsidR="005E4029" w:rsidRPr="005E4029">
            <w:rPr>
              <w:color w:val="000000"/>
              <w:szCs w:val="22"/>
            </w:rPr>
            <w:t xml:space="preserve">(D. </w:t>
          </w:r>
          <w:proofErr w:type="spellStart"/>
          <w:r w:rsidR="005E4029" w:rsidRPr="005E4029">
            <w:rPr>
              <w:color w:val="000000"/>
              <w:szCs w:val="22"/>
            </w:rPr>
            <w:t>Cella</w:t>
          </w:r>
          <w:proofErr w:type="spellEnd"/>
          <w:r w:rsidR="005E4029" w:rsidRPr="005E4029">
            <w:rPr>
              <w:color w:val="000000"/>
              <w:szCs w:val="22"/>
            </w:rPr>
            <w:t xml:space="preserve"> et al., 2010; </w:t>
          </w:r>
          <w:proofErr w:type="spellStart"/>
          <w:r w:rsidR="005E4029" w:rsidRPr="005E4029">
            <w:rPr>
              <w:color w:val="000000"/>
              <w:szCs w:val="22"/>
            </w:rPr>
            <w:t>Gargon</w:t>
          </w:r>
          <w:proofErr w:type="spellEnd"/>
          <w:r w:rsidR="005E4029" w:rsidRPr="005E4029">
            <w:rPr>
              <w:color w:val="000000"/>
              <w:szCs w:val="22"/>
            </w:rPr>
            <w:t xml:space="preserve"> et al., 2021)</w:t>
          </w:r>
        </w:sdtContent>
      </w:sdt>
      <w:r>
        <w:rPr>
          <w:szCs w:val="22"/>
        </w:rPr>
        <w:t xml:space="preserve">. </w:t>
      </w:r>
      <w:r w:rsidRPr="00CB61ED">
        <w:rPr>
          <w:szCs w:val="22"/>
        </w:rPr>
        <w:t xml:space="preserve">However, there has been little research into </w:t>
      </w:r>
      <w:r>
        <w:rPr>
          <w:szCs w:val="22"/>
        </w:rPr>
        <w:t xml:space="preserve">self-reported </w:t>
      </w:r>
      <w:r w:rsidRPr="00CB61ED">
        <w:rPr>
          <w:szCs w:val="22"/>
        </w:rPr>
        <w:t xml:space="preserve">outcome measures in </w:t>
      </w:r>
      <w:r>
        <w:rPr>
          <w:szCs w:val="22"/>
        </w:rPr>
        <w:t>FNSD.</w:t>
      </w:r>
      <w:r w:rsidRPr="00CB61ED">
        <w:rPr>
          <w:szCs w:val="22"/>
        </w:rPr>
        <w:t xml:space="preserve"> </w:t>
      </w:r>
      <w:r>
        <w:rPr>
          <w:szCs w:val="22"/>
        </w:rPr>
        <w:t>O</w:t>
      </w:r>
      <w:r w:rsidRPr="00CB61ED">
        <w:rPr>
          <w:szCs w:val="22"/>
        </w:rPr>
        <w:t xml:space="preserve">f the few existing outcome measures developed for </w:t>
      </w:r>
      <w:r>
        <w:rPr>
          <w:szCs w:val="22"/>
        </w:rPr>
        <w:t>FNSD</w:t>
      </w:r>
      <w:r w:rsidRPr="00CB61ED">
        <w:rPr>
          <w:szCs w:val="22"/>
        </w:rPr>
        <w:t xml:space="preserve"> symptoms</w:t>
      </w:r>
      <w:r>
        <w:rPr>
          <w:szCs w:val="22"/>
        </w:rPr>
        <w:t>, t</w:t>
      </w:r>
      <w:r w:rsidRPr="00CB61ED">
        <w:rPr>
          <w:szCs w:val="22"/>
        </w:rPr>
        <w:t>hese</w:t>
      </w:r>
      <w:r>
        <w:rPr>
          <w:szCs w:val="22"/>
        </w:rPr>
        <w:t xml:space="preserve"> </w:t>
      </w:r>
      <w:r w:rsidRPr="00CB61ED">
        <w:rPr>
          <w:szCs w:val="22"/>
        </w:rPr>
        <w:t xml:space="preserve">are not well-established, used or </w:t>
      </w:r>
      <w:r w:rsidRPr="00CB61ED">
        <w:rPr>
          <w:szCs w:val="22"/>
        </w:rPr>
        <w:lastRenderedPageBreak/>
        <w:t xml:space="preserve">validated in the relevant patient population. Moreover, </w:t>
      </w:r>
      <w:r>
        <w:rPr>
          <w:szCs w:val="22"/>
        </w:rPr>
        <w:t>assessing</w:t>
      </w:r>
      <w:r w:rsidRPr="00CB61ED">
        <w:rPr>
          <w:szCs w:val="22"/>
        </w:rPr>
        <w:t xml:space="preserve"> the criterion validity of any new </w:t>
      </w:r>
      <w:r>
        <w:rPr>
          <w:szCs w:val="22"/>
        </w:rPr>
        <w:t>FNSD</w:t>
      </w:r>
      <w:r w:rsidRPr="00CB61ED">
        <w:rPr>
          <w:szCs w:val="22"/>
        </w:rPr>
        <w:t xml:space="preserve">-specific symptom measures may be difficult due to a lack of existing </w:t>
      </w:r>
      <w:r w:rsidR="00352F7F">
        <w:rPr>
          <w:szCs w:val="22"/>
        </w:rPr>
        <w:t>'</w:t>
      </w:r>
      <w:r w:rsidRPr="00CB61ED">
        <w:rPr>
          <w:szCs w:val="22"/>
        </w:rPr>
        <w:t>gold standard(s)</w:t>
      </w:r>
      <w:r w:rsidR="00352F7F">
        <w:rPr>
          <w:szCs w:val="22"/>
        </w:rPr>
        <w:t>'</w:t>
      </w:r>
      <w:r w:rsidRPr="00CB61ED">
        <w:rPr>
          <w:szCs w:val="22"/>
        </w:rPr>
        <w:t xml:space="preserve"> </w:t>
      </w:r>
      <w:sdt>
        <w:sdtPr>
          <w:rPr>
            <w:color w:val="000000"/>
            <w:szCs w:val="22"/>
          </w:rPr>
          <w:tag w:val="MENDELEY_CITATION_v3_eyJjaXRhdGlvbklEIjoiTUVOREVMRVlfQ0lUQVRJT05fMTExYjZiNzYtYTMwYS00MDljLTlkYzEtMWI3ODg5ODNjMTA1IiwicHJvcGVydGllcyI6eyJub3RlSW5kZXgiOjB9LCJpc0VkaXRlZCI6ZmFsc2UsIm1hbnVhbE92ZXJyaWRlIjp7ImlzTWFudWFsbHlPdmVycmlkZGVuIjpmYWxzZSwiY2l0ZXByb2NUZXh0IjoiKE5pY2hvbHNvbiBldCBhbC4sIDIwMjA7IFBpY2ssIEFuZGVyc29uLC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"/>
          <w:id w:val="-1769912879"/>
          <w:placeholder>
            <w:docPart w:val="7BCD736B0A053E41A7BFB68AD794E05C"/>
          </w:placeholder>
        </w:sdtPr>
        <w:sdtContent>
          <w:r w:rsidR="005E4029" w:rsidRPr="005E4029">
            <w:rPr>
              <w:color w:val="000000"/>
              <w:szCs w:val="22"/>
            </w:rPr>
            <w:t>(Nicholson et al., 2020; Pick, Anderson, et al., 2020)</w:t>
          </w:r>
        </w:sdtContent>
      </w:sdt>
      <w:r>
        <w:rPr>
          <w:szCs w:val="22"/>
        </w:rPr>
        <w:t>.</w:t>
      </w:r>
    </w:p>
    <w:p w14:paraId="71398AC3" w14:textId="22BB8348" w:rsidR="00616AAE" w:rsidRPr="00CB61ED" w:rsidRDefault="00616AAE" w:rsidP="002E5558">
      <w:pPr>
        <w:rPr>
          <w:szCs w:val="22"/>
        </w:rPr>
      </w:pPr>
      <w:r w:rsidRPr="00CB61ED">
        <w:rPr>
          <w:szCs w:val="22"/>
        </w:rPr>
        <w:t xml:space="preserve">The available literature </w:t>
      </w:r>
      <w:r>
        <w:rPr>
          <w:szCs w:val="22"/>
        </w:rPr>
        <w:t>primarily</w:t>
      </w:r>
      <w:r w:rsidRPr="00CB61ED">
        <w:rPr>
          <w:szCs w:val="22"/>
        </w:rPr>
        <w:t xml:space="preserve"> consists of generic measures of health status and quality of life (such as the 36</w:t>
      </w:r>
      <w:r>
        <w:rPr>
          <w:szCs w:val="22"/>
        </w:rPr>
        <w:t>-item Short Form Survey; SF-36</w:t>
      </w:r>
      <w:r w:rsidRPr="00CB61ED">
        <w:rPr>
          <w:szCs w:val="22"/>
        </w:rPr>
        <w:t xml:space="preserve">) to detect differences between conditions and are often </w:t>
      </w:r>
      <w:r>
        <w:rPr>
          <w:szCs w:val="22"/>
        </w:rPr>
        <w:t>utilised</w:t>
      </w:r>
      <w:r w:rsidRPr="00CB61ED">
        <w:rPr>
          <w:szCs w:val="22"/>
        </w:rPr>
        <w:t xml:space="preserve"> in cost-utility calculations, supporting decisions for the allocation of limited healthcare resources based on Cost per Quality-Adjusted Life Year (QALY) calculations </w:t>
      </w:r>
      <w:sdt>
        <w:sdtPr>
          <w:rPr>
            <w:color w:val="000000"/>
            <w:szCs w:val="22"/>
          </w:rPr>
          <w:tag w:val="MENDELEY_CITATION_v3_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"/>
          <w:id w:val="928770288"/>
          <w:placeholder>
            <w:docPart w:val="7BCD736B0A053E41A7BFB68AD794E05C"/>
          </w:placeholder>
        </w:sdtPr>
        <w:sdtContent>
          <w:r w:rsidR="005E4029">
            <w:rPr>
              <w:rFonts w:eastAsia="Times New Roman"/>
            </w:rPr>
            <w:t>(S. J. Whitehead &amp; Ali, 2010)</w:t>
          </w:r>
        </w:sdtContent>
      </w:sdt>
      <w:r>
        <w:rPr>
          <w:szCs w:val="22"/>
        </w:rPr>
        <w:t>.</w:t>
      </w:r>
    </w:p>
    <w:p w14:paraId="478D410B" w14:textId="77777777" w:rsidR="00616AAE" w:rsidRPr="00CB61ED" w:rsidRDefault="00616AAE" w:rsidP="002E5558">
      <w:pPr>
        <w:rPr>
          <w:szCs w:val="22"/>
        </w:rPr>
      </w:pPr>
      <w:r w:rsidRPr="00CB61ED">
        <w:rPr>
          <w:szCs w:val="22"/>
        </w:rPr>
        <w:t xml:space="preserve">Unfortunately, these generic measures may not adequately capture clinically meaningful change in </w:t>
      </w:r>
      <w:r>
        <w:rPr>
          <w:szCs w:val="22"/>
        </w:rPr>
        <w:t>FNSD</w:t>
      </w:r>
      <w:r w:rsidRPr="00CB61ED">
        <w:rPr>
          <w:szCs w:val="22"/>
        </w:rPr>
        <w:t>, nor the array of outcomes associated with varying therapeutic approaches.</w:t>
      </w:r>
      <w:r w:rsidRPr="00CB61ED">
        <w:rPr>
          <w:sz w:val="32"/>
          <w:szCs w:val="32"/>
        </w:rPr>
        <w:t xml:space="preserve"> </w:t>
      </w:r>
      <w:r w:rsidRPr="00CB61ED">
        <w:rPr>
          <w:szCs w:val="22"/>
        </w:rPr>
        <w:t>These generic measures are suboptimal instruments that capture indirect or broader outcomes rather than direct primary outcomes that could</w:t>
      </w:r>
      <w:r>
        <w:rPr>
          <w:szCs w:val="22"/>
        </w:rPr>
        <w:t>,</w:t>
      </w:r>
      <w:r w:rsidRPr="00CB61ED">
        <w:rPr>
          <w:szCs w:val="22"/>
        </w:rPr>
        <w:t xml:space="preserve"> for example, specifically inform of the efficacy of the intervention in achieving its aims in this patient group.</w:t>
      </w:r>
    </w:p>
    <w:p w14:paraId="1105138C" w14:textId="260DC0DD" w:rsidR="00616AAE" w:rsidRPr="00CB61ED" w:rsidRDefault="00616AAE" w:rsidP="002E5558">
      <w:pPr>
        <w:rPr>
          <w:szCs w:val="22"/>
        </w:rPr>
      </w:pPr>
      <w:r w:rsidRPr="00CB61ED">
        <w:rPr>
          <w:szCs w:val="22"/>
        </w:rPr>
        <w:t>In this line of thought, broader clinically pertinent symptoms of anxiety and depression often overthrow the evaluation of underlying psychological processes often targeted in psychotherapy</w:t>
      </w:r>
      <w:r>
        <w:rPr>
          <w:szCs w:val="22"/>
        </w:rPr>
        <w:t xml:space="preserve"> for FNSD</w:t>
      </w:r>
      <w:r w:rsidRPr="00CB61ED">
        <w:rPr>
          <w:szCs w:val="22"/>
        </w:rPr>
        <w:t>. An overriding focus on pathology increases the risk of overlooking relevant treatment-related improvements and may also dispose patients to have a detrimental and illness-promoting perception of their health</w:t>
      </w:r>
      <w:r>
        <w:rPr>
          <w:szCs w:val="22"/>
        </w:rPr>
        <w:t xml:space="preserve"> </w:t>
      </w:r>
      <w:sdt>
        <w:sdtPr>
          <w:rPr>
            <w:szCs w:val="22"/>
          </w:rPr>
          <w:tag w:val="MENDELEY_CITATION_v3_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"/>
          <w:id w:val="-1129011365"/>
          <w:placeholder>
            <w:docPart w:val="7BCD736B0A053E41A7BFB68AD794E05C"/>
          </w:placeholder>
        </w:sdtPr>
        <w:sdtContent>
          <w:r w:rsidR="005E4029">
            <w:rPr>
              <w:rFonts w:eastAsia="Times New Roman"/>
            </w:rPr>
            <w:t>(Hagger &amp; Orbell, 2003; Leventhal et al., 1984)</w:t>
          </w:r>
        </w:sdtContent>
      </w:sdt>
      <w:r>
        <w:rPr>
          <w:szCs w:val="22"/>
        </w:rPr>
        <w:t>.</w:t>
      </w:r>
      <w:r w:rsidRPr="00CB61ED">
        <w:rPr>
          <w:szCs w:val="22"/>
        </w:rPr>
        <w:t xml:space="preserve">  </w:t>
      </w:r>
    </w:p>
    <w:p w14:paraId="0ACB9F74" w14:textId="536D74B4" w:rsidR="00616AAE" w:rsidRPr="007D75B6" w:rsidRDefault="00616AAE" w:rsidP="007D75B6">
      <w:pPr>
        <w:rPr>
          <w:szCs w:val="22"/>
        </w:rPr>
      </w:pPr>
      <w:r w:rsidRPr="00CB61ED">
        <w:rPr>
          <w:szCs w:val="22"/>
        </w:rPr>
        <w:t>Disorder-specific measures such as the Quality of Life in Epilepsy (QOLIE) for epilepsy are designed to capture the same dimensions of the generic measures</w:t>
      </w:r>
      <w:r>
        <w:rPr>
          <w:szCs w:val="22"/>
        </w:rPr>
        <w:t>. However, they are</w:t>
      </w:r>
      <w:r w:rsidRPr="00CB61ED">
        <w:rPr>
          <w:szCs w:val="22"/>
        </w:rPr>
        <w:t xml:space="preserve"> more tailored to the features of the disorder, including specific symptoms and health-related challenges. </w:t>
      </w:r>
      <w:r>
        <w:rPr>
          <w:szCs w:val="22"/>
        </w:rPr>
        <w:t>Although</w:t>
      </w:r>
      <w:r w:rsidRPr="00CB61ED">
        <w:rPr>
          <w:szCs w:val="22"/>
        </w:rPr>
        <w:t xml:space="preserve"> these generic </w:t>
      </w:r>
      <w:r>
        <w:rPr>
          <w:szCs w:val="22"/>
        </w:rPr>
        <w:t>and</w:t>
      </w:r>
      <w:r w:rsidRPr="00CB61ED">
        <w:rPr>
          <w:szCs w:val="22"/>
        </w:rPr>
        <w:t xml:space="preserve"> disease-specific quality-of-life measures </w:t>
      </w:r>
      <w:r>
        <w:rPr>
          <w:szCs w:val="22"/>
        </w:rPr>
        <w:t xml:space="preserve">can be </w:t>
      </w:r>
      <w:r w:rsidRPr="00CB61ED">
        <w:rPr>
          <w:szCs w:val="22"/>
        </w:rPr>
        <w:t xml:space="preserve">valid, reliable and sensitive to change in </w:t>
      </w:r>
      <w:r>
        <w:rPr>
          <w:szCs w:val="22"/>
        </w:rPr>
        <w:t>FNSD</w:t>
      </w:r>
      <w:r w:rsidRPr="00CB61ED">
        <w:rPr>
          <w:szCs w:val="22"/>
        </w:rPr>
        <w:t xml:space="preserve"> or other relevant populations, they are unlikely to be equally sensitive to different treatment modalities</w:t>
      </w:r>
      <w:r>
        <w:rPr>
          <w:szCs w:val="22"/>
        </w:rPr>
        <w:t xml:space="preserve"> in FNSD</w:t>
      </w:r>
      <w:r w:rsidRPr="00CB61ED">
        <w:rPr>
          <w:szCs w:val="22"/>
        </w:rPr>
        <w:t xml:space="preserve">s. </w:t>
      </w:r>
      <w:r>
        <w:rPr>
          <w:szCs w:val="22"/>
        </w:rPr>
        <w:t>Nevertheless, the</w:t>
      </w:r>
      <w:r w:rsidRPr="00CB61ED">
        <w:rPr>
          <w:szCs w:val="22"/>
        </w:rPr>
        <w:t xml:space="preserve"> application of patient self-report measures in healthcare settings has proven invaluable for informing clinical decision-making, monitoring treatment progress, and evaluating intervention effectiveness</w:t>
      </w:r>
      <w:r>
        <w:rPr>
          <w:szCs w:val="22"/>
        </w:rPr>
        <w:t xml:space="preserve">. </w:t>
      </w:r>
      <w:r w:rsidRPr="00CB61ED">
        <w:rPr>
          <w:szCs w:val="22"/>
        </w:rPr>
        <w:t>Moreover, incorporating self-report measures into routine clinical practice can enhance patient-provider communication, facilitate patient engagement in care, and improve overall health outcomes</w:t>
      </w:r>
      <w:r>
        <w:rPr>
          <w:szCs w:val="22"/>
        </w:rPr>
        <w:t xml:space="preserve"> </w:t>
      </w:r>
      <w:sdt>
        <w:sdtPr>
          <w:rPr>
            <w:color w:val="000000"/>
            <w:szCs w:val="22"/>
          </w:rPr>
          <w:tag w:val="MENDELEY_CITATION_v3_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"/>
          <w:id w:val="-850251294"/>
          <w:placeholder>
            <w:docPart w:val="7BCD736B0A053E41A7BFB68AD794E05C"/>
          </w:placeholder>
        </w:sdtPr>
        <w:sdtContent>
          <w:r w:rsidR="005E4029" w:rsidRPr="005E4029">
            <w:rPr>
              <w:color w:val="000000"/>
              <w:szCs w:val="22"/>
            </w:rPr>
            <w:t>(</w:t>
          </w:r>
          <w:proofErr w:type="spellStart"/>
          <w:r w:rsidR="005E4029" w:rsidRPr="005E4029">
            <w:rPr>
              <w:color w:val="000000"/>
              <w:szCs w:val="22"/>
            </w:rPr>
            <w:t>Valderas</w:t>
          </w:r>
          <w:proofErr w:type="spellEnd"/>
          <w:r w:rsidR="005E4029" w:rsidRPr="005E4029">
            <w:rPr>
              <w:color w:val="000000"/>
              <w:szCs w:val="22"/>
            </w:rPr>
            <w:t xml:space="preserve"> et al., 2008)</w:t>
          </w:r>
        </w:sdtContent>
      </w:sdt>
      <w:r w:rsidRPr="00CB61ED">
        <w:rPr>
          <w:szCs w:val="22"/>
        </w:rPr>
        <w:t>.</w:t>
      </w:r>
      <w:r>
        <w:rPr>
          <w:szCs w:val="22"/>
        </w:rPr>
        <w:t xml:space="preserve"> S</w:t>
      </w:r>
      <w:r w:rsidRPr="00CB61ED">
        <w:rPr>
          <w:szCs w:val="22"/>
        </w:rPr>
        <w:t xml:space="preserve">elf-report measures remain indispensable tools for understanding and managing </w:t>
      </w:r>
      <w:r>
        <w:rPr>
          <w:szCs w:val="22"/>
        </w:rPr>
        <w:t>FNSD</w:t>
      </w:r>
      <w:r w:rsidRPr="00CB61ED">
        <w:rPr>
          <w:szCs w:val="22"/>
        </w:rPr>
        <w:t xml:space="preserve">, </w:t>
      </w:r>
      <w:r>
        <w:rPr>
          <w:szCs w:val="22"/>
        </w:rPr>
        <w:t>emphasising</w:t>
      </w:r>
      <w:r w:rsidRPr="00CB61ED">
        <w:rPr>
          <w:szCs w:val="22"/>
        </w:rPr>
        <w:t xml:space="preserve"> the importance of ongoing research to </w:t>
      </w:r>
      <w:r>
        <w:rPr>
          <w:szCs w:val="22"/>
        </w:rPr>
        <w:t>optimise</w:t>
      </w:r>
      <w:r w:rsidRPr="00CB61ED">
        <w:rPr>
          <w:szCs w:val="22"/>
        </w:rPr>
        <w:t xml:space="preserve"> </w:t>
      </w:r>
      <w:r>
        <w:rPr>
          <w:szCs w:val="22"/>
        </w:rPr>
        <w:t>and</w:t>
      </w:r>
      <w:r w:rsidRPr="00CB61ED">
        <w:rPr>
          <w:szCs w:val="22"/>
        </w:rPr>
        <w:t xml:space="preserve"> further refine </w:t>
      </w:r>
      <w:r>
        <w:rPr>
          <w:szCs w:val="22"/>
        </w:rPr>
        <w:t>their use in</w:t>
      </w:r>
      <w:r w:rsidRPr="00CB61ED">
        <w:rPr>
          <w:szCs w:val="22"/>
        </w:rPr>
        <w:t xml:space="preserve"> this complex and heterogeneous </w:t>
      </w:r>
      <w:r w:rsidRPr="00CB61ED">
        <w:rPr>
          <w:szCs w:val="22"/>
        </w:rPr>
        <w:lastRenderedPageBreak/>
        <w:t>patient population.</w:t>
      </w:r>
      <w:r>
        <w:rPr>
          <w:szCs w:val="22"/>
        </w:rPr>
        <w:t xml:space="preserve"> As such, t</w:t>
      </w:r>
      <w:r w:rsidRPr="00065A8C">
        <w:rPr>
          <w:szCs w:val="22"/>
        </w:rPr>
        <w:t xml:space="preserve">his study </w:t>
      </w:r>
      <w:r>
        <w:rPr>
          <w:szCs w:val="22"/>
        </w:rPr>
        <w:t>will</w:t>
      </w:r>
      <w:r w:rsidRPr="00065A8C">
        <w:rPr>
          <w:szCs w:val="22"/>
        </w:rPr>
        <w:t xml:space="preserve"> employ </w:t>
      </w:r>
      <w:r>
        <w:rPr>
          <w:szCs w:val="22"/>
        </w:rPr>
        <w:t>FNSD</w:t>
      </w:r>
      <w:r w:rsidRPr="00065A8C">
        <w:rPr>
          <w:szCs w:val="22"/>
        </w:rPr>
        <w:t xml:space="preserve"> patient data to refine a self-report measure designed for this</w:t>
      </w:r>
      <w:r>
        <w:rPr>
          <w:szCs w:val="22"/>
        </w:rPr>
        <w:t xml:space="preserve"> patient</w:t>
      </w:r>
      <w:r w:rsidRPr="00065A8C">
        <w:rPr>
          <w:szCs w:val="22"/>
        </w:rPr>
        <w:t xml:space="preserve"> population. </w:t>
      </w:r>
    </w:p>
    <w:p w14:paraId="40B0E475" w14:textId="77777777" w:rsidR="00616AAE" w:rsidRPr="003B4953" w:rsidRDefault="00616AAE" w:rsidP="003B4953">
      <w:pPr>
        <w:pStyle w:val="Heading3"/>
      </w:pPr>
      <w:bookmarkStart w:id="22" w:name="_Toc137504668"/>
      <w:r w:rsidRPr="003B4953">
        <w:t>1.4.</w:t>
      </w:r>
      <w:r>
        <w:t>2</w:t>
      </w:r>
      <w:r w:rsidRPr="003B4953">
        <w:t xml:space="preserve"> Emergency Service </w:t>
      </w:r>
      <w:r>
        <w:t>Utilisation</w:t>
      </w:r>
      <w:bookmarkEnd w:id="22"/>
    </w:p>
    <w:p w14:paraId="5D3922A3" w14:textId="50A635FE" w:rsidR="00616AAE" w:rsidRPr="00EF5CB7" w:rsidRDefault="00616AAE" w:rsidP="00EF5CB7">
      <w:pPr>
        <w:rPr>
          <w:szCs w:val="22"/>
        </w:rPr>
      </w:pPr>
      <w:r w:rsidRPr="00EF5CB7">
        <w:rPr>
          <w:szCs w:val="22"/>
        </w:rPr>
        <w:t xml:space="preserve">Emergency service use </w:t>
      </w:r>
      <w:r>
        <w:rPr>
          <w:szCs w:val="22"/>
        </w:rPr>
        <w:t>is</w:t>
      </w:r>
      <w:r w:rsidRPr="00EF5CB7">
        <w:rPr>
          <w:szCs w:val="22"/>
        </w:rPr>
        <w:t xml:space="preserve"> a </w:t>
      </w:r>
      <w:r>
        <w:rPr>
          <w:szCs w:val="22"/>
        </w:rPr>
        <w:t xml:space="preserve">valuable </w:t>
      </w:r>
      <w:r w:rsidRPr="00EF5CB7">
        <w:rPr>
          <w:szCs w:val="22"/>
        </w:rPr>
        <w:t xml:space="preserve">health outcome measure in </w:t>
      </w:r>
      <w:r>
        <w:rPr>
          <w:szCs w:val="22"/>
        </w:rPr>
        <w:t>assessing</w:t>
      </w:r>
      <w:r w:rsidRPr="00EF5CB7">
        <w:rPr>
          <w:szCs w:val="22"/>
        </w:rPr>
        <w:t xml:space="preserve"> </w:t>
      </w:r>
      <w:r>
        <w:rPr>
          <w:szCs w:val="22"/>
        </w:rPr>
        <w:t>population-level</w:t>
      </w:r>
      <w:r w:rsidRPr="00EF5CB7">
        <w:rPr>
          <w:szCs w:val="22"/>
        </w:rPr>
        <w:t xml:space="preserve"> health and healthcare system performance. </w:t>
      </w:r>
      <w:r>
        <w:rPr>
          <w:szCs w:val="22"/>
        </w:rPr>
        <w:t>Analyses</w:t>
      </w:r>
      <w:r w:rsidRPr="00EF5CB7">
        <w:rPr>
          <w:szCs w:val="22"/>
        </w:rPr>
        <w:t xml:space="preserve"> </w:t>
      </w:r>
      <w:r>
        <w:rPr>
          <w:szCs w:val="22"/>
        </w:rPr>
        <w:t xml:space="preserve">can </w:t>
      </w:r>
      <w:r w:rsidRPr="00EF5CB7">
        <w:rPr>
          <w:szCs w:val="22"/>
        </w:rPr>
        <w:t>provide insight into the accessibility, effectiveness</w:t>
      </w:r>
      <w:r>
        <w:rPr>
          <w:szCs w:val="22"/>
        </w:rPr>
        <w:t xml:space="preserve">, and </w:t>
      </w:r>
      <w:r w:rsidRPr="00EF5CB7">
        <w:rPr>
          <w:szCs w:val="22"/>
        </w:rPr>
        <w:t xml:space="preserve">efficiency of healthcare services </w:t>
      </w:r>
      <w:r>
        <w:rPr>
          <w:szCs w:val="22"/>
        </w:rPr>
        <w:t>and</w:t>
      </w:r>
      <w:r w:rsidRPr="00EF5CB7">
        <w:rPr>
          <w:szCs w:val="22"/>
        </w:rPr>
        <w:t xml:space="preserve"> assist in </w:t>
      </w:r>
      <w:r>
        <w:rPr>
          <w:szCs w:val="22"/>
        </w:rPr>
        <w:t>identifying</w:t>
      </w:r>
      <w:r w:rsidRPr="00EF5CB7">
        <w:rPr>
          <w:szCs w:val="22"/>
        </w:rPr>
        <w:t xml:space="preserve"> potential gaps in service provision. Several studies have demonstrated that frequent emergency department (ED) visits, typically defined as f</w:t>
      </w:r>
      <w:r>
        <w:rPr>
          <w:szCs w:val="22"/>
        </w:rPr>
        <w:t xml:space="preserve">our </w:t>
      </w:r>
      <w:r w:rsidRPr="00EF5CB7">
        <w:rPr>
          <w:szCs w:val="22"/>
        </w:rPr>
        <w:t xml:space="preserve">or more visits within </w:t>
      </w:r>
      <w:r>
        <w:rPr>
          <w:szCs w:val="22"/>
        </w:rPr>
        <w:t>12 months</w:t>
      </w:r>
      <w:r w:rsidRPr="00EF5CB7">
        <w:rPr>
          <w:szCs w:val="22"/>
        </w:rPr>
        <w:t xml:space="preserve">, can be indicative of unmet healthcare needs, poor health status, and a lack of coordinated care </w:t>
      </w:r>
      <w:sdt>
        <w:sdtPr>
          <w:rPr>
            <w:color w:val="000000"/>
            <w:szCs w:val="22"/>
          </w:rPr>
          <w:tag w:val="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"/>
          <w:id w:val="-27881440"/>
          <w:placeholder>
            <w:docPart w:val="E11707C14A687C4394FB968AA7E5B24E"/>
          </w:placeholder>
        </w:sdtPr>
        <w:sdtContent>
          <w:r w:rsidR="005E4029" w:rsidRPr="005E4029">
            <w:rPr>
              <w:color w:val="000000"/>
              <w:szCs w:val="22"/>
            </w:rPr>
            <w:t xml:space="preserve">(Birmingham et al., 2017; </w:t>
          </w:r>
          <w:proofErr w:type="spellStart"/>
          <w:r w:rsidR="005E4029" w:rsidRPr="005E4029">
            <w:rPr>
              <w:color w:val="000000"/>
              <w:szCs w:val="22"/>
            </w:rPr>
            <w:t>Hansagi</w:t>
          </w:r>
          <w:proofErr w:type="spellEnd"/>
          <w:r w:rsidR="005E4029" w:rsidRPr="005E4029">
            <w:rPr>
              <w:color w:val="000000"/>
              <w:szCs w:val="22"/>
            </w:rPr>
            <w:t xml:space="preserve"> et al., 2001; Royal College of Emergency Medicine, 2017)</w:t>
          </w:r>
        </w:sdtContent>
      </w:sdt>
      <w:r w:rsidRPr="00EF5CB7">
        <w:rPr>
          <w:szCs w:val="22"/>
        </w:rPr>
        <w:t xml:space="preserve">. Moreover, a systematic review by </w:t>
      </w:r>
      <w:sdt>
        <w:sdtPr>
          <w:rPr>
            <w:color w:val="000000"/>
            <w:szCs w:val="22"/>
          </w:rPr>
          <w:tag w:val="MENDELEY_CITATION_v3_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"/>
          <w:id w:val="-1349479648"/>
          <w:placeholder>
            <w:docPart w:val="E11707C14A687C4394FB968AA7E5B24E"/>
          </w:placeholder>
        </w:sdtPr>
        <w:sdtContent>
          <w:r w:rsidR="005E4029" w:rsidRPr="005E4029">
            <w:rPr>
              <w:color w:val="000000"/>
              <w:szCs w:val="22"/>
            </w:rPr>
            <w:t>Morley et al. (2018)</w:t>
          </w:r>
        </w:sdtContent>
      </w:sdt>
      <w:r w:rsidRPr="00EF5CB7">
        <w:rPr>
          <w:szCs w:val="22"/>
        </w:rPr>
        <w:t xml:space="preserve"> </w:t>
      </w:r>
      <w:r>
        <w:rPr>
          <w:szCs w:val="22"/>
        </w:rPr>
        <w:t>emphasised</w:t>
      </w:r>
      <w:r w:rsidRPr="00EF5CB7">
        <w:rPr>
          <w:szCs w:val="22"/>
        </w:rPr>
        <w:t xml:space="preserve"> the association between high emergency department use and</w:t>
      </w:r>
      <w:r>
        <w:rPr>
          <w:szCs w:val="22"/>
        </w:rPr>
        <w:t xml:space="preserve"> poorer patient outcomes, such as</w:t>
      </w:r>
      <w:r w:rsidRPr="00EF5CB7">
        <w:rPr>
          <w:szCs w:val="22"/>
        </w:rPr>
        <w:t xml:space="preserve"> increased morbidity</w:t>
      </w:r>
      <w:r>
        <w:rPr>
          <w:szCs w:val="22"/>
        </w:rPr>
        <w:t xml:space="preserve"> and</w:t>
      </w:r>
      <w:r w:rsidRPr="00EF5CB7">
        <w:rPr>
          <w:szCs w:val="22"/>
        </w:rPr>
        <w:t xml:space="preserve"> mortality and healthcare costs</w:t>
      </w:r>
      <w:r>
        <w:rPr>
          <w:szCs w:val="22"/>
        </w:rPr>
        <w:t xml:space="preserve">. This </w:t>
      </w:r>
      <w:r w:rsidRPr="00EF5CB7">
        <w:rPr>
          <w:szCs w:val="22"/>
        </w:rPr>
        <w:t>highligh</w:t>
      </w:r>
      <w:r>
        <w:rPr>
          <w:szCs w:val="22"/>
        </w:rPr>
        <w:t>ts</w:t>
      </w:r>
      <w:r w:rsidRPr="00EF5CB7">
        <w:rPr>
          <w:szCs w:val="22"/>
        </w:rPr>
        <w:t xml:space="preserve"> the significance of addressing this issue to improve patient outcomes and </w:t>
      </w:r>
      <w:r>
        <w:rPr>
          <w:szCs w:val="22"/>
        </w:rPr>
        <w:t>optimise</w:t>
      </w:r>
      <w:r w:rsidRPr="00EF5CB7">
        <w:rPr>
          <w:szCs w:val="22"/>
        </w:rPr>
        <w:t xml:space="preserve"> resource allocation. </w:t>
      </w:r>
      <w:r>
        <w:rPr>
          <w:szCs w:val="22"/>
        </w:rPr>
        <w:t>M</w:t>
      </w:r>
      <w:r w:rsidRPr="00EF5CB7">
        <w:rPr>
          <w:szCs w:val="22"/>
        </w:rPr>
        <w:t xml:space="preserve">onitoring and addressing emergency service use can </w:t>
      </w:r>
      <w:r>
        <w:rPr>
          <w:szCs w:val="22"/>
        </w:rPr>
        <w:t>guide</w:t>
      </w:r>
      <w:r w:rsidRPr="00EF5CB7">
        <w:rPr>
          <w:szCs w:val="22"/>
        </w:rPr>
        <w:t xml:space="preserve"> healthcare policies and interventions, ultimately leading to better population health outcomes and more sustainable healthcare systems.</w:t>
      </w:r>
    </w:p>
    <w:p w14:paraId="73F2A1A7" w14:textId="20E4CF34" w:rsidR="00616AAE" w:rsidRPr="00EC5631" w:rsidRDefault="00616AAE" w:rsidP="00EF5CB7">
      <w:pPr>
        <w:rPr>
          <w:szCs w:val="22"/>
        </w:rPr>
      </w:pPr>
      <w:r w:rsidRPr="00EC5631">
        <w:rPr>
          <w:szCs w:val="22"/>
        </w:rPr>
        <w:t xml:space="preserve">Emergency admissions due to </w:t>
      </w:r>
      <w:r>
        <w:rPr>
          <w:szCs w:val="22"/>
        </w:rPr>
        <w:t>FNSD</w:t>
      </w:r>
      <w:r w:rsidRPr="00EC5631">
        <w:rPr>
          <w:szCs w:val="22"/>
        </w:rPr>
        <w:t xml:space="preserve"> lead to significant </w:t>
      </w:r>
      <w:r>
        <w:rPr>
          <w:szCs w:val="22"/>
        </w:rPr>
        <w:t>costs</w:t>
      </w:r>
      <w:r w:rsidRPr="00EC5631">
        <w:rPr>
          <w:szCs w:val="22"/>
        </w:rPr>
        <w:t xml:space="preserve"> to healthcare systems and society </w:t>
      </w:r>
      <w:sdt>
        <w:sdtPr>
          <w:rPr>
            <w:color w:val="000000"/>
            <w:szCs w:val="22"/>
          </w:rPr>
          <w:tag w:val="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"/>
          <w:id w:val="-666404818"/>
          <w:placeholder>
            <w:docPart w:val="1C857D04F34A4C43A161174575512557"/>
          </w:placeholder>
        </w:sdtPr>
        <w:sdtContent>
          <w:r w:rsidR="005E4029" w:rsidRPr="005E4029">
            <w:rPr>
              <w:color w:val="000000"/>
              <w:szCs w:val="22"/>
            </w:rPr>
            <w:t>(</w:t>
          </w:r>
          <w:proofErr w:type="spellStart"/>
          <w:r w:rsidR="005E4029" w:rsidRPr="005E4029">
            <w:rPr>
              <w:color w:val="000000"/>
              <w:szCs w:val="22"/>
            </w:rPr>
            <w:t>Asadi-Pooya</w:t>
          </w:r>
          <w:proofErr w:type="spellEnd"/>
          <w:r w:rsidR="005E4029" w:rsidRPr="005E4029">
            <w:rPr>
              <w:color w:val="000000"/>
              <w:szCs w:val="22"/>
            </w:rPr>
            <w:t xml:space="preserve"> et al., 2014; </w:t>
          </w:r>
          <w:proofErr w:type="spellStart"/>
          <w:r w:rsidR="005E4029" w:rsidRPr="005E4029">
            <w:rPr>
              <w:color w:val="000000"/>
              <w:szCs w:val="22"/>
            </w:rPr>
            <w:t>Bermingham</w:t>
          </w:r>
          <w:proofErr w:type="spellEnd"/>
          <w:r w:rsidR="005E4029" w:rsidRPr="005E4029">
            <w:rPr>
              <w:color w:val="000000"/>
              <w:szCs w:val="22"/>
            </w:rPr>
            <w:t xml:space="preserve"> et al., 2010; A. Carson et al., 2011)</w:t>
          </w:r>
        </w:sdtContent>
      </w:sdt>
      <w:r w:rsidRPr="00EC5631">
        <w:rPr>
          <w:szCs w:val="22"/>
        </w:rPr>
        <w:t xml:space="preserve">. As a result of their commonly acute presentation, </w:t>
      </w:r>
      <w:r>
        <w:rPr>
          <w:szCs w:val="22"/>
        </w:rPr>
        <w:t>FNSD</w:t>
      </w:r>
      <w:r w:rsidRPr="00EC5631">
        <w:rPr>
          <w:szCs w:val="22"/>
        </w:rPr>
        <w:t xml:space="preserve"> symptoms often lead to A&amp;E </w:t>
      </w:r>
      <w:r>
        <w:rPr>
          <w:szCs w:val="22"/>
        </w:rPr>
        <w:t>attendance</w:t>
      </w:r>
      <w:r w:rsidRPr="00EC5631">
        <w:rPr>
          <w:szCs w:val="22"/>
        </w:rPr>
        <w:t xml:space="preserve"> at initial symptom onset. Patients with more chronic </w:t>
      </w:r>
      <w:r>
        <w:rPr>
          <w:szCs w:val="22"/>
        </w:rPr>
        <w:t>FNSD</w:t>
      </w:r>
      <w:r w:rsidRPr="00EC5631">
        <w:rPr>
          <w:szCs w:val="22"/>
        </w:rPr>
        <w:t xml:space="preserve"> with persistent or recurrent symptoms may be regular emergency service users.</w:t>
      </w:r>
      <w:r>
        <w:rPr>
          <w:szCs w:val="22"/>
        </w:rPr>
        <w:t xml:space="preserve"> M</w:t>
      </w:r>
      <w:r w:rsidRPr="00EC5631">
        <w:rPr>
          <w:szCs w:val="22"/>
        </w:rPr>
        <w:t xml:space="preserve">uch evidence suggests that, as a group, patients with </w:t>
      </w:r>
      <w:r>
        <w:rPr>
          <w:szCs w:val="22"/>
        </w:rPr>
        <w:t>FNSD</w:t>
      </w:r>
      <w:r w:rsidRPr="00EC5631">
        <w:rPr>
          <w:szCs w:val="22"/>
        </w:rPr>
        <w:t xml:space="preserve"> are particularly high users of emergency care services </w:t>
      </w:r>
      <w:sdt>
        <w:sdtPr>
          <w:rPr>
            <w:szCs w:val="22"/>
          </w:rPr>
          <w:tag w:val="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"/>
          <w:id w:val="-1144350277"/>
          <w:placeholder>
            <w:docPart w:val="6DAB7A77C52B0949BC92B7ECC5F35B63"/>
          </w:placeholder>
        </w:sdtPr>
        <w:sdtContent>
          <w:r w:rsidR="005E4029">
            <w:rPr>
              <w:rFonts w:eastAsia="Times New Roman"/>
            </w:rPr>
            <w:t xml:space="preserve">(Dickson et al., 2017; Gallagher et al., 2013; </w:t>
          </w:r>
          <w:proofErr w:type="spellStart"/>
          <w:r w:rsidR="005E4029">
            <w:rPr>
              <w:rFonts w:eastAsia="Times New Roman"/>
            </w:rPr>
            <w:t>Merkler</w:t>
          </w:r>
          <w:proofErr w:type="spellEnd"/>
          <w:r w:rsidR="005E4029">
            <w:rPr>
              <w:rFonts w:eastAsia="Times New Roman"/>
            </w:rPr>
            <w:t xml:space="preserve"> et al., 2016; Perez &amp; LaFrance Jr., 2016)</w:t>
          </w:r>
        </w:sdtContent>
      </w:sdt>
      <w:r w:rsidRPr="00EC5631">
        <w:rPr>
          <w:szCs w:val="22"/>
        </w:rPr>
        <w:t xml:space="preserve">. Some of these healthcare contacts would potentially involve </w:t>
      </w:r>
      <w:r>
        <w:rPr>
          <w:szCs w:val="22"/>
        </w:rPr>
        <w:t xml:space="preserve">delayed diagnosis or </w:t>
      </w:r>
      <w:r w:rsidRPr="00EC5631">
        <w:rPr>
          <w:szCs w:val="22"/>
        </w:rPr>
        <w:t xml:space="preserve">misdiagnoses by non-experts and the prescription of medication, capable of causing serious iatrogenic harm and greatly increasing the cost associated with </w:t>
      </w:r>
      <w:r>
        <w:rPr>
          <w:szCs w:val="22"/>
        </w:rPr>
        <w:t xml:space="preserve">FNSD </w:t>
      </w:r>
      <w:sdt>
        <w:sdtPr>
          <w:rPr>
            <w:color w:val="000000"/>
            <w:szCs w:val="22"/>
          </w:rPr>
          <w:tag w:val="MENDELEY_CITATION_v3_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"/>
          <w:id w:val="225731171"/>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Cuoco</w:t>
          </w:r>
          <w:proofErr w:type="spellEnd"/>
          <w:r w:rsidR="005E4029" w:rsidRPr="005E4029">
            <w:rPr>
              <w:color w:val="000000"/>
              <w:szCs w:val="22"/>
            </w:rPr>
            <w:t xml:space="preserve"> et al., 2023)</w:t>
          </w:r>
        </w:sdtContent>
      </w:sdt>
      <w:r w:rsidRPr="00EC5631">
        <w:rPr>
          <w:szCs w:val="22"/>
        </w:rPr>
        <w:t xml:space="preserve">. Some contacts would also involve hospital emergency </w:t>
      </w:r>
      <w:r>
        <w:rPr>
          <w:szCs w:val="22"/>
        </w:rPr>
        <w:t>department</w:t>
      </w:r>
      <w:r w:rsidRPr="00EC5631">
        <w:rPr>
          <w:szCs w:val="22"/>
        </w:rPr>
        <w:t xml:space="preserve"> visits, ambulance services, or outpatient clinic appointments with specialist doctors, generating higher costs. Based on this, healthcare services </w:t>
      </w:r>
      <w:r>
        <w:rPr>
          <w:szCs w:val="22"/>
        </w:rPr>
        <w:t>utilisation</w:t>
      </w:r>
      <w:r w:rsidRPr="00EC5631">
        <w:rPr>
          <w:szCs w:val="22"/>
        </w:rPr>
        <w:t xml:space="preserve"> is an important behavioural outcome in </w:t>
      </w:r>
      <w:r>
        <w:rPr>
          <w:szCs w:val="22"/>
        </w:rPr>
        <w:t xml:space="preserve">the </w:t>
      </w:r>
      <w:r w:rsidRPr="00EC5631">
        <w:rPr>
          <w:szCs w:val="22"/>
        </w:rPr>
        <w:t>stud</w:t>
      </w:r>
      <w:r>
        <w:rPr>
          <w:szCs w:val="22"/>
        </w:rPr>
        <w:t>y of FNSD</w:t>
      </w:r>
      <w:r w:rsidRPr="00EC5631">
        <w:rPr>
          <w:szCs w:val="22"/>
        </w:rPr>
        <w:t xml:space="preserve"> because of the significant burden that patients can have </w:t>
      </w:r>
      <w:r>
        <w:rPr>
          <w:szCs w:val="22"/>
        </w:rPr>
        <w:t>on</w:t>
      </w:r>
      <w:r w:rsidRPr="00EC5631">
        <w:rPr>
          <w:szCs w:val="22"/>
        </w:rPr>
        <w:t xml:space="preserve"> service</w:t>
      </w:r>
      <w:r>
        <w:rPr>
          <w:szCs w:val="22"/>
        </w:rPr>
        <w:t>s</w:t>
      </w:r>
      <w:r w:rsidRPr="00EC5631">
        <w:rPr>
          <w:szCs w:val="22"/>
        </w:rPr>
        <w:t xml:space="preserve">. </w:t>
      </w:r>
      <w:r w:rsidRPr="00EF5CB7">
        <w:rPr>
          <w:szCs w:val="22"/>
        </w:rPr>
        <w:t xml:space="preserve">This </w:t>
      </w:r>
      <w:r w:rsidRPr="00EF5CB7">
        <w:rPr>
          <w:szCs w:val="22"/>
        </w:rPr>
        <w:lastRenderedPageBreak/>
        <w:t xml:space="preserve">measure can provide valuable insights into the healthcare burden and </w:t>
      </w:r>
      <w:r w:rsidR="00352F7F">
        <w:rPr>
          <w:szCs w:val="22"/>
        </w:rPr>
        <w:t>patients'</w:t>
      </w:r>
      <w:r w:rsidRPr="00EF5CB7">
        <w:rPr>
          <w:szCs w:val="22"/>
        </w:rPr>
        <w:t xml:space="preserve"> healthcare-seeking behaviour and</w:t>
      </w:r>
      <w:r w:rsidRPr="00EC5631">
        <w:rPr>
          <w:szCs w:val="22"/>
        </w:rPr>
        <w:t xml:space="preserve"> allow for further analysis, such as cost-effectiveness analyses of interventions</w:t>
      </w:r>
      <w:r>
        <w:rPr>
          <w:szCs w:val="22"/>
        </w:rPr>
        <w:t>.</w:t>
      </w:r>
      <w:r w:rsidRPr="00EC5631">
        <w:rPr>
          <w:szCs w:val="22"/>
        </w:rPr>
        <w:t xml:space="preserve"> </w:t>
      </w:r>
    </w:p>
    <w:p w14:paraId="3E3066B9" w14:textId="718DA38F" w:rsidR="00616AAE" w:rsidRPr="00EC5631" w:rsidRDefault="00616AAE" w:rsidP="00EF5CB7">
      <w:pPr>
        <w:rPr>
          <w:szCs w:val="22"/>
        </w:rPr>
      </w:pPr>
      <w:r w:rsidRPr="00EF5CB7">
        <w:rPr>
          <w:szCs w:val="22"/>
        </w:rPr>
        <w:t xml:space="preserve">On the other hand, emergency service use as a health outcome measure has limitations, including the potential for an overemphasis on episodic care while neglecting the longitudinal aspects of </w:t>
      </w:r>
      <w:r>
        <w:rPr>
          <w:szCs w:val="22"/>
        </w:rPr>
        <w:t>FNSD</w:t>
      </w:r>
      <w:r w:rsidRPr="00EF5CB7">
        <w:rPr>
          <w:szCs w:val="22"/>
        </w:rPr>
        <w:t xml:space="preserve"> management. Additionally, factors unrelated to the severity of </w:t>
      </w:r>
      <w:r>
        <w:rPr>
          <w:szCs w:val="22"/>
        </w:rPr>
        <w:t>FNSD</w:t>
      </w:r>
      <w:r w:rsidRPr="00EF5CB7">
        <w:rPr>
          <w:szCs w:val="22"/>
        </w:rPr>
        <w:t xml:space="preserve"> symptoms or treatment efficacy</w:t>
      </w:r>
      <w:r>
        <w:rPr>
          <w:szCs w:val="22"/>
        </w:rPr>
        <w:t xml:space="preserve"> may influence emergency service use</w:t>
      </w:r>
      <w:r w:rsidRPr="00EF5CB7">
        <w:rPr>
          <w:szCs w:val="22"/>
        </w:rPr>
        <w:t xml:space="preserve">, such as accessibility to primary care, socioeconomic status, and cultural differences </w:t>
      </w:r>
      <w:sdt>
        <w:sdtPr>
          <w:rPr>
            <w:color w:val="000000"/>
            <w:szCs w:val="22"/>
          </w:rPr>
          <w:tag w:val="MENDELEY_CITATION_v3_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"/>
          <w:id w:val="1107165917"/>
          <w:placeholder>
            <w:docPart w:val="E11707C14A687C4394FB968AA7E5B24E"/>
          </w:placeholder>
        </w:sdtPr>
        <w:sdtContent>
          <w:r w:rsidR="005E4029" w:rsidRPr="005E4029">
            <w:rPr>
              <w:color w:val="000000"/>
              <w:szCs w:val="22"/>
            </w:rPr>
            <w:t>(Greenfield et al., 2020)</w:t>
          </w:r>
        </w:sdtContent>
      </w:sdt>
      <w:r w:rsidRPr="00EF5CB7">
        <w:rPr>
          <w:szCs w:val="22"/>
        </w:rPr>
        <w:t xml:space="preserve">. Despite these limitations, the analysis of </w:t>
      </w:r>
      <w:r>
        <w:rPr>
          <w:szCs w:val="22"/>
        </w:rPr>
        <w:t xml:space="preserve">utilisation </w:t>
      </w:r>
      <w:r w:rsidRPr="00EF5CB7">
        <w:rPr>
          <w:szCs w:val="22"/>
        </w:rPr>
        <w:t xml:space="preserve">patterns may provide </w:t>
      </w:r>
      <w:r w:rsidR="00212183">
        <w:rPr>
          <w:szCs w:val="22"/>
        </w:rPr>
        <w:t>useful</w:t>
      </w:r>
      <w:r w:rsidRPr="00EF5CB7">
        <w:rPr>
          <w:szCs w:val="22"/>
        </w:rPr>
        <w:t xml:space="preserve"> insights into </w:t>
      </w:r>
      <w:r>
        <w:rPr>
          <w:szCs w:val="22"/>
        </w:rPr>
        <w:t>FNSD</w:t>
      </w:r>
      <w:r w:rsidRPr="00EF5CB7">
        <w:rPr>
          <w:szCs w:val="22"/>
        </w:rPr>
        <w:t xml:space="preserve"> managemen</w:t>
      </w:r>
      <w:r>
        <w:rPr>
          <w:szCs w:val="22"/>
        </w:rPr>
        <w:t>t,</w:t>
      </w:r>
      <w:r w:rsidRPr="00EF5CB7">
        <w:rPr>
          <w:szCs w:val="22"/>
        </w:rPr>
        <w:t xml:space="preserve"> point to areas requiring improvement in patient care</w:t>
      </w:r>
      <w:r>
        <w:rPr>
          <w:szCs w:val="22"/>
        </w:rPr>
        <w:t xml:space="preserve"> and </w:t>
      </w:r>
      <w:r w:rsidRPr="00EF5CB7">
        <w:rPr>
          <w:szCs w:val="22"/>
        </w:rPr>
        <w:t xml:space="preserve">resource allocation </w:t>
      </w:r>
      <w:r w:rsidRPr="00EC5631">
        <w:rPr>
          <w:szCs w:val="22"/>
        </w:rPr>
        <w:t xml:space="preserve">and consequently enable the provision of </w:t>
      </w:r>
      <w:r>
        <w:rPr>
          <w:szCs w:val="22"/>
        </w:rPr>
        <w:t xml:space="preserve">more </w:t>
      </w:r>
      <w:r w:rsidRPr="00EC5631">
        <w:rPr>
          <w:szCs w:val="22"/>
        </w:rPr>
        <w:t xml:space="preserve">effective and acceptable treatments for this patient group, particularly in resource-constrained services. </w:t>
      </w:r>
    </w:p>
    <w:p w14:paraId="61E1A624" w14:textId="25C78F54" w:rsidR="00616AAE" w:rsidRPr="00EF5CB7" w:rsidRDefault="00616AAE" w:rsidP="007D75B6">
      <w:pPr>
        <w:rPr>
          <w:szCs w:val="22"/>
        </w:rPr>
      </w:pPr>
      <w:r w:rsidRPr="00EC5631">
        <w:rPr>
          <w:szCs w:val="22"/>
        </w:rPr>
        <w:t xml:space="preserve">Based on this, </w:t>
      </w:r>
      <w:r>
        <w:rPr>
          <w:szCs w:val="22"/>
        </w:rPr>
        <w:t xml:space="preserve">emergency </w:t>
      </w:r>
      <w:r w:rsidRPr="00EC5631">
        <w:rPr>
          <w:szCs w:val="22"/>
        </w:rPr>
        <w:t xml:space="preserve">services </w:t>
      </w:r>
      <w:r>
        <w:rPr>
          <w:szCs w:val="22"/>
        </w:rPr>
        <w:t>utilisation</w:t>
      </w:r>
      <w:r w:rsidRPr="00EC5631">
        <w:rPr>
          <w:szCs w:val="22"/>
        </w:rPr>
        <w:t xml:space="preserve"> is an important behavioural outcome </w:t>
      </w:r>
      <w:r>
        <w:rPr>
          <w:szCs w:val="22"/>
        </w:rPr>
        <w:t xml:space="preserve">that will be used </w:t>
      </w:r>
      <w:r w:rsidRPr="00EC5631">
        <w:rPr>
          <w:szCs w:val="22"/>
        </w:rPr>
        <w:t xml:space="preserve">in </w:t>
      </w:r>
      <w:r>
        <w:rPr>
          <w:szCs w:val="22"/>
        </w:rPr>
        <w:t>the present study</w:t>
      </w:r>
      <w:r w:rsidRPr="00EC5631">
        <w:rPr>
          <w:szCs w:val="22"/>
        </w:rPr>
        <w:t xml:space="preserve"> because of the significant burden that patients can have </w:t>
      </w:r>
      <w:r>
        <w:rPr>
          <w:szCs w:val="22"/>
        </w:rPr>
        <w:t>on</w:t>
      </w:r>
      <w:r w:rsidRPr="00EC5631">
        <w:rPr>
          <w:szCs w:val="22"/>
        </w:rPr>
        <w:t xml:space="preserve"> service</w:t>
      </w:r>
      <w:r>
        <w:rPr>
          <w:szCs w:val="22"/>
        </w:rPr>
        <w:t>s</w:t>
      </w:r>
      <w:r w:rsidRPr="00EC5631">
        <w:rPr>
          <w:szCs w:val="22"/>
        </w:rPr>
        <w:t xml:space="preserve">. </w:t>
      </w:r>
      <w:r w:rsidRPr="00EF5CB7">
        <w:rPr>
          <w:szCs w:val="22"/>
        </w:rPr>
        <w:t>This measure will be used in the present work to</w:t>
      </w:r>
      <w:r>
        <w:rPr>
          <w:szCs w:val="22"/>
        </w:rPr>
        <w:t xml:space="preserve"> determine whether it can </w:t>
      </w:r>
      <w:r w:rsidR="00212183">
        <w:rPr>
          <w:szCs w:val="22"/>
        </w:rPr>
        <w:t>capture patterns of</w:t>
      </w:r>
      <w:r w:rsidRPr="00EF5CB7">
        <w:rPr>
          <w:szCs w:val="22"/>
        </w:rPr>
        <w:t xml:space="preserve"> </w:t>
      </w:r>
      <w:r w:rsidR="00352F7F">
        <w:rPr>
          <w:szCs w:val="22"/>
        </w:rPr>
        <w:t>patients'</w:t>
      </w:r>
      <w:r w:rsidRPr="00EF5CB7">
        <w:rPr>
          <w:szCs w:val="22"/>
        </w:rPr>
        <w:t xml:space="preserve"> healthcare-seeking behaviour</w:t>
      </w:r>
      <w:r w:rsidR="00212183">
        <w:rPr>
          <w:szCs w:val="22"/>
        </w:rPr>
        <w:t xml:space="preserve"> and assess treatment-related change.</w:t>
      </w:r>
    </w:p>
    <w:p w14:paraId="28AF923D" w14:textId="77777777" w:rsidR="00616AAE" w:rsidRPr="003B4953" w:rsidRDefault="00616AAE" w:rsidP="003B4953">
      <w:pPr>
        <w:pStyle w:val="Heading3"/>
      </w:pPr>
      <w:bookmarkStart w:id="23" w:name="_Toc137504669"/>
      <w:r w:rsidRPr="003B4953">
        <w:t>1.4.</w:t>
      </w:r>
      <w:r>
        <w:t>3</w:t>
      </w:r>
      <w:r w:rsidRPr="003B4953">
        <w:t xml:space="preserve"> Affective Cognition</w:t>
      </w:r>
      <w:bookmarkEnd w:id="23"/>
    </w:p>
    <w:p w14:paraId="7289FBDC" w14:textId="66CA4684" w:rsidR="00616AAE" w:rsidRPr="008C381F" w:rsidRDefault="00616AAE" w:rsidP="00686348">
      <w:pPr>
        <w:rPr>
          <w:szCs w:val="22"/>
        </w:rPr>
      </w:pPr>
      <w:r w:rsidRPr="008C381F">
        <w:rPr>
          <w:szCs w:val="22"/>
        </w:rPr>
        <w:t xml:space="preserve">Affective cognition, the interplay between emotion and cognitive processes, has gained much interest in the context of </w:t>
      </w:r>
      <w:r>
        <w:rPr>
          <w:szCs w:val="22"/>
        </w:rPr>
        <w:t xml:space="preserve">FNSD </w:t>
      </w:r>
      <w:sdt>
        <w:sdtPr>
          <w:rPr>
            <w:color w:val="000000"/>
            <w:szCs w:val="22"/>
          </w:rPr>
          <w:tag w:val="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"/>
          <w:id w:val="1629974185"/>
          <w:placeholder>
            <w:docPart w:val="F2DB79A78C6CF74C947EB6A4F16FFA95"/>
          </w:placeholder>
        </w:sdtPr>
        <w:sdtContent>
          <w:r w:rsidR="005E4029" w:rsidRPr="005E4029">
            <w:rPr>
              <w:color w:val="000000"/>
              <w:szCs w:val="22"/>
            </w:rPr>
            <w:t xml:space="preserve">(Diez et al., 2019; </w:t>
          </w:r>
          <w:proofErr w:type="spellStart"/>
          <w:r w:rsidR="005E4029" w:rsidRPr="005E4029">
            <w:rPr>
              <w:color w:val="000000"/>
              <w:szCs w:val="22"/>
            </w:rPr>
            <w:t>Jalilianhasanpour</w:t>
          </w:r>
          <w:proofErr w:type="spellEnd"/>
          <w:r w:rsidR="005E4029" w:rsidRPr="005E4029">
            <w:rPr>
              <w:color w:val="000000"/>
              <w:szCs w:val="22"/>
            </w:rPr>
            <w:t xml:space="preserve"> et al., 2018; Ricciardi et al., 2016; I. A. Williams, Howlett, et al., 2018; I. A. Williams, Levita, et al., 2018)</w:t>
          </w:r>
        </w:sdtContent>
      </w:sdt>
      <w:r>
        <w:rPr>
          <w:color w:val="000000"/>
          <w:szCs w:val="22"/>
        </w:rPr>
        <w:t>.</w:t>
      </w:r>
      <w:r w:rsidRPr="008C381F">
        <w:rPr>
          <w:szCs w:val="22"/>
        </w:rPr>
        <w:t xml:space="preserve"> A key aspect of this in </w:t>
      </w:r>
      <w:r>
        <w:rPr>
          <w:szCs w:val="22"/>
        </w:rPr>
        <w:t>FNSD</w:t>
      </w:r>
      <w:r w:rsidRPr="008C381F">
        <w:rPr>
          <w:szCs w:val="22"/>
        </w:rPr>
        <w:t>s is the influence of emotions on attention, memory, and decision-makin</w:t>
      </w:r>
      <w:r>
        <w:rPr>
          <w:szCs w:val="22"/>
        </w:rPr>
        <w:t xml:space="preserve">g </w:t>
      </w:r>
      <w:sdt>
        <w:sdtPr>
          <w:rPr>
            <w:color w:val="000000"/>
            <w:szCs w:val="22"/>
          </w:rPr>
          <w:tag w:val="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"/>
          <w:id w:val="697357943"/>
          <w:placeholder>
            <w:docPart w:val="E11707C14A687C4394FB968AA7E5B24E"/>
          </w:placeholder>
        </w:sdtPr>
        <w:sdtContent>
          <w:r w:rsidR="005E4029" w:rsidRPr="005E4029">
            <w:rPr>
              <w:color w:val="000000"/>
              <w:szCs w:val="22"/>
            </w:rPr>
            <w:t>(Diez et al., 2019; Pick et al., 2019)</w:t>
          </w:r>
        </w:sdtContent>
      </w:sdt>
      <w:r w:rsidRPr="008C381F">
        <w:rPr>
          <w:szCs w:val="22"/>
        </w:rPr>
        <w:t xml:space="preserve">. For example, studies have shown that individuals with </w:t>
      </w:r>
      <w:r>
        <w:rPr>
          <w:szCs w:val="22"/>
        </w:rPr>
        <w:t>FNSD</w:t>
      </w:r>
      <w:r w:rsidRPr="008C381F">
        <w:rPr>
          <w:szCs w:val="22"/>
        </w:rPr>
        <w:t xml:space="preserve"> exhibit heightened emotional reactivity, increased sensitivity to negative emotional stimuli, and maladaptive emotional coping strategies, which could contribute to a heightened sensitivity to stress and the development </w:t>
      </w:r>
      <w:r>
        <w:rPr>
          <w:szCs w:val="22"/>
        </w:rPr>
        <w:t>and</w:t>
      </w:r>
      <w:r w:rsidRPr="008C381F">
        <w:rPr>
          <w:szCs w:val="22"/>
        </w:rPr>
        <w:t xml:space="preserve"> maintenance of </w:t>
      </w:r>
      <w:r>
        <w:rPr>
          <w:szCs w:val="22"/>
        </w:rPr>
        <w:t>FNSD</w:t>
      </w:r>
      <w:r w:rsidRPr="008C381F">
        <w:rPr>
          <w:szCs w:val="22"/>
        </w:rPr>
        <w:t xml:space="preserve"> symptoms </w:t>
      </w:r>
      <w:sdt>
        <w:sdtPr>
          <w:rPr>
            <w:color w:val="000000"/>
            <w:szCs w:val="22"/>
          </w:rPr>
          <w:tag w:val="MENDELEY_CITATION_v3_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"/>
          <w:id w:val="-1728523290"/>
          <w:placeholder>
            <w:docPart w:val="E11707C14A687C4394FB968AA7E5B24E"/>
          </w:placeholder>
        </w:sdtPr>
        <w:sdtContent>
          <w:r w:rsidR="005E4029">
            <w:rPr>
              <w:rFonts w:eastAsia="Times New Roman"/>
            </w:rPr>
            <w:t>(</w:t>
          </w:r>
          <w:proofErr w:type="spellStart"/>
          <w:r w:rsidR="005E4029">
            <w:rPr>
              <w:rFonts w:eastAsia="Times New Roman"/>
            </w:rPr>
            <w:t>Allendorfer</w:t>
          </w:r>
          <w:proofErr w:type="spellEnd"/>
          <w:r w:rsidR="005E4029">
            <w:rPr>
              <w:rFonts w:eastAsia="Times New Roman"/>
            </w:rPr>
            <w:t xml:space="preserve"> et al., 2019; </w:t>
          </w:r>
          <w:proofErr w:type="spellStart"/>
          <w:r w:rsidR="005E4029">
            <w:rPr>
              <w:rFonts w:eastAsia="Times New Roman"/>
            </w:rPr>
            <w:t>Aybek</w:t>
          </w:r>
          <w:proofErr w:type="spellEnd"/>
          <w:r w:rsidR="005E4029">
            <w:rPr>
              <w:rFonts w:eastAsia="Times New Roman"/>
            </w:rPr>
            <w:t xml:space="preserve"> et al., 2015; R. J. Brown &amp; Reuber, 2016a; </w:t>
          </w:r>
          <w:proofErr w:type="spellStart"/>
          <w:r w:rsidR="005E4029">
            <w:rPr>
              <w:rFonts w:eastAsia="Times New Roman"/>
            </w:rPr>
            <w:t>Hassa</w:t>
          </w:r>
          <w:proofErr w:type="spellEnd"/>
          <w:r w:rsidR="005E4029">
            <w:rPr>
              <w:rFonts w:eastAsia="Times New Roman"/>
            </w:rPr>
            <w:t xml:space="preserve"> et al., 2017; I. A. Williams et al., 2021)</w:t>
          </w:r>
        </w:sdtContent>
      </w:sdt>
      <w:r>
        <w:rPr>
          <w:szCs w:val="22"/>
        </w:rPr>
        <w:t>.</w:t>
      </w:r>
    </w:p>
    <w:p w14:paraId="32900EA0" w14:textId="7A4DEF3B" w:rsidR="00616AAE" w:rsidRPr="008C381F" w:rsidRDefault="00616AAE" w:rsidP="008C381F">
      <w:pPr>
        <w:rPr>
          <w:szCs w:val="22"/>
        </w:rPr>
      </w:pPr>
      <w:r w:rsidRPr="008C381F">
        <w:rPr>
          <w:szCs w:val="22"/>
        </w:rPr>
        <w:t xml:space="preserve">Additionally, altered emotional memory processes have been observed in </w:t>
      </w:r>
      <w:r>
        <w:rPr>
          <w:szCs w:val="22"/>
        </w:rPr>
        <w:t>FNSD</w:t>
      </w:r>
      <w:r w:rsidRPr="008C381F">
        <w:rPr>
          <w:szCs w:val="22"/>
        </w:rPr>
        <w:t xml:space="preserve">, with evidence suggesting that </w:t>
      </w:r>
      <w:r>
        <w:rPr>
          <w:szCs w:val="22"/>
        </w:rPr>
        <w:t>FNSD</w:t>
      </w:r>
      <w:r w:rsidRPr="008C381F">
        <w:rPr>
          <w:szCs w:val="22"/>
        </w:rPr>
        <w:t xml:space="preserve"> patients may be more prone to encoding negative information and selectively recalling emotionally salient events</w:t>
      </w:r>
      <w:r>
        <w:rPr>
          <w:szCs w:val="22"/>
        </w:rPr>
        <w:t xml:space="preserve"> </w:t>
      </w:r>
      <w:sdt>
        <w:sdtPr>
          <w:rPr>
            <w:color w:val="000000"/>
            <w:szCs w:val="22"/>
          </w:rPr>
          <w:tag w:val="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"/>
          <w:id w:val="-1239084171"/>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Espay</w:t>
          </w:r>
          <w:proofErr w:type="spellEnd"/>
          <w:r w:rsidR="005E4029" w:rsidRPr="005E4029">
            <w:rPr>
              <w:color w:val="000000"/>
              <w:szCs w:val="22"/>
            </w:rPr>
            <w:t xml:space="preserve">, Maloney et al., </w:t>
          </w:r>
          <w:r w:rsidR="005E4029" w:rsidRPr="005E4029">
            <w:rPr>
              <w:color w:val="000000"/>
              <w:szCs w:val="22"/>
            </w:rPr>
            <w:lastRenderedPageBreak/>
            <w:t>2018; Sojka et al., 2018, 2019; Szaflarski et al., 2018)</w:t>
          </w:r>
        </w:sdtContent>
      </w:sdt>
      <w:r>
        <w:rPr>
          <w:szCs w:val="22"/>
        </w:rPr>
        <w:t xml:space="preserve">. </w:t>
      </w:r>
      <w:r w:rsidRPr="008C381F">
        <w:rPr>
          <w:szCs w:val="22"/>
        </w:rPr>
        <w:t xml:space="preserve">The neural correlates of affective cognition in </w:t>
      </w:r>
      <w:r>
        <w:rPr>
          <w:szCs w:val="22"/>
        </w:rPr>
        <w:t>FNSD</w:t>
      </w:r>
      <w:r w:rsidRPr="008C381F">
        <w:rPr>
          <w:szCs w:val="22"/>
        </w:rPr>
        <w:t xml:space="preserve"> are also an area of ongoing investigation</w:t>
      </w:r>
      <w:r>
        <w:rPr>
          <w:szCs w:val="22"/>
        </w:rPr>
        <w:t xml:space="preserve"> </w:t>
      </w:r>
      <w:sdt>
        <w:sdtPr>
          <w:rPr>
            <w:color w:val="000000"/>
            <w:szCs w:val="22"/>
          </w:rPr>
          <w:tag w:val="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"/>
          <w:id w:val="871892277"/>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Aybek</w:t>
          </w:r>
          <w:proofErr w:type="spellEnd"/>
          <w:r w:rsidR="005E4029" w:rsidRPr="005E4029">
            <w:rPr>
              <w:color w:val="000000"/>
              <w:szCs w:val="22"/>
            </w:rPr>
            <w:t xml:space="preserve"> et al., 2015; Diez et al., 2019; Perez et al., 2018)</w:t>
          </w:r>
        </w:sdtContent>
      </w:sdt>
      <w:r>
        <w:rPr>
          <w:szCs w:val="22"/>
        </w:rPr>
        <w:t xml:space="preserve">. </w:t>
      </w:r>
      <w:r w:rsidRPr="008C381F">
        <w:rPr>
          <w:szCs w:val="22"/>
        </w:rPr>
        <w:t xml:space="preserve">Neuroimaging studies have identified abnormalities in brain regions involved in emotional processing, such as the amygdala and insula, as well as in the connectivity between these regions and higher-order cognitive areas like the prefrontal cortex </w:t>
      </w:r>
      <w:sdt>
        <w:sdtPr>
          <w:rPr>
            <w:color w:val="000000"/>
            <w:szCs w:val="22"/>
          </w:rPr>
          <w:tag w:val="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"/>
          <w:id w:val="-467668949"/>
          <w:placeholder>
            <w:docPart w:val="E11707C14A687C4394FB968AA7E5B24E"/>
          </w:placeholder>
        </w:sdtPr>
        <w:sdtContent>
          <w:r w:rsidR="005E4029" w:rsidRPr="005E4029">
            <w:rPr>
              <w:color w:val="000000"/>
              <w:szCs w:val="22"/>
            </w:rPr>
            <w:t xml:space="preserve">(Ospina, </w:t>
          </w:r>
          <w:proofErr w:type="spellStart"/>
          <w:r w:rsidR="005E4029" w:rsidRPr="005E4029">
            <w:rPr>
              <w:color w:val="000000"/>
              <w:szCs w:val="22"/>
            </w:rPr>
            <w:t>Jalilianhasanpour</w:t>
          </w:r>
          <w:proofErr w:type="spellEnd"/>
          <w:r w:rsidR="005E4029" w:rsidRPr="005E4029">
            <w:rPr>
              <w:color w:val="000000"/>
              <w:szCs w:val="22"/>
            </w:rPr>
            <w:t xml:space="preserve"> et al., 2019; Ospina, Larson, et al., 2019; Perez et al., 2017, 2018; B. Williams et al., 2018)</w:t>
          </w:r>
        </w:sdtContent>
      </w:sdt>
      <w:r>
        <w:rPr>
          <w:szCs w:val="22"/>
        </w:rPr>
        <w:t xml:space="preserve">. </w:t>
      </w:r>
      <w:r w:rsidRPr="008C381F">
        <w:rPr>
          <w:szCs w:val="22"/>
        </w:rPr>
        <w:t xml:space="preserve">These findings suggest that disruptions in the neural circuits underlying affective cognition may contribute to the pathophysiology of </w:t>
      </w:r>
      <w:r>
        <w:rPr>
          <w:szCs w:val="22"/>
        </w:rPr>
        <w:t xml:space="preserve">FNSD </w:t>
      </w:r>
      <w:sdt>
        <w:sdtPr>
          <w:rPr>
            <w:color w:val="000000"/>
            <w:szCs w:val="22"/>
          </w:rPr>
          <w:tag w:val="MENDELEY_CITATION_v3_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"/>
          <w:id w:val="215249051"/>
          <w:placeholder>
            <w:docPart w:val="E11707C14A687C4394FB968AA7E5B24E"/>
          </w:placeholder>
        </w:sdtPr>
        <w:sdtContent>
          <w:r w:rsidR="005E4029" w:rsidRPr="005E4029">
            <w:rPr>
              <w:color w:val="000000"/>
              <w:szCs w:val="22"/>
            </w:rPr>
            <w:t>(</w:t>
          </w:r>
          <w:proofErr w:type="spellStart"/>
          <w:r w:rsidR="005E4029" w:rsidRPr="005E4029">
            <w:rPr>
              <w:color w:val="000000"/>
              <w:szCs w:val="22"/>
            </w:rPr>
            <w:t>Bègue</w:t>
          </w:r>
          <w:proofErr w:type="spellEnd"/>
          <w:r w:rsidR="005E4029" w:rsidRPr="005E4029">
            <w:rPr>
              <w:color w:val="000000"/>
              <w:szCs w:val="22"/>
            </w:rPr>
            <w:t xml:space="preserve"> et al., 2019)</w:t>
          </w:r>
        </w:sdtContent>
      </w:sdt>
      <w:r>
        <w:rPr>
          <w:szCs w:val="22"/>
        </w:rPr>
        <w:t>.</w:t>
      </w:r>
    </w:p>
    <w:p w14:paraId="5B8DD296" w14:textId="6E53BF8B" w:rsidR="00616AAE" w:rsidRPr="008C381F" w:rsidRDefault="00616AAE" w:rsidP="00D8378F">
      <w:pPr>
        <w:rPr>
          <w:szCs w:val="22"/>
        </w:rPr>
      </w:pPr>
      <w:r>
        <w:rPr>
          <w:szCs w:val="22"/>
        </w:rPr>
        <w:t>Disorders</w:t>
      </w:r>
      <w:r w:rsidRPr="008C381F">
        <w:rPr>
          <w:szCs w:val="22"/>
        </w:rPr>
        <w:t xml:space="preserve"> in cognitive-affective traits, such as emotion regulation, </w:t>
      </w:r>
      <w:r>
        <w:rPr>
          <w:szCs w:val="22"/>
        </w:rPr>
        <w:t>are</w:t>
      </w:r>
      <w:r w:rsidRPr="008C381F">
        <w:rPr>
          <w:szCs w:val="22"/>
        </w:rPr>
        <w:t xml:space="preserve"> </w:t>
      </w:r>
      <w:r>
        <w:rPr>
          <w:szCs w:val="22"/>
        </w:rPr>
        <w:t>recognised</w:t>
      </w:r>
      <w:r w:rsidRPr="008C381F">
        <w:rPr>
          <w:szCs w:val="22"/>
        </w:rPr>
        <w:t xml:space="preserve"> as </w:t>
      </w:r>
      <w:r>
        <w:rPr>
          <w:szCs w:val="22"/>
        </w:rPr>
        <w:t>prevalent features</w:t>
      </w:r>
      <w:r w:rsidRPr="008C381F">
        <w:rPr>
          <w:szCs w:val="22"/>
        </w:rPr>
        <w:t xml:space="preserve"> in </w:t>
      </w:r>
      <w:r>
        <w:rPr>
          <w:szCs w:val="22"/>
        </w:rPr>
        <w:t>FNSD</w:t>
      </w:r>
      <w:r w:rsidRPr="008C381F">
        <w:rPr>
          <w:szCs w:val="22"/>
        </w:rPr>
        <w:t xml:space="preserve"> patients</w:t>
      </w:r>
      <w:r>
        <w:rPr>
          <w:szCs w:val="22"/>
        </w:rPr>
        <w:t xml:space="preserve"> and are implicated in the pathology, health status and treatment of the disorder </w:t>
      </w:r>
      <w:sdt>
        <w:sdtPr>
          <w:rPr>
            <w:color w:val="000000"/>
            <w:szCs w:val="22"/>
          </w:rPr>
          <w:tag w:val="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
          <w:id w:val="-1206096452"/>
          <w:placeholder>
            <w:docPart w:val="E11707C14A687C4394FB968AA7E5B24E"/>
          </w:placeholder>
        </w:sdtPr>
        <w:sdtContent>
          <w:r w:rsidR="005E4029" w:rsidRPr="005E4029">
            <w:rPr>
              <w:color w:val="000000"/>
              <w:szCs w:val="22"/>
            </w:rPr>
            <w:t>(Demartini et al., 2014; Novakova et al., 2015; Pick et al., 2016, 2019; Ricciardi et al., 2016; Sojka et al., 2018; I. A. Williams, Levita, et al., 2018)</w:t>
          </w:r>
        </w:sdtContent>
      </w:sdt>
      <w:r>
        <w:rPr>
          <w:szCs w:val="22"/>
        </w:rPr>
        <w:t>. T</w:t>
      </w:r>
      <w:r w:rsidRPr="008C381F">
        <w:rPr>
          <w:szCs w:val="22"/>
        </w:rPr>
        <w:t xml:space="preserve">reatment approaches such as emotion-focused and acceptance-based therapies have shown promise in alleviating </w:t>
      </w:r>
      <w:r>
        <w:rPr>
          <w:szCs w:val="22"/>
        </w:rPr>
        <w:t>FNSD</w:t>
      </w:r>
      <w:r w:rsidRPr="008C381F">
        <w:rPr>
          <w:szCs w:val="22"/>
        </w:rPr>
        <w:t xml:space="preserve"> symptoms by improving emotion regulation skills </w:t>
      </w:r>
      <w:sdt>
        <w:sdtPr>
          <w:rPr>
            <w:szCs w:val="22"/>
          </w:rPr>
          <w:tag w:val="MENDELEY_CITATION_v3_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"/>
          <w:id w:val="-300233117"/>
          <w:placeholder>
            <w:docPart w:val="E11707C14A687C4394FB968AA7E5B24E"/>
          </w:placeholder>
        </w:sdtPr>
        <w:sdtContent>
          <w:r w:rsidR="005E4029">
            <w:rPr>
              <w:rFonts w:eastAsia="Times New Roman"/>
            </w:rPr>
            <w:t>(</w:t>
          </w:r>
          <w:proofErr w:type="spellStart"/>
          <w:r w:rsidR="005E4029">
            <w:rPr>
              <w:rFonts w:eastAsia="Times New Roman"/>
            </w:rPr>
            <w:t>Bajestan</w:t>
          </w:r>
          <w:proofErr w:type="spellEnd"/>
          <w:r w:rsidR="005E4029">
            <w:rPr>
              <w:rFonts w:eastAsia="Times New Roman"/>
            </w:rPr>
            <w:t xml:space="preserve"> &amp; W. Curt  LaFrance, 2016; Graham et al., 2017)</w:t>
          </w:r>
        </w:sdtContent>
      </w:sdt>
      <w:r w:rsidRPr="008C381F">
        <w:rPr>
          <w:szCs w:val="22"/>
        </w:rPr>
        <w:t xml:space="preserve">. </w:t>
      </w:r>
      <w:r>
        <w:rPr>
          <w:szCs w:val="22"/>
        </w:rPr>
        <w:t xml:space="preserve">As ongoing </w:t>
      </w:r>
      <w:r w:rsidRPr="008C381F">
        <w:rPr>
          <w:szCs w:val="22"/>
        </w:rPr>
        <w:t>research</w:t>
      </w:r>
      <w:r>
        <w:rPr>
          <w:szCs w:val="22"/>
        </w:rPr>
        <w:t xml:space="preserve"> elucidates</w:t>
      </w:r>
      <w:r w:rsidRPr="008C381F">
        <w:rPr>
          <w:szCs w:val="22"/>
        </w:rPr>
        <w:t xml:space="preserve"> the complex relationship between cognitive-affective traits and </w:t>
      </w:r>
      <w:r>
        <w:rPr>
          <w:szCs w:val="22"/>
        </w:rPr>
        <w:t>FNSD, using these affected traits to investigate outcomes in this patient group appears</w:t>
      </w:r>
      <w:r w:rsidRPr="008C381F">
        <w:rPr>
          <w:szCs w:val="22"/>
        </w:rPr>
        <w:t xml:space="preserve"> promising. </w:t>
      </w:r>
    </w:p>
    <w:p w14:paraId="6AD4A2C0" w14:textId="77777777" w:rsidR="00616AAE" w:rsidRPr="008C381F" w:rsidRDefault="00616AAE" w:rsidP="0097310E">
      <w:pPr>
        <w:spacing w:after="240"/>
        <w:rPr>
          <w:szCs w:val="22"/>
        </w:rPr>
      </w:pPr>
      <w:r w:rsidRPr="008C381F">
        <w:rPr>
          <w:szCs w:val="22"/>
        </w:rPr>
        <w:t>The present work incorporates two</w:t>
      </w:r>
      <w:r>
        <w:rPr>
          <w:szCs w:val="22"/>
        </w:rPr>
        <w:t xml:space="preserve"> affected areas </w:t>
      </w:r>
      <w:r w:rsidRPr="008C381F">
        <w:rPr>
          <w:szCs w:val="22"/>
        </w:rPr>
        <w:t xml:space="preserve">of emotion dysregulation - </w:t>
      </w:r>
      <w:r>
        <w:rPr>
          <w:szCs w:val="22"/>
        </w:rPr>
        <w:t>attention</w:t>
      </w:r>
      <w:r w:rsidRPr="008C381F">
        <w:rPr>
          <w:szCs w:val="22"/>
        </w:rPr>
        <w:t xml:space="preserve"> and</w:t>
      </w:r>
      <w:r>
        <w:rPr>
          <w:szCs w:val="22"/>
        </w:rPr>
        <w:t xml:space="preserve"> decision-making - </w:t>
      </w:r>
      <w:r w:rsidRPr="008C381F">
        <w:rPr>
          <w:szCs w:val="22"/>
        </w:rPr>
        <w:t xml:space="preserve">to assess outcome measurement in </w:t>
      </w:r>
      <w:r>
        <w:rPr>
          <w:szCs w:val="22"/>
        </w:rPr>
        <w:t>FNSD.</w:t>
      </w:r>
    </w:p>
    <w:p w14:paraId="7A748CEB" w14:textId="77777777" w:rsidR="00616AAE" w:rsidRDefault="00616AAE" w:rsidP="00177061">
      <w:pPr>
        <w:pStyle w:val="Heading3"/>
      </w:pPr>
      <w:bookmarkStart w:id="24" w:name="_Toc137504670"/>
      <w:r>
        <w:t>1.4.4 Research objective</w:t>
      </w:r>
      <w:bookmarkEnd w:id="24"/>
    </w:p>
    <w:p w14:paraId="644F063C" w14:textId="77777777" w:rsidR="00616AAE" w:rsidRPr="00586135" w:rsidRDefault="00616AAE" w:rsidP="006A7AB5">
      <w:pPr>
        <w:spacing w:after="240"/>
        <w:rPr>
          <w:szCs w:val="22"/>
        </w:rPr>
      </w:pPr>
      <w:r>
        <w:rPr>
          <w:szCs w:val="22"/>
        </w:rPr>
        <w:t xml:space="preserve">Subjective experience, healthcare utilisation, affective cognition are important aspects of FNSD phenomenology that are measurable (e.g., can be compared to general population control), can </w:t>
      </w:r>
      <w:r w:rsidRPr="002D3945">
        <w:rPr>
          <w:szCs w:val="22"/>
        </w:rPr>
        <w:t>change over time</w:t>
      </w:r>
      <w:r>
        <w:rPr>
          <w:szCs w:val="22"/>
        </w:rPr>
        <w:t>, e.g., in response to therapeutic intervention and can act potentially act as indicators of current state, treatment efficacy or HRQOL. As such, this research aims</w:t>
      </w:r>
      <w:r w:rsidRPr="00586135">
        <w:rPr>
          <w:szCs w:val="22"/>
        </w:rPr>
        <w:t xml:space="preserve"> to investigate the utility of</w:t>
      </w:r>
      <w:r>
        <w:rPr>
          <w:szCs w:val="22"/>
        </w:rPr>
        <w:t xml:space="preserve"> these </w:t>
      </w:r>
      <w:r w:rsidRPr="00586135">
        <w:rPr>
          <w:szCs w:val="22"/>
        </w:rPr>
        <w:t xml:space="preserve">outcome measurement approaches in </w:t>
      </w:r>
      <w:r>
        <w:rPr>
          <w:szCs w:val="22"/>
        </w:rPr>
        <w:t>FNSD</w:t>
      </w:r>
      <w:r w:rsidRPr="00586135">
        <w:rPr>
          <w:szCs w:val="22"/>
        </w:rPr>
        <w:t xml:space="preserve"> patients to provide valuable insights into treatment efficacy, current state or changes in health status. Additionally, this work aim</w:t>
      </w:r>
      <w:r>
        <w:rPr>
          <w:szCs w:val="22"/>
        </w:rPr>
        <w:t>s</w:t>
      </w:r>
      <w:r w:rsidRPr="00586135">
        <w:rPr>
          <w:szCs w:val="22"/>
        </w:rPr>
        <w:t xml:space="preserve"> to contribute to </w:t>
      </w:r>
      <w:r>
        <w:rPr>
          <w:szCs w:val="22"/>
        </w:rPr>
        <w:t>refining</w:t>
      </w:r>
      <w:r w:rsidRPr="00586135">
        <w:rPr>
          <w:szCs w:val="22"/>
        </w:rPr>
        <w:t xml:space="preserve"> and </w:t>
      </w:r>
      <w:r>
        <w:rPr>
          <w:szCs w:val="22"/>
        </w:rPr>
        <w:t>optimising</w:t>
      </w:r>
      <w:r w:rsidRPr="00586135">
        <w:rPr>
          <w:szCs w:val="22"/>
        </w:rPr>
        <w:t xml:space="preserve"> these measures for clinical and research purposes and propose informed recommendations for </w:t>
      </w:r>
      <w:r>
        <w:rPr>
          <w:szCs w:val="22"/>
        </w:rPr>
        <w:t>effectively implementing</w:t>
      </w:r>
      <w:r w:rsidRPr="00586135">
        <w:rPr>
          <w:szCs w:val="22"/>
        </w:rPr>
        <w:t xml:space="preserve"> these and other measures in </w:t>
      </w:r>
      <w:r>
        <w:rPr>
          <w:szCs w:val="22"/>
        </w:rPr>
        <w:t>assessing</w:t>
      </w:r>
      <w:r w:rsidRPr="00586135">
        <w:rPr>
          <w:szCs w:val="22"/>
        </w:rPr>
        <w:t xml:space="preserve"> </w:t>
      </w:r>
      <w:r>
        <w:rPr>
          <w:szCs w:val="22"/>
        </w:rPr>
        <w:t>FNSD</w:t>
      </w:r>
      <w:r w:rsidRPr="00586135">
        <w:rPr>
          <w:szCs w:val="22"/>
        </w:rPr>
        <w:t xml:space="preserve"> patient outcomes.</w:t>
      </w:r>
    </w:p>
    <w:p w14:paraId="46AF172B" w14:textId="77777777" w:rsidR="00616AAE" w:rsidRPr="00683923" w:rsidRDefault="00616AAE" w:rsidP="00177061">
      <w:pPr>
        <w:pStyle w:val="Heading3"/>
      </w:pPr>
      <w:bookmarkStart w:id="25" w:name="_Toc137504671"/>
      <w:r>
        <w:lastRenderedPageBreak/>
        <w:t xml:space="preserve">1.4.5 </w:t>
      </w:r>
      <w:r w:rsidRPr="00683923">
        <w:t>Research Question</w:t>
      </w:r>
      <w:r>
        <w:t>s</w:t>
      </w:r>
      <w:bookmarkEnd w:id="25"/>
    </w:p>
    <w:p w14:paraId="4618B1A0" w14:textId="77777777" w:rsidR="00616AAE" w:rsidRPr="009530CB" w:rsidRDefault="00616AAE" w:rsidP="00177061">
      <w:pPr>
        <w:rPr>
          <w:szCs w:val="22"/>
        </w:rPr>
      </w:pPr>
      <w:r w:rsidRPr="009530CB">
        <w:rPr>
          <w:szCs w:val="22"/>
        </w:rPr>
        <w:t>To meet these objectives, the</w:t>
      </w:r>
      <w:r>
        <w:rPr>
          <w:szCs w:val="22"/>
        </w:rPr>
        <w:t xml:space="preserve"> overarching</w:t>
      </w:r>
      <w:r w:rsidRPr="009530CB">
        <w:rPr>
          <w:szCs w:val="22"/>
        </w:rPr>
        <w:t xml:space="preserve"> research questions to be addressed by this work are:</w:t>
      </w:r>
    </w:p>
    <w:p w14:paraId="3EDC5571" w14:textId="77777777" w:rsidR="00616AAE" w:rsidRDefault="00616AAE" w:rsidP="00616AAE">
      <w:pPr>
        <w:pStyle w:val="ListParagraph"/>
        <w:numPr>
          <w:ilvl w:val="0"/>
          <w:numId w:val="18"/>
        </w:numPr>
      </w:pPr>
      <w:r w:rsidRPr="00371D62">
        <w:t xml:space="preserve">Can </w:t>
      </w:r>
      <w:r>
        <w:t>healthcare utilisation patterns</w:t>
      </w:r>
      <w:r w:rsidRPr="00371D62">
        <w:t xml:space="preserve"> be used to determine </w:t>
      </w:r>
      <w:r>
        <w:t xml:space="preserve">assess </w:t>
      </w:r>
      <w:r w:rsidRPr="00371D62">
        <w:t xml:space="preserve">health state, treatment effectiveness or treatment-related change in patients with </w:t>
      </w:r>
      <w:r>
        <w:t>FNSD</w:t>
      </w:r>
      <w:r w:rsidRPr="00371D62">
        <w:t>?</w:t>
      </w:r>
    </w:p>
    <w:p w14:paraId="56424EA9" w14:textId="77777777" w:rsidR="00616AAE" w:rsidRDefault="00616AAE" w:rsidP="00616AAE">
      <w:pPr>
        <w:pStyle w:val="ListParagraph"/>
        <w:numPr>
          <w:ilvl w:val="0"/>
          <w:numId w:val="18"/>
        </w:numPr>
      </w:pPr>
      <w:r w:rsidRPr="00371D62">
        <w:t>Can a</w:t>
      </w:r>
      <w:r>
        <w:t xml:space="preserve"> novel disorder-specific</w:t>
      </w:r>
      <w:r w:rsidRPr="00371D62">
        <w:t xml:space="preserve"> patient self-report measure yield </w:t>
      </w:r>
      <w:r>
        <w:t xml:space="preserve">accurate and </w:t>
      </w:r>
      <w:r w:rsidRPr="00371D62">
        <w:t xml:space="preserve">clinically meaningful information regarding health state, treatment effectiveness or treatment-related change in patients with </w:t>
      </w:r>
      <w:r>
        <w:t>FNSD</w:t>
      </w:r>
      <w:r w:rsidRPr="00371D62">
        <w:t>?</w:t>
      </w:r>
      <w:r>
        <w:t xml:space="preserve"> </w:t>
      </w:r>
    </w:p>
    <w:p w14:paraId="7473AABD" w14:textId="77777777" w:rsidR="00616AAE" w:rsidRDefault="00616AAE" w:rsidP="00616AAE">
      <w:pPr>
        <w:pStyle w:val="ListParagraph"/>
        <w:numPr>
          <w:ilvl w:val="0"/>
          <w:numId w:val="18"/>
        </w:numPr>
      </w:pPr>
      <w:r w:rsidRPr="00371D62">
        <w:t>Can cognitive</w:t>
      </w:r>
      <w:r>
        <w:t>,</w:t>
      </w:r>
      <w:r w:rsidRPr="00371D62">
        <w:t xml:space="preserve"> affective traits such as emotion dysregulation </w:t>
      </w:r>
      <w:r>
        <w:t>be</w:t>
      </w:r>
      <w:r w:rsidRPr="00371D62">
        <w:t xml:space="preserve"> an accurate </w:t>
      </w:r>
      <w:r>
        <w:t>predictor/indicator</w:t>
      </w:r>
      <w:r w:rsidRPr="00371D62">
        <w:t xml:space="preserve"> of </w:t>
      </w:r>
      <w:r>
        <w:t>current health state,</w:t>
      </w:r>
      <w:r w:rsidRPr="00371D62">
        <w:t xml:space="preserve"> treatment effectiveness or treatment-related change in patients with </w:t>
      </w:r>
      <w:r>
        <w:t>FNSD</w:t>
      </w:r>
      <w:r w:rsidRPr="00371D62">
        <w:t>?</w:t>
      </w:r>
    </w:p>
    <w:p w14:paraId="32D0741A" w14:textId="77777777" w:rsidR="00616AAE" w:rsidRDefault="00616AAE" w:rsidP="00616AAE">
      <w:pPr>
        <w:pStyle w:val="ListParagraph"/>
        <w:numPr>
          <w:ilvl w:val="0"/>
          <w:numId w:val="18"/>
        </w:numPr>
      </w:pPr>
      <w:r w:rsidRPr="00371D62">
        <w:t xml:space="preserve">How can the responsiveness and sensitivity of outcome measures be </w:t>
      </w:r>
      <w:r>
        <w:t>maximised</w:t>
      </w:r>
      <w:r w:rsidRPr="00371D62">
        <w:t xml:space="preserve"> </w:t>
      </w:r>
      <w:r>
        <w:t>to capture clinically meaningful changes in FNSD patients accurately</w:t>
      </w:r>
      <w:r w:rsidRPr="00371D62">
        <w:t>?</w:t>
      </w:r>
    </w:p>
    <w:p w14:paraId="1A25A94F" w14:textId="7928F1C8" w:rsidR="00616AAE" w:rsidRDefault="00616AAE" w:rsidP="00616AAE">
      <w:pPr>
        <w:pStyle w:val="ListParagraph"/>
        <w:numPr>
          <w:ilvl w:val="0"/>
          <w:numId w:val="18"/>
        </w:numPr>
      </w:pPr>
      <w:r w:rsidRPr="00371D62">
        <w:t>Can objective measures complement subjective assessments and enhance the accuracy and reliability of outcome measure</w:t>
      </w:r>
      <w:r>
        <w:t>ment</w:t>
      </w:r>
      <w:r w:rsidRPr="00371D62">
        <w:t xml:space="preserve"> in </w:t>
      </w:r>
      <w:r>
        <w:t>FNSD</w:t>
      </w:r>
      <w:r w:rsidRPr="00371D62">
        <w:t>?</w:t>
      </w:r>
    </w:p>
    <w:p w14:paraId="29A79F75" w14:textId="77777777" w:rsidR="00616AAE" w:rsidRPr="00371D62" w:rsidRDefault="00616AAE" w:rsidP="00616AAE"/>
    <w:p w14:paraId="31DD00C9" w14:textId="45F8A720" w:rsidR="00616AAE" w:rsidRDefault="00616AAE" w:rsidP="0014037C">
      <w:pPr>
        <w:pStyle w:val="Heading2"/>
      </w:pPr>
      <w:bookmarkStart w:id="26" w:name="_Toc137504672"/>
      <w:r>
        <w:t>1.</w:t>
      </w:r>
      <w:r w:rsidR="0014037C">
        <w:t>5</w:t>
      </w:r>
      <w:r>
        <w:t xml:space="preserve"> Thesis</w:t>
      </w:r>
      <w:bookmarkEnd w:id="26"/>
    </w:p>
    <w:p w14:paraId="0673E4A2" w14:textId="2916333A" w:rsidR="00616AAE" w:rsidRPr="00D162E4" w:rsidRDefault="00616AAE" w:rsidP="00683923">
      <w:pPr>
        <w:pStyle w:val="Heading3"/>
      </w:pPr>
      <w:bookmarkStart w:id="27" w:name="_Toc137504673"/>
      <w:r>
        <w:t>1.</w:t>
      </w:r>
      <w:r w:rsidR="0014037C">
        <w:t>5</w:t>
      </w:r>
      <w:r>
        <w:t>.1 Thesis Aim</w:t>
      </w:r>
      <w:bookmarkEnd w:id="27"/>
      <w:r w:rsidRPr="00D162E4">
        <w:t xml:space="preserve"> </w:t>
      </w:r>
    </w:p>
    <w:p w14:paraId="2716C483" w14:textId="77777777" w:rsidR="00616AAE" w:rsidRPr="002D3945" w:rsidRDefault="00616AAE" w:rsidP="00FF3AB7">
      <w:pPr>
        <w:rPr>
          <w:szCs w:val="22"/>
        </w:rPr>
      </w:pPr>
      <w:r w:rsidRPr="002D3945">
        <w:rPr>
          <w:szCs w:val="22"/>
        </w:rPr>
        <w:t xml:space="preserve">This thesis aims to </w:t>
      </w:r>
      <w:r>
        <w:rPr>
          <w:szCs w:val="22"/>
        </w:rPr>
        <w:t>add to</w:t>
      </w:r>
      <w:r w:rsidRPr="002D3945">
        <w:rPr>
          <w:szCs w:val="22"/>
        </w:rPr>
        <w:t xml:space="preserve"> the knowledge of </w:t>
      </w:r>
      <w:r>
        <w:rPr>
          <w:szCs w:val="22"/>
        </w:rPr>
        <w:t>o</w:t>
      </w:r>
      <w:r w:rsidRPr="002D3945">
        <w:rPr>
          <w:szCs w:val="22"/>
        </w:rPr>
        <w:t>utcome</w:t>
      </w:r>
      <w:r>
        <w:rPr>
          <w:szCs w:val="22"/>
        </w:rPr>
        <w:t xml:space="preserve"> measures</w:t>
      </w:r>
      <w:r w:rsidRPr="002D3945">
        <w:rPr>
          <w:szCs w:val="22"/>
        </w:rPr>
        <w:t xml:space="preserve"> in Functional Neurological </w:t>
      </w:r>
      <w:r>
        <w:rPr>
          <w:szCs w:val="22"/>
        </w:rPr>
        <w:t xml:space="preserve">Symptom </w:t>
      </w:r>
      <w:r w:rsidRPr="002D3945">
        <w:rPr>
          <w:szCs w:val="22"/>
        </w:rPr>
        <w:t xml:space="preserve">Disorders </w:t>
      </w:r>
      <w:r>
        <w:rPr>
          <w:szCs w:val="22"/>
        </w:rPr>
        <w:t xml:space="preserve">by </w:t>
      </w:r>
      <w:r w:rsidRPr="002D3945">
        <w:rPr>
          <w:szCs w:val="22"/>
        </w:rPr>
        <w:t>describ</w:t>
      </w:r>
      <w:r>
        <w:rPr>
          <w:szCs w:val="22"/>
        </w:rPr>
        <w:t>ing</w:t>
      </w:r>
      <w:r w:rsidRPr="002D3945">
        <w:rPr>
          <w:szCs w:val="22"/>
        </w:rPr>
        <w:t xml:space="preserve"> research projects investigating</w:t>
      </w:r>
      <w:r>
        <w:rPr>
          <w:szCs w:val="22"/>
        </w:rPr>
        <w:t xml:space="preserve"> </w:t>
      </w:r>
      <w:r w:rsidRPr="002D3945">
        <w:rPr>
          <w:szCs w:val="22"/>
        </w:rPr>
        <w:t xml:space="preserve">self-report, social behavioural, and cognitive behavioural approaches to outcome measurement in </w:t>
      </w:r>
      <w:r>
        <w:rPr>
          <w:szCs w:val="22"/>
        </w:rPr>
        <w:t>FNSD</w:t>
      </w:r>
      <w:r w:rsidRPr="002D3945">
        <w:rPr>
          <w:szCs w:val="22"/>
        </w:rPr>
        <w:t xml:space="preserve">. </w:t>
      </w:r>
      <w:r>
        <w:rPr>
          <w:szCs w:val="22"/>
        </w:rPr>
        <w:t>Additionally, this thesis will discuss what these approaches collectively inform about meaningful measurement in patients with FNSD and recommend further work in this field.</w:t>
      </w:r>
    </w:p>
    <w:p w14:paraId="2F7DAF21" w14:textId="77777777" w:rsidR="00616AAE" w:rsidRPr="003100A1" w:rsidRDefault="00616AAE" w:rsidP="003100A1">
      <w:pPr>
        <w:rPr>
          <w:szCs w:val="22"/>
        </w:rPr>
      </w:pPr>
    </w:p>
    <w:p w14:paraId="7564430B" w14:textId="77777777" w:rsidR="00FD624B" w:rsidRPr="002758B0" w:rsidRDefault="00FD624B" w:rsidP="004859C4"/>
    <w:p w14:paraId="3FE814E8" w14:textId="77777777" w:rsidR="00A72181" w:rsidRPr="001A77A9" w:rsidRDefault="00A72181" w:rsidP="00997566"/>
    <w:p w14:paraId="3DB394F0" w14:textId="2D6580DF" w:rsidR="0060408E" w:rsidRPr="0060408E" w:rsidRDefault="004B04C3" w:rsidP="0060408E">
      <w:pPr>
        <w:pStyle w:val="Heading1"/>
      </w:pPr>
      <w:bookmarkStart w:id="28" w:name="_Toc137504674"/>
      <w:r w:rsidRPr="004B04C3">
        <w:lastRenderedPageBreak/>
        <w:t>2.0 Subjective versus Objective measures of distress, arousal and symptom burden in patients with Functional seizures and other manifestations of Functional Neurological Symptom Disorder: A Systematic Review.</w:t>
      </w:r>
      <w:bookmarkEnd w:id="28"/>
    </w:p>
    <w:p w14:paraId="1546D6A7" w14:textId="17BA4DCE" w:rsidR="0060408E" w:rsidRPr="0060408E" w:rsidRDefault="0060408E" w:rsidP="0060408E">
      <w:pPr>
        <w:pStyle w:val="Heading2"/>
      </w:pPr>
      <w:bookmarkStart w:id="29" w:name="_tyjcwt" w:colFirst="0" w:colLast="0"/>
      <w:bookmarkStart w:id="30" w:name="_Toc137504675"/>
      <w:bookmarkEnd w:id="29"/>
      <w:r>
        <w:t>2.</w:t>
      </w:r>
      <w:r w:rsidRPr="0060408E">
        <w:t>1 Introduction</w:t>
      </w:r>
      <w:bookmarkStart w:id="31" w:name="_3dy6vkm" w:colFirst="0" w:colLast="0"/>
      <w:bookmarkEnd w:id="30"/>
      <w:bookmarkEnd w:id="31"/>
    </w:p>
    <w:p w14:paraId="59A58F38" w14:textId="20CB4641" w:rsidR="0060408E" w:rsidRPr="00553001" w:rsidRDefault="0060408E" w:rsidP="00DB19B8">
      <w:pPr>
        <w:rPr>
          <w:rFonts w:eastAsia="Arial"/>
        </w:rPr>
      </w:pPr>
      <w:r w:rsidRPr="00553001">
        <w:rPr>
          <w:rFonts w:eastAsia="Arial"/>
        </w:rPr>
        <w:t xml:space="preserve">Functional </w:t>
      </w:r>
      <w:r>
        <w:rPr>
          <w:rFonts w:eastAsia="Arial"/>
        </w:rPr>
        <w:t>N</w:t>
      </w:r>
      <w:r w:rsidRPr="00553001">
        <w:rPr>
          <w:rFonts w:eastAsia="Arial"/>
        </w:rPr>
        <w:t>eurological Symptom disorder (</w:t>
      </w:r>
      <w:r>
        <w:rPr>
          <w:rFonts w:eastAsia="Arial"/>
        </w:rPr>
        <w:t>FNSD</w:t>
      </w:r>
      <w:r w:rsidRPr="00553001">
        <w:rPr>
          <w:rFonts w:eastAsia="Arial"/>
        </w:rPr>
        <w:t>) is defined by the presence of distressing neurological symptoms that are not explained by identifiable neurological pathology</w:t>
      </w:r>
      <w:r>
        <w:rPr>
          <w:rFonts w:eastAsia="Arial"/>
        </w:rPr>
        <w:t xml:space="preserve"> </w:t>
      </w:r>
      <w:sdt>
        <w:sdtPr>
          <w:rPr>
            <w:rFonts w:eastAsia="Arial"/>
            <w:color w:val="000000"/>
          </w:rPr>
          <w:tag w:val="MENDELEY_CITATION_v3_eyJjaXRhdGlvbklEIjoiTUVOREVMRVlfQ0lUQVRJT05fZDQ1NGVlYmUtYjlmMi00ZGU4LWJjMTctNDI1NzRmODIzODQ4IiwicHJvcGVydGllcyI6eyJub3RlSW5kZXgiOjB9LCJpc0VkaXRlZCI6ZmFsc2UsIm1hbnVhbE92ZXJyaWRlIjp7ImlzTWFudWFsbHlPdmVycmlkZGVuIjpmYWxzZSwiY2l0ZXByb2NUZXh0IjoiKEFtZXJpY2FuIFBzeWNoaWF0cmljIEFzc29jaWF0aW9uLCAyMDEzKSIsIm1hbnVhbE92ZXJyaWRlVGV4dCI6IiJ9LCJjaXRhdGlvbkl0ZW1zIjpb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
          <w:id w:val="482902159"/>
          <w:placeholder>
            <w:docPart w:val="3BBE6AC8ADF92943B7103F1B75274D1A"/>
          </w:placeholder>
        </w:sdtPr>
        <w:sdtContent>
          <w:r w:rsidR="005E4029" w:rsidRPr="005E4029">
            <w:rPr>
              <w:rFonts w:eastAsia="Arial"/>
              <w:color w:val="000000"/>
            </w:rPr>
            <w:t>(American Psychiatric Association, 2013)</w:t>
          </w:r>
        </w:sdtContent>
      </w:sdt>
      <w:r w:rsidRPr="00553001">
        <w:rPr>
          <w:rFonts w:eastAsia="Arial"/>
        </w:rPr>
        <w:t>.</w:t>
      </w:r>
      <w:r>
        <w:rPr>
          <w:rFonts w:eastAsia="Arial"/>
        </w:rPr>
        <w:t xml:space="preserve"> </w:t>
      </w:r>
      <w:r w:rsidRPr="00553001">
        <w:rPr>
          <w:rFonts w:eastAsia="Arial"/>
        </w:rPr>
        <w:t xml:space="preserve">The process of diagnosing </w:t>
      </w:r>
      <w:r>
        <w:rPr>
          <w:rFonts w:eastAsia="Arial"/>
        </w:rPr>
        <w:t>FNSD</w:t>
      </w:r>
      <w:r w:rsidRPr="00553001">
        <w:rPr>
          <w:rFonts w:eastAsia="Arial"/>
        </w:rPr>
        <w:t xml:space="preserve"> is not limited to the exclusion of other neurological </w:t>
      </w:r>
      <w:r>
        <w:rPr>
          <w:rFonts w:eastAsia="Arial"/>
        </w:rPr>
        <w:t>diseases. Still, it involves</w:t>
      </w:r>
      <w:r w:rsidRPr="00553001">
        <w:rPr>
          <w:rFonts w:eastAsia="Arial"/>
        </w:rPr>
        <w:t xml:space="preserve"> the identification of typical manifestations of </w:t>
      </w:r>
      <w:r>
        <w:rPr>
          <w:rFonts w:eastAsia="Arial"/>
        </w:rPr>
        <w:t>FNSD,</w:t>
      </w:r>
      <w:r w:rsidRPr="00553001">
        <w:rPr>
          <w:rFonts w:eastAsia="Arial"/>
        </w:rPr>
        <w:t xml:space="preserve"> suggesting that </w:t>
      </w:r>
      <w:r>
        <w:rPr>
          <w:rFonts w:eastAsia="Arial"/>
        </w:rPr>
        <w:t>FNSD</w:t>
      </w:r>
      <w:r w:rsidRPr="00553001">
        <w:rPr>
          <w:rFonts w:eastAsia="Arial"/>
        </w:rPr>
        <w:t xml:space="preserve"> is a condition caused by abnormalities in brain networks underpinning attentional, perceptual and associative functions</w:t>
      </w:r>
      <w:r>
        <w:rPr>
          <w:rFonts w:eastAsia="Arial"/>
        </w:rPr>
        <w:t xml:space="preserve"> </w:t>
      </w:r>
      <w:sdt>
        <w:sdtPr>
          <w:rPr>
            <w:rFonts w:eastAsia="Arial"/>
            <w:color w:val="000000"/>
          </w:rPr>
          <w:tag w:val="MENDELEY_CITATION_v3_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
          <w:id w:val="-1362196750"/>
          <w:placeholder>
            <w:docPart w:val="3BBE6AC8ADF92943B7103F1B75274D1A"/>
          </w:placeholder>
        </w:sdtPr>
        <w:sdtContent>
          <w:r w:rsidR="005E4029" w:rsidRPr="005E4029">
            <w:rPr>
              <w:rFonts w:eastAsia="Arial"/>
              <w:color w:val="000000"/>
            </w:rPr>
            <w:t>(American Psychiatric Association, 2013; Kanaan et al., 2010; Stone et al., 2010, 2011)</w:t>
          </w:r>
        </w:sdtContent>
      </w:sdt>
      <w:r>
        <w:rPr>
          <w:rFonts w:eastAsia="Arial"/>
        </w:rPr>
        <w:t>. Different forms of FNSD are b</w:t>
      </w:r>
      <w:r w:rsidRPr="00553001">
        <w:rPr>
          <w:rFonts w:eastAsia="Arial"/>
        </w:rPr>
        <w:t xml:space="preserve">ased on the predominant neurological symptom, including but not limited to </w:t>
      </w:r>
      <w:r>
        <w:rPr>
          <w:rFonts w:eastAsia="Arial"/>
        </w:rPr>
        <w:t>Functional</w:t>
      </w:r>
      <w:r w:rsidRPr="00553001">
        <w:rPr>
          <w:rFonts w:eastAsia="Arial"/>
        </w:rPr>
        <w:t xml:space="preserve"> Seizures (</w:t>
      </w:r>
      <w:r>
        <w:rPr>
          <w:rFonts w:eastAsia="Arial"/>
        </w:rPr>
        <w:t>F.S.</w:t>
      </w:r>
      <w:r w:rsidRPr="00553001">
        <w:rPr>
          <w:rFonts w:eastAsia="Arial"/>
        </w:rPr>
        <w:t xml:space="preserve">), Functional Movement Disorder (FMD) and Functional Cognitive Disorder (FCD). </w:t>
      </w:r>
    </w:p>
    <w:p w14:paraId="3F744D48" w14:textId="73D92026" w:rsidR="0060408E" w:rsidRDefault="0060408E" w:rsidP="00DB19B8">
      <w:pPr>
        <w:spacing w:after="200"/>
        <w:rPr>
          <w:rFonts w:eastAsia="Arial"/>
        </w:rPr>
      </w:pPr>
      <w:r>
        <w:rPr>
          <w:rFonts w:eastAsia="Arial"/>
        </w:rPr>
        <w:t>FNSD</w:t>
      </w:r>
      <w:r w:rsidRPr="00553001">
        <w:rPr>
          <w:rFonts w:eastAsia="Arial"/>
        </w:rPr>
        <w:t xml:space="preserve"> is the second most common diagnosis made in neurology outpatient clinics accounting for 11% of neurological outpatient attendances or 9% of neurological hospital admissions</w:t>
      </w:r>
      <w:r>
        <w:rPr>
          <w:rFonts w:eastAsia="Arial"/>
        </w:rPr>
        <w:t>,</w:t>
      </w:r>
      <w:r w:rsidRPr="00553001">
        <w:rPr>
          <w:rFonts w:eastAsia="Arial"/>
        </w:rPr>
        <w:t xml:space="preserve"> and </w:t>
      </w:r>
      <w:r>
        <w:rPr>
          <w:rFonts w:eastAsia="Arial"/>
        </w:rPr>
        <w:t>causes</w:t>
      </w:r>
      <w:r w:rsidRPr="00553001">
        <w:rPr>
          <w:rFonts w:eastAsia="Arial"/>
        </w:rPr>
        <w:t xml:space="preserve"> levels of disability similar to those found in neurological diseases such as epilepsy or multiple sclerosis</w:t>
      </w:r>
      <w:r>
        <w:rPr>
          <w:rFonts w:eastAsia="Arial"/>
        </w:rPr>
        <w:t xml:space="preserve"> </w:t>
      </w:r>
      <w:sdt>
        <w:sdtPr>
          <w:rPr>
            <w:rFonts w:eastAsia="Arial"/>
            <w:color w:val="000000"/>
          </w:rPr>
          <w:tag w:val="MENDELEY_CITATION_v3_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"/>
          <w:id w:val="1961062648"/>
          <w:placeholder>
            <w:docPart w:val="3BBE6AC8ADF92943B7103F1B75274D1A"/>
          </w:placeholder>
        </w:sdtPr>
        <w:sdtContent>
          <w:r w:rsidR="005E4029" w:rsidRPr="005E4029">
            <w:rPr>
              <w:rFonts w:eastAsia="Arial"/>
              <w:color w:val="000000"/>
            </w:rPr>
            <w:t>(Stone et al., 2010)</w:t>
          </w:r>
        </w:sdtContent>
      </w:sdt>
      <w:r w:rsidRPr="00553001">
        <w:rPr>
          <w:rFonts w:eastAsia="Arial"/>
        </w:rPr>
        <w:t>.</w:t>
      </w:r>
      <w:r>
        <w:rPr>
          <w:rFonts w:eastAsia="Arial"/>
        </w:rPr>
        <w:t xml:space="preserve"> FNSD</w:t>
      </w:r>
      <w:r w:rsidRPr="00827909">
        <w:rPr>
          <w:rFonts w:eastAsia="Arial"/>
        </w:rPr>
        <w:t xml:space="preserve"> most commonly presents to neurologists as </w:t>
      </w:r>
      <w:r>
        <w:rPr>
          <w:rFonts w:eastAsia="Arial"/>
        </w:rPr>
        <w:t>F.S., and this</w:t>
      </w:r>
      <w:r w:rsidRPr="00827909">
        <w:rPr>
          <w:rFonts w:eastAsia="Arial"/>
        </w:rPr>
        <w:t xml:space="preserve"> </w:t>
      </w:r>
      <w:r>
        <w:rPr>
          <w:rFonts w:eastAsia="Arial"/>
        </w:rPr>
        <w:t>often results</w:t>
      </w:r>
      <w:r w:rsidRPr="00827909">
        <w:rPr>
          <w:rFonts w:eastAsia="Arial"/>
        </w:rPr>
        <w:t xml:space="preserve"> in severe and/or chronic symptoms with considerable impact on </w:t>
      </w:r>
      <w:r>
        <w:rPr>
          <w:rFonts w:eastAsia="Arial"/>
        </w:rPr>
        <w:t>patients'</w:t>
      </w:r>
      <w:r w:rsidRPr="00827909">
        <w:rPr>
          <w:rFonts w:eastAsia="Arial"/>
        </w:rPr>
        <w:t xml:space="preserve"> social/occupational functioning, mental health and physical health, in addition to the significant healthcare and societal costs</w:t>
      </w:r>
      <w:r>
        <w:rPr>
          <w:rFonts w:eastAsia="Arial"/>
        </w:rPr>
        <w:t xml:space="preserve"> </w:t>
      </w:r>
      <w:sdt>
        <w:sdtPr>
          <w:rPr>
            <w:rFonts w:eastAsia="Arial"/>
            <w:color w:val="000000"/>
          </w:rPr>
          <w:tag w:val="MENDELEY_CITATION_v3_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"/>
          <w:id w:val="-813098115"/>
          <w:placeholder>
            <w:docPart w:val="3BBE6AC8ADF92943B7103F1B75274D1A"/>
          </w:placeholder>
        </w:sdtPr>
        <w:sdtContent>
          <w:r w:rsidR="005E4029" w:rsidRPr="005E4029">
            <w:rPr>
              <w:rFonts w:eastAsia="Arial"/>
              <w:color w:val="000000"/>
            </w:rPr>
            <w:t xml:space="preserve">(A. J. Carson et al., 2012a; Reuber, </w:t>
          </w:r>
          <w:proofErr w:type="spellStart"/>
          <w:r w:rsidR="005E4029" w:rsidRPr="005E4029">
            <w:rPr>
              <w:rFonts w:eastAsia="Arial"/>
              <w:color w:val="000000"/>
            </w:rPr>
            <w:t>Pukrop</w:t>
          </w:r>
          <w:proofErr w:type="spellEnd"/>
          <w:r w:rsidR="005E4029" w:rsidRPr="005E4029">
            <w:rPr>
              <w:rFonts w:eastAsia="Arial"/>
              <w:color w:val="000000"/>
            </w:rPr>
            <w:t>, Bauer, et al., 2003)</w:t>
          </w:r>
        </w:sdtContent>
      </w:sdt>
      <w:r w:rsidRPr="00827909">
        <w:rPr>
          <w:rFonts w:eastAsia="Arial"/>
        </w:rPr>
        <w:t xml:space="preserve">. </w:t>
      </w:r>
      <w:bookmarkStart w:id="32" w:name="_1t3h5sf" w:colFirst="0" w:colLast="0"/>
      <w:bookmarkEnd w:id="32"/>
    </w:p>
    <w:p w14:paraId="6BC5993F" w14:textId="3E1F3610" w:rsidR="0060408E" w:rsidRPr="0060408E" w:rsidRDefault="0060408E" w:rsidP="0060408E">
      <w:pPr>
        <w:pStyle w:val="Heading2"/>
      </w:pPr>
      <w:bookmarkStart w:id="33" w:name="_4d34og8" w:colFirst="0" w:colLast="0"/>
      <w:bookmarkStart w:id="34" w:name="_Toc137504676"/>
      <w:bookmarkEnd w:id="33"/>
      <w:r>
        <w:t>2</w:t>
      </w:r>
      <w:r w:rsidRPr="0060408E">
        <w:t>.2 Subjective and objective measures in FNSD</w:t>
      </w:r>
      <w:bookmarkEnd w:id="34"/>
    </w:p>
    <w:p w14:paraId="1694FAC7" w14:textId="6F83DD9A" w:rsidR="0060408E" w:rsidRPr="00E843DC" w:rsidRDefault="0060408E" w:rsidP="00DB19B8">
      <w:pPr>
        <w:spacing w:after="200"/>
        <w:rPr>
          <w:rFonts w:eastAsia="Arial"/>
        </w:rPr>
      </w:pPr>
      <w:r w:rsidRPr="00E843DC">
        <w:rPr>
          <w:rFonts w:eastAsia="Arial"/>
        </w:rPr>
        <w:t xml:space="preserve">The choice of outcome measures poses particular challenges in </w:t>
      </w:r>
      <w:r>
        <w:rPr>
          <w:rFonts w:eastAsia="Arial"/>
        </w:rPr>
        <w:t xml:space="preserve">FNSD </w:t>
      </w:r>
      <w:sdt>
        <w:sdtPr>
          <w:rPr>
            <w:rFonts w:eastAsia="Arial"/>
            <w:color w:val="000000"/>
          </w:rPr>
          <w:tag w:val="MENDELEY_CITATION_v3_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
          <w:id w:val="-1899886152"/>
          <w:placeholder>
            <w:docPart w:val="3BBE6AC8ADF92943B7103F1B75274D1A"/>
          </w:placeholder>
        </w:sdtPr>
        <w:sdtContent>
          <w:r w:rsidR="005E4029" w:rsidRPr="005E4029">
            <w:rPr>
              <w:rFonts w:eastAsia="Arial"/>
              <w:color w:val="000000"/>
            </w:rPr>
            <w:t>(</w:t>
          </w:r>
          <w:proofErr w:type="spellStart"/>
          <w:r w:rsidR="005E4029" w:rsidRPr="005E4029">
            <w:rPr>
              <w:rFonts w:eastAsia="Arial"/>
              <w:color w:val="000000"/>
            </w:rPr>
            <w:t>Baizabal-Carvallo</w:t>
          </w:r>
          <w:proofErr w:type="spellEnd"/>
          <w:r w:rsidR="005E4029" w:rsidRPr="005E4029">
            <w:rPr>
              <w:rFonts w:eastAsia="Arial"/>
              <w:color w:val="000000"/>
            </w:rPr>
            <w:t xml:space="preserve"> et al., 2019; Nicholson et al., 2020)</w:t>
          </w:r>
        </w:sdtContent>
      </w:sdt>
      <w:r w:rsidRPr="00E843DC">
        <w:rPr>
          <w:rFonts w:eastAsia="Arial"/>
        </w:rPr>
        <w:t>.</w:t>
      </w:r>
      <w:r>
        <w:rPr>
          <w:rFonts w:eastAsia="Arial"/>
        </w:rPr>
        <w:t xml:space="preserve"> R</w:t>
      </w:r>
      <w:r w:rsidRPr="00E843DC">
        <w:rPr>
          <w:rFonts w:eastAsia="Arial"/>
        </w:rPr>
        <w:t xml:space="preserve">esearch in </w:t>
      </w:r>
      <w:r>
        <w:rPr>
          <w:rFonts w:eastAsia="Arial"/>
        </w:rPr>
        <w:t>FNSD</w:t>
      </w:r>
      <w:r w:rsidRPr="00E843DC">
        <w:rPr>
          <w:rFonts w:eastAsia="Arial"/>
        </w:rPr>
        <w:t xml:space="preserve"> has moved beyond the emphasis on psychosocial stressors and psychological theories to potentially relevant </w:t>
      </w:r>
      <w:r>
        <w:rPr>
          <w:rFonts w:eastAsia="Arial"/>
        </w:rPr>
        <w:t>neurobiological</w:t>
      </w:r>
      <w:r w:rsidRPr="00E843DC">
        <w:rPr>
          <w:rFonts w:eastAsia="Arial"/>
        </w:rPr>
        <w:t xml:space="preserve"> mechanisms</w:t>
      </w:r>
      <w:r>
        <w:rPr>
          <w:rFonts w:eastAsia="Arial"/>
        </w:rPr>
        <w:t>. Researchers</w:t>
      </w:r>
      <w:r w:rsidRPr="00E843DC">
        <w:rPr>
          <w:rFonts w:eastAsia="Arial"/>
        </w:rPr>
        <w:t xml:space="preserve"> have increasingly adopted objective approaches</w:t>
      </w:r>
      <w:r>
        <w:rPr>
          <w:rFonts w:eastAsia="Arial"/>
        </w:rPr>
        <w:t>,</w:t>
      </w:r>
      <w:r w:rsidRPr="00E843DC">
        <w:rPr>
          <w:rFonts w:eastAsia="Arial"/>
        </w:rPr>
        <w:t xml:space="preserve"> including physiological, performance-based testing or neuroimaging.</w:t>
      </w:r>
      <w:r>
        <w:rPr>
          <w:rFonts w:eastAsia="Arial"/>
        </w:rPr>
        <w:t xml:space="preserve"> </w:t>
      </w:r>
      <w:r w:rsidRPr="00E843DC">
        <w:rPr>
          <w:rFonts w:eastAsia="Arial"/>
        </w:rPr>
        <w:t xml:space="preserve">While symptoms of the disorder are usually the most intuitive aspect of </w:t>
      </w:r>
      <w:r w:rsidRPr="00E843DC">
        <w:rPr>
          <w:rFonts w:eastAsia="Arial"/>
        </w:rPr>
        <w:lastRenderedPageBreak/>
        <w:t>disorders to measure</w:t>
      </w:r>
      <w:r>
        <w:rPr>
          <w:rFonts w:eastAsia="Arial"/>
        </w:rPr>
        <w:t xml:space="preserve"> </w:t>
      </w:r>
      <w:r w:rsidRPr="00E843DC">
        <w:rPr>
          <w:rFonts w:eastAsia="Arial"/>
        </w:rPr>
        <w:t xml:space="preserve">(i.e. </w:t>
      </w:r>
      <w:r>
        <w:rPr>
          <w:rFonts w:eastAsia="Arial"/>
        </w:rPr>
        <w:t>F.S.</w:t>
      </w:r>
      <w:r w:rsidRPr="00E843DC">
        <w:rPr>
          <w:rFonts w:eastAsia="Arial"/>
        </w:rPr>
        <w:t xml:space="preserve"> frequency or core symptom severity in other types of </w:t>
      </w:r>
      <w:r>
        <w:rPr>
          <w:rFonts w:eastAsia="Arial"/>
        </w:rPr>
        <w:t>FNSD</w:t>
      </w:r>
      <w:r w:rsidRPr="00E843DC">
        <w:rPr>
          <w:rFonts w:eastAsia="Arial"/>
        </w:rPr>
        <w:t>)</w:t>
      </w:r>
      <w:r>
        <w:rPr>
          <w:rFonts w:eastAsia="Arial"/>
        </w:rPr>
        <w:t xml:space="preserve"> </w:t>
      </w:r>
      <w:sdt>
        <w:sdtPr>
          <w:rPr>
            <w:rFonts w:eastAsia="Arial"/>
            <w:color w:val="000000"/>
          </w:rPr>
          <w:tag w:val="MENDELEY_CITATION_v3_eyJjaXRhdGlvbklEIjoiTUVOREVMRVlfQ0lUQVRJT05fMjUwZDE0NjctYWZlYS00YmMzLWE2ZjMtYTNkZGZhMzIyYzI4IiwicHJvcGVydGllcyI6eyJub3RlSW5kZXgiOjB9LCJpc0VkaXRlZCI6ZmFsc2UsIm1hbnVhbE92ZXJyaWRlIjp7ImlzTWFudWFsbHlPdmVycmlkZGVuIjp0cnVlLCJjaXRlcHJvY1RleHQiOiIoUGljayBldCBhbC4sIDIwMjApIiwibWFudWFsT3ZlcnJpZGVUZXh0IjoiKFBpY2ssIEFuZGVyc29uLCBldCBhbC4sIDIwMjApIn0sImNpdGF0aW9uSXRlbXMiOlt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XX0="/>
          <w:id w:val="-354416353"/>
          <w:placeholder>
            <w:docPart w:val="3BBE6AC8ADF92943B7103F1B75274D1A"/>
          </w:placeholder>
        </w:sdtPr>
        <w:sdtContent>
          <w:r w:rsidR="005E4029" w:rsidRPr="005E4029">
            <w:rPr>
              <w:rFonts w:eastAsia="Arial"/>
              <w:color w:val="000000"/>
            </w:rPr>
            <w:t>(Pick, Anderson, et al., 2020)</w:t>
          </w:r>
        </w:sdtContent>
      </w:sdt>
      <w:r>
        <w:rPr>
          <w:rFonts w:eastAsia="Arial"/>
        </w:rPr>
        <w:t>,</w:t>
      </w:r>
      <w:r w:rsidRPr="00E843DC">
        <w:rPr>
          <w:rFonts w:eastAsia="Arial"/>
        </w:rPr>
        <w:t xml:space="preserve"> core symptom heterogeneity, physical and psychological comorbidities, </w:t>
      </w:r>
      <w:r>
        <w:rPr>
          <w:rFonts w:eastAsia="Arial"/>
        </w:rPr>
        <w:t xml:space="preserve">as well as </w:t>
      </w:r>
      <w:r w:rsidRPr="00E843DC">
        <w:rPr>
          <w:rFonts w:eastAsia="Arial"/>
        </w:rPr>
        <w:t>variability</w:t>
      </w:r>
      <w:r>
        <w:rPr>
          <w:rFonts w:eastAsia="Arial"/>
        </w:rPr>
        <w:t xml:space="preserve"> in life impact, disability, social functioning and illness perception</w:t>
      </w:r>
      <w:r w:rsidRPr="00E843DC">
        <w:rPr>
          <w:rFonts w:eastAsia="Arial"/>
        </w:rPr>
        <w:t xml:space="preserve"> in </w:t>
      </w:r>
      <w:r>
        <w:rPr>
          <w:rFonts w:eastAsia="Arial"/>
        </w:rPr>
        <w:t>FNSD</w:t>
      </w:r>
      <w:r w:rsidRPr="00E843DC">
        <w:rPr>
          <w:rFonts w:eastAsia="Arial"/>
        </w:rPr>
        <w:t xml:space="preserve"> confound the selection and utilisation of outcome measures.</w:t>
      </w:r>
      <w:r>
        <w:rPr>
          <w:rFonts w:eastAsia="Arial"/>
        </w:rPr>
        <w:t xml:space="preserve"> N</w:t>
      </w:r>
      <w:r w:rsidRPr="00E843DC">
        <w:rPr>
          <w:rFonts w:eastAsia="Arial"/>
        </w:rPr>
        <w:t>o single standardised way of recording th</w:t>
      </w:r>
      <w:r>
        <w:rPr>
          <w:rFonts w:eastAsia="Arial"/>
        </w:rPr>
        <w:t>ese outcomes has</w:t>
      </w:r>
      <w:r w:rsidRPr="00E843DC">
        <w:rPr>
          <w:rFonts w:eastAsia="Arial"/>
        </w:rPr>
        <w:t xml:space="preserve"> been established</w:t>
      </w:r>
      <w:r>
        <w:rPr>
          <w:rFonts w:eastAsia="Arial"/>
        </w:rPr>
        <w:t xml:space="preserve">, </w:t>
      </w:r>
      <w:r w:rsidRPr="00E843DC">
        <w:rPr>
          <w:rFonts w:eastAsia="Arial"/>
        </w:rPr>
        <w:t xml:space="preserve">and a focus on one </w:t>
      </w:r>
      <w:r>
        <w:rPr>
          <w:rFonts w:eastAsia="Arial"/>
        </w:rPr>
        <w:t>FNSD</w:t>
      </w:r>
      <w:r w:rsidRPr="00E843DC">
        <w:rPr>
          <w:rFonts w:eastAsia="Arial"/>
        </w:rPr>
        <w:t xml:space="preserve"> symptom (</w:t>
      </w:r>
      <w:r w:rsidRPr="00CE1038">
        <w:rPr>
          <w:rFonts w:eastAsia="Arial"/>
        </w:rPr>
        <w:t>e.g.</w:t>
      </w:r>
      <w:r>
        <w:rPr>
          <w:rFonts w:eastAsia="Arial"/>
        </w:rPr>
        <w:t>,</w:t>
      </w:r>
      <w:r w:rsidRPr="00E843DC">
        <w:rPr>
          <w:rFonts w:eastAsia="Arial"/>
        </w:rPr>
        <w:t xml:space="preserve"> seizures) is only conceivable in subgroups of patients with this disorder.</w:t>
      </w:r>
      <w:r>
        <w:rPr>
          <w:rFonts w:eastAsia="Arial"/>
        </w:rPr>
        <w:t xml:space="preserve"> </w:t>
      </w:r>
      <w:r w:rsidRPr="00E843DC">
        <w:rPr>
          <w:rFonts w:eastAsia="Arial"/>
        </w:rPr>
        <w:t xml:space="preserve">What is more, there is </w:t>
      </w:r>
      <w:r>
        <w:rPr>
          <w:rFonts w:eastAsia="Arial"/>
        </w:rPr>
        <w:t xml:space="preserve">an </w:t>
      </w:r>
      <w:r w:rsidRPr="00E843DC">
        <w:rPr>
          <w:rFonts w:eastAsia="Arial"/>
        </w:rPr>
        <w:t>ongoing discussion about the discrepancies</w:t>
      </w:r>
      <w:r>
        <w:rPr>
          <w:rFonts w:eastAsia="Arial"/>
        </w:rPr>
        <w:t xml:space="preserve"> found</w:t>
      </w:r>
      <w:r w:rsidRPr="00E843DC">
        <w:rPr>
          <w:rFonts w:eastAsia="Arial"/>
        </w:rPr>
        <w:t xml:space="preserve"> between subjective and objective findings in patients with </w:t>
      </w:r>
      <w:r>
        <w:rPr>
          <w:rFonts w:eastAsia="Arial"/>
        </w:rPr>
        <w:t xml:space="preserve">FNSD </w:t>
      </w:r>
      <w:sdt>
        <w:sdtPr>
          <w:rPr>
            <w:rFonts w:eastAsia="Arial"/>
            <w:color w:val="000000"/>
          </w:rPr>
          <w:tag w:val="MENDELEY_CITATION_v3_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"/>
          <w:id w:val="-417790464"/>
          <w:placeholder>
            <w:docPart w:val="3BBE6AC8ADF92943B7103F1B75274D1A"/>
          </w:placeholder>
        </w:sdtPr>
        <w:sdtContent>
          <w:r w:rsidR="005E4029" w:rsidRPr="005E4029">
            <w:rPr>
              <w:rFonts w:eastAsia="Arial"/>
              <w:color w:val="000000"/>
            </w:rPr>
            <w:t>(</w:t>
          </w:r>
          <w:proofErr w:type="spellStart"/>
          <w:r w:rsidR="005E4029" w:rsidRPr="005E4029">
            <w:rPr>
              <w:rFonts w:eastAsia="Arial"/>
              <w:color w:val="000000"/>
            </w:rPr>
            <w:t>Benbadis</w:t>
          </w:r>
          <w:proofErr w:type="spellEnd"/>
          <w:r w:rsidR="005E4029" w:rsidRPr="005E4029">
            <w:rPr>
              <w:rFonts w:eastAsia="Arial"/>
              <w:color w:val="000000"/>
            </w:rPr>
            <w:t xml:space="preserve">, 2009; </w:t>
          </w:r>
          <w:proofErr w:type="spellStart"/>
          <w:r w:rsidR="005E4029" w:rsidRPr="005E4029">
            <w:rPr>
              <w:rFonts w:eastAsia="Arial"/>
              <w:color w:val="000000"/>
            </w:rPr>
            <w:t>Pareés</w:t>
          </w:r>
          <w:proofErr w:type="spellEnd"/>
          <w:r w:rsidR="005E4029" w:rsidRPr="005E4029">
            <w:rPr>
              <w:rFonts w:eastAsia="Arial"/>
              <w:color w:val="000000"/>
            </w:rPr>
            <w:t xml:space="preserve"> et al., 2012)</w:t>
          </w:r>
        </w:sdtContent>
      </w:sdt>
      <w:r w:rsidRPr="00E843DC">
        <w:rPr>
          <w:rFonts w:eastAsia="Arial"/>
        </w:rPr>
        <w:t>.</w:t>
      </w:r>
    </w:p>
    <w:p w14:paraId="5ACA0395" w14:textId="0868403C" w:rsidR="0060408E" w:rsidRPr="00E843DC" w:rsidRDefault="0060408E" w:rsidP="00DB19B8">
      <w:pPr>
        <w:spacing w:after="200"/>
        <w:rPr>
          <w:rFonts w:eastAsia="Arial"/>
        </w:rPr>
      </w:pPr>
      <w:r>
        <w:rPr>
          <w:rFonts w:eastAsia="Arial"/>
        </w:rPr>
        <w:t>These measures are of particular interest due to the</w:t>
      </w:r>
      <w:r w:rsidRPr="00E843DC">
        <w:rPr>
          <w:rFonts w:eastAsia="Arial"/>
        </w:rPr>
        <w:t xml:space="preserve"> high levels of stress, arousal and emotion dysregulation</w:t>
      </w:r>
      <w:r>
        <w:rPr>
          <w:rFonts w:eastAsia="Arial"/>
        </w:rPr>
        <w:t xml:space="preserve"> often reported in F.S.</w:t>
      </w:r>
      <w:r w:rsidRPr="00E843DC">
        <w:rPr>
          <w:rFonts w:eastAsia="Arial"/>
        </w:rPr>
        <w:t xml:space="preserve"> in particular and </w:t>
      </w:r>
      <w:r>
        <w:rPr>
          <w:rFonts w:eastAsia="Arial"/>
        </w:rPr>
        <w:t>FNSD</w:t>
      </w:r>
      <w:r w:rsidRPr="00E843DC">
        <w:rPr>
          <w:rFonts w:eastAsia="Arial"/>
        </w:rPr>
        <w:t xml:space="preserve"> more generally</w:t>
      </w:r>
      <w:r>
        <w:rPr>
          <w:rFonts w:eastAsia="Arial"/>
        </w:rPr>
        <w:t xml:space="preserve">. This </w:t>
      </w:r>
      <w:r w:rsidRPr="00E843DC">
        <w:rPr>
          <w:rFonts w:eastAsia="Arial"/>
        </w:rPr>
        <w:t xml:space="preserve">association may be more relevant in </w:t>
      </w:r>
      <w:r>
        <w:rPr>
          <w:rFonts w:eastAsia="Arial"/>
        </w:rPr>
        <w:t>FNSD</w:t>
      </w:r>
      <w:r w:rsidRPr="00E843DC">
        <w:rPr>
          <w:rFonts w:eastAsia="Arial"/>
        </w:rPr>
        <w:t xml:space="preserve"> than other medical disorders because most current aetiological models consider these factors relevant in the pathogenesis of </w:t>
      </w:r>
      <w:r>
        <w:rPr>
          <w:rFonts w:eastAsia="Arial"/>
        </w:rPr>
        <w:t>FNSD</w:t>
      </w:r>
      <w:r w:rsidRPr="00E843DC">
        <w:rPr>
          <w:rFonts w:eastAsia="Arial"/>
        </w:rPr>
        <w:t xml:space="preserve"> and no</w:t>
      </w:r>
      <w:r>
        <w:rPr>
          <w:rFonts w:eastAsia="Arial"/>
        </w:rPr>
        <w:t>t simply a consequence of the</w:t>
      </w:r>
      <w:r w:rsidRPr="00E843DC">
        <w:rPr>
          <w:rFonts w:eastAsia="Arial"/>
        </w:rPr>
        <w:t xml:space="preserve"> disorder</w:t>
      </w:r>
      <w:r>
        <w:rPr>
          <w:rFonts w:eastAsia="Arial"/>
        </w:rPr>
        <w:t xml:space="preserve"> </w:t>
      </w:r>
      <w:sdt>
        <w:sdtPr>
          <w:rPr>
            <w:rFonts w:eastAsia="Arial"/>
            <w:color w:val="000000"/>
          </w:rPr>
          <w:tag w:val="MENDELEY_CITATION_v3_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"/>
          <w:id w:val="1220396946"/>
          <w:placeholder>
            <w:docPart w:val="3BBE6AC8ADF92943B7103F1B75274D1A"/>
          </w:placeholder>
        </w:sdtPr>
        <w:sdtContent>
          <w:r w:rsidR="005E4029">
            <w:rPr>
              <w:rFonts w:eastAsia="Times New Roman"/>
            </w:rPr>
            <w:t xml:space="preserve">(R. J. Brown &amp; Reuber, 2016b; </w:t>
          </w:r>
          <w:proofErr w:type="spellStart"/>
          <w:r w:rsidR="005E4029">
            <w:rPr>
              <w:rFonts w:eastAsia="Times New Roman"/>
            </w:rPr>
            <w:t>Keynejad</w:t>
          </w:r>
          <w:proofErr w:type="spellEnd"/>
          <w:r w:rsidR="005E4029">
            <w:rPr>
              <w:rFonts w:eastAsia="Times New Roman"/>
            </w:rPr>
            <w:t xml:space="preserve"> et al., 2019)</w:t>
          </w:r>
        </w:sdtContent>
      </w:sdt>
      <w:r w:rsidRPr="00E843DC">
        <w:rPr>
          <w:rFonts w:eastAsia="Arial"/>
        </w:rPr>
        <w:t>.</w:t>
      </w:r>
      <w:r>
        <w:rPr>
          <w:rFonts w:eastAsia="Arial"/>
        </w:rPr>
        <w:t xml:space="preserve"> </w:t>
      </w:r>
      <w:r w:rsidRPr="00E843DC">
        <w:rPr>
          <w:rFonts w:eastAsia="Arial"/>
        </w:rPr>
        <w:t xml:space="preserve">Much evidence comes from patient self-report investigations, which suggest that patients with </w:t>
      </w:r>
      <w:r>
        <w:rPr>
          <w:rFonts w:eastAsia="Arial"/>
        </w:rPr>
        <w:t>FNSD</w:t>
      </w:r>
      <w:r w:rsidRPr="00E843DC">
        <w:rPr>
          <w:rFonts w:eastAsia="Arial"/>
        </w:rPr>
        <w:t xml:space="preserve"> experience their lives as more stressful, are more aroused and/or anxious and often use maladaptive emotional processes and coping strategies to avoid conflicts, threat</w:t>
      </w:r>
      <w:r>
        <w:rPr>
          <w:rFonts w:eastAsia="Arial"/>
        </w:rPr>
        <w:t>s</w:t>
      </w:r>
      <w:r w:rsidRPr="00E843DC">
        <w:rPr>
          <w:rFonts w:eastAsia="Arial"/>
        </w:rPr>
        <w:t xml:space="preserve"> or stress compared to healthy controls (</w:t>
      </w:r>
      <w:r>
        <w:rPr>
          <w:rFonts w:eastAsia="Arial"/>
        </w:rPr>
        <w:t>H.C.s</w:t>
      </w:r>
      <w:r w:rsidRPr="00E843DC">
        <w:rPr>
          <w:rFonts w:eastAsia="Arial"/>
        </w:rPr>
        <w:t>)</w:t>
      </w:r>
      <w:r>
        <w:rPr>
          <w:rFonts w:eastAsia="Arial"/>
        </w:rPr>
        <w:t xml:space="preserve"> </w:t>
      </w:r>
      <w:sdt>
        <w:sdtPr>
          <w:rPr>
            <w:rFonts w:eastAsia="Arial"/>
            <w:color w:val="000000"/>
          </w:rPr>
          <w:tag w:val="MENDELEY_CITATION_v3_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"/>
          <w:id w:val="2064136966"/>
          <w:placeholder>
            <w:docPart w:val="3BBE6AC8ADF92943B7103F1B75274D1A"/>
          </w:placeholder>
        </w:sdtPr>
        <w:sdtContent>
          <w:r w:rsidR="005E4029" w:rsidRPr="005E4029">
            <w:rPr>
              <w:rFonts w:eastAsia="Arial"/>
              <w:color w:val="000000"/>
            </w:rPr>
            <w:t>(</w:t>
          </w:r>
          <w:proofErr w:type="spellStart"/>
          <w:r w:rsidR="005E4029" w:rsidRPr="005E4029">
            <w:rPr>
              <w:rFonts w:eastAsia="Arial"/>
              <w:color w:val="000000"/>
            </w:rPr>
            <w:t>Bakvis</w:t>
          </w:r>
          <w:proofErr w:type="spellEnd"/>
          <w:r w:rsidR="005E4029" w:rsidRPr="005E4029">
            <w:rPr>
              <w:rFonts w:eastAsia="Arial"/>
              <w:color w:val="000000"/>
            </w:rPr>
            <w:t xml:space="preserve"> et al., 2009, 2011; Demartini et al., 2016; Testa et al., 2012; I. A. Williams, Levita, et al., 2018)</w:t>
          </w:r>
        </w:sdtContent>
      </w:sdt>
      <w:r w:rsidRPr="00E843DC">
        <w:rPr>
          <w:rFonts w:eastAsia="Arial"/>
        </w:rPr>
        <w:t>.</w:t>
      </w:r>
      <w:r>
        <w:rPr>
          <w:rFonts w:eastAsia="Arial"/>
        </w:rPr>
        <w:t xml:space="preserve"> </w:t>
      </w:r>
      <w:r w:rsidRPr="00E843DC">
        <w:rPr>
          <w:rFonts w:eastAsia="Arial"/>
        </w:rPr>
        <w:t xml:space="preserve">In those with </w:t>
      </w:r>
      <w:r>
        <w:rPr>
          <w:rFonts w:eastAsia="Arial"/>
        </w:rPr>
        <w:t>F.S.</w:t>
      </w:r>
      <w:r w:rsidRPr="00E843DC">
        <w:rPr>
          <w:rFonts w:eastAsia="Arial"/>
        </w:rPr>
        <w:t>, the experience of recurrent ictal events and the physiological arousal associated with individual seizures may also contribute</w:t>
      </w:r>
      <w:r>
        <w:rPr>
          <w:rFonts w:eastAsia="Arial"/>
        </w:rPr>
        <w:t xml:space="preserve"> </w:t>
      </w:r>
      <w:sdt>
        <w:sdtPr>
          <w:rPr>
            <w:rFonts w:eastAsia="Arial"/>
            <w:color w:val="000000"/>
          </w:rPr>
          <w:tag w:val="MENDELEY_CITATION_v3_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"/>
          <w:id w:val="239075355"/>
          <w:placeholder>
            <w:docPart w:val="3BBE6AC8ADF92943B7103F1B75274D1A"/>
          </w:placeholder>
        </w:sdtPr>
        <w:sdtContent>
          <w:r w:rsidR="005E4029" w:rsidRPr="005E4029">
            <w:rPr>
              <w:rFonts w:eastAsia="Arial"/>
              <w:color w:val="000000"/>
            </w:rPr>
            <w:t>(</w:t>
          </w:r>
          <w:proofErr w:type="spellStart"/>
          <w:r w:rsidR="005E4029" w:rsidRPr="005E4029">
            <w:rPr>
              <w:rFonts w:eastAsia="Arial"/>
              <w:color w:val="000000"/>
            </w:rPr>
            <w:t>Ponnusamy</w:t>
          </w:r>
          <w:proofErr w:type="spellEnd"/>
          <w:r w:rsidR="005E4029" w:rsidRPr="005E4029">
            <w:rPr>
              <w:rFonts w:eastAsia="Arial"/>
              <w:color w:val="000000"/>
            </w:rPr>
            <w:t xml:space="preserve"> et al., 2012)</w:t>
          </w:r>
        </w:sdtContent>
      </w:sdt>
      <w:r>
        <w:rPr>
          <w:rFonts w:eastAsia="Arial"/>
        </w:rPr>
        <w:t>,</w:t>
      </w:r>
      <w:r w:rsidRPr="00E843DC">
        <w:rPr>
          <w:rFonts w:eastAsia="Arial"/>
        </w:rPr>
        <w:t xml:space="preserve"> and there is accumulating </w:t>
      </w:r>
      <w:r>
        <w:rPr>
          <w:rFonts w:eastAsia="Arial"/>
        </w:rPr>
        <w:t>behavioural,</w:t>
      </w:r>
      <w:r w:rsidRPr="00E843DC">
        <w:rPr>
          <w:rFonts w:eastAsia="Arial"/>
        </w:rPr>
        <w:t xml:space="preserve"> neurobiological and experimental evidence to support the notion that increased stress sensitivity and emotional dysregulation may be aetiologically relevant in </w:t>
      </w:r>
      <w:r>
        <w:rPr>
          <w:rFonts w:eastAsia="Arial"/>
        </w:rPr>
        <w:t xml:space="preserve">FNSD </w:t>
      </w:r>
      <w:sdt>
        <w:sdtPr>
          <w:rPr>
            <w:rFonts w:eastAsia="Arial"/>
            <w:color w:val="000000"/>
          </w:rPr>
          <w:tag w:val="MENDELEY_CITATION_v3_eyJjaXRhdGlvbklEIjoiTUVOREVMRVlfQ0lUQVRJT05fZTBjZTE2MDYtMmEwOS00ZTFmLTgwMmQtNjcxZTRhNWRmNjgxIiwicHJvcGVydGllcyI6eyJub3RlSW5kZXgiOjB9LCJpc0VkaXRlZCI6ZmFsc2UsIm1hbnVhbE92ZXJyaWRlIjp7ImlzTWFudWFsbHlPdmVycmlkZGVuIjpmYWxzZSwiY2l0ZXByb2NUZXh0IjoiKFBpY2sgZXQgYWwuLCAyMDE5KSIsIm1hbnVhbE92ZXJyaWRlVGV4dCI6IiJ9LCJjaXRhdGlvbkl0ZW1zIjpb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
          <w:id w:val="-485549671"/>
          <w:placeholder>
            <w:docPart w:val="3BBE6AC8ADF92943B7103F1B75274D1A"/>
          </w:placeholder>
        </w:sdtPr>
        <w:sdtContent>
          <w:r w:rsidR="005E4029" w:rsidRPr="005E4029">
            <w:rPr>
              <w:rFonts w:eastAsia="Arial"/>
              <w:color w:val="000000"/>
            </w:rPr>
            <w:t>(Pick et al., 2019)</w:t>
          </w:r>
        </w:sdtContent>
      </w:sdt>
      <w:r w:rsidRPr="00E843DC">
        <w:rPr>
          <w:rFonts w:eastAsia="Arial"/>
        </w:rPr>
        <w:t>.</w:t>
      </w:r>
      <w:r>
        <w:rPr>
          <w:rFonts w:eastAsia="Arial"/>
        </w:rPr>
        <w:t xml:space="preserve"> </w:t>
      </w:r>
      <w:r w:rsidRPr="00E843DC">
        <w:rPr>
          <w:rFonts w:eastAsia="Arial"/>
        </w:rPr>
        <w:t>Increased activation of multiple components of the stress system (including the hypothalamic–pituitary–adrenal axis, HPA) and the autonomic nervous system</w:t>
      </w:r>
      <w:r>
        <w:rPr>
          <w:rFonts w:eastAsia="Arial"/>
        </w:rPr>
        <w:t xml:space="preserve"> </w:t>
      </w:r>
      <w:sdt>
        <w:sdtPr>
          <w:rPr>
            <w:rFonts w:eastAsia="Arial"/>
          </w:rPr>
          <w:tag w:val="MENDELEY_CITATION_v3_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"/>
          <w:id w:val="633150855"/>
          <w:placeholder>
            <w:docPart w:val="3BBE6AC8ADF92943B7103F1B75274D1A"/>
          </w:placeholder>
        </w:sdtPr>
        <w:sdtContent>
          <w:r w:rsidR="005E4029">
            <w:rPr>
              <w:rFonts w:eastAsia="Times New Roman"/>
            </w:rPr>
            <w:t xml:space="preserve">(Apazoglou et al., 2017; K. </w:t>
          </w:r>
          <w:proofErr w:type="spellStart"/>
          <w:r w:rsidR="005E4029">
            <w:rPr>
              <w:rFonts w:eastAsia="Times New Roman"/>
            </w:rPr>
            <w:t>Roelofs</w:t>
          </w:r>
          <w:proofErr w:type="spellEnd"/>
          <w:r w:rsidR="005E4029">
            <w:rPr>
              <w:rFonts w:eastAsia="Times New Roman"/>
            </w:rPr>
            <w:t xml:space="preserve"> &amp; </w:t>
          </w:r>
          <w:proofErr w:type="spellStart"/>
          <w:r w:rsidR="005E4029">
            <w:rPr>
              <w:rFonts w:eastAsia="Times New Roman"/>
            </w:rPr>
            <w:t>Pasman</w:t>
          </w:r>
          <w:proofErr w:type="spellEnd"/>
          <w:r w:rsidR="005E4029">
            <w:rPr>
              <w:rFonts w:eastAsia="Times New Roman"/>
            </w:rPr>
            <w:t>, 2016)</w:t>
          </w:r>
        </w:sdtContent>
      </w:sdt>
      <w:r w:rsidRPr="00E843DC">
        <w:rPr>
          <w:rFonts w:eastAsia="Arial"/>
        </w:rPr>
        <w:t xml:space="preserve">  have been reported, while brain imaging studies suggest networks involved in arousal and emotion-processing are hyper-active in patients with </w:t>
      </w:r>
      <w:r>
        <w:rPr>
          <w:rFonts w:eastAsia="Arial"/>
        </w:rPr>
        <w:t xml:space="preserve">FNSD </w:t>
      </w:r>
      <w:sdt>
        <w:sdtPr>
          <w:rPr>
            <w:rFonts w:eastAsia="Arial"/>
            <w:color w:val="000000"/>
          </w:rPr>
          <w:tag w:val="MENDELEY_CITATION_v3_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"/>
          <w:id w:val="705990658"/>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Bègue</w:t>
          </w:r>
          <w:proofErr w:type="spellEnd"/>
          <w:r w:rsidR="0047170A" w:rsidRPr="0047170A">
            <w:rPr>
              <w:rFonts w:eastAsia="Arial"/>
              <w:color w:val="000000"/>
            </w:rPr>
            <w:t xml:space="preserve"> et al., 2019; J. J. </w:t>
          </w:r>
          <w:proofErr w:type="spellStart"/>
          <w:r w:rsidR="0047170A" w:rsidRPr="0047170A">
            <w:rPr>
              <w:rFonts w:eastAsia="Arial"/>
              <w:color w:val="000000"/>
            </w:rPr>
            <w:t>Roelofs</w:t>
          </w:r>
          <w:proofErr w:type="spellEnd"/>
          <w:r w:rsidR="0047170A" w:rsidRPr="0047170A">
            <w:rPr>
              <w:rFonts w:eastAsia="Arial"/>
              <w:color w:val="000000"/>
            </w:rPr>
            <w:t xml:space="preserve"> et al., 2019)</w:t>
          </w:r>
        </w:sdtContent>
      </w:sdt>
      <w:r w:rsidRPr="00E843DC">
        <w:rPr>
          <w:rFonts w:eastAsia="Arial"/>
        </w:rPr>
        <w:t xml:space="preserve">. </w:t>
      </w:r>
    </w:p>
    <w:p w14:paraId="48CCCE8F" w14:textId="68827904" w:rsidR="00400BA2" w:rsidRPr="001A2683" w:rsidRDefault="0060408E" w:rsidP="00DB19B8">
      <w:pPr>
        <w:spacing w:after="200"/>
        <w:rPr>
          <w:rFonts w:eastAsia="Arial"/>
          <w:color w:val="FF0000"/>
        </w:rPr>
      </w:pPr>
      <w:r w:rsidRPr="00E843DC">
        <w:rPr>
          <w:rFonts w:eastAsia="Arial"/>
        </w:rPr>
        <w:t>Based on these observations</w:t>
      </w:r>
      <w:r>
        <w:rPr>
          <w:rFonts w:eastAsia="Arial"/>
        </w:rPr>
        <w:t>,</w:t>
      </w:r>
      <w:r w:rsidRPr="00E843DC">
        <w:rPr>
          <w:rFonts w:eastAsia="Arial"/>
        </w:rPr>
        <w:t xml:space="preserve"> </w:t>
      </w:r>
      <w:r>
        <w:rPr>
          <w:rFonts w:eastAsia="Arial"/>
        </w:rPr>
        <w:t>FNSD</w:t>
      </w:r>
      <w:r w:rsidRPr="00E843DC">
        <w:rPr>
          <w:rFonts w:eastAsia="Arial"/>
        </w:rPr>
        <w:t xml:space="preserve"> has been theorised as a behavioural or dissociative response to distressing emotional, physiological or social stimuli</w:t>
      </w:r>
      <w:r>
        <w:rPr>
          <w:rFonts w:eastAsia="Arial"/>
        </w:rPr>
        <w:t xml:space="preserve"> </w:t>
      </w:r>
      <w:sdt>
        <w:sdtPr>
          <w:rPr>
            <w:rFonts w:eastAsia="Arial"/>
            <w:color w:val="000000"/>
          </w:rPr>
          <w:tag w:val="MENDELEY_CITATION_v3_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"/>
          <w:id w:val="-115908388"/>
          <w:placeholder>
            <w:docPart w:val="3BBE6AC8ADF92943B7103F1B75274D1A"/>
          </w:placeholder>
        </w:sdtPr>
        <w:sdtContent>
          <w:r w:rsidR="0047170A">
            <w:rPr>
              <w:rFonts w:eastAsia="Times New Roman"/>
            </w:rPr>
            <w:t>(</w:t>
          </w:r>
          <w:proofErr w:type="spellStart"/>
          <w:r w:rsidR="0047170A">
            <w:rPr>
              <w:rFonts w:eastAsia="Times New Roman"/>
            </w:rPr>
            <w:t>Bègue</w:t>
          </w:r>
          <w:proofErr w:type="spellEnd"/>
          <w:r w:rsidR="0047170A">
            <w:rPr>
              <w:rFonts w:eastAsia="Times New Roman"/>
            </w:rPr>
            <w:t xml:space="preserve"> et al., 2019; R. J. Brown &amp; Reuber, 2016b)</w:t>
          </w:r>
        </w:sdtContent>
      </w:sdt>
      <w:r w:rsidRPr="00E843DC">
        <w:rPr>
          <w:rFonts w:eastAsia="Arial"/>
        </w:rPr>
        <w:t>.</w:t>
      </w:r>
      <w:r>
        <w:rPr>
          <w:rFonts w:eastAsia="Arial"/>
        </w:rPr>
        <w:t xml:space="preserve"> </w:t>
      </w:r>
      <w:r w:rsidRPr="00E843DC">
        <w:rPr>
          <w:rFonts w:eastAsia="Arial"/>
        </w:rPr>
        <w:t xml:space="preserve">As such, evidence of how effectively </w:t>
      </w:r>
      <w:r w:rsidRPr="00E843DC">
        <w:rPr>
          <w:rFonts w:eastAsia="Arial"/>
        </w:rPr>
        <w:lastRenderedPageBreak/>
        <w:t xml:space="preserve">patients cope with stress and </w:t>
      </w:r>
      <w:r w:rsidRPr="00D00710">
        <w:rPr>
          <w:rFonts w:eastAsia="Arial"/>
        </w:rPr>
        <w:t xml:space="preserve">regulate their emotions is particularly relevant to function and symptom control in FNSD. </w:t>
      </w:r>
      <w:r w:rsidR="009961D7" w:rsidRPr="00D00710">
        <w:rPr>
          <w:rFonts w:eastAsia="Arial"/>
        </w:rPr>
        <w:t>The present systematic review will examine t</w:t>
      </w:r>
      <w:r w:rsidR="00400BA2" w:rsidRPr="00D00710">
        <w:rPr>
          <w:rFonts w:eastAsia="Arial"/>
        </w:rPr>
        <w:t xml:space="preserve">he wide range of available subjective and objective/behavioural state and outcome measures for patients with FNSD </w:t>
      </w:r>
      <w:r w:rsidR="009961D7" w:rsidRPr="00D00710">
        <w:rPr>
          <w:rFonts w:eastAsia="Arial"/>
        </w:rPr>
        <w:t xml:space="preserve">to answer </w:t>
      </w:r>
      <w:r w:rsidR="00400BA2" w:rsidRPr="00D00710">
        <w:rPr>
          <w:rFonts w:eastAsia="Arial"/>
        </w:rPr>
        <w:t xml:space="preserve">the </w:t>
      </w:r>
      <w:r w:rsidR="009961D7" w:rsidRPr="00D00710">
        <w:rPr>
          <w:rFonts w:eastAsia="Arial"/>
        </w:rPr>
        <w:t xml:space="preserve">following </w:t>
      </w:r>
      <w:r w:rsidR="00400BA2" w:rsidRPr="00D00710">
        <w:rPr>
          <w:rFonts w:eastAsia="Arial"/>
        </w:rPr>
        <w:t>questions: to what extent</w:t>
      </w:r>
      <w:r w:rsidR="00313746" w:rsidRPr="00D00710">
        <w:rPr>
          <w:rFonts w:eastAsia="Arial"/>
        </w:rPr>
        <w:t xml:space="preserve"> do</w:t>
      </w:r>
      <w:r w:rsidR="00400BA2" w:rsidRPr="00D00710">
        <w:rPr>
          <w:rFonts w:eastAsia="Arial"/>
        </w:rPr>
        <w:t xml:space="preserve"> findings from subjective</w:t>
      </w:r>
      <w:r w:rsidR="009961D7" w:rsidRPr="00D00710">
        <w:rPr>
          <w:rFonts w:eastAsia="Arial"/>
        </w:rPr>
        <w:t xml:space="preserve"> and </w:t>
      </w:r>
      <w:r w:rsidR="00400BA2" w:rsidRPr="00D00710">
        <w:rPr>
          <w:rFonts w:eastAsia="Arial"/>
        </w:rPr>
        <w:t xml:space="preserve">objective </w:t>
      </w:r>
      <w:r w:rsidR="009961D7" w:rsidRPr="00D00710">
        <w:rPr>
          <w:rFonts w:eastAsia="Arial"/>
        </w:rPr>
        <w:t xml:space="preserve">outcome measures </w:t>
      </w:r>
      <w:r w:rsidR="00400BA2" w:rsidRPr="00D00710">
        <w:rPr>
          <w:rFonts w:eastAsia="Arial"/>
        </w:rPr>
        <w:t xml:space="preserve">correlate with each other, and </w:t>
      </w:r>
      <w:r w:rsidR="009961D7" w:rsidRPr="00D00710">
        <w:rPr>
          <w:rFonts w:eastAsia="Arial"/>
        </w:rPr>
        <w:t xml:space="preserve">does </w:t>
      </w:r>
      <w:r w:rsidR="00400BA2" w:rsidRPr="00D00710">
        <w:rPr>
          <w:rFonts w:eastAsia="Arial"/>
        </w:rPr>
        <w:t xml:space="preserve">one approach </w:t>
      </w:r>
      <w:r w:rsidR="009961D7" w:rsidRPr="00D00710">
        <w:rPr>
          <w:rFonts w:eastAsia="Arial"/>
        </w:rPr>
        <w:t xml:space="preserve">(i.e., subjective versus objective measures) </w:t>
      </w:r>
      <w:r w:rsidR="00400BA2" w:rsidRPr="00D00710">
        <w:rPr>
          <w:rFonts w:eastAsia="Arial"/>
        </w:rPr>
        <w:t>provide a more accurate and/or clinically meaningful picture than the other</w:t>
      </w:r>
      <w:r w:rsidR="009961D7" w:rsidRPr="00D00710">
        <w:rPr>
          <w:rFonts w:eastAsia="Arial"/>
        </w:rPr>
        <w:t>?</w:t>
      </w:r>
      <w:r w:rsidR="00400BA2" w:rsidRPr="00D00710">
        <w:rPr>
          <w:rFonts w:eastAsia="Arial"/>
        </w:rPr>
        <w:t xml:space="preserve"> To address these questions, this systematic review provides an up-to-date synthesis of studies combining subjective 'self-report' measures and objective 'physiological or experimental task-based' or 'behavioural' measures of stress, distress and arousal in individuals with FNSD.  </w:t>
      </w:r>
    </w:p>
    <w:p w14:paraId="58A8D935" w14:textId="68E47F7B" w:rsidR="0060408E" w:rsidRPr="003C71A4" w:rsidRDefault="0060408E" w:rsidP="0060408E">
      <w:pPr>
        <w:pStyle w:val="Heading2"/>
        <w:rPr>
          <w:rFonts w:eastAsia="Arial"/>
        </w:rPr>
      </w:pPr>
      <w:bookmarkStart w:id="35" w:name="_2s8eyo1" w:colFirst="0" w:colLast="0"/>
      <w:bookmarkStart w:id="36" w:name="_Toc137504677"/>
      <w:bookmarkEnd w:id="35"/>
      <w:r w:rsidRPr="003C71A4">
        <w:rPr>
          <w:rFonts w:eastAsia="Arial"/>
        </w:rPr>
        <w:t>2.</w:t>
      </w:r>
      <w:r>
        <w:rPr>
          <w:rFonts w:eastAsia="Arial"/>
        </w:rPr>
        <w:t>3</w:t>
      </w:r>
      <w:r w:rsidRPr="003C71A4">
        <w:rPr>
          <w:rFonts w:eastAsia="Arial"/>
        </w:rPr>
        <w:t xml:space="preserve"> Methods</w:t>
      </w:r>
      <w:bookmarkEnd w:id="36"/>
    </w:p>
    <w:p w14:paraId="60A19993" w14:textId="26ED2A37" w:rsidR="0060408E" w:rsidRPr="001D16AC" w:rsidRDefault="0060408E" w:rsidP="0060408E">
      <w:pPr>
        <w:pStyle w:val="Heading3"/>
        <w:rPr>
          <w:rFonts w:eastAsia="Arial"/>
        </w:rPr>
      </w:pPr>
      <w:bookmarkStart w:id="37" w:name="_17dp8vu" w:colFirst="0" w:colLast="0"/>
      <w:bookmarkStart w:id="38" w:name="_Toc137504678"/>
      <w:bookmarkEnd w:id="37"/>
      <w:r w:rsidRPr="003C71A4">
        <w:rPr>
          <w:rFonts w:eastAsia="Arial"/>
        </w:rPr>
        <w:t>2.</w:t>
      </w:r>
      <w:r>
        <w:rPr>
          <w:rFonts w:eastAsia="Arial"/>
        </w:rPr>
        <w:t>3.</w:t>
      </w:r>
      <w:r w:rsidRPr="003C71A4">
        <w:rPr>
          <w:rFonts w:eastAsia="Arial"/>
        </w:rPr>
        <w:t>1 Literature search</w:t>
      </w:r>
      <w:bookmarkEnd w:id="38"/>
      <w:r w:rsidRPr="003C71A4">
        <w:rPr>
          <w:rFonts w:eastAsia="Arial"/>
        </w:rPr>
        <w:t xml:space="preserve"> </w:t>
      </w:r>
    </w:p>
    <w:p w14:paraId="77E6FB3A" w14:textId="21763D9F" w:rsidR="0060408E" w:rsidRDefault="0060408E" w:rsidP="00DB19B8">
      <w:pPr>
        <w:rPr>
          <w:rFonts w:eastAsia="Arial"/>
          <w:i/>
        </w:rPr>
      </w:pPr>
      <w:r w:rsidRPr="003C71A4">
        <w:rPr>
          <w:rFonts w:eastAsia="Arial"/>
        </w:rPr>
        <w:t>A</w:t>
      </w:r>
      <w:r>
        <w:rPr>
          <w:rFonts w:eastAsia="Arial"/>
        </w:rPr>
        <w:t>n original</w:t>
      </w:r>
      <w:r w:rsidRPr="003C71A4">
        <w:rPr>
          <w:rFonts w:eastAsia="Arial"/>
        </w:rPr>
        <w:t xml:space="preserve"> systematic literature search of the PubMed and Science Direct</w:t>
      </w:r>
      <w:r>
        <w:rPr>
          <w:rFonts w:eastAsia="Arial"/>
        </w:rPr>
        <w:t>,</w:t>
      </w:r>
      <w:r w:rsidRPr="003C71A4">
        <w:rPr>
          <w:rFonts w:eastAsia="Arial"/>
        </w:rPr>
        <w:t xml:space="preserve"> and Embase databases was conducted on 1</w:t>
      </w:r>
      <w:r>
        <w:rPr>
          <w:rFonts w:eastAsia="Arial"/>
        </w:rPr>
        <w:t>7</w:t>
      </w:r>
      <w:r w:rsidRPr="003C71A4">
        <w:rPr>
          <w:rFonts w:eastAsia="Arial"/>
        </w:rPr>
        <w:t>/0</w:t>
      </w:r>
      <w:r>
        <w:rPr>
          <w:rFonts w:eastAsia="Arial"/>
        </w:rPr>
        <w:t>8</w:t>
      </w:r>
      <w:r w:rsidRPr="003C71A4">
        <w:rPr>
          <w:rFonts w:eastAsia="Arial"/>
        </w:rPr>
        <w:t>/2021 to capture relevant studies.</w:t>
      </w:r>
      <w:r>
        <w:rPr>
          <w:rFonts w:eastAsia="Arial"/>
        </w:rPr>
        <w:t xml:space="preserve"> </w:t>
      </w:r>
      <w:r w:rsidRPr="003C71A4">
        <w:rPr>
          <w:rFonts w:eastAsia="Arial"/>
        </w:rPr>
        <w:t xml:space="preserve">The search terms to identify relevant publications were </w:t>
      </w:r>
      <w:r>
        <w:rPr>
          <w:rFonts w:eastAsia="Arial"/>
          <w:i/>
        </w:rPr>
        <w:t>"</w:t>
      </w:r>
      <w:r w:rsidRPr="003C71A4">
        <w:rPr>
          <w:rFonts w:eastAsia="Arial"/>
          <w:i/>
        </w:rPr>
        <w:t>conversion disorder</w:t>
      </w:r>
      <w:r>
        <w:rPr>
          <w:rFonts w:eastAsia="Arial"/>
          <w:i/>
        </w:rPr>
        <w:t>"</w:t>
      </w:r>
      <w:r w:rsidRPr="003C71A4">
        <w:rPr>
          <w:rFonts w:eastAsia="Arial"/>
          <w:i/>
        </w:rPr>
        <w:t xml:space="preserve"> OR </w:t>
      </w:r>
      <w:r>
        <w:rPr>
          <w:rFonts w:eastAsia="Arial"/>
          <w:i/>
        </w:rPr>
        <w:t>"</w:t>
      </w:r>
      <w:r w:rsidRPr="003C71A4">
        <w:rPr>
          <w:rFonts w:eastAsia="Arial"/>
          <w:i/>
        </w:rPr>
        <w:t>functional neurological disorder</w:t>
      </w:r>
      <w:r>
        <w:rPr>
          <w:rFonts w:eastAsia="Arial"/>
          <w:i/>
        </w:rPr>
        <w:t>"</w:t>
      </w:r>
      <w:r w:rsidRPr="003C71A4">
        <w:rPr>
          <w:rFonts w:eastAsia="Arial"/>
          <w:i/>
        </w:rPr>
        <w:t xml:space="preserve"> OR </w:t>
      </w:r>
      <w:r>
        <w:rPr>
          <w:rFonts w:eastAsia="Arial"/>
          <w:i/>
        </w:rPr>
        <w:t>"</w:t>
      </w:r>
      <w:r w:rsidRPr="003C71A4">
        <w:rPr>
          <w:rFonts w:eastAsia="Arial"/>
          <w:i/>
        </w:rPr>
        <w:t>psychogenic</w:t>
      </w:r>
      <w:r>
        <w:rPr>
          <w:rFonts w:eastAsia="Arial"/>
          <w:i/>
        </w:rPr>
        <w:t>"</w:t>
      </w:r>
      <w:r w:rsidRPr="003C71A4">
        <w:rPr>
          <w:rFonts w:eastAsia="Arial"/>
          <w:i/>
        </w:rPr>
        <w:t xml:space="preserve"> OR </w:t>
      </w:r>
      <w:r>
        <w:rPr>
          <w:rFonts w:eastAsia="Arial"/>
          <w:i/>
        </w:rPr>
        <w:t>"</w:t>
      </w:r>
      <w:r w:rsidRPr="003C71A4">
        <w:rPr>
          <w:rFonts w:eastAsia="Arial"/>
          <w:i/>
        </w:rPr>
        <w:t>non-epileptic</w:t>
      </w:r>
      <w:r>
        <w:rPr>
          <w:rFonts w:eastAsia="Arial"/>
          <w:i/>
        </w:rPr>
        <w:t>"</w:t>
      </w:r>
      <w:r w:rsidRPr="003C71A4">
        <w:rPr>
          <w:rFonts w:eastAsia="Arial"/>
          <w:i/>
        </w:rPr>
        <w:t xml:space="preserve"> OR </w:t>
      </w:r>
      <w:r>
        <w:rPr>
          <w:rFonts w:eastAsia="Arial"/>
          <w:i/>
        </w:rPr>
        <w:t>"</w:t>
      </w:r>
      <w:r w:rsidRPr="003C71A4">
        <w:rPr>
          <w:rFonts w:eastAsia="Arial"/>
          <w:i/>
        </w:rPr>
        <w:t>dissociative seizures</w:t>
      </w:r>
      <w:r>
        <w:rPr>
          <w:rFonts w:eastAsia="Arial"/>
          <w:i/>
        </w:rPr>
        <w:t>"</w:t>
      </w:r>
      <w:r w:rsidRPr="003C71A4">
        <w:rPr>
          <w:rFonts w:eastAsia="Arial"/>
          <w:i/>
        </w:rPr>
        <w:t>) AND (</w:t>
      </w:r>
      <w:r>
        <w:rPr>
          <w:rFonts w:eastAsia="Arial"/>
          <w:i/>
        </w:rPr>
        <w:t>"</w:t>
      </w:r>
      <w:r w:rsidRPr="003C71A4">
        <w:rPr>
          <w:rFonts w:eastAsia="Arial"/>
          <w:i/>
        </w:rPr>
        <w:t>heart rate</w:t>
      </w:r>
      <w:r>
        <w:rPr>
          <w:rFonts w:eastAsia="Arial"/>
          <w:i/>
        </w:rPr>
        <w:t>"</w:t>
      </w:r>
      <w:r w:rsidRPr="003C71A4">
        <w:rPr>
          <w:rFonts w:eastAsia="Arial"/>
          <w:i/>
        </w:rPr>
        <w:t xml:space="preserve">, </w:t>
      </w:r>
      <w:r>
        <w:rPr>
          <w:rFonts w:eastAsia="Arial"/>
          <w:i/>
        </w:rPr>
        <w:t>"</w:t>
      </w:r>
      <w:r w:rsidRPr="003C71A4">
        <w:rPr>
          <w:rFonts w:eastAsia="Arial"/>
          <w:i/>
        </w:rPr>
        <w:t>heart rate variability</w:t>
      </w:r>
      <w:r>
        <w:rPr>
          <w:rFonts w:eastAsia="Arial"/>
          <w:i/>
        </w:rPr>
        <w:t>"</w:t>
      </w:r>
      <w:r w:rsidRPr="003C71A4">
        <w:rPr>
          <w:rFonts w:eastAsia="Arial"/>
          <w:i/>
        </w:rPr>
        <w:t xml:space="preserve">, </w:t>
      </w:r>
      <w:r>
        <w:rPr>
          <w:rFonts w:eastAsia="Arial"/>
          <w:i/>
        </w:rPr>
        <w:t>"</w:t>
      </w:r>
      <w:r w:rsidRPr="003C71A4">
        <w:rPr>
          <w:rFonts w:eastAsia="Arial"/>
          <w:i/>
        </w:rPr>
        <w:t>interoception</w:t>
      </w:r>
      <w:r>
        <w:rPr>
          <w:rFonts w:eastAsia="Arial"/>
          <w:i/>
        </w:rPr>
        <w:t>"</w:t>
      </w:r>
      <w:r w:rsidRPr="003C71A4">
        <w:rPr>
          <w:rFonts w:eastAsia="Arial"/>
          <w:i/>
        </w:rPr>
        <w:t xml:space="preserve"> </w:t>
      </w:r>
      <w:r>
        <w:rPr>
          <w:rFonts w:eastAsia="Arial"/>
          <w:i/>
        </w:rPr>
        <w:t>"</w:t>
      </w:r>
      <w:r w:rsidRPr="003C71A4">
        <w:rPr>
          <w:rFonts w:eastAsia="Arial"/>
          <w:i/>
        </w:rPr>
        <w:t>interoceptive sensitivity</w:t>
      </w:r>
      <w:r>
        <w:rPr>
          <w:rFonts w:eastAsia="Arial"/>
          <w:i/>
        </w:rPr>
        <w:t>"</w:t>
      </w:r>
      <w:r w:rsidRPr="003C71A4">
        <w:rPr>
          <w:rFonts w:eastAsia="Arial"/>
          <w:i/>
        </w:rPr>
        <w:t xml:space="preserve"> </w:t>
      </w:r>
      <w:r>
        <w:rPr>
          <w:rFonts w:eastAsia="Arial"/>
          <w:i/>
        </w:rPr>
        <w:t>"</w:t>
      </w:r>
      <w:r w:rsidRPr="003C71A4">
        <w:rPr>
          <w:rFonts w:eastAsia="Arial"/>
          <w:i/>
        </w:rPr>
        <w:t>interoceptive ability</w:t>
      </w:r>
      <w:r>
        <w:rPr>
          <w:rFonts w:eastAsia="Arial"/>
          <w:i/>
        </w:rPr>
        <w:t>"</w:t>
      </w:r>
      <w:r w:rsidRPr="003C71A4">
        <w:rPr>
          <w:rFonts w:eastAsia="Arial"/>
          <w:i/>
        </w:rPr>
        <w:t xml:space="preserve"> </w:t>
      </w:r>
      <w:r>
        <w:rPr>
          <w:rFonts w:eastAsia="Arial"/>
          <w:i/>
        </w:rPr>
        <w:t>"</w:t>
      </w:r>
      <w:r w:rsidRPr="003C71A4">
        <w:rPr>
          <w:rFonts w:eastAsia="Arial"/>
          <w:i/>
        </w:rPr>
        <w:t>cortisol</w:t>
      </w:r>
      <w:r>
        <w:rPr>
          <w:rFonts w:eastAsia="Arial"/>
          <w:i/>
        </w:rPr>
        <w:t>"</w:t>
      </w:r>
      <w:r w:rsidRPr="003C71A4">
        <w:rPr>
          <w:rFonts w:eastAsia="Arial"/>
          <w:i/>
        </w:rPr>
        <w:t xml:space="preserve">, </w:t>
      </w:r>
      <w:r>
        <w:rPr>
          <w:rFonts w:eastAsia="Arial"/>
          <w:i/>
        </w:rPr>
        <w:t>"</w:t>
      </w:r>
      <w:r w:rsidRPr="003C71A4">
        <w:rPr>
          <w:rFonts w:eastAsia="Arial"/>
          <w:i/>
        </w:rPr>
        <w:t>respiration</w:t>
      </w:r>
      <w:r>
        <w:rPr>
          <w:rFonts w:eastAsia="Arial"/>
          <w:i/>
        </w:rPr>
        <w:t>"</w:t>
      </w:r>
      <w:r w:rsidRPr="003C71A4">
        <w:rPr>
          <w:rFonts w:eastAsia="Arial"/>
          <w:i/>
        </w:rPr>
        <w:t xml:space="preserve"> </w:t>
      </w:r>
      <w:r>
        <w:rPr>
          <w:rFonts w:eastAsia="Arial"/>
          <w:i/>
        </w:rPr>
        <w:t>"</w:t>
      </w:r>
      <w:r w:rsidRPr="003C71A4">
        <w:rPr>
          <w:rFonts w:eastAsia="Arial"/>
          <w:i/>
        </w:rPr>
        <w:t>skin conductance</w:t>
      </w:r>
      <w:r>
        <w:rPr>
          <w:rFonts w:eastAsia="Arial"/>
          <w:i/>
        </w:rPr>
        <w:t>"</w:t>
      </w:r>
      <w:r w:rsidRPr="003C71A4">
        <w:rPr>
          <w:rFonts w:eastAsia="Arial"/>
          <w:i/>
        </w:rPr>
        <w:t xml:space="preserve"> </w:t>
      </w:r>
      <w:r>
        <w:rPr>
          <w:rFonts w:eastAsia="Arial"/>
          <w:i/>
        </w:rPr>
        <w:t>"</w:t>
      </w:r>
      <w:r w:rsidRPr="003C71A4">
        <w:rPr>
          <w:rFonts w:eastAsia="Arial"/>
          <w:i/>
        </w:rPr>
        <w:t>stress</w:t>
      </w:r>
      <w:r>
        <w:rPr>
          <w:rFonts w:eastAsia="Arial"/>
          <w:i/>
        </w:rPr>
        <w:t>"</w:t>
      </w:r>
      <w:r w:rsidRPr="003C71A4">
        <w:rPr>
          <w:rFonts w:eastAsia="Arial"/>
          <w:i/>
        </w:rPr>
        <w:t xml:space="preserve"> </w:t>
      </w:r>
      <w:r>
        <w:rPr>
          <w:rFonts w:eastAsia="Arial"/>
          <w:i/>
        </w:rPr>
        <w:t>"</w:t>
      </w:r>
      <w:r w:rsidRPr="003C71A4">
        <w:rPr>
          <w:rFonts w:eastAsia="Arial"/>
          <w:i/>
        </w:rPr>
        <w:t>distress</w:t>
      </w:r>
      <w:r>
        <w:rPr>
          <w:rFonts w:eastAsia="Arial"/>
          <w:i/>
        </w:rPr>
        <w:t>"</w:t>
      </w:r>
      <w:r w:rsidRPr="003C71A4">
        <w:rPr>
          <w:rFonts w:eastAsia="Arial"/>
          <w:i/>
        </w:rPr>
        <w:t xml:space="preserve"> </w:t>
      </w:r>
      <w:r>
        <w:rPr>
          <w:rFonts w:eastAsia="Arial"/>
          <w:i/>
        </w:rPr>
        <w:t>"</w:t>
      </w:r>
      <w:r w:rsidRPr="003C71A4">
        <w:rPr>
          <w:rFonts w:eastAsia="Arial"/>
          <w:i/>
        </w:rPr>
        <w:t>arousal</w:t>
      </w:r>
      <w:r>
        <w:rPr>
          <w:rFonts w:eastAsia="Arial"/>
          <w:i/>
        </w:rPr>
        <w:t>"</w:t>
      </w:r>
      <w:r w:rsidRPr="003C71A4">
        <w:rPr>
          <w:rFonts w:eastAsia="Arial"/>
          <w:i/>
        </w:rPr>
        <w:t xml:space="preserve"> </w:t>
      </w:r>
      <w:r>
        <w:rPr>
          <w:rFonts w:eastAsia="Arial"/>
          <w:i/>
        </w:rPr>
        <w:t>"</w:t>
      </w:r>
      <w:r w:rsidRPr="003C71A4">
        <w:rPr>
          <w:rFonts w:eastAsia="Arial"/>
          <w:i/>
        </w:rPr>
        <w:t>anxiety</w:t>
      </w:r>
      <w:r>
        <w:rPr>
          <w:rFonts w:eastAsia="Arial"/>
          <w:i/>
        </w:rPr>
        <w:t>"</w:t>
      </w:r>
      <w:r w:rsidRPr="003C71A4">
        <w:rPr>
          <w:rFonts w:eastAsia="Arial"/>
          <w:i/>
        </w:rPr>
        <w:t xml:space="preserve"> </w:t>
      </w:r>
      <w:r>
        <w:rPr>
          <w:rFonts w:eastAsia="Arial"/>
          <w:i/>
        </w:rPr>
        <w:t>"</w:t>
      </w:r>
      <w:r w:rsidRPr="003C71A4">
        <w:rPr>
          <w:rFonts w:eastAsia="Arial"/>
          <w:i/>
        </w:rPr>
        <w:t>blood pressure</w:t>
      </w:r>
      <w:r>
        <w:rPr>
          <w:rFonts w:eastAsia="Arial"/>
          <w:i/>
        </w:rPr>
        <w:t>"</w:t>
      </w:r>
      <w:r w:rsidRPr="003C71A4">
        <w:rPr>
          <w:rFonts w:eastAsia="Arial"/>
          <w:i/>
        </w:rPr>
        <w:t>) AND (</w:t>
      </w:r>
      <w:r>
        <w:rPr>
          <w:rFonts w:eastAsia="Arial"/>
          <w:i/>
        </w:rPr>
        <w:t>"</w:t>
      </w:r>
      <w:r w:rsidRPr="003C71A4">
        <w:rPr>
          <w:rFonts w:eastAsia="Arial"/>
          <w:i/>
        </w:rPr>
        <w:t>subjective</w:t>
      </w:r>
      <w:r>
        <w:rPr>
          <w:rFonts w:eastAsia="Arial"/>
          <w:i/>
        </w:rPr>
        <w:t>"</w:t>
      </w:r>
      <w:r w:rsidRPr="003C71A4">
        <w:rPr>
          <w:rFonts w:eastAsia="Arial"/>
          <w:i/>
        </w:rPr>
        <w:t xml:space="preserve"> OR </w:t>
      </w:r>
      <w:r>
        <w:rPr>
          <w:rFonts w:eastAsia="Arial"/>
          <w:i/>
        </w:rPr>
        <w:t>"</w:t>
      </w:r>
      <w:r w:rsidRPr="003C71A4">
        <w:rPr>
          <w:rFonts w:eastAsia="Arial"/>
          <w:i/>
        </w:rPr>
        <w:t>self-report</w:t>
      </w:r>
      <w:r>
        <w:rPr>
          <w:rFonts w:eastAsia="Arial"/>
          <w:i/>
        </w:rPr>
        <w:t>"</w:t>
      </w:r>
      <w:r w:rsidRPr="003C71A4">
        <w:rPr>
          <w:rFonts w:eastAsia="Arial"/>
          <w:i/>
        </w:rPr>
        <w:t xml:space="preserve"> OR </w:t>
      </w:r>
      <w:r>
        <w:rPr>
          <w:rFonts w:eastAsia="Arial"/>
          <w:i/>
        </w:rPr>
        <w:t>"</w:t>
      </w:r>
      <w:r w:rsidRPr="003C71A4">
        <w:rPr>
          <w:rFonts w:eastAsia="Arial"/>
          <w:i/>
        </w:rPr>
        <w:t>questionnaire</w:t>
      </w:r>
      <w:r>
        <w:rPr>
          <w:rFonts w:eastAsia="Arial"/>
          <w:i/>
        </w:rPr>
        <w:t>"</w:t>
      </w:r>
      <w:r w:rsidR="00400BA2">
        <w:rPr>
          <w:rFonts w:eastAsia="Arial"/>
          <w:i/>
        </w:rPr>
        <w:t>)</w:t>
      </w:r>
      <w:r w:rsidRPr="003C71A4">
        <w:rPr>
          <w:rFonts w:eastAsia="Arial"/>
          <w:i/>
        </w:rPr>
        <w:t>.</w:t>
      </w:r>
    </w:p>
    <w:p w14:paraId="3F1905A7" w14:textId="77777777" w:rsidR="0060408E" w:rsidRPr="0060408E" w:rsidRDefault="0060408E" w:rsidP="00DB19B8">
      <w:pPr>
        <w:rPr>
          <w:rFonts w:eastAsia="Arial"/>
          <w:i/>
        </w:rPr>
      </w:pPr>
    </w:p>
    <w:p w14:paraId="7340DA6D" w14:textId="77777777" w:rsidR="0060408E" w:rsidRPr="003C71A4" w:rsidRDefault="0060408E" w:rsidP="00DB19B8">
      <w:pPr>
        <w:rPr>
          <w:rFonts w:eastAsia="Arial"/>
        </w:rPr>
      </w:pPr>
      <w:r w:rsidRPr="003C71A4">
        <w:rPr>
          <w:rFonts w:eastAsia="Arial"/>
        </w:rPr>
        <w:t xml:space="preserve">Following </w:t>
      </w:r>
      <w:r>
        <w:rPr>
          <w:rFonts w:eastAsia="Arial"/>
        </w:rPr>
        <w:t xml:space="preserve">the </w:t>
      </w:r>
      <w:r w:rsidRPr="003C71A4">
        <w:rPr>
          <w:rFonts w:eastAsia="Arial"/>
        </w:rPr>
        <w:t xml:space="preserve">removal of duplicates and citations from non-English journals, paper titles and abstracts were scrutinised by </w:t>
      </w:r>
      <w:r>
        <w:rPr>
          <w:rFonts w:eastAsia="Arial"/>
        </w:rPr>
        <w:t>J.A.</w:t>
      </w:r>
      <w:r w:rsidRPr="003C71A4">
        <w:rPr>
          <w:rFonts w:eastAsia="Arial"/>
        </w:rPr>
        <w:t xml:space="preserve"> in a first screening to identify potentially eligible studies; those evidently outside the scope of the review were rejected.</w:t>
      </w:r>
      <w:r>
        <w:rPr>
          <w:rFonts w:eastAsia="Arial"/>
        </w:rPr>
        <w:t xml:space="preserve"> </w:t>
      </w:r>
      <w:r w:rsidRPr="003C71A4">
        <w:rPr>
          <w:rFonts w:eastAsia="Arial"/>
        </w:rPr>
        <w:t>Full-text articles of the remaining studies were screened using the defined inclusion criteria.</w:t>
      </w:r>
      <w:r>
        <w:rPr>
          <w:rFonts w:eastAsia="Arial"/>
        </w:rPr>
        <w:t xml:space="preserve"> </w:t>
      </w:r>
      <w:r w:rsidRPr="003C71A4">
        <w:rPr>
          <w:rFonts w:eastAsia="Arial"/>
        </w:rPr>
        <w:t>The reference lists of eligible studies and reviews were searched for additional articles.</w:t>
      </w:r>
      <w:r>
        <w:rPr>
          <w:rFonts w:eastAsia="Arial"/>
        </w:rPr>
        <w:t xml:space="preserve"> </w:t>
      </w:r>
      <w:r w:rsidRPr="003C71A4">
        <w:rPr>
          <w:rFonts w:eastAsia="Arial"/>
        </w:rPr>
        <w:t xml:space="preserve">Several synonyms for </w:t>
      </w:r>
      <w:r>
        <w:rPr>
          <w:rFonts w:eastAsia="Arial"/>
        </w:rPr>
        <w:t>F.S.</w:t>
      </w:r>
      <w:r w:rsidRPr="003C71A4">
        <w:rPr>
          <w:rFonts w:eastAsia="Arial"/>
        </w:rPr>
        <w:t xml:space="preserve"> and </w:t>
      </w:r>
      <w:r>
        <w:rPr>
          <w:rFonts w:eastAsia="Arial"/>
        </w:rPr>
        <w:t>FNSD</w:t>
      </w:r>
      <w:r w:rsidRPr="003C71A4">
        <w:rPr>
          <w:rFonts w:eastAsia="Arial"/>
        </w:rPr>
        <w:t xml:space="preserve"> were used to capture the relevant subject population.</w:t>
      </w:r>
      <w:r>
        <w:rPr>
          <w:rFonts w:eastAsia="Arial"/>
        </w:rPr>
        <w:t xml:space="preserve"> </w:t>
      </w:r>
      <w:r w:rsidRPr="003C71A4">
        <w:rPr>
          <w:rFonts w:eastAsia="Arial"/>
        </w:rPr>
        <w:t>These were used in combination with terms describing commonly used objective and subjective measures of d</w:t>
      </w:r>
      <w:r>
        <w:rPr>
          <w:rFonts w:eastAsia="Arial"/>
        </w:rPr>
        <w:t>i</w:t>
      </w:r>
      <w:r w:rsidRPr="003C71A4">
        <w:rPr>
          <w:rFonts w:eastAsia="Arial"/>
        </w:rPr>
        <w:t>stress, arousal and symptom burden.</w:t>
      </w:r>
    </w:p>
    <w:p w14:paraId="1A087944" w14:textId="77777777" w:rsidR="0060408E" w:rsidRPr="003C71A4" w:rsidRDefault="0060408E" w:rsidP="00DB19B8">
      <w:pPr>
        <w:rPr>
          <w:rFonts w:eastAsia="Arial"/>
        </w:rPr>
      </w:pPr>
    </w:p>
    <w:p w14:paraId="5220EE4F" w14:textId="13046DDD" w:rsidR="0060408E" w:rsidRPr="003C71A4" w:rsidRDefault="0060408E" w:rsidP="0060408E">
      <w:pPr>
        <w:pStyle w:val="Heading3"/>
        <w:rPr>
          <w:rFonts w:eastAsia="Arial"/>
        </w:rPr>
      </w:pPr>
      <w:bookmarkStart w:id="39" w:name="_3rdcrjn" w:colFirst="0" w:colLast="0"/>
      <w:bookmarkStart w:id="40" w:name="_Toc137504679"/>
      <w:bookmarkEnd w:id="39"/>
      <w:r>
        <w:rPr>
          <w:rFonts w:eastAsia="Arial"/>
        </w:rPr>
        <w:lastRenderedPageBreak/>
        <w:t>2.3</w:t>
      </w:r>
      <w:r w:rsidRPr="003C71A4">
        <w:rPr>
          <w:rFonts w:eastAsia="Arial"/>
        </w:rPr>
        <w:t>.2 Study Selection</w:t>
      </w:r>
      <w:bookmarkEnd w:id="40"/>
    </w:p>
    <w:p w14:paraId="546326E9" w14:textId="77777777" w:rsidR="0060408E" w:rsidRPr="003C71A4" w:rsidRDefault="0060408E" w:rsidP="00DB19B8">
      <w:pPr>
        <w:rPr>
          <w:rFonts w:eastAsia="Arial"/>
        </w:rPr>
      </w:pPr>
      <w:r w:rsidRPr="003C71A4">
        <w:rPr>
          <w:rFonts w:eastAsia="Arial"/>
        </w:rPr>
        <w:t>Studies were included if the following criteria were met: 1) they report on patients with functional neurological disorders, described as functional, non-organic, psychogenic, hysterical or conversion disorder; 2) they report data measuring stress, distress, arousal or symptom burden with at least 1 objective (physiological) outcome and at least 1 subjective (self-reported) outcome; 3) the size of each patient group was at least 10.</w:t>
      </w:r>
      <w:r>
        <w:rPr>
          <w:rFonts w:eastAsia="Arial"/>
        </w:rPr>
        <w:t xml:space="preserve"> </w:t>
      </w:r>
      <w:r w:rsidRPr="003C71A4">
        <w:rPr>
          <w:rFonts w:eastAsia="Arial"/>
        </w:rPr>
        <w:t>Studies in paediatric</w:t>
      </w:r>
      <w:r>
        <w:rPr>
          <w:rFonts w:eastAsia="Arial"/>
        </w:rPr>
        <w:t>,</w:t>
      </w:r>
      <w:r w:rsidRPr="003C71A4">
        <w:rPr>
          <w:rFonts w:eastAsia="Arial"/>
        </w:rPr>
        <w:t xml:space="preserve"> adult populations and studies with or without healthy controls were included. </w:t>
      </w:r>
    </w:p>
    <w:p w14:paraId="7AD8AD28" w14:textId="77777777" w:rsidR="0060408E" w:rsidRPr="00B21C5B" w:rsidRDefault="0060408E" w:rsidP="00DB19B8">
      <w:pPr>
        <w:rPr>
          <w:rFonts w:eastAsia="Arial"/>
        </w:rPr>
      </w:pPr>
      <w:r w:rsidRPr="003C71A4">
        <w:rPr>
          <w:rFonts w:eastAsia="Arial"/>
        </w:rPr>
        <w:t xml:space="preserve">For studies to be included, </w:t>
      </w:r>
      <w:r>
        <w:rPr>
          <w:rFonts w:eastAsia="Arial"/>
        </w:rPr>
        <w:t xml:space="preserve">diagnostic criteria for patients had to </w:t>
      </w:r>
      <w:r w:rsidRPr="003C71A4">
        <w:rPr>
          <w:rFonts w:eastAsia="Arial"/>
        </w:rPr>
        <w:t xml:space="preserve">meet DSM-5 criteria for </w:t>
      </w:r>
      <w:r>
        <w:rPr>
          <w:rFonts w:eastAsia="Arial"/>
        </w:rPr>
        <w:t>FNSD</w:t>
      </w:r>
      <w:r w:rsidRPr="003C71A4">
        <w:rPr>
          <w:rFonts w:eastAsia="Arial"/>
        </w:rPr>
        <w:t xml:space="preserve"> </w:t>
      </w:r>
      <w:r>
        <w:rPr>
          <w:rFonts w:eastAsia="Arial"/>
        </w:rPr>
        <w:t xml:space="preserve">by individual study authors </w:t>
      </w:r>
      <w:r w:rsidRPr="003C71A4">
        <w:rPr>
          <w:rFonts w:eastAsia="Arial"/>
        </w:rPr>
        <w:t>or by the authors of this current</w:t>
      </w:r>
      <w:r>
        <w:rPr>
          <w:rFonts w:eastAsia="Arial"/>
        </w:rPr>
        <w:t xml:space="preserve"> review if predating the DSM-5. </w:t>
      </w:r>
    </w:p>
    <w:p w14:paraId="6577C2AD" w14:textId="77777777" w:rsidR="0060408E" w:rsidRPr="00B21C5B" w:rsidRDefault="0060408E" w:rsidP="00DB19B8">
      <w:pPr>
        <w:rPr>
          <w:rFonts w:eastAsia="Arial"/>
        </w:rPr>
      </w:pPr>
      <w:r w:rsidRPr="00B21C5B">
        <w:rPr>
          <w:rFonts w:eastAsia="Arial"/>
        </w:rPr>
        <w:t xml:space="preserve">The descriptive terminology for objectivity and subjectivity in literature was </w:t>
      </w:r>
      <w:r>
        <w:rPr>
          <w:rFonts w:eastAsia="Arial"/>
        </w:rPr>
        <w:t>ill-defined. To address</w:t>
      </w:r>
      <w:r w:rsidRPr="00B21C5B">
        <w:rPr>
          <w:rFonts w:eastAsia="Arial"/>
        </w:rPr>
        <w:t xml:space="preserve"> the research question </w:t>
      </w:r>
      <w:r>
        <w:rPr>
          <w:rFonts w:eastAsia="Arial"/>
        </w:rPr>
        <w:t xml:space="preserve">accurately, </w:t>
      </w:r>
      <w:r w:rsidRPr="00B21C5B">
        <w:rPr>
          <w:rFonts w:eastAsia="Arial"/>
        </w:rPr>
        <w:t>there was a need to impose a taxonomy to allow quantitative study and analysis.</w:t>
      </w:r>
      <w:r>
        <w:rPr>
          <w:rFonts w:eastAsia="Arial"/>
        </w:rPr>
        <w:t xml:space="preserve"> "</w:t>
      </w:r>
      <w:r w:rsidRPr="00B21C5B">
        <w:rPr>
          <w:rFonts w:eastAsia="Arial"/>
        </w:rPr>
        <w:t>Objective</w:t>
      </w:r>
      <w:r>
        <w:rPr>
          <w:rFonts w:eastAsia="Arial"/>
        </w:rPr>
        <w:t>"</w:t>
      </w:r>
      <w:r w:rsidRPr="00B21C5B">
        <w:rPr>
          <w:rFonts w:eastAsia="Arial"/>
        </w:rPr>
        <w:t xml:space="preserve"> outcome measures were defined as those having a physiological or biological basis</w:t>
      </w:r>
      <w:r>
        <w:rPr>
          <w:rFonts w:eastAsia="Arial"/>
        </w:rPr>
        <w:t>,</w:t>
      </w:r>
      <w:r w:rsidRPr="00B21C5B">
        <w:rPr>
          <w:rFonts w:eastAsia="Arial"/>
        </w:rPr>
        <w:t xml:space="preserve"> and/or explicitly measuring physiological or cognitive functioning with minimal interference/bias/ influence of </w:t>
      </w:r>
      <w:r>
        <w:rPr>
          <w:rFonts w:eastAsia="Arial"/>
        </w:rPr>
        <w:t>patients'</w:t>
      </w:r>
      <w:r w:rsidRPr="00B21C5B">
        <w:rPr>
          <w:rFonts w:eastAsia="Arial"/>
        </w:rPr>
        <w:t xml:space="preserve"> own perception.</w:t>
      </w:r>
      <w:r>
        <w:rPr>
          <w:rFonts w:eastAsia="Arial"/>
        </w:rPr>
        <w:t xml:space="preserve"> "</w:t>
      </w:r>
      <w:r w:rsidRPr="00B21C5B">
        <w:rPr>
          <w:rFonts w:eastAsia="Arial"/>
        </w:rPr>
        <w:t>Subjective</w:t>
      </w:r>
      <w:r>
        <w:rPr>
          <w:rFonts w:eastAsia="Arial"/>
        </w:rPr>
        <w:t>"</w:t>
      </w:r>
      <w:r w:rsidRPr="00B21C5B">
        <w:rPr>
          <w:rFonts w:eastAsia="Arial"/>
        </w:rPr>
        <w:t xml:space="preserve"> measures were defined as measures </w:t>
      </w:r>
      <w:r>
        <w:rPr>
          <w:rFonts w:eastAsia="Arial"/>
        </w:rPr>
        <w:t xml:space="preserve">completed </w:t>
      </w:r>
      <w:r w:rsidRPr="00B21C5B">
        <w:rPr>
          <w:rFonts w:eastAsia="Arial"/>
        </w:rPr>
        <w:t>by patients/study participants with quantifiable ordinal scoring.</w:t>
      </w:r>
      <w:r>
        <w:rPr>
          <w:rFonts w:eastAsia="Arial"/>
        </w:rPr>
        <w:t xml:space="preserve"> </w:t>
      </w:r>
      <w:r w:rsidRPr="00B21C5B">
        <w:rPr>
          <w:rFonts w:eastAsia="Arial"/>
        </w:rPr>
        <w:t>This excluded qualitative assessment or data acquired from unstructured interviews.</w:t>
      </w:r>
    </w:p>
    <w:p w14:paraId="3E745D76" w14:textId="77777777" w:rsidR="0060408E" w:rsidRPr="00B21C5B" w:rsidRDefault="0060408E" w:rsidP="00DB19B8">
      <w:pPr>
        <w:rPr>
          <w:rFonts w:eastAsia="Arial"/>
        </w:rPr>
      </w:pPr>
      <w:r w:rsidRPr="00B21C5B">
        <w:rPr>
          <w:rFonts w:eastAsia="Arial"/>
        </w:rPr>
        <w:t xml:space="preserve">Studies were excluded: 1) when only subjective or objective measures were utilised in isolation and not used in combination; 2) where the </w:t>
      </w:r>
      <w:r>
        <w:rPr>
          <w:rFonts w:eastAsia="Arial"/>
        </w:rPr>
        <w:t>FNSD</w:t>
      </w:r>
      <w:r w:rsidRPr="00B21C5B">
        <w:rPr>
          <w:rFonts w:eastAsia="Arial"/>
        </w:rPr>
        <w:t xml:space="preserve"> population included </w:t>
      </w:r>
      <w:r>
        <w:rPr>
          <w:rFonts w:eastAsia="Arial"/>
        </w:rPr>
        <w:t>patients</w:t>
      </w:r>
      <w:r w:rsidRPr="00B21C5B">
        <w:rPr>
          <w:rFonts w:eastAsia="Arial"/>
        </w:rPr>
        <w:t xml:space="preserve"> with comorbid organic disease – particularly in the case of non-epileptic seizures and epilepsy; 3) when the full text was not available; 4) when studies were not available in English.</w:t>
      </w:r>
      <w:r>
        <w:rPr>
          <w:rFonts w:eastAsia="Arial"/>
        </w:rPr>
        <w:t xml:space="preserve"> </w:t>
      </w:r>
      <w:r w:rsidRPr="00B21C5B">
        <w:rPr>
          <w:rFonts w:eastAsia="Arial"/>
        </w:rPr>
        <w:t>Other exclusion criteria included review articles, meta-analyses and case reports or series, conference abstracts, book reviews, journal notes, and journal letters.</w:t>
      </w:r>
      <w:r>
        <w:rPr>
          <w:rFonts w:eastAsia="Arial"/>
        </w:rPr>
        <w:t xml:space="preserve"> </w:t>
      </w:r>
      <w:r w:rsidRPr="00B21C5B">
        <w:rPr>
          <w:rFonts w:eastAsia="Arial"/>
        </w:rPr>
        <w:t>Figure 1 shows a PRISMA flow diagram of the systematic review methodology utilised for this article.</w:t>
      </w:r>
    </w:p>
    <w:p w14:paraId="11323FF4" w14:textId="67E3CE62" w:rsidR="0060408E" w:rsidRPr="00B21C5B" w:rsidRDefault="0060408E" w:rsidP="0060408E">
      <w:pPr>
        <w:pStyle w:val="Heading3"/>
        <w:rPr>
          <w:rFonts w:eastAsia="Arial"/>
        </w:rPr>
      </w:pPr>
      <w:bookmarkStart w:id="41" w:name="_26in1rg" w:colFirst="0" w:colLast="0"/>
      <w:bookmarkStart w:id="42" w:name="_Toc137504680"/>
      <w:bookmarkEnd w:id="41"/>
      <w:r w:rsidRPr="00B21C5B">
        <w:rPr>
          <w:rFonts w:eastAsia="Arial"/>
        </w:rPr>
        <w:t>2.3</w:t>
      </w:r>
      <w:r>
        <w:rPr>
          <w:rFonts w:eastAsia="Arial"/>
        </w:rPr>
        <w:t>.3</w:t>
      </w:r>
      <w:r w:rsidRPr="00B21C5B">
        <w:rPr>
          <w:rFonts w:eastAsia="Arial"/>
        </w:rPr>
        <w:t xml:space="preserve"> Data </w:t>
      </w:r>
      <w:r>
        <w:rPr>
          <w:rFonts w:eastAsia="Arial"/>
        </w:rPr>
        <w:t>E</w:t>
      </w:r>
      <w:r w:rsidRPr="00B21C5B">
        <w:rPr>
          <w:rFonts w:eastAsia="Arial"/>
        </w:rPr>
        <w:t xml:space="preserve">xtraction and </w:t>
      </w:r>
      <w:r>
        <w:rPr>
          <w:rFonts w:eastAsia="Arial"/>
        </w:rPr>
        <w:t>A</w:t>
      </w:r>
      <w:r w:rsidRPr="00B21C5B">
        <w:rPr>
          <w:rFonts w:eastAsia="Arial"/>
        </w:rPr>
        <w:t>nalysis</w:t>
      </w:r>
      <w:bookmarkEnd w:id="42"/>
    </w:p>
    <w:p w14:paraId="4FCC1D13" w14:textId="77777777" w:rsidR="0060408E" w:rsidRPr="00B21C5B" w:rsidRDefault="0060408E" w:rsidP="00DB19B8">
      <w:pPr>
        <w:rPr>
          <w:rFonts w:eastAsia="Arial"/>
        </w:rPr>
      </w:pPr>
      <w:r w:rsidRPr="00B21C5B">
        <w:rPr>
          <w:rFonts w:eastAsia="Arial"/>
        </w:rPr>
        <w:t xml:space="preserve">All articles were reviewed independently by </w:t>
      </w:r>
      <w:r>
        <w:rPr>
          <w:rFonts w:eastAsia="Arial"/>
        </w:rPr>
        <w:t>J.A</w:t>
      </w:r>
      <w:r w:rsidRPr="00B21C5B">
        <w:rPr>
          <w:rFonts w:eastAsia="Arial"/>
        </w:rPr>
        <w:t>.</w:t>
      </w:r>
      <w:r>
        <w:rPr>
          <w:rFonts w:eastAsia="Arial"/>
        </w:rPr>
        <w:t xml:space="preserve"> </w:t>
      </w:r>
      <w:r w:rsidRPr="00B21C5B">
        <w:rPr>
          <w:rFonts w:eastAsia="Arial"/>
        </w:rPr>
        <w:t xml:space="preserve">Data were systematically extracted regarding: (a) the </w:t>
      </w:r>
      <w:r>
        <w:rPr>
          <w:rFonts w:eastAsia="Arial"/>
        </w:rPr>
        <w:t>study's</w:t>
      </w:r>
      <w:r w:rsidRPr="00B21C5B">
        <w:rPr>
          <w:rFonts w:eastAsia="Arial"/>
        </w:rPr>
        <w:t xml:space="preserve"> investigative aim; (b) the symptoms of the </w:t>
      </w:r>
      <w:r>
        <w:rPr>
          <w:rFonts w:eastAsia="Arial"/>
        </w:rPr>
        <w:t>FNSD</w:t>
      </w:r>
      <w:r w:rsidRPr="00B21C5B">
        <w:rPr>
          <w:rFonts w:eastAsia="Arial"/>
        </w:rPr>
        <w:t xml:space="preserve"> population; (c) the objectives and outcome measures; (d) the study design; (e) the type of study; (f) the year of the study; (g) the main findings of the study; and (h) conclusions. </w:t>
      </w:r>
    </w:p>
    <w:p w14:paraId="64844CE6" w14:textId="77777777" w:rsidR="0060408E" w:rsidRPr="00B21C5B" w:rsidRDefault="0060408E" w:rsidP="00DB19B8">
      <w:pPr>
        <w:rPr>
          <w:rFonts w:eastAsia="Arial"/>
        </w:rPr>
      </w:pPr>
      <w:r w:rsidRPr="00B21C5B">
        <w:rPr>
          <w:rFonts w:eastAsia="Arial"/>
        </w:rPr>
        <w:lastRenderedPageBreak/>
        <w:t xml:space="preserve">For the sake of uniformity, we chose to use the term </w:t>
      </w:r>
      <w:r>
        <w:rPr>
          <w:rFonts w:eastAsia="Arial"/>
        </w:rPr>
        <w:t>'</w:t>
      </w:r>
      <w:r w:rsidRPr="00B21C5B">
        <w:rPr>
          <w:rFonts w:eastAsia="Arial"/>
        </w:rPr>
        <w:t>functional</w:t>
      </w:r>
      <w:r>
        <w:rPr>
          <w:rFonts w:eastAsia="Arial"/>
        </w:rPr>
        <w:t>'</w:t>
      </w:r>
      <w:r w:rsidRPr="00B21C5B">
        <w:rPr>
          <w:rFonts w:eastAsia="Arial"/>
        </w:rPr>
        <w:t xml:space="preserve"> in line</w:t>
      </w:r>
      <w:r>
        <w:rPr>
          <w:rFonts w:eastAsia="Arial"/>
        </w:rPr>
        <w:t xml:space="preserve"> </w:t>
      </w:r>
      <w:r w:rsidRPr="00B21C5B">
        <w:rPr>
          <w:rFonts w:eastAsia="Arial"/>
        </w:rPr>
        <w:t xml:space="preserve">with its use in the DSM-5 when describing different studies, even when the authors themselves used another terminology (i.e., </w:t>
      </w:r>
      <w:r>
        <w:rPr>
          <w:rFonts w:eastAsia="Arial"/>
        </w:rPr>
        <w:t>"</w:t>
      </w:r>
      <w:r w:rsidRPr="00B21C5B">
        <w:rPr>
          <w:rFonts w:eastAsia="Arial"/>
        </w:rPr>
        <w:t>hysterical</w:t>
      </w:r>
      <w:r>
        <w:rPr>
          <w:rFonts w:eastAsia="Arial"/>
        </w:rPr>
        <w:t>"</w:t>
      </w:r>
      <w:r w:rsidRPr="00B21C5B">
        <w:rPr>
          <w:rFonts w:eastAsia="Arial"/>
        </w:rPr>
        <w:t xml:space="preserve">, </w:t>
      </w:r>
      <w:r>
        <w:rPr>
          <w:rFonts w:eastAsia="Arial"/>
        </w:rPr>
        <w:t>"</w:t>
      </w:r>
      <w:r w:rsidRPr="00B21C5B">
        <w:rPr>
          <w:rFonts w:eastAsia="Arial"/>
        </w:rPr>
        <w:t>psychogenic</w:t>
      </w:r>
      <w:r>
        <w:rPr>
          <w:rFonts w:eastAsia="Arial"/>
        </w:rPr>
        <w:t>"</w:t>
      </w:r>
      <w:r w:rsidRPr="00B21C5B">
        <w:rPr>
          <w:rFonts w:eastAsia="Arial"/>
        </w:rPr>
        <w:t xml:space="preserve">, </w:t>
      </w:r>
      <w:r>
        <w:rPr>
          <w:rFonts w:eastAsia="Arial"/>
        </w:rPr>
        <w:t>"</w:t>
      </w:r>
      <w:r w:rsidRPr="00B21C5B">
        <w:rPr>
          <w:rFonts w:eastAsia="Arial"/>
        </w:rPr>
        <w:t>conversion</w:t>
      </w:r>
      <w:r>
        <w:rPr>
          <w:rFonts w:eastAsia="Arial"/>
        </w:rPr>
        <w:t>"</w:t>
      </w:r>
      <w:r w:rsidRPr="00B21C5B">
        <w:rPr>
          <w:rFonts w:eastAsia="Arial"/>
        </w:rPr>
        <w:t xml:space="preserve">, </w:t>
      </w:r>
      <w:r>
        <w:rPr>
          <w:rFonts w:eastAsia="Arial"/>
        </w:rPr>
        <w:t>"</w:t>
      </w:r>
      <w:r w:rsidRPr="00B21C5B">
        <w:rPr>
          <w:rFonts w:eastAsia="Arial"/>
        </w:rPr>
        <w:t>medically unexplained</w:t>
      </w:r>
      <w:r>
        <w:rPr>
          <w:rFonts w:eastAsia="Arial"/>
        </w:rPr>
        <w:t>"</w:t>
      </w:r>
      <w:r w:rsidRPr="00B21C5B">
        <w:rPr>
          <w:rFonts w:eastAsia="Arial"/>
        </w:rPr>
        <w:t>).</w:t>
      </w:r>
      <w:r>
        <w:rPr>
          <w:rFonts w:eastAsia="Arial"/>
        </w:rPr>
        <w:t xml:space="preserve"> </w:t>
      </w:r>
      <w:r w:rsidRPr="00B21C5B">
        <w:rPr>
          <w:rFonts w:eastAsia="Arial"/>
        </w:rPr>
        <w:t xml:space="preserve">Objective outcomes and ordinal subjective scores were </w:t>
      </w:r>
      <w:r>
        <w:rPr>
          <w:rFonts w:eastAsia="Arial"/>
        </w:rPr>
        <w:t>scrutinised</w:t>
      </w:r>
      <w:r w:rsidRPr="00B21C5B">
        <w:rPr>
          <w:rFonts w:eastAsia="Arial"/>
        </w:rPr>
        <w:t>.</w:t>
      </w:r>
      <w:r>
        <w:rPr>
          <w:rFonts w:eastAsia="Arial"/>
        </w:rPr>
        <w:t xml:space="preserve"> Correlations from studies directly comparing</w:t>
      </w:r>
      <w:r w:rsidRPr="00B21C5B">
        <w:rPr>
          <w:rFonts w:eastAsia="Arial"/>
        </w:rPr>
        <w:t xml:space="preserve"> scores within </w:t>
      </w:r>
      <w:r>
        <w:rPr>
          <w:rFonts w:eastAsia="Arial"/>
        </w:rPr>
        <w:t>groups a</w:t>
      </w:r>
      <w:r w:rsidRPr="00B21C5B">
        <w:rPr>
          <w:rFonts w:eastAsia="Arial"/>
        </w:rPr>
        <w:t>re reported in Table 4</w:t>
      </w:r>
      <w:r>
        <w:rPr>
          <w:rFonts w:eastAsia="Arial"/>
        </w:rPr>
        <w:t>.</w:t>
      </w:r>
    </w:p>
    <w:p w14:paraId="4286FC14" w14:textId="77777777" w:rsidR="0060408E" w:rsidRPr="00B21C5B" w:rsidRDefault="0060408E" w:rsidP="00DB19B8">
      <w:pPr>
        <w:rPr>
          <w:rFonts w:eastAsia="Arial"/>
        </w:rPr>
      </w:pPr>
      <w:r w:rsidRPr="00B21C5B">
        <w:rPr>
          <w:rFonts w:eastAsia="Arial"/>
        </w:rPr>
        <w:br w:type="page"/>
      </w:r>
    </w:p>
    <w:p w14:paraId="4F817404" w14:textId="77777777" w:rsidR="0060408E" w:rsidRDefault="0060408E" w:rsidP="00DB19B8">
      <w:pPr>
        <w:rPr>
          <w:rFonts w:eastAsia="Arial"/>
          <w:bCs/>
        </w:rPr>
      </w:pPr>
      <w:r w:rsidRPr="009C1F41">
        <w:rPr>
          <w:rFonts w:eastAsia="Arial"/>
          <w:b/>
        </w:rPr>
        <w:lastRenderedPageBreak/>
        <w:t>Figure 1</w:t>
      </w:r>
      <w:r>
        <w:rPr>
          <w:rFonts w:eastAsia="Arial"/>
          <w:b/>
        </w:rPr>
        <w:t xml:space="preserve">: </w:t>
      </w:r>
      <w:r w:rsidRPr="009C1F41">
        <w:rPr>
          <w:rFonts w:eastAsia="Arial"/>
          <w:b/>
        </w:rPr>
        <w:t xml:space="preserve"> </w:t>
      </w:r>
      <w:r w:rsidRPr="00CE1038">
        <w:rPr>
          <w:rFonts w:eastAsia="Arial"/>
          <w:bCs/>
        </w:rPr>
        <w:t xml:space="preserve">PRISMA flow diagram detailing the database searches, </w:t>
      </w:r>
      <w:r>
        <w:rPr>
          <w:rFonts w:eastAsia="Arial"/>
          <w:bCs/>
        </w:rPr>
        <w:t>and study selection.</w:t>
      </w:r>
    </w:p>
    <w:p w14:paraId="344C94BF" w14:textId="318934CB" w:rsidR="0060408E" w:rsidRPr="009C1F41" w:rsidRDefault="00315A35" w:rsidP="00DB19B8">
      <w:pPr>
        <w:rPr>
          <w:rFonts w:eastAsia="Arial"/>
          <w:bCs/>
        </w:rPr>
      </w:pPr>
      <w:r w:rsidRPr="0055797C">
        <w:rPr>
          <w:noProof/>
          <w:lang w:eastAsia="zh-CN"/>
        </w:rPr>
        <mc:AlternateContent>
          <mc:Choice Requires="wpg">
            <w:drawing>
              <wp:anchor distT="0" distB="0" distL="114300" distR="114300" simplePos="0" relativeHeight="251676672" behindDoc="0" locked="0" layoutInCell="1" allowOverlap="1" wp14:anchorId="254FF2CD" wp14:editId="60E53D3C">
                <wp:simplePos x="0" y="0"/>
                <wp:positionH relativeFrom="margin">
                  <wp:posOffset>0</wp:posOffset>
                </wp:positionH>
                <wp:positionV relativeFrom="paragraph">
                  <wp:posOffset>422910</wp:posOffset>
                </wp:positionV>
                <wp:extent cx="5680710" cy="7787640"/>
                <wp:effectExtent l="0" t="0" r="8890" b="10160"/>
                <wp:wrapNone/>
                <wp:docPr id="531481719" name="Group 531481719"/>
                <wp:cNvGraphicFramePr/>
                <a:graphic xmlns:a="http://schemas.openxmlformats.org/drawingml/2006/main">
                  <a:graphicData uri="http://schemas.microsoft.com/office/word/2010/wordprocessingGroup">
                    <wpg:wgp>
                      <wpg:cNvGrpSpPr/>
                      <wpg:grpSpPr>
                        <a:xfrm>
                          <a:off x="0" y="0"/>
                          <a:ext cx="5680710" cy="7787640"/>
                          <a:chOff x="0" y="0"/>
                          <a:chExt cx="5681767" cy="7787811"/>
                        </a:xfrm>
                      </wpg:grpSpPr>
                      <wps:wsp>
                        <wps:cNvPr id="181000412" name="Rectangle 14"/>
                        <wps:cNvSpPr>
                          <a:spLocks/>
                        </wps:cNvSpPr>
                        <wps:spPr bwMode="auto">
                          <a:xfrm>
                            <a:off x="0" y="0"/>
                            <a:ext cx="1910993" cy="908656"/>
                          </a:xfrm>
                          <a:prstGeom prst="rect">
                            <a:avLst/>
                          </a:prstGeom>
                          <a:solidFill>
                            <a:srgbClr val="FFFFFF"/>
                          </a:solidFill>
                          <a:ln w="9525">
                            <a:solidFill>
                              <a:srgbClr val="000000"/>
                            </a:solidFill>
                            <a:miter lim="800000"/>
                            <a:headEnd/>
                            <a:tailEnd/>
                          </a:ln>
                        </wps:spPr>
                        <wps:txbx>
                          <w:txbxContent>
                            <w:p w14:paraId="59191E77" w14:textId="77777777" w:rsidR="0060408E" w:rsidRPr="00315A35" w:rsidRDefault="0060408E" w:rsidP="00BB1089">
                              <w:pPr>
                                <w:jc w:val="center"/>
                                <w:rPr>
                                  <w:rFonts w:cs="Arial"/>
                                  <w:sz w:val="21"/>
                                  <w:szCs w:val="20"/>
                                  <w:lang w:val="en"/>
                                </w:rPr>
                              </w:pPr>
                              <w:r w:rsidRPr="00315A35">
                                <w:rPr>
                                  <w:rFonts w:cs="Arial"/>
                                  <w:sz w:val="21"/>
                                  <w:szCs w:val="20"/>
                                </w:rPr>
                                <w:t>Records identified through database searching</w:t>
                              </w:r>
                              <w:r w:rsidRPr="00315A35">
                                <w:rPr>
                                  <w:rFonts w:cs="Arial"/>
                                  <w:sz w:val="21"/>
                                  <w:szCs w:val="20"/>
                                </w:rPr>
                                <w:br/>
                                <w:t>(n = 536)</w:t>
                              </w:r>
                            </w:p>
                          </w:txbxContent>
                        </wps:txbx>
                        <wps:bodyPr rot="0" vert="horz" wrap="square" lIns="91440" tIns="91440" rIns="91440" bIns="91440" anchor="t" anchorCtr="0" upright="1">
                          <a:noAutofit/>
                        </wps:bodyPr>
                      </wps:wsp>
                      <wps:wsp>
                        <wps:cNvPr id="572759230" name="AutoShape 20"/>
                        <wps:cNvCnPr>
                          <a:cxnSpLocks/>
                        </wps:cNvCnPr>
                        <wps:spPr bwMode="auto">
                          <a:xfrm>
                            <a:off x="967626" y="91440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2509543" name="AutoShape 21"/>
                        <wps:cNvCnPr>
                          <a:cxnSpLocks/>
                        </wps:cNvCnPr>
                        <wps:spPr bwMode="auto">
                          <a:xfrm>
                            <a:off x="3104651" y="904126"/>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5257016" name="Rectangle 19"/>
                        <wps:cNvSpPr>
                          <a:spLocks/>
                        </wps:cNvSpPr>
                        <wps:spPr bwMode="auto">
                          <a:xfrm>
                            <a:off x="2208944" y="0"/>
                            <a:ext cx="1900555" cy="911225"/>
                          </a:xfrm>
                          <a:prstGeom prst="rect">
                            <a:avLst/>
                          </a:prstGeom>
                          <a:solidFill>
                            <a:srgbClr val="FFFFFF"/>
                          </a:solidFill>
                          <a:ln w="9525">
                            <a:solidFill>
                              <a:srgbClr val="000000"/>
                            </a:solidFill>
                            <a:miter lim="800000"/>
                            <a:headEnd/>
                            <a:tailEnd/>
                          </a:ln>
                        </wps:spPr>
                        <wps:txbx>
                          <w:txbxContent>
                            <w:p w14:paraId="33B2A062" w14:textId="77777777" w:rsidR="0060408E" w:rsidRPr="00315A35" w:rsidRDefault="0060408E" w:rsidP="00BB1089">
                              <w:pPr>
                                <w:jc w:val="center"/>
                                <w:rPr>
                                  <w:rFonts w:cs="Arial"/>
                                  <w:sz w:val="21"/>
                                  <w:szCs w:val="20"/>
                                  <w:lang w:val="en"/>
                                </w:rPr>
                              </w:pPr>
                              <w:r w:rsidRPr="00315A35">
                                <w:rPr>
                                  <w:rFonts w:cs="Arial"/>
                                  <w:sz w:val="21"/>
                                  <w:szCs w:val="20"/>
                                </w:rPr>
                                <w:t>Additional records identified through other sources</w:t>
                              </w:r>
                              <w:r w:rsidRPr="00315A35">
                                <w:rPr>
                                  <w:rFonts w:cs="Arial"/>
                                  <w:sz w:val="21"/>
                                  <w:szCs w:val="20"/>
                                </w:rPr>
                                <w:br/>
                                <w:t>(n =  5)</w:t>
                              </w:r>
                            </w:p>
                          </w:txbxContent>
                        </wps:txbx>
                        <wps:bodyPr rot="0" vert="horz" wrap="square" lIns="91440" tIns="91440" rIns="91440" bIns="91440" anchor="t" anchorCtr="0" upright="1">
                          <a:noAutofit/>
                        </wps:bodyPr>
                      </wps:wsp>
                      <wps:wsp>
                        <wps:cNvPr id="772750915" name="Rectangle 4"/>
                        <wps:cNvSpPr>
                          <a:spLocks/>
                        </wps:cNvSpPr>
                        <wps:spPr bwMode="auto">
                          <a:xfrm>
                            <a:off x="698643" y="1401139"/>
                            <a:ext cx="2627936" cy="571500"/>
                          </a:xfrm>
                          <a:prstGeom prst="rect">
                            <a:avLst/>
                          </a:prstGeom>
                          <a:solidFill>
                            <a:srgbClr val="FFFFFF"/>
                          </a:solidFill>
                          <a:ln w="9525">
                            <a:solidFill>
                              <a:srgbClr val="000000"/>
                            </a:solidFill>
                            <a:miter lim="800000"/>
                            <a:headEnd/>
                            <a:tailEnd/>
                          </a:ln>
                        </wps:spPr>
                        <wps:txbx>
                          <w:txbxContent>
                            <w:p w14:paraId="66BFB1AE" w14:textId="77777777" w:rsidR="0060408E" w:rsidRPr="00315A35" w:rsidRDefault="0060408E" w:rsidP="00BB1089">
                              <w:pPr>
                                <w:jc w:val="center"/>
                                <w:rPr>
                                  <w:rFonts w:cs="Arial"/>
                                  <w:sz w:val="21"/>
                                  <w:szCs w:val="20"/>
                                  <w:lang w:val="en"/>
                                </w:rPr>
                              </w:pPr>
                              <w:r w:rsidRPr="00315A35">
                                <w:rPr>
                                  <w:rFonts w:cs="Arial"/>
                                  <w:sz w:val="21"/>
                                  <w:szCs w:val="20"/>
                                </w:rPr>
                                <w:t>Total records</w:t>
                              </w:r>
                              <w:r w:rsidRPr="00315A35">
                                <w:rPr>
                                  <w:rFonts w:cs="Arial"/>
                                  <w:sz w:val="21"/>
                                  <w:szCs w:val="20"/>
                                </w:rPr>
                                <w:br/>
                                <w:t>(n =  541)</w:t>
                              </w:r>
                            </w:p>
                          </w:txbxContent>
                        </wps:txbx>
                        <wps:bodyPr rot="0" vert="horz" wrap="square" lIns="91440" tIns="91440" rIns="91440" bIns="91440" anchor="t" anchorCtr="0" upright="1">
                          <a:noAutofit/>
                        </wps:bodyPr>
                      </wps:wsp>
                      <wps:wsp>
                        <wps:cNvPr id="1522095227" name="Rectangle 11"/>
                        <wps:cNvSpPr>
                          <a:spLocks/>
                        </wps:cNvSpPr>
                        <wps:spPr bwMode="auto">
                          <a:xfrm>
                            <a:off x="1047216" y="2634351"/>
                            <a:ext cx="1951518" cy="667820"/>
                          </a:xfrm>
                          <a:prstGeom prst="rect">
                            <a:avLst/>
                          </a:prstGeom>
                          <a:solidFill>
                            <a:srgbClr val="FFFFFF"/>
                          </a:solidFill>
                          <a:ln w="9525">
                            <a:solidFill>
                              <a:srgbClr val="000000"/>
                            </a:solidFill>
                            <a:miter lim="800000"/>
                            <a:headEnd/>
                            <a:tailEnd/>
                          </a:ln>
                        </wps:spPr>
                        <wps:txbx>
                          <w:txbxContent>
                            <w:p w14:paraId="6310577F" w14:textId="77777777" w:rsidR="0060408E" w:rsidRPr="00315A35" w:rsidRDefault="0060408E" w:rsidP="00BB1089">
                              <w:pPr>
                                <w:jc w:val="center"/>
                                <w:rPr>
                                  <w:rFonts w:cs="Arial"/>
                                  <w:sz w:val="20"/>
                                  <w:szCs w:val="18"/>
                                  <w:lang w:val="en"/>
                                </w:rPr>
                              </w:pPr>
                              <w:r w:rsidRPr="00315A35">
                                <w:rPr>
                                  <w:rFonts w:cs="Arial"/>
                                  <w:sz w:val="20"/>
                                  <w:szCs w:val="18"/>
                                </w:rPr>
                                <w:t>Records screened</w:t>
                              </w:r>
                              <w:r w:rsidRPr="00315A35">
                                <w:rPr>
                                  <w:rFonts w:cs="Arial"/>
                                  <w:sz w:val="20"/>
                                  <w:szCs w:val="18"/>
                                </w:rPr>
                                <w:br/>
                                <w:t>(n = 453)</w:t>
                              </w:r>
                            </w:p>
                          </w:txbxContent>
                        </wps:txbx>
                        <wps:bodyPr rot="0" vert="horz" wrap="square" lIns="91440" tIns="91440" rIns="91440" bIns="91440" anchor="t" anchorCtr="0" upright="1">
                          <a:noAutofit/>
                        </wps:bodyPr>
                      </wps:wsp>
                      <wps:wsp>
                        <wps:cNvPr id="69249773" name="Rectangle 3"/>
                        <wps:cNvSpPr>
                          <a:spLocks/>
                        </wps:cNvSpPr>
                        <wps:spPr bwMode="auto">
                          <a:xfrm>
                            <a:off x="3586267" y="2402868"/>
                            <a:ext cx="2095500" cy="2264486"/>
                          </a:xfrm>
                          <a:prstGeom prst="rect">
                            <a:avLst/>
                          </a:prstGeom>
                          <a:solidFill>
                            <a:srgbClr val="FFFFFF"/>
                          </a:solidFill>
                          <a:ln w="9525">
                            <a:solidFill>
                              <a:srgbClr val="000000"/>
                            </a:solidFill>
                            <a:miter lim="800000"/>
                            <a:headEnd/>
                            <a:tailEnd/>
                          </a:ln>
                        </wps:spPr>
                        <wps:txbx>
                          <w:txbxContent>
                            <w:p w14:paraId="04F98393" w14:textId="77777777" w:rsidR="0060408E" w:rsidRPr="00315A35" w:rsidRDefault="0060408E" w:rsidP="00315A35">
                              <w:pPr>
                                <w:spacing w:line="240" w:lineRule="auto"/>
                                <w:jc w:val="left"/>
                                <w:rPr>
                                  <w:rFonts w:cs="Arial"/>
                                  <w:b/>
                                  <w:bCs/>
                                  <w:sz w:val="20"/>
                                  <w:szCs w:val="20"/>
                                </w:rPr>
                              </w:pPr>
                              <w:r w:rsidRPr="00315A35">
                                <w:rPr>
                                  <w:rFonts w:cs="Arial"/>
                                  <w:b/>
                                  <w:bCs/>
                                  <w:sz w:val="20"/>
                                  <w:szCs w:val="20"/>
                                </w:rPr>
                                <w:t>Records excluded</w:t>
                              </w:r>
                              <w:r w:rsidRPr="00315A35">
                                <w:rPr>
                                  <w:rFonts w:cs="Arial"/>
                                  <w:b/>
                                  <w:bCs/>
                                  <w:sz w:val="20"/>
                                  <w:szCs w:val="20"/>
                                </w:rPr>
                                <w:br/>
                                <w:t>(n = 412):</w:t>
                              </w:r>
                            </w:p>
                            <w:p w14:paraId="7339491C" w14:textId="77777777" w:rsidR="0060408E" w:rsidRPr="00315A35" w:rsidRDefault="0060408E" w:rsidP="00315A35">
                              <w:pPr>
                                <w:spacing w:line="240" w:lineRule="auto"/>
                                <w:jc w:val="left"/>
                                <w:rPr>
                                  <w:rFonts w:cs="Arial"/>
                                  <w:sz w:val="20"/>
                                  <w:szCs w:val="20"/>
                                  <w:lang w:val="en"/>
                                </w:rPr>
                              </w:pPr>
                              <w:r w:rsidRPr="00315A35">
                                <w:rPr>
                                  <w:rFonts w:cs="Arial"/>
                                  <w:sz w:val="20"/>
                                  <w:szCs w:val="20"/>
                                </w:rPr>
                                <w:t>Languages other than English</w:t>
                              </w:r>
                            </w:p>
                            <w:p w14:paraId="77B6A58A"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Reviews/meta-analysis</w:t>
                              </w:r>
                            </w:p>
                            <w:p w14:paraId="34F98E67"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Case series or reports</w:t>
                              </w:r>
                            </w:p>
                            <w:p w14:paraId="64D8D537"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Articles not relevant to our study population</w:t>
                              </w:r>
                            </w:p>
                            <w:p w14:paraId="6D7889FA"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Articles not measuring stress, distress or arousal</w:t>
                              </w:r>
                            </w:p>
                            <w:p w14:paraId="44522458"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Articles reporting use of only subjective or objective measures</w:t>
                              </w:r>
                            </w:p>
                            <w:p w14:paraId="1E492CCC"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Results from mixed (FNSD/ Healthy control) sample reported</w:t>
                              </w:r>
                            </w:p>
                          </w:txbxContent>
                        </wps:txbx>
                        <wps:bodyPr rot="0" vert="horz" wrap="square" lIns="91440" tIns="91440" rIns="91440" bIns="91440" anchor="t" anchorCtr="0" upright="1">
                          <a:noAutofit/>
                        </wps:bodyPr>
                      </wps:wsp>
                      <wps:wsp>
                        <wps:cNvPr id="650881322" name="Rectangle 9"/>
                        <wps:cNvSpPr>
                          <a:spLocks/>
                        </wps:cNvSpPr>
                        <wps:spPr bwMode="auto">
                          <a:xfrm>
                            <a:off x="1047393" y="3731439"/>
                            <a:ext cx="1951341" cy="685800"/>
                          </a:xfrm>
                          <a:prstGeom prst="rect">
                            <a:avLst/>
                          </a:prstGeom>
                          <a:solidFill>
                            <a:srgbClr val="FFFFFF"/>
                          </a:solidFill>
                          <a:ln w="9525">
                            <a:solidFill>
                              <a:srgbClr val="000000"/>
                            </a:solidFill>
                            <a:miter lim="800000"/>
                            <a:headEnd/>
                            <a:tailEnd/>
                          </a:ln>
                        </wps:spPr>
                        <wps:txbx>
                          <w:txbxContent>
                            <w:p w14:paraId="78484601" w14:textId="77777777" w:rsidR="0060408E" w:rsidRPr="00315A35" w:rsidRDefault="0060408E" w:rsidP="00315A35">
                              <w:pPr>
                                <w:spacing w:line="276" w:lineRule="auto"/>
                                <w:jc w:val="center"/>
                                <w:rPr>
                                  <w:rFonts w:cs="Arial"/>
                                  <w:sz w:val="21"/>
                                  <w:szCs w:val="20"/>
                                  <w:lang w:val="en"/>
                                </w:rPr>
                              </w:pPr>
                              <w:r w:rsidRPr="00315A35">
                                <w:rPr>
                                  <w:rFonts w:cs="Arial"/>
                                  <w:sz w:val="21"/>
                                  <w:szCs w:val="20"/>
                                </w:rPr>
                                <w:t>Full-text articles assessed for eligibility</w:t>
                              </w:r>
                              <w:r w:rsidRPr="00315A35">
                                <w:rPr>
                                  <w:rFonts w:cs="Arial"/>
                                  <w:sz w:val="21"/>
                                  <w:szCs w:val="20"/>
                                </w:rPr>
                                <w:br/>
                                <w:t>(n = 41)</w:t>
                              </w:r>
                            </w:p>
                          </w:txbxContent>
                        </wps:txbx>
                        <wps:bodyPr rot="0" vert="horz" wrap="square" lIns="91440" tIns="91440" rIns="91440" bIns="91440" anchor="t" anchorCtr="0" upright="1">
                          <a:noAutofit/>
                        </wps:bodyPr>
                      </wps:wsp>
                      <wps:wsp>
                        <wps:cNvPr id="2105370002" name="Rectangle 2"/>
                        <wps:cNvSpPr>
                          <a:spLocks/>
                        </wps:cNvSpPr>
                        <wps:spPr bwMode="auto">
                          <a:xfrm>
                            <a:off x="3586267" y="4798004"/>
                            <a:ext cx="2095500" cy="1646480"/>
                          </a:xfrm>
                          <a:prstGeom prst="rect">
                            <a:avLst/>
                          </a:prstGeom>
                          <a:solidFill>
                            <a:srgbClr val="FFFFFF"/>
                          </a:solidFill>
                          <a:ln w="9525">
                            <a:solidFill>
                              <a:srgbClr val="000000"/>
                            </a:solidFill>
                            <a:miter lim="800000"/>
                            <a:headEnd/>
                            <a:tailEnd/>
                          </a:ln>
                        </wps:spPr>
                        <wps:txbx>
                          <w:txbxContent>
                            <w:p w14:paraId="07B2818A" w14:textId="77777777" w:rsidR="0060408E" w:rsidRPr="00315A35" w:rsidRDefault="0060408E" w:rsidP="00315A35">
                              <w:pPr>
                                <w:spacing w:line="240" w:lineRule="auto"/>
                                <w:jc w:val="left"/>
                                <w:rPr>
                                  <w:rFonts w:cs="Arial"/>
                                  <w:b/>
                                  <w:bCs/>
                                  <w:sz w:val="21"/>
                                  <w:szCs w:val="21"/>
                                </w:rPr>
                              </w:pPr>
                              <w:r w:rsidRPr="00315A35">
                                <w:rPr>
                                  <w:rFonts w:cs="Arial"/>
                                  <w:b/>
                                  <w:bCs/>
                                  <w:sz w:val="21"/>
                                  <w:szCs w:val="21"/>
                                </w:rPr>
                                <w:t>Full-text articles excluded</w:t>
                              </w:r>
                              <w:r w:rsidRPr="00315A35">
                                <w:rPr>
                                  <w:rFonts w:cs="Arial"/>
                                  <w:b/>
                                  <w:bCs/>
                                  <w:sz w:val="21"/>
                                  <w:szCs w:val="21"/>
                                </w:rPr>
                                <w:br/>
                                <w:t>(n =  18)</w:t>
                              </w:r>
                            </w:p>
                            <w:p w14:paraId="66203145" w14:textId="77777777" w:rsidR="0060408E" w:rsidRPr="00315A35" w:rsidRDefault="0060408E" w:rsidP="00315A35">
                              <w:pPr>
                                <w:spacing w:line="240" w:lineRule="auto"/>
                                <w:jc w:val="left"/>
                                <w:textDirection w:val="btLr"/>
                                <w:rPr>
                                  <w:rFonts w:cs="Arial"/>
                                  <w:sz w:val="21"/>
                                  <w:szCs w:val="21"/>
                                </w:rPr>
                              </w:pPr>
                              <w:r w:rsidRPr="00315A35">
                                <w:rPr>
                                  <w:rFonts w:cs="Arial"/>
                                  <w:color w:val="000000"/>
                                  <w:sz w:val="21"/>
                                  <w:szCs w:val="21"/>
                                </w:rPr>
                                <w:t>2 full text unavailable</w:t>
                              </w:r>
                            </w:p>
                            <w:p w14:paraId="7C0F0F5C" w14:textId="77777777" w:rsidR="0060408E" w:rsidRPr="00315A35" w:rsidRDefault="0060408E" w:rsidP="00315A35">
                              <w:pPr>
                                <w:spacing w:line="240" w:lineRule="auto"/>
                                <w:jc w:val="left"/>
                                <w:textDirection w:val="btLr"/>
                                <w:rPr>
                                  <w:rFonts w:cs="Arial"/>
                                  <w:sz w:val="21"/>
                                  <w:szCs w:val="21"/>
                                </w:rPr>
                              </w:pPr>
                              <w:r w:rsidRPr="00315A35">
                                <w:rPr>
                                  <w:rFonts w:cs="Arial"/>
                                  <w:color w:val="000000"/>
                                  <w:sz w:val="21"/>
                                  <w:szCs w:val="21"/>
                                </w:rPr>
                                <w:t>11 not measuring stress, distress or arousal</w:t>
                              </w:r>
                            </w:p>
                            <w:p w14:paraId="68CD40D1" w14:textId="77777777" w:rsidR="0060408E" w:rsidRPr="00315A35" w:rsidRDefault="0060408E" w:rsidP="00315A35">
                              <w:pPr>
                                <w:spacing w:line="240" w:lineRule="auto"/>
                                <w:jc w:val="left"/>
                                <w:textDirection w:val="btLr"/>
                                <w:rPr>
                                  <w:rFonts w:cs="Arial"/>
                                  <w:color w:val="000000"/>
                                  <w:sz w:val="21"/>
                                  <w:szCs w:val="21"/>
                                </w:rPr>
                              </w:pPr>
                              <w:r w:rsidRPr="00315A35">
                                <w:rPr>
                                  <w:rFonts w:cs="Arial"/>
                                  <w:color w:val="000000"/>
                                  <w:sz w:val="21"/>
                                  <w:szCs w:val="21"/>
                                </w:rPr>
                                <w:t>5 subjective measures not measurable</w:t>
                              </w:r>
                            </w:p>
                            <w:p w14:paraId="253C90A2" w14:textId="77777777" w:rsidR="0060408E" w:rsidRPr="00315A35" w:rsidRDefault="0060408E" w:rsidP="00315A35">
                              <w:pPr>
                                <w:spacing w:line="240" w:lineRule="auto"/>
                                <w:jc w:val="left"/>
                                <w:textDirection w:val="btLr"/>
                                <w:rPr>
                                  <w:rFonts w:eastAsia="Calibri" w:cs="Arial"/>
                                  <w:color w:val="000000"/>
                                  <w:sz w:val="21"/>
                                  <w:szCs w:val="21"/>
                                </w:rPr>
                              </w:pPr>
                              <w:r w:rsidRPr="00315A35">
                                <w:rPr>
                                  <w:rFonts w:eastAsia="Calibri" w:cs="Arial"/>
                                  <w:color w:val="000000"/>
                                  <w:sz w:val="21"/>
                                  <w:szCs w:val="21"/>
                                </w:rPr>
                                <w:t>3 Mixed FNSD sample with organic disease</w:t>
                              </w:r>
                            </w:p>
                            <w:p w14:paraId="1F855040" w14:textId="77777777" w:rsidR="0060408E" w:rsidRPr="00315A35" w:rsidRDefault="0060408E" w:rsidP="00315A35">
                              <w:pPr>
                                <w:spacing w:line="240" w:lineRule="auto"/>
                                <w:jc w:val="left"/>
                                <w:rPr>
                                  <w:rFonts w:cs="Arial"/>
                                  <w:szCs w:val="22"/>
                                  <w:lang w:val="en"/>
                                </w:rPr>
                              </w:pPr>
                            </w:p>
                          </w:txbxContent>
                        </wps:txbx>
                        <wps:bodyPr rot="0" vert="horz" wrap="square" lIns="91440" tIns="91440" rIns="91440" bIns="91440" anchor="t" anchorCtr="0" upright="1">
                          <a:noAutofit/>
                        </wps:bodyPr>
                      </wps:wsp>
                      <wps:wsp>
                        <wps:cNvPr id="1585477040" name="Rectangle 7"/>
                        <wps:cNvSpPr>
                          <a:spLocks/>
                        </wps:cNvSpPr>
                        <wps:spPr bwMode="auto">
                          <a:xfrm>
                            <a:off x="1047216" y="5631948"/>
                            <a:ext cx="1951355" cy="685800"/>
                          </a:xfrm>
                          <a:prstGeom prst="rect">
                            <a:avLst/>
                          </a:prstGeom>
                          <a:solidFill>
                            <a:srgbClr val="FFFFFF"/>
                          </a:solidFill>
                          <a:ln w="9525">
                            <a:solidFill>
                              <a:srgbClr val="000000"/>
                            </a:solidFill>
                            <a:miter lim="800000"/>
                            <a:headEnd/>
                            <a:tailEnd/>
                          </a:ln>
                        </wps:spPr>
                        <wps:txbx>
                          <w:txbxContent>
                            <w:p w14:paraId="58645FF8" w14:textId="77777777" w:rsidR="0060408E" w:rsidRPr="00315A35" w:rsidRDefault="0060408E" w:rsidP="00315A35">
                              <w:pPr>
                                <w:spacing w:line="276" w:lineRule="auto"/>
                                <w:jc w:val="center"/>
                                <w:rPr>
                                  <w:rFonts w:cs="Arial"/>
                                  <w:sz w:val="21"/>
                                  <w:szCs w:val="20"/>
                                  <w:lang w:val="en"/>
                                </w:rPr>
                              </w:pPr>
                              <w:r w:rsidRPr="00315A35">
                                <w:rPr>
                                  <w:rFonts w:cs="Arial"/>
                                  <w:sz w:val="21"/>
                                  <w:szCs w:val="20"/>
                                </w:rPr>
                                <w:t>Studies included in quality assessment</w:t>
                              </w:r>
                              <w:r w:rsidRPr="00315A35">
                                <w:rPr>
                                  <w:rFonts w:cs="Arial"/>
                                  <w:sz w:val="21"/>
                                  <w:szCs w:val="20"/>
                                </w:rPr>
                                <w:br/>
                                <w:t>(n = 23)</w:t>
                              </w:r>
                            </w:p>
                          </w:txbxContent>
                        </wps:txbx>
                        <wps:bodyPr rot="0" vert="horz" wrap="square" lIns="91440" tIns="91440" rIns="91440" bIns="91440" anchor="t" anchorCtr="0" upright="1">
                          <a:noAutofit/>
                        </wps:bodyPr>
                      </wps:wsp>
                      <wps:wsp>
                        <wps:cNvPr id="935705417" name="Rectangle 5"/>
                        <wps:cNvSpPr>
                          <a:spLocks/>
                        </wps:cNvSpPr>
                        <wps:spPr bwMode="auto">
                          <a:xfrm>
                            <a:off x="1130157" y="7140539"/>
                            <a:ext cx="1755596" cy="647272"/>
                          </a:xfrm>
                          <a:prstGeom prst="rect">
                            <a:avLst/>
                          </a:prstGeom>
                          <a:solidFill>
                            <a:srgbClr val="FFFFFF"/>
                          </a:solidFill>
                          <a:ln w="9525">
                            <a:solidFill>
                              <a:srgbClr val="000000"/>
                            </a:solidFill>
                            <a:miter lim="800000"/>
                            <a:headEnd/>
                            <a:tailEnd/>
                          </a:ln>
                        </wps:spPr>
                        <wps:txbx>
                          <w:txbxContent>
                            <w:p w14:paraId="1DC29A31" w14:textId="77777777" w:rsidR="0060408E" w:rsidRPr="00315A35" w:rsidRDefault="0060408E" w:rsidP="00315A35">
                              <w:pPr>
                                <w:spacing w:line="276" w:lineRule="auto"/>
                                <w:jc w:val="center"/>
                                <w:rPr>
                                  <w:rFonts w:cs="Arial"/>
                                  <w:sz w:val="20"/>
                                  <w:szCs w:val="18"/>
                                  <w:lang w:val="en"/>
                                </w:rPr>
                              </w:pPr>
                              <w:r w:rsidRPr="00315A35">
                                <w:rPr>
                                  <w:rFonts w:cs="Arial"/>
                                  <w:sz w:val="20"/>
                                  <w:szCs w:val="18"/>
                                </w:rPr>
                                <w:t>18 studies included in review</w:t>
                              </w:r>
                            </w:p>
                          </w:txbxContent>
                        </wps:txbx>
                        <wps:bodyPr rot="0" vert="horz" wrap="square" lIns="91440" tIns="91440" rIns="91440" bIns="91440" anchor="t" anchorCtr="0" upright="1">
                          <a:noAutofit/>
                        </wps:bodyPr>
                      </wps:wsp>
                      <wps:wsp>
                        <wps:cNvPr id="926558603" name="AutoShape 12"/>
                        <wps:cNvCnPr>
                          <a:cxnSpLocks/>
                        </wps:cNvCnPr>
                        <wps:spPr bwMode="auto">
                          <a:xfrm>
                            <a:off x="2005316" y="1972638"/>
                            <a:ext cx="0" cy="64801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89033537" name="AutoShape 10"/>
                        <wps:cNvCnPr>
                          <a:cxnSpLocks/>
                        </wps:cNvCnPr>
                        <wps:spPr bwMode="auto">
                          <a:xfrm>
                            <a:off x="2007293" y="3311697"/>
                            <a:ext cx="0" cy="396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6899223" name="AutoShape 8"/>
                        <wps:cNvCnPr>
                          <a:cxnSpLocks/>
                        </wps:cNvCnPr>
                        <wps:spPr bwMode="auto">
                          <a:xfrm>
                            <a:off x="1993186" y="4496010"/>
                            <a:ext cx="0" cy="1080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96957296" name="AutoShape 6"/>
                        <wps:cNvCnPr>
                          <a:cxnSpLocks/>
                        </wps:cNvCnPr>
                        <wps:spPr bwMode="auto">
                          <a:xfrm>
                            <a:off x="1993186" y="6317747"/>
                            <a:ext cx="0" cy="79201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91391680" name="Rectangle 13"/>
                        <wps:cNvSpPr>
                          <a:spLocks/>
                        </wps:cNvSpPr>
                        <wps:spPr bwMode="auto">
                          <a:xfrm>
                            <a:off x="3573066" y="1972638"/>
                            <a:ext cx="2095928" cy="349885"/>
                          </a:xfrm>
                          <a:prstGeom prst="rect">
                            <a:avLst/>
                          </a:prstGeom>
                          <a:solidFill>
                            <a:srgbClr val="FFFFFF"/>
                          </a:solidFill>
                          <a:ln w="9525">
                            <a:solidFill>
                              <a:srgbClr val="000000"/>
                            </a:solidFill>
                            <a:miter lim="800000"/>
                            <a:headEnd/>
                            <a:tailEnd/>
                          </a:ln>
                        </wps:spPr>
                        <wps:txbx>
                          <w:txbxContent>
                            <w:p w14:paraId="4DA20F42" w14:textId="77777777" w:rsidR="0060408E" w:rsidRPr="00315A35" w:rsidRDefault="0060408E" w:rsidP="00BB1089">
                              <w:pPr>
                                <w:rPr>
                                  <w:rFonts w:cs="Arial"/>
                                  <w:sz w:val="21"/>
                                  <w:szCs w:val="21"/>
                                  <w:lang w:val="en"/>
                                </w:rPr>
                              </w:pPr>
                              <w:r w:rsidRPr="00315A35">
                                <w:rPr>
                                  <w:rFonts w:cs="Arial"/>
                                  <w:sz w:val="21"/>
                                  <w:szCs w:val="21"/>
                                </w:rPr>
                                <w:t>Duplicates removed (n = 88)</w:t>
                              </w:r>
                            </w:p>
                          </w:txbxContent>
                        </wps:txbx>
                        <wps:bodyPr rot="0" vert="horz" wrap="square" lIns="91440" tIns="91440" rIns="91440" bIns="91440" anchor="t" anchorCtr="0" upright="1">
                          <a:noAutofit/>
                        </wps:bodyPr>
                      </wps:wsp>
                      <wps:wsp>
                        <wps:cNvPr id="863575026" name="Straight Arrow Connector 863575026"/>
                        <wps:cNvCnPr/>
                        <wps:spPr>
                          <a:xfrm>
                            <a:off x="2003461" y="2221073"/>
                            <a:ext cx="15803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9276833" name="Straight Arrow Connector 2119276833"/>
                        <wps:cNvCnPr/>
                        <wps:spPr>
                          <a:xfrm>
                            <a:off x="2005743" y="3496240"/>
                            <a:ext cx="15803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0273891" name="Straight Arrow Connector 1880273891"/>
                        <wps:cNvCnPr/>
                        <wps:spPr>
                          <a:xfrm>
                            <a:off x="1993186" y="5364965"/>
                            <a:ext cx="1579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54FF2CD" id="Group 531481719" o:spid="_x0000_s1027" style="position:absolute;left:0;text-align:left;margin-left:0;margin-top:33.3pt;width:447.3pt;height:613.2pt;z-index:251676672;mso-position-horizontal-relative:margin;mso-height-relative:margin" coordsize="56817,778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">
                <v:rect id="Rectangle 14" o:spid="_x0000_s1028" style="position:absolute;width:19109;height:9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">
                  <v:path arrowok="t"/>
                  <v:textbox inset=",7.2pt,,7.2pt">
                    <w:txbxContent>
                      <w:p w14:paraId="59191E77" w14:textId="77777777" w:rsidR="0060408E" w:rsidRPr="00315A35" w:rsidRDefault="0060408E" w:rsidP="00BB1089">
                        <w:pPr>
                          <w:jc w:val="center"/>
                          <w:rPr>
                            <w:rFonts w:cs="Arial"/>
                            <w:sz w:val="21"/>
                            <w:szCs w:val="20"/>
                            <w:lang w:val="en"/>
                          </w:rPr>
                        </w:pPr>
                        <w:r w:rsidRPr="00315A35">
                          <w:rPr>
                            <w:rFonts w:cs="Arial"/>
                            <w:sz w:val="21"/>
                            <w:szCs w:val="20"/>
                          </w:rPr>
                          <w:t>Records identified through database searching</w:t>
                        </w:r>
                        <w:r w:rsidRPr="00315A35">
                          <w:rPr>
                            <w:rFonts w:cs="Arial"/>
                            <w:sz w:val="21"/>
                            <w:szCs w:val="20"/>
                          </w:rPr>
                          <w:br/>
                          <w:t>(n = 536)</w:t>
                        </w:r>
                      </w:p>
                    </w:txbxContent>
                  </v:textbox>
                </v:rect>
                <v:shapetype id="_x0000_t32" coordsize="21600,21600" o:spt="32" o:oned="t" path="m,l21600,21600e" filled="f">
                  <v:path arrowok="t" fillok="f" o:connecttype="none"/>
                  <o:lock v:ext="edit" shapetype="t"/>
                </v:shapetype>
                <v:shape id="AutoShape 20" o:spid="_x0000_s1029" type="#_x0000_t32" style="position:absolute;left:9676;top:9144;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">
                  <v:stroke endarrow="block"/>
                  <v:shadow color="#ccc"/>
                  <o:lock v:ext="edit" shapetype="f"/>
                </v:shape>
                <v:shape id="AutoShape 21" o:spid="_x0000_s1030" type="#_x0000_t32" style="position:absolute;left:31046;top:9041;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">
                  <v:stroke endarrow="block"/>
                  <v:shadow color="#ccc"/>
                  <o:lock v:ext="edit" shapetype="f"/>
                </v:shape>
                <v:rect id="Rectangle 19" o:spid="_x0000_s1031" style="position:absolute;left:22089;width:19005;height:9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">
                  <v:path arrowok="t"/>
                  <v:textbox inset=",7.2pt,,7.2pt">
                    <w:txbxContent>
                      <w:p w14:paraId="33B2A062" w14:textId="77777777" w:rsidR="0060408E" w:rsidRPr="00315A35" w:rsidRDefault="0060408E" w:rsidP="00BB1089">
                        <w:pPr>
                          <w:jc w:val="center"/>
                          <w:rPr>
                            <w:rFonts w:cs="Arial"/>
                            <w:sz w:val="21"/>
                            <w:szCs w:val="20"/>
                            <w:lang w:val="en"/>
                          </w:rPr>
                        </w:pPr>
                        <w:r w:rsidRPr="00315A35">
                          <w:rPr>
                            <w:rFonts w:cs="Arial"/>
                            <w:sz w:val="21"/>
                            <w:szCs w:val="20"/>
                          </w:rPr>
                          <w:t>Additional records identified through other sources</w:t>
                        </w:r>
                        <w:r w:rsidRPr="00315A35">
                          <w:rPr>
                            <w:rFonts w:cs="Arial"/>
                            <w:sz w:val="21"/>
                            <w:szCs w:val="20"/>
                          </w:rPr>
                          <w:br/>
                          <w:t>(n =  5)</w:t>
                        </w:r>
                      </w:p>
                    </w:txbxContent>
                  </v:textbox>
                </v:rect>
                <v:rect id="Rectangle 4" o:spid="_x0000_s1032" style="position:absolute;left:6986;top:14011;width:26279;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">
                  <v:path arrowok="t"/>
                  <v:textbox inset=",7.2pt,,7.2pt">
                    <w:txbxContent>
                      <w:p w14:paraId="66BFB1AE" w14:textId="77777777" w:rsidR="0060408E" w:rsidRPr="00315A35" w:rsidRDefault="0060408E" w:rsidP="00BB1089">
                        <w:pPr>
                          <w:jc w:val="center"/>
                          <w:rPr>
                            <w:rFonts w:cs="Arial"/>
                            <w:sz w:val="21"/>
                            <w:szCs w:val="20"/>
                            <w:lang w:val="en"/>
                          </w:rPr>
                        </w:pPr>
                        <w:r w:rsidRPr="00315A35">
                          <w:rPr>
                            <w:rFonts w:cs="Arial"/>
                            <w:sz w:val="21"/>
                            <w:szCs w:val="20"/>
                          </w:rPr>
                          <w:t>Total records</w:t>
                        </w:r>
                        <w:r w:rsidRPr="00315A35">
                          <w:rPr>
                            <w:rFonts w:cs="Arial"/>
                            <w:sz w:val="21"/>
                            <w:szCs w:val="20"/>
                          </w:rPr>
                          <w:br/>
                          <w:t>(n =  541)</w:t>
                        </w:r>
                      </w:p>
                    </w:txbxContent>
                  </v:textbox>
                </v:rect>
                <v:rect id="Rectangle 11" o:spid="_x0000_s1033" style="position:absolute;left:10472;top:26343;width:19515;height:6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">
                  <v:path arrowok="t"/>
                  <v:textbox inset=",7.2pt,,7.2pt">
                    <w:txbxContent>
                      <w:p w14:paraId="6310577F" w14:textId="77777777" w:rsidR="0060408E" w:rsidRPr="00315A35" w:rsidRDefault="0060408E" w:rsidP="00BB1089">
                        <w:pPr>
                          <w:jc w:val="center"/>
                          <w:rPr>
                            <w:rFonts w:cs="Arial"/>
                            <w:sz w:val="20"/>
                            <w:szCs w:val="18"/>
                            <w:lang w:val="en"/>
                          </w:rPr>
                        </w:pPr>
                        <w:r w:rsidRPr="00315A35">
                          <w:rPr>
                            <w:rFonts w:cs="Arial"/>
                            <w:sz w:val="20"/>
                            <w:szCs w:val="18"/>
                          </w:rPr>
                          <w:t>Records screened</w:t>
                        </w:r>
                        <w:r w:rsidRPr="00315A35">
                          <w:rPr>
                            <w:rFonts w:cs="Arial"/>
                            <w:sz w:val="20"/>
                            <w:szCs w:val="18"/>
                          </w:rPr>
                          <w:br/>
                          <w:t>(n = 453)</w:t>
                        </w:r>
                      </w:p>
                    </w:txbxContent>
                  </v:textbox>
                </v:rect>
                <v:rect id="Rectangle 3" o:spid="_x0000_s1034" style="position:absolute;left:35862;top:24028;width:20955;height:22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">
                  <v:path arrowok="t"/>
                  <v:textbox inset=",7.2pt,,7.2pt">
                    <w:txbxContent>
                      <w:p w14:paraId="04F98393" w14:textId="77777777" w:rsidR="0060408E" w:rsidRPr="00315A35" w:rsidRDefault="0060408E" w:rsidP="00315A35">
                        <w:pPr>
                          <w:spacing w:line="240" w:lineRule="auto"/>
                          <w:jc w:val="left"/>
                          <w:rPr>
                            <w:rFonts w:cs="Arial"/>
                            <w:b/>
                            <w:bCs/>
                            <w:sz w:val="20"/>
                            <w:szCs w:val="20"/>
                          </w:rPr>
                        </w:pPr>
                        <w:r w:rsidRPr="00315A35">
                          <w:rPr>
                            <w:rFonts w:cs="Arial"/>
                            <w:b/>
                            <w:bCs/>
                            <w:sz w:val="20"/>
                            <w:szCs w:val="20"/>
                          </w:rPr>
                          <w:t>Records excluded</w:t>
                        </w:r>
                        <w:r w:rsidRPr="00315A35">
                          <w:rPr>
                            <w:rFonts w:cs="Arial"/>
                            <w:b/>
                            <w:bCs/>
                            <w:sz w:val="20"/>
                            <w:szCs w:val="20"/>
                          </w:rPr>
                          <w:br/>
                          <w:t>(n = 412):</w:t>
                        </w:r>
                      </w:p>
                      <w:p w14:paraId="7339491C" w14:textId="77777777" w:rsidR="0060408E" w:rsidRPr="00315A35" w:rsidRDefault="0060408E" w:rsidP="00315A35">
                        <w:pPr>
                          <w:spacing w:line="240" w:lineRule="auto"/>
                          <w:jc w:val="left"/>
                          <w:rPr>
                            <w:rFonts w:cs="Arial"/>
                            <w:sz w:val="20"/>
                            <w:szCs w:val="20"/>
                            <w:lang w:val="en"/>
                          </w:rPr>
                        </w:pPr>
                        <w:r w:rsidRPr="00315A35">
                          <w:rPr>
                            <w:rFonts w:cs="Arial"/>
                            <w:sz w:val="20"/>
                            <w:szCs w:val="20"/>
                          </w:rPr>
                          <w:t>Languages other than English</w:t>
                        </w:r>
                      </w:p>
                      <w:p w14:paraId="77B6A58A"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Reviews/meta-analysis</w:t>
                        </w:r>
                      </w:p>
                      <w:p w14:paraId="34F98E67"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Case series or reports</w:t>
                        </w:r>
                      </w:p>
                      <w:p w14:paraId="64D8D537"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Articles not relevant to our study population</w:t>
                        </w:r>
                      </w:p>
                      <w:p w14:paraId="6D7889FA"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Articles not measuring stress, distress or arousal</w:t>
                        </w:r>
                      </w:p>
                      <w:p w14:paraId="44522458"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Articles reporting use of only subjective or objective measures</w:t>
                        </w:r>
                      </w:p>
                      <w:p w14:paraId="1E492CCC" w14:textId="77777777" w:rsidR="0060408E" w:rsidRPr="00315A35" w:rsidRDefault="0060408E" w:rsidP="00315A35">
                        <w:pPr>
                          <w:spacing w:line="240" w:lineRule="auto"/>
                          <w:jc w:val="left"/>
                          <w:rPr>
                            <w:rFonts w:cs="Arial"/>
                            <w:sz w:val="20"/>
                            <w:szCs w:val="20"/>
                            <w:lang w:val="en"/>
                          </w:rPr>
                        </w:pPr>
                        <w:r w:rsidRPr="00315A35">
                          <w:rPr>
                            <w:rFonts w:cs="Arial"/>
                            <w:sz w:val="20"/>
                            <w:szCs w:val="20"/>
                            <w:lang w:val="en"/>
                          </w:rPr>
                          <w:t>Results from mixed (FNSD/ Healthy control) sample reported</w:t>
                        </w:r>
                      </w:p>
                    </w:txbxContent>
                  </v:textbox>
                </v:rect>
                <v:rect id="Rectangle 9" o:spid="_x0000_s1035" style="position:absolute;left:10473;top:37314;width:19514;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">
                  <v:path arrowok="t"/>
                  <v:textbox inset=",7.2pt,,7.2pt">
                    <w:txbxContent>
                      <w:p w14:paraId="78484601" w14:textId="77777777" w:rsidR="0060408E" w:rsidRPr="00315A35" w:rsidRDefault="0060408E" w:rsidP="00315A35">
                        <w:pPr>
                          <w:spacing w:line="276" w:lineRule="auto"/>
                          <w:jc w:val="center"/>
                          <w:rPr>
                            <w:rFonts w:cs="Arial"/>
                            <w:sz w:val="21"/>
                            <w:szCs w:val="20"/>
                            <w:lang w:val="en"/>
                          </w:rPr>
                        </w:pPr>
                        <w:r w:rsidRPr="00315A35">
                          <w:rPr>
                            <w:rFonts w:cs="Arial"/>
                            <w:sz w:val="21"/>
                            <w:szCs w:val="20"/>
                          </w:rPr>
                          <w:t>Full-text articles assessed for eligibility</w:t>
                        </w:r>
                        <w:r w:rsidRPr="00315A35">
                          <w:rPr>
                            <w:rFonts w:cs="Arial"/>
                            <w:sz w:val="21"/>
                            <w:szCs w:val="20"/>
                          </w:rPr>
                          <w:br/>
                          <w:t>(n = 41)</w:t>
                        </w:r>
                      </w:p>
                    </w:txbxContent>
                  </v:textbox>
                </v:rect>
                <v:rect id="_x0000_s1036" style="position:absolute;left:35862;top:47980;width:20955;height:16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">
                  <v:path arrowok="t"/>
                  <v:textbox inset=",7.2pt,,7.2pt">
                    <w:txbxContent>
                      <w:p w14:paraId="07B2818A" w14:textId="77777777" w:rsidR="0060408E" w:rsidRPr="00315A35" w:rsidRDefault="0060408E" w:rsidP="00315A35">
                        <w:pPr>
                          <w:spacing w:line="240" w:lineRule="auto"/>
                          <w:jc w:val="left"/>
                          <w:rPr>
                            <w:rFonts w:cs="Arial"/>
                            <w:b/>
                            <w:bCs/>
                            <w:sz w:val="21"/>
                            <w:szCs w:val="21"/>
                          </w:rPr>
                        </w:pPr>
                        <w:r w:rsidRPr="00315A35">
                          <w:rPr>
                            <w:rFonts w:cs="Arial"/>
                            <w:b/>
                            <w:bCs/>
                            <w:sz w:val="21"/>
                            <w:szCs w:val="21"/>
                          </w:rPr>
                          <w:t>Full-text articles excluded</w:t>
                        </w:r>
                        <w:r w:rsidRPr="00315A35">
                          <w:rPr>
                            <w:rFonts w:cs="Arial"/>
                            <w:b/>
                            <w:bCs/>
                            <w:sz w:val="21"/>
                            <w:szCs w:val="21"/>
                          </w:rPr>
                          <w:br/>
                          <w:t>(n =  18)</w:t>
                        </w:r>
                      </w:p>
                      <w:p w14:paraId="66203145" w14:textId="77777777" w:rsidR="0060408E" w:rsidRPr="00315A35" w:rsidRDefault="0060408E" w:rsidP="00315A35">
                        <w:pPr>
                          <w:spacing w:line="240" w:lineRule="auto"/>
                          <w:jc w:val="left"/>
                          <w:textDirection w:val="btLr"/>
                          <w:rPr>
                            <w:rFonts w:cs="Arial"/>
                            <w:sz w:val="21"/>
                            <w:szCs w:val="21"/>
                          </w:rPr>
                        </w:pPr>
                        <w:r w:rsidRPr="00315A35">
                          <w:rPr>
                            <w:rFonts w:cs="Arial"/>
                            <w:color w:val="000000"/>
                            <w:sz w:val="21"/>
                            <w:szCs w:val="21"/>
                          </w:rPr>
                          <w:t>2 full text unavailable</w:t>
                        </w:r>
                      </w:p>
                      <w:p w14:paraId="7C0F0F5C" w14:textId="77777777" w:rsidR="0060408E" w:rsidRPr="00315A35" w:rsidRDefault="0060408E" w:rsidP="00315A35">
                        <w:pPr>
                          <w:spacing w:line="240" w:lineRule="auto"/>
                          <w:jc w:val="left"/>
                          <w:textDirection w:val="btLr"/>
                          <w:rPr>
                            <w:rFonts w:cs="Arial"/>
                            <w:sz w:val="21"/>
                            <w:szCs w:val="21"/>
                          </w:rPr>
                        </w:pPr>
                        <w:r w:rsidRPr="00315A35">
                          <w:rPr>
                            <w:rFonts w:cs="Arial"/>
                            <w:color w:val="000000"/>
                            <w:sz w:val="21"/>
                            <w:szCs w:val="21"/>
                          </w:rPr>
                          <w:t>11 not measuring stress, distress or arousal</w:t>
                        </w:r>
                      </w:p>
                      <w:p w14:paraId="68CD40D1" w14:textId="77777777" w:rsidR="0060408E" w:rsidRPr="00315A35" w:rsidRDefault="0060408E" w:rsidP="00315A35">
                        <w:pPr>
                          <w:spacing w:line="240" w:lineRule="auto"/>
                          <w:jc w:val="left"/>
                          <w:textDirection w:val="btLr"/>
                          <w:rPr>
                            <w:rFonts w:cs="Arial"/>
                            <w:color w:val="000000"/>
                            <w:sz w:val="21"/>
                            <w:szCs w:val="21"/>
                          </w:rPr>
                        </w:pPr>
                        <w:r w:rsidRPr="00315A35">
                          <w:rPr>
                            <w:rFonts w:cs="Arial"/>
                            <w:color w:val="000000"/>
                            <w:sz w:val="21"/>
                            <w:szCs w:val="21"/>
                          </w:rPr>
                          <w:t>5 subjective measures not measurable</w:t>
                        </w:r>
                      </w:p>
                      <w:p w14:paraId="253C90A2" w14:textId="77777777" w:rsidR="0060408E" w:rsidRPr="00315A35" w:rsidRDefault="0060408E" w:rsidP="00315A35">
                        <w:pPr>
                          <w:spacing w:line="240" w:lineRule="auto"/>
                          <w:jc w:val="left"/>
                          <w:textDirection w:val="btLr"/>
                          <w:rPr>
                            <w:rFonts w:eastAsia="Calibri" w:cs="Arial"/>
                            <w:color w:val="000000"/>
                            <w:sz w:val="21"/>
                            <w:szCs w:val="21"/>
                          </w:rPr>
                        </w:pPr>
                        <w:r w:rsidRPr="00315A35">
                          <w:rPr>
                            <w:rFonts w:eastAsia="Calibri" w:cs="Arial"/>
                            <w:color w:val="000000"/>
                            <w:sz w:val="21"/>
                            <w:szCs w:val="21"/>
                          </w:rPr>
                          <w:t>3 Mixed FNSD sample with organic disease</w:t>
                        </w:r>
                      </w:p>
                      <w:p w14:paraId="1F855040" w14:textId="77777777" w:rsidR="0060408E" w:rsidRPr="00315A35" w:rsidRDefault="0060408E" w:rsidP="00315A35">
                        <w:pPr>
                          <w:spacing w:line="240" w:lineRule="auto"/>
                          <w:jc w:val="left"/>
                          <w:rPr>
                            <w:rFonts w:cs="Arial"/>
                            <w:szCs w:val="22"/>
                            <w:lang w:val="en"/>
                          </w:rPr>
                        </w:pPr>
                      </w:p>
                    </w:txbxContent>
                  </v:textbox>
                </v:rect>
                <v:rect id="Rectangle 7" o:spid="_x0000_s1037" style="position:absolute;left:10472;top:56319;width:19513;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">
                  <v:path arrowok="t"/>
                  <v:textbox inset=",7.2pt,,7.2pt">
                    <w:txbxContent>
                      <w:p w14:paraId="58645FF8" w14:textId="77777777" w:rsidR="0060408E" w:rsidRPr="00315A35" w:rsidRDefault="0060408E" w:rsidP="00315A35">
                        <w:pPr>
                          <w:spacing w:line="276" w:lineRule="auto"/>
                          <w:jc w:val="center"/>
                          <w:rPr>
                            <w:rFonts w:cs="Arial"/>
                            <w:sz w:val="21"/>
                            <w:szCs w:val="20"/>
                            <w:lang w:val="en"/>
                          </w:rPr>
                        </w:pPr>
                        <w:r w:rsidRPr="00315A35">
                          <w:rPr>
                            <w:rFonts w:cs="Arial"/>
                            <w:sz w:val="21"/>
                            <w:szCs w:val="20"/>
                          </w:rPr>
                          <w:t>Studies included in quality assessment</w:t>
                        </w:r>
                        <w:r w:rsidRPr="00315A35">
                          <w:rPr>
                            <w:rFonts w:cs="Arial"/>
                            <w:sz w:val="21"/>
                            <w:szCs w:val="20"/>
                          </w:rPr>
                          <w:br/>
                          <w:t>(n = 23)</w:t>
                        </w:r>
                      </w:p>
                    </w:txbxContent>
                  </v:textbox>
                </v:rect>
                <v:rect id="Rectangle 5" o:spid="_x0000_s1038" style="position:absolute;left:11301;top:71405;width:17556;height:6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">
                  <v:path arrowok="t"/>
                  <v:textbox inset=",7.2pt,,7.2pt">
                    <w:txbxContent>
                      <w:p w14:paraId="1DC29A31" w14:textId="77777777" w:rsidR="0060408E" w:rsidRPr="00315A35" w:rsidRDefault="0060408E" w:rsidP="00315A35">
                        <w:pPr>
                          <w:spacing w:line="276" w:lineRule="auto"/>
                          <w:jc w:val="center"/>
                          <w:rPr>
                            <w:rFonts w:cs="Arial"/>
                            <w:sz w:val="20"/>
                            <w:szCs w:val="18"/>
                            <w:lang w:val="en"/>
                          </w:rPr>
                        </w:pPr>
                        <w:r w:rsidRPr="00315A35">
                          <w:rPr>
                            <w:rFonts w:cs="Arial"/>
                            <w:sz w:val="20"/>
                            <w:szCs w:val="18"/>
                          </w:rPr>
                          <w:t>18 studies included in review</w:t>
                        </w:r>
                      </w:p>
                    </w:txbxContent>
                  </v:textbox>
                </v:rect>
                <v:shape id="AutoShape 12" o:spid="_x0000_s1039" type="#_x0000_t32" style="position:absolute;left:20053;top:19726;width:0;height:64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">
                  <v:stroke endarrow="block"/>
                  <v:shadow color="#ccc"/>
                  <o:lock v:ext="edit" shapetype="f"/>
                </v:shape>
                <v:shape id="AutoShape 10" o:spid="_x0000_s1040" type="#_x0000_t32" style="position:absolute;left:20072;top:33116;width:0;height:39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">
                  <v:stroke endarrow="block"/>
                  <v:shadow color="#ccc"/>
                  <o:lock v:ext="edit" shapetype="f"/>
                </v:shape>
                <v:shape id="AutoShape 8" o:spid="_x0000_s1041" type="#_x0000_t32" style="position:absolute;left:19931;top:44960;width:0;height:108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">
                  <v:stroke endarrow="block"/>
                  <v:shadow color="#ccc"/>
                  <o:lock v:ext="edit" shapetype="f"/>
                </v:shape>
                <v:shape id="AutoShape 6" o:spid="_x0000_s1042" type="#_x0000_t32" style="position:absolute;left:19931;top:63177;width:0;height:79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">
                  <v:stroke endarrow="block"/>
                  <v:shadow color="#ccc"/>
                  <o:lock v:ext="edit" shapetype="f"/>
                </v:shape>
                <v:rect id="Rectangle 13" o:spid="_x0000_s1043" style="position:absolute;left:35730;top:19726;width:20959;height:3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">
                  <v:path arrowok="t"/>
                  <v:textbox inset=",7.2pt,,7.2pt">
                    <w:txbxContent>
                      <w:p w14:paraId="4DA20F42" w14:textId="77777777" w:rsidR="0060408E" w:rsidRPr="00315A35" w:rsidRDefault="0060408E" w:rsidP="00BB1089">
                        <w:pPr>
                          <w:rPr>
                            <w:rFonts w:cs="Arial"/>
                            <w:sz w:val="21"/>
                            <w:szCs w:val="21"/>
                            <w:lang w:val="en"/>
                          </w:rPr>
                        </w:pPr>
                        <w:r w:rsidRPr="00315A35">
                          <w:rPr>
                            <w:rFonts w:cs="Arial"/>
                            <w:sz w:val="21"/>
                            <w:szCs w:val="21"/>
                          </w:rPr>
                          <w:t>Duplicates removed (n = 88)</w:t>
                        </w:r>
                      </w:p>
                    </w:txbxContent>
                  </v:textbox>
                </v:rect>
                <v:shape id="Straight Arrow Connector 863575026" o:spid="_x0000_s1044" type="#_x0000_t32" style="position:absolute;left:20034;top:22210;width:1580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" strokecolor="black [3200]" strokeweight=".5pt">
                  <v:stroke endarrow="block" joinstyle="miter"/>
                </v:shape>
                <v:shape id="Straight Arrow Connector 2119276833" o:spid="_x0000_s1045" type="#_x0000_t32" style="position:absolute;left:20057;top:34962;width:1580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" strokecolor="black [3200]" strokeweight=".5pt">
                  <v:stroke endarrow="block" joinstyle="miter"/>
                </v:shape>
                <v:shape id="Straight Arrow Connector 1880273891" o:spid="_x0000_s1046" type="#_x0000_t32" style="position:absolute;left:19931;top:53649;width:157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" strokecolor="black [3200]" strokeweight=".5pt">
                  <v:stroke endarrow="block" joinstyle="miter"/>
                </v:shape>
                <w10:wrap anchorx="margin"/>
              </v:group>
            </w:pict>
          </mc:Fallback>
        </mc:AlternateContent>
      </w:r>
      <w:r>
        <w:rPr>
          <w:noProof/>
          <w:lang w:eastAsia="zh-CN"/>
        </w:rPr>
        <mc:AlternateContent>
          <mc:Choice Requires="wps">
            <w:drawing>
              <wp:anchor distT="0" distB="0" distL="114300" distR="114300" simplePos="0" relativeHeight="251678720" behindDoc="0" locked="0" layoutInCell="1" allowOverlap="1" wp14:anchorId="25BF0D6C" wp14:editId="0A5101D9">
                <wp:simplePos x="0" y="0"/>
                <wp:positionH relativeFrom="column">
                  <wp:posOffset>3590925</wp:posOffset>
                </wp:positionH>
                <wp:positionV relativeFrom="paragraph">
                  <wp:posOffset>6953975</wp:posOffset>
                </wp:positionV>
                <wp:extent cx="2094865" cy="1338943"/>
                <wp:effectExtent l="0" t="0" r="13335" b="7620"/>
                <wp:wrapNone/>
                <wp:docPr id="7039301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4865" cy="1338943"/>
                        </a:xfrm>
                        <a:prstGeom prst="rect">
                          <a:avLst/>
                        </a:prstGeom>
                        <a:solidFill>
                          <a:srgbClr val="FFFFFF"/>
                        </a:solidFill>
                        <a:ln w="9525">
                          <a:solidFill>
                            <a:srgbClr val="000000"/>
                          </a:solidFill>
                          <a:miter lim="800000"/>
                          <a:headEnd/>
                          <a:tailEnd/>
                        </a:ln>
                      </wps:spPr>
                      <wps:txbx>
                        <w:txbxContent>
                          <w:p w14:paraId="6177200E" w14:textId="77777777" w:rsidR="0060408E" w:rsidRPr="00315A35" w:rsidRDefault="0060408E" w:rsidP="00315A35">
                            <w:pPr>
                              <w:spacing w:line="240" w:lineRule="auto"/>
                              <w:jc w:val="left"/>
                              <w:rPr>
                                <w:rFonts w:cs="Arial"/>
                                <w:b/>
                                <w:bCs/>
                                <w:sz w:val="21"/>
                                <w:szCs w:val="21"/>
                              </w:rPr>
                            </w:pPr>
                            <w:r w:rsidRPr="00315A35">
                              <w:rPr>
                                <w:rFonts w:cs="Arial"/>
                                <w:b/>
                                <w:bCs/>
                                <w:sz w:val="21"/>
                                <w:szCs w:val="21"/>
                              </w:rPr>
                              <w:t>Studies excluded</w:t>
                            </w:r>
                            <w:r w:rsidRPr="00315A35">
                              <w:rPr>
                                <w:rFonts w:cs="Arial"/>
                                <w:b/>
                                <w:bCs/>
                                <w:sz w:val="21"/>
                                <w:szCs w:val="21"/>
                              </w:rPr>
                              <w:br/>
                              <w:t>(n =  5)</w:t>
                            </w:r>
                          </w:p>
                          <w:p w14:paraId="32159BFE" w14:textId="77777777" w:rsidR="0060408E" w:rsidRPr="00315A35" w:rsidRDefault="0060408E" w:rsidP="00315A35">
                            <w:pPr>
                              <w:spacing w:line="240" w:lineRule="auto"/>
                              <w:jc w:val="left"/>
                              <w:rPr>
                                <w:rFonts w:cs="Arial"/>
                                <w:color w:val="000000"/>
                                <w:sz w:val="21"/>
                                <w:szCs w:val="21"/>
                              </w:rPr>
                            </w:pPr>
                            <w:r w:rsidRPr="00315A35">
                              <w:rPr>
                                <w:rFonts w:cs="Arial"/>
                                <w:color w:val="000000"/>
                                <w:sz w:val="21"/>
                                <w:szCs w:val="21"/>
                              </w:rPr>
                              <w:t>4 Insufficient exclusion criteria of other neurological comorbidities</w:t>
                            </w:r>
                          </w:p>
                          <w:p w14:paraId="020E3020" w14:textId="77777777" w:rsidR="0060408E" w:rsidRPr="00315A35" w:rsidRDefault="0060408E" w:rsidP="00315A35">
                            <w:pPr>
                              <w:spacing w:line="240" w:lineRule="auto"/>
                              <w:jc w:val="left"/>
                              <w:rPr>
                                <w:rFonts w:cs="Arial"/>
                                <w:sz w:val="21"/>
                                <w:szCs w:val="21"/>
                              </w:rPr>
                            </w:pPr>
                            <w:r w:rsidRPr="00315A35">
                              <w:rPr>
                                <w:rFonts w:cs="Arial"/>
                                <w:sz w:val="21"/>
                                <w:szCs w:val="21"/>
                              </w:rPr>
                              <w:t>1 Non video-EEG confirmed FS patients</w:t>
                            </w:r>
                          </w:p>
                          <w:p w14:paraId="7558EEB9" w14:textId="77777777" w:rsidR="0060408E" w:rsidRPr="00315A35" w:rsidRDefault="0060408E" w:rsidP="00315A35">
                            <w:pPr>
                              <w:spacing w:line="240" w:lineRule="auto"/>
                              <w:jc w:val="left"/>
                              <w:rPr>
                                <w:rFonts w:cs="Arial"/>
                                <w:b/>
                                <w:bCs/>
                                <w:szCs w:val="22"/>
                              </w:rPr>
                            </w:pPr>
                          </w:p>
                          <w:p w14:paraId="6FCB2AC3" w14:textId="77777777" w:rsidR="0060408E" w:rsidRPr="00315A35" w:rsidRDefault="0060408E" w:rsidP="00315A35">
                            <w:pPr>
                              <w:spacing w:line="240" w:lineRule="auto"/>
                              <w:jc w:val="left"/>
                              <w:rPr>
                                <w:rFonts w:cs="Arial"/>
                                <w:szCs w:val="22"/>
                              </w:rPr>
                            </w:pPr>
                          </w:p>
                          <w:p w14:paraId="60347FD6" w14:textId="77777777" w:rsidR="0060408E" w:rsidRPr="00315A35" w:rsidRDefault="0060408E" w:rsidP="00315A35">
                            <w:pPr>
                              <w:spacing w:line="240" w:lineRule="auto"/>
                              <w:jc w:val="left"/>
                              <w:rPr>
                                <w:rFonts w:cs="Arial"/>
                                <w:szCs w:val="22"/>
                                <w:lang w:val="en"/>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25BF0D6C" id="Rectangle 2" o:spid="_x0000_s1047" style="position:absolute;left:0;text-align:left;margin-left:282.75pt;margin-top:547.55pt;width:164.95pt;height:105.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">
                <v:path arrowok="t"/>
                <v:textbox inset=",7.2pt,,7.2pt">
                  <w:txbxContent>
                    <w:p w14:paraId="6177200E" w14:textId="77777777" w:rsidR="0060408E" w:rsidRPr="00315A35" w:rsidRDefault="0060408E" w:rsidP="00315A35">
                      <w:pPr>
                        <w:spacing w:line="240" w:lineRule="auto"/>
                        <w:jc w:val="left"/>
                        <w:rPr>
                          <w:rFonts w:cs="Arial"/>
                          <w:b/>
                          <w:bCs/>
                          <w:sz w:val="21"/>
                          <w:szCs w:val="21"/>
                        </w:rPr>
                      </w:pPr>
                      <w:r w:rsidRPr="00315A35">
                        <w:rPr>
                          <w:rFonts w:cs="Arial"/>
                          <w:b/>
                          <w:bCs/>
                          <w:sz w:val="21"/>
                          <w:szCs w:val="21"/>
                        </w:rPr>
                        <w:t>Studies excluded</w:t>
                      </w:r>
                      <w:r w:rsidRPr="00315A35">
                        <w:rPr>
                          <w:rFonts w:cs="Arial"/>
                          <w:b/>
                          <w:bCs/>
                          <w:sz w:val="21"/>
                          <w:szCs w:val="21"/>
                        </w:rPr>
                        <w:br/>
                        <w:t>(n =  5)</w:t>
                      </w:r>
                    </w:p>
                    <w:p w14:paraId="32159BFE" w14:textId="77777777" w:rsidR="0060408E" w:rsidRPr="00315A35" w:rsidRDefault="0060408E" w:rsidP="00315A35">
                      <w:pPr>
                        <w:spacing w:line="240" w:lineRule="auto"/>
                        <w:jc w:val="left"/>
                        <w:rPr>
                          <w:rFonts w:cs="Arial"/>
                          <w:color w:val="000000"/>
                          <w:sz w:val="21"/>
                          <w:szCs w:val="21"/>
                        </w:rPr>
                      </w:pPr>
                      <w:r w:rsidRPr="00315A35">
                        <w:rPr>
                          <w:rFonts w:cs="Arial"/>
                          <w:color w:val="000000"/>
                          <w:sz w:val="21"/>
                          <w:szCs w:val="21"/>
                        </w:rPr>
                        <w:t>4 Insufficient exclusion criteria of other neurological comorbidities</w:t>
                      </w:r>
                    </w:p>
                    <w:p w14:paraId="020E3020" w14:textId="77777777" w:rsidR="0060408E" w:rsidRPr="00315A35" w:rsidRDefault="0060408E" w:rsidP="00315A35">
                      <w:pPr>
                        <w:spacing w:line="240" w:lineRule="auto"/>
                        <w:jc w:val="left"/>
                        <w:rPr>
                          <w:rFonts w:cs="Arial"/>
                          <w:sz w:val="21"/>
                          <w:szCs w:val="21"/>
                        </w:rPr>
                      </w:pPr>
                      <w:r w:rsidRPr="00315A35">
                        <w:rPr>
                          <w:rFonts w:cs="Arial"/>
                          <w:sz w:val="21"/>
                          <w:szCs w:val="21"/>
                        </w:rPr>
                        <w:t>1 Non video-EEG confirmed FS patients</w:t>
                      </w:r>
                    </w:p>
                    <w:p w14:paraId="7558EEB9" w14:textId="77777777" w:rsidR="0060408E" w:rsidRPr="00315A35" w:rsidRDefault="0060408E" w:rsidP="00315A35">
                      <w:pPr>
                        <w:spacing w:line="240" w:lineRule="auto"/>
                        <w:jc w:val="left"/>
                        <w:rPr>
                          <w:rFonts w:cs="Arial"/>
                          <w:b/>
                          <w:bCs/>
                          <w:szCs w:val="22"/>
                        </w:rPr>
                      </w:pPr>
                    </w:p>
                    <w:p w14:paraId="6FCB2AC3" w14:textId="77777777" w:rsidR="0060408E" w:rsidRPr="00315A35" w:rsidRDefault="0060408E" w:rsidP="00315A35">
                      <w:pPr>
                        <w:spacing w:line="240" w:lineRule="auto"/>
                        <w:jc w:val="left"/>
                        <w:rPr>
                          <w:rFonts w:cs="Arial"/>
                          <w:szCs w:val="22"/>
                        </w:rPr>
                      </w:pPr>
                    </w:p>
                    <w:p w14:paraId="60347FD6" w14:textId="77777777" w:rsidR="0060408E" w:rsidRPr="00315A35" w:rsidRDefault="0060408E" w:rsidP="00315A35">
                      <w:pPr>
                        <w:spacing w:line="240" w:lineRule="auto"/>
                        <w:jc w:val="left"/>
                        <w:rPr>
                          <w:rFonts w:cs="Arial"/>
                          <w:szCs w:val="22"/>
                          <w:lang w:val="en"/>
                        </w:rPr>
                      </w:pPr>
                    </w:p>
                  </w:txbxContent>
                </v:textbox>
              </v:rect>
            </w:pict>
          </mc:Fallback>
        </mc:AlternateContent>
      </w:r>
      <w:r w:rsidR="0060408E">
        <w:rPr>
          <w:noProof/>
          <w:lang w:eastAsia="zh-CN"/>
        </w:rPr>
        <mc:AlternateContent>
          <mc:Choice Requires="wps">
            <w:drawing>
              <wp:anchor distT="0" distB="0" distL="114300" distR="114300" simplePos="0" relativeHeight="251677696" behindDoc="0" locked="0" layoutInCell="1" allowOverlap="1" wp14:anchorId="4FE867AB" wp14:editId="556B2400">
                <wp:simplePos x="0" y="0"/>
                <wp:positionH relativeFrom="column">
                  <wp:posOffset>1988498</wp:posOffset>
                </wp:positionH>
                <wp:positionV relativeFrom="paragraph">
                  <wp:posOffset>7228840</wp:posOffset>
                </wp:positionV>
                <wp:extent cx="1579688" cy="0"/>
                <wp:effectExtent l="0" t="0" r="0" b="0"/>
                <wp:wrapNone/>
                <wp:docPr id="800408745" name="Straight Arrow Connector 800408745"/>
                <wp:cNvGraphicFramePr/>
                <a:graphic xmlns:a="http://schemas.openxmlformats.org/drawingml/2006/main">
                  <a:graphicData uri="http://schemas.microsoft.com/office/word/2010/wordprocessingShape">
                    <wps:wsp>
                      <wps:cNvCnPr/>
                      <wps:spPr>
                        <a:xfrm>
                          <a:off x="0" y="0"/>
                          <a:ext cx="157968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5D6AEF" id="Straight Arrow Connector 800408745" o:spid="_x0000_s1026" type="#_x0000_t32" style="position:absolute;margin-left:156.55pt;margin-top:569.2pt;width:124.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" strokecolor="windowText" strokeweight=".5pt">
                <v:stroke endarrow="block" joinstyle="miter"/>
              </v:shape>
            </w:pict>
          </mc:Fallback>
        </mc:AlternateContent>
      </w:r>
      <w:r w:rsidR="0060408E" w:rsidRPr="009C1F41">
        <w:br w:type="page"/>
      </w:r>
    </w:p>
    <w:p w14:paraId="78F32E50" w14:textId="77777777" w:rsidR="0060408E" w:rsidRPr="0060408E" w:rsidRDefault="0060408E" w:rsidP="0060408E">
      <w:pPr>
        <w:pStyle w:val="Heading2"/>
      </w:pPr>
      <w:bookmarkStart w:id="43" w:name="_lnxbz9" w:colFirst="0" w:colLast="0"/>
      <w:bookmarkStart w:id="44" w:name="_Toc137504681"/>
      <w:bookmarkEnd w:id="43"/>
      <w:r w:rsidRPr="0060408E">
        <w:lastRenderedPageBreak/>
        <w:t>2.4 Quality Assessment</w:t>
      </w:r>
      <w:bookmarkEnd w:id="44"/>
    </w:p>
    <w:p w14:paraId="2444A57B" w14:textId="36C502C1" w:rsidR="0060408E" w:rsidRPr="009C1F41" w:rsidRDefault="0060408E" w:rsidP="00DB19B8">
      <w:pPr>
        <w:pBdr>
          <w:top w:val="nil"/>
          <w:left w:val="nil"/>
          <w:bottom w:val="nil"/>
          <w:right w:val="nil"/>
          <w:between w:val="nil"/>
        </w:pBdr>
        <w:rPr>
          <w:rFonts w:eastAsia="Arial"/>
        </w:rPr>
      </w:pPr>
      <w:r w:rsidRPr="009C1F41">
        <w:rPr>
          <w:rFonts w:eastAsia="Arial"/>
        </w:rPr>
        <w:t>The studies deemed eligible for inclusion in the review were put through a formal quality appraisal.</w:t>
      </w:r>
      <w:r>
        <w:rPr>
          <w:rFonts w:eastAsia="Arial"/>
        </w:rPr>
        <w:t xml:space="preserve"> </w:t>
      </w:r>
      <w:r w:rsidRPr="009C1F41">
        <w:rPr>
          <w:rFonts w:eastAsia="Arial"/>
        </w:rPr>
        <w:t>Methodological quality was reviewed using an adaptation of the Critical Appraisal Skills Programme (CASP).</w:t>
      </w:r>
      <w:r>
        <w:rPr>
          <w:rFonts w:eastAsia="Arial"/>
        </w:rPr>
        <w:t xml:space="preserve"> </w:t>
      </w:r>
      <w:r w:rsidRPr="009C1F41">
        <w:rPr>
          <w:rFonts w:eastAsia="Arial"/>
        </w:rPr>
        <w:t>The scale was adapted for relevance to this research field following recommendations from Brown and Reuber</w:t>
      </w:r>
      <w:r>
        <w:rPr>
          <w:rFonts w:eastAsia="Arial"/>
        </w:rPr>
        <w:t xml:space="preserve"> </w:t>
      </w:r>
      <w:sdt>
        <w:sdtPr>
          <w:rPr>
            <w:rFonts w:eastAsia="Arial"/>
            <w:color w:val="000000"/>
          </w:rPr>
          <w:tag w:val="MENDELEY_CITATION_v3_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"/>
          <w:id w:val="81037522"/>
          <w:placeholder>
            <w:docPart w:val="3BBE6AC8ADF92943B7103F1B75274D1A"/>
          </w:placeholder>
        </w:sdtPr>
        <w:sdtContent>
          <w:r w:rsidR="0047170A">
            <w:rPr>
              <w:rFonts w:eastAsia="Times New Roman"/>
            </w:rPr>
            <w:t>(R. J. Brown &amp; Reuber, 2016a)</w:t>
          </w:r>
        </w:sdtContent>
      </w:sdt>
      <w:r>
        <w:rPr>
          <w:rFonts w:eastAsia="Arial"/>
        </w:rPr>
        <w:t xml:space="preserve"> </w:t>
      </w:r>
      <w:r w:rsidRPr="009C1F41">
        <w:rPr>
          <w:rFonts w:eastAsia="Arial"/>
        </w:rPr>
        <w:t xml:space="preserve"> and the </w:t>
      </w:r>
      <w:r>
        <w:rPr>
          <w:rFonts w:eastAsia="Arial"/>
        </w:rPr>
        <w:t>authors'</w:t>
      </w:r>
      <w:r w:rsidRPr="009C1F41">
        <w:rPr>
          <w:rFonts w:eastAsia="Arial"/>
        </w:rPr>
        <w:t xml:space="preserve"> knowledge of the area with respect to the review question.</w:t>
      </w:r>
      <w:r>
        <w:rPr>
          <w:rFonts w:eastAsia="Arial"/>
        </w:rPr>
        <w:t xml:space="preserve"> </w:t>
      </w:r>
      <w:r w:rsidRPr="009C1F41">
        <w:rPr>
          <w:rFonts w:eastAsia="Arial"/>
        </w:rPr>
        <w:t>The final appraisal tool combined quality items from the CASP checklist (using the relevant checklist for the respective study design) and the reliable rating system designed specifically for quantitative research in this field</w:t>
      </w:r>
      <w:r>
        <w:rPr>
          <w:rFonts w:eastAsia="Arial"/>
        </w:rPr>
        <w:t xml:space="preserve"> </w:t>
      </w:r>
      <w:sdt>
        <w:sdtPr>
          <w:rPr>
            <w:rFonts w:eastAsia="Arial"/>
            <w:color w:val="000000"/>
          </w:rPr>
          <w:tag w:val="MENDELEY_CITATION_v3_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"/>
          <w:id w:val="-170644418"/>
          <w:placeholder>
            <w:docPart w:val="3BBE6AC8ADF92943B7103F1B75274D1A"/>
          </w:placeholder>
        </w:sdtPr>
        <w:sdtContent>
          <w:r w:rsidR="0047170A">
            <w:rPr>
              <w:rFonts w:eastAsia="Times New Roman"/>
            </w:rPr>
            <w:t>(R. J. Brown &amp; Reuber, 2016b)</w:t>
          </w:r>
        </w:sdtContent>
      </w:sdt>
      <w:r w:rsidRPr="009C1F41">
        <w:rPr>
          <w:rFonts w:eastAsia="Arial"/>
        </w:rPr>
        <w:t>.</w:t>
      </w:r>
      <w:r>
        <w:rPr>
          <w:rFonts w:eastAsia="Arial"/>
        </w:rPr>
        <w:t xml:space="preserve"> </w:t>
      </w:r>
      <w:r w:rsidRPr="009C1F41">
        <w:rPr>
          <w:rFonts w:eastAsia="Arial"/>
        </w:rPr>
        <w:t xml:space="preserve">This incorporated assessment of the attempt of researchers to identify appropriate and representative participants, appraising whether: i) the </w:t>
      </w:r>
      <w:r>
        <w:rPr>
          <w:rFonts w:eastAsia="Arial"/>
        </w:rPr>
        <w:t>FNSD</w:t>
      </w:r>
      <w:r w:rsidRPr="009C1F41">
        <w:rPr>
          <w:rFonts w:eastAsia="Arial"/>
        </w:rPr>
        <w:t xml:space="preserve"> diagnoses for inclusion were reliable and referenced (e.g. if </w:t>
      </w:r>
      <w:r>
        <w:rPr>
          <w:rFonts w:eastAsia="Arial"/>
        </w:rPr>
        <w:t>F.S.</w:t>
      </w:r>
      <w:r w:rsidRPr="009C1F41">
        <w:rPr>
          <w:rFonts w:eastAsia="Arial"/>
        </w:rPr>
        <w:t xml:space="preserve"> all diagnoses had been video-EEG confirmed); ii) if additional neurological diseases had been explicitly ruled out or controlled for within analysis; iii) recruitment was consecutive; and iv) dependent variables had been standardi</w:t>
      </w:r>
      <w:r>
        <w:rPr>
          <w:rFonts w:eastAsia="Arial"/>
        </w:rPr>
        <w:t>s</w:t>
      </w:r>
      <w:r w:rsidRPr="009C1F41">
        <w:rPr>
          <w:rFonts w:eastAsia="Arial"/>
        </w:rPr>
        <w:t>ed.</w:t>
      </w:r>
      <w:r>
        <w:rPr>
          <w:rFonts w:eastAsia="Arial"/>
          <w:color w:val="2E2E2E"/>
        </w:rPr>
        <w:t xml:space="preserve"> </w:t>
      </w:r>
      <w:r w:rsidRPr="009C1F41">
        <w:rPr>
          <w:rFonts w:eastAsia="Arial"/>
        </w:rPr>
        <w:t xml:space="preserve">Given the aims of this review, we included further specific quality items pertaining to data analysis; i.e. whether study authors carried out </w:t>
      </w:r>
      <w:r>
        <w:rPr>
          <w:rFonts w:eastAsia="Arial"/>
        </w:rPr>
        <w:t xml:space="preserve">an </w:t>
      </w:r>
      <w:r w:rsidRPr="009C1F41">
        <w:rPr>
          <w:rFonts w:eastAsia="Arial"/>
        </w:rPr>
        <w:t xml:space="preserve">appropriate assessment of the measures utilised in the study, multivariate analysis and corrections for multiple </w:t>
      </w:r>
      <w:r>
        <w:rPr>
          <w:rFonts w:eastAsia="Arial"/>
        </w:rPr>
        <w:t>comparisons</w:t>
      </w:r>
      <w:r w:rsidRPr="009C1F41">
        <w:rPr>
          <w:rFonts w:eastAsia="Arial"/>
        </w:rPr>
        <w:t xml:space="preserve"> (when required).</w:t>
      </w:r>
      <w:r>
        <w:rPr>
          <w:rFonts w:eastAsia="Arial"/>
        </w:rPr>
        <w:t xml:space="preserve"> </w:t>
      </w:r>
      <w:r w:rsidRPr="009C1F41">
        <w:rPr>
          <w:rFonts w:eastAsia="Arial"/>
        </w:rPr>
        <w:t xml:space="preserve">(Individual quality indicators can be found in </w:t>
      </w:r>
      <w:r>
        <w:rPr>
          <w:rFonts w:eastAsia="Arial"/>
        </w:rPr>
        <w:t>Supplementary</w:t>
      </w:r>
      <w:r w:rsidRPr="009C1F41">
        <w:rPr>
          <w:rFonts w:eastAsia="Arial"/>
        </w:rPr>
        <w:t xml:space="preserve"> Table 2.) </w:t>
      </w:r>
    </w:p>
    <w:p w14:paraId="788D213E" w14:textId="4EBEC345" w:rsidR="0060408E" w:rsidRPr="006C4C66" w:rsidRDefault="0060408E" w:rsidP="0060408E">
      <w:pPr>
        <w:pStyle w:val="Heading2"/>
        <w:rPr>
          <w:rFonts w:eastAsia="Arial"/>
        </w:rPr>
      </w:pPr>
      <w:bookmarkStart w:id="45" w:name="_35nkun2" w:colFirst="0" w:colLast="0"/>
      <w:bookmarkStart w:id="46" w:name="_Toc137504682"/>
      <w:bookmarkEnd w:id="45"/>
      <w:r>
        <w:rPr>
          <w:rFonts w:eastAsia="Arial"/>
        </w:rPr>
        <w:t>2.5</w:t>
      </w:r>
      <w:r w:rsidRPr="006C4C66">
        <w:rPr>
          <w:rFonts w:eastAsia="Arial"/>
        </w:rPr>
        <w:t xml:space="preserve"> Results</w:t>
      </w:r>
      <w:bookmarkEnd w:id="46"/>
    </w:p>
    <w:p w14:paraId="59414540" w14:textId="798C47BA" w:rsidR="0060408E" w:rsidRPr="006C4C66" w:rsidRDefault="0060408E" w:rsidP="0060408E">
      <w:pPr>
        <w:pStyle w:val="Heading3"/>
        <w:rPr>
          <w:rFonts w:eastAsia="Arial"/>
        </w:rPr>
      </w:pPr>
      <w:bookmarkStart w:id="47" w:name="_1ksv4uv" w:colFirst="0" w:colLast="0"/>
      <w:bookmarkStart w:id="48" w:name="_Toc137504683"/>
      <w:bookmarkEnd w:id="47"/>
      <w:r>
        <w:rPr>
          <w:rFonts w:eastAsia="Arial"/>
        </w:rPr>
        <w:t>2.5</w:t>
      </w:r>
      <w:r w:rsidRPr="006C4C66">
        <w:rPr>
          <w:rFonts w:eastAsia="Arial"/>
        </w:rPr>
        <w:t>.1 Included studies</w:t>
      </w:r>
      <w:bookmarkEnd w:id="48"/>
    </w:p>
    <w:p w14:paraId="380AA0A9" w14:textId="77777777" w:rsidR="0060408E" w:rsidRPr="006C4C66" w:rsidRDefault="0060408E" w:rsidP="00DB19B8">
      <w:pPr>
        <w:rPr>
          <w:rFonts w:eastAsia="Arial"/>
        </w:rPr>
      </w:pPr>
      <w:r w:rsidRPr="006C4C66">
        <w:rPr>
          <w:rFonts w:eastAsia="Arial"/>
        </w:rPr>
        <w:t xml:space="preserve">In total, 18 studies met the inclusion criteria, providing data on subjective and objective measures of stress, distress (including symptom burden) or arousal for 396 </w:t>
      </w:r>
      <w:r>
        <w:rPr>
          <w:rFonts w:eastAsia="Arial"/>
        </w:rPr>
        <w:t>FNSD</w:t>
      </w:r>
      <w:r w:rsidRPr="006C4C66">
        <w:rPr>
          <w:rFonts w:eastAsia="Arial"/>
        </w:rPr>
        <w:t xml:space="preserve"> patients exclusively.</w:t>
      </w:r>
      <w:r>
        <w:rPr>
          <w:rFonts w:eastAsia="Arial"/>
        </w:rPr>
        <w:t xml:space="preserve"> </w:t>
      </w:r>
      <w:r w:rsidRPr="006C4C66">
        <w:rPr>
          <w:rFonts w:eastAsia="Arial"/>
        </w:rPr>
        <w:t>All the studies had a control group which included either healthy participants (n = 303) and/or participants with a neurological or psychiatric diagnosis (n = 134).</w:t>
      </w:r>
      <w:r>
        <w:rPr>
          <w:rFonts w:eastAsia="Arial"/>
        </w:rPr>
        <w:t xml:space="preserve"> All the studies were observational and did not include any treatment intervention. </w:t>
      </w:r>
      <w:r w:rsidRPr="006C4C66">
        <w:rPr>
          <w:rFonts w:eastAsia="Arial"/>
        </w:rPr>
        <w:t>The identified studies and key findings are summarised in Supplementary Table 1.</w:t>
      </w:r>
    </w:p>
    <w:p w14:paraId="0AC24944" w14:textId="3C7DE138" w:rsidR="0060408E" w:rsidRPr="006C4C66" w:rsidRDefault="0060408E" w:rsidP="0060408E">
      <w:pPr>
        <w:pStyle w:val="Heading3"/>
        <w:rPr>
          <w:rFonts w:eastAsia="Arial"/>
        </w:rPr>
      </w:pPr>
      <w:bookmarkStart w:id="49" w:name="_44sinio" w:colFirst="0" w:colLast="0"/>
      <w:bookmarkStart w:id="50" w:name="_Toc137504684"/>
      <w:bookmarkEnd w:id="49"/>
      <w:r>
        <w:rPr>
          <w:rFonts w:eastAsia="Arial"/>
        </w:rPr>
        <w:t>2.5</w:t>
      </w:r>
      <w:r w:rsidRPr="006C4C66">
        <w:rPr>
          <w:rFonts w:eastAsia="Arial"/>
        </w:rPr>
        <w:t>.2 Quality of studies</w:t>
      </w:r>
      <w:bookmarkEnd w:id="50"/>
    </w:p>
    <w:p w14:paraId="5A816F52" w14:textId="77777777" w:rsidR="0060408E" w:rsidRPr="006C4C66" w:rsidRDefault="0060408E" w:rsidP="00DB19B8">
      <w:pPr>
        <w:rPr>
          <w:rFonts w:eastAsia="Arial"/>
        </w:rPr>
      </w:pPr>
      <w:r w:rsidRPr="006C4C66">
        <w:rPr>
          <w:rFonts w:eastAsia="Arial"/>
        </w:rPr>
        <w:t>All eligible studies were included in the quality assessment (Supplementary Table 2).</w:t>
      </w:r>
      <w:r>
        <w:rPr>
          <w:rFonts w:eastAsia="Arial"/>
        </w:rPr>
        <w:t xml:space="preserve"> </w:t>
      </w:r>
      <w:r w:rsidRPr="006C4C66">
        <w:rPr>
          <w:rFonts w:eastAsia="Arial"/>
        </w:rPr>
        <w:t>None presented formal sample size calculations</w:t>
      </w:r>
      <w:r>
        <w:rPr>
          <w:rFonts w:eastAsia="Arial"/>
        </w:rPr>
        <w:t>. P</w:t>
      </w:r>
      <w:r w:rsidRPr="006C4C66">
        <w:rPr>
          <w:rFonts w:eastAsia="Arial"/>
        </w:rPr>
        <w:t>atients w</w:t>
      </w:r>
      <w:r>
        <w:rPr>
          <w:rFonts w:eastAsia="Arial"/>
        </w:rPr>
        <w:t xml:space="preserve">ere recruited </w:t>
      </w:r>
      <w:r>
        <w:rPr>
          <w:rFonts w:eastAsia="Arial"/>
        </w:rPr>
        <w:lastRenderedPageBreak/>
        <w:t>consecutively in 39</w:t>
      </w:r>
      <w:r w:rsidRPr="006C4C66">
        <w:rPr>
          <w:rFonts w:eastAsia="Arial"/>
        </w:rPr>
        <w:t>% of studies (n</w:t>
      </w:r>
      <w:r>
        <w:rPr>
          <w:rFonts w:eastAsia="Arial"/>
        </w:rPr>
        <w:t xml:space="preserve"> </w:t>
      </w:r>
      <w:r w:rsidRPr="006C4C66">
        <w:rPr>
          <w:rFonts w:eastAsia="Arial"/>
        </w:rPr>
        <w:t>=</w:t>
      </w:r>
      <w:r>
        <w:rPr>
          <w:rFonts w:eastAsia="Arial"/>
        </w:rPr>
        <w:t xml:space="preserve"> 7</w:t>
      </w:r>
      <w:r w:rsidRPr="006C4C66">
        <w:rPr>
          <w:rFonts w:eastAsia="Arial"/>
        </w:rPr>
        <w:t>).</w:t>
      </w:r>
      <w:r>
        <w:rPr>
          <w:rFonts w:eastAsia="Arial"/>
        </w:rPr>
        <w:t xml:space="preserve"> </w:t>
      </w:r>
      <w:r w:rsidRPr="006C4C66">
        <w:rPr>
          <w:rFonts w:eastAsia="Arial"/>
        </w:rPr>
        <w:t>An explicit reference to other neurological disorders being ruled out was made in 88% of reports (n</w:t>
      </w:r>
      <w:r>
        <w:rPr>
          <w:rFonts w:eastAsia="Arial"/>
        </w:rPr>
        <w:t xml:space="preserve"> </w:t>
      </w:r>
      <w:r w:rsidRPr="006C4C66">
        <w:rPr>
          <w:rFonts w:eastAsia="Arial"/>
        </w:rPr>
        <w:t>=</w:t>
      </w:r>
      <w:r>
        <w:rPr>
          <w:rFonts w:eastAsia="Arial"/>
        </w:rPr>
        <w:t xml:space="preserve"> </w:t>
      </w:r>
      <w:r w:rsidRPr="006C4C66">
        <w:rPr>
          <w:rFonts w:eastAsia="Arial"/>
        </w:rPr>
        <w:t xml:space="preserve">16). </w:t>
      </w:r>
    </w:p>
    <w:p w14:paraId="21F70307" w14:textId="2F14824E" w:rsidR="0060408E" w:rsidRPr="00AD55BE" w:rsidRDefault="0060408E" w:rsidP="00DB19B8">
      <w:pPr>
        <w:rPr>
          <w:rFonts w:eastAsia="Arial"/>
        </w:rPr>
      </w:pPr>
      <w:r w:rsidRPr="006C4C66">
        <w:rPr>
          <w:rFonts w:eastAsia="Arial"/>
        </w:rPr>
        <w:t xml:space="preserve">DSM-5 criteria were still in development at the time of publication for some of the included </w:t>
      </w:r>
      <w:r w:rsidRPr="00AD55BE">
        <w:rPr>
          <w:rFonts w:eastAsia="Arial"/>
        </w:rPr>
        <w:t>studies.</w:t>
      </w:r>
      <w:r>
        <w:rPr>
          <w:rFonts w:eastAsia="Arial"/>
        </w:rPr>
        <w:t xml:space="preserve"> </w:t>
      </w:r>
      <w:r w:rsidRPr="00AD55BE">
        <w:rPr>
          <w:rFonts w:eastAsia="Arial"/>
        </w:rPr>
        <w:t xml:space="preserve">However, all </w:t>
      </w:r>
      <w:r>
        <w:rPr>
          <w:rFonts w:eastAsia="Arial"/>
        </w:rPr>
        <w:t>F.S.</w:t>
      </w:r>
      <w:r w:rsidRPr="00AD55BE">
        <w:rPr>
          <w:rFonts w:eastAsia="Arial"/>
        </w:rPr>
        <w:t xml:space="preserve"> diagnoses </w:t>
      </w:r>
      <w:r>
        <w:rPr>
          <w:rFonts w:eastAsia="Arial"/>
        </w:rPr>
        <w:t>were</w:t>
      </w:r>
      <w:r w:rsidRPr="00AD55BE">
        <w:rPr>
          <w:rFonts w:eastAsia="Arial"/>
        </w:rPr>
        <w:t xml:space="preserve"> confirmed by the recording of a typical non</w:t>
      </w:r>
      <w:r>
        <w:rPr>
          <w:rFonts w:eastAsia="Arial"/>
        </w:rPr>
        <w:t>-</w:t>
      </w:r>
      <w:r w:rsidRPr="00AD55BE">
        <w:rPr>
          <w:rFonts w:eastAsia="Arial"/>
        </w:rPr>
        <w:t xml:space="preserve">epileptic event with video-EEG, the current gold standard for diagnosis, and other authors reported inclusion of </w:t>
      </w:r>
      <w:r>
        <w:rPr>
          <w:rFonts w:eastAsia="Arial"/>
        </w:rPr>
        <w:t>FNSD</w:t>
      </w:r>
      <w:r w:rsidRPr="00AD55BE">
        <w:rPr>
          <w:rFonts w:eastAsia="Arial"/>
        </w:rPr>
        <w:t xml:space="preserve"> patients based on the new DSM-5 criteria (Figure 1).</w:t>
      </w:r>
      <w:r>
        <w:rPr>
          <w:rFonts w:eastAsia="Arial"/>
        </w:rPr>
        <w:t xml:space="preserve"> </w:t>
      </w:r>
      <w:r w:rsidRPr="00AD55BE">
        <w:rPr>
          <w:rFonts w:eastAsia="Arial"/>
        </w:rPr>
        <w:t>In total</w:t>
      </w:r>
      <w:r>
        <w:rPr>
          <w:rFonts w:eastAsia="Arial"/>
        </w:rPr>
        <w:t>,</w:t>
      </w:r>
      <w:r w:rsidRPr="00AD55BE">
        <w:rPr>
          <w:rFonts w:eastAsia="Arial"/>
        </w:rPr>
        <w:t xml:space="preserve"> </w:t>
      </w:r>
      <w:r>
        <w:rPr>
          <w:rFonts w:eastAsia="Arial"/>
        </w:rPr>
        <w:t>261</w:t>
      </w:r>
      <w:r w:rsidRPr="00AD55BE">
        <w:rPr>
          <w:rFonts w:eastAsia="Arial"/>
        </w:rPr>
        <w:t xml:space="preserve"> patients with </w:t>
      </w:r>
      <w:r>
        <w:rPr>
          <w:rFonts w:eastAsia="Arial"/>
        </w:rPr>
        <w:t>F.S.</w:t>
      </w:r>
      <w:r w:rsidRPr="00AD55BE">
        <w:rPr>
          <w:rFonts w:eastAsia="Arial"/>
        </w:rPr>
        <w:t xml:space="preserve"> and </w:t>
      </w:r>
      <w:r>
        <w:rPr>
          <w:rFonts w:eastAsia="Arial"/>
        </w:rPr>
        <w:t>135</w:t>
      </w:r>
      <w:r w:rsidRPr="00AD55BE">
        <w:rPr>
          <w:rFonts w:eastAsia="Arial"/>
        </w:rPr>
        <w:t xml:space="preserve"> with other</w:t>
      </w:r>
      <w:r>
        <w:rPr>
          <w:rFonts w:eastAsia="Arial"/>
        </w:rPr>
        <w:t xml:space="preserve"> or mixed</w:t>
      </w:r>
      <w:r w:rsidRPr="00AD55BE">
        <w:rPr>
          <w:rFonts w:eastAsia="Arial"/>
        </w:rPr>
        <w:t xml:space="preserve"> manifestations of </w:t>
      </w:r>
      <w:r>
        <w:rPr>
          <w:rFonts w:eastAsia="Arial"/>
        </w:rPr>
        <w:t>FNSD</w:t>
      </w:r>
      <w:r w:rsidRPr="00AD55BE">
        <w:rPr>
          <w:rFonts w:eastAsia="Arial"/>
        </w:rPr>
        <w:t xml:space="preserve"> were recruited.</w:t>
      </w:r>
      <w:r>
        <w:rPr>
          <w:rFonts w:eastAsia="Arial"/>
        </w:rPr>
        <w:t xml:space="preserve"> </w:t>
      </w:r>
      <w:r w:rsidRPr="00AD55BE">
        <w:rPr>
          <w:rFonts w:eastAsia="Arial"/>
        </w:rPr>
        <w:t>The methods of confirming diagnoses varied widely in studies with other functional disorders.</w:t>
      </w:r>
      <w:r>
        <w:rPr>
          <w:rFonts w:eastAsia="Arial"/>
        </w:rPr>
        <w:t xml:space="preserve"> </w:t>
      </w:r>
      <w:r w:rsidRPr="00AD55BE">
        <w:rPr>
          <w:rFonts w:eastAsia="Arial"/>
        </w:rPr>
        <w:t xml:space="preserve">Some studies with FMD patients reported exclusive participation of patients with </w:t>
      </w:r>
      <w:r>
        <w:rPr>
          <w:rFonts w:eastAsia="Arial"/>
        </w:rPr>
        <w:t>"</w:t>
      </w:r>
      <w:r w:rsidRPr="00AD55BE">
        <w:rPr>
          <w:rFonts w:eastAsia="Arial"/>
        </w:rPr>
        <w:t>clinically established</w:t>
      </w:r>
      <w:r>
        <w:rPr>
          <w:rFonts w:eastAsia="Arial"/>
        </w:rPr>
        <w:t>"</w:t>
      </w:r>
      <w:r w:rsidRPr="00AD55BE">
        <w:rPr>
          <w:rFonts w:eastAsia="Arial"/>
        </w:rPr>
        <w:t xml:space="preserve"> FMD</w:t>
      </w:r>
      <w:r>
        <w:rPr>
          <w:rFonts w:eastAsia="Arial"/>
        </w:rPr>
        <w:t xml:space="preserve"> </w:t>
      </w:r>
      <w:sdt>
        <w:sdtPr>
          <w:rPr>
            <w:rFonts w:eastAsia="Arial"/>
          </w:rPr>
          <w:tag w:val="MENDELEY_CITATION_v3_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"/>
          <w:id w:val="-931504327"/>
          <w:placeholder>
            <w:docPart w:val="3BBE6AC8ADF92943B7103F1B75274D1A"/>
          </w:placeholder>
        </w:sdtPr>
        <w:sdtContent>
          <w:r w:rsidR="0047170A">
            <w:rPr>
              <w:rFonts w:eastAsia="Times New Roman"/>
            </w:rPr>
            <w:t>(</w:t>
          </w:r>
          <w:proofErr w:type="spellStart"/>
          <w:r w:rsidR="0047170A">
            <w:rPr>
              <w:rFonts w:eastAsia="Times New Roman"/>
            </w:rPr>
            <w:t>Fahn</w:t>
          </w:r>
          <w:proofErr w:type="spellEnd"/>
          <w:r w:rsidR="0047170A">
            <w:rPr>
              <w:rFonts w:eastAsia="Times New Roman"/>
            </w:rPr>
            <w:t xml:space="preserve"> &amp; Williams, 1988)</w:t>
          </w:r>
        </w:sdtContent>
      </w:sdt>
      <w:r w:rsidRPr="00AD55BE">
        <w:rPr>
          <w:rFonts w:eastAsia="Arial"/>
        </w:rPr>
        <w:t xml:space="preserve">, or with </w:t>
      </w:r>
      <w:r>
        <w:rPr>
          <w:rFonts w:eastAsia="Arial"/>
        </w:rPr>
        <w:t>"</w:t>
      </w:r>
      <w:r w:rsidRPr="00AD55BE">
        <w:rPr>
          <w:rFonts w:eastAsia="Arial"/>
        </w:rPr>
        <w:t>clinically definite</w:t>
      </w:r>
      <w:r>
        <w:rPr>
          <w:rFonts w:eastAsia="Arial"/>
        </w:rPr>
        <w:t>"</w:t>
      </w:r>
      <w:r w:rsidRPr="00AD55BE">
        <w:rPr>
          <w:rFonts w:eastAsia="Arial"/>
        </w:rPr>
        <w:t xml:space="preserve"> FMD</w:t>
      </w:r>
      <w:r>
        <w:rPr>
          <w:rFonts w:eastAsia="Arial"/>
        </w:rPr>
        <w:t xml:space="preserve"> </w:t>
      </w:r>
      <w:sdt>
        <w:sdtPr>
          <w:rPr>
            <w:rFonts w:eastAsia="Arial"/>
            <w:color w:val="000000"/>
          </w:rPr>
          <w:tag w:val="MENDELEY_CITATION_v3_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"/>
          <w:id w:val="275074333"/>
          <w:placeholder>
            <w:docPart w:val="3BBE6AC8ADF92943B7103F1B75274D1A"/>
          </w:placeholder>
        </w:sdtPr>
        <w:sdtContent>
          <w:r w:rsidR="0047170A" w:rsidRPr="0047170A">
            <w:rPr>
              <w:rFonts w:eastAsia="Arial"/>
              <w:color w:val="000000"/>
            </w:rPr>
            <w:t>(D. T. Williams et al., 1995)</w:t>
          </w:r>
        </w:sdtContent>
      </w:sdt>
      <w:r w:rsidRPr="00AD55BE">
        <w:rPr>
          <w:rFonts w:eastAsia="Arial"/>
        </w:rPr>
        <w:t>.</w:t>
      </w:r>
      <w:r>
        <w:rPr>
          <w:rFonts w:eastAsia="Arial"/>
        </w:rPr>
        <w:t xml:space="preserve"> </w:t>
      </w:r>
      <w:r w:rsidRPr="00AD55BE">
        <w:rPr>
          <w:rFonts w:eastAsia="Arial"/>
        </w:rPr>
        <w:t xml:space="preserve">Two studies relied only on a </w:t>
      </w:r>
      <w:r>
        <w:rPr>
          <w:rFonts w:eastAsia="Arial"/>
        </w:rPr>
        <w:t>"</w:t>
      </w:r>
      <w:r w:rsidRPr="00AD55BE">
        <w:rPr>
          <w:rFonts w:eastAsia="Arial"/>
        </w:rPr>
        <w:t>clinically probable</w:t>
      </w:r>
      <w:r>
        <w:rPr>
          <w:rFonts w:eastAsia="Arial"/>
        </w:rPr>
        <w:t>"</w:t>
      </w:r>
      <w:r w:rsidRPr="00AD55BE">
        <w:rPr>
          <w:rFonts w:eastAsia="Arial"/>
        </w:rPr>
        <w:t xml:space="preserve"> diagnosis based on </w:t>
      </w:r>
      <w:proofErr w:type="spellStart"/>
      <w:r w:rsidRPr="00AD55BE">
        <w:rPr>
          <w:rFonts w:eastAsia="Arial"/>
        </w:rPr>
        <w:t>Fahn</w:t>
      </w:r>
      <w:proofErr w:type="spellEnd"/>
      <w:r w:rsidRPr="00AD55BE">
        <w:rPr>
          <w:rFonts w:eastAsia="Arial"/>
        </w:rPr>
        <w:t xml:space="preserve"> et al</w:t>
      </w:r>
      <w:r>
        <w:rPr>
          <w:rFonts w:eastAsia="Arial"/>
        </w:rPr>
        <w:t xml:space="preserve"> </w:t>
      </w:r>
      <w:sdt>
        <w:sdtPr>
          <w:rPr>
            <w:rFonts w:eastAsia="Arial"/>
            <w:color w:val="000000"/>
          </w:rPr>
          <w:tag w:val="MENDELEY_CITATION_v3_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"/>
          <w:id w:val="-697239156"/>
          <w:placeholder>
            <w:docPart w:val="3BBE6AC8ADF92943B7103F1B75274D1A"/>
          </w:placeholder>
        </w:sdtPr>
        <w:sdtContent>
          <w:r w:rsidR="0047170A" w:rsidRPr="0047170A">
            <w:rPr>
              <w:rFonts w:eastAsia="Arial"/>
              <w:color w:val="000000"/>
            </w:rPr>
            <w:t>(D. T. Williams et al., 1995)</w:t>
          </w:r>
        </w:sdtContent>
      </w:sdt>
      <w:r>
        <w:rPr>
          <w:rFonts w:eastAsia="Arial"/>
        </w:rPr>
        <w:t xml:space="preserve"> </w:t>
      </w:r>
      <w:r w:rsidRPr="00AD55BE">
        <w:rPr>
          <w:rFonts w:eastAsia="Arial"/>
        </w:rPr>
        <w:t xml:space="preserve"> and ILAE criteria</w:t>
      </w:r>
      <w:r>
        <w:rPr>
          <w:rFonts w:eastAsia="Arial"/>
        </w:rPr>
        <w:t xml:space="preserve"> </w:t>
      </w:r>
      <w:sdt>
        <w:sdtPr>
          <w:rPr>
            <w:rFonts w:eastAsia="Arial"/>
            <w:color w:val="000000"/>
          </w:rPr>
          <w:tag w:val="MENDELEY_CITATION_v3_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"/>
          <w:id w:val="1993442086"/>
          <w:placeholder>
            <w:docPart w:val="3BBE6AC8ADF92943B7103F1B75274D1A"/>
          </w:placeholder>
        </w:sdtPr>
        <w:sdtContent>
          <w:r w:rsidR="0047170A" w:rsidRPr="0047170A">
            <w:rPr>
              <w:rFonts w:eastAsia="Arial"/>
              <w:color w:val="000000"/>
            </w:rPr>
            <w:t>(Lafrance et al., 2013)</w:t>
          </w:r>
        </w:sdtContent>
      </w:sdt>
      <w:r w:rsidRPr="00AD55BE">
        <w:rPr>
          <w:rFonts w:eastAsia="Arial"/>
        </w:rPr>
        <w:t>.</w:t>
      </w:r>
      <w:r>
        <w:rPr>
          <w:rFonts w:eastAsia="Arial"/>
        </w:rPr>
        <w:t xml:space="preserve"> Based on the above criteria or DSM-5, the clinical evaluation of included patients </w:t>
      </w:r>
      <w:r w:rsidRPr="00AD55BE">
        <w:rPr>
          <w:rFonts w:eastAsia="Arial"/>
        </w:rPr>
        <w:t>comprised neurological examinations, interviews and reviews of clinical histories by neurologists and/or psychiatrists.</w:t>
      </w:r>
      <w:r>
        <w:rPr>
          <w:rFonts w:eastAsia="Arial"/>
        </w:rPr>
        <w:t xml:space="preserve"> </w:t>
      </w:r>
      <w:r w:rsidRPr="00AD55BE">
        <w:rPr>
          <w:rFonts w:eastAsia="Arial"/>
        </w:rPr>
        <w:t xml:space="preserve">In one </w:t>
      </w:r>
      <w:r w:rsidRPr="006C4C66">
        <w:rPr>
          <w:rFonts w:eastAsia="Arial"/>
        </w:rPr>
        <w:t>study,</w:t>
      </w:r>
      <w:r w:rsidRPr="00AD55BE">
        <w:rPr>
          <w:rFonts w:eastAsia="Arial"/>
        </w:rPr>
        <w:t xml:space="preserve"> participants were reviewed by consensus of a board of neurologists</w:t>
      </w:r>
      <w:r>
        <w:rPr>
          <w:rFonts w:eastAsia="Arial"/>
        </w:rPr>
        <w:t>,</w:t>
      </w:r>
      <w:r w:rsidRPr="00AD55BE">
        <w:rPr>
          <w:rFonts w:eastAsia="Arial"/>
        </w:rPr>
        <w:t xml:space="preserve"> and </w:t>
      </w:r>
      <w:r>
        <w:rPr>
          <w:rFonts w:eastAsia="Arial"/>
        </w:rPr>
        <w:t>an</w:t>
      </w:r>
      <w:r w:rsidRPr="00AD55BE">
        <w:rPr>
          <w:rFonts w:eastAsia="Arial"/>
        </w:rPr>
        <w:t xml:space="preserve">other study required consensus between two neurologists to confirm positive symptoms. </w:t>
      </w:r>
      <w:bookmarkStart w:id="51" w:name="_2jxsxqh" w:colFirst="0" w:colLast="0"/>
      <w:bookmarkEnd w:id="51"/>
    </w:p>
    <w:p w14:paraId="1C3BEA21" w14:textId="490AD192" w:rsidR="0060408E" w:rsidRPr="00AD55BE" w:rsidRDefault="0060408E" w:rsidP="0060408E">
      <w:pPr>
        <w:pStyle w:val="Heading3"/>
        <w:rPr>
          <w:rFonts w:eastAsia="Arial"/>
        </w:rPr>
      </w:pPr>
      <w:bookmarkStart w:id="52" w:name="_Toc137504685"/>
      <w:r>
        <w:rPr>
          <w:rFonts w:eastAsia="Arial"/>
        </w:rPr>
        <w:t>2</w:t>
      </w:r>
      <w:r w:rsidRPr="00AD55BE">
        <w:rPr>
          <w:rFonts w:eastAsia="Arial"/>
        </w:rPr>
        <w:t>.</w:t>
      </w:r>
      <w:r>
        <w:rPr>
          <w:rFonts w:eastAsia="Arial"/>
        </w:rPr>
        <w:t>5.3</w:t>
      </w:r>
      <w:r w:rsidRPr="00AD55BE">
        <w:rPr>
          <w:rFonts w:eastAsia="Arial"/>
        </w:rPr>
        <w:t xml:space="preserve"> Categorisation of </w:t>
      </w:r>
      <w:r>
        <w:rPr>
          <w:rFonts w:eastAsia="Arial"/>
        </w:rPr>
        <w:t>S</w:t>
      </w:r>
      <w:r w:rsidRPr="00AD55BE">
        <w:rPr>
          <w:rFonts w:eastAsia="Arial"/>
        </w:rPr>
        <w:t>tudies</w:t>
      </w:r>
      <w:bookmarkEnd w:id="52"/>
    </w:p>
    <w:p w14:paraId="4191AB83" w14:textId="77777777" w:rsidR="0060408E" w:rsidRPr="00AD55BE" w:rsidRDefault="0060408E" w:rsidP="00DB19B8">
      <w:pPr>
        <w:rPr>
          <w:rFonts w:eastAsia="Arial"/>
        </w:rPr>
      </w:pPr>
      <w:r w:rsidRPr="00AD55BE">
        <w:rPr>
          <w:rFonts w:eastAsia="Arial"/>
        </w:rPr>
        <w:t>Based on the research question and constructs of focus, the studies were categorised into three research areas: (1) stress response, (2) emotion processing, and (3) illness burden.</w:t>
      </w:r>
      <w:r>
        <w:rPr>
          <w:rFonts w:eastAsia="Arial"/>
        </w:rPr>
        <w:t xml:space="preserve"> </w:t>
      </w:r>
      <w:r w:rsidRPr="00AD55BE">
        <w:rPr>
          <w:rFonts w:eastAsia="Arial"/>
        </w:rPr>
        <w:t>Some studies overlapped categories but were placed based on the primary outcome of the study.</w:t>
      </w:r>
      <w:r>
        <w:rPr>
          <w:rFonts w:eastAsia="Arial"/>
        </w:rPr>
        <w:t xml:space="preserve"> </w:t>
      </w:r>
      <w:r w:rsidRPr="00AD55BE">
        <w:rPr>
          <w:rFonts w:eastAsia="Arial"/>
        </w:rPr>
        <w:t>Their most relevant methodologies and findings are summari</w:t>
      </w:r>
      <w:r>
        <w:rPr>
          <w:rFonts w:eastAsia="Arial"/>
        </w:rPr>
        <w:t>s</w:t>
      </w:r>
      <w:r w:rsidRPr="00AD55BE">
        <w:rPr>
          <w:rFonts w:eastAsia="Arial"/>
        </w:rPr>
        <w:t>ed in the following sections.</w:t>
      </w:r>
    </w:p>
    <w:p w14:paraId="0C6D8AEC" w14:textId="798AEF71" w:rsidR="0060408E" w:rsidRPr="00AD55BE" w:rsidRDefault="0060408E" w:rsidP="0060408E">
      <w:pPr>
        <w:pStyle w:val="Heading3"/>
        <w:rPr>
          <w:rFonts w:eastAsia="Arial"/>
        </w:rPr>
      </w:pPr>
      <w:bookmarkStart w:id="53" w:name="_Toc137504686"/>
      <w:r>
        <w:rPr>
          <w:rFonts w:eastAsia="Arial"/>
        </w:rPr>
        <w:t>2.5.4</w:t>
      </w:r>
      <w:r w:rsidRPr="00AD55BE">
        <w:rPr>
          <w:rFonts w:eastAsia="Arial"/>
        </w:rPr>
        <w:t xml:space="preserve"> Stress response</w:t>
      </w:r>
      <w:bookmarkEnd w:id="53"/>
      <w:r w:rsidRPr="00AD55BE">
        <w:rPr>
          <w:rFonts w:eastAsia="Arial"/>
        </w:rPr>
        <w:t xml:space="preserve">  </w:t>
      </w:r>
    </w:p>
    <w:p w14:paraId="61773A67" w14:textId="2B72ABA9" w:rsidR="0060408E" w:rsidRPr="00AD55BE" w:rsidRDefault="0060408E" w:rsidP="00DB19B8">
      <w:pPr>
        <w:rPr>
          <w:rFonts w:eastAsia="Arial"/>
        </w:rPr>
      </w:pPr>
      <w:r w:rsidRPr="00AD55BE">
        <w:rPr>
          <w:rFonts w:eastAsia="Arial"/>
        </w:rPr>
        <w:t>Eight studies</w:t>
      </w:r>
      <w:r>
        <w:rPr>
          <w:rFonts w:eastAsia="Arial"/>
        </w:rPr>
        <w:t xml:space="preserve"> </w:t>
      </w:r>
      <w:sdt>
        <w:sdtPr>
          <w:rPr>
            <w:rFonts w:eastAsia="Arial"/>
            <w:color w:val="000000"/>
          </w:rPr>
          <w:tag w:val="MENDELEY_CITATION_v3_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LH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"/>
          <w:id w:val="1747926194"/>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Allendorfer</w:t>
          </w:r>
          <w:proofErr w:type="spellEnd"/>
          <w:r w:rsidR="0047170A" w:rsidRPr="0047170A">
            <w:rPr>
              <w:rFonts w:eastAsia="Arial"/>
              <w:color w:val="000000"/>
            </w:rPr>
            <w:t xml:space="preserve"> et al., 2019; Apazoglou et al., 2017; </w:t>
          </w:r>
          <w:proofErr w:type="spellStart"/>
          <w:r w:rsidR="0047170A" w:rsidRPr="0047170A">
            <w:rPr>
              <w:rFonts w:eastAsia="Arial"/>
              <w:color w:val="000000"/>
            </w:rPr>
            <w:t>Bakvis</w:t>
          </w:r>
          <w:proofErr w:type="spellEnd"/>
          <w:r w:rsidR="0047170A" w:rsidRPr="0047170A">
            <w:rPr>
              <w:rFonts w:eastAsia="Arial"/>
              <w:color w:val="000000"/>
            </w:rPr>
            <w:t xml:space="preserve"> et al., 2009, 2011; Pick et al., 2018a)</w:t>
          </w:r>
        </w:sdtContent>
      </w:sdt>
      <w:r w:rsidRPr="00AD55BE">
        <w:rPr>
          <w:rFonts w:eastAsia="Arial"/>
        </w:rPr>
        <w:t xml:space="preserve">  explored the neurobiological stress response utilising a range of known physiological stress markers as objective measures.</w:t>
      </w:r>
      <w:r>
        <w:rPr>
          <w:rFonts w:eastAsia="Arial"/>
        </w:rPr>
        <w:t xml:space="preserve"> </w:t>
      </w:r>
      <w:r w:rsidRPr="00AD55BE">
        <w:rPr>
          <w:rFonts w:eastAsia="Arial"/>
        </w:rPr>
        <w:t xml:space="preserve">These included measures of salivary cortisol and salivary alpha-amylase to identify response in the hypothalamic pituitary adrenal axis (HPA-axis, known as the </w:t>
      </w:r>
      <w:r>
        <w:rPr>
          <w:rFonts w:eastAsia="Arial"/>
        </w:rPr>
        <w:t>'</w:t>
      </w:r>
      <w:r w:rsidRPr="00AD55BE">
        <w:rPr>
          <w:rFonts w:eastAsia="Arial"/>
        </w:rPr>
        <w:t>stress system</w:t>
      </w:r>
      <w:r>
        <w:rPr>
          <w:rFonts w:eastAsia="Arial"/>
        </w:rPr>
        <w:t>'</w:t>
      </w:r>
      <w:r w:rsidRPr="00AD55BE">
        <w:rPr>
          <w:rFonts w:eastAsia="Arial"/>
        </w:rPr>
        <w:t xml:space="preserve">) while skin conductance responses </w:t>
      </w:r>
      <w:r>
        <w:rPr>
          <w:rFonts w:eastAsia="Arial"/>
        </w:rPr>
        <w:t>were</w:t>
      </w:r>
      <w:r w:rsidRPr="00AD55BE">
        <w:rPr>
          <w:rFonts w:eastAsia="Arial"/>
        </w:rPr>
        <w:t xml:space="preserve"> used in one study</w:t>
      </w:r>
      <w:r>
        <w:rPr>
          <w:rFonts w:eastAsia="Arial"/>
        </w:rPr>
        <w:t xml:space="preserve"> </w:t>
      </w:r>
      <w:sdt>
        <w:sdtPr>
          <w:rPr>
            <w:rFonts w:eastAsia="Arial"/>
            <w:color w:val="000000"/>
          </w:rPr>
          <w:tag w:val="MENDELEY_CITATION_v3_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"/>
          <w:id w:val="587579464"/>
          <w:placeholder>
            <w:docPart w:val="3BBE6AC8ADF92943B7103F1B75274D1A"/>
          </w:placeholder>
        </w:sdtPr>
        <w:sdtContent>
          <w:r w:rsidR="0047170A" w:rsidRPr="0047170A">
            <w:rPr>
              <w:rFonts w:eastAsia="Arial"/>
              <w:color w:val="000000"/>
            </w:rPr>
            <w:t>(Pick et al., 2018a)</w:t>
          </w:r>
        </w:sdtContent>
      </w:sdt>
      <w:r>
        <w:rPr>
          <w:rFonts w:eastAsia="Arial"/>
        </w:rPr>
        <w:t xml:space="preserve"> </w:t>
      </w:r>
      <w:r w:rsidRPr="00AD55BE">
        <w:rPr>
          <w:rFonts w:eastAsia="Arial"/>
        </w:rPr>
        <w:t xml:space="preserve"> as a marker of the peripheral sympathetic autonomic nervous system to assess arousal and non-conscious responses.</w:t>
      </w:r>
      <w:r>
        <w:rPr>
          <w:rFonts w:eastAsia="Arial"/>
        </w:rPr>
        <w:t xml:space="preserve"> </w:t>
      </w:r>
      <w:r w:rsidRPr="00AD55BE">
        <w:rPr>
          <w:rFonts w:eastAsia="Arial"/>
        </w:rPr>
        <w:t>These studies adopted a range of self-report measures</w:t>
      </w:r>
      <w:r>
        <w:rPr>
          <w:rFonts w:eastAsia="Arial"/>
        </w:rPr>
        <w:t>,</w:t>
      </w:r>
      <w:r w:rsidRPr="00AD55BE">
        <w:rPr>
          <w:rFonts w:eastAsia="Arial"/>
        </w:rPr>
        <w:t xml:space="preserve"> </w:t>
      </w:r>
      <w:r w:rsidRPr="00AD55BE">
        <w:rPr>
          <w:rFonts w:eastAsia="Arial"/>
        </w:rPr>
        <w:lastRenderedPageBreak/>
        <w:t>including direct reports of acute stress and anxiety levels on a visual analogue scale, a self-assessment manikin, or validated stress scale</w:t>
      </w:r>
      <w:r>
        <w:rPr>
          <w:rFonts w:eastAsia="Arial"/>
        </w:rPr>
        <w:t>, and</w:t>
      </w:r>
      <w:r w:rsidRPr="00AD55BE">
        <w:rPr>
          <w:rFonts w:eastAsia="Arial"/>
        </w:rPr>
        <w:t xml:space="preserve"> questionnaires exploring other key outcomes such as quality of life, psychiatric comorbidity, physical disability and seizure severity.</w:t>
      </w:r>
      <w:r>
        <w:rPr>
          <w:rFonts w:eastAsia="Arial"/>
        </w:rPr>
        <w:t xml:space="preserve"> </w:t>
      </w:r>
      <w:r w:rsidRPr="00AD55BE">
        <w:rPr>
          <w:rFonts w:eastAsia="Arial"/>
        </w:rPr>
        <w:t xml:space="preserve">Overall aims included profiling stress response in </w:t>
      </w:r>
      <w:r>
        <w:rPr>
          <w:rFonts w:eastAsia="Arial"/>
        </w:rPr>
        <w:t>FNSD</w:t>
      </w:r>
      <w:r w:rsidRPr="00AD55BE">
        <w:rPr>
          <w:rFonts w:eastAsia="Arial"/>
        </w:rPr>
        <w:t xml:space="preserve"> in variable conditions, where some studies focused on basal levels of arousal</w:t>
      </w:r>
      <w:r w:rsidRPr="00712082">
        <w:rPr>
          <w:rFonts w:eastAsia="Arial"/>
        </w:rPr>
        <w:t>.</w:t>
      </w:r>
      <w:r>
        <w:rPr>
          <w:rFonts w:eastAsia="Arial"/>
        </w:rPr>
        <w:t xml:space="preserve"> </w:t>
      </w:r>
      <w:r w:rsidRPr="00712082">
        <w:rPr>
          <w:rFonts w:eastAsia="Arial"/>
        </w:rPr>
        <w:t>Six of these</w:t>
      </w:r>
      <w:r w:rsidRPr="00AD55BE">
        <w:rPr>
          <w:rFonts w:eastAsia="Arial"/>
        </w:rPr>
        <w:t xml:space="preserve"> studies </w:t>
      </w:r>
      <w:r>
        <w:rPr>
          <w:rFonts w:eastAsia="Arial"/>
        </w:rPr>
        <w:t xml:space="preserve">aimed to a different degree to </w:t>
      </w:r>
      <w:r w:rsidRPr="00AD55BE">
        <w:rPr>
          <w:rFonts w:eastAsia="Arial"/>
        </w:rPr>
        <w:t>compar</w:t>
      </w:r>
      <w:r>
        <w:rPr>
          <w:rFonts w:eastAsia="Arial"/>
        </w:rPr>
        <w:t>e</w:t>
      </w:r>
      <w:r w:rsidRPr="00AD55BE">
        <w:rPr>
          <w:rFonts w:eastAsia="Arial"/>
        </w:rPr>
        <w:t xml:space="preserve"> subjective and physiological (or autonomic/objective) experience (particularly relevant to this review). </w:t>
      </w:r>
    </w:p>
    <w:p w14:paraId="360863E0" w14:textId="71F5F5FD" w:rsidR="0060408E" w:rsidRPr="00712082" w:rsidRDefault="0060408E" w:rsidP="00DB19B8">
      <w:pPr>
        <w:rPr>
          <w:rFonts w:eastAsia="Arial"/>
        </w:rPr>
      </w:pPr>
      <w:r w:rsidRPr="00712082">
        <w:rPr>
          <w:rFonts w:eastAsia="Arial"/>
        </w:rPr>
        <w:t>Three of the studies were observational</w:t>
      </w:r>
      <w:r>
        <w:rPr>
          <w:rFonts w:eastAsia="Arial"/>
        </w:rPr>
        <w:t xml:space="preserve"> </w:t>
      </w:r>
      <w:sdt>
        <w:sdtPr>
          <w:rPr>
            <w:rFonts w:eastAsia="Arial"/>
            <w:color w:val="000000"/>
          </w:rPr>
          <w:tag w:val="MENDELEY_CITATION_v3_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"/>
          <w:id w:val="-2050291994"/>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Bakvis</w:t>
          </w:r>
          <w:proofErr w:type="spellEnd"/>
          <w:r w:rsidR="0047170A" w:rsidRPr="0047170A">
            <w:rPr>
              <w:rFonts w:eastAsia="Arial"/>
              <w:color w:val="000000"/>
            </w:rPr>
            <w:t xml:space="preserve"> et al., 2010; Maurer et al., 2015; Novakova et al., 2017)</w:t>
          </w:r>
        </w:sdtContent>
      </w:sdt>
      <w:r w:rsidRPr="00712082">
        <w:rPr>
          <w:rFonts w:eastAsia="Arial"/>
        </w:rPr>
        <w:t xml:space="preserve">  and solely investigated basal stress measurements with no intervention.</w:t>
      </w:r>
      <w:r>
        <w:rPr>
          <w:rFonts w:eastAsia="Arial"/>
        </w:rPr>
        <w:t xml:space="preserve"> </w:t>
      </w:r>
      <w:r w:rsidRPr="00712082">
        <w:rPr>
          <w:rFonts w:eastAsia="Arial"/>
        </w:rPr>
        <w:t>The other five incorporated an experimental paradigm or included a repeat measurement in a different condition e.g. after stress induction such as the Trier Social Stress test, cold-pressor test or viewing of affective images</w:t>
      </w:r>
      <w:r>
        <w:rPr>
          <w:rFonts w:eastAsia="Arial"/>
        </w:rPr>
        <w:t xml:space="preserve"> </w:t>
      </w:r>
      <w:sdt>
        <w:sdtPr>
          <w:rPr>
            <w:rFonts w:eastAsia="Arial"/>
            <w:color w:val="000000"/>
          </w:rPr>
          <w:tag w:val="MENDELEY_CITATION_v3_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LH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"/>
          <w:id w:val="1301801943"/>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Allendorfer</w:t>
          </w:r>
          <w:proofErr w:type="spellEnd"/>
          <w:r w:rsidR="0047170A" w:rsidRPr="0047170A">
            <w:rPr>
              <w:rFonts w:eastAsia="Arial"/>
              <w:color w:val="000000"/>
            </w:rPr>
            <w:t xml:space="preserve"> et al., 2019; Apazoglou et al., 2017; </w:t>
          </w:r>
          <w:proofErr w:type="spellStart"/>
          <w:r w:rsidR="0047170A" w:rsidRPr="0047170A">
            <w:rPr>
              <w:rFonts w:eastAsia="Arial"/>
              <w:color w:val="000000"/>
            </w:rPr>
            <w:t>Bakvis</w:t>
          </w:r>
          <w:proofErr w:type="spellEnd"/>
          <w:r w:rsidR="0047170A" w:rsidRPr="0047170A">
            <w:rPr>
              <w:rFonts w:eastAsia="Arial"/>
              <w:color w:val="000000"/>
            </w:rPr>
            <w:t xml:space="preserve"> et al., 2009; Maurer et al., 2015; Pick et al., 2018a)</w:t>
          </w:r>
        </w:sdtContent>
      </w:sdt>
      <w:r w:rsidRPr="00712082">
        <w:rPr>
          <w:rFonts w:eastAsia="Arial"/>
        </w:rPr>
        <w:t>.</w:t>
      </w:r>
      <w:r>
        <w:rPr>
          <w:rFonts w:eastAsia="Arial"/>
        </w:rPr>
        <w:t xml:space="preserve"> </w:t>
      </w:r>
      <w:r w:rsidRPr="00712082">
        <w:rPr>
          <w:rFonts w:eastAsia="Arial"/>
        </w:rPr>
        <w:t xml:space="preserve">One study compared findings with an epilepsy control group rather than healthy </w:t>
      </w:r>
      <w:r>
        <w:rPr>
          <w:rFonts w:eastAsia="Arial"/>
        </w:rPr>
        <w:t>seizure-free</w:t>
      </w:r>
      <w:r w:rsidRPr="00712082">
        <w:rPr>
          <w:rFonts w:eastAsia="Arial"/>
        </w:rPr>
        <w:t xml:space="preserve"> controls in the remaining stress response studies, adding an interesting level of analysis; notably, the authors reported no significant differences in self-reported or physiological stress between the two patient groups.</w:t>
      </w:r>
      <w:r>
        <w:rPr>
          <w:rFonts w:eastAsia="Arial"/>
        </w:rPr>
        <w:t xml:space="preserve"> </w:t>
      </w:r>
      <w:r w:rsidRPr="00712082">
        <w:rPr>
          <w:rFonts w:eastAsia="Arial"/>
        </w:rPr>
        <w:t>All eight studies were very consistent in their findings</w:t>
      </w:r>
      <w:r>
        <w:rPr>
          <w:rFonts w:eastAsia="Arial"/>
        </w:rPr>
        <w:t>,</w:t>
      </w:r>
      <w:r w:rsidRPr="00712082">
        <w:rPr>
          <w:rFonts w:eastAsia="Arial"/>
        </w:rPr>
        <w:t xml:space="preserve"> reporting increased basal stress levels, autonomic hyperactivity and elevated lev</w:t>
      </w:r>
      <w:r>
        <w:rPr>
          <w:rFonts w:eastAsia="Arial"/>
        </w:rPr>
        <w:t xml:space="preserve">els of arousal in FNSD patients, </w:t>
      </w:r>
      <w:r w:rsidRPr="00712082">
        <w:rPr>
          <w:rFonts w:eastAsia="Arial"/>
        </w:rPr>
        <w:t>as well as subjective reports of elevated stress compared to controls.</w:t>
      </w:r>
    </w:p>
    <w:p w14:paraId="7AEC55C6" w14:textId="3765EBCE" w:rsidR="0060408E" w:rsidRPr="00AA2856" w:rsidRDefault="0060408E" w:rsidP="0060408E">
      <w:pPr>
        <w:pStyle w:val="Heading3"/>
        <w:rPr>
          <w:rFonts w:eastAsia="Arial"/>
        </w:rPr>
      </w:pPr>
      <w:bookmarkStart w:id="54" w:name="_Toc137504687"/>
      <w:r w:rsidRPr="00AA2856">
        <w:rPr>
          <w:rFonts w:eastAsia="Arial"/>
        </w:rPr>
        <w:t>2</w:t>
      </w:r>
      <w:r>
        <w:rPr>
          <w:rFonts w:eastAsia="Arial"/>
        </w:rPr>
        <w:t>.5.5</w:t>
      </w:r>
      <w:r w:rsidRPr="00AA2856">
        <w:rPr>
          <w:rFonts w:eastAsia="Arial"/>
        </w:rPr>
        <w:t xml:space="preserve"> Emotion processing</w:t>
      </w:r>
      <w:bookmarkEnd w:id="54"/>
      <w:r w:rsidRPr="00AA2856">
        <w:rPr>
          <w:rFonts w:eastAsia="Arial"/>
        </w:rPr>
        <w:t xml:space="preserve">  </w:t>
      </w:r>
    </w:p>
    <w:p w14:paraId="57A37F1F" w14:textId="70935210" w:rsidR="0060408E" w:rsidRPr="00D55473" w:rsidRDefault="0060408E" w:rsidP="00DB19B8">
      <w:pPr>
        <w:rPr>
          <w:rFonts w:eastAsia="Arial"/>
        </w:rPr>
      </w:pPr>
      <w:r w:rsidRPr="00AA2856">
        <w:rPr>
          <w:rFonts w:eastAsia="Arial"/>
        </w:rPr>
        <w:t>Eight studies</w:t>
      </w:r>
      <w:r>
        <w:rPr>
          <w:rFonts w:eastAsia="Arial"/>
        </w:rPr>
        <w:t xml:space="preserve"> </w:t>
      </w:r>
      <w:sdt>
        <w:sdtPr>
          <w:rPr>
            <w:rFonts w:eastAsia="Arial"/>
            <w:color w:val="000000"/>
          </w:rPr>
          <w:tag w:val="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"/>
          <w:id w:val="-1178573860"/>
          <w:placeholder>
            <w:docPart w:val="3BBE6AC8ADF92943B7103F1B75274D1A"/>
          </w:placeholder>
        </w:sdtPr>
        <w:sdtContent>
          <w:r w:rsidR="0047170A" w:rsidRPr="0047170A">
            <w:rPr>
              <w:rFonts w:eastAsia="Arial"/>
              <w:color w:val="000000"/>
            </w:rPr>
            <w:t xml:space="preserve">(Demartini et al., 2016; Herrero et al., 2020; </w:t>
          </w:r>
          <w:proofErr w:type="spellStart"/>
          <w:r w:rsidR="0047170A" w:rsidRPr="0047170A">
            <w:rPr>
              <w:rFonts w:eastAsia="Arial"/>
              <w:color w:val="000000"/>
            </w:rPr>
            <w:t>Koreki</w:t>
          </w:r>
          <w:proofErr w:type="spellEnd"/>
          <w:r w:rsidR="0047170A" w:rsidRPr="0047170A">
            <w:rPr>
              <w:rFonts w:eastAsia="Arial"/>
              <w:color w:val="000000"/>
            </w:rPr>
            <w:t xml:space="preserve"> et al., 2020; </w:t>
          </w:r>
          <w:proofErr w:type="spellStart"/>
          <w:r w:rsidR="0047170A" w:rsidRPr="0047170A">
            <w:rPr>
              <w:rFonts w:eastAsia="Arial"/>
              <w:color w:val="000000"/>
            </w:rPr>
            <w:t>Kotwas</w:t>
          </w:r>
          <w:proofErr w:type="spellEnd"/>
          <w:r w:rsidR="0047170A" w:rsidRPr="0047170A">
            <w:rPr>
              <w:rFonts w:eastAsia="Arial"/>
              <w:color w:val="000000"/>
            </w:rPr>
            <w:t xml:space="preserve"> et al., 2019; Ricciardi et al., 2016; Roberts et al., 2012; Roberts Ph.D. et al., 2020; I. A. Williams et al., 2021)</w:t>
          </w:r>
        </w:sdtContent>
      </w:sdt>
      <w:r w:rsidRPr="00AA2856">
        <w:rPr>
          <w:rFonts w:eastAsia="Arial"/>
        </w:rPr>
        <w:t xml:space="preserve">  aimed to investigate emotion processing in </w:t>
      </w:r>
      <w:r>
        <w:rPr>
          <w:rFonts w:eastAsia="Arial"/>
        </w:rPr>
        <w:t>FNSD</w:t>
      </w:r>
      <w:r w:rsidRPr="00AA2856">
        <w:rPr>
          <w:rFonts w:eastAsia="Arial"/>
        </w:rPr>
        <w:t xml:space="preserve"> utilising a variety of approaches. Objective measures utilised in t</w:t>
      </w:r>
      <w:r>
        <w:rPr>
          <w:rFonts w:eastAsia="Arial"/>
        </w:rPr>
        <w:t>hese studies included the heart</w:t>
      </w:r>
      <w:r w:rsidRPr="00AA2856">
        <w:rPr>
          <w:rFonts w:eastAsia="Arial"/>
        </w:rPr>
        <w:t>beat detection task as a measure of interoceptive ability</w:t>
      </w:r>
      <w:r>
        <w:rPr>
          <w:rFonts w:eastAsia="Arial"/>
        </w:rPr>
        <w:t xml:space="preserve"> </w:t>
      </w:r>
      <w:sdt>
        <w:sdtPr>
          <w:rPr>
            <w:rFonts w:eastAsia="Arial"/>
            <w:color w:val="000000"/>
          </w:rPr>
          <w:tag w:val="MENDELEY_CITATION_v3_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"/>
          <w:id w:val="-1668705242"/>
          <w:placeholder>
            <w:docPart w:val="3BBE6AC8ADF92943B7103F1B75274D1A"/>
          </w:placeholder>
        </w:sdtPr>
        <w:sdtContent>
          <w:r w:rsidR="0047170A" w:rsidRPr="0047170A">
            <w:rPr>
              <w:rFonts w:eastAsia="Arial"/>
              <w:color w:val="000000"/>
            </w:rPr>
            <w:t xml:space="preserve">(Demartini et al., 2016; </w:t>
          </w:r>
          <w:proofErr w:type="spellStart"/>
          <w:r w:rsidR="0047170A" w:rsidRPr="0047170A">
            <w:rPr>
              <w:rFonts w:eastAsia="Arial"/>
              <w:color w:val="000000"/>
            </w:rPr>
            <w:t>Koreki</w:t>
          </w:r>
          <w:proofErr w:type="spellEnd"/>
          <w:r w:rsidR="0047170A" w:rsidRPr="0047170A">
            <w:rPr>
              <w:rFonts w:eastAsia="Arial"/>
              <w:color w:val="000000"/>
            </w:rPr>
            <w:t xml:space="preserve"> et al., 2020; Ricciardi et al., 2016; I. A. Williams et al., 2021)</w:t>
          </w:r>
        </w:sdtContent>
      </w:sdt>
      <w:r w:rsidRPr="00AA2856">
        <w:rPr>
          <w:rFonts w:eastAsia="Arial"/>
        </w:rPr>
        <w:t>.</w:t>
      </w:r>
      <w:r>
        <w:rPr>
          <w:rFonts w:eastAsia="Arial"/>
        </w:rPr>
        <w:t xml:space="preserve"> </w:t>
      </w:r>
      <w:r w:rsidRPr="00AA2856">
        <w:rPr>
          <w:rFonts w:eastAsia="Arial"/>
        </w:rPr>
        <w:t>Skin conductance responses</w:t>
      </w:r>
      <w:r>
        <w:rPr>
          <w:rFonts w:eastAsia="Arial"/>
        </w:rPr>
        <w:t>/levels</w:t>
      </w:r>
      <w:r w:rsidRPr="00AA2856">
        <w:rPr>
          <w:rFonts w:eastAsia="Arial"/>
        </w:rPr>
        <w:t xml:space="preserve"> </w:t>
      </w:r>
      <w:r>
        <w:rPr>
          <w:rFonts w:eastAsia="Arial"/>
        </w:rPr>
        <w:t xml:space="preserve">(SCR/SCL) </w:t>
      </w:r>
      <w:r w:rsidRPr="00AA2856">
        <w:rPr>
          <w:rFonts w:eastAsia="Arial"/>
        </w:rPr>
        <w:t>(indicative of peripheral sympathetic autonomic nervous system response)</w:t>
      </w:r>
      <w:r>
        <w:rPr>
          <w:rFonts w:eastAsia="Arial"/>
        </w:rPr>
        <w:t xml:space="preserve"> </w:t>
      </w:r>
      <w:sdt>
        <w:sdtPr>
          <w:rPr>
            <w:rFonts w:eastAsia="Arial"/>
            <w:color w:val="000000"/>
          </w:rPr>
          <w:tag w:val="MENDELEY_CITATION_v3_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
          <w:id w:val="-1081290553"/>
          <w:placeholder>
            <w:docPart w:val="3BBE6AC8ADF92943B7103F1B75274D1A"/>
          </w:placeholder>
        </w:sdtPr>
        <w:sdtContent>
          <w:r w:rsidR="0047170A" w:rsidRPr="0047170A">
            <w:rPr>
              <w:rFonts w:eastAsia="Arial"/>
              <w:color w:val="000000"/>
            </w:rPr>
            <w:t xml:space="preserve">(Herrero et al., 2020; </w:t>
          </w:r>
          <w:proofErr w:type="spellStart"/>
          <w:r w:rsidR="0047170A" w:rsidRPr="0047170A">
            <w:rPr>
              <w:rFonts w:eastAsia="Arial"/>
              <w:color w:val="000000"/>
            </w:rPr>
            <w:t>Kotwas</w:t>
          </w:r>
          <w:proofErr w:type="spellEnd"/>
          <w:r w:rsidR="0047170A" w:rsidRPr="0047170A">
            <w:rPr>
              <w:rFonts w:eastAsia="Arial"/>
              <w:color w:val="000000"/>
            </w:rPr>
            <w:t xml:space="preserve"> et al., 2019)</w:t>
          </w:r>
        </w:sdtContent>
      </w:sdt>
      <w:r>
        <w:rPr>
          <w:rFonts w:eastAsia="Arial"/>
        </w:rPr>
        <w:t xml:space="preserve"> </w:t>
      </w:r>
      <w:r w:rsidRPr="00AA2856">
        <w:rPr>
          <w:rFonts w:eastAsia="Arial"/>
        </w:rPr>
        <w:t>, cardiac inter</w:t>
      </w:r>
      <w:r>
        <w:rPr>
          <w:rFonts w:eastAsia="Arial"/>
        </w:rPr>
        <w:t>-</w:t>
      </w:r>
      <w:r w:rsidRPr="00AA2856">
        <w:rPr>
          <w:rFonts w:eastAsia="Arial"/>
        </w:rPr>
        <w:t>beat interval (IBI), or respiratory sinus arrhythmia (RSA) (indicative of sympathetic nervous system response) were measured in response to affective images, films or facial expressions</w:t>
      </w:r>
      <w:r>
        <w:rPr>
          <w:rFonts w:eastAsia="Arial"/>
        </w:rPr>
        <w:t xml:space="preserve"> </w:t>
      </w:r>
      <w:sdt>
        <w:sdtPr>
          <w:rPr>
            <w:rFonts w:eastAsia="Arial"/>
            <w:color w:val="000000"/>
          </w:rPr>
          <w:tag w:val="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"/>
          <w:id w:val="1201365960"/>
          <w:placeholder>
            <w:docPart w:val="3BBE6AC8ADF92943B7103F1B75274D1A"/>
          </w:placeholder>
        </w:sdtPr>
        <w:sdtContent>
          <w:r w:rsidR="0047170A" w:rsidRPr="0047170A">
            <w:rPr>
              <w:rFonts w:eastAsia="Arial"/>
              <w:color w:val="000000"/>
            </w:rPr>
            <w:t>(Roberts et al., 2012; Roberts Ph.D. et al., 2020)</w:t>
          </w:r>
        </w:sdtContent>
      </w:sdt>
      <w:r>
        <w:rPr>
          <w:rFonts w:eastAsia="Arial"/>
        </w:rPr>
        <w:t xml:space="preserve">. </w:t>
      </w:r>
      <w:r w:rsidRPr="00AA2856">
        <w:rPr>
          <w:rFonts w:eastAsia="Arial"/>
        </w:rPr>
        <w:t xml:space="preserve">Subjective measures included a range of validated self-report questionnaires assessing symptom burden, </w:t>
      </w:r>
      <w:r w:rsidRPr="00AA2856">
        <w:rPr>
          <w:rFonts w:eastAsia="Arial"/>
        </w:rPr>
        <w:lastRenderedPageBreak/>
        <w:t>anxiety, depression, history of trauma, and health-related quality of life, as well as measures related to emotion dysregulation, such as dissociation, depersonalisation and alexithymia scales.</w:t>
      </w:r>
      <w:r>
        <w:rPr>
          <w:rFonts w:eastAsia="Arial"/>
        </w:rPr>
        <w:t xml:space="preserve"> </w:t>
      </w:r>
      <w:r w:rsidRPr="00AA2856">
        <w:rPr>
          <w:rFonts w:eastAsia="Arial"/>
        </w:rPr>
        <w:t>Two studies utilised a Self-Assessment Manikin emotion rating scale to record participant self-ratings for emotional valence and arousal in response to affective images of the International Affective Picture System (IAPS)</w:t>
      </w:r>
      <w:r>
        <w:rPr>
          <w:rFonts w:eastAsia="Arial"/>
        </w:rPr>
        <w:t xml:space="preserve"> </w:t>
      </w:r>
      <w:sdt>
        <w:sdtPr>
          <w:rPr>
            <w:rFonts w:eastAsia="Arial"/>
            <w:color w:val="000000"/>
          </w:rPr>
          <w:tag w:val="MENDELEY_CITATION_v3_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
          <w:id w:val="398250847"/>
          <w:placeholder>
            <w:docPart w:val="3BBE6AC8ADF92943B7103F1B75274D1A"/>
          </w:placeholder>
        </w:sdtPr>
        <w:sdtContent>
          <w:r w:rsidR="0047170A" w:rsidRPr="0047170A">
            <w:rPr>
              <w:rFonts w:eastAsia="Arial"/>
              <w:color w:val="000000"/>
            </w:rPr>
            <w:t>(Herrero et al., 2020; Roberts et al., 2012)</w:t>
          </w:r>
        </w:sdtContent>
      </w:sdt>
      <w:r w:rsidRPr="00D55473">
        <w:rPr>
          <w:rFonts w:eastAsia="Arial"/>
        </w:rPr>
        <w:t>.</w:t>
      </w:r>
      <w:r>
        <w:rPr>
          <w:rFonts w:eastAsia="Arial"/>
        </w:rPr>
        <w:t xml:space="preserve"> </w:t>
      </w:r>
      <w:r w:rsidRPr="00D55473">
        <w:rPr>
          <w:rFonts w:eastAsia="Arial"/>
        </w:rPr>
        <w:t>Pertinent to the current review</w:t>
      </w:r>
      <w:r w:rsidRPr="00AA2856">
        <w:rPr>
          <w:rFonts w:eastAsia="Arial"/>
        </w:rPr>
        <w:t>, one study primarily</w:t>
      </w:r>
      <w:r>
        <w:rPr>
          <w:rFonts w:eastAsia="Arial"/>
        </w:rPr>
        <w:t xml:space="preserve"> aimed to</w:t>
      </w:r>
      <w:r w:rsidRPr="00D55473">
        <w:rPr>
          <w:rFonts w:eastAsia="Arial"/>
        </w:rPr>
        <w:t xml:space="preserve"> </w:t>
      </w:r>
      <w:r>
        <w:rPr>
          <w:rFonts w:eastAsia="Arial"/>
        </w:rPr>
        <w:t xml:space="preserve">assess </w:t>
      </w:r>
      <w:r w:rsidRPr="00D55473">
        <w:rPr>
          <w:rFonts w:eastAsia="Arial"/>
        </w:rPr>
        <w:t>physiological, cognitive, and behavioural responses to emotional stimuli</w:t>
      </w:r>
      <w:r>
        <w:rPr>
          <w:rFonts w:eastAsia="Arial"/>
        </w:rPr>
        <w:t xml:space="preserve">, while three others included comparisons as exploratory or secondary investigations. </w:t>
      </w:r>
      <w:r w:rsidRPr="00D55473">
        <w:rPr>
          <w:rFonts w:eastAsia="Arial"/>
        </w:rPr>
        <w:t>All of these studies recruited healthy controls for comparison</w:t>
      </w:r>
      <w:r>
        <w:rPr>
          <w:rFonts w:eastAsia="Arial"/>
        </w:rPr>
        <w:t xml:space="preserve"> </w:t>
      </w:r>
      <w:sdt>
        <w:sdtPr>
          <w:rPr>
            <w:rFonts w:eastAsia="Arial"/>
            <w:color w:val="000000"/>
          </w:rPr>
          <w:tag w:val="MENDELEY_CITATION_v3_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"/>
          <w:id w:val="946658516"/>
          <w:placeholder>
            <w:docPart w:val="3BBE6AC8ADF92943B7103F1B75274D1A"/>
          </w:placeholder>
        </w:sdtPr>
        <w:sdtContent>
          <w:r w:rsidR="0047170A" w:rsidRPr="0047170A">
            <w:rPr>
              <w:rFonts w:eastAsia="Arial"/>
              <w:color w:val="000000"/>
            </w:rPr>
            <w:t>(Herrero et al., 2020)</w:t>
          </w:r>
        </w:sdtContent>
      </w:sdt>
      <w:r w:rsidRPr="00D55473">
        <w:rPr>
          <w:rFonts w:eastAsia="Arial"/>
        </w:rPr>
        <w:t xml:space="preserve">. </w:t>
      </w:r>
    </w:p>
    <w:p w14:paraId="36509B35" w14:textId="594A8E3E" w:rsidR="0060408E" w:rsidRPr="00E45B8A" w:rsidRDefault="0060408E" w:rsidP="0060408E">
      <w:pPr>
        <w:pStyle w:val="Heading3"/>
        <w:rPr>
          <w:rFonts w:eastAsia="Arial"/>
        </w:rPr>
      </w:pPr>
      <w:bookmarkStart w:id="55" w:name="_Toc137504688"/>
      <w:r>
        <w:rPr>
          <w:rFonts w:eastAsia="Arial"/>
        </w:rPr>
        <w:t>2</w:t>
      </w:r>
      <w:r w:rsidRPr="00D55473">
        <w:rPr>
          <w:rFonts w:eastAsia="Arial"/>
        </w:rPr>
        <w:t>.</w:t>
      </w:r>
      <w:r>
        <w:rPr>
          <w:rFonts w:eastAsia="Arial"/>
        </w:rPr>
        <w:t>5</w:t>
      </w:r>
      <w:r w:rsidRPr="00D55473">
        <w:rPr>
          <w:rFonts w:eastAsia="Arial"/>
        </w:rPr>
        <w:t>.</w:t>
      </w:r>
      <w:r>
        <w:rPr>
          <w:rFonts w:eastAsia="Arial"/>
        </w:rPr>
        <w:t>6</w:t>
      </w:r>
      <w:r w:rsidRPr="00D55473">
        <w:rPr>
          <w:rFonts w:eastAsia="Arial"/>
        </w:rPr>
        <w:t xml:space="preserve"> Illness burden</w:t>
      </w:r>
      <w:bookmarkEnd w:id="55"/>
    </w:p>
    <w:p w14:paraId="4D5F1D04" w14:textId="7CD58C04" w:rsidR="0060408E" w:rsidRPr="00D55473" w:rsidRDefault="0060408E" w:rsidP="00DB19B8">
      <w:pPr>
        <w:rPr>
          <w:rFonts w:eastAsia="Arial"/>
        </w:rPr>
      </w:pPr>
      <w:r w:rsidRPr="006F416A">
        <w:rPr>
          <w:rFonts w:eastAsia="Arial"/>
        </w:rPr>
        <w:t>Two studies</w:t>
      </w:r>
      <w:r>
        <w:rPr>
          <w:rFonts w:eastAsia="Arial"/>
        </w:rPr>
        <w:t xml:space="preserve"> </w:t>
      </w:r>
      <w:sdt>
        <w:sdtPr>
          <w:rPr>
            <w:rFonts w:eastAsia="Arial"/>
            <w:color w:val="000000"/>
          </w:rPr>
          <w:tag w:val="MENDELEY_CITATION_v3_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"/>
          <w:id w:val="-815641161"/>
          <w:placeholder>
            <w:docPart w:val="3BBE6AC8ADF92943B7103F1B75274D1A"/>
          </w:placeholder>
        </w:sdtPr>
        <w:sdtContent>
          <w:r w:rsidR="0047170A" w:rsidRPr="0047170A">
            <w:rPr>
              <w:rFonts w:eastAsia="Arial"/>
              <w:color w:val="000000"/>
            </w:rPr>
            <w:t xml:space="preserve">(Kramer et al., 2019; </w:t>
          </w:r>
          <w:proofErr w:type="spellStart"/>
          <w:r w:rsidR="0047170A" w:rsidRPr="0047170A">
            <w:rPr>
              <w:rFonts w:eastAsia="Arial"/>
              <w:color w:val="000000"/>
            </w:rPr>
            <w:t>Pareés</w:t>
          </w:r>
          <w:proofErr w:type="spellEnd"/>
          <w:r w:rsidR="0047170A" w:rsidRPr="0047170A">
            <w:rPr>
              <w:rFonts w:eastAsia="Arial"/>
              <w:color w:val="000000"/>
            </w:rPr>
            <w:t xml:space="preserve"> et al., 2012)</w:t>
          </w:r>
        </w:sdtContent>
      </w:sdt>
      <w:r w:rsidRPr="00D55473">
        <w:rPr>
          <w:rFonts w:eastAsia="Arial"/>
        </w:rPr>
        <w:t xml:space="preserve">  directly compared physiological measures of symptoms with </w:t>
      </w:r>
      <w:r>
        <w:rPr>
          <w:rFonts w:eastAsia="Arial"/>
        </w:rPr>
        <w:t>patients'</w:t>
      </w:r>
      <w:r w:rsidRPr="00D55473">
        <w:rPr>
          <w:rFonts w:eastAsia="Arial"/>
        </w:rPr>
        <w:t xml:space="preserve"> self-perceived experience of symptoms.</w:t>
      </w:r>
      <w:r>
        <w:rPr>
          <w:rFonts w:eastAsia="Arial"/>
        </w:rPr>
        <w:t xml:space="preserve"> </w:t>
      </w:r>
      <w:r w:rsidRPr="00D55473">
        <w:rPr>
          <w:rFonts w:eastAsia="Arial"/>
        </w:rPr>
        <w:t>The studies explored reports of tremor duration and severity in organic and functional tremor patients.</w:t>
      </w:r>
      <w:r>
        <w:rPr>
          <w:rFonts w:eastAsia="Arial"/>
        </w:rPr>
        <w:t xml:space="preserve"> </w:t>
      </w:r>
      <w:r w:rsidRPr="00D55473">
        <w:rPr>
          <w:rFonts w:eastAsia="Arial"/>
        </w:rPr>
        <w:t xml:space="preserve">Objective tremor duration was recorded using a </w:t>
      </w:r>
      <w:r>
        <w:rPr>
          <w:rFonts w:eastAsia="Arial"/>
        </w:rPr>
        <w:t>wrist-worn</w:t>
      </w:r>
      <w:r w:rsidRPr="00D55473">
        <w:rPr>
          <w:rFonts w:eastAsia="Arial"/>
        </w:rPr>
        <w:t xml:space="preserve"> actigraph and </w:t>
      </w:r>
      <w:r>
        <w:rPr>
          <w:rFonts w:eastAsia="Arial"/>
        </w:rPr>
        <w:t>was</w:t>
      </w:r>
      <w:r w:rsidRPr="00D55473">
        <w:rPr>
          <w:rFonts w:eastAsia="Arial"/>
        </w:rPr>
        <w:t xml:space="preserve"> compared to </w:t>
      </w:r>
      <w:r>
        <w:rPr>
          <w:rFonts w:eastAsia="Arial"/>
        </w:rPr>
        <w:t>patients'</w:t>
      </w:r>
      <w:r w:rsidRPr="00D55473">
        <w:rPr>
          <w:rFonts w:eastAsia="Arial"/>
        </w:rPr>
        <w:t xml:space="preserve"> perception of duration or severity recorded in a self-completed diary. </w:t>
      </w:r>
    </w:p>
    <w:p w14:paraId="54E8F759" w14:textId="7B57F1F3" w:rsidR="0060408E" w:rsidRPr="000E41ED" w:rsidRDefault="0060408E" w:rsidP="0060408E">
      <w:pPr>
        <w:pStyle w:val="Heading3"/>
        <w:rPr>
          <w:rFonts w:eastAsia="Arial"/>
        </w:rPr>
      </w:pPr>
      <w:bookmarkStart w:id="56" w:name="_z337ya" w:colFirst="0" w:colLast="0"/>
      <w:bookmarkStart w:id="57" w:name="_Toc137504689"/>
      <w:bookmarkEnd w:id="56"/>
      <w:r>
        <w:rPr>
          <w:rFonts w:eastAsia="Arial"/>
        </w:rPr>
        <w:t>2</w:t>
      </w:r>
      <w:r w:rsidRPr="00D55473">
        <w:rPr>
          <w:rFonts w:eastAsia="Arial"/>
        </w:rPr>
        <w:t>.</w:t>
      </w:r>
      <w:r>
        <w:rPr>
          <w:rFonts w:eastAsia="Arial"/>
        </w:rPr>
        <w:t>5.7</w:t>
      </w:r>
      <w:r w:rsidRPr="00D55473">
        <w:rPr>
          <w:rFonts w:eastAsia="Arial"/>
        </w:rPr>
        <w:t xml:space="preserve"> Associations between </w:t>
      </w:r>
      <w:r>
        <w:rPr>
          <w:rFonts w:eastAsia="Arial"/>
        </w:rPr>
        <w:t>subjective</w:t>
      </w:r>
      <w:r w:rsidRPr="006F416A">
        <w:rPr>
          <w:rFonts w:eastAsia="Arial"/>
        </w:rPr>
        <w:t xml:space="preserve"> versus </w:t>
      </w:r>
      <w:r>
        <w:rPr>
          <w:rFonts w:eastAsia="Arial"/>
        </w:rPr>
        <w:t xml:space="preserve">objective </w:t>
      </w:r>
      <w:r w:rsidRPr="000E41ED">
        <w:rPr>
          <w:rFonts w:eastAsia="Arial"/>
        </w:rPr>
        <w:t xml:space="preserve">measures in </w:t>
      </w:r>
      <w:r>
        <w:rPr>
          <w:rFonts w:eastAsia="Arial"/>
        </w:rPr>
        <w:t>FNSD</w:t>
      </w:r>
      <w:bookmarkEnd w:id="57"/>
    </w:p>
    <w:p w14:paraId="0865E375" w14:textId="65496ACD" w:rsidR="0060408E" w:rsidRPr="0060408E" w:rsidRDefault="0060408E" w:rsidP="00DB19B8">
      <w:pPr>
        <w:rPr>
          <w:rFonts w:eastAsia="Arial"/>
          <w:u w:val="single"/>
        </w:rPr>
      </w:pPr>
      <w:r w:rsidRPr="0060408E">
        <w:rPr>
          <w:rFonts w:eastAsia="Arial"/>
          <w:u w:val="single"/>
        </w:rPr>
        <w:t>Studies providing correlational analysis</w:t>
      </w:r>
    </w:p>
    <w:p w14:paraId="47D3B5FA" w14:textId="77777777" w:rsidR="0060408E" w:rsidRDefault="0060408E" w:rsidP="00DB19B8">
      <w:pPr>
        <w:rPr>
          <w:rFonts w:eastAsia="Arial"/>
        </w:rPr>
      </w:pPr>
      <w:r>
        <w:rPr>
          <w:rFonts w:eastAsia="Arial"/>
        </w:rPr>
        <w:t>T</w:t>
      </w:r>
      <w:r w:rsidRPr="000E41ED">
        <w:rPr>
          <w:rFonts w:eastAsia="Arial"/>
        </w:rPr>
        <w:t>welve studies</w:t>
      </w:r>
      <w:r>
        <w:rPr>
          <w:rFonts w:eastAsia="Arial"/>
        </w:rPr>
        <w:t xml:space="preserve"> provided</w:t>
      </w:r>
      <w:r w:rsidRPr="000E41ED">
        <w:rPr>
          <w:rFonts w:eastAsia="Arial"/>
        </w:rPr>
        <w:t xml:space="preserve"> quantitatively calculated or descriptively referenced </w:t>
      </w:r>
      <w:r>
        <w:rPr>
          <w:rFonts w:eastAsia="Arial"/>
        </w:rPr>
        <w:t>correlational analyses conducted</w:t>
      </w:r>
      <w:r w:rsidRPr="000E41ED">
        <w:rPr>
          <w:rFonts w:eastAsia="Arial"/>
        </w:rPr>
        <w:t xml:space="preserve"> between findings from objective and subjective measures (</w:t>
      </w:r>
      <w:r>
        <w:rPr>
          <w:rFonts w:eastAsia="Arial"/>
        </w:rPr>
        <w:t xml:space="preserve">see </w:t>
      </w:r>
      <w:r w:rsidRPr="000E41ED">
        <w:rPr>
          <w:rFonts w:eastAsia="Arial"/>
        </w:rPr>
        <w:t>Table 1</w:t>
      </w:r>
      <w:r>
        <w:rPr>
          <w:rFonts w:eastAsia="Arial"/>
        </w:rPr>
        <w:t xml:space="preserve"> for details</w:t>
      </w:r>
      <w:r w:rsidRPr="000E41ED">
        <w:rPr>
          <w:rFonts w:eastAsia="Arial"/>
        </w:rPr>
        <w:t xml:space="preserve">). </w:t>
      </w:r>
    </w:p>
    <w:p w14:paraId="1FF913AF" w14:textId="6C986502" w:rsidR="0060408E" w:rsidRPr="000E41ED" w:rsidRDefault="0060408E" w:rsidP="00DB19B8">
      <w:pPr>
        <w:rPr>
          <w:rFonts w:eastAsia="Arial"/>
        </w:rPr>
      </w:pPr>
      <w:r>
        <w:rPr>
          <w:rFonts w:eastAsia="Arial"/>
        </w:rPr>
        <w:t>Three</w:t>
      </w:r>
      <w:r w:rsidRPr="000E41ED">
        <w:rPr>
          <w:rFonts w:eastAsia="Arial"/>
        </w:rPr>
        <w:t xml:space="preserve"> studies did not report nor reference any attempt to assess the relationship between objective and subjective measures, rather subjective measures were included </w:t>
      </w:r>
      <w:r>
        <w:rPr>
          <w:rFonts w:eastAsia="Arial"/>
        </w:rPr>
        <w:t>to</w:t>
      </w:r>
      <w:r w:rsidRPr="000E41ED">
        <w:rPr>
          <w:rFonts w:eastAsia="Arial"/>
        </w:rPr>
        <w:t xml:space="preserve"> control for potential confounders in the analysis of findings from the primary objective measures</w:t>
      </w:r>
      <w:r>
        <w:rPr>
          <w:rFonts w:eastAsia="Arial"/>
        </w:rPr>
        <w:t xml:space="preserve"> </w:t>
      </w:r>
      <w:sdt>
        <w:sdtPr>
          <w:rPr>
            <w:rFonts w:eastAsia="Arial"/>
            <w:color w:val="000000"/>
          </w:rPr>
          <w:tag w:val="MENDELEY_CITATION_v3_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"/>
          <w:id w:val="-1705324991"/>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Bakvis</w:t>
          </w:r>
          <w:proofErr w:type="spellEnd"/>
          <w:r w:rsidR="0047170A" w:rsidRPr="0047170A">
            <w:rPr>
              <w:rFonts w:eastAsia="Arial"/>
              <w:color w:val="000000"/>
            </w:rPr>
            <w:t xml:space="preserve"> et al., 2011; Demartini et al., 2016; Roberts et al., 2020)</w:t>
          </w:r>
        </w:sdtContent>
      </w:sdt>
      <w:r w:rsidRPr="000E41ED">
        <w:rPr>
          <w:rFonts w:eastAsia="Arial"/>
        </w:rPr>
        <w:t xml:space="preserve">. </w:t>
      </w:r>
    </w:p>
    <w:p w14:paraId="3174EE93" w14:textId="2C3A6AE2" w:rsidR="0060408E" w:rsidRPr="0060408E" w:rsidRDefault="0060408E" w:rsidP="00DB19B8">
      <w:pPr>
        <w:rPr>
          <w:rFonts w:eastAsia="Arial"/>
          <w:u w:val="single"/>
        </w:rPr>
      </w:pPr>
      <w:r w:rsidRPr="0060408E">
        <w:rPr>
          <w:rFonts w:eastAsia="Arial"/>
          <w:u w:val="single"/>
        </w:rPr>
        <w:t>Studies reporting no significant associations</w:t>
      </w:r>
    </w:p>
    <w:p w14:paraId="6DF15A9C" w14:textId="3E51E06E" w:rsidR="0060408E" w:rsidRPr="000E41ED" w:rsidRDefault="0060408E" w:rsidP="00DB19B8">
      <w:pPr>
        <w:rPr>
          <w:rFonts w:eastAsia="Arial"/>
        </w:rPr>
      </w:pPr>
      <w:r>
        <w:rPr>
          <w:rFonts w:eastAsia="Arial"/>
        </w:rPr>
        <w:t>Eleven studies</w:t>
      </w:r>
      <w:r w:rsidRPr="000E41ED">
        <w:rPr>
          <w:rFonts w:eastAsia="Arial"/>
        </w:rPr>
        <w:t xml:space="preserve"> (92%) report no significant correlations in </w:t>
      </w:r>
      <w:r>
        <w:rPr>
          <w:rFonts w:eastAsia="Arial"/>
        </w:rPr>
        <w:t xml:space="preserve">any </w:t>
      </w:r>
      <w:r w:rsidRPr="000E41ED">
        <w:rPr>
          <w:rFonts w:eastAsia="Arial"/>
        </w:rPr>
        <w:t>comparison</w:t>
      </w:r>
      <w:r>
        <w:rPr>
          <w:rFonts w:eastAsia="Arial"/>
        </w:rPr>
        <w:t>s</w:t>
      </w:r>
      <w:r w:rsidRPr="000E41ED">
        <w:rPr>
          <w:rFonts w:eastAsia="Arial"/>
        </w:rPr>
        <w:t xml:space="preserve"> between a self-reported outcome and an objective measurement of related constructs within </w:t>
      </w:r>
      <w:r>
        <w:rPr>
          <w:rFonts w:eastAsia="Arial"/>
        </w:rPr>
        <w:t>the studied FNSD</w:t>
      </w:r>
      <w:r w:rsidRPr="000E41ED">
        <w:rPr>
          <w:rFonts w:eastAsia="Arial"/>
        </w:rPr>
        <w:t xml:space="preserve"> </w:t>
      </w:r>
      <w:r>
        <w:rPr>
          <w:rFonts w:eastAsia="Arial"/>
        </w:rPr>
        <w:t xml:space="preserve">group </w:t>
      </w:r>
      <w:sdt>
        <w:sdtPr>
          <w:rPr>
            <w:rFonts w:eastAsia="Arial"/>
            <w:color w:val="000000"/>
          </w:rPr>
          <w:tag w:val="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Sx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"/>
          <w:id w:val="-7596869"/>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Allendorfer</w:t>
          </w:r>
          <w:proofErr w:type="spellEnd"/>
          <w:r w:rsidR="0047170A" w:rsidRPr="0047170A">
            <w:rPr>
              <w:rFonts w:eastAsia="Arial"/>
              <w:color w:val="000000"/>
            </w:rPr>
            <w:t xml:space="preserve"> et al., 2019; Apazoglou et al., 2017; Herrero et al., 2020; </w:t>
          </w:r>
          <w:proofErr w:type="spellStart"/>
          <w:r w:rsidR="0047170A" w:rsidRPr="0047170A">
            <w:rPr>
              <w:rFonts w:eastAsia="Arial"/>
              <w:color w:val="000000"/>
            </w:rPr>
            <w:t>Kotwas</w:t>
          </w:r>
          <w:proofErr w:type="spellEnd"/>
          <w:r w:rsidR="0047170A" w:rsidRPr="0047170A">
            <w:rPr>
              <w:rFonts w:eastAsia="Arial"/>
              <w:color w:val="000000"/>
            </w:rPr>
            <w:t xml:space="preserve"> et al., 2019; Kramer et al., 2019; Maurer et al., 2015; Novakova et al., 2017; </w:t>
          </w:r>
          <w:proofErr w:type="spellStart"/>
          <w:r w:rsidR="0047170A" w:rsidRPr="0047170A">
            <w:rPr>
              <w:rFonts w:eastAsia="Arial"/>
              <w:color w:val="000000"/>
            </w:rPr>
            <w:t>Pareés</w:t>
          </w:r>
          <w:proofErr w:type="spellEnd"/>
          <w:r w:rsidR="0047170A" w:rsidRPr="0047170A">
            <w:rPr>
              <w:rFonts w:eastAsia="Arial"/>
              <w:color w:val="000000"/>
            </w:rPr>
            <w:t xml:space="preserve"> et al., 2012; Ricciardi et al., 2016; I. A. Williams et al., 2021)</w:t>
          </w:r>
        </w:sdtContent>
      </w:sdt>
      <w:r>
        <w:rPr>
          <w:rFonts w:eastAsia="Arial"/>
        </w:rPr>
        <w:t>.</w:t>
      </w:r>
    </w:p>
    <w:p w14:paraId="5F2E1160" w14:textId="77777777" w:rsidR="0060408E" w:rsidRPr="000E41ED" w:rsidRDefault="0060408E" w:rsidP="00DB19B8">
      <w:pPr>
        <w:rPr>
          <w:rFonts w:eastAsia="Arial"/>
        </w:rPr>
      </w:pPr>
      <w:r w:rsidRPr="000E41ED">
        <w:rPr>
          <w:rFonts w:eastAsia="Arial"/>
        </w:rPr>
        <w:lastRenderedPageBreak/>
        <w:t>Eight studies analysed directly corresponding objective measures of the same symptom or construct, such as visual analogue scales of stress or validated perceived stress scales versus physiological stress markers (e.g.</w:t>
      </w:r>
      <w:r>
        <w:rPr>
          <w:rFonts w:eastAsia="Arial"/>
        </w:rPr>
        <w:t>,</w:t>
      </w:r>
      <w:r w:rsidRPr="000E41ED">
        <w:rPr>
          <w:rFonts w:eastAsia="Arial"/>
        </w:rPr>
        <w:t xml:space="preserve"> heart rate, skin conductance, salivary amylase or cortisol), actigraphy measured tremor vs self-reported tremor severity, and alexithymia or dissociative experience scales versus interoceptive sensitivity scores.</w:t>
      </w:r>
      <w:r>
        <w:rPr>
          <w:rFonts w:eastAsia="Arial"/>
        </w:rPr>
        <w:t xml:space="preserve"> None of these analyses identified </w:t>
      </w:r>
      <w:r w:rsidRPr="000E41ED">
        <w:rPr>
          <w:rFonts w:eastAsia="Arial"/>
        </w:rPr>
        <w:t xml:space="preserve">significant correlations between </w:t>
      </w:r>
      <w:r>
        <w:rPr>
          <w:rFonts w:eastAsia="Arial"/>
        </w:rPr>
        <w:t xml:space="preserve">closely </w:t>
      </w:r>
      <w:r w:rsidRPr="000E41ED">
        <w:rPr>
          <w:rFonts w:eastAsia="Arial"/>
        </w:rPr>
        <w:t xml:space="preserve">corresponding </w:t>
      </w:r>
      <w:r>
        <w:rPr>
          <w:rFonts w:eastAsia="Arial"/>
        </w:rPr>
        <w:t>constructs</w:t>
      </w:r>
      <w:r w:rsidRPr="000E41ED">
        <w:rPr>
          <w:rFonts w:eastAsia="Arial"/>
        </w:rPr>
        <w:t xml:space="preserve">. </w:t>
      </w:r>
    </w:p>
    <w:p w14:paraId="055D6FB6" w14:textId="24217DDE" w:rsidR="0060408E" w:rsidRPr="0060408E" w:rsidRDefault="0060408E" w:rsidP="00DB19B8">
      <w:pPr>
        <w:rPr>
          <w:rFonts w:eastAsia="Arial"/>
          <w:u w:val="single"/>
        </w:rPr>
      </w:pPr>
      <w:r w:rsidRPr="0060408E">
        <w:rPr>
          <w:rFonts w:eastAsia="Arial"/>
          <w:u w:val="single"/>
        </w:rPr>
        <w:t>Studies reporting significant associations</w:t>
      </w:r>
    </w:p>
    <w:p w14:paraId="6C9358CE" w14:textId="0F4A29C3" w:rsidR="0060408E" w:rsidRPr="000E41ED" w:rsidRDefault="0060408E" w:rsidP="00DB19B8">
      <w:pPr>
        <w:rPr>
          <w:rFonts w:eastAsia="Arial"/>
        </w:rPr>
      </w:pPr>
      <w:r w:rsidRPr="000E41ED">
        <w:rPr>
          <w:rFonts w:eastAsia="Arial"/>
        </w:rPr>
        <w:t>Four studies did find a significant correlation in at least one subjective vs objective comparison</w:t>
      </w:r>
      <w:r>
        <w:rPr>
          <w:rFonts w:eastAsia="Arial"/>
        </w:rPr>
        <w:t xml:space="preserve"> </w:t>
      </w:r>
      <w:sdt>
        <w:sdtPr>
          <w:rPr>
            <w:rFonts w:eastAsia="Arial"/>
            <w:color w:val="000000"/>
          </w:rPr>
          <w:tag w:val="MENDELEY_CITATION_v3_eyJjaXRhdGlvbklEIjoiTUVOREVMRVlfQ0lUQVRJT05fYTFmNzgyODctMDZjMC00NzM2LWFjZDMtZWVkYThhNGJjNDFhIiwicHJvcGVydGllcyI6eyJub3RlSW5kZXgiOjB9LCJpc0VkaXRlZCI6ZmFsc2UsIm1hbnVhbE92ZXJyaWRlIjp7ImlzTWFudWFsbHlPdmVycmlkZGVuIjpmYWxzZSwiY2l0ZXByb2NUZXh0IjoiKEFsbGVuZG9yZmVyIGV0IGFsLiwgMjAxOTsgQXBhem9nbG91IGV0IGFsLiwgMjAxNzsgQmFrdmlzIGV0IGFsLiwgMjAwOTsgSGVycmVybyBldCBhbC4sIDIwMjApIiwibWFudWFsT3ZlcnJpZGVUZXh0Ijoi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LH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
          <w:id w:val="-1870127031"/>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Allendorfer</w:t>
          </w:r>
          <w:proofErr w:type="spellEnd"/>
          <w:r w:rsidR="0047170A" w:rsidRPr="0047170A">
            <w:rPr>
              <w:rFonts w:eastAsia="Arial"/>
              <w:color w:val="000000"/>
            </w:rPr>
            <w:t xml:space="preserve"> et al., 2019; Apazoglou et al., 2017; </w:t>
          </w:r>
          <w:proofErr w:type="spellStart"/>
          <w:r w:rsidR="0047170A" w:rsidRPr="0047170A">
            <w:rPr>
              <w:rFonts w:eastAsia="Arial"/>
              <w:color w:val="000000"/>
            </w:rPr>
            <w:t>Bakvis</w:t>
          </w:r>
          <w:proofErr w:type="spellEnd"/>
          <w:r w:rsidR="0047170A" w:rsidRPr="0047170A">
            <w:rPr>
              <w:rFonts w:eastAsia="Arial"/>
              <w:color w:val="000000"/>
            </w:rPr>
            <w:t xml:space="preserve"> et al., 2009; Herrero et al., 2020)</w:t>
          </w:r>
        </w:sdtContent>
      </w:sdt>
      <w:r w:rsidRPr="000E41ED">
        <w:rPr>
          <w:rFonts w:eastAsia="Arial"/>
        </w:rPr>
        <w:t>.</w:t>
      </w:r>
      <w:r>
        <w:rPr>
          <w:rFonts w:eastAsia="Arial"/>
        </w:rPr>
        <w:t xml:space="preserve"> C</w:t>
      </w:r>
      <w:r w:rsidRPr="000E41ED">
        <w:rPr>
          <w:rFonts w:eastAsia="Arial"/>
        </w:rPr>
        <w:t xml:space="preserve">onsistently significant correlations were found in the analysis conducted by  </w:t>
      </w:r>
      <w:sdt>
        <w:sdtPr>
          <w:rPr>
            <w:rFonts w:eastAsia="Arial"/>
            <w:color w:val="000000"/>
          </w:rPr>
          <w:tag w:val="MENDELEY_CITATION_v3_eyJjaXRhdGlvbklEIjoiTUVOREVMRVlfQ0lUQVRJT05fZWE0YzE2NDUtM2E5YS00Nzk2LThhOWUtMjNkOGY3ZGIxOTI3IiwicHJvcGVydGllcyI6eyJub3RlSW5kZXgiOjB9LCJpc0VkaXRlZCI6ZmFsc2UsIm1hbnVhbE92ZXJyaWRlIjp7ImlzTWFudWFsbHlPdmVycmlkZGVuIjp0cnVlLCJjaXRlcHJvY1RleHQiOiIoSGVycmVybyBldCBhbC4sIDIwMjApIiwibWFudWFsT3ZlcnJpZGVUZXh0IjoiSGVycmVybyBldCBhbC4gKDIwMjApIn0sImNpdGF0aW9uSXRlbXMiOlt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
          <w:id w:val="383368841"/>
          <w:placeholder>
            <w:docPart w:val="3BBE6AC8ADF92943B7103F1B75274D1A"/>
          </w:placeholder>
        </w:sdtPr>
        <w:sdtContent>
          <w:r w:rsidR="0047170A" w:rsidRPr="0047170A">
            <w:rPr>
              <w:rFonts w:eastAsia="Arial"/>
              <w:color w:val="000000"/>
            </w:rPr>
            <w:t>Herrero et al. (2020)</w:t>
          </w:r>
        </w:sdtContent>
      </w:sdt>
      <w:r w:rsidRPr="000E41ED">
        <w:rPr>
          <w:rFonts w:eastAsia="Arial"/>
        </w:rPr>
        <w:t xml:space="preserve"> where </w:t>
      </w:r>
      <w:r>
        <w:rPr>
          <w:rFonts w:eastAsia="Arial"/>
        </w:rPr>
        <w:t xml:space="preserve">five </w:t>
      </w:r>
      <w:r w:rsidRPr="000E41ED">
        <w:rPr>
          <w:rFonts w:eastAsia="Arial"/>
        </w:rPr>
        <w:t xml:space="preserve">comparisons between self-reported dissociative and </w:t>
      </w:r>
      <w:proofErr w:type="spellStart"/>
      <w:r w:rsidRPr="000E41ED">
        <w:rPr>
          <w:rFonts w:eastAsia="Arial"/>
        </w:rPr>
        <w:t>alexithymic</w:t>
      </w:r>
      <w:proofErr w:type="spellEnd"/>
      <w:r w:rsidRPr="000E41ED">
        <w:rPr>
          <w:rFonts w:eastAsia="Arial"/>
        </w:rPr>
        <w:t xml:space="preserve"> tendencies and physiological responses to emotional images</w:t>
      </w:r>
      <w:r>
        <w:rPr>
          <w:rFonts w:eastAsia="Arial"/>
        </w:rPr>
        <w:t xml:space="preserve"> were carried out</w:t>
      </w:r>
      <w:r w:rsidRPr="000E41ED">
        <w:rPr>
          <w:rFonts w:eastAsia="Arial"/>
        </w:rPr>
        <w:t>.</w:t>
      </w:r>
      <w:r>
        <w:rPr>
          <w:rFonts w:eastAsia="Arial"/>
        </w:rPr>
        <w:t xml:space="preserve"> </w:t>
      </w:r>
      <w:r w:rsidRPr="000E41ED">
        <w:rPr>
          <w:rFonts w:eastAsia="Arial"/>
        </w:rPr>
        <w:t>The moderate correlations ranged between 0.44-0.59 (</w:t>
      </w:r>
      <w:r>
        <w:rPr>
          <w:rFonts w:eastAsia="Arial"/>
        </w:rPr>
        <w:t xml:space="preserve">p's </w:t>
      </w:r>
      <w:r w:rsidRPr="000E41ED">
        <w:rPr>
          <w:rFonts w:eastAsia="Arial"/>
        </w:rPr>
        <w:t>&lt;0.05).</w:t>
      </w:r>
      <w:r>
        <w:rPr>
          <w:rFonts w:eastAsia="Arial"/>
        </w:rPr>
        <w:t xml:space="preserve"> </w:t>
      </w:r>
      <w:r w:rsidRPr="000E41ED">
        <w:rPr>
          <w:rFonts w:eastAsia="Arial"/>
        </w:rPr>
        <w:t xml:space="preserve">Notably, only this study had the primary aim of assessing different (physiological, cognitive and behavioural) responses to emotional stimuli, which neatly fit </w:t>
      </w:r>
      <w:r>
        <w:rPr>
          <w:rFonts w:eastAsia="Arial"/>
        </w:rPr>
        <w:t>the</w:t>
      </w:r>
      <w:r w:rsidRPr="000E41ED">
        <w:rPr>
          <w:rFonts w:eastAsia="Arial"/>
        </w:rPr>
        <w:t xml:space="preserve"> </w:t>
      </w:r>
      <w:r>
        <w:rPr>
          <w:rFonts w:eastAsia="Arial"/>
        </w:rPr>
        <w:t>definitions of</w:t>
      </w:r>
      <w:r w:rsidRPr="000E41ED">
        <w:rPr>
          <w:rFonts w:eastAsia="Arial"/>
        </w:rPr>
        <w:t xml:space="preserve"> </w:t>
      </w:r>
      <w:r>
        <w:rPr>
          <w:rFonts w:eastAsia="Arial"/>
        </w:rPr>
        <w:t>'</w:t>
      </w:r>
      <w:r w:rsidRPr="000E41ED">
        <w:rPr>
          <w:rFonts w:eastAsia="Arial"/>
        </w:rPr>
        <w:t>objective</w:t>
      </w:r>
      <w:r>
        <w:rPr>
          <w:rFonts w:eastAsia="Arial"/>
        </w:rPr>
        <w:t>'</w:t>
      </w:r>
      <w:r w:rsidRPr="000E41ED">
        <w:rPr>
          <w:rFonts w:eastAsia="Arial"/>
        </w:rPr>
        <w:t xml:space="preserve"> and </w:t>
      </w:r>
      <w:r>
        <w:rPr>
          <w:rFonts w:eastAsia="Arial"/>
        </w:rPr>
        <w:t>'</w:t>
      </w:r>
      <w:r w:rsidRPr="000E41ED">
        <w:rPr>
          <w:rFonts w:eastAsia="Arial"/>
        </w:rPr>
        <w:t>subjective</w:t>
      </w:r>
      <w:r>
        <w:rPr>
          <w:rFonts w:eastAsia="Arial"/>
        </w:rPr>
        <w:t>'</w:t>
      </w:r>
      <w:r w:rsidRPr="000E41ED">
        <w:rPr>
          <w:rFonts w:eastAsia="Arial"/>
        </w:rPr>
        <w:t xml:space="preserve"> measurement </w:t>
      </w:r>
      <w:r>
        <w:rPr>
          <w:rFonts w:eastAsia="Arial"/>
        </w:rPr>
        <w:t xml:space="preserve">which we adopted for </w:t>
      </w:r>
      <w:r w:rsidRPr="000E41ED">
        <w:rPr>
          <w:rFonts w:eastAsia="Arial"/>
        </w:rPr>
        <w:t>this review.</w:t>
      </w:r>
      <w:r>
        <w:rPr>
          <w:rFonts w:eastAsia="Arial"/>
        </w:rPr>
        <w:t xml:space="preserve"> </w:t>
      </w:r>
      <w:sdt>
        <w:sdtPr>
          <w:rPr>
            <w:rFonts w:eastAsia="Arial"/>
            <w:iCs/>
            <w:color w:val="000000"/>
          </w:rPr>
          <w:tag w:val="MENDELEY_CITATION_v3_eyJjaXRhdGlvbklEIjoiTUVOREVMRVlfQ0lUQVRJT05fOTc0YzQ2ZWEtNjRkZS00MzkzLWI3MTUtNGM3NGFhYTNiZWNmIiwicHJvcGVydGllcyI6eyJub3RlSW5kZXgiOjB9LCJpc0VkaXRlZCI6ZmFsc2UsIm1hbnVhbE92ZXJyaWRlIjp7ImlzTWFudWFsbHlPdmVycmlkZGVuIjp0cnVlLCJjaXRlcHJvY1RleHQiOiIoQWxsZW5kb3JmZXIgZXQgYWwuLCAyMDE5KSIsIm1hbnVhbE92ZXJyaWRlVGV4dCI6IkFsbGVuZG9yZmVyIGV0IGFsLiAoMjAxOSkifSwiY2l0YXRpb25JdGVtcyI6W3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V19"/>
          <w:id w:val="584196675"/>
          <w:placeholder>
            <w:docPart w:val="3BBE6AC8ADF92943B7103F1B75274D1A"/>
          </w:placeholder>
        </w:sdtPr>
        <w:sdtContent>
          <w:proofErr w:type="spellStart"/>
          <w:r w:rsidR="0047170A" w:rsidRPr="0047170A">
            <w:rPr>
              <w:rFonts w:eastAsia="Arial"/>
              <w:iCs/>
              <w:color w:val="000000"/>
            </w:rPr>
            <w:t>Allendorfer</w:t>
          </w:r>
          <w:proofErr w:type="spellEnd"/>
          <w:r w:rsidR="0047170A" w:rsidRPr="0047170A">
            <w:rPr>
              <w:rFonts w:eastAsia="Arial"/>
              <w:iCs/>
              <w:color w:val="000000"/>
            </w:rPr>
            <w:t xml:space="preserve"> et al. (2019)</w:t>
          </w:r>
        </w:sdtContent>
      </w:sdt>
      <w:r w:rsidRPr="000E41ED">
        <w:rPr>
          <w:rFonts w:eastAsia="Arial"/>
        </w:rPr>
        <w:t xml:space="preserve"> reported a strong negative correlation between perceived stress and change in </w:t>
      </w:r>
      <w:r>
        <w:rPr>
          <w:rFonts w:eastAsia="Arial"/>
        </w:rPr>
        <w:t>H.R.</w:t>
      </w:r>
      <w:r w:rsidRPr="000E41ED">
        <w:rPr>
          <w:rFonts w:eastAsia="Arial"/>
        </w:rPr>
        <w:t xml:space="preserve"> in response to induced physiological stress (r=-0.74, p=0.0063)</w:t>
      </w:r>
      <w:r>
        <w:rPr>
          <w:rFonts w:eastAsia="Arial"/>
        </w:rPr>
        <w:t xml:space="preserve">. This result matched the authors' </w:t>
      </w:r>
      <w:r w:rsidRPr="000E41ED">
        <w:rPr>
          <w:rFonts w:eastAsia="Arial"/>
        </w:rPr>
        <w:t>expect</w:t>
      </w:r>
      <w:r>
        <w:rPr>
          <w:rFonts w:eastAsia="Arial"/>
        </w:rPr>
        <w:t>ations</w:t>
      </w:r>
      <w:r w:rsidRPr="000E41ED">
        <w:rPr>
          <w:rFonts w:eastAsia="Arial"/>
        </w:rPr>
        <w:t xml:space="preserve"> (</w:t>
      </w:r>
      <w:r>
        <w:rPr>
          <w:rFonts w:eastAsia="Arial"/>
        </w:rPr>
        <w:t>i.e.</w:t>
      </w:r>
      <w:r w:rsidRPr="000E41ED">
        <w:rPr>
          <w:rFonts w:eastAsia="Arial"/>
        </w:rPr>
        <w:t xml:space="preserve"> </w:t>
      </w:r>
      <w:r>
        <w:rPr>
          <w:rFonts w:eastAsia="Arial"/>
        </w:rPr>
        <w:t xml:space="preserve">it was </w:t>
      </w:r>
      <w:r w:rsidRPr="000E41ED">
        <w:rPr>
          <w:rFonts w:eastAsia="Arial"/>
        </w:rPr>
        <w:t xml:space="preserve">inversely proportional) and </w:t>
      </w:r>
      <w:r>
        <w:rPr>
          <w:rFonts w:eastAsia="Arial"/>
        </w:rPr>
        <w:t>suggests that</w:t>
      </w:r>
      <w:r w:rsidRPr="000E41ED">
        <w:rPr>
          <w:rFonts w:eastAsia="Arial"/>
        </w:rPr>
        <w:t xml:space="preserve"> the specific </w:t>
      </w:r>
      <w:r>
        <w:rPr>
          <w:rFonts w:eastAsia="Arial"/>
        </w:rPr>
        <w:t xml:space="preserve">subjective </w:t>
      </w:r>
      <w:r w:rsidRPr="000E41ED">
        <w:rPr>
          <w:rFonts w:eastAsia="Arial"/>
        </w:rPr>
        <w:t>stress measure</w:t>
      </w:r>
      <w:r>
        <w:rPr>
          <w:rFonts w:eastAsia="Arial"/>
        </w:rPr>
        <w:t xml:space="preserve"> used in this study could be </w:t>
      </w:r>
      <w:r w:rsidRPr="000E41ED">
        <w:rPr>
          <w:rFonts w:eastAsia="Arial"/>
        </w:rPr>
        <w:t xml:space="preserve">used as </w:t>
      </w:r>
      <w:r>
        <w:rPr>
          <w:rFonts w:eastAsia="Arial"/>
        </w:rPr>
        <w:t>a</w:t>
      </w:r>
      <w:r w:rsidRPr="000E41ED">
        <w:rPr>
          <w:rFonts w:eastAsia="Arial"/>
        </w:rPr>
        <w:t xml:space="preserve"> proxy </w:t>
      </w:r>
      <w:r>
        <w:rPr>
          <w:rFonts w:eastAsia="Arial"/>
        </w:rPr>
        <w:t xml:space="preserve">of H.R. response </w:t>
      </w:r>
      <w:r w:rsidRPr="000E41ED">
        <w:rPr>
          <w:rFonts w:eastAsia="Arial"/>
        </w:rPr>
        <w:t xml:space="preserve">or </w:t>
      </w:r>
      <w:r>
        <w:rPr>
          <w:rFonts w:eastAsia="Arial"/>
        </w:rPr>
        <w:t>vice versa</w:t>
      </w:r>
      <w:r w:rsidRPr="000E41ED">
        <w:rPr>
          <w:rFonts w:eastAsia="Arial"/>
        </w:rPr>
        <w:t xml:space="preserve"> in </w:t>
      </w:r>
      <w:r>
        <w:rPr>
          <w:rFonts w:eastAsia="Arial"/>
        </w:rPr>
        <w:t>similar</w:t>
      </w:r>
      <w:r w:rsidRPr="000E41ED">
        <w:rPr>
          <w:rFonts w:eastAsia="Arial"/>
        </w:rPr>
        <w:t xml:space="preserve"> studies.  </w:t>
      </w:r>
    </w:p>
    <w:p w14:paraId="6BC2BFCF" w14:textId="462BE722" w:rsidR="0060408E" w:rsidRPr="000E41ED" w:rsidRDefault="0060408E" w:rsidP="00DB19B8">
      <w:pPr>
        <w:rPr>
          <w:rFonts w:eastAsia="Arial"/>
        </w:rPr>
      </w:pPr>
      <w:r>
        <w:rPr>
          <w:rFonts w:eastAsia="Arial"/>
        </w:rPr>
        <w:t>In two studies,</w:t>
      </w:r>
      <w:r w:rsidRPr="000E41ED">
        <w:rPr>
          <w:rFonts w:eastAsia="Arial"/>
        </w:rPr>
        <w:t xml:space="preserve"> closely related variables yielded significant correlations; positive attentional bias for angry faces at baseline positively correlated </w:t>
      </w:r>
      <w:r>
        <w:rPr>
          <w:rFonts w:eastAsia="Arial"/>
        </w:rPr>
        <w:t>with</w:t>
      </w:r>
      <w:r w:rsidRPr="000E41ED">
        <w:rPr>
          <w:rFonts w:eastAsia="Arial"/>
        </w:rPr>
        <w:t xml:space="preserve"> self-reported sexual trauma</w:t>
      </w:r>
      <w:r>
        <w:rPr>
          <w:rFonts w:eastAsia="Arial"/>
        </w:rPr>
        <w:t xml:space="preserve"> </w:t>
      </w:r>
      <w:sdt>
        <w:sdtPr>
          <w:rPr>
            <w:rFonts w:eastAsia="Arial"/>
            <w:color w:val="000000"/>
          </w:rPr>
          <w:tag w:val="MENDELEY_CITATION_v3_eyJjaXRhdGlvbklEIjoiTUVOREVMRVlfQ0lUQVRJT05fNDE5MjAzYzgtY2QwOC00MzJhLWI5ODYtMTg2OTU1ZjY4NWQyIiwicHJvcGVydGllcyI6eyJub3RlSW5kZXgiOjB9LCJpc0VkaXRlZCI6ZmFsc2UsIm1hbnVhbE92ZXJyaWRlIjp7ImlzTWFudWFsbHlPdmVycmlkZGVuIjpmYWxzZSwiY2l0ZXByb2NUZXh0IjoiKEJha3ZpcyBldCBhbC4sIDIwMDkpIiwibWFudWFsT3ZlcnJpZGVUZXh0Ijoi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V19"/>
          <w:id w:val="1166364366"/>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Bakvis</w:t>
          </w:r>
          <w:proofErr w:type="spellEnd"/>
          <w:r w:rsidR="0047170A" w:rsidRPr="0047170A">
            <w:rPr>
              <w:rFonts w:eastAsia="Arial"/>
              <w:color w:val="000000"/>
            </w:rPr>
            <w:t xml:space="preserve"> et al., 2009)</w:t>
          </w:r>
        </w:sdtContent>
      </w:sdt>
      <w:r w:rsidRPr="000E41ED">
        <w:rPr>
          <w:rFonts w:eastAsia="Arial"/>
        </w:rPr>
        <w:t xml:space="preserve">, </w:t>
      </w:r>
      <w:r>
        <w:rPr>
          <w:rFonts w:eastAsia="Arial"/>
        </w:rPr>
        <w:t xml:space="preserve">and </w:t>
      </w:r>
      <w:r w:rsidRPr="000E41ED">
        <w:rPr>
          <w:rFonts w:eastAsia="Arial"/>
        </w:rPr>
        <w:t>the number and subjective impact of adverse life events positively correlated with salivary cortisol</w:t>
      </w:r>
      <w:r>
        <w:rPr>
          <w:rFonts w:eastAsia="Arial"/>
        </w:rPr>
        <w:t xml:space="preserve"> </w:t>
      </w:r>
      <w:sdt>
        <w:sdtPr>
          <w:rPr>
            <w:rFonts w:eastAsia="Arial"/>
            <w:color w:val="000000"/>
          </w:rPr>
          <w:tag w:val="MENDELEY_CITATION_v3_eyJjaXRhdGlvbklEIjoiTUVOREVMRVlfQ0lUQVRJT05fNmRmYTVmOGUtNWE3MC00Nzc5LThlZWUtNTkxZjk0YWQwMDU3IiwicHJvcGVydGllcyI6eyJub3RlSW5kZXgiOjB9LCJpc0VkaXRlZCI6ZmFsc2UsIm1hbnVhbE92ZXJyaWRlIjp7ImlzTWFudWFsbHlPdmVycmlkZGVuIjpmYWxzZSwiY2l0ZXByb2NUZXh0IjoiKEFwYXpvZ2xvdSBldCBhbC4sIDIwMTcpIiwibWFudWFsT3ZlcnJpZGVUZXh0IjoiIn0sImNpdGF0aW9uSXRlbXMiOlt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XX0="/>
          <w:id w:val="-1402204445"/>
          <w:placeholder>
            <w:docPart w:val="3BBE6AC8ADF92943B7103F1B75274D1A"/>
          </w:placeholder>
        </w:sdtPr>
        <w:sdtContent>
          <w:r w:rsidR="0047170A" w:rsidRPr="0047170A">
            <w:rPr>
              <w:rFonts w:eastAsia="Arial"/>
              <w:color w:val="000000"/>
            </w:rPr>
            <w:t>(Apazoglou et al., 2017)</w:t>
          </w:r>
        </w:sdtContent>
      </w:sdt>
      <w:r w:rsidRPr="000E41ED">
        <w:rPr>
          <w:rFonts w:eastAsia="Arial"/>
        </w:rPr>
        <w:t>.</w:t>
      </w:r>
      <w:r>
        <w:rPr>
          <w:rFonts w:eastAsia="Arial"/>
        </w:rPr>
        <w:t xml:space="preserve"> </w:t>
      </w:r>
      <w:r w:rsidRPr="000E41ED">
        <w:rPr>
          <w:rFonts w:eastAsia="Arial"/>
        </w:rPr>
        <w:t xml:space="preserve">These correlations were consistent with </w:t>
      </w:r>
      <w:r>
        <w:rPr>
          <w:rFonts w:eastAsia="Arial"/>
        </w:rPr>
        <w:t>the authors'</w:t>
      </w:r>
      <w:r w:rsidRPr="000E41ED">
        <w:rPr>
          <w:rFonts w:eastAsia="Arial"/>
        </w:rPr>
        <w:t xml:space="preserve"> hypotheses or the expectations of outcomes in the patient group based on current evidence.</w:t>
      </w:r>
    </w:p>
    <w:p w14:paraId="29455479" w14:textId="77777777" w:rsidR="0060408E" w:rsidRDefault="0060408E" w:rsidP="00DB19B8">
      <w:pPr>
        <w:rPr>
          <w:rFonts w:eastAsia="Arial"/>
        </w:rPr>
      </w:pPr>
      <w:r w:rsidRPr="000E41ED">
        <w:rPr>
          <w:rFonts w:eastAsia="Arial"/>
        </w:rPr>
        <w:t>Notably, three of these studies explored stress response</w:t>
      </w:r>
      <w:r>
        <w:rPr>
          <w:rFonts w:eastAsia="Arial"/>
        </w:rPr>
        <w:t>,</w:t>
      </w:r>
      <w:r w:rsidRPr="000E41ED">
        <w:rPr>
          <w:rFonts w:eastAsia="Arial"/>
        </w:rPr>
        <w:t xml:space="preserve"> and all these studies utilised a relatively wide range of objective and subjective</w:t>
      </w:r>
      <w:r>
        <w:rPr>
          <w:rFonts w:eastAsia="Arial"/>
        </w:rPr>
        <w:t xml:space="preserve"> measures. </w:t>
      </w:r>
      <w:r w:rsidRPr="000E41ED">
        <w:rPr>
          <w:rFonts w:eastAsia="Arial"/>
        </w:rPr>
        <w:t>Otherwise</w:t>
      </w:r>
      <w:r>
        <w:rPr>
          <w:rFonts w:eastAsia="Arial"/>
        </w:rPr>
        <w:t>,</w:t>
      </w:r>
      <w:r w:rsidRPr="000E41ED">
        <w:rPr>
          <w:rFonts w:eastAsia="Arial"/>
        </w:rPr>
        <w:t xml:space="preserve"> there was no consistent pattern, for example, similarities in specific measures used, distinctive study samples or other methodological factors, that could be used to deduce </w:t>
      </w:r>
      <w:r>
        <w:rPr>
          <w:rFonts w:eastAsia="Arial"/>
        </w:rPr>
        <w:t xml:space="preserve">why correlations were </w:t>
      </w:r>
      <w:r w:rsidRPr="000E41ED">
        <w:rPr>
          <w:rFonts w:eastAsia="Arial"/>
        </w:rPr>
        <w:t xml:space="preserve">found in these </w:t>
      </w:r>
      <w:r>
        <w:rPr>
          <w:rFonts w:eastAsia="Arial"/>
        </w:rPr>
        <w:t xml:space="preserve">but not the other </w:t>
      </w:r>
      <w:r w:rsidRPr="000E41ED">
        <w:rPr>
          <w:rFonts w:eastAsia="Arial"/>
        </w:rPr>
        <w:t>studies</w:t>
      </w:r>
      <w:r>
        <w:rPr>
          <w:rFonts w:eastAsia="Arial"/>
        </w:rPr>
        <w:t xml:space="preserve"> discussed above</w:t>
      </w:r>
      <w:r w:rsidRPr="000E41ED">
        <w:rPr>
          <w:rFonts w:eastAsia="Arial"/>
        </w:rPr>
        <w:t xml:space="preserve"> (</w:t>
      </w:r>
      <w:r>
        <w:rPr>
          <w:rFonts w:eastAsia="Arial"/>
        </w:rPr>
        <w:t>s</w:t>
      </w:r>
      <w:r w:rsidRPr="000E41ED">
        <w:rPr>
          <w:rFonts w:eastAsia="Arial"/>
        </w:rPr>
        <w:t xml:space="preserve">ee </w:t>
      </w:r>
      <w:r>
        <w:rPr>
          <w:rFonts w:eastAsia="Arial"/>
        </w:rPr>
        <w:t>T</w:t>
      </w:r>
      <w:r w:rsidRPr="000E41ED">
        <w:rPr>
          <w:rFonts w:eastAsia="Arial"/>
        </w:rPr>
        <w:t xml:space="preserve">able </w:t>
      </w:r>
      <w:r w:rsidRPr="000E41ED">
        <w:rPr>
          <w:rFonts w:eastAsia="Arial"/>
        </w:rPr>
        <w:lastRenderedPageBreak/>
        <w:t xml:space="preserve">1 for subjective vs objective comparisons within </w:t>
      </w:r>
      <w:r>
        <w:rPr>
          <w:rFonts w:eastAsia="Arial"/>
        </w:rPr>
        <w:t>FNSD</w:t>
      </w:r>
      <w:r w:rsidRPr="000E41ED">
        <w:rPr>
          <w:rFonts w:eastAsia="Arial"/>
        </w:rPr>
        <w:t xml:space="preserve"> groups reported in the included studies).</w:t>
      </w:r>
    </w:p>
    <w:p w14:paraId="63C66B90" w14:textId="40E94EB9" w:rsidR="0060408E" w:rsidRPr="0060408E" w:rsidRDefault="0060408E" w:rsidP="00DB19B8">
      <w:pPr>
        <w:rPr>
          <w:rFonts w:eastAsia="Arial"/>
          <w:u w:val="single"/>
        </w:rPr>
      </w:pPr>
      <w:r w:rsidRPr="0060408E">
        <w:rPr>
          <w:rFonts w:eastAsia="Arial"/>
          <w:u w:val="single"/>
        </w:rPr>
        <w:t>Associations within the research categories</w:t>
      </w:r>
    </w:p>
    <w:p w14:paraId="4E1969B3" w14:textId="77777777" w:rsidR="0060408E" w:rsidRPr="000E41ED" w:rsidRDefault="0060408E" w:rsidP="00DB19B8">
      <w:pPr>
        <w:rPr>
          <w:rFonts w:eastAsia="Arial"/>
        </w:rPr>
      </w:pPr>
      <w:r w:rsidRPr="000E41ED">
        <w:rPr>
          <w:rFonts w:eastAsia="Arial"/>
        </w:rPr>
        <w:t>These associations will be further described as they relate to each research area:</w:t>
      </w:r>
    </w:p>
    <w:p w14:paraId="3FF8D191" w14:textId="77777777" w:rsidR="0060408E" w:rsidRPr="00CA7CBD" w:rsidRDefault="0060408E" w:rsidP="0060408E">
      <w:pPr>
        <w:pStyle w:val="ListParagraph"/>
        <w:numPr>
          <w:ilvl w:val="0"/>
          <w:numId w:val="27"/>
        </w:numPr>
        <w:rPr>
          <w:rFonts w:eastAsia="Arial"/>
        </w:rPr>
      </w:pPr>
      <w:r w:rsidRPr="00CA7CBD">
        <w:rPr>
          <w:rFonts w:eastAsia="Arial"/>
        </w:rPr>
        <w:t>Stress response</w:t>
      </w:r>
    </w:p>
    <w:p w14:paraId="478C83D6" w14:textId="17FC9386" w:rsidR="0060408E" w:rsidRPr="000E41ED" w:rsidRDefault="0060408E" w:rsidP="00DB19B8">
      <w:pPr>
        <w:rPr>
          <w:rFonts w:eastAsia="Arial"/>
        </w:rPr>
      </w:pPr>
      <w:r>
        <w:rPr>
          <w:rFonts w:eastAsia="Arial"/>
        </w:rPr>
        <w:t xml:space="preserve">Three of </w:t>
      </w:r>
      <w:r w:rsidRPr="000E41ED">
        <w:rPr>
          <w:rFonts w:eastAsia="Arial"/>
        </w:rPr>
        <w:t xml:space="preserve">the </w:t>
      </w:r>
      <w:r>
        <w:rPr>
          <w:rFonts w:eastAsia="Arial"/>
        </w:rPr>
        <w:t>six</w:t>
      </w:r>
      <w:r w:rsidRPr="000E41ED">
        <w:rPr>
          <w:rFonts w:eastAsia="Arial"/>
        </w:rPr>
        <w:t xml:space="preserve"> </w:t>
      </w:r>
      <w:r>
        <w:rPr>
          <w:rFonts w:eastAsia="Arial"/>
        </w:rPr>
        <w:t xml:space="preserve">studies in the </w:t>
      </w:r>
      <w:r w:rsidRPr="000E41ED">
        <w:rPr>
          <w:rFonts w:eastAsia="Arial"/>
        </w:rPr>
        <w:t xml:space="preserve">stress response </w:t>
      </w:r>
      <w:r>
        <w:rPr>
          <w:rFonts w:eastAsia="Arial"/>
        </w:rPr>
        <w:t xml:space="preserve">category reported a significant correlation between objectively and subjectively measured outcomes. This category accounted for three of the four studies </w:t>
      </w:r>
      <w:r w:rsidRPr="000E41ED">
        <w:rPr>
          <w:rFonts w:eastAsia="Arial"/>
        </w:rPr>
        <w:t>reporting significant correlations</w:t>
      </w:r>
      <w:r>
        <w:rPr>
          <w:rFonts w:eastAsia="Arial"/>
        </w:rPr>
        <w:t xml:space="preserve"> across all the studies included in this review. </w:t>
      </w:r>
      <w:r w:rsidRPr="000E41ED">
        <w:rPr>
          <w:rFonts w:eastAsia="Arial"/>
        </w:rPr>
        <w:t xml:space="preserve">As described above, </w:t>
      </w:r>
      <w:r>
        <w:rPr>
          <w:rFonts w:eastAsia="Arial"/>
        </w:rPr>
        <w:t xml:space="preserve"> </w:t>
      </w:r>
      <w:sdt>
        <w:sdtPr>
          <w:rPr>
            <w:rFonts w:eastAsia="Arial"/>
            <w:color w:val="000000"/>
          </w:rPr>
          <w:tag w:val="MENDELEY_CITATION_v3_eyJjaXRhdGlvbklEIjoiTUVOREVMRVlfQ0lUQVRJT05fOTJlZGIyZTMtMjkwYS00OTc3LWI1YmQtOTE0MTdlMjY4M2M3IiwicHJvcGVydGllcyI6eyJub3RlSW5kZXgiOjB9LCJpc0VkaXRlZCI6ZmFsc2UsIm1hbnVhbE92ZXJyaWRlIjp7ImlzTWFudWFsbHlPdmVycmlkZGVuIjp0cnVlLCJjaXRlcHJvY1RleHQiOiIoQWxsZW5kb3JmZXIgZXQgYWwuLCAyMDE5KSIsIm1hbnVhbE92ZXJyaWRlVGV4dCI6IkFsbGVuZG9yZmVyIGV0IGFsLiAoMjAxOSkifSwiY2l0YXRpb25JdGVtcyI6W3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V19"/>
          <w:id w:val="-84845019"/>
          <w:placeholder>
            <w:docPart w:val="3BBE6AC8ADF92943B7103F1B75274D1A"/>
          </w:placeholder>
        </w:sdtPr>
        <w:sdtContent>
          <w:proofErr w:type="spellStart"/>
          <w:r w:rsidR="0047170A" w:rsidRPr="0047170A">
            <w:rPr>
              <w:rFonts w:eastAsia="Arial"/>
              <w:color w:val="000000"/>
            </w:rPr>
            <w:t>Allendorfer</w:t>
          </w:r>
          <w:proofErr w:type="spellEnd"/>
          <w:r w:rsidR="0047170A" w:rsidRPr="0047170A">
            <w:rPr>
              <w:rFonts w:eastAsia="Arial"/>
              <w:color w:val="000000"/>
            </w:rPr>
            <w:t xml:space="preserve"> et al. (2019)</w:t>
          </w:r>
        </w:sdtContent>
      </w:sdt>
      <w:r w:rsidRPr="000E41ED">
        <w:rPr>
          <w:rFonts w:eastAsia="Arial"/>
        </w:rPr>
        <w:t xml:space="preserve">  , </w:t>
      </w:r>
      <w:r>
        <w:rPr>
          <w:rFonts w:eastAsia="Arial"/>
        </w:rPr>
        <w:t xml:space="preserve"> </w:t>
      </w:r>
      <w:sdt>
        <w:sdtPr>
          <w:rPr>
            <w:rFonts w:eastAsia="Arial"/>
            <w:color w:val="000000"/>
          </w:rPr>
          <w:tag w:val="MENDELEY_CITATION_v3_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"/>
          <w:id w:val="360169376"/>
          <w:placeholder>
            <w:docPart w:val="3BBE6AC8ADF92943B7103F1B75274D1A"/>
          </w:placeholder>
        </w:sdtPr>
        <w:sdtContent>
          <w:r w:rsidR="0047170A" w:rsidRPr="0047170A">
            <w:rPr>
              <w:rFonts w:eastAsia="Arial"/>
              <w:color w:val="000000"/>
            </w:rPr>
            <w:t>Apazoglou et al. (2017)</w:t>
          </w:r>
        </w:sdtContent>
      </w:sdt>
      <w:r w:rsidRPr="000E41ED">
        <w:rPr>
          <w:rFonts w:eastAsia="Arial"/>
        </w:rPr>
        <w:t xml:space="preserve">, and </w:t>
      </w:r>
      <w:r>
        <w:rPr>
          <w:rFonts w:eastAsia="Arial"/>
        </w:rPr>
        <w:t xml:space="preserve"> </w:t>
      </w:r>
      <w:sdt>
        <w:sdtPr>
          <w:rPr>
            <w:rFonts w:eastAsia="Arial"/>
            <w:color w:val="000000"/>
          </w:rPr>
          <w:tag w:val="MENDELEY_CITATION_v3_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"/>
          <w:id w:val="822092070"/>
          <w:placeholder>
            <w:docPart w:val="3BBE6AC8ADF92943B7103F1B75274D1A"/>
          </w:placeholder>
        </w:sdtPr>
        <w:sdtContent>
          <w:proofErr w:type="spellStart"/>
          <w:r w:rsidR="0047170A" w:rsidRPr="0047170A">
            <w:rPr>
              <w:rFonts w:eastAsia="Arial"/>
              <w:color w:val="000000"/>
            </w:rPr>
            <w:t>Bakvis</w:t>
          </w:r>
          <w:proofErr w:type="spellEnd"/>
          <w:r w:rsidR="0047170A" w:rsidRPr="0047170A">
            <w:rPr>
              <w:rFonts w:eastAsia="Arial"/>
              <w:color w:val="000000"/>
            </w:rPr>
            <w:t xml:space="preserve"> et al. (2009)</w:t>
          </w:r>
        </w:sdtContent>
      </w:sdt>
      <w:r w:rsidRPr="000E41ED">
        <w:rPr>
          <w:rFonts w:eastAsia="Arial"/>
        </w:rPr>
        <w:t xml:space="preserve"> reported significant correlations between several different measures, some more directly pertinent to stress response than others.</w:t>
      </w:r>
      <w:r>
        <w:rPr>
          <w:rFonts w:eastAsia="Arial"/>
        </w:rPr>
        <w:t xml:space="preserve"> In the other studies in this category,</w:t>
      </w:r>
      <w:r w:rsidRPr="000E41ED">
        <w:rPr>
          <w:rFonts w:eastAsia="Arial"/>
        </w:rPr>
        <w:t xml:space="preserve"> </w:t>
      </w:r>
      <w:r>
        <w:rPr>
          <w:rFonts w:eastAsia="Arial"/>
        </w:rPr>
        <w:t xml:space="preserve">correlations between both </w:t>
      </w:r>
      <w:r w:rsidRPr="000E41ED">
        <w:rPr>
          <w:rFonts w:eastAsia="Arial"/>
        </w:rPr>
        <w:t>baseline</w:t>
      </w:r>
      <w:r>
        <w:rPr>
          <w:rFonts w:eastAsia="Arial"/>
        </w:rPr>
        <w:t xml:space="preserve"> and post-stress</w:t>
      </w:r>
      <w:r w:rsidRPr="000E41ED">
        <w:rPr>
          <w:rFonts w:eastAsia="Arial"/>
        </w:rPr>
        <w:t xml:space="preserve"> biological/physiological marker</w:t>
      </w:r>
      <w:r>
        <w:rPr>
          <w:rFonts w:eastAsia="Arial"/>
        </w:rPr>
        <w:t>s (HRV, salivary cortisol and amylase)</w:t>
      </w:r>
      <w:r w:rsidRPr="000E41ED">
        <w:rPr>
          <w:rFonts w:eastAsia="Arial"/>
        </w:rPr>
        <w:t xml:space="preserve"> and perceived stress or subjective arousal </w:t>
      </w:r>
      <w:r>
        <w:rPr>
          <w:rFonts w:eastAsia="Arial"/>
        </w:rPr>
        <w:t xml:space="preserve">(Stress symptoms Inventory and stress on visual analogue scales) widely ranged in strength (r= -0.74 – 0.33) without, however, </w:t>
      </w:r>
      <w:r w:rsidRPr="000E41ED">
        <w:rPr>
          <w:rFonts w:eastAsia="Arial"/>
        </w:rPr>
        <w:t xml:space="preserve"> reach</w:t>
      </w:r>
      <w:r>
        <w:rPr>
          <w:rFonts w:eastAsia="Arial"/>
        </w:rPr>
        <w:t>ing</w:t>
      </w:r>
      <w:r w:rsidRPr="000E41ED">
        <w:rPr>
          <w:rFonts w:eastAsia="Arial"/>
        </w:rPr>
        <w:t xml:space="preserve"> statistical significance</w:t>
      </w:r>
      <w:r>
        <w:rPr>
          <w:rFonts w:eastAsia="Arial"/>
        </w:rPr>
        <w:t xml:space="preserve"> </w:t>
      </w:r>
      <w:sdt>
        <w:sdtPr>
          <w:rPr>
            <w:rFonts w:eastAsia="Arial"/>
            <w:color w:val="000000"/>
          </w:rPr>
          <w:tag w:val="MENDELEY_CITATION_v3_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"/>
          <w:id w:val="1659955872"/>
          <w:placeholder>
            <w:docPart w:val="7A08AF84354E6E41A42F57BF9E0D13F4"/>
          </w:placeholder>
        </w:sdtPr>
        <w:sdtContent>
          <w:r w:rsidR="0047170A" w:rsidRPr="0047170A">
            <w:rPr>
              <w:rFonts w:eastAsia="Arial"/>
              <w:color w:val="000000"/>
            </w:rPr>
            <w:t>(</w:t>
          </w:r>
          <w:proofErr w:type="spellStart"/>
          <w:r w:rsidR="0047170A" w:rsidRPr="0047170A">
            <w:rPr>
              <w:rFonts w:eastAsia="Arial"/>
              <w:color w:val="000000"/>
            </w:rPr>
            <w:t>Allendorfer</w:t>
          </w:r>
          <w:proofErr w:type="spellEnd"/>
          <w:r w:rsidR="0047170A" w:rsidRPr="0047170A">
            <w:rPr>
              <w:rFonts w:eastAsia="Arial"/>
              <w:color w:val="000000"/>
            </w:rPr>
            <w:t xml:space="preserve"> et al., 2019; Apazoglou et al., 2017; Maurer et al., 2015; Novakova et al., 2017)</w:t>
          </w:r>
        </w:sdtContent>
      </w:sdt>
      <w:r w:rsidRPr="000E41ED">
        <w:rPr>
          <w:rFonts w:eastAsia="Arial"/>
        </w:rPr>
        <w:t xml:space="preserve">.  </w:t>
      </w:r>
      <w:r>
        <w:rPr>
          <w:rFonts w:eastAsia="Arial"/>
        </w:rPr>
        <w:t xml:space="preserve"> </w:t>
      </w:r>
      <w:r w:rsidRPr="002523F3">
        <w:rPr>
          <w:rFonts w:eastAsia="Arial"/>
        </w:rPr>
        <w:t>Correla</w:t>
      </w:r>
      <w:r>
        <w:rPr>
          <w:rFonts w:eastAsia="Arial"/>
        </w:rPr>
        <w:t xml:space="preserve">tions between skin conductance </w:t>
      </w:r>
      <w:r w:rsidRPr="002523F3">
        <w:rPr>
          <w:rFonts w:eastAsia="Arial"/>
        </w:rPr>
        <w:t>and subjective experience</w:t>
      </w:r>
      <w:r>
        <w:rPr>
          <w:rFonts w:eastAsia="Arial"/>
        </w:rPr>
        <w:t xml:space="preserve"> described on a valence and arousal rating scale</w:t>
      </w:r>
      <w:r w:rsidRPr="002523F3">
        <w:rPr>
          <w:rFonts w:eastAsia="Arial"/>
        </w:rPr>
        <w:t xml:space="preserve"> were </w:t>
      </w:r>
      <w:r>
        <w:rPr>
          <w:rFonts w:eastAsia="Arial"/>
        </w:rPr>
        <w:t>inconsistent</w:t>
      </w:r>
      <w:r w:rsidRPr="002523F3">
        <w:rPr>
          <w:rFonts w:eastAsia="Arial"/>
        </w:rPr>
        <w:t xml:space="preserve"> within </w:t>
      </w:r>
      <w:r>
        <w:rPr>
          <w:rFonts w:eastAsia="Arial"/>
        </w:rPr>
        <w:t>an F.S.</w:t>
      </w:r>
      <w:r w:rsidRPr="002523F3">
        <w:rPr>
          <w:rFonts w:eastAsia="Arial"/>
        </w:rPr>
        <w:t xml:space="preserve"> population</w:t>
      </w:r>
      <w:r>
        <w:rPr>
          <w:rFonts w:eastAsia="Arial"/>
        </w:rPr>
        <w:t xml:space="preserve"> described by Pick, Mellers and Goldstein </w:t>
      </w:r>
      <w:sdt>
        <w:sdtPr>
          <w:rPr>
            <w:rFonts w:eastAsia="Arial"/>
            <w:color w:val="000000"/>
          </w:rPr>
          <w:tag w:val="MENDELEY_CITATION_v3_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"/>
          <w:id w:val="2072078858"/>
          <w:placeholder>
            <w:docPart w:val="3BBE6AC8ADF92943B7103F1B75274D1A"/>
          </w:placeholder>
        </w:sdtPr>
        <w:sdtContent>
          <w:r w:rsidR="0047170A" w:rsidRPr="0047170A">
            <w:rPr>
              <w:rFonts w:eastAsia="Arial"/>
              <w:color w:val="000000"/>
            </w:rPr>
            <w:t>(Pick et al., 2018a)</w:t>
          </w:r>
        </w:sdtContent>
      </w:sdt>
      <w:r>
        <w:rPr>
          <w:rFonts w:eastAsia="Arial"/>
        </w:rPr>
        <w:t xml:space="preserve">. </w:t>
      </w:r>
      <w:r w:rsidRPr="000E41ED">
        <w:rPr>
          <w:rFonts w:eastAsia="Arial"/>
        </w:rPr>
        <w:t xml:space="preserve">No significant correlations were found between a visual analogue score for self-assessed stress levels and biological markers of stress (salivary cortisol and amylase) both before and after stress induction in </w:t>
      </w:r>
      <w:r>
        <w:rPr>
          <w:rFonts w:eastAsia="Arial"/>
        </w:rPr>
        <w:t>an FMD</w:t>
      </w:r>
      <w:r w:rsidRPr="000E41ED">
        <w:rPr>
          <w:rFonts w:eastAsia="Arial"/>
        </w:rPr>
        <w:t xml:space="preserve"> </w:t>
      </w:r>
      <w:r>
        <w:rPr>
          <w:rFonts w:eastAsia="Arial"/>
        </w:rPr>
        <w:t xml:space="preserve">study </w:t>
      </w:r>
      <w:r w:rsidRPr="000E41ED">
        <w:rPr>
          <w:rFonts w:eastAsia="Arial"/>
        </w:rPr>
        <w:t>(r=0.13, p=0.65;</w:t>
      </w:r>
      <w:r>
        <w:rPr>
          <w:rFonts w:eastAsia="Arial"/>
        </w:rPr>
        <w:t xml:space="preserve"> </w:t>
      </w:r>
      <w:sdt>
        <w:sdtPr>
          <w:rPr>
            <w:rFonts w:eastAsia="Arial"/>
            <w:color w:val="000000"/>
          </w:rPr>
          <w:tag w:val="MENDELEY_CITATION_v3_eyJjaXRhdGlvbklEIjoiTUVOREVMRVlfQ0lUQVRJT05fNmI4M2Y2YjAtOTgyYS00NmE0LWEwZmQtNzM1NTBhOGU2ZjliIiwicHJvcGVydGllcyI6eyJub3RlSW5kZXgiOjB9LCJpc0VkaXRlZCI6ZmFsc2UsIm1hbnVhbE92ZXJyaWRlIjp7ImlzTWFudWFsbHlPdmVycmlkZGVuIjpmYWxzZSwiY2l0ZXByb2NUZXh0IjoiKEFwYXpvZ2xvdSBldCBhbC4sIDIwMTcpIiwibWFudWFsT3ZlcnJpZGVUZXh0IjoiIn0sImNpdGF0aW9uSXRlbXMiOlt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XX0="/>
          <w:id w:val="-1834366884"/>
          <w:placeholder>
            <w:docPart w:val="3BBE6AC8ADF92943B7103F1B75274D1A"/>
          </w:placeholder>
        </w:sdtPr>
        <w:sdtContent>
          <w:r w:rsidR="0047170A" w:rsidRPr="0047170A">
            <w:rPr>
              <w:rFonts w:eastAsia="Arial"/>
              <w:color w:val="000000"/>
            </w:rPr>
            <w:t>(Apazoglou et al., 2017)</w:t>
          </w:r>
        </w:sdtContent>
      </w:sdt>
      <w:r w:rsidRPr="000E41ED">
        <w:rPr>
          <w:rFonts w:eastAsia="Arial"/>
        </w:rPr>
        <w:t>).</w:t>
      </w:r>
      <w:r>
        <w:rPr>
          <w:rFonts w:eastAsia="Arial"/>
        </w:rPr>
        <w:t xml:space="preserve"> </w:t>
      </w:r>
      <w:r w:rsidRPr="000E41ED">
        <w:rPr>
          <w:rFonts w:eastAsia="Arial"/>
        </w:rPr>
        <w:t>The self-reported duration and severity of symptoms also failed to correlate with these biological measures after stress</w:t>
      </w:r>
      <w:r>
        <w:rPr>
          <w:rFonts w:eastAsia="Arial"/>
        </w:rPr>
        <w:t>;</w:t>
      </w:r>
      <w:r w:rsidRPr="000E41ED">
        <w:rPr>
          <w:rFonts w:eastAsia="Arial"/>
        </w:rPr>
        <w:t xml:space="preserve"> however, at baseline, these same subjectively assessed measures correlated with baseline cortisol (r=0.67, p=&lt;0.01; r=-0.6, p&lt;0.05, respectively).</w:t>
      </w:r>
      <w:r>
        <w:rPr>
          <w:rFonts w:eastAsia="Arial"/>
        </w:rPr>
        <w:t xml:space="preserve"> Likewise, there were no correlations </w:t>
      </w:r>
      <w:r w:rsidRPr="00126C89">
        <w:rPr>
          <w:rFonts w:eastAsia="Arial"/>
        </w:rPr>
        <w:t>between</w:t>
      </w:r>
      <w:r>
        <w:rPr>
          <w:rFonts w:eastAsia="Arial"/>
        </w:rPr>
        <w:t xml:space="preserve"> circulating</w:t>
      </w:r>
      <w:r w:rsidRPr="00126C89">
        <w:rPr>
          <w:rFonts w:eastAsia="Arial"/>
        </w:rPr>
        <w:t xml:space="preserve"> cortisol levels and self-report scores on </w:t>
      </w:r>
      <w:r>
        <w:rPr>
          <w:rFonts w:eastAsia="Arial"/>
        </w:rPr>
        <w:t xml:space="preserve">a </w:t>
      </w:r>
      <w:r w:rsidRPr="00126C89">
        <w:rPr>
          <w:rFonts w:eastAsia="Arial"/>
        </w:rPr>
        <w:t>p</w:t>
      </w:r>
      <w:r>
        <w:rPr>
          <w:rFonts w:eastAsia="Arial"/>
        </w:rPr>
        <w:t>sychometric questionnaire</w:t>
      </w:r>
      <w:r w:rsidRPr="00126C89">
        <w:rPr>
          <w:rFonts w:eastAsia="Arial"/>
        </w:rPr>
        <w:t xml:space="preserve"> measuring anxiety, depression, history of trauma and disorder duration and severity</w:t>
      </w:r>
      <w:r>
        <w:rPr>
          <w:rFonts w:eastAsia="Arial"/>
        </w:rPr>
        <w:t xml:space="preserve"> in another FMD patient group (</w:t>
      </w:r>
      <w:r w:rsidRPr="00126C89">
        <w:rPr>
          <w:rFonts w:eastAsia="Arial"/>
        </w:rPr>
        <w:t xml:space="preserve">r = -0.212 – 0.173, </w:t>
      </w:r>
      <w:r>
        <w:rPr>
          <w:rFonts w:eastAsia="Arial"/>
        </w:rPr>
        <w:t>p's</w:t>
      </w:r>
      <w:r w:rsidRPr="00126C89">
        <w:rPr>
          <w:rFonts w:eastAsia="Arial"/>
        </w:rPr>
        <w:t>&gt; 0.05</w:t>
      </w:r>
      <w:r>
        <w:rPr>
          <w:rFonts w:eastAsia="Arial"/>
        </w:rPr>
        <w:t xml:space="preserve">) </w:t>
      </w:r>
      <w:sdt>
        <w:sdtPr>
          <w:rPr>
            <w:rFonts w:eastAsia="Arial"/>
            <w:color w:val="000000"/>
          </w:rPr>
          <w:tag w:val="MENDELEY_CITATION_v3_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"/>
          <w:id w:val="-2104401475"/>
          <w:placeholder>
            <w:docPart w:val="3BBE6AC8ADF92943B7103F1B75274D1A"/>
          </w:placeholder>
        </w:sdtPr>
        <w:sdtContent>
          <w:r w:rsidR="0047170A" w:rsidRPr="0047170A">
            <w:rPr>
              <w:rFonts w:eastAsia="Arial"/>
              <w:color w:val="000000"/>
            </w:rPr>
            <w:t>(Maurer et al., 2015)</w:t>
          </w:r>
        </w:sdtContent>
      </w:sdt>
      <w:r>
        <w:rPr>
          <w:rFonts w:eastAsia="Arial"/>
        </w:rPr>
        <w:t>.</w:t>
      </w:r>
      <w:r w:rsidRPr="000E41ED">
        <w:rPr>
          <w:rFonts w:eastAsia="Arial"/>
        </w:rPr>
        <w:t xml:space="preserve"> </w:t>
      </w:r>
    </w:p>
    <w:p w14:paraId="74AA929D" w14:textId="77777777" w:rsidR="0060408E" w:rsidRPr="00CA7CBD" w:rsidRDefault="0060408E" w:rsidP="0060408E">
      <w:pPr>
        <w:pStyle w:val="ListParagraph"/>
        <w:numPr>
          <w:ilvl w:val="0"/>
          <w:numId w:val="27"/>
        </w:numPr>
        <w:rPr>
          <w:rFonts w:eastAsia="Arial"/>
        </w:rPr>
      </w:pPr>
      <w:r w:rsidRPr="00CA7CBD">
        <w:rPr>
          <w:rFonts w:eastAsia="Arial"/>
        </w:rPr>
        <w:t>Emotion processing</w:t>
      </w:r>
    </w:p>
    <w:p w14:paraId="4EC78420" w14:textId="4C8B1BE4" w:rsidR="0060408E" w:rsidRPr="0055797C" w:rsidRDefault="0060408E" w:rsidP="00DB19B8">
      <w:r w:rsidRPr="000E41ED">
        <w:rPr>
          <w:rFonts w:eastAsia="Arial"/>
        </w:rPr>
        <w:t>In emotion processing studies,</w:t>
      </w:r>
      <w:r>
        <w:rPr>
          <w:rFonts w:eastAsia="Arial"/>
        </w:rPr>
        <w:t xml:space="preserve"> four studies included analyses between objective and subjective measures, and three reported no or </w:t>
      </w:r>
      <w:r w:rsidR="00400BA2" w:rsidRPr="001A2683">
        <w:rPr>
          <w:rFonts w:eastAsia="Arial"/>
          <w:color w:val="FF0000"/>
        </w:rPr>
        <w:t>non-</w:t>
      </w:r>
      <w:r>
        <w:rPr>
          <w:rFonts w:eastAsia="Arial"/>
        </w:rPr>
        <w:t xml:space="preserve">significant correlations. </w:t>
      </w:r>
      <w:r w:rsidRPr="000E41ED">
        <w:rPr>
          <w:rFonts w:eastAsia="Arial"/>
        </w:rPr>
        <w:t xml:space="preserve"> </w:t>
      </w:r>
      <w:r>
        <w:rPr>
          <w:rFonts w:eastAsia="Arial"/>
        </w:rPr>
        <w:t xml:space="preserve"> </w:t>
      </w:r>
      <w:sdt>
        <w:sdtPr>
          <w:rPr>
            <w:rFonts w:eastAsia="Arial"/>
            <w:color w:val="000000"/>
          </w:rPr>
          <w:tag w:val="MENDELEY_CITATION_v3_eyJjaXRhdGlvbklEIjoiTUVOREVMRVlfQ0lUQVRJT05fYjc2Y2M1MTAtOGJkMy00NDRkLWFmYzQtMGI1MzdmM2EwYTMyIiwicHJvcGVydGllcyI6eyJub3RlSW5kZXgiOjB9LCJpc0VkaXRlZCI6ZmFsc2UsIm1hbnVhbE92ZXJyaWRlIjp7ImlzTWFudWFsbHlPdmVycmlkZGVuIjp0cnVlLCJjaXRlcHJvY1RleHQiOiIoUmljY2lhcmRpIGV0IGFsLiwgMjAxNikiLCJtYW51YWxPdmVycmlkZVRleHQiOiJSaWNjaWFyZGkgZXQgYWwuICgyMDE2KSJ9LCJjaXRhdGlvbkl0ZW1zIjpb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V19"/>
          <w:id w:val="-1215656014"/>
          <w:placeholder>
            <w:docPart w:val="3BBE6AC8ADF92943B7103F1B75274D1A"/>
          </w:placeholder>
        </w:sdtPr>
        <w:sdtContent>
          <w:r w:rsidR="0047170A" w:rsidRPr="0047170A">
            <w:rPr>
              <w:rFonts w:eastAsia="Arial"/>
              <w:color w:val="000000"/>
            </w:rPr>
            <w:t>Ricciardi et al. (2016)</w:t>
          </w:r>
        </w:sdtContent>
      </w:sdt>
      <w:r w:rsidRPr="000E41ED">
        <w:rPr>
          <w:rFonts w:eastAsia="Arial"/>
        </w:rPr>
        <w:t xml:space="preserve"> reported decreased cardiac interoceptive accuracy in patients with motor </w:t>
      </w:r>
      <w:r>
        <w:rPr>
          <w:rFonts w:eastAsia="Arial"/>
        </w:rPr>
        <w:t>FNSD</w:t>
      </w:r>
      <w:r w:rsidRPr="000E41ED">
        <w:rPr>
          <w:rFonts w:eastAsia="Arial"/>
        </w:rPr>
        <w:t xml:space="preserve">, thought to reflect </w:t>
      </w:r>
      <w:r>
        <w:rPr>
          <w:rFonts w:eastAsia="Arial"/>
        </w:rPr>
        <w:t xml:space="preserve">an </w:t>
      </w:r>
      <w:r w:rsidRPr="000E41ED">
        <w:rPr>
          <w:rFonts w:eastAsia="Arial"/>
        </w:rPr>
        <w:t>awareness of interoceptive signals.</w:t>
      </w:r>
      <w:r>
        <w:rPr>
          <w:rFonts w:eastAsia="Arial"/>
        </w:rPr>
        <w:t xml:space="preserve"> </w:t>
      </w:r>
      <w:r w:rsidRPr="000E41ED">
        <w:rPr>
          <w:rFonts w:eastAsia="Arial"/>
        </w:rPr>
        <w:t xml:space="preserve">This study showed </w:t>
      </w:r>
      <w:r w:rsidRPr="000E41ED">
        <w:rPr>
          <w:rFonts w:eastAsia="Arial"/>
        </w:rPr>
        <w:lastRenderedPageBreak/>
        <w:t>that performance on the interoceptive sensitivity task was not associated with self-reported alexithymia, self-objectification or depression scores.</w:t>
      </w:r>
      <w:r>
        <w:rPr>
          <w:rFonts w:eastAsia="Arial"/>
        </w:rPr>
        <w:t xml:space="preserve"> Similarly</w:t>
      </w:r>
      <w:r w:rsidRPr="000E41ED">
        <w:rPr>
          <w:rFonts w:eastAsia="Arial"/>
        </w:rPr>
        <w:t xml:space="preserve">, </w:t>
      </w:r>
      <w:r>
        <w:rPr>
          <w:rFonts w:eastAsia="Arial"/>
        </w:rPr>
        <w:t xml:space="preserve"> </w:t>
      </w:r>
      <w:sdt>
        <w:sdtPr>
          <w:rPr>
            <w:rFonts w:eastAsia="Arial"/>
            <w:color w:val="000000"/>
          </w:rPr>
          <w:tag w:val="MENDELEY_CITATION_v3_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"/>
          <w:id w:val="-1000964264"/>
          <w:placeholder>
            <w:docPart w:val="3BBE6AC8ADF92943B7103F1B75274D1A"/>
          </w:placeholder>
        </w:sdtPr>
        <w:sdtContent>
          <w:r w:rsidR="0047170A" w:rsidRPr="0047170A">
            <w:rPr>
              <w:rFonts w:eastAsia="Arial"/>
              <w:color w:val="000000"/>
            </w:rPr>
            <w:t>I. A. Williams et al. (2021)</w:t>
          </w:r>
        </w:sdtContent>
      </w:sdt>
      <w:r>
        <w:rPr>
          <w:rFonts w:eastAsia="Arial"/>
        </w:rPr>
        <w:t xml:space="preserve"> </w:t>
      </w:r>
      <w:r w:rsidRPr="000E41ED">
        <w:rPr>
          <w:rFonts w:eastAsia="Arial"/>
        </w:rPr>
        <w:t xml:space="preserve">reported no significant associations between pre- and post- stress induction interoceptive sensitivity scores and self-reported emotion processing scores when examined within their </w:t>
      </w:r>
      <w:r>
        <w:rPr>
          <w:rFonts w:eastAsia="Arial"/>
        </w:rPr>
        <w:t>FNSD</w:t>
      </w:r>
      <w:r w:rsidRPr="000E41ED">
        <w:rPr>
          <w:rFonts w:eastAsia="Arial"/>
        </w:rPr>
        <w:t xml:space="preserve"> patient group and also interestingly within their healthy control group.</w:t>
      </w:r>
      <w:r w:rsidRPr="00722F4B">
        <w:rPr>
          <w:bdr w:val="none" w:sz="0" w:space="0" w:color="auto" w:frame="1"/>
          <w:shd w:val="clear" w:color="auto" w:fill="FFFFFF"/>
        </w:rPr>
        <w:t xml:space="preserve"> </w:t>
      </w:r>
    </w:p>
    <w:p w14:paraId="57249977" w14:textId="0E4089CD" w:rsidR="0060408E" w:rsidRPr="00646F2B" w:rsidRDefault="0060408E" w:rsidP="00DB19B8">
      <w:pPr>
        <w:autoSpaceDE w:val="0"/>
        <w:autoSpaceDN w:val="0"/>
        <w:adjustRightInd w:val="0"/>
        <w:rPr>
          <w:rFonts w:eastAsia="Arial"/>
        </w:rPr>
      </w:pPr>
      <w:r w:rsidRPr="00646F2B">
        <w:rPr>
          <w:rFonts w:eastAsia="Arial"/>
        </w:rPr>
        <w:t>In response to emotional stimuli, there were mixed results</w:t>
      </w:r>
      <w:r>
        <w:rPr>
          <w:rFonts w:eastAsia="Arial"/>
        </w:rPr>
        <w:t xml:space="preserve">. </w:t>
      </w:r>
      <w:sdt>
        <w:sdtPr>
          <w:rPr>
            <w:rFonts w:eastAsia="Arial"/>
            <w:color w:val="000000"/>
          </w:rPr>
          <w:tag w:val="MENDELEY_CITATION_v3_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"/>
          <w:id w:val="1768650225"/>
          <w:placeholder>
            <w:docPart w:val="3BBE6AC8ADF92943B7103F1B75274D1A"/>
          </w:placeholder>
        </w:sdtPr>
        <w:sdtContent>
          <w:proofErr w:type="spellStart"/>
          <w:r w:rsidR="0047170A" w:rsidRPr="0047170A">
            <w:rPr>
              <w:rFonts w:eastAsia="Arial"/>
              <w:color w:val="000000"/>
            </w:rPr>
            <w:t>Kotwas</w:t>
          </w:r>
          <w:proofErr w:type="spellEnd"/>
          <w:r w:rsidR="0047170A" w:rsidRPr="0047170A">
            <w:rPr>
              <w:rFonts w:eastAsia="Arial"/>
              <w:color w:val="000000"/>
            </w:rPr>
            <w:t xml:space="preserve"> et al. (2019)</w:t>
          </w:r>
        </w:sdtContent>
      </w:sdt>
      <w:r>
        <w:rPr>
          <w:rFonts w:eastAsia="Arial"/>
        </w:rPr>
        <w:t xml:space="preserve"> found no</w:t>
      </w:r>
      <w:r w:rsidRPr="00510946">
        <w:rPr>
          <w:rFonts w:eastAsia="Arial"/>
        </w:rPr>
        <w:t xml:space="preserve"> correlation</w:t>
      </w:r>
      <w:r>
        <w:rPr>
          <w:rFonts w:eastAsia="Arial"/>
        </w:rPr>
        <w:t>s between self-reported depression and</w:t>
      </w:r>
      <w:r w:rsidRPr="00510946">
        <w:rPr>
          <w:rFonts w:eastAsia="Arial"/>
        </w:rPr>
        <w:t xml:space="preserve"> anxiety</w:t>
      </w:r>
      <w:r>
        <w:rPr>
          <w:rFonts w:eastAsia="Arial"/>
        </w:rPr>
        <w:t xml:space="preserve"> scores with</w:t>
      </w:r>
      <w:r w:rsidRPr="00510946">
        <w:rPr>
          <w:rFonts w:eastAsia="Arial"/>
        </w:rPr>
        <w:t xml:space="preserve"> SCR</w:t>
      </w:r>
      <w:r>
        <w:rPr>
          <w:rFonts w:eastAsia="Arial"/>
        </w:rPr>
        <w:t xml:space="preserve"> measures in response to emotions induced by short film</w:t>
      </w:r>
      <w:r w:rsidRPr="00510946">
        <w:rPr>
          <w:rFonts w:eastAsia="Arial"/>
        </w:rPr>
        <w:t>.</w:t>
      </w:r>
      <w:r>
        <w:rPr>
          <w:rFonts w:eastAsia="Arial"/>
        </w:rPr>
        <w:t xml:space="preserve"> However, t</w:t>
      </w:r>
      <w:r w:rsidRPr="00510946">
        <w:rPr>
          <w:rFonts w:eastAsia="Arial"/>
        </w:rPr>
        <w:t>here was no report on subjective emotional intensity and SCR</w:t>
      </w:r>
      <w:r>
        <w:rPr>
          <w:rFonts w:eastAsia="Arial"/>
        </w:rPr>
        <w:t xml:space="preserve">. Meanwhile,  </w:t>
      </w:r>
      <w:sdt>
        <w:sdtPr>
          <w:rPr>
            <w:rFonts w:eastAsia="Arial"/>
            <w:color w:val="000000"/>
          </w:rPr>
          <w:tag w:val="MENDELEY_CITATION_v3_eyJjaXRhdGlvbklEIjoiTUVOREVMRVlfQ0lUQVRJT05fNjZmOWExODEtNTFiOC00YWNkLWFiNjktOGMzODY3ZDA4YmJkIiwicHJvcGVydGllcyI6eyJub3RlSW5kZXgiOjB9LCJpc0VkaXRlZCI6ZmFsc2UsIm1hbnVhbE92ZXJyaWRlIjp7ImlzTWFudWFsbHlPdmVycmlkZGVuIjp0cnVlLCJjaXRlcHJvY1RleHQiOiIoSGVycmVybyBldCBhbC4sIDIwMjApIiwibWFudWFsT3ZlcnJpZGVUZXh0IjoiSGVycmVybyBldCBhbC4gKDIwMjApIn0sImNpdGF0aW9uSXRlbXMiOlt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
          <w:id w:val="287243208"/>
          <w:placeholder>
            <w:docPart w:val="3BBE6AC8ADF92943B7103F1B75274D1A"/>
          </w:placeholder>
        </w:sdtPr>
        <w:sdtContent>
          <w:r w:rsidR="0047170A" w:rsidRPr="0047170A">
            <w:rPr>
              <w:rFonts w:eastAsia="Arial"/>
              <w:color w:val="000000"/>
            </w:rPr>
            <w:t>Herrero et al. (2020)</w:t>
          </w:r>
        </w:sdtContent>
      </w:sdt>
      <w:r w:rsidRPr="00646F2B">
        <w:rPr>
          <w:rFonts w:eastAsia="Arial"/>
        </w:rPr>
        <w:t xml:space="preserve"> specifically compared </w:t>
      </w:r>
      <w:r>
        <w:rPr>
          <w:rFonts w:eastAsia="Arial"/>
        </w:rPr>
        <w:t>female F.S. patients' physiological, cognitive, and behavioural emotional responses. The authors</w:t>
      </w:r>
      <w:r w:rsidRPr="00646F2B">
        <w:rPr>
          <w:rFonts w:eastAsia="Arial"/>
        </w:rPr>
        <w:t xml:space="preserve"> reported negative correlations between self-reported dissociation tendency and physiological responses (SCR and heart rate deceleration)</w:t>
      </w:r>
      <w:r>
        <w:rPr>
          <w:rFonts w:eastAsia="Arial"/>
        </w:rPr>
        <w:t>,</w:t>
      </w:r>
      <w:r w:rsidRPr="00646F2B">
        <w:rPr>
          <w:rFonts w:eastAsia="Arial"/>
        </w:rPr>
        <w:t xml:space="preserve"> while an alexithymia sub</w:t>
      </w:r>
      <w:r>
        <w:rPr>
          <w:rFonts w:eastAsia="Arial"/>
        </w:rPr>
        <w:t>-s</w:t>
      </w:r>
      <w:r w:rsidRPr="00646F2B">
        <w:rPr>
          <w:rFonts w:eastAsia="Arial"/>
        </w:rPr>
        <w:t>core (</w:t>
      </w:r>
      <w:r>
        <w:rPr>
          <w:rFonts w:eastAsia="Arial"/>
        </w:rPr>
        <w:t>'</w:t>
      </w:r>
      <w:r w:rsidRPr="00646F2B">
        <w:rPr>
          <w:rFonts w:eastAsia="Arial"/>
        </w:rPr>
        <w:t>Difficulty in describing feelings</w:t>
      </w:r>
      <w:r>
        <w:rPr>
          <w:rFonts w:eastAsia="Arial"/>
        </w:rPr>
        <w:t>"</w:t>
      </w:r>
      <w:r w:rsidRPr="00646F2B">
        <w:rPr>
          <w:rFonts w:eastAsia="Arial"/>
        </w:rPr>
        <w:t>) was negatively correlated with SCR rate, SCR latency, and heart rate deceleration for all images.</w:t>
      </w:r>
      <w:r>
        <w:rPr>
          <w:rFonts w:eastAsia="Arial"/>
        </w:rPr>
        <w:t xml:space="preserve"> </w:t>
      </w:r>
      <w:r w:rsidRPr="00646F2B">
        <w:rPr>
          <w:rFonts w:eastAsia="Arial"/>
        </w:rPr>
        <w:t xml:space="preserve">The authors </w:t>
      </w:r>
      <w:r>
        <w:rPr>
          <w:rFonts w:eastAsia="Arial"/>
        </w:rPr>
        <w:t xml:space="preserve">also </w:t>
      </w:r>
      <w:r w:rsidRPr="00646F2B">
        <w:rPr>
          <w:rFonts w:eastAsia="Arial"/>
        </w:rPr>
        <w:t xml:space="preserve">reported no significant correlations between </w:t>
      </w:r>
      <w:r>
        <w:rPr>
          <w:rFonts w:eastAsia="Arial"/>
        </w:rPr>
        <w:t>'</w:t>
      </w:r>
      <w:r w:rsidRPr="00646F2B">
        <w:rPr>
          <w:rFonts w:eastAsia="Arial"/>
        </w:rPr>
        <w:t>cognitive responses</w:t>
      </w:r>
      <w:r>
        <w:rPr>
          <w:rFonts w:eastAsia="Arial"/>
        </w:rPr>
        <w:t>'</w:t>
      </w:r>
      <w:r w:rsidRPr="00646F2B">
        <w:rPr>
          <w:rFonts w:eastAsia="Arial"/>
        </w:rPr>
        <w:t xml:space="preserve"> (measured by self-reported valence and arousal elicited by the images) and any of the other measures.</w:t>
      </w:r>
      <w:r>
        <w:rPr>
          <w:rFonts w:eastAsia="Arial"/>
        </w:rPr>
        <w:t xml:space="preserve"> </w:t>
      </w:r>
      <w:r w:rsidRPr="00646F2B">
        <w:rPr>
          <w:rFonts w:eastAsia="Arial"/>
        </w:rPr>
        <w:t xml:space="preserve">The significant results indicated lower physiological emotional response associated with a greater subjectively perceived response. </w:t>
      </w:r>
    </w:p>
    <w:p w14:paraId="32203BE7" w14:textId="77777777" w:rsidR="0060408E" w:rsidRPr="00646F2B" w:rsidRDefault="0060408E" w:rsidP="0060408E">
      <w:pPr>
        <w:numPr>
          <w:ilvl w:val="0"/>
          <w:numId w:val="27"/>
        </w:numPr>
        <w:rPr>
          <w:rFonts w:eastAsia="Arial"/>
        </w:rPr>
      </w:pPr>
      <w:r w:rsidRPr="00646F2B">
        <w:rPr>
          <w:rFonts w:eastAsia="Arial"/>
        </w:rPr>
        <w:t>Illness symptom burden</w:t>
      </w:r>
    </w:p>
    <w:p w14:paraId="19A6E64F" w14:textId="55071806" w:rsidR="0060408E" w:rsidRPr="002A1C02" w:rsidRDefault="0060408E" w:rsidP="00DB19B8">
      <w:pPr>
        <w:rPr>
          <w:rFonts w:eastAsia="Arial"/>
        </w:rPr>
      </w:pPr>
      <w:r>
        <w:rPr>
          <w:rFonts w:eastAsia="Arial"/>
        </w:rPr>
        <w:t>In the two</w:t>
      </w:r>
      <w:r w:rsidRPr="00646F2B">
        <w:rPr>
          <w:rFonts w:eastAsia="Arial"/>
        </w:rPr>
        <w:t xml:space="preserve"> studies categorised as assessing illness symptom burden</w:t>
      </w:r>
      <w:r>
        <w:rPr>
          <w:rFonts w:eastAsia="Arial"/>
        </w:rPr>
        <w:t xml:space="preserve">, </w:t>
      </w:r>
      <w:r>
        <w:rPr>
          <w:rFonts w:eastAsia="Arial"/>
          <w:i/>
          <w:iCs/>
        </w:rPr>
        <w:t xml:space="preserve"> </w:t>
      </w:r>
      <w:sdt>
        <w:sdtPr>
          <w:rPr>
            <w:rFonts w:eastAsia="Arial"/>
            <w:iCs/>
            <w:color w:val="000000"/>
          </w:rPr>
          <w:tag w:val="MENDELEY_CITATION_v3_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"/>
          <w:id w:val="-516848597"/>
          <w:placeholder>
            <w:docPart w:val="3BBE6AC8ADF92943B7103F1B75274D1A"/>
          </w:placeholder>
        </w:sdtPr>
        <w:sdtContent>
          <w:proofErr w:type="spellStart"/>
          <w:r w:rsidR="0047170A" w:rsidRPr="0047170A">
            <w:rPr>
              <w:rFonts w:eastAsia="Arial"/>
              <w:iCs/>
              <w:color w:val="000000"/>
            </w:rPr>
            <w:t>Pareés</w:t>
          </w:r>
          <w:proofErr w:type="spellEnd"/>
          <w:r w:rsidR="0047170A" w:rsidRPr="0047170A">
            <w:rPr>
              <w:rFonts w:eastAsia="Arial"/>
              <w:iCs/>
              <w:color w:val="000000"/>
            </w:rPr>
            <w:t xml:space="preserve"> et al. (2012)</w:t>
          </w:r>
        </w:sdtContent>
      </w:sdt>
      <w:r>
        <w:rPr>
          <w:rFonts w:eastAsia="Arial"/>
        </w:rPr>
        <w:t xml:space="preserve">  and</w:t>
      </w:r>
      <w:r>
        <w:rPr>
          <w:rFonts w:eastAsia="Arial"/>
          <w:i/>
          <w:iCs/>
        </w:rPr>
        <w:t xml:space="preserve">  </w:t>
      </w:r>
      <w:sdt>
        <w:sdtPr>
          <w:rPr>
            <w:rFonts w:eastAsia="Arial"/>
            <w:iCs/>
            <w:color w:val="000000"/>
          </w:rPr>
          <w:tag w:val="MENDELEY_CITATION_v3_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"/>
          <w:id w:val="1357464103"/>
          <w:placeholder>
            <w:docPart w:val="3BBE6AC8ADF92943B7103F1B75274D1A"/>
          </w:placeholder>
        </w:sdtPr>
        <w:sdtContent>
          <w:r w:rsidR="0047170A" w:rsidRPr="0047170A">
            <w:rPr>
              <w:rFonts w:eastAsia="Arial"/>
              <w:iCs/>
              <w:color w:val="000000"/>
            </w:rPr>
            <w:t>Kramer et al. (2019)</w:t>
          </w:r>
        </w:sdtContent>
      </w:sdt>
      <w:r>
        <w:rPr>
          <w:rFonts w:eastAsia="Arial"/>
          <w:i/>
          <w:iCs/>
        </w:rPr>
        <w:t xml:space="preserve"> </w:t>
      </w:r>
      <w:r>
        <w:rPr>
          <w:rFonts w:eastAsia="Arial"/>
        </w:rPr>
        <w:t xml:space="preserve"> compared objectively measured tremor using an actigraphy watch with patient self-report of tremor burden and reported inconsistent results. </w:t>
      </w:r>
      <w:sdt>
        <w:sdtPr>
          <w:rPr>
            <w:rFonts w:eastAsia="Arial"/>
            <w:iCs/>
            <w:color w:val="000000"/>
          </w:rPr>
          <w:tag w:val="MENDELEY_CITATION_v3_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"/>
          <w:id w:val="-641888580"/>
          <w:placeholder>
            <w:docPart w:val="3BBE6AC8ADF92943B7103F1B75274D1A"/>
          </w:placeholder>
        </w:sdtPr>
        <w:sdtContent>
          <w:proofErr w:type="spellStart"/>
          <w:r w:rsidR="0047170A" w:rsidRPr="0047170A">
            <w:rPr>
              <w:rFonts w:eastAsia="Arial"/>
              <w:iCs/>
              <w:color w:val="000000"/>
            </w:rPr>
            <w:t>Pareés</w:t>
          </w:r>
          <w:proofErr w:type="spellEnd"/>
          <w:r w:rsidR="0047170A" w:rsidRPr="0047170A">
            <w:rPr>
              <w:rFonts w:eastAsia="Arial"/>
              <w:iCs/>
              <w:color w:val="000000"/>
            </w:rPr>
            <w:t xml:space="preserve"> et al. (2012)</w:t>
          </w:r>
        </w:sdtContent>
      </w:sdt>
      <w:r>
        <w:rPr>
          <w:rFonts w:eastAsia="Arial"/>
        </w:rPr>
        <w:t xml:space="preserve">  found that functional patients reported tremors 84% of the day, while the actigraphy watch recorded tremors for only 4% of the day. The overreporting of symptoms was nearly twenty-fold in these patients and substantially mismatched between the subjective, and objective measures. This also contrasted significantly with the findings from organic patients in the same study, who self-reported tremors for 58% of the day, while the actigraphy watch recorded tremors for 25%, just over a two-fold overreporting of symptoms. However, </w:t>
      </w:r>
      <w:r>
        <w:rPr>
          <w:rFonts w:eastAsia="Arial"/>
          <w:i/>
          <w:iCs/>
        </w:rPr>
        <w:t xml:space="preserve"> </w:t>
      </w:r>
      <w:sdt>
        <w:sdtPr>
          <w:rPr>
            <w:rFonts w:eastAsia="Arial"/>
            <w:iCs/>
            <w:color w:val="000000"/>
          </w:rPr>
          <w:tag w:val="MENDELEY_CITATION_v3_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"/>
          <w:id w:val="-318273815"/>
          <w:placeholder>
            <w:docPart w:val="3BBE6AC8ADF92943B7103F1B75274D1A"/>
          </w:placeholder>
        </w:sdtPr>
        <w:sdtContent>
          <w:r w:rsidR="0047170A" w:rsidRPr="0047170A">
            <w:rPr>
              <w:rFonts w:eastAsia="Arial"/>
              <w:iCs/>
              <w:color w:val="000000"/>
            </w:rPr>
            <w:t>Kramer et al. (2019)</w:t>
          </w:r>
        </w:sdtContent>
      </w:sdt>
      <w:r>
        <w:rPr>
          <w:rFonts w:eastAsia="Arial"/>
          <w:i/>
          <w:iCs/>
        </w:rPr>
        <w:t xml:space="preserve"> </w:t>
      </w:r>
      <w:r>
        <w:rPr>
          <w:rFonts w:eastAsia="Arial"/>
        </w:rPr>
        <w:t xml:space="preserve"> </w:t>
      </w:r>
      <w:r w:rsidRPr="002A1C02">
        <w:rPr>
          <w:rFonts w:eastAsia="Arial"/>
        </w:rPr>
        <w:t>reported</w:t>
      </w:r>
      <w:r>
        <w:rPr>
          <w:rFonts w:eastAsia="Arial"/>
        </w:rPr>
        <w:t xml:space="preserve"> no significant difference between the o</w:t>
      </w:r>
      <w:r w:rsidRPr="00093694">
        <w:rPr>
          <w:rFonts w:eastAsia="Arial"/>
        </w:rPr>
        <w:t xml:space="preserve">bjective tremor duration </w:t>
      </w:r>
      <w:r>
        <w:rPr>
          <w:rFonts w:eastAsia="Arial"/>
        </w:rPr>
        <w:t xml:space="preserve">(21.6% of the time) </w:t>
      </w:r>
      <w:r w:rsidRPr="00093694">
        <w:rPr>
          <w:rFonts w:eastAsia="Arial"/>
        </w:rPr>
        <w:t>and subjective symptom burden</w:t>
      </w:r>
      <w:r>
        <w:rPr>
          <w:rFonts w:eastAsia="Arial"/>
        </w:rPr>
        <w:t xml:space="preserve"> (38.72, as measured on a 0-100 VAS) in functional patients. Unlike </w:t>
      </w:r>
      <w:r>
        <w:rPr>
          <w:rFonts w:eastAsia="Arial"/>
          <w:i/>
          <w:iCs/>
        </w:rPr>
        <w:t xml:space="preserve"> </w:t>
      </w:r>
      <w:sdt>
        <w:sdtPr>
          <w:rPr>
            <w:rFonts w:eastAsia="Arial"/>
            <w:iCs/>
            <w:color w:val="000000"/>
          </w:rPr>
          <w:tag w:val="MENDELEY_CITATION_v3_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"/>
          <w:id w:val="1793704182"/>
          <w:placeholder>
            <w:docPart w:val="3BBE6AC8ADF92943B7103F1B75274D1A"/>
          </w:placeholder>
        </w:sdtPr>
        <w:sdtContent>
          <w:proofErr w:type="spellStart"/>
          <w:r w:rsidR="0047170A" w:rsidRPr="0047170A">
            <w:rPr>
              <w:rFonts w:eastAsia="Arial"/>
              <w:iCs/>
              <w:color w:val="000000"/>
            </w:rPr>
            <w:t>Pareés</w:t>
          </w:r>
          <w:proofErr w:type="spellEnd"/>
          <w:r w:rsidR="0047170A" w:rsidRPr="0047170A">
            <w:rPr>
              <w:rFonts w:eastAsia="Arial"/>
              <w:iCs/>
              <w:color w:val="000000"/>
            </w:rPr>
            <w:t xml:space="preserve"> et al. (2012)</w:t>
          </w:r>
        </w:sdtContent>
      </w:sdt>
      <w:r>
        <w:rPr>
          <w:rFonts w:eastAsia="Arial"/>
        </w:rPr>
        <w:t xml:space="preserve">, they found no difference between the </w:t>
      </w:r>
      <w:r>
        <w:rPr>
          <w:rFonts w:eastAsia="Arial"/>
        </w:rPr>
        <w:lastRenderedPageBreak/>
        <w:t xml:space="preserve">functional and organic patient groups regarding the associations between subjective and objective symptoms. </w:t>
      </w:r>
    </w:p>
    <w:p w14:paraId="32DE32ED" w14:textId="1499FF4E" w:rsidR="0060408E" w:rsidRPr="00624781" w:rsidRDefault="004D26BD" w:rsidP="004D26BD">
      <w:pPr>
        <w:pStyle w:val="Heading2"/>
        <w:rPr>
          <w:rFonts w:eastAsia="Arial"/>
        </w:rPr>
      </w:pPr>
      <w:bookmarkStart w:id="58" w:name="_3j2qqm3" w:colFirst="0" w:colLast="0"/>
      <w:bookmarkStart w:id="59" w:name="_Toc137504690"/>
      <w:bookmarkEnd w:id="58"/>
      <w:r>
        <w:rPr>
          <w:rFonts w:eastAsia="Arial"/>
        </w:rPr>
        <w:t>2.6</w:t>
      </w:r>
      <w:r w:rsidR="0060408E" w:rsidRPr="00B57C06">
        <w:rPr>
          <w:rFonts w:eastAsia="Arial"/>
        </w:rPr>
        <w:t xml:space="preserve"> Discussion</w:t>
      </w:r>
      <w:bookmarkEnd w:id="59"/>
    </w:p>
    <w:p w14:paraId="115479DA" w14:textId="77777777" w:rsidR="0060408E" w:rsidRDefault="0060408E" w:rsidP="00DB19B8">
      <w:pPr>
        <w:rPr>
          <w:rFonts w:eastAsia="Arial"/>
        </w:rPr>
      </w:pPr>
      <w:r w:rsidRPr="002A1C02">
        <w:rPr>
          <w:rFonts w:eastAsia="Arial"/>
        </w:rPr>
        <w:t xml:space="preserve">Our review revealed no close or consistent relationship between subjective and objective approaches to </w:t>
      </w:r>
      <w:r>
        <w:rPr>
          <w:rFonts w:eastAsia="Arial"/>
        </w:rPr>
        <w:t>measuring</w:t>
      </w:r>
      <w:r w:rsidRPr="002A1C02">
        <w:rPr>
          <w:rFonts w:eastAsia="Arial"/>
        </w:rPr>
        <w:t xml:space="preserve"> study outcomes relating to stress, distress and arousal or symptoms burden in patients with </w:t>
      </w:r>
      <w:r>
        <w:rPr>
          <w:rFonts w:eastAsia="Arial"/>
        </w:rPr>
        <w:t>FNSD</w:t>
      </w:r>
      <w:r w:rsidRPr="002A1C02">
        <w:rPr>
          <w:rFonts w:eastAsia="Arial"/>
        </w:rPr>
        <w:t>.</w:t>
      </w:r>
      <w:r>
        <w:rPr>
          <w:rFonts w:eastAsia="Arial"/>
        </w:rPr>
        <w:t xml:space="preserve"> </w:t>
      </w:r>
      <w:r w:rsidRPr="002A1C02">
        <w:rPr>
          <w:rFonts w:eastAsia="Arial"/>
        </w:rPr>
        <w:t>The few significant correlations identified between measures lacked a distinct or conclusive pattern when evaluated across primary study outcome categories (stress response, emotion processing and illness symptom burden)</w:t>
      </w:r>
      <w:r>
        <w:rPr>
          <w:rFonts w:eastAsia="Arial"/>
        </w:rPr>
        <w:t xml:space="preserve">. </w:t>
      </w:r>
      <w:r w:rsidRPr="006A01CC">
        <w:rPr>
          <w:rFonts w:eastAsia="Arial"/>
        </w:rPr>
        <w:t xml:space="preserve">While demonstrating a lack of close correlation </w:t>
      </w:r>
      <w:r>
        <w:rPr>
          <w:rFonts w:eastAsia="Arial"/>
        </w:rPr>
        <w:t>between</w:t>
      </w:r>
      <w:r w:rsidRPr="006A01CC">
        <w:rPr>
          <w:rFonts w:eastAsia="Arial"/>
        </w:rPr>
        <w:t xml:space="preserve"> objective and subjective state or outcome measures in patients with </w:t>
      </w:r>
      <w:r>
        <w:rPr>
          <w:rFonts w:eastAsia="Arial"/>
        </w:rPr>
        <w:t>FNSD</w:t>
      </w:r>
      <w:r w:rsidRPr="006A01CC">
        <w:rPr>
          <w:rFonts w:eastAsia="Arial"/>
        </w:rPr>
        <w:t xml:space="preserve">, our review </w:t>
      </w:r>
      <w:r>
        <w:rPr>
          <w:rFonts w:eastAsia="Arial"/>
        </w:rPr>
        <w:t xml:space="preserve">gives some indication of specific research scenarios in which </w:t>
      </w:r>
      <w:r w:rsidRPr="00D762E5">
        <w:rPr>
          <w:rFonts w:eastAsia="Arial"/>
        </w:rPr>
        <w:t>findings from subjective/objective approaches correlate with each other</w:t>
      </w:r>
      <w:r>
        <w:rPr>
          <w:rFonts w:eastAsia="Arial"/>
        </w:rPr>
        <w:t xml:space="preserve">. Our review cannot answer </w:t>
      </w:r>
      <w:r w:rsidRPr="00D762E5">
        <w:rPr>
          <w:rFonts w:eastAsia="Arial"/>
        </w:rPr>
        <w:t>whether one approach provides a more accurate and/or clinically meaningful picture than the other</w:t>
      </w:r>
      <w:r>
        <w:rPr>
          <w:rFonts w:eastAsia="Arial"/>
        </w:rPr>
        <w:t xml:space="preserve">. </w:t>
      </w:r>
      <w:r w:rsidRPr="006A01CC">
        <w:rPr>
          <w:rFonts w:eastAsia="Arial"/>
        </w:rPr>
        <w:t>Indeed, given that subjective and objective measures assess different – but equally valid – constructs, this question would be impossible to answer.</w:t>
      </w:r>
      <w:r>
        <w:rPr>
          <w:rFonts w:eastAsia="Arial"/>
        </w:rPr>
        <w:t xml:space="preserve"> </w:t>
      </w:r>
      <w:r w:rsidRPr="006A01CC">
        <w:rPr>
          <w:rFonts w:eastAsia="Arial"/>
        </w:rPr>
        <w:t xml:space="preserve">The most appropriate kind of measure will depend on the question asked or </w:t>
      </w:r>
      <w:r>
        <w:rPr>
          <w:rFonts w:eastAsia="Arial"/>
        </w:rPr>
        <w:t xml:space="preserve">the </w:t>
      </w:r>
      <w:r w:rsidRPr="006A01CC">
        <w:rPr>
          <w:rFonts w:eastAsia="Arial"/>
        </w:rPr>
        <w:t xml:space="preserve">hypothesis </w:t>
      </w:r>
      <w:r>
        <w:rPr>
          <w:rFonts w:eastAsia="Arial"/>
        </w:rPr>
        <w:t xml:space="preserve">to be </w:t>
      </w:r>
      <w:r w:rsidRPr="006A01CC">
        <w:rPr>
          <w:rFonts w:eastAsia="Arial"/>
        </w:rPr>
        <w:t xml:space="preserve">tested. </w:t>
      </w:r>
    </w:p>
    <w:p w14:paraId="70D36C2C" w14:textId="2A922AD9" w:rsidR="0060408E" w:rsidRPr="006A01CC" w:rsidRDefault="0060408E" w:rsidP="00DB19B8">
      <w:pPr>
        <w:rPr>
          <w:rFonts w:eastAsia="Arial"/>
        </w:rPr>
      </w:pPr>
      <w:r>
        <w:rPr>
          <w:rFonts w:eastAsia="Arial"/>
        </w:rPr>
        <w:t xml:space="preserve">In extracting findings from measures of stress, distress and arousal as in this review, it is important to consider the relationship between stress and arousal to FNSDs. Given our findings, it is possible that stress, arousal, and distress constructs are not directly or equally associated with FNSD symptom/objective burden or even FNSD </w:t>
      </w:r>
      <w:r w:rsidR="00596BAD">
        <w:rPr>
          <w:rFonts w:eastAsia="Arial"/>
        </w:rPr>
        <w:t>a</w:t>
      </w:r>
      <w:r>
        <w:rPr>
          <w:rFonts w:eastAsia="Arial"/>
        </w:rPr>
        <w:t xml:space="preserve">etiology, but perhaps more peripherally related to FNSDs in varying degrees. As such, the measures used to capture these concepts may not be responsible for the discrepancy observed in this review. </w:t>
      </w:r>
      <w:r w:rsidRPr="006A01CC">
        <w:rPr>
          <w:rFonts w:eastAsia="Arial"/>
        </w:rPr>
        <w:t xml:space="preserve">In scenarios </w:t>
      </w:r>
      <w:r>
        <w:rPr>
          <w:rFonts w:eastAsia="Arial"/>
        </w:rPr>
        <w:t xml:space="preserve">where a comprehensive understanding of a patient's health and functional state is required, the lack of consistent correlation means that both </w:t>
      </w:r>
      <w:r w:rsidRPr="006A01CC">
        <w:rPr>
          <w:rFonts w:eastAsia="Arial"/>
        </w:rPr>
        <w:t xml:space="preserve">measures </w:t>
      </w:r>
      <w:r>
        <w:rPr>
          <w:rFonts w:eastAsia="Arial"/>
        </w:rPr>
        <w:t xml:space="preserve">should be used because they </w:t>
      </w:r>
      <w:r w:rsidRPr="006A01CC">
        <w:rPr>
          <w:rFonts w:eastAsia="Arial"/>
        </w:rPr>
        <w:t xml:space="preserve">yield complementary information. </w:t>
      </w:r>
    </w:p>
    <w:p w14:paraId="79E9B4DD" w14:textId="59791383" w:rsidR="0060408E" w:rsidRPr="006A01CC" w:rsidRDefault="0060408E" w:rsidP="00DB19B8">
      <w:pPr>
        <w:rPr>
          <w:rFonts w:eastAsia="Arial"/>
        </w:rPr>
      </w:pPr>
      <w:r>
        <w:rPr>
          <w:rFonts w:eastAsia="Arial"/>
        </w:rPr>
        <w:t>Given</w:t>
      </w:r>
      <w:r w:rsidRPr="006A01CC">
        <w:rPr>
          <w:rFonts w:eastAsia="Arial"/>
        </w:rPr>
        <w:t xml:space="preserve"> the conceptualised links between stress, distress, arousal and emotion dysregulation and </w:t>
      </w:r>
      <w:r>
        <w:rPr>
          <w:rFonts w:eastAsia="Arial"/>
        </w:rPr>
        <w:t>F.S.</w:t>
      </w:r>
      <w:r w:rsidRPr="006A01CC">
        <w:rPr>
          <w:rFonts w:eastAsia="Arial"/>
        </w:rPr>
        <w:t xml:space="preserve"> or </w:t>
      </w:r>
      <w:r>
        <w:rPr>
          <w:rFonts w:eastAsia="Arial"/>
        </w:rPr>
        <w:t xml:space="preserve">FNSD </w:t>
      </w:r>
      <w:sdt>
        <w:sdtPr>
          <w:rPr>
            <w:rFonts w:eastAsia="Arial"/>
            <w:color w:val="000000"/>
          </w:rPr>
          <w:tag w:val="MENDELEY_CITATION_v3_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"/>
          <w:id w:val="992690565"/>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Keynejad</w:t>
          </w:r>
          <w:proofErr w:type="spellEnd"/>
          <w:r w:rsidR="0047170A" w:rsidRPr="0047170A">
            <w:rPr>
              <w:rFonts w:eastAsia="Arial"/>
              <w:color w:val="000000"/>
            </w:rPr>
            <w:t xml:space="preserve"> et al., 2019; Pick et al., 2019; Sojka et al., 2018)</w:t>
          </w:r>
        </w:sdtContent>
      </w:sdt>
      <w:r w:rsidRPr="006A01CC">
        <w:rPr>
          <w:rFonts w:eastAsia="Arial"/>
        </w:rPr>
        <w:t xml:space="preserve">, the lack of a closer correlation between subjective and objective measures of these features </w:t>
      </w:r>
      <w:r>
        <w:rPr>
          <w:rFonts w:eastAsia="Arial"/>
        </w:rPr>
        <w:t xml:space="preserve">may be surprising, </w:t>
      </w:r>
      <w:r w:rsidRPr="006A01CC">
        <w:rPr>
          <w:rFonts w:eastAsia="Arial"/>
        </w:rPr>
        <w:t xml:space="preserve">especially as previous large prospective cohort and case-control studies </w:t>
      </w:r>
      <w:r>
        <w:rPr>
          <w:rFonts w:eastAsia="Arial"/>
        </w:rPr>
        <w:t xml:space="preserve">in other populations </w:t>
      </w:r>
      <w:r w:rsidRPr="006A01CC">
        <w:rPr>
          <w:rFonts w:eastAsia="Arial"/>
        </w:rPr>
        <w:t xml:space="preserve">have demonstrated clear associations </w:t>
      </w:r>
      <w:r w:rsidRPr="006A01CC">
        <w:rPr>
          <w:rFonts w:eastAsia="Arial"/>
        </w:rPr>
        <w:lastRenderedPageBreak/>
        <w:t xml:space="preserve">between self-reported stress and objective </w:t>
      </w:r>
      <w:r>
        <w:rPr>
          <w:rFonts w:eastAsia="Arial"/>
        </w:rPr>
        <w:t xml:space="preserve">long-term </w:t>
      </w:r>
      <w:r w:rsidRPr="006A01CC">
        <w:rPr>
          <w:rFonts w:eastAsia="Arial"/>
        </w:rPr>
        <w:t>outcomes such as mortality or rates of medical disease</w:t>
      </w:r>
      <w:r>
        <w:rPr>
          <w:rFonts w:eastAsia="Arial"/>
        </w:rPr>
        <w:t xml:space="preserve"> </w:t>
      </w:r>
      <w:sdt>
        <w:sdtPr>
          <w:rPr>
            <w:rFonts w:eastAsia="Arial"/>
            <w:color w:val="000000"/>
          </w:rPr>
          <w:tag w:val="MENDELEY_CITATION_v3_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"/>
          <w:id w:val="-1686831348"/>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Keynejad</w:t>
          </w:r>
          <w:proofErr w:type="spellEnd"/>
          <w:r w:rsidR="0047170A" w:rsidRPr="0047170A">
            <w:rPr>
              <w:rFonts w:eastAsia="Arial"/>
              <w:color w:val="000000"/>
            </w:rPr>
            <w:t xml:space="preserve"> et al., 2019)</w:t>
          </w:r>
        </w:sdtContent>
      </w:sdt>
      <w:r w:rsidRPr="006A01CC">
        <w:rPr>
          <w:rFonts w:eastAsia="Arial"/>
        </w:rPr>
        <w:t xml:space="preserve">. </w:t>
      </w:r>
    </w:p>
    <w:p w14:paraId="15CC7D3F" w14:textId="2402890D" w:rsidR="0060408E" w:rsidRPr="006A01CC" w:rsidRDefault="0060408E" w:rsidP="00DB19B8">
      <w:pPr>
        <w:rPr>
          <w:rFonts w:eastAsia="Arial"/>
        </w:rPr>
      </w:pPr>
      <w:r w:rsidRPr="006A01CC">
        <w:rPr>
          <w:rFonts w:eastAsia="Arial"/>
        </w:rPr>
        <w:t xml:space="preserve">Recent thinking about the cognitive processes associated with </w:t>
      </w:r>
      <w:r>
        <w:rPr>
          <w:rFonts w:eastAsia="Arial"/>
        </w:rPr>
        <w:t>FNSD</w:t>
      </w:r>
      <w:r w:rsidRPr="006A01CC">
        <w:rPr>
          <w:rFonts w:eastAsia="Arial"/>
        </w:rPr>
        <w:t xml:space="preserve"> proposes two important mechanistic factors: self</w:t>
      </w:r>
      <w:r w:rsidRPr="006A01CC">
        <w:rPr>
          <w:rFonts w:eastAsia="Cambria Math"/>
        </w:rPr>
        <w:t>‐</w:t>
      </w:r>
      <w:r w:rsidRPr="006A01CC">
        <w:rPr>
          <w:rFonts w:eastAsia="Arial"/>
        </w:rPr>
        <w:t>focused attention and brain</w:t>
      </w:r>
      <w:r w:rsidRPr="006A01CC">
        <w:rPr>
          <w:rFonts w:eastAsia="Cambria Math"/>
        </w:rPr>
        <w:t>‐</w:t>
      </w:r>
      <w:r w:rsidRPr="006A01CC">
        <w:rPr>
          <w:rFonts w:eastAsia="Arial"/>
        </w:rPr>
        <w:t>expectations which infer that top</w:t>
      </w:r>
      <w:r w:rsidRPr="006A01CC">
        <w:rPr>
          <w:rFonts w:eastAsia="Cambria Math"/>
        </w:rPr>
        <w:t>‐</w:t>
      </w:r>
      <w:r w:rsidRPr="006A01CC">
        <w:rPr>
          <w:rFonts w:eastAsia="Arial"/>
        </w:rPr>
        <w:t>down influences, and prior beliefs are likely to modify any bottom</w:t>
      </w:r>
      <w:r w:rsidRPr="006A01CC">
        <w:rPr>
          <w:rFonts w:eastAsia="Cambria Math"/>
        </w:rPr>
        <w:t>‐</w:t>
      </w:r>
      <w:r w:rsidRPr="006A01CC">
        <w:rPr>
          <w:rFonts w:eastAsia="Arial"/>
        </w:rPr>
        <w:t>up sensory information</w:t>
      </w:r>
      <w:r>
        <w:rPr>
          <w:rFonts w:eastAsia="Arial"/>
        </w:rPr>
        <w:t xml:space="preserve"> </w:t>
      </w:r>
      <w:sdt>
        <w:sdtPr>
          <w:rPr>
            <w:rFonts w:eastAsia="Arial"/>
            <w:color w:val="000000"/>
          </w:rPr>
          <w:tag w:val="MENDELEY_CITATION_v3_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"/>
          <w:id w:val="1335488296"/>
          <w:placeholder>
            <w:docPart w:val="3BBE6AC8ADF92943B7103F1B75274D1A"/>
          </w:placeholder>
        </w:sdtPr>
        <w:sdtContent>
          <w:r w:rsidR="0047170A" w:rsidRPr="0047170A">
            <w:rPr>
              <w:rFonts w:eastAsia="Arial"/>
              <w:color w:val="000000"/>
            </w:rPr>
            <w:t>(M. J. Edwards et al., 2012)</w:t>
          </w:r>
        </w:sdtContent>
      </w:sdt>
      <w:r w:rsidRPr="006A01CC">
        <w:rPr>
          <w:rFonts w:eastAsia="Arial"/>
        </w:rPr>
        <w:t>.</w:t>
      </w:r>
      <w:r>
        <w:rPr>
          <w:rFonts w:eastAsia="Arial"/>
        </w:rPr>
        <w:t xml:space="preserve"> </w:t>
      </w:r>
      <w:r w:rsidRPr="006A01CC">
        <w:rPr>
          <w:rFonts w:eastAsia="Arial"/>
        </w:rPr>
        <w:t xml:space="preserve">Several of the reviewed studies provided evidence for an impaired interoceptive awareness in </w:t>
      </w:r>
      <w:r>
        <w:rPr>
          <w:rFonts w:eastAsia="Arial"/>
        </w:rPr>
        <w:t xml:space="preserve">FNSD </w:t>
      </w:r>
      <w:sdt>
        <w:sdtPr>
          <w:rPr>
            <w:rFonts w:eastAsia="Arial"/>
            <w:color w:val="000000"/>
          </w:rPr>
          <w:tag w:val="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"/>
          <w:id w:val="-763753266"/>
          <w:placeholder>
            <w:docPart w:val="3BBE6AC8ADF92943B7103F1B75274D1A"/>
          </w:placeholder>
        </w:sdtPr>
        <w:sdtContent>
          <w:r w:rsidR="0047170A" w:rsidRPr="0047170A">
            <w:rPr>
              <w:rFonts w:eastAsia="Arial"/>
              <w:color w:val="000000"/>
            </w:rPr>
            <w:t xml:space="preserve">(Demartini et al., 2016; </w:t>
          </w:r>
          <w:proofErr w:type="spellStart"/>
          <w:r w:rsidR="0047170A" w:rsidRPr="0047170A">
            <w:rPr>
              <w:rFonts w:eastAsia="Arial"/>
              <w:color w:val="000000"/>
            </w:rPr>
            <w:t>Koreki</w:t>
          </w:r>
          <w:proofErr w:type="spellEnd"/>
          <w:r w:rsidR="0047170A" w:rsidRPr="0047170A">
            <w:rPr>
              <w:rFonts w:eastAsia="Arial"/>
              <w:color w:val="000000"/>
            </w:rPr>
            <w:t xml:space="preserve"> et al., 2020; Ricciardi et al., 2016)</w:t>
          </w:r>
        </w:sdtContent>
      </w:sdt>
      <w:r w:rsidRPr="006A01CC">
        <w:rPr>
          <w:rFonts w:eastAsia="Arial"/>
        </w:rPr>
        <w:t>.</w:t>
      </w:r>
      <w:r>
        <w:rPr>
          <w:rFonts w:eastAsia="Arial"/>
        </w:rPr>
        <w:t xml:space="preserve"> </w:t>
      </w:r>
      <w:r w:rsidRPr="006A01CC">
        <w:rPr>
          <w:rFonts w:eastAsia="Arial"/>
        </w:rPr>
        <w:t xml:space="preserve">Similarly, abnormal symptom perception, body-centred attention and the subsequent tendency to interpret bodily sensations </w:t>
      </w:r>
      <w:r>
        <w:rPr>
          <w:rFonts w:eastAsia="Arial"/>
        </w:rPr>
        <w:t>negatively</w:t>
      </w:r>
      <w:r w:rsidRPr="006A01CC">
        <w:rPr>
          <w:rFonts w:eastAsia="Arial"/>
        </w:rPr>
        <w:t xml:space="preserve"> have been reported in other </w:t>
      </w:r>
      <w:r>
        <w:rPr>
          <w:rFonts w:eastAsia="Arial"/>
        </w:rPr>
        <w:t>FNSD</w:t>
      </w:r>
      <w:r w:rsidRPr="006A01CC">
        <w:rPr>
          <w:rFonts w:eastAsia="Arial"/>
        </w:rPr>
        <w:t>s</w:t>
      </w:r>
      <w:r>
        <w:rPr>
          <w:rFonts w:eastAsia="Arial"/>
        </w:rPr>
        <w:t xml:space="preserve"> </w:t>
      </w:r>
      <w:sdt>
        <w:sdtPr>
          <w:rPr>
            <w:rFonts w:eastAsia="Arial"/>
          </w:rPr>
          <w:tag w:val="MENDELEY_CITATION_v3_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"/>
          <w:id w:val="319081280"/>
          <w:placeholder>
            <w:docPart w:val="3BBE6AC8ADF92943B7103F1B75274D1A"/>
          </w:placeholder>
        </w:sdtPr>
        <w:sdtContent>
          <w:r w:rsidR="0047170A">
            <w:rPr>
              <w:rFonts w:eastAsia="Times New Roman"/>
            </w:rPr>
            <w:t xml:space="preserve">(Gupta &amp; Lang, 2009; </w:t>
          </w:r>
          <w:proofErr w:type="spellStart"/>
          <w:r w:rsidR="0047170A">
            <w:rPr>
              <w:rFonts w:eastAsia="Times New Roman"/>
            </w:rPr>
            <w:t>Pareés</w:t>
          </w:r>
          <w:proofErr w:type="spellEnd"/>
          <w:r w:rsidR="0047170A">
            <w:rPr>
              <w:rFonts w:eastAsia="Times New Roman"/>
            </w:rPr>
            <w:t xml:space="preserve"> et al., 2012)</w:t>
          </w:r>
        </w:sdtContent>
      </w:sdt>
      <w:r w:rsidRPr="006A01CC">
        <w:rPr>
          <w:rFonts w:eastAsia="Arial"/>
        </w:rPr>
        <w:t xml:space="preserve">  as well as several related functional conditions including chronic pain, somatoform disorders, fatigue, health anxiety and hypochondriasis</w:t>
      </w:r>
      <w:r>
        <w:rPr>
          <w:rFonts w:eastAsia="Arial"/>
        </w:rPr>
        <w:t xml:space="preserve"> </w:t>
      </w:r>
      <w:sdt>
        <w:sdtPr>
          <w:rPr>
            <w:rFonts w:eastAsia="Arial"/>
          </w:rPr>
          <w:tag w:val="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"/>
          <w:id w:val="-1096629922"/>
          <w:placeholder>
            <w:docPart w:val="3BBE6AC8ADF92943B7103F1B75274D1A"/>
          </w:placeholder>
        </w:sdtPr>
        <w:sdtContent>
          <w:r w:rsidR="0047170A">
            <w:rPr>
              <w:rFonts w:eastAsia="Times New Roman"/>
            </w:rPr>
            <w:t>(</w:t>
          </w:r>
          <w:proofErr w:type="spellStart"/>
          <w:r w:rsidR="0047170A">
            <w:rPr>
              <w:rFonts w:eastAsia="Times New Roman"/>
            </w:rPr>
            <w:t>Goedendorp</w:t>
          </w:r>
          <w:proofErr w:type="spellEnd"/>
          <w:r w:rsidR="0047170A">
            <w:rPr>
              <w:rFonts w:eastAsia="Times New Roman"/>
            </w:rPr>
            <w:t xml:space="preserve"> et al., 2013; Marcus et al., 2007; </w:t>
          </w:r>
          <w:proofErr w:type="spellStart"/>
          <w:r w:rsidR="0047170A">
            <w:rPr>
              <w:rFonts w:eastAsia="Times New Roman"/>
            </w:rPr>
            <w:t>Rief</w:t>
          </w:r>
          <w:proofErr w:type="spellEnd"/>
          <w:r w:rsidR="0047170A">
            <w:rPr>
              <w:rFonts w:eastAsia="Times New Roman"/>
            </w:rPr>
            <w:t xml:space="preserve"> &amp; Broadbent, 2007; </w:t>
          </w:r>
          <w:proofErr w:type="spellStart"/>
          <w:r w:rsidR="0047170A">
            <w:rPr>
              <w:rFonts w:eastAsia="Times New Roman"/>
            </w:rPr>
            <w:t>Rief</w:t>
          </w:r>
          <w:proofErr w:type="spellEnd"/>
          <w:r w:rsidR="0047170A">
            <w:rPr>
              <w:rFonts w:eastAsia="Times New Roman"/>
            </w:rPr>
            <w:t xml:space="preserve"> &amp; Martin, 2014)</w:t>
          </w:r>
        </w:sdtContent>
      </w:sdt>
      <w:r w:rsidRPr="006A01CC">
        <w:rPr>
          <w:rFonts w:eastAsia="Arial"/>
        </w:rPr>
        <w:t>.</w:t>
      </w:r>
      <w:r>
        <w:rPr>
          <w:rFonts w:eastAsia="Arial"/>
        </w:rPr>
        <w:t xml:space="preserve"> </w:t>
      </w:r>
      <w:r w:rsidRPr="006A01CC">
        <w:rPr>
          <w:rFonts w:eastAsia="Arial"/>
        </w:rPr>
        <w:t xml:space="preserve">Taking account of the high levels of alexithymia reported in some patient groups with </w:t>
      </w:r>
      <w:r>
        <w:rPr>
          <w:rFonts w:eastAsia="Arial"/>
        </w:rPr>
        <w:t>FNSD</w:t>
      </w:r>
      <w:r w:rsidRPr="006A01CC">
        <w:rPr>
          <w:rFonts w:eastAsia="Arial"/>
        </w:rPr>
        <w:t xml:space="preserve"> and the hypothesised perceptual abnormalities underpinning </w:t>
      </w:r>
      <w:r>
        <w:rPr>
          <w:rFonts w:eastAsia="Arial"/>
        </w:rPr>
        <w:t xml:space="preserve">FNSD </w:t>
      </w:r>
      <w:sdt>
        <w:sdtPr>
          <w:rPr>
            <w:rFonts w:eastAsia="Arial"/>
            <w:color w:val="000000"/>
          </w:rPr>
          <w:tag w:val="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"/>
          <w:id w:val="-1467193847"/>
          <w:placeholder>
            <w:docPart w:val="3BBE6AC8ADF92943B7103F1B75274D1A"/>
          </w:placeholder>
        </w:sdtPr>
        <w:sdtContent>
          <w:r w:rsidR="0047170A">
            <w:rPr>
              <w:rFonts w:eastAsia="Times New Roman"/>
            </w:rPr>
            <w:t xml:space="preserve">(Bewley et al., 2005; M. J. Edwards et al., 2012; </w:t>
          </w:r>
          <w:proofErr w:type="spellStart"/>
          <w:r w:rsidR="0047170A">
            <w:rPr>
              <w:rFonts w:eastAsia="Times New Roman"/>
            </w:rPr>
            <w:t>Goedendorp</w:t>
          </w:r>
          <w:proofErr w:type="spellEnd"/>
          <w:r w:rsidR="0047170A">
            <w:rPr>
              <w:rFonts w:eastAsia="Times New Roman"/>
            </w:rPr>
            <w:t xml:space="preserve"> et al., 2013; Gupta &amp; Lang, 2009; Marcus et al., 2007; </w:t>
          </w:r>
          <w:proofErr w:type="spellStart"/>
          <w:r w:rsidR="0047170A">
            <w:rPr>
              <w:rFonts w:eastAsia="Times New Roman"/>
            </w:rPr>
            <w:t>Rief</w:t>
          </w:r>
          <w:proofErr w:type="spellEnd"/>
          <w:r w:rsidR="0047170A">
            <w:rPr>
              <w:rFonts w:eastAsia="Times New Roman"/>
            </w:rPr>
            <w:t xml:space="preserve"> &amp; Broadbent, 2007; </w:t>
          </w:r>
          <w:proofErr w:type="spellStart"/>
          <w:r w:rsidR="0047170A">
            <w:rPr>
              <w:rFonts w:eastAsia="Times New Roman"/>
            </w:rPr>
            <w:t>Rief</w:t>
          </w:r>
          <w:proofErr w:type="spellEnd"/>
          <w:r w:rsidR="0047170A">
            <w:rPr>
              <w:rFonts w:eastAsia="Times New Roman"/>
            </w:rPr>
            <w:t xml:space="preserve"> &amp; Martin, 2014)</w:t>
          </w:r>
        </w:sdtContent>
      </w:sdt>
      <w:r w:rsidRPr="006A01CC">
        <w:rPr>
          <w:rFonts w:eastAsia="Arial"/>
        </w:rPr>
        <w:t xml:space="preserve">, it would be tempting to interpret the discrepancy between physiological response and subjective stress perceptions in this patient group as demonstrating that self-reports simply cannot be used as a proxy of physiological arousal in </w:t>
      </w:r>
      <w:r>
        <w:rPr>
          <w:rFonts w:eastAsia="Arial"/>
        </w:rPr>
        <w:t xml:space="preserve">FNSD. </w:t>
      </w:r>
      <w:r w:rsidRPr="006A01CC">
        <w:rPr>
          <w:rFonts w:eastAsia="Arial"/>
        </w:rPr>
        <w:t xml:space="preserve">However, rather than simply invalidating self-reported symptoms, the size of the discrepancy between subjective and objective measures of stress, distress or arousal could be of particular scientific interest in patients with </w:t>
      </w:r>
      <w:r>
        <w:rPr>
          <w:rFonts w:eastAsia="Arial"/>
        </w:rPr>
        <w:t>FNSD. I</w:t>
      </w:r>
      <w:r w:rsidRPr="006A01CC">
        <w:rPr>
          <w:rFonts w:eastAsia="Arial"/>
        </w:rPr>
        <w:t xml:space="preserve">f the perceptual theories about the pathogenesis of </w:t>
      </w:r>
      <w:r>
        <w:rPr>
          <w:rFonts w:eastAsia="Arial"/>
        </w:rPr>
        <w:t>FNSD</w:t>
      </w:r>
      <w:r w:rsidRPr="006A01CC">
        <w:rPr>
          <w:rFonts w:eastAsia="Arial"/>
        </w:rPr>
        <w:t xml:space="preserve"> symptom generation are correct, the difference between subjective and objective measures may reflect an important aspect of the cognitive pathology underpinning this disorder. </w:t>
      </w:r>
    </w:p>
    <w:p w14:paraId="60ED9035" w14:textId="6E0230F8" w:rsidR="0060408E" w:rsidRPr="006A01CC" w:rsidRDefault="0060408E" w:rsidP="00DB19B8">
      <w:pPr>
        <w:rPr>
          <w:rFonts w:eastAsia="Arial"/>
        </w:rPr>
      </w:pPr>
      <w:r w:rsidRPr="006A01CC">
        <w:rPr>
          <w:rFonts w:eastAsia="Arial"/>
        </w:rPr>
        <w:t xml:space="preserve">Despite the absence of objective evidence of structural, biochemical or physiological abnormality, the discrepancy between objective and subjective measures of stress or arousal in </w:t>
      </w:r>
      <w:r>
        <w:rPr>
          <w:rFonts w:eastAsia="Arial"/>
        </w:rPr>
        <w:t>FNSD</w:t>
      </w:r>
      <w:r w:rsidRPr="006A01CC">
        <w:rPr>
          <w:rFonts w:eastAsia="Arial"/>
        </w:rPr>
        <w:t xml:space="preserve"> patients does not mean that the manifestations of this disorder must be consciously produced (as in malingering or factitious disorders) or exaggerated.</w:t>
      </w:r>
      <w:r>
        <w:rPr>
          <w:rFonts w:eastAsia="Arial"/>
        </w:rPr>
        <w:t xml:space="preserve"> </w:t>
      </w:r>
      <w:r w:rsidRPr="006A01CC">
        <w:rPr>
          <w:rFonts w:eastAsia="Arial"/>
        </w:rPr>
        <w:t xml:space="preserve">The lack of association between subjective and objective measures of stress and arousal in the reviewed studies include scenarios in which objective measures captured elevated arousal, but </w:t>
      </w:r>
      <w:r>
        <w:rPr>
          <w:rFonts w:eastAsia="Arial"/>
        </w:rPr>
        <w:t>patients'</w:t>
      </w:r>
      <w:r w:rsidRPr="006A01CC">
        <w:rPr>
          <w:rFonts w:eastAsia="Arial"/>
        </w:rPr>
        <w:t xml:space="preserve"> self-perception of this did not match</w:t>
      </w:r>
      <w:r>
        <w:rPr>
          <w:rFonts w:eastAsia="Arial"/>
        </w:rPr>
        <w:t xml:space="preserve"> </w:t>
      </w:r>
      <w:sdt>
        <w:sdtPr>
          <w:rPr>
            <w:rFonts w:eastAsia="Arial"/>
            <w:color w:val="000000"/>
          </w:rPr>
          <w:tag w:val="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"/>
          <w:id w:val="985283565"/>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Allendorfer</w:t>
          </w:r>
          <w:proofErr w:type="spellEnd"/>
          <w:r w:rsidR="0047170A" w:rsidRPr="0047170A">
            <w:rPr>
              <w:rFonts w:eastAsia="Arial"/>
              <w:color w:val="000000"/>
            </w:rPr>
            <w:t xml:space="preserve"> et al., 2019; Apazoglou et al., 2017; Novakova et al., 2017; Pick et al., </w:t>
          </w:r>
          <w:r w:rsidR="0047170A" w:rsidRPr="0047170A">
            <w:rPr>
              <w:rFonts w:eastAsia="Arial"/>
              <w:color w:val="000000"/>
            </w:rPr>
            <w:lastRenderedPageBreak/>
            <w:t>2018a)</w:t>
          </w:r>
        </w:sdtContent>
      </w:sdt>
      <w:r w:rsidRPr="006A01CC">
        <w:rPr>
          <w:rFonts w:eastAsia="Arial"/>
        </w:rPr>
        <w:t>.</w:t>
      </w:r>
      <w:r>
        <w:rPr>
          <w:rFonts w:eastAsia="Arial"/>
        </w:rPr>
        <w:t xml:space="preserve"> </w:t>
      </w:r>
      <w:r w:rsidRPr="006A01CC">
        <w:rPr>
          <w:rFonts w:eastAsia="Arial"/>
        </w:rPr>
        <w:t xml:space="preserve">It is a matter of continuing debate whether the inability of </w:t>
      </w:r>
      <w:r>
        <w:rPr>
          <w:rFonts w:eastAsia="Arial"/>
        </w:rPr>
        <w:t>FNSD</w:t>
      </w:r>
      <w:r w:rsidRPr="006A01CC">
        <w:rPr>
          <w:rFonts w:eastAsia="Arial"/>
        </w:rPr>
        <w:t xml:space="preserve"> patients to recall or perceive symptoms of distress or potentially relevant distressing experiences means that they never occurred, that they are unwilling or unable to recall them, or that the methods used to capture this information are inadequate.</w:t>
      </w:r>
      <w:r>
        <w:rPr>
          <w:rFonts w:eastAsia="Arial"/>
        </w:rPr>
        <w:t xml:space="preserve"> </w:t>
      </w:r>
      <w:r w:rsidRPr="006A01CC">
        <w:rPr>
          <w:rFonts w:eastAsia="Arial"/>
        </w:rPr>
        <w:t>Increased dissociative tendencies such as avoidant coping strategies</w:t>
      </w:r>
      <w:r>
        <w:rPr>
          <w:rFonts w:eastAsia="Arial"/>
        </w:rPr>
        <w:t xml:space="preserve"> </w:t>
      </w:r>
      <w:sdt>
        <w:sdtPr>
          <w:rPr>
            <w:rFonts w:eastAsia="Arial"/>
            <w:color w:val="000000"/>
          </w:rPr>
          <w:tag w:val="MENDELEY_CITATION_v3_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"/>
          <w:id w:val="1288932154"/>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Dimaro</w:t>
          </w:r>
          <w:proofErr w:type="spellEnd"/>
          <w:r w:rsidR="0047170A" w:rsidRPr="0047170A">
            <w:rPr>
              <w:rFonts w:eastAsia="Arial"/>
              <w:color w:val="000000"/>
            </w:rPr>
            <w:t xml:space="preserve"> et al., 2014)</w:t>
          </w:r>
        </w:sdtContent>
      </w:sdt>
      <w:r w:rsidRPr="006A01CC">
        <w:rPr>
          <w:rFonts w:eastAsia="Arial"/>
        </w:rPr>
        <w:t xml:space="preserve">, are commonly found in patients with </w:t>
      </w:r>
      <w:r>
        <w:rPr>
          <w:rFonts w:eastAsia="Arial"/>
        </w:rPr>
        <w:t>FNSD</w:t>
      </w:r>
      <w:r w:rsidRPr="006A01CC">
        <w:rPr>
          <w:rFonts w:eastAsia="Arial"/>
        </w:rPr>
        <w:t xml:space="preserve">, in particular in </w:t>
      </w:r>
      <w:r>
        <w:rPr>
          <w:rFonts w:eastAsia="Arial"/>
        </w:rPr>
        <w:t xml:space="preserve">F.S. </w:t>
      </w:r>
      <w:sdt>
        <w:sdtPr>
          <w:rPr>
            <w:rFonts w:eastAsia="Arial"/>
          </w:rPr>
          <w:tag w:val="MENDELEY_CITATION_v3_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"/>
          <w:id w:val="-275874555"/>
          <w:placeholder>
            <w:docPart w:val="3BBE6AC8ADF92943B7103F1B75274D1A"/>
          </w:placeholder>
        </w:sdtPr>
        <w:sdtContent>
          <w:r w:rsidR="0047170A">
            <w:rPr>
              <w:rFonts w:eastAsia="Times New Roman"/>
            </w:rPr>
            <w:t>(Goldstein &amp; Mellers, 2006)</w:t>
          </w:r>
        </w:sdtContent>
      </w:sdt>
      <w:r w:rsidRPr="006A01CC">
        <w:rPr>
          <w:rFonts w:eastAsia="Arial"/>
        </w:rPr>
        <w:t xml:space="preserve">  and could explain some of these discrepancies</w:t>
      </w:r>
      <w:r>
        <w:rPr>
          <w:rFonts w:eastAsia="Arial"/>
        </w:rPr>
        <w:t xml:space="preserve">. </w:t>
      </w:r>
      <w:r w:rsidRPr="006A01CC">
        <w:rPr>
          <w:rFonts w:eastAsia="Arial"/>
        </w:rPr>
        <w:t xml:space="preserve">The lack of close correlation between subjective and objective measures in the reported </w:t>
      </w:r>
      <w:r>
        <w:rPr>
          <w:rFonts w:eastAsia="Arial"/>
        </w:rPr>
        <w:t>FNSD</w:t>
      </w:r>
      <w:r w:rsidRPr="006A01CC">
        <w:rPr>
          <w:rFonts w:eastAsia="Arial"/>
        </w:rPr>
        <w:t xml:space="preserve"> populations is certainly not the result of a systematic over-reporting of arousal symptoms.</w:t>
      </w:r>
    </w:p>
    <w:p w14:paraId="14C2358C" w14:textId="77777777" w:rsidR="0060408E" w:rsidRPr="006A01CC" w:rsidRDefault="0060408E" w:rsidP="00DB19B8">
      <w:pPr>
        <w:rPr>
          <w:rFonts w:eastAsia="Arial"/>
        </w:rPr>
      </w:pPr>
    </w:p>
    <w:p w14:paraId="798CEBBC" w14:textId="756570B8" w:rsidR="0060408E" w:rsidRPr="00415F68" w:rsidRDefault="0060408E" w:rsidP="00DB19B8">
      <w:pPr>
        <w:rPr>
          <w:rFonts w:eastAsia="Arial"/>
        </w:rPr>
      </w:pPr>
      <w:r w:rsidRPr="006A01CC">
        <w:rPr>
          <w:rFonts w:eastAsia="Arial"/>
        </w:rPr>
        <w:t xml:space="preserve">Other explanations for the discrepancy </w:t>
      </w:r>
      <w:r>
        <w:rPr>
          <w:rFonts w:eastAsia="Arial"/>
        </w:rPr>
        <w:t>between</w:t>
      </w:r>
      <w:r w:rsidRPr="006A01CC">
        <w:rPr>
          <w:rFonts w:eastAsia="Arial"/>
        </w:rPr>
        <w:t xml:space="preserve"> subjective and objective findings could be the impact of current state, or the difference in time window between self-report measures (typically exploring time periods extending from minutes to months) and objective measures (often capturing milliseconds to minutes).</w:t>
      </w:r>
      <w:r>
        <w:rPr>
          <w:rFonts w:eastAsia="Arial"/>
        </w:rPr>
        <w:t xml:space="preserve"> </w:t>
      </w:r>
      <w:r w:rsidRPr="006A01CC">
        <w:rPr>
          <w:rFonts w:eastAsia="Arial"/>
        </w:rPr>
        <w:t xml:space="preserve">These considerations could explain why the discrepancy </w:t>
      </w:r>
      <w:r>
        <w:rPr>
          <w:rFonts w:eastAsia="Arial"/>
        </w:rPr>
        <w:t>between</w:t>
      </w:r>
      <w:r w:rsidRPr="006A01CC">
        <w:rPr>
          <w:rFonts w:eastAsia="Arial"/>
        </w:rPr>
        <w:t xml:space="preserve"> subjective and objective measures discussed above is not exclusive to patients with </w:t>
      </w:r>
      <w:r>
        <w:rPr>
          <w:rFonts w:eastAsia="Arial"/>
        </w:rPr>
        <w:t>FNSD</w:t>
      </w:r>
      <w:r w:rsidRPr="006A01CC">
        <w:rPr>
          <w:rFonts w:eastAsia="Arial"/>
        </w:rPr>
        <w:t>.</w:t>
      </w:r>
      <w:r>
        <w:rPr>
          <w:rFonts w:eastAsia="Arial"/>
        </w:rPr>
        <w:t xml:space="preserve"> </w:t>
      </w:r>
      <w:r w:rsidRPr="006A01CC">
        <w:rPr>
          <w:rFonts w:eastAsia="Arial"/>
        </w:rPr>
        <w:t xml:space="preserve">While large longitudinal observational studies mentioned above have documented that subjective reports of stressful experiences are associated with adverse </w:t>
      </w:r>
      <w:r>
        <w:rPr>
          <w:rFonts w:eastAsia="Arial"/>
        </w:rPr>
        <w:t>"</w:t>
      </w:r>
      <w:r w:rsidRPr="006A01CC">
        <w:rPr>
          <w:rFonts w:eastAsia="Arial"/>
        </w:rPr>
        <w:t>hard</w:t>
      </w:r>
      <w:r>
        <w:rPr>
          <w:rFonts w:eastAsia="Arial"/>
        </w:rPr>
        <w:t>"</w:t>
      </w:r>
      <w:r w:rsidRPr="006A01CC">
        <w:rPr>
          <w:rFonts w:eastAsia="Arial"/>
        </w:rPr>
        <w:t xml:space="preserve"> / objective health outcomes years later, a lack of correlation of subjective and apparently related objective measures has also been demonstrated in many other psychiatric and neurological </w:t>
      </w:r>
      <w:r w:rsidRPr="00415F68">
        <w:rPr>
          <w:rFonts w:eastAsia="Arial"/>
        </w:rPr>
        <w:t>disorders.</w:t>
      </w:r>
      <w:r>
        <w:rPr>
          <w:rFonts w:eastAsia="Arial"/>
        </w:rPr>
        <w:t xml:space="preserve"> </w:t>
      </w:r>
      <w:r w:rsidRPr="00415F68">
        <w:rPr>
          <w:rFonts w:eastAsia="Arial"/>
        </w:rPr>
        <w:t>For instance, the dementia literature shows inconsistent correlations between pathological changes and self-reported levels of functioning; as well as discrepancies of self-report and behavioural findings</w:t>
      </w:r>
      <w:r>
        <w:rPr>
          <w:rFonts w:eastAsia="Arial"/>
        </w:rPr>
        <w:t xml:space="preserve"> </w:t>
      </w:r>
      <w:sdt>
        <w:sdtPr>
          <w:rPr>
            <w:rFonts w:eastAsia="Arial"/>
            <w:color w:val="000000"/>
          </w:rPr>
          <w:tag w:val="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"/>
          <w:id w:val="-956481181"/>
          <w:placeholder>
            <w:docPart w:val="3BBE6AC8ADF92943B7103F1B75274D1A"/>
          </w:placeholder>
        </w:sdtPr>
        <w:sdtContent>
          <w:r w:rsidR="0047170A" w:rsidRPr="0047170A">
            <w:rPr>
              <w:rFonts w:eastAsia="Arial"/>
              <w:color w:val="000000"/>
            </w:rPr>
            <w:t xml:space="preserve">(Frank et al., 2011; </w:t>
          </w:r>
          <w:proofErr w:type="spellStart"/>
          <w:r w:rsidR="0047170A" w:rsidRPr="0047170A">
            <w:rPr>
              <w:rFonts w:eastAsia="Arial"/>
              <w:color w:val="000000"/>
            </w:rPr>
            <w:t>Goverover</w:t>
          </w:r>
          <w:proofErr w:type="spellEnd"/>
          <w:r w:rsidR="0047170A" w:rsidRPr="0047170A">
            <w:rPr>
              <w:rFonts w:eastAsia="Arial"/>
              <w:color w:val="000000"/>
            </w:rPr>
            <w:t xml:space="preserve"> et al., 2005; Rueda et al., 2015; </w:t>
          </w:r>
          <w:proofErr w:type="spellStart"/>
          <w:r w:rsidR="0047170A" w:rsidRPr="0047170A">
            <w:rPr>
              <w:rFonts w:eastAsia="Arial"/>
              <w:color w:val="000000"/>
            </w:rPr>
            <w:t>Zeintl</w:t>
          </w:r>
          <w:proofErr w:type="spellEnd"/>
          <w:r w:rsidR="0047170A" w:rsidRPr="0047170A">
            <w:rPr>
              <w:rFonts w:eastAsia="Arial"/>
              <w:color w:val="000000"/>
            </w:rPr>
            <w:t xml:space="preserve"> et al., 2006)</w:t>
          </w:r>
        </w:sdtContent>
      </w:sdt>
      <w:r w:rsidRPr="00415F68">
        <w:rPr>
          <w:rFonts w:eastAsia="Arial"/>
        </w:rPr>
        <w:t>.</w:t>
      </w:r>
      <w:r>
        <w:rPr>
          <w:rFonts w:eastAsia="Arial"/>
        </w:rPr>
        <w:t xml:space="preserve"> </w:t>
      </w:r>
      <w:r w:rsidRPr="00415F68">
        <w:rPr>
          <w:rFonts w:eastAsia="Arial"/>
        </w:rPr>
        <w:t>Similarly poor correlations between have been found in multiple sclerosis</w:t>
      </w:r>
      <w:r>
        <w:rPr>
          <w:rFonts w:eastAsia="Arial"/>
        </w:rPr>
        <w:t xml:space="preserve"> </w:t>
      </w:r>
      <w:sdt>
        <w:sdtPr>
          <w:rPr>
            <w:rFonts w:eastAsia="Arial"/>
          </w:rPr>
          <w:tag w:val="MENDELEY_CITATION_v3_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"/>
          <w:id w:val="-593165422"/>
          <w:placeholder>
            <w:docPart w:val="3BBE6AC8ADF92943B7103F1B75274D1A"/>
          </w:placeholder>
        </w:sdtPr>
        <w:sdtContent>
          <w:r w:rsidR="0047170A">
            <w:rPr>
              <w:rFonts w:eastAsia="Times New Roman"/>
            </w:rPr>
            <w:t xml:space="preserve">(van der </w:t>
          </w:r>
          <w:proofErr w:type="spellStart"/>
          <w:r w:rsidR="0047170A">
            <w:rPr>
              <w:rFonts w:eastAsia="Times New Roman"/>
            </w:rPr>
            <w:t>Hiele</w:t>
          </w:r>
          <w:proofErr w:type="spellEnd"/>
          <w:r w:rsidR="0047170A">
            <w:rPr>
              <w:rFonts w:eastAsia="Times New Roman"/>
            </w:rPr>
            <w:t xml:space="preserve"> et al., 2012; Visser &amp; van der </w:t>
          </w:r>
          <w:proofErr w:type="spellStart"/>
          <w:r w:rsidR="0047170A">
            <w:rPr>
              <w:rFonts w:eastAsia="Times New Roman"/>
            </w:rPr>
            <w:t>Hiele</w:t>
          </w:r>
          <w:proofErr w:type="spellEnd"/>
          <w:r w:rsidR="0047170A">
            <w:rPr>
              <w:rFonts w:eastAsia="Times New Roman"/>
            </w:rPr>
            <w:t>, 2014)</w:t>
          </w:r>
        </w:sdtContent>
      </w:sdt>
      <w:r w:rsidRPr="00415F68">
        <w:rPr>
          <w:rFonts w:eastAsia="Arial"/>
        </w:rPr>
        <w:t xml:space="preserve">  and </w:t>
      </w:r>
      <w:r>
        <w:rPr>
          <w:rFonts w:eastAsia="Arial"/>
        </w:rPr>
        <w:t>Parkinson's</w:t>
      </w:r>
      <w:r w:rsidRPr="00415F68">
        <w:rPr>
          <w:rFonts w:eastAsia="Arial"/>
        </w:rPr>
        <w:t xml:space="preserve"> Disease</w:t>
      </w:r>
      <w:r>
        <w:rPr>
          <w:rFonts w:eastAsia="Arial"/>
        </w:rPr>
        <w:t xml:space="preserve"> </w:t>
      </w:r>
      <w:sdt>
        <w:sdtPr>
          <w:rPr>
            <w:rFonts w:eastAsia="Arial"/>
            <w:color w:val="000000"/>
          </w:rPr>
          <w:tag w:val="MENDELEY_CITATION_v3_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"/>
          <w:id w:val="1428538115"/>
          <w:placeholder>
            <w:docPart w:val="3BBE6AC8ADF92943B7103F1B75274D1A"/>
          </w:placeholder>
        </w:sdtPr>
        <w:sdtContent>
          <w:r w:rsidR="0047170A" w:rsidRPr="0047170A">
            <w:rPr>
              <w:rFonts w:eastAsia="Arial"/>
              <w:color w:val="000000"/>
            </w:rPr>
            <w:t>(Koerts et al., 2011; Shulman et al., 2006)</w:t>
          </w:r>
        </w:sdtContent>
      </w:sdt>
      <w:r w:rsidRPr="00415F68">
        <w:rPr>
          <w:rFonts w:eastAsia="Arial"/>
        </w:rPr>
        <w:t>.</w:t>
      </w:r>
      <w:r>
        <w:rPr>
          <w:rFonts w:eastAsia="Arial"/>
        </w:rPr>
        <w:t xml:space="preserve"> </w:t>
      </w:r>
      <w:r w:rsidRPr="00415F68">
        <w:rPr>
          <w:rFonts w:eastAsia="Arial"/>
        </w:rPr>
        <w:t xml:space="preserve">Similar to the situation in </w:t>
      </w:r>
      <w:r>
        <w:rPr>
          <w:rFonts w:eastAsia="Arial"/>
        </w:rPr>
        <w:t>FNSD</w:t>
      </w:r>
      <w:r w:rsidRPr="00415F68">
        <w:rPr>
          <w:rFonts w:eastAsia="Arial"/>
        </w:rPr>
        <w:t xml:space="preserve">s, some researchers have concluded that these discrepancies may be due to a lack of insight needed </w:t>
      </w:r>
      <w:r>
        <w:rPr>
          <w:rFonts w:eastAsia="Arial"/>
        </w:rPr>
        <w:t>to complete self-ratings accurately</w:t>
      </w:r>
      <w:r w:rsidRPr="00415F68">
        <w:rPr>
          <w:rFonts w:eastAsia="Arial"/>
        </w:rPr>
        <w:t>; particularly when such</w:t>
      </w:r>
      <w:r>
        <w:rPr>
          <w:rFonts w:eastAsia="Arial"/>
        </w:rPr>
        <w:t xml:space="preserve"> </w:t>
      </w:r>
      <w:r w:rsidRPr="00415F68">
        <w:rPr>
          <w:rFonts w:eastAsia="Arial"/>
        </w:rPr>
        <w:t xml:space="preserve">insights could be affected by the disease itself or </w:t>
      </w:r>
      <w:r>
        <w:rPr>
          <w:rFonts w:eastAsia="Arial"/>
        </w:rPr>
        <w:t>by</w:t>
      </w:r>
      <w:r w:rsidRPr="00415F68">
        <w:rPr>
          <w:rFonts w:eastAsia="Arial"/>
        </w:rPr>
        <w:t xml:space="preserve"> adaptive/maladaptive coping mechanisms rather than being due to inaccurate measurement, factitious disorder or malingering. </w:t>
      </w:r>
    </w:p>
    <w:p w14:paraId="2E3C8E20" w14:textId="77777777" w:rsidR="0060408E" w:rsidRPr="00722F4B" w:rsidRDefault="0060408E" w:rsidP="00DB19B8">
      <w:pPr>
        <w:rPr>
          <w:rFonts w:eastAsia="Arial"/>
        </w:rPr>
      </w:pPr>
      <w:r w:rsidRPr="00722F4B">
        <w:rPr>
          <w:rFonts w:eastAsia="Arial"/>
        </w:rPr>
        <w:t xml:space="preserve">In light of this, it is important not only to seek explanations for the subjective/objective discrepancy by focusing on processing abnormalities in the </w:t>
      </w:r>
      <w:r>
        <w:rPr>
          <w:rFonts w:eastAsia="Arial"/>
        </w:rPr>
        <w:t>FNSD</w:t>
      </w:r>
      <w:r w:rsidRPr="00722F4B">
        <w:rPr>
          <w:rFonts w:eastAsia="Arial"/>
        </w:rPr>
        <w:t xml:space="preserve"> patient group but also by considering the nature of the self-report measures employed and their specific </w:t>
      </w:r>
      <w:r w:rsidRPr="00722F4B">
        <w:rPr>
          <w:rFonts w:eastAsia="Arial"/>
        </w:rPr>
        <w:lastRenderedPageBreak/>
        <w:t>applicability.</w:t>
      </w:r>
      <w:r>
        <w:rPr>
          <w:rFonts w:eastAsia="Arial"/>
        </w:rPr>
        <w:t xml:space="preserve"> </w:t>
      </w:r>
      <w:r w:rsidRPr="00722F4B">
        <w:rPr>
          <w:rFonts w:eastAsia="Arial"/>
        </w:rPr>
        <w:t>The reviewed primary research largely used generic measures of health status, quality of life (e.g. SF-36), and psychiatric comorbidity (e.g. PHQ-19, GAD-7, HADS</w:t>
      </w:r>
      <w:r>
        <w:rPr>
          <w:rFonts w:eastAsia="Arial"/>
        </w:rPr>
        <w:t>)</w:t>
      </w:r>
      <w:r w:rsidRPr="00722F4B">
        <w:rPr>
          <w:rFonts w:eastAsia="Arial"/>
        </w:rPr>
        <w:t xml:space="preserve"> to assess symptoms of clinical depression, state and trait anxiety).</w:t>
      </w:r>
      <w:r>
        <w:rPr>
          <w:rFonts w:eastAsia="Arial"/>
        </w:rPr>
        <w:t xml:space="preserve"> </w:t>
      </w:r>
      <w:r w:rsidRPr="00722F4B">
        <w:rPr>
          <w:rFonts w:eastAsia="Arial"/>
        </w:rPr>
        <w:t xml:space="preserve">Emotion dysregulation, processing and response scales, including stress or emotion response analogue scales have also been used alongside measures pertaining to specific symptoms or disorders (e.g. Symptom revised checklist, </w:t>
      </w:r>
      <w:proofErr w:type="spellStart"/>
      <w:r>
        <w:rPr>
          <w:rFonts w:eastAsia="Arial"/>
        </w:rPr>
        <w:t>Porges</w:t>
      </w:r>
      <w:proofErr w:type="spellEnd"/>
      <w:r>
        <w:rPr>
          <w:rFonts w:eastAsia="Arial"/>
        </w:rPr>
        <w:t>'</w:t>
      </w:r>
      <w:r w:rsidRPr="00722F4B">
        <w:rPr>
          <w:rFonts w:eastAsia="Arial"/>
        </w:rPr>
        <w:t xml:space="preserve"> Body perception questionnaire).</w:t>
      </w:r>
      <w:r>
        <w:rPr>
          <w:rFonts w:eastAsia="Arial"/>
        </w:rPr>
        <w:t xml:space="preserve"> </w:t>
      </w:r>
      <w:r w:rsidRPr="00722F4B">
        <w:rPr>
          <w:rFonts w:eastAsia="Arial"/>
        </w:rPr>
        <w:t>Very few</w:t>
      </w:r>
      <w:r>
        <w:rPr>
          <w:rFonts w:eastAsia="Arial"/>
        </w:rPr>
        <w:t xml:space="preserve"> specific</w:t>
      </w:r>
      <w:r w:rsidRPr="00722F4B">
        <w:rPr>
          <w:rFonts w:eastAsia="Arial"/>
        </w:rPr>
        <w:t xml:space="preserve"> measures </w:t>
      </w:r>
      <w:r>
        <w:rPr>
          <w:rFonts w:eastAsia="Arial"/>
        </w:rPr>
        <w:t>have been</w:t>
      </w:r>
      <w:r w:rsidRPr="00722F4B">
        <w:rPr>
          <w:rFonts w:eastAsia="Arial"/>
        </w:rPr>
        <w:t xml:space="preserve"> developed for </w:t>
      </w:r>
      <w:r>
        <w:rPr>
          <w:rFonts w:eastAsia="Arial"/>
        </w:rPr>
        <w:t>FNSD</w:t>
      </w:r>
      <w:r w:rsidRPr="00722F4B">
        <w:rPr>
          <w:rFonts w:eastAsia="Arial"/>
        </w:rPr>
        <w:t xml:space="preserve"> symptoms</w:t>
      </w:r>
      <w:r>
        <w:rPr>
          <w:rFonts w:eastAsia="Arial"/>
        </w:rPr>
        <w:t xml:space="preserve"> and t</w:t>
      </w:r>
      <w:r w:rsidRPr="00722F4B">
        <w:rPr>
          <w:rFonts w:eastAsia="Arial"/>
        </w:rPr>
        <w:t xml:space="preserve">he generic or even disease-specific measures found to be valid, reliable and sensitive to change in other relevant populations may not be equally sensitive or appropriate across the heterogeneous population of patients with </w:t>
      </w:r>
      <w:r>
        <w:rPr>
          <w:rFonts w:eastAsia="Arial"/>
        </w:rPr>
        <w:t>FNSD</w:t>
      </w:r>
      <w:r w:rsidRPr="00722F4B">
        <w:rPr>
          <w:rFonts w:eastAsia="Arial"/>
        </w:rPr>
        <w:t>.</w:t>
      </w:r>
      <w:r>
        <w:rPr>
          <w:rFonts w:eastAsia="Arial"/>
        </w:rPr>
        <w:t xml:space="preserve"> </w:t>
      </w:r>
      <w:r w:rsidRPr="00722F4B">
        <w:rPr>
          <w:rFonts w:eastAsia="Arial"/>
        </w:rPr>
        <w:t>As such, they may become suboptimal instruments that capture indirect or broader features of the disorder rather than changes more directly related to the underpinning pathology</w:t>
      </w:r>
      <w:r>
        <w:rPr>
          <w:rFonts w:eastAsia="Arial"/>
        </w:rPr>
        <w:t xml:space="preserve"> </w:t>
      </w:r>
      <w:r w:rsidRPr="00722F4B">
        <w:rPr>
          <w:rFonts w:eastAsia="Arial"/>
        </w:rPr>
        <w:t xml:space="preserve">in this patient group. </w:t>
      </w:r>
    </w:p>
    <w:p w14:paraId="64251ACB" w14:textId="79515D16" w:rsidR="0060408E" w:rsidRDefault="0060408E" w:rsidP="00DB19B8">
      <w:pPr>
        <w:rPr>
          <w:rFonts w:eastAsia="Arial"/>
        </w:rPr>
      </w:pPr>
      <w:r w:rsidRPr="00722F4B">
        <w:rPr>
          <w:rFonts w:eastAsia="Arial"/>
        </w:rPr>
        <w:t xml:space="preserve">Our observations suggest that a greater degree of specificity to the targeted disorders may be required when assessing patients with </w:t>
      </w:r>
      <w:r>
        <w:rPr>
          <w:rFonts w:eastAsia="Arial"/>
        </w:rPr>
        <w:t>FNSD</w:t>
      </w:r>
      <w:r w:rsidRPr="00722F4B">
        <w:rPr>
          <w:rFonts w:eastAsia="Arial"/>
        </w:rPr>
        <w:t>.</w:t>
      </w:r>
      <w:r>
        <w:rPr>
          <w:rFonts w:eastAsia="Arial"/>
        </w:rPr>
        <w:t xml:space="preserve"> </w:t>
      </w:r>
      <w:r w:rsidRPr="00722F4B">
        <w:rPr>
          <w:rFonts w:eastAsia="Arial"/>
        </w:rPr>
        <w:t>The most important and informative outcomes may be those most meaningful to the patient</w:t>
      </w:r>
      <w:r>
        <w:rPr>
          <w:rFonts w:eastAsia="Arial"/>
        </w:rPr>
        <w:t xml:space="preserve"> </w:t>
      </w:r>
      <w:sdt>
        <w:sdtPr>
          <w:rPr>
            <w:rFonts w:eastAsia="Arial"/>
            <w:color w:val="000000"/>
          </w:rPr>
          <w:tag w:val="MENDELEY_CITATION_v3_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"/>
          <w:id w:val="480429244"/>
          <w:placeholder>
            <w:docPart w:val="3BBE6AC8ADF92943B7103F1B75274D1A"/>
          </w:placeholder>
        </w:sdtPr>
        <w:sdtContent>
          <w:r w:rsidR="0047170A" w:rsidRPr="0047170A">
            <w:rPr>
              <w:rFonts w:eastAsia="Arial"/>
              <w:color w:val="000000"/>
            </w:rPr>
            <w:t xml:space="preserve">(Michaelis, </w:t>
          </w:r>
          <w:proofErr w:type="spellStart"/>
          <w:r w:rsidR="0047170A" w:rsidRPr="0047170A">
            <w:rPr>
              <w:rFonts w:eastAsia="Arial"/>
              <w:color w:val="000000"/>
            </w:rPr>
            <w:t>Niedermann</w:t>
          </w:r>
          <w:proofErr w:type="spellEnd"/>
          <w:r w:rsidR="0047170A" w:rsidRPr="0047170A">
            <w:rPr>
              <w:rFonts w:eastAsia="Arial"/>
              <w:color w:val="000000"/>
            </w:rPr>
            <w:t>, et al., 2017)</w:t>
          </w:r>
        </w:sdtContent>
      </w:sdt>
      <w:r>
        <w:rPr>
          <w:rFonts w:eastAsia="Arial"/>
        </w:rPr>
        <w:t xml:space="preserve">. </w:t>
      </w:r>
      <w:r w:rsidRPr="00722F4B">
        <w:rPr>
          <w:rFonts w:eastAsia="Arial"/>
        </w:rPr>
        <w:t xml:space="preserve">Broader symptoms of anxiety and depression may overshadow other relevant psychological processes in patients with </w:t>
      </w:r>
      <w:r>
        <w:rPr>
          <w:rFonts w:eastAsia="Arial"/>
        </w:rPr>
        <w:t>FNSD</w:t>
      </w:r>
      <w:r w:rsidRPr="00722F4B">
        <w:rPr>
          <w:rFonts w:eastAsia="Arial"/>
        </w:rPr>
        <w:t>.</w:t>
      </w:r>
      <w:r>
        <w:rPr>
          <w:rFonts w:eastAsia="Arial"/>
        </w:rPr>
        <w:t xml:space="preserve"> </w:t>
      </w:r>
      <w:r w:rsidRPr="00722F4B">
        <w:rPr>
          <w:rFonts w:eastAsia="Arial"/>
        </w:rPr>
        <w:t>An overriding focus on markers of distress may increase the risk of overlooking other relevant health indicators and may lead to patients to developing detrimental and illness-promoting perceptions of their health (Hagger and Orbell, 2003).</w:t>
      </w:r>
      <w:r>
        <w:rPr>
          <w:rFonts w:eastAsia="Arial"/>
        </w:rPr>
        <w:t xml:space="preserve"> </w:t>
      </w:r>
      <w:r w:rsidRPr="00722F4B">
        <w:rPr>
          <w:rFonts w:eastAsia="Arial"/>
        </w:rPr>
        <w:t>Some of the self-report measures used in the reviewed studies may have suffered from these generic weaknesses of self-reported data, including a lack of clarity of the measured construct</w:t>
      </w:r>
      <w:r>
        <w:rPr>
          <w:rFonts w:eastAsia="Arial"/>
        </w:rPr>
        <w:t xml:space="preserve"> </w:t>
      </w:r>
      <w:sdt>
        <w:sdtPr>
          <w:rPr>
            <w:rFonts w:eastAsia="Arial"/>
          </w:rPr>
          <w:tag w:val="MENDELEY_CITATION_v3_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"/>
          <w:id w:val="-1618678329"/>
          <w:placeholder>
            <w:docPart w:val="3BBE6AC8ADF92943B7103F1B75274D1A"/>
          </w:placeholder>
        </w:sdtPr>
        <w:sdtContent>
          <w:r w:rsidR="0047170A">
            <w:rPr>
              <w:rFonts w:eastAsia="Times New Roman"/>
            </w:rPr>
            <w:t>(</w:t>
          </w:r>
          <w:proofErr w:type="spellStart"/>
          <w:r w:rsidR="0047170A">
            <w:rPr>
              <w:rFonts w:eastAsia="Times New Roman"/>
            </w:rPr>
            <w:t>Haeffel</w:t>
          </w:r>
          <w:proofErr w:type="spellEnd"/>
          <w:r w:rsidR="0047170A">
            <w:rPr>
              <w:rFonts w:eastAsia="Times New Roman"/>
            </w:rPr>
            <w:t xml:space="preserve"> &amp; Howard, 2010)</w:t>
          </w:r>
        </w:sdtContent>
      </w:sdt>
      <w:r w:rsidRPr="00722F4B">
        <w:rPr>
          <w:rFonts w:eastAsia="Arial"/>
        </w:rPr>
        <w:t>.</w:t>
      </w:r>
      <w:r>
        <w:rPr>
          <w:rFonts w:eastAsia="Arial"/>
        </w:rPr>
        <w:t xml:space="preserve"> </w:t>
      </w:r>
      <w:r w:rsidRPr="00722F4B">
        <w:rPr>
          <w:rFonts w:eastAsia="Arial"/>
        </w:rPr>
        <w:t>Ultimately, patients and research participants are likely to have better insight into cognitive content (e.g. knowledge, facts, opinions), than the cognitive processes that have generated this knowledge</w:t>
      </w:r>
      <w:r>
        <w:rPr>
          <w:rFonts w:eastAsia="Arial"/>
        </w:rPr>
        <w:t xml:space="preserve"> </w:t>
      </w:r>
      <w:sdt>
        <w:sdtPr>
          <w:rPr>
            <w:rFonts w:eastAsia="Arial"/>
            <w:color w:val="000000"/>
          </w:rPr>
          <w:tag w:val="MENDELEY_CITATION_v3_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"/>
          <w:id w:val="-1618758471"/>
          <w:placeholder>
            <w:docPart w:val="3BBE6AC8ADF92943B7103F1B75274D1A"/>
          </w:placeholder>
        </w:sdtPr>
        <w:sdtContent>
          <w:r w:rsidR="0047170A" w:rsidRPr="0047170A">
            <w:rPr>
              <w:rFonts w:eastAsia="Arial"/>
              <w:color w:val="000000"/>
            </w:rPr>
            <w:t>(Johansson et al., 2006)</w:t>
          </w:r>
        </w:sdtContent>
      </w:sdt>
      <w:r w:rsidRPr="00722F4B">
        <w:rPr>
          <w:rFonts w:eastAsia="Arial"/>
        </w:rPr>
        <w:t>.</w:t>
      </w:r>
      <w:r>
        <w:rPr>
          <w:rFonts w:eastAsia="Arial"/>
        </w:rPr>
        <w:t xml:space="preserve"> </w:t>
      </w:r>
      <w:r w:rsidRPr="00722F4B">
        <w:rPr>
          <w:rFonts w:eastAsia="Arial"/>
        </w:rPr>
        <w:t>Therefore</w:t>
      </w:r>
      <w:r>
        <w:rPr>
          <w:rFonts w:eastAsia="Arial"/>
        </w:rPr>
        <w:t>,</w:t>
      </w:r>
      <w:r w:rsidRPr="00722F4B">
        <w:rPr>
          <w:rFonts w:eastAsia="Arial"/>
        </w:rPr>
        <w:t xml:space="preserve"> these findings also highlight the need for self-report measures that have been specifically validated in patients with </w:t>
      </w:r>
      <w:r>
        <w:rPr>
          <w:rFonts w:eastAsia="Arial"/>
        </w:rPr>
        <w:t>FNSD</w:t>
      </w:r>
      <w:r w:rsidRPr="00722F4B">
        <w:rPr>
          <w:rFonts w:eastAsia="Arial"/>
        </w:rPr>
        <w:t>, a more refined understanding and development of measures that capture the required information from this heterogeneous clinical population and</w:t>
      </w:r>
      <w:r>
        <w:rPr>
          <w:rFonts w:eastAsia="Arial"/>
        </w:rPr>
        <w:t xml:space="preserve"> </w:t>
      </w:r>
      <w:r w:rsidRPr="00722F4B">
        <w:rPr>
          <w:rFonts w:eastAsia="Arial"/>
        </w:rPr>
        <w:t>take account of the inherent complexities of the disorder.</w:t>
      </w:r>
      <w:r>
        <w:rPr>
          <w:rFonts w:eastAsia="Arial"/>
        </w:rPr>
        <w:t xml:space="preserve"> </w:t>
      </w:r>
      <w:r w:rsidRPr="00722F4B">
        <w:rPr>
          <w:rFonts w:eastAsia="Arial"/>
        </w:rPr>
        <w:t xml:space="preserve">This is particularly important when researchers aim to study the variable relationship between subjective symptoms as felt and expressed by patients and objectively measured physiological dysfunction or structural change. </w:t>
      </w:r>
    </w:p>
    <w:p w14:paraId="7E81CE49" w14:textId="38DBEF7A" w:rsidR="0060408E" w:rsidRPr="00722F4B" w:rsidRDefault="004D26BD" w:rsidP="004D26BD">
      <w:pPr>
        <w:pStyle w:val="Heading3"/>
        <w:rPr>
          <w:rFonts w:eastAsia="Arial"/>
        </w:rPr>
      </w:pPr>
      <w:bookmarkStart w:id="60" w:name="_1y810tw" w:colFirst="0" w:colLast="0"/>
      <w:bookmarkStart w:id="61" w:name="_Toc137504691"/>
      <w:bookmarkEnd w:id="60"/>
      <w:r>
        <w:rPr>
          <w:rFonts w:eastAsia="Arial"/>
        </w:rPr>
        <w:lastRenderedPageBreak/>
        <w:t>2.6</w:t>
      </w:r>
      <w:r w:rsidR="0060408E" w:rsidRPr="00722F4B">
        <w:rPr>
          <w:rFonts w:eastAsia="Arial"/>
        </w:rPr>
        <w:t>.1 Limitations</w:t>
      </w:r>
      <w:bookmarkEnd w:id="61"/>
    </w:p>
    <w:p w14:paraId="54D3BFFA" w14:textId="77777777" w:rsidR="0060408E" w:rsidRPr="00722F4B" w:rsidRDefault="0060408E" w:rsidP="00DB19B8">
      <w:pPr>
        <w:rPr>
          <w:rFonts w:eastAsia="Arial"/>
        </w:rPr>
      </w:pPr>
      <w:r w:rsidRPr="00722F4B">
        <w:rPr>
          <w:rFonts w:eastAsia="Arial"/>
        </w:rPr>
        <w:t>The conclusions of this review must be interpreted within the constraints of the limitations of the studies it included.</w:t>
      </w:r>
      <w:r>
        <w:rPr>
          <w:rFonts w:eastAsia="Arial"/>
        </w:rPr>
        <w:t xml:space="preserve"> </w:t>
      </w:r>
      <w:r w:rsidRPr="00722F4B">
        <w:rPr>
          <w:rFonts w:eastAsia="Arial"/>
        </w:rPr>
        <w:t xml:space="preserve">One principal limitation and relatively typical of </w:t>
      </w:r>
      <w:r>
        <w:rPr>
          <w:rFonts w:eastAsia="Arial"/>
        </w:rPr>
        <w:t>FNSD</w:t>
      </w:r>
      <w:r w:rsidRPr="00722F4B">
        <w:rPr>
          <w:rFonts w:eastAsia="Arial"/>
        </w:rPr>
        <w:t xml:space="preserve"> research studies was the small number of patients included in the reviewed studies.</w:t>
      </w:r>
      <w:r>
        <w:rPr>
          <w:rFonts w:eastAsia="Arial"/>
        </w:rPr>
        <w:t xml:space="preserve"> </w:t>
      </w:r>
      <w:r w:rsidRPr="00722F4B">
        <w:rPr>
          <w:rFonts w:eastAsia="Arial"/>
        </w:rPr>
        <w:t>This was consistently recognised as a limitation within the included articles</w:t>
      </w:r>
      <w:r>
        <w:rPr>
          <w:rFonts w:eastAsia="Arial"/>
        </w:rPr>
        <w:t xml:space="preserve">, </w:t>
      </w:r>
      <w:r w:rsidRPr="00722F4B">
        <w:rPr>
          <w:rFonts w:eastAsia="Arial"/>
        </w:rPr>
        <w:t>and a-priori analysis to calculate an adequately powered sample size was lacking in all studies.</w:t>
      </w:r>
      <w:r>
        <w:rPr>
          <w:rFonts w:eastAsia="Arial"/>
        </w:rPr>
        <w:t xml:space="preserve"> </w:t>
      </w:r>
      <w:r w:rsidRPr="00722F4B">
        <w:rPr>
          <w:rFonts w:eastAsia="Arial"/>
        </w:rPr>
        <w:t xml:space="preserve">In a disorder like </w:t>
      </w:r>
      <w:r>
        <w:rPr>
          <w:rFonts w:eastAsia="Arial"/>
        </w:rPr>
        <w:t>FNSD</w:t>
      </w:r>
      <w:r w:rsidRPr="00722F4B">
        <w:rPr>
          <w:rFonts w:eastAsia="Arial"/>
        </w:rPr>
        <w:t>, population heterogeneity means that small sample sizes and the use of mean scores might conceivably lead to false-positive results.</w:t>
      </w:r>
      <w:r>
        <w:rPr>
          <w:rFonts w:eastAsia="Arial"/>
        </w:rPr>
        <w:t xml:space="preserve"> </w:t>
      </w:r>
      <w:r w:rsidRPr="00722F4B">
        <w:rPr>
          <w:rFonts w:eastAsia="Arial"/>
        </w:rPr>
        <w:t>In addition, analyses involving multiple comparisons introduce a risk of type 1 errors.</w:t>
      </w:r>
      <w:r>
        <w:rPr>
          <w:rFonts w:eastAsia="Arial"/>
        </w:rPr>
        <w:t xml:space="preserve"> </w:t>
      </w:r>
      <w:r w:rsidRPr="00722F4B">
        <w:rPr>
          <w:rFonts w:eastAsia="Arial"/>
        </w:rPr>
        <w:t xml:space="preserve">Several of the studies did not reference any procedures to correct for this, meaning their results must be interpreted with caution. </w:t>
      </w:r>
    </w:p>
    <w:p w14:paraId="661ACED6" w14:textId="29E91177" w:rsidR="0060408E" w:rsidRPr="00722F4B" w:rsidRDefault="0060408E" w:rsidP="004D26BD">
      <w:pPr>
        <w:autoSpaceDE w:val="0"/>
        <w:autoSpaceDN w:val="0"/>
        <w:adjustRightInd w:val="0"/>
        <w:rPr>
          <w:rFonts w:eastAsia="Arial"/>
        </w:rPr>
      </w:pPr>
      <w:r w:rsidRPr="006028E5">
        <w:rPr>
          <w:rFonts w:eastAsia="Arial"/>
        </w:rPr>
        <w:t xml:space="preserve">In addition to the small samples, our quality appraisal revealed </w:t>
      </w:r>
      <w:r>
        <w:rPr>
          <w:rFonts w:eastAsia="Arial"/>
        </w:rPr>
        <w:t>that studies tended</w:t>
      </w:r>
      <w:r w:rsidRPr="006028E5">
        <w:rPr>
          <w:rFonts w:eastAsia="Arial"/>
        </w:rPr>
        <w:t xml:space="preserve"> to omit important methodological criteria, such as the measures taken for diagnostic certainty of the included patients or whether </w:t>
      </w:r>
      <w:r>
        <w:rPr>
          <w:rFonts w:eastAsia="Arial"/>
        </w:rPr>
        <w:t>F.S.</w:t>
      </w:r>
      <w:r w:rsidRPr="006028E5">
        <w:rPr>
          <w:rFonts w:eastAsia="Arial"/>
        </w:rPr>
        <w:t xml:space="preserve"> had been formally differentiated from other neurological comorbidities.</w:t>
      </w:r>
      <w:r>
        <w:rPr>
          <w:rFonts w:eastAsia="Arial"/>
        </w:rPr>
        <w:t xml:space="preserve"> </w:t>
      </w:r>
      <w:r w:rsidRPr="006028E5">
        <w:rPr>
          <w:rFonts w:eastAsia="Arial"/>
        </w:rPr>
        <w:t>Unclear or unreported study design was the only reason why some studies were excluded from this review after quality appraisal.</w:t>
      </w:r>
      <w:r>
        <w:rPr>
          <w:rFonts w:eastAsia="Arial"/>
        </w:rPr>
        <w:t xml:space="preserve"> </w:t>
      </w:r>
      <w:r w:rsidRPr="006028E5">
        <w:rPr>
          <w:rFonts w:eastAsia="Arial"/>
        </w:rPr>
        <w:t xml:space="preserve">To improve study design quality and reporting in this area, </w:t>
      </w:r>
      <w:r>
        <w:rPr>
          <w:rFonts w:eastAsia="Arial"/>
        </w:rPr>
        <w:t>researchers may benefit from</w:t>
      </w:r>
      <w:r w:rsidRPr="006028E5">
        <w:rPr>
          <w:rFonts w:eastAsia="Arial"/>
        </w:rPr>
        <w:t xml:space="preserve"> specific recommendations relevant to the field</w:t>
      </w:r>
      <w:r>
        <w:rPr>
          <w:rFonts w:eastAsia="Arial"/>
        </w:rPr>
        <w:t xml:space="preserve"> </w:t>
      </w:r>
      <w:sdt>
        <w:sdtPr>
          <w:rPr>
            <w:rFonts w:eastAsia="Arial"/>
            <w:color w:val="000000"/>
          </w:rPr>
          <w:tag w:val="MENDELEY_CITATION_v3_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"/>
          <w:id w:val="1503846656"/>
          <w:placeholder>
            <w:docPart w:val="3BBE6AC8ADF92943B7103F1B75274D1A"/>
          </w:placeholder>
        </w:sdtPr>
        <w:sdtContent>
          <w:r w:rsidR="0047170A">
            <w:rPr>
              <w:rFonts w:eastAsia="Times New Roman"/>
            </w:rPr>
            <w:t>(R. J. Brown &amp; Reuber, 2016a)</w:t>
          </w:r>
        </w:sdtContent>
      </w:sdt>
      <w:r w:rsidRPr="006028E5">
        <w:rPr>
          <w:rFonts w:eastAsia="Arial"/>
        </w:rPr>
        <w:t xml:space="preserve"> and established guidelines for publication (e.g., www.strobe-statement.org)</w:t>
      </w:r>
      <w:r w:rsidR="004D26BD">
        <w:rPr>
          <w:rFonts w:eastAsia="Arial"/>
        </w:rPr>
        <w:t>.</w:t>
      </w:r>
    </w:p>
    <w:p w14:paraId="2D7DDCDB" w14:textId="4D88FB49" w:rsidR="0060408E" w:rsidRPr="00722F4B" w:rsidRDefault="0060408E" w:rsidP="00DB19B8">
      <w:pPr>
        <w:rPr>
          <w:rFonts w:eastAsia="Arial"/>
        </w:rPr>
      </w:pPr>
      <w:r>
        <w:rPr>
          <w:rFonts w:eastAsia="Arial"/>
          <w:color w:val="000000"/>
        </w:rPr>
        <w:t xml:space="preserve">Despite the inclusion criteria for this review, there was still significant </w:t>
      </w:r>
      <w:r w:rsidRPr="00722F4B">
        <w:rPr>
          <w:rFonts w:eastAsia="Arial"/>
          <w:color w:val="000000"/>
        </w:rPr>
        <w:t>variability in diagnostic certainty</w:t>
      </w:r>
      <w:r>
        <w:rPr>
          <w:rFonts w:eastAsia="Arial"/>
          <w:color w:val="000000"/>
        </w:rPr>
        <w:t xml:space="preserve"> found in the included studies</w:t>
      </w:r>
      <w:r w:rsidRPr="00722F4B">
        <w:rPr>
          <w:rFonts w:eastAsia="Arial"/>
          <w:color w:val="000000"/>
        </w:rPr>
        <w:t>.</w:t>
      </w:r>
      <w:r>
        <w:rPr>
          <w:rFonts w:eastAsia="Arial"/>
          <w:color w:val="000000"/>
        </w:rPr>
        <w:t xml:space="preserve"> </w:t>
      </w:r>
      <w:r w:rsidRPr="00722F4B">
        <w:rPr>
          <w:rFonts w:eastAsia="Arial"/>
          <w:color w:val="000000"/>
        </w:rPr>
        <w:t>The current review included only studies that reference</w:t>
      </w:r>
      <w:r>
        <w:rPr>
          <w:rFonts w:eastAsia="Arial"/>
          <w:color w:val="000000"/>
        </w:rPr>
        <w:t>d</w:t>
      </w:r>
      <w:r w:rsidRPr="00722F4B">
        <w:rPr>
          <w:rFonts w:eastAsia="Arial"/>
          <w:color w:val="000000"/>
        </w:rPr>
        <w:t xml:space="preserve"> patients that fit the DSM-5 criteria for </w:t>
      </w:r>
      <w:r>
        <w:rPr>
          <w:rFonts w:eastAsia="Arial"/>
          <w:color w:val="000000"/>
        </w:rPr>
        <w:t>FNSD</w:t>
      </w:r>
      <w:r w:rsidRPr="00722F4B">
        <w:rPr>
          <w:rFonts w:eastAsia="Arial"/>
          <w:color w:val="000000"/>
        </w:rPr>
        <w:t xml:space="preserve"> or referenced established diagnostic criteria for the study sample</w:t>
      </w:r>
      <w:r>
        <w:rPr>
          <w:rFonts w:eastAsia="Arial"/>
          <w:color w:val="000000"/>
        </w:rPr>
        <w:t>;</w:t>
      </w:r>
      <w:r w:rsidRPr="00722F4B">
        <w:rPr>
          <w:rFonts w:eastAsia="Arial"/>
          <w:color w:val="000000"/>
        </w:rPr>
        <w:t xml:space="preserve"> however, the studies varied in their inclusion criteria and the extent to which they scrutinised the diagnosis of the patients.</w:t>
      </w:r>
      <w:r>
        <w:rPr>
          <w:rFonts w:eastAsia="Arial"/>
          <w:color w:val="000000"/>
        </w:rPr>
        <w:t xml:space="preserve"> </w:t>
      </w:r>
      <w:r w:rsidRPr="00722F4B">
        <w:rPr>
          <w:rFonts w:eastAsia="Arial"/>
        </w:rPr>
        <w:t xml:space="preserve">Given the variable sensitivity and specificity of signs of </w:t>
      </w:r>
      <w:r>
        <w:rPr>
          <w:rFonts w:eastAsia="Arial"/>
        </w:rPr>
        <w:t>FNSD</w:t>
      </w:r>
      <w:r w:rsidRPr="00722F4B">
        <w:rPr>
          <w:rFonts w:eastAsia="Arial"/>
        </w:rPr>
        <w:t xml:space="preserve"> and the lack of a gold standard to differentiate between different </w:t>
      </w:r>
      <w:r>
        <w:rPr>
          <w:rFonts w:eastAsia="Arial"/>
        </w:rPr>
        <w:t>FNSD</w:t>
      </w:r>
      <w:r w:rsidRPr="00722F4B">
        <w:rPr>
          <w:rFonts w:eastAsia="Arial"/>
        </w:rPr>
        <w:t>s, incorrect diagnoses may have been given to participants.</w:t>
      </w:r>
      <w:r>
        <w:rPr>
          <w:rFonts w:eastAsia="Arial"/>
        </w:rPr>
        <w:t xml:space="preserve"> </w:t>
      </w:r>
      <w:r w:rsidRPr="00722F4B">
        <w:rPr>
          <w:rFonts w:eastAsia="Arial"/>
        </w:rPr>
        <w:t xml:space="preserve">Diagnostic certainty is paramount to ensure </w:t>
      </w:r>
      <w:r>
        <w:rPr>
          <w:rFonts w:eastAsia="Arial"/>
        </w:rPr>
        <w:t xml:space="preserve">an </w:t>
      </w:r>
      <w:r w:rsidRPr="00722F4B">
        <w:rPr>
          <w:rFonts w:eastAsia="Arial"/>
        </w:rPr>
        <w:t>accurate representation of the patient group and to avoid potential reasoning bias among patients</w:t>
      </w:r>
      <w:r>
        <w:rPr>
          <w:rFonts w:eastAsia="Arial"/>
        </w:rPr>
        <w:t xml:space="preserve"> </w:t>
      </w:r>
      <w:sdt>
        <w:sdtPr>
          <w:rPr>
            <w:rFonts w:eastAsia="Arial"/>
            <w:color w:val="000000"/>
          </w:rPr>
          <w:tag w:val="MENDELEY_CITATION_v3_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"/>
          <w:id w:val="-989094913"/>
          <w:placeholder>
            <w:docPart w:val="3BBE6AC8ADF92943B7103F1B75274D1A"/>
          </w:placeholder>
        </w:sdtPr>
        <w:sdtContent>
          <w:r w:rsidR="0047170A" w:rsidRPr="0047170A">
            <w:rPr>
              <w:rFonts w:eastAsia="Arial"/>
              <w:color w:val="000000"/>
            </w:rPr>
            <w:t>(</w:t>
          </w:r>
          <w:proofErr w:type="spellStart"/>
          <w:r w:rsidR="0047170A" w:rsidRPr="0047170A">
            <w:rPr>
              <w:rFonts w:eastAsia="Arial"/>
              <w:color w:val="000000"/>
            </w:rPr>
            <w:t>Daum</w:t>
          </w:r>
          <w:proofErr w:type="spellEnd"/>
          <w:r w:rsidR="0047170A" w:rsidRPr="0047170A">
            <w:rPr>
              <w:rFonts w:eastAsia="Arial"/>
              <w:color w:val="000000"/>
            </w:rPr>
            <w:t xml:space="preserve"> et al., 2014)</w:t>
          </w:r>
        </w:sdtContent>
      </w:sdt>
      <w:r w:rsidRPr="00722F4B">
        <w:rPr>
          <w:rFonts w:eastAsia="Arial"/>
        </w:rPr>
        <w:t>.</w:t>
      </w:r>
      <w:r>
        <w:rPr>
          <w:rFonts w:eastAsia="Arial"/>
        </w:rPr>
        <w:t xml:space="preserve"> </w:t>
      </w:r>
      <w:r w:rsidRPr="00722F4B">
        <w:rPr>
          <w:rFonts w:eastAsia="Arial"/>
        </w:rPr>
        <w:t>Furthermore, recruitment and inclusion bias were potentially present in most samples due to recruitment within specialist healthcare clinics and/or non-consecutive sampling.</w:t>
      </w:r>
    </w:p>
    <w:p w14:paraId="508E93BA" w14:textId="3F2C09F8" w:rsidR="0060408E" w:rsidRPr="00722F4B" w:rsidRDefault="0060408E" w:rsidP="00DB19B8">
      <w:pPr>
        <w:rPr>
          <w:rFonts w:eastAsia="Arial"/>
        </w:rPr>
      </w:pPr>
      <w:r w:rsidRPr="00722F4B">
        <w:rPr>
          <w:rFonts w:eastAsia="Arial"/>
        </w:rPr>
        <w:t xml:space="preserve">A further limitation of the reviewed studies is </w:t>
      </w:r>
      <w:r>
        <w:rPr>
          <w:rFonts w:eastAsia="Arial"/>
        </w:rPr>
        <w:t>the</w:t>
      </w:r>
      <w:r w:rsidRPr="00722F4B">
        <w:rPr>
          <w:rFonts w:eastAsia="Arial"/>
        </w:rPr>
        <w:t xml:space="preserve"> reliab</w:t>
      </w:r>
      <w:r>
        <w:rPr>
          <w:rFonts w:eastAsia="Arial"/>
        </w:rPr>
        <w:t>ility of</w:t>
      </w:r>
      <w:r w:rsidRPr="00722F4B">
        <w:rPr>
          <w:rFonts w:eastAsia="Arial"/>
        </w:rPr>
        <w:t xml:space="preserve"> the included measures.</w:t>
      </w:r>
      <w:r>
        <w:rPr>
          <w:rFonts w:eastAsia="Arial"/>
        </w:rPr>
        <w:t xml:space="preserve"> </w:t>
      </w:r>
      <w:r w:rsidRPr="00722F4B">
        <w:rPr>
          <w:rFonts w:eastAsia="Arial"/>
        </w:rPr>
        <w:t>While some studies supplied at least one appropriate measure of reliability</w:t>
      </w:r>
      <w:r>
        <w:rPr>
          <w:rFonts w:eastAsia="Arial"/>
        </w:rPr>
        <w:t xml:space="preserve"> </w:t>
      </w:r>
      <w:sdt>
        <w:sdtPr>
          <w:rPr>
            <w:rFonts w:eastAsia="Arial"/>
            <w:color w:val="000000"/>
          </w:rPr>
          <w:tag w:val="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"/>
          <w:id w:val="1860858690"/>
          <w:placeholder>
            <w:docPart w:val="3BBE6AC8ADF92943B7103F1B75274D1A"/>
          </w:placeholder>
        </w:sdtPr>
        <w:sdtContent>
          <w:r w:rsidR="0047170A" w:rsidRPr="0047170A">
            <w:rPr>
              <w:rFonts w:eastAsia="Arial"/>
              <w:color w:val="000000"/>
            </w:rPr>
            <w:t xml:space="preserve">(Novakova </w:t>
          </w:r>
          <w:r w:rsidR="0047170A" w:rsidRPr="0047170A">
            <w:rPr>
              <w:rFonts w:eastAsia="Arial"/>
              <w:color w:val="000000"/>
            </w:rPr>
            <w:lastRenderedPageBreak/>
            <w:t>et al., 2017; Ricciardi et al., 2016; Roberts et al., 2012)</w:t>
          </w:r>
        </w:sdtContent>
      </w:sdt>
      <w:r w:rsidRPr="00722F4B">
        <w:rPr>
          <w:rFonts w:eastAsia="Arial"/>
        </w:rPr>
        <w:t xml:space="preserve">, such as </w:t>
      </w:r>
      <w:r>
        <w:rPr>
          <w:rFonts w:eastAsia="Arial"/>
        </w:rPr>
        <w:t>Cronbach's</w:t>
      </w:r>
      <w:r w:rsidRPr="00722F4B">
        <w:rPr>
          <w:rFonts w:eastAsia="Arial"/>
        </w:rPr>
        <w:t xml:space="preserve"> alpha, there were several omissions across studies and data were generally incomplete. </w:t>
      </w:r>
    </w:p>
    <w:p w14:paraId="08C61C11" w14:textId="77777777" w:rsidR="0060408E" w:rsidRPr="00722F4B" w:rsidRDefault="0060408E" w:rsidP="00DB19B8">
      <w:pPr>
        <w:rPr>
          <w:rFonts w:eastAsia="Arial"/>
        </w:rPr>
      </w:pPr>
      <w:r w:rsidRPr="00722F4B">
        <w:rPr>
          <w:rFonts w:eastAsia="Arial"/>
        </w:rPr>
        <w:t>Finally, the studies in this review were limited to those that included directly comparable data by way of correlation between self-report and objective measures or included a reference to any relationship explored or identified.</w:t>
      </w:r>
      <w:r>
        <w:rPr>
          <w:rFonts w:eastAsia="Arial"/>
        </w:rPr>
        <w:t xml:space="preserve"> </w:t>
      </w:r>
      <w:r w:rsidRPr="00722F4B">
        <w:rPr>
          <w:rFonts w:eastAsia="Arial"/>
        </w:rPr>
        <w:t xml:space="preserve">Access to primary data from each study was not feasible; therefore, we relied solely on </w:t>
      </w:r>
      <w:r>
        <w:rPr>
          <w:rFonts w:eastAsia="Arial"/>
        </w:rPr>
        <w:t xml:space="preserve">the </w:t>
      </w:r>
      <w:r w:rsidRPr="00722F4B">
        <w:rPr>
          <w:rFonts w:eastAsia="Arial"/>
        </w:rPr>
        <w:t>reported comparison.</w:t>
      </w:r>
      <w:r>
        <w:rPr>
          <w:rFonts w:eastAsia="Arial"/>
        </w:rPr>
        <w:t xml:space="preserve"> </w:t>
      </w:r>
      <w:r w:rsidRPr="00722F4B">
        <w:rPr>
          <w:rFonts w:eastAsia="Arial"/>
        </w:rPr>
        <w:t xml:space="preserve">This reduced the number of studies with relevant analyses and limited our ability </w:t>
      </w:r>
      <w:r>
        <w:rPr>
          <w:rFonts w:eastAsia="Arial"/>
        </w:rPr>
        <w:t>to assess the degree of agreement between the two measures accurately</w:t>
      </w:r>
      <w:r w:rsidRPr="00722F4B">
        <w:rPr>
          <w:rFonts w:eastAsia="Arial"/>
        </w:rPr>
        <w:t>.</w:t>
      </w:r>
      <w:r>
        <w:rPr>
          <w:rFonts w:eastAsia="Arial"/>
        </w:rPr>
        <w:t xml:space="preserve"> </w:t>
      </w:r>
      <w:r w:rsidRPr="00722F4B">
        <w:rPr>
          <w:rFonts w:eastAsia="Arial"/>
        </w:rPr>
        <w:t xml:space="preserve">The review did not assess in detail the agreement between individual correlations for corresponding measures but </w:t>
      </w:r>
      <w:r>
        <w:rPr>
          <w:rFonts w:eastAsia="Arial"/>
        </w:rPr>
        <w:t xml:space="preserve">instead categorised </w:t>
      </w:r>
      <w:r w:rsidRPr="00722F4B">
        <w:rPr>
          <w:rFonts w:eastAsia="Arial"/>
        </w:rPr>
        <w:t>the studies to investigate any emerging patterns.</w:t>
      </w:r>
      <w:r>
        <w:rPr>
          <w:rFonts w:eastAsia="Arial"/>
        </w:rPr>
        <w:t xml:space="preserve"> </w:t>
      </w:r>
      <w:r w:rsidRPr="00722F4B">
        <w:rPr>
          <w:rFonts w:eastAsia="Arial"/>
        </w:rPr>
        <w:t>Finally, this review did not discern between differences in study protocols related to or collection of the measurements and other population</w:t>
      </w:r>
      <w:r>
        <w:rPr>
          <w:rFonts w:eastAsia="Arial"/>
        </w:rPr>
        <w:t>-</w:t>
      </w:r>
      <w:r w:rsidRPr="00722F4B">
        <w:rPr>
          <w:rFonts w:eastAsia="Arial"/>
        </w:rPr>
        <w:t>specific characteristics.</w:t>
      </w:r>
    </w:p>
    <w:p w14:paraId="332F7552" w14:textId="0434B125" w:rsidR="0060408E" w:rsidRPr="00722F4B" w:rsidRDefault="0060408E" w:rsidP="004D26BD">
      <w:pPr>
        <w:pStyle w:val="Heading3"/>
        <w:rPr>
          <w:rFonts w:eastAsia="Arial"/>
        </w:rPr>
      </w:pPr>
      <w:bookmarkStart w:id="62" w:name="_4i7ojhp" w:colFirst="0" w:colLast="0"/>
      <w:bookmarkStart w:id="63" w:name="_Toc137504692"/>
      <w:bookmarkEnd w:id="62"/>
      <w:r w:rsidRPr="00722F4B">
        <w:rPr>
          <w:rFonts w:eastAsia="Arial"/>
        </w:rPr>
        <w:t>2</w:t>
      </w:r>
      <w:r w:rsidR="004D26BD">
        <w:rPr>
          <w:rFonts w:eastAsia="Arial"/>
        </w:rPr>
        <w:t xml:space="preserve">.6.2 </w:t>
      </w:r>
      <w:r w:rsidRPr="00722F4B">
        <w:rPr>
          <w:rFonts w:eastAsia="Arial"/>
        </w:rPr>
        <w:t xml:space="preserve"> Future directions</w:t>
      </w:r>
      <w:bookmarkEnd w:id="63"/>
    </w:p>
    <w:p w14:paraId="3EB486A8" w14:textId="77777777" w:rsidR="0060408E" w:rsidRPr="00722F4B" w:rsidRDefault="0060408E" w:rsidP="00DB19B8">
      <w:pPr>
        <w:pBdr>
          <w:top w:val="nil"/>
          <w:left w:val="nil"/>
          <w:bottom w:val="nil"/>
          <w:right w:val="nil"/>
          <w:between w:val="nil"/>
        </w:pBdr>
        <w:spacing w:after="160"/>
        <w:rPr>
          <w:rFonts w:eastAsia="Arial"/>
        </w:rPr>
      </w:pPr>
      <w:r w:rsidRPr="00722F4B">
        <w:rPr>
          <w:rFonts w:eastAsia="Arial"/>
        </w:rPr>
        <w:t xml:space="preserve">The limited literature regarding the discrepancy between subjective and objective measures as well as the limitations of the available literature necessitate further research before firm conclusions about this relationship in patients with </w:t>
      </w:r>
      <w:r>
        <w:rPr>
          <w:rFonts w:eastAsia="Arial"/>
        </w:rPr>
        <w:t>F.S.</w:t>
      </w:r>
      <w:r w:rsidRPr="00722F4B">
        <w:rPr>
          <w:rFonts w:eastAsia="Arial"/>
        </w:rPr>
        <w:t xml:space="preserve"> and other manifestations of </w:t>
      </w:r>
      <w:r>
        <w:rPr>
          <w:rFonts w:eastAsia="Arial"/>
        </w:rPr>
        <w:t>FNSD</w:t>
      </w:r>
      <w:r w:rsidRPr="00722F4B">
        <w:rPr>
          <w:rFonts w:eastAsia="Arial"/>
        </w:rPr>
        <w:t xml:space="preserve"> can be reached.</w:t>
      </w:r>
    </w:p>
    <w:p w14:paraId="2E9EB9E4" w14:textId="77777777" w:rsidR="0060408E" w:rsidRDefault="0060408E" w:rsidP="00DB19B8">
      <w:pPr>
        <w:rPr>
          <w:rFonts w:eastAsia="Arial"/>
        </w:rPr>
      </w:pPr>
      <w:r w:rsidRPr="00722F4B">
        <w:rPr>
          <w:rFonts w:eastAsia="Arial"/>
        </w:rPr>
        <w:t xml:space="preserve">Future research involving sufficiently powered studies should explore the factors that affect </w:t>
      </w:r>
      <w:r>
        <w:rPr>
          <w:rFonts w:eastAsia="Arial"/>
        </w:rPr>
        <w:t>or moderate patients'</w:t>
      </w:r>
      <w:r w:rsidRPr="00722F4B">
        <w:rPr>
          <w:rFonts w:eastAsia="Arial"/>
        </w:rPr>
        <w:t xml:space="preserve"> self-perceptions of their physiological state and the clinical relevance of discrepancies between subjective and objective measures.</w:t>
      </w:r>
      <w:r>
        <w:rPr>
          <w:rFonts w:eastAsia="Arial"/>
        </w:rPr>
        <w:t xml:space="preserve"> An interesting factor to explore would be whether psychological intervention and other treatment modalities affect the relationship between subjective and objective findings in this patient group, particularly as making the 'unconscious conscious' is an important aspect of psychotherapies for FNSD. </w:t>
      </w:r>
    </w:p>
    <w:p w14:paraId="1A4E3805" w14:textId="77777777" w:rsidR="0060408E" w:rsidRPr="00722F4B" w:rsidRDefault="0060408E" w:rsidP="00DB19B8">
      <w:pPr>
        <w:rPr>
          <w:rFonts w:eastAsia="Arial"/>
        </w:rPr>
      </w:pPr>
      <w:r w:rsidRPr="00722F4B">
        <w:rPr>
          <w:rFonts w:eastAsia="Arial"/>
        </w:rPr>
        <w:t xml:space="preserve">The development of specific measures for </w:t>
      </w:r>
      <w:r>
        <w:rPr>
          <w:rFonts w:eastAsia="Arial"/>
        </w:rPr>
        <w:t>FNSD</w:t>
      </w:r>
      <w:r w:rsidRPr="00722F4B">
        <w:rPr>
          <w:rFonts w:eastAsia="Arial"/>
        </w:rPr>
        <w:t xml:space="preserve"> should involve researchers talking to patients with </w:t>
      </w:r>
      <w:r>
        <w:rPr>
          <w:rFonts w:eastAsia="Arial"/>
        </w:rPr>
        <w:t>FNSD</w:t>
      </w:r>
      <w:r w:rsidRPr="00722F4B">
        <w:rPr>
          <w:rFonts w:eastAsia="Arial"/>
        </w:rPr>
        <w:t xml:space="preserve"> to identify the most important determinants of disability and distress in this disorder</w:t>
      </w:r>
      <w:r>
        <w:rPr>
          <w:rFonts w:eastAsia="Arial"/>
        </w:rPr>
        <w:t>, while g</w:t>
      </w:r>
      <w:r w:rsidRPr="00722F4B">
        <w:rPr>
          <w:rFonts w:eastAsia="Arial"/>
        </w:rPr>
        <w:t xml:space="preserve">eneric </w:t>
      </w:r>
      <w:r>
        <w:rPr>
          <w:rFonts w:eastAsia="Arial"/>
        </w:rPr>
        <w:t xml:space="preserve">self-report </w:t>
      </w:r>
      <w:r w:rsidRPr="00722F4B">
        <w:rPr>
          <w:rFonts w:eastAsia="Arial"/>
        </w:rPr>
        <w:t>measures</w:t>
      </w:r>
      <w:r>
        <w:rPr>
          <w:rFonts w:eastAsia="Arial"/>
        </w:rPr>
        <w:t xml:space="preserve"> commonly used in FNSD-related research</w:t>
      </w:r>
      <w:r w:rsidRPr="00722F4B">
        <w:rPr>
          <w:rFonts w:eastAsia="Arial"/>
        </w:rPr>
        <w:t xml:space="preserve"> require validation in </w:t>
      </w:r>
      <w:r>
        <w:rPr>
          <w:rFonts w:eastAsia="Arial"/>
        </w:rPr>
        <w:t>specific FNSD samples</w:t>
      </w:r>
      <w:r w:rsidRPr="00722F4B">
        <w:rPr>
          <w:rFonts w:eastAsia="Arial"/>
        </w:rPr>
        <w:t>.</w:t>
      </w:r>
      <w:r>
        <w:rPr>
          <w:rFonts w:eastAsia="Arial"/>
        </w:rPr>
        <w:t xml:space="preserve"> </w:t>
      </w:r>
    </w:p>
    <w:p w14:paraId="45C7E9A3" w14:textId="6C4BDCE8" w:rsidR="0060408E" w:rsidRPr="00E25EAA" w:rsidRDefault="004D26BD" w:rsidP="004D26BD">
      <w:pPr>
        <w:pStyle w:val="Heading2"/>
        <w:rPr>
          <w:rFonts w:eastAsia="Arial"/>
        </w:rPr>
      </w:pPr>
      <w:bookmarkStart w:id="64" w:name="_2xcytpi" w:colFirst="0" w:colLast="0"/>
      <w:bookmarkStart w:id="65" w:name="_Toc137504693"/>
      <w:bookmarkEnd w:id="64"/>
      <w:r>
        <w:rPr>
          <w:rFonts w:eastAsia="Arial"/>
        </w:rPr>
        <w:t>2</w:t>
      </w:r>
      <w:r w:rsidR="0060408E" w:rsidRPr="00E25EAA">
        <w:rPr>
          <w:rFonts w:eastAsia="Arial"/>
        </w:rPr>
        <w:t>.</w:t>
      </w:r>
      <w:r>
        <w:rPr>
          <w:rFonts w:eastAsia="Arial"/>
        </w:rPr>
        <w:t>7</w:t>
      </w:r>
      <w:r w:rsidR="0060408E" w:rsidRPr="00E25EAA">
        <w:rPr>
          <w:rFonts w:eastAsia="Arial"/>
        </w:rPr>
        <w:t xml:space="preserve"> Conclusions</w:t>
      </w:r>
      <w:bookmarkEnd w:id="65"/>
    </w:p>
    <w:p w14:paraId="215AF98B" w14:textId="77777777" w:rsidR="0060408E" w:rsidRPr="00EF5DF1" w:rsidRDefault="0060408E" w:rsidP="00DB19B8">
      <w:pPr>
        <w:rPr>
          <w:rFonts w:eastAsia="Arial"/>
        </w:rPr>
        <w:sectPr w:rsidR="0060408E" w:rsidRPr="00EF5DF1" w:rsidSect="00854557">
          <w:footerReference w:type="even" r:id="rId9"/>
          <w:footerReference w:type="default" r:id="rId10"/>
          <w:footerReference w:type="first" r:id="rId11"/>
          <w:pgSz w:w="11900" w:h="16840"/>
          <w:pgMar w:top="1440" w:right="1440" w:bottom="1440" w:left="1440" w:header="708" w:footer="708" w:gutter="0"/>
          <w:cols w:space="708"/>
          <w:titlePg/>
          <w:docGrid w:linePitch="360"/>
        </w:sectPr>
      </w:pPr>
      <w:r>
        <w:rPr>
          <w:rFonts w:eastAsia="Arial"/>
        </w:rPr>
        <w:t>FNSD</w:t>
      </w:r>
      <w:r w:rsidRPr="00E25EAA">
        <w:rPr>
          <w:rFonts w:eastAsia="Arial"/>
        </w:rPr>
        <w:t xml:space="preserve"> has features that make outcome measurement particularly complex.</w:t>
      </w:r>
      <w:r>
        <w:rPr>
          <w:rFonts w:eastAsia="Arial"/>
        </w:rPr>
        <w:t xml:space="preserve"> </w:t>
      </w:r>
      <w:r w:rsidRPr="00E25EAA">
        <w:rPr>
          <w:rFonts w:eastAsia="Arial"/>
        </w:rPr>
        <w:t xml:space="preserve">Some of these features, such as the heterogeneity and variability of </w:t>
      </w:r>
      <w:r>
        <w:rPr>
          <w:rFonts w:eastAsia="Arial"/>
        </w:rPr>
        <w:t>FNSD</w:t>
      </w:r>
      <w:r w:rsidRPr="00E25EAA">
        <w:rPr>
          <w:rFonts w:eastAsia="Arial"/>
        </w:rPr>
        <w:t xml:space="preserve"> manifestations </w:t>
      </w:r>
      <w:r w:rsidRPr="00E25EAA">
        <w:rPr>
          <w:rFonts w:eastAsia="Arial"/>
        </w:rPr>
        <w:lastRenderedPageBreak/>
        <w:t xml:space="preserve">(including </w:t>
      </w:r>
      <w:r>
        <w:rPr>
          <w:rFonts w:eastAsia="Arial"/>
        </w:rPr>
        <w:t>F.S.</w:t>
      </w:r>
      <w:r w:rsidRPr="00E25EAA">
        <w:rPr>
          <w:rFonts w:eastAsia="Arial"/>
        </w:rPr>
        <w:t>) limit the use and interpretability of subjective and objective current-state measures.</w:t>
      </w:r>
      <w:r>
        <w:rPr>
          <w:rFonts w:eastAsia="Arial"/>
        </w:rPr>
        <w:t xml:space="preserve"> </w:t>
      </w:r>
      <w:r w:rsidRPr="00E25EAA">
        <w:rPr>
          <w:rFonts w:eastAsia="Arial"/>
        </w:rPr>
        <w:t>The very limited correlations between objective and subjective measures in this patient group do not mean that symptoms are wilfully produced or that outcomes simply cannot be measured.</w:t>
      </w:r>
      <w:r>
        <w:rPr>
          <w:rFonts w:eastAsia="Arial"/>
        </w:rPr>
        <w:t xml:space="preserve"> </w:t>
      </w:r>
      <w:r w:rsidRPr="00E25EAA">
        <w:rPr>
          <w:rFonts w:eastAsia="Arial"/>
        </w:rPr>
        <w:t>In many cases</w:t>
      </w:r>
      <w:r>
        <w:rPr>
          <w:rFonts w:eastAsia="Arial"/>
        </w:rPr>
        <w:t>,</w:t>
      </w:r>
      <w:r w:rsidRPr="00E25EAA">
        <w:rPr>
          <w:rFonts w:eastAsia="Arial"/>
        </w:rPr>
        <w:t xml:space="preserve"> the combination of subjective and objective measures is likely to produce the most comprehensive understanding of </w:t>
      </w:r>
      <w:r>
        <w:rPr>
          <w:rFonts w:eastAsia="Arial"/>
        </w:rPr>
        <w:t>patients'</w:t>
      </w:r>
      <w:r w:rsidRPr="00E25EAA">
        <w:rPr>
          <w:rFonts w:eastAsia="Arial"/>
        </w:rPr>
        <w:t xml:space="preserve"> current state or treatment outcome, and the size of the discrepancy between subjective and objective measures may provide additional useful insights into the underlying pathology.</w:t>
      </w:r>
      <w:r>
        <w:rPr>
          <w:rFonts w:eastAsia="Arial"/>
        </w:rPr>
        <w:t xml:space="preserve"> </w:t>
      </w:r>
      <w:r w:rsidRPr="00E25EAA">
        <w:rPr>
          <w:rFonts w:eastAsia="Arial"/>
        </w:rPr>
        <w:t xml:space="preserve">The findings of this review underscore the importance of a better validation of outcome measures in patients with </w:t>
      </w:r>
      <w:r>
        <w:rPr>
          <w:rFonts w:eastAsia="Arial"/>
        </w:rPr>
        <w:t>FNSD</w:t>
      </w:r>
      <w:r w:rsidRPr="00E25EAA">
        <w:rPr>
          <w:rFonts w:eastAsia="Arial"/>
        </w:rPr>
        <w:t xml:space="preserve"> and </w:t>
      </w:r>
      <w:r>
        <w:rPr>
          <w:rFonts w:eastAsia="Arial"/>
        </w:rPr>
        <w:t>of</w:t>
      </w:r>
      <w:r w:rsidRPr="00E25EAA">
        <w:rPr>
          <w:rFonts w:eastAsia="Arial"/>
        </w:rPr>
        <w:t xml:space="preserve"> a careful selection of the most appropriate measures for the particular research</w:t>
      </w:r>
      <w:r>
        <w:rPr>
          <w:rFonts w:eastAsia="Arial"/>
        </w:rPr>
        <w:t xml:space="preserve"> objectives.</w:t>
      </w:r>
    </w:p>
    <w:p w14:paraId="1472AE30" w14:textId="01D32AE3" w:rsidR="0060408E" w:rsidRPr="004D26BD" w:rsidRDefault="0060408E" w:rsidP="00DB19B8">
      <w:pPr>
        <w:rPr>
          <w:b/>
          <w:bCs/>
          <w:i/>
          <w:iCs/>
        </w:rPr>
      </w:pPr>
      <w:r w:rsidRPr="00E25EAA">
        <w:rPr>
          <w:b/>
          <w:bCs/>
          <w:i/>
          <w:iCs/>
        </w:rPr>
        <w:lastRenderedPageBreak/>
        <w:t>Table 1.</w:t>
      </w:r>
      <w:r>
        <w:rPr>
          <w:b/>
          <w:bCs/>
          <w:i/>
          <w:iCs/>
        </w:rPr>
        <w:t xml:space="preserve"> </w:t>
      </w:r>
      <w:r w:rsidRPr="00E25EAA">
        <w:rPr>
          <w:b/>
          <w:bCs/>
          <w:i/>
          <w:iCs/>
        </w:rPr>
        <w:t>Correlations between self-report scores and obj</w:t>
      </w:r>
      <w:r>
        <w:rPr>
          <w:b/>
          <w:bCs/>
          <w:i/>
          <w:iCs/>
        </w:rPr>
        <w:t>ective measures reported in the</w:t>
      </w:r>
      <w:r w:rsidR="004D26BD">
        <w:rPr>
          <w:b/>
          <w:bCs/>
          <w:i/>
          <w:iCs/>
        </w:rPr>
        <w:t xml:space="preserve"> </w:t>
      </w:r>
      <w:r>
        <w:rPr>
          <w:b/>
          <w:bCs/>
          <w:i/>
          <w:iCs/>
        </w:rPr>
        <w:t>s</w:t>
      </w:r>
      <w:r w:rsidRPr="00E25EAA">
        <w:rPr>
          <w:b/>
          <w:bCs/>
          <w:i/>
          <w:iCs/>
        </w:rPr>
        <w:t>tudies</w:t>
      </w:r>
    </w:p>
    <w:tbl>
      <w:tblPr>
        <w:tblStyle w:val="PlainTable1"/>
        <w:tblW w:w="7729" w:type="pct"/>
        <w:tblLayout w:type="fixed"/>
        <w:tblLook w:val="04A0" w:firstRow="1" w:lastRow="0" w:firstColumn="1" w:lastColumn="0" w:noHBand="0" w:noVBand="1"/>
      </w:tblPr>
      <w:tblGrid>
        <w:gridCol w:w="1839"/>
        <w:gridCol w:w="1276"/>
        <w:gridCol w:w="2125"/>
        <w:gridCol w:w="2269"/>
        <w:gridCol w:w="3683"/>
        <w:gridCol w:w="3261"/>
      </w:tblGrid>
      <w:tr w:rsidR="0060408E" w:rsidRPr="004D26BD" w14:paraId="7B56A5A9" w14:textId="77777777" w:rsidTr="004D26BD">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36" w:type="pct"/>
            <w:vMerge w:val="restart"/>
            <w:vAlign w:val="center"/>
          </w:tcPr>
          <w:p w14:paraId="0E912C60" w14:textId="77777777" w:rsidR="0060408E" w:rsidRPr="004D26BD" w:rsidRDefault="0060408E" w:rsidP="004D26BD">
            <w:pPr>
              <w:spacing w:line="240" w:lineRule="auto"/>
              <w:jc w:val="center"/>
              <w:rPr>
                <w:b w:val="0"/>
                <w:bCs w:val="0"/>
                <w:sz w:val="18"/>
                <w:szCs w:val="20"/>
              </w:rPr>
            </w:pPr>
            <w:r w:rsidRPr="004D26BD">
              <w:rPr>
                <w:b w:val="0"/>
                <w:bCs w:val="0"/>
                <w:sz w:val="18"/>
                <w:szCs w:val="20"/>
              </w:rPr>
              <w:t>Category</w:t>
            </w:r>
          </w:p>
          <w:p w14:paraId="7260168B" w14:textId="77777777" w:rsidR="0060408E" w:rsidRPr="004D26BD" w:rsidRDefault="0060408E" w:rsidP="004D26BD">
            <w:pPr>
              <w:spacing w:line="240" w:lineRule="auto"/>
              <w:jc w:val="center"/>
              <w:rPr>
                <w:b w:val="0"/>
                <w:bCs w:val="0"/>
                <w:sz w:val="18"/>
                <w:szCs w:val="20"/>
              </w:rPr>
            </w:pPr>
          </w:p>
          <w:p w14:paraId="6B4DD11F" w14:textId="77777777" w:rsidR="0060408E" w:rsidRPr="004D26BD" w:rsidRDefault="0060408E" w:rsidP="004D26BD">
            <w:pPr>
              <w:spacing w:line="240" w:lineRule="auto"/>
              <w:jc w:val="center"/>
              <w:rPr>
                <w:b w:val="0"/>
                <w:bCs w:val="0"/>
                <w:sz w:val="18"/>
                <w:szCs w:val="20"/>
              </w:rPr>
            </w:pPr>
            <w:r w:rsidRPr="004D26BD">
              <w:rPr>
                <w:b w:val="0"/>
                <w:bCs w:val="0"/>
                <w:sz w:val="18"/>
                <w:szCs w:val="20"/>
              </w:rPr>
              <w:t>(n. comparative studies/n. number of studies in category)</w:t>
            </w:r>
            <w:r w:rsidRPr="004D26BD">
              <w:rPr>
                <w:b w:val="0"/>
                <w:bCs w:val="0"/>
                <w:sz w:val="18"/>
                <w:szCs w:val="20"/>
                <w:vertAlign w:val="superscript"/>
              </w:rPr>
              <w:t xml:space="preserve"> b</w:t>
            </w:r>
          </w:p>
          <w:p w14:paraId="235C9191" w14:textId="77777777" w:rsidR="0060408E" w:rsidRPr="004D26BD" w:rsidRDefault="0060408E" w:rsidP="004D26BD">
            <w:pPr>
              <w:spacing w:line="240" w:lineRule="auto"/>
              <w:jc w:val="center"/>
              <w:rPr>
                <w:b w:val="0"/>
                <w:bCs w:val="0"/>
                <w:sz w:val="18"/>
                <w:szCs w:val="20"/>
              </w:rPr>
            </w:pPr>
          </w:p>
        </w:tc>
        <w:tc>
          <w:tcPr>
            <w:tcW w:w="441" w:type="pct"/>
            <w:vMerge w:val="restart"/>
            <w:tcBorders>
              <w:bottom w:val="single" w:sz="18" w:space="0" w:color="auto"/>
            </w:tcBorders>
            <w:vAlign w:val="center"/>
          </w:tcPr>
          <w:p w14:paraId="31493288" w14:textId="77777777" w:rsidR="0060408E" w:rsidRPr="004D26BD" w:rsidRDefault="0060408E" w:rsidP="004D26BD">
            <w:pPr>
              <w:spacing w:line="240" w:lineRule="auto"/>
              <w:ind w:left="45" w:hanging="45"/>
              <w:jc w:val="center"/>
              <w:cnfStyle w:val="100000000000" w:firstRow="1" w:lastRow="0" w:firstColumn="0" w:lastColumn="0" w:oddVBand="0" w:evenVBand="0" w:oddHBand="0" w:evenHBand="0" w:firstRowFirstColumn="0" w:firstRowLastColumn="0" w:lastRowFirstColumn="0" w:lastRowLastColumn="0"/>
              <w:rPr>
                <w:b w:val="0"/>
                <w:bCs w:val="0"/>
                <w:sz w:val="18"/>
                <w:szCs w:val="20"/>
              </w:rPr>
            </w:pPr>
            <w:r w:rsidRPr="004D26BD">
              <w:rPr>
                <w:b w:val="0"/>
                <w:bCs w:val="0"/>
                <w:sz w:val="18"/>
                <w:szCs w:val="20"/>
              </w:rPr>
              <w:t>Study</w:t>
            </w:r>
          </w:p>
        </w:tc>
        <w:tc>
          <w:tcPr>
            <w:tcW w:w="735" w:type="pct"/>
            <w:vMerge w:val="restart"/>
            <w:tcBorders>
              <w:bottom w:val="single" w:sz="18" w:space="0" w:color="auto"/>
            </w:tcBorders>
            <w:vAlign w:val="center"/>
          </w:tcPr>
          <w:p w14:paraId="6024507D" w14:textId="77777777" w:rsidR="0060408E" w:rsidRPr="004D26BD" w:rsidRDefault="0060408E" w:rsidP="001A2683">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0"/>
                <w:vertAlign w:val="superscript"/>
              </w:rPr>
            </w:pPr>
            <w:r w:rsidRPr="004D26BD">
              <w:rPr>
                <w:b w:val="0"/>
                <w:bCs w:val="0"/>
                <w:sz w:val="18"/>
                <w:szCs w:val="20"/>
              </w:rPr>
              <w:t xml:space="preserve">Subjective self-report </w:t>
            </w:r>
            <w:proofErr w:type="spellStart"/>
            <w:r w:rsidRPr="004D26BD">
              <w:rPr>
                <w:b w:val="0"/>
                <w:bCs w:val="0"/>
                <w:sz w:val="18"/>
                <w:szCs w:val="20"/>
              </w:rPr>
              <w:t>measure</w:t>
            </w:r>
            <w:r w:rsidRPr="004D26BD">
              <w:rPr>
                <w:b w:val="0"/>
                <w:bCs w:val="0"/>
                <w:sz w:val="18"/>
                <w:szCs w:val="20"/>
                <w:vertAlign w:val="superscript"/>
              </w:rPr>
              <w:t>a</w:t>
            </w:r>
            <w:proofErr w:type="spellEnd"/>
          </w:p>
        </w:tc>
        <w:tc>
          <w:tcPr>
            <w:tcW w:w="785" w:type="pct"/>
            <w:vMerge w:val="restart"/>
            <w:tcBorders>
              <w:bottom w:val="single" w:sz="18" w:space="0" w:color="auto"/>
            </w:tcBorders>
            <w:vAlign w:val="center"/>
          </w:tcPr>
          <w:p w14:paraId="6C30B761" w14:textId="77777777" w:rsidR="0060408E" w:rsidRPr="004D26BD" w:rsidRDefault="0060408E" w:rsidP="004D26B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0"/>
                <w:vertAlign w:val="superscript"/>
              </w:rPr>
            </w:pPr>
            <w:r w:rsidRPr="004D26BD">
              <w:rPr>
                <w:b w:val="0"/>
                <w:bCs w:val="0"/>
                <w:sz w:val="18"/>
                <w:szCs w:val="20"/>
              </w:rPr>
              <w:t xml:space="preserve">Objective correlate </w:t>
            </w:r>
            <w:proofErr w:type="spellStart"/>
            <w:r w:rsidRPr="004D26BD">
              <w:rPr>
                <w:b w:val="0"/>
                <w:bCs w:val="0"/>
                <w:sz w:val="18"/>
                <w:szCs w:val="20"/>
              </w:rPr>
              <w:t>measure</w:t>
            </w:r>
            <w:r w:rsidRPr="004D26BD">
              <w:rPr>
                <w:b w:val="0"/>
                <w:bCs w:val="0"/>
                <w:sz w:val="18"/>
                <w:szCs w:val="20"/>
                <w:vertAlign w:val="superscript"/>
              </w:rPr>
              <w:t>a</w:t>
            </w:r>
            <w:proofErr w:type="spellEnd"/>
          </w:p>
        </w:tc>
        <w:tc>
          <w:tcPr>
            <w:tcW w:w="2402" w:type="pct"/>
            <w:gridSpan w:val="2"/>
            <w:tcBorders>
              <w:bottom w:val="single" w:sz="4" w:space="0" w:color="BFBFBF" w:themeColor="background1" w:themeShade="BF"/>
            </w:tcBorders>
          </w:tcPr>
          <w:p w14:paraId="23F7FAA1" w14:textId="77777777" w:rsidR="0060408E" w:rsidRPr="004D26BD" w:rsidRDefault="0060408E" w:rsidP="004D26BD">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0"/>
              </w:rPr>
            </w:pPr>
            <w:r w:rsidRPr="004D26BD">
              <w:rPr>
                <w:b w:val="0"/>
                <w:bCs w:val="0"/>
                <w:sz w:val="18"/>
                <w:szCs w:val="20"/>
              </w:rPr>
              <w:t>Within group correlation analysis</w:t>
            </w:r>
          </w:p>
        </w:tc>
      </w:tr>
      <w:tr w:rsidR="0060408E" w:rsidRPr="004D26BD" w14:paraId="4C2675E2" w14:textId="77777777" w:rsidTr="004D26B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636" w:type="pct"/>
            <w:vMerge/>
            <w:tcBorders>
              <w:bottom w:val="single" w:sz="18" w:space="0" w:color="auto"/>
            </w:tcBorders>
          </w:tcPr>
          <w:p w14:paraId="461E46EB" w14:textId="77777777" w:rsidR="0060408E" w:rsidRPr="004D26BD" w:rsidRDefault="0060408E" w:rsidP="004D26BD">
            <w:pPr>
              <w:spacing w:line="240" w:lineRule="auto"/>
              <w:jc w:val="center"/>
              <w:rPr>
                <w:b w:val="0"/>
                <w:bCs w:val="0"/>
                <w:sz w:val="18"/>
                <w:szCs w:val="20"/>
              </w:rPr>
            </w:pPr>
          </w:p>
        </w:tc>
        <w:tc>
          <w:tcPr>
            <w:tcW w:w="441" w:type="pct"/>
            <w:vMerge/>
            <w:tcBorders>
              <w:bottom w:val="single" w:sz="18" w:space="0" w:color="auto"/>
            </w:tcBorders>
            <w:vAlign w:val="center"/>
          </w:tcPr>
          <w:p w14:paraId="12938F66" w14:textId="77777777" w:rsidR="0060408E" w:rsidRPr="004D26BD" w:rsidRDefault="0060408E" w:rsidP="004D26BD">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735" w:type="pct"/>
            <w:vMerge/>
            <w:tcBorders>
              <w:bottom w:val="single" w:sz="18" w:space="0" w:color="auto"/>
            </w:tcBorders>
            <w:vAlign w:val="center"/>
          </w:tcPr>
          <w:p w14:paraId="41F0F05B" w14:textId="77777777" w:rsidR="0060408E" w:rsidRPr="004D26BD" w:rsidRDefault="0060408E" w:rsidP="001A2683">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785" w:type="pct"/>
            <w:vMerge/>
            <w:tcBorders>
              <w:bottom w:val="single" w:sz="18" w:space="0" w:color="auto"/>
            </w:tcBorders>
            <w:vAlign w:val="center"/>
          </w:tcPr>
          <w:p w14:paraId="5341A4A8" w14:textId="77777777" w:rsidR="0060408E" w:rsidRPr="004D26BD" w:rsidRDefault="0060408E" w:rsidP="004D26BD">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4" w:type="pct"/>
            <w:tcBorders>
              <w:bottom w:val="single" w:sz="18" w:space="0" w:color="auto"/>
            </w:tcBorders>
            <w:vAlign w:val="center"/>
          </w:tcPr>
          <w:p w14:paraId="18569375" w14:textId="77777777" w:rsidR="0060408E" w:rsidRPr="004D26BD" w:rsidRDefault="0060408E" w:rsidP="004D26BD">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4D26BD">
              <w:rPr>
                <w:sz w:val="18"/>
                <w:szCs w:val="20"/>
              </w:rPr>
              <w:t>Descriptive</w:t>
            </w:r>
          </w:p>
        </w:tc>
        <w:tc>
          <w:tcPr>
            <w:tcW w:w="1128" w:type="pct"/>
            <w:tcBorders>
              <w:bottom w:val="single" w:sz="18" w:space="0" w:color="auto"/>
            </w:tcBorders>
            <w:vAlign w:val="center"/>
          </w:tcPr>
          <w:p w14:paraId="4C639B7D" w14:textId="77777777" w:rsidR="0060408E" w:rsidRPr="004D26BD" w:rsidRDefault="0060408E" w:rsidP="004D26BD">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4D26BD">
              <w:rPr>
                <w:sz w:val="18"/>
                <w:szCs w:val="20"/>
              </w:rPr>
              <w:t xml:space="preserve">Quantitative </w:t>
            </w:r>
          </w:p>
          <w:p w14:paraId="2450D5CA" w14:textId="77777777" w:rsidR="0060408E" w:rsidRPr="004D26BD" w:rsidRDefault="0060408E" w:rsidP="004D26BD">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4D26BD">
              <w:rPr>
                <w:sz w:val="18"/>
                <w:szCs w:val="20"/>
              </w:rPr>
              <w:t>(r values, range)</w:t>
            </w:r>
          </w:p>
        </w:tc>
      </w:tr>
      <w:tr w:rsidR="0060408E" w:rsidRPr="004D26BD" w14:paraId="24E4BCD8" w14:textId="77777777" w:rsidTr="004D26BD">
        <w:trPr>
          <w:trHeight w:val="913"/>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852E39" w14:textId="77777777" w:rsidR="0060408E" w:rsidRPr="004D26BD" w:rsidRDefault="0060408E" w:rsidP="004D26BD">
            <w:pPr>
              <w:spacing w:line="240" w:lineRule="auto"/>
              <w:jc w:val="center"/>
              <w:rPr>
                <w:b w:val="0"/>
                <w:bCs w:val="0"/>
                <w:color w:val="000000"/>
                <w:sz w:val="18"/>
                <w:szCs w:val="20"/>
              </w:rPr>
            </w:pPr>
            <w:r w:rsidRPr="004D26BD">
              <w:rPr>
                <w:b w:val="0"/>
                <w:bCs w:val="0"/>
                <w:color w:val="000000"/>
                <w:sz w:val="18"/>
                <w:szCs w:val="20"/>
              </w:rPr>
              <w:t>Stress Response (6/8)</w:t>
            </w:r>
          </w:p>
        </w:tc>
        <w:tc>
          <w:tcPr>
            <w:tcW w:w="441" w:type="pct"/>
            <w:vAlign w:val="center"/>
          </w:tcPr>
          <w:p w14:paraId="624B39B7"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Novakova, Harris and Reuber (2017)</w:t>
            </w:r>
          </w:p>
        </w:tc>
        <w:tc>
          <w:tcPr>
            <w:tcW w:w="735" w:type="pct"/>
            <w:vAlign w:val="center"/>
          </w:tcPr>
          <w:p w14:paraId="7AF208CE"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Smith Stress Symptoms Inventory (SSSI)</w:t>
            </w:r>
          </w:p>
        </w:tc>
        <w:tc>
          <w:tcPr>
            <w:tcW w:w="785" w:type="pct"/>
            <w:vAlign w:val="center"/>
          </w:tcPr>
          <w:p w14:paraId="3248B32F"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HRV, cortisol</w:t>
            </w:r>
          </w:p>
        </w:tc>
        <w:tc>
          <w:tcPr>
            <w:tcW w:w="1274" w:type="pct"/>
            <w:vAlign w:val="center"/>
          </w:tcPr>
          <w:p w14:paraId="2A0EDEBA"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No significant correlations between self-reported stress and any of the physiological measures*</w:t>
            </w:r>
          </w:p>
        </w:tc>
        <w:tc>
          <w:tcPr>
            <w:tcW w:w="1128" w:type="pct"/>
            <w:vAlign w:val="center"/>
          </w:tcPr>
          <w:p w14:paraId="17835872"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r =  -0.174 - 0.244, p's&gt; 0.05</w:t>
            </w:r>
          </w:p>
        </w:tc>
      </w:tr>
      <w:tr w:rsidR="0060408E" w:rsidRPr="004D26BD" w14:paraId="74BA3DA3" w14:textId="77777777" w:rsidTr="004D2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tcPr>
          <w:p w14:paraId="762D837B" w14:textId="77777777" w:rsidR="0060408E" w:rsidRPr="004D26BD" w:rsidRDefault="0060408E" w:rsidP="004D26BD">
            <w:pPr>
              <w:spacing w:line="240" w:lineRule="auto"/>
              <w:rPr>
                <w:b w:val="0"/>
                <w:bCs w:val="0"/>
                <w:color w:val="000000"/>
                <w:sz w:val="18"/>
                <w:szCs w:val="20"/>
              </w:rPr>
            </w:pPr>
          </w:p>
        </w:tc>
        <w:tc>
          <w:tcPr>
            <w:tcW w:w="441" w:type="pct"/>
            <w:vAlign w:val="center"/>
          </w:tcPr>
          <w:p w14:paraId="4B19FDCB"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Pick, Mellers and Goldstein (2018)</w:t>
            </w:r>
          </w:p>
          <w:p w14:paraId="3F2A352E"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p>
        </w:tc>
        <w:tc>
          <w:tcPr>
            <w:tcW w:w="735" w:type="pct"/>
            <w:vAlign w:val="center"/>
          </w:tcPr>
          <w:p w14:paraId="5146F6C8" w14:textId="77777777" w:rsidR="0060408E" w:rsidRPr="004D26BD" w:rsidRDefault="0060408E" w:rsidP="001A268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Subjective valence and arousal rating (SAM)</w:t>
            </w:r>
          </w:p>
        </w:tc>
        <w:tc>
          <w:tcPr>
            <w:tcW w:w="785" w:type="pct"/>
            <w:vAlign w:val="center"/>
          </w:tcPr>
          <w:p w14:paraId="2A764507"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SCR, SCL</w:t>
            </w:r>
          </w:p>
        </w:tc>
        <w:tc>
          <w:tcPr>
            <w:tcW w:w="1274" w:type="pct"/>
            <w:vAlign w:val="center"/>
          </w:tcPr>
          <w:p w14:paraId="1642E660"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Correlations between autonomic response and subjective experience were not consistent within F.S. population.*</w:t>
            </w:r>
          </w:p>
        </w:tc>
        <w:tc>
          <w:tcPr>
            <w:tcW w:w="1128" w:type="pct"/>
            <w:vAlign w:val="center"/>
          </w:tcPr>
          <w:p w14:paraId="1F8CB9A2"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w:t>
            </w:r>
          </w:p>
        </w:tc>
      </w:tr>
      <w:tr w:rsidR="0060408E" w:rsidRPr="004D26BD" w14:paraId="5609CA39" w14:textId="77777777" w:rsidTr="004D26BD">
        <w:trPr>
          <w:trHeight w:val="1124"/>
        </w:trPr>
        <w:tc>
          <w:tcPr>
            <w:cnfStyle w:val="001000000000" w:firstRow="0" w:lastRow="0" w:firstColumn="1" w:lastColumn="0" w:oddVBand="0" w:evenVBand="0" w:oddHBand="0" w:evenHBand="0" w:firstRowFirstColumn="0" w:firstRowLastColumn="0" w:lastRowFirstColumn="0" w:lastRowLastColumn="0"/>
            <w:tcW w:w="636" w:type="pct"/>
          </w:tcPr>
          <w:p w14:paraId="27DB827D" w14:textId="77777777" w:rsidR="0060408E" w:rsidRPr="004D26BD" w:rsidRDefault="0060408E" w:rsidP="004D26BD">
            <w:pPr>
              <w:spacing w:line="240" w:lineRule="auto"/>
              <w:rPr>
                <w:b w:val="0"/>
                <w:bCs w:val="0"/>
                <w:color w:val="000000"/>
                <w:sz w:val="18"/>
                <w:szCs w:val="20"/>
              </w:rPr>
            </w:pPr>
          </w:p>
        </w:tc>
        <w:tc>
          <w:tcPr>
            <w:tcW w:w="441" w:type="pct"/>
            <w:vAlign w:val="center"/>
          </w:tcPr>
          <w:p w14:paraId="2B29BB05"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Apazoglou et al (2017)</w:t>
            </w:r>
          </w:p>
        </w:tc>
        <w:tc>
          <w:tcPr>
            <w:tcW w:w="735" w:type="pct"/>
            <w:vAlign w:val="center"/>
          </w:tcPr>
          <w:p w14:paraId="7AF87ED6" w14:textId="17D88F2E"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Evaluation of stress on visual analogue scale, Beck Depression Inventory, State-Trait Anxiety Inventory,</w:t>
            </w:r>
          </w:p>
          <w:p w14:paraId="2A26D7A5"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lang w:val="fr-FR"/>
              </w:rPr>
            </w:pPr>
            <w:r w:rsidRPr="004D26BD">
              <w:rPr>
                <w:color w:val="000000"/>
                <w:sz w:val="18"/>
                <w:szCs w:val="20"/>
                <w:lang w:val="fr-FR"/>
              </w:rPr>
              <w:t xml:space="preserve">Ameil-Lebigre Questionnaire (Life </w:t>
            </w:r>
            <w:proofErr w:type="spellStart"/>
            <w:r w:rsidRPr="004D26BD">
              <w:rPr>
                <w:color w:val="000000"/>
                <w:sz w:val="18"/>
                <w:szCs w:val="20"/>
                <w:lang w:val="fr-FR"/>
              </w:rPr>
              <w:t>Events</w:t>
            </w:r>
            <w:proofErr w:type="spellEnd"/>
            <w:r w:rsidRPr="004D26BD">
              <w:rPr>
                <w:color w:val="000000"/>
                <w:sz w:val="18"/>
                <w:szCs w:val="20"/>
                <w:lang w:val="fr-FR"/>
              </w:rPr>
              <w:t>)</w:t>
            </w:r>
          </w:p>
          <w:p w14:paraId="2F2BB12E" w14:textId="69F988C9"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Childhood Trauma Questionnaire</w:t>
            </w:r>
          </w:p>
          <w:p w14:paraId="3A38FC31"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Clinical Global Impression (CGI)</w:t>
            </w:r>
          </w:p>
          <w:p w14:paraId="372FAC68"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Mobility subscale of Neuro-Qol</w:t>
            </w:r>
          </w:p>
        </w:tc>
        <w:tc>
          <w:tcPr>
            <w:tcW w:w="785" w:type="pct"/>
            <w:vAlign w:val="center"/>
          </w:tcPr>
          <w:p w14:paraId="3AF5EBFF"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Salivary cortisol and amylase</w:t>
            </w:r>
          </w:p>
          <w:p w14:paraId="076B63CA"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p>
        </w:tc>
        <w:tc>
          <w:tcPr>
            <w:tcW w:w="1274" w:type="pct"/>
            <w:vAlign w:val="center"/>
          </w:tcPr>
          <w:p w14:paraId="3DE0012B"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The number (1) and subjective impact (2) of adverse life events positively correlated with cortisol AUCg.</w:t>
            </w:r>
          </w:p>
          <w:p w14:paraId="55999EB8"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The number (3) and subjective impact (4) of adverse life events did not correlate with amylase values (AUCg).</w:t>
            </w:r>
          </w:p>
          <w:p w14:paraId="016AD95B"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No correlation between self-reported stress (VAS) and objective values at rest, nor after stress induction in VAS vs amylase (5) and VAS vs cortisol values (6)</w:t>
            </w:r>
          </w:p>
          <w:p w14:paraId="7B2129BC"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No correlations between self-reported duration and severity of symptoms and salivary cortisol and amylase (7)*</w:t>
            </w:r>
          </w:p>
        </w:tc>
        <w:tc>
          <w:tcPr>
            <w:tcW w:w="1128" w:type="pct"/>
            <w:vAlign w:val="center"/>
          </w:tcPr>
          <w:p w14:paraId="424AFB8C"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(1) r = 0.67, p &lt; 0.01</w:t>
            </w:r>
          </w:p>
          <w:p w14:paraId="51A0FE9A"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(2) r =- 0.6, p &lt; 0.05</w:t>
            </w:r>
          </w:p>
          <w:p w14:paraId="2854447F"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(3) r = 0.24, p &gt; 0.05</w:t>
            </w:r>
          </w:p>
          <w:p w14:paraId="43D47ADA"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(4) r = 0.33, p &gt; 0.05</w:t>
            </w:r>
          </w:p>
          <w:p w14:paraId="4979D84F"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(5) r = 0.13, p = 0.65</w:t>
            </w:r>
          </w:p>
          <w:p w14:paraId="626C23BE"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(6) r = -0.17, p &gt; 0.05</w:t>
            </w:r>
          </w:p>
          <w:p w14:paraId="69A41014"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lang w:val="ru-RU"/>
              </w:rPr>
            </w:pPr>
            <w:r w:rsidRPr="004D26BD">
              <w:rPr>
                <w:color w:val="000000"/>
                <w:sz w:val="18"/>
                <w:szCs w:val="20"/>
              </w:rPr>
              <w:t>(7) r = -0.45 - 0.45, p’s &gt; 0.05</w:t>
            </w:r>
          </w:p>
        </w:tc>
      </w:tr>
      <w:tr w:rsidR="0060408E" w:rsidRPr="004D26BD" w14:paraId="5094A90B" w14:textId="77777777" w:rsidTr="004D2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tcPr>
          <w:p w14:paraId="509FC951" w14:textId="77777777" w:rsidR="0060408E" w:rsidRPr="004D26BD" w:rsidRDefault="0060408E" w:rsidP="004D26BD">
            <w:pPr>
              <w:spacing w:line="240" w:lineRule="auto"/>
              <w:rPr>
                <w:b w:val="0"/>
                <w:bCs w:val="0"/>
                <w:color w:val="000000"/>
                <w:sz w:val="18"/>
                <w:szCs w:val="20"/>
                <w:lang w:val="ru-RU"/>
              </w:rPr>
            </w:pPr>
          </w:p>
        </w:tc>
        <w:tc>
          <w:tcPr>
            <w:tcW w:w="441" w:type="pct"/>
            <w:vAlign w:val="center"/>
          </w:tcPr>
          <w:p w14:paraId="1CFB15C0"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Maurer et al (2015)</w:t>
            </w:r>
          </w:p>
        </w:tc>
        <w:tc>
          <w:tcPr>
            <w:tcW w:w="735" w:type="pct"/>
            <w:vAlign w:val="center"/>
          </w:tcPr>
          <w:p w14:paraId="677E1AC0" w14:textId="77777777" w:rsidR="0060408E" w:rsidRPr="004D26BD" w:rsidRDefault="0060408E" w:rsidP="001A268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Beck Depression Inventory, State-Trait Anxiety Inventory, Childhood Trauma Questionnaire, Traumatic Life Events Questionnaire</w:t>
            </w:r>
          </w:p>
        </w:tc>
        <w:tc>
          <w:tcPr>
            <w:tcW w:w="785" w:type="pct"/>
            <w:vAlign w:val="center"/>
          </w:tcPr>
          <w:p w14:paraId="6BD513D6"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Salivary cortisol</w:t>
            </w:r>
          </w:p>
        </w:tc>
        <w:tc>
          <w:tcPr>
            <w:tcW w:w="1274" w:type="pct"/>
            <w:vAlign w:val="center"/>
          </w:tcPr>
          <w:p w14:paraId="6866DBA5"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No correlation between cortisol levels and self-report scores on any of the psychometric questionnaire scores measuring anxiety, depression, history of traumas and disorder duration and severity*</w:t>
            </w:r>
          </w:p>
          <w:p w14:paraId="4D054027"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p>
        </w:tc>
        <w:tc>
          <w:tcPr>
            <w:tcW w:w="1128" w:type="pct"/>
            <w:vAlign w:val="center"/>
          </w:tcPr>
          <w:p w14:paraId="5D7AF1A2"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r = -0.212 – 0.173, p's&gt; 0.05</w:t>
            </w:r>
          </w:p>
        </w:tc>
      </w:tr>
      <w:tr w:rsidR="0060408E" w:rsidRPr="004D26BD" w14:paraId="7A29B82B" w14:textId="77777777" w:rsidTr="004D26BD">
        <w:trPr>
          <w:trHeight w:val="20"/>
        </w:trPr>
        <w:tc>
          <w:tcPr>
            <w:cnfStyle w:val="001000000000" w:firstRow="0" w:lastRow="0" w:firstColumn="1" w:lastColumn="0" w:oddVBand="0" w:evenVBand="0" w:oddHBand="0" w:evenHBand="0" w:firstRowFirstColumn="0" w:firstRowLastColumn="0" w:lastRowFirstColumn="0" w:lastRowLastColumn="0"/>
            <w:tcW w:w="636" w:type="pct"/>
          </w:tcPr>
          <w:p w14:paraId="7225F8FD" w14:textId="77777777" w:rsidR="0060408E" w:rsidRPr="004D26BD" w:rsidRDefault="0060408E" w:rsidP="004D26BD">
            <w:pPr>
              <w:spacing w:line="240" w:lineRule="auto"/>
              <w:rPr>
                <w:b w:val="0"/>
                <w:bCs w:val="0"/>
                <w:color w:val="000000"/>
                <w:sz w:val="18"/>
                <w:szCs w:val="20"/>
              </w:rPr>
            </w:pPr>
          </w:p>
        </w:tc>
        <w:tc>
          <w:tcPr>
            <w:tcW w:w="441" w:type="pct"/>
            <w:vAlign w:val="center"/>
          </w:tcPr>
          <w:p w14:paraId="35CDF4A0"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proofErr w:type="spellStart"/>
            <w:r w:rsidRPr="004D26BD">
              <w:rPr>
                <w:color w:val="000000"/>
                <w:sz w:val="18"/>
                <w:szCs w:val="20"/>
              </w:rPr>
              <w:t>Allendorfer</w:t>
            </w:r>
            <w:proofErr w:type="spellEnd"/>
            <w:r w:rsidRPr="004D26BD">
              <w:rPr>
                <w:color w:val="000000"/>
                <w:sz w:val="18"/>
                <w:szCs w:val="20"/>
              </w:rPr>
              <w:t xml:space="preserve"> et al (2019)</w:t>
            </w:r>
          </w:p>
        </w:tc>
        <w:tc>
          <w:tcPr>
            <w:tcW w:w="735" w:type="pct"/>
            <w:vAlign w:val="center"/>
          </w:tcPr>
          <w:p w14:paraId="392E7B90"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Perceived Stress Scale (PSS)</w:t>
            </w:r>
          </w:p>
          <w:p w14:paraId="47470A32"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p>
        </w:tc>
        <w:tc>
          <w:tcPr>
            <w:tcW w:w="785" w:type="pct"/>
            <w:vAlign w:val="center"/>
          </w:tcPr>
          <w:p w14:paraId="0B5EF390"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Heart rate, Salivary cortisol and alpha-amylase and</w:t>
            </w:r>
          </w:p>
          <w:p w14:paraId="54B29528"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fMRI</w:t>
            </w:r>
          </w:p>
          <w:p w14:paraId="6211020F"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p>
        </w:tc>
        <w:tc>
          <w:tcPr>
            <w:tcW w:w="1274" w:type="pct"/>
            <w:vAlign w:val="center"/>
          </w:tcPr>
          <w:p w14:paraId="4188F42F"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Perceived stress negatively correlated with change in H.R. to physiological stress (1).</w:t>
            </w:r>
          </w:p>
          <w:p w14:paraId="3E0C76C8"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Perceived stress was not associated with change in cortisol (2) or in alpha-amylase (3). No significant associations were found between fMRI stress response and perceived stress (4)*</w:t>
            </w:r>
          </w:p>
        </w:tc>
        <w:tc>
          <w:tcPr>
            <w:tcW w:w="1128" w:type="pct"/>
            <w:vAlign w:val="center"/>
          </w:tcPr>
          <w:p w14:paraId="7F35A9F9"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 xml:space="preserve">(1) </w:t>
            </w:r>
            <w:proofErr w:type="spellStart"/>
            <w:r w:rsidRPr="004D26BD">
              <w:rPr>
                <w:color w:val="000000"/>
                <w:sz w:val="18"/>
                <w:szCs w:val="20"/>
              </w:rPr>
              <w:t>r</w:t>
            </w:r>
            <w:r w:rsidRPr="004D26BD">
              <w:rPr>
                <w:color w:val="000000"/>
                <w:sz w:val="18"/>
                <w:szCs w:val="20"/>
                <w:vertAlign w:val="subscript"/>
              </w:rPr>
              <w:t>s</w:t>
            </w:r>
            <w:proofErr w:type="spellEnd"/>
            <w:r w:rsidRPr="004D26BD">
              <w:rPr>
                <w:color w:val="000000"/>
                <w:sz w:val="18"/>
                <w:szCs w:val="20"/>
                <w:vertAlign w:val="subscript"/>
              </w:rPr>
              <w:t xml:space="preserve"> </w:t>
            </w:r>
            <w:r w:rsidRPr="004D26BD">
              <w:rPr>
                <w:color w:val="000000"/>
                <w:sz w:val="18"/>
                <w:szCs w:val="20"/>
              </w:rPr>
              <w:t>= -0.74, p = 0.0063</w:t>
            </w:r>
          </w:p>
          <w:p w14:paraId="48C6B50F"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 xml:space="preserve">(2) </w:t>
            </w:r>
            <w:proofErr w:type="spellStart"/>
            <w:r w:rsidRPr="004D26BD">
              <w:rPr>
                <w:color w:val="000000"/>
                <w:sz w:val="18"/>
                <w:szCs w:val="20"/>
              </w:rPr>
              <w:t>r</w:t>
            </w:r>
            <w:r w:rsidRPr="004D26BD">
              <w:rPr>
                <w:color w:val="000000"/>
                <w:sz w:val="18"/>
                <w:szCs w:val="20"/>
                <w:vertAlign w:val="subscript"/>
              </w:rPr>
              <w:t>s</w:t>
            </w:r>
            <w:proofErr w:type="spellEnd"/>
            <w:r w:rsidRPr="004D26BD">
              <w:rPr>
                <w:color w:val="000000"/>
                <w:sz w:val="18"/>
                <w:szCs w:val="20"/>
                <w:vertAlign w:val="subscript"/>
              </w:rPr>
              <w:t xml:space="preserve"> </w:t>
            </w:r>
            <w:r w:rsidRPr="004D26BD">
              <w:rPr>
                <w:color w:val="000000"/>
                <w:sz w:val="18"/>
                <w:szCs w:val="20"/>
              </w:rPr>
              <w:t>= -0.47, p = 0.12</w:t>
            </w:r>
          </w:p>
          <w:p w14:paraId="0A1CE72E"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 xml:space="preserve">(3) </w:t>
            </w:r>
            <w:proofErr w:type="spellStart"/>
            <w:r w:rsidRPr="004D26BD">
              <w:rPr>
                <w:color w:val="000000"/>
                <w:sz w:val="18"/>
                <w:szCs w:val="20"/>
              </w:rPr>
              <w:t>r</w:t>
            </w:r>
            <w:r w:rsidRPr="004D26BD">
              <w:rPr>
                <w:color w:val="000000"/>
                <w:sz w:val="18"/>
                <w:szCs w:val="20"/>
                <w:vertAlign w:val="subscript"/>
              </w:rPr>
              <w:t>s</w:t>
            </w:r>
            <w:proofErr w:type="spellEnd"/>
            <w:r w:rsidRPr="004D26BD">
              <w:rPr>
                <w:color w:val="000000"/>
                <w:sz w:val="18"/>
                <w:szCs w:val="20"/>
                <w:vertAlign w:val="subscript"/>
              </w:rPr>
              <w:t xml:space="preserve"> </w:t>
            </w:r>
            <w:r w:rsidRPr="004D26BD">
              <w:rPr>
                <w:color w:val="000000"/>
                <w:sz w:val="18"/>
                <w:szCs w:val="20"/>
              </w:rPr>
              <w:t>= -0.45, p = 0.14</w:t>
            </w:r>
          </w:p>
          <w:p w14:paraId="11DD8450"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(4) r = nr, p &gt; 0.0125</w:t>
            </w:r>
          </w:p>
        </w:tc>
      </w:tr>
      <w:tr w:rsidR="0060408E" w:rsidRPr="004D26BD" w14:paraId="77F958E9" w14:textId="77777777" w:rsidTr="004D2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tcPr>
          <w:p w14:paraId="2D8B31EC" w14:textId="77777777" w:rsidR="0060408E" w:rsidRPr="004D26BD" w:rsidRDefault="0060408E" w:rsidP="004D26BD">
            <w:pPr>
              <w:spacing w:line="240" w:lineRule="auto"/>
              <w:rPr>
                <w:b w:val="0"/>
                <w:bCs w:val="0"/>
                <w:color w:val="000000"/>
                <w:sz w:val="18"/>
                <w:szCs w:val="20"/>
              </w:rPr>
            </w:pPr>
          </w:p>
        </w:tc>
        <w:tc>
          <w:tcPr>
            <w:tcW w:w="441" w:type="pct"/>
            <w:vAlign w:val="center"/>
          </w:tcPr>
          <w:p w14:paraId="5006FE94"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proofErr w:type="spellStart"/>
            <w:r w:rsidRPr="004D26BD">
              <w:rPr>
                <w:color w:val="000000"/>
                <w:sz w:val="18"/>
                <w:szCs w:val="20"/>
              </w:rPr>
              <w:t>Bakvis</w:t>
            </w:r>
            <w:proofErr w:type="spellEnd"/>
            <w:r w:rsidRPr="004D26BD">
              <w:rPr>
                <w:color w:val="000000"/>
                <w:sz w:val="18"/>
                <w:szCs w:val="20"/>
              </w:rPr>
              <w:t xml:space="preserve"> et al (2009)</w:t>
            </w:r>
          </w:p>
        </w:tc>
        <w:tc>
          <w:tcPr>
            <w:tcW w:w="735" w:type="pct"/>
            <w:vAlign w:val="center"/>
          </w:tcPr>
          <w:p w14:paraId="3761576C" w14:textId="77777777" w:rsidR="0060408E" w:rsidRPr="004D26BD" w:rsidRDefault="0060408E" w:rsidP="001A268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Traumatic Experiences Checklist (TEC), subjective anxiety on a VAS</w:t>
            </w:r>
          </w:p>
        </w:tc>
        <w:tc>
          <w:tcPr>
            <w:tcW w:w="785" w:type="pct"/>
            <w:vAlign w:val="center"/>
          </w:tcPr>
          <w:p w14:paraId="2C63940A"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Masked emotional Stroop test</w:t>
            </w:r>
          </w:p>
          <w:p w14:paraId="03331A41"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Salivary cortisol</w:t>
            </w:r>
          </w:p>
          <w:p w14:paraId="5A82E230"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Systolic and diastolic BP, HR, HRV</w:t>
            </w:r>
          </w:p>
        </w:tc>
        <w:tc>
          <w:tcPr>
            <w:tcW w:w="1274" w:type="pct"/>
            <w:vAlign w:val="center"/>
          </w:tcPr>
          <w:p w14:paraId="6A2C3C94"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 xml:space="preserve">Positive attentional bias for angry faces at baseline positively correlated to the presence of sexual trauma reports </w:t>
            </w:r>
          </w:p>
        </w:tc>
        <w:tc>
          <w:tcPr>
            <w:tcW w:w="1128" w:type="pct"/>
            <w:vAlign w:val="center"/>
          </w:tcPr>
          <w:p w14:paraId="3E1CF53F"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r = -0.46, p &lt; 0.05</w:t>
            </w:r>
          </w:p>
        </w:tc>
      </w:tr>
      <w:tr w:rsidR="0060408E" w:rsidRPr="004D26BD" w14:paraId="4969E821" w14:textId="77777777" w:rsidTr="004D26BD">
        <w:trPr>
          <w:trHeight w:val="48"/>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3D4D97B" w14:textId="77777777" w:rsidR="0060408E" w:rsidRPr="004D26BD" w:rsidRDefault="0060408E" w:rsidP="004D26BD">
            <w:pPr>
              <w:spacing w:line="240" w:lineRule="auto"/>
              <w:jc w:val="center"/>
              <w:rPr>
                <w:b w:val="0"/>
                <w:bCs w:val="0"/>
                <w:color w:val="000000"/>
                <w:sz w:val="18"/>
                <w:szCs w:val="20"/>
              </w:rPr>
            </w:pPr>
            <w:r w:rsidRPr="004D26BD">
              <w:rPr>
                <w:b w:val="0"/>
                <w:bCs w:val="0"/>
                <w:color w:val="000000"/>
                <w:sz w:val="18"/>
                <w:szCs w:val="20"/>
              </w:rPr>
              <w:t>Emotion Processing (4/8)</w:t>
            </w:r>
          </w:p>
        </w:tc>
        <w:tc>
          <w:tcPr>
            <w:tcW w:w="441" w:type="pct"/>
            <w:vAlign w:val="center"/>
          </w:tcPr>
          <w:p w14:paraId="07A820D3"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proofErr w:type="spellStart"/>
            <w:r w:rsidRPr="004D26BD">
              <w:rPr>
                <w:color w:val="000000"/>
                <w:sz w:val="18"/>
                <w:szCs w:val="20"/>
              </w:rPr>
              <w:t>Kotwas</w:t>
            </w:r>
            <w:proofErr w:type="spellEnd"/>
            <w:r w:rsidRPr="004D26BD">
              <w:rPr>
                <w:color w:val="000000"/>
                <w:sz w:val="18"/>
                <w:szCs w:val="20"/>
              </w:rPr>
              <w:t xml:space="preserve"> et al (2019)</w:t>
            </w:r>
          </w:p>
        </w:tc>
        <w:tc>
          <w:tcPr>
            <w:tcW w:w="735" w:type="pct"/>
            <w:vAlign w:val="center"/>
          </w:tcPr>
          <w:p w14:paraId="57FFE9A9" w14:textId="25018640"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Beck Depression Inventory</w:t>
            </w:r>
          </w:p>
          <w:p w14:paraId="0FB3DC47"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State Trait Anxiety Index</w:t>
            </w:r>
          </w:p>
        </w:tc>
        <w:tc>
          <w:tcPr>
            <w:tcW w:w="785" w:type="pct"/>
            <w:vAlign w:val="center"/>
          </w:tcPr>
          <w:p w14:paraId="02164825"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Skin conductance response</w:t>
            </w:r>
          </w:p>
        </w:tc>
        <w:tc>
          <w:tcPr>
            <w:tcW w:w="1274" w:type="pct"/>
            <w:vAlign w:val="center"/>
          </w:tcPr>
          <w:p w14:paraId="2BDA5755"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No correlation between depression &amp; anxiety scores and skin conductance responses *</w:t>
            </w:r>
          </w:p>
        </w:tc>
        <w:tc>
          <w:tcPr>
            <w:tcW w:w="1128" w:type="pct"/>
            <w:vAlign w:val="center"/>
          </w:tcPr>
          <w:p w14:paraId="725531F1"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w:t>
            </w:r>
          </w:p>
        </w:tc>
      </w:tr>
      <w:tr w:rsidR="0060408E" w:rsidRPr="004D26BD" w14:paraId="2288A7BE" w14:textId="77777777" w:rsidTr="004D26BD">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636" w:type="pct"/>
          </w:tcPr>
          <w:p w14:paraId="7EFB244F" w14:textId="77777777" w:rsidR="0060408E" w:rsidRPr="004D26BD" w:rsidRDefault="0060408E" w:rsidP="004D26BD">
            <w:pPr>
              <w:spacing w:line="240" w:lineRule="auto"/>
              <w:rPr>
                <w:b w:val="0"/>
                <w:bCs w:val="0"/>
                <w:color w:val="000000"/>
                <w:sz w:val="18"/>
                <w:szCs w:val="20"/>
              </w:rPr>
            </w:pPr>
          </w:p>
        </w:tc>
        <w:tc>
          <w:tcPr>
            <w:tcW w:w="441" w:type="pct"/>
            <w:vAlign w:val="center"/>
          </w:tcPr>
          <w:p w14:paraId="03ACE13D"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Ricciardi et al (2016)</w:t>
            </w:r>
          </w:p>
        </w:tc>
        <w:tc>
          <w:tcPr>
            <w:tcW w:w="735" w:type="pct"/>
            <w:vAlign w:val="center"/>
          </w:tcPr>
          <w:p w14:paraId="1A49A26D" w14:textId="4688090F" w:rsidR="0060408E" w:rsidRPr="004D26BD" w:rsidRDefault="0060408E" w:rsidP="001A268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20"/>
                <w:lang w:val="fr-FR"/>
              </w:rPr>
            </w:pPr>
            <w:r w:rsidRPr="004D26BD">
              <w:rPr>
                <w:color w:val="000000"/>
                <w:sz w:val="18"/>
                <w:szCs w:val="20"/>
                <w:lang w:val="fr-FR"/>
              </w:rPr>
              <w:t xml:space="preserve">Toronto </w:t>
            </w:r>
            <w:proofErr w:type="spellStart"/>
            <w:r w:rsidRPr="004D26BD">
              <w:rPr>
                <w:color w:val="000000"/>
                <w:sz w:val="18"/>
                <w:szCs w:val="20"/>
                <w:lang w:val="fr-FR"/>
              </w:rPr>
              <w:t>Alexithymia</w:t>
            </w:r>
            <w:proofErr w:type="spellEnd"/>
            <w:r w:rsidRPr="004D26BD">
              <w:rPr>
                <w:color w:val="000000"/>
                <w:sz w:val="18"/>
                <w:szCs w:val="20"/>
                <w:lang w:val="fr-FR"/>
              </w:rPr>
              <w:t xml:space="preserve"> Scale-20, Self-Objectification Questionnaire,</w:t>
            </w:r>
          </w:p>
          <w:p w14:paraId="15E8EB18" w14:textId="77777777" w:rsidR="0060408E" w:rsidRPr="004D26BD" w:rsidRDefault="0060408E" w:rsidP="001A268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 xml:space="preserve">Montgomery </w:t>
            </w:r>
            <w:proofErr w:type="spellStart"/>
            <w:r w:rsidRPr="004D26BD">
              <w:rPr>
                <w:color w:val="000000"/>
                <w:sz w:val="18"/>
                <w:szCs w:val="20"/>
              </w:rPr>
              <w:t>Asberg</w:t>
            </w:r>
            <w:proofErr w:type="spellEnd"/>
            <w:r w:rsidRPr="004D26BD">
              <w:rPr>
                <w:color w:val="000000"/>
                <w:sz w:val="18"/>
                <w:szCs w:val="20"/>
              </w:rPr>
              <w:t xml:space="preserve"> Depression Rating scale</w:t>
            </w:r>
          </w:p>
        </w:tc>
        <w:tc>
          <w:tcPr>
            <w:tcW w:w="785" w:type="pct"/>
            <w:vAlign w:val="center"/>
          </w:tcPr>
          <w:p w14:paraId="238FB3BD"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Interoceptive sensitivity score</w:t>
            </w:r>
          </w:p>
        </w:tc>
        <w:tc>
          <w:tcPr>
            <w:tcW w:w="1274" w:type="pct"/>
            <w:vAlign w:val="center"/>
          </w:tcPr>
          <w:p w14:paraId="5AEF2017"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No significant correlations between I.S. and depression (1), alexithymia (2), self-objectification (3) scores. *</w:t>
            </w:r>
          </w:p>
          <w:p w14:paraId="22AF08AB"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p>
        </w:tc>
        <w:tc>
          <w:tcPr>
            <w:tcW w:w="1128" w:type="pct"/>
            <w:vAlign w:val="center"/>
          </w:tcPr>
          <w:p w14:paraId="2FEC5AB2"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(1) r = -0.51, p = 0.13</w:t>
            </w:r>
          </w:p>
          <w:p w14:paraId="19601896"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(2) r = -0.38, p = 0.44</w:t>
            </w:r>
          </w:p>
          <w:p w14:paraId="169BF5A1"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(3) r = -0.40, p = 0.37</w:t>
            </w:r>
          </w:p>
          <w:p w14:paraId="782AF1BC"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p>
        </w:tc>
      </w:tr>
      <w:tr w:rsidR="0060408E" w:rsidRPr="004D26BD" w14:paraId="5F8EC65D" w14:textId="77777777" w:rsidTr="004D26BD">
        <w:trPr>
          <w:trHeight w:val="699"/>
        </w:trPr>
        <w:tc>
          <w:tcPr>
            <w:cnfStyle w:val="001000000000" w:firstRow="0" w:lastRow="0" w:firstColumn="1" w:lastColumn="0" w:oddVBand="0" w:evenVBand="0" w:oddHBand="0" w:evenHBand="0" w:firstRowFirstColumn="0" w:firstRowLastColumn="0" w:lastRowFirstColumn="0" w:lastRowLastColumn="0"/>
            <w:tcW w:w="636" w:type="pct"/>
          </w:tcPr>
          <w:p w14:paraId="6F97F3F8" w14:textId="77777777" w:rsidR="0060408E" w:rsidRPr="004D26BD" w:rsidRDefault="0060408E" w:rsidP="004D26BD">
            <w:pPr>
              <w:spacing w:line="240" w:lineRule="auto"/>
              <w:rPr>
                <w:b w:val="0"/>
                <w:bCs w:val="0"/>
                <w:color w:val="000000"/>
                <w:sz w:val="18"/>
                <w:szCs w:val="20"/>
              </w:rPr>
            </w:pPr>
          </w:p>
        </w:tc>
        <w:tc>
          <w:tcPr>
            <w:tcW w:w="441" w:type="pct"/>
            <w:vAlign w:val="center"/>
          </w:tcPr>
          <w:p w14:paraId="33776A07"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Herrero et al (2020)</w:t>
            </w:r>
          </w:p>
        </w:tc>
        <w:tc>
          <w:tcPr>
            <w:tcW w:w="735" w:type="pct"/>
            <w:vAlign w:val="center"/>
          </w:tcPr>
          <w:p w14:paraId="072B6EFB"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lang w:val="fr-FR"/>
              </w:rPr>
              <w:t xml:space="preserve">Hamilton </w:t>
            </w:r>
            <w:proofErr w:type="spellStart"/>
            <w:r w:rsidRPr="004D26BD">
              <w:rPr>
                <w:color w:val="000000"/>
                <w:sz w:val="18"/>
                <w:szCs w:val="20"/>
                <w:lang w:val="fr-FR"/>
              </w:rPr>
              <w:t>Anxiety</w:t>
            </w:r>
            <w:proofErr w:type="spellEnd"/>
            <w:r w:rsidRPr="004D26BD">
              <w:rPr>
                <w:color w:val="000000"/>
                <w:sz w:val="18"/>
                <w:szCs w:val="20"/>
                <w:lang w:val="fr-FR"/>
              </w:rPr>
              <w:t xml:space="preserve"> Rating </w:t>
            </w:r>
            <w:proofErr w:type="spellStart"/>
            <w:r w:rsidRPr="004D26BD">
              <w:rPr>
                <w:color w:val="000000"/>
                <w:sz w:val="18"/>
                <w:szCs w:val="20"/>
                <w:lang w:val="fr-FR"/>
              </w:rPr>
              <w:t>Scale</w:t>
            </w:r>
            <w:proofErr w:type="spellEnd"/>
            <w:r w:rsidRPr="004D26BD">
              <w:rPr>
                <w:color w:val="000000"/>
                <w:sz w:val="18"/>
                <w:szCs w:val="20"/>
                <w:lang w:val="fr-FR"/>
              </w:rPr>
              <w:t xml:space="preserve">, </w:t>
            </w:r>
            <w:r w:rsidRPr="004D26BD">
              <w:rPr>
                <w:color w:val="000000"/>
                <w:sz w:val="18"/>
                <w:szCs w:val="20"/>
              </w:rPr>
              <w:t>Dissociative Experiences Scale, Childhood Trauma Questionnaire, Toronto Alexithymia Scale, m measures of valence and arousal on SAM</w:t>
            </w:r>
          </w:p>
        </w:tc>
        <w:tc>
          <w:tcPr>
            <w:tcW w:w="785" w:type="pct"/>
            <w:vAlign w:val="center"/>
          </w:tcPr>
          <w:p w14:paraId="284D3DE5"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Skin Conductance Response, Heart rate deceleration</w:t>
            </w:r>
          </w:p>
        </w:tc>
        <w:tc>
          <w:tcPr>
            <w:tcW w:w="1274" w:type="pct"/>
            <w:vAlign w:val="center"/>
          </w:tcPr>
          <w:p w14:paraId="364C4233"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sz w:val="18"/>
                <w:szCs w:val="20"/>
              </w:rPr>
            </w:pPr>
            <w:r w:rsidRPr="004D26BD">
              <w:rPr>
                <w:rFonts w:eastAsiaTheme="minorHAnsi"/>
                <w:sz w:val="18"/>
                <w:szCs w:val="20"/>
              </w:rPr>
              <w:t xml:space="preserve">Self-reported dissociation tendency was negatively correlated to physiological response SCR (1) and heart rate deceleration (2). </w:t>
            </w:r>
          </w:p>
          <w:p w14:paraId="2694675C"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sz w:val="18"/>
                <w:szCs w:val="20"/>
              </w:rPr>
            </w:pPr>
            <w:r w:rsidRPr="004D26BD">
              <w:rPr>
                <w:rFonts w:eastAsiaTheme="minorHAnsi"/>
                <w:sz w:val="18"/>
                <w:szCs w:val="20"/>
              </w:rPr>
              <w:t xml:space="preserve">Alexithymia' Difficulty in describing feelings" </w:t>
            </w:r>
            <w:proofErr w:type="spellStart"/>
            <w:r w:rsidRPr="004D26BD">
              <w:rPr>
                <w:rFonts w:eastAsiaTheme="minorHAnsi"/>
                <w:sz w:val="18"/>
                <w:szCs w:val="20"/>
              </w:rPr>
              <w:t>subscore</w:t>
            </w:r>
            <w:proofErr w:type="spellEnd"/>
            <w:r w:rsidRPr="004D26BD">
              <w:rPr>
                <w:rFonts w:eastAsiaTheme="minorHAnsi"/>
                <w:sz w:val="18"/>
                <w:szCs w:val="20"/>
              </w:rPr>
              <w:t xml:space="preserve"> was negatively correlated with SCR rate (3), SCR latency (4),and heart rate deceleration (5) for all images. For cognitive response, no correlation was found.*</w:t>
            </w:r>
          </w:p>
        </w:tc>
        <w:tc>
          <w:tcPr>
            <w:tcW w:w="1128" w:type="pct"/>
            <w:vAlign w:val="center"/>
          </w:tcPr>
          <w:p w14:paraId="264DFD2E"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sz w:val="18"/>
                <w:szCs w:val="20"/>
              </w:rPr>
            </w:pPr>
            <w:r w:rsidRPr="004D26BD">
              <w:rPr>
                <w:rFonts w:eastAsiaTheme="minorHAnsi"/>
                <w:sz w:val="18"/>
                <w:szCs w:val="20"/>
              </w:rPr>
              <w:t>(1) r = -0.48, p = 0.0083</w:t>
            </w:r>
          </w:p>
          <w:p w14:paraId="18F68F80"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4D26BD">
              <w:rPr>
                <w:color w:val="000000"/>
                <w:sz w:val="18"/>
                <w:szCs w:val="20"/>
              </w:rPr>
              <w:t xml:space="preserve">(2) r </w:t>
            </w:r>
            <w:r w:rsidRPr="004D26BD">
              <w:rPr>
                <w:rFonts w:eastAsiaTheme="minorHAnsi"/>
                <w:sz w:val="18"/>
                <w:szCs w:val="20"/>
              </w:rPr>
              <w:t>= -0.49, p = 0.021</w:t>
            </w:r>
          </w:p>
          <w:p w14:paraId="45EBE768"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sz w:val="18"/>
                <w:szCs w:val="20"/>
              </w:rPr>
            </w:pPr>
            <w:r w:rsidRPr="004D26BD">
              <w:rPr>
                <w:color w:val="000000"/>
                <w:sz w:val="18"/>
                <w:szCs w:val="20"/>
              </w:rPr>
              <w:t>(3)</w:t>
            </w:r>
            <w:r w:rsidRPr="004D26BD">
              <w:rPr>
                <w:rFonts w:eastAsiaTheme="minorHAnsi"/>
                <w:sz w:val="18"/>
                <w:szCs w:val="20"/>
              </w:rPr>
              <w:t xml:space="preserve"> r = -0.44, p = 0.012</w:t>
            </w:r>
          </w:p>
          <w:p w14:paraId="06196CAF"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(4) r = -0.50, p = 0.013</w:t>
            </w:r>
          </w:p>
          <w:p w14:paraId="186B1845"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(5) r = -0.59, p = 0.0037</w:t>
            </w:r>
          </w:p>
        </w:tc>
      </w:tr>
      <w:tr w:rsidR="0060408E" w:rsidRPr="004D26BD" w14:paraId="4CCD2D88" w14:textId="77777777" w:rsidTr="004D26BD">
        <w:trPr>
          <w:cnfStyle w:val="000000100000" w:firstRow="0" w:lastRow="0" w:firstColumn="0" w:lastColumn="0" w:oddVBand="0" w:evenVBand="0" w:oddHBand="1" w:evenHBand="0" w:firstRowFirstColumn="0" w:firstRowLastColumn="0" w:lastRowFirstColumn="0" w:lastRowLastColumn="0"/>
          <w:trHeight w:val="2010"/>
        </w:trPr>
        <w:tc>
          <w:tcPr>
            <w:cnfStyle w:val="001000000000" w:firstRow="0" w:lastRow="0" w:firstColumn="1" w:lastColumn="0" w:oddVBand="0" w:evenVBand="0" w:oddHBand="0" w:evenHBand="0" w:firstRowFirstColumn="0" w:firstRowLastColumn="0" w:lastRowFirstColumn="0" w:lastRowLastColumn="0"/>
            <w:tcW w:w="636" w:type="pct"/>
          </w:tcPr>
          <w:p w14:paraId="035CB994" w14:textId="77777777" w:rsidR="0060408E" w:rsidRPr="004D26BD" w:rsidRDefault="0060408E" w:rsidP="004D26BD">
            <w:pPr>
              <w:spacing w:line="240" w:lineRule="auto"/>
              <w:rPr>
                <w:b w:val="0"/>
                <w:bCs w:val="0"/>
                <w:color w:val="000000"/>
                <w:sz w:val="18"/>
                <w:szCs w:val="20"/>
              </w:rPr>
            </w:pPr>
          </w:p>
        </w:tc>
        <w:tc>
          <w:tcPr>
            <w:tcW w:w="441" w:type="pct"/>
            <w:vAlign w:val="center"/>
          </w:tcPr>
          <w:p w14:paraId="17480370"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proofErr w:type="spellStart"/>
            <w:r w:rsidRPr="004D26BD">
              <w:rPr>
                <w:color w:val="000000"/>
                <w:sz w:val="18"/>
                <w:szCs w:val="20"/>
              </w:rPr>
              <w:t>Wiliams</w:t>
            </w:r>
            <w:proofErr w:type="spellEnd"/>
            <w:r w:rsidRPr="004D26BD">
              <w:rPr>
                <w:color w:val="000000"/>
                <w:sz w:val="18"/>
                <w:szCs w:val="20"/>
              </w:rPr>
              <w:t xml:space="preserve"> et al (2021)</w:t>
            </w:r>
          </w:p>
        </w:tc>
        <w:tc>
          <w:tcPr>
            <w:tcW w:w="735" w:type="pct"/>
            <w:vAlign w:val="center"/>
          </w:tcPr>
          <w:p w14:paraId="40B89AA8" w14:textId="77777777" w:rsidR="0060408E" w:rsidRPr="004D26BD" w:rsidRDefault="0060408E" w:rsidP="001A268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20"/>
                <w:lang w:val="fr-FR"/>
              </w:rPr>
            </w:pPr>
            <w:r w:rsidRPr="004D26BD">
              <w:rPr>
                <w:color w:val="000000"/>
                <w:sz w:val="18"/>
                <w:szCs w:val="20"/>
                <w:lang w:val="fr-FR"/>
              </w:rPr>
              <w:t xml:space="preserve">The </w:t>
            </w:r>
            <w:proofErr w:type="spellStart"/>
            <w:r w:rsidRPr="004D26BD">
              <w:rPr>
                <w:color w:val="000000"/>
                <w:sz w:val="18"/>
                <w:szCs w:val="20"/>
                <w:lang w:val="fr-FR"/>
              </w:rPr>
              <w:t>Emotional</w:t>
            </w:r>
            <w:proofErr w:type="spellEnd"/>
            <w:r w:rsidRPr="004D26BD">
              <w:rPr>
                <w:color w:val="000000"/>
                <w:sz w:val="18"/>
                <w:szCs w:val="20"/>
                <w:lang w:val="fr-FR"/>
              </w:rPr>
              <w:t xml:space="preserve"> </w:t>
            </w:r>
            <w:proofErr w:type="spellStart"/>
            <w:r w:rsidRPr="004D26BD">
              <w:rPr>
                <w:color w:val="000000"/>
                <w:sz w:val="18"/>
                <w:szCs w:val="20"/>
                <w:lang w:val="fr-FR"/>
              </w:rPr>
              <w:t>Processing</w:t>
            </w:r>
            <w:proofErr w:type="spellEnd"/>
            <w:r w:rsidRPr="004D26BD">
              <w:rPr>
                <w:color w:val="000000"/>
                <w:sz w:val="18"/>
                <w:szCs w:val="20"/>
                <w:lang w:val="fr-FR"/>
              </w:rPr>
              <w:t xml:space="preserve"> </w:t>
            </w:r>
            <w:proofErr w:type="spellStart"/>
            <w:r w:rsidRPr="004D26BD">
              <w:rPr>
                <w:color w:val="000000"/>
                <w:sz w:val="18"/>
                <w:szCs w:val="20"/>
                <w:lang w:val="fr-FR"/>
              </w:rPr>
              <w:t>Scale</w:t>
            </w:r>
            <w:proofErr w:type="spellEnd"/>
            <w:r w:rsidRPr="004D26BD">
              <w:rPr>
                <w:color w:val="000000"/>
                <w:sz w:val="18"/>
                <w:szCs w:val="20"/>
                <w:lang w:val="fr-FR"/>
              </w:rPr>
              <w:t xml:space="preserve"> (EPS), Patient </w:t>
            </w:r>
            <w:proofErr w:type="spellStart"/>
            <w:r w:rsidRPr="004D26BD">
              <w:rPr>
                <w:color w:val="000000"/>
                <w:sz w:val="18"/>
                <w:szCs w:val="20"/>
                <w:lang w:val="fr-FR"/>
              </w:rPr>
              <w:t>Health</w:t>
            </w:r>
            <w:proofErr w:type="spellEnd"/>
            <w:r w:rsidRPr="004D26BD">
              <w:rPr>
                <w:color w:val="000000"/>
                <w:sz w:val="18"/>
                <w:szCs w:val="20"/>
                <w:lang w:val="fr-FR"/>
              </w:rPr>
              <w:t xml:space="preserve"> Questionnaire (PHQ-9), </w:t>
            </w:r>
            <w:proofErr w:type="spellStart"/>
            <w:r w:rsidRPr="004D26BD">
              <w:rPr>
                <w:color w:val="000000"/>
                <w:sz w:val="18"/>
                <w:szCs w:val="20"/>
                <w:lang w:val="fr-FR"/>
              </w:rPr>
              <w:t>Generalised</w:t>
            </w:r>
            <w:proofErr w:type="spellEnd"/>
            <w:r w:rsidRPr="004D26BD">
              <w:rPr>
                <w:color w:val="000000"/>
                <w:sz w:val="18"/>
                <w:szCs w:val="20"/>
                <w:lang w:val="fr-FR"/>
              </w:rPr>
              <w:t xml:space="preserve"> </w:t>
            </w:r>
            <w:proofErr w:type="spellStart"/>
            <w:r w:rsidRPr="004D26BD">
              <w:rPr>
                <w:color w:val="000000"/>
                <w:sz w:val="18"/>
                <w:szCs w:val="20"/>
                <w:lang w:val="fr-FR"/>
              </w:rPr>
              <w:t>Anxiety</w:t>
            </w:r>
            <w:proofErr w:type="spellEnd"/>
            <w:r w:rsidRPr="004D26BD">
              <w:rPr>
                <w:color w:val="000000"/>
                <w:sz w:val="18"/>
                <w:szCs w:val="20"/>
                <w:lang w:val="fr-FR"/>
              </w:rPr>
              <w:t xml:space="preserve"> Questionnaire (GAD-7)</w:t>
            </w:r>
          </w:p>
        </w:tc>
        <w:tc>
          <w:tcPr>
            <w:tcW w:w="785" w:type="pct"/>
            <w:vAlign w:val="center"/>
          </w:tcPr>
          <w:p w14:paraId="0511F700"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Interoceptive sensitivity (I.S.), Heart rate, Cold Pressor Test</w:t>
            </w:r>
          </w:p>
        </w:tc>
        <w:tc>
          <w:tcPr>
            <w:tcW w:w="1274" w:type="pct"/>
            <w:vAlign w:val="center"/>
          </w:tcPr>
          <w:p w14:paraId="1D3D77EB"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sz w:val="18"/>
                <w:szCs w:val="20"/>
              </w:rPr>
            </w:pPr>
            <w:r w:rsidRPr="004D26BD">
              <w:rPr>
                <w:rFonts w:eastAsiaTheme="minorHAnsi"/>
                <w:sz w:val="18"/>
                <w:szCs w:val="20"/>
              </w:rPr>
              <w:t>No significant associations between I.S. scores and EPS-25 main or subscale scores when examined within-groups.</w:t>
            </w:r>
          </w:p>
          <w:p w14:paraId="5A2E3FB2"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sz w:val="18"/>
                <w:szCs w:val="20"/>
              </w:rPr>
            </w:pPr>
          </w:p>
        </w:tc>
        <w:tc>
          <w:tcPr>
            <w:tcW w:w="1128" w:type="pct"/>
            <w:vAlign w:val="center"/>
          </w:tcPr>
          <w:p w14:paraId="3B4E7AE3"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sz w:val="18"/>
                <w:szCs w:val="20"/>
              </w:rPr>
            </w:pPr>
            <w:r w:rsidRPr="004D26BD">
              <w:rPr>
                <w:rFonts w:eastAsiaTheme="minorHAnsi"/>
                <w:sz w:val="18"/>
                <w:szCs w:val="20"/>
              </w:rPr>
              <w:t>-</w:t>
            </w:r>
          </w:p>
        </w:tc>
      </w:tr>
      <w:tr w:rsidR="0060408E" w:rsidRPr="004D26BD" w14:paraId="035EFD61" w14:textId="77777777" w:rsidTr="004D26BD">
        <w:trPr>
          <w:trHeight w:val="20"/>
        </w:trPr>
        <w:tc>
          <w:tcPr>
            <w:cnfStyle w:val="001000000000" w:firstRow="0" w:lastRow="0" w:firstColumn="1" w:lastColumn="0" w:oddVBand="0" w:evenVBand="0" w:oddHBand="0" w:evenHBand="0" w:firstRowFirstColumn="0" w:firstRowLastColumn="0" w:lastRowFirstColumn="0" w:lastRowLastColumn="0"/>
            <w:tcW w:w="636" w:type="pct"/>
          </w:tcPr>
          <w:p w14:paraId="765896CA" w14:textId="77777777" w:rsidR="0060408E" w:rsidRPr="004D26BD" w:rsidRDefault="0060408E" w:rsidP="004D26BD">
            <w:pPr>
              <w:spacing w:line="240" w:lineRule="auto"/>
              <w:rPr>
                <w:b w:val="0"/>
                <w:bCs w:val="0"/>
                <w:sz w:val="18"/>
                <w:szCs w:val="20"/>
              </w:rPr>
            </w:pPr>
            <w:r w:rsidRPr="004D26BD">
              <w:rPr>
                <w:b w:val="0"/>
                <w:bCs w:val="0"/>
                <w:sz w:val="18"/>
                <w:szCs w:val="20"/>
              </w:rPr>
              <w:lastRenderedPageBreak/>
              <w:t>Illness burden</w:t>
            </w:r>
          </w:p>
          <w:p w14:paraId="3F9DC229" w14:textId="77777777" w:rsidR="0060408E" w:rsidRPr="004D26BD" w:rsidRDefault="0060408E" w:rsidP="004D26BD">
            <w:pPr>
              <w:spacing w:line="240" w:lineRule="auto"/>
              <w:rPr>
                <w:b w:val="0"/>
                <w:bCs w:val="0"/>
                <w:color w:val="000000"/>
                <w:sz w:val="18"/>
                <w:szCs w:val="20"/>
              </w:rPr>
            </w:pPr>
            <w:r w:rsidRPr="004D26BD">
              <w:rPr>
                <w:b w:val="0"/>
                <w:bCs w:val="0"/>
                <w:sz w:val="18"/>
                <w:szCs w:val="20"/>
              </w:rPr>
              <w:t xml:space="preserve"> (n=2/2)</w:t>
            </w:r>
          </w:p>
        </w:tc>
        <w:tc>
          <w:tcPr>
            <w:tcW w:w="441" w:type="pct"/>
            <w:vAlign w:val="center"/>
          </w:tcPr>
          <w:p w14:paraId="222E85A0"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rPr>
            </w:pPr>
            <w:r w:rsidRPr="004D26BD">
              <w:rPr>
                <w:color w:val="000000"/>
                <w:sz w:val="18"/>
                <w:szCs w:val="20"/>
              </w:rPr>
              <w:t>Parees et al (2012)</w:t>
            </w:r>
          </w:p>
          <w:p w14:paraId="6DC8FFB9"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highlight w:val="red"/>
              </w:rPr>
            </w:pPr>
          </w:p>
        </w:tc>
        <w:tc>
          <w:tcPr>
            <w:tcW w:w="735" w:type="pct"/>
          </w:tcPr>
          <w:p w14:paraId="530749AD" w14:textId="77777777" w:rsidR="0060408E" w:rsidRPr="004D26BD" w:rsidRDefault="0060408E" w:rsidP="001A2683">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20"/>
                <w:highlight w:val="red"/>
              </w:rPr>
            </w:pPr>
            <w:r w:rsidRPr="004D26BD">
              <w:rPr>
                <w:color w:val="000000"/>
                <w:sz w:val="18"/>
                <w:szCs w:val="20"/>
              </w:rPr>
              <w:t>Self-rated assessment of tremor duration in self-completed diary</w:t>
            </w:r>
          </w:p>
        </w:tc>
        <w:tc>
          <w:tcPr>
            <w:tcW w:w="785" w:type="pct"/>
          </w:tcPr>
          <w:p w14:paraId="59A25A39"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highlight w:val="red"/>
              </w:rPr>
            </w:pPr>
            <w:r w:rsidRPr="004D26BD">
              <w:rPr>
                <w:color w:val="000000"/>
                <w:sz w:val="18"/>
                <w:szCs w:val="20"/>
              </w:rPr>
              <w:t>Actigraph measurement of tremor</w:t>
            </w:r>
          </w:p>
        </w:tc>
        <w:tc>
          <w:tcPr>
            <w:tcW w:w="1274" w:type="pct"/>
            <w:vAlign w:val="center"/>
          </w:tcPr>
          <w:p w14:paraId="446C1785"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highlight w:val="red"/>
              </w:rPr>
            </w:pPr>
            <w:r w:rsidRPr="004D26BD">
              <w:rPr>
                <w:color w:val="000000"/>
                <w:sz w:val="18"/>
                <w:szCs w:val="20"/>
              </w:rPr>
              <w:t>Psychogenic tremor patients showed a significantly greater bias towards over-estimation of tremor (65%), rated themselves as significantly more disabled and as having poorer QOL - but this did not correlate with actigraphy data*</w:t>
            </w:r>
          </w:p>
        </w:tc>
        <w:tc>
          <w:tcPr>
            <w:tcW w:w="1128" w:type="pct"/>
            <w:vAlign w:val="center"/>
          </w:tcPr>
          <w:p w14:paraId="01CF28DB" w14:textId="77777777" w:rsidR="0060408E" w:rsidRPr="004D26BD" w:rsidRDefault="0060408E" w:rsidP="004D26BD">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20"/>
                <w:highlight w:val="red"/>
              </w:rPr>
            </w:pPr>
            <w:r w:rsidRPr="004D26BD">
              <w:rPr>
                <w:color w:val="000000"/>
                <w:sz w:val="18"/>
                <w:szCs w:val="20"/>
              </w:rPr>
              <w:t>-</w:t>
            </w:r>
          </w:p>
        </w:tc>
      </w:tr>
      <w:tr w:rsidR="0060408E" w:rsidRPr="004D26BD" w14:paraId="12DAB48F" w14:textId="77777777" w:rsidTr="004D26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tcPr>
          <w:p w14:paraId="6E2B1EF8" w14:textId="77777777" w:rsidR="0060408E" w:rsidRPr="004D26BD" w:rsidRDefault="0060408E" w:rsidP="004D26BD">
            <w:pPr>
              <w:spacing w:line="240" w:lineRule="auto"/>
              <w:rPr>
                <w:b w:val="0"/>
                <w:bCs w:val="0"/>
                <w:color w:val="000000"/>
                <w:sz w:val="18"/>
                <w:szCs w:val="20"/>
              </w:rPr>
            </w:pPr>
          </w:p>
        </w:tc>
        <w:tc>
          <w:tcPr>
            <w:tcW w:w="441" w:type="pct"/>
            <w:vAlign w:val="center"/>
          </w:tcPr>
          <w:p w14:paraId="075011CA"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Kramer et al (2019)</w:t>
            </w:r>
          </w:p>
          <w:p w14:paraId="25C726C2"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p>
        </w:tc>
        <w:tc>
          <w:tcPr>
            <w:tcW w:w="735" w:type="pct"/>
          </w:tcPr>
          <w:p w14:paraId="6426B90A" w14:textId="77777777" w:rsidR="0060408E" w:rsidRPr="004D26BD" w:rsidRDefault="0060408E" w:rsidP="001A268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Self-rated assessment of tremor burden in self-completed diary</w:t>
            </w:r>
          </w:p>
        </w:tc>
        <w:tc>
          <w:tcPr>
            <w:tcW w:w="785" w:type="pct"/>
          </w:tcPr>
          <w:p w14:paraId="3C95A94C"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Actigraph measurement of tremor</w:t>
            </w:r>
          </w:p>
        </w:tc>
        <w:tc>
          <w:tcPr>
            <w:tcW w:w="1274" w:type="pct"/>
            <w:vAlign w:val="center"/>
          </w:tcPr>
          <w:p w14:paraId="548C9B54"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 xml:space="preserve">No significant difference found in  the subjective and objective associations within the </w:t>
            </w:r>
            <w:proofErr w:type="spellStart"/>
            <w:r w:rsidRPr="004D26BD">
              <w:rPr>
                <w:color w:val="000000"/>
                <w:sz w:val="18"/>
                <w:szCs w:val="20"/>
              </w:rPr>
              <w:t>OrgT</w:t>
            </w:r>
            <w:proofErr w:type="spellEnd"/>
            <w:r w:rsidRPr="004D26BD">
              <w:rPr>
                <w:color w:val="000000"/>
                <w:sz w:val="18"/>
                <w:szCs w:val="20"/>
              </w:rPr>
              <w:t xml:space="preserve"> group and the F.T. group*</w:t>
            </w:r>
          </w:p>
        </w:tc>
        <w:tc>
          <w:tcPr>
            <w:tcW w:w="1128" w:type="pct"/>
            <w:vAlign w:val="center"/>
          </w:tcPr>
          <w:p w14:paraId="312FD3BD" w14:textId="77777777" w:rsidR="0060408E" w:rsidRPr="004D26BD" w:rsidRDefault="0060408E" w:rsidP="004D26BD">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20"/>
              </w:rPr>
            </w:pPr>
            <w:r w:rsidRPr="004D26BD">
              <w:rPr>
                <w:color w:val="000000"/>
                <w:sz w:val="18"/>
                <w:szCs w:val="20"/>
              </w:rPr>
              <w:t>r = nr, p = 0.168</w:t>
            </w:r>
          </w:p>
        </w:tc>
      </w:tr>
    </w:tbl>
    <w:p w14:paraId="6B4D7C95" w14:textId="77777777" w:rsidR="0060408E" w:rsidRPr="00051E72" w:rsidRDefault="0060408E" w:rsidP="00DB19B8">
      <w:pPr>
        <w:rPr>
          <w:color w:val="000000"/>
          <w:sz w:val="20"/>
          <w:szCs w:val="20"/>
        </w:rPr>
      </w:pPr>
    </w:p>
    <w:p w14:paraId="16B14788" w14:textId="77777777" w:rsidR="0060408E" w:rsidRDefault="0060408E" w:rsidP="0060408E">
      <w:pPr>
        <w:pStyle w:val="ListParagraph"/>
        <w:numPr>
          <w:ilvl w:val="0"/>
          <w:numId w:val="23"/>
        </w:numPr>
        <w:rPr>
          <w:i/>
          <w:iCs/>
          <w:szCs w:val="22"/>
        </w:rPr>
      </w:pPr>
      <w:r w:rsidRPr="00EF5DF1">
        <w:rPr>
          <w:i/>
          <w:iCs/>
          <w:szCs w:val="22"/>
        </w:rPr>
        <w:t>Table includes only information pertinent to relevant correlation analysis</w:t>
      </w:r>
    </w:p>
    <w:p w14:paraId="0E9806CE" w14:textId="51713E05" w:rsidR="0060408E" w:rsidRPr="0060408E" w:rsidRDefault="0060408E" w:rsidP="0060408E">
      <w:pPr>
        <w:pStyle w:val="ListParagraph"/>
        <w:numPr>
          <w:ilvl w:val="0"/>
          <w:numId w:val="23"/>
        </w:numPr>
        <w:rPr>
          <w:i/>
          <w:iCs/>
          <w:szCs w:val="22"/>
        </w:rPr>
      </w:pPr>
      <w:r w:rsidRPr="008357F6">
        <w:rPr>
          <w:i/>
          <w:iCs/>
          <w:szCs w:val="22"/>
        </w:rPr>
        <w:t xml:space="preserve">Comparative studies = those providing results from a correlational analysis between subjective and objective outcome measures. </w:t>
      </w:r>
    </w:p>
    <w:p w14:paraId="7949D224" w14:textId="77777777" w:rsidR="0060408E" w:rsidRPr="00EF5DF1" w:rsidRDefault="0060408E" w:rsidP="00DB19B8">
      <w:pPr>
        <w:rPr>
          <w:i/>
          <w:iCs/>
          <w:szCs w:val="22"/>
        </w:rPr>
      </w:pPr>
      <w:r w:rsidRPr="00EF5DF1">
        <w:rPr>
          <w:i/>
          <w:iCs/>
          <w:szCs w:val="22"/>
        </w:rPr>
        <w:t>A dash (</w:t>
      </w:r>
      <w:r>
        <w:rPr>
          <w:i/>
          <w:iCs/>
          <w:szCs w:val="22"/>
        </w:rPr>
        <w:t>"</w:t>
      </w:r>
      <w:r w:rsidRPr="00EF5DF1">
        <w:rPr>
          <w:i/>
          <w:iCs/>
          <w:szCs w:val="22"/>
        </w:rPr>
        <w:t>-</w:t>
      </w:r>
      <w:r>
        <w:rPr>
          <w:i/>
          <w:iCs/>
          <w:szCs w:val="22"/>
        </w:rPr>
        <w:t>"</w:t>
      </w:r>
      <w:r w:rsidRPr="00EF5DF1">
        <w:rPr>
          <w:i/>
          <w:iCs/>
          <w:szCs w:val="22"/>
        </w:rPr>
        <w:t xml:space="preserve">) </w:t>
      </w:r>
      <w:r>
        <w:rPr>
          <w:i/>
          <w:iCs/>
          <w:szCs w:val="22"/>
        </w:rPr>
        <w:t>indicates data was not</w:t>
      </w:r>
      <w:r w:rsidRPr="00EF5DF1">
        <w:rPr>
          <w:i/>
          <w:iCs/>
          <w:szCs w:val="22"/>
        </w:rPr>
        <w:t xml:space="preserve"> included in the study</w:t>
      </w:r>
    </w:p>
    <w:p w14:paraId="200FAFF5" w14:textId="6F8B8148" w:rsidR="0060408E" w:rsidRPr="00EF754F" w:rsidRDefault="00400BA2" w:rsidP="00DB19B8">
      <w:pPr>
        <w:rPr>
          <w:rFonts w:eastAsia="Arial"/>
          <w:color w:val="2F5496"/>
        </w:rPr>
        <w:sectPr w:rsidR="0060408E" w:rsidRPr="00EF754F" w:rsidSect="001A2683">
          <w:pgSz w:w="16840" w:h="11900" w:orient="landscape"/>
          <w:pgMar w:top="1440" w:right="1440" w:bottom="1440" w:left="1440" w:header="708" w:footer="708" w:gutter="0"/>
          <w:cols w:space="720" w:equalWidth="0">
            <w:col w:w="9360"/>
          </w:cols>
          <w:docGrid w:linePitch="326"/>
        </w:sectPr>
      </w:pPr>
      <w:r w:rsidRPr="001A2683">
        <w:rPr>
          <w:i/>
          <w:iCs/>
          <w:color w:val="FF0000"/>
          <w:szCs w:val="22"/>
        </w:rPr>
        <w:t>Non-</w:t>
      </w:r>
      <w:r w:rsidR="0060408E" w:rsidRPr="00EF5DF1">
        <w:rPr>
          <w:i/>
          <w:iCs/>
          <w:szCs w:val="22"/>
        </w:rPr>
        <w:t>significant correlations * signifies p-value of &lt;0.05; ** signifies  p-value of &lt;0.00</w:t>
      </w:r>
      <w:bookmarkStart w:id="66" w:name="_1ci93xb" w:colFirst="0" w:colLast="0"/>
      <w:bookmarkStart w:id="67" w:name="_3whwml4" w:colFirst="0" w:colLast="0"/>
      <w:bookmarkEnd w:id="66"/>
      <w:bookmarkEnd w:id="67"/>
    </w:p>
    <w:p w14:paraId="4F4D177C" w14:textId="2800FB11" w:rsidR="008D7B69" w:rsidRDefault="008D7B69">
      <w:pPr>
        <w:spacing w:line="240" w:lineRule="auto"/>
        <w:jc w:val="left"/>
        <w:rPr>
          <w:rStyle w:val="IntenseReference"/>
          <w:rFonts w:ascii="Calibri Light" w:eastAsia="Times New Roman" w:hAnsi="Calibri Light" w:cs="Times New Roman"/>
          <w:b w:val="0"/>
          <w:bCs w:val="0"/>
          <w:smallCaps w:val="0"/>
          <w:color w:val="2E74B5" w:themeColor="accent1" w:themeShade="BF"/>
          <w:spacing w:val="0"/>
          <w:szCs w:val="20"/>
          <w:lang w:val="en-US"/>
        </w:rPr>
      </w:pPr>
    </w:p>
    <w:p w14:paraId="484F8C87" w14:textId="0610D878" w:rsidR="00997566" w:rsidRPr="009456C9" w:rsidRDefault="00E73C36" w:rsidP="0014037C">
      <w:pPr>
        <w:pStyle w:val="Heading1"/>
        <w:rPr>
          <w:rStyle w:val="IntenseReference"/>
          <w:rFonts w:ascii="Calibri Light" w:hAnsi="Calibri Light"/>
          <w:b w:val="0"/>
          <w:bCs w:val="0"/>
          <w:smallCaps w:val="0"/>
          <w:color w:val="2E74B5" w:themeColor="accent1" w:themeShade="BF"/>
          <w:spacing w:val="0"/>
          <w:szCs w:val="20"/>
        </w:rPr>
      </w:pPr>
      <w:bookmarkStart w:id="68" w:name="_Toc137504694"/>
      <w:r w:rsidRPr="009456C9">
        <w:rPr>
          <w:rStyle w:val="IntenseReference"/>
          <w:rFonts w:ascii="Calibri Light" w:hAnsi="Calibri Light"/>
          <w:b w:val="0"/>
          <w:bCs w:val="0"/>
          <w:smallCaps w:val="0"/>
          <w:color w:val="2E74B5" w:themeColor="accent1" w:themeShade="BF"/>
          <w:spacing w:val="0"/>
          <w:szCs w:val="20"/>
        </w:rPr>
        <w:t xml:space="preserve">3.0 </w:t>
      </w:r>
      <w:r w:rsidR="00997566" w:rsidRPr="009456C9">
        <w:rPr>
          <w:rStyle w:val="IntenseReference"/>
          <w:rFonts w:ascii="Calibri Light" w:hAnsi="Calibri Light"/>
          <w:b w:val="0"/>
          <w:bCs w:val="0"/>
          <w:smallCaps w:val="0"/>
          <w:color w:val="2E74B5" w:themeColor="accent1" w:themeShade="BF"/>
          <w:spacing w:val="0"/>
          <w:szCs w:val="20"/>
        </w:rPr>
        <w:t xml:space="preserve">Evaluation and refinement of the novel </w:t>
      </w:r>
      <w:proofErr w:type="spellStart"/>
      <w:r w:rsidR="00997566" w:rsidRPr="009456C9">
        <w:rPr>
          <w:rStyle w:val="IntenseReference"/>
          <w:rFonts w:ascii="Calibri Light" w:hAnsi="Calibri Light"/>
          <w:b w:val="0"/>
          <w:bCs w:val="0"/>
          <w:smallCaps w:val="0"/>
          <w:color w:val="2E74B5" w:themeColor="accent1" w:themeShade="BF"/>
          <w:spacing w:val="0"/>
          <w:szCs w:val="20"/>
        </w:rPr>
        <w:t>sElf</w:t>
      </w:r>
      <w:proofErr w:type="spellEnd"/>
      <w:r w:rsidR="00997566" w:rsidRPr="009456C9">
        <w:rPr>
          <w:rStyle w:val="IntenseReference"/>
          <w:rFonts w:ascii="Calibri Light" w:hAnsi="Calibri Light"/>
          <w:b w:val="0"/>
          <w:bCs w:val="0"/>
          <w:smallCaps w:val="0"/>
          <w:color w:val="2E74B5" w:themeColor="accent1" w:themeShade="BF"/>
          <w:spacing w:val="0"/>
          <w:szCs w:val="20"/>
        </w:rPr>
        <w:t xml:space="preserve">-efficacy, Assertiveness, Social support, self-awareness and </w:t>
      </w:r>
      <w:proofErr w:type="spellStart"/>
      <w:r w:rsidR="00997566" w:rsidRPr="009456C9">
        <w:rPr>
          <w:rStyle w:val="IntenseReference"/>
          <w:rFonts w:ascii="Calibri Light" w:hAnsi="Calibri Light"/>
          <w:b w:val="0"/>
          <w:bCs w:val="0"/>
          <w:smallCaps w:val="0"/>
          <w:color w:val="2E74B5" w:themeColor="accent1" w:themeShade="BF"/>
          <w:spacing w:val="0"/>
          <w:szCs w:val="20"/>
        </w:rPr>
        <w:t>hElpful</w:t>
      </w:r>
      <w:proofErr w:type="spellEnd"/>
      <w:r w:rsidR="00997566" w:rsidRPr="009456C9">
        <w:rPr>
          <w:rStyle w:val="IntenseReference"/>
          <w:rFonts w:ascii="Calibri Light" w:hAnsi="Calibri Light"/>
          <w:b w:val="0"/>
          <w:bCs w:val="0"/>
          <w:smallCaps w:val="0"/>
          <w:color w:val="2E74B5" w:themeColor="accent1" w:themeShade="BF"/>
          <w:spacing w:val="0"/>
          <w:szCs w:val="20"/>
        </w:rPr>
        <w:t xml:space="preserve"> thinking (EASE) questionnaire for patients with Functional Neurological Symptom Disorder.</w:t>
      </w:r>
      <w:bookmarkEnd w:id="68"/>
    </w:p>
    <w:p w14:paraId="2ECEFD2C" w14:textId="77777777" w:rsidR="00997566" w:rsidRPr="00507003" w:rsidRDefault="00997566" w:rsidP="00997566"/>
    <w:p w14:paraId="0DE282A4" w14:textId="6FB68578" w:rsidR="00997566" w:rsidRPr="0014037C" w:rsidRDefault="00E73C36" w:rsidP="0014037C">
      <w:pPr>
        <w:pStyle w:val="Heading2"/>
      </w:pPr>
      <w:bookmarkStart w:id="69" w:name="_Toc137504695"/>
      <w:r w:rsidRPr="0014037C">
        <w:t>3</w:t>
      </w:r>
      <w:r w:rsidR="00997566" w:rsidRPr="0014037C">
        <w:t>.</w:t>
      </w:r>
      <w:r w:rsidRPr="0014037C">
        <w:t>1</w:t>
      </w:r>
      <w:r w:rsidR="00997566" w:rsidRPr="0014037C">
        <w:t xml:space="preserve"> Introduction</w:t>
      </w:r>
      <w:bookmarkEnd w:id="69"/>
    </w:p>
    <w:p w14:paraId="45BA7810" w14:textId="1CE07F2E" w:rsidR="00997566" w:rsidRPr="00507003" w:rsidRDefault="00E73C36" w:rsidP="00997566">
      <w:pPr>
        <w:pStyle w:val="Heading3"/>
      </w:pPr>
      <w:bookmarkStart w:id="70" w:name="_Toc137504696"/>
      <w:r>
        <w:t>3</w:t>
      </w:r>
      <w:r w:rsidR="00997566" w:rsidRPr="00507003">
        <w:t>.1</w:t>
      </w:r>
      <w:r>
        <w:t>.1</w:t>
      </w:r>
      <w:r w:rsidR="00997566" w:rsidRPr="00507003">
        <w:t xml:space="preserve"> Outcome measurement in FNSD</w:t>
      </w:r>
      <w:bookmarkEnd w:id="70"/>
    </w:p>
    <w:p w14:paraId="1D9CD748" w14:textId="77777777" w:rsidR="00997566" w:rsidRPr="002A7443" w:rsidRDefault="00997566" w:rsidP="00997566">
      <w:r>
        <w:t>Sp</w:t>
      </w:r>
      <w:r w:rsidRPr="002A7443">
        <w:t xml:space="preserve">ecific and widely used measures to assess outcomes in </w:t>
      </w:r>
      <w:r>
        <w:t>FNSD</w:t>
      </w:r>
      <w:r w:rsidRPr="002A7443">
        <w:t xml:space="preserve"> are lacking.</w:t>
      </w:r>
      <w:r>
        <w:t xml:space="preserve"> </w:t>
      </w:r>
      <w:r w:rsidRPr="002A7443">
        <w:t xml:space="preserve">While it is evident that several outcome domains </w:t>
      </w:r>
      <w:r>
        <w:t>may be relevant in patients with</w:t>
      </w:r>
      <w:r w:rsidRPr="002A7443">
        <w:t xml:space="preserve"> </w:t>
      </w:r>
      <w:r>
        <w:t>FNSD (pwFNSD)</w:t>
      </w:r>
      <w:r w:rsidRPr="002A7443">
        <w:t>, evidence-based medicine emphasises the need for consistent outcome measurement.</w:t>
      </w:r>
      <w:r>
        <w:t xml:space="preserve"> </w:t>
      </w:r>
      <w:r w:rsidRPr="002A7443">
        <w:t xml:space="preserve">A key challenge </w:t>
      </w:r>
      <w:r>
        <w:t>in</w:t>
      </w:r>
      <w:r w:rsidRPr="002A7443">
        <w:t xml:space="preserve"> </w:t>
      </w:r>
      <w:r>
        <w:t>FNSD research and clinical care</w:t>
      </w:r>
      <w:r w:rsidRPr="002A7443">
        <w:t xml:space="preserve"> is deciding which </w:t>
      </w:r>
      <w:r>
        <w:t>outcomes</w:t>
      </w:r>
      <w:r w:rsidRPr="002A7443">
        <w:t xml:space="preserve"> are most useful to measure. </w:t>
      </w:r>
    </w:p>
    <w:p w14:paraId="24FB93FD" w14:textId="28EB56DC" w:rsidR="00997566" w:rsidRDefault="00997566" w:rsidP="00997566">
      <w:r w:rsidRPr="002A7443">
        <w:t>The biopsychosocial model of health suggests that dynamic resource-oriented psychological features should be considered clinically valuable when assessing treatments and treatment outcomes</w:t>
      </w:r>
      <w:r>
        <w:t xml:space="preserve"> </w:t>
      </w:r>
      <w:sdt>
        <w:sdtPr>
          <w:rPr>
            <w:color w:val="000000"/>
          </w:rPr>
          <w:tag w:val="MENDELEY_CITATION_v3_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"/>
          <w:id w:val="-1375083691"/>
          <w:placeholder>
            <w:docPart w:val="712761C3C0ECFC4C8B91BEFCB51C0943"/>
          </w:placeholder>
        </w:sdtPr>
        <w:sdtContent>
          <w:r w:rsidR="0047170A" w:rsidRPr="0047170A">
            <w:rPr>
              <w:color w:val="000000"/>
            </w:rPr>
            <w:t>(Bandura, 2004)</w:t>
          </w:r>
        </w:sdtContent>
      </w:sdt>
      <w:r w:rsidRPr="002A7443">
        <w:t>.</w:t>
      </w:r>
      <w:r>
        <w:t xml:space="preserve"> </w:t>
      </w:r>
      <w:r w:rsidRPr="002A7443">
        <w:t xml:space="preserve">This may be particularly pertinent in FNSD patients where generic measures may not capture direct primary outcomes that would </w:t>
      </w:r>
      <w:r>
        <w:t xml:space="preserve">have </w:t>
      </w:r>
      <w:r w:rsidRPr="002A7443">
        <w:t>specific</w:t>
      </w:r>
      <w:r>
        <w:t xml:space="preserve"> relevance to</w:t>
      </w:r>
      <w:r w:rsidRPr="002A7443">
        <w:t xml:space="preserve"> </w:t>
      </w:r>
      <w:r>
        <w:t xml:space="preserve">the </w:t>
      </w:r>
      <w:r w:rsidRPr="002A7443">
        <w:t>efficacy of an intervention and may lead to inaccurate interpretations of outcomes.</w:t>
      </w:r>
      <w:r>
        <w:t xml:space="preserve"> </w:t>
      </w:r>
      <w:r w:rsidRPr="002A7443">
        <w:t>For example</w:t>
      </w:r>
      <w:r>
        <w:t>,</w:t>
      </w:r>
      <w:r w:rsidRPr="002A7443">
        <w:t xml:space="preserve"> worse scores on the</w:t>
      </w:r>
      <w:r>
        <w:t xml:space="preserve"> epilepsy-specific measure, the Quality of Life in Epilepsy questionnaire</w:t>
      </w:r>
      <w:r w:rsidRPr="002A7443">
        <w:t xml:space="preserve"> </w:t>
      </w:r>
      <w:r>
        <w:t>(</w:t>
      </w:r>
      <w:r w:rsidRPr="002A7443">
        <w:t>QOLIE</w:t>
      </w:r>
      <w:r>
        <w:t>),</w:t>
      </w:r>
      <w:r w:rsidRPr="002A7443">
        <w:t xml:space="preserve"> may be obtained from psychotherapy-treated patients even though they have experience</w:t>
      </w:r>
      <w:r>
        <w:t>d</w:t>
      </w:r>
      <w:r w:rsidRPr="002A7443">
        <w:t xml:space="preserve"> benefits from treatment; in such cases, psychotherapy may have successfully reduced alexithymi</w:t>
      </w:r>
      <w:r>
        <w:t>a</w:t>
      </w:r>
      <w:r w:rsidRPr="002A7443">
        <w:t xml:space="preserve"> traits and </w:t>
      </w:r>
      <w:r>
        <w:t>equipped</w:t>
      </w:r>
      <w:r w:rsidRPr="002A7443">
        <w:t xml:space="preserve"> patients with a better understanding of their emotions</w:t>
      </w:r>
      <w:r>
        <w:t xml:space="preserve">, however, this may have increased </w:t>
      </w:r>
      <w:r w:rsidR="00352F7F">
        <w:t>patients'</w:t>
      </w:r>
      <w:r w:rsidRPr="002A7443">
        <w:t xml:space="preserve"> </w:t>
      </w:r>
      <w:r>
        <w:t>recognition of their distress. This may have allowed patients to make many positive life changes and be perceived as a positive development by the patient</w:t>
      </w:r>
      <w:r w:rsidRPr="002A7443">
        <w:t>.</w:t>
      </w:r>
      <w:r>
        <w:t xml:space="preserve"> </w:t>
      </w:r>
      <w:r w:rsidR="00400BA2" w:rsidRPr="001A2683">
        <w:rPr>
          <w:color w:val="FF0000"/>
        </w:rPr>
        <w:t xml:space="preserve">The </w:t>
      </w:r>
      <w:r>
        <w:t>QOLIE measure</w:t>
      </w:r>
      <w:r w:rsidRPr="002A7443">
        <w:t xml:space="preserve"> may</w:t>
      </w:r>
      <w:r>
        <w:t>,</w:t>
      </w:r>
      <w:r w:rsidRPr="002A7443">
        <w:t xml:space="preserve"> </w:t>
      </w:r>
      <w:r>
        <w:t xml:space="preserve">therefore, </w:t>
      </w:r>
      <w:r w:rsidRPr="002A7443">
        <w:t xml:space="preserve">not </w:t>
      </w:r>
      <w:r>
        <w:t xml:space="preserve">capture some </w:t>
      </w:r>
      <w:r w:rsidRPr="002A7443">
        <w:t>important and informative outcomes that are meaningful to the patient</w:t>
      </w:r>
      <w:r>
        <w:t xml:space="preserve"> </w:t>
      </w:r>
      <w:sdt>
        <w:sdtPr>
          <w:rPr>
            <w:color w:val="000000"/>
          </w:rPr>
          <w:tag w:val="MENDELEY_CITATION_v3_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"/>
          <w:id w:val="-673029752"/>
          <w:placeholder>
            <w:docPart w:val="712761C3C0ECFC4C8B91BEFCB51C0943"/>
          </w:placeholder>
        </w:sdtPr>
        <w:sdtContent>
          <w:r w:rsidR="0047170A" w:rsidRPr="0047170A">
            <w:rPr>
              <w:color w:val="000000"/>
            </w:rPr>
            <w:t xml:space="preserve">(Michaelis, </w:t>
          </w:r>
          <w:proofErr w:type="spellStart"/>
          <w:r w:rsidR="0047170A" w:rsidRPr="0047170A">
            <w:rPr>
              <w:color w:val="000000"/>
            </w:rPr>
            <w:t>Niedermann</w:t>
          </w:r>
          <w:proofErr w:type="spellEnd"/>
          <w:r w:rsidR="0047170A" w:rsidRPr="0047170A">
            <w:rPr>
              <w:color w:val="000000"/>
            </w:rPr>
            <w:t>, et al., 2017)</w:t>
          </w:r>
        </w:sdtContent>
      </w:sdt>
      <w:r w:rsidR="00501AC3">
        <w:t>. This</w:t>
      </w:r>
      <w:r>
        <w:t xml:space="preserve"> highlight</w:t>
      </w:r>
      <w:r w:rsidR="00501AC3">
        <w:t xml:space="preserve">s </w:t>
      </w:r>
      <w:r w:rsidRPr="002A7443">
        <w:t xml:space="preserve">the degree of specificity required when assessing treatment outcomes. </w:t>
      </w:r>
    </w:p>
    <w:p w14:paraId="6269188A" w14:textId="6F447684" w:rsidR="00997566" w:rsidRPr="002A7443" w:rsidRDefault="00997566" w:rsidP="00997566">
      <w:r w:rsidRPr="002A7443">
        <w:lastRenderedPageBreak/>
        <w:t xml:space="preserve">Resource-oriented approaches </w:t>
      </w:r>
      <w:r>
        <w:t>are</w:t>
      </w:r>
      <w:r w:rsidRPr="002A7443">
        <w:t xml:space="preserve"> significantly associated with prognosis in chronic disorders, including </w:t>
      </w:r>
      <w:r>
        <w:t xml:space="preserve">FNSD </w:t>
      </w:r>
      <w:sdt>
        <w:sdtPr>
          <w:rPr>
            <w:color w:val="000000"/>
          </w:rPr>
          <w:tag w:val="MENDELEY_CITATION_v3_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"/>
          <w:id w:val="2012636688"/>
          <w:placeholder>
            <w:docPart w:val="712761C3C0ECFC4C8B91BEFCB51C0943"/>
          </w:placeholder>
        </w:sdtPr>
        <w:sdtContent>
          <w:r w:rsidR="0047170A" w:rsidRPr="0047170A">
            <w:rPr>
              <w:color w:val="000000"/>
            </w:rPr>
            <w:t xml:space="preserve">(Bandura, 2004; Michaelis, </w:t>
          </w:r>
          <w:proofErr w:type="spellStart"/>
          <w:r w:rsidR="0047170A" w:rsidRPr="0047170A">
            <w:rPr>
              <w:color w:val="000000"/>
            </w:rPr>
            <w:t>Niedermann</w:t>
          </w:r>
          <w:proofErr w:type="spellEnd"/>
          <w:r w:rsidR="0047170A" w:rsidRPr="0047170A">
            <w:rPr>
              <w:color w:val="000000"/>
            </w:rPr>
            <w:t xml:space="preserve"> et al., 2017),</w:t>
          </w:r>
        </w:sdtContent>
      </w:sdt>
      <w:r w:rsidRPr="002A7443">
        <w:t xml:space="preserve"> and resource-oriented constructs can be </w:t>
      </w:r>
      <w:r>
        <w:t>essential</w:t>
      </w:r>
      <w:r w:rsidRPr="002A7443">
        <w:t xml:space="preserve"> for maintaining a good quality of life </w:t>
      </w:r>
      <w:sdt>
        <w:sdtPr>
          <w:rPr>
            <w:color w:val="000000"/>
          </w:rPr>
          <w:tag w:val="MENDELEY_CITATION_v3_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"/>
          <w:id w:val="-1457483125"/>
          <w:placeholder>
            <w:docPart w:val="712761C3C0ECFC4C8B91BEFCB51C0943"/>
          </w:placeholder>
        </w:sdtPr>
        <w:sdtContent>
          <w:r w:rsidR="0047170A" w:rsidRPr="0047170A">
            <w:rPr>
              <w:color w:val="000000"/>
            </w:rPr>
            <w:t xml:space="preserve">(Priebe et al., 2014; </w:t>
          </w:r>
          <w:proofErr w:type="spellStart"/>
          <w:r w:rsidR="0047170A" w:rsidRPr="0047170A">
            <w:rPr>
              <w:color w:val="000000"/>
            </w:rPr>
            <w:t>Prüfer</w:t>
          </w:r>
          <w:proofErr w:type="spellEnd"/>
          <w:r w:rsidR="0047170A" w:rsidRPr="0047170A">
            <w:rPr>
              <w:color w:val="000000"/>
            </w:rPr>
            <w:t xml:space="preserve"> et al., 2013)</w:t>
          </w:r>
        </w:sdtContent>
      </w:sdt>
      <w:r w:rsidRPr="002A7443">
        <w:t>.</w:t>
      </w:r>
      <w:r>
        <w:t xml:space="preserve"> </w:t>
      </w:r>
      <w:r w:rsidRPr="002A7443">
        <w:t xml:space="preserve">A recent review of </w:t>
      </w:r>
      <w:r>
        <w:t>FNSD</w:t>
      </w:r>
      <w:r w:rsidRPr="002A7443">
        <w:t xml:space="preserve"> outcome measures by an international </w:t>
      </w:r>
      <w:r>
        <w:t>FND</w:t>
      </w:r>
      <w:r w:rsidRPr="002A7443">
        <w:t> Core Outcome Measure group (</w:t>
      </w:r>
      <w:r>
        <w:t>FND</w:t>
      </w:r>
      <w:r w:rsidRPr="002A7443">
        <w:t>-COM) found that all the studies that utilised a version of The Illness Perception Questionnaire detected significant treatment effects on composite or individual items on the scale suggesting that illness beliefs and perception may mediate treatment-related change or perhaps mediate change across different treatment and symptom types</w:t>
      </w:r>
      <w:r>
        <w:t xml:space="preserve"> </w:t>
      </w:r>
      <w:sdt>
        <w:sdtPr>
          <w:rPr>
            <w:color w:val="000000"/>
          </w:rPr>
          <w:tag w:val="MENDELEY_CITATION_v3_eyJjaXRhdGlvbklEIjoiTUVOREVMRVlfQ0lUQVRJT05fYzQ4ZDFlOWUtN2JkYy00MzkwLTlmNDEtYmVjOTlkZDAwMjg1IiwicHJvcGVydGllcyI6eyJub3RlSW5kZXgiOjB9LCJpc0VkaXRlZCI6ZmFsc2UsIm1hbnVhbE92ZXJyaWRlIjp7ImlzTWFudWFsbHlPdmVycmlkZGVuIjp0cnVlLCJjaXRlcHJvY1RleHQiOiIoUGljayBldCBhbC4sIDIwMjApIiwibWFudWFsT3ZlcnJpZGVUZXh0IjoiKFBpY2ssIEFuZGVyc29uLCBldCBhbC4sIDIwMjApIn0sImNpdGF0aW9uSXRlbXMiOlt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XX0="/>
          <w:id w:val="-1550529613"/>
          <w:placeholder>
            <w:docPart w:val="712761C3C0ECFC4C8B91BEFCB51C0943"/>
          </w:placeholder>
        </w:sdtPr>
        <w:sdtContent>
          <w:r w:rsidR="0047170A" w:rsidRPr="0047170A">
            <w:rPr>
              <w:color w:val="000000"/>
            </w:rPr>
            <w:t>(Pick, Anderson, et al., 2020)</w:t>
          </w:r>
        </w:sdtContent>
      </w:sdt>
      <w:r>
        <w:t>.</w:t>
      </w:r>
    </w:p>
    <w:p w14:paraId="74DF58D8" w14:textId="02E1992F" w:rsidR="00997566" w:rsidRDefault="00997566" w:rsidP="00997566">
      <w:r>
        <w:t xml:space="preserve">Considering the above discussion and the </w:t>
      </w:r>
      <w:r w:rsidRPr="002D4D80">
        <w:t xml:space="preserve">many-faceted </w:t>
      </w:r>
      <w:r>
        <w:t xml:space="preserve">interactions </w:t>
      </w:r>
      <w:r w:rsidRPr="002D4D80">
        <w:t xml:space="preserve">of </w:t>
      </w:r>
      <w:r>
        <w:t>symptom burden</w:t>
      </w:r>
      <w:r w:rsidRPr="002D4D80">
        <w:t>,</w:t>
      </w:r>
      <w:r>
        <w:t xml:space="preserve"> </w:t>
      </w:r>
      <w:r w:rsidRPr="002D4D80">
        <w:t xml:space="preserve">relationships, and social aspects/influences with which </w:t>
      </w:r>
      <w:r>
        <w:t>p</w:t>
      </w:r>
      <w:r w:rsidRPr="002D4D80">
        <w:t xml:space="preserve">wFNSD </w:t>
      </w:r>
      <w:r>
        <w:t xml:space="preserve">and other chronic diseases </w:t>
      </w:r>
      <w:r w:rsidRPr="002D4D80">
        <w:t xml:space="preserve">must cope, assessing physical </w:t>
      </w:r>
      <w:r>
        <w:t>c</w:t>
      </w:r>
      <w:r w:rsidRPr="002D4D80">
        <w:t>riteria</w:t>
      </w:r>
      <w:r>
        <w:t xml:space="preserve">, </w:t>
      </w:r>
      <w:r w:rsidRPr="002D4D80">
        <w:t>symptom burden</w:t>
      </w:r>
      <w:r>
        <w:t>,</w:t>
      </w:r>
      <w:r w:rsidRPr="002D4D80">
        <w:t xml:space="preserve"> or HRQOL</w:t>
      </w:r>
      <w:r>
        <w:t xml:space="preserve"> alone</w:t>
      </w:r>
      <w:r w:rsidRPr="002D4D80">
        <w:t xml:space="preserve"> appears to be a limited approach.</w:t>
      </w:r>
      <w:r>
        <w:t xml:space="preserve"> </w:t>
      </w:r>
      <w:r w:rsidRPr="002D4D80">
        <w:t xml:space="preserve">Assessing a </w:t>
      </w:r>
      <w:r w:rsidR="00352F7F">
        <w:t>person's</w:t>
      </w:r>
      <w:r w:rsidRPr="002D4D80">
        <w:t xml:space="preserve"> resourcefulness for coping with challenging activities and situations may be equally important, and it has been proposed that this generalised sense of competence can predict a complex set of health perceptions and behaviours</w:t>
      </w:r>
      <w:r>
        <w:t xml:space="preserve"> </w:t>
      </w:r>
      <w:sdt>
        <w:sdtPr>
          <w:tag w:val="MENDELEY_CITATION_v3_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"/>
          <w:id w:val="-869834864"/>
          <w:placeholder>
            <w:docPart w:val="712761C3C0ECFC4C8B91BEFCB51C0943"/>
          </w:placeholder>
        </w:sdtPr>
        <w:sdtContent>
          <w:r w:rsidR="0047170A">
            <w:rPr>
              <w:rFonts w:eastAsia="Times New Roman"/>
            </w:rPr>
            <w:t>(Schwarzer &amp; Fuchs, 1996)</w:t>
          </w:r>
        </w:sdtContent>
      </w:sdt>
      <w:r w:rsidRPr="002D4D80">
        <w:t>.</w:t>
      </w:r>
      <w:r>
        <w:t xml:space="preserve"> </w:t>
      </w:r>
      <w:r w:rsidRPr="002D4D80">
        <w:t xml:space="preserve">For </w:t>
      </w:r>
      <w:r>
        <w:t>pw</w:t>
      </w:r>
      <w:r w:rsidRPr="002D4D80">
        <w:t xml:space="preserve">FNSD, health perceptions may concern the perceived ability to </w:t>
      </w:r>
      <w:r>
        <w:t>control</w:t>
      </w:r>
      <w:r w:rsidRPr="002D4D80">
        <w:t xml:space="preserve"> </w:t>
      </w:r>
      <w:r w:rsidR="00352F7F">
        <w:t>one's</w:t>
      </w:r>
      <w:r w:rsidRPr="002D4D80">
        <w:t xml:space="preserve"> health situation and not consider oneself a victim of illness.</w:t>
      </w:r>
      <w:r>
        <w:t xml:space="preserve"> </w:t>
      </w:r>
      <w:r w:rsidRPr="002D4D80">
        <w:t xml:space="preserve">Discrete health </w:t>
      </w:r>
      <w:r w:rsidRPr="00D00710">
        <w:t xml:space="preserve">behaviours </w:t>
      </w:r>
      <w:r w:rsidR="00400BA2" w:rsidRPr="00D00710">
        <w:t xml:space="preserve">that reflect this </w:t>
      </w:r>
      <w:r w:rsidRPr="002D4D80">
        <w:t xml:space="preserve">may include seeking </w:t>
      </w:r>
      <w:r>
        <w:t>help</w:t>
      </w:r>
      <w:r w:rsidRPr="002D4D80">
        <w:t xml:space="preserve"> and engaging levels of support from others when needed. </w:t>
      </w:r>
      <w:r>
        <w:t> </w:t>
      </w:r>
    </w:p>
    <w:p w14:paraId="0670F03B" w14:textId="2CA618D0" w:rsidR="00997566" w:rsidRPr="007C2998" w:rsidRDefault="00997566" w:rsidP="00997566">
      <w:r w:rsidRPr="007C2998">
        <w:t xml:space="preserve">Despite </w:t>
      </w:r>
      <w:r>
        <w:t>some of</w:t>
      </w:r>
      <w:r w:rsidRPr="007C2998">
        <w:t xml:space="preserve"> these concepts in the varied psychotherapeutic approaches to FNSD, such </w:t>
      </w:r>
      <w:r>
        <w:t>as</w:t>
      </w:r>
      <w:r w:rsidRPr="007C2998">
        <w:t xml:space="preserve"> CBT, there is limited </w:t>
      </w:r>
      <w:r>
        <w:t>research</w:t>
      </w:r>
      <w:r w:rsidRPr="007C2998">
        <w:t xml:space="preserve"> focusing on resource-based approaches and </w:t>
      </w:r>
      <w:r>
        <w:t xml:space="preserve">related </w:t>
      </w:r>
      <w:r w:rsidRPr="007C2998">
        <w:t>health behaviours.</w:t>
      </w:r>
      <w:r>
        <w:t xml:space="preserve"> I</w:t>
      </w:r>
      <w:r w:rsidRPr="007C2998">
        <w:t xml:space="preserve">nsights from closely related chronic neurological disorders and symptoms, such as epilepsy, can provide a valuable starting point for identifying meaningful constructs from the </w:t>
      </w:r>
      <w:r w:rsidR="00352F7F">
        <w:t>patient's</w:t>
      </w:r>
      <w:r w:rsidRPr="007C2998">
        <w:t xml:space="preserve"> perspective and elucidating their significance in the clinical management of these conditions.</w:t>
      </w:r>
    </w:p>
    <w:p w14:paraId="35BCC686" w14:textId="03BFCC62" w:rsidR="00997566" w:rsidRPr="002A7443" w:rsidRDefault="00000000" w:rsidP="00997566">
      <w:sdt>
        <w:sdtPr>
          <w:rPr>
            <w:color w:val="000000"/>
          </w:rPr>
          <w:tag w:val="MENDELEY_CITATION_v3_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"/>
          <w:id w:val="-1786493941"/>
          <w:placeholder>
            <w:docPart w:val="712761C3C0ECFC4C8B91BEFCB51C0943"/>
          </w:placeholder>
        </w:sdtPr>
        <w:sdtContent>
          <w:r w:rsidR="0047170A" w:rsidRPr="0047170A">
            <w:rPr>
              <w:color w:val="000000"/>
            </w:rPr>
            <w:t>Michaelis et al. (2019)</w:t>
          </w:r>
        </w:sdtContent>
      </w:sdt>
      <w:r w:rsidR="00997566">
        <w:t xml:space="preserve"> identified </w:t>
      </w:r>
      <w:r w:rsidR="00997566" w:rsidRPr="002D4D80">
        <w:t xml:space="preserve">six main themes from the content analysis of qualitative interviews before and after </w:t>
      </w:r>
      <w:r w:rsidR="00997566">
        <w:t xml:space="preserve">resource- and mindfulness-oriented therapy in patients with epilepsy. The six themes were i. </w:t>
      </w:r>
      <w:r w:rsidR="00997566" w:rsidRPr="002D4D80">
        <w:t>Encouragement of individual solutions: ii.</w:t>
      </w:r>
      <w:r w:rsidR="00997566">
        <w:t xml:space="preserve"> </w:t>
      </w:r>
      <w:r w:rsidR="00997566" w:rsidRPr="002D4D80">
        <w:t>Awareness of the link of personal traits with seizure-related worries; iii.</w:t>
      </w:r>
      <w:r w:rsidR="00997566">
        <w:t xml:space="preserve"> </w:t>
      </w:r>
      <w:r w:rsidR="00997566" w:rsidRPr="002D4D80">
        <w:t>How to develop self-efficacy; iv.</w:t>
      </w:r>
      <w:r w:rsidR="00997566">
        <w:t xml:space="preserve"> </w:t>
      </w:r>
      <w:r w:rsidR="00997566" w:rsidRPr="002D4D80">
        <w:t>Shaping everyday life in a way that is good for oneself (general self-efficacy); v. Coping with seizures (seizure-related self-efficacy)</w:t>
      </w:r>
      <w:r w:rsidR="00997566">
        <w:t xml:space="preserve"> and</w:t>
      </w:r>
      <w:r w:rsidR="00997566" w:rsidRPr="002D4D80">
        <w:t xml:space="preserve"> vi</w:t>
      </w:r>
      <w:r w:rsidR="00997566">
        <w:t>. I</w:t>
      </w:r>
      <w:r w:rsidR="00997566" w:rsidRPr="002D4D80">
        <w:t xml:space="preserve">ncreasing self-knowledge and control over </w:t>
      </w:r>
      <w:r w:rsidR="00352F7F">
        <w:t>one's</w:t>
      </w:r>
      <w:r w:rsidR="00997566" w:rsidRPr="002D4D80">
        <w:t xml:space="preserve"> life (sense of mastery). </w:t>
      </w:r>
      <w:r w:rsidR="00997566" w:rsidRPr="002A7443">
        <w:t>Th</w:t>
      </w:r>
      <w:r w:rsidR="00997566">
        <w:t>is</w:t>
      </w:r>
      <w:r w:rsidR="00997566" w:rsidRPr="002A7443">
        <w:t xml:space="preserve"> recognition </w:t>
      </w:r>
      <w:r w:rsidR="00997566">
        <w:t>of</w:t>
      </w:r>
      <w:r w:rsidR="00997566" w:rsidRPr="002A7443">
        <w:t xml:space="preserve"> the need to strengthen the resources of individuals with</w:t>
      </w:r>
      <w:r w:rsidR="00400BA2">
        <w:t xml:space="preserve"> seizure </w:t>
      </w:r>
      <w:r w:rsidR="00400BA2">
        <w:lastRenderedPageBreak/>
        <w:t>disorders</w:t>
      </w:r>
      <w:r w:rsidR="00997566" w:rsidRPr="002A7443">
        <w:t xml:space="preserve"> alongside the clinical management of symptoms m</w:t>
      </w:r>
      <w:r w:rsidR="00997566">
        <w:t>eans that resource-oriented instruments have a role in assessing psychological treatment effects</w:t>
      </w:r>
      <w:r w:rsidR="00997566" w:rsidRPr="002A7443">
        <w:t>.</w:t>
      </w:r>
      <w:r w:rsidR="00997566">
        <w:t xml:space="preserve"> </w:t>
      </w:r>
      <w:r w:rsidR="00997566" w:rsidRPr="002D4D80">
        <w:t xml:space="preserve">These </w:t>
      </w:r>
      <w:r w:rsidR="00997566">
        <w:t xml:space="preserve">considerations prompted the initial development </w:t>
      </w:r>
      <w:r w:rsidR="00997566" w:rsidRPr="00D00710">
        <w:t xml:space="preserve">of the novel self-Efficacy, Assertiveness, Social support, self-awareness and </w:t>
      </w:r>
      <w:proofErr w:type="spellStart"/>
      <w:r w:rsidR="00997566" w:rsidRPr="00D00710">
        <w:t>hElpful</w:t>
      </w:r>
      <w:proofErr w:type="spellEnd"/>
      <w:r w:rsidR="00997566" w:rsidRPr="00D00710">
        <w:t xml:space="preserve"> questionnaire (EASE). This measure was initially developed in Germany and was intended to target </w:t>
      </w:r>
      <w:r w:rsidR="00400BA2" w:rsidRPr="00D00710">
        <w:t xml:space="preserve">the identified </w:t>
      </w:r>
      <w:r w:rsidR="00997566" w:rsidRPr="00D00710">
        <w:t xml:space="preserve">resources previously shown to enhance coping and resilience in individuals with epilepsy, including general and seizure-specific self-efficacy, social support, assertiveness, awareness/acceptance, resilience/vulnerability and helpful thinking. </w:t>
      </w:r>
      <w:sdt>
        <w:sdtPr>
          <w:tag w:val="MENDELEY_CITATION_v3_eyJjaXRhdGlvbklEIjoiTUVOREVMRVlfQ0lUQVRJT05fNzM1ODA5OTEtNjYzNS00YmVmLWI4ZjgtMjBkOWIyMTNmZmI4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
          <w:id w:val="1718704409"/>
          <w:placeholder>
            <w:docPart w:val="712761C3C0ECFC4C8B91BEFCB51C0943"/>
          </w:placeholder>
        </w:sdtPr>
        <w:sdtContent>
          <w:r w:rsidR="0047170A" w:rsidRPr="00D00710">
            <w:t>(Michaelis et al., 2019)</w:t>
          </w:r>
        </w:sdtContent>
      </w:sdt>
      <w:r w:rsidR="00997566" w:rsidRPr="00D00710">
        <w:t xml:space="preserve">. The EASE claims to capture these characteristics and </w:t>
      </w:r>
      <w:r w:rsidR="00997566" w:rsidRPr="002A7443">
        <w:t>constructs</w:t>
      </w:r>
      <w:r w:rsidR="00997566">
        <w:t xml:space="preserve"> that are highly relevant to psychotherapy processes and outcomes.</w:t>
      </w:r>
    </w:p>
    <w:p w14:paraId="2618DA46" w14:textId="41D65FF4" w:rsidR="00997566" w:rsidRPr="00423520" w:rsidRDefault="001B21F2" w:rsidP="00997566">
      <w:pPr>
        <w:pStyle w:val="Heading3"/>
      </w:pPr>
      <w:bookmarkStart w:id="71" w:name="_Toc137504697"/>
      <w:r>
        <w:t>3.</w:t>
      </w:r>
      <w:r w:rsidR="00997566" w:rsidRPr="00423520">
        <w:t>1.2 EASE questionnaire</w:t>
      </w:r>
      <w:bookmarkEnd w:id="71"/>
    </w:p>
    <w:p w14:paraId="227A6FDF" w14:textId="215E3BEC" w:rsidR="00997566" w:rsidRPr="002A7443" w:rsidRDefault="00997566" w:rsidP="00997566">
      <w:r>
        <w:t>To</w:t>
      </w:r>
      <w:r w:rsidRPr="002A7443">
        <w:t xml:space="preserve"> the </w:t>
      </w:r>
      <w:r w:rsidR="00352F7F">
        <w:t>author's</w:t>
      </w:r>
      <w:r w:rsidRPr="002A7443">
        <w:t xml:space="preserve"> knowledge,</w:t>
      </w:r>
      <w:r>
        <w:t xml:space="preserve"> </w:t>
      </w:r>
      <w:r w:rsidRPr="002A7443">
        <w:t>there are no resource-oriented measures for individuals with FNSD</w:t>
      </w:r>
      <w:r>
        <w:t>. As such, the EASE inspired the development of a similar FNSD-specific version of this questionnaire</w:t>
      </w:r>
      <w:r w:rsidRPr="002A7443">
        <w:t>.</w:t>
      </w:r>
      <w:r>
        <w:t xml:space="preserve"> </w:t>
      </w:r>
    </w:p>
    <w:p w14:paraId="4E227994" w14:textId="4A28BE6D" w:rsidR="00997566" w:rsidRPr="002A7443" w:rsidRDefault="00997566" w:rsidP="00997566">
      <w:r w:rsidRPr="002A7443">
        <w:t xml:space="preserve">According to the developers, </w:t>
      </w:r>
      <w:r>
        <w:t xml:space="preserve">the </w:t>
      </w:r>
      <w:r w:rsidRPr="002A7443">
        <w:t xml:space="preserve">EASE is not intended to replace health-related quality of life (HRQOL) </w:t>
      </w:r>
      <w:r>
        <w:t xml:space="preserve">or psychopathology </w:t>
      </w:r>
      <w:r w:rsidRPr="002A7443">
        <w:t>measures</w:t>
      </w:r>
      <w:r>
        <w:t xml:space="preserve">. </w:t>
      </w:r>
      <w:r w:rsidRPr="002A7443">
        <w:t xml:space="preserve">The EASE was designed to be used adjunctively with measures of </w:t>
      </w:r>
      <w:r>
        <w:t>other</w:t>
      </w:r>
      <w:r w:rsidRPr="002A7443">
        <w:t xml:space="preserve"> key </w:t>
      </w:r>
      <w:r>
        <w:t xml:space="preserve">patient characteristics or treatment </w:t>
      </w:r>
      <w:r w:rsidRPr="002A7443">
        <w:t xml:space="preserve">outcomes (such as </w:t>
      </w:r>
      <w:r>
        <w:t xml:space="preserve">psychopathology, </w:t>
      </w:r>
      <w:r w:rsidRPr="002A7443">
        <w:t xml:space="preserve">QOL, disability, </w:t>
      </w:r>
      <w:r>
        <w:t xml:space="preserve">and </w:t>
      </w:r>
      <w:r w:rsidRPr="002A7443">
        <w:t>global functioning) to assess psychotherapeutic interventions</w:t>
      </w:r>
      <w:r>
        <w:t xml:space="preserve"> on constructs not captured in alternative measures. However, the EASE</w:t>
      </w:r>
      <w:r w:rsidRPr="002A7443">
        <w:t xml:space="preserve"> </w:t>
      </w:r>
      <w:r>
        <w:t>has</w:t>
      </w:r>
      <w:r w:rsidRPr="002A7443">
        <w:t xml:space="preserve"> not </w:t>
      </w:r>
      <w:r>
        <w:t xml:space="preserve">been </w:t>
      </w:r>
      <w:r w:rsidRPr="002A7443">
        <w:t xml:space="preserve">sufficiently </w:t>
      </w:r>
      <w:r>
        <w:t>v</w:t>
      </w:r>
      <w:r w:rsidRPr="002A7443">
        <w:t>alidated</w:t>
      </w:r>
      <w:r>
        <w:t xml:space="preserve"> </w:t>
      </w:r>
      <w:sdt>
        <w:sdtPr>
          <w:rPr>
            <w:color w:val="000000"/>
          </w:rPr>
          <w:tag w:val="MENDELEY_CITATION_v3_eyJjaXRhdGlvbklEIjoiTUVOREVMRVlfQ0lUQVRJT05fNTk4M2Y1MDUtYmFlOC00N2U4LThkYjQtZGNmYTA5ZTdjYmQx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
          <w:id w:val="-1307230084"/>
          <w:placeholder>
            <w:docPart w:val="712761C3C0ECFC4C8B91BEFCB51C0943"/>
          </w:placeholder>
        </w:sdtPr>
        <w:sdtContent>
          <w:r w:rsidR="0047170A" w:rsidRPr="0047170A">
            <w:rPr>
              <w:color w:val="000000"/>
            </w:rPr>
            <w:t>(Michaelis et al., 2019)</w:t>
          </w:r>
        </w:sdtContent>
      </w:sdt>
      <w:r>
        <w:t>.</w:t>
      </w:r>
    </w:p>
    <w:p w14:paraId="1B9F0C1E" w14:textId="77777777" w:rsidR="00997566" w:rsidRDefault="00997566" w:rsidP="00997566">
      <w:r w:rsidRPr="004C7136">
        <w:t>Based on the qualitative study discussed above</w:t>
      </w:r>
      <w:r>
        <w:t>,</w:t>
      </w:r>
      <w:r w:rsidRPr="004C7136">
        <w:t xml:space="preserve"> the authors of the original EASE questionnaire identified a candidate item set </w:t>
      </w:r>
      <w:r>
        <w:t>of</w:t>
      </w:r>
      <w:r w:rsidRPr="0029190C">
        <w:t xml:space="preserve"> 29 items</w:t>
      </w:r>
      <w:r>
        <w:t>,</w:t>
      </w:r>
      <w:r w:rsidRPr="0029190C">
        <w:t xml:space="preserve"> five of which </w:t>
      </w:r>
      <w:r>
        <w:t>included</w:t>
      </w:r>
      <w:r w:rsidRPr="0029190C">
        <w:t xml:space="preserve"> a follow-up (FU) item</w:t>
      </w:r>
      <w:r>
        <w:t>.</w:t>
      </w:r>
    </w:p>
    <w:p w14:paraId="3FA09D36" w14:textId="0B9DD25A" w:rsidR="00997566" w:rsidRDefault="00997566" w:rsidP="00997566">
      <w:r>
        <w:t>D</w:t>
      </w:r>
      <w:r w:rsidRPr="002A7443">
        <w:t xml:space="preserve">evelopment of the measure involved a 7-step process including but not limited to two separate clinical expert validity ratings, acquisition of qualitative descriptive feedback from international experts and patients with epileptic and non-epileptic seizures as well as assessment of internal consistency and correlation with similar previously validated generic and epilepsy-specific measures in a pilot study with </w:t>
      </w:r>
      <w:r>
        <w:t xml:space="preserve">31 </w:t>
      </w:r>
      <w:r w:rsidRPr="002A7443">
        <w:t>epilepsy inpatients.</w:t>
      </w:r>
      <w:r>
        <w:t xml:space="preserve"> </w:t>
      </w:r>
      <w:r w:rsidRPr="0029190C">
        <w:t xml:space="preserve">The </w:t>
      </w:r>
      <w:r>
        <w:t xml:space="preserve">pilot </w:t>
      </w:r>
      <w:r w:rsidRPr="0029190C">
        <w:t xml:space="preserve">study showed that the questionnaire has overall internal consistency </w:t>
      </w:r>
      <w:r w:rsidRPr="00B40D51">
        <w:t>(</w:t>
      </w:r>
      <w:r w:rsidRPr="00423520">
        <w:rPr>
          <w:rFonts w:ascii="Avenir Heavy" w:hAnsi="Avenir Heavy" w:cs="Avenir Heavy"/>
          <w:b/>
          <w:bCs/>
        </w:rPr>
        <w:t>α</w:t>
      </w:r>
      <w:r w:rsidRPr="00423520">
        <w:rPr>
          <w:rFonts w:ascii="Times New Roman" w:hAnsi="Times New Roman" w:cs="Times New Roman"/>
        </w:rPr>
        <w:t> </w:t>
      </w:r>
      <w:r w:rsidRPr="0029190C">
        <w:t>=</w:t>
      </w:r>
      <w:r w:rsidRPr="0029190C">
        <w:rPr>
          <w:rFonts w:ascii="Times New Roman" w:hAnsi="Times New Roman" w:cs="Times New Roman"/>
        </w:rPr>
        <w:t> </w:t>
      </w:r>
      <w:r w:rsidRPr="0029190C">
        <w:t xml:space="preserve">0.92) and is clear and acceptable to </w:t>
      </w:r>
      <w:r>
        <w:t>seizure patients</w:t>
      </w:r>
      <w:r w:rsidRPr="0029190C">
        <w:t>.</w:t>
      </w:r>
      <w:r>
        <w:t xml:space="preserve"> </w:t>
      </w:r>
      <w:r w:rsidRPr="0029190C">
        <w:t xml:space="preserve">Measures used to examine </w:t>
      </w:r>
      <w:r>
        <w:t xml:space="preserve">the </w:t>
      </w:r>
      <w:r w:rsidRPr="0029190C">
        <w:t xml:space="preserve">content and construct validity of the EASE included the General Self-Efficacy Scale, the German Epilepsy Self-Efficacy Scale, the German Mastery Scale, the German Resilience Scale and the Revised Sense of Coherence Scale </w:t>
      </w:r>
      <w:r>
        <w:t xml:space="preserve">and </w:t>
      </w:r>
      <w:r w:rsidRPr="0029190C">
        <w:t xml:space="preserve">revealed </w:t>
      </w:r>
      <w:r w:rsidRPr="0029190C">
        <w:lastRenderedPageBreak/>
        <w:t>good content validit</w:t>
      </w:r>
      <w:r>
        <w:t xml:space="preserve">y </w:t>
      </w:r>
      <w:sdt>
        <w:sdtPr>
          <w:rPr>
            <w:color w:val="000000"/>
          </w:rPr>
          <w:tag w:val="MENDELEY_CITATION_v3_eyJjaXRhdGlvbklEIjoiTUVOREVMRVlfQ0lUQVRJT05fZTg2MmRjZGItZGEyYS00M2E0LWE0MjUtNmY5MDczYmRlNjYw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
          <w:id w:val="1842342887"/>
          <w:placeholder>
            <w:docPart w:val="712761C3C0ECFC4C8B91BEFCB51C0943"/>
          </w:placeholder>
        </w:sdtPr>
        <w:sdtContent>
          <w:r w:rsidR="0047170A" w:rsidRPr="0047170A">
            <w:rPr>
              <w:color w:val="000000"/>
            </w:rPr>
            <w:t>(Michaelis et al., 2019)</w:t>
          </w:r>
        </w:sdtContent>
      </w:sdt>
      <w:r>
        <w:t>. This process yielded a 40-item questionnaire in which eight items included at least one FU item.</w:t>
      </w:r>
    </w:p>
    <w:p w14:paraId="0FBBF0F2" w14:textId="77777777" w:rsidR="00997566" w:rsidRDefault="00997566" w:rsidP="00997566">
      <w:r w:rsidRPr="002A7443">
        <w:t xml:space="preserve">As the EASE was </w:t>
      </w:r>
      <w:r>
        <w:t>initially</w:t>
      </w:r>
      <w:r w:rsidRPr="002A7443">
        <w:t xml:space="preserve"> </w:t>
      </w:r>
      <w:r>
        <w:t xml:space="preserve">written in German and </w:t>
      </w:r>
      <w:r w:rsidRPr="002A7443">
        <w:t xml:space="preserve">designed for use in seizure-related disorders, the </w:t>
      </w:r>
      <w:r>
        <w:t xml:space="preserve">original version </w:t>
      </w:r>
      <w:r w:rsidRPr="002A7443">
        <w:t xml:space="preserve">underwent </w:t>
      </w:r>
      <w:r>
        <w:t xml:space="preserve">translation to English and </w:t>
      </w:r>
      <w:r w:rsidRPr="002A7443">
        <w:t>modification</w:t>
      </w:r>
      <w:r>
        <w:t>s</w:t>
      </w:r>
      <w:r w:rsidRPr="002A7443">
        <w:t xml:space="preserve"> </w:t>
      </w:r>
      <w:r>
        <w:t>for suitability for use in FNSDs (EASE-F)</w:t>
      </w:r>
      <w:r w:rsidRPr="002A7443">
        <w:t xml:space="preserve"> by the authors of the </w:t>
      </w:r>
      <w:r>
        <w:t xml:space="preserve">original </w:t>
      </w:r>
      <w:r w:rsidRPr="002A7443">
        <w:t>EASE and an English specialist psychotherapy team</w:t>
      </w:r>
      <w:r>
        <w:t>. The Methods section below describes this translation process and further details about the EASE</w:t>
      </w:r>
      <w:r w:rsidRPr="002A7443">
        <w:t xml:space="preserve">. </w:t>
      </w:r>
    </w:p>
    <w:p w14:paraId="38171C9A" w14:textId="2A86FF3C" w:rsidR="00997566" w:rsidRPr="00423520" w:rsidRDefault="001B21F2" w:rsidP="00997566">
      <w:pPr>
        <w:pStyle w:val="Heading3"/>
      </w:pPr>
      <w:bookmarkStart w:id="72" w:name="_Toc137504698"/>
      <w:r>
        <w:t>3.</w:t>
      </w:r>
      <w:r w:rsidR="00997566" w:rsidRPr="00423520">
        <w:t xml:space="preserve">1.3 Clinically Meaningful </w:t>
      </w:r>
      <w:r w:rsidR="00997566">
        <w:t>Constructs</w:t>
      </w:r>
      <w:r w:rsidR="00997566" w:rsidRPr="00423520">
        <w:t xml:space="preserve"> in FNSD</w:t>
      </w:r>
      <w:bookmarkEnd w:id="72"/>
      <w:r w:rsidR="00997566" w:rsidRPr="00423520">
        <w:t xml:space="preserve">  </w:t>
      </w:r>
    </w:p>
    <w:p w14:paraId="69B10B9F" w14:textId="77777777" w:rsidR="00997566" w:rsidRDefault="00997566" w:rsidP="00997566">
      <w:r w:rsidRPr="00A66034">
        <w:t xml:space="preserve">The constructs identified in the initial </w:t>
      </w:r>
      <w:r>
        <w:t xml:space="preserve">qualitative </w:t>
      </w:r>
      <w:r w:rsidRPr="00A66034">
        <w:t xml:space="preserve">study during the development of the EASE, </w:t>
      </w:r>
      <w:r>
        <w:t xml:space="preserve">and as such, </w:t>
      </w:r>
      <w:r w:rsidRPr="00A66034">
        <w:t>the EASE-F, included self-efficacy, self-awareness, social support, and stigma.</w:t>
      </w:r>
      <w:r>
        <w:t xml:space="preserve"> </w:t>
      </w:r>
      <w:r w:rsidRPr="00A66034">
        <w:t>As these resources were derived from the perspectives of epilepsy patients</w:t>
      </w:r>
      <w:r>
        <w:t>, in the context of elucidating the helpful resources gained from psychotherapy</w:t>
      </w:r>
      <w:r w:rsidRPr="00A66034">
        <w:t xml:space="preserve">, they </w:t>
      </w:r>
      <w:r>
        <w:t>could potentially be</w:t>
      </w:r>
      <w:r w:rsidRPr="00A66034">
        <w:t xml:space="preserve"> equally relevant for individuals with FNSD.</w:t>
      </w:r>
      <w:r>
        <w:t xml:space="preserve"> </w:t>
      </w:r>
      <w:r w:rsidRPr="00A66034">
        <w:t xml:space="preserve">These aspects are likely </w:t>
      </w:r>
      <w:r>
        <w:t xml:space="preserve">key clinical aspects </w:t>
      </w:r>
      <w:r w:rsidRPr="00A66034">
        <w:t xml:space="preserve">of psychotherapy, where patients learn to </w:t>
      </w:r>
      <w:r>
        <w:t>use</w:t>
      </w:r>
      <w:r w:rsidRPr="00A66034">
        <w:t xml:space="preserve"> strategies to </w:t>
      </w:r>
      <w:r>
        <w:t>cope effectively</w:t>
      </w:r>
      <w:r w:rsidRPr="00A66034">
        <w:t xml:space="preserve"> with their symptoms and </w:t>
      </w:r>
      <w:r>
        <w:t>their</w:t>
      </w:r>
      <w:r w:rsidRPr="00A66034">
        <w:t xml:space="preserve"> impact on their lives</w:t>
      </w:r>
      <w:r>
        <w:t xml:space="preserve">. </w:t>
      </w:r>
    </w:p>
    <w:p w14:paraId="4817BE22" w14:textId="5F9BF5BA" w:rsidR="00997566" w:rsidRPr="0029190C" w:rsidRDefault="00997566" w:rsidP="00997566">
      <w:r w:rsidRPr="002A7443">
        <w:t xml:space="preserve">Self-efficacy and social support have been shown to help people to cope with </w:t>
      </w:r>
      <w:r>
        <w:t xml:space="preserve">physical and psychological </w:t>
      </w:r>
      <w:r w:rsidRPr="002A7443">
        <w:t>illness</w:t>
      </w:r>
      <w:r>
        <w:t xml:space="preserve">es </w:t>
      </w:r>
      <w:sdt>
        <w:sdtPr>
          <w:tag w:val="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"/>
          <w:id w:val="1631136803"/>
          <w:placeholder>
            <w:docPart w:val="712761C3C0ECFC4C8B91BEFCB51C0943"/>
          </w:placeholder>
        </w:sdtPr>
        <w:sdtContent>
          <w:r w:rsidR="0047170A">
            <w:rPr>
              <w:rFonts w:eastAsia="Times New Roman"/>
            </w:rPr>
            <w:t>(</w:t>
          </w:r>
          <w:proofErr w:type="spellStart"/>
          <w:r w:rsidR="0047170A">
            <w:rPr>
              <w:rFonts w:eastAsia="Times New Roman"/>
            </w:rPr>
            <w:t>Dilorio</w:t>
          </w:r>
          <w:proofErr w:type="spellEnd"/>
          <w:r w:rsidR="0047170A">
            <w:rPr>
              <w:rFonts w:eastAsia="Times New Roman"/>
            </w:rPr>
            <w:t xml:space="preserve"> et al., 1992; Hagger &amp; Orbell, 2003; Pretorius, 2016; Pretorius &amp; Sparrow, 2015)</w:t>
          </w:r>
        </w:sdtContent>
      </w:sdt>
      <w:r w:rsidRPr="002A7443">
        <w:t>.</w:t>
      </w:r>
      <w:r>
        <w:t xml:space="preserve"> </w:t>
      </w:r>
      <w:r w:rsidRPr="002A7443">
        <w:t xml:space="preserve">Self-awareness, especially mindfulness, is </w:t>
      </w:r>
      <w:r>
        <w:t xml:space="preserve">considered helpful for those living with </w:t>
      </w:r>
      <w:r w:rsidRPr="002A7443">
        <w:t>functional symptoms</w:t>
      </w:r>
      <w:r>
        <w:t xml:space="preserve"> </w:t>
      </w:r>
      <w:sdt>
        <w:sdtPr>
          <w:rPr>
            <w:color w:val="000000"/>
          </w:rPr>
          <w:tag w:val="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"/>
          <w:id w:val="-4916322"/>
          <w:placeholder>
            <w:docPart w:val="712761C3C0ECFC4C8B91BEFCB51C0943"/>
          </w:placeholder>
        </w:sdtPr>
        <w:sdtContent>
          <w:r w:rsidR="0047170A" w:rsidRPr="0047170A">
            <w:rPr>
              <w:color w:val="000000"/>
            </w:rPr>
            <w:t>(</w:t>
          </w:r>
          <w:proofErr w:type="spellStart"/>
          <w:r w:rsidR="0047170A" w:rsidRPr="0047170A">
            <w:rPr>
              <w:color w:val="000000"/>
            </w:rPr>
            <w:t>Baslet</w:t>
          </w:r>
          <w:proofErr w:type="spellEnd"/>
          <w:r w:rsidR="0047170A" w:rsidRPr="0047170A">
            <w:rPr>
              <w:color w:val="000000"/>
            </w:rPr>
            <w:t xml:space="preserve"> et al., 2015; </w:t>
          </w:r>
          <w:proofErr w:type="spellStart"/>
          <w:r w:rsidR="0047170A" w:rsidRPr="0047170A">
            <w:rPr>
              <w:color w:val="000000"/>
            </w:rPr>
            <w:t>Kotwas</w:t>
          </w:r>
          <w:proofErr w:type="spellEnd"/>
          <w:r w:rsidR="0047170A" w:rsidRPr="0047170A">
            <w:rPr>
              <w:color w:val="000000"/>
            </w:rPr>
            <w:t xml:space="preserve"> et al., 2016; Lundgren et al., 2008),</w:t>
          </w:r>
        </w:sdtContent>
      </w:sdt>
      <w:r w:rsidRPr="002A7443">
        <w:t xml:space="preserve"> while perceived stigma</w:t>
      </w:r>
      <w:r>
        <w:t xml:space="preserve"> and associated illness burdens</w:t>
      </w:r>
      <w:r w:rsidRPr="002A7443">
        <w:t xml:space="preserve"> </w:t>
      </w:r>
      <w:r>
        <w:t xml:space="preserve">have </w:t>
      </w:r>
      <w:r w:rsidRPr="00F47B3A">
        <w:t xml:space="preserve">been related to a variety of prognostic indicators </w:t>
      </w:r>
      <w:sdt>
        <w:sdtPr>
          <w:rPr>
            <w:color w:val="000000"/>
          </w:rPr>
          <w:tag w:val="MENDELEY_CITATION_v3_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"/>
          <w:id w:val="1032006923"/>
          <w:placeholder>
            <w:docPart w:val="712761C3C0ECFC4C8B91BEFCB51C0943"/>
          </w:placeholder>
        </w:sdtPr>
        <w:sdtContent>
          <w:r w:rsidR="0047170A" w:rsidRPr="0047170A">
            <w:rPr>
              <w:color w:val="000000"/>
            </w:rPr>
            <w:t>(Rawlings et al., 2017)</w:t>
          </w:r>
        </w:sdtContent>
      </w:sdt>
      <w:r w:rsidRPr="00F47B3A">
        <w:t>.</w:t>
      </w:r>
      <w:r>
        <w:t xml:space="preserve"> </w:t>
      </w:r>
      <w:r w:rsidRPr="00F47B3A">
        <w:t>There is limited literature on the functionality of these concepts</w:t>
      </w:r>
      <w:r w:rsidRPr="002A7443">
        <w:t xml:space="preserve"> in people with FNSD.</w:t>
      </w:r>
      <w:r>
        <w:t xml:space="preserve"> The relevance of these concepts in illness management, treatment outcomes, and HRQOL, and where possible, in reference to FNSD syndromes, will be discussed in further detail in the following sections.</w:t>
      </w:r>
    </w:p>
    <w:p w14:paraId="51E6035B" w14:textId="36F21A49" w:rsidR="00997566" w:rsidRPr="008D7B69" w:rsidRDefault="00997566" w:rsidP="001B21F2">
      <w:pPr>
        <w:rPr>
          <w:u w:val="single"/>
        </w:rPr>
      </w:pPr>
      <w:r w:rsidRPr="008D7B69">
        <w:rPr>
          <w:u w:val="single"/>
        </w:rPr>
        <w:t>Self-efficacy</w:t>
      </w:r>
    </w:p>
    <w:p w14:paraId="001B8E35" w14:textId="1B990EE5" w:rsidR="00997566" w:rsidRDefault="00997566" w:rsidP="00997566">
      <w:r>
        <w:t>As</w:t>
      </w:r>
      <w:r w:rsidRPr="002D4D80">
        <w:t xml:space="preserve"> introduced by </w:t>
      </w:r>
      <w:sdt>
        <w:sdtPr>
          <w:rPr>
            <w:color w:val="000000"/>
          </w:rPr>
          <w:tag w:val="MENDELEY_CITATION_v3_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"/>
          <w:id w:val="-230315154"/>
          <w:placeholder>
            <w:docPart w:val="712761C3C0ECFC4C8B91BEFCB51C0943"/>
          </w:placeholder>
        </w:sdtPr>
        <w:sdtContent>
          <w:r w:rsidR="0047170A" w:rsidRPr="0047170A">
            <w:rPr>
              <w:color w:val="000000"/>
            </w:rPr>
            <w:t>Bandura</w:t>
          </w:r>
          <w:r w:rsidR="00400BA2">
            <w:rPr>
              <w:color w:val="000000"/>
            </w:rPr>
            <w:t xml:space="preserve"> (</w:t>
          </w:r>
          <w:r w:rsidR="0047170A" w:rsidRPr="0047170A">
            <w:rPr>
              <w:color w:val="000000"/>
            </w:rPr>
            <w:t>1977)</w:t>
          </w:r>
        </w:sdtContent>
      </w:sdt>
      <w:r>
        <w:rPr>
          <w:color w:val="000000"/>
        </w:rPr>
        <w:t xml:space="preserve">, self-efficacy </w:t>
      </w:r>
      <w:r w:rsidRPr="002D4D80">
        <w:t xml:space="preserve">is the belief in </w:t>
      </w:r>
      <w:r w:rsidR="00352F7F">
        <w:t>one's</w:t>
      </w:r>
      <w:r w:rsidRPr="002D4D80">
        <w:t xml:space="preserve"> ability to accomplish tasks and achieve desired outcomes.</w:t>
      </w:r>
      <w:r>
        <w:t xml:space="preserve"> </w:t>
      </w:r>
      <w:r w:rsidRPr="002D4D80">
        <w:t xml:space="preserve">This construct plays a crucial role in determining a </w:t>
      </w:r>
      <w:r w:rsidR="00352F7F">
        <w:t>person's</w:t>
      </w:r>
      <w:r w:rsidRPr="002D4D80">
        <w:t xml:space="preserve"> motivation, perseverance, and resilience when faced with challenges.</w:t>
      </w:r>
      <w:r>
        <w:t xml:space="preserve"> </w:t>
      </w:r>
      <w:r w:rsidRPr="002D4D80">
        <w:t xml:space="preserve">According to </w:t>
      </w:r>
      <w:r w:rsidR="00352F7F">
        <w:t>Bandura's</w:t>
      </w:r>
      <w:r w:rsidRPr="002D4D80">
        <w:t xml:space="preserve"> Social Cognitive Theory, self-efficacy is shaped by personal experiences, social and environmental factors, and cognitive and emotional processes, which can either facilitate or impede the development of adaptive coping strategies </w:t>
      </w:r>
      <w:sdt>
        <w:sdtPr>
          <w:rPr>
            <w:color w:val="000000"/>
          </w:rPr>
          <w:tag w:val="MENDELEY_CITATION_v3_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"/>
          <w:id w:val="-618144456"/>
          <w:placeholder>
            <w:docPart w:val="712761C3C0ECFC4C8B91BEFCB51C0943"/>
          </w:placeholder>
        </w:sdtPr>
        <w:sdtContent>
          <w:r w:rsidR="0047170A" w:rsidRPr="0047170A">
            <w:rPr>
              <w:color w:val="000000"/>
            </w:rPr>
            <w:t>(Bandura, 1977)</w:t>
          </w:r>
        </w:sdtContent>
      </w:sdt>
      <w:r>
        <w:t>. S</w:t>
      </w:r>
      <w:r w:rsidRPr="007A4C2C">
        <w:t xml:space="preserve">elf-efficacy is influenced not only by an </w:t>
      </w:r>
      <w:r w:rsidR="00352F7F">
        <w:lastRenderedPageBreak/>
        <w:t>individual's</w:t>
      </w:r>
      <w:r w:rsidRPr="007A4C2C">
        <w:t xml:space="preserve"> personal experiences of success and ability to cope with illness but also by model learning and social encouragement.</w:t>
      </w:r>
      <w:r>
        <w:t xml:space="preserve"> </w:t>
      </w:r>
      <w:r w:rsidRPr="007A4C2C">
        <w:t xml:space="preserve">For example, witnessing someone who closely resembles oneself succeed through persistent efforts can positively impact </w:t>
      </w:r>
      <w:r w:rsidR="00352F7F">
        <w:t>one's</w:t>
      </w:r>
      <w:r w:rsidRPr="007A4C2C">
        <w:t xml:space="preserve"> self-efficacy.</w:t>
      </w:r>
      <w:r>
        <w:t xml:space="preserve"> Therefore, the</w:t>
      </w:r>
      <w:r w:rsidRPr="007A4C2C">
        <w:t xml:space="preserve"> development of self-efficacy also involves individuals seeking contact with role models </w:t>
      </w:r>
      <w:r>
        <w:t>to</w:t>
      </w:r>
      <w:r w:rsidRPr="007A4C2C">
        <w:t xml:space="preserve"> adapt their </w:t>
      </w:r>
      <w:r>
        <w:t>behaviour</w:t>
      </w:r>
      <w:r w:rsidRPr="007A4C2C">
        <w:t xml:space="preserve"> </w:t>
      </w:r>
      <w:r>
        <w:t>and</w:t>
      </w:r>
      <w:r w:rsidRPr="007A4C2C">
        <w:t xml:space="preserve"> utili</w:t>
      </w:r>
      <w:r>
        <w:t>s</w:t>
      </w:r>
      <w:r w:rsidRPr="007A4C2C">
        <w:t>ing social encouragement, such as verbal support and supportive structures.</w:t>
      </w:r>
      <w:r>
        <w:t xml:space="preserve"> By</w:t>
      </w:r>
      <w:r w:rsidRPr="007A4C2C">
        <w:t xml:space="preserve"> fostering and sustaining social and environmental support, self-efficacy can be influenced bidirectionally </w:t>
      </w:r>
      <w:sdt>
        <w:sdtPr>
          <w:rPr>
            <w:color w:val="000000"/>
          </w:rPr>
          <w:tag w:val="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"/>
          <w:id w:val="168231683"/>
          <w:placeholder>
            <w:docPart w:val="712761C3C0ECFC4C8B91BEFCB51C0943"/>
          </w:placeholder>
        </w:sdtPr>
        <w:sdtContent>
          <w:r w:rsidR="0047170A" w:rsidRPr="0047170A">
            <w:rPr>
              <w:color w:val="000000"/>
            </w:rPr>
            <w:t>(Bandura, 1977, 1989, 2004; Bandura et al., 1999)</w:t>
          </w:r>
        </w:sdtContent>
      </w:sdt>
      <w:r>
        <w:t>.</w:t>
      </w:r>
    </w:p>
    <w:p w14:paraId="3C2B3A0E" w14:textId="2A145211" w:rsidR="00997566" w:rsidRPr="002D4D80" w:rsidRDefault="00997566" w:rsidP="00997566">
      <w:r w:rsidRPr="002D4D80">
        <w:t>Research has demonstrated the relevance of self-efficacy in various aspects of disease management, including medication adherence, health behaviours, and symptom control.</w:t>
      </w:r>
      <w:r>
        <w:t xml:space="preserve"> However, research exploring </w:t>
      </w:r>
      <w:r w:rsidR="00352F7F">
        <w:t>self-efficacy's</w:t>
      </w:r>
      <w:r>
        <w:t xml:space="preserve"> role</w:t>
      </w:r>
      <w:r w:rsidRPr="002D4D80">
        <w:t xml:space="preserve"> in individuals with FNSD is limited.</w:t>
      </w:r>
      <w:r>
        <w:t xml:space="preserve"> </w:t>
      </w:r>
      <w:sdt>
        <w:sdtPr>
          <w:rPr>
            <w:color w:val="000000"/>
          </w:rPr>
          <w:tag w:val="MENDELEY_CITATION_v3_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"/>
          <w:id w:val="-1319872016"/>
          <w:placeholder>
            <w:docPart w:val="712761C3C0ECFC4C8B91BEFCB51C0943"/>
          </w:placeholder>
        </w:sdtPr>
        <w:sdtContent>
          <w:r w:rsidR="0047170A" w:rsidRPr="0047170A">
            <w:rPr>
              <w:color w:val="000000"/>
            </w:rPr>
            <w:t>Rawlings et al. (2017)</w:t>
          </w:r>
        </w:sdtContent>
      </w:sdt>
      <w:r>
        <w:t xml:space="preserve"> </w:t>
      </w:r>
      <w:r w:rsidRPr="002D4D80">
        <w:t xml:space="preserve">conducted a qualitative study comparing the subjective experiences of individuals with epilepsy and </w:t>
      </w:r>
      <w:r>
        <w:t>functional seizures (FS)</w:t>
      </w:r>
      <w:r w:rsidRPr="002D4D80">
        <w:t>.</w:t>
      </w:r>
      <w:r>
        <w:t xml:space="preserve"> </w:t>
      </w:r>
      <w:r w:rsidRPr="002D4D80">
        <w:t>They found that individuals with epilepsy exhibited greater self-efficacy and better disease control</w:t>
      </w:r>
      <w:r>
        <w:t>. At the same time,</w:t>
      </w:r>
      <w:r w:rsidRPr="002D4D80">
        <w:t xml:space="preserve"> those with FS reported feelings of helplessness and maladaptive emotion regulation strategies, such as self-harm.</w:t>
      </w:r>
      <w:r>
        <w:t xml:space="preserve"> </w:t>
      </w:r>
      <w:r w:rsidRPr="002D4D80">
        <w:t>This study provide</w:t>
      </w:r>
      <w:r>
        <w:t>s</w:t>
      </w:r>
      <w:r w:rsidRPr="002D4D80">
        <w:t xml:space="preserve"> preliminary evidence of self-efficacy and illness perception </w:t>
      </w:r>
      <w:r>
        <w:t>in</w:t>
      </w:r>
      <w:r w:rsidRPr="002D4D80">
        <w:t xml:space="preserve"> the</w:t>
      </w:r>
      <w:r>
        <w:t>se</w:t>
      </w:r>
      <w:r w:rsidRPr="002D4D80">
        <w:t xml:space="preserve"> two patient groups.</w:t>
      </w:r>
      <w:r>
        <w:t xml:space="preserve"> Other studies in epilepsy have</w:t>
      </w:r>
      <w:r w:rsidRPr="002D4D80">
        <w:t xml:space="preserve"> revealed a significant relationship between self-efficacy and medication compliance</w:t>
      </w:r>
      <w:r>
        <w:t xml:space="preserve"> </w:t>
      </w:r>
      <w:sdt>
        <w:sdtPr>
          <w:rPr>
            <w:color w:val="000000"/>
          </w:rPr>
          <w:tag w:val="MENDELEY_CITATION_v3_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"/>
          <w:id w:val="-2046668699"/>
          <w:placeholder>
            <w:docPart w:val="712761C3C0ECFC4C8B91BEFCB51C0943"/>
          </w:placeholder>
        </w:sdtPr>
        <w:sdtContent>
          <w:r w:rsidR="0047170A" w:rsidRPr="0047170A">
            <w:rPr>
              <w:color w:val="000000"/>
            </w:rPr>
            <w:t>(H. F. Chen et al., 2010)</w:t>
          </w:r>
        </w:sdtContent>
      </w:sdt>
      <w:r>
        <w:rPr>
          <w:color w:val="000000"/>
        </w:rPr>
        <w:t xml:space="preserve"> and </w:t>
      </w:r>
      <w:r w:rsidRPr="002D4D80">
        <w:t xml:space="preserve">other self-management behaviours, such as maintaining social contacts, sleep hygiene, engaging in physical activities, and stress reduction </w:t>
      </w:r>
      <w:sdt>
        <w:sdtPr>
          <w:tag w:val="MENDELEY_CITATION_v3_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"/>
          <w:id w:val="2113244793"/>
          <w:placeholder>
            <w:docPart w:val="712761C3C0ECFC4C8B91BEFCB51C0943"/>
          </w:placeholder>
        </w:sdtPr>
        <w:sdtContent>
          <w:r w:rsidR="0047170A">
            <w:rPr>
              <w:rFonts w:eastAsia="Times New Roman"/>
            </w:rPr>
            <w:t>(</w:t>
          </w:r>
          <w:proofErr w:type="spellStart"/>
          <w:r w:rsidR="0047170A">
            <w:rPr>
              <w:rFonts w:eastAsia="Times New Roman"/>
            </w:rPr>
            <w:t>Kobau</w:t>
          </w:r>
          <w:proofErr w:type="spellEnd"/>
          <w:r w:rsidR="0047170A">
            <w:rPr>
              <w:rFonts w:eastAsia="Times New Roman"/>
            </w:rPr>
            <w:t xml:space="preserve"> &amp; </w:t>
          </w:r>
          <w:proofErr w:type="spellStart"/>
          <w:r w:rsidR="0047170A">
            <w:rPr>
              <w:rFonts w:eastAsia="Times New Roman"/>
            </w:rPr>
            <w:t>Dilorio</w:t>
          </w:r>
          <w:proofErr w:type="spellEnd"/>
          <w:r w:rsidR="0047170A">
            <w:rPr>
              <w:rFonts w:eastAsia="Times New Roman"/>
            </w:rPr>
            <w:t>, 2003)</w:t>
          </w:r>
        </w:sdtContent>
      </w:sdt>
      <w:r>
        <w:t xml:space="preserve">. </w:t>
      </w:r>
      <w:r w:rsidRPr="002D4D80">
        <w:t xml:space="preserve">These findings suggest that self-efficacy plays a crucial role </w:t>
      </w:r>
      <w:r>
        <w:t>in some</w:t>
      </w:r>
      <w:r w:rsidRPr="002D4D80">
        <w:t xml:space="preserve"> self-management practices among individuals with epilepsy</w:t>
      </w:r>
      <w:r>
        <w:t>,</w:t>
      </w:r>
      <w:r w:rsidRPr="002D4D80">
        <w:t xml:space="preserve"> which </w:t>
      </w:r>
      <w:r>
        <w:t xml:space="preserve">could also be relevant in those with </w:t>
      </w:r>
      <w:r w:rsidRPr="002D4D80">
        <w:t>functional seizures.</w:t>
      </w:r>
      <w:r>
        <w:t xml:space="preserve"> Elucidating t</w:t>
      </w:r>
      <w:r w:rsidRPr="002D4D80">
        <w:t>he specific behaviours influenced by self-efficacy in individuals with F</w:t>
      </w:r>
      <w:r>
        <w:t>NSD</w:t>
      </w:r>
      <w:r w:rsidRPr="002D4D80">
        <w:t xml:space="preserve"> </w:t>
      </w:r>
      <w:r>
        <w:t xml:space="preserve">and </w:t>
      </w:r>
      <w:r w:rsidRPr="002D4D80">
        <w:t xml:space="preserve">focusing on </w:t>
      </w:r>
      <w:r>
        <w:t xml:space="preserve">these for </w:t>
      </w:r>
      <w:r w:rsidRPr="002D4D80">
        <w:t xml:space="preserve">disease control rather than </w:t>
      </w:r>
      <w:r>
        <w:t xml:space="preserve">specific </w:t>
      </w:r>
      <w:r w:rsidRPr="002D4D80">
        <w:t xml:space="preserve">pathological aspects </w:t>
      </w:r>
      <w:r>
        <w:t>may benefit</w:t>
      </w:r>
      <w:r w:rsidRPr="002D4D80">
        <w:t xml:space="preserve"> overall well-being</w:t>
      </w:r>
      <w:r w:rsidRPr="00F90FAF">
        <w:t xml:space="preserve"> </w:t>
      </w:r>
      <w:sdt>
        <w:sdtPr>
          <w:tag w:val="MENDELEY_CITATION_v3_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"/>
          <w:id w:val="-212189432"/>
          <w:placeholder>
            <w:docPart w:val="ACCEC12DECEE6C4EB8A6BB26EF84CB8E"/>
          </w:placeholder>
        </w:sdtPr>
        <w:sdtContent>
          <w:r w:rsidR="0047170A">
            <w:rPr>
              <w:rFonts w:eastAsia="Times New Roman"/>
            </w:rPr>
            <w:t>(Hagger &amp; Orbell, 2003)</w:t>
          </w:r>
        </w:sdtContent>
      </w:sdt>
      <w:r w:rsidRPr="002D4D80">
        <w:t>.</w:t>
      </w:r>
      <w:r>
        <w:t xml:space="preserve"> </w:t>
      </w:r>
      <w:r w:rsidRPr="002D4D80">
        <w:t xml:space="preserve">Therefore, promoting self-efficacy in </w:t>
      </w:r>
      <w:r>
        <w:t>pw</w:t>
      </w:r>
      <w:r w:rsidRPr="002D4D80">
        <w:t>F</w:t>
      </w:r>
      <w:r>
        <w:t>NSD</w:t>
      </w:r>
      <w:r w:rsidRPr="002D4D80">
        <w:t xml:space="preserve"> may serve as a valuable clinical </w:t>
      </w:r>
      <w:r>
        <w:t xml:space="preserve">tool to </w:t>
      </w:r>
      <w:r w:rsidRPr="002D4D80">
        <w:t>enhanc</w:t>
      </w:r>
      <w:r>
        <w:t>e</w:t>
      </w:r>
      <w:r w:rsidRPr="002D4D80">
        <w:t xml:space="preserve"> self-management, </w:t>
      </w:r>
      <w:r>
        <w:t>symptom</w:t>
      </w:r>
      <w:r w:rsidRPr="002D4D80">
        <w:t xml:space="preserve"> control, and quality of life.</w:t>
      </w:r>
    </w:p>
    <w:p w14:paraId="615F0AC5" w14:textId="77777777" w:rsidR="00997566" w:rsidRDefault="00997566" w:rsidP="00997566">
      <w:r w:rsidRPr="002D4D80">
        <w:t xml:space="preserve">Further </w:t>
      </w:r>
      <w:r>
        <w:t>research</w:t>
      </w:r>
      <w:r w:rsidRPr="002D4D80">
        <w:t xml:space="preserve"> may be necessary to understand the specific behaviours influenced by self-efficacy in individuals with FNSD.</w:t>
      </w:r>
      <w:r>
        <w:t xml:space="preserve"> Before</w:t>
      </w:r>
      <w:r w:rsidRPr="002D4D80">
        <w:t xml:space="preserve"> this, however,</w:t>
      </w:r>
      <w:r>
        <w:t xml:space="preserve"> </w:t>
      </w:r>
      <w:r w:rsidRPr="002D4D80">
        <w:t>the</w:t>
      </w:r>
      <w:r>
        <w:t xml:space="preserve">re will be a need to </w:t>
      </w:r>
      <w:r w:rsidRPr="002D4D80">
        <w:t>hav</w:t>
      </w:r>
      <w:r>
        <w:t>e</w:t>
      </w:r>
      <w:r w:rsidRPr="002D4D80">
        <w:t xml:space="preserve"> valid measures for assessing general self-efficacy and evaluating</w:t>
      </w:r>
      <w:r>
        <w:t xml:space="preserve"> the effect of</w:t>
      </w:r>
      <w:r w:rsidRPr="002D4D80">
        <w:t xml:space="preserve"> interventions</w:t>
      </w:r>
      <w:r>
        <w:t xml:space="preserve"> on self-efficacy</w:t>
      </w:r>
      <w:r w:rsidRPr="002D4D80">
        <w:t xml:space="preserve"> for this population.</w:t>
      </w:r>
    </w:p>
    <w:p w14:paraId="162D0E12" w14:textId="288CAE30" w:rsidR="00997566" w:rsidRPr="008D7B69" w:rsidRDefault="00997566" w:rsidP="002921CC">
      <w:pPr>
        <w:rPr>
          <w:u w:val="single"/>
        </w:rPr>
      </w:pPr>
      <w:r w:rsidRPr="008D7B69">
        <w:rPr>
          <w:u w:val="single"/>
        </w:rPr>
        <w:t>Social Support</w:t>
      </w:r>
    </w:p>
    <w:p w14:paraId="59818E99" w14:textId="196F159D" w:rsidR="00997566" w:rsidRPr="00FF326E" w:rsidRDefault="00997566" w:rsidP="00997566">
      <w:r w:rsidRPr="00FF326E">
        <w:lastRenderedPageBreak/>
        <w:t>Social support has been widely acknowledged as a critical factor influencing health and well-being.</w:t>
      </w:r>
      <w:r>
        <w:t xml:space="preserve"> </w:t>
      </w:r>
      <w:r w:rsidRPr="00FF326E">
        <w:t>It refers to the availability of people on whom individuals can depend for emotional, informational, and tangible assistance, as well as the perception of being cared for, valued, and belonging to a network of communication and mutual obligations</w:t>
      </w:r>
      <w:r>
        <w:t xml:space="preserve"> </w:t>
      </w:r>
      <w:sdt>
        <w:sdtPr>
          <w:tag w:val="MENDELEY_CITATION_v3_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"/>
          <w:id w:val="-345940020"/>
          <w:placeholder>
            <w:docPart w:val="712761C3C0ECFC4C8B91BEFCB51C0943"/>
          </w:placeholder>
        </w:sdtPr>
        <w:sdtContent>
          <w:r w:rsidR="0047170A">
            <w:rPr>
              <w:rFonts w:eastAsia="Times New Roman"/>
            </w:rPr>
            <w:t>(Cohen &amp; Wills, 1985)</w:t>
          </w:r>
        </w:sdtContent>
      </w:sdt>
      <w:r>
        <w:t xml:space="preserve">. </w:t>
      </w:r>
      <w:r w:rsidRPr="00FF326E">
        <w:t xml:space="preserve">Numerous studies have highlighted the positive impact of social support on mental and physical health, particularly in chronic illnesses </w:t>
      </w:r>
      <w:r>
        <w:t xml:space="preserve"> </w:t>
      </w:r>
      <w:sdt>
        <w:sdtPr>
          <w:rPr>
            <w:color w:val="000000"/>
          </w:rPr>
          <w:tag w:val="MENDELEY_CITATION_v3_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"/>
          <w:id w:val="-518164791"/>
          <w:placeholder>
            <w:docPart w:val="712761C3C0ECFC4C8B91BEFCB51C0943"/>
          </w:placeholder>
        </w:sdtPr>
        <w:sdtContent>
          <w:r w:rsidR="0047170A" w:rsidRPr="0047170A">
            <w:rPr>
              <w:color w:val="000000"/>
            </w:rPr>
            <w:t>(Cohen, 2004; Uchino, 2006)</w:t>
          </w:r>
        </w:sdtContent>
      </w:sdt>
      <w:r>
        <w:t>.</w:t>
      </w:r>
    </w:p>
    <w:p w14:paraId="5A48570D" w14:textId="115E536C" w:rsidR="00997566" w:rsidRDefault="00997566" w:rsidP="00997566">
      <w:r w:rsidRPr="00FF326E">
        <w:t>Social support is a multidimensional construct, encompassing perceived emotional (e.g., active listening, effective communication of feelings), informational (e.g., information pertinent to problem-solving), and instrumental (e.g., material assistance, practical help in everyday life) support</w:t>
      </w:r>
      <w:r>
        <w:t xml:space="preserve"> </w:t>
      </w:r>
      <w:sdt>
        <w:sdtPr>
          <w:rPr>
            <w:color w:val="000000"/>
          </w:rPr>
          <w:tag w:val="MENDELEY_CITATION_v3_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"/>
          <w:id w:val="1611855986"/>
          <w:placeholder>
            <w:docPart w:val="712761C3C0ECFC4C8B91BEFCB51C0943"/>
          </w:placeholder>
        </w:sdtPr>
        <w:sdtContent>
          <w:r w:rsidR="0047170A" w:rsidRPr="0047170A">
            <w:rPr>
              <w:color w:val="000000"/>
            </w:rPr>
            <w:t>(</w:t>
          </w:r>
          <w:proofErr w:type="spellStart"/>
          <w:r w:rsidR="0047170A" w:rsidRPr="0047170A">
            <w:rPr>
              <w:color w:val="000000"/>
            </w:rPr>
            <w:t>Ozbay</w:t>
          </w:r>
          <w:proofErr w:type="spellEnd"/>
          <w:r w:rsidR="0047170A" w:rsidRPr="0047170A">
            <w:rPr>
              <w:color w:val="000000"/>
            </w:rPr>
            <w:t xml:space="preserve"> et al., 2007)</w:t>
          </w:r>
        </w:sdtContent>
      </w:sdt>
      <w:r w:rsidRPr="00FF326E">
        <w:t>.</w:t>
      </w:r>
      <w:r>
        <w:t xml:space="preserve"> </w:t>
      </w:r>
      <w:r w:rsidRPr="00FF326E">
        <w:t>Additionally, it involves the perceived possibility of social integration, which refers to having a network of people with whom one can engage in joint activities or shared interests</w:t>
      </w:r>
      <w:r>
        <w:t xml:space="preserve"> </w:t>
      </w:r>
      <w:sdt>
        <w:sdtPr>
          <w:tag w:val="MENDELEY_CITATION_v3_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"/>
          <w:id w:val="1439258834"/>
          <w:placeholder>
            <w:docPart w:val="712761C3C0ECFC4C8B91BEFCB51C0943"/>
          </w:placeholder>
        </w:sdtPr>
        <w:sdtContent>
          <w:r w:rsidR="0047170A">
            <w:rPr>
              <w:rFonts w:eastAsia="Times New Roman"/>
            </w:rPr>
            <w:t>(Holt-</w:t>
          </w:r>
          <w:proofErr w:type="spellStart"/>
          <w:r w:rsidR="0047170A">
            <w:rPr>
              <w:rFonts w:eastAsia="Times New Roman"/>
            </w:rPr>
            <w:t>Lunstad</w:t>
          </w:r>
          <w:proofErr w:type="spellEnd"/>
          <w:r w:rsidR="0047170A">
            <w:rPr>
              <w:rFonts w:eastAsia="Times New Roman"/>
            </w:rPr>
            <w:t xml:space="preserve"> &amp; </w:t>
          </w:r>
          <w:proofErr w:type="spellStart"/>
          <w:r w:rsidR="0047170A">
            <w:rPr>
              <w:rFonts w:eastAsia="Times New Roman"/>
            </w:rPr>
            <w:t>Lefler</w:t>
          </w:r>
          <w:proofErr w:type="spellEnd"/>
          <w:r w:rsidR="0047170A">
            <w:rPr>
              <w:rFonts w:eastAsia="Times New Roman"/>
            </w:rPr>
            <w:t>, 2020)</w:t>
          </w:r>
        </w:sdtContent>
      </w:sdt>
      <w:r w:rsidRPr="00FF326E">
        <w:t>.</w:t>
      </w:r>
      <w:r>
        <w:t xml:space="preserve"> </w:t>
      </w:r>
      <w:r w:rsidRPr="00FF326E">
        <w:t xml:space="preserve">Although a distinction is made between received and perceived (available) social support, the subjective interpretation is </w:t>
      </w:r>
      <w:r>
        <w:t xml:space="preserve">usually </w:t>
      </w:r>
      <w:r w:rsidRPr="00FF326E">
        <w:t>more influential than</w:t>
      </w:r>
      <w:r>
        <w:t xml:space="preserve"> the</w:t>
      </w:r>
      <w:r w:rsidRPr="00FF326E">
        <w:t xml:space="preserve"> objective reality in both cases</w:t>
      </w:r>
      <w:r>
        <w:t xml:space="preserve"> </w:t>
      </w:r>
      <w:sdt>
        <w:sdtPr>
          <w:tag w:val="MENDELEY_CITATION_v3_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"/>
          <w:id w:val="-918487170"/>
          <w:placeholder>
            <w:docPart w:val="712761C3C0ECFC4C8B91BEFCB51C0943"/>
          </w:placeholder>
        </w:sdtPr>
        <w:sdtContent>
          <w:r w:rsidR="0047170A">
            <w:rPr>
              <w:rFonts w:eastAsia="Times New Roman"/>
            </w:rPr>
            <w:t>(Wills &amp; Shinar, 2015)</w:t>
          </w:r>
        </w:sdtContent>
      </w:sdt>
      <w:r w:rsidRPr="00FF326E">
        <w:t>.</w:t>
      </w:r>
      <w:r>
        <w:t xml:space="preserve"> </w:t>
      </w:r>
      <w:r w:rsidRPr="00FF326E">
        <w:t xml:space="preserve">This illustrates how illness-related stigma may intersect with and damage perceived social support. </w:t>
      </w:r>
    </w:p>
    <w:p w14:paraId="244074E7" w14:textId="77C4F237" w:rsidR="00997566" w:rsidRPr="00FF326E" w:rsidRDefault="00997566" w:rsidP="00997566">
      <w:r w:rsidRPr="00FF326E">
        <w:t>Social support can facilitate adherence to treatment plans and improve outcomes.</w:t>
      </w:r>
      <w:r>
        <w:t xml:space="preserve"> S</w:t>
      </w:r>
      <w:r w:rsidRPr="00FF326E">
        <w:t>ocial support was associated with better adherence to psychosocial treatments among individuals with multiple sclerosis</w:t>
      </w:r>
      <w:r>
        <w:t xml:space="preserve"> </w:t>
      </w:r>
      <w:sdt>
        <w:sdtPr>
          <w:rPr>
            <w:color w:val="000000"/>
          </w:rPr>
          <w:tag w:val="MENDELEY_CITATION_v3_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"/>
          <w:id w:val="-1243873463"/>
          <w:placeholder>
            <w:docPart w:val="712761C3C0ECFC4C8B91BEFCB51C0943"/>
          </w:placeholder>
        </w:sdtPr>
        <w:sdtContent>
          <w:r w:rsidR="0047170A" w:rsidRPr="0047170A">
            <w:rPr>
              <w:color w:val="000000"/>
            </w:rPr>
            <w:t>(Mohr et al., 2004)</w:t>
          </w:r>
        </w:sdtContent>
      </w:sdt>
      <w:r w:rsidRPr="00FF326E">
        <w:t xml:space="preserve">, a neurological condition that shares some clinical features with </w:t>
      </w:r>
      <w:r>
        <w:t>FNSD</w:t>
      </w:r>
      <w:r w:rsidRPr="00FF326E">
        <w:t>.</w:t>
      </w:r>
      <w:r>
        <w:t xml:space="preserve"> </w:t>
      </w:r>
      <w:r w:rsidRPr="00FF326E">
        <w:t xml:space="preserve">In patients with epilepsy, social support during a self-management program was most frequently described as reminders to take medication and monitoring for behaviours to reduce seizures (e.g., adequate sleep) </w:t>
      </w:r>
      <w:sdt>
        <w:sdtPr>
          <w:rPr>
            <w:color w:val="000000"/>
          </w:rPr>
          <w:tag w:val="MENDELEY_CITATION_v3_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"/>
          <w:id w:val="-1198858400"/>
          <w:placeholder>
            <w:docPart w:val="712761C3C0ECFC4C8B91BEFCB51C0943"/>
          </w:placeholder>
        </w:sdtPr>
        <w:sdtContent>
          <w:r w:rsidR="0047170A" w:rsidRPr="0047170A">
            <w:rPr>
              <w:color w:val="000000"/>
            </w:rPr>
            <w:t>(E. R. Walker et al., 2012)</w:t>
          </w:r>
        </w:sdtContent>
      </w:sdt>
      <w:r>
        <w:rPr>
          <w:color w:val="000000"/>
        </w:rPr>
        <w:t>.</w:t>
      </w:r>
      <w:r>
        <w:t xml:space="preserve"> </w:t>
      </w:r>
      <w:r w:rsidRPr="00FF326E">
        <w:t xml:space="preserve">In patients with somatoform disorders, patients who perceived high acuity of social support were reported to have less severity of somatic symptoms </w:t>
      </w:r>
      <w:sdt>
        <w:sdtPr>
          <w:rPr>
            <w:color w:val="000000"/>
          </w:rPr>
          <w:tag w:val="MENDELEY_CITATION_v3_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"/>
          <w:id w:val="-1788651013"/>
          <w:placeholder>
            <w:docPart w:val="712761C3C0ECFC4C8B91BEFCB51C0943"/>
          </w:placeholder>
        </w:sdtPr>
        <w:sdtContent>
          <w:r w:rsidR="0047170A" w:rsidRPr="0047170A">
            <w:rPr>
              <w:color w:val="000000"/>
            </w:rPr>
            <w:t>(Mondal et al., 2020)</w:t>
          </w:r>
        </w:sdtContent>
      </w:sdt>
      <w:r>
        <w:t xml:space="preserve">. </w:t>
      </w:r>
      <w:r w:rsidRPr="00FF326E">
        <w:t xml:space="preserve">Moreover, social support can enhance psychological well-being and has been shown to attenuate the </w:t>
      </w:r>
      <w:r>
        <w:t>adverse</w:t>
      </w:r>
      <w:r w:rsidRPr="00FF326E">
        <w:t xml:space="preserve"> effects of stress on mental health, thus promoting resilience in the face of chronic illness </w:t>
      </w:r>
      <w:sdt>
        <w:sdtPr>
          <w:tag w:val="MENDELEY_CITATION_v3_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"/>
          <w:id w:val="-1587691187"/>
          <w:placeholder>
            <w:docPart w:val="712761C3C0ECFC4C8B91BEFCB51C0943"/>
          </w:placeholder>
        </w:sdtPr>
        <w:sdtContent>
          <w:r w:rsidR="0047170A">
            <w:rPr>
              <w:rFonts w:eastAsia="Times New Roman"/>
            </w:rPr>
            <w:t xml:space="preserve">(Cohen &amp; Wills, 1985; </w:t>
          </w:r>
          <w:proofErr w:type="spellStart"/>
          <w:r w:rsidR="0047170A">
            <w:rPr>
              <w:rFonts w:eastAsia="Times New Roman"/>
            </w:rPr>
            <w:t>Thoits</w:t>
          </w:r>
          <w:proofErr w:type="spellEnd"/>
          <w:r w:rsidR="0047170A">
            <w:rPr>
              <w:rFonts w:eastAsia="Times New Roman"/>
            </w:rPr>
            <w:t>, 2011)</w:t>
          </w:r>
        </w:sdtContent>
      </w:sdt>
      <w:r>
        <w:t>.</w:t>
      </w:r>
    </w:p>
    <w:p w14:paraId="57D179F7" w14:textId="1403DC79" w:rsidR="00997566" w:rsidRPr="00FF326E" w:rsidRDefault="00997566" w:rsidP="00997566">
      <w:r w:rsidRPr="00FF326E">
        <w:t>Although social support counteracts stress, depression and physical illness, a certain degree of</w:t>
      </w:r>
      <w:r>
        <w:t xml:space="preserve"> </w:t>
      </w:r>
      <w:r w:rsidRPr="00FF326E">
        <w:t xml:space="preserve">self-efficacy is necessary </w:t>
      </w:r>
      <w:r>
        <w:t>to</w:t>
      </w:r>
      <w:r w:rsidRPr="00FF326E">
        <w:t xml:space="preserve"> build </w:t>
      </w:r>
      <w:r>
        <w:t>support</w:t>
      </w:r>
      <w:r w:rsidRPr="00FF326E">
        <w:t xml:space="preserve"> structures that </w:t>
      </w:r>
      <w:r>
        <w:t>benefit</w:t>
      </w:r>
      <w:r w:rsidRPr="00FF326E">
        <w:t xml:space="preserve"> health</w:t>
      </w:r>
      <w:r>
        <w:t xml:space="preserve"> </w:t>
      </w:r>
      <w:sdt>
        <w:sdtPr>
          <w:rPr>
            <w:color w:val="000000"/>
          </w:rPr>
          <w:tag w:val="MENDELEY_CITATION_v3_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"/>
          <w:id w:val="-665707957"/>
          <w:placeholder>
            <w:docPart w:val="712761C3C0ECFC4C8B91BEFCB51C0943"/>
          </w:placeholder>
        </w:sdtPr>
        <w:sdtContent>
          <w:r w:rsidR="0047170A" w:rsidRPr="0047170A">
            <w:rPr>
              <w:color w:val="000000"/>
            </w:rPr>
            <w:t>(Bandura et al., 1999)</w:t>
          </w:r>
        </w:sdtContent>
      </w:sdt>
      <w:r w:rsidRPr="00FF326E">
        <w:t>.</w:t>
      </w:r>
      <w:r>
        <w:t xml:space="preserve"> </w:t>
      </w:r>
      <w:r w:rsidRPr="00FF326E">
        <w:t xml:space="preserve">Empirically, there seems to be an indirect effect of perceived social support on health behaviour, with self-efficacy acting as a mediator </w:t>
      </w:r>
      <w:sdt>
        <w:sdtPr>
          <w:rPr>
            <w:color w:val="000000"/>
          </w:rPr>
          <w:tag w:val="MENDELEY_CITATION_v3_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"/>
          <w:id w:val="-583926947"/>
          <w:placeholder>
            <w:docPart w:val="712761C3C0ECFC4C8B91BEFCB51C0943"/>
          </w:placeholder>
        </w:sdtPr>
        <w:sdtContent>
          <w:r w:rsidR="0047170A" w:rsidRPr="0047170A">
            <w:rPr>
              <w:color w:val="000000"/>
            </w:rPr>
            <w:t xml:space="preserve">(E. S. Anderson et al., 2007; </w:t>
          </w:r>
          <w:proofErr w:type="spellStart"/>
          <w:r w:rsidR="0047170A" w:rsidRPr="0047170A">
            <w:rPr>
              <w:color w:val="000000"/>
            </w:rPr>
            <w:t>Luszczynska</w:t>
          </w:r>
          <w:proofErr w:type="spellEnd"/>
          <w:r w:rsidR="0047170A" w:rsidRPr="0047170A">
            <w:rPr>
              <w:color w:val="000000"/>
            </w:rPr>
            <w:t xml:space="preserve"> et al., 2007)</w:t>
          </w:r>
        </w:sdtContent>
      </w:sdt>
      <w:r w:rsidRPr="00FF326E">
        <w:t>.</w:t>
      </w:r>
      <w:r>
        <w:t xml:space="preserve"> </w:t>
      </w:r>
      <w:r w:rsidRPr="00FF326E">
        <w:t xml:space="preserve">In line with the considerations of </w:t>
      </w:r>
      <w:sdt>
        <w:sdtPr>
          <w:rPr>
            <w:color w:val="000000"/>
          </w:rPr>
          <w:tag w:val="MENDELEY_CITATION_v3_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"/>
          <w:id w:val="-889570042"/>
          <w:placeholder>
            <w:docPart w:val="712761C3C0ECFC4C8B91BEFCB51C0943"/>
          </w:placeholder>
        </w:sdtPr>
        <w:sdtContent>
          <w:r w:rsidR="0047170A" w:rsidRPr="0047170A">
            <w:rPr>
              <w:color w:val="000000"/>
            </w:rPr>
            <w:t>Bandura et al. (1999)</w:t>
          </w:r>
        </w:sdtContent>
      </w:sdt>
      <w:r w:rsidRPr="00FF326E">
        <w:t>, social support can thus promote adaptive coping strategies</w:t>
      </w:r>
      <w:r>
        <w:t>, facilitate</w:t>
      </w:r>
      <w:r w:rsidRPr="00FF326E">
        <w:t xml:space="preserve"> the development of health-related self-efficacy</w:t>
      </w:r>
      <w:r>
        <w:t xml:space="preserve">, and </w:t>
      </w:r>
      <w:r w:rsidRPr="00FF326E">
        <w:t>predict better health outcomes</w:t>
      </w:r>
      <w:r>
        <w:t xml:space="preserve"> </w:t>
      </w:r>
      <w:r w:rsidRPr="00FF326E">
        <w:t xml:space="preserve"> </w:t>
      </w:r>
      <w:sdt>
        <w:sdtPr>
          <w:tag w:val="MENDELEY_CITATION_v3_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"/>
          <w:id w:val="-1768140721"/>
          <w:placeholder>
            <w:docPart w:val="A39AAC158478A148B4DDFDA91D37948E"/>
          </w:placeholder>
        </w:sdtPr>
        <w:sdtContent>
          <w:r w:rsidR="0047170A">
            <w:rPr>
              <w:rFonts w:eastAsia="Times New Roman"/>
            </w:rPr>
            <w:t xml:space="preserve">(Bandura, 2004; Schwarzer &amp; </w:t>
          </w:r>
          <w:proofErr w:type="spellStart"/>
          <w:r w:rsidR="0047170A">
            <w:rPr>
              <w:rFonts w:eastAsia="Times New Roman"/>
            </w:rPr>
            <w:t>Luszczynska</w:t>
          </w:r>
          <w:proofErr w:type="spellEnd"/>
          <w:r w:rsidR="0047170A">
            <w:rPr>
              <w:rFonts w:eastAsia="Times New Roman"/>
            </w:rPr>
            <w:t>, 2003)</w:t>
          </w:r>
        </w:sdtContent>
      </w:sdt>
      <w:r>
        <w:t xml:space="preserve">. </w:t>
      </w:r>
      <w:r w:rsidRPr="00FF326E">
        <w:t xml:space="preserve">Research has shown that individuals with higher levels of social support are more likely to engage in problem-focused coping and less likely to rely on maladaptive coping strategies, such as avoidance or denial </w:t>
      </w:r>
      <w:sdt>
        <w:sdtPr>
          <w:tag w:val="MENDELEY_CITATION_v3_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"/>
          <w:id w:val="-556855392"/>
          <w:placeholder>
            <w:docPart w:val="712761C3C0ECFC4C8B91BEFCB51C0943"/>
          </w:placeholder>
        </w:sdtPr>
        <w:sdtContent>
          <w:r w:rsidR="0047170A">
            <w:rPr>
              <w:rFonts w:eastAsia="Times New Roman"/>
            </w:rPr>
            <w:t>(Folkman &amp; Lazarus, 1985)</w:t>
          </w:r>
        </w:sdtContent>
      </w:sdt>
      <w:r w:rsidRPr="00FF326E">
        <w:t xml:space="preserve">. </w:t>
      </w:r>
    </w:p>
    <w:p w14:paraId="1A40CD7A" w14:textId="7F52A2BA" w:rsidR="00997566" w:rsidRPr="00FF326E" w:rsidRDefault="00997566" w:rsidP="00997566">
      <w:r w:rsidRPr="00FF326E">
        <w:t>In a study comparing social support between healthy control subjects and individuals with epilepsy, those with epilepsy reported their subjective and objective social support to be significantly lower.</w:t>
      </w:r>
      <w:r>
        <w:t xml:space="preserve"> </w:t>
      </w:r>
      <w:r w:rsidRPr="00FF326E">
        <w:t>In both groups, family members emerged as the primary source of support</w:t>
      </w:r>
      <w:r>
        <w:t xml:space="preserve"> </w:t>
      </w:r>
      <w:sdt>
        <w:sdtPr>
          <w:rPr>
            <w:color w:val="000000"/>
          </w:rPr>
          <w:tag w:val="MENDELEY_CITATION_v3_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"/>
          <w:id w:val="1440876050"/>
          <w:placeholder>
            <w:docPart w:val="712761C3C0ECFC4C8B91BEFCB51C0943"/>
          </w:placeholder>
        </w:sdtPr>
        <w:sdtContent>
          <w:r w:rsidR="0047170A" w:rsidRPr="0047170A">
            <w:rPr>
              <w:color w:val="000000"/>
            </w:rPr>
            <w:t>(Tong et al., 2016)</w:t>
          </w:r>
        </w:sdtContent>
      </w:sdt>
      <w:r w:rsidRPr="00FF326E">
        <w:t>.</w:t>
      </w:r>
      <w:r>
        <w:t xml:space="preserve"> A</w:t>
      </w:r>
      <w:r w:rsidRPr="00FF326E">
        <w:t>nother study demonstrated a significant relationship between self-efficacy and perceived social support in self-management</w:t>
      </w:r>
      <w:r>
        <w:t xml:space="preserve"> </w:t>
      </w:r>
      <w:r w:rsidRPr="00FF326E">
        <w:t>in individuals with epilepsy.</w:t>
      </w:r>
      <w:r>
        <w:t xml:space="preserve"> </w:t>
      </w:r>
      <w:r w:rsidRPr="00FF326E">
        <w:t>Perceived support specifically for symptom-related tasks (e.g., taking medication) was beneficial for self-management</w:t>
      </w:r>
      <w:r>
        <w:t xml:space="preserve"> </w:t>
      </w:r>
      <w:r w:rsidRPr="00FF326E">
        <w:t xml:space="preserve"> </w:t>
      </w:r>
      <w:sdt>
        <w:sdtPr>
          <w:tag w:val="MENDELEY_CITATION_v3_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"/>
          <w:id w:val="1047102232"/>
          <w:placeholder>
            <w:docPart w:val="712761C3C0ECFC4C8B91BEFCB51C0943"/>
          </w:placeholder>
        </w:sdtPr>
        <w:sdtContent>
          <w:r w:rsidR="0047170A">
            <w:rPr>
              <w:rFonts w:eastAsia="Times New Roman"/>
            </w:rPr>
            <w:t>(</w:t>
          </w:r>
          <w:proofErr w:type="spellStart"/>
          <w:r w:rsidR="0047170A">
            <w:rPr>
              <w:rFonts w:eastAsia="Times New Roman"/>
            </w:rPr>
            <w:t>Dilorio</w:t>
          </w:r>
          <w:proofErr w:type="spellEnd"/>
          <w:r w:rsidR="0047170A">
            <w:rPr>
              <w:rFonts w:eastAsia="Times New Roman"/>
            </w:rPr>
            <w:t xml:space="preserve"> et al., 1992; </w:t>
          </w:r>
          <w:proofErr w:type="spellStart"/>
          <w:r w:rsidR="0047170A">
            <w:rPr>
              <w:rFonts w:eastAsia="Times New Roman"/>
            </w:rPr>
            <w:t>Dilorio</w:t>
          </w:r>
          <w:proofErr w:type="spellEnd"/>
          <w:r w:rsidR="0047170A">
            <w:rPr>
              <w:rFonts w:eastAsia="Times New Roman"/>
            </w:rPr>
            <w:t xml:space="preserve"> &amp; </w:t>
          </w:r>
          <w:proofErr w:type="spellStart"/>
          <w:r w:rsidR="0047170A">
            <w:rPr>
              <w:rFonts w:eastAsia="Times New Roman"/>
            </w:rPr>
            <w:t>Faherty</w:t>
          </w:r>
          <w:proofErr w:type="spellEnd"/>
          <w:r w:rsidR="0047170A">
            <w:rPr>
              <w:rFonts w:eastAsia="Times New Roman"/>
            </w:rPr>
            <w:t>, 1994)</w:t>
          </w:r>
        </w:sdtContent>
      </w:sdt>
      <w:r>
        <w:t xml:space="preserve">. </w:t>
      </w:r>
      <w:r w:rsidRPr="00FF326E">
        <w:t>People with FS may benefit equally from social support to help cope with the symptoms of their illness and feelings of isolation and low mood</w:t>
      </w:r>
      <w:r>
        <w:t xml:space="preserve"> </w:t>
      </w:r>
      <w:sdt>
        <w:sdtPr>
          <w:tag w:val="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"/>
          <w:id w:val="885369202"/>
          <w:placeholder>
            <w:docPart w:val="712761C3C0ECFC4C8B91BEFCB51C0943"/>
          </w:placeholder>
        </w:sdtPr>
        <w:sdtContent>
          <w:r w:rsidR="0047170A">
            <w:rPr>
              <w:rFonts w:eastAsia="Times New Roman"/>
            </w:rPr>
            <w:t>(Pretorius, 2016; Pretorius &amp; Sparrow, 2015; Vaidya-Mathur et al., 2016)</w:t>
          </w:r>
        </w:sdtContent>
      </w:sdt>
      <w:r>
        <w:t xml:space="preserve">. </w:t>
      </w:r>
      <w:r w:rsidRPr="00FF326E">
        <w:t>Social support has the potential to facilitate treatment adherence, enhance psychological well-being, and promote adaptive coping strategies and self-efficacy in FNSD.</w:t>
      </w:r>
      <w:r>
        <w:t xml:space="preserve"> </w:t>
      </w:r>
      <w:r w:rsidRPr="00FF326E">
        <w:t xml:space="preserve">A specific instrument that maps the </w:t>
      </w:r>
      <w:r>
        <w:t>unique</w:t>
      </w:r>
      <w:r w:rsidRPr="00FF326E">
        <w:t xml:space="preserve"> support needs of those affected would be necessary to make more precise statements and observations about the role of social support in health and treatment outcomes in FNSD.</w:t>
      </w:r>
    </w:p>
    <w:p w14:paraId="43178581" w14:textId="0FB29F44" w:rsidR="00997566" w:rsidRPr="008D7B69" w:rsidRDefault="00997566" w:rsidP="008D7B69">
      <w:pPr>
        <w:rPr>
          <w:u w:val="single"/>
        </w:rPr>
      </w:pPr>
      <w:r w:rsidRPr="008D7B69">
        <w:rPr>
          <w:u w:val="single"/>
        </w:rPr>
        <w:t xml:space="preserve">Self-awareness </w:t>
      </w:r>
    </w:p>
    <w:p w14:paraId="78698AF0" w14:textId="77777777" w:rsidR="00997566" w:rsidRPr="000C6CFF" w:rsidRDefault="00997566" w:rsidP="00997566">
      <w:r w:rsidRPr="000C6CFF">
        <w:t>Self-awareness has variable interpretations and can be understood as, but not limited to, body perception, self-perception, interoceptive perception, or mindfulness.</w:t>
      </w:r>
      <w:r>
        <w:t xml:space="preserve"> </w:t>
      </w:r>
      <w:r w:rsidRPr="000C6CFF">
        <w:t>The definitions and inferences can vary depending on the discipline</w:t>
      </w:r>
      <w:r>
        <w:t>;</w:t>
      </w:r>
      <w:r w:rsidRPr="000C6CFF">
        <w:t xml:space="preserve"> therefore</w:t>
      </w:r>
      <w:r>
        <w:t>,</w:t>
      </w:r>
      <w:r w:rsidRPr="000C6CFF">
        <w:t xml:space="preserve"> the aspects relevant to the present study</w:t>
      </w:r>
      <w:r>
        <w:t xml:space="preserve"> </w:t>
      </w:r>
      <w:r w:rsidRPr="000C6CFF">
        <w:t xml:space="preserve">are here specified and discussed. </w:t>
      </w:r>
    </w:p>
    <w:p w14:paraId="04041AAB" w14:textId="4658ACD4" w:rsidR="00997566" w:rsidRPr="000C6CFF" w:rsidRDefault="00997566" w:rsidP="00997566">
      <w:r w:rsidRPr="000C6CFF">
        <w:t xml:space="preserve">Self-report studies in individuals with FNSD suggest that this population </w:t>
      </w:r>
      <w:r>
        <w:t>has</w:t>
      </w:r>
      <w:r w:rsidRPr="000C6CFF">
        <w:t xml:space="preserve"> an impaired ability to detect and identify their own emotions (identification impairments)</w:t>
      </w:r>
      <w:r>
        <w:t xml:space="preserve"> </w:t>
      </w:r>
      <w:sdt>
        <w:sdtPr>
          <w:rPr>
            <w:color w:val="000000"/>
          </w:rPr>
          <w:tag w:val="MENDELEY_CITATION_v3_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"/>
          <w:id w:val="-1605103551"/>
          <w:placeholder>
            <w:docPart w:val="712761C3C0ECFC4C8B91BEFCB51C0943"/>
          </w:placeholder>
        </w:sdtPr>
        <w:sdtContent>
          <w:r w:rsidR="0047170A" w:rsidRPr="0047170A">
            <w:rPr>
              <w:color w:val="000000"/>
            </w:rPr>
            <w:t>(I. A. Williams, Levita, et al., 2018)</w:t>
          </w:r>
        </w:sdtContent>
      </w:sdt>
      <w:r>
        <w:t xml:space="preserve">. </w:t>
      </w:r>
      <w:r w:rsidRPr="000C6CFF">
        <w:t>This deficit is especially problematic for FN</w:t>
      </w:r>
      <w:r>
        <w:t>S</w:t>
      </w:r>
      <w:r w:rsidRPr="000C6CFF">
        <w:t>D patients, for whom the inability to regulate emotions might be more consequential due to the greater prevalence of stressful life events reported relative to healthy controls.</w:t>
      </w:r>
      <w:r>
        <w:t xml:space="preserve"> </w:t>
      </w:r>
      <w:r w:rsidRPr="000C6CFF">
        <w:t>Assessing sensitivity to physiological signals arising from the body or changes to body state associated with emotional experience is known as interoception</w:t>
      </w:r>
      <w:r>
        <w:t>. It is</w:t>
      </w:r>
      <w:r w:rsidRPr="000C6CFF">
        <w:t xml:space="preserve"> a way of examining a </w:t>
      </w:r>
      <w:r w:rsidR="00352F7F">
        <w:t>patient's</w:t>
      </w:r>
      <w:r w:rsidRPr="000C6CFF">
        <w:t xml:space="preserve"> ability to identify their own emotions.</w:t>
      </w:r>
      <w:bookmarkStart w:id="73" w:name="_heading=h.7ya2bwlt9k26" w:colFirst="0" w:colLast="0"/>
      <w:bookmarkEnd w:id="73"/>
      <w:r>
        <w:t xml:space="preserve"> </w:t>
      </w:r>
      <w:r w:rsidR="00352F7F">
        <w:t>'</w:t>
      </w:r>
      <w:r w:rsidRPr="000C6CFF">
        <w:t>Interoceptive sensitivity</w:t>
      </w:r>
      <w:r w:rsidR="00352F7F">
        <w:t>'</w:t>
      </w:r>
      <w:r w:rsidRPr="000C6CFF">
        <w:t xml:space="preserve"> </w:t>
      </w:r>
      <w:r w:rsidRPr="000C6CFF">
        <w:lastRenderedPageBreak/>
        <w:t xml:space="preserve">(IS) is the central nervous </w:t>
      </w:r>
      <w:r w:rsidR="00352F7F">
        <w:t>system's</w:t>
      </w:r>
      <w:r w:rsidRPr="000C6CFF">
        <w:t xml:space="preserve"> perception of physiological signals arising from the body or periphery, such as heart rate, temperature, or respiration</w:t>
      </w:r>
      <w:r>
        <w:t>,</w:t>
      </w:r>
      <w:r w:rsidRPr="000C6CFF">
        <w:t xml:space="preserve"> </w:t>
      </w:r>
      <w:r>
        <w:t>which</w:t>
      </w:r>
      <w:r w:rsidRPr="000C6CFF">
        <w:t xml:space="preserve"> occurs with or without conscious awareness </w:t>
      </w:r>
      <w:sdt>
        <w:sdtPr>
          <w:rPr>
            <w:color w:val="000000"/>
          </w:rPr>
          <w:tag w:val="MENDELEY_CITATION_v3_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"/>
          <w:id w:val="-1312782986"/>
          <w:placeholder>
            <w:docPart w:val="712761C3C0ECFC4C8B91BEFCB51C0943"/>
          </w:placeholder>
        </w:sdtPr>
        <w:sdtContent>
          <w:r w:rsidR="0047170A" w:rsidRPr="0047170A">
            <w:rPr>
              <w:color w:val="000000"/>
            </w:rPr>
            <w:t>(Cameron, 2002; Craig, 2002)</w:t>
          </w:r>
        </w:sdtContent>
      </w:sdt>
      <w:r w:rsidRPr="000C6CFF">
        <w:t>.</w:t>
      </w:r>
    </w:p>
    <w:p w14:paraId="2C7FC0CE" w14:textId="1D90B716" w:rsidR="00997566" w:rsidRPr="000C6CFF" w:rsidRDefault="00000000" w:rsidP="00997566">
      <w:sdt>
        <w:sdtPr>
          <w:rPr>
            <w:color w:val="000000"/>
          </w:rPr>
          <w:tag w:val="MENDELEY_CITATION_v3_eyJjaXRhdGlvbklEIjoiTUVOREVMRVlfQ0lUQVRJT05fODgwZjQ5ZjAtZjk1MC00MWEwLTg5ODctZWE0NTQ5NDVjZDlkIiwicHJvcGVydGllcyI6eyJub3RlSW5kZXgiOjB9LCJpc0VkaXRlZCI6ZmFsc2UsIm1hbnVhbE92ZXJyaWRlIjp7ImlzTWFudWFsbHlPdmVycmlkZGVuIjp0cnVlLCJjaXRlcHJvY1RleHQiOiIoUmljY2lhcmRpIGV0IGFsLiwgMjAxNikiLCJtYW51YWxPdmVycmlkZVRleHQiOiJSaWNjaWFyZGkgZXQgYWwuICgyMDE2KSJ9LCJjaXRhdGlvbkl0ZW1zIjpb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V19"/>
          <w:id w:val="-1331517667"/>
          <w:placeholder>
            <w:docPart w:val="712761C3C0ECFC4C8B91BEFCB51C0943"/>
          </w:placeholder>
        </w:sdtPr>
        <w:sdtContent>
          <w:r w:rsidR="0047170A" w:rsidRPr="0047170A">
            <w:rPr>
              <w:color w:val="000000"/>
            </w:rPr>
            <w:t>Ricciardi et al. (2016)</w:t>
          </w:r>
        </w:sdtContent>
      </w:sdt>
      <w:r w:rsidR="00997566" w:rsidRPr="000C6CFF">
        <w:t xml:space="preserve"> found that patients with</w:t>
      </w:r>
      <w:r w:rsidR="00997566">
        <w:t xml:space="preserve"> Functional Movement Disorders</w:t>
      </w:r>
      <w:r w:rsidR="00997566" w:rsidRPr="000C6CFF">
        <w:t xml:space="preserve"> </w:t>
      </w:r>
      <w:r w:rsidR="00997566">
        <w:t>(FMDs)</w:t>
      </w:r>
      <w:r w:rsidR="00997566" w:rsidRPr="000C6CFF">
        <w:t xml:space="preserve"> had lower interoceptive awareness than healthy controls using the heartbeat detection test (HBDT).</w:t>
      </w:r>
      <w:r w:rsidR="00997566">
        <w:t xml:space="preserve"> </w:t>
      </w:r>
      <w:r w:rsidR="00997566" w:rsidRPr="000C6CFF">
        <w:t xml:space="preserve">Several other studies show evidence for impaired </w:t>
      </w:r>
      <w:r w:rsidR="00997566">
        <w:t>IS</w:t>
      </w:r>
      <w:r w:rsidR="00997566" w:rsidRPr="000C6CFF">
        <w:t xml:space="preserve"> in FN</w:t>
      </w:r>
      <w:r w:rsidR="00997566">
        <w:t>S</w:t>
      </w:r>
      <w:r w:rsidR="00997566" w:rsidRPr="000C6CFF">
        <w:t>D.</w:t>
      </w:r>
      <w:r w:rsidR="00997566">
        <w:t xml:space="preserve"> </w:t>
      </w:r>
      <w:sdt>
        <w:sdtPr>
          <w:rPr>
            <w:color w:val="000000"/>
          </w:rPr>
          <w:tag w:val="MENDELEY_CITATION_v3_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"/>
          <w:id w:val="1048959163"/>
          <w:placeholder>
            <w:docPart w:val="712761C3C0ECFC4C8B91BEFCB51C0943"/>
          </w:placeholder>
        </w:sdtPr>
        <w:sdtContent>
          <w:r w:rsidR="0047170A" w:rsidRPr="0047170A">
            <w:rPr>
              <w:color w:val="000000"/>
            </w:rPr>
            <w:t>Williams et al. (2018)</w:t>
          </w:r>
        </w:sdtContent>
      </w:sdt>
      <w:r w:rsidR="00997566">
        <w:t xml:space="preserve"> </w:t>
      </w:r>
      <w:r w:rsidR="00997566" w:rsidRPr="000C6CFF">
        <w:t xml:space="preserve">found that relative to healthy controls, </w:t>
      </w:r>
      <w:r w:rsidR="00997566">
        <w:t>pw</w:t>
      </w:r>
      <w:r w:rsidR="00997566" w:rsidRPr="000C6CFF">
        <w:t>FN</w:t>
      </w:r>
      <w:r w:rsidR="00997566">
        <w:t>S</w:t>
      </w:r>
      <w:r w:rsidR="00997566" w:rsidRPr="000C6CFF">
        <w:t>D performed more poorly on the HBDT both at baseline and following stress induction, suggesting a lack of sensitivity to their heartbeat.</w:t>
      </w:r>
      <w:r w:rsidR="00997566">
        <w:t xml:space="preserve"> </w:t>
      </w:r>
      <w:r w:rsidR="00997566" w:rsidRPr="000C6CFF">
        <w:t>Another study, which examined neuroendocrine responses to social stress</w:t>
      </w:r>
      <w:r w:rsidR="00997566">
        <w:t>,</w:t>
      </w:r>
      <w:r w:rsidR="00997566" w:rsidRPr="000C6CFF">
        <w:t xml:space="preserve"> indicated discordance between subjective and neuroendocrine stress responses in patients with </w:t>
      </w:r>
      <w:r w:rsidR="00997566">
        <w:t>FMDs</w:t>
      </w:r>
      <w:r w:rsidR="00997566" w:rsidRPr="000C6CFF">
        <w:t xml:space="preserve">; this dissociation reflected a deficit in interoception capacity </w:t>
      </w:r>
      <w:sdt>
        <w:sdtPr>
          <w:rPr>
            <w:color w:val="000000"/>
          </w:rPr>
          <w:tag w:val="MENDELEY_CITATION_v3_eyJjaXRhdGlvbklEIjoiTUVOREVMRVlfQ0lUQVRJT05fYzg1OTdiZjAtNTg4OS00MmRmLWJmN2MtZTcwMGNiYjcwYmIyIiwicHJvcGVydGllcyI6eyJub3RlSW5kZXgiOjB9LCJpc0VkaXRlZCI6ZmFsc2UsIm1hbnVhbE92ZXJyaWRlIjp7ImlzTWFudWFsbHlPdmVycmlkZGVuIjpmYWxzZSwiY2l0ZXByb2NUZXh0IjoiKEFwYXpvZ2xvdSBldCBhbC4sIDIwMTcpIiwibWFudWFsT3ZlcnJpZGVUZXh0IjoiIn0sImNpdGF0aW9uSXRlbXMiOlt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XX0="/>
          <w:id w:val="1278446415"/>
          <w:placeholder>
            <w:docPart w:val="712761C3C0ECFC4C8B91BEFCB51C0943"/>
          </w:placeholder>
        </w:sdtPr>
        <w:sdtContent>
          <w:r w:rsidR="0047170A" w:rsidRPr="0047170A">
            <w:rPr>
              <w:color w:val="000000"/>
            </w:rPr>
            <w:t>(Apazoglou et al., 2017)</w:t>
          </w:r>
        </w:sdtContent>
      </w:sdt>
      <w:r w:rsidR="00997566" w:rsidRPr="000C6CFF">
        <w:t>.</w:t>
      </w:r>
      <w:r w:rsidR="00997566">
        <w:t xml:space="preserve"> </w:t>
      </w:r>
      <w:r w:rsidR="00997566" w:rsidRPr="000C6CFF">
        <w:t xml:space="preserve">Poorer performance on measures of interoceptive sensitivity has also been described in individuals with other functional disorders </w:t>
      </w:r>
      <w:sdt>
        <w:sdtPr>
          <w:rPr>
            <w:color w:val="000000"/>
          </w:rPr>
          <w:tag w:val="MENDELEY_CITATION_v3_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"/>
          <w:id w:val="-75907111"/>
          <w:placeholder>
            <w:docPart w:val="712761C3C0ECFC4C8B91BEFCB51C0943"/>
          </w:placeholder>
        </w:sdtPr>
        <w:sdtContent>
          <w:r w:rsidR="0047170A" w:rsidRPr="0047170A">
            <w:rPr>
              <w:color w:val="000000"/>
            </w:rPr>
            <w:t xml:space="preserve">(Bogaerts et al., 2010; </w:t>
          </w:r>
          <w:proofErr w:type="spellStart"/>
          <w:r w:rsidR="0047170A" w:rsidRPr="0047170A">
            <w:rPr>
              <w:color w:val="000000"/>
            </w:rPr>
            <w:t>Pollatos</w:t>
          </w:r>
          <w:proofErr w:type="spellEnd"/>
          <w:r w:rsidR="0047170A" w:rsidRPr="0047170A">
            <w:rPr>
              <w:color w:val="000000"/>
            </w:rPr>
            <w:t xml:space="preserve"> et al., 2011),</w:t>
          </w:r>
        </w:sdtContent>
      </w:sdt>
      <w:r w:rsidR="00997566" w:rsidRPr="000C6CFF">
        <w:t xml:space="preserve"> and training in IS </w:t>
      </w:r>
      <w:proofErr w:type="spellStart"/>
      <w:r w:rsidR="00997566">
        <w:t>is</w:t>
      </w:r>
      <w:proofErr w:type="spellEnd"/>
      <w:r w:rsidR="00997566" w:rsidRPr="000C6CFF">
        <w:t xml:space="preserve"> associated with a reduction in functional symptoms in these patients </w:t>
      </w:r>
      <w:sdt>
        <w:sdtPr>
          <w:rPr>
            <w:color w:val="000000"/>
          </w:rPr>
          <w:tag w:val="MENDELEY_CITATION_v3_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"/>
          <w:id w:val="-52704903"/>
          <w:placeholder>
            <w:docPart w:val="712761C3C0ECFC4C8B91BEFCB51C0943"/>
          </w:placeholder>
        </w:sdtPr>
        <w:sdtContent>
          <w:r w:rsidR="0047170A" w:rsidRPr="0047170A">
            <w:rPr>
              <w:color w:val="000000"/>
            </w:rPr>
            <w:t>(Schaefer et al., 2014)</w:t>
          </w:r>
        </w:sdtContent>
      </w:sdt>
      <w:r w:rsidR="00997566" w:rsidRPr="000C6CFF">
        <w:t>.</w:t>
      </w:r>
      <w:r w:rsidR="00997566">
        <w:t xml:space="preserve"> </w:t>
      </w:r>
      <w:r w:rsidR="00997566" w:rsidRPr="000C6CFF">
        <w:t xml:space="preserve">Alexithymia is characterised by difficulties in identifying, describing, and processing emotions and is also prevalent in patients with FNSD </w:t>
      </w:r>
      <w:sdt>
        <w:sdtPr>
          <w:rPr>
            <w:color w:val="000000"/>
          </w:rPr>
          <w:tag w:val="MENDELEY_CITATION_v3_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"/>
          <w:id w:val="-1629775850"/>
          <w:placeholder>
            <w:docPart w:val="712761C3C0ECFC4C8B91BEFCB51C0943"/>
          </w:placeholder>
        </w:sdtPr>
        <w:sdtContent>
          <w:r w:rsidR="0047170A" w:rsidRPr="0047170A">
            <w:rPr>
              <w:color w:val="000000"/>
            </w:rPr>
            <w:t xml:space="preserve">(Demartini, </w:t>
          </w:r>
          <w:proofErr w:type="spellStart"/>
          <w:r w:rsidR="0047170A" w:rsidRPr="0047170A">
            <w:rPr>
              <w:color w:val="000000"/>
            </w:rPr>
            <w:t>Batla</w:t>
          </w:r>
          <w:proofErr w:type="spellEnd"/>
          <w:r w:rsidR="0047170A" w:rsidRPr="0047170A">
            <w:rPr>
              <w:color w:val="000000"/>
            </w:rPr>
            <w:t>, et al., 2014)</w:t>
          </w:r>
        </w:sdtContent>
      </w:sdt>
      <w:r w:rsidR="00997566">
        <w:t xml:space="preserve">. </w:t>
      </w:r>
    </w:p>
    <w:p w14:paraId="3C145888" w14:textId="5E9F3434" w:rsidR="00997566" w:rsidRPr="000C6CFF" w:rsidRDefault="00997566" w:rsidP="00997566">
      <w:r w:rsidRPr="000C6CFF">
        <w:t>Mindfulness refers to conscious attention in the present moment without judgment</w:t>
      </w:r>
      <w:r>
        <w:t xml:space="preserve"> </w:t>
      </w:r>
      <w:sdt>
        <w:sdtPr>
          <w:rPr>
            <w:color w:val="000000"/>
          </w:rPr>
          <w:tag w:val="MENDELEY_CITATION_v3_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"/>
          <w:id w:val="685563717"/>
          <w:placeholder>
            <w:docPart w:val="712761C3C0ECFC4C8B91BEFCB51C0943"/>
          </w:placeholder>
        </w:sdtPr>
        <w:sdtContent>
          <w:r w:rsidR="0047170A" w:rsidRPr="0047170A">
            <w:rPr>
              <w:color w:val="000000"/>
            </w:rPr>
            <w:t>(Kabat-Zinn, 2003)</w:t>
          </w:r>
        </w:sdtContent>
      </w:sdt>
      <w:r>
        <w:t>. It can</w:t>
      </w:r>
      <w:r w:rsidRPr="000C6CFF">
        <w:t xml:space="preserve"> also be conceptualised in </w:t>
      </w:r>
      <w:r>
        <w:t>various</w:t>
      </w:r>
      <w:r w:rsidRPr="000C6CFF">
        <w:t xml:space="preserve"> ways, for example</w:t>
      </w:r>
      <w:r>
        <w:t>,</w:t>
      </w:r>
      <w:r w:rsidRPr="000C6CFF">
        <w:t xml:space="preserve"> as an intervention, </w:t>
      </w:r>
      <w:r>
        <w:t>state,</w:t>
      </w:r>
      <w:r w:rsidRPr="000C6CFF">
        <w:t xml:space="preserve"> property</w:t>
      </w:r>
      <w:r>
        <w:t>, or</w:t>
      </w:r>
      <w:r w:rsidRPr="000C6CFF">
        <w:t xml:space="preserve"> mediation technique </w:t>
      </w:r>
      <w:sdt>
        <w:sdtPr>
          <w:tag w:val="MENDELEY_CITATION_v3_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"/>
          <w:id w:val="1753539622"/>
          <w:placeholder>
            <w:docPart w:val="712761C3C0ECFC4C8B91BEFCB51C0943"/>
          </w:placeholder>
        </w:sdtPr>
        <w:sdtContent>
          <w:r w:rsidR="0047170A">
            <w:rPr>
              <w:rFonts w:eastAsia="Times New Roman"/>
            </w:rPr>
            <w:t>(</w:t>
          </w:r>
          <w:proofErr w:type="spellStart"/>
          <w:r w:rsidR="0047170A">
            <w:rPr>
              <w:rFonts w:eastAsia="Times New Roman"/>
            </w:rPr>
            <w:t>Vago</w:t>
          </w:r>
          <w:proofErr w:type="spellEnd"/>
          <w:r w:rsidR="0047170A">
            <w:rPr>
              <w:rFonts w:eastAsia="Times New Roman"/>
            </w:rPr>
            <w:t xml:space="preserve"> &amp; </w:t>
          </w:r>
          <w:proofErr w:type="spellStart"/>
          <w:r w:rsidR="0047170A">
            <w:rPr>
              <w:rFonts w:eastAsia="Times New Roman"/>
            </w:rPr>
            <w:t>Silbersweig</w:t>
          </w:r>
          <w:proofErr w:type="spellEnd"/>
          <w:r w:rsidR="0047170A">
            <w:rPr>
              <w:rFonts w:eastAsia="Times New Roman"/>
            </w:rPr>
            <w:t>, 2012)</w:t>
          </w:r>
        </w:sdtContent>
      </w:sdt>
      <w:r w:rsidRPr="000C6CFF">
        <w:t>.</w:t>
      </w:r>
      <w:r>
        <w:t xml:space="preserve"> </w:t>
      </w:r>
      <w:r w:rsidRPr="000C6CFF">
        <w:t xml:space="preserve">In FNSD and psychotherapeutic approaches, the concept involves an accepting attitude towards </w:t>
      </w:r>
      <w:r w:rsidR="00352F7F">
        <w:t>one's</w:t>
      </w:r>
      <w:r w:rsidRPr="000C6CFF">
        <w:t xml:space="preserve"> thoughts and feelings that can help regulate </w:t>
      </w:r>
      <w:r w:rsidR="00352F7F">
        <w:t>one's</w:t>
      </w:r>
      <w:r w:rsidRPr="000C6CFF">
        <w:t xml:space="preserve"> attention better </w:t>
      </w:r>
      <w:sdt>
        <w:sdtPr>
          <w:rPr>
            <w:color w:val="000000"/>
          </w:rPr>
          <w:tag w:val="MENDELEY_CITATION_v3_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"/>
          <w:id w:val="-622231773"/>
          <w:placeholder>
            <w:docPart w:val="712761C3C0ECFC4C8B91BEFCB51C0943"/>
          </w:placeholder>
        </w:sdtPr>
        <w:sdtContent>
          <w:r w:rsidR="0047170A" w:rsidRPr="0047170A">
            <w:rPr>
              <w:color w:val="000000"/>
            </w:rPr>
            <w:t>(Bishop et al., 2006)</w:t>
          </w:r>
        </w:sdtContent>
      </w:sdt>
      <w:r w:rsidRPr="000C6CFF">
        <w:t>.</w:t>
      </w:r>
      <w:r>
        <w:t xml:space="preserve"> </w:t>
      </w:r>
      <w:sdt>
        <w:sdtPr>
          <w:rPr>
            <w:color w:val="000000"/>
          </w:rPr>
          <w:tag w:val="MENDELEY_CITATION_v3_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"/>
          <w:id w:val="-1476438959"/>
          <w:placeholder>
            <w:docPart w:val="712761C3C0ECFC4C8B91BEFCB51C0943"/>
          </w:placeholder>
        </w:sdtPr>
        <w:sdtContent>
          <w:proofErr w:type="spellStart"/>
          <w:r w:rsidR="0047170A" w:rsidRPr="0047170A">
            <w:rPr>
              <w:color w:val="000000"/>
            </w:rPr>
            <w:t>Esch</w:t>
          </w:r>
          <w:proofErr w:type="spellEnd"/>
          <w:r w:rsidR="0047170A" w:rsidRPr="0047170A">
            <w:rPr>
              <w:color w:val="000000"/>
            </w:rPr>
            <w:t xml:space="preserve"> (2014)</w:t>
          </w:r>
        </w:sdtContent>
      </w:sdt>
      <w:r w:rsidRPr="000C6CFF">
        <w:t xml:space="preserve"> summarised that mindfulness </w:t>
      </w:r>
      <w:r>
        <w:t>affects attention, self-regulation,</w:t>
      </w:r>
      <w:r w:rsidRPr="000C6CFF">
        <w:t xml:space="preserve"> and interoception.</w:t>
      </w:r>
      <w:r>
        <w:t xml:space="preserve"> </w:t>
      </w:r>
      <w:r w:rsidRPr="000C6CFF">
        <w:t>Interoception can be understood as one of many mechanisms of action of mindfulness, which can be a helpful modulator of stress</w:t>
      </w:r>
      <w:r>
        <w:t xml:space="preserve">. </w:t>
      </w:r>
      <w:r w:rsidRPr="000C6CFF">
        <w:t xml:space="preserve">The numerous regulatory processes </w:t>
      </w:r>
      <w:r>
        <w:t xml:space="preserve">within </w:t>
      </w:r>
      <w:r w:rsidRPr="000C6CFF">
        <w:t xml:space="preserve">mindfulness can promote the experience of control, </w:t>
      </w:r>
      <w:r w:rsidR="00352F7F">
        <w:t>one's</w:t>
      </w:r>
      <w:r w:rsidRPr="000C6CFF">
        <w:t xml:space="preserve"> understanding of the body, self-management and self-efficacy of an individual </w:t>
      </w:r>
      <w:sdt>
        <w:sdtPr>
          <w:tag w:val="MENDELEY_CITATION_v3_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"/>
          <w:id w:val="-653679880"/>
          <w:placeholder>
            <w:docPart w:val="712761C3C0ECFC4C8B91BEFCB51C0943"/>
          </w:placeholder>
        </w:sdtPr>
        <w:sdtContent>
          <w:r w:rsidR="0047170A">
            <w:rPr>
              <w:rFonts w:eastAsia="Times New Roman"/>
            </w:rPr>
            <w:t xml:space="preserve">(Schulz &amp; </w:t>
          </w:r>
          <w:proofErr w:type="spellStart"/>
          <w:r w:rsidR="0047170A">
            <w:rPr>
              <w:rFonts w:eastAsia="Times New Roman"/>
            </w:rPr>
            <w:t>Vögele</w:t>
          </w:r>
          <w:proofErr w:type="spellEnd"/>
          <w:r w:rsidR="0047170A">
            <w:rPr>
              <w:rFonts w:eastAsia="Times New Roman"/>
            </w:rPr>
            <w:t>, 2015)</w:t>
          </w:r>
        </w:sdtContent>
      </w:sdt>
      <w:r w:rsidRPr="000C6CFF">
        <w:t>.</w:t>
      </w:r>
    </w:p>
    <w:p w14:paraId="73952DFF" w14:textId="7497B6C5" w:rsidR="00997566" w:rsidRPr="000C6CFF" w:rsidRDefault="00997566" w:rsidP="00997566">
      <w:r w:rsidRPr="000C6CFF">
        <w:t>Self-awareness has been linked to improved adherence to treatment plans and better self-management of symptoms in individuals with epilepsy</w:t>
      </w:r>
      <w:r>
        <w:t xml:space="preserve">. </w:t>
      </w:r>
      <w:r w:rsidRPr="000C6CFF">
        <w:t xml:space="preserve">The effect of </w:t>
      </w:r>
      <w:r>
        <w:t xml:space="preserve">a </w:t>
      </w:r>
      <w:r w:rsidRPr="000C6CFF">
        <w:t xml:space="preserve">resource-oriented and mindfulness-based intervention in patients with seizure disorders </w:t>
      </w:r>
      <w:r>
        <w:t>led to</w:t>
      </w:r>
      <w:r w:rsidRPr="000C6CFF">
        <w:t xml:space="preserve"> an increase in quality of life.</w:t>
      </w:r>
      <w:r>
        <w:t xml:space="preserve"> </w:t>
      </w:r>
      <w:r w:rsidRPr="000C6CFF">
        <w:t xml:space="preserve">This intervention was intended to support the development of self-efficacy and mastery by strengthening existing competencies and </w:t>
      </w:r>
      <w:r w:rsidRPr="000C6CFF">
        <w:lastRenderedPageBreak/>
        <w:t>support systems rather than focusing on deficits (</w:t>
      </w:r>
      <w:r>
        <w:t>resource orientation</w:t>
      </w:r>
      <w:r w:rsidRPr="000C6CFF">
        <w:t xml:space="preserve">) and by emphasising the practice of acceptance of uncomfortable states (mindfulness) </w:t>
      </w:r>
      <w:sdt>
        <w:sdtPr>
          <w:rPr>
            <w:color w:val="000000"/>
          </w:rPr>
          <w:tag w:val="MENDELEY_CITATION_v3_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"/>
          <w:id w:val="-602953957"/>
          <w:placeholder>
            <w:docPart w:val="712761C3C0ECFC4C8B91BEFCB51C0943"/>
          </w:placeholder>
        </w:sdtPr>
        <w:sdtContent>
          <w:r w:rsidR="0047170A" w:rsidRPr="0047170A">
            <w:rPr>
              <w:color w:val="000000"/>
            </w:rPr>
            <w:t>(Michaelis et al., 2018)</w:t>
          </w:r>
        </w:sdtContent>
      </w:sdt>
      <w:r>
        <w:rPr>
          <w:color w:val="000000"/>
        </w:rPr>
        <w:t>.</w:t>
      </w:r>
    </w:p>
    <w:p w14:paraId="3D12929D" w14:textId="0B2CF82B" w:rsidR="00997566" w:rsidRDefault="00997566" w:rsidP="00997566">
      <w:r w:rsidRPr="000C6CFF">
        <w:t xml:space="preserve">Such an approach can be helpful in the context of being able to detect the warning signs of the onset of symptoms </w:t>
      </w:r>
      <w:sdt>
        <w:sdtPr>
          <w:rPr>
            <w:color w:val="000000"/>
          </w:rPr>
          <w:tag w:val="MENDELEY_CITATION_v3_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"/>
          <w:id w:val="-910150418"/>
          <w:placeholder>
            <w:docPart w:val="712761C3C0ECFC4C8B91BEFCB51C0943"/>
          </w:placeholder>
        </w:sdtPr>
        <w:sdtContent>
          <w:r w:rsidR="0047170A" w:rsidRPr="0047170A">
            <w:rPr>
              <w:color w:val="000000"/>
            </w:rPr>
            <w:t>(</w:t>
          </w:r>
          <w:proofErr w:type="spellStart"/>
          <w:r w:rsidR="0047170A" w:rsidRPr="0047170A">
            <w:rPr>
              <w:color w:val="000000"/>
            </w:rPr>
            <w:t>Kotwas</w:t>
          </w:r>
          <w:proofErr w:type="spellEnd"/>
          <w:r w:rsidR="0047170A" w:rsidRPr="0047170A">
            <w:rPr>
              <w:color w:val="000000"/>
            </w:rPr>
            <w:t xml:space="preserve"> et al., 2016)</w:t>
          </w:r>
        </w:sdtContent>
      </w:sdt>
      <w:r w:rsidRPr="000C6CFF">
        <w:t>.</w:t>
      </w:r>
      <w:r>
        <w:t xml:space="preserve"> </w:t>
      </w:r>
      <w:r w:rsidRPr="000C6CFF">
        <w:t xml:space="preserve">For example, despite the spontaneous occurrence of seizures, a review found that 17% to 41% of people with epilepsy </w:t>
      </w:r>
      <w:r>
        <w:t>could</w:t>
      </w:r>
      <w:r w:rsidRPr="000C6CFF">
        <w:t xml:space="preserve"> predict typical triggers beyond chance </w:t>
      </w:r>
      <w:sdt>
        <w:sdtPr>
          <w:rPr>
            <w:color w:val="000000"/>
          </w:rPr>
          <w:tag w:val="MENDELEY_CITATION_v3_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"/>
          <w:id w:val="-1872983966"/>
          <w:placeholder>
            <w:docPart w:val="712761C3C0ECFC4C8B91BEFCB51C0943"/>
          </w:placeholder>
        </w:sdtPr>
        <w:sdtContent>
          <w:r w:rsidR="0047170A" w:rsidRPr="0047170A">
            <w:rPr>
              <w:color w:val="000000"/>
            </w:rPr>
            <w:t>(Mackay et al., 2017)</w:t>
          </w:r>
        </w:sdtContent>
      </w:sdt>
      <w:r w:rsidRPr="000C6CFF">
        <w:t>.</w:t>
      </w:r>
      <w:r>
        <w:t xml:space="preserve"> </w:t>
      </w:r>
      <w:r w:rsidRPr="000C6CFF">
        <w:t>In a case series on the effects of a mindfulness-based intervention on women with FS, the p</w:t>
      </w:r>
      <w:r>
        <w:t>atients</w:t>
      </w:r>
      <w:r w:rsidRPr="000C6CFF">
        <w:t xml:space="preserve"> learned to regulate their emotions and behaviour, and a decrease in their seizures was noted at the end of the intervention</w:t>
      </w:r>
      <w:r>
        <w:t xml:space="preserve"> </w:t>
      </w:r>
      <w:sdt>
        <w:sdtPr>
          <w:rPr>
            <w:color w:val="000000"/>
          </w:rPr>
          <w:tag w:val="MENDELEY_CITATION_v3_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"/>
          <w:id w:val="-46455649"/>
          <w:placeholder>
            <w:docPart w:val="712761C3C0ECFC4C8B91BEFCB51C0943"/>
          </w:placeholder>
        </w:sdtPr>
        <w:sdtContent>
          <w:r w:rsidR="0047170A" w:rsidRPr="0047170A">
            <w:rPr>
              <w:color w:val="000000"/>
            </w:rPr>
            <w:t>(</w:t>
          </w:r>
          <w:proofErr w:type="spellStart"/>
          <w:r w:rsidR="0047170A" w:rsidRPr="0047170A">
            <w:rPr>
              <w:color w:val="000000"/>
            </w:rPr>
            <w:t>Baslet</w:t>
          </w:r>
          <w:proofErr w:type="spellEnd"/>
          <w:r w:rsidR="0047170A" w:rsidRPr="0047170A">
            <w:rPr>
              <w:color w:val="000000"/>
            </w:rPr>
            <w:t xml:space="preserve"> et al., 2015)</w:t>
          </w:r>
        </w:sdtContent>
      </w:sdt>
      <w:r w:rsidRPr="000C6CFF">
        <w:t>.</w:t>
      </w:r>
      <w:r>
        <w:t xml:space="preserve"> </w:t>
      </w:r>
      <w:r w:rsidRPr="000C6CFF">
        <w:t>The authors noted that mindfulness-based therapy may be particularly important because of the lack of emotion regulation in people with FS.</w:t>
      </w:r>
      <w:r>
        <w:t xml:space="preserve"> </w:t>
      </w:r>
      <w:r w:rsidRPr="000C6CFF">
        <w:t xml:space="preserve">In FNSD, higher levels of emotional awareness have been associated with better functional outcomes and reduced symptom severity </w:t>
      </w:r>
      <w:sdt>
        <w:sdtPr>
          <w:tag w:val="MENDELEY_CITATION_v3_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"/>
          <w:id w:val="1395241428"/>
          <w:placeholder>
            <w:docPart w:val="712761C3C0ECFC4C8B91BEFCB51C0943"/>
          </w:placeholder>
        </w:sdtPr>
        <w:sdtContent>
          <w:r w:rsidR="0047170A">
            <w:rPr>
              <w:rFonts w:eastAsia="Times New Roman"/>
            </w:rPr>
            <w:t>(Perez &amp; LaFrance Jr., 2016)</w:t>
          </w:r>
        </w:sdtContent>
      </w:sdt>
      <w:r w:rsidRPr="000C6CFF">
        <w:t>.</w:t>
      </w:r>
      <w:r>
        <w:t xml:space="preserve"> </w:t>
      </w:r>
      <w:r w:rsidRPr="000C6CFF">
        <w:t xml:space="preserve">Mindful behaviour and self-awareness can help in the </w:t>
      </w:r>
      <w:r>
        <w:t>present moment</w:t>
      </w:r>
      <w:r w:rsidRPr="000C6CFF">
        <w:t xml:space="preserve"> to </w:t>
      </w:r>
      <w:r>
        <w:t xml:space="preserve">accept and </w:t>
      </w:r>
      <w:r w:rsidRPr="000C6CFF">
        <w:t xml:space="preserve">gain control of event-related stimuli (e.g., body sensations, thoughts), which in turn can affect an </w:t>
      </w:r>
      <w:r w:rsidR="00352F7F">
        <w:t>individual's</w:t>
      </w:r>
      <w:r w:rsidRPr="000C6CFF">
        <w:t xml:space="preserve"> self-efficacy in</w:t>
      </w:r>
      <w:r>
        <w:t xml:space="preserve"> the long term</w:t>
      </w:r>
      <w:r w:rsidRPr="000C6CFF">
        <w:t xml:space="preserve"> </w:t>
      </w:r>
      <w:sdt>
        <w:sdtPr>
          <w:rPr>
            <w:color w:val="000000"/>
          </w:rPr>
          <w:tag w:val="MENDELEY_CITATION_v3_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"/>
          <w:id w:val="642862950"/>
          <w:placeholder>
            <w:docPart w:val="712761C3C0ECFC4C8B91BEFCB51C0943"/>
          </w:placeholder>
        </w:sdtPr>
        <w:sdtContent>
          <w:r w:rsidR="0047170A" w:rsidRPr="0047170A">
            <w:rPr>
              <w:color w:val="000000"/>
            </w:rPr>
            <w:t>(Lundgren et al., 2008)</w:t>
          </w:r>
        </w:sdtContent>
      </w:sdt>
      <w:r>
        <w:rPr>
          <w:color w:val="000000"/>
        </w:rPr>
        <w:t>.</w:t>
      </w:r>
    </w:p>
    <w:p w14:paraId="0C8F57FF" w14:textId="38731A89" w:rsidR="00997566" w:rsidRDefault="00997566" w:rsidP="00997566">
      <w:r w:rsidRPr="000C6CFF">
        <w:t xml:space="preserve">The above concepts of self-awareness play a critical role in </w:t>
      </w:r>
      <w:r>
        <w:t xml:space="preserve">the </w:t>
      </w:r>
      <w:r w:rsidRPr="000C6CFF">
        <w:t>health management</w:t>
      </w:r>
      <w:r>
        <w:t xml:space="preserve"> of</w:t>
      </w:r>
      <w:r w:rsidRPr="000C6CFF">
        <w:t xml:space="preserve"> FNSDs, </w:t>
      </w:r>
      <w:r>
        <w:t>enabling</w:t>
      </w:r>
      <w:r w:rsidRPr="000C6CFF">
        <w:t xml:space="preserve"> patients to identify their symptoms, recognise triggers, and engage in effective self-management strategies </w:t>
      </w:r>
      <w:sdt>
        <w:sdtPr>
          <w:rPr>
            <w:color w:val="000000"/>
          </w:rPr>
          <w:tag w:val="MENDELEY_CITATION_v3_eyJjaXRhdGlvbklEIjoiTUVOREVMRVlfQ0lUQVRJT05fYjhlOTYzZmEtNzkzYS00NWY0LTkwMTktNDk2ZGMxNDY2MzlhIiwicHJvcGVydGllcyI6eyJub3RlSW5kZXgiOjB9LCJpc0VkaXRlZCI6ZmFsc2UsIm1hbnVhbE92ZXJyaWRlIjp7ImlzTWFudWFsbHlPdmVycmlkZGVuIjpmYWxzZSwiY2l0ZXByb2NUZXh0IjoiKEx1ZHdpZyBldCBhbC4sIDIwMTg7IFBpY2sgZXQgYWwuLCAyMDE5KSIsIm1hbnVhbE92ZXJyaWRlVGV4dCI6IiJ9LCJjaXRhdGlvbkl0ZW1zIjpb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"/>
          <w:id w:val="1784607361"/>
          <w:placeholder>
            <w:docPart w:val="712761C3C0ECFC4C8B91BEFCB51C0943"/>
          </w:placeholder>
        </w:sdtPr>
        <w:sdtContent>
          <w:r w:rsidR="0047170A" w:rsidRPr="0047170A">
            <w:rPr>
              <w:color w:val="000000"/>
            </w:rPr>
            <w:t>(Ludwig et al., 2018; Pick et al., 2019)</w:t>
          </w:r>
        </w:sdtContent>
      </w:sdt>
      <w:r w:rsidRPr="000C6CFF">
        <w:t>.</w:t>
      </w:r>
      <w:r>
        <w:t xml:space="preserve"> </w:t>
      </w:r>
      <w:r w:rsidRPr="000C6CFF">
        <w:t xml:space="preserve">Several objective and self-report measures to assess self-perception or interoceptive sensitivity exist and </w:t>
      </w:r>
      <w:r>
        <w:t>are</w:t>
      </w:r>
      <w:r w:rsidRPr="000C6CFF">
        <w:t xml:space="preserve"> commonly utilised in FNSD research, such as the heartbeat detection test</w:t>
      </w:r>
      <w:r>
        <w:t xml:space="preserve">  </w:t>
      </w:r>
      <w:sdt>
        <w:sdtPr>
          <w:rPr>
            <w:color w:val="000000"/>
          </w:rPr>
          <w:tag w:val="MENDELEY_CITATION_v3_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"/>
          <w:id w:val="667523951"/>
          <w:placeholder>
            <w:docPart w:val="712761C3C0ECFC4C8B91BEFCB51C0943"/>
          </w:placeholder>
        </w:sdtPr>
        <w:sdtContent>
          <w:r w:rsidR="0047170A" w:rsidRPr="0047170A">
            <w:rPr>
              <w:color w:val="000000"/>
            </w:rPr>
            <w:t>(W. E. Whitehead et al., 1977)</w:t>
          </w:r>
        </w:sdtContent>
      </w:sdt>
      <w:r w:rsidRPr="000C6CFF">
        <w:t xml:space="preserve"> and the Toronto alexithymia scale</w:t>
      </w:r>
      <w:r>
        <w:t xml:space="preserve"> </w:t>
      </w:r>
      <w:sdt>
        <w:sdtPr>
          <w:rPr>
            <w:color w:val="000000"/>
          </w:rPr>
          <w:tag w:val="MENDELEY_CITATION_v3_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"/>
          <w:id w:val="638077036"/>
          <w:placeholder>
            <w:docPart w:val="712761C3C0ECFC4C8B91BEFCB51C0943"/>
          </w:placeholder>
        </w:sdtPr>
        <w:sdtContent>
          <w:r w:rsidR="0047170A" w:rsidRPr="0047170A">
            <w:rPr>
              <w:color w:val="000000"/>
            </w:rPr>
            <w:t>(</w:t>
          </w:r>
          <w:proofErr w:type="spellStart"/>
          <w:r w:rsidR="0047170A" w:rsidRPr="0047170A">
            <w:rPr>
              <w:color w:val="000000"/>
            </w:rPr>
            <w:t>Leising</w:t>
          </w:r>
          <w:proofErr w:type="spellEnd"/>
          <w:r w:rsidR="0047170A" w:rsidRPr="0047170A">
            <w:rPr>
              <w:color w:val="000000"/>
            </w:rPr>
            <w:t xml:space="preserve"> et al., 2009)</w:t>
          </w:r>
        </w:sdtContent>
      </w:sdt>
      <w:r w:rsidRPr="000C6CFF">
        <w:t>.</w:t>
      </w:r>
      <w:r>
        <w:t xml:space="preserve"> </w:t>
      </w:r>
      <w:r w:rsidRPr="000C6CFF">
        <w:t xml:space="preserve">Assessing these concepts has helped clinicians better understand the complex emotional and </w:t>
      </w:r>
      <w:r>
        <w:t>bodily</w:t>
      </w:r>
      <w:r w:rsidRPr="000C6CFF">
        <w:t xml:space="preserve"> experiences that contribute to the presentation and course of the disorder. </w:t>
      </w:r>
    </w:p>
    <w:p w14:paraId="722F85A2" w14:textId="071603A1" w:rsidR="00997566" w:rsidRPr="008D7B69" w:rsidRDefault="00997566" w:rsidP="008D7B69">
      <w:pPr>
        <w:rPr>
          <w:u w:val="single"/>
        </w:rPr>
      </w:pPr>
      <w:r w:rsidRPr="008D7B69">
        <w:rPr>
          <w:u w:val="single"/>
        </w:rPr>
        <w:t>Stigma</w:t>
      </w:r>
    </w:p>
    <w:p w14:paraId="24269A4E" w14:textId="3A844D58" w:rsidR="00997566" w:rsidRPr="009664F3" w:rsidRDefault="00997566" w:rsidP="00997566">
      <w:r w:rsidRPr="009664F3">
        <w:t xml:space="preserve">Stigma is a complex and multifaceted concept that refers to the labelling, stereotyping, and discrimination experienced by individuals </w:t>
      </w:r>
      <w:r>
        <w:t>with</w:t>
      </w:r>
      <w:r w:rsidRPr="009664F3">
        <w:t xml:space="preserve"> a discredited attribute, such as a medical condition or disability </w:t>
      </w:r>
      <w:sdt>
        <w:sdtPr>
          <w:tag w:val="MENDELEY_CITATION_v3_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"/>
          <w:id w:val="-578980171"/>
          <w:placeholder>
            <w:docPart w:val="712761C3C0ECFC4C8B91BEFCB51C0943"/>
          </w:placeholder>
        </w:sdtPr>
        <w:sdtContent>
          <w:r w:rsidR="0047170A">
            <w:rPr>
              <w:rFonts w:eastAsia="Times New Roman"/>
            </w:rPr>
            <w:t>(Link &amp; Phelan, 2001)</w:t>
          </w:r>
        </w:sdtContent>
      </w:sdt>
      <w:r>
        <w:t>.</w:t>
      </w:r>
      <w:r w:rsidRPr="009664F3">
        <w:t xml:space="preserve"> </w:t>
      </w:r>
    </w:p>
    <w:p w14:paraId="77FA5EF3" w14:textId="064E0F97" w:rsidR="00997566" w:rsidRPr="009664F3" w:rsidRDefault="00997566" w:rsidP="00997566">
      <w:r w:rsidRPr="009664F3">
        <w:t>Stigmatisation has been described in several steps.</w:t>
      </w:r>
      <w:r>
        <w:t xml:space="preserve"> </w:t>
      </w:r>
      <w:r w:rsidRPr="009664F3">
        <w:t>The first step involves the identification of salient differences and associating them with negative attributes, thus creating a stereotype.</w:t>
      </w:r>
      <w:r>
        <w:t xml:space="preserve"> </w:t>
      </w:r>
      <w:r w:rsidRPr="009664F3">
        <w:t>Individuals affected by these differences are distinguished from others and labelled based on the separating characteristic.</w:t>
      </w:r>
      <w:r>
        <w:t xml:space="preserve"> </w:t>
      </w:r>
      <w:r w:rsidRPr="009664F3">
        <w:t xml:space="preserve">For instance, people may </w:t>
      </w:r>
      <w:r w:rsidRPr="009664F3">
        <w:lastRenderedPageBreak/>
        <w:t xml:space="preserve">be referred to as </w:t>
      </w:r>
      <w:r w:rsidR="00352F7F">
        <w:t>'</w:t>
      </w:r>
      <w:r w:rsidRPr="009664F3">
        <w:t>epileptic</w:t>
      </w:r>
      <w:r w:rsidR="00352F7F">
        <w:t>'</w:t>
      </w:r>
      <w:r w:rsidRPr="009664F3">
        <w:t xml:space="preserve"> rather than having </w:t>
      </w:r>
      <w:r w:rsidR="00352F7F">
        <w:t>'</w:t>
      </w:r>
      <w:r w:rsidRPr="009664F3">
        <w:t>epilepsy</w:t>
      </w:r>
      <w:r w:rsidR="00352F7F">
        <w:t>'</w:t>
      </w:r>
      <w:r w:rsidRPr="009664F3">
        <w:t xml:space="preserve"> </w:t>
      </w:r>
      <w:sdt>
        <w:sdtPr>
          <w:tag w:val="MENDELEY_CITATION_v3_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"/>
          <w:id w:val="-24561901"/>
          <w:placeholder>
            <w:docPart w:val="712761C3C0ECFC4C8B91BEFCB51C0943"/>
          </w:placeholder>
        </w:sdtPr>
        <w:sdtContent>
          <w:r w:rsidR="0047170A">
            <w:rPr>
              <w:rFonts w:eastAsia="Times New Roman"/>
            </w:rPr>
            <w:t>(</w:t>
          </w:r>
          <w:proofErr w:type="spellStart"/>
          <w:r w:rsidR="0047170A">
            <w:rPr>
              <w:rFonts w:eastAsia="Times New Roman"/>
            </w:rPr>
            <w:t>Estroff</w:t>
          </w:r>
          <w:proofErr w:type="spellEnd"/>
          <w:r w:rsidR="0047170A">
            <w:rPr>
              <w:rFonts w:eastAsia="Times New Roman"/>
            </w:rPr>
            <w:t xml:space="preserve"> et al., 2004; Link &amp; Phelan, 2001)</w:t>
          </w:r>
        </w:sdtContent>
      </w:sdt>
      <w:r>
        <w:t xml:space="preserve">. </w:t>
      </w:r>
      <w:r w:rsidRPr="009664F3">
        <w:t>Eventually, this process can lead to</w:t>
      </w:r>
      <w:r>
        <w:t xml:space="preserve"> discrimination</w:t>
      </w:r>
      <w:r w:rsidRPr="009664F3">
        <w:t xml:space="preserve"> </w:t>
      </w:r>
      <w:sdt>
        <w:sdtPr>
          <w:rPr>
            <w:color w:val="000000"/>
          </w:rPr>
          <w:tag w:val="MENDELEY_CITATION_v3_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"/>
          <w:id w:val="-1214644196"/>
          <w:placeholder>
            <w:docPart w:val="712761C3C0ECFC4C8B91BEFCB51C0943"/>
          </w:placeholder>
        </w:sdtPr>
        <w:sdtContent>
          <w:r w:rsidR="0047170A" w:rsidRPr="0047170A">
            <w:rPr>
              <w:color w:val="000000"/>
            </w:rPr>
            <w:t>(Byrne, 2000)</w:t>
          </w:r>
        </w:sdtContent>
      </w:sdt>
      <w:r w:rsidRPr="009664F3">
        <w:t>.</w:t>
      </w:r>
    </w:p>
    <w:p w14:paraId="7E7AF3D8" w14:textId="66185244" w:rsidR="00997566" w:rsidRPr="009664F3" w:rsidRDefault="00997566" w:rsidP="00997566">
      <w:r w:rsidRPr="009664F3">
        <w:t>Several consequences of stigmatisation are evident</w:t>
      </w:r>
      <w:r>
        <w:t>. One</w:t>
      </w:r>
      <w:r w:rsidRPr="009664F3">
        <w:t xml:space="preserve"> such effect is </w:t>
      </w:r>
      <w:r>
        <w:t>increased</w:t>
      </w:r>
      <w:r w:rsidRPr="009664F3">
        <w:t xml:space="preserve"> psychological and physical distress </w:t>
      </w:r>
      <w:sdt>
        <w:sdtPr>
          <w:rPr>
            <w:color w:val="000000"/>
          </w:rPr>
          <w:tag w:val="MENDELEY_CITATION_v3_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"/>
          <w:id w:val="1665042315"/>
          <w:placeholder>
            <w:docPart w:val="712761C3C0ECFC4C8B91BEFCB51C0943"/>
          </w:placeholder>
        </w:sdtPr>
        <w:sdtContent>
          <w:r w:rsidR="0047170A">
            <w:rPr>
              <w:rFonts w:eastAsia="Times New Roman"/>
            </w:rPr>
            <w:t>(Major &amp; O'Brien, 2005)</w:t>
          </w:r>
        </w:sdtContent>
      </w:sdt>
      <w:r w:rsidRPr="009664F3">
        <w:t>.</w:t>
      </w:r>
      <w:r>
        <w:t xml:space="preserve"> </w:t>
      </w:r>
      <w:r w:rsidRPr="009664F3">
        <w:t>Stigma has also been negatively related to self-efficacy and social support</w:t>
      </w:r>
      <w:r>
        <w:t xml:space="preserve"> </w:t>
      </w:r>
      <w:sdt>
        <w:sdtPr>
          <w:rPr>
            <w:color w:val="000000"/>
          </w:rPr>
          <w:tag w:val="MENDELEY_CITATION_v3_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"/>
          <w:id w:val="-160926702"/>
          <w:placeholder>
            <w:docPart w:val="712761C3C0ECFC4C8B91BEFCB51C0943"/>
          </w:placeholder>
        </w:sdtPr>
        <w:sdtContent>
          <w:r w:rsidR="0047170A" w:rsidRPr="0047170A">
            <w:rPr>
              <w:color w:val="000000"/>
            </w:rPr>
            <w:t>(R. Smith et al., 2008)</w:t>
          </w:r>
        </w:sdtContent>
      </w:sdt>
      <w:r w:rsidRPr="009664F3">
        <w:t>; and positively related to dysfunctional coping strategies</w:t>
      </w:r>
      <w:r>
        <w:t xml:space="preserve"> </w:t>
      </w:r>
      <w:sdt>
        <w:sdtPr>
          <w:rPr>
            <w:color w:val="000000"/>
          </w:rPr>
          <w:tag w:val="MENDELEY_CITATION_v3_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"/>
          <w:id w:val="-719134188"/>
          <w:placeholder>
            <w:docPart w:val="712761C3C0ECFC4C8B91BEFCB51C0943"/>
          </w:placeholder>
        </w:sdtPr>
        <w:sdtContent>
          <w:r w:rsidR="0047170A" w:rsidRPr="0047170A">
            <w:rPr>
              <w:color w:val="000000"/>
            </w:rPr>
            <w:t>(</w:t>
          </w:r>
          <w:proofErr w:type="spellStart"/>
          <w:r w:rsidR="0047170A" w:rsidRPr="0047170A">
            <w:rPr>
              <w:color w:val="000000"/>
            </w:rPr>
            <w:t>Kleim</w:t>
          </w:r>
          <w:proofErr w:type="spellEnd"/>
          <w:r w:rsidR="0047170A" w:rsidRPr="0047170A">
            <w:rPr>
              <w:color w:val="000000"/>
            </w:rPr>
            <w:t xml:space="preserve"> et al., 2008)</w:t>
          </w:r>
        </w:sdtContent>
      </w:sdt>
      <w:r>
        <w:rPr>
          <w:color w:val="000000"/>
        </w:rPr>
        <w:t>.</w:t>
      </w:r>
      <w:r w:rsidRPr="009664F3">
        <w:t xml:space="preserve"> </w:t>
      </w:r>
    </w:p>
    <w:p w14:paraId="4DE9A166" w14:textId="77777777" w:rsidR="00997566" w:rsidRPr="009664F3" w:rsidRDefault="00997566" w:rsidP="00997566">
      <w:r w:rsidRPr="009664F3">
        <w:t xml:space="preserve">Stigma against patients with FNSDs present obstacles to diagnosis, treatment, and </w:t>
      </w:r>
      <w:r>
        <w:t>research</w:t>
      </w:r>
      <w:r w:rsidRPr="009664F3">
        <w:t>.</w:t>
      </w:r>
      <w:r>
        <w:t xml:space="preserve"> </w:t>
      </w:r>
      <w:r w:rsidRPr="009664F3">
        <w:t xml:space="preserve">Current understanding of stigma in FNSD comes from surveys, interviews, or focus groups, documenting </w:t>
      </w:r>
      <w:r>
        <w:t xml:space="preserve">the </w:t>
      </w:r>
      <w:r w:rsidRPr="009664F3">
        <w:t>frustration experienced by providers and distressing healthcare interactions experienced by patients.</w:t>
      </w:r>
    </w:p>
    <w:p w14:paraId="16E1B0AE" w14:textId="6646F822" w:rsidR="00997566" w:rsidRPr="009664F3" w:rsidRDefault="00997566" w:rsidP="00997566">
      <w:r w:rsidRPr="009664F3">
        <w:t>FNSD stigma may arise from misconceptions surrounding the aetiology and legitimacy of the condition</w:t>
      </w:r>
      <w:r>
        <w:t>. For example,</w:t>
      </w:r>
      <w:r w:rsidRPr="009664F3">
        <w:t xml:space="preserve"> the lack of biomarkers and the potential for symptoms to be misunderstood, invalidated, or dismissed can leave patients, families, and healthcare professionals at a loss.</w:t>
      </w:r>
      <w:r>
        <w:t xml:space="preserve"> </w:t>
      </w:r>
      <w:r w:rsidRPr="009664F3">
        <w:t>Lack of access to effective specialised therapy services</w:t>
      </w:r>
      <w:r>
        <w:t>;</w:t>
      </w:r>
      <w:r w:rsidRPr="009664F3">
        <w:t xml:space="preserve"> lack of accuracy and confidence in diagnostic ability in other healthcare services</w:t>
      </w:r>
      <w:r>
        <w:t>;</w:t>
      </w:r>
      <w:r w:rsidRPr="009664F3">
        <w:t xml:space="preserve"> and isolation of clinicians due to</w:t>
      </w:r>
      <w:r>
        <w:t xml:space="preserve"> the</w:t>
      </w:r>
      <w:r w:rsidRPr="009664F3">
        <w:t xml:space="preserve"> lack of formal training, dedicated care teams and support networks also contribute to stigmatisation</w:t>
      </w:r>
      <w:r>
        <w:t xml:space="preserve">. </w:t>
      </w:r>
      <w:r w:rsidRPr="009664F3">
        <w:t>Stigma exacerbates suffering and the unmet needs of patients and families and can result in poor clinical management and prolonged, repetitive use of healthcare resources.</w:t>
      </w:r>
      <w:r>
        <w:t xml:space="preserve"> </w:t>
      </w:r>
      <w:r w:rsidRPr="009664F3">
        <w:t xml:space="preserve">This can lead to negative attitudes from healthcare providers, family members, and the broader community </w:t>
      </w:r>
      <w:sdt>
        <w:sdtPr>
          <w:rPr>
            <w:color w:val="000000"/>
          </w:rPr>
          <w:tag w:val="MENDELEY_CITATION_v3_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"/>
          <w:id w:val="-235010760"/>
          <w:placeholder>
            <w:docPart w:val="712761C3C0ECFC4C8B91BEFCB51C0943"/>
          </w:placeholder>
        </w:sdtPr>
        <w:sdtContent>
          <w:r w:rsidR="0047170A" w:rsidRPr="0047170A">
            <w:rPr>
              <w:color w:val="000000"/>
            </w:rPr>
            <w:t>(</w:t>
          </w:r>
          <w:proofErr w:type="spellStart"/>
          <w:r w:rsidR="0047170A" w:rsidRPr="0047170A">
            <w:rPr>
              <w:color w:val="000000"/>
            </w:rPr>
            <w:t>Macduffie</w:t>
          </w:r>
          <w:proofErr w:type="spellEnd"/>
          <w:r w:rsidR="0047170A" w:rsidRPr="0047170A">
            <w:rPr>
              <w:color w:val="000000"/>
            </w:rPr>
            <w:t xml:space="preserve"> et al., 2020)</w:t>
          </w:r>
        </w:sdtContent>
      </w:sdt>
      <w:r w:rsidRPr="009664F3">
        <w:t>.</w:t>
      </w:r>
      <w:r>
        <w:t xml:space="preserve"> Several</w:t>
      </w:r>
      <w:r w:rsidRPr="009664F3">
        <w:t xml:space="preserve"> studies have shown that </w:t>
      </w:r>
      <w:r>
        <w:t>pw</w:t>
      </w:r>
      <w:r w:rsidRPr="009664F3">
        <w:t>FNS</w:t>
      </w:r>
      <w:r>
        <w:t>D</w:t>
      </w:r>
      <w:r w:rsidRPr="009664F3">
        <w:t xml:space="preserve"> experienced a significantly higher </w:t>
      </w:r>
      <w:r>
        <w:t>perceived stigma than</w:t>
      </w:r>
      <w:r w:rsidRPr="009664F3">
        <w:t xml:space="preserve"> those with other neurological disorders</w:t>
      </w:r>
      <w:r>
        <w:t>,</w:t>
      </w:r>
      <w:r w:rsidRPr="009664F3">
        <w:t xml:space="preserve"> such as epilepsy</w:t>
      </w:r>
      <w:r>
        <w:t xml:space="preserve"> </w:t>
      </w:r>
      <w:r w:rsidRPr="009664F3">
        <w:t xml:space="preserve"> </w:t>
      </w:r>
      <w:sdt>
        <w:sdtPr>
          <w:rPr>
            <w:color w:val="000000"/>
          </w:rPr>
          <w:tag w:val="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"/>
          <w:id w:val="1500929451"/>
          <w:placeholder>
            <w:docPart w:val="712761C3C0ECFC4C8B91BEFCB51C0943"/>
          </w:placeholder>
        </w:sdtPr>
        <w:sdtContent>
          <w:r w:rsidR="0047170A" w:rsidRPr="0047170A">
            <w:rPr>
              <w:color w:val="000000"/>
            </w:rPr>
            <w:t>(</w:t>
          </w:r>
          <w:proofErr w:type="spellStart"/>
          <w:r w:rsidR="0047170A" w:rsidRPr="0047170A">
            <w:rPr>
              <w:color w:val="000000"/>
            </w:rPr>
            <w:t>Karakis</w:t>
          </w:r>
          <w:proofErr w:type="spellEnd"/>
          <w:r w:rsidR="0047170A" w:rsidRPr="0047170A">
            <w:rPr>
              <w:color w:val="000000"/>
            </w:rPr>
            <w:t xml:space="preserve"> et al., 2020; Rawlings et al., 2017)</w:t>
          </w:r>
        </w:sdtContent>
      </w:sdt>
      <w:r w:rsidRPr="009664F3">
        <w:t>.</w:t>
      </w:r>
      <w:r>
        <w:t xml:space="preserve"> </w:t>
      </w:r>
      <w:r w:rsidRPr="009664F3">
        <w:t xml:space="preserve">This increased stigma has been associated with poorer mental health outcomes, reduced QOL, anxiety, concentration problems, control over events </w:t>
      </w:r>
      <w:sdt>
        <w:sdtPr>
          <w:rPr>
            <w:color w:val="000000"/>
          </w:rPr>
          <w:tag w:val="MENDELEY_CITATION_v3_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"/>
          <w:id w:val="-1117899293"/>
          <w:placeholder>
            <w:docPart w:val="712761C3C0ECFC4C8B91BEFCB51C0943"/>
          </w:placeholder>
        </w:sdtPr>
        <w:sdtContent>
          <w:r w:rsidR="0047170A" w:rsidRPr="0047170A">
            <w:rPr>
              <w:color w:val="000000"/>
            </w:rPr>
            <w:t>(Rawlings et al., 2017)</w:t>
          </w:r>
        </w:sdtContent>
      </w:sdt>
      <w:r w:rsidRPr="009664F3">
        <w:t>, feelings of shame, embarrassment, isolation and ultimately</w:t>
      </w:r>
      <w:r>
        <w:t>,</w:t>
      </w:r>
      <w:r w:rsidRPr="009664F3">
        <w:t xml:space="preserve"> a negative impact on health management, patient well-being </w:t>
      </w:r>
      <w:sdt>
        <w:sdtPr>
          <w:rPr>
            <w:color w:val="000000"/>
          </w:rPr>
          <w:tag w:val="MENDELEY_CITATION_v3_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"/>
          <w:id w:val="1878045612"/>
          <w:placeholder>
            <w:docPart w:val="712761C3C0ECFC4C8B91BEFCB51C0943"/>
          </w:placeholder>
        </w:sdtPr>
        <w:sdtContent>
          <w:r w:rsidR="0047170A" w:rsidRPr="0047170A">
            <w:rPr>
              <w:color w:val="000000"/>
            </w:rPr>
            <w:t>(</w:t>
          </w:r>
          <w:proofErr w:type="spellStart"/>
          <w:r w:rsidR="0047170A" w:rsidRPr="0047170A">
            <w:rPr>
              <w:color w:val="000000"/>
            </w:rPr>
            <w:t>Gelauff</w:t>
          </w:r>
          <w:proofErr w:type="spellEnd"/>
          <w:r w:rsidR="0047170A" w:rsidRPr="0047170A">
            <w:rPr>
              <w:color w:val="000000"/>
            </w:rPr>
            <w:t xml:space="preserve"> et al., 2014)</w:t>
          </w:r>
        </w:sdtContent>
      </w:sdt>
      <w:r w:rsidRPr="009664F3">
        <w:t xml:space="preserve"> and quality of life </w:t>
      </w:r>
      <w:sdt>
        <w:sdtPr>
          <w:rPr>
            <w:color w:val="000000"/>
          </w:rPr>
          <w:tag w:val="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"/>
          <w:id w:val="2111315978"/>
          <w:placeholder>
            <w:docPart w:val="712761C3C0ECFC4C8B91BEFCB51C0943"/>
          </w:placeholder>
        </w:sdtPr>
        <w:sdtContent>
          <w:r w:rsidR="0047170A" w:rsidRPr="0047170A">
            <w:rPr>
              <w:color w:val="000000"/>
            </w:rPr>
            <w:t>(</w:t>
          </w:r>
          <w:proofErr w:type="spellStart"/>
          <w:r w:rsidR="0047170A" w:rsidRPr="0047170A">
            <w:rPr>
              <w:color w:val="000000"/>
            </w:rPr>
            <w:t>Karakis</w:t>
          </w:r>
          <w:proofErr w:type="spellEnd"/>
          <w:r w:rsidR="0047170A" w:rsidRPr="0047170A">
            <w:rPr>
              <w:color w:val="000000"/>
            </w:rPr>
            <w:t xml:space="preserve"> et al., 2020; Robson et al., 2018)</w:t>
          </w:r>
        </w:sdtContent>
      </w:sdt>
      <w:r w:rsidRPr="009664F3">
        <w:t>.</w:t>
      </w:r>
      <w:r>
        <w:t xml:space="preserve"> </w:t>
      </w:r>
      <w:r w:rsidRPr="009664F3">
        <w:t xml:space="preserve">High stigma levels have also been reported in caregivers of pwFNSD </w:t>
      </w:r>
      <w:sdt>
        <w:sdtPr>
          <w:rPr>
            <w:color w:val="000000"/>
          </w:rPr>
          <w:tag w:val="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"/>
          <w:id w:val="-1488546674"/>
          <w:placeholder>
            <w:docPart w:val="712761C3C0ECFC4C8B91BEFCB51C0943"/>
          </w:placeholder>
        </w:sdtPr>
        <w:sdtContent>
          <w:r w:rsidR="0047170A" w:rsidRPr="0047170A">
            <w:rPr>
              <w:color w:val="000000"/>
            </w:rPr>
            <w:t xml:space="preserve">(Kaggwa et al., 2023; </w:t>
          </w:r>
          <w:proofErr w:type="spellStart"/>
          <w:r w:rsidR="0047170A" w:rsidRPr="0047170A">
            <w:rPr>
              <w:color w:val="000000"/>
            </w:rPr>
            <w:t>Karakis</w:t>
          </w:r>
          <w:proofErr w:type="spellEnd"/>
          <w:r w:rsidR="0047170A" w:rsidRPr="0047170A">
            <w:rPr>
              <w:color w:val="000000"/>
            </w:rPr>
            <w:t xml:space="preserve"> et al., 2020)</w:t>
          </w:r>
        </w:sdtContent>
      </w:sdt>
      <w:r w:rsidRPr="009664F3">
        <w:t>.</w:t>
      </w:r>
      <w:r>
        <w:t xml:space="preserve"> </w:t>
      </w:r>
      <w:r w:rsidRPr="009664F3">
        <w:t xml:space="preserve">Stigma </w:t>
      </w:r>
      <w:r>
        <w:t>is</w:t>
      </w:r>
      <w:r w:rsidRPr="009664F3">
        <w:t xml:space="preserve"> a barrier to accessing appropriate care for FNSD</w:t>
      </w:r>
      <w:r>
        <w:t>s</w:t>
      </w:r>
      <w:r w:rsidRPr="009664F3">
        <w:t xml:space="preserve">, where patients often </w:t>
      </w:r>
      <w:r>
        <w:t>experience</w:t>
      </w:r>
      <w:r w:rsidRPr="009664F3">
        <w:t xml:space="preserve"> delays in receiving a correct diagnosis and face difficulties in accessing specialised care and feel stigmatised by healthcare professionals </w:t>
      </w:r>
      <w:sdt>
        <w:sdtPr>
          <w:rPr>
            <w:color w:val="000000"/>
          </w:rPr>
          <w:tag w:val="MENDELEY_CITATION_v3_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"/>
          <w:id w:val="685648580"/>
          <w:placeholder>
            <w:docPart w:val="712761C3C0ECFC4C8B91BEFCB51C0943"/>
          </w:placeholder>
        </w:sdtPr>
        <w:sdtContent>
          <w:r w:rsidR="0047170A" w:rsidRPr="0047170A">
            <w:rPr>
              <w:color w:val="000000"/>
            </w:rPr>
            <w:t>(</w:t>
          </w:r>
          <w:proofErr w:type="spellStart"/>
          <w:r w:rsidR="0047170A" w:rsidRPr="0047170A">
            <w:rPr>
              <w:color w:val="000000"/>
            </w:rPr>
            <w:t>Gelauff</w:t>
          </w:r>
          <w:proofErr w:type="spellEnd"/>
          <w:r w:rsidR="0047170A" w:rsidRPr="0047170A">
            <w:rPr>
              <w:color w:val="000000"/>
            </w:rPr>
            <w:t xml:space="preserve"> et al., 2014; Stone et al., 2002; K. Whitehead et al., 2013)</w:t>
          </w:r>
        </w:sdtContent>
      </w:sdt>
      <w:r>
        <w:rPr>
          <w:color w:val="000000"/>
        </w:rPr>
        <w:t>.</w:t>
      </w:r>
    </w:p>
    <w:p w14:paraId="6B43C8E4" w14:textId="7150F568" w:rsidR="00997566" w:rsidRPr="009664F3" w:rsidRDefault="00997566" w:rsidP="00997566">
      <w:r w:rsidRPr="009664F3">
        <w:lastRenderedPageBreak/>
        <w:t xml:space="preserve">Efforts to reduce the stigma surrounding FNSD have been underway and have gathered increasing interest in the clinical and </w:t>
      </w:r>
      <w:r>
        <w:t>research</w:t>
      </w:r>
      <w:r w:rsidRPr="009664F3">
        <w:t xml:space="preserve"> landscapes </w:t>
      </w:r>
      <w:sdt>
        <w:sdtPr>
          <w:rPr>
            <w:color w:val="000000"/>
          </w:rPr>
          <w:tag w:val="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"/>
          <w:id w:val="-1285874078"/>
          <w:placeholder>
            <w:docPart w:val="712761C3C0ECFC4C8B91BEFCB51C0943"/>
          </w:placeholder>
        </w:sdtPr>
        <w:sdtContent>
          <w:r w:rsidR="0047170A" w:rsidRPr="0047170A">
            <w:rPr>
              <w:color w:val="000000"/>
            </w:rPr>
            <w:t>(</w:t>
          </w:r>
          <w:proofErr w:type="spellStart"/>
          <w:r w:rsidR="0047170A" w:rsidRPr="0047170A">
            <w:rPr>
              <w:color w:val="000000"/>
            </w:rPr>
            <w:t>Macduffie</w:t>
          </w:r>
          <w:proofErr w:type="spellEnd"/>
          <w:r w:rsidR="0047170A" w:rsidRPr="0047170A">
            <w:rPr>
              <w:color w:val="000000"/>
            </w:rPr>
            <w:t xml:space="preserve"> et al., 2020; Perez et al., 2021; </w:t>
          </w:r>
          <w:proofErr w:type="spellStart"/>
          <w:r w:rsidR="0047170A" w:rsidRPr="0047170A">
            <w:rPr>
              <w:color w:val="000000"/>
            </w:rPr>
            <w:t>Rommelfanger</w:t>
          </w:r>
          <w:proofErr w:type="spellEnd"/>
          <w:r w:rsidR="0047170A" w:rsidRPr="0047170A">
            <w:rPr>
              <w:color w:val="000000"/>
            </w:rPr>
            <w:t xml:space="preserve"> et al., 2017)</w:t>
          </w:r>
        </w:sdtContent>
      </w:sdt>
      <w:r w:rsidRPr="009664F3">
        <w:t>.</w:t>
      </w:r>
      <w:r>
        <w:t xml:space="preserve"> </w:t>
      </w:r>
      <w:r w:rsidRPr="009664F3">
        <w:t>Clinically, this is necessary to enhance health management and patient outcomes.</w:t>
      </w:r>
      <w:r>
        <w:t xml:space="preserve"> </w:t>
      </w:r>
      <w:r w:rsidRPr="009664F3">
        <w:t xml:space="preserve">Educational interventions, conferences and </w:t>
      </w:r>
      <w:r>
        <w:t>research</w:t>
      </w:r>
      <w:r w:rsidRPr="009664F3">
        <w:t xml:space="preserve"> targeting healthcare providers, patients, caregivers and the general public help to dispel misconceptions and promote understanding of these complex conditions </w:t>
      </w:r>
      <w:sdt>
        <w:sdtPr>
          <w:rPr>
            <w:color w:val="000000"/>
          </w:rPr>
          <w:tag w:val="MENDELEY_CITATION_v3_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"/>
          <w:id w:val="878054421"/>
          <w:placeholder>
            <w:docPart w:val="712761C3C0ECFC4C8B91BEFCB51C0943"/>
          </w:placeholder>
        </w:sdtPr>
        <w:sdtContent>
          <w:r w:rsidR="0047170A" w:rsidRPr="0047170A">
            <w:rPr>
              <w:color w:val="000000"/>
            </w:rPr>
            <w:t>(</w:t>
          </w:r>
          <w:proofErr w:type="spellStart"/>
          <w:r w:rsidR="0047170A" w:rsidRPr="0047170A">
            <w:rPr>
              <w:color w:val="000000"/>
            </w:rPr>
            <w:t>Shahwan</w:t>
          </w:r>
          <w:proofErr w:type="spellEnd"/>
          <w:r w:rsidR="0047170A" w:rsidRPr="0047170A">
            <w:rPr>
              <w:color w:val="000000"/>
            </w:rPr>
            <w:t xml:space="preserve"> et al., 2022; Stuart, 2016)</w:t>
          </w:r>
        </w:sdtContent>
      </w:sdt>
      <w:r>
        <w:t xml:space="preserve">. </w:t>
      </w:r>
      <w:r w:rsidRPr="009664F3">
        <w:t xml:space="preserve">In addition, fostering supportive environments, such as patient support groups and charities such as FND Hope/FND Action, provide a platform for individuals with </w:t>
      </w:r>
      <w:r>
        <w:t>FNSD</w:t>
      </w:r>
      <w:r w:rsidRPr="009664F3">
        <w:t xml:space="preserve"> to share experiences, exchange information, and develop coping strategies to counteract stigma</w:t>
      </w:r>
      <w:r>
        <w:t xml:space="preserve">. </w:t>
      </w:r>
      <w:r w:rsidRPr="009664F3">
        <w:t xml:space="preserve">The growing body of </w:t>
      </w:r>
      <w:r>
        <w:t>research</w:t>
      </w:r>
      <w:r w:rsidRPr="009664F3">
        <w:t xml:space="preserve"> encapsulating the issues of stigma from patient, researcher and clinical perspectives is being utilised to develop </w:t>
      </w:r>
      <w:r w:rsidR="00352F7F">
        <w:t>'</w:t>
      </w:r>
      <w:r w:rsidRPr="009664F3">
        <w:t xml:space="preserve">roadmaps and best practices to disentangle and reduce stigma from FNSD in the future </w:t>
      </w:r>
      <w:sdt>
        <w:sdtPr>
          <w:rPr>
            <w:color w:val="000000"/>
          </w:rPr>
          <w:tag w:val="MENDELEY_CITATION_v3_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"/>
          <w:id w:val="1158575256"/>
          <w:placeholder>
            <w:docPart w:val="712761C3C0ECFC4C8B91BEFCB51C0943"/>
          </w:placeholder>
        </w:sdtPr>
        <w:sdtContent>
          <w:r w:rsidR="0047170A" w:rsidRPr="0047170A">
            <w:rPr>
              <w:color w:val="000000"/>
            </w:rPr>
            <w:t>(</w:t>
          </w:r>
          <w:proofErr w:type="spellStart"/>
          <w:r w:rsidR="0047170A" w:rsidRPr="0047170A">
            <w:rPr>
              <w:color w:val="000000"/>
            </w:rPr>
            <w:t>Macduffie</w:t>
          </w:r>
          <w:proofErr w:type="spellEnd"/>
          <w:r w:rsidR="0047170A" w:rsidRPr="0047170A">
            <w:rPr>
              <w:color w:val="000000"/>
            </w:rPr>
            <w:t xml:space="preserve"> et al., 2020; </w:t>
          </w:r>
          <w:proofErr w:type="spellStart"/>
          <w:r w:rsidR="0047170A" w:rsidRPr="0047170A">
            <w:rPr>
              <w:color w:val="000000"/>
            </w:rPr>
            <w:t>Rommelfanger</w:t>
          </w:r>
          <w:proofErr w:type="spellEnd"/>
          <w:r w:rsidR="0047170A" w:rsidRPr="0047170A">
            <w:rPr>
              <w:color w:val="000000"/>
            </w:rPr>
            <w:t xml:space="preserve"> et al., 2017)</w:t>
          </w:r>
        </w:sdtContent>
      </w:sdt>
      <w:r w:rsidRPr="009664F3">
        <w:t>.</w:t>
      </w:r>
      <w:r>
        <w:t xml:space="preserve"> </w:t>
      </w:r>
      <w:r w:rsidRPr="009664F3">
        <w:t xml:space="preserve">For example, the issue of stigma has </w:t>
      </w:r>
      <w:r>
        <w:t>primarily</w:t>
      </w:r>
      <w:r w:rsidRPr="009664F3">
        <w:t xml:space="preserve"> been discussed in </w:t>
      </w:r>
      <w:r>
        <w:t>relation to</w:t>
      </w:r>
      <w:r w:rsidRPr="009664F3">
        <w:t xml:space="preserve"> the ambiguous medical classifications and terminologies of functional diseases </w:t>
      </w:r>
      <w:r>
        <w:t xml:space="preserve"> </w:t>
      </w:r>
      <w:sdt>
        <w:sdtPr>
          <w:tag w:val="MENDELEY_CITATION_v3_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"/>
          <w:id w:val="500398955"/>
          <w:placeholder>
            <w:docPart w:val="712761C3C0ECFC4C8B91BEFCB51C0943"/>
          </w:placeholder>
        </w:sdtPr>
        <w:sdtContent>
          <w:r w:rsidR="0047170A">
            <w:rPr>
              <w:rFonts w:eastAsia="Times New Roman"/>
            </w:rPr>
            <w:t xml:space="preserve">(Looper &amp; </w:t>
          </w:r>
          <w:proofErr w:type="spellStart"/>
          <w:r w:rsidR="0047170A">
            <w:rPr>
              <w:rFonts w:eastAsia="Times New Roman"/>
            </w:rPr>
            <w:t>Kirmayer</w:t>
          </w:r>
          <w:proofErr w:type="spellEnd"/>
          <w:r w:rsidR="0047170A">
            <w:rPr>
              <w:rFonts w:eastAsia="Times New Roman"/>
            </w:rPr>
            <w:t>, 2004; Rawlings et al., 2017)</w:t>
          </w:r>
        </w:sdtContent>
      </w:sdt>
      <w:r w:rsidRPr="009664F3">
        <w:t>, and changes to diagnostic and terminology guidance have enabled positive progress.</w:t>
      </w:r>
    </w:p>
    <w:p w14:paraId="227ED02F" w14:textId="0EEE4892" w:rsidR="00997566" w:rsidRPr="00D00710" w:rsidRDefault="00997566" w:rsidP="00997566">
      <w:r w:rsidRPr="009664F3">
        <w:t xml:space="preserve">Stigma among FNSD is a pertinent issue and has a negative impact on the various aspects </w:t>
      </w:r>
      <w:r>
        <w:t>of</w:t>
      </w:r>
      <w:r w:rsidRPr="009664F3">
        <w:t xml:space="preserve"> the diagnosis, care and prognosis.</w:t>
      </w:r>
      <w:r>
        <w:t xml:space="preserve"> </w:t>
      </w:r>
      <w:r w:rsidRPr="009664F3">
        <w:t xml:space="preserve">In addition to educating and reducing stigma about </w:t>
      </w:r>
      <w:r w:rsidRPr="00D00710">
        <w:t>these disorders in society, helping FNSD patients cope with the problem may involve understanding the impact, response, and coping strategies of those affected and aiming to strengthen their resources (</w:t>
      </w:r>
      <w:sdt>
        <w:sdtPr>
          <w:tag w:val="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"/>
          <w:id w:val="1840274655"/>
          <w:placeholder>
            <w:docPart w:val="712761C3C0ECFC4C8B91BEFCB51C0943"/>
          </w:placeholder>
        </w:sdtPr>
        <w:sdtContent>
          <w:r w:rsidR="0047170A" w:rsidRPr="00D00710">
            <w:t>(Michaelis, Tang, et al., 2017; Shih, 2004)</w:t>
          </w:r>
        </w:sdtContent>
      </w:sdt>
      <w:r w:rsidRPr="00D00710">
        <w:t xml:space="preserve">. The </w:t>
      </w:r>
      <w:r w:rsidR="00352F7F" w:rsidRPr="00D00710">
        <w:t>"</w:t>
      </w:r>
      <w:r w:rsidRPr="00D00710">
        <w:t>Illness Perception Questionnaire-Revised</w:t>
      </w:r>
      <w:r w:rsidR="00352F7F" w:rsidRPr="00D00710">
        <w:t>"</w:t>
      </w:r>
      <w:r w:rsidRPr="00D00710">
        <w:t xml:space="preserve"> (IPQ-R; </w:t>
      </w:r>
      <w:sdt>
        <w:sdtPr>
          <w:tag w:val="MENDELEY_CITATION_v3_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"/>
          <w:id w:val="-876316058"/>
          <w:placeholder>
            <w:docPart w:val="712761C3C0ECFC4C8B91BEFCB51C0943"/>
          </w:placeholder>
        </w:sdtPr>
        <w:sdtContent>
          <w:r w:rsidR="0047170A" w:rsidRPr="00D00710">
            <w:t>(Moss-Morris et al., 2010)</w:t>
          </w:r>
        </w:sdtContent>
      </w:sdt>
      <w:r w:rsidRPr="00D00710">
        <w:t xml:space="preserve">) is a commonly used </w:t>
      </w:r>
      <w:r w:rsidR="001A2683" w:rsidRPr="00D00710">
        <w:t xml:space="preserve">measure </w:t>
      </w:r>
      <w:r w:rsidRPr="00D00710">
        <w:t xml:space="preserve">in patients with FNSD and other health conditions. The </w:t>
      </w:r>
      <w:r w:rsidR="001A2683" w:rsidRPr="00D00710">
        <w:t xml:space="preserve">‘Perceived Consequences’ subscale of the </w:t>
      </w:r>
      <w:r w:rsidRPr="00D00710">
        <w:t xml:space="preserve">IPQ-R includes </w:t>
      </w:r>
      <w:r w:rsidR="001A2683" w:rsidRPr="00D00710">
        <w:t>items</w:t>
      </w:r>
      <w:r w:rsidRPr="00D00710">
        <w:t xml:space="preserve"> that</w:t>
      </w:r>
      <w:r w:rsidR="001A2683" w:rsidRPr="00D00710">
        <w:t xml:space="preserve"> may </w:t>
      </w:r>
      <w:r w:rsidRPr="00D00710">
        <w:t>measure</w:t>
      </w:r>
      <w:r w:rsidR="001A2683" w:rsidRPr="00D00710">
        <w:t xml:space="preserve"> </w:t>
      </w:r>
      <w:r w:rsidRPr="00D00710">
        <w:t>perceived stigma</w:t>
      </w:r>
      <w:r w:rsidR="00400BA2" w:rsidRPr="00D00710">
        <w:t xml:space="preserve"> (e.g. “My illness strongly affects how others see me”)</w:t>
      </w:r>
      <w:r w:rsidRPr="00D00710">
        <w:t xml:space="preserve">, which can be particularly relevant for FNSD patients. However, no specific measure targeted at stigma in FNSD has been developed. </w:t>
      </w:r>
    </w:p>
    <w:p w14:paraId="76057090" w14:textId="00F98432" w:rsidR="00997566" w:rsidRPr="009664F3" w:rsidRDefault="00997566" w:rsidP="00997566">
      <w:r w:rsidRPr="00D00710">
        <w:rPr>
          <w:rFonts w:cs="phá"/>
        </w:rPr>
        <w:t>A</w:t>
      </w:r>
      <w:r w:rsidRPr="00D00710">
        <w:t xml:space="preserve"> tool tailored to the symptoms and experience of FNSDs could help </w:t>
      </w:r>
      <w:r w:rsidRPr="009664F3">
        <w:t>identify the presence and extent of stigma experienced by these individuals and enable the incorporation of tailored interventions</w:t>
      </w:r>
      <w:r>
        <w:t>. This would help</w:t>
      </w:r>
      <w:r w:rsidRPr="009664F3">
        <w:t xml:space="preserve"> to mitigate </w:t>
      </w:r>
      <w:r>
        <w:t>the</w:t>
      </w:r>
      <w:r w:rsidRPr="009664F3">
        <w:t xml:space="preserve"> </w:t>
      </w:r>
      <w:r>
        <w:t>adverse</w:t>
      </w:r>
      <w:r w:rsidRPr="009664F3">
        <w:t xml:space="preserve"> effects </w:t>
      </w:r>
      <w:r>
        <w:t xml:space="preserve">of stigma </w:t>
      </w:r>
      <w:r w:rsidRPr="009664F3">
        <w:t>while considering the unique characteristics of this complex patient group.</w:t>
      </w:r>
      <w:r>
        <w:t xml:space="preserve"> </w:t>
      </w:r>
      <w:r w:rsidRPr="009664F3">
        <w:t xml:space="preserve">Additionally, such a tool could be valuable </w:t>
      </w:r>
      <w:r>
        <w:t>in evaluating</w:t>
      </w:r>
      <w:r w:rsidRPr="009664F3">
        <w:t xml:space="preserve"> the effectiveness of </w:t>
      </w:r>
      <w:r w:rsidRPr="009664F3">
        <w:lastRenderedPageBreak/>
        <w:t xml:space="preserve">therapeutic approaches aimed </w:t>
      </w:r>
      <w:r>
        <w:t>at strengthening</w:t>
      </w:r>
      <w:r w:rsidRPr="009664F3">
        <w:t xml:space="preserve"> </w:t>
      </w:r>
      <w:r w:rsidR="00352F7F">
        <w:t>patients'</w:t>
      </w:r>
      <w:r w:rsidRPr="009664F3">
        <w:t xml:space="preserve"> resources when dealing with stigma. </w:t>
      </w:r>
    </w:p>
    <w:p w14:paraId="58101CF1" w14:textId="455323AD" w:rsidR="00997566" w:rsidRPr="005D0124" w:rsidRDefault="0014037C" w:rsidP="00997566">
      <w:pPr>
        <w:pStyle w:val="Heading3"/>
      </w:pPr>
      <w:bookmarkStart w:id="74" w:name="_Toc137504699"/>
      <w:r>
        <w:t>3.</w:t>
      </w:r>
      <w:r w:rsidR="00997566" w:rsidRPr="005D0124">
        <w:t>1.4 Factor Analysis and Rasch Modelling</w:t>
      </w:r>
      <w:bookmarkEnd w:id="74"/>
    </w:p>
    <w:p w14:paraId="7D332868" w14:textId="575FE711" w:rsidR="00997566" w:rsidRDefault="00997566" w:rsidP="00997566">
      <w:r w:rsidRPr="002D4D80">
        <w:t xml:space="preserve">Factor analysis is a statistical method used to identify the underlying structure of a set of variables, making it a </w:t>
      </w:r>
      <w:r>
        <w:t>valuable</w:t>
      </w:r>
      <w:r w:rsidRPr="002D4D80">
        <w:t xml:space="preserve"> tool in </w:t>
      </w:r>
      <w:r>
        <w:t>developing and validating</w:t>
      </w:r>
      <w:r w:rsidRPr="002D4D80">
        <w:t xml:space="preserve"> questionnaires and </w:t>
      </w:r>
      <w:r>
        <w:t>potential sub-</w:t>
      </w:r>
      <w:r w:rsidRPr="002D4D80">
        <w:t>scales.</w:t>
      </w:r>
      <w:r>
        <w:t xml:space="preserve"> </w:t>
      </w:r>
      <w:r w:rsidRPr="002D4D80">
        <w:t xml:space="preserve">Factor analysis </w:t>
      </w:r>
      <w:r>
        <w:t xml:space="preserve">was used in the present study to </w:t>
      </w:r>
      <w:r w:rsidRPr="002D4D80">
        <w:t>construct subscales with better internal consistency and construct validity by identifying clusters of items that measure the same construct</w:t>
      </w:r>
      <w:r>
        <w:t>. Statistical</w:t>
      </w:r>
      <w:r w:rsidRPr="002D4D80">
        <w:t xml:space="preserve"> and theoretical criteria </w:t>
      </w:r>
      <w:r>
        <w:t>will</w:t>
      </w:r>
      <w:r w:rsidRPr="002D4D80">
        <w:t xml:space="preserve"> be used to determine the number of factors to extract and the interpretation of the results.</w:t>
      </w:r>
      <w:r>
        <w:t xml:space="preserve"> </w:t>
      </w:r>
      <w:r w:rsidRPr="002D4D80">
        <w:t>Several studies have utili</w:t>
      </w:r>
      <w:r>
        <w:t>s</w:t>
      </w:r>
      <w:r w:rsidRPr="002D4D80">
        <w:t>ed factor analysis to construct subscales and improve questionnaire validity</w:t>
      </w:r>
      <w:r>
        <w:t xml:space="preserve"> with similar constructs to the EASE-F. </w:t>
      </w:r>
      <w:sdt>
        <w:sdtPr>
          <w:rPr>
            <w:color w:val="000000"/>
          </w:rPr>
          <w:tag w:val="MENDELEY_CITATION_v3_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"/>
          <w:id w:val="-1959024503"/>
          <w:placeholder>
            <w:docPart w:val="712761C3C0ECFC4C8B91BEFCB51C0943"/>
          </w:placeholder>
        </w:sdtPr>
        <w:sdtContent>
          <w:r w:rsidR="0047170A">
            <w:rPr>
              <w:rFonts w:eastAsia="Times New Roman"/>
            </w:rPr>
            <w:t xml:space="preserve">Curtiss &amp; </w:t>
          </w:r>
          <w:proofErr w:type="spellStart"/>
          <w:r w:rsidR="0047170A">
            <w:rPr>
              <w:rFonts w:eastAsia="Times New Roman"/>
            </w:rPr>
            <w:t>Klemanski</w:t>
          </w:r>
          <w:proofErr w:type="spellEnd"/>
          <w:r w:rsidR="0047170A">
            <w:rPr>
              <w:rFonts w:eastAsia="Times New Roman"/>
            </w:rPr>
            <w:t xml:space="preserve"> (2014)</w:t>
          </w:r>
        </w:sdtContent>
      </w:sdt>
      <w:r w:rsidRPr="002D4D80">
        <w:t xml:space="preserve"> used factor analysis to develop subscales for a mindfulness questionnaire, while</w:t>
      </w:r>
      <w:r>
        <w:t xml:space="preserve"> </w:t>
      </w:r>
      <w:sdt>
        <w:sdtPr>
          <w:rPr>
            <w:color w:val="000000"/>
          </w:rPr>
          <w:tag w:val="MENDELEY_CITATION_v3_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"/>
          <w:id w:val="528384914"/>
          <w:placeholder>
            <w:docPart w:val="712761C3C0ECFC4C8B91BEFCB51C0943"/>
          </w:placeholder>
        </w:sdtPr>
        <w:sdtContent>
          <w:r w:rsidR="0047170A" w:rsidRPr="0047170A">
            <w:rPr>
              <w:color w:val="000000"/>
            </w:rPr>
            <w:t>Smit (1998)</w:t>
          </w:r>
        </w:sdtContent>
      </w:sdt>
      <w:r w:rsidRPr="002D4D80">
        <w:t xml:space="preserve"> used factor analysis to evaluate the factor structure of a </w:t>
      </w:r>
      <w:r>
        <w:t>self-efficacy scale. While factor analysis has been widely used to assess the</w:t>
      </w:r>
      <w:r w:rsidRPr="007A4C2C">
        <w:t xml:space="preserve"> latent structure of a </w:t>
      </w:r>
      <w:r>
        <w:t xml:space="preserve">scale focusing on relationships between items and factors, </w:t>
      </w:r>
      <w:r w:rsidRPr="007A4C2C">
        <w:t xml:space="preserve">it </w:t>
      </w:r>
      <w:r>
        <w:t>does</w:t>
      </w:r>
      <w:r w:rsidRPr="007A4C2C">
        <w:t xml:space="preserve"> not provide a sufficiently robust or detailed analysis to capture item-level diagnostics</w:t>
      </w:r>
      <w:r>
        <w:t>,</w:t>
      </w:r>
      <w:r w:rsidRPr="007A4C2C">
        <w:t xml:space="preserve"> such as item fit, difficulty, or discrimination, or to assess how effectively items measure the intended construct on a unidimensional continuum.</w:t>
      </w:r>
      <w:r>
        <w:t xml:space="preserve"> Rasch analysis is a technique that can offer a complementary perspective on the psychometric properties of measurement instruments that are not met by factor analysis alone. </w:t>
      </w:r>
    </w:p>
    <w:p w14:paraId="2EA21C56" w14:textId="39AC889A" w:rsidR="00997566" w:rsidRPr="002D4D80" w:rsidRDefault="00997566" w:rsidP="00997566">
      <w:r>
        <w:t>As o</w:t>
      </w:r>
      <w:r w:rsidRPr="002D4D80">
        <w:t>ne of the most powerful tools for evaluating rating scale instruments</w:t>
      </w:r>
      <w:r>
        <w:t xml:space="preserve">, </w:t>
      </w:r>
      <w:r w:rsidRPr="002D4D80">
        <w:t xml:space="preserve">Rasch analysis has been used extensively to analyse ordinal data </w:t>
      </w:r>
      <w:r>
        <w:t>as</w:t>
      </w:r>
      <w:r w:rsidRPr="002D4D80">
        <w:t xml:space="preserve"> linear, using logarithmic transformation procedures </w:t>
      </w:r>
      <w:sdt>
        <w:sdtPr>
          <w:rPr>
            <w:color w:val="000000"/>
          </w:rPr>
          <w:tag w:val="MENDELEY_CITATION_v3_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"/>
          <w:id w:val="-1376689943"/>
          <w:placeholder>
            <w:docPart w:val="712761C3C0ECFC4C8B91BEFCB51C0943"/>
          </w:placeholder>
        </w:sdtPr>
        <w:sdtContent>
          <w:r w:rsidR="0047170A" w:rsidRPr="0047170A">
            <w:rPr>
              <w:color w:val="000000"/>
            </w:rPr>
            <w:t>(Andrich, 1988)</w:t>
          </w:r>
        </w:sdtContent>
      </w:sdt>
      <w:r w:rsidRPr="002D4D80">
        <w:t>.</w:t>
      </w:r>
      <w:r>
        <w:t xml:space="preserve"> </w:t>
      </w:r>
      <w:r w:rsidRPr="002D4D80">
        <w:t xml:space="preserve">Rasch analysis provides critical guidance when developing measures when preparing data for statistical analyses and evaluating instruments developed using other methods </w:t>
      </w:r>
      <w:sdt>
        <w:sdtPr>
          <w:rPr>
            <w:color w:val="000000"/>
          </w:rPr>
          <w:tag w:val="MENDELEY_CITATION_v3_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"/>
          <w:id w:val="-534350253"/>
          <w:placeholder>
            <w:docPart w:val="712761C3C0ECFC4C8B91BEFCB51C0943"/>
          </w:placeholder>
        </w:sdtPr>
        <w:sdtContent>
          <w:r w:rsidR="0047170A" w:rsidRPr="0047170A">
            <w:rPr>
              <w:color w:val="000000"/>
            </w:rPr>
            <w:t>(Boone et al., 2014)</w:t>
          </w:r>
        </w:sdtContent>
      </w:sdt>
      <w:r>
        <w:t xml:space="preserve">. The </w:t>
      </w:r>
      <w:r w:rsidRPr="002D4D80">
        <w:t xml:space="preserve">techniques were developed by Georg Rasch </w:t>
      </w:r>
      <w:sdt>
        <w:sdtPr>
          <w:rPr>
            <w:color w:val="000000"/>
          </w:rPr>
          <w:tag w:val="MENDELEY_CITATION_v3_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"/>
          <w:id w:val="-910309984"/>
          <w:placeholder>
            <w:docPart w:val="712761C3C0ECFC4C8B91BEFCB51C0943"/>
          </w:placeholder>
        </w:sdtPr>
        <w:sdtContent>
          <w:r w:rsidR="0047170A" w:rsidRPr="0047170A">
            <w:rPr>
              <w:color w:val="000000"/>
            </w:rPr>
            <w:t>(G. Rasch, 1960)</w:t>
          </w:r>
        </w:sdtContent>
      </w:sdt>
      <w:r>
        <w:t xml:space="preserve"> </w:t>
      </w:r>
      <w:r w:rsidRPr="002D4D80">
        <w:t xml:space="preserve">and expanded by Benjamin Wright </w:t>
      </w:r>
      <w:bookmarkStart w:id="75" w:name="bbib0043"/>
      <w:sdt>
        <w:sdtPr>
          <w:tag w:val="MENDELEY_CITATION_v3_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"/>
          <w:id w:val="-1144035300"/>
          <w:placeholder>
            <w:docPart w:val="712761C3C0ECFC4C8B91BEFCB51C0943"/>
          </w:placeholder>
        </w:sdtPr>
        <w:sdtContent>
          <w:r w:rsidR="0047170A">
            <w:rPr>
              <w:rFonts w:eastAsia="Times New Roman"/>
            </w:rPr>
            <w:t>(B. Wright &amp; Stone, 1979)</w:t>
          </w:r>
        </w:sdtContent>
      </w:sdt>
      <w:r>
        <w:t>.</w:t>
      </w:r>
      <w:bookmarkEnd w:id="75"/>
      <w:r>
        <w:t xml:space="preserve"> </w:t>
      </w:r>
      <w:sdt>
        <w:sdtPr>
          <w:rPr>
            <w:color w:val="000000"/>
          </w:rPr>
          <w:tag w:val="MENDELEY_CITATION_v3_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"/>
          <w:id w:val="-1351017945"/>
          <w:placeholder>
            <w:docPart w:val="712761C3C0ECFC4C8B91BEFCB51C0943"/>
          </w:placeholder>
        </w:sdtPr>
        <w:sdtContent>
          <w:r w:rsidR="0047170A">
            <w:rPr>
              <w:rFonts w:eastAsia="Times New Roman"/>
            </w:rPr>
            <w:t>Wright &amp; Masters (1982)</w:t>
          </w:r>
        </w:sdtContent>
      </w:sdt>
      <w:r>
        <w:t xml:space="preserve"> </w:t>
      </w:r>
      <w:r w:rsidRPr="002D4D80">
        <w:t>provided mathematical details of the model.</w:t>
      </w:r>
      <w:r>
        <w:t xml:space="preserve"> </w:t>
      </w:r>
      <w:r w:rsidRPr="002D4D80">
        <w:t xml:space="preserve">Although </w:t>
      </w:r>
      <w:r>
        <w:t>Rasch</w:t>
      </w:r>
      <w:r w:rsidRPr="002D4D80">
        <w:t xml:space="preserve"> analysis is</w:t>
      </w:r>
      <w:r>
        <w:t xml:space="preserve"> </w:t>
      </w:r>
      <w:r w:rsidRPr="002D4D80">
        <w:t xml:space="preserve">mathematically complex, it </w:t>
      </w:r>
      <w:r>
        <w:t xml:space="preserve">has been made </w:t>
      </w:r>
      <w:r w:rsidRPr="002D4D80">
        <w:t xml:space="preserve">accessible to scholars across academic disciplines </w:t>
      </w:r>
      <w:sdt>
        <w:sdtPr>
          <w:tag w:val="MENDELEY_CITATION_v3_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"/>
          <w:id w:val="1798098827"/>
          <w:placeholder>
            <w:docPart w:val="712761C3C0ECFC4C8B91BEFCB51C0943"/>
          </w:placeholder>
        </w:sdtPr>
        <w:sdtContent>
          <w:r w:rsidR="0047170A">
            <w:rPr>
              <w:rFonts w:eastAsia="Times New Roman"/>
            </w:rPr>
            <w:t>(Boone &amp; Staver, 2020)</w:t>
          </w:r>
        </w:sdtContent>
      </w:sdt>
      <w:r>
        <w:t xml:space="preserve">. </w:t>
      </w:r>
      <w:r w:rsidRPr="002D4D80">
        <w:t xml:space="preserve">A Rasch-based analytical approach generates reliability and validity estimates of </w:t>
      </w:r>
      <w:r>
        <w:t>persons and items</w:t>
      </w:r>
      <w:r w:rsidRPr="002D4D80">
        <w:t xml:space="preserve"> independent of the sample distribution.</w:t>
      </w:r>
      <w:r>
        <w:t xml:space="preserve"> </w:t>
      </w:r>
      <w:r w:rsidRPr="002D4D80">
        <w:t>These estimates can be used for in-depth monitoring of test functioning</w:t>
      </w:r>
      <w:r>
        <w:t>, for</w:t>
      </w:r>
      <w:r w:rsidRPr="002D4D80">
        <w:t xml:space="preserve"> example, in identifying items that do not contribute to a valid measure of the underlying construct</w:t>
      </w:r>
      <w:r>
        <w:t xml:space="preserve"> </w:t>
      </w:r>
      <w:r>
        <w:lastRenderedPageBreak/>
        <w:t>and</w:t>
      </w:r>
      <w:r w:rsidRPr="002D4D80">
        <w:t xml:space="preserve"> potential response biases related to respondent characteristics, such as age or gender.</w:t>
      </w:r>
    </w:p>
    <w:p w14:paraId="743AEA02" w14:textId="277C966A" w:rsidR="00997566" w:rsidRPr="0029190C" w:rsidRDefault="00997566" w:rsidP="00997566">
      <w:r w:rsidRPr="002D4D80">
        <w:t>The present study utili</w:t>
      </w:r>
      <w:r>
        <w:t>s</w:t>
      </w:r>
      <w:r w:rsidRPr="002D4D80">
        <w:t xml:space="preserve">ed </w:t>
      </w:r>
      <w:r>
        <w:t xml:space="preserve">Factor and </w:t>
      </w:r>
      <w:r w:rsidRPr="002D4D80">
        <w:t>Rasch analysis to improve the self-report EASE</w:t>
      </w:r>
      <w:r>
        <w:t>-F</w:t>
      </w:r>
      <w:r w:rsidRPr="002D4D80">
        <w:t xml:space="preserve"> questionnaire by taking advantage of </w:t>
      </w:r>
      <w:r>
        <w:t>its various techniques</w:t>
      </w:r>
      <w:r w:rsidRPr="002D4D80">
        <w:t xml:space="preserve"> for evaluating instrument functioning.</w:t>
      </w:r>
      <w:r>
        <w:t xml:space="preserve"> No</w:t>
      </w:r>
      <w:r w:rsidRPr="002D4D80">
        <w:t xml:space="preserve"> study has used a Rasch analysis approach </w:t>
      </w:r>
      <w:r>
        <w:t xml:space="preserve">to </w:t>
      </w:r>
      <w:r w:rsidR="00557755">
        <w:t>assess</w:t>
      </w:r>
      <w:r>
        <w:t xml:space="preserve"> a self-report measure developed specifically for </w:t>
      </w:r>
      <w:r w:rsidRPr="002D4D80">
        <w:t>persons with FNSD.</w:t>
      </w:r>
    </w:p>
    <w:p w14:paraId="133036F4" w14:textId="268211D1" w:rsidR="00997566" w:rsidRPr="002A7443" w:rsidRDefault="0014037C" w:rsidP="00997566">
      <w:pPr>
        <w:pStyle w:val="Heading3"/>
        <w:rPr>
          <w:rFonts w:eastAsia="DengXian"/>
        </w:rPr>
      </w:pPr>
      <w:bookmarkStart w:id="76" w:name="_Toc137504700"/>
      <w:r>
        <w:rPr>
          <w:rFonts w:eastAsia="DengXian"/>
        </w:rPr>
        <w:t>3.</w:t>
      </w:r>
      <w:r w:rsidR="00997566" w:rsidRPr="002A7443">
        <w:rPr>
          <w:rFonts w:eastAsia="DengXian"/>
        </w:rPr>
        <w:t xml:space="preserve">1.5 Research </w:t>
      </w:r>
      <w:r w:rsidR="00997566">
        <w:rPr>
          <w:rFonts w:eastAsia="DengXian"/>
        </w:rPr>
        <w:t>Study</w:t>
      </w:r>
      <w:bookmarkEnd w:id="76"/>
    </w:p>
    <w:p w14:paraId="3BB8FB98" w14:textId="718356A7" w:rsidR="00997566" w:rsidRPr="00997566" w:rsidRDefault="0014037C" w:rsidP="00997566">
      <w:pPr>
        <w:pStyle w:val="Heading4"/>
      </w:pPr>
      <w:r>
        <w:t>3</w:t>
      </w:r>
      <w:r w:rsidR="00997566" w:rsidRPr="0029190C">
        <w:t>.5.1</w:t>
      </w:r>
      <w:r>
        <w:t>.1</w:t>
      </w:r>
      <w:r w:rsidR="00997566" w:rsidRPr="0029190C">
        <w:t xml:space="preserve"> Research Objective</w:t>
      </w:r>
    </w:p>
    <w:p w14:paraId="4298BE9A" w14:textId="28D5B8F7" w:rsidR="00997566" w:rsidRDefault="00997566" w:rsidP="00997566">
      <w:r w:rsidRPr="002A7443">
        <w:t>The EASE questionnaire items were initially intended to capture the constructs of self-efficacy, assertiveness, social support, self-perception and stigma in patients with seizure disorders</w:t>
      </w:r>
      <w:r w:rsidR="00557755">
        <w:t>. They were</w:t>
      </w:r>
      <w:r>
        <w:t xml:space="preserve"> </w:t>
      </w:r>
      <w:r w:rsidRPr="002A7443">
        <w:t>developed from key themes from qualitative and semantic data</w:t>
      </w:r>
      <w:r>
        <w:t xml:space="preserve"> </w:t>
      </w:r>
      <w:sdt>
        <w:sdtPr>
          <w:rPr>
            <w:color w:val="000000"/>
          </w:rPr>
          <w:tag w:val="MENDELEY_CITATION_v3_eyJjaXRhdGlvbklEIjoiTUVOREVMRVlfQ0lUQVRJT05fMjRhNzNiOWUtZjhkZC00YTM1LWEyYjEtMWFkOWRkNzNjOGU5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
          <w:id w:val="2016795131"/>
          <w:placeholder>
            <w:docPart w:val="712761C3C0ECFC4C8B91BEFCB51C0943"/>
          </w:placeholder>
        </w:sdtPr>
        <w:sdtContent>
          <w:r w:rsidR="0047170A" w:rsidRPr="0047170A">
            <w:rPr>
              <w:color w:val="000000"/>
            </w:rPr>
            <w:t>(Michaelis et al., 2019)</w:t>
          </w:r>
        </w:sdtContent>
      </w:sdt>
      <w:r w:rsidRPr="002A7443">
        <w:t>.</w:t>
      </w:r>
      <w:r>
        <w:t xml:space="preserve"> </w:t>
      </w:r>
      <w:r w:rsidRPr="002A7443">
        <w:t xml:space="preserve">The current study intended to evaluate and </w:t>
      </w:r>
      <w:r>
        <w:t>refine</w:t>
      </w:r>
      <w:r w:rsidRPr="002A7443">
        <w:t xml:space="preserve"> the EASE</w:t>
      </w:r>
      <w:r>
        <w:t>-F</w:t>
      </w:r>
      <w:r w:rsidRPr="002A7443">
        <w:t xml:space="preserve"> questionnaire</w:t>
      </w:r>
      <w:r>
        <w:t>, an English version of the EASE, adapted for use in patients with FNSD</w:t>
      </w:r>
      <w:r w:rsidRPr="002A7443">
        <w:t xml:space="preserve">. </w:t>
      </w:r>
    </w:p>
    <w:p w14:paraId="78D4DF40" w14:textId="1049011C" w:rsidR="00997566" w:rsidRDefault="00997566" w:rsidP="00997566">
      <w:r w:rsidRPr="002A7443">
        <w:t>The primary aim was to evaluate the factor structure</w:t>
      </w:r>
      <w:r>
        <w:t xml:space="preserve">, assess the </w:t>
      </w:r>
      <w:r w:rsidR="00557755">
        <w:t xml:space="preserve">EASE-F's </w:t>
      </w:r>
      <w:r w:rsidRPr="002A7443">
        <w:t>reliability, validity and acceptability</w:t>
      </w:r>
      <w:r>
        <w:t>, and identify areas for refinement.</w:t>
      </w:r>
    </w:p>
    <w:p w14:paraId="19859B21" w14:textId="77777777" w:rsidR="00997566" w:rsidRPr="00755400" w:rsidRDefault="00997566" w:rsidP="00997566">
      <w:r w:rsidRPr="00755400">
        <w:t>Specifically, the objectives of this study were to:</w:t>
      </w:r>
    </w:p>
    <w:p w14:paraId="359D04A6" w14:textId="77777777" w:rsidR="00997566" w:rsidRPr="00755400" w:rsidRDefault="00997566" w:rsidP="00997566">
      <w:pPr>
        <w:pStyle w:val="ListParagraph"/>
        <w:numPr>
          <w:ilvl w:val="0"/>
          <w:numId w:val="19"/>
        </w:numPr>
        <w:spacing w:after="160"/>
      </w:pPr>
      <w:r w:rsidRPr="00755400">
        <w:t xml:space="preserve">Perform EFA to determine the factor structure of the EASE-F. </w:t>
      </w:r>
    </w:p>
    <w:p w14:paraId="63C82EF7" w14:textId="77777777" w:rsidR="00997566" w:rsidRPr="00755400" w:rsidRDefault="00997566" w:rsidP="00997566">
      <w:pPr>
        <w:pStyle w:val="ListParagraph"/>
        <w:numPr>
          <w:ilvl w:val="0"/>
          <w:numId w:val="19"/>
        </w:numPr>
        <w:spacing w:after="160"/>
      </w:pPr>
      <w:r w:rsidRPr="00755400">
        <w:t xml:space="preserve">Determine the model that </w:t>
      </w:r>
      <w:r>
        <w:t>best fits</w:t>
      </w:r>
      <w:r w:rsidRPr="00755400">
        <w:t xml:space="preserve"> the data using confirmatory factor analysis.</w:t>
      </w:r>
    </w:p>
    <w:p w14:paraId="11BEB1B2" w14:textId="77777777" w:rsidR="00997566" w:rsidRDefault="00997566" w:rsidP="00997566">
      <w:pPr>
        <w:pStyle w:val="ListParagraph"/>
        <w:numPr>
          <w:ilvl w:val="0"/>
          <w:numId w:val="19"/>
        </w:numPr>
        <w:spacing w:after="160"/>
      </w:pPr>
      <w:r w:rsidRPr="00755400">
        <w:t xml:space="preserve">Determine whether the items of the EASE-F can be assigned to the a-priori assumed constructs of self-efficacy, social support, self-perception and stigma in the EASE. </w:t>
      </w:r>
    </w:p>
    <w:p w14:paraId="5BB3A5B8" w14:textId="77777777" w:rsidR="00997566" w:rsidRDefault="00997566" w:rsidP="00997566">
      <w:pPr>
        <w:pStyle w:val="ListParagraph"/>
        <w:numPr>
          <w:ilvl w:val="0"/>
          <w:numId w:val="19"/>
        </w:numPr>
        <w:spacing w:after="160"/>
      </w:pPr>
      <w:r w:rsidRPr="00755400">
        <w:t xml:space="preserve">Explore any relationships between EASE-F factors and measures assessing mental co-morbidities, impairment and </w:t>
      </w:r>
      <w:proofErr w:type="spellStart"/>
      <w:r w:rsidRPr="00755400">
        <w:t>HrQOL</w:t>
      </w:r>
      <w:proofErr w:type="spellEnd"/>
      <w:r w:rsidRPr="00755400">
        <w:t>.</w:t>
      </w:r>
    </w:p>
    <w:p w14:paraId="15E97C8E" w14:textId="77777777" w:rsidR="00997566" w:rsidRPr="00507003" w:rsidRDefault="00997566" w:rsidP="00997566">
      <w:pPr>
        <w:pStyle w:val="ListParagraph"/>
        <w:numPr>
          <w:ilvl w:val="0"/>
          <w:numId w:val="19"/>
        </w:numPr>
        <w:spacing w:after="160"/>
        <w:rPr>
          <w:shd w:val="clear" w:color="auto" w:fill="FFFFFF"/>
        </w:rPr>
      </w:pPr>
      <w:r w:rsidRPr="00507003">
        <w:rPr>
          <w:shd w:val="clear" w:color="auto" w:fill="FFFFFF"/>
        </w:rPr>
        <w:t xml:space="preserve">Determine whether the EASE-F can be used as </w:t>
      </w:r>
      <w:r>
        <w:rPr>
          <w:shd w:val="clear" w:color="auto" w:fill="FFFFFF"/>
        </w:rPr>
        <w:t xml:space="preserve">a </w:t>
      </w:r>
      <w:r w:rsidRPr="00507003">
        <w:rPr>
          <w:shd w:val="clear" w:color="auto" w:fill="FFFFFF"/>
        </w:rPr>
        <w:t>clinically useful self-report measure in pwFNSD.</w:t>
      </w:r>
    </w:p>
    <w:p w14:paraId="395C1EF7" w14:textId="718BAC29" w:rsidR="00997566" w:rsidRPr="00755400" w:rsidRDefault="00997566" w:rsidP="00997566">
      <w:pPr>
        <w:rPr>
          <w:shd w:val="clear" w:color="auto" w:fill="FFFFFF"/>
        </w:rPr>
      </w:pPr>
      <w:r w:rsidRPr="00755400">
        <w:t xml:space="preserve">A secondary objective was to apply the Rasch model to the identified factors to explore the </w:t>
      </w:r>
      <w:r w:rsidR="00352F7F">
        <w:t>subscale's</w:t>
      </w:r>
      <w:r w:rsidRPr="00755400">
        <w:t xml:space="preserve"> psychometric properties and refine the measure.</w:t>
      </w:r>
      <w:r>
        <w:t xml:space="preserve"> </w:t>
      </w:r>
      <w:r w:rsidRPr="00755400">
        <w:t xml:space="preserve">Specifically, the questions to be </w:t>
      </w:r>
      <w:r w:rsidRPr="00755400">
        <w:rPr>
          <w:shd w:val="clear" w:color="auto" w:fill="FFFFFF"/>
        </w:rPr>
        <w:t>addressed by the Rasch analysis were:</w:t>
      </w:r>
    </w:p>
    <w:p w14:paraId="1E1CB93B" w14:textId="77777777" w:rsidR="00997566" w:rsidRPr="00755400" w:rsidRDefault="00997566" w:rsidP="00997566">
      <w:pPr>
        <w:pStyle w:val="ListParagraph"/>
        <w:numPr>
          <w:ilvl w:val="0"/>
          <w:numId w:val="20"/>
        </w:numPr>
        <w:spacing w:after="160"/>
        <w:rPr>
          <w:shd w:val="clear" w:color="auto" w:fill="FFFFFF"/>
        </w:rPr>
      </w:pPr>
      <w:r w:rsidRPr="00755400">
        <w:rPr>
          <w:shd w:val="clear" w:color="auto" w:fill="FFFFFF"/>
        </w:rPr>
        <w:t>Do the identified EASE-F factors fit the Rasch model?</w:t>
      </w:r>
    </w:p>
    <w:p w14:paraId="4EFADB8F" w14:textId="77777777" w:rsidR="00997566" w:rsidRPr="00755400" w:rsidRDefault="00997566" w:rsidP="00997566">
      <w:pPr>
        <w:pStyle w:val="ListParagraph"/>
        <w:numPr>
          <w:ilvl w:val="0"/>
          <w:numId w:val="20"/>
        </w:numPr>
        <w:spacing w:after="160"/>
        <w:rPr>
          <w:shd w:val="clear" w:color="auto" w:fill="FFFFFF"/>
        </w:rPr>
      </w:pPr>
      <w:r w:rsidRPr="00755400">
        <w:rPr>
          <w:shd w:val="clear" w:color="auto" w:fill="FFFFFF"/>
        </w:rPr>
        <w:t>Do the EASE-F factors and items appropriately fit into the distinct domains?</w:t>
      </w:r>
    </w:p>
    <w:p w14:paraId="08C5CF99" w14:textId="77777777" w:rsidR="00997566" w:rsidRPr="00755400" w:rsidRDefault="00997566" w:rsidP="00997566">
      <w:pPr>
        <w:pStyle w:val="ListParagraph"/>
        <w:numPr>
          <w:ilvl w:val="0"/>
          <w:numId w:val="20"/>
        </w:numPr>
        <w:spacing w:after="160"/>
        <w:rPr>
          <w:shd w:val="clear" w:color="auto" w:fill="FFFFFF"/>
        </w:rPr>
      </w:pPr>
      <w:r w:rsidRPr="00755400">
        <w:rPr>
          <w:shd w:val="clear" w:color="auto" w:fill="FFFFFF"/>
        </w:rPr>
        <w:t>Is there adequate reliability and validity for each of these factors?</w:t>
      </w:r>
    </w:p>
    <w:p w14:paraId="27B9E179" w14:textId="2E3D30C6" w:rsidR="00997566" w:rsidRPr="00755400" w:rsidRDefault="00557755" w:rsidP="00997566">
      <w:pPr>
        <w:pStyle w:val="ListParagraph"/>
        <w:numPr>
          <w:ilvl w:val="0"/>
          <w:numId w:val="20"/>
        </w:numPr>
        <w:spacing w:after="160"/>
        <w:rPr>
          <w:shd w:val="clear" w:color="auto" w:fill="FFFFFF"/>
        </w:rPr>
      </w:pPr>
      <w:r>
        <w:rPr>
          <w:shd w:val="clear" w:color="auto" w:fill="FFFFFF"/>
        </w:rPr>
        <w:t>Are</w:t>
      </w:r>
      <w:r w:rsidR="00997566" w:rsidRPr="00755400">
        <w:rPr>
          <w:shd w:val="clear" w:color="auto" w:fill="FFFFFF"/>
        </w:rPr>
        <w:t xml:space="preserve"> the response scales appropriate and well-targeted?</w:t>
      </w:r>
    </w:p>
    <w:p w14:paraId="210B9DF9" w14:textId="77777777" w:rsidR="00997566" w:rsidRPr="005D0124" w:rsidRDefault="00997566" w:rsidP="00997566">
      <w:pPr>
        <w:pStyle w:val="ListParagraph"/>
        <w:numPr>
          <w:ilvl w:val="0"/>
          <w:numId w:val="20"/>
        </w:numPr>
        <w:spacing w:after="160"/>
      </w:pPr>
      <w:r>
        <w:lastRenderedPageBreak/>
        <w:t>Another</w:t>
      </w:r>
      <w:r w:rsidRPr="002A7443">
        <w:t xml:space="preserve"> aim was to </w:t>
      </w:r>
      <w:r>
        <w:t>recommend</w:t>
      </w:r>
      <w:r w:rsidRPr="002A7443">
        <w:t xml:space="preserve"> a scoring system with</w:t>
      </w:r>
      <w:r>
        <w:t xml:space="preserve"> </w:t>
      </w:r>
      <w:r w:rsidRPr="002A7443">
        <w:t xml:space="preserve">clearly defined subscales and provide recommendations to refine the measure for further </w:t>
      </w:r>
      <w:r>
        <w:t>research</w:t>
      </w:r>
      <w:r w:rsidRPr="002A7443">
        <w:t xml:space="preserve"> and clinical use.</w:t>
      </w:r>
    </w:p>
    <w:p w14:paraId="55B82A14" w14:textId="77777777" w:rsidR="00997566" w:rsidRDefault="00997566" w:rsidP="00997566">
      <w:r>
        <w:br w:type="page"/>
      </w:r>
    </w:p>
    <w:p w14:paraId="3BC742C6" w14:textId="43E0EADD" w:rsidR="0014037C" w:rsidRPr="008A7A4B" w:rsidRDefault="0014037C" w:rsidP="0014037C">
      <w:pPr>
        <w:pStyle w:val="Heading2"/>
      </w:pPr>
      <w:bookmarkStart w:id="77" w:name="_Toc137504701"/>
      <w:r>
        <w:lastRenderedPageBreak/>
        <w:t>3</w:t>
      </w:r>
      <w:r w:rsidRPr="008A7A4B">
        <w:t>.</w:t>
      </w:r>
      <w:r>
        <w:t>2</w:t>
      </w:r>
      <w:r w:rsidRPr="008A7A4B">
        <w:t xml:space="preserve"> Methods</w:t>
      </w:r>
      <w:bookmarkEnd w:id="77"/>
    </w:p>
    <w:p w14:paraId="66598AC8" w14:textId="3E38D4EA" w:rsidR="0014037C" w:rsidRPr="0090079B" w:rsidRDefault="0014037C" w:rsidP="00DF606F">
      <w:pPr>
        <w:pStyle w:val="Heading3"/>
      </w:pPr>
      <w:bookmarkStart w:id="78" w:name="_Toc137504702"/>
      <w:r>
        <w:t>3.</w:t>
      </w:r>
      <w:r w:rsidRPr="0090079B">
        <w:t>2.1 Design and Participants</w:t>
      </w:r>
      <w:bookmarkEnd w:id="78"/>
    </w:p>
    <w:p w14:paraId="142E073B" w14:textId="77777777" w:rsidR="0014037C" w:rsidRPr="002470DA" w:rsidRDefault="0014037C" w:rsidP="00DF606F">
      <w:r>
        <w:t>This study used data from</w:t>
      </w:r>
      <w:r w:rsidRPr="002470DA">
        <w:t xml:space="preserve"> </w:t>
      </w:r>
      <w:r>
        <w:t xml:space="preserve">patients with </w:t>
      </w:r>
      <w:r w:rsidRPr="002470DA">
        <w:t>FNSD</w:t>
      </w:r>
      <w:r>
        <w:t xml:space="preserve"> (PwFNSD) </w:t>
      </w:r>
      <w:r w:rsidRPr="002470DA">
        <w:t xml:space="preserve">referred to a </w:t>
      </w:r>
      <w:r w:rsidRPr="00F24B49">
        <w:t>Neuro</w:t>
      </w:r>
      <w:r>
        <w:t xml:space="preserve">logy </w:t>
      </w:r>
      <w:r w:rsidRPr="00F24B49">
        <w:t>psychotherapy service at the Royal Hallamshire Hospital</w:t>
      </w:r>
      <w:r>
        <w:t xml:space="preserve">, Sheffield, to refine and validate the novel EASE-F questionnaire. </w:t>
      </w:r>
      <w:r w:rsidRPr="002470DA">
        <w:t xml:space="preserve">All patients entering the service between January 2020 and December 2021 were included in the study. </w:t>
      </w:r>
    </w:p>
    <w:p w14:paraId="44D81D7A" w14:textId="77777777" w:rsidR="0014037C" w:rsidRPr="002470DA" w:rsidRDefault="0014037C" w:rsidP="00DF606F">
      <w:r w:rsidRPr="002470DA">
        <w:t xml:space="preserve">Consultant Neurologists and trainees working in the STH Neurology Department refer eligible and willing patients with </w:t>
      </w:r>
      <w:r>
        <w:t>an</w:t>
      </w:r>
      <w:r w:rsidRPr="002470DA">
        <w:t xml:space="preserve"> FN</w:t>
      </w:r>
      <w:r>
        <w:t>S</w:t>
      </w:r>
      <w:r w:rsidRPr="002470DA">
        <w:t>D diagnosis to the service.</w:t>
      </w:r>
      <w:r>
        <w:t xml:space="preserve"> </w:t>
      </w:r>
      <w:r w:rsidRPr="002470DA">
        <w:t xml:space="preserve">The FNSD diagnosis is given by </w:t>
      </w:r>
      <w:r>
        <w:t xml:space="preserve">a </w:t>
      </w:r>
      <w:r w:rsidRPr="002470DA">
        <w:t>neurology clinician based on clinical data (focusing on positive signs as defined in the DSM-5 criteria for FNSD).</w:t>
      </w:r>
    </w:p>
    <w:p w14:paraId="31EFB041" w14:textId="77777777" w:rsidR="0014037C" w:rsidRPr="002470DA" w:rsidRDefault="0014037C" w:rsidP="00DF606F">
      <w:r w:rsidRPr="002470DA">
        <w:t>The exclusion criteria for referral are:</w:t>
      </w:r>
    </w:p>
    <w:p w14:paraId="53498CC5" w14:textId="77777777" w:rsidR="0014037C" w:rsidRPr="002470DA" w:rsidRDefault="0014037C" w:rsidP="0014037C">
      <w:pPr>
        <w:pStyle w:val="ListParagraph"/>
        <w:numPr>
          <w:ilvl w:val="0"/>
          <w:numId w:val="28"/>
        </w:numPr>
        <w:spacing w:after="160"/>
      </w:pPr>
      <w:r w:rsidRPr="002470DA">
        <w:t xml:space="preserve">Serious and ongoing psychiatric issues </w:t>
      </w:r>
      <w:r>
        <w:t xml:space="preserve">that </w:t>
      </w:r>
      <w:r w:rsidRPr="002470DA">
        <w:t>requir</w:t>
      </w:r>
      <w:r>
        <w:t>e</w:t>
      </w:r>
      <w:r w:rsidRPr="002470DA">
        <w:t xml:space="preserve"> attention from a psychiatrist.</w:t>
      </w:r>
    </w:p>
    <w:p w14:paraId="47AA55A1" w14:textId="77777777" w:rsidR="0014037C" w:rsidRPr="002470DA" w:rsidRDefault="0014037C" w:rsidP="0014037C">
      <w:pPr>
        <w:pStyle w:val="ListParagraph"/>
        <w:numPr>
          <w:ilvl w:val="0"/>
          <w:numId w:val="28"/>
        </w:numPr>
        <w:spacing w:after="160"/>
      </w:pPr>
      <w:r w:rsidRPr="002470DA">
        <w:t>Currently suicidal patients (ongoing attempts/plans, persistent urges or patients who have attempted suicide within the preceding year)</w:t>
      </w:r>
      <w:r>
        <w:t>.</w:t>
      </w:r>
    </w:p>
    <w:p w14:paraId="6CA3E930" w14:textId="77777777" w:rsidR="0014037C" w:rsidRPr="002470DA" w:rsidRDefault="0014037C" w:rsidP="0014037C">
      <w:pPr>
        <w:pStyle w:val="ListParagraph"/>
        <w:numPr>
          <w:ilvl w:val="0"/>
          <w:numId w:val="28"/>
        </w:numPr>
        <w:spacing w:after="160"/>
      </w:pPr>
      <w:r w:rsidRPr="002470DA">
        <w:t>Current recipient of psychotherapy elsewhere</w:t>
      </w:r>
      <w:r>
        <w:t>.</w:t>
      </w:r>
    </w:p>
    <w:p w14:paraId="6735BF43" w14:textId="77777777" w:rsidR="0014037C" w:rsidRPr="002470DA" w:rsidRDefault="0014037C" w:rsidP="0014037C">
      <w:pPr>
        <w:pStyle w:val="ListParagraph"/>
        <w:numPr>
          <w:ilvl w:val="0"/>
          <w:numId w:val="28"/>
        </w:numPr>
        <w:spacing w:after="160"/>
      </w:pPr>
      <w:r w:rsidRPr="002470DA">
        <w:t xml:space="preserve">Recipient of two previous </w:t>
      </w:r>
      <w:r>
        <w:t>courses</w:t>
      </w:r>
      <w:r w:rsidRPr="002470DA">
        <w:t xml:space="preserve"> of treatment from the service</w:t>
      </w:r>
      <w:r>
        <w:t>.</w:t>
      </w:r>
    </w:p>
    <w:p w14:paraId="13F74BAD" w14:textId="77777777" w:rsidR="0014037C" w:rsidRDefault="0014037C" w:rsidP="0014037C">
      <w:pPr>
        <w:pStyle w:val="ListParagraph"/>
        <w:numPr>
          <w:ilvl w:val="0"/>
          <w:numId w:val="28"/>
        </w:numPr>
        <w:spacing w:after="160"/>
      </w:pPr>
      <w:r w:rsidRPr="002470DA">
        <w:t xml:space="preserve">Alcohol- or </w:t>
      </w:r>
      <w:r>
        <w:t>opiate-dependency.</w:t>
      </w:r>
      <w:r w:rsidRPr="002470DA">
        <w:t xml:space="preserve"> </w:t>
      </w:r>
    </w:p>
    <w:p w14:paraId="111EF9A0" w14:textId="77777777" w:rsidR="0014037C" w:rsidRDefault="0014037C" w:rsidP="00DF606F">
      <w:r w:rsidRPr="0090079B">
        <w:t>The National Health Service (NHS)</w:t>
      </w:r>
      <w:r>
        <w:t xml:space="preserve"> provides the Specialist Psychotherapy service. It is organisationally sited within</w:t>
      </w:r>
      <w:r w:rsidRPr="0090079B">
        <w:t xml:space="preserve"> the STH Neurology department</w:t>
      </w:r>
      <w:r>
        <w:t>,</w:t>
      </w:r>
      <w:r w:rsidRPr="0090079B">
        <w:t xml:space="preserve"> which provides neurology services to the district general hospitals in the immediate surrounding areas within South Yorkshire, providing care to an adult population of approximately 1.39 million people.</w:t>
      </w:r>
    </w:p>
    <w:p w14:paraId="6C5B376E" w14:textId="13E10798" w:rsidR="0014037C" w:rsidRPr="008E2703" w:rsidRDefault="0014037C" w:rsidP="00DF606F">
      <w:pPr>
        <w:pStyle w:val="Heading3"/>
      </w:pPr>
      <w:bookmarkStart w:id="79" w:name="_Toc137504703"/>
      <w:r>
        <w:t>3.</w:t>
      </w:r>
      <w:r w:rsidRPr="008E2703">
        <w:t>2.2 Data</w:t>
      </w:r>
      <w:r>
        <w:t xml:space="preserve"> G</w:t>
      </w:r>
      <w:r w:rsidRPr="008E2703">
        <w:t>overnance and Ethical Approval</w:t>
      </w:r>
      <w:bookmarkEnd w:id="79"/>
    </w:p>
    <w:p w14:paraId="026A5BAB" w14:textId="77777777" w:rsidR="0014037C" w:rsidRPr="00C715E1" w:rsidRDefault="0014037C" w:rsidP="00DF606F">
      <w:pPr>
        <w:rPr>
          <w:b/>
          <w:bCs/>
          <w:lang w:eastAsia="zh-CN"/>
        </w:rPr>
      </w:pPr>
      <w:r w:rsidRPr="0090079B">
        <w:t>Data for this study were collected in the context of a service evaluation approved by the Clinical effectiveness unit of Sheffield Teaching Hospitals NHS Foundation Trust (</w:t>
      </w:r>
      <w:r>
        <w:t xml:space="preserve">Reference </w:t>
      </w:r>
      <w:r w:rsidRPr="00723637">
        <w:t>number</w:t>
      </w:r>
      <w:r>
        <w:t>:</w:t>
      </w:r>
      <w:r w:rsidRPr="00723637">
        <w:t xml:space="preserve"> 9886).</w:t>
      </w:r>
      <w:r>
        <w:t xml:space="preserve"> </w:t>
      </w:r>
      <w:r w:rsidRPr="0090079B">
        <w:t>This en</w:t>
      </w:r>
      <w:r>
        <w:t>sured</w:t>
      </w:r>
      <w:r w:rsidRPr="0090079B">
        <w:t xml:space="preserve"> </w:t>
      </w:r>
      <w:r>
        <w:t xml:space="preserve">that </w:t>
      </w:r>
      <w:r w:rsidRPr="0090079B">
        <w:t xml:space="preserve">anonymised, routinely collected data </w:t>
      </w:r>
      <w:r>
        <w:t xml:space="preserve">from consecutive patients opting into treatment from the psychotherapy services </w:t>
      </w:r>
      <w:r w:rsidRPr="0090079B">
        <w:t>could b</w:t>
      </w:r>
      <w:r>
        <w:t>e</w:t>
      </w:r>
      <w:r w:rsidRPr="0090079B">
        <w:t xml:space="preserve"> used for this analysis without </w:t>
      </w:r>
      <w:r>
        <w:t>patients'</w:t>
      </w:r>
      <w:r w:rsidRPr="0090079B">
        <w:t xml:space="preserve"> explicit consent. </w:t>
      </w:r>
    </w:p>
    <w:p w14:paraId="454B6764" w14:textId="3176558B" w:rsidR="0014037C" w:rsidRPr="008E2703" w:rsidRDefault="0014037C" w:rsidP="00DF606F">
      <w:pPr>
        <w:pStyle w:val="Heading3"/>
      </w:pPr>
      <w:bookmarkStart w:id="80" w:name="_Toc137504704"/>
      <w:r>
        <w:t>3.</w:t>
      </w:r>
      <w:r w:rsidRPr="008E2703">
        <w:t xml:space="preserve">2.3 Data </w:t>
      </w:r>
      <w:r>
        <w:t>C</w:t>
      </w:r>
      <w:r w:rsidRPr="008E2703">
        <w:t xml:space="preserve">ollection – </w:t>
      </w:r>
      <w:r>
        <w:t>M</w:t>
      </w:r>
      <w:r w:rsidRPr="008E2703">
        <w:t>easures</w:t>
      </w:r>
      <w:bookmarkEnd w:id="80"/>
    </w:p>
    <w:p w14:paraId="78CA50FA" w14:textId="77777777" w:rsidR="0014037C" w:rsidRDefault="0014037C" w:rsidP="00DF606F">
      <w:r w:rsidRPr="00F24B49">
        <w:t>The</w:t>
      </w:r>
      <w:r>
        <w:t xml:space="preserve"> questionnaire packs accessed to obtain the routinely collected data for this analysis are used to express</w:t>
      </w:r>
      <w:r w:rsidRPr="00723637">
        <w:t xml:space="preserve"> interest in receiving therapy following referral to the psychotherapy service</w:t>
      </w:r>
      <w:r>
        <w:t>. Therefore these</w:t>
      </w:r>
      <w:r w:rsidRPr="00723637">
        <w:t xml:space="preserve"> a</w:t>
      </w:r>
      <w:r>
        <w:t>re a</w:t>
      </w:r>
      <w:r w:rsidRPr="00723637">
        <w:t xml:space="preserve"> precondition to receiving an initial </w:t>
      </w:r>
      <w:r w:rsidRPr="00723637">
        <w:lastRenderedPageBreak/>
        <w:t xml:space="preserve">appointment for </w:t>
      </w:r>
      <w:r>
        <w:t xml:space="preserve">an </w:t>
      </w:r>
      <w:r w:rsidRPr="00723637">
        <w:t>assessment, formulation, treatment planning or signposting.</w:t>
      </w:r>
      <w:r>
        <w:t xml:space="preserve"> These opt-in questionnaire packs are sent to patients by post and returned in pre-paid envelopes</w:t>
      </w:r>
      <w:r w:rsidRPr="006C6B02">
        <w:t>.</w:t>
      </w:r>
      <w:r>
        <w:t xml:space="preserve"> </w:t>
      </w:r>
      <w:r w:rsidRPr="006C6B02">
        <w:t>Patients are sent the questionnaires up to 21 days after referral.</w:t>
      </w:r>
      <w:r>
        <w:t xml:space="preserve"> </w:t>
      </w:r>
      <w:r w:rsidRPr="006C6B02">
        <w:t>Upon return of completed questionnaires, the patients are assessed and placed on a waiting list to begin psychotherapy.</w:t>
      </w:r>
      <w:r>
        <w:t xml:space="preserve"> </w:t>
      </w:r>
      <w:r w:rsidRPr="006C6B02">
        <w:t>All patients referred to the service are required to complete questionnaires.</w:t>
      </w:r>
      <w:r>
        <w:t xml:space="preserve"> </w:t>
      </w:r>
      <w:r w:rsidRPr="006C6B02">
        <w:t xml:space="preserve">Patients who </w:t>
      </w:r>
      <w:r>
        <w:t>cannot</w:t>
      </w:r>
      <w:r w:rsidRPr="006C6B02">
        <w:t xml:space="preserve"> complete the forms independently</w:t>
      </w:r>
      <w:r>
        <w:t xml:space="preserve"> due to, for example, </w:t>
      </w:r>
      <w:r w:rsidRPr="00723637">
        <w:t xml:space="preserve">English language limitations or intellectual </w:t>
      </w:r>
      <w:r>
        <w:t>impairment are offered a session with a therapist and, if necessary, an interpreter to complete these before assessment.</w:t>
      </w:r>
    </w:p>
    <w:p w14:paraId="04917C03" w14:textId="77777777" w:rsidR="0014037C" w:rsidRDefault="0014037C" w:rsidP="00DF606F">
      <w:r>
        <w:t xml:space="preserve">The questionnaire battery provides demographic data and a patient-reported account of functional symptoms at baseline. </w:t>
      </w:r>
    </w:p>
    <w:p w14:paraId="5C4F35DC" w14:textId="77777777" w:rsidR="0014037C" w:rsidRPr="00410819" w:rsidRDefault="0014037C" w:rsidP="00DF606F">
      <w:pPr>
        <w:rPr>
          <w:u w:val="single"/>
        </w:rPr>
      </w:pPr>
      <w:r w:rsidRPr="00410819">
        <w:rPr>
          <w:u w:val="single"/>
        </w:rPr>
        <w:t xml:space="preserve">Demographic / FND characterisation questionnaire </w:t>
      </w:r>
    </w:p>
    <w:p w14:paraId="65D230A8" w14:textId="77777777" w:rsidR="0014037C" w:rsidRPr="00723637" w:rsidRDefault="0014037C" w:rsidP="00DF606F">
      <w:r w:rsidRPr="00723637">
        <w:t>The ongoing service evaluation, in which this present study was embedded and obtained data, is a requirement of the healthcare purchasers who ultimately fund the service.</w:t>
      </w:r>
      <w:r>
        <w:t xml:space="preserve"> </w:t>
      </w:r>
      <w:r w:rsidRPr="00723637">
        <w:t>The EASE was included in a questionnaire pack designed to</w:t>
      </w:r>
      <w:r>
        <w:t xml:space="preserve"> characterise the patient's demography,</w:t>
      </w:r>
      <w:r w:rsidRPr="00723637">
        <w:t xml:space="preserve"> functioning and comorbidity profile before and after psychotherapy. </w:t>
      </w:r>
    </w:p>
    <w:p w14:paraId="4BA180E9" w14:textId="77777777" w:rsidR="0014037C" w:rsidRPr="00410819" w:rsidRDefault="0014037C" w:rsidP="00DF606F">
      <w:pPr>
        <w:rPr>
          <w:u w:val="single"/>
        </w:rPr>
      </w:pPr>
      <w:r>
        <w:rPr>
          <w:u w:val="single"/>
        </w:rPr>
        <w:t>Anxiety: Generalised Anxiety Disorder (</w:t>
      </w:r>
      <w:r w:rsidRPr="00410819">
        <w:rPr>
          <w:u w:val="single"/>
        </w:rPr>
        <w:t>GAD-7</w:t>
      </w:r>
      <w:r>
        <w:rPr>
          <w:u w:val="single"/>
        </w:rPr>
        <w:t>)</w:t>
      </w:r>
      <w:r w:rsidRPr="00410819">
        <w:rPr>
          <w:u w:val="single"/>
        </w:rPr>
        <w:t xml:space="preserve"> </w:t>
      </w:r>
    </w:p>
    <w:p w14:paraId="0DDB495B" w14:textId="47265BCF" w:rsidR="0014037C" w:rsidRPr="008E2703" w:rsidRDefault="0014037C" w:rsidP="00DF606F">
      <w:r w:rsidRPr="0090079B">
        <w:t xml:space="preserve">The GAD-7 is a </w:t>
      </w:r>
      <w:r>
        <w:t>7-item</w:t>
      </w:r>
      <w:r w:rsidRPr="0090079B">
        <w:t xml:space="preserve"> self-report questionnaire designed to assess symptoms of anxiety experienced over the past </w:t>
      </w:r>
      <w:r>
        <w:t>two</w:t>
      </w:r>
      <w:r w:rsidRPr="0090079B">
        <w:t xml:space="preserve"> weeks</w:t>
      </w:r>
      <w:r>
        <w:t xml:space="preserve"> </w:t>
      </w:r>
      <w:sdt>
        <w:sdtPr>
          <w:rPr>
            <w:color w:val="000000"/>
          </w:rPr>
          <w:tag w:val="MENDELEY_CITATION_v3_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"/>
          <w:id w:val="-1332751918"/>
          <w:placeholder>
            <w:docPart w:val="6CAF6727D216124B999E426FFEFDB49E"/>
          </w:placeholder>
        </w:sdtPr>
        <w:sdtContent>
          <w:r w:rsidR="0047170A" w:rsidRPr="0047170A">
            <w:rPr>
              <w:color w:val="000000"/>
            </w:rPr>
            <w:t>(Spitzer et al., 2006)</w:t>
          </w:r>
        </w:sdtContent>
      </w:sdt>
      <w:r w:rsidRPr="0090079B">
        <w:t xml:space="preserve"> that has been widely used in psychiatric populations and patients with functional somatic symptoms</w:t>
      </w:r>
      <w:r>
        <w:t xml:space="preserve"> </w:t>
      </w:r>
      <w:sdt>
        <w:sdtPr>
          <w:rPr>
            <w:color w:val="000000"/>
          </w:rPr>
          <w:tag w:val="MENDELEY_CITATION_v3_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"/>
          <w:id w:val="369655524"/>
          <w:placeholder>
            <w:docPart w:val="6CAF6727D216124B999E426FFEFDB49E"/>
          </w:placeholder>
        </w:sdtPr>
        <w:sdtContent>
          <w:r w:rsidR="0047170A" w:rsidRPr="0047170A">
            <w:rPr>
              <w:color w:val="000000"/>
            </w:rPr>
            <w:t>(Vijay et al., 2014)</w:t>
          </w:r>
        </w:sdtContent>
      </w:sdt>
      <w:r>
        <w:t xml:space="preserve">. </w:t>
      </w:r>
      <w:r w:rsidRPr="0090079B">
        <w:t>It has high internal consistency (a=0.</w:t>
      </w:r>
      <w:r>
        <w:t>89</w:t>
      </w:r>
      <w:r w:rsidRPr="0090079B">
        <w:t xml:space="preserve">) </w:t>
      </w:r>
      <w:sdt>
        <w:sdtPr>
          <w:rPr>
            <w:color w:val="000000"/>
          </w:rPr>
          <w:tag w:val="MENDELEY_CITATION_v3_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"/>
          <w:id w:val="-252129066"/>
          <w:placeholder>
            <w:docPart w:val="6CAF6727D216124B999E426FFEFDB49E"/>
          </w:placeholder>
        </w:sdtPr>
        <w:sdtContent>
          <w:r w:rsidR="0047170A" w:rsidRPr="0047170A">
            <w:rPr>
              <w:color w:val="000000"/>
            </w:rPr>
            <w:t>(Kroenke et al., 2010a)</w:t>
          </w:r>
        </w:sdtContent>
      </w:sdt>
      <w:r>
        <w:t xml:space="preserve"> </w:t>
      </w:r>
      <w:r w:rsidRPr="0090079B">
        <w:t xml:space="preserve">and has shown good convergent validity and sensitivity </w:t>
      </w:r>
      <w:sdt>
        <w:sdtPr>
          <w:rPr>
            <w:color w:val="000000"/>
          </w:rPr>
          <w:tag w:val="MENDELEY_CITATION_v3_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"/>
          <w:id w:val="447748319"/>
          <w:placeholder>
            <w:docPart w:val="6CAF6727D216124B999E426FFEFDB49E"/>
          </w:placeholder>
        </w:sdtPr>
        <w:sdtContent>
          <w:r w:rsidR="0047170A">
            <w:rPr>
              <w:rFonts w:eastAsia="Times New Roman"/>
            </w:rPr>
            <w:t xml:space="preserve">(Beard &amp; </w:t>
          </w:r>
          <w:proofErr w:type="spellStart"/>
          <w:r w:rsidR="0047170A">
            <w:rPr>
              <w:rFonts w:eastAsia="Times New Roman"/>
            </w:rPr>
            <w:t>Björgvinsson</w:t>
          </w:r>
          <w:proofErr w:type="spellEnd"/>
          <w:r w:rsidR="0047170A">
            <w:rPr>
              <w:rFonts w:eastAsia="Times New Roman"/>
            </w:rPr>
            <w:t>, 2014)</w:t>
          </w:r>
        </w:sdtContent>
      </w:sdt>
      <w:r w:rsidRPr="008E2703">
        <w:t>.</w:t>
      </w:r>
      <w:r>
        <w:t xml:space="preserve"> Similar findings were found in adults with functional seizures, with high internal consistency </w:t>
      </w:r>
      <w:r w:rsidRPr="0090079B">
        <w:t>(a=0.</w:t>
      </w:r>
      <w:r>
        <w:t>92</w:t>
      </w:r>
      <w:r w:rsidRPr="0090079B">
        <w:t>)</w:t>
      </w:r>
      <w:r>
        <w:t xml:space="preserve"> and a fair diagnostic accuracy (AUC – 0.72). A cut-off of &gt; 12 was found to have the best balance of sensitivity and specificity of likely clinical anxiety disorder in FNSD </w:t>
      </w:r>
      <w:sdt>
        <w:sdtPr>
          <w:rPr>
            <w:color w:val="000000"/>
          </w:rPr>
          <w:tag w:val="MENDELEY_CITATION_v3_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"/>
          <w:id w:val="1612774903"/>
          <w:placeholder>
            <w:docPart w:val="6CAF6727D216124B999E426FFEFDB49E"/>
          </w:placeholder>
        </w:sdtPr>
        <w:sdtContent>
          <w:r w:rsidR="0047170A" w:rsidRPr="0047170A">
            <w:rPr>
              <w:color w:val="000000"/>
            </w:rPr>
            <w:t>(Goldstein et al., 2023)</w:t>
          </w:r>
        </w:sdtContent>
      </w:sdt>
      <w:r>
        <w:t>.</w:t>
      </w:r>
    </w:p>
    <w:p w14:paraId="3099F250" w14:textId="77777777" w:rsidR="0014037C" w:rsidRPr="00410819" w:rsidRDefault="0014037C" w:rsidP="00DF606F">
      <w:pPr>
        <w:rPr>
          <w:u w:val="single"/>
        </w:rPr>
      </w:pPr>
      <w:r w:rsidRPr="00410819">
        <w:rPr>
          <w:u w:val="single"/>
        </w:rPr>
        <w:t xml:space="preserve">Depression: Patient Health Questionnaire-9 (PHQ-9) </w:t>
      </w:r>
    </w:p>
    <w:p w14:paraId="1CF1C121" w14:textId="23E9DB63" w:rsidR="0014037C" w:rsidRDefault="0014037C" w:rsidP="00DF606F">
      <w:r w:rsidRPr="0090079B">
        <w:t xml:space="preserve">A self-report questionnaire measuring symptoms of depression over the past </w:t>
      </w:r>
      <w:r>
        <w:t>two</w:t>
      </w:r>
      <w:r w:rsidRPr="0090079B">
        <w:t xml:space="preserve"> weeks that map to the DSM-IV criteria </w:t>
      </w:r>
      <w:sdt>
        <w:sdtPr>
          <w:rPr>
            <w:color w:val="000000"/>
          </w:rPr>
          <w:tag w:val="MENDELEY_CITATION_v3_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"/>
          <w:id w:val="823624377"/>
          <w:placeholder>
            <w:docPart w:val="6CAF6727D216124B999E426FFEFDB49E"/>
          </w:placeholder>
        </w:sdtPr>
        <w:sdtContent>
          <w:r w:rsidR="0047170A" w:rsidRPr="0047170A">
            <w:rPr>
              <w:color w:val="000000"/>
            </w:rPr>
            <w:t>(Kroenke et al., 2001a)</w:t>
          </w:r>
        </w:sdtContent>
      </w:sdt>
      <w:r>
        <w:t xml:space="preserve">. </w:t>
      </w:r>
      <w:r w:rsidRPr="0090079B">
        <w:t>The PHQ-9 is also a widely used clinical measure and has been administered to patients with NEAD</w:t>
      </w:r>
      <w:r>
        <w:t xml:space="preserve"> </w:t>
      </w:r>
      <w:sdt>
        <w:sdtPr>
          <w:rPr>
            <w:color w:val="000000"/>
          </w:rPr>
          <w:tag w:val="MENDELEY_CITATION_v3_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"/>
          <w:id w:val="1563521339"/>
          <w:placeholder>
            <w:docPart w:val="6CAF6727D216124B999E426FFEFDB49E"/>
          </w:placeholder>
        </w:sdtPr>
        <w:sdtContent>
          <w:r w:rsidR="0047170A" w:rsidRPr="0047170A">
            <w:rPr>
              <w:color w:val="000000"/>
            </w:rPr>
            <w:t>(S. Chen et al., 2010)</w:t>
          </w:r>
        </w:sdtContent>
      </w:sdt>
      <w:r>
        <w:t xml:space="preserve">. In a sample of patients with functional seizures, the </w:t>
      </w:r>
      <w:r w:rsidRPr="00F1065E">
        <w:t>PHQ-9</w:t>
      </w:r>
      <w:r>
        <w:t xml:space="preserve"> showed high internal consistency </w:t>
      </w:r>
      <w:r w:rsidRPr="00F1065E">
        <w:t>(α = 0.87)</w:t>
      </w:r>
      <w:r>
        <w:t>. A</w:t>
      </w:r>
      <w:r w:rsidRPr="00F1065E">
        <w:t xml:space="preserve"> cut-off of ≥10 ha</w:t>
      </w:r>
      <w:r>
        <w:t>d</w:t>
      </w:r>
      <w:r w:rsidRPr="00F1065E">
        <w:t xml:space="preserve"> the best predictive performance</w:t>
      </w:r>
      <w:r>
        <w:t xml:space="preserve">, while a cut-off of </w:t>
      </w:r>
      <w:r w:rsidRPr="00F1065E">
        <w:t>≥1</w:t>
      </w:r>
      <w:r>
        <w:t xml:space="preserve">3 yielded the best sensitivity and specificity balance in the patient group </w:t>
      </w:r>
      <w:sdt>
        <w:sdtPr>
          <w:rPr>
            <w:color w:val="000000"/>
          </w:rPr>
          <w:tag w:val="MENDELEY_CITATION_v3_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"/>
          <w:id w:val="-1335764622"/>
          <w:placeholder>
            <w:docPart w:val="6CAF6727D216124B999E426FFEFDB49E"/>
          </w:placeholder>
        </w:sdtPr>
        <w:sdtContent>
          <w:r w:rsidR="0047170A" w:rsidRPr="0047170A">
            <w:rPr>
              <w:color w:val="000000"/>
            </w:rPr>
            <w:t>(</w:t>
          </w:r>
          <w:proofErr w:type="spellStart"/>
          <w:r w:rsidR="0047170A" w:rsidRPr="0047170A">
            <w:rPr>
              <w:color w:val="000000"/>
            </w:rPr>
            <w:t>Baldellou</w:t>
          </w:r>
          <w:proofErr w:type="spellEnd"/>
          <w:r w:rsidR="0047170A" w:rsidRPr="0047170A">
            <w:rPr>
              <w:color w:val="000000"/>
            </w:rPr>
            <w:t xml:space="preserve"> Lopez et al., 2021)</w:t>
          </w:r>
        </w:sdtContent>
      </w:sdt>
      <w:r>
        <w:t xml:space="preserve">. </w:t>
      </w:r>
    </w:p>
    <w:p w14:paraId="018ACF35" w14:textId="77777777" w:rsidR="0014037C" w:rsidRPr="00410819" w:rsidRDefault="0014037C" w:rsidP="00DF606F">
      <w:pPr>
        <w:rPr>
          <w:u w:val="single"/>
        </w:rPr>
      </w:pPr>
      <w:r w:rsidRPr="00410819">
        <w:rPr>
          <w:u w:val="single"/>
        </w:rPr>
        <w:lastRenderedPageBreak/>
        <w:t xml:space="preserve">Somatic Symptoms: Patient Health Questionnaire-15 (PHQ-15) </w:t>
      </w:r>
    </w:p>
    <w:p w14:paraId="453BCAEB" w14:textId="43BD7FAB" w:rsidR="0014037C" w:rsidRPr="0090079B" w:rsidRDefault="0014037C" w:rsidP="00DF606F">
      <w:r w:rsidRPr="0090079B">
        <w:t xml:space="preserve">The PHQ-15 is a </w:t>
      </w:r>
      <w:r>
        <w:t>15-item</w:t>
      </w:r>
      <w:r w:rsidRPr="0090079B">
        <w:t xml:space="preserve"> self-report questionnaire assessing the frequency and severity of somatic symptoms experienced over the past four weeks</w:t>
      </w:r>
      <w:r>
        <w:t xml:space="preserve"> </w:t>
      </w:r>
      <w:sdt>
        <w:sdtPr>
          <w:rPr>
            <w:color w:val="000000"/>
          </w:rPr>
          <w:tag w:val="MENDELEY_CITATION_v3_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"/>
          <w:id w:val="-639186590"/>
          <w:placeholder>
            <w:docPart w:val="6CAF6727D216124B999E426FFEFDB49E"/>
          </w:placeholder>
        </w:sdtPr>
        <w:sdtContent>
          <w:r w:rsidR="0047170A" w:rsidRPr="0047170A">
            <w:rPr>
              <w:color w:val="000000"/>
            </w:rPr>
            <w:t>(</w:t>
          </w:r>
          <w:proofErr w:type="spellStart"/>
          <w:r w:rsidR="0047170A" w:rsidRPr="0047170A">
            <w:rPr>
              <w:color w:val="000000"/>
            </w:rPr>
            <w:t>Hinz</w:t>
          </w:r>
          <w:proofErr w:type="spellEnd"/>
          <w:r w:rsidR="0047170A" w:rsidRPr="0047170A">
            <w:rPr>
              <w:color w:val="000000"/>
            </w:rPr>
            <w:t xml:space="preserve"> et al., 2017; Kroenke et al., 2002)</w:t>
          </w:r>
        </w:sdtContent>
      </w:sdt>
      <w:r>
        <w:rPr>
          <w:color w:val="000000"/>
        </w:rPr>
        <w:t>.</w:t>
      </w:r>
      <w:r>
        <w:t xml:space="preserve"> </w:t>
      </w:r>
      <w:r w:rsidRPr="0090079B">
        <w:t>It has demonstrated a high internal consistency (a=0.8)</w:t>
      </w:r>
      <w:sdt>
        <w:sdtPr>
          <w:rPr>
            <w:color w:val="000000"/>
          </w:rPr>
          <w:tag w:val="MENDELEY_CITATION_v3_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"/>
          <w:id w:val="-1530794161"/>
          <w:placeholder>
            <w:docPart w:val="6CAF6727D216124B999E426FFEFDB49E"/>
          </w:placeholder>
        </w:sdtPr>
        <w:sdtContent>
          <w:r w:rsidR="0047170A" w:rsidRPr="0047170A">
            <w:rPr>
              <w:color w:val="000000"/>
            </w:rPr>
            <w:t>(Kroenke et al., 2002)</w:t>
          </w:r>
        </w:sdtContent>
      </w:sdt>
      <w:r w:rsidRPr="0090079B">
        <w:t xml:space="preserve"> and has been utilised in stud</w:t>
      </w:r>
      <w:r>
        <w:t>ies</w:t>
      </w:r>
      <w:r w:rsidRPr="0090079B">
        <w:t xml:space="preserve"> with patients with Nonepileptic Attack Disorder and patients with other FNS</w:t>
      </w:r>
      <w:r>
        <w:t>D to characterise patients' somatic symptom burden</w:t>
      </w:r>
      <w:r w:rsidRPr="0090079B">
        <w:t xml:space="preserve"> </w:t>
      </w:r>
      <w:sdt>
        <w:sdtPr>
          <w:rPr>
            <w:color w:val="000000"/>
          </w:rPr>
          <w:tag w:val="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"/>
          <w:id w:val="-681505767"/>
          <w:placeholder>
            <w:docPart w:val="6CAF6727D216124B999E426FFEFDB49E"/>
          </w:placeholder>
        </w:sdtPr>
        <w:sdtContent>
          <w:r w:rsidR="0047170A" w:rsidRPr="0047170A">
            <w:rPr>
              <w:color w:val="000000"/>
            </w:rPr>
            <w:t xml:space="preserve">(Goldstein et al., 2020b; Novakova et al., 2015; Reuber, </w:t>
          </w:r>
          <w:proofErr w:type="spellStart"/>
          <w:r w:rsidR="0047170A" w:rsidRPr="0047170A">
            <w:rPr>
              <w:color w:val="000000"/>
            </w:rPr>
            <w:t>Burness</w:t>
          </w:r>
          <w:proofErr w:type="spellEnd"/>
          <w:r w:rsidR="0047170A" w:rsidRPr="0047170A">
            <w:rPr>
              <w:color w:val="000000"/>
            </w:rPr>
            <w:t>, et al., 2007)</w:t>
          </w:r>
        </w:sdtContent>
      </w:sdt>
      <w:r>
        <w:t>.</w:t>
      </w:r>
      <w:r w:rsidRPr="0090079B">
        <w:t xml:space="preserve"> </w:t>
      </w:r>
    </w:p>
    <w:p w14:paraId="21E468B9" w14:textId="77777777" w:rsidR="0014037C" w:rsidRPr="00410819" w:rsidRDefault="0014037C" w:rsidP="00DF606F">
      <w:pPr>
        <w:rPr>
          <w:u w:val="single"/>
        </w:rPr>
      </w:pPr>
      <w:r w:rsidRPr="00410819">
        <w:rPr>
          <w:u w:val="single"/>
        </w:rPr>
        <w:t>PTSD Symptoms: Post-Traumatic Stress Disorder Checklist for DSM-5 (PCL-5)</w:t>
      </w:r>
    </w:p>
    <w:p w14:paraId="52924DDC" w14:textId="4BAA10B0" w:rsidR="0014037C" w:rsidRPr="0090079B" w:rsidRDefault="0014037C" w:rsidP="00DF606F">
      <w:r w:rsidRPr="0090079B">
        <w:t>The PCL-5 is a 20-item self-report Likert scale measure that assesses each of the 20 symptoms of PTSD described in the DSM-5 diagnostic criteria.</w:t>
      </w:r>
      <w:r>
        <w:t xml:space="preserve"> </w:t>
      </w:r>
      <w:r w:rsidRPr="0090079B">
        <w:t>Blevins et al.</w:t>
      </w:r>
      <w:r>
        <w:t xml:space="preserve"> </w:t>
      </w:r>
      <w:sdt>
        <w:sdtPr>
          <w:rPr>
            <w:color w:val="000000"/>
          </w:rPr>
          <w:tag w:val="MENDELEY_CITATION_v3_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"/>
          <w:id w:val="-1992318360"/>
          <w:placeholder>
            <w:docPart w:val="6CAF6727D216124B999E426FFEFDB49E"/>
          </w:placeholder>
        </w:sdtPr>
        <w:sdtContent>
          <w:r w:rsidR="0047170A" w:rsidRPr="0047170A">
            <w:rPr>
              <w:color w:val="000000"/>
            </w:rPr>
            <w:t>(2015)</w:t>
          </w:r>
        </w:sdtContent>
      </w:sdt>
      <w:r w:rsidRPr="0090079B">
        <w:t xml:space="preserve"> showed PCL-5 scores displayed strong internal consistency (</w:t>
      </w:r>
      <w:r w:rsidRPr="0090079B">
        <w:rPr>
          <w:rFonts w:cs="Avenir Heavy"/>
        </w:rPr>
        <w:t>α</w:t>
      </w:r>
      <w:r w:rsidRPr="0090079B">
        <w:t xml:space="preserve"> = .94), test</w:t>
      </w:r>
      <w:r w:rsidRPr="0090079B">
        <w:rPr>
          <w:rFonts w:ascii="Cambria Math" w:hAnsi="Cambria Math" w:cs="Cambria Math"/>
        </w:rPr>
        <w:t>‐</w:t>
      </w:r>
      <w:r w:rsidRPr="0090079B">
        <w:t>retest reliability (r</w:t>
      </w:r>
      <w:r w:rsidRPr="0090079B">
        <w:rPr>
          <w:rFonts w:cs="Century Gothic"/>
        </w:rPr>
        <w:t> </w:t>
      </w:r>
      <w:r w:rsidRPr="0090079B">
        <w:t>= .82), and convergent (</w:t>
      </w:r>
      <w:proofErr w:type="spellStart"/>
      <w:r w:rsidRPr="0090079B">
        <w:t>rs</w:t>
      </w:r>
      <w:proofErr w:type="spellEnd"/>
      <w:r w:rsidRPr="0090079B">
        <w:t xml:space="preserve"> = .74 to .85) and discriminant (</w:t>
      </w:r>
      <w:proofErr w:type="spellStart"/>
      <w:r w:rsidRPr="0090079B">
        <w:t>rs</w:t>
      </w:r>
      <w:proofErr w:type="spellEnd"/>
      <w:r w:rsidRPr="0090079B">
        <w:t xml:space="preserve"> = .31 to .60) validity. The measure has previously been used in FND patient population</w:t>
      </w:r>
      <w:r>
        <w:t xml:space="preserve">s </w:t>
      </w:r>
      <w:sdt>
        <w:sdtPr>
          <w:rPr>
            <w:color w:val="000000"/>
          </w:rPr>
          <w:tag w:val="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"/>
          <w:id w:val="-313801917"/>
          <w:placeholder>
            <w:docPart w:val="6CAF6727D216124B999E426FFEFDB49E"/>
          </w:placeholder>
        </w:sdtPr>
        <w:sdtContent>
          <w:r w:rsidR="0047170A" w:rsidRPr="0047170A">
            <w:rPr>
              <w:color w:val="000000"/>
            </w:rPr>
            <w:t xml:space="preserve">(Gray et al., 2020; </w:t>
          </w:r>
          <w:proofErr w:type="spellStart"/>
          <w:r w:rsidR="0047170A" w:rsidRPr="0047170A">
            <w:rPr>
              <w:color w:val="000000"/>
            </w:rPr>
            <w:t>Jalilianhasanpour</w:t>
          </w:r>
          <w:proofErr w:type="spellEnd"/>
          <w:r w:rsidR="0047170A" w:rsidRPr="0047170A">
            <w:rPr>
              <w:color w:val="000000"/>
            </w:rPr>
            <w:t xml:space="preserve"> et al., 2018)</w:t>
          </w:r>
        </w:sdtContent>
      </w:sdt>
      <w:r>
        <w:t>.</w:t>
      </w:r>
    </w:p>
    <w:p w14:paraId="51C1C3CB" w14:textId="77777777" w:rsidR="0014037C" w:rsidRPr="00410819" w:rsidRDefault="0014037C" w:rsidP="00DF606F">
      <w:pPr>
        <w:rPr>
          <w:u w:val="single"/>
        </w:rPr>
      </w:pPr>
      <w:r w:rsidRPr="00410819">
        <w:rPr>
          <w:u w:val="single"/>
        </w:rPr>
        <w:t xml:space="preserve">The Work and Social Adjustment Scale (WSAS) </w:t>
      </w:r>
    </w:p>
    <w:p w14:paraId="1181188B" w14:textId="46BB82F6" w:rsidR="0014037C" w:rsidRPr="0090079B" w:rsidRDefault="0014037C" w:rsidP="00DF606F">
      <w:r w:rsidRPr="0090079B">
        <w:t>The WSAS is a generic 5-item self-report measure of social functioning that assesses the extent of impairment attributed to an identified condition</w:t>
      </w:r>
      <w:r>
        <w:t>.</w:t>
      </w:r>
      <w:r w:rsidRPr="0090079B">
        <w:t xml:space="preserve"> The internal consistency was shown to be high when measured at multiple time points in </w:t>
      </w:r>
      <w:r>
        <w:t>d</w:t>
      </w:r>
      <w:r w:rsidRPr="0090079B">
        <w:t>epression and OCD populations (a &lt;0.79)</w:t>
      </w:r>
      <w:r>
        <w:t xml:space="preserve"> </w:t>
      </w:r>
      <w:sdt>
        <w:sdtPr>
          <w:rPr>
            <w:color w:val="000000"/>
          </w:rPr>
          <w:tag w:val="MENDELEY_CITATION_v3_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"/>
          <w:id w:val="803043056"/>
          <w:placeholder>
            <w:docPart w:val="6CAF6727D216124B999E426FFEFDB49E"/>
          </w:placeholder>
        </w:sdtPr>
        <w:sdtContent>
          <w:r w:rsidR="0047170A" w:rsidRPr="0047170A">
            <w:rPr>
              <w:color w:val="000000"/>
            </w:rPr>
            <w:t>(Mundt et al., 2002)</w:t>
          </w:r>
        </w:sdtContent>
      </w:sdt>
      <w:r w:rsidRPr="0090079B">
        <w:t>.</w:t>
      </w:r>
      <w:r>
        <w:t xml:space="preserve"> </w:t>
      </w:r>
      <w:r w:rsidRPr="0090079B">
        <w:t xml:space="preserve">It </w:t>
      </w:r>
      <w:r>
        <w:t>is</w:t>
      </w:r>
      <w:r w:rsidRPr="0090079B">
        <w:t xml:space="preserve"> reliable and valid in other </w:t>
      </w:r>
      <w:r>
        <w:t>"</w:t>
      </w:r>
      <w:r w:rsidRPr="0090079B">
        <w:t xml:space="preserve">medically unexplained </w:t>
      </w:r>
      <w:r>
        <w:t>symptoms"</w:t>
      </w:r>
      <w:r w:rsidRPr="0090079B">
        <w:t xml:space="preserve"> and psychiatric patient populations</w:t>
      </w:r>
      <w:r>
        <w:t xml:space="preserve"> </w:t>
      </w:r>
      <w:sdt>
        <w:sdtPr>
          <w:rPr>
            <w:color w:val="000000"/>
          </w:rPr>
          <w:tag w:val="MENDELEY_CITATION_v3_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"/>
          <w:id w:val="784390498"/>
          <w:placeholder>
            <w:docPart w:val="6CAF6727D216124B999E426FFEFDB49E"/>
          </w:placeholder>
        </w:sdtPr>
        <w:sdtContent>
          <w:r w:rsidR="0047170A" w:rsidRPr="0047170A">
            <w:rPr>
              <w:color w:val="000000"/>
            </w:rPr>
            <w:t xml:space="preserve">(M. </w:t>
          </w:r>
          <w:proofErr w:type="spellStart"/>
          <w:r w:rsidR="0047170A" w:rsidRPr="0047170A">
            <w:rPr>
              <w:color w:val="000000"/>
            </w:rPr>
            <w:t>Cella</w:t>
          </w:r>
          <w:proofErr w:type="spellEnd"/>
          <w:r w:rsidR="0047170A" w:rsidRPr="0047170A">
            <w:rPr>
              <w:color w:val="000000"/>
            </w:rPr>
            <w:t xml:space="preserve"> et al., 2011; Goldstein et al., 2020b)</w:t>
          </w:r>
        </w:sdtContent>
      </w:sdt>
      <w:r>
        <w:t>.</w:t>
      </w:r>
    </w:p>
    <w:p w14:paraId="20973F26" w14:textId="77777777" w:rsidR="0014037C" w:rsidRPr="00410819" w:rsidRDefault="0014037C" w:rsidP="00DF606F">
      <w:pPr>
        <w:rPr>
          <w:u w:val="single"/>
        </w:rPr>
      </w:pPr>
      <w:proofErr w:type="spellStart"/>
      <w:r w:rsidRPr="00410819">
        <w:rPr>
          <w:u w:val="single"/>
        </w:rPr>
        <w:t>EuroQol</w:t>
      </w:r>
      <w:proofErr w:type="spellEnd"/>
      <w:r w:rsidRPr="00410819">
        <w:rPr>
          <w:u w:val="single"/>
        </w:rPr>
        <w:t xml:space="preserve"> 5-Dimension- 3 level (EQ-5D-3L)</w:t>
      </w:r>
    </w:p>
    <w:p w14:paraId="655E668D" w14:textId="6A739BB2" w:rsidR="0014037C" w:rsidRPr="0090079B" w:rsidRDefault="0014037C" w:rsidP="00DF606F">
      <w:r w:rsidRPr="0090079B">
        <w:t xml:space="preserve"> A widely used generic self-report quality of life instrument exploring five dimensions of health in five items.</w:t>
      </w:r>
      <w:r>
        <w:t xml:space="preserve"> </w:t>
      </w:r>
      <w:r w:rsidRPr="0090079B">
        <w:t xml:space="preserve">A large body of literature demonstrates the </w:t>
      </w:r>
      <w:r>
        <w:t>EQ-5D-3L's</w:t>
      </w:r>
      <w:r w:rsidRPr="0090079B">
        <w:t xml:space="preserve"> good validity and reliability in </w:t>
      </w:r>
      <w:r>
        <w:t>many</w:t>
      </w:r>
      <w:r w:rsidRPr="0090079B">
        <w:t xml:space="preserve"> patient groups, cultures, and across health status</w:t>
      </w:r>
      <w:r>
        <w:t>es</w:t>
      </w:r>
      <w:r w:rsidRPr="0090079B">
        <w:t xml:space="preserve"> </w:t>
      </w:r>
      <w:sdt>
        <w:sdtPr>
          <w:rPr>
            <w:color w:val="000000"/>
          </w:rPr>
          <w:tag w:val="MENDELEY_CITATION_v3_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"/>
          <w:id w:val="273141224"/>
          <w:placeholder>
            <w:docPart w:val="6CAF6727D216124B999E426FFEFDB49E"/>
          </w:placeholder>
        </w:sdtPr>
        <w:sdtContent>
          <w:r w:rsidR="0047170A">
            <w:rPr>
              <w:rFonts w:eastAsia="Times New Roman"/>
            </w:rPr>
            <w:t>(</w:t>
          </w:r>
          <w:proofErr w:type="spellStart"/>
          <w:r w:rsidR="0047170A">
            <w:rPr>
              <w:rFonts w:eastAsia="Times New Roman"/>
            </w:rPr>
            <w:t>EuroQol</w:t>
          </w:r>
          <w:proofErr w:type="spellEnd"/>
          <w:r w:rsidR="0047170A">
            <w:rPr>
              <w:rFonts w:eastAsia="Times New Roman"/>
            </w:rPr>
            <w:t xml:space="preserve">, 1990; van Reenen M &amp; Janssen, 2015; </w:t>
          </w:r>
          <w:proofErr w:type="spellStart"/>
          <w:r w:rsidR="0047170A">
            <w:rPr>
              <w:rFonts w:eastAsia="Times New Roman"/>
            </w:rPr>
            <w:t>Whynes</w:t>
          </w:r>
          <w:proofErr w:type="spellEnd"/>
          <w:r w:rsidR="0047170A">
            <w:rPr>
              <w:rFonts w:eastAsia="Times New Roman"/>
            </w:rPr>
            <w:t>, 2008)</w:t>
          </w:r>
        </w:sdtContent>
      </w:sdt>
      <w:r w:rsidRPr="0090079B">
        <w:t>.</w:t>
      </w:r>
      <w:r>
        <w:t xml:space="preserve"> </w:t>
      </w:r>
      <w:r w:rsidRPr="0090079B">
        <w:t xml:space="preserve">In somatoform disorders, the EQ-5D showed </w:t>
      </w:r>
      <w:r>
        <w:t xml:space="preserve">a </w:t>
      </w:r>
      <w:r w:rsidRPr="0090079B">
        <w:t xml:space="preserve">discriminative ability </w:t>
      </w:r>
      <w:r>
        <w:t>to detect</w:t>
      </w:r>
      <w:r w:rsidRPr="0090079B">
        <w:t xml:space="preserve"> significant differences between patients with somatoform disorders and the general population</w:t>
      </w:r>
      <w:r>
        <w:t xml:space="preserve"> and detect</w:t>
      </w:r>
      <w:r w:rsidRPr="0090079B">
        <w:t xml:space="preserve"> different severity states of somatoform disorders. </w:t>
      </w:r>
    </w:p>
    <w:p w14:paraId="71910F94" w14:textId="77777777" w:rsidR="0014037C" w:rsidRPr="00410819" w:rsidRDefault="0014037C" w:rsidP="00DF606F">
      <w:pPr>
        <w:rPr>
          <w:u w:val="single"/>
        </w:rPr>
      </w:pPr>
      <w:r w:rsidRPr="00410819">
        <w:rPr>
          <w:u w:val="single"/>
        </w:rPr>
        <w:t>The Unmitigated Communion Scale</w:t>
      </w:r>
      <w:r>
        <w:rPr>
          <w:u w:val="single"/>
        </w:rPr>
        <w:t xml:space="preserve"> (UCS)</w:t>
      </w:r>
    </w:p>
    <w:p w14:paraId="650F913B" w14:textId="6060E867" w:rsidR="0014037C" w:rsidRPr="0090079B" w:rsidRDefault="0014037C" w:rsidP="00DF606F">
      <w:r w:rsidRPr="0090079B">
        <w:t>The Unmitigated Communion Scale (UCS) compiled by Helgeson</w:t>
      </w:r>
      <w:r>
        <w:t xml:space="preserve"> and Fritz </w:t>
      </w:r>
      <w:sdt>
        <w:sdtPr>
          <w:rPr>
            <w:color w:val="000000"/>
          </w:rPr>
          <w:tag w:val="MENDELEY_CITATION_v3_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"/>
          <w:id w:val="1550180804"/>
          <w:placeholder>
            <w:docPart w:val="6CAF6727D216124B999E426FFEFDB49E"/>
          </w:placeholder>
        </w:sdtPr>
        <w:sdtContent>
          <w:r w:rsidR="0047170A" w:rsidRPr="0047170A">
            <w:rPr>
              <w:color w:val="000000"/>
            </w:rPr>
            <w:t>(1998)</w:t>
          </w:r>
        </w:sdtContent>
      </w:sdt>
      <w:r w:rsidRPr="0090079B">
        <w:t xml:space="preserve"> was used to assess unmitigated communion.</w:t>
      </w:r>
      <w:r>
        <w:t xml:space="preserve"> </w:t>
      </w:r>
      <w:r w:rsidRPr="0090079B">
        <w:t xml:space="preserve">It consists of 9 questions, including </w:t>
      </w:r>
      <w:r>
        <w:t>"</w:t>
      </w:r>
      <w:r w:rsidRPr="0090079B">
        <w:t xml:space="preserve">I always put </w:t>
      </w:r>
      <w:r>
        <w:t>others'</w:t>
      </w:r>
      <w:r w:rsidRPr="0090079B">
        <w:t xml:space="preserve"> needs above mine</w:t>
      </w:r>
      <w:r>
        <w:t>"</w:t>
      </w:r>
      <w:r w:rsidRPr="0090079B">
        <w:t>.</w:t>
      </w:r>
      <w:r>
        <w:t xml:space="preserve"> </w:t>
      </w:r>
      <w:r w:rsidRPr="0090079B">
        <w:t xml:space="preserve">The questions were scored on a 5-point scale </w:t>
      </w:r>
      <w:r w:rsidRPr="0090079B">
        <w:lastRenderedPageBreak/>
        <w:t>from 1</w:t>
      </w:r>
      <w:r>
        <w:t>,</w:t>
      </w:r>
      <w:r w:rsidRPr="0090079B">
        <w:t xml:space="preserve"> </w:t>
      </w:r>
      <w:r>
        <w:t>"</w:t>
      </w:r>
      <w:r w:rsidRPr="0090079B">
        <w:t>Strongly disagree</w:t>
      </w:r>
      <w:r>
        <w:t>"</w:t>
      </w:r>
      <w:r w:rsidRPr="0090079B">
        <w:t xml:space="preserve"> to 5 </w:t>
      </w:r>
      <w:r>
        <w:t xml:space="preserve">", </w:t>
      </w:r>
      <w:r w:rsidRPr="0090079B">
        <w:t>strongly agree</w:t>
      </w:r>
      <w:r>
        <w:t>"—the</w:t>
      </w:r>
      <w:r w:rsidRPr="0090079B">
        <w:t xml:space="preserve"> higher the score</w:t>
      </w:r>
      <w:r>
        <w:t>,</w:t>
      </w:r>
      <w:r w:rsidRPr="0090079B">
        <w:t xml:space="preserve"> the higher the level of unmitigated communion among individuals. </w:t>
      </w:r>
    </w:p>
    <w:p w14:paraId="21437700" w14:textId="77777777" w:rsidR="0014037C" w:rsidRPr="008C4786" w:rsidRDefault="0014037C" w:rsidP="00DF606F">
      <w:pPr>
        <w:rPr>
          <w:u w:val="single"/>
        </w:rPr>
      </w:pPr>
      <w:r w:rsidRPr="008C4786">
        <w:rPr>
          <w:u w:val="single"/>
        </w:rPr>
        <w:t xml:space="preserve"> The self-Efficacy, Assertiveness, Social support, self-awareness, and </w:t>
      </w:r>
      <w:proofErr w:type="spellStart"/>
      <w:r w:rsidRPr="008C4786">
        <w:rPr>
          <w:u w:val="single"/>
        </w:rPr>
        <w:t>hElpful</w:t>
      </w:r>
      <w:proofErr w:type="spellEnd"/>
      <w:r w:rsidRPr="008C4786">
        <w:rPr>
          <w:u w:val="single"/>
        </w:rPr>
        <w:t xml:space="preserve"> questionnaire (EASE) </w:t>
      </w:r>
    </w:p>
    <w:p w14:paraId="34390A6D" w14:textId="19F2B9BF" w:rsidR="0014037C" w:rsidRDefault="0014037C" w:rsidP="00DF606F">
      <w:r w:rsidRPr="0090079B">
        <w:t xml:space="preserve">The EASE is a novel patient-reported outcome measure designed to detect </w:t>
      </w:r>
      <w:r>
        <w:t xml:space="preserve">a </w:t>
      </w:r>
      <w:r w:rsidRPr="0090079B">
        <w:t>psychotherapy-related change</w:t>
      </w:r>
      <w:r>
        <w:t xml:space="preserve"> in patients with seizure disorders in German</w:t>
      </w:r>
      <w:r w:rsidRPr="0090079B">
        <w:t>.</w:t>
      </w:r>
      <w:r>
        <w:t xml:space="preserve"> </w:t>
      </w:r>
      <w:r w:rsidRPr="0090079B">
        <w:t>The 40-item measure</w:t>
      </w:r>
      <w:r>
        <w:t xml:space="preserve"> was developed to</w:t>
      </w:r>
      <w:r w:rsidRPr="0090079B">
        <w:t xml:space="preserve"> explor</w:t>
      </w:r>
      <w:r>
        <w:t>e</w:t>
      </w:r>
      <w:r w:rsidRPr="0090079B">
        <w:t xml:space="preserve"> self-awareness, social support, assertiveness, general and event-related self-efficacy</w:t>
      </w:r>
      <w:r>
        <w:t xml:space="preserve"> (including </w:t>
      </w:r>
      <w:r w:rsidRPr="0090079B">
        <w:t>open communication about seizures, coping with epilepsy-related limitations and uncomfortable postictal states, dealing with personal seizure triggers, seizure interruption strategies), and helpful thinking</w:t>
      </w:r>
      <w:r>
        <w:t xml:space="preserve"> </w:t>
      </w:r>
      <w:sdt>
        <w:sdtPr>
          <w:rPr>
            <w:color w:val="000000"/>
          </w:rPr>
          <w:tag w:val="MENDELEY_CITATION_v3_eyJjaXRhdGlvbklEIjoiTUVOREVMRVlfQ0lUQVRJT05fZmFmNTQ3NjctOTkxOC00Yjc0LWIzYzctNTlmNzM5ZmRkOGUw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
          <w:id w:val="234755701"/>
          <w:placeholder>
            <w:docPart w:val="6CAF6727D216124B999E426FFEFDB49E"/>
          </w:placeholder>
        </w:sdtPr>
        <w:sdtContent>
          <w:r w:rsidR="0047170A" w:rsidRPr="0047170A">
            <w:rPr>
              <w:color w:val="000000"/>
            </w:rPr>
            <w:t>(Michaelis et al., 2019)</w:t>
          </w:r>
        </w:sdtContent>
      </w:sdt>
      <w:r w:rsidRPr="0090079B">
        <w:t>.</w:t>
      </w:r>
    </w:p>
    <w:p w14:paraId="0B51BFC2" w14:textId="77777777" w:rsidR="0014037C" w:rsidRDefault="0014037C" w:rsidP="00DF606F">
      <w:r>
        <w:t xml:space="preserve">A proficient bilingual German and English-speaking specialist clinician translated the EASE. </w:t>
      </w:r>
      <w:r w:rsidRPr="00723637">
        <w:t xml:space="preserve">The translation to English was completed to guarantee that the final version of the EASE encompassed concepts </w:t>
      </w:r>
      <w:r>
        <w:t xml:space="preserve">that were </w:t>
      </w:r>
      <w:r w:rsidRPr="00723637">
        <w:t>not exclusively linked to the German language but had broader</w:t>
      </w:r>
      <w:r>
        <w:t xml:space="preserve"> </w:t>
      </w:r>
      <w:r w:rsidRPr="00723637">
        <w:t>relevance</w:t>
      </w:r>
      <w:r>
        <w:t>,</w:t>
      </w:r>
      <w:r w:rsidRPr="00723637">
        <w:t xml:space="preserve"> to solicit input from international experts from various schools of psychotherapy schools; </w:t>
      </w:r>
      <w:r>
        <w:t xml:space="preserve">and </w:t>
      </w:r>
      <w:r w:rsidRPr="00723637">
        <w:t xml:space="preserve">to present </w:t>
      </w:r>
      <w:r>
        <w:t>the questionnaire</w:t>
      </w:r>
      <w:r w:rsidRPr="00723637">
        <w:t xml:space="preserve"> to the global research community through an English publication.</w:t>
      </w:r>
      <w:r>
        <w:t xml:space="preserve"> The German and English versions were compared</w:t>
      </w:r>
      <w:r w:rsidRPr="00723637">
        <w:t xml:space="preserve"> in a table format.</w:t>
      </w:r>
      <w:r>
        <w:t xml:space="preserve"> </w:t>
      </w:r>
      <w:r w:rsidRPr="00723637">
        <w:t>If the verbatim back translation of an English item varied from the original German item but seemed more convincing, the initial German item was modified through consensus.</w:t>
      </w:r>
      <w:r>
        <w:t xml:space="preserve"> </w:t>
      </w:r>
      <w:r w:rsidRPr="00723637">
        <w:t xml:space="preserve">The English version of the tool was </w:t>
      </w:r>
      <w:r>
        <w:t xml:space="preserve">reviewed by a </w:t>
      </w:r>
      <w:r w:rsidRPr="00723637">
        <w:t>British psychotherapy</w:t>
      </w:r>
      <w:r>
        <w:t xml:space="preserve"> team </w:t>
      </w:r>
      <w:r w:rsidRPr="00723637">
        <w:t xml:space="preserve">with substantial expertise in treating patients with </w:t>
      </w:r>
      <w:r>
        <w:t>epilepsy and functional disorders</w:t>
      </w:r>
      <w:r w:rsidRPr="00723637">
        <w:t xml:space="preserve"> (Academic Neurology Unit, University of Sheffield, Royal Hallamshire Hospital, Sheffield, UK).</w:t>
      </w:r>
      <w:r>
        <w:t xml:space="preserve"> </w:t>
      </w:r>
      <w:r w:rsidRPr="00723637">
        <w:t>Their input was gathered in person through open conversation</w:t>
      </w:r>
      <w:r>
        <w:t>, and several</w:t>
      </w:r>
      <w:r w:rsidRPr="00723637">
        <w:t xml:space="preserve"> other international specialists were invited </w:t>
      </w:r>
      <w:r>
        <w:t>to comment</w:t>
      </w:r>
      <w:r w:rsidRPr="00723637">
        <w:t xml:space="preserve"> on the English </w:t>
      </w:r>
      <w:r>
        <w:t>version</w:t>
      </w:r>
      <w:r w:rsidRPr="00723637">
        <w:t>.</w:t>
      </w:r>
      <w:r>
        <w:t xml:space="preserve"> </w:t>
      </w:r>
      <w:r w:rsidRPr="00723637">
        <w:t xml:space="preserve">The </w:t>
      </w:r>
      <w:r>
        <w:t xml:space="preserve">EASE </w:t>
      </w:r>
      <w:r w:rsidRPr="00723637">
        <w:t xml:space="preserve">authors </w:t>
      </w:r>
      <w:r>
        <w:t xml:space="preserve">subsequently adjusted the instrument based on a consensus </w:t>
      </w:r>
      <w:r w:rsidRPr="00723637">
        <w:t>o</w:t>
      </w:r>
      <w:r>
        <w:t>f</w:t>
      </w:r>
      <w:r w:rsidRPr="00723637">
        <w:t xml:space="preserve"> the qualitative feedback</w:t>
      </w:r>
      <w:r>
        <w:t>. This study is the first to examine the English language version of the EASE.</w:t>
      </w:r>
    </w:p>
    <w:p w14:paraId="5A3625E1" w14:textId="77777777" w:rsidR="0014037C" w:rsidRPr="0090079B" w:rsidRDefault="0014037C" w:rsidP="00DF606F">
      <w:r>
        <w:t>Suitable m</w:t>
      </w:r>
      <w:r w:rsidRPr="0090079B">
        <w:t>odifications</w:t>
      </w:r>
      <w:r>
        <w:t xml:space="preserve"> to </w:t>
      </w:r>
      <w:r w:rsidRPr="0090079B">
        <w:t>the final English</w:t>
      </w:r>
      <w:r>
        <w:t xml:space="preserve"> version of the</w:t>
      </w:r>
      <w:r w:rsidRPr="0090079B">
        <w:t xml:space="preserve"> instrument</w:t>
      </w:r>
      <w:r>
        <w:t xml:space="preserve"> were made</w:t>
      </w:r>
      <w:r w:rsidRPr="0090079B">
        <w:t xml:space="preserve"> for </w:t>
      </w:r>
      <w:r>
        <w:t>relevant use in</w:t>
      </w:r>
      <w:r w:rsidRPr="0090079B">
        <w:t xml:space="preserve"> FND patients</w:t>
      </w:r>
      <w:r>
        <w:t>. The modifications were</w:t>
      </w:r>
      <w:r w:rsidRPr="0090079B">
        <w:t xml:space="preserve"> discussed between the </w:t>
      </w:r>
      <w:r>
        <w:t xml:space="preserve">German </w:t>
      </w:r>
      <w:r w:rsidRPr="0090079B">
        <w:t>authors of the EASE</w:t>
      </w:r>
      <w:r>
        <w:t>, a German and English-speaking</w:t>
      </w:r>
      <w:r w:rsidRPr="0090079B">
        <w:t xml:space="preserve"> </w:t>
      </w:r>
      <w:r>
        <w:t>Neurology consultant, and</w:t>
      </w:r>
      <w:r w:rsidRPr="0090079B">
        <w:t xml:space="preserve"> </w:t>
      </w:r>
      <w:r>
        <w:t xml:space="preserve">the Sheffield </w:t>
      </w:r>
      <w:r w:rsidRPr="0090079B">
        <w:t>psychotherapy team</w:t>
      </w:r>
      <w:r>
        <w:t>. This clinical team has</w:t>
      </w:r>
      <w:r w:rsidRPr="0090079B">
        <w:t xml:space="preserve"> extensive experience working with patients with seizure disorders</w:t>
      </w:r>
      <w:r>
        <w:t xml:space="preserve">. </w:t>
      </w:r>
      <w:r w:rsidRPr="0090079B">
        <w:t xml:space="preserve">Refinements of the instrument were made by consensus and involved changes such as replacing the term </w:t>
      </w:r>
      <w:r>
        <w:t>'</w:t>
      </w:r>
      <w:r w:rsidRPr="0090079B">
        <w:t>seizures</w:t>
      </w:r>
      <w:r>
        <w:t>'</w:t>
      </w:r>
      <w:r w:rsidRPr="0090079B">
        <w:t xml:space="preserve"> with </w:t>
      </w:r>
      <w:r>
        <w:t>'</w:t>
      </w:r>
      <w:r w:rsidRPr="0090079B">
        <w:t>illness</w:t>
      </w:r>
      <w:r>
        <w:t>'</w:t>
      </w:r>
      <w:r w:rsidRPr="0090079B">
        <w:t xml:space="preserve"> </w:t>
      </w:r>
      <w:r w:rsidRPr="0090079B">
        <w:lastRenderedPageBreak/>
        <w:t>wherever relevant.</w:t>
      </w:r>
      <w:r>
        <w:t xml:space="preserve"> </w:t>
      </w:r>
      <w:r w:rsidRPr="009D7F81">
        <w:t xml:space="preserve">See Appendix </w:t>
      </w:r>
      <w:r>
        <w:t>B.1-2</w:t>
      </w:r>
      <w:r w:rsidRPr="009D7F81">
        <w:t xml:space="preserve"> </w:t>
      </w:r>
      <w:r w:rsidRPr="0090079B">
        <w:t xml:space="preserve">for the </w:t>
      </w:r>
      <w:r>
        <w:t xml:space="preserve">original and </w:t>
      </w:r>
      <w:r w:rsidRPr="0090079B">
        <w:t>modified versions of the EASE.</w:t>
      </w:r>
      <w:r>
        <w:t xml:space="preserve"> </w:t>
      </w:r>
    </w:p>
    <w:p w14:paraId="6A580F9D" w14:textId="77777777" w:rsidR="0014037C" w:rsidRPr="0090079B" w:rsidRDefault="0014037C" w:rsidP="00DF606F">
      <w:r w:rsidRPr="0090079B">
        <w:t xml:space="preserve">Thirty-six of the forty items are rated on a five-point Likert scale, with 5 = </w:t>
      </w:r>
      <w:r>
        <w:t>"</w:t>
      </w:r>
      <w:r w:rsidRPr="0090079B">
        <w:t>I strongly agree</w:t>
      </w:r>
      <w:r>
        <w:t>",</w:t>
      </w:r>
      <w:r w:rsidRPr="0090079B">
        <w:t xml:space="preserve"> 4= </w:t>
      </w:r>
      <w:r>
        <w:t>"</w:t>
      </w:r>
      <w:r w:rsidRPr="0090079B">
        <w:t>I slightly agree</w:t>
      </w:r>
      <w:r>
        <w:t>",</w:t>
      </w:r>
      <w:r w:rsidRPr="0090079B">
        <w:t xml:space="preserve">, 3= </w:t>
      </w:r>
      <w:r>
        <w:t>"</w:t>
      </w:r>
      <w:r w:rsidRPr="0090079B">
        <w:t>I neither agree nor disagree</w:t>
      </w:r>
      <w:r>
        <w:t>"</w:t>
      </w:r>
      <w:r w:rsidRPr="0090079B">
        <w:t xml:space="preserve">, 2= </w:t>
      </w:r>
      <w:r>
        <w:t>"</w:t>
      </w:r>
      <w:r w:rsidRPr="0090079B">
        <w:t>I slightly disagree</w:t>
      </w:r>
      <w:r>
        <w:t>"</w:t>
      </w:r>
      <w:r w:rsidRPr="0090079B">
        <w:t xml:space="preserve">, and 1 = </w:t>
      </w:r>
      <w:r>
        <w:t>"</w:t>
      </w:r>
      <w:r w:rsidRPr="0090079B">
        <w:t>I strongly disagree</w:t>
      </w:r>
      <w:r>
        <w:t xml:space="preserve">". </w:t>
      </w:r>
      <w:r w:rsidRPr="0090079B">
        <w:t>Five items have one follow-up question, two items have two follow-up questions, and one item has three follow-up questions.</w:t>
      </w:r>
    </w:p>
    <w:p w14:paraId="4F5BE2EF" w14:textId="77777777" w:rsidR="0014037C" w:rsidRPr="003621F2" w:rsidRDefault="0014037C" w:rsidP="00DF606F">
      <w:r w:rsidRPr="003621F2">
        <w:t xml:space="preserve">In the interim, while the EASE questionnaire awaits validation and a statistically confirmed factorial structure </w:t>
      </w:r>
      <w:r>
        <w:t>to load items unto specific subscales appropriately,</w:t>
      </w:r>
      <w:r w:rsidRPr="003621F2">
        <w:t xml:space="preserve"> a total score for the questionnaire and a symptom-related self-efficacy score have been used.</w:t>
      </w:r>
      <w:r>
        <w:t xml:space="preserve"> </w:t>
      </w:r>
      <w:r w:rsidRPr="003621F2">
        <w:t xml:space="preserve">A </w:t>
      </w:r>
      <w:r>
        <w:t>"</w:t>
      </w:r>
      <w:r w:rsidRPr="003621F2">
        <w:t>change through symptoms</w:t>
      </w:r>
      <w:r>
        <w:t>"</w:t>
      </w:r>
      <w:r w:rsidRPr="003621F2">
        <w:t xml:space="preserve"> score </w:t>
      </w:r>
      <w:r>
        <w:t>has</w:t>
      </w:r>
      <w:r w:rsidRPr="003621F2">
        <w:t xml:space="preserve"> also be</w:t>
      </w:r>
      <w:r>
        <w:t>en</w:t>
      </w:r>
      <w:r w:rsidRPr="003621F2">
        <w:t xml:space="preserve"> calculated.</w:t>
      </w:r>
      <w:r>
        <w:t xml:space="preserve"> </w:t>
      </w:r>
      <w:r w:rsidRPr="003621F2">
        <w:t xml:space="preserve">In the latter case, the interpretation of a higher score </w:t>
      </w:r>
      <w:r>
        <w:t>depends</w:t>
      </w:r>
      <w:r w:rsidRPr="003621F2">
        <w:t xml:space="preserve"> on answers from </w:t>
      </w:r>
      <w:r>
        <w:t>select</w:t>
      </w:r>
      <w:r w:rsidRPr="003621F2">
        <w:t xml:space="preserve"> items.</w:t>
      </w:r>
      <w:r>
        <w:t xml:space="preserve"> </w:t>
      </w:r>
      <w:r w:rsidRPr="003621F2">
        <w:t xml:space="preserve">Further details for scoring the EASE can be found in Appendix </w:t>
      </w:r>
      <w:r>
        <w:t>B.3</w:t>
      </w:r>
      <w:r w:rsidRPr="003621F2">
        <w:t xml:space="preserve">. </w:t>
      </w:r>
    </w:p>
    <w:p w14:paraId="131DD00E" w14:textId="77777777" w:rsidR="0014037C" w:rsidRPr="00C03C51" w:rsidRDefault="0014037C" w:rsidP="00DF606F">
      <w:r w:rsidRPr="0090079B">
        <w:t xml:space="preserve">Higher scores on EASE items equate </w:t>
      </w:r>
      <w:r>
        <w:t xml:space="preserve">to </w:t>
      </w:r>
      <w:r w:rsidRPr="0090079B">
        <w:t>a higher expression of the resource/ability described in the item</w:t>
      </w:r>
      <w:r>
        <w:t>; in</w:t>
      </w:r>
      <w:r w:rsidRPr="0090079B">
        <w:t xml:space="preserve"> other words</w:t>
      </w:r>
      <w:r>
        <w:t>,</w:t>
      </w:r>
      <w:r w:rsidRPr="0090079B">
        <w:t xml:space="preserve"> the higher the overall EASE, the greater </w:t>
      </w:r>
      <w:r>
        <w:t>respondent's</w:t>
      </w:r>
      <w:r w:rsidRPr="0090079B">
        <w:t xml:space="preserve"> well-being</w:t>
      </w:r>
      <w:r>
        <w:t xml:space="preserve"> and ability to cope with their illness</w:t>
      </w:r>
      <w:r w:rsidRPr="0090079B">
        <w:t>.</w:t>
      </w:r>
      <w:r>
        <w:t xml:space="preserve"> </w:t>
      </w:r>
      <w:r w:rsidRPr="0090079B">
        <w:t>For consistency in this interpretation</w:t>
      </w:r>
      <w:r>
        <w:t>, i</w:t>
      </w:r>
      <w:r>
        <w:rPr>
          <w:bdr w:val="none" w:sz="0" w:space="0" w:color="auto" w:frame="1"/>
          <w:shd w:val="clear" w:color="auto" w:fill="FFFFFF"/>
        </w:rPr>
        <w:t>tems 8, 11, 12, 14, 15, 17, 23, 26 and 34 of the EASE questionnaire were reversed scored.</w:t>
      </w:r>
      <w:r>
        <w:t xml:space="preserve"> </w:t>
      </w:r>
    </w:p>
    <w:p w14:paraId="79C36BC5" w14:textId="14A85E59" w:rsidR="0014037C" w:rsidRPr="008E2703" w:rsidRDefault="0014037C" w:rsidP="00DF606F">
      <w:pPr>
        <w:pStyle w:val="Heading3"/>
      </w:pPr>
      <w:r>
        <w:t xml:space="preserve"> </w:t>
      </w:r>
      <w:bookmarkStart w:id="81" w:name="_Toc137504705"/>
      <w:r>
        <w:t>3.</w:t>
      </w:r>
      <w:r w:rsidRPr="008E2703">
        <w:t>2.4 Analyses</w:t>
      </w:r>
      <w:bookmarkEnd w:id="81"/>
    </w:p>
    <w:p w14:paraId="590A57BB" w14:textId="2F7658D1" w:rsidR="0014037C" w:rsidRDefault="0014037C" w:rsidP="00DF606F">
      <w:pPr>
        <w:rPr>
          <w:bdr w:val="none" w:sz="0" w:space="0" w:color="auto" w:frame="1"/>
          <w:shd w:val="clear" w:color="auto" w:fill="FFFFFF"/>
        </w:rPr>
      </w:pPr>
      <w:r w:rsidRPr="0090079B">
        <w:t>Data were analysed using descriptive and inferential statistics.</w:t>
      </w:r>
      <w:r>
        <w:t xml:space="preserve"> </w:t>
      </w:r>
      <w:r>
        <w:rPr>
          <w:bdr w:val="none" w:sz="0" w:space="0" w:color="auto" w:frame="1"/>
          <w:shd w:val="clear" w:color="auto" w:fill="FFFFFF"/>
        </w:rPr>
        <w:t xml:space="preserve">R version 3.6 </w:t>
      </w:r>
      <w:sdt>
        <w:sdtPr>
          <w:rPr>
            <w:color w:val="000000"/>
            <w:bdr w:val="none" w:sz="0" w:space="0" w:color="auto" w:frame="1"/>
            <w:shd w:val="clear" w:color="auto" w:fill="FFFFFF"/>
          </w:rPr>
          <w:tag w:val="MENDELEY_CITATION_v3_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"/>
          <w:id w:val="1339821543"/>
          <w:placeholder>
            <w:docPart w:val="6CAF6727D216124B999E426FFEFDB49E"/>
          </w:placeholder>
        </w:sdtPr>
        <w:sdtContent>
          <w:r w:rsidR="0047170A" w:rsidRPr="0047170A">
            <w:rPr>
              <w:color w:val="000000"/>
              <w:bdr w:val="none" w:sz="0" w:space="0" w:color="auto" w:frame="1"/>
              <w:shd w:val="clear" w:color="auto" w:fill="FFFFFF"/>
            </w:rPr>
            <w:t>(RStudio Team, 2019)</w:t>
          </w:r>
        </w:sdtContent>
      </w:sdt>
      <w:r>
        <w:rPr>
          <w:bdr w:val="none" w:sz="0" w:space="0" w:color="auto" w:frame="1"/>
          <w:shd w:val="clear" w:color="auto" w:fill="FFFFFF"/>
        </w:rPr>
        <w:t xml:space="preserve"> was </w:t>
      </w:r>
      <w:r w:rsidRPr="00CC5011">
        <w:rPr>
          <w:bdr w:val="none" w:sz="0" w:space="0" w:color="auto" w:frame="1"/>
          <w:shd w:val="clear" w:color="auto" w:fill="FFFFFF"/>
        </w:rPr>
        <w:t>used to analyse missing data and to perform factor analyses</w:t>
      </w:r>
      <w:r>
        <w:rPr>
          <w:bdr w:val="none" w:sz="0" w:space="0" w:color="auto" w:frame="1"/>
          <w:shd w:val="clear" w:color="auto" w:fill="FFFFFF"/>
        </w:rPr>
        <w:t xml:space="preserve">. For Rasch analysis of the model, </w:t>
      </w:r>
      <w:proofErr w:type="spellStart"/>
      <w:r>
        <w:rPr>
          <w:bdr w:val="none" w:sz="0" w:space="0" w:color="auto" w:frame="1"/>
          <w:shd w:val="clear" w:color="auto" w:fill="FFFFFF"/>
        </w:rPr>
        <w:t>Winsteps</w:t>
      </w:r>
      <w:proofErr w:type="spellEnd"/>
      <w:r>
        <w:rPr>
          <w:bdr w:val="none" w:sz="0" w:space="0" w:color="auto" w:frame="1"/>
          <w:shd w:val="clear" w:color="auto" w:fill="FFFFFF"/>
        </w:rPr>
        <w:t xml:space="preserve"> software program versions 5.2 – 5.4 were used </w:t>
      </w:r>
      <w:sdt>
        <w:sdtPr>
          <w:rPr>
            <w:color w:val="000000"/>
            <w:bdr w:val="none" w:sz="0" w:space="0" w:color="auto" w:frame="1"/>
            <w:shd w:val="clear" w:color="auto" w:fill="FFFFFF"/>
          </w:rPr>
          <w:tag w:val="MENDELEY_CITATION_v3_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"/>
          <w:id w:val="1788535178"/>
          <w:placeholder>
            <w:docPart w:val="6CAF6727D216124B999E426FFEFDB49E"/>
          </w:placeholder>
        </w:sdtPr>
        <w:sdtContent>
          <w:r w:rsidR="0047170A" w:rsidRPr="0047170A">
            <w:rPr>
              <w:color w:val="000000"/>
              <w:bdr w:val="none" w:sz="0" w:space="0" w:color="auto" w:frame="1"/>
              <w:shd w:val="clear" w:color="auto" w:fill="FFFFFF"/>
            </w:rPr>
            <w:t>(J. M. Linacre, 2022)</w:t>
          </w:r>
        </w:sdtContent>
      </w:sdt>
      <w:r>
        <w:rPr>
          <w:bdr w:val="none" w:sz="0" w:space="0" w:color="auto" w:frame="1"/>
          <w:shd w:val="clear" w:color="auto" w:fill="FFFFFF"/>
        </w:rPr>
        <w:t xml:space="preserve">. </w:t>
      </w:r>
      <w:r w:rsidRPr="0090079B">
        <w:rPr>
          <w:bdr w:val="none" w:sz="0" w:space="0" w:color="auto" w:frame="1"/>
          <w:shd w:val="clear" w:color="auto" w:fill="FFFFFF"/>
        </w:rPr>
        <w:t xml:space="preserve">All other analyses </w:t>
      </w:r>
      <w:r>
        <w:rPr>
          <w:bdr w:val="none" w:sz="0" w:space="0" w:color="auto" w:frame="1"/>
          <w:shd w:val="clear" w:color="auto" w:fill="FFFFFF"/>
        </w:rPr>
        <w:t>used</w:t>
      </w:r>
      <w:r w:rsidRPr="0090079B">
        <w:rPr>
          <w:bdr w:val="none" w:sz="0" w:space="0" w:color="auto" w:frame="1"/>
          <w:shd w:val="clear" w:color="auto" w:fill="FFFFFF"/>
        </w:rPr>
        <w:t xml:space="preserve"> SPSS</w:t>
      </w:r>
      <w:r w:rsidRPr="003A4DB9">
        <w:rPr>
          <w:bdr w:val="none" w:sz="0" w:space="0" w:color="auto" w:frame="1"/>
          <w:shd w:val="clear" w:color="auto" w:fill="FFFFFF"/>
        </w:rPr>
        <w:t xml:space="preserve">, V26-27 </w:t>
      </w:r>
      <w:sdt>
        <w:sdtPr>
          <w:rPr>
            <w:color w:val="000000"/>
            <w:bdr w:val="none" w:sz="0" w:space="0" w:color="auto" w:frame="1"/>
            <w:shd w:val="clear" w:color="auto" w:fill="FFFFFF"/>
          </w:rPr>
          <w:tag w:val="MENDELEY_CITATION_v3_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"/>
          <w:id w:val="-796995554"/>
          <w:placeholder>
            <w:docPart w:val="6CAF6727D216124B999E426FFEFDB49E"/>
          </w:placeholder>
        </w:sdtPr>
        <w:sdtContent>
          <w:r w:rsidR="0047170A">
            <w:rPr>
              <w:rFonts w:eastAsia="Times New Roman"/>
            </w:rPr>
            <w:t>(</w:t>
          </w:r>
          <w:r w:rsidR="0047170A">
            <w:rPr>
              <w:rFonts w:eastAsia="Times New Roman"/>
              <w:i/>
              <w:iCs/>
            </w:rPr>
            <w:t>IBM SPSS Statistics for Windows,</w:t>
          </w:r>
          <w:r w:rsidR="0047170A">
            <w:rPr>
              <w:rFonts w:eastAsia="Times New Roman"/>
            </w:rPr>
            <w:t xml:space="preserve"> 2020)</w:t>
          </w:r>
        </w:sdtContent>
      </w:sdt>
      <w:r w:rsidRPr="003A4DB9">
        <w:rPr>
          <w:bdr w:val="none" w:sz="0" w:space="0" w:color="auto" w:frame="1"/>
          <w:shd w:val="clear" w:color="auto" w:fill="FFFFFF"/>
        </w:rPr>
        <w:t>.</w:t>
      </w:r>
      <w:r w:rsidRPr="0090079B">
        <w:rPr>
          <w:bdr w:val="none" w:sz="0" w:space="0" w:color="auto" w:frame="1"/>
          <w:shd w:val="clear" w:color="auto" w:fill="FFFFFF"/>
        </w:rPr>
        <w:t xml:space="preserve"> </w:t>
      </w:r>
    </w:p>
    <w:p w14:paraId="7CD481D0" w14:textId="78C86748" w:rsidR="0014037C" w:rsidRPr="009D7F81" w:rsidRDefault="0014037C" w:rsidP="00DF606F">
      <w:pPr>
        <w:pStyle w:val="Heading4"/>
        <w:rPr>
          <w:bdr w:val="none" w:sz="0" w:space="0" w:color="auto" w:frame="1"/>
          <w:shd w:val="clear" w:color="auto" w:fill="FFFFFF"/>
        </w:rPr>
      </w:pPr>
      <w:r>
        <w:rPr>
          <w:bdr w:val="none" w:sz="0" w:space="0" w:color="auto" w:frame="1"/>
          <w:shd w:val="clear" w:color="auto" w:fill="FFFFFF"/>
        </w:rPr>
        <w:t>3.</w:t>
      </w:r>
      <w:r w:rsidRPr="009D7F81">
        <w:rPr>
          <w:bdr w:val="none" w:sz="0" w:space="0" w:color="auto" w:frame="1"/>
          <w:shd w:val="clear" w:color="auto" w:fill="FFFFFF"/>
        </w:rPr>
        <w:t>2.4.</w:t>
      </w:r>
      <w:r>
        <w:rPr>
          <w:bdr w:val="none" w:sz="0" w:space="0" w:color="auto" w:frame="1"/>
          <w:shd w:val="clear" w:color="auto" w:fill="FFFFFF"/>
        </w:rPr>
        <w:t>1</w:t>
      </w:r>
      <w:r w:rsidRPr="009D7F81">
        <w:rPr>
          <w:bdr w:val="none" w:sz="0" w:space="0" w:color="auto" w:frame="1"/>
          <w:shd w:val="clear" w:color="auto" w:fill="FFFFFF"/>
        </w:rPr>
        <w:t xml:space="preserve"> Descriptive analysis</w:t>
      </w:r>
    </w:p>
    <w:p w14:paraId="7F850371" w14:textId="77777777" w:rsidR="0014037C" w:rsidRPr="009D7F81" w:rsidRDefault="0014037C" w:rsidP="00DF606F">
      <w:r w:rsidRPr="009D7F81">
        <w:t>In addition to descriptive statistics to define the sample (demographic, clinical and questionnaire data), the following psychometric attributes of the EASE</w:t>
      </w:r>
      <w:r>
        <w:t>-F</w:t>
      </w:r>
      <w:r w:rsidRPr="009D7F81">
        <w:t xml:space="preserve"> questionnaire were assessed:</w:t>
      </w:r>
    </w:p>
    <w:p w14:paraId="2CE2020F" w14:textId="77777777" w:rsidR="0014037C" w:rsidRPr="009D7F81" w:rsidRDefault="0014037C" w:rsidP="0014037C">
      <w:pPr>
        <w:pStyle w:val="ListParagraph"/>
        <w:numPr>
          <w:ilvl w:val="2"/>
          <w:numId w:val="28"/>
        </w:numPr>
        <w:spacing w:after="160"/>
      </w:pPr>
      <w:r w:rsidRPr="009D7F81">
        <w:t>Acceptability: was assessed using: (1) missing data analyses; A 95% value of computable data was considered acceptable.</w:t>
      </w:r>
    </w:p>
    <w:p w14:paraId="7575C499" w14:textId="77777777" w:rsidR="0014037C" w:rsidRPr="009D7F81" w:rsidRDefault="0014037C" w:rsidP="0014037C">
      <w:pPr>
        <w:pStyle w:val="ListParagraph"/>
        <w:numPr>
          <w:ilvl w:val="2"/>
          <w:numId w:val="28"/>
        </w:numPr>
        <w:spacing w:after="160"/>
      </w:pPr>
      <w:r w:rsidRPr="009D7F81">
        <w:t>Item response distributions were assessed using Schapiro-Wilk tests and item-by-item analysis.</w:t>
      </w:r>
    </w:p>
    <w:p w14:paraId="420428E7" w14:textId="1C3326C7" w:rsidR="0014037C" w:rsidRPr="00BD5E45" w:rsidRDefault="0014037C" w:rsidP="00DF606F">
      <w:pPr>
        <w:pStyle w:val="Heading4"/>
        <w:rPr>
          <w:bdr w:val="none" w:sz="0" w:space="0" w:color="auto" w:frame="1"/>
          <w:shd w:val="clear" w:color="auto" w:fill="FFFFFF"/>
        </w:rPr>
      </w:pPr>
      <w:r>
        <w:rPr>
          <w:bdr w:val="none" w:sz="0" w:space="0" w:color="auto" w:frame="1"/>
          <w:shd w:val="clear" w:color="auto" w:fill="FFFFFF"/>
        </w:rPr>
        <w:lastRenderedPageBreak/>
        <w:t>3.</w:t>
      </w:r>
      <w:r w:rsidRPr="00BD5E45">
        <w:rPr>
          <w:bdr w:val="none" w:sz="0" w:space="0" w:color="auto" w:frame="1"/>
          <w:shd w:val="clear" w:color="auto" w:fill="FFFFFF"/>
        </w:rPr>
        <w:t>2.4.</w:t>
      </w:r>
      <w:r>
        <w:rPr>
          <w:bdr w:val="none" w:sz="0" w:space="0" w:color="auto" w:frame="1"/>
          <w:shd w:val="clear" w:color="auto" w:fill="FFFFFF"/>
        </w:rPr>
        <w:t>2</w:t>
      </w:r>
      <w:r w:rsidRPr="00BD5E45">
        <w:rPr>
          <w:bdr w:val="none" w:sz="0" w:space="0" w:color="auto" w:frame="1"/>
          <w:shd w:val="clear" w:color="auto" w:fill="FFFFFF"/>
        </w:rPr>
        <w:t xml:space="preserve">  Data preparation </w:t>
      </w:r>
    </w:p>
    <w:p w14:paraId="34A2018E" w14:textId="77777777" w:rsidR="0014037C" w:rsidRDefault="0014037C" w:rsidP="00DF606F">
      <w:r>
        <w:t xml:space="preserve">Because of the inconsistent format with the rest of the measure, </w:t>
      </w:r>
      <w:r w:rsidRPr="0064074A">
        <w:t>the open-text questions of the EASE</w:t>
      </w:r>
      <w:r>
        <w:t>-F</w:t>
      </w:r>
      <w:r w:rsidRPr="0064074A">
        <w:t xml:space="preserve">, items 37-40, were excluded </w:t>
      </w:r>
      <w:r>
        <w:t>from</w:t>
      </w:r>
      <w:r w:rsidRPr="0064074A">
        <w:t xml:space="preserve"> the factor analyses. </w:t>
      </w:r>
    </w:p>
    <w:p w14:paraId="4622840B" w14:textId="23EA9483" w:rsidR="0014037C" w:rsidRDefault="0014037C" w:rsidP="00DF606F">
      <w:pPr>
        <w:rPr>
          <w:color w:val="000000"/>
          <w:bdr w:val="none" w:sz="0" w:space="0" w:color="auto" w:frame="1"/>
          <w:shd w:val="clear" w:color="auto" w:fill="FFFFFF"/>
        </w:rPr>
      </w:pPr>
      <w:r w:rsidRPr="0090079B">
        <w:rPr>
          <w:bdr w:val="none" w:sz="0" w:space="0" w:color="auto" w:frame="1"/>
          <w:shd w:val="clear" w:color="auto" w:fill="FFFFFF"/>
        </w:rPr>
        <w:t>To</w:t>
      </w:r>
      <w:r>
        <w:rPr>
          <w:bdr w:val="none" w:sz="0" w:space="0" w:color="auto" w:frame="1"/>
          <w:shd w:val="clear" w:color="auto" w:fill="FFFFFF"/>
        </w:rPr>
        <w:t xml:space="preserve"> </w:t>
      </w:r>
      <w:r w:rsidRPr="0090079B">
        <w:rPr>
          <w:bdr w:val="none" w:sz="0" w:space="0" w:color="auto" w:frame="1"/>
          <w:shd w:val="clear" w:color="auto" w:fill="FFFFFF"/>
        </w:rPr>
        <w:t>examine</w:t>
      </w:r>
      <w:r>
        <w:rPr>
          <w:bdr w:val="none" w:sz="0" w:space="0" w:color="auto" w:frame="1"/>
          <w:shd w:val="clear" w:color="auto" w:fill="FFFFFF"/>
        </w:rPr>
        <w:t xml:space="preserve"> </w:t>
      </w:r>
      <w:r w:rsidRPr="0090079B">
        <w:rPr>
          <w:bdr w:val="none" w:sz="0" w:space="0" w:color="auto" w:frame="1"/>
          <w:shd w:val="clear" w:color="auto" w:fill="FFFFFF"/>
        </w:rPr>
        <w:t>the</w:t>
      </w:r>
      <w:r>
        <w:rPr>
          <w:bdr w:val="none" w:sz="0" w:space="0" w:color="auto" w:frame="1"/>
          <w:shd w:val="clear" w:color="auto" w:fill="FFFFFF"/>
        </w:rPr>
        <w:t xml:space="preserve"> </w:t>
      </w:r>
      <w:r w:rsidRPr="0090079B">
        <w:rPr>
          <w:bdr w:val="none" w:sz="0" w:space="0" w:color="auto" w:frame="1"/>
          <w:shd w:val="clear" w:color="auto" w:fill="FFFFFF"/>
        </w:rPr>
        <w:t>factor structure</w:t>
      </w:r>
      <w:r>
        <w:rPr>
          <w:bdr w:val="none" w:sz="0" w:space="0" w:color="auto" w:frame="1"/>
          <w:shd w:val="clear" w:color="auto" w:fill="FFFFFF"/>
        </w:rPr>
        <w:t xml:space="preserve"> </w:t>
      </w:r>
      <w:r w:rsidRPr="0090079B">
        <w:rPr>
          <w:bdr w:val="none" w:sz="0" w:space="0" w:color="auto" w:frame="1"/>
          <w:shd w:val="clear" w:color="auto" w:fill="FFFFFF"/>
        </w:rPr>
        <w:t>of</w:t>
      </w:r>
      <w:r>
        <w:rPr>
          <w:bdr w:val="none" w:sz="0" w:space="0" w:color="auto" w:frame="1"/>
          <w:shd w:val="clear" w:color="auto" w:fill="FFFFFF"/>
        </w:rPr>
        <w:t xml:space="preserve"> </w:t>
      </w:r>
      <w:r w:rsidRPr="0090079B">
        <w:rPr>
          <w:bdr w:val="none" w:sz="0" w:space="0" w:color="auto" w:frame="1"/>
          <w:shd w:val="clear" w:color="auto" w:fill="FFFFFF"/>
        </w:rPr>
        <w:t>the EASE</w:t>
      </w:r>
      <w:r>
        <w:rPr>
          <w:bdr w:val="none" w:sz="0" w:space="0" w:color="auto" w:frame="1"/>
          <w:shd w:val="clear" w:color="auto" w:fill="FFFFFF"/>
        </w:rPr>
        <w:t>-F</w:t>
      </w:r>
      <w:r w:rsidRPr="0090079B">
        <w:rPr>
          <w:bdr w:val="none" w:sz="0" w:space="0" w:color="auto" w:frame="1"/>
          <w:shd w:val="clear" w:color="auto" w:fill="FFFFFF"/>
        </w:rPr>
        <w:t xml:space="preserve"> questionnaire, a split-half cross-validation method was used in</w:t>
      </w:r>
      <w:r>
        <w:rPr>
          <w:bdr w:val="none" w:sz="0" w:space="0" w:color="auto" w:frame="1"/>
          <w:shd w:val="clear" w:color="auto" w:fill="FFFFFF"/>
        </w:rPr>
        <w:t xml:space="preserve"> the imputed datasets, in </w:t>
      </w:r>
      <w:r w:rsidRPr="0090079B">
        <w:rPr>
          <w:bdr w:val="none" w:sz="0" w:space="0" w:color="auto" w:frame="1"/>
          <w:shd w:val="clear" w:color="auto" w:fill="FFFFFF"/>
        </w:rPr>
        <w:t>which the questionnaire responses were randomly divided into</w:t>
      </w:r>
      <w:r>
        <w:rPr>
          <w:bdr w:val="none" w:sz="0" w:space="0" w:color="auto" w:frame="1"/>
          <w:shd w:val="clear" w:color="auto" w:fill="FFFFFF"/>
        </w:rPr>
        <w:t xml:space="preserve"> </w:t>
      </w:r>
      <w:r w:rsidRPr="0090079B">
        <w:rPr>
          <w:bdr w:val="none" w:sz="0" w:space="0" w:color="auto" w:frame="1"/>
          <w:shd w:val="clear" w:color="auto" w:fill="FFFFFF"/>
        </w:rPr>
        <w:t>two groups.</w:t>
      </w:r>
      <w:r>
        <w:rPr>
          <w:bdr w:val="none" w:sz="0" w:space="0" w:color="auto" w:frame="1"/>
          <w:shd w:val="clear" w:color="auto" w:fill="FFFFFF"/>
        </w:rPr>
        <w:t xml:space="preserve"> </w:t>
      </w:r>
      <w:r w:rsidRPr="0090079B">
        <w:rPr>
          <w:bdr w:val="none" w:sz="0" w:space="0" w:color="auto" w:frame="1"/>
          <w:shd w:val="clear" w:color="auto" w:fill="FFFFFF"/>
        </w:rPr>
        <w:t>One of</w:t>
      </w:r>
      <w:r>
        <w:rPr>
          <w:bdr w:val="none" w:sz="0" w:space="0" w:color="auto" w:frame="1"/>
          <w:shd w:val="clear" w:color="auto" w:fill="FFFFFF"/>
        </w:rPr>
        <w:t xml:space="preserve"> </w:t>
      </w:r>
      <w:r w:rsidRPr="0090079B">
        <w:rPr>
          <w:bdr w:val="none" w:sz="0" w:space="0" w:color="auto" w:frame="1"/>
          <w:shd w:val="clear" w:color="auto" w:fill="FFFFFF"/>
        </w:rPr>
        <w:t xml:space="preserve">these groups </w:t>
      </w:r>
      <w:r>
        <w:rPr>
          <w:bdr w:val="none" w:sz="0" w:space="0" w:color="auto" w:frame="1"/>
          <w:shd w:val="clear" w:color="auto" w:fill="FFFFFF"/>
        </w:rPr>
        <w:t>was</w:t>
      </w:r>
      <w:r w:rsidRPr="0090079B">
        <w:rPr>
          <w:bdr w:val="none" w:sz="0" w:space="0" w:color="auto" w:frame="1"/>
          <w:shd w:val="clear" w:color="auto" w:fill="FFFFFF"/>
        </w:rPr>
        <w:t xml:space="preserve"> used to explore</w:t>
      </w:r>
      <w:r>
        <w:rPr>
          <w:bdr w:val="none" w:sz="0" w:space="0" w:color="auto" w:frame="1"/>
          <w:shd w:val="clear" w:color="auto" w:fill="FFFFFF"/>
        </w:rPr>
        <w:t xml:space="preserve"> </w:t>
      </w:r>
      <w:r w:rsidRPr="0090079B">
        <w:rPr>
          <w:bdr w:val="none" w:sz="0" w:space="0" w:color="auto" w:frame="1"/>
          <w:shd w:val="clear" w:color="auto" w:fill="FFFFFF"/>
        </w:rPr>
        <w:t>the</w:t>
      </w:r>
      <w:r>
        <w:rPr>
          <w:bdr w:val="none" w:sz="0" w:space="0" w:color="auto" w:frame="1"/>
          <w:shd w:val="clear" w:color="auto" w:fill="FFFFFF"/>
        </w:rPr>
        <w:t xml:space="preserve"> </w:t>
      </w:r>
      <w:r w:rsidRPr="0090079B">
        <w:rPr>
          <w:bdr w:val="none" w:sz="0" w:space="0" w:color="auto" w:frame="1"/>
          <w:shd w:val="clear" w:color="auto" w:fill="FFFFFF"/>
        </w:rPr>
        <w:t>factor structure through  EFA</w:t>
      </w:r>
      <w:r>
        <w:rPr>
          <w:bdr w:val="none" w:sz="0" w:space="0" w:color="auto" w:frame="1"/>
          <w:shd w:val="clear" w:color="auto" w:fill="FFFFFF"/>
        </w:rPr>
        <w:t>,</w:t>
      </w:r>
      <w:r w:rsidRPr="0090079B">
        <w:rPr>
          <w:bdr w:val="none" w:sz="0" w:space="0" w:color="auto" w:frame="1"/>
          <w:shd w:val="clear" w:color="auto" w:fill="FFFFFF"/>
        </w:rPr>
        <w:t xml:space="preserve"> and the other group </w:t>
      </w:r>
      <w:r>
        <w:rPr>
          <w:bdr w:val="none" w:sz="0" w:space="0" w:color="auto" w:frame="1"/>
          <w:shd w:val="clear" w:color="auto" w:fill="FFFFFF"/>
        </w:rPr>
        <w:t>tested</w:t>
      </w:r>
      <w:r w:rsidRPr="0090079B">
        <w:rPr>
          <w:bdr w:val="none" w:sz="0" w:space="0" w:color="auto" w:frame="1"/>
          <w:shd w:val="clear" w:color="auto" w:fill="FFFFFF"/>
        </w:rPr>
        <w:t xml:space="preserve"> the goodness of fit of the extracted factor</w:t>
      </w:r>
      <w:r>
        <w:rPr>
          <w:bdr w:val="none" w:sz="0" w:space="0" w:color="auto" w:frame="1"/>
          <w:shd w:val="clear" w:color="auto" w:fill="FFFFFF"/>
        </w:rPr>
        <w:t xml:space="preserve"> </w:t>
      </w:r>
      <w:r w:rsidRPr="0090079B">
        <w:rPr>
          <w:bdr w:val="none" w:sz="0" w:space="0" w:color="auto" w:frame="1"/>
          <w:shd w:val="clear" w:color="auto" w:fill="FFFFFF"/>
        </w:rPr>
        <w:t>structure</w:t>
      </w:r>
      <w:r>
        <w:rPr>
          <w:bdr w:val="none" w:sz="0" w:space="0" w:color="auto" w:frame="1"/>
          <w:shd w:val="clear" w:color="auto" w:fill="FFFFFF"/>
        </w:rPr>
        <w:t xml:space="preserve"> </w:t>
      </w:r>
      <w:r w:rsidRPr="0090079B">
        <w:rPr>
          <w:bdr w:val="none" w:sz="0" w:space="0" w:color="auto" w:frame="1"/>
          <w:shd w:val="clear" w:color="auto" w:fill="FFFFFF"/>
        </w:rPr>
        <w:t xml:space="preserve">through a CFA </w:t>
      </w:r>
      <w:sdt>
        <w:sdtPr>
          <w:rPr>
            <w:color w:val="000000"/>
            <w:bdr w:val="none" w:sz="0" w:space="0" w:color="auto" w:frame="1"/>
            <w:shd w:val="clear" w:color="auto" w:fill="FFFFFF"/>
          </w:rPr>
          <w:tag w:val="MENDELEY_CITATION_v3_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"/>
          <w:id w:val="1972013117"/>
          <w:placeholder>
            <w:docPart w:val="6CAF6727D216124B999E426FFEFDB49E"/>
          </w:placeholder>
        </w:sdtPr>
        <w:sdtContent>
          <w:r w:rsidR="0047170A" w:rsidRPr="0047170A">
            <w:rPr>
              <w:color w:val="000000"/>
              <w:bdr w:val="none" w:sz="0" w:space="0" w:color="auto" w:frame="1"/>
              <w:shd w:val="clear" w:color="auto" w:fill="FFFFFF"/>
            </w:rPr>
            <w:t>(Lorenzo-Seva, 2021)</w:t>
          </w:r>
        </w:sdtContent>
      </w:sdt>
      <w:r>
        <w:rPr>
          <w:color w:val="000000"/>
          <w:bdr w:val="none" w:sz="0" w:space="0" w:color="auto" w:frame="1"/>
          <w:shd w:val="clear" w:color="auto" w:fill="FFFFFF"/>
        </w:rPr>
        <w:t>.</w:t>
      </w:r>
    </w:p>
    <w:p w14:paraId="35308392" w14:textId="0A71DFAA" w:rsidR="0014037C" w:rsidRPr="00BD5E45" w:rsidRDefault="0014037C" w:rsidP="00DF606F">
      <w:pPr>
        <w:pStyle w:val="Heading4"/>
        <w:rPr>
          <w:bdr w:val="none" w:sz="0" w:space="0" w:color="auto" w:frame="1"/>
          <w:shd w:val="clear" w:color="auto" w:fill="FFFFFF"/>
        </w:rPr>
      </w:pPr>
      <w:r>
        <w:rPr>
          <w:bdr w:val="none" w:sz="0" w:space="0" w:color="auto" w:frame="1"/>
          <w:shd w:val="clear" w:color="auto" w:fill="FFFFFF"/>
        </w:rPr>
        <w:t>3.</w:t>
      </w:r>
      <w:r w:rsidRPr="00BD5E45">
        <w:rPr>
          <w:bdr w:val="none" w:sz="0" w:space="0" w:color="auto" w:frame="1"/>
          <w:shd w:val="clear" w:color="auto" w:fill="FFFFFF"/>
        </w:rPr>
        <w:t>2.4.3 Missing data</w:t>
      </w:r>
    </w:p>
    <w:p w14:paraId="21344F42" w14:textId="77777777" w:rsidR="0014037C" w:rsidRDefault="0014037C" w:rsidP="00DF606F">
      <w:pPr>
        <w:rPr>
          <w:bdr w:val="none" w:sz="0" w:space="0" w:color="auto" w:frame="1"/>
          <w:shd w:val="clear" w:color="auto" w:fill="FFFFFF"/>
        </w:rPr>
      </w:pPr>
      <w:r w:rsidRPr="00D743B6">
        <w:rPr>
          <w:bdr w:val="none" w:sz="0" w:space="0" w:color="auto" w:frame="1"/>
          <w:shd w:val="clear" w:color="auto" w:fill="FFFFFF"/>
        </w:rPr>
        <w:t>In cases where complete questionnaire battery data were missing, listwise deletion was used.</w:t>
      </w:r>
      <w:r>
        <w:rPr>
          <w:bdr w:val="none" w:sz="0" w:space="0" w:color="auto" w:frame="1"/>
          <w:shd w:val="clear" w:color="auto" w:fill="FFFFFF"/>
        </w:rPr>
        <w:t xml:space="preserve"> </w:t>
      </w:r>
      <w:r w:rsidRPr="00C14B87">
        <w:rPr>
          <w:bdr w:val="none" w:sz="0" w:space="0" w:color="auto" w:frame="1"/>
          <w:shd w:val="clear" w:color="auto" w:fill="FFFFFF"/>
        </w:rPr>
        <w:t xml:space="preserve">Missing data were managed consistently </w:t>
      </w:r>
      <w:r>
        <w:rPr>
          <w:bdr w:val="none" w:sz="0" w:space="0" w:color="auto" w:frame="1"/>
          <w:shd w:val="clear" w:color="auto" w:fill="FFFFFF"/>
        </w:rPr>
        <w:t>across the different questionnaires</w:t>
      </w:r>
      <w:r w:rsidRPr="00C14B87">
        <w:rPr>
          <w:bdr w:val="none" w:sz="0" w:space="0" w:color="auto" w:frame="1"/>
          <w:shd w:val="clear" w:color="auto" w:fill="FFFFFF"/>
        </w:rPr>
        <w:t xml:space="preserve"> using multiple </w:t>
      </w:r>
      <w:r>
        <w:rPr>
          <w:bdr w:val="none" w:sz="0" w:space="0" w:color="auto" w:frame="1"/>
          <w:shd w:val="clear" w:color="auto" w:fill="FFFFFF"/>
        </w:rPr>
        <w:t>imputations. However, this was conducted</w:t>
      </w:r>
      <w:r w:rsidRPr="00C14B87">
        <w:rPr>
          <w:bdr w:val="none" w:sz="0" w:space="0" w:color="auto" w:frame="1"/>
          <w:shd w:val="clear" w:color="auto" w:fill="FFFFFF"/>
        </w:rPr>
        <w:t xml:space="preserve"> adhering to the recommendations for each questionnaire, wh</w:t>
      </w:r>
      <w:r>
        <w:rPr>
          <w:bdr w:val="none" w:sz="0" w:space="0" w:color="auto" w:frame="1"/>
          <w:shd w:val="clear" w:color="auto" w:fill="FFFFFF"/>
        </w:rPr>
        <w:t xml:space="preserve">ere available, indicating the case or questionnaire </w:t>
      </w:r>
      <w:r w:rsidRPr="00C14B87">
        <w:rPr>
          <w:bdr w:val="none" w:sz="0" w:space="0" w:color="auto" w:frame="1"/>
          <w:shd w:val="clear" w:color="auto" w:fill="FFFFFF"/>
        </w:rPr>
        <w:t xml:space="preserve">validity based on a maximum allowable missing data </w:t>
      </w:r>
      <w:r>
        <w:rPr>
          <w:bdr w:val="none" w:sz="0" w:space="0" w:color="auto" w:frame="1"/>
          <w:shd w:val="clear" w:color="auto" w:fill="FFFFFF"/>
        </w:rPr>
        <w:t>cut-off</w:t>
      </w:r>
      <w:r w:rsidRPr="00C14B87">
        <w:rPr>
          <w:bdr w:val="none" w:sz="0" w:space="0" w:color="auto" w:frame="1"/>
          <w:shd w:val="clear" w:color="auto" w:fill="FFFFFF"/>
        </w:rPr>
        <w:t>.</w:t>
      </w:r>
      <w:r>
        <w:rPr>
          <w:bdr w:val="none" w:sz="0" w:space="0" w:color="auto" w:frame="1"/>
          <w:shd w:val="clear" w:color="auto" w:fill="FFFFFF"/>
        </w:rPr>
        <w:t xml:space="preserve"> That is,</w:t>
      </w:r>
      <w:r w:rsidRPr="00C14B87">
        <w:rPr>
          <w:bdr w:val="none" w:sz="0" w:space="0" w:color="auto" w:frame="1"/>
          <w:shd w:val="clear" w:color="auto" w:fill="FFFFFF"/>
        </w:rPr>
        <w:t xml:space="preserve"> </w:t>
      </w:r>
      <w:r>
        <w:rPr>
          <w:bdr w:val="none" w:sz="0" w:space="0" w:color="auto" w:frame="1"/>
          <w:shd w:val="clear" w:color="auto" w:fill="FFFFFF"/>
        </w:rPr>
        <w:t xml:space="preserve">the </w:t>
      </w:r>
      <w:r w:rsidRPr="00C14B87">
        <w:rPr>
          <w:bdr w:val="none" w:sz="0" w:space="0" w:color="auto" w:frame="1"/>
          <w:shd w:val="clear" w:color="auto" w:fill="FFFFFF"/>
        </w:rPr>
        <w:t>imputation of missing items or calculation of total scores was permissible based on a maximum percentage or number of missing items as recommended by the developers or related literature</w:t>
      </w:r>
      <w:r>
        <w:rPr>
          <w:bdr w:val="none" w:sz="0" w:space="0" w:color="auto" w:frame="1"/>
          <w:shd w:val="clear" w:color="auto" w:fill="FFFFFF"/>
        </w:rPr>
        <w:t>.</w:t>
      </w:r>
    </w:p>
    <w:p w14:paraId="6ED15AEF" w14:textId="52A52479" w:rsidR="0014037C" w:rsidRDefault="0014037C" w:rsidP="00DF606F">
      <w:pPr>
        <w:rPr>
          <w:color w:val="000000"/>
          <w:bdr w:val="none" w:sz="0" w:space="0" w:color="auto" w:frame="1"/>
          <w:shd w:val="clear" w:color="auto" w:fill="FFFFFF"/>
        </w:rPr>
      </w:pPr>
      <w:r w:rsidRPr="00D743B6">
        <w:rPr>
          <w:bdr w:val="none" w:sz="0" w:space="0" w:color="auto" w:frame="1"/>
          <w:shd w:val="clear" w:color="auto" w:fill="FFFFFF"/>
        </w:rPr>
        <w:t>Missing data in the questionnaire battery</w:t>
      </w:r>
      <w:r>
        <w:rPr>
          <w:bdr w:val="none" w:sz="0" w:space="0" w:color="auto" w:frame="1"/>
          <w:shd w:val="clear" w:color="auto" w:fill="FFFFFF"/>
        </w:rPr>
        <w:t>,</w:t>
      </w:r>
      <w:r w:rsidRPr="00D743B6">
        <w:rPr>
          <w:bdr w:val="none" w:sz="0" w:space="0" w:color="auto" w:frame="1"/>
          <w:shd w:val="clear" w:color="auto" w:fill="FFFFFF"/>
        </w:rPr>
        <w:t xml:space="preserve"> including the EASE</w:t>
      </w:r>
      <w:r>
        <w:rPr>
          <w:bdr w:val="none" w:sz="0" w:space="0" w:color="auto" w:frame="1"/>
          <w:shd w:val="clear" w:color="auto" w:fill="FFFFFF"/>
        </w:rPr>
        <w:t>-F,</w:t>
      </w:r>
      <w:r w:rsidRPr="00D743B6">
        <w:rPr>
          <w:bdr w:val="none" w:sz="0" w:space="0" w:color="auto" w:frame="1"/>
          <w:shd w:val="clear" w:color="auto" w:fill="FFFFFF"/>
        </w:rPr>
        <w:t xml:space="preserve"> were</w:t>
      </w:r>
      <w:r>
        <w:rPr>
          <w:bdr w:val="none" w:sz="0" w:space="0" w:color="auto" w:frame="1"/>
          <w:shd w:val="clear" w:color="auto" w:fill="FFFFFF"/>
        </w:rPr>
        <w:t xml:space="preserve"> </w:t>
      </w:r>
      <w:r w:rsidRPr="00D743B6">
        <w:rPr>
          <w:bdr w:val="none" w:sz="0" w:space="0" w:color="auto" w:frame="1"/>
          <w:shd w:val="clear" w:color="auto" w:fill="FFFFFF"/>
        </w:rPr>
        <w:t xml:space="preserve">dealt with using multiple imputation chain equations </w:t>
      </w:r>
      <w:sdt>
        <w:sdtPr>
          <w:rPr>
            <w:color w:val="000000"/>
            <w:bdr w:val="none" w:sz="0" w:space="0" w:color="auto" w:frame="1"/>
            <w:shd w:val="clear" w:color="auto" w:fill="FFFFFF"/>
          </w:rPr>
          <w:tag w:val="MENDELEY_CITATION_v3_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"/>
          <w:id w:val="-870149542"/>
          <w:placeholder>
            <w:docPart w:val="36907D12E008B045A6976D77072947B8"/>
          </w:placeholder>
        </w:sdtPr>
        <w:sdtContent>
          <w:r w:rsidR="0047170A" w:rsidRPr="0047170A">
            <w:rPr>
              <w:color w:val="000000"/>
              <w:bdr w:val="none" w:sz="0" w:space="0" w:color="auto" w:frame="1"/>
              <w:shd w:val="clear" w:color="auto" w:fill="FFFFFF"/>
            </w:rPr>
            <w:t>(Rubin, 2009)</w:t>
          </w:r>
        </w:sdtContent>
      </w:sdt>
      <w:r w:rsidRPr="00D743B6">
        <w:rPr>
          <w:bdr w:val="none" w:sz="0" w:space="0" w:color="auto" w:frame="1"/>
          <w:shd w:val="clear" w:color="auto" w:fill="FFFFFF"/>
        </w:rPr>
        <w:t>.</w:t>
      </w:r>
      <w:r>
        <w:rPr>
          <w:bdr w:val="none" w:sz="0" w:space="0" w:color="auto" w:frame="1"/>
          <w:shd w:val="clear" w:color="auto" w:fill="FFFFFF"/>
        </w:rPr>
        <w:t xml:space="preserve"> </w:t>
      </w:r>
      <w:r w:rsidRPr="00D743B6">
        <w:rPr>
          <w:bdr w:val="none" w:sz="0" w:space="0" w:color="auto" w:frame="1"/>
          <w:shd w:val="clear" w:color="auto" w:fill="FFFFFF"/>
        </w:rPr>
        <w:t xml:space="preserve">Following </w:t>
      </w:r>
      <w:r>
        <w:rPr>
          <w:bdr w:val="none" w:sz="0" w:space="0" w:color="auto" w:frame="1"/>
          <w:shd w:val="clear" w:color="auto" w:fill="FFFFFF"/>
        </w:rPr>
        <w:t>Rubin's</w:t>
      </w:r>
      <w:r w:rsidRPr="00D743B6">
        <w:rPr>
          <w:bdr w:val="none" w:sz="0" w:space="0" w:color="auto" w:frame="1"/>
          <w:shd w:val="clear" w:color="auto" w:fill="FFFFFF"/>
        </w:rPr>
        <w:t xml:space="preserve"> multiple </w:t>
      </w:r>
      <w:r>
        <w:rPr>
          <w:bdr w:val="none" w:sz="0" w:space="0" w:color="auto" w:frame="1"/>
          <w:shd w:val="clear" w:color="auto" w:fill="FFFFFF"/>
        </w:rPr>
        <w:t>imputations</w:t>
      </w:r>
      <w:r w:rsidRPr="00D743B6">
        <w:rPr>
          <w:bdr w:val="none" w:sz="0" w:space="0" w:color="auto" w:frame="1"/>
          <w:shd w:val="clear" w:color="auto" w:fill="FFFFFF"/>
        </w:rPr>
        <w:t xml:space="preserve">, the data </w:t>
      </w:r>
      <w:r>
        <w:rPr>
          <w:bdr w:val="none" w:sz="0" w:space="0" w:color="auto" w:frame="1"/>
          <w:shd w:val="clear" w:color="auto" w:fill="FFFFFF"/>
        </w:rPr>
        <w:t>were</w:t>
      </w:r>
      <w:r w:rsidRPr="00D743B6">
        <w:rPr>
          <w:bdr w:val="none" w:sz="0" w:space="0" w:color="auto" w:frame="1"/>
          <w:shd w:val="clear" w:color="auto" w:fill="FFFFFF"/>
        </w:rPr>
        <w:t xml:space="preserve"> imputed using a conditional model described</w:t>
      </w:r>
      <w:r>
        <w:rPr>
          <w:bdr w:val="none" w:sz="0" w:space="0" w:color="auto" w:frame="1"/>
          <w:shd w:val="clear" w:color="auto" w:fill="FFFFFF"/>
        </w:rPr>
        <w:t xml:space="preserve"> by</w:t>
      </w:r>
      <w:sdt>
        <w:sdtPr>
          <w:rPr>
            <w:color w:val="000000"/>
            <w:bdr w:val="none" w:sz="0" w:space="0" w:color="auto" w:frame="1"/>
            <w:shd w:val="clear" w:color="auto" w:fill="FFFFFF"/>
          </w:rPr>
          <w:tag w:val="MENDELEY_CITATION_v3_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"/>
          <w:id w:val="300124883"/>
          <w:placeholder>
            <w:docPart w:val="DF035ABC8B081744801241D074A86180"/>
          </w:placeholder>
        </w:sdtPr>
        <w:sdtContent>
          <w:r w:rsidR="0047170A" w:rsidRPr="0047170A">
            <w:rPr>
              <w:color w:val="000000"/>
              <w:bdr w:val="none" w:sz="0" w:space="0" w:color="auto" w:frame="1"/>
              <w:shd w:val="clear" w:color="auto" w:fill="FFFFFF"/>
            </w:rPr>
            <w:t xml:space="preserve"> van </w:t>
          </w:r>
          <w:proofErr w:type="spellStart"/>
          <w:r w:rsidR="0047170A" w:rsidRPr="0047170A">
            <w:rPr>
              <w:color w:val="000000"/>
              <w:bdr w:val="none" w:sz="0" w:space="0" w:color="auto" w:frame="1"/>
              <w:shd w:val="clear" w:color="auto" w:fill="FFFFFF"/>
            </w:rPr>
            <w:t>Buuren</w:t>
          </w:r>
          <w:proofErr w:type="spellEnd"/>
          <w:r w:rsidR="0047170A" w:rsidRPr="0047170A">
            <w:rPr>
              <w:color w:val="000000"/>
              <w:bdr w:val="none" w:sz="0" w:space="0" w:color="auto" w:frame="1"/>
              <w:shd w:val="clear" w:color="auto" w:fill="FFFFFF"/>
            </w:rPr>
            <w:t xml:space="preserve"> (2007)</w:t>
          </w:r>
        </w:sdtContent>
      </w:sdt>
      <w:r>
        <w:rPr>
          <w:color w:val="000000"/>
          <w:bdr w:val="none" w:sz="0" w:space="0" w:color="auto" w:frame="1"/>
          <w:shd w:val="clear" w:color="auto" w:fill="FFFFFF"/>
        </w:rPr>
        <w:t>.</w:t>
      </w:r>
    </w:p>
    <w:p w14:paraId="709A795C" w14:textId="77777777" w:rsidR="0014037C" w:rsidRPr="00D743B6" w:rsidRDefault="0014037C" w:rsidP="00DF606F">
      <w:pPr>
        <w:rPr>
          <w:bdr w:val="none" w:sz="0" w:space="0" w:color="auto" w:frame="1"/>
          <w:shd w:val="clear" w:color="auto" w:fill="FFFFFF"/>
        </w:rPr>
      </w:pPr>
      <w:r w:rsidRPr="00D743B6">
        <w:rPr>
          <w:bdr w:val="none" w:sz="0" w:space="0" w:color="auto" w:frame="1"/>
          <w:shd w:val="clear" w:color="auto" w:fill="FFFFFF"/>
        </w:rPr>
        <w:t>Statistical computation</w:t>
      </w:r>
      <w:r>
        <w:rPr>
          <w:bdr w:val="none" w:sz="0" w:space="0" w:color="auto" w:frame="1"/>
          <w:shd w:val="clear" w:color="auto" w:fill="FFFFFF"/>
        </w:rPr>
        <w:t>:</w:t>
      </w:r>
    </w:p>
    <w:p w14:paraId="712EA60C" w14:textId="74623649" w:rsidR="0014037C" w:rsidRPr="00D743B6" w:rsidRDefault="0014037C" w:rsidP="00DF606F">
      <w:pPr>
        <w:rPr>
          <w:bdr w:val="none" w:sz="0" w:space="0" w:color="auto" w:frame="1"/>
          <w:shd w:val="clear" w:color="auto" w:fill="FFFFFF"/>
        </w:rPr>
      </w:pPr>
      <w:r w:rsidRPr="00D743B6">
        <w:rPr>
          <w:bdr w:val="none" w:sz="0" w:space="0" w:color="auto" w:frame="1"/>
          <w:shd w:val="clear" w:color="auto" w:fill="FFFFFF"/>
        </w:rPr>
        <w:t>The package </w:t>
      </w:r>
      <w:r>
        <w:rPr>
          <w:bdr w:val="none" w:sz="0" w:space="0" w:color="auto" w:frame="1"/>
          <w:shd w:val="clear" w:color="auto" w:fill="FFFFFF"/>
        </w:rPr>
        <w:t>'</w:t>
      </w:r>
      <w:r w:rsidRPr="00D743B6">
        <w:rPr>
          <w:bdr w:val="none" w:sz="0" w:space="0" w:color="auto" w:frame="1"/>
          <w:shd w:val="clear" w:color="auto" w:fill="FFFFFF"/>
        </w:rPr>
        <w:t>mice</w:t>
      </w:r>
      <w:r>
        <w:rPr>
          <w:bdr w:val="none" w:sz="0" w:space="0" w:color="auto" w:frame="1"/>
          <w:shd w:val="clear" w:color="auto" w:fill="FFFFFF"/>
        </w:rPr>
        <w:t>'</w:t>
      </w:r>
      <w:r w:rsidRPr="00D743B6">
        <w:rPr>
          <w:bdr w:val="none" w:sz="0" w:space="0" w:color="auto" w:frame="1"/>
          <w:shd w:val="clear" w:color="auto" w:fill="FFFFFF"/>
        </w:rPr>
        <w:t> in R </w:t>
      </w:r>
      <w:r w:rsidRPr="008E2703">
        <w:rPr>
          <w:bdr w:val="none" w:sz="0" w:space="0" w:color="auto" w:frame="1"/>
          <w:shd w:val="clear" w:color="auto" w:fill="FFFFFF"/>
        </w:rPr>
        <w:t xml:space="preserve">by </w:t>
      </w:r>
      <w:sdt>
        <w:sdtPr>
          <w:rPr>
            <w:color w:val="000000"/>
            <w:bdr w:val="none" w:sz="0" w:space="0" w:color="auto" w:frame="1"/>
            <w:shd w:val="clear" w:color="auto" w:fill="FFFFFF"/>
          </w:rPr>
          <w:tag w:val="MENDELEY_CITATION_v3_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"/>
          <w:id w:val="1514036015"/>
          <w:placeholder>
            <w:docPart w:val="32EC4D637D995D469820A64FD9418A56"/>
          </w:placeholder>
        </w:sdtPr>
        <w:sdtContent>
          <w:r w:rsidR="0047170A">
            <w:rPr>
              <w:rFonts w:eastAsia="Times New Roman"/>
            </w:rPr>
            <w:t xml:space="preserve">Van </w:t>
          </w:r>
          <w:proofErr w:type="spellStart"/>
          <w:r w:rsidR="0047170A">
            <w:rPr>
              <w:rFonts w:eastAsia="Times New Roman"/>
            </w:rPr>
            <w:t>Buuren</w:t>
          </w:r>
          <w:proofErr w:type="spellEnd"/>
          <w:r w:rsidR="0047170A">
            <w:rPr>
              <w:rFonts w:eastAsia="Times New Roman"/>
            </w:rPr>
            <w:t xml:space="preserve"> &amp; </w:t>
          </w:r>
          <w:proofErr w:type="spellStart"/>
          <w:r w:rsidR="0047170A">
            <w:rPr>
              <w:rFonts w:eastAsia="Times New Roman"/>
            </w:rPr>
            <w:t>Groothuis-Oudshoorn</w:t>
          </w:r>
          <w:proofErr w:type="spellEnd"/>
          <w:r w:rsidR="0047170A">
            <w:rPr>
              <w:rFonts w:eastAsia="Times New Roman"/>
            </w:rPr>
            <w:t xml:space="preserve"> (2011)</w:t>
          </w:r>
        </w:sdtContent>
      </w:sdt>
      <w:r>
        <w:rPr>
          <w:bdr w:val="none" w:sz="0" w:space="0" w:color="auto" w:frame="1"/>
          <w:shd w:val="clear" w:color="auto" w:fill="FFFFFF"/>
        </w:rPr>
        <w:t xml:space="preserve"> imputed</w:t>
      </w:r>
      <w:r w:rsidRPr="00D743B6">
        <w:rPr>
          <w:bdr w:val="none" w:sz="0" w:space="0" w:color="auto" w:frame="1"/>
          <w:shd w:val="clear" w:color="auto" w:fill="FFFFFF"/>
        </w:rPr>
        <w:t xml:space="preserve"> the missing data.</w:t>
      </w:r>
      <w:r>
        <w:rPr>
          <w:bdr w:val="none" w:sz="0" w:space="0" w:color="auto" w:frame="1"/>
          <w:shd w:val="clear" w:color="auto" w:fill="FFFFFF"/>
        </w:rPr>
        <w:t xml:space="preserve"> </w:t>
      </w:r>
      <w:r w:rsidRPr="00D743B6">
        <w:rPr>
          <w:bdr w:val="none" w:sz="0" w:space="0" w:color="auto" w:frame="1"/>
          <w:shd w:val="clear" w:color="auto" w:fill="FFFFFF"/>
        </w:rPr>
        <w:t>The package uses a chained equation approach to the imputation.</w:t>
      </w:r>
      <w:r>
        <w:rPr>
          <w:bdr w:val="none" w:sz="0" w:space="0" w:color="auto" w:frame="1"/>
          <w:shd w:val="clear" w:color="auto" w:fill="FFFFFF"/>
        </w:rPr>
        <w:t xml:space="preserve"> </w:t>
      </w:r>
      <w:r w:rsidRPr="00D743B6">
        <w:rPr>
          <w:bdr w:val="none" w:sz="0" w:space="0" w:color="auto" w:frame="1"/>
          <w:shd w:val="clear" w:color="auto" w:fill="FFFFFF"/>
        </w:rPr>
        <w:t xml:space="preserve">The approach allows </w:t>
      </w:r>
      <w:r>
        <w:rPr>
          <w:bdr w:val="none" w:sz="0" w:space="0" w:color="auto" w:frame="1"/>
          <w:shd w:val="clear" w:color="auto" w:fill="FFFFFF"/>
        </w:rPr>
        <w:t xml:space="preserve">the </w:t>
      </w:r>
      <w:r w:rsidRPr="00D743B6">
        <w:rPr>
          <w:bdr w:val="none" w:sz="0" w:space="0" w:color="auto" w:frame="1"/>
          <w:shd w:val="clear" w:color="auto" w:fill="FFFFFF"/>
        </w:rPr>
        <w:t xml:space="preserve">specification of the distribution of each variable with missing values conditioned on other variables in the data, and the imputation algorithm sequentially iterates through the variables to impute the missing values using the specified </w:t>
      </w:r>
      <w:r w:rsidRPr="00934B56">
        <w:rPr>
          <w:bdr w:val="none" w:sz="0" w:space="0" w:color="auto" w:frame="1"/>
          <w:shd w:val="clear" w:color="auto" w:fill="FFFFFF"/>
        </w:rPr>
        <w:t>models.</w:t>
      </w:r>
      <w:r>
        <w:rPr>
          <w:bdr w:val="none" w:sz="0" w:space="0" w:color="auto" w:frame="1"/>
          <w:shd w:val="clear" w:color="auto" w:fill="FFFFFF"/>
        </w:rPr>
        <w:t xml:space="preserve"> </w:t>
      </w:r>
      <w:r w:rsidRPr="00934B56">
        <w:rPr>
          <w:bdr w:val="none" w:sz="0" w:space="0" w:color="auto" w:frame="1"/>
          <w:shd w:val="clear" w:color="auto" w:fill="FFFFFF"/>
        </w:rPr>
        <w:t xml:space="preserve">The procedure for the current study was performed using </w:t>
      </w:r>
      <w:r>
        <w:rPr>
          <w:bdr w:val="none" w:sz="0" w:space="0" w:color="auto" w:frame="1"/>
          <w:shd w:val="clear" w:color="auto" w:fill="FFFFFF"/>
        </w:rPr>
        <w:t xml:space="preserve">a </w:t>
      </w:r>
      <w:r w:rsidRPr="00934B56">
        <w:rPr>
          <w:bdr w:val="none" w:sz="0" w:space="0" w:color="auto" w:frame="1"/>
          <w:shd w:val="clear" w:color="auto" w:fill="FFFFFF"/>
        </w:rPr>
        <w:t>random forest model as this was appropriate for the ordinal categories in the responses of the included questionnaires.</w:t>
      </w:r>
      <w:r>
        <w:rPr>
          <w:bdr w:val="none" w:sz="0" w:space="0" w:color="auto" w:frame="1"/>
          <w:shd w:val="clear" w:color="auto" w:fill="FFFFFF"/>
        </w:rPr>
        <w:t xml:space="preserve"> </w:t>
      </w:r>
      <w:r w:rsidRPr="00934B56">
        <w:rPr>
          <w:bdr w:val="none" w:sz="0" w:space="0" w:color="auto" w:frame="1"/>
          <w:shd w:val="clear" w:color="auto" w:fill="FFFFFF"/>
        </w:rPr>
        <w:t>The variables included in the imputation models included the GAD7, PHQ-9, PHQ15, PCL-5, EASE</w:t>
      </w:r>
      <w:r>
        <w:rPr>
          <w:bdr w:val="none" w:sz="0" w:space="0" w:color="auto" w:frame="1"/>
          <w:shd w:val="clear" w:color="auto" w:fill="FFFFFF"/>
        </w:rPr>
        <w:t>-F</w:t>
      </w:r>
      <w:r w:rsidRPr="00934B56">
        <w:rPr>
          <w:bdr w:val="none" w:sz="0" w:space="0" w:color="auto" w:frame="1"/>
          <w:shd w:val="clear" w:color="auto" w:fill="FFFFFF"/>
        </w:rPr>
        <w:t xml:space="preserve"> and the UCS.</w:t>
      </w:r>
      <w:r>
        <w:rPr>
          <w:bdr w:val="none" w:sz="0" w:space="0" w:color="auto" w:frame="1"/>
          <w:shd w:val="clear" w:color="auto" w:fill="FFFFFF"/>
        </w:rPr>
        <w:t xml:space="preserve"> </w:t>
      </w:r>
      <w:r w:rsidRPr="00934B56">
        <w:rPr>
          <w:bdr w:val="none" w:sz="0" w:space="0" w:color="auto" w:frame="1"/>
          <w:shd w:val="clear" w:color="auto" w:fill="FFFFFF"/>
        </w:rPr>
        <w:t xml:space="preserve">Five imputed data sets were obtained, and </w:t>
      </w:r>
      <w:r>
        <w:rPr>
          <w:bdr w:val="none" w:sz="0" w:space="0" w:color="auto" w:frame="1"/>
          <w:shd w:val="clear" w:color="auto" w:fill="FFFFFF"/>
        </w:rPr>
        <w:t>each iteration's</w:t>
      </w:r>
      <w:r w:rsidRPr="00934B56">
        <w:rPr>
          <w:bdr w:val="none" w:sz="0" w:space="0" w:color="auto" w:frame="1"/>
          <w:shd w:val="clear" w:color="auto" w:fill="FFFFFF"/>
        </w:rPr>
        <w:t xml:space="preserve"> total scores were calculated separately.</w:t>
      </w:r>
      <w:r>
        <w:rPr>
          <w:bdr w:val="none" w:sz="0" w:space="0" w:color="auto" w:frame="1"/>
          <w:shd w:val="clear" w:color="auto" w:fill="FFFFFF"/>
        </w:rPr>
        <w:t xml:space="preserve"> </w:t>
      </w:r>
      <w:r w:rsidRPr="00934B56">
        <w:rPr>
          <w:bdr w:val="none" w:sz="0" w:space="0" w:color="auto" w:frame="1"/>
          <w:shd w:val="clear" w:color="auto" w:fill="FFFFFF"/>
        </w:rPr>
        <w:t>The results were pooled together using an average of all iterations.</w:t>
      </w:r>
    </w:p>
    <w:p w14:paraId="25A4FC4B" w14:textId="49AA3416" w:rsidR="0014037C" w:rsidRPr="00BD5E45" w:rsidRDefault="0014037C" w:rsidP="00DF606F">
      <w:pPr>
        <w:pStyle w:val="Heading4"/>
        <w:rPr>
          <w:bdr w:val="none" w:sz="0" w:space="0" w:color="auto" w:frame="1"/>
          <w:shd w:val="clear" w:color="auto" w:fill="FFFFFF"/>
        </w:rPr>
      </w:pPr>
      <w:r>
        <w:rPr>
          <w:bdr w:val="none" w:sz="0" w:space="0" w:color="auto" w:frame="1"/>
          <w:shd w:val="clear" w:color="auto" w:fill="FFFFFF"/>
        </w:rPr>
        <w:lastRenderedPageBreak/>
        <w:t>3.</w:t>
      </w:r>
      <w:r w:rsidRPr="00BD5E45">
        <w:rPr>
          <w:bdr w:val="none" w:sz="0" w:space="0" w:color="auto" w:frame="1"/>
          <w:shd w:val="clear" w:color="auto" w:fill="FFFFFF"/>
        </w:rPr>
        <w:t>2.4.4 Data suitability</w:t>
      </w:r>
    </w:p>
    <w:p w14:paraId="456F8C4F" w14:textId="7C9A3B25" w:rsidR="0014037C" w:rsidRDefault="0014037C" w:rsidP="00DF606F">
      <w:pPr>
        <w:rPr>
          <w:bdr w:val="none" w:sz="0" w:space="0" w:color="auto" w:frame="1"/>
          <w:shd w:val="clear" w:color="auto" w:fill="FFFFFF"/>
        </w:rPr>
      </w:pPr>
      <w:r>
        <w:rPr>
          <w:bdr w:val="none" w:sz="0" w:space="0" w:color="auto" w:frame="1"/>
          <w:shd w:val="clear" w:color="auto" w:fill="FFFFFF"/>
        </w:rPr>
        <w:t xml:space="preserve">The </w:t>
      </w:r>
      <w:r w:rsidRPr="0090079B">
        <w:rPr>
          <w:bdr w:val="none" w:sz="0" w:space="0" w:color="auto" w:frame="1"/>
          <w:shd w:val="clear" w:color="auto" w:fill="FFFFFF"/>
        </w:rPr>
        <w:t>best practices described by</w:t>
      </w:r>
      <w:r>
        <w:rPr>
          <w:bdr w:val="none" w:sz="0" w:space="0" w:color="auto" w:frame="1"/>
          <w:shd w:val="clear" w:color="auto" w:fill="FFFFFF"/>
        </w:rPr>
        <w:t xml:space="preserve"> </w:t>
      </w:r>
      <w:sdt>
        <w:sdtPr>
          <w:rPr>
            <w:color w:val="000000"/>
            <w:bdr w:val="none" w:sz="0" w:space="0" w:color="auto" w:frame="1"/>
            <w:shd w:val="clear" w:color="auto" w:fill="FFFFFF"/>
          </w:rPr>
          <w:tag w:val="MENDELEY_CITATION_v3_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"/>
          <w:id w:val="923761192"/>
          <w:placeholder>
            <w:docPart w:val="6CAF6727D216124B999E426FFEFDB49E"/>
          </w:placeholder>
        </w:sdtPr>
        <w:sdtContent>
          <w:r w:rsidR="0047170A">
            <w:rPr>
              <w:rFonts w:eastAsia="Times New Roman"/>
            </w:rPr>
            <w:t>Costello &amp; Osborne (2005)</w:t>
          </w:r>
        </w:sdtContent>
      </w:sdt>
      <w:r w:rsidRPr="0090079B">
        <w:rPr>
          <w:bdr w:val="none" w:sz="0" w:space="0" w:color="auto" w:frame="1"/>
          <w:shd w:val="clear" w:color="auto" w:fill="FFFFFF"/>
        </w:rPr>
        <w:t xml:space="preserve"> were followed</w:t>
      </w:r>
      <w:r>
        <w:rPr>
          <w:bdr w:val="none" w:sz="0" w:space="0" w:color="auto" w:frame="1"/>
          <w:shd w:val="clear" w:color="auto" w:fill="FFFFFF"/>
        </w:rPr>
        <w:t xml:space="preserve"> in conducting the factor analyses</w:t>
      </w:r>
      <w:r w:rsidRPr="0090079B">
        <w:rPr>
          <w:bdr w:val="none" w:sz="0" w:space="0" w:color="auto" w:frame="1"/>
          <w:shd w:val="clear" w:color="auto" w:fill="FFFFFF"/>
        </w:rPr>
        <w:t>.</w:t>
      </w:r>
      <w:r>
        <w:rPr>
          <w:bdr w:val="none" w:sz="0" w:space="0" w:color="auto" w:frame="1"/>
          <w:shd w:val="clear" w:color="auto" w:fill="FFFFFF"/>
        </w:rPr>
        <w:t xml:space="preserve"> The suitability </w:t>
      </w:r>
      <w:r w:rsidRPr="0090079B">
        <w:rPr>
          <w:bdr w:val="none" w:sz="0" w:space="0" w:color="auto" w:frame="1"/>
          <w:shd w:val="clear" w:color="auto" w:fill="FFFFFF"/>
        </w:rPr>
        <w:t>of the</w:t>
      </w:r>
      <w:r>
        <w:rPr>
          <w:bdr w:val="none" w:sz="0" w:space="0" w:color="auto" w:frame="1"/>
          <w:shd w:val="clear" w:color="auto" w:fill="FFFFFF"/>
        </w:rPr>
        <w:t xml:space="preserve"> </w:t>
      </w:r>
      <w:r w:rsidRPr="0090079B">
        <w:rPr>
          <w:bdr w:val="none" w:sz="0" w:space="0" w:color="auto" w:frame="1"/>
          <w:shd w:val="clear" w:color="auto" w:fill="FFFFFF"/>
        </w:rPr>
        <w:t>data for Factor</w:t>
      </w:r>
      <w:r>
        <w:rPr>
          <w:bdr w:val="none" w:sz="0" w:space="0" w:color="auto" w:frame="1"/>
          <w:shd w:val="clear" w:color="auto" w:fill="FFFFFF"/>
        </w:rPr>
        <w:t xml:space="preserve"> </w:t>
      </w:r>
      <w:r w:rsidRPr="0090079B">
        <w:rPr>
          <w:bdr w:val="none" w:sz="0" w:space="0" w:color="auto" w:frame="1"/>
          <w:shd w:val="clear" w:color="auto" w:fill="FFFFFF"/>
        </w:rPr>
        <w:t>A</w:t>
      </w:r>
      <w:r>
        <w:rPr>
          <w:bdr w:val="none" w:sz="0" w:space="0" w:color="auto" w:frame="1"/>
          <w:shd w:val="clear" w:color="auto" w:fill="FFFFFF"/>
        </w:rPr>
        <w:t xml:space="preserve">nalyses and Rasch Modelling </w:t>
      </w:r>
      <w:r w:rsidRPr="0090079B">
        <w:rPr>
          <w:bdr w:val="none" w:sz="0" w:space="0" w:color="auto" w:frame="1"/>
          <w:shd w:val="clear" w:color="auto" w:fill="FFFFFF"/>
        </w:rPr>
        <w:t>w</w:t>
      </w:r>
      <w:r>
        <w:rPr>
          <w:bdr w:val="none" w:sz="0" w:space="0" w:color="auto" w:frame="1"/>
          <w:shd w:val="clear" w:color="auto" w:fill="FFFFFF"/>
        </w:rPr>
        <w:t>as</w:t>
      </w:r>
      <w:r w:rsidRPr="0090079B">
        <w:rPr>
          <w:bdr w:val="none" w:sz="0" w:space="0" w:color="auto" w:frame="1"/>
          <w:shd w:val="clear" w:color="auto" w:fill="FFFFFF"/>
        </w:rPr>
        <w:t xml:space="preserve"> examined</w:t>
      </w:r>
      <w:r>
        <w:rPr>
          <w:bdr w:val="none" w:sz="0" w:space="0" w:color="auto" w:frame="1"/>
          <w:shd w:val="clear" w:color="auto" w:fill="FFFFFF"/>
        </w:rPr>
        <w:t xml:space="preserve"> </w:t>
      </w:r>
      <w:r w:rsidRPr="0090079B">
        <w:rPr>
          <w:bdr w:val="none" w:sz="0" w:space="0" w:color="auto" w:frame="1"/>
          <w:shd w:val="clear" w:color="auto" w:fill="FFFFFF"/>
        </w:rPr>
        <w:t>based on</w:t>
      </w:r>
      <w:r>
        <w:rPr>
          <w:bdr w:val="none" w:sz="0" w:space="0" w:color="auto" w:frame="1"/>
          <w:shd w:val="clear" w:color="auto" w:fill="FFFFFF"/>
        </w:rPr>
        <w:t xml:space="preserve"> </w:t>
      </w:r>
      <w:r w:rsidRPr="0090079B">
        <w:rPr>
          <w:bdr w:val="none" w:sz="0" w:space="0" w:color="auto" w:frame="1"/>
          <w:shd w:val="clear" w:color="auto" w:fill="FFFFFF"/>
        </w:rPr>
        <w:t>the</w:t>
      </w:r>
      <w:r>
        <w:rPr>
          <w:bdr w:val="none" w:sz="0" w:space="0" w:color="auto" w:frame="1"/>
          <w:shd w:val="clear" w:color="auto" w:fill="FFFFFF"/>
        </w:rPr>
        <w:t xml:space="preserve"> </w:t>
      </w:r>
      <w:r w:rsidRPr="0090079B">
        <w:rPr>
          <w:bdr w:val="none" w:sz="0" w:space="0" w:color="auto" w:frame="1"/>
          <w:shd w:val="clear" w:color="auto" w:fill="FFFFFF"/>
        </w:rPr>
        <w:t>Kaiser-Meyer-Olkin (KMO)</w:t>
      </w:r>
      <w:r>
        <w:rPr>
          <w:bdr w:val="none" w:sz="0" w:space="0" w:color="auto" w:frame="1"/>
          <w:shd w:val="clear" w:color="auto" w:fill="FFFFFF"/>
        </w:rPr>
        <w:t xml:space="preserve"> </w:t>
      </w:r>
      <w:r w:rsidRPr="0090079B">
        <w:rPr>
          <w:bdr w:val="none" w:sz="0" w:space="0" w:color="auto" w:frame="1"/>
          <w:shd w:val="clear" w:color="auto" w:fill="FFFFFF"/>
        </w:rPr>
        <w:t>statistics of</w:t>
      </w:r>
      <w:r>
        <w:rPr>
          <w:bdr w:val="none" w:sz="0" w:space="0" w:color="auto" w:frame="1"/>
          <w:shd w:val="clear" w:color="auto" w:fill="FFFFFF"/>
        </w:rPr>
        <w:t xml:space="preserve"> </w:t>
      </w:r>
      <w:r w:rsidRPr="0090079B">
        <w:rPr>
          <w:bdr w:val="none" w:sz="0" w:space="0" w:color="auto" w:frame="1"/>
          <w:shd w:val="clear" w:color="auto" w:fill="FFFFFF"/>
        </w:rPr>
        <w:t>sampling</w:t>
      </w:r>
      <w:r>
        <w:rPr>
          <w:bdr w:val="none" w:sz="0" w:space="0" w:color="auto" w:frame="1"/>
          <w:shd w:val="clear" w:color="auto" w:fill="FFFFFF"/>
        </w:rPr>
        <w:t xml:space="preserve"> </w:t>
      </w:r>
      <w:r w:rsidRPr="0090079B">
        <w:rPr>
          <w:bdr w:val="none" w:sz="0" w:space="0" w:color="auto" w:frame="1"/>
          <w:shd w:val="clear" w:color="auto" w:fill="FFFFFF"/>
        </w:rPr>
        <w:t xml:space="preserve">adequacy and </w:t>
      </w:r>
      <w:r>
        <w:rPr>
          <w:bdr w:val="none" w:sz="0" w:space="0" w:color="auto" w:frame="1"/>
          <w:shd w:val="clear" w:color="auto" w:fill="FFFFFF"/>
        </w:rPr>
        <w:t>Bartlett's</w:t>
      </w:r>
      <w:r w:rsidRPr="0090079B">
        <w:rPr>
          <w:bdr w:val="none" w:sz="0" w:space="0" w:color="auto" w:frame="1"/>
          <w:shd w:val="clear" w:color="auto" w:fill="FFFFFF"/>
        </w:rPr>
        <w:t xml:space="preserve"> test of sphericity</w:t>
      </w:r>
      <w:r>
        <w:rPr>
          <w:bdr w:val="none" w:sz="0" w:space="0" w:color="auto" w:frame="1"/>
          <w:shd w:val="clear" w:color="auto" w:fill="FFFFFF"/>
        </w:rPr>
        <w:t xml:space="preserve"> </w:t>
      </w:r>
      <w:sdt>
        <w:sdtPr>
          <w:rPr>
            <w:color w:val="000000"/>
            <w:bdr w:val="none" w:sz="0" w:space="0" w:color="auto" w:frame="1"/>
            <w:shd w:val="clear" w:color="auto" w:fill="FFFFFF"/>
          </w:rPr>
          <w:tag w:val="MENDELEY_CITATION_v3_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"/>
          <w:id w:val="1414512922"/>
          <w:placeholder>
            <w:docPart w:val="6CAF6727D216124B999E426FFEFDB49E"/>
          </w:placeholder>
        </w:sdtPr>
        <w:sdtContent>
          <w:r w:rsidR="0047170A">
            <w:rPr>
              <w:rFonts w:eastAsia="Times New Roman"/>
            </w:rPr>
            <w:t>(Worthington &amp; Whittaker, 2006)</w:t>
          </w:r>
        </w:sdtContent>
      </w:sdt>
      <w:r w:rsidRPr="00D74C99">
        <w:rPr>
          <w:bdr w:val="none" w:sz="0" w:space="0" w:color="auto" w:frame="1"/>
          <w:shd w:val="clear" w:color="auto" w:fill="FFFFFF"/>
        </w:rPr>
        <w:t>.</w:t>
      </w:r>
      <w:r>
        <w:rPr>
          <w:bdr w:val="none" w:sz="0" w:space="0" w:color="auto" w:frame="1"/>
          <w:shd w:val="clear" w:color="auto" w:fill="FFFFFF"/>
        </w:rPr>
        <w:t xml:space="preserve"> Bartlett's</w:t>
      </w:r>
      <w:r w:rsidRPr="00576B28">
        <w:t xml:space="preserve"> test of sphericity tests the null hypothesis that items are uncorrelated.</w:t>
      </w:r>
      <w:r>
        <w:t xml:space="preserve"> </w:t>
      </w:r>
      <w:r w:rsidRPr="00576B28">
        <w:t>The KMO tests whether the sample size is adequate</w:t>
      </w:r>
      <w:r>
        <w:t>.</w:t>
      </w:r>
      <w:r>
        <w:rPr>
          <w:bdr w:val="none" w:sz="0" w:space="0" w:color="auto" w:frame="1"/>
          <w:shd w:val="clear" w:color="auto" w:fill="FFFFFF"/>
        </w:rPr>
        <w:t xml:space="preserve"> A KMO co-efficient of &gt;- 0.70 was desired </w:t>
      </w:r>
      <w:sdt>
        <w:sdtPr>
          <w:rPr>
            <w:color w:val="000000"/>
            <w:bdr w:val="none" w:sz="0" w:space="0" w:color="auto" w:frame="1"/>
            <w:shd w:val="clear" w:color="auto" w:fill="FFFFFF"/>
          </w:rPr>
          <w:tag w:val="MENDELEY_CITATION_v3_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"/>
          <w:id w:val="-1544740297"/>
          <w:placeholder>
            <w:docPart w:val="6CAF6727D216124B999E426FFEFDB49E"/>
          </w:placeholder>
        </w:sdtPr>
        <w:sdtContent>
          <w:r w:rsidR="0047170A" w:rsidRPr="0047170A">
            <w:rPr>
              <w:color w:val="000000"/>
              <w:bdr w:val="none" w:sz="0" w:space="0" w:color="auto" w:frame="1"/>
              <w:shd w:val="clear" w:color="auto" w:fill="FFFFFF"/>
            </w:rPr>
            <w:t>(Watkins, 2018)</w:t>
          </w:r>
        </w:sdtContent>
      </w:sdt>
      <w:r>
        <w:rPr>
          <w:bdr w:val="none" w:sz="0" w:space="0" w:color="auto" w:frame="1"/>
          <w:shd w:val="clear" w:color="auto" w:fill="FFFFFF"/>
        </w:rPr>
        <w:t>.</w:t>
      </w:r>
      <w:r w:rsidRPr="00576B28">
        <w:t xml:space="preserve"> </w:t>
      </w:r>
    </w:p>
    <w:p w14:paraId="63667BFA" w14:textId="23A29E9E" w:rsidR="0014037C" w:rsidRPr="002978EE" w:rsidRDefault="0014037C" w:rsidP="00DF606F">
      <w:pPr>
        <w:pStyle w:val="Heading3"/>
      </w:pPr>
      <w:bookmarkStart w:id="82" w:name="_Toc137504706"/>
      <w:r>
        <w:t>3.</w:t>
      </w:r>
      <w:r w:rsidRPr="002978EE">
        <w:t>2.5 Exploratory Factor Analysis (EFA)</w:t>
      </w:r>
      <w:bookmarkEnd w:id="82"/>
    </w:p>
    <w:p w14:paraId="6DAF1862" w14:textId="77777777" w:rsidR="0014037C" w:rsidRPr="0090079B" w:rsidRDefault="0014037C" w:rsidP="00DF606F">
      <w:pPr>
        <w:rPr>
          <w:bdr w:val="none" w:sz="0" w:space="0" w:color="auto" w:frame="1"/>
          <w:shd w:val="clear" w:color="auto" w:fill="FFFFFF"/>
        </w:rPr>
      </w:pPr>
      <w:r>
        <w:rPr>
          <w:bdr w:val="none" w:sz="0" w:space="0" w:color="auto" w:frame="1"/>
          <w:shd w:val="clear" w:color="auto" w:fill="FFFFFF"/>
        </w:rPr>
        <w:t>EASE-F items with an inconsistent format were removed to</w:t>
      </w:r>
      <w:r w:rsidRPr="008E2703">
        <w:rPr>
          <w:bdr w:val="none" w:sz="0" w:space="0" w:color="auto" w:frame="1"/>
          <w:shd w:val="clear" w:color="auto" w:fill="FFFFFF"/>
        </w:rPr>
        <w:t xml:space="preserve"> develop a model with improved psychometric properties and scale brevity while maintaining enough items to create stable factors</w:t>
      </w:r>
      <w:r w:rsidRPr="0090079B">
        <w:rPr>
          <w:bdr w:val="none" w:sz="0" w:space="0" w:color="auto" w:frame="1"/>
          <w:shd w:val="clear" w:color="auto" w:fill="FFFFFF"/>
        </w:rPr>
        <w:t xml:space="preserve"> (i.e</w:t>
      </w:r>
      <w:r>
        <w:rPr>
          <w:bdr w:val="none" w:sz="0" w:space="0" w:color="auto" w:frame="1"/>
          <w:shd w:val="clear" w:color="auto" w:fill="FFFFFF"/>
        </w:rPr>
        <w:t>.,</w:t>
      </w:r>
      <w:r w:rsidRPr="0090079B">
        <w:rPr>
          <w:bdr w:val="none" w:sz="0" w:space="0" w:color="auto" w:frame="1"/>
          <w:shd w:val="clear" w:color="auto" w:fill="FFFFFF"/>
        </w:rPr>
        <w:t xml:space="preserve"> </w:t>
      </w:r>
      <w:r>
        <w:rPr>
          <w:bdr w:val="none" w:sz="0" w:space="0" w:color="auto" w:frame="1"/>
          <w:shd w:val="clear" w:color="auto" w:fill="FFFFFF"/>
        </w:rPr>
        <w:t>open-text</w:t>
      </w:r>
      <w:r w:rsidRPr="0090079B">
        <w:rPr>
          <w:bdr w:val="none" w:sz="0" w:space="0" w:color="auto" w:frame="1"/>
          <w:shd w:val="clear" w:color="auto" w:fill="FFFFFF"/>
        </w:rPr>
        <w:t xml:space="preserve"> questions, follow-up </w:t>
      </w:r>
      <w:r>
        <w:rPr>
          <w:bdr w:val="none" w:sz="0" w:space="0" w:color="auto" w:frame="1"/>
          <w:shd w:val="clear" w:color="auto" w:fill="FFFFFF"/>
        </w:rPr>
        <w:t>'</w:t>
      </w:r>
      <w:r w:rsidRPr="0090079B">
        <w:rPr>
          <w:bdr w:val="none" w:sz="0" w:space="0" w:color="auto" w:frame="1"/>
          <w:shd w:val="clear" w:color="auto" w:fill="FFFFFF"/>
        </w:rPr>
        <w:t>if yes</w:t>
      </w:r>
      <w:r>
        <w:rPr>
          <w:bdr w:val="none" w:sz="0" w:space="0" w:color="auto" w:frame="1"/>
          <w:shd w:val="clear" w:color="auto" w:fill="FFFFFF"/>
        </w:rPr>
        <w:t>'</w:t>
      </w:r>
      <w:r w:rsidRPr="0090079B">
        <w:rPr>
          <w:bdr w:val="none" w:sz="0" w:space="0" w:color="auto" w:frame="1"/>
          <w:shd w:val="clear" w:color="auto" w:fill="FFFFFF"/>
        </w:rPr>
        <w:t xml:space="preserve"> questions).</w:t>
      </w:r>
      <w:r>
        <w:rPr>
          <w:bdr w:val="none" w:sz="0" w:space="0" w:color="auto" w:frame="1"/>
          <w:shd w:val="clear" w:color="auto" w:fill="FFFFFF"/>
        </w:rPr>
        <w:t xml:space="preserve"> All subsequent analyses were conducted on the 5-Likert scale items only.</w:t>
      </w:r>
    </w:p>
    <w:p w14:paraId="71475D63" w14:textId="1A0F2E5C" w:rsidR="0014037C" w:rsidRPr="00614AED" w:rsidRDefault="0014037C" w:rsidP="00DF606F">
      <w:pPr>
        <w:rPr>
          <w:bdr w:val="none" w:sz="0" w:space="0" w:color="auto" w:frame="1"/>
          <w:shd w:val="clear" w:color="auto" w:fill="FFFFFF"/>
        </w:rPr>
      </w:pPr>
      <w:r w:rsidRPr="0090079B">
        <w:rPr>
          <w:bdr w:val="none" w:sz="0" w:space="0" w:color="auto" w:frame="1"/>
          <w:shd w:val="clear" w:color="auto" w:fill="FFFFFF"/>
        </w:rPr>
        <w:t>The underlying</w:t>
      </w:r>
      <w:r>
        <w:rPr>
          <w:bdr w:val="none" w:sz="0" w:space="0" w:color="auto" w:frame="1"/>
          <w:shd w:val="clear" w:color="auto" w:fill="FFFFFF"/>
        </w:rPr>
        <w:t xml:space="preserve"> </w:t>
      </w:r>
      <w:r w:rsidRPr="0090079B">
        <w:rPr>
          <w:bdr w:val="none" w:sz="0" w:space="0" w:color="auto" w:frame="1"/>
          <w:shd w:val="clear" w:color="auto" w:fill="FFFFFF"/>
        </w:rPr>
        <w:t>factor</w:t>
      </w:r>
      <w:r>
        <w:rPr>
          <w:bdr w:val="none" w:sz="0" w:space="0" w:color="auto" w:frame="1"/>
          <w:shd w:val="clear" w:color="auto" w:fill="FFFFFF"/>
        </w:rPr>
        <w:t xml:space="preserve"> </w:t>
      </w:r>
      <w:r w:rsidRPr="0090079B">
        <w:rPr>
          <w:bdr w:val="none" w:sz="0" w:space="0" w:color="auto" w:frame="1"/>
          <w:shd w:val="clear" w:color="auto" w:fill="FFFFFF"/>
        </w:rPr>
        <w:t>structure w</w:t>
      </w:r>
      <w:r>
        <w:rPr>
          <w:bdr w:val="none" w:sz="0" w:space="0" w:color="auto" w:frame="1"/>
          <w:shd w:val="clear" w:color="auto" w:fill="FFFFFF"/>
        </w:rPr>
        <w:t>as</w:t>
      </w:r>
      <w:r w:rsidRPr="0090079B">
        <w:rPr>
          <w:bdr w:val="none" w:sz="0" w:space="0" w:color="auto" w:frame="1"/>
          <w:shd w:val="clear" w:color="auto" w:fill="FFFFFF"/>
        </w:rPr>
        <w:t xml:space="preserve"> investigated using principal axis factoring (PAF).</w:t>
      </w:r>
      <w:r>
        <w:rPr>
          <w:bdr w:val="none" w:sz="0" w:space="0" w:color="auto" w:frame="1"/>
          <w:shd w:val="clear" w:color="auto" w:fill="FFFFFF"/>
        </w:rPr>
        <w:t xml:space="preserve"> </w:t>
      </w:r>
      <w:r w:rsidRPr="0090079B">
        <w:rPr>
          <w:bdr w:val="none" w:sz="0" w:space="0" w:color="auto" w:frame="1"/>
          <w:shd w:val="clear" w:color="auto" w:fill="FFFFFF"/>
        </w:rPr>
        <w:t>The identified factors were expected to be highly correlated interdependent aspects of</w:t>
      </w:r>
      <w:r>
        <w:rPr>
          <w:bdr w:val="none" w:sz="0" w:space="0" w:color="auto" w:frame="1"/>
          <w:shd w:val="clear" w:color="auto" w:fill="FFFFFF"/>
        </w:rPr>
        <w:t xml:space="preserve"> the</w:t>
      </w:r>
      <w:r w:rsidRPr="0090079B">
        <w:rPr>
          <w:bdr w:val="none" w:sz="0" w:space="0" w:color="auto" w:frame="1"/>
          <w:shd w:val="clear" w:color="auto" w:fill="FFFFFF"/>
        </w:rPr>
        <w:t xml:space="preserve"> </w:t>
      </w:r>
      <w:r w:rsidRPr="0064074A">
        <w:rPr>
          <w:bdr w:val="none" w:sz="0" w:space="0" w:color="auto" w:frame="1"/>
          <w:shd w:val="clear" w:color="auto" w:fill="FFFFFF"/>
        </w:rPr>
        <w:t>positive attributes and coping strategies for FNS, as informed by the qualitative</w:t>
      </w:r>
      <w:r>
        <w:rPr>
          <w:bdr w:val="none" w:sz="0" w:space="0" w:color="auto" w:frame="1"/>
          <w:shd w:val="clear" w:color="auto" w:fill="FFFFFF"/>
        </w:rPr>
        <w:t xml:space="preserve"> </w:t>
      </w:r>
      <w:r w:rsidRPr="0064074A">
        <w:rPr>
          <w:bdr w:val="none" w:sz="0" w:space="0" w:color="auto" w:frame="1"/>
          <w:shd w:val="clear" w:color="auto" w:fill="FFFFFF"/>
        </w:rPr>
        <w:t>results that informed the questionnaire development.</w:t>
      </w:r>
      <w:r>
        <w:rPr>
          <w:bdr w:val="none" w:sz="0" w:space="0" w:color="auto" w:frame="1"/>
          <w:shd w:val="clear" w:color="auto" w:fill="FFFFFF"/>
        </w:rPr>
        <w:t xml:space="preserve"> </w:t>
      </w:r>
      <w:r w:rsidRPr="0064074A">
        <w:rPr>
          <w:bdr w:val="none" w:sz="0" w:space="0" w:color="auto" w:frame="1"/>
          <w:shd w:val="clear" w:color="auto" w:fill="FFFFFF"/>
        </w:rPr>
        <w:t>Therefore</w:t>
      </w:r>
      <w:r>
        <w:rPr>
          <w:bdr w:val="none" w:sz="0" w:space="0" w:color="auto" w:frame="1"/>
          <w:shd w:val="clear" w:color="auto" w:fill="FFFFFF"/>
        </w:rPr>
        <w:t>,</w:t>
      </w:r>
      <w:r w:rsidRPr="0090079B">
        <w:rPr>
          <w:bdr w:val="none" w:sz="0" w:space="0" w:color="auto" w:frame="1"/>
          <w:shd w:val="clear" w:color="auto" w:fill="FFFFFF"/>
        </w:rPr>
        <w:t xml:space="preserve">  PAF  with</w:t>
      </w:r>
      <w:r>
        <w:rPr>
          <w:bdr w:val="none" w:sz="0" w:space="0" w:color="auto" w:frame="1"/>
          <w:shd w:val="clear" w:color="auto" w:fill="FFFFFF"/>
        </w:rPr>
        <w:t xml:space="preserve"> </w:t>
      </w:r>
      <w:r w:rsidRPr="0090079B">
        <w:rPr>
          <w:bdr w:val="none" w:sz="0" w:space="0" w:color="auto" w:frame="1"/>
          <w:shd w:val="clear" w:color="auto" w:fill="FFFFFF"/>
        </w:rPr>
        <w:t>direct</w:t>
      </w:r>
      <w:r>
        <w:rPr>
          <w:bdr w:val="none" w:sz="0" w:space="0" w:color="auto" w:frame="1"/>
          <w:shd w:val="clear" w:color="auto" w:fill="FFFFFF"/>
        </w:rPr>
        <w:t xml:space="preserve"> </w:t>
      </w:r>
      <w:r w:rsidRPr="0090079B">
        <w:rPr>
          <w:bdr w:val="none" w:sz="0" w:space="0" w:color="auto" w:frame="1"/>
          <w:shd w:val="clear" w:color="auto" w:fill="FFFFFF"/>
        </w:rPr>
        <w:t>oblimin</w:t>
      </w:r>
      <w:r>
        <w:rPr>
          <w:bdr w:val="none" w:sz="0" w:space="0" w:color="auto" w:frame="1"/>
          <w:shd w:val="clear" w:color="auto" w:fill="FFFFFF"/>
        </w:rPr>
        <w:t xml:space="preserve"> </w:t>
      </w:r>
      <w:r w:rsidRPr="0090079B">
        <w:rPr>
          <w:bdr w:val="none" w:sz="0" w:space="0" w:color="auto" w:frame="1"/>
          <w:shd w:val="clear" w:color="auto" w:fill="FFFFFF"/>
        </w:rPr>
        <w:t>rotation was used.</w:t>
      </w:r>
      <w:r>
        <w:rPr>
          <w:bdr w:val="none" w:sz="0" w:space="0" w:color="auto" w:frame="1"/>
          <w:shd w:val="clear" w:color="auto" w:fill="FFFFFF"/>
        </w:rPr>
        <w:t xml:space="preserve"> </w:t>
      </w:r>
      <w:r w:rsidRPr="0090079B">
        <w:rPr>
          <w:bdr w:val="none" w:sz="0" w:space="0" w:color="auto" w:frame="1"/>
          <w:shd w:val="clear" w:color="auto" w:fill="FFFFFF"/>
        </w:rPr>
        <w:t>Kaiser</w:t>
      </w:r>
      <w:r>
        <w:rPr>
          <w:bdr w:val="none" w:sz="0" w:space="0" w:color="auto" w:frame="1"/>
          <w:shd w:val="clear" w:color="auto" w:fill="FFFFFF"/>
        </w:rPr>
        <w:t xml:space="preserve"> </w:t>
      </w:r>
      <w:r w:rsidRPr="0090079B">
        <w:rPr>
          <w:bdr w:val="none" w:sz="0" w:space="0" w:color="auto" w:frame="1"/>
          <w:shd w:val="clear" w:color="auto" w:fill="FFFFFF"/>
        </w:rPr>
        <w:t>criterion</w:t>
      </w:r>
      <w:r>
        <w:rPr>
          <w:bdr w:val="none" w:sz="0" w:space="0" w:color="auto" w:frame="1"/>
          <w:shd w:val="clear" w:color="auto" w:fill="FFFFFF"/>
        </w:rPr>
        <w:t xml:space="preserve"> </w:t>
      </w:r>
      <w:sdt>
        <w:sdtPr>
          <w:rPr>
            <w:color w:val="000000"/>
            <w:bdr w:val="none" w:sz="0" w:space="0" w:color="auto" w:frame="1"/>
            <w:shd w:val="clear" w:color="auto" w:fill="FFFFFF"/>
          </w:rPr>
          <w:tag w:val="MENDELEY_CITATION_v3_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"/>
          <w:id w:val="1468552339"/>
          <w:placeholder>
            <w:docPart w:val="6CAF6727D216124B999E426FFEFDB49E"/>
          </w:placeholder>
        </w:sdtPr>
        <w:sdtContent>
          <w:r w:rsidR="0047170A" w:rsidRPr="0047170A">
            <w:rPr>
              <w:color w:val="000000"/>
              <w:bdr w:val="none" w:sz="0" w:space="0" w:color="auto" w:frame="1"/>
              <w:shd w:val="clear" w:color="auto" w:fill="FFFFFF"/>
            </w:rPr>
            <w:t>(Kaiser, 1960)</w:t>
          </w:r>
        </w:sdtContent>
      </w:sdt>
      <w:r>
        <w:rPr>
          <w:bdr w:val="none" w:sz="0" w:space="0" w:color="auto" w:frame="1"/>
          <w:shd w:val="clear" w:color="auto" w:fill="FFFFFF"/>
        </w:rPr>
        <w:t xml:space="preserve">, </w:t>
      </w:r>
      <w:r w:rsidRPr="0090079B">
        <w:rPr>
          <w:bdr w:val="none" w:sz="0" w:space="0" w:color="auto" w:frame="1"/>
          <w:shd w:val="clear" w:color="auto" w:fill="FFFFFF"/>
        </w:rPr>
        <w:t>scree</w:t>
      </w:r>
      <w:r>
        <w:rPr>
          <w:bdr w:val="none" w:sz="0" w:space="0" w:color="auto" w:frame="1"/>
          <w:shd w:val="clear" w:color="auto" w:fill="FFFFFF"/>
        </w:rPr>
        <w:t xml:space="preserve"> </w:t>
      </w:r>
      <w:r w:rsidRPr="0090079B">
        <w:rPr>
          <w:bdr w:val="none" w:sz="0" w:space="0" w:color="auto" w:frame="1"/>
          <w:shd w:val="clear" w:color="auto" w:fill="FFFFFF"/>
        </w:rPr>
        <w:t>plot</w:t>
      </w:r>
      <w:r>
        <w:rPr>
          <w:bdr w:val="none" w:sz="0" w:space="0" w:color="auto" w:frame="1"/>
          <w:shd w:val="clear" w:color="auto" w:fill="FFFFFF"/>
        </w:rPr>
        <w:t xml:space="preserve"> </w:t>
      </w:r>
      <w:r w:rsidRPr="0090079B">
        <w:rPr>
          <w:bdr w:val="none" w:sz="0" w:space="0" w:color="auto" w:frame="1"/>
          <w:shd w:val="clear" w:color="auto" w:fill="FFFFFF"/>
        </w:rPr>
        <w:t xml:space="preserve">analysis </w:t>
      </w:r>
      <w:sdt>
        <w:sdtPr>
          <w:rPr>
            <w:color w:val="000000"/>
            <w:bdr w:val="none" w:sz="0" w:space="0" w:color="auto" w:frame="1"/>
            <w:shd w:val="clear" w:color="auto" w:fill="FFFFFF"/>
          </w:rPr>
          <w:tag w:val="MENDELEY_CITATION_v3_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"/>
          <w:id w:val="1374121961"/>
          <w:placeholder>
            <w:docPart w:val="6CAF6727D216124B999E426FFEFDB49E"/>
          </w:placeholder>
        </w:sdtPr>
        <w:sdtContent>
          <w:r w:rsidR="0047170A" w:rsidRPr="0047170A">
            <w:rPr>
              <w:color w:val="000000"/>
              <w:bdr w:val="none" w:sz="0" w:space="0" w:color="auto" w:frame="1"/>
              <w:shd w:val="clear" w:color="auto" w:fill="FFFFFF"/>
            </w:rPr>
            <w:t>(Cattell, 1966)</w:t>
          </w:r>
        </w:sdtContent>
      </w:sdt>
      <w:r>
        <w:rPr>
          <w:bdr w:val="none" w:sz="0" w:space="0" w:color="auto" w:frame="1"/>
          <w:shd w:val="clear" w:color="auto" w:fill="FFFFFF"/>
        </w:rPr>
        <w:t xml:space="preserve"> </w:t>
      </w:r>
      <w:r w:rsidRPr="0090079B">
        <w:rPr>
          <w:bdr w:val="none" w:sz="0" w:space="0" w:color="auto" w:frame="1"/>
          <w:shd w:val="clear" w:color="auto" w:fill="FFFFFF"/>
        </w:rPr>
        <w:t>and</w:t>
      </w:r>
      <w:r>
        <w:rPr>
          <w:bdr w:val="none" w:sz="0" w:space="0" w:color="auto" w:frame="1"/>
          <w:shd w:val="clear" w:color="auto" w:fill="FFFFFF"/>
        </w:rPr>
        <w:t xml:space="preserve"> </w:t>
      </w:r>
      <w:r w:rsidRPr="0090079B">
        <w:rPr>
          <w:bdr w:val="none" w:sz="0" w:space="0" w:color="auto" w:frame="1"/>
          <w:shd w:val="clear" w:color="auto" w:fill="FFFFFF"/>
        </w:rPr>
        <w:t>parallel</w:t>
      </w:r>
      <w:r>
        <w:rPr>
          <w:bdr w:val="none" w:sz="0" w:space="0" w:color="auto" w:frame="1"/>
          <w:shd w:val="clear" w:color="auto" w:fill="FFFFFF"/>
        </w:rPr>
        <w:t xml:space="preserve"> </w:t>
      </w:r>
      <w:r w:rsidRPr="0090079B">
        <w:rPr>
          <w:bdr w:val="none" w:sz="0" w:space="0" w:color="auto" w:frame="1"/>
          <w:shd w:val="clear" w:color="auto" w:fill="FFFFFF"/>
        </w:rPr>
        <w:t>analysis</w:t>
      </w:r>
      <w:r>
        <w:rPr>
          <w:bdr w:val="none" w:sz="0" w:space="0" w:color="auto" w:frame="1"/>
          <w:shd w:val="clear" w:color="auto" w:fill="FFFFFF"/>
        </w:rPr>
        <w:t xml:space="preserve"> </w:t>
      </w:r>
      <w:sdt>
        <w:sdtPr>
          <w:rPr>
            <w:color w:val="000000"/>
            <w:bdr w:val="none" w:sz="0" w:space="0" w:color="auto" w:frame="1"/>
            <w:shd w:val="clear" w:color="auto" w:fill="FFFFFF"/>
          </w:rPr>
          <w:tag w:val="MENDELEY_CITATION_v3_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"/>
          <w:id w:val="1581798937"/>
          <w:placeholder>
            <w:docPart w:val="6CAF6727D216124B999E426FFEFDB49E"/>
          </w:placeholder>
        </w:sdtPr>
        <w:sdtContent>
          <w:r w:rsidR="0047170A" w:rsidRPr="0047170A">
            <w:rPr>
              <w:color w:val="000000"/>
              <w:bdr w:val="none" w:sz="0" w:space="0" w:color="auto" w:frame="1"/>
              <w:shd w:val="clear" w:color="auto" w:fill="FFFFFF"/>
            </w:rPr>
            <w:t>(Horn, 1965)</w:t>
          </w:r>
        </w:sdtContent>
      </w:sdt>
      <w:r w:rsidRPr="0090079B">
        <w:rPr>
          <w:bdr w:val="none" w:sz="0" w:space="0" w:color="auto" w:frame="1"/>
          <w:shd w:val="clear" w:color="auto" w:fill="FFFFFF"/>
        </w:rPr>
        <w:t xml:space="preserve"> were</w:t>
      </w:r>
      <w:r>
        <w:rPr>
          <w:bdr w:val="none" w:sz="0" w:space="0" w:color="auto" w:frame="1"/>
          <w:shd w:val="clear" w:color="auto" w:fill="FFFFFF"/>
        </w:rPr>
        <w:t xml:space="preserve"> </w:t>
      </w:r>
      <w:r w:rsidRPr="0090079B">
        <w:rPr>
          <w:bdr w:val="none" w:sz="0" w:space="0" w:color="auto" w:frame="1"/>
          <w:shd w:val="clear" w:color="auto" w:fill="FFFFFF"/>
        </w:rPr>
        <w:t>used</w:t>
      </w:r>
      <w:r>
        <w:rPr>
          <w:bdr w:val="none" w:sz="0" w:space="0" w:color="auto" w:frame="1"/>
          <w:shd w:val="clear" w:color="auto" w:fill="FFFFFF"/>
        </w:rPr>
        <w:t xml:space="preserve"> </w:t>
      </w:r>
      <w:r w:rsidRPr="0090079B">
        <w:rPr>
          <w:bdr w:val="none" w:sz="0" w:space="0" w:color="auto" w:frame="1"/>
          <w:shd w:val="clear" w:color="auto" w:fill="FFFFFF"/>
        </w:rPr>
        <w:t>to determine the number of factors to extract, as well as the interpretability and meaningfulness of the solution</w:t>
      </w:r>
      <w:r>
        <w:rPr>
          <w:bdr w:val="none" w:sz="0" w:space="0" w:color="auto" w:frame="1"/>
          <w:shd w:val="clear" w:color="auto" w:fill="FFFFFF"/>
        </w:rPr>
        <w:t xml:space="preserve">. Factors with an eigenvalue of &gt;1 were extracted </w:t>
      </w:r>
      <w:sdt>
        <w:sdtPr>
          <w:rPr>
            <w:color w:val="000000"/>
            <w:bdr w:val="none" w:sz="0" w:space="0" w:color="auto" w:frame="1"/>
            <w:shd w:val="clear" w:color="auto" w:fill="FFFFFF"/>
          </w:rPr>
          <w:tag w:val="MENDELEY_CITATION_v3_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"/>
          <w:id w:val="-1326744040"/>
          <w:placeholder>
            <w:docPart w:val="6CAF6727D216124B999E426FFEFDB49E"/>
          </w:placeholder>
        </w:sdtPr>
        <w:sdtContent>
          <w:r w:rsidR="0047170A" w:rsidRPr="0047170A">
            <w:rPr>
              <w:color w:val="000000"/>
              <w:bdr w:val="none" w:sz="0" w:space="0" w:color="auto" w:frame="1"/>
              <w:shd w:val="clear" w:color="auto" w:fill="FFFFFF"/>
            </w:rPr>
            <w:t>(Kaiser, 1970)</w:t>
          </w:r>
        </w:sdtContent>
      </w:sdt>
      <w:r>
        <w:rPr>
          <w:bdr w:val="none" w:sz="0" w:space="0" w:color="auto" w:frame="1"/>
          <w:shd w:val="clear" w:color="auto" w:fill="FFFFFF"/>
        </w:rPr>
        <w:t xml:space="preserve">. </w:t>
      </w:r>
      <w:r w:rsidRPr="0090079B">
        <w:rPr>
          <w:bdr w:val="none" w:sz="0" w:space="0" w:color="auto" w:frame="1"/>
          <w:shd w:val="clear" w:color="auto" w:fill="FFFFFF"/>
        </w:rPr>
        <w:t xml:space="preserve">Items with cross-loading values of </w:t>
      </w:r>
      <w:r w:rsidRPr="0090079B">
        <w:rPr>
          <w:rFonts w:cs="Courier New"/>
          <w:bdr w:val="none" w:sz="0" w:space="0" w:color="auto" w:frame="1"/>
          <w:shd w:val="clear" w:color="auto" w:fill="FFFFFF"/>
        </w:rPr>
        <w:t>≤</w:t>
      </w:r>
      <w:r w:rsidRPr="0090079B">
        <w:rPr>
          <w:bdr w:val="none" w:sz="0" w:space="0" w:color="auto" w:frame="1"/>
          <w:shd w:val="clear" w:color="auto" w:fill="FFFFFF"/>
        </w:rPr>
        <w:t>0.4 on at least two factors</w:t>
      </w:r>
      <w:r>
        <w:rPr>
          <w:bdr w:val="none" w:sz="0" w:space="0" w:color="auto" w:frame="1"/>
          <w:shd w:val="clear" w:color="auto" w:fill="FFFFFF"/>
        </w:rPr>
        <w:t xml:space="preserve"> were considered </w:t>
      </w:r>
      <w:r w:rsidRPr="0090079B">
        <w:rPr>
          <w:bdr w:val="none" w:sz="0" w:space="0" w:color="auto" w:frame="1"/>
          <w:shd w:val="clear" w:color="auto" w:fill="FFFFFF"/>
        </w:rPr>
        <w:t>weak (and</w:t>
      </w:r>
      <w:r>
        <w:rPr>
          <w:bdr w:val="none" w:sz="0" w:space="0" w:color="auto" w:frame="1"/>
          <w:shd w:val="clear" w:color="auto" w:fill="FFFFFF"/>
        </w:rPr>
        <w:t xml:space="preserve"> </w:t>
      </w:r>
      <w:r w:rsidRPr="0090079B">
        <w:rPr>
          <w:bdr w:val="none" w:sz="0" w:space="0" w:color="auto" w:frame="1"/>
          <w:shd w:val="clear" w:color="auto" w:fill="FFFFFF"/>
        </w:rPr>
        <w:t>thereby</w:t>
      </w:r>
      <w:r>
        <w:rPr>
          <w:bdr w:val="none" w:sz="0" w:space="0" w:color="auto" w:frame="1"/>
          <w:shd w:val="clear" w:color="auto" w:fill="FFFFFF"/>
        </w:rPr>
        <w:t xml:space="preserve"> </w:t>
      </w:r>
      <w:r w:rsidRPr="0090079B">
        <w:rPr>
          <w:bdr w:val="none" w:sz="0" w:space="0" w:color="auto" w:frame="1"/>
          <w:shd w:val="clear" w:color="auto" w:fill="FFFFFF"/>
        </w:rPr>
        <w:t>as</w:t>
      </w:r>
      <w:r>
        <w:rPr>
          <w:bdr w:val="none" w:sz="0" w:space="0" w:color="auto" w:frame="1"/>
          <w:shd w:val="clear" w:color="auto" w:fill="FFFFFF"/>
        </w:rPr>
        <w:t xml:space="preserve"> </w:t>
      </w:r>
      <w:r w:rsidRPr="0090079B">
        <w:rPr>
          <w:bdr w:val="none" w:sz="0" w:space="0" w:color="auto" w:frame="1"/>
          <w:shd w:val="clear" w:color="auto" w:fill="FFFFFF"/>
        </w:rPr>
        <w:t>candidates</w:t>
      </w:r>
      <w:r>
        <w:rPr>
          <w:bdr w:val="none" w:sz="0" w:space="0" w:color="auto" w:frame="1"/>
          <w:shd w:val="clear" w:color="auto" w:fill="FFFFFF"/>
        </w:rPr>
        <w:t xml:space="preserve"> </w:t>
      </w:r>
      <w:r w:rsidRPr="0090079B">
        <w:rPr>
          <w:bdr w:val="none" w:sz="0" w:space="0" w:color="auto" w:frame="1"/>
          <w:shd w:val="clear" w:color="auto" w:fill="FFFFFF"/>
        </w:rPr>
        <w:t>for</w:t>
      </w:r>
      <w:r>
        <w:rPr>
          <w:bdr w:val="none" w:sz="0" w:space="0" w:color="auto" w:frame="1"/>
          <w:shd w:val="clear" w:color="auto" w:fill="FFFFFF"/>
        </w:rPr>
        <w:t xml:space="preserve"> </w:t>
      </w:r>
      <w:r w:rsidRPr="0090079B">
        <w:rPr>
          <w:bdr w:val="none" w:sz="0" w:space="0" w:color="auto" w:frame="1"/>
          <w:shd w:val="clear" w:color="auto" w:fill="FFFFFF"/>
        </w:rPr>
        <w:t>deletion)</w:t>
      </w:r>
      <w:r>
        <w:rPr>
          <w:bdr w:val="none" w:sz="0" w:space="0" w:color="auto" w:frame="1"/>
          <w:shd w:val="clear" w:color="auto" w:fill="FFFFFF"/>
        </w:rPr>
        <w:t>,</w:t>
      </w:r>
      <w:r w:rsidRPr="0090079B">
        <w:rPr>
          <w:bdr w:val="none" w:sz="0" w:space="0" w:color="auto" w:frame="1"/>
          <w:shd w:val="clear" w:color="auto" w:fill="FFFFFF"/>
        </w:rPr>
        <w:t xml:space="preserve"> and items</w:t>
      </w:r>
      <w:r>
        <w:rPr>
          <w:bdr w:val="none" w:sz="0" w:space="0" w:color="auto" w:frame="1"/>
          <w:shd w:val="clear" w:color="auto" w:fill="FFFFFF"/>
        </w:rPr>
        <w:t xml:space="preserve"> </w:t>
      </w:r>
      <w:r w:rsidRPr="0090079B">
        <w:rPr>
          <w:bdr w:val="none" w:sz="0" w:space="0" w:color="auto" w:frame="1"/>
          <w:shd w:val="clear" w:color="auto" w:fill="FFFFFF"/>
        </w:rPr>
        <w:t>with</w:t>
      </w:r>
      <w:r>
        <w:rPr>
          <w:bdr w:val="none" w:sz="0" w:space="0" w:color="auto" w:frame="1"/>
          <w:shd w:val="clear" w:color="auto" w:fill="FFFFFF"/>
        </w:rPr>
        <w:t xml:space="preserve"> a </w:t>
      </w:r>
      <w:r w:rsidRPr="0090079B">
        <w:rPr>
          <w:bdr w:val="none" w:sz="0" w:space="0" w:color="auto" w:frame="1"/>
          <w:shd w:val="clear" w:color="auto" w:fill="FFFFFF"/>
        </w:rPr>
        <w:t>factor loading</w:t>
      </w:r>
      <w:r>
        <w:rPr>
          <w:bdr w:val="none" w:sz="0" w:space="0" w:color="auto" w:frame="1"/>
          <w:shd w:val="clear" w:color="auto" w:fill="FFFFFF"/>
        </w:rPr>
        <w:t xml:space="preserve"> </w:t>
      </w:r>
      <w:r w:rsidRPr="0090079B">
        <w:rPr>
          <w:bdr w:val="none" w:sz="0" w:space="0" w:color="auto" w:frame="1"/>
          <w:shd w:val="clear" w:color="auto" w:fill="FFFFFF"/>
        </w:rPr>
        <w:t xml:space="preserve">of  </w:t>
      </w:r>
      <w:r w:rsidRPr="0090079B">
        <w:rPr>
          <w:rFonts w:cs="Courier New"/>
          <w:bdr w:val="none" w:sz="0" w:space="0" w:color="auto" w:frame="1"/>
          <w:shd w:val="clear" w:color="auto" w:fill="FFFFFF"/>
        </w:rPr>
        <w:t>≥</w:t>
      </w:r>
      <w:r w:rsidRPr="0090079B">
        <w:rPr>
          <w:bdr w:val="none" w:sz="0" w:space="0" w:color="auto" w:frame="1"/>
          <w:shd w:val="clear" w:color="auto" w:fill="FFFFFF"/>
        </w:rPr>
        <w:t>0.60  as</w:t>
      </w:r>
      <w:r>
        <w:rPr>
          <w:bdr w:val="none" w:sz="0" w:space="0" w:color="auto" w:frame="1"/>
          <w:shd w:val="clear" w:color="auto" w:fill="FFFFFF"/>
        </w:rPr>
        <w:t xml:space="preserve"> </w:t>
      </w:r>
      <w:r w:rsidRPr="0090079B">
        <w:rPr>
          <w:bdr w:val="none" w:sz="0" w:space="0" w:color="auto" w:frame="1"/>
          <w:shd w:val="clear" w:color="auto" w:fill="FFFFFF"/>
        </w:rPr>
        <w:t>strong</w:t>
      </w:r>
      <w:r>
        <w:rPr>
          <w:bdr w:val="none" w:sz="0" w:space="0" w:color="auto" w:frame="1"/>
          <w:shd w:val="clear" w:color="auto" w:fill="FFFFFF"/>
        </w:rPr>
        <w:t xml:space="preserve"> </w:t>
      </w:r>
      <w:sdt>
        <w:sdtPr>
          <w:rPr>
            <w:color w:val="000000"/>
            <w:bdr w:val="none" w:sz="0" w:space="0" w:color="auto" w:frame="1"/>
            <w:shd w:val="clear" w:color="auto" w:fill="FFFFFF"/>
          </w:rPr>
          <w:tag w:val="MENDELEY_CITATION_v3_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"/>
          <w:id w:val="472340765"/>
          <w:placeholder>
            <w:docPart w:val="6CAF6727D216124B999E426FFEFDB49E"/>
          </w:placeholder>
        </w:sdtPr>
        <w:sdtContent>
          <w:r w:rsidR="0047170A">
            <w:rPr>
              <w:rFonts w:eastAsia="Times New Roman"/>
            </w:rPr>
            <w:t>(Costello &amp; Osborne, 2005)</w:t>
          </w:r>
        </w:sdtContent>
      </w:sdt>
      <w:r w:rsidRPr="0090079B">
        <w:rPr>
          <w:bdr w:val="none" w:sz="0" w:space="0" w:color="auto" w:frame="1"/>
          <w:shd w:val="clear" w:color="auto" w:fill="FFFFFF"/>
        </w:rPr>
        <w:t>.</w:t>
      </w:r>
    </w:p>
    <w:p w14:paraId="59D68D7C" w14:textId="4C29AC51" w:rsidR="0014037C" w:rsidRPr="002978EE" w:rsidRDefault="0014037C" w:rsidP="00DF606F">
      <w:pPr>
        <w:pStyle w:val="Heading3"/>
      </w:pPr>
      <w:bookmarkStart w:id="83" w:name="_Toc137504707"/>
      <w:r>
        <w:t>3.</w:t>
      </w:r>
      <w:r w:rsidRPr="002978EE">
        <w:t>2.6 Confirmatory Factor Analysis</w:t>
      </w:r>
      <w:bookmarkEnd w:id="83"/>
    </w:p>
    <w:p w14:paraId="16FEA4E4" w14:textId="1D5239E0" w:rsidR="0014037C" w:rsidRPr="0090079B" w:rsidRDefault="0014037C" w:rsidP="00DF606F">
      <w:pPr>
        <w:rPr>
          <w:bdr w:val="none" w:sz="0" w:space="0" w:color="auto" w:frame="1"/>
          <w:shd w:val="clear" w:color="auto" w:fill="FFFFFF"/>
        </w:rPr>
      </w:pPr>
      <w:r>
        <w:rPr>
          <w:bdr w:val="none" w:sz="0" w:space="0" w:color="auto" w:frame="1"/>
          <w:shd w:val="clear" w:color="auto" w:fill="FFFFFF"/>
        </w:rPr>
        <w:t xml:space="preserve">The </w:t>
      </w:r>
      <w:r w:rsidRPr="0090079B">
        <w:rPr>
          <w:bdr w:val="none" w:sz="0" w:space="0" w:color="auto" w:frame="1"/>
          <w:shd w:val="clear" w:color="auto" w:fill="FFFFFF"/>
        </w:rPr>
        <w:t xml:space="preserve">goodness of fit of the factor structure extracted from the </w:t>
      </w:r>
      <w:r w:rsidR="00400BA2" w:rsidRPr="00D00710">
        <w:rPr>
          <w:bdr w:val="none" w:sz="0" w:space="0" w:color="auto" w:frame="1"/>
          <w:shd w:val="clear" w:color="auto" w:fill="FFFFFF"/>
        </w:rPr>
        <w:t>EFA</w:t>
      </w:r>
      <w:r w:rsidRPr="00D00710">
        <w:rPr>
          <w:bdr w:val="none" w:sz="0" w:space="0" w:color="auto" w:frame="1"/>
          <w:shd w:val="clear" w:color="auto" w:fill="FFFFFF"/>
        </w:rPr>
        <w:t xml:space="preserve"> model was examined by CFA. The goodness of fit was evaluated using several indices: Pearson's </w:t>
      </w:r>
      <w:r w:rsidRPr="0090079B">
        <w:rPr>
          <w:rFonts w:cs="Avenir Heavy"/>
          <w:bdr w:val="none" w:sz="0" w:space="0" w:color="auto" w:frame="1"/>
          <w:shd w:val="clear" w:color="auto" w:fill="FFFFFF"/>
        </w:rPr>
        <w:t>χ</w:t>
      </w:r>
      <w:r w:rsidRPr="0090079B">
        <w:rPr>
          <w:bdr w:val="none" w:sz="0" w:space="0" w:color="auto" w:frame="1"/>
          <w:shd w:val="clear" w:color="auto" w:fill="FFFFFF"/>
        </w:rPr>
        <w:t xml:space="preserve">2 test, comparative fit index (CFI; &gt;0.90 </w:t>
      </w:r>
      <w:r>
        <w:rPr>
          <w:bdr w:val="none" w:sz="0" w:space="0" w:color="auto" w:frame="1"/>
          <w:shd w:val="clear" w:color="auto" w:fill="FFFFFF"/>
        </w:rPr>
        <w:t>a</w:t>
      </w:r>
      <w:r w:rsidRPr="0090079B">
        <w:rPr>
          <w:bdr w:val="none" w:sz="0" w:space="0" w:color="auto" w:frame="1"/>
          <w:shd w:val="clear" w:color="auto" w:fill="FFFFFF"/>
        </w:rPr>
        <w:t xml:space="preserve">s acceptable), </w:t>
      </w:r>
      <w:r>
        <w:rPr>
          <w:bdr w:val="none" w:sz="0" w:space="0" w:color="auto" w:frame="1"/>
          <w:shd w:val="clear" w:color="auto" w:fill="FFFFFF"/>
        </w:rPr>
        <w:t>Tucker-Lewis's</w:t>
      </w:r>
      <w:r w:rsidRPr="0090079B">
        <w:rPr>
          <w:bdr w:val="none" w:sz="0" w:space="0" w:color="auto" w:frame="1"/>
          <w:shd w:val="clear" w:color="auto" w:fill="FFFFFF"/>
        </w:rPr>
        <w:t xml:space="preserve"> index (TLI; &gt;0.95 </w:t>
      </w:r>
      <w:r>
        <w:rPr>
          <w:bdr w:val="none" w:sz="0" w:space="0" w:color="auto" w:frame="1"/>
          <w:shd w:val="clear" w:color="auto" w:fill="FFFFFF"/>
        </w:rPr>
        <w:t>a</w:t>
      </w:r>
      <w:r w:rsidRPr="0090079B">
        <w:rPr>
          <w:bdr w:val="none" w:sz="0" w:space="0" w:color="auto" w:frame="1"/>
          <w:shd w:val="clear" w:color="auto" w:fill="FFFFFF"/>
        </w:rPr>
        <w:t xml:space="preserve">s acceptable), the root mean square error of approximation (RMSEA; &lt;0.06 </w:t>
      </w:r>
      <w:r>
        <w:rPr>
          <w:bdr w:val="none" w:sz="0" w:space="0" w:color="auto" w:frame="1"/>
          <w:shd w:val="clear" w:color="auto" w:fill="FFFFFF"/>
        </w:rPr>
        <w:t>a</w:t>
      </w:r>
      <w:r w:rsidRPr="0090079B">
        <w:rPr>
          <w:bdr w:val="none" w:sz="0" w:space="0" w:color="auto" w:frame="1"/>
          <w:shd w:val="clear" w:color="auto" w:fill="FFFFFF"/>
        </w:rPr>
        <w:t>s acceptable) and</w:t>
      </w:r>
      <w:r>
        <w:rPr>
          <w:bdr w:val="none" w:sz="0" w:space="0" w:color="auto" w:frame="1"/>
          <w:shd w:val="clear" w:color="auto" w:fill="FFFFFF"/>
        </w:rPr>
        <w:t xml:space="preserve"> </w:t>
      </w:r>
      <w:r w:rsidRPr="0090079B">
        <w:rPr>
          <w:bdr w:val="none" w:sz="0" w:space="0" w:color="auto" w:frame="1"/>
          <w:shd w:val="clear" w:color="auto" w:fill="FFFFFF"/>
        </w:rPr>
        <w:t>standardised</w:t>
      </w:r>
      <w:r>
        <w:rPr>
          <w:bdr w:val="none" w:sz="0" w:space="0" w:color="auto" w:frame="1"/>
          <w:shd w:val="clear" w:color="auto" w:fill="FFFFFF"/>
        </w:rPr>
        <w:t xml:space="preserve"> </w:t>
      </w:r>
      <w:r w:rsidRPr="0090079B">
        <w:rPr>
          <w:bdr w:val="none" w:sz="0" w:space="0" w:color="auto" w:frame="1"/>
          <w:shd w:val="clear" w:color="auto" w:fill="FFFFFF"/>
        </w:rPr>
        <w:t>root</w:t>
      </w:r>
      <w:r>
        <w:rPr>
          <w:bdr w:val="none" w:sz="0" w:space="0" w:color="auto" w:frame="1"/>
          <w:shd w:val="clear" w:color="auto" w:fill="FFFFFF"/>
        </w:rPr>
        <w:t xml:space="preserve"> </w:t>
      </w:r>
      <w:r w:rsidRPr="0090079B">
        <w:rPr>
          <w:bdr w:val="none" w:sz="0" w:space="0" w:color="auto" w:frame="1"/>
          <w:shd w:val="clear" w:color="auto" w:fill="FFFFFF"/>
        </w:rPr>
        <w:t>mean</w:t>
      </w:r>
      <w:r>
        <w:rPr>
          <w:bdr w:val="none" w:sz="0" w:space="0" w:color="auto" w:frame="1"/>
          <w:shd w:val="clear" w:color="auto" w:fill="FFFFFF"/>
        </w:rPr>
        <w:t xml:space="preserve"> </w:t>
      </w:r>
      <w:r w:rsidRPr="0090079B">
        <w:rPr>
          <w:bdr w:val="none" w:sz="0" w:space="0" w:color="auto" w:frame="1"/>
          <w:shd w:val="clear" w:color="auto" w:fill="FFFFFF"/>
        </w:rPr>
        <w:t>square</w:t>
      </w:r>
      <w:r>
        <w:rPr>
          <w:bdr w:val="none" w:sz="0" w:space="0" w:color="auto" w:frame="1"/>
          <w:shd w:val="clear" w:color="auto" w:fill="FFFFFF"/>
        </w:rPr>
        <w:t xml:space="preserve"> </w:t>
      </w:r>
      <w:r w:rsidRPr="0090079B">
        <w:rPr>
          <w:bdr w:val="none" w:sz="0" w:space="0" w:color="auto" w:frame="1"/>
          <w:shd w:val="clear" w:color="auto" w:fill="FFFFFF"/>
        </w:rPr>
        <w:t xml:space="preserve">residual (SRMR; &lt;0.07  </w:t>
      </w:r>
      <w:r>
        <w:rPr>
          <w:bdr w:val="none" w:sz="0" w:space="0" w:color="auto" w:frame="1"/>
          <w:shd w:val="clear" w:color="auto" w:fill="FFFFFF"/>
        </w:rPr>
        <w:t>a</w:t>
      </w:r>
      <w:r w:rsidRPr="0090079B">
        <w:rPr>
          <w:bdr w:val="none" w:sz="0" w:space="0" w:color="auto" w:frame="1"/>
          <w:shd w:val="clear" w:color="auto" w:fill="FFFFFF"/>
        </w:rPr>
        <w:t>s</w:t>
      </w:r>
      <w:r>
        <w:rPr>
          <w:bdr w:val="none" w:sz="0" w:space="0" w:color="auto" w:frame="1"/>
          <w:shd w:val="clear" w:color="auto" w:fill="FFFFFF"/>
        </w:rPr>
        <w:t xml:space="preserve"> </w:t>
      </w:r>
      <w:r w:rsidRPr="0090079B">
        <w:rPr>
          <w:bdr w:val="none" w:sz="0" w:space="0" w:color="auto" w:frame="1"/>
          <w:shd w:val="clear" w:color="auto" w:fill="FFFFFF"/>
        </w:rPr>
        <w:t>acceptable).  These</w:t>
      </w:r>
      <w:r>
        <w:rPr>
          <w:bdr w:val="none" w:sz="0" w:space="0" w:color="auto" w:frame="1"/>
          <w:shd w:val="clear" w:color="auto" w:fill="FFFFFF"/>
        </w:rPr>
        <w:t xml:space="preserve"> </w:t>
      </w:r>
      <w:r w:rsidRPr="0090079B">
        <w:rPr>
          <w:bdr w:val="none" w:sz="0" w:space="0" w:color="auto" w:frame="1"/>
          <w:shd w:val="clear" w:color="auto" w:fill="FFFFFF"/>
        </w:rPr>
        <w:t>indices</w:t>
      </w:r>
      <w:r>
        <w:rPr>
          <w:bdr w:val="none" w:sz="0" w:space="0" w:color="auto" w:frame="1"/>
          <w:shd w:val="clear" w:color="auto" w:fill="FFFFFF"/>
        </w:rPr>
        <w:t xml:space="preserve"> </w:t>
      </w:r>
      <w:r w:rsidRPr="0090079B">
        <w:rPr>
          <w:bdr w:val="none" w:sz="0" w:space="0" w:color="auto" w:frame="1"/>
          <w:shd w:val="clear" w:color="auto" w:fill="FFFFFF"/>
        </w:rPr>
        <w:t>reflect</w:t>
      </w:r>
      <w:r>
        <w:rPr>
          <w:bdr w:val="none" w:sz="0" w:space="0" w:color="auto" w:frame="1"/>
          <w:shd w:val="clear" w:color="auto" w:fill="FFFFFF"/>
        </w:rPr>
        <w:t xml:space="preserve"> </w:t>
      </w:r>
      <w:r w:rsidRPr="0090079B">
        <w:rPr>
          <w:bdr w:val="none" w:sz="0" w:space="0" w:color="auto" w:frame="1"/>
          <w:shd w:val="clear" w:color="auto" w:fill="FFFFFF"/>
        </w:rPr>
        <w:t>model</w:t>
      </w:r>
      <w:r>
        <w:rPr>
          <w:bdr w:val="none" w:sz="0" w:space="0" w:color="auto" w:frame="1"/>
          <w:shd w:val="clear" w:color="auto" w:fill="FFFFFF"/>
        </w:rPr>
        <w:t xml:space="preserve"> </w:t>
      </w:r>
      <w:r w:rsidRPr="0090079B">
        <w:rPr>
          <w:bdr w:val="none" w:sz="0" w:space="0" w:color="auto" w:frame="1"/>
          <w:shd w:val="clear" w:color="auto" w:fill="FFFFFF"/>
        </w:rPr>
        <w:t>fit (</w:t>
      </w:r>
      <w:r>
        <w:rPr>
          <w:bdr w:val="none" w:sz="0" w:space="0" w:color="auto" w:frame="1"/>
          <w:shd w:val="clear" w:color="auto" w:fill="FFFFFF"/>
        </w:rPr>
        <w:t>Pearson's</w:t>
      </w:r>
      <w:r w:rsidRPr="0090079B">
        <w:rPr>
          <w:bdr w:val="none" w:sz="0" w:space="0" w:color="auto" w:frame="1"/>
          <w:shd w:val="clear" w:color="auto" w:fill="FFFFFF"/>
        </w:rPr>
        <w:t xml:space="preserve"> χ2test),  incremental</w:t>
      </w:r>
      <w:r>
        <w:rPr>
          <w:bdr w:val="none" w:sz="0" w:space="0" w:color="auto" w:frame="1"/>
          <w:shd w:val="clear" w:color="auto" w:fill="FFFFFF"/>
        </w:rPr>
        <w:t xml:space="preserve"> </w:t>
      </w:r>
      <w:r w:rsidRPr="0090079B">
        <w:rPr>
          <w:bdr w:val="none" w:sz="0" w:space="0" w:color="auto" w:frame="1"/>
          <w:shd w:val="clear" w:color="auto" w:fill="FFFFFF"/>
        </w:rPr>
        <w:t>fit  (CFI,  TLI)  and absolute</w:t>
      </w:r>
      <w:r>
        <w:rPr>
          <w:bdr w:val="none" w:sz="0" w:space="0" w:color="auto" w:frame="1"/>
          <w:shd w:val="clear" w:color="auto" w:fill="FFFFFF"/>
        </w:rPr>
        <w:t xml:space="preserve"> </w:t>
      </w:r>
      <w:r w:rsidRPr="0090079B">
        <w:rPr>
          <w:bdr w:val="none" w:sz="0" w:space="0" w:color="auto" w:frame="1"/>
          <w:shd w:val="clear" w:color="auto" w:fill="FFFFFF"/>
        </w:rPr>
        <w:t>fit  (RMSEA,  SRMR).</w:t>
      </w:r>
      <w:r>
        <w:rPr>
          <w:bdr w:val="none" w:sz="0" w:space="0" w:color="auto" w:frame="1"/>
          <w:shd w:val="clear" w:color="auto" w:fill="FFFFFF"/>
        </w:rPr>
        <w:t xml:space="preserve"> The cut-off values used were recommended by </w:t>
      </w:r>
      <w:sdt>
        <w:sdtPr>
          <w:rPr>
            <w:color w:val="000000"/>
            <w:bdr w:val="none" w:sz="0" w:space="0" w:color="auto" w:frame="1"/>
            <w:shd w:val="clear" w:color="auto" w:fill="FFFFFF"/>
          </w:rPr>
          <w:tag w:val="MENDELEY_CITATION_v3_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"/>
          <w:id w:val="1168909197"/>
          <w:placeholder>
            <w:docPart w:val="6CAF6727D216124B999E426FFEFDB49E"/>
          </w:placeholder>
        </w:sdtPr>
        <w:sdtContent>
          <w:r w:rsidR="0047170A">
            <w:rPr>
              <w:rFonts w:eastAsia="Times New Roman"/>
            </w:rPr>
            <w:t xml:space="preserve">Hu &amp; </w:t>
          </w:r>
          <w:proofErr w:type="spellStart"/>
          <w:r w:rsidR="0047170A">
            <w:rPr>
              <w:rFonts w:eastAsia="Times New Roman"/>
            </w:rPr>
            <w:t>Bentler</w:t>
          </w:r>
          <w:proofErr w:type="spellEnd"/>
          <w:r w:rsidR="0047170A">
            <w:rPr>
              <w:rFonts w:eastAsia="Times New Roman"/>
            </w:rPr>
            <w:t xml:space="preserve"> (2009)</w:t>
          </w:r>
        </w:sdtContent>
      </w:sdt>
      <w:r>
        <w:rPr>
          <w:bdr w:val="none" w:sz="0" w:space="0" w:color="auto" w:frame="1"/>
          <w:shd w:val="clear" w:color="auto" w:fill="FFFFFF"/>
        </w:rPr>
        <w:t xml:space="preserve"> and endorsed by </w:t>
      </w:r>
      <w:sdt>
        <w:sdtPr>
          <w:rPr>
            <w:color w:val="000000"/>
            <w:bdr w:val="none" w:sz="0" w:space="0" w:color="auto" w:frame="1"/>
            <w:shd w:val="clear" w:color="auto" w:fill="FFFFFF"/>
          </w:rPr>
          <w:tag w:val="MENDELEY_CITATION_v3_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"/>
          <w:id w:val="1655112274"/>
          <w:placeholder>
            <w:docPart w:val="6CAF6727D216124B999E426FFEFDB49E"/>
          </w:placeholder>
        </w:sdtPr>
        <w:sdtContent>
          <w:r w:rsidR="0047170A" w:rsidRPr="0047170A">
            <w:rPr>
              <w:color w:val="000000"/>
              <w:bdr w:val="none" w:sz="0" w:space="0" w:color="auto" w:frame="1"/>
              <w:shd w:val="clear" w:color="auto" w:fill="FFFFFF"/>
            </w:rPr>
            <w:t>Brown (2015)</w:t>
          </w:r>
        </w:sdtContent>
      </w:sdt>
      <w:r>
        <w:rPr>
          <w:bdr w:val="none" w:sz="0" w:space="0" w:color="auto" w:frame="1"/>
          <w:shd w:val="clear" w:color="auto" w:fill="FFFFFF"/>
        </w:rPr>
        <w:t xml:space="preserve"> and </w:t>
      </w:r>
      <w:sdt>
        <w:sdtPr>
          <w:rPr>
            <w:color w:val="000000"/>
            <w:bdr w:val="none" w:sz="0" w:space="0" w:color="auto" w:frame="1"/>
            <w:shd w:val="clear" w:color="auto" w:fill="FFFFFF"/>
          </w:rPr>
          <w:tag w:val="MENDELEY_CITATION_v3_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"/>
          <w:id w:val="-1417557725"/>
          <w:placeholder>
            <w:docPart w:val="6CAF6727D216124B999E426FFEFDB49E"/>
          </w:placeholder>
        </w:sdtPr>
        <w:sdtContent>
          <w:r w:rsidR="0047170A" w:rsidRPr="0047170A">
            <w:rPr>
              <w:color w:val="000000"/>
              <w:bdr w:val="none" w:sz="0" w:space="0" w:color="auto" w:frame="1"/>
              <w:shd w:val="clear" w:color="auto" w:fill="FFFFFF"/>
            </w:rPr>
            <w:t>Cabrera-Nguyen (2010)</w:t>
          </w:r>
        </w:sdtContent>
      </w:sdt>
      <w:r>
        <w:rPr>
          <w:color w:val="000000"/>
          <w:bdr w:val="none" w:sz="0" w:space="0" w:color="auto" w:frame="1"/>
          <w:shd w:val="clear" w:color="auto" w:fill="FFFFFF"/>
        </w:rPr>
        <w:t>.</w:t>
      </w:r>
      <w:r>
        <w:rPr>
          <w:bdr w:val="none" w:sz="0" w:space="0" w:color="auto" w:frame="1"/>
          <w:shd w:val="clear" w:color="auto" w:fill="FFFFFF"/>
        </w:rPr>
        <w:t xml:space="preserve"> </w:t>
      </w:r>
      <w:r>
        <w:rPr>
          <w:bdr w:val="none" w:sz="0" w:space="0" w:color="auto" w:frame="1"/>
          <w:shd w:val="clear" w:color="auto" w:fill="FFFFFF"/>
        </w:rPr>
        <w:lastRenderedPageBreak/>
        <w:t xml:space="preserve">Modification indices were subsequently obtained from the CFA to direct adjustments to the model to achieve a better model fit before proceeding to Rasch modelling. </w:t>
      </w:r>
    </w:p>
    <w:p w14:paraId="4208864F" w14:textId="10301790" w:rsidR="0014037C" w:rsidRPr="002978EE" w:rsidRDefault="0014037C" w:rsidP="00DF606F">
      <w:pPr>
        <w:pStyle w:val="Heading3"/>
      </w:pPr>
      <w:bookmarkStart w:id="84" w:name="_Toc137504708"/>
      <w:r>
        <w:t>3.</w:t>
      </w:r>
      <w:r w:rsidRPr="002978EE">
        <w:t>2.7 Rasch Analysis</w:t>
      </w:r>
      <w:bookmarkEnd w:id="84"/>
    </w:p>
    <w:p w14:paraId="5C15697A" w14:textId="634CE40D" w:rsidR="0014037C" w:rsidRPr="00D67E5E" w:rsidRDefault="0014037C" w:rsidP="00DF606F">
      <w:pPr>
        <w:rPr>
          <w:bdr w:val="none" w:sz="0" w:space="0" w:color="auto" w:frame="1"/>
          <w:shd w:val="clear" w:color="auto" w:fill="FFFFFF"/>
        </w:rPr>
      </w:pPr>
      <w:r w:rsidRPr="00D67E5E">
        <w:rPr>
          <w:bdr w:val="none" w:sz="0" w:space="0" w:color="auto" w:frame="1"/>
          <w:shd w:val="clear" w:color="auto" w:fill="FFFFFF"/>
        </w:rPr>
        <w:t xml:space="preserve">Rasch analysis is a method </w:t>
      </w:r>
      <w:r>
        <w:rPr>
          <w:bdr w:val="none" w:sz="0" w:space="0" w:color="auto" w:frame="1"/>
          <w:shd w:val="clear" w:color="auto" w:fill="FFFFFF"/>
        </w:rPr>
        <w:t xml:space="preserve">of </w:t>
      </w:r>
      <w:r w:rsidRPr="00D67E5E">
        <w:rPr>
          <w:bdr w:val="none" w:sz="0" w:space="0" w:color="auto" w:frame="1"/>
          <w:shd w:val="clear" w:color="auto" w:fill="FFFFFF"/>
        </w:rPr>
        <w:t>evaluation of a patient-reported outcome measure (PROM) against the Rasch measurement model.</w:t>
      </w:r>
      <w:r>
        <w:rPr>
          <w:bdr w:val="none" w:sz="0" w:space="0" w:color="auto" w:frame="1"/>
          <w:shd w:val="clear" w:color="auto" w:fill="FFFFFF"/>
        </w:rPr>
        <w:t xml:space="preserve"> </w:t>
      </w:r>
      <w:r w:rsidRPr="00D67E5E">
        <w:rPr>
          <w:bdr w:val="none" w:sz="0" w:space="0" w:color="auto" w:frame="1"/>
          <w:shd w:val="clear" w:color="auto" w:fill="FFFFFF"/>
        </w:rPr>
        <w:t xml:space="preserve">This item response theory utilises psychometric probability-based analysis to predict whether PROM responses fit the pattern of the Rasch model </w:t>
      </w:r>
      <w:sdt>
        <w:sdtPr>
          <w:rPr>
            <w:color w:val="000000"/>
            <w:bdr w:val="none" w:sz="0" w:space="0" w:color="auto" w:frame="1"/>
            <w:shd w:val="clear" w:color="auto" w:fill="FFFFFF"/>
          </w:rPr>
          <w:tag w:val="MENDELEY_CITATION_v3_eyJjaXRhdGlvbklEIjoiTUVOREVMRVlfQ0lUQVRJT05fYTc5NWUyYTUtNTRiYS00MzdlLWIwNWItN2M4OGMwMGU4ZGIzIiwicHJvcGVydGllcyI6eyJub3RlSW5kZXgiOjB9LCJpc0VkaXRlZCI6ZmFsc2UsIm1hbnVhbE92ZXJyaWRlIjp7ImlzTWFudWFsbHlPdmVycmlkZGVuIjpmYWxzZSwiY2l0ZXByb2NUZXh0IjoiKFQuIEJvbmQgJiMzODsgRm94LCAyMDE1KSIsIm1hbnVhbE92ZXJyaWRlVGV4dCI6IiJ9LCJjaXRhdGlvbkl0ZW1zIjpb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V19"/>
          <w:id w:val="1516803301"/>
          <w:placeholder>
            <w:docPart w:val="6CAF6727D216124B999E426FFEFDB49E"/>
          </w:placeholder>
        </w:sdtPr>
        <w:sdtContent>
          <w:r w:rsidR="0047170A">
            <w:rPr>
              <w:rFonts w:eastAsia="Times New Roman"/>
            </w:rPr>
            <w:t>(T. Bond &amp; Fox, 2015)</w:t>
          </w:r>
        </w:sdtContent>
      </w:sdt>
      <w:r w:rsidRPr="00D67E5E">
        <w:rPr>
          <w:bdr w:val="none" w:sz="0" w:space="0" w:color="auto" w:frame="1"/>
          <w:shd w:val="clear" w:color="auto" w:fill="FFFFFF"/>
        </w:rPr>
        <w:t>.</w:t>
      </w:r>
      <w:r>
        <w:rPr>
          <w:bdr w:val="none" w:sz="0" w:space="0" w:color="auto" w:frame="1"/>
          <w:shd w:val="clear" w:color="auto" w:fill="FFFFFF"/>
        </w:rPr>
        <w:t xml:space="preserve"> </w:t>
      </w:r>
      <w:r w:rsidRPr="00D67E5E">
        <w:rPr>
          <w:bdr w:val="none" w:sz="0" w:space="0" w:color="auto" w:frame="1"/>
          <w:shd w:val="clear" w:color="auto" w:fill="FFFFFF"/>
        </w:rPr>
        <w:t xml:space="preserve">The model specifies that an </w:t>
      </w:r>
      <w:r>
        <w:rPr>
          <w:bdr w:val="none" w:sz="0" w:space="0" w:color="auto" w:frame="1"/>
          <w:shd w:val="clear" w:color="auto" w:fill="FFFFFF"/>
        </w:rPr>
        <w:t>individual's</w:t>
      </w:r>
      <w:r w:rsidRPr="00D67E5E">
        <w:rPr>
          <w:bdr w:val="none" w:sz="0" w:space="0" w:color="auto" w:frame="1"/>
          <w:shd w:val="clear" w:color="auto" w:fill="FFFFFF"/>
        </w:rPr>
        <w:t xml:space="preserve"> response to an item is determined by the individual and the location of the item on a shared scale measuring the underlying trait.</w:t>
      </w:r>
      <w:r>
        <w:rPr>
          <w:bdr w:val="none" w:sz="0" w:space="0" w:color="auto" w:frame="1"/>
          <w:shd w:val="clear" w:color="auto" w:fill="FFFFFF"/>
        </w:rPr>
        <w:t xml:space="preserve"> </w:t>
      </w:r>
      <w:r w:rsidRPr="00D67E5E">
        <w:rPr>
          <w:bdr w:val="none" w:sz="0" w:space="0" w:color="auto" w:frame="1"/>
          <w:shd w:val="clear" w:color="auto" w:fill="FFFFFF"/>
        </w:rPr>
        <w:t xml:space="preserve">The probability that a person will endorse an item is a logistic function of the difference between an </w:t>
      </w:r>
      <w:r>
        <w:rPr>
          <w:bdr w:val="none" w:sz="0" w:space="0" w:color="auto" w:frame="1"/>
          <w:shd w:val="clear" w:color="auto" w:fill="FFFFFF"/>
        </w:rPr>
        <w:t>individual's</w:t>
      </w:r>
      <w:r w:rsidRPr="00D67E5E">
        <w:rPr>
          <w:bdr w:val="none" w:sz="0" w:space="0" w:color="auto" w:frame="1"/>
          <w:shd w:val="clear" w:color="auto" w:fill="FFFFFF"/>
        </w:rPr>
        <w:t xml:space="preserve"> trait level (expressed as </w:t>
      </w:r>
      <w:r>
        <w:rPr>
          <w:bdr w:val="none" w:sz="0" w:space="0" w:color="auto" w:frame="1"/>
          <w:shd w:val="clear" w:color="auto" w:fill="FFFFFF"/>
        </w:rPr>
        <w:t>a person's</w:t>
      </w:r>
      <w:r w:rsidRPr="00D67E5E">
        <w:rPr>
          <w:bdr w:val="none" w:sz="0" w:space="0" w:color="auto" w:frame="1"/>
          <w:shd w:val="clear" w:color="auto" w:fill="FFFFFF"/>
        </w:rPr>
        <w:t xml:space="preserve"> ability or endorsement/extent of agreement) and the amount of trait expressed by the item (expressed as</w:t>
      </w:r>
      <w:r>
        <w:rPr>
          <w:bdr w:val="none" w:sz="0" w:space="0" w:color="auto" w:frame="1"/>
          <w:shd w:val="clear" w:color="auto" w:fill="FFFFFF"/>
        </w:rPr>
        <w:t xml:space="preserve"> an </w:t>
      </w:r>
      <w:r w:rsidRPr="00D67E5E">
        <w:rPr>
          <w:bdr w:val="none" w:sz="0" w:space="0" w:color="auto" w:frame="1"/>
          <w:shd w:val="clear" w:color="auto" w:fill="FFFFFF"/>
        </w:rPr>
        <w:t xml:space="preserve">item difficulty) </w:t>
      </w:r>
      <w:sdt>
        <w:sdtPr>
          <w:rPr>
            <w:color w:val="000000"/>
            <w:bdr w:val="none" w:sz="0" w:space="0" w:color="auto" w:frame="1"/>
            <w:shd w:val="clear" w:color="auto" w:fill="FFFFFF"/>
          </w:rPr>
          <w:tag w:val="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"/>
          <w:id w:val="-1975508560"/>
          <w:placeholder>
            <w:docPart w:val="6CAF6727D216124B999E426FFEFDB49E"/>
          </w:placeholder>
        </w:sdtPr>
        <w:sdtContent>
          <w:r w:rsidR="0047170A">
            <w:rPr>
              <w:rFonts w:eastAsia="Times New Roman"/>
            </w:rPr>
            <w:t>(T. G. Bond et al., 2020; Hobart &amp; Cano, 2009)</w:t>
          </w:r>
        </w:sdtContent>
      </w:sdt>
      <w:r w:rsidRPr="00D67E5E">
        <w:rPr>
          <w:bdr w:val="none" w:sz="0" w:space="0" w:color="auto" w:frame="1"/>
          <w:shd w:val="clear" w:color="auto" w:fill="FFFFFF"/>
        </w:rPr>
        <w:t xml:space="preserve">. </w:t>
      </w:r>
    </w:p>
    <w:p w14:paraId="3C7C52EC" w14:textId="406F2B04" w:rsidR="0014037C" w:rsidRPr="00D31819" w:rsidRDefault="0014037C" w:rsidP="00DF606F">
      <w:r w:rsidRPr="00D31819">
        <w:rPr>
          <w:shd w:val="clear" w:color="auto" w:fill="FFFFFF"/>
        </w:rPr>
        <w:t xml:space="preserve">If the model requirement is met, </w:t>
      </w:r>
      <w:r>
        <w:rPr>
          <w:shd w:val="clear" w:color="auto" w:fill="FFFFFF"/>
        </w:rPr>
        <w:t>i</w:t>
      </w:r>
      <w:r w:rsidRPr="00D31819">
        <w:rPr>
          <w:shd w:val="clear" w:color="auto" w:fill="FFFFFF"/>
        </w:rPr>
        <w:t>t identifies the measurement and structural properties of the instrument</w:t>
      </w:r>
      <w:r>
        <w:rPr>
          <w:shd w:val="clear" w:color="auto" w:fill="FFFFFF"/>
        </w:rPr>
        <w:t>,</w:t>
      </w:r>
      <w:r w:rsidRPr="00D31819">
        <w:rPr>
          <w:shd w:val="clear" w:color="auto" w:fill="FFFFFF"/>
        </w:rPr>
        <w:t xml:space="preserve"> including the relative difficulty of each item on the scale and maps these item difficulties against person endorsement levels</w:t>
      </w:r>
      <w:r>
        <w:rPr>
          <w:shd w:val="clear" w:color="auto" w:fill="FFFFFF"/>
        </w:rPr>
        <w:t xml:space="preserve"> on a Wright Map</w:t>
      </w:r>
      <w:r w:rsidRPr="00D31819">
        <w:rPr>
          <w:shd w:val="clear" w:color="auto" w:fill="FFFFFF"/>
        </w:rPr>
        <w:t>.</w:t>
      </w:r>
      <w:r>
        <w:rPr>
          <w:shd w:val="clear" w:color="auto" w:fill="FFFFFF"/>
        </w:rPr>
        <w:t xml:space="preserve"> </w:t>
      </w:r>
      <w:r w:rsidRPr="00D31819">
        <w:rPr>
          <w:shd w:val="clear" w:color="auto" w:fill="FFFFFF"/>
        </w:rPr>
        <w:t>In this way</w:t>
      </w:r>
      <w:r>
        <w:rPr>
          <w:shd w:val="clear" w:color="auto" w:fill="FFFFFF"/>
        </w:rPr>
        <w:t>,</w:t>
      </w:r>
      <w:r w:rsidRPr="00D31819">
        <w:rPr>
          <w:shd w:val="clear" w:color="auto" w:fill="FFFFFF"/>
        </w:rPr>
        <w:t xml:space="preserve"> it is possible to ascertain whether the difficulty level of items is appropriate for </w:t>
      </w:r>
      <w:r>
        <w:rPr>
          <w:shd w:val="clear" w:color="auto" w:fill="FFFFFF"/>
        </w:rPr>
        <w:t>assessing</w:t>
      </w:r>
      <w:r w:rsidRPr="00D31819">
        <w:rPr>
          <w:shd w:val="clear" w:color="auto" w:fill="FFFFFF"/>
        </w:rPr>
        <w:t xml:space="preserve"> individuals </w:t>
      </w:r>
      <w:r>
        <w:rPr>
          <w:shd w:val="clear" w:color="auto" w:fill="FFFFFF"/>
        </w:rPr>
        <w:t>with</w:t>
      </w:r>
      <w:r w:rsidRPr="00D31819">
        <w:rPr>
          <w:shd w:val="clear" w:color="auto" w:fill="FFFFFF"/>
        </w:rPr>
        <w:t xml:space="preserve"> a particular level </w:t>
      </w:r>
      <w:r>
        <w:rPr>
          <w:shd w:val="clear" w:color="auto" w:fill="FFFFFF"/>
        </w:rPr>
        <w:t xml:space="preserve">of </w:t>
      </w:r>
      <w:r w:rsidRPr="00D31819">
        <w:rPr>
          <w:shd w:val="clear" w:color="auto" w:fill="FFFFFF"/>
        </w:rPr>
        <w:t xml:space="preserve">the underlying construct </w:t>
      </w:r>
      <w:sdt>
        <w:sdtPr>
          <w:rPr>
            <w:color w:val="000000"/>
            <w:shd w:val="clear" w:color="auto" w:fill="FFFFFF"/>
          </w:rPr>
          <w:tag w:val="MENDELEY_CITATION_v3_eyJjaXRhdGlvbklEIjoiTUVOREVMRVlfQ0lUQVRJT05fYzUxZDg5MzAtNDFmOS00YjZlLTliOTctMjNhNjFlNTQyOGI1IiwicHJvcGVydGllcyI6eyJub3RlSW5kZXgiOjB9LCJpc0VkaXRlZCI6ZmFsc2UsIm1hbnVhbE92ZXJyaWRlIjp7ImlzTWFudWFsbHlPdmVycmlkZGVuIjpmYWxzZSwiY2l0ZXByb2NUZXh0IjoiKFQuIEJvbmQgJiMzODsgRm94LCAyMDE1KSIsIm1hbnVhbE92ZXJyaWRlVGV4dCI6IiJ9LCJjaXRhdGlvbkl0ZW1zIjpb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V19"/>
          <w:id w:val="1912812151"/>
          <w:placeholder>
            <w:docPart w:val="6CAF6727D216124B999E426FFEFDB49E"/>
          </w:placeholder>
        </w:sdtPr>
        <w:sdtContent>
          <w:r w:rsidR="0047170A">
            <w:rPr>
              <w:rFonts w:eastAsia="Times New Roman"/>
            </w:rPr>
            <w:t>(T. Bond &amp; Fox, 2015)</w:t>
          </w:r>
        </w:sdtContent>
      </w:sdt>
      <w:r w:rsidRPr="00D31819">
        <w:rPr>
          <w:shd w:val="clear" w:color="auto" w:fill="FFFFFF"/>
        </w:rPr>
        <w:t xml:space="preserve">. </w:t>
      </w:r>
    </w:p>
    <w:p w14:paraId="08860D44" w14:textId="283FA6FA" w:rsidR="0014037C" w:rsidRDefault="0014037C" w:rsidP="00DF606F">
      <w:pPr>
        <w:rPr>
          <w:shd w:val="clear" w:color="auto" w:fill="FFFFFF"/>
        </w:rPr>
      </w:pPr>
      <w:r w:rsidRPr="00D31819">
        <w:t xml:space="preserve">These properties allow </w:t>
      </w:r>
      <w:r>
        <w:t>Rasch-developed</w:t>
      </w:r>
      <w:r w:rsidRPr="00D31819">
        <w:t xml:space="preserve"> measures to </w:t>
      </w:r>
      <w:r>
        <w:t>be used</w:t>
      </w:r>
      <w:r w:rsidRPr="00D31819">
        <w:t xml:space="preserve"> with individual patients </w:t>
      </w:r>
      <w:r>
        <w:t>and</w:t>
      </w:r>
      <w:r w:rsidRPr="00D31819">
        <w:t xml:space="preserve"> for </w:t>
      </w:r>
      <w:r>
        <w:t>group-level</w:t>
      </w:r>
      <w:r w:rsidRPr="00D31819">
        <w:t xml:space="preserve"> comparisons, enable direct comparisons of scores across domains, and facilitate the construction of alternative test formats (i.e., short forms and </w:t>
      </w:r>
      <w:r>
        <w:t>adaptive computer</w:t>
      </w:r>
      <w:r w:rsidRPr="00D31819">
        <w:t xml:space="preserve"> tests)</w:t>
      </w:r>
      <w:r>
        <w:t xml:space="preserve"> </w:t>
      </w:r>
      <w:sdt>
        <w:sdtPr>
          <w:rPr>
            <w:color w:val="000000"/>
          </w:rPr>
          <w:tag w:val="MENDELEY_CITATION_v3_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"/>
          <w:id w:val="957227056"/>
          <w:placeholder>
            <w:docPart w:val="6CAF6727D216124B999E426FFEFDB49E"/>
          </w:placeholder>
        </w:sdtPr>
        <w:sdtContent>
          <w:r w:rsidR="0047170A" w:rsidRPr="0047170A">
            <w:rPr>
              <w:color w:val="000000"/>
            </w:rPr>
            <w:t>(Tennant et al., 2004)</w:t>
          </w:r>
        </w:sdtContent>
      </w:sdt>
      <w:r w:rsidRPr="00D31819">
        <w:t>.</w:t>
      </w:r>
      <w:r>
        <w:t xml:space="preserve"> </w:t>
      </w:r>
      <w:r w:rsidRPr="00D31819">
        <w:rPr>
          <w:shd w:val="clear" w:color="auto" w:fill="FFFFFF"/>
        </w:rPr>
        <w:t xml:space="preserve">Rasch </w:t>
      </w:r>
      <w:r>
        <w:rPr>
          <w:shd w:val="clear" w:color="auto" w:fill="FFFFFF"/>
        </w:rPr>
        <w:t>modelling</w:t>
      </w:r>
      <w:r w:rsidRPr="00D31819">
        <w:rPr>
          <w:shd w:val="clear" w:color="auto" w:fill="FFFFFF"/>
        </w:rPr>
        <w:t xml:space="preserve"> is widely used to assess the psychometric properties of scales, test items and questionnaires in health and education</w:t>
      </w:r>
      <w:r>
        <w:rPr>
          <w:shd w:val="clear" w:color="auto" w:fill="FFFFFF"/>
        </w:rPr>
        <w:t xml:space="preserve"> </w:t>
      </w:r>
      <w:sdt>
        <w:sdtPr>
          <w:rPr>
            <w:color w:val="000000"/>
            <w:shd w:val="clear" w:color="auto" w:fill="FFFFFF"/>
          </w:rPr>
          <w:tag w:val="MENDELEY_CITATION_v3_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"/>
          <w:id w:val="1562437056"/>
          <w:placeholder>
            <w:docPart w:val="6CAF6727D216124B999E426FFEFDB49E"/>
          </w:placeholder>
        </w:sdtPr>
        <w:sdtContent>
          <w:r w:rsidR="0047170A">
            <w:rPr>
              <w:rFonts w:eastAsia="Times New Roman"/>
            </w:rPr>
            <w:t>(</w:t>
          </w:r>
          <w:proofErr w:type="spellStart"/>
          <w:r w:rsidR="0047170A">
            <w:rPr>
              <w:rFonts w:eastAsia="Times New Roman"/>
            </w:rPr>
            <w:t>Bessing</w:t>
          </w:r>
          <w:proofErr w:type="spellEnd"/>
          <w:r w:rsidR="0047170A">
            <w:rPr>
              <w:rFonts w:eastAsia="Times New Roman"/>
            </w:rPr>
            <w:t xml:space="preserve"> et al., 2022; T. Bond &amp; Fox, 2015; Morris et al., 2017)</w:t>
          </w:r>
        </w:sdtContent>
      </w:sdt>
      <w:r w:rsidRPr="00D31819">
        <w:rPr>
          <w:shd w:val="clear" w:color="auto" w:fill="FFFFFF"/>
        </w:rPr>
        <w:t xml:space="preserve">. </w:t>
      </w:r>
    </w:p>
    <w:p w14:paraId="19B7A1E7" w14:textId="4ED145CA" w:rsidR="0014037C" w:rsidRDefault="0014037C" w:rsidP="00DF606F">
      <w:r w:rsidRPr="00DA5A71">
        <w:rPr>
          <w:shd w:val="clear" w:color="auto" w:fill="FFFFFF"/>
        </w:rPr>
        <w:t xml:space="preserve">Dichotomous </w:t>
      </w:r>
      <w:sdt>
        <w:sdtPr>
          <w:rPr>
            <w:color w:val="000000"/>
            <w:shd w:val="clear" w:color="auto" w:fill="FFFFFF"/>
          </w:rPr>
          <w:tag w:val="MENDELEY_CITATION_v3_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"/>
          <w:id w:val="385767528"/>
          <w:placeholder>
            <w:docPart w:val="6CAF6727D216124B999E426FFEFDB49E"/>
          </w:placeholder>
        </w:sdtPr>
        <w:sdtContent>
          <w:r w:rsidR="0047170A" w:rsidRPr="0047170A">
            <w:rPr>
              <w:color w:val="000000"/>
              <w:shd w:val="clear" w:color="auto" w:fill="FFFFFF"/>
            </w:rPr>
            <w:t>(G. (Georg) Rasch, 1993)</w:t>
          </w:r>
        </w:sdtContent>
      </w:sdt>
      <w:r w:rsidRPr="00DA5A71">
        <w:rPr>
          <w:shd w:val="clear" w:color="auto" w:fill="FFFFFF"/>
        </w:rPr>
        <w:t xml:space="preserve"> and polytomous </w:t>
      </w:r>
      <w:sdt>
        <w:sdtPr>
          <w:rPr>
            <w:color w:val="000000"/>
            <w:shd w:val="clear" w:color="auto" w:fill="FFFFFF"/>
          </w:rPr>
          <w:tag w:val="MENDELEY_CITATION_v3_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"/>
          <w:id w:val="1047182163"/>
          <w:placeholder>
            <w:docPart w:val="6CAF6727D216124B999E426FFEFDB49E"/>
          </w:placeholder>
        </w:sdtPr>
        <w:sdtContent>
          <w:r w:rsidR="0047170A" w:rsidRPr="0047170A">
            <w:rPr>
              <w:color w:val="000000"/>
              <w:shd w:val="clear" w:color="auto" w:fill="FFFFFF"/>
            </w:rPr>
            <w:t>(Andrich, 1978)</w:t>
          </w:r>
        </w:sdtContent>
      </w:sdt>
      <w:r w:rsidRPr="00DA5A71">
        <w:rPr>
          <w:shd w:val="clear" w:color="auto" w:fill="FFFFFF"/>
        </w:rPr>
        <w:t xml:space="preserve"> versions of the model are available</w:t>
      </w:r>
      <w:r>
        <w:rPr>
          <w:shd w:val="clear" w:color="auto" w:fill="FFFFFF"/>
        </w:rPr>
        <w:t>,</w:t>
      </w:r>
      <w:r w:rsidRPr="00DA5A71">
        <w:rPr>
          <w:shd w:val="clear" w:color="auto" w:fill="FFFFFF"/>
        </w:rPr>
        <w:t xml:space="preserve"> and a variant of the latter </w:t>
      </w:r>
      <w:r>
        <w:rPr>
          <w:shd w:val="clear" w:color="auto" w:fill="FFFFFF"/>
        </w:rPr>
        <w:t xml:space="preserve">is named </w:t>
      </w:r>
      <w:r w:rsidRPr="00DA5A71">
        <w:rPr>
          <w:shd w:val="clear" w:color="auto" w:fill="FFFFFF"/>
        </w:rPr>
        <w:t xml:space="preserve">the partial credit model </w:t>
      </w:r>
      <w:sdt>
        <w:sdtPr>
          <w:rPr>
            <w:color w:val="000000"/>
            <w:shd w:val="clear" w:color="auto" w:fill="FFFFFF"/>
          </w:rPr>
          <w:tag w:val="MENDELEY_CITATION_v3_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"/>
          <w:id w:val="-71892506"/>
          <w:placeholder>
            <w:docPart w:val="6CAF6727D216124B999E426FFEFDB49E"/>
          </w:placeholder>
        </w:sdtPr>
        <w:sdtContent>
          <w:r w:rsidR="0047170A" w:rsidRPr="0047170A">
            <w:rPr>
              <w:color w:val="000000"/>
              <w:shd w:val="clear" w:color="auto" w:fill="FFFFFF"/>
            </w:rPr>
            <w:t>(Masters, 1982)</w:t>
          </w:r>
        </w:sdtContent>
      </w:sdt>
      <w:r w:rsidRPr="00DA5A71">
        <w:rPr>
          <w:shd w:val="clear" w:color="auto" w:fill="FFFFFF"/>
        </w:rPr>
        <w:t>.</w:t>
      </w:r>
      <w:r>
        <w:rPr>
          <w:shd w:val="clear" w:color="auto" w:fill="FFFFFF"/>
        </w:rPr>
        <w:t xml:space="preserve"> In this study, </w:t>
      </w:r>
      <w:r w:rsidRPr="00D31819">
        <w:t xml:space="preserve">Rasch analyses were carried out using </w:t>
      </w:r>
      <w:proofErr w:type="spellStart"/>
      <w:r w:rsidRPr="00D31819">
        <w:t>Winsteps</w:t>
      </w:r>
      <w:proofErr w:type="spellEnd"/>
      <w:r w:rsidRPr="00D31819">
        <w:t xml:space="preserve"> software (version 5.2.3)</w:t>
      </w:r>
      <w:sdt>
        <w:sdtPr>
          <w:rPr>
            <w:color w:val="000000"/>
          </w:rPr>
          <w:tag w:val="MENDELEY_CITATION_v3_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"/>
          <w:id w:val="837044219"/>
          <w:placeholder>
            <w:docPart w:val="6CAF6727D216124B999E426FFEFDB49E"/>
          </w:placeholder>
        </w:sdtPr>
        <w:sdtContent>
          <w:r w:rsidR="0047170A" w:rsidRPr="0047170A">
            <w:rPr>
              <w:color w:val="000000"/>
            </w:rPr>
            <w:t>(J. M. Linacre, 2022)</w:t>
          </w:r>
        </w:sdtContent>
      </w:sdt>
      <w:r w:rsidRPr="00D31819">
        <w:t xml:space="preserve"> and the partial credit model for polytomous </w:t>
      </w:r>
      <w:r>
        <w:t>items</w:t>
      </w:r>
      <w:r w:rsidRPr="00D31819">
        <w:t xml:space="preserve"> </w:t>
      </w:r>
      <w:sdt>
        <w:sdtPr>
          <w:rPr>
            <w:color w:val="000000"/>
          </w:rPr>
          <w:tag w:val="MENDELEY_CITATION_v3_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"/>
          <w:id w:val="1738973573"/>
          <w:placeholder>
            <w:docPart w:val="6CAF6727D216124B999E426FFEFDB49E"/>
          </w:placeholder>
        </w:sdtPr>
        <w:sdtContent>
          <w:r w:rsidR="0047170A" w:rsidRPr="0047170A">
            <w:rPr>
              <w:color w:val="000000"/>
            </w:rPr>
            <w:t>(J. M. Linacre, 2022)</w:t>
          </w:r>
        </w:sdtContent>
      </w:sdt>
      <w:r w:rsidRPr="00D31819">
        <w:t xml:space="preserve">. We selected the partial credit model because the question wording and rating scale categories varied across items. </w:t>
      </w:r>
    </w:p>
    <w:p w14:paraId="34CAD73C" w14:textId="7021CBCE" w:rsidR="0014037C" w:rsidRPr="00FD74B8" w:rsidRDefault="0014037C" w:rsidP="00DF606F">
      <w:pPr>
        <w:pStyle w:val="Heading4"/>
      </w:pPr>
      <w:r>
        <w:lastRenderedPageBreak/>
        <w:t>3.</w:t>
      </w:r>
      <w:r w:rsidRPr="00FD74B8">
        <w:t>2.</w:t>
      </w:r>
      <w:r>
        <w:t>7</w:t>
      </w:r>
      <w:r w:rsidRPr="00FD74B8">
        <w:t>.</w:t>
      </w:r>
      <w:r>
        <w:t>1</w:t>
      </w:r>
      <w:r w:rsidRPr="00FD74B8">
        <w:t xml:space="preserve"> Rasch Analysis plan</w:t>
      </w:r>
    </w:p>
    <w:p w14:paraId="64AFFB1A" w14:textId="77777777" w:rsidR="0014037C" w:rsidRPr="00FD74B8" w:rsidRDefault="0014037C" w:rsidP="00DF606F">
      <w:r w:rsidRPr="00FD74B8">
        <w:t>Part one of the Rasch analyses involved refining the EASE</w:t>
      </w:r>
      <w:r>
        <w:t>-F</w:t>
      </w:r>
      <w:r w:rsidRPr="00FD74B8">
        <w:t xml:space="preserve"> subscales (i.e., item reduction, response category</w:t>
      </w:r>
      <w:r>
        <w:t xml:space="preserve"> scale testing</w:t>
      </w:r>
      <w:r w:rsidRPr="00FD74B8">
        <w:t>)</w:t>
      </w:r>
      <w:r>
        <w:t>,</w:t>
      </w:r>
      <w:r w:rsidRPr="00FD74B8">
        <w:t xml:space="preserve"> and part 2 involved assessing its psychometric and scaling properties.</w:t>
      </w:r>
      <w:r>
        <w:t xml:space="preserve"> </w:t>
      </w:r>
      <w:r w:rsidRPr="00FD74B8">
        <w:t xml:space="preserve">The analytic plan utilised </w:t>
      </w:r>
      <w:r>
        <w:t>is</w:t>
      </w:r>
      <w:r w:rsidRPr="00FD74B8">
        <w:t xml:space="preserve"> commonly used by researchers, although the approach to addressing specific research goals (e.g., evaluating category probability curves) differs in the literature.</w:t>
      </w:r>
      <w:r>
        <w:t xml:space="preserve"> The current analyses were guided by previous studies to provide an informative and expanded assessment of EASE-F</w:t>
      </w:r>
      <w:r w:rsidRPr="00FD74B8">
        <w:t>.</w:t>
      </w:r>
      <w:r>
        <w:t xml:space="preserve"> </w:t>
      </w:r>
      <w:r w:rsidRPr="00AE11B4">
        <w:t xml:space="preserve">The following </w:t>
      </w:r>
      <w:r>
        <w:t xml:space="preserve">Rasch model metrics were investigated in each EASE-F sub-scale:  dimensionality, item fit, local independence, category functioning and threshold, construct validity and differential item functioning/item variance. See Table 2 below for an overview of the analytical plan, definitions, and descriptions of analyses in the </w:t>
      </w:r>
      <w:proofErr w:type="spellStart"/>
      <w:r>
        <w:t>Winsteps</w:t>
      </w:r>
      <w:proofErr w:type="spellEnd"/>
      <w:r>
        <w:t xml:space="preserve"> software.</w:t>
      </w:r>
    </w:p>
    <w:p w14:paraId="4E40FA46" w14:textId="77777777" w:rsidR="0014037C" w:rsidRPr="008C4786" w:rsidRDefault="0014037C" w:rsidP="00DF606F">
      <w:pPr>
        <w:rPr>
          <w:u w:val="single"/>
        </w:rPr>
      </w:pPr>
      <w:r w:rsidRPr="008C4786">
        <w:rPr>
          <w:u w:val="single"/>
        </w:rPr>
        <w:t>Rating Scale/ Category Functioning</w:t>
      </w:r>
    </w:p>
    <w:p w14:paraId="2DCE2380" w14:textId="08CBF2CA" w:rsidR="0014037C" w:rsidRDefault="0014037C" w:rsidP="00DF606F">
      <w:r>
        <w:t xml:space="preserve">Rating scale (or response category) functioning for individual items in each subscale were assessed against the following guidelines set out by </w:t>
      </w:r>
      <w:sdt>
        <w:sdtPr>
          <w:rPr>
            <w:color w:val="000000"/>
          </w:rPr>
          <w:tag w:val="MENDELEY_CITATION_v3_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"/>
          <w:id w:val="1309663928"/>
          <w:placeholder>
            <w:docPart w:val="6CAF6727D216124B999E426FFEFDB49E"/>
          </w:placeholder>
        </w:sdtPr>
        <w:sdtContent>
          <w:r w:rsidR="0047170A" w:rsidRPr="0047170A">
            <w:rPr>
              <w:color w:val="000000"/>
            </w:rPr>
            <w:t>(J. M. Linacre, 2002)</w:t>
          </w:r>
        </w:sdtContent>
      </w:sdt>
      <w:r>
        <w:t xml:space="preserve"> that indicate a well-functioning rating scale: </w:t>
      </w:r>
      <w:r w:rsidRPr="00FD74B8">
        <w:t xml:space="preserve">(1) </w:t>
      </w:r>
      <w:r>
        <w:t>A</w:t>
      </w:r>
      <w:r w:rsidRPr="00FD74B8">
        <w:t xml:space="preserve"> minimum of 10 responses for each category</w:t>
      </w:r>
      <w:r>
        <w:t>; less than ten</w:t>
      </w:r>
      <w:r w:rsidRPr="00FD74B8">
        <w:t xml:space="preserve"> </w:t>
      </w:r>
      <w:r>
        <w:t xml:space="preserve">responses indicate underuse of the category and an unstable and non-replicable instrument </w:t>
      </w:r>
      <w:sdt>
        <w:sdtPr>
          <w:rPr>
            <w:color w:val="000000"/>
          </w:rPr>
          <w:tag w:val="MENDELEY_CITATION_v3_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"/>
          <w:id w:val="-808475334"/>
          <w:placeholder>
            <w:docPart w:val="6CAF6727D216124B999E426FFEFDB49E"/>
          </w:placeholder>
        </w:sdtPr>
        <w:sdtContent>
          <w:r w:rsidR="0047170A" w:rsidRPr="0047170A">
            <w:rPr>
              <w:color w:val="000000"/>
            </w:rPr>
            <w:t>(J. M. Linacre, 2002)</w:t>
          </w:r>
        </w:sdtContent>
      </w:sdt>
      <w:r>
        <w:t xml:space="preserve">; </w:t>
      </w:r>
      <w:r w:rsidRPr="00FD74B8">
        <w:t>(2) Average measures are not disordered</w:t>
      </w:r>
      <w:r>
        <w:t xml:space="preserve"> but </w:t>
      </w:r>
      <w:r w:rsidRPr="00FD74B8">
        <w:t>monotonically increase in average category measures with increas</w:t>
      </w:r>
      <w:r>
        <w:t>ing</w:t>
      </w:r>
      <w:r w:rsidRPr="00FD74B8">
        <w:t xml:space="preserve"> categories</w:t>
      </w:r>
      <w:r>
        <w:t xml:space="preserve">; </w:t>
      </w:r>
      <w:r w:rsidRPr="00FD74B8">
        <w:t xml:space="preserve">(3) </w:t>
      </w:r>
      <w:r>
        <w:t>O</w:t>
      </w:r>
      <w:r w:rsidRPr="00FD74B8">
        <w:t>bservation</w:t>
      </w:r>
      <w:r>
        <w:t>s</w:t>
      </w:r>
      <w:r w:rsidRPr="00FD74B8">
        <w:t xml:space="preserve"> fit with their categories</w:t>
      </w:r>
      <w:r>
        <w:t xml:space="preserve"> that is,</w:t>
      </w:r>
      <w:r w:rsidRPr="00FD74B8">
        <w:t xml:space="preserve"> mean square (MNSQ)</w:t>
      </w:r>
      <w:r>
        <w:t xml:space="preserve"> values fall between</w:t>
      </w:r>
      <w:r w:rsidRPr="00FD74B8">
        <w:t xml:space="preserve"> 0.6-1.4</w:t>
      </w:r>
      <w:r>
        <w:t xml:space="preserve">;  </w:t>
      </w:r>
      <w:r w:rsidRPr="00FD74B8">
        <w:t xml:space="preserve">(4) </w:t>
      </w:r>
      <w:r>
        <w:t>C</w:t>
      </w:r>
      <w:r w:rsidRPr="00FD74B8">
        <w:t xml:space="preserve">ategory thresholds are at </w:t>
      </w:r>
      <w:r>
        <w:t xml:space="preserve">between </w:t>
      </w:r>
      <w:r w:rsidRPr="00FD74B8">
        <w:t>1.4 to 5 logits apar</w:t>
      </w:r>
      <w:r>
        <w:t xml:space="preserve">t;  </w:t>
      </w:r>
      <w:r w:rsidRPr="00FD74B8">
        <w:t xml:space="preserve">(5) </w:t>
      </w:r>
      <w:r>
        <w:t>T</w:t>
      </w:r>
      <w:r w:rsidRPr="00FD74B8">
        <w:t>here are distinct peaks for every category probability curve</w:t>
      </w:r>
      <w:r>
        <w:t>,</w:t>
      </w:r>
      <w:r w:rsidRPr="00FD74B8">
        <w:t xml:space="preserve"> i.e. a smooth distribution of category frequencies - the frequency distribution is not jagged.</w:t>
      </w:r>
      <w:r>
        <w:t xml:space="preserve"> If item scales did not satisfy these criteria, combining adjacent categories or removing the item was considered. Additionally, category probability curves provided a graphical illustration of the functionality of rating scales</w:t>
      </w:r>
      <w:r w:rsidRPr="00FD74B8">
        <w:t>.</w:t>
      </w:r>
    </w:p>
    <w:p w14:paraId="5834B7B2" w14:textId="77777777" w:rsidR="0014037C" w:rsidRPr="008C4786" w:rsidRDefault="0014037C" w:rsidP="00DF606F">
      <w:pPr>
        <w:rPr>
          <w:u w:val="single"/>
        </w:rPr>
      </w:pPr>
      <w:r w:rsidRPr="008C4786">
        <w:rPr>
          <w:u w:val="single"/>
        </w:rPr>
        <w:t>Fit statistics</w:t>
      </w:r>
    </w:p>
    <w:p w14:paraId="79780B77" w14:textId="77777777" w:rsidR="0014037C" w:rsidRPr="006C6135" w:rsidRDefault="0014037C" w:rsidP="00DF606F">
      <w:r>
        <w:t>The global fit was assessed using chi-Square values, which reflect the trait's invariance</w:t>
      </w:r>
      <w:r w:rsidRPr="006C6135">
        <w:t>.</w:t>
      </w:r>
      <w:r>
        <w:t xml:space="preserve"> </w:t>
      </w:r>
      <w:r w:rsidRPr="006C6135">
        <w:t xml:space="preserve">A significant </w:t>
      </w:r>
      <w:r>
        <w:t>chi-square</w:t>
      </w:r>
      <w:r w:rsidRPr="006C6135">
        <w:t xml:space="preserve"> indicates that the hierarchical ordering of the items varies across the trait, </w:t>
      </w:r>
      <w:r>
        <w:t>compromising the required invariance property</w:t>
      </w:r>
      <w:r w:rsidRPr="006C6135">
        <w:t>.</w:t>
      </w:r>
    </w:p>
    <w:p w14:paraId="0D5CD257" w14:textId="79C5208B" w:rsidR="0014037C" w:rsidRPr="000B5575" w:rsidRDefault="0014037C" w:rsidP="00DF606F">
      <w:pPr>
        <w:rPr>
          <w:szCs w:val="20"/>
        </w:rPr>
      </w:pPr>
      <w:r>
        <w:t xml:space="preserve">Rasch fit statistics Infit Mean-Square (MNSQ) and Outfit MNSQ) Were used to explore item and person fit. The Infit statistic is a data inlier-sensitive statistic, while the outfit statistic is a data outlier-sensitive statistic. According to the </w:t>
      </w:r>
      <w:proofErr w:type="spellStart"/>
      <w:r>
        <w:t>Winsteps</w:t>
      </w:r>
      <w:proofErr w:type="spellEnd"/>
      <w:r>
        <w:t xml:space="preserve"> manual </w:t>
      </w:r>
      <w:sdt>
        <w:sdtPr>
          <w:rPr>
            <w:color w:val="000000"/>
          </w:rPr>
          <w:tag w:val="MENDELEY_CITATION_v3_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"/>
          <w:id w:val="-885103128"/>
          <w:placeholder>
            <w:docPart w:val="6CAF6727D216124B999E426FFEFDB49E"/>
          </w:placeholder>
        </w:sdtPr>
        <w:sdtContent>
          <w:r w:rsidR="0047170A" w:rsidRPr="0047170A">
            <w:rPr>
              <w:color w:val="000000"/>
            </w:rPr>
            <w:t xml:space="preserve">(J. M. </w:t>
          </w:r>
          <w:r w:rsidR="0047170A" w:rsidRPr="0047170A">
            <w:rPr>
              <w:color w:val="000000"/>
            </w:rPr>
            <w:lastRenderedPageBreak/>
            <w:t>Linacre, 2022)</w:t>
          </w:r>
        </w:sdtContent>
      </w:sdt>
      <w:r>
        <w:t xml:space="preserve">, MNSQ values between 0.5 and 1.5 are "Productive of measurement". However, it is important to note that Rasch researchers have used several different MNSQ ranges; </w:t>
      </w:r>
      <w:sdt>
        <w:sdtPr>
          <w:rPr>
            <w:color w:val="000000"/>
          </w:rPr>
          <w:tag w:val="MENDELEY_CITATION_v3_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"/>
          <w:id w:val="-1195761517"/>
          <w:placeholder>
            <w:docPart w:val="6CAF6727D216124B999E426FFEFDB49E"/>
          </w:placeholder>
        </w:sdtPr>
        <w:sdtContent>
          <w:r w:rsidR="0047170A">
            <w:rPr>
              <w:rFonts w:eastAsia="Times New Roman"/>
            </w:rPr>
            <w:t>Wright &amp; Linacre (1994)</w:t>
          </w:r>
        </w:sdtContent>
      </w:sdt>
      <w:r>
        <w:rPr>
          <w:szCs w:val="20"/>
        </w:rPr>
        <w:t xml:space="preserve"> </w:t>
      </w:r>
      <w:r w:rsidRPr="001D1E3E">
        <w:rPr>
          <w:szCs w:val="20"/>
        </w:rPr>
        <w:t>suggested reasonable item mean square ranges by type of test.</w:t>
      </w:r>
      <w:r>
        <w:rPr>
          <w:szCs w:val="20"/>
        </w:rPr>
        <w:t xml:space="preserve"> </w:t>
      </w:r>
      <w:r w:rsidRPr="001D1E3E">
        <w:rPr>
          <w:szCs w:val="20"/>
        </w:rPr>
        <w:t>For rating scales/surveys, these were 0.6 to 1.4.</w:t>
      </w:r>
      <w:r>
        <w:rPr>
          <w:szCs w:val="20"/>
        </w:rPr>
        <w:t xml:space="preserve"> High-stakes tests may require more stringent criteria of 0.8 to 1.2 as cut-offs. </w:t>
      </w:r>
      <w:sdt>
        <w:sdtPr>
          <w:rPr>
            <w:color w:val="000000"/>
            <w:szCs w:val="20"/>
          </w:rPr>
          <w:tag w:val="MENDELEY_CITATION_v3_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"/>
          <w:id w:val="-368844540"/>
          <w:placeholder>
            <w:docPart w:val="6CAF6727D216124B999E426FFEFDB49E"/>
          </w:placeholder>
        </w:sdtPr>
        <w:sdtContent>
          <w:r w:rsidR="0047170A" w:rsidRPr="0047170A">
            <w:rPr>
              <w:color w:val="000000"/>
              <w:szCs w:val="20"/>
            </w:rPr>
            <w:t>Smith et al. (1998)</w:t>
          </w:r>
        </w:sdtContent>
      </w:sdt>
      <w:r>
        <w:rPr>
          <w:color w:val="000000"/>
          <w:szCs w:val="20"/>
        </w:rPr>
        <w:t xml:space="preserve"> </w:t>
      </w:r>
      <w:r w:rsidRPr="001D1E3E">
        <w:rPr>
          <w:szCs w:val="20"/>
        </w:rPr>
        <w:t xml:space="preserve">also suggested </w:t>
      </w:r>
      <w:r>
        <w:rPr>
          <w:szCs w:val="20"/>
        </w:rPr>
        <w:t xml:space="preserve">that </w:t>
      </w:r>
      <w:r w:rsidRPr="001D1E3E">
        <w:rPr>
          <w:szCs w:val="20"/>
        </w:rPr>
        <w:t xml:space="preserve">MNSQ cut-offs </w:t>
      </w:r>
      <w:r>
        <w:rPr>
          <w:szCs w:val="20"/>
        </w:rPr>
        <w:t>should be adjusted by</w:t>
      </w:r>
      <w:r w:rsidRPr="001D1E3E">
        <w:rPr>
          <w:szCs w:val="20"/>
        </w:rPr>
        <w:t xml:space="preserve"> sample size</w:t>
      </w:r>
      <w:r>
        <w:rPr>
          <w:szCs w:val="20"/>
        </w:rPr>
        <w:t>,</w:t>
      </w:r>
      <w:r w:rsidRPr="001D1E3E">
        <w:rPr>
          <w:szCs w:val="20"/>
        </w:rPr>
        <w:t xml:space="preserve"> so a single critical value is </w:t>
      </w:r>
      <w:r>
        <w:rPr>
          <w:szCs w:val="20"/>
        </w:rPr>
        <w:t>inappropriate</w:t>
      </w:r>
      <w:r w:rsidRPr="001D1E3E">
        <w:rPr>
          <w:szCs w:val="20"/>
        </w:rPr>
        <w:t>.</w:t>
      </w:r>
      <w:r>
        <w:rPr>
          <w:szCs w:val="20"/>
        </w:rPr>
        <w:t xml:space="preserve"> </w:t>
      </w:r>
      <w:r w:rsidRPr="006C6135">
        <w:rPr>
          <w:szCs w:val="20"/>
        </w:rPr>
        <w:t xml:space="preserve">Based on this, </w:t>
      </w:r>
      <w:sdt>
        <w:sdtPr>
          <w:rPr>
            <w:color w:val="000000"/>
            <w:szCs w:val="20"/>
          </w:rPr>
          <w:tag w:val="MENDELEY_CITATION_v3_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"/>
          <w:id w:val="897015991"/>
          <w:placeholder>
            <w:docPart w:val="6CAF6727D216124B999E426FFEFDB49E"/>
          </w:placeholder>
        </w:sdtPr>
        <w:sdtContent>
          <w:r w:rsidR="0047170A">
            <w:rPr>
              <w:rFonts w:eastAsia="Times New Roman"/>
            </w:rPr>
            <w:t>Wright &amp; Linacre (1994)</w:t>
          </w:r>
        </w:sdtContent>
      </w:sdt>
      <w:r>
        <w:rPr>
          <w:color w:val="000000"/>
          <w:szCs w:val="20"/>
        </w:rPr>
        <w:t xml:space="preserve"> </w:t>
      </w:r>
      <w:r w:rsidRPr="006C6135">
        <w:rPr>
          <w:szCs w:val="20"/>
        </w:rPr>
        <w:t>suggest that an MNSQ cut-off of 0.9 to 1.1 is appropriate for a sample size of about 400.</w:t>
      </w:r>
      <w:r>
        <w:rPr>
          <w:szCs w:val="20"/>
        </w:rPr>
        <w:t xml:space="preserve"> </w:t>
      </w:r>
      <w:r w:rsidRPr="006C6135">
        <w:t>Standardised fit measures are item-person interaction statistics</w:t>
      </w:r>
      <w:r>
        <w:t xml:space="preserve"> </w:t>
      </w:r>
      <w:r w:rsidRPr="006C6135">
        <w:t xml:space="preserve">transformed </w:t>
      </w:r>
      <w:r>
        <w:t>in</w:t>
      </w:r>
      <w:r w:rsidRPr="006C6135">
        <w:t xml:space="preserve">to </w:t>
      </w:r>
      <w:r>
        <w:t xml:space="preserve">an </w:t>
      </w:r>
      <w:r w:rsidRPr="006C6135">
        <w:t>approximate z-score</w:t>
      </w:r>
      <w:r>
        <w:t xml:space="preserve"> representing</w:t>
      </w:r>
      <w:r w:rsidRPr="006C6135">
        <w:t xml:space="preserve"> a standardised normal distribution</w:t>
      </w:r>
      <w:r>
        <w:t>. Therefore, a</w:t>
      </w:r>
      <w:r w:rsidRPr="006C6135">
        <w:t xml:space="preserve"> perfect fit to the model would have a mean of approximately zero and a standard deviation of 1, +-2 is the recommended cut-off</w:t>
      </w:r>
      <w:r>
        <w:t xml:space="preserve"> </w:t>
      </w:r>
      <w:sdt>
        <w:sdtPr>
          <w:rPr>
            <w:color w:val="000000"/>
          </w:rPr>
          <w:tag w:val="MENDELEY_CITATION_v3_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"/>
          <w:id w:val="39336484"/>
          <w:placeholder>
            <w:docPart w:val="6CAF6727D216124B999E426FFEFDB49E"/>
          </w:placeholder>
        </w:sdtPr>
        <w:sdtContent>
          <w:r w:rsidR="0047170A">
            <w:rPr>
              <w:rFonts w:eastAsia="Times New Roman"/>
            </w:rPr>
            <w:t>(T. G. Bond &amp; Fox, 2007)</w:t>
          </w:r>
        </w:sdtContent>
      </w:sdt>
      <w:r w:rsidRPr="006C6135">
        <w:t>.</w:t>
      </w:r>
    </w:p>
    <w:p w14:paraId="3CFDFBB1" w14:textId="524D5D87" w:rsidR="0014037C" w:rsidRDefault="0014037C" w:rsidP="00DF606F">
      <w:r>
        <w:t>Misfitting</w:t>
      </w:r>
      <w:r w:rsidRPr="006C6135">
        <w:t xml:space="preserve"> response patterns, which can result from respondents guessing or exhibiting unusual </w:t>
      </w:r>
      <w:r>
        <w:t>behaviour</w:t>
      </w:r>
      <w:r w:rsidRPr="006C6135">
        <w:t xml:space="preserve">, have </w:t>
      </w:r>
      <w:r>
        <w:t>been shown to cause</w:t>
      </w:r>
      <w:r w:rsidRPr="006C6135">
        <w:t xml:space="preserve"> biased item estimates that negatively affect </w:t>
      </w:r>
      <w:r>
        <w:t xml:space="preserve">model fit </w:t>
      </w:r>
      <w:sdt>
        <w:sdtPr>
          <w:rPr>
            <w:color w:val="000000"/>
          </w:rPr>
          <w:tag w:val="MENDELEY_CITATION_v3_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"/>
          <w:id w:val="-1653291087"/>
          <w:placeholder>
            <w:docPart w:val="6CAF6727D216124B999E426FFEFDB49E"/>
          </w:placeholder>
        </w:sdtPr>
        <w:sdtContent>
          <w:r w:rsidR="0047170A">
            <w:rPr>
              <w:rFonts w:eastAsia="Times New Roman"/>
            </w:rPr>
            <w:t>(Mousavi &amp; Cui, 2020; Tennant et al., 2007)</w:t>
          </w:r>
        </w:sdtContent>
      </w:sdt>
      <w:r>
        <w:t xml:space="preserve">. </w:t>
      </w:r>
      <w:r w:rsidRPr="006C6135">
        <w:t>Th</w:t>
      </w:r>
      <w:r>
        <w:t>erefore</w:t>
      </w:r>
      <w:r w:rsidRPr="006C6135">
        <w:t xml:space="preserve">, following the typical approach in Rasch analysis, person fit </w:t>
      </w:r>
      <w:r>
        <w:t>was evaluated,</w:t>
      </w:r>
      <w:r w:rsidRPr="006C6135">
        <w:t xml:space="preserve"> and </w:t>
      </w:r>
      <w:r>
        <w:t xml:space="preserve">misfitting persons </w:t>
      </w:r>
      <w:r w:rsidRPr="006C6135">
        <w:t xml:space="preserve">whose responses did not fit the expected pattern (i.e., those with outfit </w:t>
      </w:r>
      <w:r>
        <w:t>MNSQ</w:t>
      </w:r>
      <w:r w:rsidRPr="006C6135">
        <w:t xml:space="preserve"> values greater than 2.0 logits) </w:t>
      </w:r>
      <w:r>
        <w:t xml:space="preserve">were removed iteratively </w:t>
      </w:r>
      <w:r w:rsidRPr="006C6135">
        <w:t>before re</w:t>
      </w:r>
      <w:r>
        <w:t xml:space="preserve">-assessing model fit. This was continued </w:t>
      </w:r>
      <w:r w:rsidRPr="006C6135">
        <w:t>until stable results were achieved</w:t>
      </w:r>
      <w:r>
        <w:t xml:space="preserve"> </w:t>
      </w:r>
      <w:sdt>
        <w:sdtPr>
          <w:rPr>
            <w:color w:val="000000"/>
          </w:rPr>
          <w:tag w:val="MENDELEY_CITATION_v3_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"/>
          <w:id w:val="1329094778"/>
          <w:placeholder>
            <w:docPart w:val="6CAF6727D216124B999E426FFEFDB49E"/>
          </w:placeholder>
        </w:sdtPr>
        <w:sdtContent>
          <w:r w:rsidR="0047170A">
            <w:rPr>
              <w:rFonts w:eastAsia="Times New Roman"/>
            </w:rPr>
            <w:t>(T. G. Bond et al., 2020; Mousavi &amp; Cui, 2020)</w:t>
          </w:r>
        </w:sdtContent>
      </w:sdt>
      <w:r w:rsidRPr="006C6135">
        <w:t>.</w:t>
      </w:r>
      <w:r>
        <w:t xml:space="preserve"> </w:t>
      </w:r>
    </w:p>
    <w:p w14:paraId="76AD95F5" w14:textId="77777777" w:rsidR="0014037C" w:rsidRPr="008C4786" w:rsidRDefault="0014037C" w:rsidP="00DF606F">
      <w:pPr>
        <w:rPr>
          <w:u w:val="single"/>
        </w:rPr>
      </w:pPr>
      <w:r w:rsidRPr="008C4786">
        <w:rPr>
          <w:u w:val="single"/>
        </w:rPr>
        <w:t>Dimensionality</w:t>
      </w:r>
    </w:p>
    <w:p w14:paraId="7C5EBDFA" w14:textId="20782FE8" w:rsidR="0014037C" w:rsidRPr="00BD5E45" w:rsidRDefault="0014037C" w:rsidP="00DF606F">
      <w:r>
        <w:t xml:space="preserve">Uni-dimensionality, the assumption that the scale measures only one construct is a requirement in Rasch analysis </w:t>
      </w:r>
      <w:sdt>
        <w:sdtPr>
          <w:rPr>
            <w:color w:val="000000"/>
          </w:rPr>
          <w:tag w:val="MENDELEY_CITATION_v3_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"/>
          <w:id w:val="-1574897044"/>
          <w:placeholder>
            <w:docPart w:val="6CAF6727D216124B999E426FFEFDB49E"/>
          </w:placeholder>
        </w:sdtPr>
        <w:sdtContent>
          <w:r w:rsidR="0047170A">
            <w:rPr>
              <w:rFonts w:eastAsia="Times New Roman"/>
            </w:rPr>
            <w:t>(B. D. Wright &amp; Mesa, 1979)</w:t>
          </w:r>
        </w:sdtContent>
      </w:sdt>
      <w:r>
        <w:t xml:space="preserve">; evidence of </w:t>
      </w:r>
      <w:proofErr w:type="spellStart"/>
      <w:r>
        <w:t>uni</w:t>
      </w:r>
      <w:proofErr w:type="spellEnd"/>
      <w:r>
        <w:t>-dimensionality supports using a set of items to determine where a respondent falls in a latent trait. Uni-dimensionality was evaluated using Principal Component Analysis of Residuals (PCAR).</w:t>
      </w:r>
      <w:bookmarkStart w:id="85" w:name="bbib0023"/>
      <w:r>
        <w:t xml:space="preserve"> PCAR investigates whether the level of noise seen in a dataset is above what would be expected by random noise. The presence of confounding variables would be indicated if the noise level exceeded the predicted random noise. The scale was considered </w:t>
      </w:r>
      <w:proofErr w:type="spellStart"/>
      <w:r>
        <w:t>uni</w:t>
      </w:r>
      <w:proofErr w:type="spellEnd"/>
      <w:r>
        <w:t xml:space="preserve">-dimensional when the Rasch model accounted for &gt;40% of the variance </w:t>
      </w:r>
      <w:sdt>
        <w:sdtPr>
          <w:rPr>
            <w:color w:val="000000"/>
          </w:rPr>
          <w:tag w:val="MENDELEY_CITATION_v3_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"/>
          <w:id w:val="-2116661289"/>
          <w:placeholder>
            <w:docPart w:val="6CAF6727D216124B999E426FFEFDB49E"/>
          </w:placeholder>
        </w:sdtPr>
        <w:sdtContent>
          <w:r w:rsidR="0047170A" w:rsidRPr="0047170A">
            <w:rPr>
              <w:color w:val="000000"/>
            </w:rPr>
            <w:t>(J. Linacre, 2019)</w:t>
          </w:r>
        </w:sdtContent>
      </w:sdt>
      <w:r>
        <w:t xml:space="preserve"> </w:t>
      </w:r>
      <w:r w:rsidRPr="00BD5E45">
        <w:t xml:space="preserve">and if the value of the unexplained variance in the first contrast was below 2.0 eigenvalue units </w:t>
      </w:r>
      <w:sdt>
        <w:sdtPr>
          <w:rPr>
            <w:color w:val="000000"/>
          </w:rPr>
          <w:tag w:val="MENDELEY_CITATION_v3_eyJjaXRhdGlvbklEIjoiTUVOREVMRVlfQ0lUQVRJT05fMWY1ZTc3OWUtY2VlNi00MDVlLWJhMTYtNmIzMjFkNTQyMDFmIiwicHJvcGVydGllcyI6eyJub3RlSW5kZXgiOjB9LCJpc0VkaXRlZCI6ZmFsc2UsIm1hbnVhbE92ZXJyaWRlIjp7ImlzTWFudWFsbHlPdmVycmlkZGVuIjpmYWxzZSwiY2l0ZXByb2NUZXh0IjoiKFQuIEJvbmQgJiMzODsgRm94LCAyMDE1KSIsIm1hbnVhbE92ZXJyaWRlVGV4dCI6IiJ9LCJjaXRhdGlvbkl0ZW1zIjpb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V19"/>
          <w:id w:val="670752810"/>
          <w:placeholder>
            <w:docPart w:val="6CAF6727D216124B999E426FFEFDB49E"/>
          </w:placeholder>
        </w:sdtPr>
        <w:sdtContent>
          <w:r w:rsidR="0047170A">
            <w:rPr>
              <w:rFonts w:eastAsia="Times New Roman"/>
            </w:rPr>
            <w:t>(T. Bond &amp; Fox, 2015)</w:t>
          </w:r>
        </w:sdtContent>
      </w:sdt>
      <w:r w:rsidRPr="00BD5E45">
        <w:t>.</w:t>
      </w:r>
    </w:p>
    <w:bookmarkEnd w:id="85"/>
    <w:p w14:paraId="59AB2843" w14:textId="77777777" w:rsidR="0014037C" w:rsidRPr="008C4786" w:rsidRDefault="0014037C" w:rsidP="00DF606F">
      <w:pPr>
        <w:rPr>
          <w:u w:val="single"/>
        </w:rPr>
      </w:pPr>
      <w:r w:rsidRPr="008C4786">
        <w:rPr>
          <w:u w:val="single"/>
        </w:rPr>
        <w:t xml:space="preserve">Local independence </w:t>
      </w:r>
    </w:p>
    <w:p w14:paraId="163489B4" w14:textId="77777777" w:rsidR="0014037C" w:rsidRPr="00BD5E45" w:rsidRDefault="0014037C" w:rsidP="00DF606F">
      <w:pPr>
        <w:rPr>
          <w:highlight w:val="yellow"/>
        </w:rPr>
      </w:pPr>
      <w:r w:rsidRPr="00BD5E45">
        <w:t xml:space="preserve">The Rasch model also requires that items in a scale are locally independent of one another, i.e., a correct or incorrect response to one item should not result in a correct </w:t>
      </w:r>
      <w:r w:rsidRPr="00BD5E45">
        <w:lastRenderedPageBreak/>
        <w:t>or incorrect response to another item.</w:t>
      </w:r>
      <w:r>
        <w:t xml:space="preserve"> </w:t>
      </w:r>
      <w:r w:rsidRPr="00BD5E45">
        <w:t>Sharing an association with other items can lead to a local item dependence (LID)</w:t>
      </w:r>
      <w:r>
        <w:t>,</w:t>
      </w:r>
      <w:r w:rsidRPr="00BD5E45">
        <w:t xml:space="preserve"> and the literature suggests that LID impacts the </w:t>
      </w:r>
      <w:r>
        <w:t>test's</w:t>
      </w:r>
      <w:r w:rsidRPr="00BD5E45">
        <w:t xml:space="preserve"> </w:t>
      </w:r>
      <w:proofErr w:type="spellStart"/>
      <w:r w:rsidRPr="00BD5E45">
        <w:t>uni</w:t>
      </w:r>
      <w:proofErr w:type="spellEnd"/>
      <w:r w:rsidRPr="00BD5E45">
        <w:t>-dimensionality and leads to biased parameter estimates.</w:t>
      </w:r>
    </w:p>
    <w:p w14:paraId="78937F6D" w14:textId="24B9618D" w:rsidR="0014037C" w:rsidRPr="00BD5E45" w:rsidRDefault="0014037C" w:rsidP="00DF606F">
      <w:r w:rsidRPr="00BD5E45">
        <w:t>To verify</w:t>
      </w:r>
      <w:r>
        <w:t xml:space="preserve"> the</w:t>
      </w:r>
      <w:r w:rsidRPr="00BD5E45">
        <w:t xml:space="preserve"> local independence</w:t>
      </w:r>
      <w:r>
        <w:t xml:space="preserve"> of items</w:t>
      </w:r>
      <w:r w:rsidRPr="00BD5E45">
        <w:t xml:space="preserve">, items should only be correlated through the latent trait the test </w:t>
      </w:r>
      <w:r>
        <w:t>measures</w:t>
      </w:r>
      <w:r w:rsidRPr="00BD5E45">
        <w:t xml:space="preserve"> </w:t>
      </w:r>
      <w:sdt>
        <w:sdtPr>
          <w:rPr>
            <w:color w:val="000000"/>
          </w:rPr>
          <w:tag w:val="MENDELEY_CITATION_v3_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"/>
          <w:id w:val="856931299"/>
          <w:placeholder>
            <w:docPart w:val="6CAF6727D216124B999E426FFEFDB49E"/>
          </w:placeholder>
        </w:sdtPr>
        <w:sdtContent>
          <w:r w:rsidR="0047170A" w:rsidRPr="0047170A">
            <w:rPr>
              <w:color w:val="000000"/>
            </w:rPr>
            <w:t>(</w:t>
          </w:r>
          <w:proofErr w:type="spellStart"/>
          <w:r w:rsidR="0047170A" w:rsidRPr="0047170A">
            <w:rPr>
              <w:color w:val="000000"/>
            </w:rPr>
            <w:t>Baghaei</w:t>
          </w:r>
          <w:proofErr w:type="spellEnd"/>
          <w:r w:rsidR="0047170A" w:rsidRPr="0047170A">
            <w:rPr>
              <w:color w:val="000000"/>
            </w:rPr>
            <w:t>, 2008)</w:t>
          </w:r>
        </w:sdtContent>
      </w:sdt>
      <w:r w:rsidRPr="00BD5E45">
        <w:t>.</w:t>
      </w:r>
      <w:r>
        <w:t xml:space="preserve"> </w:t>
      </w:r>
      <w:r w:rsidRPr="00BD5E45">
        <w:t>To ensure this, there should not be any correlation between items after the effect of the underlying trait is conditioned out, which means that correlations between residual items must be zero.</w:t>
      </w:r>
      <w:r>
        <w:t xml:space="preserve"> </w:t>
      </w:r>
      <w:r w:rsidRPr="00BD5E45">
        <w:t xml:space="preserve">Items with a residual correlation of 0.4 were considered to have a strong association </w:t>
      </w:r>
      <w:sdt>
        <w:sdtPr>
          <w:rPr>
            <w:color w:val="000000"/>
          </w:rPr>
          <w:tag w:val="MENDELEY_CITATION_v3_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"/>
          <w:id w:val="1171993943"/>
          <w:placeholder>
            <w:docPart w:val="6CAF6727D216124B999E426FFEFDB49E"/>
          </w:placeholder>
        </w:sdtPr>
        <w:sdtContent>
          <w:r w:rsidR="0047170A">
            <w:rPr>
              <w:rFonts w:eastAsia="Times New Roman"/>
            </w:rPr>
            <w:t>(Fan &amp; Bond, 2019)</w:t>
          </w:r>
        </w:sdtContent>
      </w:sdt>
      <w:r w:rsidRPr="00BD5E45">
        <w:t>.</w:t>
      </w:r>
    </w:p>
    <w:p w14:paraId="4D8C6BE9" w14:textId="77777777" w:rsidR="0014037C" w:rsidRPr="008C4786" w:rsidRDefault="0014037C" w:rsidP="00DF606F">
      <w:pPr>
        <w:rPr>
          <w:u w:val="single"/>
        </w:rPr>
      </w:pPr>
      <w:r w:rsidRPr="008C4786">
        <w:rPr>
          <w:u w:val="single"/>
        </w:rPr>
        <w:t>Internal Consistency and Reliability</w:t>
      </w:r>
    </w:p>
    <w:p w14:paraId="1F14B877" w14:textId="15291901" w:rsidR="0014037C" w:rsidRPr="00BD5E45" w:rsidRDefault="0014037C" w:rsidP="00DF606F">
      <w:pPr>
        <w:rPr>
          <w:rFonts w:ascii="Helvetica Neue" w:hAnsi="Helvetica Neue"/>
          <w:color w:val="333333"/>
          <w:shd w:val="clear" w:color="auto" w:fill="FFFFFF"/>
        </w:rPr>
      </w:pPr>
      <w:r w:rsidRPr="00BD5E45">
        <w:t>To calculate the internal consistency/reliability of a scale</w:t>
      </w:r>
      <w:r>
        <w:t>,</w:t>
      </w:r>
      <w:r w:rsidRPr="00BD5E45">
        <w:t xml:space="preserve"> person and item reliability and separation indices were computed.</w:t>
      </w:r>
      <w:r>
        <w:t xml:space="preserve"> </w:t>
      </w:r>
      <w:r w:rsidRPr="00BD5E45">
        <w:t>These are based on the estimates on the logit scale for each item and person.</w:t>
      </w:r>
      <w:r>
        <w:t xml:space="preserve"> </w:t>
      </w:r>
      <w:r w:rsidRPr="00BD5E45">
        <w:t xml:space="preserve">Reliability determines reproducibility, while separation indices examine the number of distinct </w:t>
      </w:r>
      <w:r>
        <w:t>ability levels</w:t>
      </w:r>
      <w:r w:rsidRPr="00BD5E45">
        <w:t xml:space="preserve"> </w:t>
      </w:r>
      <w:r>
        <w:t>a scale can distinguish</w:t>
      </w:r>
      <w:r w:rsidRPr="00BD5E45">
        <w:t xml:space="preserve">. For each scale, </w:t>
      </w:r>
      <w:r>
        <w:t>Cronbach's</w:t>
      </w:r>
      <w:r w:rsidRPr="00BD5E45">
        <w:t xml:space="preserve"> alpha was computed </w:t>
      </w:r>
      <w:r>
        <w:t>to measure</w:t>
      </w:r>
      <w:r w:rsidRPr="00BD5E45">
        <w:t xml:space="preserve"> internal consistency reliability </w:t>
      </w:r>
      <w:sdt>
        <w:sdtPr>
          <w:rPr>
            <w:color w:val="000000"/>
          </w:rPr>
          <w:tag w:val="MENDELEY_CITATION_v3_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"/>
          <w:id w:val="608394706"/>
          <w:placeholder>
            <w:docPart w:val="6CAF6727D216124B999E426FFEFDB49E"/>
          </w:placeholder>
        </w:sdtPr>
        <w:sdtContent>
          <w:r w:rsidR="0047170A" w:rsidRPr="0047170A">
            <w:rPr>
              <w:color w:val="000000"/>
            </w:rPr>
            <w:t>(</w:t>
          </w:r>
          <w:proofErr w:type="spellStart"/>
          <w:r w:rsidR="0047170A" w:rsidRPr="0047170A">
            <w:rPr>
              <w:color w:val="000000"/>
            </w:rPr>
            <w:t>Streiner</w:t>
          </w:r>
          <w:proofErr w:type="spellEnd"/>
          <w:r w:rsidR="0047170A" w:rsidRPr="0047170A">
            <w:rPr>
              <w:color w:val="000000"/>
            </w:rPr>
            <w:t xml:space="preserve"> et al., 2015)</w:t>
          </w:r>
        </w:sdtContent>
      </w:sdt>
      <w:r w:rsidRPr="00BD5E45">
        <w:t>.</w:t>
      </w:r>
      <w:r w:rsidRPr="00BD5E45">
        <w:rPr>
          <w:rFonts w:ascii="Helvetica Neue" w:hAnsi="Helvetica Neue"/>
          <w:color w:val="333333"/>
          <w:shd w:val="clear" w:color="auto" w:fill="FFFFFF"/>
        </w:rPr>
        <w:t> </w:t>
      </w:r>
    </w:p>
    <w:p w14:paraId="78F57981" w14:textId="77777777" w:rsidR="0014037C" w:rsidRPr="008C4786" w:rsidRDefault="0014037C" w:rsidP="00DF606F">
      <w:pPr>
        <w:rPr>
          <w:u w:val="single"/>
        </w:rPr>
      </w:pPr>
      <w:r w:rsidRPr="008C4786">
        <w:rPr>
          <w:u w:val="single"/>
        </w:rPr>
        <w:t xml:space="preserve">Targeting, </w:t>
      </w:r>
      <w:r>
        <w:rPr>
          <w:u w:val="single"/>
        </w:rPr>
        <w:t>F</w:t>
      </w:r>
      <w:r w:rsidRPr="008C4786">
        <w:rPr>
          <w:u w:val="single"/>
        </w:rPr>
        <w:t xml:space="preserve">loor, and </w:t>
      </w:r>
      <w:r>
        <w:rPr>
          <w:u w:val="single"/>
        </w:rPr>
        <w:t>C</w:t>
      </w:r>
      <w:r w:rsidRPr="008C4786">
        <w:rPr>
          <w:u w:val="single"/>
        </w:rPr>
        <w:t xml:space="preserve">eiling </w:t>
      </w:r>
      <w:r>
        <w:rPr>
          <w:u w:val="single"/>
        </w:rPr>
        <w:t>E</w:t>
      </w:r>
      <w:r w:rsidRPr="008C4786">
        <w:rPr>
          <w:u w:val="single"/>
        </w:rPr>
        <w:t>ffects</w:t>
      </w:r>
    </w:p>
    <w:p w14:paraId="7C43469E" w14:textId="7AB9AAF8" w:rsidR="0014037C" w:rsidRPr="00BD5E45" w:rsidRDefault="0014037C" w:rsidP="00DF606F">
      <w:pPr>
        <w:rPr>
          <w:rFonts w:ascii="Georgia" w:hAnsi="Georgia"/>
          <w:color w:val="2E2E2E"/>
        </w:rPr>
      </w:pPr>
      <w:r w:rsidRPr="00BD5E45">
        <w:t xml:space="preserve">Targeting examines the correspondence between the average item and average person measures in a dataset; a difference of fewer than 1.00 logits indicates successful targeting </w:t>
      </w:r>
      <w:sdt>
        <w:sdtPr>
          <w:rPr>
            <w:color w:val="000000"/>
          </w:rPr>
          <w:tag w:val="MENDELEY_CITATION_v3_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"/>
          <w:id w:val="-1090302874"/>
          <w:placeholder>
            <w:docPart w:val="6CAF6727D216124B999E426FFEFDB49E"/>
          </w:placeholder>
        </w:sdtPr>
        <w:sdtContent>
          <w:r w:rsidR="0047170A" w:rsidRPr="0047170A">
            <w:rPr>
              <w:color w:val="000000"/>
            </w:rPr>
            <w:t>(Finger et al., 2012)</w:t>
          </w:r>
        </w:sdtContent>
      </w:sdt>
      <w:r w:rsidRPr="00BD5E45">
        <w:t>.</w:t>
      </w:r>
      <w:r>
        <w:t xml:space="preserve"> </w:t>
      </w:r>
      <w:r w:rsidRPr="00BD5E45">
        <w:t>Internal/content validity was assessed by examining floor and ceiling effects.</w:t>
      </w:r>
      <w:r>
        <w:t xml:space="preserve"> </w:t>
      </w:r>
      <w:r w:rsidRPr="00BD5E45">
        <w:t xml:space="preserve">Five per cent was accepted as the maximum value for the floor and ceiling effect as a scale is considered </w:t>
      </w:r>
      <w:r>
        <w:t>'</w:t>
      </w:r>
      <w:r w:rsidRPr="00BD5E45">
        <w:t>poor</w:t>
      </w:r>
      <w:r>
        <w:t>'</w:t>
      </w:r>
      <w:r w:rsidRPr="00BD5E45">
        <w:t xml:space="preserve"> when floor and ceiling effects are greater than 5% and </w:t>
      </w:r>
      <w:r>
        <w:t>'</w:t>
      </w:r>
      <w:r w:rsidRPr="00BD5E45">
        <w:t>excellent</w:t>
      </w:r>
      <w:r>
        <w:t>'</w:t>
      </w:r>
      <w:r w:rsidRPr="00BD5E45">
        <w:t xml:space="preserve"> when the effects are less than 0.5% </w:t>
      </w:r>
      <w:sdt>
        <w:sdtPr>
          <w:rPr>
            <w:color w:val="000000"/>
          </w:rPr>
          <w:tag w:val="MENDELEY_CITATION_v3_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"/>
          <w:id w:val="433791655"/>
          <w:placeholder>
            <w:docPart w:val="6CAF6727D216124B999E426FFEFDB49E"/>
          </w:placeholder>
        </w:sdtPr>
        <w:sdtContent>
          <w:r w:rsidR="0047170A" w:rsidRPr="0047170A">
            <w:rPr>
              <w:color w:val="000000"/>
            </w:rPr>
            <w:t>(Fisher, 2007).</w:t>
          </w:r>
        </w:sdtContent>
      </w:sdt>
    </w:p>
    <w:p w14:paraId="3BF905DF" w14:textId="77777777" w:rsidR="0014037C" w:rsidRPr="008C4786" w:rsidRDefault="0014037C" w:rsidP="00DF606F">
      <w:pPr>
        <w:rPr>
          <w:u w:val="single"/>
        </w:rPr>
      </w:pPr>
      <w:r w:rsidRPr="008C4786">
        <w:rPr>
          <w:u w:val="single"/>
        </w:rPr>
        <w:t xml:space="preserve">Construct Validity/Scale </w:t>
      </w:r>
      <w:r>
        <w:rPr>
          <w:u w:val="single"/>
        </w:rPr>
        <w:t>F</w:t>
      </w:r>
      <w:r w:rsidRPr="008C4786">
        <w:rPr>
          <w:u w:val="single"/>
        </w:rPr>
        <w:t>unctioning</w:t>
      </w:r>
    </w:p>
    <w:p w14:paraId="5B631A32" w14:textId="17EFA616" w:rsidR="0014037C" w:rsidRPr="00DC120E" w:rsidRDefault="0014037C" w:rsidP="00DF606F">
      <w:r w:rsidRPr="00BD5E45">
        <w:t xml:space="preserve">Well-targeted scales have items evenly spaced across a continuum and correspond to the </w:t>
      </w:r>
      <w:r>
        <w:t>sample's</w:t>
      </w:r>
      <w:r w:rsidRPr="00BD5E45">
        <w:t xml:space="preserve"> experience of the construct </w:t>
      </w:r>
      <w:sdt>
        <w:sdtPr>
          <w:rPr>
            <w:color w:val="000000"/>
          </w:rPr>
          <w:tag w:val="MENDELEY_CITATION_v3_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"/>
          <w:id w:val="-1932189618"/>
          <w:placeholder>
            <w:docPart w:val="6CAF6727D216124B999E426FFEFDB49E"/>
          </w:placeholder>
        </w:sdtPr>
        <w:sdtContent>
          <w:r w:rsidR="0047170A" w:rsidRPr="0047170A">
            <w:rPr>
              <w:color w:val="000000"/>
            </w:rPr>
            <w:t>(T. G. Bond et al., 2020)</w:t>
          </w:r>
        </w:sdtContent>
      </w:sdt>
      <w:r w:rsidRPr="00BD5E45">
        <w:t>.</w:t>
      </w:r>
      <w:r>
        <w:t xml:space="preserve"> </w:t>
      </w:r>
      <w:r w:rsidRPr="00BD5E45">
        <w:t>This was measured by scrutinising the item ordering and spacing on the scale Wright map.</w:t>
      </w:r>
      <w:r>
        <w:t xml:space="preserve"> </w:t>
      </w:r>
      <w:r w:rsidRPr="00BD5E45">
        <w:t>A match</w:t>
      </w:r>
      <w:r>
        <w:t xml:space="preserve"> between item ordering/spacing and predictions from theory</w:t>
      </w:r>
      <w:r w:rsidRPr="00AB1F76">
        <w:t xml:space="preserve"> provides evidence of instrument construct validity</w:t>
      </w:r>
      <w:sdt>
        <w:sdtPr>
          <w:rPr>
            <w:color w:val="000000"/>
          </w:rPr>
          <w:tag w:val="MENDELEY_CITATION_v3_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"/>
          <w:id w:val="-1973583858"/>
          <w:placeholder>
            <w:docPart w:val="6CAF6727D216124B999E426FFEFDB49E"/>
          </w:placeholder>
        </w:sdtPr>
        <w:sdtContent>
          <w:r w:rsidR="0047170A" w:rsidRPr="0047170A">
            <w:rPr>
              <w:color w:val="000000"/>
            </w:rPr>
            <w:t>(Boone et al., 2014)</w:t>
          </w:r>
        </w:sdtContent>
      </w:sdt>
      <w:r>
        <w:t xml:space="preserve">. </w:t>
      </w:r>
      <w:r w:rsidRPr="00AB1F76">
        <w:t>T</w:t>
      </w:r>
      <w:r w:rsidRPr="007A69C8">
        <w:t xml:space="preserve">he mean person-item </w:t>
      </w:r>
      <w:r>
        <w:t>e</w:t>
      </w:r>
      <w:r w:rsidRPr="007A69C8">
        <w:t>ndorsement/difficulty is</w:t>
      </w:r>
      <w:r>
        <w:t xml:space="preserve"> presented as </w:t>
      </w:r>
      <w:r w:rsidRPr="007A69C8">
        <w:t>logit</w:t>
      </w:r>
      <w:r>
        <w:t xml:space="preserve"> units on a Wright map</w:t>
      </w:r>
      <w:r w:rsidRPr="007A69C8">
        <w:t>.</w:t>
      </w:r>
      <w:r>
        <w:t xml:space="preserve"> </w:t>
      </w:r>
      <w:r w:rsidRPr="007A69C8">
        <w:t>Items below zero are the easiest</w:t>
      </w:r>
      <w:r>
        <w:t xml:space="preserve"> to agree with or endorse, and persons </w:t>
      </w:r>
      <w:r w:rsidRPr="007A69C8">
        <w:t>closest to these items are those with less ability.</w:t>
      </w:r>
      <w:r>
        <w:t xml:space="preserve"> While</w:t>
      </w:r>
      <w:r w:rsidRPr="007A69C8">
        <w:t xml:space="preserve"> items above zero</w:t>
      </w:r>
      <w:r>
        <w:t xml:space="preserve"> </w:t>
      </w:r>
      <w:r w:rsidRPr="007A69C8">
        <w:t xml:space="preserve">are the most difficult </w:t>
      </w:r>
      <w:r>
        <w:t>to agree with or endorse, the</w:t>
      </w:r>
      <w:r w:rsidRPr="007A69C8">
        <w:t xml:space="preserve"> people closest to these items are those with greater ability</w:t>
      </w:r>
      <w:r>
        <w:t>. T</w:t>
      </w:r>
      <w:r w:rsidRPr="00DC120E">
        <w:t xml:space="preserve">he order of questions, </w:t>
      </w:r>
      <w:r w:rsidRPr="00DC120E">
        <w:lastRenderedPageBreak/>
        <w:t>item distributions</w:t>
      </w:r>
      <w:r>
        <w:t>, e.g., overlapping items or large spaces,</w:t>
      </w:r>
      <w:r w:rsidRPr="00DC120E">
        <w:t xml:space="preserve"> </w:t>
      </w:r>
      <w:r>
        <w:t xml:space="preserve">and </w:t>
      </w:r>
      <w:r w:rsidRPr="00DC120E">
        <w:t xml:space="preserve">patient </w:t>
      </w:r>
      <w:r>
        <w:t>and item positions on the logit scale</w:t>
      </w:r>
      <w:r w:rsidRPr="00DC120E">
        <w:t xml:space="preserve"> were </w:t>
      </w:r>
      <w:r>
        <w:t>examined.</w:t>
      </w:r>
    </w:p>
    <w:p w14:paraId="03F0D65F" w14:textId="77777777" w:rsidR="0014037C" w:rsidRPr="008C4786" w:rsidRDefault="0014037C" w:rsidP="00DF606F">
      <w:pPr>
        <w:rPr>
          <w:u w:val="single"/>
          <w:bdr w:val="none" w:sz="0" w:space="0" w:color="auto" w:frame="1"/>
          <w:shd w:val="clear" w:color="auto" w:fill="FFFFFF"/>
        </w:rPr>
      </w:pPr>
      <w:r w:rsidRPr="008C4786">
        <w:rPr>
          <w:u w:val="single"/>
          <w:bdr w:val="none" w:sz="0" w:space="0" w:color="auto" w:frame="1"/>
          <w:shd w:val="clear" w:color="auto" w:fill="FFFFFF"/>
        </w:rPr>
        <w:t>Differential Item Functioning</w:t>
      </w:r>
    </w:p>
    <w:p w14:paraId="495CA4B2" w14:textId="1B97BA7D" w:rsidR="0014037C" w:rsidRDefault="0014037C" w:rsidP="00DF606F">
      <w:r w:rsidRPr="001C5DE5">
        <w:t xml:space="preserve">Differential Item Functioning measures if there are item difficulty biases </w:t>
      </w:r>
      <w:r>
        <w:t>between</w:t>
      </w:r>
      <w:r w:rsidRPr="001C5DE5">
        <w:t xml:space="preserve"> demographic and/or clinical variables.</w:t>
      </w:r>
      <w:r>
        <w:t xml:space="preserve"> </w:t>
      </w:r>
      <w:r w:rsidRPr="001C5DE5">
        <w:t>DIF was assessed for gender.</w:t>
      </w:r>
      <w:r>
        <w:t xml:space="preserve"> </w:t>
      </w:r>
      <w:r w:rsidRPr="001C5DE5">
        <w:t>The Mantel-Haenszel approach was used</w:t>
      </w:r>
      <w:r>
        <w:t>,</w:t>
      </w:r>
      <w:r w:rsidRPr="001C5DE5">
        <w:t xml:space="preserve"> and a contrast DIF of &gt;0.64 logits with a p-value of (two-tailed) &lt;.05 is considered statistically significant </w:t>
      </w:r>
      <w:sdt>
        <w:sdtPr>
          <w:rPr>
            <w:color w:val="000000"/>
          </w:rPr>
          <w:tag w:val="MENDELEY_CITATION_v3_eyJjaXRhdGlvbklEIjoiTUVOREVMRVlfQ0lUQVRJT05fNjQ3Y2NiMWYtYmVmNy00OWM0LWIyOGYtYjUzNmI1MzdjMzZiIiwicHJvcGVydGllcyI6eyJub3RlSW5kZXgiOjB9LCJpc0VkaXRlZCI6ZmFsc2UsIm1hbnVhbE92ZXJyaWRlIjp7ImlzTWFudWFsbHlPdmVycmlkZGVuIjpmYWxzZSwiY2l0ZXByb2NUZXh0IjoiKFQuIEJvbmQgJiMzODsgRm94LCAyMDE1KSIsIm1hbnVhbE92ZXJyaWRlVGV4dCI6IiJ9LCJjaXRhdGlvbkl0ZW1zIjpb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V19"/>
          <w:id w:val="-1610819115"/>
          <w:placeholder>
            <w:docPart w:val="6CAF6727D216124B999E426FFEFDB49E"/>
          </w:placeholder>
        </w:sdtPr>
        <w:sdtContent>
          <w:r w:rsidR="0047170A">
            <w:rPr>
              <w:rFonts w:eastAsia="Times New Roman"/>
            </w:rPr>
            <w:t>(T. Bond &amp; Fox, 2015)</w:t>
          </w:r>
        </w:sdtContent>
      </w:sdt>
      <w:r w:rsidRPr="001C5DE5">
        <w:t>.</w:t>
      </w:r>
    </w:p>
    <w:p w14:paraId="0227249F" w14:textId="77777777" w:rsidR="0014037C" w:rsidRPr="001C5DE5" w:rsidRDefault="0014037C" w:rsidP="00DF606F"/>
    <w:p w14:paraId="32B4A714" w14:textId="77777777" w:rsidR="0014037C" w:rsidRDefault="0014037C">
      <w:pPr>
        <w:spacing w:line="240" w:lineRule="auto"/>
        <w:jc w:val="left"/>
        <w:rPr>
          <w:bdr w:val="none" w:sz="0" w:space="0" w:color="auto" w:frame="1"/>
          <w:shd w:val="clear" w:color="auto" w:fill="FFFFFF"/>
        </w:rPr>
      </w:pPr>
      <w:r>
        <w:rPr>
          <w:bdr w:val="none" w:sz="0" w:space="0" w:color="auto" w:frame="1"/>
          <w:shd w:val="clear" w:color="auto" w:fill="FFFFFF"/>
        </w:rPr>
        <w:br w:type="page"/>
      </w:r>
    </w:p>
    <w:p w14:paraId="577A7066" w14:textId="77777777" w:rsidR="0014037C" w:rsidRDefault="0014037C" w:rsidP="00DF606F">
      <w:pPr>
        <w:rPr>
          <w:bdr w:val="none" w:sz="0" w:space="0" w:color="auto" w:frame="1"/>
          <w:shd w:val="clear" w:color="auto" w:fill="FFFFFF"/>
        </w:rPr>
      </w:pPr>
      <w:r>
        <w:rPr>
          <w:bdr w:val="none" w:sz="0" w:space="0" w:color="auto" w:frame="1"/>
          <w:shd w:val="clear" w:color="auto" w:fill="FFFFFF"/>
        </w:rPr>
        <w:lastRenderedPageBreak/>
        <w:t>Table 2. Overview of the analytic process using a Rasch model approach, with measurement properties and assessment criteria.</w:t>
      </w:r>
    </w:p>
    <w:tbl>
      <w:tblPr>
        <w:tblStyle w:val="TableGrid"/>
        <w:tblW w:w="0" w:type="auto"/>
        <w:tblLook w:val="04A0" w:firstRow="1" w:lastRow="0" w:firstColumn="1" w:lastColumn="0" w:noHBand="0" w:noVBand="1"/>
      </w:tblPr>
      <w:tblGrid>
        <w:gridCol w:w="729"/>
        <w:gridCol w:w="2783"/>
        <w:gridCol w:w="2507"/>
        <w:gridCol w:w="2991"/>
      </w:tblGrid>
      <w:tr w:rsidR="0014037C" w:rsidRPr="00194A99" w14:paraId="09F99FE4" w14:textId="77777777" w:rsidTr="003A2A27">
        <w:trPr>
          <w:trHeight w:val="546"/>
        </w:trPr>
        <w:tc>
          <w:tcPr>
            <w:tcW w:w="729" w:type="dxa"/>
            <w:vAlign w:val="center"/>
          </w:tcPr>
          <w:p w14:paraId="0F36EA80"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Steps</w:t>
            </w:r>
          </w:p>
        </w:tc>
        <w:tc>
          <w:tcPr>
            <w:tcW w:w="2783" w:type="dxa"/>
            <w:vAlign w:val="center"/>
          </w:tcPr>
          <w:p w14:paraId="48CEE420"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Psychometric property</w:t>
            </w:r>
          </w:p>
        </w:tc>
        <w:tc>
          <w:tcPr>
            <w:tcW w:w="2507" w:type="dxa"/>
            <w:vAlign w:val="center"/>
          </w:tcPr>
          <w:p w14:paraId="44127F3C"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Definition</w:t>
            </w:r>
          </w:p>
        </w:tc>
        <w:tc>
          <w:tcPr>
            <w:tcW w:w="2991" w:type="dxa"/>
            <w:vAlign w:val="center"/>
          </w:tcPr>
          <w:p w14:paraId="14A7F1F2"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 xml:space="preserve">Statistical Test in </w:t>
            </w:r>
            <w:proofErr w:type="spellStart"/>
            <w:r w:rsidRPr="00194A99">
              <w:rPr>
                <w:sz w:val="16"/>
                <w:szCs w:val="18"/>
                <w:bdr w:val="none" w:sz="0" w:space="0" w:color="auto" w:frame="1"/>
                <w:shd w:val="clear" w:color="auto" w:fill="FFFFFF"/>
              </w:rPr>
              <w:t>Winsteps</w:t>
            </w:r>
            <w:proofErr w:type="spellEnd"/>
            <w:r w:rsidRPr="00194A99">
              <w:rPr>
                <w:sz w:val="16"/>
                <w:szCs w:val="18"/>
                <w:bdr w:val="none" w:sz="0" w:space="0" w:color="auto" w:frame="1"/>
                <w:shd w:val="clear" w:color="auto" w:fill="FFFFFF"/>
              </w:rPr>
              <w:t xml:space="preserve"> and acceptable values</w:t>
            </w:r>
          </w:p>
        </w:tc>
      </w:tr>
      <w:tr w:rsidR="0014037C" w:rsidRPr="00194A99" w14:paraId="0126E041" w14:textId="77777777" w:rsidTr="003A2A27">
        <w:tc>
          <w:tcPr>
            <w:tcW w:w="729" w:type="dxa"/>
            <w:vAlign w:val="center"/>
          </w:tcPr>
          <w:p w14:paraId="4877B28A"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1</w:t>
            </w:r>
          </w:p>
        </w:tc>
        <w:tc>
          <w:tcPr>
            <w:tcW w:w="2783" w:type="dxa"/>
            <w:vAlign w:val="center"/>
          </w:tcPr>
          <w:p w14:paraId="33092144"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Category functioning</w:t>
            </w:r>
          </w:p>
        </w:tc>
        <w:tc>
          <w:tcPr>
            <w:tcW w:w="2507" w:type="dxa"/>
            <w:vAlign w:val="center"/>
          </w:tcPr>
          <w:p w14:paraId="004DEBF9"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Evaluate whether the threshold values (i.e., the spaces between each EASE construct category or choice) were ordered or disordered. This supports the reliability of the EASE subscales.</w:t>
            </w:r>
          </w:p>
        </w:tc>
        <w:tc>
          <w:tcPr>
            <w:tcW w:w="2991" w:type="dxa"/>
            <w:vAlign w:val="center"/>
          </w:tcPr>
          <w:p w14:paraId="486260C2"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 xml:space="preserve">The Rasch-Andrich thresholds for rating scales were used based on the following criteria: (1) a minimum of 10 responses for each category (n&lt;10 indicating underuse); (2) a monotonic increase in average category measures with increasing categories; (3) mean square (MNSQ) 0.6-1.4; (4) category thresholds are at least 1.4 to 5 logits apart; and (6) there are distinct peaks for every category probability curve </w:t>
            </w:r>
          </w:p>
        </w:tc>
      </w:tr>
      <w:tr w:rsidR="0014037C" w:rsidRPr="00194A99" w14:paraId="775BCD18" w14:textId="77777777" w:rsidTr="003A2A27">
        <w:tc>
          <w:tcPr>
            <w:tcW w:w="729" w:type="dxa"/>
            <w:vAlign w:val="center"/>
          </w:tcPr>
          <w:p w14:paraId="4B75BD15"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2</w:t>
            </w:r>
          </w:p>
        </w:tc>
        <w:tc>
          <w:tcPr>
            <w:tcW w:w="2783" w:type="dxa"/>
            <w:vAlign w:val="center"/>
          </w:tcPr>
          <w:p w14:paraId="7EE3B38E"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Fit statistics</w:t>
            </w:r>
          </w:p>
        </w:tc>
        <w:tc>
          <w:tcPr>
            <w:tcW w:w="2507" w:type="dxa"/>
            <w:vAlign w:val="center"/>
          </w:tcPr>
          <w:p w14:paraId="006C4D98"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A test to determine how well the data fit the Rasch model for items, persons, and overall summary fit.</w:t>
            </w:r>
          </w:p>
        </w:tc>
        <w:tc>
          <w:tcPr>
            <w:tcW w:w="2991" w:type="dxa"/>
            <w:vAlign w:val="center"/>
          </w:tcPr>
          <w:p w14:paraId="55E96F33"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The item and person fit statistics are based on MNSQ and z-standardised scores. Infit and outfit MNSQ between 0.6 and 1.4 are acceptable for rating scales (surveys).</w:t>
            </w:r>
          </w:p>
        </w:tc>
      </w:tr>
      <w:tr w:rsidR="0014037C" w:rsidRPr="00194A99" w14:paraId="54F64339" w14:textId="77777777" w:rsidTr="003A2A27">
        <w:trPr>
          <w:trHeight w:val="1115"/>
        </w:trPr>
        <w:tc>
          <w:tcPr>
            <w:tcW w:w="729" w:type="dxa"/>
            <w:vAlign w:val="center"/>
          </w:tcPr>
          <w:p w14:paraId="17D807A9"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3</w:t>
            </w:r>
          </w:p>
        </w:tc>
        <w:tc>
          <w:tcPr>
            <w:tcW w:w="2783" w:type="dxa"/>
            <w:vAlign w:val="center"/>
          </w:tcPr>
          <w:p w14:paraId="55AA8E46"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 xml:space="preserve">Uni-dimensionality  </w:t>
            </w:r>
          </w:p>
        </w:tc>
        <w:tc>
          <w:tcPr>
            <w:tcW w:w="2507" w:type="dxa"/>
            <w:vAlign w:val="center"/>
          </w:tcPr>
          <w:p w14:paraId="0B20EFE5"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The ability of each of the EASE sub-scales to measure a separate single construct.</w:t>
            </w:r>
          </w:p>
        </w:tc>
        <w:tc>
          <w:tcPr>
            <w:tcW w:w="2991" w:type="dxa"/>
            <w:vAlign w:val="center"/>
          </w:tcPr>
          <w:p w14:paraId="099FDD37"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Principal component analysis of the residuals with Rasch explained dimension &gt;40% and the highest eigenvalue of first residual contrast &lt;2.0 supports one-dimensionality.</w:t>
            </w:r>
          </w:p>
        </w:tc>
      </w:tr>
      <w:tr w:rsidR="0014037C" w:rsidRPr="00194A99" w14:paraId="5F80935F" w14:textId="77777777" w:rsidTr="003A2A27">
        <w:tc>
          <w:tcPr>
            <w:tcW w:w="729" w:type="dxa"/>
            <w:vAlign w:val="center"/>
          </w:tcPr>
          <w:p w14:paraId="067DBD0C"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4</w:t>
            </w:r>
          </w:p>
        </w:tc>
        <w:tc>
          <w:tcPr>
            <w:tcW w:w="2783" w:type="dxa"/>
            <w:vAlign w:val="center"/>
          </w:tcPr>
          <w:p w14:paraId="20CA38F2"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Local Independence</w:t>
            </w:r>
          </w:p>
        </w:tc>
        <w:tc>
          <w:tcPr>
            <w:tcW w:w="2507" w:type="dxa"/>
            <w:vAlign w:val="center"/>
          </w:tcPr>
          <w:p w14:paraId="08F76F9D"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Evaluates whether items are related to/dependent on each other. That is, whether there is any correlation between two items after the effect of the underlying trait is removed.</w:t>
            </w:r>
          </w:p>
        </w:tc>
        <w:tc>
          <w:tcPr>
            <w:tcW w:w="2991" w:type="dxa"/>
            <w:vAlign w:val="center"/>
          </w:tcPr>
          <w:p w14:paraId="17818965"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Correlated item residuals indicate items are locally dependent or there is a subsidiary dimension in the measurement which is not accounted for by the main Rasch dimension.</w:t>
            </w:r>
          </w:p>
        </w:tc>
      </w:tr>
      <w:tr w:rsidR="0014037C" w:rsidRPr="00194A99" w14:paraId="320E018B" w14:textId="77777777" w:rsidTr="003A2A27">
        <w:tc>
          <w:tcPr>
            <w:tcW w:w="729" w:type="dxa"/>
            <w:vAlign w:val="center"/>
          </w:tcPr>
          <w:p w14:paraId="62A29FBE"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5</w:t>
            </w:r>
          </w:p>
        </w:tc>
        <w:tc>
          <w:tcPr>
            <w:tcW w:w="2783" w:type="dxa"/>
            <w:vAlign w:val="center"/>
          </w:tcPr>
          <w:p w14:paraId="13D71C02"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Internal consistency and reliability</w:t>
            </w:r>
          </w:p>
        </w:tc>
        <w:tc>
          <w:tcPr>
            <w:tcW w:w="2507" w:type="dxa"/>
            <w:vAlign w:val="center"/>
          </w:tcPr>
          <w:p w14:paraId="3E5A465A"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The extent to which the items in each EASE sub-scale measure the same concept.</w:t>
            </w:r>
          </w:p>
        </w:tc>
        <w:tc>
          <w:tcPr>
            <w:tcW w:w="2991" w:type="dxa"/>
            <w:vAlign w:val="center"/>
          </w:tcPr>
          <w:p w14:paraId="2849CB6E"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A person or item reliability of &gt;0.7 and a person or item separation index of &gt;1.5 supports good internal consistency and reliability. A Cronbach alpha test reliability &gt;0.7 supports good internal consistency and reliability.</w:t>
            </w:r>
          </w:p>
        </w:tc>
      </w:tr>
      <w:tr w:rsidR="0014037C" w:rsidRPr="00194A99" w14:paraId="0D5897D7" w14:textId="77777777" w:rsidTr="003A2A27">
        <w:tc>
          <w:tcPr>
            <w:tcW w:w="729" w:type="dxa"/>
            <w:vAlign w:val="center"/>
          </w:tcPr>
          <w:p w14:paraId="5E5E0F61"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6</w:t>
            </w:r>
          </w:p>
        </w:tc>
        <w:tc>
          <w:tcPr>
            <w:tcW w:w="2783" w:type="dxa"/>
            <w:vAlign w:val="center"/>
          </w:tcPr>
          <w:p w14:paraId="5980ECEE"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Construct Validity/Targeting</w:t>
            </w:r>
          </w:p>
        </w:tc>
        <w:tc>
          <w:tcPr>
            <w:tcW w:w="2507" w:type="dxa"/>
            <w:vAlign w:val="center"/>
          </w:tcPr>
          <w:p w14:paraId="420E477E"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 xml:space="preserve">A measure of the endorsement ability of the cohort to agree with each of the EASE subscale items correctly against the difficulty level of each of the EASE subscale items arrayed along the same continuum. </w:t>
            </w:r>
          </w:p>
        </w:tc>
        <w:tc>
          <w:tcPr>
            <w:tcW w:w="2991" w:type="dxa"/>
            <w:vAlign w:val="center"/>
          </w:tcPr>
          <w:p w14:paraId="38D98F3B"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 xml:space="preserve">Assessed with Wright mapping. A well-targeted scale should have participants and items spread across the map. Items located below zero are the easiest, and those closest to these items are those with less ability. The items above zero are the most difficult, and the people closest to these items are those with greater ability. </w:t>
            </w:r>
          </w:p>
        </w:tc>
      </w:tr>
      <w:tr w:rsidR="0014037C" w:rsidRPr="00194A99" w14:paraId="4C540F57" w14:textId="77777777" w:rsidTr="003A2A27">
        <w:trPr>
          <w:trHeight w:val="274"/>
        </w:trPr>
        <w:tc>
          <w:tcPr>
            <w:tcW w:w="729" w:type="dxa"/>
            <w:vAlign w:val="center"/>
          </w:tcPr>
          <w:p w14:paraId="1AC5B892"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7</w:t>
            </w:r>
          </w:p>
        </w:tc>
        <w:tc>
          <w:tcPr>
            <w:tcW w:w="2783" w:type="dxa"/>
            <w:vAlign w:val="center"/>
          </w:tcPr>
          <w:p w14:paraId="2E468BFC"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Differential Item Functioning (DIF)</w:t>
            </w:r>
          </w:p>
        </w:tc>
        <w:tc>
          <w:tcPr>
            <w:tcW w:w="2507" w:type="dxa"/>
            <w:vAlign w:val="center"/>
          </w:tcPr>
          <w:p w14:paraId="63751F4E"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DIF measures if items function similarly across demographic and/or clinical variables.</w:t>
            </w:r>
          </w:p>
        </w:tc>
        <w:tc>
          <w:tcPr>
            <w:tcW w:w="2991" w:type="dxa"/>
            <w:vAlign w:val="center"/>
          </w:tcPr>
          <w:p w14:paraId="1F3EEE98" w14:textId="77777777" w:rsidR="0014037C" w:rsidRPr="00194A99" w:rsidRDefault="0014037C" w:rsidP="003A2A27">
            <w:pPr>
              <w:spacing w:line="276" w:lineRule="auto"/>
              <w:jc w:val="left"/>
              <w:rPr>
                <w:sz w:val="16"/>
                <w:szCs w:val="18"/>
                <w:bdr w:val="none" w:sz="0" w:space="0" w:color="auto" w:frame="1"/>
                <w:shd w:val="clear" w:color="auto" w:fill="FFFFFF"/>
              </w:rPr>
            </w:pPr>
            <w:r w:rsidRPr="00194A99">
              <w:rPr>
                <w:sz w:val="16"/>
                <w:szCs w:val="18"/>
                <w:bdr w:val="none" w:sz="0" w:space="0" w:color="auto" w:frame="1"/>
                <w:shd w:val="clear" w:color="auto" w:fill="FFFFFF"/>
              </w:rPr>
              <w:t>DIF was assessed for gender, and a contrast DIF of &gt;0.64 logits with a p-value of (two-tailed) &lt;.05 is considered statistically significant.</w:t>
            </w:r>
          </w:p>
        </w:tc>
      </w:tr>
    </w:tbl>
    <w:p w14:paraId="4FDD5971" w14:textId="77777777" w:rsidR="0014037C" w:rsidRDefault="0014037C" w:rsidP="00DF606F"/>
    <w:p w14:paraId="79BD1FE9" w14:textId="6FCA7404" w:rsidR="0014037C" w:rsidRPr="00DA6F32" w:rsidRDefault="0014037C" w:rsidP="00DF606F">
      <w:pPr>
        <w:pStyle w:val="Heading3"/>
      </w:pPr>
      <w:bookmarkStart w:id="86" w:name="_Toc137504709"/>
      <w:r>
        <w:t>3.</w:t>
      </w:r>
      <w:r w:rsidRPr="00DA6F32">
        <w:t xml:space="preserve">2.8 </w:t>
      </w:r>
      <w:r>
        <w:t>Convergent</w:t>
      </w:r>
      <w:r w:rsidRPr="00DA6F32">
        <w:t xml:space="preserve"> validity</w:t>
      </w:r>
      <w:bookmarkEnd w:id="86"/>
    </w:p>
    <w:p w14:paraId="677E2202" w14:textId="7DC42D6F" w:rsidR="0014037C" w:rsidRPr="00B8355F" w:rsidRDefault="0014037C" w:rsidP="00DF606F">
      <w:pPr>
        <w:rPr>
          <w:bdr w:val="none" w:sz="0" w:space="0" w:color="auto" w:frame="1"/>
          <w:shd w:val="clear" w:color="auto" w:fill="FFFFFF"/>
        </w:rPr>
      </w:pPr>
      <w:r w:rsidRPr="00B8355F">
        <w:rPr>
          <w:bdr w:val="none" w:sz="0" w:space="0" w:color="auto" w:frame="1"/>
          <w:shd w:val="clear" w:color="auto" w:fill="FFFFFF"/>
        </w:rPr>
        <w:t>Previously validated measures wer</w:t>
      </w:r>
      <w:r>
        <w:rPr>
          <w:bdr w:val="none" w:sz="0" w:space="0" w:color="auto" w:frame="1"/>
          <w:shd w:val="clear" w:color="auto" w:fill="FFFFFF"/>
        </w:rPr>
        <w:t>e used</w:t>
      </w:r>
      <w:r w:rsidRPr="00B8355F">
        <w:rPr>
          <w:bdr w:val="none" w:sz="0" w:space="0" w:color="auto" w:frame="1"/>
          <w:shd w:val="clear" w:color="auto" w:fill="FFFFFF"/>
        </w:rPr>
        <w:t xml:space="preserve"> to assess </w:t>
      </w:r>
      <w:r>
        <w:rPr>
          <w:bdr w:val="none" w:sz="0" w:space="0" w:color="auto" w:frame="1"/>
          <w:shd w:val="clear" w:color="auto" w:fill="FFFFFF"/>
        </w:rPr>
        <w:t>the convergent validity of the finalised model of the EASE-F subscales</w:t>
      </w:r>
      <w:r w:rsidRPr="00B8355F">
        <w:rPr>
          <w:bdr w:val="none" w:sz="0" w:space="0" w:color="auto" w:frame="1"/>
          <w:shd w:val="clear" w:color="auto" w:fill="FFFFFF"/>
        </w:rPr>
        <w:t xml:space="preserve"> </w:t>
      </w:r>
      <w:r>
        <w:rPr>
          <w:bdr w:val="none" w:sz="0" w:space="0" w:color="auto" w:frame="1"/>
          <w:shd w:val="clear" w:color="auto" w:fill="FFFFFF"/>
        </w:rPr>
        <w:t xml:space="preserve">convergent validity </w:t>
      </w:r>
      <w:sdt>
        <w:sdtPr>
          <w:rPr>
            <w:color w:val="000000"/>
            <w:bdr w:val="none" w:sz="0" w:space="0" w:color="auto" w:frame="1"/>
            <w:shd w:val="clear" w:color="auto" w:fill="FFFFFF"/>
          </w:rPr>
          <w:tag w:val="MENDELEY_CITATION_v3_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"/>
          <w:id w:val="-849174488"/>
          <w:placeholder>
            <w:docPart w:val="DF5F66025754D640BDFD44987CE0473D"/>
          </w:placeholder>
        </w:sdtPr>
        <w:sdtContent>
          <w:r w:rsidR="0047170A" w:rsidRPr="0047170A">
            <w:rPr>
              <w:color w:val="000000"/>
              <w:bdr w:val="none" w:sz="0" w:space="0" w:color="auto" w:frame="1"/>
              <w:shd w:val="clear" w:color="auto" w:fill="FFFFFF"/>
            </w:rPr>
            <w:t>(</w:t>
          </w:r>
          <w:proofErr w:type="spellStart"/>
          <w:r w:rsidR="0047170A" w:rsidRPr="0047170A">
            <w:rPr>
              <w:color w:val="000000"/>
              <w:bdr w:val="none" w:sz="0" w:space="0" w:color="auto" w:frame="1"/>
              <w:shd w:val="clear" w:color="auto" w:fill="FFFFFF"/>
            </w:rPr>
            <w:t>Abma</w:t>
          </w:r>
          <w:proofErr w:type="spellEnd"/>
          <w:r w:rsidR="0047170A" w:rsidRPr="0047170A">
            <w:rPr>
              <w:color w:val="000000"/>
              <w:bdr w:val="none" w:sz="0" w:space="0" w:color="auto" w:frame="1"/>
              <w:shd w:val="clear" w:color="auto" w:fill="FFFFFF"/>
            </w:rPr>
            <w:t xml:space="preserve"> et al., 2016)</w:t>
          </w:r>
        </w:sdtContent>
      </w:sdt>
      <w:r w:rsidRPr="00B8355F">
        <w:rPr>
          <w:bdr w:val="none" w:sz="0" w:space="0" w:color="auto" w:frame="1"/>
          <w:shd w:val="clear" w:color="auto" w:fill="FFFFFF"/>
        </w:rPr>
        <w:t>.</w:t>
      </w:r>
    </w:p>
    <w:p w14:paraId="6CEB8403" w14:textId="0EE16C63" w:rsidR="0014037C" w:rsidRDefault="0014037C" w:rsidP="00DF606F">
      <w:pPr>
        <w:rPr>
          <w:bdr w:val="none" w:sz="0" w:space="0" w:color="auto" w:frame="1"/>
          <w:shd w:val="clear" w:color="auto" w:fill="FFFFFF"/>
        </w:rPr>
      </w:pPr>
      <w:r>
        <w:rPr>
          <w:bdr w:val="none" w:sz="0" w:space="0" w:color="auto" w:frame="1"/>
          <w:shd w:val="clear" w:color="auto" w:fill="FFFFFF"/>
        </w:rPr>
        <w:lastRenderedPageBreak/>
        <w:t>F</w:t>
      </w:r>
      <w:r w:rsidRPr="00B8355F">
        <w:rPr>
          <w:bdr w:val="none" w:sz="0" w:space="0" w:color="auto" w:frame="1"/>
          <w:shd w:val="clear" w:color="auto" w:fill="FFFFFF"/>
        </w:rPr>
        <w:t xml:space="preserve">ollowing the recommendations </w:t>
      </w:r>
      <w:r w:rsidRPr="00D00710">
        <w:rPr>
          <w:bdr w:val="none" w:sz="0" w:space="0" w:color="auto" w:frame="1"/>
          <w:shd w:val="clear" w:color="auto" w:fill="FFFFFF"/>
        </w:rPr>
        <w:t>provided by the</w:t>
      </w:r>
      <w:r w:rsidR="00400BA2" w:rsidRPr="00D00710">
        <w:rPr>
          <w:bdr w:val="none" w:sz="0" w:space="0" w:color="auto" w:frame="1"/>
          <w:shd w:val="clear" w:color="auto" w:fill="FFFFFF"/>
        </w:rPr>
        <w:t xml:space="preserve"> </w:t>
      </w:r>
      <w:proofErr w:type="spellStart"/>
      <w:r w:rsidR="00400BA2" w:rsidRPr="00D00710">
        <w:rPr>
          <w:bdr w:val="none" w:sz="0" w:space="0" w:color="auto" w:frame="1"/>
          <w:shd w:val="clear" w:color="auto" w:fill="FFFFFF"/>
        </w:rPr>
        <w:t>COnsensus</w:t>
      </w:r>
      <w:proofErr w:type="spellEnd"/>
      <w:r w:rsidR="00400BA2" w:rsidRPr="00D00710">
        <w:rPr>
          <w:bdr w:val="none" w:sz="0" w:space="0" w:color="auto" w:frame="1"/>
          <w:shd w:val="clear" w:color="auto" w:fill="FFFFFF"/>
        </w:rPr>
        <w:t xml:space="preserve">-based Standards for the Selection of health Measurement </w:t>
      </w:r>
      <w:proofErr w:type="spellStart"/>
      <w:r w:rsidR="00400BA2" w:rsidRPr="00D00710">
        <w:rPr>
          <w:bdr w:val="none" w:sz="0" w:space="0" w:color="auto" w:frame="1"/>
          <w:shd w:val="clear" w:color="auto" w:fill="FFFFFF"/>
        </w:rPr>
        <w:t>INstrument</w:t>
      </w:r>
      <w:proofErr w:type="spellEnd"/>
      <w:r w:rsidRPr="00D00710">
        <w:rPr>
          <w:bdr w:val="none" w:sz="0" w:space="0" w:color="auto" w:frame="1"/>
          <w:shd w:val="clear" w:color="auto" w:fill="FFFFFF"/>
        </w:rPr>
        <w:t xml:space="preserve"> </w:t>
      </w:r>
      <w:r w:rsidR="00400BA2" w:rsidRPr="00D00710">
        <w:rPr>
          <w:bdr w:val="none" w:sz="0" w:space="0" w:color="auto" w:frame="1"/>
          <w:shd w:val="clear" w:color="auto" w:fill="FFFFFF"/>
        </w:rPr>
        <w:t>(</w:t>
      </w:r>
      <w:r w:rsidRPr="00D00710">
        <w:rPr>
          <w:bdr w:val="none" w:sz="0" w:space="0" w:color="auto" w:frame="1"/>
          <w:shd w:val="clear" w:color="auto" w:fill="FFFFFF"/>
        </w:rPr>
        <w:t>COSMIN</w:t>
      </w:r>
      <w:r w:rsidR="00400BA2" w:rsidRPr="00D00710">
        <w:rPr>
          <w:bdr w:val="none" w:sz="0" w:space="0" w:color="auto" w:frame="1"/>
          <w:shd w:val="clear" w:color="auto" w:fill="FFFFFF"/>
        </w:rPr>
        <w:t>)</w:t>
      </w:r>
      <w:r w:rsidRPr="00D00710">
        <w:rPr>
          <w:bdr w:val="none" w:sz="0" w:space="0" w:color="auto" w:frame="1"/>
          <w:shd w:val="clear" w:color="auto" w:fill="FFFFFF"/>
        </w:rPr>
        <w:t xml:space="preserve"> guidelines </w:t>
      </w:r>
      <w:sdt>
        <w:sdtPr>
          <w:rPr>
            <w:bdr w:val="none" w:sz="0" w:space="0" w:color="auto" w:frame="1"/>
            <w:shd w:val="clear" w:color="auto" w:fill="FFFFFF"/>
          </w:rPr>
          <w:tag w:val="MENDELEY_CITATION_v3_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"/>
          <w:id w:val="-1294753873"/>
          <w:placeholder>
            <w:docPart w:val="971BB39E5D843840AF619AA2591EAC2F"/>
          </w:placeholder>
        </w:sdtPr>
        <w:sdtContent>
          <w:r w:rsidR="0047170A" w:rsidRPr="00D00710">
            <w:rPr>
              <w:bdr w:val="none" w:sz="0" w:space="0" w:color="auto" w:frame="1"/>
              <w:shd w:val="clear" w:color="auto" w:fill="FFFFFF"/>
            </w:rPr>
            <w:t>(</w:t>
          </w:r>
          <w:proofErr w:type="spellStart"/>
          <w:r w:rsidR="0047170A" w:rsidRPr="00D00710">
            <w:rPr>
              <w:bdr w:val="none" w:sz="0" w:space="0" w:color="auto" w:frame="1"/>
              <w:shd w:val="clear" w:color="auto" w:fill="FFFFFF"/>
            </w:rPr>
            <w:t>Mokkink</w:t>
          </w:r>
          <w:proofErr w:type="spellEnd"/>
          <w:r w:rsidR="0047170A" w:rsidRPr="00D00710">
            <w:rPr>
              <w:bdr w:val="none" w:sz="0" w:space="0" w:color="auto" w:frame="1"/>
              <w:shd w:val="clear" w:color="auto" w:fill="FFFFFF"/>
            </w:rPr>
            <w:t xml:space="preserve"> et al., 2010)</w:t>
          </w:r>
        </w:sdtContent>
      </w:sdt>
      <w:r w:rsidRPr="00D00710">
        <w:rPr>
          <w:bdr w:val="none" w:sz="0" w:space="0" w:color="auto" w:frame="1"/>
          <w:shd w:val="clear" w:color="auto" w:fill="FFFFFF"/>
        </w:rPr>
        <w:t xml:space="preserve">, hypotheses were developed regarding the convergent validity of these EASE-F subscales after their identification through factor analysis. These were the PHQ-9, PHQ-15, GAD-7, UCS, PCL-5, EQ-5D-3L and the WSAS questionnaires, also </w:t>
      </w:r>
      <w:r>
        <w:rPr>
          <w:bdr w:val="none" w:sz="0" w:space="0" w:color="auto" w:frame="1"/>
          <w:shd w:val="clear" w:color="auto" w:fill="FFFFFF"/>
        </w:rPr>
        <w:t>included in the routine psychotherapy battery. T</w:t>
      </w:r>
      <w:r w:rsidRPr="00B8355F">
        <w:rPr>
          <w:bdr w:val="none" w:sz="0" w:space="0" w:color="auto" w:frame="1"/>
          <w:shd w:val="clear" w:color="auto" w:fill="FFFFFF"/>
        </w:rPr>
        <w:t xml:space="preserve">he convergent validity correlations were calculated after </w:t>
      </w:r>
      <w:r>
        <w:rPr>
          <w:bdr w:val="none" w:sz="0" w:space="0" w:color="auto" w:frame="1"/>
          <w:shd w:val="clear" w:color="auto" w:fill="FFFFFF"/>
        </w:rPr>
        <w:t>scale identification and refinements</w:t>
      </w:r>
      <w:r w:rsidRPr="00B8355F">
        <w:rPr>
          <w:bdr w:val="none" w:sz="0" w:space="0" w:color="auto" w:frame="1"/>
          <w:shd w:val="clear" w:color="auto" w:fill="FFFFFF"/>
        </w:rPr>
        <w:t xml:space="preserve"> from </w:t>
      </w:r>
      <w:r>
        <w:rPr>
          <w:bdr w:val="none" w:sz="0" w:space="0" w:color="auto" w:frame="1"/>
          <w:shd w:val="clear" w:color="auto" w:fill="FFFFFF"/>
        </w:rPr>
        <w:t xml:space="preserve">the Factor and </w:t>
      </w:r>
      <w:r w:rsidRPr="00B8355F">
        <w:rPr>
          <w:bdr w:val="none" w:sz="0" w:space="0" w:color="auto" w:frame="1"/>
          <w:shd w:val="clear" w:color="auto" w:fill="FFFFFF"/>
        </w:rPr>
        <w:t>Rasch analys</w:t>
      </w:r>
      <w:r>
        <w:rPr>
          <w:bdr w:val="none" w:sz="0" w:space="0" w:color="auto" w:frame="1"/>
          <w:shd w:val="clear" w:color="auto" w:fill="FFFFFF"/>
        </w:rPr>
        <w:t>e</w:t>
      </w:r>
      <w:r w:rsidRPr="00B8355F">
        <w:rPr>
          <w:bdr w:val="none" w:sz="0" w:space="0" w:color="auto" w:frame="1"/>
          <w:shd w:val="clear" w:color="auto" w:fill="FFFFFF"/>
        </w:rPr>
        <w:t>s.</w:t>
      </w:r>
      <w:r>
        <w:rPr>
          <w:bdr w:val="none" w:sz="0" w:space="0" w:color="auto" w:frame="1"/>
          <w:shd w:val="clear" w:color="auto" w:fill="FFFFFF"/>
        </w:rPr>
        <w:t xml:space="preserve"> At this stage, hypotheses were constructed regarding the </w:t>
      </w:r>
      <w:r w:rsidRPr="00B8355F">
        <w:rPr>
          <w:bdr w:val="none" w:sz="0" w:space="0" w:color="auto" w:frame="1"/>
          <w:shd w:val="clear" w:color="auto" w:fill="FFFFFF"/>
        </w:rPr>
        <w:t>relative correlation sizes of the different comparator instruments.</w:t>
      </w:r>
      <w:r>
        <w:rPr>
          <w:bdr w:val="none" w:sz="0" w:space="0" w:color="auto" w:frame="1"/>
          <w:shd w:val="clear" w:color="auto" w:fill="FFFFFF"/>
        </w:rPr>
        <w:t xml:space="preserve"> </w:t>
      </w:r>
      <w:r w:rsidRPr="00B8355F">
        <w:rPr>
          <w:bdr w:val="none" w:sz="0" w:space="0" w:color="auto" w:frame="1"/>
          <w:shd w:val="clear" w:color="auto" w:fill="FFFFFF"/>
        </w:rPr>
        <w:t xml:space="preserve">I.e. the correlation of the EASE-F </w:t>
      </w:r>
      <w:r>
        <w:rPr>
          <w:bdr w:val="none" w:sz="0" w:space="0" w:color="auto" w:frame="1"/>
          <w:shd w:val="clear" w:color="auto" w:fill="FFFFFF"/>
        </w:rPr>
        <w:t xml:space="preserve">subscale </w:t>
      </w:r>
      <w:r w:rsidRPr="00B8355F">
        <w:rPr>
          <w:bdr w:val="none" w:sz="0" w:space="0" w:color="auto" w:frame="1"/>
          <w:shd w:val="clear" w:color="auto" w:fill="FFFFFF"/>
        </w:rPr>
        <w:t>with one instrument is expected to be higher than its correlation with another, as well as hypotheses of the absolute magnitude of the correlations.</w:t>
      </w:r>
      <w:r>
        <w:rPr>
          <w:bdr w:val="none" w:sz="0" w:space="0" w:color="auto" w:frame="1"/>
          <w:shd w:val="clear" w:color="auto" w:fill="FFFFFF"/>
        </w:rPr>
        <w:t xml:space="preserve"> </w:t>
      </w:r>
      <w:r w:rsidRPr="00B8355F">
        <w:rPr>
          <w:bdr w:val="none" w:sz="0" w:space="0" w:color="auto" w:frame="1"/>
          <w:shd w:val="clear" w:color="auto" w:fill="FFFFFF"/>
        </w:rPr>
        <w:t>These hypotheses were based on the theoretical underpinnings and assumptions inherent in the</w:t>
      </w:r>
      <w:r>
        <w:rPr>
          <w:bdr w:val="none" w:sz="0" w:space="0" w:color="auto" w:frame="1"/>
          <w:shd w:val="clear" w:color="auto" w:fill="FFFFFF"/>
        </w:rPr>
        <w:t xml:space="preserve"> identified</w:t>
      </w:r>
      <w:r w:rsidRPr="00B8355F">
        <w:rPr>
          <w:bdr w:val="none" w:sz="0" w:space="0" w:color="auto" w:frame="1"/>
          <w:shd w:val="clear" w:color="auto" w:fill="FFFFFF"/>
        </w:rPr>
        <w:t xml:space="preserve"> construct of the scales</w:t>
      </w:r>
      <w:r>
        <w:rPr>
          <w:bdr w:val="none" w:sz="0" w:space="0" w:color="auto" w:frame="1"/>
          <w:shd w:val="clear" w:color="auto" w:fill="FFFFFF"/>
        </w:rPr>
        <w:t xml:space="preserve"> utilising the EASE-F subscale 'total' score and total scores of the comparator measures. The </w:t>
      </w:r>
      <w:r w:rsidRPr="00B8355F">
        <w:rPr>
          <w:bdr w:val="none" w:sz="0" w:space="0" w:color="auto" w:frame="1"/>
          <w:shd w:val="clear" w:color="auto" w:fill="FFFFFF"/>
        </w:rPr>
        <w:t>expected direction of the correlation—positive or negative</w:t>
      </w:r>
      <w:r>
        <w:rPr>
          <w:bdr w:val="none" w:sz="0" w:space="0" w:color="auto" w:frame="1"/>
          <w:shd w:val="clear" w:color="auto" w:fill="FFFFFF"/>
        </w:rPr>
        <w:t>- was noted for each correlation</w:t>
      </w:r>
      <w:r w:rsidRPr="00B8355F">
        <w:rPr>
          <w:bdr w:val="none" w:sz="0" w:space="0" w:color="auto" w:frame="1"/>
          <w:shd w:val="clear" w:color="auto" w:fill="FFFFFF"/>
        </w:rPr>
        <w:t>.</w:t>
      </w:r>
      <w:r>
        <w:rPr>
          <w:bdr w:val="none" w:sz="0" w:space="0" w:color="auto" w:frame="1"/>
          <w:shd w:val="clear" w:color="auto" w:fill="FFFFFF"/>
        </w:rPr>
        <w:t xml:space="preserve"> </w:t>
      </w:r>
      <w:r w:rsidRPr="00B8355F">
        <w:rPr>
          <w:bdr w:val="none" w:sz="0" w:space="0" w:color="auto" w:frame="1"/>
          <w:shd w:val="clear" w:color="auto" w:fill="FFFFFF"/>
        </w:rPr>
        <w:t xml:space="preserve">Furthermore, the comparator instruments </w:t>
      </w:r>
      <w:r>
        <w:rPr>
          <w:bdr w:val="none" w:sz="0" w:space="0" w:color="auto" w:frame="1"/>
          <w:shd w:val="clear" w:color="auto" w:fill="FFFFFF"/>
        </w:rPr>
        <w:t>were studied to target relevant items for analysis against EASE-F total scores.</w:t>
      </w:r>
    </w:p>
    <w:p w14:paraId="22344667" w14:textId="77777777" w:rsidR="0014037C" w:rsidRPr="00B8355F" w:rsidRDefault="0014037C" w:rsidP="00DF606F">
      <w:pPr>
        <w:rPr>
          <w:bdr w:val="none" w:sz="0" w:space="0" w:color="auto" w:frame="1"/>
          <w:shd w:val="clear" w:color="auto" w:fill="FFFFFF"/>
        </w:rPr>
      </w:pPr>
      <w:r>
        <w:rPr>
          <w:bdr w:val="none" w:sz="0" w:space="0" w:color="auto" w:frame="1"/>
          <w:shd w:val="clear" w:color="auto" w:fill="FFFFFF"/>
        </w:rPr>
        <w:t>Correlations were reported as Spearman's rho, with a significance level 0.05.</w:t>
      </w:r>
    </w:p>
    <w:p w14:paraId="4A7D92B1" w14:textId="77777777" w:rsidR="0014037C" w:rsidRDefault="0014037C"/>
    <w:p w14:paraId="15332C31" w14:textId="77777777" w:rsidR="00997566" w:rsidRDefault="00997566" w:rsidP="00997566"/>
    <w:p w14:paraId="4576D4EF" w14:textId="77777777" w:rsidR="00A72181" w:rsidRPr="001A77A9" w:rsidRDefault="00A72181" w:rsidP="00A72181">
      <w:pPr>
        <w:jc w:val="center"/>
      </w:pPr>
    </w:p>
    <w:p w14:paraId="7AD3A7B1" w14:textId="77777777" w:rsidR="00A72181" w:rsidRPr="001A77A9" w:rsidRDefault="00A72181" w:rsidP="00A72181">
      <w:pPr>
        <w:jc w:val="center"/>
      </w:pPr>
    </w:p>
    <w:p w14:paraId="24D52D75" w14:textId="77777777" w:rsidR="00A72181" w:rsidRPr="001A77A9" w:rsidRDefault="00A72181" w:rsidP="00A72181">
      <w:pPr>
        <w:jc w:val="center"/>
      </w:pPr>
    </w:p>
    <w:p w14:paraId="213DBA99" w14:textId="77777777" w:rsidR="00A72181" w:rsidRPr="001A77A9" w:rsidRDefault="00A72181" w:rsidP="00A72181">
      <w:pPr>
        <w:jc w:val="center"/>
      </w:pPr>
    </w:p>
    <w:p w14:paraId="582C31EF" w14:textId="77777777" w:rsidR="00A72181" w:rsidRPr="001A77A9" w:rsidRDefault="00A72181" w:rsidP="00A72181">
      <w:pPr>
        <w:jc w:val="center"/>
      </w:pPr>
    </w:p>
    <w:p w14:paraId="18B4BAA6" w14:textId="77777777" w:rsidR="001A2683" w:rsidRDefault="001A2683">
      <w:pPr>
        <w:spacing w:line="240" w:lineRule="auto"/>
        <w:jc w:val="left"/>
        <w:rPr>
          <w:rFonts w:asciiTheme="majorHAnsi" w:eastAsiaTheme="majorEastAsia" w:hAnsiTheme="majorHAnsi" w:cstheme="majorBidi"/>
          <w:color w:val="2E74B5" w:themeColor="accent1" w:themeShade="BF"/>
          <w:sz w:val="32"/>
          <w:szCs w:val="32"/>
        </w:rPr>
      </w:pPr>
      <w:bookmarkStart w:id="87" w:name="_Toc137504710"/>
      <w:r>
        <w:br w:type="page"/>
      </w:r>
    </w:p>
    <w:p w14:paraId="04614482" w14:textId="5989DB73" w:rsidR="00FE482F" w:rsidRPr="001B4B1E" w:rsidRDefault="00FE482F" w:rsidP="001B4B1E">
      <w:pPr>
        <w:pStyle w:val="Heading2"/>
      </w:pPr>
      <w:r>
        <w:lastRenderedPageBreak/>
        <w:t>3.</w:t>
      </w:r>
      <w:r w:rsidRPr="001B4B1E">
        <w:t>3 Results</w:t>
      </w:r>
      <w:bookmarkEnd w:id="87"/>
    </w:p>
    <w:p w14:paraId="228DE254" w14:textId="77777777" w:rsidR="00FE482F" w:rsidRDefault="00FE482F" w:rsidP="001B4B1E">
      <w:pPr>
        <w:pStyle w:val="Heading3"/>
      </w:pPr>
      <w:bookmarkStart w:id="88" w:name="_Toc137504711"/>
      <w:r>
        <w:t>3.3.1 Baseline Sample Descriptive Statistics</w:t>
      </w:r>
      <w:bookmarkEnd w:id="88"/>
    </w:p>
    <w:p w14:paraId="383085B6" w14:textId="77777777" w:rsidR="00FE482F" w:rsidRDefault="00FE482F" w:rsidP="001B4B1E">
      <w:pPr>
        <w:pStyle w:val="Heading4"/>
      </w:pPr>
      <w:r>
        <w:t>3.</w:t>
      </w:r>
      <w:r w:rsidRPr="00266589">
        <w:t>3.1.1 Included patients</w:t>
      </w:r>
    </w:p>
    <w:p w14:paraId="38865EC0" w14:textId="77777777" w:rsidR="00FE482F" w:rsidRDefault="00FE482F" w:rsidP="001B4B1E">
      <w:r w:rsidRPr="0090079B">
        <w:t xml:space="preserve">Data from </w:t>
      </w:r>
      <w:r>
        <w:t>469</w:t>
      </w:r>
      <w:r w:rsidRPr="0090079B">
        <w:t xml:space="preserve"> </w:t>
      </w:r>
      <w:r>
        <w:t xml:space="preserve">FNSD </w:t>
      </w:r>
      <w:r w:rsidRPr="0090079B">
        <w:t>patients</w:t>
      </w:r>
      <w:r>
        <w:t xml:space="preserve"> were</w:t>
      </w:r>
      <w:r w:rsidRPr="0090079B">
        <w:t xml:space="preserve"> extracted.</w:t>
      </w:r>
      <w:r>
        <w:t xml:space="preserve"> Data</w:t>
      </w:r>
      <w:r w:rsidRPr="0090079B">
        <w:t xml:space="preserve"> from </w:t>
      </w:r>
      <w:r>
        <w:t xml:space="preserve">19 </w:t>
      </w:r>
      <w:r w:rsidRPr="0090079B">
        <w:t>patients</w:t>
      </w:r>
      <w:r>
        <w:t xml:space="preserve"> (4.1%) were</w:t>
      </w:r>
      <w:r w:rsidRPr="0090079B">
        <w:t xml:space="preserve"> excluded</w:t>
      </w:r>
      <w:r>
        <w:t xml:space="preserve"> </w:t>
      </w:r>
      <w:r w:rsidRPr="0090079B">
        <w:t>based on missing</w:t>
      </w:r>
      <w:r>
        <w:t xml:space="preserve"> data on the whole</w:t>
      </w:r>
      <w:r w:rsidRPr="0090079B">
        <w:t xml:space="preserve"> questionnaire battery or </w:t>
      </w:r>
      <w:r>
        <w:t>the whole EASE-F</w:t>
      </w:r>
      <w:r w:rsidRPr="0090079B">
        <w:t xml:space="preserve"> questionnaire exclusivel</w:t>
      </w:r>
      <w:r>
        <w:t xml:space="preserve">y (person-level missingness). </w:t>
      </w:r>
      <w:r w:rsidRPr="0090079B">
        <w:t xml:space="preserve">Data from </w:t>
      </w:r>
      <w:r>
        <w:t xml:space="preserve">450 </w:t>
      </w:r>
      <w:r w:rsidRPr="0090079B">
        <w:t>patients were finally included in</w:t>
      </w:r>
      <w:r>
        <w:t xml:space="preserve"> descriptive</w:t>
      </w:r>
      <w:r w:rsidRPr="0090079B">
        <w:t xml:space="preserve"> analys</w:t>
      </w:r>
      <w:r>
        <w:t>e</w:t>
      </w:r>
      <w:r w:rsidRPr="0090079B">
        <w:t xml:space="preserve">s. </w:t>
      </w:r>
    </w:p>
    <w:p w14:paraId="15EDB81B" w14:textId="77777777" w:rsidR="00FE482F" w:rsidRDefault="00FE482F" w:rsidP="001B4B1E">
      <w:r>
        <w:t xml:space="preserve">Missing data from patient demographic information ranged </w:t>
      </w:r>
      <w:r w:rsidRPr="00836372">
        <w:t>between 0% and 10%,</w:t>
      </w:r>
      <w:r>
        <w:t xml:space="preserve"> and from the clinical questionnaire battery (excluding the EASE-F questionnaire) between 0.2</w:t>
      </w:r>
      <w:r w:rsidRPr="00E36B1E">
        <w:t>% and 8.0%.</w:t>
      </w:r>
      <w:r>
        <w:t xml:space="preserve"> 219</w:t>
      </w:r>
      <w:r w:rsidRPr="00805313">
        <w:t xml:space="preserve"> out of </w:t>
      </w:r>
      <w:r>
        <w:t>the 450</w:t>
      </w:r>
      <w:r w:rsidRPr="00805313">
        <w:t xml:space="preserve"> </w:t>
      </w:r>
      <w:r>
        <w:t xml:space="preserve">(48.7%) </w:t>
      </w:r>
      <w:r w:rsidRPr="00805313">
        <w:t>patients ha</w:t>
      </w:r>
      <w:r>
        <w:t>d</w:t>
      </w:r>
      <w:r w:rsidRPr="00805313">
        <w:t xml:space="preserve"> zero missing values on the entire set of variables.</w:t>
      </w:r>
      <w:r>
        <w:t xml:space="preserve"> Figure 2. shows the overall summary of missing values from the raw data. Data were missing in 109 of 110 (99%) questionnaire variables (excluding demographic data), </w:t>
      </w:r>
    </w:p>
    <w:p w14:paraId="5BBC9ACE" w14:textId="77777777" w:rsidR="00FE482F" w:rsidRDefault="00FE482F" w:rsidP="001B4B1E">
      <w:r>
        <w:t xml:space="preserve">As the level of missing data was less than 10% in the questionnaire battery, total scores for all of the included questionnaires were calculated based on complete cases after multiple imputations of missing items. </w:t>
      </w:r>
    </w:p>
    <w:p w14:paraId="6D8BB71C" w14:textId="77777777" w:rsidR="00FE482F" w:rsidRDefault="00FE482F" w:rsidP="001B4B1E">
      <w:r w:rsidRPr="00106295">
        <w:t>The complete case analysis yielded no significant differences in questionnaire total scores (</w:t>
      </w:r>
      <w:r>
        <w:t>p's</w:t>
      </w:r>
      <w:r w:rsidRPr="00106295">
        <w:t xml:space="preserve">&gt;0.05) </w:t>
      </w:r>
      <w:r>
        <w:t>compared to the imputed dataset analysis. A detailed missing data analysis on the EASE-F will be reported later.</w:t>
      </w:r>
    </w:p>
    <w:p w14:paraId="23FCAB0E" w14:textId="77777777" w:rsidR="00FE482F" w:rsidRDefault="00FE482F" w:rsidP="001B4B1E"/>
    <w:p w14:paraId="2F3AF18F" w14:textId="77777777" w:rsidR="00FE482F" w:rsidRPr="00E36B1E" w:rsidRDefault="00FE482F" w:rsidP="001B4B1E">
      <w:r w:rsidRPr="00E36B1E">
        <w:t xml:space="preserve">Figure </w:t>
      </w:r>
      <w:r>
        <w:t>2</w:t>
      </w:r>
      <w:r w:rsidRPr="00E36B1E">
        <w:t>.</w:t>
      </w:r>
      <w:r>
        <w:t xml:space="preserve"> </w:t>
      </w:r>
      <w:r w:rsidRPr="00E36B1E">
        <w:t xml:space="preserve">Overall Summary of </w:t>
      </w:r>
      <w:r>
        <w:t>m</w:t>
      </w:r>
      <w:r w:rsidRPr="00E36B1E">
        <w:t>issing values</w:t>
      </w:r>
      <w:r>
        <w:t xml:space="preserve"> across the questionnaire battery.</w:t>
      </w:r>
    </w:p>
    <w:p w14:paraId="0351BAA4" w14:textId="77777777" w:rsidR="00FE482F" w:rsidRPr="0090079B" w:rsidRDefault="00FE482F" w:rsidP="000F3D6E">
      <w:pPr>
        <w:jc w:val="center"/>
      </w:pPr>
      <w:r w:rsidRPr="00CD4C20">
        <w:rPr>
          <w:noProof/>
        </w:rPr>
        <w:drawing>
          <wp:inline distT="0" distB="0" distL="0" distR="0" wp14:anchorId="1CFD670F" wp14:editId="40676C03">
            <wp:extent cx="6382286" cy="2923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3524" b="33523"/>
                    <a:stretch/>
                  </pic:blipFill>
                  <pic:spPr bwMode="auto">
                    <a:xfrm>
                      <a:off x="0" y="0"/>
                      <a:ext cx="6485078" cy="2970913"/>
                    </a:xfrm>
                    <a:prstGeom prst="rect">
                      <a:avLst/>
                    </a:prstGeom>
                    <a:ln>
                      <a:noFill/>
                    </a:ln>
                    <a:extLst>
                      <a:ext uri="{53640926-AAD7-44D8-BBD7-CCE9431645EC}">
                        <a14:shadowObscured xmlns:a14="http://schemas.microsoft.com/office/drawing/2010/main"/>
                      </a:ext>
                    </a:extLst>
                  </pic:spPr>
                </pic:pic>
              </a:graphicData>
            </a:graphic>
          </wp:inline>
        </w:drawing>
      </w:r>
    </w:p>
    <w:p w14:paraId="7171E830" w14:textId="77777777" w:rsidR="00FE482F" w:rsidRDefault="00FE482F" w:rsidP="001B4B1E"/>
    <w:p w14:paraId="39E565A3" w14:textId="77777777" w:rsidR="00FE482F" w:rsidRDefault="00FE482F" w:rsidP="001B4B1E"/>
    <w:p w14:paraId="3078F3DC" w14:textId="77777777" w:rsidR="00FE482F" w:rsidRPr="00E36B1E" w:rsidRDefault="00FE482F" w:rsidP="001B4B1E">
      <w:pPr>
        <w:pStyle w:val="Heading4"/>
      </w:pPr>
      <w:r>
        <w:t>3.</w:t>
      </w:r>
      <w:r w:rsidRPr="00E36B1E">
        <w:t>3.1.2</w:t>
      </w:r>
      <w:r>
        <w:t xml:space="preserve">. </w:t>
      </w:r>
      <w:r w:rsidRPr="00E36B1E">
        <w:t>Patient demographics</w:t>
      </w:r>
    </w:p>
    <w:p w14:paraId="2B300A00" w14:textId="77777777" w:rsidR="00FE482F" w:rsidRDefault="00FE482F" w:rsidP="001B4B1E">
      <w:r>
        <w:t xml:space="preserve">At baseline, the mean age of the 450 patients included was 40 (+-14.7). There were 3.5 times more females (75.3%) than males (21.3%). </w:t>
      </w:r>
    </w:p>
    <w:p w14:paraId="6CFC7BFD" w14:textId="77777777" w:rsidR="00FE482F" w:rsidRPr="000A7CC7" w:rsidRDefault="00FE482F" w:rsidP="001B4B1E">
      <w:r>
        <w:t xml:space="preserve">Table 4 presents scores on measures of psychological distress and somatic symptoms (PHQ-9, GAD-7, PHQ-15, psychosocial functioning (WSAS), unmitigated communion (UCS) and health-related quality of life (EQ-5D-3L) </w:t>
      </w:r>
    </w:p>
    <w:p w14:paraId="2D2D7885" w14:textId="77777777" w:rsidR="00FE482F" w:rsidRDefault="00FE482F" w:rsidP="001B4B1E"/>
    <w:p w14:paraId="44755777" w14:textId="77777777" w:rsidR="00FE482F" w:rsidRPr="00E36B1E" w:rsidRDefault="00FE482F" w:rsidP="001B4B1E">
      <w:r w:rsidRPr="00E36B1E">
        <w:t xml:space="preserve">Table </w:t>
      </w:r>
      <w:r>
        <w:t>3</w:t>
      </w:r>
      <w:r w:rsidRPr="00E36B1E">
        <w:t>.</w:t>
      </w:r>
      <w:r>
        <w:t xml:space="preserve"> </w:t>
      </w:r>
      <w:r w:rsidRPr="00E36B1E">
        <w:t>Summary of baseline demographic characteristics of the study sample</w:t>
      </w:r>
    </w:p>
    <w:tbl>
      <w:tblPr>
        <w:tblStyle w:val="GridTable1Light-Accent3"/>
        <w:tblW w:w="9351" w:type="dxa"/>
        <w:tblLook w:val="04A0" w:firstRow="1" w:lastRow="0" w:firstColumn="1" w:lastColumn="0" w:noHBand="0" w:noVBand="1"/>
      </w:tblPr>
      <w:tblGrid>
        <w:gridCol w:w="3005"/>
        <w:gridCol w:w="3653"/>
        <w:gridCol w:w="2693"/>
      </w:tblGrid>
      <w:tr w:rsidR="00FE482F" w:rsidRPr="000F3D6E" w14:paraId="257D08E5" w14:textId="77777777" w:rsidTr="00B10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4A93F34" w14:textId="77777777" w:rsidR="00FE482F" w:rsidRPr="000F3D6E" w:rsidRDefault="00FE482F" w:rsidP="001B4B1E">
            <w:pPr>
              <w:rPr>
                <w:sz w:val="18"/>
                <w:szCs w:val="18"/>
              </w:rPr>
            </w:pPr>
            <w:r w:rsidRPr="000F3D6E">
              <w:rPr>
                <w:sz w:val="18"/>
                <w:szCs w:val="18"/>
              </w:rPr>
              <w:t>Characteristic</w:t>
            </w:r>
          </w:p>
        </w:tc>
        <w:tc>
          <w:tcPr>
            <w:tcW w:w="3653" w:type="dxa"/>
          </w:tcPr>
          <w:p w14:paraId="4BEA98F6" w14:textId="77777777" w:rsidR="00FE482F" w:rsidRPr="000F3D6E" w:rsidRDefault="00FE482F" w:rsidP="001B4B1E">
            <w:pPr>
              <w:cnfStyle w:val="100000000000" w:firstRow="1" w:lastRow="0" w:firstColumn="0" w:lastColumn="0" w:oddVBand="0" w:evenVBand="0" w:oddHBand="0" w:evenHBand="0" w:firstRowFirstColumn="0" w:firstRowLastColumn="0" w:lastRowFirstColumn="0" w:lastRowLastColumn="0"/>
              <w:rPr>
                <w:sz w:val="18"/>
                <w:szCs w:val="18"/>
              </w:rPr>
            </w:pPr>
          </w:p>
        </w:tc>
        <w:tc>
          <w:tcPr>
            <w:tcW w:w="2693" w:type="dxa"/>
          </w:tcPr>
          <w:p w14:paraId="01FB04DD" w14:textId="77777777" w:rsidR="00FE482F" w:rsidRPr="000F3D6E" w:rsidRDefault="00FE482F" w:rsidP="001B4B1E">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0F3D6E">
              <w:rPr>
                <w:sz w:val="18"/>
                <w:szCs w:val="18"/>
              </w:rPr>
              <w:t>n (%)</w:t>
            </w:r>
          </w:p>
          <w:p w14:paraId="15F6508E" w14:textId="77777777" w:rsidR="00FE482F" w:rsidRPr="000F3D6E" w:rsidRDefault="00FE482F" w:rsidP="001B4B1E">
            <w:pPr>
              <w:cnfStyle w:val="100000000000" w:firstRow="1" w:lastRow="0" w:firstColumn="0" w:lastColumn="0" w:oddVBand="0" w:evenVBand="0" w:oddHBand="0" w:evenHBand="0" w:firstRowFirstColumn="0" w:firstRowLastColumn="0" w:lastRowFirstColumn="0" w:lastRowLastColumn="0"/>
              <w:rPr>
                <w:sz w:val="18"/>
                <w:szCs w:val="18"/>
              </w:rPr>
            </w:pPr>
            <w:r w:rsidRPr="000F3D6E">
              <w:rPr>
                <w:sz w:val="18"/>
                <w:szCs w:val="18"/>
              </w:rPr>
              <w:t>(Overall n = 450)</w:t>
            </w:r>
          </w:p>
        </w:tc>
      </w:tr>
      <w:tr w:rsidR="00FE482F" w:rsidRPr="000F3D6E" w14:paraId="4EA1747A" w14:textId="77777777" w:rsidTr="00B10F1B">
        <w:trPr>
          <w:trHeight w:val="642"/>
        </w:trPr>
        <w:tc>
          <w:tcPr>
            <w:cnfStyle w:val="001000000000" w:firstRow="0" w:lastRow="0" w:firstColumn="1" w:lastColumn="0" w:oddVBand="0" w:evenVBand="0" w:oddHBand="0" w:evenHBand="0" w:firstRowFirstColumn="0" w:firstRowLastColumn="0" w:lastRowFirstColumn="0" w:lastRowLastColumn="0"/>
            <w:tcW w:w="3005" w:type="dxa"/>
          </w:tcPr>
          <w:p w14:paraId="48CAF13D" w14:textId="77777777" w:rsidR="00FE482F" w:rsidRPr="000F3D6E" w:rsidRDefault="00FE482F" w:rsidP="001B4B1E">
            <w:pPr>
              <w:rPr>
                <w:sz w:val="18"/>
                <w:szCs w:val="18"/>
              </w:rPr>
            </w:pPr>
            <w:r w:rsidRPr="000F3D6E">
              <w:rPr>
                <w:sz w:val="18"/>
                <w:szCs w:val="18"/>
              </w:rPr>
              <w:t>Age (years)</w:t>
            </w:r>
          </w:p>
        </w:tc>
        <w:tc>
          <w:tcPr>
            <w:tcW w:w="3653" w:type="dxa"/>
          </w:tcPr>
          <w:p w14:paraId="2C9585E8"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Mean (</w:t>
            </w:r>
            <w:r>
              <w:rPr>
                <w:sz w:val="18"/>
                <w:szCs w:val="18"/>
              </w:rPr>
              <w:t>SD</w:t>
            </w:r>
            <w:r w:rsidRPr="000F3D6E">
              <w:rPr>
                <w:sz w:val="18"/>
                <w:szCs w:val="18"/>
              </w:rPr>
              <w:t>)</w:t>
            </w:r>
          </w:p>
          <w:p w14:paraId="7F3ED976"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Median (IQR) [range]</w:t>
            </w:r>
          </w:p>
        </w:tc>
        <w:tc>
          <w:tcPr>
            <w:tcW w:w="2693" w:type="dxa"/>
          </w:tcPr>
          <w:p w14:paraId="29298F4F"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40.6 (14.7)</w:t>
            </w:r>
          </w:p>
          <w:p w14:paraId="3A6BA4E3"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40.5 (28,52) [16-88]</w:t>
            </w:r>
          </w:p>
        </w:tc>
      </w:tr>
      <w:tr w:rsidR="00FE482F" w:rsidRPr="000F3D6E" w14:paraId="5D1E8955" w14:textId="77777777" w:rsidTr="00B10F1B">
        <w:tc>
          <w:tcPr>
            <w:cnfStyle w:val="001000000000" w:firstRow="0" w:lastRow="0" w:firstColumn="1" w:lastColumn="0" w:oddVBand="0" w:evenVBand="0" w:oddHBand="0" w:evenHBand="0" w:firstRowFirstColumn="0" w:firstRowLastColumn="0" w:lastRowFirstColumn="0" w:lastRowLastColumn="0"/>
            <w:tcW w:w="3005" w:type="dxa"/>
          </w:tcPr>
          <w:p w14:paraId="22FE4842" w14:textId="77777777" w:rsidR="00FE482F" w:rsidRPr="000F3D6E" w:rsidRDefault="00FE482F" w:rsidP="001B4B1E">
            <w:pPr>
              <w:rPr>
                <w:sz w:val="18"/>
                <w:szCs w:val="18"/>
              </w:rPr>
            </w:pPr>
            <w:r w:rsidRPr="000F3D6E">
              <w:rPr>
                <w:sz w:val="18"/>
                <w:szCs w:val="18"/>
              </w:rPr>
              <w:t>Gender</w:t>
            </w:r>
          </w:p>
        </w:tc>
        <w:tc>
          <w:tcPr>
            <w:tcW w:w="3653" w:type="dxa"/>
          </w:tcPr>
          <w:p w14:paraId="1026E0F3"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Male</w:t>
            </w:r>
          </w:p>
          <w:p w14:paraId="3E907D01"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Female</w:t>
            </w:r>
          </w:p>
          <w:p w14:paraId="48186814"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Other</w:t>
            </w:r>
          </w:p>
        </w:tc>
        <w:tc>
          <w:tcPr>
            <w:tcW w:w="2693" w:type="dxa"/>
          </w:tcPr>
          <w:p w14:paraId="6B5DA380"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96(21.3)</w:t>
            </w:r>
          </w:p>
          <w:p w14:paraId="02565659"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339 (75.3)</w:t>
            </w:r>
          </w:p>
          <w:p w14:paraId="453B36B9"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5 (1.1)</w:t>
            </w:r>
          </w:p>
          <w:p w14:paraId="0BAF3F5D"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n=440</w:t>
            </w:r>
          </w:p>
        </w:tc>
      </w:tr>
      <w:tr w:rsidR="00FE482F" w:rsidRPr="000F3D6E" w14:paraId="4654A296" w14:textId="77777777" w:rsidTr="00B10F1B">
        <w:tc>
          <w:tcPr>
            <w:cnfStyle w:val="001000000000" w:firstRow="0" w:lastRow="0" w:firstColumn="1" w:lastColumn="0" w:oddVBand="0" w:evenVBand="0" w:oddHBand="0" w:evenHBand="0" w:firstRowFirstColumn="0" w:firstRowLastColumn="0" w:lastRowFirstColumn="0" w:lastRowLastColumn="0"/>
            <w:tcW w:w="3005" w:type="dxa"/>
          </w:tcPr>
          <w:p w14:paraId="778764B5" w14:textId="77777777" w:rsidR="00FE482F" w:rsidRPr="000F3D6E" w:rsidRDefault="00FE482F" w:rsidP="001B4B1E">
            <w:pPr>
              <w:rPr>
                <w:sz w:val="18"/>
                <w:szCs w:val="18"/>
              </w:rPr>
            </w:pPr>
            <w:r w:rsidRPr="000F3D6E">
              <w:rPr>
                <w:sz w:val="18"/>
                <w:szCs w:val="18"/>
              </w:rPr>
              <w:t>Ethnicity</w:t>
            </w:r>
          </w:p>
        </w:tc>
        <w:tc>
          <w:tcPr>
            <w:tcW w:w="3653" w:type="dxa"/>
          </w:tcPr>
          <w:p w14:paraId="202F6400"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White</w:t>
            </w:r>
          </w:p>
          <w:p w14:paraId="551C0B5F"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Black</w:t>
            </w:r>
          </w:p>
          <w:p w14:paraId="2FED1E45"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Asian</w:t>
            </w:r>
          </w:p>
          <w:p w14:paraId="36AEFFFA"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Mixed</w:t>
            </w:r>
          </w:p>
          <w:p w14:paraId="729EFB86"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Arab</w:t>
            </w:r>
          </w:p>
          <w:p w14:paraId="58243E7C"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Other</w:t>
            </w:r>
          </w:p>
        </w:tc>
        <w:tc>
          <w:tcPr>
            <w:tcW w:w="2693" w:type="dxa"/>
          </w:tcPr>
          <w:p w14:paraId="017E102A"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374 (83.1)</w:t>
            </w:r>
          </w:p>
          <w:p w14:paraId="5C3ECB10"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7 (1.6)</w:t>
            </w:r>
          </w:p>
          <w:p w14:paraId="7000FA4E"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17 (3.8)</w:t>
            </w:r>
          </w:p>
          <w:p w14:paraId="708F714D"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9 (2.0)</w:t>
            </w:r>
          </w:p>
          <w:p w14:paraId="49FA97A0"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6 (1.3)</w:t>
            </w:r>
          </w:p>
          <w:p w14:paraId="2D97AA52"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1 (0.2)</w:t>
            </w:r>
          </w:p>
          <w:p w14:paraId="2E6DD36C"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n=414</w:t>
            </w:r>
          </w:p>
        </w:tc>
      </w:tr>
      <w:tr w:rsidR="00FE482F" w:rsidRPr="000F3D6E" w14:paraId="700F1A7A" w14:textId="77777777" w:rsidTr="00B10F1B">
        <w:tc>
          <w:tcPr>
            <w:cnfStyle w:val="001000000000" w:firstRow="0" w:lastRow="0" w:firstColumn="1" w:lastColumn="0" w:oddVBand="0" w:evenVBand="0" w:oddHBand="0" w:evenHBand="0" w:firstRowFirstColumn="0" w:firstRowLastColumn="0" w:lastRowFirstColumn="0" w:lastRowLastColumn="0"/>
            <w:tcW w:w="3005" w:type="dxa"/>
          </w:tcPr>
          <w:p w14:paraId="4313DF6F" w14:textId="77777777" w:rsidR="00FE482F" w:rsidRPr="000F3D6E" w:rsidRDefault="00FE482F" w:rsidP="001B4B1E">
            <w:pPr>
              <w:rPr>
                <w:sz w:val="18"/>
                <w:szCs w:val="18"/>
              </w:rPr>
            </w:pPr>
            <w:r w:rsidRPr="000F3D6E">
              <w:rPr>
                <w:sz w:val="18"/>
                <w:szCs w:val="18"/>
              </w:rPr>
              <w:t>Level of education</w:t>
            </w:r>
          </w:p>
        </w:tc>
        <w:tc>
          <w:tcPr>
            <w:tcW w:w="3653" w:type="dxa"/>
          </w:tcPr>
          <w:p w14:paraId="6C6F8E4C"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No educational qualifications</w:t>
            </w:r>
          </w:p>
          <w:p w14:paraId="0EB2E5CF"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O-levels, CSE/GCE/GCSEs</w:t>
            </w:r>
          </w:p>
          <w:p w14:paraId="0026F4C5"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A-level or equivalent</w:t>
            </w:r>
          </w:p>
          <w:p w14:paraId="7188D060"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Vocational qualification</w:t>
            </w:r>
          </w:p>
          <w:p w14:paraId="28AEF687"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HNC/HND</w:t>
            </w:r>
          </w:p>
          <w:p w14:paraId="5B346073"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Degree</w:t>
            </w:r>
          </w:p>
          <w:p w14:paraId="0364F997"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Postgraduate qualification</w:t>
            </w:r>
          </w:p>
          <w:p w14:paraId="53C7D937"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Professional qualification</w:t>
            </w:r>
          </w:p>
          <w:p w14:paraId="34E4F822"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Other</w:t>
            </w:r>
          </w:p>
        </w:tc>
        <w:tc>
          <w:tcPr>
            <w:tcW w:w="2693" w:type="dxa"/>
          </w:tcPr>
          <w:p w14:paraId="4F10126F"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58 (12.9)</w:t>
            </w:r>
          </w:p>
          <w:p w14:paraId="369FFD3F"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114 (25.3)</w:t>
            </w:r>
          </w:p>
          <w:p w14:paraId="32C33A52"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46 (10.2)</w:t>
            </w:r>
          </w:p>
          <w:p w14:paraId="06A12CDE"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71 (15.8)</w:t>
            </w:r>
          </w:p>
          <w:p w14:paraId="7042E24A"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7 (1.6)</w:t>
            </w:r>
          </w:p>
          <w:p w14:paraId="50F02013"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53 (11.8)</w:t>
            </w:r>
          </w:p>
          <w:p w14:paraId="270B6806"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15 (3.3)</w:t>
            </w:r>
          </w:p>
          <w:p w14:paraId="7BA26FF7"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24 (5.3)</w:t>
            </w:r>
          </w:p>
          <w:p w14:paraId="21AE4301"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32 (7.1)</w:t>
            </w:r>
          </w:p>
          <w:p w14:paraId="354D42F9"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n=420</w:t>
            </w:r>
          </w:p>
        </w:tc>
      </w:tr>
      <w:tr w:rsidR="00FE482F" w:rsidRPr="000F3D6E" w14:paraId="3631FACB" w14:textId="77777777" w:rsidTr="00E36B1E">
        <w:trPr>
          <w:trHeight w:val="81"/>
        </w:trPr>
        <w:tc>
          <w:tcPr>
            <w:cnfStyle w:val="001000000000" w:firstRow="0" w:lastRow="0" w:firstColumn="1" w:lastColumn="0" w:oddVBand="0" w:evenVBand="0" w:oddHBand="0" w:evenHBand="0" w:firstRowFirstColumn="0" w:firstRowLastColumn="0" w:lastRowFirstColumn="0" w:lastRowLastColumn="0"/>
            <w:tcW w:w="3005" w:type="dxa"/>
          </w:tcPr>
          <w:p w14:paraId="0E77BA3A" w14:textId="77777777" w:rsidR="00FE482F" w:rsidRPr="000F3D6E" w:rsidRDefault="00FE482F" w:rsidP="001B4B1E">
            <w:pPr>
              <w:rPr>
                <w:sz w:val="18"/>
                <w:szCs w:val="18"/>
              </w:rPr>
            </w:pPr>
            <w:r w:rsidRPr="000F3D6E">
              <w:rPr>
                <w:sz w:val="18"/>
                <w:szCs w:val="18"/>
              </w:rPr>
              <w:t>Employment status</w:t>
            </w:r>
          </w:p>
        </w:tc>
        <w:tc>
          <w:tcPr>
            <w:tcW w:w="3653" w:type="dxa"/>
          </w:tcPr>
          <w:p w14:paraId="222FF8F2"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Full-time paid work</w:t>
            </w:r>
          </w:p>
          <w:p w14:paraId="256E2665"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Part-time paid work</w:t>
            </w:r>
          </w:p>
          <w:p w14:paraId="0DC3B94D"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Full-time education</w:t>
            </w:r>
          </w:p>
          <w:p w14:paraId="28A872D3"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Part-time education</w:t>
            </w:r>
          </w:p>
          <w:p w14:paraId="6149D6CD"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Full-time carer</w:t>
            </w:r>
          </w:p>
          <w:p w14:paraId="68C2619E"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On leave/out of work</w:t>
            </w:r>
          </w:p>
          <w:p w14:paraId="0427E0DD"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lastRenderedPageBreak/>
              <w:t>Retired</w:t>
            </w:r>
          </w:p>
          <w:p w14:paraId="08EA386F"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Other</w:t>
            </w:r>
          </w:p>
        </w:tc>
        <w:tc>
          <w:tcPr>
            <w:tcW w:w="2693" w:type="dxa"/>
          </w:tcPr>
          <w:p w14:paraId="1C83AC01"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lastRenderedPageBreak/>
              <w:t>56 (12.4)</w:t>
            </w:r>
          </w:p>
          <w:p w14:paraId="026A6641"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40 (8.9)</w:t>
            </w:r>
          </w:p>
          <w:p w14:paraId="46E16E74"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26 (5.8)</w:t>
            </w:r>
          </w:p>
          <w:p w14:paraId="515743BD"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6 (1.3)</w:t>
            </w:r>
          </w:p>
          <w:p w14:paraId="1BCE9436"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20 (4.4)</w:t>
            </w:r>
          </w:p>
          <w:p w14:paraId="5F189A55"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203 (45.1)</w:t>
            </w:r>
          </w:p>
          <w:p w14:paraId="4DE589FE"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lastRenderedPageBreak/>
              <w:t>37 (8.2)</w:t>
            </w:r>
          </w:p>
          <w:p w14:paraId="79EBAA50"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55 (12.2)</w:t>
            </w:r>
          </w:p>
          <w:p w14:paraId="60F1C57B" w14:textId="77777777" w:rsidR="00FE482F" w:rsidRPr="000F3D6E" w:rsidRDefault="00FE482F" w:rsidP="001B4B1E">
            <w:pPr>
              <w:cnfStyle w:val="000000000000" w:firstRow="0" w:lastRow="0" w:firstColumn="0" w:lastColumn="0" w:oddVBand="0" w:evenVBand="0" w:oddHBand="0" w:evenHBand="0" w:firstRowFirstColumn="0" w:firstRowLastColumn="0" w:lastRowFirstColumn="0" w:lastRowLastColumn="0"/>
              <w:rPr>
                <w:sz w:val="18"/>
                <w:szCs w:val="18"/>
              </w:rPr>
            </w:pPr>
            <w:r w:rsidRPr="000F3D6E">
              <w:rPr>
                <w:sz w:val="18"/>
                <w:szCs w:val="18"/>
              </w:rPr>
              <w:t>n=443</w:t>
            </w:r>
          </w:p>
        </w:tc>
      </w:tr>
    </w:tbl>
    <w:p w14:paraId="366F01EF" w14:textId="77777777" w:rsidR="00FE482F" w:rsidRDefault="00FE482F" w:rsidP="001B4B1E"/>
    <w:p w14:paraId="5BA9EC8A" w14:textId="77777777" w:rsidR="00FE482F" w:rsidRPr="00E36B1E" w:rsidRDefault="00FE482F" w:rsidP="001B4B1E">
      <w:pPr>
        <w:pStyle w:val="Heading4"/>
      </w:pPr>
      <w:r>
        <w:t>3.</w:t>
      </w:r>
      <w:r w:rsidRPr="00E36B1E">
        <w:t xml:space="preserve">3.1.3 Patient Clinical </w:t>
      </w:r>
      <w:r>
        <w:t>and Questionnaire Data</w:t>
      </w:r>
    </w:p>
    <w:p w14:paraId="20E4453F" w14:textId="77777777" w:rsidR="00FE482F" w:rsidRDefault="00FE482F" w:rsidP="001B4B1E">
      <w:r w:rsidRPr="0090079B">
        <w:t>Data from referring consultants</w:t>
      </w:r>
      <w:r>
        <w:t xml:space="preserve"> showed a heterogenous presentation of symptoms. The most common presentation was undefined seizures (11.8%), while mixed symptoms were presented in 3.3% of the population. </w:t>
      </w:r>
      <w:r w:rsidRPr="00E9102F">
        <w:t xml:space="preserve">Table </w:t>
      </w:r>
      <w:r>
        <w:t>n, Appendix C.1 summarises patient symptom data from referring consultant letters, while Table 4 summarises patient questionnaire data.</w:t>
      </w:r>
    </w:p>
    <w:p w14:paraId="704156ED" w14:textId="77777777" w:rsidR="00FE482F" w:rsidRPr="00E36B1E" w:rsidRDefault="00FE482F" w:rsidP="001B4B1E"/>
    <w:p w14:paraId="15B0C886" w14:textId="77777777" w:rsidR="00FE482F" w:rsidRPr="00E36B1E" w:rsidRDefault="00FE482F" w:rsidP="001B4B1E">
      <w:r>
        <w:t>T</w:t>
      </w:r>
      <w:r w:rsidRPr="00E36B1E">
        <w:t>able</w:t>
      </w:r>
      <w:r>
        <w:t xml:space="preserve"> 4</w:t>
      </w:r>
      <w:r w:rsidRPr="00E36B1E">
        <w:t>.</w:t>
      </w:r>
      <w:r>
        <w:t xml:space="preserve"> </w:t>
      </w:r>
      <w:r w:rsidRPr="00E36B1E">
        <w:t xml:space="preserve">Descriptive statistics for currently considered measures with imputed missing data </w:t>
      </w:r>
    </w:p>
    <w:tbl>
      <w:tblPr>
        <w:tblStyle w:val="TableGridLight"/>
        <w:tblW w:w="8642" w:type="dxa"/>
        <w:tblLayout w:type="fixed"/>
        <w:tblLook w:val="0000" w:firstRow="0" w:lastRow="0" w:firstColumn="0" w:lastColumn="0" w:noHBand="0" w:noVBand="0"/>
      </w:tblPr>
      <w:tblGrid>
        <w:gridCol w:w="5949"/>
        <w:gridCol w:w="2693"/>
      </w:tblGrid>
      <w:tr w:rsidR="00FE482F" w:rsidRPr="00BF6D8B" w14:paraId="48AE5E98" w14:textId="77777777" w:rsidTr="00E36B1E">
        <w:tc>
          <w:tcPr>
            <w:tcW w:w="5949" w:type="dxa"/>
          </w:tcPr>
          <w:p w14:paraId="3A096B10" w14:textId="77777777" w:rsidR="00FE482F" w:rsidRPr="00BF6D8B" w:rsidRDefault="00FE482F" w:rsidP="001B4B1E">
            <w:pPr>
              <w:rPr>
                <w:sz w:val="16"/>
                <w:szCs w:val="16"/>
              </w:rPr>
            </w:pPr>
            <w:r w:rsidRPr="00BF6D8B">
              <w:rPr>
                <w:b/>
                <w:bCs/>
                <w:sz w:val="16"/>
                <w:szCs w:val="16"/>
              </w:rPr>
              <w:t xml:space="preserve">Measure </w:t>
            </w:r>
            <w:r w:rsidRPr="00BF6D8B">
              <w:rPr>
                <w:sz w:val="16"/>
                <w:szCs w:val="16"/>
              </w:rPr>
              <w:t>(n = 450)</w:t>
            </w:r>
          </w:p>
        </w:tc>
        <w:tc>
          <w:tcPr>
            <w:tcW w:w="2693" w:type="dxa"/>
          </w:tcPr>
          <w:p w14:paraId="165D0900" w14:textId="77777777" w:rsidR="00FE482F" w:rsidRPr="00BF6D8B" w:rsidRDefault="00FE482F" w:rsidP="001B4B1E">
            <w:pPr>
              <w:rPr>
                <w:sz w:val="16"/>
                <w:szCs w:val="16"/>
              </w:rPr>
            </w:pPr>
            <w:r w:rsidRPr="00BF6D8B">
              <w:rPr>
                <w:sz w:val="16"/>
                <w:szCs w:val="16"/>
              </w:rPr>
              <w:t>Mean (</w:t>
            </w:r>
            <w:r>
              <w:rPr>
                <w:sz w:val="16"/>
                <w:szCs w:val="16"/>
              </w:rPr>
              <w:t>SD</w:t>
            </w:r>
            <w:r w:rsidRPr="00BF6D8B">
              <w:rPr>
                <w:sz w:val="16"/>
                <w:szCs w:val="16"/>
              </w:rPr>
              <w:t>)</w:t>
            </w:r>
          </w:p>
          <w:p w14:paraId="0A2F03B8" w14:textId="77777777" w:rsidR="00FE482F" w:rsidRPr="00BF6D8B" w:rsidRDefault="00FE482F" w:rsidP="001B4B1E">
            <w:pPr>
              <w:rPr>
                <w:sz w:val="16"/>
                <w:szCs w:val="16"/>
              </w:rPr>
            </w:pPr>
            <w:r w:rsidRPr="00BF6D8B">
              <w:rPr>
                <w:sz w:val="16"/>
                <w:szCs w:val="16"/>
              </w:rPr>
              <w:t>[range]</w:t>
            </w:r>
          </w:p>
        </w:tc>
      </w:tr>
      <w:tr w:rsidR="00FE482F" w:rsidRPr="00BF6D8B" w14:paraId="41D70354" w14:textId="77777777" w:rsidTr="00E36B1E">
        <w:tc>
          <w:tcPr>
            <w:tcW w:w="5949" w:type="dxa"/>
          </w:tcPr>
          <w:p w14:paraId="646FC243" w14:textId="77777777" w:rsidR="00FE482F" w:rsidRPr="00BF6D8B" w:rsidRDefault="00FE482F" w:rsidP="001B4B1E">
            <w:pPr>
              <w:rPr>
                <w:sz w:val="16"/>
                <w:szCs w:val="16"/>
              </w:rPr>
            </w:pPr>
            <w:r w:rsidRPr="00BF6D8B">
              <w:rPr>
                <w:b/>
                <w:bCs/>
                <w:sz w:val="16"/>
                <w:szCs w:val="16"/>
                <w:u w:val="single"/>
              </w:rPr>
              <w:t>GAD-7 (anxiety)</w:t>
            </w:r>
            <w:r w:rsidRPr="00BF6D8B">
              <w:rPr>
                <w:sz w:val="16"/>
                <w:szCs w:val="16"/>
              </w:rPr>
              <w:t xml:space="preserve"> (min-max 0-21)</w:t>
            </w:r>
          </w:p>
          <w:p w14:paraId="2E7C6466" w14:textId="77777777" w:rsidR="00FE482F" w:rsidRPr="00BF6D8B" w:rsidRDefault="00FE482F" w:rsidP="001B4B1E">
            <w:pPr>
              <w:rPr>
                <w:sz w:val="16"/>
                <w:szCs w:val="16"/>
              </w:rPr>
            </w:pPr>
            <w:r w:rsidRPr="00BF6D8B">
              <w:rPr>
                <w:sz w:val="16"/>
                <w:szCs w:val="16"/>
              </w:rPr>
              <w:t>Scores ≥5=mild, ≥10=moderate, ≥15=severe</w:t>
            </w:r>
          </w:p>
        </w:tc>
        <w:tc>
          <w:tcPr>
            <w:tcW w:w="2693" w:type="dxa"/>
          </w:tcPr>
          <w:p w14:paraId="752471A5" w14:textId="77777777" w:rsidR="00FE482F" w:rsidRPr="00BF6D8B" w:rsidRDefault="00FE482F" w:rsidP="001B4B1E">
            <w:pPr>
              <w:rPr>
                <w:sz w:val="16"/>
                <w:szCs w:val="16"/>
              </w:rPr>
            </w:pPr>
            <w:r w:rsidRPr="00BF6D8B">
              <w:rPr>
                <w:sz w:val="16"/>
                <w:szCs w:val="16"/>
              </w:rPr>
              <w:t>14.1 (6.1)</w:t>
            </w:r>
          </w:p>
          <w:p w14:paraId="1228C9EB" w14:textId="77777777" w:rsidR="00FE482F" w:rsidRPr="00BF6D8B" w:rsidRDefault="00FE482F" w:rsidP="001B4B1E">
            <w:pPr>
              <w:rPr>
                <w:sz w:val="16"/>
                <w:szCs w:val="16"/>
              </w:rPr>
            </w:pPr>
            <w:r w:rsidRPr="00BF6D8B">
              <w:rPr>
                <w:sz w:val="16"/>
                <w:szCs w:val="16"/>
              </w:rPr>
              <w:t>[0-21]</w:t>
            </w:r>
          </w:p>
        </w:tc>
      </w:tr>
      <w:tr w:rsidR="00FE482F" w:rsidRPr="00BF6D8B" w14:paraId="3E1BBA77" w14:textId="77777777" w:rsidTr="00E36B1E">
        <w:tc>
          <w:tcPr>
            <w:tcW w:w="5949" w:type="dxa"/>
          </w:tcPr>
          <w:p w14:paraId="70A787E0" w14:textId="77777777" w:rsidR="00FE482F" w:rsidRPr="00BF6D8B" w:rsidRDefault="00FE482F" w:rsidP="001B4B1E">
            <w:pPr>
              <w:rPr>
                <w:sz w:val="16"/>
                <w:szCs w:val="16"/>
              </w:rPr>
            </w:pPr>
            <w:r w:rsidRPr="00BF6D8B">
              <w:rPr>
                <w:sz w:val="16"/>
                <w:szCs w:val="16"/>
              </w:rPr>
              <w:t xml:space="preserve">EQ-5D-3L VAS (Health </w:t>
            </w:r>
            <w:r>
              <w:rPr>
                <w:sz w:val="16"/>
                <w:szCs w:val="16"/>
              </w:rPr>
              <w:t>Today</w:t>
            </w:r>
            <w:r w:rsidRPr="00BF6D8B">
              <w:rPr>
                <w:sz w:val="16"/>
                <w:szCs w:val="16"/>
              </w:rPr>
              <w:t xml:space="preserve">) </w:t>
            </w:r>
          </w:p>
          <w:p w14:paraId="66149ED3" w14:textId="77777777" w:rsidR="00FE482F" w:rsidRPr="00BF6D8B" w:rsidRDefault="00FE482F" w:rsidP="001B4B1E">
            <w:pPr>
              <w:rPr>
                <w:sz w:val="16"/>
                <w:szCs w:val="16"/>
              </w:rPr>
            </w:pPr>
            <w:r w:rsidRPr="00BF6D8B">
              <w:rPr>
                <w:sz w:val="16"/>
                <w:szCs w:val="16"/>
              </w:rPr>
              <w:t>0=worst health, 100 = best health</w:t>
            </w:r>
          </w:p>
        </w:tc>
        <w:tc>
          <w:tcPr>
            <w:tcW w:w="2693" w:type="dxa"/>
          </w:tcPr>
          <w:p w14:paraId="401DE7A2" w14:textId="77777777" w:rsidR="00FE482F" w:rsidRPr="00BF6D8B" w:rsidRDefault="00FE482F" w:rsidP="001B4B1E">
            <w:pPr>
              <w:rPr>
                <w:sz w:val="16"/>
                <w:szCs w:val="16"/>
              </w:rPr>
            </w:pPr>
            <w:r w:rsidRPr="00BF6D8B">
              <w:rPr>
                <w:sz w:val="16"/>
                <w:szCs w:val="16"/>
              </w:rPr>
              <w:t>43.8 (21.2)</w:t>
            </w:r>
          </w:p>
          <w:p w14:paraId="564C09AB" w14:textId="77777777" w:rsidR="00FE482F" w:rsidRPr="00BF6D8B" w:rsidRDefault="00FE482F" w:rsidP="001B4B1E">
            <w:pPr>
              <w:rPr>
                <w:sz w:val="16"/>
                <w:szCs w:val="16"/>
              </w:rPr>
            </w:pPr>
            <w:r w:rsidRPr="00BF6D8B">
              <w:rPr>
                <w:sz w:val="16"/>
                <w:szCs w:val="16"/>
              </w:rPr>
              <w:t>[0-100]</w:t>
            </w:r>
          </w:p>
        </w:tc>
      </w:tr>
      <w:tr w:rsidR="00FE482F" w:rsidRPr="00BF6D8B" w14:paraId="0684B85D" w14:textId="77777777" w:rsidTr="00E36B1E">
        <w:tc>
          <w:tcPr>
            <w:tcW w:w="5949" w:type="dxa"/>
          </w:tcPr>
          <w:p w14:paraId="48CD3CCC" w14:textId="77777777" w:rsidR="00FE482F" w:rsidRPr="00BF6D8B" w:rsidRDefault="00FE482F" w:rsidP="001B4B1E">
            <w:pPr>
              <w:rPr>
                <w:sz w:val="16"/>
                <w:szCs w:val="16"/>
              </w:rPr>
            </w:pPr>
            <w:r w:rsidRPr="00BF6D8B">
              <w:rPr>
                <w:sz w:val="16"/>
                <w:szCs w:val="16"/>
              </w:rPr>
              <w:t>PHQ-15 (somatic symptoms) (min-max 0-30)</w:t>
            </w:r>
          </w:p>
          <w:p w14:paraId="04A24896" w14:textId="77777777" w:rsidR="00FE482F" w:rsidRPr="00BF6D8B" w:rsidRDefault="00FE482F" w:rsidP="001B4B1E">
            <w:pPr>
              <w:rPr>
                <w:sz w:val="16"/>
                <w:szCs w:val="16"/>
              </w:rPr>
            </w:pPr>
            <w:r w:rsidRPr="00BF6D8B">
              <w:rPr>
                <w:sz w:val="16"/>
                <w:szCs w:val="16"/>
              </w:rPr>
              <w:t>Higher scores reflect more symptoms</w:t>
            </w:r>
          </w:p>
        </w:tc>
        <w:tc>
          <w:tcPr>
            <w:tcW w:w="2693" w:type="dxa"/>
          </w:tcPr>
          <w:p w14:paraId="60C75A3D" w14:textId="77777777" w:rsidR="00FE482F" w:rsidRPr="00BF6D8B" w:rsidRDefault="00FE482F" w:rsidP="001B4B1E">
            <w:pPr>
              <w:rPr>
                <w:sz w:val="16"/>
                <w:szCs w:val="16"/>
              </w:rPr>
            </w:pPr>
            <w:r w:rsidRPr="00BF6D8B">
              <w:rPr>
                <w:sz w:val="16"/>
                <w:szCs w:val="16"/>
              </w:rPr>
              <w:t>16.8 (6.0)</w:t>
            </w:r>
          </w:p>
          <w:p w14:paraId="5ADDB565" w14:textId="77777777" w:rsidR="00FE482F" w:rsidRPr="00BF6D8B" w:rsidRDefault="00FE482F" w:rsidP="001B4B1E">
            <w:pPr>
              <w:rPr>
                <w:sz w:val="16"/>
                <w:szCs w:val="16"/>
              </w:rPr>
            </w:pPr>
            <w:r w:rsidRPr="00BF6D8B">
              <w:rPr>
                <w:sz w:val="16"/>
                <w:szCs w:val="16"/>
              </w:rPr>
              <w:t>[0-30]</w:t>
            </w:r>
          </w:p>
        </w:tc>
      </w:tr>
      <w:tr w:rsidR="00FE482F" w:rsidRPr="00BF6D8B" w14:paraId="384F435E" w14:textId="77777777" w:rsidTr="00E36B1E">
        <w:tc>
          <w:tcPr>
            <w:tcW w:w="5949" w:type="dxa"/>
          </w:tcPr>
          <w:p w14:paraId="2CA18501" w14:textId="77777777" w:rsidR="00FE482F" w:rsidRPr="00BF6D8B" w:rsidRDefault="00FE482F" w:rsidP="001B4B1E">
            <w:pPr>
              <w:rPr>
                <w:sz w:val="16"/>
                <w:szCs w:val="16"/>
              </w:rPr>
            </w:pPr>
            <w:r w:rsidRPr="00BF6D8B">
              <w:rPr>
                <w:sz w:val="16"/>
                <w:szCs w:val="16"/>
              </w:rPr>
              <w:t>PHQ-9 (depression) (min-max 0-27)</w:t>
            </w:r>
          </w:p>
          <w:p w14:paraId="4B783A33" w14:textId="77777777" w:rsidR="00FE482F" w:rsidRPr="00BF6D8B" w:rsidRDefault="00FE482F" w:rsidP="001B4B1E">
            <w:pPr>
              <w:rPr>
                <w:sz w:val="16"/>
                <w:szCs w:val="16"/>
              </w:rPr>
            </w:pPr>
            <w:r w:rsidRPr="00BF6D8B">
              <w:rPr>
                <w:sz w:val="16"/>
                <w:szCs w:val="16"/>
              </w:rPr>
              <w:t>Scores ≥10 typically taken to indicate clinical depression</w:t>
            </w:r>
          </w:p>
        </w:tc>
        <w:tc>
          <w:tcPr>
            <w:tcW w:w="2693" w:type="dxa"/>
          </w:tcPr>
          <w:p w14:paraId="5E5D9144" w14:textId="77777777" w:rsidR="00FE482F" w:rsidRPr="00BF6D8B" w:rsidRDefault="00FE482F" w:rsidP="001B4B1E">
            <w:pPr>
              <w:rPr>
                <w:sz w:val="16"/>
                <w:szCs w:val="16"/>
              </w:rPr>
            </w:pPr>
            <w:r w:rsidRPr="00BF6D8B">
              <w:rPr>
                <w:sz w:val="16"/>
                <w:szCs w:val="16"/>
              </w:rPr>
              <w:t>17.4 (6.8)</w:t>
            </w:r>
          </w:p>
          <w:p w14:paraId="469AB645" w14:textId="77777777" w:rsidR="00FE482F" w:rsidRPr="00BF6D8B" w:rsidRDefault="00FE482F" w:rsidP="001B4B1E">
            <w:pPr>
              <w:rPr>
                <w:sz w:val="16"/>
                <w:szCs w:val="16"/>
              </w:rPr>
            </w:pPr>
            <w:r w:rsidRPr="00BF6D8B">
              <w:rPr>
                <w:sz w:val="16"/>
                <w:szCs w:val="16"/>
              </w:rPr>
              <w:t>[0-27]</w:t>
            </w:r>
          </w:p>
        </w:tc>
      </w:tr>
      <w:tr w:rsidR="00FE482F" w:rsidRPr="00BF6D8B" w14:paraId="38E62232" w14:textId="77777777" w:rsidTr="00E36B1E">
        <w:tc>
          <w:tcPr>
            <w:tcW w:w="5949" w:type="dxa"/>
          </w:tcPr>
          <w:p w14:paraId="53D83FDE" w14:textId="77777777" w:rsidR="00FE482F" w:rsidRPr="00BF6D8B" w:rsidRDefault="00FE482F" w:rsidP="001B4B1E">
            <w:pPr>
              <w:rPr>
                <w:sz w:val="16"/>
                <w:szCs w:val="16"/>
              </w:rPr>
            </w:pPr>
            <w:r w:rsidRPr="00BF6D8B">
              <w:rPr>
                <w:sz w:val="16"/>
                <w:szCs w:val="16"/>
              </w:rPr>
              <w:t>PCL-5 (DSM-5 post-traumatic stress symptoms)(min-max 0-80)</w:t>
            </w:r>
          </w:p>
          <w:p w14:paraId="2A1715DF" w14:textId="77777777" w:rsidR="00FE482F" w:rsidRPr="00BF6D8B" w:rsidRDefault="00FE482F" w:rsidP="001B4B1E">
            <w:pPr>
              <w:rPr>
                <w:sz w:val="16"/>
                <w:szCs w:val="16"/>
              </w:rPr>
            </w:pPr>
            <w:r w:rsidRPr="00BF6D8B">
              <w:rPr>
                <w:sz w:val="16"/>
                <w:szCs w:val="16"/>
              </w:rPr>
              <w:t xml:space="preserve">A cut-point score of 31-33 and above typically taken to indicate clinical PTSD </w:t>
            </w:r>
          </w:p>
        </w:tc>
        <w:tc>
          <w:tcPr>
            <w:tcW w:w="2693" w:type="dxa"/>
          </w:tcPr>
          <w:p w14:paraId="52AEC6E8" w14:textId="77777777" w:rsidR="00FE482F" w:rsidRPr="00BF6D8B" w:rsidRDefault="00FE482F" w:rsidP="001B4B1E">
            <w:pPr>
              <w:rPr>
                <w:sz w:val="16"/>
                <w:szCs w:val="16"/>
              </w:rPr>
            </w:pPr>
            <w:r w:rsidRPr="00BF6D8B">
              <w:rPr>
                <w:sz w:val="16"/>
                <w:szCs w:val="16"/>
              </w:rPr>
              <w:t>44.6 (21.7)</w:t>
            </w:r>
          </w:p>
          <w:p w14:paraId="16118348" w14:textId="77777777" w:rsidR="00FE482F" w:rsidRPr="00BF6D8B" w:rsidRDefault="00FE482F" w:rsidP="001B4B1E">
            <w:pPr>
              <w:rPr>
                <w:sz w:val="16"/>
                <w:szCs w:val="16"/>
              </w:rPr>
            </w:pPr>
            <w:r w:rsidRPr="00BF6D8B">
              <w:rPr>
                <w:sz w:val="16"/>
                <w:szCs w:val="16"/>
              </w:rPr>
              <w:t>[0-80]</w:t>
            </w:r>
          </w:p>
        </w:tc>
      </w:tr>
      <w:tr w:rsidR="00FE482F" w:rsidRPr="00BF6D8B" w14:paraId="367A28D4" w14:textId="77777777" w:rsidTr="00E36B1E">
        <w:tc>
          <w:tcPr>
            <w:tcW w:w="5949" w:type="dxa"/>
          </w:tcPr>
          <w:p w14:paraId="6FBAA51D" w14:textId="77777777" w:rsidR="00FE482F" w:rsidRPr="00BF6D8B" w:rsidRDefault="00FE482F" w:rsidP="001B4B1E">
            <w:pPr>
              <w:rPr>
                <w:sz w:val="16"/>
                <w:szCs w:val="16"/>
              </w:rPr>
            </w:pPr>
            <w:r w:rsidRPr="00BF6D8B">
              <w:rPr>
                <w:sz w:val="16"/>
                <w:szCs w:val="16"/>
              </w:rPr>
              <w:t>WASAS (Impact of symptoms on functioning) (min-max 0-40)</w:t>
            </w:r>
          </w:p>
          <w:p w14:paraId="665D3847" w14:textId="77777777" w:rsidR="00FE482F" w:rsidRPr="00BF6D8B" w:rsidRDefault="00FE482F" w:rsidP="001B4B1E">
            <w:pPr>
              <w:rPr>
                <w:sz w:val="16"/>
                <w:szCs w:val="16"/>
              </w:rPr>
            </w:pPr>
            <w:r w:rsidRPr="00BF6D8B">
              <w:rPr>
                <w:sz w:val="16"/>
                <w:szCs w:val="16"/>
              </w:rPr>
              <w:t>&lt;10 subclinical, 10-20 significant impairment but less severe symptomatology, &gt;20 moderate, severe or worse psychopathology.</w:t>
            </w:r>
          </w:p>
        </w:tc>
        <w:tc>
          <w:tcPr>
            <w:tcW w:w="2693" w:type="dxa"/>
          </w:tcPr>
          <w:p w14:paraId="2144E79E" w14:textId="77777777" w:rsidR="00FE482F" w:rsidRPr="00BF6D8B" w:rsidRDefault="00FE482F" w:rsidP="001B4B1E">
            <w:pPr>
              <w:rPr>
                <w:sz w:val="16"/>
                <w:szCs w:val="16"/>
              </w:rPr>
            </w:pPr>
            <w:r w:rsidRPr="00BF6D8B">
              <w:rPr>
                <w:sz w:val="16"/>
                <w:szCs w:val="16"/>
              </w:rPr>
              <w:t>25.6 (10.1)</w:t>
            </w:r>
          </w:p>
          <w:p w14:paraId="6B765A7C" w14:textId="77777777" w:rsidR="00FE482F" w:rsidRPr="00BF6D8B" w:rsidRDefault="00FE482F" w:rsidP="001B4B1E">
            <w:pPr>
              <w:rPr>
                <w:sz w:val="16"/>
                <w:szCs w:val="16"/>
              </w:rPr>
            </w:pPr>
            <w:r w:rsidRPr="00BF6D8B">
              <w:rPr>
                <w:sz w:val="16"/>
                <w:szCs w:val="16"/>
              </w:rPr>
              <w:t>[0-40]</w:t>
            </w:r>
          </w:p>
        </w:tc>
      </w:tr>
      <w:tr w:rsidR="00FE482F" w:rsidRPr="00BF6D8B" w14:paraId="7AD5A69B" w14:textId="77777777" w:rsidTr="00E36B1E">
        <w:tc>
          <w:tcPr>
            <w:tcW w:w="5949" w:type="dxa"/>
          </w:tcPr>
          <w:p w14:paraId="077D2882" w14:textId="77777777" w:rsidR="00FE482F" w:rsidRPr="00BF6D8B" w:rsidRDefault="00FE482F" w:rsidP="001B4B1E">
            <w:pPr>
              <w:rPr>
                <w:sz w:val="16"/>
                <w:szCs w:val="16"/>
              </w:rPr>
            </w:pPr>
            <w:r w:rsidRPr="00BF6D8B">
              <w:rPr>
                <w:sz w:val="16"/>
                <w:szCs w:val="16"/>
              </w:rPr>
              <w:t>UCS (Unmitigated communion) (min-max 9-45)</w:t>
            </w:r>
          </w:p>
          <w:p w14:paraId="6787AE62" w14:textId="77777777" w:rsidR="00FE482F" w:rsidRPr="00BF6D8B" w:rsidRDefault="00FE482F" w:rsidP="001B4B1E">
            <w:pPr>
              <w:rPr>
                <w:sz w:val="16"/>
                <w:szCs w:val="16"/>
              </w:rPr>
            </w:pPr>
            <w:r w:rsidRPr="00BF6D8B">
              <w:rPr>
                <w:sz w:val="16"/>
                <w:szCs w:val="16"/>
              </w:rPr>
              <w:t>The higher the score</w:t>
            </w:r>
            <w:r>
              <w:rPr>
                <w:sz w:val="16"/>
                <w:szCs w:val="16"/>
              </w:rPr>
              <w:t>,</w:t>
            </w:r>
            <w:r w:rsidRPr="00BF6D8B">
              <w:rPr>
                <w:sz w:val="16"/>
                <w:szCs w:val="16"/>
              </w:rPr>
              <w:t xml:space="preserve"> the higher the tendency to focus on others to </w:t>
            </w:r>
            <w:r>
              <w:rPr>
                <w:sz w:val="16"/>
                <w:szCs w:val="16"/>
              </w:rPr>
              <w:t>exclude</w:t>
            </w:r>
            <w:r w:rsidRPr="00BF6D8B">
              <w:rPr>
                <w:sz w:val="16"/>
                <w:szCs w:val="16"/>
              </w:rPr>
              <w:t xml:space="preserve"> the self.</w:t>
            </w:r>
          </w:p>
        </w:tc>
        <w:tc>
          <w:tcPr>
            <w:tcW w:w="2693" w:type="dxa"/>
          </w:tcPr>
          <w:p w14:paraId="5B39D76B" w14:textId="77777777" w:rsidR="00FE482F" w:rsidRPr="00BF6D8B" w:rsidRDefault="00FE482F" w:rsidP="001B4B1E">
            <w:pPr>
              <w:rPr>
                <w:sz w:val="16"/>
                <w:szCs w:val="16"/>
              </w:rPr>
            </w:pPr>
            <w:r w:rsidRPr="00BF6D8B">
              <w:rPr>
                <w:sz w:val="16"/>
                <w:szCs w:val="16"/>
              </w:rPr>
              <w:t>32.7 (6.8)</w:t>
            </w:r>
          </w:p>
          <w:p w14:paraId="5509FA56" w14:textId="77777777" w:rsidR="00FE482F" w:rsidRPr="00BF6D8B" w:rsidRDefault="00FE482F" w:rsidP="001B4B1E">
            <w:pPr>
              <w:rPr>
                <w:sz w:val="16"/>
                <w:szCs w:val="16"/>
              </w:rPr>
            </w:pPr>
            <w:r w:rsidRPr="00BF6D8B">
              <w:rPr>
                <w:sz w:val="16"/>
                <w:szCs w:val="16"/>
              </w:rPr>
              <w:t>[13-45]</w:t>
            </w:r>
          </w:p>
        </w:tc>
      </w:tr>
    </w:tbl>
    <w:p w14:paraId="716581B1" w14:textId="77777777" w:rsidR="00FE482F" w:rsidRDefault="00FE482F" w:rsidP="00BF6D8B">
      <w:pPr>
        <w:spacing w:line="276" w:lineRule="auto"/>
        <w:rPr>
          <w:i/>
          <w:iCs/>
          <w:sz w:val="16"/>
          <w:szCs w:val="18"/>
        </w:rPr>
      </w:pPr>
    </w:p>
    <w:p w14:paraId="5E2D4707" w14:textId="77777777" w:rsidR="00FE482F" w:rsidRPr="00BF6D8B" w:rsidRDefault="00FE482F" w:rsidP="00BF6D8B">
      <w:pPr>
        <w:spacing w:line="276" w:lineRule="auto"/>
        <w:rPr>
          <w:i/>
          <w:iCs/>
          <w:sz w:val="16"/>
          <w:szCs w:val="18"/>
        </w:rPr>
      </w:pPr>
      <w:r w:rsidRPr="00BF6D8B">
        <w:rPr>
          <w:i/>
          <w:iCs/>
          <w:sz w:val="16"/>
          <w:szCs w:val="18"/>
        </w:rPr>
        <w:t xml:space="preserve">Note: </w:t>
      </w:r>
      <w:r>
        <w:rPr>
          <w:i/>
          <w:iCs/>
          <w:sz w:val="16"/>
          <w:szCs w:val="18"/>
        </w:rPr>
        <w:t>SD</w:t>
      </w:r>
      <w:r w:rsidRPr="00BF6D8B">
        <w:rPr>
          <w:i/>
          <w:iCs/>
          <w:sz w:val="16"/>
          <w:szCs w:val="18"/>
        </w:rPr>
        <w:t xml:space="preserve"> = standard deviation; GAD-7 = Generalised Anxiety Disorder Assessment-7; EQ-5D-5L VAS European Quality of Life-5 Dimensions-5 Levels Visual Analogue Scale; PHQ-15 = Patient Health Questionnaire-15; PHQ-9 = Patient Health Questionnaire-9; PCL-5 = DSM-5 PTSD Checklist-5; WASAS = Work and Social Adjustment Scale; UCS = Unmitigated Communion Scale.</w:t>
      </w:r>
    </w:p>
    <w:p w14:paraId="0A0ACEC2" w14:textId="77777777" w:rsidR="00FE482F" w:rsidRDefault="00FE482F" w:rsidP="001B4B1E"/>
    <w:p w14:paraId="5BAA9B94" w14:textId="77777777" w:rsidR="00FE482F" w:rsidRPr="005819E1" w:rsidRDefault="00FE482F" w:rsidP="001B4B1E">
      <w:pPr>
        <w:pStyle w:val="Heading3"/>
      </w:pPr>
      <w:bookmarkStart w:id="89" w:name="_Toc137504712"/>
      <w:r>
        <w:t>3.</w:t>
      </w:r>
      <w:r w:rsidRPr="005819E1">
        <w:t xml:space="preserve">3.2 </w:t>
      </w:r>
      <w:r>
        <w:t>Baseline EASE-F descriptive analyses</w:t>
      </w:r>
      <w:bookmarkEnd w:id="89"/>
    </w:p>
    <w:p w14:paraId="3B1F51F6" w14:textId="77777777" w:rsidR="00FE482F" w:rsidRDefault="00FE482F" w:rsidP="001B4B1E">
      <w:pPr>
        <w:pStyle w:val="Heading4"/>
      </w:pPr>
      <w:r>
        <w:t>3.</w:t>
      </w:r>
      <w:r w:rsidRPr="005819E1">
        <w:t>3.</w:t>
      </w:r>
      <w:r>
        <w:t>2</w:t>
      </w:r>
      <w:r w:rsidRPr="005819E1">
        <w:t>.</w:t>
      </w:r>
      <w:r>
        <w:t>1</w:t>
      </w:r>
      <w:r w:rsidRPr="005819E1">
        <w:t xml:space="preserve"> </w:t>
      </w:r>
      <w:r>
        <w:t>EASE-F</w:t>
      </w:r>
      <w:r w:rsidRPr="005819E1">
        <w:t xml:space="preserve"> Acceptability</w:t>
      </w:r>
    </w:p>
    <w:p w14:paraId="3B981200" w14:textId="77777777" w:rsidR="00FE482F" w:rsidRPr="00C86C8A" w:rsidRDefault="00FE482F" w:rsidP="001B4B1E">
      <w:pPr>
        <w:rPr>
          <w:u w:val="single"/>
        </w:rPr>
      </w:pPr>
      <w:r w:rsidRPr="00C86C8A">
        <w:rPr>
          <w:u w:val="single"/>
        </w:rPr>
        <w:t>Missing data analyses</w:t>
      </w:r>
    </w:p>
    <w:p w14:paraId="53F7565A" w14:textId="77777777" w:rsidR="00FE482F" w:rsidRPr="009102C7" w:rsidRDefault="00FE482F" w:rsidP="001B4B1E">
      <w:pPr>
        <w:rPr>
          <w:lang w:eastAsia="zh-CN"/>
        </w:rPr>
      </w:pPr>
      <w:r w:rsidRPr="009102C7">
        <w:rPr>
          <w:lang w:eastAsia="zh-CN"/>
        </w:rPr>
        <w:t xml:space="preserve">The </w:t>
      </w:r>
      <w:r>
        <w:rPr>
          <w:lang w:eastAsia="zh-CN"/>
        </w:rPr>
        <w:t>EASE-F</w:t>
      </w:r>
      <w:r w:rsidRPr="009102C7">
        <w:rPr>
          <w:lang w:eastAsia="zh-CN"/>
        </w:rPr>
        <w:t xml:space="preserve"> questionnaire was not attempted/completed by 19</w:t>
      </w:r>
      <w:r>
        <w:rPr>
          <w:lang w:eastAsia="zh-CN"/>
        </w:rPr>
        <w:t>/469</w:t>
      </w:r>
      <w:r w:rsidRPr="009102C7">
        <w:rPr>
          <w:lang w:eastAsia="zh-CN"/>
        </w:rPr>
        <w:t xml:space="preserve"> </w:t>
      </w:r>
      <w:r>
        <w:rPr>
          <w:lang w:eastAsia="zh-CN"/>
        </w:rPr>
        <w:t xml:space="preserve">(4.1%) </w:t>
      </w:r>
      <w:r w:rsidRPr="009102C7">
        <w:rPr>
          <w:lang w:eastAsia="zh-CN"/>
        </w:rPr>
        <w:t>respondents.</w:t>
      </w:r>
      <w:r>
        <w:rPr>
          <w:lang w:eastAsia="zh-CN"/>
        </w:rPr>
        <w:t xml:space="preserve"> </w:t>
      </w:r>
      <w:r w:rsidRPr="009102C7">
        <w:rPr>
          <w:lang w:eastAsia="zh-CN"/>
        </w:rPr>
        <w:t xml:space="preserve">Analysis of these cases showed that 9 of these patients omitted the </w:t>
      </w:r>
      <w:r w:rsidRPr="009102C7">
        <w:rPr>
          <w:lang w:eastAsia="zh-CN"/>
        </w:rPr>
        <w:lastRenderedPageBreak/>
        <w:t xml:space="preserve">complete questionnaire battery, and a further </w:t>
      </w:r>
      <w:r>
        <w:rPr>
          <w:lang w:eastAsia="zh-CN"/>
        </w:rPr>
        <w:t>four</w:t>
      </w:r>
      <w:r w:rsidRPr="009102C7">
        <w:rPr>
          <w:lang w:eastAsia="zh-CN"/>
        </w:rPr>
        <w:t xml:space="preserve"> patients omitted </w:t>
      </w:r>
      <w:r>
        <w:rPr>
          <w:lang w:eastAsia="zh-CN"/>
        </w:rPr>
        <w:t xml:space="preserve">a </w:t>
      </w:r>
      <w:r w:rsidRPr="009102C7">
        <w:rPr>
          <w:lang w:eastAsia="zh-CN"/>
        </w:rPr>
        <w:t xml:space="preserve">significant </w:t>
      </w:r>
      <w:r>
        <w:rPr>
          <w:lang w:eastAsia="zh-CN"/>
        </w:rPr>
        <w:t xml:space="preserve">proportion </w:t>
      </w:r>
      <w:r w:rsidRPr="009102C7">
        <w:rPr>
          <w:lang w:eastAsia="zh-CN"/>
        </w:rPr>
        <w:t>of the battery</w:t>
      </w:r>
      <w:r>
        <w:rPr>
          <w:lang w:eastAsia="zh-CN"/>
        </w:rPr>
        <w:t>, including the EASE-F</w:t>
      </w:r>
      <w:r w:rsidRPr="009102C7">
        <w:rPr>
          <w:lang w:eastAsia="zh-CN"/>
        </w:rPr>
        <w:t>.</w:t>
      </w:r>
      <w:r>
        <w:rPr>
          <w:lang w:eastAsia="zh-CN"/>
        </w:rPr>
        <w:t xml:space="preserve"> The remaining six</w:t>
      </w:r>
      <w:r w:rsidRPr="009102C7">
        <w:rPr>
          <w:lang w:eastAsia="zh-CN"/>
        </w:rPr>
        <w:t xml:space="preserve"> patients omitted the </w:t>
      </w:r>
      <w:r>
        <w:rPr>
          <w:lang w:eastAsia="zh-CN"/>
        </w:rPr>
        <w:t>EASE-F exclusively</w:t>
      </w:r>
      <w:r w:rsidRPr="009102C7">
        <w:rPr>
          <w:lang w:eastAsia="zh-CN"/>
        </w:rPr>
        <w:t xml:space="preserve"> within the battery.</w:t>
      </w:r>
    </w:p>
    <w:p w14:paraId="52B8980E" w14:textId="77777777" w:rsidR="00FE482F" w:rsidRPr="009102C7" w:rsidRDefault="00FE482F" w:rsidP="001B4B1E">
      <w:pPr>
        <w:rPr>
          <w:lang w:eastAsia="zh-CN"/>
        </w:rPr>
      </w:pPr>
      <w:r w:rsidRPr="009102C7">
        <w:rPr>
          <w:lang w:eastAsia="zh-CN"/>
        </w:rPr>
        <w:t xml:space="preserve">In the </w:t>
      </w:r>
      <w:r>
        <w:rPr>
          <w:lang w:eastAsia="zh-CN"/>
        </w:rPr>
        <w:t>remaining sample (n=450)</w:t>
      </w:r>
      <w:r w:rsidRPr="009102C7">
        <w:rPr>
          <w:lang w:eastAsia="zh-CN"/>
        </w:rPr>
        <w:t>, missing data was found in 27.51% of cases.</w:t>
      </w:r>
      <w:r>
        <w:rPr>
          <w:lang w:eastAsia="zh-CN"/>
        </w:rPr>
        <w:t xml:space="preserve"> Four</w:t>
      </w:r>
      <w:r w:rsidRPr="009102C7">
        <w:rPr>
          <w:lang w:eastAsia="zh-CN"/>
        </w:rPr>
        <w:t xml:space="preserve"> items were follow-up questions related to the previous questions.</w:t>
      </w:r>
      <w:r>
        <w:rPr>
          <w:lang w:eastAsia="zh-CN"/>
        </w:rPr>
        <w:t xml:space="preserve"> </w:t>
      </w:r>
      <w:r w:rsidRPr="009102C7">
        <w:rPr>
          <w:lang w:eastAsia="zh-CN"/>
        </w:rPr>
        <w:t>Items</w:t>
      </w:r>
      <w:r>
        <w:rPr>
          <w:lang w:eastAsia="zh-CN"/>
        </w:rPr>
        <w:t xml:space="preserve"> 12.1,</w:t>
      </w:r>
      <w:r w:rsidRPr="009102C7">
        <w:rPr>
          <w:lang w:eastAsia="zh-CN"/>
        </w:rPr>
        <w:t xml:space="preserve"> 14.1, 15.1 and 17.1 asked</w:t>
      </w:r>
      <w:r>
        <w:rPr>
          <w:lang w:eastAsia="zh-CN"/>
        </w:rPr>
        <w:t>,</w:t>
      </w:r>
      <w:r w:rsidRPr="009102C7">
        <w:rPr>
          <w:lang w:eastAsia="zh-CN"/>
        </w:rPr>
        <w:t xml:space="preserve"> </w:t>
      </w:r>
      <w:r>
        <w:rPr>
          <w:lang w:eastAsia="zh-CN"/>
        </w:rPr>
        <w:t>'</w:t>
      </w:r>
      <w:r w:rsidRPr="009102C7">
        <w:rPr>
          <w:lang w:eastAsia="zh-CN"/>
        </w:rPr>
        <w:t>I was like that before my illness</w:t>
      </w:r>
      <w:r>
        <w:rPr>
          <w:lang w:eastAsia="zh-CN"/>
        </w:rPr>
        <w:t>'</w:t>
      </w:r>
      <w:r w:rsidRPr="009102C7">
        <w:rPr>
          <w:lang w:eastAsia="zh-CN"/>
        </w:rPr>
        <w:t xml:space="preserve"> with a </w:t>
      </w:r>
      <w:r>
        <w:rPr>
          <w:lang w:eastAsia="zh-CN"/>
        </w:rPr>
        <w:t>three</w:t>
      </w:r>
      <w:r w:rsidRPr="009102C7">
        <w:rPr>
          <w:lang w:eastAsia="zh-CN"/>
        </w:rPr>
        <w:t xml:space="preserve"> point-Likert scale; </w:t>
      </w:r>
      <w:r>
        <w:rPr>
          <w:lang w:eastAsia="zh-CN"/>
        </w:rPr>
        <w:t>'</w:t>
      </w:r>
      <w:r w:rsidRPr="009102C7">
        <w:rPr>
          <w:lang w:eastAsia="zh-CN"/>
        </w:rPr>
        <w:t>More than now</w:t>
      </w:r>
      <w:r>
        <w:rPr>
          <w:lang w:eastAsia="zh-CN"/>
        </w:rPr>
        <w:t>'</w:t>
      </w:r>
      <w:r w:rsidRPr="009102C7">
        <w:rPr>
          <w:lang w:eastAsia="zh-CN"/>
        </w:rPr>
        <w:t xml:space="preserve">, </w:t>
      </w:r>
      <w:r>
        <w:rPr>
          <w:lang w:eastAsia="zh-CN"/>
        </w:rPr>
        <w:t>'</w:t>
      </w:r>
      <w:r w:rsidRPr="009102C7">
        <w:rPr>
          <w:lang w:eastAsia="zh-CN"/>
        </w:rPr>
        <w:t>As much as now</w:t>
      </w:r>
      <w:r>
        <w:rPr>
          <w:lang w:eastAsia="zh-CN"/>
        </w:rPr>
        <w:t>'</w:t>
      </w:r>
      <w:r w:rsidRPr="009102C7">
        <w:rPr>
          <w:lang w:eastAsia="zh-CN"/>
        </w:rPr>
        <w:t xml:space="preserve"> or </w:t>
      </w:r>
      <w:r>
        <w:rPr>
          <w:lang w:eastAsia="zh-CN"/>
        </w:rPr>
        <w:t>'</w:t>
      </w:r>
      <w:r w:rsidRPr="009102C7">
        <w:rPr>
          <w:lang w:eastAsia="zh-CN"/>
        </w:rPr>
        <w:t>Less than now</w:t>
      </w:r>
      <w:r>
        <w:rPr>
          <w:lang w:eastAsia="zh-CN"/>
        </w:rPr>
        <w:t>'</w:t>
      </w:r>
      <w:r w:rsidRPr="009102C7">
        <w:rPr>
          <w:lang w:eastAsia="zh-CN"/>
        </w:rPr>
        <w:t>.</w:t>
      </w:r>
      <w:r>
        <w:rPr>
          <w:lang w:eastAsia="zh-CN"/>
        </w:rPr>
        <w:t xml:space="preserve"> </w:t>
      </w:r>
      <w:r w:rsidRPr="009102C7">
        <w:rPr>
          <w:lang w:eastAsia="zh-CN"/>
        </w:rPr>
        <w:t xml:space="preserve">Each of these questions had at least </w:t>
      </w:r>
      <w:r>
        <w:rPr>
          <w:lang w:eastAsia="zh-CN"/>
        </w:rPr>
        <w:t>one</w:t>
      </w:r>
      <w:r w:rsidRPr="009102C7">
        <w:rPr>
          <w:lang w:eastAsia="zh-CN"/>
        </w:rPr>
        <w:t xml:space="preserve"> missing value across the </w:t>
      </w:r>
      <w:r>
        <w:rPr>
          <w:lang w:eastAsia="zh-CN"/>
        </w:rPr>
        <w:t>patients'</w:t>
      </w:r>
      <w:r w:rsidRPr="009102C7">
        <w:rPr>
          <w:lang w:eastAsia="zh-CN"/>
        </w:rPr>
        <w:t xml:space="preserve"> responses</w:t>
      </w:r>
      <w:r>
        <w:rPr>
          <w:lang w:eastAsia="zh-CN"/>
        </w:rPr>
        <w:t>,</w:t>
      </w:r>
      <w:r w:rsidRPr="009102C7">
        <w:rPr>
          <w:lang w:eastAsia="zh-CN"/>
        </w:rPr>
        <w:t xml:space="preserve"> and responses were missing in these items in 24.3% of respondents.</w:t>
      </w:r>
      <w:r>
        <w:rPr>
          <w:lang w:eastAsia="zh-CN"/>
        </w:rPr>
        <w:t xml:space="preserve"> </w:t>
      </w:r>
      <w:r w:rsidRPr="009102C7">
        <w:rPr>
          <w:lang w:eastAsia="zh-CN"/>
        </w:rPr>
        <w:t>7 items ( 37.1, 37.2, 38.1, 38.2, 39.1, 39.2, and 39.3) were potentially unanswered based on the applicability of the items (that is, follow-up questions to a previous qualifier question or yes/no question), e.g.</w:t>
      </w:r>
      <w:r>
        <w:rPr>
          <w:lang w:eastAsia="zh-CN"/>
        </w:rPr>
        <w:t>,</w:t>
      </w:r>
      <w:r w:rsidRPr="009102C7">
        <w:rPr>
          <w:lang w:eastAsia="zh-CN"/>
        </w:rPr>
        <w:t xml:space="preserve"> Item 37:</w:t>
      </w:r>
    </w:p>
    <w:p w14:paraId="0EAE375E" w14:textId="77777777" w:rsidR="00FE482F" w:rsidRPr="009102C7" w:rsidRDefault="00FE482F" w:rsidP="001B4B1E">
      <w:pPr>
        <w:rPr>
          <w:lang w:eastAsia="zh-CN"/>
        </w:rPr>
      </w:pPr>
      <w:r>
        <w:rPr>
          <w:lang w:eastAsia="zh-CN"/>
        </w:rPr>
        <w:t xml:space="preserve">37. </w:t>
      </w:r>
      <w:r w:rsidRPr="009102C7">
        <w:rPr>
          <w:lang w:eastAsia="zh-CN"/>
        </w:rPr>
        <w:t xml:space="preserve">I know at least one trigger for the symptoms of my illness. </w:t>
      </w:r>
    </w:p>
    <w:p w14:paraId="4C8EC24D" w14:textId="77777777" w:rsidR="00FE482F" w:rsidRPr="009102C7" w:rsidRDefault="00FE482F" w:rsidP="001B4B1E">
      <w:pPr>
        <w:rPr>
          <w:lang w:eastAsia="zh-CN"/>
        </w:rPr>
      </w:pPr>
      <w:r>
        <w:rPr>
          <w:lang w:eastAsia="zh-CN"/>
        </w:rPr>
        <w:t xml:space="preserve">- </w:t>
      </w:r>
      <w:r w:rsidRPr="009102C7">
        <w:rPr>
          <w:lang w:eastAsia="zh-CN"/>
        </w:rPr>
        <w:t xml:space="preserve">Yes (1) </w:t>
      </w:r>
    </w:p>
    <w:p w14:paraId="1BC0E3CF" w14:textId="77777777" w:rsidR="00FE482F" w:rsidRPr="009102C7" w:rsidRDefault="00FE482F" w:rsidP="001B4B1E">
      <w:pPr>
        <w:rPr>
          <w:lang w:eastAsia="zh-CN"/>
        </w:rPr>
      </w:pPr>
      <w:r>
        <w:rPr>
          <w:lang w:eastAsia="zh-CN"/>
        </w:rPr>
        <w:t xml:space="preserve">- </w:t>
      </w:r>
      <w:r w:rsidRPr="009102C7">
        <w:rPr>
          <w:lang w:eastAsia="zh-CN"/>
        </w:rPr>
        <w:t xml:space="preserve">No or not applicable, my illness does not vary (0) </w:t>
      </w:r>
    </w:p>
    <w:p w14:paraId="51F03BE3" w14:textId="77777777" w:rsidR="00FE482F" w:rsidRPr="009102C7" w:rsidRDefault="00FE482F" w:rsidP="001B4B1E">
      <w:pPr>
        <w:rPr>
          <w:lang w:eastAsia="zh-CN"/>
        </w:rPr>
      </w:pPr>
      <w:r w:rsidRPr="009102C7">
        <w:rPr>
          <w:lang w:eastAsia="zh-CN"/>
        </w:rPr>
        <w:t>37.1 If yes: please describe your trigger/s:</w:t>
      </w:r>
    </w:p>
    <w:p w14:paraId="08365C71" w14:textId="77777777" w:rsidR="00FE482F" w:rsidRPr="009102C7" w:rsidRDefault="00FE482F" w:rsidP="001B4B1E">
      <w:pPr>
        <w:rPr>
          <w:lang w:eastAsia="zh-CN"/>
        </w:rPr>
      </w:pPr>
      <w:r w:rsidRPr="009102C7">
        <w:rPr>
          <w:lang w:eastAsia="zh-CN"/>
        </w:rPr>
        <w:t>37.2 If yes: I can avoid this trigger/these triggers in my daily life.</w:t>
      </w:r>
    </w:p>
    <w:p w14:paraId="288520E3" w14:textId="77777777" w:rsidR="00FE482F" w:rsidRPr="009102C7" w:rsidRDefault="00FE482F" w:rsidP="001B4B1E">
      <w:pPr>
        <w:rPr>
          <w:lang w:eastAsia="zh-CN"/>
        </w:rPr>
      </w:pPr>
      <w:r>
        <w:rPr>
          <w:lang w:eastAsia="zh-CN"/>
        </w:rPr>
        <w:t xml:space="preserve">- </w:t>
      </w:r>
      <w:r w:rsidRPr="009102C7">
        <w:rPr>
          <w:lang w:eastAsia="zh-CN"/>
        </w:rPr>
        <w:t xml:space="preserve">Yes (1) </w:t>
      </w:r>
    </w:p>
    <w:p w14:paraId="164B6308" w14:textId="77777777" w:rsidR="00FE482F" w:rsidRDefault="00FE482F" w:rsidP="001B4B1E">
      <w:pPr>
        <w:rPr>
          <w:lang w:eastAsia="zh-CN"/>
        </w:rPr>
      </w:pPr>
      <w:r>
        <w:rPr>
          <w:lang w:eastAsia="zh-CN"/>
        </w:rPr>
        <w:t xml:space="preserve">- </w:t>
      </w:r>
      <w:r w:rsidRPr="009102C7">
        <w:rPr>
          <w:lang w:eastAsia="zh-CN"/>
        </w:rPr>
        <w:t>No (0)</w:t>
      </w:r>
    </w:p>
    <w:p w14:paraId="6522F715" w14:textId="77777777" w:rsidR="00FE482F" w:rsidRPr="00106295" w:rsidRDefault="00FE482F" w:rsidP="001B4B1E">
      <w:pPr>
        <w:rPr>
          <w:lang w:eastAsia="zh-CN"/>
        </w:rPr>
      </w:pPr>
      <w:r w:rsidRPr="00106295">
        <w:rPr>
          <w:lang w:eastAsia="zh-CN"/>
        </w:rPr>
        <w:t>Of those where the item was applicable (yes response)</w:t>
      </w:r>
      <w:r>
        <w:rPr>
          <w:lang w:eastAsia="zh-CN"/>
        </w:rPr>
        <w:t>,</w:t>
      </w:r>
      <w:r w:rsidRPr="00106295">
        <w:rPr>
          <w:lang w:eastAsia="zh-CN"/>
        </w:rPr>
        <w:t xml:space="preserve"> responses in the first follow-up item were missing in 1.9 – 4.3% of patients, and in the </w:t>
      </w:r>
      <w:r>
        <w:rPr>
          <w:lang w:eastAsia="zh-CN"/>
        </w:rPr>
        <w:t>second</w:t>
      </w:r>
      <w:r w:rsidRPr="00106295">
        <w:rPr>
          <w:lang w:eastAsia="zh-CN"/>
        </w:rPr>
        <w:t xml:space="preserve"> </w:t>
      </w:r>
      <w:r>
        <w:rPr>
          <w:lang w:eastAsia="zh-CN"/>
        </w:rPr>
        <w:t>follow-up</w:t>
      </w:r>
      <w:r w:rsidRPr="00106295">
        <w:rPr>
          <w:lang w:eastAsia="zh-CN"/>
        </w:rPr>
        <w:t xml:space="preserve"> item, responses were missing in 5.6 – 24.2% of patients.</w:t>
      </w:r>
      <w:r>
        <w:rPr>
          <w:lang w:eastAsia="zh-CN"/>
        </w:rPr>
        <w:t xml:space="preserve"> See Table 5. </w:t>
      </w:r>
    </w:p>
    <w:p w14:paraId="096DBDEB" w14:textId="77777777" w:rsidR="00FE482F" w:rsidRDefault="00FE482F" w:rsidP="001B4B1E">
      <w:pPr>
        <w:rPr>
          <w:highlight w:val="yellow"/>
          <w:lang w:eastAsia="zh-CN"/>
        </w:rPr>
      </w:pPr>
    </w:p>
    <w:p w14:paraId="521B9951" w14:textId="77777777" w:rsidR="00FE482F" w:rsidRPr="00875937" w:rsidRDefault="00FE482F" w:rsidP="001B4B1E">
      <w:pPr>
        <w:rPr>
          <w:lang w:eastAsia="zh-CN"/>
        </w:rPr>
      </w:pPr>
      <w:r w:rsidRPr="00875937">
        <w:rPr>
          <w:lang w:eastAsia="zh-CN"/>
        </w:rPr>
        <w:t xml:space="preserve">Table </w:t>
      </w:r>
      <w:r>
        <w:rPr>
          <w:lang w:eastAsia="zh-CN"/>
        </w:rPr>
        <w:t>5</w:t>
      </w:r>
      <w:r w:rsidRPr="00875937">
        <w:rPr>
          <w:lang w:eastAsia="zh-CN"/>
        </w:rPr>
        <w:t>.</w:t>
      </w:r>
      <w:r>
        <w:rPr>
          <w:lang w:eastAsia="zh-CN"/>
        </w:rPr>
        <w:t xml:space="preserve"> </w:t>
      </w:r>
      <w:r w:rsidRPr="00875937">
        <w:rPr>
          <w:lang w:eastAsia="zh-CN"/>
        </w:rPr>
        <w:t>Missing items analysis of follow-up questions</w:t>
      </w:r>
      <w:r>
        <w:rPr>
          <w:lang w:eastAsia="zh-CN"/>
        </w:rPr>
        <w:t xml:space="preserve"> on the EASE-F</w:t>
      </w:r>
    </w:p>
    <w:tbl>
      <w:tblPr>
        <w:tblStyle w:val="TableGrid"/>
        <w:tblW w:w="0" w:type="auto"/>
        <w:tblLook w:val="04A0" w:firstRow="1" w:lastRow="0" w:firstColumn="1" w:lastColumn="0" w:noHBand="0" w:noVBand="1"/>
      </w:tblPr>
      <w:tblGrid>
        <w:gridCol w:w="3368"/>
        <w:gridCol w:w="1164"/>
        <w:gridCol w:w="2239"/>
        <w:gridCol w:w="2239"/>
      </w:tblGrid>
      <w:tr w:rsidR="00FE482F" w:rsidRPr="001B4B1E" w14:paraId="5D1E4511" w14:textId="77777777" w:rsidTr="009102C7">
        <w:tc>
          <w:tcPr>
            <w:tcW w:w="3397" w:type="dxa"/>
          </w:tcPr>
          <w:p w14:paraId="07D59411" w14:textId="77777777" w:rsidR="00FE482F" w:rsidRPr="001B4B1E" w:rsidRDefault="00FE482F" w:rsidP="001B4B1E">
            <w:pPr>
              <w:rPr>
                <w:lang w:eastAsia="zh-CN"/>
              </w:rPr>
            </w:pPr>
            <w:r w:rsidRPr="001B4B1E">
              <w:rPr>
                <w:lang w:eastAsia="zh-CN"/>
              </w:rPr>
              <w:t>Qualifier item</w:t>
            </w:r>
          </w:p>
        </w:tc>
        <w:tc>
          <w:tcPr>
            <w:tcW w:w="1111" w:type="dxa"/>
          </w:tcPr>
          <w:p w14:paraId="279E0946" w14:textId="77777777" w:rsidR="00FE482F" w:rsidRPr="001B4B1E" w:rsidRDefault="00FE482F" w:rsidP="001B4B1E">
            <w:pPr>
              <w:rPr>
                <w:lang w:eastAsia="zh-CN"/>
              </w:rPr>
            </w:pPr>
            <w:r w:rsidRPr="001B4B1E">
              <w:rPr>
                <w:lang w:eastAsia="zh-CN"/>
              </w:rPr>
              <w:t>Qualified</w:t>
            </w:r>
          </w:p>
        </w:tc>
        <w:tc>
          <w:tcPr>
            <w:tcW w:w="2254" w:type="dxa"/>
          </w:tcPr>
          <w:p w14:paraId="74D685A3" w14:textId="77777777" w:rsidR="00FE482F" w:rsidRPr="001B4B1E" w:rsidRDefault="00FE482F" w:rsidP="001B4B1E">
            <w:pPr>
              <w:rPr>
                <w:lang w:eastAsia="zh-CN"/>
              </w:rPr>
            </w:pPr>
            <w:r w:rsidRPr="001B4B1E">
              <w:rPr>
                <w:lang w:eastAsia="zh-CN"/>
              </w:rPr>
              <w:t>Missing response of 1</w:t>
            </w:r>
            <w:r w:rsidRPr="001B4B1E">
              <w:rPr>
                <w:vertAlign w:val="superscript"/>
                <w:lang w:eastAsia="zh-CN"/>
              </w:rPr>
              <w:t>st</w:t>
            </w:r>
            <w:r w:rsidRPr="001B4B1E">
              <w:rPr>
                <w:lang w:eastAsia="zh-CN"/>
              </w:rPr>
              <w:t xml:space="preserve"> </w:t>
            </w:r>
            <w:r>
              <w:rPr>
                <w:lang w:eastAsia="zh-CN"/>
              </w:rPr>
              <w:t>follow-up</w:t>
            </w:r>
            <w:r w:rsidRPr="001B4B1E">
              <w:rPr>
                <w:lang w:eastAsia="zh-CN"/>
              </w:rPr>
              <w:t xml:space="preserve"> item</w:t>
            </w:r>
          </w:p>
        </w:tc>
        <w:tc>
          <w:tcPr>
            <w:tcW w:w="2254" w:type="dxa"/>
          </w:tcPr>
          <w:p w14:paraId="64D1BBCB" w14:textId="77777777" w:rsidR="00FE482F" w:rsidRPr="001B4B1E" w:rsidRDefault="00FE482F" w:rsidP="001B4B1E">
            <w:pPr>
              <w:rPr>
                <w:lang w:eastAsia="zh-CN"/>
              </w:rPr>
            </w:pPr>
            <w:r w:rsidRPr="001B4B1E">
              <w:rPr>
                <w:lang w:eastAsia="zh-CN"/>
              </w:rPr>
              <w:t xml:space="preserve">Missing response of 2nd </w:t>
            </w:r>
            <w:r>
              <w:rPr>
                <w:lang w:eastAsia="zh-CN"/>
              </w:rPr>
              <w:t>follow-up</w:t>
            </w:r>
            <w:r w:rsidRPr="001B4B1E">
              <w:rPr>
                <w:lang w:eastAsia="zh-CN"/>
              </w:rPr>
              <w:t xml:space="preserve"> item</w:t>
            </w:r>
          </w:p>
        </w:tc>
      </w:tr>
      <w:tr w:rsidR="00FE482F" w:rsidRPr="001B4B1E" w14:paraId="3B0CB52E" w14:textId="77777777" w:rsidTr="009102C7">
        <w:tc>
          <w:tcPr>
            <w:tcW w:w="3397" w:type="dxa"/>
          </w:tcPr>
          <w:p w14:paraId="6D4C93B6" w14:textId="77777777" w:rsidR="00FE482F" w:rsidRPr="001B4B1E" w:rsidRDefault="00FE482F" w:rsidP="001B4B1E">
            <w:pPr>
              <w:rPr>
                <w:lang w:eastAsia="zh-CN"/>
              </w:rPr>
            </w:pPr>
            <w:r w:rsidRPr="001B4B1E">
              <w:rPr>
                <w:lang w:eastAsia="zh-CN"/>
              </w:rPr>
              <w:t>37.</w:t>
            </w:r>
            <w:r>
              <w:rPr>
                <w:lang w:eastAsia="zh-CN"/>
              </w:rPr>
              <w:t xml:space="preserve"> </w:t>
            </w:r>
            <w:r w:rsidRPr="001B4B1E">
              <w:rPr>
                <w:lang w:eastAsia="zh-CN"/>
              </w:rPr>
              <w:t>I know at least one trigger for my illness symptoms</w:t>
            </w:r>
          </w:p>
        </w:tc>
        <w:tc>
          <w:tcPr>
            <w:tcW w:w="1111" w:type="dxa"/>
          </w:tcPr>
          <w:p w14:paraId="2DCB9498" w14:textId="77777777" w:rsidR="00FE482F" w:rsidRPr="001B4B1E" w:rsidRDefault="00FE482F" w:rsidP="001B4B1E">
            <w:pPr>
              <w:rPr>
                <w:lang w:eastAsia="zh-CN"/>
              </w:rPr>
            </w:pPr>
            <w:r w:rsidRPr="001B4B1E">
              <w:rPr>
                <w:lang w:eastAsia="zh-CN"/>
              </w:rPr>
              <w:t>68.2%</w:t>
            </w:r>
          </w:p>
        </w:tc>
        <w:tc>
          <w:tcPr>
            <w:tcW w:w="2254" w:type="dxa"/>
          </w:tcPr>
          <w:p w14:paraId="76105F36" w14:textId="77777777" w:rsidR="00FE482F" w:rsidRPr="001B4B1E" w:rsidRDefault="00FE482F" w:rsidP="001B4B1E">
            <w:pPr>
              <w:rPr>
                <w:lang w:eastAsia="zh-CN"/>
              </w:rPr>
            </w:pPr>
            <w:r w:rsidRPr="001B4B1E">
              <w:rPr>
                <w:lang w:eastAsia="zh-CN"/>
              </w:rPr>
              <w:t>13/306 (3.9%)</w:t>
            </w:r>
          </w:p>
        </w:tc>
        <w:tc>
          <w:tcPr>
            <w:tcW w:w="2254" w:type="dxa"/>
          </w:tcPr>
          <w:p w14:paraId="6D218C35" w14:textId="77777777" w:rsidR="00FE482F" w:rsidRPr="001B4B1E" w:rsidRDefault="00FE482F" w:rsidP="001B4B1E">
            <w:pPr>
              <w:rPr>
                <w:lang w:eastAsia="zh-CN"/>
              </w:rPr>
            </w:pPr>
            <w:r w:rsidRPr="001B4B1E">
              <w:rPr>
                <w:lang w:eastAsia="zh-CN"/>
              </w:rPr>
              <w:t>17/306 (5.6%)</w:t>
            </w:r>
          </w:p>
        </w:tc>
      </w:tr>
      <w:tr w:rsidR="00FE482F" w:rsidRPr="001B4B1E" w14:paraId="0B5F13CA" w14:textId="77777777" w:rsidTr="009102C7">
        <w:tc>
          <w:tcPr>
            <w:tcW w:w="3397" w:type="dxa"/>
          </w:tcPr>
          <w:p w14:paraId="718F7D26" w14:textId="77777777" w:rsidR="00FE482F" w:rsidRPr="001B4B1E" w:rsidRDefault="00FE482F" w:rsidP="001B4B1E">
            <w:pPr>
              <w:rPr>
                <w:lang w:eastAsia="zh-CN"/>
              </w:rPr>
            </w:pPr>
            <w:r w:rsidRPr="001B4B1E">
              <w:rPr>
                <w:lang w:eastAsia="zh-CN"/>
              </w:rPr>
              <w:t>38.</w:t>
            </w:r>
            <w:r>
              <w:rPr>
                <w:lang w:eastAsia="zh-CN"/>
              </w:rPr>
              <w:t xml:space="preserve"> </w:t>
            </w:r>
            <w:r w:rsidRPr="001B4B1E">
              <w:rPr>
                <w:lang w:eastAsia="zh-CN"/>
              </w:rPr>
              <w:t>I know how to help myself after a flare-up</w:t>
            </w:r>
          </w:p>
        </w:tc>
        <w:tc>
          <w:tcPr>
            <w:tcW w:w="1111" w:type="dxa"/>
          </w:tcPr>
          <w:p w14:paraId="28C11A09" w14:textId="77777777" w:rsidR="00FE482F" w:rsidRPr="001B4B1E" w:rsidRDefault="00FE482F" w:rsidP="001B4B1E">
            <w:pPr>
              <w:rPr>
                <w:lang w:eastAsia="zh-CN"/>
              </w:rPr>
            </w:pPr>
            <w:r w:rsidRPr="001B4B1E">
              <w:rPr>
                <w:lang w:eastAsia="zh-CN"/>
              </w:rPr>
              <w:t>41.6%</w:t>
            </w:r>
          </w:p>
        </w:tc>
        <w:tc>
          <w:tcPr>
            <w:tcW w:w="2254" w:type="dxa"/>
          </w:tcPr>
          <w:p w14:paraId="13108F3C" w14:textId="77777777" w:rsidR="00FE482F" w:rsidRPr="001B4B1E" w:rsidRDefault="00FE482F" w:rsidP="001B4B1E">
            <w:pPr>
              <w:rPr>
                <w:lang w:eastAsia="zh-CN"/>
              </w:rPr>
            </w:pPr>
            <w:r w:rsidRPr="001B4B1E">
              <w:rPr>
                <w:lang w:eastAsia="zh-CN"/>
              </w:rPr>
              <w:t>8/187 (4.3%)</w:t>
            </w:r>
          </w:p>
        </w:tc>
        <w:tc>
          <w:tcPr>
            <w:tcW w:w="2254" w:type="dxa"/>
          </w:tcPr>
          <w:p w14:paraId="7D539A9A" w14:textId="77777777" w:rsidR="00FE482F" w:rsidRPr="001B4B1E" w:rsidRDefault="00FE482F" w:rsidP="001B4B1E">
            <w:pPr>
              <w:rPr>
                <w:lang w:eastAsia="zh-CN"/>
              </w:rPr>
            </w:pPr>
            <w:r w:rsidRPr="001B4B1E">
              <w:rPr>
                <w:lang w:eastAsia="zh-CN"/>
              </w:rPr>
              <w:t>28/187 (14.9%)</w:t>
            </w:r>
          </w:p>
        </w:tc>
      </w:tr>
      <w:tr w:rsidR="00FE482F" w:rsidRPr="001B4B1E" w14:paraId="0000F6AE" w14:textId="77777777" w:rsidTr="009102C7">
        <w:tc>
          <w:tcPr>
            <w:tcW w:w="3397" w:type="dxa"/>
          </w:tcPr>
          <w:p w14:paraId="5986DA03" w14:textId="77777777" w:rsidR="00FE482F" w:rsidRPr="001B4B1E" w:rsidRDefault="00FE482F" w:rsidP="001B4B1E">
            <w:pPr>
              <w:rPr>
                <w:lang w:eastAsia="zh-CN"/>
              </w:rPr>
            </w:pPr>
            <w:r w:rsidRPr="001B4B1E">
              <w:rPr>
                <w:lang w:eastAsia="zh-CN"/>
              </w:rPr>
              <w:t>39.</w:t>
            </w:r>
            <w:r>
              <w:rPr>
                <w:lang w:eastAsia="zh-CN"/>
              </w:rPr>
              <w:t xml:space="preserve"> </w:t>
            </w:r>
            <w:r w:rsidRPr="001B4B1E">
              <w:rPr>
                <w:lang w:eastAsia="zh-CN"/>
              </w:rPr>
              <w:t xml:space="preserve">I have a strategy that </w:t>
            </w:r>
            <w:r>
              <w:rPr>
                <w:lang w:eastAsia="zh-CN"/>
              </w:rPr>
              <w:t>I</w:t>
            </w:r>
            <w:r w:rsidRPr="001B4B1E">
              <w:rPr>
                <w:lang w:eastAsia="zh-CN"/>
              </w:rPr>
              <w:t xml:space="preserve"> use when symptoms get worse</w:t>
            </w:r>
          </w:p>
        </w:tc>
        <w:tc>
          <w:tcPr>
            <w:tcW w:w="1111" w:type="dxa"/>
          </w:tcPr>
          <w:p w14:paraId="256696AF" w14:textId="77777777" w:rsidR="00FE482F" w:rsidRPr="001B4B1E" w:rsidRDefault="00FE482F" w:rsidP="001B4B1E">
            <w:pPr>
              <w:rPr>
                <w:lang w:eastAsia="zh-CN"/>
              </w:rPr>
            </w:pPr>
            <w:r w:rsidRPr="001B4B1E">
              <w:rPr>
                <w:lang w:eastAsia="zh-CN"/>
              </w:rPr>
              <w:t>44.5%</w:t>
            </w:r>
          </w:p>
        </w:tc>
        <w:tc>
          <w:tcPr>
            <w:tcW w:w="2254" w:type="dxa"/>
          </w:tcPr>
          <w:p w14:paraId="6BAF7922" w14:textId="77777777" w:rsidR="00FE482F" w:rsidRPr="001B4B1E" w:rsidRDefault="00FE482F" w:rsidP="001B4B1E">
            <w:pPr>
              <w:rPr>
                <w:lang w:eastAsia="zh-CN"/>
              </w:rPr>
            </w:pPr>
            <w:r w:rsidRPr="001B4B1E">
              <w:rPr>
                <w:lang w:eastAsia="zh-CN"/>
              </w:rPr>
              <w:t>6/306 (1.9%)</w:t>
            </w:r>
          </w:p>
        </w:tc>
        <w:tc>
          <w:tcPr>
            <w:tcW w:w="2254" w:type="dxa"/>
          </w:tcPr>
          <w:p w14:paraId="45C70B15" w14:textId="77777777" w:rsidR="00FE482F" w:rsidRPr="001B4B1E" w:rsidRDefault="00FE482F" w:rsidP="001B4B1E">
            <w:pPr>
              <w:rPr>
                <w:lang w:eastAsia="zh-CN"/>
              </w:rPr>
            </w:pPr>
            <w:r w:rsidRPr="001B4B1E">
              <w:rPr>
                <w:lang w:eastAsia="zh-CN"/>
              </w:rPr>
              <w:t>74/306 (24.2%)</w:t>
            </w:r>
          </w:p>
        </w:tc>
      </w:tr>
    </w:tbl>
    <w:p w14:paraId="400420B7" w14:textId="77777777" w:rsidR="00FE482F" w:rsidRPr="00106295" w:rsidRDefault="00FE482F" w:rsidP="001B4B1E">
      <w:pPr>
        <w:rPr>
          <w:lang w:eastAsia="zh-CN"/>
        </w:rPr>
      </w:pPr>
    </w:p>
    <w:p w14:paraId="7967EC76" w14:textId="77777777" w:rsidR="00FE482F" w:rsidRDefault="00FE482F" w:rsidP="001B4B1E">
      <w:r>
        <w:lastRenderedPageBreak/>
        <w:t>Thirty-eight</w:t>
      </w:r>
      <w:r w:rsidRPr="009102C7">
        <w:t xml:space="preserve"> items were entered in the current analysis after excluding inconsistent answer formats (</w:t>
      </w:r>
      <w:r>
        <w:t>"</w:t>
      </w:r>
      <w:r w:rsidRPr="009102C7">
        <w:t>if yes</w:t>
      </w:r>
      <w:r>
        <w:t>"</w:t>
      </w:r>
      <w:r w:rsidRPr="009102C7">
        <w:t xml:space="preserve"> and dichotomous scales, </w:t>
      </w:r>
      <w:r>
        <w:t xml:space="preserve">follow-up and </w:t>
      </w:r>
      <w:r w:rsidRPr="009102C7">
        <w:t>open-ended comment items).</w:t>
      </w:r>
    </w:p>
    <w:p w14:paraId="22E76CB8" w14:textId="77777777" w:rsidR="00FE482F" w:rsidRDefault="00FE482F" w:rsidP="001B4B1E">
      <w:pPr>
        <w:rPr>
          <w:lang w:eastAsia="zh-CN"/>
        </w:rPr>
      </w:pPr>
      <w:r>
        <w:rPr>
          <w:lang w:eastAsia="zh-CN"/>
        </w:rPr>
        <w:t xml:space="preserve">On the assessment of missing data patterns among the relevant EASE-F items, &gt;10% of data were missing in 14 respondents. Responses from 13 of the 14 patients (92.9%) were found to be missing at random, where patterns revealed responders likely either skipped double pages of the questionnaire booklet or the last pages of the battery booklet, leading to 3 of the identified missing data patterns. No other systemic or person/item level attribute could be found to account for these patterns. As such, these cases were still included in the subsequent analysis and for multiple imputations, as </w:t>
      </w:r>
      <w:r w:rsidRPr="009102C7">
        <w:rPr>
          <w:lang w:eastAsia="zh-CN"/>
        </w:rPr>
        <w:t xml:space="preserve">the probability of </w:t>
      </w:r>
      <w:r>
        <w:rPr>
          <w:lang w:eastAsia="zh-CN"/>
        </w:rPr>
        <w:t xml:space="preserve">the </w:t>
      </w:r>
      <w:r w:rsidRPr="009102C7">
        <w:rPr>
          <w:lang w:eastAsia="zh-CN"/>
        </w:rPr>
        <w:t xml:space="preserve">missing data </w:t>
      </w:r>
      <w:r>
        <w:rPr>
          <w:lang w:eastAsia="zh-CN"/>
        </w:rPr>
        <w:t xml:space="preserve">was independent of the variable's actual value. In one case, no identifiable pattern was found. </w:t>
      </w:r>
    </w:p>
    <w:p w14:paraId="2342A071" w14:textId="77777777" w:rsidR="00FE482F" w:rsidRDefault="00FE482F" w:rsidP="001B4B1E">
      <w:pPr>
        <w:rPr>
          <w:lang w:eastAsia="zh-CN"/>
        </w:rPr>
      </w:pPr>
      <w:r w:rsidRPr="009102C7">
        <w:rPr>
          <w:lang w:eastAsia="zh-CN"/>
        </w:rPr>
        <w:t>As a result,</w:t>
      </w:r>
      <w:r>
        <w:rPr>
          <w:lang w:eastAsia="zh-CN"/>
        </w:rPr>
        <w:t xml:space="preserve"> EASE-F</w:t>
      </w:r>
      <w:r w:rsidRPr="009102C7">
        <w:rPr>
          <w:lang w:eastAsia="zh-CN"/>
        </w:rPr>
        <w:t xml:space="preserve"> data from 450 patients for the current factor analysis were included for the multiple imputation and subsequent analysis in the current study.</w:t>
      </w:r>
      <w:r>
        <w:rPr>
          <w:lang w:eastAsia="zh-CN"/>
        </w:rPr>
        <w:t xml:space="preserve"> </w:t>
      </w:r>
    </w:p>
    <w:p w14:paraId="4E11E179" w14:textId="77777777" w:rsidR="00FE482F" w:rsidRDefault="00FE482F" w:rsidP="001B4B1E">
      <w:pPr>
        <w:pStyle w:val="Heading4"/>
      </w:pPr>
      <w:r>
        <w:t>3.</w:t>
      </w:r>
      <w:r w:rsidRPr="005819E1">
        <w:t>3.</w:t>
      </w:r>
      <w:r>
        <w:t>2.2</w:t>
      </w:r>
      <w:r w:rsidRPr="005819E1">
        <w:t xml:space="preserve"> </w:t>
      </w:r>
      <w:r>
        <w:t xml:space="preserve">EASE-F </w:t>
      </w:r>
      <w:r w:rsidRPr="005819E1">
        <w:t>Internal Consistency</w:t>
      </w:r>
    </w:p>
    <w:p w14:paraId="1F03B14E" w14:textId="77777777" w:rsidR="00FE482F" w:rsidRDefault="00FE482F" w:rsidP="001B4B1E">
      <w:r>
        <w:t>Cronbach's</w:t>
      </w:r>
      <w:r w:rsidRPr="00253688">
        <w:t xml:space="preserve"> alpha for th</w:t>
      </w:r>
      <w:r>
        <w:t xml:space="preserve">e included EASE-F items was </w:t>
      </w:r>
      <w:r w:rsidRPr="00253688">
        <w:t>α =</w:t>
      </w:r>
      <w:r>
        <w:t xml:space="preserve"> 0.902, </w:t>
      </w:r>
      <w:r w:rsidRPr="00253688">
        <w:rPr>
          <w:lang w:eastAsia="zh-CN"/>
        </w:rPr>
        <w:t xml:space="preserve">with </w:t>
      </w:r>
      <w:r>
        <w:rPr>
          <w:lang w:eastAsia="zh-CN"/>
        </w:rPr>
        <w:t xml:space="preserve">the </w:t>
      </w:r>
      <w:r w:rsidRPr="00253688">
        <w:rPr>
          <w:lang w:eastAsia="zh-CN"/>
        </w:rPr>
        <w:t>deletion of any item barely modifying this value (0.896-0.905).</w:t>
      </w:r>
      <w:r>
        <w:rPr>
          <w:lang w:eastAsia="zh-CN"/>
        </w:rPr>
        <w:t xml:space="preserve"> </w:t>
      </w:r>
      <w:r w:rsidRPr="00253688">
        <w:rPr>
          <w:lang w:eastAsia="zh-CN"/>
        </w:rPr>
        <w:t xml:space="preserve">Item-total correlation mean value was 0.421, ranging from -0.036 (item 28 – </w:t>
      </w:r>
      <w:r>
        <w:rPr>
          <w:lang w:eastAsia="zh-CN"/>
        </w:rPr>
        <w:t>'</w:t>
      </w:r>
      <w:r w:rsidRPr="00253688">
        <w:rPr>
          <w:lang w:eastAsia="zh-CN"/>
        </w:rPr>
        <w:t>My illness has changed my perspective on life</w:t>
      </w:r>
      <w:r>
        <w:rPr>
          <w:lang w:eastAsia="zh-CN"/>
        </w:rPr>
        <w:t>'</w:t>
      </w:r>
      <w:r w:rsidRPr="00253688">
        <w:rPr>
          <w:lang w:eastAsia="zh-CN"/>
        </w:rPr>
        <w:t xml:space="preserve">) to 0.644 (item 5.1 – </w:t>
      </w:r>
      <w:r>
        <w:rPr>
          <w:lang w:eastAsia="zh-CN"/>
        </w:rPr>
        <w:t>'</w:t>
      </w:r>
      <w:r w:rsidRPr="00253688">
        <w:rPr>
          <w:lang w:eastAsia="zh-CN"/>
        </w:rPr>
        <w:t>I am able to stand up firmly to others about my needs and wishes</w:t>
      </w:r>
      <w:r>
        <w:rPr>
          <w:lang w:eastAsia="zh-CN"/>
        </w:rPr>
        <w:t>'</w:t>
      </w:r>
      <w:r w:rsidRPr="00253688">
        <w:rPr>
          <w:lang w:eastAsia="zh-CN"/>
        </w:rPr>
        <w:t xml:space="preserve">). </w:t>
      </w:r>
    </w:p>
    <w:p w14:paraId="6BB5C8B6" w14:textId="77777777" w:rsidR="00FE482F" w:rsidRDefault="00FE482F" w:rsidP="001B4B1E">
      <w:pPr>
        <w:pStyle w:val="Heading4"/>
      </w:pPr>
      <w:r>
        <w:t>3.</w:t>
      </w:r>
      <w:r w:rsidRPr="005819E1">
        <w:t>3.</w:t>
      </w:r>
      <w:r>
        <w:t>2.3</w:t>
      </w:r>
      <w:r w:rsidRPr="005819E1">
        <w:t xml:space="preserve"> </w:t>
      </w:r>
      <w:r>
        <w:t xml:space="preserve">EASE-F </w:t>
      </w:r>
      <w:r w:rsidRPr="005819E1">
        <w:t>Content validity</w:t>
      </w:r>
    </w:p>
    <w:p w14:paraId="37E1E3FB" w14:textId="0E99165D" w:rsidR="00FE482F" w:rsidRDefault="00FE482F" w:rsidP="001B4B1E">
      <w:r>
        <w:t xml:space="preserve">All of the items of the EASE-F exhibited either floor or ceiling effects, that is, where at least 15% of all participants responded with either minimum or maximum agreement/endorsement (Table n). Out of the 37 items, 28 items (1, 2, 3, 4, 5.1, 6,7, 8, 10, 11, 12, 13, 14, 15, 16, 17, 18, 19, 22, 23, 24, 25, 26, 27, 30, 33, 34, 35) exhibited floor effects, ranging between 16.9-65.6%. While ceiling effects were found in 20 items (Items 4, 5, 5.1, 6, 7, 9, 13, 16, 19, 20, 21, 28, 29, 30, 31, 32, 33, 34, 35, 36), ranging between 15.3-57.3%. More extreme floor effects were found, particularly in the questionnaire items, which were reverse scored (Items 8, 11, 12, 14, 15, 177, 23, 26, 34) with observed effects ranging between 19.6-65.6%. See Appendix C (Table </w:t>
      </w:r>
      <w:r w:rsidR="00D564BF">
        <w:t>27</w:t>
      </w:r>
      <w:r>
        <w:t>) for the floor and ceiling effects of the EASE-F items.</w:t>
      </w:r>
    </w:p>
    <w:p w14:paraId="6FF3E361" w14:textId="77777777" w:rsidR="00FE482F" w:rsidRDefault="00FE482F" w:rsidP="001B4B1E">
      <w:pPr>
        <w:pStyle w:val="Heading4"/>
      </w:pPr>
      <w:r>
        <w:lastRenderedPageBreak/>
        <w:t>3.</w:t>
      </w:r>
      <w:r w:rsidRPr="005819E1">
        <w:t>3.</w:t>
      </w:r>
      <w:r>
        <w:t>2.4 EASE-F</w:t>
      </w:r>
      <w:r w:rsidRPr="005819E1">
        <w:t xml:space="preserve"> Item response distributions</w:t>
      </w:r>
    </w:p>
    <w:p w14:paraId="7A670036" w14:textId="77777777" w:rsidR="00FE482F" w:rsidRDefault="00FE482F" w:rsidP="001B4B1E">
      <w:r>
        <w:t>None of the EASE-F items were normally distributed; all were statistically significant on the Schapiro-Wilk test (p&lt;0.001).</w:t>
      </w:r>
    </w:p>
    <w:p w14:paraId="5C80211C" w14:textId="77777777" w:rsidR="00FE482F" w:rsidRDefault="00FE482F" w:rsidP="001B4B1E">
      <w:r>
        <w:t>The skew for individual items of the EASE-F ranged between -1.4 and 1.6. The reversed items were all positively skewed, though to an inconsistent degree.</w:t>
      </w:r>
    </w:p>
    <w:p w14:paraId="3A831500" w14:textId="77777777" w:rsidR="00FE482F" w:rsidRDefault="00FE482F" w:rsidP="001B4B1E">
      <w:r w:rsidRPr="00875937">
        <w:t xml:space="preserve">The difference between </w:t>
      </w:r>
      <w:r>
        <w:t xml:space="preserve">the </w:t>
      </w:r>
      <w:r w:rsidRPr="00875937">
        <w:t>mean and median interim total score was 1.3</w:t>
      </w:r>
      <w:r>
        <w:t>,</w:t>
      </w:r>
      <w:r w:rsidRPr="00875937">
        <w:t xml:space="preserve"> the maximum observed value.</w:t>
      </w:r>
      <w:r>
        <w:t xml:space="preserve"> </w:t>
      </w:r>
      <w:r w:rsidRPr="00875937">
        <w:t>The skewness of the interim total score distribution was 0.329, and kurtosis was -0.111, indicating a slightly positively skewed with thinner tails and fewer outliers compared to a normal distribution.</w:t>
      </w:r>
      <w:r>
        <w:t xml:space="preserve"> </w:t>
      </w:r>
    </w:p>
    <w:p w14:paraId="51C97512" w14:textId="77777777" w:rsidR="00FE482F" w:rsidRPr="005819E1" w:rsidRDefault="00FE482F" w:rsidP="001B4B1E">
      <w:pPr>
        <w:pStyle w:val="Heading3"/>
      </w:pPr>
      <w:bookmarkStart w:id="90" w:name="_Toc137504713"/>
      <w:r>
        <w:t>3.</w:t>
      </w:r>
      <w:r w:rsidRPr="005819E1">
        <w:t>3.</w:t>
      </w:r>
      <w:r>
        <w:t>3</w:t>
      </w:r>
      <w:r w:rsidRPr="005819E1">
        <w:t xml:space="preserve"> Data </w:t>
      </w:r>
      <w:r>
        <w:t>P</w:t>
      </w:r>
      <w:r w:rsidRPr="005819E1">
        <w:t>reparation</w:t>
      </w:r>
      <w:r>
        <w:t xml:space="preserve"> and Adequacy</w:t>
      </w:r>
      <w:bookmarkEnd w:id="90"/>
    </w:p>
    <w:p w14:paraId="389D05BC" w14:textId="77777777" w:rsidR="00FE482F" w:rsidRDefault="00FE482F" w:rsidP="001B4B1E">
      <w:pPr>
        <w:pStyle w:val="Heading4"/>
      </w:pPr>
      <w:r>
        <w:t>3.3.3.1 Data adequacy</w:t>
      </w:r>
    </w:p>
    <w:p w14:paraId="7AF1E119" w14:textId="77777777" w:rsidR="00FE482F" w:rsidRPr="00576B28" w:rsidRDefault="00FE482F" w:rsidP="001B4B1E">
      <w:pPr>
        <w:rPr>
          <w:i/>
          <w:iCs/>
        </w:rPr>
      </w:pPr>
      <w:r w:rsidRPr="00576B28">
        <w:t xml:space="preserve">Kaiser-Meyer-Olkin (KMO) Test and a significant </w:t>
      </w:r>
      <w:r>
        <w:t>Bartlett's</w:t>
      </w:r>
      <w:r w:rsidRPr="00576B28">
        <w:t xml:space="preserve"> test of sphericity indicated </w:t>
      </w:r>
      <w:r>
        <w:t xml:space="preserve">that the </w:t>
      </w:r>
      <w:r w:rsidRPr="00576B28">
        <w:t xml:space="preserve">data sample was adequate for factor analysis (Table </w:t>
      </w:r>
      <w:r>
        <w:t>n</w:t>
      </w:r>
      <w:r w:rsidRPr="00576B28">
        <w:t>).</w:t>
      </w:r>
    </w:p>
    <w:p w14:paraId="2C557A30" w14:textId="77777777" w:rsidR="00FE482F" w:rsidRDefault="00FE482F" w:rsidP="001B4B1E"/>
    <w:p w14:paraId="663D51E3" w14:textId="77777777" w:rsidR="00FE482F" w:rsidRDefault="00FE482F" w:rsidP="001B4B1E">
      <w:r w:rsidRPr="00E36B1E">
        <w:t xml:space="preserve">Table </w:t>
      </w:r>
      <w:r>
        <w:t>n</w:t>
      </w:r>
      <w:r w:rsidRPr="00E36B1E">
        <w:t>.</w:t>
      </w:r>
      <w:r>
        <w:t xml:space="preserve"> </w:t>
      </w:r>
      <w:r w:rsidRPr="00E36B1E">
        <w:t xml:space="preserve">Kaiser-Meyer-Olkin (KMO, measure of sampling adequacy) Test and </w:t>
      </w:r>
      <w:r>
        <w:t>Bartlett's</w:t>
      </w:r>
      <w:r w:rsidRPr="00E36B1E">
        <w:t xml:space="preserve"> test of sphericity for the study sample.</w:t>
      </w:r>
    </w:p>
    <w:tbl>
      <w:tblPr>
        <w:tblStyle w:val="TableGrid"/>
        <w:tblW w:w="0" w:type="auto"/>
        <w:tblLook w:val="04A0" w:firstRow="1" w:lastRow="0" w:firstColumn="1" w:lastColumn="0" w:noHBand="0" w:noVBand="1"/>
      </w:tblPr>
      <w:tblGrid>
        <w:gridCol w:w="3003"/>
        <w:gridCol w:w="3003"/>
        <w:gridCol w:w="3004"/>
      </w:tblGrid>
      <w:tr w:rsidR="00FE482F" w:rsidRPr="00E36B1E" w14:paraId="0674E72C" w14:textId="77777777" w:rsidTr="00655B5C">
        <w:tc>
          <w:tcPr>
            <w:tcW w:w="6010" w:type="dxa"/>
            <w:gridSpan w:val="2"/>
            <w:shd w:val="clear" w:color="auto" w:fill="F2F2F2" w:themeFill="background1" w:themeFillShade="F2"/>
          </w:tcPr>
          <w:p w14:paraId="597B521F" w14:textId="77777777" w:rsidR="00FE482F" w:rsidRPr="00E36B1E" w:rsidRDefault="00FE482F" w:rsidP="001B4B1E">
            <w:r w:rsidRPr="00E36B1E">
              <w:t>Kaiser-Meyer-Olkin Measure of Sampling Adequacy</w:t>
            </w:r>
          </w:p>
        </w:tc>
        <w:tc>
          <w:tcPr>
            <w:tcW w:w="3006" w:type="dxa"/>
          </w:tcPr>
          <w:p w14:paraId="6B0A553D" w14:textId="77777777" w:rsidR="00FE482F" w:rsidRPr="00E36B1E" w:rsidRDefault="00FE482F" w:rsidP="001B4B1E">
            <w:r w:rsidRPr="00E36B1E">
              <w:t>0.87</w:t>
            </w:r>
          </w:p>
        </w:tc>
      </w:tr>
      <w:tr w:rsidR="00FE482F" w:rsidRPr="00E36B1E" w14:paraId="0040DB64" w14:textId="77777777" w:rsidTr="00655B5C">
        <w:tc>
          <w:tcPr>
            <w:tcW w:w="3005" w:type="dxa"/>
            <w:shd w:val="clear" w:color="auto" w:fill="F2F2F2" w:themeFill="background1" w:themeFillShade="F2"/>
          </w:tcPr>
          <w:p w14:paraId="4DD52693" w14:textId="77777777" w:rsidR="00FE482F" w:rsidRPr="00E36B1E" w:rsidRDefault="00FE482F" w:rsidP="001B4B1E">
            <w:r>
              <w:t>Bartlett's</w:t>
            </w:r>
            <w:r w:rsidRPr="00E36B1E">
              <w:t xml:space="preserve"> Test of Sphericity</w:t>
            </w:r>
          </w:p>
        </w:tc>
        <w:tc>
          <w:tcPr>
            <w:tcW w:w="3005" w:type="dxa"/>
            <w:shd w:val="clear" w:color="auto" w:fill="F2F2F2" w:themeFill="background1" w:themeFillShade="F2"/>
          </w:tcPr>
          <w:p w14:paraId="0535B9F6" w14:textId="77777777" w:rsidR="00FE482F" w:rsidRDefault="00FE482F" w:rsidP="001B4B1E">
            <w:r w:rsidRPr="00E36B1E">
              <w:t>Chi-squared</w:t>
            </w:r>
          </w:p>
          <w:p w14:paraId="792BBCB3" w14:textId="77777777" w:rsidR="00FE482F" w:rsidRDefault="00FE482F" w:rsidP="001B4B1E">
            <w:proofErr w:type="spellStart"/>
            <w:r>
              <w:t>Df</w:t>
            </w:r>
            <w:proofErr w:type="spellEnd"/>
            <w:r>
              <w:t>.</w:t>
            </w:r>
          </w:p>
          <w:p w14:paraId="1DF310EC" w14:textId="77777777" w:rsidR="00FE482F" w:rsidRPr="00E36B1E" w:rsidRDefault="00FE482F" w:rsidP="001B4B1E">
            <w:r>
              <w:t>Sig.</w:t>
            </w:r>
          </w:p>
        </w:tc>
        <w:tc>
          <w:tcPr>
            <w:tcW w:w="3006" w:type="dxa"/>
          </w:tcPr>
          <w:p w14:paraId="10DCE4CF" w14:textId="77777777" w:rsidR="00FE482F" w:rsidRDefault="00FE482F" w:rsidP="001B4B1E">
            <w:r w:rsidRPr="00E36B1E">
              <w:t>103610</w:t>
            </w:r>
          </w:p>
          <w:p w14:paraId="0542A016" w14:textId="77777777" w:rsidR="00FE482F" w:rsidRDefault="00FE482F" w:rsidP="001B4B1E">
            <w:r>
              <w:t>38</w:t>
            </w:r>
          </w:p>
          <w:p w14:paraId="68041906" w14:textId="77777777" w:rsidR="00FE482F" w:rsidRPr="00E36B1E" w:rsidRDefault="00FE482F" w:rsidP="001B4B1E">
            <w:r>
              <w:t>&lt;0.001</w:t>
            </w:r>
          </w:p>
        </w:tc>
      </w:tr>
    </w:tbl>
    <w:p w14:paraId="532D477F" w14:textId="77777777" w:rsidR="00FE482F" w:rsidRDefault="00FE482F" w:rsidP="001B4B1E">
      <w:pPr>
        <w:pStyle w:val="Heading4"/>
      </w:pPr>
      <w:r>
        <w:t xml:space="preserve">3.3.3.2. </w:t>
      </w:r>
      <w:r w:rsidRPr="00CF04D9">
        <w:t xml:space="preserve">Data split for </w:t>
      </w:r>
      <w:r>
        <w:t>FA</w:t>
      </w:r>
    </w:p>
    <w:p w14:paraId="0B1CA783" w14:textId="77777777" w:rsidR="00FE482F" w:rsidRPr="00C7003A" w:rsidRDefault="00FE482F" w:rsidP="001B4B1E">
      <w:r w:rsidRPr="00C7003A">
        <w:t>There were 225 patients in both the EFA sample and the CFA sample.</w:t>
      </w:r>
      <w:r>
        <w:t xml:space="preserve"> </w:t>
      </w:r>
      <w:r w:rsidRPr="00C7003A">
        <w:t>There were no significant differences in age, gender or any of the total scores for the clinical questionnaires.</w:t>
      </w:r>
    </w:p>
    <w:p w14:paraId="6552FC51" w14:textId="0F031606" w:rsidR="00FE482F" w:rsidRPr="00C7003A" w:rsidRDefault="00FE482F" w:rsidP="001B4B1E">
      <w:r w:rsidRPr="00C7003A">
        <w:t xml:space="preserve">The KMO for the split dataset for exploratory factor analysis was MSA =  0.82, </w:t>
      </w:r>
      <w:r>
        <w:t>Bartlett's</w:t>
      </w:r>
      <w:r w:rsidRPr="00C7003A">
        <w:t xml:space="preserve"> K-squared = 46134, </w:t>
      </w:r>
      <w:proofErr w:type="spellStart"/>
      <w:r w:rsidRPr="00C7003A">
        <w:t>df</w:t>
      </w:r>
      <w:proofErr w:type="spellEnd"/>
      <w:r w:rsidRPr="00C7003A">
        <w:t xml:space="preserve"> = 38, </w:t>
      </w:r>
      <w:r>
        <w:t xml:space="preserve">and </w:t>
      </w:r>
      <w:r w:rsidRPr="00C7003A">
        <w:t>p-value &lt;</w:t>
      </w:r>
      <w:r>
        <w:t>0.001</w:t>
      </w:r>
      <w:r w:rsidRPr="00C7003A">
        <w:t>.</w:t>
      </w:r>
      <w:r>
        <w:t xml:space="preserve"> </w:t>
      </w:r>
      <w:r w:rsidRPr="00C7003A">
        <w:t xml:space="preserve">The corresponding values for the split dataset for the confirmatory analysis were MSA = 0.85, </w:t>
      </w:r>
      <w:r>
        <w:t>Bartlett's</w:t>
      </w:r>
      <w:r w:rsidRPr="00C7003A">
        <w:t xml:space="preserve"> K-squared = 46134, </w:t>
      </w:r>
      <w:proofErr w:type="spellStart"/>
      <w:r w:rsidRPr="00C7003A">
        <w:t>df</w:t>
      </w:r>
      <w:proofErr w:type="spellEnd"/>
      <w:r w:rsidRPr="00C7003A">
        <w:t xml:space="preserve"> = 38, </w:t>
      </w:r>
      <w:r>
        <w:t xml:space="preserve">and </w:t>
      </w:r>
      <w:r w:rsidRPr="00C7003A">
        <w:t xml:space="preserve">p &lt; </w:t>
      </w:r>
      <w:r w:rsidR="00400BA2">
        <w:t>0.001</w:t>
      </w:r>
      <w:r w:rsidRPr="00C7003A">
        <w:t>.</w:t>
      </w:r>
      <w:r>
        <w:t xml:space="preserve"> </w:t>
      </w:r>
      <w:r w:rsidRPr="00C7003A">
        <w:t xml:space="preserve">Both indicated adequacy for factor analyses. </w:t>
      </w:r>
    </w:p>
    <w:p w14:paraId="3BA6A451" w14:textId="77777777" w:rsidR="00FE482F" w:rsidRPr="0090079B" w:rsidRDefault="00FE482F" w:rsidP="001B4B1E"/>
    <w:p w14:paraId="02FA78B1" w14:textId="77777777" w:rsidR="00FE482F" w:rsidRDefault="00FE482F" w:rsidP="001B4B1E">
      <w:pPr>
        <w:pStyle w:val="Heading3"/>
      </w:pPr>
      <w:bookmarkStart w:id="91" w:name="_Toc137504714"/>
      <w:r>
        <w:t>3.3.4</w:t>
      </w:r>
      <w:r w:rsidRPr="009E0357">
        <w:t xml:space="preserve"> Exploratory </w:t>
      </w:r>
      <w:r>
        <w:t>F</w:t>
      </w:r>
      <w:r w:rsidRPr="009E0357">
        <w:t xml:space="preserve">actor </w:t>
      </w:r>
      <w:r>
        <w:t>A</w:t>
      </w:r>
      <w:r w:rsidRPr="009E0357">
        <w:t xml:space="preserve">nalysis </w:t>
      </w:r>
      <w:r>
        <w:t>(EFA)</w:t>
      </w:r>
      <w:bookmarkEnd w:id="91"/>
      <w:r>
        <w:t xml:space="preserve"> </w:t>
      </w:r>
    </w:p>
    <w:p w14:paraId="5DF4D9CB" w14:textId="77777777" w:rsidR="00FE482F" w:rsidRDefault="00FE482F" w:rsidP="001B4B1E">
      <w:pPr>
        <w:pStyle w:val="Heading4"/>
      </w:pPr>
      <w:r>
        <w:t>3.3.4.1. F</w:t>
      </w:r>
      <w:r w:rsidRPr="009E0357">
        <w:t xml:space="preserve">actor </w:t>
      </w:r>
      <w:r>
        <w:t>R</w:t>
      </w:r>
      <w:r w:rsidRPr="009E0357">
        <w:t>etention</w:t>
      </w:r>
    </w:p>
    <w:p w14:paraId="15542322" w14:textId="3912A748" w:rsidR="00FE482F" w:rsidRPr="00CA7F42" w:rsidRDefault="00FE482F" w:rsidP="001B4B1E">
      <w:r w:rsidRPr="00CA7F42">
        <w:t xml:space="preserve">The EFA initially generated a </w:t>
      </w:r>
      <w:r>
        <w:t>9</w:t>
      </w:r>
      <w:r w:rsidRPr="00CA7F42">
        <w:t>- factor model</w:t>
      </w:r>
      <w:r>
        <w:t xml:space="preserve"> based on extracted factors with an eigenvalue of at least 1 (the K1 rule; </w:t>
      </w:r>
      <w:sdt>
        <w:sdtPr>
          <w:rPr>
            <w:color w:val="000000"/>
          </w:rPr>
          <w:tag w:val="MENDELEY_CITATION_v3_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"/>
          <w:id w:val="1661041906"/>
          <w:placeholder>
            <w:docPart w:val="8F882BF9D3B92D4EA6F567652D0EC42B"/>
          </w:placeholder>
        </w:sdtPr>
        <w:sdtContent>
          <w:r w:rsidR="0047170A" w:rsidRPr="0047170A">
            <w:rPr>
              <w:color w:val="000000"/>
            </w:rPr>
            <w:t>(Hayton et al., 2004)</w:t>
          </w:r>
        </w:sdtContent>
      </w:sdt>
      <w:r>
        <w:rPr>
          <w:color w:val="000000"/>
        </w:rPr>
        <w:t>)</w:t>
      </w:r>
      <w:r w:rsidRPr="00875937">
        <w:t>.</w:t>
      </w:r>
      <w:r>
        <w:t xml:space="preserve"> </w:t>
      </w:r>
      <w:r w:rsidRPr="00875937">
        <w:t>Two</w:t>
      </w:r>
      <w:r>
        <w:t xml:space="preserve"> further marginal </w:t>
      </w:r>
      <w:r>
        <w:lastRenderedPageBreak/>
        <w:t xml:space="preserve">factors could have been </w:t>
      </w:r>
      <w:r w:rsidRPr="00A0091D">
        <w:t xml:space="preserve">considered based on eigenvalues of &gt;0.927. </w:t>
      </w:r>
      <w:proofErr w:type="spellStart"/>
      <w:r w:rsidRPr="00A0091D">
        <w:t>Scrutinisation</w:t>
      </w:r>
      <w:proofErr w:type="spellEnd"/>
      <w:r w:rsidRPr="00A0091D">
        <w:t xml:space="preserve"> of the elbow in the scree plot (See Appendix C – EASE Supplementary Data. Figure </w:t>
      </w:r>
      <w:r w:rsidR="00A62079">
        <w:t>13</w:t>
      </w:r>
      <w:r w:rsidRPr="00A0091D">
        <w:t xml:space="preserve">) suggested a three or 4-factor model. Subsequent parallel analysis (Appendix C – EASE Supplementary Data. Table </w:t>
      </w:r>
      <w:r w:rsidR="00D564BF">
        <w:t>29</w:t>
      </w:r>
      <w:r w:rsidRPr="00A0091D">
        <w:t>) retained the 9-factor model based</w:t>
      </w:r>
      <w:r w:rsidRPr="00CA7F42">
        <w:t xml:space="preserve"> on adjusted </w:t>
      </w:r>
      <w:r>
        <w:t xml:space="preserve">eigenvalues&gt;0 (indicating factors to retain). However, </w:t>
      </w:r>
      <w:r w:rsidRPr="00227A8F">
        <w:t xml:space="preserve">the elbow in the plot after the fourth component and the values produced by the parallel analysis </w:t>
      </w:r>
      <w:r w:rsidRPr="00CA7F42">
        <w:t>corresponding to random eigenvalues generated from the identity matrix</w:t>
      </w:r>
      <w:r>
        <w:t xml:space="preserve"> </w:t>
      </w:r>
      <w:r w:rsidRPr="00227A8F">
        <w:t xml:space="preserve">suggested </w:t>
      </w:r>
      <w:r>
        <w:t xml:space="preserve">that the </w:t>
      </w:r>
      <w:r w:rsidRPr="00227A8F">
        <w:t xml:space="preserve">3-9 </w:t>
      </w:r>
      <w:r>
        <w:t xml:space="preserve">factor </w:t>
      </w:r>
      <w:r w:rsidRPr="00227A8F">
        <w:t>mod</w:t>
      </w:r>
      <w:r>
        <w:t>e</w:t>
      </w:r>
      <w:r w:rsidRPr="00227A8F">
        <w:t>l</w:t>
      </w:r>
      <w:r>
        <w:t>s</w:t>
      </w:r>
      <w:r w:rsidRPr="00227A8F">
        <w:t xml:space="preserve"> </w:t>
      </w:r>
      <w:r>
        <w:t xml:space="preserve">could </w:t>
      </w:r>
      <w:r w:rsidRPr="00227A8F">
        <w:t>be tested</w:t>
      </w:r>
      <w:r>
        <w:t xml:space="preserve"> (Figure 3)</w:t>
      </w:r>
      <w:r w:rsidRPr="00227A8F">
        <w:t>.</w:t>
      </w:r>
      <w:r w:rsidRPr="00CA7F42">
        <w:t xml:space="preserve"> </w:t>
      </w:r>
    </w:p>
    <w:p w14:paraId="57D4866C" w14:textId="77777777" w:rsidR="00FE482F" w:rsidRDefault="00FE482F">
      <w:pPr>
        <w:spacing w:line="240" w:lineRule="auto"/>
        <w:jc w:val="left"/>
        <w:rPr>
          <w:szCs w:val="22"/>
          <w:lang w:eastAsia="zh-CN"/>
        </w:rPr>
      </w:pPr>
      <w:r>
        <w:br w:type="page"/>
      </w:r>
    </w:p>
    <w:p w14:paraId="0F35CA7C" w14:textId="77777777" w:rsidR="00FE482F" w:rsidRPr="0018681D" w:rsidRDefault="00FE482F" w:rsidP="001B4B1E">
      <w:r w:rsidRPr="0018681D">
        <w:lastRenderedPageBreak/>
        <w:t xml:space="preserve">Figure </w:t>
      </w:r>
      <w:r>
        <w:t>3</w:t>
      </w:r>
      <w:r w:rsidRPr="0018681D">
        <w:t>.</w:t>
      </w:r>
      <w:r>
        <w:t xml:space="preserve"> </w:t>
      </w:r>
      <w:r w:rsidRPr="0018681D">
        <w:t xml:space="preserve">Parallel analysis scree plot from </w:t>
      </w:r>
      <w:r>
        <w:t>EASE-F</w:t>
      </w:r>
      <w:r w:rsidRPr="0018681D">
        <w:t xml:space="preserve"> EFA</w:t>
      </w:r>
    </w:p>
    <w:p w14:paraId="1DA5A415" w14:textId="77777777" w:rsidR="00FE482F" w:rsidRDefault="00FE482F" w:rsidP="001B4B1E">
      <w:r w:rsidRPr="000C54FE">
        <w:rPr>
          <w:noProof/>
        </w:rPr>
        <w:drawing>
          <wp:inline distT="0" distB="0" distL="0" distR="0" wp14:anchorId="5AA78674" wp14:editId="67DE0866">
            <wp:extent cx="4691519" cy="4057650"/>
            <wp:effectExtent l="0" t="0" r="0" b="0"/>
            <wp:docPr id="1234189436" name="Picture 12341894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3"/>
                    <a:stretch>
                      <a:fillRect/>
                    </a:stretch>
                  </pic:blipFill>
                  <pic:spPr>
                    <a:xfrm>
                      <a:off x="0" y="0"/>
                      <a:ext cx="4712855" cy="4076103"/>
                    </a:xfrm>
                    <a:prstGeom prst="rect">
                      <a:avLst/>
                    </a:prstGeom>
                  </pic:spPr>
                </pic:pic>
              </a:graphicData>
            </a:graphic>
          </wp:inline>
        </w:drawing>
      </w:r>
    </w:p>
    <w:p w14:paraId="76947378" w14:textId="77777777" w:rsidR="00FE482F" w:rsidRPr="000A796C" w:rsidRDefault="00FE482F" w:rsidP="001B4B1E">
      <w:pPr>
        <w:pStyle w:val="Heading4"/>
      </w:pPr>
      <w:r>
        <w:t xml:space="preserve">3.3.4.2. </w:t>
      </w:r>
      <w:r w:rsidRPr="000A796C">
        <w:t>Factor models</w:t>
      </w:r>
    </w:p>
    <w:p w14:paraId="381ECB7D" w14:textId="04D66487" w:rsidR="00FE482F" w:rsidRPr="0018681D" w:rsidRDefault="00FE482F" w:rsidP="001B4B1E">
      <w:pPr>
        <w:rPr>
          <w:sz w:val="16"/>
          <w:szCs w:val="16"/>
          <w:lang w:eastAsia="zh-CN"/>
        </w:rPr>
      </w:pPr>
      <w:r>
        <w:t>All</w:t>
      </w:r>
      <w:r w:rsidR="00400BA2">
        <w:t xml:space="preserve"> </w:t>
      </w:r>
      <w:r w:rsidR="00400BA2" w:rsidRPr="001A2683">
        <w:rPr>
          <w:color w:val="FF0000"/>
        </w:rPr>
        <w:t>of the</w:t>
      </w:r>
      <w:r w:rsidRPr="001A2683">
        <w:rPr>
          <w:color w:val="FF0000"/>
        </w:rPr>
        <w:t xml:space="preserve"> </w:t>
      </w:r>
      <w:r>
        <w:t>tested models had non-loading items that could be considered for exclusion. Regarding items successfully loading onto the identified factors, a</w:t>
      </w:r>
      <w:r w:rsidRPr="00CA7F42">
        <w:t>ll the models had minimum loadings of</w:t>
      </w:r>
      <w:r>
        <w:t xml:space="preserve"> +/-</w:t>
      </w:r>
      <w:r w:rsidRPr="00CA7F42">
        <w:t xml:space="preserve"> 0.3 on </w:t>
      </w:r>
      <w:r>
        <w:t>each</w:t>
      </w:r>
      <w:r w:rsidRPr="00CA7F42">
        <w:t xml:space="preserve"> factor (see </w:t>
      </w:r>
      <w:r>
        <w:t>T</w:t>
      </w:r>
      <w:r w:rsidRPr="00CA7F42">
        <w:t xml:space="preserve">able </w:t>
      </w:r>
      <w:r>
        <w:t>6</w:t>
      </w:r>
      <w:r w:rsidRPr="00CA7F42">
        <w:t>).</w:t>
      </w:r>
      <w:r>
        <w:rPr>
          <w:sz w:val="16"/>
          <w:szCs w:val="16"/>
          <w:lang w:eastAsia="zh-CN"/>
        </w:rPr>
        <w:t xml:space="preserve"> </w:t>
      </w:r>
      <w:r>
        <w:t>As expected, in all models, items unsuccessfully loading onto any factors accounted for negligible variance in the sample (&lt;0.2).</w:t>
      </w:r>
    </w:p>
    <w:p w14:paraId="10714EDC" w14:textId="77777777" w:rsidR="00FE482F" w:rsidRDefault="00FE482F" w:rsidP="001B4B1E">
      <w:r>
        <w:t>While the</w:t>
      </w:r>
      <w:r w:rsidRPr="008432E8">
        <w:t xml:space="preserve"> </w:t>
      </w:r>
      <w:r>
        <w:t>9</w:t>
      </w:r>
      <w:r w:rsidRPr="008432E8">
        <w:t>-factor model accounted for more variance in the data</w:t>
      </w:r>
      <w:r>
        <w:t xml:space="preserve"> (58.3%)</w:t>
      </w:r>
      <w:r w:rsidRPr="008432E8">
        <w:t>,</w:t>
      </w:r>
      <w:r>
        <w:t xml:space="preserve"> the models with fewer factors </w:t>
      </w:r>
      <w:r w:rsidRPr="008432E8">
        <w:t>w</w:t>
      </w:r>
      <w:r>
        <w:t>ere</w:t>
      </w:r>
      <w:r w:rsidRPr="008432E8">
        <w:t xml:space="preserve"> </w:t>
      </w:r>
      <w:r>
        <w:t>favoured</w:t>
      </w:r>
      <w:r w:rsidRPr="008432E8">
        <w:t xml:space="preserve"> for easier interpretability</w:t>
      </w:r>
      <w:r>
        <w:t xml:space="preserve"> and </w:t>
      </w:r>
      <w:r w:rsidRPr="008432E8">
        <w:t xml:space="preserve">alignment with </w:t>
      </w:r>
      <w:r>
        <w:t>prior theoretical</w:t>
      </w:r>
      <w:r w:rsidRPr="008432E8">
        <w:t xml:space="preserve"> assumptions</w:t>
      </w:r>
      <w:r>
        <w:t xml:space="preserve">. </w:t>
      </w:r>
      <w:r w:rsidRPr="008432E8">
        <w:t>Moreover, the</w:t>
      </w:r>
      <w:r>
        <w:t xml:space="preserve"> elbow after the 3rd/4</w:t>
      </w:r>
      <w:r w:rsidRPr="00227A8F">
        <w:rPr>
          <w:vertAlign w:val="superscript"/>
        </w:rPr>
        <w:t>th</w:t>
      </w:r>
      <w:r>
        <w:t xml:space="preserve"> component on the</w:t>
      </w:r>
      <w:r w:rsidRPr="008432E8">
        <w:t xml:space="preserve"> </w:t>
      </w:r>
      <w:proofErr w:type="spellStart"/>
      <w:r w:rsidRPr="008432E8">
        <w:t>scree</w:t>
      </w:r>
      <w:proofErr w:type="spellEnd"/>
      <w:r w:rsidRPr="008432E8">
        <w:t xml:space="preserve"> plot and parallel analysis suggested that</w:t>
      </w:r>
      <w:r>
        <w:t xml:space="preserve"> a</w:t>
      </w:r>
      <w:r w:rsidRPr="008432E8">
        <w:t xml:space="preserve"> 3-factor model w</w:t>
      </w:r>
      <w:r>
        <w:t>ould</w:t>
      </w:r>
      <w:r w:rsidRPr="008432E8">
        <w:t xml:space="preserve"> be</w:t>
      </w:r>
      <w:r>
        <w:t xml:space="preserve"> valid</w:t>
      </w:r>
      <w:r w:rsidRPr="008432E8">
        <w:t>.</w:t>
      </w:r>
      <w:r>
        <w:t xml:space="preserve"> On closer scrutinising the models and item loadings, it appeared that one factor in the 3-factor model was a collation of 2 factors in the 4-factor model, suggesting the 3-factor model was an underestimation of the relevant constructs. </w:t>
      </w:r>
    </w:p>
    <w:p w14:paraId="65EAF63B" w14:textId="77777777" w:rsidR="00FE482F" w:rsidRPr="00A0091D" w:rsidRDefault="00FE482F" w:rsidP="001B4B1E">
      <w:r>
        <w:t>The 4-factor model marginally met recommended minimum for total variance explained at 41.5</w:t>
      </w:r>
      <w:r w:rsidRPr="00875937">
        <w:t>% (Recommended &gt;40%), and</w:t>
      </w:r>
      <w:r>
        <w:t xml:space="preserve"> all items loaded positively onto the extracted factors in this model. This differed with every other model tested in the identified construct, though the same items were loaded negatively. This model, </w:t>
      </w:r>
      <w:r w:rsidRPr="00A0091D">
        <w:lastRenderedPageBreak/>
        <w:t xml:space="preserve">therefore, indicated a consistent scoring and easier interpretation capacity; positive scores on this subscale would indicate a higher expression of the construct. </w:t>
      </w:r>
    </w:p>
    <w:p w14:paraId="01F52B00" w14:textId="5E00E762" w:rsidR="00FE482F" w:rsidRDefault="00FE482F" w:rsidP="001B4B1E">
      <w:r w:rsidRPr="00A0091D">
        <w:t xml:space="preserve">See Tables </w:t>
      </w:r>
      <w:r w:rsidR="00D564BF">
        <w:t>6</w:t>
      </w:r>
      <w:r w:rsidRPr="00A0091D">
        <w:t xml:space="preserve"> (and Appendix C. Table </w:t>
      </w:r>
      <w:r w:rsidR="00D564BF">
        <w:t>30</w:t>
      </w:r>
      <w:r w:rsidRPr="00A0091D">
        <w:t>a-g) for</w:t>
      </w:r>
      <w:r>
        <w:t xml:space="preserve"> a summary of the 3-9 factor models.</w:t>
      </w:r>
    </w:p>
    <w:p w14:paraId="357F5240" w14:textId="77777777" w:rsidR="00FE482F" w:rsidRPr="00C82C97" w:rsidRDefault="00FE482F" w:rsidP="001B4B1E"/>
    <w:p w14:paraId="70834461" w14:textId="77777777" w:rsidR="00FE482F" w:rsidRPr="00185DB0" w:rsidRDefault="00FE482F" w:rsidP="001B4B1E">
      <w:r w:rsidRPr="00185DB0">
        <w:t xml:space="preserve">Table </w:t>
      </w:r>
      <w:r>
        <w:t>6</w:t>
      </w:r>
      <w:r w:rsidRPr="00185DB0">
        <w:t>.</w:t>
      </w:r>
      <w:r>
        <w:t xml:space="preserve"> </w:t>
      </w:r>
      <w:r w:rsidRPr="00185DB0">
        <w:t>Summary of the 3-9 factor models generated by the EFA</w:t>
      </w:r>
    </w:p>
    <w:tbl>
      <w:tblPr>
        <w:tblStyle w:val="TableGrid"/>
        <w:tblW w:w="0" w:type="auto"/>
        <w:tblLook w:val="04A0" w:firstRow="1" w:lastRow="0" w:firstColumn="1" w:lastColumn="0" w:noHBand="0" w:noVBand="1"/>
      </w:tblPr>
      <w:tblGrid>
        <w:gridCol w:w="1387"/>
        <w:gridCol w:w="2480"/>
        <w:gridCol w:w="2753"/>
        <w:gridCol w:w="2390"/>
      </w:tblGrid>
      <w:tr w:rsidR="00FE482F" w:rsidRPr="00E956E3" w14:paraId="5CDDF612" w14:textId="77777777" w:rsidTr="00B10F1B">
        <w:tc>
          <w:tcPr>
            <w:tcW w:w="1388" w:type="dxa"/>
          </w:tcPr>
          <w:p w14:paraId="76E339FE" w14:textId="77777777" w:rsidR="00FE482F" w:rsidRPr="00E956E3" w:rsidRDefault="00FE482F" w:rsidP="001B4B1E">
            <w:r w:rsidRPr="00E956E3">
              <w:t>Number of Factors</w:t>
            </w:r>
          </w:p>
        </w:tc>
        <w:tc>
          <w:tcPr>
            <w:tcW w:w="2481" w:type="dxa"/>
          </w:tcPr>
          <w:p w14:paraId="0634AFC0" w14:textId="77777777" w:rsidR="00FE482F" w:rsidRPr="00E956E3" w:rsidRDefault="00FE482F" w:rsidP="001B4B1E">
            <w:r w:rsidRPr="00E956E3">
              <w:t>Range of Communalities</w:t>
            </w:r>
          </w:p>
        </w:tc>
        <w:tc>
          <w:tcPr>
            <w:tcW w:w="2755" w:type="dxa"/>
          </w:tcPr>
          <w:p w14:paraId="2E471093" w14:textId="77777777" w:rsidR="00FE482F" w:rsidRPr="00E956E3" w:rsidRDefault="00FE482F" w:rsidP="001B4B1E">
            <w:r w:rsidRPr="00E956E3">
              <w:t>Total Variance Explained (%)</w:t>
            </w:r>
          </w:p>
        </w:tc>
        <w:tc>
          <w:tcPr>
            <w:tcW w:w="2392" w:type="dxa"/>
          </w:tcPr>
          <w:p w14:paraId="7753973D" w14:textId="77777777" w:rsidR="00FE482F" w:rsidRPr="00E956E3" w:rsidRDefault="00FE482F" w:rsidP="001B4B1E">
            <w:r w:rsidRPr="00E956E3">
              <w:t>Range of factor loadings</w:t>
            </w:r>
          </w:p>
        </w:tc>
      </w:tr>
      <w:tr w:rsidR="00FE482F" w:rsidRPr="00E956E3" w14:paraId="01B81914" w14:textId="77777777" w:rsidTr="00B10F1B">
        <w:tc>
          <w:tcPr>
            <w:tcW w:w="1388" w:type="dxa"/>
          </w:tcPr>
          <w:p w14:paraId="4A35F491" w14:textId="77777777" w:rsidR="00FE482F" w:rsidRPr="00E956E3" w:rsidRDefault="00FE482F" w:rsidP="001B4B1E">
            <w:r w:rsidRPr="00E956E3">
              <w:t>3</w:t>
            </w:r>
          </w:p>
        </w:tc>
        <w:tc>
          <w:tcPr>
            <w:tcW w:w="2481" w:type="dxa"/>
          </w:tcPr>
          <w:p w14:paraId="12F44B53" w14:textId="77777777" w:rsidR="00FE482F" w:rsidRPr="00E956E3" w:rsidRDefault="00FE482F" w:rsidP="001B4B1E">
            <w:r>
              <w:t>.071-.545</w:t>
            </w:r>
          </w:p>
        </w:tc>
        <w:tc>
          <w:tcPr>
            <w:tcW w:w="2755" w:type="dxa"/>
          </w:tcPr>
          <w:p w14:paraId="40FA712A" w14:textId="77777777" w:rsidR="00FE482F" w:rsidRPr="00E956E3" w:rsidRDefault="00FE482F" w:rsidP="001B4B1E">
            <w:r>
              <w:t>37.3</w:t>
            </w:r>
          </w:p>
        </w:tc>
        <w:tc>
          <w:tcPr>
            <w:tcW w:w="2392" w:type="dxa"/>
          </w:tcPr>
          <w:p w14:paraId="62D43312" w14:textId="77777777" w:rsidR="00FE482F" w:rsidRPr="00E956E3" w:rsidRDefault="00FE482F" w:rsidP="001B4B1E">
            <w:r>
              <w:t>-.698 - .699</w:t>
            </w:r>
          </w:p>
        </w:tc>
      </w:tr>
      <w:tr w:rsidR="00FE482F" w:rsidRPr="00E956E3" w14:paraId="2CBBFB21" w14:textId="77777777" w:rsidTr="00B10F1B">
        <w:tc>
          <w:tcPr>
            <w:tcW w:w="1388" w:type="dxa"/>
          </w:tcPr>
          <w:p w14:paraId="0EA6B816" w14:textId="77777777" w:rsidR="00FE482F" w:rsidRPr="00E956E3" w:rsidRDefault="00FE482F" w:rsidP="001B4B1E">
            <w:r w:rsidRPr="00E956E3">
              <w:t>4</w:t>
            </w:r>
          </w:p>
        </w:tc>
        <w:tc>
          <w:tcPr>
            <w:tcW w:w="2481" w:type="dxa"/>
          </w:tcPr>
          <w:p w14:paraId="2CF0D0BA" w14:textId="77777777" w:rsidR="00FE482F" w:rsidRPr="00E956E3" w:rsidRDefault="00FE482F" w:rsidP="001B4B1E">
            <w:r>
              <w:t>.083 - .574</w:t>
            </w:r>
          </w:p>
        </w:tc>
        <w:tc>
          <w:tcPr>
            <w:tcW w:w="2755" w:type="dxa"/>
          </w:tcPr>
          <w:p w14:paraId="2D844AE9" w14:textId="77777777" w:rsidR="00FE482F" w:rsidRPr="00E956E3" w:rsidRDefault="00FE482F" w:rsidP="001B4B1E">
            <w:r>
              <w:t>41.5</w:t>
            </w:r>
          </w:p>
        </w:tc>
        <w:tc>
          <w:tcPr>
            <w:tcW w:w="2392" w:type="dxa"/>
          </w:tcPr>
          <w:p w14:paraId="473A903B" w14:textId="77777777" w:rsidR="00FE482F" w:rsidRPr="00E956E3" w:rsidRDefault="00FE482F" w:rsidP="001B4B1E">
            <w:r>
              <w:t>.412 - .702</w:t>
            </w:r>
          </w:p>
        </w:tc>
      </w:tr>
      <w:tr w:rsidR="00FE482F" w:rsidRPr="00E956E3" w14:paraId="4B2B1C7B" w14:textId="77777777" w:rsidTr="00B10F1B">
        <w:tc>
          <w:tcPr>
            <w:tcW w:w="1388" w:type="dxa"/>
          </w:tcPr>
          <w:p w14:paraId="429DF6B5" w14:textId="77777777" w:rsidR="00FE482F" w:rsidRPr="00E956E3" w:rsidRDefault="00FE482F" w:rsidP="001B4B1E">
            <w:r w:rsidRPr="00E956E3">
              <w:t>5</w:t>
            </w:r>
          </w:p>
        </w:tc>
        <w:tc>
          <w:tcPr>
            <w:tcW w:w="2481" w:type="dxa"/>
          </w:tcPr>
          <w:p w14:paraId="410E4FCD" w14:textId="77777777" w:rsidR="00FE482F" w:rsidRPr="00E956E3" w:rsidRDefault="00FE482F" w:rsidP="001B4B1E">
            <w:r>
              <w:t>.131 - .585</w:t>
            </w:r>
          </w:p>
        </w:tc>
        <w:tc>
          <w:tcPr>
            <w:tcW w:w="2755" w:type="dxa"/>
          </w:tcPr>
          <w:p w14:paraId="5D184157" w14:textId="77777777" w:rsidR="00FE482F" w:rsidRPr="00E956E3" w:rsidRDefault="00FE482F" w:rsidP="001B4B1E">
            <w:r>
              <w:t>45.5</w:t>
            </w:r>
          </w:p>
        </w:tc>
        <w:tc>
          <w:tcPr>
            <w:tcW w:w="2392" w:type="dxa"/>
          </w:tcPr>
          <w:p w14:paraId="068F8698" w14:textId="77777777" w:rsidR="00FE482F" w:rsidRPr="00E956E3" w:rsidRDefault="00FE482F" w:rsidP="001B4B1E">
            <w:r>
              <w:t>-.709 - .719</w:t>
            </w:r>
          </w:p>
        </w:tc>
      </w:tr>
      <w:tr w:rsidR="00FE482F" w:rsidRPr="00E956E3" w14:paraId="6812C00B" w14:textId="77777777" w:rsidTr="00B10F1B">
        <w:tc>
          <w:tcPr>
            <w:tcW w:w="1388" w:type="dxa"/>
          </w:tcPr>
          <w:p w14:paraId="4FF07B6A" w14:textId="77777777" w:rsidR="00FE482F" w:rsidRPr="00E956E3" w:rsidRDefault="00FE482F" w:rsidP="001B4B1E">
            <w:r w:rsidRPr="00E956E3">
              <w:t>6</w:t>
            </w:r>
          </w:p>
        </w:tc>
        <w:tc>
          <w:tcPr>
            <w:tcW w:w="2481" w:type="dxa"/>
          </w:tcPr>
          <w:p w14:paraId="57BB7E74" w14:textId="77777777" w:rsidR="00FE482F" w:rsidRPr="00E956E3" w:rsidRDefault="00FE482F" w:rsidP="001B4B1E">
            <w:r>
              <w:t>.125 - .672</w:t>
            </w:r>
          </w:p>
        </w:tc>
        <w:tc>
          <w:tcPr>
            <w:tcW w:w="2755" w:type="dxa"/>
          </w:tcPr>
          <w:p w14:paraId="4EEF0606" w14:textId="77777777" w:rsidR="00FE482F" w:rsidRPr="00E956E3" w:rsidRDefault="00FE482F" w:rsidP="001B4B1E">
            <w:r>
              <w:t>49.1</w:t>
            </w:r>
          </w:p>
        </w:tc>
        <w:tc>
          <w:tcPr>
            <w:tcW w:w="2392" w:type="dxa"/>
          </w:tcPr>
          <w:p w14:paraId="42C704DF" w14:textId="77777777" w:rsidR="00FE482F" w:rsidRPr="00E956E3" w:rsidRDefault="00FE482F" w:rsidP="001B4B1E">
            <w:r>
              <w:t>-.740  - .715</w:t>
            </w:r>
          </w:p>
        </w:tc>
      </w:tr>
      <w:tr w:rsidR="00FE482F" w:rsidRPr="00E956E3" w14:paraId="1AF645D9" w14:textId="77777777" w:rsidTr="00B10F1B">
        <w:tc>
          <w:tcPr>
            <w:tcW w:w="1388" w:type="dxa"/>
          </w:tcPr>
          <w:p w14:paraId="325E4874" w14:textId="77777777" w:rsidR="00FE482F" w:rsidRPr="00E956E3" w:rsidRDefault="00FE482F" w:rsidP="001B4B1E">
            <w:r w:rsidRPr="00E956E3">
              <w:t>7</w:t>
            </w:r>
          </w:p>
        </w:tc>
        <w:tc>
          <w:tcPr>
            <w:tcW w:w="2481" w:type="dxa"/>
          </w:tcPr>
          <w:p w14:paraId="660E578A" w14:textId="77777777" w:rsidR="00FE482F" w:rsidRPr="00E956E3" w:rsidRDefault="00FE482F" w:rsidP="001B4B1E">
            <w:r>
              <w:t>.123 - .655</w:t>
            </w:r>
          </w:p>
        </w:tc>
        <w:tc>
          <w:tcPr>
            <w:tcW w:w="2755" w:type="dxa"/>
          </w:tcPr>
          <w:p w14:paraId="4F413B53" w14:textId="77777777" w:rsidR="00FE482F" w:rsidRPr="00E956E3" w:rsidRDefault="00FE482F" w:rsidP="001B4B1E">
            <w:r>
              <w:t>52.5</w:t>
            </w:r>
          </w:p>
        </w:tc>
        <w:tc>
          <w:tcPr>
            <w:tcW w:w="2392" w:type="dxa"/>
          </w:tcPr>
          <w:p w14:paraId="148DB21A" w14:textId="77777777" w:rsidR="00FE482F" w:rsidRPr="00E956E3" w:rsidRDefault="00FE482F" w:rsidP="001B4B1E">
            <w:r>
              <w:t>-.732 - .705</w:t>
            </w:r>
          </w:p>
        </w:tc>
      </w:tr>
      <w:tr w:rsidR="00FE482F" w:rsidRPr="00E956E3" w14:paraId="1C796AFE" w14:textId="77777777" w:rsidTr="00B10F1B">
        <w:tc>
          <w:tcPr>
            <w:tcW w:w="1388" w:type="dxa"/>
          </w:tcPr>
          <w:p w14:paraId="74E2445C" w14:textId="77777777" w:rsidR="00FE482F" w:rsidRPr="00E956E3" w:rsidRDefault="00FE482F" w:rsidP="001B4B1E">
            <w:r w:rsidRPr="00E956E3">
              <w:t>8</w:t>
            </w:r>
          </w:p>
        </w:tc>
        <w:tc>
          <w:tcPr>
            <w:tcW w:w="2481" w:type="dxa"/>
          </w:tcPr>
          <w:p w14:paraId="276575E9" w14:textId="77777777" w:rsidR="00FE482F" w:rsidRPr="00E956E3" w:rsidRDefault="00FE482F" w:rsidP="001B4B1E">
            <w:r>
              <w:t>.123 - .693</w:t>
            </w:r>
          </w:p>
        </w:tc>
        <w:tc>
          <w:tcPr>
            <w:tcW w:w="2755" w:type="dxa"/>
          </w:tcPr>
          <w:p w14:paraId="7A69221D" w14:textId="77777777" w:rsidR="00FE482F" w:rsidRPr="00E956E3" w:rsidRDefault="00FE482F" w:rsidP="001B4B1E">
            <w:r>
              <w:t>55.4</w:t>
            </w:r>
          </w:p>
        </w:tc>
        <w:tc>
          <w:tcPr>
            <w:tcW w:w="2392" w:type="dxa"/>
          </w:tcPr>
          <w:p w14:paraId="2E4EB4C3" w14:textId="77777777" w:rsidR="00FE482F" w:rsidRPr="00E956E3" w:rsidRDefault="00FE482F" w:rsidP="001B4B1E">
            <w:r>
              <w:t>-.803 - .702</w:t>
            </w:r>
          </w:p>
        </w:tc>
      </w:tr>
      <w:tr w:rsidR="00FE482F" w:rsidRPr="00E956E3" w14:paraId="15304094" w14:textId="77777777" w:rsidTr="00B10F1B">
        <w:tc>
          <w:tcPr>
            <w:tcW w:w="1388" w:type="dxa"/>
          </w:tcPr>
          <w:p w14:paraId="790A570E" w14:textId="77777777" w:rsidR="00FE482F" w:rsidRPr="00E956E3" w:rsidRDefault="00FE482F" w:rsidP="001B4B1E">
            <w:r>
              <w:t>9</w:t>
            </w:r>
          </w:p>
        </w:tc>
        <w:tc>
          <w:tcPr>
            <w:tcW w:w="2481" w:type="dxa"/>
          </w:tcPr>
          <w:p w14:paraId="1CBAAA8D" w14:textId="77777777" w:rsidR="00FE482F" w:rsidRPr="00E956E3" w:rsidRDefault="00FE482F" w:rsidP="001B4B1E">
            <w:r>
              <w:t>.147 - .737</w:t>
            </w:r>
          </w:p>
        </w:tc>
        <w:tc>
          <w:tcPr>
            <w:tcW w:w="2755" w:type="dxa"/>
          </w:tcPr>
          <w:p w14:paraId="402D9D71" w14:textId="77777777" w:rsidR="00FE482F" w:rsidRPr="00E956E3" w:rsidRDefault="00FE482F" w:rsidP="001B4B1E">
            <w:r>
              <w:t>58.3</w:t>
            </w:r>
          </w:p>
        </w:tc>
        <w:tc>
          <w:tcPr>
            <w:tcW w:w="2392" w:type="dxa"/>
          </w:tcPr>
          <w:p w14:paraId="30FDD710" w14:textId="77777777" w:rsidR="00FE482F" w:rsidRPr="00E956E3" w:rsidRDefault="00FE482F" w:rsidP="001B4B1E">
            <w:r>
              <w:t>-.832 - .697</w:t>
            </w:r>
          </w:p>
        </w:tc>
      </w:tr>
    </w:tbl>
    <w:p w14:paraId="79A4494F" w14:textId="77777777" w:rsidR="00194A99" w:rsidRDefault="00194A99" w:rsidP="001B4B1E">
      <w:pPr>
        <w:pStyle w:val="Heading4"/>
      </w:pPr>
    </w:p>
    <w:p w14:paraId="772A3758" w14:textId="659AAB23" w:rsidR="00FE482F" w:rsidRPr="000A796C" w:rsidRDefault="00FE482F" w:rsidP="001B4B1E">
      <w:pPr>
        <w:pStyle w:val="Heading4"/>
      </w:pPr>
      <w:r>
        <w:t xml:space="preserve">3.3.4.3. </w:t>
      </w:r>
      <w:r w:rsidRPr="000A796C">
        <w:t>4-</w:t>
      </w:r>
      <w:r>
        <w:t>F</w:t>
      </w:r>
      <w:r w:rsidRPr="000A796C">
        <w:t xml:space="preserve">actor </w:t>
      </w:r>
      <w:r>
        <w:t>M</w:t>
      </w:r>
      <w:r w:rsidRPr="000A796C">
        <w:t>odel</w:t>
      </w:r>
    </w:p>
    <w:p w14:paraId="299A130C" w14:textId="77777777" w:rsidR="00FE482F" w:rsidRDefault="00FE482F" w:rsidP="001B4B1E">
      <w:r w:rsidRPr="002A6963">
        <w:t xml:space="preserve">In the </w:t>
      </w:r>
      <w:r>
        <w:t>4</w:t>
      </w:r>
      <w:r w:rsidRPr="002A6963">
        <w:t>-factor model, 1</w:t>
      </w:r>
      <w:r>
        <w:t>1</w:t>
      </w:r>
      <w:r w:rsidRPr="002A6963">
        <w:t xml:space="preserve"> </w:t>
      </w:r>
      <w:r>
        <w:t xml:space="preserve">of the 37 items </w:t>
      </w:r>
      <w:r w:rsidRPr="002A6963">
        <w:t xml:space="preserve">loaded </w:t>
      </w:r>
      <w:r>
        <w:t>onto</w:t>
      </w:r>
      <w:r w:rsidRPr="002A6963">
        <w:t xml:space="preserve"> factor</w:t>
      </w:r>
      <w:r>
        <w:t xml:space="preserve"> 1, </w:t>
      </w:r>
      <w:r w:rsidRPr="002A6963">
        <w:t xml:space="preserve"> </w:t>
      </w:r>
      <w:r>
        <w:t>7</w:t>
      </w:r>
      <w:r w:rsidRPr="002A6963">
        <w:t xml:space="preserve"> loaded onto factor 2</w:t>
      </w:r>
      <w:r>
        <w:t>,</w:t>
      </w:r>
      <w:r w:rsidRPr="002A6963">
        <w:t xml:space="preserve"> </w:t>
      </w:r>
      <w:r>
        <w:t>7</w:t>
      </w:r>
      <w:r w:rsidRPr="002A6963">
        <w:t xml:space="preserve"> onto factor 3</w:t>
      </w:r>
      <w:r>
        <w:t xml:space="preserve"> and 5 items onto factor 4</w:t>
      </w:r>
      <w:r w:rsidRPr="002A6963">
        <w:t>.</w:t>
      </w:r>
      <w:r>
        <w:t xml:space="preserve"> Three items (28, 34, 36) had factor loadings of less than 0.4, and another</w:t>
      </w:r>
      <w:r w:rsidRPr="002A6963">
        <w:t xml:space="preserve"> </w:t>
      </w:r>
      <w:r>
        <w:t>four</w:t>
      </w:r>
      <w:r w:rsidRPr="002A6963">
        <w:t xml:space="preserve"> i</w:t>
      </w:r>
      <w:r>
        <w:t>t</w:t>
      </w:r>
      <w:r w:rsidRPr="002A6963">
        <w:t>ems (</w:t>
      </w:r>
      <w:r>
        <w:t>15r, 21, 33, 35</w:t>
      </w:r>
      <w:r w:rsidRPr="002A6963">
        <w:t>) did not load at all onto any factors</w:t>
      </w:r>
      <w:r>
        <w:t>,</w:t>
      </w:r>
      <w:r w:rsidRPr="002A6963">
        <w:t xml:space="preserve"> so </w:t>
      </w:r>
      <w:r>
        <w:t xml:space="preserve">they </w:t>
      </w:r>
      <w:r w:rsidRPr="002A6963">
        <w:t xml:space="preserve">were not included in the final model. </w:t>
      </w:r>
    </w:p>
    <w:p w14:paraId="16D97260" w14:textId="77777777" w:rsidR="00FE482F" w:rsidRDefault="00FE482F" w:rsidP="001B4B1E">
      <w:r>
        <w:t>The seven questionnaire items that did not successfully load onto any of the identified factors are below:</w:t>
      </w:r>
    </w:p>
    <w:p w14:paraId="2F059D80" w14:textId="77777777" w:rsidR="00FE482F" w:rsidRDefault="00FE482F" w:rsidP="001B4B1E">
      <w:r>
        <w:t>(15) – "</w:t>
      </w:r>
      <w:r w:rsidRPr="00266764">
        <w:rPr>
          <w:lang w:val="en-US"/>
        </w:rPr>
        <w:t>I avoid open arguments.</w:t>
      </w:r>
      <w:r>
        <w:rPr>
          <w:lang w:val="en-US"/>
        </w:rPr>
        <w:t>"</w:t>
      </w:r>
    </w:p>
    <w:p w14:paraId="0577FC10" w14:textId="77777777" w:rsidR="00FE482F" w:rsidRDefault="00FE482F" w:rsidP="001B4B1E">
      <w:r>
        <w:t>(21) – "I accept that I make mistakes once in a while."</w:t>
      </w:r>
    </w:p>
    <w:p w14:paraId="670DAD01" w14:textId="77777777" w:rsidR="00FE482F" w:rsidRDefault="00FE482F" w:rsidP="001B4B1E">
      <w:r>
        <w:t>(28) - "My illness has changed my perspective on life."</w:t>
      </w:r>
    </w:p>
    <w:p w14:paraId="12B2EC3D" w14:textId="77777777" w:rsidR="00FE482F" w:rsidRDefault="00FE482F" w:rsidP="001B4B1E">
      <w:r>
        <w:t>(33) – "I understand the cause of my illness."</w:t>
      </w:r>
    </w:p>
    <w:p w14:paraId="751D90B6" w14:textId="77777777" w:rsidR="00FE482F" w:rsidRDefault="00FE482F" w:rsidP="001B4B1E">
      <w:r>
        <w:t>(34) – "I experience exclusion and discrimination because of my illness."</w:t>
      </w:r>
    </w:p>
    <w:p w14:paraId="0A458AEF" w14:textId="77777777" w:rsidR="00FE482F" w:rsidRDefault="00FE482F" w:rsidP="001B4B1E">
      <w:r>
        <w:t>(35) – "</w:t>
      </w:r>
      <w:r w:rsidRPr="00266764">
        <w:rPr>
          <w:lang w:val="en-US"/>
        </w:rPr>
        <w:t>I am content with what I have achieved in my life despite my illness.</w:t>
      </w:r>
      <w:r>
        <w:rPr>
          <w:lang w:val="en-US"/>
        </w:rPr>
        <w:t>"</w:t>
      </w:r>
    </w:p>
    <w:p w14:paraId="28EFAD32" w14:textId="77777777" w:rsidR="00FE482F" w:rsidRDefault="00FE482F" w:rsidP="001B4B1E">
      <w:r>
        <w:t>(36) – "</w:t>
      </w:r>
      <w:r w:rsidRPr="00266764">
        <w:t>I know what my illness symptoms are.</w:t>
      </w:r>
      <w:r>
        <w:t>"</w:t>
      </w:r>
    </w:p>
    <w:p w14:paraId="0DD41DC0" w14:textId="77777777" w:rsidR="00FE482F" w:rsidRPr="009E0357" w:rsidRDefault="00FE482F" w:rsidP="001B4B1E">
      <w:pPr>
        <w:pStyle w:val="Heading4"/>
      </w:pPr>
      <w:r>
        <w:t xml:space="preserve">3.3.4.4. </w:t>
      </w:r>
      <w:r w:rsidRPr="009E0357">
        <w:t>Interpretation of factors</w:t>
      </w:r>
    </w:p>
    <w:p w14:paraId="1D860646" w14:textId="313A28C1" w:rsidR="00FE482F" w:rsidRDefault="00FE482F" w:rsidP="001B4B1E">
      <w:r w:rsidRPr="00E956E3">
        <w:t xml:space="preserve">Based on </w:t>
      </w:r>
      <w:r>
        <w:t xml:space="preserve">the prior constructs of the measure and </w:t>
      </w:r>
      <w:r w:rsidRPr="00E956E3">
        <w:t xml:space="preserve">interpretation of the item clusters, factor 1 was </w:t>
      </w:r>
      <w:r>
        <w:t>interpreted as</w:t>
      </w:r>
      <w:r w:rsidRPr="00E956E3">
        <w:t xml:space="preserve"> </w:t>
      </w:r>
      <w:r>
        <w:t xml:space="preserve">'Self-efficacy', </w:t>
      </w:r>
      <w:r w:rsidRPr="00E956E3">
        <w:t>factor 2 was</w:t>
      </w:r>
      <w:r>
        <w:t xml:space="preserve"> interpreted</w:t>
      </w:r>
      <w:r w:rsidRPr="00E956E3">
        <w:t xml:space="preserve"> </w:t>
      </w:r>
      <w:r>
        <w:t>as 'self-</w:t>
      </w:r>
      <w:r>
        <w:lastRenderedPageBreak/>
        <w:t>awareness/assertiveness', factor 3 was interpreted as "</w:t>
      </w:r>
      <w:r w:rsidR="00400BA2" w:rsidRPr="001A2683">
        <w:rPr>
          <w:color w:val="FF0000"/>
        </w:rPr>
        <w:t>interpersonal</w:t>
      </w:r>
      <w:r w:rsidR="00400BA2">
        <w:t xml:space="preserve"> </w:t>
      </w:r>
      <w:r>
        <w:t xml:space="preserve">illness burden/shame and factor 4 was interpreted as </w:t>
      </w:r>
      <w:r w:rsidR="00400BA2">
        <w:t>‘</w:t>
      </w:r>
      <w:r>
        <w:t>Social support</w:t>
      </w:r>
      <w:r w:rsidR="00400BA2">
        <w:t>’</w:t>
      </w:r>
      <w:r>
        <w:t xml:space="preserve"> </w:t>
      </w:r>
      <w:r w:rsidRPr="00E956E3">
        <w:t xml:space="preserve">(see Table </w:t>
      </w:r>
      <w:r>
        <w:t>7</w:t>
      </w:r>
      <w:r w:rsidRPr="00E956E3">
        <w:t>).</w:t>
      </w:r>
    </w:p>
    <w:p w14:paraId="39AB75C2" w14:textId="77777777" w:rsidR="00FE482F" w:rsidRDefault="00FE482F" w:rsidP="001B4B1E">
      <w:r>
        <w:br w:type="page"/>
      </w:r>
    </w:p>
    <w:p w14:paraId="01D17483" w14:textId="77777777" w:rsidR="00FE482F" w:rsidRPr="000A796C" w:rsidRDefault="00FE482F" w:rsidP="001B4B1E">
      <w:r w:rsidRPr="000A796C">
        <w:lastRenderedPageBreak/>
        <w:t xml:space="preserve">Table </w:t>
      </w:r>
      <w:r>
        <w:t>7</w:t>
      </w:r>
      <w:r w:rsidRPr="000A796C">
        <w:t>.</w:t>
      </w:r>
      <w:r>
        <w:t xml:space="preserve"> EASE-F</w:t>
      </w:r>
      <w:r w:rsidRPr="000A796C">
        <w:t xml:space="preserve"> 4F subscale items</w:t>
      </w:r>
    </w:p>
    <w:tbl>
      <w:tblPr>
        <w:tblStyle w:val="TableGrid"/>
        <w:tblW w:w="9923" w:type="dxa"/>
        <w:tblInd w:w="-289" w:type="dxa"/>
        <w:tblLook w:val="04A0" w:firstRow="1" w:lastRow="0" w:firstColumn="1" w:lastColumn="0" w:noHBand="0" w:noVBand="1"/>
      </w:tblPr>
      <w:tblGrid>
        <w:gridCol w:w="966"/>
        <w:gridCol w:w="2651"/>
        <w:gridCol w:w="6306"/>
      </w:tblGrid>
      <w:tr w:rsidR="00FE482F" w:rsidRPr="00BF6D8B" w14:paraId="49AD608C" w14:textId="77777777" w:rsidTr="00EA640C">
        <w:trPr>
          <w:trHeight w:val="593"/>
        </w:trPr>
        <w:tc>
          <w:tcPr>
            <w:tcW w:w="992" w:type="dxa"/>
            <w:vAlign w:val="center"/>
          </w:tcPr>
          <w:p w14:paraId="5B6F81AE" w14:textId="77777777" w:rsidR="00FE482F" w:rsidRPr="00BF6D8B" w:rsidRDefault="00FE482F" w:rsidP="001B4B1E">
            <w:pPr>
              <w:rPr>
                <w:b/>
                <w:bCs/>
                <w:sz w:val="20"/>
                <w:szCs w:val="21"/>
              </w:rPr>
            </w:pPr>
            <w:r w:rsidRPr="00BF6D8B">
              <w:rPr>
                <w:b/>
                <w:bCs/>
                <w:sz w:val="20"/>
                <w:szCs w:val="21"/>
              </w:rPr>
              <w:t>Factor</w:t>
            </w:r>
          </w:p>
        </w:tc>
        <w:tc>
          <w:tcPr>
            <w:tcW w:w="1702" w:type="dxa"/>
            <w:vAlign w:val="center"/>
          </w:tcPr>
          <w:p w14:paraId="5FCEE3FA" w14:textId="77777777" w:rsidR="00FE482F" w:rsidRPr="00BF6D8B" w:rsidRDefault="00FE482F" w:rsidP="001B4B1E">
            <w:pPr>
              <w:rPr>
                <w:b/>
                <w:bCs/>
                <w:sz w:val="20"/>
                <w:szCs w:val="21"/>
              </w:rPr>
            </w:pPr>
            <w:r w:rsidRPr="00BF6D8B">
              <w:rPr>
                <w:b/>
                <w:bCs/>
                <w:sz w:val="20"/>
                <w:szCs w:val="21"/>
              </w:rPr>
              <w:t>Sub-scale interpretation</w:t>
            </w:r>
          </w:p>
        </w:tc>
        <w:tc>
          <w:tcPr>
            <w:tcW w:w="7229" w:type="dxa"/>
            <w:vAlign w:val="center"/>
          </w:tcPr>
          <w:p w14:paraId="1F0CD0A7" w14:textId="77777777" w:rsidR="00FE482F" w:rsidRPr="00BF6D8B" w:rsidRDefault="00FE482F" w:rsidP="001B4B1E">
            <w:pPr>
              <w:rPr>
                <w:b/>
                <w:bCs/>
                <w:sz w:val="20"/>
                <w:szCs w:val="21"/>
              </w:rPr>
            </w:pPr>
            <w:r w:rsidRPr="00BF6D8B">
              <w:rPr>
                <w:b/>
                <w:bCs/>
                <w:sz w:val="20"/>
                <w:szCs w:val="21"/>
              </w:rPr>
              <w:t>Items</w:t>
            </w:r>
          </w:p>
        </w:tc>
      </w:tr>
      <w:tr w:rsidR="00FE482F" w:rsidRPr="00BF6D8B" w14:paraId="0C9E4550" w14:textId="77777777" w:rsidTr="00EA640C">
        <w:tc>
          <w:tcPr>
            <w:tcW w:w="992" w:type="dxa"/>
            <w:vMerge w:val="restart"/>
            <w:vAlign w:val="center"/>
          </w:tcPr>
          <w:p w14:paraId="1B5DB873" w14:textId="77777777" w:rsidR="00FE482F" w:rsidRPr="00BF6D8B" w:rsidRDefault="00FE482F" w:rsidP="001B4B1E">
            <w:pPr>
              <w:rPr>
                <w:b/>
                <w:bCs/>
                <w:sz w:val="20"/>
                <w:szCs w:val="21"/>
              </w:rPr>
            </w:pPr>
            <w:r w:rsidRPr="00BF6D8B">
              <w:rPr>
                <w:b/>
                <w:bCs/>
                <w:sz w:val="20"/>
                <w:szCs w:val="21"/>
              </w:rPr>
              <w:t>1</w:t>
            </w:r>
          </w:p>
        </w:tc>
        <w:tc>
          <w:tcPr>
            <w:tcW w:w="1702" w:type="dxa"/>
            <w:vMerge w:val="restart"/>
            <w:vAlign w:val="center"/>
          </w:tcPr>
          <w:p w14:paraId="7579C23B" w14:textId="77777777" w:rsidR="00FE482F" w:rsidRPr="00BF6D8B" w:rsidRDefault="00FE482F" w:rsidP="001B4B1E">
            <w:pPr>
              <w:rPr>
                <w:b/>
                <w:bCs/>
                <w:sz w:val="20"/>
                <w:szCs w:val="21"/>
              </w:rPr>
            </w:pPr>
            <w:r w:rsidRPr="00BF6D8B">
              <w:rPr>
                <w:b/>
                <w:bCs/>
                <w:sz w:val="20"/>
                <w:szCs w:val="21"/>
              </w:rPr>
              <w:t>Self-efficacy</w:t>
            </w:r>
          </w:p>
        </w:tc>
        <w:tc>
          <w:tcPr>
            <w:tcW w:w="7229" w:type="dxa"/>
          </w:tcPr>
          <w:p w14:paraId="5B1D42F3" w14:textId="77777777" w:rsidR="00FE482F" w:rsidRPr="00BF6D8B" w:rsidRDefault="00FE482F" w:rsidP="001B4B1E">
            <w:pPr>
              <w:rPr>
                <w:sz w:val="20"/>
                <w:szCs w:val="21"/>
              </w:rPr>
            </w:pPr>
            <w:r w:rsidRPr="00BF6D8B">
              <w:rPr>
                <w:sz w:val="20"/>
                <w:szCs w:val="21"/>
                <w:lang w:val="en-US"/>
              </w:rPr>
              <w:t>1.</w:t>
            </w:r>
            <w:r>
              <w:rPr>
                <w:sz w:val="20"/>
                <w:szCs w:val="21"/>
                <w:lang w:val="en-US"/>
              </w:rPr>
              <w:t xml:space="preserve"> </w:t>
            </w:r>
            <w:r w:rsidRPr="00BF6D8B">
              <w:rPr>
                <w:sz w:val="20"/>
                <w:szCs w:val="21"/>
                <w:lang w:val="en-US"/>
              </w:rPr>
              <w:t>In general</w:t>
            </w:r>
            <w:r>
              <w:rPr>
                <w:sz w:val="20"/>
                <w:szCs w:val="21"/>
                <w:lang w:val="en-US"/>
              </w:rPr>
              <w:t>,</w:t>
            </w:r>
            <w:r w:rsidRPr="00BF6D8B">
              <w:rPr>
                <w:sz w:val="20"/>
                <w:szCs w:val="21"/>
                <w:lang w:val="en-US"/>
              </w:rPr>
              <w:t xml:space="preserve"> I am able to manage my daily tasks</w:t>
            </w:r>
          </w:p>
        </w:tc>
      </w:tr>
      <w:tr w:rsidR="00FE482F" w:rsidRPr="00BF6D8B" w14:paraId="3793DA9D" w14:textId="77777777" w:rsidTr="00EA640C">
        <w:tc>
          <w:tcPr>
            <w:tcW w:w="992" w:type="dxa"/>
            <w:vMerge/>
            <w:vAlign w:val="center"/>
          </w:tcPr>
          <w:p w14:paraId="2ED5CA28" w14:textId="77777777" w:rsidR="00FE482F" w:rsidRPr="00BF6D8B" w:rsidRDefault="00FE482F" w:rsidP="001B4B1E">
            <w:pPr>
              <w:rPr>
                <w:b/>
                <w:bCs/>
                <w:sz w:val="20"/>
                <w:szCs w:val="21"/>
              </w:rPr>
            </w:pPr>
          </w:p>
        </w:tc>
        <w:tc>
          <w:tcPr>
            <w:tcW w:w="1702" w:type="dxa"/>
            <w:vMerge/>
            <w:vAlign w:val="center"/>
          </w:tcPr>
          <w:p w14:paraId="5AB92DEE" w14:textId="77777777" w:rsidR="00FE482F" w:rsidRPr="00BF6D8B" w:rsidRDefault="00FE482F" w:rsidP="001B4B1E">
            <w:pPr>
              <w:rPr>
                <w:b/>
                <w:bCs/>
                <w:sz w:val="20"/>
                <w:szCs w:val="21"/>
              </w:rPr>
            </w:pPr>
          </w:p>
        </w:tc>
        <w:tc>
          <w:tcPr>
            <w:tcW w:w="7229" w:type="dxa"/>
          </w:tcPr>
          <w:p w14:paraId="0D23F5A8" w14:textId="77777777" w:rsidR="00FE482F" w:rsidRPr="00BF6D8B" w:rsidRDefault="00FE482F" w:rsidP="001B4B1E">
            <w:pPr>
              <w:rPr>
                <w:sz w:val="20"/>
                <w:szCs w:val="21"/>
                <w:lang w:val="en-US"/>
              </w:rPr>
            </w:pPr>
            <w:r w:rsidRPr="00BF6D8B">
              <w:rPr>
                <w:sz w:val="20"/>
                <w:szCs w:val="21"/>
                <w:lang w:val="en-US"/>
              </w:rPr>
              <w:t>2.</w:t>
            </w:r>
            <w:r>
              <w:rPr>
                <w:sz w:val="20"/>
                <w:szCs w:val="21"/>
                <w:lang w:val="en-US"/>
              </w:rPr>
              <w:t xml:space="preserve"> </w:t>
            </w:r>
            <w:r w:rsidRPr="00BF6D8B">
              <w:rPr>
                <w:sz w:val="20"/>
                <w:szCs w:val="21"/>
                <w:lang w:val="en-US"/>
              </w:rPr>
              <w:t>I can manage limitations related to my illness in my daily life.</w:t>
            </w:r>
          </w:p>
        </w:tc>
      </w:tr>
      <w:tr w:rsidR="00FE482F" w:rsidRPr="00BF6D8B" w14:paraId="3F3D51E2" w14:textId="77777777" w:rsidTr="00EA640C">
        <w:tc>
          <w:tcPr>
            <w:tcW w:w="992" w:type="dxa"/>
            <w:vMerge/>
            <w:vAlign w:val="center"/>
          </w:tcPr>
          <w:p w14:paraId="3E3695CC" w14:textId="77777777" w:rsidR="00FE482F" w:rsidRPr="00BF6D8B" w:rsidRDefault="00FE482F" w:rsidP="001B4B1E">
            <w:pPr>
              <w:rPr>
                <w:b/>
                <w:bCs/>
                <w:sz w:val="20"/>
                <w:szCs w:val="21"/>
              </w:rPr>
            </w:pPr>
          </w:p>
        </w:tc>
        <w:tc>
          <w:tcPr>
            <w:tcW w:w="1702" w:type="dxa"/>
            <w:vMerge/>
            <w:vAlign w:val="center"/>
          </w:tcPr>
          <w:p w14:paraId="4F1D8801" w14:textId="77777777" w:rsidR="00FE482F" w:rsidRPr="00BF6D8B" w:rsidRDefault="00FE482F" w:rsidP="001B4B1E">
            <w:pPr>
              <w:rPr>
                <w:b/>
                <w:bCs/>
                <w:sz w:val="20"/>
                <w:szCs w:val="21"/>
              </w:rPr>
            </w:pPr>
          </w:p>
        </w:tc>
        <w:tc>
          <w:tcPr>
            <w:tcW w:w="7229" w:type="dxa"/>
          </w:tcPr>
          <w:p w14:paraId="3AF7607C" w14:textId="77777777" w:rsidR="00FE482F" w:rsidRPr="00BF6D8B" w:rsidRDefault="00FE482F" w:rsidP="001B4B1E">
            <w:pPr>
              <w:rPr>
                <w:sz w:val="20"/>
                <w:szCs w:val="21"/>
                <w:lang w:val="en-US"/>
              </w:rPr>
            </w:pPr>
            <w:r w:rsidRPr="00BF6D8B">
              <w:rPr>
                <w:sz w:val="20"/>
                <w:szCs w:val="21"/>
                <w:lang w:val="en-US"/>
              </w:rPr>
              <w:t>3.</w:t>
            </w:r>
            <w:r>
              <w:rPr>
                <w:sz w:val="20"/>
                <w:szCs w:val="21"/>
                <w:lang w:val="en-US"/>
              </w:rPr>
              <w:t xml:space="preserve"> </w:t>
            </w:r>
            <w:r w:rsidRPr="00BF6D8B">
              <w:rPr>
                <w:sz w:val="20"/>
                <w:szCs w:val="21"/>
                <w:lang w:val="en-US"/>
              </w:rPr>
              <w:t xml:space="preserve">In difficult situations, I can do something that helps me.  </w:t>
            </w:r>
          </w:p>
        </w:tc>
      </w:tr>
      <w:tr w:rsidR="00FE482F" w:rsidRPr="00BF6D8B" w14:paraId="0B20B1C9" w14:textId="77777777" w:rsidTr="00EA640C">
        <w:tc>
          <w:tcPr>
            <w:tcW w:w="992" w:type="dxa"/>
            <w:vMerge/>
            <w:vAlign w:val="center"/>
          </w:tcPr>
          <w:p w14:paraId="2E7B26F7" w14:textId="77777777" w:rsidR="00FE482F" w:rsidRPr="00BF6D8B" w:rsidRDefault="00FE482F" w:rsidP="001B4B1E">
            <w:pPr>
              <w:rPr>
                <w:b/>
                <w:bCs/>
                <w:sz w:val="20"/>
                <w:szCs w:val="21"/>
              </w:rPr>
            </w:pPr>
          </w:p>
        </w:tc>
        <w:tc>
          <w:tcPr>
            <w:tcW w:w="1702" w:type="dxa"/>
            <w:vMerge/>
            <w:vAlign w:val="center"/>
          </w:tcPr>
          <w:p w14:paraId="45929FBB" w14:textId="77777777" w:rsidR="00FE482F" w:rsidRPr="00BF6D8B" w:rsidRDefault="00FE482F" w:rsidP="001B4B1E">
            <w:pPr>
              <w:rPr>
                <w:b/>
                <w:bCs/>
                <w:sz w:val="20"/>
                <w:szCs w:val="21"/>
              </w:rPr>
            </w:pPr>
          </w:p>
        </w:tc>
        <w:tc>
          <w:tcPr>
            <w:tcW w:w="7229" w:type="dxa"/>
          </w:tcPr>
          <w:p w14:paraId="2506A625" w14:textId="77777777" w:rsidR="00FE482F" w:rsidRPr="00BF6D8B" w:rsidRDefault="00FE482F" w:rsidP="001B4B1E">
            <w:pPr>
              <w:rPr>
                <w:sz w:val="20"/>
                <w:szCs w:val="21"/>
                <w:lang w:val="en-US"/>
              </w:rPr>
            </w:pPr>
            <w:r w:rsidRPr="00BF6D8B">
              <w:rPr>
                <w:sz w:val="20"/>
                <w:szCs w:val="21"/>
                <w:lang w:val="en-US"/>
              </w:rPr>
              <w:t>10.</w:t>
            </w:r>
            <w:r>
              <w:rPr>
                <w:sz w:val="20"/>
                <w:szCs w:val="21"/>
                <w:lang w:val="en-US"/>
              </w:rPr>
              <w:t xml:space="preserve"> </w:t>
            </w:r>
            <w:r w:rsidRPr="00BF6D8B">
              <w:rPr>
                <w:sz w:val="20"/>
                <w:szCs w:val="21"/>
                <w:lang w:val="en-US"/>
              </w:rPr>
              <w:t>I feel good about myself as I am.</w:t>
            </w:r>
          </w:p>
        </w:tc>
      </w:tr>
      <w:tr w:rsidR="00FE482F" w:rsidRPr="00BF6D8B" w14:paraId="2697DF7D" w14:textId="77777777" w:rsidTr="00EA640C">
        <w:tc>
          <w:tcPr>
            <w:tcW w:w="992" w:type="dxa"/>
            <w:vMerge/>
            <w:vAlign w:val="center"/>
          </w:tcPr>
          <w:p w14:paraId="0051256B" w14:textId="77777777" w:rsidR="00FE482F" w:rsidRPr="00BF6D8B" w:rsidRDefault="00FE482F" w:rsidP="001B4B1E">
            <w:pPr>
              <w:rPr>
                <w:b/>
                <w:bCs/>
                <w:sz w:val="20"/>
                <w:szCs w:val="21"/>
              </w:rPr>
            </w:pPr>
          </w:p>
        </w:tc>
        <w:tc>
          <w:tcPr>
            <w:tcW w:w="1702" w:type="dxa"/>
            <w:vMerge/>
            <w:vAlign w:val="center"/>
          </w:tcPr>
          <w:p w14:paraId="44153298" w14:textId="77777777" w:rsidR="00FE482F" w:rsidRPr="00BF6D8B" w:rsidRDefault="00FE482F" w:rsidP="001B4B1E">
            <w:pPr>
              <w:rPr>
                <w:b/>
                <w:bCs/>
                <w:sz w:val="20"/>
                <w:szCs w:val="21"/>
              </w:rPr>
            </w:pPr>
          </w:p>
        </w:tc>
        <w:tc>
          <w:tcPr>
            <w:tcW w:w="7229" w:type="dxa"/>
          </w:tcPr>
          <w:p w14:paraId="7C42B7F3" w14:textId="77777777" w:rsidR="00FE482F" w:rsidRPr="00BF6D8B" w:rsidRDefault="00FE482F" w:rsidP="001B4B1E">
            <w:pPr>
              <w:rPr>
                <w:sz w:val="20"/>
                <w:szCs w:val="21"/>
                <w:lang w:val="en-US"/>
              </w:rPr>
            </w:pPr>
            <w:r w:rsidRPr="00BF6D8B">
              <w:rPr>
                <w:sz w:val="20"/>
                <w:szCs w:val="21"/>
                <w:lang w:val="en-US"/>
              </w:rPr>
              <w:t>18.</w:t>
            </w:r>
            <w:r>
              <w:rPr>
                <w:sz w:val="20"/>
                <w:szCs w:val="21"/>
                <w:lang w:val="en-US"/>
              </w:rPr>
              <w:t xml:space="preserve"> </w:t>
            </w:r>
            <w:r w:rsidRPr="00BF6D8B">
              <w:rPr>
                <w:sz w:val="20"/>
                <w:szCs w:val="21"/>
                <w:lang w:val="en-US"/>
              </w:rPr>
              <w:t>I am capable of achieving things I would like to achieve.</w:t>
            </w:r>
          </w:p>
        </w:tc>
      </w:tr>
      <w:tr w:rsidR="00FE482F" w:rsidRPr="00BF6D8B" w14:paraId="259427E0" w14:textId="77777777" w:rsidTr="00EA640C">
        <w:tc>
          <w:tcPr>
            <w:tcW w:w="992" w:type="dxa"/>
            <w:vMerge/>
            <w:vAlign w:val="center"/>
          </w:tcPr>
          <w:p w14:paraId="2B657BC7" w14:textId="77777777" w:rsidR="00FE482F" w:rsidRPr="00BF6D8B" w:rsidRDefault="00FE482F" w:rsidP="001B4B1E">
            <w:pPr>
              <w:rPr>
                <w:b/>
                <w:bCs/>
                <w:sz w:val="20"/>
                <w:szCs w:val="21"/>
              </w:rPr>
            </w:pPr>
          </w:p>
        </w:tc>
        <w:tc>
          <w:tcPr>
            <w:tcW w:w="1702" w:type="dxa"/>
            <w:vMerge/>
            <w:vAlign w:val="center"/>
          </w:tcPr>
          <w:p w14:paraId="6F4A5210" w14:textId="77777777" w:rsidR="00FE482F" w:rsidRPr="00BF6D8B" w:rsidRDefault="00FE482F" w:rsidP="001B4B1E">
            <w:pPr>
              <w:rPr>
                <w:b/>
                <w:bCs/>
                <w:sz w:val="20"/>
                <w:szCs w:val="21"/>
              </w:rPr>
            </w:pPr>
          </w:p>
        </w:tc>
        <w:tc>
          <w:tcPr>
            <w:tcW w:w="7229" w:type="dxa"/>
          </w:tcPr>
          <w:p w14:paraId="113B28AD" w14:textId="77777777" w:rsidR="00FE482F" w:rsidRPr="00BF6D8B" w:rsidRDefault="00FE482F" w:rsidP="001B4B1E">
            <w:pPr>
              <w:rPr>
                <w:sz w:val="20"/>
                <w:szCs w:val="21"/>
                <w:lang w:val="en-US"/>
              </w:rPr>
            </w:pPr>
            <w:r w:rsidRPr="00BF6D8B">
              <w:rPr>
                <w:sz w:val="20"/>
                <w:szCs w:val="21"/>
              </w:rPr>
              <w:t>19.</w:t>
            </w:r>
            <w:r>
              <w:rPr>
                <w:sz w:val="20"/>
                <w:szCs w:val="21"/>
              </w:rPr>
              <w:t xml:space="preserve"> </w:t>
            </w:r>
            <w:r w:rsidRPr="00BF6D8B">
              <w:rPr>
                <w:sz w:val="20"/>
                <w:szCs w:val="21"/>
              </w:rPr>
              <w:t>I accept things I cannot change.</w:t>
            </w:r>
          </w:p>
        </w:tc>
      </w:tr>
      <w:tr w:rsidR="00FE482F" w:rsidRPr="00BF6D8B" w14:paraId="3E9D933F" w14:textId="77777777" w:rsidTr="00EA640C">
        <w:tc>
          <w:tcPr>
            <w:tcW w:w="992" w:type="dxa"/>
            <w:vMerge/>
            <w:vAlign w:val="center"/>
          </w:tcPr>
          <w:p w14:paraId="3FCA8A9A" w14:textId="77777777" w:rsidR="00FE482F" w:rsidRPr="00BF6D8B" w:rsidRDefault="00FE482F" w:rsidP="001B4B1E">
            <w:pPr>
              <w:rPr>
                <w:b/>
                <w:bCs/>
                <w:sz w:val="20"/>
                <w:szCs w:val="21"/>
              </w:rPr>
            </w:pPr>
          </w:p>
        </w:tc>
        <w:tc>
          <w:tcPr>
            <w:tcW w:w="1702" w:type="dxa"/>
            <w:vMerge/>
            <w:vAlign w:val="center"/>
          </w:tcPr>
          <w:p w14:paraId="583401B2" w14:textId="77777777" w:rsidR="00FE482F" w:rsidRPr="00BF6D8B" w:rsidRDefault="00FE482F" w:rsidP="001B4B1E">
            <w:pPr>
              <w:rPr>
                <w:b/>
                <w:bCs/>
                <w:sz w:val="20"/>
                <w:szCs w:val="21"/>
              </w:rPr>
            </w:pPr>
          </w:p>
        </w:tc>
        <w:tc>
          <w:tcPr>
            <w:tcW w:w="7229" w:type="dxa"/>
          </w:tcPr>
          <w:p w14:paraId="5E31FC01" w14:textId="77777777" w:rsidR="00FE482F" w:rsidRPr="00BF6D8B" w:rsidRDefault="00FE482F" w:rsidP="001B4B1E">
            <w:pPr>
              <w:rPr>
                <w:sz w:val="20"/>
                <w:szCs w:val="21"/>
              </w:rPr>
            </w:pPr>
            <w:r w:rsidRPr="00BF6D8B">
              <w:rPr>
                <w:sz w:val="20"/>
                <w:szCs w:val="21"/>
              </w:rPr>
              <w:t>20.</w:t>
            </w:r>
            <w:r>
              <w:rPr>
                <w:sz w:val="20"/>
                <w:szCs w:val="21"/>
              </w:rPr>
              <w:t xml:space="preserve"> </w:t>
            </w:r>
            <w:r w:rsidRPr="00BF6D8B">
              <w:rPr>
                <w:sz w:val="20"/>
                <w:szCs w:val="21"/>
              </w:rPr>
              <w:t xml:space="preserve">I look after my </w:t>
            </w:r>
            <w:r>
              <w:rPr>
                <w:sz w:val="20"/>
                <w:szCs w:val="21"/>
              </w:rPr>
              <w:t>well-being</w:t>
            </w:r>
            <w:r w:rsidRPr="00BF6D8B">
              <w:rPr>
                <w:sz w:val="20"/>
                <w:szCs w:val="21"/>
              </w:rPr>
              <w:t xml:space="preserve"> in daily life.</w:t>
            </w:r>
          </w:p>
        </w:tc>
      </w:tr>
      <w:tr w:rsidR="00FE482F" w:rsidRPr="00BF6D8B" w14:paraId="11EBC5FD" w14:textId="77777777" w:rsidTr="00EA640C">
        <w:tc>
          <w:tcPr>
            <w:tcW w:w="992" w:type="dxa"/>
            <w:vMerge/>
            <w:vAlign w:val="center"/>
          </w:tcPr>
          <w:p w14:paraId="3E26AC68" w14:textId="77777777" w:rsidR="00FE482F" w:rsidRPr="00BF6D8B" w:rsidRDefault="00FE482F" w:rsidP="001B4B1E">
            <w:pPr>
              <w:rPr>
                <w:b/>
                <w:bCs/>
                <w:sz w:val="20"/>
                <w:szCs w:val="21"/>
              </w:rPr>
            </w:pPr>
          </w:p>
        </w:tc>
        <w:tc>
          <w:tcPr>
            <w:tcW w:w="1702" w:type="dxa"/>
            <w:vMerge/>
            <w:vAlign w:val="center"/>
          </w:tcPr>
          <w:p w14:paraId="6CB0E76C" w14:textId="77777777" w:rsidR="00FE482F" w:rsidRPr="00BF6D8B" w:rsidRDefault="00FE482F" w:rsidP="001B4B1E">
            <w:pPr>
              <w:rPr>
                <w:b/>
                <w:bCs/>
                <w:sz w:val="20"/>
                <w:szCs w:val="21"/>
              </w:rPr>
            </w:pPr>
          </w:p>
        </w:tc>
        <w:tc>
          <w:tcPr>
            <w:tcW w:w="7229" w:type="dxa"/>
          </w:tcPr>
          <w:p w14:paraId="59AB0BAD" w14:textId="77777777" w:rsidR="00FE482F" w:rsidRPr="00BF6D8B" w:rsidRDefault="00FE482F" w:rsidP="001B4B1E">
            <w:pPr>
              <w:rPr>
                <w:sz w:val="20"/>
                <w:szCs w:val="21"/>
              </w:rPr>
            </w:pPr>
            <w:r w:rsidRPr="00BF6D8B">
              <w:rPr>
                <w:sz w:val="20"/>
                <w:szCs w:val="21"/>
              </w:rPr>
              <w:t>22.</w:t>
            </w:r>
            <w:r>
              <w:rPr>
                <w:sz w:val="20"/>
                <w:szCs w:val="21"/>
              </w:rPr>
              <w:t xml:space="preserve"> </w:t>
            </w:r>
            <w:r w:rsidRPr="00BF6D8B">
              <w:rPr>
                <w:sz w:val="20"/>
                <w:szCs w:val="21"/>
              </w:rPr>
              <w:t xml:space="preserve">I feel </w:t>
            </w:r>
            <w:r>
              <w:rPr>
                <w:sz w:val="20"/>
                <w:szCs w:val="21"/>
              </w:rPr>
              <w:t>well-prepared</w:t>
            </w:r>
            <w:r w:rsidRPr="00BF6D8B">
              <w:rPr>
                <w:sz w:val="20"/>
                <w:szCs w:val="21"/>
              </w:rPr>
              <w:t xml:space="preserve"> for future challenges.</w:t>
            </w:r>
          </w:p>
        </w:tc>
      </w:tr>
      <w:tr w:rsidR="00FE482F" w:rsidRPr="00BF6D8B" w14:paraId="46DDE0DC" w14:textId="77777777" w:rsidTr="00EA640C">
        <w:tc>
          <w:tcPr>
            <w:tcW w:w="992" w:type="dxa"/>
            <w:vMerge/>
            <w:vAlign w:val="center"/>
          </w:tcPr>
          <w:p w14:paraId="1D174218" w14:textId="77777777" w:rsidR="00FE482F" w:rsidRPr="00BF6D8B" w:rsidRDefault="00FE482F" w:rsidP="001B4B1E">
            <w:pPr>
              <w:rPr>
                <w:b/>
                <w:bCs/>
                <w:sz w:val="20"/>
                <w:szCs w:val="21"/>
              </w:rPr>
            </w:pPr>
          </w:p>
        </w:tc>
        <w:tc>
          <w:tcPr>
            <w:tcW w:w="1702" w:type="dxa"/>
            <w:vMerge/>
            <w:vAlign w:val="center"/>
          </w:tcPr>
          <w:p w14:paraId="204F5BA0" w14:textId="77777777" w:rsidR="00FE482F" w:rsidRPr="00BF6D8B" w:rsidRDefault="00FE482F" w:rsidP="001B4B1E">
            <w:pPr>
              <w:rPr>
                <w:b/>
                <w:bCs/>
                <w:sz w:val="20"/>
                <w:szCs w:val="21"/>
              </w:rPr>
            </w:pPr>
          </w:p>
        </w:tc>
        <w:tc>
          <w:tcPr>
            <w:tcW w:w="7229" w:type="dxa"/>
          </w:tcPr>
          <w:p w14:paraId="1F7AD8DA" w14:textId="77777777" w:rsidR="00FE482F" w:rsidRPr="00BF6D8B" w:rsidRDefault="00FE482F" w:rsidP="001B4B1E">
            <w:pPr>
              <w:rPr>
                <w:sz w:val="20"/>
                <w:szCs w:val="21"/>
                <w:lang w:val="en-US"/>
              </w:rPr>
            </w:pPr>
            <w:r w:rsidRPr="00BF6D8B">
              <w:rPr>
                <w:sz w:val="20"/>
                <w:szCs w:val="21"/>
                <w:lang w:val="en-US"/>
              </w:rPr>
              <w:t>25.</w:t>
            </w:r>
            <w:r>
              <w:rPr>
                <w:sz w:val="20"/>
                <w:szCs w:val="21"/>
                <w:lang w:val="en-US"/>
              </w:rPr>
              <w:t xml:space="preserve"> </w:t>
            </w:r>
            <w:r w:rsidRPr="00BF6D8B">
              <w:rPr>
                <w:sz w:val="20"/>
                <w:szCs w:val="21"/>
                <w:lang w:val="en-US"/>
              </w:rPr>
              <w:t>I find it easy to relax.</w:t>
            </w:r>
          </w:p>
        </w:tc>
      </w:tr>
      <w:tr w:rsidR="00FE482F" w:rsidRPr="00BF6D8B" w14:paraId="0DC22F4E" w14:textId="77777777" w:rsidTr="00EA640C">
        <w:tc>
          <w:tcPr>
            <w:tcW w:w="992" w:type="dxa"/>
            <w:vMerge/>
            <w:vAlign w:val="center"/>
          </w:tcPr>
          <w:p w14:paraId="49084491" w14:textId="77777777" w:rsidR="00FE482F" w:rsidRPr="00BF6D8B" w:rsidRDefault="00FE482F" w:rsidP="001B4B1E">
            <w:pPr>
              <w:rPr>
                <w:b/>
                <w:bCs/>
                <w:sz w:val="20"/>
                <w:szCs w:val="21"/>
              </w:rPr>
            </w:pPr>
          </w:p>
        </w:tc>
        <w:tc>
          <w:tcPr>
            <w:tcW w:w="1702" w:type="dxa"/>
            <w:vMerge/>
            <w:vAlign w:val="center"/>
          </w:tcPr>
          <w:p w14:paraId="5D3B570D" w14:textId="77777777" w:rsidR="00FE482F" w:rsidRPr="00BF6D8B" w:rsidRDefault="00FE482F" w:rsidP="001B4B1E">
            <w:pPr>
              <w:rPr>
                <w:b/>
                <w:bCs/>
                <w:sz w:val="20"/>
                <w:szCs w:val="21"/>
              </w:rPr>
            </w:pPr>
          </w:p>
        </w:tc>
        <w:tc>
          <w:tcPr>
            <w:tcW w:w="7229" w:type="dxa"/>
          </w:tcPr>
          <w:p w14:paraId="48876889" w14:textId="77777777" w:rsidR="00FE482F" w:rsidRPr="00BF6D8B" w:rsidRDefault="00FE482F" w:rsidP="001B4B1E">
            <w:pPr>
              <w:rPr>
                <w:sz w:val="20"/>
                <w:szCs w:val="21"/>
                <w:lang w:val="en-US"/>
              </w:rPr>
            </w:pPr>
            <w:r w:rsidRPr="00BF6D8B">
              <w:rPr>
                <w:sz w:val="20"/>
                <w:szCs w:val="21"/>
                <w:lang w:val="en-US"/>
              </w:rPr>
              <w:t>27.</w:t>
            </w:r>
            <w:r>
              <w:rPr>
                <w:sz w:val="20"/>
                <w:szCs w:val="21"/>
                <w:lang w:val="en-US"/>
              </w:rPr>
              <w:t xml:space="preserve"> </w:t>
            </w:r>
            <w:r w:rsidRPr="00BF6D8B">
              <w:rPr>
                <w:sz w:val="20"/>
                <w:szCs w:val="21"/>
                <w:lang w:val="en-US"/>
              </w:rPr>
              <w:t xml:space="preserve">I am confident that my ability to cope with my illness will improve. </w:t>
            </w:r>
          </w:p>
        </w:tc>
      </w:tr>
      <w:tr w:rsidR="00FE482F" w:rsidRPr="00BF6D8B" w14:paraId="13D8DAF9" w14:textId="77777777" w:rsidTr="00EA640C">
        <w:tc>
          <w:tcPr>
            <w:tcW w:w="992" w:type="dxa"/>
            <w:vMerge/>
            <w:vAlign w:val="center"/>
          </w:tcPr>
          <w:p w14:paraId="6D9D8D83" w14:textId="77777777" w:rsidR="00FE482F" w:rsidRPr="00BF6D8B" w:rsidRDefault="00FE482F" w:rsidP="001B4B1E">
            <w:pPr>
              <w:rPr>
                <w:b/>
                <w:bCs/>
                <w:sz w:val="20"/>
                <w:szCs w:val="21"/>
              </w:rPr>
            </w:pPr>
          </w:p>
        </w:tc>
        <w:tc>
          <w:tcPr>
            <w:tcW w:w="1702" w:type="dxa"/>
            <w:vMerge/>
            <w:vAlign w:val="center"/>
          </w:tcPr>
          <w:p w14:paraId="504AD40C" w14:textId="77777777" w:rsidR="00FE482F" w:rsidRPr="00BF6D8B" w:rsidRDefault="00FE482F" w:rsidP="001B4B1E">
            <w:pPr>
              <w:rPr>
                <w:b/>
                <w:bCs/>
                <w:sz w:val="20"/>
                <w:szCs w:val="21"/>
              </w:rPr>
            </w:pPr>
          </w:p>
        </w:tc>
        <w:tc>
          <w:tcPr>
            <w:tcW w:w="7229" w:type="dxa"/>
          </w:tcPr>
          <w:p w14:paraId="61B5BB21" w14:textId="77777777" w:rsidR="00FE482F" w:rsidRPr="00BF6D8B" w:rsidRDefault="00FE482F" w:rsidP="001B4B1E">
            <w:pPr>
              <w:rPr>
                <w:sz w:val="20"/>
                <w:szCs w:val="21"/>
                <w:lang w:val="en-US"/>
              </w:rPr>
            </w:pPr>
            <w:r w:rsidRPr="00BF6D8B">
              <w:rPr>
                <w:sz w:val="20"/>
                <w:szCs w:val="21"/>
                <w:lang w:val="en-US"/>
              </w:rPr>
              <w:t>29.</w:t>
            </w:r>
            <w:r>
              <w:rPr>
                <w:sz w:val="20"/>
                <w:szCs w:val="21"/>
                <w:lang w:val="en-US"/>
              </w:rPr>
              <w:t xml:space="preserve"> </w:t>
            </w:r>
            <w:r w:rsidRPr="00BF6D8B">
              <w:rPr>
                <w:sz w:val="20"/>
                <w:szCs w:val="21"/>
                <w:lang w:val="en-US"/>
              </w:rPr>
              <w:t>I believe that problems in life are also an opportunity to develop new skills.</w:t>
            </w:r>
          </w:p>
        </w:tc>
      </w:tr>
      <w:tr w:rsidR="00FE482F" w:rsidRPr="00BF6D8B" w14:paraId="4779168A" w14:textId="77777777" w:rsidTr="00EA640C">
        <w:tc>
          <w:tcPr>
            <w:tcW w:w="992" w:type="dxa"/>
            <w:vMerge w:val="restart"/>
            <w:vAlign w:val="center"/>
          </w:tcPr>
          <w:p w14:paraId="01555136" w14:textId="77777777" w:rsidR="00FE482F" w:rsidRPr="00BF6D8B" w:rsidRDefault="00FE482F" w:rsidP="001B4B1E">
            <w:pPr>
              <w:rPr>
                <w:b/>
                <w:bCs/>
                <w:sz w:val="20"/>
                <w:szCs w:val="21"/>
              </w:rPr>
            </w:pPr>
            <w:r w:rsidRPr="00BF6D8B">
              <w:rPr>
                <w:b/>
                <w:bCs/>
                <w:sz w:val="20"/>
                <w:szCs w:val="21"/>
              </w:rPr>
              <w:t>2</w:t>
            </w:r>
          </w:p>
        </w:tc>
        <w:tc>
          <w:tcPr>
            <w:tcW w:w="1702" w:type="dxa"/>
            <w:vMerge w:val="restart"/>
            <w:vAlign w:val="center"/>
          </w:tcPr>
          <w:p w14:paraId="4119346C" w14:textId="77777777" w:rsidR="00FE482F" w:rsidRPr="00BF6D8B" w:rsidRDefault="00FE482F" w:rsidP="001B4B1E">
            <w:pPr>
              <w:rPr>
                <w:b/>
                <w:bCs/>
                <w:sz w:val="20"/>
                <w:szCs w:val="21"/>
              </w:rPr>
            </w:pPr>
            <w:r w:rsidRPr="00BF6D8B">
              <w:rPr>
                <w:b/>
                <w:bCs/>
                <w:sz w:val="20"/>
                <w:szCs w:val="21"/>
              </w:rPr>
              <w:t>Self-awareness/Assertiveness</w:t>
            </w:r>
          </w:p>
        </w:tc>
        <w:tc>
          <w:tcPr>
            <w:tcW w:w="7229" w:type="dxa"/>
          </w:tcPr>
          <w:p w14:paraId="7EFCE8BA" w14:textId="77777777" w:rsidR="00FE482F" w:rsidRPr="00BF6D8B" w:rsidRDefault="00FE482F" w:rsidP="001B4B1E">
            <w:pPr>
              <w:rPr>
                <w:sz w:val="20"/>
                <w:szCs w:val="21"/>
                <w:lang w:val="en-US"/>
              </w:rPr>
            </w:pPr>
            <w:r w:rsidRPr="00BF6D8B">
              <w:rPr>
                <w:sz w:val="20"/>
                <w:szCs w:val="21"/>
                <w:lang w:val="en-US"/>
              </w:rPr>
              <w:t>5.</w:t>
            </w:r>
            <w:r>
              <w:rPr>
                <w:sz w:val="20"/>
                <w:szCs w:val="21"/>
                <w:lang w:val="en-US"/>
              </w:rPr>
              <w:t xml:space="preserve"> </w:t>
            </w:r>
            <w:r w:rsidRPr="00BF6D8B">
              <w:rPr>
                <w:sz w:val="20"/>
                <w:szCs w:val="21"/>
                <w:lang w:val="en-US"/>
              </w:rPr>
              <w:t xml:space="preserve">I am aware of my own needs and wishes. </w:t>
            </w:r>
          </w:p>
        </w:tc>
      </w:tr>
      <w:tr w:rsidR="00FE482F" w:rsidRPr="00BF6D8B" w14:paraId="33C942AE" w14:textId="77777777" w:rsidTr="00EA640C">
        <w:tc>
          <w:tcPr>
            <w:tcW w:w="992" w:type="dxa"/>
            <w:vMerge/>
            <w:vAlign w:val="center"/>
          </w:tcPr>
          <w:p w14:paraId="0B62866D" w14:textId="77777777" w:rsidR="00FE482F" w:rsidRPr="00BF6D8B" w:rsidRDefault="00FE482F" w:rsidP="001B4B1E">
            <w:pPr>
              <w:rPr>
                <w:b/>
                <w:bCs/>
                <w:sz w:val="20"/>
                <w:szCs w:val="21"/>
              </w:rPr>
            </w:pPr>
          </w:p>
        </w:tc>
        <w:tc>
          <w:tcPr>
            <w:tcW w:w="1702" w:type="dxa"/>
            <w:vMerge/>
            <w:vAlign w:val="center"/>
          </w:tcPr>
          <w:p w14:paraId="5DCBB25A" w14:textId="77777777" w:rsidR="00FE482F" w:rsidRPr="00BF6D8B" w:rsidRDefault="00FE482F" w:rsidP="001B4B1E">
            <w:pPr>
              <w:rPr>
                <w:b/>
                <w:bCs/>
                <w:sz w:val="20"/>
                <w:szCs w:val="21"/>
              </w:rPr>
            </w:pPr>
          </w:p>
        </w:tc>
        <w:tc>
          <w:tcPr>
            <w:tcW w:w="7229" w:type="dxa"/>
          </w:tcPr>
          <w:p w14:paraId="6A860DB8" w14:textId="77777777" w:rsidR="00FE482F" w:rsidRPr="00BF6D8B" w:rsidRDefault="00FE482F" w:rsidP="001B4B1E">
            <w:pPr>
              <w:rPr>
                <w:sz w:val="20"/>
                <w:szCs w:val="21"/>
                <w:lang w:val="en-US"/>
              </w:rPr>
            </w:pPr>
            <w:r w:rsidRPr="00BF6D8B">
              <w:rPr>
                <w:sz w:val="20"/>
                <w:szCs w:val="21"/>
                <w:lang w:val="en-US"/>
              </w:rPr>
              <w:t>5</w:t>
            </w:r>
            <w:r>
              <w:rPr>
                <w:sz w:val="20"/>
                <w:szCs w:val="21"/>
                <w:lang w:val="en-US"/>
              </w:rPr>
              <w:t>.</w:t>
            </w:r>
            <w:r w:rsidRPr="00BF6D8B">
              <w:rPr>
                <w:sz w:val="20"/>
                <w:szCs w:val="21"/>
                <w:lang w:val="en-US"/>
              </w:rPr>
              <w:t>1. I am able to stand up firmly to others about my needs and wishes.</w:t>
            </w:r>
          </w:p>
        </w:tc>
      </w:tr>
      <w:tr w:rsidR="00FE482F" w:rsidRPr="00BF6D8B" w14:paraId="503B0F5F" w14:textId="77777777" w:rsidTr="00EA640C">
        <w:tc>
          <w:tcPr>
            <w:tcW w:w="992" w:type="dxa"/>
            <w:vMerge/>
            <w:vAlign w:val="center"/>
          </w:tcPr>
          <w:p w14:paraId="4B0FEA32" w14:textId="77777777" w:rsidR="00FE482F" w:rsidRPr="00BF6D8B" w:rsidRDefault="00FE482F" w:rsidP="001B4B1E">
            <w:pPr>
              <w:rPr>
                <w:b/>
                <w:bCs/>
                <w:sz w:val="20"/>
                <w:szCs w:val="21"/>
              </w:rPr>
            </w:pPr>
          </w:p>
        </w:tc>
        <w:tc>
          <w:tcPr>
            <w:tcW w:w="1702" w:type="dxa"/>
            <w:vMerge/>
            <w:vAlign w:val="center"/>
          </w:tcPr>
          <w:p w14:paraId="3C9869F7" w14:textId="77777777" w:rsidR="00FE482F" w:rsidRPr="00BF6D8B" w:rsidRDefault="00FE482F" w:rsidP="001B4B1E">
            <w:pPr>
              <w:rPr>
                <w:b/>
                <w:bCs/>
                <w:sz w:val="20"/>
                <w:szCs w:val="21"/>
              </w:rPr>
            </w:pPr>
          </w:p>
        </w:tc>
        <w:tc>
          <w:tcPr>
            <w:tcW w:w="7229" w:type="dxa"/>
          </w:tcPr>
          <w:p w14:paraId="3E25EE7D" w14:textId="77777777" w:rsidR="00FE482F" w:rsidRPr="00BF6D8B" w:rsidRDefault="00FE482F" w:rsidP="001B4B1E">
            <w:pPr>
              <w:rPr>
                <w:sz w:val="20"/>
                <w:szCs w:val="21"/>
                <w:lang w:val="en-US"/>
              </w:rPr>
            </w:pPr>
            <w:r w:rsidRPr="00BF6D8B">
              <w:rPr>
                <w:sz w:val="20"/>
                <w:szCs w:val="21"/>
                <w:lang w:val="en-US"/>
              </w:rPr>
              <w:t>9.</w:t>
            </w:r>
            <w:r>
              <w:rPr>
                <w:sz w:val="20"/>
                <w:szCs w:val="21"/>
                <w:lang w:val="en-US"/>
              </w:rPr>
              <w:t xml:space="preserve"> </w:t>
            </w:r>
            <w:r w:rsidRPr="00BF6D8B">
              <w:rPr>
                <w:sz w:val="20"/>
                <w:szCs w:val="21"/>
                <w:lang w:val="en-US"/>
              </w:rPr>
              <w:t>I am able to express how I feel if it is important to me.</w:t>
            </w:r>
          </w:p>
        </w:tc>
      </w:tr>
      <w:tr w:rsidR="00FE482F" w:rsidRPr="00BF6D8B" w14:paraId="569D833E" w14:textId="77777777" w:rsidTr="00EA640C">
        <w:tc>
          <w:tcPr>
            <w:tcW w:w="992" w:type="dxa"/>
            <w:vMerge/>
            <w:vAlign w:val="center"/>
          </w:tcPr>
          <w:p w14:paraId="04C980D0" w14:textId="77777777" w:rsidR="00FE482F" w:rsidRPr="00BF6D8B" w:rsidRDefault="00FE482F" w:rsidP="001B4B1E">
            <w:pPr>
              <w:rPr>
                <w:b/>
                <w:bCs/>
                <w:sz w:val="20"/>
                <w:szCs w:val="21"/>
              </w:rPr>
            </w:pPr>
          </w:p>
        </w:tc>
        <w:tc>
          <w:tcPr>
            <w:tcW w:w="1702" w:type="dxa"/>
            <w:vMerge/>
            <w:vAlign w:val="center"/>
          </w:tcPr>
          <w:p w14:paraId="415F621C" w14:textId="77777777" w:rsidR="00FE482F" w:rsidRPr="00BF6D8B" w:rsidRDefault="00FE482F" w:rsidP="001B4B1E">
            <w:pPr>
              <w:rPr>
                <w:b/>
                <w:bCs/>
                <w:sz w:val="20"/>
                <w:szCs w:val="21"/>
              </w:rPr>
            </w:pPr>
          </w:p>
        </w:tc>
        <w:tc>
          <w:tcPr>
            <w:tcW w:w="7229" w:type="dxa"/>
          </w:tcPr>
          <w:p w14:paraId="0343AF02" w14:textId="31C085FE" w:rsidR="00FE482F" w:rsidRPr="00BF6D8B" w:rsidRDefault="00FE482F" w:rsidP="001B4B1E">
            <w:pPr>
              <w:rPr>
                <w:sz w:val="20"/>
                <w:szCs w:val="21"/>
                <w:lang w:val="en-US"/>
              </w:rPr>
            </w:pPr>
            <w:r w:rsidRPr="00BF6D8B">
              <w:rPr>
                <w:sz w:val="20"/>
                <w:szCs w:val="21"/>
                <w:lang w:val="en-US"/>
              </w:rPr>
              <w:t>13.</w:t>
            </w:r>
            <w:r>
              <w:rPr>
                <w:sz w:val="20"/>
                <w:szCs w:val="21"/>
                <w:lang w:val="en-US"/>
              </w:rPr>
              <w:t xml:space="preserve"> </w:t>
            </w:r>
            <w:r w:rsidRPr="00BF6D8B">
              <w:rPr>
                <w:sz w:val="20"/>
                <w:szCs w:val="21"/>
                <w:lang w:val="en-US"/>
              </w:rPr>
              <w:t xml:space="preserve">I am able to say </w:t>
            </w:r>
            <w:r w:rsidR="00400BA2">
              <w:rPr>
                <w:sz w:val="20"/>
                <w:szCs w:val="21"/>
                <w:lang w:val="en-US"/>
              </w:rPr>
              <w:t>“</w:t>
            </w:r>
            <w:r w:rsidRPr="00BF6D8B">
              <w:rPr>
                <w:sz w:val="20"/>
                <w:szCs w:val="21"/>
                <w:lang w:val="en-US"/>
              </w:rPr>
              <w:t>no</w:t>
            </w:r>
            <w:r w:rsidR="00400BA2">
              <w:rPr>
                <w:sz w:val="20"/>
                <w:szCs w:val="21"/>
                <w:lang w:val="en-US"/>
              </w:rPr>
              <w:t>”</w:t>
            </w:r>
            <w:r w:rsidRPr="00BF6D8B">
              <w:rPr>
                <w:sz w:val="20"/>
                <w:szCs w:val="21"/>
                <w:lang w:val="en-US"/>
              </w:rPr>
              <w:t xml:space="preserve"> when others ask me to do things for them that I would rather not do.</w:t>
            </w:r>
          </w:p>
        </w:tc>
      </w:tr>
      <w:tr w:rsidR="00FE482F" w:rsidRPr="00BF6D8B" w14:paraId="585412DC" w14:textId="77777777" w:rsidTr="00EA640C">
        <w:tc>
          <w:tcPr>
            <w:tcW w:w="992" w:type="dxa"/>
            <w:vMerge/>
            <w:vAlign w:val="center"/>
          </w:tcPr>
          <w:p w14:paraId="73C0BF1C" w14:textId="77777777" w:rsidR="00FE482F" w:rsidRPr="00BF6D8B" w:rsidRDefault="00FE482F" w:rsidP="001B4B1E">
            <w:pPr>
              <w:rPr>
                <w:b/>
                <w:bCs/>
                <w:sz w:val="20"/>
                <w:szCs w:val="21"/>
              </w:rPr>
            </w:pPr>
          </w:p>
        </w:tc>
        <w:tc>
          <w:tcPr>
            <w:tcW w:w="1702" w:type="dxa"/>
            <w:vMerge/>
            <w:vAlign w:val="center"/>
          </w:tcPr>
          <w:p w14:paraId="447080FE" w14:textId="77777777" w:rsidR="00FE482F" w:rsidRPr="00BF6D8B" w:rsidRDefault="00FE482F" w:rsidP="001B4B1E">
            <w:pPr>
              <w:rPr>
                <w:b/>
                <w:bCs/>
                <w:sz w:val="20"/>
                <w:szCs w:val="21"/>
              </w:rPr>
            </w:pPr>
          </w:p>
        </w:tc>
        <w:tc>
          <w:tcPr>
            <w:tcW w:w="7229" w:type="dxa"/>
          </w:tcPr>
          <w:p w14:paraId="2B1178CD" w14:textId="77777777" w:rsidR="00FE482F" w:rsidRPr="00BF6D8B" w:rsidRDefault="00FE482F" w:rsidP="001B4B1E">
            <w:pPr>
              <w:rPr>
                <w:sz w:val="20"/>
                <w:szCs w:val="21"/>
                <w:lang w:val="en-US"/>
              </w:rPr>
            </w:pPr>
            <w:r w:rsidRPr="00BF6D8B">
              <w:rPr>
                <w:sz w:val="20"/>
                <w:szCs w:val="21"/>
                <w:lang w:val="en-US"/>
              </w:rPr>
              <w:t>16.</w:t>
            </w:r>
            <w:r>
              <w:rPr>
                <w:sz w:val="20"/>
                <w:szCs w:val="21"/>
                <w:lang w:val="en-US"/>
              </w:rPr>
              <w:t xml:space="preserve"> </w:t>
            </w:r>
            <w:r w:rsidRPr="00BF6D8B">
              <w:rPr>
                <w:sz w:val="20"/>
                <w:szCs w:val="21"/>
                <w:lang w:val="en-US"/>
              </w:rPr>
              <w:t xml:space="preserve">It is easy for me </w:t>
            </w:r>
            <w:r>
              <w:rPr>
                <w:sz w:val="20"/>
                <w:szCs w:val="21"/>
                <w:lang w:val="en-US"/>
              </w:rPr>
              <w:t>to openly</w:t>
            </w:r>
            <w:r w:rsidRPr="00BF6D8B">
              <w:rPr>
                <w:sz w:val="20"/>
                <w:szCs w:val="21"/>
                <w:lang w:val="en-US"/>
              </w:rPr>
              <w:t xml:space="preserve"> disagree with others if I have a different opinion.</w:t>
            </w:r>
          </w:p>
        </w:tc>
      </w:tr>
      <w:tr w:rsidR="00FE482F" w:rsidRPr="00BF6D8B" w14:paraId="7169B783" w14:textId="77777777" w:rsidTr="00EA640C">
        <w:tc>
          <w:tcPr>
            <w:tcW w:w="992" w:type="dxa"/>
            <w:vMerge/>
            <w:vAlign w:val="center"/>
          </w:tcPr>
          <w:p w14:paraId="2C645937" w14:textId="77777777" w:rsidR="00FE482F" w:rsidRPr="00BF6D8B" w:rsidRDefault="00FE482F" w:rsidP="001B4B1E">
            <w:pPr>
              <w:rPr>
                <w:b/>
                <w:bCs/>
                <w:sz w:val="20"/>
                <w:szCs w:val="21"/>
              </w:rPr>
            </w:pPr>
          </w:p>
        </w:tc>
        <w:tc>
          <w:tcPr>
            <w:tcW w:w="1702" w:type="dxa"/>
            <w:vMerge/>
            <w:vAlign w:val="center"/>
          </w:tcPr>
          <w:p w14:paraId="20BF5DE9" w14:textId="77777777" w:rsidR="00FE482F" w:rsidRPr="00BF6D8B" w:rsidRDefault="00FE482F" w:rsidP="001B4B1E">
            <w:pPr>
              <w:rPr>
                <w:b/>
                <w:bCs/>
                <w:sz w:val="20"/>
                <w:szCs w:val="21"/>
              </w:rPr>
            </w:pPr>
          </w:p>
        </w:tc>
        <w:tc>
          <w:tcPr>
            <w:tcW w:w="7229" w:type="dxa"/>
          </w:tcPr>
          <w:p w14:paraId="68827FB2" w14:textId="77777777" w:rsidR="00FE482F" w:rsidRPr="00BF6D8B" w:rsidRDefault="00FE482F" w:rsidP="001B4B1E">
            <w:pPr>
              <w:rPr>
                <w:sz w:val="20"/>
                <w:szCs w:val="21"/>
                <w:lang w:val="en-US"/>
              </w:rPr>
            </w:pPr>
            <w:r w:rsidRPr="00BF6D8B">
              <w:rPr>
                <w:sz w:val="20"/>
                <w:szCs w:val="21"/>
                <w:lang w:val="en-US"/>
              </w:rPr>
              <w:t>4.</w:t>
            </w:r>
            <w:r>
              <w:rPr>
                <w:sz w:val="20"/>
                <w:szCs w:val="21"/>
                <w:lang w:val="en-US"/>
              </w:rPr>
              <w:t xml:space="preserve"> </w:t>
            </w:r>
            <w:r w:rsidRPr="00BF6D8B">
              <w:rPr>
                <w:sz w:val="20"/>
                <w:szCs w:val="21"/>
                <w:lang w:val="en-US"/>
              </w:rPr>
              <w:t>I talk openly about how I feel with people who are important to me.</w:t>
            </w:r>
          </w:p>
        </w:tc>
      </w:tr>
      <w:tr w:rsidR="00FE482F" w:rsidRPr="00BF6D8B" w14:paraId="093133DB" w14:textId="77777777" w:rsidTr="00EA640C">
        <w:tc>
          <w:tcPr>
            <w:tcW w:w="992" w:type="dxa"/>
            <w:vMerge/>
            <w:vAlign w:val="center"/>
          </w:tcPr>
          <w:p w14:paraId="7FB21359" w14:textId="77777777" w:rsidR="00FE482F" w:rsidRPr="00BF6D8B" w:rsidRDefault="00FE482F" w:rsidP="001B4B1E">
            <w:pPr>
              <w:rPr>
                <w:b/>
                <w:bCs/>
                <w:sz w:val="20"/>
                <w:szCs w:val="21"/>
              </w:rPr>
            </w:pPr>
          </w:p>
        </w:tc>
        <w:tc>
          <w:tcPr>
            <w:tcW w:w="1702" w:type="dxa"/>
            <w:vMerge/>
            <w:vAlign w:val="center"/>
          </w:tcPr>
          <w:p w14:paraId="6D9D39C9" w14:textId="77777777" w:rsidR="00FE482F" w:rsidRPr="00BF6D8B" w:rsidRDefault="00FE482F" w:rsidP="001B4B1E">
            <w:pPr>
              <w:rPr>
                <w:b/>
                <w:bCs/>
                <w:sz w:val="20"/>
                <w:szCs w:val="21"/>
              </w:rPr>
            </w:pPr>
          </w:p>
        </w:tc>
        <w:tc>
          <w:tcPr>
            <w:tcW w:w="7229" w:type="dxa"/>
          </w:tcPr>
          <w:p w14:paraId="43BEC8FC" w14:textId="77777777" w:rsidR="00FE482F" w:rsidRPr="00BF6D8B" w:rsidRDefault="00FE482F" w:rsidP="001B4B1E">
            <w:pPr>
              <w:rPr>
                <w:sz w:val="20"/>
                <w:szCs w:val="21"/>
                <w:lang w:val="en-US"/>
              </w:rPr>
            </w:pPr>
            <w:r w:rsidRPr="00BF6D8B">
              <w:rPr>
                <w:sz w:val="20"/>
                <w:szCs w:val="21"/>
                <w:lang w:val="en-US"/>
              </w:rPr>
              <w:t>24.</w:t>
            </w:r>
            <w:r>
              <w:rPr>
                <w:sz w:val="20"/>
                <w:szCs w:val="21"/>
                <w:lang w:val="en-US"/>
              </w:rPr>
              <w:t xml:space="preserve"> </w:t>
            </w:r>
            <w:r w:rsidRPr="00BF6D8B">
              <w:rPr>
                <w:sz w:val="20"/>
                <w:szCs w:val="21"/>
                <w:lang w:val="en-US"/>
              </w:rPr>
              <w:t>I am confident when I deal with people I do not know.</w:t>
            </w:r>
          </w:p>
        </w:tc>
      </w:tr>
      <w:tr w:rsidR="00FE482F" w:rsidRPr="00BF6D8B" w14:paraId="0B53ED2E" w14:textId="77777777" w:rsidTr="00EA640C">
        <w:tc>
          <w:tcPr>
            <w:tcW w:w="992" w:type="dxa"/>
            <w:vMerge w:val="restart"/>
            <w:vAlign w:val="center"/>
          </w:tcPr>
          <w:p w14:paraId="3F9F16E6" w14:textId="77777777" w:rsidR="00FE482F" w:rsidRPr="00BF6D8B" w:rsidRDefault="00FE482F" w:rsidP="001B4B1E">
            <w:pPr>
              <w:rPr>
                <w:b/>
                <w:bCs/>
                <w:sz w:val="20"/>
                <w:szCs w:val="21"/>
              </w:rPr>
            </w:pPr>
            <w:r w:rsidRPr="00BF6D8B">
              <w:rPr>
                <w:b/>
                <w:bCs/>
                <w:sz w:val="20"/>
                <w:szCs w:val="21"/>
              </w:rPr>
              <w:t>3</w:t>
            </w:r>
          </w:p>
        </w:tc>
        <w:tc>
          <w:tcPr>
            <w:tcW w:w="1702" w:type="dxa"/>
            <w:vMerge w:val="restart"/>
            <w:vAlign w:val="center"/>
          </w:tcPr>
          <w:p w14:paraId="553E5430" w14:textId="77777777" w:rsidR="00FE482F" w:rsidRPr="00BF6D8B" w:rsidRDefault="00FE482F" w:rsidP="001B4B1E">
            <w:pPr>
              <w:rPr>
                <w:b/>
                <w:bCs/>
                <w:sz w:val="20"/>
                <w:szCs w:val="21"/>
              </w:rPr>
            </w:pPr>
            <w:r w:rsidRPr="00BF6D8B">
              <w:rPr>
                <w:b/>
                <w:bCs/>
                <w:sz w:val="20"/>
                <w:szCs w:val="21"/>
              </w:rPr>
              <w:t>Illness burden/Shame</w:t>
            </w:r>
          </w:p>
        </w:tc>
        <w:tc>
          <w:tcPr>
            <w:tcW w:w="7229" w:type="dxa"/>
          </w:tcPr>
          <w:p w14:paraId="53309F16" w14:textId="77777777" w:rsidR="00FE482F" w:rsidRPr="00BF6D8B" w:rsidRDefault="00FE482F" w:rsidP="001B4B1E">
            <w:pPr>
              <w:rPr>
                <w:sz w:val="20"/>
                <w:szCs w:val="21"/>
                <w:lang w:val="en-US"/>
              </w:rPr>
            </w:pPr>
            <w:r w:rsidRPr="00BF6D8B">
              <w:rPr>
                <w:sz w:val="20"/>
                <w:szCs w:val="21"/>
                <w:lang w:val="en-US"/>
              </w:rPr>
              <w:t>8.</w:t>
            </w:r>
            <w:r>
              <w:rPr>
                <w:sz w:val="20"/>
                <w:szCs w:val="21"/>
                <w:lang w:val="en-US"/>
              </w:rPr>
              <w:t xml:space="preserve"> </w:t>
            </w:r>
            <w:r w:rsidRPr="00BF6D8B">
              <w:rPr>
                <w:sz w:val="20"/>
                <w:szCs w:val="21"/>
                <w:lang w:val="en-US"/>
              </w:rPr>
              <w:t>In some situations, I am confused about how I feel.</w:t>
            </w:r>
          </w:p>
        </w:tc>
      </w:tr>
      <w:tr w:rsidR="00FE482F" w:rsidRPr="00BF6D8B" w14:paraId="2013E2FF" w14:textId="77777777" w:rsidTr="00EA640C">
        <w:tc>
          <w:tcPr>
            <w:tcW w:w="992" w:type="dxa"/>
            <w:vMerge/>
            <w:vAlign w:val="center"/>
          </w:tcPr>
          <w:p w14:paraId="2DBEBD8D" w14:textId="77777777" w:rsidR="00FE482F" w:rsidRPr="00BF6D8B" w:rsidRDefault="00FE482F" w:rsidP="001B4B1E">
            <w:pPr>
              <w:rPr>
                <w:b/>
                <w:bCs/>
                <w:sz w:val="20"/>
                <w:szCs w:val="21"/>
              </w:rPr>
            </w:pPr>
          </w:p>
        </w:tc>
        <w:tc>
          <w:tcPr>
            <w:tcW w:w="1702" w:type="dxa"/>
            <w:vMerge/>
            <w:vAlign w:val="center"/>
          </w:tcPr>
          <w:p w14:paraId="097A9AC6" w14:textId="77777777" w:rsidR="00FE482F" w:rsidRPr="00BF6D8B" w:rsidRDefault="00FE482F" w:rsidP="001B4B1E">
            <w:pPr>
              <w:rPr>
                <w:b/>
                <w:bCs/>
                <w:sz w:val="20"/>
                <w:szCs w:val="21"/>
              </w:rPr>
            </w:pPr>
          </w:p>
        </w:tc>
        <w:tc>
          <w:tcPr>
            <w:tcW w:w="7229" w:type="dxa"/>
          </w:tcPr>
          <w:p w14:paraId="3F905B85" w14:textId="77777777" w:rsidR="00FE482F" w:rsidRPr="00BF6D8B" w:rsidRDefault="00FE482F" w:rsidP="001B4B1E">
            <w:pPr>
              <w:rPr>
                <w:sz w:val="20"/>
                <w:szCs w:val="21"/>
                <w:lang w:val="en-US"/>
              </w:rPr>
            </w:pPr>
            <w:r w:rsidRPr="00BF6D8B">
              <w:rPr>
                <w:sz w:val="20"/>
                <w:szCs w:val="21"/>
                <w:lang w:val="en-US"/>
              </w:rPr>
              <w:t>11.</w:t>
            </w:r>
            <w:r>
              <w:rPr>
                <w:sz w:val="20"/>
                <w:szCs w:val="21"/>
                <w:lang w:val="en-US"/>
              </w:rPr>
              <w:t xml:space="preserve"> </w:t>
            </w:r>
            <w:r w:rsidRPr="00BF6D8B">
              <w:rPr>
                <w:sz w:val="20"/>
                <w:szCs w:val="21"/>
                <w:lang w:val="en-US"/>
              </w:rPr>
              <w:t>I bottle up feelings</w:t>
            </w:r>
          </w:p>
        </w:tc>
      </w:tr>
      <w:tr w:rsidR="00FE482F" w:rsidRPr="00BF6D8B" w14:paraId="1C5CFAA8" w14:textId="77777777" w:rsidTr="00EA640C">
        <w:tc>
          <w:tcPr>
            <w:tcW w:w="992" w:type="dxa"/>
            <w:vMerge/>
            <w:vAlign w:val="center"/>
          </w:tcPr>
          <w:p w14:paraId="35F816C5" w14:textId="77777777" w:rsidR="00FE482F" w:rsidRPr="00BF6D8B" w:rsidRDefault="00FE482F" w:rsidP="001B4B1E">
            <w:pPr>
              <w:rPr>
                <w:b/>
                <w:bCs/>
                <w:sz w:val="20"/>
                <w:szCs w:val="21"/>
              </w:rPr>
            </w:pPr>
          </w:p>
        </w:tc>
        <w:tc>
          <w:tcPr>
            <w:tcW w:w="1702" w:type="dxa"/>
            <w:vMerge/>
            <w:vAlign w:val="center"/>
          </w:tcPr>
          <w:p w14:paraId="098E5E02" w14:textId="77777777" w:rsidR="00FE482F" w:rsidRPr="00BF6D8B" w:rsidRDefault="00FE482F" w:rsidP="001B4B1E">
            <w:pPr>
              <w:rPr>
                <w:b/>
                <w:bCs/>
                <w:sz w:val="20"/>
                <w:szCs w:val="21"/>
              </w:rPr>
            </w:pPr>
          </w:p>
        </w:tc>
        <w:tc>
          <w:tcPr>
            <w:tcW w:w="7229" w:type="dxa"/>
          </w:tcPr>
          <w:p w14:paraId="35B92F6B" w14:textId="77777777" w:rsidR="00FE482F" w:rsidRPr="00BF6D8B" w:rsidRDefault="00FE482F" w:rsidP="001B4B1E">
            <w:pPr>
              <w:rPr>
                <w:sz w:val="20"/>
                <w:szCs w:val="21"/>
                <w:lang w:val="en-US"/>
              </w:rPr>
            </w:pPr>
            <w:r w:rsidRPr="00BF6D8B">
              <w:rPr>
                <w:sz w:val="20"/>
                <w:szCs w:val="21"/>
                <w:lang w:val="en-US"/>
              </w:rPr>
              <w:t>12.</w:t>
            </w:r>
            <w:r>
              <w:rPr>
                <w:sz w:val="20"/>
                <w:szCs w:val="21"/>
                <w:lang w:val="en-US"/>
              </w:rPr>
              <w:t xml:space="preserve"> </w:t>
            </w:r>
            <w:r w:rsidRPr="00BF6D8B">
              <w:rPr>
                <w:sz w:val="20"/>
                <w:szCs w:val="21"/>
                <w:lang w:val="en-US"/>
              </w:rPr>
              <w:t>I worry about being a burden to others.</w:t>
            </w:r>
          </w:p>
        </w:tc>
      </w:tr>
      <w:tr w:rsidR="00FE482F" w:rsidRPr="00BF6D8B" w14:paraId="064CA8A4" w14:textId="77777777" w:rsidTr="00EA640C">
        <w:tc>
          <w:tcPr>
            <w:tcW w:w="992" w:type="dxa"/>
            <w:vMerge/>
            <w:vAlign w:val="center"/>
          </w:tcPr>
          <w:p w14:paraId="3608D041" w14:textId="77777777" w:rsidR="00FE482F" w:rsidRPr="00BF6D8B" w:rsidRDefault="00FE482F" w:rsidP="001B4B1E">
            <w:pPr>
              <w:rPr>
                <w:b/>
                <w:bCs/>
                <w:sz w:val="20"/>
                <w:szCs w:val="21"/>
              </w:rPr>
            </w:pPr>
          </w:p>
        </w:tc>
        <w:tc>
          <w:tcPr>
            <w:tcW w:w="1702" w:type="dxa"/>
            <w:vMerge/>
            <w:vAlign w:val="center"/>
          </w:tcPr>
          <w:p w14:paraId="0B2A238F" w14:textId="77777777" w:rsidR="00FE482F" w:rsidRPr="00BF6D8B" w:rsidRDefault="00FE482F" w:rsidP="001B4B1E">
            <w:pPr>
              <w:rPr>
                <w:b/>
                <w:bCs/>
                <w:sz w:val="20"/>
                <w:szCs w:val="21"/>
              </w:rPr>
            </w:pPr>
          </w:p>
        </w:tc>
        <w:tc>
          <w:tcPr>
            <w:tcW w:w="7229" w:type="dxa"/>
          </w:tcPr>
          <w:p w14:paraId="6AA2E589" w14:textId="77777777" w:rsidR="00FE482F" w:rsidRPr="00BF6D8B" w:rsidRDefault="00FE482F" w:rsidP="001B4B1E">
            <w:pPr>
              <w:rPr>
                <w:sz w:val="20"/>
                <w:szCs w:val="21"/>
                <w:lang w:val="en-US"/>
              </w:rPr>
            </w:pPr>
            <w:r w:rsidRPr="00BF6D8B">
              <w:rPr>
                <w:sz w:val="20"/>
                <w:szCs w:val="21"/>
                <w:lang w:val="en-US"/>
              </w:rPr>
              <w:t>14.</w:t>
            </w:r>
            <w:r>
              <w:rPr>
                <w:sz w:val="20"/>
                <w:szCs w:val="21"/>
                <w:lang w:val="en-US"/>
              </w:rPr>
              <w:t xml:space="preserve"> </w:t>
            </w:r>
            <w:r w:rsidRPr="00BF6D8B">
              <w:rPr>
                <w:sz w:val="20"/>
                <w:szCs w:val="21"/>
                <w:lang w:val="en-US"/>
              </w:rPr>
              <w:t>It is hard for me to ask others for help.</w:t>
            </w:r>
          </w:p>
        </w:tc>
      </w:tr>
      <w:tr w:rsidR="00FE482F" w:rsidRPr="00BF6D8B" w14:paraId="720C1A8A" w14:textId="77777777" w:rsidTr="00EA640C">
        <w:tc>
          <w:tcPr>
            <w:tcW w:w="992" w:type="dxa"/>
            <w:vMerge/>
            <w:vAlign w:val="center"/>
          </w:tcPr>
          <w:p w14:paraId="45EE5652" w14:textId="77777777" w:rsidR="00FE482F" w:rsidRPr="00BF6D8B" w:rsidRDefault="00FE482F" w:rsidP="001B4B1E">
            <w:pPr>
              <w:rPr>
                <w:b/>
                <w:bCs/>
                <w:sz w:val="20"/>
                <w:szCs w:val="21"/>
              </w:rPr>
            </w:pPr>
          </w:p>
        </w:tc>
        <w:tc>
          <w:tcPr>
            <w:tcW w:w="1702" w:type="dxa"/>
            <w:vMerge/>
            <w:vAlign w:val="center"/>
          </w:tcPr>
          <w:p w14:paraId="63727136" w14:textId="77777777" w:rsidR="00FE482F" w:rsidRPr="00BF6D8B" w:rsidRDefault="00FE482F" w:rsidP="001B4B1E">
            <w:pPr>
              <w:rPr>
                <w:b/>
                <w:bCs/>
                <w:sz w:val="20"/>
                <w:szCs w:val="21"/>
              </w:rPr>
            </w:pPr>
          </w:p>
        </w:tc>
        <w:tc>
          <w:tcPr>
            <w:tcW w:w="7229" w:type="dxa"/>
          </w:tcPr>
          <w:p w14:paraId="386E1443" w14:textId="77777777" w:rsidR="00FE482F" w:rsidRPr="00BF6D8B" w:rsidRDefault="00FE482F" w:rsidP="001B4B1E">
            <w:pPr>
              <w:rPr>
                <w:sz w:val="20"/>
                <w:szCs w:val="21"/>
                <w:lang w:val="en-US"/>
              </w:rPr>
            </w:pPr>
            <w:r w:rsidRPr="00BF6D8B">
              <w:rPr>
                <w:sz w:val="20"/>
                <w:szCs w:val="21"/>
                <w:lang w:val="en-US"/>
              </w:rPr>
              <w:t>17.</w:t>
            </w:r>
            <w:r>
              <w:rPr>
                <w:sz w:val="20"/>
                <w:szCs w:val="21"/>
                <w:lang w:val="en-US"/>
              </w:rPr>
              <w:t xml:space="preserve"> </w:t>
            </w:r>
            <w:r w:rsidRPr="00BF6D8B">
              <w:rPr>
                <w:sz w:val="20"/>
                <w:szCs w:val="21"/>
                <w:lang w:val="en-US"/>
              </w:rPr>
              <w:t>I feel ashamed of my illness.</w:t>
            </w:r>
          </w:p>
        </w:tc>
      </w:tr>
      <w:tr w:rsidR="00FE482F" w:rsidRPr="00BF6D8B" w14:paraId="56D28118" w14:textId="77777777" w:rsidTr="00EA640C">
        <w:tc>
          <w:tcPr>
            <w:tcW w:w="992" w:type="dxa"/>
            <w:vMerge/>
            <w:vAlign w:val="center"/>
          </w:tcPr>
          <w:p w14:paraId="556315EB" w14:textId="77777777" w:rsidR="00FE482F" w:rsidRPr="00BF6D8B" w:rsidRDefault="00FE482F" w:rsidP="001B4B1E">
            <w:pPr>
              <w:rPr>
                <w:b/>
                <w:bCs/>
                <w:sz w:val="20"/>
                <w:szCs w:val="21"/>
              </w:rPr>
            </w:pPr>
          </w:p>
        </w:tc>
        <w:tc>
          <w:tcPr>
            <w:tcW w:w="1702" w:type="dxa"/>
            <w:vMerge/>
            <w:vAlign w:val="center"/>
          </w:tcPr>
          <w:p w14:paraId="554CC6E4" w14:textId="77777777" w:rsidR="00FE482F" w:rsidRPr="00BF6D8B" w:rsidRDefault="00FE482F" w:rsidP="001B4B1E">
            <w:pPr>
              <w:rPr>
                <w:b/>
                <w:bCs/>
                <w:sz w:val="20"/>
                <w:szCs w:val="21"/>
              </w:rPr>
            </w:pPr>
          </w:p>
        </w:tc>
        <w:tc>
          <w:tcPr>
            <w:tcW w:w="7229" w:type="dxa"/>
          </w:tcPr>
          <w:p w14:paraId="7D76EF97" w14:textId="77777777" w:rsidR="00FE482F" w:rsidRPr="00BF6D8B" w:rsidRDefault="00FE482F" w:rsidP="001B4B1E">
            <w:pPr>
              <w:rPr>
                <w:sz w:val="20"/>
                <w:szCs w:val="21"/>
                <w:lang w:val="en-US"/>
              </w:rPr>
            </w:pPr>
            <w:r w:rsidRPr="00BF6D8B">
              <w:rPr>
                <w:sz w:val="20"/>
                <w:szCs w:val="21"/>
                <w:lang w:val="en-US"/>
              </w:rPr>
              <w:t>23.</w:t>
            </w:r>
            <w:r>
              <w:rPr>
                <w:sz w:val="20"/>
                <w:szCs w:val="21"/>
                <w:lang w:val="en-US"/>
              </w:rPr>
              <w:t xml:space="preserve"> </w:t>
            </w:r>
            <w:r w:rsidRPr="00BF6D8B">
              <w:rPr>
                <w:sz w:val="20"/>
                <w:szCs w:val="21"/>
                <w:lang w:val="en-US"/>
              </w:rPr>
              <w:t>I am still troubled by things that happened to me in the past.</w:t>
            </w:r>
          </w:p>
        </w:tc>
      </w:tr>
      <w:tr w:rsidR="00FE482F" w:rsidRPr="00BF6D8B" w14:paraId="24D5CA5B" w14:textId="77777777" w:rsidTr="00EA640C">
        <w:tc>
          <w:tcPr>
            <w:tcW w:w="992" w:type="dxa"/>
            <w:vMerge/>
            <w:vAlign w:val="center"/>
          </w:tcPr>
          <w:p w14:paraId="64AF5EB1" w14:textId="77777777" w:rsidR="00FE482F" w:rsidRPr="00BF6D8B" w:rsidRDefault="00FE482F" w:rsidP="001B4B1E">
            <w:pPr>
              <w:rPr>
                <w:b/>
                <w:bCs/>
                <w:sz w:val="20"/>
                <w:szCs w:val="21"/>
              </w:rPr>
            </w:pPr>
          </w:p>
        </w:tc>
        <w:tc>
          <w:tcPr>
            <w:tcW w:w="1702" w:type="dxa"/>
            <w:vMerge/>
            <w:vAlign w:val="center"/>
          </w:tcPr>
          <w:p w14:paraId="36D09880" w14:textId="77777777" w:rsidR="00FE482F" w:rsidRPr="00BF6D8B" w:rsidRDefault="00FE482F" w:rsidP="001B4B1E">
            <w:pPr>
              <w:rPr>
                <w:b/>
                <w:bCs/>
                <w:sz w:val="20"/>
                <w:szCs w:val="21"/>
              </w:rPr>
            </w:pPr>
          </w:p>
        </w:tc>
        <w:tc>
          <w:tcPr>
            <w:tcW w:w="7229" w:type="dxa"/>
          </w:tcPr>
          <w:p w14:paraId="7B772510" w14:textId="77777777" w:rsidR="00FE482F" w:rsidRPr="00BF6D8B" w:rsidRDefault="00FE482F" w:rsidP="001B4B1E">
            <w:pPr>
              <w:rPr>
                <w:sz w:val="20"/>
                <w:szCs w:val="21"/>
                <w:lang w:val="en-US"/>
              </w:rPr>
            </w:pPr>
            <w:r w:rsidRPr="00BF6D8B">
              <w:rPr>
                <w:sz w:val="20"/>
                <w:szCs w:val="21"/>
                <w:lang w:val="en-US"/>
              </w:rPr>
              <w:t>26.</w:t>
            </w:r>
            <w:r>
              <w:rPr>
                <w:sz w:val="20"/>
                <w:szCs w:val="21"/>
                <w:lang w:val="en-US"/>
              </w:rPr>
              <w:t xml:space="preserve"> </w:t>
            </w:r>
            <w:r w:rsidRPr="00BF6D8B">
              <w:rPr>
                <w:sz w:val="20"/>
                <w:szCs w:val="21"/>
                <w:lang w:val="en-US"/>
              </w:rPr>
              <w:t>I take on too much to the point of being exhausted.</w:t>
            </w:r>
          </w:p>
        </w:tc>
      </w:tr>
      <w:tr w:rsidR="00FE482F" w:rsidRPr="00BF6D8B" w14:paraId="2555E803" w14:textId="77777777" w:rsidTr="00EA640C">
        <w:tc>
          <w:tcPr>
            <w:tcW w:w="992" w:type="dxa"/>
            <w:vMerge w:val="restart"/>
            <w:vAlign w:val="center"/>
          </w:tcPr>
          <w:p w14:paraId="38C0BC22" w14:textId="77777777" w:rsidR="00FE482F" w:rsidRPr="00BF6D8B" w:rsidRDefault="00FE482F" w:rsidP="001B4B1E">
            <w:pPr>
              <w:rPr>
                <w:b/>
                <w:bCs/>
                <w:sz w:val="20"/>
                <w:szCs w:val="21"/>
              </w:rPr>
            </w:pPr>
            <w:r w:rsidRPr="00BF6D8B">
              <w:rPr>
                <w:b/>
                <w:bCs/>
                <w:sz w:val="20"/>
                <w:szCs w:val="21"/>
              </w:rPr>
              <w:t>4</w:t>
            </w:r>
          </w:p>
        </w:tc>
        <w:tc>
          <w:tcPr>
            <w:tcW w:w="1702" w:type="dxa"/>
            <w:vMerge w:val="restart"/>
            <w:vAlign w:val="center"/>
          </w:tcPr>
          <w:p w14:paraId="54FE2B3C" w14:textId="77777777" w:rsidR="00FE482F" w:rsidRPr="00BF6D8B" w:rsidRDefault="00FE482F" w:rsidP="001B4B1E">
            <w:pPr>
              <w:rPr>
                <w:b/>
                <w:bCs/>
                <w:sz w:val="20"/>
                <w:szCs w:val="21"/>
              </w:rPr>
            </w:pPr>
            <w:r w:rsidRPr="00BF6D8B">
              <w:rPr>
                <w:b/>
                <w:bCs/>
                <w:sz w:val="20"/>
                <w:szCs w:val="21"/>
              </w:rPr>
              <w:t>Social Support</w:t>
            </w:r>
          </w:p>
        </w:tc>
        <w:tc>
          <w:tcPr>
            <w:tcW w:w="7229" w:type="dxa"/>
          </w:tcPr>
          <w:p w14:paraId="35CD7031" w14:textId="77777777" w:rsidR="00FE482F" w:rsidRPr="00BF6D8B" w:rsidRDefault="00FE482F" w:rsidP="001B4B1E">
            <w:pPr>
              <w:rPr>
                <w:sz w:val="20"/>
                <w:szCs w:val="21"/>
                <w:lang w:val="en-US"/>
              </w:rPr>
            </w:pPr>
            <w:r w:rsidRPr="00BF6D8B">
              <w:rPr>
                <w:sz w:val="20"/>
                <w:szCs w:val="21"/>
                <w:lang w:val="en-US"/>
              </w:rPr>
              <w:t>7.</w:t>
            </w:r>
            <w:r>
              <w:rPr>
                <w:sz w:val="20"/>
                <w:szCs w:val="21"/>
                <w:lang w:val="en-US"/>
              </w:rPr>
              <w:t xml:space="preserve"> </w:t>
            </w:r>
            <w:r w:rsidRPr="00BF6D8B">
              <w:rPr>
                <w:sz w:val="20"/>
                <w:szCs w:val="21"/>
                <w:lang w:val="en-US"/>
              </w:rPr>
              <w:t>I have informed people who I see regularly how to help me when I am struggling with my illness.</w:t>
            </w:r>
          </w:p>
        </w:tc>
      </w:tr>
      <w:tr w:rsidR="00FE482F" w:rsidRPr="00BF6D8B" w14:paraId="4327C3B2" w14:textId="77777777" w:rsidTr="00EA640C">
        <w:tc>
          <w:tcPr>
            <w:tcW w:w="992" w:type="dxa"/>
            <w:vMerge/>
            <w:vAlign w:val="center"/>
          </w:tcPr>
          <w:p w14:paraId="6BB27741" w14:textId="77777777" w:rsidR="00FE482F" w:rsidRPr="00BF6D8B" w:rsidRDefault="00FE482F" w:rsidP="001B4B1E">
            <w:pPr>
              <w:rPr>
                <w:b/>
                <w:bCs/>
                <w:sz w:val="20"/>
                <w:szCs w:val="21"/>
              </w:rPr>
            </w:pPr>
          </w:p>
        </w:tc>
        <w:tc>
          <w:tcPr>
            <w:tcW w:w="1702" w:type="dxa"/>
            <w:vMerge/>
            <w:vAlign w:val="center"/>
          </w:tcPr>
          <w:p w14:paraId="3895F359" w14:textId="77777777" w:rsidR="00FE482F" w:rsidRPr="00BF6D8B" w:rsidRDefault="00FE482F" w:rsidP="001B4B1E">
            <w:pPr>
              <w:rPr>
                <w:sz w:val="20"/>
                <w:szCs w:val="21"/>
              </w:rPr>
            </w:pPr>
          </w:p>
        </w:tc>
        <w:tc>
          <w:tcPr>
            <w:tcW w:w="7229" w:type="dxa"/>
          </w:tcPr>
          <w:p w14:paraId="6BA56530" w14:textId="77777777" w:rsidR="00FE482F" w:rsidRPr="00BF6D8B" w:rsidRDefault="00FE482F" w:rsidP="001B4B1E">
            <w:pPr>
              <w:rPr>
                <w:sz w:val="20"/>
                <w:szCs w:val="21"/>
                <w:lang w:val="en-US"/>
              </w:rPr>
            </w:pPr>
            <w:r w:rsidRPr="00BF6D8B">
              <w:rPr>
                <w:sz w:val="20"/>
                <w:szCs w:val="21"/>
                <w:lang w:val="en-US"/>
              </w:rPr>
              <w:t>6.</w:t>
            </w:r>
            <w:r>
              <w:rPr>
                <w:sz w:val="20"/>
                <w:szCs w:val="21"/>
                <w:lang w:val="en-US"/>
              </w:rPr>
              <w:t xml:space="preserve"> </w:t>
            </w:r>
            <w:r w:rsidRPr="00BF6D8B">
              <w:rPr>
                <w:sz w:val="20"/>
                <w:szCs w:val="21"/>
                <w:lang w:val="en-US"/>
              </w:rPr>
              <w:t>I talk openly about my illness with people who are important to me.</w:t>
            </w:r>
          </w:p>
        </w:tc>
      </w:tr>
      <w:tr w:rsidR="00FE482F" w:rsidRPr="00BF6D8B" w14:paraId="5BB17F99" w14:textId="77777777" w:rsidTr="00EA640C">
        <w:tc>
          <w:tcPr>
            <w:tcW w:w="992" w:type="dxa"/>
            <w:vMerge/>
            <w:vAlign w:val="center"/>
          </w:tcPr>
          <w:p w14:paraId="678B54CF" w14:textId="77777777" w:rsidR="00FE482F" w:rsidRPr="00BF6D8B" w:rsidRDefault="00FE482F" w:rsidP="001B4B1E">
            <w:pPr>
              <w:rPr>
                <w:b/>
                <w:bCs/>
                <w:sz w:val="20"/>
                <w:szCs w:val="21"/>
              </w:rPr>
            </w:pPr>
          </w:p>
        </w:tc>
        <w:tc>
          <w:tcPr>
            <w:tcW w:w="1702" w:type="dxa"/>
            <w:vMerge/>
            <w:vAlign w:val="center"/>
          </w:tcPr>
          <w:p w14:paraId="67417E89" w14:textId="77777777" w:rsidR="00FE482F" w:rsidRPr="00BF6D8B" w:rsidRDefault="00FE482F" w:rsidP="001B4B1E">
            <w:pPr>
              <w:rPr>
                <w:sz w:val="20"/>
                <w:szCs w:val="21"/>
              </w:rPr>
            </w:pPr>
          </w:p>
        </w:tc>
        <w:tc>
          <w:tcPr>
            <w:tcW w:w="7229" w:type="dxa"/>
          </w:tcPr>
          <w:p w14:paraId="56A038D7" w14:textId="77777777" w:rsidR="00FE482F" w:rsidRPr="00BF6D8B" w:rsidRDefault="00FE482F" w:rsidP="001B4B1E">
            <w:pPr>
              <w:rPr>
                <w:sz w:val="20"/>
                <w:szCs w:val="21"/>
                <w:lang w:val="en-US"/>
              </w:rPr>
            </w:pPr>
            <w:r w:rsidRPr="00BF6D8B">
              <w:rPr>
                <w:sz w:val="20"/>
                <w:szCs w:val="21"/>
                <w:lang w:val="en-US"/>
              </w:rPr>
              <w:t>30.</w:t>
            </w:r>
            <w:r>
              <w:rPr>
                <w:sz w:val="20"/>
                <w:szCs w:val="21"/>
                <w:lang w:val="en-US"/>
              </w:rPr>
              <w:t xml:space="preserve"> </w:t>
            </w:r>
            <w:r w:rsidRPr="00BF6D8B">
              <w:rPr>
                <w:sz w:val="20"/>
                <w:szCs w:val="21"/>
                <w:lang w:val="en-US"/>
              </w:rPr>
              <w:t>I am happy with the support that I receive.</w:t>
            </w:r>
          </w:p>
        </w:tc>
      </w:tr>
      <w:tr w:rsidR="00FE482F" w:rsidRPr="00BF6D8B" w14:paraId="409F4CE8" w14:textId="77777777" w:rsidTr="00EA640C">
        <w:tc>
          <w:tcPr>
            <w:tcW w:w="992" w:type="dxa"/>
            <w:vMerge/>
            <w:vAlign w:val="center"/>
          </w:tcPr>
          <w:p w14:paraId="4378F536" w14:textId="77777777" w:rsidR="00FE482F" w:rsidRPr="00BF6D8B" w:rsidRDefault="00FE482F" w:rsidP="001B4B1E">
            <w:pPr>
              <w:rPr>
                <w:b/>
                <w:bCs/>
                <w:sz w:val="20"/>
                <w:szCs w:val="21"/>
              </w:rPr>
            </w:pPr>
          </w:p>
        </w:tc>
        <w:tc>
          <w:tcPr>
            <w:tcW w:w="1702" w:type="dxa"/>
            <w:vMerge/>
            <w:vAlign w:val="center"/>
          </w:tcPr>
          <w:p w14:paraId="1263F049" w14:textId="77777777" w:rsidR="00FE482F" w:rsidRPr="00BF6D8B" w:rsidRDefault="00FE482F" w:rsidP="001B4B1E">
            <w:pPr>
              <w:rPr>
                <w:sz w:val="20"/>
                <w:szCs w:val="21"/>
              </w:rPr>
            </w:pPr>
          </w:p>
        </w:tc>
        <w:tc>
          <w:tcPr>
            <w:tcW w:w="7229" w:type="dxa"/>
          </w:tcPr>
          <w:p w14:paraId="1F05E7EE" w14:textId="77777777" w:rsidR="00FE482F" w:rsidRPr="00BF6D8B" w:rsidRDefault="00FE482F" w:rsidP="001B4B1E">
            <w:pPr>
              <w:rPr>
                <w:sz w:val="20"/>
                <w:szCs w:val="21"/>
                <w:lang w:val="en-US"/>
              </w:rPr>
            </w:pPr>
            <w:r w:rsidRPr="00BF6D8B">
              <w:rPr>
                <w:sz w:val="20"/>
                <w:szCs w:val="21"/>
                <w:lang w:val="en-US"/>
              </w:rPr>
              <w:t>31.</w:t>
            </w:r>
            <w:r>
              <w:rPr>
                <w:sz w:val="20"/>
                <w:szCs w:val="21"/>
                <w:lang w:val="en-US"/>
              </w:rPr>
              <w:t xml:space="preserve"> </w:t>
            </w:r>
            <w:r w:rsidRPr="00BF6D8B">
              <w:rPr>
                <w:sz w:val="20"/>
                <w:szCs w:val="21"/>
                <w:lang w:val="en-US"/>
              </w:rPr>
              <w:t>I am happy with the relationships that I have.</w:t>
            </w:r>
          </w:p>
        </w:tc>
      </w:tr>
      <w:tr w:rsidR="00FE482F" w:rsidRPr="00BF6D8B" w14:paraId="6E040131" w14:textId="77777777" w:rsidTr="00EA640C">
        <w:tc>
          <w:tcPr>
            <w:tcW w:w="992" w:type="dxa"/>
            <w:vMerge/>
            <w:vAlign w:val="center"/>
          </w:tcPr>
          <w:p w14:paraId="3A564A01" w14:textId="77777777" w:rsidR="00FE482F" w:rsidRPr="00BF6D8B" w:rsidRDefault="00FE482F" w:rsidP="001B4B1E">
            <w:pPr>
              <w:rPr>
                <w:b/>
                <w:bCs/>
                <w:sz w:val="20"/>
                <w:szCs w:val="21"/>
              </w:rPr>
            </w:pPr>
          </w:p>
        </w:tc>
        <w:tc>
          <w:tcPr>
            <w:tcW w:w="1702" w:type="dxa"/>
            <w:vMerge/>
            <w:vAlign w:val="center"/>
          </w:tcPr>
          <w:p w14:paraId="1B61ED85" w14:textId="77777777" w:rsidR="00FE482F" w:rsidRPr="00BF6D8B" w:rsidRDefault="00FE482F" w:rsidP="001B4B1E">
            <w:pPr>
              <w:rPr>
                <w:sz w:val="20"/>
                <w:szCs w:val="21"/>
              </w:rPr>
            </w:pPr>
          </w:p>
        </w:tc>
        <w:tc>
          <w:tcPr>
            <w:tcW w:w="7229" w:type="dxa"/>
          </w:tcPr>
          <w:p w14:paraId="16E1C309" w14:textId="77777777" w:rsidR="00FE482F" w:rsidRPr="00BF6D8B" w:rsidRDefault="00FE482F" w:rsidP="001B4B1E">
            <w:pPr>
              <w:rPr>
                <w:sz w:val="20"/>
                <w:szCs w:val="21"/>
                <w:lang w:val="en-US"/>
              </w:rPr>
            </w:pPr>
            <w:r w:rsidRPr="00BF6D8B">
              <w:rPr>
                <w:sz w:val="20"/>
                <w:szCs w:val="21"/>
                <w:lang w:val="en-US"/>
              </w:rPr>
              <w:t>32.</w:t>
            </w:r>
            <w:r>
              <w:rPr>
                <w:sz w:val="20"/>
                <w:szCs w:val="21"/>
                <w:lang w:val="en-US"/>
              </w:rPr>
              <w:t xml:space="preserve"> </w:t>
            </w:r>
            <w:r w:rsidRPr="00BF6D8B">
              <w:rPr>
                <w:sz w:val="20"/>
                <w:szCs w:val="21"/>
                <w:lang w:val="en-US"/>
              </w:rPr>
              <w:t xml:space="preserve">There are people </w:t>
            </w:r>
            <w:r>
              <w:rPr>
                <w:sz w:val="20"/>
                <w:szCs w:val="21"/>
                <w:lang w:val="en-US"/>
              </w:rPr>
              <w:t>whom</w:t>
            </w:r>
            <w:r w:rsidRPr="00BF6D8B">
              <w:rPr>
                <w:sz w:val="20"/>
                <w:szCs w:val="21"/>
                <w:lang w:val="en-US"/>
              </w:rPr>
              <w:t xml:space="preserve"> I trust.</w:t>
            </w:r>
          </w:p>
        </w:tc>
      </w:tr>
    </w:tbl>
    <w:p w14:paraId="2AAE953C" w14:textId="2E9D559C" w:rsidR="00FE482F" w:rsidRDefault="00FE482F" w:rsidP="001B4B1E">
      <w:pPr>
        <w:pStyle w:val="Heading3"/>
      </w:pPr>
      <w:bookmarkStart w:id="92" w:name="_Toc137504715"/>
      <w:r>
        <w:lastRenderedPageBreak/>
        <w:t xml:space="preserve">3.3.5 </w:t>
      </w:r>
      <w:r w:rsidRPr="00EA6032">
        <w:t xml:space="preserve">Confirmatory </w:t>
      </w:r>
      <w:r>
        <w:t>F</w:t>
      </w:r>
      <w:r w:rsidRPr="00EA6032">
        <w:t xml:space="preserve">actor </w:t>
      </w:r>
      <w:r>
        <w:t>A</w:t>
      </w:r>
      <w:r w:rsidRPr="00EA6032">
        <w:t>nalysis</w:t>
      </w:r>
      <w:r>
        <w:t xml:space="preserve"> (CFA)</w:t>
      </w:r>
      <w:bookmarkEnd w:id="92"/>
    </w:p>
    <w:p w14:paraId="069FEFF3" w14:textId="77777777" w:rsidR="00FE482F" w:rsidRPr="009102C7" w:rsidRDefault="00FE482F" w:rsidP="001B4B1E">
      <w:pPr>
        <w:pStyle w:val="Heading4"/>
      </w:pPr>
      <w:r>
        <w:t>3.</w:t>
      </w:r>
      <w:r w:rsidRPr="009102C7">
        <w:t>3.</w:t>
      </w:r>
      <w:r>
        <w:t>5</w:t>
      </w:r>
      <w:r w:rsidRPr="009102C7">
        <w:t>.1 Model fit</w:t>
      </w:r>
    </w:p>
    <w:p w14:paraId="40C4E5E4" w14:textId="77777777" w:rsidR="00FE482F" w:rsidRPr="00C7003A" w:rsidRDefault="00FE482F" w:rsidP="001B4B1E">
      <w:r w:rsidRPr="00C7003A">
        <w:t>The chi-square test for exact fit was significant</w:t>
      </w:r>
      <w:r>
        <w:t>,</w:t>
      </w:r>
      <w:r w:rsidRPr="00C7003A">
        <w:t xml:space="preserve"> indicating that the data did not fit the model.</w:t>
      </w:r>
      <w:r>
        <w:t xml:space="preserve"> </w:t>
      </w:r>
      <w:r w:rsidRPr="00C7003A">
        <w:t xml:space="preserve">Goodness-of-fit analysis in the CFA </w:t>
      </w:r>
      <w:r>
        <w:t xml:space="preserve">further </w:t>
      </w:r>
      <w:r w:rsidRPr="00C7003A">
        <w:t xml:space="preserve">confirmed that the model did not </w:t>
      </w:r>
      <w:r>
        <w:t>fit adequately</w:t>
      </w:r>
      <w:r w:rsidRPr="00C7003A">
        <w:t xml:space="preserve">: RMSEA= 0.064, TLI = 0.83, CFI =0.85. </w:t>
      </w:r>
    </w:p>
    <w:p w14:paraId="5CB42089" w14:textId="77777777" w:rsidR="00FE482F" w:rsidRPr="00C7003A" w:rsidRDefault="00FE482F" w:rsidP="001B4B1E">
      <w:r w:rsidRPr="00C7003A">
        <w:t xml:space="preserve">As the chi-square is biased to significance, </w:t>
      </w:r>
      <w:r>
        <w:t>the relative</w:t>
      </w:r>
      <w:r w:rsidRPr="00C7003A">
        <w:t xml:space="preserve"> chi-square (1 </w:t>
      </w:r>
      <w:proofErr w:type="spellStart"/>
      <w:r w:rsidRPr="00C7003A">
        <w:t>df</w:t>
      </w:r>
      <w:proofErr w:type="spellEnd"/>
      <w:r w:rsidRPr="00C7003A">
        <w:t>) was calculated and yielded 1.91 (762.2/399).</w:t>
      </w:r>
      <w:r>
        <w:t xml:space="preserve"> </w:t>
      </w:r>
      <w:r w:rsidRPr="00C7003A">
        <w:t xml:space="preserve">The critical value for the chi-square value of 1 </w:t>
      </w:r>
      <w:proofErr w:type="spellStart"/>
      <w:r w:rsidRPr="00C7003A">
        <w:t>df</w:t>
      </w:r>
      <w:proofErr w:type="spellEnd"/>
      <w:r w:rsidRPr="00C7003A">
        <w:t xml:space="preserve"> from the chi-square table is 3.841.</w:t>
      </w:r>
      <w:r>
        <w:t xml:space="preserve"> </w:t>
      </w:r>
      <w:r w:rsidRPr="00C7003A">
        <w:t>The normed chi-square was below the critical value indicating a good fit.</w:t>
      </w:r>
    </w:p>
    <w:p w14:paraId="05511744" w14:textId="3604D767" w:rsidR="00FE482F" w:rsidRPr="00041173" w:rsidRDefault="001A2683" w:rsidP="001A2683">
      <w:pPr>
        <w:pStyle w:val="Heading4"/>
      </w:pPr>
      <w:r>
        <w:t xml:space="preserve">3.3.5.2 </w:t>
      </w:r>
      <w:r w:rsidR="00FE482F" w:rsidRPr="00041173">
        <w:t>Modifications</w:t>
      </w:r>
    </w:p>
    <w:p w14:paraId="12F649F9" w14:textId="72C85724" w:rsidR="00FE482F" w:rsidRPr="00C7003A" w:rsidRDefault="00FE482F" w:rsidP="001B4B1E">
      <w:r w:rsidRPr="00C7003A">
        <w:t>To achieve a better model fit, modification indices</w:t>
      </w:r>
      <w:r>
        <w:t xml:space="preserve"> (MI)</w:t>
      </w:r>
      <w:r w:rsidRPr="00C7003A">
        <w:t xml:space="preserve"> were obtained</w:t>
      </w:r>
      <w:r>
        <w:t>,</w:t>
      </w:r>
      <w:r w:rsidRPr="00C7003A">
        <w:t xml:space="preserve"> and the model was adjusted iteratively.</w:t>
      </w:r>
      <w:r>
        <w:t xml:space="preserve"> MI</w:t>
      </w:r>
      <w:r w:rsidR="00400BA2">
        <w:t>’</w:t>
      </w:r>
      <w:r>
        <w:t>s</w:t>
      </w:r>
      <w:r w:rsidRPr="00041173">
        <w:t xml:space="preserve"> that resulted in a reduction of at least 15 in chi-square</w:t>
      </w:r>
      <w:r>
        <w:t xml:space="preserve"> were obtained. Modifications involving cross-loadings and covariances between items loading onto different subscales were excluded. See Table 8 for modification indices. </w:t>
      </w:r>
    </w:p>
    <w:p w14:paraId="0D8086C3" w14:textId="77777777" w:rsidR="00FE482F" w:rsidRPr="00D16526" w:rsidRDefault="00FE482F" w:rsidP="001B4B1E"/>
    <w:p w14:paraId="16BEAE40" w14:textId="77777777" w:rsidR="00FE482F" w:rsidRPr="009925E9" w:rsidRDefault="00FE482F" w:rsidP="001B4B1E">
      <w:r>
        <w:t>Tabl</w:t>
      </w:r>
      <w:r w:rsidRPr="009925E9">
        <w:t xml:space="preserve">e </w:t>
      </w:r>
      <w:r>
        <w:t>8</w:t>
      </w:r>
      <w:r w:rsidRPr="009925E9">
        <w:t>.</w:t>
      </w:r>
      <w:r>
        <w:t xml:space="preserve"> </w:t>
      </w:r>
      <w:r w:rsidRPr="009925E9">
        <w:t xml:space="preserve">Modification indices to the 4-factor model of the </w:t>
      </w:r>
      <w:r>
        <w:t>EASE-F</w:t>
      </w: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567"/>
        <w:gridCol w:w="1134"/>
        <w:gridCol w:w="1134"/>
        <w:gridCol w:w="1276"/>
        <w:gridCol w:w="1276"/>
        <w:gridCol w:w="1276"/>
        <w:gridCol w:w="1275"/>
      </w:tblGrid>
      <w:tr w:rsidR="00FE482F" w:rsidRPr="00EA640C" w14:paraId="1E6D3CB0" w14:textId="77777777" w:rsidTr="00C7003A">
        <w:trPr>
          <w:trHeight w:val="320"/>
        </w:trPr>
        <w:tc>
          <w:tcPr>
            <w:tcW w:w="1134" w:type="dxa"/>
            <w:shd w:val="clear" w:color="auto" w:fill="auto"/>
            <w:noWrap/>
            <w:vAlign w:val="bottom"/>
            <w:hideMark/>
          </w:tcPr>
          <w:p w14:paraId="2C2F84B3" w14:textId="77777777" w:rsidR="00FE482F" w:rsidRPr="00EA640C" w:rsidRDefault="00FE482F" w:rsidP="001B4B1E">
            <w:pPr>
              <w:rPr>
                <w:sz w:val="18"/>
                <w:szCs w:val="20"/>
              </w:rPr>
            </w:pPr>
            <w:r w:rsidRPr="00EA640C">
              <w:rPr>
                <w:sz w:val="18"/>
                <w:szCs w:val="20"/>
              </w:rPr>
              <w:t>LHS</w:t>
            </w:r>
          </w:p>
        </w:tc>
        <w:tc>
          <w:tcPr>
            <w:tcW w:w="567" w:type="dxa"/>
            <w:shd w:val="clear" w:color="auto" w:fill="auto"/>
            <w:noWrap/>
            <w:vAlign w:val="bottom"/>
            <w:hideMark/>
          </w:tcPr>
          <w:p w14:paraId="36028A64" w14:textId="77777777" w:rsidR="00FE482F" w:rsidRPr="00EA640C" w:rsidRDefault="00FE482F" w:rsidP="001B4B1E">
            <w:pPr>
              <w:rPr>
                <w:sz w:val="18"/>
                <w:szCs w:val="20"/>
              </w:rPr>
            </w:pPr>
            <w:r w:rsidRPr="00EA640C">
              <w:rPr>
                <w:sz w:val="18"/>
                <w:szCs w:val="20"/>
              </w:rPr>
              <w:t>OP</w:t>
            </w:r>
          </w:p>
        </w:tc>
        <w:tc>
          <w:tcPr>
            <w:tcW w:w="1134" w:type="dxa"/>
            <w:shd w:val="clear" w:color="auto" w:fill="auto"/>
            <w:noWrap/>
            <w:vAlign w:val="bottom"/>
            <w:hideMark/>
          </w:tcPr>
          <w:p w14:paraId="1A83DD1F" w14:textId="77777777" w:rsidR="00FE482F" w:rsidRPr="00EA640C" w:rsidRDefault="00FE482F" w:rsidP="001B4B1E">
            <w:pPr>
              <w:rPr>
                <w:sz w:val="18"/>
                <w:szCs w:val="20"/>
              </w:rPr>
            </w:pPr>
            <w:r w:rsidRPr="00EA640C">
              <w:rPr>
                <w:sz w:val="18"/>
                <w:szCs w:val="20"/>
              </w:rPr>
              <w:t>RHS</w:t>
            </w:r>
          </w:p>
        </w:tc>
        <w:tc>
          <w:tcPr>
            <w:tcW w:w="1134" w:type="dxa"/>
            <w:shd w:val="clear" w:color="auto" w:fill="auto"/>
            <w:noWrap/>
            <w:vAlign w:val="bottom"/>
            <w:hideMark/>
          </w:tcPr>
          <w:p w14:paraId="4FC6A9FB" w14:textId="77777777" w:rsidR="00FE482F" w:rsidRPr="00EA640C" w:rsidRDefault="00FE482F" w:rsidP="001B4B1E">
            <w:pPr>
              <w:rPr>
                <w:sz w:val="18"/>
                <w:szCs w:val="20"/>
              </w:rPr>
            </w:pPr>
            <w:r w:rsidRPr="00EA640C">
              <w:rPr>
                <w:sz w:val="18"/>
                <w:szCs w:val="20"/>
              </w:rPr>
              <w:t>MI</w:t>
            </w:r>
          </w:p>
        </w:tc>
        <w:tc>
          <w:tcPr>
            <w:tcW w:w="1276" w:type="dxa"/>
            <w:shd w:val="clear" w:color="auto" w:fill="auto"/>
            <w:noWrap/>
            <w:vAlign w:val="bottom"/>
            <w:hideMark/>
          </w:tcPr>
          <w:p w14:paraId="1373D31C" w14:textId="77777777" w:rsidR="00FE482F" w:rsidRPr="00EA640C" w:rsidRDefault="00FE482F" w:rsidP="001B4B1E">
            <w:pPr>
              <w:rPr>
                <w:sz w:val="18"/>
                <w:szCs w:val="20"/>
              </w:rPr>
            </w:pPr>
            <w:r w:rsidRPr="00EA640C">
              <w:rPr>
                <w:sz w:val="18"/>
                <w:szCs w:val="20"/>
              </w:rPr>
              <w:t>EPC</w:t>
            </w:r>
          </w:p>
        </w:tc>
        <w:tc>
          <w:tcPr>
            <w:tcW w:w="1276" w:type="dxa"/>
            <w:shd w:val="clear" w:color="auto" w:fill="auto"/>
            <w:noWrap/>
            <w:vAlign w:val="bottom"/>
            <w:hideMark/>
          </w:tcPr>
          <w:p w14:paraId="5D76933D" w14:textId="77777777" w:rsidR="00FE482F" w:rsidRPr="00EA640C" w:rsidRDefault="00FE482F" w:rsidP="001B4B1E">
            <w:pPr>
              <w:rPr>
                <w:sz w:val="18"/>
                <w:szCs w:val="20"/>
              </w:rPr>
            </w:pPr>
            <w:r w:rsidRPr="00EA640C">
              <w:rPr>
                <w:sz w:val="18"/>
                <w:szCs w:val="20"/>
              </w:rPr>
              <w:t>SEPC.LV</w:t>
            </w:r>
          </w:p>
        </w:tc>
        <w:tc>
          <w:tcPr>
            <w:tcW w:w="1276" w:type="dxa"/>
            <w:shd w:val="clear" w:color="auto" w:fill="auto"/>
            <w:noWrap/>
            <w:vAlign w:val="bottom"/>
            <w:hideMark/>
          </w:tcPr>
          <w:p w14:paraId="28FB8299" w14:textId="77777777" w:rsidR="00FE482F" w:rsidRPr="00EA640C" w:rsidRDefault="00FE482F" w:rsidP="001B4B1E">
            <w:pPr>
              <w:rPr>
                <w:sz w:val="18"/>
                <w:szCs w:val="20"/>
              </w:rPr>
            </w:pPr>
            <w:r w:rsidRPr="00EA640C">
              <w:rPr>
                <w:sz w:val="18"/>
                <w:szCs w:val="20"/>
              </w:rPr>
              <w:t>SEPC.ALL</w:t>
            </w:r>
          </w:p>
        </w:tc>
        <w:tc>
          <w:tcPr>
            <w:tcW w:w="1275" w:type="dxa"/>
            <w:shd w:val="clear" w:color="auto" w:fill="auto"/>
            <w:noWrap/>
            <w:vAlign w:val="bottom"/>
            <w:hideMark/>
          </w:tcPr>
          <w:p w14:paraId="53CDEF96" w14:textId="77777777" w:rsidR="00FE482F" w:rsidRPr="00EA640C" w:rsidRDefault="00FE482F" w:rsidP="001B4B1E">
            <w:pPr>
              <w:rPr>
                <w:sz w:val="18"/>
                <w:szCs w:val="20"/>
              </w:rPr>
            </w:pPr>
            <w:r w:rsidRPr="00EA640C">
              <w:rPr>
                <w:sz w:val="18"/>
                <w:szCs w:val="20"/>
              </w:rPr>
              <w:t>SEPC.NOX</w:t>
            </w:r>
          </w:p>
        </w:tc>
      </w:tr>
      <w:tr w:rsidR="00FE482F" w:rsidRPr="00EA640C" w14:paraId="61DEA4AC" w14:textId="77777777" w:rsidTr="003A28BF">
        <w:trPr>
          <w:trHeight w:val="532"/>
        </w:trPr>
        <w:tc>
          <w:tcPr>
            <w:tcW w:w="1134" w:type="dxa"/>
            <w:shd w:val="clear" w:color="auto" w:fill="auto"/>
            <w:noWrap/>
            <w:vAlign w:val="bottom"/>
            <w:hideMark/>
          </w:tcPr>
          <w:p w14:paraId="5FBDF4B1" w14:textId="77777777" w:rsidR="00FE482F" w:rsidRPr="00EA640C" w:rsidRDefault="00FE482F" w:rsidP="001B4B1E">
            <w:pPr>
              <w:rPr>
                <w:sz w:val="18"/>
                <w:szCs w:val="20"/>
              </w:rPr>
            </w:pPr>
            <w:r w:rsidRPr="00EA640C">
              <w:rPr>
                <w:sz w:val="18"/>
                <w:szCs w:val="20"/>
              </w:rPr>
              <w:t>EASE-F_1</w:t>
            </w:r>
          </w:p>
        </w:tc>
        <w:tc>
          <w:tcPr>
            <w:tcW w:w="567" w:type="dxa"/>
            <w:shd w:val="clear" w:color="auto" w:fill="auto"/>
            <w:noWrap/>
            <w:vAlign w:val="bottom"/>
            <w:hideMark/>
          </w:tcPr>
          <w:p w14:paraId="15611274" w14:textId="77777777" w:rsidR="00FE482F" w:rsidRPr="00EA640C" w:rsidRDefault="00FE482F" w:rsidP="001B4B1E">
            <w:pPr>
              <w:rPr>
                <w:sz w:val="18"/>
                <w:szCs w:val="20"/>
              </w:rPr>
            </w:pPr>
            <w:r w:rsidRPr="00EA640C">
              <w:rPr>
                <w:sz w:val="18"/>
                <w:szCs w:val="20"/>
              </w:rPr>
              <w:t>~~</w:t>
            </w:r>
          </w:p>
        </w:tc>
        <w:tc>
          <w:tcPr>
            <w:tcW w:w="1134" w:type="dxa"/>
            <w:shd w:val="clear" w:color="auto" w:fill="auto"/>
            <w:noWrap/>
            <w:vAlign w:val="bottom"/>
            <w:hideMark/>
          </w:tcPr>
          <w:p w14:paraId="480DB20C" w14:textId="77777777" w:rsidR="00FE482F" w:rsidRPr="00EA640C" w:rsidRDefault="00FE482F" w:rsidP="001B4B1E">
            <w:pPr>
              <w:rPr>
                <w:sz w:val="18"/>
                <w:szCs w:val="20"/>
              </w:rPr>
            </w:pPr>
            <w:r w:rsidRPr="00EA640C">
              <w:rPr>
                <w:sz w:val="18"/>
                <w:szCs w:val="20"/>
              </w:rPr>
              <w:t>EASE-F_2</w:t>
            </w:r>
          </w:p>
        </w:tc>
        <w:tc>
          <w:tcPr>
            <w:tcW w:w="1134" w:type="dxa"/>
            <w:shd w:val="clear" w:color="auto" w:fill="auto"/>
            <w:noWrap/>
            <w:vAlign w:val="bottom"/>
            <w:hideMark/>
          </w:tcPr>
          <w:p w14:paraId="50746241" w14:textId="77777777" w:rsidR="00FE482F" w:rsidRPr="00EA640C" w:rsidRDefault="00FE482F" w:rsidP="001B4B1E">
            <w:pPr>
              <w:rPr>
                <w:sz w:val="18"/>
                <w:szCs w:val="20"/>
              </w:rPr>
            </w:pPr>
            <w:r w:rsidRPr="00EA640C">
              <w:rPr>
                <w:sz w:val="18"/>
                <w:szCs w:val="20"/>
              </w:rPr>
              <w:t>52.86371*</w:t>
            </w:r>
          </w:p>
        </w:tc>
        <w:tc>
          <w:tcPr>
            <w:tcW w:w="1276" w:type="dxa"/>
            <w:shd w:val="clear" w:color="auto" w:fill="auto"/>
            <w:noWrap/>
            <w:vAlign w:val="bottom"/>
            <w:hideMark/>
          </w:tcPr>
          <w:p w14:paraId="1BEA4709" w14:textId="77777777" w:rsidR="00FE482F" w:rsidRPr="00EA640C" w:rsidRDefault="00FE482F" w:rsidP="001B4B1E">
            <w:pPr>
              <w:rPr>
                <w:sz w:val="18"/>
                <w:szCs w:val="20"/>
              </w:rPr>
            </w:pPr>
            <w:r w:rsidRPr="00EA640C">
              <w:rPr>
                <w:sz w:val="18"/>
                <w:szCs w:val="20"/>
              </w:rPr>
              <w:t>0.60742602</w:t>
            </w:r>
          </w:p>
        </w:tc>
        <w:tc>
          <w:tcPr>
            <w:tcW w:w="1276" w:type="dxa"/>
            <w:shd w:val="clear" w:color="auto" w:fill="auto"/>
            <w:noWrap/>
            <w:vAlign w:val="bottom"/>
            <w:hideMark/>
          </w:tcPr>
          <w:p w14:paraId="05B3DB92" w14:textId="77777777" w:rsidR="00FE482F" w:rsidRPr="00EA640C" w:rsidRDefault="00FE482F" w:rsidP="001B4B1E">
            <w:pPr>
              <w:rPr>
                <w:sz w:val="18"/>
                <w:szCs w:val="20"/>
              </w:rPr>
            </w:pPr>
            <w:r w:rsidRPr="00EA640C">
              <w:rPr>
                <w:sz w:val="18"/>
                <w:szCs w:val="20"/>
              </w:rPr>
              <w:t>0.60742602</w:t>
            </w:r>
          </w:p>
        </w:tc>
        <w:tc>
          <w:tcPr>
            <w:tcW w:w="1276" w:type="dxa"/>
            <w:shd w:val="clear" w:color="auto" w:fill="auto"/>
            <w:noWrap/>
            <w:vAlign w:val="bottom"/>
            <w:hideMark/>
          </w:tcPr>
          <w:p w14:paraId="5FFB2576" w14:textId="77777777" w:rsidR="00FE482F" w:rsidRPr="00EA640C" w:rsidRDefault="00FE482F" w:rsidP="001B4B1E">
            <w:pPr>
              <w:rPr>
                <w:sz w:val="18"/>
                <w:szCs w:val="20"/>
              </w:rPr>
            </w:pPr>
            <w:r w:rsidRPr="00EA640C">
              <w:rPr>
                <w:sz w:val="18"/>
                <w:szCs w:val="20"/>
              </w:rPr>
              <w:t>0.51324278</w:t>
            </w:r>
          </w:p>
        </w:tc>
        <w:tc>
          <w:tcPr>
            <w:tcW w:w="1275" w:type="dxa"/>
            <w:shd w:val="clear" w:color="auto" w:fill="auto"/>
            <w:noWrap/>
            <w:vAlign w:val="bottom"/>
            <w:hideMark/>
          </w:tcPr>
          <w:p w14:paraId="40D90D43" w14:textId="77777777" w:rsidR="00FE482F" w:rsidRPr="00EA640C" w:rsidRDefault="00FE482F" w:rsidP="001B4B1E">
            <w:pPr>
              <w:rPr>
                <w:sz w:val="18"/>
                <w:szCs w:val="20"/>
              </w:rPr>
            </w:pPr>
            <w:r w:rsidRPr="00EA640C">
              <w:rPr>
                <w:sz w:val="18"/>
                <w:szCs w:val="20"/>
              </w:rPr>
              <w:t>0.51324278</w:t>
            </w:r>
          </w:p>
        </w:tc>
      </w:tr>
      <w:tr w:rsidR="00FE482F" w:rsidRPr="00EA640C" w14:paraId="087A43AE" w14:textId="77777777" w:rsidTr="003A28BF">
        <w:trPr>
          <w:trHeight w:val="608"/>
        </w:trPr>
        <w:tc>
          <w:tcPr>
            <w:tcW w:w="1134" w:type="dxa"/>
            <w:shd w:val="clear" w:color="auto" w:fill="auto"/>
            <w:noWrap/>
            <w:vAlign w:val="bottom"/>
            <w:hideMark/>
          </w:tcPr>
          <w:p w14:paraId="35603273" w14:textId="77777777" w:rsidR="00FE482F" w:rsidRPr="00EA640C" w:rsidRDefault="00FE482F" w:rsidP="001B4B1E">
            <w:pPr>
              <w:rPr>
                <w:sz w:val="18"/>
                <w:szCs w:val="20"/>
              </w:rPr>
            </w:pPr>
            <w:r w:rsidRPr="00EA640C">
              <w:rPr>
                <w:sz w:val="18"/>
                <w:szCs w:val="20"/>
              </w:rPr>
              <w:t>EASE-F_31</w:t>
            </w:r>
          </w:p>
        </w:tc>
        <w:tc>
          <w:tcPr>
            <w:tcW w:w="567" w:type="dxa"/>
            <w:shd w:val="clear" w:color="auto" w:fill="auto"/>
            <w:noWrap/>
            <w:vAlign w:val="bottom"/>
            <w:hideMark/>
          </w:tcPr>
          <w:p w14:paraId="467C490F" w14:textId="77777777" w:rsidR="00FE482F" w:rsidRPr="00EA640C" w:rsidRDefault="00FE482F" w:rsidP="001B4B1E">
            <w:pPr>
              <w:rPr>
                <w:sz w:val="18"/>
                <w:szCs w:val="20"/>
              </w:rPr>
            </w:pPr>
            <w:r w:rsidRPr="00EA640C">
              <w:rPr>
                <w:sz w:val="18"/>
                <w:szCs w:val="20"/>
              </w:rPr>
              <w:t>~~</w:t>
            </w:r>
          </w:p>
        </w:tc>
        <w:tc>
          <w:tcPr>
            <w:tcW w:w="1134" w:type="dxa"/>
            <w:shd w:val="clear" w:color="auto" w:fill="auto"/>
            <w:noWrap/>
            <w:vAlign w:val="bottom"/>
            <w:hideMark/>
          </w:tcPr>
          <w:p w14:paraId="290B91C7" w14:textId="77777777" w:rsidR="00FE482F" w:rsidRPr="00EA640C" w:rsidRDefault="00FE482F" w:rsidP="001B4B1E">
            <w:pPr>
              <w:rPr>
                <w:sz w:val="18"/>
                <w:szCs w:val="20"/>
              </w:rPr>
            </w:pPr>
            <w:r w:rsidRPr="00EA640C">
              <w:rPr>
                <w:sz w:val="18"/>
                <w:szCs w:val="20"/>
              </w:rPr>
              <w:t>EASE-F_32</w:t>
            </w:r>
          </w:p>
        </w:tc>
        <w:tc>
          <w:tcPr>
            <w:tcW w:w="1134" w:type="dxa"/>
            <w:shd w:val="clear" w:color="auto" w:fill="auto"/>
            <w:noWrap/>
            <w:vAlign w:val="bottom"/>
            <w:hideMark/>
          </w:tcPr>
          <w:p w14:paraId="3BE44427" w14:textId="77777777" w:rsidR="00FE482F" w:rsidRPr="00EA640C" w:rsidRDefault="00FE482F" w:rsidP="001B4B1E">
            <w:pPr>
              <w:rPr>
                <w:sz w:val="18"/>
                <w:szCs w:val="20"/>
              </w:rPr>
            </w:pPr>
            <w:r w:rsidRPr="00EA640C">
              <w:rPr>
                <w:sz w:val="18"/>
                <w:szCs w:val="20"/>
              </w:rPr>
              <w:t>32.14640*</w:t>
            </w:r>
          </w:p>
        </w:tc>
        <w:tc>
          <w:tcPr>
            <w:tcW w:w="1276" w:type="dxa"/>
            <w:shd w:val="clear" w:color="auto" w:fill="auto"/>
            <w:noWrap/>
            <w:vAlign w:val="bottom"/>
            <w:hideMark/>
          </w:tcPr>
          <w:p w14:paraId="3F17633C" w14:textId="77777777" w:rsidR="00FE482F" w:rsidRPr="00EA640C" w:rsidRDefault="00FE482F" w:rsidP="001B4B1E">
            <w:pPr>
              <w:rPr>
                <w:sz w:val="18"/>
                <w:szCs w:val="20"/>
              </w:rPr>
            </w:pPr>
            <w:r w:rsidRPr="00EA640C">
              <w:rPr>
                <w:sz w:val="18"/>
                <w:szCs w:val="20"/>
              </w:rPr>
              <w:t>0.52159354</w:t>
            </w:r>
          </w:p>
        </w:tc>
        <w:tc>
          <w:tcPr>
            <w:tcW w:w="1276" w:type="dxa"/>
            <w:shd w:val="clear" w:color="auto" w:fill="auto"/>
            <w:noWrap/>
            <w:vAlign w:val="bottom"/>
            <w:hideMark/>
          </w:tcPr>
          <w:p w14:paraId="7F46D12E" w14:textId="77777777" w:rsidR="00FE482F" w:rsidRPr="00EA640C" w:rsidRDefault="00FE482F" w:rsidP="001B4B1E">
            <w:pPr>
              <w:rPr>
                <w:sz w:val="18"/>
                <w:szCs w:val="20"/>
              </w:rPr>
            </w:pPr>
            <w:r w:rsidRPr="00EA640C">
              <w:rPr>
                <w:sz w:val="18"/>
                <w:szCs w:val="20"/>
              </w:rPr>
              <w:t>0.52159354</w:t>
            </w:r>
          </w:p>
        </w:tc>
        <w:tc>
          <w:tcPr>
            <w:tcW w:w="1276" w:type="dxa"/>
            <w:shd w:val="clear" w:color="auto" w:fill="auto"/>
            <w:noWrap/>
            <w:vAlign w:val="bottom"/>
            <w:hideMark/>
          </w:tcPr>
          <w:p w14:paraId="5AD3D07D" w14:textId="77777777" w:rsidR="00FE482F" w:rsidRPr="00EA640C" w:rsidRDefault="00FE482F" w:rsidP="001B4B1E">
            <w:pPr>
              <w:rPr>
                <w:sz w:val="18"/>
                <w:szCs w:val="20"/>
              </w:rPr>
            </w:pPr>
            <w:r w:rsidRPr="00EA640C">
              <w:rPr>
                <w:sz w:val="18"/>
                <w:szCs w:val="20"/>
              </w:rPr>
              <w:t>0.41586457</w:t>
            </w:r>
          </w:p>
        </w:tc>
        <w:tc>
          <w:tcPr>
            <w:tcW w:w="1275" w:type="dxa"/>
            <w:shd w:val="clear" w:color="auto" w:fill="auto"/>
            <w:noWrap/>
            <w:vAlign w:val="bottom"/>
            <w:hideMark/>
          </w:tcPr>
          <w:p w14:paraId="0AF23224" w14:textId="77777777" w:rsidR="00FE482F" w:rsidRPr="00EA640C" w:rsidRDefault="00FE482F" w:rsidP="001B4B1E">
            <w:pPr>
              <w:rPr>
                <w:sz w:val="18"/>
                <w:szCs w:val="20"/>
              </w:rPr>
            </w:pPr>
            <w:r w:rsidRPr="00EA640C">
              <w:rPr>
                <w:sz w:val="18"/>
                <w:szCs w:val="20"/>
              </w:rPr>
              <w:t>0.41586457</w:t>
            </w:r>
          </w:p>
        </w:tc>
      </w:tr>
      <w:tr w:rsidR="00FE482F" w:rsidRPr="00EA640C" w14:paraId="67D01F24" w14:textId="77777777" w:rsidTr="00C7003A">
        <w:trPr>
          <w:trHeight w:val="320"/>
        </w:trPr>
        <w:tc>
          <w:tcPr>
            <w:tcW w:w="1134" w:type="dxa"/>
            <w:shd w:val="clear" w:color="auto" w:fill="auto"/>
            <w:noWrap/>
            <w:vAlign w:val="bottom"/>
            <w:hideMark/>
          </w:tcPr>
          <w:p w14:paraId="55833151" w14:textId="77777777" w:rsidR="00FE482F" w:rsidRPr="00EA640C" w:rsidRDefault="00FE482F" w:rsidP="001B4B1E">
            <w:pPr>
              <w:rPr>
                <w:sz w:val="18"/>
                <w:szCs w:val="20"/>
              </w:rPr>
            </w:pPr>
            <w:r w:rsidRPr="00EA640C">
              <w:rPr>
                <w:sz w:val="18"/>
                <w:szCs w:val="20"/>
              </w:rPr>
              <w:t>EASE-F_27</w:t>
            </w:r>
          </w:p>
        </w:tc>
        <w:tc>
          <w:tcPr>
            <w:tcW w:w="567" w:type="dxa"/>
            <w:shd w:val="clear" w:color="auto" w:fill="auto"/>
            <w:noWrap/>
            <w:vAlign w:val="bottom"/>
            <w:hideMark/>
          </w:tcPr>
          <w:p w14:paraId="2507D8BA" w14:textId="77777777" w:rsidR="00FE482F" w:rsidRPr="00EA640C" w:rsidRDefault="00FE482F" w:rsidP="001B4B1E">
            <w:pPr>
              <w:rPr>
                <w:sz w:val="18"/>
                <w:szCs w:val="20"/>
              </w:rPr>
            </w:pPr>
            <w:r w:rsidRPr="00EA640C">
              <w:rPr>
                <w:sz w:val="18"/>
                <w:szCs w:val="20"/>
              </w:rPr>
              <w:t>~~</w:t>
            </w:r>
          </w:p>
        </w:tc>
        <w:tc>
          <w:tcPr>
            <w:tcW w:w="1134" w:type="dxa"/>
            <w:shd w:val="clear" w:color="auto" w:fill="auto"/>
            <w:noWrap/>
            <w:vAlign w:val="bottom"/>
            <w:hideMark/>
          </w:tcPr>
          <w:p w14:paraId="39122B6A" w14:textId="77777777" w:rsidR="00FE482F" w:rsidRPr="00EA640C" w:rsidRDefault="00FE482F" w:rsidP="001B4B1E">
            <w:pPr>
              <w:rPr>
                <w:sz w:val="18"/>
                <w:szCs w:val="20"/>
              </w:rPr>
            </w:pPr>
            <w:r w:rsidRPr="00EA640C">
              <w:rPr>
                <w:sz w:val="18"/>
                <w:szCs w:val="20"/>
              </w:rPr>
              <w:t>EASE-F_29</w:t>
            </w:r>
          </w:p>
        </w:tc>
        <w:tc>
          <w:tcPr>
            <w:tcW w:w="1134" w:type="dxa"/>
            <w:shd w:val="clear" w:color="auto" w:fill="auto"/>
            <w:noWrap/>
            <w:vAlign w:val="bottom"/>
            <w:hideMark/>
          </w:tcPr>
          <w:p w14:paraId="0918652B" w14:textId="77777777" w:rsidR="00FE482F" w:rsidRPr="00EA640C" w:rsidRDefault="00FE482F" w:rsidP="001B4B1E">
            <w:pPr>
              <w:rPr>
                <w:sz w:val="18"/>
                <w:szCs w:val="20"/>
              </w:rPr>
            </w:pPr>
            <w:r w:rsidRPr="00EA640C">
              <w:rPr>
                <w:sz w:val="18"/>
                <w:szCs w:val="20"/>
              </w:rPr>
              <w:t>20.57863*</w:t>
            </w:r>
          </w:p>
        </w:tc>
        <w:tc>
          <w:tcPr>
            <w:tcW w:w="1276" w:type="dxa"/>
            <w:shd w:val="clear" w:color="auto" w:fill="auto"/>
            <w:noWrap/>
            <w:vAlign w:val="bottom"/>
            <w:hideMark/>
          </w:tcPr>
          <w:p w14:paraId="07EDC611" w14:textId="77777777" w:rsidR="00FE482F" w:rsidRPr="00EA640C" w:rsidRDefault="00FE482F" w:rsidP="001B4B1E">
            <w:pPr>
              <w:rPr>
                <w:sz w:val="18"/>
                <w:szCs w:val="20"/>
              </w:rPr>
            </w:pPr>
            <w:r w:rsidRPr="00EA640C">
              <w:rPr>
                <w:sz w:val="18"/>
                <w:szCs w:val="20"/>
              </w:rPr>
              <w:t>0.35126356</w:t>
            </w:r>
          </w:p>
        </w:tc>
        <w:tc>
          <w:tcPr>
            <w:tcW w:w="1276" w:type="dxa"/>
            <w:shd w:val="clear" w:color="auto" w:fill="auto"/>
            <w:noWrap/>
            <w:vAlign w:val="bottom"/>
            <w:hideMark/>
          </w:tcPr>
          <w:p w14:paraId="47D42A6E" w14:textId="77777777" w:rsidR="00FE482F" w:rsidRPr="00EA640C" w:rsidRDefault="00FE482F" w:rsidP="001B4B1E">
            <w:pPr>
              <w:rPr>
                <w:sz w:val="18"/>
                <w:szCs w:val="20"/>
              </w:rPr>
            </w:pPr>
            <w:r w:rsidRPr="00EA640C">
              <w:rPr>
                <w:sz w:val="18"/>
                <w:szCs w:val="20"/>
              </w:rPr>
              <w:t>0.35126356</w:t>
            </w:r>
          </w:p>
        </w:tc>
        <w:tc>
          <w:tcPr>
            <w:tcW w:w="1276" w:type="dxa"/>
            <w:shd w:val="clear" w:color="auto" w:fill="auto"/>
            <w:noWrap/>
            <w:vAlign w:val="bottom"/>
            <w:hideMark/>
          </w:tcPr>
          <w:p w14:paraId="316C96E7" w14:textId="77777777" w:rsidR="00FE482F" w:rsidRPr="00EA640C" w:rsidRDefault="00FE482F" w:rsidP="001B4B1E">
            <w:pPr>
              <w:rPr>
                <w:sz w:val="18"/>
                <w:szCs w:val="20"/>
              </w:rPr>
            </w:pPr>
            <w:r w:rsidRPr="00EA640C">
              <w:rPr>
                <w:sz w:val="18"/>
                <w:szCs w:val="20"/>
              </w:rPr>
              <w:t>0.32065658</w:t>
            </w:r>
          </w:p>
        </w:tc>
        <w:tc>
          <w:tcPr>
            <w:tcW w:w="1275" w:type="dxa"/>
            <w:shd w:val="clear" w:color="auto" w:fill="auto"/>
            <w:noWrap/>
            <w:vAlign w:val="bottom"/>
            <w:hideMark/>
          </w:tcPr>
          <w:p w14:paraId="2DE5E6B3" w14:textId="77777777" w:rsidR="00FE482F" w:rsidRPr="00EA640C" w:rsidRDefault="00FE482F" w:rsidP="001B4B1E">
            <w:pPr>
              <w:rPr>
                <w:sz w:val="18"/>
                <w:szCs w:val="20"/>
              </w:rPr>
            </w:pPr>
            <w:r w:rsidRPr="00EA640C">
              <w:rPr>
                <w:sz w:val="18"/>
                <w:szCs w:val="20"/>
              </w:rPr>
              <w:t>0.32065658</w:t>
            </w:r>
          </w:p>
        </w:tc>
      </w:tr>
    </w:tbl>
    <w:p w14:paraId="3647982C" w14:textId="77777777" w:rsidR="00FE482F" w:rsidRDefault="00FE482F" w:rsidP="001B4B1E">
      <w:r>
        <w:t xml:space="preserve"> </w:t>
      </w:r>
    </w:p>
    <w:p w14:paraId="73A59FA1" w14:textId="77777777" w:rsidR="00FE482F" w:rsidRPr="005A5B26" w:rsidRDefault="00FE482F" w:rsidP="005A5B26">
      <w:pPr>
        <w:spacing w:line="240" w:lineRule="auto"/>
        <w:jc w:val="center"/>
        <w:rPr>
          <w:i/>
          <w:iCs/>
          <w:sz w:val="21"/>
          <w:szCs w:val="21"/>
        </w:rPr>
      </w:pPr>
      <w:r w:rsidRPr="005A5B26">
        <w:rPr>
          <w:i/>
          <w:iCs/>
          <w:sz w:val="21"/>
          <w:szCs w:val="21"/>
        </w:rPr>
        <w:t>Note: LHS – Lefthand side; OP – operation (~~covaried); RHS – righthand side, MI – Modification indices; EPC – Expected Parameter change; SEPC.LV – EPC Standardising the latent variables; SEPC: ALL – EPC standardising all variables.</w:t>
      </w:r>
    </w:p>
    <w:p w14:paraId="33E9E6EA" w14:textId="46FFD22F" w:rsidR="00FE482F" w:rsidRPr="005A5B26" w:rsidRDefault="00FE482F" w:rsidP="005A5B26">
      <w:pPr>
        <w:spacing w:line="240" w:lineRule="auto"/>
        <w:jc w:val="center"/>
        <w:rPr>
          <w:i/>
          <w:iCs/>
          <w:sz w:val="21"/>
          <w:szCs w:val="21"/>
        </w:rPr>
      </w:pPr>
      <w:r w:rsidRPr="005A5B26">
        <w:rPr>
          <w:i/>
          <w:iCs/>
          <w:sz w:val="21"/>
          <w:szCs w:val="21"/>
        </w:rPr>
        <w:t>*MI</w:t>
      </w:r>
      <w:r w:rsidR="00400BA2">
        <w:rPr>
          <w:i/>
          <w:iCs/>
          <w:sz w:val="21"/>
          <w:szCs w:val="21"/>
        </w:rPr>
        <w:t>’</w:t>
      </w:r>
      <w:r w:rsidRPr="005A5B26">
        <w:rPr>
          <w:i/>
          <w:iCs/>
          <w:sz w:val="21"/>
          <w:szCs w:val="21"/>
        </w:rPr>
        <w:t>s indicate those adjusted and retested.</w:t>
      </w:r>
    </w:p>
    <w:p w14:paraId="2F4C6990" w14:textId="77777777" w:rsidR="00FE482F" w:rsidRDefault="00FE482F" w:rsidP="001B4B1E"/>
    <w:p w14:paraId="217A88E3" w14:textId="77777777" w:rsidR="00FE482F" w:rsidRDefault="00FE482F" w:rsidP="001B4B1E">
      <w:r w:rsidRPr="009925E9">
        <w:t xml:space="preserve">On adjusting and retesting models, </w:t>
      </w:r>
      <w:r>
        <w:t>i</w:t>
      </w:r>
      <w:r w:rsidRPr="009925E9">
        <w:t xml:space="preserve">terative changes </w:t>
      </w:r>
      <w:r>
        <w:t>reduced the</w:t>
      </w:r>
      <w:r w:rsidRPr="009925E9">
        <w:t xml:space="preserve"> chi-square</w:t>
      </w:r>
      <w:r>
        <w:t>, though it remained</w:t>
      </w:r>
      <w:r w:rsidRPr="009925E9">
        <w:t xml:space="preserve"> significan</w:t>
      </w:r>
      <w:r>
        <w:t>t. Changes to other indicators of good fit were minimal and remained close to the recommended cut-off for each value.</w:t>
      </w:r>
    </w:p>
    <w:p w14:paraId="74E2428E" w14:textId="77777777" w:rsidR="00FE482F" w:rsidRDefault="00FE482F" w:rsidP="001B4B1E">
      <w:r>
        <w:t xml:space="preserve">Rather than covary items as indicated by the modification indices, a sensitivity analysis was conducted to examine the effect of dropping an item on the model fit was explored. This addressed the research aims and simplified the model to develop a questionnaire scoring. To such end, dropping an item was more favourable than adding covariances in the model. </w:t>
      </w:r>
      <w:r w:rsidRPr="009925E9">
        <w:t>Remov</w:t>
      </w:r>
      <w:r>
        <w:t>al</w:t>
      </w:r>
      <w:r w:rsidRPr="009925E9">
        <w:t xml:space="preserve"> </w:t>
      </w:r>
      <w:r>
        <w:t xml:space="preserve">of either </w:t>
      </w:r>
      <w:r w:rsidRPr="009925E9">
        <w:t>item 1</w:t>
      </w:r>
      <w:r>
        <w:t xml:space="preserve"> or 2</w:t>
      </w:r>
      <w:r w:rsidRPr="009925E9">
        <w:t xml:space="preserve"> (In general</w:t>
      </w:r>
      <w:r>
        <w:t>,</w:t>
      </w:r>
      <w:r w:rsidRPr="009925E9">
        <w:t xml:space="preserve"> I am able </w:t>
      </w:r>
      <w:r w:rsidRPr="009925E9">
        <w:lastRenderedPageBreak/>
        <w:t>to manage my daily tasks</w:t>
      </w:r>
      <w:r>
        <w:t>/</w:t>
      </w:r>
      <w:r w:rsidRPr="009925E9">
        <w:rPr>
          <w:rFonts w:cs="Arial"/>
          <w:lang w:val="en-US"/>
        </w:rPr>
        <w:t xml:space="preserve"> </w:t>
      </w:r>
      <w:r w:rsidRPr="00C6126E">
        <w:rPr>
          <w:rFonts w:cs="Arial"/>
          <w:lang w:val="en-US"/>
        </w:rPr>
        <w:t>I can manage limitations related to my illness in my daily life</w:t>
      </w:r>
      <w:r w:rsidRPr="009925E9">
        <w:t xml:space="preserve">) </w:t>
      </w:r>
      <w:r>
        <w:t xml:space="preserve">was considered due to the highlighted </w:t>
      </w:r>
      <w:r w:rsidRPr="009925E9">
        <w:t xml:space="preserve">covariance and similar </w:t>
      </w:r>
      <w:r>
        <w:t>wording</w:t>
      </w:r>
      <w:r w:rsidRPr="009925E9">
        <w:t>.</w:t>
      </w:r>
      <w:r>
        <w:t xml:space="preserve"> </w:t>
      </w:r>
      <w:r w:rsidRPr="009925E9">
        <w:t>Item 1 allows for ambiguity as the question is not specifically related to illness symptoms.</w:t>
      </w:r>
      <w:r>
        <w:t xml:space="preserve"> Retesting showed that dropping item 1 yielded a better model fit (chi-square = 672.2, </w:t>
      </w:r>
      <w:proofErr w:type="spellStart"/>
      <w:r>
        <w:t>df</w:t>
      </w:r>
      <w:proofErr w:type="spellEnd"/>
      <w:r>
        <w:t xml:space="preserve"> = 397, cfi = 0.875, TLI = 0.875, SRMR = 0.068, RMSEA = 0.056). As such, item 1 was dropped. The same testing was conducted iteratively for items 31 and 32 (I am happy with the relationships that I have/There are people whom I trust) and items 27 and 29 </w:t>
      </w:r>
      <w:r w:rsidRPr="009F5813">
        <w:rPr>
          <w:sz w:val="21"/>
          <w:szCs w:val="21"/>
        </w:rPr>
        <w:t>(</w:t>
      </w:r>
      <w:r w:rsidRPr="009F5813">
        <w:rPr>
          <w:rFonts w:cs="Arial"/>
          <w:lang w:val="en-US"/>
        </w:rPr>
        <w:t>I am confident that my ability to cope with my illness will improve/</w:t>
      </w:r>
      <w:r w:rsidRPr="009F5813">
        <w:rPr>
          <w:sz w:val="21"/>
          <w:szCs w:val="21"/>
        </w:rPr>
        <w:t xml:space="preserve"> </w:t>
      </w:r>
      <w:r w:rsidRPr="009F5813">
        <w:rPr>
          <w:rFonts w:cs="Arial"/>
          <w:lang w:val="en-US"/>
        </w:rPr>
        <w:t>I believe that problems in life are also an opportunity to develop new skills</w:t>
      </w:r>
      <w:r w:rsidRPr="009F5813">
        <w:rPr>
          <w:sz w:val="21"/>
          <w:szCs w:val="21"/>
        </w:rPr>
        <w:t>)</w:t>
      </w:r>
      <w:r>
        <w:rPr>
          <w:sz w:val="21"/>
          <w:szCs w:val="21"/>
        </w:rPr>
        <w:t xml:space="preserve">. </w:t>
      </w:r>
      <w:r w:rsidRPr="009F5813">
        <w:t xml:space="preserve">Dropping item 31 </w:t>
      </w:r>
      <w:r>
        <w:t>improved the model fit better than dropping item 32. However, item 31 (I am happy with the relationships I have), although similar in language and theory to two other items (30. I am happy with the support that I receive; 32. There are people I trust), was thought to be valuable to distinguish between a different and perhaps subtle level of endorsement in the underlying construct of social support.</w:t>
      </w:r>
    </w:p>
    <w:p w14:paraId="2720367A" w14:textId="40F8F569" w:rsidR="00FE482F" w:rsidRDefault="00FE482F" w:rsidP="001B4B1E">
      <w:r>
        <w:t xml:space="preserve">Moreover, the shortness of the scale made removing these items undesirable. </w:t>
      </w:r>
      <w:r w:rsidRPr="00CC44B2">
        <w:t xml:space="preserve">In </w:t>
      </w:r>
      <w:r>
        <w:t xml:space="preserve">the case of items 27 and 29, when these items were individually dropped and the model retested, </w:t>
      </w:r>
      <w:r w:rsidRPr="00CC44B2">
        <w:t xml:space="preserve">improvements to model fit </w:t>
      </w:r>
      <w:r>
        <w:t>were</w:t>
      </w:r>
      <w:r w:rsidRPr="00CC44B2">
        <w:t xml:space="preserve"> similar and minimal.</w:t>
      </w:r>
      <w:r>
        <w:t xml:space="preserve"> </w:t>
      </w:r>
      <w:r w:rsidRPr="00CC44B2">
        <w:t>As a result, both items 27/29 and 31/32 pairs were retained bu</w:t>
      </w:r>
      <w:r>
        <w:t xml:space="preserve">t were red-flagged for review in subsequent iterations and Rasch analysis. See Table n for the goodness of fit statistics of the iterated and retested models. See </w:t>
      </w:r>
      <w:r w:rsidRPr="00A0091D">
        <w:t xml:space="preserve">Appendix C – Table </w:t>
      </w:r>
      <w:r w:rsidR="001F243D">
        <w:t>33</w:t>
      </w:r>
      <w:r w:rsidRPr="00A0091D">
        <w:t xml:space="preserve"> for</w:t>
      </w:r>
      <w:r w:rsidRPr="00332FEC">
        <w:t xml:space="preserve"> the comparable goodness of fit indices for the above sensitivity analysis of the adjusted EASE-F models</w:t>
      </w:r>
      <w:r>
        <w:t>.</w:t>
      </w:r>
    </w:p>
    <w:p w14:paraId="19D6A796" w14:textId="77777777" w:rsidR="00FE482F" w:rsidRDefault="00FE482F" w:rsidP="001B4B1E"/>
    <w:p w14:paraId="5AE7E0FC" w14:textId="77777777" w:rsidR="00FE482F" w:rsidRDefault="00FE482F" w:rsidP="001B4B1E">
      <w:pPr>
        <w:pStyle w:val="Heading3"/>
      </w:pPr>
      <w:bookmarkStart w:id="93" w:name="_Toc137504716"/>
      <w:r>
        <w:t xml:space="preserve">3.3.6 </w:t>
      </w:r>
      <w:r w:rsidRPr="006B6B78">
        <w:t xml:space="preserve">Rasch </w:t>
      </w:r>
      <w:r>
        <w:t>M</w:t>
      </w:r>
      <w:r w:rsidRPr="006B6B78">
        <w:t>odelling</w:t>
      </w:r>
      <w:bookmarkEnd w:id="93"/>
    </w:p>
    <w:p w14:paraId="0CAF05EE" w14:textId="77777777" w:rsidR="00FE482F" w:rsidRPr="00D00710" w:rsidRDefault="00FE482F" w:rsidP="001B4B1E">
      <w:pPr>
        <w:pStyle w:val="Heading4"/>
        <w:rPr>
          <w:color w:val="auto"/>
        </w:rPr>
      </w:pPr>
      <w:r>
        <w:t>3.</w:t>
      </w:r>
      <w:r w:rsidRPr="009102C7">
        <w:t>3.</w:t>
      </w:r>
      <w:r>
        <w:t>6</w:t>
      </w:r>
      <w:r w:rsidRPr="009102C7">
        <w:t xml:space="preserve">.1 Sample size </w:t>
      </w:r>
    </w:p>
    <w:p w14:paraId="318341E5" w14:textId="6408FDD3" w:rsidR="00FE482F" w:rsidRDefault="00FE482F" w:rsidP="001B4B1E">
      <w:r w:rsidRPr="00D00710">
        <w:t xml:space="preserve">According to </w:t>
      </w:r>
      <w:proofErr w:type="spellStart"/>
      <w:r w:rsidRPr="00D00710">
        <w:t>Mundfrom</w:t>
      </w:r>
      <w:proofErr w:type="spellEnd"/>
      <w:r w:rsidRPr="00D00710">
        <w:t xml:space="preserve"> </w:t>
      </w:r>
      <w:r w:rsidRPr="00D00710">
        <w:rPr>
          <w:i/>
          <w:iCs/>
        </w:rPr>
        <w:t>et al</w:t>
      </w:r>
      <w:r w:rsidRPr="00D00710">
        <w:t xml:space="preserve">. (2005), the sample size </w:t>
      </w:r>
      <w:r w:rsidR="00400BA2" w:rsidRPr="00D00710">
        <w:t xml:space="preserve">for Rasch analysis </w:t>
      </w:r>
      <w:r w:rsidRPr="00D00710">
        <w:t xml:space="preserve">needs to be at least six times </w:t>
      </w:r>
      <w:r>
        <w:t xml:space="preserve">the number of items for stable results. So for the largest scale in the EASE-F, 60 patients would be sufficient. With a sample of 450, this was more than sufficient for Rasch analyses. </w:t>
      </w:r>
    </w:p>
    <w:p w14:paraId="1383BE25" w14:textId="77777777" w:rsidR="00FE482F" w:rsidRPr="001A7AD5" w:rsidRDefault="00FE482F" w:rsidP="001B4B1E">
      <w:pPr>
        <w:pStyle w:val="Heading4"/>
      </w:pPr>
      <w:r>
        <w:t xml:space="preserve">3.3.6.2 </w:t>
      </w:r>
      <w:r w:rsidRPr="002E7417">
        <w:t xml:space="preserve">Assessment of </w:t>
      </w:r>
      <w:r>
        <w:t>R</w:t>
      </w:r>
      <w:r w:rsidRPr="002E7417">
        <w:t xml:space="preserve">ating </w:t>
      </w:r>
      <w:r>
        <w:t>S</w:t>
      </w:r>
      <w:r w:rsidRPr="002E7417">
        <w:t xml:space="preserve">cale </w:t>
      </w:r>
      <w:r>
        <w:t>F</w:t>
      </w:r>
      <w:r w:rsidRPr="002E7417">
        <w:t xml:space="preserve">unctioning, </w:t>
      </w:r>
      <w:r>
        <w:t>Model</w:t>
      </w:r>
      <w:r w:rsidRPr="002E7417">
        <w:t xml:space="preserve"> </w:t>
      </w:r>
      <w:r>
        <w:t>Fit</w:t>
      </w:r>
      <w:r w:rsidRPr="002E7417">
        <w:t xml:space="preserve"> and scale refinement</w:t>
      </w:r>
    </w:p>
    <w:p w14:paraId="40223DA6" w14:textId="77777777" w:rsidR="00FE482F" w:rsidRPr="007B6E64" w:rsidRDefault="00FE482F" w:rsidP="001B4B1E">
      <w:r w:rsidRPr="007B6E64">
        <w:t xml:space="preserve">The category endorsements and the item category probability curves showed that the 5-likert point rating scales used in the EASE-F model did not fulfil all of the suggested criteria for a well-functioning rating scale. </w:t>
      </w:r>
    </w:p>
    <w:p w14:paraId="7CA3E996" w14:textId="5E979A12" w:rsidR="00FE482F" w:rsidRPr="009F5813" w:rsidRDefault="00FE482F" w:rsidP="001B4B1E">
      <w:bookmarkStart w:id="94" w:name="btbl0002"/>
      <w:r w:rsidRPr="009F5813">
        <w:lastRenderedPageBreak/>
        <w:t xml:space="preserve">As per the guidelines set out by Linacre (1999, 2004), there were at least </w:t>
      </w:r>
      <w:r>
        <w:t>ten</w:t>
      </w:r>
      <w:r w:rsidRPr="009F5813">
        <w:t xml:space="preserve"> observations of each response category in every item of </w:t>
      </w:r>
      <w:r>
        <w:t>the EASE-F</w:t>
      </w:r>
      <w:r w:rsidRPr="009F5813">
        <w:t>; all scales were uniformly ordered as all showed a monotonic increase with each increasing category</w:t>
      </w:r>
      <w:r>
        <w:t>,</w:t>
      </w:r>
      <w:r w:rsidRPr="009F5813">
        <w:t xml:space="preserve"> for example, the </w:t>
      </w:r>
      <w:r>
        <w:t>SE</w:t>
      </w:r>
      <w:r w:rsidRPr="009F5813">
        <w:t xml:space="preserve"> scale increases from a low of </w:t>
      </w:r>
      <w:r>
        <w:t>-1.22</w:t>
      </w:r>
      <w:r w:rsidRPr="009F5813">
        <w:t xml:space="preserve"> in </w:t>
      </w:r>
      <w:r>
        <w:t xml:space="preserve">the </w:t>
      </w:r>
      <w:r w:rsidRPr="009F5813">
        <w:t xml:space="preserve">category </w:t>
      </w:r>
      <w:r>
        <w:t>'strongly disagree'</w:t>
      </w:r>
      <w:r w:rsidRPr="009F5813">
        <w:t xml:space="preserve"> to a high of </w:t>
      </w:r>
      <w:r>
        <w:t>0.83</w:t>
      </w:r>
      <w:r w:rsidRPr="009F5813">
        <w:t xml:space="preserve"> logits in </w:t>
      </w:r>
      <w:r>
        <w:t xml:space="preserve">the </w:t>
      </w:r>
      <w:r w:rsidRPr="009F5813">
        <w:t xml:space="preserve">category </w:t>
      </w:r>
      <w:r>
        <w:t>'strongly agree'</w:t>
      </w:r>
      <w:r w:rsidRPr="009F5813">
        <w:t>.</w:t>
      </w:r>
      <w:r>
        <w:t xml:space="preserve"> </w:t>
      </w:r>
      <w:r w:rsidRPr="009F5813">
        <w:t xml:space="preserve">All items in the </w:t>
      </w:r>
      <w:r>
        <w:t>S</w:t>
      </w:r>
      <w:r w:rsidR="00400BA2">
        <w:t>E</w:t>
      </w:r>
      <w:r w:rsidRPr="009F5813">
        <w:t xml:space="preserve">, SA/A, </w:t>
      </w:r>
      <w:r>
        <w:t>SS</w:t>
      </w:r>
      <w:r w:rsidRPr="009F5813">
        <w:t xml:space="preserve">, </w:t>
      </w:r>
      <w:r>
        <w:t>and IIB</w:t>
      </w:r>
      <w:r w:rsidRPr="009F5813">
        <w:t xml:space="preserve"> constructs</w:t>
      </w:r>
      <w:r>
        <w:t xml:space="preserve"> </w:t>
      </w:r>
      <w:r w:rsidRPr="009F5813">
        <w:t xml:space="preserve">were less than </w:t>
      </w:r>
      <w:r>
        <w:t>five</w:t>
      </w:r>
      <w:r w:rsidRPr="009F5813">
        <w:t xml:space="preserve"> logits </w:t>
      </w:r>
      <w:r>
        <w:t>apart and</w:t>
      </w:r>
      <w:r w:rsidRPr="009F5813">
        <w:t xml:space="preserve"> fell within the 0.5 to 1.5 range of MNSQ for both infit and outfit.</w:t>
      </w:r>
      <w:r>
        <w:t xml:space="preserve"> </w:t>
      </w:r>
      <w:r w:rsidRPr="009F5813">
        <w:t xml:space="preserve">However, </w:t>
      </w:r>
      <w:r>
        <w:t>a few items</w:t>
      </w:r>
      <w:r w:rsidRPr="009F5813">
        <w:t xml:space="preserve"> were close to misfitting</w:t>
      </w:r>
      <w:r>
        <w:t xml:space="preserve"> </w:t>
      </w:r>
      <w:r w:rsidRPr="009F5813">
        <w:t xml:space="preserve">(see </w:t>
      </w:r>
      <w:r>
        <w:t>Appendix D.1-4 for Iterative processes for scale refinement for all scales</w:t>
      </w:r>
      <w:r w:rsidRPr="009F5813">
        <w:t>)</w:t>
      </w:r>
      <w:r>
        <w:t>.</w:t>
      </w:r>
      <w:r w:rsidRPr="009F5813">
        <w:t xml:space="preserve"> </w:t>
      </w:r>
    </w:p>
    <w:p w14:paraId="374508FE" w14:textId="77777777" w:rsidR="00FE482F" w:rsidRPr="002E7417" w:rsidRDefault="00FE482F" w:rsidP="001B4B1E">
      <w:r>
        <w:t>All subscales, however, showed narrow, overlapping or indistinct categories, i.e., Andrich thresholds between categories were less than the recommended minimum distance of 1.4 logits units apart (see Figures 4). Additionally, disordered categories were also found in the IIB subscale.</w:t>
      </w:r>
    </w:p>
    <w:p w14:paraId="6E76C885" w14:textId="77777777" w:rsidR="00FE482F" w:rsidRDefault="00FE482F" w:rsidP="001B4B1E">
      <w:r>
        <w:t>To deal with the indistinguishable categories and disordering, the categories were combined based on each sub-scales category probability curve and redefined to create 3-point scales.</w:t>
      </w:r>
    </w:p>
    <w:p w14:paraId="5DF784C2" w14:textId="77777777" w:rsidR="00FE482F" w:rsidRDefault="00FE482F" w:rsidP="001B4B1E">
      <w:r>
        <w:t>In the SE and IIB scales, categories' slightly agree' and 'neither agree nor disagree' were combined to create a joint category, and categories' slightly disagree' and 'strongly disagree' were combined to create a joint category. In the SS and SA/A scales, categories of 'strongly agree' and 'slightly agree' were combined to create a joint category and 'neither agree nor disagree' and 'slightly disagree' were combined to create a new central category.</w:t>
      </w:r>
    </w:p>
    <w:p w14:paraId="7BACFCC9" w14:textId="1BE763AE" w:rsidR="00FE482F" w:rsidRDefault="00FE482F" w:rsidP="001B4B1E">
      <w:bookmarkStart w:id="95" w:name="bfig0001"/>
      <w:r w:rsidRPr="002E7417">
        <w:t xml:space="preserve">Figure </w:t>
      </w:r>
      <w:r>
        <w:t>4a-d</w:t>
      </w:r>
      <w:r w:rsidRPr="002E7417">
        <w:t xml:space="preserve"> shows the </w:t>
      </w:r>
      <w:r w:rsidR="005A5B26">
        <w:t>Category P</w:t>
      </w:r>
      <w:r w:rsidRPr="002E7417">
        <w:t xml:space="preserve">robability </w:t>
      </w:r>
      <w:r w:rsidR="005A5B26">
        <w:t>C</w:t>
      </w:r>
      <w:r w:rsidRPr="002E7417">
        <w:t>urve</w:t>
      </w:r>
      <w:r>
        <w:t>s</w:t>
      </w:r>
      <w:r w:rsidRPr="002E7417">
        <w:t xml:space="preserve"> </w:t>
      </w:r>
      <w:r w:rsidR="005A5B26">
        <w:t xml:space="preserve">(CPC) </w:t>
      </w:r>
      <w:r w:rsidRPr="002E7417">
        <w:t xml:space="preserve">for the rating scale used by the </w:t>
      </w:r>
      <w:r>
        <w:t>SE,</w:t>
      </w:r>
      <w:r w:rsidRPr="002E7417">
        <w:t xml:space="preserve"> SA/A, </w:t>
      </w:r>
      <w:r w:rsidR="005A5B26">
        <w:t>I</w:t>
      </w:r>
      <w:r>
        <w:t>IB</w:t>
      </w:r>
      <w:r w:rsidRPr="002E7417">
        <w:t xml:space="preserve"> and </w:t>
      </w:r>
      <w:r>
        <w:t>SS</w:t>
      </w:r>
      <w:r w:rsidRPr="002E7417">
        <w:t xml:space="preserve"> subscales. </w:t>
      </w:r>
      <w:bookmarkEnd w:id="94"/>
      <w:bookmarkEnd w:id="95"/>
    </w:p>
    <w:p w14:paraId="366AA3F4" w14:textId="77777777" w:rsidR="00FE482F" w:rsidRDefault="00FE482F" w:rsidP="001B4B1E"/>
    <w:p w14:paraId="78A841E3" w14:textId="77777777" w:rsidR="00A62079" w:rsidRDefault="00A62079">
      <w:pPr>
        <w:spacing w:line="240" w:lineRule="auto"/>
        <w:jc w:val="left"/>
      </w:pPr>
      <w:r>
        <w:br w:type="page"/>
      </w:r>
    </w:p>
    <w:p w14:paraId="7FDB6D1B" w14:textId="6A55CD0C" w:rsidR="00194A99" w:rsidRDefault="00FE482F" w:rsidP="001B4B1E">
      <w:pPr>
        <w:rPr>
          <w:noProof/>
        </w:rPr>
      </w:pPr>
      <w:r w:rsidRPr="00514FEB">
        <w:lastRenderedPageBreak/>
        <w:t xml:space="preserve">Figure </w:t>
      </w:r>
      <w:r>
        <w:t>4</w:t>
      </w:r>
      <w:r w:rsidRPr="00514FEB">
        <w:t>a.</w:t>
      </w:r>
      <w:r>
        <w:t xml:space="preserve"> </w:t>
      </w:r>
      <w:r w:rsidRPr="00514FEB">
        <w:t>Self-efficacy</w:t>
      </w:r>
      <w:r>
        <w:t xml:space="preserve"> scale CPC</w:t>
      </w:r>
      <w:r w:rsidRPr="00514FEB">
        <w:t xml:space="preserve"> for original and collapsed categories.</w:t>
      </w:r>
      <w:r w:rsidR="00194A99" w:rsidRPr="00194A99">
        <w:rPr>
          <w:noProof/>
        </w:rPr>
        <w:t xml:space="preserve"> </w:t>
      </w:r>
    </w:p>
    <w:p w14:paraId="3420A813" w14:textId="29F0158F" w:rsidR="00FE482F" w:rsidRDefault="00194A99" w:rsidP="001B4B1E">
      <w:r>
        <w:rPr>
          <w:noProof/>
        </w:rPr>
        <mc:AlternateContent>
          <mc:Choice Requires="wpg">
            <w:drawing>
              <wp:inline distT="0" distB="0" distL="0" distR="0" wp14:anchorId="711338F5" wp14:editId="5BA5562B">
                <wp:extent cx="4973320" cy="1580515"/>
                <wp:effectExtent l="0" t="0" r="5080" b="0"/>
                <wp:docPr id="8" name="Group 8"/>
                <wp:cNvGraphicFramePr/>
                <a:graphic xmlns:a="http://schemas.openxmlformats.org/drawingml/2006/main">
                  <a:graphicData uri="http://schemas.microsoft.com/office/word/2010/wordprocessingGroup">
                    <wpg:wgp>
                      <wpg:cNvGrpSpPr/>
                      <wpg:grpSpPr>
                        <a:xfrm>
                          <a:off x="0" y="0"/>
                          <a:ext cx="4973320" cy="1580515"/>
                          <a:chOff x="0" y="0"/>
                          <a:chExt cx="5721152" cy="2164080"/>
                        </a:xfrm>
                      </wpg:grpSpPr>
                      <pic:pic xmlns:pic="http://schemas.openxmlformats.org/drawingml/2006/picture">
                        <pic:nvPicPr>
                          <pic:cNvPr id="6" name="Picture 6" descr="Diagra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10312" y="0"/>
                            <a:ext cx="2910840" cy="2164080"/>
                          </a:xfrm>
                          <a:prstGeom prst="rect">
                            <a:avLst/>
                          </a:prstGeom>
                        </pic:spPr>
                      </pic:pic>
                      <pic:pic xmlns:pic="http://schemas.openxmlformats.org/drawingml/2006/picture">
                        <pic:nvPicPr>
                          <pic:cNvPr id="7" name="Picture 7" descr="Diagra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5167"/>
                            <a:ext cx="2876550" cy="2138680"/>
                          </a:xfrm>
                          <a:prstGeom prst="rect">
                            <a:avLst/>
                          </a:prstGeom>
                        </pic:spPr>
                      </pic:pic>
                    </wpg:wgp>
                  </a:graphicData>
                </a:graphic>
              </wp:inline>
            </w:drawing>
          </mc:Choice>
          <mc:Fallback>
            <w:pict>
              <v:group w14:anchorId="68263C9B" id="Group 8" o:spid="_x0000_s1026" style="width:391.6pt;height:124.45pt;mso-position-horizontal-relative:char;mso-position-vertical-relative:line" coordsize="57211,216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agram&#10;&#10;Description automatically generated" style="position:absolute;left:28103;width:29108;height:21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">
                  <v:imagedata r:id="rId16" o:title="Diagram&#10;&#10;Description automatically generated"/>
                </v:shape>
                <v:shape id="Picture 7" o:spid="_x0000_s1028" type="#_x0000_t75" alt="Diagram&#10;&#10;Description automatically generated" style="position:absolute;top:251;width:28765;height:21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">
                  <v:imagedata r:id="rId17" o:title="Diagram&#10;&#10;Description automatically generated"/>
                </v:shape>
                <w10:anchorlock/>
              </v:group>
            </w:pict>
          </mc:Fallback>
        </mc:AlternateContent>
      </w:r>
    </w:p>
    <w:p w14:paraId="24A48BD4" w14:textId="70A0038F" w:rsidR="00FE482F" w:rsidRDefault="00FE482F" w:rsidP="0065023A">
      <w:pPr>
        <w:jc w:val="left"/>
      </w:pPr>
      <w:r w:rsidRPr="00514FEB">
        <w:t xml:space="preserve">Figure </w:t>
      </w:r>
      <w:r>
        <w:t>4b</w:t>
      </w:r>
      <w:r w:rsidRPr="00514FEB">
        <w:t>.</w:t>
      </w:r>
      <w:r>
        <w:t xml:space="preserve"> </w:t>
      </w:r>
      <w:r w:rsidRPr="00514FEB">
        <w:t>Self</w:t>
      </w:r>
      <w:r>
        <w:t>-awareness/assertiveness CPC</w:t>
      </w:r>
      <w:r w:rsidRPr="00514FEB">
        <w:t xml:space="preserve"> for original and collapsed categories.</w:t>
      </w:r>
    </w:p>
    <w:p w14:paraId="47CF895E" w14:textId="7CAA1340" w:rsidR="00194A99" w:rsidRDefault="00194A99" w:rsidP="001B4B1E">
      <w:r>
        <w:rPr>
          <w:noProof/>
        </w:rPr>
        <mc:AlternateContent>
          <mc:Choice Requires="wpg">
            <w:drawing>
              <wp:inline distT="0" distB="0" distL="0" distR="0" wp14:anchorId="23B18B1E" wp14:editId="4C6BB902">
                <wp:extent cx="5100955" cy="1708785"/>
                <wp:effectExtent l="0" t="0" r="4445" b="5715"/>
                <wp:docPr id="1835652198" name="Group 1"/>
                <wp:cNvGraphicFramePr/>
                <a:graphic xmlns:a="http://schemas.openxmlformats.org/drawingml/2006/main">
                  <a:graphicData uri="http://schemas.microsoft.com/office/word/2010/wordprocessingGroup">
                    <wpg:wgp>
                      <wpg:cNvGrpSpPr/>
                      <wpg:grpSpPr>
                        <a:xfrm>
                          <a:off x="0" y="0"/>
                          <a:ext cx="5100955" cy="1708785"/>
                          <a:chOff x="0" y="0"/>
                          <a:chExt cx="6095145" cy="2297721"/>
                        </a:xfrm>
                      </wpg:grpSpPr>
                      <pic:pic xmlns:pic="http://schemas.openxmlformats.org/drawingml/2006/picture">
                        <pic:nvPicPr>
                          <pic:cNvPr id="9" name="Picture 9" descr="Chart, diagra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8546"/>
                            <a:ext cx="3077845" cy="2289175"/>
                          </a:xfrm>
                          <a:prstGeom prst="rect">
                            <a:avLst/>
                          </a:prstGeom>
                        </pic:spPr>
                      </pic:pic>
                      <pic:pic xmlns:pic="http://schemas.openxmlformats.org/drawingml/2006/picture">
                        <pic:nvPicPr>
                          <pic:cNvPr id="10" name="Picture 10" descr="Diagra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016665" y="0"/>
                            <a:ext cx="3078480" cy="2289175"/>
                          </a:xfrm>
                          <a:prstGeom prst="rect">
                            <a:avLst/>
                          </a:prstGeom>
                        </pic:spPr>
                      </pic:pic>
                    </wpg:wgp>
                  </a:graphicData>
                </a:graphic>
              </wp:inline>
            </w:drawing>
          </mc:Choice>
          <mc:Fallback>
            <w:pict>
              <v:group w14:anchorId="4E8D48FD" id="Group 1" o:spid="_x0000_s1026" style="width:401.65pt;height:134.55pt;mso-position-horizontal-relative:char;mso-position-vertical-relative:line" coordsize="60951,229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">
                <v:shape id="Picture 9" o:spid="_x0000_s1027" type="#_x0000_t75" alt="Chart, diagram&#10;&#10;Description automatically generated" style="position:absolute;top:85;width:30778;height:22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">
                  <v:imagedata r:id="rId20" o:title="Chart, diagram&#10;&#10;Description automatically generated"/>
                </v:shape>
                <v:shape id="Picture 10" o:spid="_x0000_s1028" type="#_x0000_t75" alt="Diagram&#10;&#10;Description automatically generated" style="position:absolute;left:30166;width:30785;height:22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">
                  <v:imagedata r:id="rId21" o:title="Diagram&#10;&#10;Description automatically generated"/>
                </v:shape>
                <w10:anchorlock/>
              </v:group>
            </w:pict>
          </mc:Fallback>
        </mc:AlternateContent>
      </w:r>
    </w:p>
    <w:p w14:paraId="0C1AA997" w14:textId="0442D248" w:rsidR="00FE482F" w:rsidRDefault="00FE482F" w:rsidP="001B4B1E">
      <w:r w:rsidRPr="00514FEB">
        <w:t xml:space="preserve">Figure </w:t>
      </w:r>
      <w:r>
        <w:t>4c</w:t>
      </w:r>
      <w:r w:rsidRPr="00514FEB">
        <w:t>.</w:t>
      </w:r>
      <w:r>
        <w:t xml:space="preserve"> Social Support scale</w:t>
      </w:r>
      <w:r w:rsidRPr="00514FEB">
        <w:t xml:space="preserve"> </w:t>
      </w:r>
      <w:r>
        <w:t>CPC</w:t>
      </w:r>
      <w:r w:rsidRPr="00514FEB">
        <w:t xml:space="preserve"> for original and collapsed categories.</w:t>
      </w:r>
    </w:p>
    <w:p w14:paraId="34AF60C3" w14:textId="11210DD5" w:rsidR="00194A99" w:rsidRDefault="00194A99" w:rsidP="001B4B1E">
      <w:r>
        <w:rPr>
          <w:i/>
          <w:iCs/>
          <w:noProof/>
          <w:u w:val="single"/>
        </w:rPr>
        <mc:AlternateContent>
          <mc:Choice Requires="wpg">
            <w:drawing>
              <wp:inline distT="0" distB="0" distL="0" distR="0" wp14:anchorId="3C1C6664" wp14:editId="514E85B1">
                <wp:extent cx="5100955" cy="1802278"/>
                <wp:effectExtent l="0" t="0" r="4445" b="1270"/>
                <wp:docPr id="1351304219" name="Group 3"/>
                <wp:cNvGraphicFramePr/>
                <a:graphic xmlns:a="http://schemas.openxmlformats.org/drawingml/2006/main">
                  <a:graphicData uri="http://schemas.microsoft.com/office/word/2010/wordprocessingGroup">
                    <wpg:wgp>
                      <wpg:cNvGrpSpPr/>
                      <wpg:grpSpPr>
                        <a:xfrm>
                          <a:off x="0" y="0"/>
                          <a:ext cx="5100955" cy="1802278"/>
                          <a:chOff x="0" y="0"/>
                          <a:chExt cx="6416343" cy="2349500"/>
                        </a:xfrm>
                      </wpg:grpSpPr>
                      <pic:pic xmlns:pic="http://schemas.openxmlformats.org/drawingml/2006/picture">
                        <pic:nvPicPr>
                          <pic:cNvPr id="13" name="Picture 13" descr="Diagram&#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8490" cy="2348865"/>
                          </a:xfrm>
                          <a:prstGeom prst="rect">
                            <a:avLst/>
                          </a:prstGeom>
                        </pic:spPr>
                      </pic:pic>
                      <pic:pic xmlns:pic="http://schemas.openxmlformats.org/drawingml/2006/picture">
                        <pic:nvPicPr>
                          <pic:cNvPr id="14" name="Picture 14" descr="Diagram&#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255948" y="0"/>
                            <a:ext cx="3160395" cy="2349500"/>
                          </a:xfrm>
                          <a:prstGeom prst="rect">
                            <a:avLst/>
                          </a:prstGeom>
                        </pic:spPr>
                      </pic:pic>
                    </wpg:wgp>
                  </a:graphicData>
                </a:graphic>
              </wp:inline>
            </w:drawing>
          </mc:Choice>
          <mc:Fallback>
            <w:pict>
              <v:group w14:anchorId="662BFE3D" id="Group 3" o:spid="_x0000_s1026" style="width:401.65pt;height:141.9pt;mso-position-horizontal-relative:char;mso-position-vertical-relative:line" coordsize="64163,234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Diagram&#10;&#10;Description automatically generated" style="position:absolute;width:31584;height:234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">
                  <v:imagedata r:id="rId24" o:title="Diagram&#10;&#10;Description automatically generated"/>
                </v:shape>
                <v:shape id="Picture 14" o:spid="_x0000_s1028" type="#_x0000_t75" alt="Diagram&#10;&#10;Description automatically generated" style="position:absolute;left:32559;width:31604;height:234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">
                  <v:imagedata r:id="rId25" o:title="Diagram&#10;&#10;Description automatically generated"/>
                </v:shape>
                <w10:anchorlock/>
              </v:group>
            </w:pict>
          </mc:Fallback>
        </mc:AlternateContent>
      </w:r>
    </w:p>
    <w:p w14:paraId="7055D2CD" w14:textId="69F49D52" w:rsidR="00FE482F" w:rsidRDefault="00FE482F" w:rsidP="001B4B1E">
      <w:r w:rsidRPr="00514FEB">
        <w:t xml:space="preserve">Figure </w:t>
      </w:r>
      <w:r>
        <w:t>4d</w:t>
      </w:r>
      <w:r w:rsidRPr="00514FEB">
        <w:t>.</w:t>
      </w:r>
      <w:r>
        <w:t xml:space="preserve"> Illness burden scale</w:t>
      </w:r>
      <w:r w:rsidRPr="00514FEB">
        <w:t xml:space="preserve"> </w:t>
      </w:r>
      <w:r>
        <w:t>CPC</w:t>
      </w:r>
      <w:r w:rsidRPr="00514FEB">
        <w:t xml:space="preserve"> for original and collapsed categories.</w:t>
      </w:r>
      <w:r>
        <w:fldChar w:fldCharType="begin"/>
      </w:r>
      <w:r>
        <w:instrText xml:space="preserve"> INCLUDEPICTURE "https://ams02pap001files.storage.live.com/y4mw5O1rJ56NvcMhuwfGjWQzNb3YEdJ2swvH2iBUFQU76hikvtrg8v29QwZbSvxe7b-EiXCaW8pA60aWynOR9_DmqHane2qsX34aAuIX2mFK678mqBTsx2w9p9icPyWSU9FQgl8LLl-XWWNohCToJfZKk7fvyO6vR1NVz6MPnDo2wbnJfqPfAt-sN7Zu0X5g1qcJBelFrQv873UIZ6HGR-qDu7jusZtoLs4GcIh7hsDFCE?encodeFailures=1&amp;width=819&amp;height=609" \* MERGEFORMATINET </w:instrText>
      </w:r>
      <w:r w:rsidR="00000000">
        <w:fldChar w:fldCharType="separate"/>
      </w:r>
      <w:r>
        <w:fldChar w:fldCharType="end"/>
      </w:r>
    </w:p>
    <w:p w14:paraId="2784F8F0" w14:textId="7004A9B3" w:rsidR="00FE482F" w:rsidRDefault="00194A99" w:rsidP="001B4B1E">
      <w:r>
        <w:rPr>
          <w:noProof/>
        </w:rPr>
        <mc:AlternateContent>
          <mc:Choice Requires="wpg">
            <w:drawing>
              <wp:inline distT="0" distB="0" distL="0" distR="0" wp14:anchorId="136A0265" wp14:editId="3BDE1168">
                <wp:extent cx="5143500" cy="1811655"/>
                <wp:effectExtent l="0" t="0" r="2540" b="0"/>
                <wp:docPr id="400370920" name="Group 2"/>
                <wp:cNvGraphicFramePr/>
                <a:graphic xmlns:a="http://schemas.openxmlformats.org/drawingml/2006/main">
                  <a:graphicData uri="http://schemas.microsoft.com/office/word/2010/wordprocessingGroup">
                    <wpg:wgp>
                      <wpg:cNvGrpSpPr/>
                      <wpg:grpSpPr>
                        <a:xfrm>
                          <a:off x="0" y="0"/>
                          <a:ext cx="5143500" cy="1811655"/>
                          <a:chOff x="0" y="0"/>
                          <a:chExt cx="6320511" cy="2313940"/>
                        </a:xfrm>
                      </wpg:grpSpPr>
                      <pic:pic xmlns:pic="http://schemas.openxmlformats.org/drawingml/2006/picture">
                        <pic:nvPicPr>
                          <pic:cNvPr id="11" name="Picture 11" descr="Diagram&#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2135" cy="2313940"/>
                          </a:xfrm>
                          <a:prstGeom prst="rect">
                            <a:avLst/>
                          </a:prstGeom>
                        </pic:spPr>
                      </pic:pic>
                      <pic:pic xmlns:pic="http://schemas.openxmlformats.org/drawingml/2006/picture">
                        <pic:nvPicPr>
                          <pic:cNvPr id="12" name="Picture 12" descr="Diagram&#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38856" y="0"/>
                            <a:ext cx="3081655" cy="2291715"/>
                          </a:xfrm>
                          <a:prstGeom prst="rect">
                            <a:avLst/>
                          </a:prstGeom>
                        </pic:spPr>
                      </pic:pic>
                    </wpg:wgp>
                  </a:graphicData>
                </a:graphic>
              </wp:inline>
            </w:drawing>
          </mc:Choice>
          <mc:Fallback>
            <w:pict>
              <v:group w14:anchorId="4D8AE545" id="Group 2" o:spid="_x0000_s1026" style="width:405pt;height:142.65pt;mso-position-horizontal-relative:char;mso-position-vertical-relative:line" coordsize="63205,231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">
                <v:shape id="Picture 11" o:spid="_x0000_s1027" type="#_x0000_t75" alt="Diagram&#10;&#10;Description automatically generated" style="position:absolute;width:31121;height:23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">
                  <v:imagedata r:id="rId28" o:title="Diagram&#10;&#10;Description automatically generated"/>
                </v:shape>
                <v:shape id="Picture 12" o:spid="_x0000_s1028" type="#_x0000_t75" alt="Diagram&#10;&#10;Description automatically generated" style="position:absolute;left:32388;width:30817;height:22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">
                  <v:imagedata r:id="rId29" o:title="Diagram&#10;&#10;Description automatically generated"/>
                </v:shape>
                <w10:anchorlock/>
              </v:group>
            </w:pict>
          </mc:Fallback>
        </mc:AlternateContent>
      </w:r>
    </w:p>
    <w:p w14:paraId="334EC968" w14:textId="28E2603A" w:rsidR="00FE482F" w:rsidRPr="001B4B1E" w:rsidRDefault="00FE482F" w:rsidP="001B4B1E">
      <w:pPr>
        <w:spacing w:line="240" w:lineRule="auto"/>
        <w:rPr>
          <w:i/>
          <w:iCs/>
          <w:sz w:val="18"/>
          <w:szCs w:val="20"/>
        </w:rPr>
      </w:pPr>
      <w:r w:rsidRPr="001B4B1E">
        <w:rPr>
          <w:i/>
          <w:iCs/>
          <w:sz w:val="18"/>
          <w:szCs w:val="20"/>
        </w:rPr>
        <w:t xml:space="preserve">Figure </w:t>
      </w:r>
      <w:r>
        <w:rPr>
          <w:i/>
          <w:iCs/>
          <w:sz w:val="18"/>
          <w:szCs w:val="20"/>
        </w:rPr>
        <w:t>4</w:t>
      </w:r>
      <w:r w:rsidRPr="001B4B1E">
        <w:rPr>
          <w:i/>
          <w:iCs/>
          <w:sz w:val="18"/>
          <w:szCs w:val="20"/>
        </w:rPr>
        <w:t>.</w:t>
      </w:r>
      <w:r>
        <w:rPr>
          <w:i/>
          <w:iCs/>
          <w:sz w:val="18"/>
          <w:szCs w:val="20"/>
        </w:rPr>
        <w:t xml:space="preserve"> </w:t>
      </w:r>
      <w:r w:rsidRPr="001B4B1E">
        <w:rPr>
          <w:i/>
          <w:iCs/>
          <w:sz w:val="18"/>
          <w:szCs w:val="20"/>
        </w:rPr>
        <w:t>Category 1-Strongly disagree, 2-Sliightly disagree, 3-Neither agree not disagree, 4-Slightly agree, 5- Strongly agree.</w:t>
      </w:r>
    </w:p>
    <w:p w14:paraId="709179CA" w14:textId="77777777" w:rsidR="00FE482F" w:rsidRPr="001A7AD5" w:rsidRDefault="00FE482F" w:rsidP="001B4B1E"/>
    <w:p w14:paraId="17FA2083" w14:textId="77777777" w:rsidR="00FE482F" w:rsidRPr="007B6E64" w:rsidRDefault="00FE482F" w:rsidP="001B4B1E">
      <w:r w:rsidRPr="007B6E64">
        <w:lastRenderedPageBreak/>
        <w:t>Misfitting items were identified in all of the original EASE-F sub-scales.</w:t>
      </w:r>
      <w:r>
        <w:t xml:space="preserve"> </w:t>
      </w:r>
      <w:r w:rsidRPr="007B6E64">
        <w:t>After combining categories, item 19 (</w:t>
      </w:r>
      <w:r>
        <w:t>"</w:t>
      </w:r>
      <w:r w:rsidRPr="007B6E64">
        <w:rPr>
          <w:rFonts w:cs="Arial"/>
        </w:rPr>
        <w:t>I accept things I cannot change</w:t>
      </w:r>
      <w:r>
        <w:rPr>
          <w:rFonts w:cs="Arial"/>
        </w:rPr>
        <w:t>"</w:t>
      </w:r>
      <w:r w:rsidRPr="007B6E64">
        <w:rPr>
          <w:rFonts w:cs="Arial"/>
        </w:rPr>
        <w:t xml:space="preserve">) of the </w:t>
      </w:r>
      <w:r>
        <w:rPr>
          <w:rFonts w:cs="Arial"/>
        </w:rPr>
        <w:t>SE</w:t>
      </w:r>
      <w:r w:rsidRPr="007B6E64">
        <w:rPr>
          <w:rFonts w:cs="Arial"/>
        </w:rPr>
        <w:t xml:space="preserve"> subscale </w:t>
      </w:r>
      <w:r w:rsidRPr="007B6E64">
        <w:t>was still out of range of the acceptable values of fit (infit MNSQ - 0.5 to 1.5).</w:t>
      </w:r>
      <w:r>
        <w:t xml:space="preserve"> </w:t>
      </w:r>
      <w:r w:rsidRPr="007B6E64">
        <w:t>As item 19 was also indicated as a redundant item on the assessment of construct validity</w:t>
      </w:r>
      <w:r>
        <w:t>,</w:t>
      </w:r>
      <w:r w:rsidRPr="007B6E64">
        <w:t xml:space="preserve"> where it overlapped with another item on Wright maps, analysis was continued by removing this item.</w:t>
      </w:r>
      <w:r>
        <w:t xml:space="preserve"> </w:t>
      </w:r>
      <w:r w:rsidRPr="007B6E64">
        <w:t>In model 2 (combined categories) of the self-awareness subscale, the fit analysis revealed 4 out of 7 misfitting items.</w:t>
      </w:r>
      <w:r>
        <w:t xml:space="preserve"> </w:t>
      </w:r>
      <w:r w:rsidRPr="007B6E64">
        <w:t xml:space="preserve">After redefining the categories in the </w:t>
      </w:r>
      <w:r>
        <w:t>IIB</w:t>
      </w:r>
      <w:r w:rsidRPr="007B6E64">
        <w:t xml:space="preserve"> and </w:t>
      </w:r>
      <w:r>
        <w:t>SS</w:t>
      </w:r>
      <w:r w:rsidRPr="007B6E64">
        <w:t xml:space="preserve"> subscales, 1 item was misfitting in the illness burden</w:t>
      </w:r>
      <w:r>
        <w:t>,</w:t>
      </w:r>
      <w:r w:rsidRPr="007B6E64">
        <w:t xml:space="preserve"> and none were found in the social support subscale.</w:t>
      </w:r>
    </w:p>
    <w:p w14:paraId="71BE0B3E" w14:textId="77777777" w:rsidR="00FE482F" w:rsidRPr="007B6E64" w:rsidRDefault="00FE482F" w:rsidP="001B4B1E">
      <w:r w:rsidRPr="007B6E64">
        <w:t xml:space="preserve">Although the misfitting SA/A items were all productive of measurement based on MNSQ values, they were outside of the recommended window for </w:t>
      </w:r>
      <w:r>
        <w:t>standardised</w:t>
      </w:r>
      <w:r w:rsidRPr="007B6E64">
        <w:t xml:space="preserve"> infit and outfit.</w:t>
      </w:r>
      <w:r>
        <w:t xml:space="preserve"> Based on the Rasch model, this</w:t>
      </w:r>
      <w:r w:rsidRPr="007B6E64">
        <w:t xml:space="preserve"> indicated that items were either too predictable or completely unpredictable.</w:t>
      </w:r>
      <w:r>
        <w:t xml:space="preserve"> </w:t>
      </w:r>
      <w:r w:rsidRPr="007B6E64">
        <w:t xml:space="preserve">Following a review of the content of the misfitting items, including; assessment of item difficulty, item alignment with the underlying construct, examination of response patterns, and sensitivity analyses, the misfitting items in the </w:t>
      </w:r>
      <w:r>
        <w:t>SE</w:t>
      </w:r>
      <w:r w:rsidRPr="007B6E64">
        <w:t xml:space="preserve">, SA/A and </w:t>
      </w:r>
      <w:r>
        <w:t>IIB</w:t>
      </w:r>
      <w:r w:rsidRPr="007B6E64">
        <w:t xml:space="preserve"> subscales were retained but were flagged for evaluation in further model iterations, </w:t>
      </w:r>
      <w:r>
        <w:t>e.g.</w:t>
      </w:r>
      <w:r w:rsidRPr="007B6E64">
        <w:t xml:space="preserve"> after removal of misfitting persons. </w:t>
      </w:r>
    </w:p>
    <w:p w14:paraId="22C23892" w14:textId="77777777" w:rsidR="00FE482F" w:rsidRDefault="00FE482F" w:rsidP="001B4B1E"/>
    <w:p w14:paraId="1000F403" w14:textId="77777777" w:rsidR="00FE482F" w:rsidRPr="007B6E64" w:rsidRDefault="00FE482F" w:rsidP="001B4B1E">
      <w:r w:rsidRPr="007B6E64">
        <w:t xml:space="preserve">Misfitting person response patterns (e.g., arising from respondents guessing or other unexpected behaviour) were </w:t>
      </w:r>
      <w:r w:rsidRPr="001B4B1E">
        <w:t>found in the data.</w:t>
      </w:r>
      <w:r>
        <w:t xml:space="preserve"> </w:t>
      </w:r>
      <w:r w:rsidRPr="001B4B1E">
        <w:t>Individuals with misfitting response patterns (i.e., outfit mean square values &gt;1.6 logits) were iteratively removed, and Rasch parameters were re-estimated until evidence of item parameter stability was observed.</w:t>
      </w:r>
      <w:r>
        <w:t xml:space="preserve"> </w:t>
      </w:r>
      <w:r w:rsidRPr="001B4B1E">
        <w:t xml:space="preserve">In the original model, 61-114 misfitting persons were identified across the </w:t>
      </w:r>
      <w:r>
        <w:t>four</w:t>
      </w:r>
      <w:r w:rsidRPr="001B4B1E">
        <w:t xml:space="preserve"> subscales</w:t>
      </w:r>
      <w:r>
        <w:t>. After</w:t>
      </w:r>
      <w:r w:rsidRPr="001B4B1E">
        <w:t xml:space="preserve"> adjusting the category scale, this was reduced to 43 - 59 persons across the scales.</w:t>
      </w:r>
      <w:r>
        <w:t xml:space="preserve"> </w:t>
      </w:r>
      <w:r w:rsidRPr="001B4B1E">
        <w:t xml:space="preserve">The next model was </w:t>
      </w:r>
      <w:r>
        <w:t>analysed</w:t>
      </w:r>
      <w:r w:rsidRPr="001B4B1E">
        <w:t xml:space="preserve"> after the removal of these underfitting (high mean-square) patients.</w:t>
      </w:r>
      <w:r w:rsidRPr="007B6E64">
        <w:t xml:space="preserve"> </w:t>
      </w:r>
    </w:p>
    <w:p w14:paraId="0F9DC8B2" w14:textId="77777777" w:rsidR="00FE482F" w:rsidRPr="007B6E64" w:rsidRDefault="00FE482F" w:rsidP="001B4B1E"/>
    <w:p w14:paraId="33291195" w14:textId="77777777" w:rsidR="00FE482F" w:rsidRPr="007B6E64" w:rsidRDefault="00FE482F" w:rsidP="001B4B1E">
      <w:r w:rsidRPr="007B6E64">
        <w:t>After adjusting the rating scale and removing 1 item, categories were ordered, and category fit statistics were productive for measurement (outfit mean square values &lt;2.0 logits) for all items.</w:t>
      </w:r>
      <w:r>
        <w:t xml:space="preserve"> </w:t>
      </w:r>
      <w:r w:rsidRPr="007B6E64">
        <w:t>All items on the social support subscale demonstrated an acceptable fit to the model based on infit MNSQ and were productive of measurement</w:t>
      </w:r>
      <w:r>
        <w:t>,</w:t>
      </w:r>
      <w:r w:rsidRPr="007B6E64">
        <w:t xml:space="preserve"> but problematic items on the </w:t>
      </w:r>
      <w:r>
        <w:t>SE</w:t>
      </w:r>
      <w:r w:rsidRPr="007B6E64">
        <w:t xml:space="preserve">, SA/A, and </w:t>
      </w:r>
      <w:r>
        <w:t>IIB</w:t>
      </w:r>
      <w:r w:rsidRPr="007B6E64">
        <w:t xml:space="preserve"> subscales were highlighted.</w:t>
      </w:r>
      <w:r>
        <w:t xml:space="preserve"> </w:t>
      </w:r>
      <w:r w:rsidRPr="007B6E64">
        <w:t xml:space="preserve">Additional Rasch metrics for these scales were estimated to determine further recommendations for refining the scales where necessary and reporting the psychometric properties of </w:t>
      </w:r>
      <w:r w:rsidRPr="007B6E64">
        <w:lastRenderedPageBreak/>
        <w:t>the final model.</w:t>
      </w:r>
      <w:r>
        <w:t xml:space="preserve"> </w:t>
      </w:r>
      <w:r w:rsidRPr="007B6E64">
        <w:t xml:space="preserve">Information about dimensionality, local independence, construct validity and person and item reliability for the original model of the EASE-F and the different refined versions of each subscale are given in Tables </w:t>
      </w:r>
      <w:r>
        <w:t>9-12.</w:t>
      </w:r>
      <w:r w:rsidRPr="007B6E64">
        <w:t xml:space="preserve"> Appendi</w:t>
      </w:r>
      <w:r>
        <w:t>x</w:t>
      </w:r>
      <w:r w:rsidRPr="007B6E64">
        <w:t xml:space="preserve"> </w:t>
      </w:r>
      <w:r>
        <w:t>D</w:t>
      </w:r>
      <w:r w:rsidRPr="007B6E64">
        <w:t xml:space="preserve"> shows the iterative process of scale refinement and recommended item reduction/revision with </w:t>
      </w:r>
      <w:r>
        <w:t xml:space="preserve">comments </w:t>
      </w:r>
      <w:r w:rsidRPr="007B6E64">
        <w:t xml:space="preserve">for </w:t>
      </w:r>
      <w:r>
        <w:t>decisions/</w:t>
      </w:r>
      <w:r w:rsidRPr="007B6E64">
        <w:t>removal for each subscale.</w:t>
      </w:r>
    </w:p>
    <w:p w14:paraId="49944E74" w14:textId="77777777" w:rsidR="00FE482F" w:rsidRPr="008E42CB" w:rsidRDefault="00FE482F" w:rsidP="009D4024">
      <w:pPr>
        <w:pStyle w:val="Heading4"/>
      </w:pPr>
      <w:r>
        <w:t xml:space="preserve">3.3.6.3 </w:t>
      </w:r>
      <w:r w:rsidRPr="008E42CB">
        <w:t xml:space="preserve">Final Rasch </w:t>
      </w:r>
      <w:r>
        <w:t>analysis</w:t>
      </w:r>
    </w:p>
    <w:p w14:paraId="5992A35D" w14:textId="77777777" w:rsidR="00FE482F" w:rsidRPr="001B4B1E" w:rsidRDefault="00FE482F" w:rsidP="001B4B1E">
      <w:pPr>
        <w:rPr>
          <w:u w:val="single"/>
        </w:rPr>
      </w:pPr>
      <w:r w:rsidRPr="001B4B1E">
        <w:rPr>
          <w:u w:val="single"/>
        </w:rPr>
        <w:t>Uni-dimensionality and local independence</w:t>
      </w:r>
    </w:p>
    <w:p w14:paraId="6991FDDA" w14:textId="77777777" w:rsidR="00FE482F" w:rsidRDefault="00FE482F" w:rsidP="001B4B1E">
      <w:r>
        <w:t>Principal component analysis of the residuals (PCAR)</w:t>
      </w:r>
      <w:r w:rsidRPr="009F5813">
        <w:t xml:space="preserve"> support</w:t>
      </w:r>
      <w:r>
        <w:t>ed</w:t>
      </w:r>
      <w:r w:rsidRPr="009F5813">
        <w:t xml:space="preserve"> the assertion that each of the four subscales measures a single construct or trait. </w:t>
      </w:r>
      <w:bookmarkStart w:id="96" w:name="btbl0001"/>
      <w:r w:rsidRPr="009F5813">
        <w:fldChar w:fldCharType="begin"/>
      </w:r>
      <w:r w:rsidRPr="009F5813">
        <w:instrText xml:space="preserve"> HYPERLINK "https://www.sciencedirect.com/science/article/pii/S2666374021000248" \l "tbl0001" </w:instrText>
      </w:r>
      <w:r w:rsidRPr="009F5813">
        <w:fldChar w:fldCharType="separate"/>
      </w:r>
      <w:r w:rsidRPr="009F5813">
        <w:t>Table</w:t>
      </w:r>
      <w:r w:rsidRPr="009F5813">
        <w:fldChar w:fldCharType="end"/>
      </w:r>
      <w:r w:rsidRPr="009F5813">
        <w:t xml:space="preserve"> </w:t>
      </w:r>
      <w:r>
        <w:t>9</w:t>
      </w:r>
      <w:r w:rsidRPr="009F5813">
        <w:t xml:space="preserve">. presents a summary of the dimensionality analysis of the </w:t>
      </w:r>
      <w:r>
        <w:t>EASE-F</w:t>
      </w:r>
      <w:r w:rsidRPr="009F5813">
        <w:t>.</w:t>
      </w:r>
      <w:r>
        <w:t xml:space="preserve"> </w:t>
      </w:r>
      <w:r w:rsidRPr="009F5813">
        <w:t>The PCAR results were positive</w:t>
      </w:r>
      <w:r>
        <w:t>: the</w:t>
      </w:r>
      <w:r w:rsidRPr="009F5813">
        <w:t xml:space="preserve"> Rasch model explained</w:t>
      </w:r>
      <w:r>
        <w:t xml:space="preserve"> at </w:t>
      </w:r>
      <w:r w:rsidRPr="00514FEB">
        <w:t>least  37.1-51.2%</w:t>
      </w:r>
      <w:r w:rsidRPr="009F5813">
        <w:t xml:space="preserve"> of the</w:t>
      </w:r>
      <w:r>
        <w:t xml:space="preserve"> variance in the</w:t>
      </w:r>
      <w:r w:rsidRPr="009F5813">
        <w:t xml:space="preserve"> </w:t>
      </w:r>
      <w:r>
        <w:t xml:space="preserve">final version SE, SA and SS </w:t>
      </w:r>
      <w:r w:rsidRPr="009F5813">
        <w:t>subscales and exhibited an unexplained variance in the first contrast below 2.0 eigenvalue units</w:t>
      </w:r>
      <w:r>
        <w:t>. This showed</w:t>
      </w:r>
      <w:r w:rsidRPr="009F5813">
        <w:t xml:space="preserve"> that there </w:t>
      </w:r>
      <w:r>
        <w:t>was</w:t>
      </w:r>
      <w:r w:rsidRPr="009F5813">
        <w:t xml:space="preserve"> no other model besides the </w:t>
      </w:r>
      <w:r w:rsidRPr="008E42CB">
        <w:t>Rasch model explaining variance in the data.</w:t>
      </w:r>
      <w:r>
        <w:t xml:space="preserve"> </w:t>
      </w:r>
      <w:r w:rsidRPr="008E42CB">
        <w:t>In the social support scale</w:t>
      </w:r>
      <w:r>
        <w:t>,</w:t>
      </w:r>
      <w:r w:rsidRPr="008E42CB">
        <w:t xml:space="preserve"> 15.2% of the residual</w:t>
      </w:r>
      <w:r>
        <w:t>s</w:t>
      </w:r>
      <w:r w:rsidRPr="008E42CB">
        <w:t xml:space="preserve"> could be explained by the second factor</w:t>
      </w:r>
      <w:r>
        <w:t>, which could suggest a second dimension. However, the eigenvalue was 1.7 (below criteria for the 2</w:t>
      </w:r>
      <w:r w:rsidRPr="008E42CB">
        <w:rPr>
          <w:vertAlign w:val="superscript"/>
        </w:rPr>
        <w:t>nd</w:t>
      </w:r>
      <w:r>
        <w:t xml:space="preserve"> dimension), and further scrutinising the cluster patterns did not indicate another dimension. </w:t>
      </w:r>
      <w:r w:rsidRPr="009F5813">
        <w:t xml:space="preserve">In addition, the residual correlations for all items in the </w:t>
      </w:r>
      <w:r>
        <w:t>SE</w:t>
      </w:r>
      <w:r w:rsidRPr="009F5813">
        <w:t xml:space="preserve">, SA/A, </w:t>
      </w:r>
      <w:r>
        <w:t>SS</w:t>
      </w:r>
      <w:r w:rsidRPr="009F5813">
        <w:t xml:space="preserve"> and </w:t>
      </w:r>
      <w:r>
        <w:t>IIB</w:t>
      </w:r>
      <w:r w:rsidRPr="009F5813">
        <w:t xml:space="preserve"> constructs fell under the 0.</w:t>
      </w:r>
      <w:r>
        <w:t>7</w:t>
      </w:r>
      <w:r w:rsidRPr="009F5813">
        <w:t xml:space="preserve"> cut-off for strong correlation indicating the local independence of the items. </w:t>
      </w:r>
      <w:bookmarkEnd w:id="96"/>
    </w:p>
    <w:p w14:paraId="20C47096" w14:textId="77777777" w:rsidR="00FE482F" w:rsidRDefault="00FE482F" w:rsidP="001B4B1E">
      <w:r>
        <w:t>Table 9. Uni-dimensionality statistics of the final Rasch model of the EASE-F subscales</w:t>
      </w:r>
    </w:p>
    <w:tbl>
      <w:tblPr>
        <w:tblW w:w="9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132"/>
        <w:gridCol w:w="1267"/>
        <w:gridCol w:w="1187"/>
        <w:gridCol w:w="1203"/>
        <w:gridCol w:w="994"/>
        <w:gridCol w:w="1971"/>
      </w:tblGrid>
      <w:tr w:rsidR="00FE482F" w:rsidRPr="001B4B1E" w14:paraId="576B8C58" w14:textId="77777777" w:rsidTr="00530FC6">
        <w:trPr>
          <w:trHeight w:val="790"/>
        </w:trPr>
        <w:tc>
          <w:tcPr>
            <w:tcW w:w="1687" w:type="dxa"/>
          </w:tcPr>
          <w:p w14:paraId="2B1FDC8C" w14:textId="77777777" w:rsidR="00FE482F" w:rsidRPr="001B4B1E" w:rsidRDefault="00FE482F" w:rsidP="001B4B1E">
            <w:pPr>
              <w:spacing w:line="240" w:lineRule="auto"/>
              <w:rPr>
                <w:b/>
                <w:bCs/>
                <w:sz w:val="18"/>
                <w:szCs w:val="20"/>
                <w:u w:val="single"/>
              </w:rPr>
            </w:pPr>
            <w:r w:rsidRPr="001B4B1E">
              <w:rPr>
                <w:b/>
                <w:bCs/>
                <w:sz w:val="18"/>
                <w:szCs w:val="20"/>
              </w:rPr>
              <w:t>Subscale</w:t>
            </w:r>
          </w:p>
        </w:tc>
        <w:tc>
          <w:tcPr>
            <w:tcW w:w="1132" w:type="dxa"/>
          </w:tcPr>
          <w:p w14:paraId="005CA73A" w14:textId="77777777" w:rsidR="00FE482F" w:rsidRPr="001B4B1E" w:rsidRDefault="00FE482F" w:rsidP="00783F55">
            <w:pPr>
              <w:spacing w:line="240" w:lineRule="auto"/>
              <w:jc w:val="left"/>
              <w:rPr>
                <w:b/>
                <w:bCs/>
                <w:sz w:val="18"/>
                <w:szCs w:val="20"/>
              </w:rPr>
            </w:pPr>
            <w:r w:rsidRPr="001B4B1E">
              <w:rPr>
                <w:b/>
                <w:bCs/>
                <w:sz w:val="18"/>
                <w:szCs w:val="20"/>
              </w:rPr>
              <w:t xml:space="preserve">Variance explained by </w:t>
            </w:r>
            <w:r>
              <w:rPr>
                <w:b/>
                <w:bCs/>
                <w:sz w:val="18"/>
                <w:szCs w:val="20"/>
              </w:rPr>
              <w:t xml:space="preserve">the </w:t>
            </w:r>
            <w:r w:rsidRPr="001B4B1E">
              <w:rPr>
                <w:b/>
                <w:bCs/>
                <w:sz w:val="18"/>
                <w:szCs w:val="20"/>
              </w:rPr>
              <w:t>model</w:t>
            </w:r>
          </w:p>
        </w:tc>
        <w:tc>
          <w:tcPr>
            <w:tcW w:w="1267" w:type="dxa"/>
          </w:tcPr>
          <w:p w14:paraId="7D8810AB" w14:textId="77777777" w:rsidR="00FE482F" w:rsidRPr="001B4B1E" w:rsidRDefault="00FE482F" w:rsidP="001B4B1E">
            <w:pPr>
              <w:spacing w:line="240" w:lineRule="auto"/>
              <w:rPr>
                <w:b/>
                <w:bCs/>
                <w:sz w:val="18"/>
                <w:szCs w:val="20"/>
              </w:rPr>
            </w:pPr>
            <w:r w:rsidRPr="001B4B1E">
              <w:rPr>
                <w:b/>
                <w:bCs/>
                <w:sz w:val="18"/>
                <w:szCs w:val="20"/>
              </w:rPr>
              <w:t>1</w:t>
            </w:r>
            <w:r w:rsidRPr="001B4B1E">
              <w:rPr>
                <w:b/>
                <w:bCs/>
                <w:sz w:val="18"/>
                <w:szCs w:val="20"/>
                <w:vertAlign w:val="superscript"/>
              </w:rPr>
              <w:t>st</w:t>
            </w:r>
            <w:r w:rsidRPr="001B4B1E">
              <w:rPr>
                <w:b/>
                <w:bCs/>
                <w:sz w:val="18"/>
                <w:szCs w:val="20"/>
              </w:rPr>
              <w:t xml:space="preserve"> contrast eigenvalue</w:t>
            </w:r>
          </w:p>
        </w:tc>
        <w:tc>
          <w:tcPr>
            <w:tcW w:w="1187" w:type="dxa"/>
          </w:tcPr>
          <w:p w14:paraId="67F45D97" w14:textId="77777777" w:rsidR="00FE482F" w:rsidRPr="001B4B1E" w:rsidRDefault="00FE482F" w:rsidP="001B4B1E">
            <w:pPr>
              <w:spacing w:line="240" w:lineRule="auto"/>
              <w:rPr>
                <w:b/>
                <w:bCs/>
                <w:sz w:val="18"/>
                <w:szCs w:val="20"/>
              </w:rPr>
            </w:pPr>
            <w:r w:rsidRPr="001B4B1E">
              <w:rPr>
                <w:b/>
                <w:bCs/>
                <w:sz w:val="18"/>
                <w:szCs w:val="20"/>
              </w:rPr>
              <w:t>1</w:t>
            </w:r>
            <w:r w:rsidRPr="001B4B1E">
              <w:rPr>
                <w:b/>
                <w:bCs/>
                <w:sz w:val="18"/>
                <w:szCs w:val="20"/>
                <w:vertAlign w:val="superscript"/>
              </w:rPr>
              <w:t>st</w:t>
            </w:r>
            <w:r w:rsidRPr="001B4B1E">
              <w:rPr>
                <w:b/>
                <w:bCs/>
                <w:sz w:val="18"/>
                <w:szCs w:val="20"/>
              </w:rPr>
              <w:t xml:space="preserve"> contrast variance</w:t>
            </w:r>
          </w:p>
        </w:tc>
        <w:tc>
          <w:tcPr>
            <w:tcW w:w="1203" w:type="dxa"/>
          </w:tcPr>
          <w:p w14:paraId="24B7609E" w14:textId="77777777" w:rsidR="00FE482F" w:rsidRPr="001B4B1E" w:rsidRDefault="00FE482F" w:rsidP="001B4B1E">
            <w:pPr>
              <w:spacing w:line="240" w:lineRule="auto"/>
              <w:rPr>
                <w:b/>
                <w:bCs/>
                <w:sz w:val="18"/>
                <w:szCs w:val="20"/>
              </w:rPr>
            </w:pPr>
            <w:r w:rsidRPr="001B4B1E">
              <w:rPr>
                <w:b/>
                <w:bCs/>
                <w:sz w:val="18"/>
                <w:szCs w:val="20"/>
              </w:rPr>
              <w:t>2nd contrast eigenvalue</w:t>
            </w:r>
          </w:p>
        </w:tc>
        <w:tc>
          <w:tcPr>
            <w:tcW w:w="994" w:type="dxa"/>
          </w:tcPr>
          <w:p w14:paraId="2A02636B" w14:textId="77777777" w:rsidR="00FE482F" w:rsidRPr="001B4B1E" w:rsidRDefault="00FE482F" w:rsidP="001B4B1E">
            <w:pPr>
              <w:spacing w:line="240" w:lineRule="auto"/>
              <w:rPr>
                <w:b/>
                <w:bCs/>
                <w:sz w:val="18"/>
                <w:szCs w:val="20"/>
              </w:rPr>
            </w:pPr>
            <w:r w:rsidRPr="001B4B1E">
              <w:rPr>
                <w:b/>
                <w:bCs/>
                <w:sz w:val="18"/>
                <w:szCs w:val="20"/>
              </w:rPr>
              <w:t>2</w:t>
            </w:r>
            <w:r w:rsidRPr="001B4B1E">
              <w:rPr>
                <w:b/>
                <w:bCs/>
                <w:sz w:val="18"/>
                <w:szCs w:val="20"/>
                <w:vertAlign w:val="superscript"/>
              </w:rPr>
              <w:t>nd</w:t>
            </w:r>
            <w:r w:rsidRPr="001B4B1E">
              <w:rPr>
                <w:b/>
                <w:bCs/>
                <w:sz w:val="18"/>
                <w:szCs w:val="20"/>
              </w:rPr>
              <w:t xml:space="preserve"> contrast variance</w:t>
            </w:r>
          </w:p>
        </w:tc>
        <w:tc>
          <w:tcPr>
            <w:tcW w:w="1971" w:type="dxa"/>
          </w:tcPr>
          <w:p w14:paraId="38ACC76E" w14:textId="77777777" w:rsidR="00FE482F" w:rsidRPr="001B4B1E" w:rsidRDefault="00FE482F" w:rsidP="001B4B1E">
            <w:pPr>
              <w:spacing w:line="240" w:lineRule="auto"/>
              <w:jc w:val="left"/>
              <w:rPr>
                <w:b/>
                <w:bCs/>
                <w:sz w:val="18"/>
                <w:szCs w:val="20"/>
              </w:rPr>
            </w:pPr>
            <w:r w:rsidRPr="001B4B1E">
              <w:rPr>
                <w:b/>
                <w:bCs/>
                <w:sz w:val="18"/>
                <w:szCs w:val="20"/>
              </w:rPr>
              <w:t>Comment/decision</w:t>
            </w:r>
          </w:p>
        </w:tc>
      </w:tr>
      <w:tr w:rsidR="00FE482F" w:rsidRPr="001B4B1E" w14:paraId="65E5184D" w14:textId="77777777" w:rsidTr="00530FC6">
        <w:tc>
          <w:tcPr>
            <w:tcW w:w="1687" w:type="dxa"/>
          </w:tcPr>
          <w:p w14:paraId="53F3ED73" w14:textId="77777777" w:rsidR="00FE482F" w:rsidRPr="001B4B1E" w:rsidRDefault="00FE482F" w:rsidP="001B4B1E">
            <w:pPr>
              <w:rPr>
                <w:b/>
                <w:bCs/>
                <w:sz w:val="18"/>
                <w:szCs w:val="20"/>
                <w:u w:val="single"/>
              </w:rPr>
            </w:pPr>
            <w:r w:rsidRPr="001B4B1E">
              <w:rPr>
                <w:b/>
                <w:bCs/>
                <w:sz w:val="18"/>
                <w:szCs w:val="20"/>
              </w:rPr>
              <w:t>Self-efficacy</w:t>
            </w:r>
          </w:p>
        </w:tc>
        <w:tc>
          <w:tcPr>
            <w:tcW w:w="1132" w:type="dxa"/>
          </w:tcPr>
          <w:p w14:paraId="4FE93AAE" w14:textId="77777777" w:rsidR="00FE482F" w:rsidRPr="001B4B1E" w:rsidRDefault="00FE482F" w:rsidP="001B4B1E">
            <w:pPr>
              <w:rPr>
                <w:sz w:val="18"/>
                <w:szCs w:val="20"/>
              </w:rPr>
            </w:pPr>
            <w:r w:rsidRPr="001B4B1E">
              <w:rPr>
                <w:sz w:val="18"/>
                <w:szCs w:val="20"/>
              </w:rPr>
              <w:t>51.2%</w:t>
            </w:r>
          </w:p>
        </w:tc>
        <w:tc>
          <w:tcPr>
            <w:tcW w:w="1267" w:type="dxa"/>
          </w:tcPr>
          <w:p w14:paraId="417D0040" w14:textId="77777777" w:rsidR="00FE482F" w:rsidRPr="001B4B1E" w:rsidRDefault="00FE482F" w:rsidP="001B4B1E">
            <w:pPr>
              <w:rPr>
                <w:sz w:val="18"/>
                <w:szCs w:val="20"/>
              </w:rPr>
            </w:pPr>
            <w:r w:rsidRPr="001B4B1E">
              <w:rPr>
                <w:sz w:val="18"/>
                <w:szCs w:val="20"/>
              </w:rPr>
              <w:t>1.4</w:t>
            </w:r>
          </w:p>
        </w:tc>
        <w:tc>
          <w:tcPr>
            <w:tcW w:w="1187" w:type="dxa"/>
          </w:tcPr>
          <w:p w14:paraId="737F6553" w14:textId="77777777" w:rsidR="00FE482F" w:rsidRPr="001B4B1E" w:rsidRDefault="00FE482F" w:rsidP="001B4B1E">
            <w:pPr>
              <w:rPr>
                <w:sz w:val="18"/>
                <w:szCs w:val="20"/>
              </w:rPr>
            </w:pPr>
            <w:r w:rsidRPr="001B4B1E">
              <w:rPr>
                <w:sz w:val="18"/>
                <w:szCs w:val="20"/>
              </w:rPr>
              <w:t>7.9%</w:t>
            </w:r>
          </w:p>
        </w:tc>
        <w:tc>
          <w:tcPr>
            <w:tcW w:w="1203" w:type="dxa"/>
          </w:tcPr>
          <w:p w14:paraId="795F0554" w14:textId="77777777" w:rsidR="00FE482F" w:rsidRPr="001B4B1E" w:rsidRDefault="00FE482F" w:rsidP="001B4B1E">
            <w:pPr>
              <w:rPr>
                <w:sz w:val="18"/>
                <w:szCs w:val="20"/>
              </w:rPr>
            </w:pPr>
            <w:r w:rsidRPr="001B4B1E">
              <w:rPr>
                <w:sz w:val="18"/>
                <w:szCs w:val="20"/>
              </w:rPr>
              <w:t>1.3</w:t>
            </w:r>
          </w:p>
        </w:tc>
        <w:tc>
          <w:tcPr>
            <w:tcW w:w="994" w:type="dxa"/>
          </w:tcPr>
          <w:p w14:paraId="4D5C622C" w14:textId="77777777" w:rsidR="00FE482F" w:rsidRPr="001B4B1E" w:rsidRDefault="00FE482F" w:rsidP="001B4B1E">
            <w:pPr>
              <w:rPr>
                <w:sz w:val="18"/>
                <w:szCs w:val="20"/>
              </w:rPr>
            </w:pPr>
            <w:r w:rsidRPr="001B4B1E">
              <w:rPr>
                <w:sz w:val="18"/>
                <w:szCs w:val="20"/>
              </w:rPr>
              <w:t>6.8%</w:t>
            </w:r>
          </w:p>
        </w:tc>
        <w:tc>
          <w:tcPr>
            <w:tcW w:w="1971" w:type="dxa"/>
          </w:tcPr>
          <w:p w14:paraId="6C2F1929" w14:textId="77777777" w:rsidR="00FE482F" w:rsidRPr="001B4B1E" w:rsidRDefault="00FE482F" w:rsidP="001B4B1E">
            <w:pPr>
              <w:jc w:val="left"/>
              <w:rPr>
                <w:sz w:val="18"/>
                <w:szCs w:val="20"/>
              </w:rPr>
            </w:pPr>
            <w:r w:rsidRPr="001B4B1E">
              <w:rPr>
                <w:sz w:val="18"/>
                <w:szCs w:val="20"/>
              </w:rPr>
              <w:t>Scale is unidimensional. 2</w:t>
            </w:r>
            <w:r w:rsidRPr="001B4B1E">
              <w:rPr>
                <w:sz w:val="18"/>
                <w:szCs w:val="20"/>
                <w:vertAlign w:val="superscript"/>
              </w:rPr>
              <w:t>nd</w:t>
            </w:r>
            <w:r w:rsidRPr="001B4B1E">
              <w:rPr>
                <w:sz w:val="18"/>
                <w:szCs w:val="20"/>
              </w:rPr>
              <w:t xml:space="preserve"> dimension interpreted as random noise</w:t>
            </w:r>
          </w:p>
        </w:tc>
      </w:tr>
      <w:tr w:rsidR="00FE482F" w:rsidRPr="001B4B1E" w14:paraId="3A418F54" w14:textId="77777777" w:rsidTr="00530FC6">
        <w:tc>
          <w:tcPr>
            <w:tcW w:w="1687" w:type="dxa"/>
          </w:tcPr>
          <w:p w14:paraId="20E23D15" w14:textId="77777777" w:rsidR="00FE482F" w:rsidRPr="001B4B1E" w:rsidRDefault="00FE482F" w:rsidP="001B4B1E">
            <w:pPr>
              <w:rPr>
                <w:b/>
                <w:bCs/>
                <w:sz w:val="18"/>
                <w:szCs w:val="20"/>
              </w:rPr>
            </w:pPr>
            <w:r w:rsidRPr="001B4B1E">
              <w:rPr>
                <w:b/>
                <w:bCs/>
                <w:sz w:val="18"/>
                <w:szCs w:val="20"/>
              </w:rPr>
              <w:t>Self-awareness</w:t>
            </w:r>
          </w:p>
        </w:tc>
        <w:tc>
          <w:tcPr>
            <w:tcW w:w="1132" w:type="dxa"/>
          </w:tcPr>
          <w:p w14:paraId="224E12D1" w14:textId="77777777" w:rsidR="00FE482F" w:rsidRPr="001B4B1E" w:rsidRDefault="00FE482F" w:rsidP="001B4B1E">
            <w:pPr>
              <w:rPr>
                <w:sz w:val="18"/>
                <w:szCs w:val="20"/>
              </w:rPr>
            </w:pPr>
            <w:r w:rsidRPr="001B4B1E">
              <w:rPr>
                <w:sz w:val="18"/>
                <w:szCs w:val="20"/>
              </w:rPr>
              <w:t>50.3%</w:t>
            </w:r>
          </w:p>
        </w:tc>
        <w:tc>
          <w:tcPr>
            <w:tcW w:w="1267" w:type="dxa"/>
          </w:tcPr>
          <w:p w14:paraId="28349AA4" w14:textId="77777777" w:rsidR="00FE482F" w:rsidRPr="001B4B1E" w:rsidRDefault="00FE482F" w:rsidP="001B4B1E">
            <w:pPr>
              <w:rPr>
                <w:sz w:val="18"/>
                <w:szCs w:val="20"/>
              </w:rPr>
            </w:pPr>
            <w:r w:rsidRPr="001B4B1E">
              <w:rPr>
                <w:sz w:val="18"/>
                <w:szCs w:val="20"/>
              </w:rPr>
              <w:t>1.6</w:t>
            </w:r>
          </w:p>
        </w:tc>
        <w:tc>
          <w:tcPr>
            <w:tcW w:w="1187" w:type="dxa"/>
          </w:tcPr>
          <w:p w14:paraId="051D60B2" w14:textId="77777777" w:rsidR="00FE482F" w:rsidRPr="001B4B1E" w:rsidRDefault="00FE482F" w:rsidP="001B4B1E">
            <w:pPr>
              <w:rPr>
                <w:sz w:val="18"/>
                <w:szCs w:val="20"/>
              </w:rPr>
            </w:pPr>
            <w:r w:rsidRPr="001B4B1E">
              <w:rPr>
                <w:sz w:val="18"/>
                <w:szCs w:val="20"/>
              </w:rPr>
              <w:t>11.3%</w:t>
            </w:r>
          </w:p>
        </w:tc>
        <w:tc>
          <w:tcPr>
            <w:tcW w:w="1203" w:type="dxa"/>
          </w:tcPr>
          <w:p w14:paraId="53133B58" w14:textId="77777777" w:rsidR="00FE482F" w:rsidRPr="001B4B1E" w:rsidRDefault="00FE482F" w:rsidP="001B4B1E">
            <w:pPr>
              <w:rPr>
                <w:sz w:val="18"/>
                <w:szCs w:val="20"/>
              </w:rPr>
            </w:pPr>
            <w:r w:rsidRPr="001B4B1E">
              <w:rPr>
                <w:sz w:val="18"/>
                <w:szCs w:val="20"/>
              </w:rPr>
              <w:t>1.3</w:t>
            </w:r>
          </w:p>
        </w:tc>
        <w:tc>
          <w:tcPr>
            <w:tcW w:w="994" w:type="dxa"/>
          </w:tcPr>
          <w:p w14:paraId="23D87F07" w14:textId="77777777" w:rsidR="00FE482F" w:rsidRPr="001B4B1E" w:rsidRDefault="00FE482F" w:rsidP="001B4B1E">
            <w:pPr>
              <w:rPr>
                <w:sz w:val="18"/>
                <w:szCs w:val="20"/>
              </w:rPr>
            </w:pPr>
            <w:r w:rsidRPr="001B4B1E">
              <w:rPr>
                <w:sz w:val="18"/>
                <w:szCs w:val="20"/>
              </w:rPr>
              <w:t>9.2%</w:t>
            </w:r>
          </w:p>
        </w:tc>
        <w:tc>
          <w:tcPr>
            <w:tcW w:w="1971" w:type="dxa"/>
          </w:tcPr>
          <w:p w14:paraId="438E0423" w14:textId="77777777" w:rsidR="00FE482F" w:rsidRPr="001B4B1E" w:rsidRDefault="00FE482F" w:rsidP="001B4B1E">
            <w:pPr>
              <w:jc w:val="left"/>
              <w:rPr>
                <w:sz w:val="18"/>
                <w:szCs w:val="20"/>
              </w:rPr>
            </w:pPr>
            <w:r w:rsidRPr="001B4B1E">
              <w:rPr>
                <w:sz w:val="18"/>
                <w:szCs w:val="20"/>
              </w:rPr>
              <w:t>Scale is unidimensional. 2</w:t>
            </w:r>
            <w:r w:rsidRPr="001B4B1E">
              <w:rPr>
                <w:sz w:val="18"/>
                <w:szCs w:val="20"/>
                <w:vertAlign w:val="superscript"/>
              </w:rPr>
              <w:t>nd</w:t>
            </w:r>
            <w:r w:rsidRPr="001B4B1E">
              <w:rPr>
                <w:sz w:val="18"/>
                <w:szCs w:val="20"/>
              </w:rPr>
              <w:t xml:space="preserve"> dimension interpreted as random noise</w:t>
            </w:r>
          </w:p>
        </w:tc>
      </w:tr>
      <w:tr w:rsidR="00FE482F" w:rsidRPr="001B4B1E" w14:paraId="5CE27601" w14:textId="77777777" w:rsidTr="00530FC6">
        <w:tc>
          <w:tcPr>
            <w:tcW w:w="1687" w:type="dxa"/>
          </w:tcPr>
          <w:p w14:paraId="0024507A" w14:textId="77777777" w:rsidR="00FE482F" w:rsidRPr="001B4B1E" w:rsidRDefault="00FE482F" w:rsidP="001B4B1E">
            <w:pPr>
              <w:rPr>
                <w:b/>
                <w:bCs/>
                <w:sz w:val="18"/>
                <w:szCs w:val="20"/>
              </w:rPr>
            </w:pPr>
            <w:r w:rsidRPr="001B4B1E">
              <w:rPr>
                <w:b/>
                <w:bCs/>
                <w:sz w:val="18"/>
                <w:szCs w:val="20"/>
              </w:rPr>
              <w:t>Social Support</w:t>
            </w:r>
          </w:p>
        </w:tc>
        <w:tc>
          <w:tcPr>
            <w:tcW w:w="1132" w:type="dxa"/>
          </w:tcPr>
          <w:p w14:paraId="0C300C53" w14:textId="77777777" w:rsidR="00FE482F" w:rsidRPr="001B4B1E" w:rsidRDefault="00FE482F" w:rsidP="001B4B1E">
            <w:pPr>
              <w:rPr>
                <w:sz w:val="18"/>
                <w:szCs w:val="20"/>
              </w:rPr>
            </w:pPr>
            <w:r w:rsidRPr="001B4B1E">
              <w:rPr>
                <w:sz w:val="18"/>
                <w:szCs w:val="20"/>
              </w:rPr>
              <w:t>46.5%</w:t>
            </w:r>
          </w:p>
        </w:tc>
        <w:tc>
          <w:tcPr>
            <w:tcW w:w="1267" w:type="dxa"/>
          </w:tcPr>
          <w:p w14:paraId="2A5581E1" w14:textId="77777777" w:rsidR="00FE482F" w:rsidRPr="001B4B1E" w:rsidRDefault="00FE482F" w:rsidP="001B4B1E">
            <w:pPr>
              <w:rPr>
                <w:sz w:val="18"/>
                <w:szCs w:val="20"/>
              </w:rPr>
            </w:pPr>
            <w:r w:rsidRPr="001B4B1E">
              <w:rPr>
                <w:sz w:val="18"/>
                <w:szCs w:val="20"/>
              </w:rPr>
              <w:t>1.7</w:t>
            </w:r>
          </w:p>
        </w:tc>
        <w:tc>
          <w:tcPr>
            <w:tcW w:w="1187" w:type="dxa"/>
          </w:tcPr>
          <w:p w14:paraId="2D645FA9" w14:textId="77777777" w:rsidR="00FE482F" w:rsidRPr="001B4B1E" w:rsidRDefault="00FE482F" w:rsidP="001B4B1E">
            <w:pPr>
              <w:rPr>
                <w:sz w:val="18"/>
                <w:szCs w:val="20"/>
              </w:rPr>
            </w:pPr>
            <w:r w:rsidRPr="001B4B1E">
              <w:rPr>
                <w:sz w:val="18"/>
                <w:szCs w:val="20"/>
              </w:rPr>
              <w:t>15.2%</w:t>
            </w:r>
          </w:p>
        </w:tc>
        <w:tc>
          <w:tcPr>
            <w:tcW w:w="1203" w:type="dxa"/>
          </w:tcPr>
          <w:p w14:paraId="7EB69332" w14:textId="77777777" w:rsidR="00FE482F" w:rsidRPr="001B4B1E" w:rsidRDefault="00FE482F" w:rsidP="001B4B1E">
            <w:pPr>
              <w:rPr>
                <w:sz w:val="18"/>
                <w:szCs w:val="20"/>
              </w:rPr>
            </w:pPr>
            <w:r w:rsidRPr="001B4B1E">
              <w:rPr>
                <w:sz w:val="18"/>
                <w:szCs w:val="20"/>
              </w:rPr>
              <w:t>1.3</w:t>
            </w:r>
          </w:p>
        </w:tc>
        <w:tc>
          <w:tcPr>
            <w:tcW w:w="994" w:type="dxa"/>
          </w:tcPr>
          <w:p w14:paraId="3D39E195" w14:textId="77777777" w:rsidR="00FE482F" w:rsidRPr="001B4B1E" w:rsidRDefault="00FE482F" w:rsidP="001B4B1E">
            <w:pPr>
              <w:rPr>
                <w:sz w:val="18"/>
                <w:szCs w:val="20"/>
              </w:rPr>
            </w:pPr>
            <w:r w:rsidRPr="001B4B1E">
              <w:rPr>
                <w:sz w:val="18"/>
                <w:szCs w:val="20"/>
              </w:rPr>
              <w:t>11.7%</w:t>
            </w:r>
          </w:p>
        </w:tc>
        <w:tc>
          <w:tcPr>
            <w:tcW w:w="1971" w:type="dxa"/>
          </w:tcPr>
          <w:p w14:paraId="708FEF76" w14:textId="77777777" w:rsidR="00FE482F" w:rsidRPr="001B4B1E" w:rsidRDefault="00FE482F" w:rsidP="001B4B1E">
            <w:pPr>
              <w:jc w:val="left"/>
              <w:rPr>
                <w:sz w:val="18"/>
                <w:szCs w:val="20"/>
              </w:rPr>
            </w:pPr>
            <w:r w:rsidRPr="001B4B1E">
              <w:rPr>
                <w:sz w:val="18"/>
                <w:szCs w:val="20"/>
              </w:rPr>
              <w:t>Scale is unidimensional. 2</w:t>
            </w:r>
            <w:r w:rsidRPr="001B4B1E">
              <w:rPr>
                <w:sz w:val="18"/>
                <w:szCs w:val="20"/>
                <w:vertAlign w:val="superscript"/>
              </w:rPr>
              <w:t>nd</w:t>
            </w:r>
            <w:r w:rsidRPr="001B4B1E">
              <w:rPr>
                <w:sz w:val="18"/>
                <w:szCs w:val="20"/>
              </w:rPr>
              <w:t xml:space="preserve"> dimension interpreted as random noise</w:t>
            </w:r>
          </w:p>
        </w:tc>
      </w:tr>
      <w:tr w:rsidR="00FE482F" w:rsidRPr="001B4B1E" w14:paraId="25DE2640" w14:textId="77777777" w:rsidTr="00530FC6">
        <w:tc>
          <w:tcPr>
            <w:tcW w:w="1687" w:type="dxa"/>
          </w:tcPr>
          <w:p w14:paraId="76D5F32E" w14:textId="77777777" w:rsidR="00FE482F" w:rsidRPr="001B4B1E" w:rsidRDefault="00FE482F" w:rsidP="001B4B1E">
            <w:pPr>
              <w:rPr>
                <w:b/>
                <w:bCs/>
                <w:sz w:val="18"/>
                <w:szCs w:val="20"/>
              </w:rPr>
            </w:pPr>
            <w:r w:rsidRPr="001B4B1E">
              <w:rPr>
                <w:b/>
                <w:bCs/>
                <w:sz w:val="18"/>
                <w:szCs w:val="20"/>
              </w:rPr>
              <w:lastRenderedPageBreak/>
              <w:t>Illness burden</w:t>
            </w:r>
          </w:p>
        </w:tc>
        <w:tc>
          <w:tcPr>
            <w:tcW w:w="1132" w:type="dxa"/>
          </w:tcPr>
          <w:p w14:paraId="08DF1E5B" w14:textId="77777777" w:rsidR="00FE482F" w:rsidRPr="001B4B1E" w:rsidRDefault="00FE482F" w:rsidP="001B4B1E">
            <w:pPr>
              <w:rPr>
                <w:sz w:val="18"/>
                <w:szCs w:val="20"/>
              </w:rPr>
            </w:pPr>
            <w:r w:rsidRPr="001B4B1E">
              <w:rPr>
                <w:sz w:val="18"/>
                <w:szCs w:val="20"/>
              </w:rPr>
              <w:t>37.1%</w:t>
            </w:r>
          </w:p>
        </w:tc>
        <w:tc>
          <w:tcPr>
            <w:tcW w:w="1267" w:type="dxa"/>
          </w:tcPr>
          <w:p w14:paraId="729C393C" w14:textId="77777777" w:rsidR="00FE482F" w:rsidRPr="001B4B1E" w:rsidRDefault="00FE482F" w:rsidP="001B4B1E">
            <w:pPr>
              <w:rPr>
                <w:sz w:val="18"/>
                <w:szCs w:val="20"/>
              </w:rPr>
            </w:pPr>
            <w:r w:rsidRPr="001B4B1E">
              <w:rPr>
                <w:sz w:val="18"/>
                <w:szCs w:val="20"/>
              </w:rPr>
              <w:t>1.4</w:t>
            </w:r>
          </w:p>
        </w:tc>
        <w:tc>
          <w:tcPr>
            <w:tcW w:w="1187" w:type="dxa"/>
          </w:tcPr>
          <w:p w14:paraId="6E4CAB21" w14:textId="77777777" w:rsidR="00FE482F" w:rsidRPr="001B4B1E" w:rsidRDefault="00FE482F" w:rsidP="001B4B1E">
            <w:pPr>
              <w:rPr>
                <w:sz w:val="18"/>
                <w:szCs w:val="20"/>
              </w:rPr>
            </w:pPr>
            <w:r w:rsidRPr="001B4B1E">
              <w:rPr>
                <w:sz w:val="18"/>
                <w:szCs w:val="20"/>
              </w:rPr>
              <w:t>12.7%</w:t>
            </w:r>
          </w:p>
        </w:tc>
        <w:tc>
          <w:tcPr>
            <w:tcW w:w="1203" w:type="dxa"/>
          </w:tcPr>
          <w:p w14:paraId="0E4E0667" w14:textId="77777777" w:rsidR="00FE482F" w:rsidRPr="001B4B1E" w:rsidRDefault="00FE482F" w:rsidP="001B4B1E">
            <w:pPr>
              <w:rPr>
                <w:sz w:val="18"/>
                <w:szCs w:val="20"/>
              </w:rPr>
            </w:pPr>
            <w:r w:rsidRPr="001B4B1E">
              <w:rPr>
                <w:sz w:val="18"/>
                <w:szCs w:val="20"/>
              </w:rPr>
              <w:t>1.4</w:t>
            </w:r>
          </w:p>
        </w:tc>
        <w:tc>
          <w:tcPr>
            <w:tcW w:w="994" w:type="dxa"/>
          </w:tcPr>
          <w:p w14:paraId="6258692B" w14:textId="77777777" w:rsidR="00FE482F" w:rsidRPr="001B4B1E" w:rsidRDefault="00FE482F" w:rsidP="001B4B1E">
            <w:pPr>
              <w:rPr>
                <w:sz w:val="18"/>
                <w:szCs w:val="20"/>
              </w:rPr>
            </w:pPr>
            <w:r w:rsidRPr="001B4B1E">
              <w:rPr>
                <w:sz w:val="18"/>
                <w:szCs w:val="20"/>
              </w:rPr>
              <w:t>12.3%</w:t>
            </w:r>
          </w:p>
        </w:tc>
        <w:tc>
          <w:tcPr>
            <w:tcW w:w="1971" w:type="dxa"/>
          </w:tcPr>
          <w:p w14:paraId="74C788F5" w14:textId="77777777" w:rsidR="00FE482F" w:rsidRPr="001B4B1E" w:rsidRDefault="00FE482F" w:rsidP="001B4B1E">
            <w:pPr>
              <w:jc w:val="left"/>
              <w:rPr>
                <w:sz w:val="18"/>
                <w:szCs w:val="20"/>
              </w:rPr>
            </w:pPr>
            <w:r w:rsidRPr="001B4B1E">
              <w:rPr>
                <w:sz w:val="18"/>
                <w:szCs w:val="20"/>
              </w:rPr>
              <w:t>Scale is unidimensional. 2</w:t>
            </w:r>
            <w:r w:rsidRPr="001B4B1E">
              <w:rPr>
                <w:sz w:val="18"/>
                <w:szCs w:val="20"/>
                <w:vertAlign w:val="superscript"/>
              </w:rPr>
              <w:t>nd</w:t>
            </w:r>
            <w:r w:rsidRPr="001B4B1E">
              <w:rPr>
                <w:sz w:val="18"/>
                <w:szCs w:val="20"/>
              </w:rPr>
              <w:t xml:space="preserve"> dimension interpreted as random noise</w:t>
            </w:r>
          </w:p>
        </w:tc>
      </w:tr>
    </w:tbl>
    <w:p w14:paraId="566E39D8" w14:textId="77777777" w:rsidR="00FE482F" w:rsidRPr="00B81ABA" w:rsidRDefault="00FE482F" w:rsidP="001B4B1E"/>
    <w:p w14:paraId="5DADF014" w14:textId="77777777" w:rsidR="00FE482F" w:rsidRPr="001B4B1E" w:rsidRDefault="00FE482F" w:rsidP="001B4B1E">
      <w:pPr>
        <w:rPr>
          <w:u w:val="single"/>
        </w:rPr>
      </w:pPr>
      <w:r w:rsidRPr="001B4B1E">
        <w:rPr>
          <w:u w:val="single"/>
        </w:rPr>
        <w:t>Fit statistics</w:t>
      </w:r>
    </w:p>
    <w:p w14:paraId="74E01C95" w14:textId="77777777" w:rsidR="00FE482F" w:rsidRDefault="00FE482F" w:rsidP="001B4B1E">
      <w:r>
        <w:t>Table 10</w:t>
      </w:r>
      <w:r w:rsidRPr="00640AD6">
        <w:t xml:space="preserve"> presents a summary of </w:t>
      </w:r>
      <w:r>
        <w:t xml:space="preserve">the global </w:t>
      </w:r>
      <w:r w:rsidRPr="00640AD6">
        <w:t xml:space="preserve">fit analysis of the </w:t>
      </w:r>
      <w:r>
        <w:t>EASE-F</w:t>
      </w:r>
      <w:r w:rsidRPr="00640AD6">
        <w:t>.</w:t>
      </w:r>
      <w:r>
        <w:t xml:space="preserve"> </w:t>
      </w:r>
      <w:r w:rsidRPr="00640AD6">
        <w:t xml:space="preserve">All scales met the Rasch model criteria for </w:t>
      </w:r>
      <w:r>
        <w:t xml:space="preserve">overall </w:t>
      </w:r>
      <w:r w:rsidRPr="00640AD6">
        <w:t>fit</w:t>
      </w:r>
      <w:r>
        <w:t>. Infit</w:t>
      </w:r>
      <w:r w:rsidRPr="00640AD6">
        <w:t xml:space="preserve"> mean square values ranged from </w:t>
      </w:r>
      <w:r>
        <w:t>0.99 to 1.00</w:t>
      </w:r>
      <w:r w:rsidRPr="00640AD6">
        <w:t xml:space="preserve"> to logits.</w:t>
      </w:r>
      <w:r>
        <w:t xml:space="preserve"> Further global fit statistics for each scale can be found in Table 10.</w:t>
      </w:r>
    </w:p>
    <w:p w14:paraId="54B580DB" w14:textId="77777777" w:rsidR="00FE482F" w:rsidRDefault="00FE482F" w:rsidP="001B4B1E"/>
    <w:p w14:paraId="521D2DCB" w14:textId="77777777" w:rsidR="00FE482F" w:rsidRPr="00224301" w:rsidRDefault="00FE482F" w:rsidP="001B4B1E">
      <w:r w:rsidRPr="00224301">
        <w:t xml:space="preserve">Table </w:t>
      </w:r>
      <w:r>
        <w:t>10</w:t>
      </w:r>
      <w:r w:rsidRPr="00224301">
        <w:t>.</w:t>
      </w:r>
      <w:r>
        <w:t xml:space="preserve"> </w:t>
      </w:r>
      <w:r w:rsidRPr="00224301">
        <w:t>Global fit statistics of the final Rasch model of the EASE-F subscales</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1875"/>
        <w:gridCol w:w="1875"/>
        <w:gridCol w:w="1875"/>
        <w:gridCol w:w="1875"/>
      </w:tblGrid>
      <w:tr w:rsidR="00FE482F" w:rsidRPr="00BF6D8B" w14:paraId="1A852A27" w14:textId="77777777" w:rsidTr="00224301">
        <w:tc>
          <w:tcPr>
            <w:tcW w:w="1740" w:type="dxa"/>
          </w:tcPr>
          <w:p w14:paraId="4472B597" w14:textId="77777777" w:rsidR="00FE482F" w:rsidRPr="00BF6D8B" w:rsidRDefault="00FE482F" w:rsidP="001B4B1E">
            <w:pPr>
              <w:rPr>
                <w:b/>
                <w:bCs/>
                <w:sz w:val="18"/>
                <w:szCs w:val="20"/>
              </w:rPr>
            </w:pPr>
            <w:r w:rsidRPr="00BF6D8B">
              <w:rPr>
                <w:b/>
                <w:bCs/>
                <w:sz w:val="18"/>
                <w:szCs w:val="20"/>
              </w:rPr>
              <w:t>Statistic:</w:t>
            </w:r>
          </w:p>
        </w:tc>
        <w:tc>
          <w:tcPr>
            <w:tcW w:w="1875" w:type="dxa"/>
          </w:tcPr>
          <w:p w14:paraId="7FAD2A75" w14:textId="77777777" w:rsidR="00FE482F" w:rsidRPr="00BF6D8B" w:rsidRDefault="00FE482F" w:rsidP="00BF6D8B">
            <w:pPr>
              <w:jc w:val="left"/>
              <w:rPr>
                <w:b/>
                <w:bCs/>
                <w:sz w:val="18"/>
                <w:szCs w:val="20"/>
              </w:rPr>
            </w:pPr>
            <w:r w:rsidRPr="00BF6D8B">
              <w:rPr>
                <w:b/>
                <w:bCs/>
                <w:sz w:val="18"/>
                <w:szCs w:val="20"/>
              </w:rPr>
              <w:t>Self-Efficacy Scale</w:t>
            </w:r>
          </w:p>
        </w:tc>
        <w:tc>
          <w:tcPr>
            <w:tcW w:w="1875" w:type="dxa"/>
          </w:tcPr>
          <w:p w14:paraId="3142CB15" w14:textId="77777777" w:rsidR="00FE482F" w:rsidRPr="00BF6D8B" w:rsidRDefault="00FE482F" w:rsidP="00BF6D8B">
            <w:pPr>
              <w:jc w:val="left"/>
              <w:rPr>
                <w:b/>
                <w:bCs/>
                <w:sz w:val="18"/>
                <w:szCs w:val="20"/>
              </w:rPr>
            </w:pPr>
            <w:r w:rsidRPr="00BF6D8B">
              <w:rPr>
                <w:b/>
                <w:bCs/>
                <w:sz w:val="18"/>
                <w:szCs w:val="20"/>
              </w:rPr>
              <w:t>Self-Awareness Scale</w:t>
            </w:r>
          </w:p>
        </w:tc>
        <w:tc>
          <w:tcPr>
            <w:tcW w:w="1875" w:type="dxa"/>
          </w:tcPr>
          <w:p w14:paraId="6A75B2C7" w14:textId="77777777" w:rsidR="00FE482F" w:rsidRPr="00BF6D8B" w:rsidRDefault="00FE482F" w:rsidP="00BF6D8B">
            <w:pPr>
              <w:jc w:val="left"/>
              <w:rPr>
                <w:b/>
                <w:bCs/>
                <w:sz w:val="18"/>
                <w:szCs w:val="20"/>
              </w:rPr>
            </w:pPr>
            <w:r w:rsidRPr="00BF6D8B">
              <w:rPr>
                <w:b/>
                <w:bCs/>
                <w:sz w:val="18"/>
                <w:szCs w:val="20"/>
              </w:rPr>
              <w:t>Social Support Scale</w:t>
            </w:r>
          </w:p>
        </w:tc>
        <w:tc>
          <w:tcPr>
            <w:tcW w:w="1875" w:type="dxa"/>
          </w:tcPr>
          <w:p w14:paraId="40586771" w14:textId="77777777" w:rsidR="00FE482F" w:rsidRPr="00BF6D8B" w:rsidRDefault="00FE482F" w:rsidP="00BF6D8B">
            <w:pPr>
              <w:jc w:val="left"/>
              <w:rPr>
                <w:b/>
                <w:bCs/>
                <w:sz w:val="18"/>
                <w:szCs w:val="20"/>
              </w:rPr>
            </w:pPr>
            <w:r w:rsidRPr="00BF6D8B">
              <w:rPr>
                <w:b/>
                <w:bCs/>
                <w:sz w:val="18"/>
                <w:szCs w:val="20"/>
              </w:rPr>
              <w:t>Illness Burden</w:t>
            </w:r>
          </w:p>
        </w:tc>
      </w:tr>
      <w:tr w:rsidR="00FE482F" w:rsidRPr="00BF6D8B" w14:paraId="411E0D67" w14:textId="77777777" w:rsidTr="00224301">
        <w:trPr>
          <w:trHeight w:val="220"/>
        </w:trPr>
        <w:tc>
          <w:tcPr>
            <w:tcW w:w="1740" w:type="dxa"/>
          </w:tcPr>
          <w:p w14:paraId="01AED451" w14:textId="77777777" w:rsidR="00FE482F" w:rsidRPr="00BF6D8B" w:rsidRDefault="00FE482F" w:rsidP="001B4B1E">
            <w:pPr>
              <w:rPr>
                <w:b/>
                <w:bCs/>
                <w:sz w:val="18"/>
                <w:szCs w:val="20"/>
              </w:rPr>
            </w:pPr>
            <w:r w:rsidRPr="00BF6D8B">
              <w:rPr>
                <w:b/>
                <w:bCs/>
                <w:sz w:val="18"/>
                <w:szCs w:val="20"/>
              </w:rPr>
              <w:t>Chi-square</w:t>
            </w:r>
          </w:p>
          <w:p w14:paraId="2B13D91B" w14:textId="77777777" w:rsidR="00FE482F" w:rsidRPr="00BF6D8B" w:rsidRDefault="00FE482F" w:rsidP="001B4B1E">
            <w:pPr>
              <w:rPr>
                <w:b/>
                <w:bCs/>
                <w:sz w:val="18"/>
                <w:szCs w:val="20"/>
              </w:rPr>
            </w:pPr>
            <w:r w:rsidRPr="00BF6D8B">
              <w:rPr>
                <w:b/>
                <w:bCs/>
                <w:sz w:val="18"/>
                <w:szCs w:val="20"/>
              </w:rPr>
              <w:t xml:space="preserve"> (</w:t>
            </w:r>
            <w:proofErr w:type="spellStart"/>
            <w:r w:rsidRPr="00BF6D8B">
              <w:rPr>
                <w:b/>
                <w:bCs/>
                <w:sz w:val="18"/>
                <w:szCs w:val="20"/>
              </w:rPr>
              <w:t>df</w:t>
            </w:r>
            <w:proofErr w:type="spellEnd"/>
            <w:r w:rsidRPr="00BF6D8B">
              <w:rPr>
                <w:b/>
                <w:bCs/>
                <w:sz w:val="18"/>
                <w:szCs w:val="20"/>
              </w:rPr>
              <w:t>)</w:t>
            </w:r>
          </w:p>
          <w:p w14:paraId="337CA4B2" w14:textId="77777777" w:rsidR="00FE482F" w:rsidRPr="00BF6D8B" w:rsidRDefault="00FE482F" w:rsidP="001B4B1E">
            <w:pPr>
              <w:rPr>
                <w:b/>
                <w:bCs/>
                <w:sz w:val="18"/>
                <w:szCs w:val="20"/>
              </w:rPr>
            </w:pPr>
            <w:r w:rsidRPr="00BF6D8B">
              <w:rPr>
                <w:b/>
                <w:bCs/>
                <w:sz w:val="18"/>
                <w:szCs w:val="20"/>
              </w:rPr>
              <w:t>p-value</w:t>
            </w:r>
          </w:p>
        </w:tc>
        <w:tc>
          <w:tcPr>
            <w:tcW w:w="1875" w:type="dxa"/>
          </w:tcPr>
          <w:p w14:paraId="4FC720DF" w14:textId="77777777" w:rsidR="00FE482F" w:rsidRPr="00BF6D8B" w:rsidRDefault="00FE482F" w:rsidP="001B4B1E">
            <w:pPr>
              <w:rPr>
                <w:sz w:val="18"/>
                <w:szCs w:val="20"/>
              </w:rPr>
            </w:pPr>
            <w:r w:rsidRPr="00BF6D8B">
              <w:rPr>
                <w:sz w:val="18"/>
                <w:szCs w:val="20"/>
              </w:rPr>
              <w:t>4821.9</w:t>
            </w:r>
          </w:p>
          <w:p w14:paraId="2544ED8B" w14:textId="77777777" w:rsidR="00FE482F" w:rsidRPr="00BF6D8B" w:rsidRDefault="00FE482F" w:rsidP="001B4B1E">
            <w:pPr>
              <w:rPr>
                <w:sz w:val="18"/>
                <w:szCs w:val="20"/>
              </w:rPr>
            </w:pPr>
            <w:r w:rsidRPr="00BF6D8B">
              <w:rPr>
                <w:sz w:val="18"/>
                <w:szCs w:val="20"/>
              </w:rPr>
              <w:t>3267</w:t>
            </w:r>
          </w:p>
          <w:p w14:paraId="6059C1DD" w14:textId="77777777" w:rsidR="00FE482F" w:rsidRPr="00BF6D8B" w:rsidRDefault="00FE482F" w:rsidP="001B4B1E">
            <w:pPr>
              <w:rPr>
                <w:sz w:val="18"/>
                <w:szCs w:val="20"/>
              </w:rPr>
            </w:pPr>
            <w:r w:rsidRPr="00BF6D8B">
              <w:rPr>
                <w:sz w:val="18"/>
                <w:szCs w:val="20"/>
              </w:rPr>
              <w:t>0.000</w:t>
            </w:r>
          </w:p>
        </w:tc>
        <w:tc>
          <w:tcPr>
            <w:tcW w:w="1875" w:type="dxa"/>
          </w:tcPr>
          <w:p w14:paraId="6E6F295A" w14:textId="77777777" w:rsidR="00FE482F" w:rsidRPr="00BF6D8B" w:rsidRDefault="00FE482F" w:rsidP="001B4B1E">
            <w:pPr>
              <w:rPr>
                <w:sz w:val="18"/>
                <w:szCs w:val="20"/>
              </w:rPr>
            </w:pPr>
            <w:r w:rsidRPr="00BF6D8B">
              <w:rPr>
                <w:sz w:val="18"/>
                <w:szCs w:val="20"/>
              </w:rPr>
              <w:t>3356.9</w:t>
            </w:r>
          </w:p>
          <w:p w14:paraId="39925B61" w14:textId="77777777" w:rsidR="00FE482F" w:rsidRPr="00BF6D8B" w:rsidRDefault="00FE482F" w:rsidP="001B4B1E">
            <w:pPr>
              <w:rPr>
                <w:sz w:val="18"/>
                <w:szCs w:val="20"/>
              </w:rPr>
            </w:pPr>
            <w:r w:rsidRPr="00BF6D8B">
              <w:rPr>
                <w:sz w:val="18"/>
                <w:szCs w:val="20"/>
              </w:rPr>
              <w:t>2254</w:t>
            </w:r>
          </w:p>
          <w:p w14:paraId="3EC8717A" w14:textId="77777777" w:rsidR="00FE482F" w:rsidRPr="00BF6D8B" w:rsidRDefault="00FE482F" w:rsidP="001B4B1E">
            <w:pPr>
              <w:rPr>
                <w:sz w:val="18"/>
                <w:szCs w:val="20"/>
              </w:rPr>
            </w:pPr>
            <w:r w:rsidRPr="00BF6D8B">
              <w:rPr>
                <w:sz w:val="18"/>
                <w:szCs w:val="20"/>
              </w:rPr>
              <w:t>0.00</w:t>
            </w:r>
          </w:p>
        </w:tc>
        <w:tc>
          <w:tcPr>
            <w:tcW w:w="1875" w:type="dxa"/>
          </w:tcPr>
          <w:p w14:paraId="2AB63BF9" w14:textId="77777777" w:rsidR="00FE482F" w:rsidRPr="00BF6D8B" w:rsidRDefault="00FE482F" w:rsidP="001B4B1E">
            <w:pPr>
              <w:rPr>
                <w:sz w:val="18"/>
                <w:szCs w:val="20"/>
              </w:rPr>
            </w:pPr>
            <w:r w:rsidRPr="00BF6D8B">
              <w:rPr>
                <w:sz w:val="18"/>
                <w:szCs w:val="20"/>
              </w:rPr>
              <w:t>3998.3</w:t>
            </w:r>
          </w:p>
          <w:p w14:paraId="2C279374" w14:textId="77777777" w:rsidR="00FE482F" w:rsidRPr="00BF6D8B" w:rsidRDefault="00FE482F" w:rsidP="001B4B1E">
            <w:pPr>
              <w:rPr>
                <w:sz w:val="18"/>
                <w:szCs w:val="20"/>
              </w:rPr>
            </w:pPr>
            <w:r w:rsidRPr="00BF6D8B">
              <w:rPr>
                <w:sz w:val="18"/>
                <w:szCs w:val="20"/>
              </w:rPr>
              <w:t>2526</w:t>
            </w:r>
          </w:p>
          <w:p w14:paraId="0550945F" w14:textId="77777777" w:rsidR="00FE482F" w:rsidRPr="00BF6D8B" w:rsidRDefault="00FE482F" w:rsidP="001B4B1E">
            <w:pPr>
              <w:rPr>
                <w:sz w:val="18"/>
                <w:szCs w:val="20"/>
              </w:rPr>
            </w:pPr>
            <w:r w:rsidRPr="00BF6D8B">
              <w:rPr>
                <w:sz w:val="18"/>
                <w:szCs w:val="20"/>
              </w:rPr>
              <w:t>0.000</w:t>
            </w:r>
          </w:p>
        </w:tc>
        <w:tc>
          <w:tcPr>
            <w:tcW w:w="1875" w:type="dxa"/>
          </w:tcPr>
          <w:p w14:paraId="7F58C212" w14:textId="77777777" w:rsidR="00FE482F" w:rsidRPr="00BF6D8B" w:rsidRDefault="00FE482F" w:rsidP="001B4B1E">
            <w:pPr>
              <w:rPr>
                <w:sz w:val="18"/>
                <w:szCs w:val="20"/>
              </w:rPr>
            </w:pPr>
            <w:r w:rsidRPr="00BF6D8B">
              <w:rPr>
                <w:sz w:val="18"/>
                <w:szCs w:val="20"/>
              </w:rPr>
              <w:t>3991.6</w:t>
            </w:r>
          </w:p>
          <w:p w14:paraId="0B1A2A46" w14:textId="77777777" w:rsidR="00FE482F" w:rsidRPr="00BF6D8B" w:rsidRDefault="00FE482F" w:rsidP="001B4B1E">
            <w:pPr>
              <w:rPr>
                <w:sz w:val="18"/>
                <w:szCs w:val="20"/>
              </w:rPr>
            </w:pPr>
            <w:r w:rsidRPr="00BF6D8B">
              <w:rPr>
                <w:sz w:val="18"/>
                <w:szCs w:val="20"/>
              </w:rPr>
              <w:t>2534</w:t>
            </w:r>
          </w:p>
          <w:p w14:paraId="05D46B1E" w14:textId="77777777" w:rsidR="00FE482F" w:rsidRPr="00BF6D8B" w:rsidRDefault="00FE482F" w:rsidP="001B4B1E">
            <w:pPr>
              <w:rPr>
                <w:sz w:val="18"/>
                <w:szCs w:val="20"/>
              </w:rPr>
            </w:pPr>
            <w:r w:rsidRPr="00BF6D8B">
              <w:rPr>
                <w:sz w:val="18"/>
                <w:szCs w:val="20"/>
              </w:rPr>
              <w:t>0.000</w:t>
            </w:r>
          </w:p>
        </w:tc>
      </w:tr>
      <w:tr w:rsidR="00FE482F" w:rsidRPr="00BF6D8B" w14:paraId="0174F270" w14:textId="77777777" w:rsidTr="00224301">
        <w:trPr>
          <w:trHeight w:val="220"/>
        </w:trPr>
        <w:tc>
          <w:tcPr>
            <w:tcW w:w="1740" w:type="dxa"/>
          </w:tcPr>
          <w:p w14:paraId="38F50867" w14:textId="77777777" w:rsidR="00FE482F" w:rsidRPr="00BF6D8B" w:rsidRDefault="00FE482F" w:rsidP="001B4B1E">
            <w:pPr>
              <w:rPr>
                <w:b/>
                <w:bCs/>
                <w:sz w:val="18"/>
                <w:szCs w:val="20"/>
              </w:rPr>
            </w:pPr>
            <w:r w:rsidRPr="00BF6D8B">
              <w:rPr>
                <w:b/>
                <w:bCs/>
                <w:sz w:val="18"/>
                <w:szCs w:val="20"/>
              </w:rPr>
              <w:t>INFIT MNSQ</w:t>
            </w:r>
          </w:p>
        </w:tc>
        <w:tc>
          <w:tcPr>
            <w:tcW w:w="1875" w:type="dxa"/>
          </w:tcPr>
          <w:p w14:paraId="2B50250C" w14:textId="77777777" w:rsidR="00FE482F" w:rsidRPr="00BF6D8B" w:rsidRDefault="00FE482F" w:rsidP="001B4B1E">
            <w:pPr>
              <w:rPr>
                <w:sz w:val="18"/>
                <w:szCs w:val="20"/>
              </w:rPr>
            </w:pPr>
            <w:r w:rsidRPr="00BF6D8B">
              <w:rPr>
                <w:sz w:val="18"/>
                <w:szCs w:val="20"/>
              </w:rPr>
              <w:t>0.99</w:t>
            </w:r>
          </w:p>
        </w:tc>
        <w:tc>
          <w:tcPr>
            <w:tcW w:w="1875" w:type="dxa"/>
          </w:tcPr>
          <w:p w14:paraId="3CA9F7BB" w14:textId="77777777" w:rsidR="00FE482F" w:rsidRPr="00BF6D8B" w:rsidRDefault="00FE482F" w:rsidP="001B4B1E">
            <w:pPr>
              <w:rPr>
                <w:sz w:val="18"/>
                <w:szCs w:val="20"/>
              </w:rPr>
            </w:pPr>
            <w:r w:rsidRPr="00BF6D8B">
              <w:rPr>
                <w:sz w:val="18"/>
                <w:szCs w:val="20"/>
              </w:rPr>
              <w:t>1.00</w:t>
            </w:r>
          </w:p>
        </w:tc>
        <w:tc>
          <w:tcPr>
            <w:tcW w:w="1875" w:type="dxa"/>
          </w:tcPr>
          <w:p w14:paraId="5F918784" w14:textId="77777777" w:rsidR="00FE482F" w:rsidRPr="00BF6D8B" w:rsidRDefault="00FE482F" w:rsidP="001B4B1E">
            <w:pPr>
              <w:rPr>
                <w:sz w:val="18"/>
                <w:szCs w:val="20"/>
              </w:rPr>
            </w:pPr>
            <w:r w:rsidRPr="00BF6D8B">
              <w:rPr>
                <w:sz w:val="18"/>
                <w:szCs w:val="20"/>
              </w:rPr>
              <w:t>1.00</w:t>
            </w:r>
          </w:p>
        </w:tc>
        <w:tc>
          <w:tcPr>
            <w:tcW w:w="1875" w:type="dxa"/>
          </w:tcPr>
          <w:p w14:paraId="6D08B0D6" w14:textId="77777777" w:rsidR="00FE482F" w:rsidRPr="00BF6D8B" w:rsidRDefault="00FE482F" w:rsidP="001B4B1E">
            <w:pPr>
              <w:rPr>
                <w:sz w:val="18"/>
                <w:szCs w:val="20"/>
              </w:rPr>
            </w:pPr>
            <w:r w:rsidRPr="00BF6D8B">
              <w:rPr>
                <w:sz w:val="18"/>
                <w:szCs w:val="20"/>
              </w:rPr>
              <w:t>1.00</w:t>
            </w:r>
          </w:p>
        </w:tc>
      </w:tr>
      <w:tr w:rsidR="00FE482F" w:rsidRPr="00BF6D8B" w14:paraId="32AFB835" w14:textId="77777777" w:rsidTr="00224301">
        <w:trPr>
          <w:trHeight w:val="220"/>
        </w:trPr>
        <w:tc>
          <w:tcPr>
            <w:tcW w:w="1740" w:type="dxa"/>
          </w:tcPr>
          <w:p w14:paraId="7E856D5A" w14:textId="77777777" w:rsidR="00FE482F" w:rsidRPr="00BF6D8B" w:rsidRDefault="00FE482F" w:rsidP="001B4B1E">
            <w:pPr>
              <w:rPr>
                <w:b/>
                <w:bCs/>
                <w:sz w:val="18"/>
                <w:szCs w:val="20"/>
              </w:rPr>
            </w:pPr>
            <w:r w:rsidRPr="00BF6D8B">
              <w:rPr>
                <w:b/>
                <w:bCs/>
                <w:sz w:val="18"/>
                <w:szCs w:val="20"/>
              </w:rPr>
              <w:t>INFIT ZSTD</w:t>
            </w:r>
          </w:p>
        </w:tc>
        <w:tc>
          <w:tcPr>
            <w:tcW w:w="1875" w:type="dxa"/>
          </w:tcPr>
          <w:p w14:paraId="5FC11E84" w14:textId="77777777" w:rsidR="00FE482F" w:rsidRPr="00BF6D8B" w:rsidRDefault="00FE482F" w:rsidP="001B4B1E">
            <w:pPr>
              <w:rPr>
                <w:sz w:val="18"/>
                <w:szCs w:val="20"/>
              </w:rPr>
            </w:pPr>
            <w:r w:rsidRPr="00BF6D8B">
              <w:rPr>
                <w:sz w:val="18"/>
                <w:szCs w:val="20"/>
              </w:rPr>
              <w:t>-0.18</w:t>
            </w:r>
          </w:p>
        </w:tc>
        <w:tc>
          <w:tcPr>
            <w:tcW w:w="1875" w:type="dxa"/>
          </w:tcPr>
          <w:p w14:paraId="0EBC86E5" w14:textId="77777777" w:rsidR="00FE482F" w:rsidRPr="00BF6D8B" w:rsidRDefault="00FE482F" w:rsidP="001B4B1E">
            <w:pPr>
              <w:rPr>
                <w:sz w:val="18"/>
                <w:szCs w:val="20"/>
              </w:rPr>
            </w:pPr>
            <w:r w:rsidRPr="00BF6D8B">
              <w:rPr>
                <w:sz w:val="18"/>
                <w:szCs w:val="20"/>
              </w:rPr>
              <w:t>-0.16</w:t>
            </w:r>
          </w:p>
        </w:tc>
        <w:tc>
          <w:tcPr>
            <w:tcW w:w="1875" w:type="dxa"/>
          </w:tcPr>
          <w:p w14:paraId="718FC9F8" w14:textId="77777777" w:rsidR="00FE482F" w:rsidRPr="00BF6D8B" w:rsidRDefault="00FE482F" w:rsidP="001B4B1E">
            <w:pPr>
              <w:rPr>
                <w:sz w:val="18"/>
                <w:szCs w:val="20"/>
              </w:rPr>
            </w:pPr>
            <w:r w:rsidRPr="00BF6D8B">
              <w:rPr>
                <w:sz w:val="18"/>
                <w:szCs w:val="20"/>
              </w:rPr>
              <w:t>-0.02</w:t>
            </w:r>
          </w:p>
        </w:tc>
        <w:tc>
          <w:tcPr>
            <w:tcW w:w="1875" w:type="dxa"/>
          </w:tcPr>
          <w:p w14:paraId="34441393" w14:textId="77777777" w:rsidR="00FE482F" w:rsidRPr="00BF6D8B" w:rsidRDefault="00FE482F" w:rsidP="001B4B1E">
            <w:pPr>
              <w:rPr>
                <w:sz w:val="18"/>
                <w:szCs w:val="20"/>
              </w:rPr>
            </w:pPr>
            <w:r w:rsidRPr="00BF6D8B">
              <w:rPr>
                <w:sz w:val="18"/>
                <w:szCs w:val="20"/>
              </w:rPr>
              <w:t>0.08</w:t>
            </w:r>
          </w:p>
        </w:tc>
      </w:tr>
      <w:tr w:rsidR="00FE482F" w:rsidRPr="00BF6D8B" w14:paraId="7E8D553E" w14:textId="77777777" w:rsidTr="00224301">
        <w:trPr>
          <w:trHeight w:val="220"/>
        </w:trPr>
        <w:tc>
          <w:tcPr>
            <w:tcW w:w="1740" w:type="dxa"/>
          </w:tcPr>
          <w:p w14:paraId="1A3A9FE0" w14:textId="77777777" w:rsidR="00FE482F" w:rsidRPr="00BF6D8B" w:rsidRDefault="00FE482F" w:rsidP="001B4B1E">
            <w:pPr>
              <w:rPr>
                <w:b/>
                <w:bCs/>
                <w:sz w:val="18"/>
                <w:szCs w:val="20"/>
              </w:rPr>
            </w:pPr>
            <w:r w:rsidRPr="00BF6D8B">
              <w:rPr>
                <w:b/>
                <w:bCs/>
                <w:sz w:val="18"/>
                <w:szCs w:val="20"/>
              </w:rPr>
              <w:t>OUTFIT MNSQ</w:t>
            </w:r>
          </w:p>
        </w:tc>
        <w:tc>
          <w:tcPr>
            <w:tcW w:w="1875" w:type="dxa"/>
          </w:tcPr>
          <w:p w14:paraId="561406F3" w14:textId="77777777" w:rsidR="00FE482F" w:rsidRPr="00BF6D8B" w:rsidRDefault="00FE482F" w:rsidP="001B4B1E">
            <w:pPr>
              <w:rPr>
                <w:sz w:val="18"/>
                <w:szCs w:val="20"/>
              </w:rPr>
            </w:pPr>
            <w:r w:rsidRPr="00BF6D8B">
              <w:rPr>
                <w:sz w:val="18"/>
                <w:szCs w:val="20"/>
              </w:rPr>
              <w:t>1.03</w:t>
            </w:r>
          </w:p>
        </w:tc>
        <w:tc>
          <w:tcPr>
            <w:tcW w:w="1875" w:type="dxa"/>
          </w:tcPr>
          <w:p w14:paraId="595B896B" w14:textId="77777777" w:rsidR="00FE482F" w:rsidRPr="00BF6D8B" w:rsidRDefault="00FE482F" w:rsidP="001B4B1E">
            <w:pPr>
              <w:rPr>
                <w:sz w:val="18"/>
                <w:szCs w:val="20"/>
              </w:rPr>
            </w:pPr>
            <w:r w:rsidRPr="00BF6D8B">
              <w:rPr>
                <w:sz w:val="18"/>
                <w:szCs w:val="20"/>
              </w:rPr>
              <w:t>0.99</w:t>
            </w:r>
          </w:p>
        </w:tc>
        <w:tc>
          <w:tcPr>
            <w:tcW w:w="1875" w:type="dxa"/>
          </w:tcPr>
          <w:p w14:paraId="27B3B25A" w14:textId="77777777" w:rsidR="00FE482F" w:rsidRPr="00BF6D8B" w:rsidRDefault="00FE482F" w:rsidP="001B4B1E">
            <w:pPr>
              <w:rPr>
                <w:sz w:val="18"/>
                <w:szCs w:val="20"/>
              </w:rPr>
            </w:pPr>
            <w:r w:rsidRPr="00BF6D8B">
              <w:rPr>
                <w:sz w:val="18"/>
                <w:szCs w:val="20"/>
              </w:rPr>
              <w:t>0.99</w:t>
            </w:r>
          </w:p>
        </w:tc>
        <w:tc>
          <w:tcPr>
            <w:tcW w:w="1875" w:type="dxa"/>
          </w:tcPr>
          <w:p w14:paraId="33CDF06D" w14:textId="77777777" w:rsidR="00FE482F" w:rsidRPr="00BF6D8B" w:rsidRDefault="00FE482F" w:rsidP="001B4B1E">
            <w:pPr>
              <w:rPr>
                <w:sz w:val="18"/>
                <w:szCs w:val="20"/>
              </w:rPr>
            </w:pPr>
            <w:r w:rsidRPr="00BF6D8B">
              <w:rPr>
                <w:sz w:val="18"/>
                <w:szCs w:val="20"/>
              </w:rPr>
              <w:t>0.98</w:t>
            </w:r>
          </w:p>
        </w:tc>
      </w:tr>
      <w:tr w:rsidR="00FE482F" w:rsidRPr="00BF6D8B" w14:paraId="6497F3EA" w14:textId="77777777" w:rsidTr="00224301">
        <w:trPr>
          <w:trHeight w:val="220"/>
        </w:trPr>
        <w:tc>
          <w:tcPr>
            <w:tcW w:w="1740" w:type="dxa"/>
          </w:tcPr>
          <w:p w14:paraId="0F0C2EF3" w14:textId="77777777" w:rsidR="00FE482F" w:rsidRPr="00BF6D8B" w:rsidRDefault="00FE482F" w:rsidP="001B4B1E">
            <w:pPr>
              <w:rPr>
                <w:b/>
                <w:bCs/>
                <w:sz w:val="18"/>
                <w:szCs w:val="20"/>
              </w:rPr>
            </w:pPr>
            <w:r w:rsidRPr="00BF6D8B">
              <w:rPr>
                <w:b/>
                <w:bCs/>
                <w:sz w:val="18"/>
                <w:szCs w:val="20"/>
              </w:rPr>
              <w:t>OUTFIT ZSTD</w:t>
            </w:r>
          </w:p>
        </w:tc>
        <w:tc>
          <w:tcPr>
            <w:tcW w:w="1875" w:type="dxa"/>
          </w:tcPr>
          <w:p w14:paraId="6171EAD4" w14:textId="77777777" w:rsidR="00FE482F" w:rsidRPr="00BF6D8B" w:rsidRDefault="00FE482F" w:rsidP="001B4B1E">
            <w:pPr>
              <w:rPr>
                <w:sz w:val="18"/>
                <w:szCs w:val="20"/>
              </w:rPr>
            </w:pPr>
            <w:r w:rsidRPr="00BF6D8B">
              <w:rPr>
                <w:sz w:val="18"/>
                <w:szCs w:val="20"/>
              </w:rPr>
              <w:t>0.27</w:t>
            </w:r>
          </w:p>
        </w:tc>
        <w:tc>
          <w:tcPr>
            <w:tcW w:w="1875" w:type="dxa"/>
          </w:tcPr>
          <w:p w14:paraId="6A4ABCF3" w14:textId="77777777" w:rsidR="00FE482F" w:rsidRPr="00BF6D8B" w:rsidRDefault="00FE482F" w:rsidP="001B4B1E">
            <w:pPr>
              <w:rPr>
                <w:sz w:val="18"/>
                <w:szCs w:val="20"/>
              </w:rPr>
            </w:pPr>
            <w:r w:rsidRPr="00BF6D8B">
              <w:rPr>
                <w:sz w:val="18"/>
                <w:szCs w:val="20"/>
              </w:rPr>
              <w:t>-0.42</w:t>
            </w:r>
          </w:p>
        </w:tc>
        <w:tc>
          <w:tcPr>
            <w:tcW w:w="1875" w:type="dxa"/>
          </w:tcPr>
          <w:p w14:paraId="503FB2BC" w14:textId="77777777" w:rsidR="00FE482F" w:rsidRPr="00BF6D8B" w:rsidRDefault="00FE482F" w:rsidP="001B4B1E">
            <w:pPr>
              <w:rPr>
                <w:sz w:val="18"/>
                <w:szCs w:val="20"/>
              </w:rPr>
            </w:pPr>
            <w:r w:rsidRPr="00BF6D8B">
              <w:rPr>
                <w:sz w:val="18"/>
                <w:szCs w:val="20"/>
              </w:rPr>
              <w:t>-0.02</w:t>
            </w:r>
          </w:p>
        </w:tc>
        <w:tc>
          <w:tcPr>
            <w:tcW w:w="1875" w:type="dxa"/>
          </w:tcPr>
          <w:p w14:paraId="36B8A4D3" w14:textId="77777777" w:rsidR="00FE482F" w:rsidRPr="00BF6D8B" w:rsidRDefault="00FE482F" w:rsidP="001B4B1E">
            <w:pPr>
              <w:rPr>
                <w:sz w:val="18"/>
                <w:szCs w:val="20"/>
              </w:rPr>
            </w:pPr>
            <w:r w:rsidRPr="00BF6D8B">
              <w:rPr>
                <w:sz w:val="18"/>
                <w:szCs w:val="20"/>
              </w:rPr>
              <w:t>-0.13</w:t>
            </w:r>
          </w:p>
        </w:tc>
      </w:tr>
    </w:tbl>
    <w:p w14:paraId="347539DD" w14:textId="77777777" w:rsidR="00FE482F" w:rsidRDefault="00FE482F" w:rsidP="001B4B1E"/>
    <w:p w14:paraId="1039B5AB" w14:textId="77777777" w:rsidR="00FE482F" w:rsidRDefault="00FE482F" w:rsidP="001B4B1E">
      <w:r>
        <w:t>Following retesting of various model iterations for the EASE-F subscales, several items were identified as potentially problematic in the 'final' Rasch model:</w:t>
      </w:r>
    </w:p>
    <w:p w14:paraId="10FB278F" w14:textId="77777777" w:rsidR="00FE482F" w:rsidRDefault="00FE482F" w:rsidP="001B4B1E">
      <w:r>
        <w:t>Within the SE scale, Item 29 ("I believe that problems in life are also an opportunity to develop new skills") was flagged as misfitting, with a ZSTD outfit value of 3.10 (recommended range: ±2). This value indicates that the data obtained from this item is unpredictable based on the model, and this issue persisted even after the removal of misfitting persons from the preceding model.</w:t>
      </w:r>
    </w:p>
    <w:p w14:paraId="0E29428A" w14:textId="77777777" w:rsidR="00FE482F" w:rsidRDefault="00FE482F" w:rsidP="001B4B1E">
      <w:r>
        <w:t>In the SA scale, four out of seven items were highlighted as misfitting: Item 24 ("I am confident when I deal with people I do not know"), Item 4 ("I talk openly about how I feel with people who are important to me"), Item 5.1 ("I am able to stand up firmly to others about my needs and wishes"), and Item 9 ("I am able to express how I feel if it is important to me"). Although the Infit and Outfit MNSQ values for these items were within acceptable ranges, signifying productivity of measurement, the standardised values (ZSTDs = -4.55 to 3.37) indicated items that were either too predictable for the model (ZSTD &lt;-2) or highly unexpected (ZSTD &gt;3).</w:t>
      </w:r>
    </w:p>
    <w:p w14:paraId="5FEA5457" w14:textId="77777777" w:rsidR="00FE482F" w:rsidRDefault="00FE482F" w:rsidP="001B4B1E">
      <w:r>
        <w:lastRenderedPageBreak/>
        <w:t>After refining categories and removing items, no misfitting items were found in the IIB and SS scales.</w:t>
      </w:r>
    </w:p>
    <w:p w14:paraId="3BB26DE4" w14:textId="77777777" w:rsidR="00FE482F" w:rsidRDefault="00FE482F" w:rsidP="001B4B1E">
      <w:r>
        <w:t xml:space="preserve">Regarding misfitting persons, eliminating only underfitting persons (MNSQ &gt;1.6) helped improve the global model fit and enhance the </w:t>
      </w:r>
      <w:proofErr w:type="spellStart"/>
      <w:r>
        <w:t>uni</w:t>
      </w:r>
      <w:proofErr w:type="spellEnd"/>
      <w:r>
        <w:t>-dimensionality of the SE, SA and IIB scales, as well as the person separation indices. Upon removal of underfitting persons, the number of overfitting persons (MNSQ &gt;0.4), i.e., those fitting the model 'perfectly', significantly decreased in the SE, SA and IIB scales and were thus not further tested.</w:t>
      </w:r>
    </w:p>
    <w:p w14:paraId="472E86F7" w14:textId="77777777" w:rsidR="00FE482F" w:rsidRDefault="00FE482F" w:rsidP="001B4B1E">
      <w:r>
        <w:t>A model of the SS scale prior to omitting misfitting persons achieved satisfactory model fit and metrics across all Rasch parameters. The removal of underfitting misfitting persons and, separately, overfitting persons did not significantly affect the model fit, so these iteration results were not reported here. Table 11 presents the item fit statistics for each of the EASE-F subscales in the final Rasch model.</w:t>
      </w:r>
    </w:p>
    <w:p w14:paraId="5EFC81FA" w14:textId="77777777" w:rsidR="00FE482F" w:rsidRDefault="00FE482F" w:rsidP="001B4B1E"/>
    <w:p w14:paraId="18134244" w14:textId="77777777" w:rsidR="00FE482F" w:rsidRPr="00B87E35" w:rsidRDefault="00FE482F" w:rsidP="001B4B1E">
      <w:r w:rsidRPr="00B87E35">
        <w:t xml:space="preserve">Table </w:t>
      </w:r>
      <w:r>
        <w:t>11</w:t>
      </w:r>
      <w:r w:rsidRPr="00B87E35">
        <w:t>.</w:t>
      </w:r>
      <w:r>
        <w:t xml:space="preserve"> </w:t>
      </w:r>
      <w:r w:rsidRPr="00B87E35">
        <w:t>Fit statistics of misfitting items in each EASE-F subscale of the final tested Rasch model</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993"/>
        <w:gridCol w:w="1134"/>
        <w:gridCol w:w="1134"/>
        <w:gridCol w:w="1134"/>
        <w:gridCol w:w="2976"/>
      </w:tblGrid>
      <w:tr w:rsidR="00FE482F" w:rsidRPr="00BF6D8B" w14:paraId="45F3B511" w14:textId="77777777" w:rsidTr="000F59F5">
        <w:tc>
          <w:tcPr>
            <w:tcW w:w="1696" w:type="dxa"/>
          </w:tcPr>
          <w:p w14:paraId="35E1FA81" w14:textId="77777777" w:rsidR="00FE482F" w:rsidRPr="00BF6D8B" w:rsidRDefault="00FE482F" w:rsidP="001B4B1E">
            <w:pPr>
              <w:rPr>
                <w:b/>
                <w:bCs/>
                <w:sz w:val="18"/>
                <w:szCs w:val="20"/>
                <w:u w:val="single"/>
              </w:rPr>
            </w:pPr>
            <w:r w:rsidRPr="00BF6D8B">
              <w:rPr>
                <w:b/>
                <w:bCs/>
                <w:sz w:val="18"/>
                <w:szCs w:val="20"/>
              </w:rPr>
              <w:t>Model</w:t>
            </w:r>
          </w:p>
        </w:tc>
        <w:tc>
          <w:tcPr>
            <w:tcW w:w="993" w:type="dxa"/>
          </w:tcPr>
          <w:p w14:paraId="3953EB80" w14:textId="77777777" w:rsidR="00FE482F" w:rsidRPr="00BF6D8B" w:rsidRDefault="00FE482F" w:rsidP="001B4B1E">
            <w:pPr>
              <w:rPr>
                <w:b/>
                <w:bCs/>
                <w:sz w:val="18"/>
                <w:szCs w:val="20"/>
              </w:rPr>
            </w:pPr>
            <w:r w:rsidRPr="00BF6D8B">
              <w:rPr>
                <w:b/>
                <w:bCs/>
                <w:sz w:val="18"/>
                <w:szCs w:val="20"/>
              </w:rPr>
              <w:t>Statistic</w:t>
            </w:r>
          </w:p>
        </w:tc>
        <w:tc>
          <w:tcPr>
            <w:tcW w:w="1134" w:type="dxa"/>
          </w:tcPr>
          <w:p w14:paraId="637E4FA9" w14:textId="77777777" w:rsidR="00FE482F" w:rsidRPr="00BF6D8B" w:rsidRDefault="00FE482F" w:rsidP="001B4B1E">
            <w:pPr>
              <w:rPr>
                <w:b/>
                <w:bCs/>
                <w:sz w:val="18"/>
                <w:szCs w:val="20"/>
              </w:rPr>
            </w:pPr>
            <w:r w:rsidRPr="00BF6D8B">
              <w:rPr>
                <w:b/>
                <w:bCs/>
                <w:sz w:val="18"/>
                <w:szCs w:val="20"/>
              </w:rPr>
              <w:t>Flagged items</w:t>
            </w:r>
          </w:p>
        </w:tc>
        <w:tc>
          <w:tcPr>
            <w:tcW w:w="1134" w:type="dxa"/>
          </w:tcPr>
          <w:p w14:paraId="7FC2EF24" w14:textId="77777777" w:rsidR="00FE482F" w:rsidRPr="00BF6D8B" w:rsidRDefault="00FE482F" w:rsidP="001B4B1E">
            <w:pPr>
              <w:rPr>
                <w:b/>
                <w:bCs/>
                <w:sz w:val="18"/>
                <w:szCs w:val="20"/>
              </w:rPr>
            </w:pPr>
            <w:r w:rsidRPr="00BF6D8B">
              <w:rPr>
                <w:b/>
                <w:bCs/>
                <w:sz w:val="18"/>
                <w:szCs w:val="20"/>
              </w:rPr>
              <w:t>Infit ZSTD</w:t>
            </w:r>
          </w:p>
        </w:tc>
        <w:tc>
          <w:tcPr>
            <w:tcW w:w="1134" w:type="dxa"/>
          </w:tcPr>
          <w:p w14:paraId="745D35BB" w14:textId="77777777" w:rsidR="00FE482F" w:rsidRPr="00BF6D8B" w:rsidRDefault="00FE482F" w:rsidP="001B4B1E">
            <w:pPr>
              <w:rPr>
                <w:b/>
                <w:bCs/>
                <w:sz w:val="18"/>
                <w:szCs w:val="20"/>
              </w:rPr>
            </w:pPr>
            <w:r w:rsidRPr="00BF6D8B">
              <w:rPr>
                <w:b/>
                <w:bCs/>
                <w:sz w:val="18"/>
                <w:szCs w:val="20"/>
              </w:rPr>
              <w:t>Outfit ZSTD</w:t>
            </w:r>
          </w:p>
        </w:tc>
        <w:tc>
          <w:tcPr>
            <w:tcW w:w="2976" w:type="dxa"/>
          </w:tcPr>
          <w:p w14:paraId="36E3384D" w14:textId="77777777" w:rsidR="00FE482F" w:rsidRPr="00BF6D8B" w:rsidRDefault="00FE482F" w:rsidP="001B4B1E">
            <w:pPr>
              <w:rPr>
                <w:b/>
                <w:bCs/>
                <w:sz w:val="18"/>
                <w:szCs w:val="20"/>
              </w:rPr>
            </w:pPr>
            <w:r w:rsidRPr="00BF6D8B">
              <w:rPr>
                <w:b/>
                <w:bCs/>
                <w:sz w:val="18"/>
                <w:szCs w:val="20"/>
              </w:rPr>
              <w:t>Comment/Decision</w:t>
            </w:r>
          </w:p>
        </w:tc>
      </w:tr>
      <w:tr w:rsidR="00FE482F" w:rsidRPr="00BF6D8B" w14:paraId="25D372B0" w14:textId="77777777" w:rsidTr="000F59F5">
        <w:tc>
          <w:tcPr>
            <w:tcW w:w="1696" w:type="dxa"/>
          </w:tcPr>
          <w:p w14:paraId="317637E0" w14:textId="77777777" w:rsidR="00FE482F" w:rsidRPr="00BF6D8B" w:rsidRDefault="00FE482F" w:rsidP="001B4B1E">
            <w:pPr>
              <w:rPr>
                <w:b/>
                <w:bCs/>
                <w:sz w:val="18"/>
                <w:szCs w:val="20"/>
                <w:u w:val="single"/>
              </w:rPr>
            </w:pPr>
            <w:r w:rsidRPr="00BF6D8B">
              <w:rPr>
                <w:b/>
                <w:bCs/>
                <w:sz w:val="18"/>
                <w:szCs w:val="20"/>
              </w:rPr>
              <w:t>Self-efficacy</w:t>
            </w:r>
          </w:p>
        </w:tc>
        <w:tc>
          <w:tcPr>
            <w:tcW w:w="993" w:type="dxa"/>
          </w:tcPr>
          <w:p w14:paraId="1F4A5907" w14:textId="77777777" w:rsidR="00FE482F" w:rsidRPr="00BF6D8B" w:rsidRDefault="00FE482F" w:rsidP="001B4B1E">
            <w:pPr>
              <w:rPr>
                <w:sz w:val="18"/>
                <w:szCs w:val="20"/>
                <w:u w:val="single"/>
              </w:rPr>
            </w:pPr>
            <w:r w:rsidRPr="00BF6D8B">
              <w:rPr>
                <w:sz w:val="18"/>
                <w:szCs w:val="20"/>
              </w:rPr>
              <w:t>Item fit</w:t>
            </w:r>
          </w:p>
        </w:tc>
        <w:tc>
          <w:tcPr>
            <w:tcW w:w="1134" w:type="dxa"/>
          </w:tcPr>
          <w:p w14:paraId="0246346B" w14:textId="77777777" w:rsidR="00FE482F" w:rsidRPr="00BF6D8B" w:rsidRDefault="00FE482F" w:rsidP="001B4B1E">
            <w:pPr>
              <w:rPr>
                <w:sz w:val="18"/>
                <w:szCs w:val="20"/>
              </w:rPr>
            </w:pPr>
            <w:r w:rsidRPr="00BF6D8B">
              <w:rPr>
                <w:sz w:val="18"/>
                <w:szCs w:val="20"/>
              </w:rPr>
              <w:t>29</w:t>
            </w:r>
          </w:p>
        </w:tc>
        <w:tc>
          <w:tcPr>
            <w:tcW w:w="1134" w:type="dxa"/>
          </w:tcPr>
          <w:p w14:paraId="5A559C4D" w14:textId="77777777" w:rsidR="00FE482F" w:rsidRPr="00BF6D8B" w:rsidRDefault="00FE482F" w:rsidP="001B4B1E">
            <w:pPr>
              <w:rPr>
                <w:sz w:val="18"/>
                <w:szCs w:val="20"/>
              </w:rPr>
            </w:pPr>
            <w:r w:rsidRPr="00BF6D8B">
              <w:rPr>
                <w:sz w:val="18"/>
                <w:szCs w:val="20"/>
              </w:rPr>
              <w:t>0.08</w:t>
            </w:r>
          </w:p>
        </w:tc>
        <w:tc>
          <w:tcPr>
            <w:tcW w:w="1134" w:type="dxa"/>
          </w:tcPr>
          <w:p w14:paraId="215A0EFE" w14:textId="77777777" w:rsidR="00FE482F" w:rsidRPr="00BF6D8B" w:rsidRDefault="00FE482F" w:rsidP="001B4B1E">
            <w:pPr>
              <w:rPr>
                <w:sz w:val="18"/>
                <w:szCs w:val="20"/>
              </w:rPr>
            </w:pPr>
            <w:r w:rsidRPr="00BF6D8B">
              <w:rPr>
                <w:sz w:val="18"/>
                <w:szCs w:val="20"/>
              </w:rPr>
              <w:t>3.10</w:t>
            </w:r>
          </w:p>
        </w:tc>
        <w:tc>
          <w:tcPr>
            <w:tcW w:w="2976" w:type="dxa"/>
          </w:tcPr>
          <w:p w14:paraId="16FDE8AA" w14:textId="77777777" w:rsidR="00FE482F" w:rsidRPr="00BF6D8B" w:rsidRDefault="00FE482F" w:rsidP="001B4B1E">
            <w:pPr>
              <w:rPr>
                <w:sz w:val="18"/>
                <w:szCs w:val="20"/>
              </w:rPr>
            </w:pPr>
            <w:r w:rsidRPr="00BF6D8B">
              <w:rPr>
                <w:sz w:val="18"/>
                <w:szCs w:val="20"/>
              </w:rPr>
              <w:t xml:space="preserve">High ZSTDs – Item too unpredictable for model </w:t>
            </w:r>
          </w:p>
        </w:tc>
      </w:tr>
      <w:tr w:rsidR="00FE482F" w:rsidRPr="00BF6D8B" w14:paraId="77615804" w14:textId="77777777" w:rsidTr="000F59F5">
        <w:tc>
          <w:tcPr>
            <w:tcW w:w="1696" w:type="dxa"/>
            <w:vMerge w:val="restart"/>
          </w:tcPr>
          <w:p w14:paraId="3BE394DE" w14:textId="77777777" w:rsidR="00FE482F" w:rsidRPr="00BF6D8B" w:rsidRDefault="00FE482F" w:rsidP="001B4B1E">
            <w:pPr>
              <w:rPr>
                <w:b/>
                <w:bCs/>
                <w:sz w:val="18"/>
                <w:szCs w:val="20"/>
              </w:rPr>
            </w:pPr>
            <w:r w:rsidRPr="00BF6D8B">
              <w:rPr>
                <w:b/>
                <w:bCs/>
                <w:sz w:val="18"/>
                <w:szCs w:val="20"/>
              </w:rPr>
              <w:t>Self-awareness</w:t>
            </w:r>
          </w:p>
        </w:tc>
        <w:tc>
          <w:tcPr>
            <w:tcW w:w="993" w:type="dxa"/>
          </w:tcPr>
          <w:p w14:paraId="24D2D4B4" w14:textId="77777777" w:rsidR="00FE482F" w:rsidRPr="00BF6D8B" w:rsidRDefault="00FE482F" w:rsidP="001B4B1E">
            <w:pPr>
              <w:rPr>
                <w:sz w:val="18"/>
                <w:szCs w:val="20"/>
              </w:rPr>
            </w:pPr>
            <w:r w:rsidRPr="00BF6D8B">
              <w:rPr>
                <w:sz w:val="18"/>
                <w:szCs w:val="20"/>
              </w:rPr>
              <w:t>Item fit</w:t>
            </w:r>
          </w:p>
        </w:tc>
        <w:tc>
          <w:tcPr>
            <w:tcW w:w="1134" w:type="dxa"/>
          </w:tcPr>
          <w:p w14:paraId="4736BEE1" w14:textId="77777777" w:rsidR="00FE482F" w:rsidRPr="00BF6D8B" w:rsidRDefault="00FE482F" w:rsidP="001B4B1E">
            <w:pPr>
              <w:rPr>
                <w:sz w:val="18"/>
                <w:szCs w:val="20"/>
              </w:rPr>
            </w:pPr>
            <w:r w:rsidRPr="00BF6D8B">
              <w:rPr>
                <w:sz w:val="18"/>
                <w:szCs w:val="20"/>
              </w:rPr>
              <w:t>24</w:t>
            </w:r>
          </w:p>
        </w:tc>
        <w:tc>
          <w:tcPr>
            <w:tcW w:w="1134" w:type="dxa"/>
          </w:tcPr>
          <w:p w14:paraId="1A458E24" w14:textId="77777777" w:rsidR="00FE482F" w:rsidRPr="00BF6D8B" w:rsidRDefault="00FE482F" w:rsidP="001B4B1E">
            <w:pPr>
              <w:rPr>
                <w:sz w:val="18"/>
                <w:szCs w:val="20"/>
              </w:rPr>
            </w:pPr>
            <w:r w:rsidRPr="00BF6D8B">
              <w:rPr>
                <w:sz w:val="18"/>
                <w:szCs w:val="20"/>
              </w:rPr>
              <w:t>2.88</w:t>
            </w:r>
          </w:p>
        </w:tc>
        <w:tc>
          <w:tcPr>
            <w:tcW w:w="1134" w:type="dxa"/>
          </w:tcPr>
          <w:p w14:paraId="796AAABB" w14:textId="77777777" w:rsidR="00FE482F" w:rsidRPr="00BF6D8B" w:rsidRDefault="00FE482F" w:rsidP="001B4B1E">
            <w:pPr>
              <w:rPr>
                <w:sz w:val="18"/>
                <w:szCs w:val="20"/>
              </w:rPr>
            </w:pPr>
            <w:r w:rsidRPr="00BF6D8B">
              <w:rPr>
                <w:sz w:val="18"/>
                <w:szCs w:val="20"/>
              </w:rPr>
              <w:t>2.80</w:t>
            </w:r>
          </w:p>
        </w:tc>
        <w:tc>
          <w:tcPr>
            <w:tcW w:w="2976" w:type="dxa"/>
          </w:tcPr>
          <w:p w14:paraId="0C24B5DB" w14:textId="77777777" w:rsidR="00FE482F" w:rsidRPr="00BF6D8B" w:rsidRDefault="00FE482F" w:rsidP="001B4B1E">
            <w:pPr>
              <w:rPr>
                <w:sz w:val="18"/>
                <w:szCs w:val="20"/>
              </w:rPr>
            </w:pPr>
            <w:r w:rsidRPr="00BF6D8B">
              <w:rPr>
                <w:sz w:val="18"/>
                <w:szCs w:val="20"/>
              </w:rPr>
              <w:t>High ZSTDs – Item too unpredictable for model</w:t>
            </w:r>
          </w:p>
        </w:tc>
      </w:tr>
      <w:tr w:rsidR="00FE482F" w:rsidRPr="00BF6D8B" w14:paraId="152A0DBF" w14:textId="77777777" w:rsidTr="000F59F5">
        <w:tc>
          <w:tcPr>
            <w:tcW w:w="1696" w:type="dxa"/>
            <w:vMerge/>
          </w:tcPr>
          <w:p w14:paraId="6C7A79E7" w14:textId="77777777" w:rsidR="00FE482F" w:rsidRPr="00BF6D8B" w:rsidRDefault="00FE482F" w:rsidP="001B4B1E">
            <w:pPr>
              <w:rPr>
                <w:b/>
                <w:bCs/>
                <w:sz w:val="18"/>
                <w:szCs w:val="20"/>
              </w:rPr>
            </w:pPr>
          </w:p>
        </w:tc>
        <w:tc>
          <w:tcPr>
            <w:tcW w:w="993" w:type="dxa"/>
          </w:tcPr>
          <w:p w14:paraId="31A374DA" w14:textId="77777777" w:rsidR="00FE482F" w:rsidRPr="00BF6D8B" w:rsidRDefault="00FE482F" w:rsidP="001B4B1E">
            <w:pPr>
              <w:rPr>
                <w:sz w:val="18"/>
                <w:szCs w:val="20"/>
              </w:rPr>
            </w:pPr>
            <w:r w:rsidRPr="00BF6D8B">
              <w:rPr>
                <w:sz w:val="18"/>
                <w:szCs w:val="20"/>
              </w:rPr>
              <w:t>Item fit</w:t>
            </w:r>
          </w:p>
        </w:tc>
        <w:tc>
          <w:tcPr>
            <w:tcW w:w="1134" w:type="dxa"/>
          </w:tcPr>
          <w:p w14:paraId="66C69241" w14:textId="77777777" w:rsidR="00FE482F" w:rsidRPr="00BF6D8B" w:rsidRDefault="00FE482F" w:rsidP="001B4B1E">
            <w:pPr>
              <w:rPr>
                <w:sz w:val="18"/>
                <w:szCs w:val="20"/>
              </w:rPr>
            </w:pPr>
            <w:r w:rsidRPr="00BF6D8B">
              <w:rPr>
                <w:sz w:val="18"/>
                <w:szCs w:val="20"/>
              </w:rPr>
              <w:t>4</w:t>
            </w:r>
          </w:p>
        </w:tc>
        <w:tc>
          <w:tcPr>
            <w:tcW w:w="1134" w:type="dxa"/>
          </w:tcPr>
          <w:p w14:paraId="6AE5B741" w14:textId="77777777" w:rsidR="00FE482F" w:rsidRPr="00BF6D8B" w:rsidRDefault="00FE482F" w:rsidP="001B4B1E">
            <w:pPr>
              <w:rPr>
                <w:sz w:val="18"/>
                <w:szCs w:val="20"/>
              </w:rPr>
            </w:pPr>
            <w:r w:rsidRPr="00BF6D8B">
              <w:rPr>
                <w:sz w:val="18"/>
                <w:szCs w:val="20"/>
              </w:rPr>
              <w:t>3.37</w:t>
            </w:r>
          </w:p>
        </w:tc>
        <w:tc>
          <w:tcPr>
            <w:tcW w:w="1134" w:type="dxa"/>
          </w:tcPr>
          <w:p w14:paraId="09B42B2F" w14:textId="77777777" w:rsidR="00FE482F" w:rsidRPr="00BF6D8B" w:rsidRDefault="00FE482F" w:rsidP="001B4B1E">
            <w:pPr>
              <w:rPr>
                <w:sz w:val="18"/>
                <w:szCs w:val="20"/>
              </w:rPr>
            </w:pPr>
            <w:r w:rsidRPr="00BF6D8B">
              <w:rPr>
                <w:sz w:val="18"/>
                <w:szCs w:val="20"/>
              </w:rPr>
              <w:t>2.33</w:t>
            </w:r>
          </w:p>
        </w:tc>
        <w:tc>
          <w:tcPr>
            <w:tcW w:w="2976" w:type="dxa"/>
          </w:tcPr>
          <w:p w14:paraId="5FE95335" w14:textId="77777777" w:rsidR="00FE482F" w:rsidRPr="00BF6D8B" w:rsidRDefault="00FE482F" w:rsidP="001B4B1E">
            <w:pPr>
              <w:rPr>
                <w:sz w:val="18"/>
                <w:szCs w:val="20"/>
              </w:rPr>
            </w:pPr>
            <w:r w:rsidRPr="00BF6D8B">
              <w:rPr>
                <w:sz w:val="18"/>
                <w:szCs w:val="20"/>
              </w:rPr>
              <w:t>High ZSTDs – Item too unpredictable for model</w:t>
            </w:r>
          </w:p>
        </w:tc>
      </w:tr>
      <w:tr w:rsidR="00FE482F" w:rsidRPr="00BF6D8B" w14:paraId="0F416C19" w14:textId="77777777" w:rsidTr="000F59F5">
        <w:tc>
          <w:tcPr>
            <w:tcW w:w="1696" w:type="dxa"/>
            <w:vMerge/>
          </w:tcPr>
          <w:p w14:paraId="095E04AC" w14:textId="77777777" w:rsidR="00FE482F" w:rsidRPr="00BF6D8B" w:rsidRDefault="00FE482F" w:rsidP="001B4B1E">
            <w:pPr>
              <w:rPr>
                <w:b/>
                <w:bCs/>
                <w:sz w:val="18"/>
                <w:szCs w:val="20"/>
              </w:rPr>
            </w:pPr>
          </w:p>
        </w:tc>
        <w:tc>
          <w:tcPr>
            <w:tcW w:w="993" w:type="dxa"/>
          </w:tcPr>
          <w:p w14:paraId="76E5FB5F" w14:textId="77777777" w:rsidR="00FE482F" w:rsidRPr="00BF6D8B" w:rsidRDefault="00FE482F" w:rsidP="001B4B1E">
            <w:pPr>
              <w:rPr>
                <w:sz w:val="18"/>
                <w:szCs w:val="20"/>
              </w:rPr>
            </w:pPr>
            <w:r w:rsidRPr="00BF6D8B">
              <w:rPr>
                <w:sz w:val="18"/>
                <w:szCs w:val="20"/>
              </w:rPr>
              <w:t>Item fit</w:t>
            </w:r>
          </w:p>
        </w:tc>
        <w:tc>
          <w:tcPr>
            <w:tcW w:w="1134" w:type="dxa"/>
          </w:tcPr>
          <w:p w14:paraId="6FE950E3" w14:textId="77777777" w:rsidR="00FE482F" w:rsidRPr="00BF6D8B" w:rsidRDefault="00FE482F" w:rsidP="001B4B1E">
            <w:pPr>
              <w:rPr>
                <w:sz w:val="18"/>
                <w:szCs w:val="20"/>
              </w:rPr>
            </w:pPr>
            <w:r w:rsidRPr="00BF6D8B">
              <w:rPr>
                <w:sz w:val="18"/>
                <w:szCs w:val="20"/>
              </w:rPr>
              <w:t>5.1</w:t>
            </w:r>
          </w:p>
        </w:tc>
        <w:tc>
          <w:tcPr>
            <w:tcW w:w="1134" w:type="dxa"/>
          </w:tcPr>
          <w:p w14:paraId="64D10B86" w14:textId="77777777" w:rsidR="00FE482F" w:rsidRPr="00BF6D8B" w:rsidRDefault="00FE482F" w:rsidP="001B4B1E">
            <w:pPr>
              <w:rPr>
                <w:sz w:val="18"/>
                <w:szCs w:val="20"/>
              </w:rPr>
            </w:pPr>
            <w:r w:rsidRPr="00BF6D8B">
              <w:rPr>
                <w:sz w:val="18"/>
                <w:szCs w:val="20"/>
              </w:rPr>
              <w:t>-3.85</w:t>
            </w:r>
          </w:p>
        </w:tc>
        <w:tc>
          <w:tcPr>
            <w:tcW w:w="1134" w:type="dxa"/>
          </w:tcPr>
          <w:p w14:paraId="42B405A5" w14:textId="77777777" w:rsidR="00FE482F" w:rsidRPr="00BF6D8B" w:rsidRDefault="00FE482F" w:rsidP="001B4B1E">
            <w:pPr>
              <w:rPr>
                <w:sz w:val="18"/>
                <w:szCs w:val="20"/>
              </w:rPr>
            </w:pPr>
            <w:r w:rsidRPr="00BF6D8B">
              <w:rPr>
                <w:sz w:val="18"/>
                <w:szCs w:val="20"/>
              </w:rPr>
              <w:t>-3.80</w:t>
            </w:r>
          </w:p>
        </w:tc>
        <w:tc>
          <w:tcPr>
            <w:tcW w:w="2976" w:type="dxa"/>
          </w:tcPr>
          <w:p w14:paraId="0F496F59" w14:textId="77777777" w:rsidR="00FE482F" w:rsidRPr="00BF6D8B" w:rsidRDefault="00FE482F" w:rsidP="001B4B1E">
            <w:pPr>
              <w:rPr>
                <w:sz w:val="18"/>
                <w:szCs w:val="20"/>
              </w:rPr>
            </w:pPr>
            <w:r w:rsidRPr="00BF6D8B">
              <w:rPr>
                <w:sz w:val="18"/>
                <w:szCs w:val="20"/>
              </w:rPr>
              <w:t>Low ZSTDs – Item very predictable of model</w:t>
            </w:r>
          </w:p>
        </w:tc>
      </w:tr>
      <w:tr w:rsidR="00FE482F" w:rsidRPr="00BF6D8B" w14:paraId="24EE77B4" w14:textId="77777777" w:rsidTr="000F59F5">
        <w:tc>
          <w:tcPr>
            <w:tcW w:w="1696" w:type="dxa"/>
            <w:vMerge/>
          </w:tcPr>
          <w:p w14:paraId="5BDCA87D" w14:textId="77777777" w:rsidR="00FE482F" w:rsidRPr="00BF6D8B" w:rsidRDefault="00FE482F" w:rsidP="001B4B1E">
            <w:pPr>
              <w:rPr>
                <w:b/>
                <w:bCs/>
                <w:sz w:val="18"/>
                <w:szCs w:val="20"/>
              </w:rPr>
            </w:pPr>
          </w:p>
        </w:tc>
        <w:tc>
          <w:tcPr>
            <w:tcW w:w="993" w:type="dxa"/>
          </w:tcPr>
          <w:p w14:paraId="3B38A019" w14:textId="77777777" w:rsidR="00FE482F" w:rsidRPr="00BF6D8B" w:rsidRDefault="00FE482F" w:rsidP="001B4B1E">
            <w:pPr>
              <w:rPr>
                <w:sz w:val="18"/>
                <w:szCs w:val="20"/>
              </w:rPr>
            </w:pPr>
            <w:r w:rsidRPr="00BF6D8B">
              <w:rPr>
                <w:sz w:val="18"/>
                <w:szCs w:val="20"/>
              </w:rPr>
              <w:t>Item fit</w:t>
            </w:r>
          </w:p>
        </w:tc>
        <w:tc>
          <w:tcPr>
            <w:tcW w:w="1134" w:type="dxa"/>
          </w:tcPr>
          <w:p w14:paraId="0662AD03" w14:textId="77777777" w:rsidR="00FE482F" w:rsidRPr="00BF6D8B" w:rsidRDefault="00FE482F" w:rsidP="001B4B1E">
            <w:pPr>
              <w:rPr>
                <w:sz w:val="18"/>
                <w:szCs w:val="20"/>
              </w:rPr>
            </w:pPr>
            <w:r w:rsidRPr="00BF6D8B">
              <w:rPr>
                <w:sz w:val="18"/>
                <w:szCs w:val="20"/>
              </w:rPr>
              <w:t>9</w:t>
            </w:r>
          </w:p>
        </w:tc>
        <w:tc>
          <w:tcPr>
            <w:tcW w:w="1134" w:type="dxa"/>
          </w:tcPr>
          <w:p w14:paraId="1293FBF9" w14:textId="77777777" w:rsidR="00FE482F" w:rsidRPr="00BF6D8B" w:rsidRDefault="00FE482F" w:rsidP="001B4B1E">
            <w:pPr>
              <w:rPr>
                <w:sz w:val="18"/>
                <w:szCs w:val="20"/>
              </w:rPr>
            </w:pPr>
            <w:r w:rsidRPr="00BF6D8B">
              <w:rPr>
                <w:sz w:val="18"/>
                <w:szCs w:val="20"/>
              </w:rPr>
              <w:t>-4.55</w:t>
            </w:r>
          </w:p>
        </w:tc>
        <w:tc>
          <w:tcPr>
            <w:tcW w:w="1134" w:type="dxa"/>
          </w:tcPr>
          <w:p w14:paraId="5236358E" w14:textId="77777777" w:rsidR="00FE482F" w:rsidRPr="00BF6D8B" w:rsidRDefault="00FE482F" w:rsidP="001B4B1E">
            <w:pPr>
              <w:rPr>
                <w:sz w:val="18"/>
                <w:szCs w:val="20"/>
              </w:rPr>
            </w:pPr>
            <w:r w:rsidRPr="00BF6D8B">
              <w:rPr>
                <w:sz w:val="18"/>
                <w:szCs w:val="20"/>
              </w:rPr>
              <w:t>-4.49</w:t>
            </w:r>
          </w:p>
        </w:tc>
        <w:tc>
          <w:tcPr>
            <w:tcW w:w="2976" w:type="dxa"/>
          </w:tcPr>
          <w:p w14:paraId="04B167F9" w14:textId="77777777" w:rsidR="00FE482F" w:rsidRPr="00BF6D8B" w:rsidRDefault="00FE482F" w:rsidP="001B4B1E">
            <w:pPr>
              <w:rPr>
                <w:sz w:val="18"/>
                <w:szCs w:val="20"/>
              </w:rPr>
            </w:pPr>
            <w:r w:rsidRPr="00BF6D8B">
              <w:rPr>
                <w:sz w:val="18"/>
                <w:szCs w:val="20"/>
              </w:rPr>
              <w:t>Low ZSTDs – Item very predictable of model</w:t>
            </w:r>
          </w:p>
        </w:tc>
      </w:tr>
      <w:tr w:rsidR="00FE482F" w:rsidRPr="00BF6D8B" w14:paraId="6C367267" w14:textId="77777777" w:rsidTr="000F59F5">
        <w:tc>
          <w:tcPr>
            <w:tcW w:w="1696" w:type="dxa"/>
          </w:tcPr>
          <w:p w14:paraId="6B72E95D" w14:textId="77777777" w:rsidR="00FE482F" w:rsidRPr="00BF6D8B" w:rsidRDefault="00FE482F" w:rsidP="001B4B1E">
            <w:pPr>
              <w:rPr>
                <w:b/>
                <w:bCs/>
                <w:sz w:val="18"/>
                <w:szCs w:val="20"/>
              </w:rPr>
            </w:pPr>
            <w:r w:rsidRPr="00BF6D8B">
              <w:rPr>
                <w:b/>
                <w:bCs/>
                <w:sz w:val="18"/>
                <w:szCs w:val="20"/>
              </w:rPr>
              <w:t>Social Support</w:t>
            </w:r>
          </w:p>
        </w:tc>
        <w:tc>
          <w:tcPr>
            <w:tcW w:w="993" w:type="dxa"/>
          </w:tcPr>
          <w:p w14:paraId="326F7EBC" w14:textId="77777777" w:rsidR="00FE482F" w:rsidRPr="00BF6D8B" w:rsidRDefault="00FE482F" w:rsidP="001B4B1E">
            <w:pPr>
              <w:rPr>
                <w:sz w:val="18"/>
                <w:szCs w:val="20"/>
              </w:rPr>
            </w:pPr>
            <w:r w:rsidRPr="00BF6D8B">
              <w:rPr>
                <w:sz w:val="18"/>
                <w:szCs w:val="20"/>
              </w:rPr>
              <w:t>Item fit</w:t>
            </w:r>
          </w:p>
        </w:tc>
        <w:tc>
          <w:tcPr>
            <w:tcW w:w="1134" w:type="dxa"/>
          </w:tcPr>
          <w:p w14:paraId="7A5DC623" w14:textId="77777777" w:rsidR="00FE482F" w:rsidRPr="00BF6D8B" w:rsidRDefault="00FE482F" w:rsidP="001B4B1E">
            <w:pPr>
              <w:rPr>
                <w:sz w:val="18"/>
                <w:szCs w:val="20"/>
              </w:rPr>
            </w:pPr>
            <w:r w:rsidRPr="00BF6D8B">
              <w:rPr>
                <w:sz w:val="18"/>
                <w:szCs w:val="20"/>
              </w:rPr>
              <w:t>none</w:t>
            </w:r>
          </w:p>
        </w:tc>
        <w:tc>
          <w:tcPr>
            <w:tcW w:w="1134" w:type="dxa"/>
          </w:tcPr>
          <w:p w14:paraId="7A8736BB" w14:textId="77777777" w:rsidR="00FE482F" w:rsidRPr="00BF6D8B" w:rsidRDefault="00FE482F" w:rsidP="001B4B1E">
            <w:pPr>
              <w:rPr>
                <w:sz w:val="18"/>
                <w:szCs w:val="20"/>
              </w:rPr>
            </w:pPr>
          </w:p>
        </w:tc>
        <w:tc>
          <w:tcPr>
            <w:tcW w:w="1134" w:type="dxa"/>
          </w:tcPr>
          <w:p w14:paraId="304B9441" w14:textId="77777777" w:rsidR="00FE482F" w:rsidRPr="00BF6D8B" w:rsidRDefault="00FE482F" w:rsidP="001B4B1E">
            <w:pPr>
              <w:rPr>
                <w:sz w:val="18"/>
                <w:szCs w:val="20"/>
              </w:rPr>
            </w:pPr>
          </w:p>
        </w:tc>
        <w:tc>
          <w:tcPr>
            <w:tcW w:w="2976" w:type="dxa"/>
          </w:tcPr>
          <w:p w14:paraId="5E833FE1" w14:textId="77777777" w:rsidR="00FE482F" w:rsidRPr="00BF6D8B" w:rsidRDefault="00FE482F" w:rsidP="001B4B1E">
            <w:pPr>
              <w:rPr>
                <w:sz w:val="18"/>
                <w:szCs w:val="20"/>
              </w:rPr>
            </w:pPr>
          </w:p>
        </w:tc>
      </w:tr>
      <w:tr w:rsidR="00FE482F" w:rsidRPr="00BF6D8B" w14:paraId="54A1ED0D" w14:textId="77777777" w:rsidTr="000F59F5">
        <w:tc>
          <w:tcPr>
            <w:tcW w:w="1696" w:type="dxa"/>
          </w:tcPr>
          <w:p w14:paraId="7FCFC72F" w14:textId="77777777" w:rsidR="00FE482F" w:rsidRPr="00BF6D8B" w:rsidRDefault="00FE482F" w:rsidP="001B4B1E">
            <w:pPr>
              <w:rPr>
                <w:b/>
                <w:bCs/>
                <w:sz w:val="18"/>
                <w:szCs w:val="20"/>
              </w:rPr>
            </w:pPr>
            <w:r w:rsidRPr="00BF6D8B">
              <w:rPr>
                <w:b/>
                <w:bCs/>
                <w:sz w:val="18"/>
                <w:szCs w:val="20"/>
              </w:rPr>
              <w:t>Illness burden</w:t>
            </w:r>
          </w:p>
        </w:tc>
        <w:tc>
          <w:tcPr>
            <w:tcW w:w="993" w:type="dxa"/>
          </w:tcPr>
          <w:p w14:paraId="61195A52" w14:textId="77777777" w:rsidR="00FE482F" w:rsidRPr="00BF6D8B" w:rsidRDefault="00FE482F" w:rsidP="001B4B1E">
            <w:pPr>
              <w:rPr>
                <w:sz w:val="18"/>
                <w:szCs w:val="20"/>
              </w:rPr>
            </w:pPr>
            <w:r w:rsidRPr="00BF6D8B">
              <w:rPr>
                <w:sz w:val="18"/>
                <w:szCs w:val="20"/>
              </w:rPr>
              <w:t>Item fit</w:t>
            </w:r>
          </w:p>
        </w:tc>
        <w:tc>
          <w:tcPr>
            <w:tcW w:w="1134" w:type="dxa"/>
          </w:tcPr>
          <w:p w14:paraId="24AAEC8F" w14:textId="77777777" w:rsidR="00FE482F" w:rsidRPr="00BF6D8B" w:rsidRDefault="00FE482F" w:rsidP="001B4B1E">
            <w:pPr>
              <w:rPr>
                <w:sz w:val="18"/>
                <w:szCs w:val="20"/>
              </w:rPr>
            </w:pPr>
            <w:r w:rsidRPr="00BF6D8B">
              <w:rPr>
                <w:sz w:val="18"/>
                <w:szCs w:val="20"/>
              </w:rPr>
              <w:t>none</w:t>
            </w:r>
          </w:p>
        </w:tc>
        <w:tc>
          <w:tcPr>
            <w:tcW w:w="1134" w:type="dxa"/>
          </w:tcPr>
          <w:p w14:paraId="4C41EB96" w14:textId="77777777" w:rsidR="00FE482F" w:rsidRPr="00BF6D8B" w:rsidRDefault="00FE482F" w:rsidP="001B4B1E">
            <w:pPr>
              <w:rPr>
                <w:sz w:val="18"/>
                <w:szCs w:val="20"/>
              </w:rPr>
            </w:pPr>
          </w:p>
        </w:tc>
        <w:tc>
          <w:tcPr>
            <w:tcW w:w="1134" w:type="dxa"/>
          </w:tcPr>
          <w:p w14:paraId="17F7B7D4" w14:textId="77777777" w:rsidR="00FE482F" w:rsidRPr="00BF6D8B" w:rsidRDefault="00FE482F" w:rsidP="001B4B1E">
            <w:pPr>
              <w:rPr>
                <w:sz w:val="18"/>
                <w:szCs w:val="20"/>
              </w:rPr>
            </w:pPr>
          </w:p>
        </w:tc>
        <w:tc>
          <w:tcPr>
            <w:tcW w:w="2976" w:type="dxa"/>
          </w:tcPr>
          <w:p w14:paraId="15540DCB" w14:textId="77777777" w:rsidR="00FE482F" w:rsidRPr="00BF6D8B" w:rsidRDefault="00FE482F" w:rsidP="001B4B1E">
            <w:pPr>
              <w:rPr>
                <w:sz w:val="18"/>
                <w:szCs w:val="20"/>
              </w:rPr>
            </w:pPr>
          </w:p>
        </w:tc>
      </w:tr>
    </w:tbl>
    <w:p w14:paraId="630FF06D" w14:textId="77777777" w:rsidR="00FE482F" w:rsidRDefault="00FE482F" w:rsidP="001B4B1E">
      <w:pPr>
        <w:rPr>
          <w:u w:val="single"/>
        </w:rPr>
      </w:pPr>
    </w:p>
    <w:p w14:paraId="7587643B" w14:textId="77777777" w:rsidR="00FE482F" w:rsidRPr="001B4B1E" w:rsidRDefault="00FE482F" w:rsidP="001B4B1E">
      <w:pPr>
        <w:rPr>
          <w:u w:val="single"/>
        </w:rPr>
      </w:pPr>
      <w:r w:rsidRPr="001B4B1E">
        <w:rPr>
          <w:u w:val="single"/>
        </w:rPr>
        <w:t>Person/ item reliability and person/ item separation</w:t>
      </w:r>
    </w:p>
    <w:p w14:paraId="661D1515" w14:textId="77777777" w:rsidR="00FE482F" w:rsidRDefault="00FE482F" w:rsidP="001B4B1E">
      <w:r>
        <w:t xml:space="preserve">The item and person reliability statistics of the final models of each EASE-F subscale can be found in Table n below. </w:t>
      </w:r>
    </w:p>
    <w:p w14:paraId="04BEA4F8" w14:textId="77777777" w:rsidR="00FE482F" w:rsidRDefault="00FE482F" w:rsidP="001B4B1E">
      <w:r w:rsidRPr="003855C9">
        <w:t xml:space="preserve">Table </w:t>
      </w:r>
      <w:r>
        <w:t>12</w:t>
      </w:r>
      <w:r w:rsidRPr="003855C9">
        <w:t>.</w:t>
      </w:r>
      <w:r>
        <w:t xml:space="preserve"> </w:t>
      </w:r>
      <w:r w:rsidRPr="003855C9">
        <w:t>Item</w:t>
      </w:r>
      <w:r>
        <w:t>/person reliability statistics</w:t>
      </w:r>
      <w:r w:rsidRPr="00224301">
        <w:t xml:space="preserve"> of the final Rasch model of the EASE-F subscales</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1671"/>
        <w:gridCol w:w="1770"/>
      </w:tblGrid>
      <w:tr w:rsidR="00FE482F" w:rsidRPr="00BF6D8B" w14:paraId="4B3812CE" w14:textId="77777777" w:rsidTr="00530FC6">
        <w:tc>
          <w:tcPr>
            <w:tcW w:w="2263" w:type="dxa"/>
          </w:tcPr>
          <w:p w14:paraId="20CB6582" w14:textId="77777777" w:rsidR="00FE482F" w:rsidRPr="00BF6D8B" w:rsidRDefault="00FE482F" w:rsidP="001B4B1E">
            <w:pPr>
              <w:rPr>
                <w:b/>
                <w:bCs/>
                <w:sz w:val="18"/>
                <w:szCs w:val="20"/>
              </w:rPr>
            </w:pPr>
          </w:p>
        </w:tc>
        <w:tc>
          <w:tcPr>
            <w:tcW w:w="3306" w:type="dxa"/>
            <w:gridSpan w:val="2"/>
          </w:tcPr>
          <w:p w14:paraId="3601F489" w14:textId="77777777" w:rsidR="00FE482F" w:rsidRPr="00BF6D8B" w:rsidRDefault="00FE482F" w:rsidP="001B4B1E">
            <w:pPr>
              <w:rPr>
                <w:b/>
                <w:bCs/>
                <w:sz w:val="18"/>
                <w:szCs w:val="20"/>
              </w:rPr>
            </w:pPr>
            <w:r w:rsidRPr="00BF6D8B">
              <w:rPr>
                <w:b/>
                <w:bCs/>
                <w:sz w:val="18"/>
                <w:szCs w:val="20"/>
              </w:rPr>
              <w:t>Person</w:t>
            </w:r>
          </w:p>
        </w:tc>
        <w:tc>
          <w:tcPr>
            <w:tcW w:w="3441" w:type="dxa"/>
            <w:gridSpan w:val="2"/>
          </w:tcPr>
          <w:p w14:paraId="040EEA1D" w14:textId="77777777" w:rsidR="00FE482F" w:rsidRPr="00BF6D8B" w:rsidRDefault="00FE482F" w:rsidP="001B4B1E">
            <w:pPr>
              <w:rPr>
                <w:b/>
                <w:bCs/>
                <w:sz w:val="18"/>
                <w:szCs w:val="20"/>
              </w:rPr>
            </w:pPr>
            <w:r w:rsidRPr="00BF6D8B">
              <w:rPr>
                <w:b/>
                <w:bCs/>
                <w:sz w:val="18"/>
                <w:szCs w:val="20"/>
              </w:rPr>
              <w:t>Item</w:t>
            </w:r>
          </w:p>
        </w:tc>
      </w:tr>
      <w:tr w:rsidR="00FE482F" w:rsidRPr="00BF6D8B" w14:paraId="006DE06E" w14:textId="77777777" w:rsidTr="00530FC6">
        <w:tc>
          <w:tcPr>
            <w:tcW w:w="2263" w:type="dxa"/>
          </w:tcPr>
          <w:p w14:paraId="4136527C" w14:textId="77777777" w:rsidR="00FE482F" w:rsidRPr="00BF6D8B" w:rsidRDefault="00FE482F" w:rsidP="001B4B1E">
            <w:pPr>
              <w:rPr>
                <w:b/>
                <w:bCs/>
                <w:sz w:val="18"/>
                <w:szCs w:val="20"/>
              </w:rPr>
            </w:pPr>
            <w:r w:rsidRPr="00BF6D8B">
              <w:rPr>
                <w:b/>
                <w:bCs/>
                <w:sz w:val="18"/>
                <w:szCs w:val="20"/>
              </w:rPr>
              <w:lastRenderedPageBreak/>
              <w:t>Subscale</w:t>
            </w:r>
          </w:p>
        </w:tc>
        <w:tc>
          <w:tcPr>
            <w:tcW w:w="1536" w:type="dxa"/>
          </w:tcPr>
          <w:p w14:paraId="5C073D3B" w14:textId="77777777" w:rsidR="00FE482F" w:rsidRPr="00BF6D8B" w:rsidRDefault="00FE482F" w:rsidP="001B4B1E">
            <w:pPr>
              <w:rPr>
                <w:b/>
                <w:bCs/>
                <w:sz w:val="18"/>
                <w:szCs w:val="20"/>
              </w:rPr>
            </w:pPr>
            <w:r w:rsidRPr="00BF6D8B">
              <w:rPr>
                <w:b/>
                <w:bCs/>
                <w:sz w:val="18"/>
                <w:szCs w:val="20"/>
              </w:rPr>
              <w:t>Reliability</w:t>
            </w:r>
          </w:p>
        </w:tc>
        <w:tc>
          <w:tcPr>
            <w:tcW w:w="1770" w:type="dxa"/>
          </w:tcPr>
          <w:p w14:paraId="1CC4E6A3" w14:textId="77777777" w:rsidR="00FE482F" w:rsidRPr="00BF6D8B" w:rsidRDefault="00FE482F" w:rsidP="001B4B1E">
            <w:pPr>
              <w:rPr>
                <w:b/>
                <w:bCs/>
                <w:sz w:val="18"/>
                <w:szCs w:val="20"/>
              </w:rPr>
            </w:pPr>
            <w:r w:rsidRPr="00BF6D8B">
              <w:rPr>
                <w:b/>
                <w:bCs/>
                <w:sz w:val="18"/>
                <w:szCs w:val="20"/>
              </w:rPr>
              <w:t>Separation index</w:t>
            </w:r>
          </w:p>
        </w:tc>
        <w:tc>
          <w:tcPr>
            <w:tcW w:w="1671" w:type="dxa"/>
          </w:tcPr>
          <w:p w14:paraId="48D0CBC3" w14:textId="77777777" w:rsidR="00FE482F" w:rsidRPr="00BF6D8B" w:rsidRDefault="00FE482F" w:rsidP="001B4B1E">
            <w:pPr>
              <w:rPr>
                <w:b/>
                <w:bCs/>
                <w:sz w:val="18"/>
                <w:szCs w:val="20"/>
              </w:rPr>
            </w:pPr>
            <w:r w:rsidRPr="00BF6D8B">
              <w:rPr>
                <w:b/>
                <w:bCs/>
                <w:sz w:val="18"/>
                <w:szCs w:val="20"/>
              </w:rPr>
              <w:t>Reliability</w:t>
            </w:r>
          </w:p>
        </w:tc>
        <w:tc>
          <w:tcPr>
            <w:tcW w:w="1770" w:type="dxa"/>
          </w:tcPr>
          <w:p w14:paraId="0D25DBCC" w14:textId="77777777" w:rsidR="00FE482F" w:rsidRPr="00BF6D8B" w:rsidRDefault="00FE482F" w:rsidP="001B4B1E">
            <w:pPr>
              <w:rPr>
                <w:b/>
                <w:bCs/>
                <w:sz w:val="18"/>
                <w:szCs w:val="20"/>
              </w:rPr>
            </w:pPr>
            <w:r w:rsidRPr="00BF6D8B">
              <w:rPr>
                <w:b/>
                <w:bCs/>
                <w:sz w:val="18"/>
                <w:szCs w:val="20"/>
              </w:rPr>
              <w:t>Separation index</w:t>
            </w:r>
          </w:p>
        </w:tc>
      </w:tr>
      <w:tr w:rsidR="00FE482F" w:rsidRPr="00BF6D8B" w14:paraId="6722257A" w14:textId="77777777" w:rsidTr="00530FC6">
        <w:tc>
          <w:tcPr>
            <w:tcW w:w="2263" w:type="dxa"/>
          </w:tcPr>
          <w:p w14:paraId="12477BBC" w14:textId="77777777" w:rsidR="00FE482F" w:rsidRPr="00BF6D8B" w:rsidRDefault="00FE482F" w:rsidP="001B4B1E">
            <w:pPr>
              <w:rPr>
                <w:b/>
                <w:bCs/>
                <w:sz w:val="18"/>
                <w:szCs w:val="20"/>
              </w:rPr>
            </w:pPr>
            <w:r w:rsidRPr="00BF6D8B">
              <w:rPr>
                <w:b/>
                <w:bCs/>
                <w:sz w:val="18"/>
                <w:szCs w:val="20"/>
              </w:rPr>
              <w:t>Self-efficacy</w:t>
            </w:r>
          </w:p>
        </w:tc>
        <w:tc>
          <w:tcPr>
            <w:tcW w:w="1536" w:type="dxa"/>
          </w:tcPr>
          <w:p w14:paraId="5B628F5F" w14:textId="77777777" w:rsidR="00FE482F" w:rsidRPr="00BF6D8B" w:rsidRDefault="00FE482F" w:rsidP="001B4B1E">
            <w:pPr>
              <w:rPr>
                <w:sz w:val="18"/>
                <w:szCs w:val="20"/>
              </w:rPr>
            </w:pPr>
            <w:r w:rsidRPr="00BF6D8B">
              <w:rPr>
                <w:sz w:val="18"/>
                <w:szCs w:val="20"/>
              </w:rPr>
              <w:t>0.82</w:t>
            </w:r>
          </w:p>
        </w:tc>
        <w:tc>
          <w:tcPr>
            <w:tcW w:w="1770" w:type="dxa"/>
          </w:tcPr>
          <w:p w14:paraId="6F231E11" w14:textId="77777777" w:rsidR="00FE482F" w:rsidRPr="00BF6D8B" w:rsidRDefault="00FE482F" w:rsidP="001B4B1E">
            <w:pPr>
              <w:rPr>
                <w:sz w:val="18"/>
                <w:szCs w:val="20"/>
              </w:rPr>
            </w:pPr>
            <w:r w:rsidRPr="00BF6D8B">
              <w:rPr>
                <w:sz w:val="18"/>
                <w:szCs w:val="20"/>
              </w:rPr>
              <w:t>2.14</w:t>
            </w:r>
          </w:p>
        </w:tc>
        <w:tc>
          <w:tcPr>
            <w:tcW w:w="1671" w:type="dxa"/>
          </w:tcPr>
          <w:p w14:paraId="31455F93" w14:textId="77777777" w:rsidR="00FE482F" w:rsidRPr="00BF6D8B" w:rsidRDefault="00FE482F" w:rsidP="001B4B1E">
            <w:pPr>
              <w:rPr>
                <w:sz w:val="18"/>
                <w:szCs w:val="20"/>
              </w:rPr>
            </w:pPr>
            <w:r w:rsidRPr="00BF6D8B">
              <w:rPr>
                <w:sz w:val="18"/>
                <w:szCs w:val="20"/>
              </w:rPr>
              <w:t>0.99</w:t>
            </w:r>
          </w:p>
        </w:tc>
        <w:tc>
          <w:tcPr>
            <w:tcW w:w="1770" w:type="dxa"/>
          </w:tcPr>
          <w:p w14:paraId="4D70455F" w14:textId="77777777" w:rsidR="00FE482F" w:rsidRPr="00BF6D8B" w:rsidRDefault="00FE482F" w:rsidP="001B4B1E">
            <w:pPr>
              <w:rPr>
                <w:sz w:val="18"/>
                <w:szCs w:val="20"/>
              </w:rPr>
            </w:pPr>
            <w:r w:rsidRPr="00BF6D8B">
              <w:rPr>
                <w:sz w:val="18"/>
                <w:szCs w:val="20"/>
              </w:rPr>
              <w:t>9.93</w:t>
            </w:r>
          </w:p>
        </w:tc>
      </w:tr>
      <w:tr w:rsidR="00FE482F" w:rsidRPr="00BF6D8B" w14:paraId="22DD3C40" w14:textId="77777777" w:rsidTr="00530FC6">
        <w:tc>
          <w:tcPr>
            <w:tcW w:w="2263" w:type="dxa"/>
          </w:tcPr>
          <w:p w14:paraId="24049C9A" w14:textId="77777777" w:rsidR="00FE482F" w:rsidRPr="00BF6D8B" w:rsidRDefault="00FE482F" w:rsidP="001B4B1E">
            <w:pPr>
              <w:rPr>
                <w:b/>
                <w:bCs/>
                <w:sz w:val="18"/>
                <w:szCs w:val="20"/>
              </w:rPr>
            </w:pPr>
            <w:r w:rsidRPr="00BF6D8B">
              <w:rPr>
                <w:b/>
                <w:bCs/>
                <w:sz w:val="18"/>
                <w:szCs w:val="20"/>
              </w:rPr>
              <w:t>Self-awareness</w:t>
            </w:r>
          </w:p>
        </w:tc>
        <w:tc>
          <w:tcPr>
            <w:tcW w:w="1536" w:type="dxa"/>
          </w:tcPr>
          <w:p w14:paraId="5FF88D45" w14:textId="77777777" w:rsidR="00FE482F" w:rsidRPr="00BF6D8B" w:rsidRDefault="00FE482F" w:rsidP="001B4B1E">
            <w:pPr>
              <w:rPr>
                <w:sz w:val="18"/>
                <w:szCs w:val="20"/>
              </w:rPr>
            </w:pPr>
            <w:r w:rsidRPr="00BF6D8B">
              <w:rPr>
                <w:sz w:val="18"/>
                <w:szCs w:val="20"/>
              </w:rPr>
              <w:t>0.78</w:t>
            </w:r>
          </w:p>
        </w:tc>
        <w:tc>
          <w:tcPr>
            <w:tcW w:w="1770" w:type="dxa"/>
          </w:tcPr>
          <w:p w14:paraId="5D507B4A" w14:textId="77777777" w:rsidR="00FE482F" w:rsidRPr="00BF6D8B" w:rsidRDefault="00FE482F" w:rsidP="001B4B1E">
            <w:pPr>
              <w:rPr>
                <w:sz w:val="18"/>
                <w:szCs w:val="20"/>
              </w:rPr>
            </w:pPr>
            <w:r w:rsidRPr="00BF6D8B">
              <w:rPr>
                <w:sz w:val="18"/>
                <w:szCs w:val="20"/>
              </w:rPr>
              <w:t>1.87</w:t>
            </w:r>
          </w:p>
        </w:tc>
        <w:tc>
          <w:tcPr>
            <w:tcW w:w="1671" w:type="dxa"/>
          </w:tcPr>
          <w:p w14:paraId="73969CF2" w14:textId="77777777" w:rsidR="00FE482F" w:rsidRPr="00BF6D8B" w:rsidRDefault="00FE482F" w:rsidP="001B4B1E">
            <w:pPr>
              <w:rPr>
                <w:sz w:val="18"/>
                <w:szCs w:val="20"/>
              </w:rPr>
            </w:pPr>
            <w:r w:rsidRPr="00BF6D8B">
              <w:rPr>
                <w:sz w:val="18"/>
                <w:szCs w:val="20"/>
              </w:rPr>
              <w:t>0.97</w:t>
            </w:r>
          </w:p>
        </w:tc>
        <w:tc>
          <w:tcPr>
            <w:tcW w:w="1770" w:type="dxa"/>
          </w:tcPr>
          <w:p w14:paraId="740FF2A9" w14:textId="77777777" w:rsidR="00FE482F" w:rsidRPr="00BF6D8B" w:rsidRDefault="00FE482F" w:rsidP="001B4B1E">
            <w:pPr>
              <w:rPr>
                <w:sz w:val="18"/>
                <w:szCs w:val="20"/>
              </w:rPr>
            </w:pPr>
            <w:r w:rsidRPr="00BF6D8B">
              <w:rPr>
                <w:sz w:val="18"/>
                <w:szCs w:val="20"/>
              </w:rPr>
              <w:t>5.82</w:t>
            </w:r>
          </w:p>
        </w:tc>
      </w:tr>
      <w:tr w:rsidR="00FE482F" w:rsidRPr="00BF6D8B" w14:paraId="62E827ED" w14:textId="77777777" w:rsidTr="00530FC6">
        <w:tc>
          <w:tcPr>
            <w:tcW w:w="2263" w:type="dxa"/>
          </w:tcPr>
          <w:p w14:paraId="1C5D2AA9" w14:textId="77777777" w:rsidR="00FE482F" w:rsidRPr="00BF6D8B" w:rsidRDefault="00FE482F" w:rsidP="001B4B1E">
            <w:pPr>
              <w:rPr>
                <w:b/>
                <w:bCs/>
                <w:sz w:val="18"/>
                <w:szCs w:val="20"/>
              </w:rPr>
            </w:pPr>
            <w:r w:rsidRPr="00BF6D8B">
              <w:rPr>
                <w:b/>
                <w:bCs/>
                <w:sz w:val="18"/>
                <w:szCs w:val="20"/>
              </w:rPr>
              <w:t>Social Support</w:t>
            </w:r>
          </w:p>
        </w:tc>
        <w:tc>
          <w:tcPr>
            <w:tcW w:w="1536" w:type="dxa"/>
          </w:tcPr>
          <w:p w14:paraId="3D3A4CD8" w14:textId="77777777" w:rsidR="00FE482F" w:rsidRPr="00BF6D8B" w:rsidRDefault="00FE482F" w:rsidP="001B4B1E">
            <w:pPr>
              <w:rPr>
                <w:sz w:val="18"/>
                <w:szCs w:val="20"/>
              </w:rPr>
            </w:pPr>
            <w:r w:rsidRPr="00BF6D8B">
              <w:rPr>
                <w:sz w:val="18"/>
                <w:szCs w:val="20"/>
              </w:rPr>
              <w:t>0.70</w:t>
            </w:r>
          </w:p>
        </w:tc>
        <w:tc>
          <w:tcPr>
            <w:tcW w:w="1770" w:type="dxa"/>
          </w:tcPr>
          <w:p w14:paraId="00A2BDD5" w14:textId="77777777" w:rsidR="00FE482F" w:rsidRPr="00BF6D8B" w:rsidRDefault="00FE482F" w:rsidP="001B4B1E">
            <w:pPr>
              <w:rPr>
                <w:sz w:val="18"/>
                <w:szCs w:val="20"/>
              </w:rPr>
            </w:pPr>
            <w:r w:rsidRPr="00BF6D8B">
              <w:rPr>
                <w:sz w:val="18"/>
                <w:szCs w:val="20"/>
              </w:rPr>
              <w:t>1.54</w:t>
            </w:r>
          </w:p>
        </w:tc>
        <w:tc>
          <w:tcPr>
            <w:tcW w:w="1671" w:type="dxa"/>
          </w:tcPr>
          <w:p w14:paraId="7E59532A" w14:textId="77777777" w:rsidR="00FE482F" w:rsidRPr="00BF6D8B" w:rsidRDefault="00FE482F" w:rsidP="001B4B1E">
            <w:pPr>
              <w:rPr>
                <w:sz w:val="18"/>
                <w:szCs w:val="20"/>
              </w:rPr>
            </w:pPr>
            <w:r w:rsidRPr="00BF6D8B">
              <w:rPr>
                <w:sz w:val="18"/>
                <w:szCs w:val="20"/>
              </w:rPr>
              <w:t>0.99</w:t>
            </w:r>
          </w:p>
        </w:tc>
        <w:tc>
          <w:tcPr>
            <w:tcW w:w="1770" w:type="dxa"/>
          </w:tcPr>
          <w:p w14:paraId="43D87AB4" w14:textId="77777777" w:rsidR="00FE482F" w:rsidRPr="00BF6D8B" w:rsidRDefault="00FE482F" w:rsidP="001B4B1E">
            <w:pPr>
              <w:rPr>
                <w:sz w:val="18"/>
                <w:szCs w:val="20"/>
              </w:rPr>
            </w:pPr>
            <w:r w:rsidRPr="00BF6D8B">
              <w:rPr>
                <w:sz w:val="18"/>
                <w:szCs w:val="20"/>
              </w:rPr>
              <w:t>8.34</w:t>
            </w:r>
          </w:p>
        </w:tc>
      </w:tr>
      <w:tr w:rsidR="00FE482F" w:rsidRPr="00BF6D8B" w14:paraId="209CF0C6" w14:textId="77777777" w:rsidTr="00530FC6">
        <w:tc>
          <w:tcPr>
            <w:tcW w:w="2263" w:type="dxa"/>
          </w:tcPr>
          <w:p w14:paraId="7F509572" w14:textId="77777777" w:rsidR="00FE482F" w:rsidRPr="00BF6D8B" w:rsidRDefault="00FE482F" w:rsidP="001B4B1E">
            <w:pPr>
              <w:rPr>
                <w:b/>
                <w:bCs/>
                <w:sz w:val="18"/>
                <w:szCs w:val="20"/>
              </w:rPr>
            </w:pPr>
            <w:r w:rsidRPr="00BF6D8B">
              <w:rPr>
                <w:b/>
                <w:bCs/>
                <w:sz w:val="18"/>
                <w:szCs w:val="20"/>
              </w:rPr>
              <w:t>Illness burden</w:t>
            </w:r>
          </w:p>
        </w:tc>
        <w:tc>
          <w:tcPr>
            <w:tcW w:w="1536" w:type="dxa"/>
          </w:tcPr>
          <w:p w14:paraId="51823B43" w14:textId="77777777" w:rsidR="00FE482F" w:rsidRPr="00BF6D8B" w:rsidRDefault="00FE482F" w:rsidP="001B4B1E">
            <w:pPr>
              <w:rPr>
                <w:sz w:val="18"/>
                <w:szCs w:val="20"/>
              </w:rPr>
            </w:pPr>
            <w:r w:rsidRPr="00BF6D8B">
              <w:rPr>
                <w:sz w:val="18"/>
                <w:szCs w:val="20"/>
              </w:rPr>
              <w:t>0.68</w:t>
            </w:r>
          </w:p>
        </w:tc>
        <w:tc>
          <w:tcPr>
            <w:tcW w:w="1770" w:type="dxa"/>
          </w:tcPr>
          <w:p w14:paraId="0C285521" w14:textId="77777777" w:rsidR="00FE482F" w:rsidRPr="00BF6D8B" w:rsidRDefault="00FE482F" w:rsidP="001B4B1E">
            <w:pPr>
              <w:rPr>
                <w:sz w:val="18"/>
                <w:szCs w:val="20"/>
              </w:rPr>
            </w:pPr>
            <w:r w:rsidRPr="00BF6D8B">
              <w:rPr>
                <w:sz w:val="18"/>
                <w:szCs w:val="20"/>
              </w:rPr>
              <w:t>1.46</w:t>
            </w:r>
          </w:p>
        </w:tc>
        <w:tc>
          <w:tcPr>
            <w:tcW w:w="1671" w:type="dxa"/>
          </w:tcPr>
          <w:p w14:paraId="02569A06" w14:textId="77777777" w:rsidR="00FE482F" w:rsidRPr="00BF6D8B" w:rsidRDefault="00FE482F" w:rsidP="001B4B1E">
            <w:pPr>
              <w:rPr>
                <w:sz w:val="18"/>
                <w:szCs w:val="20"/>
              </w:rPr>
            </w:pPr>
            <w:r w:rsidRPr="00BF6D8B">
              <w:rPr>
                <w:sz w:val="18"/>
                <w:szCs w:val="20"/>
              </w:rPr>
              <w:t>0.96</w:t>
            </w:r>
          </w:p>
        </w:tc>
        <w:tc>
          <w:tcPr>
            <w:tcW w:w="1770" w:type="dxa"/>
          </w:tcPr>
          <w:p w14:paraId="4F5F9326" w14:textId="77777777" w:rsidR="00FE482F" w:rsidRPr="00BF6D8B" w:rsidRDefault="00FE482F" w:rsidP="001B4B1E">
            <w:pPr>
              <w:rPr>
                <w:sz w:val="18"/>
                <w:szCs w:val="20"/>
              </w:rPr>
            </w:pPr>
            <w:r w:rsidRPr="00BF6D8B">
              <w:rPr>
                <w:sz w:val="18"/>
                <w:szCs w:val="20"/>
              </w:rPr>
              <w:t>4.78</w:t>
            </w:r>
          </w:p>
        </w:tc>
      </w:tr>
    </w:tbl>
    <w:p w14:paraId="3FCDAFDA" w14:textId="77777777" w:rsidR="00FE482F" w:rsidRDefault="00FE482F" w:rsidP="001B4B1E"/>
    <w:p w14:paraId="50E00274" w14:textId="77777777" w:rsidR="00FE482F" w:rsidRPr="001B4B1E" w:rsidRDefault="00FE482F" w:rsidP="001B4B1E">
      <w:pPr>
        <w:rPr>
          <w:u w:val="single"/>
        </w:rPr>
      </w:pPr>
      <w:r w:rsidRPr="001B4B1E">
        <w:rPr>
          <w:u w:val="single"/>
        </w:rPr>
        <w:t>Construct validity</w:t>
      </w:r>
    </w:p>
    <w:p w14:paraId="3CCB0830" w14:textId="77777777" w:rsidR="00FE482F" w:rsidRDefault="00FE482F" w:rsidP="001B4B1E">
      <w:r>
        <w:t xml:space="preserve">Wright maps were used to </w:t>
      </w:r>
      <w:r w:rsidRPr="00E36B1E">
        <w:t xml:space="preserve">evaluate the </w:t>
      </w:r>
      <w:r>
        <w:t xml:space="preserve">construct validity and targeting of items in </w:t>
      </w:r>
      <w:r w:rsidRPr="00E36B1E">
        <w:t>the</w:t>
      </w:r>
      <w:r>
        <w:t xml:space="preserve"> EASE-F subscales. </w:t>
      </w:r>
      <w:r w:rsidRPr="005001F5">
        <w:t xml:space="preserve">Figure </w:t>
      </w:r>
      <w:r>
        <w:t>5</w:t>
      </w:r>
      <w:r w:rsidRPr="005001F5">
        <w:t xml:space="preserve"> displays the Wright Maps for all subscales.</w:t>
      </w:r>
      <w:r>
        <w:t xml:space="preserve"> </w:t>
      </w:r>
      <w:r w:rsidRPr="005001F5">
        <w:t xml:space="preserve">In the maps presented, items situated below zero are considered easier, and individuals </w:t>
      </w:r>
      <w:r>
        <w:t xml:space="preserve">below zero and </w:t>
      </w:r>
      <w:r w:rsidRPr="005001F5">
        <w:t>closest to these items exhibit lower ability or endorsement of the measured construct.</w:t>
      </w:r>
      <w:r>
        <w:t xml:space="preserve"> </w:t>
      </w:r>
      <w:r w:rsidRPr="005001F5">
        <w:t xml:space="preserve">Conversely, items above zero are more </w:t>
      </w:r>
      <w:r>
        <w:t>difficult to endorse,</w:t>
      </w:r>
      <w:r w:rsidRPr="005001F5">
        <w:t xml:space="preserve"> and individuals </w:t>
      </w:r>
      <w:r>
        <w:t>close</w:t>
      </w:r>
      <w:r w:rsidRPr="005001F5">
        <w:t xml:space="preserve"> to these items possess greater ability.</w:t>
      </w:r>
    </w:p>
    <w:p w14:paraId="5405F06E" w14:textId="77777777" w:rsidR="00FE482F" w:rsidRDefault="00FE482F" w:rsidP="001B4B1E">
      <w:r>
        <w:t xml:space="preserve">In all scales, several item gaps, item groupings or overlaps and a limited spread of items on the map were observed. The self-efficacy scale, comprising the largest number of items (n=9), demonstrated </w:t>
      </w:r>
      <w:r w:rsidRPr="005001F5">
        <w:t xml:space="preserve">the most extensive spread, </w:t>
      </w:r>
      <w:r>
        <w:t xml:space="preserve">reflecting varying levels of item difficulty that can capture </w:t>
      </w:r>
      <w:r w:rsidRPr="005001F5">
        <w:t>varying levels of ability among patients in this sample.</w:t>
      </w:r>
      <w:r>
        <w:t xml:space="preserve"> However, </w:t>
      </w:r>
      <w:r w:rsidRPr="005001F5">
        <w:t xml:space="preserve">this spread was insufficient on either side, as </w:t>
      </w:r>
      <w:r>
        <w:t>it did not seem to</w:t>
      </w:r>
      <w:r w:rsidRPr="005001F5">
        <w:t xml:space="preserve"> capture the full range of patient abilities</w:t>
      </w:r>
      <w:r>
        <w:t xml:space="preserve">. The Wright map of a previously tested model (not shown) supported the removal of item 19 from the self-efficacy scale </w:t>
      </w:r>
      <w:r w:rsidRPr="005001F5">
        <w:t>due to its redundancy, as indicated by overlap with another item.</w:t>
      </w:r>
      <w:r>
        <w:t xml:space="preserve"> </w:t>
      </w:r>
    </w:p>
    <w:p w14:paraId="02E58162" w14:textId="77777777" w:rsidR="00FE482F" w:rsidRDefault="00FE482F" w:rsidP="001B4B1E">
      <w:r>
        <w:t xml:space="preserve">Person ability on the SE and SA scales ranged between +4 and -4 logits, </w:t>
      </w:r>
      <w:r w:rsidRPr="005001F5">
        <w:t>while item difficulties only captured levels between +2 and -2 logits.</w:t>
      </w:r>
      <w:r>
        <w:t xml:space="preserve"> </w:t>
      </w:r>
      <w:r w:rsidRPr="005001F5">
        <w:t xml:space="preserve">Similarly, on the </w:t>
      </w:r>
      <w:r>
        <w:t>IB</w:t>
      </w:r>
      <w:r w:rsidRPr="005001F5">
        <w:t xml:space="preserve"> and </w:t>
      </w:r>
      <w:r>
        <w:t>SS</w:t>
      </w:r>
      <w:r w:rsidRPr="005001F5">
        <w:t xml:space="preserve"> scales, person abilities ranged between +3 and -3 logits, but item difficulties were restricted to between +1 and -1 logits on the </w:t>
      </w:r>
      <w:r>
        <w:t>IIB</w:t>
      </w:r>
      <w:r w:rsidRPr="005001F5">
        <w:t xml:space="preserve"> scale and between +1 and -2 logits on the </w:t>
      </w:r>
      <w:r>
        <w:t>SS</w:t>
      </w:r>
      <w:r w:rsidRPr="005001F5">
        <w:t xml:space="preserve"> scale.</w:t>
      </w:r>
    </w:p>
    <w:p w14:paraId="39A142C7" w14:textId="77777777" w:rsidR="00FE482F" w:rsidRDefault="00FE482F" w:rsidP="001B4B1E">
      <w:r w:rsidRPr="005001F5">
        <w:t xml:space="preserve">A noticeable negative skew in the distribution of patients was evident on the </w:t>
      </w:r>
      <w:r>
        <w:t>IIB</w:t>
      </w:r>
      <w:r w:rsidRPr="005001F5">
        <w:t xml:space="preserve"> scale, with a higher number of patients positioned below zero.</w:t>
      </w:r>
      <w:r>
        <w:t xml:space="preserve"> </w:t>
      </w:r>
      <w:r w:rsidRPr="005001F5">
        <w:t xml:space="preserve">A similar but less pronounced skew was observed on the </w:t>
      </w:r>
      <w:r>
        <w:t>SA</w:t>
      </w:r>
      <w:r w:rsidRPr="005001F5">
        <w:t xml:space="preserve"> scale.</w:t>
      </w:r>
      <w:r>
        <w:t xml:space="preserve"> </w:t>
      </w:r>
      <w:r w:rsidRPr="005001F5">
        <w:t xml:space="preserve">Overlapping items included items 11 and 8 on the </w:t>
      </w:r>
      <w:r>
        <w:t>IIB</w:t>
      </w:r>
      <w:r w:rsidRPr="005001F5">
        <w:t xml:space="preserve"> scale and 16 and 4 on the </w:t>
      </w:r>
      <w:r>
        <w:t>SA</w:t>
      </w:r>
      <w:r w:rsidRPr="005001F5">
        <w:t xml:space="preserve"> scale.</w:t>
      </w:r>
      <w:r>
        <w:t xml:space="preserve"> </w:t>
      </w:r>
      <w:r w:rsidRPr="005001F5">
        <w:t xml:space="preserve">A substantial gap between item difficulty levels (1 logit) was noted in the </w:t>
      </w:r>
      <w:r>
        <w:t>SS</w:t>
      </w:r>
      <w:r w:rsidRPr="005001F5">
        <w:t xml:space="preserve"> scale, while smaller gaps of &gt;1 logit were observed in all other scales.</w:t>
      </w:r>
    </w:p>
    <w:p w14:paraId="7A8B8C48" w14:textId="77777777" w:rsidR="00FE482F" w:rsidRDefault="00FE482F" w:rsidP="001B4B1E"/>
    <w:p w14:paraId="56919BA5" w14:textId="77777777" w:rsidR="00FE482F" w:rsidRPr="001B4B1E" w:rsidRDefault="00FE482F" w:rsidP="001B4B1E">
      <w:pPr>
        <w:rPr>
          <w:u w:val="single"/>
        </w:rPr>
      </w:pPr>
      <w:r w:rsidRPr="001B4B1E">
        <w:rPr>
          <w:u w:val="single"/>
        </w:rPr>
        <w:t>Differential Item Functioning</w:t>
      </w:r>
    </w:p>
    <w:p w14:paraId="2B0CDB97" w14:textId="77777777" w:rsidR="00FE482F" w:rsidRDefault="00FE482F" w:rsidP="001B4B1E">
      <w:r w:rsidRPr="00E36B1E">
        <w:lastRenderedPageBreak/>
        <w:t>D</w:t>
      </w:r>
      <w:r>
        <w:t xml:space="preserve">ifferential item functioning (DIF) was assessed based on sex in each of the 4 EASE-F subscales, </w:t>
      </w:r>
      <w:r w:rsidRPr="00E36B1E">
        <w:t>and no evidence of DIF was found.</w:t>
      </w:r>
    </w:p>
    <w:p w14:paraId="2750F0BF" w14:textId="77777777" w:rsidR="00FE482F" w:rsidRPr="001D2561" w:rsidRDefault="00FE482F" w:rsidP="001B4B1E">
      <w:r w:rsidRPr="001D2561">
        <w:t xml:space="preserve">Figure </w:t>
      </w:r>
      <w:r>
        <w:t>5</w:t>
      </w:r>
      <w:r w:rsidRPr="001D2561">
        <w:t>.</w:t>
      </w:r>
      <w:r>
        <w:t xml:space="preserve"> </w:t>
      </w:r>
      <w:r w:rsidRPr="001D2561">
        <w:t>Wright maps of the final Rasch model of the EASE-F subscales</w:t>
      </w:r>
      <w:r>
        <w:rPr>
          <w:noProof/>
        </w:rPr>
        <mc:AlternateContent>
          <mc:Choice Requires="wpg">
            <w:drawing>
              <wp:anchor distT="0" distB="0" distL="114300" distR="114300" simplePos="0" relativeHeight="251668480" behindDoc="0" locked="0" layoutInCell="1" allowOverlap="1" wp14:anchorId="7405E540" wp14:editId="7E619BB0">
                <wp:simplePos x="0" y="0"/>
                <wp:positionH relativeFrom="column">
                  <wp:posOffset>-62230</wp:posOffset>
                </wp:positionH>
                <wp:positionV relativeFrom="paragraph">
                  <wp:posOffset>310087</wp:posOffset>
                </wp:positionV>
                <wp:extent cx="6231255" cy="6388100"/>
                <wp:effectExtent l="12700" t="12700" r="17145" b="12700"/>
                <wp:wrapSquare wrapText="bothSides"/>
                <wp:docPr id="416007585" name="Group 2"/>
                <wp:cNvGraphicFramePr/>
                <a:graphic xmlns:a="http://schemas.openxmlformats.org/drawingml/2006/main">
                  <a:graphicData uri="http://schemas.microsoft.com/office/word/2010/wordprocessingGroup">
                    <wpg:wgp>
                      <wpg:cNvGrpSpPr/>
                      <wpg:grpSpPr>
                        <a:xfrm>
                          <a:off x="0" y="0"/>
                          <a:ext cx="6231255" cy="6388100"/>
                          <a:chOff x="0" y="0"/>
                          <a:chExt cx="6231388" cy="6388100"/>
                        </a:xfrm>
                      </wpg:grpSpPr>
                      <pic:pic xmlns:pic="http://schemas.openxmlformats.org/drawingml/2006/picture">
                        <pic:nvPicPr>
                          <pic:cNvPr id="16" name="Picture 16" descr="Table&#10;&#10;Description automatically generated with medium confidence"/>
                          <pic:cNvPicPr>
                            <a:picLocks noChangeAspect="1"/>
                          </pic:cNvPicPr>
                        </pic:nvPicPr>
                        <pic:blipFill rotWithShape="1">
                          <a:blip r:embed="rId30">
                            <a:extLst>
                              <a:ext uri="{28A0092B-C50C-407E-A947-70E740481C1C}">
                                <a14:useLocalDpi xmlns:a14="http://schemas.microsoft.com/office/drawing/2010/main" val="0"/>
                              </a:ext>
                            </a:extLst>
                          </a:blip>
                          <a:srcRect l="5292" r="8659"/>
                          <a:stretch/>
                        </pic:blipFill>
                        <pic:spPr bwMode="auto">
                          <a:xfrm>
                            <a:off x="3274828" y="0"/>
                            <a:ext cx="2956560" cy="6388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5" name="Picture 15" descr="Table&#10;&#10;Description automatically generated"/>
                          <pic:cNvPicPr>
                            <a:picLocks noChangeAspect="1"/>
                          </pic:cNvPicPr>
                        </pic:nvPicPr>
                        <pic:blipFill rotWithShape="1">
                          <a:blip r:embed="rId31">
                            <a:extLst>
                              <a:ext uri="{28A0092B-C50C-407E-A947-70E740481C1C}">
                                <a14:useLocalDpi xmlns:a14="http://schemas.microsoft.com/office/drawing/2010/main" val="0"/>
                              </a:ext>
                            </a:extLst>
                          </a:blip>
                          <a:srcRect l="4537" r="9326"/>
                          <a:stretch/>
                        </pic:blipFill>
                        <pic:spPr bwMode="auto">
                          <a:xfrm>
                            <a:off x="0" y="0"/>
                            <a:ext cx="2895600" cy="63747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69038CCD" id="Group 2" o:spid="_x0000_s1026" style="position:absolute;margin-left:-4.9pt;margin-top:24.4pt;width:490.65pt;height:503pt;z-index:251668480" coordsize="62313,63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Table&#10;&#10;Description automatically generated with medium confidence" style="position:absolute;left:32748;width:29565;height:63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" stroked="t" strokecolor="windowText">
                  <v:stroke joinstyle="round"/>
                  <v:imagedata r:id="rId32" o:title="Table&#10;&#10;Description automatically generated with medium confidence" cropleft="3468f" cropright="5675f"/>
                  <v:path arrowok="t"/>
                </v:shape>
                <v:shape id="Picture 15" o:spid="_x0000_s1028" type="#_x0000_t75" alt="Table&#10;&#10;Description automatically generated" style="position:absolute;width:28956;height:637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" stroked="t" strokecolor="windowText">
                  <v:stroke joinstyle="round"/>
                  <v:imagedata r:id="rId33" o:title="Table&#10;&#10;Description automatically generated" cropleft="2973f" cropright="6112f"/>
                  <v:path arrowok="t"/>
                </v:shape>
                <w10:wrap type="square"/>
              </v:group>
            </w:pict>
          </mc:Fallback>
        </mc:AlternateContent>
      </w:r>
    </w:p>
    <w:p w14:paraId="67308E66" w14:textId="77777777" w:rsidR="00FE482F" w:rsidRPr="00B87E35" w:rsidRDefault="00FE482F" w:rsidP="001B4B1E"/>
    <w:p w14:paraId="4CD3D60A" w14:textId="77777777" w:rsidR="00FE482F" w:rsidRDefault="00FE482F" w:rsidP="001B4B1E">
      <w:r>
        <w:rPr>
          <w:noProof/>
        </w:rPr>
        <w:lastRenderedPageBreak/>
        <mc:AlternateContent>
          <mc:Choice Requires="wpg">
            <w:drawing>
              <wp:anchor distT="0" distB="0" distL="114300" distR="114300" simplePos="0" relativeHeight="251669504" behindDoc="0" locked="0" layoutInCell="1" allowOverlap="1" wp14:anchorId="16360C84" wp14:editId="019EB596">
                <wp:simplePos x="0" y="0"/>
                <wp:positionH relativeFrom="column">
                  <wp:posOffset>-264160</wp:posOffset>
                </wp:positionH>
                <wp:positionV relativeFrom="paragraph">
                  <wp:posOffset>12700</wp:posOffset>
                </wp:positionV>
                <wp:extent cx="6430645" cy="6454140"/>
                <wp:effectExtent l="12700" t="12700" r="8255" b="10160"/>
                <wp:wrapSquare wrapText="bothSides"/>
                <wp:docPr id="1021580418" name="Group 1"/>
                <wp:cNvGraphicFramePr/>
                <a:graphic xmlns:a="http://schemas.openxmlformats.org/drawingml/2006/main">
                  <a:graphicData uri="http://schemas.microsoft.com/office/word/2010/wordprocessingGroup">
                    <wpg:wgp>
                      <wpg:cNvGrpSpPr/>
                      <wpg:grpSpPr>
                        <a:xfrm>
                          <a:off x="0" y="0"/>
                          <a:ext cx="6430645" cy="6454140"/>
                          <a:chOff x="0" y="0"/>
                          <a:chExt cx="6430734" cy="6454140"/>
                        </a:xfrm>
                      </wpg:grpSpPr>
                      <pic:pic xmlns:pic="http://schemas.openxmlformats.org/drawingml/2006/picture">
                        <pic:nvPicPr>
                          <pic:cNvPr id="17" name="Picture 17" descr="A picture containing table&#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l="3718" r="8284"/>
                          <a:stretch/>
                        </pic:blipFill>
                        <pic:spPr bwMode="auto">
                          <a:xfrm>
                            <a:off x="0" y="0"/>
                            <a:ext cx="3073400" cy="64541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8" name="Picture 18" descr="A picture containing table&#10;&#10;Description automatically generated"/>
                          <pic:cNvPicPr>
                            <a:picLocks noChangeAspect="1"/>
                          </pic:cNvPicPr>
                        </pic:nvPicPr>
                        <pic:blipFill rotWithShape="1">
                          <a:blip r:embed="rId35">
                            <a:extLst>
                              <a:ext uri="{28A0092B-C50C-407E-A947-70E740481C1C}">
                                <a14:useLocalDpi xmlns:a14="http://schemas.microsoft.com/office/drawing/2010/main" val="0"/>
                              </a:ext>
                            </a:extLst>
                          </a:blip>
                          <a:srcRect l="3511" r="7950"/>
                          <a:stretch/>
                        </pic:blipFill>
                        <pic:spPr bwMode="auto">
                          <a:xfrm>
                            <a:off x="3402419" y="0"/>
                            <a:ext cx="3028315" cy="64541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39B7905B" id="Group 1" o:spid="_x0000_s1026" style="position:absolute;margin-left:-20.8pt;margin-top:1pt;width:506.35pt;height:508.2pt;z-index:251669504" coordsize="64307,645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">
                <v:shape id="Picture 17" o:spid="_x0000_s1027" type="#_x0000_t75" alt="A picture containing table&#10;&#10;Description automatically generated" style="position:absolute;width:30734;height:64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" stroked="t" strokecolor="windowText">
                  <v:stroke joinstyle="round"/>
                  <v:imagedata r:id="rId36" o:title="A picture containing table&#10;&#10;Description automatically generated" cropleft="2437f" cropright="5429f"/>
                  <v:path arrowok="t"/>
                </v:shape>
                <v:shape id="Picture 18" o:spid="_x0000_s1028" type="#_x0000_t75" alt="A picture containing table&#10;&#10;Description automatically generated" style="position:absolute;left:34024;width:30283;height:64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" stroked="t" strokecolor="windowText">
                  <v:stroke joinstyle="round"/>
                  <v:imagedata r:id="rId37" o:title="A picture containing table&#10;&#10;Description automatically generated" cropleft="2301f" cropright="5210f"/>
                  <v:path arrowok="t"/>
                </v:shape>
                <w10:wrap type="square"/>
              </v:group>
            </w:pict>
          </mc:Fallback>
        </mc:AlternateContent>
      </w:r>
    </w:p>
    <w:p w14:paraId="75C7288D" w14:textId="77777777" w:rsidR="00FE482F" w:rsidRPr="003C1379" w:rsidRDefault="00FE482F" w:rsidP="001B4B1E">
      <w:pPr>
        <w:rPr>
          <w:b/>
          <w:bCs/>
          <w:sz w:val="21"/>
          <w:szCs w:val="22"/>
        </w:rPr>
      </w:pPr>
      <w:r>
        <w:rPr>
          <w:sz w:val="21"/>
          <w:szCs w:val="22"/>
        </w:rPr>
        <w:t xml:space="preserve">Note: </w:t>
      </w:r>
      <w:r w:rsidRPr="003C1379">
        <w:rPr>
          <w:sz w:val="21"/>
          <w:szCs w:val="22"/>
        </w:rPr>
        <w:t xml:space="preserve">Figure 5. Each </w:t>
      </w:r>
      <w:r>
        <w:rPr>
          <w:sz w:val="21"/>
          <w:szCs w:val="22"/>
        </w:rPr>
        <w:t>"</w:t>
      </w:r>
      <w:r w:rsidRPr="003C1379">
        <w:rPr>
          <w:sz w:val="21"/>
          <w:szCs w:val="22"/>
        </w:rPr>
        <w:t>#</w:t>
      </w:r>
      <w:r>
        <w:rPr>
          <w:sz w:val="21"/>
          <w:szCs w:val="22"/>
        </w:rPr>
        <w:t>"</w:t>
      </w:r>
      <w:r w:rsidRPr="003C1379">
        <w:rPr>
          <w:sz w:val="21"/>
          <w:szCs w:val="22"/>
        </w:rPr>
        <w:t xml:space="preserve"> is </w:t>
      </w:r>
      <w:r>
        <w:rPr>
          <w:sz w:val="21"/>
          <w:szCs w:val="22"/>
        </w:rPr>
        <w:t>three</w:t>
      </w:r>
      <w:r w:rsidRPr="003C1379">
        <w:rPr>
          <w:sz w:val="21"/>
          <w:szCs w:val="22"/>
        </w:rPr>
        <w:t xml:space="preserve"> persons, </w:t>
      </w:r>
      <w:r>
        <w:rPr>
          <w:sz w:val="21"/>
          <w:szCs w:val="22"/>
        </w:rPr>
        <w:t xml:space="preserve">and </w:t>
      </w:r>
      <w:r w:rsidRPr="003C1379">
        <w:rPr>
          <w:sz w:val="21"/>
          <w:szCs w:val="22"/>
        </w:rPr>
        <w:t xml:space="preserve">each </w:t>
      </w:r>
      <w:r>
        <w:rPr>
          <w:sz w:val="21"/>
          <w:szCs w:val="22"/>
        </w:rPr>
        <w:t>"</w:t>
      </w:r>
      <w:r w:rsidRPr="003C1379">
        <w:rPr>
          <w:sz w:val="21"/>
          <w:szCs w:val="22"/>
        </w:rPr>
        <w:t>.</w:t>
      </w:r>
      <w:r>
        <w:rPr>
          <w:sz w:val="21"/>
          <w:szCs w:val="22"/>
        </w:rPr>
        <w:t>"</w:t>
      </w:r>
      <w:r w:rsidRPr="003C1379">
        <w:rPr>
          <w:sz w:val="21"/>
          <w:szCs w:val="22"/>
        </w:rPr>
        <w:t xml:space="preserve"> is 1 to 2 persons. S denotes 1 </w:t>
      </w:r>
      <w:r>
        <w:rPr>
          <w:sz w:val="21"/>
          <w:szCs w:val="22"/>
        </w:rPr>
        <w:t>SD</w:t>
      </w:r>
      <w:r w:rsidRPr="003C1379">
        <w:rPr>
          <w:sz w:val="21"/>
          <w:szCs w:val="22"/>
        </w:rPr>
        <w:t xml:space="preserve"> from the mean (M), </w:t>
      </w:r>
      <w:r>
        <w:rPr>
          <w:sz w:val="21"/>
          <w:szCs w:val="22"/>
        </w:rPr>
        <w:t xml:space="preserve">and </w:t>
      </w:r>
      <w:r w:rsidRPr="003C1379">
        <w:rPr>
          <w:sz w:val="21"/>
          <w:szCs w:val="22"/>
        </w:rPr>
        <w:t xml:space="preserve">T </w:t>
      </w:r>
      <w:r>
        <w:rPr>
          <w:sz w:val="21"/>
          <w:szCs w:val="22"/>
        </w:rPr>
        <w:t>denotes</w:t>
      </w:r>
      <w:r w:rsidRPr="003C1379">
        <w:rPr>
          <w:sz w:val="21"/>
          <w:szCs w:val="22"/>
        </w:rPr>
        <w:t xml:space="preserve"> 2 </w:t>
      </w:r>
      <w:r>
        <w:rPr>
          <w:sz w:val="21"/>
          <w:szCs w:val="22"/>
        </w:rPr>
        <w:t>SD</w:t>
      </w:r>
      <w:r w:rsidRPr="003C1379">
        <w:rPr>
          <w:sz w:val="21"/>
          <w:szCs w:val="22"/>
        </w:rPr>
        <w:t xml:space="preserve"> from the mean</w:t>
      </w:r>
      <w:r w:rsidRPr="003C1379">
        <w:rPr>
          <w:b/>
          <w:bCs/>
          <w:sz w:val="21"/>
          <w:szCs w:val="22"/>
        </w:rPr>
        <w:t xml:space="preserve">. </w:t>
      </w:r>
    </w:p>
    <w:p w14:paraId="746BB124" w14:textId="77777777" w:rsidR="00FE482F" w:rsidRPr="00B87E35" w:rsidRDefault="00FE482F" w:rsidP="001B4B1E">
      <w:pPr>
        <w:spacing w:line="240" w:lineRule="auto"/>
        <w:jc w:val="left"/>
        <w:rPr>
          <w:b/>
          <w:bCs/>
        </w:rPr>
      </w:pPr>
      <w:r>
        <w:rPr>
          <w:b/>
          <w:bCs/>
        </w:rPr>
        <w:br w:type="page"/>
      </w:r>
    </w:p>
    <w:p w14:paraId="62779F19" w14:textId="77777777" w:rsidR="00FE482F" w:rsidRPr="001D2561" w:rsidRDefault="00FE482F" w:rsidP="001B4B1E">
      <w:r w:rsidRPr="001D2561">
        <w:rPr>
          <w:noProof/>
        </w:rPr>
        <w:lastRenderedPageBreak/>
        <w:drawing>
          <wp:anchor distT="0" distB="0" distL="114300" distR="114300" simplePos="0" relativeHeight="251670528" behindDoc="1" locked="0" layoutInCell="1" allowOverlap="1" wp14:anchorId="16B06385" wp14:editId="40A8FEB4">
            <wp:simplePos x="0" y="0"/>
            <wp:positionH relativeFrom="column">
              <wp:posOffset>-829559</wp:posOffset>
            </wp:positionH>
            <wp:positionV relativeFrom="paragraph">
              <wp:posOffset>103634</wp:posOffset>
            </wp:positionV>
            <wp:extent cx="7412762" cy="3893270"/>
            <wp:effectExtent l="0" t="0" r="0" b="5715"/>
            <wp:wrapTight wrapText="bothSides">
              <wp:wrapPolygon edited="0">
                <wp:start x="148" y="1127"/>
                <wp:lineTo x="148" y="21561"/>
                <wp:lineTo x="21391" y="21561"/>
                <wp:lineTo x="21391" y="1127"/>
                <wp:lineTo x="148" y="112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412762" cy="3893270"/>
                    </a:xfrm>
                    <a:prstGeom prst="rect">
                      <a:avLst/>
                    </a:prstGeom>
                  </pic:spPr>
                </pic:pic>
              </a:graphicData>
            </a:graphic>
            <wp14:sizeRelH relativeFrom="page">
              <wp14:pctWidth>0</wp14:pctWidth>
            </wp14:sizeRelH>
            <wp14:sizeRelV relativeFrom="page">
              <wp14:pctHeight>0</wp14:pctHeight>
            </wp14:sizeRelV>
          </wp:anchor>
        </w:drawing>
      </w:r>
      <w:r w:rsidRPr="001D2561">
        <w:t xml:space="preserve">Table </w:t>
      </w:r>
      <w:r>
        <w:t>13</w:t>
      </w:r>
      <w:r w:rsidRPr="001D2561">
        <w:t>.</w:t>
      </w:r>
      <w:r>
        <w:t xml:space="preserve"> </w:t>
      </w:r>
      <w:r w:rsidRPr="001D2561">
        <w:t>Psychometric properties of the different EASE subscale scale models</w:t>
      </w:r>
    </w:p>
    <w:p w14:paraId="221F6703" w14:textId="77777777" w:rsidR="00FE482F" w:rsidRPr="00042C48" w:rsidRDefault="00FE482F" w:rsidP="001B4B1E">
      <w:pPr>
        <w:rPr>
          <w:b/>
          <w:bCs/>
          <w:sz w:val="18"/>
          <w:szCs w:val="18"/>
        </w:rPr>
      </w:pPr>
      <w:r w:rsidRPr="00FE3FDA">
        <w:t xml:space="preserve">Table </w:t>
      </w:r>
      <w:r>
        <w:t>13 below</w:t>
      </w:r>
      <w:r w:rsidRPr="00FE3FDA">
        <w:t xml:space="preserve"> present</w:t>
      </w:r>
      <w:r>
        <w:t>s</w:t>
      </w:r>
      <w:r w:rsidRPr="00FE3FDA">
        <w:t xml:space="preserve"> the number of participants responding with maximum and minimum scores (ceiling and floor effect) across the different solutions.</w:t>
      </w:r>
      <w:r>
        <w:t xml:space="preserve"> </w:t>
      </w:r>
      <w:r w:rsidRPr="00FE3FDA">
        <w:t xml:space="preserve">This presentation indicates that the final </w:t>
      </w:r>
      <w:r>
        <w:t>EASE-F</w:t>
      </w:r>
      <w:r w:rsidRPr="00FE3FDA">
        <w:t xml:space="preserve"> solution obtained from the present analysis, on average</w:t>
      </w:r>
      <w:r>
        <w:t>,</w:t>
      </w:r>
      <w:r w:rsidRPr="00FE3FDA">
        <w:t xml:space="preserve"> increases the proportion of participants demonstrating minimum scores on the</w:t>
      </w:r>
      <w:r>
        <w:t xml:space="preserve"> subscales of</w:t>
      </w:r>
      <w:r w:rsidRPr="00FE3FDA">
        <w:t xml:space="preserve"> EASE</w:t>
      </w:r>
      <w:r>
        <w:t>-F and has minimal effect on the maximum scores.</w:t>
      </w:r>
    </w:p>
    <w:p w14:paraId="29BFAB45" w14:textId="77777777" w:rsidR="00FE482F" w:rsidRPr="00A9322C" w:rsidRDefault="00FE482F" w:rsidP="001B4B1E"/>
    <w:p w14:paraId="391A2CFD" w14:textId="77777777" w:rsidR="00FE482F" w:rsidRDefault="00FE482F" w:rsidP="001B4B1E">
      <w:pPr>
        <w:rPr>
          <w:lang w:eastAsia="zh-CN"/>
        </w:rPr>
      </w:pPr>
      <w:r>
        <w:rPr>
          <w:lang w:eastAsia="zh-CN"/>
        </w:rPr>
        <w:br w:type="page"/>
      </w:r>
    </w:p>
    <w:p w14:paraId="3C3CC538" w14:textId="7DB26C3F" w:rsidR="00FE482F" w:rsidRPr="006B6B78" w:rsidRDefault="00FE482F" w:rsidP="001B4B1E">
      <w:pPr>
        <w:pStyle w:val="Heading3"/>
      </w:pPr>
      <w:bookmarkStart w:id="97" w:name="_Toc137504717"/>
      <w:r>
        <w:lastRenderedPageBreak/>
        <w:t>3.</w:t>
      </w:r>
      <w:r w:rsidRPr="006B6B78">
        <w:t>3.</w:t>
      </w:r>
      <w:r>
        <w:t>7</w:t>
      </w:r>
      <w:r w:rsidRPr="006B6B78">
        <w:t xml:space="preserve"> </w:t>
      </w:r>
      <w:r>
        <w:t>Convergent validity</w:t>
      </w:r>
      <w:bookmarkEnd w:id="97"/>
      <w:r w:rsidR="00400BA2">
        <w:t xml:space="preserve"> of the final Rasch Model</w:t>
      </w:r>
    </w:p>
    <w:p w14:paraId="752DD927" w14:textId="18746278" w:rsidR="00FE482F" w:rsidRPr="00D71D03" w:rsidRDefault="00FE482F" w:rsidP="001B4B1E">
      <w:pPr>
        <w:pStyle w:val="Heading4"/>
      </w:pPr>
      <w:r w:rsidRPr="00D71D03">
        <w:t>3.</w:t>
      </w:r>
      <w:r>
        <w:t>3.</w:t>
      </w:r>
      <w:r w:rsidR="00400BA2">
        <w:t>7</w:t>
      </w:r>
      <w:r w:rsidRPr="00D71D03">
        <w:t>.</w:t>
      </w:r>
      <w:r w:rsidR="00400BA2">
        <w:t>1</w:t>
      </w:r>
      <w:r w:rsidRPr="00D71D03">
        <w:t xml:space="preserve"> Convergent validity </w:t>
      </w:r>
    </w:p>
    <w:p w14:paraId="7AF09B62" w14:textId="77777777" w:rsidR="00FE482F" w:rsidRPr="007B73DF" w:rsidRDefault="00FE482F" w:rsidP="001B4B1E">
      <w:r w:rsidRPr="007B73DF">
        <w:t>Correlations with other questionnaire scores were estimated to address the following hypotheses:</w:t>
      </w:r>
    </w:p>
    <w:p w14:paraId="7B86064B" w14:textId="77777777" w:rsidR="00FE482F" w:rsidRPr="007B73DF" w:rsidRDefault="00FE482F" w:rsidP="00FE482F">
      <w:pPr>
        <w:pStyle w:val="ListParagraph"/>
        <w:numPr>
          <w:ilvl w:val="0"/>
          <w:numId w:val="63"/>
        </w:numPr>
        <w:spacing w:after="160"/>
      </w:pPr>
      <w:r w:rsidRPr="007B73DF">
        <w:t xml:space="preserve">The </w:t>
      </w:r>
      <w:r>
        <w:t>SE</w:t>
      </w:r>
      <w:r w:rsidRPr="007B73DF">
        <w:t xml:space="preserve">, </w:t>
      </w:r>
      <w:r>
        <w:t>SS</w:t>
      </w:r>
      <w:r w:rsidRPr="007B73DF">
        <w:t xml:space="preserve">, </w:t>
      </w:r>
      <w:r>
        <w:t>IIB</w:t>
      </w:r>
      <w:r w:rsidRPr="007B73DF">
        <w:t xml:space="preserve"> and </w:t>
      </w:r>
      <w:r>
        <w:t>SA</w:t>
      </w:r>
      <w:r w:rsidRPr="007B73DF">
        <w:t xml:space="preserve"> scale of </w:t>
      </w:r>
      <w:r>
        <w:t xml:space="preserve">the </w:t>
      </w:r>
      <w:r w:rsidRPr="007B73DF">
        <w:t>EASE-F scale will be negatively correlated with EQ-5D-3L, PHQ-15, PCL-5, GAD-7, PHQ-9, WSAS</w:t>
      </w:r>
      <w:r>
        <w:t>,</w:t>
      </w:r>
      <w:r w:rsidRPr="007B73DF">
        <w:t xml:space="preserve"> and UCS total scores (that is</w:t>
      </w:r>
      <w:r>
        <w:t>,</w:t>
      </w:r>
      <w:r w:rsidRPr="007B73DF">
        <w:t xml:space="preserve"> lower scores on the EASE-F constructs are associated with increased levels QOL, personal and social functioning, reported anxiety and depression, and severity of somatic and traumatic stress symptoms</w:t>
      </w:r>
      <w:r>
        <w:t xml:space="preserve"> </w:t>
      </w:r>
      <w:r w:rsidRPr="007B73DF">
        <w:t xml:space="preserve">and unmitigated communion).  </w:t>
      </w:r>
    </w:p>
    <w:p w14:paraId="5FAC69A6" w14:textId="77777777" w:rsidR="00FE482F" w:rsidRPr="007B73DF" w:rsidRDefault="00FE482F" w:rsidP="00FE482F">
      <w:pPr>
        <w:pStyle w:val="ListParagraph"/>
        <w:numPr>
          <w:ilvl w:val="0"/>
          <w:numId w:val="63"/>
        </w:numPr>
        <w:spacing w:after="160"/>
      </w:pPr>
      <w:r w:rsidRPr="007B73DF">
        <w:t xml:space="preserve">The </w:t>
      </w:r>
      <w:r>
        <w:t>SA</w:t>
      </w:r>
      <w:r w:rsidRPr="007B73DF">
        <w:t xml:space="preserve"> scale will show stronger negative correlations to UCS total score measure more than the other EASE-F subscales. </w:t>
      </w:r>
    </w:p>
    <w:p w14:paraId="745DEFA0" w14:textId="77777777" w:rsidR="00FE482F" w:rsidRPr="007B73DF" w:rsidRDefault="00FE482F" w:rsidP="001B4B1E">
      <w:r w:rsidRPr="007B73DF">
        <w:t>Specific items from the UCS and WSAS scales were of particular interest</w:t>
      </w:r>
      <w:r>
        <w:t>. We</w:t>
      </w:r>
      <w:r w:rsidRPr="007B73DF">
        <w:t xml:space="preserve"> </w:t>
      </w:r>
      <w:r>
        <w:t>hypothesised</w:t>
      </w:r>
      <w:r w:rsidRPr="007B73DF">
        <w:t xml:space="preserve"> differences in associations observed between EASE-F subscales and particular measures and measure items.</w:t>
      </w:r>
    </w:p>
    <w:p w14:paraId="52BEC3A9" w14:textId="77777777" w:rsidR="00FE482F" w:rsidRPr="007B73DF" w:rsidRDefault="00FE482F" w:rsidP="00FE482F">
      <w:pPr>
        <w:pStyle w:val="ListParagraph"/>
        <w:numPr>
          <w:ilvl w:val="0"/>
          <w:numId w:val="63"/>
        </w:numPr>
        <w:spacing w:after="160"/>
      </w:pPr>
      <w:r w:rsidRPr="007B73DF">
        <w:t xml:space="preserve">The </w:t>
      </w:r>
      <w:r>
        <w:t>SE</w:t>
      </w:r>
      <w:r w:rsidRPr="007B73DF">
        <w:t xml:space="preserve"> scale will show stronger negative correlations to the </w:t>
      </w:r>
      <w:r>
        <w:t xml:space="preserve">WSAS' </w:t>
      </w:r>
      <w:r w:rsidRPr="007B73DF">
        <w:t>ability to work</w:t>
      </w:r>
      <w:r>
        <w:t>'</w:t>
      </w:r>
      <w:r w:rsidRPr="007B73DF">
        <w:t xml:space="preserve"> and </w:t>
      </w:r>
      <w:r>
        <w:t>'</w:t>
      </w:r>
      <w:r w:rsidRPr="007B73DF">
        <w:t xml:space="preserve">home </w:t>
      </w:r>
      <w:r>
        <w:t>management'</w:t>
      </w:r>
      <w:r w:rsidRPr="007B73DF">
        <w:t xml:space="preserve"> items than the other subscales.</w:t>
      </w:r>
    </w:p>
    <w:p w14:paraId="7B651204" w14:textId="77777777" w:rsidR="00FE482F" w:rsidRPr="007B73DF" w:rsidRDefault="00FE482F" w:rsidP="00FE482F">
      <w:pPr>
        <w:pStyle w:val="ListParagraph"/>
        <w:numPr>
          <w:ilvl w:val="0"/>
          <w:numId w:val="63"/>
        </w:numPr>
        <w:spacing w:after="160"/>
      </w:pPr>
      <w:r w:rsidRPr="007B73DF">
        <w:t xml:space="preserve">The </w:t>
      </w:r>
      <w:r>
        <w:t>SS</w:t>
      </w:r>
      <w:r w:rsidRPr="007B73DF">
        <w:t xml:space="preserve"> scale will show stronger negative correlations to the </w:t>
      </w:r>
      <w:r>
        <w:t xml:space="preserve">WSAS' </w:t>
      </w:r>
      <w:r w:rsidRPr="007B73DF">
        <w:t>social leisure</w:t>
      </w:r>
      <w:r>
        <w:t>'</w:t>
      </w:r>
      <w:r w:rsidRPr="007B73DF">
        <w:t xml:space="preserve"> and </w:t>
      </w:r>
      <w:r>
        <w:t>'relationships'</w:t>
      </w:r>
      <w:r w:rsidRPr="007B73DF">
        <w:t xml:space="preserve"> items than the other subscales. </w:t>
      </w:r>
    </w:p>
    <w:p w14:paraId="6F712BAC" w14:textId="77777777" w:rsidR="00FE482F" w:rsidRPr="007B73DF" w:rsidRDefault="00FE482F" w:rsidP="001B4B1E">
      <w:r>
        <w:t>All</w:t>
      </w:r>
      <w:r w:rsidRPr="007B73DF">
        <w:t xml:space="preserve"> EASE subscale</w:t>
      </w:r>
      <w:r>
        <w:t>s</w:t>
      </w:r>
      <w:r w:rsidRPr="007B73DF">
        <w:t xml:space="preserve"> showed significant correlations with</w:t>
      </w:r>
      <w:r>
        <w:t xml:space="preserve"> the comparator</w:t>
      </w:r>
      <w:r w:rsidRPr="007B73DF">
        <w:t xml:space="preserve"> </w:t>
      </w:r>
      <w:r>
        <w:t>measures'</w:t>
      </w:r>
      <w:r w:rsidRPr="007B73DF">
        <w:t xml:space="preserve"> total scores.</w:t>
      </w:r>
      <w:r>
        <w:t xml:space="preserve"> </w:t>
      </w:r>
      <w:r w:rsidRPr="007B73DF">
        <w:t>These were all inverse weak to moderate correlations (positive correlations on the EQ-5D-3L)</w:t>
      </w:r>
      <w:r>
        <w:t xml:space="preserve">, </w:t>
      </w:r>
      <w:r w:rsidRPr="007B73DF">
        <w:t>which indicate</w:t>
      </w:r>
      <w:r>
        <w:t>d that</w:t>
      </w:r>
      <w:r w:rsidRPr="007B73DF">
        <w:t xml:space="preserve"> higher scores on the EASE are associated with lower QOL, depression, anxiety, somatic severity symptoms, work and social functioning and unmitigated communion.</w:t>
      </w:r>
      <w:r>
        <w:t xml:space="preserve"> </w:t>
      </w:r>
      <w:r w:rsidRPr="007B73DF">
        <w:t xml:space="preserve">The second hypothesis </w:t>
      </w:r>
      <w:r>
        <w:t>that</w:t>
      </w:r>
      <w:r w:rsidRPr="007B73DF">
        <w:t xml:space="preserve"> </w:t>
      </w:r>
      <w:r>
        <w:t xml:space="preserve">there would be </w:t>
      </w:r>
      <w:r w:rsidRPr="007B73DF">
        <w:t>st</w:t>
      </w:r>
      <w:r>
        <w:t>r</w:t>
      </w:r>
      <w:r w:rsidRPr="007B73DF">
        <w:t>onger correlation</w:t>
      </w:r>
      <w:r>
        <w:t>s</w:t>
      </w:r>
      <w:r w:rsidRPr="007B73DF">
        <w:t xml:space="preserve"> between the </w:t>
      </w:r>
      <w:r>
        <w:t>SA</w:t>
      </w:r>
      <w:r w:rsidRPr="007B73DF">
        <w:t xml:space="preserve"> scale and UCS total score </w:t>
      </w:r>
      <w:r>
        <w:t>was</w:t>
      </w:r>
      <w:r w:rsidRPr="007B73DF">
        <w:t xml:space="preserve"> not confirmed as a stronger correlation was found with the illness burden scale.</w:t>
      </w:r>
      <w:r>
        <w:t xml:space="preserve"> </w:t>
      </w:r>
      <w:r w:rsidRPr="007B73DF">
        <w:t xml:space="preserve">Regarding specific items of the UCS and WSAS scales, the </w:t>
      </w:r>
      <w:r>
        <w:t>SE</w:t>
      </w:r>
      <w:r w:rsidRPr="007B73DF">
        <w:t xml:space="preserve"> </w:t>
      </w:r>
      <w:r>
        <w:t xml:space="preserve">scale </w:t>
      </w:r>
      <w:r w:rsidRPr="007B73DF">
        <w:t xml:space="preserve">indeed showed strongest correlations with </w:t>
      </w:r>
      <w:r>
        <w:t>'</w:t>
      </w:r>
      <w:r w:rsidRPr="007B73DF">
        <w:t>ability to work</w:t>
      </w:r>
      <w:r>
        <w:t>'</w:t>
      </w:r>
      <w:r w:rsidRPr="007B73DF">
        <w:t xml:space="preserve"> and </w:t>
      </w:r>
      <w:r>
        <w:t>'</w:t>
      </w:r>
      <w:r w:rsidRPr="007B73DF">
        <w:t xml:space="preserve">home </w:t>
      </w:r>
      <w:r>
        <w:t>management'</w:t>
      </w:r>
      <w:r w:rsidRPr="007B73DF">
        <w:t xml:space="preserve"> items than the other subscales</w:t>
      </w:r>
      <w:r>
        <w:t xml:space="preserve">. However, SE was also more strongly correlated with the WSAS' social leisure' item than the SS subscale. Notably, the strongest correlations across all comparators were observed in the SE scale. </w:t>
      </w:r>
      <w:r w:rsidRPr="007B73DF">
        <w:t>Table n shows the correlation analyses of the EASE-F subscales (final Rasch model) with the EQ-5D-3L, PHQ-15, PCL-5, GAD-7, PHQ-9, WSAS and UCS total scores,</w:t>
      </w:r>
    </w:p>
    <w:p w14:paraId="63A54803" w14:textId="77777777" w:rsidR="00FE482F" w:rsidRPr="007B73DF" w:rsidRDefault="00FE482F" w:rsidP="001B4B1E">
      <w:r w:rsidRPr="007B73DF">
        <w:lastRenderedPageBreak/>
        <w:br w:type="page"/>
      </w:r>
    </w:p>
    <w:p w14:paraId="56C895E5" w14:textId="77777777" w:rsidR="00FE482F" w:rsidRPr="001D2561" w:rsidRDefault="00FE482F" w:rsidP="001B4B1E">
      <w:r w:rsidRPr="001D2561">
        <w:lastRenderedPageBreak/>
        <w:t xml:space="preserve">Table </w:t>
      </w:r>
      <w:r>
        <w:t>14</w:t>
      </w:r>
      <w:r w:rsidRPr="001D2561">
        <w:t>.</w:t>
      </w:r>
      <w:r>
        <w:t xml:space="preserve"> </w:t>
      </w:r>
      <w:r w:rsidRPr="001D2561">
        <w:t>Correlational analysis of EASE-F subscale total score and comparator measures.</w:t>
      </w:r>
    </w:p>
    <w:tbl>
      <w:tblPr>
        <w:tblStyle w:val="TableGrid"/>
        <w:tblpPr w:leftFromText="180" w:rightFromText="180" w:vertAnchor="text" w:horzAnchor="margin" w:tblpXSpec="center" w:tblpY="348"/>
        <w:tblW w:w="4401" w:type="pct"/>
        <w:tblLayout w:type="fixed"/>
        <w:tblLook w:val="0000" w:firstRow="0" w:lastRow="0" w:firstColumn="0" w:lastColumn="0" w:noHBand="0" w:noVBand="0"/>
      </w:tblPr>
      <w:tblGrid>
        <w:gridCol w:w="1447"/>
        <w:gridCol w:w="2227"/>
        <w:gridCol w:w="1280"/>
        <w:gridCol w:w="1274"/>
        <w:gridCol w:w="850"/>
        <w:gridCol w:w="853"/>
      </w:tblGrid>
      <w:tr w:rsidR="00FE482F" w:rsidRPr="001B4B1E" w14:paraId="6A39B15C" w14:textId="77777777" w:rsidTr="001B4B1E">
        <w:trPr>
          <w:trHeight w:val="416"/>
        </w:trPr>
        <w:tc>
          <w:tcPr>
            <w:tcW w:w="912" w:type="pct"/>
            <w:vMerge w:val="restart"/>
            <w:vAlign w:val="center"/>
          </w:tcPr>
          <w:p w14:paraId="682B673A" w14:textId="77777777" w:rsidR="00FE482F" w:rsidRPr="001B4B1E" w:rsidRDefault="00FE482F" w:rsidP="001B4B1E">
            <w:pPr>
              <w:jc w:val="left"/>
              <w:rPr>
                <w:b/>
                <w:bCs/>
                <w:sz w:val="16"/>
                <w:szCs w:val="18"/>
              </w:rPr>
            </w:pPr>
            <w:r w:rsidRPr="001B4B1E">
              <w:rPr>
                <w:b/>
                <w:bCs/>
                <w:sz w:val="16"/>
                <w:szCs w:val="18"/>
              </w:rPr>
              <w:t>EASE-F Subscale</w:t>
            </w:r>
          </w:p>
        </w:tc>
        <w:tc>
          <w:tcPr>
            <w:tcW w:w="1404" w:type="pct"/>
            <w:vMerge w:val="restart"/>
            <w:vAlign w:val="center"/>
          </w:tcPr>
          <w:p w14:paraId="642411A2" w14:textId="77777777" w:rsidR="00FE482F" w:rsidRPr="001B4B1E" w:rsidRDefault="00FE482F" w:rsidP="001B4B1E">
            <w:pPr>
              <w:jc w:val="left"/>
              <w:rPr>
                <w:b/>
                <w:bCs/>
                <w:sz w:val="16"/>
                <w:szCs w:val="18"/>
              </w:rPr>
            </w:pPr>
            <w:r w:rsidRPr="001B4B1E">
              <w:rPr>
                <w:b/>
                <w:bCs/>
                <w:sz w:val="16"/>
                <w:szCs w:val="18"/>
              </w:rPr>
              <w:t>Comparator Measure</w:t>
            </w:r>
          </w:p>
        </w:tc>
        <w:tc>
          <w:tcPr>
            <w:tcW w:w="2684" w:type="pct"/>
            <w:gridSpan w:val="4"/>
            <w:vAlign w:val="center"/>
          </w:tcPr>
          <w:p w14:paraId="56C54D77" w14:textId="77777777" w:rsidR="00FE482F" w:rsidRPr="001B4B1E" w:rsidRDefault="00FE482F" w:rsidP="001B4B1E">
            <w:pPr>
              <w:jc w:val="left"/>
              <w:rPr>
                <w:b/>
                <w:bCs/>
                <w:sz w:val="16"/>
                <w:szCs w:val="18"/>
              </w:rPr>
            </w:pPr>
            <w:r w:rsidRPr="001B4B1E">
              <w:rPr>
                <w:b/>
                <w:bCs/>
                <w:sz w:val="16"/>
                <w:szCs w:val="18"/>
              </w:rPr>
              <w:t>Statistic</w:t>
            </w:r>
          </w:p>
        </w:tc>
      </w:tr>
      <w:tr w:rsidR="00FE482F" w:rsidRPr="001B4B1E" w14:paraId="10699130" w14:textId="77777777" w:rsidTr="001B4B1E">
        <w:trPr>
          <w:trHeight w:val="512"/>
        </w:trPr>
        <w:tc>
          <w:tcPr>
            <w:tcW w:w="912" w:type="pct"/>
            <w:vMerge/>
            <w:vAlign w:val="center"/>
          </w:tcPr>
          <w:p w14:paraId="4255FC2D" w14:textId="77777777" w:rsidR="00FE482F" w:rsidRPr="001B4B1E" w:rsidRDefault="00FE482F" w:rsidP="001B4B1E">
            <w:pPr>
              <w:jc w:val="left"/>
              <w:rPr>
                <w:b/>
                <w:bCs/>
                <w:sz w:val="16"/>
                <w:szCs w:val="18"/>
              </w:rPr>
            </w:pPr>
          </w:p>
        </w:tc>
        <w:tc>
          <w:tcPr>
            <w:tcW w:w="1404" w:type="pct"/>
            <w:vMerge/>
            <w:vAlign w:val="center"/>
          </w:tcPr>
          <w:p w14:paraId="77B81772" w14:textId="77777777" w:rsidR="00FE482F" w:rsidRPr="001B4B1E" w:rsidRDefault="00FE482F" w:rsidP="001B4B1E">
            <w:pPr>
              <w:jc w:val="left"/>
              <w:rPr>
                <w:b/>
                <w:bCs/>
                <w:sz w:val="16"/>
                <w:szCs w:val="18"/>
              </w:rPr>
            </w:pPr>
          </w:p>
        </w:tc>
        <w:tc>
          <w:tcPr>
            <w:tcW w:w="807" w:type="pct"/>
            <w:vAlign w:val="center"/>
          </w:tcPr>
          <w:p w14:paraId="6C686D18" w14:textId="77777777" w:rsidR="00FE482F" w:rsidRPr="001B4B1E" w:rsidRDefault="00FE482F" w:rsidP="001B4B1E">
            <w:pPr>
              <w:jc w:val="left"/>
              <w:rPr>
                <w:b/>
                <w:bCs/>
                <w:sz w:val="16"/>
                <w:szCs w:val="18"/>
              </w:rPr>
            </w:pPr>
            <w:r>
              <w:rPr>
                <w:b/>
                <w:bCs/>
                <w:sz w:val="16"/>
                <w:szCs w:val="18"/>
              </w:rPr>
              <w:t>Spearman's</w:t>
            </w:r>
            <w:r w:rsidRPr="001B4B1E">
              <w:rPr>
                <w:b/>
                <w:bCs/>
                <w:sz w:val="16"/>
                <w:szCs w:val="18"/>
              </w:rPr>
              <w:t xml:space="preserve"> rho</w:t>
            </w:r>
          </w:p>
        </w:tc>
        <w:tc>
          <w:tcPr>
            <w:tcW w:w="803" w:type="pct"/>
            <w:vAlign w:val="center"/>
          </w:tcPr>
          <w:p w14:paraId="7D2E1525" w14:textId="77777777" w:rsidR="00FE482F" w:rsidRPr="001B4B1E" w:rsidRDefault="00FE482F" w:rsidP="001B4B1E">
            <w:pPr>
              <w:jc w:val="left"/>
              <w:rPr>
                <w:b/>
                <w:bCs/>
                <w:sz w:val="16"/>
                <w:szCs w:val="18"/>
              </w:rPr>
            </w:pPr>
            <w:r w:rsidRPr="001B4B1E">
              <w:rPr>
                <w:b/>
                <w:bCs/>
                <w:sz w:val="16"/>
                <w:szCs w:val="18"/>
              </w:rPr>
              <w:t>Significance</w:t>
            </w:r>
          </w:p>
        </w:tc>
        <w:tc>
          <w:tcPr>
            <w:tcW w:w="536" w:type="pct"/>
            <w:vAlign w:val="center"/>
          </w:tcPr>
          <w:p w14:paraId="6BEE2E24" w14:textId="77777777" w:rsidR="00FE482F" w:rsidRPr="001B4B1E" w:rsidRDefault="00FE482F" w:rsidP="001B4B1E">
            <w:pPr>
              <w:jc w:val="left"/>
              <w:rPr>
                <w:b/>
                <w:bCs/>
                <w:sz w:val="16"/>
                <w:szCs w:val="18"/>
              </w:rPr>
            </w:pPr>
            <w:r w:rsidRPr="001B4B1E">
              <w:rPr>
                <w:b/>
                <w:bCs/>
                <w:sz w:val="16"/>
                <w:szCs w:val="18"/>
              </w:rPr>
              <w:t xml:space="preserve">Lower </w:t>
            </w:r>
            <w:r>
              <w:rPr>
                <w:b/>
                <w:bCs/>
                <w:sz w:val="16"/>
                <w:szCs w:val="18"/>
              </w:rPr>
              <w:t>CI</w:t>
            </w:r>
            <w:r w:rsidRPr="001B4B1E">
              <w:rPr>
                <w:b/>
                <w:bCs/>
                <w:sz w:val="16"/>
                <w:szCs w:val="18"/>
              </w:rPr>
              <w:t>.</w:t>
            </w:r>
          </w:p>
        </w:tc>
        <w:tc>
          <w:tcPr>
            <w:tcW w:w="538" w:type="pct"/>
            <w:vAlign w:val="center"/>
          </w:tcPr>
          <w:p w14:paraId="2B6D051A" w14:textId="77777777" w:rsidR="00FE482F" w:rsidRPr="001B4B1E" w:rsidRDefault="00FE482F" w:rsidP="001B4B1E">
            <w:pPr>
              <w:jc w:val="left"/>
              <w:rPr>
                <w:b/>
                <w:bCs/>
                <w:sz w:val="16"/>
                <w:szCs w:val="18"/>
              </w:rPr>
            </w:pPr>
            <w:r w:rsidRPr="001B4B1E">
              <w:rPr>
                <w:b/>
                <w:bCs/>
                <w:sz w:val="16"/>
                <w:szCs w:val="18"/>
              </w:rPr>
              <w:t xml:space="preserve">Upper </w:t>
            </w:r>
            <w:r>
              <w:rPr>
                <w:b/>
                <w:bCs/>
                <w:sz w:val="16"/>
                <w:szCs w:val="18"/>
              </w:rPr>
              <w:t>CI</w:t>
            </w:r>
            <w:r w:rsidRPr="001B4B1E">
              <w:rPr>
                <w:b/>
                <w:bCs/>
                <w:sz w:val="16"/>
                <w:szCs w:val="18"/>
              </w:rPr>
              <w:t>.</w:t>
            </w:r>
          </w:p>
        </w:tc>
      </w:tr>
      <w:tr w:rsidR="00FE482F" w:rsidRPr="001B4B1E" w14:paraId="76E7DFE8" w14:textId="77777777" w:rsidTr="001B4B1E">
        <w:tc>
          <w:tcPr>
            <w:tcW w:w="912" w:type="pct"/>
            <w:vMerge w:val="restart"/>
            <w:vAlign w:val="center"/>
          </w:tcPr>
          <w:p w14:paraId="3CF390A4" w14:textId="77777777" w:rsidR="00FE482F" w:rsidRPr="001B4B1E" w:rsidRDefault="00FE482F" w:rsidP="001B4B1E">
            <w:pPr>
              <w:jc w:val="left"/>
              <w:rPr>
                <w:b/>
                <w:bCs/>
                <w:sz w:val="15"/>
                <w:szCs w:val="16"/>
              </w:rPr>
            </w:pPr>
            <w:r w:rsidRPr="001B4B1E">
              <w:rPr>
                <w:b/>
                <w:bCs/>
                <w:sz w:val="15"/>
                <w:szCs w:val="16"/>
              </w:rPr>
              <w:t xml:space="preserve">Self-efficacy </w:t>
            </w:r>
          </w:p>
          <w:p w14:paraId="6700B1E0" w14:textId="77777777" w:rsidR="00FE482F" w:rsidRPr="001B4B1E" w:rsidRDefault="00FE482F" w:rsidP="001B4B1E">
            <w:pPr>
              <w:jc w:val="left"/>
              <w:rPr>
                <w:b/>
                <w:bCs/>
                <w:sz w:val="15"/>
                <w:szCs w:val="16"/>
              </w:rPr>
            </w:pPr>
            <w:r w:rsidRPr="001B4B1E">
              <w:rPr>
                <w:b/>
                <w:bCs/>
                <w:sz w:val="15"/>
                <w:szCs w:val="16"/>
              </w:rPr>
              <w:t>Collapsed category -  total score</w:t>
            </w:r>
          </w:p>
        </w:tc>
        <w:tc>
          <w:tcPr>
            <w:tcW w:w="1404" w:type="pct"/>
            <w:vAlign w:val="center"/>
          </w:tcPr>
          <w:p w14:paraId="20B4D776" w14:textId="77777777" w:rsidR="00FE482F" w:rsidRPr="001B4B1E" w:rsidRDefault="00FE482F" w:rsidP="001B4B1E">
            <w:pPr>
              <w:jc w:val="left"/>
              <w:rPr>
                <w:sz w:val="15"/>
                <w:szCs w:val="16"/>
              </w:rPr>
            </w:pPr>
            <w:r w:rsidRPr="001B4B1E">
              <w:rPr>
                <w:sz w:val="15"/>
                <w:szCs w:val="16"/>
              </w:rPr>
              <w:t>GAD7 total</w:t>
            </w:r>
          </w:p>
        </w:tc>
        <w:tc>
          <w:tcPr>
            <w:tcW w:w="807" w:type="pct"/>
            <w:vAlign w:val="center"/>
          </w:tcPr>
          <w:p w14:paraId="54BA91B9" w14:textId="77777777" w:rsidR="00FE482F" w:rsidRPr="001B4B1E" w:rsidRDefault="00FE482F" w:rsidP="001B4B1E">
            <w:pPr>
              <w:jc w:val="left"/>
              <w:rPr>
                <w:sz w:val="15"/>
                <w:szCs w:val="16"/>
              </w:rPr>
            </w:pPr>
            <w:r w:rsidRPr="001B4B1E">
              <w:rPr>
                <w:sz w:val="15"/>
                <w:szCs w:val="16"/>
              </w:rPr>
              <w:t>-.489</w:t>
            </w:r>
          </w:p>
        </w:tc>
        <w:tc>
          <w:tcPr>
            <w:tcW w:w="803" w:type="pct"/>
            <w:vAlign w:val="center"/>
          </w:tcPr>
          <w:p w14:paraId="14754778"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243713A" w14:textId="77777777" w:rsidR="00FE482F" w:rsidRPr="001B4B1E" w:rsidRDefault="00FE482F" w:rsidP="001B4B1E">
            <w:pPr>
              <w:jc w:val="left"/>
              <w:rPr>
                <w:sz w:val="15"/>
                <w:szCs w:val="16"/>
              </w:rPr>
            </w:pPr>
            <w:r w:rsidRPr="001B4B1E">
              <w:rPr>
                <w:sz w:val="15"/>
                <w:szCs w:val="16"/>
              </w:rPr>
              <w:t>-.558</w:t>
            </w:r>
          </w:p>
        </w:tc>
        <w:tc>
          <w:tcPr>
            <w:tcW w:w="538" w:type="pct"/>
            <w:vAlign w:val="center"/>
          </w:tcPr>
          <w:p w14:paraId="205BA579" w14:textId="77777777" w:rsidR="00FE482F" w:rsidRPr="001B4B1E" w:rsidRDefault="00FE482F" w:rsidP="001B4B1E">
            <w:pPr>
              <w:jc w:val="left"/>
              <w:rPr>
                <w:sz w:val="15"/>
                <w:szCs w:val="16"/>
              </w:rPr>
            </w:pPr>
            <w:r w:rsidRPr="001B4B1E">
              <w:rPr>
                <w:sz w:val="15"/>
                <w:szCs w:val="16"/>
              </w:rPr>
              <w:t>-.413</w:t>
            </w:r>
          </w:p>
        </w:tc>
      </w:tr>
      <w:tr w:rsidR="00FE482F" w:rsidRPr="001B4B1E" w14:paraId="67E68595" w14:textId="77777777" w:rsidTr="001B4B1E">
        <w:tc>
          <w:tcPr>
            <w:tcW w:w="912" w:type="pct"/>
            <w:vMerge/>
            <w:vAlign w:val="center"/>
          </w:tcPr>
          <w:p w14:paraId="3885B607" w14:textId="77777777" w:rsidR="00FE482F" w:rsidRPr="001B4B1E" w:rsidRDefault="00FE482F" w:rsidP="001B4B1E">
            <w:pPr>
              <w:jc w:val="left"/>
              <w:rPr>
                <w:b/>
                <w:bCs/>
                <w:sz w:val="15"/>
                <w:szCs w:val="16"/>
              </w:rPr>
            </w:pPr>
          </w:p>
        </w:tc>
        <w:tc>
          <w:tcPr>
            <w:tcW w:w="1404" w:type="pct"/>
            <w:vAlign w:val="center"/>
          </w:tcPr>
          <w:p w14:paraId="7CA4F000" w14:textId="77777777" w:rsidR="00FE482F" w:rsidRPr="001B4B1E" w:rsidRDefault="00FE482F" w:rsidP="001B4B1E">
            <w:pPr>
              <w:jc w:val="left"/>
              <w:rPr>
                <w:sz w:val="15"/>
                <w:szCs w:val="16"/>
              </w:rPr>
            </w:pPr>
            <w:r w:rsidRPr="001B4B1E">
              <w:rPr>
                <w:sz w:val="15"/>
                <w:szCs w:val="16"/>
              </w:rPr>
              <w:t>EQ5D3L total</w:t>
            </w:r>
          </w:p>
        </w:tc>
        <w:tc>
          <w:tcPr>
            <w:tcW w:w="807" w:type="pct"/>
            <w:vAlign w:val="center"/>
          </w:tcPr>
          <w:p w14:paraId="5E981873" w14:textId="77777777" w:rsidR="00FE482F" w:rsidRPr="001B4B1E" w:rsidRDefault="00FE482F" w:rsidP="001B4B1E">
            <w:pPr>
              <w:jc w:val="left"/>
              <w:rPr>
                <w:sz w:val="15"/>
                <w:szCs w:val="16"/>
              </w:rPr>
            </w:pPr>
            <w:r w:rsidRPr="001B4B1E">
              <w:rPr>
                <w:sz w:val="15"/>
                <w:szCs w:val="16"/>
              </w:rPr>
              <w:t>-.471</w:t>
            </w:r>
          </w:p>
        </w:tc>
        <w:tc>
          <w:tcPr>
            <w:tcW w:w="803" w:type="pct"/>
            <w:vAlign w:val="center"/>
          </w:tcPr>
          <w:p w14:paraId="0BEED5B6"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64896A1A" w14:textId="77777777" w:rsidR="00FE482F" w:rsidRPr="001B4B1E" w:rsidRDefault="00FE482F" w:rsidP="001B4B1E">
            <w:pPr>
              <w:jc w:val="left"/>
              <w:rPr>
                <w:sz w:val="15"/>
                <w:szCs w:val="16"/>
              </w:rPr>
            </w:pPr>
            <w:r w:rsidRPr="001B4B1E">
              <w:rPr>
                <w:sz w:val="15"/>
                <w:szCs w:val="16"/>
              </w:rPr>
              <w:t>-.542</w:t>
            </w:r>
          </w:p>
        </w:tc>
        <w:tc>
          <w:tcPr>
            <w:tcW w:w="538" w:type="pct"/>
            <w:vAlign w:val="center"/>
          </w:tcPr>
          <w:p w14:paraId="06B85020" w14:textId="77777777" w:rsidR="00FE482F" w:rsidRPr="001B4B1E" w:rsidRDefault="00FE482F" w:rsidP="001B4B1E">
            <w:pPr>
              <w:jc w:val="left"/>
              <w:rPr>
                <w:sz w:val="15"/>
                <w:szCs w:val="16"/>
              </w:rPr>
            </w:pPr>
            <w:r w:rsidRPr="001B4B1E">
              <w:rPr>
                <w:sz w:val="15"/>
                <w:szCs w:val="16"/>
              </w:rPr>
              <w:t>-.394</w:t>
            </w:r>
          </w:p>
        </w:tc>
      </w:tr>
      <w:tr w:rsidR="00FE482F" w:rsidRPr="001B4B1E" w14:paraId="003C274F" w14:textId="77777777" w:rsidTr="001B4B1E">
        <w:tc>
          <w:tcPr>
            <w:tcW w:w="912" w:type="pct"/>
            <w:vMerge/>
            <w:vAlign w:val="center"/>
          </w:tcPr>
          <w:p w14:paraId="119F9A8B" w14:textId="77777777" w:rsidR="00FE482F" w:rsidRPr="001B4B1E" w:rsidRDefault="00FE482F" w:rsidP="001B4B1E">
            <w:pPr>
              <w:jc w:val="left"/>
              <w:rPr>
                <w:b/>
                <w:bCs/>
                <w:sz w:val="15"/>
                <w:szCs w:val="16"/>
              </w:rPr>
            </w:pPr>
          </w:p>
        </w:tc>
        <w:tc>
          <w:tcPr>
            <w:tcW w:w="1404" w:type="pct"/>
            <w:vAlign w:val="center"/>
          </w:tcPr>
          <w:p w14:paraId="32F8922D" w14:textId="77777777" w:rsidR="00FE482F" w:rsidRPr="001B4B1E" w:rsidRDefault="00FE482F" w:rsidP="001B4B1E">
            <w:pPr>
              <w:jc w:val="left"/>
              <w:rPr>
                <w:sz w:val="15"/>
                <w:szCs w:val="16"/>
              </w:rPr>
            </w:pPr>
            <w:r w:rsidRPr="001B4B1E">
              <w:rPr>
                <w:sz w:val="15"/>
                <w:szCs w:val="16"/>
              </w:rPr>
              <w:t>PHQ15 total</w:t>
            </w:r>
          </w:p>
        </w:tc>
        <w:tc>
          <w:tcPr>
            <w:tcW w:w="807" w:type="pct"/>
            <w:vAlign w:val="center"/>
          </w:tcPr>
          <w:p w14:paraId="050C8D5C" w14:textId="77777777" w:rsidR="00FE482F" w:rsidRPr="001B4B1E" w:rsidRDefault="00FE482F" w:rsidP="001B4B1E">
            <w:pPr>
              <w:jc w:val="left"/>
              <w:rPr>
                <w:sz w:val="15"/>
                <w:szCs w:val="16"/>
              </w:rPr>
            </w:pPr>
            <w:r w:rsidRPr="001B4B1E">
              <w:rPr>
                <w:sz w:val="15"/>
                <w:szCs w:val="16"/>
              </w:rPr>
              <w:t>-.390</w:t>
            </w:r>
          </w:p>
        </w:tc>
        <w:tc>
          <w:tcPr>
            <w:tcW w:w="803" w:type="pct"/>
            <w:vAlign w:val="center"/>
          </w:tcPr>
          <w:p w14:paraId="4D97C110"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51D656F5" w14:textId="77777777" w:rsidR="00FE482F" w:rsidRPr="001B4B1E" w:rsidRDefault="00FE482F" w:rsidP="001B4B1E">
            <w:pPr>
              <w:jc w:val="left"/>
              <w:rPr>
                <w:sz w:val="15"/>
                <w:szCs w:val="16"/>
              </w:rPr>
            </w:pPr>
            <w:r w:rsidRPr="001B4B1E">
              <w:rPr>
                <w:sz w:val="15"/>
                <w:szCs w:val="16"/>
              </w:rPr>
              <w:t>-.468</w:t>
            </w:r>
          </w:p>
        </w:tc>
        <w:tc>
          <w:tcPr>
            <w:tcW w:w="538" w:type="pct"/>
            <w:vAlign w:val="center"/>
          </w:tcPr>
          <w:p w14:paraId="26D2CE2C" w14:textId="77777777" w:rsidR="00FE482F" w:rsidRPr="001B4B1E" w:rsidRDefault="00FE482F" w:rsidP="001B4B1E">
            <w:pPr>
              <w:jc w:val="left"/>
              <w:rPr>
                <w:sz w:val="15"/>
                <w:szCs w:val="16"/>
              </w:rPr>
            </w:pPr>
            <w:r w:rsidRPr="001B4B1E">
              <w:rPr>
                <w:sz w:val="15"/>
                <w:szCs w:val="16"/>
              </w:rPr>
              <w:t>-.307</w:t>
            </w:r>
          </w:p>
        </w:tc>
      </w:tr>
      <w:tr w:rsidR="00FE482F" w:rsidRPr="001B4B1E" w14:paraId="53E0F6D3" w14:textId="77777777" w:rsidTr="001B4B1E">
        <w:tc>
          <w:tcPr>
            <w:tcW w:w="912" w:type="pct"/>
            <w:vMerge/>
            <w:vAlign w:val="center"/>
          </w:tcPr>
          <w:p w14:paraId="1EBCB374" w14:textId="77777777" w:rsidR="00FE482F" w:rsidRPr="001B4B1E" w:rsidRDefault="00FE482F" w:rsidP="001B4B1E">
            <w:pPr>
              <w:jc w:val="left"/>
              <w:rPr>
                <w:b/>
                <w:bCs/>
                <w:sz w:val="15"/>
                <w:szCs w:val="16"/>
              </w:rPr>
            </w:pPr>
          </w:p>
        </w:tc>
        <w:tc>
          <w:tcPr>
            <w:tcW w:w="1404" w:type="pct"/>
            <w:vAlign w:val="center"/>
          </w:tcPr>
          <w:p w14:paraId="483D33FF" w14:textId="77777777" w:rsidR="00FE482F" w:rsidRPr="001B4B1E" w:rsidRDefault="00FE482F" w:rsidP="001B4B1E">
            <w:pPr>
              <w:jc w:val="left"/>
              <w:rPr>
                <w:sz w:val="15"/>
                <w:szCs w:val="16"/>
              </w:rPr>
            </w:pPr>
            <w:r w:rsidRPr="001B4B1E">
              <w:rPr>
                <w:sz w:val="15"/>
                <w:szCs w:val="16"/>
              </w:rPr>
              <w:t>PHQ9 total</w:t>
            </w:r>
          </w:p>
        </w:tc>
        <w:tc>
          <w:tcPr>
            <w:tcW w:w="807" w:type="pct"/>
            <w:vAlign w:val="center"/>
          </w:tcPr>
          <w:p w14:paraId="6F00911B" w14:textId="77777777" w:rsidR="00FE482F" w:rsidRPr="001B4B1E" w:rsidRDefault="00FE482F" w:rsidP="001B4B1E">
            <w:pPr>
              <w:jc w:val="left"/>
              <w:rPr>
                <w:sz w:val="15"/>
                <w:szCs w:val="16"/>
              </w:rPr>
            </w:pPr>
            <w:r w:rsidRPr="001B4B1E">
              <w:rPr>
                <w:sz w:val="15"/>
                <w:szCs w:val="16"/>
              </w:rPr>
              <w:t>-.590</w:t>
            </w:r>
          </w:p>
        </w:tc>
        <w:tc>
          <w:tcPr>
            <w:tcW w:w="803" w:type="pct"/>
            <w:vAlign w:val="center"/>
          </w:tcPr>
          <w:p w14:paraId="03CB9FFD"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35C56508" w14:textId="77777777" w:rsidR="00FE482F" w:rsidRPr="001B4B1E" w:rsidRDefault="00FE482F" w:rsidP="001B4B1E">
            <w:pPr>
              <w:jc w:val="left"/>
              <w:rPr>
                <w:sz w:val="15"/>
                <w:szCs w:val="16"/>
              </w:rPr>
            </w:pPr>
            <w:r w:rsidRPr="001B4B1E">
              <w:rPr>
                <w:sz w:val="15"/>
                <w:szCs w:val="16"/>
              </w:rPr>
              <w:t>-.649</w:t>
            </w:r>
          </w:p>
        </w:tc>
        <w:tc>
          <w:tcPr>
            <w:tcW w:w="538" w:type="pct"/>
            <w:vAlign w:val="center"/>
          </w:tcPr>
          <w:p w14:paraId="70C1BF9E" w14:textId="77777777" w:rsidR="00FE482F" w:rsidRPr="001B4B1E" w:rsidRDefault="00FE482F" w:rsidP="001B4B1E">
            <w:pPr>
              <w:jc w:val="left"/>
              <w:rPr>
                <w:sz w:val="15"/>
                <w:szCs w:val="16"/>
              </w:rPr>
            </w:pPr>
            <w:r w:rsidRPr="001B4B1E">
              <w:rPr>
                <w:sz w:val="15"/>
                <w:szCs w:val="16"/>
              </w:rPr>
              <w:t>-.524</w:t>
            </w:r>
          </w:p>
        </w:tc>
      </w:tr>
      <w:tr w:rsidR="00FE482F" w:rsidRPr="001B4B1E" w14:paraId="51CC2162" w14:textId="77777777" w:rsidTr="001B4B1E">
        <w:tc>
          <w:tcPr>
            <w:tcW w:w="912" w:type="pct"/>
            <w:vMerge/>
            <w:vAlign w:val="center"/>
          </w:tcPr>
          <w:p w14:paraId="7869E22D" w14:textId="77777777" w:rsidR="00FE482F" w:rsidRPr="001B4B1E" w:rsidRDefault="00FE482F" w:rsidP="001B4B1E">
            <w:pPr>
              <w:jc w:val="left"/>
              <w:rPr>
                <w:b/>
                <w:bCs/>
                <w:sz w:val="15"/>
                <w:szCs w:val="16"/>
              </w:rPr>
            </w:pPr>
          </w:p>
        </w:tc>
        <w:tc>
          <w:tcPr>
            <w:tcW w:w="1404" w:type="pct"/>
            <w:vAlign w:val="center"/>
          </w:tcPr>
          <w:p w14:paraId="1116DD46" w14:textId="77777777" w:rsidR="00FE482F" w:rsidRPr="001B4B1E" w:rsidRDefault="00FE482F" w:rsidP="001B4B1E">
            <w:pPr>
              <w:jc w:val="left"/>
              <w:rPr>
                <w:sz w:val="15"/>
                <w:szCs w:val="16"/>
              </w:rPr>
            </w:pPr>
            <w:r w:rsidRPr="001B4B1E">
              <w:rPr>
                <w:sz w:val="15"/>
                <w:szCs w:val="16"/>
              </w:rPr>
              <w:t>WSAS total</w:t>
            </w:r>
          </w:p>
        </w:tc>
        <w:tc>
          <w:tcPr>
            <w:tcW w:w="807" w:type="pct"/>
            <w:vAlign w:val="center"/>
          </w:tcPr>
          <w:p w14:paraId="353382E6" w14:textId="77777777" w:rsidR="00FE482F" w:rsidRPr="001B4B1E" w:rsidRDefault="00FE482F" w:rsidP="001B4B1E">
            <w:pPr>
              <w:jc w:val="left"/>
              <w:rPr>
                <w:sz w:val="15"/>
                <w:szCs w:val="16"/>
              </w:rPr>
            </w:pPr>
            <w:r w:rsidRPr="001B4B1E">
              <w:rPr>
                <w:sz w:val="15"/>
                <w:szCs w:val="16"/>
              </w:rPr>
              <w:t>-.501</w:t>
            </w:r>
          </w:p>
        </w:tc>
        <w:tc>
          <w:tcPr>
            <w:tcW w:w="803" w:type="pct"/>
            <w:vAlign w:val="center"/>
          </w:tcPr>
          <w:p w14:paraId="14317B70"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49592EE9" w14:textId="77777777" w:rsidR="00FE482F" w:rsidRPr="001B4B1E" w:rsidRDefault="00FE482F" w:rsidP="001B4B1E">
            <w:pPr>
              <w:jc w:val="left"/>
              <w:rPr>
                <w:sz w:val="15"/>
                <w:szCs w:val="16"/>
              </w:rPr>
            </w:pPr>
            <w:r w:rsidRPr="001B4B1E">
              <w:rPr>
                <w:sz w:val="15"/>
                <w:szCs w:val="16"/>
              </w:rPr>
              <w:t>-.569</w:t>
            </w:r>
          </w:p>
        </w:tc>
        <w:tc>
          <w:tcPr>
            <w:tcW w:w="538" w:type="pct"/>
            <w:vAlign w:val="center"/>
          </w:tcPr>
          <w:p w14:paraId="7D697576" w14:textId="77777777" w:rsidR="00FE482F" w:rsidRPr="001B4B1E" w:rsidRDefault="00FE482F" w:rsidP="001B4B1E">
            <w:pPr>
              <w:jc w:val="left"/>
              <w:rPr>
                <w:sz w:val="15"/>
                <w:szCs w:val="16"/>
              </w:rPr>
            </w:pPr>
            <w:r w:rsidRPr="001B4B1E">
              <w:rPr>
                <w:sz w:val="15"/>
                <w:szCs w:val="16"/>
              </w:rPr>
              <w:t>-.426</w:t>
            </w:r>
          </w:p>
        </w:tc>
      </w:tr>
      <w:tr w:rsidR="00FE482F" w:rsidRPr="001B4B1E" w14:paraId="009A081D" w14:textId="77777777" w:rsidTr="001B4B1E">
        <w:tc>
          <w:tcPr>
            <w:tcW w:w="912" w:type="pct"/>
            <w:vMerge/>
            <w:vAlign w:val="center"/>
          </w:tcPr>
          <w:p w14:paraId="1F298DA3" w14:textId="77777777" w:rsidR="00FE482F" w:rsidRPr="001B4B1E" w:rsidRDefault="00FE482F" w:rsidP="001B4B1E">
            <w:pPr>
              <w:jc w:val="left"/>
              <w:rPr>
                <w:b/>
                <w:bCs/>
                <w:sz w:val="15"/>
                <w:szCs w:val="16"/>
              </w:rPr>
            </w:pPr>
          </w:p>
        </w:tc>
        <w:tc>
          <w:tcPr>
            <w:tcW w:w="1404" w:type="pct"/>
            <w:vAlign w:val="center"/>
          </w:tcPr>
          <w:p w14:paraId="182B624F" w14:textId="77777777" w:rsidR="00FE482F" w:rsidRPr="001B4B1E" w:rsidRDefault="00FE482F" w:rsidP="001B4B1E">
            <w:pPr>
              <w:jc w:val="left"/>
              <w:rPr>
                <w:sz w:val="15"/>
                <w:szCs w:val="16"/>
              </w:rPr>
            </w:pPr>
            <w:r w:rsidRPr="001B4B1E">
              <w:rPr>
                <w:sz w:val="15"/>
                <w:szCs w:val="16"/>
              </w:rPr>
              <w:t>PCL5 total</w:t>
            </w:r>
          </w:p>
        </w:tc>
        <w:tc>
          <w:tcPr>
            <w:tcW w:w="807" w:type="pct"/>
            <w:vAlign w:val="center"/>
          </w:tcPr>
          <w:p w14:paraId="53673E19" w14:textId="77777777" w:rsidR="00FE482F" w:rsidRPr="001B4B1E" w:rsidRDefault="00FE482F" w:rsidP="001B4B1E">
            <w:pPr>
              <w:jc w:val="left"/>
              <w:rPr>
                <w:sz w:val="15"/>
                <w:szCs w:val="16"/>
              </w:rPr>
            </w:pPr>
            <w:r w:rsidRPr="001B4B1E">
              <w:rPr>
                <w:sz w:val="15"/>
                <w:szCs w:val="16"/>
              </w:rPr>
              <w:t>-.464</w:t>
            </w:r>
          </w:p>
        </w:tc>
        <w:tc>
          <w:tcPr>
            <w:tcW w:w="803" w:type="pct"/>
            <w:vAlign w:val="center"/>
          </w:tcPr>
          <w:p w14:paraId="3AC63746"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61434B60" w14:textId="77777777" w:rsidR="00FE482F" w:rsidRPr="001B4B1E" w:rsidRDefault="00FE482F" w:rsidP="001B4B1E">
            <w:pPr>
              <w:jc w:val="left"/>
              <w:rPr>
                <w:sz w:val="15"/>
                <w:szCs w:val="16"/>
              </w:rPr>
            </w:pPr>
            <w:r w:rsidRPr="001B4B1E">
              <w:rPr>
                <w:sz w:val="15"/>
                <w:szCs w:val="16"/>
              </w:rPr>
              <w:t>-.536</w:t>
            </w:r>
          </w:p>
        </w:tc>
        <w:tc>
          <w:tcPr>
            <w:tcW w:w="538" w:type="pct"/>
            <w:vAlign w:val="center"/>
          </w:tcPr>
          <w:p w14:paraId="6DAF7EA2" w14:textId="77777777" w:rsidR="00FE482F" w:rsidRPr="001B4B1E" w:rsidRDefault="00FE482F" w:rsidP="001B4B1E">
            <w:pPr>
              <w:jc w:val="left"/>
              <w:rPr>
                <w:sz w:val="15"/>
                <w:szCs w:val="16"/>
              </w:rPr>
            </w:pPr>
            <w:r w:rsidRPr="001B4B1E">
              <w:rPr>
                <w:sz w:val="15"/>
                <w:szCs w:val="16"/>
              </w:rPr>
              <w:t>-.386</w:t>
            </w:r>
          </w:p>
        </w:tc>
      </w:tr>
      <w:tr w:rsidR="00FE482F" w:rsidRPr="001B4B1E" w14:paraId="50174FDC" w14:textId="77777777" w:rsidTr="001B4B1E">
        <w:tc>
          <w:tcPr>
            <w:tcW w:w="912" w:type="pct"/>
            <w:vMerge/>
            <w:vAlign w:val="center"/>
          </w:tcPr>
          <w:p w14:paraId="3035EC5F" w14:textId="77777777" w:rsidR="00FE482F" w:rsidRPr="001B4B1E" w:rsidRDefault="00FE482F" w:rsidP="001B4B1E">
            <w:pPr>
              <w:jc w:val="left"/>
              <w:rPr>
                <w:b/>
                <w:bCs/>
                <w:sz w:val="15"/>
                <w:szCs w:val="16"/>
              </w:rPr>
            </w:pPr>
          </w:p>
        </w:tc>
        <w:tc>
          <w:tcPr>
            <w:tcW w:w="1404" w:type="pct"/>
            <w:vAlign w:val="center"/>
          </w:tcPr>
          <w:p w14:paraId="1FB9B5F5" w14:textId="77777777" w:rsidR="00FE482F" w:rsidRPr="001B4B1E" w:rsidRDefault="00FE482F" w:rsidP="001B4B1E">
            <w:pPr>
              <w:jc w:val="left"/>
              <w:rPr>
                <w:sz w:val="15"/>
                <w:szCs w:val="16"/>
              </w:rPr>
            </w:pPr>
            <w:r w:rsidRPr="001B4B1E">
              <w:rPr>
                <w:sz w:val="15"/>
                <w:szCs w:val="16"/>
              </w:rPr>
              <w:t>UCS total</w:t>
            </w:r>
          </w:p>
        </w:tc>
        <w:tc>
          <w:tcPr>
            <w:tcW w:w="807" w:type="pct"/>
            <w:vAlign w:val="center"/>
          </w:tcPr>
          <w:p w14:paraId="328634E2" w14:textId="77777777" w:rsidR="00FE482F" w:rsidRPr="001B4B1E" w:rsidRDefault="00FE482F" w:rsidP="001B4B1E">
            <w:pPr>
              <w:jc w:val="left"/>
              <w:rPr>
                <w:sz w:val="15"/>
                <w:szCs w:val="16"/>
              </w:rPr>
            </w:pPr>
            <w:r w:rsidRPr="001B4B1E">
              <w:rPr>
                <w:sz w:val="15"/>
                <w:szCs w:val="16"/>
              </w:rPr>
              <w:t>-.248</w:t>
            </w:r>
          </w:p>
        </w:tc>
        <w:tc>
          <w:tcPr>
            <w:tcW w:w="803" w:type="pct"/>
            <w:vAlign w:val="center"/>
          </w:tcPr>
          <w:p w14:paraId="61A79F20"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69068B9" w14:textId="77777777" w:rsidR="00FE482F" w:rsidRPr="001B4B1E" w:rsidRDefault="00FE482F" w:rsidP="001B4B1E">
            <w:pPr>
              <w:jc w:val="left"/>
              <w:rPr>
                <w:sz w:val="15"/>
                <w:szCs w:val="16"/>
              </w:rPr>
            </w:pPr>
            <w:r w:rsidRPr="001B4B1E">
              <w:rPr>
                <w:sz w:val="15"/>
                <w:szCs w:val="16"/>
              </w:rPr>
              <w:t>-.335</w:t>
            </w:r>
          </w:p>
        </w:tc>
        <w:tc>
          <w:tcPr>
            <w:tcW w:w="538" w:type="pct"/>
            <w:vAlign w:val="center"/>
          </w:tcPr>
          <w:p w14:paraId="1D0E7E7D" w14:textId="77777777" w:rsidR="00FE482F" w:rsidRPr="001B4B1E" w:rsidRDefault="00FE482F" w:rsidP="001B4B1E">
            <w:pPr>
              <w:jc w:val="left"/>
              <w:rPr>
                <w:sz w:val="15"/>
                <w:szCs w:val="16"/>
              </w:rPr>
            </w:pPr>
            <w:r w:rsidRPr="001B4B1E">
              <w:rPr>
                <w:sz w:val="15"/>
                <w:szCs w:val="16"/>
              </w:rPr>
              <w:t>-.157</w:t>
            </w:r>
          </w:p>
        </w:tc>
      </w:tr>
      <w:tr w:rsidR="00FE482F" w:rsidRPr="001B4B1E" w14:paraId="6FB4C8F5" w14:textId="77777777" w:rsidTr="001B4B1E">
        <w:tc>
          <w:tcPr>
            <w:tcW w:w="912" w:type="pct"/>
            <w:vMerge/>
            <w:vAlign w:val="center"/>
          </w:tcPr>
          <w:p w14:paraId="295F8B95" w14:textId="77777777" w:rsidR="00FE482F" w:rsidRPr="001B4B1E" w:rsidRDefault="00FE482F" w:rsidP="001B4B1E">
            <w:pPr>
              <w:jc w:val="left"/>
              <w:rPr>
                <w:b/>
                <w:bCs/>
                <w:sz w:val="15"/>
                <w:szCs w:val="16"/>
              </w:rPr>
            </w:pPr>
          </w:p>
        </w:tc>
        <w:tc>
          <w:tcPr>
            <w:tcW w:w="1404" w:type="pct"/>
            <w:vAlign w:val="center"/>
          </w:tcPr>
          <w:p w14:paraId="517A92BE" w14:textId="77777777" w:rsidR="00FE482F" w:rsidRPr="001B4B1E" w:rsidRDefault="00FE482F" w:rsidP="001B4B1E">
            <w:pPr>
              <w:jc w:val="left"/>
              <w:rPr>
                <w:sz w:val="15"/>
                <w:szCs w:val="16"/>
              </w:rPr>
            </w:pPr>
            <w:r w:rsidRPr="001B4B1E">
              <w:rPr>
                <w:sz w:val="15"/>
                <w:szCs w:val="16"/>
              </w:rPr>
              <w:t>WSAS – Ability to work</w:t>
            </w:r>
          </w:p>
        </w:tc>
        <w:tc>
          <w:tcPr>
            <w:tcW w:w="807" w:type="pct"/>
            <w:vAlign w:val="center"/>
          </w:tcPr>
          <w:p w14:paraId="665C6507" w14:textId="77777777" w:rsidR="00FE482F" w:rsidRPr="001B4B1E" w:rsidRDefault="00FE482F" w:rsidP="001B4B1E">
            <w:pPr>
              <w:jc w:val="left"/>
              <w:rPr>
                <w:sz w:val="15"/>
                <w:szCs w:val="16"/>
              </w:rPr>
            </w:pPr>
            <w:r w:rsidRPr="001B4B1E">
              <w:rPr>
                <w:sz w:val="15"/>
                <w:szCs w:val="16"/>
              </w:rPr>
              <w:t>-.353</w:t>
            </w:r>
          </w:p>
        </w:tc>
        <w:tc>
          <w:tcPr>
            <w:tcW w:w="803" w:type="pct"/>
            <w:vAlign w:val="center"/>
          </w:tcPr>
          <w:p w14:paraId="019CADDD"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2C6B579" w14:textId="77777777" w:rsidR="00FE482F" w:rsidRPr="001B4B1E" w:rsidRDefault="00FE482F" w:rsidP="001B4B1E">
            <w:pPr>
              <w:jc w:val="left"/>
              <w:rPr>
                <w:sz w:val="15"/>
                <w:szCs w:val="16"/>
              </w:rPr>
            </w:pPr>
            <w:r w:rsidRPr="001B4B1E">
              <w:rPr>
                <w:sz w:val="15"/>
                <w:szCs w:val="16"/>
              </w:rPr>
              <w:t>-.434</w:t>
            </w:r>
          </w:p>
        </w:tc>
        <w:tc>
          <w:tcPr>
            <w:tcW w:w="538" w:type="pct"/>
            <w:vAlign w:val="center"/>
          </w:tcPr>
          <w:p w14:paraId="4C2CDA05" w14:textId="77777777" w:rsidR="00FE482F" w:rsidRPr="001B4B1E" w:rsidRDefault="00FE482F" w:rsidP="001B4B1E">
            <w:pPr>
              <w:jc w:val="left"/>
              <w:rPr>
                <w:sz w:val="15"/>
                <w:szCs w:val="16"/>
              </w:rPr>
            </w:pPr>
            <w:r w:rsidRPr="001B4B1E">
              <w:rPr>
                <w:sz w:val="15"/>
                <w:szCs w:val="16"/>
              </w:rPr>
              <w:t>-.267</w:t>
            </w:r>
          </w:p>
        </w:tc>
      </w:tr>
      <w:tr w:rsidR="00FE482F" w:rsidRPr="001B4B1E" w14:paraId="0D35EED9" w14:textId="77777777" w:rsidTr="001B4B1E">
        <w:tc>
          <w:tcPr>
            <w:tcW w:w="912" w:type="pct"/>
            <w:vMerge/>
            <w:vAlign w:val="center"/>
          </w:tcPr>
          <w:p w14:paraId="058E425D" w14:textId="77777777" w:rsidR="00FE482F" w:rsidRPr="001B4B1E" w:rsidRDefault="00FE482F" w:rsidP="001B4B1E">
            <w:pPr>
              <w:jc w:val="left"/>
              <w:rPr>
                <w:b/>
                <w:bCs/>
                <w:sz w:val="15"/>
                <w:szCs w:val="16"/>
              </w:rPr>
            </w:pPr>
          </w:p>
        </w:tc>
        <w:tc>
          <w:tcPr>
            <w:tcW w:w="1404" w:type="pct"/>
            <w:vAlign w:val="center"/>
          </w:tcPr>
          <w:p w14:paraId="3D9497DE" w14:textId="77777777" w:rsidR="00FE482F" w:rsidRPr="001B4B1E" w:rsidRDefault="00FE482F" w:rsidP="001B4B1E">
            <w:pPr>
              <w:jc w:val="left"/>
              <w:rPr>
                <w:sz w:val="15"/>
                <w:szCs w:val="16"/>
              </w:rPr>
            </w:pPr>
            <w:r w:rsidRPr="001B4B1E">
              <w:rPr>
                <w:sz w:val="15"/>
                <w:szCs w:val="16"/>
              </w:rPr>
              <w:t>WSAS - Home management</w:t>
            </w:r>
          </w:p>
        </w:tc>
        <w:tc>
          <w:tcPr>
            <w:tcW w:w="807" w:type="pct"/>
            <w:vAlign w:val="center"/>
          </w:tcPr>
          <w:p w14:paraId="0892EE54" w14:textId="77777777" w:rsidR="00FE482F" w:rsidRPr="001B4B1E" w:rsidRDefault="00FE482F" w:rsidP="001B4B1E">
            <w:pPr>
              <w:jc w:val="left"/>
              <w:rPr>
                <w:sz w:val="15"/>
                <w:szCs w:val="16"/>
              </w:rPr>
            </w:pPr>
            <w:r w:rsidRPr="001B4B1E">
              <w:rPr>
                <w:sz w:val="15"/>
                <w:szCs w:val="16"/>
              </w:rPr>
              <w:t>-.446</w:t>
            </w:r>
          </w:p>
        </w:tc>
        <w:tc>
          <w:tcPr>
            <w:tcW w:w="803" w:type="pct"/>
            <w:vAlign w:val="center"/>
          </w:tcPr>
          <w:p w14:paraId="07CDB55B"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9B3174E" w14:textId="77777777" w:rsidR="00FE482F" w:rsidRPr="001B4B1E" w:rsidRDefault="00FE482F" w:rsidP="001B4B1E">
            <w:pPr>
              <w:jc w:val="left"/>
              <w:rPr>
                <w:sz w:val="15"/>
                <w:szCs w:val="16"/>
              </w:rPr>
            </w:pPr>
            <w:r w:rsidRPr="001B4B1E">
              <w:rPr>
                <w:sz w:val="15"/>
                <w:szCs w:val="16"/>
              </w:rPr>
              <w:t>-.519</w:t>
            </w:r>
          </w:p>
        </w:tc>
        <w:tc>
          <w:tcPr>
            <w:tcW w:w="538" w:type="pct"/>
            <w:vAlign w:val="center"/>
          </w:tcPr>
          <w:p w14:paraId="669214D4" w14:textId="77777777" w:rsidR="00FE482F" w:rsidRPr="001B4B1E" w:rsidRDefault="00FE482F" w:rsidP="001B4B1E">
            <w:pPr>
              <w:jc w:val="left"/>
              <w:rPr>
                <w:sz w:val="15"/>
                <w:szCs w:val="16"/>
              </w:rPr>
            </w:pPr>
            <w:r w:rsidRPr="001B4B1E">
              <w:rPr>
                <w:sz w:val="15"/>
                <w:szCs w:val="16"/>
              </w:rPr>
              <w:t>-.366</w:t>
            </w:r>
          </w:p>
        </w:tc>
      </w:tr>
      <w:tr w:rsidR="00FE482F" w:rsidRPr="001B4B1E" w14:paraId="68EFDBF5" w14:textId="77777777" w:rsidTr="001B4B1E">
        <w:tc>
          <w:tcPr>
            <w:tcW w:w="912" w:type="pct"/>
            <w:vMerge/>
            <w:vAlign w:val="center"/>
          </w:tcPr>
          <w:p w14:paraId="6918A889" w14:textId="77777777" w:rsidR="00FE482F" w:rsidRPr="001B4B1E" w:rsidRDefault="00FE482F" w:rsidP="001B4B1E">
            <w:pPr>
              <w:jc w:val="left"/>
              <w:rPr>
                <w:b/>
                <w:bCs/>
                <w:sz w:val="15"/>
                <w:szCs w:val="16"/>
              </w:rPr>
            </w:pPr>
          </w:p>
        </w:tc>
        <w:tc>
          <w:tcPr>
            <w:tcW w:w="1404" w:type="pct"/>
            <w:vAlign w:val="center"/>
          </w:tcPr>
          <w:p w14:paraId="72068854" w14:textId="77777777" w:rsidR="00FE482F" w:rsidRPr="001B4B1E" w:rsidRDefault="00FE482F" w:rsidP="001B4B1E">
            <w:pPr>
              <w:jc w:val="left"/>
              <w:rPr>
                <w:sz w:val="15"/>
                <w:szCs w:val="16"/>
              </w:rPr>
            </w:pPr>
            <w:r w:rsidRPr="001B4B1E">
              <w:rPr>
                <w:sz w:val="15"/>
                <w:szCs w:val="16"/>
              </w:rPr>
              <w:t>WSAS – Social Leisure</w:t>
            </w:r>
          </w:p>
        </w:tc>
        <w:tc>
          <w:tcPr>
            <w:tcW w:w="807" w:type="pct"/>
            <w:vAlign w:val="center"/>
          </w:tcPr>
          <w:p w14:paraId="7FA8E251" w14:textId="77777777" w:rsidR="00FE482F" w:rsidRPr="001B4B1E" w:rsidRDefault="00FE482F" w:rsidP="001B4B1E">
            <w:pPr>
              <w:jc w:val="left"/>
              <w:rPr>
                <w:sz w:val="15"/>
                <w:szCs w:val="16"/>
              </w:rPr>
            </w:pPr>
            <w:r w:rsidRPr="001B4B1E">
              <w:rPr>
                <w:sz w:val="15"/>
                <w:szCs w:val="16"/>
              </w:rPr>
              <w:t>-.434</w:t>
            </w:r>
          </w:p>
        </w:tc>
        <w:tc>
          <w:tcPr>
            <w:tcW w:w="803" w:type="pct"/>
            <w:vAlign w:val="center"/>
          </w:tcPr>
          <w:p w14:paraId="0CFF3B89"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369B9EDB" w14:textId="77777777" w:rsidR="00FE482F" w:rsidRPr="001B4B1E" w:rsidRDefault="00FE482F" w:rsidP="001B4B1E">
            <w:pPr>
              <w:jc w:val="left"/>
              <w:rPr>
                <w:sz w:val="15"/>
                <w:szCs w:val="16"/>
              </w:rPr>
            </w:pPr>
            <w:r w:rsidRPr="001B4B1E">
              <w:rPr>
                <w:sz w:val="15"/>
                <w:szCs w:val="16"/>
              </w:rPr>
              <w:t>-.508</w:t>
            </w:r>
          </w:p>
        </w:tc>
        <w:tc>
          <w:tcPr>
            <w:tcW w:w="538" w:type="pct"/>
            <w:vAlign w:val="center"/>
          </w:tcPr>
          <w:p w14:paraId="0B2A1838" w14:textId="77777777" w:rsidR="00FE482F" w:rsidRPr="001B4B1E" w:rsidRDefault="00FE482F" w:rsidP="001B4B1E">
            <w:pPr>
              <w:jc w:val="left"/>
              <w:rPr>
                <w:sz w:val="15"/>
                <w:szCs w:val="16"/>
              </w:rPr>
            </w:pPr>
            <w:r w:rsidRPr="001B4B1E">
              <w:rPr>
                <w:sz w:val="15"/>
                <w:szCs w:val="16"/>
              </w:rPr>
              <w:t>-.353</w:t>
            </w:r>
          </w:p>
        </w:tc>
      </w:tr>
      <w:tr w:rsidR="00FE482F" w:rsidRPr="001B4B1E" w14:paraId="6FEFDF10" w14:textId="77777777" w:rsidTr="001B4B1E">
        <w:tc>
          <w:tcPr>
            <w:tcW w:w="912" w:type="pct"/>
            <w:vMerge/>
            <w:vAlign w:val="center"/>
          </w:tcPr>
          <w:p w14:paraId="54D62802" w14:textId="77777777" w:rsidR="00FE482F" w:rsidRPr="001B4B1E" w:rsidRDefault="00FE482F" w:rsidP="001B4B1E">
            <w:pPr>
              <w:jc w:val="left"/>
              <w:rPr>
                <w:b/>
                <w:bCs/>
                <w:sz w:val="15"/>
                <w:szCs w:val="16"/>
              </w:rPr>
            </w:pPr>
          </w:p>
        </w:tc>
        <w:tc>
          <w:tcPr>
            <w:tcW w:w="1404" w:type="pct"/>
            <w:vAlign w:val="center"/>
          </w:tcPr>
          <w:p w14:paraId="36C9C50C" w14:textId="77777777" w:rsidR="00FE482F" w:rsidRPr="001B4B1E" w:rsidRDefault="00FE482F" w:rsidP="001B4B1E">
            <w:pPr>
              <w:jc w:val="left"/>
              <w:rPr>
                <w:sz w:val="15"/>
                <w:szCs w:val="16"/>
              </w:rPr>
            </w:pPr>
            <w:r w:rsidRPr="001B4B1E">
              <w:rPr>
                <w:sz w:val="15"/>
                <w:szCs w:val="16"/>
              </w:rPr>
              <w:t>WSAS - Private Leisure</w:t>
            </w:r>
          </w:p>
        </w:tc>
        <w:tc>
          <w:tcPr>
            <w:tcW w:w="807" w:type="pct"/>
            <w:vAlign w:val="center"/>
          </w:tcPr>
          <w:p w14:paraId="75991B8C" w14:textId="77777777" w:rsidR="00FE482F" w:rsidRPr="001B4B1E" w:rsidRDefault="00FE482F" w:rsidP="001B4B1E">
            <w:pPr>
              <w:jc w:val="left"/>
              <w:rPr>
                <w:sz w:val="15"/>
                <w:szCs w:val="16"/>
              </w:rPr>
            </w:pPr>
            <w:r w:rsidRPr="001B4B1E">
              <w:rPr>
                <w:sz w:val="15"/>
                <w:szCs w:val="16"/>
              </w:rPr>
              <w:t>-.395</w:t>
            </w:r>
          </w:p>
        </w:tc>
        <w:tc>
          <w:tcPr>
            <w:tcW w:w="803" w:type="pct"/>
            <w:vAlign w:val="center"/>
          </w:tcPr>
          <w:p w14:paraId="0DC2C0EC"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036FE957" w14:textId="77777777" w:rsidR="00FE482F" w:rsidRPr="001B4B1E" w:rsidRDefault="00FE482F" w:rsidP="001B4B1E">
            <w:pPr>
              <w:jc w:val="left"/>
              <w:rPr>
                <w:sz w:val="15"/>
                <w:szCs w:val="16"/>
              </w:rPr>
            </w:pPr>
            <w:r w:rsidRPr="001B4B1E">
              <w:rPr>
                <w:sz w:val="15"/>
                <w:szCs w:val="16"/>
              </w:rPr>
              <w:t>-.472</w:t>
            </w:r>
          </w:p>
        </w:tc>
        <w:tc>
          <w:tcPr>
            <w:tcW w:w="538" w:type="pct"/>
            <w:vAlign w:val="center"/>
          </w:tcPr>
          <w:p w14:paraId="77576CA5" w14:textId="77777777" w:rsidR="00FE482F" w:rsidRPr="001B4B1E" w:rsidRDefault="00FE482F" w:rsidP="001B4B1E">
            <w:pPr>
              <w:jc w:val="left"/>
              <w:rPr>
                <w:sz w:val="15"/>
                <w:szCs w:val="16"/>
              </w:rPr>
            </w:pPr>
            <w:r w:rsidRPr="001B4B1E">
              <w:rPr>
                <w:sz w:val="15"/>
                <w:szCs w:val="16"/>
              </w:rPr>
              <w:t>-.311</w:t>
            </w:r>
          </w:p>
        </w:tc>
      </w:tr>
      <w:tr w:rsidR="00FE482F" w:rsidRPr="001B4B1E" w14:paraId="09B3C031" w14:textId="77777777" w:rsidTr="001B4B1E">
        <w:tc>
          <w:tcPr>
            <w:tcW w:w="912" w:type="pct"/>
            <w:vMerge/>
            <w:vAlign w:val="center"/>
          </w:tcPr>
          <w:p w14:paraId="604D6305" w14:textId="77777777" w:rsidR="00FE482F" w:rsidRPr="001B4B1E" w:rsidRDefault="00FE482F" w:rsidP="001B4B1E">
            <w:pPr>
              <w:jc w:val="left"/>
              <w:rPr>
                <w:b/>
                <w:bCs/>
                <w:sz w:val="15"/>
                <w:szCs w:val="16"/>
              </w:rPr>
            </w:pPr>
          </w:p>
        </w:tc>
        <w:tc>
          <w:tcPr>
            <w:tcW w:w="1404" w:type="pct"/>
            <w:vAlign w:val="center"/>
          </w:tcPr>
          <w:p w14:paraId="13DC9A8D" w14:textId="77777777" w:rsidR="00FE482F" w:rsidRPr="001B4B1E" w:rsidRDefault="00FE482F" w:rsidP="001B4B1E">
            <w:pPr>
              <w:jc w:val="left"/>
              <w:rPr>
                <w:sz w:val="15"/>
                <w:szCs w:val="16"/>
              </w:rPr>
            </w:pPr>
            <w:r w:rsidRPr="001B4B1E">
              <w:rPr>
                <w:sz w:val="15"/>
                <w:szCs w:val="16"/>
              </w:rPr>
              <w:t>WSAS - Relationships</w:t>
            </w:r>
          </w:p>
        </w:tc>
        <w:tc>
          <w:tcPr>
            <w:tcW w:w="807" w:type="pct"/>
            <w:vAlign w:val="center"/>
          </w:tcPr>
          <w:p w14:paraId="1121BDA3" w14:textId="77777777" w:rsidR="00FE482F" w:rsidRPr="001B4B1E" w:rsidRDefault="00FE482F" w:rsidP="001B4B1E">
            <w:pPr>
              <w:jc w:val="left"/>
              <w:rPr>
                <w:sz w:val="15"/>
                <w:szCs w:val="16"/>
              </w:rPr>
            </w:pPr>
            <w:r w:rsidRPr="001B4B1E">
              <w:rPr>
                <w:sz w:val="15"/>
                <w:szCs w:val="16"/>
              </w:rPr>
              <w:t>-.393</w:t>
            </w:r>
          </w:p>
        </w:tc>
        <w:tc>
          <w:tcPr>
            <w:tcW w:w="803" w:type="pct"/>
            <w:vAlign w:val="center"/>
          </w:tcPr>
          <w:p w14:paraId="5674C259"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5850A9A5" w14:textId="77777777" w:rsidR="00FE482F" w:rsidRPr="001B4B1E" w:rsidRDefault="00FE482F" w:rsidP="001B4B1E">
            <w:pPr>
              <w:jc w:val="left"/>
              <w:rPr>
                <w:sz w:val="15"/>
                <w:szCs w:val="16"/>
              </w:rPr>
            </w:pPr>
            <w:r w:rsidRPr="001B4B1E">
              <w:rPr>
                <w:sz w:val="15"/>
                <w:szCs w:val="16"/>
              </w:rPr>
              <w:t>-.471</w:t>
            </w:r>
          </w:p>
        </w:tc>
        <w:tc>
          <w:tcPr>
            <w:tcW w:w="538" w:type="pct"/>
            <w:vAlign w:val="center"/>
          </w:tcPr>
          <w:p w14:paraId="29890C90" w14:textId="77777777" w:rsidR="00FE482F" w:rsidRPr="001B4B1E" w:rsidRDefault="00FE482F" w:rsidP="001B4B1E">
            <w:pPr>
              <w:jc w:val="left"/>
              <w:rPr>
                <w:sz w:val="15"/>
                <w:szCs w:val="16"/>
              </w:rPr>
            </w:pPr>
            <w:r w:rsidRPr="001B4B1E">
              <w:rPr>
                <w:sz w:val="15"/>
                <w:szCs w:val="16"/>
              </w:rPr>
              <w:t>-.310</w:t>
            </w:r>
          </w:p>
        </w:tc>
      </w:tr>
      <w:tr w:rsidR="00FE482F" w:rsidRPr="001B4B1E" w14:paraId="77BF04C6" w14:textId="77777777" w:rsidTr="001B4B1E">
        <w:tc>
          <w:tcPr>
            <w:tcW w:w="912" w:type="pct"/>
            <w:vMerge/>
            <w:vAlign w:val="center"/>
          </w:tcPr>
          <w:p w14:paraId="4FE0BD0A" w14:textId="77777777" w:rsidR="00FE482F" w:rsidRPr="001B4B1E" w:rsidRDefault="00FE482F" w:rsidP="001B4B1E">
            <w:pPr>
              <w:jc w:val="left"/>
              <w:rPr>
                <w:b/>
                <w:bCs/>
                <w:sz w:val="15"/>
                <w:szCs w:val="16"/>
              </w:rPr>
            </w:pPr>
          </w:p>
        </w:tc>
        <w:tc>
          <w:tcPr>
            <w:tcW w:w="1404" w:type="pct"/>
            <w:vAlign w:val="center"/>
          </w:tcPr>
          <w:p w14:paraId="7BC10D09" w14:textId="77777777" w:rsidR="00FE482F" w:rsidRPr="001B4B1E" w:rsidRDefault="00FE482F" w:rsidP="001B4B1E">
            <w:pPr>
              <w:jc w:val="left"/>
              <w:rPr>
                <w:sz w:val="15"/>
                <w:szCs w:val="16"/>
              </w:rPr>
            </w:pPr>
            <w:r w:rsidRPr="001B4B1E">
              <w:rPr>
                <w:sz w:val="15"/>
                <w:szCs w:val="16"/>
              </w:rPr>
              <w:t>UCS_1</w:t>
            </w:r>
          </w:p>
        </w:tc>
        <w:tc>
          <w:tcPr>
            <w:tcW w:w="807" w:type="pct"/>
            <w:vAlign w:val="center"/>
          </w:tcPr>
          <w:p w14:paraId="381DFB65" w14:textId="77777777" w:rsidR="00FE482F" w:rsidRPr="001B4B1E" w:rsidRDefault="00FE482F" w:rsidP="001B4B1E">
            <w:pPr>
              <w:jc w:val="left"/>
              <w:rPr>
                <w:sz w:val="15"/>
                <w:szCs w:val="16"/>
              </w:rPr>
            </w:pPr>
            <w:r w:rsidRPr="001B4B1E">
              <w:rPr>
                <w:sz w:val="15"/>
                <w:szCs w:val="16"/>
              </w:rPr>
              <w:t>-.192</w:t>
            </w:r>
          </w:p>
        </w:tc>
        <w:tc>
          <w:tcPr>
            <w:tcW w:w="803" w:type="pct"/>
            <w:vAlign w:val="center"/>
          </w:tcPr>
          <w:p w14:paraId="71422589"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11A6DC6D" w14:textId="77777777" w:rsidR="00FE482F" w:rsidRPr="001B4B1E" w:rsidRDefault="00FE482F" w:rsidP="001B4B1E">
            <w:pPr>
              <w:jc w:val="left"/>
              <w:rPr>
                <w:sz w:val="15"/>
                <w:szCs w:val="16"/>
              </w:rPr>
            </w:pPr>
            <w:r w:rsidRPr="001B4B1E">
              <w:rPr>
                <w:sz w:val="15"/>
                <w:szCs w:val="16"/>
              </w:rPr>
              <w:t>-.282</w:t>
            </w:r>
          </w:p>
        </w:tc>
        <w:tc>
          <w:tcPr>
            <w:tcW w:w="538" w:type="pct"/>
            <w:vAlign w:val="center"/>
          </w:tcPr>
          <w:p w14:paraId="49630B8D" w14:textId="77777777" w:rsidR="00FE482F" w:rsidRPr="001B4B1E" w:rsidRDefault="00FE482F" w:rsidP="001B4B1E">
            <w:pPr>
              <w:jc w:val="left"/>
              <w:rPr>
                <w:sz w:val="15"/>
                <w:szCs w:val="16"/>
              </w:rPr>
            </w:pPr>
            <w:r w:rsidRPr="001B4B1E">
              <w:rPr>
                <w:sz w:val="15"/>
                <w:szCs w:val="16"/>
              </w:rPr>
              <w:t>-.098</w:t>
            </w:r>
          </w:p>
        </w:tc>
      </w:tr>
      <w:tr w:rsidR="00FE482F" w:rsidRPr="001B4B1E" w14:paraId="708E52FF" w14:textId="77777777" w:rsidTr="001B4B1E">
        <w:tc>
          <w:tcPr>
            <w:tcW w:w="912" w:type="pct"/>
            <w:vMerge/>
            <w:vAlign w:val="center"/>
          </w:tcPr>
          <w:p w14:paraId="762716FD" w14:textId="77777777" w:rsidR="00FE482F" w:rsidRPr="001B4B1E" w:rsidRDefault="00FE482F" w:rsidP="001B4B1E">
            <w:pPr>
              <w:jc w:val="left"/>
              <w:rPr>
                <w:b/>
                <w:bCs/>
                <w:sz w:val="15"/>
                <w:szCs w:val="16"/>
              </w:rPr>
            </w:pPr>
          </w:p>
        </w:tc>
        <w:tc>
          <w:tcPr>
            <w:tcW w:w="1404" w:type="pct"/>
            <w:vAlign w:val="center"/>
          </w:tcPr>
          <w:p w14:paraId="54A9D9E0" w14:textId="77777777" w:rsidR="00FE482F" w:rsidRPr="001B4B1E" w:rsidRDefault="00FE482F" w:rsidP="001B4B1E">
            <w:pPr>
              <w:jc w:val="left"/>
              <w:rPr>
                <w:sz w:val="15"/>
                <w:szCs w:val="16"/>
              </w:rPr>
            </w:pPr>
            <w:r w:rsidRPr="001B4B1E">
              <w:rPr>
                <w:sz w:val="15"/>
                <w:szCs w:val="16"/>
              </w:rPr>
              <w:t>UCS_2</w:t>
            </w:r>
          </w:p>
        </w:tc>
        <w:tc>
          <w:tcPr>
            <w:tcW w:w="807" w:type="pct"/>
            <w:vAlign w:val="center"/>
          </w:tcPr>
          <w:p w14:paraId="13184ADB" w14:textId="77777777" w:rsidR="00FE482F" w:rsidRPr="001B4B1E" w:rsidRDefault="00FE482F" w:rsidP="001B4B1E">
            <w:pPr>
              <w:jc w:val="left"/>
              <w:rPr>
                <w:sz w:val="15"/>
                <w:szCs w:val="16"/>
              </w:rPr>
            </w:pPr>
            <w:r w:rsidRPr="001B4B1E">
              <w:rPr>
                <w:sz w:val="15"/>
                <w:szCs w:val="16"/>
              </w:rPr>
              <w:t>-.146</w:t>
            </w:r>
          </w:p>
        </w:tc>
        <w:tc>
          <w:tcPr>
            <w:tcW w:w="803" w:type="pct"/>
            <w:vAlign w:val="center"/>
          </w:tcPr>
          <w:p w14:paraId="25FC7D4A" w14:textId="77777777" w:rsidR="00FE482F" w:rsidRPr="001B4B1E" w:rsidRDefault="00FE482F" w:rsidP="001B4B1E">
            <w:pPr>
              <w:jc w:val="left"/>
              <w:rPr>
                <w:sz w:val="15"/>
                <w:szCs w:val="16"/>
              </w:rPr>
            </w:pPr>
            <w:r w:rsidRPr="001B4B1E">
              <w:rPr>
                <w:sz w:val="15"/>
                <w:szCs w:val="16"/>
              </w:rPr>
              <w:t>.002</w:t>
            </w:r>
          </w:p>
        </w:tc>
        <w:tc>
          <w:tcPr>
            <w:tcW w:w="536" w:type="pct"/>
            <w:vAlign w:val="center"/>
          </w:tcPr>
          <w:p w14:paraId="625F4F88" w14:textId="77777777" w:rsidR="00FE482F" w:rsidRPr="001B4B1E" w:rsidRDefault="00FE482F" w:rsidP="001B4B1E">
            <w:pPr>
              <w:jc w:val="left"/>
              <w:rPr>
                <w:sz w:val="15"/>
                <w:szCs w:val="16"/>
              </w:rPr>
            </w:pPr>
            <w:r w:rsidRPr="001B4B1E">
              <w:rPr>
                <w:sz w:val="15"/>
                <w:szCs w:val="16"/>
              </w:rPr>
              <w:t>-.237</w:t>
            </w:r>
          </w:p>
        </w:tc>
        <w:tc>
          <w:tcPr>
            <w:tcW w:w="538" w:type="pct"/>
            <w:vAlign w:val="center"/>
          </w:tcPr>
          <w:p w14:paraId="7D7AF177" w14:textId="77777777" w:rsidR="00FE482F" w:rsidRPr="001B4B1E" w:rsidRDefault="00FE482F" w:rsidP="001B4B1E">
            <w:pPr>
              <w:jc w:val="left"/>
              <w:rPr>
                <w:sz w:val="15"/>
                <w:szCs w:val="16"/>
              </w:rPr>
            </w:pPr>
            <w:r w:rsidRPr="001B4B1E">
              <w:rPr>
                <w:sz w:val="15"/>
                <w:szCs w:val="16"/>
              </w:rPr>
              <w:t>-.051</w:t>
            </w:r>
          </w:p>
        </w:tc>
      </w:tr>
      <w:tr w:rsidR="00FE482F" w:rsidRPr="001B4B1E" w14:paraId="615C5E7C" w14:textId="77777777" w:rsidTr="001B4B1E">
        <w:tc>
          <w:tcPr>
            <w:tcW w:w="912" w:type="pct"/>
            <w:vMerge/>
            <w:vAlign w:val="center"/>
          </w:tcPr>
          <w:p w14:paraId="1F12E8B7" w14:textId="77777777" w:rsidR="00FE482F" w:rsidRPr="001B4B1E" w:rsidRDefault="00FE482F" w:rsidP="001B4B1E">
            <w:pPr>
              <w:jc w:val="left"/>
              <w:rPr>
                <w:b/>
                <w:bCs/>
                <w:sz w:val="15"/>
                <w:szCs w:val="16"/>
              </w:rPr>
            </w:pPr>
          </w:p>
        </w:tc>
        <w:tc>
          <w:tcPr>
            <w:tcW w:w="1404" w:type="pct"/>
            <w:vAlign w:val="center"/>
          </w:tcPr>
          <w:p w14:paraId="3376737F" w14:textId="77777777" w:rsidR="00FE482F" w:rsidRPr="001B4B1E" w:rsidRDefault="00FE482F" w:rsidP="001B4B1E">
            <w:pPr>
              <w:jc w:val="left"/>
              <w:rPr>
                <w:sz w:val="15"/>
                <w:szCs w:val="16"/>
              </w:rPr>
            </w:pPr>
            <w:r w:rsidRPr="001B4B1E">
              <w:rPr>
                <w:sz w:val="15"/>
                <w:szCs w:val="16"/>
              </w:rPr>
              <w:t>UCS_3</w:t>
            </w:r>
          </w:p>
        </w:tc>
        <w:tc>
          <w:tcPr>
            <w:tcW w:w="807" w:type="pct"/>
            <w:vAlign w:val="center"/>
          </w:tcPr>
          <w:p w14:paraId="62399FC2" w14:textId="77777777" w:rsidR="00FE482F" w:rsidRPr="001B4B1E" w:rsidRDefault="00FE482F" w:rsidP="001B4B1E">
            <w:pPr>
              <w:jc w:val="left"/>
              <w:rPr>
                <w:sz w:val="15"/>
                <w:szCs w:val="16"/>
              </w:rPr>
            </w:pPr>
            <w:r w:rsidRPr="001B4B1E">
              <w:rPr>
                <w:sz w:val="15"/>
                <w:szCs w:val="16"/>
              </w:rPr>
              <w:t>-.122</w:t>
            </w:r>
          </w:p>
        </w:tc>
        <w:tc>
          <w:tcPr>
            <w:tcW w:w="803" w:type="pct"/>
            <w:vAlign w:val="center"/>
          </w:tcPr>
          <w:p w14:paraId="57B2C066" w14:textId="77777777" w:rsidR="00FE482F" w:rsidRPr="001B4B1E" w:rsidRDefault="00FE482F" w:rsidP="001B4B1E">
            <w:pPr>
              <w:jc w:val="left"/>
              <w:rPr>
                <w:sz w:val="15"/>
                <w:szCs w:val="16"/>
              </w:rPr>
            </w:pPr>
            <w:r w:rsidRPr="001B4B1E">
              <w:rPr>
                <w:sz w:val="15"/>
                <w:szCs w:val="16"/>
              </w:rPr>
              <w:t>.009</w:t>
            </w:r>
          </w:p>
        </w:tc>
        <w:tc>
          <w:tcPr>
            <w:tcW w:w="536" w:type="pct"/>
            <w:vAlign w:val="center"/>
          </w:tcPr>
          <w:p w14:paraId="7F8BEA9C" w14:textId="77777777" w:rsidR="00FE482F" w:rsidRPr="001B4B1E" w:rsidRDefault="00FE482F" w:rsidP="001B4B1E">
            <w:pPr>
              <w:jc w:val="left"/>
              <w:rPr>
                <w:sz w:val="15"/>
                <w:szCs w:val="16"/>
              </w:rPr>
            </w:pPr>
            <w:r w:rsidRPr="001B4B1E">
              <w:rPr>
                <w:sz w:val="15"/>
                <w:szCs w:val="16"/>
              </w:rPr>
              <w:t>-.215</w:t>
            </w:r>
          </w:p>
        </w:tc>
        <w:tc>
          <w:tcPr>
            <w:tcW w:w="538" w:type="pct"/>
            <w:vAlign w:val="center"/>
          </w:tcPr>
          <w:p w14:paraId="35B44F8B" w14:textId="77777777" w:rsidR="00FE482F" w:rsidRPr="001B4B1E" w:rsidRDefault="00FE482F" w:rsidP="001B4B1E">
            <w:pPr>
              <w:jc w:val="left"/>
              <w:rPr>
                <w:sz w:val="15"/>
                <w:szCs w:val="16"/>
              </w:rPr>
            </w:pPr>
            <w:r w:rsidRPr="001B4B1E">
              <w:rPr>
                <w:sz w:val="15"/>
                <w:szCs w:val="16"/>
              </w:rPr>
              <w:t>-.028</w:t>
            </w:r>
          </w:p>
        </w:tc>
      </w:tr>
      <w:tr w:rsidR="00FE482F" w:rsidRPr="001B4B1E" w14:paraId="253A0862" w14:textId="77777777" w:rsidTr="001B4B1E">
        <w:tc>
          <w:tcPr>
            <w:tcW w:w="912" w:type="pct"/>
            <w:vMerge/>
            <w:vAlign w:val="center"/>
          </w:tcPr>
          <w:p w14:paraId="2FA1B6D4" w14:textId="77777777" w:rsidR="00FE482F" w:rsidRPr="001B4B1E" w:rsidRDefault="00FE482F" w:rsidP="001B4B1E">
            <w:pPr>
              <w:jc w:val="left"/>
              <w:rPr>
                <w:b/>
                <w:bCs/>
                <w:sz w:val="15"/>
                <w:szCs w:val="16"/>
              </w:rPr>
            </w:pPr>
          </w:p>
        </w:tc>
        <w:tc>
          <w:tcPr>
            <w:tcW w:w="1404" w:type="pct"/>
            <w:vAlign w:val="center"/>
          </w:tcPr>
          <w:p w14:paraId="69EFBF8D" w14:textId="77777777" w:rsidR="00FE482F" w:rsidRPr="001B4B1E" w:rsidRDefault="00FE482F" w:rsidP="001B4B1E">
            <w:pPr>
              <w:jc w:val="left"/>
              <w:rPr>
                <w:sz w:val="15"/>
                <w:szCs w:val="16"/>
              </w:rPr>
            </w:pPr>
            <w:r w:rsidRPr="001B4B1E">
              <w:rPr>
                <w:sz w:val="15"/>
                <w:szCs w:val="16"/>
              </w:rPr>
              <w:t>UCS_4</w:t>
            </w:r>
          </w:p>
        </w:tc>
        <w:tc>
          <w:tcPr>
            <w:tcW w:w="807" w:type="pct"/>
            <w:vAlign w:val="center"/>
          </w:tcPr>
          <w:p w14:paraId="2D946A93" w14:textId="77777777" w:rsidR="00FE482F" w:rsidRPr="001B4B1E" w:rsidRDefault="00FE482F" w:rsidP="001B4B1E">
            <w:pPr>
              <w:jc w:val="left"/>
              <w:rPr>
                <w:sz w:val="15"/>
                <w:szCs w:val="16"/>
              </w:rPr>
            </w:pPr>
            <w:r w:rsidRPr="001B4B1E">
              <w:rPr>
                <w:sz w:val="15"/>
                <w:szCs w:val="16"/>
              </w:rPr>
              <w:t>-.102</w:t>
            </w:r>
          </w:p>
        </w:tc>
        <w:tc>
          <w:tcPr>
            <w:tcW w:w="803" w:type="pct"/>
            <w:vAlign w:val="center"/>
          </w:tcPr>
          <w:p w14:paraId="31C967E3" w14:textId="77777777" w:rsidR="00FE482F" w:rsidRPr="001B4B1E" w:rsidRDefault="00FE482F" w:rsidP="001B4B1E">
            <w:pPr>
              <w:jc w:val="left"/>
              <w:rPr>
                <w:sz w:val="15"/>
                <w:szCs w:val="16"/>
              </w:rPr>
            </w:pPr>
            <w:r w:rsidRPr="001B4B1E">
              <w:rPr>
                <w:sz w:val="15"/>
                <w:szCs w:val="16"/>
              </w:rPr>
              <w:t>.030</w:t>
            </w:r>
          </w:p>
        </w:tc>
        <w:tc>
          <w:tcPr>
            <w:tcW w:w="536" w:type="pct"/>
            <w:vAlign w:val="center"/>
          </w:tcPr>
          <w:p w14:paraId="16A34B2E" w14:textId="77777777" w:rsidR="00FE482F" w:rsidRPr="001B4B1E" w:rsidRDefault="00FE482F" w:rsidP="001B4B1E">
            <w:pPr>
              <w:jc w:val="left"/>
              <w:rPr>
                <w:sz w:val="15"/>
                <w:szCs w:val="16"/>
              </w:rPr>
            </w:pPr>
            <w:r w:rsidRPr="001B4B1E">
              <w:rPr>
                <w:sz w:val="15"/>
                <w:szCs w:val="16"/>
              </w:rPr>
              <w:t>-.196</w:t>
            </w:r>
          </w:p>
        </w:tc>
        <w:tc>
          <w:tcPr>
            <w:tcW w:w="538" w:type="pct"/>
            <w:vAlign w:val="center"/>
          </w:tcPr>
          <w:p w14:paraId="1187E3C7" w14:textId="77777777" w:rsidR="00FE482F" w:rsidRPr="001B4B1E" w:rsidRDefault="00FE482F" w:rsidP="001B4B1E">
            <w:pPr>
              <w:jc w:val="left"/>
              <w:rPr>
                <w:sz w:val="15"/>
                <w:szCs w:val="16"/>
              </w:rPr>
            </w:pPr>
            <w:r w:rsidRPr="001B4B1E">
              <w:rPr>
                <w:sz w:val="15"/>
                <w:szCs w:val="16"/>
              </w:rPr>
              <w:t>-.007</w:t>
            </w:r>
          </w:p>
        </w:tc>
      </w:tr>
      <w:tr w:rsidR="00FE482F" w:rsidRPr="001B4B1E" w14:paraId="0B3D3B6F" w14:textId="77777777" w:rsidTr="001B4B1E">
        <w:tc>
          <w:tcPr>
            <w:tcW w:w="912" w:type="pct"/>
            <w:vMerge/>
            <w:vAlign w:val="center"/>
          </w:tcPr>
          <w:p w14:paraId="3E606F31" w14:textId="77777777" w:rsidR="00FE482F" w:rsidRPr="001B4B1E" w:rsidRDefault="00FE482F" w:rsidP="001B4B1E">
            <w:pPr>
              <w:jc w:val="left"/>
              <w:rPr>
                <w:b/>
                <w:bCs/>
                <w:sz w:val="15"/>
                <w:szCs w:val="16"/>
              </w:rPr>
            </w:pPr>
          </w:p>
        </w:tc>
        <w:tc>
          <w:tcPr>
            <w:tcW w:w="1404" w:type="pct"/>
            <w:vAlign w:val="center"/>
          </w:tcPr>
          <w:p w14:paraId="1496919B" w14:textId="77777777" w:rsidR="00FE482F" w:rsidRPr="001B4B1E" w:rsidRDefault="00FE482F" w:rsidP="001B4B1E">
            <w:pPr>
              <w:jc w:val="left"/>
              <w:rPr>
                <w:sz w:val="15"/>
                <w:szCs w:val="16"/>
              </w:rPr>
            </w:pPr>
            <w:r w:rsidRPr="001B4B1E">
              <w:rPr>
                <w:sz w:val="15"/>
                <w:szCs w:val="16"/>
              </w:rPr>
              <w:t>UCS_5</w:t>
            </w:r>
          </w:p>
        </w:tc>
        <w:tc>
          <w:tcPr>
            <w:tcW w:w="807" w:type="pct"/>
            <w:vAlign w:val="center"/>
          </w:tcPr>
          <w:p w14:paraId="6F5CA2E0" w14:textId="77777777" w:rsidR="00FE482F" w:rsidRPr="001B4B1E" w:rsidRDefault="00FE482F" w:rsidP="001B4B1E">
            <w:pPr>
              <w:jc w:val="left"/>
              <w:rPr>
                <w:sz w:val="15"/>
                <w:szCs w:val="16"/>
              </w:rPr>
            </w:pPr>
            <w:r w:rsidRPr="001B4B1E">
              <w:rPr>
                <w:sz w:val="15"/>
                <w:szCs w:val="16"/>
              </w:rPr>
              <w:t>-.174</w:t>
            </w:r>
          </w:p>
        </w:tc>
        <w:tc>
          <w:tcPr>
            <w:tcW w:w="803" w:type="pct"/>
            <w:vAlign w:val="center"/>
          </w:tcPr>
          <w:p w14:paraId="4FE154B9"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127C2609" w14:textId="77777777" w:rsidR="00FE482F" w:rsidRPr="001B4B1E" w:rsidRDefault="00FE482F" w:rsidP="001B4B1E">
            <w:pPr>
              <w:jc w:val="left"/>
              <w:rPr>
                <w:sz w:val="15"/>
                <w:szCs w:val="16"/>
              </w:rPr>
            </w:pPr>
            <w:r w:rsidRPr="001B4B1E">
              <w:rPr>
                <w:sz w:val="15"/>
                <w:szCs w:val="16"/>
              </w:rPr>
              <w:t>-.265</w:t>
            </w:r>
          </w:p>
        </w:tc>
        <w:tc>
          <w:tcPr>
            <w:tcW w:w="538" w:type="pct"/>
            <w:vAlign w:val="center"/>
          </w:tcPr>
          <w:p w14:paraId="3FCBDF2B" w14:textId="77777777" w:rsidR="00FE482F" w:rsidRPr="001B4B1E" w:rsidRDefault="00FE482F" w:rsidP="001B4B1E">
            <w:pPr>
              <w:jc w:val="left"/>
              <w:rPr>
                <w:sz w:val="15"/>
                <w:szCs w:val="16"/>
              </w:rPr>
            </w:pPr>
            <w:r w:rsidRPr="001B4B1E">
              <w:rPr>
                <w:sz w:val="15"/>
                <w:szCs w:val="16"/>
              </w:rPr>
              <w:t>-.080</w:t>
            </w:r>
          </w:p>
        </w:tc>
      </w:tr>
      <w:tr w:rsidR="00FE482F" w:rsidRPr="001B4B1E" w14:paraId="58A0749E" w14:textId="77777777" w:rsidTr="001B4B1E">
        <w:tc>
          <w:tcPr>
            <w:tcW w:w="912" w:type="pct"/>
            <w:vMerge/>
            <w:vAlign w:val="center"/>
          </w:tcPr>
          <w:p w14:paraId="471DB763" w14:textId="77777777" w:rsidR="00FE482F" w:rsidRPr="001B4B1E" w:rsidRDefault="00FE482F" w:rsidP="001B4B1E">
            <w:pPr>
              <w:jc w:val="left"/>
              <w:rPr>
                <w:b/>
                <w:bCs/>
                <w:sz w:val="15"/>
                <w:szCs w:val="16"/>
              </w:rPr>
            </w:pPr>
          </w:p>
        </w:tc>
        <w:tc>
          <w:tcPr>
            <w:tcW w:w="1404" w:type="pct"/>
            <w:vAlign w:val="center"/>
          </w:tcPr>
          <w:p w14:paraId="5A11354B" w14:textId="77777777" w:rsidR="00FE482F" w:rsidRPr="001B4B1E" w:rsidRDefault="00FE482F" w:rsidP="001B4B1E">
            <w:pPr>
              <w:jc w:val="left"/>
              <w:rPr>
                <w:sz w:val="15"/>
                <w:szCs w:val="16"/>
              </w:rPr>
            </w:pPr>
            <w:r w:rsidRPr="001B4B1E">
              <w:rPr>
                <w:sz w:val="15"/>
                <w:szCs w:val="16"/>
              </w:rPr>
              <w:t>UCS_6</w:t>
            </w:r>
          </w:p>
        </w:tc>
        <w:tc>
          <w:tcPr>
            <w:tcW w:w="807" w:type="pct"/>
            <w:vAlign w:val="center"/>
          </w:tcPr>
          <w:p w14:paraId="61366067" w14:textId="77777777" w:rsidR="00FE482F" w:rsidRPr="001B4B1E" w:rsidRDefault="00FE482F" w:rsidP="001B4B1E">
            <w:pPr>
              <w:jc w:val="left"/>
              <w:rPr>
                <w:sz w:val="15"/>
                <w:szCs w:val="16"/>
              </w:rPr>
            </w:pPr>
            <w:r w:rsidRPr="001B4B1E">
              <w:rPr>
                <w:sz w:val="15"/>
                <w:szCs w:val="16"/>
              </w:rPr>
              <w:t>-.196</w:t>
            </w:r>
          </w:p>
        </w:tc>
        <w:tc>
          <w:tcPr>
            <w:tcW w:w="803" w:type="pct"/>
            <w:vAlign w:val="center"/>
          </w:tcPr>
          <w:p w14:paraId="7E1D274E"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3F79DE03" w14:textId="77777777" w:rsidR="00FE482F" w:rsidRPr="001B4B1E" w:rsidRDefault="00FE482F" w:rsidP="001B4B1E">
            <w:pPr>
              <w:jc w:val="left"/>
              <w:rPr>
                <w:sz w:val="15"/>
                <w:szCs w:val="16"/>
              </w:rPr>
            </w:pPr>
            <w:r w:rsidRPr="001B4B1E">
              <w:rPr>
                <w:sz w:val="15"/>
                <w:szCs w:val="16"/>
              </w:rPr>
              <w:t>-.286</w:t>
            </w:r>
          </w:p>
        </w:tc>
        <w:tc>
          <w:tcPr>
            <w:tcW w:w="538" w:type="pct"/>
            <w:vAlign w:val="center"/>
          </w:tcPr>
          <w:p w14:paraId="4146EA8A" w14:textId="77777777" w:rsidR="00FE482F" w:rsidRPr="001B4B1E" w:rsidRDefault="00FE482F" w:rsidP="001B4B1E">
            <w:pPr>
              <w:jc w:val="left"/>
              <w:rPr>
                <w:sz w:val="15"/>
                <w:szCs w:val="16"/>
              </w:rPr>
            </w:pPr>
            <w:r w:rsidRPr="001B4B1E">
              <w:rPr>
                <w:sz w:val="15"/>
                <w:szCs w:val="16"/>
              </w:rPr>
              <w:t>-.103</w:t>
            </w:r>
          </w:p>
        </w:tc>
      </w:tr>
      <w:tr w:rsidR="00FE482F" w:rsidRPr="001B4B1E" w14:paraId="7A0822F2" w14:textId="77777777" w:rsidTr="001B4B1E">
        <w:trPr>
          <w:trHeight w:val="75"/>
        </w:trPr>
        <w:tc>
          <w:tcPr>
            <w:tcW w:w="912" w:type="pct"/>
            <w:vMerge/>
            <w:vAlign w:val="center"/>
          </w:tcPr>
          <w:p w14:paraId="1EA6ABFD" w14:textId="77777777" w:rsidR="00FE482F" w:rsidRPr="001B4B1E" w:rsidRDefault="00FE482F" w:rsidP="001B4B1E">
            <w:pPr>
              <w:jc w:val="left"/>
              <w:rPr>
                <w:b/>
                <w:bCs/>
                <w:sz w:val="15"/>
                <w:szCs w:val="16"/>
              </w:rPr>
            </w:pPr>
          </w:p>
        </w:tc>
        <w:tc>
          <w:tcPr>
            <w:tcW w:w="1404" w:type="pct"/>
            <w:vAlign w:val="center"/>
          </w:tcPr>
          <w:p w14:paraId="7B20D389" w14:textId="77777777" w:rsidR="00FE482F" w:rsidRPr="001B4B1E" w:rsidRDefault="00FE482F" w:rsidP="001B4B1E">
            <w:pPr>
              <w:jc w:val="left"/>
              <w:rPr>
                <w:sz w:val="15"/>
                <w:szCs w:val="16"/>
              </w:rPr>
            </w:pPr>
            <w:r w:rsidRPr="001B4B1E">
              <w:rPr>
                <w:sz w:val="15"/>
                <w:szCs w:val="16"/>
              </w:rPr>
              <w:t>UCS_7</w:t>
            </w:r>
          </w:p>
        </w:tc>
        <w:tc>
          <w:tcPr>
            <w:tcW w:w="807" w:type="pct"/>
            <w:vAlign w:val="center"/>
          </w:tcPr>
          <w:p w14:paraId="35602BAD" w14:textId="77777777" w:rsidR="00FE482F" w:rsidRPr="001B4B1E" w:rsidRDefault="00FE482F" w:rsidP="001B4B1E">
            <w:pPr>
              <w:jc w:val="left"/>
              <w:rPr>
                <w:sz w:val="15"/>
                <w:szCs w:val="16"/>
              </w:rPr>
            </w:pPr>
            <w:r w:rsidRPr="001B4B1E">
              <w:rPr>
                <w:sz w:val="15"/>
                <w:szCs w:val="16"/>
              </w:rPr>
              <w:t>-.106</w:t>
            </w:r>
          </w:p>
        </w:tc>
        <w:tc>
          <w:tcPr>
            <w:tcW w:w="803" w:type="pct"/>
            <w:vAlign w:val="center"/>
          </w:tcPr>
          <w:p w14:paraId="45785DE5" w14:textId="77777777" w:rsidR="00FE482F" w:rsidRPr="001B4B1E" w:rsidRDefault="00FE482F" w:rsidP="001B4B1E">
            <w:pPr>
              <w:jc w:val="left"/>
              <w:rPr>
                <w:sz w:val="15"/>
                <w:szCs w:val="16"/>
              </w:rPr>
            </w:pPr>
            <w:r w:rsidRPr="001B4B1E">
              <w:rPr>
                <w:sz w:val="15"/>
                <w:szCs w:val="16"/>
              </w:rPr>
              <w:t>.024</w:t>
            </w:r>
          </w:p>
        </w:tc>
        <w:tc>
          <w:tcPr>
            <w:tcW w:w="536" w:type="pct"/>
            <w:vAlign w:val="center"/>
          </w:tcPr>
          <w:p w14:paraId="35B6F00F" w14:textId="77777777" w:rsidR="00FE482F" w:rsidRPr="001B4B1E" w:rsidRDefault="00FE482F" w:rsidP="001B4B1E">
            <w:pPr>
              <w:jc w:val="left"/>
              <w:rPr>
                <w:sz w:val="15"/>
                <w:szCs w:val="16"/>
              </w:rPr>
            </w:pPr>
            <w:r w:rsidRPr="001B4B1E">
              <w:rPr>
                <w:sz w:val="15"/>
                <w:szCs w:val="16"/>
              </w:rPr>
              <w:t>-.199</w:t>
            </w:r>
          </w:p>
        </w:tc>
        <w:tc>
          <w:tcPr>
            <w:tcW w:w="538" w:type="pct"/>
            <w:vAlign w:val="center"/>
          </w:tcPr>
          <w:p w14:paraId="46244F6F" w14:textId="77777777" w:rsidR="00FE482F" w:rsidRPr="001B4B1E" w:rsidRDefault="00FE482F" w:rsidP="001B4B1E">
            <w:pPr>
              <w:jc w:val="left"/>
              <w:rPr>
                <w:sz w:val="15"/>
                <w:szCs w:val="16"/>
              </w:rPr>
            </w:pPr>
            <w:r w:rsidRPr="001B4B1E">
              <w:rPr>
                <w:sz w:val="15"/>
                <w:szCs w:val="16"/>
              </w:rPr>
              <w:t>-.011</w:t>
            </w:r>
          </w:p>
        </w:tc>
      </w:tr>
      <w:tr w:rsidR="00FE482F" w:rsidRPr="001B4B1E" w14:paraId="362DCAC6" w14:textId="77777777" w:rsidTr="001B4B1E">
        <w:tc>
          <w:tcPr>
            <w:tcW w:w="912" w:type="pct"/>
            <w:vMerge/>
            <w:vAlign w:val="center"/>
          </w:tcPr>
          <w:p w14:paraId="2531A503" w14:textId="77777777" w:rsidR="00FE482F" w:rsidRPr="001B4B1E" w:rsidRDefault="00FE482F" w:rsidP="001B4B1E">
            <w:pPr>
              <w:jc w:val="left"/>
              <w:rPr>
                <w:b/>
                <w:bCs/>
                <w:sz w:val="15"/>
                <w:szCs w:val="16"/>
              </w:rPr>
            </w:pPr>
          </w:p>
        </w:tc>
        <w:tc>
          <w:tcPr>
            <w:tcW w:w="1404" w:type="pct"/>
            <w:vAlign w:val="center"/>
          </w:tcPr>
          <w:p w14:paraId="7C942ABE" w14:textId="77777777" w:rsidR="00FE482F" w:rsidRPr="001B4B1E" w:rsidRDefault="00FE482F" w:rsidP="001B4B1E">
            <w:pPr>
              <w:jc w:val="left"/>
              <w:rPr>
                <w:sz w:val="15"/>
                <w:szCs w:val="16"/>
              </w:rPr>
            </w:pPr>
            <w:r w:rsidRPr="001B4B1E">
              <w:rPr>
                <w:sz w:val="15"/>
                <w:szCs w:val="16"/>
              </w:rPr>
              <w:t>UCS_8</w:t>
            </w:r>
          </w:p>
        </w:tc>
        <w:tc>
          <w:tcPr>
            <w:tcW w:w="807" w:type="pct"/>
            <w:vAlign w:val="center"/>
          </w:tcPr>
          <w:p w14:paraId="5B38C63D" w14:textId="77777777" w:rsidR="00FE482F" w:rsidRPr="001B4B1E" w:rsidRDefault="00FE482F" w:rsidP="001B4B1E">
            <w:pPr>
              <w:jc w:val="left"/>
              <w:rPr>
                <w:sz w:val="15"/>
                <w:szCs w:val="16"/>
              </w:rPr>
            </w:pPr>
            <w:r w:rsidRPr="001B4B1E">
              <w:rPr>
                <w:sz w:val="15"/>
                <w:szCs w:val="16"/>
              </w:rPr>
              <w:t>-.067</w:t>
            </w:r>
          </w:p>
        </w:tc>
        <w:tc>
          <w:tcPr>
            <w:tcW w:w="803" w:type="pct"/>
            <w:vAlign w:val="center"/>
          </w:tcPr>
          <w:p w14:paraId="2C19FEE2" w14:textId="77777777" w:rsidR="00FE482F" w:rsidRPr="001B4B1E" w:rsidRDefault="00FE482F" w:rsidP="001B4B1E">
            <w:pPr>
              <w:jc w:val="left"/>
              <w:rPr>
                <w:sz w:val="15"/>
                <w:szCs w:val="16"/>
              </w:rPr>
            </w:pPr>
            <w:r w:rsidRPr="001B4B1E">
              <w:rPr>
                <w:sz w:val="15"/>
                <w:szCs w:val="16"/>
              </w:rPr>
              <w:t>.154</w:t>
            </w:r>
          </w:p>
        </w:tc>
        <w:tc>
          <w:tcPr>
            <w:tcW w:w="536" w:type="pct"/>
            <w:vAlign w:val="center"/>
          </w:tcPr>
          <w:p w14:paraId="7C53ED14" w14:textId="77777777" w:rsidR="00FE482F" w:rsidRPr="001B4B1E" w:rsidRDefault="00FE482F" w:rsidP="001B4B1E">
            <w:pPr>
              <w:jc w:val="left"/>
              <w:rPr>
                <w:sz w:val="15"/>
                <w:szCs w:val="16"/>
              </w:rPr>
            </w:pPr>
            <w:r w:rsidRPr="001B4B1E">
              <w:rPr>
                <w:sz w:val="15"/>
                <w:szCs w:val="16"/>
              </w:rPr>
              <w:t>-.161</w:t>
            </w:r>
          </w:p>
        </w:tc>
        <w:tc>
          <w:tcPr>
            <w:tcW w:w="538" w:type="pct"/>
            <w:vAlign w:val="center"/>
          </w:tcPr>
          <w:p w14:paraId="3ABB1552" w14:textId="77777777" w:rsidR="00FE482F" w:rsidRPr="001B4B1E" w:rsidRDefault="00FE482F" w:rsidP="001B4B1E">
            <w:pPr>
              <w:jc w:val="left"/>
              <w:rPr>
                <w:sz w:val="15"/>
                <w:szCs w:val="16"/>
              </w:rPr>
            </w:pPr>
            <w:r w:rsidRPr="001B4B1E">
              <w:rPr>
                <w:sz w:val="15"/>
                <w:szCs w:val="16"/>
              </w:rPr>
              <w:t>.028</w:t>
            </w:r>
          </w:p>
        </w:tc>
      </w:tr>
      <w:tr w:rsidR="00FE482F" w:rsidRPr="001B4B1E" w14:paraId="0FE46150" w14:textId="77777777" w:rsidTr="001B4B1E">
        <w:tc>
          <w:tcPr>
            <w:tcW w:w="912" w:type="pct"/>
            <w:vMerge/>
            <w:vAlign w:val="center"/>
          </w:tcPr>
          <w:p w14:paraId="15C8DB8F" w14:textId="77777777" w:rsidR="00FE482F" w:rsidRPr="001B4B1E" w:rsidRDefault="00FE482F" w:rsidP="001B4B1E">
            <w:pPr>
              <w:jc w:val="left"/>
              <w:rPr>
                <w:b/>
                <w:bCs/>
                <w:sz w:val="15"/>
                <w:szCs w:val="16"/>
              </w:rPr>
            </w:pPr>
          </w:p>
        </w:tc>
        <w:tc>
          <w:tcPr>
            <w:tcW w:w="1404" w:type="pct"/>
            <w:vAlign w:val="center"/>
          </w:tcPr>
          <w:p w14:paraId="559BB751" w14:textId="77777777" w:rsidR="00FE482F" w:rsidRPr="001B4B1E" w:rsidRDefault="00FE482F" w:rsidP="001B4B1E">
            <w:pPr>
              <w:jc w:val="left"/>
              <w:rPr>
                <w:sz w:val="15"/>
                <w:szCs w:val="16"/>
              </w:rPr>
            </w:pPr>
            <w:r w:rsidRPr="001B4B1E">
              <w:rPr>
                <w:sz w:val="15"/>
                <w:szCs w:val="16"/>
              </w:rPr>
              <w:t>UCS_9</w:t>
            </w:r>
          </w:p>
        </w:tc>
        <w:tc>
          <w:tcPr>
            <w:tcW w:w="807" w:type="pct"/>
            <w:vAlign w:val="center"/>
          </w:tcPr>
          <w:p w14:paraId="51D48B5F" w14:textId="77777777" w:rsidR="00FE482F" w:rsidRPr="001B4B1E" w:rsidRDefault="00FE482F" w:rsidP="001B4B1E">
            <w:pPr>
              <w:jc w:val="left"/>
              <w:rPr>
                <w:sz w:val="15"/>
                <w:szCs w:val="16"/>
              </w:rPr>
            </w:pPr>
            <w:r w:rsidRPr="001B4B1E">
              <w:rPr>
                <w:sz w:val="15"/>
                <w:szCs w:val="16"/>
              </w:rPr>
              <w:t>-.187</w:t>
            </w:r>
          </w:p>
        </w:tc>
        <w:tc>
          <w:tcPr>
            <w:tcW w:w="803" w:type="pct"/>
            <w:vAlign w:val="center"/>
          </w:tcPr>
          <w:p w14:paraId="61F39965"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5950A862" w14:textId="77777777" w:rsidR="00FE482F" w:rsidRPr="001B4B1E" w:rsidRDefault="00FE482F" w:rsidP="001B4B1E">
            <w:pPr>
              <w:jc w:val="left"/>
              <w:rPr>
                <w:sz w:val="15"/>
                <w:szCs w:val="16"/>
              </w:rPr>
            </w:pPr>
            <w:r w:rsidRPr="001B4B1E">
              <w:rPr>
                <w:sz w:val="15"/>
                <w:szCs w:val="16"/>
              </w:rPr>
              <w:t>-.277</w:t>
            </w:r>
          </w:p>
        </w:tc>
        <w:tc>
          <w:tcPr>
            <w:tcW w:w="538" w:type="pct"/>
            <w:vAlign w:val="center"/>
          </w:tcPr>
          <w:p w14:paraId="065898A3" w14:textId="77777777" w:rsidR="00FE482F" w:rsidRPr="001B4B1E" w:rsidRDefault="00FE482F" w:rsidP="001B4B1E">
            <w:pPr>
              <w:jc w:val="left"/>
              <w:rPr>
                <w:sz w:val="15"/>
                <w:szCs w:val="16"/>
              </w:rPr>
            </w:pPr>
            <w:r w:rsidRPr="001B4B1E">
              <w:rPr>
                <w:sz w:val="15"/>
                <w:szCs w:val="16"/>
              </w:rPr>
              <w:t>-.093</w:t>
            </w:r>
          </w:p>
        </w:tc>
      </w:tr>
      <w:tr w:rsidR="00FE482F" w:rsidRPr="001B4B1E" w14:paraId="6EEC94B6" w14:textId="77777777" w:rsidTr="001B4B1E">
        <w:tc>
          <w:tcPr>
            <w:tcW w:w="912" w:type="pct"/>
            <w:vMerge w:val="restart"/>
            <w:vAlign w:val="center"/>
          </w:tcPr>
          <w:p w14:paraId="4775E11A" w14:textId="77777777" w:rsidR="00FE482F" w:rsidRPr="001B4B1E" w:rsidRDefault="00FE482F" w:rsidP="001B4B1E">
            <w:pPr>
              <w:jc w:val="left"/>
              <w:rPr>
                <w:b/>
                <w:bCs/>
                <w:sz w:val="15"/>
                <w:szCs w:val="16"/>
              </w:rPr>
            </w:pPr>
            <w:r w:rsidRPr="001B4B1E">
              <w:rPr>
                <w:b/>
                <w:bCs/>
                <w:sz w:val="15"/>
                <w:szCs w:val="16"/>
              </w:rPr>
              <w:t>Self-awareness/</w:t>
            </w:r>
          </w:p>
          <w:p w14:paraId="10496E47" w14:textId="77777777" w:rsidR="00FE482F" w:rsidRPr="001B4B1E" w:rsidRDefault="00FE482F" w:rsidP="001B4B1E">
            <w:pPr>
              <w:jc w:val="left"/>
              <w:rPr>
                <w:b/>
                <w:bCs/>
                <w:sz w:val="15"/>
                <w:szCs w:val="16"/>
              </w:rPr>
            </w:pPr>
            <w:r w:rsidRPr="001B4B1E">
              <w:rPr>
                <w:b/>
                <w:bCs/>
                <w:sz w:val="15"/>
                <w:szCs w:val="16"/>
              </w:rPr>
              <w:t>Assertiveness</w:t>
            </w:r>
          </w:p>
          <w:p w14:paraId="6C18465F" w14:textId="77777777" w:rsidR="00FE482F" w:rsidRPr="001B4B1E" w:rsidRDefault="00FE482F" w:rsidP="001B4B1E">
            <w:pPr>
              <w:jc w:val="left"/>
              <w:rPr>
                <w:b/>
                <w:bCs/>
                <w:kern w:val="2"/>
                <w:sz w:val="15"/>
                <w:szCs w:val="16"/>
              </w:rPr>
            </w:pPr>
            <w:r w:rsidRPr="001B4B1E">
              <w:rPr>
                <w:b/>
                <w:bCs/>
                <w:sz w:val="15"/>
                <w:szCs w:val="16"/>
              </w:rPr>
              <w:t>Collapsed category -  total score</w:t>
            </w:r>
          </w:p>
        </w:tc>
        <w:tc>
          <w:tcPr>
            <w:tcW w:w="1404" w:type="pct"/>
            <w:vAlign w:val="center"/>
          </w:tcPr>
          <w:p w14:paraId="7A50ADA2" w14:textId="77777777" w:rsidR="00FE482F" w:rsidRPr="001B4B1E" w:rsidRDefault="00FE482F" w:rsidP="001B4B1E">
            <w:pPr>
              <w:jc w:val="left"/>
              <w:rPr>
                <w:sz w:val="15"/>
                <w:szCs w:val="16"/>
              </w:rPr>
            </w:pPr>
            <w:r w:rsidRPr="001B4B1E">
              <w:rPr>
                <w:sz w:val="15"/>
                <w:szCs w:val="16"/>
              </w:rPr>
              <w:t>GAD7 total</w:t>
            </w:r>
          </w:p>
        </w:tc>
        <w:tc>
          <w:tcPr>
            <w:tcW w:w="807" w:type="pct"/>
            <w:vAlign w:val="center"/>
          </w:tcPr>
          <w:p w14:paraId="04221B43" w14:textId="77777777" w:rsidR="00FE482F" w:rsidRPr="001B4B1E" w:rsidRDefault="00FE482F" w:rsidP="001B4B1E">
            <w:pPr>
              <w:jc w:val="left"/>
              <w:rPr>
                <w:sz w:val="15"/>
                <w:szCs w:val="16"/>
              </w:rPr>
            </w:pPr>
            <w:r w:rsidRPr="001B4B1E">
              <w:rPr>
                <w:sz w:val="15"/>
                <w:szCs w:val="16"/>
              </w:rPr>
              <w:t>-.462</w:t>
            </w:r>
          </w:p>
        </w:tc>
        <w:tc>
          <w:tcPr>
            <w:tcW w:w="803" w:type="pct"/>
            <w:vAlign w:val="center"/>
          </w:tcPr>
          <w:p w14:paraId="2B7C931C"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652474BB" w14:textId="77777777" w:rsidR="00FE482F" w:rsidRPr="001B4B1E" w:rsidRDefault="00FE482F" w:rsidP="001B4B1E">
            <w:pPr>
              <w:jc w:val="left"/>
              <w:rPr>
                <w:sz w:val="15"/>
                <w:szCs w:val="16"/>
              </w:rPr>
            </w:pPr>
            <w:r w:rsidRPr="001B4B1E">
              <w:rPr>
                <w:sz w:val="15"/>
                <w:szCs w:val="16"/>
              </w:rPr>
              <w:t>-.533</w:t>
            </w:r>
          </w:p>
        </w:tc>
        <w:tc>
          <w:tcPr>
            <w:tcW w:w="538" w:type="pct"/>
            <w:vAlign w:val="center"/>
          </w:tcPr>
          <w:p w14:paraId="429F28CA" w14:textId="77777777" w:rsidR="00FE482F" w:rsidRPr="001B4B1E" w:rsidRDefault="00FE482F" w:rsidP="001B4B1E">
            <w:pPr>
              <w:jc w:val="left"/>
              <w:rPr>
                <w:sz w:val="15"/>
                <w:szCs w:val="16"/>
              </w:rPr>
            </w:pPr>
            <w:r w:rsidRPr="001B4B1E">
              <w:rPr>
                <w:sz w:val="15"/>
                <w:szCs w:val="16"/>
              </w:rPr>
              <w:t>-.383</w:t>
            </w:r>
          </w:p>
        </w:tc>
      </w:tr>
      <w:tr w:rsidR="00FE482F" w:rsidRPr="001B4B1E" w14:paraId="14BAE6FC" w14:textId="77777777" w:rsidTr="001B4B1E">
        <w:tc>
          <w:tcPr>
            <w:tcW w:w="912" w:type="pct"/>
            <w:vMerge/>
            <w:vAlign w:val="center"/>
          </w:tcPr>
          <w:p w14:paraId="05120754" w14:textId="77777777" w:rsidR="00FE482F" w:rsidRPr="001B4B1E" w:rsidRDefault="00FE482F" w:rsidP="001B4B1E">
            <w:pPr>
              <w:jc w:val="left"/>
              <w:rPr>
                <w:b/>
                <w:bCs/>
                <w:sz w:val="15"/>
                <w:szCs w:val="16"/>
              </w:rPr>
            </w:pPr>
          </w:p>
        </w:tc>
        <w:tc>
          <w:tcPr>
            <w:tcW w:w="1404" w:type="pct"/>
            <w:vAlign w:val="center"/>
          </w:tcPr>
          <w:p w14:paraId="1FAFC2B6" w14:textId="77777777" w:rsidR="00FE482F" w:rsidRPr="001B4B1E" w:rsidRDefault="00FE482F" w:rsidP="001B4B1E">
            <w:pPr>
              <w:jc w:val="left"/>
              <w:rPr>
                <w:sz w:val="15"/>
                <w:szCs w:val="16"/>
              </w:rPr>
            </w:pPr>
            <w:r w:rsidRPr="001B4B1E">
              <w:rPr>
                <w:sz w:val="15"/>
                <w:szCs w:val="16"/>
              </w:rPr>
              <w:t>EQ5D3L total</w:t>
            </w:r>
          </w:p>
        </w:tc>
        <w:tc>
          <w:tcPr>
            <w:tcW w:w="807" w:type="pct"/>
            <w:vAlign w:val="center"/>
          </w:tcPr>
          <w:p w14:paraId="34CD8580" w14:textId="77777777" w:rsidR="00FE482F" w:rsidRPr="001B4B1E" w:rsidRDefault="00FE482F" w:rsidP="001B4B1E">
            <w:pPr>
              <w:jc w:val="left"/>
              <w:rPr>
                <w:sz w:val="15"/>
                <w:szCs w:val="16"/>
              </w:rPr>
            </w:pPr>
            <w:r w:rsidRPr="001B4B1E">
              <w:rPr>
                <w:sz w:val="15"/>
                <w:szCs w:val="16"/>
              </w:rPr>
              <w:t>-.385</w:t>
            </w:r>
          </w:p>
        </w:tc>
        <w:tc>
          <w:tcPr>
            <w:tcW w:w="803" w:type="pct"/>
            <w:vAlign w:val="center"/>
          </w:tcPr>
          <w:p w14:paraId="4B8760FB"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3A06317" w14:textId="77777777" w:rsidR="00FE482F" w:rsidRPr="001B4B1E" w:rsidRDefault="00FE482F" w:rsidP="001B4B1E">
            <w:pPr>
              <w:jc w:val="left"/>
              <w:rPr>
                <w:sz w:val="15"/>
                <w:szCs w:val="16"/>
              </w:rPr>
            </w:pPr>
            <w:r w:rsidRPr="001B4B1E">
              <w:rPr>
                <w:sz w:val="15"/>
                <w:szCs w:val="16"/>
              </w:rPr>
              <w:t>-.463</w:t>
            </w:r>
          </w:p>
        </w:tc>
        <w:tc>
          <w:tcPr>
            <w:tcW w:w="538" w:type="pct"/>
            <w:vAlign w:val="center"/>
          </w:tcPr>
          <w:p w14:paraId="5B061E07" w14:textId="77777777" w:rsidR="00FE482F" w:rsidRPr="001B4B1E" w:rsidRDefault="00FE482F" w:rsidP="001B4B1E">
            <w:pPr>
              <w:jc w:val="left"/>
              <w:rPr>
                <w:sz w:val="15"/>
                <w:szCs w:val="16"/>
              </w:rPr>
            </w:pPr>
            <w:r w:rsidRPr="001B4B1E">
              <w:rPr>
                <w:sz w:val="15"/>
                <w:szCs w:val="16"/>
              </w:rPr>
              <w:t>-.301</w:t>
            </w:r>
          </w:p>
        </w:tc>
      </w:tr>
      <w:tr w:rsidR="00FE482F" w:rsidRPr="001B4B1E" w14:paraId="2C11FB26" w14:textId="77777777" w:rsidTr="001B4B1E">
        <w:tc>
          <w:tcPr>
            <w:tcW w:w="912" w:type="pct"/>
            <w:vMerge/>
            <w:vAlign w:val="center"/>
          </w:tcPr>
          <w:p w14:paraId="613C0F5C" w14:textId="77777777" w:rsidR="00FE482F" w:rsidRPr="001B4B1E" w:rsidRDefault="00FE482F" w:rsidP="001B4B1E">
            <w:pPr>
              <w:jc w:val="left"/>
              <w:rPr>
                <w:b/>
                <w:bCs/>
                <w:sz w:val="15"/>
                <w:szCs w:val="16"/>
              </w:rPr>
            </w:pPr>
          </w:p>
        </w:tc>
        <w:tc>
          <w:tcPr>
            <w:tcW w:w="1404" w:type="pct"/>
            <w:vAlign w:val="center"/>
          </w:tcPr>
          <w:p w14:paraId="58263701" w14:textId="77777777" w:rsidR="00FE482F" w:rsidRPr="001B4B1E" w:rsidRDefault="00FE482F" w:rsidP="001B4B1E">
            <w:pPr>
              <w:jc w:val="left"/>
              <w:rPr>
                <w:sz w:val="15"/>
                <w:szCs w:val="16"/>
              </w:rPr>
            </w:pPr>
            <w:r w:rsidRPr="001B4B1E">
              <w:rPr>
                <w:sz w:val="15"/>
                <w:szCs w:val="16"/>
              </w:rPr>
              <w:t>PHQ15 total</w:t>
            </w:r>
          </w:p>
        </w:tc>
        <w:tc>
          <w:tcPr>
            <w:tcW w:w="807" w:type="pct"/>
            <w:vAlign w:val="center"/>
          </w:tcPr>
          <w:p w14:paraId="4D19017F" w14:textId="77777777" w:rsidR="00FE482F" w:rsidRPr="001B4B1E" w:rsidRDefault="00FE482F" w:rsidP="001B4B1E">
            <w:pPr>
              <w:jc w:val="left"/>
              <w:rPr>
                <w:sz w:val="15"/>
                <w:szCs w:val="16"/>
              </w:rPr>
            </w:pPr>
            <w:r w:rsidRPr="001B4B1E">
              <w:rPr>
                <w:sz w:val="15"/>
                <w:szCs w:val="16"/>
              </w:rPr>
              <w:t>-.332</w:t>
            </w:r>
          </w:p>
        </w:tc>
        <w:tc>
          <w:tcPr>
            <w:tcW w:w="803" w:type="pct"/>
            <w:vAlign w:val="center"/>
          </w:tcPr>
          <w:p w14:paraId="535B40B3"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6ECDEB84" w14:textId="77777777" w:rsidR="00FE482F" w:rsidRPr="001B4B1E" w:rsidRDefault="00FE482F" w:rsidP="001B4B1E">
            <w:pPr>
              <w:jc w:val="left"/>
              <w:rPr>
                <w:sz w:val="15"/>
                <w:szCs w:val="16"/>
              </w:rPr>
            </w:pPr>
            <w:r w:rsidRPr="001B4B1E">
              <w:rPr>
                <w:sz w:val="15"/>
                <w:szCs w:val="16"/>
              </w:rPr>
              <w:t>-.414</w:t>
            </w:r>
          </w:p>
        </w:tc>
        <w:tc>
          <w:tcPr>
            <w:tcW w:w="538" w:type="pct"/>
            <w:vAlign w:val="center"/>
          </w:tcPr>
          <w:p w14:paraId="6CD114A5" w14:textId="77777777" w:rsidR="00FE482F" w:rsidRPr="001B4B1E" w:rsidRDefault="00FE482F" w:rsidP="001B4B1E">
            <w:pPr>
              <w:jc w:val="left"/>
              <w:rPr>
                <w:sz w:val="15"/>
                <w:szCs w:val="16"/>
              </w:rPr>
            </w:pPr>
            <w:r w:rsidRPr="001B4B1E">
              <w:rPr>
                <w:sz w:val="15"/>
                <w:szCs w:val="16"/>
              </w:rPr>
              <w:t>-.244</w:t>
            </w:r>
          </w:p>
        </w:tc>
      </w:tr>
      <w:tr w:rsidR="00FE482F" w:rsidRPr="001B4B1E" w14:paraId="44F92CAC" w14:textId="77777777" w:rsidTr="001B4B1E">
        <w:tc>
          <w:tcPr>
            <w:tcW w:w="912" w:type="pct"/>
            <w:vMerge/>
            <w:vAlign w:val="center"/>
          </w:tcPr>
          <w:p w14:paraId="48DCA85C" w14:textId="77777777" w:rsidR="00FE482F" w:rsidRPr="001B4B1E" w:rsidRDefault="00FE482F" w:rsidP="001B4B1E">
            <w:pPr>
              <w:jc w:val="left"/>
              <w:rPr>
                <w:b/>
                <w:bCs/>
                <w:sz w:val="15"/>
                <w:szCs w:val="16"/>
              </w:rPr>
            </w:pPr>
          </w:p>
        </w:tc>
        <w:tc>
          <w:tcPr>
            <w:tcW w:w="1404" w:type="pct"/>
            <w:vAlign w:val="center"/>
          </w:tcPr>
          <w:p w14:paraId="5433BD2B" w14:textId="77777777" w:rsidR="00FE482F" w:rsidRPr="001B4B1E" w:rsidRDefault="00FE482F" w:rsidP="001B4B1E">
            <w:pPr>
              <w:jc w:val="left"/>
              <w:rPr>
                <w:sz w:val="15"/>
                <w:szCs w:val="16"/>
              </w:rPr>
            </w:pPr>
            <w:r w:rsidRPr="001B4B1E">
              <w:rPr>
                <w:sz w:val="15"/>
                <w:szCs w:val="16"/>
              </w:rPr>
              <w:t>PHQ9 total</w:t>
            </w:r>
          </w:p>
        </w:tc>
        <w:tc>
          <w:tcPr>
            <w:tcW w:w="807" w:type="pct"/>
            <w:vAlign w:val="center"/>
          </w:tcPr>
          <w:p w14:paraId="5FECFC1A" w14:textId="77777777" w:rsidR="00FE482F" w:rsidRPr="001B4B1E" w:rsidRDefault="00FE482F" w:rsidP="001B4B1E">
            <w:pPr>
              <w:jc w:val="left"/>
              <w:rPr>
                <w:sz w:val="15"/>
                <w:szCs w:val="16"/>
              </w:rPr>
            </w:pPr>
            <w:r w:rsidRPr="001B4B1E">
              <w:rPr>
                <w:sz w:val="15"/>
                <w:szCs w:val="16"/>
              </w:rPr>
              <w:t>-.536</w:t>
            </w:r>
          </w:p>
        </w:tc>
        <w:tc>
          <w:tcPr>
            <w:tcW w:w="803" w:type="pct"/>
            <w:vAlign w:val="center"/>
          </w:tcPr>
          <w:p w14:paraId="2190575A"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3973CC5F" w14:textId="77777777" w:rsidR="00FE482F" w:rsidRPr="001B4B1E" w:rsidRDefault="00FE482F" w:rsidP="001B4B1E">
            <w:pPr>
              <w:jc w:val="left"/>
              <w:rPr>
                <w:sz w:val="15"/>
                <w:szCs w:val="16"/>
              </w:rPr>
            </w:pPr>
            <w:r w:rsidRPr="001B4B1E">
              <w:rPr>
                <w:sz w:val="15"/>
                <w:szCs w:val="16"/>
              </w:rPr>
              <w:t>-.600</w:t>
            </w:r>
          </w:p>
        </w:tc>
        <w:tc>
          <w:tcPr>
            <w:tcW w:w="538" w:type="pct"/>
            <w:vAlign w:val="center"/>
          </w:tcPr>
          <w:p w14:paraId="2A742697" w14:textId="77777777" w:rsidR="00FE482F" w:rsidRPr="001B4B1E" w:rsidRDefault="00FE482F" w:rsidP="001B4B1E">
            <w:pPr>
              <w:jc w:val="left"/>
              <w:rPr>
                <w:sz w:val="15"/>
                <w:szCs w:val="16"/>
              </w:rPr>
            </w:pPr>
            <w:r w:rsidRPr="001B4B1E">
              <w:rPr>
                <w:sz w:val="15"/>
                <w:szCs w:val="16"/>
              </w:rPr>
              <w:t>-.464</w:t>
            </w:r>
          </w:p>
        </w:tc>
      </w:tr>
      <w:tr w:rsidR="00FE482F" w:rsidRPr="001B4B1E" w14:paraId="21EB70C5" w14:textId="77777777" w:rsidTr="001B4B1E">
        <w:tc>
          <w:tcPr>
            <w:tcW w:w="912" w:type="pct"/>
            <w:vMerge/>
            <w:vAlign w:val="center"/>
          </w:tcPr>
          <w:p w14:paraId="263396B5" w14:textId="77777777" w:rsidR="00FE482F" w:rsidRPr="001B4B1E" w:rsidRDefault="00FE482F" w:rsidP="001B4B1E">
            <w:pPr>
              <w:jc w:val="left"/>
              <w:rPr>
                <w:b/>
                <w:bCs/>
                <w:sz w:val="15"/>
                <w:szCs w:val="16"/>
              </w:rPr>
            </w:pPr>
          </w:p>
        </w:tc>
        <w:tc>
          <w:tcPr>
            <w:tcW w:w="1404" w:type="pct"/>
            <w:vAlign w:val="center"/>
          </w:tcPr>
          <w:p w14:paraId="24295787" w14:textId="77777777" w:rsidR="00FE482F" w:rsidRPr="001B4B1E" w:rsidRDefault="00FE482F" w:rsidP="001B4B1E">
            <w:pPr>
              <w:jc w:val="left"/>
              <w:rPr>
                <w:sz w:val="15"/>
                <w:szCs w:val="16"/>
              </w:rPr>
            </w:pPr>
            <w:r w:rsidRPr="001B4B1E">
              <w:rPr>
                <w:sz w:val="15"/>
                <w:szCs w:val="16"/>
              </w:rPr>
              <w:t>WSAS total</w:t>
            </w:r>
          </w:p>
        </w:tc>
        <w:tc>
          <w:tcPr>
            <w:tcW w:w="807" w:type="pct"/>
            <w:vAlign w:val="center"/>
          </w:tcPr>
          <w:p w14:paraId="610F8B3E" w14:textId="77777777" w:rsidR="00FE482F" w:rsidRPr="001B4B1E" w:rsidRDefault="00FE482F" w:rsidP="001B4B1E">
            <w:pPr>
              <w:jc w:val="left"/>
              <w:rPr>
                <w:sz w:val="15"/>
                <w:szCs w:val="16"/>
              </w:rPr>
            </w:pPr>
            <w:r w:rsidRPr="001B4B1E">
              <w:rPr>
                <w:sz w:val="15"/>
                <w:szCs w:val="16"/>
              </w:rPr>
              <w:t>-.331</w:t>
            </w:r>
          </w:p>
        </w:tc>
        <w:tc>
          <w:tcPr>
            <w:tcW w:w="803" w:type="pct"/>
            <w:vAlign w:val="center"/>
          </w:tcPr>
          <w:p w14:paraId="2C5DA204"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1F1D3ACA" w14:textId="77777777" w:rsidR="00FE482F" w:rsidRPr="001B4B1E" w:rsidRDefault="00FE482F" w:rsidP="001B4B1E">
            <w:pPr>
              <w:jc w:val="left"/>
              <w:rPr>
                <w:sz w:val="15"/>
                <w:szCs w:val="16"/>
              </w:rPr>
            </w:pPr>
            <w:r w:rsidRPr="001B4B1E">
              <w:rPr>
                <w:sz w:val="15"/>
                <w:szCs w:val="16"/>
              </w:rPr>
              <w:t>-.413</w:t>
            </w:r>
          </w:p>
        </w:tc>
        <w:tc>
          <w:tcPr>
            <w:tcW w:w="538" w:type="pct"/>
            <w:vAlign w:val="center"/>
          </w:tcPr>
          <w:p w14:paraId="3F6507DD" w14:textId="77777777" w:rsidR="00FE482F" w:rsidRPr="001B4B1E" w:rsidRDefault="00FE482F" w:rsidP="001B4B1E">
            <w:pPr>
              <w:jc w:val="left"/>
              <w:rPr>
                <w:sz w:val="15"/>
                <w:szCs w:val="16"/>
              </w:rPr>
            </w:pPr>
            <w:r w:rsidRPr="001B4B1E">
              <w:rPr>
                <w:sz w:val="15"/>
                <w:szCs w:val="16"/>
              </w:rPr>
              <w:t>-.243</w:t>
            </w:r>
          </w:p>
        </w:tc>
      </w:tr>
      <w:tr w:rsidR="00FE482F" w:rsidRPr="001B4B1E" w14:paraId="29B850DF" w14:textId="77777777" w:rsidTr="001B4B1E">
        <w:tc>
          <w:tcPr>
            <w:tcW w:w="912" w:type="pct"/>
            <w:vMerge/>
            <w:vAlign w:val="center"/>
          </w:tcPr>
          <w:p w14:paraId="6051F3FB" w14:textId="77777777" w:rsidR="00FE482F" w:rsidRPr="001B4B1E" w:rsidRDefault="00FE482F" w:rsidP="001B4B1E">
            <w:pPr>
              <w:jc w:val="left"/>
              <w:rPr>
                <w:b/>
                <w:bCs/>
                <w:sz w:val="15"/>
                <w:szCs w:val="16"/>
              </w:rPr>
            </w:pPr>
          </w:p>
        </w:tc>
        <w:tc>
          <w:tcPr>
            <w:tcW w:w="1404" w:type="pct"/>
            <w:vAlign w:val="center"/>
          </w:tcPr>
          <w:p w14:paraId="4309C9C9" w14:textId="77777777" w:rsidR="00FE482F" w:rsidRPr="001B4B1E" w:rsidRDefault="00FE482F" w:rsidP="001B4B1E">
            <w:pPr>
              <w:jc w:val="left"/>
              <w:rPr>
                <w:sz w:val="15"/>
                <w:szCs w:val="16"/>
              </w:rPr>
            </w:pPr>
            <w:r w:rsidRPr="001B4B1E">
              <w:rPr>
                <w:sz w:val="15"/>
                <w:szCs w:val="16"/>
              </w:rPr>
              <w:t>PCL5 total</w:t>
            </w:r>
          </w:p>
        </w:tc>
        <w:tc>
          <w:tcPr>
            <w:tcW w:w="807" w:type="pct"/>
            <w:vAlign w:val="center"/>
          </w:tcPr>
          <w:p w14:paraId="698F098C" w14:textId="77777777" w:rsidR="00FE482F" w:rsidRPr="001B4B1E" w:rsidRDefault="00FE482F" w:rsidP="001B4B1E">
            <w:pPr>
              <w:jc w:val="left"/>
              <w:rPr>
                <w:sz w:val="15"/>
                <w:szCs w:val="16"/>
              </w:rPr>
            </w:pPr>
            <w:r w:rsidRPr="001B4B1E">
              <w:rPr>
                <w:sz w:val="15"/>
                <w:szCs w:val="16"/>
              </w:rPr>
              <w:t>-.498</w:t>
            </w:r>
          </w:p>
        </w:tc>
        <w:tc>
          <w:tcPr>
            <w:tcW w:w="803" w:type="pct"/>
            <w:vAlign w:val="center"/>
          </w:tcPr>
          <w:p w14:paraId="2F6E1E6C"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E91D18E" w14:textId="77777777" w:rsidR="00FE482F" w:rsidRPr="001B4B1E" w:rsidRDefault="00FE482F" w:rsidP="001B4B1E">
            <w:pPr>
              <w:jc w:val="left"/>
              <w:rPr>
                <w:sz w:val="15"/>
                <w:szCs w:val="16"/>
              </w:rPr>
            </w:pPr>
            <w:r w:rsidRPr="001B4B1E">
              <w:rPr>
                <w:sz w:val="15"/>
                <w:szCs w:val="16"/>
              </w:rPr>
              <w:t>-.567</w:t>
            </w:r>
          </w:p>
        </w:tc>
        <w:tc>
          <w:tcPr>
            <w:tcW w:w="538" w:type="pct"/>
            <w:vAlign w:val="center"/>
          </w:tcPr>
          <w:p w14:paraId="2B20F088" w14:textId="77777777" w:rsidR="00FE482F" w:rsidRPr="001B4B1E" w:rsidRDefault="00FE482F" w:rsidP="001B4B1E">
            <w:pPr>
              <w:jc w:val="left"/>
              <w:rPr>
                <w:sz w:val="15"/>
                <w:szCs w:val="16"/>
              </w:rPr>
            </w:pPr>
            <w:r w:rsidRPr="001B4B1E">
              <w:rPr>
                <w:sz w:val="15"/>
                <w:szCs w:val="16"/>
              </w:rPr>
              <w:t>-.423</w:t>
            </w:r>
          </w:p>
        </w:tc>
      </w:tr>
      <w:tr w:rsidR="00FE482F" w:rsidRPr="001B4B1E" w14:paraId="301BA5A5" w14:textId="77777777" w:rsidTr="001B4B1E">
        <w:tc>
          <w:tcPr>
            <w:tcW w:w="912" w:type="pct"/>
            <w:vMerge/>
            <w:vAlign w:val="center"/>
          </w:tcPr>
          <w:p w14:paraId="1F034F15" w14:textId="77777777" w:rsidR="00FE482F" w:rsidRPr="001B4B1E" w:rsidRDefault="00FE482F" w:rsidP="001B4B1E">
            <w:pPr>
              <w:jc w:val="left"/>
              <w:rPr>
                <w:b/>
                <w:bCs/>
                <w:sz w:val="15"/>
                <w:szCs w:val="16"/>
              </w:rPr>
            </w:pPr>
          </w:p>
        </w:tc>
        <w:tc>
          <w:tcPr>
            <w:tcW w:w="1404" w:type="pct"/>
            <w:vAlign w:val="center"/>
          </w:tcPr>
          <w:p w14:paraId="5CFDAAD3" w14:textId="77777777" w:rsidR="00FE482F" w:rsidRPr="001B4B1E" w:rsidRDefault="00FE482F" w:rsidP="001B4B1E">
            <w:pPr>
              <w:jc w:val="left"/>
              <w:rPr>
                <w:sz w:val="15"/>
                <w:szCs w:val="16"/>
              </w:rPr>
            </w:pPr>
            <w:r w:rsidRPr="001B4B1E">
              <w:rPr>
                <w:sz w:val="15"/>
                <w:szCs w:val="16"/>
              </w:rPr>
              <w:t>UCS total</w:t>
            </w:r>
          </w:p>
        </w:tc>
        <w:tc>
          <w:tcPr>
            <w:tcW w:w="807" w:type="pct"/>
            <w:vAlign w:val="center"/>
          </w:tcPr>
          <w:p w14:paraId="0A8F4476" w14:textId="77777777" w:rsidR="00FE482F" w:rsidRPr="001B4B1E" w:rsidRDefault="00FE482F" w:rsidP="001B4B1E">
            <w:pPr>
              <w:jc w:val="left"/>
              <w:rPr>
                <w:sz w:val="15"/>
                <w:szCs w:val="16"/>
              </w:rPr>
            </w:pPr>
            <w:r w:rsidRPr="001B4B1E">
              <w:rPr>
                <w:sz w:val="15"/>
                <w:szCs w:val="16"/>
              </w:rPr>
              <w:t>-.341</w:t>
            </w:r>
          </w:p>
        </w:tc>
        <w:tc>
          <w:tcPr>
            <w:tcW w:w="803" w:type="pct"/>
            <w:vAlign w:val="center"/>
          </w:tcPr>
          <w:p w14:paraId="3542143F"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430F8343" w14:textId="77777777" w:rsidR="00FE482F" w:rsidRPr="001B4B1E" w:rsidRDefault="00FE482F" w:rsidP="001B4B1E">
            <w:pPr>
              <w:jc w:val="left"/>
              <w:rPr>
                <w:sz w:val="15"/>
                <w:szCs w:val="16"/>
              </w:rPr>
            </w:pPr>
            <w:r w:rsidRPr="001B4B1E">
              <w:rPr>
                <w:sz w:val="15"/>
                <w:szCs w:val="16"/>
              </w:rPr>
              <w:t>-.422</w:t>
            </w:r>
          </w:p>
        </w:tc>
        <w:tc>
          <w:tcPr>
            <w:tcW w:w="538" w:type="pct"/>
            <w:vAlign w:val="center"/>
          </w:tcPr>
          <w:p w14:paraId="452B7B07" w14:textId="77777777" w:rsidR="00FE482F" w:rsidRPr="001B4B1E" w:rsidRDefault="00FE482F" w:rsidP="001B4B1E">
            <w:pPr>
              <w:jc w:val="left"/>
              <w:rPr>
                <w:sz w:val="15"/>
                <w:szCs w:val="16"/>
              </w:rPr>
            </w:pPr>
            <w:r w:rsidRPr="001B4B1E">
              <w:rPr>
                <w:sz w:val="15"/>
                <w:szCs w:val="16"/>
              </w:rPr>
              <w:t>-.254</w:t>
            </w:r>
          </w:p>
        </w:tc>
      </w:tr>
      <w:tr w:rsidR="00FE482F" w:rsidRPr="001B4B1E" w14:paraId="529640E8" w14:textId="77777777" w:rsidTr="001B4B1E">
        <w:tc>
          <w:tcPr>
            <w:tcW w:w="912" w:type="pct"/>
            <w:vMerge/>
            <w:vAlign w:val="center"/>
          </w:tcPr>
          <w:p w14:paraId="2FAE6636" w14:textId="77777777" w:rsidR="00FE482F" w:rsidRPr="001B4B1E" w:rsidRDefault="00FE482F" w:rsidP="001B4B1E">
            <w:pPr>
              <w:jc w:val="left"/>
              <w:rPr>
                <w:b/>
                <w:bCs/>
                <w:sz w:val="15"/>
                <w:szCs w:val="16"/>
              </w:rPr>
            </w:pPr>
          </w:p>
        </w:tc>
        <w:tc>
          <w:tcPr>
            <w:tcW w:w="1404" w:type="pct"/>
            <w:vAlign w:val="center"/>
          </w:tcPr>
          <w:p w14:paraId="5093F318" w14:textId="77777777" w:rsidR="00FE482F" w:rsidRPr="001B4B1E" w:rsidRDefault="00FE482F" w:rsidP="001B4B1E">
            <w:pPr>
              <w:jc w:val="left"/>
              <w:rPr>
                <w:sz w:val="15"/>
                <w:szCs w:val="16"/>
              </w:rPr>
            </w:pPr>
            <w:r w:rsidRPr="001B4B1E">
              <w:rPr>
                <w:sz w:val="15"/>
                <w:szCs w:val="16"/>
              </w:rPr>
              <w:t>WSAS – Ability to work</w:t>
            </w:r>
          </w:p>
        </w:tc>
        <w:tc>
          <w:tcPr>
            <w:tcW w:w="807" w:type="pct"/>
            <w:vAlign w:val="center"/>
          </w:tcPr>
          <w:p w14:paraId="56E1B283" w14:textId="77777777" w:rsidR="00FE482F" w:rsidRPr="001B4B1E" w:rsidRDefault="00FE482F" w:rsidP="001B4B1E">
            <w:pPr>
              <w:jc w:val="left"/>
              <w:rPr>
                <w:sz w:val="15"/>
                <w:szCs w:val="16"/>
              </w:rPr>
            </w:pPr>
            <w:r w:rsidRPr="001B4B1E">
              <w:rPr>
                <w:sz w:val="15"/>
                <w:szCs w:val="16"/>
              </w:rPr>
              <w:t>-.145</w:t>
            </w:r>
          </w:p>
        </w:tc>
        <w:tc>
          <w:tcPr>
            <w:tcW w:w="803" w:type="pct"/>
            <w:vAlign w:val="center"/>
          </w:tcPr>
          <w:p w14:paraId="2B8A40C7" w14:textId="77777777" w:rsidR="00FE482F" w:rsidRPr="001B4B1E" w:rsidRDefault="00FE482F" w:rsidP="001B4B1E">
            <w:pPr>
              <w:jc w:val="left"/>
              <w:rPr>
                <w:sz w:val="15"/>
                <w:szCs w:val="16"/>
              </w:rPr>
            </w:pPr>
            <w:r w:rsidRPr="001B4B1E">
              <w:rPr>
                <w:sz w:val="15"/>
                <w:szCs w:val="16"/>
              </w:rPr>
              <w:t>.002</w:t>
            </w:r>
          </w:p>
        </w:tc>
        <w:tc>
          <w:tcPr>
            <w:tcW w:w="536" w:type="pct"/>
            <w:vAlign w:val="center"/>
          </w:tcPr>
          <w:p w14:paraId="71E3EF6D" w14:textId="77777777" w:rsidR="00FE482F" w:rsidRPr="001B4B1E" w:rsidRDefault="00FE482F" w:rsidP="001B4B1E">
            <w:pPr>
              <w:jc w:val="left"/>
              <w:rPr>
                <w:sz w:val="15"/>
                <w:szCs w:val="16"/>
              </w:rPr>
            </w:pPr>
            <w:r w:rsidRPr="001B4B1E">
              <w:rPr>
                <w:sz w:val="15"/>
                <w:szCs w:val="16"/>
              </w:rPr>
              <w:t>-.237</w:t>
            </w:r>
          </w:p>
        </w:tc>
        <w:tc>
          <w:tcPr>
            <w:tcW w:w="538" w:type="pct"/>
            <w:vAlign w:val="center"/>
          </w:tcPr>
          <w:p w14:paraId="50652055" w14:textId="77777777" w:rsidR="00FE482F" w:rsidRPr="001B4B1E" w:rsidRDefault="00FE482F" w:rsidP="001B4B1E">
            <w:pPr>
              <w:jc w:val="left"/>
              <w:rPr>
                <w:sz w:val="15"/>
                <w:szCs w:val="16"/>
              </w:rPr>
            </w:pPr>
            <w:r w:rsidRPr="001B4B1E">
              <w:rPr>
                <w:sz w:val="15"/>
                <w:szCs w:val="16"/>
              </w:rPr>
              <w:t>-.050</w:t>
            </w:r>
          </w:p>
        </w:tc>
      </w:tr>
      <w:tr w:rsidR="00FE482F" w:rsidRPr="001B4B1E" w14:paraId="2F7F0FC9" w14:textId="77777777" w:rsidTr="001B4B1E">
        <w:tc>
          <w:tcPr>
            <w:tcW w:w="912" w:type="pct"/>
            <w:vMerge/>
            <w:vAlign w:val="center"/>
          </w:tcPr>
          <w:p w14:paraId="6944F0ED" w14:textId="77777777" w:rsidR="00FE482F" w:rsidRPr="001B4B1E" w:rsidRDefault="00FE482F" w:rsidP="001B4B1E">
            <w:pPr>
              <w:jc w:val="left"/>
              <w:rPr>
                <w:b/>
                <w:bCs/>
                <w:sz w:val="15"/>
                <w:szCs w:val="16"/>
              </w:rPr>
            </w:pPr>
          </w:p>
        </w:tc>
        <w:tc>
          <w:tcPr>
            <w:tcW w:w="1404" w:type="pct"/>
            <w:vAlign w:val="center"/>
          </w:tcPr>
          <w:p w14:paraId="14DB9C7A" w14:textId="77777777" w:rsidR="00FE482F" w:rsidRPr="001B4B1E" w:rsidRDefault="00FE482F" w:rsidP="001B4B1E">
            <w:pPr>
              <w:jc w:val="left"/>
              <w:rPr>
                <w:sz w:val="15"/>
                <w:szCs w:val="16"/>
              </w:rPr>
            </w:pPr>
            <w:r w:rsidRPr="001B4B1E">
              <w:rPr>
                <w:sz w:val="15"/>
                <w:szCs w:val="16"/>
              </w:rPr>
              <w:t>WSAS - Home management</w:t>
            </w:r>
          </w:p>
        </w:tc>
        <w:tc>
          <w:tcPr>
            <w:tcW w:w="807" w:type="pct"/>
            <w:vAlign w:val="center"/>
          </w:tcPr>
          <w:p w14:paraId="480EA8C5" w14:textId="77777777" w:rsidR="00FE482F" w:rsidRPr="001B4B1E" w:rsidRDefault="00FE482F" w:rsidP="001B4B1E">
            <w:pPr>
              <w:jc w:val="left"/>
              <w:rPr>
                <w:sz w:val="15"/>
                <w:szCs w:val="16"/>
              </w:rPr>
            </w:pPr>
            <w:r w:rsidRPr="001B4B1E">
              <w:rPr>
                <w:sz w:val="15"/>
                <w:szCs w:val="16"/>
              </w:rPr>
              <w:t>-.262</w:t>
            </w:r>
          </w:p>
        </w:tc>
        <w:tc>
          <w:tcPr>
            <w:tcW w:w="803" w:type="pct"/>
            <w:vAlign w:val="center"/>
          </w:tcPr>
          <w:p w14:paraId="756D6D19"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01FF48A1" w14:textId="77777777" w:rsidR="00FE482F" w:rsidRPr="001B4B1E" w:rsidRDefault="00FE482F" w:rsidP="001B4B1E">
            <w:pPr>
              <w:jc w:val="left"/>
              <w:rPr>
                <w:sz w:val="15"/>
                <w:szCs w:val="16"/>
              </w:rPr>
            </w:pPr>
            <w:r w:rsidRPr="001B4B1E">
              <w:rPr>
                <w:sz w:val="15"/>
                <w:szCs w:val="16"/>
              </w:rPr>
              <w:t>-.348</w:t>
            </w:r>
          </w:p>
        </w:tc>
        <w:tc>
          <w:tcPr>
            <w:tcW w:w="538" w:type="pct"/>
            <w:vAlign w:val="center"/>
          </w:tcPr>
          <w:p w14:paraId="3991F55F" w14:textId="77777777" w:rsidR="00FE482F" w:rsidRPr="001B4B1E" w:rsidRDefault="00FE482F" w:rsidP="001B4B1E">
            <w:pPr>
              <w:jc w:val="left"/>
              <w:rPr>
                <w:sz w:val="15"/>
                <w:szCs w:val="16"/>
              </w:rPr>
            </w:pPr>
            <w:r w:rsidRPr="001B4B1E">
              <w:rPr>
                <w:sz w:val="15"/>
                <w:szCs w:val="16"/>
              </w:rPr>
              <w:t>-.171</w:t>
            </w:r>
          </w:p>
        </w:tc>
      </w:tr>
      <w:tr w:rsidR="00FE482F" w:rsidRPr="001B4B1E" w14:paraId="798B7DDC" w14:textId="77777777" w:rsidTr="001B4B1E">
        <w:tc>
          <w:tcPr>
            <w:tcW w:w="912" w:type="pct"/>
            <w:vMerge/>
            <w:vAlign w:val="center"/>
          </w:tcPr>
          <w:p w14:paraId="388D6D6F" w14:textId="77777777" w:rsidR="00FE482F" w:rsidRPr="001B4B1E" w:rsidRDefault="00FE482F" w:rsidP="001B4B1E">
            <w:pPr>
              <w:jc w:val="left"/>
              <w:rPr>
                <w:b/>
                <w:bCs/>
                <w:sz w:val="15"/>
                <w:szCs w:val="16"/>
              </w:rPr>
            </w:pPr>
          </w:p>
        </w:tc>
        <w:tc>
          <w:tcPr>
            <w:tcW w:w="1404" w:type="pct"/>
            <w:vAlign w:val="center"/>
          </w:tcPr>
          <w:p w14:paraId="24AC05E1" w14:textId="77777777" w:rsidR="00FE482F" w:rsidRPr="001B4B1E" w:rsidRDefault="00FE482F" w:rsidP="001B4B1E">
            <w:pPr>
              <w:jc w:val="left"/>
              <w:rPr>
                <w:sz w:val="15"/>
                <w:szCs w:val="16"/>
              </w:rPr>
            </w:pPr>
            <w:r w:rsidRPr="001B4B1E">
              <w:rPr>
                <w:sz w:val="15"/>
                <w:szCs w:val="16"/>
              </w:rPr>
              <w:t>WSAS – Social Leisure</w:t>
            </w:r>
          </w:p>
        </w:tc>
        <w:tc>
          <w:tcPr>
            <w:tcW w:w="807" w:type="pct"/>
            <w:vAlign w:val="center"/>
          </w:tcPr>
          <w:p w14:paraId="766A584F" w14:textId="77777777" w:rsidR="00FE482F" w:rsidRPr="001B4B1E" w:rsidRDefault="00FE482F" w:rsidP="001B4B1E">
            <w:pPr>
              <w:jc w:val="left"/>
              <w:rPr>
                <w:sz w:val="15"/>
                <w:szCs w:val="16"/>
              </w:rPr>
            </w:pPr>
            <w:r w:rsidRPr="001B4B1E">
              <w:rPr>
                <w:sz w:val="15"/>
                <w:szCs w:val="16"/>
              </w:rPr>
              <w:t>-.312</w:t>
            </w:r>
          </w:p>
        </w:tc>
        <w:tc>
          <w:tcPr>
            <w:tcW w:w="803" w:type="pct"/>
            <w:vAlign w:val="center"/>
          </w:tcPr>
          <w:p w14:paraId="68CACB27"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46E08C22" w14:textId="77777777" w:rsidR="00FE482F" w:rsidRPr="001B4B1E" w:rsidRDefault="00FE482F" w:rsidP="001B4B1E">
            <w:pPr>
              <w:jc w:val="left"/>
              <w:rPr>
                <w:sz w:val="15"/>
                <w:szCs w:val="16"/>
              </w:rPr>
            </w:pPr>
            <w:r w:rsidRPr="001B4B1E">
              <w:rPr>
                <w:sz w:val="15"/>
                <w:szCs w:val="16"/>
              </w:rPr>
              <w:t>-.395</w:t>
            </w:r>
          </w:p>
        </w:tc>
        <w:tc>
          <w:tcPr>
            <w:tcW w:w="538" w:type="pct"/>
            <w:vAlign w:val="center"/>
          </w:tcPr>
          <w:p w14:paraId="2F6CBC95" w14:textId="77777777" w:rsidR="00FE482F" w:rsidRPr="001B4B1E" w:rsidRDefault="00FE482F" w:rsidP="001B4B1E">
            <w:pPr>
              <w:jc w:val="left"/>
              <w:rPr>
                <w:sz w:val="15"/>
                <w:szCs w:val="16"/>
              </w:rPr>
            </w:pPr>
            <w:r w:rsidRPr="001B4B1E">
              <w:rPr>
                <w:sz w:val="15"/>
                <w:szCs w:val="16"/>
              </w:rPr>
              <w:t>-.223</w:t>
            </w:r>
          </w:p>
        </w:tc>
      </w:tr>
      <w:tr w:rsidR="00FE482F" w:rsidRPr="001B4B1E" w14:paraId="6D156B4D" w14:textId="77777777" w:rsidTr="001B4B1E">
        <w:tc>
          <w:tcPr>
            <w:tcW w:w="912" w:type="pct"/>
            <w:vMerge/>
            <w:vAlign w:val="center"/>
          </w:tcPr>
          <w:p w14:paraId="77686A0A" w14:textId="77777777" w:rsidR="00FE482F" w:rsidRPr="001B4B1E" w:rsidRDefault="00FE482F" w:rsidP="001B4B1E">
            <w:pPr>
              <w:jc w:val="left"/>
              <w:rPr>
                <w:b/>
                <w:bCs/>
                <w:sz w:val="15"/>
                <w:szCs w:val="16"/>
              </w:rPr>
            </w:pPr>
          </w:p>
        </w:tc>
        <w:tc>
          <w:tcPr>
            <w:tcW w:w="1404" w:type="pct"/>
            <w:vAlign w:val="center"/>
          </w:tcPr>
          <w:p w14:paraId="7BB8EB0E" w14:textId="77777777" w:rsidR="00FE482F" w:rsidRPr="001B4B1E" w:rsidRDefault="00FE482F" w:rsidP="001B4B1E">
            <w:pPr>
              <w:jc w:val="left"/>
              <w:rPr>
                <w:sz w:val="15"/>
                <w:szCs w:val="16"/>
              </w:rPr>
            </w:pPr>
            <w:r w:rsidRPr="001B4B1E">
              <w:rPr>
                <w:sz w:val="15"/>
                <w:szCs w:val="16"/>
              </w:rPr>
              <w:t>WSAS - Private Leisure</w:t>
            </w:r>
          </w:p>
        </w:tc>
        <w:tc>
          <w:tcPr>
            <w:tcW w:w="807" w:type="pct"/>
            <w:vAlign w:val="center"/>
          </w:tcPr>
          <w:p w14:paraId="001E67CF" w14:textId="77777777" w:rsidR="00FE482F" w:rsidRPr="001B4B1E" w:rsidRDefault="00FE482F" w:rsidP="001B4B1E">
            <w:pPr>
              <w:jc w:val="left"/>
              <w:rPr>
                <w:sz w:val="15"/>
                <w:szCs w:val="16"/>
              </w:rPr>
            </w:pPr>
            <w:r w:rsidRPr="001B4B1E">
              <w:rPr>
                <w:sz w:val="15"/>
                <w:szCs w:val="16"/>
              </w:rPr>
              <w:t>-.215</w:t>
            </w:r>
          </w:p>
        </w:tc>
        <w:tc>
          <w:tcPr>
            <w:tcW w:w="803" w:type="pct"/>
            <w:vAlign w:val="center"/>
          </w:tcPr>
          <w:p w14:paraId="29811D15"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594580E7" w14:textId="77777777" w:rsidR="00FE482F" w:rsidRPr="001B4B1E" w:rsidRDefault="00FE482F" w:rsidP="001B4B1E">
            <w:pPr>
              <w:jc w:val="left"/>
              <w:rPr>
                <w:sz w:val="15"/>
                <w:szCs w:val="16"/>
              </w:rPr>
            </w:pPr>
            <w:r w:rsidRPr="001B4B1E">
              <w:rPr>
                <w:sz w:val="15"/>
                <w:szCs w:val="16"/>
              </w:rPr>
              <w:t>-.304</w:t>
            </w:r>
          </w:p>
        </w:tc>
        <w:tc>
          <w:tcPr>
            <w:tcW w:w="538" w:type="pct"/>
            <w:vAlign w:val="center"/>
          </w:tcPr>
          <w:p w14:paraId="5A6EF0B6" w14:textId="77777777" w:rsidR="00FE482F" w:rsidRPr="001B4B1E" w:rsidRDefault="00FE482F" w:rsidP="001B4B1E">
            <w:pPr>
              <w:jc w:val="left"/>
              <w:rPr>
                <w:sz w:val="15"/>
                <w:szCs w:val="16"/>
              </w:rPr>
            </w:pPr>
            <w:r w:rsidRPr="001B4B1E">
              <w:rPr>
                <w:sz w:val="15"/>
                <w:szCs w:val="16"/>
              </w:rPr>
              <w:t>-.122</w:t>
            </w:r>
          </w:p>
        </w:tc>
      </w:tr>
      <w:tr w:rsidR="00FE482F" w:rsidRPr="001B4B1E" w14:paraId="659C2757" w14:textId="77777777" w:rsidTr="001B4B1E">
        <w:tc>
          <w:tcPr>
            <w:tcW w:w="912" w:type="pct"/>
            <w:vMerge/>
            <w:vAlign w:val="center"/>
          </w:tcPr>
          <w:p w14:paraId="69C26C78" w14:textId="77777777" w:rsidR="00FE482F" w:rsidRPr="001B4B1E" w:rsidRDefault="00FE482F" w:rsidP="001B4B1E">
            <w:pPr>
              <w:jc w:val="left"/>
              <w:rPr>
                <w:b/>
                <w:bCs/>
                <w:sz w:val="15"/>
                <w:szCs w:val="16"/>
              </w:rPr>
            </w:pPr>
          </w:p>
        </w:tc>
        <w:tc>
          <w:tcPr>
            <w:tcW w:w="1404" w:type="pct"/>
            <w:vAlign w:val="center"/>
          </w:tcPr>
          <w:p w14:paraId="62C82F67" w14:textId="77777777" w:rsidR="00FE482F" w:rsidRPr="001B4B1E" w:rsidRDefault="00FE482F" w:rsidP="001B4B1E">
            <w:pPr>
              <w:jc w:val="left"/>
              <w:rPr>
                <w:sz w:val="15"/>
                <w:szCs w:val="16"/>
              </w:rPr>
            </w:pPr>
            <w:r w:rsidRPr="001B4B1E">
              <w:rPr>
                <w:sz w:val="15"/>
                <w:szCs w:val="16"/>
              </w:rPr>
              <w:t>WSAS - Relationships</w:t>
            </w:r>
          </w:p>
        </w:tc>
        <w:tc>
          <w:tcPr>
            <w:tcW w:w="807" w:type="pct"/>
            <w:vAlign w:val="center"/>
          </w:tcPr>
          <w:p w14:paraId="34CF6D44" w14:textId="77777777" w:rsidR="00FE482F" w:rsidRPr="001B4B1E" w:rsidRDefault="00FE482F" w:rsidP="001B4B1E">
            <w:pPr>
              <w:jc w:val="left"/>
              <w:rPr>
                <w:sz w:val="15"/>
                <w:szCs w:val="16"/>
              </w:rPr>
            </w:pPr>
            <w:r w:rsidRPr="001B4B1E">
              <w:rPr>
                <w:sz w:val="15"/>
                <w:szCs w:val="16"/>
              </w:rPr>
              <w:t>-.377</w:t>
            </w:r>
          </w:p>
        </w:tc>
        <w:tc>
          <w:tcPr>
            <w:tcW w:w="803" w:type="pct"/>
            <w:vAlign w:val="center"/>
          </w:tcPr>
          <w:p w14:paraId="149FA44B"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4B6E9BE0" w14:textId="77777777" w:rsidR="00FE482F" w:rsidRPr="001B4B1E" w:rsidRDefault="00FE482F" w:rsidP="001B4B1E">
            <w:pPr>
              <w:jc w:val="left"/>
              <w:rPr>
                <w:sz w:val="15"/>
                <w:szCs w:val="16"/>
              </w:rPr>
            </w:pPr>
            <w:r w:rsidRPr="001B4B1E">
              <w:rPr>
                <w:sz w:val="15"/>
                <w:szCs w:val="16"/>
              </w:rPr>
              <w:t>-.456</w:t>
            </w:r>
          </w:p>
        </w:tc>
        <w:tc>
          <w:tcPr>
            <w:tcW w:w="538" w:type="pct"/>
            <w:vAlign w:val="center"/>
          </w:tcPr>
          <w:p w14:paraId="6D5EB6EA" w14:textId="77777777" w:rsidR="00FE482F" w:rsidRPr="001B4B1E" w:rsidRDefault="00FE482F" w:rsidP="001B4B1E">
            <w:pPr>
              <w:jc w:val="left"/>
              <w:rPr>
                <w:sz w:val="15"/>
                <w:szCs w:val="16"/>
              </w:rPr>
            </w:pPr>
            <w:r w:rsidRPr="001B4B1E">
              <w:rPr>
                <w:sz w:val="15"/>
                <w:szCs w:val="16"/>
              </w:rPr>
              <w:t>-.292</w:t>
            </w:r>
          </w:p>
        </w:tc>
      </w:tr>
      <w:tr w:rsidR="00FE482F" w:rsidRPr="001B4B1E" w14:paraId="53599A6C" w14:textId="77777777" w:rsidTr="001B4B1E">
        <w:tc>
          <w:tcPr>
            <w:tcW w:w="912" w:type="pct"/>
            <w:vMerge/>
            <w:vAlign w:val="center"/>
          </w:tcPr>
          <w:p w14:paraId="329E2A05" w14:textId="77777777" w:rsidR="00FE482F" w:rsidRPr="001B4B1E" w:rsidRDefault="00FE482F" w:rsidP="001B4B1E">
            <w:pPr>
              <w:jc w:val="left"/>
              <w:rPr>
                <w:b/>
                <w:bCs/>
                <w:sz w:val="15"/>
                <w:szCs w:val="16"/>
              </w:rPr>
            </w:pPr>
          </w:p>
        </w:tc>
        <w:tc>
          <w:tcPr>
            <w:tcW w:w="1404" w:type="pct"/>
            <w:vAlign w:val="center"/>
          </w:tcPr>
          <w:p w14:paraId="78BECD7E" w14:textId="77777777" w:rsidR="00FE482F" w:rsidRPr="001B4B1E" w:rsidRDefault="00FE482F" w:rsidP="001B4B1E">
            <w:pPr>
              <w:jc w:val="left"/>
              <w:rPr>
                <w:sz w:val="15"/>
                <w:szCs w:val="16"/>
              </w:rPr>
            </w:pPr>
            <w:r w:rsidRPr="001B4B1E">
              <w:rPr>
                <w:sz w:val="15"/>
                <w:szCs w:val="16"/>
              </w:rPr>
              <w:t>UCS_1</w:t>
            </w:r>
          </w:p>
        </w:tc>
        <w:tc>
          <w:tcPr>
            <w:tcW w:w="807" w:type="pct"/>
            <w:vAlign w:val="center"/>
          </w:tcPr>
          <w:p w14:paraId="4ADE4625" w14:textId="77777777" w:rsidR="00FE482F" w:rsidRPr="001B4B1E" w:rsidRDefault="00FE482F" w:rsidP="001B4B1E">
            <w:pPr>
              <w:jc w:val="left"/>
              <w:rPr>
                <w:sz w:val="15"/>
                <w:szCs w:val="16"/>
              </w:rPr>
            </w:pPr>
            <w:r w:rsidRPr="001B4B1E">
              <w:rPr>
                <w:sz w:val="15"/>
                <w:szCs w:val="16"/>
              </w:rPr>
              <w:t>-.249</w:t>
            </w:r>
          </w:p>
        </w:tc>
        <w:tc>
          <w:tcPr>
            <w:tcW w:w="803" w:type="pct"/>
            <w:vAlign w:val="center"/>
          </w:tcPr>
          <w:p w14:paraId="4C35DE85"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49A66F6E" w14:textId="77777777" w:rsidR="00FE482F" w:rsidRPr="001B4B1E" w:rsidRDefault="00FE482F" w:rsidP="001B4B1E">
            <w:pPr>
              <w:jc w:val="left"/>
              <w:rPr>
                <w:sz w:val="15"/>
                <w:szCs w:val="16"/>
              </w:rPr>
            </w:pPr>
            <w:r w:rsidRPr="001B4B1E">
              <w:rPr>
                <w:sz w:val="15"/>
                <w:szCs w:val="16"/>
              </w:rPr>
              <w:t>-.337</w:t>
            </w:r>
          </w:p>
        </w:tc>
        <w:tc>
          <w:tcPr>
            <w:tcW w:w="538" w:type="pct"/>
            <w:vAlign w:val="center"/>
          </w:tcPr>
          <w:p w14:paraId="110DA402" w14:textId="77777777" w:rsidR="00FE482F" w:rsidRPr="001B4B1E" w:rsidRDefault="00FE482F" w:rsidP="001B4B1E">
            <w:pPr>
              <w:jc w:val="left"/>
              <w:rPr>
                <w:sz w:val="15"/>
                <w:szCs w:val="16"/>
              </w:rPr>
            </w:pPr>
            <w:r w:rsidRPr="001B4B1E">
              <w:rPr>
                <w:sz w:val="15"/>
                <w:szCs w:val="16"/>
              </w:rPr>
              <w:t>-.158</w:t>
            </w:r>
          </w:p>
        </w:tc>
      </w:tr>
      <w:tr w:rsidR="00FE482F" w:rsidRPr="001B4B1E" w14:paraId="191A724B" w14:textId="77777777" w:rsidTr="001B4B1E">
        <w:tc>
          <w:tcPr>
            <w:tcW w:w="912" w:type="pct"/>
            <w:vMerge/>
            <w:vAlign w:val="center"/>
          </w:tcPr>
          <w:p w14:paraId="2F85F5D4" w14:textId="77777777" w:rsidR="00FE482F" w:rsidRPr="001B4B1E" w:rsidRDefault="00FE482F" w:rsidP="001B4B1E">
            <w:pPr>
              <w:jc w:val="left"/>
              <w:rPr>
                <w:b/>
                <w:bCs/>
                <w:sz w:val="15"/>
                <w:szCs w:val="16"/>
              </w:rPr>
            </w:pPr>
          </w:p>
        </w:tc>
        <w:tc>
          <w:tcPr>
            <w:tcW w:w="1404" w:type="pct"/>
            <w:vAlign w:val="center"/>
          </w:tcPr>
          <w:p w14:paraId="4134A2A1" w14:textId="77777777" w:rsidR="00FE482F" w:rsidRPr="001B4B1E" w:rsidRDefault="00FE482F" w:rsidP="001B4B1E">
            <w:pPr>
              <w:jc w:val="left"/>
              <w:rPr>
                <w:sz w:val="15"/>
                <w:szCs w:val="16"/>
              </w:rPr>
            </w:pPr>
            <w:r w:rsidRPr="001B4B1E">
              <w:rPr>
                <w:sz w:val="15"/>
                <w:szCs w:val="16"/>
              </w:rPr>
              <w:t>UCS_2</w:t>
            </w:r>
          </w:p>
        </w:tc>
        <w:tc>
          <w:tcPr>
            <w:tcW w:w="807" w:type="pct"/>
            <w:vAlign w:val="center"/>
          </w:tcPr>
          <w:p w14:paraId="1B4FC173" w14:textId="77777777" w:rsidR="00FE482F" w:rsidRPr="001B4B1E" w:rsidRDefault="00FE482F" w:rsidP="001B4B1E">
            <w:pPr>
              <w:jc w:val="left"/>
              <w:rPr>
                <w:sz w:val="15"/>
                <w:szCs w:val="16"/>
              </w:rPr>
            </w:pPr>
            <w:r w:rsidRPr="001B4B1E">
              <w:rPr>
                <w:sz w:val="15"/>
                <w:szCs w:val="16"/>
              </w:rPr>
              <w:t>-.021</w:t>
            </w:r>
          </w:p>
        </w:tc>
        <w:tc>
          <w:tcPr>
            <w:tcW w:w="803" w:type="pct"/>
            <w:vAlign w:val="center"/>
          </w:tcPr>
          <w:p w14:paraId="5DBD0CC7" w14:textId="77777777" w:rsidR="00FE482F" w:rsidRPr="001B4B1E" w:rsidRDefault="00FE482F" w:rsidP="001B4B1E">
            <w:pPr>
              <w:jc w:val="left"/>
              <w:rPr>
                <w:sz w:val="15"/>
                <w:szCs w:val="16"/>
              </w:rPr>
            </w:pPr>
            <w:r w:rsidRPr="001B4B1E">
              <w:rPr>
                <w:sz w:val="15"/>
                <w:szCs w:val="16"/>
              </w:rPr>
              <w:t>.661</w:t>
            </w:r>
          </w:p>
        </w:tc>
        <w:tc>
          <w:tcPr>
            <w:tcW w:w="536" w:type="pct"/>
            <w:vAlign w:val="center"/>
          </w:tcPr>
          <w:p w14:paraId="38A00A61" w14:textId="77777777" w:rsidR="00FE482F" w:rsidRPr="001B4B1E" w:rsidRDefault="00FE482F" w:rsidP="001B4B1E">
            <w:pPr>
              <w:jc w:val="left"/>
              <w:rPr>
                <w:sz w:val="15"/>
                <w:szCs w:val="16"/>
              </w:rPr>
            </w:pPr>
            <w:r w:rsidRPr="001B4B1E">
              <w:rPr>
                <w:sz w:val="15"/>
                <w:szCs w:val="16"/>
              </w:rPr>
              <w:t>-.116</w:t>
            </w:r>
          </w:p>
        </w:tc>
        <w:tc>
          <w:tcPr>
            <w:tcW w:w="538" w:type="pct"/>
            <w:vAlign w:val="center"/>
          </w:tcPr>
          <w:p w14:paraId="6EBB0E24" w14:textId="77777777" w:rsidR="00FE482F" w:rsidRPr="001B4B1E" w:rsidRDefault="00FE482F" w:rsidP="001B4B1E">
            <w:pPr>
              <w:jc w:val="left"/>
              <w:rPr>
                <w:sz w:val="15"/>
                <w:szCs w:val="16"/>
              </w:rPr>
            </w:pPr>
            <w:r w:rsidRPr="001B4B1E">
              <w:rPr>
                <w:sz w:val="15"/>
                <w:szCs w:val="16"/>
              </w:rPr>
              <w:t>.075</w:t>
            </w:r>
          </w:p>
        </w:tc>
      </w:tr>
      <w:tr w:rsidR="00FE482F" w:rsidRPr="001B4B1E" w14:paraId="0CE61391" w14:textId="77777777" w:rsidTr="001B4B1E">
        <w:tc>
          <w:tcPr>
            <w:tcW w:w="912" w:type="pct"/>
            <w:vMerge/>
            <w:vAlign w:val="center"/>
          </w:tcPr>
          <w:p w14:paraId="269F5A6D" w14:textId="77777777" w:rsidR="00FE482F" w:rsidRPr="001B4B1E" w:rsidRDefault="00FE482F" w:rsidP="001B4B1E">
            <w:pPr>
              <w:jc w:val="left"/>
              <w:rPr>
                <w:b/>
                <w:bCs/>
                <w:sz w:val="15"/>
                <w:szCs w:val="16"/>
              </w:rPr>
            </w:pPr>
          </w:p>
        </w:tc>
        <w:tc>
          <w:tcPr>
            <w:tcW w:w="1404" w:type="pct"/>
            <w:vAlign w:val="center"/>
          </w:tcPr>
          <w:p w14:paraId="4A5CBD65" w14:textId="77777777" w:rsidR="00FE482F" w:rsidRPr="001B4B1E" w:rsidRDefault="00FE482F" w:rsidP="001B4B1E">
            <w:pPr>
              <w:jc w:val="left"/>
              <w:rPr>
                <w:sz w:val="15"/>
                <w:szCs w:val="16"/>
              </w:rPr>
            </w:pPr>
            <w:r w:rsidRPr="001B4B1E">
              <w:rPr>
                <w:sz w:val="15"/>
                <w:szCs w:val="16"/>
              </w:rPr>
              <w:t>UCS_3</w:t>
            </w:r>
          </w:p>
        </w:tc>
        <w:tc>
          <w:tcPr>
            <w:tcW w:w="807" w:type="pct"/>
            <w:vAlign w:val="center"/>
          </w:tcPr>
          <w:p w14:paraId="62DAB590" w14:textId="77777777" w:rsidR="00FE482F" w:rsidRPr="001B4B1E" w:rsidRDefault="00FE482F" w:rsidP="001B4B1E">
            <w:pPr>
              <w:jc w:val="left"/>
              <w:rPr>
                <w:sz w:val="15"/>
                <w:szCs w:val="16"/>
              </w:rPr>
            </w:pPr>
            <w:r w:rsidRPr="001B4B1E">
              <w:rPr>
                <w:sz w:val="15"/>
                <w:szCs w:val="16"/>
              </w:rPr>
              <w:t>-.186</w:t>
            </w:r>
          </w:p>
        </w:tc>
        <w:tc>
          <w:tcPr>
            <w:tcW w:w="803" w:type="pct"/>
            <w:vAlign w:val="center"/>
          </w:tcPr>
          <w:p w14:paraId="7B744866"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370A7142" w14:textId="77777777" w:rsidR="00FE482F" w:rsidRPr="001B4B1E" w:rsidRDefault="00FE482F" w:rsidP="001B4B1E">
            <w:pPr>
              <w:jc w:val="left"/>
              <w:rPr>
                <w:sz w:val="15"/>
                <w:szCs w:val="16"/>
              </w:rPr>
            </w:pPr>
            <w:r w:rsidRPr="001B4B1E">
              <w:rPr>
                <w:sz w:val="15"/>
                <w:szCs w:val="16"/>
              </w:rPr>
              <w:t>-.276</w:t>
            </w:r>
          </w:p>
        </w:tc>
        <w:tc>
          <w:tcPr>
            <w:tcW w:w="538" w:type="pct"/>
            <w:vAlign w:val="center"/>
          </w:tcPr>
          <w:p w14:paraId="26A7C2BA" w14:textId="77777777" w:rsidR="00FE482F" w:rsidRPr="001B4B1E" w:rsidRDefault="00FE482F" w:rsidP="001B4B1E">
            <w:pPr>
              <w:jc w:val="left"/>
              <w:rPr>
                <w:sz w:val="15"/>
                <w:szCs w:val="16"/>
              </w:rPr>
            </w:pPr>
            <w:r w:rsidRPr="001B4B1E">
              <w:rPr>
                <w:sz w:val="15"/>
                <w:szCs w:val="16"/>
              </w:rPr>
              <w:t>-.093</w:t>
            </w:r>
          </w:p>
        </w:tc>
      </w:tr>
      <w:tr w:rsidR="00FE482F" w:rsidRPr="001B4B1E" w14:paraId="5B29B7B3" w14:textId="77777777" w:rsidTr="001B4B1E">
        <w:tc>
          <w:tcPr>
            <w:tcW w:w="912" w:type="pct"/>
            <w:vMerge/>
            <w:vAlign w:val="center"/>
          </w:tcPr>
          <w:p w14:paraId="71896BC7" w14:textId="77777777" w:rsidR="00FE482F" w:rsidRPr="001B4B1E" w:rsidRDefault="00FE482F" w:rsidP="001B4B1E">
            <w:pPr>
              <w:jc w:val="left"/>
              <w:rPr>
                <w:b/>
                <w:bCs/>
                <w:sz w:val="15"/>
                <w:szCs w:val="16"/>
              </w:rPr>
            </w:pPr>
          </w:p>
        </w:tc>
        <w:tc>
          <w:tcPr>
            <w:tcW w:w="1404" w:type="pct"/>
            <w:vAlign w:val="center"/>
          </w:tcPr>
          <w:p w14:paraId="3FF8A3C9" w14:textId="77777777" w:rsidR="00FE482F" w:rsidRPr="001B4B1E" w:rsidRDefault="00FE482F" w:rsidP="001B4B1E">
            <w:pPr>
              <w:jc w:val="left"/>
              <w:rPr>
                <w:sz w:val="15"/>
                <w:szCs w:val="16"/>
              </w:rPr>
            </w:pPr>
            <w:r w:rsidRPr="001B4B1E">
              <w:rPr>
                <w:sz w:val="15"/>
                <w:szCs w:val="16"/>
              </w:rPr>
              <w:t>UCS_4</w:t>
            </w:r>
          </w:p>
        </w:tc>
        <w:tc>
          <w:tcPr>
            <w:tcW w:w="807" w:type="pct"/>
            <w:vAlign w:val="center"/>
          </w:tcPr>
          <w:p w14:paraId="40B01E7A" w14:textId="77777777" w:rsidR="00FE482F" w:rsidRPr="001B4B1E" w:rsidRDefault="00FE482F" w:rsidP="001B4B1E">
            <w:pPr>
              <w:jc w:val="left"/>
              <w:rPr>
                <w:sz w:val="15"/>
                <w:szCs w:val="16"/>
              </w:rPr>
            </w:pPr>
            <w:r w:rsidRPr="001B4B1E">
              <w:rPr>
                <w:sz w:val="15"/>
                <w:szCs w:val="16"/>
              </w:rPr>
              <w:t>-.096</w:t>
            </w:r>
          </w:p>
        </w:tc>
        <w:tc>
          <w:tcPr>
            <w:tcW w:w="803" w:type="pct"/>
            <w:vAlign w:val="center"/>
          </w:tcPr>
          <w:p w14:paraId="3F8DFA99" w14:textId="77777777" w:rsidR="00FE482F" w:rsidRPr="001B4B1E" w:rsidRDefault="00FE482F" w:rsidP="001B4B1E">
            <w:pPr>
              <w:jc w:val="left"/>
              <w:rPr>
                <w:sz w:val="15"/>
                <w:szCs w:val="16"/>
              </w:rPr>
            </w:pPr>
            <w:r w:rsidRPr="001B4B1E">
              <w:rPr>
                <w:sz w:val="15"/>
                <w:szCs w:val="16"/>
              </w:rPr>
              <w:t>.041</w:t>
            </w:r>
          </w:p>
        </w:tc>
        <w:tc>
          <w:tcPr>
            <w:tcW w:w="536" w:type="pct"/>
            <w:vAlign w:val="center"/>
          </w:tcPr>
          <w:p w14:paraId="44D395F9" w14:textId="77777777" w:rsidR="00FE482F" w:rsidRPr="001B4B1E" w:rsidRDefault="00FE482F" w:rsidP="001B4B1E">
            <w:pPr>
              <w:jc w:val="left"/>
              <w:rPr>
                <w:sz w:val="15"/>
                <w:szCs w:val="16"/>
              </w:rPr>
            </w:pPr>
            <w:r w:rsidRPr="001B4B1E">
              <w:rPr>
                <w:sz w:val="15"/>
                <w:szCs w:val="16"/>
              </w:rPr>
              <w:t>-.190</w:t>
            </w:r>
          </w:p>
        </w:tc>
        <w:tc>
          <w:tcPr>
            <w:tcW w:w="538" w:type="pct"/>
            <w:vAlign w:val="center"/>
          </w:tcPr>
          <w:p w14:paraId="042D5BDC" w14:textId="77777777" w:rsidR="00FE482F" w:rsidRPr="001B4B1E" w:rsidRDefault="00FE482F" w:rsidP="001B4B1E">
            <w:pPr>
              <w:jc w:val="left"/>
              <w:rPr>
                <w:sz w:val="15"/>
                <w:szCs w:val="16"/>
              </w:rPr>
            </w:pPr>
            <w:r w:rsidRPr="001B4B1E">
              <w:rPr>
                <w:sz w:val="15"/>
                <w:szCs w:val="16"/>
              </w:rPr>
              <w:t>-.001</w:t>
            </w:r>
          </w:p>
        </w:tc>
      </w:tr>
      <w:tr w:rsidR="00FE482F" w:rsidRPr="001B4B1E" w14:paraId="2FB36049" w14:textId="77777777" w:rsidTr="001B4B1E">
        <w:tc>
          <w:tcPr>
            <w:tcW w:w="912" w:type="pct"/>
            <w:vMerge/>
            <w:vAlign w:val="center"/>
          </w:tcPr>
          <w:p w14:paraId="6A793161" w14:textId="77777777" w:rsidR="00FE482F" w:rsidRPr="001B4B1E" w:rsidRDefault="00FE482F" w:rsidP="001B4B1E">
            <w:pPr>
              <w:jc w:val="left"/>
              <w:rPr>
                <w:b/>
                <w:bCs/>
                <w:sz w:val="15"/>
                <w:szCs w:val="16"/>
              </w:rPr>
            </w:pPr>
          </w:p>
        </w:tc>
        <w:tc>
          <w:tcPr>
            <w:tcW w:w="1404" w:type="pct"/>
            <w:vAlign w:val="center"/>
          </w:tcPr>
          <w:p w14:paraId="466850E5" w14:textId="77777777" w:rsidR="00FE482F" w:rsidRPr="001B4B1E" w:rsidRDefault="00FE482F" w:rsidP="001B4B1E">
            <w:pPr>
              <w:jc w:val="left"/>
              <w:rPr>
                <w:sz w:val="15"/>
                <w:szCs w:val="16"/>
              </w:rPr>
            </w:pPr>
            <w:r w:rsidRPr="001B4B1E">
              <w:rPr>
                <w:sz w:val="15"/>
                <w:szCs w:val="16"/>
              </w:rPr>
              <w:t>UCS_5</w:t>
            </w:r>
          </w:p>
        </w:tc>
        <w:tc>
          <w:tcPr>
            <w:tcW w:w="807" w:type="pct"/>
            <w:vAlign w:val="center"/>
          </w:tcPr>
          <w:p w14:paraId="2AF4484B" w14:textId="77777777" w:rsidR="00FE482F" w:rsidRPr="001B4B1E" w:rsidRDefault="00FE482F" w:rsidP="001B4B1E">
            <w:pPr>
              <w:jc w:val="left"/>
              <w:rPr>
                <w:sz w:val="15"/>
                <w:szCs w:val="16"/>
              </w:rPr>
            </w:pPr>
            <w:r w:rsidRPr="001B4B1E">
              <w:rPr>
                <w:sz w:val="15"/>
                <w:szCs w:val="16"/>
              </w:rPr>
              <w:t>-.192</w:t>
            </w:r>
          </w:p>
        </w:tc>
        <w:tc>
          <w:tcPr>
            <w:tcW w:w="803" w:type="pct"/>
            <w:vAlign w:val="center"/>
          </w:tcPr>
          <w:p w14:paraId="78863CAF"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50D304CD" w14:textId="77777777" w:rsidR="00FE482F" w:rsidRPr="001B4B1E" w:rsidRDefault="00FE482F" w:rsidP="001B4B1E">
            <w:pPr>
              <w:jc w:val="left"/>
              <w:rPr>
                <w:sz w:val="15"/>
                <w:szCs w:val="16"/>
              </w:rPr>
            </w:pPr>
            <w:r w:rsidRPr="001B4B1E">
              <w:rPr>
                <w:sz w:val="15"/>
                <w:szCs w:val="16"/>
              </w:rPr>
              <w:t>-.282</w:t>
            </w:r>
          </w:p>
        </w:tc>
        <w:tc>
          <w:tcPr>
            <w:tcW w:w="538" w:type="pct"/>
            <w:vAlign w:val="center"/>
          </w:tcPr>
          <w:p w14:paraId="4A6C16CC" w14:textId="77777777" w:rsidR="00FE482F" w:rsidRPr="001B4B1E" w:rsidRDefault="00FE482F" w:rsidP="001B4B1E">
            <w:pPr>
              <w:jc w:val="left"/>
              <w:rPr>
                <w:sz w:val="15"/>
                <w:szCs w:val="16"/>
              </w:rPr>
            </w:pPr>
            <w:r w:rsidRPr="001B4B1E">
              <w:rPr>
                <w:sz w:val="15"/>
                <w:szCs w:val="16"/>
              </w:rPr>
              <w:t>-.099</w:t>
            </w:r>
          </w:p>
        </w:tc>
      </w:tr>
      <w:tr w:rsidR="00FE482F" w:rsidRPr="001B4B1E" w14:paraId="2486725B" w14:textId="77777777" w:rsidTr="001B4B1E">
        <w:tc>
          <w:tcPr>
            <w:tcW w:w="912" w:type="pct"/>
            <w:vMerge/>
            <w:vAlign w:val="center"/>
          </w:tcPr>
          <w:p w14:paraId="0F8191A3" w14:textId="77777777" w:rsidR="00FE482F" w:rsidRPr="001B4B1E" w:rsidRDefault="00FE482F" w:rsidP="001B4B1E">
            <w:pPr>
              <w:jc w:val="left"/>
              <w:rPr>
                <w:b/>
                <w:bCs/>
                <w:sz w:val="15"/>
                <w:szCs w:val="16"/>
              </w:rPr>
            </w:pPr>
          </w:p>
        </w:tc>
        <w:tc>
          <w:tcPr>
            <w:tcW w:w="1404" w:type="pct"/>
            <w:vAlign w:val="center"/>
          </w:tcPr>
          <w:p w14:paraId="78BCC7C5" w14:textId="77777777" w:rsidR="00FE482F" w:rsidRPr="001B4B1E" w:rsidRDefault="00FE482F" w:rsidP="001B4B1E">
            <w:pPr>
              <w:jc w:val="left"/>
              <w:rPr>
                <w:sz w:val="15"/>
                <w:szCs w:val="16"/>
              </w:rPr>
            </w:pPr>
            <w:r w:rsidRPr="001B4B1E">
              <w:rPr>
                <w:sz w:val="15"/>
                <w:szCs w:val="16"/>
              </w:rPr>
              <w:t>UCS_6</w:t>
            </w:r>
          </w:p>
        </w:tc>
        <w:tc>
          <w:tcPr>
            <w:tcW w:w="807" w:type="pct"/>
            <w:vAlign w:val="center"/>
          </w:tcPr>
          <w:p w14:paraId="7D48BB30" w14:textId="77777777" w:rsidR="00FE482F" w:rsidRPr="001B4B1E" w:rsidRDefault="00FE482F" w:rsidP="001B4B1E">
            <w:pPr>
              <w:jc w:val="left"/>
              <w:rPr>
                <w:sz w:val="15"/>
                <w:szCs w:val="16"/>
              </w:rPr>
            </w:pPr>
            <w:r w:rsidRPr="001B4B1E">
              <w:rPr>
                <w:sz w:val="15"/>
                <w:szCs w:val="16"/>
              </w:rPr>
              <w:t>-.305</w:t>
            </w:r>
          </w:p>
        </w:tc>
        <w:tc>
          <w:tcPr>
            <w:tcW w:w="803" w:type="pct"/>
            <w:vAlign w:val="center"/>
          </w:tcPr>
          <w:p w14:paraId="6A420C8F"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02E8A7FD" w14:textId="77777777" w:rsidR="00FE482F" w:rsidRPr="001B4B1E" w:rsidRDefault="00FE482F" w:rsidP="001B4B1E">
            <w:pPr>
              <w:jc w:val="left"/>
              <w:rPr>
                <w:sz w:val="15"/>
                <w:szCs w:val="16"/>
              </w:rPr>
            </w:pPr>
            <w:r w:rsidRPr="001B4B1E">
              <w:rPr>
                <w:sz w:val="15"/>
                <w:szCs w:val="16"/>
              </w:rPr>
              <w:t>-.388</w:t>
            </w:r>
          </w:p>
        </w:tc>
        <w:tc>
          <w:tcPr>
            <w:tcW w:w="538" w:type="pct"/>
            <w:vAlign w:val="center"/>
          </w:tcPr>
          <w:p w14:paraId="328146D0" w14:textId="77777777" w:rsidR="00FE482F" w:rsidRPr="001B4B1E" w:rsidRDefault="00FE482F" w:rsidP="001B4B1E">
            <w:pPr>
              <w:jc w:val="left"/>
              <w:rPr>
                <w:sz w:val="15"/>
                <w:szCs w:val="16"/>
              </w:rPr>
            </w:pPr>
            <w:r w:rsidRPr="001B4B1E">
              <w:rPr>
                <w:sz w:val="15"/>
                <w:szCs w:val="16"/>
              </w:rPr>
              <w:t>-.216</w:t>
            </w:r>
          </w:p>
        </w:tc>
      </w:tr>
      <w:tr w:rsidR="00FE482F" w:rsidRPr="001B4B1E" w14:paraId="081B6881" w14:textId="77777777" w:rsidTr="001B4B1E">
        <w:tc>
          <w:tcPr>
            <w:tcW w:w="912" w:type="pct"/>
            <w:vMerge/>
            <w:vAlign w:val="center"/>
          </w:tcPr>
          <w:p w14:paraId="54DDE0E7" w14:textId="77777777" w:rsidR="00FE482F" w:rsidRPr="001B4B1E" w:rsidRDefault="00FE482F" w:rsidP="001B4B1E">
            <w:pPr>
              <w:jc w:val="left"/>
              <w:rPr>
                <w:b/>
                <w:bCs/>
                <w:sz w:val="15"/>
                <w:szCs w:val="16"/>
              </w:rPr>
            </w:pPr>
          </w:p>
        </w:tc>
        <w:tc>
          <w:tcPr>
            <w:tcW w:w="1404" w:type="pct"/>
            <w:vAlign w:val="center"/>
          </w:tcPr>
          <w:p w14:paraId="5F09E192" w14:textId="77777777" w:rsidR="00FE482F" w:rsidRPr="001B4B1E" w:rsidRDefault="00FE482F" w:rsidP="001B4B1E">
            <w:pPr>
              <w:jc w:val="left"/>
              <w:rPr>
                <w:sz w:val="15"/>
                <w:szCs w:val="16"/>
              </w:rPr>
            </w:pPr>
            <w:r w:rsidRPr="001B4B1E">
              <w:rPr>
                <w:sz w:val="15"/>
                <w:szCs w:val="16"/>
              </w:rPr>
              <w:t>UCS_7</w:t>
            </w:r>
          </w:p>
        </w:tc>
        <w:tc>
          <w:tcPr>
            <w:tcW w:w="807" w:type="pct"/>
            <w:vAlign w:val="center"/>
          </w:tcPr>
          <w:p w14:paraId="191F8E36" w14:textId="77777777" w:rsidR="00FE482F" w:rsidRPr="001B4B1E" w:rsidRDefault="00FE482F" w:rsidP="001B4B1E">
            <w:pPr>
              <w:jc w:val="left"/>
              <w:rPr>
                <w:sz w:val="15"/>
                <w:szCs w:val="16"/>
              </w:rPr>
            </w:pPr>
            <w:r w:rsidRPr="001B4B1E">
              <w:rPr>
                <w:sz w:val="15"/>
                <w:szCs w:val="16"/>
              </w:rPr>
              <w:t>-.327</w:t>
            </w:r>
          </w:p>
        </w:tc>
        <w:tc>
          <w:tcPr>
            <w:tcW w:w="803" w:type="pct"/>
            <w:vAlign w:val="center"/>
          </w:tcPr>
          <w:p w14:paraId="6A9F5DDE"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EE10CF3" w14:textId="77777777" w:rsidR="00FE482F" w:rsidRPr="001B4B1E" w:rsidRDefault="00FE482F" w:rsidP="001B4B1E">
            <w:pPr>
              <w:jc w:val="left"/>
              <w:rPr>
                <w:sz w:val="15"/>
                <w:szCs w:val="16"/>
              </w:rPr>
            </w:pPr>
            <w:r w:rsidRPr="001B4B1E">
              <w:rPr>
                <w:sz w:val="15"/>
                <w:szCs w:val="16"/>
              </w:rPr>
              <w:t>-.409</w:t>
            </w:r>
          </w:p>
        </w:tc>
        <w:tc>
          <w:tcPr>
            <w:tcW w:w="538" w:type="pct"/>
            <w:vAlign w:val="center"/>
          </w:tcPr>
          <w:p w14:paraId="1ABAB76C" w14:textId="77777777" w:rsidR="00FE482F" w:rsidRPr="001B4B1E" w:rsidRDefault="00FE482F" w:rsidP="001B4B1E">
            <w:pPr>
              <w:jc w:val="left"/>
              <w:rPr>
                <w:sz w:val="15"/>
                <w:szCs w:val="16"/>
              </w:rPr>
            </w:pPr>
            <w:r w:rsidRPr="001B4B1E">
              <w:rPr>
                <w:sz w:val="15"/>
                <w:szCs w:val="16"/>
              </w:rPr>
              <w:t>-.239</w:t>
            </w:r>
          </w:p>
        </w:tc>
      </w:tr>
      <w:tr w:rsidR="00FE482F" w:rsidRPr="001B4B1E" w14:paraId="1E31B628" w14:textId="77777777" w:rsidTr="001B4B1E">
        <w:tc>
          <w:tcPr>
            <w:tcW w:w="912" w:type="pct"/>
            <w:vMerge/>
            <w:vAlign w:val="center"/>
          </w:tcPr>
          <w:p w14:paraId="1E84CE2B" w14:textId="77777777" w:rsidR="00FE482F" w:rsidRPr="001B4B1E" w:rsidRDefault="00FE482F" w:rsidP="001B4B1E">
            <w:pPr>
              <w:jc w:val="left"/>
              <w:rPr>
                <w:b/>
                <w:bCs/>
                <w:sz w:val="15"/>
                <w:szCs w:val="16"/>
              </w:rPr>
            </w:pPr>
          </w:p>
        </w:tc>
        <w:tc>
          <w:tcPr>
            <w:tcW w:w="1404" w:type="pct"/>
            <w:vAlign w:val="center"/>
          </w:tcPr>
          <w:p w14:paraId="67E60F07" w14:textId="77777777" w:rsidR="00FE482F" w:rsidRPr="001B4B1E" w:rsidRDefault="00FE482F" w:rsidP="001B4B1E">
            <w:pPr>
              <w:jc w:val="left"/>
              <w:rPr>
                <w:sz w:val="15"/>
                <w:szCs w:val="16"/>
              </w:rPr>
            </w:pPr>
            <w:r w:rsidRPr="001B4B1E">
              <w:rPr>
                <w:sz w:val="15"/>
                <w:szCs w:val="16"/>
              </w:rPr>
              <w:t>UCS_8</w:t>
            </w:r>
          </w:p>
        </w:tc>
        <w:tc>
          <w:tcPr>
            <w:tcW w:w="807" w:type="pct"/>
            <w:vAlign w:val="center"/>
          </w:tcPr>
          <w:p w14:paraId="7FDB5D5A" w14:textId="77777777" w:rsidR="00FE482F" w:rsidRPr="001B4B1E" w:rsidRDefault="00FE482F" w:rsidP="001B4B1E">
            <w:pPr>
              <w:jc w:val="left"/>
              <w:rPr>
                <w:sz w:val="15"/>
                <w:szCs w:val="16"/>
              </w:rPr>
            </w:pPr>
            <w:r w:rsidRPr="001B4B1E">
              <w:rPr>
                <w:sz w:val="15"/>
                <w:szCs w:val="16"/>
              </w:rPr>
              <w:t>-.228</w:t>
            </w:r>
          </w:p>
        </w:tc>
        <w:tc>
          <w:tcPr>
            <w:tcW w:w="803" w:type="pct"/>
            <w:vAlign w:val="center"/>
          </w:tcPr>
          <w:p w14:paraId="1D992F6C"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18BD011A" w14:textId="77777777" w:rsidR="00FE482F" w:rsidRPr="001B4B1E" w:rsidRDefault="00FE482F" w:rsidP="001B4B1E">
            <w:pPr>
              <w:jc w:val="left"/>
              <w:rPr>
                <w:sz w:val="15"/>
                <w:szCs w:val="16"/>
              </w:rPr>
            </w:pPr>
            <w:r w:rsidRPr="001B4B1E">
              <w:rPr>
                <w:sz w:val="15"/>
                <w:szCs w:val="16"/>
              </w:rPr>
              <w:t>-.317</w:t>
            </w:r>
          </w:p>
        </w:tc>
        <w:tc>
          <w:tcPr>
            <w:tcW w:w="538" w:type="pct"/>
            <w:vAlign w:val="center"/>
          </w:tcPr>
          <w:p w14:paraId="25E00522" w14:textId="77777777" w:rsidR="00FE482F" w:rsidRPr="001B4B1E" w:rsidRDefault="00FE482F" w:rsidP="001B4B1E">
            <w:pPr>
              <w:jc w:val="left"/>
              <w:rPr>
                <w:sz w:val="15"/>
                <w:szCs w:val="16"/>
              </w:rPr>
            </w:pPr>
            <w:r w:rsidRPr="001B4B1E">
              <w:rPr>
                <w:sz w:val="15"/>
                <w:szCs w:val="16"/>
              </w:rPr>
              <w:t>-.136</w:t>
            </w:r>
          </w:p>
        </w:tc>
      </w:tr>
      <w:tr w:rsidR="00FE482F" w:rsidRPr="001B4B1E" w14:paraId="22BA9E2D" w14:textId="77777777" w:rsidTr="001B4B1E">
        <w:tc>
          <w:tcPr>
            <w:tcW w:w="912" w:type="pct"/>
            <w:vMerge/>
            <w:vAlign w:val="center"/>
          </w:tcPr>
          <w:p w14:paraId="7425D6F9" w14:textId="77777777" w:rsidR="00FE482F" w:rsidRPr="001B4B1E" w:rsidRDefault="00FE482F" w:rsidP="001B4B1E">
            <w:pPr>
              <w:jc w:val="left"/>
              <w:rPr>
                <w:b/>
                <w:bCs/>
                <w:sz w:val="15"/>
                <w:szCs w:val="16"/>
              </w:rPr>
            </w:pPr>
          </w:p>
        </w:tc>
        <w:tc>
          <w:tcPr>
            <w:tcW w:w="1404" w:type="pct"/>
            <w:vAlign w:val="center"/>
          </w:tcPr>
          <w:p w14:paraId="6AB5025E" w14:textId="77777777" w:rsidR="00FE482F" w:rsidRPr="001B4B1E" w:rsidRDefault="00FE482F" w:rsidP="001B4B1E">
            <w:pPr>
              <w:jc w:val="left"/>
              <w:rPr>
                <w:sz w:val="15"/>
                <w:szCs w:val="16"/>
              </w:rPr>
            </w:pPr>
            <w:r w:rsidRPr="001B4B1E">
              <w:rPr>
                <w:sz w:val="15"/>
                <w:szCs w:val="16"/>
              </w:rPr>
              <w:t>UCS_9</w:t>
            </w:r>
          </w:p>
        </w:tc>
        <w:tc>
          <w:tcPr>
            <w:tcW w:w="807" w:type="pct"/>
            <w:vAlign w:val="center"/>
          </w:tcPr>
          <w:p w14:paraId="3D28D05A" w14:textId="77777777" w:rsidR="00FE482F" w:rsidRPr="001B4B1E" w:rsidRDefault="00FE482F" w:rsidP="001B4B1E">
            <w:pPr>
              <w:jc w:val="left"/>
              <w:rPr>
                <w:sz w:val="15"/>
                <w:szCs w:val="16"/>
              </w:rPr>
            </w:pPr>
            <w:r w:rsidRPr="001B4B1E">
              <w:rPr>
                <w:sz w:val="15"/>
                <w:szCs w:val="16"/>
              </w:rPr>
              <w:t>-.285</w:t>
            </w:r>
          </w:p>
        </w:tc>
        <w:tc>
          <w:tcPr>
            <w:tcW w:w="803" w:type="pct"/>
            <w:vAlign w:val="center"/>
          </w:tcPr>
          <w:p w14:paraId="61CDDE5E"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31D8958A" w14:textId="77777777" w:rsidR="00FE482F" w:rsidRPr="001B4B1E" w:rsidRDefault="00FE482F" w:rsidP="001B4B1E">
            <w:pPr>
              <w:jc w:val="left"/>
              <w:rPr>
                <w:sz w:val="15"/>
                <w:szCs w:val="16"/>
              </w:rPr>
            </w:pPr>
            <w:r w:rsidRPr="001B4B1E">
              <w:rPr>
                <w:sz w:val="15"/>
                <w:szCs w:val="16"/>
              </w:rPr>
              <w:t>-.370</w:t>
            </w:r>
          </w:p>
        </w:tc>
        <w:tc>
          <w:tcPr>
            <w:tcW w:w="538" w:type="pct"/>
            <w:vAlign w:val="center"/>
          </w:tcPr>
          <w:p w14:paraId="5CED9D5B" w14:textId="77777777" w:rsidR="00FE482F" w:rsidRPr="001B4B1E" w:rsidRDefault="00FE482F" w:rsidP="001B4B1E">
            <w:pPr>
              <w:jc w:val="left"/>
              <w:rPr>
                <w:sz w:val="15"/>
                <w:szCs w:val="16"/>
              </w:rPr>
            </w:pPr>
            <w:r w:rsidRPr="001B4B1E">
              <w:rPr>
                <w:sz w:val="15"/>
                <w:szCs w:val="16"/>
              </w:rPr>
              <w:t>-.195</w:t>
            </w:r>
          </w:p>
        </w:tc>
      </w:tr>
      <w:tr w:rsidR="00FE482F" w:rsidRPr="001B4B1E" w14:paraId="1206D5E1" w14:textId="77777777" w:rsidTr="001B4B1E">
        <w:tc>
          <w:tcPr>
            <w:tcW w:w="912" w:type="pct"/>
            <w:vMerge w:val="restart"/>
            <w:vAlign w:val="center"/>
          </w:tcPr>
          <w:p w14:paraId="6C52F053" w14:textId="77777777" w:rsidR="00FE482F" w:rsidRPr="001B4B1E" w:rsidRDefault="00FE482F" w:rsidP="001B4B1E">
            <w:pPr>
              <w:jc w:val="left"/>
              <w:rPr>
                <w:b/>
                <w:bCs/>
                <w:sz w:val="15"/>
                <w:szCs w:val="16"/>
              </w:rPr>
            </w:pPr>
            <w:r w:rsidRPr="001B4B1E">
              <w:rPr>
                <w:b/>
                <w:bCs/>
                <w:sz w:val="15"/>
                <w:szCs w:val="16"/>
              </w:rPr>
              <w:t>Illness burden Collapsed category – total score</w:t>
            </w:r>
          </w:p>
        </w:tc>
        <w:tc>
          <w:tcPr>
            <w:tcW w:w="1404" w:type="pct"/>
            <w:vAlign w:val="center"/>
          </w:tcPr>
          <w:p w14:paraId="44DA8109" w14:textId="77777777" w:rsidR="00FE482F" w:rsidRPr="001B4B1E" w:rsidRDefault="00FE482F" w:rsidP="001B4B1E">
            <w:pPr>
              <w:jc w:val="left"/>
              <w:rPr>
                <w:sz w:val="15"/>
                <w:szCs w:val="16"/>
              </w:rPr>
            </w:pPr>
            <w:r w:rsidRPr="001B4B1E">
              <w:rPr>
                <w:sz w:val="15"/>
                <w:szCs w:val="16"/>
              </w:rPr>
              <w:t>GAD7 total</w:t>
            </w:r>
          </w:p>
        </w:tc>
        <w:tc>
          <w:tcPr>
            <w:tcW w:w="807" w:type="pct"/>
            <w:vAlign w:val="center"/>
          </w:tcPr>
          <w:p w14:paraId="0D950ADE" w14:textId="77777777" w:rsidR="00FE482F" w:rsidRPr="001B4B1E" w:rsidRDefault="00FE482F" w:rsidP="001B4B1E">
            <w:pPr>
              <w:jc w:val="left"/>
              <w:rPr>
                <w:sz w:val="15"/>
                <w:szCs w:val="16"/>
              </w:rPr>
            </w:pPr>
            <w:r w:rsidRPr="001B4B1E">
              <w:rPr>
                <w:sz w:val="15"/>
                <w:szCs w:val="16"/>
              </w:rPr>
              <w:t>-.292</w:t>
            </w:r>
          </w:p>
        </w:tc>
        <w:tc>
          <w:tcPr>
            <w:tcW w:w="803" w:type="pct"/>
            <w:vAlign w:val="center"/>
          </w:tcPr>
          <w:p w14:paraId="29CE9CE6"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665EA82" w14:textId="77777777" w:rsidR="00FE482F" w:rsidRPr="001B4B1E" w:rsidRDefault="00FE482F" w:rsidP="001B4B1E">
            <w:pPr>
              <w:jc w:val="left"/>
              <w:rPr>
                <w:sz w:val="15"/>
                <w:szCs w:val="16"/>
              </w:rPr>
            </w:pPr>
            <w:r w:rsidRPr="001B4B1E">
              <w:rPr>
                <w:sz w:val="15"/>
                <w:szCs w:val="16"/>
              </w:rPr>
              <w:t>-.377</w:t>
            </w:r>
          </w:p>
        </w:tc>
        <w:tc>
          <w:tcPr>
            <w:tcW w:w="538" w:type="pct"/>
            <w:vAlign w:val="center"/>
          </w:tcPr>
          <w:p w14:paraId="3EE27DF4" w14:textId="77777777" w:rsidR="00FE482F" w:rsidRPr="001B4B1E" w:rsidRDefault="00FE482F" w:rsidP="001B4B1E">
            <w:pPr>
              <w:jc w:val="left"/>
              <w:rPr>
                <w:sz w:val="15"/>
                <w:szCs w:val="16"/>
              </w:rPr>
            </w:pPr>
            <w:r w:rsidRPr="001B4B1E">
              <w:rPr>
                <w:sz w:val="15"/>
                <w:szCs w:val="16"/>
              </w:rPr>
              <w:t>-.202</w:t>
            </w:r>
          </w:p>
        </w:tc>
      </w:tr>
      <w:tr w:rsidR="00FE482F" w:rsidRPr="001B4B1E" w14:paraId="43F1552F" w14:textId="77777777" w:rsidTr="001B4B1E">
        <w:tc>
          <w:tcPr>
            <w:tcW w:w="912" w:type="pct"/>
            <w:vMerge/>
            <w:vAlign w:val="center"/>
          </w:tcPr>
          <w:p w14:paraId="2B47E338" w14:textId="77777777" w:rsidR="00FE482F" w:rsidRPr="001B4B1E" w:rsidRDefault="00FE482F" w:rsidP="001B4B1E">
            <w:pPr>
              <w:jc w:val="left"/>
              <w:rPr>
                <w:b/>
                <w:bCs/>
                <w:sz w:val="15"/>
                <w:szCs w:val="16"/>
              </w:rPr>
            </w:pPr>
          </w:p>
        </w:tc>
        <w:tc>
          <w:tcPr>
            <w:tcW w:w="1404" w:type="pct"/>
            <w:vAlign w:val="center"/>
          </w:tcPr>
          <w:p w14:paraId="7FE4A3F2" w14:textId="77777777" w:rsidR="00FE482F" w:rsidRPr="001B4B1E" w:rsidRDefault="00FE482F" w:rsidP="001B4B1E">
            <w:pPr>
              <w:jc w:val="left"/>
              <w:rPr>
                <w:sz w:val="15"/>
                <w:szCs w:val="16"/>
              </w:rPr>
            </w:pPr>
            <w:r w:rsidRPr="001B4B1E">
              <w:rPr>
                <w:sz w:val="15"/>
                <w:szCs w:val="16"/>
              </w:rPr>
              <w:t>EQ5D3L total</w:t>
            </w:r>
          </w:p>
        </w:tc>
        <w:tc>
          <w:tcPr>
            <w:tcW w:w="807" w:type="pct"/>
            <w:vAlign w:val="center"/>
          </w:tcPr>
          <w:p w14:paraId="01727B7F" w14:textId="77777777" w:rsidR="00FE482F" w:rsidRPr="001B4B1E" w:rsidRDefault="00FE482F" w:rsidP="001B4B1E">
            <w:pPr>
              <w:jc w:val="left"/>
              <w:rPr>
                <w:sz w:val="15"/>
                <w:szCs w:val="16"/>
              </w:rPr>
            </w:pPr>
            <w:r w:rsidRPr="001B4B1E">
              <w:rPr>
                <w:sz w:val="15"/>
                <w:szCs w:val="16"/>
              </w:rPr>
              <w:t>-.108</w:t>
            </w:r>
          </w:p>
        </w:tc>
        <w:tc>
          <w:tcPr>
            <w:tcW w:w="803" w:type="pct"/>
            <w:vAlign w:val="center"/>
          </w:tcPr>
          <w:p w14:paraId="1FF85EED" w14:textId="77777777" w:rsidR="00FE482F" w:rsidRPr="001B4B1E" w:rsidRDefault="00FE482F" w:rsidP="001B4B1E">
            <w:pPr>
              <w:jc w:val="left"/>
              <w:rPr>
                <w:sz w:val="15"/>
                <w:szCs w:val="16"/>
              </w:rPr>
            </w:pPr>
            <w:r w:rsidRPr="001B4B1E">
              <w:rPr>
                <w:sz w:val="15"/>
                <w:szCs w:val="16"/>
              </w:rPr>
              <w:t>.022</w:t>
            </w:r>
          </w:p>
        </w:tc>
        <w:tc>
          <w:tcPr>
            <w:tcW w:w="536" w:type="pct"/>
            <w:vAlign w:val="center"/>
          </w:tcPr>
          <w:p w14:paraId="165E6EE3" w14:textId="77777777" w:rsidR="00FE482F" w:rsidRPr="001B4B1E" w:rsidRDefault="00FE482F" w:rsidP="001B4B1E">
            <w:pPr>
              <w:jc w:val="left"/>
              <w:rPr>
                <w:sz w:val="15"/>
                <w:szCs w:val="16"/>
              </w:rPr>
            </w:pPr>
            <w:r w:rsidRPr="001B4B1E">
              <w:rPr>
                <w:sz w:val="15"/>
                <w:szCs w:val="16"/>
              </w:rPr>
              <w:t>-.201</w:t>
            </w:r>
          </w:p>
        </w:tc>
        <w:tc>
          <w:tcPr>
            <w:tcW w:w="538" w:type="pct"/>
            <w:vAlign w:val="center"/>
          </w:tcPr>
          <w:p w14:paraId="3FD0AFB4" w14:textId="77777777" w:rsidR="00FE482F" w:rsidRPr="001B4B1E" w:rsidRDefault="00FE482F" w:rsidP="001B4B1E">
            <w:pPr>
              <w:jc w:val="left"/>
              <w:rPr>
                <w:sz w:val="15"/>
                <w:szCs w:val="16"/>
              </w:rPr>
            </w:pPr>
            <w:r w:rsidRPr="001B4B1E">
              <w:rPr>
                <w:sz w:val="15"/>
                <w:szCs w:val="16"/>
              </w:rPr>
              <w:t>-.013</w:t>
            </w:r>
          </w:p>
        </w:tc>
      </w:tr>
      <w:tr w:rsidR="00FE482F" w:rsidRPr="001B4B1E" w14:paraId="49D1392A" w14:textId="77777777" w:rsidTr="001B4B1E">
        <w:tc>
          <w:tcPr>
            <w:tcW w:w="912" w:type="pct"/>
            <w:vMerge/>
            <w:vAlign w:val="center"/>
          </w:tcPr>
          <w:p w14:paraId="1C5DC47E" w14:textId="77777777" w:rsidR="00FE482F" w:rsidRPr="001B4B1E" w:rsidRDefault="00FE482F" w:rsidP="001B4B1E">
            <w:pPr>
              <w:jc w:val="left"/>
              <w:rPr>
                <w:b/>
                <w:bCs/>
                <w:sz w:val="15"/>
                <w:szCs w:val="16"/>
              </w:rPr>
            </w:pPr>
          </w:p>
        </w:tc>
        <w:tc>
          <w:tcPr>
            <w:tcW w:w="1404" w:type="pct"/>
            <w:vAlign w:val="center"/>
          </w:tcPr>
          <w:p w14:paraId="5447D623" w14:textId="77777777" w:rsidR="00FE482F" w:rsidRPr="001B4B1E" w:rsidRDefault="00FE482F" w:rsidP="001B4B1E">
            <w:pPr>
              <w:jc w:val="left"/>
              <w:rPr>
                <w:sz w:val="15"/>
                <w:szCs w:val="16"/>
              </w:rPr>
            </w:pPr>
            <w:r w:rsidRPr="001B4B1E">
              <w:rPr>
                <w:sz w:val="15"/>
                <w:szCs w:val="16"/>
              </w:rPr>
              <w:t>PHQ15 total</w:t>
            </w:r>
          </w:p>
        </w:tc>
        <w:tc>
          <w:tcPr>
            <w:tcW w:w="807" w:type="pct"/>
            <w:vAlign w:val="center"/>
          </w:tcPr>
          <w:p w14:paraId="62EED7AD" w14:textId="77777777" w:rsidR="00FE482F" w:rsidRPr="001B4B1E" w:rsidRDefault="00FE482F" w:rsidP="001B4B1E">
            <w:pPr>
              <w:jc w:val="left"/>
              <w:rPr>
                <w:sz w:val="15"/>
                <w:szCs w:val="16"/>
              </w:rPr>
            </w:pPr>
            <w:r w:rsidRPr="001B4B1E">
              <w:rPr>
                <w:sz w:val="15"/>
                <w:szCs w:val="16"/>
              </w:rPr>
              <w:t>-.184</w:t>
            </w:r>
          </w:p>
        </w:tc>
        <w:tc>
          <w:tcPr>
            <w:tcW w:w="803" w:type="pct"/>
            <w:vAlign w:val="center"/>
          </w:tcPr>
          <w:p w14:paraId="7FD4F550"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7D40CBA" w14:textId="77777777" w:rsidR="00FE482F" w:rsidRPr="001B4B1E" w:rsidRDefault="00FE482F" w:rsidP="001B4B1E">
            <w:pPr>
              <w:jc w:val="left"/>
              <w:rPr>
                <w:sz w:val="15"/>
                <w:szCs w:val="16"/>
              </w:rPr>
            </w:pPr>
            <w:r w:rsidRPr="001B4B1E">
              <w:rPr>
                <w:sz w:val="15"/>
                <w:szCs w:val="16"/>
              </w:rPr>
              <w:t>-.274</w:t>
            </w:r>
          </w:p>
        </w:tc>
        <w:tc>
          <w:tcPr>
            <w:tcW w:w="538" w:type="pct"/>
            <w:vAlign w:val="center"/>
          </w:tcPr>
          <w:p w14:paraId="0CF90F6B" w14:textId="77777777" w:rsidR="00FE482F" w:rsidRPr="001B4B1E" w:rsidRDefault="00FE482F" w:rsidP="001B4B1E">
            <w:pPr>
              <w:jc w:val="left"/>
              <w:rPr>
                <w:sz w:val="15"/>
                <w:szCs w:val="16"/>
              </w:rPr>
            </w:pPr>
            <w:r w:rsidRPr="001B4B1E">
              <w:rPr>
                <w:sz w:val="15"/>
                <w:szCs w:val="16"/>
              </w:rPr>
              <w:t>-.090</w:t>
            </w:r>
          </w:p>
        </w:tc>
      </w:tr>
      <w:tr w:rsidR="00FE482F" w:rsidRPr="001B4B1E" w14:paraId="4C3B03A2" w14:textId="77777777" w:rsidTr="001B4B1E">
        <w:tc>
          <w:tcPr>
            <w:tcW w:w="912" w:type="pct"/>
            <w:vMerge/>
            <w:vAlign w:val="center"/>
          </w:tcPr>
          <w:p w14:paraId="7A8ACA0F" w14:textId="77777777" w:rsidR="00FE482F" w:rsidRPr="001B4B1E" w:rsidRDefault="00FE482F" w:rsidP="001B4B1E">
            <w:pPr>
              <w:jc w:val="left"/>
              <w:rPr>
                <w:b/>
                <w:bCs/>
                <w:sz w:val="15"/>
                <w:szCs w:val="16"/>
              </w:rPr>
            </w:pPr>
          </w:p>
        </w:tc>
        <w:tc>
          <w:tcPr>
            <w:tcW w:w="1404" w:type="pct"/>
            <w:vAlign w:val="center"/>
          </w:tcPr>
          <w:p w14:paraId="39769E6E" w14:textId="77777777" w:rsidR="00FE482F" w:rsidRPr="001B4B1E" w:rsidRDefault="00FE482F" w:rsidP="001B4B1E">
            <w:pPr>
              <w:jc w:val="left"/>
              <w:rPr>
                <w:sz w:val="15"/>
                <w:szCs w:val="16"/>
              </w:rPr>
            </w:pPr>
            <w:r w:rsidRPr="001B4B1E">
              <w:rPr>
                <w:sz w:val="15"/>
                <w:szCs w:val="16"/>
              </w:rPr>
              <w:t>PHQ9 total</w:t>
            </w:r>
          </w:p>
        </w:tc>
        <w:tc>
          <w:tcPr>
            <w:tcW w:w="807" w:type="pct"/>
            <w:vAlign w:val="center"/>
          </w:tcPr>
          <w:p w14:paraId="16A8BAE7" w14:textId="77777777" w:rsidR="00FE482F" w:rsidRPr="001B4B1E" w:rsidRDefault="00FE482F" w:rsidP="001B4B1E">
            <w:pPr>
              <w:jc w:val="left"/>
              <w:rPr>
                <w:sz w:val="15"/>
                <w:szCs w:val="16"/>
              </w:rPr>
            </w:pPr>
            <w:r w:rsidRPr="001B4B1E">
              <w:rPr>
                <w:sz w:val="15"/>
                <w:szCs w:val="16"/>
              </w:rPr>
              <w:t>-.321</w:t>
            </w:r>
          </w:p>
        </w:tc>
        <w:tc>
          <w:tcPr>
            <w:tcW w:w="803" w:type="pct"/>
            <w:vAlign w:val="center"/>
          </w:tcPr>
          <w:p w14:paraId="6216FAB2"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69C6325" w14:textId="77777777" w:rsidR="00FE482F" w:rsidRPr="001B4B1E" w:rsidRDefault="00FE482F" w:rsidP="001B4B1E">
            <w:pPr>
              <w:jc w:val="left"/>
              <w:rPr>
                <w:sz w:val="15"/>
                <w:szCs w:val="16"/>
              </w:rPr>
            </w:pPr>
            <w:r w:rsidRPr="001B4B1E">
              <w:rPr>
                <w:sz w:val="15"/>
                <w:szCs w:val="16"/>
              </w:rPr>
              <w:t>-.404</w:t>
            </w:r>
          </w:p>
        </w:tc>
        <w:tc>
          <w:tcPr>
            <w:tcW w:w="538" w:type="pct"/>
            <w:vAlign w:val="center"/>
          </w:tcPr>
          <w:p w14:paraId="58944C2B" w14:textId="77777777" w:rsidR="00FE482F" w:rsidRPr="001B4B1E" w:rsidRDefault="00FE482F" w:rsidP="001B4B1E">
            <w:pPr>
              <w:jc w:val="left"/>
              <w:rPr>
                <w:sz w:val="15"/>
                <w:szCs w:val="16"/>
              </w:rPr>
            </w:pPr>
            <w:r w:rsidRPr="001B4B1E">
              <w:rPr>
                <w:sz w:val="15"/>
                <w:szCs w:val="16"/>
              </w:rPr>
              <w:t>-.233</w:t>
            </w:r>
          </w:p>
        </w:tc>
      </w:tr>
      <w:tr w:rsidR="00FE482F" w:rsidRPr="001B4B1E" w14:paraId="167EF911" w14:textId="77777777" w:rsidTr="001B4B1E">
        <w:tc>
          <w:tcPr>
            <w:tcW w:w="912" w:type="pct"/>
            <w:vMerge/>
            <w:vAlign w:val="center"/>
          </w:tcPr>
          <w:p w14:paraId="0F073AEA" w14:textId="77777777" w:rsidR="00FE482F" w:rsidRPr="001B4B1E" w:rsidRDefault="00FE482F" w:rsidP="001B4B1E">
            <w:pPr>
              <w:jc w:val="left"/>
              <w:rPr>
                <w:b/>
                <w:bCs/>
                <w:sz w:val="15"/>
                <w:szCs w:val="16"/>
              </w:rPr>
            </w:pPr>
          </w:p>
        </w:tc>
        <w:tc>
          <w:tcPr>
            <w:tcW w:w="1404" w:type="pct"/>
            <w:vAlign w:val="center"/>
          </w:tcPr>
          <w:p w14:paraId="236BED6A" w14:textId="77777777" w:rsidR="00FE482F" w:rsidRPr="001B4B1E" w:rsidRDefault="00FE482F" w:rsidP="001B4B1E">
            <w:pPr>
              <w:jc w:val="left"/>
              <w:rPr>
                <w:sz w:val="15"/>
                <w:szCs w:val="16"/>
              </w:rPr>
            </w:pPr>
            <w:r w:rsidRPr="001B4B1E">
              <w:rPr>
                <w:sz w:val="15"/>
                <w:szCs w:val="16"/>
              </w:rPr>
              <w:t>WSAS total</w:t>
            </w:r>
          </w:p>
        </w:tc>
        <w:tc>
          <w:tcPr>
            <w:tcW w:w="807" w:type="pct"/>
            <w:vAlign w:val="center"/>
          </w:tcPr>
          <w:p w14:paraId="7E7FBD24" w14:textId="77777777" w:rsidR="00FE482F" w:rsidRPr="001B4B1E" w:rsidRDefault="00FE482F" w:rsidP="001B4B1E">
            <w:pPr>
              <w:jc w:val="left"/>
              <w:rPr>
                <w:sz w:val="15"/>
                <w:szCs w:val="16"/>
              </w:rPr>
            </w:pPr>
            <w:r w:rsidRPr="001B4B1E">
              <w:rPr>
                <w:sz w:val="15"/>
                <w:szCs w:val="16"/>
              </w:rPr>
              <w:t>-.142</w:t>
            </w:r>
          </w:p>
        </w:tc>
        <w:tc>
          <w:tcPr>
            <w:tcW w:w="803" w:type="pct"/>
            <w:vAlign w:val="center"/>
          </w:tcPr>
          <w:p w14:paraId="058812C8" w14:textId="77777777" w:rsidR="00FE482F" w:rsidRPr="001B4B1E" w:rsidRDefault="00FE482F" w:rsidP="001B4B1E">
            <w:pPr>
              <w:jc w:val="left"/>
              <w:rPr>
                <w:sz w:val="15"/>
                <w:szCs w:val="16"/>
              </w:rPr>
            </w:pPr>
            <w:r w:rsidRPr="001B4B1E">
              <w:rPr>
                <w:sz w:val="15"/>
                <w:szCs w:val="16"/>
              </w:rPr>
              <w:t>.003</w:t>
            </w:r>
          </w:p>
        </w:tc>
        <w:tc>
          <w:tcPr>
            <w:tcW w:w="536" w:type="pct"/>
            <w:vAlign w:val="center"/>
          </w:tcPr>
          <w:p w14:paraId="50452A25" w14:textId="77777777" w:rsidR="00FE482F" w:rsidRPr="001B4B1E" w:rsidRDefault="00FE482F" w:rsidP="001B4B1E">
            <w:pPr>
              <w:jc w:val="left"/>
              <w:rPr>
                <w:sz w:val="15"/>
                <w:szCs w:val="16"/>
              </w:rPr>
            </w:pPr>
            <w:r w:rsidRPr="001B4B1E">
              <w:rPr>
                <w:sz w:val="15"/>
                <w:szCs w:val="16"/>
              </w:rPr>
              <w:t>-.234</w:t>
            </w:r>
          </w:p>
        </w:tc>
        <w:tc>
          <w:tcPr>
            <w:tcW w:w="538" w:type="pct"/>
            <w:vAlign w:val="center"/>
          </w:tcPr>
          <w:p w14:paraId="086E9CB8" w14:textId="77777777" w:rsidR="00FE482F" w:rsidRPr="001B4B1E" w:rsidRDefault="00FE482F" w:rsidP="001B4B1E">
            <w:pPr>
              <w:jc w:val="left"/>
              <w:rPr>
                <w:sz w:val="15"/>
                <w:szCs w:val="16"/>
              </w:rPr>
            </w:pPr>
            <w:r w:rsidRPr="001B4B1E">
              <w:rPr>
                <w:sz w:val="15"/>
                <w:szCs w:val="16"/>
              </w:rPr>
              <w:t>-.047</w:t>
            </w:r>
          </w:p>
        </w:tc>
      </w:tr>
      <w:tr w:rsidR="00FE482F" w:rsidRPr="001B4B1E" w14:paraId="0DA42737" w14:textId="77777777" w:rsidTr="001B4B1E">
        <w:tc>
          <w:tcPr>
            <w:tcW w:w="912" w:type="pct"/>
            <w:vMerge/>
            <w:vAlign w:val="center"/>
          </w:tcPr>
          <w:p w14:paraId="2025B9D3" w14:textId="77777777" w:rsidR="00FE482F" w:rsidRPr="001B4B1E" w:rsidRDefault="00FE482F" w:rsidP="001B4B1E">
            <w:pPr>
              <w:jc w:val="left"/>
              <w:rPr>
                <w:b/>
                <w:bCs/>
                <w:sz w:val="15"/>
                <w:szCs w:val="16"/>
              </w:rPr>
            </w:pPr>
          </w:p>
        </w:tc>
        <w:tc>
          <w:tcPr>
            <w:tcW w:w="1404" w:type="pct"/>
            <w:vAlign w:val="center"/>
          </w:tcPr>
          <w:p w14:paraId="6256936A" w14:textId="77777777" w:rsidR="00FE482F" w:rsidRPr="001B4B1E" w:rsidRDefault="00FE482F" w:rsidP="001B4B1E">
            <w:pPr>
              <w:jc w:val="left"/>
              <w:rPr>
                <w:sz w:val="15"/>
                <w:szCs w:val="16"/>
              </w:rPr>
            </w:pPr>
            <w:r w:rsidRPr="001B4B1E">
              <w:rPr>
                <w:sz w:val="15"/>
                <w:szCs w:val="16"/>
              </w:rPr>
              <w:t>PCL5 total</w:t>
            </w:r>
          </w:p>
        </w:tc>
        <w:tc>
          <w:tcPr>
            <w:tcW w:w="807" w:type="pct"/>
            <w:vAlign w:val="center"/>
          </w:tcPr>
          <w:p w14:paraId="2E623974" w14:textId="77777777" w:rsidR="00FE482F" w:rsidRPr="001B4B1E" w:rsidRDefault="00FE482F" w:rsidP="001B4B1E">
            <w:pPr>
              <w:jc w:val="left"/>
              <w:rPr>
                <w:sz w:val="15"/>
                <w:szCs w:val="16"/>
              </w:rPr>
            </w:pPr>
            <w:r w:rsidRPr="001B4B1E">
              <w:rPr>
                <w:sz w:val="15"/>
                <w:szCs w:val="16"/>
              </w:rPr>
              <w:t>-.365</w:t>
            </w:r>
          </w:p>
        </w:tc>
        <w:tc>
          <w:tcPr>
            <w:tcW w:w="803" w:type="pct"/>
            <w:vAlign w:val="center"/>
          </w:tcPr>
          <w:p w14:paraId="0942D8DB"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6486087F" w14:textId="77777777" w:rsidR="00FE482F" w:rsidRPr="001B4B1E" w:rsidRDefault="00FE482F" w:rsidP="001B4B1E">
            <w:pPr>
              <w:jc w:val="left"/>
              <w:rPr>
                <w:sz w:val="15"/>
                <w:szCs w:val="16"/>
              </w:rPr>
            </w:pPr>
            <w:r w:rsidRPr="001B4B1E">
              <w:rPr>
                <w:sz w:val="15"/>
                <w:szCs w:val="16"/>
              </w:rPr>
              <w:t>-.445</w:t>
            </w:r>
          </w:p>
        </w:tc>
        <w:tc>
          <w:tcPr>
            <w:tcW w:w="538" w:type="pct"/>
            <w:vAlign w:val="center"/>
          </w:tcPr>
          <w:p w14:paraId="0500E029" w14:textId="77777777" w:rsidR="00FE482F" w:rsidRPr="001B4B1E" w:rsidRDefault="00FE482F" w:rsidP="001B4B1E">
            <w:pPr>
              <w:jc w:val="left"/>
              <w:rPr>
                <w:sz w:val="15"/>
                <w:szCs w:val="16"/>
              </w:rPr>
            </w:pPr>
            <w:r w:rsidRPr="001B4B1E">
              <w:rPr>
                <w:sz w:val="15"/>
                <w:szCs w:val="16"/>
              </w:rPr>
              <w:t>-.280</w:t>
            </w:r>
          </w:p>
        </w:tc>
      </w:tr>
      <w:tr w:rsidR="00FE482F" w:rsidRPr="001B4B1E" w14:paraId="67486ECE" w14:textId="77777777" w:rsidTr="001B4B1E">
        <w:tc>
          <w:tcPr>
            <w:tcW w:w="912" w:type="pct"/>
            <w:vMerge/>
            <w:vAlign w:val="center"/>
          </w:tcPr>
          <w:p w14:paraId="6D8123CC" w14:textId="77777777" w:rsidR="00FE482F" w:rsidRPr="001B4B1E" w:rsidRDefault="00FE482F" w:rsidP="001B4B1E">
            <w:pPr>
              <w:jc w:val="left"/>
              <w:rPr>
                <w:b/>
                <w:bCs/>
                <w:sz w:val="15"/>
                <w:szCs w:val="16"/>
              </w:rPr>
            </w:pPr>
          </w:p>
        </w:tc>
        <w:tc>
          <w:tcPr>
            <w:tcW w:w="1404" w:type="pct"/>
            <w:vAlign w:val="center"/>
          </w:tcPr>
          <w:p w14:paraId="0E473981" w14:textId="77777777" w:rsidR="00FE482F" w:rsidRPr="001B4B1E" w:rsidRDefault="00FE482F" w:rsidP="001B4B1E">
            <w:pPr>
              <w:jc w:val="left"/>
              <w:rPr>
                <w:sz w:val="15"/>
                <w:szCs w:val="16"/>
              </w:rPr>
            </w:pPr>
            <w:r w:rsidRPr="001B4B1E">
              <w:rPr>
                <w:sz w:val="15"/>
                <w:szCs w:val="16"/>
              </w:rPr>
              <w:t>UCS total</w:t>
            </w:r>
          </w:p>
        </w:tc>
        <w:tc>
          <w:tcPr>
            <w:tcW w:w="807" w:type="pct"/>
            <w:vAlign w:val="center"/>
          </w:tcPr>
          <w:p w14:paraId="5D75CF05" w14:textId="77777777" w:rsidR="00FE482F" w:rsidRPr="001B4B1E" w:rsidRDefault="00FE482F" w:rsidP="001B4B1E">
            <w:pPr>
              <w:jc w:val="left"/>
              <w:rPr>
                <w:sz w:val="15"/>
                <w:szCs w:val="16"/>
              </w:rPr>
            </w:pPr>
            <w:r w:rsidRPr="001B4B1E">
              <w:rPr>
                <w:sz w:val="15"/>
                <w:szCs w:val="16"/>
              </w:rPr>
              <w:t>-.388</w:t>
            </w:r>
          </w:p>
        </w:tc>
        <w:tc>
          <w:tcPr>
            <w:tcW w:w="803" w:type="pct"/>
            <w:vAlign w:val="center"/>
          </w:tcPr>
          <w:p w14:paraId="0B93E5C3"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43E20F61" w14:textId="77777777" w:rsidR="00FE482F" w:rsidRPr="001B4B1E" w:rsidRDefault="00FE482F" w:rsidP="001B4B1E">
            <w:pPr>
              <w:jc w:val="left"/>
              <w:rPr>
                <w:sz w:val="15"/>
                <w:szCs w:val="16"/>
              </w:rPr>
            </w:pPr>
            <w:r w:rsidRPr="001B4B1E">
              <w:rPr>
                <w:sz w:val="15"/>
                <w:szCs w:val="16"/>
              </w:rPr>
              <w:t>-.466</w:t>
            </w:r>
          </w:p>
        </w:tc>
        <w:tc>
          <w:tcPr>
            <w:tcW w:w="538" w:type="pct"/>
            <w:vAlign w:val="center"/>
          </w:tcPr>
          <w:p w14:paraId="5274D627" w14:textId="77777777" w:rsidR="00FE482F" w:rsidRPr="001B4B1E" w:rsidRDefault="00FE482F" w:rsidP="001B4B1E">
            <w:pPr>
              <w:jc w:val="left"/>
              <w:rPr>
                <w:sz w:val="15"/>
                <w:szCs w:val="16"/>
              </w:rPr>
            </w:pPr>
            <w:r w:rsidRPr="001B4B1E">
              <w:rPr>
                <w:sz w:val="15"/>
                <w:szCs w:val="16"/>
              </w:rPr>
              <w:t>-.304</w:t>
            </w:r>
          </w:p>
        </w:tc>
      </w:tr>
      <w:tr w:rsidR="00FE482F" w:rsidRPr="001B4B1E" w14:paraId="4F772CCD" w14:textId="77777777" w:rsidTr="001B4B1E">
        <w:tc>
          <w:tcPr>
            <w:tcW w:w="912" w:type="pct"/>
            <w:vMerge/>
            <w:vAlign w:val="center"/>
          </w:tcPr>
          <w:p w14:paraId="60CFD077" w14:textId="77777777" w:rsidR="00FE482F" w:rsidRPr="001B4B1E" w:rsidRDefault="00FE482F" w:rsidP="001B4B1E">
            <w:pPr>
              <w:jc w:val="left"/>
              <w:rPr>
                <w:b/>
                <w:bCs/>
                <w:sz w:val="15"/>
                <w:szCs w:val="16"/>
              </w:rPr>
            </w:pPr>
          </w:p>
        </w:tc>
        <w:tc>
          <w:tcPr>
            <w:tcW w:w="1404" w:type="pct"/>
            <w:vAlign w:val="center"/>
          </w:tcPr>
          <w:p w14:paraId="1F7D5A32" w14:textId="77777777" w:rsidR="00FE482F" w:rsidRPr="001B4B1E" w:rsidRDefault="00FE482F" w:rsidP="001B4B1E">
            <w:pPr>
              <w:jc w:val="left"/>
              <w:rPr>
                <w:sz w:val="15"/>
                <w:szCs w:val="16"/>
              </w:rPr>
            </w:pPr>
            <w:r w:rsidRPr="001B4B1E">
              <w:rPr>
                <w:sz w:val="15"/>
                <w:szCs w:val="16"/>
              </w:rPr>
              <w:t>WSAS – Ability to work</w:t>
            </w:r>
          </w:p>
        </w:tc>
        <w:tc>
          <w:tcPr>
            <w:tcW w:w="807" w:type="pct"/>
            <w:vAlign w:val="center"/>
          </w:tcPr>
          <w:p w14:paraId="26F9F866" w14:textId="77777777" w:rsidR="00FE482F" w:rsidRPr="001B4B1E" w:rsidRDefault="00FE482F" w:rsidP="001B4B1E">
            <w:pPr>
              <w:jc w:val="left"/>
              <w:rPr>
                <w:sz w:val="15"/>
                <w:szCs w:val="16"/>
              </w:rPr>
            </w:pPr>
            <w:r w:rsidRPr="001B4B1E">
              <w:rPr>
                <w:sz w:val="15"/>
                <w:szCs w:val="16"/>
              </w:rPr>
              <w:t>-.060</w:t>
            </w:r>
          </w:p>
        </w:tc>
        <w:tc>
          <w:tcPr>
            <w:tcW w:w="803" w:type="pct"/>
            <w:vAlign w:val="center"/>
          </w:tcPr>
          <w:p w14:paraId="5EBB186D" w14:textId="77777777" w:rsidR="00FE482F" w:rsidRPr="001B4B1E" w:rsidRDefault="00FE482F" w:rsidP="001B4B1E">
            <w:pPr>
              <w:jc w:val="left"/>
              <w:rPr>
                <w:sz w:val="15"/>
                <w:szCs w:val="16"/>
              </w:rPr>
            </w:pPr>
            <w:r w:rsidRPr="001B4B1E">
              <w:rPr>
                <w:sz w:val="15"/>
                <w:szCs w:val="16"/>
              </w:rPr>
              <w:t>.207</w:t>
            </w:r>
          </w:p>
        </w:tc>
        <w:tc>
          <w:tcPr>
            <w:tcW w:w="536" w:type="pct"/>
            <w:vAlign w:val="center"/>
          </w:tcPr>
          <w:p w14:paraId="4AA4F05A" w14:textId="77777777" w:rsidR="00FE482F" w:rsidRPr="001B4B1E" w:rsidRDefault="00FE482F" w:rsidP="001B4B1E">
            <w:pPr>
              <w:jc w:val="left"/>
              <w:rPr>
                <w:sz w:val="15"/>
                <w:szCs w:val="16"/>
              </w:rPr>
            </w:pPr>
            <w:r w:rsidRPr="001B4B1E">
              <w:rPr>
                <w:sz w:val="15"/>
                <w:szCs w:val="16"/>
              </w:rPr>
              <w:t>-.154</w:t>
            </w:r>
          </w:p>
        </w:tc>
        <w:tc>
          <w:tcPr>
            <w:tcW w:w="538" w:type="pct"/>
            <w:vAlign w:val="center"/>
          </w:tcPr>
          <w:p w14:paraId="34A595F8" w14:textId="77777777" w:rsidR="00FE482F" w:rsidRPr="001B4B1E" w:rsidRDefault="00FE482F" w:rsidP="001B4B1E">
            <w:pPr>
              <w:jc w:val="left"/>
              <w:rPr>
                <w:sz w:val="15"/>
                <w:szCs w:val="16"/>
              </w:rPr>
            </w:pPr>
            <w:r w:rsidRPr="001B4B1E">
              <w:rPr>
                <w:sz w:val="15"/>
                <w:szCs w:val="16"/>
              </w:rPr>
              <w:t>.036</w:t>
            </w:r>
          </w:p>
        </w:tc>
      </w:tr>
      <w:tr w:rsidR="00FE482F" w:rsidRPr="001B4B1E" w14:paraId="2B09E2F0" w14:textId="77777777" w:rsidTr="001B4B1E">
        <w:tc>
          <w:tcPr>
            <w:tcW w:w="912" w:type="pct"/>
            <w:vMerge/>
            <w:vAlign w:val="center"/>
          </w:tcPr>
          <w:p w14:paraId="29FE88EB" w14:textId="77777777" w:rsidR="00FE482F" w:rsidRPr="001B4B1E" w:rsidRDefault="00FE482F" w:rsidP="001B4B1E">
            <w:pPr>
              <w:jc w:val="left"/>
              <w:rPr>
                <w:b/>
                <w:bCs/>
                <w:sz w:val="15"/>
                <w:szCs w:val="16"/>
              </w:rPr>
            </w:pPr>
          </w:p>
        </w:tc>
        <w:tc>
          <w:tcPr>
            <w:tcW w:w="1404" w:type="pct"/>
            <w:vAlign w:val="center"/>
          </w:tcPr>
          <w:p w14:paraId="24D76E0C" w14:textId="77777777" w:rsidR="00FE482F" w:rsidRPr="001B4B1E" w:rsidRDefault="00FE482F" w:rsidP="001B4B1E">
            <w:pPr>
              <w:jc w:val="left"/>
              <w:rPr>
                <w:sz w:val="15"/>
                <w:szCs w:val="16"/>
              </w:rPr>
            </w:pPr>
            <w:r w:rsidRPr="001B4B1E">
              <w:rPr>
                <w:sz w:val="15"/>
                <w:szCs w:val="16"/>
              </w:rPr>
              <w:t>WSAS - Home management</w:t>
            </w:r>
          </w:p>
        </w:tc>
        <w:tc>
          <w:tcPr>
            <w:tcW w:w="807" w:type="pct"/>
            <w:vAlign w:val="center"/>
          </w:tcPr>
          <w:p w14:paraId="77A5918E" w14:textId="77777777" w:rsidR="00FE482F" w:rsidRPr="001B4B1E" w:rsidRDefault="00FE482F" w:rsidP="001B4B1E">
            <w:pPr>
              <w:jc w:val="left"/>
              <w:rPr>
                <w:sz w:val="15"/>
                <w:szCs w:val="16"/>
              </w:rPr>
            </w:pPr>
            <w:r w:rsidRPr="001B4B1E">
              <w:rPr>
                <w:sz w:val="15"/>
                <w:szCs w:val="16"/>
              </w:rPr>
              <w:t>-.122</w:t>
            </w:r>
          </w:p>
        </w:tc>
        <w:tc>
          <w:tcPr>
            <w:tcW w:w="803" w:type="pct"/>
            <w:vAlign w:val="center"/>
          </w:tcPr>
          <w:p w14:paraId="25CDF491" w14:textId="77777777" w:rsidR="00FE482F" w:rsidRPr="001B4B1E" w:rsidRDefault="00FE482F" w:rsidP="001B4B1E">
            <w:pPr>
              <w:jc w:val="left"/>
              <w:rPr>
                <w:sz w:val="15"/>
                <w:szCs w:val="16"/>
              </w:rPr>
            </w:pPr>
            <w:r w:rsidRPr="001B4B1E">
              <w:rPr>
                <w:sz w:val="15"/>
                <w:szCs w:val="16"/>
              </w:rPr>
              <w:t>.010</w:t>
            </w:r>
          </w:p>
        </w:tc>
        <w:tc>
          <w:tcPr>
            <w:tcW w:w="536" w:type="pct"/>
            <w:vAlign w:val="center"/>
          </w:tcPr>
          <w:p w14:paraId="692C1B71" w14:textId="77777777" w:rsidR="00FE482F" w:rsidRPr="001B4B1E" w:rsidRDefault="00FE482F" w:rsidP="001B4B1E">
            <w:pPr>
              <w:jc w:val="left"/>
              <w:rPr>
                <w:sz w:val="15"/>
                <w:szCs w:val="16"/>
              </w:rPr>
            </w:pPr>
            <w:r w:rsidRPr="001B4B1E">
              <w:rPr>
                <w:sz w:val="15"/>
                <w:szCs w:val="16"/>
              </w:rPr>
              <w:t>-.215</w:t>
            </w:r>
          </w:p>
        </w:tc>
        <w:tc>
          <w:tcPr>
            <w:tcW w:w="538" w:type="pct"/>
            <w:vAlign w:val="center"/>
          </w:tcPr>
          <w:p w14:paraId="5C25A3CD" w14:textId="77777777" w:rsidR="00FE482F" w:rsidRPr="001B4B1E" w:rsidRDefault="00FE482F" w:rsidP="001B4B1E">
            <w:pPr>
              <w:jc w:val="left"/>
              <w:rPr>
                <w:sz w:val="15"/>
                <w:szCs w:val="16"/>
              </w:rPr>
            </w:pPr>
            <w:r w:rsidRPr="001B4B1E">
              <w:rPr>
                <w:sz w:val="15"/>
                <w:szCs w:val="16"/>
              </w:rPr>
              <w:t>-.027</w:t>
            </w:r>
          </w:p>
        </w:tc>
      </w:tr>
      <w:tr w:rsidR="00FE482F" w:rsidRPr="001B4B1E" w14:paraId="2C670514" w14:textId="77777777" w:rsidTr="001B4B1E">
        <w:tc>
          <w:tcPr>
            <w:tcW w:w="912" w:type="pct"/>
            <w:vMerge/>
            <w:vAlign w:val="center"/>
          </w:tcPr>
          <w:p w14:paraId="3553E782" w14:textId="77777777" w:rsidR="00FE482F" w:rsidRPr="001B4B1E" w:rsidRDefault="00FE482F" w:rsidP="001B4B1E">
            <w:pPr>
              <w:jc w:val="left"/>
              <w:rPr>
                <w:b/>
                <w:bCs/>
                <w:sz w:val="15"/>
                <w:szCs w:val="16"/>
              </w:rPr>
            </w:pPr>
          </w:p>
        </w:tc>
        <w:tc>
          <w:tcPr>
            <w:tcW w:w="1404" w:type="pct"/>
            <w:vAlign w:val="center"/>
          </w:tcPr>
          <w:p w14:paraId="6EE5234A" w14:textId="77777777" w:rsidR="00FE482F" w:rsidRPr="001B4B1E" w:rsidRDefault="00FE482F" w:rsidP="001B4B1E">
            <w:pPr>
              <w:jc w:val="left"/>
              <w:rPr>
                <w:sz w:val="15"/>
                <w:szCs w:val="16"/>
              </w:rPr>
            </w:pPr>
            <w:r w:rsidRPr="001B4B1E">
              <w:rPr>
                <w:sz w:val="15"/>
                <w:szCs w:val="16"/>
              </w:rPr>
              <w:t>WSAS – Social Leisure</w:t>
            </w:r>
          </w:p>
        </w:tc>
        <w:tc>
          <w:tcPr>
            <w:tcW w:w="807" w:type="pct"/>
            <w:vAlign w:val="center"/>
          </w:tcPr>
          <w:p w14:paraId="6787CF82" w14:textId="77777777" w:rsidR="00FE482F" w:rsidRPr="001B4B1E" w:rsidRDefault="00FE482F" w:rsidP="001B4B1E">
            <w:pPr>
              <w:jc w:val="left"/>
              <w:rPr>
                <w:sz w:val="15"/>
                <w:szCs w:val="16"/>
              </w:rPr>
            </w:pPr>
            <w:r w:rsidRPr="001B4B1E">
              <w:rPr>
                <w:sz w:val="15"/>
                <w:szCs w:val="16"/>
              </w:rPr>
              <w:t>-.137</w:t>
            </w:r>
          </w:p>
        </w:tc>
        <w:tc>
          <w:tcPr>
            <w:tcW w:w="803" w:type="pct"/>
            <w:vAlign w:val="center"/>
          </w:tcPr>
          <w:p w14:paraId="6030915B" w14:textId="77777777" w:rsidR="00FE482F" w:rsidRPr="001B4B1E" w:rsidRDefault="00FE482F" w:rsidP="001B4B1E">
            <w:pPr>
              <w:jc w:val="left"/>
              <w:rPr>
                <w:sz w:val="15"/>
                <w:szCs w:val="16"/>
              </w:rPr>
            </w:pPr>
            <w:r w:rsidRPr="001B4B1E">
              <w:rPr>
                <w:sz w:val="15"/>
                <w:szCs w:val="16"/>
              </w:rPr>
              <w:t>.003</w:t>
            </w:r>
          </w:p>
        </w:tc>
        <w:tc>
          <w:tcPr>
            <w:tcW w:w="536" w:type="pct"/>
            <w:vAlign w:val="center"/>
          </w:tcPr>
          <w:p w14:paraId="424535D0" w14:textId="77777777" w:rsidR="00FE482F" w:rsidRPr="001B4B1E" w:rsidRDefault="00FE482F" w:rsidP="001B4B1E">
            <w:pPr>
              <w:jc w:val="left"/>
              <w:rPr>
                <w:sz w:val="15"/>
                <w:szCs w:val="16"/>
              </w:rPr>
            </w:pPr>
            <w:r w:rsidRPr="001B4B1E">
              <w:rPr>
                <w:sz w:val="15"/>
                <w:szCs w:val="16"/>
              </w:rPr>
              <w:t>-.230</w:t>
            </w:r>
          </w:p>
        </w:tc>
        <w:tc>
          <w:tcPr>
            <w:tcW w:w="538" w:type="pct"/>
            <w:vAlign w:val="center"/>
          </w:tcPr>
          <w:p w14:paraId="742E39A9" w14:textId="77777777" w:rsidR="00FE482F" w:rsidRPr="001B4B1E" w:rsidRDefault="00FE482F" w:rsidP="001B4B1E">
            <w:pPr>
              <w:jc w:val="left"/>
              <w:rPr>
                <w:sz w:val="15"/>
                <w:szCs w:val="16"/>
              </w:rPr>
            </w:pPr>
            <w:r w:rsidRPr="001B4B1E">
              <w:rPr>
                <w:sz w:val="15"/>
                <w:szCs w:val="16"/>
              </w:rPr>
              <w:t>-.043</w:t>
            </w:r>
          </w:p>
        </w:tc>
      </w:tr>
      <w:tr w:rsidR="00FE482F" w:rsidRPr="001B4B1E" w14:paraId="52F6A9C6" w14:textId="77777777" w:rsidTr="001B4B1E">
        <w:tc>
          <w:tcPr>
            <w:tcW w:w="912" w:type="pct"/>
            <w:vMerge/>
            <w:vAlign w:val="center"/>
          </w:tcPr>
          <w:p w14:paraId="073A8D56" w14:textId="77777777" w:rsidR="00FE482F" w:rsidRPr="001B4B1E" w:rsidRDefault="00FE482F" w:rsidP="001B4B1E">
            <w:pPr>
              <w:jc w:val="left"/>
              <w:rPr>
                <w:b/>
                <w:bCs/>
                <w:sz w:val="15"/>
                <w:szCs w:val="16"/>
              </w:rPr>
            </w:pPr>
          </w:p>
        </w:tc>
        <w:tc>
          <w:tcPr>
            <w:tcW w:w="1404" w:type="pct"/>
            <w:vAlign w:val="center"/>
          </w:tcPr>
          <w:p w14:paraId="6C4CD124" w14:textId="77777777" w:rsidR="00FE482F" w:rsidRPr="001B4B1E" w:rsidRDefault="00FE482F" w:rsidP="001B4B1E">
            <w:pPr>
              <w:jc w:val="left"/>
              <w:rPr>
                <w:sz w:val="15"/>
                <w:szCs w:val="16"/>
              </w:rPr>
            </w:pPr>
            <w:r w:rsidRPr="001B4B1E">
              <w:rPr>
                <w:sz w:val="15"/>
                <w:szCs w:val="16"/>
              </w:rPr>
              <w:t>WSAS - Private Leisure</w:t>
            </w:r>
          </w:p>
        </w:tc>
        <w:tc>
          <w:tcPr>
            <w:tcW w:w="807" w:type="pct"/>
            <w:vAlign w:val="center"/>
          </w:tcPr>
          <w:p w14:paraId="5A00350F" w14:textId="77777777" w:rsidR="00FE482F" w:rsidRPr="001B4B1E" w:rsidRDefault="00FE482F" w:rsidP="001B4B1E">
            <w:pPr>
              <w:jc w:val="left"/>
              <w:rPr>
                <w:sz w:val="15"/>
                <w:szCs w:val="16"/>
              </w:rPr>
            </w:pPr>
            <w:r w:rsidRPr="001B4B1E">
              <w:rPr>
                <w:sz w:val="15"/>
                <w:szCs w:val="16"/>
              </w:rPr>
              <w:t>-.090</w:t>
            </w:r>
          </w:p>
        </w:tc>
        <w:tc>
          <w:tcPr>
            <w:tcW w:w="803" w:type="pct"/>
            <w:vAlign w:val="center"/>
          </w:tcPr>
          <w:p w14:paraId="55005857" w14:textId="77777777" w:rsidR="00FE482F" w:rsidRPr="001B4B1E" w:rsidRDefault="00FE482F" w:rsidP="001B4B1E">
            <w:pPr>
              <w:jc w:val="left"/>
              <w:rPr>
                <w:sz w:val="15"/>
                <w:szCs w:val="16"/>
              </w:rPr>
            </w:pPr>
            <w:r w:rsidRPr="001B4B1E">
              <w:rPr>
                <w:sz w:val="15"/>
                <w:szCs w:val="16"/>
              </w:rPr>
              <w:t>.055</w:t>
            </w:r>
          </w:p>
        </w:tc>
        <w:tc>
          <w:tcPr>
            <w:tcW w:w="536" w:type="pct"/>
            <w:vAlign w:val="center"/>
          </w:tcPr>
          <w:p w14:paraId="0949DDEC" w14:textId="77777777" w:rsidR="00FE482F" w:rsidRPr="001B4B1E" w:rsidRDefault="00FE482F" w:rsidP="001B4B1E">
            <w:pPr>
              <w:jc w:val="left"/>
              <w:rPr>
                <w:sz w:val="15"/>
                <w:szCs w:val="16"/>
              </w:rPr>
            </w:pPr>
            <w:r w:rsidRPr="001B4B1E">
              <w:rPr>
                <w:sz w:val="15"/>
                <w:szCs w:val="16"/>
              </w:rPr>
              <w:t>-.184</w:t>
            </w:r>
          </w:p>
        </w:tc>
        <w:tc>
          <w:tcPr>
            <w:tcW w:w="538" w:type="pct"/>
            <w:vAlign w:val="center"/>
          </w:tcPr>
          <w:p w14:paraId="71D351D1" w14:textId="77777777" w:rsidR="00FE482F" w:rsidRPr="001B4B1E" w:rsidRDefault="00FE482F" w:rsidP="001B4B1E">
            <w:pPr>
              <w:jc w:val="left"/>
              <w:rPr>
                <w:sz w:val="15"/>
                <w:szCs w:val="16"/>
              </w:rPr>
            </w:pPr>
            <w:r w:rsidRPr="001B4B1E">
              <w:rPr>
                <w:sz w:val="15"/>
                <w:szCs w:val="16"/>
              </w:rPr>
              <w:t>.005</w:t>
            </w:r>
          </w:p>
        </w:tc>
      </w:tr>
      <w:tr w:rsidR="00FE482F" w:rsidRPr="001B4B1E" w14:paraId="0C5F0757" w14:textId="77777777" w:rsidTr="001B4B1E">
        <w:tc>
          <w:tcPr>
            <w:tcW w:w="912" w:type="pct"/>
            <w:vMerge/>
            <w:vAlign w:val="center"/>
          </w:tcPr>
          <w:p w14:paraId="5BDBEBAB" w14:textId="77777777" w:rsidR="00FE482F" w:rsidRPr="001B4B1E" w:rsidRDefault="00FE482F" w:rsidP="001B4B1E">
            <w:pPr>
              <w:jc w:val="left"/>
              <w:rPr>
                <w:b/>
                <w:bCs/>
                <w:sz w:val="15"/>
                <w:szCs w:val="16"/>
              </w:rPr>
            </w:pPr>
          </w:p>
        </w:tc>
        <w:tc>
          <w:tcPr>
            <w:tcW w:w="1404" w:type="pct"/>
            <w:vAlign w:val="center"/>
          </w:tcPr>
          <w:p w14:paraId="1EECD7B0" w14:textId="77777777" w:rsidR="00FE482F" w:rsidRPr="001B4B1E" w:rsidRDefault="00FE482F" w:rsidP="001B4B1E">
            <w:pPr>
              <w:jc w:val="left"/>
              <w:rPr>
                <w:sz w:val="15"/>
                <w:szCs w:val="16"/>
              </w:rPr>
            </w:pPr>
            <w:r w:rsidRPr="001B4B1E">
              <w:rPr>
                <w:sz w:val="15"/>
                <w:szCs w:val="16"/>
              </w:rPr>
              <w:t>WSAS - Relationships</w:t>
            </w:r>
          </w:p>
        </w:tc>
        <w:tc>
          <w:tcPr>
            <w:tcW w:w="807" w:type="pct"/>
            <w:vAlign w:val="center"/>
          </w:tcPr>
          <w:p w14:paraId="7F1B493C" w14:textId="77777777" w:rsidR="00FE482F" w:rsidRPr="001B4B1E" w:rsidRDefault="00FE482F" w:rsidP="001B4B1E">
            <w:pPr>
              <w:jc w:val="left"/>
              <w:rPr>
                <w:sz w:val="15"/>
                <w:szCs w:val="16"/>
              </w:rPr>
            </w:pPr>
            <w:r w:rsidRPr="001B4B1E">
              <w:rPr>
                <w:sz w:val="15"/>
                <w:szCs w:val="16"/>
              </w:rPr>
              <w:t>-.213</w:t>
            </w:r>
          </w:p>
        </w:tc>
        <w:tc>
          <w:tcPr>
            <w:tcW w:w="803" w:type="pct"/>
            <w:vAlign w:val="center"/>
          </w:tcPr>
          <w:p w14:paraId="54D57BE1"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1CFE54F6" w14:textId="77777777" w:rsidR="00FE482F" w:rsidRPr="001B4B1E" w:rsidRDefault="00FE482F" w:rsidP="001B4B1E">
            <w:pPr>
              <w:jc w:val="left"/>
              <w:rPr>
                <w:sz w:val="15"/>
                <w:szCs w:val="16"/>
              </w:rPr>
            </w:pPr>
            <w:r w:rsidRPr="001B4B1E">
              <w:rPr>
                <w:sz w:val="15"/>
                <w:szCs w:val="16"/>
              </w:rPr>
              <w:t>-.302</w:t>
            </w:r>
          </w:p>
        </w:tc>
        <w:tc>
          <w:tcPr>
            <w:tcW w:w="538" w:type="pct"/>
            <w:vAlign w:val="center"/>
          </w:tcPr>
          <w:p w14:paraId="640E1C42" w14:textId="77777777" w:rsidR="00FE482F" w:rsidRPr="001B4B1E" w:rsidRDefault="00FE482F" w:rsidP="001B4B1E">
            <w:pPr>
              <w:jc w:val="left"/>
              <w:rPr>
                <w:sz w:val="15"/>
                <w:szCs w:val="16"/>
              </w:rPr>
            </w:pPr>
            <w:r w:rsidRPr="001B4B1E">
              <w:rPr>
                <w:sz w:val="15"/>
                <w:szCs w:val="16"/>
              </w:rPr>
              <w:t>-.120</w:t>
            </w:r>
          </w:p>
        </w:tc>
      </w:tr>
      <w:tr w:rsidR="00FE482F" w:rsidRPr="001B4B1E" w14:paraId="0F80FE55" w14:textId="77777777" w:rsidTr="001B4B1E">
        <w:tc>
          <w:tcPr>
            <w:tcW w:w="912" w:type="pct"/>
            <w:vMerge/>
            <w:vAlign w:val="center"/>
          </w:tcPr>
          <w:p w14:paraId="34A955A5" w14:textId="77777777" w:rsidR="00FE482F" w:rsidRPr="001B4B1E" w:rsidRDefault="00FE482F" w:rsidP="001B4B1E">
            <w:pPr>
              <w:jc w:val="left"/>
              <w:rPr>
                <w:b/>
                <w:bCs/>
                <w:sz w:val="15"/>
                <w:szCs w:val="16"/>
              </w:rPr>
            </w:pPr>
          </w:p>
        </w:tc>
        <w:tc>
          <w:tcPr>
            <w:tcW w:w="1404" w:type="pct"/>
            <w:vAlign w:val="center"/>
          </w:tcPr>
          <w:p w14:paraId="5F4767E4" w14:textId="77777777" w:rsidR="00FE482F" w:rsidRPr="001B4B1E" w:rsidRDefault="00FE482F" w:rsidP="001B4B1E">
            <w:pPr>
              <w:jc w:val="left"/>
              <w:rPr>
                <w:sz w:val="15"/>
                <w:szCs w:val="16"/>
              </w:rPr>
            </w:pPr>
            <w:r w:rsidRPr="001B4B1E">
              <w:rPr>
                <w:sz w:val="15"/>
                <w:szCs w:val="16"/>
              </w:rPr>
              <w:t>UCS_1</w:t>
            </w:r>
          </w:p>
        </w:tc>
        <w:tc>
          <w:tcPr>
            <w:tcW w:w="807" w:type="pct"/>
            <w:vAlign w:val="center"/>
          </w:tcPr>
          <w:p w14:paraId="51698492" w14:textId="77777777" w:rsidR="00FE482F" w:rsidRPr="001B4B1E" w:rsidRDefault="00FE482F" w:rsidP="001B4B1E">
            <w:pPr>
              <w:jc w:val="left"/>
              <w:rPr>
                <w:sz w:val="15"/>
                <w:szCs w:val="16"/>
              </w:rPr>
            </w:pPr>
            <w:r w:rsidRPr="001B4B1E">
              <w:rPr>
                <w:sz w:val="15"/>
                <w:szCs w:val="16"/>
              </w:rPr>
              <w:t>-.247</w:t>
            </w:r>
          </w:p>
        </w:tc>
        <w:tc>
          <w:tcPr>
            <w:tcW w:w="803" w:type="pct"/>
            <w:vAlign w:val="center"/>
          </w:tcPr>
          <w:p w14:paraId="580FC0B6"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6F60E0A1" w14:textId="77777777" w:rsidR="00FE482F" w:rsidRPr="001B4B1E" w:rsidRDefault="00FE482F" w:rsidP="001B4B1E">
            <w:pPr>
              <w:jc w:val="left"/>
              <w:rPr>
                <w:sz w:val="15"/>
                <w:szCs w:val="16"/>
              </w:rPr>
            </w:pPr>
            <w:r w:rsidRPr="001B4B1E">
              <w:rPr>
                <w:sz w:val="15"/>
                <w:szCs w:val="16"/>
              </w:rPr>
              <w:t>-.334</w:t>
            </w:r>
          </w:p>
        </w:tc>
        <w:tc>
          <w:tcPr>
            <w:tcW w:w="538" w:type="pct"/>
            <w:vAlign w:val="center"/>
          </w:tcPr>
          <w:p w14:paraId="72966A82" w14:textId="77777777" w:rsidR="00FE482F" w:rsidRPr="001B4B1E" w:rsidRDefault="00FE482F" w:rsidP="001B4B1E">
            <w:pPr>
              <w:jc w:val="left"/>
              <w:rPr>
                <w:sz w:val="15"/>
                <w:szCs w:val="16"/>
              </w:rPr>
            </w:pPr>
            <w:r w:rsidRPr="001B4B1E">
              <w:rPr>
                <w:sz w:val="15"/>
                <w:szCs w:val="16"/>
              </w:rPr>
              <w:t>-.155</w:t>
            </w:r>
          </w:p>
        </w:tc>
      </w:tr>
      <w:tr w:rsidR="00FE482F" w:rsidRPr="001B4B1E" w14:paraId="428AC4A9" w14:textId="77777777" w:rsidTr="001B4B1E">
        <w:tc>
          <w:tcPr>
            <w:tcW w:w="912" w:type="pct"/>
            <w:vMerge/>
            <w:vAlign w:val="center"/>
          </w:tcPr>
          <w:p w14:paraId="62A9B527" w14:textId="77777777" w:rsidR="00FE482F" w:rsidRPr="001B4B1E" w:rsidRDefault="00FE482F" w:rsidP="001B4B1E">
            <w:pPr>
              <w:jc w:val="left"/>
              <w:rPr>
                <w:b/>
                <w:bCs/>
                <w:sz w:val="15"/>
                <w:szCs w:val="16"/>
              </w:rPr>
            </w:pPr>
          </w:p>
        </w:tc>
        <w:tc>
          <w:tcPr>
            <w:tcW w:w="1404" w:type="pct"/>
            <w:vAlign w:val="center"/>
          </w:tcPr>
          <w:p w14:paraId="239794CD" w14:textId="77777777" w:rsidR="00FE482F" w:rsidRPr="001B4B1E" w:rsidRDefault="00FE482F" w:rsidP="001B4B1E">
            <w:pPr>
              <w:jc w:val="left"/>
              <w:rPr>
                <w:sz w:val="15"/>
                <w:szCs w:val="16"/>
              </w:rPr>
            </w:pPr>
            <w:r w:rsidRPr="001B4B1E">
              <w:rPr>
                <w:sz w:val="15"/>
                <w:szCs w:val="16"/>
              </w:rPr>
              <w:t>UCS_2</w:t>
            </w:r>
          </w:p>
        </w:tc>
        <w:tc>
          <w:tcPr>
            <w:tcW w:w="807" w:type="pct"/>
            <w:vAlign w:val="center"/>
          </w:tcPr>
          <w:p w14:paraId="09344B13" w14:textId="77777777" w:rsidR="00FE482F" w:rsidRPr="001B4B1E" w:rsidRDefault="00FE482F" w:rsidP="001B4B1E">
            <w:pPr>
              <w:jc w:val="left"/>
              <w:rPr>
                <w:sz w:val="15"/>
                <w:szCs w:val="16"/>
              </w:rPr>
            </w:pPr>
            <w:r w:rsidRPr="001B4B1E">
              <w:rPr>
                <w:sz w:val="15"/>
                <w:szCs w:val="16"/>
              </w:rPr>
              <w:t>-.055</w:t>
            </w:r>
          </w:p>
        </w:tc>
        <w:tc>
          <w:tcPr>
            <w:tcW w:w="803" w:type="pct"/>
            <w:vAlign w:val="center"/>
          </w:tcPr>
          <w:p w14:paraId="3630E022" w14:textId="77777777" w:rsidR="00FE482F" w:rsidRPr="001B4B1E" w:rsidRDefault="00FE482F" w:rsidP="001B4B1E">
            <w:pPr>
              <w:jc w:val="left"/>
              <w:rPr>
                <w:sz w:val="15"/>
                <w:szCs w:val="16"/>
              </w:rPr>
            </w:pPr>
            <w:r w:rsidRPr="001B4B1E">
              <w:rPr>
                <w:sz w:val="15"/>
                <w:szCs w:val="16"/>
              </w:rPr>
              <w:t>.243</w:t>
            </w:r>
          </w:p>
        </w:tc>
        <w:tc>
          <w:tcPr>
            <w:tcW w:w="536" w:type="pct"/>
            <w:vAlign w:val="center"/>
          </w:tcPr>
          <w:p w14:paraId="0C135617" w14:textId="77777777" w:rsidR="00FE482F" w:rsidRPr="001B4B1E" w:rsidRDefault="00FE482F" w:rsidP="001B4B1E">
            <w:pPr>
              <w:jc w:val="left"/>
              <w:rPr>
                <w:sz w:val="15"/>
                <w:szCs w:val="16"/>
              </w:rPr>
            </w:pPr>
            <w:r w:rsidRPr="001B4B1E">
              <w:rPr>
                <w:sz w:val="15"/>
                <w:szCs w:val="16"/>
              </w:rPr>
              <w:t>-.250</w:t>
            </w:r>
          </w:p>
        </w:tc>
        <w:tc>
          <w:tcPr>
            <w:tcW w:w="538" w:type="pct"/>
            <w:vAlign w:val="center"/>
          </w:tcPr>
          <w:p w14:paraId="5CDA6CBF" w14:textId="77777777" w:rsidR="00FE482F" w:rsidRPr="001B4B1E" w:rsidRDefault="00FE482F" w:rsidP="001B4B1E">
            <w:pPr>
              <w:jc w:val="left"/>
              <w:rPr>
                <w:sz w:val="15"/>
                <w:szCs w:val="16"/>
              </w:rPr>
            </w:pPr>
            <w:r w:rsidRPr="001B4B1E">
              <w:rPr>
                <w:sz w:val="15"/>
                <w:szCs w:val="16"/>
              </w:rPr>
              <w:t>.040</w:t>
            </w:r>
          </w:p>
        </w:tc>
      </w:tr>
      <w:tr w:rsidR="00FE482F" w:rsidRPr="001B4B1E" w14:paraId="6ADB1765" w14:textId="77777777" w:rsidTr="001B4B1E">
        <w:tc>
          <w:tcPr>
            <w:tcW w:w="912" w:type="pct"/>
            <w:vMerge/>
            <w:vAlign w:val="center"/>
          </w:tcPr>
          <w:p w14:paraId="60A76919" w14:textId="77777777" w:rsidR="00FE482F" w:rsidRPr="001B4B1E" w:rsidRDefault="00FE482F" w:rsidP="001B4B1E">
            <w:pPr>
              <w:jc w:val="left"/>
              <w:rPr>
                <w:b/>
                <w:bCs/>
                <w:sz w:val="15"/>
                <w:szCs w:val="16"/>
              </w:rPr>
            </w:pPr>
          </w:p>
        </w:tc>
        <w:tc>
          <w:tcPr>
            <w:tcW w:w="1404" w:type="pct"/>
            <w:vAlign w:val="center"/>
          </w:tcPr>
          <w:p w14:paraId="1177DEE5" w14:textId="77777777" w:rsidR="00FE482F" w:rsidRPr="001B4B1E" w:rsidRDefault="00FE482F" w:rsidP="001B4B1E">
            <w:pPr>
              <w:jc w:val="left"/>
              <w:rPr>
                <w:sz w:val="15"/>
                <w:szCs w:val="16"/>
              </w:rPr>
            </w:pPr>
            <w:r w:rsidRPr="001B4B1E">
              <w:rPr>
                <w:sz w:val="15"/>
                <w:szCs w:val="16"/>
              </w:rPr>
              <w:t>UCS_3</w:t>
            </w:r>
          </w:p>
        </w:tc>
        <w:tc>
          <w:tcPr>
            <w:tcW w:w="807" w:type="pct"/>
            <w:vAlign w:val="center"/>
          </w:tcPr>
          <w:p w14:paraId="3EAE9F81" w14:textId="77777777" w:rsidR="00FE482F" w:rsidRPr="001B4B1E" w:rsidRDefault="00FE482F" w:rsidP="001B4B1E">
            <w:pPr>
              <w:jc w:val="left"/>
              <w:rPr>
                <w:sz w:val="15"/>
                <w:szCs w:val="16"/>
              </w:rPr>
            </w:pPr>
            <w:r w:rsidRPr="001B4B1E">
              <w:rPr>
                <w:sz w:val="15"/>
                <w:szCs w:val="16"/>
              </w:rPr>
              <w:t>-.272</w:t>
            </w:r>
          </w:p>
        </w:tc>
        <w:tc>
          <w:tcPr>
            <w:tcW w:w="803" w:type="pct"/>
            <w:vAlign w:val="center"/>
          </w:tcPr>
          <w:p w14:paraId="4C29E710"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E922A6C" w14:textId="77777777" w:rsidR="00FE482F" w:rsidRPr="001B4B1E" w:rsidRDefault="00FE482F" w:rsidP="001B4B1E">
            <w:pPr>
              <w:jc w:val="left"/>
              <w:rPr>
                <w:sz w:val="15"/>
                <w:szCs w:val="16"/>
              </w:rPr>
            </w:pPr>
            <w:r w:rsidRPr="001B4B1E">
              <w:rPr>
                <w:sz w:val="15"/>
                <w:szCs w:val="16"/>
              </w:rPr>
              <w:t>-.358</w:t>
            </w:r>
          </w:p>
        </w:tc>
        <w:tc>
          <w:tcPr>
            <w:tcW w:w="538" w:type="pct"/>
            <w:vAlign w:val="center"/>
          </w:tcPr>
          <w:p w14:paraId="48727ABA" w14:textId="77777777" w:rsidR="00FE482F" w:rsidRPr="001B4B1E" w:rsidRDefault="00FE482F" w:rsidP="001B4B1E">
            <w:pPr>
              <w:jc w:val="left"/>
              <w:rPr>
                <w:sz w:val="15"/>
                <w:szCs w:val="16"/>
              </w:rPr>
            </w:pPr>
            <w:r w:rsidRPr="001B4B1E">
              <w:rPr>
                <w:sz w:val="15"/>
                <w:szCs w:val="16"/>
              </w:rPr>
              <w:t>-.181</w:t>
            </w:r>
          </w:p>
        </w:tc>
      </w:tr>
      <w:tr w:rsidR="00FE482F" w:rsidRPr="001B4B1E" w14:paraId="2EBC8EDD" w14:textId="77777777" w:rsidTr="001B4B1E">
        <w:tc>
          <w:tcPr>
            <w:tcW w:w="912" w:type="pct"/>
            <w:vMerge/>
            <w:vAlign w:val="center"/>
          </w:tcPr>
          <w:p w14:paraId="721D781F" w14:textId="77777777" w:rsidR="00FE482F" w:rsidRPr="001B4B1E" w:rsidRDefault="00FE482F" w:rsidP="001B4B1E">
            <w:pPr>
              <w:jc w:val="left"/>
              <w:rPr>
                <w:b/>
                <w:bCs/>
                <w:sz w:val="15"/>
                <w:szCs w:val="16"/>
              </w:rPr>
            </w:pPr>
          </w:p>
        </w:tc>
        <w:tc>
          <w:tcPr>
            <w:tcW w:w="1404" w:type="pct"/>
            <w:vAlign w:val="center"/>
          </w:tcPr>
          <w:p w14:paraId="6F9635F8" w14:textId="77777777" w:rsidR="00FE482F" w:rsidRPr="001B4B1E" w:rsidRDefault="00FE482F" w:rsidP="001B4B1E">
            <w:pPr>
              <w:jc w:val="left"/>
              <w:rPr>
                <w:sz w:val="15"/>
                <w:szCs w:val="16"/>
              </w:rPr>
            </w:pPr>
            <w:r w:rsidRPr="001B4B1E">
              <w:rPr>
                <w:sz w:val="15"/>
                <w:szCs w:val="16"/>
              </w:rPr>
              <w:t>UCS_4</w:t>
            </w:r>
          </w:p>
        </w:tc>
        <w:tc>
          <w:tcPr>
            <w:tcW w:w="807" w:type="pct"/>
            <w:vAlign w:val="center"/>
          </w:tcPr>
          <w:p w14:paraId="70A15CE8" w14:textId="77777777" w:rsidR="00FE482F" w:rsidRPr="001B4B1E" w:rsidRDefault="00FE482F" w:rsidP="001B4B1E">
            <w:pPr>
              <w:jc w:val="left"/>
              <w:rPr>
                <w:sz w:val="15"/>
                <w:szCs w:val="16"/>
              </w:rPr>
            </w:pPr>
            <w:r w:rsidRPr="001B4B1E">
              <w:rPr>
                <w:sz w:val="15"/>
                <w:szCs w:val="16"/>
              </w:rPr>
              <w:t>-.182</w:t>
            </w:r>
          </w:p>
        </w:tc>
        <w:tc>
          <w:tcPr>
            <w:tcW w:w="803" w:type="pct"/>
            <w:vAlign w:val="center"/>
          </w:tcPr>
          <w:p w14:paraId="79762D2F"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45B05C7C" w14:textId="77777777" w:rsidR="00FE482F" w:rsidRPr="001B4B1E" w:rsidRDefault="00FE482F" w:rsidP="001B4B1E">
            <w:pPr>
              <w:jc w:val="left"/>
              <w:rPr>
                <w:sz w:val="15"/>
                <w:szCs w:val="16"/>
              </w:rPr>
            </w:pPr>
            <w:r w:rsidRPr="001B4B1E">
              <w:rPr>
                <w:sz w:val="15"/>
                <w:szCs w:val="16"/>
              </w:rPr>
              <w:t>-.272</w:t>
            </w:r>
          </w:p>
        </w:tc>
        <w:tc>
          <w:tcPr>
            <w:tcW w:w="538" w:type="pct"/>
            <w:vAlign w:val="center"/>
          </w:tcPr>
          <w:p w14:paraId="19D8D6FE" w14:textId="77777777" w:rsidR="00FE482F" w:rsidRPr="001B4B1E" w:rsidRDefault="00FE482F" w:rsidP="001B4B1E">
            <w:pPr>
              <w:jc w:val="left"/>
              <w:rPr>
                <w:sz w:val="15"/>
                <w:szCs w:val="16"/>
              </w:rPr>
            </w:pPr>
            <w:r w:rsidRPr="001B4B1E">
              <w:rPr>
                <w:sz w:val="15"/>
                <w:szCs w:val="16"/>
              </w:rPr>
              <w:t>-.088</w:t>
            </w:r>
          </w:p>
        </w:tc>
      </w:tr>
      <w:tr w:rsidR="00FE482F" w:rsidRPr="001B4B1E" w14:paraId="4B2847B3" w14:textId="77777777" w:rsidTr="001B4B1E">
        <w:tc>
          <w:tcPr>
            <w:tcW w:w="912" w:type="pct"/>
            <w:vMerge/>
            <w:vAlign w:val="center"/>
          </w:tcPr>
          <w:p w14:paraId="12C17DCB" w14:textId="77777777" w:rsidR="00FE482F" w:rsidRPr="001B4B1E" w:rsidRDefault="00FE482F" w:rsidP="001B4B1E">
            <w:pPr>
              <w:jc w:val="left"/>
              <w:rPr>
                <w:b/>
                <w:bCs/>
                <w:sz w:val="15"/>
                <w:szCs w:val="16"/>
              </w:rPr>
            </w:pPr>
          </w:p>
        </w:tc>
        <w:tc>
          <w:tcPr>
            <w:tcW w:w="1404" w:type="pct"/>
            <w:vAlign w:val="center"/>
          </w:tcPr>
          <w:p w14:paraId="24038F7E" w14:textId="77777777" w:rsidR="00FE482F" w:rsidRPr="001B4B1E" w:rsidRDefault="00FE482F" w:rsidP="001B4B1E">
            <w:pPr>
              <w:jc w:val="left"/>
              <w:rPr>
                <w:sz w:val="15"/>
                <w:szCs w:val="16"/>
              </w:rPr>
            </w:pPr>
            <w:r w:rsidRPr="001B4B1E">
              <w:rPr>
                <w:sz w:val="15"/>
                <w:szCs w:val="16"/>
              </w:rPr>
              <w:t>UCS_5</w:t>
            </w:r>
          </w:p>
        </w:tc>
        <w:tc>
          <w:tcPr>
            <w:tcW w:w="807" w:type="pct"/>
            <w:vAlign w:val="center"/>
          </w:tcPr>
          <w:p w14:paraId="37A497D6" w14:textId="77777777" w:rsidR="00FE482F" w:rsidRPr="001B4B1E" w:rsidRDefault="00FE482F" w:rsidP="001B4B1E">
            <w:pPr>
              <w:jc w:val="left"/>
              <w:rPr>
                <w:sz w:val="15"/>
                <w:szCs w:val="16"/>
              </w:rPr>
            </w:pPr>
            <w:r w:rsidRPr="001B4B1E">
              <w:rPr>
                <w:sz w:val="15"/>
                <w:szCs w:val="16"/>
              </w:rPr>
              <w:t>-.150</w:t>
            </w:r>
          </w:p>
        </w:tc>
        <w:tc>
          <w:tcPr>
            <w:tcW w:w="803" w:type="pct"/>
            <w:vAlign w:val="center"/>
          </w:tcPr>
          <w:p w14:paraId="4061B606" w14:textId="77777777" w:rsidR="00FE482F" w:rsidRPr="001B4B1E" w:rsidRDefault="00FE482F" w:rsidP="001B4B1E">
            <w:pPr>
              <w:jc w:val="left"/>
              <w:rPr>
                <w:sz w:val="15"/>
                <w:szCs w:val="16"/>
              </w:rPr>
            </w:pPr>
            <w:r w:rsidRPr="001B4B1E">
              <w:rPr>
                <w:sz w:val="15"/>
                <w:szCs w:val="16"/>
              </w:rPr>
              <w:t>.001</w:t>
            </w:r>
          </w:p>
        </w:tc>
        <w:tc>
          <w:tcPr>
            <w:tcW w:w="536" w:type="pct"/>
            <w:vAlign w:val="center"/>
          </w:tcPr>
          <w:p w14:paraId="7F90D061" w14:textId="77777777" w:rsidR="00FE482F" w:rsidRPr="001B4B1E" w:rsidRDefault="00FE482F" w:rsidP="001B4B1E">
            <w:pPr>
              <w:jc w:val="left"/>
              <w:rPr>
                <w:sz w:val="15"/>
                <w:szCs w:val="16"/>
              </w:rPr>
            </w:pPr>
            <w:r w:rsidRPr="001B4B1E">
              <w:rPr>
                <w:sz w:val="15"/>
                <w:szCs w:val="16"/>
              </w:rPr>
              <w:t>-.242</w:t>
            </w:r>
          </w:p>
        </w:tc>
        <w:tc>
          <w:tcPr>
            <w:tcW w:w="538" w:type="pct"/>
            <w:vAlign w:val="center"/>
          </w:tcPr>
          <w:p w14:paraId="71970F06" w14:textId="77777777" w:rsidR="00FE482F" w:rsidRPr="001B4B1E" w:rsidRDefault="00FE482F" w:rsidP="001B4B1E">
            <w:pPr>
              <w:jc w:val="left"/>
              <w:rPr>
                <w:sz w:val="15"/>
                <w:szCs w:val="16"/>
              </w:rPr>
            </w:pPr>
            <w:r w:rsidRPr="001B4B1E">
              <w:rPr>
                <w:sz w:val="15"/>
                <w:szCs w:val="16"/>
              </w:rPr>
              <w:t>-.056</w:t>
            </w:r>
          </w:p>
        </w:tc>
      </w:tr>
      <w:tr w:rsidR="00FE482F" w:rsidRPr="001B4B1E" w14:paraId="237616E6" w14:textId="77777777" w:rsidTr="001B4B1E">
        <w:tc>
          <w:tcPr>
            <w:tcW w:w="912" w:type="pct"/>
            <w:vMerge/>
            <w:vAlign w:val="center"/>
          </w:tcPr>
          <w:p w14:paraId="635374DE" w14:textId="77777777" w:rsidR="00FE482F" w:rsidRPr="001B4B1E" w:rsidRDefault="00FE482F" w:rsidP="001B4B1E">
            <w:pPr>
              <w:jc w:val="left"/>
              <w:rPr>
                <w:b/>
                <w:bCs/>
                <w:sz w:val="15"/>
                <w:szCs w:val="16"/>
              </w:rPr>
            </w:pPr>
          </w:p>
        </w:tc>
        <w:tc>
          <w:tcPr>
            <w:tcW w:w="1404" w:type="pct"/>
            <w:vAlign w:val="center"/>
          </w:tcPr>
          <w:p w14:paraId="13B7567F" w14:textId="77777777" w:rsidR="00FE482F" w:rsidRPr="001B4B1E" w:rsidRDefault="00FE482F" w:rsidP="001B4B1E">
            <w:pPr>
              <w:jc w:val="left"/>
              <w:rPr>
                <w:sz w:val="15"/>
                <w:szCs w:val="16"/>
              </w:rPr>
            </w:pPr>
            <w:r w:rsidRPr="001B4B1E">
              <w:rPr>
                <w:sz w:val="15"/>
                <w:szCs w:val="16"/>
              </w:rPr>
              <w:t>UCS_6</w:t>
            </w:r>
          </w:p>
        </w:tc>
        <w:tc>
          <w:tcPr>
            <w:tcW w:w="807" w:type="pct"/>
            <w:vAlign w:val="center"/>
          </w:tcPr>
          <w:p w14:paraId="7B7E048C" w14:textId="77777777" w:rsidR="00FE482F" w:rsidRPr="001B4B1E" w:rsidRDefault="00FE482F" w:rsidP="001B4B1E">
            <w:pPr>
              <w:jc w:val="left"/>
              <w:rPr>
                <w:sz w:val="15"/>
                <w:szCs w:val="16"/>
              </w:rPr>
            </w:pPr>
            <w:r w:rsidRPr="001B4B1E">
              <w:rPr>
                <w:sz w:val="15"/>
                <w:szCs w:val="16"/>
              </w:rPr>
              <w:t>-.317</w:t>
            </w:r>
          </w:p>
        </w:tc>
        <w:tc>
          <w:tcPr>
            <w:tcW w:w="803" w:type="pct"/>
            <w:vAlign w:val="center"/>
          </w:tcPr>
          <w:p w14:paraId="2C817AD4"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E51D62D" w14:textId="77777777" w:rsidR="00FE482F" w:rsidRPr="001B4B1E" w:rsidRDefault="00FE482F" w:rsidP="001B4B1E">
            <w:pPr>
              <w:jc w:val="left"/>
              <w:rPr>
                <w:sz w:val="15"/>
                <w:szCs w:val="16"/>
              </w:rPr>
            </w:pPr>
            <w:r w:rsidRPr="001B4B1E">
              <w:rPr>
                <w:sz w:val="15"/>
                <w:szCs w:val="16"/>
              </w:rPr>
              <w:t>-.400</w:t>
            </w:r>
          </w:p>
        </w:tc>
        <w:tc>
          <w:tcPr>
            <w:tcW w:w="538" w:type="pct"/>
            <w:vAlign w:val="center"/>
          </w:tcPr>
          <w:p w14:paraId="24928146" w14:textId="77777777" w:rsidR="00FE482F" w:rsidRPr="001B4B1E" w:rsidRDefault="00FE482F" w:rsidP="001B4B1E">
            <w:pPr>
              <w:jc w:val="left"/>
              <w:rPr>
                <w:sz w:val="15"/>
                <w:szCs w:val="16"/>
              </w:rPr>
            </w:pPr>
            <w:r w:rsidRPr="001B4B1E">
              <w:rPr>
                <w:sz w:val="15"/>
                <w:szCs w:val="16"/>
              </w:rPr>
              <w:t>-.229</w:t>
            </w:r>
          </w:p>
        </w:tc>
      </w:tr>
      <w:tr w:rsidR="00FE482F" w:rsidRPr="001B4B1E" w14:paraId="7C42F835" w14:textId="77777777" w:rsidTr="001B4B1E">
        <w:tc>
          <w:tcPr>
            <w:tcW w:w="912" w:type="pct"/>
            <w:vMerge/>
            <w:vAlign w:val="center"/>
          </w:tcPr>
          <w:p w14:paraId="04593F70" w14:textId="77777777" w:rsidR="00FE482F" w:rsidRPr="001B4B1E" w:rsidRDefault="00FE482F" w:rsidP="001B4B1E">
            <w:pPr>
              <w:jc w:val="left"/>
              <w:rPr>
                <w:b/>
                <w:bCs/>
                <w:sz w:val="15"/>
                <w:szCs w:val="16"/>
              </w:rPr>
            </w:pPr>
          </w:p>
        </w:tc>
        <w:tc>
          <w:tcPr>
            <w:tcW w:w="1404" w:type="pct"/>
            <w:vAlign w:val="center"/>
          </w:tcPr>
          <w:p w14:paraId="6EE362E8" w14:textId="77777777" w:rsidR="00FE482F" w:rsidRPr="001B4B1E" w:rsidRDefault="00FE482F" w:rsidP="001B4B1E">
            <w:pPr>
              <w:jc w:val="left"/>
              <w:rPr>
                <w:sz w:val="15"/>
                <w:szCs w:val="16"/>
              </w:rPr>
            </w:pPr>
            <w:r w:rsidRPr="001B4B1E">
              <w:rPr>
                <w:sz w:val="15"/>
                <w:szCs w:val="16"/>
              </w:rPr>
              <w:t>UCS_7</w:t>
            </w:r>
          </w:p>
        </w:tc>
        <w:tc>
          <w:tcPr>
            <w:tcW w:w="807" w:type="pct"/>
            <w:vAlign w:val="center"/>
          </w:tcPr>
          <w:p w14:paraId="24565977" w14:textId="77777777" w:rsidR="00FE482F" w:rsidRPr="001B4B1E" w:rsidRDefault="00FE482F" w:rsidP="001B4B1E">
            <w:pPr>
              <w:jc w:val="left"/>
              <w:rPr>
                <w:sz w:val="15"/>
                <w:szCs w:val="16"/>
              </w:rPr>
            </w:pPr>
            <w:r w:rsidRPr="001B4B1E">
              <w:rPr>
                <w:sz w:val="15"/>
                <w:szCs w:val="16"/>
              </w:rPr>
              <w:t>-.281</w:t>
            </w:r>
          </w:p>
        </w:tc>
        <w:tc>
          <w:tcPr>
            <w:tcW w:w="803" w:type="pct"/>
            <w:vAlign w:val="center"/>
          </w:tcPr>
          <w:p w14:paraId="1FB2F563"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F7C918F" w14:textId="77777777" w:rsidR="00FE482F" w:rsidRPr="001B4B1E" w:rsidRDefault="00FE482F" w:rsidP="001B4B1E">
            <w:pPr>
              <w:jc w:val="left"/>
              <w:rPr>
                <w:sz w:val="15"/>
                <w:szCs w:val="16"/>
              </w:rPr>
            </w:pPr>
            <w:r w:rsidRPr="001B4B1E">
              <w:rPr>
                <w:sz w:val="15"/>
                <w:szCs w:val="16"/>
              </w:rPr>
              <w:t>-.366</w:t>
            </w:r>
          </w:p>
        </w:tc>
        <w:tc>
          <w:tcPr>
            <w:tcW w:w="538" w:type="pct"/>
            <w:vAlign w:val="center"/>
          </w:tcPr>
          <w:p w14:paraId="58E8F66F" w14:textId="77777777" w:rsidR="00FE482F" w:rsidRPr="001B4B1E" w:rsidRDefault="00FE482F" w:rsidP="001B4B1E">
            <w:pPr>
              <w:jc w:val="left"/>
              <w:rPr>
                <w:sz w:val="15"/>
                <w:szCs w:val="16"/>
              </w:rPr>
            </w:pPr>
            <w:r w:rsidRPr="001B4B1E">
              <w:rPr>
                <w:sz w:val="15"/>
                <w:szCs w:val="16"/>
              </w:rPr>
              <w:t>-.191</w:t>
            </w:r>
          </w:p>
        </w:tc>
      </w:tr>
      <w:tr w:rsidR="00FE482F" w:rsidRPr="001B4B1E" w14:paraId="45F993D0" w14:textId="77777777" w:rsidTr="001B4B1E">
        <w:tc>
          <w:tcPr>
            <w:tcW w:w="912" w:type="pct"/>
            <w:vMerge/>
            <w:vAlign w:val="center"/>
          </w:tcPr>
          <w:p w14:paraId="3038FB12" w14:textId="77777777" w:rsidR="00FE482F" w:rsidRPr="001B4B1E" w:rsidRDefault="00FE482F" w:rsidP="001B4B1E">
            <w:pPr>
              <w:jc w:val="left"/>
              <w:rPr>
                <w:b/>
                <w:bCs/>
                <w:sz w:val="15"/>
                <w:szCs w:val="16"/>
              </w:rPr>
            </w:pPr>
          </w:p>
        </w:tc>
        <w:tc>
          <w:tcPr>
            <w:tcW w:w="1404" w:type="pct"/>
            <w:vAlign w:val="center"/>
          </w:tcPr>
          <w:p w14:paraId="1504B816" w14:textId="77777777" w:rsidR="00FE482F" w:rsidRPr="001B4B1E" w:rsidRDefault="00FE482F" w:rsidP="001B4B1E">
            <w:pPr>
              <w:jc w:val="left"/>
              <w:rPr>
                <w:sz w:val="15"/>
                <w:szCs w:val="16"/>
              </w:rPr>
            </w:pPr>
            <w:r w:rsidRPr="001B4B1E">
              <w:rPr>
                <w:sz w:val="15"/>
                <w:szCs w:val="16"/>
              </w:rPr>
              <w:t>UCS_8</w:t>
            </w:r>
          </w:p>
        </w:tc>
        <w:tc>
          <w:tcPr>
            <w:tcW w:w="807" w:type="pct"/>
            <w:vAlign w:val="center"/>
          </w:tcPr>
          <w:p w14:paraId="7116CF99" w14:textId="77777777" w:rsidR="00FE482F" w:rsidRPr="001B4B1E" w:rsidRDefault="00FE482F" w:rsidP="001B4B1E">
            <w:pPr>
              <w:jc w:val="left"/>
              <w:rPr>
                <w:sz w:val="15"/>
                <w:szCs w:val="16"/>
              </w:rPr>
            </w:pPr>
            <w:r w:rsidRPr="001B4B1E">
              <w:rPr>
                <w:sz w:val="15"/>
                <w:szCs w:val="16"/>
              </w:rPr>
              <w:t>-.239</w:t>
            </w:r>
          </w:p>
        </w:tc>
        <w:tc>
          <w:tcPr>
            <w:tcW w:w="803" w:type="pct"/>
            <w:vAlign w:val="center"/>
          </w:tcPr>
          <w:p w14:paraId="132715D9"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5D7DE3A5" w14:textId="77777777" w:rsidR="00FE482F" w:rsidRPr="001B4B1E" w:rsidRDefault="00FE482F" w:rsidP="001B4B1E">
            <w:pPr>
              <w:jc w:val="left"/>
              <w:rPr>
                <w:sz w:val="15"/>
                <w:szCs w:val="16"/>
              </w:rPr>
            </w:pPr>
            <w:r w:rsidRPr="001B4B1E">
              <w:rPr>
                <w:sz w:val="15"/>
                <w:szCs w:val="16"/>
              </w:rPr>
              <w:t>-.327</w:t>
            </w:r>
          </w:p>
        </w:tc>
        <w:tc>
          <w:tcPr>
            <w:tcW w:w="538" w:type="pct"/>
            <w:vAlign w:val="center"/>
          </w:tcPr>
          <w:p w14:paraId="41932B86" w14:textId="77777777" w:rsidR="00FE482F" w:rsidRPr="001B4B1E" w:rsidRDefault="00FE482F" w:rsidP="001B4B1E">
            <w:pPr>
              <w:jc w:val="left"/>
              <w:rPr>
                <w:sz w:val="15"/>
                <w:szCs w:val="16"/>
              </w:rPr>
            </w:pPr>
            <w:r w:rsidRPr="001B4B1E">
              <w:rPr>
                <w:sz w:val="15"/>
                <w:szCs w:val="16"/>
              </w:rPr>
              <w:t>-.147</w:t>
            </w:r>
          </w:p>
        </w:tc>
      </w:tr>
      <w:tr w:rsidR="00FE482F" w:rsidRPr="001B4B1E" w14:paraId="4AB991DB" w14:textId="77777777" w:rsidTr="001B4B1E">
        <w:tc>
          <w:tcPr>
            <w:tcW w:w="912" w:type="pct"/>
            <w:vMerge/>
            <w:vAlign w:val="center"/>
          </w:tcPr>
          <w:p w14:paraId="12A86E21" w14:textId="77777777" w:rsidR="00FE482F" w:rsidRPr="001B4B1E" w:rsidRDefault="00FE482F" w:rsidP="001B4B1E">
            <w:pPr>
              <w:jc w:val="left"/>
              <w:rPr>
                <w:b/>
                <w:bCs/>
                <w:sz w:val="15"/>
                <w:szCs w:val="16"/>
              </w:rPr>
            </w:pPr>
          </w:p>
        </w:tc>
        <w:tc>
          <w:tcPr>
            <w:tcW w:w="1404" w:type="pct"/>
            <w:vAlign w:val="center"/>
          </w:tcPr>
          <w:p w14:paraId="62959A1D" w14:textId="77777777" w:rsidR="00FE482F" w:rsidRPr="001B4B1E" w:rsidRDefault="00FE482F" w:rsidP="001B4B1E">
            <w:pPr>
              <w:jc w:val="left"/>
              <w:rPr>
                <w:sz w:val="15"/>
                <w:szCs w:val="16"/>
              </w:rPr>
            </w:pPr>
            <w:r w:rsidRPr="001B4B1E">
              <w:rPr>
                <w:sz w:val="15"/>
                <w:szCs w:val="16"/>
              </w:rPr>
              <w:t>UCS_9</w:t>
            </w:r>
          </w:p>
        </w:tc>
        <w:tc>
          <w:tcPr>
            <w:tcW w:w="807" w:type="pct"/>
            <w:vAlign w:val="center"/>
          </w:tcPr>
          <w:p w14:paraId="2046383C" w14:textId="77777777" w:rsidR="00FE482F" w:rsidRPr="001B4B1E" w:rsidRDefault="00FE482F" w:rsidP="001B4B1E">
            <w:pPr>
              <w:jc w:val="left"/>
              <w:rPr>
                <w:sz w:val="15"/>
                <w:szCs w:val="16"/>
              </w:rPr>
            </w:pPr>
            <w:r w:rsidRPr="001B4B1E">
              <w:rPr>
                <w:sz w:val="15"/>
                <w:szCs w:val="16"/>
              </w:rPr>
              <w:t>-.300</w:t>
            </w:r>
          </w:p>
        </w:tc>
        <w:tc>
          <w:tcPr>
            <w:tcW w:w="803" w:type="pct"/>
            <w:vAlign w:val="center"/>
          </w:tcPr>
          <w:p w14:paraId="40E80647"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0459947" w14:textId="77777777" w:rsidR="00FE482F" w:rsidRPr="001B4B1E" w:rsidRDefault="00FE482F" w:rsidP="001B4B1E">
            <w:pPr>
              <w:jc w:val="left"/>
              <w:rPr>
                <w:sz w:val="15"/>
                <w:szCs w:val="16"/>
              </w:rPr>
            </w:pPr>
            <w:r w:rsidRPr="001B4B1E">
              <w:rPr>
                <w:sz w:val="15"/>
                <w:szCs w:val="16"/>
              </w:rPr>
              <w:t>-.384</w:t>
            </w:r>
          </w:p>
        </w:tc>
        <w:tc>
          <w:tcPr>
            <w:tcW w:w="538" w:type="pct"/>
            <w:vAlign w:val="center"/>
          </w:tcPr>
          <w:p w14:paraId="2915F736" w14:textId="77777777" w:rsidR="00FE482F" w:rsidRPr="001B4B1E" w:rsidRDefault="00FE482F" w:rsidP="001B4B1E">
            <w:pPr>
              <w:jc w:val="left"/>
              <w:rPr>
                <w:sz w:val="15"/>
                <w:szCs w:val="16"/>
              </w:rPr>
            </w:pPr>
            <w:r w:rsidRPr="001B4B1E">
              <w:rPr>
                <w:sz w:val="15"/>
                <w:szCs w:val="16"/>
              </w:rPr>
              <w:t>-.211</w:t>
            </w:r>
          </w:p>
        </w:tc>
      </w:tr>
      <w:tr w:rsidR="00FE482F" w:rsidRPr="001B4B1E" w14:paraId="2826A274" w14:textId="77777777" w:rsidTr="001B4B1E">
        <w:tc>
          <w:tcPr>
            <w:tcW w:w="912" w:type="pct"/>
            <w:vMerge w:val="restart"/>
            <w:vAlign w:val="center"/>
          </w:tcPr>
          <w:p w14:paraId="4C1D6416" w14:textId="77777777" w:rsidR="00FE482F" w:rsidRPr="001B4B1E" w:rsidRDefault="00FE482F" w:rsidP="001B4B1E">
            <w:pPr>
              <w:jc w:val="left"/>
              <w:rPr>
                <w:b/>
                <w:bCs/>
                <w:sz w:val="15"/>
                <w:szCs w:val="16"/>
              </w:rPr>
            </w:pPr>
            <w:r w:rsidRPr="001B4B1E">
              <w:rPr>
                <w:b/>
                <w:bCs/>
                <w:sz w:val="15"/>
                <w:szCs w:val="16"/>
              </w:rPr>
              <w:t>Social Support Collapsed category – total score</w:t>
            </w:r>
          </w:p>
        </w:tc>
        <w:tc>
          <w:tcPr>
            <w:tcW w:w="1404" w:type="pct"/>
            <w:vAlign w:val="center"/>
          </w:tcPr>
          <w:p w14:paraId="1E957E8E" w14:textId="77777777" w:rsidR="00FE482F" w:rsidRPr="001B4B1E" w:rsidRDefault="00FE482F" w:rsidP="001B4B1E">
            <w:pPr>
              <w:jc w:val="left"/>
              <w:rPr>
                <w:sz w:val="15"/>
                <w:szCs w:val="16"/>
              </w:rPr>
            </w:pPr>
            <w:r w:rsidRPr="001B4B1E">
              <w:rPr>
                <w:sz w:val="15"/>
                <w:szCs w:val="16"/>
              </w:rPr>
              <w:t>GAD7 total</w:t>
            </w:r>
          </w:p>
        </w:tc>
        <w:tc>
          <w:tcPr>
            <w:tcW w:w="807" w:type="pct"/>
            <w:vAlign w:val="center"/>
          </w:tcPr>
          <w:p w14:paraId="6824C9E7" w14:textId="77777777" w:rsidR="00FE482F" w:rsidRPr="001B4B1E" w:rsidRDefault="00FE482F" w:rsidP="001B4B1E">
            <w:pPr>
              <w:jc w:val="left"/>
              <w:rPr>
                <w:sz w:val="15"/>
                <w:szCs w:val="16"/>
              </w:rPr>
            </w:pPr>
            <w:r w:rsidRPr="001B4B1E">
              <w:rPr>
                <w:sz w:val="15"/>
                <w:szCs w:val="16"/>
              </w:rPr>
              <w:t>-.387</w:t>
            </w:r>
          </w:p>
        </w:tc>
        <w:tc>
          <w:tcPr>
            <w:tcW w:w="803" w:type="pct"/>
            <w:vAlign w:val="center"/>
          </w:tcPr>
          <w:p w14:paraId="66628539"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6C9DC188" w14:textId="77777777" w:rsidR="00FE482F" w:rsidRPr="001B4B1E" w:rsidRDefault="00FE482F" w:rsidP="001B4B1E">
            <w:pPr>
              <w:jc w:val="left"/>
              <w:rPr>
                <w:sz w:val="15"/>
                <w:szCs w:val="16"/>
              </w:rPr>
            </w:pPr>
            <w:r w:rsidRPr="001B4B1E">
              <w:rPr>
                <w:sz w:val="15"/>
                <w:szCs w:val="16"/>
              </w:rPr>
              <w:t>-.465</w:t>
            </w:r>
          </w:p>
        </w:tc>
        <w:tc>
          <w:tcPr>
            <w:tcW w:w="538" w:type="pct"/>
            <w:vAlign w:val="center"/>
          </w:tcPr>
          <w:p w14:paraId="7B1678D6" w14:textId="77777777" w:rsidR="00FE482F" w:rsidRPr="001B4B1E" w:rsidRDefault="00FE482F" w:rsidP="001B4B1E">
            <w:pPr>
              <w:jc w:val="left"/>
              <w:rPr>
                <w:sz w:val="15"/>
                <w:szCs w:val="16"/>
              </w:rPr>
            </w:pPr>
            <w:r w:rsidRPr="001B4B1E">
              <w:rPr>
                <w:sz w:val="15"/>
                <w:szCs w:val="16"/>
              </w:rPr>
              <w:t>-.303</w:t>
            </w:r>
          </w:p>
        </w:tc>
      </w:tr>
      <w:tr w:rsidR="00FE482F" w:rsidRPr="001B4B1E" w14:paraId="04C4AED8" w14:textId="77777777" w:rsidTr="001B4B1E">
        <w:tc>
          <w:tcPr>
            <w:tcW w:w="912" w:type="pct"/>
            <w:vMerge/>
            <w:vAlign w:val="center"/>
          </w:tcPr>
          <w:p w14:paraId="6D330797" w14:textId="77777777" w:rsidR="00FE482F" w:rsidRPr="001B4B1E" w:rsidRDefault="00FE482F" w:rsidP="001B4B1E">
            <w:pPr>
              <w:jc w:val="left"/>
              <w:rPr>
                <w:b/>
                <w:bCs/>
                <w:sz w:val="15"/>
                <w:szCs w:val="16"/>
              </w:rPr>
            </w:pPr>
          </w:p>
        </w:tc>
        <w:tc>
          <w:tcPr>
            <w:tcW w:w="1404" w:type="pct"/>
            <w:vAlign w:val="center"/>
          </w:tcPr>
          <w:p w14:paraId="59B728AF" w14:textId="77777777" w:rsidR="00FE482F" w:rsidRPr="001B4B1E" w:rsidRDefault="00FE482F" w:rsidP="001B4B1E">
            <w:pPr>
              <w:jc w:val="left"/>
              <w:rPr>
                <w:sz w:val="15"/>
                <w:szCs w:val="16"/>
              </w:rPr>
            </w:pPr>
            <w:r w:rsidRPr="001B4B1E">
              <w:rPr>
                <w:sz w:val="15"/>
                <w:szCs w:val="16"/>
              </w:rPr>
              <w:t>EQ5D3L total</w:t>
            </w:r>
          </w:p>
        </w:tc>
        <w:tc>
          <w:tcPr>
            <w:tcW w:w="807" w:type="pct"/>
            <w:vAlign w:val="center"/>
          </w:tcPr>
          <w:p w14:paraId="62A0B317" w14:textId="77777777" w:rsidR="00FE482F" w:rsidRPr="001B4B1E" w:rsidRDefault="00FE482F" w:rsidP="001B4B1E">
            <w:pPr>
              <w:jc w:val="left"/>
              <w:rPr>
                <w:sz w:val="15"/>
                <w:szCs w:val="16"/>
              </w:rPr>
            </w:pPr>
            <w:r w:rsidRPr="001B4B1E">
              <w:rPr>
                <w:sz w:val="15"/>
                <w:szCs w:val="16"/>
              </w:rPr>
              <w:t>-.319</w:t>
            </w:r>
          </w:p>
        </w:tc>
        <w:tc>
          <w:tcPr>
            <w:tcW w:w="803" w:type="pct"/>
            <w:vAlign w:val="center"/>
          </w:tcPr>
          <w:p w14:paraId="4A035A50"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DAC8A8C" w14:textId="77777777" w:rsidR="00FE482F" w:rsidRPr="001B4B1E" w:rsidRDefault="00FE482F" w:rsidP="001B4B1E">
            <w:pPr>
              <w:jc w:val="left"/>
              <w:rPr>
                <w:sz w:val="15"/>
                <w:szCs w:val="16"/>
              </w:rPr>
            </w:pPr>
            <w:r w:rsidRPr="001B4B1E">
              <w:rPr>
                <w:sz w:val="15"/>
                <w:szCs w:val="16"/>
              </w:rPr>
              <w:t>-.402</w:t>
            </w:r>
          </w:p>
        </w:tc>
        <w:tc>
          <w:tcPr>
            <w:tcW w:w="538" w:type="pct"/>
            <w:vAlign w:val="center"/>
          </w:tcPr>
          <w:p w14:paraId="5F4C14BE" w14:textId="77777777" w:rsidR="00FE482F" w:rsidRPr="001B4B1E" w:rsidRDefault="00FE482F" w:rsidP="001B4B1E">
            <w:pPr>
              <w:jc w:val="left"/>
              <w:rPr>
                <w:sz w:val="15"/>
                <w:szCs w:val="16"/>
              </w:rPr>
            </w:pPr>
            <w:r w:rsidRPr="001B4B1E">
              <w:rPr>
                <w:sz w:val="15"/>
                <w:szCs w:val="16"/>
              </w:rPr>
              <w:t>-.231</w:t>
            </w:r>
          </w:p>
        </w:tc>
      </w:tr>
      <w:tr w:rsidR="00FE482F" w:rsidRPr="001B4B1E" w14:paraId="0FB6E7EE" w14:textId="77777777" w:rsidTr="001B4B1E">
        <w:tc>
          <w:tcPr>
            <w:tcW w:w="912" w:type="pct"/>
            <w:vMerge/>
            <w:vAlign w:val="center"/>
          </w:tcPr>
          <w:p w14:paraId="08744494" w14:textId="77777777" w:rsidR="00FE482F" w:rsidRPr="001B4B1E" w:rsidRDefault="00FE482F" w:rsidP="001B4B1E">
            <w:pPr>
              <w:jc w:val="left"/>
              <w:rPr>
                <w:b/>
                <w:bCs/>
                <w:sz w:val="15"/>
                <w:szCs w:val="16"/>
              </w:rPr>
            </w:pPr>
          </w:p>
        </w:tc>
        <w:tc>
          <w:tcPr>
            <w:tcW w:w="1404" w:type="pct"/>
            <w:vAlign w:val="center"/>
          </w:tcPr>
          <w:p w14:paraId="6F778667" w14:textId="77777777" w:rsidR="00FE482F" w:rsidRPr="001B4B1E" w:rsidRDefault="00FE482F" w:rsidP="001B4B1E">
            <w:pPr>
              <w:jc w:val="left"/>
              <w:rPr>
                <w:sz w:val="15"/>
                <w:szCs w:val="16"/>
              </w:rPr>
            </w:pPr>
            <w:r w:rsidRPr="001B4B1E">
              <w:rPr>
                <w:sz w:val="15"/>
                <w:szCs w:val="16"/>
              </w:rPr>
              <w:t>PHQ15 total</w:t>
            </w:r>
          </w:p>
        </w:tc>
        <w:tc>
          <w:tcPr>
            <w:tcW w:w="807" w:type="pct"/>
            <w:vAlign w:val="center"/>
          </w:tcPr>
          <w:p w14:paraId="576C16CD" w14:textId="77777777" w:rsidR="00FE482F" w:rsidRPr="001B4B1E" w:rsidRDefault="00FE482F" w:rsidP="001B4B1E">
            <w:pPr>
              <w:jc w:val="left"/>
              <w:rPr>
                <w:sz w:val="15"/>
                <w:szCs w:val="16"/>
              </w:rPr>
            </w:pPr>
            <w:r w:rsidRPr="001B4B1E">
              <w:rPr>
                <w:sz w:val="15"/>
                <w:szCs w:val="16"/>
              </w:rPr>
              <w:t>-.274</w:t>
            </w:r>
          </w:p>
        </w:tc>
        <w:tc>
          <w:tcPr>
            <w:tcW w:w="803" w:type="pct"/>
            <w:vAlign w:val="center"/>
          </w:tcPr>
          <w:p w14:paraId="68B39A33"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4D2F8DAA" w14:textId="77777777" w:rsidR="00FE482F" w:rsidRPr="001B4B1E" w:rsidRDefault="00FE482F" w:rsidP="001B4B1E">
            <w:pPr>
              <w:jc w:val="left"/>
              <w:rPr>
                <w:sz w:val="15"/>
                <w:szCs w:val="16"/>
              </w:rPr>
            </w:pPr>
            <w:r w:rsidRPr="001B4B1E">
              <w:rPr>
                <w:sz w:val="15"/>
                <w:szCs w:val="16"/>
              </w:rPr>
              <w:t>-.360</w:t>
            </w:r>
          </w:p>
        </w:tc>
        <w:tc>
          <w:tcPr>
            <w:tcW w:w="538" w:type="pct"/>
            <w:vAlign w:val="center"/>
          </w:tcPr>
          <w:p w14:paraId="345A8541" w14:textId="77777777" w:rsidR="00FE482F" w:rsidRPr="001B4B1E" w:rsidRDefault="00FE482F" w:rsidP="001B4B1E">
            <w:pPr>
              <w:jc w:val="left"/>
              <w:rPr>
                <w:sz w:val="15"/>
                <w:szCs w:val="16"/>
              </w:rPr>
            </w:pPr>
            <w:r w:rsidRPr="001B4B1E">
              <w:rPr>
                <w:sz w:val="15"/>
                <w:szCs w:val="16"/>
              </w:rPr>
              <w:t>-.183</w:t>
            </w:r>
          </w:p>
        </w:tc>
      </w:tr>
      <w:tr w:rsidR="00FE482F" w:rsidRPr="001B4B1E" w14:paraId="400DD2FB" w14:textId="77777777" w:rsidTr="001B4B1E">
        <w:tc>
          <w:tcPr>
            <w:tcW w:w="912" w:type="pct"/>
            <w:vMerge/>
            <w:vAlign w:val="center"/>
          </w:tcPr>
          <w:p w14:paraId="76EC5CB7" w14:textId="77777777" w:rsidR="00FE482F" w:rsidRPr="001B4B1E" w:rsidRDefault="00FE482F" w:rsidP="001B4B1E">
            <w:pPr>
              <w:jc w:val="left"/>
              <w:rPr>
                <w:b/>
                <w:bCs/>
                <w:sz w:val="15"/>
                <w:szCs w:val="16"/>
              </w:rPr>
            </w:pPr>
          </w:p>
        </w:tc>
        <w:tc>
          <w:tcPr>
            <w:tcW w:w="1404" w:type="pct"/>
            <w:vAlign w:val="center"/>
          </w:tcPr>
          <w:p w14:paraId="64ADCEB7" w14:textId="77777777" w:rsidR="00FE482F" w:rsidRPr="001B4B1E" w:rsidRDefault="00FE482F" w:rsidP="001B4B1E">
            <w:pPr>
              <w:jc w:val="left"/>
              <w:rPr>
                <w:sz w:val="15"/>
                <w:szCs w:val="16"/>
              </w:rPr>
            </w:pPr>
            <w:r w:rsidRPr="001B4B1E">
              <w:rPr>
                <w:sz w:val="15"/>
                <w:szCs w:val="16"/>
              </w:rPr>
              <w:t>PHQ9 total</w:t>
            </w:r>
          </w:p>
        </w:tc>
        <w:tc>
          <w:tcPr>
            <w:tcW w:w="807" w:type="pct"/>
            <w:vAlign w:val="center"/>
          </w:tcPr>
          <w:p w14:paraId="7AE03498" w14:textId="77777777" w:rsidR="00FE482F" w:rsidRPr="001B4B1E" w:rsidRDefault="00FE482F" w:rsidP="001B4B1E">
            <w:pPr>
              <w:jc w:val="left"/>
              <w:rPr>
                <w:sz w:val="15"/>
                <w:szCs w:val="16"/>
              </w:rPr>
            </w:pPr>
            <w:r w:rsidRPr="001B4B1E">
              <w:rPr>
                <w:sz w:val="15"/>
                <w:szCs w:val="16"/>
              </w:rPr>
              <w:t>-.439</w:t>
            </w:r>
          </w:p>
        </w:tc>
        <w:tc>
          <w:tcPr>
            <w:tcW w:w="803" w:type="pct"/>
            <w:vAlign w:val="center"/>
          </w:tcPr>
          <w:p w14:paraId="064E9D90"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10FF57FC" w14:textId="77777777" w:rsidR="00FE482F" w:rsidRPr="001B4B1E" w:rsidRDefault="00FE482F" w:rsidP="001B4B1E">
            <w:pPr>
              <w:jc w:val="left"/>
              <w:rPr>
                <w:sz w:val="15"/>
                <w:szCs w:val="16"/>
              </w:rPr>
            </w:pPr>
            <w:r w:rsidRPr="001B4B1E">
              <w:rPr>
                <w:sz w:val="15"/>
                <w:szCs w:val="16"/>
              </w:rPr>
              <w:t>-.512</w:t>
            </w:r>
          </w:p>
        </w:tc>
        <w:tc>
          <w:tcPr>
            <w:tcW w:w="538" w:type="pct"/>
            <w:vAlign w:val="center"/>
          </w:tcPr>
          <w:p w14:paraId="2EDF1AA4" w14:textId="77777777" w:rsidR="00FE482F" w:rsidRPr="001B4B1E" w:rsidRDefault="00FE482F" w:rsidP="001B4B1E">
            <w:pPr>
              <w:jc w:val="left"/>
              <w:rPr>
                <w:sz w:val="15"/>
                <w:szCs w:val="16"/>
              </w:rPr>
            </w:pPr>
            <w:r w:rsidRPr="001B4B1E">
              <w:rPr>
                <w:sz w:val="15"/>
                <w:szCs w:val="16"/>
              </w:rPr>
              <w:t>-.358</w:t>
            </w:r>
          </w:p>
        </w:tc>
      </w:tr>
      <w:tr w:rsidR="00FE482F" w:rsidRPr="001B4B1E" w14:paraId="72891018" w14:textId="77777777" w:rsidTr="001B4B1E">
        <w:tc>
          <w:tcPr>
            <w:tcW w:w="912" w:type="pct"/>
            <w:vMerge/>
            <w:vAlign w:val="center"/>
          </w:tcPr>
          <w:p w14:paraId="6D63B302" w14:textId="77777777" w:rsidR="00FE482F" w:rsidRPr="001B4B1E" w:rsidRDefault="00FE482F" w:rsidP="001B4B1E">
            <w:pPr>
              <w:jc w:val="left"/>
              <w:rPr>
                <w:b/>
                <w:bCs/>
                <w:sz w:val="15"/>
                <w:szCs w:val="16"/>
              </w:rPr>
            </w:pPr>
          </w:p>
        </w:tc>
        <w:tc>
          <w:tcPr>
            <w:tcW w:w="1404" w:type="pct"/>
            <w:vAlign w:val="center"/>
          </w:tcPr>
          <w:p w14:paraId="24D74D0A" w14:textId="77777777" w:rsidR="00FE482F" w:rsidRPr="001B4B1E" w:rsidRDefault="00FE482F" w:rsidP="001B4B1E">
            <w:pPr>
              <w:jc w:val="left"/>
              <w:rPr>
                <w:sz w:val="15"/>
                <w:szCs w:val="16"/>
              </w:rPr>
            </w:pPr>
            <w:r w:rsidRPr="001B4B1E">
              <w:rPr>
                <w:sz w:val="15"/>
                <w:szCs w:val="16"/>
              </w:rPr>
              <w:t>WSAS total</w:t>
            </w:r>
          </w:p>
        </w:tc>
        <w:tc>
          <w:tcPr>
            <w:tcW w:w="807" w:type="pct"/>
            <w:vAlign w:val="center"/>
          </w:tcPr>
          <w:p w14:paraId="72B32F1A" w14:textId="77777777" w:rsidR="00FE482F" w:rsidRPr="001B4B1E" w:rsidRDefault="00FE482F" w:rsidP="001B4B1E">
            <w:pPr>
              <w:jc w:val="left"/>
              <w:rPr>
                <w:sz w:val="15"/>
                <w:szCs w:val="16"/>
              </w:rPr>
            </w:pPr>
            <w:r w:rsidRPr="001B4B1E">
              <w:rPr>
                <w:sz w:val="15"/>
                <w:szCs w:val="16"/>
              </w:rPr>
              <w:t>-.363</w:t>
            </w:r>
          </w:p>
        </w:tc>
        <w:tc>
          <w:tcPr>
            <w:tcW w:w="803" w:type="pct"/>
            <w:vAlign w:val="center"/>
          </w:tcPr>
          <w:p w14:paraId="5F22FAAB"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5BF766A2" w14:textId="77777777" w:rsidR="00FE482F" w:rsidRPr="001B4B1E" w:rsidRDefault="00FE482F" w:rsidP="001B4B1E">
            <w:pPr>
              <w:jc w:val="left"/>
              <w:rPr>
                <w:sz w:val="15"/>
                <w:szCs w:val="16"/>
              </w:rPr>
            </w:pPr>
            <w:r w:rsidRPr="001B4B1E">
              <w:rPr>
                <w:sz w:val="15"/>
                <w:szCs w:val="16"/>
              </w:rPr>
              <w:t>-.443</w:t>
            </w:r>
          </w:p>
        </w:tc>
        <w:tc>
          <w:tcPr>
            <w:tcW w:w="538" w:type="pct"/>
            <w:vAlign w:val="center"/>
          </w:tcPr>
          <w:p w14:paraId="3D294000" w14:textId="77777777" w:rsidR="00FE482F" w:rsidRPr="001B4B1E" w:rsidRDefault="00FE482F" w:rsidP="001B4B1E">
            <w:pPr>
              <w:jc w:val="left"/>
              <w:rPr>
                <w:sz w:val="15"/>
                <w:szCs w:val="16"/>
              </w:rPr>
            </w:pPr>
            <w:r w:rsidRPr="001B4B1E">
              <w:rPr>
                <w:sz w:val="15"/>
                <w:szCs w:val="16"/>
              </w:rPr>
              <w:t>-.277</w:t>
            </w:r>
          </w:p>
        </w:tc>
      </w:tr>
      <w:tr w:rsidR="00FE482F" w:rsidRPr="001B4B1E" w14:paraId="514B7585" w14:textId="77777777" w:rsidTr="001B4B1E">
        <w:tc>
          <w:tcPr>
            <w:tcW w:w="912" w:type="pct"/>
            <w:vMerge/>
            <w:vAlign w:val="center"/>
          </w:tcPr>
          <w:p w14:paraId="0F3B6F98" w14:textId="77777777" w:rsidR="00FE482F" w:rsidRPr="001B4B1E" w:rsidRDefault="00FE482F" w:rsidP="001B4B1E">
            <w:pPr>
              <w:jc w:val="left"/>
              <w:rPr>
                <w:b/>
                <w:bCs/>
                <w:sz w:val="15"/>
                <w:szCs w:val="16"/>
              </w:rPr>
            </w:pPr>
          </w:p>
        </w:tc>
        <w:tc>
          <w:tcPr>
            <w:tcW w:w="1404" w:type="pct"/>
            <w:vAlign w:val="center"/>
          </w:tcPr>
          <w:p w14:paraId="7634CBE5" w14:textId="77777777" w:rsidR="00FE482F" w:rsidRPr="001B4B1E" w:rsidRDefault="00FE482F" w:rsidP="001B4B1E">
            <w:pPr>
              <w:jc w:val="left"/>
              <w:rPr>
                <w:sz w:val="15"/>
                <w:szCs w:val="16"/>
              </w:rPr>
            </w:pPr>
            <w:r w:rsidRPr="001B4B1E">
              <w:rPr>
                <w:sz w:val="15"/>
                <w:szCs w:val="16"/>
              </w:rPr>
              <w:t>PCL5 total</w:t>
            </w:r>
          </w:p>
        </w:tc>
        <w:tc>
          <w:tcPr>
            <w:tcW w:w="807" w:type="pct"/>
            <w:vAlign w:val="center"/>
          </w:tcPr>
          <w:p w14:paraId="627EFA70" w14:textId="77777777" w:rsidR="00FE482F" w:rsidRPr="001B4B1E" w:rsidRDefault="00FE482F" w:rsidP="001B4B1E">
            <w:pPr>
              <w:jc w:val="left"/>
              <w:rPr>
                <w:sz w:val="15"/>
                <w:szCs w:val="16"/>
              </w:rPr>
            </w:pPr>
            <w:r w:rsidRPr="001B4B1E">
              <w:rPr>
                <w:sz w:val="15"/>
                <w:szCs w:val="16"/>
              </w:rPr>
              <w:t>-.399</w:t>
            </w:r>
          </w:p>
        </w:tc>
        <w:tc>
          <w:tcPr>
            <w:tcW w:w="803" w:type="pct"/>
            <w:vAlign w:val="center"/>
          </w:tcPr>
          <w:p w14:paraId="3C5A8A68"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87C8AF3" w14:textId="77777777" w:rsidR="00FE482F" w:rsidRPr="001B4B1E" w:rsidRDefault="00FE482F" w:rsidP="001B4B1E">
            <w:pPr>
              <w:jc w:val="left"/>
              <w:rPr>
                <w:sz w:val="15"/>
                <w:szCs w:val="16"/>
              </w:rPr>
            </w:pPr>
            <w:r w:rsidRPr="001B4B1E">
              <w:rPr>
                <w:sz w:val="15"/>
                <w:szCs w:val="16"/>
              </w:rPr>
              <w:t>-.476</w:t>
            </w:r>
          </w:p>
        </w:tc>
        <w:tc>
          <w:tcPr>
            <w:tcW w:w="538" w:type="pct"/>
            <w:vAlign w:val="center"/>
          </w:tcPr>
          <w:p w14:paraId="5CEB7DF1" w14:textId="77777777" w:rsidR="00FE482F" w:rsidRPr="001B4B1E" w:rsidRDefault="00FE482F" w:rsidP="001B4B1E">
            <w:pPr>
              <w:jc w:val="left"/>
              <w:rPr>
                <w:sz w:val="15"/>
                <w:szCs w:val="16"/>
              </w:rPr>
            </w:pPr>
            <w:r w:rsidRPr="001B4B1E">
              <w:rPr>
                <w:sz w:val="15"/>
                <w:szCs w:val="16"/>
              </w:rPr>
              <w:t>-.316</w:t>
            </w:r>
          </w:p>
        </w:tc>
      </w:tr>
      <w:tr w:rsidR="00FE482F" w:rsidRPr="001B4B1E" w14:paraId="2D226DED" w14:textId="77777777" w:rsidTr="001B4B1E">
        <w:tc>
          <w:tcPr>
            <w:tcW w:w="912" w:type="pct"/>
            <w:vMerge/>
            <w:vAlign w:val="center"/>
          </w:tcPr>
          <w:p w14:paraId="56E84987" w14:textId="77777777" w:rsidR="00FE482F" w:rsidRPr="001B4B1E" w:rsidRDefault="00FE482F" w:rsidP="001B4B1E">
            <w:pPr>
              <w:jc w:val="left"/>
              <w:rPr>
                <w:b/>
                <w:bCs/>
                <w:sz w:val="15"/>
                <w:szCs w:val="16"/>
              </w:rPr>
            </w:pPr>
          </w:p>
        </w:tc>
        <w:tc>
          <w:tcPr>
            <w:tcW w:w="1404" w:type="pct"/>
            <w:vAlign w:val="center"/>
          </w:tcPr>
          <w:p w14:paraId="2859B48F" w14:textId="77777777" w:rsidR="00FE482F" w:rsidRPr="001B4B1E" w:rsidRDefault="00FE482F" w:rsidP="001B4B1E">
            <w:pPr>
              <w:jc w:val="left"/>
              <w:rPr>
                <w:sz w:val="15"/>
                <w:szCs w:val="16"/>
              </w:rPr>
            </w:pPr>
            <w:r w:rsidRPr="001B4B1E">
              <w:rPr>
                <w:sz w:val="15"/>
                <w:szCs w:val="16"/>
              </w:rPr>
              <w:t>UCS total</w:t>
            </w:r>
          </w:p>
        </w:tc>
        <w:tc>
          <w:tcPr>
            <w:tcW w:w="807" w:type="pct"/>
            <w:vAlign w:val="center"/>
          </w:tcPr>
          <w:p w14:paraId="147096BD" w14:textId="77777777" w:rsidR="00FE482F" w:rsidRPr="001B4B1E" w:rsidRDefault="00FE482F" w:rsidP="001B4B1E">
            <w:pPr>
              <w:jc w:val="left"/>
              <w:rPr>
                <w:sz w:val="15"/>
                <w:szCs w:val="16"/>
              </w:rPr>
            </w:pPr>
            <w:r w:rsidRPr="001B4B1E">
              <w:rPr>
                <w:sz w:val="15"/>
                <w:szCs w:val="16"/>
              </w:rPr>
              <w:t>-.210</w:t>
            </w:r>
          </w:p>
        </w:tc>
        <w:tc>
          <w:tcPr>
            <w:tcW w:w="803" w:type="pct"/>
            <w:vAlign w:val="center"/>
          </w:tcPr>
          <w:p w14:paraId="3E537A65"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38B5533" w14:textId="77777777" w:rsidR="00FE482F" w:rsidRPr="001B4B1E" w:rsidRDefault="00FE482F" w:rsidP="001B4B1E">
            <w:pPr>
              <w:jc w:val="left"/>
              <w:rPr>
                <w:sz w:val="15"/>
                <w:szCs w:val="16"/>
              </w:rPr>
            </w:pPr>
            <w:r w:rsidRPr="001B4B1E">
              <w:rPr>
                <w:sz w:val="15"/>
                <w:szCs w:val="16"/>
              </w:rPr>
              <w:t>-.299</w:t>
            </w:r>
          </w:p>
        </w:tc>
        <w:tc>
          <w:tcPr>
            <w:tcW w:w="538" w:type="pct"/>
            <w:vAlign w:val="center"/>
          </w:tcPr>
          <w:p w14:paraId="33505D92" w14:textId="77777777" w:rsidR="00FE482F" w:rsidRPr="001B4B1E" w:rsidRDefault="00FE482F" w:rsidP="001B4B1E">
            <w:pPr>
              <w:jc w:val="left"/>
              <w:rPr>
                <w:sz w:val="15"/>
                <w:szCs w:val="16"/>
              </w:rPr>
            </w:pPr>
            <w:r w:rsidRPr="001B4B1E">
              <w:rPr>
                <w:sz w:val="15"/>
                <w:szCs w:val="16"/>
              </w:rPr>
              <w:t>-.117</w:t>
            </w:r>
          </w:p>
        </w:tc>
      </w:tr>
      <w:tr w:rsidR="00FE482F" w:rsidRPr="001B4B1E" w14:paraId="45068365" w14:textId="77777777" w:rsidTr="001B4B1E">
        <w:tc>
          <w:tcPr>
            <w:tcW w:w="912" w:type="pct"/>
            <w:vMerge/>
            <w:vAlign w:val="center"/>
          </w:tcPr>
          <w:p w14:paraId="1CDFE64E" w14:textId="77777777" w:rsidR="00FE482F" w:rsidRPr="001B4B1E" w:rsidRDefault="00FE482F" w:rsidP="001B4B1E">
            <w:pPr>
              <w:jc w:val="left"/>
              <w:rPr>
                <w:b/>
                <w:bCs/>
                <w:sz w:val="15"/>
                <w:szCs w:val="16"/>
              </w:rPr>
            </w:pPr>
          </w:p>
        </w:tc>
        <w:tc>
          <w:tcPr>
            <w:tcW w:w="1404" w:type="pct"/>
            <w:vAlign w:val="center"/>
          </w:tcPr>
          <w:p w14:paraId="54930392" w14:textId="77777777" w:rsidR="00FE482F" w:rsidRPr="001B4B1E" w:rsidRDefault="00FE482F" w:rsidP="001B4B1E">
            <w:pPr>
              <w:jc w:val="left"/>
              <w:rPr>
                <w:sz w:val="15"/>
                <w:szCs w:val="16"/>
              </w:rPr>
            </w:pPr>
            <w:r w:rsidRPr="001B4B1E">
              <w:rPr>
                <w:sz w:val="15"/>
                <w:szCs w:val="16"/>
              </w:rPr>
              <w:t>WSAS – Ability to work</w:t>
            </w:r>
          </w:p>
        </w:tc>
        <w:tc>
          <w:tcPr>
            <w:tcW w:w="807" w:type="pct"/>
            <w:vAlign w:val="center"/>
          </w:tcPr>
          <w:p w14:paraId="26FCCB96" w14:textId="77777777" w:rsidR="00FE482F" w:rsidRPr="001B4B1E" w:rsidRDefault="00FE482F" w:rsidP="001B4B1E">
            <w:pPr>
              <w:jc w:val="left"/>
              <w:rPr>
                <w:sz w:val="15"/>
                <w:szCs w:val="16"/>
              </w:rPr>
            </w:pPr>
            <w:r w:rsidRPr="001B4B1E">
              <w:rPr>
                <w:sz w:val="15"/>
                <w:szCs w:val="16"/>
              </w:rPr>
              <w:t>-.143</w:t>
            </w:r>
          </w:p>
        </w:tc>
        <w:tc>
          <w:tcPr>
            <w:tcW w:w="803" w:type="pct"/>
            <w:vAlign w:val="center"/>
          </w:tcPr>
          <w:p w14:paraId="4B1B0146" w14:textId="77777777" w:rsidR="00FE482F" w:rsidRPr="001B4B1E" w:rsidRDefault="00FE482F" w:rsidP="001B4B1E">
            <w:pPr>
              <w:jc w:val="left"/>
              <w:rPr>
                <w:sz w:val="15"/>
                <w:szCs w:val="16"/>
              </w:rPr>
            </w:pPr>
            <w:r w:rsidRPr="001B4B1E">
              <w:rPr>
                <w:sz w:val="15"/>
                <w:szCs w:val="16"/>
              </w:rPr>
              <w:t>.002</w:t>
            </w:r>
          </w:p>
        </w:tc>
        <w:tc>
          <w:tcPr>
            <w:tcW w:w="536" w:type="pct"/>
            <w:vAlign w:val="center"/>
          </w:tcPr>
          <w:p w14:paraId="660CB4B7" w14:textId="77777777" w:rsidR="00FE482F" w:rsidRPr="001B4B1E" w:rsidRDefault="00FE482F" w:rsidP="001B4B1E">
            <w:pPr>
              <w:jc w:val="left"/>
              <w:rPr>
                <w:sz w:val="15"/>
                <w:szCs w:val="16"/>
              </w:rPr>
            </w:pPr>
            <w:r w:rsidRPr="001B4B1E">
              <w:rPr>
                <w:sz w:val="15"/>
                <w:szCs w:val="16"/>
              </w:rPr>
              <w:t>-.235</w:t>
            </w:r>
          </w:p>
        </w:tc>
        <w:tc>
          <w:tcPr>
            <w:tcW w:w="538" w:type="pct"/>
            <w:vAlign w:val="center"/>
          </w:tcPr>
          <w:p w14:paraId="107DCBF7" w14:textId="77777777" w:rsidR="00FE482F" w:rsidRPr="001B4B1E" w:rsidRDefault="00FE482F" w:rsidP="001B4B1E">
            <w:pPr>
              <w:jc w:val="left"/>
              <w:rPr>
                <w:sz w:val="15"/>
                <w:szCs w:val="16"/>
              </w:rPr>
            </w:pPr>
            <w:r w:rsidRPr="001B4B1E">
              <w:rPr>
                <w:sz w:val="15"/>
                <w:szCs w:val="16"/>
              </w:rPr>
              <w:t>-.048</w:t>
            </w:r>
          </w:p>
        </w:tc>
      </w:tr>
      <w:tr w:rsidR="00FE482F" w:rsidRPr="001B4B1E" w14:paraId="343EDCF6" w14:textId="77777777" w:rsidTr="001B4B1E">
        <w:tc>
          <w:tcPr>
            <w:tcW w:w="912" w:type="pct"/>
            <w:vMerge/>
            <w:vAlign w:val="center"/>
          </w:tcPr>
          <w:p w14:paraId="25EB8A2B" w14:textId="77777777" w:rsidR="00FE482F" w:rsidRPr="001B4B1E" w:rsidRDefault="00FE482F" w:rsidP="001B4B1E">
            <w:pPr>
              <w:jc w:val="left"/>
              <w:rPr>
                <w:b/>
                <w:bCs/>
                <w:sz w:val="15"/>
                <w:szCs w:val="16"/>
              </w:rPr>
            </w:pPr>
          </w:p>
        </w:tc>
        <w:tc>
          <w:tcPr>
            <w:tcW w:w="1404" w:type="pct"/>
            <w:vAlign w:val="center"/>
          </w:tcPr>
          <w:p w14:paraId="58204A3E" w14:textId="77777777" w:rsidR="00FE482F" w:rsidRPr="001B4B1E" w:rsidRDefault="00FE482F" w:rsidP="001B4B1E">
            <w:pPr>
              <w:jc w:val="left"/>
              <w:rPr>
                <w:sz w:val="15"/>
                <w:szCs w:val="16"/>
              </w:rPr>
            </w:pPr>
            <w:r w:rsidRPr="001B4B1E">
              <w:rPr>
                <w:sz w:val="15"/>
                <w:szCs w:val="16"/>
              </w:rPr>
              <w:t>WSAS - Home management</w:t>
            </w:r>
          </w:p>
        </w:tc>
        <w:tc>
          <w:tcPr>
            <w:tcW w:w="807" w:type="pct"/>
            <w:vAlign w:val="center"/>
          </w:tcPr>
          <w:p w14:paraId="69CD1652" w14:textId="77777777" w:rsidR="00FE482F" w:rsidRPr="001B4B1E" w:rsidRDefault="00FE482F" w:rsidP="001B4B1E">
            <w:pPr>
              <w:jc w:val="left"/>
              <w:rPr>
                <w:sz w:val="15"/>
                <w:szCs w:val="16"/>
              </w:rPr>
            </w:pPr>
            <w:r w:rsidRPr="001B4B1E">
              <w:rPr>
                <w:sz w:val="15"/>
                <w:szCs w:val="16"/>
              </w:rPr>
              <w:t>-.203</w:t>
            </w:r>
          </w:p>
        </w:tc>
        <w:tc>
          <w:tcPr>
            <w:tcW w:w="803" w:type="pct"/>
            <w:vAlign w:val="center"/>
          </w:tcPr>
          <w:p w14:paraId="7BDE33E8"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167A4F9C" w14:textId="77777777" w:rsidR="00FE482F" w:rsidRPr="001B4B1E" w:rsidRDefault="00FE482F" w:rsidP="001B4B1E">
            <w:pPr>
              <w:jc w:val="left"/>
              <w:rPr>
                <w:sz w:val="15"/>
                <w:szCs w:val="16"/>
              </w:rPr>
            </w:pPr>
            <w:r w:rsidRPr="001B4B1E">
              <w:rPr>
                <w:sz w:val="15"/>
                <w:szCs w:val="16"/>
              </w:rPr>
              <w:t>-.293</w:t>
            </w:r>
          </w:p>
        </w:tc>
        <w:tc>
          <w:tcPr>
            <w:tcW w:w="538" w:type="pct"/>
            <w:vAlign w:val="center"/>
          </w:tcPr>
          <w:p w14:paraId="6D4CBEC1" w14:textId="77777777" w:rsidR="00FE482F" w:rsidRPr="001B4B1E" w:rsidRDefault="00FE482F" w:rsidP="001B4B1E">
            <w:pPr>
              <w:jc w:val="left"/>
              <w:rPr>
                <w:sz w:val="15"/>
                <w:szCs w:val="16"/>
              </w:rPr>
            </w:pPr>
            <w:r w:rsidRPr="001B4B1E">
              <w:rPr>
                <w:sz w:val="15"/>
                <w:szCs w:val="16"/>
              </w:rPr>
              <w:t>-.110</w:t>
            </w:r>
          </w:p>
        </w:tc>
      </w:tr>
      <w:tr w:rsidR="00FE482F" w:rsidRPr="001B4B1E" w14:paraId="1A635A7B" w14:textId="77777777" w:rsidTr="001B4B1E">
        <w:tc>
          <w:tcPr>
            <w:tcW w:w="912" w:type="pct"/>
            <w:vMerge/>
            <w:vAlign w:val="center"/>
          </w:tcPr>
          <w:p w14:paraId="6AAFA41A" w14:textId="77777777" w:rsidR="00FE482F" w:rsidRPr="001B4B1E" w:rsidRDefault="00FE482F" w:rsidP="001B4B1E">
            <w:pPr>
              <w:jc w:val="left"/>
              <w:rPr>
                <w:b/>
                <w:bCs/>
                <w:sz w:val="15"/>
                <w:szCs w:val="16"/>
              </w:rPr>
            </w:pPr>
          </w:p>
        </w:tc>
        <w:tc>
          <w:tcPr>
            <w:tcW w:w="1404" w:type="pct"/>
            <w:vAlign w:val="center"/>
          </w:tcPr>
          <w:p w14:paraId="6F37785F" w14:textId="77777777" w:rsidR="00FE482F" w:rsidRPr="001B4B1E" w:rsidRDefault="00FE482F" w:rsidP="001B4B1E">
            <w:pPr>
              <w:jc w:val="left"/>
              <w:rPr>
                <w:sz w:val="15"/>
                <w:szCs w:val="16"/>
              </w:rPr>
            </w:pPr>
            <w:r w:rsidRPr="001B4B1E">
              <w:rPr>
                <w:sz w:val="15"/>
                <w:szCs w:val="16"/>
              </w:rPr>
              <w:t>WSAS – Social Leisure</w:t>
            </w:r>
          </w:p>
        </w:tc>
        <w:tc>
          <w:tcPr>
            <w:tcW w:w="807" w:type="pct"/>
            <w:vAlign w:val="center"/>
          </w:tcPr>
          <w:p w14:paraId="3E11C92D" w14:textId="77777777" w:rsidR="00FE482F" w:rsidRPr="001B4B1E" w:rsidRDefault="00FE482F" w:rsidP="001B4B1E">
            <w:pPr>
              <w:jc w:val="left"/>
              <w:rPr>
                <w:sz w:val="15"/>
                <w:szCs w:val="16"/>
              </w:rPr>
            </w:pPr>
            <w:r w:rsidRPr="001B4B1E">
              <w:rPr>
                <w:sz w:val="15"/>
                <w:szCs w:val="16"/>
              </w:rPr>
              <w:t>-.330</w:t>
            </w:r>
          </w:p>
        </w:tc>
        <w:tc>
          <w:tcPr>
            <w:tcW w:w="803" w:type="pct"/>
            <w:vAlign w:val="center"/>
          </w:tcPr>
          <w:p w14:paraId="4B5F9625"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D0FD844" w14:textId="77777777" w:rsidR="00FE482F" w:rsidRPr="001B4B1E" w:rsidRDefault="00FE482F" w:rsidP="001B4B1E">
            <w:pPr>
              <w:jc w:val="left"/>
              <w:rPr>
                <w:sz w:val="15"/>
                <w:szCs w:val="16"/>
              </w:rPr>
            </w:pPr>
            <w:r w:rsidRPr="001B4B1E">
              <w:rPr>
                <w:sz w:val="15"/>
                <w:szCs w:val="16"/>
              </w:rPr>
              <w:t>-.412</w:t>
            </w:r>
          </w:p>
        </w:tc>
        <w:tc>
          <w:tcPr>
            <w:tcW w:w="538" w:type="pct"/>
            <w:vAlign w:val="center"/>
          </w:tcPr>
          <w:p w14:paraId="53E885D7" w14:textId="77777777" w:rsidR="00FE482F" w:rsidRPr="001B4B1E" w:rsidRDefault="00FE482F" w:rsidP="001B4B1E">
            <w:pPr>
              <w:jc w:val="left"/>
              <w:rPr>
                <w:sz w:val="15"/>
                <w:szCs w:val="16"/>
              </w:rPr>
            </w:pPr>
            <w:r w:rsidRPr="001B4B1E">
              <w:rPr>
                <w:sz w:val="15"/>
                <w:szCs w:val="16"/>
              </w:rPr>
              <w:t>-.242</w:t>
            </w:r>
          </w:p>
        </w:tc>
      </w:tr>
      <w:tr w:rsidR="00FE482F" w:rsidRPr="001B4B1E" w14:paraId="254178BB" w14:textId="77777777" w:rsidTr="001B4B1E">
        <w:tc>
          <w:tcPr>
            <w:tcW w:w="912" w:type="pct"/>
            <w:vMerge/>
            <w:vAlign w:val="center"/>
          </w:tcPr>
          <w:p w14:paraId="7092DE32" w14:textId="77777777" w:rsidR="00FE482F" w:rsidRPr="001B4B1E" w:rsidRDefault="00FE482F" w:rsidP="001B4B1E">
            <w:pPr>
              <w:jc w:val="left"/>
              <w:rPr>
                <w:b/>
                <w:bCs/>
                <w:sz w:val="15"/>
                <w:szCs w:val="16"/>
              </w:rPr>
            </w:pPr>
          </w:p>
        </w:tc>
        <w:tc>
          <w:tcPr>
            <w:tcW w:w="1404" w:type="pct"/>
            <w:vAlign w:val="center"/>
          </w:tcPr>
          <w:p w14:paraId="4D63293C" w14:textId="77777777" w:rsidR="00FE482F" w:rsidRPr="001B4B1E" w:rsidRDefault="00FE482F" w:rsidP="001B4B1E">
            <w:pPr>
              <w:jc w:val="left"/>
              <w:rPr>
                <w:sz w:val="15"/>
                <w:szCs w:val="16"/>
              </w:rPr>
            </w:pPr>
            <w:r w:rsidRPr="001B4B1E">
              <w:rPr>
                <w:sz w:val="15"/>
                <w:szCs w:val="16"/>
              </w:rPr>
              <w:t>WSAS - Private Leisure</w:t>
            </w:r>
          </w:p>
        </w:tc>
        <w:tc>
          <w:tcPr>
            <w:tcW w:w="807" w:type="pct"/>
            <w:vAlign w:val="center"/>
          </w:tcPr>
          <w:p w14:paraId="7031D369" w14:textId="77777777" w:rsidR="00FE482F" w:rsidRPr="001B4B1E" w:rsidRDefault="00FE482F" w:rsidP="001B4B1E">
            <w:pPr>
              <w:jc w:val="left"/>
              <w:rPr>
                <w:sz w:val="15"/>
                <w:szCs w:val="16"/>
              </w:rPr>
            </w:pPr>
            <w:r w:rsidRPr="001B4B1E">
              <w:rPr>
                <w:sz w:val="15"/>
                <w:szCs w:val="16"/>
              </w:rPr>
              <w:t>-.270</w:t>
            </w:r>
          </w:p>
        </w:tc>
        <w:tc>
          <w:tcPr>
            <w:tcW w:w="803" w:type="pct"/>
            <w:vAlign w:val="center"/>
          </w:tcPr>
          <w:p w14:paraId="42886392"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0560BEC5" w14:textId="77777777" w:rsidR="00FE482F" w:rsidRPr="001B4B1E" w:rsidRDefault="00FE482F" w:rsidP="001B4B1E">
            <w:pPr>
              <w:jc w:val="left"/>
              <w:rPr>
                <w:sz w:val="15"/>
                <w:szCs w:val="16"/>
              </w:rPr>
            </w:pPr>
            <w:r w:rsidRPr="001B4B1E">
              <w:rPr>
                <w:sz w:val="15"/>
                <w:szCs w:val="16"/>
              </w:rPr>
              <w:t>-.356</w:t>
            </w:r>
          </w:p>
        </w:tc>
        <w:tc>
          <w:tcPr>
            <w:tcW w:w="538" w:type="pct"/>
            <w:vAlign w:val="center"/>
          </w:tcPr>
          <w:p w14:paraId="6B83402A" w14:textId="77777777" w:rsidR="00FE482F" w:rsidRPr="001B4B1E" w:rsidRDefault="00FE482F" w:rsidP="001B4B1E">
            <w:pPr>
              <w:jc w:val="left"/>
              <w:rPr>
                <w:sz w:val="15"/>
                <w:szCs w:val="16"/>
              </w:rPr>
            </w:pPr>
            <w:r w:rsidRPr="001B4B1E">
              <w:rPr>
                <w:sz w:val="15"/>
                <w:szCs w:val="16"/>
              </w:rPr>
              <w:t>-.180</w:t>
            </w:r>
          </w:p>
        </w:tc>
      </w:tr>
      <w:tr w:rsidR="00FE482F" w:rsidRPr="001B4B1E" w14:paraId="4DACBD3F" w14:textId="77777777" w:rsidTr="001B4B1E">
        <w:tc>
          <w:tcPr>
            <w:tcW w:w="912" w:type="pct"/>
            <w:vMerge/>
            <w:vAlign w:val="center"/>
          </w:tcPr>
          <w:p w14:paraId="5BC15FF2" w14:textId="77777777" w:rsidR="00FE482F" w:rsidRPr="001B4B1E" w:rsidRDefault="00FE482F" w:rsidP="001B4B1E">
            <w:pPr>
              <w:jc w:val="left"/>
              <w:rPr>
                <w:b/>
                <w:bCs/>
                <w:sz w:val="15"/>
                <w:szCs w:val="16"/>
              </w:rPr>
            </w:pPr>
          </w:p>
        </w:tc>
        <w:tc>
          <w:tcPr>
            <w:tcW w:w="1404" w:type="pct"/>
            <w:vAlign w:val="center"/>
          </w:tcPr>
          <w:p w14:paraId="248AA1BB" w14:textId="77777777" w:rsidR="00FE482F" w:rsidRPr="001B4B1E" w:rsidRDefault="00FE482F" w:rsidP="001B4B1E">
            <w:pPr>
              <w:jc w:val="left"/>
              <w:rPr>
                <w:sz w:val="15"/>
                <w:szCs w:val="16"/>
              </w:rPr>
            </w:pPr>
            <w:r w:rsidRPr="001B4B1E">
              <w:rPr>
                <w:sz w:val="15"/>
                <w:szCs w:val="16"/>
              </w:rPr>
              <w:t>WSAS - Relationships</w:t>
            </w:r>
          </w:p>
        </w:tc>
        <w:tc>
          <w:tcPr>
            <w:tcW w:w="807" w:type="pct"/>
            <w:vAlign w:val="center"/>
          </w:tcPr>
          <w:p w14:paraId="756B3C1A" w14:textId="77777777" w:rsidR="00FE482F" w:rsidRPr="001B4B1E" w:rsidRDefault="00FE482F" w:rsidP="001B4B1E">
            <w:pPr>
              <w:jc w:val="left"/>
              <w:rPr>
                <w:sz w:val="15"/>
                <w:szCs w:val="16"/>
              </w:rPr>
            </w:pPr>
            <w:r w:rsidRPr="001B4B1E">
              <w:rPr>
                <w:sz w:val="15"/>
                <w:szCs w:val="16"/>
              </w:rPr>
              <w:t>-.467</w:t>
            </w:r>
          </w:p>
        </w:tc>
        <w:tc>
          <w:tcPr>
            <w:tcW w:w="803" w:type="pct"/>
            <w:vAlign w:val="center"/>
          </w:tcPr>
          <w:p w14:paraId="2DEDA1FD"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106C3A29" w14:textId="77777777" w:rsidR="00FE482F" w:rsidRPr="001B4B1E" w:rsidRDefault="00FE482F" w:rsidP="001B4B1E">
            <w:pPr>
              <w:jc w:val="left"/>
              <w:rPr>
                <w:sz w:val="15"/>
                <w:szCs w:val="16"/>
              </w:rPr>
            </w:pPr>
            <w:r w:rsidRPr="001B4B1E">
              <w:rPr>
                <w:sz w:val="15"/>
                <w:szCs w:val="16"/>
              </w:rPr>
              <w:t>-.538</w:t>
            </w:r>
          </w:p>
        </w:tc>
        <w:tc>
          <w:tcPr>
            <w:tcW w:w="538" w:type="pct"/>
            <w:vAlign w:val="center"/>
          </w:tcPr>
          <w:p w14:paraId="22FFE2CE" w14:textId="77777777" w:rsidR="00FE482F" w:rsidRPr="001B4B1E" w:rsidRDefault="00FE482F" w:rsidP="001B4B1E">
            <w:pPr>
              <w:jc w:val="left"/>
              <w:rPr>
                <w:sz w:val="15"/>
                <w:szCs w:val="16"/>
              </w:rPr>
            </w:pPr>
            <w:r w:rsidRPr="001B4B1E">
              <w:rPr>
                <w:sz w:val="15"/>
                <w:szCs w:val="16"/>
              </w:rPr>
              <w:t>-.389</w:t>
            </w:r>
          </w:p>
        </w:tc>
      </w:tr>
      <w:tr w:rsidR="00FE482F" w:rsidRPr="001B4B1E" w14:paraId="214B53BE" w14:textId="77777777" w:rsidTr="001B4B1E">
        <w:tc>
          <w:tcPr>
            <w:tcW w:w="912" w:type="pct"/>
            <w:vMerge/>
            <w:vAlign w:val="center"/>
          </w:tcPr>
          <w:p w14:paraId="76E4ED81" w14:textId="77777777" w:rsidR="00FE482F" w:rsidRPr="001B4B1E" w:rsidRDefault="00FE482F" w:rsidP="001B4B1E">
            <w:pPr>
              <w:jc w:val="left"/>
              <w:rPr>
                <w:b/>
                <w:bCs/>
                <w:sz w:val="15"/>
                <w:szCs w:val="16"/>
              </w:rPr>
            </w:pPr>
          </w:p>
        </w:tc>
        <w:tc>
          <w:tcPr>
            <w:tcW w:w="1404" w:type="pct"/>
            <w:vAlign w:val="center"/>
          </w:tcPr>
          <w:p w14:paraId="477862FA" w14:textId="77777777" w:rsidR="00FE482F" w:rsidRPr="001B4B1E" w:rsidRDefault="00FE482F" w:rsidP="001B4B1E">
            <w:pPr>
              <w:jc w:val="left"/>
              <w:rPr>
                <w:sz w:val="15"/>
                <w:szCs w:val="16"/>
              </w:rPr>
            </w:pPr>
            <w:r w:rsidRPr="001B4B1E">
              <w:rPr>
                <w:sz w:val="15"/>
                <w:szCs w:val="16"/>
              </w:rPr>
              <w:t>UCS_1</w:t>
            </w:r>
          </w:p>
        </w:tc>
        <w:tc>
          <w:tcPr>
            <w:tcW w:w="807" w:type="pct"/>
            <w:vAlign w:val="center"/>
          </w:tcPr>
          <w:p w14:paraId="7079E70F" w14:textId="77777777" w:rsidR="00FE482F" w:rsidRPr="001B4B1E" w:rsidRDefault="00FE482F" w:rsidP="001B4B1E">
            <w:pPr>
              <w:jc w:val="left"/>
              <w:rPr>
                <w:sz w:val="15"/>
                <w:szCs w:val="16"/>
              </w:rPr>
            </w:pPr>
            <w:r w:rsidRPr="001B4B1E">
              <w:rPr>
                <w:sz w:val="15"/>
                <w:szCs w:val="16"/>
              </w:rPr>
              <w:t>-.180</w:t>
            </w:r>
          </w:p>
        </w:tc>
        <w:tc>
          <w:tcPr>
            <w:tcW w:w="803" w:type="pct"/>
            <w:vAlign w:val="center"/>
          </w:tcPr>
          <w:p w14:paraId="0FA22D47"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5BAFB5F6" w14:textId="77777777" w:rsidR="00FE482F" w:rsidRPr="001B4B1E" w:rsidRDefault="00FE482F" w:rsidP="001B4B1E">
            <w:pPr>
              <w:jc w:val="left"/>
              <w:rPr>
                <w:sz w:val="15"/>
                <w:szCs w:val="16"/>
              </w:rPr>
            </w:pPr>
            <w:r w:rsidRPr="001B4B1E">
              <w:rPr>
                <w:sz w:val="15"/>
                <w:szCs w:val="16"/>
              </w:rPr>
              <w:t>-.270</w:t>
            </w:r>
          </w:p>
        </w:tc>
        <w:tc>
          <w:tcPr>
            <w:tcW w:w="538" w:type="pct"/>
            <w:vAlign w:val="center"/>
          </w:tcPr>
          <w:p w14:paraId="7EE48EE8" w14:textId="77777777" w:rsidR="00FE482F" w:rsidRPr="001B4B1E" w:rsidRDefault="00FE482F" w:rsidP="001B4B1E">
            <w:pPr>
              <w:jc w:val="left"/>
              <w:rPr>
                <w:sz w:val="15"/>
                <w:szCs w:val="16"/>
              </w:rPr>
            </w:pPr>
            <w:r w:rsidRPr="001B4B1E">
              <w:rPr>
                <w:sz w:val="15"/>
                <w:szCs w:val="16"/>
              </w:rPr>
              <w:t>-.086</w:t>
            </w:r>
          </w:p>
        </w:tc>
      </w:tr>
      <w:tr w:rsidR="00FE482F" w:rsidRPr="001B4B1E" w14:paraId="079FB287" w14:textId="77777777" w:rsidTr="001B4B1E">
        <w:tc>
          <w:tcPr>
            <w:tcW w:w="912" w:type="pct"/>
            <w:vMerge/>
            <w:vAlign w:val="center"/>
          </w:tcPr>
          <w:p w14:paraId="61D8646E" w14:textId="77777777" w:rsidR="00FE482F" w:rsidRPr="001B4B1E" w:rsidRDefault="00FE482F" w:rsidP="001B4B1E">
            <w:pPr>
              <w:jc w:val="left"/>
              <w:rPr>
                <w:b/>
                <w:bCs/>
                <w:sz w:val="15"/>
                <w:szCs w:val="16"/>
              </w:rPr>
            </w:pPr>
          </w:p>
        </w:tc>
        <w:tc>
          <w:tcPr>
            <w:tcW w:w="1404" w:type="pct"/>
            <w:vAlign w:val="center"/>
          </w:tcPr>
          <w:p w14:paraId="4591C9F2" w14:textId="77777777" w:rsidR="00FE482F" w:rsidRPr="001B4B1E" w:rsidRDefault="00FE482F" w:rsidP="001B4B1E">
            <w:pPr>
              <w:jc w:val="left"/>
              <w:rPr>
                <w:sz w:val="15"/>
                <w:szCs w:val="16"/>
              </w:rPr>
            </w:pPr>
            <w:r w:rsidRPr="001B4B1E">
              <w:rPr>
                <w:sz w:val="15"/>
                <w:szCs w:val="16"/>
              </w:rPr>
              <w:t>UCS_2</w:t>
            </w:r>
          </w:p>
        </w:tc>
        <w:tc>
          <w:tcPr>
            <w:tcW w:w="807" w:type="pct"/>
            <w:vAlign w:val="center"/>
          </w:tcPr>
          <w:p w14:paraId="04FD17AB" w14:textId="77777777" w:rsidR="00FE482F" w:rsidRPr="001B4B1E" w:rsidRDefault="00FE482F" w:rsidP="001B4B1E">
            <w:pPr>
              <w:jc w:val="left"/>
              <w:rPr>
                <w:sz w:val="15"/>
                <w:szCs w:val="16"/>
              </w:rPr>
            </w:pPr>
            <w:r w:rsidRPr="001B4B1E">
              <w:rPr>
                <w:sz w:val="15"/>
                <w:szCs w:val="16"/>
              </w:rPr>
              <w:t>-.059</w:t>
            </w:r>
          </w:p>
        </w:tc>
        <w:tc>
          <w:tcPr>
            <w:tcW w:w="803" w:type="pct"/>
            <w:vAlign w:val="center"/>
          </w:tcPr>
          <w:p w14:paraId="7C81AAEC" w14:textId="77777777" w:rsidR="00FE482F" w:rsidRPr="001B4B1E" w:rsidRDefault="00FE482F" w:rsidP="001B4B1E">
            <w:pPr>
              <w:jc w:val="left"/>
              <w:rPr>
                <w:sz w:val="15"/>
                <w:szCs w:val="16"/>
              </w:rPr>
            </w:pPr>
            <w:r w:rsidRPr="001B4B1E">
              <w:rPr>
                <w:sz w:val="15"/>
                <w:szCs w:val="16"/>
              </w:rPr>
              <w:t>0.208</w:t>
            </w:r>
          </w:p>
        </w:tc>
        <w:tc>
          <w:tcPr>
            <w:tcW w:w="536" w:type="pct"/>
            <w:vAlign w:val="center"/>
          </w:tcPr>
          <w:p w14:paraId="15871B98" w14:textId="77777777" w:rsidR="00FE482F" w:rsidRPr="001B4B1E" w:rsidRDefault="00FE482F" w:rsidP="001B4B1E">
            <w:pPr>
              <w:jc w:val="left"/>
              <w:rPr>
                <w:sz w:val="15"/>
                <w:szCs w:val="16"/>
              </w:rPr>
            </w:pPr>
            <w:r w:rsidRPr="001B4B1E">
              <w:rPr>
                <w:sz w:val="15"/>
                <w:szCs w:val="16"/>
              </w:rPr>
              <w:t>-.154</w:t>
            </w:r>
          </w:p>
        </w:tc>
        <w:tc>
          <w:tcPr>
            <w:tcW w:w="538" w:type="pct"/>
            <w:vAlign w:val="center"/>
          </w:tcPr>
          <w:p w14:paraId="7B3A536F" w14:textId="77777777" w:rsidR="00FE482F" w:rsidRPr="001B4B1E" w:rsidRDefault="00FE482F" w:rsidP="001B4B1E">
            <w:pPr>
              <w:jc w:val="left"/>
              <w:rPr>
                <w:sz w:val="15"/>
                <w:szCs w:val="16"/>
              </w:rPr>
            </w:pPr>
            <w:r w:rsidRPr="001B4B1E">
              <w:rPr>
                <w:sz w:val="15"/>
                <w:szCs w:val="16"/>
              </w:rPr>
              <w:t>.036</w:t>
            </w:r>
          </w:p>
        </w:tc>
      </w:tr>
      <w:tr w:rsidR="00FE482F" w:rsidRPr="001B4B1E" w14:paraId="27EFFF17" w14:textId="77777777" w:rsidTr="001B4B1E">
        <w:tc>
          <w:tcPr>
            <w:tcW w:w="912" w:type="pct"/>
            <w:vMerge/>
            <w:vAlign w:val="center"/>
          </w:tcPr>
          <w:p w14:paraId="1490996C" w14:textId="77777777" w:rsidR="00FE482F" w:rsidRPr="001B4B1E" w:rsidRDefault="00FE482F" w:rsidP="001B4B1E">
            <w:pPr>
              <w:jc w:val="left"/>
              <w:rPr>
                <w:b/>
                <w:bCs/>
                <w:sz w:val="15"/>
                <w:szCs w:val="16"/>
              </w:rPr>
            </w:pPr>
          </w:p>
        </w:tc>
        <w:tc>
          <w:tcPr>
            <w:tcW w:w="1404" w:type="pct"/>
            <w:vAlign w:val="center"/>
          </w:tcPr>
          <w:p w14:paraId="0A5A7671" w14:textId="77777777" w:rsidR="00FE482F" w:rsidRPr="001B4B1E" w:rsidRDefault="00FE482F" w:rsidP="001B4B1E">
            <w:pPr>
              <w:jc w:val="left"/>
              <w:rPr>
                <w:sz w:val="15"/>
                <w:szCs w:val="16"/>
              </w:rPr>
            </w:pPr>
            <w:r w:rsidRPr="001B4B1E">
              <w:rPr>
                <w:sz w:val="15"/>
                <w:szCs w:val="16"/>
              </w:rPr>
              <w:t>UCS_3</w:t>
            </w:r>
          </w:p>
        </w:tc>
        <w:tc>
          <w:tcPr>
            <w:tcW w:w="807" w:type="pct"/>
            <w:vAlign w:val="center"/>
          </w:tcPr>
          <w:p w14:paraId="4B7E74FD" w14:textId="77777777" w:rsidR="00FE482F" w:rsidRPr="001B4B1E" w:rsidRDefault="00FE482F" w:rsidP="001B4B1E">
            <w:pPr>
              <w:jc w:val="left"/>
              <w:rPr>
                <w:sz w:val="15"/>
                <w:szCs w:val="16"/>
              </w:rPr>
            </w:pPr>
            <w:r w:rsidRPr="001B4B1E">
              <w:rPr>
                <w:sz w:val="15"/>
                <w:szCs w:val="16"/>
              </w:rPr>
              <w:t>-.087</w:t>
            </w:r>
          </w:p>
        </w:tc>
        <w:tc>
          <w:tcPr>
            <w:tcW w:w="803" w:type="pct"/>
            <w:vAlign w:val="center"/>
          </w:tcPr>
          <w:p w14:paraId="4D5AE0A1" w14:textId="77777777" w:rsidR="00FE482F" w:rsidRPr="001B4B1E" w:rsidRDefault="00FE482F" w:rsidP="001B4B1E">
            <w:pPr>
              <w:jc w:val="left"/>
              <w:rPr>
                <w:sz w:val="15"/>
                <w:szCs w:val="16"/>
              </w:rPr>
            </w:pPr>
            <w:r w:rsidRPr="001B4B1E">
              <w:rPr>
                <w:sz w:val="15"/>
                <w:szCs w:val="16"/>
              </w:rPr>
              <w:t>.066</w:t>
            </w:r>
          </w:p>
        </w:tc>
        <w:tc>
          <w:tcPr>
            <w:tcW w:w="536" w:type="pct"/>
            <w:vAlign w:val="center"/>
          </w:tcPr>
          <w:p w14:paraId="32686EB5" w14:textId="77777777" w:rsidR="00FE482F" w:rsidRPr="001B4B1E" w:rsidRDefault="00FE482F" w:rsidP="001B4B1E">
            <w:pPr>
              <w:jc w:val="left"/>
              <w:rPr>
                <w:sz w:val="15"/>
                <w:szCs w:val="16"/>
              </w:rPr>
            </w:pPr>
            <w:r w:rsidRPr="001B4B1E">
              <w:rPr>
                <w:sz w:val="15"/>
                <w:szCs w:val="16"/>
              </w:rPr>
              <w:t>-.180</w:t>
            </w:r>
          </w:p>
        </w:tc>
        <w:tc>
          <w:tcPr>
            <w:tcW w:w="538" w:type="pct"/>
            <w:vAlign w:val="center"/>
          </w:tcPr>
          <w:p w14:paraId="6B6BF702" w14:textId="77777777" w:rsidR="00FE482F" w:rsidRPr="001B4B1E" w:rsidRDefault="00FE482F" w:rsidP="001B4B1E">
            <w:pPr>
              <w:jc w:val="left"/>
              <w:rPr>
                <w:sz w:val="15"/>
                <w:szCs w:val="16"/>
              </w:rPr>
            </w:pPr>
            <w:r w:rsidRPr="001B4B1E">
              <w:rPr>
                <w:sz w:val="15"/>
                <w:szCs w:val="16"/>
              </w:rPr>
              <w:t>.009</w:t>
            </w:r>
          </w:p>
        </w:tc>
      </w:tr>
      <w:tr w:rsidR="00FE482F" w:rsidRPr="001B4B1E" w14:paraId="29EE5129" w14:textId="77777777" w:rsidTr="001B4B1E">
        <w:tc>
          <w:tcPr>
            <w:tcW w:w="912" w:type="pct"/>
            <w:vMerge/>
            <w:vAlign w:val="center"/>
          </w:tcPr>
          <w:p w14:paraId="3D19D678" w14:textId="77777777" w:rsidR="00FE482F" w:rsidRPr="001B4B1E" w:rsidRDefault="00FE482F" w:rsidP="001B4B1E">
            <w:pPr>
              <w:jc w:val="left"/>
              <w:rPr>
                <w:b/>
                <w:bCs/>
                <w:sz w:val="15"/>
                <w:szCs w:val="16"/>
              </w:rPr>
            </w:pPr>
          </w:p>
        </w:tc>
        <w:tc>
          <w:tcPr>
            <w:tcW w:w="1404" w:type="pct"/>
            <w:vAlign w:val="center"/>
          </w:tcPr>
          <w:p w14:paraId="23458D84" w14:textId="77777777" w:rsidR="00FE482F" w:rsidRPr="001B4B1E" w:rsidRDefault="00FE482F" w:rsidP="001B4B1E">
            <w:pPr>
              <w:jc w:val="left"/>
              <w:rPr>
                <w:sz w:val="15"/>
                <w:szCs w:val="16"/>
              </w:rPr>
            </w:pPr>
            <w:r w:rsidRPr="001B4B1E">
              <w:rPr>
                <w:sz w:val="15"/>
                <w:szCs w:val="16"/>
              </w:rPr>
              <w:t>UCS_4</w:t>
            </w:r>
          </w:p>
        </w:tc>
        <w:tc>
          <w:tcPr>
            <w:tcW w:w="807" w:type="pct"/>
            <w:vAlign w:val="center"/>
          </w:tcPr>
          <w:p w14:paraId="3E52C537" w14:textId="77777777" w:rsidR="00FE482F" w:rsidRPr="001B4B1E" w:rsidRDefault="00FE482F" w:rsidP="001B4B1E">
            <w:pPr>
              <w:jc w:val="left"/>
              <w:rPr>
                <w:sz w:val="15"/>
                <w:szCs w:val="16"/>
              </w:rPr>
            </w:pPr>
            <w:r w:rsidRPr="001B4B1E">
              <w:rPr>
                <w:sz w:val="15"/>
                <w:szCs w:val="16"/>
              </w:rPr>
              <w:t>-.069</w:t>
            </w:r>
          </w:p>
        </w:tc>
        <w:tc>
          <w:tcPr>
            <w:tcW w:w="803" w:type="pct"/>
            <w:vAlign w:val="center"/>
          </w:tcPr>
          <w:p w14:paraId="086494AB" w14:textId="77777777" w:rsidR="00FE482F" w:rsidRPr="001B4B1E" w:rsidRDefault="00FE482F" w:rsidP="001B4B1E">
            <w:pPr>
              <w:jc w:val="left"/>
              <w:rPr>
                <w:sz w:val="15"/>
                <w:szCs w:val="16"/>
              </w:rPr>
            </w:pPr>
            <w:r w:rsidRPr="001B4B1E">
              <w:rPr>
                <w:sz w:val="15"/>
                <w:szCs w:val="16"/>
              </w:rPr>
              <w:t>.143</w:t>
            </w:r>
          </w:p>
        </w:tc>
        <w:tc>
          <w:tcPr>
            <w:tcW w:w="536" w:type="pct"/>
            <w:vAlign w:val="center"/>
          </w:tcPr>
          <w:p w14:paraId="15A814C1" w14:textId="77777777" w:rsidR="00FE482F" w:rsidRPr="001B4B1E" w:rsidRDefault="00FE482F" w:rsidP="001B4B1E">
            <w:pPr>
              <w:jc w:val="left"/>
              <w:rPr>
                <w:sz w:val="15"/>
                <w:szCs w:val="16"/>
              </w:rPr>
            </w:pPr>
            <w:r w:rsidRPr="001B4B1E">
              <w:rPr>
                <w:sz w:val="15"/>
                <w:szCs w:val="16"/>
              </w:rPr>
              <w:t>-.163</w:t>
            </w:r>
          </w:p>
        </w:tc>
        <w:tc>
          <w:tcPr>
            <w:tcW w:w="538" w:type="pct"/>
            <w:vAlign w:val="center"/>
          </w:tcPr>
          <w:p w14:paraId="6C30DF2A" w14:textId="77777777" w:rsidR="00FE482F" w:rsidRPr="001B4B1E" w:rsidRDefault="00FE482F" w:rsidP="001B4B1E">
            <w:pPr>
              <w:jc w:val="left"/>
              <w:rPr>
                <w:sz w:val="15"/>
                <w:szCs w:val="16"/>
              </w:rPr>
            </w:pPr>
            <w:r w:rsidRPr="001B4B1E">
              <w:rPr>
                <w:sz w:val="15"/>
                <w:szCs w:val="16"/>
              </w:rPr>
              <w:t>.026</w:t>
            </w:r>
          </w:p>
        </w:tc>
      </w:tr>
      <w:tr w:rsidR="00FE482F" w:rsidRPr="001B4B1E" w14:paraId="7EFC1878" w14:textId="77777777" w:rsidTr="001B4B1E">
        <w:tc>
          <w:tcPr>
            <w:tcW w:w="912" w:type="pct"/>
            <w:vMerge/>
            <w:vAlign w:val="center"/>
          </w:tcPr>
          <w:p w14:paraId="36AC51F6" w14:textId="77777777" w:rsidR="00FE482F" w:rsidRPr="001B4B1E" w:rsidRDefault="00FE482F" w:rsidP="001B4B1E">
            <w:pPr>
              <w:jc w:val="left"/>
              <w:rPr>
                <w:b/>
                <w:bCs/>
                <w:sz w:val="15"/>
                <w:szCs w:val="16"/>
              </w:rPr>
            </w:pPr>
          </w:p>
        </w:tc>
        <w:tc>
          <w:tcPr>
            <w:tcW w:w="1404" w:type="pct"/>
            <w:vAlign w:val="center"/>
          </w:tcPr>
          <w:p w14:paraId="0BD10976" w14:textId="77777777" w:rsidR="00FE482F" w:rsidRPr="001B4B1E" w:rsidRDefault="00FE482F" w:rsidP="001B4B1E">
            <w:pPr>
              <w:jc w:val="left"/>
              <w:rPr>
                <w:sz w:val="15"/>
                <w:szCs w:val="16"/>
              </w:rPr>
            </w:pPr>
            <w:r w:rsidRPr="001B4B1E">
              <w:rPr>
                <w:sz w:val="15"/>
                <w:szCs w:val="16"/>
              </w:rPr>
              <w:t>UCS_5</w:t>
            </w:r>
          </w:p>
        </w:tc>
        <w:tc>
          <w:tcPr>
            <w:tcW w:w="807" w:type="pct"/>
            <w:vAlign w:val="center"/>
          </w:tcPr>
          <w:p w14:paraId="6D64A518" w14:textId="77777777" w:rsidR="00FE482F" w:rsidRPr="001B4B1E" w:rsidRDefault="00FE482F" w:rsidP="001B4B1E">
            <w:pPr>
              <w:jc w:val="left"/>
              <w:rPr>
                <w:sz w:val="15"/>
                <w:szCs w:val="16"/>
              </w:rPr>
            </w:pPr>
            <w:r w:rsidRPr="001B4B1E">
              <w:rPr>
                <w:sz w:val="15"/>
                <w:szCs w:val="16"/>
              </w:rPr>
              <w:t>-.118</w:t>
            </w:r>
          </w:p>
        </w:tc>
        <w:tc>
          <w:tcPr>
            <w:tcW w:w="803" w:type="pct"/>
            <w:vAlign w:val="center"/>
          </w:tcPr>
          <w:p w14:paraId="491E7085" w14:textId="77777777" w:rsidR="00FE482F" w:rsidRPr="001B4B1E" w:rsidRDefault="00FE482F" w:rsidP="001B4B1E">
            <w:pPr>
              <w:jc w:val="left"/>
              <w:rPr>
                <w:sz w:val="15"/>
                <w:szCs w:val="16"/>
              </w:rPr>
            </w:pPr>
            <w:r w:rsidRPr="001B4B1E">
              <w:rPr>
                <w:sz w:val="15"/>
                <w:szCs w:val="16"/>
              </w:rPr>
              <w:t>.012</w:t>
            </w:r>
          </w:p>
        </w:tc>
        <w:tc>
          <w:tcPr>
            <w:tcW w:w="536" w:type="pct"/>
            <w:vAlign w:val="center"/>
          </w:tcPr>
          <w:p w14:paraId="2FCF8040" w14:textId="77777777" w:rsidR="00FE482F" w:rsidRPr="001B4B1E" w:rsidRDefault="00FE482F" w:rsidP="001B4B1E">
            <w:pPr>
              <w:jc w:val="left"/>
              <w:rPr>
                <w:sz w:val="15"/>
                <w:szCs w:val="16"/>
              </w:rPr>
            </w:pPr>
            <w:r w:rsidRPr="001B4B1E">
              <w:rPr>
                <w:sz w:val="15"/>
                <w:szCs w:val="16"/>
              </w:rPr>
              <w:t>-.211</w:t>
            </w:r>
          </w:p>
        </w:tc>
        <w:tc>
          <w:tcPr>
            <w:tcW w:w="538" w:type="pct"/>
            <w:vAlign w:val="center"/>
          </w:tcPr>
          <w:p w14:paraId="4677DA3C" w14:textId="77777777" w:rsidR="00FE482F" w:rsidRPr="001B4B1E" w:rsidRDefault="00FE482F" w:rsidP="001B4B1E">
            <w:pPr>
              <w:jc w:val="left"/>
              <w:rPr>
                <w:sz w:val="15"/>
                <w:szCs w:val="16"/>
              </w:rPr>
            </w:pPr>
            <w:r w:rsidRPr="001B4B1E">
              <w:rPr>
                <w:sz w:val="15"/>
                <w:szCs w:val="16"/>
              </w:rPr>
              <w:t>-.023</w:t>
            </w:r>
          </w:p>
        </w:tc>
      </w:tr>
      <w:tr w:rsidR="00FE482F" w:rsidRPr="001B4B1E" w14:paraId="063603A1" w14:textId="77777777" w:rsidTr="001B4B1E">
        <w:tc>
          <w:tcPr>
            <w:tcW w:w="912" w:type="pct"/>
            <w:vMerge/>
            <w:vAlign w:val="center"/>
          </w:tcPr>
          <w:p w14:paraId="2843AA48" w14:textId="77777777" w:rsidR="00FE482F" w:rsidRPr="001B4B1E" w:rsidRDefault="00FE482F" w:rsidP="001B4B1E">
            <w:pPr>
              <w:jc w:val="left"/>
              <w:rPr>
                <w:b/>
                <w:bCs/>
                <w:sz w:val="15"/>
                <w:szCs w:val="16"/>
              </w:rPr>
            </w:pPr>
          </w:p>
        </w:tc>
        <w:tc>
          <w:tcPr>
            <w:tcW w:w="1404" w:type="pct"/>
            <w:vAlign w:val="center"/>
          </w:tcPr>
          <w:p w14:paraId="46E85B35" w14:textId="77777777" w:rsidR="00FE482F" w:rsidRPr="001B4B1E" w:rsidRDefault="00FE482F" w:rsidP="001B4B1E">
            <w:pPr>
              <w:jc w:val="left"/>
              <w:rPr>
                <w:sz w:val="15"/>
                <w:szCs w:val="16"/>
              </w:rPr>
            </w:pPr>
            <w:r w:rsidRPr="001B4B1E">
              <w:rPr>
                <w:sz w:val="15"/>
                <w:szCs w:val="16"/>
              </w:rPr>
              <w:t>UCS_6</w:t>
            </w:r>
          </w:p>
        </w:tc>
        <w:tc>
          <w:tcPr>
            <w:tcW w:w="807" w:type="pct"/>
            <w:vAlign w:val="center"/>
          </w:tcPr>
          <w:p w14:paraId="5AFFCBEE" w14:textId="77777777" w:rsidR="00FE482F" w:rsidRPr="001B4B1E" w:rsidRDefault="00FE482F" w:rsidP="001B4B1E">
            <w:pPr>
              <w:jc w:val="left"/>
              <w:rPr>
                <w:sz w:val="15"/>
                <w:szCs w:val="16"/>
              </w:rPr>
            </w:pPr>
            <w:r w:rsidRPr="001B4B1E">
              <w:rPr>
                <w:sz w:val="15"/>
                <w:szCs w:val="16"/>
              </w:rPr>
              <w:t>-.231</w:t>
            </w:r>
          </w:p>
        </w:tc>
        <w:tc>
          <w:tcPr>
            <w:tcW w:w="803" w:type="pct"/>
            <w:vAlign w:val="center"/>
          </w:tcPr>
          <w:p w14:paraId="223F54D6"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72A65461" w14:textId="77777777" w:rsidR="00FE482F" w:rsidRPr="001B4B1E" w:rsidRDefault="00FE482F" w:rsidP="001B4B1E">
            <w:pPr>
              <w:jc w:val="left"/>
              <w:rPr>
                <w:sz w:val="15"/>
                <w:szCs w:val="16"/>
              </w:rPr>
            </w:pPr>
            <w:r w:rsidRPr="001B4B1E">
              <w:rPr>
                <w:sz w:val="15"/>
                <w:szCs w:val="16"/>
              </w:rPr>
              <w:t>-.319</w:t>
            </w:r>
          </w:p>
        </w:tc>
        <w:tc>
          <w:tcPr>
            <w:tcW w:w="538" w:type="pct"/>
            <w:vAlign w:val="center"/>
          </w:tcPr>
          <w:p w14:paraId="720007BE" w14:textId="77777777" w:rsidR="00FE482F" w:rsidRPr="001B4B1E" w:rsidRDefault="00FE482F" w:rsidP="001B4B1E">
            <w:pPr>
              <w:jc w:val="left"/>
              <w:rPr>
                <w:sz w:val="15"/>
                <w:szCs w:val="16"/>
              </w:rPr>
            </w:pPr>
            <w:r w:rsidRPr="001B4B1E">
              <w:rPr>
                <w:sz w:val="15"/>
                <w:szCs w:val="16"/>
              </w:rPr>
              <w:t>-.139</w:t>
            </w:r>
          </w:p>
        </w:tc>
      </w:tr>
      <w:tr w:rsidR="00FE482F" w:rsidRPr="001B4B1E" w14:paraId="14901524" w14:textId="77777777" w:rsidTr="001B4B1E">
        <w:tc>
          <w:tcPr>
            <w:tcW w:w="912" w:type="pct"/>
            <w:vMerge/>
            <w:vAlign w:val="center"/>
          </w:tcPr>
          <w:p w14:paraId="6135F7DA" w14:textId="77777777" w:rsidR="00FE482F" w:rsidRPr="001B4B1E" w:rsidRDefault="00FE482F" w:rsidP="001B4B1E">
            <w:pPr>
              <w:jc w:val="left"/>
              <w:rPr>
                <w:b/>
                <w:bCs/>
                <w:sz w:val="15"/>
                <w:szCs w:val="16"/>
              </w:rPr>
            </w:pPr>
          </w:p>
        </w:tc>
        <w:tc>
          <w:tcPr>
            <w:tcW w:w="1404" w:type="pct"/>
            <w:vAlign w:val="center"/>
          </w:tcPr>
          <w:p w14:paraId="6E724128" w14:textId="77777777" w:rsidR="00FE482F" w:rsidRPr="001B4B1E" w:rsidRDefault="00FE482F" w:rsidP="001B4B1E">
            <w:pPr>
              <w:jc w:val="left"/>
              <w:rPr>
                <w:sz w:val="15"/>
                <w:szCs w:val="16"/>
              </w:rPr>
            </w:pPr>
            <w:r w:rsidRPr="001B4B1E">
              <w:rPr>
                <w:sz w:val="15"/>
                <w:szCs w:val="16"/>
              </w:rPr>
              <w:t>UCS_7</w:t>
            </w:r>
          </w:p>
        </w:tc>
        <w:tc>
          <w:tcPr>
            <w:tcW w:w="807" w:type="pct"/>
            <w:vAlign w:val="center"/>
          </w:tcPr>
          <w:p w14:paraId="303A8901" w14:textId="77777777" w:rsidR="00FE482F" w:rsidRPr="001B4B1E" w:rsidRDefault="00FE482F" w:rsidP="001B4B1E">
            <w:pPr>
              <w:jc w:val="left"/>
              <w:rPr>
                <w:sz w:val="15"/>
                <w:szCs w:val="16"/>
              </w:rPr>
            </w:pPr>
            <w:r w:rsidRPr="001B4B1E">
              <w:rPr>
                <w:sz w:val="15"/>
                <w:szCs w:val="16"/>
              </w:rPr>
              <w:t>-.175</w:t>
            </w:r>
          </w:p>
        </w:tc>
        <w:tc>
          <w:tcPr>
            <w:tcW w:w="803" w:type="pct"/>
            <w:vAlign w:val="center"/>
          </w:tcPr>
          <w:p w14:paraId="50A6AD60" w14:textId="77777777" w:rsidR="00FE482F" w:rsidRPr="001B4B1E" w:rsidRDefault="00FE482F" w:rsidP="001B4B1E">
            <w:pPr>
              <w:jc w:val="left"/>
              <w:rPr>
                <w:sz w:val="15"/>
                <w:szCs w:val="16"/>
              </w:rPr>
            </w:pPr>
            <w:r w:rsidRPr="001B4B1E">
              <w:rPr>
                <w:sz w:val="15"/>
                <w:szCs w:val="16"/>
              </w:rPr>
              <w:t>&lt;.001</w:t>
            </w:r>
          </w:p>
        </w:tc>
        <w:tc>
          <w:tcPr>
            <w:tcW w:w="536" w:type="pct"/>
            <w:vAlign w:val="center"/>
          </w:tcPr>
          <w:p w14:paraId="255616B1" w14:textId="77777777" w:rsidR="00FE482F" w:rsidRPr="001B4B1E" w:rsidRDefault="00FE482F" w:rsidP="001B4B1E">
            <w:pPr>
              <w:jc w:val="left"/>
              <w:rPr>
                <w:sz w:val="15"/>
                <w:szCs w:val="16"/>
              </w:rPr>
            </w:pPr>
            <w:r w:rsidRPr="001B4B1E">
              <w:rPr>
                <w:sz w:val="15"/>
                <w:szCs w:val="16"/>
              </w:rPr>
              <w:t>-.266</w:t>
            </w:r>
          </w:p>
        </w:tc>
        <w:tc>
          <w:tcPr>
            <w:tcW w:w="538" w:type="pct"/>
            <w:vAlign w:val="center"/>
          </w:tcPr>
          <w:p w14:paraId="72B13D78" w14:textId="77777777" w:rsidR="00FE482F" w:rsidRPr="001B4B1E" w:rsidRDefault="00FE482F" w:rsidP="001B4B1E">
            <w:pPr>
              <w:jc w:val="left"/>
              <w:rPr>
                <w:sz w:val="15"/>
                <w:szCs w:val="16"/>
              </w:rPr>
            </w:pPr>
            <w:r w:rsidRPr="001B4B1E">
              <w:rPr>
                <w:sz w:val="15"/>
                <w:szCs w:val="16"/>
              </w:rPr>
              <w:t>-.081</w:t>
            </w:r>
          </w:p>
        </w:tc>
      </w:tr>
      <w:tr w:rsidR="00FE482F" w:rsidRPr="001B4B1E" w14:paraId="52BD2842" w14:textId="77777777" w:rsidTr="001B4B1E">
        <w:tc>
          <w:tcPr>
            <w:tcW w:w="912" w:type="pct"/>
            <w:vMerge/>
            <w:vAlign w:val="center"/>
          </w:tcPr>
          <w:p w14:paraId="7687B2F5" w14:textId="77777777" w:rsidR="00FE482F" w:rsidRPr="001B4B1E" w:rsidRDefault="00FE482F" w:rsidP="001B4B1E">
            <w:pPr>
              <w:jc w:val="left"/>
              <w:rPr>
                <w:b/>
                <w:bCs/>
                <w:sz w:val="15"/>
                <w:szCs w:val="16"/>
              </w:rPr>
            </w:pPr>
          </w:p>
        </w:tc>
        <w:tc>
          <w:tcPr>
            <w:tcW w:w="1404" w:type="pct"/>
            <w:vAlign w:val="center"/>
          </w:tcPr>
          <w:p w14:paraId="4EE959A3" w14:textId="77777777" w:rsidR="00FE482F" w:rsidRPr="001B4B1E" w:rsidRDefault="00FE482F" w:rsidP="001B4B1E">
            <w:pPr>
              <w:jc w:val="left"/>
              <w:rPr>
                <w:sz w:val="15"/>
                <w:szCs w:val="16"/>
              </w:rPr>
            </w:pPr>
            <w:r w:rsidRPr="001B4B1E">
              <w:rPr>
                <w:sz w:val="15"/>
                <w:szCs w:val="16"/>
              </w:rPr>
              <w:t>UCS_8</w:t>
            </w:r>
          </w:p>
        </w:tc>
        <w:tc>
          <w:tcPr>
            <w:tcW w:w="807" w:type="pct"/>
            <w:vAlign w:val="center"/>
          </w:tcPr>
          <w:p w14:paraId="6920AD23" w14:textId="77777777" w:rsidR="00FE482F" w:rsidRPr="001B4B1E" w:rsidRDefault="00FE482F" w:rsidP="001B4B1E">
            <w:pPr>
              <w:jc w:val="left"/>
              <w:rPr>
                <w:sz w:val="15"/>
                <w:szCs w:val="16"/>
              </w:rPr>
            </w:pPr>
            <w:r w:rsidRPr="001B4B1E">
              <w:rPr>
                <w:sz w:val="15"/>
                <w:szCs w:val="16"/>
              </w:rPr>
              <w:t>-.111</w:t>
            </w:r>
          </w:p>
        </w:tc>
        <w:tc>
          <w:tcPr>
            <w:tcW w:w="803" w:type="pct"/>
            <w:vAlign w:val="center"/>
          </w:tcPr>
          <w:p w14:paraId="259EF946" w14:textId="77777777" w:rsidR="00FE482F" w:rsidRPr="001B4B1E" w:rsidRDefault="00FE482F" w:rsidP="001B4B1E">
            <w:pPr>
              <w:jc w:val="left"/>
              <w:rPr>
                <w:sz w:val="15"/>
                <w:szCs w:val="16"/>
              </w:rPr>
            </w:pPr>
            <w:r w:rsidRPr="001B4B1E">
              <w:rPr>
                <w:sz w:val="15"/>
                <w:szCs w:val="16"/>
              </w:rPr>
              <w:t>.019</w:t>
            </w:r>
          </w:p>
        </w:tc>
        <w:tc>
          <w:tcPr>
            <w:tcW w:w="536" w:type="pct"/>
            <w:vAlign w:val="center"/>
          </w:tcPr>
          <w:p w14:paraId="5ECDB8F0" w14:textId="77777777" w:rsidR="00FE482F" w:rsidRPr="001B4B1E" w:rsidRDefault="00FE482F" w:rsidP="001B4B1E">
            <w:pPr>
              <w:jc w:val="left"/>
              <w:rPr>
                <w:sz w:val="15"/>
                <w:szCs w:val="16"/>
              </w:rPr>
            </w:pPr>
            <w:r w:rsidRPr="001B4B1E">
              <w:rPr>
                <w:sz w:val="15"/>
                <w:szCs w:val="16"/>
              </w:rPr>
              <w:t>-.204</w:t>
            </w:r>
          </w:p>
        </w:tc>
        <w:tc>
          <w:tcPr>
            <w:tcW w:w="538" w:type="pct"/>
            <w:vAlign w:val="center"/>
          </w:tcPr>
          <w:p w14:paraId="153CA61B" w14:textId="77777777" w:rsidR="00FE482F" w:rsidRPr="001B4B1E" w:rsidRDefault="00FE482F" w:rsidP="001B4B1E">
            <w:pPr>
              <w:jc w:val="left"/>
              <w:rPr>
                <w:sz w:val="15"/>
                <w:szCs w:val="16"/>
              </w:rPr>
            </w:pPr>
            <w:r w:rsidRPr="001B4B1E">
              <w:rPr>
                <w:sz w:val="15"/>
                <w:szCs w:val="16"/>
              </w:rPr>
              <w:t>-.016</w:t>
            </w:r>
          </w:p>
        </w:tc>
      </w:tr>
      <w:tr w:rsidR="00FE482F" w:rsidRPr="001B4B1E" w14:paraId="5E16F7B6" w14:textId="77777777" w:rsidTr="001B4B1E">
        <w:tc>
          <w:tcPr>
            <w:tcW w:w="912" w:type="pct"/>
            <w:vMerge/>
            <w:vAlign w:val="center"/>
          </w:tcPr>
          <w:p w14:paraId="3DBE4CA2" w14:textId="77777777" w:rsidR="00FE482F" w:rsidRPr="001B4B1E" w:rsidRDefault="00FE482F" w:rsidP="001B4B1E">
            <w:pPr>
              <w:jc w:val="left"/>
              <w:rPr>
                <w:b/>
                <w:bCs/>
                <w:sz w:val="15"/>
                <w:szCs w:val="16"/>
              </w:rPr>
            </w:pPr>
          </w:p>
        </w:tc>
        <w:tc>
          <w:tcPr>
            <w:tcW w:w="1404" w:type="pct"/>
            <w:vAlign w:val="center"/>
          </w:tcPr>
          <w:p w14:paraId="488EC8D4" w14:textId="77777777" w:rsidR="00FE482F" w:rsidRPr="001B4B1E" w:rsidRDefault="00FE482F" w:rsidP="001B4B1E">
            <w:pPr>
              <w:jc w:val="left"/>
              <w:rPr>
                <w:sz w:val="15"/>
                <w:szCs w:val="16"/>
              </w:rPr>
            </w:pPr>
            <w:r w:rsidRPr="001B4B1E">
              <w:rPr>
                <w:sz w:val="15"/>
                <w:szCs w:val="16"/>
              </w:rPr>
              <w:t>UCS_9</w:t>
            </w:r>
          </w:p>
        </w:tc>
        <w:tc>
          <w:tcPr>
            <w:tcW w:w="807" w:type="pct"/>
            <w:vAlign w:val="center"/>
          </w:tcPr>
          <w:p w14:paraId="28BB4F06" w14:textId="77777777" w:rsidR="00FE482F" w:rsidRPr="001B4B1E" w:rsidRDefault="00FE482F" w:rsidP="001B4B1E">
            <w:pPr>
              <w:jc w:val="left"/>
              <w:rPr>
                <w:sz w:val="15"/>
                <w:szCs w:val="16"/>
              </w:rPr>
            </w:pPr>
            <w:r w:rsidRPr="001B4B1E">
              <w:rPr>
                <w:sz w:val="15"/>
                <w:szCs w:val="16"/>
              </w:rPr>
              <w:t>-.145</w:t>
            </w:r>
          </w:p>
        </w:tc>
        <w:tc>
          <w:tcPr>
            <w:tcW w:w="803" w:type="pct"/>
            <w:vAlign w:val="center"/>
          </w:tcPr>
          <w:p w14:paraId="34D36323" w14:textId="77777777" w:rsidR="00FE482F" w:rsidRPr="001B4B1E" w:rsidRDefault="00FE482F" w:rsidP="001B4B1E">
            <w:pPr>
              <w:jc w:val="left"/>
              <w:rPr>
                <w:sz w:val="15"/>
                <w:szCs w:val="16"/>
              </w:rPr>
            </w:pPr>
            <w:r w:rsidRPr="001B4B1E">
              <w:rPr>
                <w:sz w:val="15"/>
                <w:szCs w:val="16"/>
              </w:rPr>
              <w:t>.002</w:t>
            </w:r>
          </w:p>
        </w:tc>
        <w:tc>
          <w:tcPr>
            <w:tcW w:w="536" w:type="pct"/>
            <w:vAlign w:val="center"/>
          </w:tcPr>
          <w:p w14:paraId="2C8EF3E8" w14:textId="77777777" w:rsidR="00FE482F" w:rsidRPr="001B4B1E" w:rsidRDefault="00FE482F" w:rsidP="001B4B1E">
            <w:pPr>
              <w:jc w:val="left"/>
              <w:rPr>
                <w:sz w:val="15"/>
                <w:szCs w:val="16"/>
              </w:rPr>
            </w:pPr>
            <w:r w:rsidRPr="001B4B1E">
              <w:rPr>
                <w:sz w:val="15"/>
                <w:szCs w:val="16"/>
              </w:rPr>
              <w:t>-.237</w:t>
            </w:r>
          </w:p>
        </w:tc>
        <w:tc>
          <w:tcPr>
            <w:tcW w:w="538" w:type="pct"/>
            <w:vAlign w:val="center"/>
          </w:tcPr>
          <w:p w14:paraId="032FDBFC" w14:textId="77777777" w:rsidR="00FE482F" w:rsidRPr="001B4B1E" w:rsidRDefault="00FE482F" w:rsidP="001B4B1E">
            <w:pPr>
              <w:jc w:val="left"/>
              <w:rPr>
                <w:sz w:val="15"/>
                <w:szCs w:val="16"/>
              </w:rPr>
            </w:pPr>
            <w:r w:rsidRPr="001B4B1E">
              <w:rPr>
                <w:sz w:val="15"/>
                <w:szCs w:val="16"/>
              </w:rPr>
              <w:t>-.051</w:t>
            </w:r>
          </w:p>
        </w:tc>
      </w:tr>
    </w:tbl>
    <w:p w14:paraId="3229DE8E" w14:textId="77777777" w:rsidR="00FE482F" w:rsidRDefault="00FE482F" w:rsidP="001B4B1E">
      <w:pPr>
        <w:rPr>
          <w:i/>
          <w:iCs/>
          <w:sz w:val="18"/>
          <w:szCs w:val="20"/>
          <w:bdr w:val="none" w:sz="0" w:space="0" w:color="auto" w:frame="1"/>
          <w:shd w:val="clear" w:color="auto" w:fill="FFFFFF"/>
        </w:rPr>
      </w:pPr>
    </w:p>
    <w:p w14:paraId="0B4BCB7A" w14:textId="77777777" w:rsidR="00FE482F" w:rsidRPr="001B4B1E" w:rsidRDefault="00FE482F" w:rsidP="001B4B1E">
      <w:pPr>
        <w:rPr>
          <w:i/>
          <w:iCs/>
          <w:sz w:val="18"/>
          <w:szCs w:val="20"/>
          <w:bdr w:val="none" w:sz="0" w:space="0" w:color="auto" w:frame="1"/>
          <w:shd w:val="clear" w:color="auto" w:fill="FFFFFF"/>
        </w:rPr>
      </w:pPr>
      <w:r w:rsidRPr="001B4B1E">
        <w:rPr>
          <w:i/>
          <w:iCs/>
          <w:sz w:val="18"/>
          <w:szCs w:val="20"/>
          <w:bdr w:val="none" w:sz="0" w:space="0" w:color="auto" w:frame="1"/>
          <w:shd w:val="clear" w:color="auto" w:fill="FFFFFF"/>
        </w:rPr>
        <w:t>Note: Correlations significance level set at 0.05.</w:t>
      </w:r>
    </w:p>
    <w:p w14:paraId="75C9AB48" w14:textId="77777777" w:rsidR="00FE482F" w:rsidRDefault="00FE482F">
      <w:pPr>
        <w:spacing w:line="240" w:lineRule="auto"/>
        <w:jc w:val="left"/>
        <w:rPr>
          <w:rFonts w:eastAsiaTheme="majorEastAsia" w:cstheme="majorBidi"/>
          <w:i/>
          <w:iCs/>
          <w:color w:val="2E74B5" w:themeColor="accent1" w:themeShade="BF"/>
          <w:szCs w:val="20"/>
          <w:lang w:eastAsia="en-GB"/>
        </w:rPr>
      </w:pPr>
      <w:r>
        <w:br w:type="page"/>
      </w:r>
    </w:p>
    <w:p w14:paraId="54BCF08D" w14:textId="77777777" w:rsidR="00FE482F" w:rsidRPr="001B4B1E" w:rsidRDefault="00FE482F" w:rsidP="001B4B1E">
      <w:pPr>
        <w:pStyle w:val="Heading2"/>
      </w:pPr>
      <w:bookmarkStart w:id="98" w:name="_Toc137504718"/>
      <w:r>
        <w:lastRenderedPageBreak/>
        <w:t>3.</w:t>
      </w:r>
      <w:r w:rsidRPr="001B4B1E">
        <w:t>4 Discussion</w:t>
      </w:r>
      <w:bookmarkEnd w:id="98"/>
    </w:p>
    <w:p w14:paraId="6F6533C0" w14:textId="77777777" w:rsidR="00FE482F" w:rsidRPr="00605DF5" w:rsidRDefault="00FE482F" w:rsidP="00B33867">
      <w:r w:rsidRPr="00605DF5">
        <w:t xml:space="preserve">This study examined the psychometric properties and construct validity </w:t>
      </w:r>
      <w:r>
        <w:t xml:space="preserve">of </w:t>
      </w:r>
      <w:r w:rsidRPr="00605DF5">
        <w:t>the EASE</w:t>
      </w:r>
      <w:r>
        <w:t>-F</w:t>
      </w:r>
      <w:r w:rsidRPr="00605DF5">
        <w:t xml:space="preserve"> questionnaire developed specifically for patients with </w:t>
      </w:r>
      <w:r>
        <w:t>FNSD</w:t>
      </w:r>
      <w:r w:rsidRPr="00605DF5">
        <w:t>.</w:t>
      </w:r>
      <w:r>
        <w:t xml:space="preserve"> The present study aimed</w:t>
      </w:r>
      <w:r w:rsidRPr="00605DF5">
        <w:t xml:space="preserve"> to identify the fact</w:t>
      </w:r>
      <w:r>
        <w:t>or</w:t>
      </w:r>
      <w:r w:rsidRPr="00605DF5">
        <w:t xml:space="preserve"> structure of the </w:t>
      </w:r>
      <w:r>
        <w:t>EASE-F</w:t>
      </w:r>
      <w:r w:rsidRPr="00605DF5">
        <w:t xml:space="preserve">, </w:t>
      </w:r>
      <w:r>
        <w:t>utilise</w:t>
      </w:r>
      <w:r w:rsidRPr="00605DF5">
        <w:t xml:space="preserve"> Rasch metrics to develop and refine the </w:t>
      </w:r>
      <w:r>
        <w:t>measure</w:t>
      </w:r>
      <w:r w:rsidRPr="00605DF5">
        <w:t>, establish a scoring system for the questionnaire and provide recommendations to refine the measure for research and clinical use.</w:t>
      </w:r>
      <w:r>
        <w:t xml:space="preserve"> </w:t>
      </w:r>
      <w:r w:rsidRPr="00605DF5">
        <w:t>To this end, the original 36-</w:t>
      </w:r>
      <w:r>
        <w:t>i</w:t>
      </w:r>
      <w:r w:rsidRPr="00605DF5">
        <w:t xml:space="preserve">tem </w:t>
      </w:r>
      <w:r>
        <w:t>EASE-F</w:t>
      </w:r>
      <w:r w:rsidRPr="00605DF5">
        <w:t xml:space="preserve"> with a 5-point Likert scale was refined to </w:t>
      </w:r>
      <w:r w:rsidRPr="00B84691">
        <w:t>a 34-item scale</w:t>
      </w:r>
      <w:r w:rsidRPr="00605DF5">
        <w:t xml:space="preserve"> with a 4-factor structure and a 3-point Likert rating scale, capturing </w:t>
      </w:r>
      <w:r>
        <w:t>patients'</w:t>
      </w:r>
      <w:r w:rsidRPr="00605DF5">
        <w:t xml:space="preserve"> </w:t>
      </w:r>
      <w:r>
        <w:t xml:space="preserve">ratings of </w:t>
      </w:r>
      <w:r w:rsidRPr="00605DF5">
        <w:t>self-efficacy, assertiveness, illness burden and social support.</w:t>
      </w:r>
      <w:r>
        <w:t xml:space="preserve"> </w:t>
      </w:r>
      <w:r w:rsidRPr="00605DF5">
        <w:t>To our knowledge</w:t>
      </w:r>
      <w:r>
        <w:t>, this is</w:t>
      </w:r>
      <w:r w:rsidRPr="00605DF5">
        <w:t xml:space="preserve"> the first</w:t>
      </w:r>
      <w:r>
        <w:t xml:space="preserve"> study</w:t>
      </w:r>
      <w:r w:rsidRPr="00605DF5">
        <w:t xml:space="preserve"> to apply the Rasch model in an</w:t>
      </w:r>
      <w:r>
        <w:t>y self-report measure designed for an</w:t>
      </w:r>
      <w:r w:rsidRPr="00605DF5">
        <w:t xml:space="preserve"> FNSD patient population.  </w:t>
      </w:r>
    </w:p>
    <w:p w14:paraId="187F477C" w14:textId="77777777" w:rsidR="00FE482F" w:rsidRDefault="00FE482F" w:rsidP="00B33867"/>
    <w:p w14:paraId="65E627E7" w14:textId="77777777" w:rsidR="00FE482F" w:rsidRDefault="00FE482F" w:rsidP="001B4B1E">
      <w:pPr>
        <w:pStyle w:val="Heading3"/>
      </w:pPr>
      <w:bookmarkStart w:id="99" w:name="_Toc137504719"/>
      <w:r>
        <w:t>3.</w:t>
      </w:r>
      <w:r w:rsidRPr="003A2CA3">
        <w:t xml:space="preserve">4.1 Key </w:t>
      </w:r>
      <w:r>
        <w:t>F</w:t>
      </w:r>
      <w:r w:rsidRPr="003A2CA3">
        <w:t>indings</w:t>
      </w:r>
      <w:r>
        <w:t xml:space="preserve"> </w:t>
      </w:r>
      <w:r w:rsidRPr="00185637">
        <w:t xml:space="preserve">- Factor </w:t>
      </w:r>
      <w:r>
        <w:t>Structure</w:t>
      </w:r>
      <w:bookmarkEnd w:id="99"/>
    </w:p>
    <w:p w14:paraId="4995AA2D" w14:textId="77777777" w:rsidR="00FE482F" w:rsidRPr="00EA7A71" w:rsidRDefault="00FE482F" w:rsidP="00B33867">
      <w:r w:rsidRPr="00EA7A71">
        <w:t>The exploratory factor analysis revealed that 4 to 9 factors could be found in the EASE-F questionnaire</w:t>
      </w:r>
      <w:r>
        <w:t>,</w:t>
      </w:r>
      <w:r w:rsidRPr="00EA7A71">
        <w:t xml:space="preserve"> where the larger number of factors accounted for more of the total variance.</w:t>
      </w:r>
      <w:r>
        <w:t xml:space="preserve"> </w:t>
      </w:r>
      <w:r w:rsidRPr="00EA7A71">
        <w:t xml:space="preserve">However, after parallel analysis and consideration of the </w:t>
      </w:r>
      <w:r>
        <w:t>questionnaire's aim</w:t>
      </w:r>
      <w:r w:rsidRPr="00EA7A71">
        <w:t>, the four-factor EASE-F model was thought best to reflect the original intent of the questionnaire and provide better interpretability in the FNSD patient population.</w:t>
      </w:r>
      <w:r>
        <w:t xml:space="preserve"> </w:t>
      </w:r>
      <w:r w:rsidRPr="00EA7A71">
        <w:t xml:space="preserve">The chosen 4- factor solution explained 41.5% of the variance within the sample. </w:t>
      </w:r>
    </w:p>
    <w:p w14:paraId="0DAE5159" w14:textId="77777777" w:rsidR="00FE482F" w:rsidRPr="00207155" w:rsidRDefault="00FE482F" w:rsidP="001B4B1E">
      <w:pPr>
        <w:pStyle w:val="Heading4"/>
      </w:pPr>
      <w:r>
        <w:t xml:space="preserve">3.4.1.1 </w:t>
      </w:r>
      <w:r w:rsidRPr="00207155">
        <w:t xml:space="preserve">The </w:t>
      </w:r>
      <w:r>
        <w:t>S</w:t>
      </w:r>
      <w:r w:rsidRPr="00207155">
        <w:t xml:space="preserve">elf-efficacy </w:t>
      </w:r>
      <w:r>
        <w:t>S</w:t>
      </w:r>
      <w:r w:rsidRPr="00207155">
        <w:t>cale</w:t>
      </w:r>
    </w:p>
    <w:p w14:paraId="7373845E" w14:textId="3798727B" w:rsidR="00FE482F" w:rsidRDefault="00FE482F" w:rsidP="00B33867">
      <w:r w:rsidRPr="00EA7A71">
        <w:t>Factor 1 made the greatest contribution to the variance</w:t>
      </w:r>
      <w:r>
        <w:t>,</w:t>
      </w:r>
      <w:r w:rsidRPr="00EA7A71">
        <w:t xml:space="preserve"> compris</w:t>
      </w:r>
      <w:r>
        <w:t xml:space="preserve">ing </w:t>
      </w:r>
      <w:r w:rsidRPr="00EA7A71">
        <w:t xml:space="preserve">11 items, </w:t>
      </w:r>
      <w:r>
        <w:t>reflecting</w:t>
      </w:r>
      <w:r w:rsidRPr="00EA7A71">
        <w:t xml:space="preserve"> various aspects of the </w:t>
      </w:r>
      <w:r>
        <w:t>patient's</w:t>
      </w:r>
      <w:r w:rsidRPr="00EA7A71">
        <w:t xml:space="preserve"> belief in </w:t>
      </w:r>
      <w:r w:rsidRPr="00B33867">
        <w:t>their capabilit</w:t>
      </w:r>
      <w:r>
        <w:t>y</w:t>
      </w:r>
      <w:r w:rsidRPr="00B33867">
        <w:t xml:space="preserve"> to handle</w:t>
      </w:r>
      <w:r w:rsidRPr="00EA7A71">
        <w:t xml:space="preserve"> challenges, adapt to limitations, and maintain a positive outlook on life despite adversity or illness.</w:t>
      </w:r>
      <w:r>
        <w:t xml:space="preserve"> </w:t>
      </w:r>
      <w:r w:rsidRPr="00EA7A71">
        <w:t>As such</w:t>
      </w:r>
      <w:r>
        <w:t>,</w:t>
      </w:r>
      <w:r w:rsidRPr="00EA7A71">
        <w:t xml:space="preserve"> this factor was termed </w:t>
      </w:r>
      <w:r>
        <w:t>'S</w:t>
      </w:r>
      <w:r w:rsidRPr="00EA7A71">
        <w:t>elf-efficacy</w:t>
      </w:r>
      <w:r>
        <w:t>'</w:t>
      </w:r>
      <w:r w:rsidRPr="00EA7A71">
        <w:t>.</w:t>
      </w:r>
      <w:r>
        <w:t xml:space="preserve"> </w:t>
      </w:r>
      <w:r w:rsidRPr="00EA7A71">
        <w:t xml:space="preserve">The repeated sense of loss of personal control or agency is a central problem in patients with FNSD that can be addressed </w:t>
      </w:r>
      <w:r>
        <w:t>through</w:t>
      </w:r>
      <w:r w:rsidRPr="00EA7A71">
        <w:t xml:space="preserve"> psychotherapeutic approaches.</w:t>
      </w:r>
      <w:r>
        <w:t xml:space="preserve"> </w:t>
      </w:r>
      <w:r w:rsidRPr="00EA7A71">
        <w:t xml:space="preserve">The belief in </w:t>
      </w:r>
      <w:r>
        <w:t>one's</w:t>
      </w:r>
      <w:r w:rsidRPr="00EA7A71">
        <w:t xml:space="preserve"> ability to accomplish tasks and overcome challenges significantly impacts an </w:t>
      </w:r>
      <w:r>
        <w:t>individual's</w:t>
      </w:r>
      <w:r w:rsidRPr="00EA7A71">
        <w:t xml:space="preserve"> willingness to engage in and persist through rehabilitation efforts, ultimately influencing recovery outcomes </w:t>
      </w:r>
      <w:sdt>
        <w:sdtPr>
          <w:rPr>
            <w:color w:val="000000"/>
          </w:rPr>
          <w:tag w:val="MENDELEY_CITATION_v3_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"/>
          <w:id w:val="2022888237"/>
          <w:placeholder>
            <w:docPart w:val="FC94CF2EA4BA1146B8DB314647A63BD3"/>
          </w:placeholder>
        </w:sdtPr>
        <w:sdtContent>
          <w:r w:rsidR="0047170A" w:rsidRPr="0047170A">
            <w:rPr>
              <w:color w:val="000000"/>
            </w:rPr>
            <w:t>(Bandura, 1977)</w:t>
          </w:r>
        </w:sdtContent>
      </w:sdt>
      <w:r w:rsidRPr="00EA7A71">
        <w:t xml:space="preserve">. </w:t>
      </w:r>
    </w:p>
    <w:p w14:paraId="31A9FD77" w14:textId="11C21E56" w:rsidR="00FE482F" w:rsidRPr="00EA7A71" w:rsidRDefault="00FE482F" w:rsidP="00B33867">
      <w:r>
        <w:t xml:space="preserve">The convergent analysis confirmed the hypothesis that this scale would show stronger negative correlations to the WSAS' ability to work' scale and 'home management' items than any other subscale. This was not surprising as this scale correlated strongest and negatively with all the comparable external measures, compared to the </w:t>
      </w:r>
      <w:r>
        <w:lastRenderedPageBreak/>
        <w:t xml:space="preserve">other subscales (Spearman's rho = -.248 - - 590). </w:t>
      </w:r>
      <w:r w:rsidRPr="00D73B71">
        <w:t xml:space="preserve">Individuals with high self-efficacy tend to be more resilient and adaptive in </w:t>
      </w:r>
      <w:r>
        <w:t>facing</w:t>
      </w:r>
      <w:r w:rsidRPr="00D73B71">
        <w:t xml:space="preserve"> health challenges.</w:t>
      </w:r>
      <w:r>
        <w:t xml:space="preserve"> </w:t>
      </w:r>
      <w:r w:rsidRPr="00D73B71">
        <w:t xml:space="preserve">They </w:t>
      </w:r>
      <w:r>
        <w:t>will likely</w:t>
      </w:r>
      <w:r w:rsidRPr="00D73B71">
        <w:t xml:space="preserve"> view illness as a manageable challenge rather than an insurmountable obstacle.</w:t>
      </w:r>
      <w:r>
        <w:t xml:space="preserve"> </w:t>
      </w:r>
      <w:r w:rsidRPr="00D73B71">
        <w:t xml:space="preserve">Such positive perspectives can enhance </w:t>
      </w:r>
      <w:r>
        <w:t>one's</w:t>
      </w:r>
      <w:r w:rsidRPr="00D73B71">
        <w:t xml:space="preserve"> capacity to maintain regular work schedules and household responsibilities despite physical or mental health issues.</w:t>
      </w:r>
      <w:r>
        <w:t xml:space="preserve"> </w:t>
      </w:r>
      <w:r w:rsidRPr="00D73B71">
        <w:t>Conversely, low self-efficacy might lead to helplessness or hopelessness, potentially resulting in withdrawal from social roles and responsibilities, including work and home management.</w:t>
      </w:r>
      <w:r>
        <w:t xml:space="preserve"> The strongest correlations were between the depression total score and social adjustment total scores, reflecting the significant role and interplay of self-efficacy in social adjustment, mood and consequent quality of life. </w:t>
      </w:r>
      <w:r w:rsidRPr="00EA7A71">
        <w:t xml:space="preserve">Several studies have reported links between HRQOL and self-efficacy across a range of physical and mental health conditions </w:t>
      </w:r>
      <w:sdt>
        <w:sdtPr>
          <w:tag w:val="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"/>
          <w:id w:val="1707684993"/>
          <w:placeholder>
            <w:docPart w:val="FC94CF2EA4BA1146B8DB314647A63BD3"/>
          </w:placeholder>
        </w:sdtPr>
        <w:sdtContent>
          <w:r w:rsidR="0047170A">
            <w:rPr>
              <w:rFonts w:eastAsia="Times New Roman"/>
            </w:rPr>
            <w:t xml:space="preserve">(Abraham et al., 2014; </w:t>
          </w:r>
          <w:proofErr w:type="spellStart"/>
          <w:r w:rsidR="0047170A">
            <w:rPr>
              <w:rFonts w:eastAsia="Times New Roman"/>
            </w:rPr>
            <w:t>Crellin</w:t>
          </w:r>
          <w:proofErr w:type="spellEnd"/>
          <w:r w:rsidR="0047170A">
            <w:rPr>
              <w:rFonts w:eastAsia="Times New Roman"/>
            </w:rPr>
            <w:t xml:space="preserve"> et al., 2014; </w:t>
          </w:r>
          <w:proofErr w:type="spellStart"/>
          <w:r w:rsidR="0047170A">
            <w:rPr>
              <w:rFonts w:eastAsia="Times New Roman"/>
            </w:rPr>
            <w:t>Dilorio</w:t>
          </w:r>
          <w:proofErr w:type="spellEnd"/>
          <w:r w:rsidR="0047170A">
            <w:rPr>
              <w:rFonts w:eastAsia="Times New Roman"/>
            </w:rPr>
            <w:t xml:space="preserve"> et al., 1992; </w:t>
          </w:r>
          <w:proofErr w:type="spellStart"/>
          <w:r w:rsidR="0047170A">
            <w:rPr>
              <w:rFonts w:eastAsia="Times New Roman"/>
            </w:rPr>
            <w:t>Kobau</w:t>
          </w:r>
          <w:proofErr w:type="spellEnd"/>
          <w:r w:rsidR="0047170A">
            <w:rPr>
              <w:rFonts w:eastAsia="Times New Roman"/>
            </w:rPr>
            <w:t xml:space="preserve"> &amp; </w:t>
          </w:r>
          <w:proofErr w:type="spellStart"/>
          <w:r w:rsidR="0047170A">
            <w:rPr>
              <w:rFonts w:eastAsia="Times New Roman"/>
            </w:rPr>
            <w:t>Dilorio</w:t>
          </w:r>
          <w:proofErr w:type="spellEnd"/>
          <w:r w:rsidR="0047170A">
            <w:rPr>
              <w:rFonts w:eastAsia="Times New Roman"/>
            </w:rPr>
            <w:t xml:space="preserve">, 2003; Lee &amp; Oh, 2020; </w:t>
          </w:r>
          <w:proofErr w:type="spellStart"/>
          <w:r w:rsidR="0047170A">
            <w:rPr>
              <w:rFonts w:eastAsia="Times New Roman"/>
            </w:rPr>
            <w:t>Motl</w:t>
          </w:r>
          <w:proofErr w:type="spellEnd"/>
          <w:r w:rsidR="0047170A">
            <w:rPr>
              <w:rFonts w:eastAsia="Times New Roman"/>
            </w:rPr>
            <w:t xml:space="preserve"> &amp; Snook, 2008)</w:t>
          </w:r>
        </w:sdtContent>
      </w:sdt>
      <w:r w:rsidRPr="00EA7A71">
        <w:t>.</w:t>
      </w:r>
      <w:r>
        <w:t xml:space="preserve"> </w:t>
      </w:r>
      <w:r w:rsidRPr="00EA7A71">
        <w:t>Consequently, monitoring changes in self-efficacy throughout treatment can provide valuable insights into treatment effectiveness and inform adjustments that may need to be made to therapeutic strategies.</w:t>
      </w:r>
      <w:r>
        <w:t xml:space="preserve"> </w:t>
      </w:r>
    </w:p>
    <w:p w14:paraId="616D86AF" w14:textId="77777777" w:rsidR="00FE482F" w:rsidRPr="00207155" w:rsidRDefault="00FE482F" w:rsidP="001B4B1E">
      <w:pPr>
        <w:pStyle w:val="Heading4"/>
      </w:pPr>
      <w:r>
        <w:t xml:space="preserve">3.4.1.2 </w:t>
      </w:r>
      <w:r w:rsidRPr="00207155">
        <w:t xml:space="preserve">The </w:t>
      </w:r>
      <w:r>
        <w:t>Self-awareness/Assertiveness</w:t>
      </w:r>
      <w:r w:rsidRPr="00207155">
        <w:t xml:space="preserve"> </w:t>
      </w:r>
      <w:r>
        <w:t>S</w:t>
      </w:r>
      <w:r w:rsidRPr="00207155">
        <w:t>cale</w:t>
      </w:r>
    </w:p>
    <w:p w14:paraId="41D4DA37" w14:textId="220BFB11" w:rsidR="00FE482F" w:rsidRPr="00EA7A71" w:rsidRDefault="00FE482F" w:rsidP="00B33867">
      <w:r w:rsidRPr="001D7E08">
        <w:t>The second factor</w:t>
      </w:r>
      <w:r>
        <w:t>,</w:t>
      </w:r>
      <w:r w:rsidRPr="001D7E08">
        <w:t xml:space="preserve"> termed </w:t>
      </w:r>
      <w:r>
        <w:t>'</w:t>
      </w:r>
      <w:r w:rsidRPr="001D7E08">
        <w:t>Self-awareness/</w:t>
      </w:r>
      <w:r w:rsidRPr="00EA7A71">
        <w:t>Assertiveness</w:t>
      </w:r>
      <w:r>
        <w:t>',</w:t>
      </w:r>
      <w:r w:rsidRPr="00EA7A71">
        <w:t xml:space="preserve"> consisted of seven items related to the ability to </w:t>
      </w:r>
      <w:r>
        <w:t>recognise</w:t>
      </w:r>
      <w:r w:rsidRPr="00EA7A71">
        <w:t xml:space="preserve"> </w:t>
      </w:r>
      <w:r>
        <w:t>one's</w:t>
      </w:r>
      <w:r w:rsidRPr="00EA7A71">
        <w:t xml:space="preserve"> own needs, feelings, and opinions and communicate them to others, even when faced with disagreement or resistance and, without violating the rights of others </w:t>
      </w:r>
      <w:sdt>
        <w:sdtPr>
          <w:tag w:val="MENDELEY_CITATION_v3_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"/>
          <w:id w:val="75714417"/>
          <w:placeholder>
            <w:docPart w:val="FC94CF2EA4BA1146B8DB314647A63BD3"/>
          </w:placeholder>
        </w:sdtPr>
        <w:sdtContent>
          <w:r w:rsidR="0047170A">
            <w:rPr>
              <w:rFonts w:eastAsia="Times New Roman"/>
            </w:rPr>
            <w:t>(Ames &amp; Flynn, 2007; Speed et al., 2017)</w:t>
          </w:r>
        </w:sdtContent>
      </w:sdt>
      <w:r w:rsidRPr="00EA7A71">
        <w:t>.</w:t>
      </w:r>
      <w:r>
        <w:t xml:space="preserve"> </w:t>
      </w:r>
      <w:r w:rsidRPr="00EA7A71">
        <w:t xml:space="preserve">Psychotherapeutic work in FNSDs </w:t>
      </w:r>
      <w:r>
        <w:t>involves</w:t>
      </w:r>
      <w:r w:rsidRPr="00EA7A71">
        <w:t xml:space="preserve"> increasing bodily and internal awareness versus </w:t>
      </w:r>
      <w:r>
        <w:t>hyper-awareness of external</w:t>
      </w:r>
      <w:r w:rsidRPr="00EA7A71">
        <w:t xml:space="preserve"> </w:t>
      </w:r>
      <w:r>
        <w:t>factor</w:t>
      </w:r>
      <w:r w:rsidRPr="00EA7A71">
        <w:t>s, for example, using grounding strategies.</w:t>
      </w:r>
      <w:r>
        <w:t xml:space="preserve"> </w:t>
      </w:r>
      <w:r w:rsidRPr="00EA7A71">
        <w:t>M</w:t>
      </w:r>
      <w:r>
        <w:t>indfulness-based therapie</w:t>
      </w:r>
      <w:r w:rsidRPr="00EA7A71">
        <w:t xml:space="preserve">s </w:t>
      </w:r>
      <w:r>
        <w:t>are based on</w:t>
      </w:r>
      <w:r w:rsidRPr="00EA7A71">
        <w:t xml:space="preserve"> enhancing awareness and accepting internal states </w:t>
      </w:r>
      <w:r>
        <w:t xml:space="preserve">so </w:t>
      </w:r>
      <w:r w:rsidRPr="00EA7A71">
        <w:t>patients can engage in values-based behaviour</w:t>
      </w:r>
      <w:r>
        <w:t>s</w:t>
      </w:r>
      <w:r w:rsidRPr="00EA7A71">
        <w:t xml:space="preserve"> </w:t>
      </w:r>
      <w:r>
        <w:t>to</w:t>
      </w:r>
      <w:r w:rsidRPr="00EA7A71">
        <w:t xml:space="preserve"> reduce the </w:t>
      </w:r>
      <w:r>
        <w:t>automatised</w:t>
      </w:r>
      <w:r w:rsidRPr="00EA7A71">
        <w:t xml:space="preserve"> processes that can lead to symptoms such as </w:t>
      </w:r>
      <w:r>
        <w:t>FS</w:t>
      </w:r>
      <w:r w:rsidRPr="00EA7A71">
        <w:t xml:space="preserve"> </w:t>
      </w:r>
      <w:sdt>
        <w:sdtPr>
          <w:rPr>
            <w:color w:val="000000"/>
          </w:rPr>
          <w:tag w:val="MENDELEY_CITATION_v3_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"/>
          <w:id w:val="793484417"/>
          <w:placeholder>
            <w:docPart w:val="FC94CF2EA4BA1146B8DB314647A63BD3"/>
          </w:placeholder>
        </w:sdtPr>
        <w:sdtContent>
          <w:r w:rsidR="0047170A" w:rsidRPr="0047170A">
            <w:rPr>
              <w:color w:val="000000"/>
            </w:rPr>
            <w:t xml:space="preserve">(Myers et al., 2022). </w:t>
          </w:r>
        </w:sdtContent>
      </w:sdt>
    </w:p>
    <w:p w14:paraId="1DC44660" w14:textId="60AA9470" w:rsidR="00FE482F" w:rsidRPr="00C31591" w:rsidRDefault="00FE482F" w:rsidP="00B33867">
      <w:r w:rsidRPr="001D7E08">
        <w:t xml:space="preserve">FNSD patients have </w:t>
      </w:r>
      <w:r>
        <w:t>difficulty</w:t>
      </w:r>
      <w:r w:rsidRPr="001D7E08">
        <w:t xml:space="preserve"> identifying and describing their emotions</w:t>
      </w:r>
      <w:r>
        <w:t>,</w:t>
      </w:r>
      <w:r w:rsidRPr="001D7E08">
        <w:t xml:space="preserve"> a phenomenon known as alexithymia </w:t>
      </w:r>
      <w:sdt>
        <w:sdtPr>
          <w:rPr>
            <w:color w:val="000000"/>
          </w:rPr>
          <w:tag w:val="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"/>
          <w:id w:val="232895019"/>
          <w:placeholder>
            <w:docPart w:val="36652600CD2D264D9F8DF4671AE4AD55"/>
          </w:placeholder>
        </w:sdtPr>
        <w:sdtContent>
          <w:r w:rsidR="0047170A" w:rsidRPr="0047170A">
            <w:rPr>
              <w:color w:val="000000"/>
            </w:rPr>
            <w:t>(</w:t>
          </w:r>
          <w:proofErr w:type="spellStart"/>
          <w:r w:rsidR="0047170A" w:rsidRPr="0047170A">
            <w:rPr>
              <w:color w:val="000000"/>
            </w:rPr>
            <w:t>Bakvis</w:t>
          </w:r>
          <w:proofErr w:type="spellEnd"/>
          <w:r w:rsidR="0047170A" w:rsidRPr="0047170A">
            <w:rPr>
              <w:color w:val="000000"/>
            </w:rPr>
            <w:t xml:space="preserve"> et al., 2009; Bewley et al., 2005; Steffen-Klatt et al., 2019)</w:t>
          </w:r>
        </w:sdtContent>
      </w:sdt>
      <w:r w:rsidRPr="001D7E08">
        <w:t>.</w:t>
      </w:r>
      <w:r>
        <w:t xml:space="preserve"> </w:t>
      </w:r>
      <w:r w:rsidRPr="001D7E08">
        <w:t xml:space="preserve">Alexithymia has been linked to heightened emotional arousal, maladaptive coping strategies, and increased symptom severity in FNSD </w:t>
      </w:r>
      <w:sdt>
        <w:sdtPr>
          <w:rPr>
            <w:color w:val="000000"/>
          </w:rPr>
          <w:tag w:val="MENDELEY_CITATION_v3_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"/>
          <w:id w:val="890775400"/>
          <w:placeholder>
            <w:docPart w:val="FC94CF2EA4BA1146B8DB314647A63BD3"/>
          </w:placeholder>
        </w:sdtPr>
        <w:sdtContent>
          <w:r w:rsidR="0047170A" w:rsidRPr="0047170A">
            <w:rPr>
              <w:color w:val="000000"/>
            </w:rPr>
            <w:t>(Ricciardi et al., 2015)</w:t>
          </w:r>
        </w:sdtContent>
      </w:sdt>
      <w:r>
        <w:t xml:space="preserve">. </w:t>
      </w:r>
      <w:r w:rsidRPr="001D7E08">
        <w:t xml:space="preserve">Self-awareness also encompasses the ability to monitor </w:t>
      </w:r>
      <w:r>
        <w:t>one's</w:t>
      </w:r>
      <w:r w:rsidRPr="001D7E08">
        <w:t xml:space="preserve"> cognitive processes, which can play a role in the perpetuation of FNSD symptoms </w:t>
      </w:r>
      <w:sdt>
        <w:sdtPr>
          <w:rPr>
            <w:color w:val="000000"/>
          </w:rPr>
          <w:tag w:val="MENDELEY_CITATION_v3_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"/>
          <w:id w:val="-2119740826"/>
          <w:placeholder>
            <w:docPart w:val="FC94CF2EA4BA1146B8DB314647A63BD3"/>
          </w:placeholder>
        </w:sdtPr>
        <w:sdtContent>
          <w:r w:rsidR="0047170A" w:rsidRPr="0047170A">
            <w:rPr>
              <w:color w:val="000000"/>
            </w:rPr>
            <w:t>(</w:t>
          </w:r>
          <w:proofErr w:type="spellStart"/>
          <w:r w:rsidR="0047170A" w:rsidRPr="0047170A">
            <w:rPr>
              <w:color w:val="000000"/>
            </w:rPr>
            <w:t>Aybek</w:t>
          </w:r>
          <w:proofErr w:type="spellEnd"/>
          <w:r w:rsidR="0047170A" w:rsidRPr="0047170A">
            <w:rPr>
              <w:color w:val="000000"/>
            </w:rPr>
            <w:t xml:space="preserve"> et al., 2015)</w:t>
          </w:r>
        </w:sdtContent>
      </w:sdt>
      <w:r w:rsidRPr="001D7E08">
        <w:t xml:space="preserve">; FNSD patients may exhibit cognitive biases that contribute to negative expectations </w:t>
      </w:r>
      <w:r w:rsidRPr="001D7E08">
        <w:lastRenderedPageBreak/>
        <w:t xml:space="preserve">about their symptoms, such as negative affective attentional biases, </w:t>
      </w:r>
      <w:r>
        <w:t>catastrophising</w:t>
      </w:r>
      <w:r w:rsidRPr="001D7E08">
        <w:t xml:space="preserve"> or rumination </w:t>
      </w:r>
      <w:sdt>
        <w:sdtPr>
          <w:rPr>
            <w:color w:val="000000"/>
          </w:rPr>
          <w:tag w:val="MENDELEY_CITATION_v3_eyJjaXRhdGlvbklEIjoiTUVOREVMRVlfQ0lUQVRJT05fZmY2OGVjNzUtZmIwMC00OGIxLTg3OTYtMjI1ZTNkNTg1OWMyIiwicHJvcGVydGllcyI6eyJub3RlSW5kZXgiOjB9LCJpc0VkaXRlZCI6ZmFsc2UsIm1hbnVhbE92ZXJyaWRlIjp7ImlzTWFudWFsbHlPdmVycmlkZGVuIjpmYWxzZSwiY2l0ZXByb2NUZXh0IjoiKFBpY2sgZXQgYWwuLCAyMDE5KSIsIm1hbnVhbE92ZXJyaWRlVGV4dCI6IiJ9LCJjaXRhdGlvbkl0ZW1zIjpb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
          <w:id w:val="593523615"/>
          <w:placeholder>
            <w:docPart w:val="FC94CF2EA4BA1146B8DB314647A63BD3"/>
          </w:placeholder>
        </w:sdtPr>
        <w:sdtContent>
          <w:r w:rsidR="0047170A" w:rsidRPr="0047170A">
            <w:rPr>
              <w:color w:val="000000"/>
            </w:rPr>
            <w:t>(Pick et al., 2019)</w:t>
          </w:r>
        </w:sdtContent>
      </w:sdt>
      <w:r w:rsidRPr="001D7E08">
        <w:t>.</w:t>
      </w:r>
      <w:r>
        <w:t xml:space="preserve"> </w:t>
      </w:r>
      <w:r w:rsidRPr="001D7E08">
        <w:t>As such, this scale may reflect a</w:t>
      </w:r>
      <w:r>
        <w:t>ltered</w:t>
      </w:r>
      <w:r w:rsidRPr="001D7E08">
        <w:t xml:space="preserve"> thought processes or cognitive restructuring.</w:t>
      </w:r>
      <w:r>
        <w:t xml:space="preserve"> </w:t>
      </w:r>
      <w:r w:rsidRPr="001D7E08">
        <w:t>The convergent validity analysis showed the expected negative correlations with all total scores on the compared measures.</w:t>
      </w:r>
      <w:r>
        <w:t xml:space="preserve"> </w:t>
      </w:r>
      <w:r w:rsidRPr="001D7E08">
        <w:t>These correlations were all statistically significant, but notably</w:t>
      </w:r>
      <w:r>
        <w:t>,</w:t>
      </w:r>
      <w:r w:rsidRPr="001D7E08">
        <w:t xml:space="preserve"> the highest correlations w</w:t>
      </w:r>
      <w:r>
        <w:t>ere w</w:t>
      </w:r>
      <w:r w:rsidRPr="001D7E08">
        <w:t>ith</w:t>
      </w:r>
      <w:r>
        <w:t xml:space="preserve"> the</w:t>
      </w:r>
      <w:r w:rsidRPr="001D7E08">
        <w:t xml:space="preserve"> PHQ-9 (depression), </w:t>
      </w:r>
      <w:r>
        <w:t xml:space="preserve">PCL-5 (post-traumatic stress) and the </w:t>
      </w:r>
      <w:r w:rsidRPr="001D7E08">
        <w:t>GAD-7 (anxiety)</w:t>
      </w:r>
      <w:r>
        <w:t xml:space="preserve"> </w:t>
      </w:r>
      <w:r w:rsidRPr="001D7E08">
        <w:t>questionnaires</w:t>
      </w:r>
      <w:r>
        <w:t xml:space="preserve"> (Spearman's rho = -.536, -.498 and -.462 respectively)</w:t>
      </w:r>
      <w:r w:rsidRPr="001D7E08">
        <w:t>.</w:t>
      </w:r>
      <w:r>
        <w:t xml:space="preserve"> </w:t>
      </w:r>
      <w:r w:rsidRPr="001D7E08">
        <w:t xml:space="preserve">A lack of </w:t>
      </w:r>
      <w:r>
        <w:t>internal a</w:t>
      </w:r>
      <w:r w:rsidRPr="001D7E08">
        <w:t xml:space="preserve">wareness observed in FNSDs can impede </w:t>
      </w:r>
      <w:r>
        <w:t>patients'</w:t>
      </w:r>
      <w:r w:rsidRPr="001D7E08">
        <w:t xml:space="preserve"> ability to identify and understand their emotional experiences, contributing to emotion dysregulation </w:t>
      </w:r>
      <w:sdt>
        <w:sdtPr>
          <w:rPr>
            <w:color w:val="000000"/>
          </w:rPr>
          <w:tag w:val="MENDELEY_CITATION_v3_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"/>
          <w:id w:val="-114375220"/>
          <w:placeholder>
            <w:docPart w:val="FC94CF2EA4BA1146B8DB314647A63BD3"/>
          </w:placeholder>
        </w:sdtPr>
        <w:sdtContent>
          <w:r w:rsidR="0047170A" w:rsidRPr="0047170A">
            <w:rPr>
              <w:color w:val="000000"/>
            </w:rPr>
            <w:t>(Barrett et al., 2001)</w:t>
          </w:r>
        </w:sdtContent>
      </w:sdt>
      <w:r w:rsidRPr="001D7E08">
        <w:t>.</w:t>
      </w:r>
      <w:r>
        <w:t xml:space="preserve"> </w:t>
      </w:r>
      <w:r w:rsidRPr="001D7E08">
        <w:t xml:space="preserve">Not </w:t>
      </w:r>
      <w:r>
        <w:t>recognising</w:t>
      </w:r>
      <w:r w:rsidRPr="001D7E08">
        <w:t xml:space="preserve"> or misunderstanding emotional responses can increase vulnerability to mood disorders such as anxiety and depressio</w:t>
      </w:r>
      <w:r>
        <w:t>n</w:t>
      </w:r>
      <w:r w:rsidRPr="001D7E08">
        <w:t>.</w:t>
      </w:r>
      <w:r>
        <w:t xml:space="preserve"> </w:t>
      </w:r>
      <w:r w:rsidRPr="001D7E08">
        <w:t xml:space="preserve">For example, individuals unable to identify their feelings or triggers may struggle to implement appropriate coping strategies, leading to increased distress and potentially exacerbating somatic symptoms </w:t>
      </w:r>
      <w:sdt>
        <w:sdtPr>
          <w:rPr>
            <w:color w:val="000000"/>
          </w:rPr>
          <w:tag w:val="MENDELEY_CITATION_v3_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"/>
          <w:id w:val="1589572471"/>
          <w:placeholder>
            <w:docPart w:val="FC94CF2EA4BA1146B8DB314647A63BD3"/>
          </w:placeholder>
        </w:sdtPr>
        <w:sdtContent>
          <w:r w:rsidR="0047170A" w:rsidRPr="0047170A">
            <w:rPr>
              <w:color w:val="000000"/>
            </w:rPr>
            <w:t>(Subic-Wrana et al., 2014)</w:t>
          </w:r>
        </w:sdtContent>
      </w:sdt>
      <w:r w:rsidRPr="001D7E08">
        <w:t>.</w:t>
      </w:r>
      <w:r>
        <w:t xml:space="preserve"> </w:t>
      </w:r>
      <w:r w:rsidRPr="001D7E08">
        <w:t>As</w:t>
      </w:r>
      <w:r>
        <w:t xml:space="preserve"> as</w:t>
      </w:r>
      <w:r w:rsidRPr="001D7E08">
        <w:t xml:space="preserve">sertiveness </w:t>
      </w:r>
      <w:r>
        <w:t>p</w:t>
      </w:r>
      <w:r w:rsidRPr="001D7E08">
        <w:t xml:space="preserve">lays a significant role in interpersonal </w:t>
      </w:r>
      <w:r w:rsidRPr="00C31591">
        <w:t>relationships and communication</w:t>
      </w:r>
      <w:r>
        <w:t>,</w:t>
      </w:r>
      <w:r w:rsidRPr="00C31591">
        <w:t xml:space="preserve"> a lack of assertiveness can lead to unmet needs, unresolved conflicts, and dissatisfaction, </w:t>
      </w:r>
      <w:r>
        <w:t>aggravating</w:t>
      </w:r>
      <w:r w:rsidRPr="00C31591">
        <w:t xml:space="preserve"> anxiety and depression </w:t>
      </w:r>
      <w:sdt>
        <w:sdtPr>
          <w:rPr>
            <w:color w:val="000000"/>
          </w:rPr>
          <w:tag w:val="MENDELEY_CITATION_v3_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"/>
          <w:id w:val="-899666575"/>
          <w:placeholder>
            <w:docPart w:val="FC94CF2EA4BA1146B8DB314647A63BD3"/>
          </w:placeholder>
        </w:sdtPr>
        <w:sdtContent>
          <w:r w:rsidR="0047170A" w:rsidRPr="0047170A">
            <w:rPr>
              <w:color w:val="000000"/>
            </w:rPr>
            <w:t>(Speed et al., 2017)</w:t>
          </w:r>
        </w:sdtContent>
      </w:sdt>
      <w:r w:rsidRPr="00C31591">
        <w:t>.</w:t>
      </w:r>
      <w:r>
        <w:t xml:space="preserve"> </w:t>
      </w:r>
      <w:r w:rsidRPr="00C31591">
        <w:t xml:space="preserve">Lack of assertiveness may also lead to a perceived loss of control over </w:t>
      </w:r>
      <w:r>
        <w:t>one's</w:t>
      </w:r>
      <w:r w:rsidRPr="00C31591">
        <w:t xml:space="preserve"> environment and oneself</w:t>
      </w:r>
      <w:r>
        <w:t xml:space="preserve"> </w:t>
      </w:r>
      <w:sdt>
        <w:sdtPr>
          <w:tag w:val="MENDELEY_CITATION_v3_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"/>
          <w:id w:val="-455719284"/>
          <w:placeholder>
            <w:docPart w:val="FC94CF2EA4BA1146B8DB314647A63BD3"/>
          </w:placeholder>
        </w:sdtPr>
        <w:sdtContent>
          <w:r w:rsidR="0047170A">
            <w:rPr>
              <w:rFonts w:eastAsia="Times New Roman"/>
            </w:rPr>
            <w:t>(</w:t>
          </w:r>
          <w:proofErr w:type="spellStart"/>
          <w:r w:rsidR="0047170A">
            <w:rPr>
              <w:rFonts w:eastAsia="Times New Roman"/>
            </w:rPr>
            <w:t>Bazydlo</w:t>
          </w:r>
          <w:proofErr w:type="spellEnd"/>
          <w:r w:rsidR="0047170A">
            <w:rPr>
              <w:rFonts w:eastAsia="Times New Roman"/>
            </w:rPr>
            <w:t xml:space="preserve"> &amp; Eccles, 2022)</w:t>
          </w:r>
        </w:sdtContent>
      </w:sdt>
      <w:r w:rsidRPr="00C31591">
        <w:t>.</w:t>
      </w:r>
      <w:r>
        <w:t xml:space="preserve"> </w:t>
      </w:r>
      <w:r w:rsidRPr="00C31591">
        <w:t xml:space="preserve">Additionally, difficulties in expressing personal needs and boundaries can lead to chronic interpersonal stress, </w:t>
      </w:r>
      <w:r>
        <w:t>manifesting</w:t>
      </w:r>
      <w:r w:rsidRPr="00C31591">
        <w:t xml:space="preserve"> as somatic symptoms </w:t>
      </w:r>
      <w:sdt>
        <w:sdtPr>
          <w:tag w:val="MENDELEY_CITATION_v3_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"/>
          <w:id w:val="-725143675"/>
          <w:placeholder>
            <w:docPart w:val="FC94CF2EA4BA1146B8DB314647A63BD3"/>
          </w:placeholder>
        </w:sdtPr>
        <w:sdtContent>
          <w:r w:rsidR="0047170A">
            <w:rPr>
              <w:rFonts w:eastAsia="Times New Roman"/>
            </w:rPr>
            <w:t>(Lackner &amp; Fresco, 2016)</w:t>
          </w:r>
        </w:sdtContent>
      </w:sdt>
      <w:r w:rsidRPr="00C31591">
        <w:t xml:space="preserve">.  </w:t>
      </w:r>
    </w:p>
    <w:p w14:paraId="0DCC94EA" w14:textId="1A34D2B3" w:rsidR="00FE482F" w:rsidRPr="00C31591" w:rsidRDefault="00FE482F" w:rsidP="00B33867">
      <w:r w:rsidRPr="00C31591">
        <w:t>Self-awareness can be considered a critical component of assertiveness, as individuals with higher levels of self-awareness are more likely to engage in assertive behaviours.</w:t>
      </w:r>
      <w:r>
        <w:t xml:space="preserve"> </w:t>
      </w:r>
      <w:r w:rsidRPr="00C31591">
        <w:t xml:space="preserve">This relationship can be attributed to the fact that self-aware individuals </w:t>
      </w:r>
      <w:r>
        <w:t>better understand</w:t>
      </w:r>
      <w:r w:rsidRPr="00C31591">
        <w:t xml:space="preserve"> their own emotions, thoughts, and values, </w:t>
      </w:r>
      <w:r>
        <w:t>enabling</w:t>
      </w:r>
      <w:r w:rsidRPr="00C31591">
        <w:t xml:space="preserve"> them to communicate their needs and feelings more effectively.</w:t>
      </w:r>
      <w:r>
        <w:t xml:space="preserve"> </w:t>
      </w:r>
      <w:r w:rsidRPr="00C31591">
        <w:t>Given the deficits in interoceptive ability demonstrated in FNSDs, similar deficits in assertive behaviours in this patient group could be inferred.</w:t>
      </w:r>
      <w:r>
        <w:t xml:space="preserve"> </w:t>
      </w:r>
      <w:r w:rsidRPr="00C31591">
        <w:t xml:space="preserve">Assertiveness training programs often include self-awareness exercises to enhance </w:t>
      </w:r>
      <w:r>
        <w:t>participants'</w:t>
      </w:r>
      <w:r w:rsidRPr="00C31591">
        <w:t xml:space="preserve"> ability to </w:t>
      </w:r>
      <w:r>
        <w:t>recognise</w:t>
      </w:r>
      <w:r w:rsidRPr="00C31591">
        <w:t xml:space="preserve"> and express their feelings and needs </w:t>
      </w:r>
      <w:sdt>
        <w:sdtPr>
          <w:rPr>
            <w:color w:val="000000"/>
          </w:rPr>
          <w:tag w:val="MENDELEY_CITATION_v3_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"/>
          <w:id w:val="1980342042"/>
          <w:placeholder>
            <w:docPart w:val="FC94CF2EA4BA1146B8DB314647A63BD3"/>
          </w:placeholder>
        </w:sdtPr>
        <w:sdtContent>
          <w:r w:rsidR="0047170A" w:rsidRPr="0047170A">
            <w:rPr>
              <w:color w:val="000000"/>
            </w:rPr>
            <w:t>(Lange et al., 1975)</w:t>
          </w:r>
        </w:sdtContent>
      </w:sdt>
      <w:r w:rsidRPr="00C31591">
        <w:t>.</w:t>
      </w:r>
      <w:r>
        <w:t xml:space="preserve"> </w:t>
      </w:r>
      <w:r w:rsidRPr="00C31591">
        <w:t xml:space="preserve">While there is limited direct evidence on the effects of assertiveness training specifically for FNSD patients, assertiveness training is beneficial in managing other mental health disorders, such as anxiety and depression </w:t>
      </w:r>
      <w:sdt>
        <w:sdtPr>
          <w:rPr>
            <w:color w:val="000000"/>
          </w:rPr>
          <w:tag w:val="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"/>
          <w:id w:val="-227766607"/>
          <w:placeholder>
            <w:docPart w:val="FC94CF2EA4BA1146B8DB314647A63BD3"/>
          </w:placeholder>
        </w:sdtPr>
        <w:sdtContent>
          <w:r w:rsidR="0047170A" w:rsidRPr="0047170A">
            <w:rPr>
              <w:color w:val="000000"/>
            </w:rPr>
            <w:t>(</w:t>
          </w:r>
          <w:proofErr w:type="spellStart"/>
          <w:r w:rsidR="0047170A" w:rsidRPr="0047170A">
            <w:rPr>
              <w:color w:val="000000"/>
            </w:rPr>
            <w:t>Eslami</w:t>
          </w:r>
          <w:proofErr w:type="spellEnd"/>
          <w:r w:rsidR="0047170A" w:rsidRPr="0047170A">
            <w:rPr>
              <w:color w:val="000000"/>
            </w:rPr>
            <w:t xml:space="preserve"> et al., 2016; Speed et al., 2017)</w:t>
          </w:r>
        </w:sdtContent>
      </w:sdt>
      <w:r w:rsidRPr="00C31591">
        <w:t>.</w:t>
      </w:r>
      <w:r>
        <w:t xml:space="preserve"> </w:t>
      </w:r>
      <w:r w:rsidRPr="00C31591">
        <w:t xml:space="preserve">Considering the frequent comorbidity of these disorders in FNSD patients </w:t>
      </w:r>
      <w:sdt>
        <w:sdtPr>
          <w:rPr>
            <w:color w:val="000000"/>
          </w:rPr>
          <w:tag w:val="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"/>
          <w:id w:val="-1832053935"/>
          <w:placeholder>
            <w:docPart w:val="FC94CF2EA4BA1146B8DB314647A63BD3"/>
          </w:placeholder>
        </w:sdtPr>
        <w:sdtContent>
          <w:r w:rsidR="0047170A" w:rsidRPr="0047170A">
            <w:rPr>
              <w:color w:val="000000"/>
            </w:rPr>
            <w:t xml:space="preserve">(Gray et al., 2020; </w:t>
          </w:r>
          <w:proofErr w:type="spellStart"/>
          <w:r w:rsidR="0047170A" w:rsidRPr="0047170A">
            <w:rPr>
              <w:color w:val="000000"/>
            </w:rPr>
            <w:t>Petrochilos</w:t>
          </w:r>
          <w:proofErr w:type="spellEnd"/>
          <w:r w:rsidR="0047170A" w:rsidRPr="0047170A">
            <w:rPr>
              <w:color w:val="000000"/>
            </w:rPr>
            <w:t xml:space="preserve"> et al., </w:t>
          </w:r>
          <w:r w:rsidR="0047170A" w:rsidRPr="0047170A">
            <w:rPr>
              <w:color w:val="000000"/>
            </w:rPr>
            <w:lastRenderedPageBreak/>
            <w:t>2020)</w:t>
          </w:r>
        </w:sdtContent>
      </w:sdt>
      <w:r w:rsidRPr="00C31591">
        <w:t xml:space="preserve">, it is reasonable to suggest that enhancing assertiveness skills may lead to improved communication between patients and support networks, carers and healthcare professionals, as well as better emotional regulation and self-efficacy, ultimately promoting optimal symptom management and overall well-being. </w:t>
      </w:r>
    </w:p>
    <w:p w14:paraId="7C7985C8" w14:textId="3C110B1B" w:rsidR="00FE482F" w:rsidRPr="001D7E08" w:rsidRDefault="00FE482F" w:rsidP="00B33867">
      <w:r w:rsidRPr="001D7E08">
        <w:t>One might also surmise that there would be an inverse correlation between assertiveness and self-esteem</w:t>
      </w:r>
      <w:r>
        <w:t xml:space="preserve"> (SE)</w:t>
      </w:r>
      <w:r w:rsidRPr="001D7E08">
        <w:t>,</w:t>
      </w:r>
      <w:r w:rsidRPr="001D7E08">
        <w:rPr>
          <w:rFonts w:cs="Segoe UI"/>
          <w:shd w:val="clear" w:color="auto" w:fill="FFFFFF"/>
        </w:rPr>
        <w:t xml:space="preserve"> </w:t>
      </w:r>
      <w:r>
        <w:rPr>
          <w:rFonts w:cs="Segoe UI"/>
          <w:shd w:val="clear" w:color="auto" w:fill="FFFFFF"/>
        </w:rPr>
        <w:t>one's</w:t>
      </w:r>
      <w:r w:rsidRPr="001D7E08">
        <w:rPr>
          <w:rFonts w:cs="Segoe UI"/>
          <w:shd w:val="clear" w:color="auto" w:fill="FFFFFF"/>
        </w:rPr>
        <w:t xml:space="preserve"> sense of competence </w:t>
      </w:r>
      <w:r w:rsidRPr="001D7E08">
        <w:t>and worth.</w:t>
      </w:r>
      <w:r>
        <w:t xml:space="preserve"> </w:t>
      </w:r>
      <w:r w:rsidRPr="001D7E08">
        <w:t xml:space="preserve">Self-esteem has been investigated in a </w:t>
      </w:r>
      <w:r>
        <w:t xml:space="preserve">functional </w:t>
      </w:r>
      <w:r w:rsidRPr="001D7E08">
        <w:t xml:space="preserve">seizure population, and patients with </w:t>
      </w:r>
      <w:r>
        <w:t>FSs</w:t>
      </w:r>
      <w:r w:rsidRPr="001D7E08">
        <w:t xml:space="preserve"> had lower explicit </w:t>
      </w:r>
      <w:r>
        <w:t>SE</w:t>
      </w:r>
      <w:r w:rsidRPr="001D7E08">
        <w:t xml:space="preserve"> than those with epilepsy or healthy controls, and </w:t>
      </w:r>
      <w:r>
        <w:t xml:space="preserve">a </w:t>
      </w:r>
      <w:r w:rsidRPr="001D7E08">
        <w:t xml:space="preserve">higher frequency of </w:t>
      </w:r>
      <w:r>
        <w:t>FSs</w:t>
      </w:r>
      <w:r w:rsidRPr="001D7E08">
        <w:t xml:space="preserve"> was associated with lower explicit self-esteem.</w:t>
      </w:r>
      <w:r>
        <w:t xml:space="preserve"> </w:t>
      </w:r>
      <w:r w:rsidRPr="001D7E08">
        <w:t xml:space="preserve">Low self-esteem </w:t>
      </w:r>
      <w:r>
        <w:t>w</w:t>
      </w:r>
      <w:r w:rsidRPr="001D7E08">
        <w:t>as also associated with perceived stigma, disability and poor treatment outcomes</w:t>
      </w:r>
      <w:r>
        <w:t>,</w:t>
      </w:r>
      <w:r w:rsidRPr="001D7E08">
        <w:t xml:space="preserve"> which could mediate </w:t>
      </w:r>
      <w:r>
        <w:t>patients'</w:t>
      </w:r>
      <w:r w:rsidRPr="001D7E08">
        <w:t xml:space="preserve"> ability to acknowledge and assert their own needs or wishes </w:t>
      </w:r>
      <w:sdt>
        <w:sdtPr>
          <w:rPr>
            <w:color w:val="000000"/>
          </w:rPr>
          <w:tag w:val="MENDELEY_CITATION_v3_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"/>
          <w:id w:val="-1099166901"/>
          <w:placeholder>
            <w:docPart w:val="FBBA159F651E5946AEE367087CBD9AA4"/>
          </w:placeholder>
        </w:sdtPr>
        <w:sdtContent>
          <w:r w:rsidR="0047170A" w:rsidRPr="0047170A">
            <w:rPr>
              <w:color w:val="000000"/>
            </w:rPr>
            <w:t>(</w:t>
          </w:r>
          <w:proofErr w:type="spellStart"/>
          <w:r w:rsidR="0047170A" w:rsidRPr="0047170A">
            <w:rPr>
              <w:color w:val="000000"/>
            </w:rPr>
            <w:t>Dimaro</w:t>
          </w:r>
          <w:proofErr w:type="spellEnd"/>
          <w:r w:rsidR="0047170A" w:rsidRPr="0047170A">
            <w:rPr>
              <w:color w:val="000000"/>
            </w:rPr>
            <w:t xml:space="preserve"> et al., 2015).</w:t>
          </w:r>
        </w:sdtContent>
      </w:sdt>
    </w:p>
    <w:p w14:paraId="5D0E535F" w14:textId="37580995" w:rsidR="00FE482F" w:rsidRPr="001D7E08" w:rsidRDefault="00FE482F" w:rsidP="00B33867">
      <w:r w:rsidRPr="001D7E08">
        <w:t>Among comprehensive psychoeducation about the disorder and enhanced understanding of seizure</w:t>
      </w:r>
      <w:r>
        <w:t xml:space="preserve"> </w:t>
      </w:r>
      <w:r w:rsidRPr="001D7E08">
        <w:t>triggers</w:t>
      </w:r>
      <w:r>
        <w:t>,</w:t>
      </w:r>
      <w:r w:rsidRPr="001D7E08">
        <w:t xml:space="preserve"> </w:t>
      </w:r>
      <w:r>
        <w:t>the</w:t>
      </w:r>
      <w:r w:rsidRPr="001D7E08">
        <w:t xml:space="preserve"> </w:t>
      </w:r>
      <w:r>
        <w:t>increased</w:t>
      </w:r>
      <w:r w:rsidRPr="001D7E08">
        <w:t xml:space="preserve"> awareness and tolerance of potentially uncomfortable emotions</w:t>
      </w:r>
      <w:r>
        <w:t xml:space="preserve"> </w:t>
      </w:r>
      <w:r w:rsidRPr="001D7E08">
        <w:t>are focuses of psychotherapeutic intervention.</w:t>
      </w:r>
      <w:r>
        <w:t xml:space="preserve"> </w:t>
      </w:r>
      <w:r w:rsidRPr="001D7E08">
        <w:t xml:space="preserve">This scale may act as a measure </w:t>
      </w:r>
      <w:r>
        <w:t>of self-</w:t>
      </w:r>
      <w:r w:rsidRPr="001D7E08">
        <w:t xml:space="preserve">awareness </w:t>
      </w:r>
      <w:r>
        <w:t xml:space="preserve">and, in some cases, assertiveness </w:t>
      </w:r>
      <w:r w:rsidRPr="001D7E08">
        <w:t xml:space="preserve">in a disorder </w:t>
      </w:r>
      <w:r>
        <w:t>characterised</w:t>
      </w:r>
      <w:r w:rsidRPr="001D7E08">
        <w:t xml:space="preserve"> by episodic disruption of normal levels of awareness</w:t>
      </w:r>
      <w:r>
        <w:t xml:space="preserve">. </w:t>
      </w:r>
      <w:r w:rsidRPr="001D7E08">
        <w:t xml:space="preserve">A low score on this scale could inform the </w:t>
      </w:r>
      <w:r>
        <w:t xml:space="preserve">need for </w:t>
      </w:r>
      <w:r w:rsidRPr="001D7E08">
        <w:t>therapeutic interventions</w:t>
      </w:r>
      <w:r>
        <w:t>,</w:t>
      </w:r>
      <w:r w:rsidRPr="001D7E08">
        <w:t xml:space="preserve"> such as CBT and mindfulness-based approaches</w:t>
      </w:r>
      <w:r>
        <w:t>,</w:t>
      </w:r>
      <w:r w:rsidRPr="001D7E08">
        <w:t xml:space="preserve"> t</w:t>
      </w:r>
      <w:r>
        <w:t>hat</w:t>
      </w:r>
      <w:r w:rsidRPr="001D7E08">
        <w:t xml:space="preserve"> enhance self-awareness</w:t>
      </w:r>
      <w:r>
        <w:t xml:space="preserve">. </w:t>
      </w:r>
      <w:r w:rsidRPr="001D7E08">
        <w:t>A</w:t>
      </w:r>
      <w:r>
        <w:t xml:space="preserve">fter </w:t>
      </w:r>
      <w:r w:rsidRPr="001D7E08">
        <w:t xml:space="preserve">therapy, this subscale may be able to detect a patient who is better equipped to </w:t>
      </w:r>
      <w:r>
        <w:t>recognise</w:t>
      </w:r>
      <w:r w:rsidRPr="001D7E08">
        <w:t xml:space="preserve"> emotional triggers</w:t>
      </w:r>
      <w:r>
        <w:t xml:space="preserve"> and reactive bodily sensations</w:t>
      </w:r>
      <w:r w:rsidRPr="001D7E08">
        <w:t xml:space="preserve"> and </w:t>
      </w:r>
      <w:r>
        <w:t xml:space="preserve">to </w:t>
      </w:r>
      <w:r w:rsidRPr="001D7E08">
        <w:t>implement effective emotion regulation strategies, which can lead to improved symptom management</w:t>
      </w:r>
      <w:r>
        <w:t xml:space="preserve"> </w:t>
      </w:r>
      <w:sdt>
        <w:sdtPr>
          <w:rPr>
            <w:color w:val="000000"/>
          </w:rPr>
          <w:tag w:val="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"/>
          <w:id w:val="-1518064380"/>
          <w:placeholder>
            <w:docPart w:val="FC94CF2EA4BA1146B8DB314647A63BD3"/>
          </w:placeholder>
        </w:sdtPr>
        <w:sdtContent>
          <w:r w:rsidR="0047170A">
            <w:rPr>
              <w:rFonts w:eastAsia="Times New Roman"/>
            </w:rPr>
            <w:t>(</w:t>
          </w:r>
          <w:proofErr w:type="spellStart"/>
          <w:r w:rsidR="0047170A">
            <w:rPr>
              <w:rFonts w:eastAsia="Times New Roman"/>
            </w:rPr>
            <w:t>Baslet</w:t>
          </w:r>
          <w:proofErr w:type="spellEnd"/>
          <w:r w:rsidR="0047170A">
            <w:rPr>
              <w:rFonts w:eastAsia="Times New Roman"/>
            </w:rPr>
            <w:t xml:space="preserve"> et al., 2015; O'Connell et al., 2019; Pick et al., 2019; Williams et al., 2018)</w:t>
          </w:r>
        </w:sdtContent>
      </w:sdt>
      <w:r w:rsidRPr="001D7E08">
        <w:t>.</w:t>
      </w:r>
    </w:p>
    <w:p w14:paraId="09A15E53" w14:textId="77777777" w:rsidR="00FE482F" w:rsidRPr="00207155" w:rsidRDefault="00FE482F" w:rsidP="001B4B1E">
      <w:pPr>
        <w:pStyle w:val="Heading4"/>
      </w:pPr>
      <w:r>
        <w:t xml:space="preserve">3.4.1.3 </w:t>
      </w:r>
      <w:r w:rsidRPr="00207155">
        <w:t xml:space="preserve">The </w:t>
      </w:r>
      <w:r>
        <w:t>Interpersonal Illness Burden S</w:t>
      </w:r>
      <w:r w:rsidRPr="00207155">
        <w:t>cale</w:t>
      </w:r>
    </w:p>
    <w:p w14:paraId="0EAC3E78" w14:textId="77777777" w:rsidR="00FE482F" w:rsidRDefault="00FE482F" w:rsidP="00B33867">
      <w:r w:rsidRPr="002952FB">
        <w:t xml:space="preserve">A third factor </w:t>
      </w:r>
      <w:r>
        <w:t>comprising seven items appeared to</w:t>
      </w:r>
      <w:r w:rsidRPr="00BE1BAB">
        <w:t xml:space="preserve"> address various aspects of </w:t>
      </w:r>
      <w:r>
        <w:t xml:space="preserve">the burden of the illness on interpersonal relationships and was so termed the 'Interpersonal Illness Burden'. This </w:t>
      </w:r>
      <w:r w:rsidRPr="00BE1BAB">
        <w:t>includ</w:t>
      </w:r>
      <w:r>
        <w:t xml:space="preserve">ed dealing with illness-related shame; </w:t>
      </w:r>
      <w:r w:rsidRPr="00EA7A71">
        <w:t xml:space="preserve">emotional expression, </w:t>
      </w:r>
      <w:r>
        <w:t>i.e.,</w:t>
      </w:r>
      <w:r w:rsidRPr="00EA7A71">
        <w:t xml:space="preserve"> the tendency to suppress or express emotions; perceived burden, </w:t>
      </w:r>
      <w:r>
        <w:t>i.e.,</w:t>
      </w:r>
      <w:r w:rsidRPr="00EA7A71">
        <w:t xml:space="preserve"> the </w:t>
      </w:r>
      <w:r>
        <w:t>patient's</w:t>
      </w:r>
      <w:r w:rsidRPr="00EA7A71">
        <w:t xml:space="preserve"> concern about being a burden on others due to their illness</w:t>
      </w:r>
      <w:r>
        <w:t>;</w:t>
      </w:r>
      <w:r w:rsidRPr="00EA7A71">
        <w:t xml:space="preserve"> help-seeking, </w:t>
      </w:r>
      <w:r>
        <w:t>i.e.,</w:t>
      </w:r>
      <w:r w:rsidRPr="00EA7A71">
        <w:t xml:space="preserve"> </w:t>
      </w:r>
      <w:r>
        <w:t>patients'</w:t>
      </w:r>
      <w:r w:rsidRPr="00EA7A71">
        <w:t xml:space="preserve"> comfort with seeking help</w:t>
      </w:r>
      <w:r>
        <w:t>;</w:t>
      </w:r>
      <w:r w:rsidRPr="00EA7A71">
        <w:t xml:space="preserve"> overexertion of self and unresolved past issues.</w:t>
      </w:r>
      <w:r>
        <w:t xml:space="preserve"> </w:t>
      </w:r>
      <w:r w:rsidRPr="00BE1BAB">
        <w:t>By understanding the</w:t>
      </w:r>
      <w:r>
        <w:t xml:space="preserve"> impact of an individual's </w:t>
      </w:r>
      <w:r w:rsidRPr="00BE1BAB">
        <w:t>illness</w:t>
      </w:r>
      <w:r>
        <w:t xml:space="preserve"> in social and interpersonal contexts</w:t>
      </w:r>
      <w:r w:rsidRPr="00BE1BAB">
        <w:t xml:space="preserve">, </w:t>
      </w:r>
      <w:r>
        <w:t>clinicians</w:t>
      </w:r>
      <w:r w:rsidRPr="00BE1BAB">
        <w:t xml:space="preserve"> can </w:t>
      </w:r>
      <w:r>
        <w:t xml:space="preserve">again </w:t>
      </w:r>
      <w:r w:rsidRPr="00BE1BAB">
        <w:t>identify specific domains that can be assessed and targeted in treatment</w:t>
      </w:r>
      <w:r>
        <w:t xml:space="preserve"> and tailor these to improve QOL.</w:t>
      </w:r>
    </w:p>
    <w:p w14:paraId="00E52A6F" w14:textId="62130AF3" w:rsidR="00FE482F" w:rsidRDefault="00FE482F" w:rsidP="00B33867">
      <w:r w:rsidRPr="00BE1BAB">
        <w:lastRenderedPageBreak/>
        <w:t xml:space="preserve">One such area is the social emotion of </w:t>
      </w:r>
      <w:r w:rsidRPr="00EA7A71">
        <w:t>shame, which has scarcely been</w:t>
      </w:r>
      <w:r>
        <w:t xml:space="preserve"> looked at in FNSD. However, recent work </w:t>
      </w:r>
      <w:r w:rsidRPr="00BE1BAB">
        <w:t xml:space="preserve">has </w:t>
      </w:r>
      <w:r>
        <w:t xml:space="preserve">emphasised </w:t>
      </w:r>
      <w:r w:rsidRPr="00BE1BAB">
        <w:t xml:space="preserve">the possible significance of shame </w:t>
      </w:r>
      <w:r>
        <w:t xml:space="preserve">in FNSDs, specifically in FS, </w:t>
      </w:r>
      <w:r w:rsidRPr="00EA7A71">
        <w:t xml:space="preserve">revealing similarities between the factors that influence the development of shame and those that contribute to the emergence of </w:t>
      </w:r>
      <w:r>
        <w:t>FSs</w:t>
      </w:r>
      <w:r w:rsidRPr="00EA7A71">
        <w:t xml:space="preserve"> </w:t>
      </w:r>
      <w:sdt>
        <w:sdtPr>
          <w:rPr>
            <w:color w:val="000000"/>
          </w:rPr>
          <w:tag w:val="MENDELEY_CITATION_v3_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"/>
          <w:id w:val="117810430"/>
          <w:placeholder>
            <w:docPart w:val="FC94CF2EA4BA1146B8DB314647A63BD3"/>
          </w:placeholder>
        </w:sdtPr>
        <w:sdtContent>
          <w:r w:rsidR="0047170A" w:rsidRPr="0047170A">
            <w:rPr>
              <w:color w:val="000000"/>
            </w:rPr>
            <w:t>(Reuber et al., 2022)</w:t>
          </w:r>
        </w:sdtContent>
      </w:sdt>
      <w:r>
        <w:t>. It was proposed that</w:t>
      </w:r>
      <w:r w:rsidRPr="00BE1BAB">
        <w:t xml:space="preserve"> there may be significant connections between predisposing and precipitating or triggering aspects of</w:t>
      </w:r>
      <w:r>
        <w:t xml:space="preserve"> FS</w:t>
      </w:r>
      <w:r w:rsidRPr="00BE1BAB">
        <w:t xml:space="preserve"> disorders and excessive feelings of guilt, less tolerance for shame, or enhanced shame avoidance</w:t>
      </w:r>
      <w:r>
        <w:t xml:space="preserve"> based on external factors and/or illness-related factors</w:t>
      </w:r>
      <w:r w:rsidRPr="00BE1BAB">
        <w:t>.</w:t>
      </w:r>
      <w:r>
        <w:t xml:space="preserve"> </w:t>
      </w:r>
      <w:r w:rsidRPr="00BE1BAB">
        <w:t xml:space="preserve">The public </w:t>
      </w:r>
      <w:r>
        <w:t xml:space="preserve">presentation </w:t>
      </w:r>
      <w:r w:rsidRPr="00BE1BAB">
        <w:t>of emotion processing</w:t>
      </w:r>
      <w:r>
        <w:t xml:space="preserve"> in FNSDs, coupled with factors such as </w:t>
      </w:r>
      <w:r w:rsidRPr="00BE1BAB">
        <w:t>stigma</w:t>
      </w:r>
      <w:r>
        <w:t>, worsens these issues and can increase</w:t>
      </w:r>
      <w:r w:rsidRPr="00BE1BAB">
        <w:t xml:space="preserve"> shame to a point at which it becomes debilitating or pathological and </w:t>
      </w:r>
      <w:r>
        <w:t>affects</w:t>
      </w:r>
      <w:r w:rsidRPr="00BE1BAB">
        <w:t xml:space="preserve"> a </w:t>
      </w:r>
      <w:r>
        <w:t>person's</w:t>
      </w:r>
      <w:r w:rsidRPr="00BE1BAB">
        <w:t xml:space="preserve"> health outcomes </w:t>
      </w:r>
      <w:sdt>
        <w:sdtPr>
          <w:tag w:val="MENDELEY_CITATION_v3_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"/>
          <w:id w:val="338511314"/>
          <w:placeholder>
            <w:docPart w:val="FC94CF2EA4BA1146B8DB314647A63BD3"/>
          </w:placeholder>
        </w:sdtPr>
        <w:sdtContent>
          <w:r w:rsidR="0047170A">
            <w:rPr>
              <w:rFonts w:eastAsia="Times New Roman"/>
            </w:rPr>
            <w:t>(Dolezal &amp; Lyons, 2017)</w:t>
          </w:r>
        </w:sdtContent>
      </w:sdt>
      <w:r>
        <w:t xml:space="preserve">. Interestingly, the original a-priori construct of 'stigma' was not identified as a factor, but stigma-related inferences and impact can be drawn from this IIB subscale. </w:t>
      </w:r>
    </w:p>
    <w:p w14:paraId="72999793" w14:textId="6AC92FA4" w:rsidR="00FE482F" w:rsidRDefault="00FE482F" w:rsidP="00B33867">
      <w:r>
        <w:t>The interpersonal nature of items in this subscale also reflects some theoretical overlap with the self-efficacy and social support scales. The</w:t>
      </w:r>
      <w:r w:rsidRPr="00EA7A71">
        <w:t xml:space="preserve"> perception of being a burden</w:t>
      </w:r>
      <w:r>
        <w:t xml:space="preserve">, for example, as </w:t>
      </w:r>
      <w:r w:rsidRPr="00EA7A71">
        <w:t xml:space="preserve">measured by item 12, </w:t>
      </w:r>
      <w:r>
        <w:t>or d</w:t>
      </w:r>
      <w:r w:rsidRPr="00EA7A71">
        <w:t>ifficulty asking for help</w:t>
      </w:r>
      <w:r>
        <w:t>,</w:t>
      </w:r>
      <w:r w:rsidRPr="00EA7A71">
        <w:t xml:space="preserve"> </w:t>
      </w:r>
      <w:r>
        <w:t xml:space="preserve">as measured by item 14, </w:t>
      </w:r>
      <w:r w:rsidRPr="00EA7A71">
        <w:t>can limit the acquisition of needed social and practical support</w:t>
      </w:r>
      <w:r>
        <w:t xml:space="preserve">, </w:t>
      </w:r>
      <w:r w:rsidRPr="00EA7A71">
        <w:t>decrease social engagement and increase feelings of guilt and distress.</w:t>
      </w:r>
      <w:r>
        <w:t xml:space="preserve"> As r</w:t>
      </w:r>
      <w:r w:rsidRPr="00EA7A71">
        <w:t>esearch suggests that increasing help-seeking behaviours can improve health outcomes</w:t>
      </w:r>
      <w:r>
        <w:t xml:space="preserve"> </w:t>
      </w:r>
      <w:sdt>
        <w:sdtPr>
          <w:rPr>
            <w:color w:val="000000"/>
          </w:rPr>
          <w:tag w:val="MENDELEY_CITATION_v3_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"/>
          <w:id w:val="574934868"/>
          <w:placeholder>
            <w:docPart w:val="FC94CF2EA4BA1146B8DB314647A63BD3"/>
          </w:placeholder>
        </w:sdtPr>
        <w:sdtContent>
          <w:r w:rsidR="0047170A" w:rsidRPr="0047170A">
            <w:rPr>
              <w:color w:val="000000"/>
            </w:rPr>
            <w:t>(Andrews et al., 2000)</w:t>
          </w:r>
        </w:sdtContent>
      </w:sdt>
      <w:r>
        <w:t>, i</w:t>
      </w:r>
      <w:r w:rsidRPr="00EA7A71">
        <w:t>nterventions that address such concerns can improve social support networks and overall patient well-being.</w:t>
      </w:r>
    </w:p>
    <w:p w14:paraId="0958C58A" w14:textId="1428854C" w:rsidR="00FE482F" w:rsidRDefault="00FE482F" w:rsidP="00B33867">
      <w:r>
        <w:t xml:space="preserve">Significant negative correlations were found with this scale and total scores of depression, anxiety, QOL, somatic symptom severity, social functioning, post-traumatic stress and unmitigated communion measures. Although all correlations were of weak to moderate strength (Spearman's Rho = -.108 - -388, p's &lt;0.05), all of these were statistically significant. Notably, the strongest correlation was with unmitigated communion, a personality construct that captures an individual's extreme focus on others, often to the detriment of their own needs </w:t>
      </w:r>
      <w:sdt>
        <w:sdtPr>
          <w:tag w:val="MENDELEY_CITATION_v3_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"/>
          <w:id w:val="521293276"/>
          <w:placeholder>
            <w:docPart w:val="FC94CF2EA4BA1146B8DB314647A63BD3"/>
          </w:placeholder>
        </w:sdtPr>
        <w:sdtContent>
          <w:r w:rsidR="0047170A">
            <w:rPr>
              <w:rFonts w:eastAsia="Times New Roman"/>
            </w:rPr>
            <w:t>(Helgeson &amp; Fritz, 1999)</w:t>
          </w:r>
        </w:sdtContent>
      </w:sdt>
      <w:r>
        <w:t xml:space="preserve">. These findings may reflect externalised hyperawareness of other people, including their needs and wishes or an element of shame that detracts from the patient's ability to acknowledge their needs and feelings without judgement. </w:t>
      </w:r>
      <w:r w:rsidRPr="00E43875">
        <w:t xml:space="preserve">This external focus and self-critical perspective </w:t>
      </w:r>
      <w:r>
        <w:t>would likely be observed in clinical treatment settings. However, i</w:t>
      </w:r>
      <w:r w:rsidRPr="00BE1BAB">
        <w:t xml:space="preserve">t can be challenging </w:t>
      </w:r>
      <w:r>
        <w:t>to</w:t>
      </w:r>
      <w:r w:rsidRPr="00BE1BAB">
        <w:t xml:space="preserve"> identify </w:t>
      </w:r>
      <w:r>
        <w:t xml:space="preserve">social factors such as </w:t>
      </w:r>
      <w:r w:rsidRPr="00BE1BAB">
        <w:t>shame</w:t>
      </w:r>
      <w:r>
        <w:t>, stigma, or unmitigated communion</w:t>
      </w:r>
      <w:r w:rsidRPr="00BE1BAB">
        <w:t xml:space="preserve"> during initial encounters because of </w:t>
      </w:r>
      <w:r>
        <w:t>their</w:t>
      </w:r>
      <w:r w:rsidRPr="00BE1BAB">
        <w:t xml:space="preserve"> interpersonal </w:t>
      </w:r>
      <w:r w:rsidRPr="00BE1BAB">
        <w:lastRenderedPageBreak/>
        <w:t>nature.</w:t>
      </w:r>
      <w:r>
        <w:t xml:space="preserve"> The</w:t>
      </w:r>
      <w:r w:rsidRPr="00BE1BAB">
        <w:t xml:space="preserve"> recogni</w:t>
      </w:r>
      <w:r>
        <w:t xml:space="preserve">tion of these factors is crucial, </w:t>
      </w:r>
      <w:r w:rsidRPr="00BE1BAB">
        <w:t xml:space="preserve">as delayed detection may hinder therapeutic progress and </w:t>
      </w:r>
      <w:r>
        <w:t>reduce</w:t>
      </w:r>
      <w:r w:rsidRPr="00BE1BAB">
        <w:t xml:space="preserve"> the effectiveness of treatment.</w:t>
      </w:r>
      <w:r>
        <w:t xml:space="preserve"> For example, h</w:t>
      </w:r>
      <w:r w:rsidRPr="00BE1BAB">
        <w:t>eightened</w:t>
      </w:r>
      <w:r>
        <w:t xml:space="preserve"> </w:t>
      </w:r>
      <w:r w:rsidRPr="00BE1BAB">
        <w:t xml:space="preserve">or poorly regulated shame </w:t>
      </w:r>
      <w:r>
        <w:t xml:space="preserve">in these patients </w:t>
      </w:r>
      <w:r w:rsidRPr="00BE1BAB">
        <w:t xml:space="preserve">could serve as a connection </w:t>
      </w:r>
      <w:r>
        <w:t>with</w:t>
      </w:r>
      <w:r w:rsidRPr="00BE1BAB">
        <w:t xml:space="preserve"> mental disorders </w:t>
      </w:r>
      <w:sdt>
        <w:sdtPr>
          <w:rPr>
            <w:color w:val="000000"/>
          </w:rPr>
          <w:tag w:val="MENDELEY_CITATION_v3_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"/>
          <w:id w:val="1296111921"/>
          <w:placeholder>
            <w:docPart w:val="FC94CF2EA4BA1146B8DB314647A63BD3"/>
          </w:placeholder>
        </w:sdtPr>
        <w:sdtContent>
          <w:r w:rsidR="0047170A" w:rsidRPr="0047170A">
            <w:rPr>
              <w:color w:val="000000"/>
            </w:rPr>
            <w:t>(Reuber et al., 2022)</w:t>
          </w:r>
        </w:sdtContent>
      </w:sdt>
      <w:r>
        <w:t xml:space="preserve">. A measure to detect </w:t>
      </w:r>
      <w:r w:rsidRPr="00BE1BAB">
        <w:t>this emotional association ma</w:t>
      </w:r>
      <w:r>
        <w:t xml:space="preserve">y better enable </w:t>
      </w:r>
      <w:r w:rsidRPr="00BE1BAB">
        <w:t xml:space="preserve">a thorough understanding of a </w:t>
      </w:r>
      <w:r>
        <w:t>patient's</w:t>
      </w:r>
      <w:r w:rsidRPr="00BE1BAB">
        <w:t xml:space="preserve"> symptoms</w:t>
      </w:r>
      <w:r>
        <w:t>. Utilising a scale like the interpersonal illness burden scale may give first insights into a possible contribution of chronic shame or other indicators of interpersonal vulnerability in pwFNSD.</w:t>
      </w:r>
    </w:p>
    <w:p w14:paraId="2D9EE3C6" w14:textId="2333F5BB" w:rsidR="00FE482F" w:rsidRDefault="00FE482F" w:rsidP="00B33867">
      <w:r>
        <w:t>Assessing these</w:t>
      </w:r>
      <w:r w:rsidRPr="00BE1BAB">
        <w:t xml:space="preserve"> illness burden</w:t>
      </w:r>
      <w:r>
        <w:t>s</w:t>
      </w:r>
      <w:r w:rsidRPr="00BE1BAB">
        <w:t xml:space="preserve"> can help tailor treatment plans to address the unique needs and challenges faced by each person with FNSD.</w:t>
      </w:r>
      <w:r>
        <w:t xml:space="preserve"> For example, Reuber et al. (2022) discussed that t</w:t>
      </w:r>
      <w:r w:rsidRPr="00BE1BAB">
        <w:t xml:space="preserve">he most appropriate treatment of shame-related mechanisms in patients with </w:t>
      </w:r>
      <w:r>
        <w:t>FS</w:t>
      </w:r>
      <w:r w:rsidRPr="00BE1BAB">
        <w:t xml:space="preserve"> </w:t>
      </w:r>
      <w:r>
        <w:t>would</w:t>
      </w:r>
      <w:r w:rsidRPr="00BE1BAB">
        <w:t xml:space="preserve"> depend on an individual </w:t>
      </w:r>
      <w:r>
        <w:t>patient's</w:t>
      </w:r>
      <w:r w:rsidRPr="00BE1BAB">
        <w:t xml:space="preserve"> circumstances, the contribution shame may </w:t>
      </w:r>
      <w:r>
        <w:t>make</w:t>
      </w:r>
      <w:r w:rsidRPr="00BE1BAB">
        <w:t xml:space="preserve"> to the </w:t>
      </w:r>
      <w:r>
        <w:t>patient's FS</w:t>
      </w:r>
      <w:r w:rsidRPr="00BE1BAB">
        <w:t xml:space="preserve"> and its context.</w:t>
      </w:r>
      <w:r>
        <w:t xml:space="preserve"> </w:t>
      </w:r>
      <w:r w:rsidRPr="00BE1BAB">
        <w:t>This scale might also provide</w:t>
      </w:r>
      <w:r>
        <w:t xml:space="preserve"> a </w:t>
      </w:r>
      <w:r w:rsidRPr="00BE1BAB">
        <w:t>treatment-related change</w:t>
      </w:r>
      <w:r>
        <w:t xml:space="preserve"> index</w:t>
      </w:r>
      <w:r w:rsidRPr="00BE1BAB">
        <w:t xml:space="preserve"> in therapies such as </w:t>
      </w:r>
      <w:r>
        <w:t>Compassion</w:t>
      </w:r>
      <w:r w:rsidRPr="00BE1BAB">
        <w:t xml:space="preserve">-focused therapy (CFT; </w:t>
      </w:r>
      <w:sdt>
        <w:sdtPr>
          <w:rPr>
            <w:color w:val="000000"/>
          </w:rPr>
          <w:tag w:val="MENDELEY_CITATION_v3_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"/>
          <w:id w:val="-2128153610"/>
          <w:placeholder>
            <w:docPart w:val="FC94CF2EA4BA1146B8DB314647A63BD3"/>
          </w:placeholder>
        </w:sdtPr>
        <w:sdtContent>
          <w:r w:rsidR="0047170A" w:rsidRPr="0047170A">
            <w:rPr>
              <w:color w:val="000000"/>
            </w:rPr>
            <w:t>(Gilbert, 2009)</w:t>
          </w:r>
        </w:sdtContent>
      </w:sdt>
      <w:r>
        <w:t xml:space="preserve"> </w:t>
      </w:r>
      <w:r w:rsidRPr="00BE1BAB">
        <w:t xml:space="preserve">which </w:t>
      </w:r>
      <w:r>
        <w:t>address</w:t>
      </w:r>
      <w:r w:rsidRPr="00BE1BAB">
        <w:t xml:space="preserve"> distress tolerance, emotion regulation, and self-compassion</w:t>
      </w:r>
      <w:r>
        <w:t xml:space="preserve"> versus self-criticism and shame</w:t>
      </w:r>
      <w:r w:rsidRPr="00BE1BAB">
        <w:t xml:space="preserve">. </w:t>
      </w:r>
    </w:p>
    <w:p w14:paraId="4394F5F3" w14:textId="26FFAFCC" w:rsidR="00FE482F" w:rsidRPr="00207155" w:rsidRDefault="00400BA2" w:rsidP="001B4B1E">
      <w:pPr>
        <w:pStyle w:val="Heading4"/>
      </w:pPr>
      <w:r>
        <w:t>3.</w:t>
      </w:r>
      <w:r w:rsidR="00FE482F">
        <w:t xml:space="preserve">4.1.4 </w:t>
      </w:r>
      <w:r w:rsidR="00FE482F" w:rsidRPr="00207155">
        <w:t xml:space="preserve">The </w:t>
      </w:r>
      <w:r w:rsidR="00FE482F">
        <w:t>Social Support S</w:t>
      </w:r>
      <w:r w:rsidR="00FE482F" w:rsidRPr="00207155">
        <w:t>cale</w:t>
      </w:r>
    </w:p>
    <w:p w14:paraId="44AC4F02" w14:textId="3C6BAFCC" w:rsidR="00FE482F" w:rsidRPr="00FF119D" w:rsidRDefault="00FE482F" w:rsidP="00B33867">
      <w:r w:rsidRPr="00FF119D">
        <w:t xml:space="preserve">The final factor identified was interpreted as assessing </w:t>
      </w:r>
      <w:r>
        <w:t>'</w:t>
      </w:r>
      <w:r w:rsidRPr="00FF119D">
        <w:t>Social Support</w:t>
      </w:r>
      <w:r>
        <w:t>'</w:t>
      </w:r>
      <w:r w:rsidRPr="00FF119D">
        <w:t xml:space="preserve">, which refers to the perception or experience of being cared for, loved, esteemed, </w:t>
      </w:r>
      <w:r>
        <w:t xml:space="preserve">and </w:t>
      </w:r>
      <w:r w:rsidRPr="00FF119D">
        <w:t xml:space="preserve">valued by significant others and part of a mutually obliging communication network </w:t>
      </w:r>
      <w:sdt>
        <w:sdtPr>
          <w:rPr>
            <w:color w:val="000000"/>
          </w:rPr>
          <w:tag w:val="MENDELEY_CITATION_v3_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"/>
          <w:id w:val="733285183"/>
          <w:placeholder>
            <w:docPart w:val="FC94CF2EA4BA1146B8DB314647A63BD3"/>
          </w:placeholder>
        </w:sdtPr>
        <w:sdtContent>
          <w:r w:rsidR="0047170A" w:rsidRPr="0047170A">
            <w:rPr>
              <w:color w:val="000000"/>
            </w:rPr>
            <w:t>(Cobb, 1976)</w:t>
          </w:r>
        </w:sdtContent>
      </w:sdt>
      <w:r w:rsidRPr="00FF119D">
        <w:t>.</w:t>
      </w:r>
      <w:r>
        <w:t xml:space="preserve"> </w:t>
      </w:r>
      <w:r w:rsidRPr="00FF119D">
        <w:t>It is posited that social support mitigates the negative impacts of stressors associated with chronic illnesses and psychological symptoms</w:t>
      </w:r>
      <w:r>
        <w:t>,</w:t>
      </w:r>
      <w:r w:rsidRPr="00FF119D">
        <w:t xml:space="preserve"> such as in FNSD, by providing emotional, informational, and instrumental resources and appraisal </w:t>
      </w:r>
      <w:sdt>
        <w:sdtPr>
          <w:tag w:val="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"/>
          <w:id w:val="-1901436365"/>
          <w:placeholder>
            <w:docPart w:val="FC94CF2EA4BA1146B8DB314647A63BD3"/>
          </w:placeholder>
        </w:sdtPr>
        <w:sdtContent>
          <w:r w:rsidR="0047170A">
            <w:rPr>
              <w:rFonts w:eastAsia="Times New Roman"/>
            </w:rPr>
            <w:t xml:space="preserve">(Cohen &amp; Wills, 1985; Mondal et al., 2020; </w:t>
          </w:r>
          <w:proofErr w:type="spellStart"/>
          <w:r w:rsidR="0047170A">
            <w:rPr>
              <w:rFonts w:eastAsia="Times New Roman"/>
            </w:rPr>
            <w:t>Thoits</w:t>
          </w:r>
          <w:proofErr w:type="spellEnd"/>
          <w:r w:rsidR="0047170A">
            <w:rPr>
              <w:rFonts w:eastAsia="Times New Roman"/>
            </w:rPr>
            <w:t>, 2011)</w:t>
          </w:r>
        </w:sdtContent>
      </w:sdt>
      <w:r w:rsidRPr="00FF119D">
        <w:t>.</w:t>
      </w:r>
    </w:p>
    <w:p w14:paraId="215FD080" w14:textId="705D8300" w:rsidR="00FE482F" w:rsidRDefault="00FE482F" w:rsidP="00B33867">
      <w:r w:rsidRPr="00FF119D">
        <w:t>The relationship between social behaviours</w:t>
      </w:r>
      <w:r>
        <w:t>/interaction</w:t>
      </w:r>
      <w:r w:rsidRPr="00FF119D">
        <w:t xml:space="preserve"> and </w:t>
      </w:r>
      <w:proofErr w:type="spellStart"/>
      <w:r w:rsidRPr="00FF119D">
        <w:t>HRQoL</w:t>
      </w:r>
      <w:proofErr w:type="spellEnd"/>
      <w:r w:rsidRPr="00FF119D">
        <w:t xml:space="preserve"> </w:t>
      </w:r>
      <w:r>
        <w:t>has</w:t>
      </w:r>
      <w:r w:rsidRPr="00FF119D">
        <w:t xml:space="preserve"> been well-studied in neuropsychiatric disorders </w:t>
      </w:r>
      <w:sdt>
        <w:sdtPr>
          <w:rPr>
            <w:color w:val="000000"/>
          </w:rPr>
          <w:tag w:val="MENDELEY_CITATION_v3_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"/>
          <w:id w:val="1226028334"/>
          <w:placeholder>
            <w:docPart w:val="FC94CF2EA4BA1146B8DB314647A63BD3"/>
          </w:placeholder>
        </w:sdtPr>
        <w:sdtContent>
          <w:r w:rsidR="0047170A" w:rsidRPr="0047170A">
            <w:rPr>
              <w:color w:val="000000"/>
            </w:rPr>
            <w:t>(</w:t>
          </w:r>
          <w:proofErr w:type="spellStart"/>
          <w:r w:rsidR="0047170A" w:rsidRPr="0047170A">
            <w:rPr>
              <w:color w:val="000000"/>
            </w:rPr>
            <w:t>Dhand</w:t>
          </w:r>
          <w:proofErr w:type="spellEnd"/>
          <w:r w:rsidR="0047170A" w:rsidRPr="0047170A">
            <w:rPr>
              <w:color w:val="000000"/>
            </w:rPr>
            <w:t xml:space="preserve"> et al., 2016; </w:t>
          </w:r>
          <w:proofErr w:type="spellStart"/>
          <w:r w:rsidR="0047170A" w:rsidRPr="0047170A">
            <w:rPr>
              <w:color w:val="000000"/>
            </w:rPr>
            <w:t>Suurmeijer</w:t>
          </w:r>
          <w:proofErr w:type="spellEnd"/>
          <w:r w:rsidR="0047170A" w:rsidRPr="0047170A">
            <w:rPr>
              <w:color w:val="000000"/>
            </w:rPr>
            <w:t xml:space="preserve"> et al., 2001)</w:t>
          </w:r>
        </w:sdtContent>
      </w:sdt>
      <w:r w:rsidRPr="00FF119D">
        <w:t>.</w:t>
      </w:r>
      <w:r>
        <w:t xml:space="preserve"> </w:t>
      </w:r>
      <w:r w:rsidRPr="00FF119D">
        <w:t>However, this relationship has not been fully understood in FNSD.</w:t>
      </w:r>
      <w:r>
        <w:t xml:space="preserve"> </w:t>
      </w:r>
      <w:r w:rsidRPr="00FF119D">
        <w:t xml:space="preserve">FNSD is associated with psychosocial factors, </w:t>
      </w:r>
      <w:r>
        <w:t>such as trauma, abuse, bereavement and ongoing conflict. D</w:t>
      </w:r>
      <w:r w:rsidRPr="00FF119D">
        <w:t>isruptions in interpersonal relationships and social communication</w:t>
      </w:r>
      <w:r>
        <w:t xml:space="preserve">, </w:t>
      </w:r>
      <w:r w:rsidRPr="00FF119D">
        <w:t>avoidance behaviours, limited emotional expression, or withdrawal</w:t>
      </w:r>
      <w:r>
        <w:t xml:space="preserve"> </w:t>
      </w:r>
      <w:sdt>
        <w:sdtPr>
          <w:rPr>
            <w:color w:val="000000"/>
          </w:rPr>
          <w:tag w:val="MENDELEY_CITATION_v3_eyJjaXRhdGlvbklEIjoiTUVOREVMRVlfQ0lUQVRJT05fNTNhMzdiOGQtMmMwNy00MzdmLWIyNmYtM2IxZjE1MTU1MjlhIiwicHJvcGVydGllcyI6eyJub3RlSW5kZXgiOjB9LCJpc0VkaXRlZCI6ZmFsc2UsIm1hbnVhbE92ZXJyaWRlIjp7ImlzTWFudWFsbHlPdmVycmlkZGVuIjp0cnVlLCJjaXRlcHJvY1RleHQiOiIoQmFrdmlzIGV0IGFsLiwgMjAwOSwgMjAxMTsgTHVkd2lnIGV0IGFsLiwgMjAxODsgUm9lbG9mcyAmIzM4OyBQYXNtYW4sIDIwMTYpIiwibWFudWFsT3ZlcnJpZGVUZXh0IjoiKEJha3ZpcyBldCBhbC4sIDIwMDksIDIwMTE7IEx1ZHdpZyBldCBhbC4sIDIwMTg7IEsuIFJvZWxvZnMgJiBQYXNtYW4sIDIwMTYp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"/>
          <w:id w:val="-51852315"/>
          <w:placeholder>
            <w:docPart w:val="FC94CF2EA4BA1146B8DB314647A63BD3"/>
          </w:placeholder>
        </w:sdtPr>
        <w:sdtContent>
          <w:r w:rsidR="0047170A">
            <w:rPr>
              <w:rFonts w:eastAsia="Times New Roman"/>
            </w:rPr>
            <w:t>(</w:t>
          </w:r>
          <w:proofErr w:type="spellStart"/>
          <w:r w:rsidR="0047170A">
            <w:rPr>
              <w:rFonts w:eastAsia="Times New Roman"/>
            </w:rPr>
            <w:t>Bakvis</w:t>
          </w:r>
          <w:proofErr w:type="spellEnd"/>
          <w:r w:rsidR="0047170A">
            <w:rPr>
              <w:rFonts w:eastAsia="Times New Roman"/>
            </w:rPr>
            <w:t xml:space="preserve"> et al., 2009, 2011; Ludwig et al., 2018; K. </w:t>
          </w:r>
          <w:proofErr w:type="spellStart"/>
          <w:r w:rsidR="0047170A">
            <w:rPr>
              <w:rFonts w:eastAsia="Times New Roman"/>
            </w:rPr>
            <w:t>Roelofs</w:t>
          </w:r>
          <w:proofErr w:type="spellEnd"/>
          <w:r w:rsidR="0047170A">
            <w:rPr>
              <w:rFonts w:eastAsia="Times New Roman"/>
            </w:rPr>
            <w:t xml:space="preserve"> &amp; </w:t>
          </w:r>
          <w:proofErr w:type="spellStart"/>
          <w:r w:rsidR="0047170A">
            <w:rPr>
              <w:rFonts w:eastAsia="Times New Roman"/>
            </w:rPr>
            <w:t>Pasman</w:t>
          </w:r>
          <w:proofErr w:type="spellEnd"/>
          <w:r w:rsidR="0047170A">
            <w:rPr>
              <w:rFonts w:eastAsia="Times New Roman"/>
            </w:rPr>
            <w:t>, 2016)</w:t>
          </w:r>
        </w:sdtContent>
      </w:sdt>
      <w:r>
        <w:t xml:space="preserve"> have been reported. </w:t>
      </w:r>
      <w:r w:rsidRPr="00FF119D">
        <w:t xml:space="preserve">Marriage is often </w:t>
      </w:r>
      <w:r>
        <w:t>considered</w:t>
      </w:r>
      <w:r w:rsidRPr="00FF119D">
        <w:t xml:space="preserve"> a source of social support, and this has generally been linked to better health outcomes, for example, in patients with epilepsy </w:t>
      </w:r>
      <w:sdt>
        <w:sdtPr>
          <w:rPr>
            <w:color w:val="000000"/>
          </w:rPr>
          <w:tag w:val="MENDELEY_CITATION_v3_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"/>
          <w:id w:val="-230163523"/>
          <w:placeholder>
            <w:docPart w:val="FC94CF2EA4BA1146B8DB314647A63BD3"/>
          </w:placeholder>
        </w:sdtPr>
        <w:sdtContent>
          <w:r w:rsidR="0047170A" w:rsidRPr="0047170A">
            <w:rPr>
              <w:color w:val="000000"/>
            </w:rPr>
            <w:t>(Elliott et al., 2011)</w:t>
          </w:r>
        </w:sdtContent>
      </w:sdt>
      <w:r w:rsidRPr="00FF119D">
        <w:t>.</w:t>
      </w:r>
      <w:r>
        <w:t xml:space="preserve"> </w:t>
      </w:r>
      <w:r w:rsidRPr="00FF119D">
        <w:t xml:space="preserve">It </w:t>
      </w:r>
      <w:r w:rsidRPr="00FF119D">
        <w:lastRenderedPageBreak/>
        <w:t>could be speculated that this association is reflected in FNSD</w:t>
      </w:r>
      <w:r>
        <w:t>,</w:t>
      </w:r>
      <w:r w:rsidRPr="00FF119D">
        <w:t xml:space="preserve"> where poor support structures and high levels </w:t>
      </w:r>
      <w:r>
        <w:t xml:space="preserve">of </w:t>
      </w:r>
      <w:r w:rsidRPr="00FF119D">
        <w:t>stress and abuse have been reported.</w:t>
      </w:r>
      <w:r>
        <w:t xml:space="preserve"> </w:t>
      </w:r>
      <w:r w:rsidRPr="00FF119D">
        <w:t xml:space="preserve">In a naturalistic qualitative study involving 59 patients with FNSD (30 with </w:t>
      </w:r>
      <w:r>
        <w:t>FS</w:t>
      </w:r>
      <w:r w:rsidRPr="00FF119D">
        <w:t>), familial or relational challenges were indicated in 42% of patients in the year preceding symptom onset </w:t>
      </w:r>
      <w:bookmarkStart w:id="100" w:name="bb0325"/>
      <w:sdt>
        <w:sdtPr>
          <w:rPr>
            <w:color w:val="000000"/>
          </w:rPr>
          <w:tag w:val="MENDELEY_CITATION_v3_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"/>
          <w:id w:val="-630401314"/>
          <w:placeholder>
            <w:docPart w:val="FC94CF2EA4BA1146B8DB314647A63BD3"/>
          </w:placeholder>
        </w:sdtPr>
        <w:sdtContent>
          <w:bookmarkEnd w:id="100"/>
          <w:r w:rsidR="0047170A" w:rsidRPr="0047170A">
            <w:rPr>
              <w:color w:val="000000"/>
            </w:rPr>
            <w:t>(Reuber, Howlett, et al., 2007)</w:t>
          </w:r>
        </w:sdtContent>
      </w:sdt>
      <w:r w:rsidRPr="00FF119D">
        <w:t>.</w:t>
      </w:r>
      <w:r>
        <w:t xml:space="preserve"> </w:t>
      </w:r>
      <w:r w:rsidRPr="00FF119D">
        <w:t>Several studies have highlighted a potential correlation between the frequency of seizures</w:t>
      </w:r>
      <w:r>
        <w:t xml:space="preserve"> or comorbid syndromes</w:t>
      </w:r>
      <w:r w:rsidRPr="00FF119D">
        <w:t xml:space="preserve"> in F</w:t>
      </w:r>
      <w:r>
        <w:t>NSD</w:t>
      </w:r>
      <w:r w:rsidRPr="00FF119D">
        <w:t xml:space="preserve"> patients and their social support systems  </w:t>
      </w:r>
      <w:sdt>
        <w:sdtPr>
          <w:rPr>
            <w:color w:val="000000"/>
          </w:rPr>
          <w:tag w:val="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"/>
          <w:id w:val="245700070"/>
          <w:placeholder>
            <w:docPart w:val="FC94CF2EA4BA1146B8DB314647A63BD3"/>
          </w:placeholder>
        </w:sdtPr>
        <w:sdtContent>
          <w:r w:rsidR="0047170A" w:rsidRPr="0047170A">
            <w:rPr>
              <w:color w:val="000000"/>
            </w:rPr>
            <w:t xml:space="preserve">(N. M. G. </w:t>
          </w:r>
          <w:proofErr w:type="spellStart"/>
          <w:r w:rsidR="0047170A" w:rsidRPr="0047170A">
            <w:rPr>
              <w:color w:val="000000"/>
            </w:rPr>
            <w:t>Bodde</w:t>
          </w:r>
          <w:proofErr w:type="spellEnd"/>
          <w:r w:rsidR="0047170A" w:rsidRPr="0047170A">
            <w:rPr>
              <w:color w:val="000000"/>
            </w:rPr>
            <w:t xml:space="preserve"> et al., 2007; Gray et al., 2020; Pick et al., 2016; Robson et al., 2018; Vaidya-Mathur et al., 2016)</w:t>
          </w:r>
        </w:sdtContent>
      </w:sdt>
      <w:r w:rsidRPr="00FF119D">
        <w:t>.</w:t>
      </w:r>
      <w:r>
        <w:t xml:space="preserve"> However, not all FNSD patients experience a decline in social support or interaction; </w:t>
      </w:r>
      <w:r w:rsidRPr="00FF119D">
        <w:t xml:space="preserve">a study examining 141 patients with </w:t>
      </w:r>
      <w:r>
        <w:t>FS</w:t>
      </w:r>
      <w:r w:rsidRPr="00FF119D">
        <w:t xml:space="preserve"> using a </w:t>
      </w:r>
      <w:r>
        <w:t>"</w:t>
      </w:r>
      <w:r w:rsidRPr="00FF119D">
        <w:t>social behaviours and preferences questionnaire</w:t>
      </w:r>
      <w:r>
        <w:t>"</w:t>
      </w:r>
      <w:r w:rsidRPr="00FF119D">
        <w:t xml:space="preserve"> found that 69% of patients maintained weekly contact with a family member and a similar percentage with at least one friend weekly </w:t>
      </w:r>
      <w:sdt>
        <w:sdtPr>
          <w:rPr>
            <w:color w:val="000000"/>
          </w:rPr>
          <w:tag w:val="MENDELEY_CITATION_v3_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"/>
          <w:id w:val="-178971067"/>
          <w:placeholder>
            <w:docPart w:val="FC94CF2EA4BA1146B8DB314647A63BD3"/>
          </w:placeholder>
        </w:sdtPr>
        <w:sdtContent>
          <w:r w:rsidR="0047170A" w:rsidRPr="0047170A">
            <w:rPr>
              <w:color w:val="000000"/>
            </w:rPr>
            <w:t>(Vaidya-Mathur et al., 2016)</w:t>
          </w:r>
        </w:sdtContent>
      </w:sdt>
      <w:r w:rsidRPr="00FF119D">
        <w:t>.</w:t>
      </w:r>
      <w:r>
        <w:t xml:space="preserve"> Nonetheless, functional</w:t>
      </w:r>
      <w:r w:rsidRPr="00FF119D">
        <w:t xml:space="preserve"> symptoms impact patients across most aspect</w:t>
      </w:r>
      <w:r>
        <w:t>s</w:t>
      </w:r>
      <w:r w:rsidRPr="00FF119D">
        <w:t xml:space="preserve"> of social life </w:t>
      </w:r>
      <w:sdt>
        <w:sdtPr>
          <w:rPr>
            <w:color w:val="000000"/>
          </w:rPr>
          <w:tag w:val="MENDELEY_CITATION_v3_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"/>
          <w:id w:val="1544088453"/>
          <w:placeholder>
            <w:docPart w:val="B43D0A702C49F04BA824549936DD07C7"/>
          </w:placeholder>
        </w:sdtPr>
        <w:sdtContent>
          <w:r w:rsidR="0047170A" w:rsidRPr="0047170A">
            <w:rPr>
              <w:color w:val="000000"/>
            </w:rPr>
            <w:t>(</w:t>
          </w:r>
          <w:proofErr w:type="spellStart"/>
          <w:r w:rsidR="0047170A" w:rsidRPr="0047170A">
            <w:rPr>
              <w:color w:val="000000"/>
            </w:rPr>
            <w:t>Asadi-Pooya</w:t>
          </w:r>
          <w:proofErr w:type="spellEnd"/>
          <w:r w:rsidR="0047170A" w:rsidRPr="0047170A">
            <w:rPr>
              <w:color w:val="000000"/>
            </w:rPr>
            <w:t xml:space="preserve"> et al., 2021)</w:t>
          </w:r>
        </w:sdtContent>
      </w:sdt>
      <w:r>
        <w:t xml:space="preserve">, and social and family factors are significant predisposing and precipitating factors in FNSD </w:t>
      </w:r>
      <w:sdt>
        <w:sdtPr>
          <w:rPr>
            <w:color w:val="000000"/>
          </w:rPr>
          <w:tag w:val="MENDELEY_CITATION_v3_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"/>
          <w:id w:val="1877813621"/>
          <w:placeholder>
            <w:docPart w:val="FC94CF2EA4BA1146B8DB314647A63BD3"/>
          </w:placeholder>
        </w:sdtPr>
        <w:sdtContent>
          <w:r w:rsidR="0047170A" w:rsidRPr="0047170A">
            <w:rPr>
              <w:color w:val="000000"/>
            </w:rPr>
            <w:t>(Reuber, Howlett, et al., 2007)</w:t>
          </w:r>
        </w:sdtContent>
      </w:sdt>
      <w:r w:rsidRPr="00FF119D">
        <w:t xml:space="preserve">. </w:t>
      </w:r>
    </w:p>
    <w:p w14:paraId="73CE90FE" w14:textId="45C16335" w:rsidR="00FE482F" w:rsidRPr="00FF119D" w:rsidRDefault="00FE482F" w:rsidP="00B33867">
      <w:r w:rsidRPr="00FF119D">
        <w:t xml:space="preserve">The biopsychosocial model, first proposed by George Engel in 1977, underscores the necessity of a holistic </w:t>
      </w:r>
      <w:r>
        <w:t>conceptualisation of FNSD</w:t>
      </w:r>
      <w:r w:rsidRPr="00FF119D">
        <w:t xml:space="preserve">, incorporating </w:t>
      </w:r>
      <w:r>
        <w:t xml:space="preserve">the disorder's </w:t>
      </w:r>
      <w:r w:rsidRPr="00FF119D">
        <w:t xml:space="preserve">social, biological and psychological components </w:t>
      </w:r>
      <w:sdt>
        <w:sdtPr>
          <w:rPr>
            <w:color w:val="000000"/>
          </w:rPr>
          <w:tag w:val="MENDELEY_CITATION_v3_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"/>
          <w:id w:val="464327619"/>
          <w:placeholder>
            <w:docPart w:val="7AB7B7ED1F149547AA5E1E28A7F4B860"/>
          </w:placeholder>
        </w:sdtPr>
        <w:sdtContent>
          <w:r w:rsidR="0047170A" w:rsidRPr="0047170A">
            <w:rPr>
              <w:color w:val="000000"/>
            </w:rPr>
            <w:t>(Engel, 1977)</w:t>
          </w:r>
        </w:sdtContent>
      </w:sdt>
      <w:r w:rsidRPr="00FF119D">
        <w:t>.</w:t>
      </w:r>
      <w:r>
        <w:t xml:space="preserve"> </w:t>
      </w:r>
      <w:r w:rsidRPr="00FF119D">
        <w:t>This considers relevant predisposing vulnerabilities, acute precipitating, and perpetuating factors on the patient level.</w:t>
      </w:r>
      <w:r>
        <w:t xml:space="preserve"> As such, t</w:t>
      </w:r>
      <w:r w:rsidRPr="00FF119D">
        <w:t xml:space="preserve">herapeutic models for FNSD </w:t>
      </w:r>
      <w:r>
        <w:t>engage</w:t>
      </w:r>
      <w:r w:rsidRPr="00FF119D">
        <w:t xml:space="preserve"> individual social needs</w:t>
      </w:r>
      <w:r>
        <w:t>,</w:t>
      </w:r>
      <w:r w:rsidRPr="00FF119D">
        <w:t xml:space="preserve"> including self-esteem, affiliation, approval, and moral support</w:t>
      </w:r>
      <w:r>
        <w:t>, reinforcing</w:t>
      </w:r>
      <w:r w:rsidRPr="00FF119D">
        <w:t xml:space="preserve"> the importance of social factors in managing FNSD.</w:t>
      </w:r>
    </w:p>
    <w:p w14:paraId="569D5FF3" w14:textId="66792D91" w:rsidR="00FE482F" w:rsidRPr="00243F37" w:rsidRDefault="00FE482F" w:rsidP="00B33867">
      <w:r w:rsidRPr="00243F37">
        <w:t xml:space="preserve">In FNSD, social reinforcement may unconsciously and indirectly promote symptoms via the adoption of a sick role (the acceptance of illness by the patient, governed by certain social expectations, including not being responsible for </w:t>
      </w:r>
      <w:r>
        <w:t>one's</w:t>
      </w:r>
      <w:r w:rsidRPr="00243F37">
        <w:t xml:space="preserve"> condition and exemption from normal social responsibilities) and can hinder treatment acceptance and progress </w:t>
      </w:r>
      <w:sdt>
        <w:sdtPr>
          <w:tag w:val="MENDELEY_CITATION_v3_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"/>
          <w:id w:val="-1624298883"/>
          <w:placeholder>
            <w:docPart w:val="FC94CF2EA4BA1146B8DB314647A63BD3"/>
          </w:placeholder>
        </w:sdtPr>
        <w:sdtContent>
          <w:r w:rsidR="0047170A">
            <w:rPr>
              <w:rFonts w:eastAsia="Times New Roman"/>
            </w:rPr>
            <w:t>(</w:t>
          </w:r>
          <w:proofErr w:type="spellStart"/>
          <w:r w:rsidR="0047170A">
            <w:rPr>
              <w:rFonts w:eastAsia="Times New Roman"/>
            </w:rPr>
            <w:t>Fobian</w:t>
          </w:r>
          <w:proofErr w:type="spellEnd"/>
          <w:r w:rsidR="0047170A">
            <w:rPr>
              <w:rFonts w:eastAsia="Times New Roman"/>
            </w:rPr>
            <w:t xml:space="preserve"> &amp; Elliott, 2019)</w:t>
          </w:r>
        </w:sdtContent>
      </w:sdt>
      <w:r w:rsidRPr="00243F37">
        <w:t>.</w:t>
      </w:r>
      <w:r>
        <w:t xml:space="preserve"> </w:t>
      </w:r>
      <w:r w:rsidRPr="00243F37">
        <w:t xml:space="preserve">Conversely, </w:t>
      </w:r>
      <w:r>
        <w:t xml:space="preserve">a </w:t>
      </w:r>
      <w:r w:rsidRPr="00243F37">
        <w:t xml:space="preserve">positive perception of social support </w:t>
      </w:r>
      <w:r>
        <w:t>c</w:t>
      </w:r>
      <w:r w:rsidRPr="00243F37">
        <w:t>an foster treatment engagement, leading to symptom improvement and better illness management.</w:t>
      </w:r>
      <w:r>
        <w:t xml:space="preserve"> </w:t>
      </w:r>
      <w:r w:rsidR="00400BA2" w:rsidRPr="00243F37">
        <w:t xml:space="preserve">Perceived social support may significantly influence readiness for treatment and subsequent recovery </w:t>
      </w:r>
      <w:sdt>
        <w:sdtPr>
          <w:rPr>
            <w:color w:val="000000"/>
          </w:rPr>
          <w:tag w:val="MENDELEY_CITATION_v3_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"/>
          <w:id w:val="2040618457"/>
          <w:placeholder>
            <w:docPart w:val="7795D1D979ACCB4984647880CFE2E42C"/>
          </w:placeholder>
        </w:sdtPr>
        <w:sdtContent>
          <w:r w:rsidR="00400BA2" w:rsidRPr="0047170A">
            <w:rPr>
              <w:color w:val="000000"/>
            </w:rPr>
            <w:t>(</w:t>
          </w:r>
          <w:proofErr w:type="spellStart"/>
          <w:r w:rsidR="00400BA2" w:rsidRPr="0047170A">
            <w:rPr>
              <w:color w:val="000000"/>
            </w:rPr>
            <w:t>Brugha</w:t>
          </w:r>
          <w:proofErr w:type="spellEnd"/>
          <w:r w:rsidR="00400BA2" w:rsidRPr="0047170A">
            <w:rPr>
              <w:color w:val="000000"/>
            </w:rPr>
            <w:t>, 2010)</w:t>
          </w:r>
        </w:sdtContent>
      </w:sdt>
      <w:r w:rsidR="00400BA2" w:rsidRPr="00243F37">
        <w:t>.</w:t>
      </w:r>
      <w:r w:rsidR="00400BA2">
        <w:t xml:space="preserve"> </w:t>
      </w:r>
      <w:r>
        <w:t>Regarding</w:t>
      </w:r>
      <w:r w:rsidRPr="00243F37">
        <w:t xml:space="preserve"> clinical outcome</w:t>
      </w:r>
      <w:r>
        <w:t>, patients' s</w:t>
      </w:r>
      <w:r w:rsidRPr="00243F37">
        <w:t>ocial network was associated with mental and physical health</w:t>
      </w:r>
      <w:r>
        <w:t xml:space="preserve"> </w:t>
      </w:r>
      <w:r w:rsidRPr="00243F37">
        <w:t>in a mixed FNSD cohort (</w:t>
      </w:r>
      <w:r w:rsidRPr="00243F37">
        <w:rPr>
          <w:i/>
          <w:iCs/>
        </w:rPr>
        <w:t>n</w:t>
      </w:r>
      <w:r w:rsidRPr="00243F37">
        <w:rPr>
          <w:rFonts w:ascii="Times New Roman" w:hAnsi="Times New Roman"/>
        </w:rPr>
        <w:t> </w:t>
      </w:r>
      <w:r w:rsidRPr="00243F37">
        <w:t>=</w:t>
      </w:r>
      <w:r w:rsidRPr="00243F37">
        <w:rPr>
          <w:rFonts w:ascii="Times New Roman" w:hAnsi="Times New Roman"/>
        </w:rPr>
        <w:t> </w:t>
      </w:r>
      <w:r w:rsidRPr="00243F37">
        <w:t xml:space="preserve">38) </w:t>
      </w:r>
      <w:sdt>
        <w:sdtPr>
          <w:rPr>
            <w:color w:val="000000"/>
          </w:rPr>
          <w:tag w:val="MENDELEY_CITATION_v3_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"/>
          <w:id w:val="1062524678"/>
          <w:placeholder>
            <w:docPart w:val="FC94CF2EA4BA1146B8DB314647A63BD3"/>
          </w:placeholder>
        </w:sdtPr>
        <w:sdtContent>
          <w:r w:rsidR="0047170A" w:rsidRPr="0047170A">
            <w:rPr>
              <w:color w:val="000000"/>
            </w:rPr>
            <w:t xml:space="preserve">(Ospina, </w:t>
          </w:r>
          <w:proofErr w:type="spellStart"/>
          <w:r w:rsidR="0047170A" w:rsidRPr="0047170A">
            <w:rPr>
              <w:color w:val="000000"/>
            </w:rPr>
            <w:t>Jalilianhasanpour</w:t>
          </w:r>
          <w:proofErr w:type="spellEnd"/>
          <w:r w:rsidR="0047170A" w:rsidRPr="0047170A">
            <w:rPr>
              <w:color w:val="000000"/>
            </w:rPr>
            <w:t>, et al., 2019)</w:t>
          </w:r>
        </w:sdtContent>
      </w:sdt>
      <w:r>
        <w:t>. In another study,</w:t>
      </w:r>
      <w:r w:rsidRPr="00243F37">
        <w:t xml:space="preserve"> patients with </w:t>
      </w:r>
      <w:r>
        <w:t>FS</w:t>
      </w:r>
      <w:r w:rsidRPr="00243F37">
        <w:t xml:space="preserve"> (n =22) showed improvements in seizure frequency covaried with reduced passive avoidant behaviours and more active attitudes toward social </w:t>
      </w:r>
      <w:r w:rsidRPr="00243F37">
        <w:lastRenderedPageBreak/>
        <w:t>contacts when evaluated at diagnosis and 4–6</w:t>
      </w:r>
      <w:r w:rsidRPr="00243F37">
        <w:rPr>
          <w:rFonts w:ascii="Times New Roman" w:hAnsi="Times New Roman"/>
        </w:rPr>
        <w:t> </w:t>
      </w:r>
      <w:r w:rsidRPr="00243F37">
        <w:t xml:space="preserve">years follow-up </w:t>
      </w:r>
      <w:sdt>
        <w:sdtPr>
          <w:rPr>
            <w:color w:val="000000"/>
          </w:rPr>
          <w:tag w:val="MENDELEY_CITATION_v3_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"/>
          <w:id w:val="513428721"/>
          <w:placeholder>
            <w:docPart w:val="FC94CF2EA4BA1146B8DB314647A63BD3"/>
          </w:placeholder>
        </w:sdtPr>
        <w:sdtContent>
          <w:r w:rsidR="0047170A" w:rsidRPr="0047170A">
            <w:rPr>
              <w:color w:val="000000"/>
            </w:rPr>
            <w:t xml:space="preserve">(N. M. G. </w:t>
          </w:r>
          <w:proofErr w:type="spellStart"/>
          <w:r w:rsidR="0047170A" w:rsidRPr="0047170A">
            <w:rPr>
              <w:color w:val="000000"/>
            </w:rPr>
            <w:t>Bodde</w:t>
          </w:r>
          <w:proofErr w:type="spellEnd"/>
          <w:r w:rsidR="0047170A" w:rsidRPr="0047170A">
            <w:rPr>
              <w:color w:val="000000"/>
            </w:rPr>
            <w:t xml:space="preserve"> et al., 2007)</w:t>
          </w:r>
        </w:sdtContent>
      </w:sdt>
      <w:r w:rsidRPr="00243F37">
        <w:t>.</w:t>
      </w:r>
      <w:r>
        <w:t xml:space="preserve"> </w:t>
      </w:r>
      <w:r w:rsidRPr="00243F37">
        <w:t xml:space="preserve">Despite needing further study with larger sample sizes, these preliminary findings highlight the potential association between social behaviours and various clinical, neurobiological, and prognostic factors in </w:t>
      </w:r>
      <w:r>
        <w:t>FS</w:t>
      </w:r>
      <w:r w:rsidRPr="00243F37">
        <w:t xml:space="preserve"> patients. </w:t>
      </w:r>
    </w:p>
    <w:p w14:paraId="6E76DAE5" w14:textId="07FEF44B" w:rsidR="00FE482F" w:rsidRDefault="00FE482F" w:rsidP="00B33867">
      <w:r>
        <w:t>I</w:t>
      </w:r>
      <w:r w:rsidRPr="00C03D45">
        <w:t>t has been postulated that it is important to understand the illness beliefs of patients with FNS</w:t>
      </w:r>
      <w:r>
        <w:t>D</w:t>
      </w:r>
      <w:r w:rsidRPr="00C03D45">
        <w:t xml:space="preserve"> within the context of the beliefs of the health professionals looking after them</w:t>
      </w:r>
      <w:sdt>
        <w:sdtPr>
          <w:rPr>
            <w:color w:val="000000"/>
          </w:rPr>
          <w:tag w:val="MENDELEY_CITATION_v3_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"/>
          <w:id w:val="1497150288"/>
          <w:placeholder>
            <w:docPart w:val="00D338C70C5A54469B35231FD0892867"/>
          </w:placeholder>
        </w:sdtPr>
        <w:sdtContent>
          <w:r w:rsidR="0047170A" w:rsidRPr="0047170A">
            <w:rPr>
              <w:color w:val="000000"/>
            </w:rPr>
            <w:t>(Ahern et al., 2009)</w:t>
          </w:r>
        </w:sdtContent>
      </w:sdt>
      <w:r w:rsidRPr="00C03D45">
        <w:t xml:space="preserve"> and of social networks such as family, friends and caregivers </w:t>
      </w:r>
      <w:sdt>
        <w:sdtPr>
          <w:rPr>
            <w:color w:val="000000"/>
          </w:rPr>
          <w:tag w:val="MENDELEY_CITATION_v3_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"/>
          <w:id w:val="769049916"/>
          <w:placeholder>
            <w:docPart w:val="FC94CF2EA4BA1146B8DB314647A63BD3"/>
          </w:placeholder>
        </w:sdtPr>
        <w:sdtContent>
          <w:r w:rsidR="0047170A" w:rsidRPr="0047170A">
            <w:rPr>
              <w:color w:val="000000"/>
            </w:rPr>
            <w:t xml:space="preserve">(Pick et al., 2016; </w:t>
          </w:r>
          <w:proofErr w:type="spellStart"/>
          <w:r w:rsidR="0047170A" w:rsidRPr="0047170A">
            <w:rPr>
              <w:color w:val="000000"/>
            </w:rPr>
            <w:t>Shahwan</w:t>
          </w:r>
          <w:proofErr w:type="spellEnd"/>
          <w:r w:rsidR="0047170A" w:rsidRPr="0047170A">
            <w:rPr>
              <w:color w:val="000000"/>
            </w:rPr>
            <w:t xml:space="preserve"> et al., 2022)</w:t>
          </w:r>
        </w:sdtContent>
      </w:sdt>
      <w:r w:rsidRPr="00C03D45">
        <w:t>.</w:t>
      </w:r>
      <w:r>
        <w:t xml:space="preserve"> </w:t>
      </w:r>
      <w:r w:rsidRPr="00C03D45">
        <w:t xml:space="preserve">A questionnaire-based study in 115 patients with </w:t>
      </w:r>
      <w:r>
        <w:t>FS</w:t>
      </w:r>
      <w:r w:rsidRPr="00C03D45">
        <w:t xml:space="preserve"> identified that decreased social functioning correlated with patient-perceived disease stigma </w:t>
      </w:r>
      <w:sdt>
        <w:sdtPr>
          <w:rPr>
            <w:color w:val="000000"/>
          </w:rPr>
          <w:tag w:val="MENDELEY_CITATION_v3_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"/>
          <w:id w:val="1699193247"/>
          <w:placeholder>
            <w:docPart w:val="FC94CF2EA4BA1146B8DB314647A63BD3"/>
          </w:placeholder>
        </w:sdtPr>
        <w:sdtContent>
          <w:r w:rsidR="0047170A" w:rsidRPr="0047170A">
            <w:rPr>
              <w:color w:val="000000"/>
            </w:rPr>
            <w:t>(Robson et al., 2018)</w:t>
          </w:r>
        </w:sdtContent>
      </w:sdt>
      <w:r w:rsidRPr="00C03D45">
        <w:t>.</w:t>
      </w:r>
      <w:r>
        <w:t xml:space="preserve"> </w:t>
      </w:r>
      <w:r w:rsidRPr="00C03D45">
        <w:t xml:space="preserve">In this regard, </w:t>
      </w:r>
      <w:r>
        <w:t>exploring</w:t>
      </w:r>
      <w:r w:rsidRPr="00C03D45">
        <w:t xml:space="preserve"> </w:t>
      </w:r>
      <w:r>
        <w:t>patients'</w:t>
      </w:r>
      <w:r w:rsidRPr="00C03D45">
        <w:t xml:space="preserve"> perceptions of social support</w:t>
      </w:r>
      <w:r>
        <w:t xml:space="preserve"> is important</w:t>
      </w:r>
      <w:r w:rsidRPr="00C03D45">
        <w:t>.</w:t>
      </w:r>
      <w:r>
        <w:t xml:space="preserve"> </w:t>
      </w:r>
      <w:r w:rsidRPr="00C03D45">
        <w:t xml:space="preserve">This insight can be instrumental in psychosocial therapies that may </w:t>
      </w:r>
      <w:r>
        <w:t>enhance</w:t>
      </w:r>
      <w:r w:rsidRPr="00C03D45">
        <w:t xml:space="preserve"> perceived social support and </w:t>
      </w:r>
      <w:r>
        <w:t>apply</w:t>
      </w:r>
      <w:r w:rsidRPr="00C03D45">
        <w:t xml:space="preserve"> motivational strategies.</w:t>
      </w:r>
      <w:r>
        <w:t xml:space="preserve"> </w:t>
      </w:r>
      <w:r w:rsidRPr="00C03D45">
        <w:t xml:space="preserve">The identified </w:t>
      </w:r>
      <w:r>
        <w:t>SS</w:t>
      </w:r>
      <w:r w:rsidRPr="00C03D45">
        <w:t xml:space="preserve"> subscale can provide valuable knowledge for clinicians to understand the impact of a </w:t>
      </w:r>
      <w:r>
        <w:t>patient's</w:t>
      </w:r>
      <w:r w:rsidRPr="00C03D45">
        <w:t xml:space="preserve"> perceived social support and some indicators of success or lack of success in </w:t>
      </w:r>
      <w:r>
        <w:t>a patient's</w:t>
      </w:r>
      <w:r w:rsidRPr="00C03D45">
        <w:t xml:space="preserve"> therapeutic benefit.</w:t>
      </w:r>
    </w:p>
    <w:p w14:paraId="60B8796D" w14:textId="77777777" w:rsidR="00FE482F" w:rsidRPr="00C03D45" w:rsidRDefault="00FE482F" w:rsidP="00B33867"/>
    <w:p w14:paraId="20173CB7" w14:textId="77777777" w:rsidR="00FE482F" w:rsidRPr="00185637" w:rsidRDefault="00FE482F" w:rsidP="001B4B1E">
      <w:pPr>
        <w:pStyle w:val="Heading3"/>
      </w:pPr>
      <w:bookmarkStart w:id="101" w:name="_Toc137504720"/>
      <w:r>
        <w:t xml:space="preserve">3.4.2 </w:t>
      </w:r>
      <w:r w:rsidRPr="00185637">
        <w:t xml:space="preserve">Key </w:t>
      </w:r>
      <w:r>
        <w:t>F</w:t>
      </w:r>
      <w:r w:rsidRPr="00185637">
        <w:t xml:space="preserve">indings </w:t>
      </w:r>
      <w:r>
        <w:t>– EASE-F refinement</w:t>
      </w:r>
      <w:bookmarkEnd w:id="101"/>
      <w:r>
        <w:t xml:space="preserve"> </w:t>
      </w:r>
    </w:p>
    <w:p w14:paraId="36810475" w14:textId="77777777" w:rsidR="00FE482F" w:rsidRPr="003B0528" w:rsidRDefault="00FE482F" w:rsidP="00B33867">
      <w:r w:rsidRPr="003B0528">
        <w:t xml:space="preserve">Numerous analyses were conducted to investigate </w:t>
      </w:r>
      <w:r>
        <w:t xml:space="preserve">and improve </w:t>
      </w:r>
      <w:r w:rsidRPr="003B0528">
        <w:t>the psychometric properties of the four EASE</w:t>
      </w:r>
      <w:r>
        <w:t>-F</w:t>
      </w:r>
      <w:r w:rsidRPr="003B0528">
        <w:t xml:space="preserve"> constructs</w:t>
      </w:r>
      <w:r>
        <w:t xml:space="preserve"> according to the Rasch model</w:t>
      </w:r>
      <w:r w:rsidRPr="003B0528">
        <w:t>.</w:t>
      </w:r>
      <w:r>
        <w:t xml:space="preserve"> The Rasch model assumes </w:t>
      </w:r>
      <w:r w:rsidRPr="00781806">
        <w:t xml:space="preserve">the most effective predictor of a trait is the relationship between </w:t>
      </w:r>
      <w:r>
        <w:t>an item's difficulty and a person's ability.</w:t>
      </w:r>
    </w:p>
    <w:p w14:paraId="0E94DD64" w14:textId="77777777" w:rsidR="00FE482F" w:rsidRPr="00207155" w:rsidRDefault="00FE482F" w:rsidP="001B4B1E">
      <w:pPr>
        <w:pStyle w:val="Heading4"/>
      </w:pPr>
      <w:r>
        <w:t xml:space="preserve">3.4.2.1 </w:t>
      </w:r>
      <w:r w:rsidRPr="00207155">
        <w:t>Category functioning</w:t>
      </w:r>
    </w:p>
    <w:p w14:paraId="7FFDF37B" w14:textId="77777777" w:rsidR="00FE482F" w:rsidRDefault="00FE482F" w:rsidP="00B33867">
      <w:r w:rsidRPr="003A2CA3">
        <w:t>This evaluation found that the</w:t>
      </w:r>
      <w:r w:rsidRPr="00DB38E2">
        <w:t xml:space="preserve"> response categories of t</w:t>
      </w:r>
      <w:r w:rsidRPr="003A2CA3">
        <w:t xml:space="preserve">he </w:t>
      </w:r>
      <w:r w:rsidRPr="00DB38E2">
        <w:t xml:space="preserve">original </w:t>
      </w:r>
      <w:r>
        <w:t>EASE-F</w:t>
      </w:r>
      <w:r w:rsidRPr="003A2CA3">
        <w:t xml:space="preserve"> </w:t>
      </w:r>
      <w:r w:rsidRPr="00DB38E2">
        <w:t>did not fulfil</w:t>
      </w:r>
      <w:r w:rsidRPr="003A2CA3">
        <w:t xml:space="preserve"> </w:t>
      </w:r>
      <w:r w:rsidRPr="00DB38E2">
        <w:t>all</w:t>
      </w:r>
      <w:r w:rsidRPr="003A2CA3">
        <w:t xml:space="preserve"> the suggested guidelines for a well-functioning rating</w:t>
      </w:r>
      <w:r w:rsidRPr="00DB38E2">
        <w:t xml:space="preserve"> scale</w:t>
      </w:r>
      <w:r>
        <w:t xml:space="preserve"> and, therefore, could be improved. </w:t>
      </w:r>
      <w:r w:rsidRPr="00DB38E2">
        <w:t xml:space="preserve">The category fit statistics showed that </w:t>
      </w:r>
      <w:r>
        <w:t xml:space="preserve">the </w:t>
      </w:r>
      <w:r w:rsidRPr="00DB38E2">
        <w:t>observation fit the category response as expected</w:t>
      </w:r>
      <w:r>
        <w:t xml:space="preserve"> for the Rasch model</w:t>
      </w:r>
      <w:r w:rsidRPr="00DB38E2">
        <w:t xml:space="preserve"> and was productive of measurement</w:t>
      </w:r>
      <w:r>
        <w:t xml:space="preserve">. However, </w:t>
      </w:r>
      <w:r w:rsidRPr="00DB38E2">
        <w:t>indications from the category probability curves</w:t>
      </w:r>
      <w:r>
        <w:t xml:space="preserve">, where the </w:t>
      </w:r>
      <w:r w:rsidRPr="00DB38E2">
        <w:t>curves in all scales appeared</w:t>
      </w:r>
      <w:r>
        <w:t xml:space="preserve"> </w:t>
      </w:r>
      <w:r w:rsidRPr="00DB38E2">
        <w:t>jagged or peaks were indistinct or overlapping</w:t>
      </w:r>
      <w:r>
        <w:t xml:space="preserve">, suggested instability in response patterns, difficulty distinguishing between the categories, or that response categories were functioning similarly. </w:t>
      </w:r>
      <w:r w:rsidRPr="00DB38E2">
        <w:t xml:space="preserve">All subscales </w:t>
      </w:r>
      <w:r>
        <w:t>also had</w:t>
      </w:r>
      <w:r w:rsidRPr="00DB38E2">
        <w:t xml:space="preserve"> narrow categories, i.e., Andrich thresholds between categories were less than the recommended minimum distance of 1.4 logits units apart.</w:t>
      </w:r>
      <w:r>
        <w:t xml:space="preserve"> </w:t>
      </w:r>
      <w:r w:rsidRPr="00DB38E2">
        <w:t>It is ideal for categories to have separate</w:t>
      </w:r>
      <w:r>
        <w:t>,</w:t>
      </w:r>
      <w:r w:rsidRPr="00DB38E2">
        <w:t xml:space="preserve"> distinct peaks that cross each other at the </w:t>
      </w:r>
      <w:r>
        <w:t>'</w:t>
      </w:r>
      <w:r w:rsidRPr="00DB38E2">
        <w:t>step calibration</w:t>
      </w:r>
      <w:r>
        <w:t>'</w:t>
      </w:r>
      <w:r w:rsidRPr="00DB38E2">
        <w:t xml:space="preserve"> or </w:t>
      </w:r>
      <w:r>
        <w:t>'</w:t>
      </w:r>
      <w:r w:rsidRPr="00DB38E2">
        <w:t>threshold measure</w:t>
      </w:r>
      <w:r>
        <w:t>'</w:t>
      </w:r>
      <w:r w:rsidRPr="00DB38E2">
        <w:t>.</w:t>
      </w:r>
      <w:r>
        <w:t xml:space="preserve"> This </w:t>
      </w:r>
      <w:r>
        <w:lastRenderedPageBreak/>
        <w:t>otherwise may indicate that</w:t>
      </w:r>
      <w:r w:rsidRPr="003A2CA3">
        <w:t xml:space="preserve"> category transitions have been defined to be categories</w:t>
      </w:r>
      <w:r>
        <w:t>. However,</w:t>
      </w:r>
      <w:r w:rsidRPr="003A2CA3">
        <w:t xml:space="preserve"> this </w:t>
      </w:r>
      <w:r>
        <w:t>can be</w:t>
      </w:r>
      <w:r w:rsidRPr="003A2CA3">
        <w:t xml:space="preserve"> sample-distribution-dependent.</w:t>
      </w:r>
      <w:r>
        <w:t xml:space="preserve"> </w:t>
      </w:r>
    </w:p>
    <w:p w14:paraId="4C72B1B1" w14:textId="77777777" w:rsidR="00FE482F" w:rsidRPr="00DB38E2" w:rsidRDefault="00FE482F" w:rsidP="00B33867">
      <w:r>
        <w:t xml:space="preserve">To address these issues, </w:t>
      </w:r>
      <w:r w:rsidRPr="00DB38E2">
        <w:t xml:space="preserve">adjacent </w:t>
      </w:r>
      <w:r>
        <w:t>scale</w:t>
      </w:r>
      <w:r w:rsidRPr="00DB38E2">
        <w:t xml:space="preserve"> categories </w:t>
      </w:r>
      <w:r>
        <w:t>were combined and retested. Two different combinations of categories were required to improve the category functioning. In</w:t>
      </w:r>
      <w:r w:rsidRPr="00DB38E2">
        <w:t xml:space="preserve"> </w:t>
      </w:r>
      <w:r>
        <w:t>the SE</w:t>
      </w:r>
      <w:r w:rsidRPr="00DB38E2">
        <w:t xml:space="preserve"> and </w:t>
      </w:r>
      <w:r>
        <w:t>IIB</w:t>
      </w:r>
      <w:r w:rsidRPr="00DB38E2">
        <w:t xml:space="preserve"> scales; </w:t>
      </w:r>
      <w:r>
        <w:t xml:space="preserve">categories' </w:t>
      </w:r>
      <w:r w:rsidRPr="00DB38E2">
        <w:t>slightly agree</w:t>
      </w:r>
      <w:r>
        <w:t>'</w:t>
      </w:r>
      <w:r w:rsidRPr="00DB38E2">
        <w:t xml:space="preserve"> and </w:t>
      </w:r>
      <w:r>
        <w:t>'</w:t>
      </w:r>
      <w:r w:rsidRPr="00DB38E2">
        <w:t>neither agree nor disagree</w:t>
      </w:r>
      <w:r>
        <w:t>'</w:t>
      </w:r>
      <w:r w:rsidRPr="00DB38E2">
        <w:t xml:space="preserve"> were combined</w:t>
      </w:r>
      <w:r>
        <w:t>,</w:t>
      </w:r>
      <w:r w:rsidRPr="00DB38E2">
        <w:t xml:space="preserve"> and </w:t>
      </w:r>
      <w:r>
        <w:t>categories'</w:t>
      </w:r>
      <w:r w:rsidRPr="00DB38E2">
        <w:t xml:space="preserve"> </w:t>
      </w:r>
      <w:r>
        <w:t>'</w:t>
      </w:r>
      <w:r w:rsidRPr="00DB38E2">
        <w:t>slightly disagree</w:t>
      </w:r>
      <w:r>
        <w:t>'</w:t>
      </w:r>
      <w:r w:rsidRPr="00DB38E2">
        <w:t xml:space="preserve"> and </w:t>
      </w:r>
      <w:r>
        <w:t>'</w:t>
      </w:r>
      <w:r w:rsidRPr="00DB38E2">
        <w:t>strongly disagree</w:t>
      </w:r>
      <w:r>
        <w:t>'</w:t>
      </w:r>
      <w:r w:rsidRPr="00DB38E2">
        <w:t xml:space="preserve"> were combined</w:t>
      </w:r>
      <w:r>
        <w:t>,</w:t>
      </w:r>
      <w:r w:rsidRPr="00DB38E2">
        <w:t xml:space="preserve"> while in the </w:t>
      </w:r>
      <w:r>
        <w:t>SS</w:t>
      </w:r>
      <w:r w:rsidRPr="00DB38E2">
        <w:t xml:space="preserve"> and SA/A scales; categories of </w:t>
      </w:r>
      <w:r>
        <w:t>'</w:t>
      </w:r>
      <w:r w:rsidRPr="00DB38E2">
        <w:t>strongly agree</w:t>
      </w:r>
      <w:r>
        <w:t>'</w:t>
      </w:r>
      <w:r w:rsidRPr="00DB38E2">
        <w:t xml:space="preserve"> and </w:t>
      </w:r>
      <w:r>
        <w:t>'</w:t>
      </w:r>
      <w:r w:rsidRPr="00DB38E2">
        <w:t>slightly agree</w:t>
      </w:r>
      <w:r>
        <w:t>'</w:t>
      </w:r>
      <w:r w:rsidRPr="00DB38E2">
        <w:t xml:space="preserve"> were combined and </w:t>
      </w:r>
      <w:r>
        <w:t>'</w:t>
      </w:r>
      <w:r w:rsidRPr="00DB38E2">
        <w:t>neither agree nor disagree</w:t>
      </w:r>
      <w:r>
        <w:t>'</w:t>
      </w:r>
      <w:r w:rsidRPr="00DB38E2">
        <w:t xml:space="preserve"> and </w:t>
      </w:r>
      <w:r>
        <w:t>'</w:t>
      </w:r>
      <w:r w:rsidRPr="00DB38E2">
        <w:t>slightly disagree</w:t>
      </w:r>
      <w:r>
        <w:t>'</w:t>
      </w:r>
      <w:r w:rsidRPr="00DB38E2">
        <w:t xml:space="preserve"> were combined.</w:t>
      </w:r>
    </w:p>
    <w:p w14:paraId="67179E74" w14:textId="77777777" w:rsidR="00FE482F" w:rsidRPr="003A2CA3" w:rsidRDefault="00FE482F" w:rsidP="00B33867">
      <w:r w:rsidRPr="003A2CA3">
        <w:t>The differences</w:t>
      </w:r>
      <w:r>
        <w:t xml:space="preserve"> in the categories that were combined between the SS and SA/A scales and SE and IIB indicate a </w:t>
      </w:r>
      <w:r w:rsidRPr="003A2CA3">
        <w:t xml:space="preserve">skew of </w:t>
      </w:r>
      <w:r>
        <w:t>response</w:t>
      </w:r>
      <w:r w:rsidRPr="003A2CA3">
        <w:t xml:space="preserve"> </w:t>
      </w:r>
      <w:r>
        <w:t xml:space="preserve">choices. This skew </w:t>
      </w:r>
      <w:r w:rsidRPr="00DB38E2">
        <w:t>may reflect a central tendency bias, where respondents tend to avoid extreme response options and instead choose categories that are more neutral or moderate</w:t>
      </w:r>
      <w:r>
        <w:t xml:space="preserve"> </w:t>
      </w:r>
      <w:r w:rsidRPr="00DB38E2">
        <w:t>result</w:t>
      </w:r>
      <w:r>
        <w:t>ing</w:t>
      </w:r>
      <w:r w:rsidRPr="00DB38E2">
        <w:t xml:space="preserve"> in less distinction between the response options </w:t>
      </w:r>
      <w:r>
        <w:t xml:space="preserve">or may be a result of </w:t>
      </w:r>
      <w:r w:rsidRPr="00DB38E2">
        <w:t>specific response styles (e.g., social desirability bias), where respondents tend to agree or disagree systematically with items regardless of their content</w:t>
      </w:r>
      <w:r>
        <w:t xml:space="preserve">. </w:t>
      </w:r>
      <w:r w:rsidRPr="00DB38E2">
        <w:t xml:space="preserve">The skew in response choices </w:t>
      </w:r>
      <w:r>
        <w:t>also</w:t>
      </w:r>
      <w:r w:rsidRPr="00DB38E2">
        <w:t xml:space="preserve"> </w:t>
      </w:r>
      <w:r>
        <w:t>provides further evidence that</w:t>
      </w:r>
      <w:r w:rsidRPr="00DB38E2">
        <w:t xml:space="preserve"> the original response options did not effectively</w:t>
      </w:r>
      <w:r>
        <w:t xml:space="preserve">/sensitively </w:t>
      </w:r>
      <w:r w:rsidRPr="00DB38E2">
        <w:t>capture the nuances or extremes of the construct.</w:t>
      </w:r>
      <w:r>
        <w:t xml:space="preserve"> </w:t>
      </w:r>
      <w:r w:rsidRPr="00DB38E2">
        <w:t xml:space="preserve">Collapsing categories may help reduce the impact of these response styles on the </w:t>
      </w:r>
      <w:r>
        <w:t>scale's</w:t>
      </w:r>
      <w:r w:rsidRPr="00DB38E2">
        <w:t xml:space="preserve"> functioning</w:t>
      </w:r>
      <w:r>
        <w:t xml:space="preserve">. However, these patterns may necessitate redefining </w:t>
      </w:r>
      <w:r w:rsidRPr="003A2CA3">
        <w:t xml:space="preserve">the response categories to improve </w:t>
      </w:r>
      <w:r>
        <w:t xml:space="preserve">the </w:t>
      </w:r>
      <w:r w:rsidRPr="003A2CA3">
        <w:t>clarity of meaning among this patient group</w:t>
      </w:r>
      <w:r>
        <w:t xml:space="preserve"> and simplify the scale. Further recommendation for this is discussed later in the 'Recommendations for further refinement' section below.</w:t>
      </w:r>
    </w:p>
    <w:p w14:paraId="1026A91A" w14:textId="77777777" w:rsidR="00FE482F" w:rsidRDefault="00FE482F" w:rsidP="00B33867">
      <w:r w:rsidRPr="002210F5">
        <w:t xml:space="preserve">Nevertheless, </w:t>
      </w:r>
      <w:r w:rsidRPr="00590DF4">
        <w:t xml:space="preserve">when the number of </w:t>
      </w:r>
      <w:r>
        <w:t>response</w:t>
      </w:r>
      <w:r w:rsidRPr="00590DF4">
        <w:t xml:space="preserve"> options </w:t>
      </w:r>
      <w:r>
        <w:t>was</w:t>
      </w:r>
      <w:r w:rsidRPr="00590DF4">
        <w:t xml:space="preserve"> reduced</w:t>
      </w:r>
      <w:r>
        <w:t xml:space="preserve"> in all four EASE-F constructs, </w:t>
      </w:r>
      <w:r w:rsidRPr="002210F5">
        <w:t>there was an improvement in the location of the category curves</w:t>
      </w:r>
      <w:r>
        <w:t xml:space="preserve"> and</w:t>
      </w:r>
      <w:r w:rsidRPr="002210F5">
        <w:t xml:space="preserve"> other</w:t>
      </w:r>
      <w:r>
        <w:t xml:space="preserve"> Rasch</w:t>
      </w:r>
      <w:r w:rsidRPr="002210F5">
        <w:t xml:space="preserve"> indices</w:t>
      </w:r>
      <w:r>
        <w:t>,</w:t>
      </w:r>
      <w:r w:rsidRPr="002210F5">
        <w:t xml:space="preserve"> </w:t>
      </w:r>
      <w:r>
        <w:t xml:space="preserve">such as </w:t>
      </w:r>
      <w:r w:rsidRPr="002210F5">
        <w:t>item fit values</w:t>
      </w:r>
      <w:r>
        <w:t>. In the case of the IIB scale, which comprised all the reversed items in the measure, a phenomenon common in Item Response Theory (IRT), the skewed pattern might be related to the items' wording or context, which could influence the patients' choices. Rewording and retesting these items would indicate whether these distributions resulted from item wording.</w:t>
      </w:r>
    </w:p>
    <w:p w14:paraId="3631FF92" w14:textId="77777777" w:rsidR="00FE482F" w:rsidRPr="00207155" w:rsidRDefault="00FE482F" w:rsidP="001B4B1E">
      <w:pPr>
        <w:pStyle w:val="Heading4"/>
      </w:pPr>
      <w:r>
        <w:t xml:space="preserve">3.4.2.2 </w:t>
      </w:r>
      <w:r w:rsidRPr="00207155">
        <w:t>Uni-dimensionality</w:t>
      </w:r>
    </w:p>
    <w:p w14:paraId="37265590" w14:textId="77777777" w:rsidR="00FE482F" w:rsidRDefault="00FE482F" w:rsidP="00B33867">
      <w:r w:rsidRPr="00002C20">
        <w:t>The e</w:t>
      </w:r>
      <w:r>
        <w:t>valuatio</w:t>
      </w:r>
      <w:r w:rsidRPr="00002C20">
        <w:t xml:space="preserve">n of </w:t>
      </w:r>
      <w:proofErr w:type="spellStart"/>
      <w:r w:rsidRPr="00002C20">
        <w:t>uni</w:t>
      </w:r>
      <w:proofErr w:type="spellEnd"/>
      <w:r>
        <w:t>-</w:t>
      </w:r>
      <w:r w:rsidRPr="00002C20">
        <w:t xml:space="preserve">dimensionality indicated that each of the four </w:t>
      </w:r>
      <w:r>
        <w:t>EASE-F</w:t>
      </w:r>
      <w:r w:rsidRPr="00002C20">
        <w:t xml:space="preserve"> </w:t>
      </w:r>
      <w:r>
        <w:t xml:space="preserve">subscales </w:t>
      </w:r>
      <w:r w:rsidRPr="00002C20">
        <w:t>independently measured a single trait.</w:t>
      </w:r>
      <w:r>
        <w:t xml:space="preserve"> </w:t>
      </w:r>
      <w:r w:rsidRPr="00002C20">
        <w:t xml:space="preserve">This </w:t>
      </w:r>
      <w:r>
        <w:t>finding</w:t>
      </w:r>
      <w:r w:rsidRPr="00002C20">
        <w:t xml:space="preserve"> of </w:t>
      </w:r>
      <w:proofErr w:type="spellStart"/>
      <w:r w:rsidRPr="00002C20">
        <w:t>uni</w:t>
      </w:r>
      <w:proofErr w:type="spellEnd"/>
      <w:r>
        <w:t>-</w:t>
      </w:r>
      <w:r w:rsidRPr="00002C20">
        <w:t xml:space="preserve">dimensionality aligns with </w:t>
      </w:r>
      <w:proofErr w:type="spellStart"/>
      <w:r>
        <w:lastRenderedPageBreak/>
        <w:t>Proyer's</w:t>
      </w:r>
      <w:proofErr w:type="spellEnd"/>
      <w:r w:rsidRPr="00002C20">
        <w:t xml:space="preserve"> (2017a) evaluation of the </w:t>
      </w:r>
      <w:r>
        <w:t>instrument's</w:t>
      </w:r>
      <w:r w:rsidRPr="00002C20">
        <w:t xml:space="preserve"> factorial validity; however, it is important to note that this finding </w:t>
      </w:r>
      <w:r>
        <w:t>alone</w:t>
      </w:r>
      <w:r w:rsidRPr="00002C20">
        <w:t xml:space="preserve"> does not substantiate the theoretical soundness of the constructs</w:t>
      </w:r>
      <w:r>
        <w:t xml:space="preserve"> and only </w:t>
      </w:r>
      <w:r w:rsidRPr="00002C20">
        <w:t xml:space="preserve">demonstrates that the </w:t>
      </w:r>
      <w:r>
        <w:t>EASE-F</w:t>
      </w:r>
      <w:r w:rsidRPr="00002C20">
        <w:t xml:space="preserve"> constructs exhibit adequate </w:t>
      </w:r>
      <w:proofErr w:type="spellStart"/>
      <w:r w:rsidRPr="00002C20">
        <w:t>uni</w:t>
      </w:r>
      <w:proofErr w:type="spellEnd"/>
      <w:r>
        <w:t>-</w:t>
      </w:r>
      <w:r w:rsidRPr="00002C20">
        <w:t>dimensionality for meaningful measurement.</w:t>
      </w:r>
    </w:p>
    <w:p w14:paraId="54AD40C4" w14:textId="77777777" w:rsidR="00FE482F" w:rsidRPr="00207155" w:rsidRDefault="00FE482F" w:rsidP="001B4B1E">
      <w:pPr>
        <w:pStyle w:val="Heading4"/>
      </w:pPr>
      <w:r>
        <w:t xml:space="preserve">3.4.2.3 </w:t>
      </w:r>
      <w:r w:rsidRPr="00207155">
        <w:t>Person misfit</w:t>
      </w:r>
    </w:p>
    <w:p w14:paraId="159A75AC" w14:textId="77777777" w:rsidR="00FE482F" w:rsidRPr="0052484E" w:rsidRDefault="00FE482F" w:rsidP="00B33867">
      <w:r w:rsidRPr="0052484E">
        <w:t xml:space="preserve">Misfitting persons in a Rasch analysis refer to individuals whose response patterns do not fit the expected patterns predicted by the </w:t>
      </w:r>
      <w:r>
        <w:t>Rasch model</w:t>
      </w:r>
      <w:r w:rsidRPr="0052484E">
        <w:t>.</w:t>
      </w:r>
      <w:r>
        <w:t xml:space="preserve"> </w:t>
      </w:r>
      <w:r w:rsidRPr="0052484E">
        <w:t>Overfitting</w:t>
      </w:r>
      <w:r>
        <w:t xml:space="preserve"> (those fitting the model too 'perfectly')</w:t>
      </w:r>
      <w:r w:rsidRPr="0052484E">
        <w:t xml:space="preserve"> and underfitting </w:t>
      </w:r>
      <w:r>
        <w:t xml:space="preserve">(those not fitting the model as expected) </w:t>
      </w:r>
      <w:r w:rsidRPr="0052484E">
        <w:t xml:space="preserve">persons were observed in all the subscale </w:t>
      </w:r>
      <w:r>
        <w:t>R</w:t>
      </w:r>
      <w:r w:rsidRPr="0052484E">
        <w:t>asch models.</w:t>
      </w:r>
      <w:r>
        <w:t xml:space="preserve"> First, this may</w:t>
      </w:r>
      <w:r w:rsidRPr="0052484E">
        <w:t xml:space="preserve"> indicate differences in response styles or response biases among the patient group.</w:t>
      </w:r>
    </w:p>
    <w:p w14:paraId="61A1127C" w14:textId="77777777" w:rsidR="00FE482F" w:rsidRPr="0052484E" w:rsidRDefault="00FE482F" w:rsidP="00B33867">
      <w:r>
        <w:t>However, t</w:t>
      </w:r>
      <w:r w:rsidRPr="0052484E">
        <w:t xml:space="preserve">he EASE-F was completed as part of a compulsory </w:t>
      </w:r>
      <w:r>
        <w:t xml:space="preserve">and relatively long </w:t>
      </w:r>
      <w:r w:rsidRPr="0052484E">
        <w:t xml:space="preserve">questionnaire battery to access </w:t>
      </w:r>
      <w:r>
        <w:t>specialised</w:t>
      </w:r>
      <w:r w:rsidRPr="0052484E">
        <w:t xml:space="preserve"> therapy.</w:t>
      </w:r>
      <w:r>
        <w:t xml:space="preserve"> </w:t>
      </w:r>
      <w:r w:rsidRPr="0052484E">
        <w:t xml:space="preserve">In the studied sample, this was particularly after a long wait time rendered by the </w:t>
      </w:r>
      <w:r>
        <w:t>C</w:t>
      </w:r>
      <w:r w:rsidRPr="0052484E">
        <w:t>ovid-19 pandemic and</w:t>
      </w:r>
      <w:r>
        <w:t xml:space="preserve"> consequent</w:t>
      </w:r>
      <w:r w:rsidRPr="0052484E">
        <w:t xml:space="preserve"> disruptions to the psychotherapy service</w:t>
      </w:r>
      <w:r>
        <w:t>,</w:t>
      </w:r>
      <w:r w:rsidRPr="0052484E">
        <w:t xml:space="preserve"> </w:t>
      </w:r>
      <w:r>
        <w:t>which may have led to impatience or guessing in the opt-in questionnaires.</w:t>
      </w:r>
    </w:p>
    <w:p w14:paraId="7B4F186D" w14:textId="77777777" w:rsidR="00FE482F" w:rsidRDefault="00FE482F" w:rsidP="00B33867">
      <w:r w:rsidRPr="0052484E">
        <w:t>This</w:t>
      </w:r>
      <w:r>
        <w:t>,</w:t>
      </w:r>
      <w:r w:rsidRPr="0052484E">
        <w:t xml:space="preserve"> among other reasons of</w:t>
      </w:r>
      <w:r>
        <w:t>, for example, social response bias</w:t>
      </w:r>
      <w:r w:rsidRPr="0052484E">
        <w:t xml:space="preserve"> or difficulty answering</w:t>
      </w:r>
      <w:r>
        <w:t>,</w:t>
      </w:r>
      <w:r w:rsidRPr="0052484E">
        <w:t xml:space="preserve"> may have led to inconsistent or unusual response patterns relative to the Rasch model.</w:t>
      </w:r>
      <w:r>
        <w:t xml:space="preserve"> On</w:t>
      </w:r>
      <w:r w:rsidRPr="0052484E">
        <w:t xml:space="preserve"> the other hand</w:t>
      </w:r>
      <w:r>
        <w:t>,</w:t>
      </w:r>
      <w:r w:rsidRPr="0052484E">
        <w:t xml:space="preserve"> the misfitting persons may indicate that certain </w:t>
      </w:r>
      <w:r>
        <w:t>questionnaire items are irrelevant</w:t>
      </w:r>
      <w:r w:rsidRPr="0052484E">
        <w:t xml:space="preserve"> or </w:t>
      </w:r>
      <w:r>
        <w:t xml:space="preserve">not </w:t>
      </w:r>
      <w:r w:rsidRPr="0052484E">
        <w:t>meaningful to some individuals.</w:t>
      </w:r>
      <w:r>
        <w:t xml:space="preserve"> </w:t>
      </w:r>
      <w:r w:rsidRPr="0052484E">
        <w:t xml:space="preserve">This could be because the items are </w:t>
      </w:r>
      <w:r>
        <w:t>unclear</w:t>
      </w:r>
      <w:r w:rsidRPr="0052484E">
        <w:t xml:space="preserve">, they may not </w:t>
      </w:r>
      <w:r>
        <w:t>apply</w:t>
      </w:r>
      <w:r w:rsidRPr="0052484E">
        <w:t xml:space="preserve"> to their specific situation, or they may not </w:t>
      </w:r>
      <w:r>
        <w:t>adequately capture the intended construct</w:t>
      </w:r>
      <w:r w:rsidRPr="0052484E">
        <w:t>.</w:t>
      </w:r>
      <w:r>
        <w:t xml:space="preserve"> Reflecting this,</w:t>
      </w:r>
      <w:r w:rsidRPr="0052484E">
        <w:t xml:space="preserve"> </w:t>
      </w:r>
      <w:r>
        <w:t>combining the</w:t>
      </w:r>
      <w:r w:rsidRPr="0052484E">
        <w:t xml:space="preserve"> categories for response</w:t>
      </w:r>
      <w:r>
        <w:t>s</w:t>
      </w:r>
      <w:r w:rsidRPr="0052484E">
        <w:t xml:space="preserve"> made</w:t>
      </w:r>
      <w:r>
        <w:t xml:space="preserve"> a</w:t>
      </w:r>
      <w:r w:rsidRPr="0052484E">
        <w:t xml:space="preserve"> significant difference</w:t>
      </w:r>
      <w:r>
        <w:t xml:space="preserve"> in</w:t>
      </w:r>
      <w:r w:rsidRPr="0052484E">
        <w:t xml:space="preserve"> the number of misfitting persons across all scales</w:t>
      </w:r>
      <w:r>
        <w:t>,</w:t>
      </w:r>
      <w:r w:rsidRPr="0052484E">
        <w:t xml:space="preserve"> </w:t>
      </w:r>
      <w:r>
        <w:t>verifying that,</w:t>
      </w:r>
      <w:r w:rsidRPr="0052484E">
        <w:t xml:space="preserve"> to some degree that the</w:t>
      </w:r>
      <w:r>
        <w:t xml:space="preserve"> number of misfitting persons</w:t>
      </w:r>
      <w:r w:rsidRPr="0052484E">
        <w:t xml:space="preserve"> was due to suboptimal scale functioning. </w:t>
      </w:r>
    </w:p>
    <w:p w14:paraId="246917B1" w14:textId="77777777" w:rsidR="00FE482F" w:rsidRDefault="00FE482F" w:rsidP="00B33867">
      <w:r w:rsidRPr="0052484E">
        <w:t xml:space="preserve">Furthermore, misfitting persons might indicate that the sample is heterogeneous, and the questionnaire may not </w:t>
      </w:r>
      <w:r>
        <w:t>work</w:t>
      </w:r>
      <w:r w:rsidRPr="0052484E">
        <w:t xml:space="preserve"> equally well for all subgroups.</w:t>
      </w:r>
      <w:r>
        <w:t xml:space="preserve"> </w:t>
      </w:r>
      <w:r w:rsidRPr="0052484E">
        <w:t xml:space="preserve">Further exploration of differential item functioning (DIF) in other subgroups may determine whether certain items function differently across different subgroups (e.g., age groups, marital status, </w:t>
      </w:r>
      <w:r>
        <w:t>comorbidities</w:t>
      </w:r>
      <w:r w:rsidRPr="0052484E">
        <w:t xml:space="preserve"> etc</w:t>
      </w:r>
      <w:r>
        <w:t>.</w:t>
      </w:r>
      <w:r w:rsidRPr="0052484E">
        <w:t>).</w:t>
      </w:r>
      <w:r>
        <w:t xml:space="preserve"> </w:t>
      </w:r>
      <w:r w:rsidRPr="0052484E">
        <w:t>If DIF is present, modifying or removing problematic items or developing s</w:t>
      </w:r>
      <w:r>
        <w:t>pecific items</w:t>
      </w:r>
      <w:r w:rsidRPr="0052484E">
        <w:t xml:space="preserve"> for different subgroups may be </w:t>
      </w:r>
      <w:r>
        <w:t>warranted.</w:t>
      </w:r>
      <w:r w:rsidRPr="0052484E">
        <w:t xml:space="preserve"> </w:t>
      </w:r>
    </w:p>
    <w:p w14:paraId="6EBEB225" w14:textId="77777777" w:rsidR="00FE482F" w:rsidRPr="00207155" w:rsidRDefault="00FE482F" w:rsidP="001B4B1E">
      <w:pPr>
        <w:pStyle w:val="Heading4"/>
      </w:pPr>
      <w:r>
        <w:t xml:space="preserve">3.4.2.4 </w:t>
      </w:r>
      <w:r w:rsidRPr="00207155">
        <w:t>Item misfit</w:t>
      </w:r>
    </w:p>
    <w:p w14:paraId="24C53545" w14:textId="77777777" w:rsidR="00FE482F" w:rsidRPr="002952FB" w:rsidRDefault="00FE482F" w:rsidP="00B33867">
      <w:r w:rsidRPr="002952FB">
        <w:t xml:space="preserve">Adequate infit and outfit MNSQ values, but less than optimal </w:t>
      </w:r>
      <w:r>
        <w:t>corresponding standardised</w:t>
      </w:r>
      <w:r w:rsidRPr="002952FB">
        <w:t xml:space="preserve"> values</w:t>
      </w:r>
      <w:r>
        <w:t>,</w:t>
      </w:r>
      <w:r w:rsidRPr="002952FB">
        <w:t xml:space="preserve"> indicated that, although these items were productive of </w:t>
      </w:r>
      <w:r w:rsidRPr="002952FB">
        <w:lastRenderedPageBreak/>
        <w:t>measurement, they were either too predictable or completely unpredictable based on the Rasch model.</w:t>
      </w:r>
      <w:r>
        <w:t xml:space="preserve"> This</w:t>
      </w:r>
      <w:r w:rsidRPr="002952FB">
        <w:t xml:space="preserve"> could indicate a misunderstanding or range of meaning to patients.</w:t>
      </w:r>
      <w:r>
        <w:t xml:space="preserve"> Therefore, these items were explored further by reviewing</w:t>
      </w:r>
      <w:r w:rsidRPr="002952FB">
        <w:t xml:space="preserve"> the item content, item alignment with the underlying construct, examining response patterns, and further sensitivity analyses, and items were flagged for review in further model iterations.</w:t>
      </w:r>
      <w:r>
        <w:t xml:space="preserve"> </w:t>
      </w:r>
      <w:r w:rsidRPr="002952FB">
        <w:t>In all scales except the self-awareness/assertiveness scale,</w:t>
      </w:r>
      <w:r>
        <w:t xml:space="preserve"> t</w:t>
      </w:r>
      <w:r w:rsidRPr="002952FB">
        <w:t>hese misfitting items were resolved after modifications in response scales or the removal of misfitting persons.</w:t>
      </w:r>
      <w:r>
        <w:t xml:space="preserve"> In the SA/A scale, four of the seven items still showed out-of-range standardised infit and outfit values in the final Rasch model, indicating a need for further revision of items.</w:t>
      </w:r>
    </w:p>
    <w:p w14:paraId="3C996D69" w14:textId="77777777" w:rsidR="00FE482F" w:rsidRPr="00207155" w:rsidRDefault="00FE482F" w:rsidP="001B4B1E">
      <w:pPr>
        <w:pStyle w:val="Heading4"/>
      </w:pPr>
      <w:r>
        <w:t xml:space="preserve">3.4.2.5 </w:t>
      </w:r>
      <w:r w:rsidRPr="00207155">
        <w:t>Reliability/separation</w:t>
      </w:r>
    </w:p>
    <w:p w14:paraId="65072AB6" w14:textId="77777777" w:rsidR="00FE482F" w:rsidRDefault="00FE482F" w:rsidP="00B33867">
      <w:r w:rsidRPr="003B0528">
        <w:t xml:space="preserve">After refining the model, the </w:t>
      </w:r>
      <w:r>
        <w:t xml:space="preserve">person/item </w:t>
      </w:r>
      <w:r w:rsidRPr="003B0528">
        <w:t xml:space="preserve">reliability and separation indices were reviewed for each </w:t>
      </w:r>
      <w:r>
        <w:t xml:space="preserve">subscale. </w:t>
      </w:r>
      <w:r w:rsidRPr="003B0528">
        <w:t xml:space="preserve">The item separation and item reliability observed for the </w:t>
      </w:r>
      <w:r>
        <w:t>SE</w:t>
      </w:r>
      <w:r w:rsidRPr="003B0528">
        <w:t xml:space="preserve">, </w:t>
      </w:r>
      <w:r>
        <w:t>SA</w:t>
      </w:r>
      <w:r w:rsidRPr="003B0528">
        <w:t xml:space="preserve">, </w:t>
      </w:r>
      <w:r>
        <w:t>SS</w:t>
      </w:r>
      <w:r w:rsidRPr="003B0528">
        <w:t xml:space="preserve">, and </w:t>
      </w:r>
      <w:r>
        <w:t>IIB</w:t>
      </w:r>
      <w:r w:rsidRPr="003B0528">
        <w:t xml:space="preserve"> scales exceeded the recommended thresholds (separation ≥ 3 and reliability ≥ 0.9) (Cordier et al., 2018; Linacre, 2010).</w:t>
      </w:r>
      <w:r>
        <w:t xml:space="preserve"> </w:t>
      </w:r>
      <w:r w:rsidRPr="003B0528">
        <w:t xml:space="preserve">Specifically, the self-efficacy scale demonstrated an item reliability of 0.99 and an item separation of 9.93, suggesting that approximately </w:t>
      </w:r>
      <w:r>
        <w:t>ten</w:t>
      </w:r>
      <w:r w:rsidRPr="003B0528">
        <w:t xml:space="preserve"> </w:t>
      </w:r>
      <w:r>
        <w:t>difficulty levels</w:t>
      </w:r>
      <w:r w:rsidRPr="003B0528">
        <w:t xml:space="preserve"> exist within the </w:t>
      </w:r>
      <w:r>
        <w:t>EASE-F</w:t>
      </w:r>
      <w:r w:rsidRPr="003B0528">
        <w:t xml:space="preserve"> items on this scale.</w:t>
      </w:r>
      <w:r>
        <w:t xml:space="preserve"> </w:t>
      </w:r>
      <w:r w:rsidRPr="003B0528">
        <w:t>These statistics provide evidence for strong internal consistency and reliability</w:t>
      </w:r>
      <w:r>
        <w:t xml:space="preserve">. </w:t>
      </w:r>
      <w:r w:rsidRPr="003B0528">
        <w:t xml:space="preserve">Conversely, the person reliability and person separation indices fell short of the suggested values of ≥ 0.8 and ≥ 2.0 across all subscales except for the </w:t>
      </w:r>
      <w:r>
        <w:t>SE</w:t>
      </w:r>
      <w:r w:rsidRPr="003B0528">
        <w:t xml:space="preserve"> scale (</w:t>
      </w:r>
      <w:proofErr w:type="spellStart"/>
      <w:r w:rsidRPr="003B0528">
        <w:t>Malec</w:t>
      </w:r>
      <w:proofErr w:type="spellEnd"/>
      <w:r w:rsidRPr="003B0528">
        <w:t xml:space="preserve"> et al., 2007).</w:t>
      </w:r>
      <w:r>
        <w:t xml:space="preserve"> </w:t>
      </w:r>
      <w:r w:rsidRPr="003B0528">
        <w:t>A common explanation for low person reliability and low person separation is an insufficient number of items capturing varying ability levels among respondents within a specific construct.</w:t>
      </w:r>
      <w:r>
        <w:t xml:space="preserve"> The</w:t>
      </w:r>
      <w:r w:rsidRPr="003B0528">
        <w:t xml:space="preserve"> longest subscale, self-efficacy</w:t>
      </w:r>
      <w:r>
        <w:t xml:space="preserve"> (</w:t>
      </w:r>
      <w:r w:rsidRPr="003B0528">
        <w:t>nine items</w:t>
      </w:r>
      <w:r>
        <w:t>)</w:t>
      </w:r>
      <w:r w:rsidRPr="003B0528">
        <w:t xml:space="preserve">, was the only </w:t>
      </w:r>
      <w:r>
        <w:t>scale</w:t>
      </w:r>
      <w:r w:rsidRPr="003B0528">
        <w:t xml:space="preserve"> to meet the suggested values</w:t>
      </w:r>
      <w:r>
        <w:t xml:space="preserve"> (P</w:t>
      </w:r>
      <w:r w:rsidRPr="003B0528">
        <w:t xml:space="preserve">erson reliability </w:t>
      </w:r>
      <w:r>
        <w:t>=</w:t>
      </w:r>
      <w:r w:rsidRPr="003B0528">
        <w:t xml:space="preserve"> 0.82</w:t>
      </w:r>
      <w:r>
        <w:t xml:space="preserve">, Person </w:t>
      </w:r>
      <w:r w:rsidRPr="003B0528">
        <w:t>separation index =</w:t>
      </w:r>
      <w:r>
        <w:t xml:space="preserve"> </w:t>
      </w:r>
      <w:r w:rsidRPr="003B0528">
        <w:t>2.14</w:t>
      </w:r>
      <w:r>
        <w:t>). T</w:t>
      </w:r>
      <w:r w:rsidRPr="003B0528">
        <w:t>h</w:t>
      </w:r>
      <w:r>
        <w:t>e SE</w:t>
      </w:r>
      <w:r w:rsidRPr="003B0528">
        <w:t xml:space="preserve"> person reliability indicate</w:t>
      </w:r>
      <w:r>
        <w:t>s</w:t>
      </w:r>
      <w:r w:rsidRPr="003B0528">
        <w:t xml:space="preserve"> 82% confidence in the measures of individuals, implying a low measurement error.</w:t>
      </w:r>
      <w:r>
        <w:t xml:space="preserve"> </w:t>
      </w:r>
      <w:r w:rsidRPr="003B0528">
        <w:t xml:space="preserve">Additionally, these indices demonstrate that the items within the </w:t>
      </w:r>
      <w:r>
        <w:t>SE</w:t>
      </w:r>
      <w:r w:rsidRPr="003B0528">
        <w:t xml:space="preserve"> scale are adequately sensitive to distinguish between at least two levels of ability or endorsement (low and high) among the sample. </w:t>
      </w:r>
    </w:p>
    <w:p w14:paraId="5EFE7297" w14:textId="77777777" w:rsidR="00FE482F" w:rsidRPr="003B0528" w:rsidRDefault="00FE482F" w:rsidP="00B33867">
      <w:r>
        <w:t>The</w:t>
      </w:r>
      <w:r w:rsidRPr="003B0528">
        <w:t xml:space="preserve"> suboptimal person reliability and separation</w:t>
      </w:r>
      <w:r>
        <w:t xml:space="preserve"> indices in the SA</w:t>
      </w:r>
      <w:r w:rsidRPr="003B0528">
        <w:t xml:space="preserve">, </w:t>
      </w:r>
      <w:r>
        <w:t>SS</w:t>
      </w:r>
      <w:r w:rsidRPr="003B0528">
        <w:t xml:space="preserve"> and </w:t>
      </w:r>
      <w:r>
        <w:t>IIB subscales suggest</w:t>
      </w:r>
      <w:r w:rsidRPr="003B0528">
        <w:t xml:space="preserve"> that the</w:t>
      </w:r>
      <w:r>
        <w:t>se</w:t>
      </w:r>
      <w:r w:rsidRPr="003B0528">
        <w:t xml:space="preserve"> scales </w:t>
      </w:r>
      <w:r>
        <w:t>we</w:t>
      </w:r>
      <w:r w:rsidRPr="003B0528">
        <w:t>re not effectively differentiating between varying levels of ability or traits within the sampled population, although the items function well</w:t>
      </w:r>
      <w:r>
        <w:t xml:space="preserve">. </w:t>
      </w:r>
      <w:r w:rsidRPr="003B0528">
        <w:t>The collapse of the original categories had minimal effect on the reliability statistics between the model iterations,</w:t>
      </w:r>
      <w:r>
        <w:t xml:space="preserve"> and</w:t>
      </w:r>
      <w:r w:rsidRPr="003B0528">
        <w:t xml:space="preserve"> the shortness of these scales (</w:t>
      </w:r>
      <w:r>
        <w:t>5</w:t>
      </w:r>
      <w:r w:rsidRPr="003B0528">
        <w:t>-</w:t>
      </w:r>
      <w:r>
        <w:lastRenderedPageBreak/>
        <w:t>7</w:t>
      </w:r>
      <w:r w:rsidRPr="003B0528">
        <w:t xml:space="preserve"> items) </w:t>
      </w:r>
      <w:r>
        <w:t>is a possible explanation. A</w:t>
      </w:r>
      <w:r w:rsidRPr="003B0528">
        <w:t xml:space="preserve">s such, one solution that might improve these indices </w:t>
      </w:r>
      <w:r>
        <w:t>would be</w:t>
      </w:r>
      <w:r w:rsidRPr="003B0528">
        <w:t xml:space="preserve"> to add items to the constructs</w:t>
      </w:r>
      <w:r>
        <w:t xml:space="preserve"> to</w:t>
      </w:r>
      <w:r w:rsidRPr="003B0528">
        <w:t xml:space="preserve"> fill the gaps highlighted in the Wright Maps</w:t>
      </w:r>
      <w:r>
        <w:t xml:space="preserve"> and other Rasch metrics</w:t>
      </w:r>
      <w:r w:rsidRPr="003B0528">
        <w:t xml:space="preserve"> by adding items with varying difficulty levels. </w:t>
      </w:r>
    </w:p>
    <w:p w14:paraId="627EE8F7" w14:textId="77777777" w:rsidR="00FE482F" w:rsidRPr="003B0528" w:rsidRDefault="00FE482F" w:rsidP="00B33867">
      <w:r>
        <w:t>A</w:t>
      </w:r>
      <w:r w:rsidRPr="003B0528">
        <w:t>n</w:t>
      </w:r>
      <w:r>
        <w:t xml:space="preserve">other potential </w:t>
      </w:r>
      <w:r w:rsidRPr="003B0528">
        <w:t>explanation is the issue of scale targeting, where the scale may predominantly include items that are either too difficult or too easy for the sample, thus diminishing the separation among individuals.</w:t>
      </w:r>
      <w:r>
        <w:t xml:space="preserve"> </w:t>
      </w:r>
      <w:r w:rsidRPr="003B0528">
        <w:t xml:space="preserve">It is advisable to revise the scale items, particularly those identified as misfitting, </w:t>
      </w:r>
      <w:r>
        <w:t>to target the desired population better</w:t>
      </w:r>
      <w:r w:rsidRPr="003B0528">
        <w:t>.</w:t>
      </w:r>
      <w:r>
        <w:t xml:space="preserve"> </w:t>
      </w:r>
      <w:r w:rsidRPr="003B0528">
        <w:t xml:space="preserve">A low person separation index may </w:t>
      </w:r>
      <w:r>
        <w:t xml:space="preserve">also </w:t>
      </w:r>
      <w:r w:rsidRPr="003B0528">
        <w:t>be due to the homogeneity of the sample regarding the particular trait of interest.</w:t>
      </w:r>
      <w:r>
        <w:t xml:space="preserve"> The scale may not provide much information on interindividual differences if</w:t>
      </w:r>
      <w:r w:rsidRPr="003B0528">
        <w:t xml:space="preserve"> all participants have similar ability levels or trait characteristics.</w:t>
      </w:r>
      <w:r>
        <w:t xml:space="preserve"> Retesting</w:t>
      </w:r>
      <w:r w:rsidRPr="003B0528">
        <w:t xml:space="preserve"> a patient sample with a wider range of attitudes, </w:t>
      </w:r>
      <w:r>
        <w:t>e.g.,</w:t>
      </w:r>
      <w:r w:rsidRPr="003B0528">
        <w:t xml:space="preserve"> incorporating patients who have received </w:t>
      </w:r>
      <w:r>
        <w:t xml:space="preserve">therapeutic interventions, may help clarify whether this is a scale or sample characteristic. </w:t>
      </w:r>
      <w:r w:rsidRPr="003B0528">
        <w:t xml:space="preserve">Researchers that use the </w:t>
      </w:r>
      <w:r>
        <w:t>EASE-F</w:t>
      </w:r>
      <w:r w:rsidRPr="003B0528">
        <w:t xml:space="preserve"> should monitor these two indices when additional samples of patients are assessed with the current </w:t>
      </w:r>
      <w:r>
        <w:t>EASE-F</w:t>
      </w:r>
      <w:r w:rsidRPr="003B0528">
        <w:t xml:space="preserve"> and/or when new items are authored</w:t>
      </w:r>
      <w:r>
        <w:t>.</w:t>
      </w:r>
    </w:p>
    <w:p w14:paraId="39BC2AF7" w14:textId="77777777" w:rsidR="00FE482F" w:rsidRPr="00207155" w:rsidRDefault="00FE482F" w:rsidP="001B4B1E">
      <w:pPr>
        <w:pStyle w:val="Heading4"/>
      </w:pPr>
      <w:r>
        <w:t xml:space="preserve">3.4.2.6 </w:t>
      </w:r>
      <w:r w:rsidRPr="00207155">
        <w:t>Construct validity</w:t>
      </w:r>
    </w:p>
    <w:p w14:paraId="02C91A67" w14:textId="77777777" w:rsidR="00FE482F" w:rsidRDefault="00FE482F" w:rsidP="00B33867">
      <w:r w:rsidRPr="00C34AA8">
        <w:t>The</w:t>
      </w:r>
      <w:r w:rsidRPr="003B0528">
        <w:t xml:space="preserve"> Wright Map of each construct</w:t>
      </w:r>
      <w:r w:rsidRPr="00C34AA8">
        <w:t xml:space="preserve"> was used</w:t>
      </w:r>
      <w:r w:rsidRPr="003B0528">
        <w:t xml:space="preserve"> to examine the spacing and </w:t>
      </w:r>
      <w:r w:rsidRPr="00C34AA8">
        <w:t>order</w:t>
      </w:r>
      <w:r w:rsidRPr="003B0528">
        <w:t xml:space="preserve"> of items.</w:t>
      </w:r>
      <w:r>
        <w:t xml:space="preserve"> </w:t>
      </w:r>
      <w:r w:rsidRPr="00C34AA8">
        <w:t>The most evident observation was the</w:t>
      </w:r>
      <w:r>
        <w:t xml:space="preserve"> item-person targeting; </w:t>
      </w:r>
      <w:r w:rsidRPr="00C34AA8">
        <w:t xml:space="preserve">the items of the </w:t>
      </w:r>
      <w:r>
        <w:t xml:space="preserve">EASE-F did not adequately match </w:t>
      </w:r>
      <w:r w:rsidRPr="00C34AA8">
        <w:t xml:space="preserve">the </w:t>
      </w:r>
      <w:r>
        <w:t xml:space="preserve">levels of </w:t>
      </w:r>
      <w:r w:rsidRPr="00C34AA8">
        <w:t xml:space="preserve">abilities </w:t>
      </w:r>
      <w:r>
        <w:t>among the patients</w:t>
      </w:r>
      <w:r w:rsidRPr="00C34AA8">
        <w:t>.</w:t>
      </w:r>
      <w:r>
        <w:t xml:space="preserve"> T</w:t>
      </w:r>
      <w:r w:rsidRPr="00C34AA8">
        <w:t>his c</w:t>
      </w:r>
      <w:r>
        <w:t>ertainly</w:t>
      </w:r>
      <w:r w:rsidRPr="00C34AA8">
        <w:t xml:space="preserve"> affect</w:t>
      </w:r>
      <w:r>
        <w:t>s</w:t>
      </w:r>
      <w:r w:rsidRPr="00C34AA8">
        <w:t xml:space="preserve"> the </w:t>
      </w:r>
      <w:r>
        <w:t>scale's</w:t>
      </w:r>
      <w:r w:rsidRPr="00C34AA8">
        <w:t xml:space="preserve"> measurement </w:t>
      </w:r>
      <w:r>
        <w:t>ability</w:t>
      </w:r>
      <w:r w:rsidRPr="00C34AA8">
        <w:t xml:space="preserve"> and necess</w:t>
      </w:r>
      <w:r>
        <w:t xml:space="preserve">itates </w:t>
      </w:r>
      <w:r w:rsidRPr="00C34AA8">
        <w:t>t</w:t>
      </w:r>
      <w:r>
        <w:t>he</w:t>
      </w:r>
      <w:r w:rsidRPr="00C34AA8">
        <w:t xml:space="preserve"> revis</w:t>
      </w:r>
      <w:r>
        <w:t>ion</w:t>
      </w:r>
      <w:r w:rsidRPr="00C34AA8">
        <w:t xml:space="preserve"> </w:t>
      </w:r>
      <w:r>
        <w:t>and</w:t>
      </w:r>
      <w:r w:rsidRPr="00C34AA8">
        <w:t xml:space="preserve"> add</w:t>
      </w:r>
      <w:r>
        <w:t>ition of</w:t>
      </w:r>
      <w:r w:rsidRPr="00C34AA8">
        <w:t xml:space="preserve"> items </w:t>
      </w:r>
      <w:r>
        <w:t>to target the FNSD population better</w:t>
      </w:r>
      <w:r w:rsidRPr="00C34AA8">
        <w:t>.</w:t>
      </w:r>
    </w:p>
    <w:p w14:paraId="78069EA2" w14:textId="77777777" w:rsidR="00FE482F" w:rsidRPr="00C34AA8" w:rsidRDefault="00FE482F" w:rsidP="00B33867">
      <w:r>
        <w:t xml:space="preserve">Regarding item difficulty, the </w:t>
      </w:r>
      <w:r w:rsidRPr="00C34AA8">
        <w:t>Wright map revealed</w:t>
      </w:r>
      <w:r>
        <w:t xml:space="preserve"> item clusters. </w:t>
      </w:r>
      <w:r w:rsidRPr="003B0528">
        <w:t xml:space="preserve">For example, the </w:t>
      </w:r>
      <w:r w:rsidRPr="00C34AA8">
        <w:t>overlap</w:t>
      </w:r>
      <w:r w:rsidRPr="003B0528">
        <w:t xml:space="preserve"> of items </w:t>
      </w:r>
      <w:r w:rsidRPr="00C34AA8">
        <w:t xml:space="preserve">16 and 4 in the final model of the </w:t>
      </w:r>
      <w:r>
        <w:t>SA</w:t>
      </w:r>
      <w:r w:rsidRPr="00C34AA8">
        <w:t xml:space="preserve"> scale </w:t>
      </w:r>
      <w:r w:rsidRPr="003B0528">
        <w:t>indicat</w:t>
      </w:r>
      <w:r>
        <w:t>ed</w:t>
      </w:r>
      <w:r w:rsidRPr="00C34AA8">
        <w:t xml:space="preserve"> </w:t>
      </w:r>
      <w:r w:rsidRPr="003B0528">
        <w:t xml:space="preserve">that </w:t>
      </w:r>
      <w:r w:rsidRPr="00C34AA8">
        <w:t>one or both</w:t>
      </w:r>
      <w:r w:rsidRPr="003B0528">
        <w:t xml:space="preserve"> items </w:t>
      </w:r>
      <w:r>
        <w:t>might</w:t>
      </w:r>
      <w:r w:rsidRPr="003B0528">
        <w:t xml:space="preserve"> be redundant from a measurement perspective</w:t>
      </w:r>
      <w:r>
        <w:t>; that</w:t>
      </w:r>
      <w:r w:rsidRPr="00C34AA8">
        <w:t xml:space="preserve"> is, </w:t>
      </w:r>
      <w:r w:rsidRPr="003B0528">
        <w:t>these items mark similar parts of the constructs.</w:t>
      </w:r>
      <w:r>
        <w:t xml:space="preserve"> </w:t>
      </w:r>
      <w:r w:rsidRPr="003B0528">
        <w:t xml:space="preserve">In this case, </w:t>
      </w:r>
      <w:r>
        <w:t>items</w:t>
      </w:r>
      <w:r w:rsidRPr="003B0528">
        <w:t xml:space="preserve"> </w:t>
      </w:r>
      <w:r w:rsidRPr="00C34AA8">
        <w:t>16</w:t>
      </w:r>
      <w:r w:rsidRPr="003B0528">
        <w:t xml:space="preserve"> or </w:t>
      </w:r>
      <w:r w:rsidRPr="00C34AA8">
        <w:t>4</w:t>
      </w:r>
      <w:r w:rsidRPr="003B0528">
        <w:t xml:space="preserve"> could be deleted</w:t>
      </w:r>
      <w:r w:rsidRPr="00C34AA8">
        <w:t xml:space="preserve">, or one of these items reworded to be </w:t>
      </w:r>
      <w:r>
        <w:t>easier</w:t>
      </w:r>
      <w:r w:rsidRPr="00C34AA8">
        <w:t xml:space="preserve"> or </w:t>
      </w:r>
      <w:r>
        <w:t xml:space="preserve">more </w:t>
      </w:r>
      <w:r w:rsidRPr="00C34AA8">
        <w:t>difficult to endorse</w:t>
      </w:r>
      <w:r w:rsidRPr="003B0528">
        <w:t xml:space="preserve"> to make </w:t>
      </w:r>
      <w:r w:rsidRPr="00C34AA8">
        <w:t>this scale</w:t>
      </w:r>
      <w:r w:rsidRPr="003B0528">
        <w:t xml:space="preserve"> m</w:t>
      </w:r>
      <w:r w:rsidRPr="00C34AA8">
        <w:t>easure the construct more</w:t>
      </w:r>
      <w:r w:rsidRPr="003B0528">
        <w:t xml:space="preserve"> efficiently</w:t>
      </w:r>
      <w:r w:rsidRPr="00C34AA8">
        <w:t xml:space="preserve">. </w:t>
      </w:r>
    </w:p>
    <w:p w14:paraId="3100960E" w14:textId="77777777" w:rsidR="00FE482F" w:rsidRPr="002952FB" w:rsidRDefault="00FE482F" w:rsidP="00B33867">
      <w:pPr>
        <w:rPr>
          <w:rFonts w:ascii="Century Gothic" w:hAnsi="Century Gothic"/>
        </w:rPr>
      </w:pPr>
      <w:r w:rsidRPr="003B0528">
        <w:t xml:space="preserve">Similarly, instances of gaps </w:t>
      </w:r>
      <w:r>
        <w:t xml:space="preserve">in the item difficulty hierarchy, </w:t>
      </w:r>
      <w:r w:rsidRPr="003B0528">
        <w:t xml:space="preserve">for example, the gap between items </w:t>
      </w:r>
      <w:r w:rsidRPr="00C34AA8">
        <w:t xml:space="preserve">25 and 18 </w:t>
      </w:r>
      <w:r w:rsidRPr="003B0528">
        <w:t>in</w:t>
      </w:r>
      <w:r w:rsidRPr="00C34AA8">
        <w:t xml:space="preserve"> </w:t>
      </w:r>
      <w:r>
        <w:t>the SE scale, suggest</w:t>
      </w:r>
      <w:r w:rsidRPr="00C34AA8">
        <w:t xml:space="preserve"> that </w:t>
      </w:r>
      <w:r>
        <w:t>revised</w:t>
      </w:r>
      <w:r w:rsidRPr="00C34AA8">
        <w:t xml:space="preserve"> items may be needed to cover the full range of the construct</w:t>
      </w:r>
      <w:r w:rsidRPr="003B0528">
        <w:t xml:space="preserve">. </w:t>
      </w:r>
    </w:p>
    <w:p w14:paraId="7E896289" w14:textId="2D218FA4" w:rsidR="00FE482F" w:rsidRPr="003B0528" w:rsidRDefault="00FE482F" w:rsidP="00B33867">
      <w:r>
        <w:t>It</w:t>
      </w:r>
      <w:r w:rsidRPr="003B0528">
        <w:t xml:space="preserve"> will</w:t>
      </w:r>
      <w:r>
        <w:t xml:space="preserve"> also </w:t>
      </w:r>
      <w:r w:rsidRPr="003B0528">
        <w:t xml:space="preserve">be important for future versions of the </w:t>
      </w:r>
      <w:r>
        <w:t>EASE-F</w:t>
      </w:r>
      <w:r w:rsidRPr="003B0528">
        <w:t xml:space="preserve"> to add new items to fill the gaps between separated items</w:t>
      </w:r>
      <w:r w:rsidRPr="00890AA6">
        <w:t xml:space="preserve"> on the Wright Maps of the </w:t>
      </w:r>
      <w:r>
        <w:t>SA</w:t>
      </w:r>
      <w:r w:rsidRPr="00890AA6">
        <w:t xml:space="preserve"> and </w:t>
      </w:r>
      <w:r>
        <w:t>SS</w:t>
      </w:r>
      <w:r w:rsidRPr="00890AA6">
        <w:t xml:space="preserve"> subscales.</w:t>
      </w:r>
      <w:r>
        <w:t xml:space="preserve"> </w:t>
      </w:r>
      <w:r w:rsidRPr="00890AA6">
        <w:t xml:space="preserve">Likewise, </w:t>
      </w:r>
      <w:r w:rsidRPr="003B0528">
        <w:t>revision</w:t>
      </w:r>
      <w:r w:rsidRPr="00890AA6">
        <w:t xml:space="preserve"> of overlapping items to vary difficulty levels and extend the </w:t>
      </w:r>
      <w:r w:rsidRPr="00890AA6">
        <w:lastRenderedPageBreak/>
        <w:t>measurement ruler to match the levels of persons in all the subscales will be required.</w:t>
      </w:r>
      <w:r>
        <w:t xml:space="preserve"> </w:t>
      </w:r>
      <w:r w:rsidRPr="00890AA6">
        <w:t>T</w:t>
      </w:r>
      <w:r w:rsidRPr="003B0528">
        <w:t>he</w:t>
      </w:r>
      <w:r>
        <w:t xml:space="preserve">se changes would be expected to </w:t>
      </w:r>
      <w:r w:rsidRPr="00890AA6">
        <w:t>increas</w:t>
      </w:r>
      <w:r>
        <w:t>e</w:t>
      </w:r>
      <w:r w:rsidRPr="003B0528">
        <w:t xml:space="preserve"> the measurement precision of the </w:t>
      </w:r>
      <w:r>
        <w:t xml:space="preserve">whole </w:t>
      </w:r>
      <w:r w:rsidRPr="003B0528">
        <w:t>instrument.</w:t>
      </w:r>
      <w:r>
        <w:t xml:space="preserve"> </w:t>
      </w:r>
      <w:r w:rsidRPr="00890AA6">
        <w:t>The</w:t>
      </w:r>
      <w:r w:rsidRPr="003B0528">
        <w:t xml:space="preserve"> </w:t>
      </w:r>
      <w:r w:rsidRPr="00890AA6">
        <w:t>present study</w:t>
      </w:r>
      <w:r w:rsidRPr="003B0528">
        <w:t xml:space="preserve"> </w:t>
      </w:r>
      <w:r>
        <w:t xml:space="preserve">suggests </w:t>
      </w:r>
      <w:r w:rsidRPr="003B0528">
        <w:t xml:space="preserve">that authoring new items </w:t>
      </w:r>
      <w:r w:rsidRPr="00890AA6">
        <w:t xml:space="preserve">and revising overlapping and misfitting items are the </w:t>
      </w:r>
      <w:r w:rsidRPr="003B0528">
        <w:t>highest priorit</w:t>
      </w:r>
      <w:r w:rsidRPr="00890AA6">
        <w:t>ies</w:t>
      </w:r>
      <w:r w:rsidRPr="003B0528">
        <w:t xml:space="preserve"> for </w:t>
      </w:r>
      <w:r>
        <w:t xml:space="preserve">further refinement of the </w:t>
      </w:r>
      <w:r w:rsidRPr="00890AA6">
        <w:t>EASE</w:t>
      </w:r>
      <w:r w:rsidR="00400BA2">
        <w:t>-F</w:t>
      </w:r>
      <w:r w:rsidRPr="00890AA6">
        <w:t xml:space="preserve"> questionnaire</w:t>
      </w:r>
      <w:r w:rsidRPr="003B0528">
        <w:t>.</w:t>
      </w:r>
    </w:p>
    <w:p w14:paraId="77961E99" w14:textId="77777777" w:rsidR="00FE482F" w:rsidRPr="00207155" w:rsidRDefault="00FE482F" w:rsidP="001B4B1E">
      <w:pPr>
        <w:pStyle w:val="Heading4"/>
      </w:pPr>
      <w:r>
        <w:t xml:space="preserve">3.4.2.7 </w:t>
      </w:r>
      <w:r w:rsidRPr="00207155">
        <w:t>Floor/ceiling effects</w:t>
      </w:r>
    </w:p>
    <w:p w14:paraId="5520C519" w14:textId="77777777" w:rsidR="00FE482F" w:rsidRDefault="00FE482F" w:rsidP="00B33867">
      <w:r w:rsidRPr="000A492C">
        <w:t>Evaluations of floor and ceiling effects were not positive.</w:t>
      </w:r>
      <w:r>
        <w:t xml:space="preserve"> </w:t>
      </w:r>
      <w:r w:rsidRPr="000A492C">
        <w:t xml:space="preserve">The distribution of items along the four constructs was such that </w:t>
      </w:r>
      <w:r>
        <w:t>1.8 - 7.9</w:t>
      </w:r>
      <w:r w:rsidRPr="000A492C">
        <w:t xml:space="preserve">% </w:t>
      </w:r>
      <w:r>
        <w:t>of patients</w:t>
      </w:r>
      <w:r w:rsidRPr="000A492C">
        <w:t xml:space="preserve"> completed the measures with a maximum or minimum score.</w:t>
      </w:r>
      <w:r>
        <w:t xml:space="preserve"> </w:t>
      </w:r>
      <w:r w:rsidRPr="000A492C">
        <w:t xml:space="preserve">This result provides further evidence of the </w:t>
      </w:r>
      <w:r>
        <w:t>EASE-F's</w:t>
      </w:r>
      <w:r w:rsidRPr="000A492C">
        <w:t xml:space="preserve"> lack of ability to accommodate a wide range of patient </w:t>
      </w:r>
      <w:r>
        <w:t>experiences with the assessed constructs.</w:t>
      </w:r>
    </w:p>
    <w:p w14:paraId="6B0707FD" w14:textId="77777777" w:rsidR="00FE482F" w:rsidRPr="0091637E" w:rsidRDefault="00FE482F" w:rsidP="001B4B1E">
      <w:pPr>
        <w:pStyle w:val="Heading3"/>
      </w:pPr>
      <w:bookmarkStart w:id="102" w:name="_Toc137504721"/>
      <w:r>
        <w:t>3.</w:t>
      </w:r>
      <w:r w:rsidRPr="0091637E">
        <w:t>4.</w:t>
      </w:r>
      <w:r>
        <w:t>3</w:t>
      </w:r>
      <w:r w:rsidRPr="0091637E">
        <w:t xml:space="preserve"> </w:t>
      </w:r>
      <w:r>
        <w:t>H</w:t>
      </w:r>
      <w:r w:rsidRPr="0091637E">
        <w:t xml:space="preserve">ypothesis </w:t>
      </w:r>
      <w:r>
        <w:t>T</w:t>
      </w:r>
      <w:r w:rsidRPr="0091637E">
        <w:t>esting</w:t>
      </w:r>
      <w:r>
        <w:t xml:space="preserve"> - C</w:t>
      </w:r>
      <w:r w:rsidRPr="0091637E">
        <w:t xml:space="preserve">onvergent </w:t>
      </w:r>
      <w:r>
        <w:t>V</w:t>
      </w:r>
      <w:r w:rsidRPr="0091637E">
        <w:t>alidity</w:t>
      </w:r>
      <w:bookmarkEnd w:id="102"/>
    </w:p>
    <w:p w14:paraId="07CA68AE" w14:textId="77777777" w:rsidR="00FE482F" w:rsidRDefault="00FE482F" w:rsidP="00B33867">
      <w:r w:rsidRPr="006B38B7">
        <w:t>The convergent validity analysis</w:t>
      </w:r>
      <w:r>
        <w:t xml:space="preserve"> with the EASE-F subscales and other validated measures (</w:t>
      </w:r>
      <w:r w:rsidRPr="006B38B7">
        <w:t>GAD-7, PHQ-9, PHQ-15, WSAS, UCS, PCL-5 and EQ-5D-3L</w:t>
      </w:r>
      <w:r>
        <w:t>) yielded</w:t>
      </w:r>
      <w:r w:rsidRPr="006B38B7">
        <w:t xml:space="preserve"> significant but mode</w:t>
      </w:r>
      <w:r>
        <w:t>ra</w:t>
      </w:r>
      <w:r w:rsidRPr="006B38B7">
        <w:t>t</w:t>
      </w:r>
      <w:r>
        <w:t>e</w:t>
      </w:r>
      <w:r w:rsidRPr="006B38B7">
        <w:t xml:space="preserve"> negative correlations</w:t>
      </w:r>
      <w:r>
        <w:t>, confirming the initial hypothesis</w:t>
      </w:r>
      <w:r w:rsidRPr="006B38B7">
        <w:t>.</w:t>
      </w:r>
      <w:r>
        <w:t xml:space="preserve"> </w:t>
      </w:r>
      <w:r w:rsidRPr="004E1CD8">
        <w:t xml:space="preserve">This </w:t>
      </w:r>
      <w:r>
        <w:t xml:space="preserve">indicates </w:t>
      </w:r>
      <w:r w:rsidRPr="004E1CD8">
        <w:t xml:space="preserve">that reduced self-efficacy, self-awareness, </w:t>
      </w:r>
      <w:r>
        <w:t>social support, and</w:t>
      </w:r>
      <w:r w:rsidRPr="004E1CD8">
        <w:t xml:space="preserve"> increased interpersonal illness burden </w:t>
      </w:r>
      <w:r>
        <w:t>are associated</w:t>
      </w:r>
      <w:r w:rsidRPr="004E1CD8">
        <w:t xml:space="preserve"> with heightened mood and somatic symptoms, post-traumatic stress, unmitigated communion, and diminished social functioning and quality of life.</w:t>
      </w:r>
      <w:r>
        <w:t xml:space="preserve"> </w:t>
      </w:r>
      <w:r w:rsidRPr="004E1CD8">
        <w:t>These results affirm that the EASE-F assesses clinically pertinent and theoretically related constructs within this patient population</w:t>
      </w:r>
      <w:r>
        <w:t xml:space="preserve"> </w:t>
      </w:r>
      <w:r w:rsidRPr="004E1CD8">
        <w:t>without superseding established health and quality of life measures</w:t>
      </w:r>
      <w:r>
        <w:t xml:space="preserve">, as originally intended. </w:t>
      </w:r>
    </w:p>
    <w:p w14:paraId="7B1E80BF" w14:textId="77777777" w:rsidR="00FE482F" w:rsidRDefault="00FE482F" w:rsidP="00B33867">
      <w:r>
        <w:t>Notably, the revere-scored IIB subscale correlations were comparatively weaker than those of the corresponding subscales. Similarly, UCS item 2, 'I never find myself getting overly involved in other's problems, although it was negatively correlated, did not reach significance in the SA/A, SS or IIB scales. This could also be due to the wording and reversal of this item.</w:t>
      </w:r>
    </w:p>
    <w:p w14:paraId="5C3E1FAA" w14:textId="77777777" w:rsidR="00FE482F" w:rsidRDefault="00FE482F" w:rsidP="00B33867">
      <w:r w:rsidRPr="00F6140C">
        <w:t xml:space="preserve">The analysis substantiated only one hypothesis regarding the correlations between specific UCS and WSAS </w:t>
      </w:r>
      <w:r>
        <w:t>questionnaire</w:t>
      </w:r>
      <w:r w:rsidRPr="00F6140C">
        <w:t xml:space="preserve"> items and the EASE-F subscales.</w:t>
      </w:r>
      <w:r>
        <w:t xml:space="preserve"> </w:t>
      </w:r>
      <w:r w:rsidRPr="00F6140C">
        <w:t xml:space="preserve">As anticipated, the </w:t>
      </w:r>
      <w:r>
        <w:t>SE</w:t>
      </w:r>
      <w:r w:rsidRPr="00F6140C">
        <w:t xml:space="preserve"> subscale exhibited stronger negative correlations with the </w:t>
      </w:r>
      <w:r>
        <w:t>'</w:t>
      </w:r>
      <w:r w:rsidRPr="00F6140C">
        <w:t>ability to work</w:t>
      </w:r>
      <w:r>
        <w:t>'</w:t>
      </w:r>
      <w:r w:rsidRPr="00F6140C">
        <w:t xml:space="preserve"> and </w:t>
      </w:r>
      <w:r>
        <w:t>'</w:t>
      </w:r>
      <w:r w:rsidRPr="00F6140C">
        <w:t xml:space="preserve">home </w:t>
      </w:r>
      <w:r>
        <w:t>management'</w:t>
      </w:r>
      <w:r w:rsidRPr="00F6140C">
        <w:t xml:space="preserve"> items on the WSAS than the other subscales.</w:t>
      </w:r>
      <w:r>
        <w:t xml:space="preserve"> </w:t>
      </w:r>
      <w:r w:rsidRPr="00F6140C">
        <w:t xml:space="preserve">Other hypotheses relating to the </w:t>
      </w:r>
      <w:r>
        <w:t>SA</w:t>
      </w:r>
      <w:r w:rsidRPr="00F6140C">
        <w:t xml:space="preserve"> and </w:t>
      </w:r>
      <w:r>
        <w:t>SS</w:t>
      </w:r>
      <w:r w:rsidRPr="00F6140C">
        <w:t xml:space="preserve"> scales were not supported</w:t>
      </w:r>
      <w:r>
        <w:t xml:space="preserve">. The SE subscale showed stronger negative correlations to UCS total score measure than the SA subscales; the SE and IIB subscales showed stronger negative correlations to the </w:t>
      </w:r>
      <w:r>
        <w:lastRenderedPageBreak/>
        <w:t>WSAS' social leisure' and 'relationships' items than the SS subscale)</w:t>
      </w:r>
      <w:r w:rsidRPr="00F6140C">
        <w:t>.</w:t>
      </w:r>
      <w:r>
        <w:t xml:space="preserve"> </w:t>
      </w:r>
      <w:r w:rsidRPr="00F6140C">
        <w:t xml:space="preserve">However, these findings do not completely undermine the initial assumptions as the correlations were only marginally stronger for other subscales, and this might substantiate the observations that the self-perspective and interpersonal aspects, as captured by self-efficacy and interpersonal illness burden, overlap and contribute to the other constructs </w:t>
      </w:r>
      <w:r>
        <w:t>assessed by the EASE-F in FNSD.</w:t>
      </w:r>
    </w:p>
    <w:p w14:paraId="56519566" w14:textId="77777777" w:rsidR="00FE482F" w:rsidRPr="0091637E" w:rsidRDefault="00FE482F" w:rsidP="001B4B1E">
      <w:pPr>
        <w:pStyle w:val="Heading3"/>
      </w:pPr>
      <w:bookmarkStart w:id="103" w:name="_Toc137504722"/>
      <w:r>
        <w:t>3.</w:t>
      </w:r>
      <w:r w:rsidRPr="0091637E">
        <w:t>4.</w:t>
      </w:r>
      <w:r>
        <w:t>4</w:t>
      </w:r>
      <w:r w:rsidRPr="0091637E">
        <w:t xml:space="preserve"> Scoring</w:t>
      </w:r>
      <w:bookmarkEnd w:id="103"/>
    </w:p>
    <w:p w14:paraId="12DD3F53" w14:textId="77777777" w:rsidR="00FE482F" w:rsidRDefault="00FE482F" w:rsidP="00B33867">
      <w:r>
        <w:t xml:space="preserve">A sub-scale and a total score could potentially provide an overall measure of FNSD health-related 'resilience' or 'resourcefulness'. However, it is currently difficult to recommend a final scoring strategy without further refinement of the scales and validation, which are out of the scope of this study. </w:t>
      </w:r>
    </w:p>
    <w:p w14:paraId="4CD321C0" w14:textId="77777777" w:rsidR="00FE482F" w:rsidRDefault="00FE482F" w:rsidP="00B33867">
      <w:r>
        <w:t>Some recommendations based on the findings of this study, however, include adding items to ensure an equal number of items for each subscale. In the first instance, this would address the shortcomings of item fit and construct validity as highlighted by the Rasch metrics but will also allow for ease of utilising subscale scores to calculate a total score without the need for added weighting. As the self-efficacy scale with nine items performed best regarding person reliability and separation, having nine items per scale could be targeted in the first instance.</w:t>
      </w:r>
    </w:p>
    <w:p w14:paraId="5AC2B158" w14:textId="77777777" w:rsidR="00FE482F" w:rsidRDefault="00FE482F" w:rsidP="00B33867">
      <w:r>
        <w:t xml:space="preserve">As the Rasch model transforms ordinal data into interval data, the Likert point values on a measure based/developed by Rasch metrics could be equally used as point values, and a simple summation of these values could be used as total scores. Cut-off scores could be developed based on empirical data, such as </w:t>
      </w:r>
      <w:r w:rsidRPr="00781806">
        <w:t xml:space="preserve">Receiver Operating Characteristic curve analyses, and </w:t>
      </w:r>
      <w:r>
        <w:t xml:space="preserve">these </w:t>
      </w:r>
      <w:r w:rsidRPr="00781806">
        <w:t>should be validated in independent samples.</w:t>
      </w:r>
      <w:r>
        <w:t xml:space="preserve"> Subsequent convergent analysis with health-related scales that have validated FNSD cut-offs, e.g., PHQ-9, GAD-7, PCL, would be useful to establish interpretable scores from the EASE-F. </w:t>
      </w:r>
    </w:p>
    <w:p w14:paraId="7A1A5AB3" w14:textId="77777777" w:rsidR="00FE482F" w:rsidRPr="0091637E" w:rsidRDefault="00FE482F" w:rsidP="001B4B1E">
      <w:pPr>
        <w:pStyle w:val="Heading3"/>
      </w:pPr>
      <w:bookmarkStart w:id="104" w:name="_Toc137504723"/>
      <w:r>
        <w:t>3.</w:t>
      </w:r>
      <w:r w:rsidRPr="0091637E">
        <w:t>4.</w:t>
      </w:r>
      <w:r>
        <w:t>5</w:t>
      </w:r>
      <w:r w:rsidRPr="0091637E">
        <w:t xml:space="preserve"> Recommendations for Further Refinement</w:t>
      </w:r>
      <w:bookmarkEnd w:id="104"/>
      <w:r w:rsidRPr="0091637E">
        <w:t xml:space="preserve"> </w:t>
      </w:r>
    </w:p>
    <w:p w14:paraId="60168E25" w14:textId="77777777" w:rsidR="00FE482F" w:rsidRPr="00C61BB4" w:rsidRDefault="00FE482F" w:rsidP="00B33867">
      <w:r w:rsidRPr="00C61BB4">
        <w:t xml:space="preserve">Below presents a summary of recommendations for further refinement of the EASE based on </w:t>
      </w:r>
      <w:r>
        <w:t xml:space="preserve">the Rasch </w:t>
      </w:r>
      <w:r w:rsidRPr="00C61BB4">
        <w:t>psychometric results and the above discussions</w:t>
      </w:r>
      <w:r>
        <w:t>.</w:t>
      </w:r>
    </w:p>
    <w:p w14:paraId="5C580ADD" w14:textId="77777777" w:rsidR="00FE482F" w:rsidRPr="00207155" w:rsidRDefault="00FE482F" w:rsidP="001B4B1E">
      <w:pPr>
        <w:pStyle w:val="Heading4"/>
      </w:pPr>
      <w:r>
        <w:t xml:space="preserve">3.4.5.1 </w:t>
      </w:r>
      <w:r w:rsidRPr="00207155">
        <w:t xml:space="preserve">Category </w:t>
      </w:r>
      <w:r>
        <w:t>Functioning</w:t>
      </w:r>
      <w:r w:rsidRPr="00207155">
        <w:t xml:space="preserve"> and </w:t>
      </w:r>
      <w:r>
        <w:t>Rewording</w:t>
      </w:r>
    </w:p>
    <w:p w14:paraId="38A5AFEE" w14:textId="77777777" w:rsidR="00FE482F" w:rsidRPr="002952FB" w:rsidRDefault="00FE482F" w:rsidP="00B33867">
      <w:r w:rsidRPr="002952FB">
        <w:t xml:space="preserve">As collapsing the categories maintained or improved the </w:t>
      </w:r>
      <w:r>
        <w:t>scale's</w:t>
      </w:r>
      <w:r w:rsidRPr="002952FB">
        <w:t xml:space="preserve"> validity and reliability</w:t>
      </w:r>
      <w:r>
        <w:t xml:space="preserve">, </w:t>
      </w:r>
      <w:r w:rsidRPr="002952FB">
        <w:t>this indicated the revised scale is more psychometrically sound and perhaps able to improve measurement precision.</w:t>
      </w:r>
      <w:r>
        <w:t xml:space="preserve"> Combining</w:t>
      </w:r>
      <w:r w:rsidRPr="002952FB">
        <w:t xml:space="preserve"> the categories simplifies the response </w:t>
      </w:r>
      <w:r w:rsidRPr="002952FB">
        <w:lastRenderedPageBreak/>
        <w:t>scale for respondents, reducing potential confusion and increasing the likelihood of consistent responses.</w:t>
      </w:r>
      <w:r>
        <w:t xml:space="preserve"> </w:t>
      </w:r>
      <w:r w:rsidRPr="002952FB">
        <w:t xml:space="preserve">This simplification </w:t>
      </w:r>
      <w:r>
        <w:t>r</w:t>
      </w:r>
      <w:r w:rsidRPr="002952FB">
        <w:t>esult</w:t>
      </w:r>
      <w:r>
        <w:t>s</w:t>
      </w:r>
      <w:r w:rsidRPr="002952FB">
        <w:t xml:space="preserve"> in a more user-friendly scale that still captures meaningful differences in the construct. </w:t>
      </w:r>
    </w:p>
    <w:p w14:paraId="475B09AA" w14:textId="77777777" w:rsidR="00FE482F" w:rsidRPr="002952FB" w:rsidRDefault="00FE482F" w:rsidP="00B33867">
      <w:r w:rsidRPr="002952FB">
        <w:t xml:space="preserve">To sustain this and </w:t>
      </w:r>
      <w:r>
        <w:t>to consider</w:t>
      </w:r>
      <w:r w:rsidRPr="002952FB">
        <w:t xml:space="preserve"> the differences in the categories that </w:t>
      </w:r>
      <w:r>
        <w:t xml:space="preserve">had to be </w:t>
      </w:r>
      <w:r w:rsidRPr="002952FB">
        <w:t>combined across the subscale</w:t>
      </w:r>
      <w:r>
        <w:t>s</w:t>
      </w:r>
      <w:r w:rsidRPr="002952FB">
        <w:t xml:space="preserve">, </w:t>
      </w:r>
      <w:r>
        <w:t>r</w:t>
      </w:r>
      <w:r w:rsidRPr="002952FB">
        <w:t>edefining the categories to have wider substantive meaning may be indicated.</w:t>
      </w:r>
      <w:r>
        <w:t xml:space="preserve"> We</w:t>
      </w:r>
      <w:r w:rsidRPr="002952FB">
        <w:t xml:space="preserve"> recommend redefining the new categories to express a clearer meaning for ease of agreeability and endorsement.</w:t>
      </w:r>
    </w:p>
    <w:p w14:paraId="0A8E8E2F" w14:textId="77777777" w:rsidR="00FE482F" w:rsidRPr="002952FB" w:rsidRDefault="00FE482F" w:rsidP="00B33867">
      <w:r w:rsidRPr="002952FB">
        <w:t>Combining and renaming the</w:t>
      </w:r>
      <w:r>
        <w:t xml:space="preserve"> </w:t>
      </w:r>
      <w:r w:rsidRPr="002952FB">
        <w:t xml:space="preserve">categories in this way </w:t>
      </w:r>
      <w:r>
        <w:t>w</w:t>
      </w:r>
      <w:r w:rsidRPr="002952FB">
        <w:t xml:space="preserve">ould </w:t>
      </w:r>
      <w:r>
        <w:t xml:space="preserve">provide patients with ease of understanding and response, thereby </w:t>
      </w:r>
      <w:r w:rsidRPr="002952FB">
        <w:t xml:space="preserve">reducing the noise associated with many categories, </w:t>
      </w:r>
      <w:r>
        <w:t xml:space="preserve">minimising response biases and </w:t>
      </w:r>
      <w:r w:rsidRPr="002952FB">
        <w:t>addressing floor and ceiling effects.</w:t>
      </w:r>
      <w:r>
        <w:t xml:space="preserve"> </w:t>
      </w:r>
      <w:r w:rsidRPr="002952FB">
        <w:t>As a result, the revised scale may be more sensitive to changes in the underlying construct and more consistently understood by patients.</w:t>
      </w:r>
    </w:p>
    <w:p w14:paraId="19F1693C" w14:textId="77777777" w:rsidR="00FE482F" w:rsidRPr="00207155" w:rsidRDefault="00FE482F" w:rsidP="001B4B1E">
      <w:pPr>
        <w:pStyle w:val="Heading4"/>
      </w:pPr>
      <w:r>
        <w:t>3.4.5.2 A</w:t>
      </w:r>
      <w:r w:rsidRPr="00207155">
        <w:t xml:space="preserve">ddition of </w:t>
      </w:r>
      <w:r>
        <w:t>Items and Subscale Length</w:t>
      </w:r>
    </w:p>
    <w:p w14:paraId="5D5ED333" w14:textId="77777777" w:rsidR="00FE482F" w:rsidRDefault="00FE482F" w:rsidP="00B33867">
      <w:r>
        <w:t>Varying</w:t>
      </w:r>
      <w:r w:rsidRPr="00BC33EE">
        <w:t xml:space="preserve"> </w:t>
      </w:r>
      <w:r>
        <w:t xml:space="preserve">levels </w:t>
      </w:r>
      <w:r w:rsidRPr="00BC33EE">
        <w:t>of abilities</w:t>
      </w:r>
      <w:r>
        <w:t xml:space="preserve"> among participants</w:t>
      </w:r>
      <w:r w:rsidRPr="00BC33EE">
        <w:t xml:space="preserve"> - both higher and lower - </w:t>
      </w:r>
      <w:r>
        <w:t>are</w:t>
      </w:r>
      <w:r w:rsidRPr="00BC33EE">
        <w:t xml:space="preserve"> not fully captured by the current</w:t>
      </w:r>
      <w:r>
        <w:t xml:space="preserve"> EASE-F subscale</w:t>
      </w:r>
      <w:r w:rsidRPr="00BC33EE">
        <w:t xml:space="preserve"> items, indicating the need for additional items at both ends of the scale.</w:t>
      </w:r>
      <w:r>
        <w:t xml:space="preserve"> </w:t>
      </w:r>
      <w:r w:rsidRPr="00BC33EE">
        <w:t xml:space="preserve">For consistent </w:t>
      </w:r>
      <w:r>
        <w:t xml:space="preserve">and simple </w:t>
      </w:r>
      <w:r w:rsidRPr="00BC33EE">
        <w:t xml:space="preserve">subscale scoring and a reliable total score, an equal number of items across all scales is recommended, necessitating the addition of 2-4 items to </w:t>
      </w:r>
      <w:r>
        <w:t xml:space="preserve">the SS, SA, and IIB </w:t>
      </w:r>
      <w:r w:rsidRPr="00BC33EE">
        <w:t>subscale</w:t>
      </w:r>
      <w:r>
        <w:t>s</w:t>
      </w:r>
      <w:r w:rsidRPr="00BC33EE">
        <w:t>.</w:t>
      </w:r>
    </w:p>
    <w:p w14:paraId="19D93268" w14:textId="77777777" w:rsidR="00FE482F" w:rsidRPr="00434ECE" w:rsidRDefault="00FE482F" w:rsidP="00B33867">
      <w:r w:rsidRPr="00BC33EE">
        <w:t>In particular, the self-awareness/assertiveness scale displayed a significant number of misfitting items, even after attempts at refinement.</w:t>
      </w:r>
      <w:r>
        <w:t xml:space="preserve"> </w:t>
      </w:r>
      <w:r w:rsidRPr="00BC33EE">
        <w:t>This underlines the urgent need for a comprehensive revision of this scale.</w:t>
      </w:r>
      <w:r>
        <w:t xml:space="preserve"> </w:t>
      </w:r>
      <w:r w:rsidRPr="00BC33EE">
        <w:t>When assessing assertiveness, items prompting patients to contemplate and respond to specific situations could be easier for them to endorse.</w:t>
      </w:r>
      <w:r>
        <w:t xml:space="preserve"> </w:t>
      </w:r>
      <w:r w:rsidRPr="00BC33EE">
        <w:t xml:space="preserve">Conversely, items </w:t>
      </w:r>
      <w:r>
        <w:t>querying</w:t>
      </w:r>
      <w:r w:rsidRPr="00BC33EE">
        <w:t xml:space="preserve"> self-awareness and </w:t>
      </w:r>
      <w:r>
        <w:t>(a</w:t>
      </w:r>
      <w:r w:rsidRPr="00BC33EE">
        <w:t>ssertiveness</w:t>
      </w:r>
      <w:r>
        <w:t>, by extension)</w:t>
      </w:r>
      <w:r w:rsidRPr="00BC33EE">
        <w:t xml:space="preserve"> could prove more challenging.</w:t>
      </w:r>
      <w:r>
        <w:t xml:space="preserve"> </w:t>
      </w:r>
      <w:r w:rsidRPr="00BC33EE">
        <w:t xml:space="preserve">Incorporating items that evaluate </w:t>
      </w:r>
      <w:r>
        <w:t>patients'</w:t>
      </w:r>
      <w:r w:rsidRPr="00BC33EE">
        <w:t xml:space="preserve"> ability to </w:t>
      </w:r>
      <w:r>
        <w:t>recognise</w:t>
      </w:r>
      <w:r w:rsidRPr="00BC33EE">
        <w:t xml:space="preserve"> and express their needs and feelings might provide a more intuitive measure of assertiveness for this patient group that </w:t>
      </w:r>
      <w:r>
        <w:t>captures</w:t>
      </w:r>
      <w:r w:rsidRPr="00BC33EE">
        <w:t xml:space="preserve"> those patients who </w:t>
      </w:r>
      <w:r>
        <w:t>have</w:t>
      </w:r>
      <w:r w:rsidRPr="00BC33EE">
        <w:t xml:space="preserve"> adopted or </w:t>
      </w:r>
      <w:r>
        <w:t>improved</w:t>
      </w:r>
      <w:r w:rsidRPr="00BC33EE">
        <w:t xml:space="preserve"> this as a means of coping and managing their illness. </w:t>
      </w:r>
    </w:p>
    <w:p w14:paraId="3C6F8251" w14:textId="77777777" w:rsidR="00FE482F" w:rsidRPr="00207155" w:rsidRDefault="00FE482F" w:rsidP="001B4B1E">
      <w:pPr>
        <w:pStyle w:val="Heading4"/>
      </w:pPr>
      <w:r>
        <w:t xml:space="preserve">3.4.5.3 </w:t>
      </w:r>
      <w:r w:rsidRPr="00207155">
        <w:t>Rewording of items</w:t>
      </w:r>
    </w:p>
    <w:p w14:paraId="1CE742A8" w14:textId="77777777" w:rsidR="00FE482F" w:rsidRDefault="00FE482F" w:rsidP="00B33867">
      <w:r>
        <w:t>D</w:t>
      </w:r>
      <w:r w:rsidRPr="006A2CF2">
        <w:t xml:space="preserve">ue to the overlap and grouping of items identified in the </w:t>
      </w:r>
      <w:r>
        <w:t>SA</w:t>
      </w:r>
      <w:r w:rsidRPr="006A2CF2">
        <w:t xml:space="preserve"> and </w:t>
      </w:r>
      <w:r>
        <w:t>IIB</w:t>
      </w:r>
      <w:r w:rsidRPr="006A2CF2">
        <w:t xml:space="preserve"> scales, rewording </w:t>
      </w:r>
      <w:r>
        <w:t>these to</w:t>
      </w:r>
      <w:r w:rsidRPr="006A2CF2">
        <w:t xml:space="preserve"> create items easier</w:t>
      </w:r>
      <w:r>
        <w:t xml:space="preserve"> or more difficult</w:t>
      </w:r>
      <w:r w:rsidRPr="006A2CF2">
        <w:t xml:space="preserve"> for FNSD patients to endorse</w:t>
      </w:r>
      <w:r>
        <w:t xml:space="preserve"> would</w:t>
      </w:r>
      <w:r w:rsidRPr="006A2CF2">
        <w:t xml:space="preserve"> expand the measurement of item difficulty and fill the gaps </w:t>
      </w:r>
      <w:r>
        <w:t>in</w:t>
      </w:r>
      <w:r w:rsidRPr="006A2CF2">
        <w:t xml:space="preserve"> these scales</w:t>
      </w:r>
      <w:r>
        <w:t>. This</w:t>
      </w:r>
      <w:r w:rsidRPr="003B0528">
        <w:t xml:space="preserve"> procedure of removing redundant items and filling gaps with items would improve the </w:t>
      </w:r>
      <w:r w:rsidRPr="003B0528">
        <w:lastRenderedPageBreak/>
        <w:t>measurement function of the instrument without increasing the number of items on the instrument.</w:t>
      </w:r>
    </w:p>
    <w:p w14:paraId="6EF4E9B7" w14:textId="77777777" w:rsidR="00FE482F" w:rsidRPr="0091637E" w:rsidRDefault="00FE482F" w:rsidP="001B4B1E">
      <w:pPr>
        <w:pStyle w:val="Heading3"/>
      </w:pPr>
      <w:bookmarkStart w:id="105" w:name="_Toc137504724"/>
      <w:r>
        <w:t>3.</w:t>
      </w:r>
      <w:r w:rsidRPr="0091637E">
        <w:t>4.</w:t>
      </w:r>
      <w:r>
        <w:t>6</w:t>
      </w:r>
      <w:r w:rsidRPr="0091637E">
        <w:t xml:space="preserve"> Strengths and Limitations</w:t>
      </w:r>
      <w:bookmarkEnd w:id="105"/>
    </w:p>
    <w:p w14:paraId="44B704A5" w14:textId="29315C9E" w:rsidR="00FE482F" w:rsidRDefault="00FE482F" w:rsidP="00B33867">
      <w:r w:rsidRPr="00937B4B">
        <w:t>A</w:t>
      </w:r>
      <w:r>
        <w:t xml:space="preserve"> primary</w:t>
      </w:r>
      <w:r w:rsidRPr="00937B4B">
        <w:t xml:space="preserve"> strength of the present study lies in </w:t>
      </w:r>
      <w:r>
        <w:t>its use</w:t>
      </w:r>
      <w:r w:rsidRPr="00937B4B">
        <w:t xml:space="preserve"> of a modern test theory approach, namely Rasch analysis, to </w:t>
      </w:r>
      <w:r>
        <w:t>analyse</w:t>
      </w:r>
      <w:r w:rsidRPr="00937B4B">
        <w:t xml:space="preserve"> the psychometric properties of the </w:t>
      </w:r>
      <w:r>
        <w:t xml:space="preserve">EASE-F. The relatively large sample size of </w:t>
      </w:r>
      <w:r w:rsidR="00400BA2">
        <w:t>450</w:t>
      </w:r>
      <w:r w:rsidRPr="00937B4B">
        <w:t xml:space="preserve"> patients with FNSD</w:t>
      </w:r>
      <w:r>
        <w:t xml:space="preserve"> </w:t>
      </w:r>
      <w:r w:rsidRPr="00937B4B">
        <w:t>enhance</w:t>
      </w:r>
      <w:r>
        <w:t>d</w:t>
      </w:r>
      <w:r w:rsidRPr="00937B4B">
        <w:t xml:space="preserve"> the </w:t>
      </w:r>
      <w:r>
        <w:t>study's statistical power</w:t>
      </w:r>
      <w:r w:rsidRPr="00937B4B">
        <w:t xml:space="preserve">, allowing for </w:t>
      </w:r>
      <w:r>
        <w:t xml:space="preserve">a </w:t>
      </w:r>
      <w:r w:rsidRPr="00937B4B">
        <w:t xml:space="preserve">more precise estimation of the </w:t>
      </w:r>
      <w:r>
        <w:t>questionnaire's</w:t>
      </w:r>
      <w:r w:rsidRPr="00937B4B">
        <w:t xml:space="preserve"> psychometric properties and increasing the likelihood of detecting significant relationships and differences among the measured constructs</w:t>
      </w:r>
      <w:r>
        <w:t xml:space="preserve"> and confident conclusions from the study</w:t>
      </w:r>
      <w:r w:rsidRPr="00937B4B">
        <w:t>.</w:t>
      </w:r>
      <w:r>
        <w:t xml:space="preserve"> The</w:t>
      </w:r>
      <w:r w:rsidRPr="00937B4B">
        <w:t xml:space="preserve"> larger sample size </w:t>
      </w:r>
      <w:r>
        <w:t xml:space="preserve">also </w:t>
      </w:r>
      <w:r w:rsidRPr="00937B4B">
        <w:t>improves the generali</w:t>
      </w:r>
      <w:r>
        <w:t>s</w:t>
      </w:r>
      <w:r w:rsidRPr="00937B4B">
        <w:t>ability of the findings</w:t>
      </w:r>
      <w:r>
        <w:t>. This</w:t>
      </w:r>
      <w:r w:rsidRPr="00937B4B">
        <w:t xml:space="preserve"> is particularly important in the context of </w:t>
      </w:r>
      <w:r>
        <w:t xml:space="preserve">refining the EASE-F </w:t>
      </w:r>
      <w:r w:rsidRPr="00937B4B">
        <w:t>questionnaire</w:t>
      </w:r>
      <w:r>
        <w:t xml:space="preserve">, given that </w:t>
      </w:r>
      <w:r w:rsidRPr="00937B4B">
        <w:t xml:space="preserve">the goal </w:t>
      </w:r>
      <w:r>
        <w:t>wa</w:t>
      </w:r>
      <w:r w:rsidRPr="00937B4B">
        <w:t xml:space="preserve">s to develop a reliable and valid instrument that can accurately measure constructs in </w:t>
      </w:r>
      <w:r>
        <w:t xml:space="preserve">the </w:t>
      </w:r>
      <w:r w:rsidRPr="00937B4B">
        <w:t xml:space="preserve">diverse settings and </w:t>
      </w:r>
      <w:r>
        <w:t>presentations of FNSD</w:t>
      </w:r>
      <w:r w:rsidRPr="00937B4B">
        <w:t>.</w:t>
      </w:r>
      <w:r>
        <w:t xml:space="preserve"> Pertinent to the methods of analysis used in the present study, the </w:t>
      </w:r>
      <w:r w:rsidRPr="00937B4B">
        <w:t>larger sample size</w:t>
      </w:r>
      <w:r>
        <w:t xml:space="preserve"> was beneficial to</w:t>
      </w:r>
      <w:r w:rsidRPr="00937B4B">
        <w:t xml:space="preserve"> provide a more accurate representation of the full range of patient experiences and abilities, enabling the identification of potential gaps, redundancies, or inconsistencies in the questionnaire.</w:t>
      </w:r>
      <w:r>
        <w:t xml:space="preserve"> </w:t>
      </w:r>
      <w:r w:rsidRPr="00937B4B">
        <w:t>This ultimately support</w:t>
      </w:r>
      <w:r>
        <w:t>ed</w:t>
      </w:r>
      <w:r w:rsidRPr="00937B4B">
        <w:t xml:space="preserve"> the development of a more targeted and comprehensive measurement tool.</w:t>
      </w:r>
    </w:p>
    <w:p w14:paraId="3C3A0ED3" w14:textId="77777777" w:rsidR="00FE482F" w:rsidRDefault="00FE482F" w:rsidP="00B33867">
      <w:r w:rsidRPr="00937B4B">
        <w:t>Moreover, the study was based on a sample of individuals with FNSD before receiving any therapeutic intervention, using data collected from real-world health services in routine practice, thereby reducing the probability of bias.</w:t>
      </w:r>
      <w:r>
        <w:t xml:space="preserve"> Methodologically</w:t>
      </w:r>
      <w:r w:rsidRPr="00937B4B">
        <w:t xml:space="preserve">, the </w:t>
      </w:r>
      <w:r>
        <w:t>inclusion</w:t>
      </w:r>
      <w:r w:rsidRPr="00937B4B">
        <w:t xml:space="preserve"> of </w:t>
      </w:r>
      <w:r>
        <w:t xml:space="preserve">analysis of </w:t>
      </w:r>
      <w:r w:rsidRPr="00937B4B">
        <w:t xml:space="preserve">psychometric properties for both the original </w:t>
      </w:r>
      <w:r>
        <w:t>EASE-F</w:t>
      </w:r>
      <w:r w:rsidRPr="00937B4B">
        <w:t xml:space="preserve"> and modified version</w:t>
      </w:r>
      <w:r>
        <w:t>s,</w:t>
      </w:r>
      <w:r w:rsidRPr="00937B4B">
        <w:t xml:space="preserve"> </w:t>
      </w:r>
      <w:r>
        <w:t>which</w:t>
      </w:r>
      <w:r w:rsidRPr="00937B4B">
        <w:t xml:space="preserve"> excluded misfitting items </w:t>
      </w:r>
      <w:r>
        <w:t xml:space="preserve">and </w:t>
      </w:r>
      <w:r w:rsidRPr="00937B4B">
        <w:t xml:space="preserve">misfitting persons, and </w:t>
      </w:r>
      <w:r>
        <w:t>included a</w:t>
      </w:r>
      <w:r w:rsidRPr="00937B4B">
        <w:t xml:space="preserve"> revised response scale</w:t>
      </w:r>
      <w:r>
        <w:t>,</w:t>
      </w:r>
      <w:r w:rsidRPr="00937B4B">
        <w:t xml:space="preserve"> facilitated direct comparison</w:t>
      </w:r>
      <w:r>
        <w:t>s</w:t>
      </w:r>
      <w:r w:rsidRPr="00937B4B">
        <w:t xml:space="preserve"> between the </w:t>
      </w:r>
      <w:r>
        <w:t xml:space="preserve">iterated </w:t>
      </w:r>
      <w:r w:rsidRPr="00937B4B">
        <w:t>versions</w:t>
      </w:r>
      <w:r w:rsidRPr="004975B9">
        <w:t>.</w:t>
      </w:r>
      <w:r>
        <w:t xml:space="preserve"> The</w:t>
      </w:r>
      <w:r w:rsidRPr="004975B9">
        <w:t xml:space="preserve"> half-half split validation design enabled this study to conduct exploratory factor analysis and confirmatory analysis in different patient samples. </w:t>
      </w:r>
    </w:p>
    <w:p w14:paraId="1A57892D" w14:textId="77777777" w:rsidR="00FE482F" w:rsidRDefault="00FE482F" w:rsidP="00B33867"/>
    <w:p w14:paraId="2B3632A1" w14:textId="77777777" w:rsidR="00FE482F" w:rsidRDefault="00FE482F" w:rsidP="00B33867">
      <w:r>
        <w:t>Several limitations need</w:t>
      </w:r>
      <w:r w:rsidRPr="00C61BB4">
        <w:t xml:space="preserve"> to be considered when interpreting the findings</w:t>
      </w:r>
      <w:r>
        <w:t xml:space="preserve"> of this study</w:t>
      </w:r>
      <w:r w:rsidRPr="00C61BB4">
        <w:t>.</w:t>
      </w:r>
      <w:r>
        <w:t xml:space="preserve"> </w:t>
      </w:r>
      <w:r w:rsidRPr="00C61BB4">
        <w:t>First, the generalisability and representation of the patient group may be limited due to selection bias arising from neurologist referrals</w:t>
      </w:r>
      <w:r>
        <w:t xml:space="preserve"> to the psychotherapy service</w:t>
      </w:r>
      <w:r w:rsidRPr="00C61BB4">
        <w:t>, which could result in a sample that is not fully representative of the FNSD population.</w:t>
      </w:r>
      <w:r>
        <w:t xml:space="preserve"> Secondly, due to the lack of post-therapy data, the sensitivity of the measures to therapy effects could not be evaluated</w:t>
      </w:r>
      <w:r w:rsidRPr="00C61BB4">
        <w:t>.</w:t>
      </w:r>
      <w:r>
        <w:t xml:space="preserve"> </w:t>
      </w:r>
      <w:r w:rsidRPr="00C61BB4">
        <w:t>Furthermore, the study lack</w:t>
      </w:r>
      <w:r>
        <w:t>ed</w:t>
      </w:r>
      <w:r w:rsidRPr="00C61BB4">
        <w:t xml:space="preserve"> detailed </w:t>
      </w:r>
      <w:r w:rsidRPr="00C61BB4">
        <w:lastRenderedPageBreak/>
        <w:t>descriptors of FNSD symptom burden for subgroup analysis, which may be particularly relevant for the EASE-F questionnaire.</w:t>
      </w:r>
      <w:r>
        <w:t xml:space="preserve"> </w:t>
      </w:r>
      <w:r w:rsidRPr="00C61BB4">
        <w:t>This limitation could potentially impact understanding specific aspects of FNSD that may be responsive to intervention.</w:t>
      </w:r>
    </w:p>
    <w:p w14:paraId="59411591" w14:textId="77777777" w:rsidR="00FE482F" w:rsidRDefault="00FE482F" w:rsidP="00B33867">
      <w:r>
        <w:t>The</w:t>
      </w:r>
      <w:r w:rsidRPr="00C61BB4">
        <w:t xml:space="preserve"> study might have </w:t>
      </w:r>
      <w:r>
        <w:t xml:space="preserve">also </w:t>
      </w:r>
      <w:r w:rsidRPr="00C61BB4">
        <w:t xml:space="preserve">benefitted from </w:t>
      </w:r>
      <w:r>
        <w:t xml:space="preserve">patient and public involvement (PPI) to refine the EASE-F. </w:t>
      </w:r>
      <w:r w:rsidRPr="00C61BB4">
        <w:t xml:space="preserve">Engaging the target population in </w:t>
      </w:r>
      <w:r>
        <w:t>developing and validating</w:t>
      </w:r>
      <w:r w:rsidRPr="00C61BB4">
        <w:t xml:space="preserve"> instruments to measure patient-reported outcomes is essential, particularly for conditions like FNSD</w:t>
      </w:r>
      <w:r>
        <w:t>,</w:t>
      </w:r>
      <w:r w:rsidRPr="00C61BB4">
        <w:t xml:space="preserve"> where the evidence base is rapidly evolving, and issues such as stigma and limited exposure or education about the condition are commonly reported.</w:t>
      </w:r>
      <w:r>
        <w:t xml:space="preserve"> </w:t>
      </w:r>
      <w:r w:rsidRPr="00C61BB4">
        <w:t xml:space="preserve">Future research should consider </w:t>
      </w:r>
      <w:r>
        <w:t>and address these limitations</w:t>
      </w:r>
      <w:r w:rsidRPr="00C61BB4">
        <w:t xml:space="preserve"> to strengthen the evidence base for FNSD assessment.</w:t>
      </w:r>
    </w:p>
    <w:p w14:paraId="30E535AA" w14:textId="77777777" w:rsidR="00FE482F" w:rsidRPr="00C61BB4" w:rsidRDefault="00FE482F" w:rsidP="00B33867"/>
    <w:p w14:paraId="64489A5D" w14:textId="77777777" w:rsidR="00FE482F" w:rsidRPr="0091637E" w:rsidRDefault="00FE482F" w:rsidP="001B4B1E">
      <w:pPr>
        <w:pStyle w:val="Heading3"/>
      </w:pPr>
      <w:bookmarkStart w:id="106" w:name="_Toc137504725"/>
      <w:r>
        <w:t>3.</w:t>
      </w:r>
      <w:r w:rsidRPr="0091637E">
        <w:t>4.</w:t>
      </w:r>
      <w:r>
        <w:t>7</w:t>
      </w:r>
      <w:r w:rsidRPr="0091637E">
        <w:t xml:space="preserve"> Clinical and Research Implications</w:t>
      </w:r>
      <w:bookmarkEnd w:id="106"/>
    </w:p>
    <w:p w14:paraId="5056D94C" w14:textId="77777777" w:rsidR="00FE482F" w:rsidRDefault="00FE482F" w:rsidP="00B33867">
      <w:r>
        <w:t xml:space="preserve">The EASE-F was designed to measure patient ratings of their self-efficacy, self-awareness/assertiveness, the impact of illness on interpersonal relationships and the level of social support in patients with FNSD. The proposed recommendations for a summed score would yield an overall estimate of the extent (conceptualised in terms of self-reported endorsement) to which the individual utilises or experiences these constructs to cope with their illness. Since resource-based constructs form an essential aspect of psychotherapy for these patients, it is vital to be able to assess baseline levels or deficits in patients. The EASE-F has shown to be a promising instrument in this respect and should constitute a useful supplement to existing health state and HRQOL instruments. It is especially useful when an appreciation of resourcefulness and individualised care is attached to treatment planning and targeting in this patient group. As such, it might be valuable for screening and guidance purposes in particular psychotherapeutic interventions and research contexts. </w:t>
      </w:r>
    </w:p>
    <w:p w14:paraId="2EDB0796" w14:textId="77777777" w:rsidR="00FE482F" w:rsidRDefault="00FE482F" w:rsidP="00FE482F">
      <w:pPr>
        <w:spacing w:after="240"/>
      </w:pPr>
      <w:r>
        <w:t>Following repeated measure analysis, the EASE-F could be used for longitudinal monitoring wherein regular administration of the measure could help to</w:t>
      </w:r>
      <w:r w:rsidRPr="006A2CF2">
        <w:t xml:space="preserve"> track changes in </w:t>
      </w:r>
      <w:r>
        <w:t>patients'</w:t>
      </w:r>
      <w:r w:rsidRPr="006A2CF2">
        <w:t xml:space="preserve"> social support, self-efficacy, self-awareness, assertiveness, and illness burdens over time</w:t>
      </w:r>
      <w:r>
        <w:t xml:space="preserve"> or following intervention</w:t>
      </w:r>
      <w:r w:rsidRPr="006A2CF2">
        <w:t>.</w:t>
      </w:r>
      <w:r>
        <w:t xml:space="preserve"> </w:t>
      </w:r>
      <w:r w:rsidRPr="006A2CF2">
        <w:t>This can help identify areas of improvement</w:t>
      </w:r>
      <w:r>
        <w:t xml:space="preserve"> and</w:t>
      </w:r>
      <w:r w:rsidRPr="006A2CF2">
        <w:t xml:space="preserve"> detect potential setbacks or barriers to progress, allowing for timely adjustments to </w:t>
      </w:r>
      <w:r>
        <w:t>intervention</w:t>
      </w:r>
      <w:r w:rsidRPr="006A2CF2">
        <w:t xml:space="preserve"> plans.</w:t>
      </w:r>
    </w:p>
    <w:p w14:paraId="695FF605" w14:textId="58A6F55D" w:rsidR="00FE482F" w:rsidRPr="0091637E" w:rsidRDefault="00FE482F" w:rsidP="001B4B1E">
      <w:pPr>
        <w:pStyle w:val="Heading3"/>
      </w:pPr>
      <w:bookmarkStart w:id="107" w:name="_Toc137504726"/>
      <w:r>
        <w:lastRenderedPageBreak/>
        <w:t>3.</w:t>
      </w:r>
      <w:r w:rsidRPr="0091637E">
        <w:t>4.</w:t>
      </w:r>
      <w:r>
        <w:t>8</w:t>
      </w:r>
      <w:r w:rsidRPr="0091637E">
        <w:t xml:space="preserve"> Further </w:t>
      </w:r>
      <w:r w:rsidR="007B422A">
        <w:t>Research</w:t>
      </w:r>
      <w:bookmarkEnd w:id="107"/>
    </w:p>
    <w:p w14:paraId="216E0273" w14:textId="77777777" w:rsidR="00FE482F" w:rsidRPr="00207155" w:rsidRDefault="00FE482F" w:rsidP="001B4B1E">
      <w:pPr>
        <w:pStyle w:val="Heading4"/>
      </w:pPr>
      <w:r>
        <w:t xml:space="preserve">3.4.8.1 </w:t>
      </w:r>
      <w:r w:rsidRPr="00207155">
        <w:t>Qualitative study</w:t>
      </w:r>
    </w:p>
    <w:p w14:paraId="1460A715" w14:textId="016AACA9" w:rsidR="00FE482F" w:rsidRPr="006A2CF2" w:rsidRDefault="00FE482F" w:rsidP="00B33867">
      <w:r w:rsidRPr="006A2CF2">
        <w:t xml:space="preserve">Qualitative research methods </w:t>
      </w:r>
      <w:r>
        <w:t xml:space="preserve">are </w:t>
      </w:r>
      <w:r w:rsidRPr="006A2CF2">
        <w:t>the most appropriate means to develop hypotheses about the interaction of such subjective concepts</w:t>
      </w:r>
      <w:r>
        <w:t xml:space="preserve"> </w:t>
      </w:r>
      <w:sdt>
        <w:sdtPr>
          <w:rPr>
            <w:color w:val="000000"/>
          </w:rPr>
          <w:tag w:val="MENDELEY_CITATION_v3_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"/>
          <w:id w:val="-1512377454"/>
          <w:placeholder>
            <w:docPart w:val="FC94CF2EA4BA1146B8DB314647A63BD3"/>
          </w:placeholder>
        </w:sdtPr>
        <w:sdtContent>
          <w:r w:rsidR="0047170A" w:rsidRPr="0047170A">
            <w:rPr>
              <w:color w:val="000000"/>
            </w:rPr>
            <w:t>(</w:t>
          </w:r>
          <w:proofErr w:type="spellStart"/>
          <w:r w:rsidR="0047170A" w:rsidRPr="0047170A">
            <w:rPr>
              <w:color w:val="000000"/>
            </w:rPr>
            <w:t>Tenny</w:t>
          </w:r>
          <w:proofErr w:type="spellEnd"/>
          <w:r w:rsidR="0047170A" w:rsidRPr="0047170A">
            <w:rPr>
              <w:color w:val="000000"/>
            </w:rPr>
            <w:t xml:space="preserve"> et al., 2022)</w:t>
          </w:r>
        </w:sdtContent>
      </w:sdt>
      <w:r>
        <w:t xml:space="preserve">. The original EASE was formulated from the qualitative study of patients with seizure disorders. Continuing work in the EASE-F would benefit from qualitative input from FNSD patient groups at each stage of further refinement and validation. Assessing indicators such as the </w:t>
      </w:r>
      <w:r w:rsidRPr="003A2CA3">
        <w:t>perceived eas</w:t>
      </w:r>
      <w:r>
        <w:t>e</w:t>
      </w:r>
      <w:r w:rsidRPr="003A2CA3">
        <w:t xml:space="preserve"> of understanding, interest, balance and fairness of the questionnaire</w:t>
      </w:r>
      <w:r>
        <w:t xml:space="preserve"> items and subscales would shed light on the EASE-F acceptability in the relevant patient group and highlight further areas for improvement. This may be particularly useful in revising or adding items in the subscales. </w:t>
      </w:r>
    </w:p>
    <w:p w14:paraId="5AF69809" w14:textId="77777777" w:rsidR="00FE482F" w:rsidRPr="00207155" w:rsidRDefault="00FE482F" w:rsidP="001B4B1E">
      <w:pPr>
        <w:pStyle w:val="Heading4"/>
      </w:pPr>
      <w:r>
        <w:t xml:space="preserve">3.4.8.2 </w:t>
      </w:r>
      <w:r w:rsidRPr="00207155">
        <w:t>Subgroup analysis</w:t>
      </w:r>
    </w:p>
    <w:p w14:paraId="41336F14" w14:textId="77777777" w:rsidR="00FE482F" w:rsidRDefault="00FE482F" w:rsidP="00B33867">
      <w:r>
        <w:t>Although the present study did not find any significant DIF regarding sex, further subgroup analysis relevant to the measures of study, e.g., marital status and social support indices or age group on the subscales, could shed some light on subgroups of patients that have difficulty with self-management resources and therefore may require more targeted therapeutic focus.</w:t>
      </w:r>
    </w:p>
    <w:p w14:paraId="6D393BFD" w14:textId="77777777" w:rsidR="00FE482F" w:rsidRPr="00207155" w:rsidRDefault="00FE482F" w:rsidP="001B4B1E">
      <w:pPr>
        <w:pStyle w:val="Heading4"/>
      </w:pPr>
      <w:r>
        <w:t xml:space="preserve">3.4.8.3 </w:t>
      </w:r>
      <w:r w:rsidRPr="00207155">
        <w:t>Sensitivity to change</w:t>
      </w:r>
    </w:p>
    <w:p w14:paraId="47BF3E10" w14:textId="77777777" w:rsidR="00FE482F" w:rsidRPr="006A2CF2" w:rsidRDefault="00FE482F" w:rsidP="00B33867">
      <w:r>
        <w:t>Further study, including tests of the EASE-F's potential for measuring change and its test-retest stability, is pertinent to assessing outcomes and enabling the EASE-F's relevance in clinical or research purposes that demand repeated measurements.</w:t>
      </w:r>
    </w:p>
    <w:p w14:paraId="0EBCCE0C" w14:textId="77777777" w:rsidR="00FE482F" w:rsidRPr="00207155" w:rsidRDefault="00FE482F" w:rsidP="001B4B1E">
      <w:pPr>
        <w:pStyle w:val="Heading4"/>
      </w:pPr>
      <w:r>
        <w:t xml:space="preserve">3.4.8.4 </w:t>
      </w:r>
      <w:r w:rsidRPr="00207155">
        <w:t>Scoring validation</w:t>
      </w:r>
    </w:p>
    <w:p w14:paraId="7C395ADA" w14:textId="77777777" w:rsidR="00FE482F" w:rsidRPr="00434ECE" w:rsidRDefault="00FE482F" w:rsidP="00B33867">
      <w:r>
        <w:t xml:space="preserve">Validation analysis of further revisions of the EASE-F subscale, including subscale and total scores, will be required in a different FNSD sample. </w:t>
      </w:r>
    </w:p>
    <w:p w14:paraId="3F5F5BC0" w14:textId="77777777" w:rsidR="00FE482F" w:rsidRDefault="00FE482F" w:rsidP="00B33867">
      <w:pPr>
        <w:rPr>
          <w:lang w:eastAsia="zh-CN"/>
        </w:rPr>
      </w:pPr>
    </w:p>
    <w:p w14:paraId="484FA6A5" w14:textId="77777777" w:rsidR="00FE482F" w:rsidRPr="0091637E" w:rsidRDefault="00FE482F" w:rsidP="001B4B1E">
      <w:pPr>
        <w:pStyle w:val="Heading3"/>
      </w:pPr>
      <w:bookmarkStart w:id="108" w:name="_Toc137504727"/>
      <w:r>
        <w:t>3.</w:t>
      </w:r>
      <w:r w:rsidRPr="0091637E">
        <w:t>4.</w:t>
      </w:r>
      <w:r>
        <w:t>9</w:t>
      </w:r>
      <w:r w:rsidRPr="0091637E">
        <w:t xml:space="preserve"> Conclusion</w:t>
      </w:r>
      <w:bookmarkEnd w:id="108"/>
    </w:p>
    <w:p w14:paraId="32B8F63D" w14:textId="77777777" w:rsidR="00FE482F" w:rsidRDefault="00FE482F" w:rsidP="00B33867">
      <w:pPr>
        <w:rPr>
          <w:lang w:eastAsia="zh-CN"/>
        </w:rPr>
      </w:pPr>
      <w:r w:rsidRPr="004B448F">
        <w:rPr>
          <w:lang w:eastAsia="zh-CN"/>
        </w:rPr>
        <w:t>The findings of this study indicate that the original 37-item EASE-F</w:t>
      </w:r>
      <w:r>
        <w:rPr>
          <w:lang w:eastAsia="zh-CN"/>
        </w:rPr>
        <w:t xml:space="preserve"> successfully captures clinically relevant constructs of </w:t>
      </w:r>
      <w:r w:rsidRPr="004B448F">
        <w:rPr>
          <w:lang w:eastAsia="zh-CN"/>
        </w:rPr>
        <w:t xml:space="preserve">self-efficacy, self-awareness/assertiveness, </w:t>
      </w:r>
      <w:r>
        <w:rPr>
          <w:lang w:eastAsia="zh-CN"/>
        </w:rPr>
        <w:t xml:space="preserve">interpersonal </w:t>
      </w:r>
      <w:r w:rsidRPr="004B448F">
        <w:rPr>
          <w:lang w:eastAsia="zh-CN"/>
        </w:rPr>
        <w:t>illness burden, and social support in FNSD</w:t>
      </w:r>
      <w:r>
        <w:rPr>
          <w:lang w:eastAsia="zh-CN"/>
        </w:rPr>
        <w:t>. However, the measure required some</w:t>
      </w:r>
      <w:r w:rsidRPr="004B448F">
        <w:rPr>
          <w:lang w:eastAsia="zh-CN"/>
        </w:rPr>
        <w:t xml:space="preserve"> refinement</w:t>
      </w:r>
      <w:r>
        <w:rPr>
          <w:lang w:eastAsia="zh-CN"/>
        </w:rPr>
        <w:t xml:space="preserve"> to reliably</w:t>
      </w:r>
      <w:r w:rsidRPr="004B448F">
        <w:rPr>
          <w:lang w:eastAsia="zh-CN"/>
        </w:rPr>
        <w:t xml:space="preserve"> </w:t>
      </w:r>
      <w:r>
        <w:rPr>
          <w:lang w:eastAsia="zh-CN"/>
        </w:rPr>
        <w:t xml:space="preserve">assess </w:t>
      </w:r>
      <w:r w:rsidRPr="00781806">
        <w:t>the</w:t>
      </w:r>
      <w:r>
        <w:t>se traits based on</w:t>
      </w:r>
      <w:r w:rsidRPr="00781806">
        <w:t xml:space="preserve"> the </w:t>
      </w:r>
      <w:r>
        <w:t>items' difficulty and the patient's abilities, as modelled by Rasch analyses. T</w:t>
      </w:r>
      <w:r>
        <w:rPr>
          <w:lang w:eastAsia="zh-CN"/>
        </w:rPr>
        <w:t xml:space="preserve">he </w:t>
      </w:r>
      <w:r w:rsidRPr="004B448F">
        <w:rPr>
          <w:lang w:eastAsia="zh-CN"/>
        </w:rPr>
        <w:t xml:space="preserve">EASE-F has </w:t>
      </w:r>
      <w:r>
        <w:rPr>
          <w:lang w:eastAsia="zh-CN"/>
        </w:rPr>
        <w:t>the</w:t>
      </w:r>
      <w:r w:rsidRPr="004B448F">
        <w:rPr>
          <w:lang w:eastAsia="zh-CN"/>
        </w:rPr>
        <w:t xml:space="preserve"> potential for reliable evaluation of </w:t>
      </w:r>
      <w:r>
        <w:rPr>
          <w:lang w:eastAsia="zh-CN"/>
        </w:rPr>
        <w:t xml:space="preserve">these constructs in clinical and research settings, </w:t>
      </w:r>
      <w:r w:rsidRPr="004B448F">
        <w:rPr>
          <w:lang w:eastAsia="zh-CN"/>
        </w:rPr>
        <w:t xml:space="preserve">thereby aiding in </w:t>
      </w:r>
      <w:r>
        <w:rPr>
          <w:lang w:eastAsia="zh-CN"/>
        </w:rPr>
        <w:t>identifying</w:t>
      </w:r>
      <w:r w:rsidRPr="004B448F">
        <w:rPr>
          <w:lang w:eastAsia="zh-CN"/>
        </w:rPr>
        <w:t xml:space="preserve"> patients exhibiting specific deficits and enabling </w:t>
      </w:r>
      <w:r>
        <w:rPr>
          <w:lang w:eastAsia="zh-CN"/>
        </w:rPr>
        <w:lastRenderedPageBreak/>
        <w:t>personalised</w:t>
      </w:r>
      <w:r w:rsidRPr="004B448F">
        <w:rPr>
          <w:lang w:eastAsia="zh-CN"/>
        </w:rPr>
        <w:t xml:space="preserve"> intervention strategies.</w:t>
      </w:r>
      <w:r>
        <w:rPr>
          <w:lang w:eastAsia="zh-CN"/>
        </w:rPr>
        <w:t xml:space="preserve"> </w:t>
      </w:r>
      <w:r w:rsidRPr="004B448F">
        <w:rPr>
          <w:lang w:eastAsia="zh-CN"/>
        </w:rPr>
        <w:t>Despite these encouraging results, the EASE-F requires further refinement and validation, particularly in scoring and subgroup analyses.</w:t>
      </w:r>
      <w:r>
        <w:rPr>
          <w:lang w:eastAsia="zh-CN"/>
        </w:rPr>
        <w:t xml:space="preserve"> </w:t>
      </w:r>
      <w:r w:rsidRPr="004B448F">
        <w:rPr>
          <w:lang w:eastAsia="zh-CN"/>
        </w:rPr>
        <w:t>This study offers suggestions for future improvements to the instrument and discusses its prospective application in clinical practice and research as an FN</w:t>
      </w:r>
      <w:r>
        <w:rPr>
          <w:lang w:eastAsia="zh-CN"/>
        </w:rPr>
        <w:t>S</w:t>
      </w:r>
      <w:r w:rsidRPr="004B448F">
        <w:rPr>
          <w:lang w:eastAsia="zh-CN"/>
        </w:rPr>
        <w:t>D outcome measure.</w:t>
      </w:r>
    </w:p>
    <w:p w14:paraId="7CCB4405" w14:textId="77777777" w:rsidR="00FE482F" w:rsidRDefault="00FE482F" w:rsidP="001B4B1E"/>
    <w:p w14:paraId="32847A10" w14:textId="77777777" w:rsidR="00A72181" w:rsidRPr="001A77A9" w:rsidRDefault="00A72181" w:rsidP="00A72181">
      <w:pPr>
        <w:jc w:val="center"/>
      </w:pPr>
    </w:p>
    <w:p w14:paraId="2332BA5B" w14:textId="77777777" w:rsidR="00A72181" w:rsidRPr="001A77A9" w:rsidRDefault="00A72181" w:rsidP="00A72181">
      <w:pPr>
        <w:jc w:val="center"/>
      </w:pPr>
    </w:p>
    <w:p w14:paraId="6C23FEB6" w14:textId="6F4B31D8" w:rsidR="00801461" w:rsidRDefault="00801461">
      <w:pPr>
        <w:spacing w:line="240" w:lineRule="auto"/>
        <w:jc w:val="left"/>
      </w:pPr>
      <w:r>
        <w:br w:type="page"/>
      </w:r>
    </w:p>
    <w:p w14:paraId="48B02316" w14:textId="77777777" w:rsidR="00801461" w:rsidRPr="000C5643" w:rsidRDefault="00801461" w:rsidP="000C5643">
      <w:pPr>
        <w:pStyle w:val="Heading1"/>
      </w:pPr>
      <w:bookmarkStart w:id="109" w:name="_Toc137504728"/>
      <w:r>
        <w:lastRenderedPageBreak/>
        <w:t xml:space="preserve">4.0 </w:t>
      </w:r>
      <w:r w:rsidRPr="000C5643">
        <w:t xml:space="preserve">Urgent and Emergency Care </w:t>
      </w:r>
      <w:proofErr w:type="spellStart"/>
      <w:r w:rsidRPr="000C5643">
        <w:t>Utilisation</w:t>
      </w:r>
      <w:proofErr w:type="spellEnd"/>
      <w:r w:rsidRPr="000C5643">
        <w:t xml:space="preserve"> in patients with Functional Neurological Symptom Disorder</w:t>
      </w:r>
      <w:bookmarkEnd w:id="109"/>
    </w:p>
    <w:p w14:paraId="283ECEF9" w14:textId="5369201B" w:rsidR="00801461" w:rsidRPr="00263BCC" w:rsidRDefault="00801461" w:rsidP="00581273">
      <w:pPr>
        <w:pStyle w:val="Heading2"/>
      </w:pPr>
      <w:bookmarkStart w:id="110" w:name="_Toc137504729"/>
      <w:r>
        <w:t xml:space="preserve">4.1. </w:t>
      </w:r>
      <w:r w:rsidRPr="00263BCC">
        <w:t>I</w:t>
      </w:r>
      <w:r w:rsidR="00581273">
        <w:t>ntroduction</w:t>
      </w:r>
      <w:bookmarkEnd w:id="110"/>
    </w:p>
    <w:p w14:paraId="0C96EC72" w14:textId="2C1954AE" w:rsidR="00801461" w:rsidRDefault="00801461" w:rsidP="003E2948">
      <w:pPr>
        <w:rPr>
          <w:color w:val="000000"/>
        </w:rPr>
      </w:pPr>
      <w:r>
        <w:t>H</w:t>
      </w:r>
      <w:r w:rsidRPr="006F172C">
        <w:t>igh-impact users (HIUs) or frequent attender</w:t>
      </w:r>
      <w:r>
        <w:t>s describe those p</w:t>
      </w:r>
      <w:r w:rsidRPr="006F172C">
        <w:t xml:space="preserve">atients who frequently attend </w:t>
      </w:r>
      <w:r>
        <w:t>urgent and emergency health care services</w:t>
      </w:r>
      <w:r w:rsidRPr="006F172C">
        <w:t xml:space="preserve"> and hospital emergency departments (</w:t>
      </w:r>
      <w:r>
        <w:t>EDs</w:t>
      </w:r>
      <w:r w:rsidRPr="006F172C">
        <w:t>) five or more times within a year (Summary of Recommendations, n.d.).</w:t>
      </w:r>
      <w:r>
        <w:t xml:space="preserve"> </w:t>
      </w:r>
      <w:r w:rsidRPr="006F172C">
        <w:t>These individuals usually</w:t>
      </w:r>
      <w:r>
        <w:t xml:space="preserve"> have </w:t>
      </w:r>
      <w:r w:rsidRPr="006F172C">
        <w:t>complex medical conditions, frequent</w:t>
      </w:r>
      <w:r>
        <w:t>ly</w:t>
      </w:r>
      <w:r w:rsidRPr="006F172C">
        <w:t xml:space="preserve"> </w:t>
      </w:r>
      <w:r>
        <w:t>use</w:t>
      </w:r>
      <w:r w:rsidRPr="006F172C">
        <w:t xml:space="preserve"> </w:t>
      </w:r>
      <w:r>
        <w:t xml:space="preserve">several </w:t>
      </w:r>
      <w:r w:rsidRPr="006F172C">
        <w:t>di</w:t>
      </w:r>
      <w:r>
        <w:t xml:space="preserve">fferent </w:t>
      </w:r>
      <w:r w:rsidRPr="006F172C">
        <w:t>health and social care services, including hospital admissions, and experience higher mortality rates</w:t>
      </w:r>
      <w:r>
        <w:t xml:space="preserve"> </w:t>
      </w:r>
      <w:sdt>
        <w:sdtPr>
          <w:rPr>
            <w:color w:val="000000"/>
          </w:rPr>
          <w:tag w:val="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"/>
          <w:id w:val="1786617896"/>
          <w:placeholder>
            <w:docPart w:val="FB98565843966A4BB7E459B41C0F61A8"/>
          </w:placeholder>
        </w:sdtPr>
        <w:sdtContent>
          <w:r w:rsidR="0047170A">
            <w:rPr>
              <w:rFonts w:eastAsia="Times New Roman"/>
            </w:rPr>
            <w:t>(Greenfield et al., 2020; Krieg et al., 2016; Moe et al., 2017; NHS England ; NHS England. 2017-2019; 2018/2019)</w:t>
          </w:r>
        </w:sdtContent>
      </w:sdt>
      <w:r>
        <w:rPr>
          <w:color w:val="000000"/>
        </w:rPr>
        <w:t xml:space="preserve">.  </w:t>
      </w:r>
    </w:p>
    <w:p w14:paraId="14F9778E" w14:textId="77777777" w:rsidR="00801461" w:rsidRPr="00DB5DDC" w:rsidRDefault="00801461" w:rsidP="00581273">
      <w:pPr>
        <w:pStyle w:val="Heading3"/>
      </w:pPr>
      <w:bookmarkStart w:id="111" w:name="_Toc137504730"/>
      <w:r>
        <w:t>4.1.1 Emergency/Urgent Care Services Use in FNSD</w:t>
      </w:r>
      <w:bookmarkEnd w:id="111"/>
    </w:p>
    <w:p w14:paraId="416C4785" w14:textId="76D7CDA2" w:rsidR="00801461" w:rsidRPr="002A0E4B" w:rsidRDefault="00801461" w:rsidP="003E2948">
      <w:r w:rsidRPr="002A0E4B">
        <w:t xml:space="preserve">Functional symptoms at onset or </w:t>
      </w:r>
      <w:r w:rsidRPr="003E2948">
        <w:t>recurrent and fluctuating</w:t>
      </w:r>
      <w:r w:rsidRPr="002A0E4B">
        <w:t xml:space="preserve"> symptoms such as </w:t>
      </w:r>
      <w:r>
        <w:t>Functional Seizures</w:t>
      </w:r>
      <w:r w:rsidRPr="002A0E4B">
        <w:t xml:space="preserve"> </w:t>
      </w:r>
      <w:r>
        <w:t xml:space="preserve">(FS) </w:t>
      </w:r>
      <w:r w:rsidRPr="002A0E4B">
        <w:t xml:space="preserve">or functional hemiparesis commonly lead to emergency service involvement </w:t>
      </w:r>
      <w:sdt>
        <w:sdtPr>
          <w:rPr>
            <w:color w:val="000000"/>
          </w:rPr>
          <w:tag w:val="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"/>
          <w:id w:val="248938889"/>
          <w:placeholder>
            <w:docPart w:val="8555CED8CCB94F4DBB11D3EC84546996"/>
          </w:placeholder>
        </w:sdtPr>
        <w:sdtContent>
          <w:r w:rsidR="0047170A" w:rsidRPr="0047170A">
            <w:rPr>
              <w:color w:val="000000"/>
            </w:rPr>
            <w:t xml:space="preserve">(J. R. Anderson et al., 2019; </w:t>
          </w:r>
          <w:proofErr w:type="spellStart"/>
          <w:r w:rsidR="0047170A" w:rsidRPr="0047170A">
            <w:rPr>
              <w:color w:val="000000"/>
            </w:rPr>
            <w:t>Merkler</w:t>
          </w:r>
          <w:proofErr w:type="spellEnd"/>
          <w:r w:rsidR="0047170A" w:rsidRPr="0047170A">
            <w:rPr>
              <w:color w:val="000000"/>
            </w:rPr>
            <w:t xml:space="preserve"> et al., 2016; Reuber, </w:t>
          </w:r>
          <w:proofErr w:type="spellStart"/>
          <w:r w:rsidR="0047170A" w:rsidRPr="0047170A">
            <w:rPr>
              <w:color w:val="000000"/>
            </w:rPr>
            <w:t>Pukrop</w:t>
          </w:r>
          <w:proofErr w:type="spellEnd"/>
          <w:r w:rsidR="0047170A" w:rsidRPr="0047170A">
            <w:rPr>
              <w:color w:val="000000"/>
            </w:rPr>
            <w:t>, Mitchell, et al., 2003)</w:t>
          </w:r>
        </w:sdtContent>
      </w:sdt>
      <w:r w:rsidRPr="002A0E4B">
        <w:t xml:space="preserve">, and much evidence suggests that, as a group, patients </w:t>
      </w:r>
      <w:r>
        <w:t>with FNSD</w:t>
      </w:r>
      <w:r w:rsidRPr="002A0E4B">
        <w:t xml:space="preserve"> are particularly high users of emergency </w:t>
      </w:r>
      <w:r>
        <w:t xml:space="preserve">or urgent </w:t>
      </w:r>
      <w:r w:rsidRPr="002A0E4B">
        <w:t>care services</w:t>
      </w:r>
      <w:r>
        <w:t xml:space="preserve"> </w:t>
      </w:r>
      <w:sdt>
        <w:sdtPr>
          <w:tag w:val="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"/>
          <w:id w:val="2035218357"/>
          <w:placeholder>
            <w:docPart w:val="8555CED8CCB94F4DBB11D3EC84546996"/>
          </w:placeholder>
        </w:sdtPr>
        <w:sdtContent>
          <w:r w:rsidR="0047170A">
            <w:rPr>
              <w:rFonts w:eastAsia="Times New Roman"/>
            </w:rPr>
            <w:t xml:space="preserve">(Gallagher et al., 2013; </w:t>
          </w:r>
          <w:proofErr w:type="spellStart"/>
          <w:r w:rsidR="0047170A">
            <w:rPr>
              <w:rFonts w:eastAsia="Times New Roman"/>
            </w:rPr>
            <w:t>Merkler</w:t>
          </w:r>
          <w:proofErr w:type="spellEnd"/>
          <w:r w:rsidR="0047170A">
            <w:rPr>
              <w:rFonts w:eastAsia="Times New Roman"/>
            </w:rPr>
            <w:t xml:space="preserve"> et al., 2016; Perez &amp; LaFrance Jr., 2016)</w:t>
          </w:r>
        </w:sdtContent>
      </w:sdt>
      <w:r>
        <w:t xml:space="preserve">, </w:t>
      </w:r>
      <w:r w:rsidRPr="002277DB">
        <w:t xml:space="preserve">due to the severity and acuity of their symptoms, </w:t>
      </w:r>
      <w:r>
        <w:t xml:space="preserve">unsuccessful </w:t>
      </w:r>
      <w:r w:rsidRPr="002277DB">
        <w:t>outpatient management, and limited healthcare provider knowledge</w:t>
      </w:r>
      <w:r>
        <w:t xml:space="preserve"> and poor access to alternative sources of medical advice</w:t>
      </w:r>
      <w:r w:rsidRPr="002277DB">
        <w:t xml:space="preserve"> on </w:t>
      </w:r>
      <w:r>
        <w:t xml:space="preserve">FNSD. In the UK, emergency and urgent care services include </w:t>
      </w:r>
      <w:r w:rsidRPr="002277DB">
        <w:t xml:space="preserve">non-emergency helplines (e.g., 111 service in the </w:t>
      </w:r>
      <w:r>
        <w:t>UK</w:t>
      </w:r>
      <w:r w:rsidRPr="002277DB">
        <w:t xml:space="preserve">), ambulance services, and </w:t>
      </w:r>
      <w:r>
        <w:t>A</w:t>
      </w:r>
      <w:r w:rsidRPr="002277DB">
        <w:t xml:space="preserve">ccident and </w:t>
      </w:r>
      <w:r>
        <w:t>E</w:t>
      </w:r>
      <w:r w:rsidRPr="002277DB">
        <w:t>mergency (A&amp;E) department attendances</w:t>
      </w:r>
      <w:r>
        <w:t xml:space="preserve">. </w:t>
      </w:r>
      <w:r w:rsidRPr="002A0E4B">
        <w:t>For instance, a UK-based audit of functional emergencies in one Emergency Department (</w:t>
      </w:r>
      <w:r>
        <w:t>ED</w:t>
      </w:r>
      <w:r w:rsidRPr="002A0E4B">
        <w:t xml:space="preserve">) suggested that 8.1% of seizure presentations (n=1,242) to the </w:t>
      </w:r>
      <w:r>
        <w:t>ED</w:t>
      </w:r>
      <w:r w:rsidRPr="002A0E4B">
        <w:t xml:space="preserve"> were related to </w:t>
      </w:r>
      <w:r>
        <w:t>FS</w:t>
      </w:r>
      <w:r w:rsidRPr="002A0E4B">
        <w:t xml:space="preserve"> and that 43% of these patients had attended the </w:t>
      </w:r>
      <w:r>
        <w:t>ED</w:t>
      </w:r>
      <w:r w:rsidRPr="002A0E4B">
        <w:t xml:space="preserve"> more than once in the space of one year </w:t>
      </w:r>
      <w:sdt>
        <w:sdtPr>
          <w:rPr>
            <w:color w:val="000000"/>
          </w:rPr>
          <w:tag w:val="MENDELEY_CITATION_v3_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"/>
          <w:id w:val="1508252078"/>
          <w:placeholder>
            <w:docPart w:val="8555CED8CCB94F4DBB11D3EC84546996"/>
          </w:placeholder>
        </w:sdtPr>
        <w:sdtContent>
          <w:r w:rsidR="0047170A" w:rsidRPr="0047170A">
            <w:rPr>
              <w:color w:val="000000"/>
            </w:rPr>
            <w:t>(</w:t>
          </w:r>
          <w:proofErr w:type="spellStart"/>
          <w:r w:rsidR="0047170A" w:rsidRPr="0047170A">
            <w:rPr>
              <w:color w:val="000000"/>
            </w:rPr>
            <w:t>Fitzsimmon</w:t>
          </w:r>
          <w:proofErr w:type="spellEnd"/>
          <w:r w:rsidR="0047170A" w:rsidRPr="0047170A">
            <w:rPr>
              <w:color w:val="000000"/>
            </w:rPr>
            <w:t xml:space="preserve"> et al., 2017)</w:t>
          </w:r>
        </w:sdtContent>
      </w:sdt>
      <w:r w:rsidRPr="002A0E4B">
        <w:t>.</w:t>
      </w:r>
      <w:r>
        <w:t xml:space="preserve"> </w:t>
      </w:r>
      <w:r w:rsidRPr="002A0E4B">
        <w:t>Different FN</w:t>
      </w:r>
      <w:r>
        <w:t>S</w:t>
      </w:r>
      <w:r w:rsidRPr="002A0E4B">
        <w:t xml:space="preserve">D presentations have also been associated with </w:t>
      </w:r>
      <w:r>
        <w:t>higher</w:t>
      </w:r>
      <w:r w:rsidRPr="002A0E4B">
        <w:t xml:space="preserve"> repeat emergency visit rates </w:t>
      </w:r>
      <w:r>
        <w:t xml:space="preserve">than those with superficially similar </w:t>
      </w:r>
      <w:r w:rsidRPr="002A0E4B">
        <w:t xml:space="preserve">other neurological or medical </w:t>
      </w:r>
      <w:r>
        <w:t xml:space="preserve">symptoms </w:t>
      </w:r>
      <w:sdt>
        <w:sdtPr>
          <w:tag w:val="MENDELEY_CITATION_v3_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"/>
          <w:id w:val="-1774307984"/>
          <w:placeholder>
            <w:docPart w:val="8555CED8CCB94F4DBB11D3EC84546996"/>
          </w:placeholder>
        </w:sdtPr>
        <w:sdtContent>
          <w:r w:rsidR="0047170A">
            <w:rPr>
              <w:rFonts w:eastAsia="Times New Roman"/>
            </w:rPr>
            <w:t>(</w:t>
          </w:r>
          <w:proofErr w:type="spellStart"/>
          <w:r w:rsidR="0047170A">
            <w:rPr>
              <w:rFonts w:eastAsia="Times New Roman"/>
            </w:rPr>
            <w:t>Merkler</w:t>
          </w:r>
          <w:proofErr w:type="spellEnd"/>
          <w:r w:rsidR="0047170A">
            <w:rPr>
              <w:rFonts w:eastAsia="Times New Roman"/>
            </w:rPr>
            <w:t xml:space="preserve"> et al., 2016; Perez &amp; LaFrance Jr., 2016)</w:t>
          </w:r>
        </w:sdtContent>
      </w:sdt>
      <w:r w:rsidRPr="002A0E4B">
        <w:t xml:space="preserve">. </w:t>
      </w:r>
    </w:p>
    <w:p w14:paraId="72009759" w14:textId="2A298143" w:rsidR="00801461" w:rsidRDefault="00801461" w:rsidP="005A5721">
      <w:r w:rsidRPr="003E2119">
        <w:t xml:space="preserve">Patients with </w:t>
      </w:r>
      <w:r>
        <w:t>FNSD</w:t>
      </w:r>
      <w:r w:rsidRPr="003E2119">
        <w:t xml:space="preserve"> may present acutely to emergency services with</w:t>
      </w:r>
      <w:r>
        <w:t xml:space="preserve"> </w:t>
      </w:r>
      <w:r w:rsidRPr="008971B2">
        <w:t>any complaint</w:t>
      </w:r>
      <w:r>
        <w:t>,</w:t>
      </w:r>
      <w:r w:rsidRPr="008971B2">
        <w:t xml:space="preserve"> </w:t>
      </w:r>
      <w:r>
        <w:t xml:space="preserve">e.g., </w:t>
      </w:r>
      <w:r w:rsidRPr="008971B2">
        <w:t xml:space="preserve">angina, acute abdominal pain, tonsillitis, </w:t>
      </w:r>
      <w:r>
        <w:t xml:space="preserve">or </w:t>
      </w:r>
      <w:r w:rsidRPr="008971B2">
        <w:t>brain tumour</w:t>
      </w:r>
      <w:r>
        <w:t>. So</w:t>
      </w:r>
      <w:r w:rsidRPr="003E2119">
        <w:t xml:space="preserve">matic and dissociative complaints </w:t>
      </w:r>
      <w:r>
        <w:t xml:space="preserve">such as weakness, </w:t>
      </w:r>
      <w:r w:rsidRPr="003E2119">
        <w:t xml:space="preserve">pain, fatigue, </w:t>
      </w:r>
      <w:r>
        <w:t>sensory disturbances,</w:t>
      </w:r>
      <w:r w:rsidRPr="003E2119">
        <w:t xml:space="preserve"> memory loss, </w:t>
      </w:r>
      <w:r>
        <w:t>depersonalisation</w:t>
      </w:r>
      <w:r w:rsidRPr="003E2119">
        <w:t xml:space="preserve">, and </w:t>
      </w:r>
      <w:r>
        <w:t>derealisation are also common</w:t>
      </w:r>
      <w:r w:rsidRPr="003E2119">
        <w:t xml:space="preserve"> </w:t>
      </w:r>
      <w:sdt>
        <w:sdtPr>
          <w:rPr>
            <w:color w:val="000000"/>
          </w:rPr>
          <w:tag w:val="MENDELEY_CITATION_v3_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"/>
          <w:id w:val="-364672155"/>
          <w:placeholder>
            <w:docPart w:val="8555CED8CCB94F4DBB11D3EC84546996"/>
          </w:placeholder>
        </w:sdtPr>
        <w:sdtContent>
          <w:r w:rsidR="0047170A">
            <w:rPr>
              <w:rFonts w:eastAsia="Times New Roman"/>
            </w:rPr>
            <w:t xml:space="preserve">(American </w:t>
          </w:r>
          <w:r w:rsidR="0047170A">
            <w:rPr>
              <w:rFonts w:eastAsia="Times New Roman"/>
            </w:rPr>
            <w:lastRenderedPageBreak/>
            <w:t>Psychiatric Association, 2013; R. J. Brown &amp; Reuber, 2016a)</w:t>
          </w:r>
        </w:sdtContent>
      </w:sdt>
      <w:r w:rsidRPr="003E2119">
        <w:t>.</w:t>
      </w:r>
      <w:r>
        <w:t xml:space="preserve"> </w:t>
      </w:r>
      <w:r w:rsidRPr="003E2119">
        <w:t>These symptoms can be distressing and disabling, leading patients to seek urgent medical attention</w:t>
      </w:r>
      <w:r>
        <w:t xml:space="preserve">. </w:t>
      </w:r>
      <w:r w:rsidRPr="003E2119">
        <w:t xml:space="preserve">However, </w:t>
      </w:r>
      <w:r>
        <w:t xml:space="preserve">in the absence of </w:t>
      </w:r>
      <w:r w:rsidRPr="003E2119">
        <w:t xml:space="preserve">objective clinical </w:t>
      </w:r>
      <w:r>
        <w:t xml:space="preserve">abnormalities or abnormal findings after investigation, </w:t>
      </w:r>
      <w:r w:rsidRPr="003E2119">
        <w:t>the</w:t>
      </w:r>
      <w:r>
        <w:t xml:space="preserve"> causation of the</w:t>
      </w:r>
      <w:r w:rsidRPr="003E2119">
        <w:t xml:space="preserve">se complaints </w:t>
      </w:r>
      <w:r>
        <w:t xml:space="preserve">is often not explicitly discussed. It can </w:t>
      </w:r>
      <w:r w:rsidRPr="003E2119">
        <w:t xml:space="preserve">often </w:t>
      </w:r>
      <w:r>
        <w:t xml:space="preserve">misdiagnose or confuse patients about the nature of their symptoms </w:t>
      </w:r>
      <w:sdt>
        <w:sdtPr>
          <w:rPr>
            <w:color w:val="000000"/>
          </w:rPr>
          <w:tag w:val="MENDELEY_CITATION_v3_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"/>
          <w:id w:val="1874418605"/>
          <w:placeholder>
            <w:docPart w:val="8555CED8CCB94F4DBB11D3EC84546996"/>
          </w:placeholder>
        </w:sdtPr>
        <w:sdtContent>
          <w:r w:rsidR="0047170A" w:rsidRPr="0047170A">
            <w:rPr>
              <w:color w:val="000000"/>
            </w:rPr>
            <w:t>(A. Carson et al., 2011; Stone et al., 2011)</w:t>
          </w:r>
        </w:sdtContent>
      </w:sdt>
      <w:r w:rsidRPr="003E2119">
        <w:t>.</w:t>
      </w:r>
      <w:r>
        <w:t xml:space="preserve"> </w:t>
      </w:r>
      <w:r w:rsidRPr="003E2119">
        <w:t xml:space="preserve">This can lead to frustration, helplessness, and </w:t>
      </w:r>
      <w:r>
        <w:t>stigmatisation</w:t>
      </w:r>
      <w:r w:rsidRPr="003E2119">
        <w:t xml:space="preserve"> among </w:t>
      </w:r>
      <w:r>
        <w:t>FNSD</w:t>
      </w:r>
      <w:r w:rsidRPr="003E2119">
        <w:t xml:space="preserve"> patients, further perpetuating their reliance on emergency services</w:t>
      </w:r>
      <w:r>
        <w:t>.</w:t>
      </w:r>
    </w:p>
    <w:p w14:paraId="772BC94E" w14:textId="77777777" w:rsidR="00801461" w:rsidRPr="000D4AC7" w:rsidRDefault="00801461" w:rsidP="00581273">
      <w:pPr>
        <w:pStyle w:val="Heading3"/>
      </w:pPr>
      <w:bookmarkStart w:id="112" w:name="_Toc137504731"/>
      <w:r>
        <w:t>4.</w:t>
      </w:r>
      <w:r w:rsidRPr="000D4AC7">
        <w:t xml:space="preserve">1.2 </w:t>
      </w:r>
      <w:r>
        <w:t>P</w:t>
      </w:r>
      <w:r w:rsidRPr="000D4AC7">
        <w:t>revalence statistics</w:t>
      </w:r>
      <w:bookmarkEnd w:id="112"/>
      <w:r w:rsidRPr="000D4AC7">
        <w:t xml:space="preserve"> </w:t>
      </w:r>
    </w:p>
    <w:p w14:paraId="65D6A67A" w14:textId="26C9AD81" w:rsidR="00801461" w:rsidRPr="002277DB" w:rsidRDefault="00801461" w:rsidP="003E2948">
      <w:r w:rsidRPr="002277DB">
        <w:t>The prevalence of FN</w:t>
      </w:r>
      <w:r>
        <w:t>S</w:t>
      </w:r>
      <w:r w:rsidRPr="002277DB">
        <w:t>D in emergency departments (</w:t>
      </w:r>
      <w:r>
        <w:t>ED</w:t>
      </w:r>
      <w:r w:rsidRPr="002277DB">
        <w:t>) is reported to range from 0.4% to 4%</w:t>
      </w:r>
      <w:r>
        <w:t xml:space="preserve"> </w:t>
      </w:r>
      <w:sdt>
        <w:sdtPr>
          <w:rPr>
            <w:color w:val="000000"/>
          </w:rPr>
          <w:tag w:val="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"/>
          <w:id w:val="-801149419"/>
          <w:placeholder>
            <w:docPart w:val="8555CED8CCB94F4DBB11D3EC84546996"/>
          </w:placeholder>
        </w:sdtPr>
        <w:sdtContent>
          <w:r w:rsidR="0047170A" w:rsidRPr="0047170A">
            <w:rPr>
              <w:color w:val="000000"/>
            </w:rPr>
            <w:t>(Stephen et al., 2021; Williams et al., 2001)</w:t>
          </w:r>
        </w:sdtContent>
      </w:sdt>
      <w:r>
        <w:t xml:space="preserve">. </w:t>
      </w:r>
      <w:r w:rsidRPr="002277DB">
        <w:t>FN</w:t>
      </w:r>
      <w:r>
        <w:t>S</w:t>
      </w:r>
      <w:r w:rsidRPr="002277DB">
        <w:t xml:space="preserve">D patients constitute about 9% of all acute neurological admissions </w:t>
      </w:r>
      <w:sdt>
        <w:sdtPr>
          <w:rPr>
            <w:color w:val="000000"/>
          </w:rPr>
          <w:tag w:val="MENDELEY_CITATION_v3_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"/>
          <w:id w:val="-1125849384"/>
          <w:placeholder>
            <w:docPart w:val="2321F980944B2C4D919C82A7D74CB2DA"/>
          </w:placeholder>
        </w:sdtPr>
        <w:sdtContent>
          <w:r w:rsidR="0047170A" w:rsidRPr="0047170A">
            <w:rPr>
              <w:color w:val="000000"/>
            </w:rPr>
            <w:t>(Beharry et al., 2021)</w:t>
          </w:r>
        </w:sdtContent>
      </w:sdt>
      <w:r w:rsidRPr="002277DB">
        <w:t>.</w:t>
      </w:r>
      <w:r>
        <w:t xml:space="preserve"> </w:t>
      </w:r>
      <w:r w:rsidRPr="002277DB">
        <w:t xml:space="preserve">Furthermore, </w:t>
      </w:r>
      <w:r>
        <w:t xml:space="preserve">FS </w:t>
      </w:r>
      <w:r w:rsidRPr="002277DB">
        <w:t xml:space="preserve">account for approximately 10% of all seizures in the </w:t>
      </w:r>
      <w:r>
        <w:t>ED</w:t>
      </w:r>
      <w:r w:rsidRPr="002277DB">
        <w:t xml:space="preserve"> </w:t>
      </w:r>
      <w:sdt>
        <w:sdtPr>
          <w:rPr>
            <w:color w:val="000000"/>
          </w:rPr>
          <w:tag w:val="MENDELEY_CITATION_v3_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"/>
          <w:id w:val="1571773276"/>
          <w:placeholder>
            <w:docPart w:val="2321F980944B2C4D919C82A7D74CB2DA"/>
          </w:placeholder>
        </w:sdtPr>
        <w:sdtContent>
          <w:r w:rsidR="0047170A" w:rsidRPr="0047170A">
            <w:rPr>
              <w:color w:val="000000"/>
            </w:rPr>
            <w:t>(Dickson et al., 2017). Up</w:t>
          </w:r>
        </w:sdtContent>
      </w:sdt>
      <w:r w:rsidRPr="002277DB">
        <w:t xml:space="preserve"> to one-third of patients with </w:t>
      </w:r>
      <w:r>
        <w:t>FS</w:t>
      </w:r>
      <w:r w:rsidRPr="002277DB">
        <w:t xml:space="preserve"> may develop functional status epilepticus, frequently accompanied by </w:t>
      </w:r>
      <w:r>
        <w:t>ED</w:t>
      </w:r>
      <w:r w:rsidRPr="002277DB">
        <w:t xml:space="preserve"> visits </w:t>
      </w:r>
      <w:sdt>
        <w:sdtPr>
          <w:rPr>
            <w:color w:val="000000"/>
          </w:rPr>
          <w:tag w:val="MENDELEY_CITATION_v3_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"/>
          <w:id w:val="1887987179"/>
          <w:placeholder>
            <w:docPart w:val="2321F980944B2C4D919C82A7D74CB2DA"/>
          </w:placeholder>
        </w:sdtPr>
        <w:sdtContent>
          <w:r w:rsidR="0047170A" w:rsidRPr="0047170A">
            <w:rPr>
              <w:color w:val="000000"/>
            </w:rPr>
            <w:t xml:space="preserve">(Reuber, </w:t>
          </w:r>
          <w:proofErr w:type="spellStart"/>
          <w:r w:rsidR="0047170A" w:rsidRPr="0047170A">
            <w:rPr>
              <w:color w:val="000000"/>
            </w:rPr>
            <w:t>Pukrop</w:t>
          </w:r>
          <w:proofErr w:type="spellEnd"/>
          <w:r w:rsidR="0047170A" w:rsidRPr="0047170A">
            <w:rPr>
              <w:color w:val="000000"/>
            </w:rPr>
            <w:t>, Mitchell, et al., 2003)</w:t>
          </w:r>
        </w:sdtContent>
      </w:sdt>
      <w:r w:rsidRPr="002277DB">
        <w:t>.</w:t>
      </w:r>
      <w:r>
        <w:t xml:space="preserve"> </w:t>
      </w:r>
      <w:r w:rsidRPr="002277DB">
        <w:t xml:space="preserve">In cases presenting with </w:t>
      </w:r>
      <w:r>
        <w:t xml:space="preserve">stroke-like, </w:t>
      </w:r>
      <w:r w:rsidRPr="002277DB">
        <w:t xml:space="preserve">acute onset motor or sensory symptoms, up to 25% </w:t>
      </w:r>
      <w:r>
        <w:t xml:space="preserve">turn out to have been due to </w:t>
      </w:r>
      <w:r w:rsidRPr="002277DB">
        <w:t xml:space="preserve">stroke mimics, with roughly </w:t>
      </w:r>
      <w:r>
        <w:t xml:space="preserve">8% </w:t>
      </w:r>
      <w:r w:rsidRPr="002277DB">
        <w:t xml:space="preserve">of these </w:t>
      </w:r>
      <w:r>
        <w:t xml:space="preserve">mimics </w:t>
      </w:r>
      <w:r w:rsidRPr="002277DB">
        <w:t xml:space="preserve">involving </w:t>
      </w:r>
      <w:r>
        <w:t>functional neurological symptoms</w:t>
      </w:r>
      <w:r w:rsidRPr="002277DB">
        <w:t xml:space="preserve"> </w:t>
      </w:r>
      <w:sdt>
        <w:sdtPr>
          <w:rPr>
            <w:color w:val="000000"/>
          </w:rPr>
          <w:tag w:val="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"/>
          <w:id w:val="-1940527215"/>
          <w:placeholder>
            <w:docPart w:val="2321F980944B2C4D919C82A7D74CB2DA"/>
          </w:placeholder>
        </w:sdtPr>
        <w:sdtContent>
          <w:r w:rsidR="0047170A" w:rsidRPr="0047170A">
            <w:rPr>
              <w:color w:val="000000"/>
            </w:rPr>
            <w:t xml:space="preserve">(Barsky et al., 2005; Jones et al., 2020; </w:t>
          </w:r>
          <w:proofErr w:type="spellStart"/>
          <w:r w:rsidR="0047170A" w:rsidRPr="0047170A">
            <w:rPr>
              <w:color w:val="000000"/>
            </w:rPr>
            <w:t>Popkirov</w:t>
          </w:r>
          <w:proofErr w:type="spellEnd"/>
          <w:r w:rsidR="0047170A" w:rsidRPr="0047170A">
            <w:rPr>
              <w:color w:val="000000"/>
            </w:rPr>
            <w:t xml:space="preserve"> et al., 2020)</w:t>
          </w:r>
        </w:sdtContent>
      </w:sdt>
      <w:r>
        <w:rPr>
          <w:color w:val="000000"/>
        </w:rPr>
        <w:t>.</w:t>
      </w:r>
    </w:p>
    <w:p w14:paraId="5E2293F1" w14:textId="77777777" w:rsidR="00801461" w:rsidRDefault="00801461" w:rsidP="00581273">
      <w:pPr>
        <w:pStyle w:val="Heading3"/>
      </w:pPr>
      <w:bookmarkStart w:id="113" w:name="_Toc137504732"/>
      <w:r>
        <w:t>4.1.3 Mis-/ lack of diagnosis</w:t>
      </w:r>
      <w:bookmarkEnd w:id="113"/>
      <w:r>
        <w:t xml:space="preserve"> </w:t>
      </w:r>
    </w:p>
    <w:p w14:paraId="6F927278" w14:textId="2CC4480C" w:rsidR="00801461" w:rsidRPr="002A0E4B" w:rsidRDefault="00801461" w:rsidP="003E2948">
      <w:r w:rsidRPr="002A0E4B">
        <w:t xml:space="preserve">Diagnosing and managing </w:t>
      </w:r>
      <w:r>
        <w:t xml:space="preserve">FNSD </w:t>
      </w:r>
      <w:r w:rsidRPr="002A0E4B">
        <w:t>in emergency care settings can be challenging for several reasons.</w:t>
      </w:r>
      <w:r>
        <w:t xml:space="preserve"> In an acute setting, clinicians</w:t>
      </w:r>
      <w:r w:rsidRPr="002A0E4B">
        <w:t xml:space="preserve"> may struggle to differentiate F</w:t>
      </w:r>
      <w:r>
        <w:t>NSD</w:t>
      </w:r>
      <w:r w:rsidRPr="002A0E4B">
        <w:t xml:space="preserve"> from alternative disorders, </w:t>
      </w:r>
      <w:r>
        <w:t>potentially leading</w:t>
      </w:r>
      <w:r w:rsidRPr="002A0E4B">
        <w:t xml:space="preserve"> to misdiagnosis and delayed or inappropriate treatment </w:t>
      </w:r>
      <w:sdt>
        <w:sdtPr>
          <w:rPr>
            <w:color w:val="000000"/>
          </w:rPr>
          <w:tag w:val="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"/>
          <w:id w:val="-590000583"/>
          <w:placeholder>
            <w:docPart w:val="8555CED8CCB94F4DBB11D3EC84546996"/>
          </w:placeholder>
        </w:sdtPr>
        <w:sdtContent>
          <w:r w:rsidR="0047170A" w:rsidRPr="0047170A">
            <w:rPr>
              <w:color w:val="000000"/>
            </w:rPr>
            <w:t>(Dickson et al., 2017; Finkelstein et al., 2021; Stephen et al., 2021)</w:t>
          </w:r>
        </w:sdtContent>
      </w:sdt>
      <w:r w:rsidRPr="002A0E4B">
        <w:t>.</w:t>
      </w:r>
      <w:r>
        <w:t xml:space="preserve"> D</w:t>
      </w:r>
      <w:r w:rsidRPr="00F07EAC">
        <w:t xml:space="preserve">elays </w:t>
      </w:r>
      <w:r>
        <w:t>in</w:t>
      </w:r>
      <w:r w:rsidRPr="00F07EAC">
        <w:t xml:space="preserve"> </w:t>
      </w:r>
      <w:r>
        <w:t xml:space="preserve">the </w:t>
      </w:r>
      <w:r w:rsidRPr="00F07EAC">
        <w:t>rapid treatment of a neurological emergency could cause permanent brain damage or even death</w:t>
      </w:r>
      <w:r>
        <w:t xml:space="preserve">. </w:t>
      </w:r>
      <w:r w:rsidRPr="002A0E4B">
        <w:t>Additionally, the time constraints and resource limitations typically associated with emergency care settings may further hinder the proper assessment and management of patients with F</w:t>
      </w:r>
      <w:r>
        <w:t xml:space="preserve">NSD </w:t>
      </w:r>
      <w:sdt>
        <w:sdtPr>
          <w:rPr>
            <w:color w:val="000000"/>
          </w:rPr>
          <w:tag w:val="MENDELEY_CITATION_v3_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"/>
          <w:id w:val="-275709393"/>
          <w:placeholder>
            <w:docPart w:val="8555CED8CCB94F4DBB11D3EC84546996"/>
          </w:placeholder>
        </w:sdtPr>
        <w:sdtContent>
          <w:r w:rsidR="0047170A" w:rsidRPr="0047170A">
            <w:rPr>
              <w:color w:val="000000"/>
            </w:rPr>
            <w:t>(J. R. Anderson et al., 2019; Russell et al., 2022)</w:t>
          </w:r>
        </w:sdtContent>
      </w:sdt>
      <w:r>
        <w:t xml:space="preserve">. </w:t>
      </w:r>
      <w:sdt>
        <w:sdtPr>
          <w:rPr>
            <w:color w:val="000000"/>
          </w:rPr>
          <w:tag w:val="MENDELEY_CITATION_v3_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"/>
          <w:id w:val="1890295549"/>
          <w:placeholder>
            <w:docPart w:val="C8AC378ADD4A36438B642FC848097BE5"/>
          </w:placeholder>
        </w:sdtPr>
        <w:sdtContent>
          <w:r w:rsidR="0047170A" w:rsidRPr="0047170A">
            <w:rPr>
              <w:color w:val="000000"/>
            </w:rPr>
            <w:t>Moeller et al. (2008)</w:t>
          </w:r>
        </w:sdtContent>
      </w:sdt>
      <w:r w:rsidRPr="002A0E4B">
        <w:t xml:space="preserve"> found that functional disorders were the leading cause of misdiagnosis in neurological presentations within the </w:t>
      </w:r>
      <w:r>
        <w:t>ED</w:t>
      </w:r>
      <w:r w:rsidRPr="002A0E4B">
        <w:t>.</w:t>
      </w:r>
    </w:p>
    <w:p w14:paraId="603E5157" w14:textId="407EF790" w:rsidR="00801461" w:rsidRPr="002A0E4B" w:rsidRDefault="00801461" w:rsidP="003E2948">
      <w:pPr>
        <w:rPr>
          <w:shd w:val="clear" w:color="auto" w:fill="FFFFFF"/>
        </w:rPr>
      </w:pPr>
      <w:r w:rsidRPr="00097482">
        <w:rPr>
          <w:shd w:val="clear" w:color="auto" w:fill="FFFFFF"/>
        </w:rPr>
        <w:t xml:space="preserve">These patients often have a high return rate to healthcare services </w:t>
      </w:r>
      <w:r w:rsidRPr="00097482">
        <w:t>resulting in sustained</w:t>
      </w:r>
      <w:r>
        <w:t xml:space="preserve"> </w:t>
      </w:r>
      <w:r w:rsidRPr="002A0E4B">
        <w:t>increased healthcare</w:t>
      </w:r>
      <w:r>
        <w:t xml:space="preserve"> use and</w:t>
      </w:r>
      <w:r w:rsidRPr="002A0E4B">
        <w:t xml:space="preserve"> costs even </w:t>
      </w:r>
      <w:r>
        <w:t>when the correct diagnosis of FND has been made</w:t>
      </w:r>
      <w:r w:rsidRPr="002A0E4B">
        <w:t xml:space="preserve"> </w:t>
      </w:r>
      <w:sdt>
        <w:sdtPr>
          <w:rPr>
            <w:color w:val="000000"/>
          </w:rPr>
          <w:tag w:val="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"/>
          <w:id w:val="-1374071660"/>
          <w:placeholder>
            <w:docPart w:val="69D690E31ADB9C4E86011D29D6602163"/>
          </w:placeholder>
        </w:sdtPr>
        <w:sdtContent>
          <w:r w:rsidR="0047170A" w:rsidRPr="0047170A">
            <w:rPr>
              <w:color w:val="000000"/>
            </w:rPr>
            <w:t xml:space="preserve">(Barsky et al., 2005; </w:t>
          </w:r>
          <w:proofErr w:type="spellStart"/>
          <w:r w:rsidR="0047170A" w:rsidRPr="0047170A">
            <w:rPr>
              <w:color w:val="000000"/>
            </w:rPr>
            <w:t>Merkler</w:t>
          </w:r>
          <w:proofErr w:type="spellEnd"/>
          <w:r w:rsidR="0047170A" w:rsidRPr="0047170A">
            <w:rPr>
              <w:color w:val="000000"/>
            </w:rPr>
            <w:t xml:space="preserve"> et al., 2016)</w:t>
          </w:r>
        </w:sdtContent>
      </w:sdt>
      <w:r>
        <w:t xml:space="preserve">. </w:t>
      </w:r>
      <w:r w:rsidRPr="002A0E4B">
        <w:rPr>
          <w:shd w:val="clear" w:color="auto" w:fill="FFFFFF"/>
        </w:rPr>
        <w:t xml:space="preserve">However, </w:t>
      </w:r>
      <w:r>
        <w:rPr>
          <w:shd w:val="clear" w:color="auto" w:fill="FFFFFF"/>
        </w:rPr>
        <w:t xml:space="preserve">a </w:t>
      </w:r>
      <w:r w:rsidRPr="002A0E4B">
        <w:rPr>
          <w:shd w:val="clear" w:color="auto" w:fill="FFFFFF"/>
        </w:rPr>
        <w:t xml:space="preserve">shorter time from symptom onset to diagnosis has been demonstrated as an important positive </w:t>
      </w:r>
      <w:r w:rsidRPr="002A0E4B">
        <w:rPr>
          <w:shd w:val="clear" w:color="auto" w:fill="FFFFFF"/>
        </w:rPr>
        <w:lastRenderedPageBreak/>
        <w:t>prognostic factor</w:t>
      </w:r>
      <w:r>
        <w:rPr>
          <w:shd w:val="clear" w:color="auto" w:fill="FFFFFF"/>
        </w:rPr>
        <w:t xml:space="preserve"> </w:t>
      </w:r>
      <w:sdt>
        <w:sdtPr>
          <w:rPr>
            <w:color w:val="000000"/>
            <w:shd w:val="clear" w:color="auto" w:fill="FFFFFF"/>
          </w:rPr>
          <w:tag w:val="MENDELEY_CITATION_v3_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"/>
          <w:id w:val="-650446066"/>
          <w:placeholder>
            <w:docPart w:val="8555CED8CCB94F4DBB11D3EC84546996"/>
          </w:placeholder>
        </w:sdtPr>
        <w:sdtContent>
          <w:r w:rsidR="0047170A" w:rsidRPr="0047170A">
            <w:rPr>
              <w:color w:val="000000"/>
              <w:shd w:val="clear" w:color="auto" w:fill="FFFFFF"/>
            </w:rPr>
            <w:t>(</w:t>
          </w:r>
          <w:proofErr w:type="spellStart"/>
          <w:r w:rsidR="0047170A" w:rsidRPr="0047170A">
            <w:rPr>
              <w:color w:val="000000"/>
              <w:shd w:val="clear" w:color="auto" w:fill="FFFFFF"/>
            </w:rPr>
            <w:t>Gelauff</w:t>
          </w:r>
          <w:proofErr w:type="spellEnd"/>
          <w:r w:rsidR="0047170A" w:rsidRPr="0047170A">
            <w:rPr>
              <w:color w:val="000000"/>
              <w:shd w:val="clear" w:color="auto" w:fill="FFFFFF"/>
            </w:rPr>
            <w:t xml:space="preserve"> et al., 2014)</w:t>
          </w:r>
        </w:sdtContent>
      </w:sdt>
      <w:r>
        <w:rPr>
          <w:shd w:val="clear" w:color="auto" w:fill="FFFFFF"/>
        </w:rPr>
        <w:t xml:space="preserve">, </w:t>
      </w:r>
      <w:r w:rsidRPr="002A0E4B">
        <w:rPr>
          <w:shd w:val="clear" w:color="auto" w:fill="FFFFFF"/>
        </w:rPr>
        <w:t xml:space="preserve">highlighting the importance of </w:t>
      </w:r>
      <w:r>
        <w:rPr>
          <w:shd w:val="clear" w:color="auto" w:fill="FFFFFF"/>
        </w:rPr>
        <w:t xml:space="preserve">better </w:t>
      </w:r>
      <w:r w:rsidRPr="002A0E4B">
        <w:rPr>
          <w:shd w:val="clear" w:color="auto" w:fill="FFFFFF"/>
        </w:rPr>
        <w:t>identif</w:t>
      </w:r>
      <w:r>
        <w:rPr>
          <w:shd w:val="clear" w:color="auto" w:fill="FFFFFF"/>
        </w:rPr>
        <w:t>ication of</w:t>
      </w:r>
      <w:r w:rsidRPr="002A0E4B">
        <w:rPr>
          <w:shd w:val="clear" w:color="auto" w:fill="FFFFFF"/>
        </w:rPr>
        <w:t xml:space="preserve"> these patients in an acute care setting.</w:t>
      </w:r>
      <w:r>
        <w:rPr>
          <w:shd w:val="clear" w:color="auto" w:fill="FFFFFF"/>
        </w:rPr>
        <w:t xml:space="preserve"> </w:t>
      </w:r>
    </w:p>
    <w:p w14:paraId="51C3583C" w14:textId="651AD0A0" w:rsidR="00801461" w:rsidRPr="002A0E4B" w:rsidRDefault="00801461" w:rsidP="003E2948">
      <w:r w:rsidRPr="002A0E4B">
        <w:t xml:space="preserve">Various studies have reported the prevalence of </w:t>
      </w:r>
      <w:r>
        <w:t>FNSD</w:t>
      </w:r>
      <w:r w:rsidRPr="002A0E4B">
        <w:t xml:space="preserve"> misdiagnosis for other neurological disorders (and notably, the reverse) or delayed diagnosis in acute settings</w:t>
      </w:r>
      <w:r>
        <w:t xml:space="preserve"> </w:t>
      </w:r>
      <w:r w:rsidRPr="002A0E4B">
        <w:t xml:space="preserve"> </w:t>
      </w:r>
      <w:sdt>
        <w:sdtPr>
          <w:rPr>
            <w:color w:val="000000"/>
          </w:rPr>
          <w:tag w:val="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"/>
          <w:id w:val="1369115002"/>
          <w:placeholder>
            <w:docPart w:val="8555CED8CCB94F4DBB11D3EC84546996"/>
          </w:placeholder>
        </w:sdtPr>
        <w:sdtContent>
          <w:r w:rsidR="0047170A" w:rsidRPr="0047170A">
            <w:rPr>
              <w:color w:val="000000"/>
            </w:rPr>
            <w:t>(</w:t>
          </w:r>
          <w:proofErr w:type="spellStart"/>
          <w:r w:rsidR="0047170A" w:rsidRPr="0047170A">
            <w:rPr>
              <w:color w:val="000000"/>
            </w:rPr>
            <w:t>Dworetzky</w:t>
          </w:r>
          <w:proofErr w:type="spellEnd"/>
          <w:r w:rsidR="0047170A" w:rsidRPr="0047170A">
            <w:rPr>
              <w:color w:val="000000"/>
            </w:rPr>
            <w:t xml:space="preserve"> et al., 2015; </w:t>
          </w:r>
          <w:proofErr w:type="spellStart"/>
          <w:r w:rsidR="0047170A" w:rsidRPr="0047170A">
            <w:rPr>
              <w:color w:val="000000"/>
            </w:rPr>
            <w:t>Jungilligens</w:t>
          </w:r>
          <w:proofErr w:type="spellEnd"/>
          <w:r w:rsidR="0047170A" w:rsidRPr="0047170A">
            <w:rPr>
              <w:color w:val="000000"/>
            </w:rPr>
            <w:t xml:space="preserve"> et al., 2021; Mezouar et al., 2021; </w:t>
          </w:r>
          <w:proofErr w:type="spellStart"/>
          <w:r w:rsidR="0047170A" w:rsidRPr="0047170A">
            <w:rPr>
              <w:color w:val="000000"/>
            </w:rPr>
            <w:t>Walzl</w:t>
          </w:r>
          <w:proofErr w:type="spellEnd"/>
          <w:r w:rsidR="0047170A" w:rsidRPr="0047170A">
            <w:rPr>
              <w:color w:val="000000"/>
            </w:rPr>
            <w:t xml:space="preserve"> et al., 2022)</w:t>
          </w:r>
        </w:sdtContent>
      </w:sdt>
      <w:r w:rsidRPr="002A0E4B">
        <w:t>.</w:t>
      </w:r>
      <w:r>
        <w:t xml:space="preserve"> 2</w:t>
      </w:r>
      <w:r w:rsidRPr="002A0E4B">
        <w:t xml:space="preserve">5% of patients presenting with refractory status epilepticus requiring intensive care unit (ICU) admission were found to ultimately have </w:t>
      </w:r>
      <w:r>
        <w:t>functional</w:t>
      </w:r>
      <w:r w:rsidRPr="002A0E4B">
        <w:t xml:space="preserve"> seizures rather than epilepsy </w:t>
      </w:r>
      <w:sdt>
        <w:sdtPr>
          <w:rPr>
            <w:color w:val="000000"/>
          </w:rPr>
          <w:tag w:val="MENDELEY_CITATION_v3_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"/>
          <w:id w:val="1454837488"/>
          <w:placeholder>
            <w:docPart w:val="8555CED8CCB94F4DBB11D3EC84546996"/>
          </w:placeholder>
        </w:sdtPr>
        <w:sdtContent>
          <w:r w:rsidR="0047170A" w:rsidRPr="0047170A">
            <w:rPr>
              <w:color w:val="000000"/>
            </w:rPr>
            <w:t>(M. C. Walker et al., 1996)</w:t>
          </w:r>
        </w:sdtContent>
      </w:sdt>
      <w:r w:rsidRPr="002A0E4B">
        <w:t>.</w:t>
      </w:r>
      <w:r>
        <w:t xml:space="preserve"> </w:t>
      </w:r>
      <w:r w:rsidRPr="002A0E4B">
        <w:t xml:space="preserve">To effectively manage suspected </w:t>
      </w:r>
      <w:r>
        <w:t>FNSD</w:t>
      </w:r>
      <w:r w:rsidRPr="002A0E4B">
        <w:t xml:space="preserve"> in the </w:t>
      </w:r>
      <w:r>
        <w:t>ED</w:t>
      </w:r>
      <w:r w:rsidRPr="002A0E4B">
        <w:t xml:space="preserve">, it is necessary to disclose the possible/likely diagnosis, avoid unnecessary investigations, prevent iatrogenic harm, and refer the patient for </w:t>
      </w:r>
      <w:r>
        <w:t xml:space="preserve">appropriate </w:t>
      </w:r>
      <w:r w:rsidRPr="002A0E4B">
        <w:t xml:space="preserve">follow-up treatment </w:t>
      </w:r>
      <w:sdt>
        <w:sdtPr>
          <w:tag w:val="MENDELEY_CITATION_v3_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"/>
          <w:id w:val="724878219"/>
          <w:placeholder>
            <w:docPart w:val="8555CED8CCB94F4DBB11D3EC84546996"/>
          </w:placeholder>
        </w:sdtPr>
        <w:sdtContent>
          <w:r w:rsidR="0047170A">
            <w:rPr>
              <w:rFonts w:eastAsia="Times New Roman"/>
            </w:rPr>
            <w:t>(Stone &amp; Carson, 2015)</w:t>
          </w:r>
        </w:sdtContent>
      </w:sdt>
      <w:r w:rsidRPr="002A0E4B">
        <w:t>.</w:t>
      </w:r>
      <w:r>
        <w:t xml:space="preserve"> </w:t>
      </w:r>
      <w:r w:rsidRPr="002A0E4B">
        <w:t xml:space="preserve">Instead, </w:t>
      </w:r>
      <w:r>
        <w:t>initial misdiagnoses in emergency settings are often compounded by referrals for inappropriate investigations</w:t>
      </w:r>
      <w:r w:rsidRPr="002A0E4B">
        <w:t>, delaying treatment and increasing disability</w:t>
      </w:r>
      <w:r>
        <w:t xml:space="preserve"> </w:t>
      </w:r>
      <w:sdt>
        <w:sdtPr>
          <w:rPr>
            <w:color w:val="000000"/>
          </w:rPr>
          <w:tag w:val="MENDELEY_CITATION_v3_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"/>
          <w:id w:val="1732962144"/>
          <w:placeholder>
            <w:docPart w:val="8555CED8CCB94F4DBB11D3EC84546996"/>
          </w:placeholder>
        </w:sdtPr>
        <w:sdtContent>
          <w:r w:rsidR="0047170A" w:rsidRPr="0047170A">
            <w:rPr>
              <w:color w:val="000000"/>
            </w:rPr>
            <w:t>(</w:t>
          </w:r>
          <w:proofErr w:type="spellStart"/>
          <w:r w:rsidR="0047170A" w:rsidRPr="0047170A">
            <w:rPr>
              <w:color w:val="000000"/>
            </w:rPr>
            <w:t>Espay</w:t>
          </w:r>
          <w:proofErr w:type="spellEnd"/>
          <w:r w:rsidR="0047170A" w:rsidRPr="0047170A">
            <w:rPr>
              <w:color w:val="000000"/>
            </w:rPr>
            <w:t xml:space="preserve"> et al., 2009)</w:t>
          </w:r>
        </w:sdtContent>
      </w:sdt>
      <w:r w:rsidRPr="002A0E4B">
        <w:t xml:space="preserve">. </w:t>
      </w:r>
    </w:p>
    <w:p w14:paraId="4E1CE9A3" w14:textId="77777777" w:rsidR="00801461" w:rsidRDefault="00801461" w:rsidP="00581273">
      <w:pPr>
        <w:pStyle w:val="Heading3"/>
      </w:pPr>
      <w:bookmarkStart w:id="114" w:name="_Toc137504733"/>
      <w:r>
        <w:t>4.1.4 Mistreatment</w:t>
      </w:r>
      <w:bookmarkEnd w:id="114"/>
      <w:r>
        <w:t xml:space="preserve"> </w:t>
      </w:r>
    </w:p>
    <w:p w14:paraId="463BE503" w14:textId="01221E10" w:rsidR="00801461" w:rsidRDefault="00801461" w:rsidP="003E2948">
      <w:r>
        <w:t xml:space="preserve">While patients with functional disorders are also heavy users of other healthcare services </w:t>
      </w:r>
      <w:sdt>
        <w:sdtPr>
          <w:rPr>
            <w:color w:val="000000"/>
          </w:rPr>
          <w:tag w:val="MENDELEY_CITATION_v3_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"/>
          <w:id w:val="1617790947"/>
          <w:placeholder>
            <w:docPart w:val="8555CED8CCB94F4DBB11D3EC84546996"/>
          </w:placeholder>
        </w:sdtPr>
        <w:sdtContent>
          <w:r w:rsidR="0047170A" w:rsidRPr="0047170A">
            <w:rPr>
              <w:color w:val="000000"/>
            </w:rPr>
            <w:t>(Gallagher et al., 2013; Reid et al., 2002; Stone et al., 2010),</w:t>
          </w:r>
        </w:sdtContent>
      </w:sdt>
      <w:r>
        <w:t xml:space="preserve"> and their use of emergency services is particularly problematic as it is associated with a particularly high risk of iatrogenic injury. </w:t>
      </w:r>
      <w:sdt>
        <w:sdtPr>
          <w:rPr>
            <w:color w:val="000000"/>
          </w:rPr>
          <w:tag w:val="MENDELEY_CITATION_v3_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"/>
          <w:id w:val="-18544553"/>
          <w:placeholder>
            <w:docPart w:val="EAC88EFCD4383D409921CA41B4D3AF22"/>
          </w:placeholder>
        </w:sdtPr>
        <w:sdtContent>
          <w:r w:rsidR="0047170A" w:rsidRPr="0047170A">
            <w:rPr>
              <w:color w:val="000000"/>
            </w:rPr>
            <w:t>Reuber et al. (2003)</w:t>
          </w:r>
        </w:sdtContent>
      </w:sdt>
      <w:r>
        <w:t xml:space="preserve"> reported that 27% of FS patients were admitted to ICU with refractory seizures, while in another study, </w:t>
      </w:r>
      <w:r w:rsidRPr="00DB1E62">
        <w:t>78.6%</w:t>
      </w:r>
      <w:r>
        <w:t xml:space="preserve"> </w:t>
      </w:r>
      <w:r w:rsidRPr="00DB1E62">
        <w:t xml:space="preserve">of patients with only </w:t>
      </w:r>
      <w:r>
        <w:t>FS</w:t>
      </w:r>
      <w:r w:rsidRPr="00DB1E62">
        <w:t xml:space="preserve"> </w:t>
      </w:r>
      <w:r>
        <w:t xml:space="preserve">were </w:t>
      </w:r>
      <w:r w:rsidRPr="00DB1E62">
        <w:t>treated inappropriately with antiepileptic drugs</w:t>
      </w:r>
      <w:r>
        <w:t xml:space="preserve"> </w:t>
      </w:r>
      <w:sdt>
        <w:sdtPr>
          <w:rPr>
            <w:color w:val="000000"/>
          </w:rPr>
          <w:tag w:val="MENDELEY_CITATION_v3_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"/>
          <w:id w:val="-1024321927"/>
          <w:placeholder>
            <w:docPart w:val="E2A9C0042EEB2347B3AD83CB07FAAB5D"/>
          </w:placeholder>
        </w:sdtPr>
        <w:sdtContent>
          <w:r w:rsidR="0047170A" w:rsidRPr="0047170A">
            <w:rPr>
              <w:color w:val="000000"/>
            </w:rPr>
            <w:t xml:space="preserve">(Reuber, </w:t>
          </w:r>
          <w:proofErr w:type="spellStart"/>
          <w:r w:rsidR="0047170A" w:rsidRPr="0047170A">
            <w:rPr>
              <w:color w:val="000000"/>
            </w:rPr>
            <w:t>Pukrop</w:t>
          </w:r>
          <w:proofErr w:type="spellEnd"/>
          <w:r w:rsidR="0047170A" w:rsidRPr="0047170A">
            <w:rPr>
              <w:color w:val="000000"/>
            </w:rPr>
            <w:t>, Mitchell, et al., 2003)</w:t>
          </w:r>
        </w:sdtContent>
      </w:sdt>
      <w:r>
        <w:t xml:space="preserve">. The mistreatment of misdiagnosed prolonged FS as status epilepticus in an emergency setting has been reported to even cause death </w:t>
      </w:r>
      <w:sdt>
        <w:sdtPr>
          <w:rPr>
            <w:color w:val="000000"/>
          </w:rPr>
          <w:tag w:val="MENDELEY_CITATION_v3_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"/>
          <w:id w:val="1215389001"/>
          <w:placeholder>
            <w:docPart w:val="8555CED8CCB94F4DBB11D3EC84546996"/>
          </w:placeholder>
        </w:sdtPr>
        <w:sdtContent>
          <w:r w:rsidR="0047170A" w:rsidRPr="0047170A">
            <w:rPr>
              <w:color w:val="000000"/>
            </w:rPr>
            <w:t>(Reuber et al., 2004)</w:t>
          </w:r>
        </w:sdtContent>
      </w:sdt>
      <w:r>
        <w:t xml:space="preserve">. </w:t>
      </w:r>
    </w:p>
    <w:p w14:paraId="02CD72EB" w14:textId="77777777" w:rsidR="00801461" w:rsidRDefault="00801461" w:rsidP="00581273">
      <w:pPr>
        <w:pStyle w:val="Heading3"/>
      </w:pPr>
      <w:bookmarkStart w:id="115" w:name="_Toc137504734"/>
      <w:r>
        <w:t>4.1.5 Lack of specialist treatment</w:t>
      </w:r>
      <w:bookmarkEnd w:id="115"/>
      <w:r>
        <w:t xml:space="preserve"> </w:t>
      </w:r>
    </w:p>
    <w:p w14:paraId="1EBE5825" w14:textId="538412DB" w:rsidR="00801461" w:rsidRDefault="00801461" w:rsidP="003E2948">
      <w:r w:rsidRPr="000D4AC7">
        <w:t xml:space="preserve">Access to specialist treatment for </w:t>
      </w:r>
      <w:r>
        <w:t>FNSD</w:t>
      </w:r>
      <w:r w:rsidRPr="000D4AC7">
        <w:t xml:space="preserve"> is often limited by </w:t>
      </w:r>
      <w:r>
        <w:t xml:space="preserve">the geographically patchy coverage and limited capacity of existing </w:t>
      </w:r>
      <w:r w:rsidRPr="000D4AC7">
        <w:t xml:space="preserve">services </w:t>
      </w:r>
      <w:sdt>
        <w:sdtPr>
          <w:rPr>
            <w:color w:val="000000"/>
          </w:rPr>
          <w:tag w:val="MENDELEY_CITATION_v3_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"/>
          <w:id w:val="-1268778507"/>
          <w:placeholder>
            <w:docPart w:val="8555CED8CCB94F4DBB11D3EC84546996"/>
          </w:placeholder>
        </w:sdtPr>
        <w:sdtContent>
          <w:r w:rsidR="0047170A" w:rsidRPr="0047170A">
            <w:rPr>
              <w:color w:val="000000"/>
            </w:rPr>
            <w:t>(A. Carson et al., 2011; Stone et al., 2011)</w:t>
          </w:r>
        </w:sdtContent>
      </w:sdt>
      <w:r w:rsidRPr="000D4AC7">
        <w:t>.</w:t>
      </w:r>
      <w:r>
        <w:t xml:space="preserve"> Healthcare professionals </w:t>
      </w:r>
      <w:r w:rsidRPr="000D4AC7">
        <w:t xml:space="preserve">with expertise in </w:t>
      </w:r>
      <w:r>
        <w:t>FNSD</w:t>
      </w:r>
      <w:r w:rsidRPr="00B134CD">
        <w:t xml:space="preserve"> </w:t>
      </w:r>
      <w:r>
        <w:t>are scarce</w:t>
      </w:r>
      <w:r w:rsidRPr="000D4AC7">
        <w:t>, which c</w:t>
      </w:r>
      <w:r>
        <w:t>an c</w:t>
      </w:r>
      <w:r w:rsidRPr="000D4AC7">
        <w:t xml:space="preserve">ontribute to the inadequate management of the disorder and increased healthcare costs </w:t>
      </w:r>
      <w:sdt>
        <w:sdtPr>
          <w:rPr>
            <w:color w:val="000000"/>
          </w:rPr>
          <w:tag w:val="MENDELEY_CITATION_v3_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"/>
          <w:id w:val="-68048479"/>
          <w:placeholder>
            <w:docPart w:val="8555CED8CCB94F4DBB11D3EC84546996"/>
          </w:placeholder>
        </w:sdtPr>
        <w:sdtContent>
          <w:r w:rsidR="0047170A" w:rsidRPr="0047170A">
            <w:rPr>
              <w:color w:val="000000"/>
            </w:rPr>
            <w:t>(</w:t>
          </w:r>
          <w:proofErr w:type="spellStart"/>
          <w:r w:rsidR="0047170A" w:rsidRPr="0047170A">
            <w:rPr>
              <w:color w:val="000000"/>
            </w:rPr>
            <w:t>Espay</w:t>
          </w:r>
          <w:proofErr w:type="spellEnd"/>
          <w:r w:rsidR="0047170A" w:rsidRPr="0047170A">
            <w:rPr>
              <w:color w:val="000000"/>
            </w:rPr>
            <w:t xml:space="preserve">, </w:t>
          </w:r>
          <w:proofErr w:type="spellStart"/>
          <w:r w:rsidR="0047170A" w:rsidRPr="0047170A">
            <w:rPr>
              <w:color w:val="000000"/>
            </w:rPr>
            <w:t>Aybek</w:t>
          </w:r>
          <w:proofErr w:type="spellEnd"/>
          <w:r w:rsidR="0047170A" w:rsidRPr="0047170A">
            <w:rPr>
              <w:color w:val="000000"/>
            </w:rPr>
            <w:t>, et al., 2018)</w:t>
          </w:r>
        </w:sdtContent>
      </w:sdt>
      <w:r w:rsidRPr="000D4AC7">
        <w:t xml:space="preserve">. </w:t>
      </w:r>
    </w:p>
    <w:p w14:paraId="074854D2" w14:textId="6CDAD602" w:rsidR="00801461" w:rsidRDefault="00801461" w:rsidP="003E2948">
      <w:r>
        <w:t xml:space="preserve">Furthermore, the acute setting rarely addresses psychiatric or psychological factors contributing to emergency service use </w:t>
      </w:r>
      <w:sdt>
        <w:sdtPr>
          <w:tag w:val="MENDELEY_CITATION_v3_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"/>
          <w:id w:val="-514300514"/>
          <w:placeholder>
            <w:docPart w:val="8555CED8CCB94F4DBB11D3EC84546996"/>
          </w:placeholder>
        </w:sdtPr>
        <w:sdtContent>
          <w:r w:rsidR="0047170A">
            <w:rPr>
              <w:rFonts w:eastAsia="Times New Roman"/>
            </w:rPr>
            <w:t>(Cock &amp; Edwards, 2018)</w:t>
          </w:r>
        </w:sdtContent>
      </w:sdt>
      <w:r>
        <w:t xml:space="preserve">, and the repeated involvement of emergency services often exacerbate functional disorders </w:t>
      </w:r>
      <w:sdt>
        <w:sdtPr>
          <w:tag w:val="MENDELEY_CITATION_v3_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"/>
          <w:id w:val="-2104796091"/>
          <w:placeholder>
            <w:docPart w:val="8555CED8CCB94F4DBB11D3EC84546996"/>
          </w:placeholder>
        </w:sdtPr>
        <w:sdtContent>
          <w:r w:rsidR="0047170A">
            <w:rPr>
              <w:rFonts w:eastAsia="Times New Roman"/>
            </w:rPr>
            <w:t xml:space="preserve">(Page &amp; </w:t>
          </w:r>
          <w:proofErr w:type="spellStart"/>
          <w:r w:rsidR="0047170A">
            <w:rPr>
              <w:rFonts w:eastAsia="Times New Roman"/>
            </w:rPr>
            <w:t>Wessely</w:t>
          </w:r>
          <w:proofErr w:type="spellEnd"/>
          <w:r w:rsidR="0047170A">
            <w:rPr>
              <w:rFonts w:eastAsia="Times New Roman"/>
            </w:rPr>
            <w:t>, 2003)</w:t>
          </w:r>
        </w:sdtContent>
      </w:sdt>
      <w:r>
        <w:t xml:space="preserve">. As such, the high costs associated with emergency care use by </w:t>
      </w:r>
      <w:r>
        <w:lastRenderedPageBreak/>
        <w:t xml:space="preserve">patients with functional disorders should be of considerable concern </w:t>
      </w:r>
      <w:sdt>
        <w:sdtPr>
          <w:tag w:val="MENDELEY_CITATION_v3_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"/>
          <w:id w:val="-2113041031"/>
          <w:placeholder>
            <w:docPart w:val="8555CED8CCB94F4DBB11D3EC84546996"/>
          </w:placeholder>
        </w:sdtPr>
        <w:sdtContent>
          <w:r w:rsidR="0047170A">
            <w:rPr>
              <w:rFonts w:eastAsia="Times New Roman"/>
            </w:rPr>
            <w:t>(Barsky et al., 2005; Cock &amp; Edwards, 2018)</w:t>
          </w:r>
        </w:sdtContent>
      </w:sdt>
      <w:r>
        <w:t>.</w:t>
      </w:r>
    </w:p>
    <w:p w14:paraId="7CEAAA71" w14:textId="77777777" w:rsidR="00801461" w:rsidRPr="00553332" w:rsidRDefault="00801461" w:rsidP="00581273">
      <w:pPr>
        <w:pStyle w:val="Heading3"/>
      </w:pPr>
      <w:bookmarkStart w:id="116" w:name="_Toc137504735"/>
      <w:r>
        <w:t xml:space="preserve">4.1.6 </w:t>
      </w:r>
      <w:r w:rsidRPr="00553332">
        <w:t xml:space="preserve">Financial </w:t>
      </w:r>
      <w:r>
        <w:t>I</w:t>
      </w:r>
      <w:r w:rsidRPr="00553332">
        <w:t>mplication</w:t>
      </w:r>
      <w:r>
        <w:t>s</w:t>
      </w:r>
      <w:bookmarkEnd w:id="116"/>
    </w:p>
    <w:p w14:paraId="5199AD0E" w14:textId="2E7869D3" w:rsidR="00801461" w:rsidRDefault="00801461" w:rsidP="003E2948">
      <w:r>
        <w:t xml:space="preserve">Quantifying the health care costs associated with FNSDs is difficult, especially considering the poor coding and complexities of the disorder and the substantial delays to diagnosis. Several studies have investigated the costs of conditions associated with or overlapping with FNSDs, such as somatisation (functional somatic symptoms involving multiple or other organ systems) </w:t>
      </w:r>
      <w:sdt>
        <w:sdtPr>
          <w:rPr>
            <w:color w:val="000000"/>
          </w:rPr>
          <w:tag w:val="MENDELEY_CITATION_v3_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"/>
          <w:id w:val="860394573"/>
          <w:placeholder>
            <w:docPart w:val="8555CED8CCB94F4DBB11D3EC84546996"/>
          </w:placeholder>
        </w:sdtPr>
        <w:sdtContent>
          <w:r w:rsidR="0047170A" w:rsidRPr="0047170A">
            <w:rPr>
              <w:color w:val="000000"/>
            </w:rPr>
            <w:t>(</w:t>
          </w:r>
          <w:proofErr w:type="spellStart"/>
          <w:r w:rsidR="0047170A" w:rsidRPr="0047170A">
            <w:rPr>
              <w:color w:val="000000"/>
            </w:rPr>
            <w:t>Konnopka</w:t>
          </w:r>
          <w:proofErr w:type="spellEnd"/>
          <w:r w:rsidR="0047170A" w:rsidRPr="0047170A">
            <w:rPr>
              <w:color w:val="000000"/>
            </w:rPr>
            <w:t xml:space="preserve"> et al., 2012)</w:t>
          </w:r>
        </w:sdtContent>
      </w:sdt>
      <w:r>
        <w:t xml:space="preserve">. Somatisation is estimated to cost the UK economy £18 billion per year </w:t>
      </w:r>
      <w:sdt>
        <w:sdtPr>
          <w:rPr>
            <w:color w:val="000000"/>
          </w:rPr>
          <w:tag w:val="MENDELEY_CITATION_v3_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"/>
          <w:id w:val="-1442833151"/>
          <w:placeholder>
            <w:docPart w:val="8555CED8CCB94F4DBB11D3EC84546996"/>
          </w:placeholder>
        </w:sdtPr>
        <w:sdtContent>
          <w:r w:rsidR="0047170A" w:rsidRPr="0047170A">
            <w:rPr>
              <w:color w:val="000000"/>
            </w:rPr>
            <w:t>(</w:t>
          </w:r>
          <w:proofErr w:type="spellStart"/>
          <w:r w:rsidR="0047170A" w:rsidRPr="0047170A">
            <w:rPr>
              <w:color w:val="000000"/>
            </w:rPr>
            <w:t>Bermingham</w:t>
          </w:r>
          <w:proofErr w:type="spellEnd"/>
          <w:r w:rsidR="0047170A" w:rsidRPr="0047170A">
            <w:rPr>
              <w:color w:val="000000"/>
            </w:rPr>
            <w:t xml:space="preserve"> et al., 2010)</w:t>
          </w:r>
        </w:sdtContent>
      </w:sdt>
      <w:r>
        <w:t xml:space="preserve">, of which inpatient stays account for more than £600 million per year </w:t>
      </w:r>
      <w:sdt>
        <w:sdtPr>
          <w:rPr>
            <w:color w:val="000000"/>
          </w:rPr>
          <w:tag w:val="MENDELEY_CITATION_v3_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"/>
          <w:id w:val="187964262"/>
          <w:placeholder>
            <w:docPart w:val="8555CED8CCB94F4DBB11D3EC84546996"/>
          </w:placeholder>
        </w:sdtPr>
        <w:sdtContent>
          <w:r w:rsidR="0047170A" w:rsidRPr="0047170A">
            <w:rPr>
              <w:color w:val="000000"/>
            </w:rPr>
            <w:t>(</w:t>
          </w:r>
          <w:proofErr w:type="spellStart"/>
          <w:r w:rsidR="0047170A" w:rsidRPr="0047170A">
            <w:rPr>
              <w:color w:val="000000"/>
            </w:rPr>
            <w:t>Bermingham</w:t>
          </w:r>
          <w:proofErr w:type="spellEnd"/>
          <w:r w:rsidR="0047170A" w:rsidRPr="0047170A">
            <w:rPr>
              <w:color w:val="000000"/>
            </w:rPr>
            <w:t xml:space="preserve"> et al., 2010)</w:t>
          </w:r>
        </w:sdtContent>
      </w:sdt>
      <w:r>
        <w:t xml:space="preserve">.  </w:t>
      </w:r>
    </w:p>
    <w:p w14:paraId="0F90E39B" w14:textId="4B9FCE09" w:rsidR="00801461" w:rsidRPr="002277DB" w:rsidRDefault="00801461" w:rsidP="00B134CD">
      <w:pPr>
        <w:spacing w:after="240"/>
      </w:pPr>
      <w:r w:rsidRPr="002277DB">
        <w:t xml:space="preserve">In 2017, the cost of </w:t>
      </w:r>
      <w:r>
        <w:t>ED</w:t>
      </w:r>
      <w:r w:rsidRPr="002277DB">
        <w:t xml:space="preserve"> treatment </w:t>
      </w:r>
      <w:r>
        <w:t xml:space="preserve">for </w:t>
      </w:r>
      <w:r w:rsidRPr="002277DB">
        <w:t xml:space="preserve">approximately 40,000 adults and children </w:t>
      </w:r>
      <w:r>
        <w:t xml:space="preserve">with FNSD </w:t>
      </w:r>
      <w:r w:rsidRPr="002277DB">
        <w:t xml:space="preserve">in a population of around 130 million </w:t>
      </w:r>
      <w:r>
        <w:t>US</w:t>
      </w:r>
      <w:r w:rsidRPr="002277DB">
        <w:t xml:space="preserve"> citizens reached $163 million, compared to $135 million for refractory epilepsy </w:t>
      </w:r>
      <w:sdt>
        <w:sdtPr>
          <w:rPr>
            <w:color w:val="000000"/>
          </w:rPr>
          <w:tag w:val="MENDELEY_CITATION_v3_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"/>
          <w:id w:val="152104848"/>
          <w:placeholder>
            <w:docPart w:val="F5D7B6963B752C40B85C9FFEA6FF9B4E"/>
          </w:placeholder>
        </w:sdtPr>
        <w:sdtContent>
          <w:r w:rsidR="0047170A" w:rsidRPr="0047170A">
            <w:rPr>
              <w:color w:val="000000"/>
            </w:rPr>
            <w:t>(Stephen et al., 2021).</w:t>
          </w:r>
        </w:sdtContent>
      </w:sdt>
      <w:r w:rsidRPr="002277DB">
        <w:t xml:space="preserve">This heightened </w:t>
      </w:r>
      <w:r>
        <w:t>utilisation</w:t>
      </w:r>
      <w:r w:rsidRPr="002277DB">
        <w:t xml:space="preserve"> </w:t>
      </w:r>
      <w:r>
        <w:t>strains emergency services and</w:t>
      </w:r>
      <w:r w:rsidRPr="002277DB">
        <w:t xml:space="preserve"> has implications </w:t>
      </w:r>
      <w:r>
        <w:t>for</w:t>
      </w:r>
      <w:r w:rsidRPr="002277DB">
        <w:t xml:space="preserve"> the quality of care </w:t>
      </w:r>
      <w:r>
        <w:t>these patients receive</w:t>
      </w:r>
      <w:r w:rsidRPr="002277DB">
        <w:t xml:space="preserve">. </w:t>
      </w:r>
    </w:p>
    <w:p w14:paraId="44786BE7" w14:textId="77777777" w:rsidR="00801461" w:rsidRPr="006516AC" w:rsidRDefault="00801461" w:rsidP="00581273">
      <w:pPr>
        <w:pStyle w:val="Heading3"/>
      </w:pPr>
      <w:bookmarkStart w:id="117" w:name="_Toc137504736"/>
      <w:r>
        <w:t>4.1.7 Treatment-Related Change</w:t>
      </w:r>
      <w:bookmarkEnd w:id="117"/>
    </w:p>
    <w:p w14:paraId="5AD05867" w14:textId="2DC31D33" w:rsidR="00801461" w:rsidRPr="00DB1E62" w:rsidRDefault="00801461" w:rsidP="003E2948">
      <w:r w:rsidRPr="00DB1E62">
        <w:t xml:space="preserve">Disorder-adapted therapies such as cognitive-behavioural and </w:t>
      </w:r>
      <w:r>
        <w:t>psychodynamic-based</w:t>
      </w:r>
      <w:r w:rsidRPr="00DB1E62">
        <w:t xml:space="preserve"> therapies are believed to be helpful in a proportion of patients with </w:t>
      </w:r>
      <w:r>
        <w:t>FNSD</w:t>
      </w:r>
      <w:r w:rsidRPr="00DB1E62">
        <w:t xml:space="preserve">, particularly in subpopulations of </w:t>
      </w:r>
      <w:r>
        <w:t>FNSD</w:t>
      </w:r>
      <w:r w:rsidRPr="00DB1E62">
        <w:t xml:space="preserve">, such as those with dissociative seizures or functional movement disorders </w:t>
      </w:r>
      <w:sdt>
        <w:sdtPr>
          <w:tag w:val="MENDELEY_CITATION_v3_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"/>
          <w:id w:val="-84228177"/>
          <w:placeholder>
            <w:docPart w:val="8555CED8CCB94F4DBB11D3EC84546996"/>
          </w:placeholder>
        </w:sdtPr>
        <w:sdtContent>
          <w:r w:rsidR="0047170A">
            <w:rPr>
              <w:rFonts w:eastAsia="Times New Roman"/>
            </w:rPr>
            <w:t>(Goldstein et al., 2010; LaFrance Jr &amp; Friedman, 2009)</w:t>
          </w:r>
        </w:sdtContent>
      </w:sdt>
      <w:r w:rsidRPr="00DB1E62">
        <w:t xml:space="preserve">. </w:t>
      </w:r>
    </w:p>
    <w:p w14:paraId="05DC5F4F" w14:textId="1A936A8C" w:rsidR="00801461" w:rsidRPr="00DB1E62" w:rsidRDefault="00801461" w:rsidP="003E2948">
      <w:r w:rsidRPr="00DB1E62">
        <w:t xml:space="preserve">A study of patients with </w:t>
      </w:r>
      <w:r>
        <w:t>FS</w:t>
      </w:r>
      <w:r w:rsidRPr="00DB1E62">
        <w:t xml:space="preserve"> (n=42) suggested that such interventions can </w:t>
      </w:r>
      <w:r>
        <w:t>impact</w:t>
      </w:r>
      <w:r w:rsidRPr="00DB1E62">
        <w:t xml:space="preserve"> healthcare </w:t>
      </w:r>
      <w:r>
        <w:t>utilisation</w:t>
      </w:r>
      <w:r w:rsidRPr="00DB1E62">
        <w:t xml:space="preserve"> and costs: comparing the 24-month pre-psychotherapy treatment healthcare costs with the 24-month post-treatment costs suggested that costs directly associated with seizures dropped by 95.8% and total healthcare costs were reduced by 63% </w:t>
      </w:r>
      <w:sdt>
        <w:sdtPr>
          <w:rPr>
            <w:color w:val="000000"/>
          </w:rPr>
          <w:tag w:val="MENDELEY_CITATION_v3_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"/>
          <w:id w:val="1154870213"/>
          <w:placeholder>
            <w:docPart w:val="8555CED8CCB94F4DBB11D3EC84546996"/>
          </w:placeholder>
        </w:sdtPr>
        <w:sdtContent>
          <w:r w:rsidR="0047170A" w:rsidRPr="0047170A">
            <w:rPr>
              <w:color w:val="000000"/>
            </w:rPr>
            <w:t>(</w:t>
          </w:r>
          <w:proofErr w:type="spellStart"/>
          <w:r w:rsidR="0047170A" w:rsidRPr="0047170A">
            <w:rPr>
              <w:color w:val="000000"/>
            </w:rPr>
            <w:t>Deleuran</w:t>
          </w:r>
          <w:proofErr w:type="spellEnd"/>
          <w:r w:rsidR="0047170A" w:rsidRPr="0047170A">
            <w:rPr>
              <w:color w:val="000000"/>
            </w:rPr>
            <w:t xml:space="preserve"> et al., 2019)</w:t>
          </w:r>
        </w:sdtContent>
      </w:sdt>
      <w:r>
        <w:rPr>
          <w:color w:val="000000"/>
        </w:rPr>
        <w:t>.</w:t>
      </w:r>
      <w:r w:rsidRPr="00DB1E62">
        <w:t xml:space="preserve"> </w:t>
      </w:r>
    </w:p>
    <w:p w14:paraId="7240FEC9" w14:textId="3526523E" w:rsidR="00801461" w:rsidRDefault="00801461" w:rsidP="003E2948">
      <w:r w:rsidRPr="00DB1E62">
        <w:t xml:space="preserve">The neurology service at Sheffield Teaching Hospitals </w:t>
      </w:r>
      <w:r>
        <w:t xml:space="preserve">(STH) </w:t>
      </w:r>
      <w:r w:rsidRPr="00DB1E62">
        <w:t xml:space="preserve">NHS Foundation Trust has access to a psychotherapy service for patients with </w:t>
      </w:r>
      <w:r>
        <w:t>FNSD</w:t>
      </w:r>
      <w:r w:rsidRPr="00DB1E62">
        <w:t xml:space="preserve"> from South Yorkshire.</w:t>
      </w:r>
      <w:r>
        <w:t xml:space="preserve"> </w:t>
      </w:r>
      <w:r w:rsidRPr="00DB1E62">
        <w:t xml:space="preserve">Previous service evaluations suggest that treatment provided by this service can </w:t>
      </w:r>
      <w:r>
        <w:t xml:space="preserve">reduce </w:t>
      </w:r>
      <w:r w:rsidRPr="00DB1E62">
        <w:t xml:space="preserve">functional symptoms and the number of primary care consultations </w:t>
      </w:r>
      <w:sdt>
        <w:sdtPr>
          <w:rPr>
            <w:color w:val="000000"/>
          </w:rPr>
          <w:tag w:val="MENDELEY_CITATION_v3_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"/>
          <w:id w:val="1184179581"/>
          <w:placeholder>
            <w:docPart w:val="8555CED8CCB94F4DBB11D3EC84546996"/>
          </w:placeholder>
        </w:sdtPr>
        <w:sdtContent>
          <w:r w:rsidR="0047170A" w:rsidRPr="0047170A">
            <w:rPr>
              <w:color w:val="000000"/>
            </w:rPr>
            <w:t xml:space="preserve">(Mayor et al., 2010; Reuber, </w:t>
          </w:r>
          <w:proofErr w:type="spellStart"/>
          <w:r w:rsidR="0047170A" w:rsidRPr="0047170A">
            <w:rPr>
              <w:color w:val="000000"/>
            </w:rPr>
            <w:t>Burness</w:t>
          </w:r>
          <w:proofErr w:type="spellEnd"/>
          <w:r w:rsidR="0047170A" w:rsidRPr="0047170A">
            <w:rPr>
              <w:color w:val="000000"/>
            </w:rPr>
            <w:t>, et al., 2007)</w:t>
          </w:r>
        </w:sdtContent>
      </w:sdt>
      <w:r w:rsidRPr="00DB1E62">
        <w:t>.</w:t>
      </w:r>
      <w:r>
        <w:t xml:space="preserve"> </w:t>
      </w:r>
      <w:r w:rsidRPr="00DB1E62">
        <w:t xml:space="preserve">A positive long-term impact on health has been demonstrated </w:t>
      </w:r>
      <w:sdt>
        <w:sdtPr>
          <w:rPr>
            <w:color w:val="000000"/>
          </w:rPr>
          <w:tag w:val="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"/>
          <w:id w:val="1769280181"/>
          <w:placeholder>
            <w:docPart w:val="8555CED8CCB94F4DBB11D3EC84546996"/>
          </w:placeholder>
        </w:sdtPr>
        <w:sdtContent>
          <w:r w:rsidR="0047170A" w:rsidRPr="0047170A">
            <w:rPr>
              <w:color w:val="000000"/>
            </w:rPr>
            <w:t xml:space="preserve">(Campbell et al., 2013; </w:t>
          </w:r>
          <w:proofErr w:type="spellStart"/>
          <w:r w:rsidR="0047170A" w:rsidRPr="0047170A">
            <w:rPr>
              <w:color w:val="000000"/>
            </w:rPr>
            <w:t>Castelnuovo</w:t>
          </w:r>
          <w:proofErr w:type="spellEnd"/>
          <w:r w:rsidR="0047170A" w:rsidRPr="0047170A">
            <w:rPr>
              <w:color w:val="000000"/>
            </w:rPr>
            <w:t xml:space="preserve">, 2010; </w:t>
          </w:r>
          <w:proofErr w:type="spellStart"/>
          <w:r w:rsidR="0047170A" w:rsidRPr="0047170A">
            <w:rPr>
              <w:color w:val="000000"/>
            </w:rPr>
            <w:t>Dezetter</w:t>
          </w:r>
          <w:proofErr w:type="spellEnd"/>
          <w:r w:rsidR="0047170A" w:rsidRPr="0047170A">
            <w:rPr>
              <w:color w:val="000000"/>
            </w:rPr>
            <w:t xml:space="preserve"> et al., 2013; </w:t>
          </w:r>
          <w:proofErr w:type="spellStart"/>
          <w:r w:rsidR="0047170A" w:rsidRPr="0047170A">
            <w:rPr>
              <w:color w:val="000000"/>
            </w:rPr>
            <w:t>Emmelkamp</w:t>
          </w:r>
          <w:proofErr w:type="spellEnd"/>
          <w:r w:rsidR="0047170A" w:rsidRPr="0047170A">
            <w:rPr>
              <w:color w:val="000000"/>
            </w:rPr>
            <w:t xml:space="preserve"> et al., 2014; </w:t>
          </w:r>
          <w:proofErr w:type="spellStart"/>
          <w:r w:rsidR="0047170A" w:rsidRPr="0047170A">
            <w:rPr>
              <w:color w:val="000000"/>
            </w:rPr>
            <w:t>Mukuria</w:t>
          </w:r>
          <w:proofErr w:type="spellEnd"/>
          <w:r w:rsidR="0047170A" w:rsidRPr="0047170A">
            <w:rPr>
              <w:color w:val="000000"/>
            </w:rPr>
            <w:t xml:space="preserve"> et al., 2013),</w:t>
          </w:r>
        </w:sdtContent>
      </w:sdt>
      <w:r w:rsidRPr="00DB1E62">
        <w:t xml:space="preserve"> and consequently, an estimation of the </w:t>
      </w:r>
      <w:r w:rsidRPr="00DB1E62">
        <w:lastRenderedPageBreak/>
        <w:t xml:space="preserve">long-term clinical and economic benefits of psychotherapy, have led to believe that this treatment is relatively inexpensive and cost-effective </w:t>
      </w:r>
      <w:sdt>
        <w:sdtPr>
          <w:tag w:val="MENDELEY_CITATION_v3_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"/>
          <w:id w:val="-378634652"/>
          <w:placeholder>
            <w:docPart w:val="8555CED8CCB94F4DBB11D3EC84546996"/>
          </w:placeholder>
        </w:sdtPr>
        <w:sdtContent>
          <w:r w:rsidR="0047170A">
            <w:rPr>
              <w:rFonts w:eastAsia="Times New Roman"/>
            </w:rPr>
            <w:t>(Layard &amp; Clark, 2015)</w:t>
          </w:r>
        </w:sdtContent>
      </w:sdt>
      <w:r w:rsidRPr="00DB1E62">
        <w:t>.</w:t>
      </w:r>
    </w:p>
    <w:p w14:paraId="427B61DA" w14:textId="20E33D4F" w:rsidR="00801461" w:rsidRDefault="00801461" w:rsidP="003E2948">
      <w:r w:rsidRPr="00DB1E62">
        <w:t xml:space="preserve">Considering </w:t>
      </w:r>
      <w:r>
        <w:t>the growing</w:t>
      </w:r>
      <w:r w:rsidRPr="00DB1E62">
        <w:t xml:space="preserve"> demand for emergency services across the </w:t>
      </w:r>
      <w:r>
        <w:t>UK</w:t>
      </w:r>
      <w:r w:rsidRPr="00DB1E62">
        <w:t>, there is an increased need to understand how emergency and urgent care services function.</w:t>
      </w:r>
      <w:r>
        <w:t xml:space="preserve"> </w:t>
      </w:r>
      <w:r w:rsidRPr="00DB1E62">
        <w:t xml:space="preserve">The </w:t>
      </w:r>
      <w:r>
        <w:t>C</w:t>
      </w:r>
      <w:r w:rsidRPr="00DB1E62">
        <w:t xml:space="preserve">entre for </w:t>
      </w:r>
      <w:r>
        <w:t>U</w:t>
      </w:r>
      <w:r w:rsidRPr="00DB1E62">
        <w:t xml:space="preserve">rgent and </w:t>
      </w:r>
      <w:r>
        <w:t>E</w:t>
      </w:r>
      <w:r w:rsidRPr="00DB1E62">
        <w:t xml:space="preserve">mergency </w:t>
      </w:r>
      <w:r>
        <w:t>C</w:t>
      </w:r>
      <w:r w:rsidRPr="00DB1E62">
        <w:t xml:space="preserve">are </w:t>
      </w:r>
      <w:r>
        <w:t>R</w:t>
      </w:r>
      <w:r w:rsidRPr="00DB1E62">
        <w:t xml:space="preserve">esearch (CUREd) in Sheffield manages a unique research database that </w:t>
      </w:r>
      <w:r>
        <w:t>provides</w:t>
      </w:r>
      <w:r w:rsidRPr="00DB1E62">
        <w:t xml:space="preserve"> an overview of how patients flow through the services and facilitate</w:t>
      </w:r>
      <w:r>
        <w:t>s</w:t>
      </w:r>
      <w:r w:rsidRPr="00DB1E62">
        <w:t xml:space="preserve"> </w:t>
      </w:r>
      <w:r>
        <w:t xml:space="preserve">the </w:t>
      </w:r>
      <w:r w:rsidRPr="00DB1E62">
        <w:t xml:space="preserve">planning </w:t>
      </w:r>
      <w:r>
        <w:t xml:space="preserve">of </w:t>
      </w:r>
      <w:r w:rsidRPr="00DB1E62">
        <w:t>future service</w:t>
      </w:r>
      <w:r>
        <w:t xml:space="preserve"> developments</w:t>
      </w:r>
      <w:r w:rsidRPr="00DB1E62">
        <w:t>.</w:t>
      </w:r>
      <w:r>
        <w:t xml:space="preserve"> </w:t>
      </w:r>
      <w:r w:rsidRPr="00DB1E62">
        <w:t>The anonymous database was developed as part of the Connected Health Cities (CHC) programme.</w:t>
      </w:r>
      <w:r>
        <w:t xml:space="preserve"> </w:t>
      </w:r>
      <w:r w:rsidRPr="00DB1E62">
        <w:t>The database collates routine NHS patient data from hospitals and emergency and urgent care services across Yorkshire and the Humber region from 2011 to 2017.</w:t>
      </w:r>
      <w:r>
        <w:t xml:space="preserve"> </w:t>
      </w:r>
      <w:r w:rsidRPr="00DB1E62">
        <w:t>These include the Yorkshire Ambulance Service, NHS111, acute NHS trusts</w:t>
      </w:r>
      <w:r>
        <w:t>,</w:t>
      </w:r>
      <w:r w:rsidRPr="00DB1E62">
        <w:t xml:space="preserve"> </w:t>
      </w:r>
      <w:r>
        <w:t>and</w:t>
      </w:r>
      <w:r w:rsidRPr="00DB1E62">
        <w:t xml:space="preserve"> other health service providers.</w:t>
      </w:r>
      <w:r>
        <w:t xml:space="preserve"> </w:t>
      </w:r>
      <w:r w:rsidRPr="00DB1E62">
        <w:t>The database comprises over 15 million patient episodes in emergency care</w:t>
      </w:r>
      <w:r>
        <w:t xml:space="preserve"> services</w:t>
      </w:r>
      <w:r w:rsidRPr="00DB1E62">
        <w:t>.</w:t>
      </w:r>
      <w:r>
        <w:t xml:space="preserve"> </w:t>
      </w:r>
      <w:r w:rsidRPr="00DB1E62">
        <w:t>This rich database allow</w:t>
      </w:r>
      <w:r>
        <w:t>ed</w:t>
      </w:r>
      <w:r w:rsidRPr="00DB1E62">
        <w:t xml:space="preserve"> the present study to explore emergency service </w:t>
      </w:r>
      <w:r>
        <w:t>utilisation</w:t>
      </w:r>
      <w:r w:rsidRPr="00DB1E62">
        <w:t xml:space="preserve"> in </w:t>
      </w:r>
      <w:r>
        <w:t>FNSD</w:t>
      </w:r>
      <w:r w:rsidRPr="00DB1E62">
        <w:t xml:space="preserve"> patients across an entire region </w:t>
      </w:r>
      <w:sdt>
        <w:sdtPr>
          <w:rPr>
            <w:color w:val="000000"/>
          </w:rPr>
          <w:tag w:val="MENDELEY_CITATION_v3_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"/>
          <w:id w:val="-892114163"/>
          <w:placeholder>
            <w:docPart w:val="8555CED8CCB94F4DBB11D3EC84546996"/>
          </w:placeholder>
        </w:sdtPr>
        <w:sdtContent>
          <w:r w:rsidR="0047170A" w:rsidRPr="0047170A">
            <w:rPr>
              <w:color w:val="000000"/>
            </w:rPr>
            <w:t>(CUREd, 2020)</w:t>
          </w:r>
        </w:sdtContent>
      </w:sdt>
      <w:r w:rsidRPr="00DB1E62">
        <w:t>.</w:t>
      </w:r>
    </w:p>
    <w:p w14:paraId="1265B35A" w14:textId="77777777" w:rsidR="00801461" w:rsidRPr="00DB1E62" w:rsidRDefault="00801461" w:rsidP="003E2948">
      <w:r w:rsidRPr="00DB1E62">
        <w:t>Given that the service in Sheffield treats over 200 patients per year, the CHC research database provides a</w:t>
      </w:r>
      <w:r>
        <w:t>n</w:t>
      </w:r>
      <w:r w:rsidRPr="00DB1E62">
        <w:t xml:space="preserve"> opportunity to examine the effects of psychotherapy for </w:t>
      </w:r>
      <w:r>
        <w:t>patients with FNSD</w:t>
      </w:r>
      <w:r w:rsidRPr="00DB1E62">
        <w:t xml:space="preserve"> and </w:t>
      </w:r>
      <w:r>
        <w:t>FS</w:t>
      </w:r>
      <w:r w:rsidRPr="00DB1E62">
        <w:t xml:space="preserve"> on aspects of emergency care use in a large cohort</w:t>
      </w:r>
      <w:r>
        <w:t>. It offers the chance</w:t>
      </w:r>
      <w:r w:rsidRPr="00DB1E62">
        <w:t xml:space="preserve"> to </w:t>
      </w:r>
      <w:r>
        <w:t>explore</w:t>
      </w:r>
      <w:r w:rsidRPr="00DB1E62">
        <w:t xml:space="preserve"> </w:t>
      </w:r>
      <w:r>
        <w:t xml:space="preserve">treatment-related change </w:t>
      </w:r>
      <w:r w:rsidRPr="00DB1E62">
        <w:t xml:space="preserve">and </w:t>
      </w:r>
      <w:r>
        <w:t xml:space="preserve">the </w:t>
      </w:r>
      <w:r w:rsidRPr="00DB1E62">
        <w:t xml:space="preserve">cost-effectiveness </w:t>
      </w:r>
      <w:r>
        <w:t>of</w:t>
      </w:r>
      <w:r w:rsidRPr="00DB1E62">
        <w:t xml:space="preserve"> psychotherapeutic intervention</w:t>
      </w:r>
      <w:r>
        <w:t>s</w:t>
      </w:r>
      <w:r w:rsidRPr="00DB1E62">
        <w:t xml:space="preserve"> in these patients. </w:t>
      </w:r>
    </w:p>
    <w:p w14:paraId="629E3E4A" w14:textId="77777777" w:rsidR="00801461" w:rsidRDefault="00801461" w:rsidP="003E2948">
      <w:r w:rsidRPr="00DB1E62">
        <w:t xml:space="preserve">A tailored health service for </w:t>
      </w:r>
      <w:r>
        <w:t>FNSD</w:t>
      </w:r>
      <w:r w:rsidRPr="00DB1E62">
        <w:t xml:space="preserve"> may reduce emergency care </w:t>
      </w:r>
      <w:r>
        <w:t>utilisation</w:t>
      </w:r>
      <w:r w:rsidRPr="00DB1E62">
        <w:t xml:space="preserve"> by this patient group, lowering </w:t>
      </w:r>
      <w:r>
        <w:t xml:space="preserve">total </w:t>
      </w:r>
      <w:r w:rsidRPr="00DB1E62">
        <w:t>healthcare costs.</w:t>
      </w:r>
      <w:r>
        <w:t xml:space="preserve"> I</w:t>
      </w:r>
      <w:r w:rsidRPr="00DB1E62">
        <w:t xml:space="preserve">n a resource-constrained health service, the survival and further expansion of the local psychotherapy service </w:t>
      </w:r>
      <w:r>
        <w:t>and other similar services depend</w:t>
      </w:r>
      <w:r w:rsidRPr="00DB1E62">
        <w:t xml:space="preserve"> on </w:t>
      </w:r>
      <w:r>
        <w:t>successfully demonstrating</w:t>
      </w:r>
      <w:r w:rsidRPr="00DB1E62">
        <w:t xml:space="preserve"> treatment-associated improvements.</w:t>
      </w:r>
    </w:p>
    <w:p w14:paraId="04BEA60A" w14:textId="77777777" w:rsidR="00801461" w:rsidRPr="00DB1E62" w:rsidRDefault="00801461" w:rsidP="00581273">
      <w:pPr>
        <w:pStyle w:val="Heading3"/>
      </w:pPr>
      <w:bookmarkStart w:id="118" w:name="_Toc137504737"/>
      <w:r>
        <w:t>4.1.8 Emergency Service Use as an Outcome Measure</w:t>
      </w:r>
      <w:bookmarkEnd w:id="118"/>
    </w:p>
    <w:p w14:paraId="20F472B9" w14:textId="77777777" w:rsidR="00801461" w:rsidRPr="007647E8" w:rsidRDefault="00801461" w:rsidP="0048070E">
      <w:r>
        <w:t xml:space="preserve">Although patients with FNSDs have previously been reported to be high users of emergency care services, the nature and extent of use and how these change with specialised intervention for this group is yet to be explored. Investigations may offer insight into moderators of use and whether changes in utilisation patterns can be used as a viable marker of health in FNSD and indicate clinically meaningful change. Investigations may also help manage FNSDs, allocate resources to improve QOL and reduce health-associated costs to society/NHS. </w:t>
      </w:r>
    </w:p>
    <w:p w14:paraId="5CE1F9AC" w14:textId="77777777" w:rsidR="00801461" w:rsidRDefault="00801461" w:rsidP="00581273">
      <w:pPr>
        <w:pStyle w:val="Heading3"/>
      </w:pPr>
      <w:bookmarkStart w:id="119" w:name="_Toc137504738"/>
      <w:r>
        <w:lastRenderedPageBreak/>
        <w:t>4.1.9 Time Series Analysis</w:t>
      </w:r>
      <w:bookmarkEnd w:id="119"/>
      <w:r>
        <w:t xml:space="preserve"> </w:t>
      </w:r>
    </w:p>
    <w:p w14:paraId="64342CD9" w14:textId="3F5181D1" w:rsidR="00801461" w:rsidRPr="0012632C" w:rsidRDefault="00801461" w:rsidP="0012632C">
      <w:pPr>
        <w:rPr>
          <w:shd w:val="clear" w:color="auto" w:fill="FFFFFF"/>
        </w:rPr>
      </w:pPr>
      <w:r w:rsidRPr="0012632C">
        <w:rPr>
          <w:shd w:val="clear" w:color="auto" w:fill="FFFFFF"/>
        </w:rPr>
        <w:t>Thorough evaluations form the foundation of evidence-based healthcare.</w:t>
      </w:r>
      <w:r>
        <w:rPr>
          <w:shd w:val="clear" w:color="auto" w:fill="FFFFFF"/>
        </w:rPr>
        <w:t xml:space="preserve"> </w:t>
      </w:r>
      <w:r w:rsidRPr="0012632C">
        <w:rPr>
          <w:shd w:val="clear" w:color="auto" w:fill="FFFFFF"/>
        </w:rPr>
        <w:t xml:space="preserve">While </w:t>
      </w:r>
      <w:r>
        <w:rPr>
          <w:shd w:val="clear" w:color="auto" w:fill="FFFFFF"/>
        </w:rPr>
        <w:t>randomised</w:t>
      </w:r>
      <w:r w:rsidRPr="0012632C">
        <w:rPr>
          <w:shd w:val="clear" w:color="auto" w:fill="FFFFFF"/>
        </w:rPr>
        <w:t xml:space="preserve"> controlled trials (RCTs) are deemed the gold standard for assessing an </w:t>
      </w:r>
      <w:r>
        <w:rPr>
          <w:shd w:val="clear" w:color="auto" w:fill="FFFFFF"/>
        </w:rPr>
        <w:t>intervention's</w:t>
      </w:r>
      <w:r w:rsidRPr="0012632C">
        <w:rPr>
          <w:shd w:val="clear" w:color="auto" w:fill="FFFFFF"/>
        </w:rPr>
        <w:t xml:space="preserve"> causal effect, they do have limitations</w:t>
      </w:r>
      <w:r>
        <w:rPr>
          <w:shd w:val="clear" w:color="auto" w:fill="FFFFFF"/>
        </w:rPr>
        <w:t xml:space="preserve">. These include </w:t>
      </w:r>
      <w:r w:rsidRPr="0012632C">
        <w:rPr>
          <w:shd w:val="clear" w:color="auto" w:fill="FFFFFF"/>
        </w:rPr>
        <w:t>high costs, ethical concerns, or impractical</w:t>
      </w:r>
      <w:r>
        <w:rPr>
          <w:shd w:val="clear" w:color="auto" w:fill="FFFFFF"/>
        </w:rPr>
        <w:t>ities</w:t>
      </w:r>
      <w:r w:rsidRPr="0012632C">
        <w:rPr>
          <w:shd w:val="clear" w:color="auto" w:fill="FFFFFF"/>
        </w:rPr>
        <w:t xml:space="preserve"> to conduct </w:t>
      </w:r>
      <w:sdt>
        <w:sdtPr>
          <w:rPr>
            <w:color w:val="000000"/>
            <w:shd w:val="clear" w:color="auto" w:fill="FFFFFF"/>
          </w:rPr>
          <w:tag w:val="MENDELEY_CITATION_v3_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"/>
          <w:id w:val="478044115"/>
          <w:placeholder>
            <w:docPart w:val="8555CED8CCB94F4DBB11D3EC84546996"/>
          </w:placeholder>
        </w:sdtPr>
        <w:sdtContent>
          <w:r w:rsidR="0047170A" w:rsidRPr="0047170A">
            <w:rPr>
              <w:color w:val="000000"/>
              <w:shd w:val="clear" w:color="auto" w:fill="FFFFFF"/>
            </w:rPr>
            <w:t xml:space="preserve">(Black, 1996; Grimshaw et al., 2000; </w:t>
          </w:r>
          <w:proofErr w:type="spellStart"/>
          <w:r w:rsidR="0047170A" w:rsidRPr="0047170A">
            <w:rPr>
              <w:color w:val="000000"/>
              <w:shd w:val="clear" w:color="auto" w:fill="FFFFFF"/>
            </w:rPr>
            <w:t>Kontopantelis</w:t>
          </w:r>
          <w:proofErr w:type="spellEnd"/>
          <w:r w:rsidR="0047170A" w:rsidRPr="0047170A">
            <w:rPr>
              <w:color w:val="000000"/>
              <w:shd w:val="clear" w:color="auto" w:fill="FFFFFF"/>
            </w:rPr>
            <w:t xml:space="preserve"> et al., 2015)</w:t>
          </w:r>
        </w:sdtContent>
      </w:sdt>
      <w:r w:rsidRPr="0012632C">
        <w:rPr>
          <w:shd w:val="clear" w:color="auto" w:fill="FFFFFF"/>
        </w:rPr>
        <w:t>.</w:t>
      </w:r>
      <w:r>
        <w:rPr>
          <w:shd w:val="clear" w:color="auto" w:fill="FFFFFF"/>
        </w:rPr>
        <w:t xml:space="preserve"> </w:t>
      </w:r>
      <w:r w:rsidRPr="0012632C">
        <w:rPr>
          <w:shd w:val="clear" w:color="auto" w:fill="FFFFFF"/>
        </w:rPr>
        <w:t xml:space="preserve">Quasi-experimental research </w:t>
      </w:r>
      <w:r>
        <w:rPr>
          <w:shd w:val="clear" w:color="auto" w:fill="FFFFFF"/>
        </w:rPr>
        <w:t>does</w:t>
      </w:r>
      <w:r w:rsidRPr="0012632C">
        <w:rPr>
          <w:shd w:val="clear" w:color="auto" w:fill="FFFFFF"/>
        </w:rPr>
        <w:t xml:space="preserve"> not use </w:t>
      </w:r>
      <w:r>
        <w:rPr>
          <w:shd w:val="clear" w:color="auto" w:fill="FFFFFF"/>
        </w:rPr>
        <w:t>randomisation</w:t>
      </w:r>
      <w:r w:rsidRPr="0012632C">
        <w:rPr>
          <w:shd w:val="clear" w:color="auto" w:fill="FFFFFF"/>
        </w:rPr>
        <w:t xml:space="preserve"> and often </w:t>
      </w:r>
      <w:r>
        <w:rPr>
          <w:shd w:val="clear" w:color="auto" w:fill="FFFFFF"/>
        </w:rPr>
        <w:t>utilises</w:t>
      </w:r>
      <w:r w:rsidRPr="0012632C">
        <w:rPr>
          <w:shd w:val="clear" w:color="auto" w:fill="FFFFFF"/>
        </w:rPr>
        <w:t xml:space="preserve"> pre- and post-intervention data, offer</w:t>
      </w:r>
      <w:r>
        <w:rPr>
          <w:shd w:val="clear" w:color="auto" w:fill="FFFFFF"/>
        </w:rPr>
        <w:t>ing</w:t>
      </w:r>
      <w:r w:rsidRPr="0012632C">
        <w:rPr>
          <w:shd w:val="clear" w:color="auto" w:fill="FFFFFF"/>
        </w:rPr>
        <w:t xml:space="preserve"> a</w:t>
      </w:r>
      <w:r>
        <w:rPr>
          <w:shd w:val="clear" w:color="auto" w:fill="FFFFFF"/>
        </w:rPr>
        <w:t>n</w:t>
      </w:r>
      <w:r w:rsidRPr="0012632C">
        <w:rPr>
          <w:shd w:val="clear" w:color="auto" w:fill="FFFFFF"/>
        </w:rPr>
        <w:t xml:space="preserve"> alternative</w:t>
      </w:r>
      <w:r>
        <w:rPr>
          <w:shd w:val="clear" w:color="auto" w:fill="FFFFFF"/>
        </w:rPr>
        <w:t xml:space="preserve"> or complementary</w:t>
      </w:r>
      <w:r w:rsidRPr="0012632C">
        <w:rPr>
          <w:shd w:val="clear" w:color="auto" w:fill="FFFFFF"/>
        </w:rPr>
        <w:t xml:space="preserve"> approach.</w:t>
      </w:r>
      <w:r>
        <w:rPr>
          <w:shd w:val="clear" w:color="auto" w:fill="FFFFFF"/>
        </w:rPr>
        <w:t xml:space="preserve"> </w:t>
      </w:r>
      <w:r w:rsidRPr="0012632C">
        <w:rPr>
          <w:shd w:val="clear" w:color="auto" w:fill="FFFFFF"/>
        </w:rPr>
        <w:t xml:space="preserve">Among the various quasi-experimental designs, </w:t>
      </w:r>
      <w:r>
        <w:rPr>
          <w:shd w:val="clear" w:color="auto" w:fill="FFFFFF"/>
        </w:rPr>
        <w:t>I</w:t>
      </w:r>
      <w:r w:rsidRPr="0012632C">
        <w:rPr>
          <w:shd w:val="clear" w:color="auto" w:fill="FFFFFF"/>
        </w:rPr>
        <w:t xml:space="preserve">nterrupted </w:t>
      </w:r>
      <w:r>
        <w:rPr>
          <w:shd w:val="clear" w:color="auto" w:fill="FFFFFF"/>
        </w:rPr>
        <w:t>T</w:t>
      </w:r>
      <w:r w:rsidRPr="0012632C">
        <w:rPr>
          <w:shd w:val="clear" w:color="auto" w:fill="FFFFFF"/>
        </w:rPr>
        <w:t xml:space="preserve">ime </w:t>
      </w:r>
      <w:r>
        <w:rPr>
          <w:shd w:val="clear" w:color="auto" w:fill="FFFFFF"/>
        </w:rPr>
        <w:t>S</w:t>
      </w:r>
      <w:r w:rsidRPr="0012632C">
        <w:rPr>
          <w:shd w:val="clear" w:color="auto" w:fill="FFFFFF"/>
        </w:rPr>
        <w:t>eries (ITS) stan</w:t>
      </w:r>
      <w:r>
        <w:rPr>
          <w:shd w:val="clear" w:color="auto" w:fill="FFFFFF"/>
        </w:rPr>
        <w:t>d</w:t>
      </w:r>
      <w:r w:rsidRPr="0012632C">
        <w:rPr>
          <w:shd w:val="clear" w:color="auto" w:fill="FFFFFF"/>
        </w:rPr>
        <w:t xml:space="preserve"> out as a </w:t>
      </w:r>
      <w:r>
        <w:rPr>
          <w:shd w:val="clear" w:color="auto" w:fill="FFFFFF"/>
        </w:rPr>
        <w:t xml:space="preserve">particularly </w:t>
      </w:r>
      <w:r w:rsidRPr="0012632C">
        <w:rPr>
          <w:shd w:val="clear" w:color="auto" w:fill="FFFFFF"/>
        </w:rPr>
        <w:t xml:space="preserve">robust </w:t>
      </w:r>
      <w:r>
        <w:rPr>
          <w:shd w:val="clear" w:color="auto" w:fill="FFFFFF"/>
        </w:rPr>
        <w:t>approach</w:t>
      </w:r>
      <w:r w:rsidRPr="0012632C">
        <w:rPr>
          <w:shd w:val="clear" w:color="auto" w:fill="FFFFFF"/>
        </w:rPr>
        <w:t xml:space="preserve"> </w:t>
      </w:r>
      <w:sdt>
        <w:sdtPr>
          <w:rPr>
            <w:color w:val="000000"/>
            <w:shd w:val="clear" w:color="auto" w:fill="FFFFFF"/>
          </w:rPr>
          <w:tag w:val="MENDELEY_CITATION_v3_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"/>
          <w:id w:val="-437069316"/>
          <w:placeholder>
            <w:docPart w:val="8555CED8CCB94F4DBB11D3EC84546996"/>
          </w:placeholder>
        </w:sdtPr>
        <w:sdtContent>
          <w:r w:rsidR="0047170A" w:rsidRPr="0047170A">
            <w:rPr>
              <w:color w:val="000000"/>
              <w:shd w:val="clear" w:color="auto" w:fill="FFFFFF"/>
            </w:rPr>
            <w:t>(Hudson et al., 2019)</w:t>
          </w:r>
        </w:sdtContent>
      </w:sdt>
      <w:r w:rsidRPr="0012632C">
        <w:rPr>
          <w:shd w:val="clear" w:color="auto" w:fill="FFFFFF"/>
        </w:rPr>
        <w:t>.</w:t>
      </w:r>
    </w:p>
    <w:p w14:paraId="40A97A37" w14:textId="155DC656" w:rsidR="00801461" w:rsidRDefault="00801461" w:rsidP="0012632C">
      <w:pPr>
        <w:rPr>
          <w:shd w:val="clear" w:color="auto" w:fill="FFFFFF"/>
        </w:rPr>
      </w:pPr>
      <w:r w:rsidRPr="0012632C">
        <w:rPr>
          <w:shd w:val="clear" w:color="auto" w:fill="FFFFFF"/>
        </w:rPr>
        <w:t>An ITS primarily aims to determine whether the post-intervention data pattern differs from the pre-intervention pattern</w:t>
      </w:r>
      <w:r>
        <w:rPr>
          <w:shd w:val="clear" w:color="auto" w:fill="FFFFFF"/>
        </w:rPr>
        <w:t>. A</w:t>
      </w:r>
      <w:r w:rsidRPr="0012632C">
        <w:rPr>
          <w:shd w:val="clear" w:color="auto" w:fill="FFFFFF"/>
        </w:rPr>
        <w:t xml:space="preserve"> range of effect estimates </w:t>
      </w:r>
      <w:r>
        <w:rPr>
          <w:shd w:val="clear" w:color="auto" w:fill="FFFFFF"/>
        </w:rPr>
        <w:t>describes</w:t>
      </w:r>
      <w:r w:rsidRPr="0012632C">
        <w:rPr>
          <w:shd w:val="clear" w:color="auto" w:fill="FFFFFF"/>
        </w:rPr>
        <w:t xml:space="preserve"> the impact of the intervention.</w:t>
      </w:r>
      <w:r>
        <w:rPr>
          <w:shd w:val="clear" w:color="auto" w:fill="FFFFFF"/>
        </w:rPr>
        <w:t xml:space="preserve"> </w:t>
      </w:r>
      <w:r w:rsidRPr="0012632C">
        <w:rPr>
          <w:shd w:val="clear" w:color="auto" w:fill="FFFFFF"/>
        </w:rPr>
        <w:t xml:space="preserve">For example, a </w:t>
      </w:r>
      <w:r>
        <w:rPr>
          <w:shd w:val="clear" w:color="auto" w:fill="FFFFFF"/>
        </w:rPr>
        <w:t>level change corresponds to the intervention's immediate impact. A</w:t>
      </w:r>
      <w:r w:rsidRPr="0012632C">
        <w:rPr>
          <w:shd w:val="clear" w:color="auto" w:fill="FFFFFF"/>
        </w:rPr>
        <w:t xml:space="preserve"> change in slope </w:t>
      </w:r>
      <w:r>
        <w:rPr>
          <w:shd w:val="clear" w:color="auto" w:fill="FFFFFF"/>
        </w:rPr>
        <w:t xml:space="preserve">will indicate </w:t>
      </w:r>
      <w:r w:rsidRPr="0012632C">
        <w:rPr>
          <w:shd w:val="clear" w:color="auto" w:fill="FFFFFF"/>
        </w:rPr>
        <w:t xml:space="preserve">the difference between the post-and pre-intervention </w:t>
      </w:r>
      <w:r>
        <w:rPr>
          <w:shd w:val="clear" w:color="auto" w:fill="FFFFFF"/>
        </w:rPr>
        <w:t>trends or 'slopes'</w:t>
      </w:r>
      <w:r w:rsidRPr="0012632C">
        <w:rPr>
          <w:shd w:val="clear" w:color="auto" w:fill="FFFFFF"/>
        </w:rPr>
        <w:t xml:space="preserve"> </w:t>
      </w:r>
      <w:sdt>
        <w:sdtPr>
          <w:rPr>
            <w:color w:val="000000"/>
            <w:shd w:val="clear" w:color="auto" w:fill="FFFFFF"/>
          </w:rPr>
          <w:tag w:val="MENDELEY_CITATION_v3_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"/>
          <w:id w:val="-1327202684"/>
          <w:placeholder>
            <w:docPart w:val="8555CED8CCB94F4DBB11D3EC84546996"/>
          </w:placeholder>
        </w:sdtPr>
        <w:sdtContent>
          <w:r w:rsidR="0047170A" w:rsidRPr="0047170A">
            <w:rPr>
              <w:color w:val="000000"/>
              <w:shd w:val="clear" w:color="auto" w:fill="FFFFFF"/>
            </w:rPr>
            <w:t>(Ramsay et al., 2003)</w:t>
          </w:r>
        </w:sdtContent>
      </w:sdt>
      <w:r w:rsidRPr="0012632C">
        <w:rPr>
          <w:shd w:val="clear" w:color="auto" w:fill="FFFFFF"/>
        </w:rPr>
        <w:t>.</w:t>
      </w:r>
      <w:r>
        <w:rPr>
          <w:shd w:val="clear" w:color="auto" w:fill="FFFFFF"/>
        </w:rPr>
        <w:t xml:space="preserve"> </w:t>
      </w:r>
      <w:r w:rsidRPr="0012632C">
        <w:rPr>
          <w:shd w:val="clear" w:color="auto" w:fill="FFFFFF"/>
        </w:rPr>
        <w:t>In this study, an interrupted time series analysis evaluate</w:t>
      </w:r>
      <w:r>
        <w:rPr>
          <w:shd w:val="clear" w:color="auto" w:fill="FFFFFF"/>
        </w:rPr>
        <w:t>d</w:t>
      </w:r>
      <w:r w:rsidRPr="0012632C">
        <w:rPr>
          <w:shd w:val="clear" w:color="auto" w:fill="FFFFFF"/>
        </w:rPr>
        <w:t xml:space="preserve"> the impact of psychotherapy intervention on the frequency of emergency service contacts (111 calls, ambulance, Accident and Emergency, and Admitted Patient Care).</w:t>
      </w:r>
    </w:p>
    <w:p w14:paraId="7EDDDDE3" w14:textId="77777777" w:rsidR="00801461" w:rsidRDefault="00801461" w:rsidP="00581273">
      <w:pPr>
        <w:pStyle w:val="Heading3"/>
      </w:pPr>
      <w:bookmarkStart w:id="120" w:name="_Toc137504739"/>
      <w:r>
        <w:t>4.1.10 Research Study</w:t>
      </w:r>
      <w:bookmarkEnd w:id="120"/>
    </w:p>
    <w:p w14:paraId="20964654" w14:textId="77777777" w:rsidR="00801461" w:rsidRPr="00581273" w:rsidRDefault="00801461" w:rsidP="00581273">
      <w:pPr>
        <w:pStyle w:val="Heading4"/>
      </w:pPr>
      <w:r w:rsidRPr="00581273">
        <w:t>4.1.10.1 Research Aim</w:t>
      </w:r>
    </w:p>
    <w:p w14:paraId="4014B78B" w14:textId="77777777" w:rsidR="00801461" w:rsidRDefault="00801461" w:rsidP="003E2948">
      <w:r>
        <w:t>This project aimed to explore whether individualised psychotherapy (as provided by the neuro-psychotherapy team at Sheffield Teaching Hospitals NHS Foundation Trust) influences patients' utilisation of emergency service resources and to determine whether emergency service use may be used as a measure of clinical change.</w:t>
      </w:r>
    </w:p>
    <w:p w14:paraId="75D21DB8" w14:textId="77777777" w:rsidR="00801461" w:rsidRDefault="00801461" w:rsidP="00973255">
      <w:r>
        <w:t>A secondary aim was to describe the utilisation of emergency services by FNSD patients compared to the frequencies of</w:t>
      </w:r>
      <w:r w:rsidRPr="00263BCC">
        <w:t xml:space="preserve"> us</w:t>
      </w:r>
      <w:r>
        <w:t>e</w:t>
      </w:r>
      <w:r w:rsidRPr="00263BCC">
        <w:t xml:space="preserve"> </w:t>
      </w:r>
      <w:r>
        <w:t>in</w:t>
      </w:r>
      <w:r w:rsidRPr="00263BCC">
        <w:t xml:space="preserve"> the general population.</w:t>
      </w:r>
    </w:p>
    <w:p w14:paraId="1BE6803E" w14:textId="77777777" w:rsidR="00AD2B5C" w:rsidRDefault="00AD2B5C">
      <w:pPr>
        <w:spacing w:line="240" w:lineRule="auto"/>
        <w:jc w:val="left"/>
        <w:rPr>
          <w:rFonts w:asciiTheme="majorHAnsi" w:eastAsiaTheme="majorEastAsia" w:hAnsiTheme="majorHAnsi" w:cstheme="majorBidi"/>
          <w:i/>
          <w:iCs/>
          <w:color w:val="2E74B5" w:themeColor="accent1" w:themeShade="BF"/>
        </w:rPr>
      </w:pPr>
      <w:r>
        <w:br w:type="page"/>
      </w:r>
    </w:p>
    <w:p w14:paraId="40E3626B" w14:textId="3D485B61" w:rsidR="00801461" w:rsidRPr="00581273" w:rsidRDefault="00801461" w:rsidP="00581273">
      <w:pPr>
        <w:pStyle w:val="Heading4"/>
      </w:pPr>
      <w:r w:rsidRPr="00581273">
        <w:lastRenderedPageBreak/>
        <w:t xml:space="preserve">4.1.10.2 Research Questions </w:t>
      </w:r>
    </w:p>
    <w:p w14:paraId="6E438AB8" w14:textId="77777777" w:rsidR="00801461" w:rsidRDefault="00801461" w:rsidP="003E2948">
      <w:r>
        <w:t>The research questions are:</w:t>
      </w:r>
    </w:p>
    <w:p w14:paraId="302DAB9B" w14:textId="77777777" w:rsidR="00801461" w:rsidRDefault="00801461" w:rsidP="00801461">
      <w:pPr>
        <w:pStyle w:val="ListParagraph"/>
        <w:numPr>
          <w:ilvl w:val="0"/>
          <w:numId w:val="75"/>
        </w:numPr>
      </w:pPr>
      <w:r>
        <w:t>H</w:t>
      </w:r>
      <w:r w:rsidRPr="007647E8">
        <w:t>ow do</w:t>
      </w:r>
      <w:r>
        <w:t>es the rate and level of emergency service use among</w:t>
      </w:r>
      <w:r w:rsidRPr="007647E8">
        <w:t xml:space="preserve"> </w:t>
      </w:r>
      <w:r>
        <w:t>patients with</w:t>
      </w:r>
      <w:r w:rsidRPr="007647E8">
        <w:t xml:space="preserve"> </w:t>
      </w:r>
      <w:r>
        <w:t>FNSD</w:t>
      </w:r>
      <w:r w:rsidRPr="007647E8">
        <w:t xml:space="preserve"> </w:t>
      </w:r>
      <w:r>
        <w:t>change after a specialised intervention?</w:t>
      </w:r>
    </w:p>
    <w:p w14:paraId="631D2F66" w14:textId="77777777" w:rsidR="00801461" w:rsidRDefault="00801461" w:rsidP="00801461">
      <w:pPr>
        <w:pStyle w:val="ListParagraph"/>
        <w:numPr>
          <w:ilvl w:val="0"/>
          <w:numId w:val="75"/>
        </w:numPr>
      </w:pPr>
      <w:r>
        <w:t>How does emergency service utilisation differ between FNSD patients and the general population?</w:t>
      </w:r>
    </w:p>
    <w:p w14:paraId="71B050F1" w14:textId="77777777" w:rsidR="00801461" w:rsidRDefault="00801461" w:rsidP="00801461">
      <w:pPr>
        <w:pStyle w:val="ListParagraph"/>
        <w:numPr>
          <w:ilvl w:val="0"/>
          <w:numId w:val="75"/>
        </w:numPr>
      </w:pPr>
      <w:r>
        <w:t>Can emergency service use be an outcome measure for treatment-related change in FNSD?</w:t>
      </w:r>
    </w:p>
    <w:p w14:paraId="141E152E" w14:textId="77777777" w:rsidR="00801461" w:rsidRDefault="00801461" w:rsidP="00801461">
      <w:pPr>
        <w:pStyle w:val="ListParagraph"/>
        <w:numPr>
          <w:ilvl w:val="0"/>
          <w:numId w:val="75"/>
        </w:numPr>
      </w:pPr>
      <w:r>
        <w:t>Do the emergency care utilisation data suggest that psychotherapy may be cost-effective?</w:t>
      </w:r>
    </w:p>
    <w:p w14:paraId="611F4147" w14:textId="77777777" w:rsidR="00801461" w:rsidRDefault="00801461" w:rsidP="003E2948"/>
    <w:p w14:paraId="32C43138" w14:textId="77777777" w:rsidR="00A72181" w:rsidRPr="001A77A9" w:rsidRDefault="00A72181" w:rsidP="00A72181">
      <w:pPr>
        <w:jc w:val="center"/>
      </w:pPr>
    </w:p>
    <w:p w14:paraId="3BEF7B29" w14:textId="74D2827E" w:rsidR="00AD2B5C" w:rsidRDefault="00AD2B5C">
      <w:pPr>
        <w:spacing w:line="240" w:lineRule="auto"/>
        <w:jc w:val="left"/>
      </w:pPr>
      <w:r>
        <w:br w:type="page"/>
      </w:r>
    </w:p>
    <w:p w14:paraId="3651F740" w14:textId="77777777" w:rsidR="00AD2B5C" w:rsidRPr="0063680A" w:rsidRDefault="00AD2B5C" w:rsidP="00AD2B5C">
      <w:pPr>
        <w:pStyle w:val="Heading2"/>
      </w:pPr>
      <w:bookmarkStart w:id="121" w:name="_Toc137504740"/>
      <w:r>
        <w:lastRenderedPageBreak/>
        <w:t xml:space="preserve">4.2 </w:t>
      </w:r>
      <w:r w:rsidRPr="0063680A">
        <w:t>Methods</w:t>
      </w:r>
      <w:bookmarkEnd w:id="121"/>
    </w:p>
    <w:p w14:paraId="0187280C" w14:textId="77777777" w:rsidR="00AD2B5C" w:rsidRPr="00565D6E" w:rsidRDefault="00AD2B5C" w:rsidP="00565D6E">
      <w:pPr>
        <w:pStyle w:val="Heading3"/>
      </w:pPr>
      <w:bookmarkStart w:id="122" w:name="_Toc137504741"/>
      <w:r w:rsidRPr="00565D6E">
        <w:t>4.2.1 Summary</w:t>
      </w:r>
      <w:bookmarkEnd w:id="122"/>
      <w:r w:rsidRPr="00565D6E">
        <w:t xml:space="preserve"> </w:t>
      </w:r>
    </w:p>
    <w:p w14:paraId="39180703" w14:textId="77777777" w:rsidR="00AD2B5C" w:rsidRPr="000E2FBF" w:rsidRDefault="00AD2B5C" w:rsidP="000E2FBF">
      <w:pPr>
        <w:spacing w:after="240"/>
      </w:pPr>
      <w:r>
        <w:t>A</w:t>
      </w:r>
      <w:r w:rsidRPr="000E2FBF">
        <w:t xml:space="preserve"> one-group interrupted time series design </w:t>
      </w:r>
      <w:r>
        <w:t xml:space="preserve">was used </w:t>
      </w:r>
      <w:r w:rsidRPr="000E2FBF">
        <w:t xml:space="preserve">to analyse the effects of a psychotherapeutic intervention on emergency </w:t>
      </w:r>
      <w:r>
        <w:t xml:space="preserve">health </w:t>
      </w:r>
      <w:r w:rsidRPr="000E2FBF">
        <w:t>service use among pwFNSD</w:t>
      </w:r>
      <w:r>
        <w:t xml:space="preserve"> in a longitudinal observational study.</w:t>
      </w:r>
    </w:p>
    <w:p w14:paraId="69D1CFD6" w14:textId="77777777" w:rsidR="00AD2B5C" w:rsidRPr="000E2FBF" w:rsidRDefault="00AD2B5C" w:rsidP="00565D6E">
      <w:pPr>
        <w:overflowPunct w:val="0"/>
        <w:autoSpaceDE w:val="0"/>
        <w:autoSpaceDN w:val="0"/>
        <w:adjustRightInd w:val="0"/>
        <w:textAlignment w:val="baseline"/>
      </w:pPr>
      <w:r w:rsidRPr="000E2FBF">
        <w:rPr>
          <w:rFonts w:cstheme="minorHAnsi"/>
          <w:color w:val="000000"/>
        </w:rPr>
        <w:t>A</w:t>
      </w:r>
      <w:r>
        <w:rPr>
          <w:rFonts w:cstheme="minorHAnsi"/>
          <w:color w:val="000000"/>
        </w:rPr>
        <w:t>dditionally, a</w:t>
      </w:r>
      <w:r w:rsidRPr="000E2FBF">
        <w:rPr>
          <w:rFonts w:cstheme="minorHAnsi"/>
          <w:color w:val="000000"/>
        </w:rPr>
        <w:t xml:space="preserve"> nested descriptive analysis of a </w:t>
      </w:r>
      <w:r>
        <w:rPr>
          <w:rFonts w:cstheme="minorHAnsi"/>
          <w:color w:val="000000"/>
        </w:rPr>
        <w:t xml:space="preserve">cohort subgroup </w:t>
      </w:r>
      <w:r w:rsidRPr="000E2FBF">
        <w:t xml:space="preserve">used </w:t>
      </w:r>
      <w:r>
        <w:t>age- and sex- standardised rates to compare FNSD urgent and emergency health (UEC) care usage with that of the general population</w:t>
      </w:r>
      <w:r w:rsidRPr="000E2FBF">
        <w:rPr>
          <w:rFonts w:cstheme="minorHAnsi"/>
          <w:color w:val="000000"/>
        </w:rPr>
        <w:t xml:space="preserve">. </w:t>
      </w:r>
    </w:p>
    <w:p w14:paraId="311F3091" w14:textId="77777777" w:rsidR="00AD2B5C" w:rsidRPr="00565D6E" w:rsidRDefault="00AD2B5C" w:rsidP="00565D6E">
      <w:pPr>
        <w:pStyle w:val="Heading3"/>
      </w:pPr>
      <w:bookmarkStart w:id="123" w:name="bookmark=id.1fob9te" w:colFirst="0" w:colLast="0"/>
      <w:bookmarkStart w:id="124" w:name="bookmark=id.3znysh7" w:colFirst="0" w:colLast="0"/>
      <w:bookmarkStart w:id="125" w:name="_Toc137504742"/>
      <w:bookmarkEnd w:id="123"/>
      <w:bookmarkEnd w:id="124"/>
      <w:r w:rsidRPr="00565D6E">
        <w:t>4.2.2 Data sources</w:t>
      </w:r>
      <w:bookmarkEnd w:id="125"/>
      <w:r w:rsidRPr="00565D6E">
        <w:t xml:space="preserve"> </w:t>
      </w:r>
    </w:p>
    <w:p w14:paraId="1496ECC4" w14:textId="77777777" w:rsidR="00AD2B5C" w:rsidRPr="00565D6E" w:rsidRDefault="00AD2B5C" w:rsidP="00565D6E">
      <w:pPr>
        <w:pStyle w:val="Heading4"/>
      </w:pPr>
      <w:r w:rsidRPr="00565D6E">
        <w:t>4.2.2.1 The Centre for Urgent and Emergency Care research database (CUREd)</w:t>
      </w:r>
    </w:p>
    <w:p w14:paraId="7D05D69E" w14:textId="5EF9BB3A" w:rsidR="00AD2B5C" w:rsidRDefault="00AD2B5C" w:rsidP="00316C59">
      <w:r w:rsidRPr="000E2FBF">
        <w:t>A dataset extracted from the Connected Health Cities</w:t>
      </w:r>
      <w:r>
        <w:t xml:space="preserve"> (CHC)</w:t>
      </w:r>
      <w:r w:rsidRPr="000E2FBF">
        <w:t>: Data linkage of Urgent Care Data</w:t>
      </w:r>
      <w:r>
        <w:t>"</w:t>
      </w:r>
      <w:r w:rsidRPr="000E2FBF">
        <w:t xml:space="preserve"> study</w:t>
      </w:r>
      <w:r>
        <w:t xml:space="preserve"> held in the University of Sheffield Centre for Urgent and Emergency Care research database</w:t>
      </w:r>
      <w:r w:rsidRPr="000E2FBF">
        <w:t xml:space="preserve"> </w:t>
      </w:r>
      <w:r>
        <w:t>(</w:t>
      </w:r>
      <w:r w:rsidRPr="000E2FBF">
        <w:t>CUREd</w:t>
      </w:r>
      <w:r>
        <w:t xml:space="preserve">) </w:t>
      </w:r>
      <w:r w:rsidRPr="000E2FBF">
        <w:t xml:space="preserve"> </w:t>
      </w:r>
      <w:sdt>
        <w:sdtPr>
          <w:rPr>
            <w:color w:val="000000"/>
          </w:rPr>
          <w:tag w:val="MENDELEY_CITATION_v3_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"/>
          <w:id w:val="1029756561"/>
          <w:placeholder>
            <w:docPart w:val="818D04AF82DA8242AA20B9FE3FFA80FA"/>
          </w:placeholder>
        </w:sdtPr>
        <w:sdtContent>
          <w:r w:rsidR="0047170A" w:rsidRPr="0047170A">
            <w:rPr>
              <w:color w:val="000000"/>
            </w:rPr>
            <w:t>(CURE Projects: ScHARR, University of Sheffield; Mason et al., 2022)</w:t>
          </w:r>
        </w:sdtContent>
      </w:sdt>
      <w:r w:rsidRPr="000E2FBF">
        <w:t xml:space="preserve"> was utilised in this study. The CUREd database comprises routinely collected </w:t>
      </w:r>
      <w:r>
        <w:t xml:space="preserve">record-level patient </w:t>
      </w:r>
      <w:r w:rsidRPr="000E2FBF">
        <w:t>data related to calls to the NHS</w:t>
      </w:r>
      <w:r>
        <w:t xml:space="preserve"> </w:t>
      </w:r>
      <w:r w:rsidRPr="000E2FBF">
        <w:t xml:space="preserve">111 telephone service; </w:t>
      </w:r>
      <w:r>
        <w:t>emergency</w:t>
      </w:r>
      <w:r w:rsidRPr="000E2FBF">
        <w:t xml:space="preserve"> ambulance </w:t>
      </w:r>
      <w:r>
        <w:t>incidents</w:t>
      </w:r>
      <w:r w:rsidRPr="000E2FBF">
        <w:t>; Accident and Emergency (A&amp;E) department</w:t>
      </w:r>
      <w:r>
        <w:t xml:space="preserve"> attendance</w:t>
      </w:r>
      <w:r w:rsidRPr="000E2FBF">
        <w:t xml:space="preserve">s, </w:t>
      </w:r>
      <w:r>
        <w:t xml:space="preserve">and emergency admissions to hospital. </w:t>
      </w:r>
      <w:r w:rsidRPr="000E2FBF">
        <w:t xml:space="preserve">The </w:t>
      </w:r>
      <w:r>
        <w:t xml:space="preserve">unique </w:t>
      </w:r>
      <w:r w:rsidRPr="000E2FBF">
        <w:t xml:space="preserve">database contains over 23 million patient episodes of care between April 2011 and March 2017 in </w:t>
      </w:r>
      <w:r>
        <w:t xml:space="preserve">the </w:t>
      </w:r>
      <w:r w:rsidRPr="000E2FBF">
        <w:t>Yorkshire and Humber</w:t>
      </w:r>
      <w:r>
        <w:t xml:space="preserve"> region.</w:t>
      </w:r>
      <w:r w:rsidRPr="000E2FBF">
        <w:t xml:space="preserve"> </w:t>
      </w:r>
    </w:p>
    <w:p w14:paraId="64076D2C" w14:textId="77777777" w:rsidR="00AD2B5C" w:rsidRPr="00FF443B" w:rsidRDefault="00AD2B5C" w:rsidP="00316C59">
      <w:pPr>
        <w:rPr>
          <w:u w:val="single"/>
        </w:rPr>
      </w:pPr>
      <w:r w:rsidRPr="00FF443B">
        <w:rPr>
          <w:u w:val="single"/>
        </w:rPr>
        <w:t>NHS 111 calls</w:t>
      </w:r>
    </w:p>
    <w:p w14:paraId="0BF421E8" w14:textId="77777777" w:rsidR="00AD2B5C" w:rsidRDefault="00AD2B5C" w:rsidP="00C94F5D">
      <w:pPr>
        <w:spacing w:after="120"/>
      </w:pPr>
      <w:r w:rsidRPr="00C94F5D">
        <w:rPr>
          <w:rFonts w:eastAsia="Calibri" w:cs="Calibri"/>
        </w:rPr>
        <w:t>The dataset for calls made to the NHS 111</w:t>
      </w:r>
      <w:r>
        <w:rPr>
          <w:rFonts w:eastAsia="Calibri" w:cs="Calibri"/>
        </w:rPr>
        <w:t xml:space="preserve"> (111)</w:t>
      </w:r>
      <w:r w:rsidRPr="00C94F5D">
        <w:rPr>
          <w:rFonts w:eastAsia="Calibri" w:cs="Calibri"/>
        </w:rPr>
        <w:t xml:space="preserve"> phone service, operated by the Yorkshire Ambulance Service NHS Trust (YAS), cover</w:t>
      </w:r>
      <w:r>
        <w:rPr>
          <w:rFonts w:eastAsia="Calibri" w:cs="Calibri"/>
        </w:rPr>
        <w:t>s</w:t>
      </w:r>
      <w:r w:rsidRPr="00C94F5D">
        <w:rPr>
          <w:rFonts w:eastAsia="Calibri" w:cs="Calibri"/>
        </w:rPr>
        <w:t xml:space="preserve"> the region of Yorkshire and Humber. Th</w:t>
      </w:r>
      <w:r>
        <w:rPr>
          <w:rFonts w:eastAsia="Calibri" w:cs="Calibri"/>
        </w:rPr>
        <w:t>e</w:t>
      </w:r>
      <w:r w:rsidRPr="00C94F5D">
        <w:rPr>
          <w:rFonts w:eastAsia="Calibri" w:cs="Calibri"/>
        </w:rPr>
        <w:t xml:space="preserve"> data</w:t>
      </w:r>
      <w:r>
        <w:rPr>
          <w:rFonts w:eastAsia="Calibri" w:cs="Calibri"/>
        </w:rPr>
        <w:t xml:space="preserve"> </w:t>
      </w:r>
      <w:r w:rsidRPr="00C94F5D">
        <w:rPr>
          <w:rFonts w:eastAsia="Calibri" w:cs="Calibri"/>
        </w:rPr>
        <w:t>include</w:t>
      </w:r>
      <w:r>
        <w:rPr>
          <w:rFonts w:eastAsia="Calibri" w:cs="Calibri"/>
        </w:rPr>
        <w:t>s</w:t>
      </w:r>
      <w:r w:rsidRPr="00C94F5D">
        <w:rPr>
          <w:rFonts w:eastAsia="Calibri" w:cs="Calibri"/>
        </w:rPr>
        <w:t xml:space="preserve"> details related to the </w:t>
      </w:r>
      <w:r>
        <w:rPr>
          <w:rFonts w:eastAsia="Calibri" w:cs="Calibri"/>
        </w:rPr>
        <w:t>caller's</w:t>
      </w:r>
      <w:r w:rsidRPr="00C94F5D">
        <w:rPr>
          <w:rFonts w:eastAsia="Calibri" w:cs="Calibri"/>
        </w:rPr>
        <w:t xml:space="preserve"> demographics and the call triage outcomes</w:t>
      </w:r>
      <w:r>
        <w:rPr>
          <w:rFonts w:eastAsia="Calibri" w:cs="Calibri"/>
        </w:rPr>
        <w:t xml:space="preserve"> recorded during the call</w:t>
      </w:r>
      <w:r w:rsidRPr="00C94F5D">
        <w:rPr>
          <w:rFonts w:eastAsia="Calibri" w:cs="Calibri"/>
        </w:rPr>
        <w:t>. The dataset span</w:t>
      </w:r>
      <w:r>
        <w:rPr>
          <w:rFonts w:eastAsia="Calibri" w:cs="Calibri"/>
        </w:rPr>
        <w:t>s</w:t>
      </w:r>
      <w:r w:rsidRPr="00C94F5D">
        <w:rPr>
          <w:rFonts w:eastAsia="Calibri" w:cs="Calibri"/>
        </w:rPr>
        <w:t xml:space="preserve"> from April 201</w:t>
      </w:r>
      <w:r>
        <w:rPr>
          <w:rFonts w:eastAsia="Calibri" w:cs="Calibri"/>
        </w:rPr>
        <w:t>3</w:t>
      </w:r>
      <w:r w:rsidRPr="00C94F5D">
        <w:rPr>
          <w:rFonts w:eastAsia="Calibri" w:cs="Calibri"/>
        </w:rPr>
        <w:t xml:space="preserve"> to March 201</w:t>
      </w:r>
      <w:r>
        <w:rPr>
          <w:rFonts w:eastAsia="Calibri" w:cs="Calibri"/>
        </w:rPr>
        <w:t xml:space="preserve">7 </w:t>
      </w:r>
      <w:r>
        <w:t xml:space="preserve">and has 4,789,273 distinct NHS 111 calls. </w:t>
      </w:r>
    </w:p>
    <w:p w14:paraId="2FC56A7E" w14:textId="77777777" w:rsidR="00AD2B5C" w:rsidRPr="00FF443B" w:rsidRDefault="00AD2B5C" w:rsidP="00C94F5D">
      <w:pPr>
        <w:spacing w:after="120"/>
        <w:rPr>
          <w:rFonts w:eastAsia="Calibri" w:cs="Calibri"/>
          <w:u w:val="single"/>
        </w:rPr>
      </w:pPr>
      <w:r w:rsidRPr="00FF443B">
        <w:rPr>
          <w:rFonts w:eastAsia="Calibri" w:cs="Calibri"/>
          <w:u w:val="single"/>
        </w:rPr>
        <w:t>Emergency Ambulance Service</w:t>
      </w:r>
    </w:p>
    <w:p w14:paraId="439339DE" w14:textId="77777777" w:rsidR="00AD2B5C" w:rsidRDefault="00AD2B5C" w:rsidP="00C94F5D">
      <w:pPr>
        <w:spacing w:after="120"/>
        <w:rPr>
          <w:rFonts w:eastAsia="Calibri" w:cs="Calibri"/>
        </w:rPr>
      </w:pPr>
      <w:r>
        <w:rPr>
          <w:rFonts w:eastAsia="Calibri" w:cs="Calibri"/>
        </w:rPr>
        <w:t>T</w:t>
      </w:r>
      <w:r w:rsidRPr="00C94F5D">
        <w:rPr>
          <w:rFonts w:eastAsia="Calibri" w:cs="Calibri"/>
        </w:rPr>
        <w:t>he emergency ambulance service</w:t>
      </w:r>
      <w:r>
        <w:rPr>
          <w:rFonts w:eastAsia="Calibri" w:cs="Calibri"/>
        </w:rPr>
        <w:t xml:space="preserve"> (AMB)</w:t>
      </w:r>
      <w:r w:rsidRPr="00C94F5D">
        <w:rPr>
          <w:rFonts w:eastAsia="Calibri" w:cs="Calibri"/>
        </w:rPr>
        <w:t xml:space="preserve"> </w:t>
      </w:r>
      <w:r>
        <w:rPr>
          <w:rFonts w:eastAsia="Calibri" w:cs="Calibri"/>
        </w:rPr>
        <w:t xml:space="preserve">dataset comprises </w:t>
      </w:r>
      <w:r w:rsidRPr="00C94F5D">
        <w:rPr>
          <w:rFonts w:eastAsia="Calibri" w:cs="Calibri"/>
        </w:rPr>
        <w:t xml:space="preserve">every emergency call incident managed by YAS documented from April 2012 to March 2017, </w:t>
      </w:r>
      <w:r>
        <w:rPr>
          <w:rFonts w:eastAsia="Calibri" w:cs="Calibri"/>
        </w:rPr>
        <w:t>including</w:t>
      </w:r>
      <w:r w:rsidRPr="00C94F5D">
        <w:rPr>
          <w:rFonts w:eastAsia="Calibri" w:cs="Calibri"/>
        </w:rPr>
        <w:t xml:space="preserve"> 4,382,835 individual ambulance incidents.</w:t>
      </w:r>
      <w:r>
        <w:rPr>
          <w:rFonts w:eastAsia="Calibri" w:cs="Calibri"/>
        </w:rPr>
        <w:t xml:space="preserve"> </w:t>
      </w:r>
    </w:p>
    <w:p w14:paraId="021FC82D" w14:textId="77777777" w:rsidR="00AD2B5C" w:rsidRPr="00FF443B" w:rsidRDefault="00AD2B5C" w:rsidP="00C94F5D">
      <w:pPr>
        <w:spacing w:after="120"/>
        <w:rPr>
          <w:rFonts w:eastAsia="Calibri" w:cs="Calibri"/>
          <w:u w:val="single"/>
        </w:rPr>
      </w:pPr>
      <w:r w:rsidRPr="00FF443B">
        <w:rPr>
          <w:rFonts w:eastAsia="Calibri" w:cs="Calibri"/>
          <w:u w:val="single"/>
        </w:rPr>
        <w:t>Accident and Emergency Department</w:t>
      </w:r>
    </w:p>
    <w:p w14:paraId="184F279D" w14:textId="77777777" w:rsidR="00AD2B5C" w:rsidRDefault="00AD2B5C" w:rsidP="00C94F5D">
      <w:pPr>
        <w:spacing w:after="120"/>
        <w:rPr>
          <w:rFonts w:eastAsia="Calibri" w:cs="Calibri"/>
        </w:rPr>
      </w:pPr>
      <w:r>
        <w:rPr>
          <w:rFonts w:eastAsia="Calibri" w:cs="Calibri"/>
        </w:rPr>
        <w:lastRenderedPageBreak/>
        <w:t xml:space="preserve">Patient-level activity from </w:t>
      </w:r>
      <w:r w:rsidRPr="00C94F5D">
        <w:rPr>
          <w:rFonts w:eastAsia="Calibri" w:cs="Calibri"/>
        </w:rPr>
        <w:t>Accident &amp; Emergency (A&amp;E) departments, Urgent Care Centres, and Minor Injury Units of acute NHS hospital trusts across Yorkshire and Humber</w:t>
      </w:r>
      <w:r>
        <w:rPr>
          <w:rFonts w:eastAsia="Calibri" w:cs="Calibri"/>
        </w:rPr>
        <w:t xml:space="preserve"> are captured in the A&amp;E dataset</w:t>
      </w:r>
      <w:r w:rsidRPr="00C94F5D">
        <w:rPr>
          <w:rFonts w:eastAsia="Calibri" w:cs="Calibri"/>
        </w:rPr>
        <w:t>. Th</w:t>
      </w:r>
      <w:r>
        <w:rPr>
          <w:rFonts w:eastAsia="Calibri" w:cs="Calibri"/>
        </w:rPr>
        <w:t>e</w:t>
      </w:r>
      <w:r w:rsidRPr="00C94F5D">
        <w:rPr>
          <w:rFonts w:eastAsia="Calibri" w:cs="Calibri"/>
        </w:rPr>
        <w:t>s</w:t>
      </w:r>
      <w:r>
        <w:rPr>
          <w:rFonts w:eastAsia="Calibri" w:cs="Calibri"/>
        </w:rPr>
        <w:t xml:space="preserve">e </w:t>
      </w:r>
      <w:r w:rsidRPr="00C94F5D">
        <w:rPr>
          <w:rFonts w:eastAsia="Calibri" w:cs="Calibri"/>
        </w:rPr>
        <w:t>data, primarily derived</w:t>
      </w:r>
      <w:r>
        <w:rPr>
          <w:rFonts w:eastAsia="Calibri" w:cs="Calibri"/>
        </w:rPr>
        <w:t xml:space="preserve"> from items</w:t>
      </w:r>
      <w:r w:rsidRPr="00C94F5D">
        <w:rPr>
          <w:rFonts w:eastAsia="Calibri" w:cs="Calibri"/>
        </w:rPr>
        <w:t xml:space="preserve"> from the national Commissioning Data Set (CDS), </w:t>
      </w:r>
      <w:r>
        <w:rPr>
          <w:rFonts w:eastAsia="Calibri" w:cs="Calibri"/>
        </w:rPr>
        <w:t>are</w:t>
      </w:r>
      <w:r>
        <w:t xml:space="preserve"> generated by patient administration systems within each Trust.</w:t>
      </w:r>
      <w:r>
        <w:rPr>
          <w:rFonts w:eastAsia="Calibri" w:cs="Calibri"/>
        </w:rPr>
        <w:t xml:space="preserve"> Data are available f</w:t>
      </w:r>
      <w:r w:rsidRPr="00C94F5D">
        <w:rPr>
          <w:rFonts w:eastAsia="Calibri" w:cs="Calibri"/>
        </w:rPr>
        <w:t>rom April 201</w:t>
      </w:r>
      <w:r>
        <w:rPr>
          <w:rFonts w:eastAsia="Calibri" w:cs="Calibri"/>
        </w:rPr>
        <w:t>1</w:t>
      </w:r>
      <w:r w:rsidRPr="00C94F5D">
        <w:rPr>
          <w:rFonts w:eastAsia="Calibri" w:cs="Calibri"/>
        </w:rPr>
        <w:t xml:space="preserve"> to March 2017</w:t>
      </w:r>
      <w:r>
        <w:rPr>
          <w:rFonts w:eastAsia="Calibri" w:cs="Calibri"/>
        </w:rPr>
        <w:t>, accounting</w:t>
      </w:r>
      <w:r w:rsidRPr="00C94F5D">
        <w:rPr>
          <w:rFonts w:eastAsia="Calibri" w:cs="Calibri"/>
        </w:rPr>
        <w:t xml:space="preserve"> for approximately 9.8 million distinct attendances.</w:t>
      </w:r>
      <w:r>
        <w:rPr>
          <w:rFonts w:eastAsia="Calibri" w:cs="Calibri"/>
        </w:rPr>
        <w:t xml:space="preserve"> </w:t>
      </w:r>
    </w:p>
    <w:p w14:paraId="2FAF6D88" w14:textId="77777777" w:rsidR="00AD2B5C" w:rsidRPr="00FF443B" w:rsidRDefault="00AD2B5C" w:rsidP="00C94F5D">
      <w:pPr>
        <w:spacing w:after="120"/>
        <w:rPr>
          <w:rFonts w:eastAsia="Calibri" w:cs="Calibri"/>
          <w:u w:val="single"/>
        </w:rPr>
      </w:pPr>
      <w:r w:rsidRPr="00FF443B">
        <w:rPr>
          <w:rFonts w:eastAsia="Calibri" w:cs="Calibri"/>
          <w:u w:val="single"/>
        </w:rPr>
        <w:t>Admitted Patient Care</w:t>
      </w:r>
    </w:p>
    <w:p w14:paraId="7809CD6C" w14:textId="77777777" w:rsidR="00AD2B5C" w:rsidRDefault="00AD2B5C" w:rsidP="00C94F5D">
      <w:pPr>
        <w:spacing w:after="120"/>
      </w:pPr>
      <w:r>
        <w:rPr>
          <w:rFonts w:eastAsia="Calibri" w:cs="Calibri"/>
        </w:rPr>
        <w:t>The Admitted Patient Care (APC) dataset records e</w:t>
      </w:r>
      <w:r w:rsidRPr="00C94F5D">
        <w:rPr>
          <w:rFonts w:eastAsia="Calibri" w:cs="Calibri"/>
        </w:rPr>
        <w:t xml:space="preserve">mergency admissions to acute hospital trusts in Yorkshire and Humber. These </w:t>
      </w:r>
      <w:r>
        <w:rPr>
          <w:rFonts w:eastAsia="Calibri" w:cs="Calibri"/>
        </w:rPr>
        <w:t>include</w:t>
      </w:r>
      <w:r>
        <w:t xml:space="preserve"> patient records for care under each responsible healthcare professional at all acute hospital trusts in Yorkshire and Humber due to an emergency admission to that hospital, specifically items mandated by the National Commissioning Data Set (CDS). Patient administration systems within each Trust generate these data. The data set comprises 4,586,889 episodes between April 2011 and March 2017.</w:t>
      </w:r>
    </w:p>
    <w:p w14:paraId="2B1AB254" w14:textId="77777777" w:rsidR="00AD2B5C" w:rsidRPr="00565D6E" w:rsidRDefault="00AD2B5C" w:rsidP="00565D6E">
      <w:pPr>
        <w:pStyle w:val="Heading4"/>
      </w:pPr>
      <w:r w:rsidRPr="00565D6E">
        <w:t>4.2.2.2 Sheffield Teaching Hospitals Neurology Psychotherapy patient database</w:t>
      </w:r>
    </w:p>
    <w:p w14:paraId="3A38115D" w14:textId="77777777" w:rsidR="00AD2B5C" w:rsidRDefault="00AD2B5C" w:rsidP="00C76B7D">
      <w:r w:rsidRPr="000E2FBF">
        <w:t>The CUREd dataset</w:t>
      </w:r>
      <w:r>
        <w:t xml:space="preserve"> extract</w:t>
      </w:r>
      <w:r w:rsidRPr="000E2FBF">
        <w:t xml:space="preserve"> was linked to a dataset extracted from the STH Specialist Neurology Psychotherapy patient database </w:t>
      </w:r>
      <w:r>
        <w:t>using a common patient identifier</w:t>
      </w:r>
      <w:r w:rsidRPr="000E2FBF">
        <w:t xml:space="preserve">. This </w:t>
      </w:r>
      <w:r>
        <w:t xml:space="preserve">Psychotherapy database </w:t>
      </w:r>
      <w:r w:rsidRPr="000E2FBF">
        <w:t>comprise</w:t>
      </w:r>
      <w:r>
        <w:t>d</w:t>
      </w:r>
      <w:r w:rsidRPr="000E2FBF">
        <w:t xml:space="preserve"> routinely collected data from all patients entering the service after triage and </w:t>
      </w:r>
      <w:r>
        <w:t xml:space="preserve">starting </w:t>
      </w:r>
      <w:r w:rsidRPr="000E2FBF">
        <w:t xml:space="preserve">specialist neurology psychotherapy </w:t>
      </w:r>
      <w:r>
        <w:t xml:space="preserve">from </w:t>
      </w:r>
      <w:r w:rsidRPr="000E2FBF">
        <w:t>April 2012</w:t>
      </w:r>
      <w:r>
        <w:t xml:space="preserve">. </w:t>
      </w:r>
      <w:r w:rsidRPr="000E2FBF">
        <w:t>Data relating to patient demographics,</w:t>
      </w:r>
      <w:r>
        <w:t xml:space="preserve"> and </w:t>
      </w:r>
      <w:r w:rsidRPr="000E2FBF">
        <w:t>clinical and healthcare data such as therapy start and end dates, number of sessions</w:t>
      </w:r>
      <w:r>
        <w:t xml:space="preserve"> and outcomes a</w:t>
      </w:r>
      <w:r w:rsidRPr="000E2FBF">
        <w:t>re captured in this database.</w:t>
      </w:r>
      <w:r w:rsidRPr="00C76B7D">
        <w:t xml:space="preserve"> </w:t>
      </w:r>
      <w:r w:rsidRPr="00A56FE1">
        <w:t xml:space="preserve">With its development over the years, the psychotherapy service and database have </w:t>
      </w:r>
      <w:r>
        <w:t>utilised</w:t>
      </w:r>
      <w:r w:rsidRPr="00A56FE1">
        <w:t xml:space="preserve"> various clinical and outcome measures</w:t>
      </w:r>
      <w:r>
        <w:t xml:space="preserve">. As the Neurology Psychotherapy services </w:t>
      </w:r>
      <w:r w:rsidRPr="00316C59">
        <w:t>district general hospitals in</w:t>
      </w:r>
      <w:r>
        <w:t xml:space="preserve"> Sheffield and</w:t>
      </w:r>
      <w:r w:rsidRPr="00316C59">
        <w:t xml:space="preserve"> the immediate surrounding areas within </w:t>
      </w:r>
      <w:r>
        <w:t xml:space="preserve">the </w:t>
      </w:r>
      <w:r w:rsidRPr="00316C59">
        <w:t>South Yorkshire</w:t>
      </w:r>
      <w:r>
        <w:t xml:space="preserve"> county, t</w:t>
      </w:r>
      <w:r w:rsidRPr="000E2FBF">
        <w:t>he CUREd database</w:t>
      </w:r>
      <w:r>
        <w:t xml:space="preserve"> fully encompasses the regions served by the STH Neurology service. </w:t>
      </w:r>
    </w:p>
    <w:p w14:paraId="13FEF641" w14:textId="77777777" w:rsidR="00AD2B5C" w:rsidRPr="00565D6E" w:rsidRDefault="00AD2B5C" w:rsidP="00565D6E">
      <w:pPr>
        <w:pStyle w:val="Heading4"/>
      </w:pPr>
      <w:r w:rsidRPr="00565D6E">
        <w:t>4.2.2.3 Office for National Statistics Population estimates</w:t>
      </w:r>
    </w:p>
    <w:p w14:paraId="3739CA72" w14:textId="77A23BDF" w:rsidR="00AD2B5C" w:rsidRDefault="00AD2B5C" w:rsidP="00C76B7D">
      <w:r w:rsidRPr="000E2FBF">
        <w:t xml:space="preserve">General population/reference population data were obtained from the Office for National Statistics website, using the Clinical Commissioning group population estimates datasets. </w:t>
      </w:r>
      <w:sdt>
        <w:sdtPr>
          <w:rPr>
            <w:color w:val="000000"/>
          </w:rPr>
          <w:tag w:val="MENDELEY_CITATION_v3_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"/>
          <w:id w:val="-1783650374"/>
          <w:placeholder>
            <w:docPart w:val="68F29FA7CAD6D14087A3063E37B20A5D"/>
          </w:placeholder>
        </w:sdtPr>
        <w:sdtContent>
          <w:r w:rsidR="0047170A" w:rsidRPr="0047170A">
            <w:rPr>
              <w:color w:val="000000"/>
            </w:rPr>
            <w:t>(Clinical Commissioning Group Population Estimates (National Statistics) - Office for National Statistics)</w:t>
          </w:r>
        </w:sdtContent>
      </w:sdt>
    </w:p>
    <w:p w14:paraId="3F183F0C" w14:textId="77777777" w:rsidR="00AD2B5C" w:rsidRPr="00565D6E" w:rsidRDefault="00AD2B5C" w:rsidP="00565D6E">
      <w:pPr>
        <w:pStyle w:val="Heading3"/>
      </w:pPr>
      <w:bookmarkStart w:id="126" w:name="_Toc137504743"/>
      <w:r w:rsidRPr="00565D6E">
        <w:lastRenderedPageBreak/>
        <w:t>4.2.3 Data linkage</w:t>
      </w:r>
      <w:bookmarkEnd w:id="126"/>
    </w:p>
    <w:p w14:paraId="20377BB7" w14:textId="77777777" w:rsidR="00AD2B5C" w:rsidRPr="000E2FBF" w:rsidRDefault="00AD2B5C" w:rsidP="00AF7E79">
      <w:r w:rsidRPr="000E2FBF">
        <w:rPr>
          <w:rFonts w:cstheme="minorHAnsi"/>
        </w:rPr>
        <w:t xml:space="preserve">This study linked data from </w:t>
      </w:r>
      <w:r>
        <w:rPr>
          <w:rFonts w:cstheme="minorHAnsi"/>
        </w:rPr>
        <w:t xml:space="preserve">a </w:t>
      </w:r>
      <w:r w:rsidRPr="000E2FBF">
        <w:rPr>
          <w:rFonts w:cstheme="minorHAnsi"/>
        </w:rPr>
        <w:t>Neurology psychotherapy service</w:t>
      </w:r>
      <w:r>
        <w:rPr>
          <w:rFonts w:cstheme="minorHAnsi"/>
        </w:rPr>
        <w:t xml:space="preserve"> evaluation, capturing demographic and clinical information from the patients accessing the service,</w:t>
      </w:r>
      <w:r w:rsidRPr="000E2FBF">
        <w:rPr>
          <w:rFonts w:cstheme="minorHAnsi"/>
        </w:rPr>
        <w:t xml:space="preserve"> within Sheffield Teaching Hospitals NHS Foundation Trust, with data from the emergency care utilisation (</w:t>
      </w:r>
      <w:r>
        <w:rPr>
          <w:rFonts w:cstheme="minorHAnsi"/>
        </w:rPr>
        <w:t>C</w:t>
      </w:r>
      <w:r w:rsidRPr="000E2FBF">
        <w:rPr>
          <w:rFonts w:cstheme="minorHAnsi"/>
        </w:rPr>
        <w:t>UREd research) database held by the University of Sheffield (U</w:t>
      </w:r>
      <w:r>
        <w:rPr>
          <w:rFonts w:cstheme="minorHAnsi"/>
        </w:rPr>
        <w:t>o</w:t>
      </w:r>
      <w:r w:rsidRPr="000E2FBF">
        <w:rPr>
          <w:rFonts w:cstheme="minorHAnsi"/>
        </w:rPr>
        <w:t xml:space="preserve">S). </w:t>
      </w:r>
      <w:r w:rsidRPr="000E2FBF">
        <w:t xml:space="preserve">The CUREd database has approval from the Leeds East REC National Health Service (NHS) Research and Ethics Committee, overseen by the NHS Health Research </w:t>
      </w:r>
      <w:r>
        <w:t>Authority's</w:t>
      </w:r>
      <w:r w:rsidRPr="000E2FBF">
        <w:t xml:space="preserve"> Research Ethics Service (18/CAG/0234). </w:t>
      </w:r>
      <w:r>
        <w:t>T</w:t>
      </w:r>
      <w:r w:rsidRPr="000E2FBF">
        <w:t xml:space="preserve">he NHS Health Research Authority (HRA) provided approval for English health and care providers to supply identifiable patient health and social care data to the study without patient consent for patients of emergency and urgent care services in Yorkshire and Humber (18/CAG/0126, previously 17/CAG/0024). </w:t>
      </w:r>
    </w:p>
    <w:p w14:paraId="0B91D27B" w14:textId="77777777" w:rsidR="00AD2B5C" w:rsidRDefault="00AD2B5C" w:rsidP="00AF7E79">
      <w:pPr>
        <w:overflowPunct w:val="0"/>
        <w:autoSpaceDE w:val="0"/>
        <w:autoSpaceDN w:val="0"/>
        <w:adjustRightInd w:val="0"/>
        <w:spacing w:after="120"/>
        <w:textAlignment w:val="baseline"/>
        <w:rPr>
          <w:rFonts w:cstheme="minorHAnsi"/>
        </w:rPr>
      </w:pPr>
      <w:r w:rsidRPr="000E2FBF">
        <w:rPr>
          <w:rFonts w:cstheme="minorHAnsi"/>
        </w:rPr>
        <w:t xml:space="preserve">STH pseudonymised the data </w:t>
      </w:r>
      <w:r>
        <w:rPr>
          <w:rFonts w:cstheme="minorHAnsi"/>
        </w:rPr>
        <w:t>extracted</w:t>
      </w:r>
      <w:r w:rsidRPr="000E2FBF">
        <w:rPr>
          <w:rFonts w:cstheme="minorHAnsi"/>
        </w:rPr>
        <w:t xml:space="preserve"> from the </w:t>
      </w:r>
      <w:r>
        <w:rPr>
          <w:rFonts w:cstheme="minorHAnsi"/>
        </w:rPr>
        <w:t>FNSD</w:t>
      </w:r>
      <w:r w:rsidRPr="000E2FBF">
        <w:rPr>
          <w:rFonts w:cstheme="minorHAnsi"/>
        </w:rPr>
        <w:t xml:space="preserve"> database</w:t>
      </w:r>
      <w:r>
        <w:rPr>
          <w:rFonts w:cstheme="minorHAnsi"/>
        </w:rPr>
        <w:t xml:space="preserve"> for the data merger with person-level CUREd data</w:t>
      </w:r>
      <w:r w:rsidRPr="000E2FBF">
        <w:rPr>
          <w:rFonts w:cstheme="minorHAnsi"/>
        </w:rPr>
        <w:t xml:space="preserve">. This involved hashing the </w:t>
      </w:r>
      <w:r>
        <w:rPr>
          <w:rFonts w:cstheme="minorHAnsi"/>
        </w:rPr>
        <w:t>patients'</w:t>
      </w:r>
      <w:r w:rsidRPr="000E2FBF">
        <w:rPr>
          <w:rFonts w:cstheme="minorHAnsi"/>
        </w:rPr>
        <w:t xml:space="preserve"> identifying information (NHS Numbers) using a specific algorithm and hash key (salt) shared between the CUREd team and STH. There was also a removal or </w:t>
      </w:r>
      <w:r>
        <w:rPr>
          <w:rFonts w:cstheme="minorHAnsi"/>
        </w:rPr>
        <w:t>"</w:t>
      </w:r>
      <w:r w:rsidRPr="000E2FBF">
        <w:rPr>
          <w:rFonts w:cstheme="minorHAnsi"/>
        </w:rPr>
        <w:t>rounding</w:t>
      </w:r>
      <w:r>
        <w:rPr>
          <w:rFonts w:cstheme="minorHAnsi"/>
        </w:rPr>
        <w:t>"</w:t>
      </w:r>
      <w:r w:rsidRPr="000E2FBF">
        <w:rPr>
          <w:rFonts w:cstheme="minorHAnsi"/>
        </w:rPr>
        <w:t xml:space="preserve"> </w:t>
      </w:r>
      <w:r>
        <w:rPr>
          <w:rFonts w:cstheme="minorHAnsi"/>
        </w:rPr>
        <w:t xml:space="preserve">of </w:t>
      </w:r>
      <w:r w:rsidRPr="000E2FBF">
        <w:rPr>
          <w:rFonts w:cstheme="minorHAnsi"/>
        </w:rPr>
        <w:t xml:space="preserve">any other direct identifiers (e.g., remove all names; </w:t>
      </w:r>
      <w:r>
        <w:rPr>
          <w:rFonts w:cstheme="minorHAnsi"/>
        </w:rPr>
        <w:t>"</w:t>
      </w:r>
      <w:r w:rsidRPr="000E2FBF">
        <w:rPr>
          <w:rFonts w:cstheme="minorHAnsi"/>
        </w:rPr>
        <w:t>round</w:t>
      </w:r>
      <w:r>
        <w:rPr>
          <w:rFonts w:cstheme="minorHAnsi"/>
        </w:rPr>
        <w:t>"</w:t>
      </w:r>
      <w:r w:rsidRPr="000E2FBF">
        <w:rPr>
          <w:rFonts w:cstheme="minorHAnsi"/>
        </w:rPr>
        <w:t xml:space="preserve"> date of birth/death to year and month only). The process was carried out in-house by </w:t>
      </w:r>
      <w:r>
        <w:rPr>
          <w:rFonts w:cstheme="minorHAnsi"/>
        </w:rPr>
        <w:t>STH's</w:t>
      </w:r>
      <w:r w:rsidRPr="000E2FBF">
        <w:rPr>
          <w:rFonts w:cstheme="minorHAnsi"/>
        </w:rPr>
        <w:t xml:space="preserve"> Scientific Computing group. STH supplied the pseudonymised data to UoS</w:t>
      </w:r>
      <w:r>
        <w:rPr>
          <w:rFonts w:cstheme="minorHAnsi"/>
        </w:rPr>
        <w:t>,</w:t>
      </w:r>
      <w:r w:rsidRPr="000E2FBF">
        <w:rPr>
          <w:rFonts w:cstheme="minorHAnsi"/>
        </w:rPr>
        <w:t xml:space="preserve"> </w:t>
      </w:r>
      <w:r>
        <w:rPr>
          <w:rFonts w:cstheme="minorHAnsi"/>
        </w:rPr>
        <w:t>which</w:t>
      </w:r>
      <w:r w:rsidRPr="000E2FBF">
        <w:rPr>
          <w:rFonts w:cstheme="minorHAnsi"/>
        </w:rPr>
        <w:t xml:space="preserve"> was loaded into the CUREd Research Database on the analysis data side of a </w:t>
      </w:r>
      <w:r>
        <w:rPr>
          <w:rFonts w:cstheme="minorHAnsi"/>
        </w:rPr>
        <w:t>"</w:t>
      </w:r>
      <w:r w:rsidRPr="000E2FBF">
        <w:rPr>
          <w:rFonts w:cstheme="minorHAnsi"/>
        </w:rPr>
        <w:t>Chinese Wall</w:t>
      </w:r>
      <w:r>
        <w:rPr>
          <w:rFonts w:cstheme="minorHAnsi"/>
        </w:rPr>
        <w:t>"</w:t>
      </w:r>
      <w:r w:rsidRPr="000E2FBF">
        <w:rPr>
          <w:rFonts w:cstheme="minorHAnsi"/>
        </w:rPr>
        <w:t xml:space="preserve">. UoS similarly hashed the data they held in the identifiable side of the </w:t>
      </w:r>
      <w:r>
        <w:rPr>
          <w:rFonts w:cstheme="minorHAnsi"/>
        </w:rPr>
        <w:t>"</w:t>
      </w:r>
      <w:r w:rsidRPr="000E2FBF">
        <w:rPr>
          <w:rFonts w:cstheme="minorHAnsi"/>
        </w:rPr>
        <w:t>Chinese Wall</w:t>
      </w:r>
      <w:r>
        <w:rPr>
          <w:rFonts w:cstheme="minorHAnsi"/>
        </w:rPr>
        <w:t>". They provisioned</w:t>
      </w:r>
      <w:r w:rsidRPr="000E2FBF">
        <w:rPr>
          <w:rFonts w:cstheme="minorHAnsi"/>
        </w:rPr>
        <w:t xml:space="preserve"> the pseudonymised data to the analysis data side of the </w:t>
      </w:r>
      <w:r>
        <w:rPr>
          <w:rFonts w:cstheme="minorHAnsi"/>
        </w:rPr>
        <w:t>"</w:t>
      </w:r>
      <w:r w:rsidRPr="000E2FBF">
        <w:rPr>
          <w:rFonts w:cstheme="minorHAnsi"/>
        </w:rPr>
        <w:t>Chinese Wall</w:t>
      </w:r>
      <w:r>
        <w:rPr>
          <w:rFonts w:cstheme="minorHAnsi"/>
        </w:rPr>
        <w:t>"</w:t>
      </w:r>
      <w:r w:rsidRPr="000E2FBF">
        <w:rPr>
          <w:rFonts w:cstheme="minorHAnsi"/>
        </w:rPr>
        <w:t xml:space="preserve"> to facilitate a lookup between the hashed NHS Number and the CUREd </w:t>
      </w:r>
      <w:r>
        <w:rPr>
          <w:rFonts w:cstheme="minorHAnsi"/>
        </w:rPr>
        <w:t>databases'</w:t>
      </w:r>
      <w:r w:rsidRPr="000E2FBF">
        <w:rPr>
          <w:rFonts w:cstheme="minorHAnsi"/>
        </w:rPr>
        <w:t xml:space="preserve"> pseudonymised patient identifiers. This process did not allow UoS to reverse the pseudonymisation applied by STH. Subsequently</w:t>
      </w:r>
      <w:r>
        <w:rPr>
          <w:rFonts w:cstheme="minorHAnsi"/>
        </w:rPr>
        <w:t>,</w:t>
      </w:r>
      <w:r w:rsidRPr="000E2FBF">
        <w:rPr>
          <w:rFonts w:cstheme="minorHAnsi"/>
        </w:rPr>
        <w:t xml:space="preserve"> the data in the CUREd database relating to the cohort identified in the </w:t>
      </w:r>
      <w:r>
        <w:rPr>
          <w:rFonts w:cstheme="minorHAnsi"/>
        </w:rPr>
        <w:t>FNSD</w:t>
      </w:r>
      <w:r w:rsidRPr="000E2FBF">
        <w:rPr>
          <w:rFonts w:cstheme="minorHAnsi"/>
        </w:rPr>
        <w:t xml:space="preserve"> data was extracted. UoS maintained the </w:t>
      </w:r>
      <w:r>
        <w:rPr>
          <w:rFonts w:cstheme="minorHAnsi"/>
        </w:rPr>
        <w:t>"</w:t>
      </w:r>
      <w:r w:rsidRPr="000E2FBF">
        <w:rPr>
          <w:rFonts w:cstheme="minorHAnsi"/>
        </w:rPr>
        <w:t>Chinese Wall</w:t>
      </w:r>
      <w:r>
        <w:rPr>
          <w:rFonts w:cstheme="minorHAnsi"/>
        </w:rPr>
        <w:t>"</w:t>
      </w:r>
      <w:r w:rsidRPr="000E2FBF">
        <w:rPr>
          <w:rFonts w:cstheme="minorHAnsi"/>
        </w:rPr>
        <w:t xml:space="preserve"> described above and did not seek to re-identify the patients in the cohort supplied by STH. </w:t>
      </w:r>
    </w:p>
    <w:p w14:paraId="74447898" w14:textId="77777777" w:rsidR="00AD2B5C" w:rsidRPr="00565D6E" w:rsidRDefault="00AD2B5C" w:rsidP="00565D6E">
      <w:pPr>
        <w:pStyle w:val="Heading3"/>
      </w:pPr>
      <w:bookmarkStart w:id="127" w:name="_Toc137504744"/>
      <w:r w:rsidRPr="00565D6E">
        <w:t>4.2.4 Extracted Data</w:t>
      </w:r>
      <w:bookmarkEnd w:id="127"/>
    </w:p>
    <w:p w14:paraId="01D35D1A" w14:textId="77777777" w:rsidR="00AD2B5C" w:rsidRDefault="00AD2B5C" w:rsidP="00AF7E79">
      <w:r w:rsidRPr="000E2FBF">
        <w:t xml:space="preserve">The data used in the study comprised de-identified linked data extracted from the </w:t>
      </w:r>
      <w:r>
        <w:t>CUREd</w:t>
      </w:r>
      <w:r w:rsidRPr="000E2FBF">
        <w:t xml:space="preserve"> and SNP databases.</w:t>
      </w:r>
      <w:r>
        <w:t xml:space="preserve"> This study utilised two sub-cohorts captured within the linked dataset: one for a cross-sectional analysis and another for a longitudinal analysis.</w:t>
      </w:r>
    </w:p>
    <w:p w14:paraId="24A767EB" w14:textId="77777777" w:rsidR="00AD2B5C" w:rsidRDefault="00AD2B5C" w:rsidP="00AF7E79"/>
    <w:p w14:paraId="454A6210" w14:textId="77777777" w:rsidR="00AD2B5C" w:rsidRPr="000E2FBF" w:rsidRDefault="00AD2B5C" w:rsidP="00AF7E79">
      <w:pPr>
        <w:rPr>
          <w:u w:val="single"/>
        </w:rPr>
      </w:pPr>
      <w:r w:rsidRPr="000E2FBF">
        <w:rPr>
          <w:u w:val="single"/>
        </w:rPr>
        <w:t xml:space="preserve">Specialist </w:t>
      </w:r>
      <w:r>
        <w:rPr>
          <w:u w:val="single"/>
        </w:rPr>
        <w:t>N</w:t>
      </w:r>
      <w:r w:rsidRPr="000E2FBF">
        <w:rPr>
          <w:u w:val="single"/>
        </w:rPr>
        <w:t xml:space="preserve">eurology </w:t>
      </w:r>
      <w:r>
        <w:rPr>
          <w:u w:val="single"/>
        </w:rPr>
        <w:t>P</w:t>
      </w:r>
      <w:r w:rsidRPr="000E2FBF">
        <w:rPr>
          <w:u w:val="single"/>
        </w:rPr>
        <w:t xml:space="preserve">sychotherapy patient database </w:t>
      </w:r>
    </w:p>
    <w:p w14:paraId="51A0D96D" w14:textId="77777777" w:rsidR="00AD2B5C" w:rsidRDefault="00AD2B5C" w:rsidP="00AF7E79">
      <w:r w:rsidRPr="000E2FBF">
        <w:t xml:space="preserve">Data extracted from the </w:t>
      </w:r>
      <w:r>
        <w:t xml:space="preserve">psychotherapy </w:t>
      </w:r>
      <w:r w:rsidRPr="000E2FBF">
        <w:t>database</w:t>
      </w:r>
      <w:r>
        <w:t xml:space="preserve"> was based on access to the service between April 2012 and March 2016. At this time, there was limited available data on patient outcomes. Extracted data for</w:t>
      </w:r>
      <w:r w:rsidRPr="000E2FBF">
        <w:t xml:space="preserve"> each case included the</w:t>
      </w:r>
      <w:r>
        <w:t>ir</w:t>
      </w:r>
      <w:r w:rsidRPr="000E2FBF">
        <w:t xml:space="preserve"> age, </w:t>
      </w:r>
      <w:r>
        <w:t>sex,</w:t>
      </w:r>
      <w:r w:rsidRPr="000E2FBF">
        <w:t xml:space="preserve"> and </w:t>
      </w:r>
      <w:r>
        <w:t>place of residence</w:t>
      </w:r>
      <w:r w:rsidRPr="000E2FBF">
        <w:t xml:space="preserve"> (postcode). </w:t>
      </w:r>
      <w:r>
        <w:t>Extracted h</w:t>
      </w:r>
      <w:r w:rsidRPr="000E2FBF">
        <w:t xml:space="preserve">ealthcare data comprised of first and last therapy session dates, </w:t>
      </w:r>
      <w:r>
        <w:t xml:space="preserve">the number of </w:t>
      </w:r>
      <w:r w:rsidRPr="000E2FBF">
        <w:t xml:space="preserve">months of therapy and </w:t>
      </w:r>
      <w:r>
        <w:t xml:space="preserve">the </w:t>
      </w:r>
      <w:r w:rsidRPr="000E2FBF">
        <w:t xml:space="preserve">number of therapy sessions. </w:t>
      </w:r>
      <w:r>
        <w:t>Psychotherapy opt-in questionnaire data was not extracted as questionnaires changed during the 2012 to 2016 recruitment period (although all patients completed a baseline questionnaire).</w:t>
      </w:r>
    </w:p>
    <w:p w14:paraId="22C20DBB" w14:textId="59FFE827" w:rsidR="00AD2B5C" w:rsidRPr="00E166CC" w:rsidRDefault="00AD2B5C" w:rsidP="00AF7E79">
      <w:pPr>
        <w:spacing w:after="120"/>
        <w:rPr>
          <w:rFonts w:eastAsia="Calibri" w:cs="Calibri"/>
        </w:rPr>
      </w:pPr>
      <w:r>
        <w:rPr>
          <w:rFonts w:eastAsia="Calibri" w:cs="Calibri"/>
        </w:rPr>
        <w:t xml:space="preserve">Using patient postcodes at the time of registration with the services, corresponding Lower layer Super Output Areas (LSOAs) were used to calculate the Index of Multiple Deprivation (IMD) deciles. IMD data were based on the 2015 English Indexes of Deprivation, which classifies postcodes of current residence into IMD deciles </w:t>
      </w:r>
      <w:sdt>
        <w:sdtPr>
          <w:rPr>
            <w:rFonts w:eastAsia="Calibri" w:cs="Calibri"/>
            <w:color w:val="000000"/>
          </w:rPr>
          <w:tag w:val="MENDELEY_CITATION_v3_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"/>
          <w:id w:val="840433866"/>
          <w:placeholder>
            <w:docPart w:val="6AD4D9CA207DA34C98A359F7E76D0096"/>
          </w:placeholder>
        </w:sdtPr>
        <w:sdtContent>
          <w:r w:rsidR="0047170A" w:rsidRPr="0047170A">
            <w:rPr>
              <w:color w:val="000000"/>
            </w:rPr>
            <w:t>(English Indices of Deprivation 2015 - GOV.UK)</w:t>
          </w:r>
        </w:sdtContent>
      </w:sdt>
      <w:r w:rsidRPr="00C94F5D">
        <w:rPr>
          <w:rFonts w:eastAsia="Calibri" w:cs="Calibri"/>
        </w:rPr>
        <w:t>.</w:t>
      </w:r>
    </w:p>
    <w:p w14:paraId="09957E54" w14:textId="77777777" w:rsidR="00AD2B5C" w:rsidRPr="000E2FBF" w:rsidRDefault="00AD2B5C" w:rsidP="00AF7E79">
      <w:pPr>
        <w:spacing w:after="120"/>
        <w:rPr>
          <w:rFonts w:eastAsia="Calibri" w:cs="Calibri"/>
          <w:u w:val="single"/>
        </w:rPr>
      </w:pPr>
      <w:r w:rsidRPr="000E2FBF">
        <w:rPr>
          <w:rFonts w:eastAsia="Calibri" w:cs="Calibri"/>
          <w:u w:val="single"/>
        </w:rPr>
        <w:t>CUREd database</w:t>
      </w:r>
    </w:p>
    <w:p w14:paraId="471C0341" w14:textId="49D83403" w:rsidR="00AD2B5C" w:rsidRDefault="00AD2B5C" w:rsidP="00A56FE1">
      <w:r>
        <w:t xml:space="preserve">The extracted CUREd dataset for our study comprised </w:t>
      </w:r>
      <w:r w:rsidR="004564B0">
        <w:t>annual</w:t>
      </w:r>
      <w:r>
        <w:t xml:space="preserve"> data for the different types of UEC services; this was 2011-2017 for A&amp;E and APC data,  2012-2017 for AMB data and 2013-2017 for 111 data.</w:t>
      </w:r>
    </w:p>
    <w:p w14:paraId="18B5AAEF" w14:textId="77777777" w:rsidR="00AD2B5C" w:rsidRDefault="00AD2B5C" w:rsidP="000F1DBC">
      <w:pPr>
        <w:rPr>
          <w:rFonts w:eastAsia="Calibri" w:cs="Calibri"/>
        </w:rPr>
      </w:pPr>
      <w:r w:rsidRPr="000E2FBF">
        <w:rPr>
          <w:rFonts w:eastAsia="Calibri" w:cs="Calibri"/>
        </w:rPr>
        <w:t xml:space="preserve">The specific data obtained for each of the </w:t>
      </w:r>
      <w:r>
        <w:rPr>
          <w:rFonts w:eastAsia="Calibri" w:cs="Calibri"/>
        </w:rPr>
        <w:t xml:space="preserve">UEC </w:t>
      </w:r>
      <w:r w:rsidRPr="000E2FBF">
        <w:rPr>
          <w:rFonts w:eastAsia="Calibri" w:cs="Calibri"/>
        </w:rPr>
        <w:t>services comprised</w:t>
      </w:r>
      <w:r>
        <w:rPr>
          <w:rFonts w:eastAsia="Calibri" w:cs="Calibri"/>
        </w:rPr>
        <w:t>:</w:t>
      </w:r>
    </w:p>
    <w:p w14:paraId="0C6B4FE5" w14:textId="77777777" w:rsidR="00AD2B5C" w:rsidRPr="000F1DBC" w:rsidRDefault="00AD2B5C" w:rsidP="00AD2B5C">
      <w:pPr>
        <w:pStyle w:val="ListParagraph"/>
        <w:numPr>
          <w:ilvl w:val="0"/>
          <w:numId w:val="78"/>
        </w:numPr>
        <w:rPr>
          <w:rFonts w:eastAsia="Calibri" w:cs="Calibri"/>
        </w:rPr>
      </w:pPr>
      <w:r w:rsidRPr="000F1DBC">
        <w:rPr>
          <w:rFonts w:eastAsia="Calibri" w:cs="Calibri"/>
        </w:rPr>
        <w:t xml:space="preserve">For 111 contacts:  Age at </w:t>
      </w:r>
      <w:r>
        <w:rPr>
          <w:rFonts w:eastAsia="Calibri" w:cs="Calibri"/>
        </w:rPr>
        <w:t>presentation</w:t>
      </w:r>
      <w:r w:rsidRPr="000F1DBC">
        <w:rPr>
          <w:rFonts w:eastAsia="Calibri" w:cs="Calibri"/>
        </w:rPr>
        <w:t xml:space="preserve">, recommended care/referral, final disposition. </w:t>
      </w:r>
    </w:p>
    <w:p w14:paraId="0BE4B918" w14:textId="77777777" w:rsidR="00AD2B5C" w:rsidRPr="000F1DBC" w:rsidRDefault="00AD2B5C" w:rsidP="00AD2B5C">
      <w:pPr>
        <w:pStyle w:val="ListParagraph"/>
        <w:numPr>
          <w:ilvl w:val="0"/>
          <w:numId w:val="78"/>
        </w:numPr>
        <w:rPr>
          <w:rFonts w:eastAsia="Calibri" w:cs="Calibri"/>
          <w:color w:val="000000"/>
          <w:szCs w:val="22"/>
        </w:rPr>
      </w:pPr>
      <w:r w:rsidRPr="000F1DBC">
        <w:rPr>
          <w:rFonts w:eastAsia="Calibri" w:cs="Calibri"/>
        </w:rPr>
        <w:t xml:space="preserve">For A&amp;E, AMB: Age at presentation, </w:t>
      </w:r>
      <w:r w:rsidRPr="000F1DBC">
        <w:rPr>
          <w:rFonts w:eastAsia="Calibri" w:cs="Calibri"/>
          <w:color w:val="000000"/>
          <w:szCs w:val="22"/>
        </w:rPr>
        <w:t>urgency level of calls/contact, arrival mode, attendance category, final destination, and first and secondary investigations/procedures.</w:t>
      </w:r>
    </w:p>
    <w:p w14:paraId="609D8A56" w14:textId="77777777" w:rsidR="00AD2B5C" w:rsidRPr="000F1DBC" w:rsidRDefault="00AD2B5C" w:rsidP="00AD2B5C">
      <w:pPr>
        <w:pStyle w:val="ListParagraph"/>
        <w:numPr>
          <w:ilvl w:val="0"/>
          <w:numId w:val="78"/>
        </w:numPr>
        <w:spacing w:after="120"/>
        <w:rPr>
          <w:rFonts w:eastAsia="Calibri" w:cs="Calibri"/>
        </w:rPr>
      </w:pPr>
      <w:r w:rsidRPr="000F1DBC">
        <w:rPr>
          <w:rFonts w:eastAsia="Calibri" w:cs="Calibri"/>
          <w:color w:val="000000"/>
          <w:szCs w:val="22"/>
        </w:rPr>
        <w:t>For APC: Age at presentation, administrative category, method and source of admission, primary diagnosis, and operative procedures</w:t>
      </w:r>
      <w:r w:rsidRPr="000F1DBC">
        <w:rPr>
          <w:rFonts w:eastAsia="Calibri" w:cs="Calibri"/>
        </w:rPr>
        <w:t>.</w:t>
      </w:r>
    </w:p>
    <w:p w14:paraId="16D0DD10" w14:textId="77777777" w:rsidR="00AD2B5C" w:rsidRDefault="00AD2B5C" w:rsidP="00AF7E79">
      <w:pPr>
        <w:spacing w:after="120"/>
        <w:rPr>
          <w:rFonts w:eastAsia="Calibri" w:cs="Calibri"/>
        </w:rPr>
      </w:pPr>
      <w:r>
        <w:rPr>
          <w:rFonts w:eastAsia="Calibri" w:cs="Calibri"/>
        </w:rPr>
        <w:t xml:space="preserve">All captured UEC </w:t>
      </w:r>
      <w:r w:rsidRPr="00C76B7D">
        <w:rPr>
          <w:rFonts w:eastAsia="Calibri" w:cs="Calibri"/>
        </w:rPr>
        <w:t xml:space="preserve">usage in </w:t>
      </w:r>
      <w:r>
        <w:rPr>
          <w:rFonts w:eastAsia="Calibri" w:cs="Calibri"/>
        </w:rPr>
        <w:t>the CHC CUREd database catchment area (i.e., Yorkshire and Humber) for each study cohort, regardless of patients' location of residence (within South Yorkshire), were used for analysis. However, any UEC</w:t>
      </w:r>
      <w:r w:rsidRPr="00C76B7D">
        <w:rPr>
          <w:rFonts w:eastAsia="Calibri" w:cs="Calibri"/>
        </w:rPr>
        <w:t xml:space="preserve"> usage</w:t>
      </w:r>
      <w:r>
        <w:rPr>
          <w:rFonts w:eastAsia="Calibri" w:cs="Calibri"/>
        </w:rPr>
        <w:t xml:space="preserve"> </w:t>
      </w:r>
      <w:r w:rsidRPr="00C76B7D">
        <w:rPr>
          <w:rFonts w:eastAsia="Calibri" w:cs="Calibri"/>
        </w:rPr>
        <w:t>of</w:t>
      </w:r>
      <w:r>
        <w:rPr>
          <w:rFonts w:eastAsia="Calibri" w:cs="Calibri"/>
        </w:rPr>
        <w:t xml:space="preserve"> the South Yorkshire-based FNSD patients </w:t>
      </w:r>
      <w:r w:rsidRPr="00C76B7D">
        <w:rPr>
          <w:rFonts w:eastAsia="Calibri" w:cs="Calibri"/>
        </w:rPr>
        <w:t>during the examined period but outside the CHC geographic area (for instance</w:t>
      </w:r>
      <w:r>
        <w:rPr>
          <w:rFonts w:eastAsia="Calibri" w:cs="Calibri"/>
        </w:rPr>
        <w:t>,</w:t>
      </w:r>
      <w:r w:rsidRPr="00C76B7D">
        <w:rPr>
          <w:rFonts w:eastAsia="Calibri" w:cs="Calibri"/>
        </w:rPr>
        <w:t xml:space="preserve"> while people were on </w:t>
      </w:r>
      <w:r>
        <w:rPr>
          <w:rFonts w:eastAsia="Calibri" w:cs="Calibri"/>
        </w:rPr>
        <w:t>holiday</w:t>
      </w:r>
      <w:r w:rsidRPr="00C76B7D">
        <w:rPr>
          <w:rFonts w:eastAsia="Calibri" w:cs="Calibri"/>
        </w:rPr>
        <w:t xml:space="preserve"> or working elsewhere) was not captured and would therefore be missing.</w:t>
      </w:r>
    </w:p>
    <w:p w14:paraId="65BD5DCA" w14:textId="77777777" w:rsidR="00AD2B5C" w:rsidRPr="00C94F5D" w:rsidRDefault="00AD2B5C" w:rsidP="00AF7E79">
      <w:pPr>
        <w:spacing w:after="120"/>
        <w:rPr>
          <w:rFonts w:eastAsia="Calibri" w:cs="Calibri"/>
          <w:u w:val="single"/>
        </w:rPr>
      </w:pPr>
      <w:r w:rsidRPr="00C94F5D">
        <w:rPr>
          <w:rFonts w:eastAsia="Calibri" w:cs="Calibri"/>
          <w:u w:val="single"/>
        </w:rPr>
        <w:lastRenderedPageBreak/>
        <w:t>Reference population</w:t>
      </w:r>
    </w:p>
    <w:p w14:paraId="2CC40A51" w14:textId="77777777" w:rsidR="00AD2B5C" w:rsidRPr="000E2FBF" w:rsidRDefault="00AD2B5C" w:rsidP="00AF7E79">
      <w:pPr>
        <w:spacing w:after="120"/>
        <w:rPr>
          <w:rFonts w:eastAsia="Calibri" w:cs="Calibri"/>
        </w:rPr>
      </w:pPr>
      <w:r>
        <w:t>To compare UEC service usage rates, we estimated the size and demographic structure of the (general) population from which the observed sample of FNSD patients was drawn. To do this, age- and sex-stratified ONS population estimates for corresponding years to the FNSD cohort for the areas covered by the Sheffield CCG were obtained.</w:t>
      </w:r>
    </w:p>
    <w:p w14:paraId="77CC8988" w14:textId="77777777" w:rsidR="00AD2B5C" w:rsidRPr="00565D6E" w:rsidRDefault="00AD2B5C" w:rsidP="00565D6E">
      <w:pPr>
        <w:pStyle w:val="Heading3"/>
      </w:pPr>
      <w:bookmarkStart w:id="128" w:name="_Toc137504745"/>
      <w:r w:rsidRPr="00565D6E">
        <w:t>4.2.5 Ethics and Permissions</w:t>
      </w:r>
      <w:bookmarkEnd w:id="128"/>
    </w:p>
    <w:p w14:paraId="7CC52AE0" w14:textId="77777777" w:rsidR="00AD2B5C" w:rsidRDefault="00AD2B5C" w:rsidP="000F1DBC">
      <w:pPr>
        <w:spacing w:before="240" w:after="240"/>
      </w:pPr>
      <w:r w:rsidRPr="000E2FBF">
        <w:t>This project received STH local approval as a service evaluation. According to the UK Policy Framework for Health and Social Care Research, patients do not have to consent to service evaluations involving anonymised information captured during routine clinical care.</w:t>
      </w:r>
      <w:r>
        <w:t xml:space="preserve"> </w:t>
      </w:r>
      <w:r w:rsidRPr="000E2FBF">
        <w:t xml:space="preserve">The </w:t>
      </w:r>
      <w:r>
        <w:t>pre-existing secondary</w:t>
      </w:r>
      <w:r w:rsidRPr="000E2FBF">
        <w:t xml:space="preserve"> data utilised in this project was only accessible by a sole database manager within the external CHC team who completed the merge and the research team at STH (the data controller). Data handling in this project complied with the Data Protection Act, </w:t>
      </w:r>
      <w:r>
        <w:t>STH's</w:t>
      </w:r>
      <w:r w:rsidRPr="000E2FBF">
        <w:t xml:space="preserve"> Data </w:t>
      </w:r>
      <w:r>
        <w:t>Protection</w:t>
      </w:r>
      <w:r w:rsidRPr="000E2FBF">
        <w:t xml:space="preserve"> </w:t>
      </w:r>
      <w:r>
        <w:t>Policy</w:t>
      </w:r>
      <w:r w:rsidRPr="000E2FBF">
        <w:t xml:space="preserve">, General Data Protection Regulation (GDPR, 2018) and the STH Transferring Personal Identifiable Data Policy. </w:t>
      </w:r>
    </w:p>
    <w:p w14:paraId="330AD8F9" w14:textId="77777777" w:rsidR="00AD2B5C" w:rsidRPr="00565D6E" w:rsidRDefault="00AD2B5C" w:rsidP="00565D6E">
      <w:pPr>
        <w:pStyle w:val="Heading3"/>
      </w:pPr>
      <w:bookmarkStart w:id="129" w:name="_Toc137504746"/>
      <w:r w:rsidRPr="00565D6E">
        <w:t>4.2.6 Research Study Design</w:t>
      </w:r>
      <w:bookmarkEnd w:id="129"/>
    </w:p>
    <w:p w14:paraId="42329D33" w14:textId="77777777" w:rsidR="00AD2B5C" w:rsidRPr="00565D6E" w:rsidRDefault="00AD2B5C" w:rsidP="00565D6E">
      <w:pPr>
        <w:pStyle w:val="Heading4"/>
      </w:pPr>
      <w:r w:rsidRPr="00565D6E">
        <w:t>4.2.6.1 Cross-sectional Analysis – UEC service use rates in FNSD vs General Population</w:t>
      </w:r>
    </w:p>
    <w:p w14:paraId="2AC59814" w14:textId="549AAAC1" w:rsidR="00AD2B5C" w:rsidRDefault="00AD2B5C" w:rsidP="00AF7E79">
      <w:r>
        <w:t>A</w:t>
      </w:r>
      <w:r w:rsidRPr="000E2FBF">
        <w:t xml:space="preserve"> cross-sectional analysis of </w:t>
      </w:r>
      <w:r>
        <w:t xml:space="preserve">standardised </w:t>
      </w:r>
      <w:r w:rsidRPr="000E2FBF">
        <w:t>emergency service rates</w:t>
      </w:r>
      <w:r>
        <w:t xml:space="preserve"> </w:t>
      </w:r>
      <w:r w:rsidR="004564B0">
        <w:t xml:space="preserve">(Accident and Emergency, and NHS 111 only) </w:t>
      </w:r>
      <w:r>
        <w:t xml:space="preserve">was conducted, comparing usage rates between the FNSD and the general population. </w:t>
      </w:r>
    </w:p>
    <w:p w14:paraId="7967F5FA" w14:textId="77777777" w:rsidR="00AD2B5C" w:rsidRPr="00F30268" w:rsidRDefault="00AD2B5C" w:rsidP="00AF7E79">
      <w:pPr>
        <w:rPr>
          <w:u w:val="single"/>
        </w:rPr>
      </w:pPr>
      <w:r w:rsidRPr="00F30268">
        <w:rPr>
          <w:u w:val="single"/>
        </w:rPr>
        <w:t>Analysis cohort</w:t>
      </w:r>
    </w:p>
    <w:p w14:paraId="2454794C" w14:textId="7F9DBC62" w:rsidR="00AD2B5C" w:rsidRDefault="00AD2B5C" w:rsidP="00546E34">
      <w:r w:rsidRPr="000E2FBF">
        <w:t xml:space="preserve">Consecutive patients with a neurologist-confirmed diagnosis of </w:t>
      </w:r>
      <w:r>
        <w:t>FNSD</w:t>
      </w:r>
      <w:r w:rsidRPr="000E2FBF">
        <w:t>, seen by the STH neurology psychotherapy service between 1</w:t>
      </w:r>
      <w:r w:rsidRPr="00711969">
        <w:rPr>
          <w:vertAlign w:val="superscript"/>
        </w:rPr>
        <w:t>s</w:t>
      </w:r>
      <w:r>
        <w:rPr>
          <w:vertAlign w:val="superscript"/>
        </w:rPr>
        <w:t xml:space="preserve">t </w:t>
      </w:r>
      <w:r>
        <w:t xml:space="preserve">April </w:t>
      </w:r>
      <w:r w:rsidRPr="000E2FBF">
        <w:t xml:space="preserve"> 201</w:t>
      </w:r>
      <w:r>
        <w:t>2</w:t>
      </w:r>
      <w:r w:rsidRPr="000E2FBF">
        <w:t xml:space="preserve"> and 3</w:t>
      </w:r>
      <w:r>
        <w:t>1</w:t>
      </w:r>
      <w:r w:rsidRPr="00711969">
        <w:rPr>
          <w:vertAlign w:val="superscript"/>
        </w:rPr>
        <w:t>st</w:t>
      </w:r>
      <w:r w:rsidRPr="000E2FBF">
        <w:t xml:space="preserve"> March 2016</w:t>
      </w:r>
      <w:r>
        <w:t>,</w:t>
      </w:r>
      <w:r w:rsidRPr="000E2FBF">
        <w:t xml:space="preserve"> were identified from </w:t>
      </w:r>
      <w:r>
        <w:t xml:space="preserve">the Neurology </w:t>
      </w:r>
      <w:r w:rsidRPr="000E2FBF">
        <w:t>psychotherapy patient database</w:t>
      </w:r>
      <w:r>
        <w:t xml:space="preserve"> and linked to the CUREd UEC database</w:t>
      </w:r>
      <w:r w:rsidRPr="000E2FBF">
        <w:t xml:space="preserve">. Data from patients who received at least one </w:t>
      </w:r>
      <w:r>
        <w:t>psychotherapy session</w:t>
      </w:r>
      <w:r w:rsidRPr="000E2FBF">
        <w:t xml:space="preserve"> within the recruitment period dates w</w:t>
      </w:r>
      <w:r>
        <w:t>ere</w:t>
      </w:r>
      <w:r w:rsidRPr="000E2FBF">
        <w:t xml:space="preserve"> included in the study.</w:t>
      </w:r>
      <w:r>
        <w:t xml:space="preserve"> </w:t>
      </w:r>
      <w:r w:rsidRPr="000E2FBF">
        <w:t xml:space="preserve">This cohort analysis utilised </w:t>
      </w:r>
      <w:r>
        <w:t xml:space="preserve">a subset of FNSD psychotherapy patients (Sheffield-based patients only) </w:t>
      </w:r>
      <w:r w:rsidRPr="000E2FBF">
        <w:t>t</w:t>
      </w:r>
      <w:r>
        <w:t xml:space="preserve">o compare standardised rates of UEC service use with the </w:t>
      </w:r>
      <w:r w:rsidRPr="000E2FBF">
        <w:t>general population.</w:t>
      </w:r>
      <w:r>
        <w:t xml:space="preserve"> Service users</w:t>
      </w:r>
      <w:r w:rsidRPr="000E2FBF">
        <w:t xml:space="preserve"> located within </w:t>
      </w:r>
      <w:r>
        <w:t xml:space="preserve">the </w:t>
      </w:r>
      <w:r w:rsidRPr="000E2FBF">
        <w:t xml:space="preserve">Sheffield Clinical Commissioning group </w:t>
      </w:r>
      <w:r>
        <w:t xml:space="preserve">area were identified using their home </w:t>
      </w:r>
      <w:r w:rsidRPr="000E2FBF">
        <w:t>postcodes at the time of registering with the service</w:t>
      </w:r>
      <w:r>
        <w:t xml:space="preserve"> and</w:t>
      </w:r>
      <w:r w:rsidRPr="000E2FBF">
        <w:t xml:space="preserve"> included </w:t>
      </w:r>
      <w:r>
        <w:t>in comparison with</w:t>
      </w:r>
      <w:r w:rsidRPr="000E2FBF">
        <w:t xml:space="preserve"> the general population in the same geographical </w:t>
      </w:r>
      <w:r>
        <w:t>area</w:t>
      </w:r>
      <w:r w:rsidRPr="000E2FBF">
        <w:t xml:space="preserve">. </w:t>
      </w:r>
      <w:r>
        <w:lastRenderedPageBreak/>
        <w:t>We</w:t>
      </w:r>
      <w:r w:rsidRPr="000E2FBF">
        <w:t xml:space="preserve"> excluded patients with home addresses in areas </w:t>
      </w:r>
      <w:r>
        <w:t xml:space="preserve">covered by the </w:t>
      </w:r>
      <w:r w:rsidRPr="000E2FBF">
        <w:t>Doncaster NHS, Bassetlaw NHS, Barnsley NHS, Rotherham NHS, North Derbyshire, and Derbyshire NHS CCG</w:t>
      </w:r>
      <w:r>
        <w:t xml:space="preserve">s who lived within the </w:t>
      </w:r>
      <w:r w:rsidRPr="000E2FBF">
        <w:t xml:space="preserve">psychotherapy service </w:t>
      </w:r>
      <w:r>
        <w:t>catchment area but for whom matching CUREd data</w:t>
      </w:r>
      <w:r w:rsidR="004564B0">
        <w:t xml:space="preserve"> for the general population</w:t>
      </w:r>
      <w:r>
        <w:t xml:space="preserve"> was not available or would have been more challenging to match geographically</w:t>
      </w:r>
      <w:r w:rsidRPr="000E2FBF">
        <w:t xml:space="preserve">. Emergency use </w:t>
      </w:r>
      <w:r>
        <w:t>rates</w:t>
      </w:r>
      <w:r w:rsidRPr="000E2FBF">
        <w:t xml:space="preserve"> for the general population</w:t>
      </w:r>
      <w:r>
        <w:t xml:space="preserve"> were calculated using secondary data output from another study using data from </w:t>
      </w:r>
      <w:r w:rsidRPr="000E2FBF">
        <w:t>the CUREd research database</w:t>
      </w:r>
      <w:r>
        <w:t>. Age- and sex-stratified counts</w:t>
      </w:r>
      <w:r w:rsidRPr="000E2FBF">
        <w:t xml:space="preserve"> </w:t>
      </w:r>
      <w:r>
        <w:t xml:space="preserve">of contacts for A&amp;E, APC, and AMB services in the general population in </w:t>
      </w:r>
      <w:r w:rsidR="004564B0">
        <w:t>Sheffield CCG</w:t>
      </w:r>
      <w:r>
        <w:t xml:space="preserve"> (also obtained from the CUREd database) were obtained from a study by </w:t>
      </w:r>
      <w:sdt>
        <w:sdtPr>
          <w:rPr>
            <w:color w:val="000000"/>
          </w:rPr>
          <w:tag w:val="MENDELEY_CITATION_v3_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"/>
          <w:id w:val="1836495354"/>
          <w:placeholder>
            <w:docPart w:val="EE3874D81E39474D8093428FB01C4BEE"/>
          </w:placeholder>
        </w:sdtPr>
        <w:sdtContent>
          <w:r w:rsidR="0047170A" w:rsidRPr="0047170A">
            <w:rPr>
              <w:color w:val="000000"/>
            </w:rPr>
            <w:t>Lewis et al. (2023)</w:t>
          </w:r>
        </w:sdtContent>
      </w:sdt>
      <w:r>
        <w:t xml:space="preserve"> assessing data from 2013-2016. </w:t>
      </w:r>
      <w:r w:rsidRPr="000E2FBF">
        <w:t>Thus, this analysis utilised attendances between April 2013</w:t>
      </w:r>
      <w:r>
        <w:t xml:space="preserve"> </w:t>
      </w:r>
      <w:r w:rsidRPr="000E2FBF">
        <w:t>and March 2015, where data were complete for the patient and general populations</w:t>
      </w:r>
      <w:r>
        <w:t xml:space="preserve"> in </w:t>
      </w:r>
      <w:r w:rsidR="004564B0">
        <w:t>A&amp;E, NHS111 and ambulance</w:t>
      </w:r>
      <w:r>
        <w:t xml:space="preserve"> services</w:t>
      </w:r>
      <w:r w:rsidRPr="000E2FBF">
        <w:t>. The general population cohort</w:t>
      </w:r>
      <w:r>
        <w:t>,</w:t>
      </w:r>
      <w:r w:rsidRPr="000E2FBF">
        <w:t xml:space="preserve"> therefore</w:t>
      </w:r>
      <w:r>
        <w:t>,</w:t>
      </w:r>
      <w:r w:rsidRPr="000E2FBF">
        <w:t xml:space="preserve"> comprised an estimation of the people living in the areas served by the Sheffield NHS </w:t>
      </w:r>
      <w:r>
        <w:t>CCG</w:t>
      </w:r>
      <w:r w:rsidRPr="000E2FBF">
        <w:t xml:space="preserve"> between 2013 and 2015</w:t>
      </w:r>
      <w:r>
        <w:t xml:space="preserve"> </w:t>
      </w:r>
      <w:r w:rsidRPr="000E2FBF">
        <w:t xml:space="preserve">(n=350). </w:t>
      </w:r>
      <w:r>
        <w:t>The emergency use data for this analysis d</w:t>
      </w:r>
      <w:r w:rsidRPr="00B411D6">
        <w:t xml:space="preserve">oes not </w:t>
      </w:r>
      <w:r>
        <w:t>consider</w:t>
      </w:r>
      <w:r w:rsidRPr="00B411D6">
        <w:t xml:space="preserve"> the timing of therapy in the patient cohort - some patients would have been post-therapy in 2013-2015, </w:t>
      </w:r>
      <w:r>
        <w:t xml:space="preserve">and </w:t>
      </w:r>
      <w:r w:rsidRPr="00B411D6">
        <w:t>others would have been</w:t>
      </w:r>
      <w:r>
        <w:t xml:space="preserve"> in</w:t>
      </w:r>
      <w:r w:rsidRPr="00B411D6">
        <w:t xml:space="preserve"> pre-therapy at this time.</w:t>
      </w:r>
    </w:p>
    <w:p w14:paraId="57BE2DA7" w14:textId="77777777" w:rsidR="00AD2B5C" w:rsidRPr="00FB3488" w:rsidRDefault="00AD2B5C" w:rsidP="00F30268">
      <w:pPr>
        <w:rPr>
          <w:u w:val="single"/>
        </w:rPr>
      </w:pPr>
      <w:r w:rsidRPr="00FB3488">
        <w:rPr>
          <w:u w:val="single"/>
        </w:rPr>
        <w:t>Measures</w:t>
      </w:r>
    </w:p>
    <w:p w14:paraId="35EA3FBA" w14:textId="77777777" w:rsidR="00AD2B5C" w:rsidRDefault="00AD2B5C" w:rsidP="00327F16">
      <w:r>
        <w:t>The primary outcome measures for this cross-sectional analysis were:</w:t>
      </w:r>
    </w:p>
    <w:p w14:paraId="769B9729" w14:textId="77777777" w:rsidR="00AD2B5C" w:rsidRDefault="00AD2B5C" w:rsidP="00AD2B5C">
      <w:pPr>
        <w:pStyle w:val="ListParagraph"/>
        <w:numPr>
          <w:ilvl w:val="0"/>
          <w:numId w:val="76"/>
        </w:numPr>
      </w:pPr>
      <w:r>
        <w:t>The age- and sex-standardised rate of UEC service usage for pwFNSD and the general population between 2013 and 2015.</w:t>
      </w:r>
    </w:p>
    <w:p w14:paraId="4A0302DE" w14:textId="77777777" w:rsidR="00AD2B5C" w:rsidRDefault="00AD2B5C" w:rsidP="00AD2B5C">
      <w:pPr>
        <w:pStyle w:val="ListParagraph"/>
        <w:numPr>
          <w:ilvl w:val="0"/>
          <w:numId w:val="76"/>
        </w:numPr>
      </w:pPr>
      <w:r>
        <w:t>The age- and sex-standardised proportion of UEC service users for pwFNSD and the general population between 2013 and 2015.</w:t>
      </w:r>
    </w:p>
    <w:p w14:paraId="7091EBF7" w14:textId="77777777" w:rsidR="00AD2B5C" w:rsidRDefault="00AD2B5C" w:rsidP="00AD2B5C">
      <w:pPr>
        <w:pStyle w:val="ListParagraph"/>
        <w:numPr>
          <w:ilvl w:val="0"/>
          <w:numId w:val="76"/>
        </w:numPr>
      </w:pPr>
      <w:r>
        <w:t>The age- and sex-standardised rate ratios of UEC service use between pwFNSD and the general population during 2013 - 2015.</w:t>
      </w:r>
    </w:p>
    <w:p w14:paraId="29166376" w14:textId="77777777" w:rsidR="00AD2B5C" w:rsidRPr="00FB3488" w:rsidRDefault="00AD2B5C" w:rsidP="00A56FE1">
      <w:pPr>
        <w:rPr>
          <w:u w:val="single"/>
        </w:rPr>
      </w:pPr>
      <w:r w:rsidRPr="00FB3488">
        <w:rPr>
          <w:u w:val="single"/>
        </w:rPr>
        <w:t>Analysis</w:t>
      </w:r>
    </w:p>
    <w:p w14:paraId="5AF25BBD" w14:textId="77777777" w:rsidR="00AD2B5C" w:rsidRPr="00FB3488" w:rsidRDefault="00AD2B5C" w:rsidP="00A56FE1">
      <w:pPr>
        <w:rPr>
          <w:i/>
          <w:iCs/>
        </w:rPr>
      </w:pPr>
      <w:r w:rsidRPr="00FB3488">
        <w:rPr>
          <w:i/>
          <w:iCs/>
        </w:rPr>
        <w:t>Age and Sex Stratification:</w:t>
      </w:r>
    </w:p>
    <w:p w14:paraId="1EB65281" w14:textId="77777777" w:rsidR="00AD2B5C" w:rsidRPr="00E166CC" w:rsidRDefault="00AD2B5C" w:rsidP="00A56FE1">
      <w:r w:rsidRPr="00745C22">
        <w:t>To a</w:t>
      </w:r>
      <w:r>
        <w:t xml:space="preserve">ccount </w:t>
      </w:r>
      <w:r w:rsidRPr="00745C22">
        <w:t xml:space="preserve">for variation in </w:t>
      </w:r>
      <w:r>
        <w:t>emergency use</w:t>
      </w:r>
      <w:r w:rsidRPr="00745C22">
        <w:t xml:space="preserve"> rate</w:t>
      </w:r>
      <w:r>
        <w:t xml:space="preserve"> or proportion</w:t>
      </w:r>
      <w:r w:rsidRPr="00745C22">
        <w:t xml:space="preserve"> by age</w:t>
      </w:r>
      <w:r>
        <w:t xml:space="preserve"> and sex</w:t>
      </w:r>
      <w:r w:rsidRPr="00745C22">
        <w:t xml:space="preserve">, rates </w:t>
      </w:r>
      <w:r>
        <w:t>were</w:t>
      </w:r>
      <w:r w:rsidRPr="00745C22">
        <w:t xml:space="preserve"> calculated for each age</w:t>
      </w:r>
      <w:r>
        <w:t>-sex</w:t>
      </w:r>
      <w:r w:rsidRPr="00745C22">
        <w:t xml:space="preserve"> </w:t>
      </w:r>
      <w:r>
        <w:t xml:space="preserve">category. </w:t>
      </w:r>
      <w:r w:rsidRPr="00745C22">
        <w:t xml:space="preserve">These </w:t>
      </w:r>
      <w:r>
        <w:t>stratified</w:t>
      </w:r>
      <w:r w:rsidRPr="00745C22">
        <w:t xml:space="preserve"> rates </w:t>
      </w:r>
      <w:r>
        <w:t>we</w:t>
      </w:r>
      <w:r w:rsidRPr="00745C22">
        <w:t xml:space="preserve">re defined as the number of events or </w:t>
      </w:r>
      <w:r>
        <w:t>individual contacts</w:t>
      </w:r>
      <w:r w:rsidRPr="00745C22">
        <w:t xml:space="preserve"> in the </w:t>
      </w:r>
      <w:r>
        <w:t>age-sex</w:t>
      </w:r>
      <w:r w:rsidRPr="00745C22">
        <w:t xml:space="preserve"> group per </w:t>
      </w:r>
      <w:r>
        <w:t>1,</w:t>
      </w:r>
      <w:r w:rsidRPr="00745C22">
        <w:t xml:space="preserve">000 population </w:t>
      </w:r>
      <w:r>
        <w:t>in the observed 3-year period</w:t>
      </w:r>
      <w:r w:rsidRPr="00745C22">
        <w:t>.</w:t>
      </w:r>
      <w:r>
        <w:t xml:space="preserve"> Age strata of 10-year intervals from age 15 up to 75+ were used to keep as close as possible to WHO standards while allowing viable sample sizes for each age/sex category.</w:t>
      </w:r>
    </w:p>
    <w:p w14:paraId="5387E778" w14:textId="77777777" w:rsidR="00AD2B5C" w:rsidRPr="00FB3488" w:rsidRDefault="00AD2B5C" w:rsidP="00A56FE1">
      <w:pPr>
        <w:rPr>
          <w:i/>
          <w:iCs/>
        </w:rPr>
      </w:pPr>
      <w:r w:rsidRPr="00FB3488">
        <w:rPr>
          <w:i/>
          <w:iCs/>
        </w:rPr>
        <w:t>Rates of UEC in FNSD and general populations</w:t>
      </w:r>
      <w:r>
        <w:rPr>
          <w:i/>
          <w:iCs/>
        </w:rPr>
        <w:t>:</w:t>
      </w:r>
    </w:p>
    <w:p w14:paraId="1FC7C0CF" w14:textId="41841E3B" w:rsidR="00AD2B5C" w:rsidRDefault="00AD2B5C" w:rsidP="00A56FE1">
      <w:r w:rsidRPr="00046008">
        <w:lastRenderedPageBreak/>
        <w:t xml:space="preserve">The indirectly standardised </w:t>
      </w:r>
      <w:r>
        <w:t xml:space="preserve">event </w:t>
      </w:r>
      <w:r w:rsidRPr="00046008">
        <w:t xml:space="preserve">rate </w:t>
      </w:r>
      <w:r>
        <w:t xml:space="preserve">(ISR) </w:t>
      </w:r>
      <w:r w:rsidRPr="00046008">
        <w:t xml:space="preserve">is the </w:t>
      </w:r>
      <w:r>
        <w:t>event</w:t>
      </w:r>
      <w:r w:rsidRPr="00046008">
        <w:t xml:space="preserve"> rate expected in </w:t>
      </w:r>
      <w:r>
        <w:t>a</w:t>
      </w:r>
      <w:r w:rsidRPr="00046008">
        <w:t xml:space="preserve"> study population if </w:t>
      </w:r>
      <w:r>
        <w:t>a reference population's</w:t>
      </w:r>
      <w:r w:rsidRPr="00046008">
        <w:t xml:space="preserve"> age-</w:t>
      </w:r>
      <w:r>
        <w:t xml:space="preserve"> and sex-</w:t>
      </w:r>
      <w:r w:rsidRPr="00046008">
        <w:t>specific rates had applied</w:t>
      </w:r>
      <w:r>
        <w:t xml:space="preserve"> </w:t>
      </w:r>
      <w:sdt>
        <w:sdtPr>
          <w:rPr>
            <w:color w:val="000000"/>
          </w:rPr>
          <w:tag w:val="MENDELEY_CITATION_v3_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"/>
          <w:id w:val="-1723045394"/>
          <w:placeholder>
            <w:docPart w:val="719E5BFF1104C743B278A934CD98D16E"/>
          </w:placeholder>
        </w:sdtPr>
        <w:sdtContent>
          <w:r w:rsidR="0047170A" w:rsidRPr="0047170A">
            <w:rPr>
              <w:color w:val="000000"/>
            </w:rPr>
            <w:t>(Naing, 2000)</w:t>
          </w:r>
        </w:sdtContent>
      </w:sdt>
      <w:r w:rsidRPr="00046008">
        <w:t xml:space="preserve">. </w:t>
      </w:r>
      <w:r>
        <w:t xml:space="preserve">In the present study, standardised rates for the FNSD cohort were indirectly calculated using the ONS general population estimates for the Sheffield CCG area in the study period as the reference population </w:t>
      </w:r>
      <w:sdt>
        <w:sdtPr>
          <w:tag w:val="MENDELEY_CITATION_v3_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"/>
          <w:id w:val="-1675488787"/>
          <w:placeholder>
            <w:docPart w:val="719E5BFF1104C743B278A934CD98D16E"/>
          </w:placeholder>
        </w:sdtPr>
        <w:sdtContent>
          <w:r w:rsidR="0047170A">
            <w:rPr>
              <w:rFonts w:eastAsia="Times New Roman"/>
            </w:rPr>
            <w:t>(</w:t>
          </w:r>
          <w:r w:rsidR="0047170A">
            <w:rPr>
              <w:rFonts w:eastAsia="Times New Roman"/>
              <w:i/>
              <w:iCs/>
            </w:rPr>
            <w:t>Clinical Commissioning Group Population Estimates (National Statistics) - Office for National Statistics</w:t>
          </w:r>
          <w:r w:rsidR="0047170A">
            <w:rPr>
              <w:rFonts w:eastAsia="Times New Roman"/>
            </w:rPr>
            <w:t>, n.d.)</w:t>
          </w:r>
        </w:sdtContent>
      </w:sdt>
      <w:r>
        <w:t xml:space="preserve">. The indirect method of standardisation was deemed appropriate to minimise the effects of sampling error due to the smaller sample size in the FNSD population compared with the general population and the few numbers of events in some of the age-sex categories </w:t>
      </w:r>
      <w:sdt>
        <w:sdtPr>
          <w:rPr>
            <w:color w:val="000000"/>
          </w:rPr>
          <w:tag w:val="MENDELEY_CITATION_v3_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"/>
          <w:id w:val="1022520904"/>
          <w:placeholder>
            <w:docPart w:val="719E5BFF1104C743B278A934CD98D16E"/>
          </w:placeholder>
        </w:sdtPr>
        <w:sdtContent>
          <w:r w:rsidR="0047170A" w:rsidRPr="0047170A">
            <w:rPr>
              <w:color w:val="000000"/>
            </w:rPr>
            <w:t>(</w:t>
          </w:r>
          <w:proofErr w:type="spellStart"/>
          <w:r w:rsidR="0047170A" w:rsidRPr="0047170A">
            <w:rPr>
              <w:color w:val="000000"/>
            </w:rPr>
            <w:t>Tripepi</w:t>
          </w:r>
          <w:proofErr w:type="spellEnd"/>
          <w:r w:rsidR="0047170A" w:rsidRPr="0047170A">
            <w:rPr>
              <w:color w:val="000000"/>
            </w:rPr>
            <w:t xml:space="preserve"> et al., 2010)</w:t>
          </w:r>
        </w:sdtContent>
      </w:sdt>
      <w:r>
        <w:t>.</w:t>
      </w:r>
    </w:p>
    <w:p w14:paraId="4D3C9359" w14:textId="77777777" w:rsidR="00AD2B5C" w:rsidRDefault="00AD2B5C" w:rsidP="00A56FE1">
      <w:pPr>
        <w:spacing w:after="240"/>
      </w:pPr>
      <w:r>
        <w:t>Standardised</w:t>
      </w:r>
      <w:r w:rsidRPr="00DC0EC4">
        <w:t xml:space="preserve"> rates </w:t>
      </w:r>
      <w:r>
        <w:t xml:space="preserve">and proportions </w:t>
      </w:r>
      <w:r w:rsidRPr="00DC0EC4">
        <w:t xml:space="preserve">of </w:t>
      </w:r>
      <w:r>
        <w:t>use for each UEC service were calculated. Crude rates were calculated using the formula:</w:t>
      </w:r>
    </w:p>
    <w:p w14:paraId="27EDA87B" w14:textId="77777777" w:rsidR="00AD2B5C" w:rsidRDefault="00AD2B5C" w:rsidP="00A56FE1">
      <w:pPr>
        <w:spacing w:after="240"/>
      </w:pPr>
      <m:oMathPara>
        <m:oMath>
          <m:r>
            <w:rPr>
              <w:rFonts w:ascii="Cambria Math" w:hAnsi="Cambria Math"/>
            </w:rPr>
            <m:t xml:space="preserve">Rate= </m:t>
          </m:r>
          <m:f>
            <m:fPr>
              <m:ctrlPr>
                <w:rPr>
                  <w:rFonts w:ascii="Cambria Math" w:hAnsi="Cambria Math"/>
                  <w:i/>
                </w:rPr>
              </m:ctrlPr>
            </m:fPr>
            <m:num>
              <m:r>
                <w:rPr>
                  <w:rFonts w:ascii="Cambria Math" w:hAnsi="Cambria Math"/>
                </w:rPr>
                <m:t>Number of new events</m:t>
              </m:r>
            </m:num>
            <m:den>
              <m:r>
                <w:rPr>
                  <w:rFonts w:ascii="Cambria Math" w:hAnsi="Cambria Math"/>
                </w:rPr>
                <m:t>Number of total population × Time at risk</m:t>
              </m:r>
            </m:den>
          </m:f>
          <m:r>
            <w:rPr>
              <w:rFonts w:ascii="Cambria Math" w:hAnsi="Cambria Math"/>
            </w:rPr>
            <m:t xml:space="preserve"> </m:t>
          </m:r>
        </m:oMath>
      </m:oMathPara>
    </w:p>
    <w:p w14:paraId="636546C8" w14:textId="77777777" w:rsidR="00AD2B5C" w:rsidRDefault="00AD2B5C" w:rsidP="00A56FE1">
      <w:r>
        <w:t>Rates were subsequently transformed to 1000 person-years for comparison.</w:t>
      </w:r>
    </w:p>
    <w:p w14:paraId="3F59472A" w14:textId="77777777" w:rsidR="00AD2B5C" w:rsidRDefault="00AD2B5C" w:rsidP="00A56FE1">
      <w:pPr>
        <w:spacing w:after="240"/>
      </w:pPr>
      <w:r>
        <w:t>C</w:t>
      </w:r>
      <w:r w:rsidRPr="00745C22">
        <w:t>rude proportion</w:t>
      </w:r>
      <w:r>
        <w:t>s</w:t>
      </w:r>
      <w:r w:rsidRPr="00745C22">
        <w:t xml:space="preserve"> w</w:t>
      </w:r>
      <w:r>
        <w:t>ere</w:t>
      </w:r>
      <w:r w:rsidRPr="00745C22">
        <w:t xml:space="preserve"> calculated</w:t>
      </w:r>
      <w:r>
        <w:t xml:space="preserve"> using the formula: </w:t>
      </w:r>
      <w:r w:rsidRPr="00745C22">
        <w:t xml:space="preserve"> </w:t>
      </w:r>
    </w:p>
    <w:p w14:paraId="5F0BEE4C" w14:textId="77777777" w:rsidR="00AD2B5C" w:rsidRDefault="00AD2B5C" w:rsidP="00A56FE1">
      <w:pPr>
        <w:spacing w:after="240"/>
        <w:jc w:val="center"/>
      </w:pPr>
      <m:oMathPara>
        <m:oMath>
          <m:r>
            <w:rPr>
              <w:rFonts w:ascii="Cambria Math" w:hAnsi="Cambria Math"/>
            </w:rPr>
            <m:t xml:space="preserve">Proportion= </m:t>
          </m:r>
          <m:f>
            <m:fPr>
              <m:ctrlPr>
                <w:rPr>
                  <w:rFonts w:ascii="Cambria Math" w:hAnsi="Cambria Math"/>
                  <w:i/>
                </w:rPr>
              </m:ctrlPr>
            </m:fPr>
            <m:num>
              <m:r>
                <w:rPr>
                  <w:rFonts w:ascii="Cambria Math" w:hAnsi="Cambria Math"/>
                </w:rPr>
                <m:t>Number of unique individuals contacting UEC service</m:t>
              </m:r>
            </m:num>
            <m:den>
              <m:r>
                <w:rPr>
                  <w:rFonts w:ascii="Cambria Math" w:hAnsi="Cambria Math"/>
                </w:rPr>
                <m:t>Number of total population</m:t>
              </m:r>
            </m:den>
          </m:f>
        </m:oMath>
      </m:oMathPara>
    </w:p>
    <w:p w14:paraId="67C1C3DB" w14:textId="77777777" w:rsidR="00AD2B5C" w:rsidRDefault="00AD2B5C" w:rsidP="00A56FE1">
      <w:r>
        <w:t>The proportion was reported per 1000 population.</w:t>
      </w:r>
    </w:p>
    <w:p w14:paraId="0F839821" w14:textId="77777777" w:rsidR="00AD2B5C" w:rsidRDefault="00AD2B5C" w:rsidP="00A56FE1">
      <w:pPr>
        <w:spacing w:after="240"/>
      </w:pPr>
      <w:r w:rsidRPr="00046008">
        <w:t xml:space="preserve">The standardised </w:t>
      </w:r>
      <w:r>
        <w:t>rate</w:t>
      </w:r>
      <w:r w:rsidRPr="00046008">
        <w:t xml:space="preserve"> ratio </w:t>
      </w:r>
      <w:r>
        <w:t xml:space="preserve">(SRR) </w:t>
      </w:r>
      <w:r w:rsidRPr="00046008">
        <w:t xml:space="preserve">is the ratio of the number of </w:t>
      </w:r>
      <w:r>
        <w:t>events</w:t>
      </w:r>
      <w:r w:rsidRPr="00046008">
        <w:t xml:space="preserve"> observed in the </w:t>
      </w:r>
      <w:r>
        <w:t>FNSD cohort</w:t>
      </w:r>
      <w:r w:rsidRPr="00046008">
        <w:t xml:space="preserve"> to the number </w:t>
      </w:r>
      <w:r>
        <w:t>expected if the general population's age-specific rates had been applied. An SRR for FNSD relative to the general population was obtained for each UEC service using the formula:</w:t>
      </w:r>
    </w:p>
    <w:p w14:paraId="466FEF39" w14:textId="77777777" w:rsidR="00AD2B5C" w:rsidRDefault="00AD2B5C" w:rsidP="00A56FE1">
      <w:pPr>
        <w:spacing w:after="240"/>
      </w:pPr>
      <m:oMathPara>
        <m:oMath>
          <m:r>
            <w:rPr>
              <w:rFonts w:ascii="Cambria Math" w:hAnsi="Cambria Math"/>
            </w:rPr>
            <m:t xml:space="preserve">Ratio = </m:t>
          </m:r>
          <m:f>
            <m:fPr>
              <m:ctrlPr>
                <w:rPr>
                  <w:rFonts w:ascii="Cambria Math" w:hAnsi="Cambria Math"/>
                  <w:i/>
                </w:rPr>
              </m:ctrlPr>
            </m:fPr>
            <m:num>
              <m:r>
                <w:rPr>
                  <w:rFonts w:ascii="Cambria Math" w:hAnsi="Cambria Math"/>
                </w:rPr>
                <m:t xml:space="preserve">Number of FNSD Observed Events </m:t>
              </m:r>
            </m:num>
            <m:den>
              <m:r>
                <w:rPr>
                  <w:rFonts w:ascii="Cambria Math" w:hAnsi="Cambria Math"/>
                </w:rPr>
                <m:t>Number of FNSD Expected Events</m:t>
              </m:r>
            </m:den>
          </m:f>
        </m:oMath>
      </m:oMathPara>
    </w:p>
    <w:p w14:paraId="4F393140" w14:textId="77777777" w:rsidR="00AD2B5C" w:rsidRDefault="00AD2B5C" w:rsidP="00A56FE1">
      <w:r>
        <w:t xml:space="preserve">All rates, proportions and ratios were reported with 95% confidence intervals. </w:t>
      </w:r>
    </w:p>
    <w:p w14:paraId="60235265" w14:textId="77777777" w:rsidR="00AD2B5C" w:rsidRDefault="00AD2B5C" w:rsidP="00327F16">
      <w:r>
        <w:t>Standardised rates and proportions were calculated as cross-sectional figures for the study period.</w:t>
      </w:r>
    </w:p>
    <w:p w14:paraId="461CC6FB" w14:textId="77777777" w:rsidR="00AD2B5C" w:rsidRPr="00327F16" w:rsidRDefault="00AD2B5C" w:rsidP="00327F16"/>
    <w:p w14:paraId="590A604D" w14:textId="77777777" w:rsidR="00AD2B5C" w:rsidRPr="00565D6E" w:rsidRDefault="00AD2B5C" w:rsidP="00565D6E">
      <w:pPr>
        <w:pStyle w:val="Heading4"/>
      </w:pPr>
      <w:r w:rsidRPr="00565D6E">
        <w:t xml:space="preserve">4.2.6.2 Longitudinal Analysis – Pre and post-therapy Rates of Emergency Service Use </w:t>
      </w:r>
    </w:p>
    <w:p w14:paraId="45B93D79" w14:textId="325A8712" w:rsidR="00AD2B5C" w:rsidRPr="00A9076C" w:rsidRDefault="00AD2B5C" w:rsidP="000F1DBC">
      <w:pPr>
        <w:rPr>
          <w:u w:val="single"/>
        </w:rPr>
      </w:pPr>
      <w:r w:rsidRPr="00FB3488">
        <w:rPr>
          <w:u w:val="single"/>
        </w:rPr>
        <w:t>Cohorts</w:t>
      </w:r>
    </w:p>
    <w:p w14:paraId="6E782817" w14:textId="77777777" w:rsidR="00AD2B5C" w:rsidRDefault="00AD2B5C" w:rsidP="00A56FE1">
      <w:r w:rsidRPr="000E2FBF">
        <w:lastRenderedPageBreak/>
        <w:t xml:space="preserve">Consecutive patients with a neurologist-confirmed diagnosis of </w:t>
      </w:r>
      <w:r>
        <w:t>FNSD</w:t>
      </w:r>
      <w:r w:rsidRPr="000E2FBF">
        <w:t>, seen by the STH neurology psychotherapy service between 1st April 2012 and 31st March 2016</w:t>
      </w:r>
      <w:r>
        <w:t>,</w:t>
      </w:r>
      <w:r w:rsidRPr="000E2FBF">
        <w:t xml:space="preserve"> were identified from </w:t>
      </w:r>
      <w:r>
        <w:t>a</w:t>
      </w:r>
      <w:r w:rsidRPr="000E2FBF">
        <w:t xml:space="preserve"> clinical psychotherapy patient database</w:t>
      </w:r>
      <w:r>
        <w:t xml:space="preserve"> and linked </w:t>
      </w:r>
      <w:r w:rsidRPr="000E2FBF">
        <w:t>t</w:t>
      </w:r>
      <w:r>
        <w:t>o</w:t>
      </w:r>
      <w:r w:rsidRPr="000E2FBF">
        <w:t xml:space="preserve"> </w:t>
      </w:r>
      <w:r>
        <w:t>the CUREd UEC database</w:t>
      </w:r>
      <w:r w:rsidRPr="000E2FBF">
        <w:t xml:space="preserve">. Data from patients who received at least one </w:t>
      </w:r>
      <w:r>
        <w:t>psychotherapy session</w:t>
      </w:r>
      <w:r w:rsidRPr="000E2FBF">
        <w:t xml:space="preserve"> within the recruitment period dates w</w:t>
      </w:r>
      <w:r>
        <w:t>ere</w:t>
      </w:r>
      <w:r w:rsidRPr="000E2FBF">
        <w:t xml:space="preserve"> included in the study.</w:t>
      </w:r>
      <w:r>
        <w:t xml:space="preserve"> </w:t>
      </w:r>
    </w:p>
    <w:p w14:paraId="12A6F218" w14:textId="77777777" w:rsidR="00AD2B5C" w:rsidRDefault="00AD2B5C" w:rsidP="003E772A">
      <w:pPr>
        <w:spacing w:after="240"/>
      </w:pPr>
      <w:r>
        <w:t>For the longitudinal comparison, we intended to compare emergency service usage over 1.5 years before psychotherapy with use over 1.5 years after psychotherapy. This means that we were only able to include patients from the FNSD psychotherapy cohort on whom a minimum of 1.5 years of usage data before the start and after the completion of psychotherapy were available</w:t>
      </w:r>
      <w:r w:rsidRPr="00E166CC">
        <w:t>.</w:t>
      </w:r>
      <w:r>
        <w:t xml:space="preserve"> The CUREd database contained </w:t>
      </w:r>
      <w:r w:rsidRPr="00E166CC">
        <w:t xml:space="preserve">AMB and APC data </w:t>
      </w:r>
      <w:r>
        <w:t xml:space="preserve">from </w:t>
      </w:r>
      <w:r w:rsidRPr="00E166CC">
        <w:t xml:space="preserve">October 2011 </w:t>
      </w:r>
      <w:r>
        <w:t>to</w:t>
      </w:r>
      <w:r w:rsidRPr="00E166CC">
        <w:t xml:space="preserve"> 2017</w:t>
      </w:r>
      <w:r>
        <w:t>,</w:t>
      </w:r>
      <w:r w:rsidRPr="00E166CC">
        <w:t xml:space="preserve"> APC</w:t>
      </w:r>
      <w:r>
        <w:t xml:space="preserve"> data from </w:t>
      </w:r>
      <w:r w:rsidRPr="00E166CC">
        <w:t xml:space="preserve">October 2012 </w:t>
      </w:r>
      <w:r>
        <w:t>to</w:t>
      </w:r>
      <w:r w:rsidRPr="00E166CC">
        <w:t xml:space="preserve"> 2017 and 111</w:t>
      </w:r>
      <w:r>
        <w:t xml:space="preserve"> </w:t>
      </w:r>
      <w:r w:rsidRPr="00E166CC">
        <w:t xml:space="preserve">data </w:t>
      </w:r>
      <w:r>
        <w:t xml:space="preserve">from October </w:t>
      </w:r>
      <w:r w:rsidRPr="00E166CC">
        <w:t xml:space="preserve">2013 </w:t>
      </w:r>
      <w:r>
        <w:t>to</w:t>
      </w:r>
      <w:r w:rsidRPr="00E166CC">
        <w:t xml:space="preserve"> 2017</w:t>
      </w:r>
      <w:r>
        <w:t xml:space="preserve">. While the total size of the Sheffield FNSD cohort from 2012 to 2016 was 705 patients, due to varying lengths of available UEC service data and individual patients' psychotherapy sessions, the number of patients for whom pre- and post-treatment data was available for the minimum 1.5-year data capture period varied between the different emergency services. </w:t>
      </w:r>
    </w:p>
    <w:p w14:paraId="29A24063" w14:textId="77777777" w:rsidR="00AD2B5C" w:rsidRPr="00290952" w:rsidRDefault="00AD2B5C" w:rsidP="00A9076C">
      <w:pPr>
        <w:rPr>
          <w:u w:val="single"/>
        </w:rPr>
      </w:pPr>
      <w:r w:rsidRPr="00290952">
        <w:rPr>
          <w:u w:val="single"/>
        </w:rPr>
        <w:t>Intervention</w:t>
      </w:r>
    </w:p>
    <w:p w14:paraId="508CDC3F" w14:textId="77777777" w:rsidR="00AD2B5C" w:rsidRPr="00316C59" w:rsidRDefault="00AD2B5C" w:rsidP="00A56FE1">
      <w:pPr>
        <w:spacing w:after="240"/>
      </w:pPr>
      <w:r w:rsidRPr="00316C59">
        <w:t>The Specialist Psychotherapy service is part of the STH Neurology department</w:t>
      </w:r>
      <w:r>
        <w:t>,</w:t>
      </w:r>
      <w:r w:rsidRPr="00316C59">
        <w:t xml:space="preserve"> which provides neurology services to the </w:t>
      </w:r>
      <w:r>
        <w:t>adult population of South Yorkshire and parts of Northern Derbyshire, Nottinghamshire and Lincolnshire</w:t>
      </w:r>
      <w:r w:rsidRPr="00316C59">
        <w:t xml:space="preserve">, </w:t>
      </w:r>
      <w:r>
        <w:t xml:space="preserve">a population of </w:t>
      </w:r>
      <w:r w:rsidRPr="00316C59">
        <w:t xml:space="preserve">approximately 1.39 million people. </w:t>
      </w:r>
      <w:r>
        <w:t xml:space="preserve">Although the service has undergone several changes in service delivery, this section describes the service at the time of data collection for this study (2012-2016). </w:t>
      </w:r>
      <w:r w:rsidRPr="00316C59">
        <w:t xml:space="preserve">The psychotherapy team </w:t>
      </w:r>
      <w:r>
        <w:t xml:space="preserve">at this time comprised </w:t>
      </w:r>
      <w:r w:rsidRPr="00316C59">
        <w:t>six psychotherapists overseen by a psychotherapy manager</w:t>
      </w:r>
      <w:r>
        <w:t>. However, c</w:t>
      </w:r>
      <w:r w:rsidRPr="00316C59">
        <w:t>omprehensive care often require</w:t>
      </w:r>
      <w:r>
        <w:t>d</w:t>
      </w:r>
      <w:r w:rsidRPr="00316C59">
        <w:t xml:space="preserve"> multi-disciplinary collaboration with </w:t>
      </w:r>
      <w:r>
        <w:t>practitioners</w:t>
      </w:r>
      <w:r w:rsidRPr="00316C59">
        <w:t xml:space="preserve"> in other health disciplines</w:t>
      </w:r>
      <w:r>
        <w:t>,</w:t>
      </w:r>
      <w:r w:rsidRPr="00316C59">
        <w:t xml:space="preserve"> including neurologists, physiotherapists, and occupational therapists</w:t>
      </w:r>
      <w:r>
        <w:t>,</w:t>
      </w:r>
      <w:r w:rsidRPr="00316C59">
        <w:t xml:space="preserve"> to achieve the best </w:t>
      </w:r>
      <w:r>
        <w:t xml:space="preserve">patient outcomes. </w:t>
      </w:r>
      <w:r w:rsidRPr="00316C59">
        <w:t>Consultant Neurologists working in the STH Neurology Department refer</w:t>
      </w:r>
      <w:r>
        <w:t>red</w:t>
      </w:r>
      <w:r w:rsidRPr="00316C59">
        <w:t xml:space="preserve"> eligible patients with </w:t>
      </w:r>
      <w:r>
        <w:t>an</w:t>
      </w:r>
      <w:r w:rsidRPr="00316C59">
        <w:t xml:space="preserve"> </w:t>
      </w:r>
      <w:r>
        <w:t>FNSD</w:t>
      </w:r>
      <w:r w:rsidRPr="00316C59">
        <w:t xml:space="preserve"> </w:t>
      </w:r>
      <w:r>
        <w:t xml:space="preserve">diagnosis wishing to take up the offer of psychotherapy </w:t>
      </w:r>
      <w:r w:rsidRPr="00316C59">
        <w:t xml:space="preserve">to the service. </w:t>
      </w:r>
    </w:p>
    <w:p w14:paraId="46EA4543" w14:textId="77777777" w:rsidR="00AD2B5C" w:rsidRPr="00D00710" w:rsidRDefault="00AD2B5C" w:rsidP="00A56FE1">
      <w:r w:rsidRPr="00316C59">
        <w:t xml:space="preserve">The exclusion </w:t>
      </w:r>
      <w:r w:rsidRPr="00D00710">
        <w:t>criteria for patients' acceptance by the STH Neurology psychotherapy service during the period 2012-2016 were:</w:t>
      </w:r>
    </w:p>
    <w:p w14:paraId="246FF628" w14:textId="77777777" w:rsidR="00AD2B5C" w:rsidRPr="00D00710" w:rsidRDefault="00AD2B5C" w:rsidP="001A2683">
      <w:pPr>
        <w:numPr>
          <w:ilvl w:val="0"/>
          <w:numId w:val="234"/>
        </w:numPr>
      </w:pPr>
      <w:r w:rsidRPr="00D00710">
        <w:t xml:space="preserve">Serious and ongoing psychiatric issues that require advice from a psychiatrist. </w:t>
      </w:r>
    </w:p>
    <w:p w14:paraId="764315B3" w14:textId="77777777" w:rsidR="00AD2B5C" w:rsidRPr="00D00710" w:rsidRDefault="00AD2B5C" w:rsidP="001A2683">
      <w:pPr>
        <w:numPr>
          <w:ilvl w:val="0"/>
          <w:numId w:val="234"/>
        </w:numPr>
      </w:pPr>
      <w:r w:rsidRPr="00D00710">
        <w:lastRenderedPageBreak/>
        <w:t xml:space="preserve">Currently suicidal patients (ongoing attempts/plans, persistent urges or patients who have attempted suicide within the preceding year). </w:t>
      </w:r>
    </w:p>
    <w:p w14:paraId="06A46493" w14:textId="77777777" w:rsidR="00AD2B5C" w:rsidRPr="00D00710" w:rsidRDefault="00AD2B5C" w:rsidP="001A2683">
      <w:pPr>
        <w:numPr>
          <w:ilvl w:val="0"/>
          <w:numId w:val="234"/>
        </w:numPr>
      </w:pPr>
      <w:r w:rsidRPr="00D00710">
        <w:t>Current recipient of psychotherapy elsewhere.</w:t>
      </w:r>
    </w:p>
    <w:p w14:paraId="6BB30848" w14:textId="77777777" w:rsidR="00AD2B5C" w:rsidRPr="00D00710" w:rsidRDefault="00AD2B5C" w:rsidP="001A2683">
      <w:pPr>
        <w:numPr>
          <w:ilvl w:val="0"/>
          <w:numId w:val="234"/>
        </w:numPr>
      </w:pPr>
      <w:r w:rsidRPr="00D00710">
        <w:t>Recipient of two previous episodes of treatment from the service.</w:t>
      </w:r>
    </w:p>
    <w:p w14:paraId="4E51AACA" w14:textId="77777777" w:rsidR="00AD2B5C" w:rsidRPr="00D00710" w:rsidRDefault="00AD2B5C" w:rsidP="001A2683">
      <w:pPr>
        <w:numPr>
          <w:ilvl w:val="0"/>
          <w:numId w:val="234"/>
        </w:numPr>
      </w:pPr>
      <w:r w:rsidRPr="00D00710">
        <w:t xml:space="preserve">Alcohol- or opiate-dependency. </w:t>
      </w:r>
    </w:p>
    <w:p w14:paraId="2E11F24F" w14:textId="77777777" w:rsidR="00AD2B5C" w:rsidRPr="00D00710" w:rsidRDefault="00AD2B5C" w:rsidP="00A56FE1">
      <w:pPr>
        <w:spacing w:after="240"/>
      </w:pPr>
      <w:r w:rsidRPr="00D00710">
        <w:t xml:space="preserve">The service was not open to direct referrals from emergency departments or primary care. It was exclusively for patients under the ongoing care of a neurologist at STH (although these patients would initially have been referred to neurologists from General Practice or the Emergency department). </w:t>
      </w:r>
    </w:p>
    <w:p w14:paraId="01897BE6" w14:textId="77777777" w:rsidR="00AD2B5C" w:rsidRPr="00316C59" w:rsidRDefault="00AD2B5C" w:rsidP="00A56FE1">
      <w:pPr>
        <w:spacing w:after="240"/>
      </w:pPr>
      <w:r w:rsidRPr="00D00710">
        <w:t>After referral to the service, patients would have received an appointment for an hour-long semi-structured interview in which they and the therapist would have determined whether therapy would be helpful and acceptable. At this initial assessment, patients may also have been directe</w:t>
      </w:r>
      <w:r>
        <w:t xml:space="preserve">d to self-help resources to help them while waiting for their individualised therapy. Patients found to be unsuitable for psychotherapy at STH would have been signposted to other service providers at this assessment. Those patients found suitable for therapy were placed on a waiting list for one-to-one treatment. From 2012 to 2016, the waiting time for psychotherapy at STH after the initial assessment was approximately 2 to 5 months. </w:t>
      </w:r>
    </w:p>
    <w:p w14:paraId="1262C6B4" w14:textId="77777777" w:rsidR="00AD2B5C" w:rsidRPr="00316C59" w:rsidRDefault="00AD2B5C" w:rsidP="00290952">
      <w:r>
        <w:t xml:space="preserve">Once regular psychotherapy started, patients would have been offered a </w:t>
      </w:r>
      <w:r w:rsidRPr="00316C59">
        <w:t>maximum of 20</w:t>
      </w:r>
      <w:r>
        <w:t xml:space="preserve"> sessions. However,</w:t>
      </w:r>
      <w:r w:rsidRPr="00316C59">
        <w:t xml:space="preserve"> this </w:t>
      </w:r>
      <w:r>
        <w:t>upper limit was managed</w:t>
      </w:r>
      <w:r w:rsidRPr="00316C59">
        <w:t xml:space="preserve"> flexibl</w:t>
      </w:r>
      <w:r>
        <w:t>y,</w:t>
      </w:r>
      <w:r w:rsidRPr="00316C59">
        <w:t xml:space="preserve"> </w:t>
      </w:r>
      <w:r>
        <w:t xml:space="preserve">and the number of sessions provided would have </w:t>
      </w:r>
      <w:r w:rsidRPr="00316C59">
        <w:t>depende</w:t>
      </w:r>
      <w:r>
        <w:t>d</w:t>
      </w:r>
      <w:r w:rsidRPr="00316C59">
        <w:t xml:space="preserve"> on </w:t>
      </w:r>
      <w:r>
        <w:t>the patient's</w:t>
      </w:r>
      <w:r w:rsidRPr="00316C59">
        <w:t xml:space="preserve"> needs. Each session </w:t>
      </w:r>
      <w:r>
        <w:t>wa</w:t>
      </w:r>
      <w:r w:rsidRPr="00316C59">
        <w:t>s 50 minutes long</w:t>
      </w:r>
      <w:r>
        <w:t>. Four to six</w:t>
      </w:r>
      <w:r w:rsidRPr="00316C59">
        <w:t xml:space="preserve"> initial sessions </w:t>
      </w:r>
      <w:r>
        <w:t>would have been</w:t>
      </w:r>
      <w:r w:rsidRPr="00316C59">
        <w:t xml:space="preserve"> confirmed before a collaborative progress review </w:t>
      </w:r>
      <w:r>
        <w:t>wa</w:t>
      </w:r>
      <w:r w:rsidRPr="00316C59">
        <w:t xml:space="preserve">s required </w:t>
      </w:r>
      <w:r>
        <w:t>before further sessions could go ahead</w:t>
      </w:r>
      <w:r w:rsidRPr="00316C59">
        <w:t xml:space="preserve">. </w:t>
      </w:r>
      <w:r>
        <w:t>C</w:t>
      </w:r>
      <w:r w:rsidRPr="00316C59">
        <w:t xml:space="preserve">onsiderations at the review </w:t>
      </w:r>
      <w:r>
        <w:t xml:space="preserve">would have </w:t>
      </w:r>
      <w:r w:rsidRPr="00316C59">
        <w:t>include</w:t>
      </w:r>
      <w:r>
        <w:t>d</w:t>
      </w:r>
      <w:r w:rsidRPr="00316C59">
        <w:t xml:space="preserve"> the extent of engagement with therapy, the progression and potential of therapy (e.g., the development of therapeutic alliance, patient understanding and acceptance of diagnosis, information being retained and built on from session to session), any risk posed by therapy (e.g. if the patient is experiencing it as overwhelming or destabilising) and any new information that may have emerged, (e.g., dependence on drugs or alcohol, evidence of psychosis requiring psychiatric assessment).</w:t>
      </w:r>
    </w:p>
    <w:p w14:paraId="726D97F1" w14:textId="77777777" w:rsidR="00AD2B5C" w:rsidRDefault="00AD2B5C" w:rsidP="00290952">
      <w:r w:rsidRPr="00316C59">
        <w:t xml:space="preserve">After the review, </w:t>
      </w:r>
      <w:r>
        <w:t xml:space="preserve">if </w:t>
      </w:r>
      <w:r w:rsidRPr="00316C59">
        <w:t xml:space="preserve">continuing treatment </w:t>
      </w:r>
      <w:r>
        <w:t>was</w:t>
      </w:r>
      <w:r w:rsidRPr="00316C59">
        <w:t xml:space="preserve"> deemed beneficial, another </w:t>
      </w:r>
      <w:r>
        <w:t>four to six</w:t>
      </w:r>
      <w:r w:rsidRPr="00316C59">
        <w:t xml:space="preserve"> sessions or a final session </w:t>
      </w:r>
      <w:r>
        <w:t>would have been</w:t>
      </w:r>
      <w:r w:rsidRPr="000E2FBF">
        <w:t xml:space="preserve"> </w:t>
      </w:r>
      <w:r w:rsidRPr="00316C59">
        <w:t xml:space="preserve">planned to end therapy and </w:t>
      </w:r>
      <w:r>
        <w:t xml:space="preserve">to </w:t>
      </w:r>
      <w:r w:rsidRPr="00316C59">
        <w:t>p</w:t>
      </w:r>
      <w:r>
        <w:t>repare</w:t>
      </w:r>
      <w:r w:rsidRPr="00316C59">
        <w:t xml:space="preserve"> </w:t>
      </w:r>
      <w:r w:rsidRPr="00316C59">
        <w:lastRenderedPageBreak/>
        <w:t xml:space="preserve">for discharge at the end of 20 sessions. This </w:t>
      </w:r>
      <w:r>
        <w:t xml:space="preserve">process was designed to </w:t>
      </w:r>
      <w:r w:rsidRPr="00316C59">
        <w:t>allow the work to deepen as patient</w:t>
      </w:r>
      <w:r>
        <w:t>s were reassured</w:t>
      </w:r>
      <w:r w:rsidRPr="00316C59">
        <w:t xml:space="preserve"> by knowing that they </w:t>
      </w:r>
      <w:r>
        <w:t xml:space="preserve">would be guaranteed to have a certain amount of </w:t>
      </w:r>
      <w:r w:rsidRPr="00316C59">
        <w:t>time to explore and process</w:t>
      </w:r>
      <w:r>
        <w:t xml:space="preserve"> any issues that were tackled</w:t>
      </w:r>
      <w:r w:rsidRPr="00316C59">
        <w:t xml:space="preserve">. In other cases, therapy </w:t>
      </w:r>
      <w:r>
        <w:t xml:space="preserve">would </w:t>
      </w:r>
      <w:r w:rsidRPr="00316C59">
        <w:t xml:space="preserve">continue to be reviewed every </w:t>
      </w:r>
      <w:r>
        <w:t>four to six</w:t>
      </w:r>
      <w:r w:rsidRPr="00316C59">
        <w:t xml:space="preserve"> weeks. The patient and therapist might </w:t>
      </w:r>
      <w:r>
        <w:t xml:space="preserve">have </w:t>
      </w:r>
      <w:r w:rsidRPr="00316C59">
        <w:t>agree</w:t>
      </w:r>
      <w:r>
        <w:t>d</w:t>
      </w:r>
      <w:r w:rsidRPr="00316C59">
        <w:t xml:space="preserve"> that discharge </w:t>
      </w:r>
      <w:r>
        <w:t>wa</w:t>
      </w:r>
      <w:r w:rsidRPr="00316C59">
        <w:t xml:space="preserve">s appropriate at any point. Discharge </w:t>
      </w:r>
      <w:r>
        <w:t xml:space="preserve">was </w:t>
      </w:r>
      <w:r w:rsidRPr="00316C59">
        <w:t>often decided</w:t>
      </w:r>
      <w:r>
        <w:t xml:space="preserve"> </w:t>
      </w:r>
      <w:r w:rsidRPr="00316C59">
        <w:t>with at least one further session booked to end therapy</w:t>
      </w:r>
      <w:r>
        <w:t>. However</w:t>
      </w:r>
      <w:r w:rsidRPr="00316C59">
        <w:t xml:space="preserve">, patients </w:t>
      </w:r>
      <w:r>
        <w:t>we</w:t>
      </w:r>
      <w:r w:rsidRPr="00316C59">
        <w:t>re free to discharge themselves at any point</w:t>
      </w:r>
      <w:r>
        <w:t xml:space="preserve">. </w:t>
      </w:r>
    </w:p>
    <w:p w14:paraId="716AF8DD" w14:textId="77777777" w:rsidR="00AD2B5C" w:rsidRPr="00316C59" w:rsidRDefault="00AD2B5C" w:rsidP="00A56FE1">
      <w:pPr>
        <w:spacing w:after="240"/>
      </w:pPr>
      <w:r w:rsidRPr="00B411D6">
        <w:t xml:space="preserve">The studied FNSD population spent a median of 8 </w:t>
      </w:r>
      <w:r>
        <w:t>(range</w:t>
      </w:r>
      <w:r w:rsidRPr="00B411D6">
        <w:t xml:space="preserve"> </w:t>
      </w:r>
      <w:r>
        <w:t>1</w:t>
      </w:r>
      <w:r w:rsidRPr="00B411D6">
        <w:t xml:space="preserve"> – </w:t>
      </w:r>
      <w:r>
        <w:t>47</w:t>
      </w:r>
      <w:r w:rsidRPr="00B411D6">
        <w:t xml:space="preserve">) sessions in psychotherapy over a median of </w:t>
      </w:r>
      <w:r>
        <w:t>7</w:t>
      </w:r>
      <w:r w:rsidRPr="00B411D6">
        <w:t xml:space="preserve"> (</w:t>
      </w:r>
      <w:r>
        <w:t>range</w:t>
      </w:r>
      <w:r w:rsidRPr="00B411D6">
        <w:t xml:space="preserve"> </w:t>
      </w:r>
      <w:r>
        <w:t xml:space="preserve">0 </w:t>
      </w:r>
      <w:r w:rsidRPr="00B411D6">
        <w:t xml:space="preserve">- </w:t>
      </w:r>
      <w:r>
        <w:t>36</w:t>
      </w:r>
      <w:r w:rsidRPr="00B411D6">
        <w:t>) months.</w:t>
      </w:r>
    </w:p>
    <w:p w14:paraId="2FDA25B4" w14:textId="77777777" w:rsidR="00AD2B5C" w:rsidRPr="00290952" w:rsidRDefault="00AD2B5C" w:rsidP="00290952">
      <w:pPr>
        <w:rPr>
          <w:bCs/>
          <w:i/>
          <w:iCs/>
        </w:rPr>
      </w:pPr>
      <w:bookmarkStart w:id="130" w:name="bookmark=id.30j0zll" w:colFirst="0" w:colLast="0"/>
      <w:bookmarkEnd w:id="130"/>
      <w:r w:rsidRPr="00290952">
        <w:rPr>
          <w:bCs/>
          <w:i/>
          <w:iCs/>
        </w:rPr>
        <w:t>Therapeutic Approach and Treatment Formulation:</w:t>
      </w:r>
    </w:p>
    <w:p w14:paraId="5EE54820" w14:textId="77777777" w:rsidR="00AD2B5C" w:rsidRPr="00316C59" w:rsidRDefault="00AD2B5C" w:rsidP="00290952">
      <w:r>
        <w:t>T</w:t>
      </w:r>
      <w:r w:rsidRPr="00FB5CDE">
        <w:t xml:space="preserve">herapists in </w:t>
      </w:r>
      <w:r>
        <w:t>the</w:t>
      </w:r>
      <w:r w:rsidRPr="00FB5CDE">
        <w:t xml:space="preserve"> department approach the treatment of FN</w:t>
      </w:r>
      <w:r>
        <w:t>S</w:t>
      </w:r>
      <w:r w:rsidRPr="00FB5CDE">
        <w:t>D using different psychotherapeutic models and</w:t>
      </w:r>
      <w:r>
        <w:t xml:space="preserve"> are trained in diverse modalities. All approaches employ integrative therapeutic models, shaped by pragmatically inco</w:t>
      </w:r>
      <w:r w:rsidRPr="00FB5CDE">
        <w:t>rporating therapeutic techniques</w:t>
      </w:r>
      <w:r>
        <w:t xml:space="preserve"> and broader evidence-based psychotherapeutic strategies. </w:t>
      </w:r>
      <w:r w:rsidRPr="00316C59">
        <w:t xml:space="preserve">One-to-one psychotherapy is the mainstay technique of the service, providing a tailored approach to individual patients. Patients work collaboratively with therapists to rebuild confidence and develop strategies to cope with difficult areas of functioning, </w:t>
      </w:r>
      <w:r>
        <w:t>understand</w:t>
      </w:r>
      <w:r w:rsidRPr="00316C59">
        <w:t xml:space="preserve"> </w:t>
      </w:r>
      <w:r>
        <w:t>their symptoms, and</w:t>
      </w:r>
      <w:r w:rsidRPr="00316C59">
        <w:t xml:space="preserve"> learn</w:t>
      </w:r>
      <w:r>
        <w:t xml:space="preserve"> how to manage them</w:t>
      </w:r>
      <w:r w:rsidRPr="00316C59">
        <w:t>.</w:t>
      </w:r>
    </w:p>
    <w:p w14:paraId="1D0CD662" w14:textId="2C588C27" w:rsidR="00AD2B5C" w:rsidRPr="008C2BB6" w:rsidRDefault="00AD2B5C" w:rsidP="00A56FE1">
      <w:pPr>
        <w:spacing w:after="240"/>
        <w:rPr>
          <w:bCs/>
          <w:u w:val="single"/>
        </w:rPr>
      </w:pPr>
      <w:r>
        <w:rPr>
          <w:bCs/>
        </w:rPr>
        <w:t>The</w:t>
      </w:r>
      <w:r w:rsidRPr="00DE4B09">
        <w:rPr>
          <w:bCs/>
        </w:rPr>
        <w:t xml:space="preserve"> impact of predisposing, precipitating and perpetuating factors of the </w:t>
      </w:r>
      <w:r>
        <w:rPr>
          <w:bCs/>
        </w:rPr>
        <w:t>patient's</w:t>
      </w:r>
      <w:r w:rsidRPr="00DE4B09">
        <w:rPr>
          <w:bCs/>
        </w:rPr>
        <w:t xml:space="preserve"> functional symptoms</w:t>
      </w:r>
      <w:r>
        <w:rPr>
          <w:bCs/>
        </w:rPr>
        <w:t>,</w:t>
      </w:r>
      <w:r w:rsidRPr="00DE4B09">
        <w:rPr>
          <w:bCs/>
        </w:rPr>
        <w:t xml:space="preserve"> including adverse life experiences, are </w:t>
      </w:r>
      <w:r>
        <w:rPr>
          <w:bCs/>
        </w:rPr>
        <w:t>considered in treatment formulation</w:t>
      </w:r>
      <w:r w:rsidRPr="00DE4B09">
        <w:rPr>
          <w:bCs/>
        </w:rPr>
        <w:t>. The therapeutic approach is guided by human growth and personality</w:t>
      </w:r>
      <w:r>
        <w:rPr>
          <w:bCs/>
        </w:rPr>
        <w:t xml:space="preserve"> theories</w:t>
      </w:r>
      <w:r w:rsidRPr="00DE4B09">
        <w:rPr>
          <w:bCs/>
        </w:rPr>
        <w:t>, notably attachment theory</w:t>
      </w:r>
      <w:r>
        <w:rPr>
          <w:bCs/>
        </w:rPr>
        <w:t>. It frequently utilises</w:t>
      </w:r>
      <w:r w:rsidRPr="00DE4B09">
        <w:rPr>
          <w:bCs/>
        </w:rPr>
        <w:t xml:space="preserve"> trauma-focused techniques such as those developed by Ogden</w:t>
      </w:r>
      <w:r>
        <w:rPr>
          <w:bCs/>
        </w:rPr>
        <w:t xml:space="preserve"> </w:t>
      </w:r>
      <w:sdt>
        <w:sdtPr>
          <w:rPr>
            <w:bCs/>
            <w:color w:val="000000"/>
          </w:rPr>
          <w:tag w:val="MENDELEY_CITATION_v3_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"/>
          <w:id w:val="-1625768723"/>
          <w:placeholder>
            <w:docPart w:val="818D04AF82DA8242AA20B9FE3FFA80FA"/>
          </w:placeholder>
        </w:sdtPr>
        <w:sdtContent>
          <w:r w:rsidR="0047170A" w:rsidRPr="0047170A">
            <w:rPr>
              <w:bCs/>
              <w:color w:val="000000"/>
            </w:rPr>
            <w:t>(Ogden et al., n.d.)</w:t>
          </w:r>
        </w:sdtContent>
      </w:sdt>
      <w:r w:rsidRPr="00DE4B09">
        <w:rPr>
          <w:bCs/>
        </w:rPr>
        <w:t>, Pace</w:t>
      </w:r>
      <w:r>
        <w:rPr>
          <w:bCs/>
        </w:rPr>
        <w:t xml:space="preserve"> </w:t>
      </w:r>
      <w:sdt>
        <w:sdtPr>
          <w:rPr>
            <w:bCs/>
          </w:rPr>
          <w:tag w:val="MENDELEY_CITATION_v3_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"/>
          <w:id w:val="-574049347"/>
          <w:placeholder>
            <w:docPart w:val="818D04AF82DA8242AA20B9FE3FFA80FA"/>
          </w:placeholder>
        </w:sdtPr>
        <w:sdtContent>
          <w:r w:rsidR="0047170A">
            <w:rPr>
              <w:rFonts w:eastAsia="Times New Roman"/>
            </w:rPr>
            <w:t>(</w:t>
          </w:r>
          <w:r w:rsidR="0047170A">
            <w:rPr>
              <w:rFonts w:eastAsia="Times New Roman"/>
              <w:i/>
              <w:iCs/>
            </w:rPr>
            <w:t>Lifespan Integration, Connecting Ego States through Time - Lifespan Integration</w:t>
          </w:r>
          <w:r w:rsidR="0047170A">
            <w:rPr>
              <w:rFonts w:eastAsia="Times New Roman"/>
            </w:rPr>
            <w:t>, n.d.)</w:t>
          </w:r>
        </w:sdtContent>
      </w:sdt>
      <w:r w:rsidRPr="00DE4B09">
        <w:rPr>
          <w:bCs/>
        </w:rPr>
        <w:t>, and Rothschild</w:t>
      </w:r>
      <w:r>
        <w:rPr>
          <w:bCs/>
        </w:rPr>
        <w:t xml:space="preserve"> </w:t>
      </w:r>
      <w:sdt>
        <w:sdtPr>
          <w:rPr>
            <w:bCs/>
            <w:color w:val="000000"/>
          </w:rPr>
          <w:tag w:val="MENDELEY_CITATION_v3_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"/>
          <w:id w:val="1135597540"/>
          <w:placeholder>
            <w:docPart w:val="818D04AF82DA8242AA20B9FE3FFA80FA"/>
          </w:placeholder>
        </w:sdtPr>
        <w:sdtContent>
          <w:r w:rsidR="0047170A" w:rsidRPr="0047170A">
            <w:rPr>
              <w:bCs/>
              <w:color w:val="000000"/>
            </w:rPr>
            <w:t>(Rothschild, 2000)</w:t>
          </w:r>
        </w:sdtContent>
      </w:sdt>
      <w:r w:rsidRPr="00DE4B09">
        <w:rPr>
          <w:bCs/>
        </w:rPr>
        <w:t xml:space="preserve">. FNSD embodies a complex interaction of physical, emotional, and cognitive dysfunction, </w:t>
      </w:r>
      <w:r>
        <w:rPr>
          <w:bCs/>
        </w:rPr>
        <w:t xml:space="preserve">so </w:t>
      </w:r>
      <w:r w:rsidRPr="00DE4B09">
        <w:rPr>
          <w:bCs/>
        </w:rPr>
        <w:t>the treatment strategy integrates somatic-focused work, emotional processing, and cognitive modification.</w:t>
      </w:r>
      <w:r>
        <w:t xml:space="preserve"> </w:t>
      </w:r>
      <w:r w:rsidRPr="00DE4B09">
        <w:rPr>
          <w:bCs/>
        </w:rPr>
        <w:t>This is facilitated by</w:t>
      </w:r>
      <w:r>
        <w:rPr>
          <w:bCs/>
        </w:rPr>
        <w:t xml:space="preserve"> a</w:t>
      </w:r>
      <w:r w:rsidRPr="00DE4B09">
        <w:rPr>
          <w:bCs/>
        </w:rPr>
        <w:t xml:space="preserve"> shared</w:t>
      </w:r>
      <w:r w:rsidRPr="00DE4B09">
        <w:t xml:space="preserve"> ethos of working</w:t>
      </w:r>
      <w:r>
        <w:t xml:space="preserve"> in a person-centred, integrative manner, working relationally with patients and developing a therapeutic alliance, based on the extensive local experience with FNSD patients since 2002.</w:t>
      </w:r>
    </w:p>
    <w:p w14:paraId="10893084" w14:textId="77777777" w:rsidR="00AD2B5C" w:rsidRPr="00290952" w:rsidRDefault="00AD2B5C" w:rsidP="00780B4F">
      <w:pPr>
        <w:rPr>
          <w:u w:val="single"/>
        </w:rPr>
      </w:pPr>
      <w:r w:rsidRPr="00290952">
        <w:rPr>
          <w:u w:val="single"/>
        </w:rPr>
        <w:t>Measures</w:t>
      </w:r>
    </w:p>
    <w:p w14:paraId="7A16F34B" w14:textId="77777777" w:rsidR="00AD2B5C" w:rsidRPr="00EC0035" w:rsidRDefault="00AD2B5C" w:rsidP="00290952">
      <w:r w:rsidRPr="00EC0035">
        <w:lastRenderedPageBreak/>
        <w:t xml:space="preserve">The primary </w:t>
      </w:r>
      <w:r>
        <w:t>measure</w:t>
      </w:r>
      <w:r w:rsidRPr="00EC0035">
        <w:t xml:space="preserve"> of this study w</w:t>
      </w:r>
      <w:r>
        <w:t>as</w:t>
      </w:r>
      <w:r w:rsidRPr="00EC0035">
        <w:t xml:space="preserve"> </w:t>
      </w:r>
      <w:r>
        <w:t>a treatment-related</w:t>
      </w:r>
      <w:r w:rsidRPr="00EC0035">
        <w:t xml:space="preserve"> change among FNSD patients. UEC service use was defined as NHS 111 calls, </w:t>
      </w:r>
      <w:r>
        <w:t xml:space="preserve">A&amp;E </w:t>
      </w:r>
      <w:r w:rsidRPr="00EC0035">
        <w:t>attendances</w:t>
      </w:r>
      <w:r>
        <w:t xml:space="preserve"> (</w:t>
      </w:r>
      <w:r>
        <w:rPr>
          <w:rFonts w:eastAsia="Calibri" w:cs="Calibri"/>
        </w:rPr>
        <w:t xml:space="preserve">A&amp;E was defined as </w:t>
      </w:r>
      <w:r w:rsidRPr="00EC0035">
        <w:t xml:space="preserve">Type 1 A&amp;E department </w:t>
      </w:r>
      <w:r>
        <w:t xml:space="preserve">with </w:t>
      </w:r>
      <w:r w:rsidRPr="00EC0035">
        <w:t>consultant-led 24-hour services with full resuscitation facilities and designated accommodation for the reception of accident and emergency patients), ambulance callouts and APC following an emergency admission.</w:t>
      </w:r>
    </w:p>
    <w:p w14:paraId="5D807F0D" w14:textId="77777777" w:rsidR="00AD2B5C" w:rsidRDefault="00AD2B5C" w:rsidP="00780B4F">
      <w:r>
        <w:t xml:space="preserve">The primary measures comprised: </w:t>
      </w:r>
    </w:p>
    <w:p w14:paraId="25970AD6" w14:textId="77777777" w:rsidR="00AD2B5C" w:rsidRDefault="00AD2B5C" w:rsidP="00AD2B5C">
      <w:pPr>
        <w:pStyle w:val="ListParagraph"/>
        <w:numPr>
          <w:ilvl w:val="0"/>
          <w:numId w:val="76"/>
        </w:numPr>
      </w:pPr>
      <w:r>
        <w:t>The number of contacts (rate) with each of the four services for pwFNSD before and after the start of their psychotherapy.</w:t>
      </w:r>
    </w:p>
    <w:p w14:paraId="2E8789E9" w14:textId="77777777" w:rsidR="00AD2B5C" w:rsidRDefault="00AD2B5C" w:rsidP="00AD2B5C">
      <w:pPr>
        <w:pStyle w:val="ListParagraph"/>
        <w:numPr>
          <w:ilvl w:val="0"/>
          <w:numId w:val="76"/>
        </w:numPr>
      </w:pPr>
      <w:r>
        <w:t xml:space="preserve">The number of pwFNSD (proportion) making at least one contact with each of the four services pwFNSD before and after the start of their psychotherapy. </w:t>
      </w:r>
    </w:p>
    <w:p w14:paraId="20C28524" w14:textId="77777777" w:rsidR="00AD2B5C" w:rsidRDefault="00AD2B5C" w:rsidP="00AD2B5C">
      <w:pPr>
        <w:pStyle w:val="ListParagraph"/>
        <w:numPr>
          <w:ilvl w:val="0"/>
          <w:numId w:val="76"/>
        </w:numPr>
      </w:pPr>
      <w:r>
        <w:t>Rate and proportion ratios of the pwFNSD accessing the four UEC services before and after therapy.</w:t>
      </w:r>
    </w:p>
    <w:p w14:paraId="617A7338" w14:textId="77777777" w:rsidR="00AD2B5C" w:rsidRDefault="00AD2B5C" w:rsidP="00AD2B5C">
      <w:pPr>
        <w:pStyle w:val="ListParagraph"/>
        <w:numPr>
          <w:ilvl w:val="0"/>
          <w:numId w:val="76"/>
        </w:numPr>
      </w:pPr>
      <w:r>
        <w:t>The psychotherapy intervention's effect size (slope and level change) on ECU rates in FNSD.</w:t>
      </w:r>
    </w:p>
    <w:p w14:paraId="31A30D93" w14:textId="77777777" w:rsidR="00AD2B5C" w:rsidRPr="00C94F5D" w:rsidRDefault="00AD2B5C" w:rsidP="00780B4F"/>
    <w:p w14:paraId="574C9F43" w14:textId="77777777" w:rsidR="00AD2B5C" w:rsidRDefault="00AD2B5C" w:rsidP="00290952">
      <w:r>
        <w:t xml:space="preserve">The following features were compared between the pre-and post-therapy periods for FNSD patients. </w:t>
      </w:r>
    </w:p>
    <w:p w14:paraId="3186A588" w14:textId="77777777" w:rsidR="00AD2B5C" w:rsidRPr="00290952" w:rsidRDefault="00AD2B5C" w:rsidP="00780B4F">
      <w:pPr>
        <w:rPr>
          <w:i/>
          <w:iCs/>
        </w:rPr>
      </w:pPr>
      <w:r w:rsidRPr="00290952">
        <w:rPr>
          <w:i/>
          <w:iCs/>
        </w:rPr>
        <w:t>NHS 111 calls:</w:t>
      </w:r>
    </w:p>
    <w:p w14:paraId="1589243B" w14:textId="77777777" w:rsidR="00AD2B5C" w:rsidRDefault="00AD2B5C" w:rsidP="00AD2B5C">
      <w:pPr>
        <w:pStyle w:val="ListParagraph"/>
        <w:numPr>
          <w:ilvl w:val="0"/>
          <w:numId w:val="77"/>
        </w:numPr>
        <w:jc w:val="left"/>
      </w:pPr>
      <w:r>
        <w:t xml:space="preserve">Whether a call back was required </w:t>
      </w:r>
    </w:p>
    <w:p w14:paraId="493FAC65" w14:textId="77777777" w:rsidR="00AD2B5C" w:rsidRDefault="00AD2B5C" w:rsidP="00AD2B5C">
      <w:pPr>
        <w:pStyle w:val="ListParagraph"/>
        <w:numPr>
          <w:ilvl w:val="0"/>
          <w:numId w:val="77"/>
        </w:numPr>
        <w:jc w:val="left"/>
      </w:pPr>
      <w:r>
        <w:t xml:space="preserve">Whether the patient was recommended to attend A&amp;E </w:t>
      </w:r>
    </w:p>
    <w:p w14:paraId="2AC58B0A" w14:textId="77777777" w:rsidR="00AD2B5C" w:rsidRDefault="00AD2B5C" w:rsidP="00AD2B5C">
      <w:pPr>
        <w:pStyle w:val="ListParagraph"/>
        <w:numPr>
          <w:ilvl w:val="0"/>
          <w:numId w:val="77"/>
        </w:numPr>
        <w:jc w:val="left"/>
      </w:pPr>
      <w:r>
        <w:t>Whether an ambulance was sent for the patient</w:t>
      </w:r>
    </w:p>
    <w:p w14:paraId="7773CB22" w14:textId="77777777" w:rsidR="00AD2B5C" w:rsidRDefault="00AD2B5C" w:rsidP="00AD2B5C">
      <w:pPr>
        <w:pStyle w:val="ListParagraph"/>
        <w:numPr>
          <w:ilvl w:val="0"/>
          <w:numId w:val="77"/>
        </w:numPr>
        <w:jc w:val="left"/>
      </w:pPr>
      <w:r>
        <w:t xml:space="preserve">Whether the patient was recommended to contact primary care services </w:t>
      </w:r>
    </w:p>
    <w:p w14:paraId="3044C2A6" w14:textId="77777777" w:rsidR="00AD2B5C" w:rsidRDefault="00AD2B5C" w:rsidP="00AD2B5C">
      <w:pPr>
        <w:pStyle w:val="ListParagraph"/>
        <w:numPr>
          <w:ilvl w:val="0"/>
          <w:numId w:val="77"/>
        </w:numPr>
        <w:jc w:val="left"/>
      </w:pPr>
      <w:r>
        <w:t xml:space="preserve">Whether the patient was recommended to self-care </w:t>
      </w:r>
    </w:p>
    <w:p w14:paraId="58EC3857" w14:textId="77777777" w:rsidR="00AD2B5C" w:rsidRDefault="00AD2B5C" w:rsidP="00AD2B5C">
      <w:pPr>
        <w:pStyle w:val="ListParagraph"/>
        <w:numPr>
          <w:ilvl w:val="0"/>
          <w:numId w:val="77"/>
        </w:numPr>
        <w:jc w:val="left"/>
      </w:pPr>
      <w:r>
        <w:t xml:space="preserve">Whether the patient received a different recommendation </w:t>
      </w:r>
    </w:p>
    <w:p w14:paraId="793A39DE" w14:textId="77777777" w:rsidR="00AD2B5C" w:rsidRPr="00290952" w:rsidRDefault="00AD2B5C" w:rsidP="00780B4F">
      <w:pPr>
        <w:rPr>
          <w:i/>
          <w:iCs/>
        </w:rPr>
      </w:pPr>
      <w:r w:rsidRPr="00290952">
        <w:rPr>
          <w:i/>
          <w:iCs/>
        </w:rPr>
        <w:t>Ambulance callouts:</w:t>
      </w:r>
    </w:p>
    <w:p w14:paraId="49CAF8CD" w14:textId="77777777" w:rsidR="00AD2B5C" w:rsidRDefault="00AD2B5C" w:rsidP="00AD2B5C">
      <w:pPr>
        <w:pStyle w:val="ListParagraph"/>
        <w:numPr>
          <w:ilvl w:val="0"/>
          <w:numId w:val="77"/>
        </w:numPr>
        <w:jc w:val="left"/>
      </w:pPr>
      <w:r>
        <w:t xml:space="preserve">Whether the call was categorised as high urgency ('red' or 'purple' categories) [25] </w:t>
      </w:r>
    </w:p>
    <w:p w14:paraId="0AB7B3C2" w14:textId="77777777" w:rsidR="00AD2B5C" w:rsidRPr="00290952" w:rsidRDefault="00AD2B5C" w:rsidP="00780B4F">
      <w:pPr>
        <w:rPr>
          <w:i/>
          <w:iCs/>
        </w:rPr>
      </w:pPr>
      <w:r w:rsidRPr="00290952">
        <w:rPr>
          <w:i/>
          <w:iCs/>
        </w:rPr>
        <w:t>A&amp;E attendances</w:t>
      </w:r>
      <w:r>
        <w:rPr>
          <w:i/>
          <w:iCs/>
        </w:rPr>
        <w:t>:</w:t>
      </w:r>
      <w:r w:rsidRPr="00290952">
        <w:rPr>
          <w:i/>
          <w:iCs/>
        </w:rPr>
        <w:t xml:space="preserve"> </w:t>
      </w:r>
    </w:p>
    <w:p w14:paraId="4477C070" w14:textId="77777777" w:rsidR="00AD2B5C" w:rsidRDefault="00AD2B5C" w:rsidP="00AD2B5C">
      <w:pPr>
        <w:pStyle w:val="ListParagraph"/>
        <w:numPr>
          <w:ilvl w:val="0"/>
          <w:numId w:val="77"/>
        </w:numPr>
        <w:jc w:val="left"/>
      </w:pPr>
      <w:r>
        <w:t>Whether the patient arrived by ambulance.</w:t>
      </w:r>
    </w:p>
    <w:p w14:paraId="411E73E9" w14:textId="77777777" w:rsidR="00AD2B5C" w:rsidRDefault="00AD2B5C" w:rsidP="00AD2B5C">
      <w:pPr>
        <w:pStyle w:val="ListParagraph"/>
        <w:numPr>
          <w:ilvl w:val="0"/>
          <w:numId w:val="77"/>
        </w:numPr>
        <w:jc w:val="left"/>
      </w:pPr>
      <w:r>
        <w:t>Whether the patient was subsequently admitted to a hospital bed or became a lodged patient of the same health care provider.</w:t>
      </w:r>
    </w:p>
    <w:p w14:paraId="485188B6" w14:textId="77777777" w:rsidR="00AD2B5C" w:rsidRDefault="00AD2B5C" w:rsidP="00AD2B5C">
      <w:pPr>
        <w:pStyle w:val="ListParagraph"/>
        <w:numPr>
          <w:ilvl w:val="0"/>
          <w:numId w:val="77"/>
        </w:numPr>
        <w:jc w:val="left"/>
      </w:pPr>
      <w:r>
        <w:lastRenderedPageBreak/>
        <w:t>Whether the patient was discharged to primary care.</w:t>
      </w:r>
    </w:p>
    <w:p w14:paraId="7AF68A80" w14:textId="77777777" w:rsidR="00AD2B5C" w:rsidRDefault="00AD2B5C" w:rsidP="00AD2B5C">
      <w:pPr>
        <w:pStyle w:val="ListParagraph"/>
        <w:numPr>
          <w:ilvl w:val="0"/>
          <w:numId w:val="77"/>
        </w:numPr>
        <w:jc w:val="left"/>
      </w:pPr>
      <w:r>
        <w:t>Whether the patient required any follow-up.</w:t>
      </w:r>
    </w:p>
    <w:p w14:paraId="5F2C4F47" w14:textId="77777777" w:rsidR="00AD2B5C" w:rsidRPr="00290952" w:rsidRDefault="00AD2B5C" w:rsidP="00780B4F">
      <w:pPr>
        <w:rPr>
          <w:i/>
          <w:iCs/>
        </w:rPr>
      </w:pPr>
      <w:r w:rsidRPr="00290952">
        <w:rPr>
          <w:i/>
          <w:iCs/>
        </w:rPr>
        <w:t>Inpatient spells:</w:t>
      </w:r>
    </w:p>
    <w:p w14:paraId="41EA3D85" w14:textId="77777777" w:rsidR="00AD2B5C" w:rsidRDefault="00AD2B5C" w:rsidP="00AD2B5C">
      <w:pPr>
        <w:pStyle w:val="ListParagraph"/>
        <w:numPr>
          <w:ilvl w:val="0"/>
          <w:numId w:val="77"/>
        </w:numPr>
        <w:jc w:val="left"/>
      </w:pPr>
      <w:r w:rsidRPr="00575B7E">
        <w:t xml:space="preserve">Whether the patient experienced a stay of </w:t>
      </w:r>
      <w:r>
        <w:t>seven</w:t>
      </w:r>
      <w:r w:rsidRPr="00575B7E">
        <w:t xml:space="preserve"> nights or more (based on the difference between the discharge and admission dates).</w:t>
      </w:r>
    </w:p>
    <w:p w14:paraId="5246F247" w14:textId="77777777" w:rsidR="00AD2B5C" w:rsidRPr="000F1DBC" w:rsidRDefault="00AD2B5C" w:rsidP="000F1DBC"/>
    <w:p w14:paraId="06C97B44" w14:textId="77777777" w:rsidR="00AD2B5C" w:rsidRPr="00290952" w:rsidRDefault="00AD2B5C" w:rsidP="008C66A6">
      <w:pPr>
        <w:spacing w:after="240"/>
        <w:rPr>
          <w:u w:val="single"/>
        </w:rPr>
      </w:pPr>
      <w:r w:rsidRPr="00290952">
        <w:rPr>
          <w:rFonts w:eastAsiaTheme="majorEastAsia"/>
          <w:u w:val="single"/>
        </w:rPr>
        <w:t>Analysis</w:t>
      </w:r>
    </w:p>
    <w:p w14:paraId="7A8AA1A3" w14:textId="77777777" w:rsidR="00AD2B5C" w:rsidRPr="00237EB0" w:rsidRDefault="00AD2B5C" w:rsidP="00A56FE1">
      <w:pPr>
        <w:rPr>
          <w:i/>
          <w:iCs/>
        </w:rPr>
      </w:pPr>
      <w:r w:rsidRPr="00237EB0">
        <w:rPr>
          <w:i/>
          <w:iCs/>
        </w:rPr>
        <w:t>Rates of UEC before and after therapy</w:t>
      </w:r>
      <w:r>
        <w:rPr>
          <w:i/>
          <w:iCs/>
        </w:rPr>
        <w:t>:</w:t>
      </w:r>
    </w:p>
    <w:p w14:paraId="3367E46D" w14:textId="77777777" w:rsidR="00AD2B5C" w:rsidRDefault="00AD2B5C" w:rsidP="00A56FE1">
      <w:r>
        <w:t>R</w:t>
      </w:r>
      <w:r w:rsidRPr="001B3221">
        <w:t xml:space="preserve">ates </w:t>
      </w:r>
      <w:r>
        <w:t xml:space="preserve">and proportion of FNSD UEC usage </w:t>
      </w:r>
      <w:r w:rsidRPr="001B3221">
        <w:t xml:space="preserve">were calculated </w:t>
      </w:r>
      <w:r>
        <w:t>and reported for before-therapy and after-therapy</w:t>
      </w:r>
      <w:r w:rsidRPr="009D0F63">
        <w:t>.</w:t>
      </w:r>
      <w:r>
        <w:t xml:space="preserve"> Crude proportions (per 1000 population), pre-and post-therapy rates (per 1000 person-years), rate ratios and their 95% CIs were reported.</w:t>
      </w:r>
    </w:p>
    <w:p w14:paraId="33B2E6F7" w14:textId="77777777" w:rsidR="00AD2B5C" w:rsidRPr="00237EB0" w:rsidRDefault="00AD2B5C" w:rsidP="00A56FE1">
      <w:pPr>
        <w:rPr>
          <w:i/>
          <w:iCs/>
        </w:rPr>
      </w:pPr>
      <w:r w:rsidRPr="00237EB0">
        <w:rPr>
          <w:i/>
          <w:iCs/>
        </w:rPr>
        <w:t>Trend of UEC usage before and after therapy</w:t>
      </w:r>
      <w:r>
        <w:rPr>
          <w:i/>
          <w:iCs/>
        </w:rPr>
        <w:t>:</w:t>
      </w:r>
    </w:p>
    <w:p w14:paraId="71536280" w14:textId="77777777" w:rsidR="00AD2B5C" w:rsidRDefault="00AD2B5C" w:rsidP="00A56FE1">
      <w:r w:rsidRPr="003C59D7">
        <w:t>A one-group interrupted time series design was used to analyse the effects of a psychotherapeutic intervention on emergency service use among pwFNSD.</w:t>
      </w:r>
      <w:r>
        <w:t xml:space="preserve"> </w:t>
      </w:r>
      <w:r w:rsidRPr="00D847F5">
        <w:t>The data w</w:t>
      </w:r>
      <w:r>
        <w:t>as</w:t>
      </w:r>
      <w:r w:rsidRPr="00D847F5">
        <w:t xml:space="preserve"> organised in</w:t>
      </w:r>
      <w:r>
        <w:t xml:space="preserve">to a time series, </w:t>
      </w:r>
      <w:r w:rsidRPr="00D847F5">
        <w:t xml:space="preserve">with data points on the number of emergency visits, the time of the visits, and the time since the intervention. </w:t>
      </w:r>
      <w:r>
        <w:t>R</w:t>
      </w:r>
      <w:r w:rsidRPr="00D847F5">
        <w:t>aw</w:t>
      </w:r>
      <w:r>
        <w:t xml:space="preserve"> UEC</w:t>
      </w:r>
      <w:r w:rsidRPr="00D847F5">
        <w:t xml:space="preserve"> data w</w:t>
      </w:r>
      <w:r>
        <w:t>ere</w:t>
      </w:r>
      <w:r w:rsidRPr="00D847F5">
        <w:t xml:space="preserve"> transformed to create an aggregated sum of </w:t>
      </w:r>
      <w:r>
        <w:t>event</w:t>
      </w:r>
      <w:r w:rsidRPr="00D847F5">
        <w:t xml:space="preserve"> data points per 3-month period across all study subjects for </w:t>
      </w:r>
      <w:r>
        <w:t>two</w:t>
      </w:r>
      <w:r w:rsidRPr="00D847F5">
        <w:t xml:space="preserve"> years before and after</w:t>
      </w:r>
      <w:r>
        <w:t xml:space="preserve"> their </w:t>
      </w:r>
      <w:r w:rsidRPr="00D847F5">
        <w:t>therapy</w:t>
      </w:r>
      <w:r>
        <w:t xml:space="preserve"> (+/-8 quarterly cohorts)</w:t>
      </w:r>
      <w:r w:rsidRPr="00D847F5">
        <w:t>.</w:t>
      </w:r>
      <w:r>
        <w:t xml:space="preserve"> </w:t>
      </w:r>
    </w:p>
    <w:p w14:paraId="26F6C15C" w14:textId="5D2165FA" w:rsidR="00AD2B5C" w:rsidRDefault="00AD2B5C" w:rsidP="00A56FE1">
      <w:r>
        <w:t xml:space="preserve">Given the count nature of the data and the presence of overdispersion, a Negative Binomial (NB) Regression model rather than a Poisson regression model was applied to the analysis. Overdispersion violates the assumption of </w:t>
      </w:r>
      <w:proofErr w:type="spellStart"/>
      <w:r>
        <w:t>equidispersion</w:t>
      </w:r>
      <w:proofErr w:type="spellEnd"/>
      <w:r>
        <w:t xml:space="preserve"> in Poisson regression. The dependent variable in the model was the rate of 111 </w:t>
      </w:r>
      <w:r w:rsidR="004564B0">
        <w:t xml:space="preserve">events </w:t>
      </w:r>
      <w:r>
        <w:t xml:space="preserve">per 1000 person-quarters. Three independent variables were considered: analysis time, intervention, and time since treatment. As above, rates were calculated per quarter for </w:t>
      </w:r>
      <w:r w:rsidR="004564B0">
        <w:t>one and a half years</w:t>
      </w:r>
      <w:r>
        <w:t xml:space="preserve"> before and after therapy and inputted into a segmented NB regression with the entire duration of psychotherapy as the interruption point. Estimates of the regression coefficients were obtained using the method of Maximum Likelihood Estimation. The significance of each coefficient was assessed using z-tests, with p-values less than 0.05 considered statistically significant. Model fit was evaluated by comparing the residual deviance with the null deviance. A lower residual deviance relative to the null deviance indicates a better-fitting model. </w:t>
      </w:r>
    </w:p>
    <w:p w14:paraId="6364BFCF" w14:textId="77777777" w:rsidR="00AD2B5C" w:rsidRPr="0098328E" w:rsidRDefault="00AD2B5C" w:rsidP="00A56FE1">
      <w:pPr>
        <w:rPr>
          <w:i/>
          <w:iCs/>
        </w:rPr>
      </w:pPr>
      <w:r w:rsidRPr="0098328E">
        <w:rPr>
          <w:i/>
          <w:iCs/>
        </w:rPr>
        <w:t>Features of UEC service usage</w:t>
      </w:r>
      <w:r>
        <w:rPr>
          <w:i/>
          <w:iCs/>
        </w:rPr>
        <w:t>:</w:t>
      </w:r>
    </w:p>
    <w:p w14:paraId="2B1F5CCA" w14:textId="77777777" w:rsidR="00AD2B5C" w:rsidRPr="00666CE4" w:rsidRDefault="00AD2B5C" w:rsidP="00A56FE1">
      <w:r w:rsidRPr="00666CE4">
        <w:lastRenderedPageBreak/>
        <w:t>Logistic regression and odds ratios were used to assess features of UEC service use (secondary outcomes above)</w:t>
      </w:r>
      <w:r>
        <w:t xml:space="preserve"> before and after the first and last therapy sessions</w:t>
      </w:r>
      <w:r w:rsidRPr="00666CE4">
        <w:t xml:space="preserve">. Adjustments were made for age (continuous) and sex in every case. </w:t>
      </w:r>
      <w:r>
        <w:t>T</w:t>
      </w:r>
      <w:r w:rsidRPr="00666CE4">
        <w:t xml:space="preserve">he Index of Multiple Deprivation (IMD) </w:t>
      </w:r>
      <w:r>
        <w:t xml:space="preserve">overall score </w:t>
      </w:r>
      <w:r w:rsidRPr="00666CE4">
        <w:t xml:space="preserve">decile (continuous) was used to adjust for socioeconomic status, using the residence postcode at the start of therapy. </w:t>
      </w:r>
    </w:p>
    <w:p w14:paraId="6D377D22" w14:textId="77777777" w:rsidR="00AD2B5C" w:rsidRPr="000E2FBF" w:rsidRDefault="00AD2B5C" w:rsidP="008C2BB6">
      <w:r w:rsidRPr="00DE7DC9">
        <w:t xml:space="preserve">The IMD scores were mapped to each FNSD patient LSOA and derived internal </w:t>
      </w:r>
      <w:r>
        <w:t>decile</w:t>
      </w:r>
      <w:r w:rsidRPr="00DE7DC9">
        <w:t xml:space="preserve"> for the study population. IMD </w:t>
      </w:r>
      <w:r>
        <w:t>was</w:t>
      </w:r>
      <w:r w:rsidRPr="00DE7DC9">
        <w:t xml:space="preserve"> </w:t>
      </w:r>
      <w:r>
        <w:t>included in</w:t>
      </w:r>
      <w:r w:rsidRPr="00DE7DC9">
        <w:t xml:space="preserve"> the secondary analyses as</w:t>
      </w:r>
      <w:r>
        <w:t xml:space="preserve"> a</w:t>
      </w:r>
      <w:r w:rsidRPr="00DE7DC9">
        <w:t xml:space="preserve"> covariate, considering </w:t>
      </w:r>
      <w:r>
        <w:t xml:space="preserve">its </w:t>
      </w:r>
      <w:r w:rsidRPr="00DE7DC9">
        <w:t xml:space="preserve">potential association with the outcomes. However, adjustments for these elements </w:t>
      </w:r>
      <w:r>
        <w:t>did not apply</w:t>
      </w:r>
      <w:r w:rsidRPr="00DE7DC9">
        <w:t xml:space="preserve"> </w:t>
      </w:r>
      <w:r>
        <w:t>to</w:t>
      </w:r>
      <w:r w:rsidRPr="00DE7DC9">
        <w:t xml:space="preserve"> the primary analyses. Specifically, adjusting for IMD would have led to an overly complex stratification and</w:t>
      </w:r>
      <w:r>
        <w:t>,</w:t>
      </w:r>
      <w:r w:rsidRPr="00DE7DC9">
        <w:t xml:space="preserve"> subsequently</w:t>
      </w:r>
      <w:r>
        <w:t>,</w:t>
      </w:r>
      <w:r w:rsidRPr="00DE7DC9">
        <w:t xml:space="preserve"> small sample size</w:t>
      </w:r>
      <w:r>
        <w:t>s</w:t>
      </w:r>
      <w:r w:rsidRPr="00DE7DC9">
        <w:t xml:space="preserve"> for the analys</w:t>
      </w:r>
      <w:r>
        <w:t>i</w:t>
      </w:r>
      <w:r w:rsidRPr="00DE7DC9">
        <w:t>s.</w:t>
      </w:r>
    </w:p>
    <w:p w14:paraId="04C873B2" w14:textId="77777777" w:rsidR="00AD2B5C" w:rsidRPr="00667D62" w:rsidRDefault="00AD2B5C" w:rsidP="00565D6E">
      <w:pPr>
        <w:pStyle w:val="Heading3"/>
      </w:pPr>
      <w:bookmarkStart w:id="131" w:name="_Toc137504747"/>
      <w:r>
        <w:t xml:space="preserve">4.2.9 </w:t>
      </w:r>
      <w:r w:rsidRPr="00C94F5D">
        <w:t>Statistical analysis</w:t>
      </w:r>
      <w:bookmarkEnd w:id="131"/>
    </w:p>
    <w:p w14:paraId="190B2E56" w14:textId="77777777" w:rsidR="00AD2B5C" w:rsidRDefault="00AD2B5C" w:rsidP="0038436B">
      <w:pPr>
        <w:spacing w:after="240"/>
      </w:pPr>
      <w:r w:rsidRPr="00724162">
        <w:rPr>
          <w:rFonts w:cs="Arial"/>
          <w:bdr w:val="none" w:sz="0" w:space="0" w:color="auto" w:frame="1"/>
          <w:shd w:val="clear" w:color="auto" w:fill="FFFFFF"/>
        </w:rPr>
        <w:t>All data preparation and analyses were conducted using RStudio v. 4.2.2.</w:t>
      </w:r>
      <w:r>
        <w:rPr>
          <w:rFonts w:cs="Arial"/>
          <w:bdr w:val="none" w:sz="0" w:space="0" w:color="auto" w:frame="1"/>
          <w:shd w:val="clear" w:color="auto" w:fill="FFFFFF"/>
        </w:rPr>
        <w:t xml:space="preserve"> </w:t>
      </w:r>
      <w:r>
        <w:t>Emergency service use rates and proportions were obtained using the '</w:t>
      </w:r>
      <w:proofErr w:type="spellStart"/>
      <w:r w:rsidRPr="00934043">
        <w:t>PHEindicatormethods</w:t>
      </w:r>
      <w:proofErr w:type="spellEnd"/>
      <w:r>
        <w:t xml:space="preserve">' package in R. Studio. The Negative Binomial Regression model was implemented using the </w:t>
      </w:r>
      <w:proofErr w:type="spellStart"/>
      <w:r>
        <w:t>glm.nb</w:t>
      </w:r>
      <w:proofErr w:type="spellEnd"/>
      <w:r>
        <w:t xml:space="preserve"> function from the MASS package. </w:t>
      </w:r>
    </w:p>
    <w:p w14:paraId="4AE50FE9" w14:textId="254EDF5B" w:rsidR="00850777" w:rsidRDefault="00850777">
      <w:pPr>
        <w:spacing w:line="240" w:lineRule="auto"/>
        <w:jc w:val="left"/>
      </w:pPr>
      <w:r>
        <w:br w:type="page"/>
      </w:r>
    </w:p>
    <w:p w14:paraId="1E3E507A" w14:textId="77777777" w:rsidR="00850777" w:rsidRDefault="00850777" w:rsidP="00735B9E">
      <w:pPr>
        <w:pStyle w:val="Heading2"/>
      </w:pPr>
      <w:bookmarkStart w:id="132" w:name="_Toc137504748"/>
      <w:r>
        <w:lastRenderedPageBreak/>
        <w:t xml:space="preserve">4.3. </w:t>
      </w:r>
      <w:r w:rsidRPr="00C61EE0">
        <w:t>Results</w:t>
      </w:r>
      <w:bookmarkEnd w:id="132"/>
    </w:p>
    <w:p w14:paraId="57A21DDA" w14:textId="77777777" w:rsidR="00850777" w:rsidRPr="00F47B78" w:rsidRDefault="00850777" w:rsidP="00387D47">
      <w:pPr>
        <w:pStyle w:val="Heading3"/>
        <w:rPr>
          <w:sz w:val="21"/>
          <w:szCs w:val="21"/>
        </w:rPr>
      </w:pPr>
      <w:bookmarkStart w:id="133" w:name="_Toc137504749"/>
      <w:r>
        <w:rPr>
          <w:sz w:val="21"/>
          <w:szCs w:val="21"/>
        </w:rPr>
        <w:t>4.</w:t>
      </w:r>
      <w:r w:rsidRPr="00F47B78">
        <w:rPr>
          <w:sz w:val="21"/>
          <w:szCs w:val="21"/>
        </w:rPr>
        <w:t>3.1 General Description</w:t>
      </w:r>
      <w:bookmarkEnd w:id="133"/>
    </w:p>
    <w:p w14:paraId="0160239E" w14:textId="77777777" w:rsidR="00850777" w:rsidRPr="00D52255" w:rsidRDefault="00850777" w:rsidP="00D52255">
      <w:pPr>
        <w:pStyle w:val="Heading4"/>
      </w:pPr>
      <w:r>
        <w:t xml:space="preserve">4.3.1.1 </w:t>
      </w:r>
      <w:r w:rsidRPr="00D52255">
        <w:t xml:space="preserve">Population Demographics </w:t>
      </w:r>
    </w:p>
    <w:p w14:paraId="60431BB2" w14:textId="77777777" w:rsidR="00850777" w:rsidRDefault="00850777" w:rsidP="00F47B78">
      <w:r>
        <w:t xml:space="preserve">705 FNSD </w:t>
      </w:r>
      <w:r w:rsidRPr="003309FA">
        <w:t xml:space="preserve">patients were captured from </w:t>
      </w:r>
      <w:r>
        <w:t>South Yorkshire</w:t>
      </w:r>
      <w:r w:rsidRPr="003309FA">
        <w:t xml:space="preserve"> CCG</w:t>
      </w:r>
      <w:r>
        <w:t>s</w:t>
      </w:r>
      <w:r w:rsidRPr="003309FA">
        <w:t xml:space="preserve"> starting therapy between 2012 and 2016</w:t>
      </w:r>
      <w:r>
        <w:t>. The mean age at the start of therapy was 40.5 years (SD= 13.5), and the range was 16-84 years. There were 226</w:t>
      </w:r>
      <w:r w:rsidRPr="00EC5835">
        <w:t xml:space="preserve"> males (3</w:t>
      </w:r>
      <w:r>
        <w:t>2.2</w:t>
      </w:r>
      <w:r w:rsidRPr="00EC5835">
        <w:t xml:space="preserve">%) and </w:t>
      </w:r>
      <w:r>
        <w:t>478</w:t>
      </w:r>
      <w:r w:rsidRPr="00EC5835">
        <w:t xml:space="preserve"> females (6</w:t>
      </w:r>
      <w:r>
        <w:t>7</w:t>
      </w:r>
      <w:r w:rsidRPr="00EC5835">
        <w:t>.</w:t>
      </w:r>
      <w:r>
        <w:t>8</w:t>
      </w:r>
      <w:r w:rsidRPr="00EC5835">
        <w:t>%)</w:t>
      </w:r>
      <w:r>
        <w:t xml:space="preserve">. Both age and sex distributions were non-normal (p's </w:t>
      </w:r>
      <w:r w:rsidRPr="00EC5835">
        <w:t>&lt;</w:t>
      </w:r>
      <w:r>
        <w:t>0</w:t>
      </w:r>
      <w:r w:rsidRPr="00EC5835">
        <w:t>.0</w:t>
      </w:r>
      <w:r>
        <w:t>5</w:t>
      </w:r>
      <w:r w:rsidRPr="00EC5835">
        <w:t>)</w:t>
      </w:r>
      <w:r>
        <w:t xml:space="preserve">. </w:t>
      </w:r>
    </w:p>
    <w:p w14:paraId="098A5775" w14:textId="77777777" w:rsidR="00850777" w:rsidRPr="00D52255" w:rsidRDefault="00850777" w:rsidP="00D52255">
      <w:pPr>
        <w:pStyle w:val="Heading4"/>
      </w:pPr>
      <w:r>
        <w:t xml:space="preserve">4.3.1.2 </w:t>
      </w:r>
      <w:r w:rsidRPr="00D52255">
        <w:t xml:space="preserve">Data </w:t>
      </w:r>
      <w:r>
        <w:t>Characteristics</w:t>
      </w:r>
    </w:p>
    <w:p w14:paraId="57258BF3" w14:textId="4BEA312F" w:rsidR="00A9076C" w:rsidRDefault="00850777" w:rsidP="004864E3">
      <w:r w:rsidRPr="00FA1C94">
        <w:t xml:space="preserve">The </w:t>
      </w:r>
      <w:r>
        <w:t>merged FNSD</w:t>
      </w:r>
      <w:r w:rsidRPr="00FA1C94">
        <w:t xml:space="preserve"> and CUREd data</w:t>
      </w:r>
      <w:r>
        <w:t>base</w:t>
      </w:r>
      <w:r w:rsidRPr="00FA1C94">
        <w:t xml:space="preserve"> captured </w:t>
      </w:r>
      <w:r>
        <w:t>10,966 emergency healthcare events</w:t>
      </w:r>
      <w:r w:rsidRPr="00FA1C94">
        <w:t xml:space="preserve"> across</w:t>
      </w:r>
      <w:r>
        <w:t xml:space="preserve"> all UEC services</w:t>
      </w:r>
      <w:r w:rsidRPr="00FA1C94">
        <w:t xml:space="preserve"> </w:t>
      </w:r>
      <w:r>
        <w:t>(</w:t>
      </w:r>
      <w:r w:rsidRPr="00FA1C94">
        <w:t>111,</w:t>
      </w:r>
      <w:r>
        <w:t xml:space="preserve"> A&amp;E,</w:t>
      </w:r>
      <w:r w:rsidRPr="00FA1C94">
        <w:t xml:space="preserve"> AMB</w:t>
      </w:r>
      <w:r>
        <w:t xml:space="preserve"> and APC) </w:t>
      </w:r>
      <w:r w:rsidRPr="00FA1C94">
        <w:t xml:space="preserve">between </w:t>
      </w:r>
      <w:r>
        <w:t xml:space="preserve">April </w:t>
      </w:r>
      <w:r w:rsidRPr="00FA1C94">
        <w:t>201</w:t>
      </w:r>
      <w:r>
        <w:t>2</w:t>
      </w:r>
      <w:r w:rsidRPr="00FA1C94">
        <w:t xml:space="preserve"> and</w:t>
      </w:r>
      <w:r>
        <w:t xml:space="preserve"> March</w:t>
      </w:r>
      <w:r w:rsidRPr="00FA1C94">
        <w:t xml:space="preserve"> 201</w:t>
      </w:r>
      <w:r>
        <w:t>6</w:t>
      </w:r>
      <w:r w:rsidRPr="00FA1C94">
        <w:t xml:space="preserve"> in the</w:t>
      </w:r>
      <w:r>
        <w:t xml:space="preserve"> 705</w:t>
      </w:r>
      <w:r w:rsidRPr="00FA1C94">
        <w:t xml:space="preserve"> </w:t>
      </w:r>
      <w:r>
        <w:t>FNSD</w:t>
      </w:r>
      <w:r w:rsidRPr="00FA1C94">
        <w:t xml:space="preserve"> population studied.</w:t>
      </w:r>
      <w:r>
        <w:t xml:space="preserve"> Among these, there were 1,548 calls to 111 made by 353 (50.1%) patients (made in 2013-2016); 4,703 A&amp;E visits by 604 (85.7%) patients; 1,050 AMB callouts by 371 (52.6%) patients and 2,012 APC spells in 428 patients. The majority of FNSD patients used more than one UEC service, with 203 (29%) of patients accessing </w:t>
      </w:r>
      <w:r w:rsidR="004564B0">
        <w:t xml:space="preserve">all </w:t>
      </w:r>
      <w:r>
        <w:t xml:space="preserve">of the services (NHS 111, AMB, APC and A&amp;E) at least once in the studied 4-year studied timeframe and 414 (59%) accessing at least two of these services. See Figure 6 for </w:t>
      </w:r>
      <w:r w:rsidRPr="00883A62">
        <w:t xml:space="preserve">a visual representation of the </w:t>
      </w:r>
      <w:r>
        <w:t>overlap</w:t>
      </w:r>
      <w:r w:rsidRPr="00883A62">
        <w:t xml:space="preserve"> and unique areas of service usage among </w:t>
      </w:r>
      <w:r>
        <w:t xml:space="preserve">the FNSD cohort (total n=705). </w:t>
      </w:r>
      <w:r w:rsidRPr="00227592">
        <w:t xml:space="preserve">Given that some service data were </w:t>
      </w:r>
      <w:r>
        <w:t>unavailable</w:t>
      </w:r>
      <w:r w:rsidRPr="00227592">
        <w:t xml:space="preserve"> for the whole period</w:t>
      </w:r>
      <w:r>
        <w:t>,</w:t>
      </w:r>
      <w:r w:rsidRPr="00227592">
        <w:t xml:space="preserve"> the total user numbers and overlap figures may represent an underestimate.</w:t>
      </w:r>
    </w:p>
    <w:p w14:paraId="2774B34E" w14:textId="77777777" w:rsidR="00A9076C" w:rsidRDefault="00A9076C" w:rsidP="004864E3"/>
    <w:p w14:paraId="431F6C9D" w14:textId="77777777" w:rsidR="00A9076C" w:rsidRDefault="00A9076C">
      <w:pPr>
        <w:spacing w:line="240" w:lineRule="auto"/>
        <w:jc w:val="left"/>
      </w:pPr>
      <w:r>
        <w:br w:type="page"/>
      </w:r>
    </w:p>
    <w:p w14:paraId="79AF7987" w14:textId="430F759A" w:rsidR="00850777" w:rsidRPr="00A9076C" w:rsidRDefault="00850777" w:rsidP="00044E0C">
      <w:r w:rsidRPr="00A9076C">
        <w:lastRenderedPageBreak/>
        <w:t>Figure 6. Venn diagram showing the number of patients in the Sheffield FNSD cohort (total population =705) using one or more UEC health services between 2012 and 2016.</w:t>
      </w:r>
    </w:p>
    <w:p w14:paraId="5BD61DA9" w14:textId="77777777" w:rsidR="00850777" w:rsidRDefault="00850777" w:rsidP="004864E3">
      <w:pPr>
        <w:jc w:val="center"/>
      </w:pPr>
      <w:r w:rsidRPr="00433813">
        <w:rPr>
          <w:noProof/>
        </w:rPr>
        <w:drawing>
          <wp:inline distT="0" distB="0" distL="0" distR="0" wp14:anchorId="38DF70AD" wp14:editId="6EF271AA">
            <wp:extent cx="3149600" cy="2523207"/>
            <wp:effectExtent l="0" t="0" r="0" b="4445"/>
            <wp:docPr id="2026517215"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17215" name="Picture 1" descr="A picture containing diagram&#10;&#10;Description automatically generated"/>
                    <pic:cNvPicPr/>
                  </pic:nvPicPr>
                  <pic:blipFill>
                    <a:blip r:embed="rId39"/>
                    <a:stretch>
                      <a:fillRect/>
                    </a:stretch>
                  </pic:blipFill>
                  <pic:spPr>
                    <a:xfrm>
                      <a:off x="0" y="0"/>
                      <a:ext cx="3287180" cy="2633425"/>
                    </a:xfrm>
                    <a:prstGeom prst="rect">
                      <a:avLst/>
                    </a:prstGeom>
                  </pic:spPr>
                </pic:pic>
              </a:graphicData>
            </a:graphic>
          </wp:inline>
        </w:drawing>
      </w:r>
    </w:p>
    <w:p w14:paraId="403CD2B5" w14:textId="77777777" w:rsidR="00850777" w:rsidRPr="00044E0C" w:rsidRDefault="00850777" w:rsidP="00227592">
      <w:pPr>
        <w:spacing w:line="240" w:lineRule="auto"/>
        <w:rPr>
          <w:i/>
          <w:iCs/>
          <w:sz w:val="18"/>
          <w:szCs w:val="18"/>
        </w:rPr>
      </w:pPr>
      <w:r w:rsidRPr="00044E0C">
        <w:rPr>
          <w:i/>
          <w:iCs/>
          <w:sz w:val="18"/>
          <w:szCs w:val="18"/>
        </w:rPr>
        <w:t>Note: Venn diagram illustrat</w:t>
      </w:r>
      <w:r>
        <w:rPr>
          <w:i/>
          <w:iCs/>
          <w:sz w:val="18"/>
          <w:szCs w:val="18"/>
        </w:rPr>
        <w:t>ing</w:t>
      </w:r>
      <w:r w:rsidRPr="00044E0C">
        <w:rPr>
          <w:i/>
          <w:iCs/>
          <w:sz w:val="18"/>
          <w:szCs w:val="18"/>
        </w:rPr>
        <w:t xml:space="preserve"> overlap of service usage among patients.</w:t>
      </w:r>
      <w:r>
        <w:rPr>
          <w:i/>
          <w:iCs/>
          <w:sz w:val="18"/>
          <w:szCs w:val="18"/>
        </w:rPr>
        <w:t xml:space="preserve"> The sizes</w:t>
      </w:r>
      <w:r w:rsidRPr="00044E0C">
        <w:rPr>
          <w:i/>
          <w:iCs/>
          <w:sz w:val="18"/>
          <w:szCs w:val="18"/>
        </w:rPr>
        <w:t xml:space="preserve"> of the circles correspond to the number of patients using each service</w:t>
      </w:r>
      <w:r>
        <w:rPr>
          <w:i/>
          <w:iCs/>
          <w:sz w:val="18"/>
          <w:szCs w:val="18"/>
        </w:rPr>
        <w:t>. Figures account for the number of patients accessing the services at least once b</w:t>
      </w:r>
      <w:r w:rsidRPr="00227592">
        <w:rPr>
          <w:i/>
          <w:iCs/>
          <w:sz w:val="18"/>
          <w:szCs w:val="18"/>
        </w:rPr>
        <w:t>etween April 2012 and March 2016 in the 705 FNSD population studied.</w:t>
      </w:r>
      <w:r>
        <w:rPr>
          <w:i/>
          <w:iCs/>
          <w:sz w:val="18"/>
          <w:szCs w:val="18"/>
        </w:rPr>
        <w:t xml:space="preserve"> </w:t>
      </w:r>
      <w:r w:rsidRPr="00227592">
        <w:rPr>
          <w:i/>
          <w:iCs/>
          <w:sz w:val="18"/>
          <w:szCs w:val="18"/>
        </w:rPr>
        <w:t xml:space="preserve">Among these, </w:t>
      </w:r>
      <w:r>
        <w:rPr>
          <w:i/>
          <w:iCs/>
          <w:sz w:val="18"/>
          <w:szCs w:val="18"/>
        </w:rPr>
        <w:t xml:space="preserve">353 patients called NHS </w:t>
      </w:r>
      <w:r w:rsidRPr="00227592">
        <w:rPr>
          <w:i/>
          <w:iCs/>
          <w:sz w:val="18"/>
          <w:szCs w:val="18"/>
        </w:rPr>
        <w:t>111 (50.1%) patients (</w:t>
      </w:r>
      <w:r>
        <w:rPr>
          <w:i/>
          <w:iCs/>
          <w:sz w:val="18"/>
          <w:szCs w:val="18"/>
        </w:rPr>
        <w:t xml:space="preserve">captured </w:t>
      </w:r>
      <w:r w:rsidRPr="00227592">
        <w:rPr>
          <w:i/>
          <w:iCs/>
          <w:sz w:val="18"/>
          <w:szCs w:val="18"/>
        </w:rPr>
        <w:t>in 2013-2016); A&amp;E visits by 604 (85.7%) patients</w:t>
      </w:r>
      <w:r>
        <w:rPr>
          <w:i/>
          <w:iCs/>
          <w:sz w:val="18"/>
          <w:szCs w:val="18"/>
        </w:rPr>
        <w:t xml:space="preserve"> (captured in 2011-2016); </w:t>
      </w:r>
      <w:r w:rsidRPr="00227592">
        <w:rPr>
          <w:i/>
          <w:iCs/>
          <w:sz w:val="18"/>
          <w:szCs w:val="18"/>
        </w:rPr>
        <w:t>AMB callouts by 371 (52.6%) patients</w:t>
      </w:r>
      <w:r>
        <w:rPr>
          <w:i/>
          <w:iCs/>
          <w:sz w:val="18"/>
          <w:szCs w:val="18"/>
        </w:rPr>
        <w:t xml:space="preserve"> </w:t>
      </w:r>
      <w:r w:rsidRPr="00227592">
        <w:rPr>
          <w:i/>
          <w:iCs/>
          <w:sz w:val="18"/>
          <w:szCs w:val="18"/>
        </w:rPr>
        <w:t>(</w:t>
      </w:r>
      <w:r>
        <w:rPr>
          <w:i/>
          <w:iCs/>
          <w:sz w:val="18"/>
          <w:szCs w:val="18"/>
        </w:rPr>
        <w:t xml:space="preserve">captured </w:t>
      </w:r>
      <w:r w:rsidRPr="00227592">
        <w:rPr>
          <w:i/>
          <w:iCs/>
          <w:sz w:val="18"/>
          <w:szCs w:val="18"/>
        </w:rPr>
        <w:t>in 201</w:t>
      </w:r>
      <w:r>
        <w:rPr>
          <w:i/>
          <w:iCs/>
          <w:sz w:val="18"/>
          <w:szCs w:val="18"/>
        </w:rPr>
        <w:t>2</w:t>
      </w:r>
      <w:r w:rsidRPr="00227592">
        <w:rPr>
          <w:i/>
          <w:iCs/>
          <w:sz w:val="18"/>
          <w:szCs w:val="18"/>
        </w:rPr>
        <w:t xml:space="preserve">-2016);  and APC spells </w:t>
      </w:r>
      <w:r>
        <w:rPr>
          <w:i/>
          <w:iCs/>
          <w:sz w:val="18"/>
          <w:szCs w:val="18"/>
        </w:rPr>
        <w:t xml:space="preserve">in </w:t>
      </w:r>
      <w:r w:rsidRPr="00227592">
        <w:rPr>
          <w:i/>
          <w:iCs/>
          <w:sz w:val="18"/>
          <w:szCs w:val="18"/>
        </w:rPr>
        <w:t xml:space="preserve">428 </w:t>
      </w:r>
      <w:r>
        <w:rPr>
          <w:i/>
          <w:iCs/>
          <w:sz w:val="18"/>
          <w:szCs w:val="18"/>
        </w:rPr>
        <w:t xml:space="preserve">(68.4%) </w:t>
      </w:r>
      <w:r w:rsidRPr="00227592">
        <w:rPr>
          <w:i/>
          <w:iCs/>
          <w:sz w:val="18"/>
          <w:szCs w:val="18"/>
        </w:rPr>
        <w:t>patients</w:t>
      </w:r>
      <w:r>
        <w:rPr>
          <w:i/>
          <w:iCs/>
          <w:sz w:val="18"/>
          <w:szCs w:val="18"/>
        </w:rPr>
        <w:t xml:space="preserve"> </w:t>
      </w:r>
      <w:r w:rsidRPr="00227592">
        <w:rPr>
          <w:i/>
          <w:iCs/>
          <w:sz w:val="18"/>
          <w:szCs w:val="18"/>
        </w:rPr>
        <w:t>(</w:t>
      </w:r>
      <w:r>
        <w:rPr>
          <w:i/>
          <w:iCs/>
          <w:sz w:val="18"/>
          <w:szCs w:val="18"/>
        </w:rPr>
        <w:t xml:space="preserve">captured </w:t>
      </w:r>
      <w:r w:rsidRPr="00227592">
        <w:rPr>
          <w:i/>
          <w:iCs/>
          <w:sz w:val="18"/>
          <w:szCs w:val="18"/>
        </w:rPr>
        <w:t>in 201</w:t>
      </w:r>
      <w:r>
        <w:rPr>
          <w:i/>
          <w:iCs/>
          <w:sz w:val="18"/>
          <w:szCs w:val="18"/>
        </w:rPr>
        <w:t>1</w:t>
      </w:r>
      <w:r w:rsidRPr="00227592">
        <w:rPr>
          <w:i/>
          <w:iCs/>
          <w:sz w:val="18"/>
          <w:szCs w:val="18"/>
        </w:rPr>
        <w:t>-2016).</w:t>
      </w:r>
    </w:p>
    <w:p w14:paraId="786C3C52" w14:textId="77777777" w:rsidR="00850777" w:rsidRDefault="00850777" w:rsidP="00433813">
      <w:pPr>
        <w:jc w:val="center"/>
      </w:pPr>
    </w:p>
    <w:p w14:paraId="6B531C6F" w14:textId="77777777" w:rsidR="00850777" w:rsidRDefault="00850777" w:rsidP="00C20C83">
      <w:pPr>
        <w:pStyle w:val="Heading3"/>
        <w:rPr>
          <w:sz w:val="21"/>
          <w:szCs w:val="21"/>
        </w:rPr>
      </w:pPr>
      <w:bookmarkStart w:id="134" w:name="_Toc137504750"/>
      <w:r>
        <w:rPr>
          <w:sz w:val="21"/>
          <w:szCs w:val="21"/>
        </w:rPr>
        <w:t xml:space="preserve">4.3.2 </w:t>
      </w:r>
      <w:r w:rsidRPr="005D7F5C">
        <w:rPr>
          <w:sz w:val="21"/>
          <w:szCs w:val="21"/>
        </w:rPr>
        <w:t>Cross-</w:t>
      </w:r>
      <w:r>
        <w:rPr>
          <w:sz w:val="21"/>
          <w:szCs w:val="21"/>
        </w:rPr>
        <w:t>s</w:t>
      </w:r>
      <w:r w:rsidRPr="005D7F5C">
        <w:rPr>
          <w:sz w:val="21"/>
          <w:szCs w:val="21"/>
        </w:rPr>
        <w:t xml:space="preserve">ectional </w:t>
      </w:r>
      <w:r>
        <w:rPr>
          <w:sz w:val="21"/>
          <w:szCs w:val="21"/>
        </w:rPr>
        <w:t>comparison of UEC utilisation by pw</w:t>
      </w:r>
      <w:r w:rsidRPr="005D7F5C">
        <w:rPr>
          <w:sz w:val="21"/>
          <w:szCs w:val="21"/>
        </w:rPr>
        <w:t>F</w:t>
      </w:r>
      <w:r>
        <w:rPr>
          <w:sz w:val="21"/>
          <w:szCs w:val="21"/>
        </w:rPr>
        <w:t>NSD and the general population</w:t>
      </w:r>
      <w:bookmarkEnd w:id="134"/>
    </w:p>
    <w:p w14:paraId="6E76B7E5" w14:textId="77777777" w:rsidR="00850777" w:rsidRPr="0022400E" w:rsidRDefault="00850777" w:rsidP="00A04A97">
      <w:pPr>
        <w:pStyle w:val="Heading4"/>
      </w:pPr>
      <w:r>
        <w:t xml:space="preserve">4.3.2.1 </w:t>
      </w:r>
      <w:r w:rsidRPr="0022400E">
        <w:t xml:space="preserve">Description of </w:t>
      </w:r>
      <w:r>
        <w:t>the Dataset</w:t>
      </w:r>
    </w:p>
    <w:p w14:paraId="5B79C9D8" w14:textId="77777777" w:rsidR="00850777" w:rsidRDefault="00850777" w:rsidP="009C6166">
      <w:r>
        <w:t>Using patient postcodes at the time of registration with the Neurology psychotherapy service, patients living within the Sheffield Clinical Commissioning Group area were identified and included in this analysis to enable comparison with the general population in the exact geographical boundaries. Emergency use</w:t>
      </w:r>
      <w:r w:rsidRPr="003309FA">
        <w:t xml:space="preserve"> data for </w:t>
      </w:r>
      <w:r>
        <w:t>the general population</w:t>
      </w:r>
      <w:r w:rsidRPr="003309FA">
        <w:t xml:space="preserve"> in the CUREd research database</w:t>
      </w:r>
      <w:r>
        <w:t xml:space="preserve"> </w:t>
      </w:r>
      <w:r w:rsidRPr="003309FA">
        <w:t>were</w:t>
      </w:r>
      <w:r>
        <w:t xml:space="preserve"> </w:t>
      </w:r>
      <w:r w:rsidRPr="003309FA">
        <w:t>incomplete</w:t>
      </w:r>
      <w:r>
        <w:t xml:space="preserve"> </w:t>
      </w:r>
      <w:r w:rsidRPr="003309FA">
        <w:t>in 2011–201</w:t>
      </w:r>
      <w:r>
        <w:t xml:space="preserve">2, and the secondary data used for this analysis did not have a matching timeframe for APC data. This </w:t>
      </w:r>
      <w:r w:rsidRPr="003309FA">
        <w:t>missing</w:t>
      </w:r>
      <w:r>
        <w:t xml:space="preserve"> </w:t>
      </w:r>
      <w:r w:rsidRPr="003309FA">
        <w:t>data prevent</w:t>
      </w:r>
      <w:r>
        <w:t xml:space="preserve">ed </w:t>
      </w:r>
      <w:r w:rsidRPr="003309FA">
        <w:t xml:space="preserve">the calculation of </w:t>
      </w:r>
      <w:r>
        <w:t xml:space="preserve">comparable rates. Thus </w:t>
      </w:r>
      <w:r w:rsidRPr="003309FA">
        <w:t xml:space="preserve">this </w:t>
      </w:r>
      <w:r>
        <w:t xml:space="preserve">cross-sectional </w:t>
      </w:r>
      <w:r w:rsidRPr="003309FA">
        <w:t xml:space="preserve">analysis </w:t>
      </w:r>
      <w:r>
        <w:t>reports the</w:t>
      </w:r>
      <w:r w:rsidRPr="003309FA">
        <w:t xml:space="preserve"> s</w:t>
      </w:r>
      <w:r>
        <w:t xml:space="preserve">ervice use of 350 FNSD patients </w:t>
      </w:r>
      <w:r w:rsidRPr="003309FA">
        <w:t>between April  201</w:t>
      </w:r>
      <w:r>
        <w:t>3</w:t>
      </w:r>
      <w:r w:rsidRPr="003309FA">
        <w:t xml:space="preserve">  and  March  201</w:t>
      </w:r>
      <w:r>
        <w:t>6</w:t>
      </w:r>
      <w:r w:rsidRPr="003309FA">
        <w:t xml:space="preserve"> </w:t>
      </w:r>
      <w:r>
        <w:t>for AE, 111 and AMB services,</w:t>
      </w:r>
      <w:r w:rsidRPr="003309FA">
        <w:t xml:space="preserve"> whe</w:t>
      </w:r>
      <w:r>
        <w:t xml:space="preserve">re </w:t>
      </w:r>
      <w:r w:rsidRPr="003309FA">
        <w:t>data</w:t>
      </w:r>
      <w:r>
        <w:t xml:space="preserve"> </w:t>
      </w:r>
      <w:r w:rsidRPr="003309FA">
        <w:t>were complete</w:t>
      </w:r>
      <w:r>
        <w:t xml:space="preserve"> for both the patient and general populations. The mean age of FNSD patients was 38.9 years (SD=13.3), and the median age was 39, with a range of 15-83. The patient cohort comprised 1</w:t>
      </w:r>
      <w:r w:rsidRPr="00EC5835">
        <w:t>19 males (34</w:t>
      </w:r>
      <w:r>
        <w:t>.0</w:t>
      </w:r>
      <w:r w:rsidRPr="00EC5835">
        <w:t>%) and 23</w:t>
      </w:r>
      <w:r>
        <w:t>1</w:t>
      </w:r>
      <w:r w:rsidRPr="00EC5835">
        <w:t xml:space="preserve"> females (6</w:t>
      </w:r>
      <w:r>
        <w:t>6.</w:t>
      </w:r>
      <w:r w:rsidRPr="00EA47C6">
        <w:t>0%).</w:t>
      </w:r>
      <w:r>
        <w:t xml:space="preserve"> </w:t>
      </w:r>
      <w:r w:rsidRPr="00EA47C6">
        <w:t xml:space="preserve">The ONS population estimates for 2013-2015 indicated </w:t>
      </w:r>
      <w:r>
        <w:t xml:space="preserve">that </w:t>
      </w:r>
      <w:r w:rsidRPr="00EA47C6">
        <w:t>approximately 690,646 males and 712,222 females liv</w:t>
      </w:r>
      <w:r>
        <w:t>ed</w:t>
      </w:r>
      <w:r w:rsidRPr="00EA47C6">
        <w:t xml:space="preserve"> in </w:t>
      </w:r>
      <w:r>
        <w:t xml:space="preserve">the </w:t>
      </w:r>
      <w:r w:rsidRPr="00EA47C6">
        <w:t xml:space="preserve">Sheffield CCG area, totalling 1,402,868 </w:t>
      </w:r>
      <w:r>
        <w:t>adults.</w:t>
      </w:r>
    </w:p>
    <w:p w14:paraId="6A4154D5" w14:textId="77777777" w:rsidR="00850777" w:rsidRDefault="00850777" w:rsidP="00A04A97">
      <w:pPr>
        <w:pStyle w:val="Heading4"/>
      </w:pPr>
      <w:r>
        <w:lastRenderedPageBreak/>
        <w:t>4.3.2.2 UEC</w:t>
      </w:r>
      <w:r w:rsidRPr="00A04A97">
        <w:t xml:space="preserve"> Utilisation Description</w:t>
      </w:r>
      <w:r>
        <w:t xml:space="preserve"> </w:t>
      </w:r>
    </w:p>
    <w:p w14:paraId="676068C3" w14:textId="1E28AB42" w:rsidR="00850777" w:rsidRPr="007F3D83" w:rsidRDefault="00850777" w:rsidP="00C20C83">
      <w:r>
        <w:t>During this study period, 578 NHS 111 calls were made by 191 FNSD patients, 601 ambulance callouts by 132 patients; and 1,222 A&amp;E attendances accrued by 256 patients living in Sheffield. In the general population group from the same geographical area, 167,110 NHS 111 calls were made by 122,559 people, 96,384 ambulance calls by 74,768 people and 281,822 A&amp;E attendances by 200,615 people. The distribution of service user ages in the general population significantly differed from the age distribution of the FNSD patient group across all UEC service contacts (p&lt;0.001). However, the male-to-female ratio of service users did not differ between the FNSD and general population groups in any UEC services (Figure 7). Further description of the general population cohort and UEC use was limited due to the use of secondary data in this analysis. The characteristics of service users in both patient and general population cohorts are shown in Table 15. Age and sex-stratified</w:t>
      </w:r>
      <w:r w:rsidRPr="007F3D83">
        <w:t xml:space="preserve"> crude rates proportions by age and sex for the FNSD and general populations can be found in</w:t>
      </w:r>
      <w:r>
        <w:t xml:space="preserve"> Table </w:t>
      </w:r>
      <w:r w:rsidR="00DB0C1B">
        <w:t>38-39</w:t>
      </w:r>
      <w:r>
        <w:t>,</w:t>
      </w:r>
      <w:r w:rsidRPr="007F3D83">
        <w:t xml:space="preserve"> </w:t>
      </w:r>
      <w:r>
        <w:t>A</w:t>
      </w:r>
      <w:r w:rsidRPr="007F3D83">
        <w:t xml:space="preserve">ppendix </w:t>
      </w:r>
      <w:r>
        <w:t>E</w:t>
      </w:r>
      <w:r w:rsidRPr="007F3D83">
        <w:t xml:space="preserve">. </w:t>
      </w:r>
    </w:p>
    <w:p w14:paraId="789FE491" w14:textId="77777777" w:rsidR="00850777" w:rsidRDefault="00850777" w:rsidP="00FB1D25"/>
    <w:p w14:paraId="291085D0" w14:textId="77777777" w:rsidR="00850777" w:rsidRDefault="00850777" w:rsidP="00FB1D25"/>
    <w:p w14:paraId="79EA4F35" w14:textId="77777777" w:rsidR="00850777" w:rsidRDefault="00850777" w:rsidP="00FB1D25"/>
    <w:p w14:paraId="2CED8B82" w14:textId="77777777" w:rsidR="00850777" w:rsidRDefault="00850777" w:rsidP="00FB1D25"/>
    <w:p w14:paraId="300DB964" w14:textId="77777777" w:rsidR="00850777" w:rsidRDefault="00850777">
      <w:pPr>
        <w:spacing w:line="240" w:lineRule="auto"/>
        <w:rPr>
          <w:rFonts w:eastAsia="Calibri"/>
        </w:rPr>
      </w:pPr>
    </w:p>
    <w:p w14:paraId="5549EEDC" w14:textId="77777777" w:rsidR="00A9076C" w:rsidRDefault="00A9076C">
      <w:pPr>
        <w:spacing w:line="240" w:lineRule="auto"/>
        <w:jc w:val="left"/>
        <w:rPr>
          <w:rFonts w:eastAsia="Calibri"/>
        </w:rPr>
      </w:pPr>
      <w:r>
        <w:rPr>
          <w:rFonts w:eastAsia="Calibri"/>
        </w:rPr>
        <w:br w:type="page"/>
      </w:r>
    </w:p>
    <w:p w14:paraId="198E0FE4" w14:textId="27968A72" w:rsidR="00850777" w:rsidRPr="00DC0EC4" w:rsidRDefault="00850777" w:rsidP="00157CF5">
      <w:r w:rsidRPr="00A04A97">
        <w:rPr>
          <w:rFonts w:eastAsia="Calibri"/>
        </w:rPr>
        <w:lastRenderedPageBreak/>
        <w:t xml:space="preserve">Table </w:t>
      </w:r>
      <w:r>
        <w:rPr>
          <w:rFonts w:eastAsia="Calibri"/>
        </w:rPr>
        <w:t>15</w:t>
      </w:r>
      <w:r w:rsidRPr="00A04A97">
        <w:rPr>
          <w:rFonts w:eastAsia="Calibri"/>
        </w:rPr>
        <w:t>.</w:t>
      </w:r>
      <w:r>
        <w:rPr>
          <w:rFonts w:eastAsia="Calibri"/>
        </w:rPr>
        <w:t xml:space="preserve"> </w:t>
      </w:r>
      <w:r w:rsidRPr="00A04A97">
        <w:rPr>
          <w:rFonts w:eastAsia="Calibri"/>
        </w:rPr>
        <w:t>Characteristics of FNSD patient cohort and general population</w:t>
      </w:r>
      <w:r>
        <w:rPr>
          <w:rFonts w:eastAsia="Calibri"/>
        </w:rPr>
        <w:t xml:space="preserve"> UEC health service users in 2013-2015.</w:t>
      </w:r>
    </w:p>
    <w:tbl>
      <w:tblPr>
        <w:tblStyle w:val="TableGridLight"/>
        <w:tblW w:w="0" w:type="auto"/>
        <w:tblLook w:val="04A0" w:firstRow="1" w:lastRow="0" w:firstColumn="1" w:lastColumn="0" w:noHBand="0" w:noVBand="1"/>
      </w:tblPr>
      <w:tblGrid>
        <w:gridCol w:w="2263"/>
        <w:gridCol w:w="993"/>
        <w:gridCol w:w="2551"/>
        <w:gridCol w:w="2268"/>
        <w:gridCol w:w="935"/>
      </w:tblGrid>
      <w:tr w:rsidR="00850777" w:rsidRPr="00356FED" w14:paraId="3964EB17" w14:textId="77777777" w:rsidTr="009771E8">
        <w:tc>
          <w:tcPr>
            <w:tcW w:w="3256" w:type="dxa"/>
            <w:gridSpan w:val="2"/>
            <w:vAlign w:val="center"/>
          </w:tcPr>
          <w:p w14:paraId="7A045A24" w14:textId="77777777" w:rsidR="00850777" w:rsidRPr="00356FED" w:rsidRDefault="00850777" w:rsidP="009771E8">
            <w:pPr>
              <w:spacing w:line="240" w:lineRule="auto"/>
              <w:jc w:val="center"/>
              <w:rPr>
                <w:sz w:val="16"/>
                <w:szCs w:val="16"/>
              </w:rPr>
            </w:pPr>
          </w:p>
        </w:tc>
        <w:tc>
          <w:tcPr>
            <w:tcW w:w="2551" w:type="dxa"/>
            <w:vAlign w:val="center"/>
          </w:tcPr>
          <w:p w14:paraId="14031FC0" w14:textId="77777777" w:rsidR="00850777" w:rsidRDefault="00850777" w:rsidP="009771E8">
            <w:pPr>
              <w:spacing w:line="240" w:lineRule="auto"/>
              <w:jc w:val="center"/>
              <w:rPr>
                <w:sz w:val="16"/>
                <w:szCs w:val="16"/>
              </w:rPr>
            </w:pPr>
            <w:r w:rsidRPr="00356FED">
              <w:rPr>
                <w:sz w:val="16"/>
                <w:szCs w:val="16"/>
              </w:rPr>
              <w:t>FNSD Patient</w:t>
            </w:r>
            <w:r>
              <w:rPr>
                <w:sz w:val="16"/>
                <w:szCs w:val="16"/>
              </w:rPr>
              <w:t xml:space="preserve"> population  </w:t>
            </w:r>
          </w:p>
          <w:p w14:paraId="56E5C837" w14:textId="77777777" w:rsidR="00850777" w:rsidRPr="00356FED" w:rsidRDefault="00850777" w:rsidP="009771E8">
            <w:pPr>
              <w:spacing w:line="240" w:lineRule="auto"/>
              <w:jc w:val="center"/>
              <w:rPr>
                <w:sz w:val="16"/>
                <w:szCs w:val="16"/>
              </w:rPr>
            </w:pPr>
            <w:r>
              <w:rPr>
                <w:sz w:val="16"/>
                <w:szCs w:val="16"/>
              </w:rPr>
              <w:t>(Total studied =350)</w:t>
            </w:r>
          </w:p>
        </w:tc>
        <w:tc>
          <w:tcPr>
            <w:tcW w:w="2268" w:type="dxa"/>
            <w:vAlign w:val="center"/>
          </w:tcPr>
          <w:p w14:paraId="483EBA0D" w14:textId="77777777" w:rsidR="00850777" w:rsidRDefault="00850777" w:rsidP="009771E8">
            <w:pPr>
              <w:spacing w:line="240" w:lineRule="auto"/>
              <w:jc w:val="center"/>
              <w:rPr>
                <w:sz w:val="16"/>
                <w:szCs w:val="16"/>
              </w:rPr>
            </w:pPr>
            <w:r w:rsidRPr="00044E0C">
              <w:rPr>
                <w:sz w:val="16"/>
                <w:szCs w:val="16"/>
              </w:rPr>
              <w:t>General population</w:t>
            </w:r>
          </w:p>
          <w:p w14:paraId="297456EC" w14:textId="77777777" w:rsidR="00850777" w:rsidRPr="00356FED" w:rsidRDefault="00850777" w:rsidP="009771E8">
            <w:pPr>
              <w:spacing w:line="240" w:lineRule="auto"/>
              <w:jc w:val="center"/>
              <w:rPr>
                <w:sz w:val="16"/>
                <w:szCs w:val="16"/>
              </w:rPr>
            </w:pPr>
            <w:r w:rsidRPr="00044E0C">
              <w:rPr>
                <w:sz w:val="16"/>
                <w:szCs w:val="16"/>
              </w:rPr>
              <w:t xml:space="preserve"> (</w:t>
            </w:r>
            <w:r>
              <w:rPr>
                <w:sz w:val="16"/>
                <w:szCs w:val="16"/>
              </w:rPr>
              <w:t xml:space="preserve">Total studied </w:t>
            </w:r>
            <w:r w:rsidRPr="00044E0C">
              <w:rPr>
                <w:sz w:val="16"/>
                <w:szCs w:val="16"/>
              </w:rPr>
              <w:t>=1,402</w:t>
            </w:r>
            <w:r w:rsidRPr="00EA47C6">
              <w:rPr>
                <w:sz w:val="16"/>
                <w:szCs w:val="16"/>
              </w:rPr>
              <w:t>,868</w:t>
            </w:r>
            <w:r>
              <w:rPr>
                <w:sz w:val="16"/>
                <w:szCs w:val="16"/>
              </w:rPr>
              <w:t>)</w:t>
            </w:r>
          </w:p>
        </w:tc>
        <w:tc>
          <w:tcPr>
            <w:tcW w:w="935" w:type="dxa"/>
            <w:vAlign w:val="center"/>
          </w:tcPr>
          <w:p w14:paraId="6F37592C" w14:textId="77777777" w:rsidR="00850777" w:rsidRPr="00B072BD" w:rsidRDefault="00850777" w:rsidP="009771E8">
            <w:pPr>
              <w:spacing w:line="240" w:lineRule="auto"/>
              <w:jc w:val="center"/>
              <w:rPr>
                <w:i/>
                <w:iCs/>
                <w:sz w:val="16"/>
                <w:szCs w:val="16"/>
                <w:highlight w:val="yellow"/>
              </w:rPr>
            </w:pPr>
            <w:r w:rsidRPr="00B072BD">
              <w:rPr>
                <w:i/>
                <w:iCs/>
                <w:sz w:val="16"/>
                <w:szCs w:val="16"/>
              </w:rPr>
              <w:t>p-value</w:t>
            </w:r>
          </w:p>
        </w:tc>
      </w:tr>
      <w:tr w:rsidR="00850777" w:rsidRPr="00356FED" w14:paraId="7C992435" w14:textId="77777777" w:rsidTr="009771E8">
        <w:trPr>
          <w:trHeight w:val="392"/>
        </w:trPr>
        <w:tc>
          <w:tcPr>
            <w:tcW w:w="3256" w:type="dxa"/>
            <w:gridSpan w:val="2"/>
            <w:shd w:val="clear" w:color="auto" w:fill="F2F2F2" w:themeFill="background1" w:themeFillShade="F2"/>
            <w:vAlign w:val="center"/>
          </w:tcPr>
          <w:p w14:paraId="6F9B9FCE" w14:textId="77777777" w:rsidR="00850777" w:rsidRPr="00356FED" w:rsidRDefault="00850777" w:rsidP="009771E8">
            <w:pPr>
              <w:spacing w:line="240" w:lineRule="auto"/>
              <w:jc w:val="center"/>
              <w:rPr>
                <w:sz w:val="16"/>
                <w:szCs w:val="16"/>
              </w:rPr>
            </w:pPr>
            <w:r w:rsidRPr="00356FED">
              <w:rPr>
                <w:sz w:val="16"/>
                <w:szCs w:val="16"/>
              </w:rPr>
              <w:t>All events</w:t>
            </w:r>
          </w:p>
        </w:tc>
        <w:tc>
          <w:tcPr>
            <w:tcW w:w="2551" w:type="dxa"/>
            <w:shd w:val="clear" w:color="auto" w:fill="F2F2F2" w:themeFill="background1" w:themeFillShade="F2"/>
            <w:vAlign w:val="center"/>
          </w:tcPr>
          <w:p w14:paraId="404E827E" w14:textId="77777777" w:rsidR="00850777" w:rsidRPr="00356FED" w:rsidRDefault="00850777" w:rsidP="009771E8">
            <w:pPr>
              <w:spacing w:line="240" w:lineRule="auto"/>
              <w:jc w:val="center"/>
              <w:rPr>
                <w:sz w:val="16"/>
                <w:szCs w:val="16"/>
              </w:rPr>
            </w:pPr>
            <w:r w:rsidRPr="00356FED">
              <w:rPr>
                <w:sz w:val="16"/>
                <w:szCs w:val="16"/>
              </w:rPr>
              <w:t>N=2401</w:t>
            </w:r>
            <w:r>
              <w:rPr>
                <w:sz w:val="16"/>
                <w:szCs w:val="16"/>
              </w:rPr>
              <w:t xml:space="preserve"> (291 patients)</w:t>
            </w:r>
          </w:p>
        </w:tc>
        <w:tc>
          <w:tcPr>
            <w:tcW w:w="2268" w:type="dxa"/>
            <w:shd w:val="clear" w:color="auto" w:fill="F2F2F2" w:themeFill="background1" w:themeFillShade="F2"/>
            <w:vAlign w:val="center"/>
          </w:tcPr>
          <w:p w14:paraId="1EF101E7" w14:textId="77777777" w:rsidR="00850777" w:rsidRPr="00356FED" w:rsidRDefault="00850777" w:rsidP="009771E8">
            <w:pPr>
              <w:spacing w:line="240" w:lineRule="auto"/>
              <w:jc w:val="center"/>
              <w:rPr>
                <w:sz w:val="16"/>
                <w:szCs w:val="16"/>
              </w:rPr>
            </w:pPr>
            <w:r w:rsidRPr="00356FED">
              <w:rPr>
                <w:sz w:val="16"/>
                <w:szCs w:val="16"/>
              </w:rPr>
              <w:t>N=545</w:t>
            </w:r>
            <w:r>
              <w:rPr>
                <w:sz w:val="16"/>
                <w:szCs w:val="16"/>
              </w:rPr>
              <w:t>,</w:t>
            </w:r>
            <w:r w:rsidRPr="00356FED">
              <w:rPr>
                <w:sz w:val="16"/>
                <w:szCs w:val="16"/>
              </w:rPr>
              <w:t>316</w:t>
            </w:r>
          </w:p>
        </w:tc>
        <w:tc>
          <w:tcPr>
            <w:tcW w:w="935" w:type="dxa"/>
            <w:shd w:val="clear" w:color="auto" w:fill="F2F2F2" w:themeFill="background1" w:themeFillShade="F2"/>
            <w:vAlign w:val="center"/>
          </w:tcPr>
          <w:p w14:paraId="1EE2C480" w14:textId="77777777" w:rsidR="00850777" w:rsidRPr="00356FED" w:rsidRDefault="00850777" w:rsidP="009771E8">
            <w:pPr>
              <w:spacing w:line="240" w:lineRule="auto"/>
              <w:jc w:val="center"/>
              <w:rPr>
                <w:sz w:val="16"/>
                <w:szCs w:val="16"/>
              </w:rPr>
            </w:pPr>
          </w:p>
        </w:tc>
      </w:tr>
      <w:tr w:rsidR="00850777" w:rsidRPr="00356FED" w14:paraId="490A8DAC" w14:textId="77777777" w:rsidTr="00B9459D">
        <w:trPr>
          <w:trHeight w:val="439"/>
        </w:trPr>
        <w:tc>
          <w:tcPr>
            <w:tcW w:w="3256" w:type="dxa"/>
            <w:gridSpan w:val="2"/>
            <w:vAlign w:val="center"/>
          </w:tcPr>
          <w:p w14:paraId="1A0F10EC" w14:textId="77777777" w:rsidR="00850777" w:rsidRPr="00356FED" w:rsidRDefault="00850777" w:rsidP="009771E8">
            <w:pPr>
              <w:spacing w:line="240" w:lineRule="auto"/>
              <w:jc w:val="center"/>
              <w:rPr>
                <w:sz w:val="16"/>
                <w:szCs w:val="16"/>
              </w:rPr>
            </w:pPr>
            <w:r w:rsidRPr="00356FED">
              <w:rPr>
                <w:sz w:val="16"/>
                <w:szCs w:val="16"/>
              </w:rPr>
              <w:t>Age, mean (SD)</w:t>
            </w:r>
          </w:p>
        </w:tc>
        <w:tc>
          <w:tcPr>
            <w:tcW w:w="2551" w:type="dxa"/>
            <w:vAlign w:val="center"/>
          </w:tcPr>
          <w:p w14:paraId="4F08F763" w14:textId="77777777" w:rsidR="00850777" w:rsidRPr="00356FED" w:rsidRDefault="00850777" w:rsidP="009771E8">
            <w:pPr>
              <w:spacing w:line="240" w:lineRule="auto"/>
              <w:jc w:val="center"/>
              <w:rPr>
                <w:sz w:val="16"/>
                <w:szCs w:val="16"/>
              </w:rPr>
            </w:pPr>
            <w:r w:rsidRPr="00356FED">
              <w:rPr>
                <w:sz w:val="16"/>
                <w:szCs w:val="16"/>
              </w:rPr>
              <w:t>38.9 (13.3)</w:t>
            </w:r>
          </w:p>
        </w:tc>
        <w:tc>
          <w:tcPr>
            <w:tcW w:w="2268" w:type="dxa"/>
            <w:vAlign w:val="center"/>
          </w:tcPr>
          <w:p w14:paraId="26078003" w14:textId="77777777" w:rsidR="00850777" w:rsidRPr="00356FED" w:rsidRDefault="00850777" w:rsidP="009771E8">
            <w:pPr>
              <w:spacing w:line="240" w:lineRule="auto"/>
              <w:jc w:val="center"/>
              <w:rPr>
                <w:sz w:val="16"/>
                <w:szCs w:val="16"/>
              </w:rPr>
            </w:pPr>
            <w:r w:rsidRPr="00356FED">
              <w:rPr>
                <w:sz w:val="16"/>
                <w:szCs w:val="16"/>
              </w:rPr>
              <w:t>/</w:t>
            </w:r>
          </w:p>
        </w:tc>
        <w:tc>
          <w:tcPr>
            <w:tcW w:w="935" w:type="dxa"/>
            <w:vAlign w:val="center"/>
          </w:tcPr>
          <w:p w14:paraId="08C6ADEA" w14:textId="77777777" w:rsidR="00850777" w:rsidRPr="00356FED" w:rsidRDefault="00850777" w:rsidP="009771E8">
            <w:pPr>
              <w:spacing w:line="240" w:lineRule="auto"/>
              <w:jc w:val="center"/>
              <w:rPr>
                <w:sz w:val="16"/>
                <w:szCs w:val="16"/>
              </w:rPr>
            </w:pPr>
          </w:p>
        </w:tc>
      </w:tr>
      <w:tr w:rsidR="00850777" w:rsidRPr="00356FED" w14:paraId="2F428C89" w14:textId="77777777" w:rsidTr="009771E8">
        <w:trPr>
          <w:trHeight w:val="1690"/>
        </w:trPr>
        <w:tc>
          <w:tcPr>
            <w:tcW w:w="2263" w:type="dxa"/>
            <w:vAlign w:val="center"/>
          </w:tcPr>
          <w:p w14:paraId="34E9EB02" w14:textId="77777777" w:rsidR="00850777" w:rsidRPr="00356FED" w:rsidRDefault="00850777" w:rsidP="009771E8">
            <w:pPr>
              <w:spacing w:line="240" w:lineRule="auto"/>
              <w:jc w:val="center"/>
              <w:rPr>
                <w:sz w:val="16"/>
                <w:szCs w:val="16"/>
              </w:rPr>
            </w:pPr>
            <w:r w:rsidRPr="00356FED">
              <w:rPr>
                <w:sz w:val="16"/>
                <w:szCs w:val="16"/>
              </w:rPr>
              <w:t xml:space="preserve">Age group, </w:t>
            </w:r>
            <w:r w:rsidRPr="00356FED">
              <w:rPr>
                <w:i/>
                <w:iCs/>
                <w:sz w:val="16"/>
                <w:szCs w:val="16"/>
              </w:rPr>
              <w:t>n (%)</w:t>
            </w:r>
          </w:p>
        </w:tc>
        <w:tc>
          <w:tcPr>
            <w:tcW w:w="993" w:type="dxa"/>
            <w:vAlign w:val="center"/>
          </w:tcPr>
          <w:p w14:paraId="0CE9784F" w14:textId="77777777" w:rsidR="00850777" w:rsidRPr="00356FED" w:rsidRDefault="00850777" w:rsidP="009771E8">
            <w:pPr>
              <w:spacing w:line="240" w:lineRule="auto"/>
              <w:jc w:val="center"/>
              <w:rPr>
                <w:sz w:val="16"/>
                <w:szCs w:val="16"/>
              </w:rPr>
            </w:pPr>
            <w:r w:rsidRPr="00356FED">
              <w:rPr>
                <w:sz w:val="16"/>
                <w:szCs w:val="16"/>
              </w:rPr>
              <w:t>15-24</w:t>
            </w:r>
          </w:p>
          <w:p w14:paraId="73B9143C" w14:textId="77777777" w:rsidR="00850777" w:rsidRPr="00356FED" w:rsidRDefault="00850777" w:rsidP="009771E8">
            <w:pPr>
              <w:spacing w:line="240" w:lineRule="auto"/>
              <w:jc w:val="center"/>
              <w:rPr>
                <w:sz w:val="16"/>
                <w:szCs w:val="16"/>
              </w:rPr>
            </w:pPr>
            <w:r w:rsidRPr="00356FED">
              <w:rPr>
                <w:sz w:val="16"/>
                <w:szCs w:val="16"/>
              </w:rPr>
              <w:t>25-34</w:t>
            </w:r>
          </w:p>
          <w:p w14:paraId="1E4A4214" w14:textId="77777777" w:rsidR="00850777" w:rsidRPr="00356FED" w:rsidRDefault="00850777" w:rsidP="009771E8">
            <w:pPr>
              <w:spacing w:line="240" w:lineRule="auto"/>
              <w:jc w:val="center"/>
              <w:rPr>
                <w:sz w:val="16"/>
                <w:szCs w:val="16"/>
              </w:rPr>
            </w:pPr>
            <w:r w:rsidRPr="00356FED">
              <w:rPr>
                <w:sz w:val="16"/>
                <w:szCs w:val="16"/>
              </w:rPr>
              <w:t>35-44</w:t>
            </w:r>
          </w:p>
          <w:p w14:paraId="21D5AB8B" w14:textId="77777777" w:rsidR="00850777" w:rsidRPr="00356FED" w:rsidRDefault="00850777" w:rsidP="009771E8">
            <w:pPr>
              <w:spacing w:line="240" w:lineRule="auto"/>
              <w:jc w:val="center"/>
              <w:rPr>
                <w:sz w:val="16"/>
                <w:szCs w:val="16"/>
              </w:rPr>
            </w:pPr>
            <w:r w:rsidRPr="00356FED">
              <w:rPr>
                <w:sz w:val="16"/>
                <w:szCs w:val="16"/>
              </w:rPr>
              <w:t>45-54</w:t>
            </w:r>
          </w:p>
          <w:p w14:paraId="1D22C8C4" w14:textId="77777777" w:rsidR="00850777" w:rsidRPr="00356FED" w:rsidRDefault="00850777" w:rsidP="009771E8">
            <w:pPr>
              <w:spacing w:line="240" w:lineRule="auto"/>
              <w:jc w:val="center"/>
              <w:rPr>
                <w:sz w:val="16"/>
                <w:szCs w:val="16"/>
              </w:rPr>
            </w:pPr>
            <w:r w:rsidRPr="00356FED">
              <w:rPr>
                <w:sz w:val="16"/>
                <w:szCs w:val="16"/>
              </w:rPr>
              <w:t>55-64</w:t>
            </w:r>
          </w:p>
          <w:p w14:paraId="5A7CD5CD" w14:textId="77777777" w:rsidR="00850777" w:rsidRPr="00356FED" w:rsidRDefault="00850777" w:rsidP="009771E8">
            <w:pPr>
              <w:spacing w:line="240" w:lineRule="auto"/>
              <w:jc w:val="center"/>
              <w:rPr>
                <w:sz w:val="16"/>
                <w:szCs w:val="16"/>
              </w:rPr>
            </w:pPr>
            <w:r w:rsidRPr="00356FED">
              <w:rPr>
                <w:sz w:val="16"/>
                <w:szCs w:val="16"/>
              </w:rPr>
              <w:t>65-74</w:t>
            </w:r>
          </w:p>
          <w:p w14:paraId="02230812" w14:textId="77777777" w:rsidR="00850777" w:rsidRPr="00356FED" w:rsidRDefault="00850777" w:rsidP="009771E8">
            <w:pPr>
              <w:spacing w:line="240" w:lineRule="auto"/>
              <w:jc w:val="center"/>
              <w:rPr>
                <w:sz w:val="16"/>
                <w:szCs w:val="16"/>
              </w:rPr>
            </w:pPr>
            <w:r w:rsidRPr="00356FED">
              <w:rPr>
                <w:sz w:val="16"/>
                <w:szCs w:val="16"/>
              </w:rPr>
              <w:t>75+</w:t>
            </w:r>
          </w:p>
        </w:tc>
        <w:tc>
          <w:tcPr>
            <w:tcW w:w="2551" w:type="dxa"/>
            <w:vAlign w:val="center"/>
          </w:tcPr>
          <w:p w14:paraId="14F951EA" w14:textId="77777777" w:rsidR="00850777" w:rsidRPr="00356FED" w:rsidRDefault="00850777" w:rsidP="009771E8">
            <w:pPr>
              <w:spacing w:line="240" w:lineRule="auto"/>
              <w:jc w:val="center"/>
              <w:rPr>
                <w:sz w:val="16"/>
                <w:szCs w:val="16"/>
              </w:rPr>
            </w:pPr>
            <w:r w:rsidRPr="00356FED">
              <w:rPr>
                <w:sz w:val="16"/>
                <w:szCs w:val="16"/>
              </w:rPr>
              <w:t>387 (16.1)</w:t>
            </w:r>
          </w:p>
          <w:p w14:paraId="3BC83A67" w14:textId="77777777" w:rsidR="00850777" w:rsidRPr="00356FED" w:rsidRDefault="00850777" w:rsidP="009771E8">
            <w:pPr>
              <w:spacing w:line="240" w:lineRule="auto"/>
              <w:jc w:val="center"/>
              <w:rPr>
                <w:sz w:val="16"/>
                <w:szCs w:val="16"/>
              </w:rPr>
            </w:pPr>
            <w:r w:rsidRPr="00356FED">
              <w:rPr>
                <w:sz w:val="16"/>
                <w:szCs w:val="16"/>
              </w:rPr>
              <w:t>616 (25.7)</w:t>
            </w:r>
          </w:p>
          <w:p w14:paraId="0B755B56" w14:textId="77777777" w:rsidR="00850777" w:rsidRPr="00356FED" w:rsidRDefault="00850777" w:rsidP="009771E8">
            <w:pPr>
              <w:spacing w:line="240" w:lineRule="auto"/>
              <w:jc w:val="center"/>
              <w:rPr>
                <w:sz w:val="16"/>
                <w:szCs w:val="16"/>
              </w:rPr>
            </w:pPr>
            <w:r w:rsidRPr="00356FED">
              <w:rPr>
                <w:sz w:val="16"/>
                <w:szCs w:val="16"/>
              </w:rPr>
              <w:t>509 (21.2)</w:t>
            </w:r>
          </w:p>
          <w:p w14:paraId="303DA485" w14:textId="77777777" w:rsidR="00850777" w:rsidRPr="00356FED" w:rsidRDefault="00850777" w:rsidP="009771E8">
            <w:pPr>
              <w:spacing w:line="240" w:lineRule="auto"/>
              <w:jc w:val="center"/>
              <w:rPr>
                <w:sz w:val="16"/>
                <w:szCs w:val="16"/>
              </w:rPr>
            </w:pPr>
            <w:r w:rsidRPr="00356FED">
              <w:rPr>
                <w:sz w:val="16"/>
                <w:szCs w:val="16"/>
              </w:rPr>
              <w:t>305 (12.7)</w:t>
            </w:r>
          </w:p>
          <w:p w14:paraId="47DD5796" w14:textId="77777777" w:rsidR="00850777" w:rsidRPr="00356FED" w:rsidRDefault="00850777" w:rsidP="009771E8">
            <w:pPr>
              <w:spacing w:line="240" w:lineRule="auto"/>
              <w:jc w:val="center"/>
              <w:rPr>
                <w:sz w:val="16"/>
                <w:szCs w:val="16"/>
              </w:rPr>
            </w:pPr>
            <w:r w:rsidRPr="00356FED">
              <w:rPr>
                <w:sz w:val="16"/>
                <w:szCs w:val="16"/>
              </w:rPr>
              <w:t>475 (19.8)</w:t>
            </w:r>
          </w:p>
          <w:p w14:paraId="1175E418" w14:textId="77777777" w:rsidR="00850777" w:rsidRPr="00356FED" w:rsidRDefault="00850777" w:rsidP="009771E8">
            <w:pPr>
              <w:spacing w:line="240" w:lineRule="auto"/>
              <w:jc w:val="center"/>
              <w:rPr>
                <w:sz w:val="16"/>
                <w:szCs w:val="16"/>
              </w:rPr>
            </w:pPr>
            <w:r w:rsidRPr="00356FED">
              <w:rPr>
                <w:sz w:val="16"/>
                <w:szCs w:val="16"/>
              </w:rPr>
              <w:t>104 (4.3)</w:t>
            </w:r>
          </w:p>
          <w:p w14:paraId="72BC34F2" w14:textId="77777777" w:rsidR="00850777" w:rsidRPr="00356FED" w:rsidRDefault="00850777" w:rsidP="009771E8">
            <w:pPr>
              <w:spacing w:line="240" w:lineRule="auto"/>
              <w:jc w:val="center"/>
              <w:rPr>
                <w:sz w:val="16"/>
                <w:szCs w:val="16"/>
              </w:rPr>
            </w:pPr>
            <w:r w:rsidRPr="00356FED">
              <w:rPr>
                <w:sz w:val="16"/>
                <w:szCs w:val="16"/>
              </w:rPr>
              <w:t>4 (0.2)</w:t>
            </w:r>
          </w:p>
        </w:tc>
        <w:tc>
          <w:tcPr>
            <w:tcW w:w="2268" w:type="dxa"/>
            <w:vAlign w:val="center"/>
          </w:tcPr>
          <w:p w14:paraId="39482C03" w14:textId="77777777" w:rsidR="00850777" w:rsidRPr="00356FED" w:rsidRDefault="00850777" w:rsidP="009771E8">
            <w:pPr>
              <w:spacing w:line="240" w:lineRule="auto"/>
              <w:jc w:val="center"/>
              <w:rPr>
                <w:sz w:val="16"/>
                <w:szCs w:val="16"/>
              </w:rPr>
            </w:pPr>
            <w:r w:rsidRPr="00356FED">
              <w:rPr>
                <w:sz w:val="16"/>
                <w:szCs w:val="16"/>
              </w:rPr>
              <w:t>107</w:t>
            </w:r>
            <w:r>
              <w:rPr>
                <w:sz w:val="16"/>
                <w:szCs w:val="16"/>
              </w:rPr>
              <w:t>,</w:t>
            </w:r>
            <w:r w:rsidRPr="00356FED">
              <w:rPr>
                <w:sz w:val="16"/>
                <w:szCs w:val="16"/>
              </w:rPr>
              <w:t>504 (19.7)</w:t>
            </w:r>
          </w:p>
          <w:p w14:paraId="20CD51EC" w14:textId="77777777" w:rsidR="00850777" w:rsidRPr="00356FED" w:rsidRDefault="00850777" w:rsidP="009771E8">
            <w:pPr>
              <w:spacing w:line="240" w:lineRule="auto"/>
              <w:jc w:val="center"/>
              <w:rPr>
                <w:sz w:val="16"/>
                <w:szCs w:val="16"/>
              </w:rPr>
            </w:pPr>
            <w:r w:rsidRPr="00356FED">
              <w:rPr>
                <w:sz w:val="16"/>
                <w:szCs w:val="16"/>
              </w:rPr>
              <w:t>91</w:t>
            </w:r>
            <w:r>
              <w:rPr>
                <w:sz w:val="16"/>
                <w:szCs w:val="16"/>
              </w:rPr>
              <w:t>,</w:t>
            </w:r>
            <w:r w:rsidRPr="00356FED">
              <w:rPr>
                <w:sz w:val="16"/>
                <w:szCs w:val="16"/>
              </w:rPr>
              <w:t>360 (16.8)</w:t>
            </w:r>
          </w:p>
          <w:p w14:paraId="7FCC949C" w14:textId="77777777" w:rsidR="00850777" w:rsidRPr="00356FED" w:rsidRDefault="00850777" w:rsidP="009771E8">
            <w:pPr>
              <w:spacing w:line="240" w:lineRule="auto"/>
              <w:jc w:val="center"/>
              <w:rPr>
                <w:sz w:val="16"/>
                <w:szCs w:val="16"/>
              </w:rPr>
            </w:pPr>
            <w:r w:rsidRPr="00356FED">
              <w:rPr>
                <w:sz w:val="16"/>
                <w:szCs w:val="16"/>
              </w:rPr>
              <w:t>66</w:t>
            </w:r>
            <w:r>
              <w:rPr>
                <w:sz w:val="16"/>
                <w:szCs w:val="16"/>
              </w:rPr>
              <w:t>,</w:t>
            </w:r>
            <w:r w:rsidRPr="00356FED">
              <w:rPr>
                <w:sz w:val="16"/>
                <w:szCs w:val="16"/>
              </w:rPr>
              <w:t>126 (12.1)</w:t>
            </w:r>
          </w:p>
          <w:p w14:paraId="666E289E" w14:textId="77777777" w:rsidR="00850777" w:rsidRPr="00356FED" w:rsidRDefault="00850777" w:rsidP="009771E8">
            <w:pPr>
              <w:spacing w:line="240" w:lineRule="auto"/>
              <w:jc w:val="center"/>
              <w:rPr>
                <w:sz w:val="16"/>
                <w:szCs w:val="16"/>
              </w:rPr>
            </w:pPr>
            <w:r w:rsidRPr="00356FED">
              <w:rPr>
                <w:sz w:val="16"/>
                <w:szCs w:val="16"/>
              </w:rPr>
              <w:t>65</w:t>
            </w:r>
            <w:r>
              <w:rPr>
                <w:sz w:val="16"/>
                <w:szCs w:val="16"/>
              </w:rPr>
              <w:t>,</w:t>
            </w:r>
            <w:r w:rsidRPr="00356FED">
              <w:rPr>
                <w:sz w:val="16"/>
                <w:szCs w:val="16"/>
              </w:rPr>
              <w:t>760 (12.1)</w:t>
            </w:r>
          </w:p>
          <w:p w14:paraId="2B1930A8" w14:textId="77777777" w:rsidR="00850777" w:rsidRPr="00356FED" w:rsidRDefault="00850777" w:rsidP="009771E8">
            <w:pPr>
              <w:spacing w:line="240" w:lineRule="auto"/>
              <w:jc w:val="center"/>
              <w:rPr>
                <w:sz w:val="16"/>
                <w:szCs w:val="16"/>
              </w:rPr>
            </w:pPr>
            <w:r w:rsidRPr="00356FED">
              <w:rPr>
                <w:sz w:val="16"/>
                <w:szCs w:val="16"/>
              </w:rPr>
              <w:t>52</w:t>
            </w:r>
            <w:r>
              <w:rPr>
                <w:sz w:val="16"/>
                <w:szCs w:val="16"/>
              </w:rPr>
              <w:t>,</w:t>
            </w:r>
            <w:r w:rsidRPr="00356FED">
              <w:rPr>
                <w:sz w:val="16"/>
                <w:szCs w:val="16"/>
              </w:rPr>
              <w:t>752 (9.7)</w:t>
            </w:r>
          </w:p>
          <w:p w14:paraId="006C6F28" w14:textId="77777777" w:rsidR="00850777" w:rsidRPr="00356FED" w:rsidRDefault="00850777" w:rsidP="009771E8">
            <w:pPr>
              <w:spacing w:line="240" w:lineRule="auto"/>
              <w:jc w:val="center"/>
              <w:rPr>
                <w:sz w:val="16"/>
                <w:szCs w:val="16"/>
              </w:rPr>
            </w:pPr>
            <w:r w:rsidRPr="00356FED">
              <w:rPr>
                <w:sz w:val="16"/>
                <w:szCs w:val="16"/>
              </w:rPr>
              <w:t>57</w:t>
            </w:r>
            <w:r>
              <w:rPr>
                <w:sz w:val="16"/>
                <w:szCs w:val="16"/>
              </w:rPr>
              <w:t>,</w:t>
            </w:r>
            <w:r w:rsidRPr="00356FED">
              <w:rPr>
                <w:sz w:val="16"/>
                <w:szCs w:val="16"/>
              </w:rPr>
              <w:t>658 (10.6)</w:t>
            </w:r>
          </w:p>
          <w:p w14:paraId="5AF10801" w14:textId="77777777" w:rsidR="00850777" w:rsidRPr="00356FED" w:rsidRDefault="00850777" w:rsidP="009771E8">
            <w:pPr>
              <w:spacing w:line="240" w:lineRule="auto"/>
              <w:jc w:val="center"/>
              <w:rPr>
                <w:sz w:val="16"/>
                <w:szCs w:val="16"/>
              </w:rPr>
            </w:pPr>
            <w:r w:rsidRPr="00356FED">
              <w:rPr>
                <w:sz w:val="16"/>
                <w:szCs w:val="16"/>
              </w:rPr>
              <w:t>104</w:t>
            </w:r>
            <w:r>
              <w:rPr>
                <w:sz w:val="16"/>
                <w:szCs w:val="16"/>
              </w:rPr>
              <w:t>,</w:t>
            </w:r>
            <w:r w:rsidRPr="00356FED">
              <w:rPr>
                <w:sz w:val="16"/>
                <w:szCs w:val="16"/>
              </w:rPr>
              <w:t>156 (19.1)</w:t>
            </w:r>
          </w:p>
        </w:tc>
        <w:tc>
          <w:tcPr>
            <w:tcW w:w="935" w:type="dxa"/>
            <w:vAlign w:val="center"/>
          </w:tcPr>
          <w:p w14:paraId="6BCCEA39" w14:textId="77777777" w:rsidR="00850777" w:rsidRPr="00356FED" w:rsidRDefault="00850777" w:rsidP="009771E8">
            <w:pPr>
              <w:spacing w:line="240" w:lineRule="auto"/>
              <w:jc w:val="center"/>
              <w:rPr>
                <w:sz w:val="16"/>
                <w:szCs w:val="16"/>
              </w:rPr>
            </w:pPr>
            <w:r>
              <w:rPr>
                <w:sz w:val="16"/>
                <w:szCs w:val="16"/>
              </w:rPr>
              <w:t>&lt;.001</w:t>
            </w:r>
          </w:p>
        </w:tc>
      </w:tr>
      <w:tr w:rsidR="00850777" w:rsidRPr="00356FED" w14:paraId="607947AA" w14:textId="77777777" w:rsidTr="009771E8">
        <w:trPr>
          <w:trHeight w:val="699"/>
        </w:trPr>
        <w:tc>
          <w:tcPr>
            <w:tcW w:w="2263" w:type="dxa"/>
            <w:vAlign w:val="center"/>
          </w:tcPr>
          <w:p w14:paraId="2716391D" w14:textId="77777777" w:rsidR="00850777" w:rsidRPr="00356FED" w:rsidRDefault="00850777" w:rsidP="009771E8">
            <w:pPr>
              <w:spacing w:line="240" w:lineRule="auto"/>
              <w:jc w:val="center"/>
              <w:rPr>
                <w:sz w:val="16"/>
                <w:szCs w:val="16"/>
              </w:rPr>
            </w:pPr>
            <w:r w:rsidRPr="00356FED">
              <w:rPr>
                <w:sz w:val="16"/>
                <w:szCs w:val="16"/>
              </w:rPr>
              <w:t xml:space="preserve">Sex, </w:t>
            </w:r>
            <w:r w:rsidRPr="00356FED">
              <w:rPr>
                <w:i/>
                <w:iCs/>
                <w:sz w:val="16"/>
                <w:szCs w:val="16"/>
              </w:rPr>
              <w:t>n (%)</w:t>
            </w:r>
          </w:p>
        </w:tc>
        <w:tc>
          <w:tcPr>
            <w:tcW w:w="993" w:type="dxa"/>
            <w:vAlign w:val="center"/>
          </w:tcPr>
          <w:p w14:paraId="1A99E31B" w14:textId="77777777" w:rsidR="00850777" w:rsidRPr="00356FED" w:rsidRDefault="00850777" w:rsidP="009771E8">
            <w:pPr>
              <w:spacing w:line="240" w:lineRule="auto"/>
              <w:jc w:val="center"/>
              <w:rPr>
                <w:sz w:val="16"/>
                <w:szCs w:val="16"/>
              </w:rPr>
            </w:pPr>
            <w:r w:rsidRPr="00356FED">
              <w:rPr>
                <w:sz w:val="16"/>
                <w:szCs w:val="16"/>
              </w:rPr>
              <w:t>Male</w:t>
            </w:r>
          </w:p>
          <w:p w14:paraId="1CAA46EC" w14:textId="77777777" w:rsidR="00850777" w:rsidRPr="00356FED" w:rsidRDefault="00850777" w:rsidP="009771E8">
            <w:pPr>
              <w:spacing w:line="240" w:lineRule="auto"/>
              <w:jc w:val="center"/>
              <w:rPr>
                <w:sz w:val="16"/>
                <w:szCs w:val="16"/>
              </w:rPr>
            </w:pPr>
            <w:r w:rsidRPr="00356FED">
              <w:rPr>
                <w:sz w:val="16"/>
                <w:szCs w:val="16"/>
              </w:rPr>
              <w:t>Female</w:t>
            </w:r>
          </w:p>
        </w:tc>
        <w:tc>
          <w:tcPr>
            <w:tcW w:w="2551" w:type="dxa"/>
            <w:vAlign w:val="center"/>
          </w:tcPr>
          <w:p w14:paraId="4B6F837B" w14:textId="77777777" w:rsidR="00850777" w:rsidRPr="00356FED" w:rsidRDefault="00850777" w:rsidP="009771E8">
            <w:pPr>
              <w:spacing w:line="240" w:lineRule="auto"/>
              <w:jc w:val="center"/>
              <w:rPr>
                <w:sz w:val="16"/>
                <w:szCs w:val="16"/>
              </w:rPr>
            </w:pPr>
            <w:r w:rsidRPr="00356FED">
              <w:rPr>
                <w:sz w:val="16"/>
                <w:szCs w:val="16"/>
              </w:rPr>
              <w:t>1</w:t>
            </w:r>
            <w:r>
              <w:rPr>
                <w:sz w:val="16"/>
                <w:szCs w:val="16"/>
              </w:rPr>
              <w:t>,</w:t>
            </w:r>
            <w:r w:rsidRPr="00356FED">
              <w:rPr>
                <w:sz w:val="16"/>
                <w:szCs w:val="16"/>
              </w:rPr>
              <w:t>014 (42.3)</w:t>
            </w:r>
          </w:p>
          <w:p w14:paraId="1013E4EC" w14:textId="77777777" w:rsidR="00850777" w:rsidRPr="00356FED" w:rsidRDefault="00850777" w:rsidP="009771E8">
            <w:pPr>
              <w:spacing w:line="240" w:lineRule="auto"/>
              <w:jc w:val="center"/>
              <w:rPr>
                <w:sz w:val="16"/>
                <w:szCs w:val="16"/>
              </w:rPr>
            </w:pPr>
            <w:r w:rsidRPr="00356FED">
              <w:rPr>
                <w:sz w:val="16"/>
                <w:szCs w:val="16"/>
              </w:rPr>
              <w:t>1</w:t>
            </w:r>
            <w:r>
              <w:rPr>
                <w:sz w:val="16"/>
                <w:szCs w:val="16"/>
              </w:rPr>
              <w:t>,</w:t>
            </w:r>
            <w:r w:rsidRPr="00356FED">
              <w:rPr>
                <w:sz w:val="16"/>
                <w:szCs w:val="16"/>
              </w:rPr>
              <w:t>386 (57.7)</w:t>
            </w:r>
          </w:p>
        </w:tc>
        <w:tc>
          <w:tcPr>
            <w:tcW w:w="2268" w:type="dxa"/>
            <w:vAlign w:val="center"/>
          </w:tcPr>
          <w:p w14:paraId="6641E00A" w14:textId="77777777" w:rsidR="00850777" w:rsidRPr="00356FED" w:rsidRDefault="00850777" w:rsidP="009771E8">
            <w:pPr>
              <w:spacing w:line="240" w:lineRule="auto"/>
              <w:jc w:val="center"/>
              <w:rPr>
                <w:sz w:val="16"/>
                <w:szCs w:val="16"/>
              </w:rPr>
            </w:pPr>
            <w:r w:rsidRPr="00356FED">
              <w:rPr>
                <w:sz w:val="16"/>
                <w:szCs w:val="16"/>
              </w:rPr>
              <w:t>252</w:t>
            </w:r>
            <w:r>
              <w:rPr>
                <w:sz w:val="16"/>
                <w:szCs w:val="16"/>
              </w:rPr>
              <w:t>,</w:t>
            </w:r>
            <w:r w:rsidRPr="00356FED">
              <w:rPr>
                <w:sz w:val="16"/>
                <w:szCs w:val="16"/>
              </w:rPr>
              <w:t>251 (46.3)</w:t>
            </w:r>
          </w:p>
          <w:p w14:paraId="083CC337" w14:textId="77777777" w:rsidR="00850777" w:rsidRPr="00356FED" w:rsidRDefault="00850777" w:rsidP="009771E8">
            <w:pPr>
              <w:spacing w:line="240" w:lineRule="auto"/>
              <w:jc w:val="center"/>
              <w:rPr>
                <w:sz w:val="16"/>
                <w:szCs w:val="16"/>
              </w:rPr>
            </w:pPr>
            <w:r w:rsidRPr="00356FED">
              <w:rPr>
                <w:sz w:val="16"/>
                <w:szCs w:val="16"/>
              </w:rPr>
              <w:t>293</w:t>
            </w:r>
            <w:r>
              <w:rPr>
                <w:sz w:val="16"/>
                <w:szCs w:val="16"/>
              </w:rPr>
              <w:t>,</w:t>
            </w:r>
            <w:r w:rsidRPr="00356FED">
              <w:rPr>
                <w:sz w:val="16"/>
                <w:szCs w:val="16"/>
              </w:rPr>
              <w:t>065 (53.7)</w:t>
            </w:r>
          </w:p>
        </w:tc>
        <w:tc>
          <w:tcPr>
            <w:tcW w:w="935" w:type="dxa"/>
            <w:vAlign w:val="center"/>
          </w:tcPr>
          <w:p w14:paraId="1E19D7D2" w14:textId="77777777" w:rsidR="00850777" w:rsidRPr="00356FED" w:rsidRDefault="00850777" w:rsidP="009771E8">
            <w:pPr>
              <w:spacing w:line="240" w:lineRule="auto"/>
              <w:jc w:val="center"/>
              <w:rPr>
                <w:sz w:val="16"/>
                <w:szCs w:val="16"/>
              </w:rPr>
            </w:pPr>
            <w:r>
              <w:rPr>
                <w:sz w:val="16"/>
                <w:szCs w:val="16"/>
              </w:rPr>
              <w:t>0.052</w:t>
            </w:r>
          </w:p>
        </w:tc>
      </w:tr>
      <w:tr w:rsidR="00850777" w:rsidRPr="00356FED" w14:paraId="06A1D982" w14:textId="77777777" w:rsidTr="00276946">
        <w:trPr>
          <w:trHeight w:val="848"/>
        </w:trPr>
        <w:tc>
          <w:tcPr>
            <w:tcW w:w="2263" w:type="dxa"/>
            <w:vAlign w:val="center"/>
          </w:tcPr>
          <w:p w14:paraId="27BF1D53" w14:textId="77777777" w:rsidR="00850777" w:rsidRPr="00356FED" w:rsidRDefault="00850777" w:rsidP="009771E8">
            <w:pPr>
              <w:spacing w:line="240" w:lineRule="auto"/>
              <w:jc w:val="center"/>
              <w:rPr>
                <w:sz w:val="16"/>
                <w:szCs w:val="16"/>
              </w:rPr>
            </w:pPr>
            <w:r>
              <w:rPr>
                <w:sz w:val="16"/>
                <w:szCs w:val="16"/>
              </w:rPr>
              <w:t>Events per year, mean (SD)</w:t>
            </w:r>
          </w:p>
        </w:tc>
        <w:tc>
          <w:tcPr>
            <w:tcW w:w="993" w:type="dxa"/>
            <w:vAlign w:val="center"/>
          </w:tcPr>
          <w:p w14:paraId="69D4C773" w14:textId="77777777" w:rsidR="00850777" w:rsidRDefault="00850777" w:rsidP="00967A6F">
            <w:pPr>
              <w:spacing w:line="240" w:lineRule="auto"/>
              <w:jc w:val="center"/>
              <w:rPr>
                <w:sz w:val="16"/>
                <w:szCs w:val="16"/>
              </w:rPr>
            </w:pPr>
            <w:r>
              <w:rPr>
                <w:sz w:val="16"/>
                <w:szCs w:val="16"/>
              </w:rPr>
              <w:t>2013</w:t>
            </w:r>
          </w:p>
          <w:p w14:paraId="22F47FDD" w14:textId="77777777" w:rsidR="00850777" w:rsidRDefault="00850777" w:rsidP="00967A6F">
            <w:pPr>
              <w:spacing w:line="240" w:lineRule="auto"/>
              <w:jc w:val="center"/>
              <w:rPr>
                <w:sz w:val="16"/>
                <w:szCs w:val="16"/>
              </w:rPr>
            </w:pPr>
            <w:r>
              <w:rPr>
                <w:sz w:val="16"/>
                <w:szCs w:val="16"/>
              </w:rPr>
              <w:t>2014</w:t>
            </w:r>
          </w:p>
          <w:p w14:paraId="18DA0925" w14:textId="77777777" w:rsidR="00850777" w:rsidRPr="00356FED" w:rsidRDefault="00850777" w:rsidP="00967A6F">
            <w:pPr>
              <w:spacing w:line="240" w:lineRule="auto"/>
              <w:jc w:val="center"/>
              <w:rPr>
                <w:sz w:val="16"/>
                <w:szCs w:val="16"/>
              </w:rPr>
            </w:pPr>
            <w:r>
              <w:rPr>
                <w:sz w:val="16"/>
                <w:szCs w:val="16"/>
              </w:rPr>
              <w:t>2015</w:t>
            </w:r>
          </w:p>
        </w:tc>
        <w:tc>
          <w:tcPr>
            <w:tcW w:w="2551" w:type="dxa"/>
            <w:vAlign w:val="center"/>
          </w:tcPr>
          <w:p w14:paraId="7F9D8B55" w14:textId="77777777" w:rsidR="00850777" w:rsidRDefault="00850777" w:rsidP="009771E8">
            <w:pPr>
              <w:spacing w:line="240" w:lineRule="auto"/>
              <w:jc w:val="center"/>
              <w:rPr>
                <w:sz w:val="16"/>
                <w:szCs w:val="16"/>
              </w:rPr>
            </w:pPr>
            <w:r>
              <w:rPr>
                <w:sz w:val="16"/>
                <w:szCs w:val="16"/>
              </w:rPr>
              <w:t>1 (0.71)</w:t>
            </w:r>
          </w:p>
          <w:p w14:paraId="59F7333D" w14:textId="77777777" w:rsidR="00850777" w:rsidRDefault="00850777" w:rsidP="009771E8">
            <w:pPr>
              <w:spacing w:line="240" w:lineRule="auto"/>
              <w:jc w:val="center"/>
              <w:rPr>
                <w:sz w:val="16"/>
                <w:szCs w:val="16"/>
              </w:rPr>
            </w:pPr>
            <w:r>
              <w:rPr>
                <w:sz w:val="16"/>
                <w:szCs w:val="16"/>
              </w:rPr>
              <w:t>1 (3.6)</w:t>
            </w:r>
          </w:p>
          <w:p w14:paraId="7B7592A2" w14:textId="77777777" w:rsidR="00850777" w:rsidRPr="00356FED" w:rsidRDefault="00850777" w:rsidP="009771E8">
            <w:pPr>
              <w:spacing w:line="240" w:lineRule="auto"/>
              <w:jc w:val="center"/>
              <w:rPr>
                <w:sz w:val="16"/>
                <w:szCs w:val="16"/>
              </w:rPr>
            </w:pPr>
            <w:r>
              <w:rPr>
                <w:sz w:val="16"/>
                <w:szCs w:val="16"/>
              </w:rPr>
              <w:t>1 (2.2)</w:t>
            </w:r>
          </w:p>
        </w:tc>
        <w:tc>
          <w:tcPr>
            <w:tcW w:w="2268" w:type="dxa"/>
            <w:vAlign w:val="center"/>
          </w:tcPr>
          <w:p w14:paraId="68874B22" w14:textId="77777777" w:rsidR="00850777" w:rsidRPr="00356FED" w:rsidRDefault="00850777" w:rsidP="009771E8">
            <w:pPr>
              <w:spacing w:line="240" w:lineRule="auto"/>
              <w:jc w:val="center"/>
              <w:rPr>
                <w:sz w:val="16"/>
                <w:szCs w:val="16"/>
              </w:rPr>
            </w:pPr>
            <w:r>
              <w:rPr>
                <w:sz w:val="16"/>
                <w:szCs w:val="16"/>
              </w:rPr>
              <w:t>/</w:t>
            </w:r>
          </w:p>
        </w:tc>
        <w:tc>
          <w:tcPr>
            <w:tcW w:w="935" w:type="dxa"/>
            <w:vAlign w:val="center"/>
          </w:tcPr>
          <w:p w14:paraId="295A41FA" w14:textId="77777777" w:rsidR="00850777" w:rsidRDefault="00850777" w:rsidP="009771E8">
            <w:pPr>
              <w:spacing w:line="240" w:lineRule="auto"/>
              <w:jc w:val="center"/>
              <w:rPr>
                <w:sz w:val="16"/>
                <w:szCs w:val="16"/>
              </w:rPr>
            </w:pPr>
          </w:p>
        </w:tc>
      </w:tr>
      <w:tr w:rsidR="00850777" w:rsidRPr="00356FED" w14:paraId="0408A981" w14:textId="77777777" w:rsidTr="00276946">
        <w:trPr>
          <w:trHeight w:val="758"/>
        </w:trPr>
        <w:tc>
          <w:tcPr>
            <w:tcW w:w="2263" w:type="dxa"/>
            <w:vAlign w:val="center"/>
          </w:tcPr>
          <w:p w14:paraId="0A2200DC" w14:textId="77777777" w:rsidR="00850777" w:rsidRDefault="00850777" w:rsidP="009771E8">
            <w:pPr>
              <w:spacing w:line="240" w:lineRule="auto"/>
              <w:jc w:val="center"/>
              <w:rPr>
                <w:sz w:val="16"/>
                <w:szCs w:val="16"/>
              </w:rPr>
            </w:pPr>
            <w:r>
              <w:rPr>
                <w:sz w:val="16"/>
                <w:szCs w:val="16"/>
              </w:rPr>
              <w:t>Patients ≥5 events a year, n (%)</w:t>
            </w:r>
          </w:p>
        </w:tc>
        <w:tc>
          <w:tcPr>
            <w:tcW w:w="993" w:type="dxa"/>
            <w:vAlign w:val="center"/>
          </w:tcPr>
          <w:p w14:paraId="5587A6FA" w14:textId="77777777" w:rsidR="00850777" w:rsidRDefault="00850777" w:rsidP="00967A6F">
            <w:pPr>
              <w:spacing w:line="240" w:lineRule="auto"/>
              <w:jc w:val="center"/>
              <w:rPr>
                <w:sz w:val="16"/>
                <w:szCs w:val="16"/>
              </w:rPr>
            </w:pPr>
            <w:r>
              <w:rPr>
                <w:sz w:val="16"/>
                <w:szCs w:val="16"/>
              </w:rPr>
              <w:t>2013</w:t>
            </w:r>
          </w:p>
          <w:p w14:paraId="501DA15B" w14:textId="77777777" w:rsidR="00850777" w:rsidRDefault="00850777" w:rsidP="00967A6F">
            <w:pPr>
              <w:spacing w:line="240" w:lineRule="auto"/>
              <w:jc w:val="center"/>
              <w:rPr>
                <w:sz w:val="16"/>
                <w:szCs w:val="16"/>
              </w:rPr>
            </w:pPr>
            <w:r>
              <w:rPr>
                <w:sz w:val="16"/>
                <w:szCs w:val="16"/>
              </w:rPr>
              <w:t>2014</w:t>
            </w:r>
          </w:p>
          <w:p w14:paraId="1BC4066A" w14:textId="77777777" w:rsidR="00850777" w:rsidRDefault="00850777" w:rsidP="00967A6F">
            <w:pPr>
              <w:spacing w:line="240" w:lineRule="auto"/>
              <w:jc w:val="center"/>
              <w:rPr>
                <w:sz w:val="16"/>
                <w:szCs w:val="16"/>
              </w:rPr>
            </w:pPr>
            <w:r>
              <w:rPr>
                <w:sz w:val="16"/>
                <w:szCs w:val="16"/>
              </w:rPr>
              <w:t>2015</w:t>
            </w:r>
          </w:p>
        </w:tc>
        <w:tc>
          <w:tcPr>
            <w:tcW w:w="2551" w:type="dxa"/>
            <w:vAlign w:val="center"/>
          </w:tcPr>
          <w:p w14:paraId="4A36C8A1" w14:textId="77777777" w:rsidR="00850777" w:rsidRDefault="00850777" w:rsidP="009771E8">
            <w:pPr>
              <w:spacing w:line="240" w:lineRule="auto"/>
              <w:jc w:val="center"/>
              <w:rPr>
                <w:sz w:val="16"/>
                <w:szCs w:val="16"/>
              </w:rPr>
            </w:pPr>
            <w:r>
              <w:rPr>
                <w:sz w:val="16"/>
                <w:szCs w:val="16"/>
              </w:rPr>
              <w:t>20 (6.9%)</w:t>
            </w:r>
          </w:p>
          <w:p w14:paraId="32BBA434" w14:textId="77777777" w:rsidR="00850777" w:rsidRDefault="00850777" w:rsidP="009771E8">
            <w:pPr>
              <w:spacing w:line="240" w:lineRule="auto"/>
              <w:jc w:val="center"/>
              <w:rPr>
                <w:sz w:val="16"/>
                <w:szCs w:val="16"/>
              </w:rPr>
            </w:pPr>
            <w:r>
              <w:rPr>
                <w:sz w:val="16"/>
                <w:szCs w:val="16"/>
              </w:rPr>
              <w:t>33 (11.3%)</w:t>
            </w:r>
          </w:p>
          <w:p w14:paraId="63971EF4" w14:textId="77777777" w:rsidR="00850777" w:rsidRPr="00356FED" w:rsidRDefault="00850777" w:rsidP="009771E8">
            <w:pPr>
              <w:spacing w:line="240" w:lineRule="auto"/>
              <w:jc w:val="center"/>
              <w:rPr>
                <w:sz w:val="16"/>
                <w:szCs w:val="16"/>
              </w:rPr>
            </w:pPr>
            <w:r>
              <w:rPr>
                <w:sz w:val="16"/>
                <w:szCs w:val="16"/>
              </w:rPr>
              <w:t>47 ( 16.2%)</w:t>
            </w:r>
          </w:p>
        </w:tc>
        <w:tc>
          <w:tcPr>
            <w:tcW w:w="2268" w:type="dxa"/>
            <w:vAlign w:val="center"/>
          </w:tcPr>
          <w:p w14:paraId="378B5C18" w14:textId="77777777" w:rsidR="00850777" w:rsidRDefault="00850777" w:rsidP="009771E8">
            <w:pPr>
              <w:spacing w:line="240" w:lineRule="auto"/>
              <w:jc w:val="center"/>
              <w:rPr>
                <w:sz w:val="16"/>
                <w:szCs w:val="16"/>
              </w:rPr>
            </w:pPr>
            <w:r>
              <w:rPr>
                <w:sz w:val="16"/>
                <w:szCs w:val="16"/>
              </w:rPr>
              <w:t>/</w:t>
            </w:r>
          </w:p>
        </w:tc>
        <w:tc>
          <w:tcPr>
            <w:tcW w:w="935" w:type="dxa"/>
            <w:vAlign w:val="center"/>
          </w:tcPr>
          <w:p w14:paraId="7858DC4F" w14:textId="77777777" w:rsidR="00850777" w:rsidRDefault="00850777" w:rsidP="009771E8">
            <w:pPr>
              <w:spacing w:line="240" w:lineRule="auto"/>
              <w:jc w:val="center"/>
              <w:rPr>
                <w:sz w:val="16"/>
                <w:szCs w:val="16"/>
              </w:rPr>
            </w:pPr>
          </w:p>
        </w:tc>
      </w:tr>
      <w:tr w:rsidR="00850777" w:rsidRPr="00356FED" w14:paraId="49316F94" w14:textId="77777777" w:rsidTr="009771E8">
        <w:trPr>
          <w:trHeight w:val="341"/>
        </w:trPr>
        <w:tc>
          <w:tcPr>
            <w:tcW w:w="3256" w:type="dxa"/>
            <w:gridSpan w:val="2"/>
            <w:shd w:val="clear" w:color="auto" w:fill="F2F2F2" w:themeFill="background1" w:themeFillShade="F2"/>
            <w:vAlign w:val="center"/>
          </w:tcPr>
          <w:p w14:paraId="5B5B756E" w14:textId="77777777" w:rsidR="00850777" w:rsidRPr="00356FED" w:rsidRDefault="00850777" w:rsidP="009771E8">
            <w:pPr>
              <w:spacing w:line="240" w:lineRule="auto"/>
              <w:jc w:val="center"/>
              <w:rPr>
                <w:sz w:val="16"/>
                <w:szCs w:val="16"/>
              </w:rPr>
            </w:pPr>
            <w:r w:rsidRPr="00356FED">
              <w:rPr>
                <w:sz w:val="16"/>
                <w:szCs w:val="16"/>
              </w:rPr>
              <w:t>111 calls</w:t>
            </w:r>
          </w:p>
        </w:tc>
        <w:tc>
          <w:tcPr>
            <w:tcW w:w="2551" w:type="dxa"/>
            <w:shd w:val="clear" w:color="auto" w:fill="F2F2F2" w:themeFill="background1" w:themeFillShade="F2"/>
            <w:vAlign w:val="center"/>
          </w:tcPr>
          <w:p w14:paraId="5EB4E64F" w14:textId="77777777" w:rsidR="00850777" w:rsidRPr="00356FED" w:rsidRDefault="00850777" w:rsidP="009771E8">
            <w:pPr>
              <w:spacing w:line="240" w:lineRule="auto"/>
              <w:jc w:val="center"/>
              <w:rPr>
                <w:sz w:val="16"/>
                <w:szCs w:val="16"/>
              </w:rPr>
            </w:pPr>
            <w:r w:rsidRPr="00356FED">
              <w:rPr>
                <w:sz w:val="16"/>
                <w:szCs w:val="16"/>
              </w:rPr>
              <w:t>N=578</w:t>
            </w:r>
            <w:r>
              <w:rPr>
                <w:sz w:val="16"/>
                <w:szCs w:val="16"/>
              </w:rPr>
              <w:t xml:space="preserve"> (191 patients)</w:t>
            </w:r>
          </w:p>
        </w:tc>
        <w:tc>
          <w:tcPr>
            <w:tcW w:w="2268" w:type="dxa"/>
            <w:shd w:val="clear" w:color="auto" w:fill="F2F2F2" w:themeFill="background1" w:themeFillShade="F2"/>
            <w:vAlign w:val="center"/>
          </w:tcPr>
          <w:p w14:paraId="5CF44D5F" w14:textId="77777777" w:rsidR="00850777" w:rsidRPr="00356FED" w:rsidRDefault="00850777" w:rsidP="009771E8">
            <w:pPr>
              <w:spacing w:line="240" w:lineRule="auto"/>
              <w:jc w:val="center"/>
              <w:rPr>
                <w:sz w:val="16"/>
                <w:szCs w:val="16"/>
              </w:rPr>
            </w:pPr>
            <w:r w:rsidRPr="00356FED">
              <w:rPr>
                <w:sz w:val="16"/>
                <w:szCs w:val="16"/>
              </w:rPr>
              <w:t>N=167</w:t>
            </w:r>
            <w:r>
              <w:rPr>
                <w:sz w:val="16"/>
                <w:szCs w:val="16"/>
              </w:rPr>
              <w:t>,</w:t>
            </w:r>
            <w:r w:rsidRPr="00356FED">
              <w:rPr>
                <w:sz w:val="16"/>
                <w:szCs w:val="16"/>
              </w:rPr>
              <w:t>110</w:t>
            </w:r>
          </w:p>
        </w:tc>
        <w:tc>
          <w:tcPr>
            <w:tcW w:w="935" w:type="dxa"/>
            <w:shd w:val="clear" w:color="auto" w:fill="F2F2F2" w:themeFill="background1" w:themeFillShade="F2"/>
            <w:vAlign w:val="center"/>
          </w:tcPr>
          <w:p w14:paraId="23492C33" w14:textId="77777777" w:rsidR="00850777" w:rsidRPr="00356FED" w:rsidRDefault="00850777" w:rsidP="009771E8">
            <w:pPr>
              <w:spacing w:line="240" w:lineRule="auto"/>
              <w:jc w:val="center"/>
              <w:rPr>
                <w:sz w:val="16"/>
                <w:szCs w:val="16"/>
              </w:rPr>
            </w:pPr>
          </w:p>
        </w:tc>
      </w:tr>
      <w:tr w:rsidR="00850777" w:rsidRPr="00356FED" w14:paraId="443E452F" w14:textId="77777777" w:rsidTr="00B9459D">
        <w:trPr>
          <w:trHeight w:val="345"/>
        </w:trPr>
        <w:tc>
          <w:tcPr>
            <w:tcW w:w="2263" w:type="dxa"/>
            <w:vAlign w:val="center"/>
          </w:tcPr>
          <w:p w14:paraId="08924C72" w14:textId="77777777" w:rsidR="00850777" w:rsidRPr="00356FED" w:rsidRDefault="00850777" w:rsidP="009771E8">
            <w:pPr>
              <w:spacing w:line="240" w:lineRule="auto"/>
              <w:jc w:val="center"/>
              <w:rPr>
                <w:sz w:val="16"/>
                <w:szCs w:val="16"/>
              </w:rPr>
            </w:pPr>
            <w:r w:rsidRPr="00356FED">
              <w:rPr>
                <w:sz w:val="16"/>
                <w:szCs w:val="16"/>
              </w:rPr>
              <w:t>Age, mean (SD)</w:t>
            </w:r>
          </w:p>
        </w:tc>
        <w:tc>
          <w:tcPr>
            <w:tcW w:w="993" w:type="dxa"/>
            <w:vAlign w:val="center"/>
          </w:tcPr>
          <w:p w14:paraId="6F8B766C" w14:textId="77777777" w:rsidR="00850777" w:rsidRPr="00356FED" w:rsidRDefault="00850777" w:rsidP="009771E8">
            <w:pPr>
              <w:spacing w:line="240" w:lineRule="auto"/>
              <w:jc w:val="center"/>
              <w:rPr>
                <w:sz w:val="16"/>
                <w:szCs w:val="16"/>
              </w:rPr>
            </w:pPr>
          </w:p>
        </w:tc>
        <w:tc>
          <w:tcPr>
            <w:tcW w:w="2551" w:type="dxa"/>
            <w:vAlign w:val="center"/>
          </w:tcPr>
          <w:p w14:paraId="544AF23D" w14:textId="77777777" w:rsidR="00850777" w:rsidRPr="00356FED" w:rsidRDefault="00850777" w:rsidP="009771E8">
            <w:pPr>
              <w:spacing w:line="240" w:lineRule="auto"/>
              <w:jc w:val="center"/>
              <w:rPr>
                <w:sz w:val="16"/>
                <w:szCs w:val="16"/>
              </w:rPr>
            </w:pPr>
            <w:r w:rsidRPr="00356FED">
              <w:rPr>
                <w:sz w:val="16"/>
                <w:szCs w:val="16"/>
              </w:rPr>
              <w:t>40.6 (14.2)</w:t>
            </w:r>
          </w:p>
        </w:tc>
        <w:tc>
          <w:tcPr>
            <w:tcW w:w="2268" w:type="dxa"/>
            <w:vAlign w:val="center"/>
          </w:tcPr>
          <w:p w14:paraId="5A3BE24E" w14:textId="77777777" w:rsidR="00850777" w:rsidRPr="00356FED" w:rsidRDefault="00850777" w:rsidP="009771E8">
            <w:pPr>
              <w:spacing w:line="240" w:lineRule="auto"/>
              <w:jc w:val="center"/>
              <w:rPr>
                <w:sz w:val="16"/>
                <w:szCs w:val="16"/>
              </w:rPr>
            </w:pPr>
            <w:r w:rsidRPr="00356FED">
              <w:rPr>
                <w:sz w:val="16"/>
                <w:szCs w:val="16"/>
              </w:rPr>
              <w:t>/</w:t>
            </w:r>
          </w:p>
        </w:tc>
        <w:tc>
          <w:tcPr>
            <w:tcW w:w="935" w:type="dxa"/>
            <w:vAlign w:val="center"/>
          </w:tcPr>
          <w:p w14:paraId="4665A380" w14:textId="77777777" w:rsidR="00850777" w:rsidRPr="00356FED" w:rsidRDefault="00850777" w:rsidP="009771E8">
            <w:pPr>
              <w:spacing w:line="240" w:lineRule="auto"/>
              <w:jc w:val="center"/>
              <w:rPr>
                <w:sz w:val="16"/>
                <w:szCs w:val="16"/>
              </w:rPr>
            </w:pPr>
          </w:p>
        </w:tc>
      </w:tr>
      <w:tr w:rsidR="00850777" w:rsidRPr="00356FED" w14:paraId="20873261" w14:textId="77777777" w:rsidTr="00B9459D">
        <w:trPr>
          <w:trHeight w:val="1682"/>
        </w:trPr>
        <w:tc>
          <w:tcPr>
            <w:tcW w:w="2263" w:type="dxa"/>
            <w:vAlign w:val="center"/>
          </w:tcPr>
          <w:p w14:paraId="23F0F431" w14:textId="77777777" w:rsidR="00850777" w:rsidRPr="00356FED" w:rsidRDefault="00850777" w:rsidP="009771E8">
            <w:pPr>
              <w:spacing w:line="240" w:lineRule="auto"/>
              <w:jc w:val="center"/>
              <w:rPr>
                <w:sz w:val="16"/>
                <w:szCs w:val="16"/>
              </w:rPr>
            </w:pPr>
            <w:r w:rsidRPr="00356FED">
              <w:rPr>
                <w:sz w:val="16"/>
                <w:szCs w:val="16"/>
              </w:rPr>
              <w:t xml:space="preserve">Age group, </w:t>
            </w:r>
            <w:r w:rsidRPr="00356FED">
              <w:rPr>
                <w:i/>
                <w:iCs/>
                <w:sz w:val="16"/>
                <w:szCs w:val="16"/>
              </w:rPr>
              <w:t>n (%)</w:t>
            </w:r>
          </w:p>
        </w:tc>
        <w:tc>
          <w:tcPr>
            <w:tcW w:w="993" w:type="dxa"/>
            <w:vAlign w:val="center"/>
          </w:tcPr>
          <w:p w14:paraId="6DD4C6A7" w14:textId="77777777" w:rsidR="00850777" w:rsidRPr="00356FED" w:rsidRDefault="00850777" w:rsidP="009771E8">
            <w:pPr>
              <w:spacing w:line="240" w:lineRule="auto"/>
              <w:jc w:val="center"/>
              <w:rPr>
                <w:sz w:val="16"/>
                <w:szCs w:val="16"/>
              </w:rPr>
            </w:pPr>
            <w:r w:rsidRPr="00356FED">
              <w:rPr>
                <w:sz w:val="16"/>
                <w:szCs w:val="16"/>
              </w:rPr>
              <w:t>15-24</w:t>
            </w:r>
          </w:p>
          <w:p w14:paraId="16D5E01E" w14:textId="77777777" w:rsidR="00850777" w:rsidRPr="00356FED" w:rsidRDefault="00850777" w:rsidP="009771E8">
            <w:pPr>
              <w:spacing w:line="240" w:lineRule="auto"/>
              <w:jc w:val="center"/>
              <w:rPr>
                <w:sz w:val="16"/>
                <w:szCs w:val="16"/>
              </w:rPr>
            </w:pPr>
            <w:r w:rsidRPr="00356FED">
              <w:rPr>
                <w:sz w:val="16"/>
                <w:szCs w:val="16"/>
              </w:rPr>
              <w:t>25-34</w:t>
            </w:r>
          </w:p>
          <w:p w14:paraId="2603A4A9" w14:textId="77777777" w:rsidR="00850777" w:rsidRPr="00356FED" w:rsidRDefault="00850777" w:rsidP="009771E8">
            <w:pPr>
              <w:spacing w:line="240" w:lineRule="auto"/>
              <w:jc w:val="center"/>
              <w:rPr>
                <w:sz w:val="16"/>
                <w:szCs w:val="16"/>
              </w:rPr>
            </w:pPr>
            <w:r w:rsidRPr="00356FED">
              <w:rPr>
                <w:sz w:val="16"/>
                <w:szCs w:val="16"/>
              </w:rPr>
              <w:t>35-44</w:t>
            </w:r>
          </w:p>
          <w:p w14:paraId="74D09EFD" w14:textId="77777777" w:rsidR="00850777" w:rsidRPr="00356FED" w:rsidRDefault="00850777" w:rsidP="009771E8">
            <w:pPr>
              <w:spacing w:line="240" w:lineRule="auto"/>
              <w:jc w:val="center"/>
              <w:rPr>
                <w:sz w:val="16"/>
                <w:szCs w:val="16"/>
              </w:rPr>
            </w:pPr>
            <w:r w:rsidRPr="00356FED">
              <w:rPr>
                <w:sz w:val="16"/>
                <w:szCs w:val="16"/>
              </w:rPr>
              <w:t>45-54</w:t>
            </w:r>
          </w:p>
          <w:p w14:paraId="02704793" w14:textId="77777777" w:rsidR="00850777" w:rsidRPr="00356FED" w:rsidRDefault="00850777" w:rsidP="009771E8">
            <w:pPr>
              <w:spacing w:line="240" w:lineRule="auto"/>
              <w:jc w:val="center"/>
              <w:rPr>
                <w:sz w:val="16"/>
                <w:szCs w:val="16"/>
              </w:rPr>
            </w:pPr>
            <w:r w:rsidRPr="00356FED">
              <w:rPr>
                <w:sz w:val="16"/>
                <w:szCs w:val="16"/>
              </w:rPr>
              <w:t>55-64</w:t>
            </w:r>
          </w:p>
          <w:p w14:paraId="28768907" w14:textId="77777777" w:rsidR="00850777" w:rsidRPr="00356FED" w:rsidRDefault="00850777" w:rsidP="009771E8">
            <w:pPr>
              <w:spacing w:line="240" w:lineRule="auto"/>
              <w:jc w:val="center"/>
              <w:rPr>
                <w:sz w:val="16"/>
                <w:szCs w:val="16"/>
              </w:rPr>
            </w:pPr>
            <w:r w:rsidRPr="00356FED">
              <w:rPr>
                <w:sz w:val="16"/>
                <w:szCs w:val="16"/>
              </w:rPr>
              <w:t>65-74</w:t>
            </w:r>
          </w:p>
          <w:p w14:paraId="667394FB" w14:textId="77777777" w:rsidR="00850777" w:rsidRPr="00356FED" w:rsidRDefault="00850777" w:rsidP="009771E8">
            <w:pPr>
              <w:spacing w:line="240" w:lineRule="auto"/>
              <w:jc w:val="center"/>
              <w:rPr>
                <w:sz w:val="16"/>
                <w:szCs w:val="16"/>
              </w:rPr>
            </w:pPr>
            <w:r w:rsidRPr="00356FED">
              <w:rPr>
                <w:sz w:val="16"/>
                <w:szCs w:val="16"/>
              </w:rPr>
              <w:t>75+</w:t>
            </w:r>
          </w:p>
        </w:tc>
        <w:tc>
          <w:tcPr>
            <w:tcW w:w="2551" w:type="dxa"/>
            <w:vAlign w:val="center"/>
          </w:tcPr>
          <w:p w14:paraId="7B273DF1" w14:textId="77777777" w:rsidR="00850777" w:rsidRPr="00356FED" w:rsidRDefault="00850777" w:rsidP="009771E8">
            <w:pPr>
              <w:spacing w:line="240" w:lineRule="auto"/>
              <w:jc w:val="center"/>
              <w:rPr>
                <w:sz w:val="16"/>
                <w:szCs w:val="16"/>
              </w:rPr>
            </w:pPr>
            <w:r w:rsidRPr="00356FED">
              <w:rPr>
                <w:sz w:val="16"/>
                <w:szCs w:val="16"/>
              </w:rPr>
              <w:t>77 (13.3)</w:t>
            </w:r>
          </w:p>
          <w:p w14:paraId="2B8041CF" w14:textId="77777777" w:rsidR="00850777" w:rsidRPr="00356FED" w:rsidRDefault="00850777" w:rsidP="009771E8">
            <w:pPr>
              <w:spacing w:line="240" w:lineRule="auto"/>
              <w:jc w:val="center"/>
              <w:rPr>
                <w:sz w:val="16"/>
                <w:szCs w:val="16"/>
              </w:rPr>
            </w:pPr>
            <w:r w:rsidRPr="00356FED">
              <w:rPr>
                <w:sz w:val="16"/>
                <w:szCs w:val="16"/>
              </w:rPr>
              <w:t>159 (27.5)</w:t>
            </w:r>
          </w:p>
          <w:p w14:paraId="72697465" w14:textId="77777777" w:rsidR="00850777" w:rsidRPr="00356FED" w:rsidRDefault="00850777" w:rsidP="009771E8">
            <w:pPr>
              <w:spacing w:line="240" w:lineRule="auto"/>
              <w:jc w:val="center"/>
              <w:rPr>
                <w:sz w:val="16"/>
                <w:szCs w:val="16"/>
              </w:rPr>
            </w:pPr>
            <w:r w:rsidRPr="00356FED">
              <w:rPr>
                <w:sz w:val="16"/>
                <w:szCs w:val="16"/>
              </w:rPr>
              <w:t>133 (23.0)</w:t>
            </w:r>
          </w:p>
          <w:p w14:paraId="52A32A7F" w14:textId="77777777" w:rsidR="00850777" w:rsidRPr="00356FED" w:rsidRDefault="00850777" w:rsidP="009771E8">
            <w:pPr>
              <w:spacing w:line="240" w:lineRule="auto"/>
              <w:jc w:val="center"/>
              <w:rPr>
                <w:sz w:val="16"/>
                <w:szCs w:val="16"/>
              </w:rPr>
            </w:pPr>
            <w:r w:rsidRPr="00356FED">
              <w:rPr>
                <w:sz w:val="16"/>
                <w:szCs w:val="16"/>
              </w:rPr>
              <w:t>71 (12.3)</w:t>
            </w:r>
          </w:p>
          <w:p w14:paraId="58A221E0" w14:textId="77777777" w:rsidR="00850777" w:rsidRPr="00356FED" w:rsidRDefault="00850777" w:rsidP="009771E8">
            <w:pPr>
              <w:spacing w:line="240" w:lineRule="auto"/>
              <w:jc w:val="center"/>
              <w:rPr>
                <w:sz w:val="16"/>
                <w:szCs w:val="16"/>
              </w:rPr>
            </w:pPr>
            <w:r w:rsidRPr="00356FED">
              <w:rPr>
                <w:sz w:val="16"/>
                <w:szCs w:val="16"/>
              </w:rPr>
              <w:t>106 (18.3)</w:t>
            </w:r>
          </w:p>
          <w:p w14:paraId="5EFA831D" w14:textId="77777777" w:rsidR="00850777" w:rsidRPr="00356FED" w:rsidRDefault="00850777" w:rsidP="009771E8">
            <w:pPr>
              <w:spacing w:line="240" w:lineRule="auto"/>
              <w:jc w:val="center"/>
              <w:rPr>
                <w:sz w:val="16"/>
                <w:szCs w:val="16"/>
              </w:rPr>
            </w:pPr>
            <w:r w:rsidRPr="00356FED">
              <w:rPr>
                <w:sz w:val="16"/>
                <w:szCs w:val="16"/>
              </w:rPr>
              <w:t>30 (5.2)</w:t>
            </w:r>
          </w:p>
          <w:p w14:paraId="4B84C939" w14:textId="77777777" w:rsidR="00850777" w:rsidRPr="00356FED" w:rsidRDefault="00850777" w:rsidP="009771E8">
            <w:pPr>
              <w:spacing w:line="240" w:lineRule="auto"/>
              <w:jc w:val="center"/>
              <w:rPr>
                <w:sz w:val="16"/>
                <w:szCs w:val="16"/>
              </w:rPr>
            </w:pPr>
            <w:r w:rsidRPr="00356FED">
              <w:rPr>
                <w:sz w:val="16"/>
                <w:szCs w:val="16"/>
              </w:rPr>
              <w:t>2 (0.3)</w:t>
            </w:r>
          </w:p>
        </w:tc>
        <w:tc>
          <w:tcPr>
            <w:tcW w:w="2268" w:type="dxa"/>
            <w:vAlign w:val="center"/>
          </w:tcPr>
          <w:p w14:paraId="402879CE" w14:textId="77777777" w:rsidR="00850777" w:rsidRPr="00356FED" w:rsidRDefault="00850777" w:rsidP="009771E8">
            <w:pPr>
              <w:spacing w:line="240" w:lineRule="auto"/>
              <w:jc w:val="center"/>
              <w:rPr>
                <w:sz w:val="16"/>
                <w:szCs w:val="16"/>
              </w:rPr>
            </w:pPr>
            <w:r w:rsidRPr="00356FED">
              <w:rPr>
                <w:sz w:val="16"/>
                <w:szCs w:val="16"/>
              </w:rPr>
              <w:t>38</w:t>
            </w:r>
            <w:r>
              <w:rPr>
                <w:sz w:val="16"/>
                <w:szCs w:val="16"/>
              </w:rPr>
              <w:t>,</w:t>
            </w:r>
            <w:r w:rsidRPr="00356FED">
              <w:rPr>
                <w:sz w:val="16"/>
                <w:szCs w:val="16"/>
              </w:rPr>
              <w:t>639 (23.1)</w:t>
            </w:r>
          </w:p>
          <w:p w14:paraId="6BD5B577" w14:textId="77777777" w:rsidR="00850777" w:rsidRPr="00356FED" w:rsidRDefault="00850777" w:rsidP="009771E8">
            <w:pPr>
              <w:spacing w:line="240" w:lineRule="auto"/>
              <w:jc w:val="center"/>
              <w:rPr>
                <w:sz w:val="16"/>
                <w:szCs w:val="16"/>
              </w:rPr>
            </w:pPr>
            <w:r w:rsidRPr="00356FED">
              <w:rPr>
                <w:sz w:val="16"/>
                <w:szCs w:val="16"/>
              </w:rPr>
              <w:t>35</w:t>
            </w:r>
            <w:r>
              <w:rPr>
                <w:sz w:val="16"/>
                <w:szCs w:val="16"/>
              </w:rPr>
              <w:t>,</w:t>
            </w:r>
            <w:r w:rsidRPr="00356FED">
              <w:rPr>
                <w:sz w:val="16"/>
                <w:szCs w:val="16"/>
              </w:rPr>
              <w:t>875 (21.5)</w:t>
            </w:r>
          </w:p>
          <w:p w14:paraId="009F8A13" w14:textId="77777777" w:rsidR="00850777" w:rsidRPr="00356FED" w:rsidRDefault="00850777" w:rsidP="009771E8">
            <w:pPr>
              <w:spacing w:line="240" w:lineRule="auto"/>
              <w:jc w:val="center"/>
              <w:rPr>
                <w:sz w:val="16"/>
                <w:szCs w:val="16"/>
              </w:rPr>
            </w:pPr>
            <w:r w:rsidRPr="00356FED">
              <w:rPr>
                <w:sz w:val="16"/>
                <w:szCs w:val="16"/>
              </w:rPr>
              <w:t>20</w:t>
            </w:r>
            <w:r>
              <w:rPr>
                <w:sz w:val="16"/>
                <w:szCs w:val="16"/>
              </w:rPr>
              <w:t>,</w:t>
            </w:r>
            <w:r w:rsidRPr="00356FED">
              <w:rPr>
                <w:sz w:val="16"/>
                <w:szCs w:val="16"/>
              </w:rPr>
              <w:t>975 (12.6)</w:t>
            </w:r>
          </w:p>
          <w:p w14:paraId="0380A77D" w14:textId="77777777" w:rsidR="00850777" w:rsidRPr="00356FED" w:rsidRDefault="00850777" w:rsidP="009771E8">
            <w:pPr>
              <w:spacing w:line="240" w:lineRule="auto"/>
              <w:jc w:val="center"/>
              <w:rPr>
                <w:sz w:val="16"/>
                <w:szCs w:val="16"/>
              </w:rPr>
            </w:pPr>
            <w:r w:rsidRPr="00356FED">
              <w:rPr>
                <w:sz w:val="16"/>
                <w:szCs w:val="16"/>
              </w:rPr>
              <w:t>17</w:t>
            </w:r>
            <w:r>
              <w:rPr>
                <w:sz w:val="16"/>
                <w:szCs w:val="16"/>
              </w:rPr>
              <w:t>,</w:t>
            </w:r>
            <w:r w:rsidRPr="00356FED">
              <w:rPr>
                <w:sz w:val="16"/>
                <w:szCs w:val="16"/>
              </w:rPr>
              <w:t>856 (10.7)</w:t>
            </w:r>
          </w:p>
          <w:p w14:paraId="79A61CCE" w14:textId="77777777" w:rsidR="00850777" w:rsidRPr="00356FED" w:rsidRDefault="00850777" w:rsidP="009771E8">
            <w:pPr>
              <w:spacing w:line="240" w:lineRule="auto"/>
              <w:jc w:val="center"/>
              <w:rPr>
                <w:sz w:val="16"/>
                <w:szCs w:val="16"/>
              </w:rPr>
            </w:pPr>
            <w:r w:rsidRPr="00356FED">
              <w:rPr>
                <w:sz w:val="16"/>
                <w:szCs w:val="16"/>
              </w:rPr>
              <w:t>13</w:t>
            </w:r>
            <w:r>
              <w:rPr>
                <w:sz w:val="16"/>
                <w:szCs w:val="16"/>
              </w:rPr>
              <w:t>,</w:t>
            </w:r>
            <w:r w:rsidRPr="00356FED">
              <w:rPr>
                <w:sz w:val="16"/>
                <w:szCs w:val="16"/>
              </w:rPr>
              <w:t>968 (8.4)</w:t>
            </w:r>
          </w:p>
          <w:p w14:paraId="74AC1196" w14:textId="77777777" w:rsidR="00850777" w:rsidRPr="00356FED" w:rsidRDefault="00850777" w:rsidP="009771E8">
            <w:pPr>
              <w:spacing w:line="240" w:lineRule="auto"/>
              <w:jc w:val="center"/>
              <w:rPr>
                <w:sz w:val="16"/>
                <w:szCs w:val="16"/>
              </w:rPr>
            </w:pPr>
            <w:r w:rsidRPr="00356FED">
              <w:rPr>
                <w:sz w:val="16"/>
                <w:szCs w:val="16"/>
              </w:rPr>
              <w:t>13</w:t>
            </w:r>
            <w:r>
              <w:rPr>
                <w:sz w:val="16"/>
                <w:szCs w:val="16"/>
              </w:rPr>
              <w:t>,</w:t>
            </w:r>
            <w:r w:rsidRPr="00356FED">
              <w:rPr>
                <w:sz w:val="16"/>
                <w:szCs w:val="16"/>
              </w:rPr>
              <w:t>940 (8.3)</w:t>
            </w:r>
          </w:p>
          <w:p w14:paraId="082BA719" w14:textId="77777777" w:rsidR="00850777" w:rsidRPr="00356FED" w:rsidRDefault="00850777" w:rsidP="009771E8">
            <w:pPr>
              <w:spacing w:line="240" w:lineRule="auto"/>
              <w:jc w:val="center"/>
              <w:rPr>
                <w:sz w:val="16"/>
                <w:szCs w:val="16"/>
              </w:rPr>
            </w:pPr>
            <w:r w:rsidRPr="00356FED">
              <w:rPr>
                <w:sz w:val="16"/>
                <w:szCs w:val="16"/>
              </w:rPr>
              <w:t>25</w:t>
            </w:r>
            <w:r>
              <w:rPr>
                <w:sz w:val="16"/>
                <w:szCs w:val="16"/>
              </w:rPr>
              <w:t>,</w:t>
            </w:r>
            <w:r w:rsidRPr="00356FED">
              <w:rPr>
                <w:sz w:val="16"/>
                <w:szCs w:val="16"/>
              </w:rPr>
              <w:t>857 (15.5)</w:t>
            </w:r>
          </w:p>
        </w:tc>
        <w:tc>
          <w:tcPr>
            <w:tcW w:w="935" w:type="dxa"/>
            <w:vAlign w:val="center"/>
          </w:tcPr>
          <w:p w14:paraId="0DB62A73" w14:textId="77777777" w:rsidR="00850777" w:rsidRPr="00356FED" w:rsidRDefault="00850777" w:rsidP="009771E8">
            <w:pPr>
              <w:spacing w:line="240" w:lineRule="auto"/>
              <w:jc w:val="center"/>
              <w:rPr>
                <w:sz w:val="16"/>
                <w:szCs w:val="16"/>
              </w:rPr>
            </w:pPr>
            <w:r>
              <w:rPr>
                <w:sz w:val="16"/>
                <w:szCs w:val="16"/>
              </w:rPr>
              <w:t>&lt;.001</w:t>
            </w:r>
          </w:p>
        </w:tc>
      </w:tr>
      <w:tr w:rsidR="00850777" w:rsidRPr="00356FED" w14:paraId="609A7710" w14:textId="77777777" w:rsidTr="00B9459D">
        <w:trPr>
          <w:trHeight w:val="711"/>
        </w:trPr>
        <w:tc>
          <w:tcPr>
            <w:tcW w:w="2263" w:type="dxa"/>
            <w:vAlign w:val="center"/>
          </w:tcPr>
          <w:p w14:paraId="7DA47A57" w14:textId="77777777" w:rsidR="00850777" w:rsidRPr="00356FED" w:rsidRDefault="00850777" w:rsidP="009771E8">
            <w:pPr>
              <w:spacing w:line="240" w:lineRule="auto"/>
              <w:jc w:val="center"/>
              <w:rPr>
                <w:sz w:val="16"/>
                <w:szCs w:val="16"/>
              </w:rPr>
            </w:pPr>
            <w:r w:rsidRPr="00356FED">
              <w:rPr>
                <w:sz w:val="16"/>
                <w:szCs w:val="16"/>
              </w:rPr>
              <w:t xml:space="preserve">Sex, </w:t>
            </w:r>
            <w:r w:rsidRPr="00356FED">
              <w:rPr>
                <w:i/>
                <w:iCs/>
                <w:sz w:val="16"/>
                <w:szCs w:val="16"/>
              </w:rPr>
              <w:t>n (%)</w:t>
            </w:r>
          </w:p>
        </w:tc>
        <w:tc>
          <w:tcPr>
            <w:tcW w:w="993" w:type="dxa"/>
            <w:vAlign w:val="center"/>
          </w:tcPr>
          <w:p w14:paraId="29F66A45" w14:textId="77777777" w:rsidR="00850777" w:rsidRPr="00356FED" w:rsidRDefault="00850777" w:rsidP="009771E8">
            <w:pPr>
              <w:spacing w:line="240" w:lineRule="auto"/>
              <w:jc w:val="center"/>
              <w:rPr>
                <w:sz w:val="16"/>
                <w:szCs w:val="16"/>
              </w:rPr>
            </w:pPr>
            <w:r w:rsidRPr="00356FED">
              <w:rPr>
                <w:sz w:val="16"/>
                <w:szCs w:val="16"/>
              </w:rPr>
              <w:t>Male</w:t>
            </w:r>
          </w:p>
          <w:p w14:paraId="6D57ACE9" w14:textId="77777777" w:rsidR="00850777" w:rsidRPr="00356FED" w:rsidRDefault="00850777" w:rsidP="009771E8">
            <w:pPr>
              <w:spacing w:line="240" w:lineRule="auto"/>
              <w:jc w:val="center"/>
              <w:rPr>
                <w:sz w:val="16"/>
                <w:szCs w:val="16"/>
              </w:rPr>
            </w:pPr>
            <w:r w:rsidRPr="00356FED">
              <w:rPr>
                <w:sz w:val="16"/>
                <w:szCs w:val="16"/>
              </w:rPr>
              <w:t>Female</w:t>
            </w:r>
          </w:p>
        </w:tc>
        <w:tc>
          <w:tcPr>
            <w:tcW w:w="2551" w:type="dxa"/>
            <w:vAlign w:val="center"/>
          </w:tcPr>
          <w:p w14:paraId="57914A4C" w14:textId="77777777" w:rsidR="00850777" w:rsidRPr="00356FED" w:rsidRDefault="00850777" w:rsidP="009771E8">
            <w:pPr>
              <w:spacing w:line="240" w:lineRule="auto"/>
              <w:jc w:val="center"/>
              <w:rPr>
                <w:sz w:val="16"/>
                <w:szCs w:val="16"/>
              </w:rPr>
            </w:pPr>
            <w:r w:rsidRPr="00356FED">
              <w:rPr>
                <w:sz w:val="16"/>
                <w:szCs w:val="16"/>
              </w:rPr>
              <w:t>234 (40.4%)</w:t>
            </w:r>
          </w:p>
          <w:p w14:paraId="7BDC35EC" w14:textId="77777777" w:rsidR="00850777" w:rsidRPr="00356FED" w:rsidRDefault="00850777" w:rsidP="009771E8">
            <w:pPr>
              <w:spacing w:line="240" w:lineRule="auto"/>
              <w:jc w:val="center"/>
              <w:rPr>
                <w:sz w:val="16"/>
                <w:szCs w:val="16"/>
              </w:rPr>
            </w:pPr>
            <w:r w:rsidRPr="00356FED">
              <w:rPr>
                <w:sz w:val="16"/>
                <w:szCs w:val="16"/>
              </w:rPr>
              <w:t>344 (59.5%)</w:t>
            </w:r>
          </w:p>
        </w:tc>
        <w:tc>
          <w:tcPr>
            <w:tcW w:w="2268" w:type="dxa"/>
            <w:vAlign w:val="center"/>
          </w:tcPr>
          <w:p w14:paraId="4A0DA9A7" w14:textId="77777777" w:rsidR="00850777" w:rsidRPr="00356FED" w:rsidRDefault="00850777" w:rsidP="009771E8">
            <w:pPr>
              <w:spacing w:line="240" w:lineRule="auto"/>
              <w:jc w:val="center"/>
              <w:rPr>
                <w:sz w:val="16"/>
                <w:szCs w:val="16"/>
              </w:rPr>
            </w:pPr>
            <w:r w:rsidRPr="00356FED">
              <w:rPr>
                <w:sz w:val="16"/>
                <w:szCs w:val="16"/>
              </w:rPr>
              <w:t>66</w:t>
            </w:r>
            <w:r>
              <w:rPr>
                <w:sz w:val="16"/>
                <w:szCs w:val="16"/>
              </w:rPr>
              <w:t>,</w:t>
            </w:r>
            <w:r w:rsidRPr="00356FED">
              <w:rPr>
                <w:sz w:val="16"/>
                <w:szCs w:val="16"/>
              </w:rPr>
              <w:t>774 (40.0%)</w:t>
            </w:r>
          </w:p>
          <w:p w14:paraId="09323C85" w14:textId="77777777" w:rsidR="00850777" w:rsidRPr="00356FED" w:rsidRDefault="00850777" w:rsidP="009771E8">
            <w:pPr>
              <w:spacing w:line="240" w:lineRule="auto"/>
              <w:jc w:val="center"/>
              <w:rPr>
                <w:sz w:val="16"/>
                <w:szCs w:val="16"/>
              </w:rPr>
            </w:pPr>
            <w:r w:rsidRPr="00356FED">
              <w:rPr>
                <w:sz w:val="16"/>
                <w:szCs w:val="16"/>
              </w:rPr>
              <w:t>100</w:t>
            </w:r>
            <w:r>
              <w:rPr>
                <w:sz w:val="16"/>
                <w:szCs w:val="16"/>
              </w:rPr>
              <w:t>,</w:t>
            </w:r>
            <w:r w:rsidRPr="00356FED">
              <w:rPr>
                <w:sz w:val="16"/>
                <w:szCs w:val="16"/>
              </w:rPr>
              <w:t>336 (60.0%)</w:t>
            </w:r>
          </w:p>
        </w:tc>
        <w:tc>
          <w:tcPr>
            <w:tcW w:w="935" w:type="dxa"/>
            <w:vAlign w:val="center"/>
          </w:tcPr>
          <w:p w14:paraId="67486D6A" w14:textId="77777777" w:rsidR="00850777" w:rsidRPr="00356FED" w:rsidRDefault="00850777" w:rsidP="009771E8">
            <w:pPr>
              <w:spacing w:line="240" w:lineRule="auto"/>
              <w:jc w:val="center"/>
              <w:rPr>
                <w:sz w:val="16"/>
                <w:szCs w:val="16"/>
              </w:rPr>
            </w:pPr>
            <w:r>
              <w:rPr>
                <w:sz w:val="16"/>
                <w:szCs w:val="16"/>
              </w:rPr>
              <w:t>0.441</w:t>
            </w:r>
          </w:p>
        </w:tc>
      </w:tr>
      <w:tr w:rsidR="00850777" w:rsidRPr="00356FED" w14:paraId="6D7F3889" w14:textId="77777777" w:rsidTr="00B9459D">
        <w:trPr>
          <w:trHeight w:val="834"/>
        </w:trPr>
        <w:tc>
          <w:tcPr>
            <w:tcW w:w="2263" w:type="dxa"/>
            <w:vAlign w:val="center"/>
          </w:tcPr>
          <w:p w14:paraId="20D68ECF" w14:textId="77777777" w:rsidR="00850777" w:rsidRPr="00356FED" w:rsidRDefault="00850777" w:rsidP="009771E8">
            <w:pPr>
              <w:spacing w:line="240" w:lineRule="auto"/>
              <w:jc w:val="center"/>
              <w:rPr>
                <w:sz w:val="16"/>
                <w:szCs w:val="16"/>
              </w:rPr>
            </w:pPr>
            <w:r>
              <w:rPr>
                <w:sz w:val="16"/>
                <w:szCs w:val="16"/>
              </w:rPr>
              <w:t>Events per year, mean (SD)</w:t>
            </w:r>
          </w:p>
        </w:tc>
        <w:tc>
          <w:tcPr>
            <w:tcW w:w="993" w:type="dxa"/>
            <w:vAlign w:val="center"/>
          </w:tcPr>
          <w:p w14:paraId="6231678D" w14:textId="77777777" w:rsidR="00850777" w:rsidRDefault="00850777" w:rsidP="009771E8">
            <w:pPr>
              <w:spacing w:line="240" w:lineRule="auto"/>
              <w:jc w:val="center"/>
              <w:rPr>
                <w:sz w:val="16"/>
                <w:szCs w:val="16"/>
              </w:rPr>
            </w:pPr>
            <w:r>
              <w:rPr>
                <w:sz w:val="16"/>
                <w:szCs w:val="16"/>
              </w:rPr>
              <w:t>2013</w:t>
            </w:r>
          </w:p>
          <w:p w14:paraId="1C5E6996" w14:textId="77777777" w:rsidR="00850777" w:rsidRDefault="00850777" w:rsidP="009771E8">
            <w:pPr>
              <w:spacing w:line="240" w:lineRule="auto"/>
              <w:jc w:val="center"/>
              <w:rPr>
                <w:sz w:val="16"/>
                <w:szCs w:val="16"/>
              </w:rPr>
            </w:pPr>
            <w:r>
              <w:rPr>
                <w:sz w:val="16"/>
                <w:szCs w:val="16"/>
              </w:rPr>
              <w:t>2014</w:t>
            </w:r>
          </w:p>
          <w:p w14:paraId="6D055F67" w14:textId="77777777" w:rsidR="00850777" w:rsidRPr="00356FED" w:rsidRDefault="00850777" w:rsidP="009771E8">
            <w:pPr>
              <w:spacing w:line="240" w:lineRule="auto"/>
              <w:jc w:val="center"/>
              <w:rPr>
                <w:sz w:val="16"/>
                <w:szCs w:val="16"/>
              </w:rPr>
            </w:pPr>
            <w:r>
              <w:rPr>
                <w:sz w:val="16"/>
                <w:szCs w:val="16"/>
              </w:rPr>
              <w:t>2015</w:t>
            </w:r>
          </w:p>
        </w:tc>
        <w:tc>
          <w:tcPr>
            <w:tcW w:w="2551" w:type="dxa"/>
            <w:vAlign w:val="center"/>
          </w:tcPr>
          <w:p w14:paraId="0229F04D" w14:textId="77777777" w:rsidR="00850777" w:rsidRDefault="00850777" w:rsidP="009771E8">
            <w:pPr>
              <w:spacing w:line="240" w:lineRule="auto"/>
              <w:jc w:val="center"/>
              <w:rPr>
                <w:sz w:val="16"/>
                <w:szCs w:val="16"/>
              </w:rPr>
            </w:pPr>
            <w:r>
              <w:rPr>
                <w:sz w:val="16"/>
                <w:szCs w:val="16"/>
              </w:rPr>
              <w:t>0.8 (1.8)</w:t>
            </w:r>
          </w:p>
          <w:p w14:paraId="1DF47372" w14:textId="77777777" w:rsidR="00850777" w:rsidRDefault="00850777" w:rsidP="009771E8">
            <w:pPr>
              <w:spacing w:line="240" w:lineRule="auto"/>
              <w:jc w:val="center"/>
              <w:rPr>
                <w:sz w:val="16"/>
                <w:szCs w:val="16"/>
              </w:rPr>
            </w:pPr>
            <w:r>
              <w:rPr>
                <w:sz w:val="16"/>
                <w:szCs w:val="16"/>
              </w:rPr>
              <w:t>1.5 (3.6)</w:t>
            </w:r>
          </w:p>
          <w:p w14:paraId="45FD9C1B" w14:textId="77777777" w:rsidR="00850777" w:rsidRPr="00356FED" w:rsidRDefault="00850777" w:rsidP="00967A6F">
            <w:pPr>
              <w:spacing w:line="240" w:lineRule="auto"/>
              <w:jc w:val="center"/>
              <w:rPr>
                <w:sz w:val="16"/>
                <w:szCs w:val="16"/>
              </w:rPr>
            </w:pPr>
            <w:r>
              <w:rPr>
                <w:sz w:val="16"/>
                <w:szCs w:val="16"/>
              </w:rPr>
              <w:t>1.4 (2.5)</w:t>
            </w:r>
          </w:p>
        </w:tc>
        <w:tc>
          <w:tcPr>
            <w:tcW w:w="2268" w:type="dxa"/>
            <w:vAlign w:val="center"/>
          </w:tcPr>
          <w:p w14:paraId="2D5A916D" w14:textId="77777777" w:rsidR="00850777" w:rsidRPr="00356FED" w:rsidRDefault="00850777" w:rsidP="009771E8">
            <w:pPr>
              <w:spacing w:line="240" w:lineRule="auto"/>
              <w:jc w:val="center"/>
              <w:rPr>
                <w:sz w:val="16"/>
                <w:szCs w:val="16"/>
              </w:rPr>
            </w:pPr>
            <w:r>
              <w:rPr>
                <w:sz w:val="16"/>
                <w:szCs w:val="16"/>
              </w:rPr>
              <w:t>/</w:t>
            </w:r>
          </w:p>
        </w:tc>
        <w:tc>
          <w:tcPr>
            <w:tcW w:w="935" w:type="dxa"/>
            <w:vAlign w:val="center"/>
          </w:tcPr>
          <w:p w14:paraId="0689BF5E" w14:textId="77777777" w:rsidR="00850777" w:rsidRDefault="00850777" w:rsidP="009771E8">
            <w:pPr>
              <w:spacing w:line="240" w:lineRule="auto"/>
              <w:jc w:val="center"/>
              <w:rPr>
                <w:sz w:val="16"/>
                <w:szCs w:val="16"/>
              </w:rPr>
            </w:pPr>
          </w:p>
        </w:tc>
      </w:tr>
      <w:tr w:rsidR="00850777" w:rsidRPr="00356FED" w14:paraId="4D6C861B" w14:textId="77777777" w:rsidTr="00B9459D">
        <w:trPr>
          <w:trHeight w:val="850"/>
        </w:trPr>
        <w:tc>
          <w:tcPr>
            <w:tcW w:w="2263" w:type="dxa"/>
            <w:vAlign w:val="center"/>
          </w:tcPr>
          <w:p w14:paraId="44A8D33C" w14:textId="77777777" w:rsidR="00850777" w:rsidRDefault="00850777" w:rsidP="00034AE6">
            <w:pPr>
              <w:spacing w:line="240" w:lineRule="auto"/>
              <w:jc w:val="center"/>
              <w:rPr>
                <w:sz w:val="16"/>
                <w:szCs w:val="16"/>
              </w:rPr>
            </w:pPr>
            <w:r>
              <w:rPr>
                <w:sz w:val="16"/>
                <w:szCs w:val="16"/>
              </w:rPr>
              <w:t>Patients ≥5 events a year, n (%)</w:t>
            </w:r>
          </w:p>
        </w:tc>
        <w:tc>
          <w:tcPr>
            <w:tcW w:w="993" w:type="dxa"/>
            <w:vAlign w:val="center"/>
          </w:tcPr>
          <w:p w14:paraId="1BBC7B31" w14:textId="77777777" w:rsidR="00850777" w:rsidRDefault="00850777" w:rsidP="00034AE6">
            <w:pPr>
              <w:spacing w:line="240" w:lineRule="auto"/>
              <w:jc w:val="center"/>
              <w:rPr>
                <w:sz w:val="16"/>
                <w:szCs w:val="16"/>
              </w:rPr>
            </w:pPr>
            <w:r>
              <w:rPr>
                <w:sz w:val="16"/>
                <w:szCs w:val="16"/>
              </w:rPr>
              <w:t>2013</w:t>
            </w:r>
          </w:p>
          <w:p w14:paraId="28CECAD6" w14:textId="77777777" w:rsidR="00850777" w:rsidRDefault="00850777" w:rsidP="00034AE6">
            <w:pPr>
              <w:spacing w:line="240" w:lineRule="auto"/>
              <w:jc w:val="center"/>
              <w:rPr>
                <w:sz w:val="16"/>
                <w:szCs w:val="16"/>
              </w:rPr>
            </w:pPr>
            <w:r>
              <w:rPr>
                <w:sz w:val="16"/>
                <w:szCs w:val="16"/>
              </w:rPr>
              <w:t>2014</w:t>
            </w:r>
          </w:p>
          <w:p w14:paraId="20484AE3" w14:textId="77777777" w:rsidR="00850777" w:rsidRDefault="00850777" w:rsidP="00034AE6">
            <w:pPr>
              <w:spacing w:line="240" w:lineRule="auto"/>
              <w:jc w:val="center"/>
              <w:rPr>
                <w:sz w:val="16"/>
                <w:szCs w:val="16"/>
              </w:rPr>
            </w:pPr>
            <w:r>
              <w:rPr>
                <w:sz w:val="16"/>
                <w:szCs w:val="16"/>
              </w:rPr>
              <w:t>2015</w:t>
            </w:r>
          </w:p>
        </w:tc>
        <w:tc>
          <w:tcPr>
            <w:tcW w:w="2551" w:type="dxa"/>
            <w:vAlign w:val="center"/>
          </w:tcPr>
          <w:p w14:paraId="106DA376" w14:textId="77777777" w:rsidR="00850777" w:rsidRDefault="00850777" w:rsidP="00034AE6">
            <w:pPr>
              <w:spacing w:line="240" w:lineRule="auto"/>
              <w:jc w:val="center"/>
              <w:rPr>
                <w:sz w:val="16"/>
                <w:szCs w:val="16"/>
              </w:rPr>
            </w:pPr>
            <w:r>
              <w:rPr>
                <w:sz w:val="16"/>
                <w:szCs w:val="16"/>
              </w:rPr>
              <w:t>2 (1.0%)</w:t>
            </w:r>
          </w:p>
          <w:p w14:paraId="592493CC" w14:textId="77777777" w:rsidR="00850777" w:rsidRDefault="00850777" w:rsidP="00034AE6">
            <w:pPr>
              <w:spacing w:line="240" w:lineRule="auto"/>
              <w:jc w:val="center"/>
              <w:rPr>
                <w:sz w:val="16"/>
                <w:szCs w:val="16"/>
              </w:rPr>
            </w:pPr>
            <w:r>
              <w:rPr>
                <w:sz w:val="16"/>
                <w:szCs w:val="16"/>
              </w:rPr>
              <w:t>6 (3.1%)</w:t>
            </w:r>
          </w:p>
          <w:p w14:paraId="6B46E035" w14:textId="77777777" w:rsidR="00850777" w:rsidRDefault="00850777" w:rsidP="00034AE6">
            <w:pPr>
              <w:spacing w:line="240" w:lineRule="auto"/>
              <w:jc w:val="center"/>
              <w:rPr>
                <w:sz w:val="16"/>
                <w:szCs w:val="16"/>
              </w:rPr>
            </w:pPr>
            <w:r>
              <w:rPr>
                <w:sz w:val="16"/>
                <w:szCs w:val="16"/>
              </w:rPr>
              <w:t>15 (7.9%)</w:t>
            </w:r>
          </w:p>
        </w:tc>
        <w:tc>
          <w:tcPr>
            <w:tcW w:w="2268" w:type="dxa"/>
            <w:vAlign w:val="center"/>
          </w:tcPr>
          <w:p w14:paraId="19144F10" w14:textId="77777777" w:rsidR="00850777" w:rsidRDefault="00850777" w:rsidP="00034AE6">
            <w:pPr>
              <w:spacing w:line="240" w:lineRule="auto"/>
              <w:jc w:val="center"/>
              <w:rPr>
                <w:sz w:val="16"/>
                <w:szCs w:val="16"/>
              </w:rPr>
            </w:pPr>
            <w:r>
              <w:rPr>
                <w:sz w:val="16"/>
                <w:szCs w:val="16"/>
              </w:rPr>
              <w:t>/</w:t>
            </w:r>
          </w:p>
        </w:tc>
        <w:tc>
          <w:tcPr>
            <w:tcW w:w="935" w:type="dxa"/>
            <w:vAlign w:val="center"/>
          </w:tcPr>
          <w:p w14:paraId="3B29CB64" w14:textId="77777777" w:rsidR="00850777" w:rsidRDefault="00850777" w:rsidP="00034AE6">
            <w:pPr>
              <w:spacing w:line="240" w:lineRule="auto"/>
              <w:jc w:val="center"/>
              <w:rPr>
                <w:sz w:val="16"/>
                <w:szCs w:val="16"/>
              </w:rPr>
            </w:pPr>
          </w:p>
        </w:tc>
      </w:tr>
      <w:tr w:rsidR="00850777" w:rsidRPr="00356FED" w14:paraId="3E5D199E" w14:textId="77777777" w:rsidTr="009771E8">
        <w:trPr>
          <w:trHeight w:val="415"/>
        </w:trPr>
        <w:tc>
          <w:tcPr>
            <w:tcW w:w="3256" w:type="dxa"/>
            <w:gridSpan w:val="2"/>
            <w:shd w:val="clear" w:color="auto" w:fill="F2F2F2" w:themeFill="background1" w:themeFillShade="F2"/>
            <w:vAlign w:val="center"/>
          </w:tcPr>
          <w:p w14:paraId="57619E49" w14:textId="77777777" w:rsidR="00850777" w:rsidRPr="00356FED" w:rsidRDefault="00850777" w:rsidP="00034AE6">
            <w:pPr>
              <w:spacing w:line="240" w:lineRule="auto"/>
              <w:jc w:val="center"/>
              <w:rPr>
                <w:sz w:val="16"/>
                <w:szCs w:val="16"/>
              </w:rPr>
            </w:pPr>
            <w:r w:rsidRPr="00356FED">
              <w:rPr>
                <w:sz w:val="16"/>
                <w:szCs w:val="16"/>
              </w:rPr>
              <w:t>A&amp;E attendances</w:t>
            </w:r>
          </w:p>
        </w:tc>
        <w:tc>
          <w:tcPr>
            <w:tcW w:w="2551" w:type="dxa"/>
            <w:shd w:val="clear" w:color="auto" w:fill="F2F2F2" w:themeFill="background1" w:themeFillShade="F2"/>
            <w:vAlign w:val="center"/>
          </w:tcPr>
          <w:p w14:paraId="5702469C" w14:textId="77777777" w:rsidR="00850777" w:rsidRPr="00356FED" w:rsidRDefault="00850777" w:rsidP="00034AE6">
            <w:pPr>
              <w:spacing w:line="240" w:lineRule="auto"/>
              <w:jc w:val="center"/>
              <w:rPr>
                <w:sz w:val="16"/>
                <w:szCs w:val="16"/>
              </w:rPr>
            </w:pPr>
            <w:r w:rsidRPr="00356FED">
              <w:rPr>
                <w:sz w:val="16"/>
                <w:szCs w:val="16"/>
              </w:rPr>
              <w:t>N= 1222</w:t>
            </w:r>
            <w:r>
              <w:rPr>
                <w:sz w:val="16"/>
                <w:szCs w:val="16"/>
              </w:rPr>
              <w:t xml:space="preserve"> (263 patients)</w:t>
            </w:r>
          </w:p>
        </w:tc>
        <w:tc>
          <w:tcPr>
            <w:tcW w:w="2268" w:type="dxa"/>
            <w:shd w:val="clear" w:color="auto" w:fill="F2F2F2" w:themeFill="background1" w:themeFillShade="F2"/>
            <w:vAlign w:val="center"/>
          </w:tcPr>
          <w:p w14:paraId="0D5BC4B0" w14:textId="77777777" w:rsidR="00850777" w:rsidRPr="00356FED" w:rsidRDefault="00850777" w:rsidP="00034AE6">
            <w:pPr>
              <w:spacing w:line="240" w:lineRule="auto"/>
              <w:jc w:val="center"/>
              <w:rPr>
                <w:sz w:val="16"/>
                <w:szCs w:val="16"/>
              </w:rPr>
            </w:pPr>
            <w:r w:rsidRPr="00356FED">
              <w:rPr>
                <w:sz w:val="16"/>
                <w:szCs w:val="16"/>
              </w:rPr>
              <w:t>N=281</w:t>
            </w:r>
            <w:r>
              <w:rPr>
                <w:sz w:val="16"/>
                <w:szCs w:val="16"/>
              </w:rPr>
              <w:t>,</w:t>
            </w:r>
            <w:r w:rsidRPr="00356FED">
              <w:rPr>
                <w:sz w:val="16"/>
                <w:szCs w:val="16"/>
              </w:rPr>
              <w:t>822</w:t>
            </w:r>
          </w:p>
        </w:tc>
        <w:tc>
          <w:tcPr>
            <w:tcW w:w="935" w:type="dxa"/>
            <w:shd w:val="clear" w:color="auto" w:fill="F2F2F2" w:themeFill="background1" w:themeFillShade="F2"/>
            <w:vAlign w:val="center"/>
          </w:tcPr>
          <w:p w14:paraId="14954AA3" w14:textId="77777777" w:rsidR="00850777" w:rsidRPr="00356FED" w:rsidRDefault="00850777" w:rsidP="00034AE6">
            <w:pPr>
              <w:spacing w:line="240" w:lineRule="auto"/>
              <w:jc w:val="center"/>
              <w:rPr>
                <w:sz w:val="16"/>
                <w:szCs w:val="16"/>
              </w:rPr>
            </w:pPr>
          </w:p>
        </w:tc>
      </w:tr>
      <w:tr w:rsidR="00850777" w:rsidRPr="00356FED" w14:paraId="65DACACB" w14:textId="77777777" w:rsidTr="00B9459D">
        <w:trPr>
          <w:trHeight w:val="308"/>
        </w:trPr>
        <w:tc>
          <w:tcPr>
            <w:tcW w:w="2263" w:type="dxa"/>
            <w:vAlign w:val="center"/>
          </w:tcPr>
          <w:p w14:paraId="14ACAA67" w14:textId="77777777" w:rsidR="00850777" w:rsidRPr="00356FED" w:rsidRDefault="00850777" w:rsidP="00034AE6">
            <w:pPr>
              <w:spacing w:line="240" w:lineRule="auto"/>
              <w:jc w:val="center"/>
              <w:rPr>
                <w:sz w:val="16"/>
                <w:szCs w:val="16"/>
              </w:rPr>
            </w:pPr>
            <w:r w:rsidRPr="00356FED">
              <w:rPr>
                <w:sz w:val="16"/>
                <w:szCs w:val="16"/>
              </w:rPr>
              <w:t>Age, mean (SD)</w:t>
            </w:r>
          </w:p>
        </w:tc>
        <w:tc>
          <w:tcPr>
            <w:tcW w:w="993" w:type="dxa"/>
            <w:vAlign w:val="center"/>
          </w:tcPr>
          <w:p w14:paraId="3F11E964" w14:textId="77777777" w:rsidR="00850777" w:rsidRPr="00356FED" w:rsidRDefault="00850777" w:rsidP="00034AE6">
            <w:pPr>
              <w:spacing w:line="240" w:lineRule="auto"/>
              <w:jc w:val="center"/>
              <w:rPr>
                <w:sz w:val="16"/>
                <w:szCs w:val="16"/>
              </w:rPr>
            </w:pPr>
          </w:p>
        </w:tc>
        <w:tc>
          <w:tcPr>
            <w:tcW w:w="2551" w:type="dxa"/>
            <w:vAlign w:val="center"/>
          </w:tcPr>
          <w:p w14:paraId="2D336F1B" w14:textId="77777777" w:rsidR="00850777" w:rsidRPr="00356FED" w:rsidRDefault="00850777" w:rsidP="00034AE6">
            <w:pPr>
              <w:spacing w:line="240" w:lineRule="auto"/>
              <w:jc w:val="center"/>
              <w:rPr>
                <w:sz w:val="16"/>
                <w:szCs w:val="16"/>
              </w:rPr>
            </w:pPr>
            <w:r w:rsidRPr="00356FED">
              <w:rPr>
                <w:sz w:val="16"/>
                <w:szCs w:val="16"/>
              </w:rPr>
              <w:t>38.6 (14.2)</w:t>
            </w:r>
          </w:p>
        </w:tc>
        <w:tc>
          <w:tcPr>
            <w:tcW w:w="2268" w:type="dxa"/>
            <w:vAlign w:val="center"/>
          </w:tcPr>
          <w:p w14:paraId="293A271E" w14:textId="77777777" w:rsidR="00850777" w:rsidRPr="00356FED" w:rsidRDefault="00850777" w:rsidP="00034AE6">
            <w:pPr>
              <w:spacing w:line="240" w:lineRule="auto"/>
              <w:jc w:val="center"/>
              <w:rPr>
                <w:sz w:val="16"/>
                <w:szCs w:val="16"/>
              </w:rPr>
            </w:pPr>
            <w:r w:rsidRPr="00356FED">
              <w:rPr>
                <w:sz w:val="16"/>
                <w:szCs w:val="16"/>
              </w:rPr>
              <w:t>/</w:t>
            </w:r>
          </w:p>
        </w:tc>
        <w:tc>
          <w:tcPr>
            <w:tcW w:w="935" w:type="dxa"/>
            <w:vAlign w:val="center"/>
          </w:tcPr>
          <w:p w14:paraId="36FB683D" w14:textId="77777777" w:rsidR="00850777" w:rsidRPr="00356FED" w:rsidRDefault="00850777" w:rsidP="00034AE6">
            <w:pPr>
              <w:spacing w:line="240" w:lineRule="auto"/>
              <w:jc w:val="center"/>
              <w:rPr>
                <w:sz w:val="16"/>
                <w:szCs w:val="16"/>
              </w:rPr>
            </w:pPr>
          </w:p>
        </w:tc>
      </w:tr>
      <w:tr w:rsidR="00850777" w:rsidRPr="00356FED" w14:paraId="7812F769" w14:textId="77777777" w:rsidTr="00B9459D">
        <w:trPr>
          <w:trHeight w:val="1645"/>
        </w:trPr>
        <w:tc>
          <w:tcPr>
            <w:tcW w:w="2263" w:type="dxa"/>
            <w:vAlign w:val="center"/>
          </w:tcPr>
          <w:p w14:paraId="15A2B766" w14:textId="77777777" w:rsidR="00850777" w:rsidRPr="00356FED" w:rsidRDefault="00850777" w:rsidP="00034AE6">
            <w:pPr>
              <w:spacing w:line="240" w:lineRule="auto"/>
              <w:jc w:val="center"/>
              <w:rPr>
                <w:sz w:val="16"/>
                <w:szCs w:val="16"/>
              </w:rPr>
            </w:pPr>
            <w:r w:rsidRPr="00356FED">
              <w:rPr>
                <w:sz w:val="16"/>
                <w:szCs w:val="16"/>
              </w:rPr>
              <w:t xml:space="preserve">Age group, </w:t>
            </w:r>
            <w:r w:rsidRPr="00356FED">
              <w:rPr>
                <w:i/>
                <w:iCs/>
                <w:sz w:val="16"/>
                <w:szCs w:val="16"/>
              </w:rPr>
              <w:t>n (%)</w:t>
            </w:r>
          </w:p>
        </w:tc>
        <w:tc>
          <w:tcPr>
            <w:tcW w:w="993" w:type="dxa"/>
            <w:vAlign w:val="center"/>
          </w:tcPr>
          <w:p w14:paraId="1E627BE1" w14:textId="77777777" w:rsidR="00850777" w:rsidRPr="00356FED" w:rsidRDefault="00850777" w:rsidP="00034AE6">
            <w:pPr>
              <w:spacing w:line="240" w:lineRule="auto"/>
              <w:jc w:val="center"/>
              <w:rPr>
                <w:sz w:val="16"/>
                <w:szCs w:val="16"/>
              </w:rPr>
            </w:pPr>
            <w:r w:rsidRPr="00356FED">
              <w:rPr>
                <w:sz w:val="16"/>
                <w:szCs w:val="16"/>
              </w:rPr>
              <w:t>15-24</w:t>
            </w:r>
          </w:p>
          <w:p w14:paraId="43372694" w14:textId="77777777" w:rsidR="00850777" w:rsidRPr="00356FED" w:rsidRDefault="00850777" w:rsidP="00034AE6">
            <w:pPr>
              <w:spacing w:line="240" w:lineRule="auto"/>
              <w:jc w:val="center"/>
              <w:rPr>
                <w:sz w:val="16"/>
                <w:szCs w:val="16"/>
              </w:rPr>
            </w:pPr>
            <w:r w:rsidRPr="00356FED">
              <w:rPr>
                <w:sz w:val="16"/>
                <w:szCs w:val="16"/>
              </w:rPr>
              <w:t>25-34</w:t>
            </w:r>
          </w:p>
          <w:p w14:paraId="35CFCC51" w14:textId="77777777" w:rsidR="00850777" w:rsidRPr="00356FED" w:rsidRDefault="00850777" w:rsidP="00034AE6">
            <w:pPr>
              <w:spacing w:line="240" w:lineRule="auto"/>
              <w:jc w:val="center"/>
              <w:rPr>
                <w:sz w:val="16"/>
                <w:szCs w:val="16"/>
              </w:rPr>
            </w:pPr>
            <w:r w:rsidRPr="00356FED">
              <w:rPr>
                <w:sz w:val="16"/>
                <w:szCs w:val="16"/>
              </w:rPr>
              <w:t>35-44</w:t>
            </w:r>
          </w:p>
          <w:p w14:paraId="7FDDFD03" w14:textId="77777777" w:rsidR="00850777" w:rsidRPr="00356FED" w:rsidRDefault="00850777" w:rsidP="00034AE6">
            <w:pPr>
              <w:spacing w:line="240" w:lineRule="auto"/>
              <w:jc w:val="center"/>
              <w:rPr>
                <w:sz w:val="16"/>
                <w:szCs w:val="16"/>
              </w:rPr>
            </w:pPr>
            <w:r w:rsidRPr="00356FED">
              <w:rPr>
                <w:sz w:val="16"/>
                <w:szCs w:val="16"/>
              </w:rPr>
              <w:t>45-54</w:t>
            </w:r>
          </w:p>
          <w:p w14:paraId="02406823" w14:textId="77777777" w:rsidR="00850777" w:rsidRPr="00356FED" w:rsidRDefault="00850777" w:rsidP="00034AE6">
            <w:pPr>
              <w:spacing w:line="240" w:lineRule="auto"/>
              <w:jc w:val="center"/>
              <w:rPr>
                <w:sz w:val="16"/>
                <w:szCs w:val="16"/>
              </w:rPr>
            </w:pPr>
            <w:r w:rsidRPr="00356FED">
              <w:rPr>
                <w:sz w:val="16"/>
                <w:szCs w:val="16"/>
              </w:rPr>
              <w:t>55-64</w:t>
            </w:r>
          </w:p>
          <w:p w14:paraId="7BE7A68E" w14:textId="77777777" w:rsidR="00850777" w:rsidRPr="00356FED" w:rsidRDefault="00850777" w:rsidP="00034AE6">
            <w:pPr>
              <w:spacing w:line="240" w:lineRule="auto"/>
              <w:jc w:val="center"/>
              <w:rPr>
                <w:sz w:val="16"/>
                <w:szCs w:val="16"/>
              </w:rPr>
            </w:pPr>
            <w:r w:rsidRPr="00356FED">
              <w:rPr>
                <w:sz w:val="16"/>
                <w:szCs w:val="16"/>
              </w:rPr>
              <w:t>65-74</w:t>
            </w:r>
          </w:p>
          <w:p w14:paraId="00ED9D5D" w14:textId="77777777" w:rsidR="00850777" w:rsidRPr="00356FED" w:rsidRDefault="00850777" w:rsidP="00034AE6">
            <w:pPr>
              <w:spacing w:line="240" w:lineRule="auto"/>
              <w:jc w:val="center"/>
              <w:rPr>
                <w:sz w:val="16"/>
                <w:szCs w:val="16"/>
              </w:rPr>
            </w:pPr>
            <w:r w:rsidRPr="00356FED">
              <w:rPr>
                <w:sz w:val="16"/>
                <w:szCs w:val="16"/>
              </w:rPr>
              <w:t>75+</w:t>
            </w:r>
          </w:p>
        </w:tc>
        <w:tc>
          <w:tcPr>
            <w:tcW w:w="2551" w:type="dxa"/>
            <w:vAlign w:val="center"/>
          </w:tcPr>
          <w:p w14:paraId="36BAA212" w14:textId="77777777" w:rsidR="00850777" w:rsidRPr="00356FED" w:rsidRDefault="00850777" w:rsidP="00034AE6">
            <w:pPr>
              <w:spacing w:line="240" w:lineRule="auto"/>
              <w:jc w:val="center"/>
              <w:rPr>
                <w:sz w:val="16"/>
                <w:szCs w:val="16"/>
              </w:rPr>
            </w:pPr>
            <w:r w:rsidRPr="00356FED">
              <w:rPr>
                <w:sz w:val="16"/>
                <w:szCs w:val="16"/>
              </w:rPr>
              <w:t>241(19.7)</w:t>
            </w:r>
          </w:p>
          <w:p w14:paraId="30E8699A" w14:textId="77777777" w:rsidR="00850777" w:rsidRPr="00356FED" w:rsidRDefault="00850777" w:rsidP="00034AE6">
            <w:pPr>
              <w:spacing w:line="240" w:lineRule="auto"/>
              <w:jc w:val="center"/>
              <w:rPr>
                <w:sz w:val="16"/>
                <w:szCs w:val="16"/>
              </w:rPr>
            </w:pPr>
            <w:r w:rsidRPr="00356FED">
              <w:rPr>
                <w:sz w:val="16"/>
                <w:szCs w:val="16"/>
              </w:rPr>
              <w:t>328 (26.8)</w:t>
            </w:r>
          </w:p>
          <w:p w14:paraId="5F280ED0" w14:textId="77777777" w:rsidR="00850777" w:rsidRPr="00356FED" w:rsidRDefault="00850777" w:rsidP="00034AE6">
            <w:pPr>
              <w:spacing w:line="240" w:lineRule="auto"/>
              <w:jc w:val="center"/>
              <w:rPr>
                <w:sz w:val="16"/>
                <w:szCs w:val="16"/>
              </w:rPr>
            </w:pPr>
            <w:r w:rsidRPr="00356FED">
              <w:rPr>
                <w:sz w:val="16"/>
                <w:szCs w:val="16"/>
              </w:rPr>
              <w:t>248 (20.3)</w:t>
            </w:r>
          </w:p>
          <w:p w14:paraId="1ECD218C" w14:textId="77777777" w:rsidR="00850777" w:rsidRPr="00356FED" w:rsidRDefault="00850777" w:rsidP="00034AE6">
            <w:pPr>
              <w:spacing w:line="240" w:lineRule="auto"/>
              <w:jc w:val="center"/>
              <w:rPr>
                <w:sz w:val="16"/>
                <w:szCs w:val="16"/>
              </w:rPr>
            </w:pPr>
            <w:r w:rsidRPr="00356FED">
              <w:rPr>
                <w:sz w:val="16"/>
                <w:szCs w:val="16"/>
              </w:rPr>
              <w:t>163 (13.3)</w:t>
            </w:r>
          </w:p>
          <w:p w14:paraId="3E8CC57C" w14:textId="77777777" w:rsidR="00850777" w:rsidRPr="00356FED" w:rsidRDefault="00850777" w:rsidP="00034AE6">
            <w:pPr>
              <w:spacing w:line="240" w:lineRule="auto"/>
              <w:jc w:val="center"/>
              <w:rPr>
                <w:sz w:val="16"/>
                <w:szCs w:val="16"/>
              </w:rPr>
            </w:pPr>
            <w:r w:rsidRPr="00356FED">
              <w:rPr>
                <w:sz w:val="16"/>
                <w:szCs w:val="16"/>
              </w:rPr>
              <w:t>187 (15.3)</w:t>
            </w:r>
          </w:p>
          <w:p w14:paraId="398106C8" w14:textId="77777777" w:rsidR="00850777" w:rsidRPr="00356FED" w:rsidRDefault="00850777" w:rsidP="00034AE6">
            <w:pPr>
              <w:spacing w:line="240" w:lineRule="auto"/>
              <w:jc w:val="center"/>
              <w:rPr>
                <w:sz w:val="16"/>
                <w:szCs w:val="16"/>
              </w:rPr>
            </w:pPr>
            <w:r w:rsidRPr="00356FED">
              <w:rPr>
                <w:sz w:val="16"/>
                <w:szCs w:val="16"/>
              </w:rPr>
              <w:t>52 (4.3)</w:t>
            </w:r>
          </w:p>
          <w:p w14:paraId="25EDED3E" w14:textId="77777777" w:rsidR="00850777" w:rsidRPr="00356FED" w:rsidRDefault="00850777" w:rsidP="00034AE6">
            <w:pPr>
              <w:spacing w:line="240" w:lineRule="auto"/>
              <w:jc w:val="center"/>
              <w:rPr>
                <w:sz w:val="16"/>
                <w:szCs w:val="16"/>
              </w:rPr>
            </w:pPr>
            <w:r w:rsidRPr="00356FED">
              <w:rPr>
                <w:sz w:val="16"/>
                <w:szCs w:val="16"/>
              </w:rPr>
              <w:t>2 (0.2)</w:t>
            </w:r>
          </w:p>
        </w:tc>
        <w:tc>
          <w:tcPr>
            <w:tcW w:w="2268" w:type="dxa"/>
            <w:vAlign w:val="center"/>
          </w:tcPr>
          <w:p w14:paraId="33B31B0C" w14:textId="77777777" w:rsidR="00850777" w:rsidRPr="00356FED" w:rsidRDefault="00850777" w:rsidP="00034AE6">
            <w:pPr>
              <w:spacing w:line="240" w:lineRule="auto"/>
              <w:jc w:val="center"/>
              <w:rPr>
                <w:sz w:val="16"/>
                <w:szCs w:val="16"/>
              </w:rPr>
            </w:pPr>
            <w:r w:rsidRPr="00356FED">
              <w:rPr>
                <w:sz w:val="16"/>
                <w:szCs w:val="16"/>
              </w:rPr>
              <w:t>57</w:t>
            </w:r>
            <w:r>
              <w:rPr>
                <w:sz w:val="16"/>
                <w:szCs w:val="16"/>
              </w:rPr>
              <w:t>,</w:t>
            </w:r>
            <w:r w:rsidRPr="00356FED">
              <w:rPr>
                <w:sz w:val="16"/>
                <w:szCs w:val="16"/>
              </w:rPr>
              <w:t>426 (20.4)</w:t>
            </w:r>
          </w:p>
          <w:p w14:paraId="792165AF" w14:textId="77777777" w:rsidR="00850777" w:rsidRPr="00356FED" w:rsidRDefault="00850777" w:rsidP="00034AE6">
            <w:pPr>
              <w:spacing w:line="240" w:lineRule="auto"/>
              <w:jc w:val="center"/>
              <w:rPr>
                <w:sz w:val="16"/>
                <w:szCs w:val="16"/>
              </w:rPr>
            </w:pPr>
            <w:r w:rsidRPr="00356FED">
              <w:rPr>
                <w:sz w:val="16"/>
                <w:szCs w:val="16"/>
              </w:rPr>
              <w:t>45</w:t>
            </w:r>
            <w:r>
              <w:rPr>
                <w:sz w:val="16"/>
                <w:szCs w:val="16"/>
              </w:rPr>
              <w:t>,</w:t>
            </w:r>
            <w:r w:rsidRPr="00356FED">
              <w:rPr>
                <w:sz w:val="16"/>
                <w:szCs w:val="16"/>
              </w:rPr>
              <w:t>109 (16.0)</w:t>
            </w:r>
          </w:p>
          <w:p w14:paraId="1146F1F9" w14:textId="77777777" w:rsidR="00850777" w:rsidRPr="00356FED" w:rsidRDefault="00850777" w:rsidP="00034AE6">
            <w:pPr>
              <w:spacing w:line="240" w:lineRule="auto"/>
              <w:jc w:val="center"/>
              <w:rPr>
                <w:sz w:val="16"/>
                <w:szCs w:val="16"/>
              </w:rPr>
            </w:pPr>
            <w:r w:rsidRPr="00356FED">
              <w:rPr>
                <w:sz w:val="16"/>
                <w:szCs w:val="16"/>
              </w:rPr>
              <w:t>36</w:t>
            </w:r>
            <w:r>
              <w:rPr>
                <w:sz w:val="16"/>
                <w:szCs w:val="16"/>
              </w:rPr>
              <w:t>,</w:t>
            </w:r>
            <w:r w:rsidRPr="00356FED">
              <w:rPr>
                <w:sz w:val="16"/>
                <w:szCs w:val="16"/>
              </w:rPr>
              <w:t>412 (12.9)</w:t>
            </w:r>
          </w:p>
          <w:p w14:paraId="69BD999F" w14:textId="77777777" w:rsidR="00850777" w:rsidRPr="00356FED" w:rsidRDefault="00850777" w:rsidP="00034AE6">
            <w:pPr>
              <w:spacing w:line="240" w:lineRule="auto"/>
              <w:jc w:val="center"/>
              <w:rPr>
                <w:sz w:val="16"/>
                <w:szCs w:val="16"/>
              </w:rPr>
            </w:pPr>
            <w:r w:rsidRPr="00356FED">
              <w:rPr>
                <w:sz w:val="16"/>
                <w:szCs w:val="16"/>
              </w:rPr>
              <w:t>38</w:t>
            </w:r>
            <w:r>
              <w:rPr>
                <w:sz w:val="16"/>
                <w:szCs w:val="16"/>
              </w:rPr>
              <w:t>,</w:t>
            </w:r>
            <w:r w:rsidRPr="00356FED">
              <w:rPr>
                <w:sz w:val="16"/>
                <w:szCs w:val="16"/>
              </w:rPr>
              <w:t>358 (13.6)</w:t>
            </w:r>
          </w:p>
          <w:p w14:paraId="29BB637F" w14:textId="77777777" w:rsidR="00850777" w:rsidRPr="00356FED" w:rsidRDefault="00850777" w:rsidP="00034AE6">
            <w:pPr>
              <w:spacing w:line="240" w:lineRule="auto"/>
              <w:jc w:val="center"/>
              <w:rPr>
                <w:sz w:val="16"/>
                <w:szCs w:val="16"/>
              </w:rPr>
            </w:pPr>
            <w:r w:rsidRPr="00356FED">
              <w:rPr>
                <w:sz w:val="16"/>
                <w:szCs w:val="16"/>
              </w:rPr>
              <w:t>29</w:t>
            </w:r>
            <w:r>
              <w:rPr>
                <w:sz w:val="16"/>
                <w:szCs w:val="16"/>
              </w:rPr>
              <w:t>,</w:t>
            </w:r>
            <w:r w:rsidRPr="00356FED">
              <w:rPr>
                <w:sz w:val="16"/>
                <w:szCs w:val="16"/>
              </w:rPr>
              <w:t>074 (10.3)</w:t>
            </w:r>
          </w:p>
          <w:p w14:paraId="14E4C6D9" w14:textId="77777777" w:rsidR="00850777" w:rsidRPr="00356FED" w:rsidRDefault="00850777" w:rsidP="00034AE6">
            <w:pPr>
              <w:spacing w:line="240" w:lineRule="auto"/>
              <w:jc w:val="center"/>
              <w:rPr>
                <w:sz w:val="16"/>
                <w:szCs w:val="16"/>
              </w:rPr>
            </w:pPr>
            <w:r w:rsidRPr="00356FED">
              <w:rPr>
                <w:sz w:val="16"/>
                <w:szCs w:val="16"/>
              </w:rPr>
              <w:t>29</w:t>
            </w:r>
            <w:r>
              <w:rPr>
                <w:sz w:val="16"/>
                <w:szCs w:val="16"/>
              </w:rPr>
              <w:t>,</w:t>
            </w:r>
            <w:r w:rsidRPr="00356FED">
              <w:rPr>
                <w:sz w:val="16"/>
                <w:szCs w:val="16"/>
              </w:rPr>
              <w:t>852 (10.6)</w:t>
            </w:r>
          </w:p>
          <w:p w14:paraId="27AD1FCA" w14:textId="77777777" w:rsidR="00850777" w:rsidRPr="00356FED" w:rsidRDefault="00850777" w:rsidP="00034AE6">
            <w:pPr>
              <w:spacing w:line="240" w:lineRule="auto"/>
              <w:jc w:val="center"/>
              <w:rPr>
                <w:sz w:val="16"/>
                <w:szCs w:val="16"/>
              </w:rPr>
            </w:pPr>
            <w:r w:rsidRPr="00356FED">
              <w:rPr>
                <w:sz w:val="16"/>
                <w:szCs w:val="16"/>
              </w:rPr>
              <w:t>45</w:t>
            </w:r>
            <w:r>
              <w:rPr>
                <w:sz w:val="16"/>
                <w:szCs w:val="16"/>
              </w:rPr>
              <w:t>,</w:t>
            </w:r>
            <w:r w:rsidRPr="00356FED">
              <w:rPr>
                <w:sz w:val="16"/>
                <w:szCs w:val="16"/>
              </w:rPr>
              <w:t>591 (16.2)</w:t>
            </w:r>
          </w:p>
        </w:tc>
        <w:tc>
          <w:tcPr>
            <w:tcW w:w="935" w:type="dxa"/>
            <w:vAlign w:val="center"/>
          </w:tcPr>
          <w:p w14:paraId="37A961A0" w14:textId="77777777" w:rsidR="00850777" w:rsidRPr="00356FED" w:rsidRDefault="00850777" w:rsidP="00034AE6">
            <w:pPr>
              <w:spacing w:line="240" w:lineRule="auto"/>
              <w:jc w:val="center"/>
              <w:rPr>
                <w:sz w:val="16"/>
                <w:szCs w:val="16"/>
              </w:rPr>
            </w:pPr>
            <w:r>
              <w:rPr>
                <w:sz w:val="16"/>
                <w:szCs w:val="16"/>
              </w:rPr>
              <w:t>&lt;.001</w:t>
            </w:r>
          </w:p>
        </w:tc>
      </w:tr>
      <w:tr w:rsidR="00850777" w:rsidRPr="00356FED" w14:paraId="1BA5942B" w14:textId="77777777" w:rsidTr="00B9459D">
        <w:trPr>
          <w:trHeight w:val="675"/>
        </w:trPr>
        <w:tc>
          <w:tcPr>
            <w:tcW w:w="2263" w:type="dxa"/>
            <w:vAlign w:val="center"/>
          </w:tcPr>
          <w:p w14:paraId="0AAA7182" w14:textId="77777777" w:rsidR="00850777" w:rsidRPr="00356FED" w:rsidRDefault="00850777" w:rsidP="00034AE6">
            <w:pPr>
              <w:spacing w:line="240" w:lineRule="auto"/>
              <w:jc w:val="center"/>
              <w:rPr>
                <w:sz w:val="16"/>
                <w:szCs w:val="16"/>
              </w:rPr>
            </w:pPr>
            <w:r w:rsidRPr="00356FED">
              <w:rPr>
                <w:sz w:val="16"/>
                <w:szCs w:val="16"/>
              </w:rPr>
              <w:lastRenderedPageBreak/>
              <w:t xml:space="preserve">Sex, </w:t>
            </w:r>
            <w:r w:rsidRPr="00356FED">
              <w:rPr>
                <w:i/>
                <w:iCs/>
                <w:sz w:val="16"/>
                <w:szCs w:val="16"/>
              </w:rPr>
              <w:t>n (%)</w:t>
            </w:r>
          </w:p>
        </w:tc>
        <w:tc>
          <w:tcPr>
            <w:tcW w:w="993" w:type="dxa"/>
            <w:vAlign w:val="center"/>
          </w:tcPr>
          <w:p w14:paraId="47D12D2B" w14:textId="77777777" w:rsidR="00850777" w:rsidRPr="00356FED" w:rsidRDefault="00850777" w:rsidP="00034AE6">
            <w:pPr>
              <w:spacing w:line="240" w:lineRule="auto"/>
              <w:jc w:val="center"/>
              <w:rPr>
                <w:sz w:val="16"/>
                <w:szCs w:val="16"/>
              </w:rPr>
            </w:pPr>
            <w:r w:rsidRPr="00356FED">
              <w:rPr>
                <w:sz w:val="16"/>
                <w:szCs w:val="16"/>
              </w:rPr>
              <w:t>Male</w:t>
            </w:r>
          </w:p>
          <w:p w14:paraId="3EBE9327" w14:textId="77777777" w:rsidR="00850777" w:rsidRPr="00356FED" w:rsidRDefault="00850777" w:rsidP="00034AE6">
            <w:pPr>
              <w:spacing w:line="240" w:lineRule="auto"/>
              <w:jc w:val="center"/>
              <w:rPr>
                <w:sz w:val="16"/>
                <w:szCs w:val="16"/>
              </w:rPr>
            </w:pPr>
            <w:r w:rsidRPr="00356FED">
              <w:rPr>
                <w:sz w:val="16"/>
                <w:szCs w:val="16"/>
              </w:rPr>
              <w:t>Female</w:t>
            </w:r>
          </w:p>
        </w:tc>
        <w:tc>
          <w:tcPr>
            <w:tcW w:w="2551" w:type="dxa"/>
            <w:vAlign w:val="center"/>
          </w:tcPr>
          <w:p w14:paraId="3020126A" w14:textId="77777777" w:rsidR="00850777" w:rsidRPr="00356FED" w:rsidRDefault="00850777" w:rsidP="00034AE6">
            <w:pPr>
              <w:spacing w:line="240" w:lineRule="auto"/>
              <w:jc w:val="center"/>
              <w:rPr>
                <w:sz w:val="16"/>
                <w:szCs w:val="16"/>
              </w:rPr>
            </w:pPr>
            <w:r w:rsidRPr="00356FED">
              <w:rPr>
                <w:sz w:val="16"/>
                <w:szCs w:val="16"/>
              </w:rPr>
              <w:t>483 (39.5)</w:t>
            </w:r>
          </w:p>
          <w:p w14:paraId="596F3EC7" w14:textId="77777777" w:rsidR="00850777" w:rsidRPr="00356FED" w:rsidRDefault="00850777" w:rsidP="00034AE6">
            <w:pPr>
              <w:spacing w:line="240" w:lineRule="auto"/>
              <w:jc w:val="center"/>
              <w:rPr>
                <w:sz w:val="16"/>
                <w:szCs w:val="16"/>
              </w:rPr>
            </w:pPr>
            <w:r w:rsidRPr="00356FED">
              <w:rPr>
                <w:sz w:val="16"/>
                <w:szCs w:val="16"/>
              </w:rPr>
              <w:t>739 (60.5)</w:t>
            </w:r>
          </w:p>
        </w:tc>
        <w:tc>
          <w:tcPr>
            <w:tcW w:w="2268" w:type="dxa"/>
            <w:vAlign w:val="center"/>
          </w:tcPr>
          <w:p w14:paraId="1BC84311" w14:textId="77777777" w:rsidR="00850777" w:rsidRPr="00356FED" w:rsidRDefault="00850777" w:rsidP="00034AE6">
            <w:pPr>
              <w:spacing w:line="240" w:lineRule="auto"/>
              <w:jc w:val="center"/>
              <w:rPr>
                <w:sz w:val="16"/>
                <w:szCs w:val="16"/>
              </w:rPr>
            </w:pPr>
            <w:r w:rsidRPr="00356FED">
              <w:rPr>
                <w:sz w:val="16"/>
                <w:szCs w:val="16"/>
              </w:rPr>
              <w:t>140</w:t>
            </w:r>
            <w:r>
              <w:rPr>
                <w:sz w:val="16"/>
                <w:szCs w:val="16"/>
              </w:rPr>
              <w:t>,</w:t>
            </w:r>
            <w:r w:rsidRPr="00356FED">
              <w:rPr>
                <w:sz w:val="16"/>
                <w:szCs w:val="16"/>
              </w:rPr>
              <w:t>948 (50.0)</w:t>
            </w:r>
          </w:p>
          <w:p w14:paraId="6CC1B6CB" w14:textId="77777777" w:rsidR="00850777" w:rsidRPr="00356FED" w:rsidRDefault="00850777" w:rsidP="00034AE6">
            <w:pPr>
              <w:spacing w:line="240" w:lineRule="auto"/>
              <w:jc w:val="center"/>
              <w:rPr>
                <w:sz w:val="16"/>
                <w:szCs w:val="16"/>
              </w:rPr>
            </w:pPr>
            <w:r w:rsidRPr="00356FED">
              <w:rPr>
                <w:sz w:val="16"/>
                <w:szCs w:val="16"/>
              </w:rPr>
              <w:t>140</w:t>
            </w:r>
            <w:r>
              <w:rPr>
                <w:sz w:val="16"/>
                <w:szCs w:val="16"/>
              </w:rPr>
              <w:t>,</w:t>
            </w:r>
            <w:r w:rsidRPr="00356FED">
              <w:rPr>
                <w:sz w:val="16"/>
                <w:szCs w:val="16"/>
              </w:rPr>
              <w:t>874 (50.0)</w:t>
            </w:r>
          </w:p>
        </w:tc>
        <w:tc>
          <w:tcPr>
            <w:tcW w:w="935" w:type="dxa"/>
            <w:vAlign w:val="center"/>
          </w:tcPr>
          <w:p w14:paraId="5E8E7EDC" w14:textId="77777777" w:rsidR="00850777" w:rsidRPr="00356FED" w:rsidRDefault="00850777" w:rsidP="00034AE6">
            <w:pPr>
              <w:spacing w:line="240" w:lineRule="auto"/>
              <w:jc w:val="center"/>
              <w:rPr>
                <w:sz w:val="16"/>
                <w:szCs w:val="16"/>
              </w:rPr>
            </w:pPr>
            <w:r>
              <w:rPr>
                <w:sz w:val="16"/>
                <w:szCs w:val="16"/>
              </w:rPr>
              <w:t>0.176</w:t>
            </w:r>
          </w:p>
        </w:tc>
      </w:tr>
      <w:tr w:rsidR="00850777" w:rsidRPr="00356FED" w14:paraId="09C3F287" w14:textId="77777777" w:rsidTr="00276946">
        <w:trPr>
          <w:trHeight w:val="851"/>
        </w:trPr>
        <w:tc>
          <w:tcPr>
            <w:tcW w:w="2263" w:type="dxa"/>
            <w:vAlign w:val="center"/>
          </w:tcPr>
          <w:p w14:paraId="3A31EBB8" w14:textId="77777777" w:rsidR="00850777" w:rsidRPr="00356FED" w:rsidRDefault="00850777" w:rsidP="00034AE6">
            <w:pPr>
              <w:spacing w:line="240" w:lineRule="auto"/>
              <w:jc w:val="center"/>
              <w:rPr>
                <w:sz w:val="16"/>
                <w:szCs w:val="16"/>
              </w:rPr>
            </w:pPr>
            <w:r>
              <w:rPr>
                <w:sz w:val="16"/>
                <w:szCs w:val="16"/>
              </w:rPr>
              <w:t>Events per year, mean (SD)</w:t>
            </w:r>
          </w:p>
        </w:tc>
        <w:tc>
          <w:tcPr>
            <w:tcW w:w="993" w:type="dxa"/>
            <w:vAlign w:val="center"/>
          </w:tcPr>
          <w:p w14:paraId="282CD13B" w14:textId="77777777" w:rsidR="00850777" w:rsidRDefault="00850777" w:rsidP="00034AE6">
            <w:pPr>
              <w:spacing w:line="240" w:lineRule="auto"/>
              <w:jc w:val="center"/>
              <w:rPr>
                <w:sz w:val="16"/>
                <w:szCs w:val="16"/>
              </w:rPr>
            </w:pPr>
            <w:r>
              <w:rPr>
                <w:sz w:val="16"/>
                <w:szCs w:val="16"/>
              </w:rPr>
              <w:t>2013</w:t>
            </w:r>
          </w:p>
          <w:p w14:paraId="5A6380AD" w14:textId="77777777" w:rsidR="00850777" w:rsidRDefault="00850777" w:rsidP="00034AE6">
            <w:pPr>
              <w:spacing w:line="240" w:lineRule="auto"/>
              <w:jc w:val="center"/>
              <w:rPr>
                <w:sz w:val="16"/>
                <w:szCs w:val="16"/>
              </w:rPr>
            </w:pPr>
            <w:r>
              <w:rPr>
                <w:sz w:val="16"/>
                <w:szCs w:val="16"/>
              </w:rPr>
              <w:t>2014</w:t>
            </w:r>
          </w:p>
          <w:p w14:paraId="364C4830" w14:textId="77777777" w:rsidR="00850777" w:rsidRPr="00356FED" w:rsidRDefault="00850777" w:rsidP="00034AE6">
            <w:pPr>
              <w:spacing w:line="240" w:lineRule="auto"/>
              <w:jc w:val="center"/>
              <w:rPr>
                <w:sz w:val="16"/>
                <w:szCs w:val="16"/>
              </w:rPr>
            </w:pPr>
            <w:r>
              <w:rPr>
                <w:sz w:val="16"/>
                <w:szCs w:val="16"/>
              </w:rPr>
              <w:t>2015</w:t>
            </w:r>
          </w:p>
        </w:tc>
        <w:tc>
          <w:tcPr>
            <w:tcW w:w="2551" w:type="dxa"/>
            <w:vAlign w:val="center"/>
          </w:tcPr>
          <w:p w14:paraId="277A1D06" w14:textId="77777777" w:rsidR="00850777" w:rsidRDefault="00850777" w:rsidP="00034AE6">
            <w:pPr>
              <w:spacing w:line="240" w:lineRule="auto"/>
              <w:jc w:val="center"/>
              <w:rPr>
                <w:sz w:val="16"/>
                <w:szCs w:val="16"/>
              </w:rPr>
            </w:pPr>
            <w:r>
              <w:rPr>
                <w:sz w:val="16"/>
                <w:szCs w:val="16"/>
              </w:rPr>
              <w:t>1.4 (2.2)</w:t>
            </w:r>
          </w:p>
          <w:p w14:paraId="12B842E1" w14:textId="77777777" w:rsidR="00850777" w:rsidRDefault="00850777" w:rsidP="00034AE6">
            <w:pPr>
              <w:spacing w:line="240" w:lineRule="auto"/>
              <w:jc w:val="center"/>
              <w:rPr>
                <w:sz w:val="16"/>
                <w:szCs w:val="16"/>
              </w:rPr>
            </w:pPr>
            <w:r>
              <w:rPr>
                <w:sz w:val="16"/>
                <w:szCs w:val="16"/>
              </w:rPr>
              <w:t>1.8 (4.6)</w:t>
            </w:r>
          </w:p>
          <w:p w14:paraId="41EA6118" w14:textId="77777777" w:rsidR="00850777" w:rsidRPr="00356FED" w:rsidRDefault="00850777" w:rsidP="00034AE6">
            <w:pPr>
              <w:spacing w:line="240" w:lineRule="auto"/>
              <w:jc w:val="center"/>
              <w:rPr>
                <w:sz w:val="16"/>
                <w:szCs w:val="16"/>
              </w:rPr>
            </w:pPr>
            <w:r>
              <w:rPr>
                <w:sz w:val="16"/>
                <w:szCs w:val="16"/>
              </w:rPr>
              <w:t>1.5 (2.6)</w:t>
            </w:r>
          </w:p>
        </w:tc>
        <w:tc>
          <w:tcPr>
            <w:tcW w:w="2268" w:type="dxa"/>
            <w:vAlign w:val="center"/>
          </w:tcPr>
          <w:p w14:paraId="579BA7C4" w14:textId="77777777" w:rsidR="00850777" w:rsidRPr="00356FED" w:rsidRDefault="00850777" w:rsidP="00034AE6">
            <w:pPr>
              <w:spacing w:line="240" w:lineRule="auto"/>
              <w:jc w:val="center"/>
              <w:rPr>
                <w:sz w:val="16"/>
                <w:szCs w:val="16"/>
              </w:rPr>
            </w:pPr>
            <w:r>
              <w:rPr>
                <w:sz w:val="16"/>
                <w:szCs w:val="16"/>
              </w:rPr>
              <w:t>/</w:t>
            </w:r>
          </w:p>
        </w:tc>
        <w:tc>
          <w:tcPr>
            <w:tcW w:w="935" w:type="dxa"/>
            <w:vAlign w:val="center"/>
          </w:tcPr>
          <w:p w14:paraId="097FE013" w14:textId="77777777" w:rsidR="00850777" w:rsidRDefault="00850777" w:rsidP="00034AE6">
            <w:pPr>
              <w:spacing w:line="240" w:lineRule="auto"/>
              <w:jc w:val="center"/>
              <w:rPr>
                <w:sz w:val="16"/>
                <w:szCs w:val="16"/>
              </w:rPr>
            </w:pPr>
          </w:p>
        </w:tc>
      </w:tr>
      <w:tr w:rsidR="00850777" w:rsidRPr="00356FED" w14:paraId="1669D421" w14:textId="77777777" w:rsidTr="00276946">
        <w:trPr>
          <w:trHeight w:val="848"/>
        </w:trPr>
        <w:tc>
          <w:tcPr>
            <w:tcW w:w="2263" w:type="dxa"/>
            <w:vAlign w:val="center"/>
          </w:tcPr>
          <w:p w14:paraId="3D3BCC4E" w14:textId="77777777" w:rsidR="00850777" w:rsidRDefault="00850777" w:rsidP="00034AE6">
            <w:pPr>
              <w:spacing w:line="240" w:lineRule="auto"/>
              <w:jc w:val="center"/>
              <w:rPr>
                <w:sz w:val="16"/>
                <w:szCs w:val="16"/>
              </w:rPr>
            </w:pPr>
            <w:r>
              <w:rPr>
                <w:sz w:val="16"/>
                <w:szCs w:val="16"/>
              </w:rPr>
              <w:t>Patients ≥5 events a year, n (%)</w:t>
            </w:r>
          </w:p>
        </w:tc>
        <w:tc>
          <w:tcPr>
            <w:tcW w:w="993" w:type="dxa"/>
            <w:vAlign w:val="center"/>
          </w:tcPr>
          <w:p w14:paraId="3A19AD12" w14:textId="77777777" w:rsidR="00850777" w:rsidRDefault="00850777" w:rsidP="00034AE6">
            <w:pPr>
              <w:spacing w:line="240" w:lineRule="auto"/>
              <w:jc w:val="center"/>
              <w:rPr>
                <w:sz w:val="16"/>
                <w:szCs w:val="16"/>
              </w:rPr>
            </w:pPr>
            <w:r>
              <w:rPr>
                <w:sz w:val="16"/>
                <w:szCs w:val="16"/>
              </w:rPr>
              <w:t>2013</w:t>
            </w:r>
          </w:p>
          <w:p w14:paraId="06115220" w14:textId="77777777" w:rsidR="00850777" w:rsidRDefault="00850777" w:rsidP="00034AE6">
            <w:pPr>
              <w:spacing w:line="240" w:lineRule="auto"/>
              <w:jc w:val="center"/>
              <w:rPr>
                <w:sz w:val="16"/>
                <w:szCs w:val="16"/>
              </w:rPr>
            </w:pPr>
            <w:r>
              <w:rPr>
                <w:sz w:val="16"/>
                <w:szCs w:val="16"/>
              </w:rPr>
              <w:t>2014</w:t>
            </w:r>
          </w:p>
          <w:p w14:paraId="61884D25" w14:textId="77777777" w:rsidR="00850777" w:rsidRDefault="00850777" w:rsidP="00034AE6">
            <w:pPr>
              <w:spacing w:line="240" w:lineRule="auto"/>
              <w:jc w:val="center"/>
              <w:rPr>
                <w:sz w:val="16"/>
                <w:szCs w:val="16"/>
              </w:rPr>
            </w:pPr>
            <w:r>
              <w:rPr>
                <w:sz w:val="16"/>
                <w:szCs w:val="16"/>
              </w:rPr>
              <w:t>2015</w:t>
            </w:r>
          </w:p>
        </w:tc>
        <w:tc>
          <w:tcPr>
            <w:tcW w:w="2551" w:type="dxa"/>
            <w:vAlign w:val="center"/>
          </w:tcPr>
          <w:p w14:paraId="45047522" w14:textId="77777777" w:rsidR="00850777" w:rsidRDefault="00850777" w:rsidP="00034AE6">
            <w:pPr>
              <w:spacing w:line="240" w:lineRule="auto"/>
              <w:jc w:val="center"/>
              <w:rPr>
                <w:sz w:val="16"/>
                <w:szCs w:val="16"/>
              </w:rPr>
            </w:pPr>
            <w:r>
              <w:rPr>
                <w:sz w:val="16"/>
                <w:szCs w:val="16"/>
              </w:rPr>
              <w:t>13 (5.1)</w:t>
            </w:r>
          </w:p>
          <w:p w14:paraId="570E7A62" w14:textId="77777777" w:rsidR="00850777" w:rsidRDefault="00850777" w:rsidP="00034AE6">
            <w:pPr>
              <w:spacing w:line="240" w:lineRule="auto"/>
              <w:jc w:val="center"/>
              <w:rPr>
                <w:sz w:val="16"/>
                <w:szCs w:val="16"/>
              </w:rPr>
            </w:pPr>
            <w:r>
              <w:rPr>
                <w:sz w:val="16"/>
                <w:szCs w:val="16"/>
              </w:rPr>
              <w:t>18 (7.0)</w:t>
            </w:r>
          </w:p>
          <w:p w14:paraId="6179E40E" w14:textId="77777777" w:rsidR="00850777" w:rsidRDefault="00850777" w:rsidP="00034AE6">
            <w:pPr>
              <w:spacing w:line="240" w:lineRule="auto"/>
              <w:jc w:val="center"/>
              <w:rPr>
                <w:sz w:val="16"/>
                <w:szCs w:val="16"/>
              </w:rPr>
            </w:pPr>
            <w:r>
              <w:rPr>
                <w:sz w:val="16"/>
                <w:szCs w:val="16"/>
              </w:rPr>
              <w:t>20 (7.8%)</w:t>
            </w:r>
          </w:p>
        </w:tc>
        <w:tc>
          <w:tcPr>
            <w:tcW w:w="2268" w:type="dxa"/>
            <w:vAlign w:val="center"/>
          </w:tcPr>
          <w:p w14:paraId="1C2EE0DA" w14:textId="77777777" w:rsidR="00850777" w:rsidRDefault="00850777" w:rsidP="00034AE6">
            <w:pPr>
              <w:spacing w:line="240" w:lineRule="auto"/>
              <w:jc w:val="center"/>
              <w:rPr>
                <w:sz w:val="16"/>
                <w:szCs w:val="16"/>
              </w:rPr>
            </w:pPr>
            <w:r>
              <w:rPr>
                <w:sz w:val="16"/>
                <w:szCs w:val="16"/>
              </w:rPr>
              <w:t>/</w:t>
            </w:r>
          </w:p>
        </w:tc>
        <w:tc>
          <w:tcPr>
            <w:tcW w:w="935" w:type="dxa"/>
            <w:vAlign w:val="center"/>
          </w:tcPr>
          <w:p w14:paraId="4D74D706" w14:textId="77777777" w:rsidR="00850777" w:rsidRDefault="00850777" w:rsidP="00034AE6">
            <w:pPr>
              <w:spacing w:line="240" w:lineRule="auto"/>
              <w:jc w:val="center"/>
              <w:rPr>
                <w:sz w:val="16"/>
                <w:szCs w:val="16"/>
              </w:rPr>
            </w:pPr>
          </w:p>
        </w:tc>
      </w:tr>
      <w:tr w:rsidR="00850777" w:rsidRPr="00356FED" w14:paraId="6622A300" w14:textId="77777777" w:rsidTr="009771E8">
        <w:trPr>
          <w:trHeight w:val="423"/>
        </w:trPr>
        <w:tc>
          <w:tcPr>
            <w:tcW w:w="3256" w:type="dxa"/>
            <w:gridSpan w:val="2"/>
            <w:shd w:val="clear" w:color="auto" w:fill="F2F2F2" w:themeFill="background1" w:themeFillShade="F2"/>
            <w:vAlign w:val="center"/>
          </w:tcPr>
          <w:p w14:paraId="74FBAC62" w14:textId="77777777" w:rsidR="00850777" w:rsidRPr="00356FED" w:rsidRDefault="00850777" w:rsidP="00034AE6">
            <w:pPr>
              <w:spacing w:line="240" w:lineRule="auto"/>
              <w:jc w:val="center"/>
              <w:rPr>
                <w:sz w:val="16"/>
                <w:szCs w:val="16"/>
              </w:rPr>
            </w:pPr>
            <w:r w:rsidRPr="00356FED">
              <w:rPr>
                <w:sz w:val="16"/>
                <w:szCs w:val="16"/>
              </w:rPr>
              <w:t>Ambulance calls</w:t>
            </w:r>
          </w:p>
        </w:tc>
        <w:tc>
          <w:tcPr>
            <w:tcW w:w="2551" w:type="dxa"/>
            <w:shd w:val="clear" w:color="auto" w:fill="F2F2F2" w:themeFill="background1" w:themeFillShade="F2"/>
            <w:vAlign w:val="center"/>
          </w:tcPr>
          <w:p w14:paraId="761126DB" w14:textId="77777777" w:rsidR="00850777" w:rsidRPr="00356FED" w:rsidRDefault="00850777" w:rsidP="00034AE6">
            <w:pPr>
              <w:spacing w:line="240" w:lineRule="auto"/>
              <w:jc w:val="center"/>
              <w:rPr>
                <w:sz w:val="16"/>
                <w:szCs w:val="16"/>
              </w:rPr>
            </w:pPr>
            <w:r w:rsidRPr="00356FED">
              <w:rPr>
                <w:sz w:val="16"/>
                <w:szCs w:val="16"/>
              </w:rPr>
              <w:t>N = 601</w:t>
            </w:r>
            <w:r>
              <w:rPr>
                <w:sz w:val="16"/>
                <w:szCs w:val="16"/>
              </w:rPr>
              <w:t xml:space="preserve"> (132 patients)</w:t>
            </w:r>
          </w:p>
        </w:tc>
        <w:tc>
          <w:tcPr>
            <w:tcW w:w="2268" w:type="dxa"/>
            <w:shd w:val="clear" w:color="auto" w:fill="F2F2F2" w:themeFill="background1" w:themeFillShade="F2"/>
            <w:vAlign w:val="center"/>
          </w:tcPr>
          <w:p w14:paraId="0B0C981F" w14:textId="77777777" w:rsidR="00850777" w:rsidRPr="00356FED" w:rsidRDefault="00850777" w:rsidP="00034AE6">
            <w:pPr>
              <w:spacing w:line="240" w:lineRule="auto"/>
              <w:jc w:val="center"/>
              <w:rPr>
                <w:sz w:val="16"/>
                <w:szCs w:val="16"/>
              </w:rPr>
            </w:pPr>
            <w:r w:rsidRPr="00356FED">
              <w:rPr>
                <w:sz w:val="16"/>
                <w:szCs w:val="16"/>
              </w:rPr>
              <w:t>N=96</w:t>
            </w:r>
            <w:r>
              <w:rPr>
                <w:sz w:val="16"/>
                <w:szCs w:val="16"/>
              </w:rPr>
              <w:t>,</w:t>
            </w:r>
            <w:r w:rsidRPr="00356FED">
              <w:rPr>
                <w:sz w:val="16"/>
                <w:szCs w:val="16"/>
              </w:rPr>
              <w:t>384</w:t>
            </w:r>
          </w:p>
        </w:tc>
        <w:tc>
          <w:tcPr>
            <w:tcW w:w="935" w:type="dxa"/>
            <w:shd w:val="clear" w:color="auto" w:fill="F2F2F2" w:themeFill="background1" w:themeFillShade="F2"/>
            <w:vAlign w:val="center"/>
          </w:tcPr>
          <w:p w14:paraId="7D349AC6" w14:textId="77777777" w:rsidR="00850777" w:rsidRPr="00356FED" w:rsidRDefault="00850777" w:rsidP="00034AE6">
            <w:pPr>
              <w:spacing w:line="240" w:lineRule="auto"/>
              <w:jc w:val="center"/>
              <w:rPr>
                <w:sz w:val="16"/>
                <w:szCs w:val="16"/>
              </w:rPr>
            </w:pPr>
          </w:p>
        </w:tc>
      </w:tr>
      <w:tr w:rsidR="00850777" w:rsidRPr="00356FED" w14:paraId="7B8E8C31" w14:textId="77777777" w:rsidTr="00D42BC5">
        <w:trPr>
          <w:trHeight w:val="355"/>
        </w:trPr>
        <w:tc>
          <w:tcPr>
            <w:tcW w:w="2263" w:type="dxa"/>
            <w:vAlign w:val="center"/>
          </w:tcPr>
          <w:p w14:paraId="59D4279E" w14:textId="77777777" w:rsidR="00850777" w:rsidRPr="00356FED" w:rsidRDefault="00850777" w:rsidP="00034AE6">
            <w:pPr>
              <w:spacing w:line="240" w:lineRule="auto"/>
              <w:jc w:val="center"/>
              <w:rPr>
                <w:sz w:val="16"/>
                <w:szCs w:val="16"/>
              </w:rPr>
            </w:pPr>
            <w:r w:rsidRPr="00356FED">
              <w:rPr>
                <w:sz w:val="16"/>
                <w:szCs w:val="16"/>
              </w:rPr>
              <w:t>Age, mean (SD)</w:t>
            </w:r>
          </w:p>
        </w:tc>
        <w:tc>
          <w:tcPr>
            <w:tcW w:w="993" w:type="dxa"/>
            <w:vAlign w:val="center"/>
          </w:tcPr>
          <w:p w14:paraId="3B00B276" w14:textId="77777777" w:rsidR="00850777" w:rsidRDefault="00850777" w:rsidP="00034AE6">
            <w:pPr>
              <w:spacing w:line="240" w:lineRule="auto"/>
              <w:jc w:val="center"/>
              <w:rPr>
                <w:sz w:val="16"/>
                <w:szCs w:val="16"/>
              </w:rPr>
            </w:pPr>
          </w:p>
          <w:p w14:paraId="24CB3F72" w14:textId="77777777" w:rsidR="00850777" w:rsidRPr="00356FED" w:rsidRDefault="00850777" w:rsidP="00034AE6">
            <w:pPr>
              <w:spacing w:line="240" w:lineRule="auto"/>
              <w:jc w:val="center"/>
              <w:rPr>
                <w:sz w:val="16"/>
                <w:szCs w:val="16"/>
              </w:rPr>
            </w:pPr>
          </w:p>
        </w:tc>
        <w:tc>
          <w:tcPr>
            <w:tcW w:w="2551" w:type="dxa"/>
            <w:vAlign w:val="center"/>
          </w:tcPr>
          <w:p w14:paraId="244DC571" w14:textId="77777777" w:rsidR="00850777" w:rsidRPr="00356FED" w:rsidRDefault="00850777" w:rsidP="00034AE6">
            <w:pPr>
              <w:spacing w:line="240" w:lineRule="auto"/>
              <w:jc w:val="center"/>
              <w:rPr>
                <w:sz w:val="16"/>
                <w:szCs w:val="16"/>
              </w:rPr>
            </w:pPr>
            <w:r w:rsidRPr="00356FED">
              <w:rPr>
                <w:sz w:val="16"/>
                <w:szCs w:val="16"/>
              </w:rPr>
              <w:t>42.9 (14.2)</w:t>
            </w:r>
          </w:p>
        </w:tc>
        <w:tc>
          <w:tcPr>
            <w:tcW w:w="2268" w:type="dxa"/>
            <w:vAlign w:val="center"/>
          </w:tcPr>
          <w:p w14:paraId="569C4F66" w14:textId="77777777" w:rsidR="00850777" w:rsidRPr="00356FED" w:rsidRDefault="00850777" w:rsidP="00034AE6">
            <w:pPr>
              <w:spacing w:line="240" w:lineRule="auto"/>
              <w:jc w:val="center"/>
              <w:rPr>
                <w:sz w:val="16"/>
                <w:szCs w:val="16"/>
              </w:rPr>
            </w:pPr>
            <w:r w:rsidRPr="00356FED">
              <w:rPr>
                <w:sz w:val="16"/>
                <w:szCs w:val="16"/>
              </w:rPr>
              <w:t>/</w:t>
            </w:r>
          </w:p>
        </w:tc>
        <w:tc>
          <w:tcPr>
            <w:tcW w:w="935" w:type="dxa"/>
            <w:vAlign w:val="center"/>
          </w:tcPr>
          <w:p w14:paraId="459EE39B" w14:textId="77777777" w:rsidR="00850777" w:rsidRPr="00356FED" w:rsidRDefault="00850777" w:rsidP="00034AE6">
            <w:pPr>
              <w:spacing w:line="240" w:lineRule="auto"/>
              <w:jc w:val="center"/>
              <w:rPr>
                <w:sz w:val="16"/>
                <w:szCs w:val="16"/>
              </w:rPr>
            </w:pPr>
          </w:p>
        </w:tc>
      </w:tr>
      <w:tr w:rsidR="00850777" w:rsidRPr="00356FED" w14:paraId="571634AE" w14:textId="77777777" w:rsidTr="009771E8">
        <w:tc>
          <w:tcPr>
            <w:tcW w:w="2263" w:type="dxa"/>
            <w:vAlign w:val="center"/>
          </w:tcPr>
          <w:p w14:paraId="26A540AB" w14:textId="77777777" w:rsidR="00850777" w:rsidRPr="00356FED" w:rsidRDefault="00850777" w:rsidP="00034AE6">
            <w:pPr>
              <w:spacing w:line="240" w:lineRule="auto"/>
              <w:jc w:val="center"/>
              <w:rPr>
                <w:sz w:val="16"/>
                <w:szCs w:val="16"/>
              </w:rPr>
            </w:pPr>
            <w:r w:rsidRPr="00356FED">
              <w:rPr>
                <w:sz w:val="16"/>
                <w:szCs w:val="16"/>
              </w:rPr>
              <w:t xml:space="preserve">Age group, </w:t>
            </w:r>
            <w:r w:rsidRPr="00356FED">
              <w:rPr>
                <w:i/>
                <w:iCs/>
                <w:sz w:val="16"/>
                <w:szCs w:val="16"/>
              </w:rPr>
              <w:t>n (%)</w:t>
            </w:r>
          </w:p>
        </w:tc>
        <w:tc>
          <w:tcPr>
            <w:tcW w:w="993" w:type="dxa"/>
            <w:vAlign w:val="center"/>
          </w:tcPr>
          <w:p w14:paraId="2CAEA62E" w14:textId="77777777" w:rsidR="00850777" w:rsidRPr="00356FED" w:rsidRDefault="00850777" w:rsidP="00034AE6">
            <w:pPr>
              <w:spacing w:line="240" w:lineRule="auto"/>
              <w:jc w:val="center"/>
              <w:rPr>
                <w:sz w:val="16"/>
                <w:szCs w:val="16"/>
              </w:rPr>
            </w:pPr>
            <w:r w:rsidRPr="00356FED">
              <w:rPr>
                <w:sz w:val="16"/>
                <w:szCs w:val="16"/>
              </w:rPr>
              <w:t>15-24</w:t>
            </w:r>
          </w:p>
          <w:p w14:paraId="432A062E" w14:textId="77777777" w:rsidR="00850777" w:rsidRPr="00356FED" w:rsidRDefault="00850777" w:rsidP="00034AE6">
            <w:pPr>
              <w:spacing w:line="240" w:lineRule="auto"/>
              <w:jc w:val="center"/>
              <w:rPr>
                <w:sz w:val="16"/>
                <w:szCs w:val="16"/>
              </w:rPr>
            </w:pPr>
            <w:r w:rsidRPr="00356FED">
              <w:rPr>
                <w:sz w:val="16"/>
                <w:szCs w:val="16"/>
              </w:rPr>
              <w:t>25-34</w:t>
            </w:r>
          </w:p>
          <w:p w14:paraId="3E3BF9E3" w14:textId="77777777" w:rsidR="00850777" w:rsidRPr="00356FED" w:rsidRDefault="00850777" w:rsidP="00034AE6">
            <w:pPr>
              <w:spacing w:line="240" w:lineRule="auto"/>
              <w:jc w:val="center"/>
              <w:rPr>
                <w:sz w:val="16"/>
                <w:szCs w:val="16"/>
              </w:rPr>
            </w:pPr>
            <w:r w:rsidRPr="00356FED">
              <w:rPr>
                <w:sz w:val="16"/>
                <w:szCs w:val="16"/>
              </w:rPr>
              <w:t>35-44</w:t>
            </w:r>
          </w:p>
          <w:p w14:paraId="1DEE57E0" w14:textId="77777777" w:rsidR="00850777" w:rsidRPr="00356FED" w:rsidRDefault="00850777" w:rsidP="00034AE6">
            <w:pPr>
              <w:spacing w:line="240" w:lineRule="auto"/>
              <w:jc w:val="center"/>
              <w:rPr>
                <w:sz w:val="16"/>
                <w:szCs w:val="16"/>
              </w:rPr>
            </w:pPr>
            <w:r w:rsidRPr="00356FED">
              <w:rPr>
                <w:sz w:val="16"/>
                <w:szCs w:val="16"/>
              </w:rPr>
              <w:t>45-54</w:t>
            </w:r>
          </w:p>
          <w:p w14:paraId="5BAE011E" w14:textId="77777777" w:rsidR="00850777" w:rsidRPr="00356FED" w:rsidRDefault="00850777" w:rsidP="00034AE6">
            <w:pPr>
              <w:spacing w:line="240" w:lineRule="auto"/>
              <w:jc w:val="center"/>
              <w:rPr>
                <w:sz w:val="16"/>
                <w:szCs w:val="16"/>
              </w:rPr>
            </w:pPr>
            <w:r w:rsidRPr="00356FED">
              <w:rPr>
                <w:sz w:val="16"/>
                <w:szCs w:val="16"/>
              </w:rPr>
              <w:t>55-64</w:t>
            </w:r>
          </w:p>
          <w:p w14:paraId="3D6DC672" w14:textId="77777777" w:rsidR="00850777" w:rsidRPr="00356FED" w:rsidRDefault="00850777" w:rsidP="00034AE6">
            <w:pPr>
              <w:spacing w:line="240" w:lineRule="auto"/>
              <w:jc w:val="center"/>
              <w:rPr>
                <w:sz w:val="16"/>
                <w:szCs w:val="16"/>
              </w:rPr>
            </w:pPr>
            <w:r w:rsidRPr="00356FED">
              <w:rPr>
                <w:sz w:val="16"/>
                <w:szCs w:val="16"/>
              </w:rPr>
              <w:t>65-74</w:t>
            </w:r>
          </w:p>
          <w:p w14:paraId="3762E87E" w14:textId="77777777" w:rsidR="00850777" w:rsidRPr="00356FED" w:rsidRDefault="00850777" w:rsidP="00034AE6">
            <w:pPr>
              <w:spacing w:line="240" w:lineRule="auto"/>
              <w:jc w:val="center"/>
              <w:rPr>
                <w:sz w:val="16"/>
                <w:szCs w:val="16"/>
              </w:rPr>
            </w:pPr>
            <w:r w:rsidRPr="00356FED">
              <w:rPr>
                <w:sz w:val="16"/>
                <w:szCs w:val="16"/>
              </w:rPr>
              <w:t>75+</w:t>
            </w:r>
          </w:p>
        </w:tc>
        <w:tc>
          <w:tcPr>
            <w:tcW w:w="2551" w:type="dxa"/>
            <w:vAlign w:val="center"/>
          </w:tcPr>
          <w:p w14:paraId="687E04E2" w14:textId="77777777" w:rsidR="00850777" w:rsidRPr="00356FED" w:rsidRDefault="00850777" w:rsidP="00034AE6">
            <w:pPr>
              <w:spacing w:line="240" w:lineRule="auto"/>
              <w:jc w:val="center"/>
              <w:rPr>
                <w:sz w:val="16"/>
                <w:szCs w:val="16"/>
              </w:rPr>
            </w:pPr>
            <w:r w:rsidRPr="00356FED">
              <w:rPr>
                <w:sz w:val="16"/>
                <w:szCs w:val="16"/>
              </w:rPr>
              <w:t>69 (11.5)</w:t>
            </w:r>
          </w:p>
          <w:p w14:paraId="458E4D82" w14:textId="77777777" w:rsidR="00850777" w:rsidRPr="00356FED" w:rsidRDefault="00850777" w:rsidP="00034AE6">
            <w:pPr>
              <w:spacing w:line="240" w:lineRule="auto"/>
              <w:jc w:val="center"/>
              <w:rPr>
                <w:sz w:val="16"/>
                <w:szCs w:val="16"/>
              </w:rPr>
            </w:pPr>
            <w:r w:rsidRPr="00356FED">
              <w:rPr>
                <w:sz w:val="16"/>
                <w:szCs w:val="16"/>
              </w:rPr>
              <w:t>129 (21.5)</w:t>
            </w:r>
          </w:p>
          <w:p w14:paraId="7F405448" w14:textId="77777777" w:rsidR="00850777" w:rsidRPr="00356FED" w:rsidRDefault="00850777" w:rsidP="00034AE6">
            <w:pPr>
              <w:spacing w:line="240" w:lineRule="auto"/>
              <w:jc w:val="center"/>
              <w:rPr>
                <w:sz w:val="16"/>
                <w:szCs w:val="16"/>
              </w:rPr>
            </w:pPr>
            <w:r w:rsidRPr="00356FED">
              <w:rPr>
                <w:sz w:val="16"/>
                <w:szCs w:val="16"/>
              </w:rPr>
              <w:t>128 (21.3)</w:t>
            </w:r>
          </w:p>
          <w:p w14:paraId="61EE491D" w14:textId="77777777" w:rsidR="00850777" w:rsidRPr="00356FED" w:rsidRDefault="00850777" w:rsidP="00034AE6">
            <w:pPr>
              <w:spacing w:line="240" w:lineRule="auto"/>
              <w:jc w:val="center"/>
              <w:rPr>
                <w:sz w:val="16"/>
                <w:szCs w:val="16"/>
              </w:rPr>
            </w:pPr>
            <w:r w:rsidRPr="00356FED">
              <w:rPr>
                <w:sz w:val="16"/>
                <w:szCs w:val="16"/>
              </w:rPr>
              <w:t>71 (11.8)</w:t>
            </w:r>
          </w:p>
          <w:p w14:paraId="0D77BA3A" w14:textId="77777777" w:rsidR="00850777" w:rsidRPr="00356FED" w:rsidRDefault="00850777" w:rsidP="00034AE6">
            <w:pPr>
              <w:spacing w:line="240" w:lineRule="auto"/>
              <w:jc w:val="center"/>
              <w:rPr>
                <w:sz w:val="16"/>
                <w:szCs w:val="16"/>
              </w:rPr>
            </w:pPr>
            <w:r w:rsidRPr="00356FED">
              <w:rPr>
                <w:sz w:val="16"/>
                <w:szCs w:val="16"/>
              </w:rPr>
              <w:t>182 (30.3)</w:t>
            </w:r>
          </w:p>
          <w:p w14:paraId="452FEAA2" w14:textId="77777777" w:rsidR="00850777" w:rsidRPr="00356FED" w:rsidRDefault="00850777" w:rsidP="00034AE6">
            <w:pPr>
              <w:spacing w:line="240" w:lineRule="auto"/>
              <w:jc w:val="center"/>
              <w:rPr>
                <w:sz w:val="16"/>
                <w:szCs w:val="16"/>
              </w:rPr>
            </w:pPr>
            <w:r w:rsidRPr="00356FED">
              <w:rPr>
                <w:sz w:val="16"/>
                <w:szCs w:val="16"/>
              </w:rPr>
              <w:t>22 (3.7)</w:t>
            </w:r>
          </w:p>
          <w:p w14:paraId="5A491F18" w14:textId="77777777" w:rsidR="00850777" w:rsidRPr="00356FED" w:rsidRDefault="00850777" w:rsidP="00034AE6">
            <w:pPr>
              <w:spacing w:line="240" w:lineRule="auto"/>
              <w:jc w:val="center"/>
              <w:rPr>
                <w:sz w:val="16"/>
                <w:szCs w:val="16"/>
              </w:rPr>
            </w:pPr>
            <w:r w:rsidRPr="00356FED">
              <w:rPr>
                <w:sz w:val="16"/>
                <w:szCs w:val="16"/>
              </w:rPr>
              <w:t>0 (0)</w:t>
            </w:r>
          </w:p>
        </w:tc>
        <w:tc>
          <w:tcPr>
            <w:tcW w:w="2268" w:type="dxa"/>
            <w:vAlign w:val="center"/>
          </w:tcPr>
          <w:p w14:paraId="423AB82E" w14:textId="77777777" w:rsidR="00850777" w:rsidRPr="00356FED" w:rsidRDefault="00850777" w:rsidP="00034AE6">
            <w:pPr>
              <w:spacing w:line="240" w:lineRule="auto"/>
              <w:jc w:val="center"/>
              <w:rPr>
                <w:sz w:val="16"/>
                <w:szCs w:val="16"/>
              </w:rPr>
            </w:pPr>
            <w:r w:rsidRPr="00356FED">
              <w:rPr>
                <w:sz w:val="16"/>
                <w:szCs w:val="16"/>
              </w:rPr>
              <w:t>11</w:t>
            </w:r>
            <w:r>
              <w:rPr>
                <w:sz w:val="16"/>
                <w:szCs w:val="16"/>
              </w:rPr>
              <w:t>,</w:t>
            </w:r>
            <w:r w:rsidRPr="00356FED">
              <w:rPr>
                <w:sz w:val="16"/>
                <w:szCs w:val="16"/>
              </w:rPr>
              <w:t>439 (11.9)</w:t>
            </w:r>
          </w:p>
          <w:p w14:paraId="61B89C18" w14:textId="77777777" w:rsidR="00850777" w:rsidRPr="00356FED" w:rsidRDefault="00850777" w:rsidP="00034AE6">
            <w:pPr>
              <w:spacing w:line="240" w:lineRule="auto"/>
              <w:jc w:val="center"/>
              <w:rPr>
                <w:sz w:val="16"/>
                <w:szCs w:val="16"/>
              </w:rPr>
            </w:pPr>
            <w:r w:rsidRPr="00356FED">
              <w:rPr>
                <w:sz w:val="16"/>
                <w:szCs w:val="16"/>
              </w:rPr>
              <w:t>10</w:t>
            </w:r>
            <w:r>
              <w:rPr>
                <w:sz w:val="16"/>
                <w:szCs w:val="16"/>
              </w:rPr>
              <w:t>,</w:t>
            </w:r>
            <w:r w:rsidRPr="00356FED">
              <w:rPr>
                <w:sz w:val="16"/>
                <w:szCs w:val="16"/>
              </w:rPr>
              <w:t>376 (10.8)</w:t>
            </w:r>
          </w:p>
          <w:p w14:paraId="02492754" w14:textId="77777777" w:rsidR="00850777" w:rsidRPr="00356FED" w:rsidRDefault="00850777" w:rsidP="00034AE6">
            <w:pPr>
              <w:spacing w:line="240" w:lineRule="auto"/>
              <w:jc w:val="center"/>
              <w:rPr>
                <w:sz w:val="16"/>
                <w:szCs w:val="16"/>
              </w:rPr>
            </w:pPr>
            <w:r w:rsidRPr="00356FED">
              <w:rPr>
                <w:sz w:val="16"/>
                <w:szCs w:val="16"/>
              </w:rPr>
              <w:t>8</w:t>
            </w:r>
            <w:r>
              <w:rPr>
                <w:sz w:val="16"/>
                <w:szCs w:val="16"/>
              </w:rPr>
              <w:t>,</w:t>
            </w:r>
            <w:r w:rsidRPr="00356FED">
              <w:rPr>
                <w:sz w:val="16"/>
                <w:szCs w:val="16"/>
              </w:rPr>
              <w:t>739 (9.1)</w:t>
            </w:r>
          </w:p>
          <w:p w14:paraId="4B76767D" w14:textId="77777777" w:rsidR="00850777" w:rsidRPr="00356FED" w:rsidRDefault="00850777" w:rsidP="00034AE6">
            <w:pPr>
              <w:spacing w:line="240" w:lineRule="auto"/>
              <w:jc w:val="center"/>
              <w:rPr>
                <w:sz w:val="16"/>
                <w:szCs w:val="16"/>
              </w:rPr>
            </w:pPr>
            <w:r w:rsidRPr="00356FED">
              <w:rPr>
                <w:sz w:val="16"/>
                <w:szCs w:val="16"/>
              </w:rPr>
              <w:t>9</w:t>
            </w:r>
            <w:r>
              <w:rPr>
                <w:sz w:val="16"/>
                <w:szCs w:val="16"/>
              </w:rPr>
              <w:t>,</w:t>
            </w:r>
            <w:r w:rsidRPr="00356FED">
              <w:rPr>
                <w:sz w:val="16"/>
                <w:szCs w:val="16"/>
              </w:rPr>
              <w:t>546 (9.9)</w:t>
            </w:r>
          </w:p>
          <w:p w14:paraId="1AAC835D" w14:textId="77777777" w:rsidR="00850777" w:rsidRPr="00356FED" w:rsidRDefault="00850777" w:rsidP="00034AE6">
            <w:pPr>
              <w:spacing w:line="240" w:lineRule="auto"/>
              <w:jc w:val="center"/>
              <w:rPr>
                <w:sz w:val="16"/>
                <w:szCs w:val="16"/>
              </w:rPr>
            </w:pPr>
            <w:r w:rsidRPr="00356FED">
              <w:rPr>
                <w:sz w:val="16"/>
                <w:szCs w:val="16"/>
              </w:rPr>
              <w:t>9</w:t>
            </w:r>
            <w:r>
              <w:rPr>
                <w:sz w:val="16"/>
                <w:szCs w:val="16"/>
              </w:rPr>
              <w:t>,</w:t>
            </w:r>
            <w:r w:rsidRPr="00356FED">
              <w:rPr>
                <w:sz w:val="16"/>
                <w:szCs w:val="16"/>
              </w:rPr>
              <w:t>710 (10.1)</w:t>
            </w:r>
          </w:p>
          <w:p w14:paraId="67384B1E" w14:textId="77777777" w:rsidR="00850777" w:rsidRPr="00356FED" w:rsidRDefault="00850777" w:rsidP="00034AE6">
            <w:pPr>
              <w:spacing w:line="240" w:lineRule="auto"/>
              <w:jc w:val="center"/>
              <w:rPr>
                <w:sz w:val="16"/>
                <w:szCs w:val="16"/>
              </w:rPr>
            </w:pPr>
            <w:r w:rsidRPr="00356FED">
              <w:rPr>
                <w:sz w:val="16"/>
                <w:szCs w:val="16"/>
              </w:rPr>
              <w:t>13</w:t>
            </w:r>
            <w:r>
              <w:rPr>
                <w:sz w:val="16"/>
                <w:szCs w:val="16"/>
              </w:rPr>
              <w:t>,</w:t>
            </w:r>
            <w:r w:rsidRPr="00356FED">
              <w:rPr>
                <w:sz w:val="16"/>
                <w:szCs w:val="16"/>
              </w:rPr>
              <w:t>866 (14.4)</w:t>
            </w:r>
          </w:p>
          <w:p w14:paraId="75A6B0E9" w14:textId="77777777" w:rsidR="00850777" w:rsidRPr="00356FED" w:rsidRDefault="00850777" w:rsidP="00034AE6">
            <w:pPr>
              <w:spacing w:line="240" w:lineRule="auto"/>
              <w:jc w:val="center"/>
              <w:rPr>
                <w:sz w:val="16"/>
                <w:szCs w:val="16"/>
              </w:rPr>
            </w:pPr>
            <w:r w:rsidRPr="00356FED">
              <w:rPr>
                <w:sz w:val="16"/>
                <w:szCs w:val="16"/>
              </w:rPr>
              <w:t>32</w:t>
            </w:r>
            <w:r>
              <w:rPr>
                <w:sz w:val="16"/>
                <w:szCs w:val="16"/>
              </w:rPr>
              <w:t>,</w:t>
            </w:r>
            <w:r w:rsidRPr="00356FED">
              <w:rPr>
                <w:sz w:val="16"/>
                <w:szCs w:val="16"/>
              </w:rPr>
              <w:t>708 (33.9)</w:t>
            </w:r>
          </w:p>
        </w:tc>
        <w:tc>
          <w:tcPr>
            <w:tcW w:w="935" w:type="dxa"/>
            <w:vAlign w:val="center"/>
          </w:tcPr>
          <w:p w14:paraId="16DDD3E2" w14:textId="77777777" w:rsidR="00850777" w:rsidRPr="00356FED" w:rsidRDefault="00850777" w:rsidP="00034AE6">
            <w:pPr>
              <w:spacing w:line="240" w:lineRule="auto"/>
              <w:jc w:val="center"/>
              <w:rPr>
                <w:sz w:val="16"/>
                <w:szCs w:val="16"/>
              </w:rPr>
            </w:pPr>
            <w:r>
              <w:rPr>
                <w:sz w:val="16"/>
                <w:szCs w:val="16"/>
              </w:rPr>
              <w:t>&lt;.001</w:t>
            </w:r>
          </w:p>
        </w:tc>
      </w:tr>
      <w:tr w:rsidR="00850777" w:rsidRPr="00356FED" w14:paraId="6E464C38" w14:textId="77777777" w:rsidTr="009771E8">
        <w:tc>
          <w:tcPr>
            <w:tcW w:w="2263" w:type="dxa"/>
            <w:vAlign w:val="center"/>
          </w:tcPr>
          <w:p w14:paraId="09EFDE2B" w14:textId="77777777" w:rsidR="00850777" w:rsidRPr="00356FED" w:rsidRDefault="00850777" w:rsidP="00034AE6">
            <w:pPr>
              <w:spacing w:line="240" w:lineRule="auto"/>
              <w:jc w:val="center"/>
              <w:rPr>
                <w:sz w:val="16"/>
                <w:szCs w:val="16"/>
              </w:rPr>
            </w:pPr>
            <w:r w:rsidRPr="00356FED">
              <w:rPr>
                <w:sz w:val="16"/>
                <w:szCs w:val="16"/>
              </w:rPr>
              <w:t xml:space="preserve">Sex, </w:t>
            </w:r>
            <w:r w:rsidRPr="00356FED">
              <w:rPr>
                <w:i/>
                <w:iCs/>
                <w:sz w:val="16"/>
                <w:szCs w:val="16"/>
              </w:rPr>
              <w:t>n (%)</w:t>
            </w:r>
          </w:p>
        </w:tc>
        <w:tc>
          <w:tcPr>
            <w:tcW w:w="993" w:type="dxa"/>
            <w:vAlign w:val="center"/>
          </w:tcPr>
          <w:p w14:paraId="522ABAC3" w14:textId="77777777" w:rsidR="00850777" w:rsidRPr="00356FED" w:rsidRDefault="00850777" w:rsidP="00034AE6">
            <w:pPr>
              <w:spacing w:line="240" w:lineRule="auto"/>
              <w:jc w:val="center"/>
              <w:rPr>
                <w:sz w:val="16"/>
                <w:szCs w:val="16"/>
              </w:rPr>
            </w:pPr>
            <w:r w:rsidRPr="00356FED">
              <w:rPr>
                <w:sz w:val="16"/>
                <w:szCs w:val="16"/>
              </w:rPr>
              <w:t>Male</w:t>
            </w:r>
          </w:p>
          <w:p w14:paraId="4C4BABF2" w14:textId="77777777" w:rsidR="00850777" w:rsidRPr="00356FED" w:rsidRDefault="00850777" w:rsidP="00034AE6">
            <w:pPr>
              <w:spacing w:line="240" w:lineRule="auto"/>
              <w:jc w:val="center"/>
              <w:rPr>
                <w:sz w:val="16"/>
                <w:szCs w:val="16"/>
              </w:rPr>
            </w:pPr>
            <w:r w:rsidRPr="00356FED">
              <w:rPr>
                <w:sz w:val="16"/>
                <w:szCs w:val="16"/>
              </w:rPr>
              <w:t>Female</w:t>
            </w:r>
          </w:p>
        </w:tc>
        <w:tc>
          <w:tcPr>
            <w:tcW w:w="2551" w:type="dxa"/>
            <w:vAlign w:val="center"/>
          </w:tcPr>
          <w:p w14:paraId="0E104C57" w14:textId="77777777" w:rsidR="00850777" w:rsidRPr="00356FED" w:rsidRDefault="00850777" w:rsidP="00034AE6">
            <w:pPr>
              <w:spacing w:line="240" w:lineRule="auto"/>
              <w:jc w:val="center"/>
              <w:rPr>
                <w:sz w:val="16"/>
                <w:szCs w:val="16"/>
              </w:rPr>
            </w:pPr>
            <w:r w:rsidRPr="00356FED">
              <w:rPr>
                <w:sz w:val="16"/>
                <w:szCs w:val="16"/>
              </w:rPr>
              <w:t>296 (49.3)</w:t>
            </w:r>
          </w:p>
          <w:p w14:paraId="224D6EE3" w14:textId="77777777" w:rsidR="00850777" w:rsidRPr="00356FED" w:rsidRDefault="00850777" w:rsidP="00034AE6">
            <w:pPr>
              <w:spacing w:line="240" w:lineRule="auto"/>
              <w:jc w:val="center"/>
              <w:rPr>
                <w:sz w:val="16"/>
                <w:szCs w:val="16"/>
              </w:rPr>
            </w:pPr>
            <w:r w:rsidRPr="00356FED">
              <w:rPr>
                <w:sz w:val="16"/>
                <w:szCs w:val="16"/>
              </w:rPr>
              <w:t>305 (50.7)</w:t>
            </w:r>
          </w:p>
        </w:tc>
        <w:tc>
          <w:tcPr>
            <w:tcW w:w="2268" w:type="dxa"/>
            <w:vAlign w:val="center"/>
          </w:tcPr>
          <w:p w14:paraId="0FA3C6AC" w14:textId="77777777" w:rsidR="00850777" w:rsidRPr="00356FED" w:rsidRDefault="00850777" w:rsidP="00034AE6">
            <w:pPr>
              <w:spacing w:line="240" w:lineRule="auto"/>
              <w:jc w:val="center"/>
              <w:rPr>
                <w:sz w:val="16"/>
                <w:szCs w:val="16"/>
              </w:rPr>
            </w:pPr>
            <w:r w:rsidRPr="00356FED">
              <w:rPr>
                <w:sz w:val="16"/>
                <w:szCs w:val="16"/>
              </w:rPr>
              <w:t>44</w:t>
            </w:r>
            <w:r>
              <w:rPr>
                <w:sz w:val="16"/>
                <w:szCs w:val="16"/>
              </w:rPr>
              <w:t>,</w:t>
            </w:r>
            <w:r w:rsidRPr="00356FED">
              <w:rPr>
                <w:sz w:val="16"/>
                <w:szCs w:val="16"/>
              </w:rPr>
              <w:t>529 (46.2)</w:t>
            </w:r>
          </w:p>
          <w:p w14:paraId="19095D8C" w14:textId="77777777" w:rsidR="00850777" w:rsidRPr="00356FED" w:rsidRDefault="00850777" w:rsidP="00034AE6">
            <w:pPr>
              <w:spacing w:line="240" w:lineRule="auto"/>
              <w:jc w:val="center"/>
              <w:rPr>
                <w:sz w:val="16"/>
                <w:szCs w:val="16"/>
              </w:rPr>
            </w:pPr>
            <w:r w:rsidRPr="00356FED">
              <w:rPr>
                <w:sz w:val="16"/>
                <w:szCs w:val="16"/>
              </w:rPr>
              <w:t>51</w:t>
            </w:r>
            <w:r>
              <w:rPr>
                <w:sz w:val="16"/>
                <w:szCs w:val="16"/>
              </w:rPr>
              <w:t>,</w:t>
            </w:r>
            <w:r w:rsidRPr="00356FED">
              <w:rPr>
                <w:sz w:val="16"/>
                <w:szCs w:val="16"/>
              </w:rPr>
              <w:t>855 (53.8)</w:t>
            </w:r>
          </w:p>
        </w:tc>
        <w:tc>
          <w:tcPr>
            <w:tcW w:w="935" w:type="dxa"/>
            <w:vAlign w:val="center"/>
          </w:tcPr>
          <w:p w14:paraId="17568C05" w14:textId="77777777" w:rsidR="00850777" w:rsidRPr="00356FED" w:rsidRDefault="00850777" w:rsidP="00034AE6">
            <w:pPr>
              <w:spacing w:line="240" w:lineRule="auto"/>
              <w:jc w:val="center"/>
              <w:rPr>
                <w:sz w:val="16"/>
                <w:szCs w:val="16"/>
              </w:rPr>
            </w:pPr>
            <w:r>
              <w:rPr>
                <w:sz w:val="16"/>
                <w:szCs w:val="16"/>
              </w:rPr>
              <w:t>0.119</w:t>
            </w:r>
          </w:p>
        </w:tc>
      </w:tr>
      <w:tr w:rsidR="00850777" w:rsidRPr="00356FED" w14:paraId="5AB5F659" w14:textId="77777777" w:rsidTr="00276946">
        <w:trPr>
          <w:trHeight w:val="802"/>
        </w:trPr>
        <w:tc>
          <w:tcPr>
            <w:tcW w:w="2263" w:type="dxa"/>
            <w:vAlign w:val="center"/>
          </w:tcPr>
          <w:p w14:paraId="19E6E739" w14:textId="77777777" w:rsidR="00850777" w:rsidRPr="00356FED" w:rsidRDefault="00850777" w:rsidP="00034AE6">
            <w:pPr>
              <w:spacing w:line="240" w:lineRule="auto"/>
              <w:jc w:val="center"/>
              <w:rPr>
                <w:sz w:val="16"/>
                <w:szCs w:val="16"/>
              </w:rPr>
            </w:pPr>
            <w:r>
              <w:rPr>
                <w:sz w:val="16"/>
                <w:szCs w:val="16"/>
              </w:rPr>
              <w:t>Events per year, mean (SD)</w:t>
            </w:r>
          </w:p>
        </w:tc>
        <w:tc>
          <w:tcPr>
            <w:tcW w:w="993" w:type="dxa"/>
            <w:vAlign w:val="center"/>
          </w:tcPr>
          <w:p w14:paraId="4A413851" w14:textId="77777777" w:rsidR="00850777" w:rsidRDefault="00850777" w:rsidP="00034AE6">
            <w:pPr>
              <w:spacing w:line="240" w:lineRule="auto"/>
              <w:jc w:val="center"/>
              <w:rPr>
                <w:sz w:val="16"/>
                <w:szCs w:val="16"/>
              </w:rPr>
            </w:pPr>
            <w:r>
              <w:rPr>
                <w:sz w:val="16"/>
                <w:szCs w:val="16"/>
              </w:rPr>
              <w:t>2013</w:t>
            </w:r>
          </w:p>
          <w:p w14:paraId="431A679F" w14:textId="77777777" w:rsidR="00850777" w:rsidRDefault="00850777" w:rsidP="00034AE6">
            <w:pPr>
              <w:spacing w:line="240" w:lineRule="auto"/>
              <w:jc w:val="center"/>
              <w:rPr>
                <w:sz w:val="16"/>
                <w:szCs w:val="16"/>
              </w:rPr>
            </w:pPr>
            <w:r>
              <w:rPr>
                <w:sz w:val="16"/>
                <w:szCs w:val="16"/>
              </w:rPr>
              <w:t>2014</w:t>
            </w:r>
          </w:p>
          <w:p w14:paraId="670623B0" w14:textId="77777777" w:rsidR="00850777" w:rsidRPr="00356FED" w:rsidRDefault="00850777" w:rsidP="00034AE6">
            <w:pPr>
              <w:spacing w:line="240" w:lineRule="auto"/>
              <w:jc w:val="center"/>
              <w:rPr>
                <w:sz w:val="16"/>
                <w:szCs w:val="16"/>
              </w:rPr>
            </w:pPr>
            <w:r>
              <w:rPr>
                <w:sz w:val="16"/>
                <w:szCs w:val="16"/>
              </w:rPr>
              <w:t>2015</w:t>
            </w:r>
          </w:p>
        </w:tc>
        <w:tc>
          <w:tcPr>
            <w:tcW w:w="2551" w:type="dxa"/>
            <w:vAlign w:val="center"/>
          </w:tcPr>
          <w:p w14:paraId="71940A79" w14:textId="77777777" w:rsidR="00850777" w:rsidRDefault="00850777" w:rsidP="00034AE6">
            <w:pPr>
              <w:spacing w:line="240" w:lineRule="auto"/>
              <w:jc w:val="center"/>
              <w:rPr>
                <w:sz w:val="16"/>
                <w:szCs w:val="16"/>
              </w:rPr>
            </w:pPr>
            <w:r>
              <w:rPr>
                <w:sz w:val="16"/>
                <w:szCs w:val="16"/>
              </w:rPr>
              <w:t>0.9 (2.8)</w:t>
            </w:r>
          </w:p>
          <w:p w14:paraId="5762C79B" w14:textId="77777777" w:rsidR="00850777" w:rsidRDefault="00850777" w:rsidP="00034AE6">
            <w:pPr>
              <w:spacing w:line="240" w:lineRule="auto"/>
              <w:jc w:val="center"/>
              <w:rPr>
                <w:sz w:val="16"/>
                <w:szCs w:val="16"/>
              </w:rPr>
            </w:pPr>
            <w:r>
              <w:rPr>
                <w:sz w:val="16"/>
                <w:szCs w:val="16"/>
              </w:rPr>
              <w:t>1.4 (4.2)</w:t>
            </w:r>
          </w:p>
          <w:p w14:paraId="039064B2" w14:textId="77777777" w:rsidR="00850777" w:rsidRPr="00356FED" w:rsidRDefault="00850777" w:rsidP="00034AE6">
            <w:pPr>
              <w:spacing w:line="240" w:lineRule="auto"/>
              <w:jc w:val="center"/>
              <w:rPr>
                <w:sz w:val="16"/>
                <w:szCs w:val="16"/>
              </w:rPr>
            </w:pPr>
            <w:r>
              <w:rPr>
                <w:sz w:val="16"/>
                <w:szCs w:val="16"/>
              </w:rPr>
              <w:t>1.2 (2.5)</w:t>
            </w:r>
          </w:p>
        </w:tc>
        <w:tc>
          <w:tcPr>
            <w:tcW w:w="2268" w:type="dxa"/>
            <w:vAlign w:val="center"/>
          </w:tcPr>
          <w:p w14:paraId="5573BCE8" w14:textId="77777777" w:rsidR="00850777" w:rsidRPr="00356FED" w:rsidRDefault="00850777" w:rsidP="00034AE6">
            <w:pPr>
              <w:spacing w:line="240" w:lineRule="auto"/>
              <w:jc w:val="center"/>
              <w:rPr>
                <w:sz w:val="16"/>
                <w:szCs w:val="16"/>
              </w:rPr>
            </w:pPr>
            <w:r>
              <w:rPr>
                <w:sz w:val="16"/>
                <w:szCs w:val="16"/>
              </w:rPr>
              <w:t>/</w:t>
            </w:r>
          </w:p>
        </w:tc>
        <w:tc>
          <w:tcPr>
            <w:tcW w:w="935" w:type="dxa"/>
            <w:vAlign w:val="center"/>
          </w:tcPr>
          <w:p w14:paraId="5422EB9E" w14:textId="77777777" w:rsidR="00850777" w:rsidRDefault="00850777" w:rsidP="00034AE6">
            <w:pPr>
              <w:spacing w:line="240" w:lineRule="auto"/>
              <w:jc w:val="center"/>
              <w:rPr>
                <w:sz w:val="16"/>
                <w:szCs w:val="16"/>
              </w:rPr>
            </w:pPr>
          </w:p>
        </w:tc>
      </w:tr>
      <w:tr w:rsidR="00850777" w:rsidRPr="00356FED" w14:paraId="71372154" w14:textId="77777777" w:rsidTr="00276946">
        <w:trPr>
          <w:trHeight w:val="712"/>
        </w:trPr>
        <w:tc>
          <w:tcPr>
            <w:tcW w:w="2263" w:type="dxa"/>
            <w:vAlign w:val="center"/>
          </w:tcPr>
          <w:p w14:paraId="11B88808" w14:textId="77777777" w:rsidR="00850777" w:rsidRDefault="00850777" w:rsidP="00034AE6">
            <w:pPr>
              <w:spacing w:line="240" w:lineRule="auto"/>
              <w:jc w:val="center"/>
              <w:rPr>
                <w:sz w:val="16"/>
                <w:szCs w:val="16"/>
              </w:rPr>
            </w:pPr>
            <w:r>
              <w:rPr>
                <w:sz w:val="16"/>
                <w:szCs w:val="16"/>
              </w:rPr>
              <w:t>Patients ≥5 events a year, n (%)</w:t>
            </w:r>
          </w:p>
        </w:tc>
        <w:tc>
          <w:tcPr>
            <w:tcW w:w="993" w:type="dxa"/>
            <w:vAlign w:val="center"/>
          </w:tcPr>
          <w:p w14:paraId="6F474A42" w14:textId="77777777" w:rsidR="00850777" w:rsidRDefault="00850777" w:rsidP="00034AE6">
            <w:pPr>
              <w:spacing w:line="240" w:lineRule="auto"/>
              <w:jc w:val="center"/>
              <w:rPr>
                <w:sz w:val="16"/>
                <w:szCs w:val="16"/>
              </w:rPr>
            </w:pPr>
            <w:r>
              <w:rPr>
                <w:sz w:val="16"/>
                <w:szCs w:val="16"/>
              </w:rPr>
              <w:t>2013</w:t>
            </w:r>
          </w:p>
          <w:p w14:paraId="1CF8BE64" w14:textId="77777777" w:rsidR="00850777" w:rsidRDefault="00850777" w:rsidP="00034AE6">
            <w:pPr>
              <w:spacing w:line="240" w:lineRule="auto"/>
              <w:jc w:val="center"/>
              <w:rPr>
                <w:sz w:val="16"/>
                <w:szCs w:val="16"/>
              </w:rPr>
            </w:pPr>
            <w:r>
              <w:rPr>
                <w:sz w:val="16"/>
                <w:szCs w:val="16"/>
              </w:rPr>
              <w:t>2014</w:t>
            </w:r>
          </w:p>
          <w:p w14:paraId="0DACB1E9" w14:textId="77777777" w:rsidR="00850777" w:rsidRDefault="00850777" w:rsidP="00034AE6">
            <w:pPr>
              <w:spacing w:line="240" w:lineRule="auto"/>
              <w:jc w:val="center"/>
              <w:rPr>
                <w:sz w:val="16"/>
                <w:szCs w:val="16"/>
              </w:rPr>
            </w:pPr>
            <w:r>
              <w:rPr>
                <w:sz w:val="16"/>
                <w:szCs w:val="16"/>
              </w:rPr>
              <w:t>2015</w:t>
            </w:r>
          </w:p>
        </w:tc>
        <w:tc>
          <w:tcPr>
            <w:tcW w:w="2551" w:type="dxa"/>
            <w:vAlign w:val="center"/>
          </w:tcPr>
          <w:p w14:paraId="3531F83C" w14:textId="77777777" w:rsidR="00850777" w:rsidRDefault="00850777" w:rsidP="00034AE6">
            <w:pPr>
              <w:spacing w:line="240" w:lineRule="auto"/>
              <w:jc w:val="center"/>
              <w:rPr>
                <w:sz w:val="16"/>
                <w:szCs w:val="16"/>
              </w:rPr>
            </w:pPr>
            <w:r>
              <w:rPr>
                <w:sz w:val="16"/>
                <w:szCs w:val="16"/>
              </w:rPr>
              <w:t>4 (3.0%)</w:t>
            </w:r>
          </w:p>
          <w:p w14:paraId="590CDF4D" w14:textId="77777777" w:rsidR="00850777" w:rsidRDefault="00850777" w:rsidP="00034AE6">
            <w:pPr>
              <w:spacing w:line="240" w:lineRule="auto"/>
              <w:jc w:val="center"/>
              <w:rPr>
                <w:sz w:val="16"/>
                <w:szCs w:val="16"/>
              </w:rPr>
            </w:pPr>
            <w:r>
              <w:rPr>
                <w:sz w:val="16"/>
                <w:szCs w:val="16"/>
              </w:rPr>
              <w:t>9 (6.8%)</w:t>
            </w:r>
          </w:p>
          <w:p w14:paraId="5DDF6E14" w14:textId="77777777" w:rsidR="00850777" w:rsidRDefault="00850777" w:rsidP="00034AE6">
            <w:pPr>
              <w:spacing w:line="240" w:lineRule="auto"/>
              <w:jc w:val="center"/>
              <w:rPr>
                <w:sz w:val="16"/>
                <w:szCs w:val="16"/>
              </w:rPr>
            </w:pPr>
            <w:r>
              <w:rPr>
                <w:sz w:val="16"/>
                <w:szCs w:val="16"/>
              </w:rPr>
              <w:t>12 (9.1%)</w:t>
            </w:r>
          </w:p>
        </w:tc>
        <w:tc>
          <w:tcPr>
            <w:tcW w:w="2268" w:type="dxa"/>
            <w:vAlign w:val="center"/>
          </w:tcPr>
          <w:p w14:paraId="5F8EDEB0" w14:textId="77777777" w:rsidR="00850777" w:rsidRDefault="00850777" w:rsidP="00034AE6">
            <w:pPr>
              <w:spacing w:line="240" w:lineRule="auto"/>
              <w:jc w:val="center"/>
              <w:rPr>
                <w:sz w:val="16"/>
                <w:szCs w:val="16"/>
              </w:rPr>
            </w:pPr>
            <w:r>
              <w:rPr>
                <w:sz w:val="16"/>
                <w:szCs w:val="16"/>
              </w:rPr>
              <w:t>/</w:t>
            </w:r>
          </w:p>
        </w:tc>
        <w:tc>
          <w:tcPr>
            <w:tcW w:w="935" w:type="dxa"/>
            <w:vAlign w:val="center"/>
          </w:tcPr>
          <w:p w14:paraId="0701F596" w14:textId="77777777" w:rsidR="00850777" w:rsidRDefault="00850777" w:rsidP="00034AE6">
            <w:pPr>
              <w:spacing w:line="240" w:lineRule="auto"/>
              <w:jc w:val="center"/>
              <w:rPr>
                <w:sz w:val="16"/>
                <w:szCs w:val="16"/>
              </w:rPr>
            </w:pPr>
          </w:p>
        </w:tc>
      </w:tr>
    </w:tbl>
    <w:p w14:paraId="6B06894D" w14:textId="77777777" w:rsidR="00850777" w:rsidRPr="00FB1D25" w:rsidRDefault="00850777" w:rsidP="00A04A97">
      <w:pPr>
        <w:rPr>
          <w:i/>
          <w:iCs/>
        </w:rPr>
      </w:pPr>
      <w:r w:rsidRPr="00FB1D25">
        <w:rPr>
          <w:i/>
          <w:iCs/>
        </w:rPr>
        <w:t>Note:</w:t>
      </w:r>
      <w:r>
        <w:rPr>
          <w:i/>
          <w:iCs/>
        </w:rPr>
        <w:t xml:space="preserve"> p-value set at 0.05 for the independent sample chi-square test. </w:t>
      </w:r>
      <w:r w:rsidRPr="003F551F">
        <w:rPr>
          <w:i/>
          <w:iCs/>
        </w:rPr>
        <w:t xml:space="preserve">Patients </w:t>
      </w:r>
      <w:r>
        <w:rPr>
          <w:i/>
          <w:iCs/>
        </w:rPr>
        <w:t xml:space="preserve">with </w:t>
      </w:r>
      <w:r w:rsidRPr="003F551F">
        <w:rPr>
          <w:i/>
          <w:iCs/>
        </w:rPr>
        <w:t xml:space="preserve">≥5 </w:t>
      </w:r>
      <w:r>
        <w:rPr>
          <w:i/>
          <w:iCs/>
        </w:rPr>
        <w:t>annual events are classed as 'high-intensity users (HIU)'.</w:t>
      </w:r>
    </w:p>
    <w:p w14:paraId="74CE3D7D" w14:textId="77777777" w:rsidR="00850777" w:rsidRDefault="00850777" w:rsidP="009C6166">
      <w:pPr>
        <w:rPr>
          <w:rFonts w:eastAsia="Calibri"/>
        </w:rPr>
      </w:pPr>
    </w:p>
    <w:p w14:paraId="2719E19E" w14:textId="77777777" w:rsidR="00850777" w:rsidRDefault="00850777" w:rsidP="009C6166">
      <w:pPr>
        <w:rPr>
          <w:rFonts w:eastAsia="Calibri"/>
        </w:rPr>
      </w:pPr>
    </w:p>
    <w:p w14:paraId="67F83A18" w14:textId="77777777" w:rsidR="00A9076C" w:rsidRDefault="00A9076C">
      <w:pPr>
        <w:spacing w:line="240" w:lineRule="auto"/>
        <w:jc w:val="left"/>
        <w:rPr>
          <w:rFonts w:eastAsia="Calibri"/>
        </w:rPr>
      </w:pPr>
      <w:r>
        <w:rPr>
          <w:rFonts w:eastAsia="Calibri"/>
        </w:rPr>
        <w:br w:type="page"/>
      </w:r>
    </w:p>
    <w:p w14:paraId="26F131F5" w14:textId="105D57A6" w:rsidR="00850777" w:rsidRPr="00D55AF1" w:rsidRDefault="00850777" w:rsidP="009C6166">
      <w:pPr>
        <w:rPr>
          <w:rFonts w:eastAsia="Calibri"/>
          <w:i/>
          <w:iCs/>
        </w:rPr>
      </w:pPr>
      <w:r w:rsidRPr="00D55AF1">
        <w:rPr>
          <w:rFonts w:eastAsia="Calibri"/>
        </w:rPr>
        <w:lastRenderedPageBreak/>
        <w:t xml:space="preserve">Figure </w:t>
      </w:r>
      <w:r>
        <w:rPr>
          <w:rFonts w:eastAsia="Calibri"/>
        </w:rPr>
        <w:t>7</w:t>
      </w:r>
      <w:r w:rsidRPr="00D55AF1">
        <w:rPr>
          <w:rFonts w:eastAsia="Calibri"/>
        </w:rPr>
        <w:t>.</w:t>
      </w:r>
      <w:r>
        <w:rPr>
          <w:rFonts w:eastAsia="Calibri"/>
        </w:rPr>
        <w:t xml:space="preserve"> </w:t>
      </w:r>
      <w:r w:rsidRPr="00D55AF1">
        <w:rPr>
          <w:rFonts w:eastAsia="Calibri"/>
        </w:rPr>
        <w:t xml:space="preserve">Age structure for FNSD patients in the Sheffield Psychotherapy cohort and the general population living within </w:t>
      </w:r>
      <w:r>
        <w:rPr>
          <w:rFonts w:eastAsia="Calibri"/>
        </w:rPr>
        <w:t xml:space="preserve">the </w:t>
      </w:r>
      <w:r w:rsidRPr="00D55AF1">
        <w:rPr>
          <w:rFonts w:eastAsia="Calibri"/>
        </w:rPr>
        <w:t>Sheffield CCG area between 2013 and 2015.</w:t>
      </w:r>
    </w:p>
    <w:p w14:paraId="0E164964" w14:textId="77777777" w:rsidR="00850777" w:rsidRDefault="00850777" w:rsidP="00773B82">
      <w:r>
        <w:rPr>
          <w:noProof/>
          <w14:ligatures w14:val="standardContextual"/>
        </w:rPr>
        <mc:AlternateContent>
          <mc:Choice Requires="wpg">
            <w:drawing>
              <wp:anchor distT="0" distB="0" distL="114300" distR="114300" simplePos="0" relativeHeight="251672576" behindDoc="0" locked="0" layoutInCell="1" allowOverlap="1" wp14:anchorId="65FF7846" wp14:editId="2E40169C">
                <wp:simplePos x="0" y="0"/>
                <wp:positionH relativeFrom="column">
                  <wp:posOffset>-779145</wp:posOffset>
                </wp:positionH>
                <wp:positionV relativeFrom="paragraph">
                  <wp:posOffset>252095</wp:posOffset>
                </wp:positionV>
                <wp:extent cx="7110730" cy="2697480"/>
                <wp:effectExtent l="0" t="0" r="1270" b="0"/>
                <wp:wrapSquare wrapText="bothSides"/>
                <wp:docPr id="1370730310" name="Group 1"/>
                <wp:cNvGraphicFramePr/>
                <a:graphic xmlns:a="http://schemas.openxmlformats.org/drawingml/2006/main">
                  <a:graphicData uri="http://schemas.microsoft.com/office/word/2010/wordprocessingGroup">
                    <wpg:wgp>
                      <wpg:cNvGrpSpPr/>
                      <wpg:grpSpPr>
                        <a:xfrm>
                          <a:off x="0" y="0"/>
                          <a:ext cx="7110730" cy="2697480"/>
                          <a:chOff x="0" y="0"/>
                          <a:chExt cx="7121491" cy="2067560"/>
                        </a:xfrm>
                      </wpg:grpSpPr>
                      <pic:pic xmlns:pic="http://schemas.openxmlformats.org/drawingml/2006/picture">
                        <pic:nvPicPr>
                          <pic:cNvPr id="1663724540" name="Picture 4" descr="A picture containing diagram, screenshot, line, plot&#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597779" y="0"/>
                            <a:ext cx="3523712" cy="2021994"/>
                          </a:xfrm>
                          <a:prstGeom prst="rect">
                            <a:avLst/>
                          </a:prstGeom>
                        </pic:spPr>
                      </pic:pic>
                      <pic:pic xmlns:pic="http://schemas.openxmlformats.org/drawingml/2006/picture">
                        <pic:nvPicPr>
                          <pic:cNvPr id="1759050656" name="Picture 3" descr="A picture containing diagram, screenshot, line, plot&#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79135" cy="2067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D43282" id="Group 1" o:spid="_x0000_s1026" style="position:absolute;margin-left:-61.35pt;margin-top:19.85pt;width:559.9pt;height:212.4pt;z-index:251672576;mso-width-relative:margin;mso-height-relative:margin" coordsize="71214,206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">
                <v:shape id="Picture 4" o:spid="_x0000_s1027" type="#_x0000_t75" alt="A picture containing diagram, screenshot, line, plot&#10;&#10;Description automatically generated" style="position:absolute;left:35977;width:35237;height:20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">
                  <v:imagedata r:id="rId42" o:title="A picture containing diagram, screenshot, line, plot&#10;&#10;Description automatically generated"/>
                </v:shape>
                <v:shape id="Picture 3" o:spid="_x0000_s1028" type="#_x0000_t75" alt="A picture containing diagram, screenshot, line, plot&#10;&#10;Description automatically generated" style="position:absolute;width:34791;height:20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">
                  <v:imagedata r:id="rId43" o:title="A picture containing diagram, screenshot, line, plot&#10;&#10;Description automatically generated"/>
                </v:shape>
                <w10:wrap type="square"/>
              </v:group>
            </w:pict>
          </mc:Fallback>
        </mc:AlternateContent>
      </w:r>
    </w:p>
    <w:p w14:paraId="0CFB6566" w14:textId="77777777" w:rsidR="00A9076C" w:rsidRDefault="00A9076C" w:rsidP="00263F31">
      <w:pPr>
        <w:pStyle w:val="Heading4"/>
      </w:pPr>
    </w:p>
    <w:p w14:paraId="080A3C73" w14:textId="38D98CCD" w:rsidR="00850777" w:rsidRPr="00FB1D25" w:rsidRDefault="00850777" w:rsidP="00263F31">
      <w:pPr>
        <w:pStyle w:val="Heading4"/>
      </w:pPr>
      <w:r>
        <w:t>4.</w:t>
      </w:r>
      <w:r w:rsidRPr="00ED26D2">
        <w:t>3.</w:t>
      </w:r>
      <w:r>
        <w:t>2.4</w:t>
      </w:r>
      <w:r w:rsidRPr="00ED26D2">
        <w:t xml:space="preserve"> Standardised rates: a cross-sectional comparison between groups</w:t>
      </w:r>
    </w:p>
    <w:p w14:paraId="0BBDC752" w14:textId="6BA6ACD7" w:rsidR="00850777" w:rsidRPr="007F3D83" w:rsidRDefault="00850777" w:rsidP="00D52255">
      <w:r w:rsidRPr="007F3D83">
        <w:t>Compared with the general population, rates of use and the proportion of people utilising the 111, AMB</w:t>
      </w:r>
      <w:r>
        <w:t>,</w:t>
      </w:r>
      <w:r w:rsidRPr="007F3D83">
        <w:t xml:space="preserve"> and AE emergency service</w:t>
      </w:r>
      <w:r>
        <w:t>s</w:t>
      </w:r>
      <w:r w:rsidRPr="007F3D83">
        <w:t xml:space="preserve"> were generally higher in men and women with FNSD than </w:t>
      </w:r>
      <w:r>
        <w:t xml:space="preserve">in </w:t>
      </w:r>
      <w:r w:rsidRPr="007F3D83">
        <w:t xml:space="preserve">the general population (Table </w:t>
      </w:r>
      <w:r w:rsidR="00DB0C1B">
        <w:t>38</w:t>
      </w:r>
      <w:r w:rsidRPr="007F3D83">
        <w:t xml:space="preserve"> and </w:t>
      </w:r>
      <w:r w:rsidR="00DB0C1B">
        <w:t>39</w:t>
      </w:r>
      <w:r w:rsidRPr="007F3D83">
        <w:t xml:space="preserve"> </w:t>
      </w:r>
      <w:r>
        <w:t>(</w:t>
      </w:r>
      <w:r w:rsidRPr="007F3D83">
        <w:t xml:space="preserve">Appendix </w:t>
      </w:r>
      <w:r>
        <w:t>E for stratified rates</w:t>
      </w:r>
      <w:r w:rsidRPr="007F3D83">
        <w:t xml:space="preserve">). </w:t>
      </w:r>
    </w:p>
    <w:p w14:paraId="0A944978" w14:textId="77777777" w:rsidR="00850777" w:rsidRPr="007F3D83" w:rsidRDefault="00850777" w:rsidP="00D52255">
      <w:r>
        <w:t>T</w:t>
      </w:r>
      <w:r w:rsidRPr="007F3D83">
        <w:t>he calculated indirect standardised rates for the FNSD patient group provide those expected if the FNSD population had the same age and sex distribution as the general population.</w:t>
      </w:r>
      <w:r>
        <w:t xml:space="preserve"> These</w:t>
      </w:r>
      <w:r w:rsidRPr="007F3D83">
        <w:t xml:space="preserve"> rates indicated that the FNSD cohort </w:t>
      </w:r>
      <w:r>
        <w:t>used</w:t>
      </w:r>
      <w:r w:rsidRPr="007F3D83">
        <w:t xml:space="preserve"> </w:t>
      </w:r>
      <w:r>
        <w:t>the 3</w:t>
      </w:r>
      <w:r w:rsidRPr="007F3D83">
        <w:t xml:space="preserve"> UEC services </w:t>
      </w:r>
      <w:r>
        <w:t xml:space="preserve">more </w:t>
      </w:r>
      <w:r w:rsidRPr="007F3D83">
        <w:t>than the general population</w:t>
      </w:r>
      <w:r>
        <w:t xml:space="preserve"> in all study years</w:t>
      </w:r>
      <w:r w:rsidRPr="007F3D83">
        <w:t>.</w:t>
      </w:r>
      <w:r>
        <w:t xml:space="preserve"> </w:t>
      </w:r>
      <w:r w:rsidRPr="007F3D83">
        <w:t>Utilisation rates per 1</w:t>
      </w:r>
      <w:r>
        <w:t>,</w:t>
      </w:r>
      <w:r w:rsidRPr="007F3D83">
        <w:t>000 p</w:t>
      </w:r>
      <w:r>
        <w:t xml:space="preserve">erson-years </w:t>
      </w:r>
      <w:r w:rsidRPr="007F3D83">
        <w:t xml:space="preserve">were around 23 times higher in the FNSD cohort for NHS 111 calls, nearly 60 times higher for ambulance callouts, and 31 times higher for A&amp;E attendance </w:t>
      </w:r>
      <w:r>
        <w:t>than</w:t>
      </w:r>
      <w:r w:rsidRPr="007F3D83">
        <w:t xml:space="preserve"> the general population.</w:t>
      </w:r>
      <w:r>
        <w:t xml:space="preserve"> Regarding the proportion </w:t>
      </w:r>
      <w:r w:rsidRPr="007F3D83">
        <w:t xml:space="preserve">of unique users, higher rates in the FNSD cohort were observed, at 8, 16 and 4-fold </w:t>
      </w:r>
      <w:r>
        <w:t xml:space="preserve">thresholds </w:t>
      </w:r>
      <w:r w:rsidRPr="007F3D83">
        <w:t>for 111, AMB and AE services</w:t>
      </w:r>
      <w:r>
        <w:t>, respectively</w:t>
      </w:r>
      <w:r w:rsidRPr="007F3D83">
        <w:t>.</w:t>
      </w:r>
      <w:r>
        <w:t xml:space="preserve"> </w:t>
      </w:r>
      <w:r w:rsidRPr="007F3D83">
        <w:t>Standardised ratios were larger for usage rates than the proportion of users per 1</w:t>
      </w:r>
      <w:r>
        <w:t>,</w:t>
      </w:r>
      <w:r w:rsidRPr="007F3D83">
        <w:t>000 population and for ambulance callouts and A&amp;E attendances than NHS 111 calls.</w:t>
      </w:r>
    </w:p>
    <w:p w14:paraId="75D3284E" w14:textId="77777777" w:rsidR="00850777" w:rsidRDefault="00850777" w:rsidP="00263F31">
      <w:pPr>
        <w:pStyle w:val="Heading4"/>
        <w:rPr>
          <w:rFonts w:ascii="Avenir Book" w:eastAsia="Calibri" w:hAnsi="Avenir Book" w:cs="Calibri"/>
          <w:i w:val="0"/>
          <w:iCs w:val="0"/>
          <w:color w:val="auto"/>
        </w:rPr>
      </w:pPr>
    </w:p>
    <w:p w14:paraId="40BE1C84" w14:textId="77777777" w:rsidR="00850777" w:rsidRPr="003562A2" w:rsidRDefault="00850777" w:rsidP="00837A26">
      <w:pPr>
        <w:spacing w:after="240" w:line="240" w:lineRule="auto"/>
        <w:rPr>
          <w:rFonts w:eastAsia="Calibri"/>
          <w:i/>
          <w:iCs/>
        </w:rPr>
      </w:pPr>
      <w:r w:rsidRPr="003562A2">
        <w:rPr>
          <w:rFonts w:eastAsia="Calibri"/>
        </w:rPr>
        <w:t xml:space="preserve">Table </w:t>
      </w:r>
      <w:r>
        <w:rPr>
          <w:rFonts w:eastAsia="Calibri"/>
          <w:i/>
          <w:iCs/>
        </w:rPr>
        <w:t>16</w:t>
      </w:r>
      <w:r w:rsidRPr="003562A2">
        <w:rPr>
          <w:rFonts w:eastAsia="Calibri"/>
        </w:rPr>
        <w:t>a.</w:t>
      </w:r>
      <w:r>
        <w:rPr>
          <w:rFonts w:eastAsia="Calibri"/>
        </w:rPr>
        <w:t xml:space="preserve"> </w:t>
      </w:r>
      <w:r w:rsidRPr="003562A2">
        <w:rPr>
          <w:rFonts w:eastAsia="Calibri"/>
        </w:rPr>
        <w:t xml:space="preserve">Indirectly standardised </w:t>
      </w:r>
      <w:r>
        <w:rPr>
          <w:rFonts w:eastAsia="Calibri"/>
        </w:rPr>
        <w:t xml:space="preserve">rates </w:t>
      </w:r>
      <w:r w:rsidRPr="003562A2">
        <w:rPr>
          <w:rFonts w:eastAsia="Calibri"/>
        </w:rPr>
        <w:t xml:space="preserve">of </w:t>
      </w:r>
      <w:r>
        <w:rPr>
          <w:rFonts w:eastAsia="Calibri"/>
        </w:rPr>
        <w:t>UEC service</w:t>
      </w:r>
      <w:r w:rsidRPr="003562A2">
        <w:rPr>
          <w:rFonts w:eastAsia="Calibri"/>
        </w:rPr>
        <w:t xml:space="preserve"> </w:t>
      </w:r>
      <w:r>
        <w:rPr>
          <w:rFonts w:eastAsia="Calibri"/>
        </w:rPr>
        <w:t xml:space="preserve">use per 1,000 person-years </w:t>
      </w:r>
      <w:r w:rsidRPr="003562A2">
        <w:rPr>
          <w:rFonts w:eastAsia="Calibri"/>
        </w:rPr>
        <w:t>for FNSD patients between 2013-2015</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61"/>
        <w:gridCol w:w="1840"/>
        <w:gridCol w:w="1700"/>
        <w:gridCol w:w="1220"/>
        <w:gridCol w:w="1568"/>
      </w:tblGrid>
      <w:tr w:rsidR="00850777" w:rsidRPr="009771E8" w14:paraId="0E2B85A5" w14:textId="77777777" w:rsidTr="00837A26">
        <w:trPr>
          <w:trHeight w:val="908"/>
          <w:jc w:val="center"/>
        </w:trPr>
        <w:tc>
          <w:tcPr>
            <w:tcW w:w="486" w:type="pct"/>
            <w:shd w:val="clear" w:color="auto" w:fill="auto"/>
            <w:vAlign w:val="center"/>
            <w:hideMark/>
          </w:tcPr>
          <w:p w14:paraId="5858C83F" w14:textId="77777777" w:rsidR="00850777" w:rsidRPr="009771E8" w:rsidRDefault="00850777" w:rsidP="005C6E11">
            <w:pPr>
              <w:spacing w:line="240" w:lineRule="auto"/>
              <w:jc w:val="center"/>
              <w:rPr>
                <w:sz w:val="18"/>
                <w:szCs w:val="18"/>
              </w:rPr>
            </w:pPr>
            <w:r w:rsidRPr="009771E8">
              <w:rPr>
                <w:sz w:val="18"/>
                <w:szCs w:val="18"/>
              </w:rPr>
              <w:lastRenderedPageBreak/>
              <w:t>Service</w:t>
            </w:r>
          </w:p>
        </w:tc>
        <w:tc>
          <w:tcPr>
            <w:tcW w:w="893" w:type="pct"/>
            <w:shd w:val="clear" w:color="auto" w:fill="auto"/>
            <w:vAlign w:val="center"/>
            <w:hideMark/>
          </w:tcPr>
          <w:p w14:paraId="6106FFFD" w14:textId="77777777" w:rsidR="00850777" w:rsidRPr="009771E8" w:rsidRDefault="00850777" w:rsidP="005C6E11">
            <w:pPr>
              <w:spacing w:line="240" w:lineRule="auto"/>
              <w:jc w:val="center"/>
              <w:rPr>
                <w:sz w:val="18"/>
                <w:szCs w:val="18"/>
              </w:rPr>
            </w:pPr>
            <w:r w:rsidRPr="009771E8">
              <w:rPr>
                <w:sz w:val="18"/>
                <w:szCs w:val="18"/>
              </w:rPr>
              <w:t>General population rate (crude)</w:t>
            </w:r>
          </w:p>
        </w:tc>
        <w:tc>
          <w:tcPr>
            <w:tcW w:w="1053" w:type="pct"/>
            <w:shd w:val="clear" w:color="auto" w:fill="auto"/>
            <w:vAlign w:val="center"/>
            <w:hideMark/>
          </w:tcPr>
          <w:p w14:paraId="64976459" w14:textId="77777777" w:rsidR="00850777" w:rsidRPr="009771E8" w:rsidRDefault="00850777" w:rsidP="005C6E11">
            <w:pPr>
              <w:spacing w:line="240" w:lineRule="auto"/>
              <w:jc w:val="center"/>
              <w:rPr>
                <w:sz w:val="18"/>
                <w:szCs w:val="18"/>
              </w:rPr>
            </w:pPr>
            <w:r w:rsidRPr="009771E8">
              <w:rPr>
                <w:sz w:val="18"/>
                <w:szCs w:val="18"/>
              </w:rPr>
              <w:t>FNSD population rate (standardised)</w:t>
            </w:r>
          </w:p>
        </w:tc>
        <w:tc>
          <w:tcPr>
            <w:tcW w:w="973" w:type="pct"/>
            <w:shd w:val="clear" w:color="auto" w:fill="auto"/>
            <w:vAlign w:val="center"/>
            <w:hideMark/>
          </w:tcPr>
          <w:p w14:paraId="1EF1A990" w14:textId="19066560" w:rsidR="00850777" w:rsidRPr="009771E8" w:rsidRDefault="00850777" w:rsidP="005C6E11">
            <w:pPr>
              <w:spacing w:line="240" w:lineRule="auto"/>
              <w:jc w:val="center"/>
              <w:rPr>
                <w:sz w:val="18"/>
                <w:szCs w:val="18"/>
              </w:rPr>
            </w:pPr>
            <w:r w:rsidRPr="009771E8">
              <w:rPr>
                <w:sz w:val="18"/>
                <w:szCs w:val="18"/>
              </w:rPr>
              <w:t>95% C</w:t>
            </w:r>
            <w:r w:rsidR="004564B0">
              <w:rPr>
                <w:sz w:val="18"/>
                <w:szCs w:val="18"/>
              </w:rPr>
              <w:t>I</w:t>
            </w:r>
          </w:p>
        </w:tc>
        <w:tc>
          <w:tcPr>
            <w:tcW w:w="698" w:type="pct"/>
            <w:tcBorders>
              <w:bottom w:val="single" w:sz="4" w:space="0" w:color="auto"/>
            </w:tcBorders>
            <w:shd w:val="clear" w:color="auto" w:fill="auto"/>
            <w:vAlign w:val="center"/>
            <w:hideMark/>
          </w:tcPr>
          <w:p w14:paraId="3802BD20" w14:textId="77777777" w:rsidR="00850777" w:rsidRPr="009771E8" w:rsidRDefault="00850777" w:rsidP="00533A9E">
            <w:pPr>
              <w:spacing w:line="240" w:lineRule="auto"/>
              <w:jc w:val="center"/>
              <w:rPr>
                <w:sz w:val="18"/>
                <w:szCs w:val="18"/>
              </w:rPr>
            </w:pPr>
            <w:r w:rsidRPr="009771E8">
              <w:rPr>
                <w:sz w:val="18"/>
                <w:szCs w:val="18"/>
              </w:rPr>
              <w:t>Rate ratio</w:t>
            </w:r>
          </w:p>
        </w:tc>
        <w:tc>
          <w:tcPr>
            <w:tcW w:w="898" w:type="pct"/>
            <w:tcBorders>
              <w:bottom w:val="single" w:sz="4" w:space="0" w:color="auto"/>
            </w:tcBorders>
            <w:vAlign w:val="center"/>
          </w:tcPr>
          <w:p w14:paraId="5C1E36DC" w14:textId="77777777" w:rsidR="00850777" w:rsidRPr="009771E8" w:rsidRDefault="00850777" w:rsidP="00533A9E">
            <w:pPr>
              <w:spacing w:line="240" w:lineRule="auto"/>
              <w:jc w:val="center"/>
              <w:rPr>
                <w:sz w:val="18"/>
                <w:szCs w:val="18"/>
              </w:rPr>
            </w:pPr>
            <w:r w:rsidRPr="009771E8">
              <w:rPr>
                <w:sz w:val="18"/>
                <w:szCs w:val="18"/>
              </w:rPr>
              <w:t>95% CI</w:t>
            </w:r>
          </w:p>
        </w:tc>
      </w:tr>
      <w:tr w:rsidR="00850777" w:rsidRPr="009771E8" w14:paraId="4495D13B" w14:textId="77777777" w:rsidTr="00837A26">
        <w:trPr>
          <w:trHeight w:val="425"/>
          <w:jc w:val="center"/>
        </w:trPr>
        <w:tc>
          <w:tcPr>
            <w:tcW w:w="486" w:type="pct"/>
            <w:shd w:val="clear" w:color="auto" w:fill="auto"/>
            <w:noWrap/>
            <w:vAlign w:val="center"/>
            <w:hideMark/>
          </w:tcPr>
          <w:p w14:paraId="36B2B7C0" w14:textId="77777777" w:rsidR="00850777" w:rsidRPr="009771E8" w:rsidRDefault="00850777" w:rsidP="00A04A97">
            <w:pPr>
              <w:spacing w:line="240" w:lineRule="auto"/>
              <w:jc w:val="center"/>
              <w:rPr>
                <w:sz w:val="18"/>
                <w:szCs w:val="18"/>
              </w:rPr>
            </w:pPr>
            <w:r w:rsidRPr="009771E8">
              <w:rPr>
                <w:sz w:val="18"/>
                <w:szCs w:val="18"/>
              </w:rPr>
              <w:t>111</w:t>
            </w:r>
          </w:p>
        </w:tc>
        <w:tc>
          <w:tcPr>
            <w:tcW w:w="893" w:type="pct"/>
            <w:shd w:val="clear" w:color="auto" w:fill="auto"/>
            <w:noWrap/>
            <w:vAlign w:val="center"/>
            <w:hideMark/>
          </w:tcPr>
          <w:p w14:paraId="01400C0F" w14:textId="77777777" w:rsidR="00850777" w:rsidRPr="009771E8" w:rsidRDefault="00850777" w:rsidP="00A04A97">
            <w:pPr>
              <w:spacing w:line="240" w:lineRule="auto"/>
              <w:jc w:val="center"/>
              <w:rPr>
                <w:sz w:val="18"/>
                <w:szCs w:val="18"/>
              </w:rPr>
            </w:pPr>
            <w:r>
              <w:rPr>
                <w:sz w:val="18"/>
                <w:szCs w:val="18"/>
              </w:rPr>
              <w:t>39.7</w:t>
            </w:r>
          </w:p>
        </w:tc>
        <w:tc>
          <w:tcPr>
            <w:tcW w:w="1053" w:type="pct"/>
            <w:shd w:val="clear" w:color="auto" w:fill="auto"/>
            <w:noWrap/>
            <w:vAlign w:val="center"/>
            <w:hideMark/>
          </w:tcPr>
          <w:p w14:paraId="111B3D9F" w14:textId="77777777" w:rsidR="00850777" w:rsidRPr="009771E8" w:rsidRDefault="00850777" w:rsidP="00A04A97">
            <w:pPr>
              <w:spacing w:line="240" w:lineRule="auto"/>
              <w:jc w:val="center"/>
              <w:rPr>
                <w:sz w:val="18"/>
                <w:szCs w:val="18"/>
              </w:rPr>
            </w:pPr>
            <w:r>
              <w:rPr>
                <w:rFonts w:ascii="Century Gothic" w:hAnsi="Century Gothic"/>
                <w:color w:val="000000"/>
                <w:sz w:val="18"/>
                <w:szCs w:val="18"/>
              </w:rPr>
              <w:t>904.5</w:t>
            </w:r>
          </w:p>
        </w:tc>
        <w:tc>
          <w:tcPr>
            <w:tcW w:w="973" w:type="pct"/>
            <w:shd w:val="clear" w:color="auto" w:fill="auto"/>
            <w:noWrap/>
            <w:vAlign w:val="center"/>
            <w:hideMark/>
          </w:tcPr>
          <w:p w14:paraId="5D17A9A5" w14:textId="77777777" w:rsidR="00850777" w:rsidRPr="009771E8" w:rsidRDefault="00850777" w:rsidP="00A04A97">
            <w:pPr>
              <w:spacing w:line="240" w:lineRule="auto"/>
              <w:jc w:val="center"/>
              <w:rPr>
                <w:sz w:val="18"/>
                <w:szCs w:val="18"/>
              </w:rPr>
            </w:pPr>
            <w:r>
              <w:rPr>
                <w:rFonts w:ascii="Century Gothic" w:hAnsi="Century Gothic"/>
                <w:color w:val="000000"/>
                <w:sz w:val="18"/>
                <w:szCs w:val="18"/>
              </w:rPr>
              <w:t>832.3, 981.4</w:t>
            </w:r>
          </w:p>
        </w:tc>
        <w:tc>
          <w:tcPr>
            <w:tcW w:w="698" w:type="pct"/>
            <w:tcBorders>
              <w:top w:val="single" w:sz="4" w:space="0" w:color="auto"/>
              <w:left w:val="nil"/>
              <w:bottom w:val="single" w:sz="4" w:space="0" w:color="auto"/>
              <w:right w:val="single" w:sz="4" w:space="0" w:color="auto"/>
            </w:tcBorders>
            <w:shd w:val="clear" w:color="auto" w:fill="auto"/>
            <w:noWrap/>
            <w:vAlign w:val="center"/>
          </w:tcPr>
          <w:p w14:paraId="6FD3FCB6" w14:textId="77777777" w:rsidR="00850777" w:rsidRPr="009771E8" w:rsidRDefault="00850777" w:rsidP="00A04A97">
            <w:pPr>
              <w:spacing w:line="240" w:lineRule="auto"/>
              <w:jc w:val="center"/>
              <w:rPr>
                <w:sz w:val="18"/>
                <w:szCs w:val="18"/>
              </w:rPr>
            </w:pPr>
            <w:r w:rsidRPr="009771E8">
              <w:rPr>
                <w:rFonts w:ascii="Century Gothic" w:hAnsi="Century Gothic"/>
                <w:color w:val="000000"/>
                <w:sz w:val="18"/>
                <w:szCs w:val="18"/>
              </w:rPr>
              <w:t>22.8</w:t>
            </w:r>
          </w:p>
        </w:tc>
        <w:tc>
          <w:tcPr>
            <w:tcW w:w="898" w:type="pct"/>
            <w:tcBorders>
              <w:top w:val="single" w:sz="4" w:space="0" w:color="auto"/>
              <w:left w:val="nil"/>
              <w:bottom w:val="single" w:sz="4" w:space="0" w:color="auto"/>
              <w:right w:val="single" w:sz="4" w:space="0" w:color="auto"/>
            </w:tcBorders>
            <w:vAlign w:val="center"/>
          </w:tcPr>
          <w:p w14:paraId="3292CB81" w14:textId="77777777" w:rsidR="00850777" w:rsidRPr="009771E8" w:rsidRDefault="00850777" w:rsidP="00384F4B">
            <w:pPr>
              <w:spacing w:line="240" w:lineRule="auto"/>
              <w:jc w:val="center"/>
              <w:rPr>
                <w:rFonts w:ascii="Century Gothic" w:hAnsi="Century Gothic"/>
                <w:color w:val="000000"/>
                <w:sz w:val="18"/>
                <w:szCs w:val="18"/>
              </w:rPr>
            </w:pPr>
            <w:r w:rsidRPr="009771E8">
              <w:rPr>
                <w:rFonts w:ascii="Century Gothic" w:hAnsi="Century Gothic"/>
                <w:color w:val="000000"/>
                <w:sz w:val="18"/>
                <w:szCs w:val="18"/>
              </w:rPr>
              <w:t>20.0, 26.0</w:t>
            </w:r>
          </w:p>
        </w:tc>
      </w:tr>
      <w:tr w:rsidR="00850777" w:rsidRPr="009771E8" w14:paraId="01528A65" w14:textId="77777777" w:rsidTr="00837A26">
        <w:trPr>
          <w:trHeight w:val="403"/>
          <w:jc w:val="center"/>
        </w:trPr>
        <w:tc>
          <w:tcPr>
            <w:tcW w:w="486" w:type="pct"/>
            <w:shd w:val="clear" w:color="auto" w:fill="auto"/>
            <w:noWrap/>
            <w:vAlign w:val="center"/>
            <w:hideMark/>
          </w:tcPr>
          <w:p w14:paraId="42889535" w14:textId="77777777" w:rsidR="00850777" w:rsidRPr="009771E8" w:rsidRDefault="00850777" w:rsidP="00A04A97">
            <w:pPr>
              <w:spacing w:line="240" w:lineRule="auto"/>
              <w:jc w:val="center"/>
              <w:rPr>
                <w:sz w:val="18"/>
                <w:szCs w:val="18"/>
              </w:rPr>
            </w:pPr>
            <w:r w:rsidRPr="009771E8">
              <w:rPr>
                <w:sz w:val="18"/>
                <w:szCs w:val="18"/>
              </w:rPr>
              <w:t>AMB</w:t>
            </w:r>
          </w:p>
        </w:tc>
        <w:tc>
          <w:tcPr>
            <w:tcW w:w="893" w:type="pct"/>
            <w:shd w:val="clear" w:color="auto" w:fill="auto"/>
            <w:noWrap/>
            <w:vAlign w:val="center"/>
            <w:hideMark/>
          </w:tcPr>
          <w:p w14:paraId="0CD0E4C1" w14:textId="77777777" w:rsidR="00850777" w:rsidRPr="009771E8" w:rsidRDefault="00850777" w:rsidP="00A04A97">
            <w:pPr>
              <w:spacing w:line="240" w:lineRule="auto"/>
              <w:jc w:val="center"/>
              <w:rPr>
                <w:sz w:val="18"/>
                <w:szCs w:val="18"/>
              </w:rPr>
            </w:pPr>
            <w:r>
              <w:rPr>
                <w:sz w:val="18"/>
                <w:szCs w:val="18"/>
              </w:rPr>
              <w:t>22.9</w:t>
            </w:r>
          </w:p>
        </w:tc>
        <w:tc>
          <w:tcPr>
            <w:tcW w:w="1053" w:type="pct"/>
            <w:shd w:val="clear" w:color="auto" w:fill="auto"/>
            <w:noWrap/>
            <w:vAlign w:val="center"/>
            <w:hideMark/>
          </w:tcPr>
          <w:p w14:paraId="44E47311" w14:textId="77777777" w:rsidR="00850777" w:rsidRPr="009771E8" w:rsidRDefault="00850777" w:rsidP="00A04A97">
            <w:pPr>
              <w:spacing w:line="240" w:lineRule="auto"/>
              <w:jc w:val="center"/>
              <w:rPr>
                <w:sz w:val="18"/>
                <w:szCs w:val="18"/>
              </w:rPr>
            </w:pPr>
            <w:r>
              <w:rPr>
                <w:sz w:val="18"/>
                <w:szCs w:val="18"/>
              </w:rPr>
              <w:t>1362.3</w:t>
            </w:r>
          </w:p>
        </w:tc>
        <w:tc>
          <w:tcPr>
            <w:tcW w:w="973" w:type="pct"/>
            <w:shd w:val="clear" w:color="auto" w:fill="auto"/>
            <w:noWrap/>
            <w:vAlign w:val="center"/>
            <w:hideMark/>
          </w:tcPr>
          <w:p w14:paraId="0B1F1A70" w14:textId="77777777" w:rsidR="00850777" w:rsidRPr="009771E8" w:rsidRDefault="00850777" w:rsidP="00A04A97">
            <w:pPr>
              <w:spacing w:line="240" w:lineRule="auto"/>
              <w:jc w:val="center"/>
              <w:rPr>
                <w:sz w:val="18"/>
                <w:szCs w:val="18"/>
              </w:rPr>
            </w:pPr>
            <w:r>
              <w:rPr>
                <w:sz w:val="18"/>
                <w:szCs w:val="18"/>
              </w:rPr>
              <w:t>1255.5, 1475.7</w:t>
            </w:r>
          </w:p>
        </w:tc>
        <w:tc>
          <w:tcPr>
            <w:tcW w:w="698" w:type="pct"/>
            <w:tcBorders>
              <w:top w:val="single" w:sz="4" w:space="0" w:color="auto"/>
              <w:left w:val="nil"/>
              <w:bottom w:val="single" w:sz="4" w:space="0" w:color="auto"/>
              <w:right w:val="single" w:sz="4" w:space="0" w:color="auto"/>
            </w:tcBorders>
            <w:shd w:val="clear" w:color="auto" w:fill="auto"/>
            <w:noWrap/>
            <w:vAlign w:val="center"/>
          </w:tcPr>
          <w:p w14:paraId="4345E433" w14:textId="77777777" w:rsidR="00850777" w:rsidRPr="009771E8" w:rsidRDefault="00850777" w:rsidP="00A04A97">
            <w:pPr>
              <w:spacing w:line="240" w:lineRule="auto"/>
              <w:jc w:val="center"/>
              <w:rPr>
                <w:sz w:val="18"/>
                <w:szCs w:val="18"/>
              </w:rPr>
            </w:pPr>
            <w:r w:rsidRPr="009771E8">
              <w:rPr>
                <w:rFonts w:ascii="Century Gothic" w:hAnsi="Century Gothic"/>
                <w:color w:val="000000"/>
                <w:sz w:val="18"/>
                <w:szCs w:val="18"/>
              </w:rPr>
              <w:t>59.5</w:t>
            </w:r>
          </w:p>
        </w:tc>
        <w:tc>
          <w:tcPr>
            <w:tcW w:w="898" w:type="pct"/>
            <w:tcBorders>
              <w:top w:val="single" w:sz="4" w:space="0" w:color="auto"/>
              <w:left w:val="nil"/>
              <w:bottom w:val="single" w:sz="4" w:space="0" w:color="auto"/>
              <w:right w:val="single" w:sz="4" w:space="0" w:color="auto"/>
            </w:tcBorders>
            <w:vAlign w:val="center"/>
          </w:tcPr>
          <w:p w14:paraId="6B504421" w14:textId="77777777" w:rsidR="00850777" w:rsidRPr="009771E8" w:rsidRDefault="00850777" w:rsidP="00384F4B">
            <w:pPr>
              <w:spacing w:line="240" w:lineRule="auto"/>
              <w:jc w:val="center"/>
              <w:rPr>
                <w:rFonts w:ascii="Century Gothic" w:hAnsi="Century Gothic"/>
                <w:color w:val="000000"/>
                <w:sz w:val="18"/>
                <w:szCs w:val="18"/>
              </w:rPr>
            </w:pPr>
            <w:r w:rsidRPr="009771E8">
              <w:rPr>
                <w:rFonts w:ascii="Century Gothic" w:hAnsi="Century Gothic"/>
                <w:color w:val="000000"/>
                <w:sz w:val="18"/>
                <w:szCs w:val="18"/>
              </w:rPr>
              <w:t>52.2, 67.9</w:t>
            </w:r>
          </w:p>
        </w:tc>
      </w:tr>
      <w:tr w:rsidR="00850777" w:rsidRPr="009771E8" w14:paraId="0530754E" w14:textId="77777777" w:rsidTr="00837A26">
        <w:trPr>
          <w:trHeight w:val="423"/>
          <w:jc w:val="center"/>
        </w:trPr>
        <w:tc>
          <w:tcPr>
            <w:tcW w:w="486" w:type="pct"/>
            <w:shd w:val="clear" w:color="auto" w:fill="auto"/>
            <w:noWrap/>
            <w:vAlign w:val="center"/>
            <w:hideMark/>
          </w:tcPr>
          <w:p w14:paraId="56940774" w14:textId="77777777" w:rsidR="00850777" w:rsidRPr="009771E8" w:rsidRDefault="00850777" w:rsidP="00A04A97">
            <w:pPr>
              <w:spacing w:line="240" w:lineRule="auto"/>
              <w:jc w:val="center"/>
              <w:rPr>
                <w:sz w:val="18"/>
                <w:szCs w:val="18"/>
              </w:rPr>
            </w:pPr>
            <w:r w:rsidRPr="009771E8">
              <w:rPr>
                <w:sz w:val="18"/>
                <w:szCs w:val="18"/>
              </w:rPr>
              <w:t>AE</w:t>
            </w:r>
          </w:p>
        </w:tc>
        <w:tc>
          <w:tcPr>
            <w:tcW w:w="893" w:type="pct"/>
            <w:shd w:val="clear" w:color="auto" w:fill="auto"/>
            <w:noWrap/>
            <w:vAlign w:val="center"/>
            <w:hideMark/>
          </w:tcPr>
          <w:p w14:paraId="07EEC0EA" w14:textId="77777777" w:rsidR="00850777" w:rsidRPr="009771E8" w:rsidRDefault="00850777" w:rsidP="00A04A97">
            <w:pPr>
              <w:spacing w:line="240" w:lineRule="auto"/>
              <w:jc w:val="center"/>
              <w:rPr>
                <w:sz w:val="18"/>
                <w:szCs w:val="18"/>
              </w:rPr>
            </w:pPr>
            <w:r>
              <w:rPr>
                <w:sz w:val="18"/>
                <w:szCs w:val="18"/>
              </w:rPr>
              <w:t>67.0</w:t>
            </w:r>
          </w:p>
        </w:tc>
        <w:tc>
          <w:tcPr>
            <w:tcW w:w="1053" w:type="pct"/>
            <w:shd w:val="clear" w:color="auto" w:fill="auto"/>
            <w:noWrap/>
            <w:vAlign w:val="center"/>
            <w:hideMark/>
          </w:tcPr>
          <w:p w14:paraId="6D6B92CB" w14:textId="77777777" w:rsidR="00850777" w:rsidRPr="009771E8" w:rsidRDefault="00850777" w:rsidP="00A04A97">
            <w:pPr>
              <w:spacing w:line="240" w:lineRule="auto"/>
              <w:jc w:val="center"/>
              <w:rPr>
                <w:sz w:val="18"/>
                <w:szCs w:val="18"/>
              </w:rPr>
            </w:pPr>
            <w:r>
              <w:rPr>
                <w:sz w:val="18"/>
                <w:szCs w:val="18"/>
              </w:rPr>
              <w:t>2103.9</w:t>
            </w:r>
          </w:p>
        </w:tc>
        <w:tc>
          <w:tcPr>
            <w:tcW w:w="973" w:type="pct"/>
            <w:shd w:val="clear" w:color="auto" w:fill="auto"/>
            <w:noWrap/>
            <w:vAlign w:val="center"/>
            <w:hideMark/>
          </w:tcPr>
          <w:p w14:paraId="52EB6204" w14:textId="77777777" w:rsidR="00850777" w:rsidRPr="009771E8" w:rsidRDefault="00850777" w:rsidP="00A04A97">
            <w:pPr>
              <w:spacing w:line="240" w:lineRule="auto"/>
              <w:jc w:val="center"/>
              <w:rPr>
                <w:sz w:val="18"/>
                <w:szCs w:val="18"/>
              </w:rPr>
            </w:pPr>
            <w:r>
              <w:rPr>
                <w:sz w:val="18"/>
                <w:szCs w:val="18"/>
              </w:rPr>
              <w:t>1987.6, 2225.4</w:t>
            </w:r>
          </w:p>
        </w:tc>
        <w:tc>
          <w:tcPr>
            <w:tcW w:w="698" w:type="pct"/>
            <w:tcBorders>
              <w:top w:val="single" w:sz="4" w:space="0" w:color="auto"/>
              <w:left w:val="nil"/>
              <w:bottom w:val="single" w:sz="4" w:space="0" w:color="auto"/>
              <w:right w:val="single" w:sz="4" w:space="0" w:color="auto"/>
            </w:tcBorders>
            <w:shd w:val="clear" w:color="auto" w:fill="auto"/>
            <w:noWrap/>
            <w:vAlign w:val="center"/>
          </w:tcPr>
          <w:p w14:paraId="2B1C1F6D" w14:textId="77777777" w:rsidR="00850777" w:rsidRPr="009771E8" w:rsidRDefault="00850777" w:rsidP="00A04A97">
            <w:pPr>
              <w:spacing w:line="240" w:lineRule="auto"/>
              <w:jc w:val="center"/>
              <w:rPr>
                <w:sz w:val="18"/>
                <w:szCs w:val="18"/>
              </w:rPr>
            </w:pPr>
            <w:r w:rsidRPr="009771E8">
              <w:rPr>
                <w:rFonts w:ascii="Century Gothic" w:hAnsi="Century Gothic"/>
                <w:color w:val="000000"/>
                <w:sz w:val="18"/>
                <w:szCs w:val="18"/>
              </w:rPr>
              <w:t>31.4</w:t>
            </w:r>
          </w:p>
        </w:tc>
        <w:tc>
          <w:tcPr>
            <w:tcW w:w="898" w:type="pct"/>
            <w:tcBorders>
              <w:top w:val="single" w:sz="4" w:space="0" w:color="auto"/>
              <w:left w:val="nil"/>
              <w:bottom w:val="single" w:sz="4" w:space="0" w:color="auto"/>
              <w:right w:val="single" w:sz="4" w:space="0" w:color="auto"/>
            </w:tcBorders>
            <w:vAlign w:val="center"/>
          </w:tcPr>
          <w:p w14:paraId="70EE689E" w14:textId="77777777" w:rsidR="00850777" w:rsidRPr="009771E8" w:rsidRDefault="00850777" w:rsidP="00384F4B">
            <w:pPr>
              <w:spacing w:line="240" w:lineRule="auto"/>
              <w:jc w:val="center"/>
              <w:rPr>
                <w:rFonts w:ascii="Century Gothic" w:hAnsi="Century Gothic"/>
                <w:color w:val="000000"/>
                <w:sz w:val="18"/>
                <w:szCs w:val="18"/>
              </w:rPr>
            </w:pPr>
            <w:r w:rsidRPr="009771E8">
              <w:rPr>
                <w:rFonts w:ascii="Century Gothic" w:hAnsi="Century Gothic"/>
                <w:color w:val="000000"/>
                <w:sz w:val="18"/>
                <w:szCs w:val="18"/>
              </w:rPr>
              <w:t>27.9, 35.4</w:t>
            </w:r>
          </w:p>
        </w:tc>
      </w:tr>
    </w:tbl>
    <w:p w14:paraId="2F10E736" w14:textId="77777777" w:rsidR="00850777" w:rsidRDefault="00850777" w:rsidP="00776F7F">
      <w:pPr>
        <w:spacing w:line="240" w:lineRule="auto"/>
        <w:rPr>
          <w:i/>
          <w:iCs/>
          <w:sz w:val="18"/>
          <w:szCs w:val="18"/>
        </w:rPr>
      </w:pPr>
    </w:p>
    <w:p w14:paraId="3682CD19" w14:textId="77777777" w:rsidR="00850777" w:rsidRDefault="00850777" w:rsidP="00DF3A69">
      <w:pPr>
        <w:spacing w:line="240" w:lineRule="auto"/>
        <w:jc w:val="center"/>
      </w:pPr>
      <w:r>
        <w:rPr>
          <w:i/>
          <w:iCs/>
          <w:sz w:val="18"/>
          <w:szCs w:val="18"/>
        </w:rPr>
        <w:t>Note: R</w:t>
      </w:r>
      <w:r w:rsidRPr="005C6E11">
        <w:rPr>
          <w:i/>
          <w:iCs/>
          <w:sz w:val="18"/>
          <w:szCs w:val="18"/>
        </w:rPr>
        <w:t>ate</w:t>
      </w:r>
      <w:r>
        <w:rPr>
          <w:i/>
          <w:iCs/>
          <w:sz w:val="18"/>
          <w:szCs w:val="18"/>
        </w:rPr>
        <w:t>s are</w:t>
      </w:r>
      <w:r w:rsidRPr="005C6E11">
        <w:rPr>
          <w:i/>
          <w:iCs/>
          <w:sz w:val="18"/>
          <w:szCs w:val="18"/>
        </w:rPr>
        <w:t xml:space="preserve"> reported per 1000</w:t>
      </w:r>
      <w:r>
        <w:rPr>
          <w:i/>
          <w:iCs/>
          <w:sz w:val="18"/>
          <w:szCs w:val="18"/>
        </w:rPr>
        <w:t xml:space="preserve"> person-years</w:t>
      </w:r>
      <w:r w:rsidRPr="005C6E11">
        <w:rPr>
          <w:i/>
          <w:iCs/>
          <w:sz w:val="18"/>
          <w:szCs w:val="18"/>
        </w:rPr>
        <w:t>.</w:t>
      </w:r>
      <w:r>
        <w:rPr>
          <w:i/>
          <w:iCs/>
          <w:sz w:val="18"/>
          <w:szCs w:val="18"/>
        </w:rPr>
        <w:t xml:space="preserve"> </w:t>
      </w:r>
      <w:r w:rsidRPr="005C6E11">
        <w:rPr>
          <w:i/>
          <w:iCs/>
          <w:sz w:val="18"/>
          <w:szCs w:val="18"/>
        </w:rPr>
        <w:t>95% confidence</w:t>
      </w:r>
      <w:r>
        <w:rPr>
          <w:i/>
          <w:iCs/>
          <w:sz w:val="18"/>
          <w:szCs w:val="18"/>
        </w:rPr>
        <w:t xml:space="preserve"> interval</w:t>
      </w:r>
      <w:r w:rsidRPr="005C6E11">
        <w:rPr>
          <w:i/>
          <w:iCs/>
          <w:sz w:val="18"/>
          <w:szCs w:val="18"/>
        </w:rPr>
        <w:t>.</w:t>
      </w:r>
      <w:r>
        <w:rPr>
          <w:i/>
          <w:iCs/>
          <w:sz w:val="18"/>
          <w:szCs w:val="18"/>
        </w:rPr>
        <w:t xml:space="preserve"> Comparison as a standardised rate ratio = standardised rate ratio (observed/expected).</w:t>
      </w:r>
    </w:p>
    <w:p w14:paraId="530300B0" w14:textId="77777777" w:rsidR="00850777" w:rsidRDefault="00850777" w:rsidP="00263F31"/>
    <w:p w14:paraId="353E3A27" w14:textId="77777777" w:rsidR="00850777" w:rsidRPr="003562A2" w:rsidRDefault="00850777" w:rsidP="009C6166">
      <w:pPr>
        <w:rPr>
          <w:rFonts w:eastAsia="Calibri"/>
          <w:i/>
          <w:iCs/>
        </w:rPr>
      </w:pPr>
      <w:r w:rsidRPr="003562A2">
        <w:rPr>
          <w:rFonts w:eastAsia="Calibri"/>
        </w:rPr>
        <w:t xml:space="preserve">Table </w:t>
      </w:r>
      <w:r>
        <w:rPr>
          <w:rFonts w:eastAsia="Calibri"/>
          <w:i/>
          <w:iCs/>
        </w:rPr>
        <w:t>16</w:t>
      </w:r>
      <w:r w:rsidRPr="003562A2">
        <w:rPr>
          <w:rFonts w:eastAsia="Calibri"/>
        </w:rPr>
        <w:t>b.</w:t>
      </w:r>
      <w:r>
        <w:rPr>
          <w:rFonts w:eastAsia="Calibri"/>
        </w:rPr>
        <w:t xml:space="preserve"> </w:t>
      </w:r>
      <w:r w:rsidRPr="003562A2">
        <w:rPr>
          <w:rFonts w:eastAsia="Calibri"/>
        </w:rPr>
        <w:t xml:space="preserve">Indirectly standardised proportions of </w:t>
      </w:r>
      <w:r>
        <w:rPr>
          <w:rFonts w:eastAsia="Calibri"/>
        </w:rPr>
        <w:t>UEC service use</w:t>
      </w:r>
      <w:r w:rsidRPr="003562A2">
        <w:rPr>
          <w:rFonts w:eastAsia="Calibri"/>
        </w:rPr>
        <w:t xml:space="preserve"> </w:t>
      </w:r>
      <w:r>
        <w:rPr>
          <w:rFonts w:eastAsia="Calibri"/>
        </w:rPr>
        <w:t xml:space="preserve">per 1,000 population </w:t>
      </w:r>
      <w:r w:rsidRPr="003562A2">
        <w:rPr>
          <w:rFonts w:eastAsia="Calibri"/>
        </w:rPr>
        <w:t xml:space="preserve">for FNSD patients between 2013-2015: </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703"/>
        <w:gridCol w:w="1842"/>
        <w:gridCol w:w="1701"/>
        <w:gridCol w:w="1133"/>
        <w:gridCol w:w="1701"/>
      </w:tblGrid>
      <w:tr w:rsidR="00850777" w:rsidRPr="005C6E11" w14:paraId="2766F07F" w14:textId="77777777" w:rsidTr="009771E8">
        <w:trPr>
          <w:trHeight w:val="907"/>
          <w:jc w:val="center"/>
        </w:trPr>
        <w:tc>
          <w:tcPr>
            <w:tcW w:w="473" w:type="pct"/>
            <w:shd w:val="clear" w:color="auto" w:fill="auto"/>
            <w:noWrap/>
            <w:vAlign w:val="center"/>
          </w:tcPr>
          <w:p w14:paraId="2F49B852" w14:textId="77777777" w:rsidR="00850777" w:rsidRPr="005C6E11" w:rsidRDefault="00850777" w:rsidP="00704B3E">
            <w:pPr>
              <w:spacing w:line="240" w:lineRule="auto"/>
              <w:jc w:val="center"/>
              <w:rPr>
                <w:rFonts w:ascii="Avenir Heavy" w:hAnsi="Avenir Heavy"/>
                <w:b/>
                <w:bCs/>
                <w:sz w:val="18"/>
                <w:szCs w:val="18"/>
              </w:rPr>
            </w:pPr>
            <w:r w:rsidRPr="005C6E11">
              <w:rPr>
                <w:sz w:val="18"/>
                <w:szCs w:val="18"/>
              </w:rPr>
              <w:t>Service</w:t>
            </w:r>
          </w:p>
        </w:tc>
        <w:tc>
          <w:tcPr>
            <w:tcW w:w="954" w:type="pct"/>
            <w:shd w:val="clear" w:color="auto" w:fill="auto"/>
            <w:noWrap/>
            <w:vAlign w:val="center"/>
          </w:tcPr>
          <w:p w14:paraId="3A30E693" w14:textId="77777777" w:rsidR="00850777" w:rsidRPr="005C6E11" w:rsidRDefault="00850777" w:rsidP="00704B3E">
            <w:pPr>
              <w:spacing w:line="240" w:lineRule="auto"/>
              <w:jc w:val="center"/>
              <w:rPr>
                <w:sz w:val="18"/>
                <w:szCs w:val="18"/>
              </w:rPr>
            </w:pPr>
            <w:r w:rsidRPr="005C6E11">
              <w:rPr>
                <w:sz w:val="18"/>
                <w:szCs w:val="18"/>
              </w:rPr>
              <w:t>General population proportion (crude)</w:t>
            </w:r>
          </w:p>
        </w:tc>
        <w:tc>
          <w:tcPr>
            <w:tcW w:w="1032" w:type="pct"/>
            <w:shd w:val="clear" w:color="auto" w:fill="auto"/>
            <w:noWrap/>
            <w:vAlign w:val="center"/>
          </w:tcPr>
          <w:p w14:paraId="010A6581" w14:textId="77777777" w:rsidR="00850777" w:rsidRPr="005C6E11" w:rsidRDefault="00850777" w:rsidP="00704B3E">
            <w:pPr>
              <w:spacing w:line="240" w:lineRule="auto"/>
              <w:jc w:val="center"/>
              <w:rPr>
                <w:sz w:val="18"/>
                <w:szCs w:val="18"/>
              </w:rPr>
            </w:pPr>
            <w:r w:rsidRPr="005C6E11">
              <w:rPr>
                <w:sz w:val="18"/>
                <w:szCs w:val="18"/>
              </w:rPr>
              <w:t>FNSD population proportion (standardised)</w:t>
            </w:r>
          </w:p>
        </w:tc>
        <w:tc>
          <w:tcPr>
            <w:tcW w:w="953" w:type="pct"/>
            <w:shd w:val="clear" w:color="auto" w:fill="auto"/>
            <w:noWrap/>
            <w:vAlign w:val="center"/>
          </w:tcPr>
          <w:p w14:paraId="06E4C003" w14:textId="77777777" w:rsidR="00850777" w:rsidRPr="005C6E11" w:rsidRDefault="00850777" w:rsidP="005C6E11">
            <w:pPr>
              <w:spacing w:line="240" w:lineRule="auto"/>
              <w:jc w:val="center"/>
              <w:rPr>
                <w:sz w:val="18"/>
                <w:szCs w:val="18"/>
              </w:rPr>
            </w:pPr>
            <w:r>
              <w:rPr>
                <w:sz w:val="18"/>
                <w:szCs w:val="18"/>
              </w:rPr>
              <w:t xml:space="preserve">95% </w:t>
            </w:r>
            <w:r w:rsidRPr="005C6E11">
              <w:rPr>
                <w:sz w:val="18"/>
                <w:szCs w:val="18"/>
              </w:rPr>
              <w:t>CI</w:t>
            </w:r>
          </w:p>
        </w:tc>
        <w:tc>
          <w:tcPr>
            <w:tcW w:w="635" w:type="pct"/>
            <w:shd w:val="clear" w:color="auto" w:fill="auto"/>
            <w:noWrap/>
            <w:vAlign w:val="center"/>
          </w:tcPr>
          <w:p w14:paraId="10A6E4C6" w14:textId="77777777" w:rsidR="00850777" w:rsidRPr="005C6E11" w:rsidRDefault="00850777" w:rsidP="005C6E11">
            <w:pPr>
              <w:spacing w:line="240" w:lineRule="auto"/>
              <w:jc w:val="center"/>
              <w:rPr>
                <w:sz w:val="18"/>
                <w:szCs w:val="18"/>
              </w:rPr>
            </w:pPr>
            <w:r>
              <w:rPr>
                <w:sz w:val="18"/>
                <w:szCs w:val="18"/>
              </w:rPr>
              <w:t>Proportion</w:t>
            </w:r>
            <w:r w:rsidRPr="005C6E11">
              <w:rPr>
                <w:sz w:val="18"/>
                <w:szCs w:val="18"/>
              </w:rPr>
              <w:t xml:space="preserve"> ratio</w:t>
            </w:r>
          </w:p>
        </w:tc>
        <w:tc>
          <w:tcPr>
            <w:tcW w:w="953" w:type="pct"/>
            <w:vAlign w:val="center"/>
          </w:tcPr>
          <w:p w14:paraId="6DA328F3" w14:textId="77777777" w:rsidR="00850777" w:rsidRDefault="00850777" w:rsidP="00533A9E">
            <w:pPr>
              <w:spacing w:line="240" w:lineRule="auto"/>
              <w:jc w:val="center"/>
              <w:rPr>
                <w:sz w:val="18"/>
                <w:szCs w:val="18"/>
              </w:rPr>
            </w:pPr>
            <w:r>
              <w:rPr>
                <w:sz w:val="18"/>
                <w:szCs w:val="18"/>
              </w:rPr>
              <w:t xml:space="preserve">95% </w:t>
            </w:r>
            <w:r w:rsidRPr="005C6E11">
              <w:rPr>
                <w:sz w:val="18"/>
                <w:szCs w:val="18"/>
              </w:rPr>
              <w:t>CI</w:t>
            </w:r>
          </w:p>
        </w:tc>
      </w:tr>
      <w:tr w:rsidR="00850777" w:rsidRPr="005C6E11" w14:paraId="7E35C043" w14:textId="77777777" w:rsidTr="009771E8">
        <w:trPr>
          <w:trHeight w:val="423"/>
          <w:jc w:val="center"/>
        </w:trPr>
        <w:tc>
          <w:tcPr>
            <w:tcW w:w="473" w:type="pct"/>
            <w:shd w:val="clear" w:color="auto" w:fill="auto"/>
            <w:noWrap/>
            <w:vAlign w:val="center"/>
          </w:tcPr>
          <w:p w14:paraId="3324FDE5" w14:textId="77777777" w:rsidR="00850777" w:rsidRPr="005C6E11" w:rsidRDefault="00850777" w:rsidP="00A04A97">
            <w:pPr>
              <w:spacing w:line="240" w:lineRule="auto"/>
              <w:jc w:val="center"/>
              <w:rPr>
                <w:rFonts w:ascii="Avenir Heavy" w:hAnsi="Avenir Heavy"/>
                <w:b/>
                <w:bCs/>
                <w:sz w:val="18"/>
                <w:szCs w:val="18"/>
              </w:rPr>
            </w:pPr>
            <w:r w:rsidRPr="005C6E11">
              <w:rPr>
                <w:sz w:val="18"/>
                <w:szCs w:val="18"/>
              </w:rPr>
              <w:t>111</w:t>
            </w:r>
          </w:p>
        </w:tc>
        <w:tc>
          <w:tcPr>
            <w:tcW w:w="954" w:type="pct"/>
            <w:shd w:val="clear" w:color="auto" w:fill="auto"/>
            <w:noWrap/>
            <w:vAlign w:val="center"/>
          </w:tcPr>
          <w:p w14:paraId="2D2D1827" w14:textId="77777777" w:rsidR="00850777" w:rsidRPr="005C6E11" w:rsidRDefault="00850777" w:rsidP="00A04A97">
            <w:pPr>
              <w:spacing w:line="240" w:lineRule="auto"/>
              <w:jc w:val="center"/>
              <w:rPr>
                <w:sz w:val="18"/>
                <w:szCs w:val="18"/>
              </w:rPr>
            </w:pPr>
            <w:r w:rsidRPr="005C6E11">
              <w:rPr>
                <w:rFonts w:ascii="Century Gothic" w:hAnsi="Century Gothic"/>
                <w:color w:val="000000"/>
                <w:sz w:val="18"/>
                <w:szCs w:val="18"/>
              </w:rPr>
              <w:t>87</w:t>
            </w:r>
            <w:r>
              <w:rPr>
                <w:rFonts w:ascii="Century Gothic" w:hAnsi="Century Gothic"/>
                <w:color w:val="000000"/>
                <w:sz w:val="18"/>
                <w:szCs w:val="18"/>
              </w:rPr>
              <w:t>.4</w:t>
            </w:r>
          </w:p>
        </w:tc>
        <w:tc>
          <w:tcPr>
            <w:tcW w:w="1032" w:type="pct"/>
            <w:shd w:val="clear" w:color="auto" w:fill="auto"/>
            <w:noWrap/>
            <w:vAlign w:val="center"/>
          </w:tcPr>
          <w:p w14:paraId="36046177" w14:textId="77777777" w:rsidR="00850777" w:rsidRPr="005C6E11" w:rsidRDefault="00850777" w:rsidP="00A04A97">
            <w:pPr>
              <w:spacing w:line="240" w:lineRule="auto"/>
              <w:jc w:val="center"/>
              <w:rPr>
                <w:sz w:val="18"/>
                <w:szCs w:val="18"/>
              </w:rPr>
            </w:pPr>
            <w:r w:rsidRPr="005C6E11">
              <w:rPr>
                <w:rFonts w:ascii="Century Gothic" w:hAnsi="Century Gothic"/>
                <w:color w:val="000000"/>
                <w:sz w:val="18"/>
                <w:szCs w:val="18"/>
              </w:rPr>
              <w:t>695</w:t>
            </w:r>
            <w:r>
              <w:rPr>
                <w:rFonts w:ascii="Century Gothic" w:hAnsi="Century Gothic"/>
                <w:color w:val="000000"/>
                <w:sz w:val="18"/>
                <w:szCs w:val="18"/>
              </w:rPr>
              <w:t>.</w:t>
            </w:r>
            <w:r w:rsidRPr="005C6E11">
              <w:rPr>
                <w:rFonts w:ascii="Century Gothic" w:hAnsi="Century Gothic"/>
                <w:color w:val="000000"/>
                <w:sz w:val="18"/>
                <w:szCs w:val="18"/>
              </w:rPr>
              <w:t>8</w:t>
            </w:r>
          </w:p>
        </w:tc>
        <w:tc>
          <w:tcPr>
            <w:tcW w:w="953" w:type="pct"/>
            <w:shd w:val="clear" w:color="auto" w:fill="auto"/>
            <w:noWrap/>
            <w:vAlign w:val="center"/>
          </w:tcPr>
          <w:p w14:paraId="611BEF24" w14:textId="77777777" w:rsidR="00850777" w:rsidRPr="005C6E11" w:rsidRDefault="00850777" w:rsidP="00A04A97">
            <w:pPr>
              <w:spacing w:line="240" w:lineRule="auto"/>
              <w:jc w:val="center"/>
              <w:rPr>
                <w:sz w:val="18"/>
                <w:szCs w:val="18"/>
              </w:rPr>
            </w:pPr>
            <w:r w:rsidRPr="005C6E11">
              <w:rPr>
                <w:sz w:val="18"/>
                <w:szCs w:val="18"/>
              </w:rPr>
              <w:t>588</w:t>
            </w:r>
            <w:r>
              <w:rPr>
                <w:sz w:val="18"/>
                <w:szCs w:val="18"/>
              </w:rPr>
              <w:t>.6, 816.9</w:t>
            </w:r>
          </w:p>
        </w:tc>
        <w:tc>
          <w:tcPr>
            <w:tcW w:w="635" w:type="pct"/>
            <w:shd w:val="clear" w:color="auto" w:fill="auto"/>
            <w:noWrap/>
            <w:vAlign w:val="center"/>
          </w:tcPr>
          <w:p w14:paraId="07B21AEA" w14:textId="77777777" w:rsidR="00850777" w:rsidRPr="00A04A97" w:rsidRDefault="00850777" w:rsidP="00A04A97">
            <w:pPr>
              <w:spacing w:line="240" w:lineRule="auto"/>
              <w:jc w:val="center"/>
              <w:rPr>
                <w:sz w:val="18"/>
                <w:szCs w:val="18"/>
              </w:rPr>
            </w:pPr>
            <w:r w:rsidRPr="00A04A97">
              <w:rPr>
                <w:rFonts w:ascii="Century Gothic" w:hAnsi="Century Gothic"/>
                <w:color w:val="000000"/>
                <w:sz w:val="18"/>
                <w:szCs w:val="18"/>
              </w:rPr>
              <w:t>8.0</w:t>
            </w:r>
          </w:p>
        </w:tc>
        <w:tc>
          <w:tcPr>
            <w:tcW w:w="953" w:type="pct"/>
            <w:vAlign w:val="center"/>
          </w:tcPr>
          <w:p w14:paraId="56BF2686" w14:textId="77777777" w:rsidR="00850777" w:rsidRPr="00A04A97" w:rsidRDefault="00850777" w:rsidP="00384F4B">
            <w:pPr>
              <w:spacing w:line="240" w:lineRule="auto"/>
              <w:jc w:val="center"/>
              <w:rPr>
                <w:rFonts w:ascii="Century Gothic" w:hAnsi="Century Gothic"/>
                <w:color w:val="000000"/>
                <w:sz w:val="18"/>
                <w:szCs w:val="18"/>
              </w:rPr>
            </w:pPr>
            <w:r>
              <w:rPr>
                <w:rFonts w:ascii="Century Gothic" w:hAnsi="Century Gothic"/>
                <w:color w:val="000000"/>
                <w:sz w:val="18"/>
                <w:szCs w:val="18"/>
              </w:rPr>
              <w:t>6.6, 9.7</w:t>
            </w:r>
          </w:p>
        </w:tc>
      </w:tr>
      <w:tr w:rsidR="00850777" w:rsidRPr="005C6E11" w14:paraId="08B64CD8" w14:textId="77777777" w:rsidTr="009771E8">
        <w:trPr>
          <w:trHeight w:val="423"/>
          <w:jc w:val="center"/>
        </w:trPr>
        <w:tc>
          <w:tcPr>
            <w:tcW w:w="473" w:type="pct"/>
            <w:shd w:val="clear" w:color="auto" w:fill="auto"/>
            <w:noWrap/>
            <w:vAlign w:val="center"/>
          </w:tcPr>
          <w:p w14:paraId="6F1DC585" w14:textId="77777777" w:rsidR="00850777" w:rsidRPr="005C6E11" w:rsidRDefault="00850777" w:rsidP="00A04A97">
            <w:pPr>
              <w:spacing w:line="240" w:lineRule="auto"/>
              <w:jc w:val="center"/>
              <w:rPr>
                <w:rFonts w:ascii="Avenir Heavy" w:hAnsi="Avenir Heavy"/>
                <w:b/>
                <w:bCs/>
                <w:sz w:val="18"/>
                <w:szCs w:val="18"/>
              </w:rPr>
            </w:pPr>
            <w:r w:rsidRPr="005C6E11">
              <w:rPr>
                <w:sz w:val="18"/>
                <w:szCs w:val="18"/>
              </w:rPr>
              <w:t>AMB</w:t>
            </w:r>
          </w:p>
        </w:tc>
        <w:tc>
          <w:tcPr>
            <w:tcW w:w="954" w:type="pct"/>
            <w:shd w:val="clear" w:color="auto" w:fill="auto"/>
            <w:noWrap/>
            <w:vAlign w:val="center"/>
          </w:tcPr>
          <w:p w14:paraId="642F70D5" w14:textId="77777777" w:rsidR="00850777" w:rsidRPr="005C6E11" w:rsidRDefault="00850777" w:rsidP="00A04A97">
            <w:pPr>
              <w:spacing w:line="240" w:lineRule="auto"/>
              <w:jc w:val="center"/>
              <w:rPr>
                <w:sz w:val="18"/>
                <w:szCs w:val="18"/>
              </w:rPr>
            </w:pPr>
            <w:r w:rsidRPr="005C6E11">
              <w:rPr>
                <w:rFonts w:ascii="Century Gothic" w:hAnsi="Century Gothic"/>
                <w:color w:val="000000"/>
                <w:sz w:val="18"/>
                <w:szCs w:val="18"/>
              </w:rPr>
              <w:t>53</w:t>
            </w:r>
            <w:r>
              <w:rPr>
                <w:rFonts w:ascii="Century Gothic" w:hAnsi="Century Gothic"/>
                <w:color w:val="000000"/>
                <w:sz w:val="18"/>
                <w:szCs w:val="18"/>
              </w:rPr>
              <w:t>.3</w:t>
            </w:r>
          </w:p>
        </w:tc>
        <w:tc>
          <w:tcPr>
            <w:tcW w:w="1032" w:type="pct"/>
            <w:shd w:val="clear" w:color="auto" w:fill="auto"/>
            <w:noWrap/>
            <w:vAlign w:val="center"/>
          </w:tcPr>
          <w:p w14:paraId="0B087C6A" w14:textId="77777777" w:rsidR="00850777" w:rsidRPr="005C6E11" w:rsidRDefault="00850777" w:rsidP="00A04A97">
            <w:pPr>
              <w:spacing w:line="240" w:lineRule="auto"/>
              <w:jc w:val="center"/>
              <w:rPr>
                <w:sz w:val="18"/>
                <w:szCs w:val="18"/>
              </w:rPr>
            </w:pPr>
            <w:r w:rsidRPr="005C6E11">
              <w:rPr>
                <w:rFonts w:ascii="Century Gothic" w:hAnsi="Century Gothic"/>
                <w:color w:val="000000"/>
                <w:sz w:val="18"/>
                <w:szCs w:val="18"/>
              </w:rPr>
              <w:t>845</w:t>
            </w:r>
            <w:r>
              <w:rPr>
                <w:rFonts w:ascii="Century Gothic" w:hAnsi="Century Gothic"/>
                <w:color w:val="000000"/>
                <w:sz w:val="18"/>
                <w:szCs w:val="18"/>
              </w:rPr>
              <w:t>.2</w:t>
            </w:r>
          </w:p>
        </w:tc>
        <w:tc>
          <w:tcPr>
            <w:tcW w:w="953" w:type="pct"/>
            <w:shd w:val="clear" w:color="auto" w:fill="auto"/>
            <w:noWrap/>
            <w:vAlign w:val="center"/>
          </w:tcPr>
          <w:p w14:paraId="5F99AA99" w14:textId="77777777" w:rsidR="00850777" w:rsidRPr="005C6E11" w:rsidRDefault="00850777" w:rsidP="00A04A97">
            <w:pPr>
              <w:spacing w:line="240" w:lineRule="auto"/>
              <w:jc w:val="center"/>
              <w:rPr>
                <w:sz w:val="18"/>
                <w:szCs w:val="18"/>
              </w:rPr>
            </w:pPr>
            <w:r w:rsidRPr="005C6E11">
              <w:rPr>
                <w:sz w:val="18"/>
                <w:szCs w:val="18"/>
              </w:rPr>
              <w:t>707</w:t>
            </w:r>
            <w:r>
              <w:rPr>
                <w:sz w:val="18"/>
                <w:szCs w:val="18"/>
              </w:rPr>
              <w:t>.</w:t>
            </w:r>
            <w:r w:rsidRPr="005C6E11">
              <w:rPr>
                <w:sz w:val="18"/>
                <w:szCs w:val="18"/>
              </w:rPr>
              <w:t>1</w:t>
            </w:r>
            <w:r>
              <w:rPr>
                <w:sz w:val="18"/>
                <w:szCs w:val="18"/>
              </w:rPr>
              <w:t>, 1002.3</w:t>
            </w:r>
          </w:p>
        </w:tc>
        <w:tc>
          <w:tcPr>
            <w:tcW w:w="635" w:type="pct"/>
            <w:shd w:val="clear" w:color="auto" w:fill="auto"/>
            <w:noWrap/>
            <w:vAlign w:val="center"/>
          </w:tcPr>
          <w:p w14:paraId="2532A359" w14:textId="77777777" w:rsidR="00850777" w:rsidRPr="00A04A97" w:rsidRDefault="00850777" w:rsidP="00A04A97">
            <w:pPr>
              <w:spacing w:line="240" w:lineRule="auto"/>
              <w:jc w:val="center"/>
              <w:rPr>
                <w:sz w:val="18"/>
                <w:szCs w:val="18"/>
              </w:rPr>
            </w:pPr>
            <w:r w:rsidRPr="00A04A97">
              <w:rPr>
                <w:rFonts w:ascii="Century Gothic" w:hAnsi="Century Gothic"/>
                <w:color w:val="000000"/>
                <w:sz w:val="18"/>
                <w:szCs w:val="18"/>
              </w:rPr>
              <w:t>15.9</w:t>
            </w:r>
          </w:p>
        </w:tc>
        <w:tc>
          <w:tcPr>
            <w:tcW w:w="953" w:type="pct"/>
            <w:vAlign w:val="center"/>
          </w:tcPr>
          <w:p w14:paraId="22B15929" w14:textId="77777777" w:rsidR="00850777" w:rsidRPr="00A04A97" w:rsidRDefault="00850777" w:rsidP="00384F4B">
            <w:pPr>
              <w:spacing w:line="240" w:lineRule="auto"/>
              <w:jc w:val="center"/>
              <w:rPr>
                <w:rFonts w:ascii="Century Gothic" w:hAnsi="Century Gothic"/>
                <w:color w:val="000000"/>
                <w:sz w:val="18"/>
                <w:szCs w:val="18"/>
              </w:rPr>
            </w:pPr>
            <w:r>
              <w:rPr>
                <w:rFonts w:ascii="Century Gothic" w:hAnsi="Century Gothic"/>
                <w:color w:val="000000"/>
                <w:sz w:val="18"/>
                <w:szCs w:val="18"/>
              </w:rPr>
              <w:t>13.0, 19.4</w:t>
            </w:r>
          </w:p>
        </w:tc>
      </w:tr>
      <w:tr w:rsidR="00850777" w:rsidRPr="005C6E11" w14:paraId="5519EAFA" w14:textId="77777777" w:rsidTr="009771E8">
        <w:trPr>
          <w:trHeight w:val="423"/>
          <w:jc w:val="center"/>
        </w:trPr>
        <w:tc>
          <w:tcPr>
            <w:tcW w:w="473" w:type="pct"/>
            <w:shd w:val="clear" w:color="auto" w:fill="auto"/>
            <w:noWrap/>
            <w:vAlign w:val="center"/>
          </w:tcPr>
          <w:p w14:paraId="54AEB0DE" w14:textId="77777777" w:rsidR="00850777" w:rsidRPr="005C6E11" w:rsidRDefault="00850777" w:rsidP="00A04A97">
            <w:pPr>
              <w:spacing w:line="240" w:lineRule="auto"/>
              <w:jc w:val="center"/>
              <w:rPr>
                <w:rFonts w:ascii="Avenir Heavy" w:hAnsi="Avenir Heavy"/>
                <w:b/>
                <w:bCs/>
                <w:sz w:val="18"/>
                <w:szCs w:val="18"/>
              </w:rPr>
            </w:pPr>
            <w:r w:rsidRPr="005C6E11">
              <w:rPr>
                <w:sz w:val="18"/>
                <w:szCs w:val="18"/>
              </w:rPr>
              <w:t>AE</w:t>
            </w:r>
          </w:p>
        </w:tc>
        <w:tc>
          <w:tcPr>
            <w:tcW w:w="954" w:type="pct"/>
            <w:shd w:val="clear" w:color="auto" w:fill="auto"/>
            <w:noWrap/>
            <w:vAlign w:val="center"/>
          </w:tcPr>
          <w:p w14:paraId="4CC4098B" w14:textId="77777777" w:rsidR="00850777" w:rsidRPr="005C6E11" w:rsidRDefault="00850777" w:rsidP="00A04A97">
            <w:pPr>
              <w:spacing w:line="240" w:lineRule="auto"/>
              <w:jc w:val="center"/>
              <w:rPr>
                <w:sz w:val="18"/>
                <w:szCs w:val="18"/>
              </w:rPr>
            </w:pPr>
            <w:r w:rsidRPr="005C6E11">
              <w:rPr>
                <w:rFonts w:ascii="Century Gothic" w:hAnsi="Century Gothic"/>
                <w:color w:val="000000"/>
                <w:sz w:val="18"/>
                <w:szCs w:val="18"/>
              </w:rPr>
              <w:t>143</w:t>
            </w:r>
            <w:r>
              <w:rPr>
                <w:rFonts w:ascii="Century Gothic" w:hAnsi="Century Gothic"/>
                <w:color w:val="000000"/>
                <w:sz w:val="18"/>
                <w:szCs w:val="18"/>
              </w:rPr>
              <w:t>.</w:t>
            </w:r>
            <w:r w:rsidRPr="005C6E11">
              <w:rPr>
                <w:rFonts w:ascii="Century Gothic" w:hAnsi="Century Gothic"/>
                <w:color w:val="000000"/>
                <w:sz w:val="18"/>
                <w:szCs w:val="18"/>
              </w:rPr>
              <w:t>00</w:t>
            </w:r>
          </w:p>
        </w:tc>
        <w:tc>
          <w:tcPr>
            <w:tcW w:w="1032" w:type="pct"/>
            <w:shd w:val="clear" w:color="auto" w:fill="auto"/>
            <w:noWrap/>
            <w:vAlign w:val="center"/>
          </w:tcPr>
          <w:p w14:paraId="17AEEB9F" w14:textId="77777777" w:rsidR="00850777" w:rsidRPr="005C6E11" w:rsidRDefault="00850777" w:rsidP="00A04A97">
            <w:pPr>
              <w:spacing w:line="240" w:lineRule="auto"/>
              <w:jc w:val="center"/>
              <w:rPr>
                <w:sz w:val="18"/>
                <w:szCs w:val="18"/>
              </w:rPr>
            </w:pPr>
            <w:r w:rsidRPr="005C6E11">
              <w:rPr>
                <w:rFonts w:ascii="Century Gothic" w:hAnsi="Century Gothic"/>
                <w:color w:val="000000"/>
                <w:sz w:val="18"/>
                <w:szCs w:val="18"/>
              </w:rPr>
              <w:t>628</w:t>
            </w:r>
            <w:r>
              <w:rPr>
                <w:rFonts w:ascii="Century Gothic" w:hAnsi="Century Gothic"/>
                <w:color w:val="000000"/>
                <w:sz w:val="18"/>
                <w:szCs w:val="18"/>
              </w:rPr>
              <w:t>.6</w:t>
            </w:r>
          </w:p>
        </w:tc>
        <w:tc>
          <w:tcPr>
            <w:tcW w:w="953" w:type="pct"/>
            <w:shd w:val="clear" w:color="auto" w:fill="auto"/>
            <w:noWrap/>
            <w:vAlign w:val="center"/>
          </w:tcPr>
          <w:p w14:paraId="2C91E93C" w14:textId="77777777" w:rsidR="00850777" w:rsidRPr="005C6E11" w:rsidRDefault="00850777" w:rsidP="00A04A97">
            <w:pPr>
              <w:spacing w:line="240" w:lineRule="auto"/>
              <w:jc w:val="center"/>
              <w:rPr>
                <w:sz w:val="18"/>
                <w:szCs w:val="18"/>
              </w:rPr>
            </w:pPr>
            <w:r w:rsidRPr="005C6E11">
              <w:rPr>
                <w:sz w:val="18"/>
                <w:szCs w:val="18"/>
              </w:rPr>
              <w:t>524</w:t>
            </w:r>
            <w:r>
              <w:rPr>
                <w:sz w:val="18"/>
                <w:szCs w:val="18"/>
              </w:rPr>
              <w:t>.</w:t>
            </w:r>
            <w:r w:rsidRPr="005C6E11">
              <w:rPr>
                <w:sz w:val="18"/>
                <w:szCs w:val="18"/>
              </w:rPr>
              <w:t>4</w:t>
            </w:r>
            <w:r>
              <w:rPr>
                <w:sz w:val="18"/>
                <w:szCs w:val="18"/>
              </w:rPr>
              <w:t>, 747.4</w:t>
            </w:r>
          </w:p>
        </w:tc>
        <w:tc>
          <w:tcPr>
            <w:tcW w:w="635" w:type="pct"/>
            <w:shd w:val="clear" w:color="auto" w:fill="auto"/>
            <w:noWrap/>
            <w:vAlign w:val="center"/>
          </w:tcPr>
          <w:p w14:paraId="74AD7EA8" w14:textId="77777777" w:rsidR="00850777" w:rsidRPr="00A04A97" w:rsidRDefault="00850777" w:rsidP="00A04A97">
            <w:pPr>
              <w:spacing w:line="240" w:lineRule="auto"/>
              <w:jc w:val="center"/>
              <w:rPr>
                <w:sz w:val="18"/>
                <w:szCs w:val="18"/>
              </w:rPr>
            </w:pPr>
            <w:r w:rsidRPr="00A04A97">
              <w:rPr>
                <w:rFonts w:ascii="Century Gothic" w:hAnsi="Century Gothic"/>
                <w:color w:val="000000"/>
                <w:sz w:val="18"/>
                <w:szCs w:val="18"/>
              </w:rPr>
              <w:t>4.4</w:t>
            </w:r>
          </w:p>
        </w:tc>
        <w:tc>
          <w:tcPr>
            <w:tcW w:w="953" w:type="pct"/>
            <w:vAlign w:val="center"/>
          </w:tcPr>
          <w:p w14:paraId="3EE0E765" w14:textId="77777777" w:rsidR="00850777" w:rsidRPr="00A04A97" w:rsidRDefault="00850777" w:rsidP="00384F4B">
            <w:pPr>
              <w:spacing w:line="240" w:lineRule="auto"/>
              <w:jc w:val="center"/>
              <w:rPr>
                <w:rFonts w:ascii="Century Gothic" w:hAnsi="Century Gothic"/>
                <w:color w:val="000000"/>
                <w:sz w:val="18"/>
                <w:szCs w:val="18"/>
              </w:rPr>
            </w:pPr>
            <w:r>
              <w:rPr>
                <w:rFonts w:ascii="Century Gothic" w:hAnsi="Century Gothic"/>
                <w:color w:val="000000"/>
                <w:sz w:val="18"/>
                <w:szCs w:val="18"/>
              </w:rPr>
              <w:t>3.7, 5.2</w:t>
            </w:r>
          </w:p>
        </w:tc>
      </w:tr>
    </w:tbl>
    <w:p w14:paraId="5E585821" w14:textId="77777777" w:rsidR="00850777" w:rsidRDefault="00850777" w:rsidP="005C6E11">
      <w:pPr>
        <w:spacing w:line="240" w:lineRule="auto"/>
        <w:rPr>
          <w:i/>
          <w:iCs/>
          <w:sz w:val="18"/>
          <w:szCs w:val="18"/>
        </w:rPr>
      </w:pPr>
    </w:p>
    <w:p w14:paraId="7E39C59F" w14:textId="2EE2391B" w:rsidR="00850777" w:rsidRDefault="00850777" w:rsidP="00DF3A69">
      <w:pPr>
        <w:spacing w:line="240" w:lineRule="auto"/>
        <w:jc w:val="center"/>
      </w:pPr>
      <w:r>
        <w:rPr>
          <w:i/>
          <w:iCs/>
          <w:sz w:val="18"/>
          <w:szCs w:val="18"/>
        </w:rPr>
        <w:t xml:space="preserve">Note: Proportions </w:t>
      </w:r>
      <w:r w:rsidRPr="005C6E11">
        <w:rPr>
          <w:i/>
          <w:iCs/>
          <w:sz w:val="18"/>
          <w:szCs w:val="18"/>
        </w:rPr>
        <w:t>reported per 1000 of the population.</w:t>
      </w:r>
      <w:r>
        <w:rPr>
          <w:i/>
          <w:iCs/>
          <w:sz w:val="18"/>
          <w:szCs w:val="18"/>
        </w:rPr>
        <w:t xml:space="preserve"> 95</w:t>
      </w:r>
      <w:r w:rsidRPr="005C6E11">
        <w:rPr>
          <w:i/>
          <w:iCs/>
          <w:sz w:val="18"/>
          <w:szCs w:val="18"/>
        </w:rPr>
        <w:t>% confidence</w:t>
      </w:r>
      <w:r>
        <w:rPr>
          <w:i/>
          <w:iCs/>
          <w:sz w:val="18"/>
          <w:szCs w:val="18"/>
        </w:rPr>
        <w:t xml:space="preserve"> interval</w:t>
      </w:r>
      <w:r w:rsidRPr="005C6E11">
        <w:rPr>
          <w:i/>
          <w:iCs/>
          <w:sz w:val="18"/>
          <w:szCs w:val="18"/>
        </w:rPr>
        <w:t>.</w:t>
      </w:r>
      <w:r>
        <w:rPr>
          <w:i/>
          <w:iCs/>
          <w:sz w:val="18"/>
          <w:szCs w:val="18"/>
        </w:rPr>
        <w:t xml:space="preserve"> Comparison as a standardised </w:t>
      </w:r>
      <w:r w:rsidR="004564B0">
        <w:rPr>
          <w:i/>
          <w:iCs/>
          <w:sz w:val="18"/>
          <w:szCs w:val="18"/>
        </w:rPr>
        <w:t>proportion</w:t>
      </w:r>
      <w:r>
        <w:rPr>
          <w:i/>
          <w:iCs/>
          <w:sz w:val="18"/>
          <w:szCs w:val="18"/>
        </w:rPr>
        <w:t xml:space="preserve"> ratio = standardised rate ratio (observed/expected).</w:t>
      </w:r>
    </w:p>
    <w:p w14:paraId="095F6A96" w14:textId="77777777" w:rsidR="00850777" w:rsidRDefault="00850777" w:rsidP="00DE4549"/>
    <w:p w14:paraId="2C88BFDB" w14:textId="77777777" w:rsidR="00850777" w:rsidRPr="00CA43D3" w:rsidRDefault="00850777" w:rsidP="00837A26">
      <w:pPr>
        <w:pStyle w:val="Heading3"/>
        <w:rPr>
          <w:sz w:val="21"/>
          <w:szCs w:val="21"/>
        </w:rPr>
      </w:pPr>
      <w:r>
        <w:rPr>
          <w:sz w:val="21"/>
          <w:szCs w:val="21"/>
        </w:rPr>
        <w:br w:type="page"/>
      </w:r>
      <w:bookmarkStart w:id="135" w:name="_Toc137504751"/>
      <w:r>
        <w:rPr>
          <w:sz w:val="21"/>
          <w:szCs w:val="21"/>
        </w:rPr>
        <w:lastRenderedPageBreak/>
        <w:t xml:space="preserve">4.3.3 Longitudinal </w:t>
      </w:r>
      <w:bookmarkStart w:id="136" w:name="OLE_LINK1"/>
      <w:r>
        <w:rPr>
          <w:sz w:val="21"/>
          <w:szCs w:val="21"/>
        </w:rPr>
        <w:t xml:space="preserve">UEC utilisation </w:t>
      </w:r>
      <w:bookmarkEnd w:id="136"/>
      <w:r>
        <w:rPr>
          <w:sz w:val="21"/>
          <w:szCs w:val="21"/>
        </w:rPr>
        <w:t>by pwFNSD before and after psychotherapy</w:t>
      </w:r>
      <w:bookmarkEnd w:id="135"/>
    </w:p>
    <w:p w14:paraId="1534F35A" w14:textId="77777777" w:rsidR="00850777" w:rsidRDefault="00850777" w:rsidP="00AD1FA6">
      <w:pPr>
        <w:pStyle w:val="Heading4"/>
      </w:pPr>
      <w:r>
        <w:t>4.3.3.1 UEC</w:t>
      </w:r>
      <w:r w:rsidRPr="00A04A97">
        <w:t xml:space="preserve"> Utilisation Description</w:t>
      </w:r>
      <w:r>
        <w:t xml:space="preserve"> (pre- vs post)</w:t>
      </w:r>
    </w:p>
    <w:p w14:paraId="2B687F6A" w14:textId="77777777" w:rsidR="00850777" w:rsidRDefault="00850777" w:rsidP="005C66F8">
      <w:r>
        <w:t>The observed study period comprised 18 month-periods</w:t>
      </w:r>
      <w:r w:rsidRPr="00387D47">
        <w:t xml:space="preserve"> </w:t>
      </w:r>
      <w:r>
        <w:t xml:space="preserve">before and after </w:t>
      </w:r>
      <w:r w:rsidRPr="00387D47">
        <w:t>individual</w:t>
      </w:r>
      <w:r>
        <w:t xml:space="preserve"> patient</w:t>
      </w:r>
      <w:r w:rsidRPr="00387D47">
        <w:t xml:space="preserve"> therapy</w:t>
      </w:r>
      <w:r>
        <w:t xml:space="preserve"> start and end dates. </w:t>
      </w:r>
      <w:r w:rsidRPr="00DB1E1E">
        <w:t xml:space="preserve">The respective cohorts for urgent and emergency care (UEC) were determined based on </w:t>
      </w:r>
      <w:r>
        <w:t>data availability</w:t>
      </w:r>
      <w:r w:rsidRPr="00DB1E1E">
        <w:t>.</w:t>
      </w:r>
      <w:r>
        <w:t xml:space="preserve"> </w:t>
      </w:r>
      <w:r w:rsidRPr="00DB1E1E">
        <w:t xml:space="preserve">Specifically, patients were included in the cohorts if </w:t>
      </w:r>
      <w:r>
        <w:t xml:space="preserve">we could obtain </w:t>
      </w:r>
      <w:r w:rsidRPr="00DB1E1E">
        <w:t>a complete record of their emergency care utili</w:t>
      </w:r>
      <w:r>
        <w:t>s</w:t>
      </w:r>
      <w:r w:rsidRPr="00DB1E1E">
        <w:t>ation for 1.5 years before and after their therapy.</w:t>
      </w:r>
      <w:r>
        <w:t xml:space="preserve"> This yielded 201/705 </w:t>
      </w:r>
      <w:r w:rsidRPr="00E70B99">
        <w:t>patients for the NHS 111 cohort, 448</w:t>
      </w:r>
      <w:r>
        <w:t>/705</w:t>
      </w:r>
      <w:r w:rsidRPr="00E70B99">
        <w:t xml:space="preserve"> patients in the AE and APC cohorts and 343</w:t>
      </w:r>
      <w:r>
        <w:t>/705</w:t>
      </w:r>
      <w:r w:rsidRPr="00E70B99">
        <w:t xml:space="preserve"> patients in the AMB cohort.</w:t>
      </w:r>
      <w:r>
        <w:t xml:space="preserve"> </w:t>
      </w:r>
      <w:r w:rsidRPr="00E70B99">
        <w:t>In the</w:t>
      </w:r>
      <w:r>
        <w:t>se pre- and post-therapy analyses</w:t>
      </w:r>
      <w:r w:rsidRPr="00E70B99">
        <w:t>, the number of events and people accessing services before therapy was higher than during and after</w:t>
      </w:r>
      <w:r>
        <w:t xml:space="preserve"> therapy for</w:t>
      </w:r>
      <w:r w:rsidRPr="00E70B99">
        <w:t xml:space="preserve"> all UEC health services</w:t>
      </w:r>
      <w:r>
        <w:t xml:space="preserve"> (mean length of therapy was 6.8 months, SD: 5.3, Range: 0-36)</w:t>
      </w:r>
      <w:r w:rsidRPr="00E70B99">
        <w:t>.</w:t>
      </w:r>
      <w:r>
        <w:t xml:space="preserve"> </w:t>
      </w:r>
      <w:r w:rsidRPr="00E70B99">
        <w:t xml:space="preserve">These </w:t>
      </w:r>
      <w:r>
        <w:t xml:space="preserve">counts </w:t>
      </w:r>
      <w:r w:rsidRPr="00E70B99">
        <w:t>and proportions consistently increased again after</w:t>
      </w:r>
      <w:r>
        <w:t xml:space="preserve"> the </w:t>
      </w:r>
      <w:r w:rsidRPr="00E70B99">
        <w:t>completion of therapy.</w:t>
      </w:r>
      <w:r>
        <w:t xml:space="preserve"> Table 17 shows the total number and p</w:t>
      </w:r>
      <w:r w:rsidRPr="00E70B99">
        <w:t>ercentages</w:t>
      </w:r>
      <w:r>
        <w:t xml:space="preserve"> for events and proportions for each UEC service before, during and after therapy</w:t>
      </w:r>
    </w:p>
    <w:p w14:paraId="62ECD66E" w14:textId="77777777" w:rsidR="00850777" w:rsidRDefault="00850777">
      <w:pPr>
        <w:spacing w:line="240" w:lineRule="auto"/>
      </w:pPr>
    </w:p>
    <w:p w14:paraId="32EB1A65" w14:textId="77777777" w:rsidR="00850777" w:rsidRDefault="00850777" w:rsidP="001428BD">
      <w:r>
        <w:t>Table 17. FNSD UEC count contacts/events in 1.5 years before and after therapy, during and after therapy.</w:t>
      </w:r>
    </w:p>
    <w:tbl>
      <w:tblPr>
        <w:tblStyle w:val="TableGridLight"/>
        <w:tblW w:w="0" w:type="auto"/>
        <w:jc w:val="center"/>
        <w:tblLook w:val="04A0" w:firstRow="1" w:lastRow="0" w:firstColumn="1" w:lastColumn="0" w:noHBand="0" w:noVBand="1"/>
      </w:tblPr>
      <w:tblGrid>
        <w:gridCol w:w="2712"/>
        <w:gridCol w:w="2158"/>
        <w:gridCol w:w="1753"/>
        <w:gridCol w:w="1889"/>
      </w:tblGrid>
      <w:tr w:rsidR="00850777" w:rsidRPr="00D87A32" w14:paraId="0B2C60BF" w14:textId="77777777" w:rsidTr="009771E8">
        <w:trPr>
          <w:trHeight w:val="450"/>
          <w:tblHeader/>
          <w:jc w:val="center"/>
        </w:trPr>
        <w:tc>
          <w:tcPr>
            <w:tcW w:w="2712" w:type="dxa"/>
            <w:vAlign w:val="center"/>
          </w:tcPr>
          <w:p w14:paraId="006065C5" w14:textId="77777777" w:rsidR="00850777" w:rsidRPr="00D87A32" w:rsidRDefault="00850777" w:rsidP="00704B3E">
            <w:pPr>
              <w:spacing w:line="240" w:lineRule="auto"/>
              <w:jc w:val="center"/>
              <w:rPr>
                <w:sz w:val="16"/>
                <w:szCs w:val="16"/>
              </w:rPr>
            </w:pPr>
          </w:p>
        </w:tc>
        <w:tc>
          <w:tcPr>
            <w:tcW w:w="2158" w:type="dxa"/>
            <w:vAlign w:val="center"/>
          </w:tcPr>
          <w:p w14:paraId="0D2CD836" w14:textId="77777777" w:rsidR="00850777" w:rsidRPr="00D87A32" w:rsidRDefault="00850777" w:rsidP="00704B3E">
            <w:pPr>
              <w:spacing w:line="240" w:lineRule="auto"/>
              <w:jc w:val="center"/>
              <w:rPr>
                <w:sz w:val="16"/>
                <w:szCs w:val="16"/>
              </w:rPr>
            </w:pPr>
            <w:r w:rsidRPr="00D87A32">
              <w:rPr>
                <w:sz w:val="16"/>
                <w:szCs w:val="16"/>
              </w:rPr>
              <w:t>Pre-therapy</w:t>
            </w:r>
          </w:p>
        </w:tc>
        <w:tc>
          <w:tcPr>
            <w:tcW w:w="1753" w:type="dxa"/>
            <w:vAlign w:val="center"/>
          </w:tcPr>
          <w:p w14:paraId="0C6F5874" w14:textId="77777777" w:rsidR="00850777" w:rsidRPr="00D87A32" w:rsidRDefault="00850777" w:rsidP="00704B3E">
            <w:pPr>
              <w:spacing w:line="240" w:lineRule="auto"/>
              <w:jc w:val="center"/>
              <w:rPr>
                <w:sz w:val="16"/>
                <w:szCs w:val="16"/>
              </w:rPr>
            </w:pPr>
            <w:r w:rsidRPr="00D87A32">
              <w:rPr>
                <w:sz w:val="16"/>
                <w:szCs w:val="16"/>
              </w:rPr>
              <w:t>Du</w:t>
            </w:r>
            <w:r>
              <w:rPr>
                <w:sz w:val="16"/>
                <w:szCs w:val="16"/>
              </w:rPr>
              <w:t>ring therapy</w:t>
            </w:r>
          </w:p>
        </w:tc>
        <w:tc>
          <w:tcPr>
            <w:tcW w:w="1889" w:type="dxa"/>
            <w:vAlign w:val="center"/>
          </w:tcPr>
          <w:p w14:paraId="26A10AE9" w14:textId="77777777" w:rsidR="00850777" w:rsidRPr="00D87A32" w:rsidRDefault="00850777" w:rsidP="00704B3E">
            <w:pPr>
              <w:spacing w:line="240" w:lineRule="auto"/>
              <w:jc w:val="center"/>
              <w:rPr>
                <w:sz w:val="16"/>
                <w:szCs w:val="16"/>
              </w:rPr>
            </w:pPr>
            <w:r w:rsidRPr="00D87A32">
              <w:rPr>
                <w:sz w:val="16"/>
                <w:szCs w:val="16"/>
              </w:rPr>
              <w:t>Post-therapy</w:t>
            </w:r>
          </w:p>
        </w:tc>
      </w:tr>
      <w:tr w:rsidR="00850777" w:rsidRPr="00D87A32" w14:paraId="076167BA" w14:textId="77777777" w:rsidTr="00A0647A">
        <w:trPr>
          <w:trHeight w:val="371"/>
          <w:jc w:val="center"/>
        </w:trPr>
        <w:tc>
          <w:tcPr>
            <w:tcW w:w="2712" w:type="dxa"/>
            <w:shd w:val="clear" w:color="auto" w:fill="F2F2F2" w:themeFill="background1" w:themeFillShade="F2"/>
            <w:vAlign w:val="center"/>
          </w:tcPr>
          <w:p w14:paraId="408832A3" w14:textId="77777777" w:rsidR="00850777" w:rsidRPr="00D87A32" w:rsidRDefault="00850777" w:rsidP="00704B3E">
            <w:pPr>
              <w:spacing w:line="240" w:lineRule="auto"/>
              <w:jc w:val="center"/>
              <w:rPr>
                <w:sz w:val="16"/>
                <w:szCs w:val="16"/>
              </w:rPr>
            </w:pPr>
            <w:r w:rsidRPr="00D87A32">
              <w:rPr>
                <w:sz w:val="16"/>
                <w:szCs w:val="16"/>
              </w:rPr>
              <w:t>111 calls</w:t>
            </w:r>
          </w:p>
        </w:tc>
        <w:tc>
          <w:tcPr>
            <w:tcW w:w="5800" w:type="dxa"/>
            <w:gridSpan w:val="3"/>
            <w:shd w:val="clear" w:color="auto" w:fill="F2F2F2" w:themeFill="background1" w:themeFillShade="F2"/>
            <w:vAlign w:val="center"/>
          </w:tcPr>
          <w:p w14:paraId="440B7A58" w14:textId="77777777" w:rsidR="00850777" w:rsidRPr="00D87A32" w:rsidRDefault="00850777" w:rsidP="00C32AFC">
            <w:pPr>
              <w:spacing w:line="240" w:lineRule="auto"/>
              <w:jc w:val="center"/>
              <w:rPr>
                <w:sz w:val="16"/>
                <w:szCs w:val="16"/>
              </w:rPr>
            </w:pPr>
            <w:r>
              <w:rPr>
                <w:sz w:val="16"/>
                <w:szCs w:val="16"/>
              </w:rPr>
              <w:t xml:space="preserve">Total: </w:t>
            </w:r>
            <w:r w:rsidRPr="00D87A32">
              <w:rPr>
                <w:sz w:val="16"/>
                <w:szCs w:val="16"/>
              </w:rPr>
              <w:t>N (events) =</w:t>
            </w:r>
            <w:r>
              <w:rPr>
                <w:sz w:val="16"/>
                <w:szCs w:val="16"/>
              </w:rPr>
              <w:t>277</w:t>
            </w:r>
            <w:r w:rsidRPr="00D87A32">
              <w:rPr>
                <w:sz w:val="16"/>
                <w:szCs w:val="16"/>
              </w:rPr>
              <w:t xml:space="preserve">, N (unique persons) = </w:t>
            </w:r>
            <w:r>
              <w:rPr>
                <w:sz w:val="16"/>
                <w:szCs w:val="16"/>
              </w:rPr>
              <w:t>54 / 111 cohort = 201</w:t>
            </w:r>
          </w:p>
        </w:tc>
      </w:tr>
      <w:tr w:rsidR="00850777" w:rsidRPr="00D87A32" w14:paraId="1F1F85EB" w14:textId="77777777" w:rsidTr="000027B0">
        <w:trPr>
          <w:jc w:val="center"/>
        </w:trPr>
        <w:tc>
          <w:tcPr>
            <w:tcW w:w="2712" w:type="dxa"/>
            <w:vAlign w:val="center"/>
          </w:tcPr>
          <w:p w14:paraId="3ED4F14F" w14:textId="77777777" w:rsidR="00850777" w:rsidRPr="00044E0C" w:rsidRDefault="00850777" w:rsidP="00C32AFC">
            <w:pPr>
              <w:spacing w:line="240" w:lineRule="auto"/>
              <w:jc w:val="center"/>
              <w:rPr>
                <w:sz w:val="16"/>
                <w:szCs w:val="16"/>
                <w:vertAlign w:val="superscript"/>
              </w:rPr>
            </w:pPr>
            <w:r>
              <w:rPr>
                <w:sz w:val="16"/>
                <w:szCs w:val="16"/>
              </w:rPr>
              <w:t>Person</w:t>
            </w:r>
            <w:r w:rsidRPr="00D87A32">
              <w:rPr>
                <w:sz w:val="16"/>
                <w:szCs w:val="16"/>
              </w:rPr>
              <w:t xml:space="preserve"> contacts, n </w:t>
            </w:r>
            <w:r>
              <w:rPr>
                <w:sz w:val="16"/>
                <w:szCs w:val="16"/>
              </w:rPr>
              <w:t>(</w:t>
            </w:r>
            <w:r w:rsidRPr="00D87A32">
              <w:rPr>
                <w:sz w:val="16"/>
                <w:szCs w:val="16"/>
              </w:rPr>
              <w:t>%</w:t>
            </w:r>
            <w:r>
              <w:rPr>
                <w:sz w:val="16"/>
                <w:szCs w:val="16"/>
                <w:vertAlign w:val="superscript"/>
              </w:rPr>
              <w:t>a</w:t>
            </w:r>
            <w:r>
              <w:rPr>
                <w:sz w:val="16"/>
                <w:szCs w:val="16"/>
              </w:rPr>
              <w:t>)</w:t>
            </w:r>
          </w:p>
        </w:tc>
        <w:tc>
          <w:tcPr>
            <w:tcW w:w="2158" w:type="dxa"/>
          </w:tcPr>
          <w:p w14:paraId="0A3A3A05" w14:textId="1398F80B" w:rsidR="00850777" w:rsidRPr="00D87A32" w:rsidRDefault="00850777" w:rsidP="00C32AFC">
            <w:pPr>
              <w:spacing w:line="240" w:lineRule="auto"/>
              <w:jc w:val="center"/>
              <w:rPr>
                <w:sz w:val="16"/>
                <w:szCs w:val="16"/>
              </w:rPr>
            </w:pPr>
            <w:r>
              <w:rPr>
                <w:sz w:val="16"/>
                <w:szCs w:val="16"/>
              </w:rPr>
              <w:t xml:space="preserve">36 </w:t>
            </w:r>
            <w:r w:rsidR="004564B0">
              <w:rPr>
                <w:sz w:val="16"/>
                <w:szCs w:val="16"/>
              </w:rPr>
              <w:t>(60)</w:t>
            </w:r>
          </w:p>
        </w:tc>
        <w:tc>
          <w:tcPr>
            <w:tcW w:w="1753" w:type="dxa"/>
          </w:tcPr>
          <w:p w14:paraId="76D08EE1" w14:textId="765D6396" w:rsidR="00850777" w:rsidRPr="00D87A32" w:rsidRDefault="00850777" w:rsidP="00C32AFC">
            <w:pPr>
              <w:spacing w:line="240" w:lineRule="auto"/>
              <w:jc w:val="center"/>
              <w:rPr>
                <w:sz w:val="16"/>
                <w:szCs w:val="16"/>
              </w:rPr>
            </w:pPr>
            <w:r>
              <w:rPr>
                <w:sz w:val="16"/>
                <w:szCs w:val="16"/>
              </w:rPr>
              <w:t>19</w:t>
            </w:r>
            <w:r w:rsidR="004564B0">
              <w:rPr>
                <w:sz w:val="16"/>
                <w:szCs w:val="16"/>
              </w:rPr>
              <w:t xml:space="preserve"> (35)</w:t>
            </w:r>
          </w:p>
        </w:tc>
        <w:tc>
          <w:tcPr>
            <w:tcW w:w="1889" w:type="dxa"/>
          </w:tcPr>
          <w:p w14:paraId="3A064F5D" w14:textId="3F1A582B" w:rsidR="00850777" w:rsidRPr="00D87A32" w:rsidRDefault="00850777" w:rsidP="00C32AFC">
            <w:pPr>
              <w:spacing w:line="240" w:lineRule="auto"/>
              <w:jc w:val="center"/>
              <w:rPr>
                <w:sz w:val="16"/>
                <w:szCs w:val="16"/>
              </w:rPr>
            </w:pPr>
            <w:r>
              <w:rPr>
                <w:sz w:val="16"/>
                <w:szCs w:val="16"/>
              </w:rPr>
              <w:t>38</w:t>
            </w:r>
            <w:r w:rsidR="004564B0">
              <w:rPr>
                <w:sz w:val="16"/>
                <w:szCs w:val="16"/>
              </w:rPr>
              <w:t xml:space="preserve"> (70.4)</w:t>
            </w:r>
          </w:p>
        </w:tc>
      </w:tr>
      <w:tr w:rsidR="00850777" w:rsidRPr="00D87A32" w14:paraId="33503D88" w14:textId="77777777" w:rsidTr="000027B0">
        <w:trPr>
          <w:jc w:val="center"/>
        </w:trPr>
        <w:tc>
          <w:tcPr>
            <w:tcW w:w="2712" w:type="dxa"/>
            <w:vAlign w:val="center"/>
          </w:tcPr>
          <w:p w14:paraId="176147C3" w14:textId="77777777" w:rsidR="00850777" w:rsidRPr="00D87A32" w:rsidRDefault="00850777" w:rsidP="00C32AFC">
            <w:pPr>
              <w:spacing w:line="240" w:lineRule="auto"/>
              <w:jc w:val="center"/>
              <w:rPr>
                <w:sz w:val="16"/>
                <w:szCs w:val="16"/>
              </w:rPr>
            </w:pPr>
            <w:r>
              <w:rPr>
                <w:sz w:val="16"/>
                <w:szCs w:val="16"/>
              </w:rPr>
              <w:t>E</w:t>
            </w:r>
            <w:r w:rsidRPr="00D87A32">
              <w:rPr>
                <w:sz w:val="16"/>
                <w:szCs w:val="16"/>
              </w:rPr>
              <w:t>vents, n (%</w:t>
            </w:r>
            <w:r>
              <w:rPr>
                <w:sz w:val="16"/>
                <w:szCs w:val="16"/>
                <w:vertAlign w:val="superscript"/>
              </w:rPr>
              <w:t>b</w:t>
            </w:r>
            <w:r w:rsidRPr="00D87A32">
              <w:rPr>
                <w:sz w:val="16"/>
                <w:szCs w:val="16"/>
              </w:rPr>
              <w:t>)</w:t>
            </w:r>
          </w:p>
        </w:tc>
        <w:tc>
          <w:tcPr>
            <w:tcW w:w="2158" w:type="dxa"/>
          </w:tcPr>
          <w:p w14:paraId="0A0AD0F2" w14:textId="77777777" w:rsidR="00850777" w:rsidRPr="00D87A32" w:rsidRDefault="00850777" w:rsidP="00C32AFC">
            <w:pPr>
              <w:spacing w:line="240" w:lineRule="auto"/>
              <w:jc w:val="center"/>
              <w:rPr>
                <w:sz w:val="16"/>
                <w:szCs w:val="16"/>
              </w:rPr>
            </w:pPr>
            <w:r>
              <w:rPr>
                <w:sz w:val="16"/>
                <w:szCs w:val="16"/>
              </w:rPr>
              <w:t>133 (48.0)</w:t>
            </w:r>
          </w:p>
        </w:tc>
        <w:tc>
          <w:tcPr>
            <w:tcW w:w="1753" w:type="dxa"/>
          </w:tcPr>
          <w:p w14:paraId="5BFE83DE" w14:textId="77777777" w:rsidR="00850777" w:rsidRPr="00D87A32" w:rsidRDefault="00850777" w:rsidP="00C32AFC">
            <w:pPr>
              <w:spacing w:line="240" w:lineRule="auto"/>
              <w:jc w:val="center"/>
              <w:rPr>
                <w:sz w:val="16"/>
                <w:szCs w:val="16"/>
              </w:rPr>
            </w:pPr>
            <w:r>
              <w:rPr>
                <w:sz w:val="16"/>
                <w:szCs w:val="16"/>
              </w:rPr>
              <w:t>39 (14.1)</w:t>
            </w:r>
          </w:p>
        </w:tc>
        <w:tc>
          <w:tcPr>
            <w:tcW w:w="1889" w:type="dxa"/>
          </w:tcPr>
          <w:p w14:paraId="4E15BF14" w14:textId="77777777" w:rsidR="00850777" w:rsidRPr="00D87A32" w:rsidRDefault="00850777" w:rsidP="00C32AFC">
            <w:pPr>
              <w:spacing w:line="240" w:lineRule="auto"/>
              <w:jc w:val="center"/>
              <w:rPr>
                <w:sz w:val="16"/>
                <w:szCs w:val="16"/>
              </w:rPr>
            </w:pPr>
            <w:r>
              <w:rPr>
                <w:sz w:val="16"/>
                <w:szCs w:val="16"/>
              </w:rPr>
              <w:t>105 (37.9)</w:t>
            </w:r>
          </w:p>
        </w:tc>
      </w:tr>
      <w:tr w:rsidR="00850777" w:rsidRPr="00D87A32" w14:paraId="129E73FC" w14:textId="77777777" w:rsidTr="009771E8">
        <w:trPr>
          <w:trHeight w:val="415"/>
          <w:jc w:val="center"/>
        </w:trPr>
        <w:tc>
          <w:tcPr>
            <w:tcW w:w="2712" w:type="dxa"/>
            <w:shd w:val="clear" w:color="auto" w:fill="F2F2F2" w:themeFill="background1" w:themeFillShade="F2"/>
            <w:vAlign w:val="center"/>
          </w:tcPr>
          <w:p w14:paraId="28554706" w14:textId="77777777" w:rsidR="00850777" w:rsidRPr="00D87A32" w:rsidRDefault="00850777" w:rsidP="00704B3E">
            <w:pPr>
              <w:spacing w:line="240" w:lineRule="auto"/>
              <w:jc w:val="center"/>
              <w:rPr>
                <w:sz w:val="16"/>
                <w:szCs w:val="16"/>
              </w:rPr>
            </w:pPr>
            <w:r w:rsidRPr="00D87A32">
              <w:rPr>
                <w:sz w:val="16"/>
                <w:szCs w:val="16"/>
              </w:rPr>
              <w:t>A&amp;E attendances</w:t>
            </w:r>
          </w:p>
        </w:tc>
        <w:tc>
          <w:tcPr>
            <w:tcW w:w="5800" w:type="dxa"/>
            <w:gridSpan w:val="3"/>
            <w:shd w:val="clear" w:color="auto" w:fill="F2F2F2" w:themeFill="background1" w:themeFillShade="F2"/>
            <w:vAlign w:val="center"/>
          </w:tcPr>
          <w:p w14:paraId="6A9288FE" w14:textId="77777777" w:rsidR="00850777" w:rsidRPr="00D87A32" w:rsidRDefault="00850777" w:rsidP="00C32AFC">
            <w:pPr>
              <w:spacing w:line="240" w:lineRule="auto"/>
              <w:jc w:val="center"/>
              <w:rPr>
                <w:sz w:val="16"/>
                <w:szCs w:val="16"/>
              </w:rPr>
            </w:pPr>
            <w:r>
              <w:rPr>
                <w:sz w:val="16"/>
                <w:szCs w:val="16"/>
              </w:rPr>
              <w:t xml:space="preserve">Total: </w:t>
            </w:r>
            <w:r w:rsidRPr="00D87A32">
              <w:rPr>
                <w:sz w:val="16"/>
                <w:szCs w:val="16"/>
              </w:rPr>
              <w:t>N</w:t>
            </w:r>
            <w:r>
              <w:rPr>
                <w:sz w:val="16"/>
                <w:szCs w:val="16"/>
              </w:rPr>
              <w:t xml:space="preserve"> (events) </w:t>
            </w:r>
            <w:r w:rsidRPr="00D87A32">
              <w:rPr>
                <w:sz w:val="16"/>
                <w:szCs w:val="16"/>
              </w:rPr>
              <w:t>=</w:t>
            </w:r>
            <w:r>
              <w:rPr>
                <w:sz w:val="16"/>
                <w:szCs w:val="16"/>
              </w:rPr>
              <w:t xml:space="preserve"> 1698</w:t>
            </w:r>
            <w:r w:rsidRPr="00D87A32">
              <w:rPr>
                <w:sz w:val="16"/>
                <w:szCs w:val="16"/>
              </w:rPr>
              <w:t xml:space="preserve"> , N (unique persons) = </w:t>
            </w:r>
            <w:r>
              <w:rPr>
                <w:sz w:val="16"/>
                <w:szCs w:val="16"/>
              </w:rPr>
              <w:t>264 / AE cohort = 448</w:t>
            </w:r>
          </w:p>
        </w:tc>
      </w:tr>
      <w:tr w:rsidR="00850777" w:rsidRPr="00D87A32" w14:paraId="5F7F6790" w14:textId="77777777" w:rsidTr="001A52FC">
        <w:trPr>
          <w:jc w:val="center"/>
        </w:trPr>
        <w:tc>
          <w:tcPr>
            <w:tcW w:w="2712" w:type="dxa"/>
            <w:vAlign w:val="center"/>
          </w:tcPr>
          <w:p w14:paraId="63D439C0" w14:textId="77777777" w:rsidR="00850777" w:rsidRPr="00044E0C" w:rsidRDefault="00850777" w:rsidP="00C32AFC">
            <w:pPr>
              <w:spacing w:line="240" w:lineRule="auto"/>
              <w:jc w:val="center"/>
              <w:rPr>
                <w:sz w:val="16"/>
                <w:szCs w:val="16"/>
                <w:vertAlign w:val="superscript"/>
              </w:rPr>
            </w:pPr>
            <w:r>
              <w:rPr>
                <w:sz w:val="16"/>
                <w:szCs w:val="16"/>
              </w:rPr>
              <w:t>Person</w:t>
            </w:r>
            <w:r w:rsidRPr="00D87A32">
              <w:rPr>
                <w:sz w:val="16"/>
                <w:szCs w:val="16"/>
              </w:rPr>
              <w:t xml:space="preserve"> contacts, n </w:t>
            </w:r>
            <w:r>
              <w:rPr>
                <w:sz w:val="16"/>
                <w:szCs w:val="16"/>
              </w:rPr>
              <w:t>(</w:t>
            </w:r>
            <w:r w:rsidRPr="00D87A32">
              <w:rPr>
                <w:sz w:val="16"/>
                <w:szCs w:val="16"/>
              </w:rPr>
              <w:t>%</w:t>
            </w:r>
            <w:r>
              <w:rPr>
                <w:sz w:val="16"/>
                <w:szCs w:val="16"/>
                <w:vertAlign w:val="superscript"/>
              </w:rPr>
              <w:t>a</w:t>
            </w:r>
            <w:r>
              <w:rPr>
                <w:sz w:val="16"/>
                <w:szCs w:val="16"/>
              </w:rPr>
              <w:t>)</w:t>
            </w:r>
          </w:p>
        </w:tc>
        <w:tc>
          <w:tcPr>
            <w:tcW w:w="2158" w:type="dxa"/>
          </w:tcPr>
          <w:p w14:paraId="5FB86539" w14:textId="067CC261" w:rsidR="00850777" w:rsidRPr="00D87A32" w:rsidRDefault="00850777" w:rsidP="00C32AFC">
            <w:pPr>
              <w:spacing w:line="240" w:lineRule="auto"/>
              <w:jc w:val="center"/>
              <w:rPr>
                <w:sz w:val="16"/>
                <w:szCs w:val="16"/>
              </w:rPr>
            </w:pPr>
            <w:r>
              <w:rPr>
                <w:sz w:val="16"/>
                <w:szCs w:val="16"/>
              </w:rPr>
              <w:t xml:space="preserve">220 </w:t>
            </w:r>
            <w:r w:rsidR="004564B0">
              <w:rPr>
                <w:sz w:val="16"/>
                <w:szCs w:val="16"/>
              </w:rPr>
              <w:t>(83.3)</w:t>
            </w:r>
          </w:p>
        </w:tc>
        <w:tc>
          <w:tcPr>
            <w:tcW w:w="1753" w:type="dxa"/>
          </w:tcPr>
          <w:p w14:paraId="401019D1" w14:textId="1B6E1BF4" w:rsidR="00850777" w:rsidRPr="00D87A32" w:rsidRDefault="00850777" w:rsidP="00C32AFC">
            <w:pPr>
              <w:spacing w:line="240" w:lineRule="auto"/>
              <w:jc w:val="center"/>
              <w:rPr>
                <w:sz w:val="16"/>
                <w:szCs w:val="16"/>
              </w:rPr>
            </w:pPr>
            <w:r>
              <w:rPr>
                <w:sz w:val="16"/>
                <w:szCs w:val="16"/>
              </w:rPr>
              <w:t>117</w:t>
            </w:r>
            <w:r w:rsidR="004564B0">
              <w:rPr>
                <w:sz w:val="16"/>
                <w:szCs w:val="16"/>
              </w:rPr>
              <w:t xml:space="preserve"> (44.3)</w:t>
            </w:r>
          </w:p>
        </w:tc>
        <w:tc>
          <w:tcPr>
            <w:tcW w:w="1889" w:type="dxa"/>
          </w:tcPr>
          <w:p w14:paraId="44BB4629" w14:textId="1015B694" w:rsidR="00850777" w:rsidRPr="00D87A32" w:rsidRDefault="00850777" w:rsidP="00C32AFC">
            <w:pPr>
              <w:spacing w:line="240" w:lineRule="auto"/>
              <w:jc w:val="center"/>
              <w:rPr>
                <w:sz w:val="16"/>
                <w:szCs w:val="16"/>
              </w:rPr>
            </w:pPr>
            <w:r>
              <w:rPr>
                <w:sz w:val="16"/>
                <w:szCs w:val="16"/>
              </w:rPr>
              <w:t>176</w:t>
            </w:r>
            <w:r w:rsidR="004564B0">
              <w:rPr>
                <w:sz w:val="16"/>
                <w:szCs w:val="16"/>
              </w:rPr>
              <w:t xml:space="preserve"> (60.0)</w:t>
            </w:r>
          </w:p>
        </w:tc>
      </w:tr>
      <w:tr w:rsidR="00850777" w:rsidRPr="00D87A32" w14:paraId="7A688660" w14:textId="77777777" w:rsidTr="001A52FC">
        <w:trPr>
          <w:jc w:val="center"/>
        </w:trPr>
        <w:tc>
          <w:tcPr>
            <w:tcW w:w="2712" w:type="dxa"/>
            <w:vAlign w:val="center"/>
          </w:tcPr>
          <w:p w14:paraId="35B4E2E5" w14:textId="77777777" w:rsidR="00850777" w:rsidRPr="00D87A32" w:rsidRDefault="00850777" w:rsidP="00C32AFC">
            <w:pPr>
              <w:spacing w:line="240" w:lineRule="auto"/>
              <w:jc w:val="center"/>
              <w:rPr>
                <w:sz w:val="16"/>
                <w:szCs w:val="16"/>
              </w:rPr>
            </w:pPr>
            <w:r>
              <w:rPr>
                <w:sz w:val="16"/>
                <w:szCs w:val="16"/>
              </w:rPr>
              <w:t>E</w:t>
            </w:r>
            <w:r w:rsidRPr="00D87A32">
              <w:rPr>
                <w:sz w:val="16"/>
                <w:szCs w:val="16"/>
              </w:rPr>
              <w:t>vents, n (%</w:t>
            </w:r>
            <w:r>
              <w:rPr>
                <w:sz w:val="16"/>
                <w:szCs w:val="16"/>
                <w:vertAlign w:val="superscript"/>
              </w:rPr>
              <w:t>b</w:t>
            </w:r>
            <w:r w:rsidRPr="00D87A32">
              <w:rPr>
                <w:sz w:val="16"/>
                <w:szCs w:val="16"/>
              </w:rPr>
              <w:t>)</w:t>
            </w:r>
          </w:p>
        </w:tc>
        <w:tc>
          <w:tcPr>
            <w:tcW w:w="2158" w:type="dxa"/>
          </w:tcPr>
          <w:p w14:paraId="77712E06" w14:textId="77777777" w:rsidR="00850777" w:rsidRPr="00D87A32" w:rsidRDefault="00850777" w:rsidP="00C32AFC">
            <w:pPr>
              <w:spacing w:line="240" w:lineRule="auto"/>
              <w:jc w:val="center"/>
              <w:rPr>
                <w:sz w:val="16"/>
                <w:szCs w:val="16"/>
              </w:rPr>
            </w:pPr>
            <w:r>
              <w:rPr>
                <w:sz w:val="16"/>
                <w:szCs w:val="16"/>
              </w:rPr>
              <w:t>771 (45.4)</w:t>
            </w:r>
          </w:p>
        </w:tc>
        <w:tc>
          <w:tcPr>
            <w:tcW w:w="1753" w:type="dxa"/>
          </w:tcPr>
          <w:p w14:paraId="4BFF9D48" w14:textId="77777777" w:rsidR="00850777" w:rsidRPr="00D87A32" w:rsidRDefault="00850777" w:rsidP="00C32AFC">
            <w:pPr>
              <w:spacing w:line="240" w:lineRule="auto"/>
              <w:jc w:val="center"/>
              <w:rPr>
                <w:sz w:val="16"/>
                <w:szCs w:val="16"/>
              </w:rPr>
            </w:pPr>
            <w:r>
              <w:rPr>
                <w:sz w:val="16"/>
                <w:szCs w:val="16"/>
              </w:rPr>
              <w:t>313 (18.4)</w:t>
            </w:r>
          </w:p>
        </w:tc>
        <w:tc>
          <w:tcPr>
            <w:tcW w:w="1889" w:type="dxa"/>
          </w:tcPr>
          <w:p w14:paraId="2841ABCC" w14:textId="77777777" w:rsidR="00850777" w:rsidRPr="00D87A32" w:rsidRDefault="00850777" w:rsidP="00C32AFC">
            <w:pPr>
              <w:spacing w:line="240" w:lineRule="auto"/>
              <w:jc w:val="center"/>
              <w:rPr>
                <w:sz w:val="16"/>
                <w:szCs w:val="16"/>
              </w:rPr>
            </w:pPr>
            <w:r>
              <w:rPr>
                <w:sz w:val="16"/>
                <w:szCs w:val="16"/>
              </w:rPr>
              <w:t>614 (36.2)</w:t>
            </w:r>
          </w:p>
        </w:tc>
      </w:tr>
      <w:tr w:rsidR="00850777" w:rsidRPr="00D87A32" w14:paraId="07E28DDA" w14:textId="77777777" w:rsidTr="009771E8">
        <w:trPr>
          <w:trHeight w:val="423"/>
          <w:jc w:val="center"/>
        </w:trPr>
        <w:tc>
          <w:tcPr>
            <w:tcW w:w="2712" w:type="dxa"/>
            <w:shd w:val="clear" w:color="auto" w:fill="F2F2F2" w:themeFill="background1" w:themeFillShade="F2"/>
            <w:vAlign w:val="center"/>
          </w:tcPr>
          <w:p w14:paraId="16F805D7" w14:textId="77777777" w:rsidR="00850777" w:rsidRPr="00D87A32" w:rsidRDefault="00850777" w:rsidP="00704B3E">
            <w:pPr>
              <w:spacing w:line="240" w:lineRule="auto"/>
              <w:jc w:val="center"/>
              <w:rPr>
                <w:sz w:val="16"/>
                <w:szCs w:val="16"/>
              </w:rPr>
            </w:pPr>
            <w:r w:rsidRPr="00D87A32">
              <w:rPr>
                <w:sz w:val="16"/>
                <w:szCs w:val="16"/>
              </w:rPr>
              <w:t>Ambulance calls</w:t>
            </w:r>
          </w:p>
        </w:tc>
        <w:tc>
          <w:tcPr>
            <w:tcW w:w="5800" w:type="dxa"/>
            <w:gridSpan w:val="3"/>
            <w:shd w:val="clear" w:color="auto" w:fill="F2F2F2" w:themeFill="background1" w:themeFillShade="F2"/>
            <w:vAlign w:val="center"/>
          </w:tcPr>
          <w:p w14:paraId="4404D169" w14:textId="77777777" w:rsidR="00850777" w:rsidRPr="00D87A32" w:rsidRDefault="00850777" w:rsidP="00C32AFC">
            <w:pPr>
              <w:spacing w:line="240" w:lineRule="auto"/>
              <w:jc w:val="center"/>
              <w:rPr>
                <w:sz w:val="16"/>
                <w:szCs w:val="16"/>
              </w:rPr>
            </w:pPr>
            <w:r>
              <w:rPr>
                <w:sz w:val="16"/>
                <w:szCs w:val="16"/>
              </w:rPr>
              <w:t xml:space="preserve">Total: </w:t>
            </w:r>
            <w:r w:rsidRPr="00D87A32">
              <w:rPr>
                <w:sz w:val="16"/>
                <w:szCs w:val="16"/>
              </w:rPr>
              <w:t>N (events) =</w:t>
            </w:r>
            <w:r>
              <w:rPr>
                <w:sz w:val="16"/>
                <w:szCs w:val="16"/>
              </w:rPr>
              <w:t>503</w:t>
            </w:r>
            <w:r w:rsidRPr="00D87A32">
              <w:rPr>
                <w:sz w:val="16"/>
                <w:szCs w:val="16"/>
              </w:rPr>
              <w:t xml:space="preserve">, N (unique persons) = </w:t>
            </w:r>
            <w:r>
              <w:rPr>
                <w:sz w:val="16"/>
                <w:szCs w:val="16"/>
              </w:rPr>
              <w:t>110 / AMB cohort = 343</w:t>
            </w:r>
          </w:p>
        </w:tc>
      </w:tr>
      <w:tr w:rsidR="00850777" w:rsidRPr="00D87A32" w14:paraId="07742DBD" w14:textId="77777777" w:rsidTr="003D476A">
        <w:trPr>
          <w:jc w:val="center"/>
        </w:trPr>
        <w:tc>
          <w:tcPr>
            <w:tcW w:w="2712" w:type="dxa"/>
            <w:vAlign w:val="center"/>
          </w:tcPr>
          <w:p w14:paraId="19689C78" w14:textId="77777777" w:rsidR="00850777" w:rsidRPr="00044E0C" w:rsidRDefault="00850777" w:rsidP="00C32AFC">
            <w:pPr>
              <w:spacing w:line="240" w:lineRule="auto"/>
              <w:jc w:val="center"/>
              <w:rPr>
                <w:sz w:val="16"/>
                <w:szCs w:val="16"/>
                <w:vertAlign w:val="superscript"/>
              </w:rPr>
            </w:pPr>
            <w:r>
              <w:rPr>
                <w:sz w:val="16"/>
                <w:szCs w:val="16"/>
              </w:rPr>
              <w:t>Person</w:t>
            </w:r>
            <w:r w:rsidRPr="00D87A32">
              <w:rPr>
                <w:sz w:val="16"/>
                <w:szCs w:val="16"/>
              </w:rPr>
              <w:t xml:space="preserve"> contacts, n </w:t>
            </w:r>
            <w:r>
              <w:rPr>
                <w:sz w:val="16"/>
                <w:szCs w:val="16"/>
              </w:rPr>
              <w:t>(</w:t>
            </w:r>
            <w:r w:rsidRPr="00D87A32">
              <w:rPr>
                <w:sz w:val="16"/>
                <w:szCs w:val="16"/>
              </w:rPr>
              <w:t>%</w:t>
            </w:r>
            <w:r>
              <w:rPr>
                <w:sz w:val="16"/>
                <w:szCs w:val="16"/>
                <w:vertAlign w:val="superscript"/>
              </w:rPr>
              <w:t>a</w:t>
            </w:r>
            <w:r>
              <w:rPr>
                <w:sz w:val="16"/>
                <w:szCs w:val="16"/>
              </w:rPr>
              <w:t>)</w:t>
            </w:r>
          </w:p>
        </w:tc>
        <w:tc>
          <w:tcPr>
            <w:tcW w:w="2158" w:type="dxa"/>
          </w:tcPr>
          <w:p w14:paraId="5D476AE1" w14:textId="7A8F6283" w:rsidR="00850777" w:rsidRPr="00D87A32" w:rsidRDefault="00850777" w:rsidP="00C32AFC">
            <w:pPr>
              <w:spacing w:line="240" w:lineRule="auto"/>
              <w:jc w:val="center"/>
              <w:rPr>
                <w:sz w:val="16"/>
                <w:szCs w:val="16"/>
              </w:rPr>
            </w:pPr>
            <w:r>
              <w:rPr>
                <w:sz w:val="16"/>
                <w:szCs w:val="16"/>
              </w:rPr>
              <w:t>74</w:t>
            </w:r>
            <w:r w:rsidR="004564B0">
              <w:rPr>
                <w:sz w:val="16"/>
                <w:szCs w:val="16"/>
              </w:rPr>
              <w:t xml:space="preserve"> (67.3)</w:t>
            </w:r>
          </w:p>
        </w:tc>
        <w:tc>
          <w:tcPr>
            <w:tcW w:w="1753" w:type="dxa"/>
          </w:tcPr>
          <w:p w14:paraId="17DC17ED" w14:textId="670AF704" w:rsidR="00850777" w:rsidRPr="00D87A32" w:rsidRDefault="00850777" w:rsidP="00C32AFC">
            <w:pPr>
              <w:spacing w:line="240" w:lineRule="auto"/>
              <w:jc w:val="center"/>
              <w:rPr>
                <w:sz w:val="16"/>
                <w:szCs w:val="16"/>
              </w:rPr>
            </w:pPr>
            <w:r>
              <w:rPr>
                <w:sz w:val="16"/>
                <w:szCs w:val="16"/>
              </w:rPr>
              <w:t>36</w:t>
            </w:r>
            <w:r w:rsidR="004564B0">
              <w:rPr>
                <w:sz w:val="16"/>
                <w:szCs w:val="16"/>
              </w:rPr>
              <w:t xml:space="preserve"> (32.7)</w:t>
            </w:r>
          </w:p>
        </w:tc>
        <w:tc>
          <w:tcPr>
            <w:tcW w:w="1889" w:type="dxa"/>
          </w:tcPr>
          <w:p w14:paraId="718E9EEF" w14:textId="5CD91F90" w:rsidR="00850777" w:rsidRPr="00D87A32" w:rsidRDefault="00850777" w:rsidP="00C32AFC">
            <w:pPr>
              <w:spacing w:line="240" w:lineRule="auto"/>
              <w:jc w:val="center"/>
              <w:rPr>
                <w:sz w:val="16"/>
                <w:szCs w:val="16"/>
              </w:rPr>
            </w:pPr>
            <w:r>
              <w:rPr>
                <w:sz w:val="16"/>
                <w:szCs w:val="16"/>
              </w:rPr>
              <w:t>56</w:t>
            </w:r>
            <w:r w:rsidR="004564B0">
              <w:rPr>
                <w:sz w:val="16"/>
                <w:szCs w:val="16"/>
              </w:rPr>
              <w:t xml:space="preserve"> (50.9)</w:t>
            </w:r>
          </w:p>
        </w:tc>
      </w:tr>
      <w:tr w:rsidR="00850777" w:rsidRPr="00D87A32" w14:paraId="3F367975" w14:textId="77777777" w:rsidTr="003D476A">
        <w:trPr>
          <w:jc w:val="center"/>
        </w:trPr>
        <w:tc>
          <w:tcPr>
            <w:tcW w:w="2712" w:type="dxa"/>
            <w:vAlign w:val="center"/>
          </w:tcPr>
          <w:p w14:paraId="0F0B6954" w14:textId="77777777" w:rsidR="00850777" w:rsidRPr="00D87A32" w:rsidRDefault="00850777" w:rsidP="00C32AFC">
            <w:pPr>
              <w:spacing w:line="240" w:lineRule="auto"/>
              <w:jc w:val="center"/>
              <w:rPr>
                <w:sz w:val="16"/>
                <w:szCs w:val="16"/>
              </w:rPr>
            </w:pPr>
            <w:r>
              <w:rPr>
                <w:sz w:val="16"/>
                <w:szCs w:val="16"/>
              </w:rPr>
              <w:t>E</w:t>
            </w:r>
            <w:r w:rsidRPr="00D87A32">
              <w:rPr>
                <w:sz w:val="16"/>
                <w:szCs w:val="16"/>
              </w:rPr>
              <w:t>vents, n (%</w:t>
            </w:r>
            <w:r>
              <w:rPr>
                <w:sz w:val="16"/>
                <w:szCs w:val="16"/>
                <w:vertAlign w:val="superscript"/>
              </w:rPr>
              <w:t>b</w:t>
            </w:r>
            <w:r w:rsidRPr="00D87A32">
              <w:rPr>
                <w:sz w:val="16"/>
                <w:szCs w:val="16"/>
              </w:rPr>
              <w:t>)</w:t>
            </w:r>
          </w:p>
        </w:tc>
        <w:tc>
          <w:tcPr>
            <w:tcW w:w="2158" w:type="dxa"/>
          </w:tcPr>
          <w:p w14:paraId="43D481CC" w14:textId="77777777" w:rsidR="00850777" w:rsidRPr="00D87A32" w:rsidRDefault="00850777" w:rsidP="00C32AFC">
            <w:pPr>
              <w:spacing w:line="240" w:lineRule="auto"/>
              <w:jc w:val="center"/>
              <w:rPr>
                <w:sz w:val="16"/>
                <w:szCs w:val="16"/>
              </w:rPr>
            </w:pPr>
            <w:r>
              <w:rPr>
                <w:sz w:val="16"/>
                <w:szCs w:val="16"/>
              </w:rPr>
              <w:t>242 (48.1)</w:t>
            </w:r>
          </w:p>
        </w:tc>
        <w:tc>
          <w:tcPr>
            <w:tcW w:w="1753" w:type="dxa"/>
          </w:tcPr>
          <w:p w14:paraId="4A84577C" w14:textId="77777777" w:rsidR="00850777" w:rsidRPr="00D87A32" w:rsidRDefault="00850777" w:rsidP="00C32AFC">
            <w:pPr>
              <w:spacing w:line="240" w:lineRule="auto"/>
              <w:jc w:val="center"/>
              <w:rPr>
                <w:sz w:val="16"/>
                <w:szCs w:val="16"/>
              </w:rPr>
            </w:pPr>
            <w:r>
              <w:rPr>
                <w:sz w:val="16"/>
                <w:szCs w:val="16"/>
              </w:rPr>
              <w:t>77 (15.3)</w:t>
            </w:r>
          </w:p>
        </w:tc>
        <w:tc>
          <w:tcPr>
            <w:tcW w:w="1889" w:type="dxa"/>
          </w:tcPr>
          <w:p w14:paraId="521D0ADC" w14:textId="77777777" w:rsidR="00850777" w:rsidRPr="00D87A32" w:rsidRDefault="00850777" w:rsidP="00C32AFC">
            <w:pPr>
              <w:spacing w:line="240" w:lineRule="auto"/>
              <w:jc w:val="center"/>
              <w:rPr>
                <w:sz w:val="16"/>
                <w:szCs w:val="16"/>
              </w:rPr>
            </w:pPr>
            <w:r>
              <w:rPr>
                <w:sz w:val="16"/>
                <w:szCs w:val="16"/>
              </w:rPr>
              <w:t>184 (36.6)</w:t>
            </w:r>
          </w:p>
        </w:tc>
      </w:tr>
      <w:tr w:rsidR="00850777" w:rsidRPr="00D87A32" w14:paraId="250EA5D2" w14:textId="77777777" w:rsidTr="00C32AFC">
        <w:trPr>
          <w:trHeight w:val="395"/>
          <w:jc w:val="center"/>
        </w:trPr>
        <w:tc>
          <w:tcPr>
            <w:tcW w:w="2712" w:type="dxa"/>
            <w:shd w:val="clear" w:color="auto" w:fill="F2F2F2" w:themeFill="background1" w:themeFillShade="F2"/>
            <w:vAlign w:val="center"/>
          </w:tcPr>
          <w:p w14:paraId="27DE47AF" w14:textId="77777777" w:rsidR="00850777" w:rsidRPr="00D87A32" w:rsidRDefault="00850777" w:rsidP="00704B3E">
            <w:pPr>
              <w:spacing w:line="240" w:lineRule="auto"/>
              <w:jc w:val="center"/>
              <w:rPr>
                <w:sz w:val="16"/>
                <w:szCs w:val="16"/>
              </w:rPr>
            </w:pPr>
            <w:r w:rsidRPr="00D87A32">
              <w:rPr>
                <w:sz w:val="16"/>
                <w:szCs w:val="16"/>
              </w:rPr>
              <w:t>APC</w:t>
            </w:r>
          </w:p>
        </w:tc>
        <w:tc>
          <w:tcPr>
            <w:tcW w:w="5800" w:type="dxa"/>
            <w:gridSpan w:val="3"/>
            <w:shd w:val="clear" w:color="auto" w:fill="F2F2F2" w:themeFill="background1" w:themeFillShade="F2"/>
            <w:vAlign w:val="center"/>
          </w:tcPr>
          <w:p w14:paraId="1570D7AC" w14:textId="77777777" w:rsidR="00850777" w:rsidRPr="00D87A32" w:rsidRDefault="00850777" w:rsidP="00C32AFC">
            <w:pPr>
              <w:spacing w:line="240" w:lineRule="auto"/>
              <w:jc w:val="center"/>
              <w:rPr>
                <w:sz w:val="16"/>
                <w:szCs w:val="16"/>
              </w:rPr>
            </w:pPr>
            <w:r>
              <w:rPr>
                <w:sz w:val="16"/>
                <w:szCs w:val="16"/>
              </w:rPr>
              <w:t xml:space="preserve">Total: </w:t>
            </w:r>
            <w:r w:rsidRPr="00D87A32">
              <w:rPr>
                <w:sz w:val="16"/>
                <w:szCs w:val="16"/>
              </w:rPr>
              <w:t xml:space="preserve">N (events) = </w:t>
            </w:r>
            <w:r>
              <w:rPr>
                <w:sz w:val="16"/>
                <w:szCs w:val="16"/>
              </w:rPr>
              <w:t>671</w:t>
            </w:r>
            <w:r w:rsidRPr="00D87A32">
              <w:rPr>
                <w:sz w:val="16"/>
                <w:szCs w:val="16"/>
              </w:rPr>
              <w:t>, N</w:t>
            </w:r>
            <w:r>
              <w:rPr>
                <w:sz w:val="16"/>
                <w:szCs w:val="16"/>
              </w:rPr>
              <w:t xml:space="preserve"> </w:t>
            </w:r>
            <w:r w:rsidRPr="00D87A32">
              <w:rPr>
                <w:sz w:val="16"/>
                <w:szCs w:val="16"/>
              </w:rPr>
              <w:t>(</w:t>
            </w:r>
            <w:r>
              <w:rPr>
                <w:sz w:val="16"/>
                <w:szCs w:val="16"/>
              </w:rPr>
              <w:t xml:space="preserve">unique </w:t>
            </w:r>
            <w:r w:rsidRPr="00D87A32">
              <w:rPr>
                <w:sz w:val="16"/>
                <w:szCs w:val="16"/>
              </w:rPr>
              <w:t>persons) =</w:t>
            </w:r>
            <w:r>
              <w:rPr>
                <w:sz w:val="16"/>
                <w:szCs w:val="16"/>
              </w:rPr>
              <w:t xml:space="preserve"> 165</w:t>
            </w:r>
            <w:r w:rsidRPr="00D87A32">
              <w:rPr>
                <w:sz w:val="16"/>
                <w:szCs w:val="16"/>
              </w:rPr>
              <w:t xml:space="preserve"> </w:t>
            </w:r>
            <w:r>
              <w:rPr>
                <w:sz w:val="16"/>
                <w:szCs w:val="16"/>
              </w:rPr>
              <w:t>/ APC cohort = 448</w:t>
            </w:r>
          </w:p>
        </w:tc>
      </w:tr>
      <w:tr w:rsidR="00850777" w:rsidRPr="00D87A32" w14:paraId="385552B2" w14:textId="77777777" w:rsidTr="00C32AFC">
        <w:trPr>
          <w:jc w:val="center"/>
        </w:trPr>
        <w:tc>
          <w:tcPr>
            <w:tcW w:w="2712" w:type="dxa"/>
            <w:vAlign w:val="center"/>
          </w:tcPr>
          <w:p w14:paraId="3DFC35F1" w14:textId="77777777" w:rsidR="00850777" w:rsidRPr="00D87A32" w:rsidRDefault="00850777" w:rsidP="00C32AFC">
            <w:pPr>
              <w:spacing w:line="240" w:lineRule="auto"/>
              <w:jc w:val="center"/>
              <w:rPr>
                <w:sz w:val="16"/>
                <w:szCs w:val="16"/>
              </w:rPr>
            </w:pPr>
            <w:r>
              <w:rPr>
                <w:sz w:val="16"/>
                <w:szCs w:val="16"/>
              </w:rPr>
              <w:t>Person</w:t>
            </w:r>
            <w:r w:rsidRPr="00D87A32">
              <w:rPr>
                <w:sz w:val="16"/>
                <w:szCs w:val="16"/>
              </w:rPr>
              <w:t xml:space="preserve"> contacts, n</w:t>
            </w:r>
            <w:r>
              <w:rPr>
                <w:sz w:val="16"/>
                <w:szCs w:val="16"/>
              </w:rPr>
              <w:t xml:space="preserve"> (</w:t>
            </w:r>
            <w:r w:rsidRPr="00D87A32">
              <w:rPr>
                <w:sz w:val="16"/>
                <w:szCs w:val="16"/>
              </w:rPr>
              <w:t>%</w:t>
            </w:r>
            <w:r>
              <w:rPr>
                <w:sz w:val="16"/>
                <w:szCs w:val="16"/>
                <w:vertAlign w:val="superscript"/>
              </w:rPr>
              <w:t>a</w:t>
            </w:r>
            <w:r>
              <w:rPr>
                <w:sz w:val="16"/>
                <w:szCs w:val="16"/>
              </w:rPr>
              <w:t>)</w:t>
            </w:r>
          </w:p>
        </w:tc>
        <w:tc>
          <w:tcPr>
            <w:tcW w:w="2158" w:type="dxa"/>
          </w:tcPr>
          <w:p w14:paraId="0FAE316D" w14:textId="00AC3915" w:rsidR="00850777" w:rsidRPr="00D87A32" w:rsidRDefault="00850777" w:rsidP="00C32AFC">
            <w:pPr>
              <w:spacing w:line="240" w:lineRule="auto"/>
              <w:jc w:val="center"/>
              <w:rPr>
                <w:sz w:val="16"/>
                <w:szCs w:val="16"/>
              </w:rPr>
            </w:pPr>
            <w:r>
              <w:rPr>
                <w:sz w:val="16"/>
                <w:szCs w:val="16"/>
              </w:rPr>
              <w:t xml:space="preserve">122 </w:t>
            </w:r>
            <w:r w:rsidR="004564B0">
              <w:rPr>
                <w:sz w:val="16"/>
                <w:szCs w:val="16"/>
              </w:rPr>
              <w:t>(73.9)</w:t>
            </w:r>
          </w:p>
        </w:tc>
        <w:tc>
          <w:tcPr>
            <w:tcW w:w="1753" w:type="dxa"/>
          </w:tcPr>
          <w:p w14:paraId="28AAD207" w14:textId="22FAA35F" w:rsidR="00850777" w:rsidRPr="00D87A32" w:rsidRDefault="00850777" w:rsidP="00C32AFC">
            <w:pPr>
              <w:spacing w:line="240" w:lineRule="auto"/>
              <w:jc w:val="center"/>
              <w:rPr>
                <w:sz w:val="16"/>
                <w:szCs w:val="16"/>
              </w:rPr>
            </w:pPr>
            <w:r>
              <w:rPr>
                <w:sz w:val="16"/>
                <w:szCs w:val="16"/>
              </w:rPr>
              <w:t>45</w:t>
            </w:r>
            <w:r w:rsidR="004564B0">
              <w:rPr>
                <w:sz w:val="16"/>
                <w:szCs w:val="16"/>
              </w:rPr>
              <w:t xml:space="preserve"> (27.3)</w:t>
            </w:r>
          </w:p>
        </w:tc>
        <w:tc>
          <w:tcPr>
            <w:tcW w:w="1889" w:type="dxa"/>
          </w:tcPr>
          <w:p w14:paraId="3C482F8F" w14:textId="39207F4D" w:rsidR="00850777" w:rsidRPr="00D87A32" w:rsidRDefault="00850777" w:rsidP="00C32AFC">
            <w:pPr>
              <w:spacing w:line="240" w:lineRule="auto"/>
              <w:jc w:val="center"/>
              <w:rPr>
                <w:sz w:val="16"/>
                <w:szCs w:val="16"/>
              </w:rPr>
            </w:pPr>
            <w:r>
              <w:rPr>
                <w:sz w:val="16"/>
                <w:szCs w:val="16"/>
              </w:rPr>
              <w:t>83</w:t>
            </w:r>
            <w:r w:rsidR="004564B0">
              <w:rPr>
                <w:sz w:val="16"/>
                <w:szCs w:val="16"/>
              </w:rPr>
              <w:t xml:space="preserve"> (50.3)</w:t>
            </w:r>
          </w:p>
        </w:tc>
      </w:tr>
      <w:tr w:rsidR="00850777" w:rsidRPr="00D87A32" w14:paraId="2735201E" w14:textId="77777777" w:rsidTr="00C32AFC">
        <w:trPr>
          <w:jc w:val="center"/>
        </w:trPr>
        <w:tc>
          <w:tcPr>
            <w:tcW w:w="2712" w:type="dxa"/>
            <w:vAlign w:val="center"/>
          </w:tcPr>
          <w:p w14:paraId="3C525706" w14:textId="77777777" w:rsidR="00850777" w:rsidRPr="00D87A32" w:rsidRDefault="00850777" w:rsidP="00C32AFC">
            <w:pPr>
              <w:spacing w:line="240" w:lineRule="auto"/>
              <w:jc w:val="center"/>
              <w:rPr>
                <w:sz w:val="16"/>
                <w:szCs w:val="16"/>
              </w:rPr>
            </w:pPr>
            <w:r>
              <w:rPr>
                <w:sz w:val="16"/>
                <w:szCs w:val="16"/>
              </w:rPr>
              <w:t>E</w:t>
            </w:r>
            <w:r w:rsidRPr="00D87A32">
              <w:rPr>
                <w:sz w:val="16"/>
                <w:szCs w:val="16"/>
              </w:rPr>
              <w:t>vents, n (%</w:t>
            </w:r>
            <w:r>
              <w:rPr>
                <w:sz w:val="16"/>
                <w:szCs w:val="16"/>
                <w:vertAlign w:val="superscript"/>
              </w:rPr>
              <w:t>b</w:t>
            </w:r>
            <w:r w:rsidRPr="00D87A32">
              <w:rPr>
                <w:sz w:val="16"/>
                <w:szCs w:val="16"/>
              </w:rPr>
              <w:t>)</w:t>
            </w:r>
          </w:p>
        </w:tc>
        <w:tc>
          <w:tcPr>
            <w:tcW w:w="2158" w:type="dxa"/>
          </w:tcPr>
          <w:p w14:paraId="3DE14B49" w14:textId="77777777" w:rsidR="00850777" w:rsidRPr="00D87A32" w:rsidRDefault="00850777" w:rsidP="00C32AFC">
            <w:pPr>
              <w:spacing w:line="240" w:lineRule="auto"/>
              <w:jc w:val="center"/>
              <w:rPr>
                <w:sz w:val="16"/>
                <w:szCs w:val="16"/>
              </w:rPr>
            </w:pPr>
            <w:r>
              <w:rPr>
                <w:sz w:val="16"/>
                <w:szCs w:val="16"/>
              </w:rPr>
              <w:t>311 (46.4)</w:t>
            </w:r>
          </w:p>
        </w:tc>
        <w:tc>
          <w:tcPr>
            <w:tcW w:w="1753" w:type="dxa"/>
          </w:tcPr>
          <w:p w14:paraId="0711FBA7" w14:textId="77777777" w:rsidR="00850777" w:rsidRPr="00D87A32" w:rsidRDefault="00850777" w:rsidP="00C32AFC">
            <w:pPr>
              <w:spacing w:line="240" w:lineRule="auto"/>
              <w:jc w:val="center"/>
              <w:rPr>
                <w:sz w:val="16"/>
                <w:szCs w:val="16"/>
              </w:rPr>
            </w:pPr>
            <w:r>
              <w:rPr>
                <w:sz w:val="16"/>
                <w:szCs w:val="16"/>
              </w:rPr>
              <w:t>98 (14.6)</w:t>
            </w:r>
          </w:p>
        </w:tc>
        <w:tc>
          <w:tcPr>
            <w:tcW w:w="1889" w:type="dxa"/>
          </w:tcPr>
          <w:p w14:paraId="57EFD7C2" w14:textId="77777777" w:rsidR="00850777" w:rsidRPr="00D87A32" w:rsidRDefault="00850777" w:rsidP="00C32AFC">
            <w:pPr>
              <w:spacing w:line="240" w:lineRule="auto"/>
              <w:jc w:val="center"/>
              <w:rPr>
                <w:sz w:val="16"/>
                <w:szCs w:val="16"/>
              </w:rPr>
            </w:pPr>
            <w:r>
              <w:rPr>
                <w:sz w:val="16"/>
                <w:szCs w:val="16"/>
              </w:rPr>
              <w:t>262 (39.0)</w:t>
            </w:r>
          </w:p>
        </w:tc>
      </w:tr>
    </w:tbl>
    <w:p w14:paraId="3C1DF54B" w14:textId="77777777" w:rsidR="00850777" w:rsidRDefault="00850777" w:rsidP="00DF3A69">
      <w:pPr>
        <w:jc w:val="center"/>
        <w:rPr>
          <w:i/>
          <w:iCs/>
          <w:sz w:val="18"/>
          <w:szCs w:val="18"/>
        </w:rPr>
      </w:pPr>
    </w:p>
    <w:p w14:paraId="64580247" w14:textId="3A37839A" w:rsidR="00850777" w:rsidRPr="007A2695" w:rsidRDefault="00850777" w:rsidP="00C17D83">
      <w:pPr>
        <w:spacing w:line="276" w:lineRule="auto"/>
        <w:rPr>
          <w:i/>
          <w:iCs/>
          <w:sz w:val="18"/>
          <w:szCs w:val="18"/>
        </w:rPr>
      </w:pPr>
      <w:r w:rsidRPr="007A2695">
        <w:rPr>
          <w:i/>
          <w:iCs/>
          <w:sz w:val="18"/>
          <w:szCs w:val="18"/>
        </w:rPr>
        <w:t xml:space="preserve">Note: </w:t>
      </w:r>
      <w:r>
        <w:rPr>
          <w:i/>
          <w:iCs/>
          <w:sz w:val="18"/>
          <w:szCs w:val="18"/>
        </w:rPr>
        <w:t>Pre- and post-therapy periods comprise 1.5 years before and after the start of an individual patient's psychotherapy. The mean length of psychotherapy among all patients captured was 6.8 months (range = &lt;1 - 36 months). (</w:t>
      </w:r>
      <w:r>
        <w:rPr>
          <w:i/>
          <w:iCs/>
          <w:sz w:val="18"/>
          <w:szCs w:val="18"/>
          <w:vertAlign w:val="superscript"/>
        </w:rPr>
        <w:t>a</w:t>
      </w:r>
      <w:r>
        <w:rPr>
          <w:i/>
          <w:iCs/>
          <w:sz w:val="18"/>
          <w:szCs w:val="18"/>
        </w:rPr>
        <w:t>)- the percentage of</w:t>
      </w:r>
      <w:r w:rsidR="004564B0">
        <w:rPr>
          <w:i/>
          <w:iCs/>
          <w:sz w:val="18"/>
          <w:szCs w:val="18"/>
        </w:rPr>
        <w:t xml:space="preserve"> unique individuals that accessed respective UEC services within the total available cohort in the studied time frame</w:t>
      </w:r>
      <w:r>
        <w:rPr>
          <w:i/>
          <w:iCs/>
          <w:sz w:val="18"/>
          <w:szCs w:val="18"/>
        </w:rPr>
        <w:t>. (</w:t>
      </w:r>
      <w:r>
        <w:rPr>
          <w:i/>
          <w:iCs/>
          <w:sz w:val="18"/>
          <w:szCs w:val="18"/>
          <w:vertAlign w:val="superscript"/>
        </w:rPr>
        <w:t>b</w:t>
      </w:r>
      <w:r>
        <w:rPr>
          <w:i/>
          <w:iCs/>
          <w:sz w:val="18"/>
          <w:szCs w:val="18"/>
        </w:rPr>
        <w:t>)- the percentage of total events captured in the respective UEC service cohort in 1.5 years before and after therapy. High user status = &gt;5 attendances in a year</w:t>
      </w:r>
    </w:p>
    <w:p w14:paraId="352755F7" w14:textId="760D8573" w:rsidR="00850777" w:rsidRPr="00850777" w:rsidRDefault="00850777" w:rsidP="00850777">
      <w:pPr>
        <w:pStyle w:val="Heading4"/>
      </w:pPr>
      <w:r>
        <w:br w:type="page"/>
      </w:r>
      <w:r>
        <w:lastRenderedPageBreak/>
        <w:t>4.</w:t>
      </w:r>
      <w:r w:rsidRPr="003562A2">
        <w:t>3.</w:t>
      </w:r>
      <w:r>
        <w:t>3</w:t>
      </w:r>
      <w:r w:rsidRPr="003562A2">
        <w:t>.</w:t>
      </w:r>
      <w:r>
        <w:t xml:space="preserve">2 </w:t>
      </w:r>
      <w:r w:rsidRPr="00E039CD">
        <w:rPr>
          <w:rFonts w:eastAsia="Calibri"/>
        </w:rPr>
        <w:t xml:space="preserve">Rates and </w:t>
      </w:r>
      <w:r>
        <w:rPr>
          <w:rFonts w:eastAsia="Calibri"/>
        </w:rPr>
        <w:t>Proportion</w:t>
      </w:r>
      <w:r w:rsidRPr="00E039CD">
        <w:rPr>
          <w:rFonts w:eastAsia="Calibri"/>
        </w:rPr>
        <w:t xml:space="preserve"> per year relative to </w:t>
      </w:r>
      <w:r>
        <w:rPr>
          <w:rFonts w:eastAsia="Calibri"/>
        </w:rPr>
        <w:t>Therapy</w:t>
      </w:r>
    </w:p>
    <w:p w14:paraId="4119B906" w14:textId="77777777" w:rsidR="00850777" w:rsidRPr="004564B0" w:rsidRDefault="00850777" w:rsidP="0090652D">
      <w:pPr>
        <w:pStyle w:val="Heading4"/>
        <w:rPr>
          <w:rFonts w:ascii="Arial" w:eastAsiaTheme="minorEastAsia" w:hAnsi="Arial" w:cstheme="minorBidi"/>
          <w:i w:val="0"/>
          <w:iCs w:val="0"/>
          <w:color w:val="auto"/>
        </w:rPr>
      </w:pPr>
      <w:r w:rsidRPr="004564B0">
        <w:rPr>
          <w:rFonts w:ascii="Arial" w:eastAsiaTheme="minorEastAsia" w:hAnsi="Arial" w:cstheme="minorBidi"/>
          <w:i w:val="0"/>
          <w:iCs w:val="0"/>
          <w:color w:val="auto"/>
        </w:rPr>
        <w:t>Following the end of therapy, the rate of 111 calls per 1000 person-years decreased by 7% overall. The rate of A&amp;E visits decreased by 20%, AMB callouts were reduced by 24%, and the rate of APC episodes was reduced by 15% (Table 18). The proportion of FNSD users also decreased in A&amp;E, AMB and APC health services after therapy. However, the proportion of 111 callers seemed to increase after completion of therapy by 5% compared to the 1.5 years before therapy (Table 19).</w:t>
      </w:r>
    </w:p>
    <w:p w14:paraId="12DC0249" w14:textId="77777777" w:rsidR="00850777" w:rsidRPr="004564B0" w:rsidRDefault="00850777" w:rsidP="009A759B"/>
    <w:p w14:paraId="1D505B9A" w14:textId="0A343E2B" w:rsidR="00850777" w:rsidRPr="004564B0" w:rsidRDefault="00850777" w:rsidP="009A759B">
      <w:pPr>
        <w:rPr>
          <w:rFonts w:cs="Arial"/>
        </w:rPr>
      </w:pPr>
      <w:r w:rsidRPr="004564B0">
        <w:t xml:space="preserve">Table 18. Usage rates (95% confidence intervals) per 1,000 person-years for </w:t>
      </w:r>
      <w:r w:rsidR="004564B0">
        <w:t xml:space="preserve">each </w:t>
      </w:r>
      <w:r w:rsidRPr="004564B0">
        <w:t xml:space="preserve">UEC service </w:t>
      </w:r>
      <w:r w:rsidR="004564B0">
        <w:t>1.5 years</w:t>
      </w:r>
      <w:r w:rsidR="004564B0" w:rsidRPr="004564B0">
        <w:t xml:space="preserve"> </w:t>
      </w:r>
      <w:r w:rsidRPr="004564B0">
        <w:t xml:space="preserve">before and after therapy </w:t>
      </w:r>
      <w:r w:rsidRPr="004564B0">
        <w:rPr>
          <w:rFonts w:cs="Arial"/>
        </w:rPr>
        <w:t>and comparison as rate ratio.</w:t>
      </w:r>
    </w:p>
    <w:tbl>
      <w:tblPr>
        <w:tblStyle w:val="TableGridLight"/>
        <w:tblW w:w="0" w:type="auto"/>
        <w:tblLook w:val="04A0" w:firstRow="1" w:lastRow="0" w:firstColumn="1" w:lastColumn="0" w:noHBand="0" w:noVBand="1"/>
      </w:tblPr>
      <w:tblGrid>
        <w:gridCol w:w="668"/>
        <w:gridCol w:w="1125"/>
        <w:gridCol w:w="1200"/>
        <w:gridCol w:w="951"/>
        <w:gridCol w:w="1199"/>
        <w:gridCol w:w="889"/>
        <w:gridCol w:w="889"/>
        <w:gridCol w:w="747"/>
        <w:gridCol w:w="686"/>
        <w:gridCol w:w="656"/>
      </w:tblGrid>
      <w:tr w:rsidR="00850777" w:rsidRPr="004564B0" w14:paraId="24737E97" w14:textId="77777777" w:rsidTr="00D55AF1">
        <w:trPr>
          <w:trHeight w:val="588"/>
        </w:trPr>
        <w:tc>
          <w:tcPr>
            <w:tcW w:w="701" w:type="dxa"/>
            <w:vAlign w:val="center"/>
          </w:tcPr>
          <w:p w14:paraId="2ED6D573" w14:textId="77777777" w:rsidR="00850777" w:rsidRPr="004564B0" w:rsidRDefault="00850777" w:rsidP="009A759B">
            <w:pPr>
              <w:spacing w:line="240" w:lineRule="auto"/>
              <w:jc w:val="center"/>
              <w:rPr>
                <w:rFonts w:eastAsia="Calibri" w:cs="Arial"/>
                <w:sz w:val="18"/>
                <w:szCs w:val="18"/>
              </w:rPr>
            </w:pPr>
            <w:bookmarkStart w:id="137" w:name="OLE_LINK2"/>
          </w:p>
        </w:tc>
        <w:tc>
          <w:tcPr>
            <w:tcW w:w="1139" w:type="dxa"/>
            <w:vAlign w:val="center"/>
          </w:tcPr>
          <w:p w14:paraId="02C76097"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Pretherapy rate</w:t>
            </w:r>
          </w:p>
        </w:tc>
        <w:tc>
          <w:tcPr>
            <w:tcW w:w="2214" w:type="dxa"/>
            <w:gridSpan w:val="2"/>
            <w:vAlign w:val="center"/>
          </w:tcPr>
          <w:p w14:paraId="35D14318"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Pretherapy 95% CI</w:t>
            </w:r>
          </w:p>
        </w:tc>
        <w:tc>
          <w:tcPr>
            <w:tcW w:w="1328" w:type="dxa"/>
            <w:vAlign w:val="center"/>
          </w:tcPr>
          <w:p w14:paraId="3807B914"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Post-therapy rate</w:t>
            </w:r>
          </w:p>
        </w:tc>
        <w:tc>
          <w:tcPr>
            <w:tcW w:w="1458" w:type="dxa"/>
            <w:gridSpan w:val="2"/>
            <w:vAlign w:val="center"/>
          </w:tcPr>
          <w:p w14:paraId="1B53F814"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Post-therapy 95% CI</w:t>
            </w:r>
          </w:p>
        </w:tc>
        <w:tc>
          <w:tcPr>
            <w:tcW w:w="801" w:type="dxa"/>
            <w:vAlign w:val="center"/>
          </w:tcPr>
          <w:p w14:paraId="7F60D980"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Rate ratio</w:t>
            </w:r>
          </w:p>
        </w:tc>
        <w:tc>
          <w:tcPr>
            <w:tcW w:w="1369" w:type="dxa"/>
            <w:gridSpan w:val="2"/>
            <w:vAlign w:val="center"/>
          </w:tcPr>
          <w:p w14:paraId="4184F338"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Rate ratio 95% CI</w:t>
            </w:r>
          </w:p>
        </w:tc>
      </w:tr>
      <w:tr w:rsidR="00850777" w:rsidRPr="004564B0" w14:paraId="302B90F7" w14:textId="77777777" w:rsidTr="00D55AF1">
        <w:trPr>
          <w:trHeight w:val="292"/>
        </w:trPr>
        <w:tc>
          <w:tcPr>
            <w:tcW w:w="701" w:type="dxa"/>
            <w:vAlign w:val="center"/>
          </w:tcPr>
          <w:p w14:paraId="7DCC3920"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111</w:t>
            </w:r>
          </w:p>
        </w:tc>
        <w:tc>
          <w:tcPr>
            <w:tcW w:w="1139" w:type="dxa"/>
            <w:vAlign w:val="center"/>
          </w:tcPr>
          <w:p w14:paraId="1EB86B66"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562.2</w:t>
            </w:r>
          </w:p>
        </w:tc>
        <w:tc>
          <w:tcPr>
            <w:tcW w:w="1330" w:type="dxa"/>
            <w:vAlign w:val="center"/>
          </w:tcPr>
          <w:p w14:paraId="23FCFBC0"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558.9</w:t>
            </w:r>
          </w:p>
        </w:tc>
        <w:tc>
          <w:tcPr>
            <w:tcW w:w="884" w:type="dxa"/>
            <w:vAlign w:val="center"/>
          </w:tcPr>
          <w:p w14:paraId="3B52CA78" w14:textId="77777777" w:rsidR="00850777" w:rsidRPr="004564B0" w:rsidRDefault="00850777" w:rsidP="009A759B">
            <w:pPr>
              <w:spacing w:line="240" w:lineRule="auto"/>
              <w:jc w:val="center"/>
              <w:rPr>
                <w:rFonts w:cs="Arial"/>
                <w:color w:val="000000"/>
              </w:rPr>
            </w:pPr>
            <w:r w:rsidRPr="004564B0">
              <w:rPr>
                <w:rFonts w:cs="Arial"/>
                <w:color w:val="000000"/>
              </w:rPr>
              <w:t>565.5</w:t>
            </w:r>
          </w:p>
        </w:tc>
        <w:tc>
          <w:tcPr>
            <w:tcW w:w="1328" w:type="dxa"/>
            <w:vAlign w:val="center"/>
          </w:tcPr>
          <w:p w14:paraId="722E2FA3"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522.4</w:t>
            </w:r>
          </w:p>
        </w:tc>
        <w:tc>
          <w:tcPr>
            <w:tcW w:w="630" w:type="dxa"/>
            <w:vAlign w:val="center"/>
          </w:tcPr>
          <w:p w14:paraId="70E67C71"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519.2</w:t>
            </w:r>
          </w:p>
        </w:tc>
        <w:tc>
          <w:tcPr>
            <w:tcW w:w="828" w:type="dxa"/>
            <w:vAlign w:val="center"/>
          </w:tcPr>
          <w:p w14:paraId="5541018C"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525.6</w:t>
            </w:r>
          </w:p>
        </w:tc>
        <w:tc>
          <w:tcPr>
            <w:tcW w:w="801" w:type="dxa"/>
            <w:vAlign w:val="center"/>
          </w:tcPr>
          <w:p w14:paraId="39E5337F"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0.93</w:t>
            </w:r>
          </w:p>
        </w:tc>
        <w:tc>
          <w:tcPr>
            <w:tcW w:w="707" w:type="dxa"/>
            <w:vAlign w:val="center"/>
          </w:tcPr>
          <w:p w14:paraId="28F56E99"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0.66</w:t>
            </w:r>
          </w:p>
        </w:tc>
        <w:tc>
          <w:tcPr>
            <w:tcW w:w="662" w:type="dxa"/>
            <w:vAlign w:val="center"/>
          </w:tcPr>
          <w:p w14:paraId="6AA0A6CA"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1.19</w:t>
            </w:r>
          </w:p>
        </w:tc>
      </w:tr>
      <w:tr w:rsidR="00850777" w:rsidRPr="004564B0" w14:paraId="35C4BAAA" w14:textId="77777777" w:rsidTr="00D55AF1">
        <w:tc>
          <w:tcPr>
            <w:tcW w:w="701" w:type="dxa"/>
            <w:vAlign w:val="center"/>
          </w:tcPr>
          <w:p w14:paraId="126517B2"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A&amp;E</w:t>
            </w:r>
          </w:p>
        </w:tc>
        <w:tc>
          <w:tcPr>
            <w:tcW w:w="1139" w:type="dxa"/>
            <w:vAlign w:val="center"/>
          </w:tcPr>
          <w:p w14:paraId="4B4AB179"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1,721.0</w:t>
            </w:r>
          </w:p>
        </w:tc>
        <w:tc>
          <w:tcPr>
            <w:tcW w:w="1330" w:type="dxa"/>
            <w:vAlign w:val="center"/>
          </w:tcPr>
          <w:p w14:paraId="0B875670"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1,717.1</w:t>
            </w:r>
          </w:p>
        </w:tc>
        <w:tc>
          <w:tcPr>
            <w:tcW w:w="884" w:type="dxa"/>
            <w:vAlign w:val="center"/>
          </w:tcPr>
          <w:p w14:paraId="620BB43E" w14:textId="77777777" w:rsidR="00850777" w:rsidRPr="004564B0" w:rsidRDefault="00850777" w:rsidP="009A759B">
            <w:pPr>
              <w:spacing w:line="240" w:lineRule="auto"/>
              <w:jc w:val="center"/>
              <w:rPr>
                <w:rFonts w:cs="Arial"/>
                <w:color w:val="000000"/>
              </w:rPr>
            </w:pPr>
            <w:r w:rsidRPr="004564B0">
              <w:rPr>
                <w:rFonts w:cs="Arial"/>
                <w:color w:val="000000"/>
              </w:rPr>
              <w:t>1,724.8</w:t>
            </w:r>
          </w:p>
        </w:tc>
        <w:tc>
          <w:tcPr>
            <w:tcW w:w="1328" w:type="dxa"/>
            <w:vAlign w:val="center"/>
          </w:tcPr>
          <w:p w14:paraId="760E9925"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1,370.5</w:t>
            </w:r>
          </w:p>
        </w:tc>
        <w:tc>
          <w:tcPr>
            <w:tcW w:w="630" w:type="dxa"/>
            <w:vAlign w:val="center"/>
          </w:tcPr>
          <w:p w14:paraId="29160C7D"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1367.1</w:t>
            </w:r>
          </w:p>
        </w:tc>
        <w:tc>
          <w:tcPr>
            <w:tcW w:w="828" w:type="dxa"/>
            <w:vAlign w:val="center"/>
          </w:tcPr>
          <w:p w14:paraId="4DE9EE8D"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1374.0</w:t>
            </w:r>
          </w:p>
        </w:tc>
        <w:tc>
          <w:tcPr>
            <w:tcW w:w="801" w:type="dxa"/>
            <w:vAlign w:val="center"/>
          </w:tcPr>
          <w:p w14:paraId="22717A94"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0.80</w:t>
            </w:r>
          </w:p>
        </w:tc>
        <w:tc>
          <w:tcPr>
            <w:tcW w:w="707" w:type="dxa"/>
            <w:vAlign w:val="center"/>
          </w:tcPr>
          <w:p w14:paraId="7678540F"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0.69</w:t>
            </w:r>
          </w:p>
        </w:tc>
        <w:tc>
          <w:tcPr>
            <w:tcW w:w="662" w:type="dxa"/>
            <w:vAlign w:val="center"/>
          </w:tcPr>
          <w:p w14:paraId="013DAA8E"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0.90</w:t>
            </w:r>
          </w:p>
        </w:tc>
      </w:tr>
      <w:tr w:rsidR="00850777" w:rsidRPr="004564B0" w14:paraId="71990E0B" w14:textId="77777777" w:rsidTr="00D55AF1">
        <w:tc>
          <w:tcPr>
            <w:tcW w:w="701" w:type="dxa"/>
            <w:vAlign w:val="center"/>
          </w:tcPr>
          <w:p w14:paraId="5739E49F"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AMB</w:t>
            </w:r>
          </w:p>
        </w:tc>
        <w:tc>
          <w:tcPr>
            <w:tcW w:w="1139" w:type="dxa"/>
            <w:vAlign w:val="center"/>
          </w:tcPr>
          <w:p w14:paraId="63049D66"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705.5</w:t>
            </w:r>
          </w:p>
        </w:tc>
        <w:tc>
          <w:tcPr>
            <w:tcW w:w="1330" w:type="dxa"/>
            <w:vAlign w:val="center"/>
          </w:tcPr>
          <w:p w14:paraId="431732A3"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702.7</w:t>
            </w:r>
          </w:p>
        </w:tc>
        <w:tc>
          <w:tcPr>
            <w:tcW w:w="884" w:type="dxa"/>
            <w:vAlign w:val="center"/>
          </w:tcPr>
          <w:p w14:paraId="6BFE7639" w14:textId="77777777" w:rsidR="00850777" w:rsidRPr="004564B0" w:rsidRDefault="00850777" w:rsidP="009A759B">
            <w:pPr>
              <w:spacing w:line="240" w:lineRule="auto"/>
              <w:jc w:val="center"/>
              <w:rPr>
                <w:rFonts w:cs="Arial"/>
                <w:color w:val="000000"/>
              </w:rPr>
            </w:pPr>
            <w:r w:rsidRPr="004564B0">
              <w:rPr>
                <w:rFonts w:cs="Arial"/>
                <w:color w:val="000000"/>
              </w:rPr>
              <w:t>708.4</w:t>
            </w:r>
          </w:p>
        </w:tc>
        <w:tc>
          <w:tcPr>
            <w:tcW w:w="1328" w:type="dxa"/>
            <w:vAlign w:val="center"/>
          </w:tcPr>
          <w:p w14:paraId="1C0A4ED6"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536.4</w:t>
            </w:r>
          </w:p>
        </w:tc>
        <w:tc>
          <w:tcPr>
            <w:tcW w:w="630" w:type="dxa"/>
            <w:vAlign w:val="center"/>
          </w:tcPr>
          <w:p w14:paraId="527F3165"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533.9</w:t>
            </w:r>
          </w:p>
        </w:tc>
        <w:tc>
          <w:tcPr>
            <w:tcW w:w="828" w:type="dxa"/>
            <w:vAlign w:val="center"/>
          </w:tcPr>
          <w:p w14:paraId="7496DEBB"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538.9</w:t>
            </w:r>
          </w:p>
        </w:tc>
        <w:tc>
          <w:tcPr>
            <w:tcW w:w="801" w:type="dxa"/>
            <w:vAlign w:val="center"/>
          </w:tcPr>
          <w:p w14:paraId="5AEBB37A"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0.76</w:t>
            </w:r>
          </w:p>
        </w:tc>
        <w:tc>
          <w:tcPr>
            <w:tcW w:w="707" w:type="dxa"/>
            <w:vAlign w:val="center"/>
          </w:tcPr>
          <w:p w14:paraId="1F513FCA"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0.57</w:t>
            </w:r>
          </w:p>
        </w:tc>
        <w:tc>
          <w:tcPr>
            <w:tcW w:w="662" w:type="dxa"/>
            <w:vAlign w:val="center"/>
          </w:tcPr>
          <w:p w14:paraId="0B08F483"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0.95</w:t>
            </w:r>
          </w:p>
        </w:tc>
      </w:tr>
      <w:tr w:rsidR="00850777" w:rsidRPr="004564B0" w14:paraId="03628F99" w14:textId="77777777" w:rsidTr="00D55AF1">
        <w:tc>
          <w:tcPr>
            <w:tcW w:w="701" w:type="dxa"/>
            <w:vAlign w:val="center"/>
          </w:tcPr>
          <w:p w14:paraId="17BCAEA4" w14:textId="77777777" w:rsidR="00850777" w:rsidRPr="004564B0" w:rsidRDefault="00850777" w:rsidP="009A759B">
            <w:pPr>
              <w:spacing w:line="240" w:lineRule="auto"/>
              <w:jc w:val="center"/>
              <w:rPr>
                <w:rFonts w:eastAsia="Calibri" w:cs="Arial"/>
                <w:sz w:val="18"/>
                <w:szCs w:val="18"/>
              </w:rPr>
            </w:pPr>
            <w:r w:rsidRPr="004564B0">
              <w:rPr>
                <w:rFonts w:eastAsia="Calibri" w:cs="Arial"/>
                <w:sz w:val="18"/>
                <w:szCs w:val="18"/>
              </w:rPr>
              <w:t>APC</w:t>
            </w:r>
          </w:p>
        </w:tc>
        <w:tc>
          <w:tcPr>
            <w:tcW w:w="1139" w:type="dxa"/>
            <w:vAlign w:val="center"/>
          </w:tcPr>
          <w:p w14:paraId="3C8479C2"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694.2</w:t>
            </w:r>
          </w:p>
        </w:tc>
        <w:tc>
          <w:tcPr>
            <w:tcW w:w="1330" w:type="dxa"/>
            <w:vAlign w:val="center"/>
          </w:tcPr>
          <w:p w14:paraId="413FD973"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691.7</w:t>
            </w:r>
          </w:p>
        </w:tc>
        <w:tc>
          <w:tcPr>
            <w:tcW w:w="884" w:type="dxa"/>
            <w:vAlign w:val="center"/>
          </w:tcPr>
          <w:p w14:paraId="4985DFAD" w14:textId="77777777" w:rsidR="00850777" w:rsidRPr="004564B0" w:rsidRDefault="00850777" w:rsidP="009A759B">
            <w:pPr>
              <w:spacing w:line="240" w:lineRule="auto"/>
              <w:jc w:val="center"/>
              <w:rPr>
                <w:rFonts w:cs="Arial"/>
                <w:color w:val="000000"/>
              </w:rPr>
            </w:pPr>
            <w:r w:rsidRPr="004564B0">
              <w:rPr>
                <w:rFonts w:cs="Arial"/>
                <w:color w:val="000000"/>
              </w:rPr>
              <w:t>696.6</w:t>
            </w:r>
          </w:p>
        </w:tc>
        <w:tc>
          <w:tcPr>
            <w:tcW w:w="1328" w:type="dxa"/>
            <w:vAlign w:val="center"/>
          </w:tcPr>
          <w:p w14:paraId="2FE2D3F4"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584.8</w:t>
            </w:r>
          </w:p>
        </w:tc>
        <w:tc>
          <w:tcPr>
            <w:tcW w:w="630" w:type="dxa"/>
            <w:vAlign w:val="center"/>
          </w:tcPr>
          <w:p w14:paraId="2BEA04E5"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582.6</w:t>
            </w:r>
          </w:p>
        </w:tc>
        <w:tc>
          <w:tcPr>
            <w:tcW w:w="828" w:type="dxa"/>
            <w:vAlign w:val="center"/>
          </w:tcPr>
          <w:p w14:paraId="4BCA8315"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587.1</w:t>
            </w:r>
          </w:p>
        </w:tc>
        <w:tc>
          <w:tcPr>
            <w:tcW w:w="801" w:type="dxa"/>
            <w:vAlign w:val="center"/>
          </w:tcPr>
          <w:p w14:paraId="331397D1"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0.84</w:t>
            </w:r>
          </w:p>
        </w:tc>
        <w:tc>
          <w:tcPr>
            <w:tcW w:w="707" w:type="dxa"/>
            <w:vAlign w:val="center"/>
          </w:tcPr>
          <w:p w14:paraId="11B408F1"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0.68</w:t>
            </w:r>
          </w:p>
        </w:tc>
        <w:tc>
          <w:tcPr>
            <w:tcW w:w="662" w:type="dxa"/>
            <w:vAlign w:val="center"/>
          </w:tcPr>
          <w:p w14:paraId="42C7BB20" w14:textId="77777777" w:rsidR="00850777" w:rsidRPr="004564B0" w:rsidRDefault="00850777" w:rsidP="009A759B">
            <w:pPr>
              <w:spacing w:line="240" w:lineRule="auto"/>
              <w:jc w:val="center"/>
              <w:rPr>
                <w:rFonts w:eastAsia="Calibri" w:cs="Arial"/>
                <w:sz w:val="18"/>
                <w:szCs w:val="18"/>
              </w:rPr>
            </w:pPr>
            <w:r w:rsidRPr="004564B0">
              <w:rPr>
                <w:rFonts w:cs="Arial"/>
                <w:color w:val="000000"/>
              </w:rPr>
              <w:t>1.01</w:t>
            </w:r>
          </w:p>
        </w:tc>
      </w:tr>
    </w:tbl>
    <w:bookmarkEnd w:id="137"/>
    <w:p w14:paraId="772B934E" w14:textId="77777777" w:rsidR="00850777" w:rsidRPr="004564B0" w:rsidRDefault="00850777" w:rsidP="00CC171F">
      <w:pPr>
        <w:jc w:val="center"/>
        <w:rPr>
          <w:rFonts w:eastAsia="Calibri" w:cs="Arial"/>
          <w:i/>
          <w:iCs/>
          <w:sz w:val="18"/>
          <w:szCs w:val="18"/>
        </w:rPr>
      </w:pPr>
      <w:r w:rsidRPr="004564B0">
        <w:rPr>
          <w:rFonts w:eastAsia="Calibri" w:cs="Arial"/>
          <w:i/>
          <w:iCs/>
          <w:sz w:val="18"/>
          <w:szCs w:val="18"/>
        </w:rPr>
        <w:t>Note: per 1,000 person-year</w:t>
      </w:r>
    </w:p>
    <w:p w14:paraId="5DBF166A" w14:textId="77777777" w:rsidR="00850777" w:rsidRPr="004564B0" w:rsidRDefault="00850777" w:rsidP="00F87E43">
      <w:pPr>
        <w:pStyle w:val="Heading4"/>
        <w:rPr>
          <w:rFonts w:ascii="Arial" w:eastAsiaTheme="minorEastAsia" w:hAnsi="Arial" w:cs="Arial"/>
          <w:i w:val="0"/>
          <w:iCs w:val="0"/>
          <w:color w:val="auto"/>
        </w:rPr>
      </w:pPr>
      <w:r w:rsidRPr="004564B0">
        <w:rPr>
          <w:rFonts w:ascii="Arial" w:eastAsiaTheme="minorEastAsia" w:hAnsi="Arial" w:cs="Arial"/>
          <w:i w:val="0"/>
          <w:iCs w:val="0"/>
          <w:color w:val="auto"/>
        </w:rPr>
        <w:t>Table 19. Usage proportion (95% confidence intervals) per 1000 population for each UEC service by year relative to therapy, and comparison as rate ratio.</w:t>
      </w:r>
    </w:p>
    <w:tbl>
      <w:tblPr>
        <w:tblStyle w:val="TableGridLight"/>
        <w:tblW w:w="0" w:type="auto"/>
        <w:tblLook w:val="04A0" w:firstRow="1" w:lastRow="0" w:firstColumn="1" w:lastColumn="0" w:noHBand="0" w:noVBand="1"/>
      </w:tblPr>
      <w:tblGrid>
        <w:gridCol w:w="669"/>
        <w:gridCol w:w="1097"/>
        <w:gridCol w:w="928"/>
        <w:gridCol w:w="850"/>
        <w:gridCol w:w="1263"/>
        <w:gridCol w:w="845"/>
        <w:gridCol w:w="774"/>
        <w:gridCol w:w="1130"/>
        <w:gridCol w:w="689"/>
        <w:gridCol w:w="765"/>
      </w:tblGrid>
      <w:tr w:rsidR="004564B0" w:rsidRPr="004564B0" w14:paraId="169D8B40" w14:textId="77777777" w:rsidTr="009A759B">
        <w:trPr>
          <w:trHeight w:val="664"/>
        </w:trPr>
        <w:tc>
          <w:tcPr>
            <w:tcW w:w="669" w:type="dxa"/>
            <w:vAlign w:val="center"/>
          </w:tcPr>
          <w:p w14:paraId="06CBBCC0" w14:textId="77777777" w:rsidR="00850777" w:rsidRPr="004564B0" w:rsidRDefault="00850777" w:rsidP="009A759B">
            <w:pPr>
              <w:spacing w:line="240" w:lineRule="auto"/>
              <w:jc w:val="center"/>
              <w:rPr>
                <w:rFonts w:cs="Arial"/>
                <w:color w:val="000000"/>
                <w:sz w:val="18"/>
                <w:szCs w:val="18"/>
              </w:rPr>
            </w:pPr>
          </w:p>
        </w:tc>
        <w:tc>
          <w:tcPr>
            <w:tcW w:w="1089" w:type="dxa"/>
            <w:noWrap/>
            <w:vAlign w:val="center"/>
            <w:hideMark/>
          </w:tcPr>
          <w:p w14:paraId="5114B5DD" w14:textId="77777777" w:rsidR="00850777" w:rsidRPr="004564B0" w:rsidRDefault="00850777" w:rsidP="009A759B">
            <w:pPr>
              <w:spacing w:line="240" w:lineRule="auto"/>
              <w:jc w:val="center"/>
              <w:rPr>
                <w:rFonts w:cs="Arial"/>
                <w:color w:val="000000"/>
                <w:sz w:val="18"/>
                <w:szCs w:val="18"/>
              </w:rPr>
            </w:pPr>
            <w:r w:rsidRPr="004564B0">
              <w:rPr>
                <w:rFonts w:cs="Arial"/>
                <w:color w:val="000000"/>
                <w:sz w:val="18"/>
                <w:szCs w:val="18"/>
              </w:rPr>
              <w:t>Pretherapy proportion</w:t>
            </w:r>
          </w:p>
        </w:tc>
        <w:tc>
          <w:tcPr>
            <w:tcW w:w="1778" w:type="dxa"/>
            <w:gridSpan w:val="2"/>
            <w:noWrap/>
            <w:vAlign w:val="center"/>
            <w:hideMark/>
          </w:tcPr>
          <w:p w14:paraId="2291CE42" w14:textId="77777777" w:rsidR="00850777" w:rsidRPr="004564B0" w:rsidRDefault="00850777" w:rsidP="009A759B">
            <w:pPr>
              <w:spacing w:line="240" w:lineRule="auto"/>
              <w:jc w:val="center"/>
              <w:rPr>
                <w:rFonts w:cs="Arial"/>
                <w:color w:val="000000"/>
                <w:sz w:val="18"/>
                <w:szCs w:val="18"/>
              </w:rPr>
            </w:pPr>
            <w:r w:rsidRPr="004564B0">
              <w:rPr>
                <w:rFonts w:cs="Arial"/>
                <w:color w:val="000000"/>
                <w:sz w:val="18"/>
                <w:szCs w:val="18"/>
              </w:rPr>
              <w:t>Pre-therapy 95% CI</w:t>
            </w:r>
          </w:p>
        </w:tc>
        <w:tc>
          <w:tcPr>
            <w:tcW w:w="1266" w:type="dxa"/>
            <w:vAlign w:val="center"/>
          </w:tcPr>
          <w:p w14:paraId="4EA26DD4" w14:textId="77777777" w:rsidR="00850777" w:rsidRPr="004564B0" w:rsidRDefault="00850777" w:rsidP="009A759B">
            <w:pPr>
              <w:spacing w:line="240" w:lineRule="auto"/>
              <w:jc w:val="center"/>
              <w:rPr>
                <w:rFonts w:cs="Arial"/>
                <w:sz w:val="18"/>
                <w:szCs w:val="18"/>
              </w:rPr>
            </w:pPr>
            <w:r w:rsidRPr="004564B0">
              <w:rPr>
                <w:rFonts w:cs="Arial"/>
                <w:color w:val="000000"/>
                <w:sz w:val="18"/>
                <w:szCs w:val="18"/>
              </w:rPr>
              <w:t>Post-therapy proportion</w:t>
            </w:r>
          </w:p>
        </w:tc>
        <w:tc>
          <w:tcPr>
            <w:tcW w:w="1620" w:type="dxa"/>
            <w:gridSpan w:val="2"/>
            <w:vAlign w:val="center"/>
          </w:tcPr>
          <w:p w14:paraId="485C2C2A" w14:textId="77777777" w:rsidR="00850777" w:rsidRPr="004564B0" w:rsidRDefault="00850777" w:rsidP="009A759B">
            <w:pPr>
              <w:spacing w:line="240" w:lineRule="auto"/>
              <w:jc w:val="center"/>
              <w:rPr>
                <w:rFonts w:cs="Arial"/>
                <w:sz w:val="18"/>
                <w:szCs w:val="18"/>
              </w:rPr>
            </w:pPr>
            <w:r w:rsidRPr="004564B0">
              <w:rPr>
                <w:rFonts w:cs="Arial"/>
                <w:color w:val="000000"/>
                <w:sz w:val="18"/>
                <w:szCs w:val="18"/>
              </w:rPr>
              <w:t>Post-therapy  95% CI</w:t>
            </w:r>
          </w:p>
        </w:tc>
        <w:tc>
          <w:tcPr>
            <w:tcW w:w="1131" w:type="dxa"/>
            <w:vAlign w:val="center"/>
          </w:tcPr>
          <w:p w14:paraId="13173269" w14:textId="77777777" w:rsidR="00850777" w:rsidRPr="004564B0" w:rsidRDefault="00850777" w:rsidP="009A759B">
            <w:pPr>
              <w:spacing w:line="240" w:lineRule="auto"/>
              <w:jc w:val="center"/>
              <w:rPr>
                <w:rFonts w:cs="Arial"/>
                <w:sz w:val="18"/>
                <w:szCs w:val="18"/>
              </w:rPr>
            </w:pPr>
            <w:r w:rsidRPr="004564B0">
              <w:rPr>
                <w:rFonts w:cs="Arial"/>
                <w:sz w:val="18"/>
                <w:szCs w:val="18"/>
              </w:rPr>
              <w:t>Proportion ratio</w:t>
            </w:r>
          </w:p>
        </w:tc>
        <w:tc>
          <w:tcPr>
            <w:tcW w:w="1457" w:type="dxa"/>
            <w:gridSpan w:val="2"/>
            <w:vAlign w:val="center"/>
          </w:tcPr>
          <w:p w14:paraId="7BF58FE0" w14:textId="77777777" w:rsidR="00850777" w:rsidRPr="004564B0" w:rsidRDefault="00850777" w:rsidP="009A759B">
            <w:pPr>
              <w:spacing w:line="240" w:lineRule="auto"/>
              <w:jc w:val="center"/>
              <w:rPr>
                <w:rFonts w:cs="Arial"/>
                <w:color w:val="000000"/>
                <w:sz w:val="18"/>
                <w:szCs w:val="18"/>
              </w:rPr>
            </w:pPr>
            <w:r w:rsidRPr="004564B0">
              <w:rPr>
                <w:rFonts w:cs="Arial"/>
                <w:color w:val="000000"/>
                <w:sz w:val="18"/>
                <w:szCs w:val="18"/>
              </w:rPr>
              <w:t>Prop. ratio 95% CI</w:t>
            </w:r>
          </w:p>
        </w:tc>
      </w:tr>
      <w:tr w:rsidR="004564B0" w:rsidRPr="004564B0" w14:paraId="7F9E8442" w14:textId="77777777" w:rsidTr="009A759B">
        <w:trPr>
          <w:trHeight w:val="187"/>
        </w:trPr>
        <w:tc>
          <w:tcPr>
            <w:tcW w:w="669" w:type="dxa"/>
            <w:vAlign w:val="center"/>
          </w:tcPr>
          <w:p w14:paraId="34F3C7EE" w14:textId="77777777" w:rsidR="00850777" w:rsidRPr="004564B0" w:rsidRDefault="00850777" w:rsidP="009A759B">
            <w:pPr>
              <w:spacing w:line="240" w:lineRule="auto"/>
              <w:jc w:val="center"/>
              <w:rPr>
                <w:rFonts w:cs="Arial"/>
                <w:color w:val="000000"/>
                <w:sz w:val="18"/>
                <w:szCs w:val="18"/>
              </w:rPr>
            </w:pPr>
            <w:r w:rsidRPr="004564B0">
              <w:rPr>
                <w:rFonts w:cs="Arial"/>
                <w:color w:val="000000"/>
                <w:sz w:val="18"/>
                <w:szCs w:val="18"/>
              </w:rPr>
              <w:t>111</w:t>
            </w:r>
          </w:p>
        </w:tc>
        <w:tc>
          <w:tcPr>
            <w:tcW w:w="1089" w:type="dxa"/>
            <w:noWrap/>
            <w:vAlign w:val="center"/>
          </w:tcPr>
          <w:p w14:paraId="0749B95A" w14:textId="4317E9A7" w:rsidR="00850777" w:rsidRPr="004564B0" w:rsidRDefault="004564B0" w:rsidP="009A759B">
            <w:pPr>
              <w:spacing w:line="240" w:lineRule="auto"/>
              <w:jc w:val="center"/>
              <w:rPr>
                <w:rFonts w:cs="Arial"/>
                <w:color w:val="000000"/>
                <w:sz w:val="18"/>
                <w:szCs w:val="18"/>
              </w:rPr>
            </w:pPr>
            <w:r>
              <w:rPr>
                <w:rFonts w:cs="Arial"/>
                <w:color w:val="000000"/>
              </w:rPr>
              <w:t>179</w:t>
            </w:r>
          </w:p>
        </w:tc>
        <w:tc>
          <w:tcPr>
            <w:tcW w:w="928" w:type="dxa"/>
            <w:noWrap/>
            <w:vAlign w:val="center"/>
          </w:tcPr>
          <w:p w14:paraId="3258548A" w14:textId="6FDF0D5D" w:rsidR="00850777" w:rsidRPr="004564B0" w:rsidRDefault="004564B0" w:rsidP="009A759B">
            <w:pPr>
              <w:spacing w:line="240" w:lineRule="auto"/>
              <w:jc w:val="center"/>
              <w:rPr>
                <w:rFonts w:cs="Arial"/>
                <w:color w:val="000000"/>
                <w:sz w:val="18"/>
                <w:szCs w:val="18"/>
              </w:rPr>
            </w:pPr>
            <w:r>
              <w:rPr>
                <w:rFonts w:cs="Arial"/>
                <w:color w:val="000000"/>
              </w:rPr>
              <w:t>1</w:t>
            </w:r>
            <w:r w:rsidR="00850777" w:rsidRPr="004564B0">
              <w:rPr>
                <w:rFonts w:cs="Arial"/>
                <w:color w:val="000000"/>
              </w:rPr>
              <w:t>2</w:t>
            </w:r>
            <w:r>
              <w:rPr>
                <w:rFonts w:cs="Arial"/>
                <w:color w:val="000000"/>
              </w:rPr>
              <w:t>6</w:t>
            </w:r>
            <w:r w:rsidR="00850777" w:rsidRPr="004564B0">
              <w:rPr>
                <w:rFonts w:cs="Arial"/>
                <w:color w:val="000000"/>
              </w:rPr>
              <w:t>.</w:t>
            </w:r>
            <w:r>
              <w:rPr>
                <w:rFonts w:cs="Arial"/>
                <w:color w:val="000000"/>
              </w:rPr>
              <w:t>0</w:t>
            </w:r>
          </w:p>
        </w:tc>
        <w:tc>
          <w:tcPr>
            <w:tcW w:w="850" w:type="dxa"/>
            <w:vAlign w:val="center"/>
          </w:tcPr>
          <w:p w14:paraId="01AFF75F" w14:textId="169C05BF" w:rsidR="00850777" w:rsidRPr="004564B0" w:rsidRDefault="004564B0" w:rsidP="009A759B">
            <w:pPr>
              <w:spacing w:line="240" w:lineRule="auto"/>
              <w:jc w:val="center"/>
              <w:rPr>
                <w:rFonts w:cs="Arial"/>
                <w:color w:val="000000"/>
                <w:sz w:val="18"/>
                <w:szCs w:val="18"/>
              </w:rPr>
            </w:pPr>
            <w:r>
              <w:rPr>
                <w:rFonts w:cs="Arial"/>
                <w:color w:val="000000"/>
              </w:rPr>
              <w:t>232.1</w:t>
            </w:r>
          </w:p>
        </w:tc>
        <w:tc>
          <w:tcPr>
            <w:tcW w:w="1266" w:type="dxa"/>
            <w:vAlign w:val="center"/>
          </w:tcPr>
          <w:p w14:paraId="56B1A4B1" w14:textId="52A6348F" w:rsidR="00850777" w:rsidRPr="004564B0" w:rsidRDefault="004564B0" w:rsidP="009A759B">
            <w:pPr>
              <w:spacing w:line="240" w:lineRule="auto"/>
              <w:jc w:val="center"/>
              <w:rPr>
                <w:rFonts w:cs="Arial"/>
                <w:color w:val="000000"/>
                <w:sz w:val="18"/>
                <w:szCs w:val="18"/>
              </w:rPr>
            </w:pPr>
            <w:r>
              <w:rPr>
                <w:rFonts w:cs="Arial"/>
                <w:color w:val="000000"/>
              </w:rPr>
              <w:t xml:space="preserve"> 189</w:t>
            </w:r>
          </w:p>
        </w:tc>
        <w:tc>
          <w:tcPr>
            <w:tcW w:w="846" w:type="dxa"/>
            <w:vAlign w:val="center"/>
          </w:tcPr>
          <w:p w14:paraId="78080872" w14:textId="0E3FE33A" w:rsidR="00850777" w:rsidRPr="004564B0" w:rsidRDefault="004564B0" w:rsidP="009A759B">
            <w:pPr>
              <w:spacing w:line="240" w:lineRule="auto"/>
              <w:jc w:val="center"/>
              <w:rPr>
                <w:rFonts w:cs="Arial"/>
                <w:color w:val="000000"/>
                <w:sz w:val="18"/>
                <w:szCs w:val="18"/>
              </w:rPr>
            </w:pPr>
            <w:r>
              <w:rPr>
                <w:rFonts w:cs="Arial"/>
                <w:color w:val="000000"/>
              </w:rPr>
              <w:t>134.9</w:t>
            </w:r>
          </w:p>
        </w:tc>
        <w:tc>
          <w:tcPr>
            <w:tcW w:w="774" w:type="dxa"/>
            <w:vAlign w:val="center"/>
          </w:tcPr>
          <w:p w14:paraId="6738EEB4" w14:textId="7811B332" w:rsidR="00850777" w:rsidRPr="004564B0" w:rsidRDefault="004564B0" w:rsidP="009A759B">
            <w:pPr>
              <w:spacing w:line="240" w:lineRule="auto"/>
              <w:jc w:val="center"/>
              <w:rPr>
                <w:rFonts w:cs="Arial"/>
                <w:color w:val="000000"/>
              </w:rPr>
            </w:pPr>
            <w:r w:rsidRPr="004564B0">
              <w:rPr>
                <w:rFonts w:cs="Arial"/>
                <w:color w:val="000000"/>
              </w:rPr>
              <w:t>243.2</w:t>
            </w:r>
          </w:p>
        </w:tc>
        <w:tc>
          <w:tcPr>
            <w:tcW w:w="1131" w:type="dxa"/>
            <w:vAlign w:val="center"/>
          </w:tcPr>
          <w:p w14:paraId="0E2A61CF" w14:textId="02780CCC" w:rsidR="00850777" w:rsidRPr="004564B0" w:rsidRDefault="004564B0" w:rsidP="009A759B">
            <w:pPr>
              <w:spacing w:line="240" w:lineRule="auto"/>
              <w:jc w:val="center"/>
              <w:rPr>
                <w:rFonts w:cs="Arial"/>
                <w:color w:val="000000"/>
                <w:sz w:val="18"/>
                <w:szCs w:val="18"/>
              </w:rPr>
            </w:pPr>
            <w:r>
              <w:rPr>
                <w:rFonts w:cs="Arial"/>
                <w:color w:val="000000"/>
              </w:rPr>
              <w:t>1</w:t>
            </w:r>
            <w:r w:rsidR="00850777" w:rsidRPr="004564B0">
              <w:rPr>
                <w:rFonts w:cs="Arial"/>
                <w:color w:val="000000"/>
              </w:rPr>
              <w:t>.</w:t>
            </w:r>
            <w:r>
              <w:rPr>
                <w:rFonts w:cs="Arial"/>
                <w:color w:val="000000"/>
              </w:rPr>
              <w:t>0</w:t>
            </w:r>
            <w:r w:rsidR="00850777" w:rsidRPr="004564B0">
              <w:rPr>
                <w:rFonts w:cs="Arial"/>
                <w:color w:val="000000"/>
              </w:rPr>
              <w:t>5</w:t>
            </w:r>
          </w:p>
        </w:tc>
        <w:tc>
          <w:tcPr>
            <w:tcW w:w="690" w:type="dxa"/>
            <w:vAlign w:val="center"/>
          </w:tcPr>
          <w:p w14:paraId="0AF703B1" w14:textId="71756715" w:rsidR="00850777" w:rsidRPr="004564B0" w:rsidRDefault="00850777" w:rsidP="009A759B">
            <w:pPr>
              <w:spacing w:line="240" w:lineRule="auto"/>
              <w:jc w:val="center"/>
              <w:rPr>
                <w:rFonts w:cs="Arial"/>
                <w:color w:val="000000"/>
                <w:sz w:val="18"/>
                <w:szCs w:val="18"/>
              </w:rPr>
            </w:pPr>
            <w:r w:rsidRPr="004564B0">
              <w:rPr>
                <w:rFonts w:cs="Arial"/>
                <w:color w:val="000000"/>
              </w:rPr>
              <w:t>0.6</w:t>
            </w:r>
            <w:r w:rsidR="004564B0">
              <w:rPr>
                <w:rFonts w:cs="Arial"/>
                <w:color w:val="000000"/>
              </w:rPr>
              <w:t>7</w:t>
            </w:r>
          </w:p>
        </w:tc>
        <w:tc>
          <w:tcPr>
            <w:tcW w:w="767" w:type="dxa"/>
            <w:vAlign w:val="center"/>
          </w:tcPr>
          <w:p w14:paraId="41554756" w14:textId="4F558BAC" w:rsidR="00850777" w:rsidRPr="004564B0" w:rsidRDefault="00850777" w:rsidP="009A759B">
            <w:pPr>
              <w:spacing w:line="240" w:lineRule="auto"/>
              <w:jc w:val="center"/>
              <w:rPr>
                <w:rFonts w:cs="Arial"/>
                <w:color w:val="000000"/>
                <w:sz w:val="18"/>
                <w:szCs w:val="18"/>
              </w:rPr>
            </w:pPr>
            <w:r w:rsidRPr="004564B0">
              <w:rPr>
                <w:rFonts w:cs="Arial"/>
                <w:color w:val="000000"/>
              </w:rPr>
              <w:t>1.</w:t>
            </w:r>
            <w:r w:rsidR="004564B0">
              <w:rPr>
                <w:rFonts w:cs="Arial"/>
                <w:color w:val="000000"/>
              </w:rPr>
              <w:t>4</w:t>
            </w:r>
            <w:r w:rsidRPr="004564B0">
              <w:rPr>
                <w:rFonts w:cs="Arial"/>
                <w:color w:val="000000"/>
              </w:rPr>
              <w:t>3</w:t>
            </w:r>
          </w:p>
        </w:tc>
      </w:tr>
      <w:tr w:rsidR="004564B0" w:rsidRPr="004564B0" w14:paraId="07D363A7" w14:textId="77777777" w:rsidTr="009A759B">
        <w:trPr>
          <w:trHeight w:val="187"/>
        </w:trPr>
        <w:tc>
          <w:tcPr>
            <w:tcW w:w="669" w:type="dxa"/>
            <w:vAlign w:val="center"/>
          </w:tcPr>
          <w:p w14:paraId="7F44C5E5" w14:textId="77777777" w:rsidR="00850777" w:rsidRPr="004564B0" w:rsidRDefault="00850777" w:rsidP="009A759B">
            <w:pPr>
              <w:spacing w:line="240" w:lineRule="auto"/>
              <w:jc w:val="center"/>
              <w:rPr>
                <w:rFonts w:cs="Arial"/>
                <w:color w:val="000000"/>
                <w:sz w:val="18"/>
                <w:szCs w:val="18"/>
              </w:rPr>
            </w:pPr>
            <w:r w:rsidRPr="004564B0">
              <w:rPr>
                <w:rFonts w:cs="Arial"/>
                <w:color w:val="000000"/>
                <w:sz w:val="18"/>
                <w:szCs w:val="18"/>
              </w:rPr>
              <w:t>A&amp;E</w:t>
            </w:r>
          </w:p>
        </w:tc>
        <w:tc>
          <w:tcPr>
            <w:tcW w:w="1089" w:type="dxa"/>
            <w:noWrap/>
            <w:vAlign w:val="center"/>
          </w:tcPr>
          <w:p w14:paraId="0C68CE04" w14:textId="4A318D0C" w:rsidR="00850777" w:rsidRPr="004564B0" w:rsidRDefault="004564B0" w:rsidP="009A759B">
            <w:pPr>
              <w:spacing w:line="240" w:lineRule="auto"/>
              <w:jc w:val="center"/>
              <w:rPr>
                <w:rFonts w:cs="Arial"/>
                <w:color w:val="000000"/>
                <w:sz w:val="18"/>
                <w:szCs w:val="18"/>
              </w:rPr>
            </w:pPr>
            <w:r>
              <w:rPr>
                <w:rFonts w:cs="Arial"/>
                <w:color w:val="000000"/>
              </w:rPr>
              <w:t>491</w:t>
            </w:r>
          </w:p>
        </w:tc>
        <w:tc>
          <w:tcPr>
            <w:tcW w:w="928" w:type="dxa"/>
            <w:noWrap/>
            <w:vAlign w:val="center"/>
          </w:tcPr>
          <w:p w14:paraId="2BB4319E" w14:textId="79D80A1B" w:rsidR="00850777" w:rsidRPr="004564B0" w:rsidRDefault="004564B0" w:rsidP="009A759B">
            <w:pPr>
              <w:spacing w:line="240" w:lineRule="auto"/>
              <w:jc w:val="center"/>
              <w:rPr>
                <w:rFonts w:cs="Arial"/>
                <w:color w:val="000000"/>
                <w:sz w:val="18"/>
                <w:szCs w:val="18"/>
              </w:rPr>
            </w:pPr>
            <w:r>
              <w:rPr>
                <w:rFonts w:cs="Arial"/>
                <w:color w:val="000000"/>
              </w:rPr>
              <w:t>444</w:t>
            </w:r>
            <w:r w:rsidR="00850777" w:rsidRPr="004564B0">
              <w:rPr>
                <w:rFonts w:cs="Arial"/>
                <w:color w:val="000000"/>
              </w:rPr>
              <w:t>.</w:t>
            </w:r>
            <w:r>
              <w:rPr>
                <w:rFonts w:cs="Arial"/>
                <w:color w:val="000000"/>
              </w:rPr>
              <w:t>8</w:t>
            </w:r>
          </w:p>
        </w:tc>
        <w:tc>
          <w:tcPr>
            <w:tcW w:w="850" w:type="dxa"/>
            <w:vAlign w:val="center"/>
          </w:tcPr>
          <w:p w14:paraId="3AE03CC9" w14:textId="290CCA20" w:rsidR="00850777" w:rsidRPr="004564B0" w:rsidRDefault="004564B0" w:rsidP="009A759B">
            <w:pPr>
              <w:spacing w:line="240" w:lineRule="auto"/>
              <w:jc w:val="center"/>
              <w:rPr>
                <w:rFonts w:cs="Arial"/>
                <w:color w:val="000000"/>
                <w:sz w:val="18"/>
                <w:szCs w:val="18"/>
              </w:rPr>
            </w:pPr>
            <w:r>
              <w:rPr>
                <w:rFonts w:cs="Arial"/>
                <w:color w:val="000000"/>
              </w:rPr>
              <w:t>537.4</w:t>
            </w:r>
          </w:p>
        </w:tc>
        <w:tc>
          <w:tcPr>
            <w:tcW w:w="1266" w:type="dxa"/>
            <w:vAlign w:val="center"/>
          </w:tcPr>
          <w:p w14:paraId="4788C250" w14:textId="18E96C25" w:rsidR="00850777" w:rsidRPr="004564B0" w:rsidRDefault="004564B0" w:rsidP="009A759B">
            <w:pPr>
              <w:spacing w:line="240" w:lineRule="auto"/>
              <w:jc w:val="center"/>
              <w:rPr>
                <w:rFonts w:cs="Arial"/>
                <w:color w:val="000000"/>
                <w:sz w:val="18"/>
                <w:szCs w:val="18"/>
              </w:rPr>
            </w:pPr>
            <w:r>
              <w:rPr>
                <w:rFonts w:cs="Arial"/>
                <w:color w:val="000000"/>
              </w:rPr>
              <w:t>392</w:t>
            </w:r>
          </w:p>
        </w:tc>
        <w:tc>
          <w:tcPr>
            <w:tcW w:w="846" w:type="dxa"/>
            <w:vAlign w:val="center"/>
          </w:tcPr>
          <w:p w14:paraId="649341FD" w14:textId="19AFECCC" w:rsidR="00850777" w:rsidRPr="004564B0" w:rsidRDefault="004564B0" w:rsidP="009A759B">
            <w:pPr>
              <w:spacing w:line="240" w:lineRule="auto"/>
              <w:jc w:val="center"/>
              <w:rPr>
                <w:rFonts w:cs="Arial"/>
                <w:color w:val="000000"/>
                <w:sz w:val="18"/>
                <w:szCs w:val="18"/>
              </w:rPr>
            </w:pPr>
            <w:r>
              <w:rPr>
                <w:rFonts w:cs="Arial"/>
                <w:color w:val="000000"/>
              </w:rPr>
              <w:t>347.6</w:t>
            </w:r>
          </w:p>
        </w:tc>
        <w:tc>
          <w:tcPr>
            <w:tcW w:w="774" w:type="dxa"/>
            <w:vAlign w:val="center"/>
          </w:tcPr>
          <w:p w14:paraId="00577954" w14:textId="56E93234" w:rsidR="00850777" w:rsidRPr="004564B0" w:rsidRDefault="004564B0" w:rsidP="009A759B">
            <w:pPr>
              <w:spacing w:line="240" w:lineRule="auto"/>
              <w:jc w:val="center"/>
              <w:rPr>
                <w:rFonts w:cs="Arial"/>
                <w:color w:val="000000"/>
              </w:rPr>
            </w:pPr>
            <w:r w:rsidRPr="004564B0">
              <w:rPr>
                <w:rFonts w:cs="Arial"/>
                <w:color w:val="000000"/>
              </w:rPr>
              <w:t>438.1</w:t>
            </w:r>
          </w:p>
        </w:tc>
        <w:tc>
          <w:tcPr>
            <w:tcW w:w="1131" w:type="dxa"/>
            <w:vAlign w:val="center"/>
          </w:tcPr>
          <w:p w14:paraId="36D64D01" w14:textId="5EB4C5EC" w:rsidR="00850777" w:rsidRPr="004564B0" w:rsidRDefault="004564B0" w:rsidP="009A759B">
            <w:pPr>
              <w:spacing w:line="240" w:lineRule="auto"/>
              <w:jc w:val="center"/>
              <w:rPr>
                <w:rFonts w:cs="Arial"/>
                <w:color w:val="000000"/>
                <w:sz w:val="18"/>
                <w:szCs w:val="18"/>
              </w:rPr>
            </w:pPr>
            <w:r>
              <w:rPr>
                <w:rFonts w:cs="Arial"/>
                <w:color w:val="000000"/>
              </w:rPr>
              <w:t>0.80</w:t>
            </w:r>
          </w:p>
        </w:tc>
        <w:tc>
          <w:tcPr>
            <w:tcW w:w="690" w:type="dxa"/>
            <w:vAlign w:val="center"/>
          </w:tcPr>
          <w:p w14:paraId="5654EFC3" w14:textId="67EC4FFF" w:rsidR="00850777" w:rsidRPr="004564B0" w:rsidRDefault="004564B0" w:rsidP="009A759B">
            <w:pPr>
              <w:spacing w:line="240" w:lineRule="auto"/>
              <w:jc w:val="center"/>
              <w:rPr>
                <w:rFonts w:cs="Arial"/>
                <w:color w:val="000000"/>
                <w:sz w:val="18"/>
                <w:szCs w:val="18"/>
              </w:rPr>
            </w:pPr>
            <w:r>
              <w:rPr>
                <w:rFonts w:cs="Arial"/>
                <w:color w:val="000000"/>
              </w:rPr>
              <w:t>0</w:t>
            </w:r>
            <w:r w:rsidR="00850777" w:rsidRPr="004564B0">
              <w:rPr>
                <w:rFonts w:cs="Arial"/>
                <w:color w:val="000000"/>
              </w:rPr>
              <w:t>.</w:t>
            </w:r>
            <w:r>
              <w:rPr>
                <w:rFonts w:cs="Arial"/>
                <w:color w:val="000000"/>
              </w:rPr>
              <w:t>63</w:t>
            </w:r>
          </w:p>
        </w:tc>
        <w:tc>
          <w:tcPr>
            <w:tcW w:w="767" w:type="dxa"/>
            <w:vAlign w:val="center"/>
          </w:tcPr>
          <w:p w14:paraId="137EF03F" w14:textId="76D2F438" w:rsidR="00850777" w:rsidRPr="004564B0" w:rsidRDefault="004564B0" w:rsidP="009A759B">
            <w:pPr>
              <w:spacing w:line="240" w:lineRule="auto"/>
              <w:jc w:val="center"/>
              <w:rPr>
                <w:rFonts w:cs="Arial"/>
                <w:color w:val="000000"/>
                <w:sz w:val="18"/>
                <w:szCs w:val="18"/>
              </w:rPr>
            </w:pPr>
            <w:r>
              <w:rPr>
                <w:rFonts w:cs="Arial"/>
                <w:color w:val="000000"/>
              </w:rPr>
              <w:t>0</w:t>
            </w:r>
            <w:r w:rsidR="00850777" w:rsidRPr="004564B0">
              <w:rPr>
                <w:rFonts w:cs="Arial"/>
                <w:color w:val="000000"/>
              </w:rPr>
              <w:t>.</w:t>
            </w:r>
            <w:r>
              <w:rPr>
                <w:rFonts w:cs="Arial"/>
                <w:color w:val="000000"/>
              </w:rPr>
              <w:t>97</w:t>
            </w:r>
          </w:p>
        </w:tc>
      </w:tr>
      <w:tr w:rsidR="004564B0" w:rsidRPr="004564B0" w14:paraId="58DDBFE2" w14:textId="77777777" w:rsidTr="009A759B">
        <w:trPr>
          <w:trHeight w:val="187"/>
        </w:trPr>
        <w:tc>
          <w:tcPr>
            <w:tcW w:w="669" w:type="dxa"/>
            <w:vAlign w:val="center"/>
          </w:tcPr>
          <w:p w14:paraId="53A2AB13" w14:textId="77777777" w:rsidR="00850777" w:rsidRPr="004564B0" w:rsidRDefault="00850777" w:rsidP="009A759B">
            <w:pPr>
              <w:spacing w:line="240" w:lineRule="auto"/>
              <w:jc w:val="center"/>
              <w:rPr>
                <w:rFonts w:cs="Arial"/>
                <w:color w:val="000000"/>
                <w:sz w:val="18"/>
                <w:szCs w:val="18"/>
              </w:rPr>
            </w:pPr>
            <w:r w:rsidRPr="004564B0">
              <w:rPr>
                <w:rFonts w:cs="Arial"/>
                <w:color w:val="000000"/>
                <w:sz w:val="18"/>
                <w:szCs w:val="18"/>
              </w:rPr>
              <w:t>AMB</w:t>
            </w:r>
          </w:p>
        </w:tc>
        <w:tc>
          <w:tcPr>
            <w:tcW w:w="1089" w:type="dxa"/>
            <w:noWrap/>
            <w:vAlign w:val="center"/>
          </w:tcPr>
          <w:p w14:paraId="2289D497" w14:textId="03F5793A" w:rsidR="00850777" w:rsidRPr="004564B0" w:rsidRDefault="004564B0" w:rsidP="009A759B">
            <w:pPr>
              <w:spacing w:line="240" w:lineRule="auto"/>
              <w:jc w:val="center"/>
              <w:rPr>
                <w:rFonts w:cs="Arial"/>
                <w:color w:val="000000"/>
                <w:sz w:val="18"/>
                <w:szCs w:val="18"/>
              </w:rPr>
            </w:pPr>
            <w:r>
              <w:rPr>
                <w:rFonts w:cs="Arial"/>
                <w:color w:val="000000"/>
              </w:rPr>
              <w:t>216</w:t>
            </w:r>
          </w:p>
        </w:tc>
        <w:tc>
          <w:tcPr>
            <w:tcW w:w="928" w:type="dxa"/>
            <w:noWrap/>
            <w:vAlign w:val="center"/>
          </w:tcPr>
          <w:p w14:paraId="1CAD72C9" w14:textId="68F950A6" w:rsidR="00850777" w:rsidRPr="004564B0" w:rsidRDefault="004564B0" w:rsidP="009A759B">
            <w:pPr>
              <w:spacing w:line="240" w:lineRule="auto"/>
              <w:jc w:val="center"/>
              <w:rPr>
                <w:rFonts w:cs="Arial"/>
                <w:color w:val="000000"/>
                <w:sz w:val="18"/>
                <w:szCs w:val="18"/>
              </w:rPr>
            </w:pPr>
            <w:r>
              <w:rPr>
                <w:rFonts w:cs="Arial"/>
                <w:color w:val="000000"/>
              </w:rPr>
              <w:t>1</w:t>
            </w:r>
            <w:r w:rsidR="00850777" w:rsidRPr="004564B0">
              <w:rPr>
                <w:rFonts w:cs="Arial"/>
                <w:color w:val="000000"/>
              </w:rPr>
              <w:t>72.</w:t>
            </w:r>
            <w:r>
              <w:rPr>
                <w:rFonts w:cs="Arial"/>
                <w:color w:val="000000"/>
              </w:rPr>
              <w:t>2</w:t>
            </w:r>
          </w:p>
        </w:tc>
        <w:tc>
          <w:tcPr>
            <w:tcW w:w="850" w:type="dxa"/>
            <w:vAlign w:val="center"/>
          </w:tcPr>
          <w:p w14:paraId="451938E6" w14:textId="52FF5473" w:rsidR="00850777" w:rsidRPr="004564B0" w:rsidRDefault="004564B0" w:rsidP="009A759B">
            <w:pPr>
              <w:spacing w:line="240" w:lineRule="auto"/>
              <w:jc w:val="center"/>
              <w:rPr>
                <w:rFonts w:cs="Arial"/>
                <w:color w:val="000000"/>
                <w:sz w:val="18"/>
                <w:szCs w:val="18"/>
              </w:rPr>
            </w:pPr>
            <w:r>
              <w:rPr>
                <w:rFonts w:cs="Arial"/>
                <w:color w:val="000000"/>
              </w:rPr>
              <w:t>259.3</w:t>
            </w:r>
          </w:p>
        </w:tc>
        <w:tc>
          <w:tcPr>
            <w:tcW w:w="1266" w:type="dxa"/>
            <w:vAlign w:val="center"/>
          </w:tcPr>
          <w:p w14:paraId="73A8AC03" w14:textId="08295E6D" w:rsidR="00850777" w:rsidRPr="004564B0" w:rsidRDefault="004564B0" w:rsidP="009A759B">
            <w:pPr>
              <w:spacing w:line="240" w:lineRule="auto"/>
              <w:jc w:val="center"/>
              <w:rPr>
                <w:rFonts w:cs="Arial"/>
                <w:color w:val="000000"/>
                <w:sz w:val="18"/>
                <w:szCs w:val="18"/>
              </w:rPr>
            </w:pPr>
            <w:r>
              <w:rPr>
                <w:rFonts w:cs="Arial"/>
                <w:color w:val="000000"/>
              </w:rPr>
              <w:t>163</w:t>
            </w:r>
          </w:p>
        </w:tc>
        <w:tc>
          <w:tcPr>
            <w:tcW w:w="846" w:type="dxa"/>
            <w:vAlign w:val="center"/>
          </w:tcPr>
          <w:p w14:paraId="28DBF4D7" w14:textId="77329FD7" w:rsidR="00850777" w:rsidRPr="004564B0" w:rsidRDefault="004564B0" w:rsidP="009A759B">
            <w:pPr>
              <w:spacing w:line="240" w:lineRule="auto"/>
              <w:jc w:val="center"/>
              <w:rPr>
                <w:rFonts w:cs="Arial"/>
                <w:color w:val="000000"/>
                <w:sz w:val="18"/>
                <w:szCs w:val="18"/>
              </w:rPr>
            </w:pPr>
            <w:r>
              <w:rPr>
                <w:rFonts w:cs="Arial"/>
                <w:color w:val="000000"/>
              </w:rPr>
              <w:t>124.2</w:t>
            </w:r>
          </w:p>
        </w:tc>
        <w:tc>
          <w:tcPr>
            <w:tcW w:w="774" w:type="dxa"/>
            <w:vAlign w:val="center"/>
          </w:tcPr>
          <w:p w14:paraId="194C986D" w14:textId="7D0498BC" w:rsidR="00850777" w:rsidRPr="004564B0" w:rsidRDefault="004564B0" w:rsidP="009A759B">
            <w:pPr>
              <w:spacing w:line="240" w:lineRule="auto"/>
              <w:jc w:val="center"/>
              <w:rPr>
                <w:rFonts w:cs="Arial"/>
                <w:color w:val="000000"/>
                <w:sz w:val="18"/>
                <w:szCs w:val="18"/>
              </w:rPr>
            </w:pPr>
            <w:r>
              <w:rPr>
                <w:rFonts w:cs="Arial"/>
                <w:color w:val="000000"/>
              </w:rPr>
              <w:t>202.4</w:t>
            </w:r>
          </w:p>
        </w:tc>
        <w:tc>
          <w:tcPr>
            <w:tcW w:w="1131" w:type="dxa"/>
            <w:vAlign w:val="center"/>
          </w:tcPr>
          <w:p w14:paraId="2A80498B" w14:textId="52AF0B25" w:rsidR="00850777" w:rsidRPr="004564B0" w:rsidRDefault="004564B0" w:rsidP="009A759B">
            <w:pPr>
              <w:spacing w:line="240" w:lineRule="auto"/>
              <w:jc w:val="center"/>
              <w:rPr>
                <w:rFonts w:cs="Arial"/>
                <w:color w:val="000000"/>
                <w:sz w:val="18"/>
                <w:szCs w:val="18"/>
              </w:rPr>
            </w:pPr>
            <w:r>
              <w:rPr>
                <w:rFonts w:cs="Arial"/>
                <w:color w:val="000000"/>
              </w:rPr>
              <w:t>0</w:t>
            </w:r>
            <w:r w:rsidR="00850777" w:rsidRPr="004564B0">
              <w:rPr>
                <w:rFonts w:cs="Arial"/>
                <w:color w:val="000000"/>
              </w:rPr>
              <w:t>.</w:t>
            </w:r>
            <w:r>
              <w:rPr>
                <w:rFonts w:cs="Arial"/>
                <w:color w:val="000000"/>
              </w:rPr>
              <w:t>75</w:t>
            </w:r>
          </w:p>
        </w:tc>
        <w:tc>
          <w:tcPr>
            <w:tcW w:w="690" w:type="dxa"/>
            <w:vAlign w:val="center"/>
          </w:tcPr>
          <w:p w14:paraId="169218F7" w14:textId="55EB8D5E" w:rsidR="00850777" w:rsidRPr="004564B0" w:rsidRDefault="00850777" w:rsidP="009A759B">
            <w:pPr>
              <w:spacing w:line="240" w:lineRule="auto"/>
              <w:jc w:val="center"/>
              <w:rPr>
                <w:rFonts w:cs="Arial"/>
                <w:color w:val="000000"/>
                <w:sz w:val="18"/>
                <w:szCs w:val="18"/>
              </w:rPr>
            </w:pPr>
            <w:r w:rsidRPr="004564B0">
              <w:rPr>
                <w:rFonts w:cs="Arial"/>
                <w:color w:val="000000"/>
              </w:rPr>
              <w:t>0</w:t>
            </w:r>
            <w:r w:rsidR="004564B0">
              <w:rPr>
                <w:rFonts w:cs="Arial"/>
                <w:color w:val="000000"/>
              </w:rPr>
              <w:t>.46</w:t>
            </w:r>
          </w:p>
        </w:tc>
        <w:tc>
          <w:tcPr>
            <w:tcW w:w="767" w:type="dxa"/>
            <w:vAlign w:val="center"/>
          </w:tcPr>
          <w:p w14:paraId="7DD4696F" w14:textId="0B429E1F" w:rsidR="00850777" w:rsidRPr="004564B0" w:rsidRDefault="00850777" w:rsidP="009A759B">
            <w:pPr>
              <w:spacing w:line="240" w:lineRule="auto"/>
              <w:jc w:val="center"/>
              <w:rPr>
                <w:rFonts w:cs="Arial"/>
                <w:color w:val="000000"/>
                <w:sz w:val="18"/>
                <w:szCs w:val="18"/>
              </w:rPr>
            </w:pPr>
            <w:r w:rsidRPr="004564B0">
              <w:rPr>
                <w:rFonts w:cs="Arial"/>
                <w:color w:val="000000"/>
              </w:rPr>
              <w:t>1.</w:t>
            </w:r>
            <w:r w:rsidR="004564B0">
              <w:rPr>
                <w:rFonts w:cs="Arial"/>
                <w:color w:val="000000"/>
              </w:rPr>
              <w:t>04</w:t>
            </w:r>
          </w:p>
        </w:tc>
      </w:tr>
      <w:tr w:rsidR="004564B0" w:rsidRPr="004564B0" w14:paraId="1DA8B182" w14:textId="77777777" w:rsidTr="009A759B">
        <w:trPr>
          <w:trHeight w:val="187"/>
        </w:trPr>
        <w:tc>
          <w:tcPr>
            <w:tcW w:w="669" w:type="dxa"/>
            <w:vAlign w:val="center"/>
          </w:tcPr>
          <w:p w14:paraId="4E1724FB" w14:textId="77777777" w:rsidR="00850777" w:rsidRPr="004564B0" w:rsidRDefault="00850777" w:rsidP="009A759B">
            <w:pPr>
              <w:spacing w:line="240" w:lineRule="auto"/>
              <w:jc w:val="center"/>
              <w:rPr>
                <w:rFonts w:cs="Arial"/>
                <w:color w:val="000000"/>
                <w:sz w:val="18"/>
                <w:szCs w:val="18"/>
              </w:rPr>
            </w:pPr>
            <w:r w:rsidRPr="004564B0">
              <w:rPr>
                <w:rFonts w:cs="Arial"/>
                <w:color w:val="000000"/>
                <w:sz w:val="18"/>
                <w:szCs w:val="18"/>
              </w:rPr>
              <w:t>APC</w:t>
            </w:r>
          </w:p>
        </w:tc>
        <w:tc>
          <w:tcPr>
            <w:tcW w:w="1089" w:type="dxa"/>
            <w:noWrap/>
            <w:vAlign w:val="center"/>
          </w:tcPr>
          <w:p w14:paraId="68F28FE4" w14:textId="3B87FB9B" w:rsidR="00850777" w:rsidRPr="004564B0" w:rsidRDefault="004564B0" w:rsidP="009A759B">
            <w:pPr>
              <w:spacing w:line="240" w:lineRule="auto"/>
              <w:jc w:val="center"/>
              <w:rPr>
                <w:rFonts w:cs="Arial"/>
                <w:color w:val="000000"/>
                <w:sz w:val="18"/>
                <w:szCs w:val="18"/>
              </w:rPr>
            </w:pPr>
            <w:r>
              <w:rPr>
                <w:rFonts w:cs="Arial"/>
                <w:color w:val="000000"/>
              </w:rPr>
              <w:t>272</w:t>
            </w:r>
          </w:p>
        </w:tc>
        <w:tc>
          <w:tcPr>
            <w:tcW w:w="928" w:type="dxa"/>
            <w:noWrap/>
            <w:vAlign w:val="center"/>
          </w:tcPr>
          <w:p w14:paraId="3C870E72" w14:textId="490E1AE1" w:rsidR="00850777" w:rsidRPr="004564B0" w:rsidRDefault="004564B0" w:rsidP="009A759B">
            <w:pPr>
              <w:spacing w:line="240" w:lineRule="auto"/>
              <w:jc w:val="center"/>
              <w:rPr>
                <w:rFonts w:cs="Arial"/>
                <w:color w:val="000000"/>
                <w:sz w:val="18"/>
                <w:szCs w:val="18"/>
              </w:rPr>
            </w:pPr>
            <w:r>
              <w:rPr>
                <w:rFonts w:cs="Arial"/>
                <w:color w:val="000000"/>
              </w:rPr>
              <w:t>231.1</w:t>
            </w:r>
          </w:p>
        </w:tc>
        <w:tc>
          <w:tcPr>
            <w:tcW w:w="850" w:type="dxa"/>
            <w:vAlign w:val="center"/>
          </w:tcPr>
          <w:p w14:paraId="2442057B" w14:textId="402BCEAA" w:rsidR="00850777" w:rsidRPr="004564B0" w:rsidRDefault="004564B0" w:rsidP="009A759B">
            <w:pPr>
              <w:spacing w:line="240" w:lineRule="auto"/>
              <w:jc w:val="center"/>
              <w:rPr>
                <w:rFonts w:cs="Arial"/>
                <w:color w:val="000000"/>
                <w:sz w:val="18"/>
                <w:szCs w:val="18"/>
              </w:rPr>
            </w:pPr>
            <w:r>
              <w:rPr>
                <w:rFonts w:cs="Arial"/>
                <w:color w:val="000000"/>
              </w:rPr>
              <w:t>3</w:t>
            </w:r>
            <w:r w:rsidR="00850777" w:rsidRPr="004564B0">
              <w:rPr>
                <w:rFonts w:cs="Arial"/>
                <w:color w:val="000000"/>
              </w:rPr>
              <w:t>1</w:t>
            </w:r>
            <w:r>
              <w:rPr>
                <w:rFonts w:cs="Arial"/>
                <w:color w:val="000000"/>
              </w:rPr>
              <w:t>3.5</w:t>
            </w:r>
          </w:p>
        </w:tc>
        <w:tc>
          <w:tcPr>
            <w:tcW w:w="1266" w:type="dxa"/>
            <w:vAlign w:val="center"/>
          </w:tcPr>
          <w:p w14:paraId="13D8FFE6" w14:textId="08213D11" w:rsidR="00850777" w:rsidRPr="004564B0" w:rsidRDefault="00850777" w:rsidP="009A759B">
            <w:pPr>
              <w:spacing w:line="240" w:lineRule="auto"/>
              <w:jc w:val="center"/>
              <w:rPr>
                <w:rFonts w:cs="Arial"/>
                <w:color w:val="000000"/>
                <w:sz w:val="18"/>
                <w:szCs w:val="18"/>
              </w:rPr>
            </w:pPr>
            <w:r w:rsidRPr="004564B0">
              <w:rPr>
                <w:rFonts w:cs="Arial"/>
                <w:color w:val="000000"/>
              </w:rPr>
              <w:t>1</w:t>
            </w:r>
            <w:r w:rsidR="004564B0">
              <w:rPr>
                <w:rFonts w:cs="Arial"/>
                <w:color w:val="000000"/>
              </w:rPr>
              <w:t>85</w:t>
            </w:r>
          </w:p>
        </w:tc>
        <w:tc>
          <w:tcPr>
            <w:tcW w:w="846" w:type="dxa"/>
            <w:vAlign w:val="center"/>
          </w:tcPr>
          <w:p w14:paraId="06DDE796" w14:textId="65484F8D" w:rsidR="00850777" w:rsidRPr="004564B0" w:rsidRDefault="004564B0" w:rsidP="009A759B">
            <w:pPr>
              <w:spacing w:line="240" w:lineRule="auto"/>
              <w:jc w:val="center"/>
              <w:rPr>
                <w:rFonts w:cs="Arial"/>
                <w:color w:val="000000"/>
                <w:sz w:val="18"/>
                <w:szCs w:val="18"/>
              </w:rPr>
            </w:pPr>
            <w:r>
              <w:rPr>
                <w:rFonts w:cs="Arial"/>
                <w:color w:val="000000"/>
              </w:rPr>
              <w:t>149.3</w:t>
            </w:r>
          </w:p>
        </w:tc>
        <w:tc>
          <w:tcPr>
            <w:tcW w:w="774" w:type="dxa"/>
            <w:vAlign w:val="center"/>
          </w:tcPr>
          <w:p w14:paraId="0A0A0E7B" w14:textId="393E7398" w:rsidR="00850777" w:rsidRPr="004564B0" w:rsidRDefault="004564B0" w:rsidP="009A759B">
            <w:pPr>
              <w:spacing w:line="240" w:lineRule="auto"/>
              <w:jc w:val="center"/>
              <w:rPr>
                <w:rFonts w:cs="Arial"/>
                <w:color w:val="000000"/>
                <w:sz w:val="18"/>
                <w:szCs w:val="18"/>
              </w:rPr>
            </w:pPr>
            <w:r>
              <w:rPr>
                <w:rFonts w:cs="Arial"/>
                <w:color w:val="000000"/>
              </w:rPr>
              <w:t>221.2</w:t>
            </w:r>
          </w:p>
        </w:tc>
        <w:tc>
          <w:tcPr>
            <w:tcW w:w="1131" w:type="dxa"/>
            <w:vAlign w:val="center"/>
          </w:tcPr>
          <w:p w14:paraId="3EDA45DF" w14:textId="716A4BB4" w:rsidR="00850777" w:rsidRPr="004564B0" w:rsidRDefault="004564B0" w:rsidP="009A759B">
            <w:pPr>
              <w:spacing w:line="240" w:lineRule="auto"/>
              <w:jc w:val="center"/>
              <w:rPr>
                <w:rFonts w:cs="Arial"/>
                <w:color w:val="000000"/>
                <w:sz w:val="18"/>
                <w:szCs w:val="18"/>
              </w:rPr>
            </w:pPr>
            <w:r>
              <w:rPr>
                <w:rFonts w:cs="Arial"/>
                <w:color w:val="000000"/>
              </w:rPr>
              <w:t>0</w:t>
            </w:r>
            <w:r w:rsidR="00850777" w:rsidRPr="004564B0">
              <w:rPr>
                <w:rFonts w:cs="Arial"/>
                <w:color w:val="000000"/>
              </w:rPr>
              <w:t>.</w:t>
            </w:r>
            <w:r>
              <w:rPr>
                <w:rFonts w:cs="Arial"/>
                <w:color w:val="000000"/>
              </w:rPr>
              <w:t>68</w:t>
            </w:r>
          </w:p>
        </w:tc>
        <w:tc>
          <w:tcPr>
            <w:tcW w:w="690" w:type="dxa"/>
            <w:vAlign w:val="center"/>
          </w:tcPr>
          <w:p w14:paraId="56B756E6" w14:textId="0FA3CCE5" w:rsidR="00850777" w:rsidRPr="004564B0" w:rsidRDefault="004564B0" w:rsidP="009A759B">
            <w:pPr>
              <w:spacing w:line="240" w:lineRule="auto"/>
              <w:jc w:val="center"/>
              <w:rPr>
                <w:rFonts w:cs="Arial"/>
                <w:color w:val="000000"/>
                <w:sz w:val="18"/>
                <w:szCs w:val="18"/>
              </w:rPr>
            </w:pPr>
            <w:r>
              <w:rPr>
                <w:rFonts w:cs="Arial"/>
                <w:color w:val="000000"/>
              </w:rPr>
              <w:t>0</w:t>
            </w:r>
            <w:r w:rsidR="00850777" w:rsidRPr="004564B0">
              <w:rPr>
                <w:rFonts w:cs="Arial"/>
                <w:color w:val="000000"/>
              </w:rPr>
              <w:t>.4</w:t>
            </w:r>
            <w:r>
              <w:rPr>
                <w:rFonts w:cs="Arial"/>
                <w:color w:val="000000"/>
              </w:rPr>
              <w:t>5</w:t>
            </w:r>
          </w:p>
        </w:tc>
        <w:tc>
          <w:tcPr>
            <w:tcW w:w="767" w:type="dxa"/>
            <w:vAlign w:val="center"/>
          </w:tcPr>
          <w:p w14:paraId="528D9C0E" w14:textId="7E03A115" w:rsidR="00850777" w:rsidRPr="004564B0" w:rsidRDefault="004564B0" w:rsidP="009A759B">
            <w:pPr>
              <w:spacing w:line="240" w:lineRule="auto"/>
              <w:jc w:val="center"/>
              <w:rPr>
                <w:rFonts w:cs="Arial"/>
                <w:color w:val="000000"/>
                <w:sz w:val="18"/>
                <w:szCs w:val="18"/>
              </w:rPr>
            </w:pPr>
            <w:r>
              <w:rPr>
                <w:rFonts w:cs="Arial"/>
                <w:color w:val="000000"/>
              </w:rPr>
              <w:t>0</w:t>
            </w:r>
            <w:r w:rsidR="00850777" w:rsidRPr="004564B0">
              <w:rPr>
                <w:rFonts w:cs="Arial"/>
                <w:color w:val="000000"/>
              </w:rPr>
              <w:t>.</w:t>
            </w:r>
            <w:r>
              <w:rPr>
                <w:rFonts w:cs="Arial"/>
                <w:color w:val="000000"/>
              </w:rPr>
              <w:t>91</w:t>
            </w:r>
          </w:p>
        </w:tc>
      </w:tr>
    </w:tbl>
    <w:p w14:paraId="42A400B3" w14:textId="77777777" w:rsidR="00A9076C" w:rsidRDefault="00A9076C" w:rsidP="00CC171F">
      <w:pPr>
        <w:spacing w:before="240" w:after="240" w:line="240" w:lineRule="auto"/>
        <w:jc w:val="center"/>
      </w:pPr>
    </w:p>
    <w:p w14:paraId="4037711A" w14:textId="77777777" w:rsidR="00A9076C" w:rsidRDefault="00A9076C">
      <w:pPr>
        <w:spacing w:line="240" w:lineRule="auto"/>
        <w:jc w:val="left"/>
      </w:pPr>
      <w:r>
        <w:br w:type="page"/>
      </w:r>
    </w:p>
    <w:p w14:paraId="6BAE9BB2" w14:textId="28BB9B09" w:rsidR="00850777" w:rsidRDefault="00850777" w:rsidP="00CC171F">
      <w:pPr>
        <w:spacing w:before="240" w:after="240" w:line="240" w:lineRule="auto"/>
        <w:jc w:val="center"/>
      </w:pPr>
      <w:r w:rsidRPr="002B04FB">
        <w:lastRenderedPageBreak/>
        <w:t xml:space="preserve">Figure </w:t>
      </w:r>
      <w:r>
        <w:t>8</w:t>
      </w:r>
      <w:r w:rsidRPr="002B04FB">
        <w:t>.</w:t>
      </w:r>
      <w:r>
        <w:t xml:space="preserve"> B</w:t>
      </w:r>
      <w:r w:rsidRPr="002B04FB">
        <w:t>efore and</w:t>
      </w:r>
      <w:r>
        <w:t xml:space="preserve"> a</w:t>
      </w:r>
      <w:r w:rsidRPr="002B04FB">
        <w:t xml:space="preserve">fter </w:t>
      </w:r>
      <w:r>
        <w:t xml:space="preserve">psychotherapy, UEC use </w:t>
      </w:r>
      <w:r w:rsidRPr="002B04FB">
        <w:t>rate ratio</w:t>
      </w:r>
      <w:r>
        <w:t>s</w:t>
      </w:r>
      <w:r w:rsidRPr="002B04FB">
        <w:t xml:space="preserve"> plot for the 4 UEC services</w:t>
      </w:r>
    </w:p>
    <w:p w14:paraId="2497E2D8" w14:textId="3B1F5D3C" w:rsidR="00850777" w:rsidRDefault="004726A0" w:rsidP="009A759B">
      <w:pPr>
        <w:spacing w:before="240" w:after="240" w:line="240" w:lineRule="auto"/>
        <w:jc w:val="center"/>
      </w:pPr>
      <w:r>
        <w:rPr>
          <w:noProof/>
          <w:sz w:val="21"/>
          <w:szCs w:val="21"/>
        </w:rPr>
        <w:drawing>
          <wp:inline distT="0" distB="0" distL="0" distR="0" wp14:anchorId="3D489446" wp14:editId="0D9822C4">
            <wp:extent cx="5727700" cy="3252470"/>
            <wp:effectExtent l="0" t="0" r="0" b="0"/>
            <wp:docPr id="1846877287" name="Picture 1" descr="A graph with black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77287" name="Picture 1" descr="A graph with black lines and whit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7700" cy="3252470"/>
                    </a:xfrm>
                    <a:prstGeom prst="rect">
                      <a:avLst/>
                    </a:prstGeom>
                  </pic:spPr>
                </pic:pic>
              </a:graphicData>
            </a:graphic>
          </wp:inline>
        </w:drawing>
      </w:r>
    </w:p>
    <w:p w14:paraId="71E63096" w14:textId="77777777" w:rsidR="00850777" w:rsidRPr="003F1CD1" w:rsidRDefault="00850777" w:rsidP="00CC171F">
      <w:pPr>
        <w:jc w:val="center"/>
        <w:rPr>
          <w:i/>
          <w:iCs/>
          <w:sz w:val="18"/>
          <w:szCs w:val="18"/>
        </w:rPr>
      </w:pPr>
      <w:r w:rsidRPr="003F1CD1">
        <w:rPr>
          <w:i/>
          <w:iCs/>
          <w:sz w:val="18"/>
          <w:szCs w:val="18"/>
        </w:rPr>
        <w:t>Note: Rates per 1000-person year.</w:t>
      </w:r>
    </w:p>
    <w:p w14:paraId="26E2EC92" w14:textId="6BF25175" w:rsidR="00850777" w:rsidRDefault="00850777" w:rsidP="00477961">
      <w:pPr>
        <w:pStyle w:val="Heading3"/>
        <w:rPr>
          <w:sz w:val="21"/>
          <w:szCs w:val="21"/>
        </w:rPr>
      </w:pPr>
      <w:r>
        <w:rPr>
          <w:sz w:val="21"/>
          <w:szCs w:val="21"/>
        </w:rPr>
        <w:br w:type="page"/>
      </w:r>
      <w:bookmarkStart w:id="138" w:name="_Toc137504752"/>
      <w:r>
        <w:rPr>
          <w:sz w:val="21"/>
          <w:szCs w:val="21"/>
        </w:rPr>
        <w:lastRenderedPageBreak/>
        <w:t>4.</w:t>
      </w:r>
      <w:r w:rsidRPr="00F47B78">
        <w:rPr>
          <w:sz w:val="21"/>
          <w:szCs w:val="21"/>
        </w:rPr>
        <w:t>3.</w:t>
      </w:r>
      <w:r>
        <w:rPr>
          <w:sz w:val="21"/>
          <w:szCs w:val="21"/>
        </w:rPr>
        <w:t>4 UEC Trend Analysis</w:t>
      </w:r>
      <w:bookmarkEnd w:id="138"/>
    </w:p>
    <w:p w14:paraId="6A9A5D1A" w14:textId="77777777" w:rsidR="00850777" w:rsidRDefault="00850777" w:rsidP="00C2603C">
      <w:r>
        <w:t xml:space="preserve">A time series was structured in quarterly segments, each representing three months. This yielded 12 different time points spanning one-and-a-half years before and one-and-a-half years after the intervention. </w:t>
      </w:r>
      <w:r w:rsidRPr="006C3CCA">
        <w:t>The time series data was recentred such that point zero represents the entire duration of psychotherapy for each patient in the cohort.</w:t>
      </w:r>
      <w:r>
        <w:t xml:space="preserve"> </w:t>
      </w:r>
      <w:r w:rsidRPr="006C3CCA">
        <w:t>This adjustment ensure</w:t>
      </w:r>
      <w:r>
        <w:t>d</w:t>
      </w:r>
      <w:r w:rsidRPr="006C3CCA">
        <w:t xml:space="preserve"> the </w:t>
      </w:r>
      <w:r>
        <w:t xml:space="preserve">aggregated </w:t>
      </w:r>
      <w:r w:rsidRPr="006C3CCA">
        <w:t xml:space="preserve">timeline for </w:t>
      </w:r>
      <w:r>
        <w:t>UEC utilisation rates and the intervention phase</w:t>
      </w:r>
      <w:r w:rsidRPr="006C3CCA">
        <w:t xml:space="preserve"> </w:t>
      </w:r>
      <w:r>
        <w:t>wa</w:t>
      </w:r>
      <w:r w:rsidRPr="006C3CCA">
        <w:t xml:space="preserve">s standardised, with the commencement, duration, and conclusion of therapy centred </w:t>
      </w:r>
      <w:r>
        <w:t xml:space="preserve">at </w:t>
      </w:r>
      <w:r w:rsidRPr="006C3CCA">
        <w:t>the zero point.</w:t>
      </w:r>
      <w:r>
        <w:t xml:space="preserve"> UEC utilisation rates for the pre-and post-periods were adjusted to 1000 person-quarters, facilitating comparative analysis. These adjusted rates were used to model a time series specific to each patient's course of psychotherapy treatment. </w:t>
      </w:r>
    </w:p>
    <w:p w14:paraId="3EF293E6" w14:textId="77777777" w:rsidR="00850777" w:rsidRDefault="00850777" w:rsidP="00C2603C">
      <w:r w:rsidRPr="003221DC">
        <w:t xml:space="preserve">The dispersion parameter (Theta = </w:t>
      </w:r>
      <w:r>
        <w:t xml:space="preserve">8.6- - 32.8, </w:t>
      </w:r>
      <w:r w:rsidRPr="003221DC">
        <w:t xml:space="preserve">Std. Error = </w:t>
      </w:r>
      <w:r>
        <w:t>3.7-</w:t>
      </w:r>
      <w:r w:rsidRPr="003221DC">
        <w:t>1</w:t>
      </w:r>
      <w:r>
        <w:t>8</w:t>
      </w:r>
      <w:r w:rsidRPr="003221DC">
        <w:t>.</w:t>
      </w:r>
      <w:r>
        <w:t>1</w:t>
      </w:r>
      <w:r w:rsidRPr="003221DC">
        <w:t>) confirmed that the Negative Binomial Regression model was more suitable than a Poisson regression model</w:t>
      </w:r>
      <w:r>
        <w:t xml:space="preserve"> for rates</w:t>
      </w:r>
      <w:r w:rsidRPr="003221DC">
        <w:t>, addressing the overdispersion present in the data.</w:t>
      </w:r>
      <w:r>
        <w:t xml:space="preserve"> </w:t>
      </w:r>
      <w:r w:rsidRPr="003221DC">
        <w:t>The residual deviance was considerably smaller than the null deviance, indicating a good fit of the model to the data.</w:t>
      </w:r>
    </w:p>
    <w:p w14:paraId="7B20B624" w14:textId="77777777" w:rsidR="00850777" w:rsidRDefault="00850777" w:rsidP="003221DC"/>
    <w:p w14:paraId="30F8903F" w14:textId="77777777" w:rsidR="00850777" w:rsidRDefault="00850777" w:rsidP="005C66F8">
      <w:r>
        <w:t>The segmented NB regression model revealed patterns of emergency service utilisation across the different services. The intercept term suggested a positive baseline trend ranging from 4.5 to 5.4 for the different services. Before treatment</w:t>
      </w:r>
      <w:r w:rsidRPr="003221DC">
        <w:t xml:space="preserve">, </w:t>
      </w:r>
      <w:r>
        <w:t xml:space="preserve">a small increasing trend in the utilisation rates was observed for all UEC services (p&gt;0.05), except calls to NHS 111. </w:t>
      </w:r>
      <w:r w:rsidRPr="009B0C42">
        <w:t>Calls to the 111 service showed a slight negative</w:t>
      </w:r>
      <w:r>
        <w:t xml:space="preserve"> trend </w:t>
      </w:r>
      <w:r w:rsidRPr="009B0C42">
        <w:t xml:space="preserve">of -0.11, suggesting a potential decrease in utilisation </w:t>
      </w:r>
      <w:r>
        <w:t>rates</w:t>
      </w:r>
      <w:r w:rsidRPr="009B0C42">
        <w:t xml:space="preserve"> before the intervention</w:t>
      </w:r>
      <w:r>
        <w:t>; however,</w:t>
      </w:r>
      <w:r w:rsidRPr="009B0C42">
        <w:t xml:space="preserve"> th</w:t>
      </w:r>
      <w:r>
        <w:t xml:space="preserve">ese changes </w:t>
      </w:r>
      <w:r w:rsidRPr="009B0C42">
        <w:t>did not reach significance.</w:t>
      </w:r>
      <w:r>
        <w:t xml:space="preserve"> The intervention had a significant negative level effect on the rate of use in A&amp;E, APC and AMB services (-90--0.70, p's &lt;0.05), indicating a reduction in the size of utilisation rates during therapy. Over time after therapy, the rate changes did not show a significant association (p's&gt;0.05), indicating a negligible effect of length of time since treatment on the change in utilisation rates. These rate changes per quarter had a positive trend, and the regression coefficients were similar to those observed in the pre-therapy period for AMB, APC and A&amp;E services. In contrast, a negative trend in 111 call rates was identified after therapy (-0.06), though this was not statistically significant (Table 20). </w:t>
      </w:r>
    </w:p>
    <w:p w14:paraId="4AC27C74" w14:textId="77777777" w:rsidR="00850777" w:rsidRDefault="00850777" w:rsidP="00DC5734">
      <w:r>
        <w:t>A cyclical pattern was evident after</w:t>
      </w:r>
      <w:r w:rsidRPr="00DC5734">
        <w:t xml:space="preserve"> </w:t>
      </w:r>
      <w:r>
        <w:t>carefully examining</w:t>
      </w:r>
      <w:r w:rsidRPr="00DC5734">
        <w:t xml:space="preserve"> the</w:t>
      </w:r>
      <w:r>
        <w:t xml:space="preserve"> utilisation</w:t>
      </w:r>
      <w:r w:rsidRPr="00DC5734">
        <w:t xml:space="preserve"> rate</w:t>
      </w:r>
      <w:r>
        <w:t>s</w:t>
      </w:r>
      <w:r w:rsidRPr="00DC5734">
        <w:t xml:space="preserve"> at each quarter following </w:t>
      </w:r>
      <w:r>
        <w:t>therapy</w:t>
      </w:r>
      <w:r w:rsidRPr="00DC5734">
        <w:t>.</w:t>
      </w:r>
      <w:r>
        <w:t xml:space="preserve"> </w:t>
      </w:r>
      <w:r w:rsidRPr="00DC5734">
        <w:t xml:space="preserve">The </w:t>
      </w:r>
      <w:r>
        <w:t xml:space="preserve">utilisation rates </w:t>
      </w:r>
      <w:r w:rsidRPr="00DC5734">
        <w:t>marked</w:t>
      </w:r>
      <w:r>
        <w:t>ly</w:t>
      </w:r>
      <w:r w:rsidRPr="00DC5734">
        <w:t xml:space="preserve"> escalat</w:t>
      </w:r>
      <w:r>
        <w:t>ed</w:t>
      </w:r>
      <w:r w:rsidRPr="00DC5734">
        <w:t xml:space="preserve"> during the initial </w:t>
      </w:r>
      <w:r w:rsidRPr="00DC5734">
        <w:lastRenderedPageBreak/>
        <w:t xml:space="preserve">quarter post-therapy </w:t>
      </w:r>
      <w:r>
        <w:t>and</w:t>
      </w:r>
      <w:r w:rsidRPr="00DC5734">
        <w:t xml:space="preserve"> subsequently under</w:t>
      </w:r>
      <w:r>
        <w:t>went</w:t>
      </w:r>
      <w:r w:rsidRPr="00DC5734">
        <w:t xml:space="preserve"> a steady reduction over the next three quarters.</w:t>
      </w:r>
      <w:r>
        <w:t xml:space="preserve"> </w:t>
      </w:r>
      <w:r w:rsidRPr="00DC5734">
        <w:t xml:space="preserve">This trend </w:t>
      </w:r>
      <w:r>
        <w:t>presents</w:t>
      </w:r>
      <w:r w:rsidRPr="00DC5734">
        <w:t xml:space="preserve"> to different extents within each of the (UEC) health services, although the cyclical nature of the pattern –the rate oscillating with an increase and decrease every four quarters – remain</w:t>
      </w:r>
      <w:r>
        <w:t>ed</w:t>
      </w:r>
      <w:r w:rsidRPr="00DC5734">
        <w:t xml:space="preserve"> a consistent featur</w:t>
      </w:r>
      <w:r>
        <w:t xml:space="preserve">e in the observed 1.5 years post-therapy </w:t>
      </w:r>
      <w:r>
        <w:br w:type="page"/>
      </w:r>
    </w:p>
    <w:p w14:paraId="222D577E" w14:textId="77777777" w:rsidR="00850777" w:rsidRPr="00DF7016" w:rsidRDefault="00850777" w:rsidP="00DF7016">
      <w:r w:rsidRPr="00DF7016">
        <w:lastRenderedPageBreak/>
        <w:t xml:space="preserve">Table </w:t>
      </w:r>
      <w:r>
        <w:t>20</w:t>
      </w:r>
      <w:r w:rsidRPr="00DF7016">
        <w:t>.</w:t>
      </w:r>
      <w:r>
        <w:t xml:space="preserve"> </w:t>
      </w:r>
      <w:r w:rsidRPr="00DF7016">
        <w:t xml:space="preserve">Segmented </w:t>
      </w:r>
      <w:r>
        <w:t>negative binomial</w:t>
      </w:r>
      <w:r w:rsidRPr="00DF7016">
        <w:t xml:space="preserve"> regression of utilisation rate</w:t>
      </w:r>
      <w:r>
        <w:t xml:space="preserve"> ratios</w:t>
      </w:r>
      <w:r w:rsidRPr="00DF7016">
        <w:t xml:space="preserve"> (per 1000 person-quarters). </w:t>
      </w:r>
    </w:p>
    <w:tbl>
      <w:tblPr>
        <w:tblStyle w:val="TableGrid"/>
        <w:tblW w:w="5239" w:type="pct"/>
        <w:jc w:val="center"/>
        <w:tblLayout w:type="fixed"/>
        <w:tblLook w:val="04A0" w:firstRow="1" w:lastRow="0" w:firstColumn="1" w:lastColumn="0" w:noHBand="0" w:noVBand="1"/>
      </w:tblPr>
      <w:tblGrid>
        <w:gridCol w:w="1565"/>
        <w:gridCol w:w="1129"/>
        <w:gridCol w:w="708"/>
        <w:gridCol w:w="988"/>
        <w:gridCol w:w="993"/>
        <w:gridCol w:w="1286"/>
        <w:gridCol w:w="710"/>
        <w:gridCol w:w="1416"/>
        <w:gridCol w:w="646"/>
      </w:tblGrid>
      <w:tr w:rsidR="00850777" w:rsidRPr="0090652D" w14:paraId="3BE95FBB" w14:textId="77777777" w:rsidTr="005C66F8">
        <w:trPr>
          <w:trHeight w:val="693"/>
          <w:jc w:val="center"/>
        </w:trPr>
        <w:tc>
          <w:tcPr>
            <w:tcW w:w="829" w:type="pct"/>
            <w:shd w:val="clear" w:color="auto" w:fill="F2F2F2" w:themeFill="background1" w:themeFillShade="F2"/>
            <w:vAlign w:val="center"/>
          </w:tcPr>
          <w:p w14:paraId="40823F16" w14:textId="77777777" w:rsidR="00850777" w:rsidRPr="00DF7016" w:rsidRDefault="00850777" w:rsidP="005C66F8">
            <w:pPr>
              <w:spacing w:line="240" w:lineRule="auto"/>
              <w:jc w:val="center"/>
              <w:rPr>
                <w:sz w:val="16"/>
                <w:szCs w:val="16"/>
              </w:rPr>
            </w:pPr>
            <w:r w:rsidRPr="00DF7016">
              <w:rPr>
                <w:sz w:val="16"/>
                <w:szCs w:val="16"/>
              </w:rPr>
              <w:t>EMERGENCY SERVICE</w:t>
            </w:r>
          </w:p>
        </w:tc>
        <w:tc>
          <w:tcPr>
            <w:tcW w:w="973" w:type="pct"/>
            <w:gridSpan w:val="2"/>
            <w:shd w:val="clear" w:color="auto" w:fill="F2F2F2" w:themeFill="background1" w:themeFillShade="F2"/>
            <w:vAlign w:val="center"/>
          </w:tcPr>
          <w:p w14:paraId="5FBAFF50" w14:textId="77777777" w:rsidR="00850777" w:rsidRPr="00DF7016" w:rsidRDefault="00850777" w:rsidP="005C66F8">
            <w:pPr>
              <w:spacing w:line="240" w:lineRule="auto"/>
              <w:jc w:val="center"/>
              <w:rPr>
                <w:sz w:val="16"/>
                <w:szCs w:val="16"/>
              </w:rPr>
            </w:pPr>
            <w:r w:rsidRPr="00DF7016">
              <w:rPr>
                <w:sz w:val="16"/>
                <w:szCs w:val="16"/>
              </w:rPr>
              <w:t>BASELINE</w:t>
            </w:r>
          </w:p>
        </w:tc>
        <w:tc>
          <w:tcPr>
            <w:tcW w:w="1049" w:type="pct"/>
            <w:gridSpan w:val="2"/>
            <w:shd w:val="clear" w:color="auto" w:fill="F2F2F2" w:themeFill="background1" w:themeFillShade="F2"/>
            <w:vAlign w:val="center"/>
          </w:tcPr>
          <w:p w14:paraId="23E1957A" w14:textId="77777777" w:rsidR="00850777" w:rsidRPr="00DF7016" w:rsidRDefault="00850777" w:rsidP="005C66F8">
            <w:pPr>
              <w:spacing w:line="240" w:lineRule="auto"/>
              <w:jc w:val="center"/>
              <w:rPr>
                <w:sz w:val="16"/>
                <w:szCs w:val="16"/>
              </w:rPr>
            </w:pPr>
            <w:r w:rsidRPr="00DF7016">
              <w:rPr>
                <w:sz w:val="16"/>
                <w:szCs w:val="16"/>
              </w:rPr>
              <w:t>TREND BEFORE PSYCHOTHERAPY</w:t>
            </w:r>
          </w:p>
        </w:tc>
        <w:tc>
          <w:tcPr>
            <w:tcW w:w="1057" w:type="pct"/>
            <w:gridSpan w:val="2"/>
            <w:shd w:val="clear" w:color="auto" w:fill="F2F2F2" w:themeFill="background1" w:themeFillShade="F2"/>
            <w:vAlign w:val="center"/>
          </w:tcPr>
          <w:p w14:paraId="20303500" w14:textId="77777777" w:rsidR="00850777" w:rsidRPr="00DF7016" w:rsidRDefault="00850777" w:rsidP="005C66F8">
            <w:pPr>
              <w:spacing w:line="240" w:lineRule="auto"/>
              <w:jc w:val="center"/>
              <w:rPr>
                <w:sz w:val="16"/>
                <w:szCs w:val="16"/>
              </w:rPr>
            </w:pPr>
            <w:r w:rsidRPr="00DF7016">
              <w:rPr>
                <w:sz w:val="16"/>
                <w:szCs w:val="16"/>
              </w:rPr>
              <w:t xml:space="preserve">CHANGE </w:t>
            </w:r>
            <w:r>
              <w:rPr>
                <w:sz w:val="16"/>
                <w:szCs w:val="16"/>
              </w:rPr>
              <w:t xml:space="preserve">AT </w:t>
            </w:r>
            <w:r w:rsidRPr="00DF7016">
              <w:rPr>
                <w:sz w:val="16"/>
                <w:szCs w:val="16"/>
              </w:rPr>
              <w:t>PSYCHOTHERAPY</w:t>
            </w:r>
          </w:p>
        </w:tc>
        <w:tc>
          <w:tcPr>
            <w:tcW w:w="1092" w:type="pct"/>
            <w:gridSpan w:val="2"/>
            <w:shd w:val="clear" w:color="auto" w:fill="F2F2F2" w:themeFill="background1" w:themeFillShade="F2"/>
            <w:vAlign w:val="center"/>
          </w:tcPr>
          <w:p w14:paraId="746E0602" w14:textId="77777777" w:rsidR="00850777" w:rsidRPr="00DF7016" w:rsidRDefault="00850777" w:rsidP="005C66F8">
            <w:pPr>
              <w:spacing w:line="240" w:lineRule="auto"/>
              <w:jc w:val="center"/>
              <w:rPr>
                <w:sz w:val="16"/>
                <w:szCs w:val="16"/>
              </w:rPr>
            </w:pPr>
            <w:r w:rsidRPr="00DF7016">
              <w:rPr>
                <w:sz w:val="16"/>
                <w:szCs w:val="16"/>
              </w:rPr>
              <w:t>TREND AFTER INTERVENTION</w:t>
            </w:r>
          </w:p>
        </w:tc>
      </w:tr>
      <w:tr w:rsidR="00850777" w:rsidRPr="0090652D" w14:paraId="327CBA84" w14:textId="77777777" w:rsidTr="00160846">
        <w:trPr>
          <w:trHeight w:val="432"/>
          <w:jc w:val="center"/>
        </w:trPr>
        <w:tc>
          <w:tcPr>
            <w:tcW w:w="829" w:type="pct"/>
            <w:shd w:val="clear" w:color="auto" w:fill="FFFFFF" w:themeFill="background1"/>
            <w:vAlign w:val="center"/>
          </w:tcPr>
          <w:p w14:paraId="030A5D15" w14:textId="77777777" w:rsidR="00850777" w:rsidRPr="0090652D" w:rsidRDefault="00850777" w:rsidP="005C66F8">
            <w:pPr>
              <w:spacing w:line="240" w:lineRule="auto"/>
              <w:jc w:val="center"/>
              <w:rPr>
                <w:sz w:val="16"/>
                <w:szCs w:val="16"/>
              </w:rPr>
            </w:pPr>
          </w:p>
        </w:tc>
        <w:tc>
          <w:tcPr>
            <w:tcW w:w="598" w:type="pct"/>
            <w:shd w:val="clear" w:color="auto" w:fill="FFFFFF" w:themeFill="background1"/>
            <w:vAlign w:val="center"/>
          </w:tcPr>
          <w:p w14:paraId="3FA1A16E" w14:textId="77777777" w:rsidR="00850777" w:rsidRPr="0090652D" w:rsidRDefault="00850777" w:rsidP="005C66F8">
            <w:pPr>
              <w:spacing w:line="240" w:lineRule="auto"/>
              <w:jc w:val="center"/>
              <w:rPr>
                <w:sz w:val="16"/>
                <w:szCs w:val="16"/>
              </w:rPr>
            </w:pPr>
            <w:r w:rsidRPr="0090652D">
              <w:rPr>
                <w:sz w:val="16"/>
                <w:szCs w:val="16"/>
              </w:rPr>
              <w:t>Coeff.</w:t>
            </w:r>
          </w:p>
        </w:tc>
        <w:tc>
          <w:tcPr>
            <w:tcW w:w="375" w:type="pct"/>
            <w:shd w:val="clear" w:color="auto" w:fill="FFFFFF" w:themeFill="background1"/>
            <w:vAlign w:val="center"/>
          </w:tcPr>
          <w:p w14:paraId="36BAD8A6" w14:textId="77777777" w:rsidR="00850777" w:rsidRPr="0090652D" w:rsidRDefault="00850777" w:rsidP="005C66F8">
            <w:pPr>
              <w:spacing w:line="240" w:lineRule="auto"/>
              <w:jc w:val="center"/>
              <w:rPr>
                <w:sz w:val="16"/>
                <w:szCs w:val="16"/>
              </w:rPr>
            </w:pPr>
            <w:r w:rsidRPr="0090652D">
              <w:rPr>
                <w:sz w:val="16"/>
                <w:szCs w:val="16"/>
              </w:rPr>
              <w:t>SE</w:t>
            </w:r>
          </w:p>
        </w:tc>
        <w:tc>
          <w:tcPr>
            <w:tcW w:w="523" w:type="pct"/>
            <w:shd w:val="clear" w:color="auto" w:fill="FFFFFF" w:themeFill="background1"/>
            <w:vAlign w:val="center"/>
          </w:tcPr>
          <w:p w14:paraId="39162110" w14:textId="77777777" w:rsidR="00850777" w:rsidRPr="0090652D" w:rsidRDefault="00850777" w:rsidP="005C66F8">
            <w:pPr>
              <w:spacing w:line="240" w:lineRule="auto"/>
              <w:jc w:val="center"/>
              <w:rPr>
                <w:sz w:val="16"/>
                <w:szCs w:val="16"/>
              </w:rPr>
            </w:pPr>
            <w:r w:rsidRPr="0090652D">
              <w:rPr>
                <w:sz w:val="16"/>
                <w:szCs w:val="16"/>
              </w:rPr>
              <w:t>Coeff.</w:t>
            </w:r>
          </w:p>
        </w:tc>
        <w:tc>
          <w:tcPr>
            <w:tcW w:w="526" w:type="pct"/>
            <w:shd w:val="clear" w:color="auto" w:fill="FFFFFF" w:themeFill="background1"/>
            <w:vAlign w:val="center"/>
          </w:tcPr>
          <w:p w14:paraId="20FF249A" w14:textId="77777777" w:rsidR="00850777" w:rsidRPr="0090652D" w:rsidRDefault="00850777" w:rsidP="005C66F8">
            <w:pPr>
              <w:spacing w:line="240" w:lineRule="auto"/>
              <w:jc w:val="center"/>
              <w:rPr>
                <w:sz w:val="16"/>
                <w:szCs w:val="16"/>
              </w:rPr>
            </w:pPr>
            <w:r w:rsidRPr="0090652D">
              <w:rPr>
                <w:sz w:val="16"/>
                <w:szCs w:val="16"/>
              </w:rPr>
              <w:t>SE</w:t>
            </w:r>
          </w:p>
        </w:tc>
        <w:tc>
          <w:tcPr>
            <w:tcW w:w="681" w:type="pct"/>
            <w:shd w:val="clear" w:color="auto" w:fill="FFFFFF" w:themeFill="background1"/>
            <w:vAlign w:val="center"/>
          </w:tcPr>
          <w:p w14:paraId="772BEDDA" w14:textId="77777777" w:rsidR="00850777" w:rsidRPr="0090652D" w:rsidRDefault="00850777" w:rsidP="005C66F8">
            <w:pPr>
              <w:spacing w:line="240" w:lineRule="auto"/>
              <w:jc w:val="center"/>
              <w:rPr>
                <w:sz w:val="16"/>
                <w:szCs w:val="16"/>
              </w:rPr>
            </w:pPr>
            <w:r w:rsidRPr="0090652D">
              <w:rPr>
                <w:sz w:val="16"/>
                <w:szCs w:val="16"/>
              </w:rPr>
              <w:t>Coeff.</w:t>
            </w:r>
          </w:p>
        </w:tc>
        <w:tc>
          <w:tcPr>
            <w:tcW w:w="376" w:type="pct"/>
            <w:shd w:val="clear" w:color="auto" w:fill="FFFFFF" w:themeFill="background1"/>
            <w:vAlign w:val="center"/>
          </w:tcPr>
          <w:p w14:paraId="6B50B017" w14:textId="77777777" w:rsidR="00850777" w:rsidRPr="0090652D" w:rsidRDefault="00850777" w:rsidP="005C66F8">
            <w:pPr>
              <w:spacing w:line="240" w:lineRule="auto"/>
              <w:jc w:val="center"/>
              <w:rPr>
                <w:sz w:val="16"/>
                <w:szCs w:val="16"/>
              </w:rPr>
            </w:pPr>
            <w:r w:rsidRPr="0090652D">
              <w:rPr>
                <w:sz w:val="16"/>
                <w:szCs w:val="16"/>
              </w:rPr>
              <w:t>SE</w:t>
            </w:r>
          </w:p>
        </w:tc>
        <w:tc>
          <w:tcPr>
            <w:tcW w:w="750" w:type="pct"/>
            <w:shd w:val="clear" w:color="auto" w:fill="FFFFFF" w:themeFill="background1"/>
            <w:vAlign w:val="center"/>
          </w:tcPr>
          <w:p w14:paraId="118051C7" w14:textId="77777777" w:rsidR="00850777" w:rsidRPr="0090652D" w:rsidRDefault="00850777" w:rsidP="005C66F8">
            <w:pPr>
              <w:spacing w:line="240" w:lineRule="auto"/>
              <w:jc w:val="center"/>
              <w:rPr>
                <w:sz w:val="16"/>
                <w:szCs w:val="16"/>
              </w:rPr>
            </w:pPr>
            <w:r w:rsidRPr="0090652D">
              <w:rPr>
                <w:sz w:val="16"/>
                <w:szCs w:val="16"/>
              </w:rPr>
              <w:t>Coeff.</w:t>
            </w:r>
          </w:p>
        </w:tc>
        <w:tc>
          <w:tcPr>
            <w:tcW w:w="342" w:type="pct"/>
            <w:shd w:val="clear" w:color="auto" w:fill="FFFFFF" w:themeFill="background1"/>
            <w:vAlign w:val="center"/>
          </w:tcPr>
          <w:p w14:paraId="02CDF6AB" w14:textId="77777777" w:rsidR="00850777" w:rsidRPr="0090652D" w:rsidRDefault="00850777" w:rsidP="005C66F8">
            <w:pPr>
              <w:spacing w:line="240" w:lineRule="auto"/>
              <w:jc w:val="center"/>
              <w:rPr>
                <w:sz w:val="16"/>
                <w:szCs w:val="16"/>
              </w:rPr>
            </w:pPr>
            <w:r w:rsidRPr="0090652D">
              <w:rPr>
                <w:sz w:val="16"/>
                <w:szCs w:val="16"/>
              </w:rPr>
              <w:t>SE</w:t>
            </w:r>
          </w:p>
        </w:tc>
      </w:tr>
      <w:tr w:rsidR="00850777" w:rsidRPr="0090652D" w14:paraId="7B89FE2D" w14:textId="77777777" w:rsidTr="005C66F8">
        <w:trPr>
          <w:trHeight w:val="389"/>
          <w:jc w:val="center"/>
        </w:trPr>
        <w:tc>
          <w:tcPr>
            <w:tcW w:w="829" w:type="pct"/>
            <w:vAlign w:val="center"/>
          </w:tcPr>
          <w:p w14:paraId="760C1CDD" w14:textId="77777777" w:rsidR="00850777" w:rsidRPr="0090652D" w:rsidRDefault="00850777" w:rsidP="005C66F8">
            <w:pPr>
              <w:spacing w:line="240" w:lineRule="auto"/>
              <w:jc w:val="center"/>
              <w:rPr>
                <w:sz w:val="16"/>
                <w:szCs w:val="16"/>
              </w:rPr>
            </w:pPr>
            <w:r w:rsidRPr="0090652D">
              <w:rPr>
                <w:sz w:val="16"/>
                <w:szCs w:val="16"/>
              </w:rPr>
              <w:t>111</w:t>
            </w:r>
          </w:p>
        </w:tc>
        <w:tc>
          <w:tcPr>
            <w:tcW w:w="598" w:type="pct"/>
            <w:vAlign w:val="center"/>
          </w:tcPr>
          <w:p w14:paraId="49BC42FF" w14:textId="77777777" w:rsidR="00850777" w:rsidRPr="0090652D" w:rsidRDefault="00850777" w:rsidP="005C66F8">
            <w:pPr>
              <w:spacing w:line="240" w:lineRule="auto"/>
              <w:jc w:val="center"/>
              <w:rPr>
                <w:sz w:val="16"/>
                <w:szCs w:val="16"/>
              </w:rPr>
            </w:pPr>
            <w:r>
              <w:rPr>
                <w:sz w:val="16"/>
                <w:szCs w:val="16"/>
              </w:rPr>
              <w:t>5.06***</w:t>
            </w:r>
          </w:p>
        </w:tc>
        <w:tc>
          <w:tcPr>
            <w:tcW w:w="375" w:type="pct"/>
            <w:vAlign w:val="center"/>
          </w:tcPr>
          <w:p w14:paraId="5662FC17" w14:textId="77777777" w:rsidR="00850777" w:rsidRPr="0090652D" w:rsidRDefault="00850777" w:rsidP="005C66F8">
            <w:pPr>
              <w:spacing w:line="240" w:lineRule="auto"/>
              <w:jc w:val="center"/>
              <w:rPr>
                <w:sz w:val="16"/>
                <w:szCs w:val="16"/>
              </w:rPr>
            </w:pPr>
            <w:r>
              <w:rPr>
                <w:sz w:val="16"/>
                <w:szCs w:val="16"/>
              </w:rPr>
              <w:t>0.33</w:t>
            </w:r>
          </w:p>
        </w:tc>
        <w:tc>
          <w:tcPr>
            <w:tcW w:w="523" w:type="pct"/>
            <w:vAlign w:val="center"/>
          </w:tcPr>
          <w:p w14:paraId="2E6DD4D3" w14:textId="77777777" w:rsidR="00850777" w:rsidRPr="0090652D" w:rsidRDefault="00850777" w:rsidP="005C66F8">
            <w:pPr>
              <w:spacing w:line="240" w:lineRule="auto"/>
              <w:jc w:val="center"/>
              <w:rPr>
                <w:sz w:val="16"/>
                <w:szCs w:val="16"/>
              </w:rPr>
            </w:pPr>
            <w:r>
              <w:rPr>
                <w:sz w:val="16"/>
                <w:szCs w:val="16"/>
              </w:rPr>
              <w:t>-0.11</w:t>
            </w:r>
          </w:p>
        </w:tc>
        <w:tc>
          <w:tcPr>
            <w:tcW w:w="526" w:type="pct"/>
            <w:vAlign w:val="center"/>
          </w:tcPr>
          <w:p w14:paraId="468A6DA8" w14:textId="77777777" w:rsidR="00850777" w:rsidRPr="0090652D" w:rsidRDefault="00850777" w:rsidP="005C66F8">
            <w:pPr>
              <w:spacing w:line="240" w:lineRule="auto"/>
              <w:jc w:val="center"/>
              <w:rPr>
                <w:sz w:val="16"/>
                <w:szCs w:val="16"/>
              </w:rPr>
            </w:pPr>
            <w:r>
              <w:rPr>
                <w:sz w:val="16"/>
                <w:szCs w:val="16"/>
              </w:rPr>
              <w:t>0.08</w:t>
            </w:r>
          </w:p>
        </w:tc>
        <w:tc>
          <w:tcPr>
            <w:tcW w:w="681" w:type="pct"/>
            <w:vAlign w:val="center"/>
          </w:tcPr>
          <w:p w14:paraId="479D990D" w14:textId="77777777" w:rsidR="00850777" w:rsidRPr="0090652D" w:rsidRDefault="00850777" w:rsidP="005C66F8">
            <w:pPr>
              <w:spacing w:line="240" w:lineRule="auto"/>
              <w:jc w:val="center"/>
              <w:rPr>
                <w:sz w:val="16"/>
                <w:szCs w:val="16"/>
              </w:rPr>
            </w:pPr>
            <w:r>
              <w:rPr>
                <w:sz w:val="16"/>
                <w:szCs w:val="16"/>
              </w:rPr>
              <w:t>0.27</w:t>
            </w:r>
          </w:p>
        </w:tc>
        <w:tc>
          <w:tcPr>
            <w:tcW w:w="376" w:type="pct"/>
            <w:vAlign w:val="center"/>
          </w:tcPr>
          <w:p w14:paraId="04056B75" w14:textId="77777777" w:rsidR="00850777" w:rsidRPr="0090652D" w:rsidRDefault="00850777" w:rsidP="005C66F8">
            <w:pPr>
              <w:spacing w:line="240" w:lineRule="auto"/>
              <w:jc w:val="center"/>
              <w:rPr>
                <w:sz w:val="16"/>
                <w:szCs w:val="16"/>
              </w:rPr>
            </w:pPr>
            <w:r>
              <w:rPr>
                <w:sz w:val="16"/>
                <w:szCs w:val="16"/>
              </w:rPr>
              <w:t>0.41</w:t>
            </w:r>
          </w:p>
        </w:tc>
        <w:tc>
          <w:tcPr>
            <w:tcW w:w="750" w:type="pct"/>
            <w:vAlign w:val="center"/>
          </w:tcPr>
          <w:p w14:paraId="5EF811E9" w14:textId="77777777" w:rsidR="00850777" w:rsidRPr="0090652D" w:rsidRDefault="00850777" w:rsidP="005C66F8">
            <w:pPr>
              <w:spacing w:line="240" w:lineRule="auto"/>
              <w:jc w:val="center"/>
              <w:rPr>
                <w:sz w:val="16"/>
                <w:szCs w:val="16"/>
              </w:rPr>
            </w:pPr>
            <w:r>
              <w:rPr>
                <w:sz w:val="16"/>
                <w:szCs w:val="16"/>
              </w:rPr>
              <w:t>-0.06</w:t>
            </w:r>
          </w:p>
        </w:tc>
        <w:tc>
          <w:tcPr>
            <w:tcW w:w="342" w:type="pct"/>
            <w:vAlign w:val="center"/>
          </w:tcPr>
          <w:p w14:paraId="6DD41080" w14:textId="77777777" w:rsidR="00850777" w:rsidRPr="0090652D" w:rsidRDefault="00850777" w:rsidP="005C66F8">
            <w:pPr>
              <w:spacing w:line="240" w:lineRule="auto"/>
              <w:jc w:val="center"/>
              <w:rPr>
                <w:sz w:val="16"/>
                <w:szCs w:val="16"/>
              </w:rPr>
            </w:pPr>
            <w:r>
              <w:rPr>
                <w:sz w:val="16"/>
                <w:szCs w:val="16"/>
              </w:rPr>
              <w:t>0.11</w:t>
            </w:r>
          </w:p>
        </w:tc>
      </w:tr>
      <w:tr w:rsidR="00850777" w:rsidRPr="0090652D" w14:paraId="3CE6CDD8" w14:textId="77777777" w:rsidTr="005C66F8">
        <w:trPr>
          <w:trHeight w:val="425"/>
          <w:jc w:val="center"/>
        </w:trPr>
        <w:tc>
          <w:tcPr>
            <w:tcW w:w="829" w:type="pct"/>
            <w:vAlign w:val="center"/>
          </w:tcPr>
          <w:p w14:paraId="77E8F1F7" w14:textId="77777777" w:rsidR="00850777" w:rsidRPr="0090652D" w:rsidRDefault="00850777" w:rsidP="005C66F8">
            <w:pPr>
              <w:spacing w:line="240" w:lineRule="auto"/>
              <w:jc w:val="center"/>
              <w:rPr>
                <w:sz w:val="16"/>
                <w:szCs w:val="16"/>
              </w:rPr>
            </w:pPr>
            <w:r w:rsidRPr="0090652D">
              <w:rPr>
                <w:sz w:val="16"/>
                <w:szCs w:val="16"/>
              </w:rPr>
              <w:t>AMB</w:t>
            </w:r>
          </w:p>
        </w:tc>
        <w:tc>
          <w:tcPr>
            <w:tcW w:w="598" w:type="pct"/>
            <w:vAlign w:val="center"/>
          </w:tcPr>
          <w:p w14:paraId="3E97870B" w14:textId="77777777" w:rsidR="00850777" w:rsidRPr="0090652D" w:rsidRDefault="00850777" w:rsidP="005C66F8">
            <w:pPr>
              <w:spacing w:line="240" w:lineRule="auto"/>
              <w:jc w:val="center"/>
              <w:rPr>
                <w:sz w:val="16"/>
                <w:szCs w:val="16"/>
              </w:rPr>
            </w:pPr>
            <w:r>
              <w:rPr>
                <w:sz w:val="16"/>
                <w:szCs w:val="16"/>
              </w:rPr>
              <w:t>4.49***</w:t>
            </w:r>
          </w:p>
        </w:tc>
        <w:tc>
          <w:tcPr>
            <w:tcW w:w="375" w:type="pct"/>
            <w:vAlign w:val="center"/>
          </w:tcPr>
          <w:p w14:paraId="562483A4" w14:textId="77777777" w:rsidR="00850777" w:rsidRPr="0090652D" w:rsidRDefault="00850777" w:rsidP="005C66F8">
            <w:pPr>
              <w:spacing w:line="240" w:lineRule="auto"/>
              <w:jc w:val="center"/>
              <w:rPr>
                <w:sz w:val="16"/>
                <w:szCs w:val="16"/>
              </w:rPr>
            </w:pPr>
            <w:r>
              <w:rPr>
                <w:sz w:val="16"/>
                <w:szCs w:val="16"/>
              </w:rPr>
              <w:t>0.19</w:t>
            </w:r>
          </w:p>
        </w:tc>
        <w:tc>
          <w:tcPr>
            <w:tcW w:w="523" w:type="pct"/>
            <w:vAlign w:val="center"/>
          </w:tcPr>
          <w:p w14:paraId="51DB11D4" w14:textId="77777777" w:rsidR="00850777" w:rsidRPr="0090652D" w:rsidRDefault="00850777" w:rsidP="005C66F8">
            <w:pPr>
              <w:spacing w:line="240" w:lineRule="auto"/>
              <w:jc w:val="center"/>
              <w:rPr>
                <w:sz w:val="16"/>
                <w:szCs w:val="16"/>
              </w:rPr>
            </w:pPr>
            <w:r>
              <w:rPr>
                <w:sz w:val="16"/>
                <w:szCs w:val="16"/>
              </w:rPr>
              <w:t>0.08</w:t>
            </w:r>
          </w:p>
        </w:tc>
        <w:tc>
          <w:tcPr>
            <w:tcW w:w="526" w:type="pct"/>
            <w:vAlign w:val="center"/>
          </w:tcPr>
          <w:p w14:paraId="5C47D764" w14:textId="77777777" w:rsidR="00850777" w:rsidRPr="0090652D" w:rsidRDefault="00850777" w:rsidP="005C66F8">
            <w:pPr>
              <w:spacing w:line="240" w:lineRule="auto"/>
              <w:jc w:val="center"/>
              <w:rPr>
                <w:sz w:val="16"/>
                <w:szCs w:val="16"/>
              </w:rPr>
            </w:pPr>
            <w:r>
              <w:rPr>
                <w:sz w:val="16"/>
                <w:szCs w:val="16"/>
              </w:rPr>
              <w:t>0.05</w:t>
            </w:r>
          </w:p>
        </w:tc>
        <w:tc>
          <w:tcPr>
            <w:tcW w:w="681" w:type="pct"/>
            <w:vAlign w:val="center"/>
          </w:tcPr>
          <w:p w14:paraId="4B1F0E50" w14:textId="77777777" w:rsidR="00850777" w:rsidRPr="0090652D" w:rsidRDefault="00850777" w:rsidP="005C66F8">
            <w:pPr>
              <w:spacing w:line="240" w:lineRule="auto"/>
              <w:jc w:val="center"/>
              <w:rPr>
                <w:sz w:val="16"/>
                <w:szCs w:val="16"/>
              </w:rPr>
            </w:pPr>
            <w:r>
              <w:rPr>
                <w:sz w:val="16"/>
                <w:szCs w:val="16"/>
              </w:rPr>
              <w:t>-0.77***</w:t>
            </w:r>
          </w:p>
        </w:tc>
        <w:tc>
          <w:tcPr>
            <w:tcW w:w="376" w:type="pct"/>
            <w:vAlign w:val="center"/>
          </w:tcPr>
          <w:p w14:paraId="0174FDFD" w14:textId="77777777" w:rsidR="00850777" w:rsidRPr="0090652D" w:rsidRDefault="00850777" w:rsidP="005C66F8">
            <w:pPr>
              <w:spacing w:line="240" w:lineRule="auto"/>
              <w:jc w:val="center"/>
              <w:rPr>
                <w:sz w:val="16"/>
                <w:szCs w:val="16"/>
              </w:rPr>
            </w:pPr>
            <w:r>
              <w:rPr>
                <w:sz w:val="16"/>
                <w:szCs w:val="16"/>
              </w:rPr>
              <w:t>0.23</w:t>
            </w:r>
          </w:p>
        </w:tc>
        <w:tc>
          <w:tcPr>
            <w:tcW w:w="750" w:type="pct"/>
            <w:vAlign w:val="center"/>
          </w:tcPr>
          <w:p w14:paraId="00408E1C" w14:textId="77777777" w:rsidR="00850777" w:rsidRPr="0090652D" w:rsidRDefault="00850777" w:rsidP="005C66F8">
            <w:pPr>
              <w:spacing w:line="240" w:lineRule="auto"/>
              <w:jc w:val="center"/>
              <w:rPr>
                <w:sz w:val="16"/>
                <w:szCs w:val="16"/>
              </w:rPr>
            </w:pPr>
            <w:r>
              <w:rPr>
                <w:sz w:val="16"/>
                <w:szCs w:val="16"/>
              </w:rPr>
              <w:t>0.02</w:t>
            </w:r>
          </w:p>
        </w:tc>
        <w:tc>
          <w:tcPr>
            <w:tcW w:w="342" w:type="pct"/>
            <w:vAlign w:val="center"/>
          </w:tcPr>
          <w:p w14:paraId="47986851" w14:textId="77777777" w:rsidR="00850777" w:rsidRPr="0090652D" w:rsidRDefault="00850777" w:rsidP="005C66F8">
            <w:pPr>
              <w:spacing w:line="240" w:lineRule="auto"/>
              <w:jc w:val="center"/>
              <w:rPr>
                <w:sz w:val="16"/>
                <w:szCs w:val="16"/>
              </w:rPr>
            </w:pPr>
            <w:r>
              <w:rPr>
                <w:sz w:val="16"/>
                <w:szCs w:val="16"/>
              </w:rPr>
              <w:t>0.06</w:t>
            </w:r>
          </w:p>
        </w:tc>
      </w:tr>
      <w:tr w:rsidR="00850777" w:rsidRPr="0090652D" w14:paraId="0D47D0A8" w14:textId="77777777" w:rsidTr="005C66F8">
        <w:trPr>
          <w:trHeight w:val="414"/>
          <w:jc w:val="center"/>
        </w:trPr>
        <w:tc>
          <w:tcPr>
            <w:tcW w:w="829" w:type="pct"/>
            <w:vAlign w:val="center"/>
          </w:tcPr>
          <w:p w14:paraId="7D73A072" w14:textId="77777777" w:rsidR="00850777" w:rsidRPr="0090652D" w:rsidRDefault="00850777" w:rsidP="005C66F8">
            <w:pPr>
              <w:spacing w:line="240" w:lineRule="auto"/>
              <w:jc w:val="center"/>
              <w:rPr>
                <w:sz w:val="16"/>
                <w:szCs w:val="16"/>
              </w:rPr>
            </w:pPr>
            <w:r w:rsidRPr="0090652D">
              <w:rPr>
                <w:sz w:val="16"/>
                <w:szCs w:val="16"/>
              </w:rPr>
              <w:t>APC</w:t>
            </w:r>
          </w:p>
        </w:tc>
        <w:tc>
          <w:tcPr>
            <w:tcW w:w="598" w:type="pct"/>
            <w:vAlign w:val="center"/>
          </w:tcPr>
          <w:p w14:paraId="57DF3278" w14:textId="77777777" w:rsidR="00850777" w:rsidRPr="0090652D" w:rsidRDefault="00850777" w:rsidP="005C66F8">
            <w:pPr>
              <w:spacing w:line="240" w:lineRule="auto"/>
              <w:jc w:val="center"/>
              <w:rPr>
                <w:sz w:val="16"/>
                <w:szCs w:val="16"/>
              </w:rPr>
            </w:pPr>
            <w:r>
              <w:rPr>
                <w:sz w:val="16"/>
                <w:szCs w:val="16"/>
              </w:rPr>
              <w:t>4.48***</w:t>
            </w:r>
          </w:p>
        </w:tc>
        <w:tc>
          <w:tcPr>
            <w:tcW w:w="375" w:type="pct"/>
            <w:vAlign w:val="center"/>
          </w:tcPr>
          <w:p w14:paraId="28A00594" w14:textId="77777777" w:rsidR="00850777" w:rsidRPr="0090652D" w:rsidRDefault="00850777" w:rsidP="005C66F8">
            <w:pPr>
              <w:spacing w:line="240" w:lineRule="auto"/>
              <w:jc w:val="center"/>
              <w:rPr>
                <w:sz w:val="16"/>
                <w:szCs w:val="16"/>
              </w:rPr>
            </w:pPr>
            <w:r>
              <w:rPr>
                <w:sz w:val="16"/>
                <w:szCs w:val="16"/>
              </w:rPr>
              <w:t>0.23</w:t>
            </w:r>
          </w:p>
        </w:tc>
        <w:tc>
          <w:tcPr>
            <w:tcW w:w="523" w:type="pct"/>
            <w:vAlign w:val="center"/>
          </w:tcPr>
          <w:p w14:paraId="1E02CC65" w14:textId="77777777" w:rsidR="00850777" w:rsidRPr="0090652D" w:rsidRDefault="00850777" w:rsidP="005C66F8">
            <w:pPr>
              <w:spacing w:line="240" w:lineRule="auto"/>
              <w:jc w:val="center"/>
              <w:rPr>
                <w:sz w:val="16"/>
                <w:szCs w:val="16"/>
              </w:rPr>
            </w:pPr>
            <w:r>
              <w:rPr>
                <w:sz w:val="16"/>
                <w:szCs w:val="16"/>
              </w:rPr>
              <w:t>0.08</w:t>
            </w:r>
          </w:p>
        </w:tc>
        <w:tc>
          <w:tcPr>
            <w:tcW w:w="526" w:type="pct"/>
            <w:vAlign w:val="center"/>
          </w:tcPr>
          <w:p w14:paraId="6C67F90F" w14:textId="77777777" w:rsidR="00850777" w:rsidRPr="0090652D" w:rsidRDefault="00850777" w:rsidP="005C66F8">
            <w:pPr>
              <w:spacing w:line="240" w:lineRule="auto"/>
              <w:jc w:val="center"/>
              <w:rPr>
                <w:sz w:val="16"/>
                <w:szCs w:val="16"/>
              </w:rPr>
            </w:pPr>
            <w:r>
              <w:rPr>
                <w:sz w:val="16"/>
                <w:szCs w:val="16"/>
              </w:rPr>
              <w:t>0.06</w:t>
            </w:r>
          </w:p>
        </w:tc>
        <w:tc>
          <w:tcPr>
            <w:tcW w:w="681" w:type="pct"/>
            <w:vAlign w:val="center"/>
          </w:tcPr>
          <w:p w14:paraId="6BCAA165" w14:textId="77777777" w:rsidR="00850777" w:rsidRPr="0090652D" w:rsidRDefault="00850777" w:rsidP="005C66F8">
            <w:pPr>
              <w:spacing w:line="240" w:lineRule="auto"/>
              <w:jc w:val="center"/>
              <w:rPr>
                <w:sz w:val="16"/>
                <w:szCs w:val="16"/>
              </w:rPr>
            </w:pPr>
            <w:r>
              <w:rPr>
                <w:sz w:val="16"/>
                <w:szCs w:val="16"/>
              </w:rPr>
              <w:t>-0.90***</w:t>
            </w:r>
          </w:p>
        </w:tc>
        <w:tc>
          <w:tcPr>
            <w:tcW w:w="376" w:type="pct"/>
            <w:vAlign w:val="center"/>
          </w:tcPr>
          <w:p w14:paraId="579E7DBA" w14:textId="77777777" w:rsidR="00850777" w:rsidRPr="0090652D" w:rsidRDefault="00850777" w:rsidP="005C66F8">
            <w:pPr>
              <w:spacing w:line="240" w:lineRule="auto"/>
              <w:jc w:val="center"/>
              <w:rPr>
                <w:sz w:val="16"/>
                <w:szCs w:val="16"/>
              </w:rPr>
            </w:pPr>
            <w:r>
              <w:rPr>
                <w:sz w:val="16"/>
                <w:szCs w:val="16"/>
              </w:rPr>
              <w:t>0.29</w:t>
            </w:r>
          </w:p>
        </w:tc>
        <w:tc>
          <w:tcPr>
            <w:tcW w:w="750" w:type="pct"/>
            <w:vAlign w:val="center"/>
          </w:tcPr>
          <w:p w14:paraId="764A20E8" w14:textId="77777777" w:rsidR="00850777" w:rsidRPr="0090652D" w:rsidRDefault="00850777" w:rsidP="005C66F8">
            <w:pPr>
              <w:spacing w:line="240" w:lineRule="auto"/>
              <w:jc w:val="center"/>
              <w:rPr>
                <w:sz w:val="16"/>
                <w:szCs w:val="16"/>
              </w:rPr>
            </w:pPr>
            <w:r>
              <w:rPr>
                <w:sz w:val="16"/>
                <w:szCs w:val="16"/>
              </w:rPr>
              <w:t>0.04</w:t>
            </w:r>
          </w:p>
        </w:tc>
        <w:tc>
          <w:tcPr>
            <w:tcW w:w="342" w:type="pct"/>
            <w:vAlign w:val="center"/>
          </w:tcPr>
          <w:p w14:paraId="14DD6A68" w14:textId="77777777" w:rsidR="00850777" w:rsidRPr="0090652D" w:rsidRDefault="00850777" w:rsidP="005C66F8">
            <w:pPr>
              <w:spacing w:line="240" w:lineRule="auto"/>
              <w:jc w:val="center"/>
              <w:rPr>
                <w:sz w:val="16"/>
                <w:szCs w:val="16"/>
              </w:rPr>
            </w:pPr>
            <w:r>
              <w:rPr>
                <w:sz w:val="16"/>
                <w:szCs w:val="16"/>
              </w:rPr>
              <w:t>0.08</w:t>
            </w:r>
          </w:p>
        </w:tc>
      </w:tr>
      <w:tr w:rsidR="00850777" w:rsidRPr="0090652D" w14:paraId="65E80616" w14:textId="77777777" w:rsidTr="005C66F8">
        <w:trPr>
          <w:trHeight w:val="420"/>
          <w:jc w:val="center"/>
        </w:trPr>
        <w:tc>
          <w:tcPr>
            <w:tcW w:w="829" w:type="pct"/>
            <w:vAlign w:val="center"/>
          </w:tcPr>
          <w:p w14:paraId="171C6B57" w14:textId="77777777" w:rsidR="00850777" w:rsidRPr="0090652D" w:rsidRDefault="00850777" w:rsidP="005C66F8">
            <w:pPr>
              <w:spacing w:line="240" w:lineRule="auto"/>
              <w:jc w:val="center"/>
              <w:rPr>
                <w:sz w:val="16"/>
                <w:szCs w:val="16"/>
              </w:rPr>
            </w:pPr>
            <w:r w:rsidRPr="0090652D">
              <w:rPr>
                <w:sz w:val="16"/>
                <w:szCs w:val="16"/>
              </w:rPr>
              <w:t>A&amp;E</w:t>
            </w:r>
          </w:p>
        </w:tc>
        <w:tc>
          <w:tcPr>
            <w:tcW w:w="598" w:type="pct"/>
            <w:vAlign w:val="center"/>
          </w:tcPr>
          <w:p w14:paraId="384EA5D3" w14:textId="77777777" w:rsidR="00850777" w:rsidRPr="0090652D" w:rsidRDefault="00850777" w:rsidP="005C66F8">
            <w:pPr>
              <w:spacing w:line="240" w:lineRule="auto"/>
              <w:jc w:val="center"/>
              <w:rPr>
                <w:sz w:val="16"/>
                <w:szCs w:val="16"/>
              </w:rPr>
            </w:pPr>
            <w:r>
              <w:rPr>
                <w:sz w:val="16"/>
                <w:szCs w:val="16"/>
              </w:rPr>
              <w:t>5.41</w:t>
            </w:r>
            <w:r w:rsidRPr="0090652D">
              <w:rPr>
                <w:sz w:val="16"/>
                <w:szCs w:val="16"/>
              </w:rPr>
              <w:t>***</w:t>
            </w:r>
          </w:p>
        </w:tc>
        <w:tc>
          <w:tcPr>
            <w:tcW w:w="375" w:type="pct"/>
            <w:vAlign w:val="center"/>
          </w:tcPr>
          <w:p w14:paraId="3C3C527D" w14:textId="77777777" w:rsidR="00850777" w:rsidRPr="0090652D" w:rsidRDefault="00850777" w:rsidP="005C66F8">
            <w:pPr>
              <w:spacing w:line="240" w:lineRule="auto"/>
              <w:jc w:val="center"/>
              <w:rPr>
                <w:sz w:val="16"/>
                <w:szCs w:val="16"/>
              </w:rPr>
            </w:pPr>
            <w:r>
              <w:rPr>
                <w:sz w:val="16"/>
                <w:szCs w:val="16"/>
              </w:rPr>
              <w:t>0.25</w:t>
            </w:r>
          </w:p>
        </w:tc>
        <w:tc>
          <w:tcPr>
            <w:tcW w:w="523" w:type="pct"/>
            <w:vAlign w:val="center"/>
          </w:tcPr>
          <w:p w14:paraId="71356025" w14:textId="77777777" w:rsidR="00850777" w:rsidRPr="0090652D" w:rsidRDefault="00850777" w:rsidP="005C66F8">
            <w:pPr>
              <w:spacing w:line="240" w:lineRule="auto"/>
              <w:jc w:val="center"/>
              <w:rPr>
                <w:sz w:val="16"/>
                <w:szCs w:val="16"/>
              </w:rPr>
            </w:pPr>
            <w:r>
              <w:rPr>
                <w:sz w:val="16"/>
                <w:szCs w:val="16"/>
              </w:rPr>
              <w:t>0.07</w:t>
            </w:r>
          </w:p>
        </w:tc>
        <w:tc>
          <w:tcPr>
            <w:tcW w:w="526" w:type="pct"/>
            <w:vAlign w:val="center"/>
          </w:tcPr>
          <w:p w14:paraId="27B66A5F" w14:textId="77777777" w:rsidR="00850777" w:rsidRPr="0090652D" w:rsidRDefault="00850777" w:rsidP="005C66F8">
            <w:pPr>
              <w:spacing w:line="240" w:lineRule="auto"/>
              <w:jc w:val="center"/>
              <w:rPr>
                <w:sz w:val="16"/>
                <w:szCs w:val="16"/>
              </w:rPr>
            </w:pPr>
            <w:r>
              <w:rPr>
                <w:sz w:val="16"/>
                <w:szCs w:val="16"/>
              </w:rPr>
              <w:t>0.06</w:t>
            </w:r>
          </w:p>
        </w:tc>
        <w:tc>
          <w:tcPr>
            <w:tcW w:w="681" w:type="pct"/>
            <w:vAlign w:val="center"/>
          </w:tcPr>
          <w:p w14:paraId="1C1B8CF7" w14:textId="77777777" w:rsidR="00850777" w:rsidRPr="0090652D" w:rsidRDefault="00850777" w:rsidP="005C66F8">
            <w:pPr>
              <w:spacing w:line="240" w:lineRule="auto"/>
              <w:jc w:val="center"/>
              <w:rPr>
                <w:sz w:val="16"/>
                <w:szCs w:val="16"/>
              </w:rPr>
            </w:pPr>
            <w:r>
              <w:rPr>
                <w:sz w:val="16"/>
                <w:szCs w:val="16"/>
              </w:rPr>
              <w:t>-0.70**</w:t>
            </w:r>
          </w:p>
        </w:tc>
        <w:tc>
          <w:tcPr>
            <w:tcW w:w="376" w:type="pct"/>
            <w:vAlign w:val="center"/>
          </w:tcPr>
          <w:p w14:paraId="67FB9A06" w14:textId="77777777" w:rsidR="00850777" w:rsidRPr="0090652D" w:rsidRDefault="00850777" w:rsidP="005C66F8">
            <w:pPr>
              <w:spacing w:line="240" w:lineRule="auto"/>
              <w:jc w:val="center"/>
              <w:rPr>
                <w:sz w:val="16"/>
                <w:szCs w:val="16"/>
              </w:rPr>
            </w:pPr>
            <w:r>
              <w:rPr>
                <w:sz w:val="16"/>
                <w:szCs w:val="16"/>
              </w:rPr>
              <w:t>0.31</w:t>
            </w:r>
          </w:p>
        </w:tc>
        <w:tc>
          <w:tcPr>
            <w:tcW w:w="750" w:type="pct"/>
            <w:vAlign w:val="center"/>
          </w:tcPr>
          <w:p w14:paraId="3A50BE28" w14:textId="77777777" w:rsidR="00850777" w:rsidRPr="0090652D" w:rsidRDefault="00850777" w:rsidP="005C66F8">
            <w:pPr>
              <w:spacing w:line="240" w:lineRule="auto"/>
              <w:jc w:val="center"/>
              <w:rPr>
                <w:sz w:val="16"/>
                <w:szCs w:val="16"/>
              </w:rPr>
            </w:pPr>
            <w:r>
              <w:rPr>
                <w:sz w:val="16"/>
                <w:szCs w:val="16"/>
              </w:rPr>
              <w:t>0.03</w:t>
            </w:r>
          </w:p>
        </w:tc>
        <w:tc>
          <w:tcPr>
            <w:tcW w:w="342" w:type="pct"/>
            <w:vAlign w:val="center"/>
          </w:tcPr>
          <w:p w14:paraId="469BE68A" w14:textId="77777777" w:rsidR="00850777" w:rsidRPr="0090652D" w:rsidRDefault="00850777" w:rsidP="005C66F8">
            <w:pPr>
              <w:spacing w:line="240" w:lineRule="auto"/>
              <w:jc w:val="center"/>
              <w:rPr>
                <w:sz w:val="16"/>
                <w:szCs w:val="16"/>
              </w:rPr>
            </w:pPr>
            <w:r>
              <w:rPr>
                <w:sz w:val="16"/>
                <w:szCs w:val="16"/>
              </w:rPr>
              <w:t>0.08</w:t>
            </w:r>
          </w:p>
        </w:tc>
      </w:tr>
    </w:tbl>
    <w:p w14:paraId="113E5E8D" w14:textId="77777777" w:rsidR="00850777" w:rsidRDefault="00850777" w:rsidP="005C66F8">
      <w:pPr>
        <w:spacing w:line="240" w:lineRule="auto"/>
      </w:pPr>
    </w:p>
    <w:p w14:paraId="20BDF18F" w14:textId="77777777" w:rsidR="00850777" w:rsidRPr="003221DC" w:rsidRDefault="00850777" w:rsidP="00A105D3">
      <w:pPr>
        <w:spacing w:line="240" w:lineRule="auto"/>
        <w:rPr>
          <w:i/>
          <w:iCs/>
          <w:sz w:val="18"/>
          <w:szCs w:val="18"/>
        </w:rPr>
      </w:pPr>
      <w:r w:rsidRPr="005C66F8">
        <w:rPr>
          <w:i/>
          <w:iCs/>
          <w:sz w:val="18"/>
          <w:szCs w:val="18"/>
        </w:rPr>
        <w:t>Note: Rate of use for FNSD patients relative to psychotherapy intervention: interrupted time series analyses.</w:t>
      </w:r>
      <w:r>
        <w:rPr>
          <w:i/>
          <w:iCs/>
          <w:sz w:val="18"/>
          <w:szCs w:val="18"/>
        </w:rPr>
        <w:t xml:space="preserve"> </w:t>
      </w:r>
      <w:r w:rsidRPr="005C66F8">
        <w:rPr>
          <w:i/>
          <w:iCs/>
          <w:sz w:val="18"/>
          <w:szCs w:val="18"/>
        </w:rPr>
        <w:t>Using aggregated data points per unique time (3-month periods) across all study subjects.</w:t>
      </w:r>
      <w:r>
        <w:rPr>
          <w:i/>
          <w:iCs/>
          <w:sz w:val="18"/>
          <w:szCs w:val="18"/>
        </w:rPr>
        <w:t xml:space="preserve"> C</w:t>
      </w:r>
      <w:r w:rsidRPr="003221DC">
        <w:rPr>
          <w:i/>
          <w:iCs/>
          <w:sz w:val="18"/>
          <w:szCs w:val="18"/>
        </w:rPr>
        <w:t>oefficients represent the rate ratios</w:t>
      </w:r>
      <w:r>
        <w:rPr>
          <w:i/>
          <w:iCs/>
          <w:sz w:val="18"/>
          <w:szCs w:val="18"/>
        </w:rPr>
        <w:t>:</w:t>
      </w:r>
      <w:r w:rsidRPr="003221DC">
        <w:rPr>
          <w:i/>
          <w:iCs/>
          <w:sz w:val="18"/>
          <w:szCs w:val="18"/>
        </w:rPr>
        <w:t xml:space="preserve"> a measure of the relative</w:t>
      </w:r>
      <w:r>
        <w:rPr>
          <w:i/>
          <w:iCs/>
          <w:sz w:val="18"/>
          <w:szCs w:val="18"/>
        </w:rPr>
        <w:t xml:space="preserve"> trend</w:t>
      </w:r>
      <w:r w:rsidRPr="003221DC">
        <w:rPr>
          <w:i/>
          <w:iCs/>
          <w:sz w:val="18"/>
          <w:szCs w:val="18"/>
        </w:rPr>
        <w:t xml:space="preserve"> change in the event rate for each</w:t>
      </w:r>
      <w:r>
        <w:rPr>
          <w:i/>
          <w:iCs/>
          <w:sz w:val="18"/>
          <w:szCs w:val="18"/>
        </w:rPr>
        <w:t xml:space="preserve"> quarter (before/after therapy) or level change at therapy.</w:t>
      </w:r>
      <w:r w:rsidRPr="003221DC">
        <w:rPr>
          <w:i/>
          <w:iCs/>
          <w:sz w:val="18"/>
          <w:szCs w:val="18"/>
        </w:rPr>
        <w:t xml:space="preserve"> **p&lt;0.05; ***p&lt;0.01</w:t>
      </w:r>
      <w:r>
        <w:rPr>
          <w:i/>
          <w:iCs/>
          <w:sz w:val="18"/>
          <w:szCs w:val="18"/>
        </w:rPr>
        <w:t>.</w:t>
      </w:r>
    </w:p>
    <w:p w14:paraId="31E8C67A" w14:textId="77777777" w:rsidR="00850777" w:rsidRDefault="00850777">
      <w:pPr>
        <w:spacing w:line="240" w:lineRule="auto"/>
      </w:pPr>
      <w:r>
        <w:br w:type="page"/>
      </w:r>
    </w:p>
    <w:p w14:paraId="4A1313C1" w14:textId="77777777" w:rsidR="00850777" w:rsidRPr="00A105D3" w:rsidRDefault="00850777" w:rsidP="00A105D3">
      <w:r>
        <w:lastRenderedPageBreak/>
        <w:t xml:space="preserve">Figure 9. Segmented regression analyses of UEC utilisation rates before and after psychotherapy </w:t>
      </w:r>
    </w:p>
    <w:p w14:paraId="6DEFADE5" w14:textId="77777777" w:rsidR="009534B8" w:rsidRDefault="00850777" w:rsidP="00A9076C">
      <w:r w:rsidRPr="005C66F8">
        <w:t xml:space="preserve">Figure </w:t>
      </w:r>
      <w:r>
        <w:t>9</w:t>
      </w:r>
      <w:r w:rsidRPr="005C66F8">
        <w:t>a: Interrupted Time Series</w:t>
      </w:r>
      <w:r>
        <w:t xml:space="preserve"> </w:t>
      </w:r>
      <w:r w:rsidRPr="005C66F8">
        <w:t xml:space="preserve">plot of 111 </w:t>
      </w:r>
      <w:r>
        <w:t>Utilisation rates, with Binomial negative Regression line</w:t>
      </w:r>
    </w:p>
    <w:p w14:paraId="1A855CD2" w14:textId="1EEF2706" w:rsidR="00850777" w:rsidRDefault="00850777" w:rsidP="009534B8">
      <w:pPr>
        <w:jc w:val="center"/>
      </w:pPr>
      <w:r w:rsidRPr="00A54232">
        <w:rPr>
          <w:noProof/>
        </w:rPr>
        <w:drawing>
          <wp:inline distT="0" distB="0" distL="0" distR="0" wp14:anchorId="0F25E36B" wp14:editId="3F619046">
            <wp:extent cx="3970140" cy="3257550"/>
            <wp:effectExtent l="0" t="0" r="5080" b="0"/>
            <wp:docPr id="1172177949"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77949" name="Picture 1" descr="A picture containing text, line, diagram, plot&#10;&#10;Description automatically generated"/>
                    <pic:cNvPicPr/>
                  </pic:nvPicPr>
                  <pic:blipFill>
                    <a:blip r:embed="rId45"/>
                    <a:stretch>
                      <a:fillRect/>
                    </a:stretch>
                  </pic:blipFill>
                  <pic:spPr>
                    <a:xfrm>
                      <a:off x="0" y="0"/>
                      <a:ext cx="3977057" cy="3263226"/>
                    </a:xfrm>
                    <a:prstGeom prst="rect">
                      <a:avLst/>
                    </a:prstGeom>
                  </pic:spPr>
                </pic:pic>
              </a:graphicData>
            </a:graphic>
          </wp:inline>
        </w:drawing>
      </w:r>
    </w:p>
    <w:p w14:paraId="09469E23" w14:textId="77777777" w:rsidR="00850777" w:rsidRDefault="00850777" w:rsidP="005C4358">
      <w:r w:rsidRPr="005C66F8">
        <w:t xml:space="preserve">Figure </w:t>
      </w:r>
      <w:r>
        <w:t>9b</w:t>
      </w:r>
      <w:r w:rsidRPr="005C66F8">
        <w:t>: Interrupted Time Series</w:t>
      </w:r>
      <w:r>
        <w:t xml:space="preserve"> </w:t>
      </w:r>
      <w:r w:rsidRPr="005C66F8">
        <w:t xml:space="preserve">plot of </w:t>
      </w:r>
      <w:r>
        <w:t>AMB</w:t>
      </w:r>
      <w:r w:rsidRPr="005C66F8">
        <w:t xml:space="preserve"> </w:t>
      </w:r>
      <w:r>
        <w:t>Utilisation rates, with Binomial negative Regression line.</w:t>
      </w:r>
    </w:p>
    <w:p w14:paraId="752D60E1" w14:textId="77777777" w:rsidR="00850777" w:rsidRDefault="00850777" w:rsidP="00A105D3">
      <w:pPr>
        <w:spacing w:line="240" w:lineRule="auto"/>
        <w:jc w:val="center"/>
      </w:pPr>
      <w:r w:rsidRPr="008E3E7B">
        <w:rPr>
          <w:noProof/>
        </w:rPr>
        <w:drawing>
          <wp:inline distT="0" distB="0" distL="0" distR="0" wp14:anchorId="71C03AE6" wp14:editId="6C5EE46A">
            <wp:extent cx="4171715" cy="3448050"/>
            <wp:effectExtent l="0" t="0" r="0" b="0"/>
            <wp:docPr id="1930118986"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18986" name="Picture 1" descr="A picture containing text, line, diagram, plot&#10;&#10;Description automatically generated"/>
                    <pic:cNvPicPr/>
                  </pic:nvPicPr>
                  <pic:blipFill>
                    <a:blip r:embed="rId46"/>
                    <a:stretch>
                      <a:fillRect/>
                    </a:stretch>
                  </pic:blipFill>
                  <pic:spPr>
                    <a:xfrm>
                      <a:off x="0" y="0"/>
                      <a:ext cx="4179107" cy="3454159"/>
                    </a:xfrm>
                    <a:prstGeom prst="rect">
                      <a:avLst/>
                    </a:prstGeom>
                  </pic:spPr>
                </pic:pic>
              </a:graphicData>
            </a:graphic>
          </wp:inline>
        </w:drawing>
      </w:r>
      <w:r>
        <w:br w:type="page"/>
      </w:r>
    </w:p>
    <w:p w14:paraId="68EA9278" w14:textId="77777777" w:rsidR="00850777" w:rsidRDefault="00850777" w:rsidP="00C56316">
      <w:r w:rsidRPr="005C66F8">
        <w:lastRenderedPageBreak/>
        <w:t xml:space="preserve">Figure </w:t>
      </w:r>
      <w:r>
        <w:t>9c:</w:t>
      </w:r>
      <w:r w:rsidRPr="005C66F8">
        <w:t xml:space="preserve"> Interrupted Time Series</w:t>
      </w:r>
      <w:r>
        <w:t xml:space="preserve"> </w:t>
      </w:r>
      <w:r w:rsidRPr="005C66F8">
        <w:t xml:space="preserve">plot of </w:t>
      </w:r>
      <w:r>
        <w:t>APC</w:t>
      </w:r>
      <w:r w:rsidRPr="005C66F8">
        <w:t xml:space="preserve"> </w:t>
      </w:r>
      <w:r>
        <w:t>Utilisation rates, with Binomial negative Regression line.</w:t>
      </w:r>
    </w:p>
    <w:p w14:paraId="0A01F3D1" w14:textId="77777777" w:rsidR="00850777" w:rsidRDefault="00850777" w:rsidP="00A105D3">
      <w:pPr>
        <w:jc w:val="center"/>
        <w:rPr>
          <w:b/>
          <w:bCs/>
        </w:rPr>
      </w:pPr>
      <w:r w:rsidRPr="00A54232">
        <w:rPr>
          <w:b/>
          <w:bCs/>
          <w:noProof/>
        </w:rPr>
        <w:drawing>
          <wp:inline distT="0" distB="0" distL="0" distR="0" wp14:anchorId="0713F1C3" wp14:editId="232E835C">
            <wp:extent cx="4513634" cy="3588995"/>
            <wp:effectExtent l="0" t="0" r="0" b="5715"/>
            <wp:docPr id="2012837699"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37699" name="Picture 1" descr="A picture containing text, line, diagram, plot&#10;&#10;Description automatically generated"/>
                    <pic:cNvPicPr/>
                  </pic:nvPicPr>
                  <pic:blipFill>
                    <a:blip r:embed="rId47"/>
                    <a:stretch>
                      <a:fillRect/>
                    </a:stretch>
                  </pic:blipFill>
                  <pic:spPr>
                    <a:xfrm>
                      <a:off x="0" y="0"/>
                      <a:ext cx="4533588" cy="3604862"/>
                    </a:xfrm>
                    <a:prstGeom prst="rect">
                      <a:avLst/>
                    </a:prstGeom>
                  </pic:spPr>
                </pic:pic>
              </a:graphicData>
            </a:graphic>
          </wp:inline>
        </w:drawing>
      </w:r>
    </w:p>
    <w:p w14:paraId="07F353D3" w14:textId="77777777" w:rsidR="00850777" w:rsidRDefault="00850777" w:rsidP="00C56316">
      <w:pPr>
        <w:spacing w:line="240" w:lineRule="auto"/>
      </w:pPr>
      <w:r w:rsidRPr="005C66F8">
        <w:t xml:space="preserve">Figure </w:t>
      </w:r>
      <w:r>
        <w:t>9d:</w:t>
      </w:r>
      <w:r w:rsidRPr="005C66F8">
        <w:t xml:space="preserve"> Interrupted Time Series</w:t>
      </w:r>
      <w:r>
        <w:t xml:space="preserve"> </w:t>
      </w:r>
      <w:r w:rsidRPr="005C66F8">
        <w:t xml:space="preserve">plot of </w:t>
      </w:r>
      <w:r>
        <w:t>A&amp;E</w:t>
      </w:r>
      <w:r w:rsidRPr="005C66F8">
        <w:t xml:space="preserve"> </w:t>
      </w:r>
      <w:r>
        <w:t>Utilisation rates, with Binomial negative Regression line.</w:t>
      </w:r>
    </w:p>
    <w:p w14:paraId="1CE3704A" w14:textId="77777777" w:rsidR="00850777" w:rsidRDefault="00850777" w:rsidP="00000DA4">
      <w:pPr>
        <w:spacing w:line="240" w:lineRule="auto"/>
        <w:jc w:val="center"/>
        <w:rPr>
          <w:i/>
          <w:iCs/>
          <w:sz w:val="18"/>
          <w:szCs w:val="18"/>
        </w:rPr>
      </w:pPr>
      <w:r w:rsidRPr="002B042C">
        <w:rPr>
          <w:i/>
          <w:iCs/>
          <w:noProof/>
          <w:sz w:val="18"/>
          <w:szCs w:val="18"/>
        </w:rPr>
        <w:drawing>
          <wp:inline distT="0" distB="0" distL="0" distR="0" wp14:anchorId="4A7218C5" wp14:editId="162D07D3">
            <wp:extent cx="4648200" cy="3162300"/>
            <wp:effectExtent l="0" t="0" r="0" b="0"/>
            <wp:docPr id="2061610284"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10284" name="Picture 1" descr="A picture containing line, diagram, plot, slope&#10;&#10;Description automatically generated"/>
                    <pic:cNvPicPr/>
                  </pic:nvPicPr>
                  <pic:blipFill>
                    <a:blip r:embed="rId48"/>
                    <a:stretch>
                      <a:fillRect/>
                    </a:stretch>
                  </pic:blipFill>
                  <pic:spPr>
                    <a:xfrm>
                      <a:off x="0" y="0"/>
                      <a:ext cx="4648200" cy="3162300"/>
                    </a:xfrm>
                    <a:prstGeom prst="rect">
                      <a:avLst/>
                    </a:prstGeom>
                  </pic:spPr>
                </pic:pic>
              </a:graphicData>
            </a:graphic>
          </wp:inline>
        </w:drawing>
      </w:r>
    </w:p>
    <w:p w14:paraId="5C5787EB" w14:textId="77777777" w:rsidR="00850777" w:rsidRDefault="00850777" w:rsidP="002B042C">
      <w:pPr>
        <w:spacing w:line="240" w:lineRule="auto"/>
        <w:jc w:val="center"/>
        <w:rPr>
          <w:i/>
          <w:iCs/>
          <w:sz w:val="18"/>
          <w:szCs w:val="18"/>
        </w:rPr>
      </w:pPr>
    </w:p>
    <w:p w14:paraId="250635B0" w14:textId="77777777" w:rsidR="00850777" w:rsidRDefault="00850777" w:rsidP="002B042C">
      <w:pPr>
        <w:spacing w:line="240" w:lineRule="auto"/>
        <w:rPr>
          <w:i/>
          <w:iCs/>
          <w:sz w:val="18"/>
          <w:szCs w:val="18"/>
        </w:rPr>
      </w:pPr>
      <w:r w:rsidRPr="003221DC">
        <w:rPr>
          <w:i/>
          <w:iCs/>
          <w:sz w:val="18"/>
          <w:szCs w:val="18"/>
        </w:rPr>
        <w:t xml:space="preserve">Note: Each </w:t>
      </w:r>
      <w:r>
        <w:rPr>
          <w:i/>
          <w:iCs/>
          <w:sz w:val="18"/>
          <w:szCs w:val="18"/>
        </w:rPr>
        <w:t>grey dot</w:t>
      </w:r>
      <w:r w:rsidRPr="003221DC">
        <w:rPr>
          <w:i/>
          <w:iCs/>
          <w:sz w:val="18"/>
          <w:szCs w:val="18"/>
        </w:rPr>
        <w:t xml:space="preserve"> represents the rate of UEC use for a given quarter relative to the psychotherapy intervention, with quarters </w:t>
      </w:r>
      <w:r>
        <w:rPr>
          <w:i/>
          <w:iCs/>
          <w:sz w:val="18"/>
          <w:szCs w:val="18"/>
        </w:rPr>
        <w:t>before</w:t>
      </w:r>
      <w:r w:rsidRPr="003221DC">
        <w:rPr>
          <w:i/>
          <w:iCs/>
          <w:sz w:val="18"/>
          <w:szCs w:val="18"/>
        </w:rPr>
        <w:t xml:space="preserve"> the intervention denoted by negative numbers and quarters after the intervention denoted by positive numbers.</w:t>
      </w:r>
      <w:r>
        <w:rPr>
          <w:i/>
          <w:iCs/>
          <w:sz w:val="18"/>
          <w:szCs w:val="18"/>
        </w:rPr>
        <w:t xml:space="preserve"> </w:t>
      </w:r>
      <w:r w:rsidRPr="003221DC">
        <w:rPr>
          <w:i/>
          <w:iCs/>
          <w:sz w:val="18"/>
          <w:szCs w:val="18"/>
        </w:rPr>
        <w:t xml:space="preserve">The red dashed line at time 0 marks the </w:t>
      </w:r>
      <w:r>
        <w:rPr>
          <w:i/>
          <w:iCs/>
          <w:sz w:val="18"/>
          <w:szCs w:val="18"/>
        </w:rPr>
        <w:t xml:space="preserve">complete </w:t>
      </w:r>
      <w:r w:rsidRPr="003221DC">
        <w:rPr>
          <w:i/>
          <w:iCs/>
          <w:sz w:val="18"/>
          <w:szCs w:val="18"/>
        </w:rPr>
        <w:t>psychotherapy intervention</w:t>
      </w:r>
      <w:r>
        <w:rPr>
          <w:i/>
          <w:iCs/>
          <w:sz w:val="18"/>
          <w:szCs w:val="18"/>
        </w:rPr>
        <w:t xml:space="preserve"> phase, adjusted for each patient's therapy length</w:t>
      </w:r>
      <w:r w:rsidRPr="003221DC">
        <w:rPr>
          <w:i/>
          <w:iCs/>
          <w:sz w:val="18"/>
          <w:szCs w:val="18"/>
        </w:rPr>
        <w:t>.</w:t>
      </w:r>
      <w:r>
        <w:rPr>
          <w:i/>
          <w:iCs/>
          <w:sz w:val="18"/>
          <w:szCs w:val="18"/>
        </w:rPr>
        <w:t xml:space="preserve"> </w:t>
      </w:r>
      <w:r w:rsidRPr="003221DC">
        <w:rPr>
          <w:i/>
          <w:iCs/>
          <w:sz w:val="18"/>
          <w:szCs w:val="18"/>
        </w:rPr>
        <w:t xml:space="preserve">The blue line represents the fitted values from the negative binomial regression model, showing the trend in </w:t>
      </w:r>
      <w:r>
        <w:rPr>
          <w:i/>
          <w:iCs/>
          <w:sz w:val="18"/>
          <w:szCs w:val="18"/>
        </w:rPr>
        <w:t xml:space="preserve">UEC usage </w:t>
      </w:r>
      <w:r w:rsidRPr="003221DC">
        <w:rPr>
          <w:i/>
          <w:iCs/>
          <w:sz w:val="18"/>
          <w:szCs w:val="18"/>
        </w:rPr>
        <w:t>rates over time.</w:t>
      </w:r>
      <w:r>
        <w:rPr>
          <w:i/>
          <w:iCs/>
          <w:sz w:val="18"/>
          <w:szCs w:val="18"/>
        </w:rPr>
        <w:t xml:space="preserve"> </w:t>
      </w:r>
      <w:r w:rsidRPr="003221DC">
        <w:rPr>
          <w:i/>
          <w:iCs/>
          <w:sz w:val="18"/>
          <w:szCs w:val="18"/>
        </w:rPr>
        <w:t>Rates were adjusted to 1</w:t>
      </w:r>
      <w:r>
        <w:rPr>
          <w:i/>
          <w:iCs/>
          <w:sz w:val="18"/>
          <w:szCs w:val="18"/>
        </w:rPr>
        <w:t>,</w:t>
      </w:r>
      <w:r w:rsidRPr="003221DC">
        <w:rPr>
          <w:i/>
          <w:iCs/>
          <w:sz w:val="18"/>
          <w:szCs w:val="18"/>
        </w:rPr>
        <w:t>000 person-quarters for comparison.</w:t>
      </w:r>
    </w:p>
    <w:p w14:paraId="718AD4AB" w14:textId="77777777" w:rsidR="00850777" w:rsidRPr="0060652B" w:rsidRDefault="00850777" w:rsidP="002B042C">
      <w:pPr>
        <w:spacing w:line="240" w:lineRule="auto"/>
        <w:rPr>
          <w:i/>
          <w:iCs/>
          <w:sz w:val="18"/>
          <w:szCs w:val="18"/>
        </w:rPr>
      </w:pPr>
    </w:p>
    <w:p w14:paraId="7A466951" w14:textId="77777777" w:rsidR="00850777" w:rsidRDefault="00850777" w:rsidP="003A22CB">
      <w:pPr>
        <w:pStyle w:val="Heading3"/>
        <w:rPr>
          <w:sz w:val="21"/>
          <w:szCs w:val="21"/>
        </w:rPr>
      </w:pPr>
      <w:bookmarkStart w:id="139" w:name="_Toc137504753"/>
      <w:r>
        <w:rPr>
          <w:sz w:val="21"/>
          <w:szCs w:val="21"/>
        </w:rPr>
        <w:lastRenderedPageBreak/>
        <w:t xml:space="preserve">4.3.5 </w:t>
      </w:r>
      <w:r w:rsidRPr="003A22CB">
        <w:rPr>
          <w:sz w:val="21"/>
          <w:szCs w:val="21"/>
        </w:rPr>
        <w:t xml:space="preserve">Features of UEC </w:t>
      </w:r>
      <w:r>
        <w:rPr>
          <w:sz w:val="21"/>
          <w:szCs w:val="21"/>
        </w:rPr>
        <w:t>Service</w:t>
      </w:r>
      <w:r w:rsidRPr="003A22CB">
        <w:rPr>
          <w:sz w:val="21"/>
          <w:szCs w:val="21"/>
        </w:rPr>
        <w:t xml:space="preserve"> use</w:t>
      </w:r>
      <w:bookmarkEnd w:id="139"/>
    </w:p>
    <w:p w14:paraId="7A433418" w14:textId="77777777" w:rsidR="00850777" w:rsidRDefault="00850777" w:rsidP="000A4FFE">
      <w:r w:rsidRPr="000A4FFE">
        <w:t>There w</w:t>
      </w:r>
      <w:r>
        <w:t>ere</w:t>
      </w:r>
      <w:r w:rsidRPr="000A4FFE">
        <w:t xml:space="preserve"> no missing data for included covariates </w:t>
      </w:r>
      <w:r>
        <w:t>before or after therapy.</w:t>
      </w:r>
    </w:p>
    <w:p w14:paraId="7F327DAB" w14:textId="0D9F8548" w:rsidR="00850777" w:rsidRDefault="00850777" w:rsidP="00960C5B">
      <w:r>
        <w:t>Table 21 presents the adjusted odds ratios comparing features of UEC use before and after therapy in the FNSD population, controlling for age, sex, and IMD decile. For 111 calls, the likelihood of needing a call</w:t>
      </w:r>
      <w:r w:rsidR="00000DA4">
        <w:t>-</w:t>
      </w:r>
      <w:r>
        <w:t>back was significantly reduced after therapy. However, the differences in recommending AE, ambulance dispatch, primary care, and self-care were not statistically significant. The odds of AMB callouts being classed as high urgency were also not significant. There was a significantly lower likelihood of hospital admission after an A&amp;E visit (OR=0.691, p=0.007) and regarding APC spells, the probability of having a hospital stay of seven nights or more significantly reduced (AOR=0.579, p&lt;0.001), pointing to a potential decrease in severe health episodes requiring extended hospital stays.</w:t>
      </w:r>
    </w:p>
    <w:p w14:paraId="4F0BFA30" w14:textId="77777777" w:rsidR="00850777" w:rsidRDefault="00850777" w:rsidP="008B1BBD"/>
    <w:p w14:paraId="1989E107" w14:textId="77777777" w:rsidR="00850777" w:rsidRPr="000A4FFE" w:rsidRDefault="00850777" w:rsidP="000A4FFE">
      <w:r>
        <w:t>Table 21. Adjusted odds ratios (95% confidence intervals) for key features of UEC service use, comparing 1.5-year pre- and post-therapy periods.</w:t>
      </w:r>
    </w:p>
    <w:tbl>
      <w:tblPr>
        <w:tblStyle w:val="TableGrid"/>
        <w:tblW w:w="0" w:type="auto"/>
        <w:jc w:val="center"/>
        <w:tblLook w:val="04A0" w:firstRow="1" w:lastRow="0" w:firstColumn="1" w:lastColumn="0" w:noHBand="0" w:noVBand="1"/>
      </w:tblPr>
      <w:tblGrid>
        <w:gridCol w:w="3261"/>
        <w:gridCol w:w="1270"/>
        <w:gridCol w:w="1276"/>
        <w:gridCol w:w="1418"/>
      </w:tblGrid>
      <w:tr w:rsidR="00850777" w:rsidRPr="001107B4" w14:paraId="51B9050E" w14:textId="77777777" w:rsidTr="001107B4">
        <w:trPr>
          <w:trHeight w:val="408"/>
          <w:jc w:val="center"/>
        </w:trPr>
        <w:tc>
          <w:tcPr>
            <w:tcW w:w="3261" w:type="dxa"/>
            <w:vAlign w:val="center"/>
          </w:tcPr>
          <w:p w14:paraId="598A77FF" w14:textId="77777777" w:rsidR="00850777" w:rsidRPr="001107B4" w:rsidRDefault="00850777" w:rsidP="00C42415">
            <w:pPr>
              <w:spacing w:line="276" w:lineRule="auto"/>
              <w:jc w:val="center"/>
              <w:rPr>
                <w:sz w:val="16"/>
                <w:szCs w:val="16"/>
              </w:rPr>
            </w:pPr>
          </w:p>
        </w:tc>
        <w:tc>
          <w:tcPr>
            <w:tcW w:w="1270" w:type="dxa"/>
            <w:vAlign w:val="center"/>
          </w:tcPr>
          <w:p w14:paraId="302A6328" w14:textId="77777777" w:rsidR="00850777" w:rsidRPr="001107B4" w:rsidRDefault="00850777" w:rsidP="00C42415">
            <w:pPr>
              <w:spacing w:line="276" w:lineRule="auto"/>
              <w:jc w:val="center"/>
              <w:rPr>
                <w:sz w:val="16"/>
                <w:szCs w:val="16"/>
              </w:rPr>
            </w:pPr>
            <w:r w:rsidRPr="001107B4">
              <w:rPr>
                <w:sz w:val="16"/>
                <w:szCs w:val="16"/>
              </w:rPr>
              <w:t>Adjusted odds</w:t>
            </w:r>
          </w:p>
        </w:tc>
        <w:tc>
          <w:tcPr>
            <w:tcW w:w="1276" w:type="dxa"/>
            <w:vAlign w:val="center"/>
          </w:tcPr>
          <w:p w14:paraId="652AB020" w14:textId="77777777" w:rsidR="00850777" w:rsidRPr="001107B4" w:rsidRDefault="00850777" w:rsidP="00C42415">
            <w:pPr>
              <w:spacing w:line="276" w:lineRule="auto"/>
              <w:jc w:val="center"/>
              <w:rPr>
                <w:sz w:val="16"/>
                <w:szCs w:val="16"/>
              </w:rPr>
            </w:pPr>
            <w:r w:rsidRPr="001107B4">
              <w:rPr>
                <w:sz w:val="16"/>
                <w:szCs w:val="16"/>
              </w:rPr>
              <w:t>95% CI</w:t>
            </w:r>
          </w:p>
        </w:tc>
        <w:tc>
          <w:tcPr>
            <w:tcW w:w="1418" w:type="dxa"/>
            <w:vAlign w:val="center"/>
          </w:tcPr>
          <w:p w14:paraId="31B3971D" w14:textId="77777777" w:rsidR="00850777" w:rsidRPr="001107B4" w:rsidRDefault="00850777" w:rsidP="00C42415">
            <w:pPr>
              <w:spacing w:line="276" w:lineRule="auto"/>
              <w:jc w:val="center"/>
              <w:rPr>
                <w:sz w:val="16"/>
                <w:szCs w:val="16"/>
              </w:rPr>
            </w:pPr>
            <w:r w:rsidRPr="001107B4">
              <w:rPr>
                <w:sz w:val="16"/>
                <w:szCs w:val="16"/>
              </w:rPr>
              <w:t>p</w:t>
            </w:r>
            <w:r>
              <w:rPr>
                <w:sz w:val="16"/>
                <w:szCs w:val="16"/>
              </w:rPr>
              <w:t>-value</w:t>
            </w:r>
          </w:p>
        </w:tc>
      </w:tr>
      <w:tr w:rsidR="00850777" w:rsidRPr="001107B4" w14:paraId="29180363" w14:textId="77777777" w:rsidTr="001107B4">
        <w:trPr>
          <w:trHeight w:val="340"/>
          <w:jc w:val="center"/>
        </w:trPr>
        <w:tc>
          <w:tcPr>
            <w:tcW w:w="7225" w:type="dxa"/>
            <w:gridSpan w:val="4"/>
            <w:shd w:val="clear" w:color="auto" w:fill="F2F2F2" w:themeFill="background1" w:themeFillShade="F2"/>
            <w:vAlign w:val="center"/>
          </w:tcPr>
          <w:p w14:paraId="4203DBE7" w14:textId="77777777" w:rsidR="00850777" w:rsidRPr="001107B4" w:rsidRDefault="00850777" w:rsidP="00C42415">
            <w:pPr>
              <w:spacing w:line="276" w:lineRule="auto"/>
              <w:jc w:val="center"/>
              <w:rPr>
                <w:sz w:val="16"/>
                <w:szCs w:val="16"/>
              </w:rPr>
            </w:pPr>
            <w:r w:rsidRPr="001107B4">
              <w:rPr>
                <w:sz w:val="16"/>
                <w:szCs w:val="16"/>
              </w:rPr>
              <w:t>111 calls</w:t>
            </w:r>
          </w:p>
        </w:tc>
      </w:tr>
      <w:tr w:rsidR="00850777" w:rsidRPr="001107B4" w14:paraId="2D72EBF8" w14:textId="77777777" w:rsidTr="001107B4">
        <w:trPr>
          <w:jc w:val="center"/>
        </w:trPr>
        <w:tc>
          <w:tcPr>
            <w:tcW w:w="3261" w:type="dxa"/>
            <w:vAlign w:val="center"/>
          </w:tcPr>
          <w:p w14:paraId="1946B7F9" w14:textId="3BC8CF15" w:rsidR="00850777" w:rsidRPr="001107B4" w:rsidRDefault="00850777" w:rsidP="00C42415">
            <w:pPr>
              <w:spacing w:line="276" w:lineRule="auto"/>
              <w:jc w:val="center"/>
              <w:rPr>
                <w:sz w:val="16"/>
                <w:szCs w:val="16"/>
              </w:rPr>
            </w:pPr>
            <w:r w:rsidRPr="001107B4">
              <w:rPr>
                <w:sz w:val="16"/>
                <w:szCs w:val="16"/>
              </w:rPr>
              <w:t xml:space="preserve">Required </w:t>
            </w:r>
            <w:r>
              <w:rPr>
                <w:sz w:val="16"/>
                <w:szCs w:val="16"/>
              </w:rPr>
              <w:t>call</w:t>
            </w:r>
            <w:r w:rsidR="00000DA4">
              <w:rPr>
                <w:sz w:val="16"/>
                <w:szCs w:val="16"/>
              </w:rPr>
              <w:t>-</w:t>
            </w:r>
            <w:r>
              <w:rPr>
                <w:sz w:val="16"/>
                <w:szCs w:val="16"/>
              </w:rPr>
              <w:t>back</w:t>
            </w:r>
          </w:p>
        </w:tc>
        <w:tc>
          <w:tcPr>
            <w:tcW w:w="1270" w:type="dxa"/>
            <w:vAlign w:val="center"/>
          </w:tcPr>
          <w:p w14:paraId="490C781D"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166</w:t>
            </w:r>
          </w:p>
        </w:tc>
        <w:tc>
          <w:tcPr>
            <w:tcW w:w="1276" w:type="dxa"/>
            <w:vAlign w:val="center"/>
          </w:tcPr>
          <w:p w14:paraId="7E68D443"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109</w:t>
            </w:r>
            <w:r w:rsidRPr="001107B4">
              <w:rPr>
                <w:sz w:val="16"/>
                <w:szCs w:val="16"/>
              </w:rPr>
              <w:t xml:space="preserve">, </w:t>
            </w:r>
            <w:r>
              <w:rPr>
                <w:sz w:val="16"/>
                <w:szCs w:val="16"/>
              </w:rPr>
              <w:t>0.250</w:t>
            </w:r>
          </w:p>
        </w:tc>
        <w:tc>
          <w:tcPr>
            <w:tcW w:w="1418" w:type="dxa"/>
            <w:vAlign w:val="center"/>
          </w:tcPr>
          <w:p w14:paraId="16A4057B" w14:textId="77777777" w:rsidR="00850777" w:rsidRPr="001107B4" w:rsidRDefault="00850777" w:rsidP="00C42415">
            <w:pPr>
              <w:spacing w:line="276" w:lineRule="auto"/>
              <w:jc w:val="center"/>
              <w:rPr>
                <w:sz w:val="16"/>
                <w:szCs w:val="16"/>
              </w:rPr>
            </w:pPr>
            <w:r w:rsidRPr="001107B4">
              <w:rPr>
                <w:sz w:val="16"/>
                <w:szCs w:val="16"/>
              </w:rPr>
              <w:t>&lt;0.</w:t>
            </w:r>
            <w:r>
              <w:rPr>
                <w:sz w:val="16"/>
                <w:szCs w:val="16"/>
              </w:rPr>
              <w:t>001***</w:t>
            </w:r>
          </w:p>
        </w:tc>
      </w:tr>
      <w:tr w:rsidR="00850777" w:rsidRPr="001107B4" w14:paraId="63DE16F1" w14:textId="77777777" w:rsidTr="001107B4">
        <w:trPr>
          <w:jc w:val="center"/>
        </w:trPr>
        <w:tc>
          <w:tcPr>
            <w:tcW w:w="3261" w:type="dxa"/>
            <w:vAlign w:val="center"/>
          </w:tcPr>
          <w:p w14:paraId="2CD349FC" w14:textId="77777777" w:rsidR="00850777" w:rsidRPr="001107B4" w:rsidRDefault="00850777" w:rsidP="00C42415">
            <w:pPr>
              <w:spacing w:line="276" w:lineRule="auto"/>
              <w:jc w:val="center"/>
              <w:rPr>
                <w:sz w:val="16"/>
                <w:szCs w:val="16"/>
              </w:rPr>
            </w:pPr>
            <w:r w:rsidRPr="001107B4">
              <w:rPr>
                <w:sz w:val="16"/>
                <w:szCs w:val="16"/>
              </w:rPr>
              <w:t>Recommend AE</w:t>
            </w:r>
          </w:p>
        </w:tc>
        <w:tc>
          <w:tcPr>
            <w:tcW w:w="1270" w:type="dxa"/>
            <w:vAlign w:val="center"/>
          </w:tcPr>
          <w:p w14:paraId="40CA0790" w14:textId="77777777" w:rsidR="00850777" w:rsidRPr="001107B4" w:rsidRDefault="00850777" w:rsidP="00C42415">
            <w:pPr>
              <w:spacing w:line="276" w:lineRule="auto"/>
              <w:jc w:val="center"/>
              <w:rPr>
                <w:sz w:val="16"/>
                <w:szCs w:val="16"/>
              </w:rPr>
            </w:pPr>
            <w:r>
              <w:rPr>
                <w:sz w:val="16"/>
                <w:szCs w:val="16"/>
              </w:rPr>
              <w:t>0.981</w:t>
            </w:r>
          </w:p>
        </w:tc>
        <w:tc>
          <w:tcPr>
            <w:tcW w:w="1276" w:type="dxa"/>
            <w:vAlign w:val="center"/>
          </w:tcPr>
          <w:p w14:paraId="2190EFF0"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393</w:t>
            </w:r>
            <w:r w:rsidRPr="001107B4">
              <w:rPr>
                <w:sz w:val="16"/>
                <w:szCs w:val="16"/>
              </w:rPr>
              <w:t>, 2.</w:t>
            </w:r>
            <w:r>
              <w:rPr>
                <w:sz w:val="16"/>
                <w:szCs w:val="16"/>
              </w:rPr>
              <w:t>586</w:t>
            </w:r>
          </w:p>
        </w:tc>
        <w:tc>
          <w:tcPr>
            <w:tcW w:w="1418" w:type="dxa"/>
            <w:vAlign w:val="center"/>
          </w:tcPr>
          <w:p w14:paraId="50518EBF" w14:textId="77777777" w:rsidR="00850777" w:rsidRPr="001107B4" w:rsidRDefault="00850777" w:rsidP="00C42415">
            <w:pPr>
              <w:spacing w:line="276" w:lineRule="auto"/>
              <w:jc w:val="center"/>
              <w:rPr>
                <w:sz w:val="16"/>
                <w:szCs w:val="16"/>
              </w:rPr>
            </w:pPr>
            <w:r>
              <w:rPr>
                <w:sz w:val="16"/>
                <w:szCs w:val="16"/>
              </w:rPr>
              <w:t>2</w:t>
            </w:r>
            <w:r w:rsidRPr="001107B4">
              <w:rPr>
                <w:sz w:val="16"/>
                <w:szCs w:val="16"/>
              </w:rPr>
              <w:t>.</w:t>
            </w:r>
            <w:r>
              <w:rPr>
                <w:sz w:val="16"/>
                <w:szCs w:val="16"/>
              </w:rPr>
              <w:t>5</w:t>
            </w:r>
            <w:r w:rsidRPr="001107B4">
              <w:rPr>
                <w:sz w:val="16"/>
                <w:szCs w:val="16"/>
              </w:rPr>
              <w:t>8</w:t>
            </w:r>
            <w:r>
              <w:rPr>
                <w:sz w:val="16"/>
                <w:szCs w:val="16"/>
              </w:rPr>
              <w:t>6</w:t>
            </w:r>
          </w:p>
        </w:tc>
      </w:tr>
      <w:tr w:rsidR="00850777" w:rsidRPr="001107B4" w14:paraId="19AF9111" w14:textId="77777777" w:rsidTr="001107B4">
        <w:trPr>
          <w:jc w:val="center"/>
        </w:trPr>
        <w:tc>
          <w:tcPr>
            <w:tcW w:w="3261" w:type="dxa"/>
            <w:vAlign w:val="center"/>
          </w:tcPr>
          <w:p w14:paraId="5A23086C" w14:textId="77777777" w:rsidR="00850777" w:rsidRPr="001107B4" w:rsidRDefault="00850777" w:rsidP="00C42415">
            <w:pPr>
              <w:spacing w:line="276" w:lineRule="auto"/>
              <w:jc w:val="center"/>
              <w:rPr>
                <w:sz w:val="16"/>
                <w:szCs w:val="16"/>
              </w:rPr>
            </w:pPr>
            <w:r w:rsidRPr="001107B4">
              <w:rPr>
                <w:sz w:val="16"/>
                <w:szCs w:val="16"/>
              </w:rPr>
              <w:t>AMB sent</w:t>
            </w:r>
          </w:p>
        </w:tc>
        <w:tc>
          <w:tcPr>
            <w:tcW w:w="1270" w:type="dxa"/>
            <w:vAlign w:val="center"/>
          </w:tcPr>
          <w:p w14:paraId="0D06EE28" w14:textId="77777777" w:rsidR="00850777" w:rsidRPr="001107B4" w:rsidRDefault="00850777" w:rsidP="00C42415">
            <w:pPr>
              <w:spacing w:line="276" w:lineRule="auto"/>
              <w:jc w:val="center"/>
              <w:rPr>
                <w:sz w:val="16"/>
                <w:szCs w:val="16"/>
              </w:rPr>
            </w:pPr>
            <w:r w:rsidRPr="001107B4">
              <w:rPr>
                <w:sz w:val="16"/>
                <w:szCs w:val="16"/>
              </w:rPr>
              <w:t>1.19</w:t>
            </w:r>
            <w:r>
              <w:rPr>
                <w:sz w:val="16"/>
                <w:szCs w:val="16"/>
              </w:rPr>
              <w:t>7</w:t>
            </w:r>
          </w:p>
        </w:tc>
        <w:tc>
          <w:tcPr>
            <w:tcW w:w="1276" w:type="dxa"/>
            <w:vAlign w:val="center"/>
          </w:tcPr>
          <w:p w14:paraId="5DEB1C9E"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798</w:t>
            </w:r>
            <w:r w:rsidRPr="001107B4">
              <w:rPr>
                <w:sz w:val="16"/>
                <w:szCs w:val="16"/>
              </w:rPr>
              <w:t>, 1.</w:t>
            </w:r>
            <w:r>
              <w:rPr>
                <w:sz w:val="16"/>
                <w:szCs w:val="16"/>
              </w:rPr>
              <w:t>805</w:t>
            </w:r>
          </w:p>
        </w:tc>
        <w:tc>
          <w:tcPr>
            <w:tcW w:w="1418" w:type="dxa"/>
            <w:vAlign w:val="center"/>
          </w:tcPr>
          <w:p w14:paraId="1FB5BA0F" w14:textId="77777777" w:rsidR="00850777" w:rsidRPr="001107B4" w:rsidRDefault="00850777" w:rsidP="00C42415">
            <w:pPr>
              <w:spacing w:line="276" w:lineRule="auto"/>
              <w:jc w:val="center"/>
              <w:rPr>
                <w:sz w:val="16"/>
                <w:szCs w:val="16"/>
              </w:rPr>
            </w:pPr>
            <w:r w:rsidRPr="001107B4">
              <w:rPr>
                <w:sz w:val="16"/>
                <w:szCs w:val="16"/>
              </w:rPr>
              <w:t>0.3</w:t>
            </w:r>
            <w:r>
              <w:rPr>
                <w:sz w:val="16"/>
                <w:szCs w:val="16"/>
              </w:rPr>
              <w:t>87</w:t>
            </w:r>
          </w:p>
        </w:tc>
      </w:tr>
      <w:tr w:rsidR="00850777" w:rsidRPr="001107B4" w14:paraId="4F8AD126" w14:textId="77777777" w:rsidTr="001107B4">
        <w:trPr>
          <w:jc w:val="center"/>
        </w:trPr>
        <w:tc>
          <w:tcPr>
            <w:tcW w:w="3261" w:type="dxa"/>
            <w:vAlign w:val="center"/>
          </w:tcPr>
          <w:p w14:paraId="7F5CF4D1" w14:textId="77777777" w:rsidR="00850777" w:rsidRPr="001107B4" w:rsidRDefault="00850777" w:rsidP="00C42415">
            <w:pPr>
              <w:spacing w:line="276" w:lineRule="auto"/>
              <w:jc w:val="center"/>
              <w:rPr>
                <w:sz w:val="16"/>
                <w:szCs w:val="16"/>
              </w:rPr>
            </w:pPr>
            <w:r w:rsidRPr="001107B4">
              <w:rPr>
                <w:sz w:val="16"/>
                <w:szCs w:val="16"/>
              </w:rPr>
              <w:t>Recommend PC</w:t>
            </w:r>
          </w:p>
        </w:tc>
        <w:tc>
          <w:tcPr>
            <w:tcW w:w="1270" w:type="dxa"/>
            <w:vAlign w:val="center"/>
          </w:tcPr>
          <w:p w14:paraId="2C28E63F" w14:textId="77777777" w:rsidR="00850777" w:rsidRPr="001107B4" w:rsidRDefault="00850777" w:rsidP="00C42415">
            <w:pPr>
              <w:spacing w:line="276" w:lineRule="auto"/>
              <w:jc w:val="center"/>
              <w:rPr>
                <w:sz w:val="16"/>
                <w:szCs w:val="16"/>
              </w:rPr>
            </w:pPr>
            <w:r w:rsidRPr="001107B4">
              <w:rPr>
                <w:sz w:val="16"/>
                <w:szCs w:val="16"/>
              </w:rPr>
              <w:t>0.8</w:t>
            </w:r>
            <w:r>
              <w:rPr>
                <w:sz w:val="16"/>
                <w:szCs w:val="16"/>
              </w:rPr>
              <w:t>63</w:t>
            </w:r>
          </w:p>
        </w:tc>
        <w:tc>
          <w:tcPr>
            <w:tcW w:w="1276" w:type="dxa"/>
            <w:vAlign w:val="center"/>
          </w:tcPr>
          <w:p w14:paraId="3815BD27" w14:textId="77777777" w:rsidR="00850777" w:rsidRPr="001107B4" w:rsidRDefault="00850777" w:rsidP="00C42415">
            <w:pPr>
              <w:spacing w:line="276" w:lineRule="auto"/>
              <w:jc w:val="center"/>
              <w:rPr>
                <w:sz w:val="16"/>
                <w:szCs w:val="16"/>
              </w:rPr>
            </w:pPr>
            <w:r w:rsidRPr="001107B4">
              <w:rPr>
                <w:sz w:val="16"/>
                <w:szCs w:val="16"/>
              </w:rPr>
              <w:t>0.5</w:t>
            </w:r>
            <w:r>
              <w:rPr>
                <w:sz w:val="16"/>
                <w:szCs w:val="16"/>
              </w:rPr>
              <w:t>91</w:t>
            </w:r>
            <w:r w:rsidRPr="001107B4">
              <w:rPr>
                <w:sz w:val="16"/>
                <w:szCs w:val="16"/>
              </w:rPr>
              <w:t>, 1.</w:t>
            </w:r>
            <w:r>
              <w:rPr>
                <w:sz w:val="16"/>
                <w:szCs w:val="16"/>
              </w:rPr>
              <w:t>258</w:t>
            </w:r>
          </w:p>
        </w:tc>
        <w:tc>
          <w:tcPr>
            <w:tcW w:w="1418" w:type="dxa"/>
            <w:vAlign w:val="center"/>
          </w:tcPr>
          <w:p w14:paraId="350658D6"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443</w:t>
            </w:r>
          </w:p>
        </w:tc>
      </w:tr>
      <w:tr w:rsidR="00850777" w:rsidRPr="001107B4" w14:paraId="7213C6F5" w14:textId="77777777" w:rsidTr="001107B4">
        <w:trPr>
          <w:jc w:val="center"/>
        </w:trPr>
        <w:tc>
          <w:tcPr>
            <w:tcW w:w="3261" w:type="dxa"/>
            <w:vAlign w:val="center"/>
          </w:tcPr>
          <w:p w14:paraId="1B867C9E" w14:textId="77777777" w:rsidR="00850777" w:rsidRPr="001107B4" w:rsidRDefault="00850777" w:rsidP="00C42415">
            <w:pPr>
              <w:spacing w:line="276" w:lineRule="auto"/>
              <w:jc w:val="center"/>
              <w:rPr>
                <w:sz w:val="16"/>
                <w:szCs w:val="16"/>
              </w:rPr>
            </w:pPr>
            <w:r w:rsidRPr="001107B4">
              <w:rPr>
                <w:sz w:val="16"/>
                <w:szCs w:val="16"/>
              </w:rPr>
              <w:t>Recommend SC</w:t>
            </w:r>
          </w:p>
        </w:tc>
        <w:tc>
          <w:tcPr>
            <w:tcW w:w="1270" w:type="dxa"/>
            <w:vAlign w:val="center"/>
          </w:tcPr>
          <w:p w14:paraId="11677CC3" w14:textId="77777777" w:rsidR="00850777" w:rsidRPr="001107B4" w:rsidRDefault="00850777" w:rsidP="00C42415">
            <w:pPr>
              <w:spacing w:line="276" w:lineRule="auto"/>
              <w:jc w:val="center"/>
              <w:rPr>
                <w:sz w:val="16"/>
                <w:szCs w:val="16"/>
              </w:rPr>
            </w:pPr>
            <w:r w:rsidRPr="001107B4">
              <w:rPr>
                <w:sz w:val="16"/>
                <w:szCs w:val="16"/>
              </w:rPr>
              <w:t>1.</w:t>
            </w:r>
            <w:r>
              <w:rPr>
                <w:sz w:val="16"/>
                <w:szCs w:val="16"/>
              </w:rPr>
              <w:t>392</w:t>
            </w:r>
          </w:p>
        </w:tc>
        <w:tc>
          <w:tcPr>
            <w:tcW w:w="1276" w:type="dxa"/>
            <w:vAlign w:val="center"/>
          </w:tcPr>
          <w:p w14:paraId="4A2A03A1" w14:textId="77777777" w:rsidR="00850777" w:rsidRPr="001107B4" w:rsidRDefault="00850777" w:rsidP="00C42415">
            <w:pPr>
              <w:spacing w:line="276" w:lineRule="auto"/>
              <w:jc w:val="center"/>
              <w:rPr>
                <w:sz w:val="16"/>
                <w:szCs w:val="16"/>
              </w:rPr>
            </w:pPr>
            <w:r w:rsidRPr="001107B4">
              <w:rPr>
                <w:sz w:val="16"/>
                <w:szCs w:val="16"/>
              </w:rPr>
              <w:t>0.7</w:t>
            </w:r>
            <w:r>
              <w:rPr>
                <w:sz w:val="16"/>
                <w:szCs w:val="16"/>
              </w:rPr>
              <w:t>51</w:t>
            </w:r>
            <w:r w:rsidRPr="001107B4">
              <w:rPr>
                <w:sz w:val="16"/>
                <w:szCs w:val="16"/>
              </w:rPr>
              <w:t xml:space="preserve">, </w:t>
            </w:r>
            <w:r>
              <w:rPr>
                <w:sz w:val="16"/>
                <w:szCs w:val="16"/>
              </w:rPr>
              <w:t>2</w:t>
            </w:r>
            <w:r w:rsidRPr="001107B4">
              <w:rPr>
                <w:sz w:val="16"/>
                <w:szCs w:val="16"/>
              </w:rPr>
              <w:t>.</w:t>
            </w:r>
            <w:r>
              <w:rPr>
                <w:sz w:val="16"/>
                <w:szCs w:val="16"/>
              </w:rPr>
              <w:t>661</w:t>
            </w:r>
          </w:p>
        </w:tc>
        <w:tc>
          <w:tcPr>
            <w:tcW w:w="1418" w:type="dxa"/>
            <w:vAlign w:val="center"/>
          </w:tcPr>
          <w:p w14:paraId="48DA1992" w14:textId="77777777" w:rsidR="00850777" w:rsidRPr="001107B4" w:rsidRDefault="00850777" w:rsidP="00C42415">
            <w:pPr>
              <w:spacing w:line="276" w:lineRule="auto"/>
              <w:jc w:val="center"/>
              <w:rPr>
                <w:sz w:val="16"/>
                <w:szCs w:val="16"/>
              </w:rPr>
            </w:pPr>
            <w:r w:rsidRPr="001107B4">
              <w:rPr>
                <w:sz w:val="16"/>
                <w:szCs w:val="16"/>
              </w:rPr>
              <w:t>0.3</w:t>
            </w:r>
            <w:r>
              <w:rPr>
                <w:sz w:val="16"/>
                <w:szCs w:val="16"/>
              </w:rPr>
              <w:t>03</w:t>
            </w:r>
          </w:p>
        </w:tc>
      </w:tr>
      <w:tr w:rsidR="00850777" w:rsidRPr="001107B4" w14:paraId="3C544488" w14:textId="77777777" w:rsidTr="001107B4">
        <w:trPr>
          <w:jc w:val="center"/>
        </w:trPr>
        <w:tc>
          <w:tcPr>
            <w:tcW w:w="3261" w:type="dxa"/>
            <w:vAlign w:val="center"/>
          </w:tcPr>
          <w:p w14:paraId="7BC4ABCC" w14:textId="77777777" w:rsidR="00850777" w:rsidRPr="001107B4" w:rsidRDefault="00850777" w:rsidP="00C42415">
            <w:pPr>
              <w:spacing w:line="276" w:lineRule="auto"/>
              <w:jc w:val="center"/>
              <w:rPr>
                <w:sz w:val="16"/>
                <w:szCs w:val="16"/>
              </w:rPr>
            </w:pPr>
            <w:r w:rsidRPr="001107B4">
              <w:rPr>
                <w:sz w:val="16"/>
                <w:szCs w:val="16"/>
              </w:rPr>
              <w:t>Other recommendation</w:t>
            </w:r>
          </w:p>
        </w:tc>
        <w:tc>
          <w:tcPr>
            <w:tcW w:w="1270" w:type="dxa"/>
            <w:vAlign w:val="center"/>
          </w:tcPr>
          <w:p w14:paraId="42FFA89F"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129</w:t>
            </w:r>
          </w:p>
        </w:tc>
        <w:tc>
          <w:tcPr>
            <w:tcW w:w="1276" w:type="dxa"/>
            <w:vAlign w:val="center"/>
          </w:tcPr>
          <w:p w14:paraId="64F4AACF" w14:textId="77777777" w:rsidR="00850777" w:rsidRPr="001107B4" w:rsidRDefault="00850777" w:rsidP="00C42415">
            <w:pPr>
              <w:spacing w:line="276" w:lineRule="auto"/>
              <w:jc w:val="center"/>
              <w:rPr>
                <w:sz w:val="16"/>
                <w:szCs w:val="16"/>
              </w:rPr>
            </w:pPr>
            <w:r w:rsidRPr="001107B4">
              <w:rPr>
                <w:sz w:val="16"/>
                <w:szCs w:val="16"/>
              </w:rPr>
              <w:t>0.0</w:t>
            </w:r>
            <w:r>
              <w:rPr>
                <w:sz w:val="16"/>
                <w:szCs w:val="16"/>
              </w:rPr>
              <w:t>19</w:t>
            </w:r>
            <w:r w:rsidRPr="001107B4">
              <w:rPr>
                <w:sz w:val="16"/>
                <w:szCs w:val="16"/>
              </w:rPr>
              <w:t>, 0.5</w:t>
            </w:r>
            <w:r>
              <w:rPr>
                <w:sz w:val="16"/>
                <w:szCs w:val="16"/>
              </w:rPr>
              <w:t>05</w:t>
            </w:r>
          </w:p>
        </w:tc>
        <w:tc>
          <w:tcPr>
            <w:tcW w:w="1418" w:type="dxa"/>
            <w:vAlign w:val="center"/>
          </w:tcPr>
          <w:p w14:paraId="1949B93E" w14:textId="77777777" w:rsidR="00850777" w:rsidRPr="001107B4" w:rsidRDefault="00850777" w:rsidP="00C42415">
            <w:pPr>
              <w:spacing w:line="276" w:lineRule="auto"/>
              <w:jc w:val="center"/>
              <w:rPr>
                <w:sz w:val="16"/>
                <w:szCs w:val="16"/>
              </w:rPr>
            </w:pPr>
            <w:r w:rsidRPr="001107B4">
              <w:rPr>
                <w:sz w:val="16"/>
                <w:szCs w:val="16"/>
              </w:rPr>
              <w:t>0.00</w:t>
            </w:r>
            <w:r>
              <w:rPr>
                <w:sz w:val="16"/>
                <w:szCs w:val="16"/>
              </w:rPr>
              <w:t>9</w:t>
            </w:r>
            <w:r w:rsidRPr="001107B4">
              <w:rPr>
                <w:sz w:val="16"/>
                <w:szCs w:val="16"/>
              </w:rPr>
              <w:t>**</w:t>
            </w:r>
          </w:p>
        </w:tc>
      </w:tr>
      <w:tr w:rsidR="00850777" w:rsidRPr="001107B4" w14:paraId="36F4624A" w14:textId="77777777" w:rsidTr="001107B4">
        <w:trPr>
          <w:trHeight w:val="340"/>
          <w:jc w:val="center"/>
        </w:trPr>
        <w:tc>
          <w:tcPr>
            <w:tcW w:w="7225" w:type="dxa"/>
            <w:gridSpan w:val="4"/>
            <w:shd w:val="clear" w:color="auto" w:fill="F2F2F2" w:themeFill="background1" w:themeFillShade="F2"/>
            <w:vAlign w:val="center"/>
          </w:tcPr>
          <w:p w14:paraId="07D5FA6A" w14:textId="77777777" w:rsidR="00850777" w:rsidRPr="001107B4" w:rsidRDefault="00850777" w:rsidP="00C42415">
            <w:pPr>
              <w:spacing w:line="276" w:lineRule="auto"/>
              <w:jc w:val="center"/>
              <w:rPr>
                <w:sz w:val="16"/>
                <w:szCs w:val="16"/>
              </w:rPr>
            </w:pPr>
            <w:r w:rsidRPr="001107B4">
              <w:rPr>
                <w:sz w:val="16"/>
                <w:szCs w:val="16"/>
              </w:rPr>
              <w:t>Ambulance Call Outs</w:t>
            </w:r>
          </w:p>
        </w:tc>
      </w:tr>
      <w:tr w:rsidR="00850777" w:rsidRPr="001107B4" w14:paraId="64E96C69" w14:textId="77777777" w:rsidTr="001107B4">
        <w:trPr>
          <w:jc w:val="center"/>
        </w:trPr>
        <w:tc>
          <w:tcPr>
            <w:tcW w:w="3261" w:type="dxa"/>
            <w:vAlign w:val="center"/>
          </w:tcPr>
          <w:p w14:paraId="586B8A0C" w14:textId="77777777" w:rsidR="00850777" w:rsidRPr="001107B4" w:rsidRDefault="00850777" w:rsidP="00C42415">
            <w:pPr>
              <w:spacing w:line="276" w:lineRule="auto"/>
              <w:jc w:val="center"/>
              <w:rPr>
                <w:sz w:val="16"/>
                <w:szCs w:val="16"/>
              </w:rPr>
            </w:pPr>
            <w:r w:rsidRPr="001107B4">
              <w:rPr>
                <w:sz w:val="16"/>
                <w:szCs w:val="16"/>
              </w:rPr>
              <w:t>Classed as high urgency</w:t>
            </w:r>
          </w:p>
        </w:tc>
        <w:tc>
          <w:tcPr>
            <w:tcW w:w="1270" w:type="dxa"/>
            <w:vAlign w:val="center"/>
          </w:tcPr>
          <w:p w14:paraId="309BCE0B"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826</w:t>
            </w:r>
          </w:p>
        </w:tc>
        <w:tc>
          <w:tcPr>
            <w:tcW w:w="1276" w:type="dxa"/>
            <w:vAlign w:val="center"/>
          </w:tcPr>
          <w:p w14:paraId="643C541C" w14:textId="77777777" w:rsidR="00850777" w:rsidRPr="001107B4" w:rsidRDefault="00850777" w:rsidP="00C42415">
            <w:pPr>
              <w:spacing w:line="276" w:lineRule="auto"/>
              <w:jc w:val="center"/>
              <w:rPr>
                <w:sz w:val="16"/>
                <w:szCs w:val="16"/>
              </w:rPr>
            </w:pPr>
            <w:r w:rsidRPr="001107B4">
              <w:rPr>
                <w:sz w:val="16"/>
                <w:szCs w:val="16"/>
              </w:rPr>
              <w:t>0.5</w:t>
            </w:r>
            <w:r>
              <w:rPr>
                <w:sz w:val="16"/>
                <w:szCs w:val="16"/>
              </w:rPr>
              <w:t>84</w:t>
            </w:r>
            <w:r w:rsidRPr="001107B4">
              <w:rPr>
                <w:sz w:val="16"/>
                <w:szCs w:val="16"/>
              </w:rPr>
              <w:t xml:space="preserve">, </w:t>
            </w:r>
            <w:r>
              <w:rPr>
                <w:sz w:val="16"/>
                <w:szCs w:val="16"/>
              </w:rPr>
              <w:t>1</w:t>
            </w:r>
            <w:r w:rsidRPr="001107B4">
              <w:rPr>
                <w:sz w:val="16"/>
                <w:szCs w:val="16"/>
              </w:rPr>
              <w:t>.</w:t>
            </w:r>
            <w:r>
              <w:rPr>
                <w:sz w:val="16"/>
                <w:szCs w:val="16"/>
              </w:rPr>
              <w:t>1</w:t>
            </w:r>
            <w:r w:rsidRPr="001107B4">
              <w:rPr>
                <w:sz w:val="16"/>
                <w:szCs w:val="16"/>
              </w:rPr>
              <w:t>66</w:t>
            </w:r>
          </w:p>
        </w:tc>
        <w:tc>
          <w:tcPr>
            <w:tcW w:w="1418" w:type="dxa"/>
            <w:vAlign w:val="center"/>
          </w:tcPr>
          <w:p w14:paraId="7973A763" w14:textId="77777777" w:rsidR="00850777" w:rsidRPr="001107B4" w:rsidRDefault="00850777" w:rsidP="00C42415">
            <w:pPr>
              <w:spacing w:line="276" w:lineRule="auto"/>
              <w:jc w:val="center"/>
              <w:rPr>
                <w:sz w:val="16"/>
                <w:szCs w:val="16"/>
              </w:rPr>
            </w:pPr>
            <w:r w:rsidRPr="001107B4">
              <w:rPr>
                <w:sz w:val="16"/>
                <w:szCs w:val="16"/>
              </w:rPr>
              <w:t>0.2</w:t>
            </w:r>
            <w:r>
              <w:rPr>
                <w:sz w:val="16"/>
                <w:szCs w:val="16"/>
              </w:rPr>
              <w:t>78</w:t>
            </w:r>
          </w:p>
        </w:tc>
      </w:tr>
      <w:tr w:rsidR="00850777" w:rsidRPr="001107B4" w14:paraId="5971E2A9" w14:textId="77777777" w:rsidTr="001107B4">
        <w:trPr>
          <w:trHeight w:val="340"/>
          <w:jc w:val="center"/>
        </w:trPr>
        <w:tc>
          <w:tcPr>
            <w:tcW w:w="7225" w:type="dxa"/>
            <w:gridSpan w:val="4"/>
            <w:shd w:val="clear" w:color="auto" w:fill="F2F2F2" w:themeFill="background1" w:themeFillShade="F2"/>
            <w:vAlign w:val="center"/>
          </w:tcPr>
          <w:p w14:paraId="69F0E444" w14:textId="77777777" w:rsidR="00850777" w:rsidRPr="001107B4" w:rsidRDefault="00850777" w:rsidP="00C42415">
            <w:pPr>
              <w:spacing w:line="276" w:lineRule="auto"/>
              <w:jc w:val="center"/>
              <w:rPr>
                <w:sz w:val="16"/>
                <w:szCs w:val="16"/>
              </w:rPr>
            </w:pPr>
            <w:r w:rsidRPr="001107B4">
              <w:rPr>
                <w:sz w:val="16"/>
                <w:szCs w:val="16"/>
              </w:rPr>
              <w:t>AE attendances</w:t>
            </w:r>
          </w:p>
        </w:tc>
      </w:tr>
      <w:tr w:rsidR="00850777" w:rsidRPr="001107B4" w14:paraId="6860ABB0" w14:textId="77777777" w:rsidTr="001107B4">
        <w:trPr>
          <w:jc w:val="center"/>
        </w:trPr>
        <w:tc>
          <w:tcPr>
            <w:tcW w:w="3261" w:type="dxa"/>
            <w:vAlign w:val="center"/>
          </w:tcPr>
          <w:p w14:paraId="0111650F" w14:textId="77777777" w:rsidR="00850777" w:rsidRPr="001107B4" w:rsidRDefault="00850777" w:rsidP="00C42415">
            <w:pPr>
              <w:spacing w:line="276" w:lineRule="auto"/>
              <w:jc w:val="center"/>
              <w:rPr>
                <w:sz w:val="16"/>
                <w:szCs w:val="16"/>
              </w:rPr>
            </w:pPr>
            <w:r w:rsidRPr="001107B4">
              <w:rPr>
                <w:sz w:val="16"/>
                <w:szCs w:val="16"/>
              </w:rPr>
              <w:t>Arrival by ambulance</w:t>
            </w:r>
          </w:p>
        </w:tc>
        <w:tc>
          <w:tcPr>
            <w:tcW w:w="1270" w:type="dxa"/>
            <w:vAlign w:val="center"/>
          </w:tcPr>
          <w:p w14:paraId="135EA700" w14:textId="77777777" w:rsidR="00850777" w:rsidRPr="001107B4" w:rsidRDefault="00850777" w:rsidP="00C42415">
            <w:pPr>
              <w:spacing w:line="276" w:lineRule="auto"/>
              <w:jc w:val="center"/>
              <w:rPr>
                <w:sz w:val="16"/>
                <w:szCs w:val="16"/>
              </w:rPr>
            </w:pPr>
            <w:r w:rsidRPr="001107B4">
              <w:rPr>
                <w:sz w:val="16"/>
                <w:szCs w:val="16"/>
              </w:rPr>
              <w:t>0.8</w:t>
            </w:r>
            <w:r>
              <w:rPr>
                <w:sz w:val="16"/>
                <w:szCs w:val="16"/>
              </w:rPr>
              <w:t>11</w:t>
            </w:r>
          </w:p>
        </w:tc>
        <w:tc>
          <w:tcPr>
            <w:tcW w:w="1276" w:type="dxa"/>
            <w:vAlign w:val="center"/>
          </w:tcPr>
          <w:p w14:paraId="31396778"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65</w:t>
            </w:r>
            <w:r w:rsidRPr="001107B4">
              <w:rPr>
                <w:sz w:val="16"/>
                <w:szCs w:val="16"/>
              </w:rPr>
              <w:t xml:space="preserve">1, </w:t>
            </w:r>
            <w:r>
              <w:rPr>
                <w:sz w:val="16"/>
                <w:szCs w:val="16"/>
              </w:rPr>
              <w:t>1</w:t>
            </w:r>
            <w:r w:rsidRPr="001107B4">
              <w:rPr>
                <w:sz w:val="16"/>
                <w:szCs w:val="16"/>
              </w:rPr>
              <w:t>.</w:t>
            </w:r>
            <w:r>
              <w:rPr>
                <w:sz w:val="16"/>
                <w:szCs w:val="16"/>
              </w:rPr>
              <w:t>010</w:t>
            </w:r>
          </w:p>
        </w:tc>
        <w:tc>
          <w:tcPr>
            <w:tcW w:w="1418" w:type="dxa"/>
            <w:vAlign w:val="center"/>
          </w:tcPr>
          <w:p w14:paraId="02433BFB" w14:textId="77777777" w:rsidR="00850777" w:rsidRPr="001107B4" w:rsidRDefault="00850777" w:rsidP="00C42415">
            <w:pPr>
              <w:spacing w:line="276" w:lineRule="auto"/>
              <w:jc w:val="center"/>
              <w:rPr>
                <w:sz w:val="16"/>
                <w:szCs w:val="16"/>
              </w:rPr>
            </w:pPr>
            <w:r w:rsidRPr="001107B4">
              <w:rPr>
                <w:sz w:val="16"/>
                <w:szCs w:val="16"/>
              </w:rPr>
              <w:t>0.0</w:t>
            </w:r>
            <w:r>
              <w:rPr>
                <w:sz w:val="16"/>
                <w:szCs w:val="16"/>
              </w:rPr>
              <w:t>61</w:t>
            </w:r>
          </w:p>
        </w:tc>
      </w:tr>
      <w:tr w:rsidR="00850777" w:rsidRPr="001107B4" w14:paraId="0DF4E00C" w14:textId="77777777" w:rsidTr="001107B4">
        <w:trPr>
          <w:jc w:val="center"/>
        </w:trPr>
        <w:tc>
          <w:tcPr>
            <w:tcW w:w="3261" w:type="dxa"/>
            <w:vAlign w:val="center"/>
          </w:tcPr>
          <w:p w14:paraId="5FA77A88" w14:textId="77777777" w:rsidR="00850777" w:rsidRPr="001107B4" w:rsidRDefault="00850777" w:rsidP="00C42415">
            <w:pPr>
              <w:spacing w:line="276" w:lineRule="auto"/>
              <w:jc w:val="center"/>
              <w:rPr>
                <w:sz w:val="16"/>
                <w:szCs w:val="16"/>
              </w:rPr>
            </w:pPr>
            <w:r w:rsidRPr="001107B4">
              <w:rPr>
                <w:sz w:val="16"/>
                <w:szCs w:val="16"/>
              </w:rPr>
              <w:t>Admitted to hospital</w:t>
            </w:r>
          </w:p>
        </w:tc>
        <w:tc>
          <w:tcPr>
            <w:tcW w:w="1270" w:type="dxa"/>
            <w:vAlign w:val="center"/>
          </w:tcPr>
          <w:p w14:paraId="3714A8AB"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691</w:t>
            </w:r>
          </w:p>
        </w:tc>
        <w:tc>
          <w:tcPr>
            <w:tcW w:w="1276" w:type="dxa"/>
            <w:vAlign w:val="center"/>
          </w:tcPr>
          <w:p w14:paraId="2E978C3A"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527</w:t>
            </w:r>
            <w:r w:rsidRPr="001107B4">
              <w:rPr>
                <w:sz w:val="16"/>
                <w:szCs w:val="16"/>
              </w:rPr>
              <w:t>, 0.</w:t>
            </w:r>
            <w:r>
              <w:rPr>
                <w:sz w:val="16"/>
                <w:szCs w:val="16"/>
              </w:rPr>
              <w:t>9</w:t>
            </w:r>
            <w:r w:rsidRPr="001107B4">
              <w:rPr>
                <w:sz w:val="16"/>
                <w:szCs w:val="16"/>
              </w:rPr>
              <w:t>0</w:t>
            </w:r>
            <w:r>
              <w:rPr>
                <w:sz w:val="16"/>
                <w:szCs w:val="16"/>
              </w:rPr>
              <w:t>2</w:t>
            </w:r>
          </w:p>
        </w:tc>
        <w:tc>
          <w:tcPr>
            <w:tcW w:w="1418" w:type="dxa"/>
            <w:vAlign w:val="center"/>
          </w:tcPr>
          <w:p w14:paraId="06EB5A53" w14:textId="77777777" w:rsidR="00850777" w:rsidRPr="001107B4" w:rsidRDefault="00850777" w:rsidP="00C42415">
            <w:pPr>
              <w:spacing w:line="276" w:lineRule="auto"/>
              <w:jc w:val="center"/>
              <w:rPr>
                <w:sz w:val="16"/>
                <w:szCs w:val="16"/>
              </w:rPr>
            </w:pPr>
            <w:r w:rsidRPr="001107B4">
              <w:rPr>
                <w:sz w:val="16"/>
                <w:szCs w:val="16"/>
              </w:rPr>
              <w:t>0.00</w:t>
            </w:r>
            <w:r>
              <w:rPr>
                <w:sz w:val="16"/>
                <w:szCs w:val="16"/>
              </w:rPr>
              <w:t>7</w:t>
            </w:r>
            <w:r w:rsidRPr="001107B4">
              <w:rPr>
                <w:sz w:val="16"/>
                <w:szCs w:val="16"/>
              </w:rPr>
              <w:t>**</w:t>
            </w:r>
          </w:p>
        </w:tc>
      </w:tr>
      <w:tr w:rsidR="00850777" w:rsidRPr="001107B4" w14:paraId="79DF2AEB" w14:textId="77777777" w:rsidTr="001107B4">
        <w:trPr>
          <w:jc w:val="center"/>
        </w:trPr>
        <w:tc>
          <w:tcPr>
            <w:tcW w:w="3261" w:type="dxa"/>
            <w:vAlign w:val="center"/>
          </w:tcPr>
          <w:p w14:paraId="0643E130" w14:textId="77777777" w:rsidR="00850777" w:rsidRPr="001107B4" w:rsidRDefault="00850777" w:rsidP="00C42415">
            <w:pPr>
              <w:spacing w:line="276" w:lineRule="auto"/>
              <w:jc w:val="center"/>
              <w:rPr>
                <w:sz w:val="16"/>
                <w:szCs w:val="16"/>
              </w:rPr>
            </w:pPr>
            <w:r w:rsidRPr="001107B4">
              <w:rPr>
                <w:sz w:val="16"/>
                <w:szCs w:val="16"/>
              </w:rPr>
              <w:t>Discharged to primary care</w:t>
            </w:r>
          </w:p>
        </w:tc>
        <w:tc>
          <w:tcPr>
            <w:tcW w:w="1270" w:type="dxa"/>
            <w:vAlign w:val="center"/>
          </w:tcPr>
          <w:p w14:paraId="7522A415" w14:textId="77777777" w:rsidR="00850777" w:rsidRPr="001107B4" w:rsidRDefault="00850777" w:rsidP="00C42415">
            <w:pPr>
              <w:spacing w:line="276" w:lineRule="auto"/>
              <w:jc w:val="center"/>
              <w:rPr>
                <w:sz w:val="16"/>
                <w:szCs w:val="16"/>
              </w:rPr>
            </w:pPr>
            <w:r w:rsidRPr="001107B4">
              <w:rPr>
                <w:sz w:val="16"/>
                <w:szCs w:val="16"/>
              </w:rPr>
              <w:t>1.</w:t>
            </w:r>
            <w:r>
              <w:rPr>
                <w:sz w:val="16"/>
                <w:szCs w:val="16"/>
              </w:rPr>
              <w:t>114</w:t>
            </w:r>
          </w:p>
        </w:tc>
        <w:tc>
          <w:tcPr>
            <w:tcW w:w="1276" w:type="dxa"/>
            <w:vAlign w:val="center"/>
          </w:tcPr>
          <w:p w14:paraId="4CFDBBEE"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.873,</w:t>
            </w:r>
            <w:r w:rsidRPr="001107B4">
              <w:rPr>
                <w:sz w:val="16"/>
                <w:szCs w:val="16"/>
              </w:rPr>
              <w:t xml:space="preserve"> 1.4</w:t>
            </w:r>
            <w:r>
              <w:rPr>
                <w:sz w:val="16"/>
                <w:szCs w:val="16"/>
              </w:rPr>
              <w:t>20</w:t>
            </w:r>
          </w:p>
        </w:tc>
        <w:tc>
          <w:tcPr>
            <w:tcW w:w="1418" w:type="dxa"/>
            <w:vAlign w:val="center"/>
          </w:tcPr>
          <w:p w14:paraId="3D1F6E81"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386</w:t>
            </w:r>
          </w:p>
        </w:tc>
      </w:tr>
      <w:tr w:rsidR="00850777" w:rsidRPr="001107B4" w14:paraId="346BCD2B" w14:textId="77777777" w:rsidTr="001107B4">
        <w:trPr>
          <w:jc w:val="center"/>
        </w:trPr>
        <w:tc>
          <w:tcPr>
            <w:tcW w:w="3261" w:type="dxa"/>
            <w:vAlign w:val="center"/>
          </w:tcPr>
          <w:p w14:paraId="017E7455" w14:textId="77777777" w:rsidR="00850777" w:rsidRPr="001107B4" w:rsidRDefault="00850777" w:rsidP="00C42415">
            <w:pPr>
              <w:spacing w:line="276" w:lineRule="auto"/>
              <w:jc w:val="center"/>
              <w:rPr>
                <w:sz w:val="16"/>
                <w:szCs w:val="16"/>
              </w:rPr>
            </w:pPr>
            <w:r w:rsidRPr="001107B4">
              <w:rPr>
                <w:sz w:val="16"/>
                <w:szCs w:val="16"/>
              </w:rPr>
              <w:t>Discharged – no FU</w:t>
            </w:r>
          </w:p>
        </w:tc>
        <w:tc>
          <w:tcPr>
            <w:tcW w:w="1270" w:type="dxa"/>
            <w:vAlign w:val="center"/>
          </w:tcPr>
          <w:p w14:paraId="6B419733" w14:textId="77777777" w:rsidR="00850777" w:rsidRPr="001107B4" w:rsidRDefault="00850777" w:rsidP="00C42415">
            <w:pPr>
              <w:spacing w:line="276" w:lineRule="auto"/>
              <w:jc w:val="center"/>
              <w:rPr>
                <w:sz w:val="16"/>
                <w:szCs w:val="16"/>
              </w:rPr>
            </w:pPr>
            <w:r w:rsidRPr="001107B4">
              <w:rPr>
                <w:sz w:val="16"/>
                <w:szCs w:val="16"/>
              </w:rPr>
              <w:t>0.9</w:t>
            </w:r>
            <w:r>
              <w:rPr>
                <w:sz w:val="16"/>
                <w:szCs w:val="16"/>
              </w:rPr>
              <w:t>45</w:t>
            </w:r>
          </w:p>
        </w:tc>
        <w:tc>
          <w:tcPr>
            <w:tcW w:w="1276" w:type="dxa"/>
            <w:vAlign w:val="center"/>
          </w:tcPr>
          <w:p w14:paraId="4E5273D1" w14:textId="77777777" w:rsidR="00850777" w:rsidRPr="001107B4" w:rsidRDefault="00850777" w:rsidP="00C42415">
            <w:pPr>
              <w:spacing w:line="276" w:lineRule="auto"/>
              <w:jc w:val="center"/>
              <w:rPr>
                <w:sz w:val="16"/>
                <w:szCs w:val="16"/>
              </w:rPr>
            </w:pPr>
            <w:r w:rsidRPr="001107B4">
              <w:rPr>
                <w:sz w:val="16"/>
                <w:szCs w:val="16"/>
              </w:rPr>
              <w:t>0.7</w:t>
            </w:r>
            <w:r>
              <w:rPr>
                <w:sz w:val="16"/>
                <w:szCs w:val="16"/>
              </w:rPr>
              <w:t>49</w:t>
            </w:r>
            <w:r w:rsidRPr="001107B4">
              <w:rPr>
                <w:sz w:val="16"/>
                <w:szCs w:val="16"/>
              </w:rPr>
              <w:t>, 1.</w:t>
            </w:r>
            <w:r>
              <w:rPr>
                <w:sz w:val="16"/>
                <w:szCs w:val="16"/>
              </w:rPr>
              <w:t>191</w:t>
            </w:r>
          </w:p>
        </w:tc>
        <w:tc>
          <w:tcPr>
            <w:tcW w:w="1418" w:type="dxa"/>
            <w:vAlign w:val="center"/>
          </w:tcPr>
          <w:p w14:paraId="4C31FAB5"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633</w:t>
            </w:r>
          </w:p>
        </w:tc>
      </w:tr>
      <w:tr w:rsidR="00850777" w:rsidRPr="001107B4" w14:paraId="7DF54EEB" w14:textId="77777777" w:rsidTr="001107B4">
        <w:trPr>
          <w:trHeight w:val="340"/>
          <w:jc w:val="center"/>
        </w:trPr>
        <w:tc>
          <w:tcPr>
            <w:tcW w:w="7225" w:type="dxa"/>
            <w:gridSpan w:val="4"/>
            <w:shd w:val="clear" w:color="auto" w:fill="F2F2F2" w:themeFill="background1" w:themeFillShade="F2"/>
            <w:vAlign w:val="center"/>
          </w:tcPr>
          <w:p w14:paraId="26AAB52D" w14:textId="77777777" w:rsidR="00850777" w:rsidRPr="001107B4" w:rsidRDefault="00850777" w:rsidP="00C42415">
            <w:pPr>
              <w:spacing w:line="276" w:lineRule="auto"/>
              <w:jc w:val="center"/>
              <w:rPr>
                <w:sz w:val="16"/>
                <w:szCs w:val="16"/>
              </w:rPr>
            </w:pPr>
            <w:r w:rsidRPr="001107B4">
              <w:rPr>
                <w:sz w:val="16"/>
                <w:szCs w:val="16"/>
              </w:rPr>
              <w:t>APC  - spells</w:t>
            </w:r>
          </w:p>
        </w:tc>
      </w:tr>
      <w:tr w:rsidR="00850777" w:rsidRPr="001107B4" w14:paraId="3A31488A" w14:textId="77777777" w:rsidTr="001107B4">
        <w:trPr>
          <w:jc w:val="center"/>
        </w:trPr>
        <w:tc>
          <w:tcPr>
            <w:tcW w:w="3261" w:type="dxa"/>
            <w:vAlign w:val="center"/>
          </w:tcPr>
          <w:p w14:paraId="46E189D4" w14:textId="77777777" w:rsidR="00850777" w:rsidRPr="001107B4" w:rsidRDefault="00850777" w:rsidP="00C42415">
            <w:pPr>
              <w:spacing w:line="276" w:lineRule="auto"/>
              <w:jc w:val="center"/>
              <w:rPr>
                <w:sz w:val="16"/>
                <w:szCs w:val="16"/>
              </w:rPr>
            </w:pPr>
            <w:r w:rsidRPr="001107B4">
              <w:rPr>
                <w:sz w:val="16"/>
                <w:szCs w:val="16"/>
              </w:rPr>
              <w:t>≥ 7 nights</w:t>
            </w:r>
          </w:p>
        </w:tc>
        <w:tc>
          <w:tcPr>
            <w:tcW w:w="1270" w:type="dxa"/>
            <w:vAlign w:val="center"/>
          </w:tcPr>
          <w:p w14:paraId="5571589D"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479</w:t>
            </w:r>
          </w:p>
        </w:tc>
        <w:tc>
          <w:tcPr>
            <w:tcW w:w="1276" w:type="dxa"/>
            <w:vAlign w:val="center"/>
          </w:tcPr>
          <w:p w14:paraId="78616DA0" w14:textId="77777777" w:rsidR="00850777" w:rsidRPr="001107B4" w:rsidRDefault="00850777" w:rsidP="00C42415">
            <w:pPr>
              <w:spacing w:line="276" w:lineRule="auto"/>
              <w:jc w:val="center"/>
              <w:rPr>
                <w:sz w:val="16"/>
                <w:szCs w:val="16"/>
              </w:rPr>
            </w:pPr>
            <w:r w:rsidRPr="001107B4">
              <w:rPr>
                <w:sz w:val="16"/>
                <w:szCs w:val="16"/>
              </w:rPr>
              <w:t>0.</w:t>
            </w:r>
            <w:r>
              <w:rPr>
                <w:sz w:val="16"/>
                <w:szCs w:val="16"/>
              </w:rPr>
              <w:t>337</w:t>
            </w:r>
            <w:r w:rsidRPr="001107B4">
              <w:rPr>
                <w:sz w:val="16"/>
                <w:szCs w:val="16"/>
              </w:rPr>
              <w:t>, 0.67</w:t>
            </w:r>
            <w:r>
              <w:rPr>
                <w:sz w:val="16"/>
                <w:szCs w:val="16"/>
              </w:rPr>
              <w:t>9</w:t>
            </w:r>
          </w:p>
        </w:tc>
        <w:tc>
          <w:tcPr>
            <w:tcW w:w="1418" w:type="dxa"/>
            <w:vAlign w:val="center"/>
          </w:tcPr>
          <w:p w14:paraId="4CB79739" w14:textId="77777777" w:rsidR="00850777" w:rsidRPr="001107B4" w:rsidRDefault="00850777" w:rsidP="00C42415">
            <w:pPr>
              <w:spacing w:line="276" w:lineRule="auto"/>
              <w:jc w:val="center"/>
              <w:rPr>
                <w:sz w:val="16"/>
                <w:szCs w:val="16"/>
              </w:rPr>
            </w:pPr>
            <w:r>
              <w:rPr>
                <w:sz w:val="16"/>
                <w:szCs w:val="16"/>
              </w:rPr>
              <w:t>&lt;</w:t>
            </w:r>
            <w:r w:rsidRPr="001107B4">
              <w:rPr>
                <w:sz w:val="16"/>
                <w:szCs w:val="16"/>
              </w:rPr>
              <w:t>0.0</w:t>
            </w:r>
            <w:r>
              <w:rPr>
                <w:sz w:val="16"/>
                <w:szCs w:val="16"/>
              </w:rPr>
              <w:t>01***</w:t>
            </w:r>
          </w:p>
        </w:tc>
      </w:tr>
    </w:tbl>
    <w:p w14:paraId="0FB8A004" w14:textId="77777777" w:rsidR="00850777" w:rsidRPr="003F1CD1" w:rsidRDefault="00850777" w:rsidP="000A4FFE">
      <w:pPr>
        <w:rPr>
          <w:i/>
          <w:iCs/>
          <w:sz w:val="18"/>
          <w:szCs w:val="18"/>
        </w:rPr>
      </w:pPr>
      <w:r w:rsidRPr="003F1CD1">
        <w:rPr>
          <w:i/>
          <w:iCs/>
          <w:sz w:val="18"/>
          <w:szCs w:val="18"/>
        </w:rPr>
        <w:t>Note: significance set at 0.05</w:t>
      </w:r>
      <w:r>
        <w:rPr>
          <w:i/>
          <w:iCs/>
          <w:sz w:val="18"/>
          <w:szCs w:val="18"/>
        </w:rPr>
        <w:t xml:space="preserve">*. </w:t>
      </w:r>
    </w:p>
    <w:p w14:paraId="5DDB7568" w14:textId="1DD6C3A6" w:rsidR="00735B9E" w:rsidRDefault="00735B9E">
      <w:pPr>
        <w:spacing w:line="240" w:lineRule="auto"/>
        <w:jc w:val="left"/>
      </w:pPr>
      <w:r>
        <w:br w:type="page"/>
      </w:r>
    </w:p>
    <w:p w14:paraId="352394F1" w14:textId="39A709E7" w:rsidR="00735B9E" w:rsidRPr="00263BCC" w:rsidRDefault="00735B9E" w:rsidP="00735B9E">
      <w:pPr>
        <w:pStyle w:val="Heading2"/>
        <w:jc w:val="both"/>
      </w:pPr>
      <w:bookmarkStart w:id="140" w:name="_Toc137504754"/>
      <w:r>
        <w:lastRenderedPageBreak/>
        <w:t xml:space="preserve">4.4 </w:t>
      </w:r>
      <w:r w:rsidRPr="00263BCC">
        <w:t>D</w:t>
      </w:r>
      <w:r>
        <w:t>iscussion</w:t>
      </w:r>
      <w:bookmarkEnd w:id="140"/>
    </w:p>
    <w:p w14:paraId="3115A4B0" w14:textId="77777777" w:rsidR="00735B9E" w:rsidRPr="00D13D28" w:rsidRDefault="00735B9E" w:rsidP="00DA10A0">
      <w:pPr>
        <w:pStyle w:val="Heading3"/>
      </w:pPr>
      <w:bookmarkStart w:id="141" w:name="_Toc137504755"/>
      <w:r>
        <w:t xml:space="preserve">4.4.1 </w:t>
      </w:r>
      <w:r w:rsidRPr="00D13D28">
        <w:t>Summary</w:t>
      </w:r>
      <w:bookmarkEnd w:id="141"/>
      <w:r w:rsidRPr="00D13D28">
        <w:t xml:space="preserve"> </w:t>
      </w:r>
    </w:p>
    <w:p w14:paraId="265BC430" w14:textId="77777777" w:rsidR="00735B9E" w:rsidRPr="00DA10A0" w:rsidRDefault="00735B9E" w:rsidP="00DA10A0">
      <w:r w:rsidRPr="00DA10A0">
        <w:t xml:space="preserve">The findings of this study provide insights into the utilisation of </w:t>
      </w:r>
      <w:r>
        <w:t xml:space="preserve">urgent and </w:t>
      </w:r>
      <w:r w:rsidRPr="00DA10A0">
        <w:t>emergency</w:t>
      </w:r>
      <w:r>
        <w:t xml:space="preserve"> (UEC)</w:t>
      </w:r>
      <w:r w:rsidRPr="00DA10A0">
        <w:t xml:space="preserve"> </w:t>
      </w:r>
      <w:r>
        <w:t xml:space="preserve">health </w:t>
      </w:r>
      <w:r w:rsidRPr="00DA10A0">
        <w:t xml:space="preserve">services among </w:t>
      </w:r>
      <w:r>
        <w:t xml:space="preserve">a large cohort of </w:t>
      </w:r>
      <w:r w:rsidRPr="00DA10A0">
        <w:t>patients with Functional Neurological Symptom Disorder (FNSD</w:t>
      </w:r>
      <w:r>
        <w:t xml:space="preserve">) who had accessed psychotherapy to treat their disorder. </w:t>
      </w:r>
      <w:r w:rsidRPr="00DA10A0">
        <w:t xml:space="preserve">Our results indicate that compared to </w:t>
      </w:r>
      <w:r>
        <w:t xml:space="preserve">an age- and sex-matched </w:t>
      </w:r>
      <w:r w:rsidRPr="00DA10A0">
        <w:t>general population</w:t>
      </w:r>
      <w:r>
        <w:t xml:space="preserve"> cohort,</w:t>
      </w:r>
      <w:r w:rsidRPr="00DA10A0">
        <w:t xml:space="preserve"> patients with FNSD utilise services like NHS 111, ambulance </w:t>
      </w:r>
      <w:r>
        <w:t xml:space="preserve">callouts </w:t>
      </w:r>
      <w:r w:rsidRPr="00DA10A0">
        <w:t>(AMB), and Accident and Emergency (A&amp;E) at notably higher rates and that</w:t>
      </w:r>
      <w:r>
        <w:t xml:space="preserve"> the level of</w:t>
      </w:r>
      <w:r w:rsidRPr="00DA10A0">
        <w:t xml:space="preserve"> </w:t>
      </w:r>
      <w:r>
        <w:t xml:space="preserve">UEC usage rates was lower after </w:t>
      </w:r>
      <w:r w:rsidRPr="00DA10A0">
        <w:t xml:space="preserve">the </w:t>
      </w:r>
      <w:r>
        <w:t xml:space="preserve">administration of </w:t>
      </w:r>
      <w:r w:rsidRPr="00DA10A0">
        <w:t>specialised therapy provided by the STH NHS trust</w:t>
      </w:r>
      <w:r>
        <w:t xml:space="preserve">. However, </w:t>
      </w:r>
      <w:r w:rsidRPr="0002120A">
        <w:t>usage rates seemed to</w:t>
      </w:r>
      <w:r>
        <w:t xml:space="preserve"> gradually</w:t>
      </w:r>
      <w:r w:rsidRPr="0002120A">
        <w:t xml:space="preserve"> increase again towards the baseline over 1.5 years of follow-up captured in </w:t>
      </w:r>
      <w:r>
        <w:t>an</w:t>
      </w:r>
      <w:r w:rsidRPr="0002120A">
        <w:t xml:space="preserve"> interrupted time series</w:t>
      </w:r>
      <w:r>
        <w:t xml:space="preserve"> analysis.</w:t>
      </w:r>
    </w:p>
    <w:p w14:paraId="29822D85" w14:textId="77777777" w:rsidR="00735B9E" w:rsidRDefault="00735B9E" w:rsidP="00031299">
      <w:pPr>
        <w:pStyle w:val="Heading3"/>
      </w:pPr>
      <w:bookmarkStart w:id="142" w:name="_Toc137504756"/>
      <w:r>
        <w:t xml:space="preserve">4.4.2 </w:t>
      </w:r>
      <w:r w:rsidRPr="00E0006A">
        <w:t>FN</w:t>
      </w:r>
      <w:r>
        <w:t>S</w:t>
      </w:r>
      <w:r w:rsidRPr="00E0006A">
        <w:t xml:space="preserve">D </w:t>
      </w:r>
      <w:r>
        <w:t>rates compared to the general population</w:t>
      </w:r>
      <w:bookmarkEnd w:id="142"/>
    </w:p>
    <w:p w14:paraId="0219171F" w14:textId="77777777" w:rsidR="00735B9E" w:rsidRDefault="00735B9E" w:rsidP="0002120A">
      <w:r>
        <w:t>A particularly striking finding in this study is that utilisation rates per 1,000 person-years were approximately 23 times higher for NHS 111 calls, nearly 60 times higher for ambulance callouts and 31 times higher for A&amp;E attendance in our Sheffield-based FNSD psychotherapy cohort compared to the general population between 2013 and 2015. Typically, p</w:t>
      </w:r>
      <w:r w:rsidRPr="0002120A">
        <w:t>atients with FNSD do not only experience functional symptoms but are also at increased risk of a broad range of physical and mental disorders and, indeed, an increased risk of premature death.</w:t>
      </w:r>
    </w:p>
    <w:p w14:paraId="17989E89" w14:textId="3A407F5D" w:rsidR="00735B9E" w:rsidRDefault="00735B9E" w:rsidP="002C289A">
      <w:r w:rsidRPr="006F172C">
        <w:t xml:space="preserve">In the UK, as of 2016/17, 2.1% of </w:t>
      </w:r>
      <w:r>
        <w:t>A&amp;E</w:t>
      </w:r>
      <w:r w:rsidRPr="006F172C">
        <w:t xml:space="preserve"> visitors qualified as </w:t>
      </w:r>
      <w:r>
        <w:t>High-Intensity Users (</w:t>
      </w:r>
      <w:r w:rsidRPr="006F172C">
        <w:t>HIUs</w:t>
      </w:r>
      <w:r>
        <w:t>), attending hospital emergency departments (ED) five or more times within a year</w:t>
      </w:r>
      <w:r w:rsidRPr="006F172C">
        <w:t xml:space="preserve"> </w:t>
      </w:r>
      <w:r>
        <w:t xml:space="preserve">and </w:t>
      </w:r>
      <w:r w:rsidRPr="006F172C">
        <w:t>contributing to 10.7% o</w:t>
      </w:r>
      <w:r>
        <w:t>f</w:t>
      </w:r>
      <w:r w:rsidRPr="006F172C">
        <w:t xml:space="preserve"> </w:t>
      </w:r>
      <w:r>
        <w:t xml:space="preserve">ED </w:t>
      </w:r>
      <w:r w:rsidRPr="006F172C">
        <w:t>visits</w:t>
      </w:r>
      <w:r>
        <w:t xml:space="preserve"> </w:t>
      </w:r>
      <w:sdt>
        <w:sdtPr>
          <w:rPr>
            <w:color w:val="000000"/>
          </w:rPr>
          <w:tag w:val="MENDELEY_CITATION_v3_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"/>
          <w:id w:val="-1695604877"/>
          <w:placeholder>
            <w:docPart w:val="FF4820B32E5F2641AB6C618C6B62ABC2"/>
          </w:placeholder>
        </w:sdtPr>
        <w:sdtContent>
          <w:r w:rsidR="0047170A" w:rsidRPr="0047170A">
            <w:rPr>
              <w:color w:val="000000"/>
            </w:rPr>
            <w:t>(Greenfield et al., 2020)</w:t>
          </w:r>
        </w:sdtContent>
      </w:sdt>
      <w:r w:rsidRPr="006F172C">
        <w:t>.</w:t>
      </w:r>
      <w:r>
        <w:t xml:space="preserve"> In our analysis, five to eight per cent of FNSD A&amp;E visitors were high-intensity users, almost three times the proportion Greenfield and colleagues found in the general population. </w:t>
      </w:r>
    </w:p>
    <w:p w14:paraId="5506AFEF" w14:textId="2F712480" w:rsidR="00735B9E" w:rsidRDefault="00735B9E" w:rsidP="00031299">
      <w:r>
        <w:t>Though we could not determine the specific problems</w:t>
      </w:r>
      <w:r w:rsidRPr="0002120A">
        <w:t xml:space="preserve"> </w:t>
      </w:r>
      <w:r>
        <w:t>the patients in this</w:t>
      </w:r>
      <w:r w:rsidRPr="0002120A">
        <w:t xml:space="preserve"> FNSD </w:t>
      </w:r>
      <w:r>
        <w:t xml:space="preserve">cohort </w:t>
      </w:r>
      <w:r w:rsidRPr="0002120A">
        <w:t>accessed emergency services with</w:t>
      </w:r>
      <w:r>
        <w:t>, t</w:t>
      </w:r>
      <w:r w:rsidRPr="0002120A">
        <w:t>he increased mortality rate</w:t>
      </w:r>
      <w:r>
        <w:t>s</w:t>
      </w:r>
      <w:r w:rsidRPr="0002120A">
        <w:t xml:space="preserve"> observed in populations of </w:t>
      </w:r>
      <w:r>
        <w:t xml:space="preserve">FNSD </w:t>
      </w:r>
      <w:r w:rsidRPr="0002120A">
        <w:t xml:space="preserve">patients suggest that a considerable proportion of these patients will have </w:t>
      </w:r>
      <w:r>
        <w:t>other</w:t>
      </w:r>
      <w:r w:rsidRPr="0002120A">
        <w:t xml:space="preserve"> physical disorders in addition to their FNSD</w:t>
      </w:r>
      <w:r>
        <w:t xml:space="preserve"> </w:t>
      </w:r>
      <w:sdt>
        <w:sdtPr>
          <w:rPr>
            <w:color w:val="000000"/>
          </w:rPr>
          <w:tag w:val="MENDELEY_CITATION_v3_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"/>
          <w:id w:val="-1527316296"/>
          <w:placeholder>
            <w:docPart w:val="FF4820B32E5F2641AB6C618C6B62ABC2"/>
          </w:placeholder>
        </w:sdtPr>
        <w:sdtContent>
          <w:r w:rsidR="0047170A" w:rsidRPr="0047170A">
            <w:rPr>
              <w:color w:val="000000"/>
            </w:rPr>
            <w:t>(</w:t>
          </w:r>
          <w:proofErr w:type="spellStart"/>
          <w:r w:rsidR="0047170A" w:rsidRPr="0047170A">
            <w:rPr>
              <w:color w:val="000000"/>
            </w:rPr>
            <w:t>Jennum</w:t>
          </w:r>
          <w:proofErr w:type="spellEnd"/>
          <w:r w:rsidR="0047170A" w:rsidRPr="0047170A">
            <w:rPr>
              <w:color w:val="000000"/>
            </w:rPr>
            <w:t xml:space="preserve"> et al., 2019; </w:t>
          </w:r>
          <w:proofErr w:type="spellStart"/>
          <w:r w:rsidR="0047170A" w:rsidRPr="0047170A">
            <w:rPr>
              <w:color w:val="000000"/>
            </w:rPr>
            <w:t>Nightscales</w:t>
          </w:r>
          <w:proofErr w:type="spellEnd"/>
          <w:r w:rsidR="0047170A" w:rsidRPr="0047170A">
            <w:rPr>
              <w:color w:val="000000"/>
            </w:rPr>
            <w:t xml:space="preserve"> et al., 2020; Zhang et al., 2022)</w:t>
          </w:r>
        </w:sdtContent>
      </w:sdt>
      <w:r w:rsidRPr="0002120A">
        <w:t>.</w:t>
      </w:r>
      <w:r>
        <w:t xml:space="preserve"> </w:t>
      </w:r>
      <w:r w:rsidRPr="0002120A">
        <w:t>The</w:t>
      </w:r>
      <w:r>
        <w:t xml:space="preserve"> study cohort here ma</w:t>
      </w:r>
      <w:r w:rsidRPr="0002120A">
        <w:t>y also</w:t>
      </w:r>
      <w:r>
        <w:t xml:space="preserve"> </w:t>
      </w:r>
      <w:r w:rsidRPr="0002120A">
        <w:t xml:space="preserve">have </w:t>
      </w:r>
      <w:r>
        <w:t xml:space="preserve">been more disabled and </w:t>
      </w:r>
      <w:r w:rsidRPr="0002120A">
        <w:t>had higher rates of mental disorders</w:t>
      </w:r>
      <w:r>
        <w:t xml:space="preserve"> than other FNSD cohorts</w:t>
      </w:r>
      <w:r w:rsidRPr="0002120A">
        <w:t xml:space="preserve"> because they were</w:t>
      </w:r>
      <w:r>
        <w:t xml:space="preserve"> </w:t>
      </w:r>
      <w:r w:rsidRPr="0002120A">
        <w:t xml:space="preserve">referred by neurologists and </w:t>
      </w:r>
      <w:r>
        <w:t>accepted the</w:t>
      </w:r>
      <w:r w:rsidRPr="0002120A">
        <w:t xml:space="preserve"> </w:t>
      </w:r>
      <w:r>
        <w:t>psychotherapy offered</w:t>
      </w:r>
      <w:r w:rsidRPr="0002120A">
        <w:t>.</w:t>
      </w:r>
      <w:r>
        <w:t xml:space="preserve"> T</w:t>
      </w:r>
      <w:r w:rsidRPr="006F172C">
        <w:t xml:space="preserve">his is in line with other findings in the literature that show frequent attendees are more likely to experience functional </w:t>
      </w:r>
      <w:r>
        <w:t>symptoms</w:t>
      </w:r>
      <w:r w:rsidRPr="006F172C">
        <w:t xml:space="preserve"> </w:t>
      </w:r>
      <w:sdt>
        <w:sdtPr>
          <w:rPr>
            <w:color w:val="000000"/>
          </w:rPr>
          <w:tag w:val="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"/>
          <w:id w:val="1844585795"/>
          <w:placeholder>
            <w:docPart w:val="FF4820B32E5F2641AB6C618C6B62ABC2"/>
          </w:placeholder>
        </w:sdtPr>
        <w:sdtContent>
          <w:r w:rsidR="0047170A" w:rsidRPr="0047170A">
            <w:rPr>
              <w:color w:val="000000"/>
            </w:rPr>
            <w:t xml:space="preserve">(Ferrari et al., 2008; Norton et al., 2012; Reid </w:t>
          </w:r>
          <w:r w:rsidR="0047170A" w:rsidRPr="0047170A">
            <w:rPr>
              <w:color w:val="000000"/>
            </w:rPr>
            <w:lastRenderedPageBreak/>
            <w:t>et al., 2002b)</w:t>
          </w:r>
        </w:sdtContent>
      </w:sdt>
      <w:r w:rsidRPr="006F172C">
        <w:t xml:space="preserve"> as well as common mental health conditions such as depression</w:t>
      </w:r>
      <w:r>
        <w:t xml:space="preserve"> </w:t>
      </w:r>
      <w:sdt>
        <w:sdtPr>
          <w:rPr>
            <w:color w:val="000000"/>
          </w:rPr>
          <w:tag w:val="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"/>
          <w:id w:val="2044553109"/>
          <w:placeholder>
            <w:docPart w:val="FF4820B32E5F2641AB6C618C6B62ABC2"/>
          </w:placeholder>
        </w:sdtPr>
        <w:sdtContent>
          <w:r w:rsidR="0047170A">
            <w:rPr>
              <w:rFonts w:eastAsia="Times New Roman"/>
            </w:rPr>
            <w:t xml:space="preserve">(Gili et al., P011; </w:t>
          </w:r>
          <w:proofErr w:type="spellStart"/>
          <w:r w:rsidR="0047170A">
            <w:rPr>
              <w:rFonts w:eastAsia="Times New Roman"/>
            </w:rPr>
            <w:t>Vedsted</w:t>
          </w:r>
          <w:proofErr w:type="spellEnd"/>
          <w:r w:rsidR="0047170A">
            <w:rPr>
              <w:rFonts w:eastAsia="Times New Roman"/>
            </w:rPr>
            <w:t xml:space="preserve"> &amp; Christensen, 2005)</w:t>
          </w:r>
        </w:sdtContent>
      </w:sdt>
      <w:r>
        <w:t xml:space="preserve"> and</w:t>
      </w:r>
      <w:r w:rsidRPr="006F172C">
        <w:t xml:space="preserve"> anxiety</w:t>
      </w:r>
      <w:r>
        <w:t xml:space="preserve"> </w:t>
      </w:r>
      <w:sdt>
        <w:sdtPr>
          <w:rPr>
            <w:color w:val="000000"/>
          </w:rPr>
          <w:tag w:val="MENDELEY_CITATION_v3_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"/>
          <w:id w:val="1617093281"/>
          <w:placeholder>
            <w:docPart w:val="FF4820B32E5F2641AB6C618C6B62ABC2"/>
          </w:placeholder>
        </w:sdtPr>
        <w:sdtContent>
          <w:r w:rsidR="0047170A" w:rsidRPr="0047170A">
            <w:rPr>
              <w:color w:val="000000"/>
            </w:rPr>
            <w:t>(Smits et al., 2014)</w:t>
          </w:r>
        </w:sdtContent>
      </w:sdt>
      <w:r w:rsidRPr="006F172C">
        <w:t xml:space="preserve">. </w:t>
      </w:r>
      <w:r w:rsidRPr="0002120A">
        <w:t xml:space="preserve"> </w:t>
      </w:r>
    </w:p>
    <w:p w14:paraId="7C983D36" w14:textId="2E2249FE" w:rsidR="00735B9E" w:rsidRDefault="00735B9E" w:rsidP="00072F18">
      <w:r>
        <w:t xml:space="preserve">Although high use rates have been reported in this patient group, one difficulty of FNSD studies pertains to identifying appropriate control groups to facilitate inferences and draw conclusions. FNSD differs from other disorders in its variable presentations, symptoms' onset, and pathophysiology. </w:t>
      </w:r>
      <w:r w:rsidRPr="0067032C">
        <w:t xml:space="preserve">This variability in symptom presentation and onset </w:t>
      </w:r>
      <w:r>
        <w:t xml:space="preserve">make </w:t>
      </w:r>
      <w:r w:rsidRPr="00072F18">
        <w:t xml:space="preserve">coding </w:t>
      </w:r>
      <w:r>
        <w:t xml:space="preserve">functional symptoms in an </w:t>
      </w:r>
      <w:r w:rsidRPr="00072F18">
        <w:t xml:space="preserve">emergency </w:t>
      </w:r>
      <w:r>
        <w:t xml:space="preserve">setting difficult </w:t>
      </w:r>
      <w:sdt>
        <w:sdtPr>
          <w:rPr>
            <w:color w:val="000000"/>
          </w:rPr>
          <w:tag w:val="MENDELEY_CITATION_v3_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"/>
          <w:id w:val="807899544"/>
          <w:placeholder>
            <w:docPart w:val="FF4820B32E5F2641AB6C618C6B62ABC2"/>
          </w:placeholder>
        </w:sdtPr>
        <w:sdtContent>
          <w:r w:rsidR="0047170A" w:rsidRPr="0047170A">
            <w:rPr>
              <w:color w:val="000000"/>
            </w:rPr>
            <w:t>(Hughes-Gooding et al., 2020)</w:t>
          </w:r>
        </w:sdtContent>
      </w:sdt>
      <w:r w:rsidRPr="00072F18">
        <w:t>.</w:t>
      </w:r>
    </w:p>
    <w:p w14:paraId="77713534" w14:textId="64D49CE9" w:rsidR="00735B9E" w:rsidRDefault="00735B9E" w:rsidP="00072F18">
      <w:r>
        <w:t>This analysis also showed that FNSD patients used more than one service. T</w:t>
      </w:r>
      <w:r w:rsidRPr="002C289A">
        <w:t>he</w:t>
      </w:r>
      <w:r>
        <w:t xml:space="preserve"> overall</w:t>
      </w:r>
      <w:r w:rsidRPr="002C289A">
        <w:t xml:space="preserve"> proportion of FNSD psychotherapy patients who used UEC services was </w:t>
      </w:r>
      <w:r>
        <w:t>generally relatively</w:t>
      </w:r>
      <w:r w:rsidRPr="002C289A">
        <w:t xml:space="preserve"> high</w:t>
      </w:r>
      <w:r>
        <w:t>,</w:t>
      </w:r>
      <w:r w:rsidRPr="002C289A">
        <w:t xml:space="preserve"> and the high </w:t>
      </w:r>
      <w:r>
        <w:t xml:space="preserve">rates of </w:t>
      </w:r>
      <w:r w:rsidRPr="002C289A">
        <w:t xml:space="preserve">use seen in this population </w:t>
      </w:r>
      <w:r>
        <w:t>overall may be</w:t>
      </w:r>
      <w:r w:rsidRPr="002C289A">
        <w:t xml:space="preserve"> due to a small minority of extremely </w:t>
      </w:r>
      <w:r>
        <w:t xml:space="preserve">frequent </w:t>
      </w:r>
      <w:r w:rsidRPr="002C289A">
        <w:t>users.</w:t>
      </w:r>
      <w:r>
        <w:t xml:space="preserve"> This</w:t>
      </w:r>
      <w:r w:rsidRPr="002C289A">
        <w:t xml:space="preserve"> suggests that a broader strategy would be required to reduce emergency service utilisation and improve </w:t>
      </w:r>
      <w:r>
        <w:t xml:space="preserve">the </w:t>
      </w:r>
      <w:r w:rsidRPr="002C289A">
        <w:t>engagement of these patients with pre-planned / routine healthcare provision.</w:t>
      </w:r>
    </w:p>
    <w:p w14:paraId="4D12FE02" w14:textId="4912EC1F" w:rsidR="00735B9E" w:rsidRDefault="00735B9E" w:rsidP="00031299">
      <w:r w:rsidRPr="0067032C">
        <w:t>Th</w:t>
      </w:r>
      <w:r>
        <w:t>ese</w:t>
      </w:r>
      <w:r w:rsidRPr="0067032C">
        <w:t xml:space="preserve"> complexit</w:t>
      </w:r>
      <w:r>
        <w:t>ies</w:t>
      </w:r>
      <w:r w:rsidRPr="0067032C">
        <w:t xml:space="preserve"> complicate efforts to track and understand patterns in emergency service utilisation within this patient group at group </w:t>
      </w:r>
      <w:r>
        <w:t xml:space="preserve">and system levels (i.e. across different service providers) </w:t>
      </w:r>
      <w:sdt>
        <w:sdtPr>
          <w:rPr>
            <w:color w:val="000000"/>
          </w:rPr>
          <w:tag w:val="MENDELEY_CITATION_v3_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"/>
          <w:id w:val="1942186425"/>
          <w:placeholder>
            <w:docPart w:val="FF4820B32E5F2641AB6C618C6B62ABC2"/>
          </w:placeholder>
        </w:sdtPr>
        <w:sdtContent>
          <w:r w:rsidR="0047170A" w:rsidRPr="0047170A">
            <w:rPr>
              <w:color w:val="000000"/>
            </w:rPr>
            <w:t>(Hughes-Gooding et al., 2020)</w:t>
          </w:r>
        </w:sdtContent>
      </w:sdt>
      <w:r w:rsidRPr="0067032C">
        <w:t>.</w:t>
      </w:r>
      <w:r>
        <w:t xml:space="preserve"> The unique pathophysiology, health behaviours and concepts associated with the care and management of FNSs, further underscore this complexity. For instance, misconceptions about the nature of their symptoms, stigmatisation, or the accessibility to primary, secondary, or tertiary care could lead to increased or decreased emergency service usage in different subgroups of patients. Nonetheless, comparing FNSD rates of emergency service usage in the general population provides a valuable reference point to appreciate the extent of the differences and begin to investigate possible underlying factors. It also highlights the need to consider which features of UEC use can be used as outcome measures that reflect the unique characteristics and needs of the FNSD population.</w:t>
      </w:r>
    </w:p>
    <w:p w14:paraId="6CA75EC7" w14:textId="748BEFCB" w:rsidR="00735B9E" w:rsidRDefault="00735B9E" w:rsidP="00DA10A0">
      <w:r>
        <w:t xml:space="preserve">As FNSD patients are usually more likely to be female and middle-aged </w:t>
      </w:r>
      <w:sdt>
        <w:sdtPr>
          <w:rPr>
            <w:color w:val="000000"/>
          </w:rPr>
          <w:tag w:val="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"/>
          <w:id w:val="-1749498177"/>
          <w:placeholder>
            <w:docPart w:val="FF4820B32E5F2641AB6C618C6B62ABC2"/>
          </w:placeholder>
        </w:sdtPr>
        <w:sdtContent>
          <w:r w:rsidR="0047170A" w:rsidRPr="0047170A">
            <w:rPr>
              <w:color w:val="000000"/>
            </w:rPr>
            <w:t>(Bennett et al., 2021; Goldstein et al., 2019)</w:t>
          </w:r>
        </w:sdtContent>
      </w:sdt>
      <w:r>
        <w:t xml:space="preserve">, standardised rates were suitable to yield comparable measures by accounting for differences in age and sex distribution within the general population. The high rates reported here indicate </w:t>
      </w:r>
      <w:r w:rsidRPr="00DA10A0">
        <w:t xml:space="preserve">that the differences </w:t>
      </w:r>
      <w:r w:rsidRPr="00943C35">
        <w:t>observed are not due to these demographic distribution disparities between the two groups.</w:t>
      </w:r>
      <w:r>
        <w:t xml:space="preserve"> </w:t>
      </w:r>
      <w:r w:rsidRPr="00943C35">
        <w:t xml:space="preserve">However, another largely relevant confounder of use would be </w:t>
      </w:r>
      <w:r>
        <w:t>socioeconomic</w:t>
      </w:r>
      <w:r w:rsidRPr="00943C35">
        <w:t xml:space="preserve"> status, which was not accounted for in this </w:t>
      </w:r>
      <w:r>
        <w:t>comparison with the general population</w:t>
      </w:r>
      <w:r w:rsidRPr="00943C35">
        <w:t xml:space="preserve">, so though we can </w:t>
      </w:r>
      <w:r w:rsidRPr="00943C35">
        <w:lastRenderedPageBreak/>
        <w:t xml:space="preserve">exclude age/sex differences, we cannot </w:t>
      </w:r>
      <w:r>
        <w:t>entirely</w:t>
      </w:r>
      <w:r w:rsidRPr="00943C35">
        <w:t xml:space="preserve"> attribute these high rates to the nature of functional symptoms alone nor make explicit inferences about additional mediating factors that may influence the patterns of use.</w:t>
      </w:r>
    </w:p>
    <w:p w14:paraId="6BEBE024" w14:textId="1C6412AE" w:rsidR="00735B9E" w:rsidRPr="001A4DE6" w:rsidRDefault="00735B9E" w:rsidP="00DA10A0">
      <w:r w:rsidRPr="001A4DE6">
        <w:t xml:space="preserve">The emergency </w:t>
      </w:r>
      <w:r>
        <w:t xml:space="preserve">department' </w:t>
      </w:r>
      <w:r w:rsidRPr="001A4DE6">
        <w:t>crisis</w:t>
      </w:r>
      <w:r>
        <w:t>'</w:t>
      </w:r>
      <w:r w:rsidRPr="001A4DE6">
        <w:t xml:space="preserve"> in England has been closely tied to the issue of health inequality.</w:t>
      </w:r>
      <w:r>
        <w:t xml:space="preserve"> </w:t>
      </w:r>
      <w:r w:rsidRPr="001A4DE6">
        <w:t xml:space="preserve">Evidence suggests that individuals residing in areas of greater deprivation significantly utilise NHS services more than those in less deprived regions </w:t>
      </w:r>
      <w:sdt>
        <w:sdtPr>
          <w:rPr>
            <w:color w:val="000000"/>
          </w:rPr>
          <w:tag w:val="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"/>
          <w:id w:val="2074390550"/>
          <w:placeholder>
            <w:docPart w:val="FF4820B32E5F2641AB6C618C6B62ABC2"/>
          </w:placeholder>
        </w:sdtPr>
        <w:sdtContent>
          <w:r w:rsidR="0047170A" w:rsidRPr="0047170A">
            <w:rPr>
              <w:color w:val="000000"/>
            </w:rPr>
            <w:t xml:space="preserve">(Are Hospital Services Used Differently in Deprived Areas? Evidence to Identify Commissioning Challenges; </w:t>
          </w:r>
          <w:proofErr w:type="spellStart"/>
          <w:r w:rsidR="0047170A" w:rsidRPr="0047170A">
            <w:rPr>
              <w:color w:val="000000"/>
            </w:rPr>
            <w:t>Asaria</w:t>
          </w:r>
          <w:proofErr w:type="spellEnd"/>
          <w:r w:rsidR="0047170A" w:rsidRPr="0047170A">
            <w:rPr>
              <w:color w:val="000000"/>
            </w:rPr>
            <w:t xml:space="preserve"> et al., 2016; Cookson et al., 2016; </w:t>
          </w:r>
          <w:proofErr w:type="spellStart"/>
          <w:r w:rsidR="0047170A" w:rsidRPr="0047170A">
            <w:rPr>
              <w:color w:val="000000"/>
            </w:rPr>
            <w:t>Scantlebury</w:t>
          </w:r>
          <w:proofErr w:type="spellEnd"/>
          <w:r w:rsidR="0047170A" w:rsidRPr="0047170A">
            <w:rPr>
              <w:color w:val="000000"/>
            </w:rPr>
            <w:t xml:space="preserve"> et al., 2015)</w:t>
          </w:r>
        </w:sdtContent>
      </w:sdt>
      <w:r w:rsidRPr="001A4DE6">
        <w:t>.</w:t>
      </w:r>
      <w:r>
        <w:t xml:space="preserve"> </w:t>
      </w:r>
      <w:r w:rsidRPr="001A4DE6">
        <w:t xml:space="preserve">Furthermore, these individuals are more likely to contact UECs for conditions of lesser severity, and their rates of preventable emergency hospitalisations are nearly </w:t>
      </w:r>
      <w:r>
        <w:t>two and a half</w:t>
      </w:r>
      <w:r w:rsidRPr="001A4DE6">
        <w:t xml:space="preserve"> times greater compared to those from the </w:t>
      </w:r>
      <w:r>
        <w:t>less</w:t>
      </w:r>
      <w:r w:rsidRPr="001A4DE6">
        <w:t xml:space="preserve"> deprived areas </w:t>
      </w:r>
      <w:sdt>
        <w:sdtPr>
          <w:rPr>
            <w:color w:val="000000"/>
          </w:rPr>
          <w:tag w:val="MENDELEY_CITATION_v3_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"/>
          <w:id w:val="199601682"/>
          <w:placeholder>
            <w:docPart w:val="FF4820B32E5F2641AB6C618C6B62ABC2"/>
          </w:placeholder>
        </w:sdtPr>
        <w:sdtContent>
          <w:r w:rsidR="0047170A" w:rsidRPr="0047170A">
            <w:rPr>
              <w:color w:val="000000"/>
            </w:rPr>
            <w:t>(Cookson et al., 2016; Are Hospital Services Used Differently in Deprived Areas? Evidence to Identify Commissioning Challenges; Cookson et al., 2016)(Are Hospital Services Used Differently in Deprived Areas? Evidence to Identify Commissioning Challenges - PDF Free Download, n.d.; Cookson et al., 2016)</w:t>
          </w:r>
        </w:sdtContent>
      </w:sdt>
      <w:r w:rsidRPr="001A4DE6">
        <w:t xml:space="preserve">. </w:t>
      </w:r>
    </w:p>
    <w:p w14:paraId="5302BBFD" w14:textId="5B4E5097" w:rsidR="00735B9E" w:rsidRPr="005473FC" w:rsidRDefault="00735B9E" w:rsidP="00DA10A0">
      <w:pPr>
        <w:rPr>
          <w:rFonts w:ascii="Cambria" w:hAnsi="Cambria"/>
          <w:color w:val="212121"/>
          <w:sz w:val="30"/>
          <w:szCs w:val="30"/>
          <w:shd w:val="clear" w:color="auto" w:fill="FFFFFF"/>
        </w:rPr>
      </w:pPr>
      <w:r>
        <w:t xml:space="preserve">Individuals with </w:t>
      </w:r>
      <w:r w:rsidRPr="001A4DE6">
        <w:t xml:space="preserve">mental health conditions are also more likely to frequent EDs and are at an elevated risk of recurrent hospital admissions </w:t>
      </w:r>
      <w:sdt>
        <w:sdtPr>
          <w:rPr>
            <w:color w:val="000000"/>
          </w:rPr>
          <w:tag w:val="MENDELEY_CITATION_v3_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"/>
          <w:id w:val="-2128457213"/>
          <w:placeholder>
            <w:docPart w:val="FF4820B32E5F2641AB6C618C6B62ABC2"/>
          </w:placeholder>
        </w:sdtPr>
        <w:sdtContent>
          <w:r w:rsidR="0047170A" w:rsidRPr="0047170A">
            <w:rPr>
              <w:color w:val="000000"/>
            </w:rPr>
            <w:t xml:space="preserve">(Sarah Purdy, 2010; </w:t>
          </w:r>
          <w:proofErr w:type="spellStart"/>
          <w:r w:rsidR="0047170A" w:rsidRPr="0047170A">
            <w:rPr>
              <w:color w:val="000000"/>
            </w:rPr>
            <w:t>Scantlebury</w:t>
          </w:r>
          <w:proofErr w:type="spellEnd"/>
          <w:r w:rsidR="0047170A" w:rsidRPr="0047170A">
            <w:rPr>
              <w:color w:val="000000"/>
            </w:rPr>
            <w:t xml:space="preserve"> et al., 2015)</w:t>
          </w:r>
        </w:sdtContent>
      </w:sdt>
      <w:r w:rsidRPr="001A4DE6">
        <w:t>.</w:t>
      </w:r>
      <w:r>
        <w:t xml:space="preserve"> </w:t>
      </w:r>
      <w:r w:rsidRPr="001A4DE6">
        <w:t>Notably, as of 2017, ED visits for mental health issues had surged by nearly half since 2011-2012</w:t>
      </w:r>
      <w:r>
        <w:t>. I</w:t>
      </w:r>
      <w:r w:rsidRPr="005473FC">
        <w:t>n a</w:t>
      </w:r>
      <w:r>
        <w:t xml:space="preserve">n ill </w:t>
      </w:r>
      <w:r w:rsidRPr="005473FC">
        <w:t>mental health</w:t>
      </w:r>
      <w:r>
        <w:t xml:space="preserve"> study population</w:t>
      </w:r>
      <w:r w:rsidRPr="005473FC">
        <w:t xml:space="preserve">, when controlling for several potential confounding factors, physical and mental health </w:t>
      </w:r>
      <w:r>
        <w:t xml:space="preserve">comorbidity </w:t>
      </w:r>
      <w:r w:rsidRPr="005473FC">
        <w:t>emerged as a significant risk factor for attendance at emergency departments and primary care.</w:t>
      </w:r>
      <w:r>
        <w:t xml:space="preserve"> </w:t>
      </w:r>
      <w:r w:rsidRPr="005473FC">
        <w:t>Specifically, individuals with physical and mental health conditions had a more than fourfold increase in the likelihood of visiting an emergency department</w:t>
      </w:r>
      <w:r>
        <w:t xml:space="preserve"> </w:t>
      </w:r>
      <w:sdt>
        <w:sdtPr>
          <w:rPr>
            <w:color w:val="000000"/>
          </w:rPr>
          <w:tag w:val="MENDELEY_CITATION_v3_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"/>
          <w:id w:val="22057754"/>
          <w:placeholder>
            <w:docPart w:val="FF4820B32E5F2641AB6C618C6B62ABC2"/>
          </w:placeholder>
        </w:sdtPr>
        <w:sdtContent>
          <w:r w:rsidR="0047170A" w:rsidRPr="0047170A">
            <w:rPr>
              <w:color w:val="000000"/>
            </w:rPr>
            <w:t>(Saini et al., 2020)</w:t>
          </w:r>
        </w:sdtContent>
      </w:sdt>
      <w:r w:rsidRPr="005473FC">
        <w:t>.</w:t>
      </w:r>
      <w:r>
        <w:t xml:space="preserve"> Comorbid psychological issues prevalent in FNSD may thus be a moderating factor of use in this patient group and warrant further study. Though this study did</w:t>
      </w:r>
      <w:r w:rsidRPr="008F510E">
        <w:t xml:space="preserve"> not have mental health diagnoses on all of the patients captured in </w:t>
      </w:r>
      <w:r>
        <w:t>the</w:t>
      </w:r>
      <w:r w:rsidRPr="008F510E">
        <w:t xml:space="preserve"> FNS</w:t>
      </w:r>
      <w:r>
        <w:t>D</w:t>
      </w:r>
      <w:r w:rsidRPr="008F510E">
        <w:t xml:space="preserve"> cohort</w:t>
      </w:r>
      <w:r>
        <w:t>,</w:t>
      </w:r>
      <w:r w:rsidRPr="008F510E">
        <w:t xml:space="preserve"> </w:t>
      </w:r>
      <w:r>
        <w:t xml:space="preserve">a previous study in an </w:t>
      </w:r>
      <w:r w:rsidRPr="008F510E">
        <w:t>overlapping Sheffield</w:t>
      </w:r>
      <w:r>
        <w:t xml:space="preserve"> FNSD </w:t>
      </w:r>
      <w:r w:rsidRPr="008F510E">
        <w:t>psychotherapy cohort found</w:t>
      </w:r>
      <w:r>
        <w:t xml:space="preserve"> significantly</w:t>
      </w:r>
      <w:r w:rsidRPr="008F510E">
        <w:t xml:space="preserve"> high levels of symptoms of </w:t>
      </w:r>
      <w:r>
        <w:t>post-traumatic stress</w:t>
      </w:r>
      <w:r w:rsidRPr="008F510E">
        <w:t>, depression and anxiety</w:t>
      </w:r>
      <w:r>
        <w:t xml:space="preserve"> </w:t>
      </w:r>
      <w:sdt>
        <w:sdtPr>
          <w:rPr>
            <w:color w:val="000000"/>
          </w:rPr>
          <w:tag w:val="MENDELEY_CITATION_v3_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"/>
          <w:id w:val="-52153723"/>
          <w:placeholder>
            <w:docPart w:val="FF4820B32E5F2641AB6C618C6B62ABC2"/>
          </w:placeholder>
        </w:sdtPr>
        <w:sdtContent>
          <w:r w:rsidR="0047170A" w:rsidRPr="0047170A">
            <w:rPr>
              <w:color w:val="000000"/>
            </w:rPr>
            <w:t>(Gray et al., 2020)</w:t>
          </w:r>
        </w:sdtContent>
      </w:sdt>
    </w:p>
    <w:p w14:paraId="2AF2BCF1" w14:textId="0AC59633" w:rsidR="00735B9E" w:rsidRDefault="00735B9E" w:rsidP="00433F75">
      <w:r>
        <w:t>Interestingly, this studied patient cohort was not undiagnosed but had received a neurologist-confirmed diagnosis of FNSD, and a proportion would have</w:t>
      </w:r>
      <w:r w:rsidR="00251F83">
        <w:t xml:space="preserve"> been</w:t>
      </w:r>
      <w:r>
        <w:t xml:space="preserve"> receiv</w:t>
      </w:r>
      <w:r w:rsidR="00251F83">
        <w:t>ing</w:t>
      </w:r>
      <w:r>
        <w:t xml:space="preserve"> or received specialist psychotherapy. While high </w:t>
      </w:r>
      <w:r w:rsidRPr="0067032C">
        <w:t>rates of UEC use are unsurprising in an individual with undiagnosed FNSD, sustained high rates of utilisation after diagnoses</w:t>
      </w:r>
      <w:r>
        <w:t xml:space="preserve"> have been reported elsewhere </w:t>
      </w:r>
      <w:sdt>
        <w:sdtPr>
          <w:rPr>
            <w:color w:val="000000"/>
          </w:rPr>
          <w:tag w:val="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"/>
          <w:id w:val="-1235387387"/>
          <w:placeholder>
            <w:docPart w:val="FF4820B32E5F2641AB6C618C6B62ABC2"/>
          </w:placeholder>
        </w:sdtPr>
        <w:sdtContent>
          <w:r w:rsidR="0047170A" w:rsidRPr="0047170A">
            <w:rPr>
              <w:color w:val="000000"/>
            </w:rPr>
            <w:t xml:space="preserve">(Barsky et al., 2005; </w:t>
          </w:r>
          <w:proofErr w:type="spellStart"/>
          <w:r w:rsidR="0047170A" w:rsidRPr="0047170A">
            <w:rPr>
              <w:color w:val="000000"/>
            </w:rPr>
            <w:t>Merkler</w:t>
          </w:r>
          <w:proofErr w:type="spellEnd"/>
          <w:r w:rsidR="0047170A" w:rsidRPr="0047170A">
            <w:rPr>
              <w:color w:val="000000"/>
            </w:rPr>
            <w:t xml:space="preserve"> et al., 2016)</w:t>
          </w:r>
        </w:sdtContent>
      </w:sdt>
      <w:r>
        <w:t xml:space="preserve">. </w:t>
      </w:r>
      <w:r>
        <w:lastRenderedPageBreak/>
        <w:t>Given the above factors, t</w:t>
      </w:r>
      <w:r w:rsidRPr="00433F75">
        <w:t xml:space="preserve">he high usage of emergency services </w:t>
      </w:r>
      <w:r>
        <w:t xml:space="preserve">in this cohort </w:t>
      </w:r>
      <w:r w:rsidRPr="00433F75">
        <w:t xml:space="preserve">suggests that </w:t>
      </w:r>
      <w:r>
        <w:t>other healthcare service providers might have better helped a proportion of these contacts.</w:t>
      </w:r>
    </w:p>
    <w:p w14:paraId="3D472FD6" w14:textId="77777777" w:rsidR="00735B9E" w:rsidRDefault="00735B9E" w:rsidP="00DA10A0">
      <w:pPr>
        <w:pStyle w:val="Heading3"/>
      </w:pPr>
      <w:bookmarkStart w:id="143" w:name="_Toc137504757"/>
      <w:r>
        <w:t>4.4.3 Treatment-related Rate Changes</w:t>
      </w:r>
      <w:bookmarkEnd w:id="143"/>
    </w:p>
    <w:p w14:paraId="6F02E6C0" w14:textId="77777777" w:rsidR="00735B9E" w:rsidRDefault="00735B9E" w:rsidP="003F5089">
      <w:pPr>
        <w:rPr>
          <w:rFonts w:ascii="Helvetica Neue" w:eastAsiaTheme="minorHAnsi" w:hAnsi="Helvetica Neue" w:cs="Helvetica Neue"/>
          <w:color w:val="3F3F3F"/>
          <w:sz w:val="26"/>
          <w:szCs w:val="26"/>
          <w14:ligatures w14:val="standardContextual"/>
        </w:rPr>
      </w:pPr>
      <w:r>
        <w:t>Our segmented Negative Binomial (NB) regression, which was modelled using rates within a smaller timeframe of 3 months, uncovered patterns of emergency service utilisation before and after therapy in the patient group.</w:t>
      </w:r>
      <w:r>
        <w:rPr>
          <w:color w:val="000000"/>
        </w:rPr>
        <w:t xml:space="preserve"> </w:t>
      </w:r>
      <w:r>
        <w:t xml:space="preserve">Upon completion of psychotherapy, a statistically significant adverse change in the level of use in A&amp;E, APC, and AMB services suggests that the therapy leads to an immediate reduction in the use of these emergency services. The absence of a significant association between the length of time after treatment and change in rates of use, however, indicates that following the immediate impact of the therapy, the effects are not strengthened nor weakened significantly over time. It is worth noting that at this reduced level post-therapy, there is a slight upward </w:t>
      </w:r>
      <w:r w:rsidRPr="003F5089">
        <w:t>trend in quarterly rate changes, similar to the pre-therapy period, across all of the</w:t>
      </w:r>
      <w:r>
        <w:t xml:space="preserve"> UEC health services. This implies </w:t>
      </w:r>
      <w:r w:rsidRPr="003F5089">
        <w:t xml:space="preserve">psychotherapy may not entirely resolve </w:t>
      </w:r>
      <w:r>
        <w:t xml:space="preserve">patients' </w:t>
      </w:r>
      <w:r w:rsidRPr="003F5089">
        <w:t>issue</w:t>
      </w:r>
      <w:r>
        <w:t xml:space="preserve">s leading to UEC care use. </w:t>
      </w:r>
      <w:r w:rsidRPr="003F5089">
        <w:t xml:space="preserve">It suggests that supplementary or alternative strategies might be necessary to maintain the </w:t>
      </w:r>
      <w:r>
        <w:t xml:space="preserve">initial </w:t>
      </w:r>
      <w:r w:rsidRPr="003F5089">
        <w:t>reductions in emergency service usage that could be associated with psychotherapy.</w:t>
      </w:r>
      <w:r>
        <w:rPr>
          <w:rFonts w:ascii="Segoe UI" w:hAnsi="Segoe UI" w:cs="Segoe UI"/>
          <w:color w:val="374151"/>
          <w:shd w:val="clear" w:color="auto" w:fill="F7F7F8"/>
        </w:rPr>
        <w:t xml:space="preserve"> </w:t>
      </w:r>
    </w:p>
    <w:p w14:paraId="5D5B54ED" w14:textId="77777777" w:rsidR="00735B9E" w:rsidRDefault="00735B9E" w:rsidP="00A0059F">
      <w:r w:rsidRPr="003F5089">
        <w:t>T</w:t>
      </w:r>
      <w:r w:rsidRPr="00A0059F">
        <w:t>he pattern observed in the quarterly rates</w:t>
      </w:r>
      <w:r>
        <w:t xml:space="preserve"> (by point in the time series)</w:t>
      </w:r>
      <w:r w:rsidRPr="00A0059F">
        <w:t xml:space="preserve"> could suggest </w:t>
      </w:r>
      <w:r>
        <w:t>that the increases</w:t>
      </w:r>
      <w:r w:rsidRPr="003F5089">
        <w:t xml:space="preserve"> in usage </w:t>
      </w:r>
      <w:r>
        <w:t xml:space="preserve">in the three months </w:t>
      </w:r>
      <w:r w:rsidRPr="003F5089">
        <w:t xml:space="preserve">before </w:t>
      </w:r>
      <w:r>
        <w:t xml:space="preserve">and after individual patients' </w:t>
      </w:r>
      <w:r w:rsidRPr="003F5089">
        <w:t>therapy were not therapy-related but simpl</w:t>
      </w:r>
      <w:r>
        <w:t>y</w:t>
      </w:r>
      <w:r w:rsidRPr="003F5089">
        <w:t xml:space="preserve"> a regression to the mean of service use </w:t>
      </w:r>
      <w:r>
        <w:t xml:space="preserve">rates </w:t>
      </w:r>
      <w:r w:rsidRPr="003F5089">
        <w:t>over a longer time.</w:t>
      </w:r>
      <w:r>
        <w:t xml:space="preserve"> Alternatively, the status o</w:t>
      </w:r>
      <w:r w:rsidRPr="003F5089">
        <w:t>f</w:t>
      </w:r>
      <w:r>
        <w:t xml:space="preserve"> awaiting therapy after</w:t>
      </w:r>
      <w:r w:rsidRPr="003F5089">
        <w:t xml:space="preserve"> </w:t>
      </w:r>
      <w:r>
        <w:t>being</w:t>
      </w:r>
      <w:r w:rsidRPr="003F5089">
        <w:t xml:space="preserve"> assessed by a psychotherapist could have increased </w:t>
      </w:r>
      <w:r>
        <w:t>patients'</w:t>
      </w:r>
      <w:r w:rsidRPr="003F5089">
        <w:t xml:space="preserve"> need for emergency service input</w:t>
      </w:r>
      <w:r>
        <w:t xml:space="preserve"> prior to therapy start</w:t>
      </w:r>
      <w:r w:rsidRPr="003F5089">
        <w:t>.</w:t>
      </w:r>
      <w:r>
        <w:t xml:space="preserve"> While after therapy, the spike in rates could suggest </w:t>
      </w:r>
      <w:r w:rsidRPr="00A0059F">
        <w:t>an adaptation phase</w:t>
      </w:r>
      <w:r>
        <w:t xml:space="preserve"> to the treatment. This could include </w:t>
      </w:r>
      <w:r w:rsidRPr="00A0059F">
        <w:t>increased confidence or motivation in patients to seek help, or conversely, it may result from the withdrawal of routine support that therapy sessions provided, leading patients to revert to their initial response mechanisms.</w:t>
      </w:r>
      <w:r>
        <w:t xml:space="preserve"> </w:t>
      </w:r>
      <w:r w:rsidRPr="00A0059F">
        <w:t xml:space="preserve">Over </w:t>
      </w:r>
      <w:r>
        <w:t>several quarters</w:t>
      </w:r>
      <w:r w:rsidRPr="00A0059F">
        <w:t xml:space="preserve">, this increased use appears </w:t>
      </w:r>
      <w:r>
        <w:t xml:space="preserve">to </w:t>
      </w:r>
      <w:r w:rsidRPr="00A0059F">
        <w:t>subside</w:t>
      </w:r>
      <w:r>
        <w:t xml:space="preserve"> before increasing again</w:t>
      </w:r>
      <w:r w:rsidRPr="00A0059F">
        <w:t>, potentially reflecting the successful application and integration of therapeutic strategies learned during therapy sessions.</w:t>
      </w:r>
      <w:r>
        <w:t xml:space="preserve"> A prospective study will be required to elucidate these patterns over time. </w:t>
      </w:r>
    </w:p>
    <w:p w14:paraId="13D5E7A2" w14:textId="047FB1FC" w:rsidR="00735B9E" w:rsidRDefault="00735B9E" w:rsidP="00A0059F">
      <w:r>
        <w:lastRenderedPageBreak/>
        <w:t xml:space="preserve">The slight negative trend in the rate of 111 calls before the intervention could be interpreted as a marginal decrease in call rates over time, albeit statistically non-significant. This is interesting because it is inconsistent with the observed A&amp;E, AMB and APC trends. </w:t>
      </w:r>
      <w:r w:rsidRPr="00C23359">
        <w:t xml:space="preserve">This also contrasts with findings </w:t>
      </w:r>
      <w:r>
        <w:t>of</w:t>
      </w:r>
      <w:r w:rsidRPr="00C23359">
        <w:t xml:space="preserve"> another study of NHS 111 calls using the same CUREd database in South</w:t>
      </w:r>
      <w:r>
        <w:t xml:space="preserve"> Yorkshire, though they report findings from a later time frame between January 2018 and July 2019 and in the general population. This analysis found an increasing trend of NHS 111 calls within 18 months </w:t>
      </w:r>
      <w:sdt>
        <w:sdtPr>
          <w:rPr>
            <w:color w:val="000000"/>
          </w:rPr>
          <w:tag w:val="MENDELEY_CITATION_v3_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"/>
          <w:id w:val="309979908"/>
          <w:placeholder>
            <w:docPart w:val="8DD93A68769F4D43BD724334696CE810"/>
          </w:placeholder>
        </w:sdtPr>
        <w:sdtContent>
          <w:r w:rsidR="0047170A" w:rsidRPr="0047170A">
            <w:rPr>
              <w:color w:val="000000"/>
            </w:rPr>
            <w:t>(Turner et al., 2021)</w:t>
          </w:r>
        </w:sdtContent>
      </w:sdt>
      <w:r>
        <w:rPr>
          <w:color w:val="000000"/>
        </w:rPr>
        <w:t>. This difference may point to the different interactions of different clinical groups with NHS 111 services.</w:t>
      </w:r>
    </w:p>
    <w:p w14:paraId="1023FC09" w14:textId="77777777" w:rsidR="00735B9E" w:rsidRDefault="00735B9E" w:rsidP="00EA2E60">
      <w:r w:rsidRPr="00EA2E60">
        <w:t xml:space="preserve">Considering the centred intervention </w:t>
      </w:r>
      <w:r>
        <w:t>within the</w:t>
      </w:r>
      <w:r w:rsidRPr="00EA2E60">
        <w:t xml:space="preserve"> time series</w:t>
      </w:r>
      <w:r>
        <w:t xml:space="preserve"> and</w:t>
      </w:r>
      <w:r w:rsidRPr="00EA2E60">
        <w:t xml:space="preserve"> the variable lengths of therapy for patients, it is unlikely that this observed effect can be attributed to external </w:t>
      </w:r>
      <w:r>
        <w:t xml:space="preserve">real-time </w:t>
      </w:r>
      <w:r w:rsidRPr="00EA2E60">
        <w:t>factors</w:t>
      </w:r>
      <w:r>
        <w:t xml:space="preserve"> or policy changes</w:t>
      </w:r>
      <w:r w:rsidRPr="00EA2E60">
        <w:t>, such as seasonal weather changes.</w:t>
      </w:r>
      <w:r>
        <w:t xml:space="preserve"> This </w:t>
      </w:r>
      <w:r w:rsidRPr="00EA2E60">
        <w:t>periodic pattern</w:t>
      </w:r>
      <w:r>
        <w:t xml:space="preserve"> was </w:t>
      </w:r>
      <w:r w:rsidRPr="00EA2E60">
        <w:t>consisten</w:t>
      </w:r>
      <w:r>
        <w:t>t</w:t>
      </w:r>
      <w:r w:rsidRPr="00EA2E60">
        <w:t xml:space="preserve"> across</w:t>
      </w:r>
      <w:r>
        <w:t xml:space="preserve"> the</w:t>
      </w:r>
      <w:r w:rsidRPr="00EA2E60">
        <w:t xml:space="preserve"> different UEC services</w:t>
      </w:r>
      <w:r>
        <w:t xml:space="preserve"> and captured within the 1.5 years observed in this study – this </w:t>
      </w:r>
      <w:r w:rsidRPr="00EA2E60">
        <w:t xml:space="preserve">might suggest it is tied more closely to factors related to </w:t>
      </w:r>
      <w:r>
        <w:t>illness management or a treatment effect. Furthermore, this</w:t>
      </w:r>
      <w:r w:rsidRPr="00EA2E60">
        <w:t xml:space="preserve"> analysis was conducted using aggregate </w:t>
      </w:r>
      <w:r>
        <w:t xml:space="preserve">counts </w:t>
      </w:r>
      <w:r w:rsidRPr="00EA2E60">
        <w:t xml:space="preserve">for each period rather than </w:t>
      </w:r>
      <w:r>
        <w:t xml:space="preserve">on an </w:t>
      </w:r>
      <w:r w:rsidRPr="00EA2E60">
        <w:t>individual pre-post controlled basis, which might affect the precision of these findings</w:t>
      </w:r>
      <w:r>
        <w:t xml:space="preserve">. </w:t>
      </w:r>
      <w:r w:rsidRPr="002C289A">
        <w:t>Another reason for caution is</w:t>
      </w:r>
      <w:r>
        <w:t xml:space="preserve"> the</w:t>
      </w:r>
      <w:r w:rsidRPr="002C289A">
        <w:t xml:space="preserve"> lack of access to routine </w:t>
      </w:r>
      <w:r>
        <w:t>or</w:t>
      </w:r>
      <w:r w:rsidRPr="002C289A">
        <w:t xml:space="preserve"> pre-planned healthcare utilisation</w:t>
      </w:r>
      <w:r>
        <w:t xml:space="preserve"> as</w:t>
      </w:r>
      <w:r w:rsidRPr="002C289A">
        <w:t xml:space="preserve"> primary or secondary care.</w:t>
      </w:r>
      <w:r>
        <w:t xml:space="preserve"> There is a possibility that there was little change in overall healthcare usage, and the only difference would have been whether care was provided routinely or in an emergency</w:t>
      </w:r>
      <w:r w:rsidRPr="002C289A">
        <w:t>.</w:t>
      </w:r>
    </w:p>
    <w:p w14:paraId="4F889200" w14:textId="13C1DDCF" w:rsidR="00735B9E" w:rsidRDefault="00735B9E" w:rsidP="00EA2E60">
      <w:r>
        <w:t xml:space="preserve">The time window for observation and the FNSD UEC cohort sample size limited the ability to run more rigorous time series analyses such as ARIMA modelling. </w:t>
      </w:r>
      <w:r w:rsidR="00251F83" w:rsidRPr="00251F83">
        <w:rPr>
          <w:color w:val="FF0000"/>
        </w:rPr>
        <w:t>This</w:t>
      </w:r>
      <w:r w:rsidRPr="00251F83">
        <w:rPr>
          <w:color w:val="FF0000"/>
        </w:rPr>
        <w:t xml:space="preserve"> </w:t>
      </w:r>
      <w:r w:rsidRPr="00C23359">
        <w:t xml:space="preserve">method </w:t>
      </w:r>
      <w:r w:rsidR="00251F83" w:rsidRPr="00251F83">
        <w:rPr>
          <w:color w:val="FF0000"/>
        </w:rPr>
        <w:t>is</w:t>
      </w:r>
      <w:r w:rsidR="00251F83">
        <w:t xml:space="preserve"> </w:t>
      </w:r>
      <w:r w:rsidRPr="00C23359">
        <w:t>capable of handling different patterns, such as linear or non-linear trends, consistent or fluctuating volatility, and seasonal or non-seasonal fluctuations</w:t>
      </w:r>
      <w:r>
        <w:t xml:space="preserve"> in a time series</w:t>
      </w:r>
      <w:r w:rsidRPr="00C23359">
        <w:t xml:space="preserve"> </w:t>
      </w:r>
      <w:sdt>
        <w:sdtPr>
          <w:rPr>
            <w:color w:val="000000"/>
          </w:rPr>
          <w:tag w:val="MENDELEY_CITATION_v3_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"/>
          <w:id w:val="-320729887"/>
          <w:placeholder>
            <w:docPart w:val="FF4820B32E5F2641AB6C618C6B62ABC2"/>
          </w:placeholder>
        </w:sdtPr>
        <w:sdtContent>
          <w:r w:rsidR="0047170A" w:rsidRPr="0047170A">
            <w:rPr>
              <w:color w:val="000000"/>
            </w:rPr>
            <w:t>(Schaffer et al., 2021)</w:t>
          </w:r>
        </w:sdtContent>
      </w:sdt>
      <w:r w:rsidRPr="00C23359">
        <w:t>.</w:t>
      </w:r>
      <w:r>
        <w:t xml:space="preserve"> Nonetheless, this study indicates that therapy could have an initial impact in reducing the utilisation of emergency services in patients with FNSD. However, its long-term effects might not be as potent or linear and fluctuate over time. It is therefore important to continue investigating how specialised and individualised psychotherapy can affect healthcare utilisation in FNSD and refine the measures that can capture those changes. The distinct pattern in 111 call rates before and after therapy also invites further exploration of how different types of UEC health services are perceived and utilised by patients with FNSD.</w:t>
      </w:r>
    </w:p>
    <w:p w14:paraId="4555F4B3" w14:textId="2E7F2369" w:rsidR="00735B9E" w:rsidRPr="009F5DD5" w:rsidRDefault="00735B9E" w:rsidP="009F5DD5">
      <w:r w:rsidRPr="00472F11">
        <w:lastRenderedPageBreak/>
        <w:t xml:space="preserve">The Royal College of Emergency Medicine and NHS England 2017 urged measures to </w:t>
      </w:r>
      <w:r>
        <w:t xml:space="preserve">improve </w:t>
      </w:r>
      <w:r w:rsidRPr="00472F11">
        <w:t xml:space="preserve">integrated services for HIUs, aimed at reducing </w:t>
      </w:r>
      <w:r>
        <w:t xml:space="preserve">patients' </w:t>
      </w:r>
      <w:r w:rsidRPr="00472F11">
        <w:t xml:space="preserve">future emergency department visits </w:t>
      </w:r>
      <w:sdt>
        <w:sdtPr>
          <w:rPr>
            <w:color w:val="000000"/>
          </w:rPr>
          <w:tag w:val="MENDELEY_CITATION_v3_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"/>
          <w:id w:val="1245301638"/>
          <w:placeholder>
            <w:docPart w:val="FF4820B32E5F2641AB6C618C6B62ABC2"/>
          </w:placeholder>
        </w:sdtPr>
        <w:sdtContent>
          <w:r w:rsidR="0047170A" w:rsidRPr="0047170A">
            <w:rPr>
              <w:color w:val="000000"/>
            </w:rPr>
            <w:t>(Royal College of Emergency Medicine, 2017)</w:t>
          </w:r>
        </w:sdtContent>
      </w:sdt>
      <w:r w:rsidRPr="00472F11">
        <w:t>.</w:t>
      </w:r>
      <w:r>
        <w:t xml:space="preserve"> </w:t>
      </w:r>
      <w:r w:rsidRPr="00472F11">
        <w:t xml:space="preserve">More recently, NHS England announced plans to augment the </w:t>
      </w:r>
      <w:r>
        <w:t>services for</w:t>
      </w:r>
      <w:r w:rsidRPr="00472F11">
        <w:t xml:space="preserve"> high-intensity user</w:t>
      </w:r>
      <w:r>
        <w:t xml:space="preserve">s </w:t>
      </w:r>
      <w:sdt>
        <w:sdtPr>
          <w:rPr>
            <w:color w:val="000000"/>
          </w:rPr>
          <w:tag w:val="MENDELEY_CITATION_v3_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"/>
          <w:id w:val="-273246627"/>
          <w:placeholder>
            <w:docPart w:val="FF4820B32E5F2641AB6C618C6B62ABC2"/>
          </w:placeholder>
        </w:sdtPr>
        <w:sdtContent>
          <w:r w:rsidR="0047170A" w:rsidRPr="0047170A">
            <w:rPr>
              <w:color w:val="000000"/>
            </w:rPr>
            <w:t>(NHS England » High-Intensity Use Programme, n.d.; NHS England » Next Steps in Increasing Capacity and Operational Resilience in Urgent and Emergency Care Ahead of Winter, n.d.)</w:t>
          </w:r>
        </w:sdtContent>
      </w:sdt>
      <w:r>
        <w:t xml:space="preserve">. </w:t>
      </w:r>
      <w:r w:rsidRPr="00472F11">
        <w:t xml:space="preserve">Strategies, such as personalised care plans, have been recommended for these patients, with </w:t>
      </w:r>
      <w:r>
        <w:t xml:space="preserve">the </w:t>
      </w:r>
      <w:r w:rsidRPr="00472F11">
        <w:t xml:space="preserve">potential </w:t>
      </w:r>
      <w:r>
        <w:t>benefit</w:t>
      </w:r>
      <w:r w:rsidRPr="00472F11">
        <w:t xml:space="preserve"> of decreasing </w:t>
      </w:r>
      <w:r>
        <w:t xml:space="preserve">the </w:t>
      </w:r>
      <w:r w:rsidRPr="00472F11">
        <w:t>use of UEC and hospital admissions</w:t>
      </w:r>
      <w:r>
        <w:t xml:space="preserve"> </w:t>
      </w:r>
      <w:sdt>
        <w:sdtPr>
          <w:rPr>
            <w:color w:val="000000"/>
          </w:rPr>
          <w:tag w:val="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"/>
          <w:id w:val="-1693525982"/>
          <w:placeholder>
            <w:docPart w:val="FF4820B32E5F2641AB6C618C6B62ABC2"/>
          </w:placeholder>
        </w:sdtPr>
        <w:sdtContent>
          <w:r w:rsidR="0047170A" w:rsidRPr="0047170A">
            <w:rPr>
              <w:color w:val="000000"/>
            </w:rPr>
            <w:t>(</w:t>
          </w:r>
          <w:proofErr w:type="spellStart"/>
          <w:r w:rsidR="0047170A" w:rsidRPr="0047170A">
            <w:rPr>
              <w:color w:val="000000"/>
            </w:rPr>
            <w:t>Hudon</w:t>
          </w:r>
          <w:proofErr w:type="spellEnd"/>
          <w:r w:rsidR="0047170A" w:rsidRPr="0047170A">
            <w:rPr>
              <w:color w:val="000000"/>
            </w:rPr>
            <w:t xml:space="preserve"> et al., 2016; Lloyd-Rees, 2018; Moe et al., 2017; Newton et al., 2011; </w:t>
          </w:r>
          <w:proofErr w:type="spellStart"/>
          <w:r w:rsidR="0047170A" w:rsidRPr="0047170A">
            <w:rPr>
              <w:color w:val="000000"/>
            </w:rPr>
            <w:t>Soril</w:t>
          </w:r>
          <w:proofErr w:type="spellEnd"/>
          <w:r w:rsidR="0047170A" w:rsidRPr="0047170A">
            <w:rPr>
              <w:color w:val="000000"/>
            </w:rPr>
            <w:t xml:space="preserve"> et al., 2015)</w:t>
          </w:r>
        </w:sdtContent>
      </w:sdt>
      <w:r w:rsidRPr="00472F11">
        <w:t>.</w:t>
      </w:r>
      <w:r>
        <w:t xml:space="preserve"> However, despite the </w:t>
      </w:r>
      <w:r w:rsidRPr="00472F11">
        <w:t>consensu</w:t>
      </w:r>
      <w:r>
        <w:t>s</w:t>
      </w:r>
      <w:r w:rsidRPr="00472F11">
        <w:t xml:space="preserve"> on the importance of enhancing </w:t>
      </w:r>
      <w:r>
        <w:t xml:space="preserve">the management of </w:t>
      </w:r>
      <w:r w:rsidRPr="00472F11">
        <w:t xml:space="preserve">HIU, service improvements </w:t>
      </w:r>
      <w:r>
        <w:t>will likely</w:t>
      </w:r>
      <w:r w:rsidRPr="00472F11">
        <w:t xml:space="preserve"> depend on </w:t>
      </w:r>
      <w:r>
        <w:t xml:space="preserve">the efforts of </w:t>
      </w:r>
      <w:r w:rsidRPr="00472F11">
        <w:t xml:space="preserve">local clinicians </w:t>
      </w:r>
      <w:r>
        <w:t xml:space="preserve">and services </w:t>
      </w:r>
      <w:r w:rsidRPr="00472F11">
        <w:t>to modify work practices.</w:t>
      </w:r>
      <w:r>
        <w:t xml:space="preserve"> </w:t>
      </w:r>
      <w:r w:rsidRPr="000D4AC7">
        <w:t xml:space="preserve">The development of </w:t>
      </w:r>
      <w:r>
        <w:t xml:space="preserve">accessible, specialised services with </w:t>
      </w:r>
      <w:r w:rsidRPr="000D4AC7">
        <w:t xml:space="preserve">interdisciplinary </w:t>
      </w:r>
      <w:r>
        <w:t>input,</w:t>
      </w:r>
      <w:r w:rsidRPr="000D4AC7">
        <w:t xml:space="preserve"> incorporating neurologists, psychiatrists, psychologists, physical therapists, and other </w:t>
      </w:r>
      <w:r>
        <w:t>clinicians</w:t>
      </w:r>
      <w:r w:rsidRPr="000D4AC7">
        <w:t xml:space="preserve">, </w:t>
      </w:r>
      <w:r>
        <w:t>may be</w:t>
      </w:r>
      <w:r w:rsidRPr="000D4AC7">
        <w:t xml:space="preserve"> essential for improving patient outcomes</w:t>
      </w:r>
      <w:r>
        <w:t>,</w:t>
      </w:r>
      <w:r w:rsidRPr="000D4AC7">
        <w:t xml:space="preserve"> reducing emergency service utili</w:t>
      </w:r>
      <w:r>
        <w:t>s</w:t>
      </w:r>
      <w:r w:rsidRPr="000D4AC7">
        <w:t>ation</w:t>
      </w:r>
      <w:r>
        <w:t xml:space="preserve"> and the financial burden these cause to healthcare services</w:t>
      </w:r>
      <w:r w:rsidRPr="000D4AC7">
        <w:t xml:space="preserve"> </w:t>
      </w:r>
      <w:sdt>
        <w:sdtPr>
          <w:rPr>
            <w:color w:val="000000"/>
          </w:rPr>
          <w:tag w:val="MENDELEY_CITATION_v3_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"/>
          <w:id w:val="1722395457"/>
          <w:placeholder>
            <w:docPart w:val="60B87CFE71460B43B96E7D6CD8BC4E99"/>
          </w:placeholder>
        </w:sdtPr>
        <w:sdtContent>
          <w:r w:rsidR="0047170A" w:rsidRPr="0047170A">
            <w:rPr>
              <w:color w:val="000000"/>
            </w:rPr>
            <w:t xml:space="preserve">(A. Carson et al., 2011; </w:t>
          </w:r>
          <w:proofErr w:type="spellStart"/>
          <w:r w:rsidR="0047170A" w:rsidRPr="0047170A">
            <w:rPr>
              <w:color w:val="000000"/>
            </w:rPr>
            <w:t>Gelauff</w:t>
          </w:r>
          <w:proofErr w:type="spellEnd"/>
          <w:r w:rsidR="0047170A" w:rsidRPr="0047170A">
            <w:rPr>
              <w:color w:val="000000"/>
            </w:rPr>
            <w:t xml:space="preserve"> et al., 2014)</w:t>
          </w:r>
        </w:sdtContent>
      </w:sdt>
      <w:r w:rsidRPr="004631AD">
        <w:rPr>
          <w:color w:val="000000"/>
        </w:rPr>
        <w:t>.</w:t>
      </w:r>
      <w:r>
        <w:rPr>
          <w:color w:val="000000"/>
        </w:rPr>
        <w:t xml:space="preserve"> In the first instance, </w:t>
      </w:r>
      <w:r w:rsidRPr="003F5089">
        <w:rPr>
          <w:color w:val="000000"/>
        </w:rPr>
        <w:t>implementation of the recently published optimal FNSD pathway, designed by the National Neurosciences Advisory Group (NNAG)</w:t>
      </w:r>
      <w:r>
        <w:rPr>
          <w:color w:val="000000"/>
        </w:rPr>
        <w:t>,</w:t>
      </w:r>
      <w:r w:rsidRPr="003F5089">
        <w:rPr>
          <w:color w:val="000000"/>
        </w:rPr>
        <w:t xml:space="preserve"> would be </w:t>
      </w:r>
      <w:r>
        <w:rPr>
          <w:color w:val="000000"/>
        </w:rPr>
        <w:t>helpful</w:t>
      </w:r>
      <w:r w:rsidRPr="003F5089">
        <w:rPr>
          <w:color w:val="000000"/>
        </w:rPr>
        <w:t xml:space="preserve"> to address this by directing the organisation of care</w:t>
      </w:r>
      <w:r>
        <w:rPr>
          <w:color w:val="000000"/>
        </w:rPr>
        <w:t xml:space="preserve"> </w:t>
      </w:r>
      <w:sdt>
        <w:sdtPr>
          <w:rPr>
            <w:color w:val="000000"/>
          </w:rPr>
          <w:tag w:val="MENDELEY_CITATION_v3_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"/>
          <w:id w:val="1678852246"/>
          <w:placeholder>
            <w:docPart w:val="FF4820B32E5F2641AB6C618C6B62ABC2"/>
          </w:placeholder>
        </w:sdtPr>
        <w:sdtContent>
          <w:r w:rsidR="0047170A">
            <w:rPr>
              <w:rFonts w:eastAsia="Times New Roman"/>
            </w:rPr>
            <w:t>(</w:t>
          </w:r>
          <w:r w:rsidR="0047170A">
            <w:rPr>
              <w:rFonts w:eastAsia="Times New Roman"/>
              <w:i/>
              <w:iCs/>
            </w:rPr>
            <w:t>Optimum Clinical Pathway for Adults: Functional Neurological Disorder National Neurosciences Advisory Group (NNAG)</w:t>
          </w:r>
          <w:r w:rsidR="0047170A">
            <w:rPr>
              <w:rFonts w:eastAsia="Times New Roman"/>
            </w:rPr>
            <w:t>, 2023)</w:t>
          </w:r>
        </w:sdtContent>
      </w:sdt>
      <w:r w:rsidRPr="003F5089">
        <w:rPr>
          <w:color w:val="000000"/>
        </w:rPr>
        <w:t>.</w:t>
      </w:r>
    </w:p>
    <w:p w14:paraId="0D9943AF" w14:textId="77777777" w:rsidR="00735B9E" w:rsidRDefault="00735B9E" w:rsidP="006866B1">
      <w:pPr>
        <w:pStyle w:val="Heading3"/>
      </w:pPr>
      <w:bookmarkStart w:id="144" w:name="_Toc137504758"/>
      <w:r>
        <w:t>4.4.4. Features of FNSD UEC utilisation</w:t>
      </w:r>
      <w:bookmarkEnd w:id="144"/>
    </w:p>
    <w:p w14:paraId="4BC63D15" w14:textId="77777777" w:rsidR="00735B9E" w:rsidRPr="006866B1" w:rsidRDefault="00735B9E" w:rsidP="006866B1">
      <w:r>
        <w:t xml:space="preserve">Analysis of several features of use and patient flow in UEC health services may shed light on treatment-related changes and health behaviours of the patients. </w:t>
      </w:r>
    </w:p>
    <w:p w14:paraId="0F22246D" w14:textId="2813AF88" w:rsidR="00735B9E" w:rsidRPr="00AE7BE6" w:rsidRDefault="00735B9E" w:rsidP="00AE7BE6">
      <w:r>
        <w:t xml:space="preserve">The likelihood of needing a call-back reduced significantly after therapy, potentially indicating a decrease in the severity or complexity of the calls made. It could be postulated that therapeutic intervention beneficially impacted patients' ability to manage their non-emergency symptoms and health conditions more effectively, thereby reducing the need for follow-up interactions with emergency services. However, </w:t>
      </w:r>
      <w:r w:rsidRPr="00714CFE">
        <w:t>the data</w:t>
      </w:r>
      <w:r>
        <w:t xml:space="preserve"> also</w:t>
      </w:r>
      <w:r w:rsidRPr="00714CFE">
        <w:t xml:space="preserve"> indicate</w:t>
      </w:r>
      <w:r>
        <w:t>d</w:t>
      </w:r>
      <w:r w:rsidRPr="00714CFE">
        <w:t xml:space="preserve"> that the specific actions recommended after emergency service interactions (such as attending A&amp;E, calling an ambulance, seeking primary care, or managing the situation through self-care) did not show statistically significant changes after therapy</w:t>
      </w:r>
      <w:r>
        <w:t xml:space="preserve">. Similarly, the odds of ambulance callouts </w:t>
      </w:r>
      <w:r>
        <w:lastRenderedPageBreak/>
        <w:t xml:space="preserve">classified as 'high urgency' were not significantly different after therapy. This could suggest that </w:t>
      </w:r>
      <w:r w:rsidRPr="00714CFE">
        <w:t xml:space="preserve">therapy </w:t>
      </w:r>
      <w:r w:rsidRPr="00AE7BE6">
        <w:t>may have influenced some aspects of emergency service interactions, aid</w:t>
      </w:r>
      <w:r>
        <w:t>ed</w:t>
      </w:r>
      <w:r w:rsidRPr="00AE7BE6">
        <w:t xml:space="preserve"> in </w:t>
      </w:r>
      <w:r>
        <w:t>managing</w:t>
      </w:r>
      <w:r w:rsidRPr="00AE7BE6">
        <w:t xml:space="preserve"> particular</w:t>
      </w:r>
      <w:r>
        <w:t xml:space="preserve"> symptoms</w:t>
      </w:r>
      <w:r w:rsidRPr="00AE7BE6">
        <w:t xml:space="preserve"> (e.g. those with less severe presentations) and reduce</w:t>
      </w:r>
      <w:r>
        <w:t>d</w:t>
      </w:r>
      <w:r w:rsidRPr="00AE7BE6">
        <w:t xml:space="preserve"> follow-up interactions</w:t>
      </w:r>
      <w:r>
        <w:t xml:space="preserve">. It has been previously demonstrated that </w:t>
      </w:r>
      <w:r w:rsidRPr="0090342A">
        <w:t>most patients with dissociative seizures treated in Sheffield experience a significant seizure reduction</w:t>
      </w:r>
      <w:r>
        <w:t xml:space="preserve"> </w:t>
      </w:r>
      <w:sdt>
        <w:sdtPr>
          <w:rPr>
            <w:color w:val="000000"/>
          </w:rPr>
          <w:tag w:val="MENDELEY_CITATION_v3_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"/>
          <w:id w:val="469335317"/>
          <w:placeholder>
            <w:docPart w:val="FF4820B32E5F2641AB6C618C6B62ABC2"/>
          </w:placeholder>
        </w:sdtPr>
        <w:sdtContent>
          <w:r w:rsidR="0047170A" w:rsidRPr="0047170A">
            <w:rPr>
              <w:color w:val="000000"/>
            </w:rPr>
            <w:t>(Mayor et al., 2010)</w:t>
          </w:r>
        </w:sdtContent>
      </w:sdt>
      <w:r>
        <w:t>. Given that</w:t>
      </w:r>
      <w:r w:rsidRPr="00AE7BE6">
        <w:t xml:space="preserve"> grounding, stabilisation</w:t>
      </w:r>
      <w:r>
        <w:t>,</w:t>
      </w:r>
      <w:r w:rsidRPr="00AE7BE6">
        <w:t xml:space="preserve"> and psychoeducation are agreed integral parts of how the specialist neurology team in Sheffield works with FNSD, this might reflect a positive outcome of this aspect of therapy.</w:t>
      </w:r>
      <w:r>
        <w:t xml:space="preserve"> </w:t>
      </w:r>
      <w:r w:rsidRPr="00AE7BE6">
        <w:t xml:space="preserve">Understanding symptoms and triggers </w:t>
      </w:r>
      <w:r>
        <w:t>are</w:t>
      </w:r>
      <w:r w:rsidRPr="00AE7BE6">
        <w:t xml:space="preserve"> thought to be a significant contributor to coping and improvement and has been shown to improve outcomes of treatment such as functional independence, QOL, </w:t>
      </w:r>
      <w:r>
        <w:t xml:space="preserve">and </w:t>
      </w:r>
      <w:r w:rsidRPr="00AE7BE6">
        <w:t xml:space="preserve">sense of </w:t>
      </w:r>
      <w:r w:rsidRPr="003F5089">
        <w:t xml:space="preserve">control </w:t>
      </w:r>
      <w:sdt>
        <w:sdtPr>
          <w:rPr>
            <w:color w:val="000000"/>
          </w:rPr>
          <w:tag w:val="MENDELEY_CITATION_v3_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"/>
          <w:id w:val="-1354948006"/>
          <w:placeholder>
            <w:docPart w:val="FF4820B32E5F2641AB6C618C6B62ABC2"/>
          </w:placeholder>
        </w:sdtPr>
        <w:sdtContent>
          <w:r w:rsidR="0047170A" w:rsidRPr="0047170A">
            <w:rPr>
              <w:color w:val="000000"/>
            </w:rPr>
            <w:t>(Myers et al., 2021)</w:t>
          </w:r>
        </w:sdtContent>
      </w:sdt>
    </w:p>
    <w:p w14:paraId="2BDC1C40" w14:textId="7F93C70A" w:rsidR="00735B9E" w:rsidRPr="00AE7BE6" w:rsidRDefault="00735B9E" w:rsidP="00AE7BE6">
      <w:r w:rsidRPr="00AE7BE6">
        <w:t>On the other hand</w:t>
      </w:r>
      <w:r>
        <w:t>,</w:t>
      </w:r>
      <w:r w:rsidRPr="00AE7BE6">
        <w:t xml:space="preserve"> several randomised clinical trials have shown that psychological interventions such as specialised CBT, multimodal </w:t>
      </w:r>
      <w:r>
        <w:t>forms of CBT</w:t>
      </w:r>
      <w:r w:rsidRPr="00AE7BE6">
        <w:t xml:space="preserve">, as well as </w:t>
      </w:r>
      <w:r>
        <w:t xml:space="preserve">CBT-oriented </w:t>
      </w:r>
      <w:r w:rsidRPr="00AE7BE6">
        <w:t>self-management and interdisciplinary psychodynamic</w:t>
      </w:r>
      <w:r>
        <w:t>,</w:t>
      </w:r>
      <w:r w:rsidRPr="00AE7BE6">
        <w:t xml:space="preserve"> interpersonal therap</w:t>
      </w:r>
      <w:r>
        <w:t>ies</w:t>
      </w:r>
      <w:r w:rsidRPr="00AE7BE6">
        <w:t xml:space="preserve"> do result in a lower symptom burden, though to </w:t>
      </w:r>
      <w:r>
        <w:t xml:space="preserve">a </w:t>
      </w:r>
      <w:r w:rsidRPr="00AE7BE6">
        <w:t xml:space="preserve">variable degree in the literature and over time </w:t>
      </w:r>
      <w:sdt>
        <w:sdtPr>
          <w:rPr>
            <w:color w:val="000000"/>
          </w:rPr>
          <w:tag w:val="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"/>
          <w:id w:val="-1810691045"/>
          <w:placeholder>
            <w:docPart w:val="FF4820B32E5F2641AB6C618C6B62ABC2"/>
          </w:placeholder>
        </w:sdtPr>
        <w:sdtContent>
          <w:r w:rsidR="0047170A" w:rsidRPr="0047170A">
            <w:rPr>
              <w:color w:val="000000"/>
            </w:rPr>
            <w:t>(</w:t>
          </w:r>
          <w:proofErr w:type="spellStart"/>
          <w:r w:rsidR="0047170A" w:rsidRPr="0047170A">
            <w:rPr>
              <w:color w:val="000000"/>
            </w:rPr>
            <w:t>Dallocchio</w:t>
          </w:r>
          <w:proofErr w:type="spellEnd"/>
          <w:r w:rsidR="0047170A" w:rsidRPr="0047170A">
            <w:rPr>
              <w:color w:val="000000"/>
            </w:rPr>
            <w:t xml:space="preserve"> et al., 2016; Goldstein et al., 2020a; </w:t>
          </w:r>
          <w:proofErr w:type="spellStart"/>
          <w:r w:rsidR="0047170A" w:rsidRPr="0047170A">
            <w:rPr>
              <w:color w:val="000000"/>
            </w:rPr>
            <w:t>Hubschmid</w:t>
          </w:r>
          <w:proofErr w:type="spellEnd"/>
          <w:r w:rsidR="0047170A" w:rsidRPr="0047170A">
            <w:rPr>
              <w:color w:val="000000"/>
            </w:rPr>
            <w:t xml:space="preserve"> et al., 2015; Kroenke, 2007; LaFrance et al., 2014; </w:t>
          </w:r>
          <w:proofErr w:type="spellStart"/>
          <w:r w:rsidR="0047170A" w:rsidRPr="0047170A">
            <w:rPr>
              <w:color w:val="000000"/>
            </w:rPr>
            <w:t>Moene</w:t>
          </w:r>
          <w:proofErr w:type="spellEnd"/>
          <w:r w:rsidR="0047170A" w:rsidRPr="0047170A">
            <w:rPr>
              <w:color w:val="000000"/>
            </w:rPr>
            <w:t xml:space="preserve"> et al., 2002; Sharpe et al., 2011)</w:t>
          </w:r>
        </w:sdtContent>
      </w:sdt>
      <w:r w:rsidRPr="00AE7BE6">
        <w:t>.</w:t>
      </w:r>
      <w:r>
        <w:t xml:space="preserve"> </w:t>
      </w:r>
      <w:r w:rsidRPr="00AE7BE6">
        <w:t xml:space="preserve">Further study to elucidate the nature of complaints leading to continued NHS 111 calls and ambulance </w:t>
      </w:r>
      <w:r>
        <w:t>callouts in</w:t>
      </w:r>
      <w:r w:rsidRPr="00AE7BE6">
        <w:t xml:space="preserve"> these patients, as well as the sense of control and agency these patient</w:t>
      </w:r>
      <w:r>
        <w:t>s</w:t>
      </w:r>
      <w:r w:rsidRPr="00AE7BE6">
        <w:t xml:space="preserve"> have, would </w:t>
      </w:r>
      <w:r>
        <w:t>help elucidate</w:t>
      </w:r>
      <w:r w:rsidRPr="00AE7BE6">
        <w:t xml:space="preserve"> the impact of current therapies and </w:t>
      </w:r>
      <w:r>
        <w:t>determine</w:t>
      </w:r>
      <w:r w:rsidRPr="00AE7BE6">
        <w:t xml:space="preserve"> the need for tailored approaches to address these complaints </w:t>
      </w:r>
      <w:r>
        <w:t xml:space="preserve">in FNSDs </w:t>
      </w:r>
      <w:r w:rsidRPr="00AE7BE6">
        <w:t>in a primary care setting.</w:t>
      </w:r>
      <w:r>
        <w:t xml:space="preserve"> Frequent-user interventions in general adult populations have shown a modest reduction in UEC use and cost-saving. In one review, case management had the most rigorous evidence base, further corroborating the need for individualised care in this group for improved outcomes </w:t>
      </w:r>
      <w:sdt>
        <w:sdtPr>
          <w:rPr>
            <w:color w:val="000000"/>
          </w:rPr>
          <w:tag w:val="MENDELEY_CITATION_v3_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"/>
          <w:id w:val="-569426448"/>
          <w:placeholder>
            <w:docPart w:val="FF4820B32E5F2641AB6C618C6B62ABC2"/>
          </w:placeholder>
        </w:sdtPr>
        <w:sdtContent>
          <w:r w:rsidR="0047170A" w:rsidRPr="0047170A">
            <w:rPr>
              <w:color w:val="000000"/>
            </w:rPr>
            <w:t>(</w:t>
          </w:r>
          <w:proofErr w:type="spellStart"/>
          <w:r w:rsidR="0047170A" w:rsidRPr="0047170A">
            <w:rPr>
              <w:color w:val="000000"/>
            </w:rPr>
            <w:t>Soril</w:t>
          </w:r>
          <w:proofErr w:type="spellEnd"/>
          <w:r w:rsidR="0047170A" w:rsidRPr="0047170A">
            <w:rPr>
              <w:color w:val="000000"/>
            </w:rPr>
            <w:t xml:space="preserve"> et al., 2015)</w:t>
          </w:r>
        </w:sdtContent>
      </w:sdt>
      <w:r w:rsidRPr="00C03F40">
        <w:t>.</w:t>
      </w:r>
    </w:p>
    <w:p w14:paraId="363494FF" w14:textId="77777777" w:rsidR="00735B9E" w:rsidRDefault="00735B9E" w:rsidP="007B1D62">
      <w:pPr>
        <w:spacing w:after="240"/>
      </w:pPr>
      <w:r>
        <w:t xml:space="preserve">There was also a significantly lower likelihood of hospital admission after an A&amp;E visit and extended hospital stays (&gt;7 nights) during an APC episode following therapy. This suggests that therapy might have helped </w:t>
      </w:r>
      <w:r w:rsidRPr="007B1D62">
        <w:t>reduce the severity of health episodes requiring emergency care</w:t>
      </w:r>
      <w:r>
        <w:t>, prolonged</w:t>
      </w:r>
      <w:r w:rsidRPr="007B1D62">
        <w:t xml:space="preserve"> hospital stays</w:t>
      </w:r>
      <w:r>
        <w:t xml:space="preserve">, </w:t>
      </w:r>
      <w:r w:rsidRPr="00D37E8F">
        <w:t>and the high costs associated with such complex emergency admissions</w:t>
      </w:r>
      <w:r w:rsidRPr="007B1D62">
        <w:t>.</w:t>
      </w:r>
      <w:r>
        <w:t xml:space="preserve"> </w:t>
      </w:r>
      <w:r w:rsidRPr="007B1D62">
        <w:t>However, this analysis did not examine the reasons for hospital admissions</w:t>
      </w:r>
      <w:r>
        <w:t>,</w:t>
      </w:r>
      <w:r w:rsidRPr="007B1D62">
        <w:t xml:space="preserve"> so</w:t>
      </w:r>
      <w:r>
        <w:t xml:space="preserve"> </w:t>
      </w:r>
      <w:r w:rsidRPr="007B1D62">
        <w:t>we cannot determine the contribution of functional symptoms.</w:t>
      </w:r>
    </w:p>
    <w:p w14:paraId="1A44DAFF" w14:textId="77777777" w:rsidR="00735B9E" w:rsidRDefault="00735B9E" w:rsidP="006A3C3B">
      <w:pPr>
        <w:pStyle w:val="Heading3"/>
      </w:pPr>
      <w:bookmarkStart w:id="145" w:name="_Toc137504759"/>
      <w:r>
        <w:lastRenderedPageBreak/>
        <w:t>4.4.5 Emergency Service Use as an Outcome Measure in FNSD</w:t>
      </w:r>
      <w:bookmarkEnd w:id="145"/>
    </w:p>
    <w:p w14:paraId="5E9232BD" w14:textId="38D971A6" w:rsidR="00735B9E" w:rsidRPr="00802565" w:rsidRDefault="00735B9E" w:rsidP="006A3C3B">
      <w:pPr>
        <w:rPr>
          <w:color w:val="212121"/>
          <w:sz w:val="30"/>
          <w:szCs w:val="30"/>
          <w:shd w:val="clear" w:color="auto" w:fill="FFFFFF"/>
        </w:rPr>
      </w:pPr>
      <w:r w:rsidRPr="00802565">
        <w:t>The escalating demand and increasing reliance on urgent and emergency care in England is a growing concern.</w:t>
      </w:r>
      <w:r>
        <w:t xml:space="preserve"> </w:t>
      </w:r>
      <w:r w:rsidRPr="00802565">
        <w:t>This places a substantial strain on the healthcare system and incurs significant costs.</w:t>
      </w:r>
      <w:r>
        <w:t xml:space="preserve"> </w:t>
      </w:r>
      <w:sdt>
        <w:sdtPr>
          <w:rPr>
            <w:color w:val="000000"/>
          </w:rPr>
          <w:tag w:val="MENDELEY_CITATION_v3_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"/>
          <w:id w:val="1941948951"/>
          <w:placeholder>
            <w:docPart w:val="1E1E07287C5EF64C90437035C6DB47A3"/>
          </w:placeholder>
        </w:sdtPr>
        <w:sdtContent>
          <w:r w:rsidR="0047170A" w:rsidRPr="0047170A">
            <w:rPr>
              <w:color w:val="000000"/>
            </w:rPr>
            <w:t>(Accident and Emergency Attendances in England - 2013-14 - NHS Digital; Turner et al., 2021)</w:t>
          </w:r>
        </w:sdtContent>
      </w:sdt>
      <w:r w:rsidRPr="00802565">
        <w:t>.</w:t>
      </w:r>
      <w:r>
        <w:t xml:space="preserve"> </w:t>
      </w:r>
      <w:r w:rsidRPr="00802565">
        <w:t xml:space="preserve">The unique demands of HIUs, like some FNSD patients, and systemic issues contribute to the high costs associated with emergency healthcare. </w:t>
      </w:r>
    </w:p>
    <w:p w14:paraId="29B16F27" w14:textId="77777777" w:rsidR="00735B9E" w:rsidRDefault="00735B9E" w:rsidP="006A3C3B">
      <w:r w:rsidRPr="00802565">
        <w:t xml:space="preserve">Based on this and our findings, FNSD UEC rates can serve as a meaningful outcome measure as it provides a tangible representation of healthcare </w:t>
      </w:r>
      <w:r>
        <w:t>utilisation</w:t>
      </w:r>
      <w:r w:rsidRPr="00802565">
        <w:t xml:space="preserve"> that can be linked </w:t>
      </w:r>
      <w:r>
        <w:t>overall</w:t>
      </w:r>
      <w:r w:rsidRPr="00802565">
        <w:t xml:space="preserve"> patient well-being.</w:t>
      </w:r>
      <w:r>
        <w:t xml:space="preserve"> </w:t>
      </w:r>
      <w:r w:rsidRPr="00802565">
        <w:t xml:space="preserve">The high rates detected compared to the general population reflect an apparent correlation with heightened symptom burdens and difficulty with symptom management, characteristic </w:t>
      </w:r>
      <w:r>
        <w:t>in many</w:t>
      </w:r>
      <w:r w:rsidRPr="00802565">
        <w:t xml:space="preserve"> FNSD patients.</w:t>
      </w:r>
    </w:p>
    <w:p w14:paraId="1701F3A0" w14:textId="77777777" w:rsidR="00735B9E" w:rsidRPr="00802565" w:rsidRDefault="00735B9E" w:rsidP="006A3C3B">
      <w:r w:rsidRPr="00802565">
        <w:t>Furthermore, the emergency service usage patterns detected changes that could potentially be attributed to psychotherapy treatment.</w:t>
      </w:r>
      <w:r>
        <w:t xml:space="preserve"> </w:t>
      </w:r>
      <w:r w:rsidRPr="00802565">
        <w:t>UEC rates as an outcome measure could also signal underlying social and economic disparities that contribute to the health outcomes in this group.</w:t>
      </w:r>
      <w:r>
        <w:t xml:space="preserve"> </w:t>
      </w:r>
      <w:r w:rsidRPr="00802565">
        <w:t>Thus, emergency service use can serve as a measure to assess both the</w:t>
      </w:r>
      <w:r>
        <w:t xml:space="preserve"> </w:t>
      </w:r>
      <w:r w:rsidRPr="00802565">
        <w:t xml:space="preserve">health outcomes </w:t>
      </w:r>
      <w:r>
        <w:t xml:space="preserve">of the patient group </w:t>
      </w:r>
      <w:r w:rsidRPr="00802565">
        <w:t>and broader healthcare system challenges in FNSDs.</w:t>
      </w:r>
    </w:p>
    <w:p w14:paraId="40EC0D67" w14:textId="77777777" w:rsidR="00735B9E" w:rsidRDefault="00735B9E" w:rsidP="006A3C3B">
      <w:r w:rsidRPr="00802565">
        <w:t>More knowledge is needed to understand the factors that drive the use of UEC services among individuals with FNSD, especially across areas with varying levels of deprivation.</w:t>
      </w:r>
      <w:r>
        <w:t xml:space="preserve"> </w:t>
      </w:r>
      <w:r w:rsidRPr="00802565">
        <w:t xml:space="preserve">Given the existing disparities within the FNSD population, addressing these health inequalities could also yield significant improvements in patient outcomes and reduce the UEC burden of these patients. </w:t>
      </w:r>
    </w:p>
    <w:p w14:paraId="3ACAFED0" w14:textId="77777777" w:rsidR="00735B9E" w:rsidRPr="00FD0250" w:rsidRDefault="00735B9E" w:rsidP="005A161E">
      <w:pPr>
        <w:pStyle w:val="Heading3"/>
      </w:pPr>
      <w:bookmarkStart w:id="146" w:name="_Toc137504760"/>
      <w:r>
        <w:t xml:space="preserve">4.4.6 </w:t>
      </w:r>
      <w:r w:rsidRPr="00D13D28">
        <w:t>Implications for clinical practice/research</w:t>
      </w:r>
      <w:bookmarkEnd w:id="146"/>
    </w:p>
    <w:p w14:paraId="189E359A" w14:textId="77777777" w:rsidR="00735B9E" w:rsidRPr="00F32E24" w:rsidRDefault="00735B9E" w:rsidP="00F32E24">
      <w:pPr>
        <w:rPr>
          <w:rFonts w:eastAsia="Calibri" w:cs="Calibri"/>
        </w:rPr>
      </w:pPr>
      <w:r w:rsidRPr="00A96CA6">
        <w:rPr>
          <w:rFonts w:eastAsia="Calibri" w:cs="Calibri"/>
        </w:rPr>
        <w:t xml:space="preserve">This research carries considerable implications for clinical practice and future studies in </w:t>
      </w:r>
      <w:r>
        <w:rPr>
          <w:rFonts w:eastAsia="Calibri" w:cs="Calibri"/>
        </w:rPr>
        <w:t>FNSDs</w:t>
      </w:r>
      <w:r w:rsidRPr="00A96CA6">
        <w:rPr>
          <w:rFonts w:eastAsia="Calibri" w:cs="Calibri"/>
        </w:rPr>
        <w:t>.</w:t>
      </w:r>
      <w:r>
        <w:rPr>
          <w:rFonts w:eastAsia="Calibri" w:cs="Calibri"/>
        </w:rPr>
        <w:t xml:space="preserve"> </w:t>
      </w:r>
      <w:r w:rsidRPr="00A96CA6">
        <w:rPr>
          <w:rFonts w:eastAsia="Calibri" w:cs="Calibri"/>
        </w:rPr>
        <w:t xml:space="preserve">It </w:t>
      </w:r>
      <w:r>
        <w:rPr>
          <w:rFonts w:eastAsia="Calibri" w:cs="Calibri"/>
        </w:rPr>
        <w:t>highlights</w:t>
      </w:r>
      <w:r w:rsidRPr="00A96CA6">
        <w:rPr>
          <w:rFonts w:eastAsia="Calibri" w:cs="Calibri"/>
        </w:rPr>
        <w:t xml:space="preserve"> the potential of emergency service use as a </w:t>
      </w:r>
      <w:r>
        <w:rPr>
          <w:rFonts w:eastAsia="Calibri" w:cs="Calibri"/>
        </w:rPr>
        <w:t>valuable</w:t>
      </w:r>
      <w:r w:rsidRPr="00A96CA6">
        <w:rPr>
          <w:rFonts w:eastAsia="Calibri" w:cs="Calibri"/>
        </w:rPr>
        <w:t xml:space="preserve"> clinical measure of progress, providing an additional, quantifiable tool to assess treatment effectiveness.</w:t>
      </w:r>
      <w:r>
        <w:rPr>
          <w:rFonts w:eastAsia="Calibri" w:cs="Calibri"/>
        </w:rPr>
        <w:t xml:space="preserve"> </w:t>
      </w:r>
      <w:r w:rsidRPr="00A96CA6">
        <w:rPr>
          <w:rFonts w:eastAsia="Calibri" w:cs="Calibri"/>
        </w:rPr>
        <w:t xml:space="preserve">From a research perspective, these findings highlight the need for cost-effectiveness studies to </w:t>
      </w:r>
      <w:r>
        <w:rPr>
          <w:rFonts w:eastAsia="Calibri" w:cs="Calibri"/>
        </w:rPr>
        <w:t xml:space="preserve">evaluate </w:t>
      </w:r>
      <w:r w:rsidRPr="00A96CA6">
        <w:rPr>
          <w:rFonts w:eastAsia="Calibri" w:cs="Calibri"/>
        </w:rPr>
        <w:t>different treatment approaches.</w:t>
      </w:r>
      <w:r>
        <w:rPr>
          <w:rFonts w:eastAsia="Calibri" w:cs="Calibri"/>
        </w:rPr>
        <w:t xml:space="preserve"> </w:t>
      </w:r>
      <w:r w:rsidRPr="00A96CA6">
        <w:rPr>
          <w:rFonts w:eastAsia="Calibri" w:cs="Calibri"/>
        </w:rPr>
        <w:t>Such studies would provide valuable insights into the economic impact of treatments</w:t>
      </w:r>
      <w:r>
        <w:rPr>
          <w:rFonts w:eastAsia="Calibri" w:cs="Calibri"/>
        </w:rPr>
        <w:t xml:space="preserve"> and </w:t>
      </w:r>
      <w:r w:rsidRPr="00A96CA6">
        <w:rPr>
          <w:rFonts w:eastAsia="Calibri" w:cs="Calibri"/>
        </w:rPr>
        <w:t>inform strategies to optimi</w:t>
      </w:r>
      <w:r>
        <w:rPr>
          <w:rFonts w:eastAsia="Calibri" w:cs="Calibri"/>
        </w:rPr>
        <w:t>s</w:t>
      </w:r>
      <w:r w:rsidRPr="00A96CA6">
        <w:rPr>
          <w:rFonts w:eastAsia="Calibri" w:cs="Calibri"/>
        </w:rPr>
        <w:t>e the allocation of finite healthcare resources</w:t>
      </w:r>
      <w:r>
        <w:rPr>
          <w:rFonts w:eastAsia="Calibri" w:cs="Calibri"/>
        </w:rPr>
        <w:t xml:space="preserve"> to</w:t>
      </w:r>
      <w:r w:rsidRPr="00A96CA6">
        <w:rPr>
          <w:rFonts w:eastAsia="Calibri" w:cs="Calibri"/>
        </w:rPr>
        <w:t xml:space="preserve"> decreas</w:t>
      </w:r>
      <w:r>
        <w:rPr>
          <w:rFonts w:eastAsia="Calibri" w:cs="Calibri"/>
        </w:rPr>
        <w:t>e</w:t>
      </w:r>
      <w:r w:rsidRPr="00A96CA6">
        <w:rPr>
          <w:rFonts w:eastAsia="Calibri" w:cs="Calibri"/>
        </w:rPr>
        <w:t xml:space="preserve"> the burden on emergency services.</w:t>
      </w:r>
      <w:r>
        <w:rPr>
          <w:rFonts w:eastAsia="Calibri" w:cs="Calibri"/>
        </w:rPr>
        <w:t xml:space="preserve"> </w:t>
      </w:r>
      <w:r w:rsidRPr="00A96CA6">
        <w:rPr>
          <w:rFonts w:eastAsia="Calibri" w:cs="Calibri"/>
        </w:rPr>
        <w:t>Moreover, this data c</w:t>
      </w:r>
      <w:r>
        <w:rPr>
          <w:rFonts w:eastAsia="Calibri" w:cs="Calibri"/>
        </w:rPr>
        <w:t>ould</w:t>
      </w:r>
      <w:r w:rsidRPr="00A96CA6">
        <w:rPr>
          <w:rFonts w:eastAsia="Calibri" w:cs="Calibri"/>
        </w:rPr>
        <w:t xml:space="preserve"> help identify key therapy targets, potentially leading to more tailored, effective interventions for individuals with FNSDs.</w:t>
      </w:r>
      <w:r>
        <w:rPr>
          <w:rFonts w:eastAsia="Calibri" w:cs="Calibri"/>
        </w:rPr>
        <w:t xml:space="preserve"> </w:t>
      </w:r>
      <w:r w:rsidRPr="00F32E24">
        <w:rPr>
          <w:rFonts w:eastAsia="Calibri" w:cs="Calibri"/>
        </w:rPr>
        <w:lastRenderedPageBreak/>
        <w:t xml:space="preserve">The </w:t>
      </w:r>
      <w:r>
        <w:rPr>
          <w:rFonts w:eastAsia="Calibri" w:cs="Calibri"/>
        </w:rPr>
        <w:t>current study suggests</w:t>
      </w:r>
      <w:r w:rsidRPr="00F32E24">
        <w:rPr>
          <w:rFonts w:eastAsia="Calibri" w:cs="Calibri"/>
        </w:rPr>
        <w:t xml:space="preserve"> that providing access to </w:t>
      </w:r>
      <w:r>
        <w:rPr>
          <w:rFonts w:eastAsia="Calibri" w:cs="Calibri"/>
        </w:rPr>
        <w:t>appropriate</w:t>
      </w:r>
      <w:r w:rsidRPr="00F32E24">
        <w:rPr>
          <w:rFonts w:eastAsia="Calibri" w:cs="Calibri"/>
        </w:rPr>
        <w:t xml:space="preserve"> and effective care, such as brief</w:t>
      </w:r>
      <w:r>
        <w:rPr>
          <w:rFonts w:eastAsia="Calibri" w:cs="Calibri"/>
        </w:rPr>
        <w:t xml:space="preserve"> and accessible specialised</w:t>
      </w:r>
      <w:r w:rsidRPr="00F32E24">
        <w:rPr>
          <w:rFonts w:eastAsia="Calibri" w:cs="Calibri"/>
        </w:rPr>
        <w:t xml:space="preserve"> psychological therapies following an ED attendance or drop-in centres</w:t>
      </w:r>
      <w:r>
        <w:rPr>
          <w:rFonts w:eastAsia="Calibri" w:cs="Calibri"/>
        </w:rPr>
        <w:t>,</w:t>
      </w:r>
      <w:r w:rsidRPr="00F32E24">
        <w:rPr>
          <w:rFonts w:eastAsia="Calibri" w:cs="Calibri"/>
        </w:rPr>
        <w:t xml:space="preserve"> may reduce repeated visits and contacts to urgent and emergency health services. </w:t>
      </w:r>
    </w:p>
    <w:p w14:paraId="087B05BA" w14:textId="77777777" w:rsidR="00735B9E" w:rsidRDefault="00735B9E" w:rsidP="007B1D62">
      <w:pPr>
        <w:spacing w:after="240"/>
        <w:rPr>
          <w:rFonts w:eastAsia="Calibri" w:cs="Calibri"/>
        </w:rPr>
      </w:pPr>
      <w:r w:rsidRPr="00A96CA6">
        <w:rPr>
          <w:rFonts w:eastAsia="Calibri" w:cs="Calibri"/>
        </w:rPr>
        <w:t xml:space="preserve">Ultimately, </w:t>
      </w:r>
      <w:r>
        <w:rPr>
          <w:rFonts w:eastAsia="Calibri" w:cs="Calibri"/>
        </w:rPr>
        <w:t>this research adds to the evidence base for further study to conduct</w:t>
      </w:r>
      <w:r w:rsidRPr="00A96CA6">
        <w:rPr>
          <w:rFonts w:eastAsia="Calibri" w:cs="Calibri"/>
        </w:rPr>
        <w:t xml:space="preserve"> more comprehensive treatment assessments</w:t>
      </w:r>
      <w:r>
        <w:rPr>
          <w:rFonts w:eastAsia="Calibri" w:cs="Calibri"/>
        </w:rPr>
        <w:t>, including cost-effectiveness analyses</w:t>
      </w:r>
      <w:r w:rsidRPr="00A96CA6">
        <w:rPr>
          <w:rFonts w:eastAsia="Calibri" w:cs="Calibri"/>
        </w:rPr>
        <w:t>,</w:t>
      </w:r>
      <w:r>
        <w:rPr>
          <w:rFonts w:eastAsia="Calibri" w:cs="Calibri"/>
        </w:rPr>
        <w:t xml:space="preserve"> develop </w:t>
      </w:r>
      <w:r w:rsidRPr="00A96CA6">
        <w:rPr>
          <w:rFonts w:eastAsia="Calibri" w:cs="Calibri"/>
        </w:rPr>
        <w:t>targeted interventions,</w:t>
      </w:r>
      <w:r>
        <w:rPr>
          <w:rFonts w:eastAsia="Calibri" w:cs="Calibri"/>
        </w:rPr>
        <w:t xml:space="preserve"> and inform the efficient use of healthcare resources.</w:t>
      </w:r>
    </w:p>
    <w:p w14:paraId="72976D8F" w14:textId="77777777" w:rsidR="00735B9E" w:rsidRDefault="00735B9E" w:rsidP="004F562C">
      <w:pPr>
        <w:pStyle w:val="Heading3"/>
      </w:pPr>
      <w:bookmarkStart w:id="147" w:name="_Toc137504761"/>
      <w:r>
        <w:t xml:space="preserve">4.4.7 </w:t>
      </w:r>
      <w:r w:rsidRPr="00D13D28">
        <w:t>Strengths and Limitations</w:t>
      </w:r>
      <w:bookmarkEnd w:id="147"/>
    </w:p>
    <w:p w14:paraId="3653019C" w14:textId="77777777" w:rsidR="00735B9E" w:rsidRDefault="00735B9E" w:rsidP="000B6EE2">
      <w:r>
        <w:t>It is important to address the potential limitations that may have influenced the findings and interpretations of this study. This analysis was not able to incorporate relevant clinical data such as primary FNSD diagnoses, psychiatric comorbidities, outcomes, and pre-and post-therapy questionnaire scores as a result of absent or inconsistent routine data collection in the psychotherapy healthcare service at the time under study, and the use of secondary data for the general population. Although rates were standardised by age and sex in the primary analyses, the inability to account for other relevant factors, particularly comorbidity or socioeconomic status, may confound our findings as they likely independently influence UEC service usage. While socioeconomic status was accounted for in secondary outcomes, this only explored differences between the features of patients' UEC services use before and after therapy. The reasons for UEC use were also not explored; thus, this analysis could not discuss the proportion of UEC contacts therein that were attributable to FNSD symptoms.</w:t>
      </w:r>
    </w:p>
    <w:p w14:paraId="29717E7D" w14:textId="77777777" w:rsidR="00735B9E" w:rsidRDefault="00735B9E" w:rsidP="000B6EE2">
      <w:r>
        <w:t xml:space="preserve">Similarly, several other confounders relevant to the use of UEC services were not adjusted for, such as the distance of patients to UEC services. Possible biases in this analysis include those possible in all analyses of retrospective observational data, including misclassification bias, unmeasured confounding, and missing data. The potential imprecision in the ONS population estimates used for the standard population in this analysis also warrants some caution in interpreting the standardised rates. </w:t>
      </w:r>
    </w:p>
    <w:p w14:paraId="020E3976" w14:textId="77777777" w:rsidR="00735B9E" w:rsidRDefault="00735B9E" w:rsidP="000B6EE2">
      <w:r w:rsidRPr="005970B6">
        <w:t>Despite the CUREd database encompassing the entire South Yorkshire region, w</w:t>
      </w:r>
      <w:r>
        <w:t xml:space="preserve">ithin which all </w:t>
      </w:r>
      <w:r w:rsidRPr="005970B6">
        <w:t xml:space="preserve">FNSD psychotherapy patients </w:t>
      </w:r>
      <w:r>
        <w:t>lived</w:t>
      </w:r>
      <w:r w:rsidRPr="005970B6">
        <w:t>, we cannot guarantee that all patients were successfully linked with the available dates from the database.</w:t>
      </w:r>
      <w:r>
        <w:t xml:space="preserve"> </w:t>
      </w:r>
      <w:r w:rsidRPr="005970B6">
        <w:t xml:space="preserve">Consequently, some zero-values in our data might not represent an absence of emergency contacts </w:t>
      </w:r>
      <w:r w:rsidRPr="005970B6">
        <w:lastRenderedPageBreak/>
        <w:t>from these patients.</w:t>
      </w:r>
      <w:r>
        <w:t xml:space="preserve"> </w:t>
      </w:r>
      <w:r w:rsidRPr="005970B6">
        <w:t>Moreover, ongoing changes in emergency services could potentially impact our findings, especially those related to the longitudinal study.</w:t>
      </w:r>
      <w:r>
        <w:t xml:space="preserve"> </w:t>
      </w:r>
      <w:r w:rsidRPr="005970B6">
        <w:t xml:space="preserve">This is exemplified by the augmented availability of APC services, which could reflect service evolution rather than </w:t>
      </w:r>
      <w:r>
        <w:t>patient circumstances or well-being changes</w:t>
      </w:r>
      <w:r w:rsidRPr="005970B6">
        <w:t>.</w:t>
      </w:r>
    </w:p>
    <w:p w14:paraId="76BF123F" w14:textId="77777777" w:rsidR="00735B9E" w:rsidRDefault="00735B9E" w:rsidP="00F32E24">
      <w:r>
        <w:t>The retrospective and cross-sectional design of the general population vs FNSD study comes with inherent limitations. The design does not allow for a causal inference among the variables examined. Data for this analysis were obtained from the Yorkshire and Humber region in the UK and comprised data between April 2012 to March 2016. While this may not fully represent the larger FNSD and general populations, it should be noted that this geographical region includes a diverse variety of large urban, small urban, suburban and rural settings. In addition, it has a population of approximately 5.5 million and includes 13 acute trusts, among which are four major trauma centres. As such, it is plausible to consider the findings as potentially generalisable to the broader UK population.</w:t>
      </w:r>
    </w:p>
    <w:p w14:paraId="1B2BE571" w14:textId="77777777" w:rsidR="00735B9E" w:rsidRDefault="00735B9E" w:rsidP="00F32E24">
      <w:r>
        <w:t>Nonetheless, the retrospective nature of this data analysis means that the reported trends may not accurately reflect the current state of practices. Despite these limitations, the findings are from a relatively large observational cohort. Previous studies have also looked at single factors without considering other covariates. The large number of cases in this study allowed comparisons through more robust logistic regression analyses, and this study is also strengthened by the fact that all of the cases of FNSD were clinically firm diagnoses confirmed by specialist consultant neurologists. In addition, this study examined data over several years and at specific time points in a time series analysis, allowing an understanding of trends in UEC usage over time, level changes because of intervention and relative to the time before and after the intervention.</w:t>
      </w:r>
    </w:p>
    <w:p w14:paraId="7E0DCF7A" w14:textId="77777777" w:rsidR="00735B9E" w:rsidRPr="000F1DB9" w:rsidRDefault="00735B9E" w:rsidP="005A161E">
      <w:pPr>
        <w:pStyle w:val="Heading3"/>
      </w:pPr>
      <w:bookmarkStart w:id="148" w:name="_Toc137504762"/>
      <w:r>
        <w:t xml:space="preserve">4.4.8 </w:t>
      </w:r>
      <w:r w:rsidRPr="00D13D28">
        <w:t>Recommendations/Future work</w:t>
      </w:r>
      <w:bookmarkEnd w:id="148"/>
    </w:p>
    <w:p w14:paraId="72DD7AB2" w14:textId="77777777" w:rsidR="00735B9E" w:rsidRDefault="00735B9E" w:rsidP="000F1DB9">
      <w:r>
        <w:t xml:space="preserve">Future work could use a multicentre approach to provide a more diverse patient population and allow for more generalisable results. The increased variability in the patient characteristics and care delivery services across different centres could offer further insights into the relationships between FNSD, psychotherapeutic interventions, and emergency service use. A larger patient sample size would also improve the statistical power and precision of the study's estimates, allowing for more robust conclusions and offering a more detailed picture of UEC use in FNSD, for example, </w:t>
      </w:r>
      <w:r>
        <w:lastRenderedPageBreak/>
        <w:t>with more advanced time series modelling.</w:t>
      </w:r>
      <w:r>
        <w:rPr>
          <w:rFonts w:eastAsia="Calibri" w:cs="Calibri"/>
        </w:rPr>
        <w:t xml:space="preserve"> C</w:t>
      </w:r>
      <w:r w:rsidRPr="00F32E24">
        <w:rPr>
          <w:rFonts w:eastAsia="Calibri" w:cs="Calibri"/>
        </w:rPr>
        <w:t xml:space="preserve">onsidering other potential covariates such as symptom severity, </w:t>
      </w:r>
      <w:r>
        <w:rPr>
          <w:rFonts w:eastAsia="Calibri" w:cs="Calibri"/>
        </w:rPr>
        <w:t xml:space="preserve">physical and psychological </w:t>
      </w:r>
      <w:r w:rsidRPr="00F32E24">
        <w:rPr>
          <w:rFonts w:eastAsia="Calibri" w:cs="Calibri"/>
        </w:rPr>
        <w:t xml:space="preserve">comorbidities, patient demographics, </w:t>
      </w:r>
      <w:r>
        <w:rPr>
          <w:rFonts w:eastAsia="Calibri" w:cs="Calibri"/>
        </w:rPr>
        <w:t>and</w:t>
      </w:r>
      <w:r w:rsidRPr="00F32E24">
        <w:rPr>
          <w:rFonts w:eastAsia="Calibri" w:cs="Calibri"/>
        </w:rPr>
        <w:t xml:space="preserve"> </w:t>
      </w:r>
      <w:r>
        <w:rPr>
          <w:rFonts w:eastAsia="Calibri" w:cs="Calibri"/>
        </w:rPr>
        <w:t>socioeconomic</w:t>
      </w:r>
      <w:r w:rsidRPr="00F32E24">
        <w:rPr>
          <w:rFonts w:eastAsia="Calibri" w:cs="Calibri"/>
        </w:rPr>
        <w:t xml:space="preserve"> factors may further elucidate the initial nuanced trends observed here.</w:t>
      </w:r>
    </w:p>
    <w:p w14:paraId="35B8F6C6" w14:textId="77777777" w:rsidR="00735B9E" w:rsidRPr="00D13D28" w:rsidRDefault="00735B9E" w:rsidP="005A161E">
      <w:r>
        <w:t>Comparing the effectiveness and impact of various therapeutic interventions and approaches on emergency service use could highlight the most efficient treatment methods to reduce the UEC care burden in this patient group. Specific economic evaluations of UEC use and interventions could also provide insights into the cost-effectiveness of different treatment strategies. Cost-effectiveness</w:t>
      </w:r>
      <w:r w:rsidRPr="00D37E8F">
        <w:t xml:space="preserve"> studies </w:t>
      </w:r>
      <w:r>
        <w:t>must</w:t>
      </w:r>
      <w:r w:rsidRPr="00D37E8F">
        <w:t xml:space="preserve"> consider the costs of non-emergency healthcare contacts and the social costs associated with FNSD.</w:t>
      </w:r>
      <w:r>
        <w:t xml:space="preserve"> Undertaking subgroup analyses based on functional diagnosis would reveal the specific UEC needs and the different effects of therapeutic interventions across various subgroups. Furthermore, such work would refine our understanding and application of emergency service utilisation rates as </w:t>
      </w:r>
      <w:r w:rsidRPr="002341BE">
        <w:t>clinically relevant outcome measure</w:t>
      </w:r>
      <w:r>
        <w:t>s for FNSDs.</w:t>
      </w:r>
    </w:p>
    <w:p w14:paraId="13DFEA5E" w14:textId="77777777" w:rsidR="00735B9E" w:rsidRPr="00490CDD" w:rsidRDefault="00735B9E" w:rsidP="005A161E">
      <w:pPr>
        <w:pStyle w:val="Heading3"/>
      </w:pPr>
      <w:bookmarkStart w:id="149" w:name="_Toc137504763"/>
      <w:r>
        <w:t xml:space="preserve">4.4.9 </w:t>
      </w:r>
      <w:r w:rsidRPr="00263BCC">
        <w:t>Co</w:t>
      </w:r>
      <w:r>
        <w:t>nclusion</w:t>
      </w:r>
      <w:bookmarkEnd w:id="149"/>
    </w:p>
    <w:p w14:paraId="102EC2DC" w14:textId="293A61E2" w:rsidR="00E24D01" w:rsidRDefault="00735B9E" w:rsidP="00DD3FE1">
      <w:r>
        <w:t>Given the changes in rates of 111, A&amp;E, APC, and AMB services use after therapy and relative to the general population observed in this study, emergency service use can be an outcome measure for treatment-related changes in FNSD. However, we cannot comment on the extent of its use, for example, in using this as a measure to capture the long-term effects of therapy and health outcomes. Naturally, emergency service use would be influenced by a host of factors in this patient group, such as symptom severity, individual health behaviours, socioeconomic status, and healthcare accessibility. So, it is essential to control for these potential confounding factors or refine its use for subgroups of patients. Given the significant costs associated with emergency care, the findings further suggest that UEC usage rates would be an effective measure to analyse the cost-effectiveness of therapies to save overall costs to the healthcare system, including non-emergency health contacts and social costs, as well as to improve health outcomes for FNSD patients.</w:t>
      </w:r>
    </w:p>
    <w:p w14:paraId="3FC9EB46" w14:textId="77777777" w:rsidR="00E24D01" w:rsidRDefault="00E24D01">
      <w:pPr>
        <w:spacing w:line="240" w:lineRule="auto"/>
        <w:jc w:val="left"/>
      </w:pPr>
      <w:r>
        <w:br w:type="page"/>
      </w:r>
    </w:p>
    <w:p w14:paraId="26D9E01B" w14:textId="77777777" w:rsidR="00E24D01" w:rsidRDefault="00E24D01" w:rsidP="00244B76">
      <w:pPr>
        <w:pStyle w:val="Heading1"/>
      </w:pPr>
      <w:bookmarkStart w:id="150" w:name="_Toc137504764"/>
      <w:r>
        <w:rPr>
          <w:b/>
          <w:bCs/>
        </w:rPr>
        <w:lastRenderedPageBreak/>
        <w:t>5.0 Delay Discounting</w:t>
      </w:r>
      <w:r w:rsidRPr="006A549A">
        <w:rPr>
          <w:b/>
          <w:bCs/>
        </w:rPr>
        <w:t xml:space="preserve"> and Negative </w:t>
      </w:r>
      <w:r>
        <w:rPr>
          <w:b/>
          <w:bCs/>
        </w:rPr>
        <w:t>Affective Priming</w:t>
      </w:r>
      <w:r w:rsidRPr="006A549A">
        <w:rPr>
          <w:b/>
          <w:bCs/>
        </w:rPr>
        <w:t xml:space="preserve"> in patient</w:t>
      </w:r>
      <w:r>
        <w:rPr>
          <w:b/>
          <w:bCs/>
        </w:rPr>
        <w:t>s</w:t>
      </w:r>
      <w:r w:rsidRPr="006A549A">
        <w:rPr>
          <w:b/>
          <w:bCs/>
        </w:rPr>
        <w:t xml:space="preserve"> with</w:t>
      </w:r>
      <w:r>
        <w:t xml:space="preserve"> </w:t>
      </w:r>
      <w:r w:rsidRPr="00B90746">
        <w:rPr>
          <w:b/>
          <w:bCs/>
        </w:rPr>
        <w:t>Functional Neurological Symptom Disorder</w:t>
      </w:r>
      <w:bookmarkEnd w:id="150"/>
    </w:p>
    <w:p w14:paraId="0F77394A" w14:textId="77777777" w:rsidR="00E24D01" w:rsidRPr="00740B16" w:rsidRDefault="00E24D01" w:rsidP="008F4BAD">
      <w:pPr>
        <w:pStyle w:val="Heading2"/>
      </w:pPr>
      <w:bookmarkStart w:id="151" w:name="_Toc137504765"/>
      <w:r>
        <w:t xml:space="preserve">5.1 </w:t>
      </w:r>
      <w:r w:rsidRPr="00022B3B">
        <w:t>Introduction</w:t>
      </w:r>
      <w:bookmarkEnd w:id="151"/>
    </w:p>
    <w:p w14:paraId="6BDD7850" w14:textId="77777777" w:rsidR="00E24D01" w:rsidRPr="00740B16" w:rsidRDefault="00E24D01" w:rsidP="008F4BAD">
      <w:pPr>
        <w:pStyle w:val="Heading3"/>
      </w:pPr>
      <w:bookmarkStart w:id="152" w:name="_Toc137504766"/>
      <w:r>
        <w:t>5.</w:t>
      </w:r>
      <w:r w:rsidRPr="00740B16">
        <w:t>1.1 Introduction</w:t>
      </w:r>
      <w:bookmarkEnd w:id="152"/>
    </w:p>
    <w:p w14:paraId="2A5D8A41" w14:textId="4B1077F2" w:rsidR="00E24D01" w:rsidRPr="00740B16" w:rsidRDefault="00E24D01" w:rsidP="00451811">
      <w:r w:rsidRPr="00740B16">
        <w:t xml:space="preserve">Recent research has highlighted the </w:t>
      </w:r>
      <w:r>
        <w:t>importance of</w:t>
      </w:r>
      <w:r w:rsidRPr="00740B16">
        <w:t xml:space="preserve"> affective cognition in the pathogenesis and perpetuation of FNSD symptoms</w:t>
      </w:r>
      <w:r>
        <w:t xml:space="preserve"> </w:t>
      </w:r>
      <w:sdt>
        <w:sdtPr>
          <w:rPr>
            <w:color w:val="000000"/>
          </w:rPr>
          <w:tag w:val="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"/>
          <w:id w:val="-2044596527"/>
          <w:placeholder>
            <w:docPart w:val="CA3957472A8D224CADF08069A797E5A6"/>
          </w:placeholder>
        </w:sdtPr>
        <w:sdtContent>
          <w:r w:rsidR="0047170A" w:rsidRPr="0047170A">
            <w:rPr>
              <w:color w:val="000000"/>
            </w:rPr>
            <w:t xml:space="preserve">(Diez et al., 2019; Milano et al., 2023; Ospina, </w:t>
          </w:r>
          <w:proofErr w:type="spellStart"/>
          <w:r w:rsidR="0047170A" w:rsidRPr="0047170A">
            <w:rPr>
              <w:color w:val="000000"/>
            </w:rPr>
            <w:t>Jalilianhasanpour</w:t>
          </w:r>
          <w:proofErr w:type="spellEnd"/>
          <w:r w:rsidR="0047170A" w:rsidRPr="0047170A">
            <w:rPr>
              <w:color w:val="000000"/>
            </w:rPr>
            <w:t>, et al., 2019; Perez, Williams, et al., 2017; Pick et al., 2019)</w:t>
          </w:r>
        </w:sdtContent>
      </w:sdt>
      <w:r w:rsidRPr="00740B16">
        <w:t>.</w:t>
      </w:r>
      <w:r>
        <w:t xml:space="preserve"> T</w:t>
      </w:r>
      <w:r w:rsidRPr="00740B16">
        <w:t>he traditional understanding of these symptoms</w:t>
      </w:r>
      <w:r>
        <w:t xml:space="preserve"> as </w:t>
      </w:r>
      <w:r w:rsidRPr="00740B16">
        <w:t xml:space="preserve">physical </w:t>
      </w:r>
      <w:r>
        <w:t>manifestations</w:t>
      </w:r>
      <w:r w:rsidRPr="00740B16">
        <w:t xml:space="preserve"> of psychological stress and emotional conflicts </w:t>
      </w:r>
      <w:sdt>
        <w:sdtPr>
          <w:tag w:val="MENDELEY_CITATION_v3_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"/>
          <w:id w:val="355941930"/>
          <w:placeholder>
            <w:docPart w:val="CA3957472A8D224CADF08069A797E5A6"/>
          </w:placeholder>
        </w:sdtPr>
        <w:sdtContent>
          <w:r w:rsidR="0047170A">
            <w:rPr>
              <w:rFonts w:eastAsia="Times New Roman"/>
            </w:rPr>
            <w:t>(Breuer &amp; Freud, 1895)</w:t>
          </w:r>
        </w:sdtContent>
      </w:sdt>
      <w:r>
        <w:t xml:space="preserve"> has </w:t>
      </w:r>
      <w:r w:rsidRPr="00740B16">
        <w:t xml:space="preserve">led to the classification of FNSD under </w:t>
      </w:r>
      <w:r>
        <w:t>conversion disorders (DSM-4). T</w:t>
      </w:r>
      <w:r w:rsidRPr="00740B16">
        <w:t>heories on symptom development</w:t>
      </w:r>
      <w:r>
        <w:t xml:space="preserve"> have</w:t>
      </w:r>
      <w:r w:rsidRPr="00740B16">
        <w:t xml:space="preserve"> continue</w:t>
      </w:r>
      <w:r>
        <w:t>d</w:t>
      </w:r>
      <w:r w:rsidRPr="00740B16">
        <w:t xml:space="preserve"> to </w:t>
      </w:r>
      <w:r w:rsidRPr="00451811">
        <w:t>encompass dissociation and conversion in the larger schema of abnormal emotional processing resulting from emotionally distressing experiences</w:t>
      </w:r>
      <w:r w:rsidRPr="00740B16">
        <w:t xml:space="preserve"> </w:t>
      </w:r>
      <w:r>
        <w:t>and</w:t>
      </w:r>
      <w:r w:rsidRPr="00740B16">
        <w:t xml:space="preserve"> emotional conflicts </w:t>
      </w:r>
      <w:sdt>
        <w:sdtPr>
          <w:rPr>
            <w:color w:val="000000"/>
          </w:rPr>
          <w:tag w:val="MENDELEY_CITATION_v3_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"/>
          <w:id w:val="1872875009"/>
          <w:placeholder>
            <w:docPart w:val="CA3957472A8D224CADF08069A797E5A6"/>
          </w:placeholder>
        </w:sdtPr>
        <w:sdtContent>
          <w:r w:rsidR="0047170A" w:rsidRPr="0047170A">
            <w:rPr>
              <w:color w:val="000000"/>
            </w:rPr>
            <w:t>(Hallett et al., 2022)</w:t>
          </w:r>
        </w:sdtContent>
      </w:sdt>
      <w:r w:rsidRPr="00740B16">
        <w:t>.</w:t>
      </w:r>
      <w:r>
        <w:t xml:space="preserve"> T</w:t>
      </w:r>
      <w:r w:rsidRPr="00740B16">
        <w:t xml:space="preserve">he DSM-5 </w:t>
      </w:r>
      <w:sdt>
        <w:sdtPr>
          <w:rPr>
            <w:color w:val="000000"/>
          </w:rPr>
          <w:tag w:val="MENDELEY_CITATION_v3_eyJjaXRhdGlvbklEIjoiTUVOREVMRVlfQ0lUQVRJT05fOTRmN2Y1ZTctN2IyMS00OWNhLTg0YTAtY2Q5NDRiMjYxYWEzIiwicHJvcGVydGllcyI6eyJub3RlSW5kZXgiOjB9LCJpc0VkaXRlZCI6ZmFsc2UsIm1hbnVhbE92ZXJyaWRlIjp7ImlzTWFudWFsbHlPdmVycmlkZGVuIjpmYWxzZSwiY2l0ZXByb2NUZXh0IjoiKEFtZXJpY2FuIFBzeWNoaWF0cmljIEFzc29jaWF0aW9uLCAyMDEzKSIsIm1hbnVhbE92ZXJyaWRlVGV4dCI6IiJ9LCJjaXRhdGlvbkl0ZW1zIjpb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
          <w:id w:val="1038553206"/>
          <w:placeholder>
            <w:docPart w:val="CA3957472A8D224CADF08069A797E5A6"/>
          </w:placeholder>
        </w:sdtPr>
        <w:sdtContent>
          <w:r w:rsidR="0047170A" w:rsidRPr="0047170A">
            <w:rPr>
              <w:color w:val="000000"/>
            </w:rPr>
            <w:t>(American Psychiatric Association, 2013)</w:t>
          </w:r>
        </w:sdtContent>
      </w:sdt>
      <w:r>
        <w:rPr>
          <w:color w:val="000000"/>
        </w:rPr>
        <w:t xml:space="preserve"> </w:t>
      </w:r>
      <w:r w:rsidRPr="00740B16">
        <w:t xml:space="preserve">recognises the unique symptomatology and contributing factors to FNSD, </w:t>
      </w:r>
      <w:r>
        <w:t>proposing "</w:t>
      </w:r>
      <w:r w:rsidRPr="00740B16">
        <w:t>Functional Neurological Symptom Disorder</w:t>
      </w:r>
      <w:r>
        <w:t>" as</w:t>
      </w:r>
      <w:r w:rsidRPr="00382770">
        <w:t xml:space="preserve"> </w:t>
      </w:r>
      <w:r w:rsidRPr="00740B16">
        <w:t>a separate category</w:t>
      </w:r>
      <w:r>
        <w:t xml:space="preserve">. However, the DSM-5 continues to use the term 'conversion'. In contrast, the ICD-11 </w:t>
      </w:r>
      <w:sdt>
        <w:sdtPr>
          <w:rPr>
            <w:color w:val="000000"/>
          </w:rPr>
          <w:tag w:val="MENDELEY_CITATION_v3_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"/>
          <w:id w:val="-1883862099"/>
          <w:placeholder>
            <w:docPart w:val="CA3957472A8D224CADF08069A797E5A6"/>
          </w:placeholder>
        </w:sdtPr>
        <w:sdtContent>
          <w:r w:rsidR="0047170A" w:rsidRPr="0047170A">
            <w:rPr>
              <w:color w:val="000000"/>
            </w:rPr>
            <w:t>(World Health Organisation (WHO), 2019)</w:t>
          </w:r>
        </w:sdtContent>
      </w:sdt>
      <w:r>
        <w:t xml:space="preserve"> </w:t>
      </w:r>
      <w:r w:rsidRPr="00382770">
        <w:t>use</w:t>
      </w:r>
      <w:r>
        <w:t>s</w:t>
      </w:r>
      <w:r w:rsidRPr="00382770">
        <w:t xml:space="preserve"> </w:t>
      </w:r>
      <w:r>
        <w:t>"</w:t>
      </w:r>
      <w:r w:rsidRPr="00382770">
        <w:t>dissociative neurological symptom disorder</w:t>
      </w:r>
      <w:r>
        <w:t>"; as such,</w:t>
      </w:r>
      <w:r w:rsidRPr="00382770">
        <w:t xml:space="preserve"> </w:t>
      </w:r>
      <w:r>
        <w:t>a</w:t>
      </w:r>
      <w:r w:rsidRPr="00382770">
        <w:t xml:space="preserve"> somatoform/conversion (DSM) versus </w:t>
      </w:r>
      <w:r>
        <w:t>"</w:t>
      </w:r>
      <w:r w:rsidRPr="00382770">
        <w:t>dissociative</w:t>
      </w:r>
      <w:r>
        <w:t>"</w:t>
      </w:r>
      <w:r w:rsidRPr="00382770">
        <w:t xml:space="preserve"> controversy carries on in the most up-to-date versions of these classification systems</w:t>
      </w:r>
      <w:r w:rsidRPr="00740B16">
        <w:t>.</w:t>
      </w:r>
    </w:p>
    <w:p w14:paraId="618D9662" w14:textId="4F9CE2EA" w:rsidR="00E24D01" w:rsidRPr="00FE0B2E" w:rsidRDefault="00E24D01" w:rsidP="003F0037">
      <w:r>
        <w:t xml:space="preserve">Ongoing </w:t>
      </w:r>
      <w:r w:rsidRPr="00D00710">
        <w:t xml:space="preserve">research involving FNSD patients has refined conceptual models and treatment methods. Classifying FNSD as a dissociative and conversion disorder primarily links emotional processing abnormalities in FNSD </w:t>
      </w:r>
      <w:r w:rsidR="007063F9" w:rsidRPr="00D00710">
        <w:t>with</w:t>
      </w:r>
      <w:r w:rsidR="00251F83" w:rsidRPr="00D00710">
        <w:t xml:space="preserve"> </w:t>
      </w:r>
      <w:r w:rsidRPr="00D00710">
        <w:t xml:space="preserve">difficulties with understanding and expressing personal feelings, as framed by the concept of alexithymia </w:t>
      </w:r>
      <w:sdt>
        <w:sdtPr>
          <w:tag w:val="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"/>
          <w:id w:val="-1047371508"/>
          <w:placeholder>
            <w:docPart w:val="CA3957472A8D224CADF08069A797E5A6"/>
          </w:placeholder>
        </w:sdtPr>
        <w:sdtContent>
          <w:r w:rsidR="0047170A" w:rsidRPr="00D00710">
            <w:t xml:space="preserve">(Demartini, </w:t>
          </w:r>
          <w:proofErr w:type="spellStart"/>
          <w:r w:rsidR="0047170A" w:rsidRPr="00D00710">
            <w:t>Petrochilos</w:t>
          </w:r>
          <w:proofErr w:type="spellEnd"/>
          <w:r w:rsidR="0047170A" w:rsidRPr="00D00710">
            <w:t>, et al., 2014; Ricciardi et al., 2015)</w:t>
          </w:r>
        </w:sdtContent>
      </w:sdt>
      <w:r w:rsidRPr="00D00710">
        <w:t xml:space="preserve">. The positioning of emotional processing within the stress and coping framework expanded emotion regulation to include cognitive and behavioural tactics geared towards managing unpleasant emotions arising from external or internal triggers. Key strategies relevant in this context include cognitive reframing of distressing events </w:t>
      </w:r>
      <w:r w:rsidRPr="00740B16">
        <w:t xml:space="preserve">or suppression of emerging negative sensations </w:t>
      </w:r>
      <w:sdt>
        <w:sdtPr>
          <w:rPr>
            <w:color w:val="000000"/>
          </w:rPr>
          <w:tag w:val="MENDELEY_CITATION_v3_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"/>
          <w:id w:val="-1776708832"/>
          <w:placeholder>
            <w:docPart w:val="CA3957472A8D224CADF08069A797E5A6"/>
          </w:placeholder>
        </w:sdtPr>
        <w:sdtContent>
          <w:r w:rsidR="0047170A" w:rsidRPr="0047170A">
            <w:rPr>
              <w:color w:val="000000"/>
            </w:rPr>
            <w:t xml:space="preserve">(Gross, 2002; </w:t>
          </w:r>
          <w:proofErr w:type="spellStart"/>
          <w:r w:rsidR="0047170A" w:rsidRPr="0047170A">
            <w:rPr>
              <w:color w:val="000000"/>
            </w:rPr>
            <w:t>Gyurak</w:t>
          </w:r>
          <w:proofErr w:type="spellEnd"/>
          <w:r w:rsidR="0047170A" w:rsidRPr="0047170A">
            <w:rPr>
              <w:color w:val="000000"/>
            </w:rPr>
            <w:t xml:space="preserve"> et al., 2011)</w:t>
          </w:r>
        </w:sdtContent>
      </w:sdt>
      <w:r w:rsidRPr="00740B16">
        <w:t>.</w:t>
      </w:r>
      <w:r>
        <w:t xml:space="preserve"> </w:t>
      </w:r>
      <w:r w:rsidRPr="00740B16">
        <w:t>While</w:t>
      </w:r>
      <w:r>
        <w:t xml:space="preserve"> these</w:t>
      </w:r>
      <w:r w:rsidRPr="00740B16">
        <w:t xml:space="preserve"> psychological models remain vital </w:t>
      </w:r>
      <w:r>
        <w:t>to the current</w:t>
      </w:r>
      <w:r w:rsidRPr="00740B16">
        <w:t xml:space="preserve"> understanding </w:t>
      </w:r>
      <w:r>
        <w:t xml:space="preserve">of </w:t>
      </w:r>
      <w:r w:rsidRPr="00740B16">
        <w:t xml:space="preserve">FNSD, </w:t>
      </w:r>
      <w:r>
        <w:t>more recent research has examined</w:t>
      </w:r>
      <w:r w:rsidRPr="00740B16">
        <w:t xml:space="preserve"> neurobiological viewpoints that place FNSDs at the juncture </w:t>
      </w:r>
      <w:r w:rsidRPr="00740B16">
        <w:lastRenderedPageBreak/>
        <w:t>of the brain</w:t>
      </w:r>
      <w:r>
        <w:t xml:space="preserve"> and mind</w:t>
      </w:r>
      <w:r w:rsidRPr="00740B16">
        <w:t xml:space="preserve"> </w:t>
      </w:r>
      <w:sdt>
        <w:sdtPr>
          <w:rPr>
            <w:color w:val="000000"/>
          </w:rPr>
          <w:tag w:val="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"/>
          <w:id w:val="-461423459"/>
          <w:placeholder>
            <w:docPart w:val="CA3957472A8D224CADF08069A797E5A6"/>
          </w:placeholder>
        </w:sdtPr>
        <w:sdtContent>
          <w:r w:rsidR="0047170A" w:rsidRPr="0047170A">
            <w:rPr>
              <w:color w:val="000000"/>
            </w:rPr>
            <w:t>(</w:t>
          </w:r>
          <w:proofErr w:type="spellStart"/>
          <w:r w:rsidR="0047170A" w:rsidRPr="0047170A">
            <w:rPr>
              <w:color w:val="000000"/>
            </w:rPr>
            <w:t>Bègue</w:t>
          </w:r>
          <w:proofErr w:type="spellEnd"/>
          <w:r w:rsidR="0047170A" w:rsidRPr="0047170A">
            <w:rPr>
              <w:color w:val="000000"/>
            </w:rPr>
            <w:t xml:space="preserve"> et al., 2019; </w:t>
          </w:r>
          <w:proofErr w:type="spellStart"/>
          <w:r w:rsidR="0047170A" w:rsidRPr="0047170A">
            <w:rPr>
              <w:color w:val="000000"/>
            </w:rPr>
            <w:t>Cretton</w:t>
          </w:r>
          <w:proofErr w:type="spellEnd"/>
          <w:r w:rsidR="0047170A" w:rsidRPr="0047170A">
            <w:rPr>
              <w:color w:val="000000"/>
            </w:rPr>
            <w:t xml:space="preserve"> et al., 2020; </w:t>
          </w:r>
          <w:proofErr w:type="spellStart"/>
          <w:r w:rsidR="0047170A" w:rsidRPr="0047170A">
            <w:rPr>
              <w:color w:val="000000"/>
            </w:rPr>
            <w:t>Keynejad</w:t>
          </w:r>
          <w:proofErr w:type="spellEnd"/>
          <w:r w:rsidR="0047170A" w:rsidRPr="0047170A">
            <w:rPr>
              <w:color w:val="000000"/>
            </w:rPr>
            <w:t xml:space="preserve"> et al., 2019; Perez, 2020; Pick et al., 2019)</w:t>
          </w:r>
        </w:sdtContent>
      </w:sdt>
      <w:r>
        <w:t xml:space="preserve">. </w:t>
      </w:r>
      <w:r w:rsidRPr="00740B16">
        <w:t xml:space="preserve">Studies utilising functional imaging indicate an association between these disorders and the abnormal functioning of brain networks </w:t>
      </w:r>
      <w:r>
        <w:t>underpinning</w:t>
      </w:r>
      <w:r w:rsidRPr="00740B16">
        <w:t xml:space="preserve"> perception, attention, the feeling of control over </w:t>
      </w:r>
      <w:r>
        <w:t>one's</w:t>
      </w:r>
      <w:r w:rsidRPr="00740B16">
        <w:t xml:space="preserve"> actions, and prior expectations of sensorimotor functions.</w:t>
      </w:r>
      <w:r>
        <w:t xml:space="preserve"> Neurophysiological</w:t>
      </w:r>
      <w:r w:rsidRPr="00740B16">
        <w:t xml:space="preserve"> and functional neuroimaging studies have shown varying activation patterns among FN</w:t>
      </w:r>
      <w:r>
        <w:t>S</w:t>
      </w:r>
      <w:r w:rsidRPr="00740B16">
        <w:t>D patients, healthy individuals, and those asked to feign symptoms</w:t>
      </w:r>
      <w:r>
        <w:t xml:space="preserve"> </w:t>
      </w:r>
      <w:sdt>
        <w:sdtPr>
          <w:rPr>
            <w:color w:val="000000"/>
          </w:rPr>
          <w:tag w:val="MENDELEY_CITATION_v3_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"/>
          <w:id w:val="887845654"/>
          <w:placeholder>
            <w:docPart w:val="CA3957472A8D224CADF08069A797E5A6"/>
          </w:placeholder>
        </w:sdtPr>
        <w:sdtContent>
          <w:r w:rsidR="0047170A" w:rsidRPr="0047170A">
            <w:rPr>
              <w:color w:val="000000"/>
            </w:rPr>
            <w:t>(M. J. Edwards et al., 2023)</w:t>
          </w:r>
        </w:sdtContent>
      </w:sdt>
      <w:r>
        <w:t xml:space="preserve">. </w:t>
      </w:r>
      <w:r w:rsidRPr="00740B16">
        <w:t xml:space="preserve">The development and persistence of symptoms are likely </w:t>
      </w:r>
      <w:r>
        <w:t>the</w:t>
      </w:r>
      <w:r w:rsidRPr="00740B16">
        <w:t xml:space="preserve"> result of various triggering, predisposing, and perpetuating elements, such as a </w:t>
      </w:r>
      <w:r>
        <w:t>patient's</w:t>
      </w:r>
      <w:r w:rsidRPr="00740B16">
        <w:t xml:space="preserve"> genetics, cognitive function, environmental influences, past experiences, and in certain instances, immediate triggers.</w:t>
      </w:r>
      <w:r>
        <w:t xml:space="preserve"> </w:t>
      </w:r>
      <w:r w:rsidRPr="00740B16">
        <w:t>Affective cognition is the interaction between emotion and cognition that impact the perception and response to stimuli.</w:t>
      </w:r>
      <w:r>
        <w:t xml:space="preserve"> </w:t>
      </w:r>
      <w:r w:rsidRPr="00740B16">
        <w:t xml:space="preserve">In FNSDs, affective cognition encompasses </w:t>
      </w:r>
      <w:r>
        <w:t>various</w:t>
      </w:r>
      <w:r w:rsidRPr="00740B16">
        <w:t xml:space="preserve"> cognitive processes influenced by emotional states or affective stimuli.</w:t>
      </w:r>
      <w:r>
        <w:t xml:space="preserve"> </w:t>
      </w:r>
      <w:r w:rsidRPr="00740B16">
        <w:t>These processes include attention, interpretation, memory, and decision-making</w:t>
      </w:r>
      <w:r>
        <w:t>. A</w:t>
      </w:r>
      <w:r w:rsidRPr="00740B16">
        <w:t>bnormalities in the</w:t>
      </w:r>
      <w:r>
        <w:t>se</w:t>
      </w:r>
      <w:r w:rsidRPr="00740B16">
        <w:t xml:space="preserve"> systems can be characterised by emotional dysregulation, negative attentional and interpretative biases</w:t>
      </w:r>
      <w:r>
        <w:t xml:space="preserve"> </w:t>
      </w:r>
      <w:sdt>
        <w:sdtPr>
          <w:rPr>
            <w:color w:val="000000"/>
          </w:rPr>
          <w:tag w:val="MENDELEY_CITATION_v3_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"/>
          <w:id w:val="-511221390"/>
          <w:placeholder>
            <w:docPart w:val="CA3957472A8D224CADF08069A797E5A6"/>
          </w:placeholder>
        </w:sdtPr>
        <w:sdtContent>
          <w:r w:rsidR="0047170A" w:rsidRPr="0047170A">
            <w:rPr>
              <w:color w:val="000000"/>
            </w:rPr>
            <w:t>(</w:t>
          </w:r>
          <w:proofErr w:type="spellStart"/>
          <w:r w:rsidR="0047170A" w:rsidRPr="0047170A">
            <w:rPr>
              <w:color w:val="000000"/>
            </w:rPr>
            <w:t>Keynejad</w:t>
          </w:r>
          <w:proofErr w:type="spellEnd"/>
          <w:r w:rsidR="0047170A" w:rsidRPr="0047170A">
            <w:rPr>
              <w:color w:val="000000"/>
            </w:rPr>
            <w:t xml:space="preserve"> et al., 2020)</w:t>
          </w:r>
        </w:sdtContent>
      </w:sdt>
      <w:r>
        <w:rPr>
          <w:color w:val="000000"/>
        </w:rPr>
        <w:t>.</w:t>
      </w:r>
      <w:r w:rsidRPr="00740B16">
        <w:t xml:space="preserve"> </w:t>
      </w:r>
    </w:p>
    <w:p w14:paraId="0FCF2557" w14:textId="77777777" w:rsidR="00E24D01" w:rsidRPr="00740B16" w:rsidRDefault="00E24D01" w:rsidP="008F4BAD">
      <w:pPr>
        <w:pStyle w:val="Heading3"/>
      </w:pPr>
      <w:bookmarkStart w:id="153" w:name="_Toc137504767"/>
      <w:r>
        <w:t>5.</w:t>
      </w:r>
      <w:r w:rsidRPr="00740B16">
        <w:t>1.2  Emotion Dysregulation and Alexithymia in FNSD</w:t>
      </w:r>
      <w:bookmarkEnd w:id="153"/>
    </w:p>
    <w:p w14:paraId="18D83820" w14:textId="4E4CF6FD" w:rsidR="00E24D01" w:rsidRPr="00740B16" w:rsidRDefault="00E24D01" w:rsidP="00451811">
      <w:r w:rsidRPr="00740B16">
        <w:t>FNSD patients</w:t>
      </w:r>
      <w:r>
        <w:t xml:space="preserve"> display </w:t>
      </w:r>
      <w:r w:rsidRPr="00740B16">
        <w:t>disrupted emotion regulation and alexithymia</w:t>
      </w:r>
      <w:r>
        <w:t>. H</w:t>
      </w:r>
      <w:r w:rsidRPr="00740B16">
        <w:t xml:space="preserve">eightened alexithymia levels </w:t>
      </w:r>
      <w:sdt>
        <w:sdtPr>
          <w:rPr>
            <w:color w:val="000000"/>
          </w:rPr>
          <w:tag w:val="MENDELEY_CITATION_v3_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"/>
          <w:id w:val="1466003678"/>
          <w:placeholder>
            <w:docPart w:val="CA3957472A8D224CADF08069A797E5A6"/>
          </w:placeholder>
        </w:sdtPr>
        <w:sdtContent>
          <w:r w:rsidR="0047170A" w:rsidRPr="0047170A">
            <w:rPr>
              <w:color w:val="000000"/>
            </w:rPr>
            <w:t xml:space="preserve">(Bewley et al., 2005; Demartini, </w:t>
          </w:r>
          <w:proofErr w:type="spellStart"/>
          <w:r w:rsidR="0047170A" w:rsidRPr="0047170A">
            <w:rPr>
              <w:color w:val="000000"/>
            </w:rPr>
            <w:t>Petrochilos</w:t>
          </w:r>
          <w:proofErr w:type="spellEnd"/>
          <w:r w:rsidR="0047170A" w:rsidRPr="0047170A">
            <w:rPr>
              <w:color w:val="000000"/>
            </w:rPr>
            <w:t>, et al., 2014; Ricciardi et al., 2015)</w:t>
          </w:r>
        </w:sdtContent>
      </w:sdt>
      <w:r w:rsidRPr="00740B16">
        <w:t xml:space="preserve"> </w:t>
      </w:r>
      <w:r>
        <w:t>have been</w:t>
      </w:r>
      <w:r w:rsidRPr="00740B16">
        <w:t xml:space="preserve"> interpreted as a conversion of emotional expressions into physical symptoms or a misinterpretation of bodily responses to emotions (e.g., increased heartbeat during fear) as physical illness indicators</w:t>
      </w:r>
      <w:r>
        <w:t xml:space="preserve"> </w:t>
      </w:r>
      <w:sdt>
        <w:sdtPr>
          <w:rPr>
            <w:color w:val="000000"/>
          </w:rPr>
          <w:tag w:val="MENDELEY_CITATION_v3_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"/>
          <w:id w:val="413213744"/>
          <w:placeholder>
            <w:docPart w:val="CA3957472A8D224CADF08069A797E5A6"/>
          </w:placeholder>
        </w:sdtPr>
        <w:sdtContent>
          <w:r w:rsidR="0047170A" w:rsidRPr="0047170A">
            <w:rPr>
              <w:color w:val="000000"/>
            </w:rPr>
            <w:t xml:space="preserve">(Demartini, </w:t>
          </w:r>
          <w:proofErr w:type="spellStart"/>
          <w:r w:rsidR="0047170A" w:rsidRPr="0047170A">
            <w:rPr>
              <w:color w:val="000000"/>
            </w:rPr>
            <w:t>Petrochilos</w:t>
          </w:r>
          <w:proofErr w:type="spellEnd"/>
          <w:r w:rsidR="0047170A" w:rsidRPr="0047170A">
            <w:rPr>
              <w:color w:val="000000"/>
            </w:rPr>
            <w:t>, et al., 2014)</w:t>
          </w:r>
        </w:sdtContent>
      </w:sdt>
      <w:r w:rsidRPr="00740B16">
        <w:t>.</w:t>
      </w:r>
      <w:r>
        <w:t xml:space="preserve"> </w:t>
      </w:r>
      <w:r w:rsidRPr="00740B16">
        <w:t xml:space="preserve">Emotion dysregulation in FNSD patients has been displayed by a greater tendency to suppress emotions and reduced cognitive reappraisal than in healthy </w:t>
      </w:r>
      <w:r>
        <w:t xml:space="preserve">controls </w:t>
      </w:r>
      <w:sdt>
        <w:sdtPr>
          <w:rPr>
            <w:color w:val="000000"/>
          </w:rPr>
          <w:tag w:val="MENDELEY_CITATION_v3_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"/>
          <w:id w:val="-1411762742"/>
          <w:placeholder>
            <w:docPart w:val="CA3957472A8D224CADF08069A797E5A6"/>
          </w:placeholder>
        </w:sdtPr>
        <w:sdtContent>
          <w:r w:rsidR="0047170A" w:rsidRPr="0047170A">
            <w:rPr>
              <w:color w:val="000000"/>
            </w:rPr>
            <w:t>(</w:t>
          </w:r>
          <w:proofErr w:type="spellStart"/>
          <w:r w:rsidR="0047170A" w:rsidRPr="0047170A">
            <w:rPr>
              <w:color w:val="000000"/>
            </w:rPr>
            <w:t>Kienle</w:t>
          </w:r>
          <w:proofErr w:type="spellEnd"/>
          <w:r w:rsidR="0047170A" w:rsidRPr="0047170A">
            <w:rPr>
              <w:color w:val="000000"/>
            </w:rPr>
            <w:t xml:space="preserve"> et al., 2018)</w:t>
          </w:r>
        </w:sdtContent>
      </w:sdt>
      <w:r w:rsidRPr="00740B16">
        <w:t>.</w:t>
      </w:r>
      <w:r>
        <w:t xml:space="preserve"> </w:t>
      </w:r>
      <w:r w:rsidRPr="00740B16">
        <w:t xml:space="preserve">Alongside self-reported alexithymia and emotion regulation strategies, brain imaging and functioning in experimental emotion regulation tasks have further substantiated the role of emotion </w:t>
      </w:r>
      <w:r>
        <w:t>dys</w:t>
      </w:r>
      <w:r w:rsidRPr="00740B16">
        <w:t>regulation</w:t>
      </w:r>
      <w:r>
        <w:t xml:space="preserve"> </w:t>
      </w:r>
      <w:r w:rsidRPr="00740B16">
        <w:t>in FNSD.</w:t>
      </w:r>
      <w:r>
        <w:t xml:space="preserve"> </w:t>
      </w:r>
      <w:r w:rsidRPr="00740B16">
        <w:t xml:space="preserve">Imaging studies using hemodynamic and electromagnetic techniques have demonstrated changes in emotional stimuli processing and emotion regulation in FNSD patients compared to control groups, specifically in the frontal-cortical and parietal cortices associated with emotion regulation </w:t>
      </w:r>
      <w:sdt>
        <w:sdtPr>
          <w:tag w:val="MENDELEY_CITATION_v3_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"/>
          <w:id w:val="1518573510"/>
          <w:placeholder>
            <w:docPart w:val="CA3957472A8D224CADF08069A797E5A6"/>
          </w:placeholder>
        </w:sdtPr>
        <w:sdtContent>
          <w:r w:rsidR="0047170A">
            <w:rPr>
              <w:rFonts w:eastAsia="Times New Roman"/>
            </w:rPr>
            <w:t>(</w:t>
          </w:r>
          <w:proofErr w:type="spellStart"/>
          <w:r w:rsidR="0047170A">
            <w:rPr>
              <w:rFonts w:eastAsia="Times New Roman"/>
            </w:rPr>
            <w:t>Etkin</w:t>
          </w:r>
          <w:proofErr w:type="spellEnd"/>
          <w:r w:rsidR="0047170A">
            <w:rPr>
              <w:rFonts w:eastAsia="Times New Roman"/>
            </w:rPr>
            <w:t xml:space="preserve"> et al., 2015; López-Pérez &amp; </w:t>
          </w:r>
          <w:proofErr w:type="spellStart"/>
          <w:r w:rsidR="0047170A">
            <w:rPr>
              <w:rFonts w:eastAsia="Times New Roman"/>
            </w:rPr>
            <w:t>Ambrona</w:t>
          </w:r>
          <w:proofErr w:type="spellEnd"/>
          <w:r w:rsidR="0047170A">
            <w:rPr>
              <w:rFonts w:eastAsia="Times New Roman"/>
            </w:rPr>
            <w:t>, 2015)</w:t>
          </w:r>
        </w:sdtContent>
      </w:sdt>
      <w:r w:rsidRPr="00740B16">
        <w:t>.</w:t>
      </w:r>
      <w:r>
        <w:t xml:space="preserve"> </w:t>
      </w:r>
      <w:r w:rsidRPr="00740B16">
        <w:t xml:space="preserve">In addition, increased activity in movement-related cortical areas has been observed in functional movement patients versus controls </w:t>
      </w:r>
      <w:sdt>
        <w:sdtPr>
          <w:rPr>
            <w:color w:val="000000"/>
          </w:rPr>
          <w:tag w:val="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"/>
          <w:id w:val="2122947405"/>
          <w:placeholder>
            <w:docPart w:val="CA3957472A8D224CADF08069A797E5A6"/>
          </w:placeholder>
        </w:sdtPr>
        <w:sdtContent>
          <w:r w:rsidR="0047170A" w:rsidRPr="0047170A">
            <w:rPr>
              <w:color w:val="000000"/>
            </w:rPr>
            <w:t>(</w:t>
          </w:r>
          <w:proofErr w:type="spellStart"/>
          <w:r w:rsidR="0047170A" w:rsidRPr="0047170A">
            <w:rPr>
              <w:color w:val="000000"/>
            </w:rPr>
            <w:t>Aybek</w:t>
          </w:r>
          <w:proofErr w:type="spellEnd"/>
          <w:r w:rsidR="0047170A" w:rsidRPr="0047170A">
            <w:rPr>
              <w:color w:val="000000"/>
            </w:rPr>
            <w:t xml:space="preserve"> et al., 2015; Blakemore et al., </w:t>
          </w:r>
          <w:r w:rsidR="0047170A" w:rsidRPr="0047170A">
            <w:rPr>
              <w:color w:val="000000"/>
            </w:rPr>
            <w:lastRenderedPageBreak/>
            <w:t xml:space="preserve">2016; </w:t>
          </w:r>
          <w:proofErr w:type="spellStart"/>
          <w:r w:rsidR="0047170A" w:rsidRPr="0047170A">
            <w:rPr>
              <w:color w:val="000000"/>
            </w:rPr>
            <w:t>Voon</w:t>
          </w:r>
          <w:proofErr w:type="spellEnd"/>
          <w:r w:rsidR="0047170A" w:rsidRPr="0047170A">
            <w:rPr>
              <w:color w:val="000000"/>
            </w:rPr>
            <w:t xml:space="preserve"> et al., 2010)</w:t>
          </w:r>
        </w:sdtContent>
      </w:sdt>
      <w:r w:rsidRPr="00740B16">
        <w:t>.</w:t>
      </w:r>
      <w:r>
        <w:t xml:space="preserve"> </w:t>
      </w:r>
      <w:r w:rsidRPr="00740B16">
        <w:t xml:space="preserve">Similarly, reduced frontal-cortical but increased sensorimotor electromagnetic activity was reported in FNSD patients faced with unpleasant stimuli during an emotion regulation task involving cognitive reappraisal strategies </w:t>
      </w:r>
      <w:sdt>
        <w:sdtPr>
          <w:rPr>
            <w:color w:val="000000"/>
          </w:rPr>
          <w:tag w:val="MENDELEY_CITATION_v3_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"/>
          <w:id w:val="-1031878256"/>
          <w:placeholder>
            <w:docPart w:val="CA3957472A8D224CADF08069A797E5A6"/>
          </w:placeholder>
        </w:sdtPr>
        <w:sdtContent>
          <w:r w:rsidR="0047170A" w:rsidRPr="0047170A">
            <w:rPr>
              <w:color w:val="000000"/>
            </w:rPr>
            <w:t>(</w:t>
          </w:r>
          <w:proofErr w:type="spellStart"/>
          <w:r w:rsidR="0047170A" w:rsidRPr="0047170A">
            <w:rPr>
              <w:color w:val="000000"/>
            </w:rPr>
            <w:t>Fiess</w:t>
          </w:r>
          <w:proofErr w:type="spellEnd"/>
          <w:r w:rsidR="0047170A" w:rsidRPr="0047170A">
            <w:rPr>
              <w:color w:val="000000"/>
            </w:rPr>
            <w:t xml:space="preserve"> et al., 2015)</w:t>
          </w:r>
        </w:sdtContent>
      </w:sdt>
      <w:r w:rsidRPr="00740B16">
        <w:t>.</w:t>
      </w:r>
    </w:p>
    <w:p w14:paraId="39EDDBF9" w14:textId="22CA2340" w:rsidR="00E24D01" w:rsidRPr="00740B16" w:rsidRDefault="00E24D01" w:rsidP="00451811">
      <w:r>
        <w:t>Within the therapeutic context, it is possible to explore the role that emotional processing plays in developing FNSD in greater depth</w:t>
      </w:r>
      <w:r w:rsidRPr="00740B16">
        <w:t>.</w:t>
      </w:r>
      <w:r>
        <w:t xml:space="preserve"> </w:t>
      </w:r>
      <w:r w:rsidRPr="00740B16">
        <w:t xml:space="preserve">Many treatment </w:t>
      </w:r>
      <w:r>
        <w:t>approaches</w:t>
      </w:r>
      <w:r w:rsidRPr="00740B16">
        <w:t xml:space="preserve"> focus on interpreting symptoms as an outcome of emotion </w:t>
      </w:r>
      <w:r>
        <w:t>dys</w:t>
      </w:r>
      <w:r w:rsidRPr="00740B16">
        <w:t>regulation or emotional conflict resolution through physical manifestation</w:t>
      </w:r>
      <w:r>
        <w:t>,</w:t>
      </w:r>
      <w:r w:rsidRPr="00740B16">
        <w:t xml:space="preserve"> </w:t>
      </w:r>
      <w:r>
        <w:t>e.g.</w:t>
      </w:r>
      <w:r w:rsidRPr="00740B16">
        <w:t xml:space="preserve"> in brief psychodynamic</w:t>
      </w:r>
      <w:r>
        <w:t>,</w:t>
      </w:r>
      <w:r w:rsidRPr="00740B16">
        <w:t xml:space="preserve"> interpersonal therapy </w:t>
      </w:r>
      <w:sdt>
        <w:sdtPr>
          <w:rPr>
            <w:color w:val="000000"/>
          </w:rPr>
          <w:tag w:val="MENDELEY_CITATION_v3_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"/>
          <w:id w:val="331813032"/>
          <w:placeholder>
            <w:docPart w:val="CA3957472A8D224CADF08069A797E5A6"/>
          </w:placeholder>
        </w:sdtPr>
        <w:sdtContent>
          <w:r w:rsidR="0047170A" w:rsidRPr="0047170A">
            <w:rPr>
              <w:color w:val="000000"/>
            </w:rPr>
            <w:t>(Mayor et al., 2010; McCormack et al., 2014)</w:t>
          </w:r>
        </w:sdtContent>
      </w:sdt>
      <w:r w:rsidRPr="00740B16">
        <w:t xml:space="preserve"> or cognitive behaviour therapy enriched with emotion regulation </w:t>
      </w:r>
      <w:sdt>
        <w:sdtPr>
          <w:rPr>
            <w:color w:val="000000"/>
          </w:rPr>
          <w:tag w:val="MENDELEY_CITATION_v3_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"/>
          <w:id w:val="1712226406"/>
          <w:placeholder>
            <w:docPart w:val="CA3957472A8D224CADF08069A797E5A6"/>
          </w:placeholder>
        </w:sdtPr>
        <w:sdtContent>
          <w:r w:rsidR="0047170A" w:rsidRPr="0047170A">
            <w:rPr>
              <w:color w:val="000000"/>
            </w:rPr>
            <w:t>(</w:t>
          </w:r>
          <w:proofErr w:type="spellStart"/>
          <w:r w:rsidR="0047170A" w:rsidRPr="0047170A">
            <w:rPr>
              <w:color w:val="000000"/>
            </w:rPr>
            <w:t>Kleinstäuber</w:t>
          </w:r>
          <w:proofErr w:type="spellEnd"/>
          <w:r w:rsidR="0047170A" w:rsidRPr="0047170A">
            <w:rPr>
              <w:color w:val="000000"/>
            </w:rPr>
            <w:t xml:space="preserve"> et al., 2016)</w:t>
          </w:r>
        </w:sdtContent>
      </w:sdt>
      <w:r w:rsidRPr="00740B16">
        <w:t>.</w:t>
      </w:r>
      <w:r>
        <w:t xml:space="preserve"> </w:t>
      </w:r>
      <w:r w:rsidRPr="00740B16">
        <w:t xml:space="preserve">Thus, </w:t>
      </w:r>
      <w:r>
        <w:t xml:space="preserve">treatment-associated </w:t>
      </w:r>
      <w:r w:rsidRPr="00740B16">
        <w:t>changes</w:t>
      </w:r>
      <w:r>
        <w:t xml:space="preserve"> found</w:t>
      </w:r>
      <w:r w:rsidRPr="00740B16">
        <w:t xml:space="preserve"> </w:t>
      </w:r>
      <w:r>
        <w:t>in these therapies strengthen the</w:t>
      </w:r>
      <w:r w:rsidRPr="00740B16">
        <w:t xml:space="preserve">ories </w:t>
      </w:r>
      <w:r>
        <w:t xml:space="preserve">implicating abnormal </w:t>
      </w:r>
      <w:r w:rsidRPr="00740B16">
        <w:t>emotion regulation in</w:t>
      </w:r>
      <w:r>
        <w:t xml:space="preserve"> the aetiology of</w:t>
      </w:r>
      <w:r w:rsidRPr="00740B16">
        <w:t xml:space="preserve"> FNSD.</w:t>
      </w:r>
    </w:p>
    <w:p w14:paraId="751CA9B5" w14:textId="77777777" w:rsidR="00E24D01" w:rsidRPr="00740B16" w:rsidRDefault="00E24D01" w:rsidP="008F4BAD">
      <w:pPr>
        <w:pStyle w:val="Heading3"/>
      </w:pPr>
      <w:bookmarkStart w:id="154" w:name="_Toc137504768"/>
      <w:r>
        <w:t>5.</w:t>
      </w:r>
      <w:r w:rsidRPr="00740B16">
        <w:t>1.</w:t>
      </w:r>
      <w:r>
        <w:t>3</w:t>
      </w:r>
      <w:r w:rsidRPr="00740B16">
        <w:t xml:space="preserve">  Attentional Processing and Interpretative Bias in FNSD</w:t>
      </w:r>
      <w:bookmarkEnd w:id="154"/>
    </w:p>
    <w:p w14:paraId="67A7852E" w14:textId="08E50504" w:rsidR="00E24D01" w:rsidRPr="00740B16" w:rsidRDefault="00E24D01" w:rsidP="00451811">
      <w:r w:rsidRPr="00740B16">
        <w:t>Altered patterns of attentional processing also appear to be a feature of FNSD.</w:t>
      </w:r>
      <w:r>
        <w:t xml:space="preserve"> </w:t>
      </w:r>
      <w:r w:rsidRPr="00740B16">
        <w:t xml:space="preserve">Modifications in attention processing (automatically directing attention to negative or illness-related information) and bias in interpretation (interpreting ambiguous information as negative or related to illness) </w:t>
      </w:r>
      <w:r>
        <w:t xml:space="preserve">appear to </w:t>
      </w:r>
      <w:r w:rsidRPr="00740B16">
        <w:t xml:space="preserve">have a mechanistic role in the disorder </w:t>
      </w:r>
      <w:sdt>
        <w:sdtPr>
          <w:rPr>
            <w:color w:val="000000"/>
          </w:rPr>
          <w:tag w:val="MENDELEY_CITATION_v3_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"/>
          <w:id w:val="1694967843"/>
          <w:placeholder>
            <w:docPart w:val="CA3957472A8D224CADF08069A797E5A6"/>
          </w:placeholder>
        </w:sdtPr>
        <w:sdtContent>
          <w:r w:rsidR="0047170A" w:rsidRPr="0047170A">
            <w:rPr>
              <w:color w:val="000000"/>
            </w:rPr>
            <w:t>(</w:t>
          </w:r>
          <w:proofErr w:type="spellStart"/>
          <w:r w:rsidR="0047170A" w:rsidRPr="0047170A">
            <w:rPr>
              <w:color w:val="000000"/>
            </w:rPr>
            <w:t>Keynejad</w:t>
          </w:r>
          <w:proofErr w:type="spellEnd"/>
          <w:r w:rsidR="0047170A" w:rsidRPr="0047170A">
            <w:rPr>
              <w:color w:val="000000"/>
            </w:rPr>
            <w:t xml:space="preserve"> et al., 2020)</w:t>
          </w:r>
        </w:sdtContent>
      </w:sdt>
      <w:r w:rsidRPr="00740B16">
        <w:t>.</w:t>
      </w:r>
    </w:p>
    <w:p w14:paraId="20AD1C71" w14:textId="60F6B3E0" w:rsidR="00E24D01" w:rsidRPr="00740B16" w:rsidRDefault="00E24D01" w:rsidP="00451811">
      <w:r>
        <w:t>Concentrated</w:t>
      </w:r>
      <w:r w:rsidRPr="00740B16">
        <w:t xml:space="preserve"> self-attention affecting an intended action—such as mixing up </w:t>
      </w:r>
      <w:r>
        <w:t>one's</w:t>
      </w:r>
      <w:r w:rsidRPr="00740B16">
        <w:t xml:space="preserve"> lines during a public speech </w:t>
      </w:r>
      <w:r>
        <w:t xml:space="preserve">- </w:t>
      </w:r>
      <w:r w:rsidRPr="00740B16">
        <w:t>is common.</w:t>
      </w:r>
      <w:r>
        <w:t xml:space="preserve"> </w:t>
      </w:r>
      <w:r w:rsidRPr="00740B16">
        <w:t>The human nervous system is structured to balance incoming sensory information from the body (</w:t>
      </w:r>
      <w:r>
        <w:t>"</w:t>
      </w:r>
      <w:r w:rsidRPr="00740B16">
        <w:t>bottom-up</w:t>
      </w:r>
      <w:r>
        <w:t>"</w:t>
      </w:r>
      <w:r w:rsidRPr="00740B16">
        <w:t xml:space="preserve">) with anticipatory </w:t>
      </w:r>
      <w:r>
        <w:t>"</w:t>
      </w:r>
      <w:r w:rsidRPr="00740B16">
        <w:t>top-down</w:t>
      </w:r>
      <w:r>
        <w:t>"</w:t>
      </w:r>
      <w:r w:rsidRPr="00740B16">
        <w:t xml:space="preserve"> predictions of what that sensory information will be.</w:t>
      </w:r>
      <w:r>
        <w:t xml:space="preserve"> </w:t>
      </w:r>
      <w:r w:rsidRPr="00740B16">
        <w:t xml:space="preserve">Electrophysiological </w:t>
      </w:r>
      <w:r>
        <w:t xml:space="preserve">and other objective </w:t>
      </w:r>
      <w:r w:rsidRPr="00740B16">
        <w:t xml:space="preserve">studies support the notion that this system is out of balance in FNSD patients </w:t>
      </w:r>
      <w:sdt>
        <w:sdtPr>
          <w:rPr>
            <w:color w:val="000000"/>
          </w:rPr>
          <w:tag w:val="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"/>
          <w:id w:val="1843742029"/>
          <w:placeholder>
            <w:docPart w:val="CA3957472A8D224CADF08069A797E5A6"/>
          </w:placeholder>
        </w:sdtPr>
        <w:sdtContent>
          <w:r w:rsidR="0047170A" w:rsidRPr="0047170A">
            <w:rPr>
              <w:color w:val="000000"/>
            </w:rPr>
            <w:t>(</w:t>
          </w:r>
          <w:proofErr w:type="spellStart"/>
          <w:r w:rsidR="0047170A" w:rsidRPr="0047170A">
            <w:rPr>
              <w:color w:val="000000"/>
            </w:rPr>
            <w:t>Macerollo</w:t>
          </w:r>
          <w:proofErr w:type="spellEnd"/>
          <w:r w:rsidR="0047170A" w:rsidRPr="0047170A">
            <w:rPr>
              <w:color w:val="000000"/>
            </w:rPr>
            <w:t xml:space="preserve"> et al., 2015; </w:t>
          </w:r>
          <w:proofErr w:type="spellStart"/>
          <w:r w:rsidR="0047170A" w:rsidRPr="0047170A">
            <w:rPr>
              <w:color w:val="000000"/>
            </w:rPr>
            <w:t>Pareés</w:t>
          </w:r>
          <w:proofErr w:type="spellEnd"/>
          <w:r w:rsidR="0047170A" w:rsidRPr="0047170A">
            <w:rPr>
              <w:color w:val="000000"/>
            </w:rPr>
            <w:t xml:space="preserve"> et al., 2012)</w:t>
          </w:r>
        </w:sdtContent>
      </w:sdt>
      <w:r w:rsidRPr="00740B16">
        <w:t>.</w:t>
      </w:r>
      <w:r>
        <w:t xml:space="preserve"> An</w:t>
      </w:r>
      <w:r w:rsidRPr="00740B16">
        <w:t xml:space="preserve"> unusually high volume of attention towards symptom-related prior beliefs and expectations</w:t>
      </w:r>
      <w:r>
        <w:t xml:space="preserve"> may</w:t>
      </w:r>
      <w:r w:rsidRPr="00740B16">
        <w:t xml:space="preserve"> reinforce and maintain symptoms </w:t>
      </w:r>
      <w:sdt>
        <w:sdtPr>
          <w:rPr>
            <w:color w:val="000000"/>
          </w:rPr>
          <w:tag w:val="MENDELEY_CITATION_v3_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"/>
          <w:id w:val="1201128712"/>
          <w:placeholder>
            <w:docPart w:val="CA3957472A8D224CADF08069A797E5A6"/>
          </w:placeholder>
        </w:sdtPr>
        <w:sdtContent>
          <w:r w:rsidR="0047170A" w:rsidRPr="0047170A">
            <w:rPr>
              <w:color w:val="000000"/>
            </w:rPr>
            <w:t>(M. J. Edwards et al., 2012)</w:t>
          </w:r>
        </w:sdtContent>
      </w:sdt>
      <w:r w:rsidRPr="00740B16">
        <w:t>.</w:t>
      </w:r>
      <w:r>
        <w:t xml:space="preserve"> </w:t>
      </w:r>
      <w:r w:rsidRPr="00740B16">
        <w:t xml:space="preserve">This could explain why FNSD symptoms tend to improve with distractions, a technique that physiotherapists use </w:t>
      </w:r>
      <w:r>
        <w:t>to treat</w:t>
      </w:r>
      <w:r w:rsidRPr="00740B16">
        <w:t xml:space="preserve"> functional movement </w:t>
      </w:r>
      <w:r>
        <w:t>disorders</w:t>
      </w:r>
      <w:r w:rsidRPr="00740B16">
        <w:t xml:space="preserve"> </w:t>
      </w:r>
      <w:sdt>
        <w:sdtPr>
          <w:rPr>
            <w:color w:val="000000"/>
          </w:rPr>
          <w:tag w:val="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"/>
          <w:id w:val="808054497"/>
          <w:placeholder>
            <w:docPart w:val="CA3957472A8D224CADF08069A797E5A6"/>
          </w:placeholder>
        </w:sdtPr>
        <w:sdtContent>
          <w:r w:rsidR="0047170A" w:rsidRPr="0047170A">
            <w:rPr>
              <w:color w:val="000000"/>
            </w:rPr>
            <w:t>(</w:t>
          </w:r>
          <w:proofErr w:type="spellStart"/>
          <w:r w:rsidR="0047170A" w:rsidRPr="0047170A">
            <w:rPr>
              <w:color w:val="000000"/>
            </w:rPr>
            <w:t>Espay</w:t>
          </w:r>
          <w:proofErr w:type="spellEnd"/>
          <w:r w:rsidR="0047170A" w:rsidRPr="0047170A">
            <w:rPr>
              <w:color w:val="000000"/>
            </w:rPr>
            <w:t xml:space="preserve">, </w:t>
          </w:r>
          <w:proofErr w:type="spellStart"/>
          <w:r w:rsidR="0047170A" w:rsidRPr="0047170A">
            <w:rPr>
              <w:color w:val="000000"/>
            </w:rPr>
            <w:t>Aybek</w:t>
          </w:r>
          <w:proofErr w:type="spellEnd"/>
          <w:r w:rsidR="0047170A" w:rsidRPr="0047170A">
            <w:rPr>
              <w:color w:val="000000"/>
            </w:rPr>
            <w:t xml:space="preserve"> et al., 2018; Nielsen et al., 2015)</w:t>
          </w:r>
        </w:sdtContent>
      </w:sdt>
      <w:r w:rsidRPr="00740B16">
        <w:t>.</w:t>
      </w:r>
    </w:p>
    <w:p w14:paraId="2C28CFA7" w14:textId="48299B80" w:rsidR="00E24D01" w:rsidRPr="00740B16" w:rsidRDefault="00E24D01" w:rsidP="00FE0B2E">
      <w:pPr>
        <w:spacing w:before="240"/>
      </w:pPr>
      <w:r w:rsidRPr="00740B16">
        <w:t xml:space="preserve">Faster reaction times to sad faces have been reported and might suggest abnormally heightened awareness of threat stimuli in patients with FNSD </w:t>
      </w:r>
      <w:sdt>
        <w:sdtPr>
          <w:rPr>
            <w:color w:val="000000"/>
          </w:rPr>
          <w:tag w:val="MENDELEY_CITATION_v3_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"/>
          <w:id w:val="-1899897299"/>
          <w:placeholder>
            <w:docPart w:val="CA3957472A8D224CADF08069A797E5A6"/>
          </w:placeholder>
        </w:sdtPr>
        <w:sdtContent>
          <w:r w:rsidR="0047170A" w:rsidRPr="0047170A">
            <w:rPr>
              <w:color w:val="000000"/>
            </w:rPr>
            <w:t>(</w:t>
          </w:r>
          <w:proofErr w:type="spellStart"/>
          <w:r w:rsidR="0047170A" w:rsidRPr="0047170A">
            <w:rPr>
              <w:color w:val="000000"/>
            </w:rPr>
            <w:t>Kozlowska</w:t>
          </w:r>
          <w:proofErr w:type="spellEnd"/>
          <w:r w:rsidR="0047170A" w:rsidRPr="0047170A">
            <w:rPr>
              <w:color w:val="000000"/>
            </w:rPr>
            <w:t xml:space="preserve"> et al., 2013)</w:t>
          </w:r>
        </w:sdtContent>
      </w:sdt>
      <w:r w:rsidRPr="00740B16">
        <w:t>.</w:t>
      </w:r>
      <w:r>
        <w:t xml:space="preserve"> However, this finding is inconsistent</w:t>
      </w:r>
      <w:r w:rsidRPr="00740B16">
        <w:t xml:space="preserve">, as another study </w:t>
      </w:r>
      <w:r>
        <w:t xml:space="preserve">comparing FNSD patients with healthy controls </w:t>
      </w:r>
      <w:r w:rsidRPr="00740B16">
        <w:t>did not find any group differences in reaction time</w:t>
      </w:r>
      <w:r>
        <w:t>s</w:t>
      </w:r>
      <w:r w:rsidRPr="00740B16">
        <w:t xml:space="preserve"> to the emotional content of stimuli in a Stroop task </w:t>
      </w:r>
      <w:sdt>
        <w:sdtPr>
          <w:rPr>
            <w:color w:val="000000"/>
          </w:rPr>
          <w:tag w:val="MENDELEY_CITATION_v3_eyJjaXRhdGlvbklEIjoiTUVOREVMRVlfQ0lUQVRJT05fNjNlNTc4Y2YtNjQ3OS00YmZjLTk2YjItNTBlYjUxY2Y0MTVkIiwicHJvcGVydGllcyI6eyJub3RlSW5kZXgiOjB9LCJpc0VkaXRlZCI6ZmFsc2UsIm1hbnVhbE92ZXJyaWRlIjp7ImlzTWFudWFsbHlPdmVycmlkZGVuIjpmYWxzZSwiY2l0ZXByb2NUZXh0IjoiKEJha3ZpcyBldCBhbC4sIDIwMDkpIiwibWFudWFsT3ZlcnJpZGVUZXh0Ijoi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V19"/>
          <w:id w:val="74259900"/>
          <w:placeholder>
            <w:docPart w:val="CA3957472A8D224CADF08069A797E5A6"/>
          </w:placeholder>
        </w:sdtPr>
        <w:sdtContent>
          <w:r w:rsidR="0047170A" w:rsidRPr="0047170A">
            <w:rPr>
              <w:color w:val="000000"/>
            </w:rPr>
            <w:t>(</w:t>
          </w:r>
          <w:proofErr w:type="spellStart"/>
          <w:r w:rsidR="0047170A" w:rsidRPr="0047170A">
            <w:rPr>
              <w:color w:val="000000"/>
            </w:rPr>
            <w:t>Bakvis</w:t>
          </w:r>
          <w:proofErr w:type="spellEnd"/>
          <w:r w:rsidR="0047170A" w:rsidRPr="0047170A">
            <w:rPr>
              <w:color w:val="000000"/>
            </w:rPr>
            <w:t xml:space="preserve"> et al., 2009)</w:t>
          </w:r>
        </w:sdtContent>
      </w:sdt>
      <w:r w:rsidRPr="00740B16">
        <w:t>.</w:t>
      </w:r>
      <w:r>
        <w:t xml:space="preserve"> </w:t>
      </w:r>
      <w:r w:rsidRPr="00740B16">
        <w:t xml:space="preserve">Some research has shown </w:t>
      </w:r>
      <w:r w:rsidRPr="00740B16">
        <w:lastRenderedPageBreak/>
        <w:t xml:space="preserve">changes in amygdala activity in FNSD patients responding to fear-inducing or aversive stimuli </w:t>
      </w:r>
      <w:sdt>
        <w:sdtPr>
          <w:rPr>
            <w:color w:val="000000"/>
          </w:rPr>
          <w:tag w:val="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"/>
          <w:id w:val="-1675025582"/>
          <w:placeholder>
            <w:docPart w:val="CA3957472A8D224CADF08069A797E5A6"/>
          </w:placeholder>
        </w:sdtPr>
        <w:sdtContent>
          <w:r w:rsidR="0047170A" w:rsidRPr="0047170A">
            <w:rPr>
              <w:color w:val="000000"/>
            </w:rPr>
            <w:t>(</w:t>
          </w:r>
          <w:proofErr w:type="spellStart"/>
          <w:r w:rsidR="0047170A" w:rsidRPr="0047170A">
            <w:rPr>
              <w:color w:val="000000"/>
            </w:rPr>
            <w:t>Aybek</w:t>
          </w:r>
          <w:proofErr w:type="spellEnd"/>
          <w:r w:rsidR="0047170A" w:rsidRPr="0047170A">
            <w:rPr>
              <w:color w:val="000000"/>
            </w:rPr>
            <w:t xml:space="preserve"> et al., 2015; </w:t>
          </w:r>
          <w:proofErr w:type="spellStart"/>
          <w:r w:rsidR="0047170A" w:rsidRPr="0047170A">
            <w:rPr>
              <w:color w:val="000000"/>
            </w:rPr>
            <w:t>Espay</w:t>
          </w:r>
          <w:proofErr w:type="spellEnd"/>
          <w:r w:rsidR="0047170A" w:rsidRPr="0047170A">
            <w:rPr>
              <w:color w:val="000000"/>
            </w:rPr>
            <w:t xml:space="preserve">, Maloney, et al., 2018; </w:t>
          </w:r>
          <w:proofErr w:type="spellStart"/>
          <w:r w:rsidR="0047170A" w:rsidRPr="0047170A">
            <w:rPr>
              <w:color w:val="000000"/>
            </w:rPr>
            <w:t>Voon</w:t>
          </w:r>
          <w:proofErr w:type="spellEnd"/>
          <w:r w:rsidR="0047170A" w:rsidRPr="0047170A">
            <w:rPr>
              <w:color w:val="000000"/>
            </w:rPr>
            <w:t xml:space="preserve"> et al., 2010)</w:t>
          </w:r>
        </w:sdtContent>
      </w:sdt>
      <w:r w:rsidRPr="00740B16">
        <w:t>.</w:t>
      </w:r>
      <w:r>
        <w:t xml:space="preserve"> </w:t>
      </w:r>
      <w:r w:rsidRPr="00740B16">
        <w:t>Unlike healthy controls, FNSD patients did not become accustomed to fear stimuli over time.</w:t>
      </w:r>
      <w:r>
        <w:t xml:space="preserve"> </w:t>
      </w:r>
      <w:r w:rsidRPr="00740B16">
        <w:t xml:space="preserve">Additional studies highlight the involvement of sensorimotor areas during the processing of emotional images in FNSD patients </w:t>
      </w:r>
      <w:sdt>
        <w:sdtPr>
          <w:rPr>
            <w:color w:val="000000"/>
          </w:rPr>
          <w:tag w:val="MENDELEY_CITATION_v3_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"/>
          <w:id w:val="-1457410908"/>
          <w:placeholder>
            <w:docPart w:val="CA3957472A8D224CADF08069A797E5A6"/>
          </w:placeholder>
        </w:sdtPr>
        <w:sdtContent>
          <w:r w:rsidR="0047170A" w:rsidRPr="0047170A">
            <w:rPr>
              <w:color w:val="000000"/>
            </w:rPr>
            <w:t>(</w:t>
          </w:r>
          <w:proofErr w:type="spellStart"/>
          <w:r w:rsidR="0047170A" w:rsidRPr="0047170A">
            <w:rPr>
              <w:color w:val="000000"/>
            </w:rPr>
            <w:t>Fiess</w:t>
          </w:r>
          <w:proofErr w:type="spellEnd"/>
          <w:r w:rsidR="0047170A" w:rsidRPr="0047170A">
            <w:rPr>
              <w:color w:val="000000"/>
            </w:rPr>
            <w:t xml:space="preserve"> et al., 2015, 2016)</w:t>
          </w:r>
        </w:sdtContent>
      </w:sdt>
      <w:r w:rsidRPr="00740B16">
        <w:t>.</w:t>
      </w:r>
      <w:r>
        <w:t xml:space="preserve"> These findings suggest</w:t>
      </w:r>
      <w:r w:rsidRPr="00740B16">
        <w:t xml:space="preserve"> alterations in processing emotionally valent stimuli in FNSD patients.</w:t>
      </w:r>
    </w:p>
    <w:p w14:paraId="34B300C7" w14:textId="77777777" w:rsidR="00E24D01" w:rsidRPr="00740B16" w:rsidRDefault="00E24D01" w:rsidP="008F4BAD">
      <w:pPr>
        <w:pStyle w:val="Heading3"/>
      </w:pPr>
      <w:bookmarkStart w:id="155" w:name="_Toc137504769"/>
      <w:r>
        <w:t>5.</w:t>
      </w:r>
      <w:r w:rsidRPr="00740B16">
        <w:t>1.</w:t>
      </w:r>
      <w:r>
        <w:t>4</w:t>
      </w:r>
      <w:r w:rsidRPr="00740B16">
        <w:t xml:space="preserve"> Measures </w:t>
      </w:r>
      <w:r>
        <w:t xml:space="preserve">of Affective Cognition </w:t>
      </w:r>
      <w:r w:rsidRPr="00740B16">
        <w:t>in FNSD</w:t>
      </w:r>
      <w:bookmarkEnd w:id="155"/>
    </w:p>
    <w:p w14:paraId="5231943B" w14:textId="64F5A560" w:rsidR="00E24D01" w:rsidRPr="00740B16" w:rsidRDefault="00E24D01" w:rsidP="00451811">
      <w:r>
        <w:t>V</w:t>
      </w:r>
      <w:r w:rsidRPr="00740B16">
        <w:t>arious validated neuropsychological measures</w:t>
      </w:r>
      <w:r>
        <w:t xml:space="preserve"> can assess</w:t>
      </w:r>
      <w:r w:rsidRPr="00740B16">
        <w:t xml:space="preserve"> affective cognition in </w:t>
      </w:r>
      <w:r>
        <w:t>FNSD. One approach is</w:t>
      </w:r>
      <w:r w:rsidRPr="00740B16">
        <w:t xml:space="preserve"> The Negative Affective Priming task</w:t>
      </w:r>
      <w:r>
        <w:t>,</w:t>
      </w:r>
      <w:r w:rsidRPr="00740B16">
        <w:t xml:space="preserve"> which </w:t>
      </w:r>
      <w:r>
        <w:t>evaluates</w:t>
      </w:r>
      <w:r w:rsidRPr="00740B16">
        <w:t xml:space="preserve"> attentional biases by measuring the delay in response times to previously ignored negative stimuli </w:t>
      </w:r>
      <w:sdt>
        <w:sdtPr>
          <w:rPr>
            <w:color w:val="000000"/>
          </w:rPr>
          <w:tag w:val="MENDELEY_CITATION_v3_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"/>
          <w:id w:val="856394912"/>
          <w:placeholder>
            <w:docPart w:val="CA3957472A8D224CADF08069A797E5A6"/>
          </w:placeholder>
        </w:sdtPr>
        <w:sdtContent>
          <w:r w:rsidR="0047170A" w:rsidRPr="0047170A">
            <w:rPr>
              <w:color w:val="000000"/>
            </w:rPr>
            <w:t>(</w:t>
          </w:r>
          <w:proofErr w:type="spellStart"/>
          <w:r w:rsidR="0047170A" w:rsidRPr="0047170A">
            <w:rPr>
              <w:color w:val="000000"/>
            </w:rPr>
            <w:t>Keynejad</w:t>
          </w:r>
          <w:proofErr w:type="spellEnd"/>
          <w:r w:rsidR="0047170A" w:rsidRPr="0047170A">
            <w:rPr>
              <w:color w:val="000000"/>
            </w:rPr>
            <w:t xml:space="preserve"> et al., 2020)</w:t>
          </w:r>
        </w:sdtContent>
      </w:sdt>
      <w:r w:rsidRPr="00740B16">
        <w:t>.</w:t>
      </w:r>
      <w:r>
        <w:t xml:space="preserve"> </w:t>
      </w:r>
      <w:r w:rsidRPr="00740B16">
        <w:t xml:space="preserve">Similarly, the Emotional Stroop task has been used to assess both attentional and interpretative biases by measuring response times to negative, illness-relevant words versus neutral words </w:t>
      </w:r>
      <w:sdt>
        <w:sdtPr>
          <w:rPr>
            <w:color w:val="000000"/>
          </w:rPr>
          <w:tag w:val="MENDELEY_CITATION_v3_eyJjaXRhdGlvbklEIjoiTUVOREVMRVlfQ0lUQVRJT05fYTc1ODcxMDEtYTMzYi00NmM3LWEyYTgtYTc4NjdjZjQwYTlkIiwicHJvcGVydGllcyI6eyJub3RlSW5kZXgiOjB9LCJpc0VkaXRlZCI6ZmFsc2UsIm1hbnVhbE92ZXJyaWRlIjp7ImlzTWFudWFsbHlPdmVycmlkZGVuIjpmYWxzZSwiY2l0ZXByb2NUZXh0IjoiKEJha3ZpcyBldCBhbC4sIDIwMDkpIiwibWFudWFsT3ZlcnJpZGVUZXh0Ijoi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V19"/>
          <w:id w:val="76956448"/>
          <w:placeholder>
            <w:docPart w:val="CA3957472A8D224CADF08069A797E5A6"/>
          </w:placeholder>
        </w:sdtPr>
        <w:sdtContent>
          <w:r w:rsidR="0047170A" w:rsidRPr="0047170A">
            <w:rPr>
              <w:color w:val="000000"/>
            </w:rPr>
            <w:t>(</w:t>
          </w:r>
          <w:proofErr w:type="spellStart"/>
          <w:r w:rsidR="0047170A" w:rsidRPr="0047170A">
            <w:rPr>
              <w:color w:val="000000"/>
            </w:rPr>
            <w:t>Bakvis</w:t>
          </w:r>
          <w:proofErr w:type="spellEnd"/>
          <w:r w:rsidR="0047170A" w:rsidRPr="0047170A">
            <w:rPr>
              <w:color w:val="000000"/>
            </w:rPr>
            <w:t xml:space="preserve"> et al., 2009)</w:t>
          </w:r>
        </w:sdtContent>
      </w:sdt>
      <w:r w:rsidRPr="00740B16">
        <w:t>.</w:t>
      </w:r>
      <w:r>
        <w:t xml:space="preserve"> </w:t>
      </w:r>
    </w:p>
    <w:p w14:paraId="53106F47" w14:textId="18578F3E" w:rsidR="00E24D01" w:rsidRPr="00740B16" w:rsidRDefault="00E24D01" w:rsidP="00FE0B2E">
      <w:pPr>
        <w:spacing w:after="240"/>
      </w:pPr>
      <w:r w:rsidRPr="00740B16">
        <w:t xml:space="preserve">Using validated neuropsychological tasks, clinicians and researchers can </w:t>
      </w:r>
      <w:r>
        <w:t>implicitly</w:t>
      </w:r>
      <w:r w:rsidRPr="00740B16">
        <w:t xml:space="preserve"> measure changes in affective cognition over time and in response to treatment.</w:t>
      </w:r>
      <w:r>
        <w:t xml:space="preserve"> </w:t>
      </w:r>
      <w:r w:rsidRPr="00740B16">
        <w:t xml:space="preserve">This can provide crucial feedback on treatment effectiveness and guide adjustments to therapeutic strategies, thereby enhancing patient outcomes and advancing our understanding of this complex disorder </w:t>
      </w:r>
      <w:sdt>
        <w:sdtPr>
          <w:rPr>
            <w:color w:val="000000"/>
          </w:rPr>
          <w:tag w:val="MENDELEY_CITATION_v3_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"/>
          <w:id w:val="1054273326"/>
          <w:placeholder>
            <w:docPart w:val="CA3957472A8D224CADF08069A797E5A6"/>
          </w:placeholder>
        </w:sdtPr>
        <w:sdtContent>
          <w:r w:rsidR="0047170A" w:rsidRPr="0047170A">
            <w:rPr>
              <w:color w:val="000000"/>
            </w:rPr>
            <w:t>(</w:t>
          </w:r>
          <w:proofErr w:type="spellStart"/>
          <w:r w:rsidR="0047170A" w:rsidRPr="0047170A">
            <w:rPr>
              <w:color w:val="000000"/>
            </w:rPr>
            <w:t>Keynejad</w:t>
          </w:r>
          <w:proofErr w:type="spellEnd"/>
          <w:r w:rsidR="0047170A" w:rsidRPr="0047170A">
            <w:rPr>
              <w:color w:val="000000"/>
            </w:rPr>
            <w:t xml:space="preserve"> et al., 2020)</w:t>
          </w:r>
        </w:sdtContent>
      </w:sdt>
      <w:r>
        <w:t>.</w:t>
      </w:r>
    </w:p>
    <w:p w14:paraId="3889DA73" w14:textId="77777777" w:rsidR="00E24D01" w:rsidRPr="00740B16" w:rsidRDefault="00E24D01" w:rsidP="008F4BAD">
      <w:pPr>
        <w:pStyle w:val="Heading3"/>
      </w:pPr>
      <w:bookmarkStart w:id="156" w:name="_Toc137504770"/>
      <w:r>
        <w:t>5.</w:t>
      </w:r>
      <w:r w:rsidRPr="00740B16">
        <w:t>1.</w:t>
      </w:r>
      <w:r>
        <w:t>5</w:t>
      </w:r>
      <w:r w:rsidRPr="00740B16">
        <w:t xml:space="preserve"> Delay discounting</w:t>
      </w:r>
      <w:bookmarkEnd w:id="156"/>
    </w:p>
    <w:p w14:paraId="1B8E3796" w14:textId="1AF5BD8B" w:rsidR="00E24D01" w:rsidRPr="00740B16" w:rsidRDefault="00E24D01" w:rsidP="00451811">
      <w:r w:rsidRPr="00740B16">
        <w:t xml:space="preserve">Impulsivity and delay discounting have been established in the literature </w:t>
      </w:r>
      <w:r>
        <w:t>to study</w:t>
      </w:r>
      <w:r w:rsidRPr="00740B16">
        <w:t xml:space="preserve"> health and outcomes across various clinical populations </w:t>
      </w:r>
      <w:sdt>
        <w:sdtPr>
          <w:rPr>
            <w:color w:val="000000"/>
          </w:rPr>
          <w:tag w:val="MENDELEY_CITATION_v3_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"/>
          <w:id w:val="418374853"/>
          <w:placeholder>
            <w:docPart w:val="CA3957472A8D224CADF08069A797E5A6"/>
          </w:placeholder>
        </w:sdtPr>
        <w:sdtContent>
          <w:r w:rsidR="0047170A" w:rsidRPr="0047170A">
            <w:rPr>
              <w:color w:val="000000"/>
            </w:rPr>
            <w:t>(</w:t>
          </w:r>
          <w:proofErr w:type="spellStart"/>
          <w:r w:rsidR="0047170A" w:rsidRPr="0047170A">
            <w:rPr>
              <w:color w:val="000000"/>
            </w:rPr>
            <w:t>Amlung</w:t>
          </w:r>
          <w:proofErr w:type="spellEnd"/>
          <w:r w:rsidR="0047170A" w:rsidRPr="0047170A">
            <w:rPr>
              <w:color w:val="000000"/>
            </w:rPr>
            <w:t xml:space="preserve"> et al., 2019; Bickel et al., 2012)</w:t>
          </w:r>
        </w:sdtContent>
      </w:sdt>
      <w:r w:rsidRPr="00740B16">
        <w:t>.</w:t>
      </w:r>
      <w:r>
        <w:t xml:space="preserve"> </w:t>
      </w:r>
      <w:r w:rsidRPr="00740B16">
        <w:t>Impulsivity is a multifaceted construct that refers to the tendency to act without forethought or adequate consideration of potential consequences</w:t>
      </w:r>
      <w:r>
        <w:t>. It</w:t>
      </w:r>
      <w:r w:rsidRPr="00740B16">
        <w:t xml:space="preserve"> has been linked to poor decision-making and risk-taking </w:t>
      </w:r>
      <w:sdt>
        <w:sdtPr>
          <w:tag w:val="MENDELEY_CITATION_v3_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"/>
          <w:id w:val="426465302"/>
          <w:placeholder>
            <w:docPart w:val="CA3957472A8D224CADF08069A797E5A6"/>
          </w:placeholder>
        </w:sdtPr>
        <w:sdtContent>
          <w:r w:rsidR="0047170A">
            <w:rPr>
              <w:rFonts w:eastAsia="Times New Roman"/>
            </w:rPr>
            <w:t>(</w:t>
          </w:r>
          <w:proofErr w:type="spellStart"/>
          <w:r w:rsidR="0047170A">
            <w:rPr>
              <w:rFonts w:eastAsia="Times New Roman"/>
            </w:rPr>
            <w:t>Dalley</w:t>
          </w:r>
          <w:proofErr w:type="spellEnd"/>
          <w:r w:rsidR="0047170A">
            <w:rPr>
              <w:rFonts w:eastAsia="Times New Roman"/>
            </w:rPr>
            <w:t xml:space="preserve"> et al., 2011; Whiteside &amp; </w:t>
          </w:r>
          <w:proofErr w:type="spellStart"/>
          <w:r w:rsidR="0047170A">
            <w:rPr>
              <w:rFonts w:eastAsia="Times New Roman"/>
            </w:rPr>
            <w:t>Lynam</w:t>
          </w:r>
          <w:proofErr w:type="spellEnd"/>
          <w:r w:rsidR="0047170A">
            <w:rPr>
              <w:rFonts w:eastAsia="Times New Roman"/>
            </w:rPr>
            <w:t>, 2001)</w:t>
          </w:r>
        </w:sdtContent>
      </w:sdt>
      <w:r w:rsidRPr="00740B16">
        <w:t>.</w:t>
      </w:r>
      <w:r>
        <w:t xml:space="preserve"> </w:t>
      </w:r>
      <w:r w:rsidRPr="00740B16">
        <w:t xml:space="preserve">Delay discounting is a specific form </w:t>
      </w:r>
      <w:r w:rsidR="00251F83">
        <w:t xml:space="preserve">of impulsivity </w:t>
      </w:r>
      <w:r>
        <w:t xml:space="preserve">and proposed measure </w:t>
      </w:r>
      <w:r w:rsidRPr="00740B16">
        <w:t>of impulsivity</w:t>
      </w:r>
      <w:r>
        <w:t xml:space="preserve"> that reflects</w:t>
      </w:r>
      <w:r w:rsidRPr="00740B16">
        <w:t xml:space="preserve"> an </w:t>
      </w:r>
      <w:r>
        <w:t>individual's</w:t>
      </w:r>
      <w:r w:rsidRPr="00740B16">
        <w:t xml:space="preserve"> preference for smaller, immediate rewards over larger, delayed </w:t>
      </w:r>
      <w:r>
        <w:t>rewards</w:t>
      </w:r>
      <w:r w:rsidRPr="00740B16">
        <w:t xml:space="preserve"> </w:t>
      </w:r>
      <w:sdt>
        <w:sdtPr>
          <w:rPr>
            <w:color w:val="000000"/>
          </w:rPr>
          <w:tag w:val="MENDELEY_CITATION_v3_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"/>
          <w:id w:val="2034681708"/>
          <w:placeholder>
            <w:docPart w:val="CA3957472A8D224CADF08069A797E5A6"/>
          </w:placeholder>
        </w:sdtPr>
        <w:sdtContent>
          <w:r w:rsidR="0047170A" w:rsidRPr="0047170A">
            <w:rPr>
              <w:color w:val="000000"/>
            </w:rPr>
            <w:t>(Green et al., 1994)</w:t>
          </w:r>
        </w:sdtContent>
      </w:sdt>
      <w:r>
        <w:rPr>
          <w:color w:val="000000"/>
        </w:rPr>
        <w:t>.</w:t>
      </w:r>
    </w:p>
    <w:p w14:paraId="39F725BF" w14:textId="6FC93088" w:rsidR="00E24D01" w:rsidRDefault="00E24D01" w:rsidP="00D44694">
      <w:r w:rsidRPr="00740B16">
        <w:t xml:space="preserve">The use of impulsivity and delay discounting as health measures </w:t>
      </w:r>
      <w:r>
        <w:t>extend</w:t>
      </w:r>
      <w:r w:rsidRPr="00740B16">
        <w:t xml:space="preserve"> to various psychiatric and neurological disorders.</w:t>
      </w:r>
      <w:r>
        <w:t xml:space="preserve"> </w:t>
      </w:r>
      <w:r w:rsidRPr="00740B16">
        <w:t xml:space="preserve">These constructs have been associated with increased symptom severity, reduced quality of life, and </w:t>
      </w:r>
      <w:r>
        <w:t>poor</w:t>
      </w:r>
      <w:r w:rsidRPr="00740B16">
        <w:t xml:space="preserve"> functional outcomes in conditions such as </w:t>
      </w:r>
      <w:r>
        <w:t xml:space="preserve">multiple sclerosis, </w:t>
      </w:r>
      <w:r w:rsidRPr="00740B16">
        <w:t xml:space="preserve">attention deficit hyperactivity disorder (ADHD), borderline personality disorder (BPD), </w:t>
      </w:r>
      <w:r>
        <w:t>Parkinson's and substance abuse</w:t>
      </w:r>
      <w:r w:rsidRPr="00740B16">
        <w:t xml:space="preserve"> </w:t>
      </w:r>
      <w:sdt>
        <w:sdtPr>
          <w:rPr>
            <w:color w:val="000000"/>
          </w:rPr>
          <w:tag w:val="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"/>
          <w:id w:val="-898665388"/>
          <w:placeholder>
            <w:docPart w:val="CA3957472A8D224CADF08069A797E5A6"/>
          </w:placeholder>
        </w:sdtPr>
        <w:sdtContent>
          <w:r w:rsidR="0047170A">
            <w:rPr>
              <w:rFonts w:eastAsia="Times New Roman"/>
            </w:rPr>
            <w:t>(</w:t>
          </w:r>
          <w:proofErr w:type="spellStart"/>
          <w:r w:rsidR="0047170A">
            <w:rPr>
              <w:rFonts w:eastAsia="Times New Roman"/>
            </w:rPr>
            <w:t>Amlung</w:t>
          </w:r>
          <w:proofErr w:type="spellEnd"/>
          <w:r w:rsidR="0047170A">
            <w:rPr>
              <w:rFonts w:eastAsia="Times New Roman"/>
            </w:rPr>
            <w:t xml:space="preserve"> et al., 2019; Bruce et al., 2018; </w:t>
          </w:r>
          <w:proofErr w:type="spellStart"/>
          <w:r w:rsidR="0047170A">
            <w:rPr>
              <w:rFonts w:eastAsia="Times New Roman"/>
            </w:rPr>
            <w:t>Grippa</w:t>
          </w:r>
          <w:proofErr w:type="spellEnd"/>
          <w:r w:rsidR="0047170A">
            <w:rPr>
              <w:rFonts w:eastAsia="Times New Roman"/>
            </w:rPr>
            <w:t xml:space="preserve"> et al., 2017; Jackson &amp; Mackillop, 2016a; </w:t>
          </w:r>
          <w:r w:rsidR="0047170A">
            <w:rPr>
              <w:rFonts w:eastAsia="Times New Roman"/>
            </w:rPr>
            <w:lastRenderedPageBreak/>
            <w:t xml:space="preserve">Lawrence et al., 2010; </w:t>
          </w:r>
          <w:proofErr w:type="spellStart"/>
          <w:r w:rsidR="0047170A">
            <w:rPr>
              <w:rFonts w:eastAsia="Times New Roman"/>
            </w:rPr>
            <w:t>Pennisi</w:t>
          </w:r>
          <w:proofErr w:type="spellEnd"/>
          <w:r w:rsidR="0047170A">
            <w:rPr>
              <w:rFonts w:eastAsia="Times New Roman"/>
            </w:rPr>
            <w:t xml:space="preserve"> et al., 2023; Schreiber et al., 2012)</w:t>
          </w:r>
        </w:sdtContent>
      </w:sdt>
      <w:r w:rsidRPr="00740B16">
        <w:t>.</w:t>
      </w:r>
      <w:r>
        <w:t xml:space="preserve"> The links between these disorders are self-evident; for</w:t>
      </w:r>
      <w:r w:rsidRPr="00740B16">
        <w:t xml:space="preserve"> example, </w:t>
      </w:r>
      <w:r>
        <w:t>p</w:t>
      </w:r>
      <w:r w:rsidRPr="00D7784A">
        <w:t>eople with BPD are characterised by abnormalities in several personality dimensions</w:t>
      </w:r>
      <w:r>
        <w:t>,</w:t>
      </w:r>
      <w:r w:rsidRPr="00D7784A">
        <w:t xml:space="preserve"> including </w:t>
      </w:r>
      <w:r>
        <w:t>"</w:t>
      </w:r>
      <w:r w:rsidRPr="00D7784A">
        <w:t>novelty seeking</w:t>
      </w:r>
      <w:r>
        <w:t xml:space="preserve">" </w:t>
      </w:r>
      <w:sdt>
        <w:sdtPr>
          <w:rPr>
            <w:color w:val="000000"/>
          </w:rPr>
          <w:tag w:val="MENDELEY_CITATION_v3_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"/>
          <w:id w:val="931869375"/>
          <w:placeholder>
            <w:docPart w:val="CA3957472A8D224CADF08069A797E5A6"/>
          </w:placeholder>
        </w:sdtPr>
        <w:sdtContent>
          <w:r w:rsidR="0047170A" w:rsidRPr="0047170A">
            <w:rPr>
              <w:color w:val="000000"/>
            </w:rPr>
            <w:t>(Reddy et al., 2013)</w:t>
          </w:r>
        </w:sdtContent>
      </w:sdt>
      <w:r w:rsidRPr="00D7784A">
        <w:t xml:space="preserve">, </w:t>
      </w:r>
      <w:r>
        <w:t xml:space="preserve">and </w:t>
      </w:r>
      <w:r w:rsidRPr="00D7784A">
        <w:t>people with higher levels of impulsivity could be at greater risk of substance abuse</w:t>
      </w:r>
      <w:r>
        <w:t>. As such,</w:t>
      </w:r>
      <w:r w:rsidRPr="00D7784A">
        <w:t xml:space="preserve"> </w:t>
      </w:r>
      <w:r w:rsidRPr="00740B16">
        <w:t xml:space="preserve">higher levels of impulsivity and steeper delay discounting have been shown to predict poorer treatment outcomes, increased relapse rates, and reduced treatment adherence in substance use disorders </w:t>
      </w:r>
      <w:sdt>
        <w:sdtPr>
          <w:rPr>
            <w:color w:val="000000"/>
          </w:rPr>
          <w:tag w:val="MENDELEY_CITATION_v3_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"/>
          <w:id w:val="-709889518"/>
          <w:placeholder>
            <w:docPart w:val="CA3957472A8D224CADF08069A797E5A6"/>
          </w:placeholder>
        </w:sdtPr>
        <w:sdtContent>
          <w:r w:rsidR="0047170A" w:rsidRPr="0047170A">
            <w:rPr>
              <w:color w:val="000000"/>
            </w:rPr>
            <w:t>(Bickel et al., 2012; Stanger et al., 2012)</w:t>
          </w:r>
        </w:sdtContent>
      </w:sdt>
      <w:r w:rsidRPr="00740B16">
        <w:t>.</w:t>
      </w:r>
      <w:r>
        <w:t xml:space="preserve"> H</w:t>
      </w:r>
      <w:r w:rsidRPr="00740B16">
        <w:t xml:space="preserve">eightened stress levels and </w:t>
      </w:r>
      <w:r>
        <w:t xml:space="preserve">difficulties in </w:t>
      </w:r>
      <w:r w:rsidRPr="00740B16">
        <w:t xml:space="preserve">emotion regulation </w:t>
      </w:r>
      <w:r>
        <w:t>have also been</w:t>
      </w:r>
      <w:r w:rsidRPr="00740B16">
        <w:t xml:space="preserve"> related to </w:t>
      </w:r>
      <w:r>
        <w:t xml:space="preserve">steeper </w:t>
      </w:r>
      <w:r w:rsidRPr="00740B16">
        <w:t xml:space="preserve">delay discounting </w:t>
      </w:r>
      <w:sdt>
        <w:sdtPr>
          <w:rPr>
            <w:color w:val="000000"/>
          </w:rPr>
          <w:tag w:val="MENDELEY_CITATION_v3_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"/>
          <w:id w:val="-1187819700"/>
          <w:placeholder>
            <w:docPart w:val="CA3957472A8D224CADF08069A797E5A6"/>
          </w:placeholder>
        </w:sdtPr>
        <w:sdtContent>
          <w:r w:rsidR="0047170A" w:rsidRPr="0047170A">
            <w:rPr>
              <w:color w:val="000000"/>
            </w:rPr>
            <w:t>(</w:t>
          </w:r>
          <w:proofErr w:type="spellStart"/>
          <w:r w:rsidR="0047170A" w:rsidRPr="0047170A">
            <w:rPr>
              <w:color w:val="000000"/>
            </w:rPr>
            <w:t>Malesza</w:t>
          </w:r>
          <w:proofErr w:type="spellEnd"/>
          <w:r w:rsidR="0047170A" w:rsidRPr="0047170A">
            <w:rPr>
              <w:color w:val="000000"/>
            </w:rPr>
            <w:t>, 2019b)</w:t>
          </w:r>
        </w:sdtContent>
      </w:sdt>
      <w:r>
        <w:t xml:space="preserve">, as </w:t>
      </w:r>
      <w:r w:rsidRPr="00D7784A">
        <w:t xml:space="preserve">high stress </w:t>
      </w:r>
      <w:r>
        <w:t xml:space="preserve">was significantly associated with </w:t>
      </w:r>
      <w:r w:rsidRPr="00D7784A">
        <w:t xml:space="preserve">emotion dysregulation, which </w:t>
      </w:r>
      <w:r>
        <w:t xml:space="preserve">in turn </w:t>
      </w:r>
      <w:r w:rsidRPr="00D7784A">
        <w:t>was</w:t>
      </w:r>
      <w:r>
        <w:t xml:space="preserve"> a mediator for</w:t>
      </w:r>
      <w:r w:rsidRPr="00D7784A">
        <w:t xml:space="preserve"> </w:t>
      </w:r>
      <w:r>
        <w:t>delay discounting rates</w:t>
      </w:r>
      <w:r w:rsidRPr="00D7784A">
        <w:t>.</w:t>
      </w:r>
      <w:r>
        <w:t xml:space="preserve"> A</w:t>
      </w:r>
      <w:r w:rsidRPr="00D7784A">
        <w:t xml:space="preserve"> direct relationship was </w:t>
      </w:r>
      <w:r>
        <w:t xml:space="preserve">also </w:t>
      </w:r>
      <w:r w:rsidRPr="00D7784A">
        <w:t>observed between elevated stress levels and greater delay discounting.</w:t>
      </w:r>
      <w:r>
        <w:t xml:space="preserve"> </w:t>
      </w:r>
      <w:r w:rsidRPr="00D7784A">
        <w:t xml:space="preserve">It was posited that individuals with high stress levels </w:t>
      </w:r>
      <w:r>
        <w:t>might</w:t>
      </w:r>
      <w:r w:rsidRPr="00D7784A">
        <w:t xml:space="preserve"> display</w:t>
      </w:r>
      <w:r>
        <w:t xml:space="preserve"> more</w:t>
      </w:r>
      <w:r w:rsidRPr="00D7784A">
        <w:t xml:space="preserve"> impulsive behaviours</w:t>
      </w:r>
      <w:r>
        <w:t>, with emotion dysregulation playing a central role</w:t>
      </w:r>
      <w:r w:rsidRPr="003F0037">
        <w:rPr>
          <w:color w:val="000000"/>
        </w:rPr>
        <w:t xml:space="preserve"> </w:t>
      </w:r>
      <w:sdt>
        <w:sdtPr>
          <w:rPr>
            <w:color w:val="000000"/>
          </w:rPr>
          <w:tag w:val="MENDELEY_CITATION_v3_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"/>
          <w:id w:val="1239985232"/>
          <w:placeholder>
            <w:docPart w:val="8BE4BDF90CE0764ABCD512CF0474614D"/>
          </w:placeholder>
        </w:sdtPr>
        <w:sdtContent>
          <w:r w:rsidR="0047170A" w:rsidRPr="0047170A">
            <w:rPr>
              <w:color w:val="000000"/>
            </w:rPr>
            <w:t>(Schreiber et al., 2012)</w:t>
          </w:r>
        </w:sdtContent>
      </w:sdt>
      <w:r>
        <w:t>. E</w:t>
      </w:r>
      <w:r w:rsidRPr="00D7784A">
        <w:t>motion</w:t>
      </w:r>
      <w:r w:rsidRPr="00CC2781">
        <w:t xml:space="preserve"> dysregulation is theoretically linked to both the experience of stress and delay discounting </w:t>
      </w:r>
      <w:sdt>
        <w:sdtPr>
          <w:rPr>
            <w:color w:val="000000"/>
          </w:rPr>
          <w:tag w:val="MENDELEY_CITATION_v3_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"/>
          <w:id w:val="11728999"/>
          <w:placeholder>
            <w:docPart w:val="CA3957472A8D224CADF08069A797E5A6"/>
          </w:placeholder>
        </w:sdtPr>
        <w:sdtContent>
          <w:r w:rsidR="0047170A">
            <w:rPr>
              <w:rFonts w:eastAsia="Times New Roman"/>
            </w:rPr>
            <w:t xml:space="preserve">(Gratz &amp; Roemer, 2004; </w:t>
          </w:r>
          <w:proofErr w:type="spellStart"/>
          <w:r w:rsidR="0047170A">
            <w:rPr>
              <w:rFonts w:eastAsia="Times New Roman"/>
            </w:rPr>
            <w:t>Lempert</w:t>
          </w:r>
          <w:proofErr w:type="spellEnd"/>
          <w:r w:rsidR="0047170A">
            <w:rPr>
              <w:rFonts w:eastAsia="Times New Roman"/>
            </w:rPr>
            <w:t xml:space="preserve"> et al., 2012; Worthy et al., 2014)</w:t>
          </w:r>
        </w:sdtContent>
      </w:sdt>
      <w:r>
        <w:t xml:space="preserve"> otherwise and has</w:t>
      </w:r>
      <w:r w:rsidRPr="00CC2781">
        <w:t xml:space="preserve"> </w:t>
      </w:r>
      <w:r>
        <w:t>is considered</w:t>
      </w:r>
      <w:r w:rsidRPr="00CC2781">
        <w:t xml:space="preserve"> a core mechanism underlying mood and anxiety disorders </w:t>
      </w:r>
      <w:sdt>
        <w:sdtPr>
          <w:rPr>
            <w:color w:val="000000"/>
          </w:rPr>
          <w:tag w:val="MENDELEY_CITATION_v3_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"/>
          <w:id w:val="170843392"/>
          <w:placeholder>
            <w:docPart w:val="CA3957472A8D224CADF08069A797E5A6"/>
          </w:placeholder>
        </w:sdtPr>
        <w:sdtContent>
          <w:r w:rsidR="0047170A" w:rsidRPr="0047170A">
            <w:rPr>
              <w:color w:val="000000"/>
            </w:rPr>
            <w:t>(Salters-</w:t>
          </w:r>
          <w:proofErr w:type="spellStart"/>
          <w:r w:rsidR="0047170A" w:rsidRPr="0047170A">
            <w:rPr>
              <w:color w:val="000000"/>
            </w:rPr>
            <w:t>Pedneault</w:t>
          </w:r>
          <w:proofErr w:type="spellEnd"/>
          <w:r w:rsidR="0047170A" w:rsidRPr="0047170A">
            <w:rPr>
              <w:color w:val="000000"/>
            </w:rPr>
            <w:t xml:space="preserve"> et al., 2006)</w:t>
          </w:r>
        </w:sdtContent>
      </w:sdt>
      <w:r>
        <w:t xml:space="preserve">. Furthermore, </w:t>
      </w:r>
      <w:r w:rsidRPr="00CC2781">
        <w:t>e</w:t>
      </w:r>
      <w:r w:rsidRPr="00740B16">
        <w:t>ffective emotion regulation</w:t>
      </w:r>
      <w:r>
        <w:t xml:space="preserve"> training</w:t>
      </w:r>
      <w:r w:rsidRPr="00740B16">
        <w:t xml:space="preserve"> has decrease</w:t>
      </w:r>
      <w:r>
        <w:t>d</w:t>
      </w:r>
      <w:r w:rsidRPr="00740B16">
        <w:t xml:space="preserve"> impulsive behaviour </w:t>
      </w:r>
      <w:r>
        <w:t xml:space="preserve">in other health conditions </w:t>
      </w:r>
      <w:sdt>
        <w:sdtPr>
          <w:tag w:val="MENDELEY_CITATION_v3_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"/>
          <w:id w:val="-753125490"/>
          <w:placeholder>
            <w:docPart w:val="CA3957472A8D224CADF08069A797E5A6"/>
          </w:placeholder>
        </w:sdtPr>
        <w:sdtContent>
          <w:r w:rsidR="0047170A">
            <w:rPr>
              <w:rFonts w:eastAsia="Times New Roman"/>
            </w:rPr>
            <w:t>(Hendrickson &amp; Rasmussen, 2013)</w:t>
          </w:r>
        </w:sdtContent>
      </w:sdt>
      <w:r>
        <w:t xml:space="preserve">. Emotion dysregulation and stress could </w:t>
      </w:r>
      <w:r w:rsidRPr="00740B16">
        <w:t xml:space="preserve">lead to </w:t>
      </w:r>
      <w:r>
        <w:t>impulsive and maladaptive responses instead of the</w:t>
      </w:r>
      <w:r w:rsidRPr="00740B16">
        <w:t xml:space="preserve"> necessary processes for dealing with difficulties </w:t>
      </w:r>
      <w:sdt>
        <w:sdtPr>
          <w:rPr>
            <w:color w:val="000000"/>
          </w:rPr>
          <w:tag w:val="MENDELEY_CITATION_v3_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"/>
          <w:id w:val="-1837988786"/>
          <w:placeholder>
            <w:docPart w:val="943C5FB4311C234F852A1A3DA615DB35"/>
          </w:placeholder>
        </w:sdtPr>
        <w:sdtContent>
          <w:r w:rsidR="0047170A" w:rsidRPr="0047170A">
            <w:rPr>
              <w:color w:val="000000"/>
            </w:rPr>
            <w:t>(</w:t>
          </w:r>
          <w:proofErr w:type="spellStart"/>
          <w:r w:rsidR="0047170A" w:rsidRPr="0047170A">
            <w:rPr>
              <w:color w:val="000000"/>
            </w:rPr>
            <w:t>Malesza</w:t>
          </w:r>
          <w:proofErr w:type="spellEnd"/>
          <w:r w:rsidR="0047170A" w:rsidRPr="0047170A">
            <w:rPr>
              <w:color w:val="000000"/>
            </w:rPr>
            <w:t>, 2019a, 2019b; Schreiber et al., 2012; Tice et al., 2001)</w:t>
          </w:r>
        </w:sdtContent>
      </w:sdt>
      <w:r w:rsidRPr="00740B16">
        <w:t>.</w:t>
      </w:r>
    </w:p>
    <w:p w14:paraId="596FE953" w14:textId="0C5E8C71" w:rsidR="00E24D01" w:rsidRDefault="00E24D01" w:rsidP="00D44694">
      <w:r>
        <w:t>Furthermore, a</w:t>
      </w:r>
      <w:r w:rsidRPr="00740B16">
        <w:t>ssociations</w:t>
      </w:r>
      <w:r>
        <w:t xml:space="preserve"> found</w:t>
      </w:r>
      <w:r w:rsidRPr="00740B16">
        <w:t xml:space="preserve"> between distress and delay of gratification indicate</w:t>
      </w:r>
      <w:r>
        <w:t xml:space="preserve"> that </w:t>
      </w:r>
      <w:r w:rsidRPr="00740B16">
        <w:t xml:space="preserve">situational stress may influence delay discounting through maladaptive responses to the environment </w:t>
      </w:r>
      <w:sdt>
        <w:sdtPr>
          <w:rPr>
            <w:color w:val="000000"/>
          </w:rPr>
          <w:tag w:val="MENDELEY_CITATION_v3_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"/>
          <w:id w:val="1796175355"/>
          <w:placeholder>
            <w:docPart w:val="943C5FB4311C234F852A1A3DA615DB35"/>
          </w:placeholder>
        </w:sdtPr>
        <w:sdtContent>
          <w:r w:rsidR="0047170A" w:rsidRPr="0047170A">
            <w:rPr>
              <w:color w:val="000000"/>
            </w:rPr>
            <w:t>(</w:t>
          </w:r>
          <w:proofErr w:type="spellStart"/>
          <w:r w:rsidR="0047170A" w:rsidRPr="0047170A">
            <w:rPr>
              <w:color w:val="000000"/>
            </w:rPr>
            <w:t>Lempert</w:t>
          </w:r>
          <w:proofErr w:type="spellEnd"/>
          <w:r w:rsidR="0047170A" w:rsidRPr="0047170A">
            <w:rPr>
              <w:color w:val="000000"/>
            </w:rPr>
            <w:t xml:space="preserve"> et al., 2012)</w:t>
          </w:r>
        </w:sdtContent>
      </w:sdt>
      <w:r w:rsidRPr="00CC2781">
        <w:t>.</w:t>
      </w:r>
      <w:r>
        <w:t xml:space="preserve"> </w:t>
      </w:r>
      <w:r w:rsidRPr="00CC2781">
        <w:t>T</w:t>
      </w:r>
      <w:r w:rsidRPr="00740B16">
        <w:t xml:space="preserve">his suggests that individuals </w:t>
      </w:r>
      <w:r>
        <w:t xml:space="preserve">in distress may </w:t>
      </w:r>
      <w:r w:rsidRPr="00740B16">
        <w:t>shift to a more immediate-oriented mindset (as reflected by more impulsive delay discounting) and</w:t>
      </w:r>
      <w:r>
        <w:t xml:space="preserve"> e</w:t>
      </w:r>
      <w:r w:rsidRPr="00CC2781">
        <w:t xml:space="preserve">ngage in impulsive behaviours </w:t>
      </w:r>
      <w:r>
        <w:t>to</w:t>
      </w:r>
      <w:r w:rsidRPr="00CC2781">
        <w:t xml:space="preserve"> reduce perceived stress </w:t>
      </w:r>
      <w:sdt>
        <w:sdtPr>
          <w:rPr>
            <w:color w:val="000000"/>
          </w:rPr>
          <w:tag w:val="MENDELEY_CITATION_v3_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"/>
          <w:id w:val="-1445524580"/>
          <w:placeholder>
            <w:docPart w:val="CA3957472A8D224CADF08069A797E5A6"/>
          </w:placeholder>
        </w:sdtPr>
        <w:sdtContent>
          <w:r w:rsidR="0047170A" w:rsidRPr="0047170A">
            <w:rPr>
              <w:color w:val="000000"/>
            </w:rPr>
            <w:t>(</w:t>
          </w:r>
          <w:proofErr w:type="spellStart"/>
          <w:r w:rsidR="0047170A" w:rsidRPr="0047170A">
            <w:rPr>
              <w:color w:val="000000"/>
            </w:rPr>
            <w:t>Lempert</w:t>
          </w:r>
          <w:proofErr w:type="spellEnd"/>
          <w:r w:rsidR="0047170A" w:rsidRPr="0047170A">
            <w:rPr>
              <w:color w:val="000000"/>
            </w:rPr>
            <w:t xml:space="preserve"> et al., 2012; Tice et al., 2001)</w:t>
          </w:r>
        </w:sdtContent>
      </w:sdt>
      <w:r w:rsidRPr="00CC2781">
        <w:t>,</w:t>
      </w:r>
      <w:r w:rsidRPr="00740B16">
        <w:t xml:space="preserve"> particularly in the </w:t>
      </w:r>
      <w:r>
        <w:t>context of ab</w:t>
      </w:r>
      <w:r w:rsidRPr="00740B16">
        <w:t>normal emotion regulation</w:t>
      </w:r>
      <w:r>
        <w:t>. As emotion dysregulation, alexithymia and high</w:t>
      </w:r>
      <w:r w:rsidRPr="00D7784A">
        <w:t xml:space="preserve"> levels of stress/distress </w:t>
      </w:r>
      <w:r>
        <w:t xml:space="preserve">are reported </w:t>
      </w:r>
      <w:r w:rsidRPr="00D7784A">
        <w:t>in patients with FNSD</w:t>
      </w:r>
      <w:r>
        <w:t xml:space="preserve">, an </w:t>
      </w:r>
      <w:r w:rsidRPr="00D7784A">
        <w:t>objective</w:t>
      </w:r>
      <w:r>
        <w:t xml:space="preserve"> implicit</w:t>
      </w:r>
      <w:r w:rsidRPr="00D7784A">
        <w:t xml:space="preserve"> measure</w:t>
      </w:r>
      <w:r>
        <w:t xml:space="preserve"> such as DD</w:t>
      </w:r>
      <w:r w:rsidRPr="00D7784A">
        <w:t xml:space="preserve"> </w:t>
      </w:r>
      <w:r>
        <w:t xml:space="preserve">is made </w:t>
      </w:r>
      <w:r w:rsidRPr="00D7784A">
        <w:t>more relevant in this patient group</w:t>
      </w:r>
      <w:r>
        <w:t>, particularly with the</w:t>
      </w:r>
      <w:r w:rsidRPr="00D7784A">
        <w:t xml:space="preserve"> possible impairment of subjective stress perception</w:t>
      </w:r>
      <w:r>
        <w:t xml:space="preserve"> </w:t>
      </w:r>
      <w:sdt>
        <w:sdtPr>
          <w:rPr>
            <w:color w:val="000000"/>
          </w:rPr>
          <w:tag w:val="MENDELEY_CITATION_v3_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"/>
          <w:id w:val="-1477748744"/>
          <w:placeholder>
            <w:docPart w:val="2F2D57DAECCB7B4E839A1812A818B3F9"/>
          </w:placeholder>
        </w:sdtPr>
        <w:sdtContent>
          <w:r w:rsidR="0047170A" w:rsidRPr="0047170A">
            <w:rPr>
              <w:color w:val="000000"/>
            </w:rPr>
            <w:t>(</w:t>
          </w:r>
          <w:proofErr w:type="spellStart"/>
          <w:r w:rsidR="0047170A" w:rsidRPr="0047170A">
            <w:rPr>
              <w:color w:val="000000"/>
            </w:rPr>
            <w:t>Keynejad</w:t>
          </w:r>
          <w:proofErr w:type="spellEnd"/>
          <w:r w:rsidR="0047170A" w:rsidRPr="0047170A">
            <w:rPr>
              <w:color w:val="000000"/>
            </w:rPr>
            <w:t xml:space="preserve"> et al., 2019; </w:t>
          </w:r>
          <w:proofErr w:type="spellStart"/>
          <w:r w:rsidR="0047170A" w:rsidRPr="0047170A">
            <w:rPr>
              <w:color w:val="000000"/>
            </w:rPr>
            <w:t>Ponnusamy</w:t>
          </w:r>
          <w:proofErr w:type="spellEnd"/>
          <w:r w:rsidR="0047170A" w:rsidRPr="0047170A">
            <w:rPr>
              <w:color w:val="000000"/>
            </w:rPr>
            <w:t xml:space="preserve"> et al., 2011)</w:t>
          </w:r>
        </w:sdtContent>
      </w:sdt>
      <w:r w:rsidRPr="00CC2781">
        <w:t>.</w:t>
      </w:r>
      <w:r>
        <w:t xml:space="preserve"> In this context, 'stress' as measured by stressful events may be less relevant than how patients cope with the stress </w:t>
      </w:r>
      <w:sdt>
        <w:sdtPr>
          <w:rPr>
            <w:color w:val="000000"/>
          </w:rPr>
          <w:tag w:val="MENDELEY_CITATION_v3_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"/>
          <w:id w:val="-1450855060"/>
          <w:placeholder>
            <w:docPart w:val="C06A40BACFFD4C4682438A81B474DE41"/>
          </w:placeholder>
        </w:sdtPr>
        <w:sdtContent>
          <w:r w:rsidR="0047170A" w:rsidRPr="0047170A">
            <w:rPr>
              <w:color w:val="000000"/>
            </w:rPr>
            <w:t>(Testa et al., 2012)</w:t>
          </w:r>
        </w:sdtContent>
      </w:sdt>
      <w:r>
        <w:t>.</w:t>
      </w:r>
    </w:p>
    <w:p w14:paraId="3557064C" w14:textId="4B0DC1BA" w:rsidR="00E24D01" w:rsidRPr="00740B16" w:rsidRDefault="00E24D01" w:rsidP="00D44694">
      <w:r>
        <w:lastRenderedPageBreak/>
        <w:t>Based on the links between</w:t>
      </w:r>
      <w:r w:rsidRPr="00740B16">
        <w:t xml:space="preserve"> impulsivity </w:t>
      </w:r>
      <w:r>
        <w:t>and</w:t>
      </w:r>
      <w:r w:rsidRPr="00740B16">
        <w:t xml:space="preserve"> health behaviours</w:t>
      </w:r>
      <w:r>
        <w:t>, delay discounting may be beneficial as an objective</w:t>
      </w:r>
      <w:r w:rsidRPr="00740B16">
        <w:t xml:space="preserve"> measure in </w:t>
      </w:r>
      <w:r>
        <w:t xml:space="preserve">FNSD. </w:t>
      </w:r>
      <w:r w:rsidRPr="00740B16">
        <w:t xml:space="preserve">Delay discounting may be </w:t>
      </w:r>
      <w:r>
        <w:t>a useful</w:t>
      </w:r>
      <w:r w:rsidRPr="00740B16">
        <w:t xml:space="preserve"> and easy-to-administer proxy measure to assess affective</w:t>
      </w:r>
      <w:r>
        <w:t>,</w:t>
      </w:r>
      <w:r w:rsidRPr="00740B16">
        <w:t xml:space="preserve"> cognitive state</w:t>
      </w:r>
      <w:r>
        <w:t xml:space="preserve"> or levels of stress that cannot be subjectively identified. </w:t>
      </w:r>
      <w:r w:rsidRPr="00740B16">
        <w:t>High stress, arousal</w:t>
      </w:r>
      <w:r>
        <w:t>,</w:t>
      </w:r>
      <w:r w:rsidRPr="00740B16">
        <w:t xml:space="preserve"> and emotion dysregulation </w:t>
      </w:r>
      <w:r>
        <w:t xml:space="preserve">levels </w:t>
      </w:r>
      <w:r w:rsidRPr="00740B16">
        <w:t>have been associated with FNSD.</w:t>
      </w:r>
      <w:r>
        <w:t xml:space="preserve"> </w:t>
      </w:r>
      <w:r w:rsidRPr="00740B16">
        <w:t>Much evidence comes from patient self-report investigations and neurophysiology reports</w:t>
      </w:r>
      <w:r>
        <w:t>,</w:t>
      </w:r>
      <w:r w:rsidRPr="00740B16">
        <w:t xml:space="preserve"> which suggest that these patients experience their lives as more stressful and are at baseline more aroused </w:t>
      </w:r>
      <w:r>
        <w:t>and</w:t>
      </w:r>
      <w:r w:rsidRPr="00740B16">
        <w:t xml:space="preserve"> anxious </w:t>
      </w:r>
      <w:r>
        <w:t>than</w:t>
      </w:r>
      <w:r w:rsidRPr="00740B16">
        <w:t xml:space="preserve"> healthy controls (HCs).</w:t>
      </w:r>
      <w:r>
        <w:t xml:space="preserve"> </w:t>
      </w:r>
      <w:r w:rsidRPr="00740B16">
        <w:t xml:space="preserve">These patients often use adapted emotional processes and </w:t>
      </w:r>
      <w:hyperlink r:id="rId49">
        <w:r w:rsidRPr="00740B16">
          <w:t>coping strategies</w:t>
        </w:r>
      </w:hyperlink>
      <w:r w:rsidRPr="00740B16">
        <w:t xml:space="preserve"> to avoid conflicts, threats or stress, compared to HCs</w:t>
      </w:r>
      <w:bookmarkStart w:id="157" w:name="bookmark=id.17dp8vu" w:colFirst="0" w:colLast="0"/>
      <w:bookmarkEnd w:id="157"/>
      <w:r w:rsidRPr="00740B16">
        <w:t xml:space="preserve"> </w:t>
      </w:r>
      <w:sdt>
        <w:sdtPr>
          <w:rPr>
            <w:color w:val="000000"/>
          </w:rPr>
          <w:tag w:val="MENDELEY_CITATION_v3_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"/>
          <w:id w:val="-568269864"/>
          <w:placeholder>
            <w:docPart w:val="CA3957472A8D224CADF08069A797E5A6"/>
          </w:placeholder>
        </w:sdtPr>
        <w:sdtContent>
          <w:r w:rsidR="0047170A">
            <w:rPr>
              <w:rFonts w:eastAsia="Times New Roman"/>
            </w:rPr>
            <w:t>(</w:t>
          </w:r>
          <w:proofErr w:type="spellStart"/>
          <w:r w:rsidR="0047170A">
            <w:rPr>
              <w:rFonts w:eastAsia="Times New Roman"/>
            </w:rPr>
            <w:t>Bakvis</w:t>
          </w:r>
          <w:proofErr w:type="spellEnd"/>
          <w:r w:rsidR="0047170A">
            <w:rPr>
              <w:rFonts w:eastAsia="Times New Roman"/>
            </w:rPr>
            <w:t xml:space="preserve"> et al., 2011; Demartini et al., 2016; Goldstein &amp; Mellers, 2006; Sojka et al., 2018; Testa et al., 2012; I. A. Williams, Levita, et al., 2018)</w:t>
          </w:r>
        </w:sdtContent>
      </w:sdt>
      <w:r w:rsidRPr="00740B16">
        <w:t>.</w:t>
      </w:r>
      <w:r>
        <w:t xml:space="preserve"> As </w:t>
      </w:r>
      <w:r w:rsidRPr="00740B16">
        <w:t xml:space="preserve">FNSD is theorised as behavioural or dissociative responses to emotional, physiological or social distressing stimuli </w:t>
      </w:r>
      <w:sdt>
        <w:sdtPr>
          <w:rPr>
            <w:color w:val="000000"/>
          </w:rPr>
          <w:tag w:val="MENDELEY_CITATION_v3_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"/>
          <w:id w:val="1064453517"/>
          <w:placeholder>
            <w:docPart w:val="CA3957472A8D224CADF08069A797E5A6"/>
          </w:placeholder>
        </w:sdtPr>
        <w:sdtContent>
          <w:r w:rsidR="0047170A">
            <w:rPr>
              <w:rFonts w:eastAsia="Times New Roman"/>
            </w:rPr>
            <w:t>(Bowman, 2006; M. J. Edwards et al., 2012; Reuber &amp; Mayor, 2012)</w:t>
          </w:r>
        </w:sdtContent>
      </w:sdt>
      <w:r>
        <w:t xml:space="preserve">, </w:t>
      </w:r>
      <w:r w:rsidRPr="00740B16">
        <w:t>coping with stress and regulating emotions are particularly relevant to function and control in this disorder</w:t>
      </w:r>
      <w:r>
        <w:t>. P</w:t>
      </w:r>
      <w:r w:rsidRPr="00740B16">
        <w:t>sychotherapeutic approaches</w:t>
      </w:r>
      <w:r>
        <w:t>,</w:t>
      </w:r>
      <w:r w:rsidRPr="00740B16">
        <w:t xml:space="preserve"> including CBT, psychodynamic psychotherapy, Gestalt, lifespan, and sensorimotor approaches, explore and target related constructs (</w:t>
      </w:r>
      <w:r>
        <w:t xml:space="preserve">e.g., </w:t>
      </w:r>
      <w:r w:rsidRPr="00740B16">
        <w:t xml:space="preserve">stress, avoidance, emotion regulation, stress endurance) and have </w:t>
      </w:r>
      <w:r>
        <w:t>positively impacted emotion regulation</w:t>
      </w:r>
      <w:r w:rsidRPr="00740B16">
        <w:t>.</w:t>
      </w:r>
      <w:r>
        <w:t xml:space="preserve"> </w:t>
      </w:r>
      <w:r w:rsidRPr="00740B16">
        <w:t xml:space="preserve">As such, discounting rates </w:t>
      </w:r>
      <w:r>
        <w:t xml:space="preserve">as a measure of </w:t>
      </w:r>
      <w:r w:rsidRPr="00740B16">
        <w:t>impulsivity may capture presentations of altered affective cognition and psychotherapy-related change.</w:t>
      </w:r>
    </w:p>
    <w:p w14:paraId="66994FB9" w14:textId="77777777" w:rsidR="00E24D01" w:rsidRPr="00740B16" w:rsidRDefault="00E24D01" w:rsidP="008F4BAD">
      <w:pPr>
        <w:pStyle w:val="Heading3"/>
      </w:pPr>
      <w:bookmarkStart w:id="158" w:name="_Toc137504771"/>
      <w:r>
        <w:t>5.</w:t>
      </w:r>
      <w:r w:rsidRPr="00740B16">
        <w:t>1.</w:t>
      </w:r>
      <w:r>
        <w:t>6</w:t>
      </w:r>
      <w:r w:rsidRPr="00740B16">
        <w:t xml:space="preserve"> Negative Affective Priming</w:t>
      </w:r>
      <w:bookmarkEnd w:id="158"/>
    </w:p>
    <w:p w14:paraId="22945C4D" w14:textId="060DC865" w:rsidR="00E24D01" w:rsidRPr="00740B16" w:rsidRDefault="00E24D01" w:rsidP="00451811">
      <w:bookmarkStart w:id="159" w:name="OLE_LINK4"/>
      <w:r w:rsidRPr="00740B16">
        <w:t>Negative affective bias,</w:t>
      </w:r>
      <w:bookmarkEnd w:id="159"/>
      <w:r w:rsidRPr="00740B16">
        <w:t xml:space="preserve"> a cognitive distortion characterised by a heightened sensitivity to and interpretation of negative information, has emerged as an important </w:t>
      </w:r>
      <w:r>
        <w:t>psychological health factor</w:t>
      </w:r>
      <w:r w:rsidRPr="00740B16">
        <w:t xml:space="preserve"> with implications for psychological and physical well-being </w:t>
      </w:r>
      <w:sdt>
        <w:sdtPr>
          <w:rPr>
            <w:color w:val="000000"/>
          </w:rPr>
          <w:tag w:val="MENDELEY_CITATION_v3_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"/>
          <w:id w:val="-1323584186"/>
          <w:placeholder>
            <w:docPart w:val="CA3957472A8D224CADF08069A797E5A6"/>
          </w:placeholder>
        </w:sdtPr>
        <w:sdtContent>
          <w:r w:rsidR="0047170A" w:rsidRPr="0047170A">
            <w:rPr>
              <w:color w:val="000000"/>
            </w:rPr>
            <w:t>(Harmer et al., 2009)</w:t>
          </w:r>
        </w:sdtContent>
      </w:sdt>
      <w:r>
        <w:rPr>
          <w:color w:val="000000"/>
        </w:rPr>
        <w:t>.</w:t>
      </w:r>
      <w:r>
        <w:t xml:space="preserve"> </w:t>
      </w:r>
      <w:r w:rsidRPr="00740B16">
        <w:t xml:space="preserve">Attentional biases for negatively valent stimuli have also been demonstrated extensively across several emotional disorders </w:t>
      </w:r>
      <w:sdt>
        <w:sdtPr>
          <w:rPr>
            <w:color w:val="000000"/>
          </w:rPr>
          <w:tag w:val="MENDELEY_CITATION_v3_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"/>
          <w:id w:val="-1873600523"/>
          <w:placeholder>
            <w:docPart w:val="CA3957472A8D224CADF08069A797E5A6"/>
          </w:placeholder>
        </w:sdtPr>
        <w:sdtContent>
          <w:r w:rsidR="0047170A">
            <w:rPr>
              <w:rFonts w:eastAsia="Times New Roman"/>
            </w:rPr>
            <w:t>(Mathews &amp; Macleod, 2005),</w:t>
          </w:r>
        </w:sdtContent>
      </w:sdt>
      <w:r w:rsidRPr="00740B16">
        <w:t xml:space="preserve"> including depression, mania </w:t>
      </w:r>
      <w:sdt>
        <w:sdtPr>
          <w:rPr>
            <w:color w:val="000000"/>
          </w:rPr>
          <w:tag w:val="MENDELEY_CITATION_v3_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"/>
          <w:id w:val="1680618000"/>
          <w:placeholder>
            <w:docPart w:val="CA3957472A8D224CADF08069A797E5A6"/>
          </w:placeholder>
        </w:sdtPr>
        <w:sdtContent>
          <w:r w:rsidR="0047170A" w:rsidRPr="0047170A">
            <w:rPr>
              <w:color w:val="000000"/>
            </w:rPr>
            <w:t>(Erickson et al., 2005; F. C. Murphy et al., 1999)</w:t>
          </w:r>
        </w:sdtContent>
      </w:sdt>
      <w:r w:rsidRPr="00740B16">
        <w:t>, anxiety disorders</w:t>
      </w:r>
      <w:r>
        <w:t xml:space="preserve"> </w:t>
      </w:r>
      <w:sdt>
        <w:sdtPr>
          <w:tag w:val="MENDELEY_CITATION_v3_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"/>
          <w:id w:val="939253630"/>
          <w:placeholder>
            <w:docPart w:val="CA3957472A8D224CADF08069A797E5A6"/>
          </w:placeholder>
        </w:sdtPr>
        <w:sdtContent>
          <w:r w:rsidR="0047170A">
            <w:rPr>
              <w:rFonts w:eastAsia="Times New Roman"/>
            </w:rPr>
            <w:t>(Dalgleish &amp; Watts, 1990)</w:t>
          </w:r>
        </w:sdtContent>
      </w:sdt>
      <w:r w:rsidRPr="00740B16">
        <w:t xml:space="preserve">, substance abuse </w:t>
      </w:r>
      <w:sdt>
        <w:sdtPr>
          <w:tag w:val="MENDELEY_CITATION_v3_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"/>
          <w:id w:val="-613901387"/>
          <w:placeholder>
            <w:docPart w:val="CA3957472A8D224CADF08069A797E5A6"/>
          </w:placeholder>
        </w:sdtPr>
        <w:sdtContent>
          <w:r w:rsidR="0047170A">
            <w:rPr>
              <w:rFonts w:eastAsia="Times New Roman"/>
            </w:rPr>
            <w:t>(</w:t>
          </w:r>
          <w:proofErr w:type="spellStart"/>
          <w:r w:rsidR="0047170A">
            <w:rPr>
              <w:rFonts w:eastAsia="Times New Roman"/>
            </w:rPr>
            <w:t>Ersche</w:t>
          </w:r>
          <w:proofErr w:type="spellEnd"/>
          <w:r w:rsidR="0047170A">
            <w:rPr>
              <w:rFonts w:eastAsia="Times New Roman"/>
            </w:rPr>
            <w:t xml:space="preserve"> &amp; Sahakian, 2007)</w:t>
          </w:r>
        </w:sdtContent>
      </w:sdt>
      <w:r w:rsidRPr="00740B16">
        <w:t xml:space="preserve">, and eating disorders </w:t>
      </w:r>
      <w:sdt>
        <w:sdtPr>
          <w:rPr>
            <w:color w:val="000000"/>
          </w:rPr>
          <w:tag w:val="MENDELEY_CITATION_v3_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"/>
          <w:id w:val="-750667110"/>
          <w:placeholder>
            <w:docPart w:val="CA3957472A8D224CADF08069A797E5A6"/>
          </w:placeholder>
        </w:sdtPr>
        <w:sdtContent>
          <w:r w:rsidR="0047170A" w:rsidRPr="0047170A">
            <w:rPr>
              <w:color w:val="000000"/>
            </w:rPr>
            <w:t>(Lovell et al., 1997)</w:t>
          </w:r>
        </w:sdtContent>
      </w:sdt>
      <w:r w:rsidRPr="00740B16">
        <w:t>.</w:t>
      </w:r>
      <w:r>
        <w:t xml:space="preserve"> </w:t>
      </w:r>
      <w:r w:rsidRPr="00740B16">
        <w:t xml:space="preserve">These biases are believed to play an important role </w:t>
      </w:r>
      <w:r>
        <w:t>in</w:t>
      </w:r>
      <w:r w:rsidRPr="00740B16">
        <w:t xml:space="preserve"> the aetiology and maintenance of these disorders.</w:t>
      </w:r>
      <w:r>
        <w:t xml:space="preserve"> </w:t>
      </w:r>
      <w:r w:rsidRPr="00740B16">
        <w:t xml:space="preserve">Furthermore, studies have demonstrated that negative affective bias is a stable trait marker of psychopathology </w:t>
      </w:r>
      <w:r>
        <w:t>and</w:t>
      </w:r>
      <w:r w:rsidRPr="00740B16">
        <w:t xml:space="preserve"> a sensitive state marker of current symptom severity and treatment response </w:t>
      </w:r>
      <w:sdt>
        <w:sdtPr>
          <w:tag w:val="MENDELEY_CITATION_v3_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"/>
          <w:id w:val="-252506946"/>
          <w:placeholder>
            <w:docPart w:val="CA3957472A8D224CADF08069A797E5A6"/>
          </w:placeholder>
        </w:sdtPr>
        <w:sdtContent>
          <w:r w:rsidR="0047170A">
            <w:rPr>
              <w:rFonts w:eastAsia="Times New Roman"/>
            </w:rPr>
            <w:t>(</w:t>
          </w:r>
          <w:proofErr w:type="spellStart"/>
          <w:r w:rsidR="0047170A">
            <w:rPr>
              <w:rFonts w:eastAsia="Times New Roman"/>
            </w:rPr>
            <w:t>Lemoult</w:t>
          </w:r>
          <w:proofErr w:type="spellEnd"/>
          <w:r w:rsidR="0047170A">
            <w:rPr>
              <w:rFonts w:eastAsia="Times New Roman"/>
            </w:rPr>
            <w:t xml:space="preserve"> &amp; </w:t>
          </w:r>
          <w:proofErr w:type="spellStart"/>
          <w:r w:rsidR="0047170A">
            <w:rPr>
              <w:rFonts w:eastAsia="Times New Roman"/>
            </w:rPr>
            <w:t>Gotlib</w:t>
          </w:r>
          <w:proofErr w:type="spellEnd"/>
          <w:r w:rsidR="0047170A">
            <w:rPr>
              <w:rFonts w:eastAsia="Times New Roman"/>
            </w:rPr>
            <w:t>, 2018; MacLeod &amp; Mathews, 2012)</w:t>
          </w:r>
        </w:sdtContent>
      </w:sdt>
      <w:r>
        <w:t>.</w:t>
      </w:r>
    </w:p>
    <w:p w14:paraId="30A5C59F" w14:textId="711148A9" w:rsidR="00E24D01" w:rsidRPr="00740B16" w:rsidRDefault="00E24D01" w:rsidP="00451811">
      <w:r>
        <w:lastRenderedPageBreak/>
        <w:t>Studies</w:t>
      </w:r>
      <w:r w:rsidRPr="00740B16">
        <w:t xml:space="preserve"> suggest that FNSD patients are more sensitive to negative affective stimuli</w:t>
      </w:r>
      <w:r>
        <w:t xml:space="preserve"> and </w:t>
      </w:r>
      <w:r w:rsidRPr="00740B16">
        <w:t>are characteri</w:t>
      </w:r>
      <w:r>
        <w:t>s</w:t>
      </w:r>
      <w:r w:rsidRPr="00740B16">
        <w:t>ed by a high prevalence of depression and anxiety symptoms </w:t>
      </w:r>
      <w:sdt>
        <w:sdtPr>
          <w:rPr>
            <w:color w:val="000000"/>
          </w:rPr>
          <w:tag w:val="MENDELEY_CITATION_v3_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"/>
          <w:id w:val="588891814"/>
          <w:placeholder>
            <w:docPart w:val="CA3957472A8D224CADF08069A797E5A6"/>
          </w:placeholder>
        </w:sdtPr>
        <w:sdtContent>
          <w:r w:rsidR="0047170A" w:rsidRPr="0047170A">
            <w:rPr>
              <w:color w:val="000000"/>
            </w:rPr>
            <w:t>(</w:t>
          </w:r>
          <w:proofErr w:type="spellStart"/>
          <w:r w:rsidR="0047170A" w:rsidRPr="0047170A">
            <w:rPr>
              <w:color w:val="000000"/>
            </w:rPr>
            <w:t>Şar</w:t>
          </w:r>
          <w:proofErr w:type="spellEnd"/>
          <w:r w:rsidR="0047170A" w:rsidRPr="0047170A">
            <w:rPr>
              <w:color w:val="000000"/>
            </w:rPr>
            <w:t xml:space="preserve"> et al., 2004). Patients</w:t>
          </w:r>
        </w:sdtContent>
      </w:sdt>
      <w:r w:rsidRPr="00740B16">
        <w:t xml:space="preserve"> with </w:t>
      </w:r>
      <w:r>
        <w:t>functional</w:t>
      </w:r>
      <w:r w:rsidRPr="00740B16">
        <w:t xml:space="preserve"> seizures, a common presentation of FNSD, have been shown to have increased </w:t>
      </w:r>
      <w:hyperlink r:id="rId50" w:tooltip="Learn more about Attentional Bias from ScienceDirect's AI-generated Topic Pages" w:history="1">
        <w:r w:rsidRPr="00740B16">
          <w:t>attentional bias</w:t>
        </w:r>
      </w:hyperlink>
      <w:r w:rsidRPr="00740B16">
        <w:t xml:space="preserve"> to negative social stimuli (angry faces) </w:t>
      </w:r>
      <w:sdt>
        <w:sdtPr>
          <w:rPr>
            <w:color w:val="000000"/>
          </w:rPr>
          <w:tag w:val="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"/>
          <w:id w:val="-213968880"/>
          <w:placeholder>
            <w:docPart w:val="CA3957472A8D224CADF08069A797E5A6"/>
          </w:placeholder>
        </w:sdtPr>
        <w:sdtContent>
          <w:r w:rsidR="0047170A" w:rsidRPr="0047170A">
            <w:rPr>
              <w:color w:val="000000"/>
            </w:rPr>
            <w:t>(</w:t>
          </w:r>
          <w:proofErr w:type="spellStart"/>
          <w:r w:rsidR="0047170A" w:rsidRPr="0047170A">
            <w:rPr>
              <w:color w:val="000000"/>
            </w:rPr>
            <w:t>Bakvis</w:t>
          </w:r>
          <w:proofErr w:type="spellEnd"/>
          <w:r w:rsidR="0047170A" w:rsidRPr="0047170A">
            <w:rPr>
              <w:color w:val="000000"/>
            </w:rPr>
            <w:t xml:space="preserve"> et al., 2009, 2011; Whitfield et al., 2020)</w:t>
          </w:r>
        </w:sdtContent>
      </w:sdt>
      <w:r>
        <w:rPr>
          <w:color w:val="000000"/>
        </w:rPr>
        <w:t>.</w:t>
      </w:r>
    </w:p>
    <w:p w14:paraId="629B41D2" w14:textId="053ACBB7" w:rsidR="00E24D01" w:rsidRPr="00740B16" w:rsidRDefault="00E24D01" w:rsidP="00451811">
      <w:r w:rsidRPr="00740B16">
        <w:t>Clinically, negative attentional biases could manifest as an increased focus on illness-related or negative bodily sensations, potentially exacerbating symptoms and distress.</w:t>
      </w:r>
      <w:r>
        <w:t xml:space="preserve"> </w:t>
      </w:r>
      <w:r w:rsidRPr="00740B16">
        <w:t>This bias can also contribute to maintaining the disorder by reinforcing maladaptive illness beliefs and expectations</w:t>
      </w:r>
      <w:r>
        <w:t xml:space="preserve"> </w:t>
      </w:r>
      <w:sdt>
        <w:sdtPr>
          <w:rPr>
            <w:color w:val="000000"/>
          </w:rPr>
          <w:tag w:val="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"/>
          <w:id w:val="352380435"/>
          <w:placeholder>
            <w:docPart w:val="CA3957472A8D224CADF08069A797E5A6"/>
          </w:placeholder>
        </w:sdtPr>
        <w:sdtContent>
          <w:r w:rsidR="0047170A" w:rsidRPr="0047170A">
            <w:rPr>
              <w:color w:val="000000"/>
            </w:rPr>
            <w:t>(M. J. Edwards et al., 2012; Pick et al., 2019)</w:t>
          </w:r>
        </w:sdtContent>
      </w:sdt>
      <w:r w:rsidRPr="00740B16">
        <w:t>.</w:t>
      </w:r>
    </w:p>
    <w:p w14:paraId="7939060E" w14:textId="743E6532" w:rsidR="00E24D01" w:rsidRPr="00D44694" w:rsidRDefault="00E24D01" w:rsidP="00451811">
      <w:pPr>
        <w:rPr>
          <w:rFonts w:eastAsia="Times New Roman" w:cs="Times New Roman"/>
          <w:bdr w:val="none" w:sz="0" w:space="0" w:color="auto" w:frame="1"/>
          <w:shd w:val="clear" w:color="auto" w:fill="FFFFFF"/>
          <w:lang w:eastAsia="en-GB"/>
        </w:rPr>
      </w:pPr>
      <w:r w:rsidRPr="00740B16">
        <w:t xml:space="preserve">One method to detect negative attention biases is the </w:t>
      </w:r>
      <w:r>
        <w:t>Evaluative Priming Task (EPT)</w:t>
      </w:r>
      <w:r w:rsidRPr="00740B16">
        <w:rPr>
          <w:rFonts w:eastAsia="Times New Roman" w:cs="Times New Roman"/>
          <w:bdr w:val="none" w:sz="0" w:space="0" w:color="auto" w:frame="1"/>
          <w:shd w:val="clear" w:color="auto" w:fill="FFFFFF"/>
          <w:lang w:eastAsia="en-GB"/>
        </w:rPr>
        <w:t xml:space="preserve"> developed by</w:t>
      </w:r>
      <w:r>
        <w:rPr>
          <w:rFonts w:eastAsia="Times New Roman" w:cs="Times New Roman"/>
          <w:bdr w:val="none" w:sz="0" w:space="0" w:color="auto" w:frame="1"/>
          <w:shd w:val="clear" w:color="auto" w:fill="FFFFFF"/>
          <w:lang w:eastAsia="en-GB"/>
        </w:rPr>
        <w:t xml:space="preserve"> </w:t>
      </w:r>
      <w:sdt>
        <w:sdtPr>
          <w:rPr>
            <w:rFonts w:eastAsia="Times New Roman" w:cs="Times New Roman"/>
            <w:color w:val="000000"/>
            <w:bdr w:val="none" w:sz="0" w:space="0" w:color="auto" w:frame="1"/>
            <w:shd w:val="clear" w:color="auto" w:fill="FFFFFF"/>
            <w:lang w:eastAsia="en-GB"/>
          </w:rPr>
          <w:tag w:val="MENDELEY_CITATION_v3_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"/>
          <w:id w:val="-33892766"/>
          <w:placeholder>
            <w:docPart w:val="CA3957472A8D224CADF08069A797E5A6"/>
          </w:placeholder>
        </w:sdtPr>
        <w:sdtContent>
          <w:r w:rsidR="0047170A" w:rsidRPr="0047170A">
            <w:rPr>
              <w:rFonts w:eastAsia="Times New Roman" w:cs="Times New Roman"/>
              <w:color w:val="000000"/>
              <w:bdr w:val="none" w:sz="0" w:space="0" w:color="auto" w:frame="1"/>
              <w:shd w:val="clear" w:color="auto" w:fill="FFFFFF"/>
              <w:lang w:eastAsia="en-GB"/>
            </w:rPr>
            <w:t>(Fazio et al., 1994)</w:t>
          </w:r>
        </w:sdtContent>
      </w:sdt>
      <w:r w:rsidRPr="00740B16">
        <w:rPr>
          <w:rFonts w:eastAsia="Times New Roman" w:cs="Times New Roman"/>
          <w:bdr w:val="none" w:sz="0" w:space="0" w:color="auto" w:frame="1"/>
          <w:shd w:val="clear" w:color="auto" w:fill="FFFFFF"/>
          <w:lang w:eastAsia="en-GB"/>
        </w:rPr>
        <w:t>.</w:t>
      </w:r>
      <w:r>
        <w:rPr>
          <w:rFonts w:eastAsia="Times New Roman" w:cs="Times New Roman"/>
          <w:bdr w:val="none" w:sz="0" w:space="0" w:color="auto" w:frame="1"/>
          <w:shd w:val="clear" w:color="auto" w:fill="FFFFFF"/>
          <w:lang w:eastAsia="en-GB"/>
        </w:rPr>
        <w:t xml:space="preserve"> </w:t>
      </w:r>
      <w:r w:rsidRPr="00740B16">
        <w:rPr>
          <w:rFonts w:eastAsia="Times New Roman" w:cs="Times New Roman"/>
          <w:bdr w:val="none" w:sz="0" w:space="0" w:color="auto" w:frame="1"/>
          <w:shd w:val="clear" w:color="auto" w:fill="FFFFFF"/>
          <w:lang w:eastAsia="en-GB"/>
        </w:rPr>
        <w:t xml:space="preserve">This </w:t>
      </w:r>
      <w:r>
        <w:rPr>
          <w:rFonts w:eastAsia="Times New Roman" w:cs="Times New Roman"/>
          <w:bdr w:val="none" w:sz="0" w:space="0" w:color="auto" w:frame="1"/>
          <w:shd w:val="clear" w:color="auto" w:fill="FFFFFF"/>
          <w:lang w:eastAsia="en-GB"/>
        </w:rPr>
        <w:t>evaluative decision task</w:t>
      </w:r>
      <w:r w:rsidRPr="00740B16">
        <w:t xml:space="preserve"> assesses the automatic a</w:t>
      </w:r>
      <w:r>
        <w:t>ctivation of attitudes, e.g., an a</w:t>
      </w:r>
      <w:r w:rsidRPr="00740B16">
        <w:t>ttentional bias towards emotionally negative stimuli</w:t>
      </w:r>
      <w:r>
        <w:rPr>
          <w:rFonts w:eastAsia="Times New Roman" w:cs="Times New Roman"/>
          <w:bdr w:val="none" w:sz="0" w:space="0" w:color="auto" w:frame="1"/>
          <w:shd w:val="clear" w:color="auto" w:fill="FFFFFF"/>
          <w:lang w:eastAsia="en-GB"/>
        </w:rPr>
        <w:t xml:space="preserve"> </w:t>
      </w:r>
      <w:sdt>
        <w:sdtPr>
          <w:rPr>
            <w:rFonts w:eastAsia="Times New Roman" w:cs="Times New Roman"/>
            <w:color w:val="000000"/>
            <w:bdr w:val="none" w:sz="0" w:space="0" w:color="auto" w:frame="1"/>
            <w:shd w:val="clear" w:color="auto" w:fill="FFFFFF"/>
            <w:lang w:eastAsia="en-GB"/>
          </w:rPr>
          <w:tag w:val="MENDELEY_CITATION_v3_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"/>
          <w:id w:val="-1747102449"/>
          <w:placeholder>
            <w:docPart w:val="CA3957472A8D224CADF08069A797E5A6"/>
          </w:placeholder>
        </w:sdtPr>
        <w:sdtContent>
          <w:r w:rsidR="0047170A" w:rsidRPr="0047170A">
            <w:rPr>
              <w:rFonts w:eastAsia="Times New Roman" w:cs="Times New Roman"/>
              <w:color w:val="000000"/>
              <w:bdr w:val="none" w:sz="0" w:space="0" w:color="auto" w:frame="1"/>
              <w:shd w:val="clear" w:color="auto" w:fill="FFFFFF"/>
              <w:lang w:eastAsia="en-GB"/>
            </w:rPr>
            <w:t>(Fazio et al., 1986)</w:t>
          </w:r>
        </w:sdtContent>
      </w:sdt>
      <w:r w:rsidRPr="00740B16">
        <w:t>.</w:t>
      </w:r>
      <w:r>
        <w:t xml:space="preserve"> </w:t>
      </w:r>
      <w:r w:rsidRPr="00740B16">
        <w:t xml:space="preserve">It involves </w:t>
      </w:r>
      <w:r>
        <w:t>briefly presenting</w:t>
      </w:r>
      <w:r w:rsidRPr="00740B16">
        <w:t xml:space="preserve"> a </w:t>
      </w:r>
      <w:r>
        <w:t>"</w:t>
      </w:r>
      <w:r w:rsidRPr="00740B16">
        <w:t>prime</w:t>
      </w:r>
      <w:r>
        <w:t>"</w:t>
      </w:r>
      <w:r w:rsidRPr="00740B16">
        <w:t xml:space="preserve"> stimulus, followed by a </w:t>
      </w:r>
      <w:r>
        <w:t>"</w:t>
      </w:r>
      <w:r w:rsidRPr="00740B16">
        <w:t>target</w:t>
      </w:r>
      <w:r>
        <w:t>"</w:t>
      </w:r>
      <w:r w:rsidRPr="00740B16">
        <w:t xml:space="preserve"> stimulus, where participants are asked to identify or classify the target.</w:t>
      </w:r>
      <w:r>
        <w:t xml:space="preserve"> </w:t>
      </w:r>
      <w:r w:rsidRPr="00740B16">
        <w:t xml:space="preserve">A </w:t>
      </w:r>
      <w:r>
        <w:t>"</w:t>
      </w:r>
      <w:r w:rsidRPr="00740B16">
        <w:t>priming</w:t>
      </w:r>
      <w:r>
        <w:t>"</w:t>
      </w:r>
      <w:r w:rsidRPr="00740B16">
        <w:t xml:space="preserve"> effect refers to the influence of the valence of a prime on the response to the target</w:t>
      </w:r>
      <w:r>
        <w:t>.</w:t>
      </w:r>
      <w:r>
        <w:rPr>
          <w:rFonts w:eastAsia="Times New Roman" w:cs="Times New Roman"/>
          <w:bdr w:val="none" w:sz="0" w:space="0" w:color="auto" w:frame="1"/>
          <w:shd w:val="clear" w:color="auto" w:fill="FFFFFF"/>
          <w:lang w:eastAsia="en-GB"/>
        </w:rPr>
        <w:t xml:space="preserve"> </w:t>
      </w:r>
      <w:r w:rsidRPr="00740B16">
        <w:rPr>
          <w:rFonts w:eastAsia="Times New Roman" w:cs="Times New Roman"/>
          <w:bdr w:val="none" w:sz="0" w:space="0" w:color="auto" w:frame="1"/>
          <w:shd w:val="clear" w:color="auto" w:fill="FFFFFF"/>
          <w:lang w:eastAsia="en-GB"/>
        </w:rPr>
        <w:t xml:space="preserve">Facilitation (quicker response time) is expected in </w:t>
      </w:r>
      <w:r>
        <w:rPr>
          <w:rFonts w:eastAsia="Times New Roman" w:cs="Times New Roman"/>
          <w:bdr w:val="none" w:sz="0" w:space="0" w:color="auto" w:frame="1"/>
          <w:shd w:val="clear" w:color="auto" w:fill="FFFFFF"/>
          <w:lang w:eastAsia="en-GB"/>
        </w:rPr>
        <w:t xml:space="preserve">the </w:t>
      </w:r>
      <w:r w:rsidRPr="00740B16">
        <w:rPr>
          <w:rFonts w:eastAsia="Times New Roman" w:cs="Times New Roman"/>
          <w:bdr w:val="none" w:sz="0" w:space="0" w:color="auto" w:frame="1"/>
          <w:shd w:val="clear" w:color="auto" w:fill="FFFFFF"/>
          <w:lang w:eastAsia="en-GB"/>
        </w:rPr>
        <w:t>case of valence congruence of prime and target, whereas valence incongruence results in longer response times compared with a baseline (e.g., a neutral prime)</w:t>
      </w:r>
      <w:r>
        <w:rPr>
          <w:rFonts w:eastAsia="Times New Roman" w:cs="Times New Roman"/>
          <w:bdr w:val="none" w:sz="0" w:space="0" w:color="auto" w:frame="1"/>
          <w:shd w:val="clear" w:color="auto" w:fill="FFFFFF"/>
          <w:lang w:eastAsia="en-GB"/>
        </w:rPr>
        <w:t xml:space="preserve"> </w:t>
      </w:r>
      <w:sdt>
        <w:sdtPr>
          <w:rPr>
            <w:rFonts w:eastAsia="Times New Roman" w:cs="Times New Roman"/>
            <w:color w:val="000000"/>
            <w:bdr w:val="none" w:sz="0" w:space="0" w:color="auto" w:frame="1"/>
            <w:shd w:val="clear" w:color="auto" w:fill="FFFFFF"/>
            <w:lang w:eastAsia="en-GB"/>
          </w:rPr>
          <w:tag w:val="MENDELEY_CITATION_v3_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"/>
          <w:id w:val="-1296836416"/>
          <w:placeholder>
            <w:docPart w:val="CA3957472A8D224CADF08069A797E5A6"/>
          </w:placeholder>
        </w:sdtPr>
        <w:sdtContent>
          <w:r w:rsidR="0047170A" w:rsidRPr="0047170A">
            <w:rPr>
              <w:rFonts w:eastAsia="Times New Roman" w:cs="Times New Roman"/>
              <w:color w:val="000000"/>
              <w:bdr w:val="none" w:sz="0" w:space="0" w:color="auto" w:frame="1"/>
              <w:shd w:val="clear" w:color="auto" w:fill="FFFFFF"/>
              <w:lang w:eastAsia="en-GB"/>
            </w:rPr>
            <w:t>(Herring et al., 2013)</w:t>
          </w:r>
        </w:sdtContent>
      </w:sdt>
      <w:r w:rsidRPr="005C3D4D">
        <w:rPr>
          <w:rFonts w:eastAsia="Times New Roman" w:cs="Times New Roman"/>
          <w:bdr w:val="none" w:sz="0" w:space="0" w:color="auto" w:frame="1"/>
          <w:shd w:val="clear" w:color="auto" w:fill="FFFFFF"/>
          <w:lang w:eastAsia="en-GB"/>
        </w:rPr>
        <w:t>.</w:t>
      </w:r>
      <w:r>
        <w:rPr>
          <w:rFonts w:eastAsia="Times New Roman" w:cs="Times New Roman"/>
          <w:bdr w:val="none" w:sz="0" w:space="0" w:color="auto" w:frame="1"/>
          <w:shd w:val="clear" w:color="auto" w:fill="FFFFFF"/>
          <w:lang w:eastAsia="en-GB"/>
        </w:rPr>
        <w:t xml:space="preserve"> </w:t>
      </w:r>
      <w:r w:rsidRPr="00740B16">
        <w:rPr>
          <w:rFonts w:eastAsia="Times New Roman" w:cs="Times New Roman"/>
          <w:bdr w:val="none" w:sz="0" w:space="0" w:color="auto" w:frame="1"/>
          <w:shd w:val="clear" w:color="auto" w:fill="FFFFFF"/>
          <w:lang w:eastAsia="en-GB"/>
        </w:rPr>
        <w:t xml:space="preserve">An </w:t>
      </w:r>
      <w:r>
        <w:rPr>
          <w:rFonts w:eastAsia="Times New Roman" w:cs="Times New Roman"/>
          <w:bdr w:val="none" w:sz="0" w:space="0" w:color="auto" w:frame="1"/>
          <w:shd w:val="clear" w:color="auto" w:fill="FFFFFF"/>
          <w:lang w:eastAsia="en-GB"/>
        </w:rPr>
        <w:t>'</w:t>
      </w:r>
      <w:r w:rsidRPr="00740B16">
        <w:rPr>
          <w:rFonts w:eastAsia="Times New Roman" w:cs="Times New Roman"/>
          <w:bdr w:val="none" w:sz="0" w:space="0" w:color="auto" w:frame="1"/>
          <w:shd w:val="clear" w:color="auto" w:fill="FFFFFF"/>
          <w:lang w:eastAsia="en-GB"/>
        </w:rPr>
        <w:t>interference effect</w:t>
      </w:r>
      <w:r>
        <w:rPr>
          <w:rFonts w:eastAsia="Times New Roman" w:cs="Times New Roman"/>
          <w:bdr w:val="none" w:sz="0" w:space="0" w:color="auto" w:frame="1"/>
          <w:shd w:val="clear" w:color="auto" w:fill="FFFFFF"/>
          <w:lang w:eastAsia="en-GB"/>
        </w:rPr>
        <w:t>'</w:t>
      </w:r>
      <w:r w:rsidRPr="00740B16">
        <w:rPr>
          <w:rFonts w:eastAsia="Times New Roman" w:cs="Times New Roman"/>
          <w:bdr w:val="none" w:sz="0" w:space="0" w:color="auto" w:frame="1"/>
          <w:shd w:val="clear" w:color="auto" w:fill="FFFFFF"/>
          <w:lang w:eastAsia="en-GB"/>
        </w:rPr>
        <w:t xml:space="preserve"> is observed when a prime</w:t>
      </w:r>
      <w:r>
        <w:rPr>
          <w:rFonts w:eastAsia="Times New Roman" w:cs="Times New Roman"/>
          <w:bdr w:val="none" w:sz="0" w:space="0" w:color="auto" w:frame="1"/>
          <w:shd w:val="clear" w:color="auto" w:fill="FFFFFF"/>
          <w:lang w:eastAsia="en-GB"/>
        </w:rPr>
        <w:t>-</w:t>
      </w:r>
      <w:r w:rsidRPr="00740B16">
        <w:rPr>
          <w:rFonts w:eastAsia="Times New Roman" w:cs="Times New Roman"/>
          <w:bdr w:val="none" w:sz="0" w:space="0" w:color="auto" w:frame="1"/>
          <w:shd w:val="clear" w:color="auto" w:fill="FFFFFF"/>
          <w:lang w:eastAsia="en-GB"/>
        </w:rPr>
        <w:t xml:space="preserve">distractor valence is repeated as a </w:t>
      </w:r>
      <w:r>
        <w:rPr>
          <w:rFonts w:eastAsia="Times New Roman" w:cs="Times New Roman"/>
          <w:bdr w:val="none" w:sz="0" w:space="0" w:color="auto" w:frame="1"/>
          <w:shd w:val="clear" w:color="auto" w:fill="FFFFFF"/>
          <w:lang w:eastAsia="en-GB"/>
        </w:rPr>
        <w:t>probe-target</w:t>
      </w:r>
      <w:r w:rsidRPr="00740B16">
        <w:rPr>
          <w:rFonts w:eastAsia="Times New Roman" w:cs="Times New Roman"/>
          <w:bdr w:val="none" w:sz="0" w:space="0" w:color="auto" w:frame="1"/>
          <w:shd w:val="clear" w:color="auto" w:fill="FFFFFF"/>
          <w:lang w:eastAsia="en-GB"/>
        </w:rPr>
        <w:t xml:space="preserve"> valence </w:t>
      </w:r>
      <w:sdt>
        <w:sdtPr>
          <w:rPr>
            <w:rFonts w:eastAsia="Times New Roman" w:cs="Times New Roman"/>
            <w:color w:val="000000"/>
            <w:bdr w:val="none" w:sz="0" w:space="0" w:color="auto" w:frame="1"/>
            <w:shd w:val="clear" w:color="auto" w:fill="FFFFFF"/>
            <w:lang w:eastAsia="en-GB"/>
          </w:rPr>
          <w:tag w:val="MENDELEY_CITATION_v3_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"/>
          <w:id w:val="1275527349"/>
          <w:placeholder>
            <w:docPart w:val="CA3957472A8D224CADF08069A797E5A6"/>
          </w:placeholder>
        </w:sdtPr>
        <w:sdtContent>
          <w:r w:rsidR="0047170A" w:rsidRPr="0047170A">
            <w:rPr>
              <w:rFonts w:eastAsia="Times New Roman" w:cs="Times New Roman"/>
              <w:color w:val="000000"/>
              <w:bdr w:val="none" w:sz="0" w:space="0" w:color="auto" w:frame="1"/>
              <w:shd w:val="clear" w:color="auto" w:fill="FFFFFF"/>
              <w:lang w:eastAsia="en-GB"/>
            </w:rPr>
            <w:t>(</w:t>
          </w:r>
          <w:proofErr w:type="spellStart"/>
          <w:r w:rsidR="0047170A" w:rsidRPr="0047170A">
            <w:rPr>
              <w:rFonts w:eastAsia="Times New Roman" w:cs="Times New Roman"/>
              <w:color w:val="000000"/>
              <w:bdr w:val="none" w:sz="0" w:space="0" w:color="auto" w:frame="1"/>
              <w:shd w:val="clear" w:color="auto" w:fill="FFFFFF"/>
              <w:lang w:eastAsia="en-GB"/>
            </w:rPr>
            <w:t>Wentura</w:t>
          </w:r>
          <w:proofErr w:type="spellEnd"/>
          <w:r w:rsidR="0047170A" w:rsidRPr="0047170A">
            <w:rPr>
              <w:rFonts w:eastAsia="Times New Roman" w:cs="Times New Roman"/>
              <w:color w:val="000000"/>
              <w:bdr w:val="none" w:sz="0" w:space="0" w:color="auto" w:frame="1"/>
              <w:shd w:val="clear" w:color="auto" w:fill="FFFFFF"/>
              <w:lang w:eastAsia="en-GB"/>
            </w:rPr>
            <w:t>, 1999)</w:t>
          </w:r>
        </w:sdtContent>
      </w:sdt>
      <w:r w:rsidRPr="00740B16">
        <w:rPr>
          <w:rFonts w:eastAsia="Times New Roman" w:cs="Times New Roman"/>
          <w:bdr w:val="none" w:sz="0" w:space="0" w:color="auto" w:frame="1"/>
          <w:shd w:val="clear" w:color="auto" w:fill="FFFFFF"/>
          <w:lang w:eastAsia="en-GB"/>
        </w:rPr>
        <w:t xml:space="preserve"> in trial pairs.</w:t>
      </w:r>
      <w:r>
        <w:rPr>
          <w:rFonts w:eastAsia="Times New Roman" w:cs="Times New Roman"/>
          <w:bdr w:val="none" w:sz="0" w:space="0" w:color="auto" w:frame="1"/>
          <w:shd w:val="clear" w:color="auto" w:fill="FFFFFF"/>
          <w:lang w:eastAsia="en-GB"/>
        </w:rPr>
        <w:t xml:space="preserve"> </w:t>
      </w:r>
      <w:r w:rsidRPr="00740B16">
        <w:rPr>
          <w:rFonts w:eastAsia="Times New Roman" w:cs="Arial"/>
          <w:bdr w:val="none" w:sz="0" w:space="0" w:color="auto" w:frame="1"/>
          <w:shd w:val="clear" w:color="auto" w:fill="FFFFFF"/>
          <w:lang w:eastAsia="en-GB"/>
        </w:rPr>
        <w:t xml:space="preserve">If this effect is not shown, it is assumed that the prime distracter stimuli could not be inhibited because special attention is given to the valence of the prime, which is considered in the literature as an attentional bias </w:t>
      </w:r>
      <w:sdt>
        <w:sdtPr>
          <w:rPr>
            <w:rFonts w:eastAsia="Times New Roman" w:cs="Arial"/>
            <w:color w:val="000000"/>
            <w:bdr w:val="none" w:sz="0" w:space="0" w:color="auto" w:frame="1"/>
            <w:shd w:val="clear" w:color="auto" w:fill="FFFFFF"/>
            <w:lang w:eastAsia="en-GB"/>
          </w:rPr>
          <w:tag w:val="MENDELEY_CITATION_v3_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"/>
          <w:id w:val="487908584"/>
          <w:placeholder>
            <w:docPart w:val="CA3957472A8D224CADF08069A797E5A6"/>
          </w:placeholder>
        </w:sdtPr>
        <w:sdtContent>
          <w:r w:rsidR="0047170A" w:rsidRPr="0047170A">
            <w:rPr>
              <w:rFonts w:eastAsia="Times New Roman" w:cs="Arial"/>
              <w:color w:val="000000"/>
              <w:bdr w:val="none" w:sz="0" w:space="0" w:color="auto" w:frame="1"/>
              <w:shd w:val="clear" w:color="auto" w:fill="FFFFFF"/>
              <w:lang w:eastAsia="en-GB"/>
            </w:rPr>
            <w:t>(</w:t>
          </w:r>
          <w:proofErr w:type="spellStart"/>
          <w:r w:rsidR="0047170A" w:rsidRPr="0047170A">
            <w:rPr>
              <w:rFonts w:eastAsia="Times New Roman" w:cs="Arial"/>
              <w:color w:val="000000"/>
              <w:bdr w:val="none" w:sz="0" w:space="0" w:color="auto" w:frame="1"/>
              <w:shd w:val="clear" w:color="auto" w:fill="FFFFFF"/>
              <w:lang w:eastAsia="en-GB"/>
            </w:rPr>
            <w:t>Joormann</w:t>
          </w:r>
          <w:proofErr w:type="spellEnd"/>
          <w:r w:rsidR="0047170A" w:rsidRPr="0047170A">
            <w:rPr>
              <w:rFonts w:eastAsia="Times New Roman" w:cs="Arial"/>
              <w:color w:val="000000"/>
              <w:bdr w:val="none" w:sz="0" w:space="0" w:color="auto" w:frame="1"/>
              <w:shd w:val="clear" w:color="auto" w:fill="FFFFFF"/>
              <w:lang w:eastAsia="en-GB"/>
            </w:rPr>
            <w:t>, 2004)</w:t>
          </w:r>
        </w:sdtContent>
      </w:sdt>
      <w:r w:rsidRPr="00740B16">
        <w:rPr>
          <w:rFonts w:eastAsia="Times New Roman" w:cs="Arial"/>
          <w:bdr w:val="none" w:sz="0" w:space="0" w:color="auto" w:frame="1"/>
          <w:shd w:val="clear" w:color="auto" w:fill="FFFFFF"/>
          <w:lang w:eastAsia="en-GB"/>
        </w:rPr>
        <w:t>.</w:t>
      </w:r>
      <w:r>
        <w:rPr>
          <w:rFonts w:eastAsia="Times New Roman" w:cs="Arial"/>
          <w:bdr w:val="none" w:sz="0" w:space="0" w:color="auto" w:frame="1"/>
          <w:shd w:val="clear" w:color="auto" w:fill="FFFFFF"/>
          <w:lang w:eastAsia="en-GB"/>
        </w:rPr>
        <w:t xml:space="preserve"> </w:t>
      </w:r>
      <w:r w:rsidRPr="00740B16">
        <w:rPr>
          <w:rFonts w:eastAsia="Times New Roman" w:cs="Times New Roman"/>
          <w:bdr w:val="none" w:sz="0" w:space="0" w:color="auto" w:frame="1"/>
          <w:shd w:val="clear" w:color="auto" w:fill="FFFFFF"/>
          <w:lang w:eastAsia="en-GB"/>
        </w:rPr>
        <w:t xml:space="preserve">This absent/reduced interference effect or attentional bias for negative stimuli has been found in dysphoric participants and participants with a history of depression </w:t>
      </w:r>
      <w:sdt>
        <w:sdtPr>
          <w:rPr>
            <w:rFonts w:eastAsia="Times New Roman" w:cs="Times New Roman"/>
            <w:color w:val="000000"/>
            <w:bdr w:val="none" w:sz="0" w:space="0" w:color="auto" w:frame="1"/>
            <w:shd w:val="clear" w:color="auto" w:fill="FFFFFF"/>
            <w:lang w:eastAsia="en-GB"/>
          </w:rPr>
          <w:tag w:val="MENDELEY_CITATION_v3_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"/>
          <w:id w:val="-137270325"/>
          <w:placeholder>
            <w:docPart w:val="CA3957472A8D224CADF08069A797E5A6"/>
          </w:placeholder>
        </w:sdtPr>
        <w:sdtContent>
          <w:r w:rsidR="0047170A" w:rsidRPr="0047170A">
            <w:rPr>
              <w:rFonts w:eastAsia="Times New Roman" w:cs="Times New Roman"/>
              <w:color w:val="000000"/>
              <w:bdr w:val="none" w:sz="0" w:space="0" w:color="auto" w:frame="1"/>
              <w:shd w:val="clear" w:color="auto" w:fill="FFFFFF"/>
              <w:lang w:eastAsia="en-GB"/>
            </w:rPr>
            <w:t xml:space="preserve">(Frings et al., 2007; </w:t>
          </w:r>
          <w:proofErr w:type="spellStart"/>
          <w:r w:rsidR="0047170A" w:rsidRPr="0047170A">
            <w:rPr>
              <w:rFonts w:eastAsia="Times New Roman" w:cs="Times New Roman"/>
              <w:color w:val="000000"/>
              <w:bdr w:val="none" w:sz="0" w:space="0" w:color="auto" w:frame="1"/>
              <w:shd w:val="clear" w:color="auto" w:fill="FFFFFF"/>
              <w:lang w:eastAsia="en-GB"/>
            </w:rPr>
            <w:t>Goeleven</w:t>
          </w:r>
          <w:proofErr w:type="spellEnd"/>
          <w:r w:rsidR="0047170A" w:rsidRPr="0047170A">
            <w:rPr>
              <w:rFonts w:eastAsia="Times New Roman" w:cs="Times New Roman"/>
              <w:color w:val="000000"/>
              <w:bdr w:val="none" w:sz="0" w:space="0" w:color="auto" w:frame="1"/>
              <w:shd w:val="clear" w:color="auto" w:fill="FFFFFF"/>
              <w:lang w:eastAsia="en-GB"/>
            </w:rPr>
            <w:t xml:space="preserve"> et al., 2006; </w:t>
          </w:r>
          <w:proofErr w:type="spellStart"/>
          <w:r w:rsidR="0047170A" w:rsidRPr="0047170A">
            <w:rPr>
              <w:rFonts w:eastAsia="Times New Roman" w:cs="Times New Roman"/>
              <w:color w:val="000000"/>
              <w:bdr w:val="none" w:sz="0" w:space="0" w:color="auto" w:frame="1"/>
              <w:shd w:val="clear" w:color="auto" w:fill="FFFFFF"/>
              <w:lang w:eastAsia="en-GB"/>
            </w:rPr>
            <w:t>Joormann</w:t>
          </w:r>
          <w:proofErr w:type="spellEnd"/>
          <w:r w:rsidR="0047170A" w:rsidRPr="0047170A">
            <w:rPr>
              <w:rFonts w:eastAsia="Times New Roman" w:cs="Times New Roman"/>
              <w:color w:val="000000"/>
              <w:bdr w:val="none" w:sz="0" w:space="0" w:color="auto" w:frame="1"/>
              <w:shd w:val="clear" w:color="auto" w:fill="FFFFFF"/>
              <w:lang w:eastAsia="en-GB"/>
            </w:rPr>
            <w:t>, 2004)</w:t>
          </w:r>
        </w:sdtContent>
      </w:sdt>
      <w:r>
        <w:rPr>
          <w:rFonts w:eastAsia="Times New Roman" w:cs="Times New Roman"/>
          <w:bdr w:val="none" w:sz="0" w:space="0" w:color="auto" w:frame="1"/>
          <w:shd w:val="clear" w:color="auto" w:fill="FFFFFF"/>
          <w:lang w:eastAsia="en-GB"/>
        </w:rPr>
        <w:t xml:space="preserve">. </w:t>
      </w:r>
      <w:r w:rsidRPr="00740B16">
        <w:rPr>
          <w:rFonts w:eastAsia="Times New Roman" w:cs="Times New Roman"/>
          <w:bdr w:val="none" w:sz="0" w:space="0" w:color="auto" w:frame="1"/>
          <w:shd w:val="clear" w:color="auto" w:fill="FFFFFF"/>
          <w:lang w:eastAsia="en-GB"/>
        </w:rPr>
        <w:t xml:space="preserve">The affective priming effect has been demonstrated with </w:t>
      </w:r>
      <w:r>
        <w:rPr>
          <w:rFonts w:eastAsia="Times New Roman" w:cs="Times New Roman"/>
          <w:bdr w:val="none" w:sz="0" w:space="0" w:color="auto" w:frame="1"/>
          <w:shd w:val="clear" w:color="auto" w:fill="FFFFFF"/>
          <w:lang w:eastAsia="en-GB"/>
        </w:rPr>
        <w:t>various</w:t>
      </w:r>
      <w:r w:rsidRPr="00740B16">
        <w:rPr>
          <w:rFonts w:eastAsia="Times New Roman" w:cs="Times New Roman"/>
          <w:bdr w:val="none" w:sz="0" w:space="0" w:color="auto" w:frame="1"/>
          <w:shd w:val="clear" w:color="auto" w:fill="FFFFFF"/>
          <w:lang w:eastAsia="en-GB"/>
        </w:rPr>
        <w:t xml:space="preserve"> stimulus materials, including words, line drawings</w:t>
      </w:r>
      <w:r>
        <w:rPr>
          <w:rFonts w:eastAsia="Times New Roman" w:cs="Times New Roman"/>
          <w:bdr w:val="none" w:sz="0" w:space="0" w:color="auto" w:frame="1"/>
          <w:shd w:val="clear" w:color="auto" w:fill="FFFFFF"/>
          <w:lang w:eastAsia="en-GB"/>
        </w:rPr>
        <w:t>,</w:t>
      </w:r>
      <w:r w:rsidRPr="00740B16">
        <w:rPr>
          <w:rFonts w:eastAsia="Times New Roman" w:cs="Times New Roman"/>
          <w:bdr w:val="none" w:sz="0" w:space="0" w:color="auto" w:frame="1"/>
          <w:shd w:val="clear" w:color="auto" w:fill="FFFFFF"/>
          <w:lang w:eastAsia="en-GB"/>
        </w:rPr>
        <w:t xml:space="preserve"> complex colour pictures, odours, and facial expressions</w:t>
      </w:r>
      <w:r>
        <w:rPr>
          <w:rFonts w:eastAsia="Times New Roman" w:cs="Times New Roman"/>
          <w:bdr w:val="none" w:sz="0" w:space="0" w:color="auto" w:frame="1"/>
          <w:shd w:val="clear" w:color="auto" w:fill="FFFFFF"/>
          <w:lang w:eastAsia="en-GB"/>
        </w:rPr>
        <w:t xml:space="preserve"> </w:t>
      </w:r>
      <w:sdt>
        <w:sdtPr>
          <w:rPr>
            <w:rFonts w:eastAsia="Times New Roman" w:cs="Times New Roman"/>
            <w:color w:val="000000"/>
            <w:bdr w:val="none" w:sz="0" w:space="0" w:color="auto" w:frame="1"/>
            <w:shd w:val="clear" w:color="auto" w:fill="FFFFFF"/>
            <w:lang w:eastAsia="en-GB"/>
          </w:rPr>
          <w:tag w:val="MENDELEY_CITATION_v3_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"/>
          <w:id w:val="147409987"/>
          <w:placeholder>
            <w:docPart w:val="CA3957472A8D224CADF08069A797E5A6"/>
          </w:placeholder>
        </w:sdtPr>
        <w:sdtContent>
          <w:r w:rsidR="0047170A" w:rsidRPr="0047170A">
            <w:rPr>
              <w:rFonts w:eastAsia="Times New Roman" w:cs="Times New Roman"/>
              <w:color w:val="000000"/>
              <w:bdr w:val="none" w:sz="0" w:space="0" w:color="auto" w:frame="1"/>
              <w:shd w:val="clear" w:color="auto" w:fill="FFFFFF"/>
              <w:lang w:eastAsia="en-GB"/>
            </w:rPr>
            <w:t>(Herring et al., 2013)</w:t>
          </w:r>
        </w:sdtContent>
      </w:sdt>
      <w:r w:rsidRPr="00740B16">
        <w:rPr>
          <w:rFonts w:eastAsia="Times New Roman" w:cs="Times New Roman"/>
          <w:bdr w:val="none" w:sz="0" w:space="0" w:color="auto" w:frame="1"/>
          <w:shd w:val="clear" w:color="auto" w:fill="FFFFFF"/>
          <w:lang w:eastAsia="en-GB"/>
        </w:rPr>
        <w:t>.</w:t>
      </w:r>
      <w:r>
        <w:rPr>
          <w:rFonts w:eastAsia="Times New Roman" w:cs="Times New Roman"/>
          <w:bdr w:val="none" w:sz="0" w:space="0" w:color="auto" w:frame="1"/>
          <w:shd w:val="clear" w:color="auto" w:fill="FFFFFF"/>
          <w:lang w:eastAsia="en-GB"/>
        </w:rPr>
        <w:t xml:space="preserve"> </w:t>
      </w:r>
      <w:r w:rsidRPr="00740B16">
        <w:rPr>
          <w:rFonts w:eastAsia="Times New Roman" w:cs="Times New Roman"/>
          <w:bdr w:val="none" w:sz="0" w:space="0" w:color="auto" w:frame="1"/>
          <w:shd w:val="clear" w:color="auto" w:fill="FFFFFF"/>
          <w:lang w:eastAsia="en-GB"/>
        </w:rPr>
        <w:t xml:space="preserve">It has been concluded that humans have an evaluative decision </w:t>
      </w:r>
      <w:r>
        <w:rPr>
          <w:rFonts w:eastAsia="Times New Roman" w:cs="Times New Roman"/>
          <w:bdr w:val="none" w:sz="0" w:space="0" w:color="auto" w:frame="1"/>
          <w:shd w:val="clear" w:color="auto" w:fill="FFFFFF"/>
          <w:lang w:eastAsia="en-GB"/>
        </w:rPr>
        <w:t>mechanism</w:t>
      </w:r>
      <w:r w:rsidRPr="00740B16">
        <w:rPr>
          <w:rFonts w:eastAsia="Times New Roman" w:cs="Times New Roman"/>
          <w:bdr w:val="none" w:sz="0" w:space="0" w:color="auto" w:frame="1"/>
          <w:shd w:val="clear" w:color="auto" w:fill="FFFFFF"/>
          <w:lang w:eastAsia="en-GB"/>
        </w:rPr>
        <w:t xml:space="preserve"> that allows them to automatically and unconditionally evaluate all incoming stimulus information </w:t>
      </w:r>
      <w:sdt>
        <w:sdtPr>
          <w:rPr>
            <w:rFonts w:eastAsia="Times New Roman" w:cs="Times New Roman"/>
            <w:color w:val="000000"/>
            <w:bdr w:val="none" w:sz="0" w:space="0" w:color="auto" w:frame="1"/>
            <w:shd w:val="clear" w:color="auto" w:fill="FFFFFF"/>
            <w:lang w:eastAsia="en-GB"/>
          </w:rPr>
          <w:tag w:val="MENDELEY_CITATION_v3_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"/>
          <w:id w:val="-1119835586"/>
          <w:placeholder>
            <w:docPart w:val="CA3957472A8D224CADF08069A797E5A6"/>
          </w:placeholder>
        </w:sdtPr>
        <w:sdtContent>
          <w:r w:rsidR="0047170A" w:rsidRPr="00EC7CE1">
            <w:rPr>
              <w:rFonts w:eastAsia="Times New Roman" w:cs="Times New Roman"/>
              <w:color w:val="000000"/>
              <w:bdr w:val="none" w:sz="0" w:space="0" w:color="auto" w:frame="1"/>
              <w:shd w:val="clear" w:color="auto" w:fill="FFFFFF"/>
              <w:lang w:eastAsia="en-GB"/>
            </w:rPr>
            <w:t>(</w:t>
          </w:r>
          <w:proofErr w:type="spellStart"/>
          <w:r w:rsidR="0047170A" w:rsidRPr="00EC7CE1">
            <w:rPr>
              <w:rFonts w:eastAsia="Times New Roman" w:cs="Times New Roman"/>
              <w:color w:val="000000"/>
              <w:bdr w:val="none" w:sz="0" w:space="0" w:color="auto" w:frame="1"/>
              <w:shd w:val="clear" w:color="auto" w:fill="FFFFFF"/>
              <w:lang w:eastAsia="en-GB"/>
            </w:rPr>
            <w:t>Spruyt</w:t>
          </w:r>
          <w:proofErr w:type="spellEnd"/>
          <w:r w:rsidR="0047170A" w:rsidRPr="00EC7CE1">
            <w:rPr>
              <w:rFonts w:eastAsia="Times New Roman" w:cs="Times New Roman"/>
              <w:color w:val="000000"/>
              <w:bdr w:val="none" w:sz="0" w:space="0" w:color="auto" w:frame="1"/>
              <w:shd w:val="clear" w:color="auto" w:fill="FFFFFF"/>
              <w:lang w:eastAsia="en-GB"/>
            </w:rPr>
            <w:t xml:space="preserve"> et al., 2007)</w:t>
          </w:r>
        </w:sdtContent>
      </w:sdt>
      <w:r w:rsidRPr="00740B16">
        <w:rPr>
          <w:rFonts w:eastAsia="Times New Roman" w:cs="Times New Roman"/>
          <w:bdr w:val="none" w:sz="0" w:space="0" w:color="auto" w:frame="1"/>
          <w:shd w:val="clear" w:color="auto" w:fill="FFFFFF"/>
          <w:lang w:eastAsia="en-GB"/>
        </w:rPr>
        <w:t>.</w:t>
      </w:r>
    </w:p>
    <w:p w14:paraId="1BAA2F17" w14:textId="11020FC5" w:rsidR="00E24D01" w:rsidRDefault="00E24D01" w:rsidP="00D44694">
      <w:r w:rsidRPr="003073DE">
        <w:t xml:space="preserve">The interference effects observed in negative affective priming tasks </w:t>
      </w:r>
      <w:r>
        <w:t>have</w:t>
      </w:r>
      <w:r w:rsidRPr="003073DE">
        <w:t xml:space="preserve"> be</w:t>
      </w:r>
      <w:r>
        <w:t>en</w:t>
      </w:r>
      <w:r w:rsidRPr="003073DE">
        <w:t xml:space="preserve"> attributed to various mechanisms supported by</w:t>
      </w:r>
      <w:r w:rsidR="00251F83">
        <w:t xml:space="preserve"> psychological</w:t>
      </w:r>
      <w:r w:rsidRPr="003073DE">
        <w:t xml:space="preserve"> research.</w:t>
      </w:r>
      <w:r>
        <w:t xml:space="preserve"> The inhibition theory</w:t>
      </w:r>
      <w:r w:rsidRPr="003073DE">
        <w:t xml:space="preserve"> proposes that negative affective primes activate inhibitory processes that suppress the response to subsequent negative target stimuli </w:t>
      </w:r>
      <w:sdt>
        <w:sdtPr>
          <w:rPr>
            <w:color w:val="000000"/>
          </w:rPr>
          <w:tag w:val="MENDELEY_CITATION_v3_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"/>
          <w:id w:val="212773705"/>
          <w:placeholder>
            <w:docPart w:val="CA3957472A8D224CADF08069A797E5A6"/>
          </w:placeholder>
        </w:sdtPr>
        <w:sdtContent>
          <w:r w:rsidR="00EC7CE1" w:rsidRPr="00EC7CE1">
            <w:rPr>
              <w:color w:val="000000"/>
            </w:rPr>
            <w:t>(Fox et al., 2001)</w:t>
          </w:r>
        </w:sdtContent>
      </w:sdt>
      <w:r w:rsidRPr="003073DE">
        <w:t>.</w:t>
      </w:r>
      <w:r>
        <w:t xml:space="preserve"> </w:t>
      </w:r>
      <w:r w:rsidRPr="003073DE">
        <w:t xml:space="preserve">As a </w:t>
      </w:r>
      <w:r w:rsidRPr="003073DE">
        <w:lastRenderedPageBreak/>
        <w:t>result, this inhibitory mechanism leads to slower response times and decreased accuracy when negative targets follow negative primes.</w:t>
      </w:r>
      <w:r>
        <w:t xml:space="preserve"> </w:t>
      </w:r>
      <w:r w:rsidRPr="003073DE">
        <w:t xml:space="preserve">Another explanation is conflict monitoring, which suggests that negative affective primes create a conflict between the automatic response tendency associated with the prime and the required response to the target </w:t>
      </w:r>
      <w:sdt>
        <w:sdtPr>
          <w:rPr>
            <w:color w:val="000000"/>
          </w:rPr>
          <w:tag w:val="MENDELEY_CITATION_v3_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"/>
          <w:id w:val="-1187207513"/>
          <w:placeholder>
            <w:docPart w:val="CA3957472A8D224CADF08069A797E5A6"/>
          </w:placeholder>
        </w:sdtPr>
        <w:sdtContent>
          <w:r w:rsidR="00EC7CE1" w:rsidRPr="00EC7CE1">
            <w:rPr>
              <w:color w:val="000000"/>
            </w:rPr>
            <w:t>(</w:t>
          </w:r>
          <w:proofErr w:type="spellStart"/>
          <w:r w:rsidR="00EC7CE1" w:rsidRPr="00EC7CE1">
            <w:rPr>
              <w:color w:val="000000"/>
            </w:rPr>
            <w:t>Klauer</w:t>
          </w:r>
          <w:proofErr w:type="spellEnd"/>
          <w:r w:rsidR="00EC7CE1" w:rsidRPr="00EC7CE1">
            <w:rPr>
              <w:color w:val="000000"/>
            </w:rPr>
            <w:t xml:space="preserve"> et al., 2003)</w:t>
          </w:r>
        </w:sdtContent>
      </w:sdt>
      <w:r w:rsidRPr="003073DE">
        <w:t>.</w:t>
      </w:r>
      <w:r>
        <w:t xml:space="preserve"> </w:t>
      </w:r>
      <w:r w:rsidRPr="003073DE">
        <w:t>This conflict triggers an augmented cognitive control process, resulting in longer response times and higher error rates.</w:t>
      </w:r>
      <w:r>
        <w:t xml:space="preserve"> S</w:t>
      </w:r>
      <w:r w:rsidRPr="003073DE">
        <w:t xml:space="preserve">preading activation proposes that negative affective primes activate related negative concepts in memory, </w:t>
      </w:r>
      <w:r>
        <w:t>interfering</w:t>
      </w:r>
      <w:r w:rsidRPr="003073DE">
        <w:t xml:space="preserve"> with the processing of subsequent negative target stimuli </w:t>
      </w:r>
      <w:sdt>
        <w:sdtPr>
          <w:rPr>
            <w:color w:val="000000"/>
          </w:rPr>
          <w:tag w:val="MENDELEY_CITATION_v3_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"/>
          <w:id w:val="-1329751614"/>
          <w:placeholder>
            <w:docPart w:val="CA3957472A8D224CADF08069A797E5A6"/>
          </w:placeholder>
        </w:sdtPr>
        <w:sdtContent>
          <w:r w:rsidR="00EC7CE1" w:rsidRPr="00EC7CE1">
            <w:rPr>
              <w:color w:val="000000"/>
            </w:rPr>
            <w:t>(</w:t>
          </w:r>
          <w:proofErr w:type="spellStart"/>
          <w:r w:rsidR="00EC7CE1" w:rsidRPr="00EC7CE1">
            <w:rPr>
              <w:color w:val="000000"/>
            </w:rPr>
            <w:t>Hermans</w:t>
          </w:r>
          <w:proofErr w:type="spellEnd"/>
          <w:r w:rsidR="00EC7CE1" w:rsidRPr="00EC7CE1">
            <w:rPr>
              <w:color w:val="000000"/>
            </w:rPr>
            <w:t xml:space="preserve"> et al., 1994)</w:t>
          </w:r>
        </w:sdtContent>
      </w:sdt>
      <w:r w:rsidRPr="003073DE">
        <w:t>.</w:t>
      </w:r>
      <w:r>
        <w:t xml:space="preserve"> </w:t>
      </w:r>
      <w:r w:rsidRPr="003073DE">
        <w:t>This interference arises due to the competition between the activated negative concepts and the target stimuli, causing delayed responses and reduced accuracy.</w:t>
      </w:r>
      <w:r>
        <w:t xml:space="preserve"> </w:t>
      </w:r>
      <w:r w:rsidRPr="003073DE">
        <w:t xml:space="preserve">These explanations find support in empirical studies conducted by </w:t>
      </w:r>
      <w:sdt>
        <w:sdtPr>
          <w:rPr>
            <w:color w:val="000000"/>
          </w:rPr>
          <w:tag w:val="MENDELEY_CITATION_v3_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"/>
          <w:id w:val="-1235393847"/>
          <w:placeholder>
            <w:docPart w:val="CA3957472A8D224CADF08069A797E5A6"/>
          </w:placeholder>
        </w:sdtPr>
        <w:sdtContent>
          <w:r w:rsidR="00EC7CE1" w:rsidRPr="00EC7CE1">
            <w:rPr>
              <w:color w:val="000000"/>
            </w:rPr>
            <w:t xml:space="preserve">Fox et al. (2001), </w:t>
          </w:r>
          <w:proofErr w:type="spellStart"/>
          <w:r w:rsidR="00EC7CE1" w:rsidRPr="00EC7CE1">
            <w:rPr>
              <w:color w:val="000000"/>
            </w:rPr>
            <w:t>Klauer</w:t>
          </w:r>
          <w:proofErr w:type="spellEnd"/>
          <w:r w:rsidR="00EC7CE1" w:rsidRPr="00EC7CE1">
            <w:rPr>
              <w:color w:val="000000"/>
            </w:rPr>
            <w:t xml:space="preserve"> et al. (2003)</w:t>
          </w:r>
        </w:sdtContent>
      </w:sdt>
      <w:r w:rsidRPr="003073DE">
        <w:t xml:space="preserve">, and </w:t>
      </w:r>
      <w:sdt>
        <w:sdtPr>
          <w:rPr>
            <w:color w:val="000000"/>
          </w:rPr>
          <w:tag w:val="MENDELEY_CITATION_v3_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"/>
          <w:id w:val="-435978816"/>
          <w:placeholder>
            <w:docPart w:val="CA3957472A8D224CADF08069A797E5A6"/>
          </w:placeholder>
        </w:sdtPr>
        <w:sdtContent>
          <w:proofErr w:type="spellStart"/>
          <w:r w:rsidR="00EC7CE1" w:rsidRPr="00EC7CE1">
            <w:rPr>
              <w:color w:val="000000"/>
            </w:rPr>
            <w:t>Hermans</w:t>
          </w:r>
          <w:proofErr w:type="spellEnd"/>
          <w:r w:rsidR="00EC7CE1" w:rsidRPr="00EC7CE1">
            <w:rPr>
              <w:color w:val="000000"/>
            </w:rPr>
            <w:t xml:space="preserve"> et al. (2008).</w:t>
          </w:r>
        </w:sdtContent>
      </w:sdt>
      <w:r>
        <w:t>The</w:t>
      </w:r>
      <w:r w:rsidRPr="00740B16">
        <w:t xml:space="preserve"> repeated demonstrations of affective priming effects provide strong evidence supporting the existence of unconscious and involuntary appraisal processes.</w:t>
      </w:r>
      <w:r>
        <w:t xml:space="preserve"> </w:t>
      </w:r>
      <w:r w:rsidRPr="00740B16">
        <w:t xml:space="preserve">As a result, </w:t>
      </w:r>
      <w:r>
        <w:t xml:space="preserve">the </w:t>
      </w:r>
      <w:r w:rsidRPr="00740B16">
        <w:t xml:space="preserve">automatic processing of emotional information </w:t>
      </w:r>
      <w:r>
        <w:t xml:space="preserve">has been widely investigated using </w:t>
      </w:r>
      <w:r w:rsidRPr="00740B16">
        <w:t xml:space="preserve">this paradigm </w:t>
      </w:r>
      <w:sdt>
        <w:sdtPr>
          <w:rPr>
            <w:color w:val="000000"/>
          </w:rPr>
          <w:tag w:val="MENDELEY_CITATION_v3_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"/>
          <w:id w:val="1609619844"/>
          <w:placeholder>
            <w:docPart w:val="CA3957472A8D224CADF08069A797E5A6"/>
          </w:placeholder>
        </w:sdtPr>
        <w:sdtContent>
          <w:r w:rsidR="00EC7CE1" w:rsidRPr="00EC7CE1">
            <w:rPr>
              <w:color w:val="000000"/>
            </w:rPr>
            <w:t>(</w:t>
          </w:r>
          <w:proofErr w:type="spellStart"/>
          <w:r w:rsidR="00EC7CE1" w:rsidRPr="00EC7CE1">
            <w:rPr>
              <w:color w:val="000000"/>
            </w:rPr>
            <w:t>Klauer</w:t>
          </w:r>
          <w:proofErr w:type="spellEnd"/>
          <w:r w:rsidR="00EC7CE1" w:rsidRPr="00EC7CE1">
            <w:rPr>
              <w:color w:val="000000"/>
            </w:rPr>
            <w:t xml:space="preserve"> et al., 2003)</w:t>
          </w:r>
        </w:sdtContent>
      </w:sdt>
      <w:r>
        <w:t xml:space="preserve"> and demonstrates t</w:t>
      </w:r>
      <w:r w:rsidRPr="00740B16">
        <w:t xml:space="preserve">he potential utility of </w:t>
      </w:r>
      <w:r>
        <w:t>using the paradigm</w:t>
      </w:r>
      <w:r w:rsidRPr="00740B16">
        <w:t xml:space="preserve"> as an outcome measure in FNSD. </w:t>
      </w:r>
    </w:p>
    <w:p w14:paraId="6ADD3D53" w14:textId="3766E609" w:rsidR="00E24D01" w:rsidRPr="00740B16" w:rsidRDefault="00000000" w:rsidP="00D44694">
      <w:sdt>
        <w:sdtPr>
          <w:rPr>
            <w:color w:val="000000"/>
          </w:rPr>
          <w:tag w:val="MENDELEY_CITATION_v3_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"/>
          <w:id w:val="1421295861"/>
          <w:placeholder>
            <w:docPart w:val="CA3957472A8D224CADF08069A797E5A6"/>
          </w:placeholder>
        </w:sdtPr>
        <w:sdtContent>
          <w:proofErr w:type="spellStart"/>
          <w:r w:rsidR="00EC7CE1" w:rsidRPr="00EC7CE1">
            <w:rPr>
              <w:color w:val="000000"/>
            </w:rPr>
            <w:t>Keynejad</w:t>
          </w:r>
          <w:proofErr w:type="spellEnd"/>
          <w:r w:rsidR="00EC7CE1" w:rsidRPr="00EC7CE1">
            <w:rPr>
              <w:color w:val="000000"/>
            </w:rPr>
            <w:t xml:space="preserve"> et al. (2020)</w:t>
          </w:r>
        </w:sdtContent>
      </w:sdt>
      <w:r w:rsidR="00E24D01" w:rsidRPr="00740B16">
        <w:t xml:space="preserve"> </w:t>
      </w:r>
      <w:r w:rsidR="00E24D01">
        <w:t>have</w:t>
      </w:r>
      <w:r w:rsidR="00E24D01" w:rsidRPr="00740B16">
        <w:t xml:space="preserve"> highlighted the potential role of altered attentional processing in FNSD.</w:t>
      </w:r>
      <w:r w:rsidR="00E24D01">
        <w:t xml:space="preserve"> </w:t>
      </w:r>
      <w:r w:rsidR="00E24D01" w:rsidRPr="00740B16">
        <w:t>Interventions</w:t>
      </w:r>
      <w:r w:rsidR="00E24D01">
        <w:t xml:space="preserve"> that include </w:t>
      </w:r>
      <w:r w:rsidR="00E24D01" w:rsidRPr="00740B16">
        <w:t>cognitive modification</w:t>
      </w:r>
      <w:r w:rsidR="00E24D01">
        <w:t xml:space="preserve">s, such as </w:t>
      </w:r>
      <w:r w:rsidR="00E24D01" w:rsidRPr="00740B16">
        <w:t xml:space="preserve">cognitive-behavioural therapy, have shown promise in improving mental and physical health outcomes and highlight the clinical relevance of this construct </w:t>
      </w:r>
      <w:sdt>
        <w:sdtPr>
          <w:tag w:val="MENDELEY_CITATION_v3_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"/>
          <w:id w:val="-1444910767"/>
          <w:placeholder>
            <w:docPart w:val="CA3957472A8D224CADF08069A797E5A6"/>
          </w:placeholder>
        </w:sdtPr>
        <w:sdtContent>
          <w:r w:rsidR="00EC7CE1">
            <w:rPr>
              <w:rFonts w:eastAsia="Times New Roman"/>
            </w:rPr>
            <w:t>(</w:t>
          </w:r>
          <w:proofErr w:type="spellStart"/>
          <w:r w:rsidR="00EC7CE1">
            <w:rPr>
              <w:rFonts w:eastAsia="Times New Roman"/>
            </w:rPr>
            <w:t>Hallion</w:t>
          </w:r>
          <w:proofErr w:type="spellEnd"/>
          <w:r w:rsidR="00EC7CE1">
            <w:rPr>
              <w:rFonts w:eastAsia="Times New Roman"/>
            </w:rPr>
            <w:t xml:space="preserve"> &amp; </w:t>
          </w:r>
          <w:proofErr w:type="spellStart"/>
          <w:r w:rsidR="00EC7CE1">
            <w:rPr>
              <w:rFonts w:eastAsia="Times New Roman"/>
            </w:rPr>
            <w:t>Ruscio</w:t>
          </w:r>
          <w:proofErr w:type="spellEnd"/>
          <w:r w:rsidR="00EC7CE1">
            <w:rPr>
              <w:rFonts w:eastAsia="Times New Roman"/>
            </w:rPr>
            <w:t>, 2011)</w:t>
          </w:r>
        </w:sdtContent>
      </w:sdt>
      <w:r w:rsidR="00E24D01" w:rsidRPr="00740B16">
        <w:t>.</w:t>
      </w:r>
      <w:r w:rsidR="00E24D01">
        <w:t xml:space="preserve"> </w:t>
      </w:r>
      <w:r w:rsidR="00E24D01" w:rsidRPr="00740B16">
        <w:t>Given its association with health outcomes, negative affective bias could serve as a valuable health measure for identifying at-risk individuals, monitoring symptom progression, evaluating the effectiveness of therapeutic interventions</w:t>
      </w:r>
      <w:r w:rsidR="00E24D01">
        <w:t xml:space="preserve"> </w:t>
      </w:r>
      <w:r w:rsidR="00E24D01" w:rsidRPr="00740B16">
        <w:t xml:space="preserve">and informing targeted interventions to address underlying emotional and attentional alterations. </w:t>
      </w:r>
    </w:p>
    <w:p w14:paraId="44868D4B" w14:textId="77777777" w:rsidR="00E24D01" w:rsidRDefault="00E24D01" w:rsidP="008F4BAD">
      <w:pPr>
        <w:pStyle w:val="Heading3"/>
      </w:pPr>
      <w:bookmarkStart w:id="160" w:name="_Toc137504772"/>
      <w:r>
        <w:t>5.</w:t>
      </w:r>
      <w:r w:rsidRPr="00740B16">
        <w:t>1.</w:t>
      </w:r>
      <w:r>
        <w:t>7</w:t>
      </w:r>
      <w:r w:rsidRPr="00740B16">
        <w:t xml:space="preserve"> Research Study</w:t>
      </w:r>
      <w:bookmarkEnd w:id="160"/>
    </w:p>
    <w:p w14:paraId="78E73EB3" w14:textId="77777777" w:rsidR="00E24D01" w:rsidRPr="00740B16" w:rsidRDefault="00E24D01" w:rsidP="00D44694">
      <w:r>
        <w:t>R</w:t>
      </w:r>
      <w:r w:rsidRPr="00740B16">
        <w:t xml:space="preserve">esearch is warranted to examine the utility of delay discounting (impulsivity) and negative affective biases as </w:t>
      </w:r>
      <w:r>
        <w:t>FNSD measures and</w:t>
      </w:r>
      <w:r w:rsidRPr="00740B16">
        <w:t xml:space="preserve"> elucidate the mechanisms underlying their associations with </w:t>
      </w:r>
      <w:r>
        <w:t>FNSD</w:t>
      </w:r>
      <w:r w:rsidRPr="00740B16">
        <w:t xml:space="preserve"> pathology and health outcomes.</w:t>
      </w:r>
      <w:r>
        <w:t xml:space="preserve"> </w:t>
      </w:r>
      <w:r w:rsidRPr="00740B16">
        <w:t xml:space="preserve">To this end, the present study adopted the delay discounting task and an adapted affective priming task </w:t>
      </w:r>
      <w:r>
        <w:t xml:space="preserve">in an exploratory study </w:t>
      </w:r>
      <w:r w:rsidRPr="00740B16">
        <w:t xml:space="preserve">to analyse whether these measures can capture differences between an FNSD population and healthy controls. </w:t>
      </w:r>
    </w:p>
    <w:p w14:paraId="5A5D4BAB" w14:textId="4A3FF1C7" w:rsidR="00E24D01" w:rsidRPr="007D38F2" w:rsidRDefault="00E24D01" w:rsidP="007D38F2">
      <w:pPr>
        <w:pStyle w:val="Heading4"/>
        <w:rPr>
          <w:lang w:eastAsia="en-GB"/>
        </w:rPr>
      </w:pPr>
      <w:r w:rsidRPr="007D38F2">
        <w:rPr>
          <w:lang w:eastAsia="en-GB"/>
        </w:rPr>
        <w:lastRenderedPageBreak/>
        <w:t>5.1.7.1</w:t>
      </w:r>
      <w:r w:rsidR="007D38F2">
        <w:rPr>
          <w:lang w:eastAsia="en-GB"/>
        </w:rPr>
        <w:t xml:space="preserve"> </w:t>
      </w:r>
      <w:r w:rsidRPr="007D38F2">
        <w:rPr>
          <w:lang w:eastAsia="en-GB"/>
        </w:rPr>
        <w:t>Research Aim</w:t>
      </w:r>
    </w:p>
    <w:p w14:paraId="482CB5AA" w14:textId="77777777" w:rsidR="00E24D01" w:rsidRPr="00740B16" w:rsidRDefault="00E24D01" w:rsidP="00451811">
      <w:r w:rsidRPr="00740B16">
        <w:t>The present study com</w:t>
      </w:r>
      <w:r>
        <w:t>pared</w:t>
      </w:r>
      <w:r w:rsidRPr="00740B16">
        <w:t xml:space="preserve"> self-reported emotion regulation, anxiety, depression, QOL and severity of symptoms, </w:t>
      </w:r>
      <w:r>
        <w:t xml:space="preserve">delay discounting rates </w:t>
      </w:r>
      <w:r w:rsidRPr="00740B16">
        <w:t xml:space="preserve">and negative affective bias indices between FNSD patients and healthy controls to gain insight into altered emotion regulation in FNSD. </w:t>
      </w:r>
    </w:p>
    <w:p w14:paraId="76420CBA" w14:textId="77777777" w:rsidR="00E24D01" w:rsidRPr="00740B16" w:rsidRDefault="00E24D01" w:rsidP="00451811">
      <w:r w:rsidRPr="00740B16">
        <w:t xml:space="preserve">The </w:t>
      </w:r>
      <w:r>
        <w:t>study's primary aim</w:t>
      </w:r>
      <w:r w:rsidRPr="00740B16">
        <w:t xml:space="preserve"> was to investigate whether a difference in negative attentional bias and delay discounting can be observed between patients with FNSD and healthy controls</w:t>
      </w:r>
      <w:r>
        <w:t xml:space="preserve"> and to</w:t>
      </w:r>
      <w:r w:rsidRPr="007A5763">
        <w:t xml:space="preserve"> explore whether these measures could serve as measures of </w:t>
      </w:r>
      <w:r>
        <w:t xml:space="preserve">health and </w:t>
      </w:r>
      <w:r w:rsidRPr="007A5763">
        <w:t>psychotherapy-associated change in future research</w:t>
      </w:r>
      <w:r w:rsidRPr="00740B16">
        <w:t xml:space="preserve">. </w:t>
      </w:r>
    </w:p>
    <w:p w14:paraId="5EEF30D5" w14:textId="77777777" w:rsidR="00E24D01" w:rsidRPr="00E11733" w:rsidRDefault="00E24D01" w:rsidP="008F4BAD">
      <w:pPr>
        <w:pStyle w:val="Heading4"/>
        <w:rPr>
          <w:rFonts w:eastAsia="Calibri"/>
          <w:lang w:eastAsia="en-GB"/>
        </w:rPr>
      </w:pPr>
      <w:r>
        <w:rPr>
          <w:rFonts w:eastAsia="Calibri"/>
          <w:lang w:eastAsia="en-GB"/>
        </w:rPr>
        <w:t>5.</w:t>
      </w:r>
      <w:r w:rsidRPr="00E11733">
        <w:rPr>
          <w:rFonts w:eastAsia="Calibri"/>
          <w:lang w:eastAsia="en-GB"/>
        </w:rPr>
        <w:t>1.</w:t>
      </w:r>
      <w:r>
        <w:rPr>
          <w:rFonts w:eastAsia="Calibri"/>
          <w:lang w:eastAsia="en-GB"/>
        </w:rPr>
        <w:t>7</w:t>
      </w:r>
      <w:r w:rsidRPr="00E11733">
        <w:rPr>
          <w:rFonts w:eastAsia="Calibri"/>
          <w:lang w:eastAsia="en-GB"/>
        </w:rPr>
        <w:t>.2 Research Questions</w:t>
      </w:r>
    </w:p>
    <w:p w14:paraId="19313F90" w14:textId="77777777" w:rsidR="00E24D01" w:rsidRPr="00740B16" w:rsidRDefault="00E24D01" w:rsidP="00451811">
      <w:r>
        <w:t>The research questions</w:t>
      </w:r>
      <w:r w:rsidRPr="00740B16">
        <w:t xml:space="preserve"> for th</w:t>
      </w:r>
      <w:r>
        <w:t xml:space="preserve">is study </w:t>
      </w:r>
      <w:r w:rsidRPr="00740B16">
        <w:t xml:space="preserve">were: </w:t>
      </w:r>
    </w:p>
    <w:p w14:paraId="1160252C" w14:textId="77777777" w:rsidR="00E24D01" w:rsidRPr="00740B16" w:rsidRDefault="00E24D01" w:rsidP="00E24D01">
      <w:pPr>
        <w:pStyle w:val="ListParagraph"/>
        <w:numPr>
          <w:ilvl w:val="0"/>
          <w:numId w:val="94"/>
        </w:numPr>
      </w:pPr>
      <w:r>
        <w:t xml:space="preserve">Do patients with </w:t>
      </w:r>
      <w:r w:rsidRPr="00740B16">
        <w:t>FNSD and age/sex-matched healthy controls show</w:t>
      </w:r>
      <w:r>
        <w:t xml:space="preserve"> differences in</w:t>
      </w:r>
      <w:r w:rsidRPr="00740B16">
        <w:t xml:space="preserve"> </w:t>
      </w:r>
      <w:r>
        <w:t>facilitation/priming</w:t>
      </w:r>
      <w:r w:rsidRPr="00740B16">
        <w:t xml:space="preserve"> effects, evidenced by faster processing of </w:t>
      </w:r>
      <w:r>
        <w:t>congruent trials?</w:t>
      </w:r>
    </w:p>
    <w:p w14:paraId="307EC2C1" w14:textId="77777777" w:rsidR="00E24D01" w:rsidRPr="00740B16" w:rsidRDefault="00E24D01" w:rsidP="00E24D01">
      <w:pPr>
        <w:pStyle w:val="ListParagraph"/>
        <w:numPr>
          <w:ilvl w:val="0"/>
          <w:numId w:val="94"/>
        </w:numPr>
      </w:pPr>
      <w:r w:rsidRPr="00740B16">
        <w:t xml:space="preserve">Compared to healthy controls, </w:t>
      </w:r>
      <w:r>
        <w:t>do</w:t>
      </w:r>
      <w:r w:rsidRPr="00740B16">
        <w:t xml:space="preserve"> patients with FNSD </w:t>
      </w:r>
      <w:r>
        <w:t>display greater negative attentional bias, evidenced by</w:t>
      </w:r>
      <w:r w:rsidRPr="00740B16">
        <w:t xml:space="preserve"> faster processing of negative</w:t>
      </w:r>
      <w:r>
        <w:t>ly valent stimuli?</w:t>
      </w:r>
    </w:p>
    <w:p w14:paraId="0A0241AE" w14:textId="77777777" w:rsidR="00E24D01" w:rsidRDefault="00E24D01" w:rsidP="00E24D01">
      <w:pPr>
        <w:pStyle w:val="ListParagraph"/>
        <w:numPr>
          <w:ilvl w:val="0"/>
          <w:numId w:val="94"/>
        </w:numPr>
      </w:pPr>
      <w:r w:rsidRPr="00740B16">
        <w:t xml:space="preserve">Compared to healthy controls, </w:t>
      </w:r>
      <w:r>
        <w:t xml:space="preserve">do patients with </w:t>
      </w:r>
      <w:r w:rsidRPr="00740B16">
        <w:t xml:space="preserve">FNSD </w:t>
      </w:r>
      <w:r>
        <w:t>demonstrate</w:t>
      </w:r>
      <w:r w:rsidRPr="00740B16">
        <w:t xml:space="preserve"> </w:t>
      </w:r>
      <w:r>
        <w:t>reduced interference effects?</w:t>
      </w:r>
    </w:p>
    <w:p w14:paraId="139E6257" w14:textId="77777777" w:rsidR="00E24D01" w:rsidRDefault="00E24D01" w:rsidP="00E24D01">
      <w:pPr>
        <w:pStyle w:val="ListParagraph"/>
        <w:numPr>
          <w:ilvl w:val="0"/>
          <w:numId w:val="94"/>
        </w:numPr>
      </w:pPr>
      <w:r>
        <w:t>Are</w:t>
      </w:r>
      <w:r w:rsidRPr="00740B16">
        <w:t xml:space="preserve"> </w:t>
      </w:r>
      <w:r>
        <w:t>affective priming indices</w:t>
      </w:r>
      <w:r w:rsidRPr="00740B16">
        <w:t xml:space="preserve"> correlated with anxiety, depression and somatic symptom burden, emotion regulation</w:t>
      </w:r>
      <w:r>
        <w:t xml:space="preserve">, quality of life, </w:t>
      </w:r>
      <w:r w:rsidRPr="00740B16">
        <w:t>coping</w:t>
      </w:r>
      <w:r>
        <w:t xml:space="preserve"> and delay discounting</w:t>
      </w:r>
      <w:r w:rsidRPr="00740B16">
        <w:t xml:space="preserve"> scores in FNSD and healthy controls</w:t>
      </w:r>
      <w:r>
        <w:t>?</w:t>
      </w:r>
    </w:p>
    <w:p w14:paraId="3E2F6AF0" w14:textId="77777777" w:rsidR="00E24D01" w:rsidRDefault="00E24D01" w:rsidP="00E24D01">
      <w:pPr>
        <w:pStyle w:val="ListParagraph"/>
        <w:numPr>
          <w:ilvl w:val="0"/>
          <w:numId w:val="94"/>
        </w:numPr>
      </w:pPr>
      <w:r w:rsidRPr="005C3D4D">
        <w:t>Do patients with FNSD prefer immediate rewards over delayed ones compared to age-matched controls?</w:t>
      </w:r>
    </w:p>
    <w:p w14:paraId="3C265008" w14:textId="77777777" w:rsidR="00E24D01" w:rsidRPr="007C1F6F" w:rsidRDefault="00E24D01" w:rsidP="00E24D01">
      <w:pPr>
        <w:pStyle w:val="ListParagraph"/>
        <w:numPr>
          <w:ilvl w:val="0"/>
          <w:numId w:val="94"/>
        </w:numPr>
      </w:pPr>
      <w:r w:rsidRPr="005C3D4D">
        <w:t>Are delay discounting rates correlated with anxiety, depression and somatic symptom burden, emotion regulation, quality of life and coping scores in FNSD and healthy controls</w:t>
      </w:r>
      <w:r>
        <w:t>?</w:t>
      </w:r>
    </w:p>
    <w:p w14:paraId="4368DEDB" w14:textId="77777777" w:rsidR="00735B9E" w:rsidRDefault="00735B9E" w:rsidP="00DD3FE1"/>
    <w:p w14:paraId="531C7DD0" w14:textId="10B4A8BF" w:rsidR="004F48C7" w:rsidRDefault="004F48C7">
      <w:pPr>
        <w:spacing w:line="240" w:lineRule="auto"/>
        <w:jc w:val="left"/>
      </w:pPr>
      <w:r>
        <w:br w:type="page"/>
      </w:r>
    </w:p>
    <w:p w14:paraId="3387133C" w14:textId="573F1965" w:rsidR="004F48C7" w:rsidRPr="00BA04B5" w:rsidRDefault="00C741CE" w:rsidP="00C741CE">
      <w:pPr>
        <w:pStyle w:val="Heading2"/>
      </w:pPr>
      <w:bookmarkStart w:id="161" w:name="_Toc137504773"/>
      <w:r>
        <w:lastRenderedPageBreak/>
        <w:t>5.</w:t>
      </w:r>
      <w:r w:rsidR="004F48C7" w:rsidRPr="00AB66E1">
        <w:t>2 Methods</w:t>
      </w:r>
      <w:bookmarkEnd w:id="161"/>
    </w:p>
    <w:p w14:paraId="5FF9BFC2" w14:textId="1A6A0091" w:rsidR="004F48C7" w:rsidRPr="00BA04B5" w:rsidRDefault="007D38F2" w:rsidP="00C741CE">
      <w:pPr>
        <w:pStyle w:val="Heading3"/>
      </w:pPr>
      <w:bookmarkStart w:id="162" w:name="_Toc137504774"/>
      <w:r>
        <w:t>5.</w:t>
      </w:r>
      <w:r w:rsidR="004F48C7" w:rsidRPr="00BA04B5">
        <w:t xml:space="preserve">2.1 Summary of Study </w:t>
      </w:r>
      <w:r w:rsidR="004F48C7">
        <w:t>Design</w:t>
      </w:r>
      <w:bookmarkEnd w:id="162"/>
      <w:r w:rsidR="004F48C7" w:rsidRPr="00BA04B5">
        <w:t xml:space="preserve"> </w:t>
      </w:r>
    </w:p>
    <w:p w14:paraId="0B3E62F3" w14:textId="77777777" w:rsidR="004F48C7" w:rsidRPr="00BA04B5" w:rsidRDefault="004F48C7" w:rsidP="00AB66E1">
      <w:pPr>
        <w:spacing w:after="200"/>
        <w:rPr>
          <w:szCs w:val="20"/>
        </w:rPr>
      </w:pPr>
      <w:r w:rsidRPr="00BA04B5">
        <w:rPr>
          <w:szCs w:val="20"/>
        </w:rPr>
        <w:t>A cross-sectional, between-group design was employed, with two groups of participants</w:t>
      </w:r>
      <w:r>
        <w:rPr>
          <w:szCs w:val="20"/>
        </w:rPr>
        <w:t>–</w:t>
      </w:r>
      <w:r w:rsidRPr="00BA04B5">
        <w:rPr>
          <w:szCs w:val="20"/>
        </w:rPr>
        <w:t>one group of participants with a diagnosis of FN</w:t>
      </w:r>
      <w:r>
        <w:rPr>
          <w:szCs w:val="20"/>
        </w:rPr>
        <w:t>S</w:t>
      </w:r>
      <w:r w:rsidRPr="00BA04B5">
        <w:rPr>
          <w:szCs w:val="20"/>
        </w:rPr>
        <w:t>D (</w:t>
      </w:r>
      <w:r>
        <w:rPr>
          <w:szCs w:val="20"/>
        </w:rPr>
        <w:t>patient</w:t>
      </w:r>
      <w:r w:rsidRPr="00BA04B5">
        <w:rPr>
          <w:szCs w:val="20"/>
        </w:rPr>
        <w:t xml:space="preserve"> group) and one group of individuals with no history of FN</w:t>
      </w:r>
      <w:r>
        <w:rPr>
          <w:szCs w:val="20"/>
        </w:rPr>
        <w:t>S</w:t>
      </w:r>
      <w:r w:rsidRPr="00BA04B5">
        <w:rPr>
          <w:szCs w:val="20"/>
        </w:rPr>
        <w:t>D (healthy control group).</w:t>
      </w:r>
    </w:p>
    <w:p w14:paraId="7366C636" w14:textId="121FBFF9" w:rsidR="004F48C7" w:rsidRPr="00BA04B5" w:rsidRDefault="007D38F2" w:rsidP="00C741CE">
      <w:pPr>
        <w:pStyle w:val="Heading3"/>
      </w:pPr>
      <w:bookmarkStart w:id="163" w:name="_Toc137504775"/>
      <w:r>
        <w:t>5.</w:t>
      </w:r>
      <w:r w:rsidR="004F48C7" w:rsidRPr="00BA04B5">
        <w:t>2.2 Participants</w:t>
      </w:r>
      <w:bookmarkEnd w:id="163"/>
    </w:p>
    <w:p w14:paraId="48CEFFD3" w14:textId="77777777" w:rsidR="004F48C7" w:rsidRPr="00BA04B5" w:rsidRDefault="004F48C7" w:rsidP="00AB66E1">
      <w:pPr>
        <w:rPr>
          <w:bCs/>
          <w:szCs w:val="20"/>
          <w:u w:val="single"/>
        </w:rPr>
      </w:pPr>
      <w:r w:rsidRPr="00BA04B5">
        <w:rPr>
          <w:bCs/>
          <w:szCs w:val="20"/>
          <w:u w:val="single"/>
        </w:rPr>
        <w:t>Patients with FNSD</w:t>
      </w:r>
    </w:p>
    <w:p w14:paraId="48392562" w14:textId="77777777" w:rsidR="004F48C7" w:rsidRDefault="004F48C7" w:rsidP="00140F41">
      <w:pPr>
        <w:rPr>
          <w:szCs w:val="20"/>
        </w:rPr>
      </w:pPr>
      <w:r w:rsidRPr="00443839">
        <w:rPr>
          <w:szCs w:val="20"/>
        </w:rPr>
        <w:t xml:space="preserve">Adult patients with a diagnosis of FNSD under the care of a consultant neurologist at the Royal Hallamshire Hospital </w:t>
      </w:r>
      <w:r>
        <w:rPr>
          <w:szCs w:val="20"/>
        </w:rPr>
        <w:t xml:space="preserve">(RHH) </w:t>
      </w:r>
      <w:r w:rsidRPr="00443839">
        <w:rPr>
          <w:szCs w:val="20"/>
        </w:rPr>
        <w:t xml:space="preserve">in Sheffield, United Kingdom, and adult patients responding to an online advertisement on UK- and US-based </w:t>
      </w:r>
      <w:r>
        <w:rPr>
          <w:szCs w:val="20"/>
        </w:rPr>
        <w:t>FNSD</w:t>
      </w:r>
      <w:r w:rsidRPr="00443839">
        <w:rPr>
          <w:szCs w:val="20"/>
        </w:rPr>
        <w:t xml:space="preserve"> patient organisation websites were recruited to the study. For those recruited from the hospital, a clinical diagnosis of </w:t>
      </w:r>
      <w:r>
        <w:rPr>
          <w:szCs w:val="20"/>
        </w:rPr>
        <w:t>FNSD</w:t>
      </w:r>
      <w:r w:rsidRPr="00443839">
        <w:rPr>
          <w:szCs w:val="20"/>
        </w:rPr>
        <w:t xml:space="preserve"> was established </w:t>
      </w:r>
      <w:r>
        <w:rPr>
          <w:szCs w:val="20"/>
        </w:rPr>
        <w:t>based on</w:t>
      </w:r>
      <w:r w:rsidRPr="00443839">
        <w:rPr>
          <w:szCs w:val="20"/>
        </w:rPr>
        <w:t xml:space="preserve"> all available evidence and the expert opinion of the </w:t>
      </w:r>
      <w:r>
        <w:rPr>
          <w:szCs w:val="20"/>
        </w:rPr>
        <w:t>patient's</w:t>
      </w:r>
      <w:r w:rsidRPr="00443839">
        <w:rPr>
          <w:szCs w:val="20"/>
        </w:rPr>
        <w:t xml:space="preserve"> consultant neurologist</w:t>
      </w:r>
      <w:r>
        <w:rPr>
          <w:szCs w:val="20"/>
        </w:rPr>
        <w:t>. These patients had been referred by their neurologist and were on the waiting list to start psychotherapy at the Royal Hallamshire Hospital STHFT</w:t>
      </w:r>
      <w:r w:rsidRPr="00443839">
        <w:rPr>
          <w:szCs w:val="20"/>
        </w:rPr>
        <w:t xml:space="preserve">. </w:t>
      </w:r>
      <w:r w:rsidRPr="00171CF0">
        <w:rPr>
          <w:szCs w:val="20"/>
        </w:rPr>
        <w:t xml:space="preserve">The usual patient flow into this psychotherapy service involves </w:t>
      </w:r>
      <w:r>
        <w:rPr>
          <w:szCs w:val="20"/>
        </w:rPr>
        <w:t xml:space="preserve">a </w:t>
      </w:r>
      <w:r w:rsidRPr="00171CF0">
        <w:rPr>
          <w:szCs w:val="20"/>
        </w:rPr>
        <w:t>referral of the patient to the service, completion and return of baseline service evaluation questionnaires, single assessment appointment about three months after referral</w:t>
      </w:r>
      <w:r>
        <w:rPr>
          <w:szCs w:val="20"/>
        </w:rPr>
        <w:t xml:space="preserve"> and</w:t>
      </w:r>
      <w:r w:rsidRPr="00171CF0">
        <w:rPr>
          <w:szCs w:val="20"/>
        </w:rPr>
        <w:t xml:space="preserve"> admission to </w:t>
      </w:r>
      <w:r>
        <w:rPr>
          <w:szCs w:val="20"/>
        </w:rPr>
        <w:t xml:space="preserve">the </w:t>
      </w:r>
      <w:r w:rsidRPr="00171CF0">
        <w:rPr>
          <w:szCs w:val="20"/>
        </w:rPr>
        <w:t>waiting list for psychotherapy (with a waiting time of around 1-2 years at the time of this study).</w:t>
      </w:r>
    </w:p>
    <w:p w14:paraId="535BF160" w14:textId="77777777" w:rsidR="004F48C7" w:rsidRPr="000670E4" w:rsidRDefault="004F48C7" w:rsidP="00140F41">
      <w:pPr>
        <w:rPr>
          <w:szCs w:val="20"/>
        </w:rPr>
      </w:pPr>
      <w:r w:rsidRPr="00443839">
        <w:rPr>
          <w:szCs w:val="20"/>
        </w:rPr>
        <w:t xml:space="preserve">For patients recruited online, confirmation of </w:t>
      </w:r>
      <w:r>
        <w:rPr>
          <w:szCs w:val="20"/>
        </w:rPr>
        <w:t>an</w:t>
      </w:r>
      <w:r w:rsidRPr="00443839">
        <w:rPr>
          <w:szCs w:val="20"/>
        </w:rPr>
        <w:t xml:space="preserve"> </w:t>
      </w:r>
      <w:r>
        <w:rPr>
          <w:szCs w:val="20"/>
        </w:rPr>
        <w:t>FNSD</w:t>
      </w:r>
      <w:r w:rsidRPr="00443839">
        <w:rPr>
          <w:szCs w:val="20"/>
        </w:rPr>
        <w:t xml:space="preserve"> diagnosis was sought from</w:t>
      </w:r>
      <w:r>
        <w:rPr>
          <w:szCs w:val="20"/>
        </w:rPr>
        <w:t xml:space="preserve"> the participants as part of the screening and from</w:t>
      </w:r>
      <w:r w:rsidRPr="00443839">
        <w:rPr>
          <w:szCs w:val="20"/>
        </w:rPr>
        <w:t xml:space="preserve"> a subgroup of the </w:t>
      </w:r>
      <w:r>
        <w:rPr>
          <w:szCs w:val="20"/>
        </w:rPr>
        <w:t>participant's</w:t>
      </w:r>
      <w:r w:rsidRPr="00443839">
        <w:rPr>
          <w:szCs w:val="20"/>
        </w:rPr>
        <w:t xml:space="preserve"> General Practitioner or Consultant Neurologist</w:t>
      </w:r>
      <w:r>
        <w:rPr>
          <w:szCs w:val="20"/>
        </w:rPr>
        <w:t xml:space="preserve">. </w:t>
      </w:r>
      <w:r w:rsidRPr="00443839">
        <w:rPr>
          <w:szCs w:val="20"/>
        </w:rPr>
        <w:t xml:space="preserve">To be eligible for the </w:t>
      </w:r>
      <w:r>
        <w:rPr>
          <w:szCs w:val="20"/>
        </w:rPr>
        <w:t>study,</w:t>
      </w:r>
      <w:r w:rsidRPr="00443839">
        <w:rPr>
          <w:szCs w:val="20"/>
        </w:rPr>
        <w:t xml:space="preserve"> patients had to </w:t>
      </w:r>
      <w:r>
        <w:rPr>
          <w:szCs w:val="20"/>
        </w:rPr>
        <w:t>be diagnosed with FNSD and</w:t>
      </w:r>
      <w:r w:rsidRPr="00443839">
        <w:rPr>
          <w:szCs w:val="20"/>
        </w:rPr>
        <w:t xml:space="preserve"> </w:t>
      </w:r>
      <w:r>
        <w:rPr>
          <w:szCs w:val="20"/>
        </w:rPr>
        <w:t>at least</w:t>
      </w:r>
      <w:r w:rsidRPr="00443839">
        <w:rPr>
          <w:szCs w:val="20"/>
        </w:rPr>
        <w:t xml:space="preserve"> 18 years of age. </w:t>
      </w:r>
      <w:r>
        <w:t>Patients were ineligible for the study under the following conditions:</w:t>
      </w:r>
    </w:p>
    <w:p w14:paraId="0947C260" w14:textId="77777777" w:rsidR="004F48C7" w:rsidRPr="00BC1E32" w:rsidRDefault="004F48C7" w:rsidP="004F48C7">
      <w:pPr>
        <w:pStyle w:val="ListParagraph"/>
        <w:numPr>
          <w:ilvl w:val="0"/>
          <w:numId w:val="96"/>
        </w:numPr>
        <w:rPr>
          <w:szCs w:val="20"/>
        </w:rPr>
      </w:pPr>
      <w:r>
        <w:t xml:space="preserve">If they had any neurological comorbidities that </w:t>
      </w:r>
      <w:r w:rsidRPr="00443839">
        <w:rPr>
          <w:szCs w:val="20"/>
        </w:rPr>
        <w:t>could partially or wholly account for their symptoms</w:t>
      </w:r>
      <w:r>
        <w:t>.</w:t>
      </w:r>
    </w:p>
    <w:p w14:paraId="20F88FD4" w14:textId="77777777" w:rsidR="004F48C7" w:rsidRPr="00BC1E32" w:rsidRDefault="004F48C7" w:rsidP="004F48C7">
      <w:pPr>
        <w:pStyle w:val="ListParagraph"/>
        <w:numPr>
          <w:ilvl w:val="0"/>
          <w:numId w:val="96"/>
        </w:numPr>
        <w:rPr>
          <w:szCs w:val="20"/>
        </w:rPr>
      </w:pPr>
      <w:r>
        <w:t>If they were unable to provide informed consent.</w:t>
      </w:r>
    </w:p>
    <w:p w14:paraId="7AB27F45" w14:textId="77777777" w:rsidR="004F48C7" w:rsidRPr="00BC1E32" w:rsidRDefault="004F48C7" w:rsidP="004F48C7">
      <w:pPr>
        <w:pStyle w:val="ListParagraph"/>
        <w:numPr>
          <w:ilvl w:val="0"/>
          <w:numId w:val="96"/>
        </w:numPr>
        <w:rPr>
          <w:szCs w:val="20"/>
        </w:rPr>
      </w:pPr>
      <w:r>
        <w:t>If they could not complete the online or physical versions of the self-report questionnaires unaided.</w:t>
      </w:r>
    </w:p>
    <w:p w14:paraId="2CC9704E" w14:textId="77777777" w:rsidR="004F48C7" w:rsidRDefault="004F48C7" w:rsidP="00AB66E1">
      <w:pPr>
        <w:rPr>
          <w:bCs/>
          <w:szCs w:val="20"/>
          <w:u w:val="single"/>
        </w:rPr>
      </w:pPr>
      <w:r w:rsidRPr="00BA04B5">
        <w:rPr>
          <w:bCs/>
          <w:szCs w:val="20"/>
          <w:u w:val="single"/>
        </w:rPr>
        <w:t>Control participants</w:t>
      </w:r>
    </w:p>
    <w:p w14:paraId="46E62C17" w14:textId="77777777" w:rsidR="004F48C7" w:rsidRDefault="004F48C7" w:rsidP="00140F41">
      <w:pPr>
        <w:rPr>
          <w:szCs w:val="20"/>
        </w:rPr>
      </w:pPr>
      <w:r w:rsidRPr="00140F41">
        <w:rPr>
          <w:szCs w:val="20"/>
        </w:rPr>
        <w:t xml:space="preserve">The control group for this study did not have any current or previous diagnosis of neurological or psychiatric disorders, as confirmed by a screening questionnaire. </w:t>
      </w:r>
      <w:r>
        <w:rPr>
          <w:szCs w:val="20"/>
        </w:rPr>
        <w:t xml:space="preserve">The </w:t>
      </w:r>
      <w:r>
        <w:rPr>
          <w:szCs w:val="20"/>
        </w:rPr>
        <w:lastRenderedPageBreak/>
        <w:t>i</w:t>
      </w:r>
      <w:r w:rsidRPr="00140F41">
        <w:rPr>
          <w:szCs w:val="20"/>
        </w:rPr>
        <w:t xml:space="preserve">nclusion criteria for the control group included no clinical or suspected diagnosis of FNSD and an age of at least 18 years. </w:t>
      </w:r>
      <w:r>
        <w:rPr>
          <w:szCs w:val="20"/>
        </w:rPr>
        <w:t>The exclusion</w:t>
      </w:r>
      <w:r w:rsidRPr="00140F41">
        <w:rPr>
          <w:szCs w:val="20"/>
        </w:rPr>
        <w:t xml:space="preserve"> criteria were the same as the patient group.</w:t>
      </w:r>
    </w:p>
    <w:p w14:paraId="07363A56" w14:textId="77777777" w:rsidR="004F48C7" w:rsidRPr="00127FB4" w:rsidRDefault="004F48C7" w:rsidP="00127FB4">
      <w:pPr>
        <w:rPr>
          <w:bCs/>
          <w:szCs w:val="20"/>
          <w:u w:val="single"/>
        </w:rPr>
      </w:pPr>
      <w:r w:rsidRPr="00127FB4">
        <w:rPr>
          <w:bCs/>
          <w:szCs w:val="20"/>
          <w:u w:val="single"/>
        </w:rPr>
        <w:t>Sample size</w:t>
      </w:r>
    </w:p>
    <w:p w14:paraId="4668AFC3" w14:textId="38C79AE3" w:rsidR="004F48C7" w:rsidRDefault="004F48C7" w:rsidP="00AB66E1">
      <w:pPr>
        <w:spacing w:after="200"/>
        <w:rPr>
          <w:szCs w:val="20"/>
        </w:rPr>
      </w:pPr>
      <w:r w:rsidRPr="00443839">
        <w:rPr>
          <w:szCs w:val="20"/>
        </w:rPr>
        <w:t xml:space="preserve">At the time of </w:t>
      </w:r>
      <w:r>
        <w:rPr>
          <w:szCs w:val="20"/>
        </w:rPr>
        <w:t>designing this study</w:t>
      </w:r>
      <w:r w:rsidRPr="00443839">
        <w:rPr>
          <w:szCs w:val="20"/>
        </w:rPr>
        <w:t>, there were limited meaningful studies from which effect sizes could be derived.</w:t>
      </w:r>
      <w:r>
        <w:rPr>
          <w:szCs w:val="20"/>
        </w:rPr>
        <w:t xml:space="preserve"> B</w:t>
      </w:r>
      <w:r w:rsidRPr="00CB3BF5">
        <w:rPr>
          <w:szCs w:val="20"/>
        </w:rPr>
        <w:t>ased on</w:t>
      </w:r>
      <w:r>
        <w:rPr>
          <w:szCs w:val="20"/>
        </w:rPr>
        <w:t xml:space="preserve"> previous meta-analyses of delay discounting, negative affective priming, attentional bias and emotion dysregulation studies in other clinical groups, including depression, anxiety, ADHD, PTSD and healthy controls </w:t>
      </w:r>
      <w:sdt>
        <w:sdtPr>
          <w:rPr>
            <w:color w:val="000000"/>
            <w:szCs w:val="20"/>
          </w:rPr>
          <w:tag w:val="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"/>
          <w:id w:val="-1762364166"/>
          <w:placeholder>
            <w:docPart w:val="2534F44A10A8CB4E82FD7E7430F254D2"/>
          </w:placeholder>
        </w:sdtPr>
        <w:sdtContent>
          <w:r w:rsidR="00EC7CE1">
            <w:rPr>
              <w:rFonts w:eastAsia="Times New Roman"/>
            </w:rPr>
            <w:t xml:space="preserve">(Bar-Haim et al., 2007; Fields et al., 2014; Jackson &amp; Mackillop, 2016b; Phillips et al., 2010; </w:t>
          </w:r>
          <w:proofErr w:type="spellStart"/>
          <w:r w:rsidR="00EC7CE1">
            <w:rPr>
              <w:rFonts w:eastAsia="Times New Roman"/>
            </w:rPr>
            <w:t>Seligowski</w:t>
          </w:r>
          <w:proofErr w:type="spellEnd"/>
          <w:r w:rsidR="00EC7CE1">
            <w:rPr>
              <w:rFonts w:eastAsia="Times New Roman"/>
            </w:rPr>
            <w:t xml:space="preserve"> et al., 2014; Wang et al., 2023)</w:t>
          </w:r>
        </w:sdtContent>
      </w:sdt>
      <w:r>
        <w:rPr>
          <w:szCs w:val="20"/>
        </w:rPr>
        <w:t>, the effect sizes varied.</w:t>
      </w:r>
      <w:r w:rsidRPr="00443839">
        <w:rPr>
          <w:szCs w:val="20"/>
        </w:rPr>
        <w:t> </w:t>
      </w:r>
      <w:r>
        <w:rPr>
          <w:szCs w:val="20"/>
        </w:rPr>
        <w:t xml:space="preserve">However, generally, medium to large </w:t>
      </w:r>
      <w:r w:rsidRPr="00CB3BF5">
        <w:rPr>
          <w:szCs w:val="20"/>
        </w:rPr>
        <w:t>effect size</w:t>
      </w:r>
      <w:r>
        <w:rPr>
          <w:szCs w:val="20"/>
        </w:rPr>
        <w:t>s</w:t>
      </w:r>
      <w:r w:rsidRPr="00CB3BF5">
        <w:rPr>
          <w:szCs w:val="20"/>
        </w:rPr>
        <w:t xml:space="preserve"> </w:t>
      </w:r>
      <w:r>
        <w:rPr>
          <w:szCs w:val="20"/>
        </w:rPr>
        <w:t>for both delay discounting and negative affective priming were reported and could be anticipated. In FNSD patients,</w:t>
      </w:r>
      <w:r w:rsidRPr="00443839">
        <w:rPr>
          <w:szCs w:val="20"/>
        </w:rPr>
        <w:t xml:space="preserve"> </w:t>
      </w:r>
      <w:r>
        <w:rPr>
          <w:szCs w:val="20"/>
        </w:rPr>
        <w:t>a</w:t>
      </w:r>
      <w:r w:rsidRPr="00443839">
        <w:rPr>
          <w:szCs w:val="20"/>
        </w:rPr>
        <w:t xml:space="preserve"> cross-sectional study </w:t>
      </w:r>
      <w:r>
        <w:rPr>
          <w:szCs w:val="20"/>
        </w:rPr>
        <w:t xml:space="preserve">involving 26 FNSD </w:t>
      </w:r>
      <w:r w:rsidRPr="00443839">
        <w:rPr>
          <w:szCs w:val="20"/>
        </w:rPr>
        <w:t xml:space="preserve">patients </w:t>
      </w:r>
      <w:r>
        <w:rPr>
          <w:szCs w:val="20"/>
        </w:rPr>
        <w:t>and 28</w:t>
      </w:r>
      <w:r w:rsidRPr="00443839">
        <w:rPr>
          <w:szCs w:val="20"/>
        </w:rPr>
        <w:t xml:space="preserve"> healthy controls </w:t>
      </w:r>
      <w:sdt>
        <w:sdtPr>
          <w:rPr>
            <w:color w:val="000000"/>
            <w:szCs w:val="20"/>
          </w:rPr>
          <w:tag w:val="MENDELEY_CITATION_v3_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"/>
          <w:id w:val="332111034"/>
          <w:placeholder>
            <w:docPart w:val="DB61AD8273F4254A984ACACBE62408BE"/>
          </w:placeholder>
        </w:sdtPr>
        <w:sdtContent>
          <w:r w:rsidR="00EC7CE1" w:rsidRPr="00EC7CE1">
            <w:rPr>
              <w:color w:val="000000"/>
              <w:szCs w:val="20"/>
            </w:rPr>
            <w:t>(I. A. Williams et al., 2021)</w:t>
          </w:r>
        </w:sdtContent>
      </w:sdt>
      <w:r w:rsidRPr="00443839">
        <w:rPr>
          <w:szCs w:val="20"/>
        </w:rPr>
        <w:t xml:space="preserve"> showed </w:t>
      </w:r>
      <w:r>
        <w:rPr>
          <w:szCs w:val="20"/>
        </w:rPr>
        <w:t>between-group</w:t>
      </w:r>
      <w:r w:rsidRPr="00443839">
        <w:rPr>
          <w:szCs w:val="20"/>
        </w:rPr>
        <w:t xml:space="preserve"> differences with a </w:t>
      </w:r>
      <w:r>
        <w:rPr>
          <w:szCs w:val="20"/>
        </w:rPr>
        <w:t>small</w:t>
      </w:r>
      <w:r w:rsidRPr="00443839">
        <w:rPr>
          <w:szCs w:val="20"/>
        </w:rPr>
        <w:t xml:space="preserve"> effect size of </w:t>
      </w:r>
      <w:r w:rsidRPr="00443839">
        <w:rPr>
          <w:rFonts w:ascii="Cambria Math" w:hAnsi="Cambria Math" w:cs="Cambria Math"/>
          <w:szCs w:val="20"/>
        </w:rPr>
        <w:t>𝜂𝑝</w:t>
      </w:r>
      <w:r w:rsidRPr="00443839">
        <w:rPr>
          <w:szCs w:val="20"/>
        </w:rPr>
        <w:t>² =.</w:t>
      </w:r>
      <w:r>
        <w:rPr>
          <w:szCs w:val="20"/>
        </w:rPr>
        <w:t>10</w:t>
      </w:r>
      <w:r w:rsidRPr="00443839">
        <w:rPr>
          <w:szCs w:val="20"/>
        </w:rPr>
        <w:t xml:space="preserve"> when comparing </w:t>
      </w:r>
      <w:r>
        <w:rPr>
          <w:szCs w:val="20"/>
        </w:rPr>
        <w:t xml:space="preserve">interoception scores, </w:t>
      </w:r>
      <w:r w:rsidRPr="00443839">
        <w:rPr>
          <w:szCs w:val="20"/>
        </w:rPr>
        <w:t>while another prospective study using the EPS-</w:t>
      </w:r>
      <w:r>
        <w:rPr>
          <w:szCs w:val="20"/>
        </w:rPr>
        <w:t>25</w:t>
      </w:r>
      <w:r w:rsidRPr="00443839">
        <w:rPr>
          <w:szCs w:val="20"/>
        </w:rPr>
        <w:t xml:space="preserve"> (a questionnaire assessing emotion processing) in patients with </w:t>
      </w:r>
      <w:r>
        <w:rPr>
          <w:szCs w:val="20"/>
        </w:rPr>
        <w:t xml:space="preserve">FNSD found a small pre-post effect size of </w:t>
      </w:r>
      <w:r w:rsidRPr="00443839">
        <w:rPr>
          <w:rFonts w:ascii="Cambria Math" w:hAnsi="Cambria Math" w:cs="Cambria Math"/>
          <w:szCs w:val="20"/>
        </w:rPr>
        <w:t>𝜂𝑝</w:t>
      </w:r>
      <w:r w:rsidRPr="00443839">
        <w:rPr>
          <w:szCs w:val="20"/>
        </w:rPr>
        <w:t>² =.</w:t>
      </w:r>
      <w:r>
        <w:rPr>
          <w:szCs w:val="20"/>
        </w:rPr>
        <w:t>10</w:t>
      </w:r>
      <w:r w:rsidRPr="00443839">
        <w:rPr>
          <w:szCs w:val="20"/>
        </w:rPr>
        <w:t xml:space="preserve"> </w:t>
      </w:r>
      <w:r>
        <w:rPr>
          <w:szCs w:val="20"/>
        </w:rPr>
        <w:t xml:space="preserve"> </w:t>
      </w:r>
      <w:sdt>
        <w:sdtPr>
          <w:rPr>
            <w:color w:val="000000"/>
            <w:szCs w:val="20"/>
          </w:rPr>
          <w:tag w:val="MENDELEY_CITATION_v3_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"/>
          <w:id w:val="1019430355"/>
          <w:placeholder>
            <w:docPart w:val="DB61AD8273F4254A984ACACBE62408BE"/>
          </w:placeholder>
        </w:sdtPr>
        <w:sdtContent>
          <w:r w:rsidR="00EC7CE1" w:rsidRPr="00EC7CE1">
            <w:rPr>
              <w:color w:val="000000"/>
              <w:szCs w:val="20"/>
            </w:rPr>
            <w:t>(I. A. Williams, Howlett, et al., 2018)</w:t>
          </w:r>
        </w:sdtContent>
      </w:sdt>
      <w:r>
        <w:rPr>
          <w:color w:val="000000"/>
          <w:szCs w:val="20"/>
        </w:rPr>
        <w:t xml:space="preserve">. Further between-group studies reporting effect sizes of relevant measures in FNSD were lacking. </w:t>
      </w:r>
    </w:p>
    <w:p w14:paraId="392BA05C" w14:textId="77777777" w:rsidR="004F48C7" w:rsidRPr="00443839" w:rsidRDefault="004F48C7" w:rsidP="00AB66E1">
      <w:pPr>
        <w:spacing w:after="200"/>
        <w:rPr>
          <w:szCs w:val="20"/>
        </w:rPr>
      </w:pPr>
      <w:r w:rsidRPr="00443839">
        <w:rPr>
          <w:szCs w:val="20"/>
        </w:rPr>
        <w:t xml:space="preserve">G*Power 3.1.9.4 software was used to conduct </w:t>
      </w:r>
      <w:r>
        <w:rPr>
          <w:szCs w:val="20"/>
        </w:rPr>
        <w:t xml:space="preserve">an </w:t>
      </w:r>
      <w:r w:rsidRPr="00443839">
        <w:rPr>
          <w:szCs w:val="20"/>
        </w:rPr>
        <w:t>a</w:t>
      </w:r>
      <w:r>
        <w:rPr>
          <w:szCs w:val="20"/>
        </w:rPr>
        <w:t>-</w:t>
      </w:r>
      <w:r w:rsidRPr="00443839">
        <w:rPr>
          <w:szCs w:val="20"/>
        </w:rPr>
        <w:t xml:space="preserve">priori </w:t>
      </w:r>
      <w:r>
        <w:rPr>
          <w:szCs w:val="20"/>
        </w:rPr>
        <w:t xml:space="preserve">power </w:t>
      </w:r>
      <w:r w:rsidRPr="00443839">
        <w:rPr>
          <w:szCs w:val="20"/>
        </w:rPr>
        <w:t xml:space="preserve">analysis to calculate the sample size for </w:t>
      </w:r>
      <w:r>
        <w:rPr>
          <w:szCs w:val="20"/>
        </w:rPr>
        <w:t>the between-</w:t>
      </w:r>
      <w:r w:rsidRPr="00443839">
        <w:rPr>
          <w:szCs w:val="20"/>
        </w:rPr>
        <w:t xml:space="preserve">group analysis in this study. </w:t>
      </w:r>
      <w:r>
        <w:rPr>
          <w:szCs w:val="20"/>
        </w:rPr>
        <w:t xml:space="preserve">The calculation revealed that </w:t>
      </w:r>
      <w:r w:rsidRPr="00443839">
        <w:rPr>
          <w:szCs w:val="20"/>
        </w:rPr>
        <w:t xml:space="preserve">53 participants </w:t>
      </w:r>
      <w:r>
        <w:rPr>
          <w:szCs w:val="20"/>
        </w:rPr>
        <w:t xml:space="preserve">per group should </w:t>
      </w:r>
      <w:r w:rsidRPr="00443839">
        <w:rPr>
          <w:szCs w:val="20"/>
        </w:rPr>
        <w:t xml:space="preserve">be sufficient to detect an effect size of f=0.3 in independent two-sample t-tests, with </w:t>
      </w:r>
      <w:r>
        <w:rPr>
          <w:szCs w:val="20"/>
        </w:rPr>
        <w:t xml:space="preserve">a </w:t>
      </w:r>
      <w:r w:rsidRPr="00443839">
        <w:rPr>
          <w:szCs w:val="20"/>
        </w:rPr>
        <w:t xml:space="preserve">conventional </w:t>
      </w:r>
      <w:r>
        <w:rPr>
          <w:szCs w:val="20"/>
        </w:rPr>
        <w:t>significance level</w:t>
      </w:r>
      <w:r w:rsidRPr="00443839">
        <w:rPr>
          <w:szCs w:val="20"/>
        </w:rPr>
        <w:t xml:space="preserve"> (.05) and a statistical power of 0.</w:t>
      </w:r>
      <w:r>
        <w:rPr>
          <w:szCs w:val="20"/>
        </w:rPr>
        <w:t>80</w:t>
      </w:r>
      <w:r w:rsidRPr="00443839">
        <w:rPr>
          <w:szCs w:val="20"/>
        </w:rPr>
        <w:t xml:space="preserve">. </w:t>
      </w:r>
      <w:r>
        <w:rPr>
          <w:szCs w:val="20"/>
        </w:rPr>
        <w:t xml:space="preserve">A sample size of 70 per group was targeted </w:t>
      </w:r>
      <w:r w:rsidRPr="00CB3BF5">
        <w:rPr>
          <w:szCs w:val="20"/>
        </w:rPr>
        <w:t>to allow for potential attrition or data loss.</w:t>
      </w:r>
    </w:p>
    <w:p w14:paraId="59B3BF10" w14:textId="154D6A08" w:rsidR="004F48C7" w:rsidRPr="00127FB4" w:rsidRDefault="007D38F2" w:rsidP="00C741CE">
      <w:pPr>
        <w:pStyle w:val="Heading3"/>
      </w:pPr>
      <w:bookmarkStart w:id="164" w:name="_Toc137504776"/>
      <w:r>
        <w:t>5.</w:t>
      </w:r>
      <w:r w:rsidR="004F48C7" w:rsidRPr="00127FB4">
        <w:t>2.</w:t>
      </w:r>
      <w:r w:rsidR="004F48C7">
        <w:t>3</w:t>
      </w:r>
      <w:r w:rsidR="004F48C7" w:rsidRPr="00127FB4">
        <w:t xml:space="preserve"> Recruitment</w:t>
      </w:r>
      <w:bookmarkEnd w:id="164"/>
    </w:p>
    <w:p w14:paraId="5FB5BA41" w14:textId="77777777" w:rsidR="004F48C7" w:rsidRPr="007E5DE9" w:rsidRDefault="004F48C7" w:rsidP="009127D9">
      <w:pPr>
        <w:pStyle w:val="Heading4"/>
        <w:jc w:val="both"/>
        <w:rPr>
          <w:rFonts w:ascii="Avenir Book" w:eastAsiaTheme="minorHAnsi" w:hAnsi="Avenir Book" w:cstheme="minorBidi"/>
          <w:i w:val="0"/>
          <w:iCs w:val="0"/>
          <w:color w:val="auto"/>
          <w:kern w:val="2"/>
          <w:sz w:val="20"/>
          <w:szCs w:val="20"/>
          <w14:ligatures w14:val="standardContextual"/>
        </w:rPr>
      </w:pPr>
      <w:r w:rsidRPr="007E5DE9">
        <w:rPr>
          <w:rFonts w:ascii="Avenir Book" w:eastAsiaTheme="minorHAnsi" w:hAnsi="Avenir Book" w:cstheme="minorBidi"/>
          <w:i w:val="0"/>
          <w:iCs w:val="0"/>
          <w:color w:val="auto"/>
          <w:kern w:val="2"/>
          <w:sz w:val="20"/>
          <w:szCs w:val="20"/>
          <w14:ligatures w14:val="standardContextual"/>
        </w:rPr>
        <w:t xml:space="preserve">Recruitment took place between </w:t>
      </w:r>
      <w:r>
        <w:rPr>
          <w:rFonts w:ascii="Avenir Book" w:eastAsiaTheme="minorHAnsi" w:hAnsi="Avenir Book" w:cstheme="minorBidi"/>
          <w:i w:val="0"/>
          <w:iCs w:val="0"/>
          <w:color w:val="auto"/>
          <w:kern w:val="2"/>
          <w:sz w:val="20"/>
          <w:szCs w:val="20"/>
          <w14:ligatures w14:val="standardContextual"/>
        </w:rPr>
        <w:t>October</w:t>
      </w:r>
      <w:r w:rsidRPr="007E5DE9">
        <w:rPr>
          <w:rFonts w:ascii="Avenir Book" w:eastAsiaTheme="minorHAnsi" w:hAnsi="Avenir Book" w:cstheme="minorBidi"/>
          <w:i w:val="0"/>
          <w:iCs w:val="0"/>
          <w:color w:val="auto"/>
          <w:kern w:val="2"/>
          <w:sz w:val="20"/>
          <w:szCs w:val="20"/>
          <w14:ligatures w14:val="standardContextual"/>
        </w:rPr>
        <w:t xml:space="preserve"> 202</w:t>
      </w:r>
      <w:r>
        <w:rPr>
          <w:rFonts w:ascii="Avenir Book" w:eastAsiaTheme="minorHAnsi" w:hAnsi="Avenir Book" w:cstheme="minorBidi"/>
          <w:i w:val="0"/>
          <w:iCs w:val="0"/>
          <w:color w:val="auto"/>
          <w:kern w:val="2"/>
          <w:sz w:val="20"/>
          <w:szCs w:val="20"/>
          <w14:ligatures w14:val="standardContextual"/>
        </w:rPr>
        <w:t>1</w:t>
      </w:r>
      <w:r w:rsidRPr="007E5DE9">
        <w:rPr>
          <w:rFonts w:ascii="Avenir Book" w:eastAsiaTheme="minorHAnsi" w:hAnsi="Avenir Book" w:cstheme="minorBidi"/>
          <w:i w:val="0"/>
          <w:iCs w:val="0"/>
          <w:color w:val="auto"/>
          <w:kern w:val="2"/>
          <w:sz w:val="20"/>
          <w:szCs w:val="20"/>
          <w14:ligatures w14:val="standardContextual"/>
        </w:rPr>
        <w:t xml:space="preserve"> a</w:t>
      </w:r>
      <w:r>
        <w:rPr>
          <w:rFonts w:ascii="Avenir Book" w:eastAsiaTheme="minorHAnsi" w:hAnsi="Avenir Book" w:cstheme="minorBidi"/>
          <w:i w:val="0"/>
          <w:iCs w:val="0"/>
          <w:color w:val="auto"/>
          <w:kern w:val="2"/>
          <w:sz w:val="20"/>
          <w:szCs w:val="20"/>
          <w14:ligatures w14:val="standardContextual"/>
        </w:rPr>
        <w:t>n</w:t>
      </w:r>
      <w:r w:rsidRPr="007E5DE9">
        <w:rPr>
          <w:rFonts w:ascii="Avenir Book" w:eastAsiaTheme="minorHAnsi" w:hAnsi="Avenir Book" w:cstheme="minorBidi"/>
          <w:i w:val="0"/>
          <w:iCs w:val="0"/>
          <w:color w:val="auto"/>
          <w:kern w:val="2"/>
          <w:sz w:val="20"/>
          <w:szCs w:val="20"/>
          <w14:ligatures w14:val="standardContextual"/>
        </w:rPr>
        <w:t>d January 2023. Potential participants were approached in three settings.</w:t>
      </w:r>
    </w:p>
    <w:p w14:paraId="59B7299A" w14:textId="77777777" w:rsidR="004F48C7" w:rsidRDefault="004F48C7" w:rsidP="004F48C7">
      <w:pPr>
        <w:pStyle w:val="ListParagraph"/>
        <w:numPr>
          <w:ilvl w:val="0"/>
          <w:numId w:val="95"/>
        </w:numPr>
        <w:rPr>
          <w:rFonts w:eastAsia="Calibri" w:cs="Calibri"/>
          <w:color w:val="000000"/>
          <w:szCs w:val="22"/>
        </w:rPr>
      </w:pPr>
      <w:r w:rsidRPr="009D462A">
        <w:rPr>
          <w:rStyle w:val="Heading4Char"/>
          <w:rFonts w:eastAsiaTheme="minorEastAsia"/>
          <w:sz w:val="20"/>
          <w:szCs w:val="21"/>
        </w:rPr>
        <w:t>Neurology Psychotherapy Service, STH, Sheffield UK.</w:t>
      </w:r>
      <w:r w:rsidRPr="009D462A">
        <w:rPr>
          <w:sz w:val="21"/>
          <w:szCs w:val="21"/>
        </w:rPr>
        <w:t xml:space="preserve"> </w:t>
      </w:r>
      <w:r w:rsidRPr="009D462A">
        <w:rPr>
          <w:szCs w:val="20"/>
        </w:rPr>
        <w:t xml:space="preserve">Potential participants had been referred </w:t>
      </w:r>
      <w:r>
        <w:rPr>
          <w:szCs w:val="20"/>
        </w:rPr>
        <w:t>f</w:t>
      </w:r>
      <w:r w:rsidRPr="009D462A">
        <w:rPr>
          <w:szCs w:val="20"/>
        </w:rPr>
        <w:t>o</w:t>
      </w:r>
      <w:r>
        <w:rPr>
          <w:szCs w:val="20"/>
        </w:rPr>
        <w:t>r</w:t>
      </w:r>
      <w:r w:rsidRPr="009D462A">
        <w:rPr>
          <w:szCs w:val="20"/>
        </w:rPr>
        <w:t xml:space="preserve"> psychotherapy by </w:t>
      </w:r>
      <w:r>
        <w:rPr>
          <w:szCs w:val="20"/>
        </w:rPr>
        <w:t>a</w:t>
      </w:r>
      <w:r w:rsidRPr="009D462A">
        <w:rPr>
          <w:szCs w:val="20"/>
        </w:rPr>
        <w:t xml:space="preserve"> neurologist</w:t>
      </w:r>
      <w:r>
        <w:rPr>
          <w:szCs w:val="20"/>
        </w:rPr>
        <w:t xml:space="preserve"> who had made or confirmed the diagnosis of FNSD. They</w:t>
      </w:r>
      <w:r w:rsidRPr="009D462A">
        <w:rPr>
          <w:szCs w:val="20"/>
        </w:rPr>
        <w:t xml:space="preserve"> were </w:t>
      </w:r>
      <w:r>
        <w:rPr>
          <w:szCs w:val="20"/>
        </w:rPr>
        <w:t>approached by letter and via email from the psychotherapy waiting lists or at their initial assessment meeting before</w:t>
      </w:r>
      <w:r w:rsidRPr="002A1383">
        <w:rPr>
          <w:szCs w:val="20"/>
        </w:rPr>
        <w:t xml:space="preserve"> being added to a waiting list for one-to-one psychotherapy</w:t>
      </w:r>
      <w:r>
        <w:rPr>
          <w:szCs w:val="20"/>
        </w:rPr>
        <w:t>.</w:t>
      </w:r>
    </w:p>
    <w:p w14:paraId="62C3D88D" w14:textId="77777777" w:rsidR="004F48C7" w:rsidRPr="009D462A" w:rsidRDefault="004F48C7" w:rsidP="004F48C7">
      <w:pPr>
        <w:pStyle w:val="ListParagraph"/>
        <w:numPr>
          <w:ilvl w:val="0"/>
          <w:numId w:val="95"/>
        </w:numPr>
        <w:rPr>
          <w:sz w:val="23"/>
          <w:szCs w:val="23"/>
        </w:rPr>
      </w:pPr>
      <w:r w:rsidRPr="009D462A">
        <w:rPr>
          <w:rStyle w:val="Heading4Char"/>
          <w:rFonts w:eastAsiaTheme="minorEastAsia"/>
          <w:sz w:val="20"/>
          <w:szCs w:val="21"/>
        </w:rPr>
        <w:lastRenderedPageBreak/>
        <w:t xml:space="preserve">Online from patient organisation websites. </w:t>
      </w:r>
      <w:r w:rsidRPr="009D462A">
        <w:rPr>
          <w:szCs w:val="20"/>
        </w:rPr>
        <w:t xml:space="preserve">The study was advertised on </w:t>
      </w:r>
      <w:r>
        <w:rPr>
          <w:szCs w:val="20"/>
        </w:rPr>
        <w:t xml:space="preserve">two </w:t>
      </w:r>
      <w:r w:rsidRPr="009D462A">
        <w:rPr>
          <w:szCs w:val="20"/>
        </w:rPr>
        <w:t xml:space="preserve">patient organisation websites (FND Hope and FND Action) along with a brief description and link to an online </w:t>
      </w:r>
      <w:r>
        <w:rPr>
          <w:szCs w:val="20"/>
        </w:rPr>
        <w:t xml:space="preserve">study website </w:t>
      </w:r>
      <w:r w:rsidRPr="009D462A">
        <w:rPr>
          <w:szCs w:val="20"/>
        </w:rPr>
        <w:t>where participants could view the information sheet</w:t>
      </w:r>
      <w:r>
        <w:rPr>
          <w:szCs w:val="20"/>
        </w:rPr>
        <w:t>,</w:t>
      </w:r>
      <w:r w:rsidRPr="009D462A">
        <w:rPr>
          <w:szCs w:val="20"/>
        </w:rPr>
        <w:t xml:space="preserve"> complete an expression of interest and consent to contact form (hosted on Google Forms). </w:t>
      </w:r>
      <w:r>
        <w:rPr>
          <w:szCs w:val="20"/>
        </w:rPr>
        <w:t>Following participation and consent, the C</w:t>
      </w:r>
      <w:r w:rsidRPr="009D462A">
        <w:rPr>
          <w:szCs w:val="20"/>
        </w:rPr>
        <w:t xml:space="preserve">onsultant </w:t>
      </w:r>
      <w:r>
        <w:rPr>
          <w:szCs w:val="20"/>
        </w:rPr>
        <w:t>N</w:t>
      </w:r>
      <w:r w:rsidRPr="009D462A">
        <w:rPr>
          <w:szCs w:val="20"/>
        </w:rPr>
        <w:t xml:space="preserve">eurologists / General Practitioners </w:t>
      </w:r>
      <w:r>
        <w:rPr>
          <w:szCs w:val="20"/>
        </w:rPr>
        <w:t>of a</w:t>
      </w:r>
      <w:r w:rsidRPr="009D462A">
        <w:rPr>
          <w:szCs w:val="20"/>
        </w:rPr>
        <w:t xml:space="preserve"> s</w:t>
      </w:r>
      <w:r>
        <w:rPr>
          <w:szCs w:val="20"/>
        </w:rPr>
        <w:t>ubgroup</w:t>
      </w:r>
      <w:r w:rsidRPr="009D462A">
        <w:rPr>
          <w:szCs w:val="20"/>
        </w:rPr>
        <w:t xml:space="preserve"> of patients were contacted in writing and asked to verify their </w:t>
      </w:r>
      <w:r>
        <w:rPr>
          <w:szCs w:val="20"/>
        </w:rPr>
        <w:t>patient's</w:t>
      </w:r>
      <w:r w:rsidRPr="009D462A">
        <w:rPr>
          <w:szCs w:val="20"/>
        </w:rPr>
        <w:t xml:space="preserve"> diagnosis of FNSD (i.e., those who reported taking medication </w:t>
      </w:r>
      <w:r>
        <w:rPr>
          <w:szCs w:val="20"/>
        </w:rPr>
        <w:t>or those who had reported a diagnosed neurological or psychiatric condition).</w:t>
      </w:r>
    </w:p>
    <w:p w14:paraId="0E5790BD" w14:textId="77777777" w:rsidR="004F48C7" w:rsidRPr="009D462A" w:rsidRDefault="004F48C7" w:rsidP="004F48C7">
      <w:pPr>
        <w:pStyle w:val="ListParagraph"/>
        <w:numPr>
          <w:ilvl w:val="0"/>
          <w:numId w:val="95"/>
        </w:numPr>
        <w:rPr>
          <w:szCs w:val="20"/>
        </w:rPr>
      </w:pPr>
      <w:r w:rsidRPr="009D462A">
        <w:rPr>
          <w:rStyle w:val="Heading4Char"/>
          <w:rFonts w:eastAsiaTheme="minorEastAsia"/>
          <w:sz w:val="20"/>
          <w:szCs w:val="21"/>
        </w:rPr>
        <w:t>Mailing lists and word of mouth/family/friends.</w:t>
      </w:r>
      <w:r w:rsidRPr="009D462A">
        <w:rPr>
          <w:szCs w:val="20"/>
        </w:rPr>
        <w:t xml:space="preserve"> </w:t>
      </w:r>
      <w:r>
        <w:rPr>
          <w:szCs w:val="20"/>
        </w:rPr>
        <w:t xml:space="preserve">In order to </w:t>
      </w:r>
      <w:r w:rsidRPr="009D462A">
        <w:rPr>
          <w:szCs w:val="20"/>
        </w:rPr>
        <w:t>recruit healthy control participants</w:t>
      </w:r>
      <w:r>
        <w:rPr>
          <w:szCs w:val="20"/>
        </w:rPr>
        <w:t>,</w:t>
      </w:r>
      <w:r w:rsidRPr="009D462A">
        <w:rPr>
          <w:szCs w:val="20"/>
        </w:rPr>
        <w:t xml:space="preserve"> </w:t>
      </w:r>
      <w:r>
        <w:rPr>
          <w:szCs w:val="20"/>
        </w:rPr>
        <w:t>email</w:t>
      </w:r>
      <w:r w:rsidRPr="009D462A">
        <w:rPr>
          <w:szCs w:val="20"/>
        </w:rPr>
        <w:t xml:space="preserve"> invitations </w:t>
      </w:r>
      <w:r>
        <w:rPr>
          <w:szCs w:val="20"/>
        </w:rPr>
        <w:t xml:space="preserve">were </w:t>
      </w:r>
      <w:r w:rsidRPr="009D462A">
        <w:rPr>
          <w:szCs w:val="20"/>
        </w:rPr>
        <w:t xml:space="preserve">sent to </w:t>
      </w:r>
      <w:r>
        <w:rPr>
          <w:szCs w:val="20"/>
        </w:rPr>
        <w:t>the University</w:t>
      </w:r>
      <w:r w:rsidRPr="009D462A">
        <w:rPr>
          <w:szCs w:val="20"/>
        </w:rPr>
        <w:t xml:space="preserve"> of Sheffield staff and students</w:t>
      </w:r>
      <w:r>
        <w:rPr>
          <w:szCs w:val="20"/>
        </w:rPr>
        <w:t>. In addition,</w:t>
      </w:r>
      <w:r w:rsidRPr="009D462A">
        <w:rPr>
          <w:szCs w:val="20"/>
        </w:rPr>
        <w:t xml:space="preserve"> advertisements </w:t>
      </w:r>
      <w:r>
        <w:rPr>
          <w:szCs w:val="20"/>
        </w:rPr>
        <w:t xml:space="preserve">were placed </w:t>
      </w:r>
      <w:r w:rsidRPr="009D462A">
        <w:rPr>
          <w:szCs w:val="20"/>
        </w:rPr>
        <w:t xml:space="preserve">on the social media and mailing lists of the </w:t>
      </w:r>
      <w:r>
        <w:rPr>
          <w:szCs w:val="20"/>
        </w:rPr>
        <w:t xml:space="preserve">charities </w:t>
      </w:r>
      <w:r w:rsidRPr="009D462A">
        <w:rPr>
          <w:szCs w:val="20"/>
        </w:rPr>
        <w:t>FND Action and FND Hope</w:t>
      </w:r>
      <w:r>
        <w:rPr>
          <w:szCs w:val="20"/>
        </w:rPr>
        <w:t>. A</w:t>
      </w:r>
      <w:r w:rsidRPr="009D462A">
        <w:rPr>
          <w:szCs w:val="20"/>
        </w:rPr>
        <w:t xml:space="preserve">dverts </w:t>
      </w:r>
      <w:r>
        <w:rPr>
          <w:szCs w:val="20"/>
        </w:rPr>
        <w:t xml:space="preserve">were also </w:t>
      </w:r>
      <w:r w:rsidRPr="009D462A">
        <w:rPr>
          <w:szCs w:val="20"/>
        </w:rPr>
        <w:t xml:space="preserve">placed in reception and waiting areas of an NIHR research office in the Royal Hallamshire Hospital, Sheffield, UK. The university mailing lists and </w:t>
      </w:r>
      <w:r>
        <w:rPr>
          <w:szCs w:val="20"/>
        </w:rPr>
        <w:t xml:space="preserve">databases comprised individuals who </w:t>
      </w:r>
      <w:r w:rsidRPr="009D462A">
        <w:rPr>
          <w:szCs w:val="20"/>
        </w:rPr>
        <w:t xml:space="preserve">agreed to be contacted about </w:t>
      </w:r>
      <w:r>
        <w:rPr>
          <w:szCs w:val="20"/>
        </w:rPr>
        <w:t xml:space="preserve">possible </w:t>
      </w:r>
      <w:r w:rsidRPr="009D462A">
        <w:rPr>
          <w:szCs w:val="20"/>
        </w:rPr>
        <w:t xml:space="preserve">participation in research studies. Friends and family of the FNSD patients partaking in the study were also invited to </w:t>
      </w:r>
      <w:r>
        <w:rPr>
          <w:szCs w:val="20"/>
        </w:rPr>
        <w:t>participate</w:t>
      </w:r>
      <w:r w:rsidRPr="009D462A">
        <w:rPr>
          <w:szCs w:val="20"/>
        </w:rPr>
        <w:t>, as well as friends, family and colleagues of the research and psychotherapy clinical team.</w:t>
      </w:r>
    </w:p>
    <w:p w14:paraId="3C8075A5" w14:textId="77777777" w:rsidR="007D38F2" w:rsidRDefault="004F48C7" w:rsidP="007D38F2">
      <w:pPr>
        <w:spacing w:after="200"/>
        <w:rPr>
          <w:rFonts w:eastAsia="Calibri" w:cs="Calibri"/>
          <w:color w:val="000000"/>
          <w:szCs w:val="22"/>
        </w:rPr>
      </w:pPr>
      <w:r>
        <w:rPr>
          <w:szCs w:val="20"/>
        </w:rPr>
        <w:t>After completing</w:t>
      </w:r>
      <w:r w:rsidRPr="00CA40F6">
        <w:rPr>
          <w:szCs w:val="20"/>
        </w:rPr>
        <w:t xml:space="preserve"> an electronic expression of interest and consent to contact form, potential participants were sent the participant information sheet (PIS) and data management information sheets via email</w:t>
      </w:r>
      <w:r>
        <w:rPr>
          <w:szCs w:val="20"/>
        </w:rPr>
        <w:t>. A</w:t>
      </w:r>
      <w:r w:rsidRPr="00CA40F6">
        <w:rPr>
          <w:szCs w:val="20"/>
        </w:rPr>
        <w:t>fter</w:t>
      </w:r>
      <w:r>
        <w:rPr>
          <w:szCs w:val="20"/>
        </w:rPr>
        <w:t xml:space="preserve"> 24-</w:t>
      </w:r>
      <w:r w:rsidRPr="00CA40F6">
        <w:rPr>
          <w:szCs w:val="20"/>
        </w:rPr>
        <w:t>36 hours</w:t>
      </w:r>
      <w:r>
        <w:rPr>
          <w:szCs w:val="20"/>
        </w:rPr>
        <w:t>,</w:t>
      </w:r>
      <w:r w:rsidRPr="00CA40F6">
        <w:rPr>
          <w:szCs w:val="20"/>
        </w:rPr>
        <w:t xml:space="preserve"> </w:t>
      </w:r>
      <w:r>
        <w:rPr>
          <w:szCs w:val="20"/>
        </w:rPr>
        <w:t xml:space="preserve">they </w:t>
      </w:r>
      <w:r w:rsidRPr="00CA40F6">
        <w:rPr>
          <w:szCs w:val="20"/>
        </w:rPr>
        <w:t xml:space="preserve">were sent a personal participation link for the study platform. Consent to </w:t>
      </w:r>
      <w:r>
        <w:rPr>
          <w:szCs w:val="20"/>
        </w:rPr>
        <w:t>participate</w:t>
      </w:r>
      <w:r w:rsidRPr="00CA40F6">
        <w:rPr>
          <w:szCs w:val="20"/>
        </w:rPr>
        <w:t xml:space="preserve"> in the study was incorporated into the online experimental platform and had to </w:t>
      </w:r>
      <w:r>
        <w:rPr>
          <w:szCs w:val="20"/>
        </w:rPr>
        <w:t xml:space="preserve">be </w:t>
      </w:r>
      <w:r w:rsidRPr="00CA40F6">
        <w:rPr>
          <w:szCs w:val="20"/>
        </w:rPr>
        <w:t>completed before proceeding to the study questionnaires and tasks.</w:t>
      </w:r>
    </w:p>
    <w:p w14:paraId="502FECF9" w14:textId="159D1D0F" w:rsidR="007D38F2" w:rsidRDefault="007D38F2" w:rsidP="007D38F2">
      <w:pPr>
        <w:pStyle w:val="Heading3"/>
      </w:pPr>
      <w:bookmarkStart w:id="165" w:name="_Toc137504777"/>
      <w:r>
        <w:t xml:space="preserve">5.2.4 </w:t>
      </w:r>
      <w:r w:rsidR="004F48C7" w:rsidRPr="00127FB4">
        <w:t xml:space="preserve">Study </w:t>
      </w:r>
      <w:r w:rsidR="004F48C7">
        <w:t>Setting</w:t>
      </w:r>
      <w:r w:rsidR="004F48C7" w:rsidRPr="00127FB4">
        <w:t xml:space="preserve"> and </w:t>
      </w:r>
      <w:r w:rsidR="004F48C7">
        <w:t>Procedure</w:t>
      </w:r>
      <w:bookmarkEnd w:id="165"/>
    </w:p>
    <w:p w14:paraId="2FD1D4E2" w14:textId="6086E572" w:rsidR="004F48C7" w:rsidRPr="007D38F2" w:rsidRDefault="004F48C7" w:rsidP="007D38F2">
      <w:pPr>
        <w:spacing w:after="200"/>
        <w:rPr>
          <w:lang w:eastAsia="en-GB"/>
        </w:rPr>
      </w:pPr>
      <w:r w:rsidRPr="007D38F2">
        <w:rPr>
          <w:rFonts w:eastAsia="Calibri" w:cs="Calibri"/>
          <w:color w:val="000000"/>
          <w:kern w:val="2"/>
          <w14:ligatures w14:val="standardContextual"/>
        </w:rPr>
        <w:t>This study utilised an online experimental design. The Gorilla Experiment builder (</w:t>
      </w:r>
      <w:hyperlink r:id="rId51" w:history="1">
        <w:r w:rsidRPr="007D38F2">
          <w:rPr>
            <w:rFonts w:eastAsia="Calibri" w:cs="Calibri"/>
            <w:color w:val="000000"/>
            <w:kern w:val="2"/>
            <w14:ligatures w14:val="standardContextual"/>
          </w:rPr>
          <w:t>www.gorilla.sc</w:t>
        </w:r>
      </w:hyperlink>
      <w:r w:rsidRPr="007D38F2">
        <w:rPr>
          <w:rFonts w:eastAsia="Calibri" w:cs="Calibri"/>
          <w:color w:val="000000"/>
          <w:kern w:val="2"/>
          <w14:ligatures w14:val="standardContextual"/>
        </w:rPr>
        <w:t xml:space="preserve">), a robust web platform designed for conducting cognitive science studies remotely, was used to create and host the experiment </w:t>
      </w:r>
      <w:sdt>
        <w:sdtPr>
          <w:rPr>
            <w:rFonts w:eastAsia="Calibri"/>
            <w:iCs/>
            <w:color w:val="000000"/>
          </w:rPr>
          <w:tag w:val="MENDELEY_CITATION_v3_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"/>
          <w:id w:val="-1728439426"/>
          <w:placeholder>
            <w:docPart w:val="DB61AD8273F4254A984ACACBE62408BE"/>
          </w:placeholder>
        </w:sdtPr>
        <w:sdtContent>
          <w:r w:rsidR="00EC7CE1" w:rsidRPr="00EC7CE1">
            <w:rPr>
              <w:rFonts w:eastAsia="Calibri" w:cs="Calibri"/>
              <w:color w:val="000000"/>
              <w:kern w:val="2"/>
              <w14:ligatures w14:val="standardContextual"/>
            </w:rPr>
            <w:t>(</w:t>
          </w:r>
          <w:proofErr w:type="spellStart"/>
          <w:r w:rsidR="00EC7CE1" w:rsidRPr="00EC7CE1">
            <w:rPr>
              <w:rFonts w:eastAsia="Calibri" w:cs="Calibri"/>
              <w:color w:val="000000"/>
              <w:kern w:val="2"/>
              <w14:ligatures w14:val="standardContextual"/>
            </w:rPr>
            <w:t>Anwyl</w:t>
          </w:r>
          <w:proofErr w:type="spellEnd"/>
          <w:r w:rsidR="00EC7CE1" w:rsidRPr="00EC7CE1">
            <w:rPr>
              <w:rFonts w:eastAsia="Calibri" w:cs="Calibri"/>
              <w:color w:val="000000"/>
              <w:kern w:val="2"/>
              <w14:ligatures w14:val="standardContextual"/>
            </w:rPr>
            <w:t>-Irvine et al., 2020)</w:t>
          </w:r>
        </w:sdtContent>
      </w:sdt>
      <w:r w:rsidRPr="007D38F2">
        <w:rPr>
          <w:rFonts w:eastAsia="Calibri" w:cs="Calibri"/>
          <w:color w:val="000000"/>
          <w:kern w:val="2"/>
          <w14:ligatures w14:val="standardContextual"/>
        </w:rPr>
        <w:t xml:space="preserve">. The measures and tasks were manually designed and inputted, leveraging Gorilla's user-friendly </w:t>
      </w:r>
      <w:proofErr w:type="spellStart"/>
      <w:r w:rsidRPr="007D38F2">
        <w:rPr>
          <w:rFonts w:eastAsia="Calibri" w:cs="Calibri"/>
          <w:color w:val="000000"/>
          <w:kern w:val="2"/>
          <w14:ligatures w14:val="standardContextual"/>
        </w:rPr>
        <w:t>interface.Data</w:t>
      </w:r>
      <w:proofErr w:type="spellEnd"/>
      <w:r w:rsidRPr="007D38F2">
        <w:rPr>
          <w:rFonts w:eastAsia="Calibri" w:cs="Calibri"/>
          <w:color w:val="000000"/>
          <w:kern w:val="2"/>
          <w14:ligatures w14:val="standardContextual"/>
        </w:rPr>
        <w:t xml:space="preserve"> were collected between 11 November 2021 and 15 January 2023. Participants could reread the patient information sheet on the platform before providing informed consent. Upon completing the consent form, </w:t>
      </w:r>
      <w:r w:rsidRPr="007D38F2">
        <w:rPr>
          <w:rFonts w:eastAsia="Calibri" w:cs="Calibri"/>
          <w:color w:val="000000"/>
          <w:kern w:val="2"/>
          <w14:ligatures w14:val="standardContextual"/>
        </w:rPr>
        <w:lastRenderedPageBreak/>
        <w:t>participants proceeded to the main experiment, comprising the questionnaire battery and tasks. Patient demographic and health characterisation questionnaires were first completed, followed by the EQ-5D-3L and mood zoom questionnaires to assess current mood before additional questionnaires and tasks. A delay discounting and the adapted NAP task followed this. The NAP task involved six practice trials and feedback to clarify the procedure and maximise accuracy for the actual trials. The experiment proceeded with the GAD-7, PHQ-9, PHQ-15, and DERS questionnaires. Finally, the EASE measure was presented with an adapted version for healthy control participants.</w:t>
      </w:r>
    </w:p>
    <w:p w14:paraId="1FE0B9C5" w14:textId="77777777" w:rsidR="004F48C7" w:rsidRPr="00C741CE" w:rsidRDefault="004F48C7" w:rsidP="007C2B10">
      <w:pPr>
        <w:rPr>
          <w:rFonts w:eastAsia="Calibri"/>
          <w:i/>
          <w:iCs/>
        </w:rPr>
      </w:pPr>
      <w:r w:rsidRPr="00C741CE">
        <w:rPr>
          <w:rFonts w:eastAsia="Calibri"/>
        </w:rPr>
        <w:t>Upon completion of the experiment, participants were debriefed via a dedicated study site and provided with contact information for the research team in case of any follow-up questions or concerns. All data were collected, anonymised and stored securely on the Gorilla platform, ensuring participant confidentiality and data integrity. Completion of the experiment took approximately 15-30 minutes.</w:t>
      </w:r>
    </w:p>
    <w:p w14:paraId="0B4381FA" w14:textId="1041D5AB" w:rsidR="004F48C7" w:rsidRPr="00134CB6" w:rsidRDefault="007D38F2" w:rsidP="00C741CE">
      <w:pPr>
        <w:pStyle w:val="Heading3"/>
      </w:pPr>
      <w:bookmarkStart w:id="166" w:name="_Toc137504778"/>
      <w:r>
        <w:t>5.</w:t>
      </w:r>
      <w:r w:rsidR="004F48C7" w:rsidRPr="00134CB6">
        <w:t>2.</w:t>
      </w:r>
      <w:r w:rsidR="004F48C7">
        <w:t>5</w:t>
      </w:r>
      <w:r w:rsidR="004F48C7" w:rsidRPr="00134CB6">
        <w:t xml:space="preserve"> Measures</w:t>
      </w:r>
      <w:bookmarkEnd w:id="166"/>
      <w:r w:rsidR="004F48C7" w:rsidRPr="00134CB6">
        <w:t xml:space="preserve"> </w:t>
      </w:r>
    </w:p>
    <w:p w14:paraId="37DE0B45" w14:textId="14D4ED4C" w:rsidR="004F48C7" w:rsidRPr="009127D9" w:rsidRDefault="004F48C7" w:rsidP="00A30BD2">
      <w:pPr>
        <w:spacing w:after="200"/>
        <w:rPr>
          <w:rFonts w:eastAsia="Calibri" w:cs="Calibri"/>
          <w:color w:val="000000"/>
          <w:szCs w:val="20"/>
        </w:rPr>
      </w:pPr>
      <w:r w:rsidRPr="009127D9">
        <w:rPr>
          <w:szCs w:val="20"/>
        </w:rPr>
        <w:t>A battery of self-report questionnaire measures w</w:t>
      </w:r>
      <w:r>
        <w:rPr>
          <w:szCs w:val="20"/>
        </w:rPr>
        <w:t>as</w:t>
      </w:r>
      <w:r w:rsidRPr="009127D9">
        <w:rPr>
          <w:szCs w:val="20"/>
        </w:rPr>
        <w:t xml:space="preserve"> used to assess variables of interest</w:t>
      </w:r>
      <w:r>
        <w:rPr>
          <w:szCs w:val="20"/>
        </w:rPr>
        <w:t xml:space="preserve"> alongside the affective cognition/behavioural tasks.</w:t>
      </w:r>
      <w:r w:rsidRPr="009127D9">
        <w:rPr>
          <w:szCs w:val="20"/>
        </w:rPr>
        <w:t xml:space="preserve"> </w:t>
      </w:r>
      <w:r w:rsidRPr="009127D9">
        <w:rPr>
          <w:rFonts w:eastAsia="Calibri" w:cs="Calibri"/>
          <w:color w:val="000000"/>
          <w:szCs w:val="20"/>
        </w:rPr>
        <w:t>Current mood, clinical symptomology and comorbid anxiety, depression, number and severity of somatic symptoms,</w:t>
      </w:r>
      <w:r>
        <w:rPr>
          <w:rFonts w:eastAsia="Calibri" w:cs="Calibri"/>
          <w:color w:val="000000"/>
          <w:szCs w:val="20"/>
        </w:rPr>
        <w:t xml:space="preserve"> difficulty regulating emotion</w:t>
      </w:r>
      <w:r w:rsidRPr="009127D9">
        <w:rPr>
          <w:rFonts w:eastAsia="Calibri" w:cs="Calibri"/>
          <w:color w:val="000000"/>
          <w:szCs w:val="20"/>
        </w:rPr>
        <w:t xml:space="preserve"> and quality of life were assessed. </w:t>
      </w:r>
      <w:r>
        <w:rPr>
          <w:rFonts w:eastAsia="Calibri" w:cs="Calibri"/>
          <w:color w:val="000000"/>
          <w:szCs w:val="20"/>
        </w:rPr>
        <w:t>The</w:t>
      </w:r>
      <w:r w:rsidRPr="009127D9">
        <w:rPr>
          <w:rFonts w:eastAsia="Calibri" w:cs="Calibri"/>
          <w:color w:val="000000"/>
          <w:szCs w:val="20"/>
        </w:rPr>
        <w:t xml:space="preserve"> questionnaire battery comprised </w:t>
      </w:r>
      <w:r>
        <w:rPr>
          <w:rFonts w:eastAsia="Calibri" w:cs="Calibri"/>
          <w:color w:val="000000"/>
          <w:szCs w:val="20"/>
        </w:rPr>
        <w:t>128</w:t>
      </w:r>
      <w:r w:rsidRPr="009127D9">
        <w:rPr>
          <w:rFonts w:eastAsia="Calibri" w:cs="Calibri"/>
          <w:color w:val="000000"/>
          <w:szCs w:val="20"/>
        </w:rPr>
        <w:t xml:space="preserve"> questions. Completion of these questionnaires took approximately 15 minutes. </w:t>
      </w:r>
      <w:r w:rsidRPr="009127D9">
        <w:rPr>
          <w:szCs w:val="20"/>
        </w:rPr>
        <w:t xml:space="preserve">For reference, </w:t>
      </w:r>
      <w:r>
        <w:rPr>
          <w:szCs w:val="20"/>
        </w:rPr>
        <w:t>all the</w:t>
      </w:r>
      <w:r w:rsidRPr="009127D9">
        <w:rPr>
          <w:szCs w:val="20"/>
        </w:rPr>
        <w:t xml:space="preserve"> measures are presented in full in Appendix </w:t>
      </w:r>
      <w:r w:rsidR="00DB0C1B">
        <w:rPr>
          <w:szCs w:val="20"/>
        </w:rPr>
        <w:t>A</w:t>
      </w:r>
      <w:r w:rsidRPr="009127D9">
        <w:rPr>
          <w:szCs w:val="20"/>
        </w:rPr>
        <w:t>.</w:t>
      </w:r>
    </w:p>
    <w:p w14:paraId="5C63196D" w14:textId="69BB56A3" w:rsidR="004F48C7" w:rsidRPr="009127D9" w:rsidRDefault="004F48C7" w:rsidP="00A30BD2">
      <w:pPr>
        <w:pBdr>
          <w:top w:val="nil"/>
          <w:left w:val="nil"/>
          <w:bottom w:val="nil"/>
          <w:right w:val="nil"/>
          <w:between w:val="nil"/>
        </w:pBdr>
        <w:rPr>
          <w:bCs/>
          <w:color w:val="000000"/>
          <w:szCs w:val="20"/>
          <w:u w:val="single"/>
        </w:rPr>
      </w:pPr>
      <w:r w:rsidRPr="009127D9">
        <w:rPr>
          <w:bCs/>
          <w:color w:val="000000"/>
          <w:szCs w:val="20"/>
          <w:u w:val="single"/>
        </w:rPr>
        <w:t>Behavioural Task</w:t>
      </w:r>
      <w:r>
        <w:rPr>
          <w:bCs/>
          <w:color w:val="000000"/>
          <w:szCs w:val="20"/>
          <w:u w:val="single"/>
        </w:rPr>
        <w:t>—</w:t>
      </w:r>
      <w:r w:rsidRPr="009127D9">
        <w:rPr>
          <w:bCs/>
          <w:color w:val="000000"/>
          <w:szCs w:val="20"/>
          <w:u w:val="single"/>
        </w:rPr>
        <w:t>Negative Priming</w:t>
      </w:r>
    </w:p>
    <w:p w14:paraId="60D34FC0" w14:textId="4374AEE4" w:rsidR="004F48C7" w:rsidRDefault="004F48C7" w:rsidP="00A30BD2">
      <w:pPr>
        <w:rPr>
          <w:rFonts w:eastAsia="Calibri" w:cs="Calibri"/>
          <w:color w:val="000000"/>
          <w:szCs w:val="20"/>
        </w:rPr>
      </w:pPr>
      <w:r w:rsidRPr="00513D0E">
        <w:rPr>
          <w:szCs w:val="20"/>
        </w:rPr>
        <w:t xml:space="preserve">A Negative Priming (NP) task </w:t>
      </w:r>
      <w:r>
        <w:rPr>
          <w:szCs w:val="20"/>
        </w:rPr>
        <w:t>was a</w:t>
      </w:r>
      <w:r w:rsidRPr="00513D0E">
        <w:rPr>
          <w:szCs w:val="20"/>
        </w:rPr>
        <w:t>d</w:t>
      </w:r>
      <w:r>
        <w:rPr>
          <w:szCs w:val="20"/>
        </w:rPr>
        <w:t>apted</w:t>
      </w:r>
      <w:r w:rsidRPr="00513D0E">
        <w:rPr>
          <w:szCs w:val="20"/>
        </w:rPr>
        <w:t xml:space="preserve"> from </w:t>
      </w:r>
      <w:sdt>
        <w:sdtPr>
          <w:rPr>
            <w:color w:val="000000"/>
            <w:szCs w:val="20"/>
          </w:rPr>
          <w:tag w:val="MENDELEY_CITATION_v3_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"/>
          <w:id w:val="-1754734856"/>
          <w:placeholder>
            <w:docPart w:val="DB61AD8273F4254A984ACACBE62408BE"/>
          </w:placeholder>
        </w:sdtPr>
        <w:sdtContent>
          <w:proofErr w:type="spellStart"/>
          <w:r w:rsidR="00EC7CE1" w:rsidRPr="00EC7CE1">
            <w:rPr>
              <w:color w:val="000000"/>
              <w:szCs w:val="20"/>
            </w:rPr>
            <w:t>Joormann</w:t>
          </w:r>
          <w:proofErr w:type="spellEnd"/>
          <w:r w:rsidR="00EC7CE1" w:rsidRPr="00EC7CE1">
            <w:rPr>
              <w:color w:val="000000"/>
              <w:szCs w:val="20"/>
            </w:rPr>
            <w:t xml:space="preserve"> (2004)</w:t>
          </w:r>
        </w:sdtContent>
      </w:sdt>
      <w:r w:rsidRPr="00513D0E">
        <w:rPr>
          <w:szCs w:val="20"/>
        </w:rPr>
        <w:t xml:space="preserve"> with amendments </w:t>
      </w:r>
      <w:r>
        <w:rPr>
          <w:szCs w:val="20"/>
        </w:rPr>
        <w:t>informed by</w:t>
      </w:r>
      <w:r w:rsidRPr="00513D0E">
        <w:rPr>
          <w:szCs w:val="20"/>
        </w:rPr>
        <w:t xml:space="preserve"> </w:t>
      </w:r>
      <w:sdt>
        <w:sdtPr>
          <w:rPr>
            <w:color w:val="000000"/>
            <w:szCs w:val="20"/>
          </w:rPr>
          <w:tag w:val="MENDELEY_CITATION_v3_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"/>
          <w:id w:val="706231532"/>
          <w:placeholder>
            <w:docPart w:val="DB61AD8273F4254A984ACACBE62408BE"/>
          </w:placeholder>
        </w:sdtPr>
        <w:sdtContent>
          <w:proofErr w:type="spellStart"/>
          <w:r w:rsidR="00EC7CE1" w:rsidRPr="00EC7CE1">
            <w:rPr>
              <w:color w:val="000000"/>
              <w:szCs w:val="20"/>
            </w:rPr>
            <w:t>Spruyt</w:t>
          </w:r>
          <w:proofErr w:type="spellEnd"/>
          <w:r w:rsidR="00EC7CE1" w:rsidRPr="00EC7CE1">
            <w:rPr>
              <w:color w:val="000000"/>
              <w:szCs w:val="20"/>
            </w:rPr>
            <w:t xml:space="preserve"> et al. (2007)</w:t>
          </w:r>
        </w:sdtContent>
      </w:sdt>
      <w:r w:rsidRPr="00513D0E">
        <w:rPr>
          <w:szCs w:val="20"/>
        </w:rPr>
        <w:t>.</w:t>
      </w:r>
      <w:r w:rsidRPr="00A30BD2">
        <w:rPr>
          <w:rFonts w:eastAsia="Calibri" w:cs="Calibri"/>
          <w:color w:val="000000"/>
          <w:szCs w:val="20"/>
        </w:rPr>
        <w:t xml:space="preserve"> This task differed from traditional NP tasks by using emotionally valent facial expressions as primes and targets</w:t>
      </w:r>
      <w:r>
        <w:rPr>
          <w:rFonts w:eastAsia="Calibri" w:cs="Calibri"/>
          <w:color w:val="000000"/>
          <w:szCs w:val="20"/>
        </w:rPr>
        <w:t xml:space="preserve">. </w:t>
      </w:r>
      <w:r w:rsidRPr="00A30BD2">
        <w:rPr>
          <w:rFonts w:eastAsia="Calibri" w:cs="Calibri"/>
          <w:color w:val="000000"/>
          <w:szCs w:val="20"/>
        </w:rPr>
        <w:t xml:space="preserve">Existing literature and meta-analyses </w:t>
      </w:r>
      <w:sdt>
        <w:sdtPr>
          <w:rPr>
            <w:rFonts w:eastAsia="Calibri" w:cs="Calibri"/>
            <w:color w:val="000000"/>
            <w:szCs w:val="20"/>
          </w:rPr>
          <w:tag w:val="MENDELEY_CITATION_v3_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"/>
          <w:id w:val="-1431659274"/>
          <w:placeholder>
            <w:docPart w:val="DB61AD8273F4254A984ACACBE62408BE"/>
          </w:placeholder>
        </w:sdtPr>
        <w:sdtContent>
          <w:r w:rsidR="00EC7CE1">
            <w:rPr>
              <w:rFonts w:eastAsia="Times New Roman"/>
            </w:rPr>
            <w:t>(Glaser &amp; Banaji, 1999; Herring et al., 2013)</w:t>
          </w:r>
        </w:sdtContent>
      </w:sdt>
      <w:r w:rsidRPr="00A30BD2">
        <w:rPr>
          <w:rFonts w:eastAsia="Calibri" w:cs="Calibri"/>
          <w:color w:val="000000"/>
          <w:szCs w:val="20"/>
        </w:rPr>
        <w:t xml:space="preserve"> reported stronger effects using pictures and symbols as primes in related clinical groups like depression, indicating the appropriateness of emotional faces for assessing affective priming effects. This method had not been previously applied in </w:t>
      </w:r>
      <w:r>
        <w:rPr>
          <w:rFonts w:eastAsia="Calibri" w:cs="Calibri"/>
          <w:color w:val="000000"/>
          <w:szCs w:val="20"/>
        </w:rPr>
        <w:t xml:space="preserve">patients with </w:t>
      </w:r>
      <w:r w:rsidRPr="00A30BD2">
        <w:rPr>
          <w:rFonts w:eastAsia="Calibri" w:cs="Calibri"/>
          <w:color w:val="000000"/>
          <w:szCs w:val="20"/>
        </w:rPr>
        <w:t>FNSDs.</w:t>
      </w:r>
    </w:p>
    <w:p w14:paraId="25A75AD5" w14:textId="509B5A04" w:rsidR="004F48C7" w:rsidRDefault="004F48C7" w:rsidP="007C2B10">
      <w:pPr>
        <w:rPr>
          <w:rFonts w:eastAsia="Calibri"/>
        </w:rPr>
      </w:pPr>
      <w:r w:rsidRPr="00513D0E">
        <w:rPr>
          <w:rFonts w:eastAsia="Calibri"/>
        </w:rPr>
        <w:t>This task assessed emotion and attention processing biases for positive</w:t>
      </w:r>
      <w:r>
        <w:rPr>
          <w:rFonts w:eastAsia="Calibri"/>
        </w:rPr>
        <w:t>ly-</w:t>
      </w:r>
      <w:r w:rsidRPr="00513D0E">
        <w:rPr>
          <w:rFonts w:eastAsia="Calibri"/>
        </w:rPr>
        <w:t xml:space="preserve"> and negative</w:t>
      </w:r>
      <w:r>
        <w:rPr>
          <w:rFonts w:eastAsia="Calibri"/>
        </w:rPr>
        <w:t>ly</w:t>
      </w:r>
      <w:r w:rsidRPr="00513D0E">
        <w:rPr>
          <w:rFonts w:eastAsia="Calibri"/>
        </w:rPr>
        <w:t>-valen</w:t>
      </w:r>
      <w:r>
        <w:rPr>
          <w:rFonts w:eastAsia="Calibri"/>
        </w:rPr>
        <w:t>t</w:t>
      </w:r>
      <w:r w:rsidRPr="00513D0E">
        <w:rPr>
          <w:rFonts w:eastAsia="Calibri"/>
        </w:rPr>
        <w:t xml:space="preserve"> facial expressions. </w:t>
      </w:r>
      <w:r w:rsidRPr="00A30BD2">
        <w:rPr>
          <w:rFonts w:eastAsia="Calibri"/>
        </w:rPr>
        <w:t xml:space="preserve">It </w:t>
      </w:r>
      <w:r>
        <w:rPr>
          <w:rFonts w:eastAsia="Calibri"/>
        </w:rPr>
        <w:t>comprised</w:t>
      </w:r>
      <w:r w:rsidRPr="00A30BD2">
        <w:rPr>
          <w:rFonts w:eastAsia="Calibri"/>
        </w:rPr>
        <w:t xml:space="preserve"> two </w:t>
      </w:r>
      <w:r>
        <w:rPr>
          <w:rFonts w:eastAsia="Calibri"/>
        </w:rPr>
        <w:t>trial types.</w:t>
      </w:r>
      <w:r w:rsidRPr="00A30BD2">
        <w:rPr>
          <w:rFonts w:eastAsia="Calibri"/>
        </w:rPr>
        <w:t xml:space="preserve"> </w:t>
      </w:r>
      <w:r>
        <w:rPr>
          <w:rFonts w:eastAsia="Calibri"/>
        </w:rPr>
        <w:t>T</w:t>
      </w:r>
      <w:r w:rsidRPr="00A30BD2">
        <w:rPr>
          <w:rFonts w:eastAsia="Calibri"/>
        </w:rPr>
        <w:t xml:space="preserve">he first (T1) </w:t>
      </w:r>
      <w:r w:rsidRPr="00A30BD2">
        <w:rPr>
          <w:rFonts w:eastAsia="Calibri"/>
        </w:rPr>
        <w:lastRenderedPageBreak/>
        <w:t>involved only prime and target stimuli to evaluate congruency effects, and the second</w:t>
      </w:r>
      <w:r>
        <w:rPr>
          <w:rFonts w:eastAsia="Calibri"/>
        </w:rPr>
        <w:t xml:space="preserve"> (T2)</w:t>
      </w:r>
      <w:r w:rsidRPr="00A30BD2">
        <w:rPr>
          <w:rFonts w:eastAsia="Calibri"/>
        </w:rPr>
        <w:t xml:space="preserve"> comprised two consecutive pairs of trials (prime and probe) to assess interference effects.</w:t>
      </w:r>
      <w:r>
        <w:rPr>
          <w:rFonts w:eastAsia="Calibri"/>
        </w:rPr>
        <w:t xml:space="preserve"> A control condition was created in T1 when the prime and target were emotionally congruent, whereas, in T2, the control condition was when the distractor of the prime trial and the target of the probe trial was emotionally incongruent. Experimental conditions were formed by the opposite arrangement of the facial expressions in the prime/target pairs as in T1 or prime distractor and probe target trial pair in T2. See </w:t>
      </w:r>
      <w:r w:rsidR="00251F83">
        <w:rPr>
          <w:rFonts w:eastAsia="Calibri"/>
        </w:rPr>
        <w:t>Table 21</w:t>
      </w:r>
      <w:r>
        <w:rPr>
          <w:rFonts w:eastAsia="Calibri"/>
        </w:rPr>
        <w:t xml:space="preserve"> below for an overview of the control and experimental conditions. </w:t>
      </w:r>
    </w:p>
    <w:p w14:paraId="7CD3D57B" w14:textId="77777777" w:rsidR="007D38F2" w:rsidRDefault="007D38F2" w:rsidP="007C2B10">
      <w:pPr>
        <w:rPr>
          <w:rFonts w:eastAsia="Calibri"/>
        </w:rPr>
      </w:pPr>
    </w:p>
    <w:p w14:paraId="20546E4E" w14:textId="2188167F" w:rsidR="004F48C7" w:rsidRPr="00C741CE" w:rsidRDefault="004F48C7" w:rsidP="00774F59">
      <w:pPr>
        <w:rPr>
          <w:rFonts w:eastAsia="Calibri"/>
        </w:rPr>
      </w:pPr>
      <w:r w:rsidRPr="00C741CE">
        <w:rPr>
          <w:rFonts w:eastAsia="Calibri"/>
        </w:rPr>
        <w:t xml:space="preserve">Table </w:t>
      </w:r>
      <w:r w:rsidR="00C741CE">
        <w:rPr>
          <w:rFonts w:eastAsia="Calibri"/>
        </w:rPr>
        <w:t>21</w:t>
      </w:r>
      <w:r w:rsidRPr="00C741CE">
        <w:rPr>
          <w:rFonts w:eastAsia="Calibri"/>
        </w:rPr>
        <w:t>. Condition characteristics of prime/probe trials and control and experimental conditions.</w:t>
      </w:r>
    </w:p>
    <w:p w14:paraId="62186067" w14:textId="469847F8" w:rsidR="004F48C7" w:rsidRPr="00774F59" w:rsidRDefault="004F48C7" w:rsidP="00774F59">
      <w:pPr>
        <w:rPr>
          <w:rFonts w:eastAsia="Calibri" w:cs="Arial"/>
        </w:rPr>
      </w:pPr>
      <w:r w:rsidRPr="00774F59">
        <w:rPr>
          <w:rFonts w:eastAsia="Calibri" w:cs="Arial"/>
          <w:noProof/>
        </w:rPr>
        <w:drawing>
          <wp:anchor distT="0" distB="0" distL="114300" distR="114300" simplePos="0" relativeHeight="251674624" behindDoc="1" locked="0" layoutInCell="1" allowOverlap="1" wp14:anchorId="21C5EFB3" wp14:editId="4F5CF2DE">
            <wp:simplePos x="0" y="0"/>
            <wp:positionH relativeFrom="column">
              <wp:posOffset>168675</wp:posOffset>
            </wp:positionH>
            <wp:positionV relativeFrom="paragraph">
              <wp:posOffset>0</wp:posOffset>
            </wp:positionV>
            <wp:extent cx="5424170" cy="2489200"/>
            <wp:effectExtent l="0" t="0" r="0" b="0"/>
            <wp:wrapTight wrapText="bothSides">
              <wp:wrapPolygon edited="0">
                <wp:start x="0" y="0"/>
                <wp:lineTo x="0" y="21490"/>
                <wp:lineTo x="21544" y="21490"/>
                <wp:lineTo x="21544" y="0"/>
                <wp:lineTo x="0" y="0"/>
              </wp:wrapPolygon>
            </wp:wrapTight>
            <wp:docPr id="158977851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78516" name="Picture 1" descr="A picture containing text, screenshot, font, numb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24170" cy="2489200"/>
                    </a:xfrm>
                    <a:prstGeom prst="rect">
                      <a:avLst/>
                    </a:prstGeom>
                  </pic:spPr>
                </pic:pic>
              </a:graphicData>
            </a:graphic>
            <wp14:sizeRelH relativeFrom="page">
              <wp14:pctWidth>0</wp14:pctWidth>
            </wp14:sizeRelH>
            <wp14:sizeRelV relativeFrom="page">
              <wp14:pctHeight>0</wp14:pctHeight>
            </wp14:sizeRelV>
          </wp:anchor>
        </w:drawing>
      </w:r>
      <w:r w:rsidR="00774F59">
        <w:rPr>
          <w:rFonts w:eastAsia="Calibri" w:cs="Arial"/>
        </w:rPr>
        <w:t>Table 21</w:t>
      </w:r>
      <w:r w:rsidRPr="00774F59">
        <w:rPr>
          <w:rFonts w:eastAsia="Calibri" w:cs="Arial"/>
        </w:rPr>
        <w:t xml:space="preserve">. In the experiment condition, the valence of the prime-trial distractor and the probe target are the same. In the control condition, there is no such similarity between the prime and probe. </w:t>
      </w:r>
    </w:p>
    <w:p w14:paraId="5C3746DA" w14:textId="77777777" w:rsidR="004F48C7" w:rsidRPr="00774F59" w:rsidRDefault="004F48C7" w:rsidP="00774F59">
      <w:pPr>
        <w:rPr>
          <w:rFonts w:eastAsia="Calibri" w:cs="Arial"/>
          <w:u w:val="single"/>
        </w:rPr>
      </w:pPr>
    </w:p>
    <w:p w14:paraId="4FA60790" w14:textId="0E1C6851" w:rsidR="004F48C7" w:rsidRPr="00774F59" w:rsidRDefault="004F48C7" w:rsidP="00774F59">
      <w:pPr>
        <w:rPr>
          <w:rFonts w:eastAsiaTheme="minorHAnsi" w:cs="Arial"/>
          <w:kern w:val="2"/>
          <w:u w:val="single"/>
          <w:bdr w:val="none" w:sz="0" w:space="0" w:color="auto" w:frame="1"/>
          <w:shd w:val="clear" w:color="auto" w:fill="FFFFFF"/>
          <w14:ligatures w14:val="standardContextual"/>
        </w:rPr>
      </w:pPr>
      <w:r w:rsidRPr="00774F59">
        <w:rPr>
          <w:rFonts w:eastAsiaTheme="minorHAnsi" w:cs="Arial"/>
          <w:kern w:val="2"/>
          <w:u w:val="single"/>
          <w:bdr w:val="none" w:sz="0" w:space="0" w:color="auto" w:frame="1"/>
          <w:shd w:val="clear" w:color="auto" w:fill="FFFFFF"/>
          <w14:ligatures w14:val="standardContextual"/>
        </w:rPr>
        <w:t>Stimuli:</w:t>
      </w:r>
      <w:r w:rsidRPr="00774F59">
        <w:rPr>
          <w:rFonts w:eastAsiaTheme="minorHAnsi" w:cs="Arial"/>
          <w:kern w:val="2"/>
          <w:bdr w:val="none" w:sz="0" w:space="0" w:color="auto" w:frame="1"/>
          <w:shd w:val="clear" w:color="auto" w:fill="FFFFFF"/>
          <w14:ligatures w14:val="standardContextual"/>
        </w:rPr>
        <w:t xml:space="preserve"> Stimuli comprised static images displaying 16 female faces portraying positive (happy) and negative (angry) expressions. Images of 3 additional models were used during the practice trials. These images were selected from the Karolinska Directed Emotional Faces </w:t>
      </w:r>
      <w:sdt>
        <w:sdtPr>
          <w:rPr>
            <w:rFonts w:eastAsiaTheme="minorHAnsi" w:cs="Arial"/>
            <w:color w:val="000000"/>
            <w:kern w:val="2"/>
            <w:bdr w:val="none" w:sz="0" w:space="0" w:color="auto" w:frame="1"/>
            <w:shd w:val="clear" w:color="auto" w:fill="FFFFFF"/>
            <w14:ligatures w14:val="standardContextual"/>
          </w:rPr>
          <w:tag w:val="MENDELEY_CITATION_v3_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"/>
          <w:id w:val="2032059433"/>
          <w:placeholder>
            <w:docPart w:val="DB61AD8273F4254A984ACACBE62408BE"/>
          </w:placeholder>
        </w:sdtPr>
        <w:sdtContent>
          <w:r w:rsidR="00EC7CE1" w:rsidRPr="00774F59">
            <w:rPr>
              <w:rFonts w:eastAsiaTheme="minorHAnsi" w:cs="Arial"/>
              <w:color w:val="000000"/>
              <w:kern w:val="2"/>
              <w:bdr w:val="none" w:sz="0" w:space="0" w:color="auto" w:frame="1"/>
              <w:shd w:val="clear" w:color="auto" w:fill="FFFFFF"/>
              <w14:ligatures w14:val="standardContextual"/>
            </w:rPr>
            <w:t>(Lundqvist et al., 1998)</w:t>
          </w:r>
        </w:sdtContent>
      </w:sdt>
      <w:r w:rsidRPr="00774F59">
        <w:rPr>
          <w:rFonts w:eastAsiaTheme="minorHAnsi" w:cs="Arial"/>
          <w:kern w:val="2"/>
          <w:bdr w:val="none" w:sz="0" w:space="0" w:color="auto" w:frame="1"/>
          <w:shd w:val="clear" w:color="auto" w:fill="FFFFFF"/>
          <w14:ligatures w14:val="standardContextual"/>
        </w:rPr>
        <w:t xml:space="preserve">,  which are black-and-white photographs of Caucasian individuals portraying a variety of facial expressions. Expressions of the different emotion categories of the KDEF do not differ in arousal </w:t>
      </w:r>
      <w:sdt>
        <w:sdtPr>
          <w:rPr>
            <w:rFonts w:eastAsiaTheme="minorHAnsi" w:cs="Arial"/>
            <w:color w:val="000000"/>
            <w:kern w:val="2"/>
            <w:bdr w:val="none" w:sz="0" w:space="0" w:color="auto" w:frame="1"/>
            <w:shd w:val="clear" w:color="auto" w:fill="FFFFFF"/>
            <w14:ligatures w14:val="standardContextual"/>
          </w:rPr>
          <w:tag w:val="MENDELEY_CITATION_v3_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"/>
          <w:id w:val="1933008128"/>
          <w:placeholder>
            <w:docPart w:val="DB61AD8273F4254A984ACACBE62408BE"/>
          </w:placeholder>
        </w:sdtPr>
        <w:sdtContent>
          <w:r w:rsidR="00EC7CE1" w:rsidRPr="00774F59">
            <w:rPr>
              <w:rFonts w:eastAsiaTheme="minorHAnsi" w:cs="Arial"/>
              <w:color w:val="000000"/>
              <w:kern w:val="2"/>
              <w:bdr w:val="none" w:sz="0" w:space="0" w:color="auto" w:frame="1"/>
              <w:shd w:val="clear" w:color="auto" w:fill="FFFFFF"/>
              <w14:ligatures w14:val="standardContextual"/>
            </w:rPr>
            <w:t>(</w:t>
          </w:r>
          <w:proofErr w:type="spellStart"/>
          <w:r w:rsidR="00EC7CE1" w:rsidRPr="00774F59">
            <w:rPr>
              <w:rFonts w:eastAsiaTheme="minorHAnsi" w:cs="Arial"/>
              <w:color w:val="000000"/>
              <w:kern w:val="2"/>
              <w:bdr w:val="none" w:sz="0" w:space="0" w:color="auto" w:frame="1"/>
              <w:shd w:val="clear" w:color="auto" w:fill="FFFFFF"/>
              <w14:ligatures w14:val="standardContextual"/>
            </w:rPr>
            <w:t>Goeleven</w:t>
          </w:r>
          <w:proofErr w:type="spellEnd"/>
          <w:r w:rsidR="00EC7CE1" w:rsidRPr="00774F59">
            <w:rPr>
              <w:rFonts w:eastAsiaTheme="minorHAnsi" w:cs="Arial"/>
              <w:color w:val="000000"/>
              <w:kern w:val="2"/>
              <w:bdr w:val="none" w:sz="0" w:space="0" w:color="auto" w:frame="1"/>
              <w:shd w:val="clear" w:color="auto" w:fill="FFFFFF"/>
              <w14:ligatures w14:val="standardContextual"/>
            </w:rPr>
            <w:t xml:space="preserve"> et al., 2008)</w:t>
          </w:r>
        </w:sdtContent>
      </w:sdt>
      <w:r w:rsidRPr="00774F59">
        <w:rPr>
          <w:rFonts w:eastAsiaTheme="minorHAnsi" w:cs="Arial"/>
          <w:kern w:val="2"/>
          <w:bdr w:val="none" w:sz="0" w:space="0" w:color="auto" w:frame="1"/>
          <w:shd w:val="clear" w:color="auto" w:fill="FFFFFF"/>
          <w14:ligatures w14:val="standardContextual"/>
        </w:rPr>
        <w:t xml:space="preserve">, assuring that observed priming effects cannot be attributed to differential arousal effects. All pictures depicted a frontal view of the faces from the neck to the </w:t>
      </w:r>
      <w:r w:rsidRPr="00774F59">
        <w:rPr>
          <w:rFonts w:eastAsiaTheme="minorHAnsi" w:cs="Arial"/>
          <w:kern w:val="2"/>
          <w:bdr w:val="none" w:sz="0" w:space="0" w:color="auto" w:frame="1"/>
          <w:shd w:val="clear" w:color="auto" w:fill="FFFFFF"/>
          <w14:ligatures w14:val="standardContextual"/>
        </w:rPr>
        <w:lastRenderedPageBreak/>
        <w:t xml:space="preserve">top of the head. All pictures were cropped just below the chin, above the hairline, and at the start of each ear, and all the selected facial images were similar in size, brightness, and other image properties.  </w:t>
      </w:r>
    </w:p>
    <w:p w14:paraId="2F7D0E82" w14:textId="6E1BD2B8" w:rsidR="004F48C7" w:rsidRPr="00A4355C" w:rsidRDefault="004F48C7" w:rsidP="00A30BD2">
      <w:pPr>
        <w:rPr>
          <w:szCs w:val="20"/>
          <w:bdr w:val="none" w:sz="0" w:space="0" w:color="auto" w:frame="1"/>
          <w:shd w:val="clear" w:color="auto" w:fill="FFFFFF"/>
        </w:rPr>
      </w:pPr>
      <w:r w:rsidRPr="00A30BD2">
        <w:rPr>
          <w:szCs w:val="20"/>
          <w:bdr w:val="none" w:sz="0" w:space="0" w:color="auto" w:frame="1"/>
          <w:shd w:val="clear" w:color="auto" w:fill="FFFFFF"/>
        </w:rPr>
        <w:t xml:space="preserve">Angry faces served as negative prime stimuli, while happy faces were used to investigate </w:t>
      </w:r>
      <w:r>
        <w:rPr>
          <w:szCs w:val="20"/>
          <w:bdr w:val="none" w:sz="0" w:space="0" w:color="auto" w:frame="1"/>
          <w:shd w:val="clear" w:color="auto" w:fill="FFFFFF"/>
        </w:rPr>
        <w:t xml:space="preserve">the </w:t>
      </w:r>
      <w:r w:rsidRPr="00A30BD2">
        <w:rPr>
          <w:szCs w:val="20"/>
          <w:bdr w:val="none" w:sz="0" w:space="0" w:color="auto" w:frame="1"/>
          <w:shd w:val="clear" w:color="auto" w:fill="FFFFFF"/>
        </w:rPr>
        <w:t xml:space="preserve">automatic processing of positive facial expressions. These facial expressions have been previously utilised in affective priming studies </w:t>
      </w:r>
      <w:sdt>
        <w:sdtPr>
          <w:rPr>
            <w:color w:val="000000"/>
            <w:szCs w:val="20"/>
            <w:bdr w:val="none" w:sz="0" w:space="0" w:color="auto" w:frame="1"/>
            <w:shd w:val="clear" w:color="auto" w:fill="FFFFFF"/>
          </w:rPr>
          <w:tag w:val="MENDELEY_CITATION_v3_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"/>
          <w:id w:val="-715041061"/>
          <w:placeholder>
            <w:docPart w:val="DB61AD8273F4254A984ACACBE62408BE"/>
          </w:placeholder>
        </w:sdtPr>
        <w:sdtContent>
          <w:r w:rsidR="00EC7CE1">
            <w:rPr>
              <w:rFonts w:eastAsia="Times New Roman"/>
            </w:rPr>
            <w:t>(S. T. Murphy et al., 1995; S. T. Murphy &amp; Zajonc, 1993)</w:t>
          </w:r>
        </w:sdtContent>
      </w:sdt>
      <w:r>
        <w:rPr>
          <w:szCs w:val="20"/>
          <w:bdr w:val="none" w:sz="0" w:space="0" w:color="auto" w:frame="1"/>
          <w:shd w:val="clear" w:color="auto" w:fill="FFFFFF"/>
        </w:rPr>
        <w:t xml:space="preserve"> and in an FNSD population </w:t>
      </w:r>
      <w:sdt>
        <w:sdtPr>
          <w:rPr>
            <w:color w:val="000000"/>
            <w:szCs w:val="20"/>
            <w:bdr w:val="none" w:sz="0" w:space="0" w:color="auto" w:frame="1"/>
            <w:shd w:val="clear" w:color="auto" w:fill="FFFFFF"/>
          </w:rPr>
          <w:tag w:val="MENDELEY_CITATION_v3_eyJjaXRhdGlvbklEIjoiTUVOREVMRVlfQ0lUQVRJT05fZDFlODQ4YjEtZjVmYS00OGIyLWJjMDMtYTI5MTE1NzQ0NjM3IiwicHJvcGVydGllcyI6eyJub3RlSW5kZXgiOjB9LCJpc0VkaXRlZCI6ZmFsc2UsIm1hbnVhbE92ZXJyaWRlIjp7ImlzTWFudWFsbHlPdmVycmlkZGVuIjpmYWxzZSwiY2l0ZXByb2NUZXh0IjoiKEJha3ZpcyBldCBhbC4sIDIwMTEpIiwibWFudWFsT3ZlcnJpZGVUZXh0IjoiIn0sImNpdGF0aW9uSXRlbXMiOlt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V19"/>
          <w:id w:val="1444966419"/>
          <w:placeholder>
            <w:docPart w:val="DB61AD8273F4254A984ACACBE62408BE"/>
          </w:placeholder>
        </w:sdtPr>
        <w:sdtContent>
          <w:r w:rsidR="00EC7CE1" w:rsidRPr="00EC7CE1">
            <w:rPr>
              <w:color w:val="000000"/>
              <w:szCs w:val="20"/>
              <w:bdr w:val="none" w:sz="0" w:space="0" w:color="auto" w:frame="1"/>
              <w:shd w:val="clear" w:color="auto" w:fill="FFFFFF"/>
            </w:rPr>
            <w:t>(</w:t>
          </w:r>
          <w:proofErr w:type="spellStart"/>
          <w:r w:rsidR="00EC7CE1" w:rsidRPr="00EC7CE1">
            <w:rPr>
              <w:color w:val="000000"/>
              <w:szCs w:val="20"/>
              <w:bdr w:val="none" w:sz="0" w:space="0" w:color="auto" w:frame="1"/>
              <w:shd w:val="clear" w:color="auto" w:fill="FFFFFF"/>
            </w:rPr>
            <w:t>Bakvis</w:t>
          </w:r>
          <w:proofErr w:type="spellEnd"/>
          <w:r w:rsidR="00EC7CE1" w:rsidRPr="00EC7CE1">
            <w:rPr>
              <w:color w:val="000000"/>
              <w:szCs w:val="20"/>
              <w:bdr w:val="none" w:sz="0" w:space="0" w:color="auto" w:frame="1"/>
              <w:shd w:val="clear" w:color="auto" w:fill="FFFFFF"/>
            </w:rPr>
            <w:t xml:space="preserve"> et al., 2011)</w:t>
          </w:r>
        </w:sdtContent>
      </w:sdt>
      <w:r w:rsidRPr="00A30BD2">
        <w:rPr>
          <w:szCs w:val="20"/>
          <w:bdr w:val="none" w:sz="0" w:space="0" w:color="auto" w:frame="1"/>
          <w:shd w:val="clear" w:color="auto" w:fill="FFFFFF"/>
        </w:rPr>
        <w:t>.</w:t>
      </w:r>
    </w:p>
    <w:p w14:paraId="6BA259FB" w14:textId="77777777" w:rsidR="004F48C7" w:rsidRPr="00A4355C" w:rsidRDefault="004F48C7" w:rsidP="00A30BD2">
      <w:pPr>
        <w:rPr>
          <w:szCs w:val="20"/>
          <w:bdr w:val="none" w:sz="0" w:space="0" w:color="auto" w:frame="1"/>
          <w:shd w:val="clear" w:color="auto" w:fill="FFFFFF"/>
        </w:rPr>
      </w:pPr>
      <w:r w:rsidRPr="00A30BD2">
        <w:rPr>
          <w:szCs w:val="20"/>
          <w:bdr w:val="none" w:sz="0" w:space="0" w:color="auto" w:frame="1"/>
          <w:shd w:val="clear" w:color="auto" w:fill="FFFFFF"/>
        </w:rPr>
        <w:t xml:space="preserve">Eight of the KDEF models, expressing happiness and anger in separate images, were used as prime stimuli. </w:t>
      </w:r>
      <w:r w:rsidRPr="00A4355C">
        <w:rPr>
          <w:szCs w:val="20"/>
          <w:bdr w:val="none" w:sz="0" w:space="0" w:color="auto" w:frame="1"/>
          <w:shd w:val="clear" w:color="auto" w:fill="FFFFFF"/>
        </w:rPr>
        <w:t xml:space="preserve">Another eight identities displaying happy and angry expressions from </w:t>
      </w:r>
      <w:r>
        <w:rPr>
          <w:szCs w:val="20"/>
          <w:bdr w:val="none" w:sz="0" w:space="0" w:color="auto" w:frame="1"/>
          <w:shd w:val="clear" w:color="auto" w:fill="FFFFFF"/>
        </w:rPr>
        <w:t xml:space="preserve">the KDEF were </w:t>
      </w:r>
      <w:r w:rsidRPr="00A4355C">
        <w:rPr>
          <w:szCs w:val="20"/>
          <w:bdr w:val="none" w:sz="0" w:space="0" w:color="auto" w:frame="1"/>
          <w:shd w:val="clear" w:color="auto" w:fill="FFFFFF"/>
        </w:rPr>
        <w:t xml:space="preserve">used as targets. </w:t>
      </w:r>
      <w:r w:rsidRPr="00A30BD2">
        <w:rPr>
          <w:szCs w:val="20"/>
          <w:bdr w:val="none" w:sz="0" w:space="0" w:color="auto" w:frame="1"/>
          <w:shd w:val="clear" w:color="auto" w:fill="FFFFFF"/>
        </w:rPr>
        <w:t>These target identities differed from the prime identities. To ensure all emotions were appropriately categorised, a</w:t>
      </w:r>
      <w:r>
        <w:rPr>
          <w:szCs w:val="20"/>
          <w:bdr w:val="none" w:sz="0" w:space="0" w:color="auto" w:frame="1"/>
          <w:shd w:val="clear" w:color="auto" w:fill="FFFFFF"/>
        </w:rPr>
        <w:t xml:space="preserve"> pilot study</w:t>
      </w:r>
      <w:r w:rsidRPr="00A30BD2">
        <w:rPr>
          <w:szCs w:val="20"/>
          <w:bdr w:val="none" w:sz="0" w:space="0" w:color="auto" w:frame="1"/>
          <w:shd w:val="clear" w:color="auto" w:fill="FFFFFF"/>
        </w:rPr>
        <w:t xml:space="preserve"> </w:t>
      </w:r>
      <w:r>
        <w:rPr>
          <w:szCs w:val="20"/>
          <w:bdr w:val="none" w:sz="0" w:space="0" w:color="auto" w:frame="1"/>
          <w:shd w:val="clear" w:color="auto" w:fill="FFFFFF"/>
        </w:rPr>
        <w:t>with</w:t>
      </w:r>
      <w:r w:rsidRPr="00A30BD2">
        <w:rPr>
          <w:szCs w:val="20"/>
          <w:bdr w:val="none" w:sz="0" w:space="0" w:color="auto" w:frame="1"/>
          <w:shd w:val="clear" w:color="auto" w:fill="FFFFFF"/>
        </w:rPr>
        <w:t xml:space="preserve"> control</w:t>
      </w:r>
      <w:r>
        <w:rPr>
          <w:szCs w:val="20"/>
          <w:bdr w:val="none" w:sz="0" w:space="0" w:color="auto" w:frame="1"/>
          <w:shd w:val="clear" w:color="auto" w:fill="FFFFFF"/>
        </w:rPr>
        <w:t xml:space="preserve"> participants</w:t>
      </w:r>
      <w:r w:rsidRPr="00A30BD2">
        <w:rPr>
          <w:szCs w:val="20"/>
          <w:bdr w:val="none" w:sz="0" w:space="0" w:color="auto" w:frame="1"/>
          <w:shd w:val="clear" w:color="auto" w:fill="FFFFFF"/>
        </w:rPr>
        <w:t xml:space="preserve"> (n=6) </w:t>
      </w:r>
      <w:r>
        <w:rPr>
          <w:szCs w:val="20"/>
          <w:bdr w:val="none" w:sz="0" w:space="0" w:color="auto" w:frame="1"/>
          <w:shd w:val="clear" w:color="auto" w:fill="FFFFFF"/>
        </w:rPr>
        <w:t>was</w:t>
      </w:r>
      <w:r w:rsidRPr="00A30BD2">
        <w:rPr>
          <w:szCs w:val="20"/>
          <w:bdr w:val="none" w:sz="0" w:space="0" w:color="auto" w:frame="1"/>
          <w:shd w:val="clear" w:color="auto" w:fill="FFFFFF"/>
        </w:rPr>
        <w:t xml:space="preserve"> also tasked with rating the emotional valence of another </w:t>
      </w:r>
      <w:r>
        <w:rPr>
          <w:szCs w:val="20"/>
          <w:bdr w:val="none" w:sz="0" w:space="0" w:color="auto" w:frame="1"/>
          <w:shd w:val="clear" w:color="auto" w:fill="FFFFFF"/>
        </w:rPr>
        <w:t>six</w:t>
      </w:r>
      <w:r w:rsidRPr="00A30BD2">
        <w:rPr>
          <w:szCs w:val="20"/>
          <w:bdr w:val="none" w:sz="0" w:space="0" w:color="auto" w:frame="1"/>
          <w:shd w:val="clear" w:color="auto" w:fill="FFFFFF"/>
        </w:rPr>
        <w:t xml:space="preserve"> models.</w:t>
      </w:r>
      <w:r w:rsidRPr="00A4355C">
        <w:rPr>
          <w:szCs w:val="20"/>
          <w:bdr w:val="none" w:sz="0" w:space="0" w:color="auto" w:frame="1"/>
          <w:shd w:val="clear" w:color="auto" w:fill="FFFFFF"/>
        </w:rPr>
        <w:t xml:space="preserve"> </w:t>
      </w:r>
    </w:p>
    <w:p w14:paraId="4E62DA55" w14:textId="77777777" w:rsidR="004F48C7" w:rsidRDefault="004F48C7" w:rsidP="00A30BD2">
      <w:pPr>
        <w:rPr>
          <w:szCs w:val="20"/>
          <w:bdr w:val="none" w:sz="0" w:space="0" w:color="auto" w:frame="1"/>
          <w:shd w:val="clear" w:color="auto" w:fill="FFFFFF"/>
        </w:rPr>
      </w:pPr>
      <w:r>
        <w:rPr>
          <w:szCs w:val="20"/>
          <w:bdr w:val="none" w:sz="0" w:space="0" w:color="auto" w:frame="1"/>
          <w:shd w:val="clear" w:color="auto" w:fill="FFFFFF"/>
        </w:rPr>
        <w:t>P</w:t>
      </w:r>
      <w:r w:rsidRPr="00A30BD2">
        <w:rPr>
          <w:szCs w:val="20"/>
          <w:bdr w:val="none" w:sz="0" w:space="0" w:color="auto" w:frame="1"/>
          <w:shd w:val="clear" w:color="auto" w:fill="FFFFFF"/>
        </w:rPr>
        <w:t>rime stimuli were randomly assigned to the 24 targets, creating four pair conditions: 12 affectively congruent (</w:t>
      </w:r>
      <w:r>
        <w:rPr>
          <w:szCs w:val="20"/>
          <w:bdr w:val="none" w:sz="0" w:space="0" w:color="auto" w:frame="1"/>
          <w:shd w:val="clear" w:color="auto" w:fill="FFFFFF"/>
        </w:rPr>
        <w:t xml:space="preserve">these served as </w:t>
      </w:r>
      <w:r w:rsidRPr="00A30BD2">
        <w:rPr>
          <w:szCs w:val="20"/>
          <w:bdr w:val="none" w:sz="0" w:space="0" w:color="auto" w:frame="1"/>
          <w:shd w:val="clear" w:color="auto" w:fill="FFFFFF"/>
        </w:rPr>
        <w:t>control trials; 6 pos</w:t>
      </w:r>
      <w:r>
        <w:rPr>
          <w:szCs w:val="20"/>
          <w:bdr w:val="none" w:sz="0" w:space="0" w:color="auto" w:frame="1"/>
          <w:shd w:val="clear" w:color="auto" w:fill="FFFFFF"/>
        </w:rPr>
        <w:t>itive</w:t>
      </w:r>
      <w:r w:rsidRPr="00A30BD2">
        <w:rPr>
          <w:szCs w:val="20"/>
          <w:bdr w:val="none" w:sz="0" w:space="0" w:color="auto" w:frame="1"/>
          <w:shd w:val="clear" w:color="auto" w:fill="FFFFFF"/>
        </w:rPr>
        <w:t>–</w:t>
      </w:r>
      <w:r>
        <w:rPr>
          <w:szCs w:val="20"/>
          <w:bdr w:val="none" w:sz="0" w:space="0" w:color="auto" w:frame="1"/>
          <w:shd w:val="clear" w:color="auto" w:fill="FFFFFF"/>
        </w:rPr>
        <w:t>positive</w:t>
      </w:r>
      <w:r w:rsidRPr="00A30BD2">
        <w:rPr>
          <w:szCs w:val="20"/>
          <w:bdr w:val="none" w:sz="0" w:space="0" w:color="auto" w:frame="1"/>
          <w:shd w:val="clear" w:color="auto" w:fill="FFFFFF"/>
        </w:rPr>
        <w:t xml:space="preserve">, </w:t>
      </w:r>
      <w:r>
        <w:rPr>
          <w:szCs w:val="20"/>
          <w:bdr w:val="none" w:sz="0" w:space="0" w:color="auto" w:frame="1"/>
          <w:shd w:val="clear" w:color="auto" w:fill="FFFFFF"/>
        </w:rPr>
        <w:t>six</w:t>
      </w:r>
      <w:r w:rsidRPr="00A30BD2">
        <w:rPr>
          <w:szCs w:val="20"/>
          <w:bdr w:val="none" w:sz="0" w:space="0" w:color="auto" w:frame="1"/>
          <w:shd w:val="clear" w:color="auto" w:fill="FFFFFF"/>
        </w:rPr>
        <w:t xml:space="preserve"> neg</w:t>
      </w:r>
      <w:r>
        <w:rPr>
          <w:szCs w:val="20"/>
          <w:bdr w:val="none" w:sz="0" w:space="0" w:color="auto" w:frame="1"/>
          <w:shd w:val="clear" w:color="auto" w:fill="FFFFFF"/>
        </w:rPr>
        <w:t>ative</w:t>
      </w:r>
      <w:r w:rsidRPr="00A30BD2">
        <w:rPr>
          <w:szCs w:val="20"/>
          <w:bdr w:val="none" w:sz="0" w:space="0" w:color="auto" w:frame="1"/>
          <w:shd w:val="clear" w:color="auto" w:fill="FFFFFF"/>
        </w:rPr>
        <w:t>–neg</w:t>
      </w:r>
      <w:r>
        <w:rPr>
          <w:szCs w:val="20"/>
          <w:bdr w:val="none" w:sz="0" w:space="0" w:color="auto" w:frame="1"/>
          <w:shd w:val="clear" w:color="auto" w:fill="FFFFFF"/>
        </w:rPr>
        <w:t>ative</w:t>
      </w:r>
      <w:r w:rsidRPr="00A30BD2">
        <w:rPr>
          <w:szCs w:val="20"/>
          <w:bdr w:val="none" w:sz="0" w:space="0" w:color="auto" w:frame="1"/>
          <w:shd w:val="clear" w:color="auto" w:fill="FFFFFF"/>
        </w:rPr>
        <w:t>) and 12 incongruent (6 pos</w:t>
      </w:r>
      <w:r>
        <w:rPr>
          <w:szCs w:val="20"/>
          <w:bdr w:val="none" w:sz="0" w:space="0" w:color="auto" w:frame="1"/>
          <w:shd w:val="clear" w:color="auto" w:fill="FFFFFF"/>
        </w:rPr>
        <w:t>itive</w:t>
      </w:r>
      <w:r w:rsidRPr="00A30BD2">
        <w:rPr>
          <w:szCs w:val="20"/>
          <w:bdr w:val="none" w:sz="0" w:space="0" w:color="auto" w:frame="1"/>
          <w:shd w:val="clear" w:color="auto" w:fill="FFFFFF"/>
        </w:rPr>
        <w:t>–neg</w:t>
      </w:r>
      <w:r>
        <w:rPr>
          <w:szCs w:val="20"/>
          <w:bdr w:val="none" w:sz="0" w:space="0" w:color="auto" w:frame="1"/>
          <w:shd w:val="clear" w:color="auto" w:fill="FFFFFF"/>
        </w:rPr>
        <w:t>ative</w:t>
      </w:r>
      <w:r w:rsidRPr="00A30BD2">
        <w:rPr>
          <w:szCs w:val="20"/>
          <w:bdr w:val="none" w:sz="0" w:space="0" w:color="auto" w:frame="1"/>
          <w:shd w:val="clear" w:color="auto" w:fill="FFFFFF"/>
        </w:rPr>
        <w:t xml:space="preserve">, </w:t>
      </w:r>
      <w:r>
        <w:rPr>
          <w:szCs w:val="20"/>
          <w:bdr w:val="none" w:sz="0" w:space="0" w:color="auto" w:frame="1"/>
          <w:shd w:val="clear" w:color="auto" w:fill="FFFFFF"/>
        </w:rPr>
        <w:t>six</w:t>
      </w:r>
      <w:r w:rsidRPr="00A30BD2">
        <w:rPr>
          <w:szCs w:val="20"/>
          <w:bdr w:val="none" w:sz="0" w:space="0" w:color="auto" w:frame="1"/>
          <w:shd w:val="clear" w:color="auto" w:fill="FFFFFF"/>
        </w:rPr>
        <w:t xml:space="preserve"> </w:t>
      </w:r>
      <w:r>
        <w:rPr>
          <w:szCs w:val="20"/>
          <w:bdr w:val="none" w:sz="0" w:space="0" w:color="auto" w:frame="1"/>
          <w:shd w:val="clear" w:color="auto" w:fill="FFFFFF"/>
        </w:rPr>
        <w:t>negative–positive</w:t>
      </w:r>
      <w:r w:rsidRPr="00A30BD2">
        <w:rPr>
          <w:szCs w:val="20"/>
          <w:bdr w:val="none" w:sz="0" w:space="0" w:color="auto" w:frame="1"/>
          <w:shd w:val="clear" w:color="auto" w:fill="FFFFFF"/>
        </w:rPr>
        <w:t xml:space="preserve">) were generated for each block. </w:t>
      </w:r>
      <w:r>
        <w:rPr>
          <w:szCs w:val="20"/>
          <w:bdr w:val="none" w:sz="0" w:space="0" w:color="auto" w:frame="1"/>
          <w:shd w:val="clear" w:color="auto" w:fill="FFFFFF"/>
        </w:rPr>
        <w:t xml:space="preserve">A KDEF model's angry and happy face </w:t>
      </w:r>
      <w:r w:rsidRPr="00A30BD2">
        <w:rPr>
          <w:szCs w:val="20"/>
          <w:bdr w:val="none" w:sz="0" w:space="0" w:color="auto" w:frame="1"/>
          <w:shd w:val="clear" w:color="auto" w:fill="FFFFFF"/>
        </w:rPr>
        <w:t>was presented as a prime or target six times over the 72 trials.</w:t>
      </w:r>
    </w:p>
    <w:p w14:paraId="415EDB4D" w14:textId="77777777" w:rsidR="004F48C7" w:rsidRPr="00A127B0" w:rsidRDefault="004F48C7" w:rsidP="00A127B0">
      <w:pPr>
        <w:rPr>
          <w:rFonts w:eastAsia="Calibri" w:cs="Calibri"/>
          <w:color w:val="000000"/>
          <w:szCs w:val="20"/>
        </w:rPr>
      </w:pPr>
      <w:r w:rsidRPr="001524B1">
        <w:rPr>
          <w:szCs w:val="20"/>
          <w:u w:val="single"/>
          <w:bdr w:val="none" w:sz="0" w:space="0" w:color="auto" w:frame="1"/>
          <w:shd w:val="clear" w:color="auto" w:fill="FFFFFF"/>
        </w:rPr>
        <w:t>Design:</w:t>
      </w:r>
      <w:r>
        <w:rPr>
          <w:b/>
          <w:bCs/>
          <w:szCs w:val="20"/>
          <w:bdr w:val="none" w:sz="0" w:space="0" w:color="auto" w:frame="1"/>
          <w:shd w:val="clear" w:color="auto" w:fill="FFFFFF"/>
        </w:rPr>
        <w:t xml:space="preserve"> </w:t>
      </w:r>
      <w:r w:rsidRPr="00A127B0">
        <w:rPr>
          <w:rFonts w:eastAsia="Calibri" w:cs="Calibri"/>
          <w:color w:val="000000"/>
          <w:szCs w:val="20"/>
        </w:rPr>
        <w:t xml:space="preserve">Participants were instructed to disregard the prime stimulus and respond </w:t>
      </w:r>
      <w:r>
        <w:rPr>
          <w:rFonts w:eastAsia="Calibri" w:cs="Calibri"/>
          <w:color w:val="000000"/>
          <w:szCs w:val="20"/>
        </w:rPr>
        <w:t>quickly and accurately</w:t>
      </w:r>
      <w:r w:rsidRPr="00A127B0">
        <w:rPr>
          <w:rFonts w:eastAsia="Calibri" w:cs="Calibri"/>
          <w:color w:val="000000"/>
          <w:szCs w:val="20"/>
        </w:rPr>
        <w:t xml:space="preserve"> to the </w:t>
      </w:r>
      <w:r>
        <w:rPr>
          <w:rFonts w:eastAsia="Calibri" w:cs="Calibri"/>
          <w:color w:val="000000"/>
          <w:szCs w:val="20"/>
        </w:rPr>
        <w:t>target</w:t>
      </w:r>
      <w:r w:rsidRPr="00A127B0">
        <w:rPr>
          <w:rFonts w:eastAsia="Calibri" w:cs="Calibri"/>
          <w:color w:val="000000"/>
          <w:szCs w:val="20"/>
        </w:rPr>
        <w:t xml:space="preserve"> emotion. Responses and reaction times were recorded by pressing </w:t>
      </w:r>
      <w:r>
        <w:rPr>
          <w:rFonts w:eastAsia="Calibri" w:cs="Calibri"/>
          <w:color w:val="000000"/>
          <w:szCs w:val="20"/>
        </w:rPr>
        <w:t>"</w:t>
      </w:r>
      <w:r w:rsidRPr="00A127B0">
        <w:rPr>
          <w:rFonts w:eastAsia="Calibri" w:cs="Calibri"/>
          <w:color w:val="000000"/>
          <w:szCs w:val="20"/>
        </w:rPr>
        <w:t>a</w:t>
      </w:r>
      <w:r>
        <w:rPr>
          <w:rFonts w:eastAsia="Calibri" w:cs="Calibri"/>
          <w:color w:val="000000"/>
          <w:szCs w:val="20"/>
        </w:rPr>
        <w:t>"</w:t>
      </w:r>
      <w:r w:rsidRPr="00A127B0">
        <w:rPr>
          <w:rFonts w:eastAsia="Calibri" w:cs="Calibri"/>
          <w:color w:val="000000"/>
          <w:szCs w:val="20"/>
        </w:rPr>
        <w:t xml:space="preserve"> for an angry expression or </w:t>
      </w:r>
      <w:r>
        <w:rPr>
          <w:rFonts w:eastAsia="Calibri" w:cs="Calibri"/>
          <w:color w:val="000000"/>
          <w:szCs w:val="20"/>
        </w:rPr>
        <w:t>"</w:t>
      </w:r>
      <w:r w:rsidRPr="00A127B0">
        <w:rPr>
          <w:rFonts w:eastAsia="Calibri" w:cs="Calibri"/>
          <w:color w:val="000000"/>
          <w:szCs w:val="20"/>
        </w:rPr>
        <w:t>h</w:t>
      </w:r>
      <w:r>
        <w:rPr>
          <w:rFonts w:eastAsia="Calibri" w:cs="Calibri"/>
          <w:color w:val="000000"/>
          <w:szCs w:val="20"/>
        </w:rPr>
        <w:t>"</w:t>
      </w:r>
      <w:r w:rsidRPr="00A127B0">
        <w:rPr>
          <w:rFonts w:eastAsia="Calibri" w:cs="Calibri"/>
          <w:color w:val="000000"/>
          <w:szCs w:val="20"/>
        </w:rPr>
        <w:t xml:space="preserve"> for a happy expression on a standard QWERTY keyboard. Reminders of the keys for emotion categorisation were displayed in the lower corners of the computer screen throughout the experiment.</w:t>
      </w:r>
    </w:p>
    <w:p w14:paraId="6F0FEC71" w14:textId="77777777" w:rsidR="004F48C7" w:rsidRPr="00A127B0" w:rsidRDefault="004F48C7" w:rsidP="00A127B0">
      <w:pPr>
        <w:spacing w:after="200"/>
        <w:rPr>
          <w:rFonts w:eastAsia="Calibri" w:cs="Calibri"/>
          <w:color w:val="000000"/>
          <w:szCs w:val="20"/>
        </w:rPr>
      </w:pPr>
      <w:r>
        <w:rPr>
          <w:rFonts w:eastAsia="Calibri" w:cs="Calibri"/>
          <w:color w:val="000000"/>
          <w:szCs w:val="20"/>
        </w:rPr>
        <w:t>In the first condition, p</w:t>
      </w:r>
      <w:r w:rsidRPr="00A127B0">
        <w:rPr>
          <w:rFonts w:eastAsia="Calibri" w:cs="Calibri"/>
          <w:color w:val="000000"/>
          <w:szCs w:val="20"/>
        </w:rPr>
        <w:t>articipants were shown two emotionally valen</w:t>
      </w:r>
      <w:r>
        <w:rPr>
          <w:rFonts w:eastAsia="Calibri" w:cs="Calibri"/>
          <w:color w:val="000000"/>
          <w:szCs w:val="20"/>
        </w:rPr>
        <w:t>t</w:t>
      </w:r>
      <w:r w:rsidRPr="00A127B0">
        <w:rPr>
          <w:rFonts w:eastAsia="Calibri" w:cs="Calibri"/>
          <w:color w:val="000000"/>
          <w:szCs w:val="20"/>
        </w:rPr>
        <w:t xml:space="preserve"> photographs in quick succession, a prime and a target emotion (happy or angry) and pressed a keyboard button corresponding to the target emotion. In </w:t>
      </w:r>
      <w:r>
        <w:rPr>
          <w:rFonts w:eastAsia="Calibri" w:cs="Calibri"/>
          <w:color w:val="000000"/>
          <w:szCs w:val="20"/>
        </w:rPr>
        <w:t xml:space="preserve">the </w:t>
      </w:r>
      <w:r w:rsidRPr="00A127B0">
        <w:rPr>
          <w:rFonts w:eastAsia="Calibri" w:cs="Calibri"/>
          <w:color w:val="000000"/>
          <w:szCs w:val="20"/>
        </w:rPr>
        <w:t xml:space="preserve">second condition, the prime (or </w:t>
      </w:r>
      <w:r>
        <w:rPr>
          <w:rFonts w:eastAsia="Calibri" w:cs="Calibri"/>
          <w:color w:val="000000"/>
          <w:szCs w:val="20"/>
        </w:rPr>
        <w:t>'</w:t>
      </w:r>
      <w:r w:rsidRPr="00A127B0">
        <w:rPr>
          <w:rFonts w:eastAsia="Calibri" w:cs="Calibri"/>
          <w:color w:val="000000"/>
          <w:szCs w:val="20"/>
        </w:rPr>
        <w:t>distractor</w:t>
      </w:r>
      <w:r>
        <w:rPr>
          <w:rFonts w:eastAsia="Calibri" w:cs="Calibri"/>
          <w:color w:val="000000"/>
          <w:szCs w:val="20"/>
        </w:rPr>
        <w:t>'</w:t>
      </w:r>
      <w:r w:rsidRPr="00A127B0">
        <w:rPr>
          <w:rFonts w:eastAsia="Calibri" w:cs="Calibri"/>
          <w:color w:val="000000"/>
          <w:szCs w:val="20"/>
        </w:rPr>
        <w:t xml:space="preserve">) </w:t>
      </w:r>
      <w:r>
        <w:rPr>
          <w:rFonts w:eastAsia="Calibri" w:cs="Calibri"/>
          <w:color w:val="000000"/>
          <w:szCs w:val="20"/>
        </w:rPr>
        <w:t xml:space="preserve">emotion </w:t>
      </w:r>
      <w:r w:rsidRPr="00A127B0">
        <w:rPr>
          <w:rFonts w:eastAsia="Calibri" w:cs="Calibri"/>
          <w:color w:val="000000"/>
          <w:szCs w:val="20"/>
        </w:rPr>
        <w:t xml:space="preserve">on one trial became the target </w:t>
      </w:r>
      <w:r>
        <w:rPr>
          <w:rFonts w:eastAsia="Calibri" w:cs="Calibri"/>
          <w:color w:val="000000"/>
          <w:szCs w:val="20"/>
        </w:rPr>
        <w:t xml:space="preserve">emotion </w:t>
      </w:r>
      <w:r w:rsidRPr="00A127B0">
        <w:rPr>
          <w:rFonts w:eastAsia="Calibri" w:cs="Calibri"/>
          <w:color w:val="000000"/>
          <w:szCs w:val="20"/>
        </w:rPr>
        <w:t xml:space="preserve">stimuli on the </w:t>
      </w:r>
      <w:r>
        <w:rPr>
          <w:rFonts w:eastAsia="Calibri" w:cs="Calibri"/>
          <w:color w:val="000000"/>
          <w:szCs w:val="20"/>
        </w:rPr>
        <w:t>subsequent</w:t>
      </w:r>
      <w:r w:rsidRPr="00A127B0">
        <w:rPr>
          <w:rFonts w:eastAsia="Calibri" w:cs="Calibri"/>
          <w:color w:val="000000"/>
          <w:szCs w:val="20"/>
        </w:rPr>
        <w:t xml:space="preserve"> trial. This created a situation where previous attention to the distractor (negative affective stimuli) could interfere with </w:t>
      </w:r>
      <w:r>
        <w:rPr>
          <w:rFonts w:eastAsia="Calibri" w:cs="Calibri"/>
          <w:color w:val="000000"/>
          <w:szCs w:val="20"/>
        </w:rPr>
        <w:t xml:space="preserve">the </w:t>
      </w:r>
      <w:r w:rsidRPr="00A127B0">
        <w:rPr>
          <w:rFonts w:eastAsia="Calibri" w:cs="Calibri"/>
          <w:color w:val="000000"/>
          <w:szCs w:val="20"/>
        </w:rPr>
        <w:t xml:space="preserve">subsequent processing of the target. The level of this interference, or the delay in response times to previously ignored negative stimuli, served as a measure of negative attentional bias. Participants were </w:t>
      </w:r>
      <w:r>
        <w:rPr>
          <w:rFonts w:eastAsia="Calibri" w:cs="Calibri"/>
          <w:color w:val="000000"/>
          <w:szCs w:val="20"/>
        </w:rPr>
        <w:t>unaware</w:t>
      </w:r>
      <w:r w:rsidRPr="00A127B0">
        <w:rPr>
          <w:rFonts w:eastAsia="Calibri" w:cs="Calibri"/>
          <w:color w:val="000000"/>
          <w:szCs w:val="20"/>
        </w:rPr>
        <w:t xml:space="preserve"> of this design</w:t>
      </w:r>
      <w:r>
        <w:rPr>
          <w:rFonts w:eastAsia="Calibri" w:cs="Calibri"/>
          <w:color w:val="000000"/>
          <w:szCs w:val="20"/>
        </w:rPr>
        <w:t xml:space="preserve"> by ensuring a continuous flow of individual trials without any indication of the change in trial type</w:t>
      </w:r>
      <w:r w:rsidRPr="00A127B0">
        <w:rPr>
          <w:rFonts w:eastAsia="Calibri" w:cs="Calibri"/>
          <w:color w:val="000000"/>
          <w:szCs w:val="20"/>
        </w:rPr>
        <w:t>.</w:t>
      </w:r>
    </w:p>
    <w:p w14:paraId="50EE923A" w14:textId="77777777" w:rsidR="004F48C7" w:rsidRPr="00A127B0" w:rsidRDefault="004F48C7" w:rsidP="00A127B0">
      <w:pPr>
        <w:spacing w:after="200"/>
        <w:rPr>
          <w:rFonts w:eastAsia="Calibri" w:cs="Calibri"/>
          <w:color w:val="000000"/>
          <w:szCs w:val="20"/>
        </w:rPr>
      </w:pPr>
      <w:r w:rsidRPr="00A127B0">
        <w:rPr>
          <w:rFonts w:eastAsia="Calibri" w:cs="Calibri"/>
          <w:color w:val="000000"/>
          <w:szCs w:val="20"/>
        </w:rPr>
        <w:lastRenderedPageBreak/>
        <w:t>Six practice trials were conducted where targets were presented with primes</w:t>
      </w:r>
      <w:r>
        <w:rPr>
          <w:rFonts w:eastAsia="Calibri" w:cs="Calibri"/>
          <w:color w:val="000000"/>
          <w:szCs w:val="20"/>
        </w:rPr>
        <w:t>,</w:t>
      </w:r>
      <w:r w:rsidRPr="00A127B0">
        <w:rPr>
          <w:rFonts w:eastAsia="Calibri" w:cs="Calibri"/>
          <w:color w:val="000000"/>
          <w:szCs w:val="20"/>
        </w:rPr>
        <w:t xml:space="preserve"> and feedback was given for incorrect responses. No feedback was given during the experimental phase</w:t>
      </w:r>
      <w:r>
        <w:rPr>
          <w:rFonts w:eastAsia="Calibri" w:cs="Calibri"/>
          <w:color w:val="000000"/>
          <w:szCs w:val="20"/>
        </w:rPr>
        <w:t>. However, participants</w:t>
      </w:r>
      <w:r w:rsidRPr="00A127B0">
        <w:rPr>
          <w:rFonts w:eastAsia="Calibri" w:cs="Calibri"/>
          <w:color w:val="000000"/>
          <w:szCs w:val="20"/>
        </w:rPr>
        <w:t xml:space="preserve"> needed to </w:t>
      </w:r>
      <w:r>
        <w:rPr>
          <w:rFonts w:eastAsia="Calibri" w:cs="Calibri"/>
          <w:color w:val="000000"/>
          <w:szCs w:val="20"/>
        </w:rPr>
        <w:t>respond correctly</w:t>
      </w:r>
      <w:r w:rsidRPr="00A127B0">
        <w:rPr>
          <w:rFonts w:eastAsia="Calibri" w:cs="Calibri"/>
          <w:color w:val="000000"/>
          <w:szCs w:val="20"/>
        </w:rPr>
        <w:t xml:space="preserve"> to 80% of the practice trials before proceeding to the experimental trials.</w:t>
      </w:r>
    </w:p>
    <w:p w14:paraId="6B6C998D" w14:textId="6F0721A6" w:rsidR="004F48C7" w:rsidRPr="00A127B0" w:rsidRDefault="004F48C7" w:rsidP="00A127B0">
      <w:pPr>
        <w:spacing w:after="200"/>
        <w:rPr>
          <w:rFonts w:eastAsia="Calibri" w:cs="Calibri"/>
          <w:color w:val="000000"/>
          <w:szCs w:val="20"/>
        </w:rPr>
      </w:pPr>
      <w:r w:rsidRPr="00A127B0">
        <w:rPr>
          <w:rFonts w:eastAsia="Calibri" w:cs="Calibri"/>
          <w:color w:val="000000"/>
          <w:szCs w:val="20"/>
        </w:rPr>
        <w:t xml:space="preserve">A trial began with a central </w:t>
      </w:r>
      <w:r>
        <w:rPr>
          <w:rFonts w:eastAsia="Calibri" w:cs="Calibri"/>
          <w:color w:val="000000"/>
          <w:szCs w:val="20"/>
        </w:rPr>
        <w:t>'</w:t>
      </w:r>
      <w:r w:rsidRPr="00A127B0">
        <w:rPr>
          <w:rFonts w:eastAsia="Calibri" w:cs="Calibri"/>
          <w:color w:val="000000"/>
          <w:szCs w:val="20"/>
        </w:rPr>
        <w:t>+</w:t>
      </w:r>
      <w:r>
        <w:rPr>
          <w:rFonts w:eastAsia="Calibri" w:cs="Calibri"/>
          <w:color w:val="000000"/>
          <w:szCs w:val="20"/>
        </w:rPr>
        <w:t>'</w:t>
      </w:r>
      <w:r w:rsidRPr="00A127B0">
        <w:rPr>
          <w:rFonts w:eastAsia="Calibri" w:cs="Calibri"/>
          <w:color w:val="000000"/>
          <w:szCs w:val="20"/>
        </w:rPr>
        <w:t xml:space="preserve"> </w:t>
      </w:r>
      <w:r>
        <w:rPr>
          <w:rFonts w:eastAsia="Calibri" w:cs="Calibri"/>
          <w:color w:val="000000"/>
          <w:szCs w:val="20"/>
        </w:rPr>
        <w:t xml:space="preserve">presentation </w:t>
      </w:r>
      <w:r w:rsidRPr="00A127B0">
        <w:rPr>
          <w:rFonts w:eastAsia="Calibri" w:cs="Calibri"/>
          <w:color w:val="000000"/>
          <w:szCs w:val="20"/>
        </w:rPr>
        <w:t>on a blank screen for 2</w:t>
      </w:r>
      <w:r>
        <w:rPr>
          <w:rFonts w:eastAsia="Calibri" w:cs="Calibri"/>
          <w:color w:val="000000"/>
          <w:szCs w:val="20"/>
        </w:rPr>
        <w:t>,</w:t>
      </w:r>
      <w:r w:rsidRPr="00A127B0">
        <w:rPr>
          <w:rFonts w:eastAsia="Calibri" w:cs="Calibri"/>
          <w:color w:val="000000"/>
          <w:szCs w:val="20"/>
        </w:rPr>
        <w:t xml:space="preserve">000ms. This was followed by </w:t>
      </w:r>
      <w:r>
        <w:rPr>
          <w:rFonts w:eastAsia="Calibri" w:cs="Calibri"/>
          <w:color w:val="000000"/>
          <w:szCs w:val="20"/>
        </w:rPr>
        <w:t>presenting</w:t>
      </w:r>
      <w:r w:rsidRPr="00A127B0">
        <w:rPr>
          <w:rFonts w:eastAsia="Calibri" w:cs="Calibri"/>
          <w:color w:val="000000"/>
          <w:szCs w:val="20"/>
        </w:rPr>
        <w:t xml:space="preserve"> a prime stimulus in the centre of the screen on a white background for 200ms, then the target stimulus, resulting in a stimulus onset asynchrony (SOA) of 200ms between prime and target presentations. Shorter SOAs (e.g., &lt;300ms) are common in related research, where results have </w:t>
      </w:r>
      <w:r>
        <w:rPr>
          <w:rFonts w:eastAsia="Calibri" w:cs="Calibri"/>
          <w:color w:val="000000"/>
          <w:szCs w:val="20"/>
        </w:rPr>
        <w:t>shown</w:t>
      </w:r>
      <w:r w:rsidRPr="00A127B0">
        <w:rPr>
          <w:rFonts w:eastAsia="Calibri" w:cs="Calibri"/>
          <w:color w:val="000000"/>
          <w:szCs w:val="20"/>
        </w:rPr>
        <w:t xml:space="preserve"> that emotional facial expressions can be processed subliminally </w:t>
      </w:r>
      <w:sdt>
        <w:sdtPr>
          <w:rPr>
            <w:rFonts w:eastAsia="Calibri" w:cs="Calibri"/>
            <w:color w:val="000000"/>
            <w:szCs w:val="20"/>
          </w:rPr>
          <w:tag w:val="MENDELEY_CITATION_v3_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"/>
          <w:id w:val="-2130692566"/>
          <w:placeholder>
            <w:docPart w:val="DB61AD8273F4254A984ACACBE62408BE"/>
          </w:placeholder>
        </w:sdtPr>
        <w:sdtContent>
          <w:r w:rsidR="00EC7CE1" w:rsidRPr="00EC7CE1">
            <w:rPr>
              <w:rFonts w:eastAsia="Calibri" w:cs="Calibri"/>
              <w:color w:val="000000"/>
              <w:szCs w:val="20"/>
            </w:rPr>
            <w:t>(</w:t>
          </w:r>
          <w:proofErr w:type="spellStart"/>
          <w:r w:rsidR="00EC7CE1" w:rsidRPr="00EC7CE1">
            <w:rPr>
              <w:rFonts w:eastAsia="Calibri" w:cs="Calibri"/>
              <w:color w:val="000000"/>
              <w:szCs w:val="20"/>
            </w:rPr>
            <w:t>Hermans</w:t>
          </w:r>
          <w:proofErr w:type="spellEnd"/>
          <w:r w:rsidR="00EC7CE1" w:rsidRPr="00EC7CE1">
            <w:rPr>
              <w:rFonts w:eastAsia="Calibri" w:cs="Calibri"/>
              <w:color w:val="000000"/>
              <w:szCs w:val="20"/>
            </w:rPr>
            <w:t xml:space="preserve"> et al., 2001)</w:t>
          </w:r>
        </w:sdtContent>
      </w:sdt>
      <w:r>
        <w:rPr>
          <w:rFonts w:eastAsia="Calibri" w:cs="Calibri"/>
          <w:color w:val="000000"/>
          <w:szCs w:val="20"/>
        </w:rPr>
        <w:t>.</w:t>
      </w:r>
      <w:r w:rsidRPr="00A127B0">
        <w:rPr>
          <w:rFonts w:eastAsia="Calibri" w:cs="Calibri"/>
          <w:color w:val="000000"/>
          <w:szCs w:val="20"/>
        </w:rPr>
        <w:t xml:space="preserve"> The target remained on screen for a maximum of 5</w:t>
      </w:r>
      <w:r>
        <w:rPr>
          <w:rFonts w:eastAsia="Calibri" w:cs="Calibri"/>
          <w:color w:val="000000"/>
          <w:szCs w:val="20"/>
        </w:rPr>
        <w:t>,</w:t>
      </w:r>
      <w:r w:rsidRPr="00A127B0">
        <w:rPr>
          <w:rFonts w:eastAsia="Calibri" w:cs="Calibri"/>
          <w:color w:val="000000"/>
          <w:szCs w:val="20"/>
        </w:rPr>
        <w:t>000ms but disappeared as soon as a response was given.</w:t>
      </w:r>
    </w:p>
    <w:p w14:paraId="404BB84C" w14:textId="77777777" w:rsidR="004F48C7" w:rsidRDefault="004F48C7" w:rsidP="00A127B0">
      <w:pPr>
        <w:spacing w:after="200"/>
        <w:rPr>
          <w:rFonts w:eastAsia="Calibri" w:cs="Calibri"/>
          <w:color w:val="000000"/>
          <w:szCs w:val="20"/>
        </w:rPr>
      </w:pPr>
      <w:r w:rsidRPr="00A127B0">
        <w:rPr>
          <w:rFonts w:eastAsia="Calibri" w:cs="Calibri"/>
          <w:color w:val="000000"/>
          <w:szCs w:val="20"/>
        </w:rPr>
        <w:t xml:space="preserve">The </w:t>
      </w:r>
      <w:r>
        <w:rPr>
          <w:rFonts w:eastAsia="Calibri" w:cs="Calibri"/>
          <w:color w:val="000000"/>
          <w:szCs w:val="20"/>
        </w:rPr>
        <w:t>subsequent</w:t>
      </w:r>
      <w:r w:rsidRPr="00A127B0">
        <w:rPr>
          <w:rFonts w:eastAsia="Calibri" w:cs="Calibri"/>
          <w:color w:val="000000"/>
          <w:szCs w:val="20"/>
        </w:rPr>
        <w:t xml:space="preserve"> trial always began 1</w:t>
      </w:r>
      <w:r>
        <w:rPr>
          <w:rFonts w:eastAsia="Calibri" w:cs="Calibri"/>
          <w:color w:val="000000"/>
          <w:szCs w:val="20"/>
        </w:rPr>
        <w:t>,</w:t>
      </w:r>
      <w:r w:rsidRPr="00A127B0">
        <w:rPr>
          <w:rFonts w:eastAsia="Calibri" w:cs="Calibri"/>
          <w:color w:val="000000"/>
          <w:szCs w:val="20"/>
        </w:rPr>
        <w:t xml:space="preserve">300ms/3 secs after a response was given. The experimental trials were divided into three blocks, each containing 24 trials, totalling 72 trials. Participants were informed </w:t>
      </w:r>
      <w:r>
        <w:rPr>
          <w:rFonts w:eastAsia="Calibri" w:cs="Calibri"/>
          <w:color w:val="000000"/>
          <w:szCs w:val="20"/>
        </w:rPr>
        <w:t xml:space="preserve">that </w:t>
      </w:r>
      <w:r w:rsidRPr="00A127B0">
        <w:rPr>
          <w:rFonts w:eastAsia="Calibri" w:cs="Calibri"/>
          <w:color w:val="000000"/>
          <w:szCs w:val="20"/>
        </w:rPr>
        <w:t>they could take breaks before continuing without leaving the browser and could initiate the start of the next block by pressing the spacebar. Primes and targets were randomly presented across the 72 trials, divided into three blocks. The sequence of trials was randomised for each participant.</w:t>
      </w:r>
    </w:p>
    <w:p w14:paraId="738F119E" w14:textId="77777777" w:rsidR="007D38F2" w:rsidRDefault="007D38F2">
      <w:pPr>
        <w:spacing w:line="240" w:lineRule="auto"/>
        <w:jc w:val="left"/>
        <w:rPr>
          <w:rFonts w:ascii="Avenir Heavy" w:eastAsia="Calibri" w:hAnsi="Avenir Heavy" w:cs="Calibri"/>
          <w:color w:val="000000"/>
          <w:szCs w:val="20"/>
        </w:rPr>
      </w:pPr>
      <w:r>
        <w:rPr>
          <w:rFonts w:ascii="Avenir Heavy" w:eastAsia="Calibri" w:hAnsi="Avenir Heavy" w:cs="Calibri"/>
          <w:color w:val="000000"/>
          <w:szCs w:val="20"/>
        </w:rPr>
        <w:br w:type="page"/>
      </w:r>
    </w:p>
    <w:p w14:paraId="33EA220A" w14:textId="12B13488" w:rsidR="004F48C7" w:rsidRPr="003E3E93" w:rsidRDefault="004F48C7" w:rsidP="00672A68">
      <w:pPr>
        <w:rPr>
          <w:rFonts w:eastAsia="Calibri"/>
        </w:rPr>
      </w:pPr>
      <w:r>
        <w:rPr>
          <w:rFonts w:eastAsia="Calibri"/>
        </w:rPr>
        <w:lastRenderedPageBreak/>
        <w:t>Figure</w:t>
      </w:r>
      <w:r w:rsidRPr="003E3E93">
        <w:rPr>
          <w:rFonts w:eastAsia="Calibri"/>
        </w:rPr>
        <w:t xml:space="preserve"> </w:t>
      </w:r>
      <w:r w:rsidR="00672A68">
        <w:rPr>
          <w:rFonts w:eastAsia="Calibri"/>
        </w:rPr>
        <w:t>10</w:t>
      </w:r>
      <w:r w:rsidRPr="003E3E93">
        <w:rPr>
          <w:rFonts w:eastAsia="Calibri"/>
        </w:rPr>
        <w:t xml:space="preserve">. </w:t>
      </w:r>
      <w:r>
        <w:rPr>
          <w:rFonts w:eastAsia="Calibri"/>
        </w:rPr>
        <w:t xml:space="preserve">The NAP task (modified from </w:t>
      </w:r>
      <w:sdt>
        <w:sdtPr>
          <w:rPr>
            <w:rFonts w:eastAsia="Calibri"/>
            <w:color w:val="000000"/>
          </w:rPr>
          <w:tag w:val="MENDELEY_CITATION_v3_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"/>
          <w:id w:val="920459042"/>
          <w:placeholder>
            <w:docPart w:val="DB61AD8273F4254A984ACACBE62408BE"/>
          </w:placeholder>
        </w:sdtPr>
        <w:sdtContent>
          <w:r w:rsidR="00EC7CE1" w:rsidRPr="00EC7CE1">
            <w:rPr>
              <w:rFonts w:eastAsia="Calibri"/>
              <w:color w:val="000000"/>
            </w:rPr>
            <w:t>(</w:t>
          </w:r>
          <w:proofErr w:type="spellStart"/>
          <w:r w:rsidR="00EC7CE1" w:rsidRPr="00EC7CE1">
            <w:rPr>
              <w:rFonts w:eastAsia="Calibri"/>
              <w:color w:val="000000"/>
            </w:rPr>
            <w:t>Joormann</w:t>
          </w:r>
          <w:proofErr w:type="spellEnd"/>
          <w:r w:rsidR="00EC7CE1" w:rsidRPr="00EC7CE1">
            <w:rPr>
              <w:rFonts w:eastAsia="Calibri"/>
              <w:color w:val="000000"/>
            </w:rPr>
            <w:t>, 2004)</w:t>
          </w:r>
        </w:sdtContent>
      </w:sdt>
      <w:r>
        <w:rPr>
          <w:rFonts w:eastAsia="Calibri"/>
        </w:rPr>
        <w:t>)</w:t>
      </w:r>
    </w:p>
    <w:p w14:paraId="382898B9" w14:textId="77777777" w:rsidR="004F48C7" w:rsidRDefault="004F48C7" w:rsidP="003E3E93">
      <w:pPr>
        <w:spacing w:after="200"/>
        <w:rPr>
          <w:rFonts w:eastAsia="Calibri" w:cs="Calibri"/>
          <w:i/>
          <w:iCs/>
          <w:color w:val="000000"/>
          <w:szCs w:val="20"/>
        </w:rPr>
      </w:pPr>
      <w:r>
        <w:rPr>
          <w:rFonts w:eastAsia="Calibri" w:cs="Calibri"/>
          <w:i/>
          <w:iCs/>
          <w:noProof/>
          <w:color w:val="000000"/>
          <w:szCs w:val="20"/>
        </w:rPr>
        <w:drawing>
          <wp:inline distT="0" distB="0" distL="0" distR="0" wp14:anchorId="4F3844A5" wp14:editId="3CAE46CF">
            <wp:extent cx="5727700" cy="3180715"/>
            <wp:effectExtent l="0" t="0" r="0" b="0"/>
            <wp:docPr id="1227846316" name="Picture 2" descr="A picture containing diagram, sketch,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46316" name="Picture 2" descr="A picture containing diagram, sketch,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7700" cy="3180715"/>
                    </a:xfrm>
                    <a:prstGeom prst="rect">
                      <a:avLst/>
                    </a:prstGeom>
                    <a:ln>
                      <a:noFill/>
                    </a:ln>
                  </pic:spPr>
                </pic:pic>
              </a:graphicData>
            </a:graphic>
          </wp:inline>
        </w:drawing>
      </w:r>
    </w:p>
    <w:p w14:paraId="0877C8CD" w14:textId="77777777" w:rsidR="004F48C7" w:rsidRPr="003E3E93" w:rsidRDefault="004F48C7" w:rsidP="003E3E93">
      <w:pPr>
        <w:spacing w:after="200"/>
        <w:rPr>
          <w:rFonts w:eastAsia="Calibri" w:cs="Calibri"/>
          <w:i/>
          <w:iCs/>
          <w:color w:val="000000"/>
          <w:szCs w:val="20"/>
        </w:rPr>
      </w:pPr>
    </w:p>
    <w:p w14:paraId="765F20E8" w14:textId="77777777" w:rsidR="004F48C7" w:rsidRPr="00AC6966" w:rsidRDefault="004F48C7" w:rsidP="001524B1">
      <w:pPr>
        <w:pBdr>
          <w:top w:val="nil"/>
          <w:left w:val="nil"/>
          <w:bottom w:val="nil"/>
          <w:right w:val="nil"/>
          <w:between w:val="nil"/>
        </w:pBdr>
        <w:rPr>
          <w:bCs/>
          <w:color w:val="000000"/>
          <w:szCs w:val="20"/>
        </w:rPr>
      </w:pPr>
      <w:r w:rsidRPr="00AC6966">
        <w:rPr>
          <w:bCs/>
          <w:color w:val="000000"/>
          <w:szCs w:val="20"/>
        </w:rPr>
        <w:t>Note:</w:t>
      </w:r>
      <w:r>
        <w:rPr>
          <w:bCs/>
          <w:color w:val="000000"/>
          <w:szCs w:val="20"/>
        </w:rPr>
        <w:t xml:space="preserve"> Procedure and timing of the NAP task trial included in the study. </w:t>
      </w:r>
    </w:p>
    <w:p w14:paraId="3A7E6C94" w14:textId="365A0B0B" w:rsidR="004F48C7" w:rsidRPr="009127D9" w:rsidRDefault="004F48C7" w:rsidP="001524B1">
      <w:pPr>
        <w:pBdr>
          <w:top w:val="nil"/>
          <w:left w:val="nil"/>
          <w:bottom w:val="nil"/>
          <w:right w:val="nil"/>
          <w:between w:val="nil"/>
        </w:pBdr>
        <w:rPr>
          <w:bCs/>
          <w:color w:val="000000"/>
          <w:szCs w:val="20"/>
          <w:u w:val="single"/>
        </w:rPr>
      </w:pPr>
      <w:r w:rsidRPr="009127D9">
        <w:rPr>
          <w:bCs/>
          <w:color w:val="000000"/>
          <w:szCs w:val="20"/>
          <w:u w:val="single"/>
        </w:rPr>
        <w:t>Behavioural Task</w:t>
      </w:r>
      <w:r>
        <w:rPr>
          <w:bCs/>
          <w:color w:val="000000"/>
          <w:szCs w:val="20"/>
          <w:u w:val="single"/>
        </w:rPr>
        <w:t>—</w:t>
      </w:r>
      <w:r w:rsidRPr="009127D9">
        <w:rPr>
          <w:bCs/>
          <w:color w:val="000000"/>
          <w:szCs w:val="20"/>
          <w:u w:val="single"/>
        </w:rPr>
        <w:t>Delay Discounting Task</w:t>
      </w:r>
    </w:p>
    <w:p w14:paraId="1F182CD4" w14:textId="755C4FA5" w:rsidR="004F48C7" w:rsidRPr="009127D9" w:rsidRDefault="004F48C7" w:rsidP="001524B1">
      <w:pPr>
        <w:rPr>
          <w:rFonts w:eastAsia="Calibri" w:cs="Calibri"/>
          <w:color w:val="000000"/>
          <w:szCs w:val="20"/>
        </w:rPr>
      </w:pPr>
      <w:r w:rsidRPr="009127D9">
        <w:rPr>
          <w:rFonts w:eastAsia="Calibri" w:cs="Calibri"/>
          <w:color w:val="000000"/>
          <w:szCs w:val="20"/>
        </w:rPr>
        <w:t xml:space="preserve">Delay discounting was </w:t>
      </w:r>
      <w:r>
        <w:rPr>
          <w:rFonts w:eastAsia="Calibri" w:cs="Calibri"/>
          <w:color w:val="000000"/>
          <w:szCs w:val="20"/>
        </w:rPr>
        <w:t xml:space="preserve">quantified </w:t>
      </w:r>
      <w:r w:rsidRPr="009127D9">
        <w:rPr>
          <w:rFonts w:eastAsia="Calibri" w:cs="Calibri"/>
          <w:color w:val="000000"/>
          <w:szCs w:val="20"/>
        </w:rPr>
        <w:t>with a computeri</w:t>
      </w:r>
      <w:r>
        <w:rPr>
          <w:rFonts w:eastAsia="Calibri" w:cs="Calibri"/>
          <w:color w:val="000000"/>
          <w:szCs w:val="20"/>
        </w:rPr>
        <w:t>s</w:t>
      </w:r>
      <w:r w:rsidRPr="009127D9">
        <w:rPr>
          <w:rFonts w:eastAsia="Calibri" w:cs="Calibri"/>
          <w:color w:val="000000"/>
          <w:szCs w:val="20"/>
        </w:rPr>
        <w:t>ed</w:t>
      </w:r>
      <w:r>
        <w:rPr>
          <w:rFonts w:eastAsia="Calibri" w:cs="Calibri"/>
          <w:color w:val="000000"/>
          <w:szCs w:val="20"/>
        </w:rPr>
        <w:t xml:space="preserve">, widely used 27-item measure - </w:t>
      </w:r>
      <w:r w:rsidRPr="009127D9">
        <w:rPr>
          <w:rFonts w:eastAsia="Calibri" w:cs="Calibri"/>
          <w:color w:val="000000"/>
          <w:szCs w:val="20"/>
        </w:rPr>
        <w:t>The Monetary Choice Questionnaire</w:t>
      </w:r>
      <w:r>
        <w:rPr>
          <w:rFonts w:eastAsia="Calibri" w:cs="Calibri"/>
          <w:color w:val="000000"/>
          <w:szCs w:val="20"/>
        </w:rPr>
        <w:t xml:space="preserve"> (</w:t>
      </w:r>
      <w:r w:rsidRPr="009127D9">
        <w:rPr>
          <w:rFonts w:eastAsia="Calibri" w:cs="Calibri"/>
          <w:color w:val="000000"/>
          <w:szCs w:val="20"/>
        </w:rPr>
        <w:t xml:space="preserve">MCQ), based on one developed </w:t>
      </w:r>
      <w:r>
        <w:rPr>
          <w:rFonts w:eastAsia="Calibri" w:cs="Calibri"/>
          <w:color w:val="000000"/>
          <w:szCs w:val="20"/>
        </w:rPr>
        <w:t xml:space="preserve">by </w:t>
      </w:r>
      <w:sdt>
        <w:sdtPr>
          <w:rPr>
            <w:rFonts w:eastAsia="Calibri" w:cs="Calibri"/>
            <w:color w:val="000000"/>
            <w:szCs w:val="20"/>
          </w:rPr>
          <w:tag w:val="MENDELEY_CITATION_v3_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"/>
          <w:id w:val="-1681573424"/>
          <w:placeholder>
            <w:docPart w:val="DB61AD8273F4254A984ACACBE62408BE"/>
          </w:placeholder>
        </w:sdtPr>
        <w:sdtContent>
          <w:r w:rsidR="00EC7CE1">
            <w:rPr>
              <w:rFonts w:eastAsia="Times New Roman"/>
            </w:rPr>
            <w:t xml:space="preserve">Kirby &amp; </w:t>
          </w:r>
          <w:proofErr w:type="spellStart"/>
          <w:r w:rsidR="00EC7CE1">
            <w:rPr>
              <w:rFonts w:eastAsia="Times New Roman"/>
            </w:rPr>
            <w:t>Maraković</w:t>
          </w:r>
          <w:proofErr w:type="spellEnd"/>
          <w:r w:rsidR="00EC7CE1">
            <w:rPr>
              <w:rFonts w:eastAsia="Times New Roman"/>
            </w:rPr>
            <w:t xml:space="preserve"> (1996;</w:t>
          </w:r>
        </w:sdtContent>
      </w:sdt>
      <w:r>
        <w:rPr>
          <w:rFonts w:eastAsia="Calibri" w:cs="Calibri"/>
          <w:color w:val="000000"/>
          <w:szCs w:val="20"/>
        </w:rPr>
        <w:t>)</w:t>
      </w:r>
      <w:r w:rsidRPr="009127D9">
        <w:rPr>
          <w:rFonts w:eastAsia="Calibri" w:cs="Calibri"/>
          <w:color w:val="000000"/>
          <w:szCs w:val="20"/>
        </w:rPr>
        <w:t>. On</w:t>
      </w:r>
      <w:r>
        <w:rPr>
          <w:rFonts w:eastAsia="Calibri" w:cs="Calibri"/>
          <w:color w:val="000000"/>
          <w:szCs w:val="20"/>
        </w:rPr>
        <w:t xml:space="preserve"> </w:t>
      </w:r>
      <w:r w:rsidRPr="009127D9">
        <w:rPr>
          <w:rFonts w:eastAsia="Calibri" w:cs="Calibri"/>
          <w:color w:val="000000"/>
          <w:szCs w:val="20"/>
        </w:rPr>
        <w:t>each trial, participants are presented with a hypothetical choice between a sum of money available</w:t>
      </w:r>
      <w:r>
        <w:rPr>
          <w:rFonts w:eastAsia="Calibri" w:cs="Calibri"/>
          <w:color w:val="000000"/>
          <w:szCs w:val="20"/>
        </w:rPr>
        <w:t xml:space="preserve"> </w:t>
      </w:r>
      <w:r w:rsidRPr="009127D9">
        <w:rPr>
          <w:rFonts w:eastAsia="Calibri" w:cs="Calibri"/>
          <w:color w:val="000000"/>
          <w:szCs w:val="20"/>
        </w:rPr>
        <w:t>immediately</w:t>
      </w:r>
      <w:r>
        <w:rPr>
          <w:rFonts w:eastAsia="Calibri" w:cs="Calibri"/>
          <w:color w:val="000000"/>
          <w:szCs w:val="20"/>
        </w:rPr>
        <w:t xml:space="preserve"> </w:t>
      </w:r>
      <w:r w:rsidRPr="009127D9">
        <w:rPr>
          <w:rFonts w:eastAsia="Calibri" w:cs="Calibri"/>
          <w:color w:val="000000"/>
          <w:szCs w:val="20"/>
        </w:rPr>
        <w:t>and a larger sum for which they must wait (varying between 7 and 186 days).</w:t>
      </w:r>
      <w:r>
        <w:rPr>
          <w:rFonts w:eastAsia="Calibri" w:cs="Calibri"/>
          <w:color w:val="000000"/>
          <w:szCs w:val="20"/>
        </w:rPr>
        <w:t xml:space="preserve"> P</w:t>
      </w:r>
      <w:r w:rsidRPr="009127D9">
        <w:rPr>
          <w:rFonts w:eastAsia="Calibri" w:cs="Calibri"/>
          <w:color w:val="000000"/>
          <w:szCs w:val="20"/>
        </w:rPr>
        <w:t xml:space="preserve">articipants were presented </w:t>
      </w:r>
      <w:r>
        <w:rPr>
          <w:rFonts w:eastAsia="Calibri" w:cs="Calibri"/>
          <w:color w:val="000000"/>
          <w:szCs w:val="20"/>
        </w:rPr>
        <w:t xml:space="preserve">with </w:t>
      </w:r>
      <w:r w:rsidRPr="009127D9">
        <w:rPr>
          <w:rFonts w:eastAsia="Calibri" w:cs="Calibri"/>
          <w:color w:val="000000"/>
          <w:szCs w:val="20"/>
        </w:rPr>
        <w:t>27 choices between smaller immediate rewards (SIRs) and larger delayed rewards (LDRs). For example, on the first trial</w:t>
      </w:r>
      <w:r>
        <w:rPr>
          <w:rFonts w:eastAsia="Calibri" w:cs="Calibri"/>
          <w:color w:val="000000"/>
          <w:szCs w:val="20"/>
        </w:rPr>
        <w:t>,</w:t>
      </w:r>
      <w:r w:rsidRPr="009127D9">
        <w:rPr>
          <w:rFonts w:eastAsia="Calibri" w:cs="Calibri"/>
          <w:color w:val="000000"/>
          <w:szCs w:val="20"/>
        </w:rPr>
        <w:t xml:space="preserve"> participants were asked</w:t>
      </w:r>
      <w:r>
        <w:rPr>
          <w:rFonts w:eastAsia="Calibri" w:cs="Calibri"/>
          <w:color w:val="000000"/>
          <w:szCs w:val="20"/>
        </w:rPr>
        <w:t>,</w:t>
      </w:r>
      <w:r w:rsidRPr="009127D9">
        <w:rPr>
          <w:rFonts w:eastAsia="Calibri" w:cs="Calibri"/>
          <w:color w:val="000000"/>
          <w:szCs w:val="20"/>
        </w:rPr>
        <w:t xml:space="preserve"> </w:t>
      </w:r>
      <w:r>
        <w:rPr>
          <w:rFonts w:eastAsia="Calibri" w:cs="Calibri"/>
          <w:color w:val="000000"/>
          <w:szCs w:val="20"/>
        </w:rPr>
        <w:t>"</w:t>
      </w:r>
      <w:r w:rsidRPr="009127D9">
        <w:rPr>
          <w:rFonts w:eastAsia="Calibri" w:cs="Calibri"/>
          <w:color w:val="000000"/>
          <w:szCs w:val="20"/>
        </w:rPr>
        <w:t>W</w:t>
      </w:r>
      <w:r>
        <w:rPr>
          <w:rFonts w:eastAsia="Calibri" w:cs="Calibri"/>
          <w:color w:val="000000"/>
          <w:szCs w:val="20"/>
        </w:rPr>
        <w:t>hich amount w</w:t>
      </w:r>
      <w:r w:rsidRPr="009127D9">
        <w:rPr>
          <w:rFonts w:eastAsia="Calibri" w:cs="Calibri"/>
          <w:color w:val="000000"/>
          <w:szCs w:val="20"/>
        </w:rPr>
        <w:t>ould you prefer</w:t>
      </w:r>
      <w:r>
        <w:rPr>
          <w:rFonts w:eastAsia="Calibri" w:cs="Calibri"/>
          <w:color w:val="000000"/>
          <w:szCs w:val="20"/>
        </w:rPr>
        <w:t>?" with two options presented in boxes</w:t>
      </w:r>
      <w:r w:rsidRPr="009127D9">
        <w:rPr>
          <w:rFonts w:eastAsia="Calibri" w:cs="Calibri"/>
          <w:color w:val="000000"/>
          <w:szCs w:val="20"/>
        </w:rPr>
        <w:t xml:space="preserve"> </w:t>
      </w:r>
      <w:r>
        <w:rPr>
          <w:rFonts w:eastAsia="Calibri" w:cs="Calibri"/>
          <w:color w:val="000000"/>
          <w:szCs w:val="20"/>
        </w:rPr>
        <w:t>"</w:t>
      </w:r>
      <w:r w:rsidRPr="009127D9">
        <w:rPr>
          <w:rFonts w:eastAsia="Calibri" w:cs="Calibri"/>
          <w:color w:val="000000"/>
          <w:szCs w:val="20"/>
        </w:rPr>
        <w:t>£54 today</w:t>
      </w:r>
      <w:r>
        <w:rPr>
          <w:rFonts w:eastAsia="Calibri" w:cs="Calibri"/>
          <w:color w:val="000000"/>
          <w:szCs w:val="20"/>
        </w:rPr>
        <w:t xml:space="preserve">" </w:t>
      </w:r>
      <w:r w:rsidRPr="009127D9">
        <w:rPr>
          <w:rFonts w:eastAsia="Calibri" w:cs="Calibri"/>
          <w:color w:val="000000"/>
          <w:szCs w:val="20"/>
        </w:rPr>
        <w:t xml:space="preserve">or </w:t>
      </w:r>
      <w:r>
        <w:rPr>
          <w:rFonts w:eastAsia="Calibri" w:cs="Calibri"/>
          <w:color w:val="000000"/>
          <w:szCs w:val="20"/>
        </w:rPr>
        <w:t>"</w:t>
      </w:r>
      <w:r w:rsidRPr="009127D9">
        <w:rPr>
          <w:rFonts w:eastAsia="Calibri" w:cs="Calibri"/>
          <w:color w:val="000000"/>
          <w:szCs w:val="20"/>
        </w:rPr>
        <w:t>£55 in 117 days</w:t>
      </w:r>
      <w:r>
        <w:rPr>
          <w:rFonts w:eastAsia="Calibri" w:cs="Calibri"/>
          <w:color w:val="000000"/>
          <w:szCs w:val="20"/>
        </w:rPr>
        <w:t xml:space="preserve">". See Figure </w:t>
      </w:r>
      <w:r w:rsidR="00774F59">
        <w:rPr>
          <w:rFonts w:eastAsia="Calibri" w:cs="Calibri"/>
          <w:color w:val="000000"/>
          <w:szCs w:val="20"/>
        </w:rPr>
        <w:t>11</w:t>
      </w:r>
      <w:r>
        <w:rPr>
          <w:rFonts w:eastAsia="Calibri" w:cs="Calibri"/>
          <w:color w:val="000000"/>
          <w:szCs w:val="20"/>
        </w:rPr>
        <w:t xml:space="preserve"> below.</w:t>
      </w:r>
      <w:r w:rsidRPr="009127D9">
        <w:rPr>
          <w:rFonts w:eastAsia="Calibri" w:cs="Calibri"/>
          <w:color w:val="000000"/>
          <w:szCs w:val="20"/>
        </w:rPr>
        <w:t xml:space="preserve"> The participant indicated </w:t>
      </w:r>
      <w:r>
        <w:rPr>
          <w:rFonts w:eastAsia="Calibri" w:cs="Calibri"/>
          <w:color w:val="000000"/>
          <w:szCs w:val="20"/>
        </w:rPr>
        <w:t>their preferred amount</w:t>
      </w:r>
      <w:r w:rsidRPr="009127D9">
        <w:rPr>
          <w:rFonts w:eastAsia="Calibri" w:cs="Calibri"/>
          <w:color w:val="000000"/>
          <w:szCs w:val="20"/>
        </w:rPr>
        <w:t xml:space="preserve"> by clicking </w:t>
      </w:r>
      <w:r>
        <w:rPr>
          <w:rFonts w:eastAsia="Calibri" w:cs="Calibri"/>
          <w:color w:val="000000"/>
          <w:szCs w:val="20"/>
        </w:rPr>
        <w:t xml:space="preserve">the option box with their mouse/pad. </w:t>
      </w:r>
      <w:r w:rsidRPr="009127D9">
        <w:rPr>
          <w:rFonts w:eastAsia="Calibri" w:cs="Calibri"/>
          <w:color w:val="000000"/>
          <w:szCs w:val="20"/>
        </w:rPr>
        <w:t xml:space="preserve">The values used in all 27 trials are shown in Table n. The order of the questions on the questionnaire is shown in the first column. The order was contrived such that </w:t>
      </w:r>
      <w:r>
        <w:rPr>
          <w:rFonts w:eastAsia="Calibri" w:cs="Calibri"/>
          <w:color w:val="000000"/>
          <w:szCs w:val="20"/>
        </w:rPr>
        <w:t>the trial</w:t>
      </w:r>
      <w:r w:rsidRPr="009127D9">
        <w:rPr>
          <w:rFonts w:eastAsia="Calibri" w:cs="Calibri"/>
          <w:color w:val="000000"/>
          <w:szCs w:val="20"/>
        </w:rPr>
        <w:t xml:space="preserve"> order did not correlate with the SIR or LDR amounts, their ratio, their difference, the delay to the LDR, or the discount rate corresponding to indifference between the two rewards.</w:t>
      </w:r>
      <w:r>
        <w:rPr>
          <w:rFonts w:eastAsia="Calibri" w:cs="Calibri"/>
          <w:color w:val="000000"/>
          <w:szCs w:val="20"/>
        </w:rPr>
        <w:t xml:space="preserve"> This task took participants approximately 7 minutes.</w:t>
      </w:r>
    </w:p>
    <w:p w14:paraId="7D7C8A4B" w14:textId="77777777" w:rsidR="004F48C7" w:rsidRDefault="004F48C7" w:rsidP="001524B1">
      <w:pPr>
        <w:rPr>
          <w:rFonts w:eastAsia="Calibri" w:cs="Calibri"/>
          <w:color w:val="000000"/>
          <w:szCs w:val="20"/>
        </w:rPr>
      </w:pPr>
      <w:r w:rsidRPr="009127D9">
        <w:rPr>
          <w:rFonts w:eastAsia="Calibri" w:cs="Calibri"/>
          <w:color w:val="000000"/>
          <w:szCs w:val="20"/>
        </w:rPr>
        <w:lastRenderedPageBreak/>
        <w:t>The 27 choices define ten ranges of discount rates. Eight ranges are bounded above and below</w:t>
      </w:r>
      <w:r>
        <w:rPr>
          <w:rFonts w:eastAsia="Calibri" w:cs="Calibri"/>
          <w:color w:val="000000"/>
          <w:szCs w:val="20"/>
        </w:rPr>
        <w:t>,</w:t>
      </w:r>
      <w:r w:rsidRPr="009127D9">
        <w:rPr>
          <w:rFonts w:eastAsia="Calibri" w:cs="Calibri"/>
          <w:color w:val="000000"/>
          <w:szCs w:val="20"/>
        </w:rPr>
        <w:t xml:space="preserve"> and two represent the endpoints (choices of all 27 immediate rewards or all 27 delayed rewards). Participants were assigned a k value corresponding to the geometric midpoint of one of the eight ranges or one of the two endpoint values based on their choices of immediate reward across trials.</w:t>
      </w:r>
      <w:r>
        <w:rPr>
          <w:rFonts w:eastAsia="Calibri" w:cs="Calibri"/>
          <w:color w:val="000000"/>
          <w:szCs w:val="20"/>
        </w:rPr>
        <w:t xml:space="preserve"> </w:t>
      </w:r>
    </w:p>
    <w:p w14:paraId="2DD251D0" w14:textId="77777777" w:rsidR="004F48C7" w:rsidRDefault="004F48C7" w:rsidP="001524B1">
      <w:pPr>
        <w:rPr>
          <w:rFonts w:eastAsia="Calibri" w:cs="Calibri"/>
          <w:color w:val="000000"/>
          <w:szCs w:val="20"/>
        </w:rPr>
      </w:pPr>
      <w:r w:rsidRPr="009127D9">
        <w:rPr>
          <w:rFonts w:eastAsia="Calibri" w:cs="Calibri"/>
          <w:color w:val="000000"/>
          <w:szCs w:val="20"/>
        </w:rPr>
        <w:t xml:space="preserve">This value was an estimate of a </w:t>
      </w:r>
      <w:r>
        <w:rPr>
          <w:rFonts w:eastAsia="Calibri" w:cs="Calibri"/>
          <w:color w:val="000000"/>
          <w:szCs w:val="20"/>
        </w:rPr>
        <w:t>participant's</w:t>
      </w:r>
      <w:r w:rsidRPr="009127D9">
        <w:rPr>
          <w:rFonts w:eastAsia="Calibri" w:cs="Calibri"/>
          <w:color w:val="000000"/>
          <w:szCs w:val="20"/>
        </w:rPr>
        <w:t xml:space="preserve"> discounting-rate parameter and is modelled in the following equation:</w:t>
      </w:r>
    </w:p>
    <w:p w14:paraId="7899680F" w14:textId="77777777" w:rsidR="004F48C7" w:rsidRPr="00284F00" w:rsidRDefault="004F48C7" w:rsidP="001524B1">
      <w:pPr>
        <w:jc w:val="center"/>
        <w:rPr>
          <w:rFonts w:ascii="Cambria Math" w:eastAsia="Calibri" w:hAnsi="Cambria Math" w:cs="Calibri"/>
          <w:i/>
          <w:iCs/>
          <w:color w:val="000000"/>
          <w:sz w:val="21"/>
          <w:szCs w:val="21"/>
        </w:rPr>
      </w:pPr>
      <w:r w:rsidRPr="00284F00">
        <w:rPr>
          <w:rFonts w:ascii="Cambria Math" w:eastAsia="Calibri" w:hAnsi="Cambria Math" w:cs="Calibri"/>
          <w:i/>
          <w:iCs/>
          <w:color w:val="000000"/>
          <w:sz w:val="21"/>
          <w:szCs w:val="21"/>
        </w:rPr>
        <w:t xml:space="preserve">V = A / (1 + </w:t>
      </w:r>
      <w:proofErr w:type="spellStart"/>
      <w:r w:rsidRPr="00284F00">
        <w:rPr>
          <w:rFonts w:ascii="Cambria Math" w:eastAsia="Calibri" w:hAnsi="Cambria Math" w:cs="Calibri"/>
          <w:i/>
          <w:iCs/>
          <w:color w:val="000000"/>
          <w:sz w:val="21"/>
          <w:szCs w:val="21"/>
        </w:rPr>
        <w:t>kD</w:t>
      </w:r>
      <w:proofErr w:type="spellEnd"/>
      <w:r w:rsidRPr="00284F00">
        <w:rPr>
          <w:rFonts w:ascii="Cambria Math" w:eastAsia="Calibri" w:hAnsi="Cambria Math" w:cs="Calibri"/>
          <w:i/>
          <w:iCs/>
          <w:color w:val="000000"/>
          <w:sz w:val="21"/>
          <w:szCs w:val="21"/>
        </w:rPr>
        <w:t>)</w:t>
      </w:r>
    </w:p>
    <w:p w14:paraId="3039FCF0" w14:textId="77777777" w:rsidR="004F48C7" w:rsidRPr="001524B1" w:rsidRDefault="004F48C7" w:rsidP="002D2AD8">
      <w:pPr>
        <w:jc w:val="center"/>
        <w:rPr>
          <w:rFonts w:eastAsia="Calibri" w:cs="Calibri"/>
          <w:color w:val="000000"/>
          <w:szCs w:val="20"/>
        </w:rPr>
      </w:pPr>
      <w:r w:rsidRPr="001524B1">
        <w:rPr>
          <w:rFonts w:eastAsia="Calibri" w:cs="Calibri"/>
          <w:color w:val="000000"/>
          <w:szCs w:val="20"/>
        </w:rPr>
        <w:t>Where:</w:t>
      </w:r>
    </w:p>
    <w:p w14:paraId="3BA955D6" w14:textId="77777777" w:rsidR="004F48C7" w:rsidRPr="001524B1" w:rsidRDefault="004F48C7" w:rsidP="002D2AD8">
      <w:pPr>
        <w:jc w:val="center"/>
        <w:rPr>
          <w:rFonts w:eastAsia="Calibri" w:cs="Calibri"/>
          <w:color w:val="000000"/>
          <w:szCs w:val="20"/>
        </w:rPr>
      </w:pPr>
      <w:r w:rsidRPr="001524B1">
        <w:rPr>
          <w:rFonts w:eastAsia="Calibri" w:cs="Calibri"/>
          <w:color w:val="000000"/>
          <w:szCs w:val="20"/>
        </w:rPr>
        <w:t>V is the present value of the delayed reward</w:t>
      </w:r>
      <w:r>
        <w:rPr>
          <w:rFonts w:eastAsia="Calibri" w:cs="Calibri"/>
          <w:color w:val="000000"/>
          <w:szCs w:val="20"/>
        </w:rPr>
        <w:t>.</w:t>
      </w:r>
    </w:p>
    <w:p w14:paraId="6A4EB3A1" w14:textId="77777777" w:rsidR="004F48C7" w:rsidRPr="001524B1" w:rsidRDefault="004F48C7" w:rsidP="002D2AD8">
      <w:pPr>
        <w:jc w:val="center"/>
        <w:rPr>
          <w:rFonts w:eastAsia="Calibri" w:cs="Calibri"/>
          <w:color w:val="000000"/>
          <w:szCs w:val="20"/>
        </w:rPr>
      </w:pPr>
      <w:r w:rsidRPr="001524B1">
        <w:rPr>
          <w:rFonts w:eastAsia="Calibri" w:cs="Calibri"/>
          <w:color w:val="000000"/>
          <w:szCs w:val="20"/>
        </w:rPr>
        <w:t>A is the amount of the delayed reward</w:t>
      </w:r>
      <w:r>
        <w:rPr>
          <w:rFonts w:eastAsia="Calibri" w:cs="Calibri"/>
          <w:color w:val="000000"/>
          <w:szCs w:val="20"/>
        </w:rPr>
        <w:t>.</w:t>
      </w:r>
    </w:p>
    <w:p w14:paraId="684E0CDD" w14:textId="77777777" w:rsidR="004F48C7" w:rsidRPr="001524B1" w:rsidRDefault="004F48C7" w:rsidP="002D2AD8">
      <w:pPr>
        <w:jc w:val="center"/>
        <w:rPr>
          <w:rFonts w:eastAsia="Calibri" w:cs="Calibri"/>
          <w:color w:val="000000"/>
          <w:szCs w:val="20"/>
        </w:rPr>
      </w:pPr>
      <w:r w:rsidRPr="001524B1">
        <w:rPr>
          <w:rFonts w:eastAsia="Calibri" w:cs="Calibri"/>
          <w:color w:val="000000"/>
          <w:szCs w:val="20"/>
        </w:rPr>
        <w:t>D is the delay until the reward</w:t>
      </w:r>
      <w:r>
        <w:rPr>
          <w:rFonts w:eastAsia="Calibri" w:cs="Calibri"/>
          <w:color w:val="000000"/>
          <w:szCs w:val="20"/>
        </w:rPr>
        <w:t>.</w:t>
      </w:r>
    </w:p>
    <w:p w14:paraId="15507146" w14:textId="77777777" w:rsidR="004F48C7" w:rsidRDefault="004F48C7" w:rsidP="002D2AD8">
      <w:pPr>
        <w:jc w:val="center"/>
        <w:rPr>
          <w:rFonts w:eastAsia="Calibri" w:cs="Calibri"/>
          <w:color w:val="000000"/>
          <w:szCs w:val="20"/>
        </w:rPr>
      </w:pPr>
      <w:r w:rsidRPr="001524B1">
        <w:rPr>
          <w:rFonts w:eastAsia="Calibri" w:cs="Calibri"/>
          <w:color w:val="000000"/>
          <w:szCs w:val="20"/>
        </w:rPr>
        <w:t xml:space="preserve">k is the discounting rate (the parameter that describes the </w:t>
      </w:r>
      <w:r>
        <w:rPr>
          <w:rFonts w:eastAsia="Calibri" w:cs="Calibri"/>
          <w:color w:val="000000"/>
          <w:szCs w:val="20"/>
        </w:rPr>
        <w:t>individual's</w:t>
      </w:r>
      <w:r w:rsidRPr="001524B1">
        <w:rPr>
          <w:rFonts w:eastAsia="Calibri" w:cs="Calibri"/>
          <w:color w:val="000000"/>
          <w:szCs w:val="20"/>
        </w:rPr>
        <w:t xml:space="preserve"> degree of delay discounting)</w:t>
      </w:r>
    </w:p>
    <w:p w14:paraId="4A164EFD" w14:textId="77777777" w:rsidR="004F48C7" w:rsidRPr="009127D9" w:rsidRDefault="004F48C7" w:rsidP="002D2AD8">
      <w:pPr>
        <w:jc w:val="center"/>
        <w:rPr>
          <w:rFonts w:eastAsia="Calibri" w:cs="Calibri"/>
          <w:color w:val="000000"/>
          <w:szCs w:val="20"/>
        </w:rPr>
      </w:pPr>
    </w:p>
    <w:p w14:paraId="54E12177" w14:textId="77777777" w:rsidR="004F48C7" w:rsidRDefault="004F48C7" w:rsidP="001524B1">
      <w:pPr>
        <w:rPr>
          <w:rFonts w:eastAsia="Calibri" w:cs="Calibri"/>
          <w:color w:val="000000"/>
          <w:szCs w:val="20"/>
        </w:rPr>
      </w:pPr>
      <w:r w:rsidRPr="009127D9">
        <w:rPr>
          <w:rFonts w:eastAsia="Calibri" w:cs="Calibri"/>
          <w:color w:val="000000"/>
          <w:szCs w:val="20"/>
        </w:rPr>
        <w:t xml:space="preserve">For example, in the case of question 19, which offered participants a choice between </w:t>
      </w:r>
      <w:r>
        <w:rPr>
          <w:rFonts w:eastAsia="Calibri" w:cs="Calibri"/>
          <w:color w:val="000000"/>
          <w:szCs w:val="20"/>
        </w:rPr>
        <w:t>"£</w:t>
      </w:r>
      <w:r w:rsidRPr="009127D9">
        <w:rPr>
          <w:rFonts w:eastAsia="Calibri" w:cs="Calibri"/>
          <w:color w:val="000000"/>
          <w:szCs w:val="20"/>
        </w:rPr>
        <w:t xml:space="preserve">33 </w:t>
      </w:r>
      <w:r>
        <w:rPr>
          <w:rFonts w:eastAsia="Calibri" w:cs="Calibri"/>
          <w:color w:val="000000"/>
          <w:szCs w:val="20"/>
        </w:rPr>
        <w:t>Today"</w:t>
      </w:r>
      <w:r w:rsidRPr="009127D9">
        <w:rPr>
          <w:rFonts w:eastAsia="Calibri" w:cs="Calibri"/>
          <w:color w:val="000000"/>
          <w:szCs w:val="20"/>
        </w:rPr>
        <w:t xml:space="preserve"> and </w:t>
      </w:r>
      <w:r>
        <w:rPr>
          <w:rFonts w:eastAsia="Calibri" w:cs="Calibri"/>
          <w:color w:val="000000"/>
          <w:szCs w:val="20"/>
        </w:rPr>
        <w:t>"£</w:t>
      </w:r>
      <w:r w:rsidRPr="009127D9">
        <w:rPr>
          <w:rFonts w:eastAsia="Calibri" w:cs="Calibri"/>
          <w:color w:val="000000"/>
          <w:szCs w:val="20"/>
        </w:rPr>
        <w:t>80 in 14 days,</w:t>
      </w:r>
      <w:r>
        <w:rPr>
          <w:rFonts w:eastAsia="Calibri" w:cs="Calibri"/>
          <w:color w:val="000000"/>
          <w:szCs w:val="20"/>
        </w:rPr>
        <w:t>"</w:t>
      </w:r>
      <w:r w:rsidRPr="009127D9">
        <w:rPr>
          <w:rFonts w:eastAsia="Calibri" w:cs="Calibri"/>
          <w:color w:val="000000"/>
          <w:szCs w:val="20"/>
        </w:rPr>
        <w:t xml:space="preserve"> a participant with a discount rate of 0.10 would be indifferent between these two rewards. If the immediate reward was chosen in this trial, it was inferred that the </w:t>
      </w:r>
      <w:r>
        <w:rPr>
          <w:rFonts w:eastAsia="Calibri" w:cs="Calibri"/>
          <w:color w:val="000000"/>
          <w:szCs w:val="20"/>
        </w:rPr>
        <w:t>participant's</w:t>
      </w:r>
      <w:r w:rsidRPr="009127D9">
        <w:rPr>
          <w:rFonts w:eastAsia="Calibri" w:cs="Calibri"/>
          <w:color w:val="000000"/>
          <w:szCs w:val="20"/>
        </w:rPr>
        <w:t xml:space="preserve"> discount rate exceeded 0.10. Question 4 offered a choice between </w:t>
      </w:r>
      <w:r>
        <w:rPr>
          <w:rFonts w:eastAsia="Calibri" w:cs="Calibri"/>
          <w:color w:val="000000"/>
          <w:szCs w:val="20"/>
        </w:rPr>
        <w:t>"£</w:t>
      </w:r>
      <w:r w:rsidRPr="009127D9">
        <w:rPr>
          <w:rFonts w:eastAsia="Calibri" w:cs="Calibri"/>
          <w:color w:val="000000"/>
          <w:szCs w:val="20"/>
        </w:rPr>
        <w:t xml:space="preserve">31 </w:t>
      </w:r>
      <w:r>
        <w:rPr>
          <w:rFonts w:eastAsia="Calibri" w:cs="Calibri"/>
          <w:color w:val="000000"/>
          <w:szCs w:val="20"/>
        </w:rPr>
        <w:t>Today"</w:t>
      </w:r>
      <w:r w:rsidRPr="009127D9">
        <w:rPr>
          <w:rFonts w:eastAsia="Calibri" w:cs="Calibri"/>
          <w:color w:val="000000"/>
          <w:szCs w:val="20"/>
        </w:rPr>
        <w:t xml:space="preserve"> and </w:t>
      </w:r>
      <w:r>
        <w:rPr>
          <w:rFonts w:eastAsia="Calibri" w:cs="Calibri"/>
          <w:color w:val="000000"/>
          <w:szCs w:val="20"/>
        </w:rPr>
        <w:t>"£</w:t>
      </w:r>
      <w:r w:rsidRPr="009127D9">
        <w:rPr>
          <w:rFonts w:eastAsia="Calibri" w:cs="Calibri"/>
          <w:color w:val="000000"/>
          <w:szCs w:val="20"/>
        </w:rPr>
        <w:t>85 in 7 days.</w:t>
      </w:r>
      <w:r>
        <w:rPr>
          <w:rFonts w:eastAsia="Calibri" w:cs="Calibri"/>
          <w:color w:val="000000"/>
          <w:szCs w:val="20"/>
        </w:rPr>
        <w:t>"</w:t>
      </w:r>
      <w:r w:rsidRPr="009127D9">
        <w:rPr>
          <w:rFonts w:eastAsia="Calibri" w:cs="Calibri"/>
          <w:color w:val="000000"/>
          <w:szCs w:val="20"/>
        </w:rPr>
        <w:t xml:space="preserve"> Here, a participant with a discount rate of 0.25 would be indifferent. If the delayed reward was chosen in this instance, it was inferred that the </w:t>
      </w:r>
      <w:r>
        <w:rPr>
          <w:rFonts w:eastAsia="Calibri" w:cs="Calibri"/>
          <w:color w:val="000000"/>
          <w:szCs w:val="20"/>
        </w:rPr>
        <w:t>participant's</w:t>
      </w:r>
      <w:r w:rsidRPr="009127D9">
        <w:rPr>
          <w:rFonts w:eastAsia="Calibri" w:cs="Calibri"/>
          <w:color w:val="000000"/>
          <w:szCs w:val="20"/>
        </w:rPr>
        <w:t xml:space="preserve"> discount rate was less than 0.25. Taken together, this </w:t>
      </w:r>
      <w:r>
        <w:rPr>
          <w:rFonts w:eastAsia="Calibri" w:cs="Calibri"/>
          <w:color w:val="000000"/>
          <w:szCs w:val="20"/>
        </w:rPr>
        <w:t>person's</w:t>
      </w:r>
      <w:r w:rsidRPr="009127D9">
        <w:rPr>
          <w:rFonts w:eastAsia="Calibri" w:cs="Calibri"/>
          <w:color w:val="000000"/>
          <w:szCs w:val="20"/>
        </w:rPr>
        <w:t xml:space="preserve"> discount rate would be between 0.10 and 0.25, and the midpoint of this interval provided an estimate of the </w:t>
      </w:r>
      <w:r>
        <w:rPr>
          <w:rFonts w:eastAsia="Calibri" w:cs="Calibri"/>
          <w:color w:val="000000"/>
          <w:szCs w:val="20"/>
        </w:rPr>
        <w:t>person's</w:t>
      </w:r>
      <w:r w:rsidRPr="009127D9">
        <w:rPr>
          <w:rFonts w:eastAsia="Calibri" w:cs="Calibri"/>
          <w:color w:val="000000"/>
          <w:szCs w:val="20"/>
        </w:rPr>
        <w:t xml:space="preserve"> k value, calculated using the geometric mean to avoid underweighting the smaller of the two rate parameters. In this example, k was 0.16.</w:t>
      </w:r>
    </w:p>
    <w:p w14:paraId="5BCDBF1A" w14:textId="7F596EF3" w:rsidR="004F48C7" w:rsidRPr="00E94095" w:rsidRDefault="004F48C7" w:rsidP="007C2B10">
      <w:pPr>
        <w:rPr>
          <w:rFonts w:eastAsia="Calibri"/>
        </w:rPr>
      </w:pPr>
      <w:r w:rsidRPr="00E94095">
        <w:rPr>
          <w:rFonts w:eastAsia="Calibri"/>
        </w:rPr>
        <w:t xml:space="preserve">Figure </w:t>
      </w:r>
      <w:r w:rsidR="005E4029">
        <w:rPr>
          <w:rFonts w:eastAsia="Calibri"/>
        </w:rPr>
        <w:t>11</w:t>
      </w:r>
      <w:r w:rsidRPr="00E94095">
        <w:rPr>
          <w:rFonts w:eastAsia="Calibri"/>
        </w:rPr>
        <w:t>. The computerised Monetary Choice Questionnaire.</w:t>
      </w:r>
    </w:p>
    <w:p w14:paraId="7F291F5C" w14:textId="77777777" w:rsidR="004F48C7" w:rsidRDefault="004F48C7" w:rsidP="004F424A">
      <w:pPr>
        <w:jc w:val="center"/>
        <w:rPr>
          <w:rFonts w:ascii="Helvetica Neue" w:hAnsi="Helvetica Neue"/>
          <w:color w:val="2D2D2D"/>
          <w:sz w:val="19"/>
          <w:szCs w:val="19"/>
        </w:rPr>
      </w:pPr>
      <w:r>
        <w:rPr>
          <w:rFonts w:ascii="Helvetica Neue" w:hAnsi="Helvetica Neue"/>
          <w:noProof/>
          <w:color w:val="2D2D2D"/>
          <w:sz w:val="19"/>
          <w:szCs w:val="19"/>
        </w:rPr>
        <w:lastRenderedPageBreak/>
        <w:drawing>
          <wp:inline distT="0" distB="0" distL="0" distR="0" wp14:anchorId="04DF3703" wp14:editId="024E3055">
            <wp:extent cx="3320249" cy="2076325"/>
            <wp:effectExtent l="0" t="0" r="0" b="0"/>
            <wp:docPr id="693938680" name="Picture 4"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38680" name="Picture 4" descr="A picture containing text, screenshot, font, lin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354513" cy="2097752"/>
                    </a:xfrm>
                    <a:prstGeom prst="rect">
                      <a:avLst/>
                    </a:prstGeom>
                  </pic:spPr>
                </pic:pic>
              </a:graphicData>
            </a:graphic>
          </wp:inline>
        </w:drawing>
      </w:r>
    </w:p>
    <w:p w14:paraId="225196FE" w14:textId="77777777" w:rsidR="004F48C7" w:rsidRDefault="004F48C7" w:rsidP="00127FB4">
      <w:pPr>
        <w:rPr>
          <w:rFonts w:ascii="Helvetica Neue" w:hAnsi="Helvetica Neue"/>
          <w:color w:val="2D2D2D"/>
          <w:sz w:val="19"/>
          <w:szCs w:val="19"/>
        </w:rPr>
      </w:pPr>
    </w:p>
    <w:p w14:paraId="2F1A45CC" w14:textId="77777777" w:rsidR="004F48C7" w:rsidRPr="009127D9" w:rsidRDefault="004F48C7" w:rsidP="00134CB6">
      <w:pPr>
        <w:pBdr>
          <w:top w:val="nil"/>
          <w:left w:val="nil"/>
          <w:bottom w:val="nil"/>
          <w:right w:val="nil"/>
          <w:between w:val="nil"/>
        </w:pBdr>
        <w:rPr>
          <w:bCs/>
          <w:szCs w:val="20"/>
          <w:u w:val="single"/>
        </w:rPr>
      </w:pPr>
      <w:r w:rsidRPr="009127D9">
        <w:rPr>
          <w:bCs/>
          <w:color w:val="000000"/>
          <w:szCs w:val="20"/>
          <w:u w:val="single"/>
        </w:rPr>
        <w:t xml:space="preserve">Self-report measures: </w:t>
      </w:r>
    </w:p>
    <w:p w14:paraId="1DF46D71" w14:textId="6A022F66" w:rsidR="004F48C7" w:rsidRPr="004425C4" w:rsidRDefault="004F48C7" w:rsidP="00CB3BF5">
      <w:pPr>
        <w:spacing w:after="240"/>
        <w:rPr>
          <w:rFonts w:eastAsia="Calibri" w:cs="Calibri"/>
          <w:color w:val="000000"/>
          <w:szCs w:val="20"/>
        </w:rPr>
      </w:pPr>
      <w:r w:rsidRPr="009127D9">
        <w:rPr>
          <w:rFonts w:eastAsia="Calibri" w:cs="Calibri"/>
          <w:color w:val="000000"/>
          <w:szCs w:val="20"/>
        </w:rPr>
        <w:t xml:space="preserve">Demographic </w:t>
      </w:r>
      <w:r>
        <w:rPr>
          <w:rFonts w:eastAsia="Calibri" w:cs="Calibri"/>
          <w:color w:val="000000"/>
          <w:szCs w:val="20"/>
        </w:rPr>
        <w:t>and health</w:t>
      </w:r>
      <w:r w:rsidRPr="009127D9">
        <w:rPr>
          <w:rFonts w:eastAsia="Calibri" w:cs="Calibri"/>
          <w:color w:val="000000"/>
          <w:szCs w:val="20"/>
        </w:rPr>
        <w:t xml:space="preserve"> characterisation questionnaire: </w:t>
      </w:r>
      <w:r>
        <w:rPr>
          <w:rFonts w:eastAsia="Calibri" w:cs="Calibri"/>
          <w:color w:val="000000"/>
          <w:szCs w:val="20"/>
        </w:rPr>
        <w:t>The research team designed a questionnaire</w:t>
      </w:r>
      <w:r w:rsidRPr="009127D9">
        <w:rPr>
          <w:rFonts w:eastAsia="Calibri" w:cs="Calibri"/>
          <w:color w:val="000000"/>
          <w:szCs w:val="20"/>
        </w:rPr>
        <w:t xml:space="preserve"> to capture information on demographics and relevant information regarding any functional neurological symptoms the patient experiences</w:t>
      </w:r>
      <w:r w:rsidRPr="005D558F">
        <w:rPr>
          <w:rFonts w:eastAsia="Calibri" w:cs="Calibri"/>
          <w:color w:val="000000"/>
          <w:szCs w:val="20"/>
        </w:rPr>
        <w:t>. This included questions regarding the type and number of FNSD symptoms. Other self-report measures (provided</w:t>
      </w:r>
      <w:r>
        <w:rPr>
          <w:rFonts w:eastAsia="Calibri" w:cs="Calibri"/>
          <w:color w:val="000000"/>
          <w:szCs w:val="20"/>
        </w:rPr>
        <w:t xml:space="preserve"> and described in Appendix </w:t>
      </w:r>
      <w:r w:rsidR="00DB0C1B">
        <w:rPr>
          <w:rFonts w:eastAsia="Calibri" w:cs="Calibri"/>
          <w:color w:val="000000"/>
          <w:szCs w:val="20"/>
        </w:rPr>
        <w:t>A</w:t>
      </w:r>
      <w:r>
        <w:rPr>
          <w:rFonts w:eastAsia="Calibri" w:cs="Calibri"/>
          <w:color w:val="000000"/>
          <w:szCs w:val="20"/>
        </w:rPr>
        <w:t xml:space="preserve">) included Mood Zoom </w:t>
      </w:r>
      <w:sdt>
        <w:sdtPr>
          <w:rPr>
            <w:rFonts w:eastAsia="Calibri" w:cs="Calibri"/>
            <w:color w:val="000000"/>
            <w:szCs w:val="20"/>
          </w:rPr>
          <w:tag w:val="MENDELEY_CITATION_v3_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"/>
          <w:id w:val="1490832411"/>
          <w:placeholder>
            <w:docPart w:val="DB61AD8273F4254A984ACACBE62408BE"/>
          </w:placeholder>
        </w:sdtPr>
        <w:sdtContent>
          <w:r w:rsidR="00EC7CE1" w:rsidRPr="00EC7CE1">
            <w:rPr>
              <w:rFonts w:eastAsia="Calibri" w:cs="Calibri"/>
              <w:color w:val="000000"/>
              <w:szCs w:val="20"/>
            </w:rPr>
            <w:t>(</w:t>
          </w:r>
          <w:proofErr w:type="spellStart"/>
          <w:r w:rsidR="00EC7CE1" w:rsidRPr="00EC7CE1">
            <w:rPr>
              <w:rFonts w:eastAsia="Calibri" w:cs="Calibri"/>
              <w:color w:val="000000"/>
              <w:szCs w:val="20"/>
            </w:rPr>
            <w:t>Tsanas</w:t>
          </w:r>
          <w:proofErr w:type="spellEnd"/>
          <w:r w:rsidR="00EC7CE1" w:rsidRPr="00EC7CE1">
            <w:rPr>
              <w:rFonts w:eastAsia="Calibri" w:cs="Calibri"/>
              <w:color w:val="000000"/>
              <w:szCs w:val="20"/>
            </w:rPr>
            <w:t xml:space="preserve"> et al., 2016)</w:t>
          </w:r>
        </w:sdtContent>
      </w:sdt>
      <w:r>
        <w:rPr>
          <w:rFonts w:eastAsia="Calibri" w:cs="Calibri"/>
          <w:color w:val="000000"/>
          <w:szCs w:val="20"/>
        </w:rPr>
        <w:t xml:space="preserve">, </w:t>
      </w:r>
      <w:r w:rsidRPr="009127D9">
        <w:rPr>
          <w:rFonts w:eastAsia="Calibri" w:cs="Calibri"/>
          <w:color w:val="000000"/>
          <w:szCs w:val="20"/>
        </w:rPr>
        <w:t>The Generalised Anxiety Disorder 7-item scale (GAD-7</w:t>
      </w:r>
      <w:r>
        <w:rPr>
          <w:rFonts w:eastAsia="Calibri" w:cs="Calibri"/>
          <w:color w:val="000000"/>
          <w:szCs w:val="20"/>
        </w:rPr>
        <w:t xml:space="preserve">; </w:t>
      </w:r>
      <w:sdt>
        <w:sdtPr>
          <w:rPr>
            <w:rFonts w:eastAsia="Calibri" w:cs="Calibri"/>
            <w:color w:val="000000"/>
            <w:szCs w:val="20"/>
          </w:rPr>
          <w:tag w:val="MENDELEY_CITATION_v3_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"/>
          <w:id w:val="-842932699"/>
          <w:placeholder>
            <w:docPart w:val="DB61AD8273F4254A984ACACBE62408BE"/>
          </w:placeholder>
        </w:sdtPr>
        <w:sdtContent>
          <w:r w:rsidR="00EC7CE1" w:rsidRPr="00EC7CE1">
            <w:rPr>
              <w:rFonts w:eastAsia="Calibri" w:cs="Calibri"/>
              <w:color w:val="000000"/>
              <w:szCs w:val="20"/>
            </w:rPr>
            <w:t>Kroenke et al., 2010</w:t>
          </w:r>
        </w:sdtContent>
      </w:sdt>
      <w:r w:rsidRPr="009127D9">
        <w:rPr>
          <w:rFonts w:eastAsia="Calibri" w:cs="Calibri"/>
          <w:color w:val="000000"/>
          <w:szCs w:val="20"/>
        </w:rPr>
        <w:t>)</w:t>
      </w:r>
      <w:r>
        <w:rPr>
          <w:rFonts w:eastAsia="Calibri" w:cs="Calibri"/>
          <w:color w:val="000000"/>
          <w:szCs w:val="20"/>
        </w:rPr>
        <w:t xml:space="preserve">, </w:t>
      </w:r>
      <w:r w:rsidRPr="00AF5C37">
        <w:rPr>
          <w:rFonts w:eastAsia="Calibri" w:cs="Calibri"/>
          <w:color w:val="000000"/>
          <w:szCs w:val="20"/>
        </w:rPr>
        <w:t xml:space="preserve">Patient Health 9-item Questionnaire (PHQ-9; </w:t>
      </w:r>
      <w:sdt>
        <w:sdtPr>
          <w:rPr>
            <w:rFonts w:eastAsia="Calibri" w:cs="Calibri"/>
            <w:color w:val="000000"/>
            <w:szCs w:val="20"/>
          </w:rPr>
          <w:tag w:val="MENDELEY_CITATION_v3_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"/>
          <w:id w:val="-702473678"/>
          <w:placeholder>
            <w:docPart w:val="DB61AD8273F4254A984ACACBE62408BE"/>
          </w:placeholder>
        </w:sdtPr>
        <w:sdtContent>
          <w:r w:rsidR="00EC7CE1" w:rsidRPr="00EC7CE1">
            <w:rPr>
              <w:rFonts w:eastAsia="Calibri" w:cs="Calibri"/>
              <w:color w:val="000000"/>
              <w:szCs w:val="20"/>
            </w:rPr>
            <w:t>Kroenke et al., 2001</w:t>
          </w:r>
        </w:sdtContent>
      </w:sdt>
      <w:r>
        <w:rPr>
          <w:rFonts w:eastAsia="Calibri" w:cs="Calibri"/>
          <w:color w:val="000000"/>
          <w:szCs w:val="20"/>
        </w:rPr>
        <w:t xml:space="preserve">), </w:t>
      </w:r>
      <w:r w:rsidRPr="005D2071">
        <w:rPr>
          <w:rFonts w:eastAsia="Calibri" w:cs="Calibri"/>
          <w:color w:val="000000"/>
          <w:szCs w:val="20"/>
        </w:rPr>
        <w:t xml:space="preserve">Patient Health </w:t>
      </w:r>
      <w:r>
        <w:rPr>
          <w:rFonts w:eastAsia="Calibri" w:cs="Calibri"/>
          <w:color w:val="000000"/>
          <w:szCs w:val="20"/>
        </w:rPr>
        <w:t xml:space="preserve">15-item </w:t>
      </w:r>
      <w:r w:rsidRPr="005D2071">
        <w:rPr>
          <w:rFonts w:eastAsia="Calibri" w:cs="Calibri"/>
          <w:color w:val="000000"/>
          <w:szCs w:val="20"/>
        </w:rPr>
        <w:t>Questionnaire (PHQ-15</w:t>
      </w:r>
      <w:r>
        <w:rPr>
          <w:rFonts w:eastAsia="Calibri" w:cs="Calibri"/>
          <w:color w:val="000000"/>
          <w:szCs w:val="20"/>
        </w:rPr>
        <w:t xml:space="preserve">; </w:t>
      </w:r>
      <w:sdt>
        <w:sdtPr>
          <w:rPr>
            <w:rFonts w:eastAsia="Calibri" w:cs="Calibri"/>
            <w:color w:val="000000"/>
            <w:szCs w:val="20"/>
          </w:rPr>
          <w:tag w:val="MENDELEY_CITATION_v3_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"/>
          <w:id w:val="1794940377"/>
          <w:placeholder>
            <w:docPart w:val="DB61AD8273F4254A984ACACBE62408BE"/>
          </w:placeholder>
        </w:sdtPr>
        <w:sdtContent>
          <w:proofErr w:type="spellStart"/>
          <w:r w:rsidR="00EC7CE1" w:rsidRPr="00EC7CE1">
            <w:rPr>
              <w:rFonts w:eastAsia="Calibri" w:cs="Calibri"/>
              <w:color w:val="000000"/>
              <w:szCs w:val="20"/>
            </w:rPr>
            <w:t>Hinz</w:t>
          </w:r>
          <w:proofErr w:type="spellEnd"/>
          <w:r w:rsidR="00EC7CE1" w:rsidRPr="00EC7CE1">
            <w:rPr>
              <w:rFonts w:eastAsia="Calibri" w:cs="Calibri"/>
              <w:color w:val="000000"/>
              <w:szCs w:val="20"/>
            </w:rPr>
            <w:t xml:space="preserve"> et al., 2017; Kroenke et al., 2002</w:t>
          </w:r>
        </w:sdtContent>
      </w:sdt>
      <w:r w:rsidRPr="00284F00">
        <w:rPr>
          <w:rFonts w:eastAsia="Calibri" w:cs="Calibri"/>
          <w:color w:val="000000"/>
          <w:szCs w:val="20"/>
        </w:rPr>
        <w:t xml:space="preserve">), The Difficulties in Emotion </w:t>
      </w:r>
      <w:r w:rsidRPr="00893B19">
        <w:rPr>
          <w:rFonts w:eastAsia="Calibri" w:cs="Calibri"/>
          <w:color w:val="000000"/>
          <w:szCs w:val="20"/>
        </w:rPr>
        <w:t xml:space="preserve">Regulation Scale (DERS; </w:t>
      </w:r>
      <w:sdt>
        <w:sdtPr>
          <w:rPr>
            <w:rFonts w:eastAsia="Calibri" w:cs="Calibri"/>
            <w:color w:val="000000"/>
            <w:szCs w:val="20"/>
          </w:rPr>
          <w:tag w:val="MENDELEY_CITATION_v3_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"/>
          <w:id w:val="-1012758853"/>
          <w:placeholder>
            <w:docPart w:val="DB61AD8273F4254A984ACACBE62408BE"/>
          </w:placeholder>
        </w:sdtPr>
        <w:sdtContent>
          <w:r w:rsidR="00EC7CE1">
            <w:rPr>
              <w:rFonts w:eastAsia="Times New Roman"/>
            </w:rPr>
            <w:t>Gratz &amp; Roemer, 2004</w:t>
          </w:r>
        </w:sdtContent>
      </w:sdt>
      <w:r w:rsidRPr="00893B19">
        <w:rPr>
          <w:rFonts w:eastAsia="Calibri" w:cs="Calibri"/>
          <w:color w:val="000000"/>
          <w:szCs w:val="20"/>
        </w:rPr>
        <w:t xml:space="preserve">), The </w:t>
      </w:r>
      <w:proofErr w:type="spellStart"/>
      <w:r w:rsidRPr="00893B19">
        <w:rPr>
          <w:rFonts w:eastAsia="Calibri" w:cs="Calibri"/>
          <w:color w:val="000000"/>
          <w:szCs w:val="20"/>
        </w:rPr>
        <w:t>EuroQol</w:t>
      </w:r>
      <w:proofErr w:type="spellEnd"/>
      <w:r w:rsidRPr="00893B19">
        <w:rPr>
          <w:rFonts w:eastAsia="Calibri" w:cs="Calibri"/>
          <w:color w:val="000000"/>
          <w:szCs w:val="20"/>
        </w:rPr>
        <w:t xml:space="preserve"> 5-dimension 3-level Scale (EQ-5D-3L; </w:t>
      </w:r>
      <w:sdt>
        <w:sdtPr>
          <w:rPr>
            <w:rFonts w:eastAsia="Calibri" w:cs="Calibri"/>
            <w:color w:val="000000"/>
            <w:szCs w:val="20"/>
          </w:rPr>
          <w:tag w:val="MENDELEY_CITATION_v3_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"/>
          <w:id w:val="1801490388"/>
          <w:placeholder>
            <w:docPart w:val="DB61AD8273F4254A984ACACBE62408BE"/>
          </w:placeholder>
        </w:sdtPr>
        <w:sdtContent>
          <w:r w:rsidR="00EC7CE1" w:rsidRPr="00EC7CE1">
            <w:rPr>
              <w:rFonts w:eastAsia="Calibri" w:cs="Calibri"/>
              <w:color w:val="000000"/>
              <w:szCs w:val="20"/>
            </w:rPr>
            <w:t>(</w:t>
          </w:r>
          <w:proofErr w:type="spellStart"/>
          <w:r w:rsidR="00EC7CE1" w:rsidRPr="00EC7CE1">
            <w:rPr>
              <w:rFonts w:eastAsia="Calibri" w:cs="Calibri"/>
              <w:color w:val="000000"/>
              <w:szCs w:val="20"/>
            </w:rPr>
            <w:t>EuroQol</w:t>
          </w:r>
          <w:proofErr w:type="spellEnd"/>
          <w:r w:rsidR="00EC7CE1" w:rsidRPr="00EC7CE1">
            <w:rPr>
              <w:rFonts w:eastAsia="Calibri" w:cs="Calibri"/>
              <w:color w:val="000000"/>
              <w:szCs w:val="20"/>
            </w:rPr>
            <w:t>, 1990)</w:t>
          </w:r>
        </w:sdtContent>
      </w:sdt>
      <w:r w:rsidRPr="00893B19">
        <w:rPr>
          <w:rFonts w:eastAsia="Calibri" w:cs="Calibri"/>
          <w:color w:val="000000"/>
          <w:szCs w:val="20"/>
        </w:rPr>
        <w:t>, the</w:t>
      </w:r>
      <w:r>
        <w:rPr>
          <w:rFonts w:eastAsia="Calibri" w:cs="Calibri"/>
          <w:color w:val="000000"/>
          <w:szCs w:val="20"/>
        </w:rPr>
        <w:t xml:space="preserve"> Self-efficacy Assertiveness Social Support Scale </w:t>
      </w:r>
      <w:r w:rsidRPr="00893B19">
        <w:rPr>
          <w:rFonts w:eastAsia="Calibri" w:cs="Calibri"/>
          <w:color w:val="000000"/>
          <w:szCs w:val="20"/>
        </w:rPr>
        <w:t xml:space="preserve">(EASE; </w:t>
      </w:r>
      <w:sdt>
        <w:sdtPr>
          <w:rPr>
            <w:rFonts w:eastAsia="Calibri" w:cs="Calibri"/>
            <w:color w:val="000000"/>
            <w:szCs w:val="20"/>
          </w:rPr>
          <w:tag w:val="MENDELEY_CITATION_v3_eyJjaXRhdGlvbklEIjoiTUVOREVMRVlfQ0lUQVRJT05fMjFhNjMzNGYtNzY0Zi00NWFlLWE3OWUtNWY3NDRjOGIxNmE0IiwicHJvcGVydGllcyI6eyJub3RlSW5kZXgiOjB9LCJpc0VkaXRlZCI6ZmFsc2UsIm1hbnVhbE92ZXJyaWRlIjp7ImlzTWFudWFsbHlPdmVycmlkZGVuIjp0cnVlLCJjaXRlcHJvY1RleHQiOiIoTWljaGFlbGlzIGV0IGFsLiwgMjAxOSkiLCJtYW51YWxPdmVycmlkZVRleHQiOiJNaWNoYWVsaXMgZXQgYWwuLCAyMDE5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
          <w:id w:val="1933853161"/>
          <w:placeholder>
            <w:docPart w:val="DB61AD8273F4254A984ACACBE62408BE"/>
          </w:placeholder>
        </w:sdtPr>
        <w:sdtContent>
          <w:r w:rsidR="00EC7CE1" w:rsidRPr="00EC7CE1">
            <w:rPr>
              <w:rFonts w:eastAsia="Calibri" w:cs="Calibri"/>
              <w:color w:val="000000"/>
              <w:szCs w:val="20"/>
            </w:rPr>
            <w:t>Michaelis et al., 2019</w:t>
          </w:r>
        </w:sdtContent>
      </w:sdt>
      <w:r>
        <w:rPr>
          <w:rFonts w:eastAsia="Calibri" w:cs="Calibri"/>
          <w:color w:val="000000"/>
          <w:szCs w:val="20"/>
        </w:rPr>
        <w:t>)</w:t>
      </w:r>
      <w:r w:rsidRPr="00893B19">
        <w:rPr>
          <w:rFonts w:eastAsia="Calibri" w:cs="Calibri"/>
          <w:color w:val="000000"/>
          <w:szCs w:val="20"/>
        </w:rPr>
        <w:t>.</w:t>
      </w:r>
    </w:p>
    <w:p w14:paraId="451742B8" w14:textId="3184C0CD" w:rsidR="004F48C7" w:rsidRDefault="007D38F2" w:rsidP="004F74E8">
      <w:pPr>
        <w:pStyle w:val="Heading3"/>
      </w:pPr>
      <w:bookmarkStart w:id="167" w:name="_Toc137504779"/>
      <w:r>
        <w:t>5.</w:t>
      </w:r>
      <w:r w:rsidR="004F48C7">
        <w:t xml:space="preserve">2.6 </w:t>
      </w:r>
      <w:r w:rsidR="004F48C7" w:rsidRPr="00134CB6">
        <w:t>Analysis</w:t>
      </w:r>
      <w:bookmarkEnd w:id="167"/>
      <w:r w:rsidR="004F48C7">
        <w:t xml:space="preserve"> </w:t>
      </w:r>
    </w:p>
    <w:p w14:paraId="28676F4D" w14:textId="77777777" w:rsidR="004F48C7" w:rsidRPr="00E94095" w:rsidRDefault="004F48C7" w:rsidP="00C44E8B">
      <w:pPr>
        <w:rPr>
          <w:rFonts w:eastAsia="Calibri" w:cs="Calibri"/>
          <w:color w:val="000000"/>
          <w:szCs w:val="20"/>
        </w:rPr>
      </w:pPr>
      <w:r w:rsidRPr="00E94095">
        <w:rPr>
          <w:rFonts w:eastAsia="Calibri" w:cs="Calibri"/>
          <w:color w:val="000000"/>
          <w:szCs w:val="20"/>
        </w:rPr>
        <w:t>A mixed-measures design was used. The independent</w:t>
      </w:r>
      <w:r>
        <w:rPr>
          <w:rFonts w:eastAsia="Calibri" w:cs="Calibri"/>
          <w:color w:val="000000"/>
          <w:szCs w:val="20"/>
        </w:rPr>
        <w:t xml:space="preserve"> between-subjects</w:t>
      </w:r>
      <w:r w:rsidRPr="00E94095">
        <w:rPr>
          <w:rFonts w:eastAsia="Calibri" w:cs="Calibri"/>
          <w:color w:val="000000"/>
          <w:szCs w:val="20"/>
        </w:rPr>
        <w:t xml:space="preserve"> variable</w:t>
      </w:r>
      <w:r>
        <w:rPr>
          <w:rFonts w:eastAsia="Calibri" w:cs="Calibri"/>
          <w:color w:val="000000"/>
          <w:szCs w:val="20"/>
        </w:rPr>
        <w:t xml:space="preserve"> was</w:t>
      </w:r>
      <w:r w:rsidRPr="00E94095">
        <w:rPr>
          <w:rFonts w:eastAsia="Calibri" w:cs="Calibri"/>
          <w:color w:val="000000"/>
          <w:szCs w:val="20"/>
        </w:rPr>
        <w:t xml:space="preserve"> </w:t>
      </w:r>
      <w:r>
        <w:rPr>
          <w:rFonts w:eastAsia="Calibri" w:cs="Calibri"/>
          <w:color w:val="000000"/>
          <w:szCs w:val="20"/>
        </w:rPr>
        <w:t xml:space="preserve">the </w:t>
      </w:r>
      <w:r w:rsidRPr="00E94095">
        <w:rPr>
          <w:rFonts w:eastAsia="Calibri" w:cs="Calibri"/>
          <w:color w:val="000000"/>
          <w:szCs w:val="20"/>
        </w:rPr>
        <w:t>group</w:t>
      </w:r>
      <w:r>
        <w:rPr>
          <w:rFonts w:eastAsia="Calibri" w:cs="Calibri"/>
          <w:color w:val="000000"/>
          <w:szCs w:val="20"/>
        </w:rPr>
        <w:t xml:space="preserve"> </w:t>
      </w:r>
      <w:r w:rsidRPr="00E94095">
        <w:rPr>
          <w:rFonts w:eastAsia="Calibri" w:cs="Calibri"/>
          <w:color w:val="000000"/>
          <w:szCs w:val="20"/>
        </w:rPr>
        <w:t>(patient versus healthy control)</w:t>
      </w:r>
      <w:r>
        <w:rPr>
          <w:rFonts w:eastAsia="Calibri" w:cs="Calibri"/>
          <w:color w:val="000000"/>
          <w:szCs w:val="20"/>
        </w:rPr>
        <w:t xml:space="preserve"> for all measures and tasks. C</w:t>
      </w:r>
      <w:r w:rsidRPr="00C44E8B">
        <w:rPr>
          <w:rFonts w:eastAsia="Calibri" w:cs="Calibri"/>
          <w:color w:val="000000"/>
          <w:szCs w:val="20"/>
        </w:rPr>
        <w:t>ondition (control or experimental) and</w:t>
      </w:r>
      <w:r>
        <w:rPr>
          <w:rFonts w:eastAsia="Calibri" w:cs="Calibri"/>
          <w:color w:val="000000"/>
          <w:szCs w:val="20"/>
        </w:rPr>
        <w:t xml:space="preserve"> </w:t>
      </w:r>
      <w:r w:rsidRPr="00C44E8B">
        <w:rPr>
          <w:rFonts w:eastAsia="Calibri" w:cs="Calibri"/>
          <w:color w:val="000000"/>
          <w:szCs w:val="20"/>
        </w:rPr>
        <w:t>valence (positive or negative)</w:t>
      </w:r>
      <w:r>
        <w:rPr>
          <w:rFonts w:eastAsia="Calibri" w:cs="Calibri"/>
          <w:color w:val="000000"/>
          <w:szCs w:val="20"/>
        </w:rPr>
        <w:t xml:space="preserve"> were used as within-group variables in</w:t>
      </w:r>
      <w:r w:rsidRPr="00C44E8B">
        <w:rPr>
          <w:rFonts w:eastAsia="Calibri" w:cs="Calibri"/>
          <w:color w:val="000000"/>
          <w:szCs w:val="20"/>
        </w:rPr>
        <w:t xml:space="preserve"> the NAP task</w:t>
      </w:r>
      <w:r w:rsidRPr="00E94095">
        <w:rPr>
          <w:rFonts w:eastAsia="Calibri" w:cs="Calibri"/>
          <w:color w:val="000000"/>
          <w:szCs w:val="20"/>
        </w:rPr>
        <w:t xml:space="preserve">. </w:t>
      </w:r>
      <w:r w:rsidRPr="002245F3">
        <w:rPr>
          <w:rFonts w:eastAsia="Calibri" w:cs="Calibri"/>
          <w:color w:val="000000"/>
          <w:szCs w:val="20"/>
        </w:rPr>
        <w:t>The dependent variables were delay discounting rates, NAP effect indices and total scores on the self-</w:t>
      </w:r>
      <w:r w:rsidRPr="00453DB0">
        <w:rPr>
          <w:rFonts w:eastAsia="Calibri" w:cs="Calibri"/>
          <w:color w:val="000000"/>
          <w:szCs w:val="20"/>
        </w:rPr>
        <w:t>report questionnaire</w:t>
      </w:r>
      <w:r w:rsidRPr="002245F3">
        <w:rPr>
          <w:rFonts w:eastAsia="Calibri" w:cs="Calibri"/>
          <w:color w:val="000000"/>
          <w:szCs w:val="20"/>
        </w:rPr>
        <w:t>.</w:t>
      </w:r>
    </w:p>
    <w:p w14:paraId="2325AA60" w14:textId="170F3B62" w:rsidR="004F48C7" w:rsidRPr="00E94095" w:rsidRDefault="007D38F2" w:rsidP="00E94095">
      <w:pPr>
        <w:pStyle w:val="Heading3"/>
        <w:rPr>
          <w:szCs w:val="20"/>
        </w:rPr>
      </w:pPr>
      <w:bookmarkStart w:id="168" w:name="_Toc137504780"/>
      <w:r>
        <w:rPr>
          <w:szCs w:val="20"/>
        </w:rPr>
        <w:t>5.</w:t>
      </w:r>
      <w:r w:rsidR="004F48C7" w:rsidRPr="00E94095">
        <w:rPr>
          <w:szCs w:val="20"/>
        </w:rPr>
        <w:t>2.</w:t>
      </w:r>
      <w:r>
        <w:rPr>
          <w:szCs w:val="20"/>
        </w:rPr>
        <w:t>7</w:t>
      </w:r>
      <w:r w:rsidR="004F48C7" w:rsidRPr="00E94095">
        <w:rPr>
          <w:szCs w:val="20"/>
        </w:rPr>
        <w:t xml:space="preserve"> Data</w:t>
      </w:r>
      <w:bookmarkEnd w:id="168"/>
      <w:r w:rsidR="004F48C7" w:rsidRPr="00E94095">
        <w:rPr>
          <w:szCs w:val="20"/>
        </w:rPr>
        <w:t xml:space="preserve"> </w:t>
      </w:r>
    </w:p>
    <w:p w14:paraId="7705F0B3" w14:textId="77777777" w:rsidR="004F48C7" w:rsidRDefault="004F48C7" w:rsidP="00E94095">
      <w:pPr>
        <w:rPr>
          <w:rFonts w:eastAsia="Calibri" w:cs="Calibri"/>
          <w:color w:val="000000"/>
          <w:szCs w:val="20"/>
          <w:u w:val="single"/>
        </w:rPr>
      </w:pPr>
      <w:r>
        <w:rPr>
          <w:rFonts w:eastAsia="Calibri" w:cs="Calibri"/>
          <w:color w:val="000000"/>
          <w:szCs w:val="20"/>
          <w:u w:val="single"/>
        </w:rPr>
        <w:t xml:space="preserve">Questionnaire and </w:t>
      </w:r>
      <w:r w:rsidRPr="00E94095">
        <w:rPr>
          <w:rFonts w:eastAsia="Calibri" w:cs="Calibri"/>
          <w:color w:val="000000"/>
          <w:szCs w:val="20"/>
          <w:u w:val="single"/>
        </w:rPr>
        <w:t xml:space="preserve">Missing </w:t>
      </w:r>
      <w:r>
        <w:rPr>
          <w:rFonts w:eastAsia="Calibri" w:cs="Calibri"/>
          <w:color w:val="000000"/>
          <w:szCs w:val="20"/>
          <w:u w:val="single"/>
        </w:rPr>
        <w:t>D</w:t>
      </w:r>
      <w:r w:rsidRPr="00E94095">
        <w:rPr>
          <w:rFonts w:eastAsia="Calibri" w:cs="Calibri"/>
          <w:color w:val="000000"/>
          <w:szCs w:val="20"/>
          <w:u w:val="single"/>
        </w:rPr>
        <w:t>ata</w:t>
      </w:r>
    </w:p>
    <w:p w14:paraId="39EFFC56" w14:textId="77777777" w:rsidR="004F48C7" w:rsidRPr="00667283" w:rsidRDefault="004F48C7" w:rsidP="00E94095">
      <w:pPr>
        <w:rPr>
          <w:rFonts w:eastAsia="Calibri" w:cs="Calibri"/>
          <w:color w:val="000000"/>
          <w:szCs w:val="20"/>
        </w:rPr>
      </w:pPr>
      <w:r w:rsidRPr="00A06337">
        <w:rPr>
          <w:rFonts w:eastAsia="Calibri" w:cs="Calibri"/>
          <w:color w:val="000000"/>
          <w:szCs w:val="20"/>
        </w:rPr>
        <w:t xml:space="preserve">All questionnaire data </w:t>
      </w:r>
      <w:r>
        <w:rPr>
          <w:rFonts w:eastAsia="Calibri" w:cs="Calibri"/>
          <w:color w:val="000000"/>
          <w:szCs w:val="20"/>
        </w:rPr>
        <w:t>were</w:t>
      </w:r>
      <w:r w:rsidRPr="00A06337">
        <w:rPr>
          <w:rFonts w:eastAsia="Calibri" w:cs="Calibri"/>
          <w:color w:val="000000"/>
          <w:szCs w:val="20"/>
        </w:rPr>
        <w:t xml:space="preserve"> scored</w:t>
      </w:r>
      <w:r>
        <w:rPr>
          <w:rFonts w:eastAsia="Calibri" w:cs="Calibri"/>
          <w:color w:val="000000"/>
          <w:szCs w:val="20"/>
        </w:rPr>
        <w:t xml:space="preserve"> </w:t>
      </w:r>
      <w:r w:rsidRPr="00A06337">
        <w:rPr>
          <w:rFonts w:eastAsia="Calibri" w:cs="Calibri"/>
          <w:color w:val="000000"/>
          <w:szCs w:val="20"/>
        </w:rPr>
        <w:t>according to the instructions in the respective questionnaire scoring manuals.</w:t>
      </w:r>
      <w:r>
        <w:rPr>
          <w:rFonts w:eastAsia="Calibri" w:cs="Calibri"/>
          <w:color w:val="000000"/>
          <w:szCs w:val="20"/>
        </w:rPr>
        <w:t xml:space="preserve"> </w:t>
      </w:r>
      <w:r w:rsidRPr="00667283">
        <w:rPr>
          <w:rFonts w:eastAsia="Calibri" w:cs="Calibri"/>
          <w:color w:val="000000"/>
          <w:szCs w:val="20"/>
        </w:rPr>
        <w:t xml:space="preserve">The gorilla </w:t>
      </w:r>
      <w:r>
        <w:rPr>
          <w:rFonts w:eastAsia="Calibri" w:cs="Calibri"/>
          <w:color w:val="000000"/>
          <w:szCs w:val="20"/>
        </w:rPr>
        <w:t>experiment was configured to disallow continuation without completing all necessary fields. This means that no data were missing.</w:t>
      </w:r>
    </w:p>
    <w:p w14:paraId="46B04C14" w14:textId="77777777" w:rsidR="004F48C7" w:rsidRPr="00E94095" w:rsidRDefault="004F48C7" w:rsidP="00A06337">
      <w:pPr>
        <w:rPr>
          <w:rFonts w:eastAsia="Calibri" w:cs="Calibri"/>
          <w:color w:val="000000"/>
          <w:szCs w:val="20"/>
          <w:u w:val="single"/>
        </w:rPr>
      </w:pPr>
      <w:r w:rsidRPr="00E94095">
        <w:rPr>
          <w:rFonts w:eastAsia="Calibri" w:cs="Calibri"/>
          <w:color w:val="000000"/>
          <w:szCs w:val="20"/>
          <w:u w:val="single"/>
        </w:rPr>
        <w:lastRenderedPageBreak/>
        <w:t>Negative Affective Priming Task</w:t>
      </w:r>
    </w:p>
    <w:p w14:paraId="74637720" w14:textId="77777777" w:rsidR="004F48C7" w:rsidRDefault="004F48C7" w:rsidP="002245F3">
      <w:pPr>
        <w:spacing w:after="240"/>
        <w:rPr>
          <w:szCs w:val="20"/>
        </w:rPr>
      </w:pPr>
      <w:r>
        <w:rPr>
          <w:rFonts w:eastAsia="Calibri" w:cs="Calibri"/>
          <w:color w:val="000000"/>
          <w:szCs w:val="20"/>
        </w:rPr>
        <w:t xml:space="preserve">In the NAP task, </w:t>
      </w:r>
      <w:r w:rsidRPr="00A06337">
        <w:rPr>
          <w:rFonts w:eastAsia="Calibri" w:cs="Calibri"/>
          <w:color w:val="000000"/>
          <w:szCs w:val="20"/>
        </w:rPr>
        <w:t>accuracy rates</w:t>
      </w:r>
      <w:r>
        <w:rPr>
          <w:rFonts w:eastAsia="Calibri" w:cs="Calibri"/>
          <w:color w:val="000000"/>
          <w:szCs w:val="20"/>
        </w:rPr>
        <w:t xml:space="preserve"> (number and percentage correct) and r</w:t>
      </w:r>
      <w:r w:rsidRPr="00A06337">
        <w:rPr>
          <w:rFonts w:eastAsia="Calibri" w:cs="Calibri"/>
          <w:color w:val="000000"/>
          <w:szCs w:val="20"/>
        </w:rPr>
        <w:t xml:space="preserve">eaction time </w:t>
      </w:r>
      <w:r>
        <w:rPr>
          <w:rFonts w:eastAsia="Calibri" w:cs="Calibri"/>
          <w:color w:val="000000"/>
          <w:szCs w:val="20"/>
        </w:rPr>
        <w:t>to correctly answered trials</w:t>
      </w:r>
      <w:r w:rsidRPr="00A06337">
        <w:rPr>
          <w:rFonts w:eastAsia="Calibri" w:cs="Calibri"/>
          <w:color w:val="000000"/>
          <w:szCs w:val="20"/>
        </w:rPr>
        <w:t xml:space="preserve"> </w:t>
      </w:r>
      <w:r>
        <w:rPr>
          <w:rFonts w:eastAsia="Calibri" w:cs="Calibri"/>
          <w:color w:val="000000"/>
          <w:szCs w:val="20"/>
        </w:rPr>
        <w:t>were</w:t>
      </w:r>
      <w:r w:rsidRPr="00A06337">
        <w:rPr>
          <w:rFonts w:eastAsia="Calibri" w:cs="Calibri"/>
          <w:color w:val="000000"/>
          <w:szCs w:val="20"/>
        </w:rPr>
        <w:t xml:space="preserve"> measured for each trial. </w:t>
      </w:r>
      <w:r>
        <w:rPr>
          <w:szCs w:val="20"/>
        </w:rPr>
        <w:t>The</w:t>
      </w:r>
      <w:r w:rsidRPr="00C44E8B">
        <w:rPr>
          <w:szCs w:val="20"/>
        </w:rPr>
        <w:t xml:space="preserve"> difference between the </w:t>
      </w:r>
      <w:r>
        <w:rPr>
          <w:szCs w:val="20"/>
        </w:rPr>
        <w:t>reaction time (</w:t>
      </w:r>
      <w:r w:rsidRPr="00C44E8B">
        <w:rPr>
          <w:szCs w:val="20"/>
        </w:rPr>
        <w:t>RT</w:t>
      </w:r>
      <w:r>
        <w:rPr>
          <w:szCs w:val="20"/>
        </w:rPr>
        <w:t>)</w:t>
      </w:r>
      <w:r w:rsidRPr="00C44E8B">
        <w:rPr>
          <w:szCs w:val="20"/>
        </w:rPr>
        <w:t xml:space="preserve"> to the correctly answered probe trials of </w:t>
      </w:r>
      <w:r>
        <w:rPr>
          <w:szCs w:val="20"/>
        </w:rPr>
        <w:t>experimental</w:t>
      </w:r>
      <w:r w:rsidRPr="00C44E8B">
        <w:rPr>
          <w:szCs w:val="20"/>
        </w:rPr>
        <w:t xml:space="preserve"> and control conditions </w:t>
      </w:r>
      <w:r>
        <w:rPr>
          <w:szCs w:val="20"/>
        </w:rPr>
        <w:t>was calculated to analyse valence-dependent NAP effects. This was calculated</w:t>
      </w:r>
      <w:r w:rsidRPr="00C44E8B">
        <w:rPr>
          <w:szCs w:val="20"/>
        </w:rPr>
        <w:t xml:space="preserve"> for </w:t>
      </w:r>
      <w:r>
        <w:rPr>
          <w:szCs w:val="20"/>
        </w:rPr>
        <w:t xml:space="preserve">both </w:t>
      </w:r>
      <w:r w:rsidRPr="00C44E8B">
        <w:rPr>
          <w:szCs w:val="20"/>
        </w:rPr>
        <w:t xml:space="preserve">positive and negative </w:t>
      </w:r>
      <w:r>
        <w:rPr>
          <w:szCs w:val="20"/>
        </w:rPr>
        <w:t>targets using the following formula:</w:t>
      </w:r>
    </w:p>
    <w:p w14:paraId="26DDFAFE" w14:textId="77777777" w:rsidR="004F48C7" w:rsidRPr="00284F00" w:rsidRDefault="004F48C7" w:rsidP="002245F3">
      <w:pPr>
        <w:spacing w:after="240"/>
        <w:jc w:val="center"/>
        <w:rPr>
          <w:rFonts w:ascii="Cambria Math" w:hAnsi="Cambria Math"/>
          <w:i/>
          <w:iCs/>
          <w:sz w:val="22"/>
          <w:szCs w:val="22"/>
        </w:rPr>
      </w:pPr>
      <w:r>
        <w:rPr>
          <w:rFonts w:ascii="Cambria Math" w:hAnsi="Cambria Math"/>
          <w:i/>
          <w:iCs/>
          <w:sz w:val="22"/>
          <w:szCs w:val="22"/>
        </w:rPr>
        <w:t xml:space="preserve">Priming index = </w:t>
      </w:r>
      <w:r w:rsidRPr="00284F00">
        <w:rPr>
          <w:rFonts w:ascii="Cambria Math" w:hAnsi="Cambria Math"/>
          <w:i/>
          <w:iCs/>
          <w:sz w:val="22"/>
          <w:szCs w:val="22"/>
        </w:rPr>
        <w:t xml:space="preserve">RT </w:t>
      </w:r>
      <w:r>
        <w:rPr>
          <w:rFonts w:ascii="Cambria Math" w:hAnsi="Cambria Math"/>
          <w:i/>
          <w:iCs/>
          <w:sz w:val="22"/>
          <w:szCs w:val="22"/>
        </w:rPr>
        <w:t>experimental</w:t>
      </w:r>
      <w:r w:rsidRPr="00284F00">
        <w:rPr>
          <w:rFonts w:ascii="Cambria Math" w:hAnsi="Cambria Math"/>
          <w:i/>
          <w:iCs/>
          <w:sz w:val="22"/>
          <w:szCs w:val="22"/>
        </w:rPr>
        <w:t xml:space="preserve"> – RT </w:t>
      </w:r>
      <w:r>
        <w:rPr>
          <w:rFonts w:ascii="Cambria Math" w:hAnsi="Cambria Math"/>
          <w:i/>
          <w:iCs/>
          <w:sz w:val="22"/>
          <w:szCs w:val="22"/>
        </w:rPr>
        <w:t>controlled</w:t>
      </w:r>
    </w:p>
    <w:p w14:paraId="2CF29933" w14:textId="77777777" w:rsidR="004F48C7" w:rsidRDefault="004F48C7" w:rsidP="00284F00">
      <w:pPr>
        <w:rPr>
          <w:szCs w:val="20"/>
        </w:rPr>
      </w:pPr>
    </w:p>
    <w:p w14:paraId="71EBF278" w14:textId="15D36204" w:rsidR="004F48C7" w:rsidRPr="00C44E8B" w:rsidRDefault="004F48C7" w:rsidP="00667283">
      <w:pPr>
        <w:rPr>
          <w:szCs w:val="20"/>
        </w:rPr>
      </w:pPr>
      <w:r>
        <w:rPr>
          <w:szCs w:val="20"/>
        </w:rPr>
        <w:t xml:space="preserve">The calculations were guided by previous </w:t>
      </w:r>
      <w:r w:rsidRPr="00C44E8B">
        <w:rPr>
          <w:szCs w:val="20"/>
        </w:rPr>
        <w:t xml:space="preserve">NAP studies </w:t>
      </w:r>
      <w:sdt>
        <w:sdtPr>
          <w:rPr>
            <w:color w:val="000000"/>
            <w:szCs w:val="20"/>
          </w:rPr>
          <w:tag w:val="MENDELEY_CITATION_v3_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"/>
          <w:id w:val="-775950027"/>
          <w:placeholder>
            <w:docPart w:val="DB61AD8273F4254A984ACACBE62408BE"/>
          </w:placeholder>
        </w:sdtPr>
        <w:sdtContent>
          <w:r w:rsidR="00EC7CE1" w:rsidRPr="00EC7CE1">
            <w:rPr>
              <w:color w:val="000000"/>
              <w:szCs w:val="20"/>
            </w:rPr>
            <w:t>(</w:t>
          </w:r>
          <w:proofErr w:type="spellStart"/>
          <w:r w:rsidR="00EC7CE1" w:rsidRPr="00EC7CE1">
            <w:rPr>
              <w:color w:val="000000"/>
              <w:szCs w:val="20"/>
            </w:rPr>
            <w:t>Goeleven</w:t>
          </w:r>
          <w:proofErr w:type="spellEnd"/>
          <w:r w:rsidR="00EC7CE1" w:rsidRPr="00EC7CE1">
            <w:rPr>
              <w:color w:val="000000"/>
              <w:szCs w:val="20"/>
            </w:rPr>
            <w:t xml:space="preserve"> et al., 2006; </w:t>
          </w:r>
          <w:proofErr w:type="spellStart"/>
          <w:r w:rsidR="00EC7CE1" w:rsidRPr="00EC7CE1">
            <w:rPr>
              <w:color w:val="000000"/>
              <w:szCs w:val="20"/>
            </w:rPr>
            <w:t>Joormann</w:t>
          </w:r>
          <w:proofErr w:type="spellEnd"/>
          <w:r w:rsidR="00EC7CE1" w:rsidRPr="00EC7CE1">
            <w:rPr>
              <w:color w:val="000000"/>
              <w:szCs w:val="20"/>
            </w:rPr>
            <w:t>, 2010)</w:t>
          </w:r>
        </w:sdtContent>
      </w:sdt>
      <w:r>
        <w:rPr>
          <w:szCs w:val="20"/>
        </w:rPr>
        <w:t>.</w:t>
      </w:r>
      <w:r w:rsidRPr="00C44E8B">
        <w:rPr>
          <w:szCs w:val="20"/>
        </w:rPr>
        <w:t xml:space="preserve"> A positive value </w:t>
      </w:r>
      <w:r>
        <w:rPr>
          <w:szCs w:val="20"/>
        </w:rPr>
        <w:t>indicates that</w:t>
      </w:r>
      <w:r w:rsidRPr="00C44E8B">
        <w:rPr>
          <w:szCs w:val="20"/>
        </w:rPr>
        <w:t xml:space="preserve"> the response in the NAP probe trials </w:t>
      </w:r>
      <w:r>
        <w:rPr>
          <w:szCs w:val="20"/>
        </w:rPr>
        <w:t>wa</w:t>
      </w:r>
      <w:r w:rsidRPr="00C44E8B">
        <w:rPr>
          <w:szCs w:val="20"/>
        </w:rPr>
        <w:t>s delayed (NAP effect)</w:t>
      </w:r>
      <w:r>
        <w:rPr>
          <w:szCs w:val="20"/>
        </w:rPr>
        <w:t>. In contrast,</w:t>
      </w:r>
      <w:r w:rsidRPr="00C44E8B">
        <w:rPr>
          <w:szCs w:val="20"/>
        </w:rPr>
        <w:t xml:space="preserve"> a negative value </w:t>
      </w:r>
      <w:r>
        <w:rPr>
          <w:szCs w:val="20"/>
        </w:rPr>
        <w:t>reflects</w:t>
      </w:r>
      <w:r w:rsidRPr="00C44E8B">
        <w:rPr>
          <w:szCs w:val="20"/>
        </w:rPr>
        <w:t xml:space="preserve"> </w:t>
      </w:r>
      <w:r>
        <w:rPr>
          <w:szCs w:val="20"/>
        </w:rPr>
        <w:t xml:space="preserve">the </w:t>
      </w:r>
      <w:r w:rsidRPr="00C44E8B">
        <w:rPr>
          <w:szCs w:val="20"/>
        </w:rPr>
        <w:t>a</w:t>
      </w:r>
      <w:r>
        <w:rPr>
          <w:szCs w:val="20"/>
        </w:rPr>
        <w:t>bsence or reduction</w:t>
      </w:r>
      <w:r w:rsidRPr="00C44E8B">
        <w:rPr>
          <w:szCs w:val="20"/>
        </w:rPr>
        <w:t xml:space="preserve"> of the NAP effect. </w:t>
      </w:r>
    </w:p>
    <w:p w14:paraId="03C1E799" w14:textId="6A255C5B" w:rsidR="004F48C7" w:rsidRDefault="004F48C7" w:rsidP="002245F3">
      <w:pPr>
        <w:rPr>
          <w:szCs w:val="20"/>
        </w:rPr>
      </w:pPr>
      <w:r>
        <w:rPr>
          <w:szCs w:val="20"/>
        </w:rPr>
        <w:t xml:space="preserve">An interference index score for positive and negative distractors was calculated to </w:t>
      </w:r>
      <w:r w:rsidRPr="00CD78F0">
        <w:rPr>
          <w:szCs w:val="20"/>
        </w:rPr>
        <w:t>analyse whether NAP probe responses require a heightened inhibition effort compared to prime responses</w:t>
      </w:r>
      <w:r>
        <w:rPr>
          <w:szCs w:val="20"/>
        </w:rPr>
        <w:t xml:space="preserve">. This was </w:t>
      </w:r>
      <w:r w:rsidRPr="00CD78F0">
        <w:rPr>
          <w:szCs w:val="20"/>
        </w:rPr>
        <w:t>based on a previous study</w:t>
      </w:r>
      <w:r>
        <w:rPr>
          <w:szCs w:val="20"/>
        </w:rPr>
        <w:t xml:space="preserve"> by</w:t>
      </w:r>
      <w:r w:rsidRPr="00CD78F0">
        <w:rPr>
          <w:szCs w:val="20"/>
        </w:rPr>
        <w:t xml:space="preserve"> </w:t>
      </w:r>
      <w:sdt>
        <w:sdtPr>
          <w:rPr>
            <w:color w:val="000000"/>
            <w:szCs w:val="20"/>
          </w:rPr>
          <w:tag w:val="MENDELEY_CITATION_v3_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"/>
          <w:id w:val="1847512922"/>
          <w:placeholder>
            <w:docPart w:val="DB61AD8273F4254A984ACACBE62408BE"/>
          </w:placeholder>
        </w:sdtPr>
        <w:sdtContent>
          <w:proofErr w:type="spellStart"/>
          <w:r w:rsidR="00EC7CE1" w:rsidRPr="00EC7CE1">
            <w:rPr>
              <w:color w:val="000000"/>
              <w:szCs w:val="20"/>
            </w:rPr>
            <w:t>Falquez</w:t>
          </w:r>
          <w:proofErr w:type="spellEnd"/>
          <w:r w:rsidR="00EC7CE1" w:rsidRPr="00EC7CE1">
            <w:rPr>
              <w:color w:val="000000"/>
              <w:szCs w:val="20"/>
            </w:rPr>
            <w:t xml:space="preserve"> et al. (2016)</w:t>
          </w:r>
        </w:sdtContent>
      </w:sdt>
      <w:r w:rsidRPr="00CD78F0">
        <w:rPr>
          <w:szCs w:val="20"/>
        </w:rPr>
        <w:t>. The index was the difference between RT to NAP probes and NAP primes of the same valence, divided by the RT to NAP prime. The index was calculated separately for negative and positive targets</w:t>
      </w:r>
      <w:r>
        <w:rPr>
          <w:szCs w:val="20"/>
        </w:rPr>
        <w:t xml:space="preserve"> in the experimental conditions only</w:t>
      </w:r>
      <w:r w:rsidRPr="00CD78F0">
        <w:rPr>
          <w:szCs w:val="20"/>
        </w:rPr>
        <w:t xml:space="preserve">, </w:t>
      </w:r>
      <w:r>
        <w:rPr>
          <w:szCs w:val="20"/>
        </w:rPr>
        <w:t xml:space="preserve">using the following formula: </w:t>
      </w:r>
    </w:p>
    <w:p w14:paraId="40DE91C1" w14:textId="77777777" w:rsidR="004F48C7" w:rsidRPr="00284F00" w:rsidRDefault="004F48C7" w:rsidP="002245F3">
      <w:pPr>
        <w:spacing w:after="240"/>
      </w:pPr>
      <m:oMathPara>
        <m:oMath>
          <m:r>
            <w:rPr>
              <w:rFonts w:ascii="Cambria Math" w:hAnsi="Cambria Math" w:cs="Times New Roman (Body CS)"/>
              <w:sz w:val="22"/>
            </w:rPr>
            <m:t>Interference index=</m:t>
          </m:r>
          <m:f>
            <m:fPr>
              <m:ctrlPr>
                <w:rPr>
                  <w:rFonts w:ascii="Cambria Math" w:hAnsi="Cambria Math" w:cs="Times New Roman (Body CS)"/>
                  <w:sz w:val="22"/>
                </w:rPr>
              </m:ctrlPr>
            </m:fPr>
            <m:num>
              <m:r>
                <w:rPr>
                  <w:rFonts w:ascii="Cambria Math" w:hAnsi="Cambria Math" w:cs="Times New Roman (Body CS)"/>
                  <w:sz w:val="22"/>
                </w:rPr>
                <m:t>RT</m:t>
              </m:r>
              <m:r>
                <m:rPr>
                  <m:sty m:val="p"/>
                </m:rPr>
                <w:rPr>
                  <w:rFonts w:ascii="Cambria Math" w:hAnsi="Cambria Math" w:cs="Times New Roman (Body CS)"/>
                  <w:sz w:val="22"/>
                </w:rPr>
                <m:t xml:space="preserve"> </m:t>
              </m:r>
              <m:r>
                <w:rPr>
                  <w:rFonts w:ascii="Cambria Math" w:hAnsi="Cambria Math" w:cs="Times New Roman (Body CS)"/>
                  <w:sz w:val="22"/>
                </w:rPr>
                <m:t>probe</m:t>
              </m:r>
              <m:r>
                <m:rPr>
                  <m:sty m:val="p"/>
                </m:rPr>
                <w:rPr>
                  <w:rFonts w:ascii="Cambria Math" w:hAnsi="Cambria Math" w:cs="Times New Roman (Body CS)"/>
                  <w:sz w:val="22"/>
                </w:rPr>
                <m:t>-</m:t>
              </m:r>
              <m:r>
                <w:rPr>
                  <w:rFonts w:ascii="Cambria Math" w:hAnsi="Cambria Math" w:cs="Times New Roman (Body CS)"/>
                  <w:sz w:val="22"/>
                </w:rPr>
                <m:t>RT</m:t>
              </m:r>
              <m:r>
                <m:rPr>
                  <m:sty m:val="p"/>
                </m:rPr>
                <w:rPr>
                  <w:rFonts w:ascii="Cambria Math" w:hAnsi="Cambria Math" w:cs="Times New Roman (Body CS)"/>
                  <w:sz w:val="22"/>
                </w:rPr>
                <m:t xml:space="preserve"> </m:t>
              </m:r>
              <m:r>
                <w:rPr>
                  <w:rFonts w:ascii="Cambria Math" w:hAnsi="Cambria Math" w:cs="Times New Roman (Body CS)"/>
                  <w:sz w:val="22"/>
                </w:rPr>
                <m:t>prime</m:t>
              </m:r>
            </m:num>
            <m:den>
              <m:r>
                <w:rPr>
                  <w:rFonts w:ascii="Cambria Math" w:hAnsi="Cambria Math" w:cs="Times New Roman (Body CS)"/>
                  <w:sz w:val="22"/>
                </w:rPr>
                <m:t>RT</m:t>
              </m:r>
              <m:r>
                <m:rPr>
                  <m:sty m:val="p"/>
                </m:rPr>
                <w:rPr>
                  <w:rFonts w:ascii="Cambria Math" w:hAnsi="Cambria Math" w:cs="Times New Roman (Body CS)"/>
                  <w:sz w:val="22"/>
                </w:rPr>
                <m:t xml:space="preserve"> </m:t>
              </m:r>
              <m:r>
                <w:rPr>
                  <w:rFonts w:ascii="Cambria Math" w:hAnsi="Cambria Math" w:cs="Times New Roman (Body CS)"/>
                  <w:sz w:val="22"/>
                </w:rPr>
                <m:t>prime</m:t>
              </m:r>
            </m:den>
          </m:f>
        </m:oMath>
      </m:oMathPara>
    </w:p>
    <w:p w14:paraId="358A634B" w14:textId="77777777" w:rsidR="004F48C7" w:rsidRDefault="004F48C7" w:rsidP="00284F00">
      <w:pPr>
        <w:rPr>
          <w:szCs w:val="20"/>
        </w:rPr>
      </w:pPr>
    </w:p>
    <w:p w14:paraId="19100758" w14:textId="5B34DF89" w:rsidR="004F48C7" w:rsidRDefault="004F48C7" w:rsidP="00667283">
      <w:pPr>
        <w:rPr>
          <w:szCs w:val="20"/>
        </w:rPr>
      </w:pPr>
      <w:r>
        <w:rPr>
          <w:szCs w:val="20"/>
        </w:rPr>
        <w:t>A</w:t>
      </w:r>
      <w:r w:rsidRPr="00D0740C">
        <w:rPr>
          <w:szCs w:val="20"/>
        </w:rPr>
        <w:t xml:space="preserve"> positive value indicates that a greater inhibition effort was required for probes compared to primes, implying that responding to the probe was more difficult or cognitively demanding</w:t>
      </w:r>
      <w:r>
        <w:rPr>
          <w:szCs w:val="20"/>
        </w:rPr>
        <w:t>; lack of a difference or a negative value reflects a diminished interference effect</w:t>
      </w:r>
      <w:r w:rsidRPr="00D0740C">
        <w:rPr>
          <w:szCs w:val="20"/>
        </w:rPr>
        <w:t>.</w:t>
      </w:r>
      <w:r w:rsidRPr="00C44E8B">
        <w:rPr>
          <w:szCs w:val="20"/>
        </w:rPr>
        <w:t xml:space="preserve"> </w:t>
      </w:r>
      <w:r w:rsidRPr="00CD78F0">
        <w:rPr>
          <w:szCs w:val="20"/>
        </w:rPr>
        <w:t xml:space="preserve">This index was used to control for possible overall speed differences between participants </w:t>
      </w:r>
      <w:sdt>
        <w:sdtPr>
          <w:rPr>
            <w:color w:val="000000"/>
            <w:szCs w:val="20"/>
          </w:rPr>
          <w:tag w:val="MENDELEY_CITATION_v3_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"/>
          <w:id w:val="825480412"/>
          <w:placeholder>
            <w:docPart w:val="DB61AD8273F4254A984ACACBE62408BE"/>
          </w:placeholder>
        </w:sdtPr>
        <w:sdtContent>
          <w:r w:rsidR="00EC7CE1" w:rsidRPr="00EC7CE1">
            <w:rPr>
              <w:color w:val="000000"/>
              <w:szCs w:val="20"/>
            </w:rPr>
            <w:t>(</w:t>
          </w:r>
          <w:proofErr w:type="spellStart"/>
          <w:r w:rsidR="00EC7CE1" w:rsidRPr="00EC7CE1">
            <w:rPr>
              <w:color w:val="000000"/>
              <w:szCs w:val="20"/>
            </w:rPr>
            <w:t>Falquez</w:t>
          </w:r>
          <w:proofErr w:type="spellEnd"/>
          <w:r w:rsidR="00EC7CE1" w:rsidRPr="00EC7CE1">
            <w:rPr>
              <w:color w:val="000000"/>
              <w:szCs w:val="20"/>
            </w:rPr>
            <w:t xml:space="preserve"> et al., 2016)</w:t>
          </w:r>
        </w:sdtContent>
      </w:sdt>
      <w:r>
        <w:rPr>
          <w:color w:val="000000"/>
          <w:szCs w:val="20"/>
        </w:rPr>
        <w:t>.</w:t>
      </w:r>
      <w:r w:rsidRPr="00CD78F0">
        <w:rPr>
          <w:szCs w:val="20"/>
        </w:rPr>
        <w:t xml:space="preserve"> The interference index score was further analysed by running repeated-measures ANOVA comparing the NAP positive versus NAP negative interference indices, i.e., the inhibition effort of priming negative or positive distracter words.</w:t>
      </w:r>
      <w:r>
        <w:rPr>
          <w:szCs w:val="20"/>
        </w:rPr>
        <w:t xml:space="preserve"> </w:t>
      </w:r>
    </w:p>
    <w:p w14:paraId="59CC7FC8" w14:textId="4E37C109" w:rsidR="004F48C7" w:rsidRDefault="004F48C7" w:rsidP="00667283">
      <w:pPr>
        <w:rPr>
          <w:szCs w:val="20"/>
        </w:rPr>
      </w:pPr>
      <w:r w:rsidRPr="0057326D">
        <w:rPr>
          <w:szCs w:val="20"/>
        </w:rPr>
        <w:t xml:space="preserve">Following </w:t>
      </w:r>
      <w:r>
        <w:rPr>
          <w:szCs w:val="20"/>
        </w:rPr>
        <w:t xml:space="preserve">recommendations by </w:t>
      </w:r>
      <w:sdt>
        <w:sdtPr>
          <w:rPr>
            <w:color w:val="000000"/>
            <w:szCs w:val="20"/>
          </w:rPr>
          <w:tag w:val="MENDELEY_CITATION_v3_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"/>
          <w:id w:val="-249590328"/>
          <w:placeholder>
            <w:docPart w:val="DB61AD8273F4254A984ACACBE62408BE"/>
          </w:placeholder>
        </w:sdtPr>
        <w:sdtContent>
          <w:proofErr w:type="spellStart"/>
          <w:r w:rsidR="00EC7CE1" w:rsidRPr="00EC7CE1">
            <w:rPr>
              <w:color w:val="000000"/>
              <w:szCs w:val="20"/>
            </w:rPr>
            <w:t>Koppehele-Gossel</w:t>
          </w:r>
          <w:proofErr w:type="spellEnd"/>
          <w:r w:rsidR="00EC7CE1" w:rsidRPr="00EC7CE1">
            <w:rPr>
              <w:color w:val="000000"/>
              <w:szCs w:val="20"/>
            </w:rPr>
            <w:t xml:space="preserve"> et al. (2020)</w:t>
          </w:r>
        </w:sdtContent>
      </w:sdt>
      <w:r>
        <w:rPr>
          <w:szCs w:val="20"/>
        </w:rPr>
        <w:t>,</w:t>
      </w:r>
      <w:r w:rsidRPr="0057326D">
        <w:rPr>
          <w:szCs w:val="20"/>
        </w:rPr>
        <w:t xml:space="preserve"> </w:t>
      </w:r>
      <w:r>
        <w:rPr>
          <w:szCs w:val="20"/>
        </w:rPr>
        <w:t>a-priori cut-</w:t>
      </w:r>
      <w:r w:rsidRPr="0057326D">
        <w:rPr>
          <w:szCs w:val="20"/>
        </w:rPr>
        <w:t>offs of 300 milliseconds and 1</w:t>
      </w:r>
      <w:r>
        <w:rPr>
          <w:szCs w:val="20"/>
        </w:rPr>
        <w:t>,</w:t>
      </w:r>
      <w:r w:rsidRPr="0057326D">
        <w:rPr>
          <w:szCs w:val="20"/>
        </w:rPr>
        <w:t>000 milliseconds</w:t>
      </w:r>
      <w:r>
        <w:rPr>
          <w:szCs w:val="20"/>
        </w:rPr>
        <w:t xml:space="preserve"> w</w:t>
      </w:r>
      <w:r w:rsidRPr="0057326D">
        <w:rPr>
          <w:szCs w:val="20"/>
        </w:rPr>
        <w:t>ere used</w:t>
      </w:r>
      <w:r>
        <w:rPr>
          <w:szCs w:val="20"/>
        </w:rPr>
        <w:t xml:space="preserve"> t</w:t>
      </w:r>
      <w:r w:rsidRPr="0057326D">
        <w:rPr>
          <w:szCs w:val="20"/>
        </w:rPr>
        <w:t>o exclude</w:t>
      </w:r>
      <w:r>
        <w:rPr>
          <w:szCs w:val="20"/>
        </w:rPr>
        <w:t xml:space="preserve"> o</w:t>
      </w:r>
      <w:r w:rsidRPr="0057326D">
        <w:rPr>
          <w:szCs w:val="20"/>
        </w:rPr>
        <w:t>utlying reaction times</w:t>
      </w:r>
      <w:r>
        <w:rPr>
          <w:szCs w:val="20"/>
        </w:rPr>
        <w:t xml:space="preserve">, </w:t>
      </w:r>
      <w:r>
        <w:rPr>
          <w:szCs w:val="20"/>
        </w:rPr>
        <w:lastRenderedPageBreak/>
        <w:t>t</w:t>
      </w:r>
      <w:r w:rsidRPr="0057326D">
        <w:rPr>
          <w:szCs w:val="20"/>
        </w:rPr>
        <w:t xml:space="preserve">reating response times beyond these </w:t>
      </w:r>
      <w:r>
        <w:rPr>
          <w:szCs w:val="20"/>
        </w:rPr>
        <w:t>cut-offs</w:t>
      </w:r>
      <w:r w:rsidRPr="0057326D">
        <w:rPr>
          <w:szCs w:val="20"/>
        </w:rPr>
        <w:t xml:space="preserve"> </w:t>
      </w:r>
      <w:r>
        <w:rPr>
          <w:szCs w:val="20"/>
        </w:rPr>
        <w:t>and response times from incorrect responses as missing values.</w:t>
      </w:r>
    </w:p>
    <w:p w14:paraId="154EF174" w14:textId="77777777" w:rsidR="004F48C7" w:rsidRDefault="004F48C7" w:rsidP="003F590B">
      <w:pPr>
        <w:rPr>
          <w:rFonts w:eastAsia="Calibri" w:cs="Calibri"/>
          <w:color w:val="000000"/>
          <w:szCs w:val="20"/>
          <w:u w:val="single"/>
        </w:rPr>
      </w:pPr>
      <w:r>
        <w:rPr>
          <w:rFonts w:eastAsia="Calibri" w:cs="Calibri"/>
          <w:color w:val="000000"/>
          <w:szCs w:val="20"/>
          <w:u w:val="single"/>
        </w:rPr>
        <w:t>Delay Discounting</w:t>
      </w:r>
    </w:p>
    <w:p w14:paraId="1091A1CC" w14:textId="70E1568F" w:rsidR="004F48C7" w:rsidRPr="003F590B" w:rsidRDefault="004F48C7" w:rsidP="00954743">
      <w:pPr>
        <w:rPr>
          <w:szCs w:val="20"/>
        </w:rPr>
      </w:pPr>
      <w:r w:rsidRPr="003F590B">
        <w:rPr>
          <w:szCs w:val="20"/>
        </w:rPr>
        <w:t>Previous studies using both real</w:t>
      </w:r>
      <w:r>
        <w:rPr>
          <w:szCs w:val="20"/>
        </w:rPr>
        <w:t xml:space="preserve"> </w:t>
      </w:r>
      <w:r w:rsidRPr="003F590B">
        <w:rPr>
          <w:szCs w:val="20"/>
        </w:rPr>
        <w:t>and hypothetical rewards (e.g., </w:t>
      </w:r>
      <w:proofErr w:type="spellStart"/>
      <w:r>
        <w:fldChar w:fldCharType="begin"/>
      </w:r>
      <w:r>
        <w:instrText>HYPERLINK "https://ovidsp-dc2-ovid-com.sheffield.idm.oclc.org/ovid-b/ovidweb.cgi?QS2=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" \l "81"</w:instrText>
      </w:r>
      <w:r>
        <w:fldChar w:fldCharType="separate"/>
      </w:r>
      <w:r w:rsidRPr="00D92F11">
        <w:rPr>
          <w:szCs w:val="20"/>
        </w:rPr>
        <w:t>Benzion</w:t>
      </w:r>
      <w:proofErr w:type="spellEnd"/>
      <w:r w:rsidRPr="00D92F11">
        <w:rPr>
          <w:szCs w:val="20"/>
        </w:rPr>
        <w:t xml:space="preserve">, Rapoport, &amp; </w:t>
      </w:r>
      <w:proofErr w:type="spellStart"/>
      <w:r w:rsidRPr="00D92F11">
        <w:rPr>
          <w:szCs w:val="20"/>
        </w:rPr>
        <w:t>Yagil</w:t>
      </w:r>
      <w:proofErr w:type="spellEnd"/>
      <w:r w:rsidRPr="00D92F11">
        <w:rPr>
          <w:szCs w:val="20"/>
        </w:rPr>
        <w:t>, 1989</w:t>
      </w:r>
      <w:r>
        <w:rPr>
          <w:szCs w:val="20"/>
        </w:rPr>
        <w:fldChar w:fldCharType="end"/>
      </w:r>
      <w:r w:rsidRPr="003F590B">
        <w:rPr>
          <w:szCs w:val="20"/>
        </w:rPr>
        <w:t>; </w:t>
      </w:r>
      <w:hyperlink r:id="rId55" w:anchor="90" w:history="1">
        <w:r w:rsidRPr="00D92F11">
          <w:rPr>
            <w:szCs w:val="20"/>
          </w:rPr>
          <w:t>Green</w:t>
        </w:r>
        <w:r>
          <w:rPr>
            <w:szCs w:val="20"/>
          </w:rPr>
          <w:t xml:space="preserve"> et al.</w:t>
        </w:r>
        <w:r w:rsidRPr="00D92F11">
          <w:rPr>
            <w:szCs w:val="20"/>
          </w:rPr>
          <w:t>, 1994</w:t>
        </w:r>
      </w:hyperlink>
      <w:r w:rsidRPr="003F590B">
        <w:rPr>
          <w:szCs w:val="20"/>
        </w:rPr>
        <w:t>; </w:t>
      </w:r>
      <w:hyperlink r:id="rId56" w:anchor="91" w:history="1">
        <w:r w:rsidRPr="00D92F11">
          <w:rPr>
            <w:szCs w:val="20"/>
          </w:rPr>
          <w:t>Green, Fry, &amp; Myerson, 1994</w:t>
        </w:r>
      </w:hyperlink>
      <w:r w:rsidRPr="003F590B">
        <w:rPr>
          <w:szCs w:val="20"/>
        </w:rPr>
        <w:t>; </w:t>
      </w:r>
      <w:proofErr w:type="spellStart"/>
      <w:r>
        <w:fldChar w:fldCharType="begin"/>
      </w:r>
      <w:r>
        <w:instrText>HYPERLINK "https://ovidsp-dc2-ovid-com.sheffield.idm.oclc.org/ovid-b/ovidweb.cgi?QS2=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" \l "113"</w:instrText>
      </w:r>
      <w:r>
        <w:fldChar w:fldCharType="separate"/>
      </w:r>
      <w:r w:rsidRPr="00D92F11">
        <w:rPr>
          <w:szCs w:val="20"/>
        </w:rPr>
        <w:t>Raineri</w:t>
      </w:r>
      <w:proofErr w:type="spellEnd"/>
      <w:r w:rsidRPr="00D92F11">
        <w:rPr>
          <w:szCs w:val="20"/>
        </w:rPr>
        <w:t xml:space="preserve"> &amp; </w:t>
      </w:r>
      <w:proofErr w:type="spellStart"/>
      <w:r w:rsidRPr="00D92F11">
        <w:rPr>
          <w:szCs w:val="20"/>
        </w:rPr>
        <w:t>Rachlin</w:t>
      </w:r>
      <w:proofErr w:type="spellEnd"/>
      <w:r w:rsidRPr="00D92F11">
        <w:rPr>
          <w:szCs w:val="20"/>
        </w:rPr>
        <w:t>, 1993</w:t>
      </w:r>
      <w:r>
        <w:rPr>
          <w:szCs w:val="20"/>
        </w:rPr>
        <w:fldChar w:fldCharType="end"/>
      </w:r>
      <w:r>
        <w:rPr>
          <w:szCs w:val="20"/>
        </w:rPr>
        <w:t xml:space="preserve">; </w:t>
      </w:r>
      <w:sdt>
        <w:sdtPr>
          <w:rPr>
            <w:color w:val="000000"/>
            <w:szCs w:val="20"/>
          </w:rPr>
          <w:tag w:val="MENDELEY_CITATION_v3_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"/>
          <w:id w:val="-972979095"/>
          <w:placeholder>
            <w:docPart w:val="A2B5F277A7B82A49BD2767408FA88361"/>
          </w:placeholder>
        </w:sdtPr>
        <w:sdtContent>
          <w:r w:rsidR="00EC7CE1">
            <w:rPr>
              <w:rFonts w:eastAsia="Times New Roman"/>
            </w:rPr>
            <w:t xml:space="preserve">Kirby, 1997; Kirby &amp; </w:t>
          </w:r>
          <w:proofErr w:type="spellStart"/>
          <w:r w:rsidR="00EC7CE1">
            <w:rPr>
              <w:rFonts w:eastAsia="Times New Roman"/>
            </w:rPr>
            <w:t>Maraković</w:t>
          </w:r>
          <w:proofErr w:type="spellEnd"/>
          <w:r w:rsidR="00EC7CE1">
            <w:rPr>
              <w:rFonts w:eastAsia="Times New Roman"/>
            </w:rPr>
            <w:t>, 1995, 1996)</w:t>
          </w:r>
        </w:sdtContent>
      </w:sdt>
      <w:r>
        <w:rPr>
          <w:szCs w:val="20"/>
        </w:rPr>
        <w:t xml:space="preserve"> </w:t>
      </w:r>
      <w:r w:rsidRPr="003F590B">
        <w:rPr>
          <w:szCs w:val="20"/>
        </w:rPr>
        <w:t>have shown a magnitude effect on discount rates, with discount rates decreasing as reward amounts increase. This effect was examined in the study by grouping the delayed rewards used in the questionnaire into three reward sizes: small (</w:t>
      </w:r>
      <w:r>
        <w:rPr>
          <w:szCs w:val="20"/>
        </w:rPr>
        <w:t>£</w:t>
      </w:r>
      <w:r w:rsidRPr="003F590B">
        <w:rPr>
          <w:szCs w:val="20"/>
        </w:rPr>
        <w:t xml:space="preserve">25 to </w:t>
      </w:r>
      <w:r>
        <w:rPr>
          <w:szCs w:val="20"/>
        </w:rPr>
        <w:t>£</w:t>
      </w:r>
      <w:r w:rsidRPr="003F590B">
        <w:rPr>
          <w:szCs w:val="20"/>
        </w:rPr>
        <w:t>35), medium (</w:t>
      </w:r>
      <w:r>
        <w:rPr>
          <w:szCs w:val="20"/>
        </w:rPr>
        <w:t>£</w:t>
      </w:r>
      <w:r w:rsidRPr="003F590B">
        <w:rPr>
          <w:szCs w:val="20"/>
        </w:rPr>
        <w:t xml:space="preserve">50 to </w:t>
      </w:r>
      <w:r>
        <w:rPr>
          <w:szCs w:val="20"/>
        </w:rPr>
        <w:t>£</w:t>
      </w:r>
      <w:r w:rsidRPr="003F590B">
        <w:rPr>
          <w:szCs w:val="20"/>
        </w:rPr>
        <w:t>60), and large (</w:t>
      </w:r>
      <w:r>
        <w:rPr>
          <w:szCs w:val="20"/>
        </w:rPr>
        <w:t>£</w:t>
      </w:r>
      <w:r w:rsidRPr="003F590B">
        <w:rPr>
          <w:szCs w:val="20"/>
        </w:rPr>
        <w:t xml:space="preserve">75 to </w:t>
      </w:r>
      <w:r>
        <w:rPr>
          <w:szCs w:val="20"/>
        </w:rPr>
        <w:t>£</w:t>
      </w:r>
      <w:r w:rsidRPr="003F590B">
        <w:rPr>
          <w:szCs w:val="20"/>
        </w:rPr>
        <w:t xml:space="preserve">85). Each category included trials corresponding to each of the nine levels of impulsiveness. The discount rate estimation procedure was repeated for the </w:t>
      </w:r>
      <w:r>
        <w:rPr>
          <w:szCs w:val="20"/>
        </w:rPr>
        <w:t>nine</w:t>
      </w:r>
      <w:r w:rsidRPr="003F590B">
        <w:rPr>
          <w:szCs w:val="20"/>
        </w:rPr>
        <w:t xml:space="preserve"> trials within each reward-size category, </w:t>
      </w:r>
      <w:r>
        <w:rPr>
          <w:szCs w:val="20"/>
        </w:rPr>
        <w:t>assigning each participant</w:t>
      </w:r>
      <w:r w:rsidRPr="003F590B">
        <w:rPr>
          <w:szCs w:val="20"/>
        </w:rPr>
        <w:t xml:space="preserve"> </w:t>
      </w:r>
      <w:r>
        <w:rPr>
          <w:szCs w:val="20"/>
        </w:rPr>
        <w:t>a different</w:t>
      </w:r>
      <w:r w:rsidRPr="003F590B">
        <w:rPr>
          <w:szCs w:val="20"/>
        </w:rPr>
        <w:t xml:space="preserve"> k value for small, medium, and large delayed rewards.</w:t>
      </w:r>
    </w:p>
    <w:p w14:paraId="3DF8BA7E" w14:textId="77777777" w:rsidR="004F48C7" w:rsidRPr="003F590B" w:rsidRDefault="004F48C7" w:rsidP="003F590B">
      <w:pPr>
        <w:rPr>
          <w:szCs w:val="20"/>
        </w:rPr>
      </w:pPr>
      <w:r w:rsidRPr="003F590B">
        <w:rPr>
          <w:szCs w:val="20"/>
        </w:rPr>
        <w:t xml:space="preserve">This was done utilising </w:t>
      </w:r>
      <w:r>
        <w:rPr>
          <w:szCs w:val="20"/>
        </w:rPr>
        <w:t>a</w:t>
      </w:r>
      <w:r w:rsidRPr="003F590B">
        <w:rPr>
          <w:szCs w:val="20"/>
        </w:rPr>
        <w:t xml:space="preserve">n automated MCQ-27 calculator developed by Kaplan </w:t>
      </w:r>
      <w:r>
        <w:rPr>
          <w:szCs w:val="20"/>
        </w:rPr>
        <w:t>et al.</w:t>
      </w:r>
      <w:r w:rsidRPr="003F590B">
        <w:rPr>
          <w:szCs w:val="20"/>
        </w:rPr>
        <w:t xml:space="preserve"> (2014), </w:t>
      </w:r>
      <w:r>
        <w:rPr>
          <w:szCs w:val="20"/>
        </w:rPr>
        <w:t xml:space="preserve">which </w:t>
      </w:r>
      <w:r w:rsidRPr="003F590B">
        <w:rPr>
          <w:szCs w:val="20"/>
        </w:rPr>
        <w:t xml:space="preserve">was used to calculate several discount rates (overall k, small, medium, large, and composite k), log and natural log transformations of discount rates, consistency scores, were also obtained for each individual before computing the summary statistics for group comparisons. </w:t>
      </w:r>
      <w:r>
        <w:rPr>
          <w:szCs w:val="20"/>
        </w:rPr>
        <w:t>As f</w:t>
      </w:r>
      <w:r w:rsidRPr="0057326D">
        <w:rPr>
          <w:szCs w:val="20"/>
        </w:rPr>
        <w:t xml:space="preserve">or all analyses, the </w:t>
      </w:r>
      <w:r>
        <w:rPr>
          <w:szCs w:val="20"/>
        </w:rPr>
        <w:t>log-transformed</w:t>
      </w:r>
      <w:r w:rsidRPr="0057326D">
        <w:rPr>
          <w:szCs w:val="20"/>
        </w:rPr>
        <w:t xml:space="preserve"> variable was used</w:t>
      </w:r>
      <w:r>
        <w:rPr>
          <w:szCs w:val="20"/>
        </w:rPr>
        <w:t>.</w:t>
      </w:r>
    </w:p>
    <w:p w14:paraId="0A175423" w14:textId="679B45AF" w:rsidR="004F48C7" w:rsidRPr="00E94095" w:rsidRDefault="007D38F2" w:rsidP="00E94095">
      <w:pPr>
        <w:pStyle w:val="Heading3"/>
        <w:rPr>
          <w:szCs w:val="20"/>
        </w:rPr>
      </w:pPr>
      <w:bookmarkStart w:id="169" w:name="_Toc137504781"/>
      <w:r>
        <w:rPr>
          <w:szCs w:val="20"/>
        </w:rPr>
        <w:t>5.</w:t>
      </w:r>
      <w:r w:rsidR="004F48C7" w:rsidRPr="00E94095">
        <w:rPr>
          <w:szCs w:val="20"/>
        </w:rPr>
        <w:t>2.</w:t>
      </w:r>
      <w:r>
        <w:rPr>
          <w:szCs w:val="20"/>
        </w:rPr>
        <w:t xml:space="preserve">8 </w:t>
      </w:r>
      <w:r w:rsidR="004F48C7" w:rsidRPr="00E94095">
        <w:rPr>
          <w:szCs w:val="20"/>
        </w:rPr>
        <w:t>Statistical Analysis</w:t>
      </w:r>
      <w:bookmarkEnd w:id="169"/>
    </w:p>
    <w:p w14:paraId="3C036675" w14:textId="77777777" w:rsidR="004F48C7" w:rsidRPr="00A06337" w:rsidRDefault="004F48C7" w:rsidP="00E94095">
      <w:pPr>
        <w:rPr>
          <w:rFonts w:eastAsia="Calibri" w:cs="Calibri"/>
          <w:color w:val="000000"/>
          <w:szCs w:val="20"/>
        </w:rPr>
      </w:pPr>
      <w:r>
        <w:rPr>
          <w:rFonts w:eastAsia="Calibri" w:cs="Calibri"/>
          <w:color w:val="000000"/>
          <w:szCs w:val="20"/>
        </w:rPr>
        <w:t>D</w:t>
      </w:r>
      <w:r w:rsidRPr="00A06337">
        <w:rPr>
          <w:rFonts w:eastAsia="Calibri" w:cs="Calibri"/>
          <w:color w:val="000000"/>
          <w:szCs w:val="20"/>
        </w:rPr>
        <w:t>escriptive statistics for demographic and baseline health data and inferential statistics for examining relationships between variables and testing hypotheses related to delay discounting and negative attentional bias</w:t>
      </w:r>
      <w:r>
        <w:rPr>
          <w:rFonts w:eastAsia="Calibri" w:cs="Calibri"/>
          <w:color w:val="000000"/>
          <w:szCs w:val="20"/>
        </w:rPr>
        <w:t xml:space="preserve"> were conducted.</w:t>
      </w:r>
    </w:p>
    <w:p w14:paraId="697E62A1" w14:textId="77777777" w:rsidR="004F48C7" w:rsidRPr="00646E1E" w:rsidRDefault="004F48C7" w:rsidP="004425C4">
      <w:pPr>
        <w:rPr>
          <w:rFonts w:eastAsia="Calibri" w:cs="Calibri"/>
          <w:color w:val="000000"/>
          <w:szCs w:val="20"/>
        </w:rPr>
      </w:pPr>
      <w:r>
        <w:rPr>
          <w:rFonts w:eastAsia="Calibri" w:cs="Calibri"/>
          <w:color w:val="000000"/>
          <w:szCs w:val="20"/>
        </w:rPr>
        <w:t xml:space="preserve">Data were screened for normality </w:t>
      </w:r>
      <w:r w:rsidRPr="00646E1E">
        <w:rPr>
          <w:rFonts w:eastAsia="Calibri" w:cs="Calibri"/>
          <w:color w:val="000000"/>
          <w:szCs w:val="20"/>
        </w:rPr>
        <w:t xml:space="preserve">using the </w:t>
      </w:r>
      <w:r w:rsidRPr="005D558F">
        <w:rPr>
          <w:rFonts w:eastAsia="Calibri" w:cs="Calibri"/>
          <w:color w:val="000000"/>
          <w:szCs w:val="20"/>
        </w:rPr>
        <w:t>Kolmogorov-Smirnov test, p&gt;.05. Homogeneity</w:t>
      </w:r>
      <w:r w:rsidRPr="00646E1E">
        <w:rPr>
          <w:rFonts w:eastAsia="Calibri" w:cs="Calibri"/>
          <w:color w:val="000000"/>
          <w:szCs w:val="20"/>
        </w:rPr>
        <w:t xml:space="preserve"> of variance </w:t>
      </w:r>
      <w:r>
        <w:rPr>
          <w:rFonts w:eastAsia="Calibri" w:cs="Calibri"/>
          <w:color w:val="000000"/>
          <w:szCs w:val="20"/>
        </w:rPr>
        <w:t>w</w:t>
      </w:r>
      <w:r w:rsidRPr="00646E1E">
        <w:rPr>
          <w:rFonts w:eastAsia="Calibri" w:cs="Calibri"/>
          <w:color w:val="000000"/>
          <w:szCs w:val="20"/>
        </w:rPr>
        <w:t xml:space="preserve">as assessed by </w:t>
      </w:r>
      <w:proofErr w:type="spellStart"/>
      <w:r>
        <w:rPr>
          <w:rFonts w:eastAsia="Calibri" w:cs="Calibri"/>
          <w:color w:val="000000"/>
          <w:szCs w:val="20"/>
        </w:rPr>
        <w:t>Levene's</w:t>
      </w:r>
      <w:proofErr w:type="spellEnd"/>
      <w:r w:rsidRPr="00646E1E">
        <w:rPr>
          <w:rFonts w:eastAsia="Calibri" w:cs="Calibri"/>
          <w:color w:val="000000"/>
          <w:szCs w:val="20"/>
        </w:rPr>
        <w:t xml:space="preserve"> test of homogeneity of variances and covariance by </w:t>
      </w:r>
      <w:r>
        <w:rPr>
          <w:rFonts w:eastAsia="Calibri" w:cs="Calibri"/>
          <w:color w:val="000000"/>
          <w:szCs w:val="20"/>
        </w:rPr>
        <w:t>Box's</w:t>
      </w:r>
      <w:r w:rsidRPr="00646E1E">
        <w:rPr>
          <w:rFonts w:eastAsia="Calibri" w:cs="Calibri"/>
          <w:color w:val="000000"/>
          <w:szCs w:val="20"/>
        </w:rPr>
        <w:t xml:space="preserve"> M</w:t>
      </w:r>
      <w:r>
        <w:rPr>
          <w:rFonts w:eastAsia="Calibri" w:cs="Calibri"/>
          <w:color w:val="000000"/>
          <w:szCs w:val="20"/>
        </w:rPr>
        <w:t xml:space="preserve">. </w:t>
      </w:r>
      <w:r w:rsidRPr="00646E1E">
        <w:rPr>
          <w:rFonts w:eastAsia="Calibri" w:cs="Calibri"/>
          <w:color w:val="000000"/>
          <w:szCs w:val="20"/>
        </w:rPr>
        <w:t xml:space="preserve">The elevated risk of Type 1 errors associated with multiple comparisons </w:t>
      </w:r>
      <w:r>
        <w:rPr>
          <w:rFonts w:eastAsia="Calibri" w:cs="Calibri"/>
          <w:color w:val="000000"/>
          <w:szCs w:val="20"/>
        </w:rPr>
        <w:t>was</w:t>
      </w:r>
      <w:r w:rsidRPr="00646E1E">
        <w:rPr>
          <w:rFonts w:eastAsia="Calibri" w:cs="Calibri"/>
          <w:color w:val="000000"/>
          <w:szCs w:val="20"/>
        </w:rPr>
        <w:t xml:space="preserve"> controlled using the </w:t>
      </w:r>
      <w:proofErr w:type="spellStart"/>
      <w:r w:rsidRPr="00646E1E">
        <w:rPr>
          <w:rFonts w:eastAsia="Calibri" w:cs="Calibri"/>
          <w:color w:val="000000"/>
          <w:szCs w:val="20"/>
        </w:rPr>
        <w:t>Benjamini</w:t>
      </w:r>
      <w:proofErr w:type="spellEnd"/>
      <w:r w:rsidRPr="00646E1E">
        <w:rPr>
          <w:rFonts w:eastAsia="Calibri" w:cs="Calibri"/>
          <w:color w:val="000000"/>
          <w:szCs w:val="20"/>
        </w:rPr>
        <w:t>-Hochberg procedure and a False discovery rate (FDR) of 0.05.</w:t>
      </w:r>
    </w:p>
    <w:p w14:paraId="309AA94F" w14:textId="77777777" w:rsidR="004F48C7" w:rsidRPr="00167468" w:rsidRDefault="004F48C7" w:rsidP="00893B19">
      <w:pPr>
        <w:rPr>
          <w:rFonts w:eastAsia="Calibri" w:cs="Calibri"/>
          <w:color w:val="000000"/>
          <w:szCs w:val="20"/>
        </w:rPr>
      </w:pPr>
      <w:r>
        <w:rPr>
          <w:rFonts w:eastAsia="Calibri" w:cs="Calibri"/>
          <w:color w:val="000000"/>
          <w:szCs w:val="20"/>
        </w:rPr>
        <w:t xml:space="preserve">Two-sample t-tests and Mann-Whitney U tests were used for continuous data to compare groups. Chi-squared tests (Fisher's exact test where cells had less than five values) were used for categorical data. </w:t>
      </w:r>
      <w:r w:rsidRPr="005D558F">
        <w:rPr>
          <w:rFonts w:eastAsia="Calibri" w:cs="Calibri"/>
          <w:color w:val="000000"/>
          <w:szCs w:val="20"/>
        </w:rPr>
        <w:t>Repeated measures ANOVAs were used for within-group analysis</w:t>
      </w:r>
      <w:r>
        <w:rPr>
          <w:rFonts w:eastAsia="Calibri" w:cs="Calibri"/>
          <w:color w:val="000000"/>
          <w:szCs w:val="20"/>
        </w:rPr>
        <w:t xml:space="preserve">. </w:t>
      </w:r>
      <w:r w:rsidRPr="00167468">
        <w:rPr>
          <w:rFonts w:eastAsia="Calibri" w:cs="Calibri"/>
          <w:color w:val="000000"/>
          <w:szCs w:val="20"/>
        </w:rPr>
        <w:t xml:space="preserve">For the NAP task, condition (control vs experimental) and </w:t>
      </w:r>
      <w:r w:rsidRPr="00167468">
        <w:rPr>
          <w:rFonts w:eastAsia="Calibri" w:cs="Calibri"/>
          <w:color w:val="000000"/>
          <w:szCs w:val="20"/>
        </w:rPr>
        <w:lastRenderedPageBreak/>
        <w:t xml:space="preserve">valence (positive vs negative) </w:t>
      </w:r>
      <w:r>
        <w:rPr>
          <w:rFonts w:eastAsia="Calibri" w:cs="Calibri"/>
          <w:color w:val="000000"/>
          <w:szCs w:val="20"/>
        </w:rPr>
        <w:t xml:space="preserve">were used as within-group variables for effects </w:t>
      </w:r>
      <w:r w:rsidRPr="00167468">
        <w:rPr>
          <w:rFonts w:eastAsia="Calibri" w:cs="Calibri"/>
          <w:color w:val="000000"/>
          <w:szCs w:val="20"/>
        </w:rPr>
        <w:t>on the accuracy</w:t>
      </w:r>
      <w:r>
        <w:rPr>
          <w:rFonts w:eastAsia="Calibri" w:cs="Calibri"/>
          <w:color w:val="000000"/>
          <w:szCs w:val="20"/>
        </w:rPr>
        <w:t xml:space="preserve">, </w:t>
      </w:r>
      <w:r w:rsidRPr="00167468">
        <w:rPr>
          <w:rFonts w:eastAsia="Calibri" w:cs="Calibri"/>
          <w:color w:val="000000"/>
          <w:szCs w:val="20"/>
        </w:rPr>
        <w:t>reaction times</w:t>
      </w:r>
      <w:r>
        <w:rPr>
          <w:rFonts w:eastAsia="Calibri" w:cs="Calibri"/>
          <w:color w:val="000000"/>
          <w:szCs w:val="20"/>
        </w:rPr>
        <w:t xml:space="preserve"> and NP/interference effect.</w:t>
      </w:r>
    </w:p>
    <w:p w14:paraId="385E07FA" w14:textId="77777777" w:rsidR="004F48C7" w:rsidRDefault="004F48C7" w:rsidP="00485324">
      <w:pPr>
        <w:rPr>
          <w:szCs w:val="20"/>
        </w:rPr>
      </w:pPr>
      <w:r w:rsidRPr="00646E1E">
        <w:rPr>
          <w:szCs w:val="20"/>
        </w:rPr>
        <w:t>Exploratory correlation analyses examine</w:t>
      </w:r>
      <w:r>
        <w:rPr>
          <w:szCs w:val="20"/>
        </w:rPr>
        <w:t>d</w:t>
      </w:r>
      <w:r w:rsidRPr="00646E1E">
        <w:rPr>
          <w:szCs w:val="20"/>
        </w:rPr>
        <w:t xml:space="preserve"> relationships between</w:t>
      </w:r>
      <w:r>
        <w:rPr>
          <w:szCs w:val="20"/>
        </w:rPr>
        <w:t xml:space="preserve"> the objective</w:t>
      </w:r>
      <w:r w:rsidRPr="00646E1E">
        <w:rPr>
          <w:szCs w:val="20"/>
        </w:rPr>
        <w:t xml:space="preserve"> cognitive testing (DD </w:t>
      </w:r>
      <w:r>
        <w:rPr>
          <w:szCs w:val="20"/>
        </w:rPr>
        <w:t>estimates</w:t>
      </w:r>
      <w:r w:rsidRPr="00646E1E">
        <w:rPr>
          <w:szCs w:val="20"/>
        </w:rPr>
        <w:t xml:space="preserve"> and NAP indices) and </w:t>
      </w:r>
      <w:r>
        <w:rPr>
          <w:szCs w:val="20"/>
        </w:rPr>
        <w:t xml:space="preserve">subjective </w:t>
      </w:r>
      <w:r w:rsidRPr="00646E1E">
        <w:rPr>
          <w:szCs w:val="20"/>
        </w:rPr>
        <w:t xml:space="preserve">self-report questionnaire data. Pearson or </w:t>
      </w:r>
      <w:r>
        <w:rPr>
          <w:szCs w:val="20"/>
        </w:rPr>
        <w:t>Spearman's</w:t>
      </w:r>
      <w:r w:rsidRPr="00646E1E">
        <w:rPr>
          <w:szCs w:val="20"/>
        </w:rPr>
        <w:t xml:space="preserve"> correlation coefficients were used as appropriate, with </w:t>
      </w:r>
      <w:r>
        <w:rPr>
          <w:szCs w:val="20"/>
        </w:rPr>
        <w:t xml:space="preserve">the </w:t>
      </w:r>
      <w:r w:rsidRPr="00646E1E">
        <w:rPr>
          <w:szCs w:val="20"/>
        </w:rPr>
        <w:t xml:space="preserve">strength of association interpreted using standard cut-off values: 0.10-0.39 indicated a weak correlation, 0.40-0.69 a moderate correlation, and &gt;0.70 a strong correlation (Schober, Boer, &amp; </w:t>
      </w:r>
      <w:proofErr w:type="spellStart"/>
      <w:r w:rsidRPr="00646E1E">
        <w:rPr>
          <w:szCs w:val="20"/>
        </w:rPr>
        <w:t>Schwarte</w:t>
      </w:r>
      <w:proofErr w:type="spellEnd"/>
      <w:r w:rsidRPr="00646E1E">
        <w:rPr>
          <w:szCs w:val="20"/>
        </w:rPr>
        <w:t>, 2018).</w:t>
      </w:r>
    </w:p>
    <w:p w14:paraId="59C77A04" w14:textId="6E98AEAD" w:rsidR="004F48C7" w:rsidRPr="00A908D0" w:rsidRDefault="00A0091D" w:rsidP="00A908D0">
      <w:pPr>
        <w:shd w:val="clear" w:color="auto" w:fill="FFFFFF"/>
        <w:rPr>
          <w:szCs w:val="20"/>
        </w:rPr>
      </w:pPr>
      <w:r>
        <w:rPr>
          <w:szCs w:val="20"/>
        </w:rPr>
        <w:t>Multiple</w:t>
      </w:r>
      <w:r w:rsidR="004F48C7">
        <w:rPr>
          <w:szCs w:val="20"/>
        </w:rPr>
        <w:t xml:space="preserve"> </w:t>
      </w:r>
      <w:r w:rsidR="004F48C7" w:rsidRPr="00537BE7">
        <w:rPr>
          <w:szCs w:val="20"/>
        </w:rPr>
        <w:t xml:space="preserve">Linear Regression Models were used to examine </w:t>
      </w:r>
      <w:r w:rsidR="004F48C7">
        <w:rPr>
          <w:szCs w:val="20"/>
        </w:rPr>
        <w:t>demographic,</w:t>
      </w:r>
      <w:r w:rsidR="004F48C7" w:rsidRPr="00537BE7">
        <w:rPr>
          <w:szCs w:val="20"/>
        </w:rPr>
        <w:t xml:space="preserve"> clinical, psychopathological, and health </w:t>
      </w:r>
      <w:r w:rsidR="004F48C7">
        <w:rPr>
          <w:szCs w:val="20"/>
        </w:rPr>
        <w:t xml:space="preserve">indicators of </w:t>
      </w:r>
      <w:r w:rsidR="004F48C7" w:rsidRPr="00537BE7">
        <w:rPr>
          <w:szCs w:val="20"/>
        </w:rPr>
        <w:t xml:space="preserve">affective cognition estimates, namely, </w:t>
      </w:r>
      <w:r w:rsidR="004F48C7">
        <w:rPr>
          <w:szCs w:val="20"/>
        </w:rPr>
        <w:t xml:space="preserve">the </w:t>
      </w:r>
      <w:r w:rsidR="004F48C7" w:rsidRPr="00537BE7">
        <w:rPr>
          <w:szCs w:val="20"/>
        </w:rPr>
        <w:t>NAP indices and discounting rates</w:t>
      </w:r>
      <w:r>
        <w:rPr>
          <w:szCs w:val="20"/>
        </w:rPr>
        <w:t xml:space="preserve"> in FNSD patients</w:t>
      </w:r>
      <w:r w:rsidR="004F48C7">
        <w:rPr>
          <w:szCs w:val="20"/>
        </w:rPr>
        <w:t xml:space="preserve">. </w:t>
      </w:r>
      <w:r w:rsidR="004F48C7" w:rsidRPr="00537BE7">
        <w:rPr>
          <w:szCs w:val="20"/>
        </w:rPr>
        <w:t xml:space="preserve">These </w:t>
      </w:r>
      <w:r w:rsidR="004F48C7">
        <w:rPr>
          <w:szCs w:val="20"/>
        </w:rPr>
        <w:t>predictor</w:t>
      </w:r>
      <w:r w:rsidR="004F48C7" w:rsidRPr="00537BE7">
        <w:rPr>
          <w:szCs w:val="20"/>
        </w:rPr>
        <w:t xml:space="preserve"> variables included </w:t>
      </w:r>
      <w:r w:rsidR="004F48C7">
        <w:rPr>
          <w:szCs w:val="20"/>
        </w:rPr>
        <w:t xml:space="preserve">any of the </w:t>
      </w:r>
      <w:r w:rsidR="004F48C7" w:rsidRPr="00537BE7">
        <w:rPr>
          <w:szCs w:val="20"/>
        </w:rPr>
        <w:t>DERS, generali</w:t>
      </w:r>
      <w:r w:rsidR="004F48C7">
        <w:rPr>
          <w:szCs w:val="20"/>
        </w:rPr>
        <w:t>se</w:t>
      </w:r>
      <w:r w:rsidR="004F48C7" w:rsidRPr="00537BE7">
        <w:rPr>
          <w:szCs w:val="20"/>
        </w:rPr>
        <w:t>d anxiety, depression, QOL, and somatic symptom severity</w:t>
      </w:r>
      <w:r w:rsidR="004F48C7">
        <w:rPr>
          <w:szCs w:val="20"/>
        </w:rPr>
        <w:t xml:space="preserve"> score that was found to correlate in the exploratory correlation analysis</w:t>
      </w:r>
      <w:r w:rsidR="00D57B2F">
        <w:rPr>
          <w:szCs w:val="20"/>
        </w:rPr>
        <w:t>;</w:t>
      </w:r>
      <w:r w:rsidR="004F48C7">
        <w:rPr>
          <w:szCs w:val="20"/>
        </w:rPr>
        <w:t xml:space="preserve"> demographic variables of gender, socioeconomic status, and current mood found to moderate delay discounting in the literature </w:t>
      </w:r>
      <w:sdt>
        <w:sdtPr>
          <w:rPr>
            <w:color w:val="000000"/>
            <w:szCs w:val="20"/>
          </w:rPr>
          <w:tag w:val="MENDELEY_CITATION_v3_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"/>
          <w:id w:val="2099284801"/>
          <w:placeholder>
            <w:docPart w:val="DB61AD8273F4254A984ACACBE62408BE"/>
          </w:placeholder>
        </w:sdtPr>
        <w:sdtContent>
          <w:r w:rsidR="00EC7CE1" w:rsidRPr="00EC7CE1">
            <w:rPr>
              <w:color w:val="000000"/>
              <w:szCs w:val="20"/>
            </w:rPr>
            <w:t>(</w:t>
          </w:r>
          <w:proofErr w:type="spellStart"/>
          <w:r w:rsidR="00EC7CE1" w:rsidRPr="00EC7CE1">
            <w:rPr>
              <w:color w:val="000000"/>
              <w:szCs w:val="20"/>
            </w:rPr>
            <w:t>Malesza</w:t>
          </w:r>
          <w:proofErr w:type="spellEnd"/>
          <w:r w:rsidR="00EC7CE1" w:rsidRPr="00EC7CE1">
            <w:rPr>
              <w:color w:val="000000"/>
              <w:szCs w:val="20"/>
            </w:rPr>
            <w:t>, 2019a)</w:t>
          </w:r>
        </w:sdtContent>
      </w:sdt>
      <w:r w:rsidR="00D57B2F">
        <w:rPr>
          <w:color w:val="000000"/>
          <w:szCs w:val="20"/>
        </w:rPr>
        <w:t>; and other demographic or clinical variables to obtain a good model fit</w:t>
      </w:r>
      <w:r w:rsidR="004F48C7" w:rsidRPr="00537BE7">
        <w:rPr>
          <w:szCs w:val="20"/>
        </w:rPr>
        <w:t>. The models were implemented separately for each group: Functional Neurological Symptom Disorder (FNSD) patients and healthy controls</w:t>
      </w:r>
      <w:r w:rsidR="004F48C7">
        <w:rPr>
          <w:szCs w:val="20"/>
        </w:rPr>
        <w:t>, allowing the identification of</w:t>
      </w:r>
      <w:r w:rsidR="004F48C7" w:rsidRPr="00537BE7">
        <w:rPr>
          <w:szCs w:val="20"/>
        </w:rPr>
        <w:t xml:space="preserve"> unique predictors within each group. The models were evaluated based on the Akaike Information Criterion (AIC) and checked for overdispersion. The analysis was performed using the GLM function in R statistical software. </w:t>
      </w:r>
    </w:p>
    <w:p w14:paraId="54A0C298" w14:textId="2F640EAB" w:rsidR="004F48C7" w:rsidRPr="00171CF0" w:rsidRDefault="00A908D0" w:rsidP="004F74E8">
      <w:pPr>
        <w:pStyle w:val="Heading3"/>
        <w:rPr>
          <w:rFonts w:ascii="Avenir Book" w:eastAsiaTheme="minorHAnsi" w:hAnsi="Avenir Book" w:cstheme="minorBidi"/>
          <w:color w:val="auto"/>
          <w:sz w:val="20"/>
          <w:szCs w:val="20"/>
        </w:rPr>
      </w:pPr>
      <w:bookmarkStart w:id="170" w:name="_Toc137504782"/>
      <w:r>
        <w:t>5.</w:t>
      </w:r>
      <w:r w:rsidR="004F48C7" w:rsidRPr="00134CB6">
        <w:t>2.</w:t>
      </w:r>
      <w:r>
        <w:t>9</w:t>
      </w:r>
      <w:r w:rsidR="004F48C7" w:rsidRPr="00134CB6">
        <w:t xml:space="preserve"> Ethical </w:t>
      </w:r>
      <w:r w:rsidR="004F48C7">
        <w:t>Considerations</w:t>
      </w:r>
      <w:r w:rsidR="004F48C7" w:rsidRPr="00134CB6">
        <w:t xml:space="preserve"> and </w:t>
      </w:r>
      <w:r w:rsidR="004F48C7">
        <w:t>R</w:t>
      </w:r>
      <w:r w:rsidR="004F48C7" w:rsidRPr="00134CB6">
        <w:t xml:space="preserve">egulatory </w:t>
      </w:r>
      <w:r w:rsidR="004F48C7">
        <w:t>A</w:t>
      </w:r>
      <w:r w:rsidR="004F48C7" w:rsidRPr="00134CB6">
        <w:t>pprovals</w:t>
      </w:r>
      <w:bookmarkEnd w:id="170"/>
      <w:r w:rsidR="004F48C7" w:rsidRPr="00134CB6">
        <w:t xml:space="preserve"> </w:t>
      </w:r>
    </w:p>
    <w:p w14:paraId="36562493" w14:textId="77777777" w:rsidR="004F48C7" w:rsidRPr="00AB66E1" w:rsidRDefault="004F48C7" w:rsidP="00167468">
      <w:pPr>
        <w:rPr>
          <w:sz w:val="22"/>
          <w:szCs w:val="22"/>
        </w:rPr>
      </w:pPr>
      <w:r w:rsidRPr="00BA04B5">
        <w:rPr>
          <w:szCs w:val="20"/>
        </w:rPr>
        <w:t>This study received ethical approval from an appointed local research committee</w:t>
      </w:r>
      <w:r w:rsidRPr="00171CF0">
        <w:rPr>
          <w:szCs w:val="20"/>
        </w:rPr>
        <w:t xml:space="preserve"> (REC Reference: 21/PR/0398</w:t>
      </w:r>
      <w:r>
        <w:rPr>
          <w:szCs w:val="20"/>
        </w:rPr>
        <w:t xml:space="preserve">/ IRAS </w:t>
      </w:r>
      <w:r w:rsidRPr="00171CF0">
        <w:rPr>
          <w:szCs w:val="20"/>
        </w:rPr>
        <w:t>292166</w:t>
      </w:r>
      <w:r>
        <w:rPr>
          <w:szCs w:val="20"/>
        </w:rPr>
        <w:t>)</w:t>
      </w:r>
      <w:r w:rsidRPr="00BA04B5">
        <w:rPr>
          <w:szCs w:val="20"/>
        </w:rPr>
        <w:t xml:space="preserve">. </w:t>
      </w:r>
      <w:r>
        <w:rPr>
          <w:szCs w:val="20"/>
        </w:rPr>
        <w:t>The research department at the Sheffield Teaching Hospitals NHS Foundation Trust granted research governance approval</w:t>
      </w:r>
      <w:r w:rsidRPr="00BA04B5">
        <w:rPr>
          <w:szCs w:val="20"/>
        </w:rPr>
        <w:t>. The study complied with the standard operating procedures at STH</w:t>
      </w:r>
      <w:r>
        <w:rPr>
          <w:szCs w:val="20"/>
        </w:rPr>
        <w:t>,</w:t>
      </w:r>
      <w:r w:rsidRPr="00BA04B5">
        <w:rPr>
          <w:szCs w:val="20"/>
        </w:rPr>
        <w:t xml:space="preserve"> and the research department at Sheffield Teaching Hospitals NHS Trust reserved the right to audit or inspect the study files. Informed written consent was obtained from all participants</w:t>
      </w:r>
      <w:r>
        <w:rPr>
          <w:szCs w:val="20"/>
        </w:rPr>
        <w:t>. All participants were made aware in written form that they were not obliged to participate</w:t>
      </w:r>
      <w:r w:rsidRPr="00BA04B5">
        <w:rPr>
          <w:szCs w:val="20"/>
        </w:rPr>
        <w:t xml:space="preserve"> in the study and were free to withdraw at any point without giving a reason and without adverse consequences to their medical care. Only standardised questionnaires and measures with well-established reliability and validity were utilised in this study. Sheffield Teaching Hospital</w:t>
      </w:r>
      <w:r>
        <w:rPr>
          <w:szCs w:val="20"/>
        </w:rPr>
        <w:t>s</w:t>
      </w:r>
      <w:r w:rsidRPr="00BA04B5">
        <w:rPr>
          <w:szCs w:val="20"/>
        </w:rPr>
        <w:t xml:space="preserve"> NHSFT (STH NHSFT) was the sponsor for </w:t>
      </w:r>
      <w:r w:rsidRPr="00BA04B5">
        <w:rPr>
          <w:szCs w:val="20"/>
        </w:rPr>
        <w:lastRenderedPageBreak/>
        <w:t>this study based in the United Kingdom and acted as the data controller for this study. All information collected during this study was anonymised, kept confidential and in full compliance with the General Data Protection Regulation (GDPR).</w:t>
      </w:r>
    </w:p>
    <w:p w14:paraId="7D04FCDC" w14:textId="2975BE7F" w:rsidR="004A137D" w:rsidRPr="006B1C49" w:rsidRDefault="00100D99" w:rsidP="00F75303">
      <w:pPr>
        <w:pStyle w:val="Heading2"/>
      </w:pPr>
      <w:r>
        <w:br w:type="page"/>
      </w:r>
      <w:bookmarkStart w:id="171" w:name="_Toc137504783"/>
      <w:r w:rsidR="00FE03F9">
        <w:lastRenderedPageBreak/>
        <w:t>5.</w:t>
      </w:r>
      <w:r w:rsidR="004A137D" w:rsidRPr="006B1C49">
        <w:t>3 Results</w:t>
      </w:r>
      <w:bookmarkEnd w:id="171"/>
    </w:p>
    <w:p w14:paraId="43658506" w14:textId="7FE70498" w:rsidR="004A137D" w:rsidRPr="006B1C49" w:rsidRDefault="007A0AF1" w:rsidP="00F75303">
      <w:pPr>
        <w:pStyle w:val="Heading3"/>
      </w:pPr>
      <w:bookmarkStart w:id="172" w:name="_Toc137504784"/>
      <w:r>
        <w:t>5.</w:t>
      </w:r>
      <w:r w:rsidR="004A137D" w:rsidRPr="006B1C49">
        <w:t>3.1 Confirming diagnosis of patients recruited online</w:t>
      </w:r>
      <w:bookmarkEnd w:id="172"/>
      <w:r w:rsidR="004A137D" w:rsidRPr="006B1C49">
        <w:t xml:space="preserve"> </w:t>
      </w:r>
    </w:p>
    <w:p w14:paraId="1244C090" w14:textId="4A5D4587" w:rsidR="004A137D" w:rsidRPr="00FE03F9" w:rsidRDefault="004A137D" w:rsidP="006B1C49">
      <w:pPr>
        <w:rPr>
          <w:szCs w:val="22"/>
        </w:rPr>
      </w:pPr>
      <w:r>
        <w:rPr>
          <w:szCs w:val="22"/>
        </w:rPr>
        <w:t>Twenty-one</w:t>
      </w:r>
      <w:r w:rsidRPr="00BC4CE9">
        <w:rPr>
          <w:szCs w:val="22"/>
        </w:rPr>
        <w:t xml:space="preserve"> of </w:t>
      </w:r>
      <w:r>
        <w:rPr>
          <w:szCs w:val="22"/>
        </w:rPr>
        <w:t>27</w:t>
      </w:r>
      <w:r w:rsidRPr="00BC4CE9">
        <w:rPr>
          <w:szCs w:val="22"/>
        </w:rPr>
        <w:t xml:space="preserve"> clinicians responded to our request to confirm their patient’s diagnosis.</w:t>
      </w:r>
      <w:r>
        <w:rPr>
          <w:szCs w:val="22"/>
        </w:rPr>
        <w:t xml:space="preserve"> </w:t>
      </w:r>
      <w:r w:rsidRPr="00BC4CE9">
        <w:rPr>
          <w:szCs w:val="22"/>
        </w:rPr>
        <w:t xml:space="preserve">All of these confirmed the diagnosis of FNSD with no comorbid neurological disorder </w:t>
      </w:r>
      <w:r>
        <w:rPr>
          <w:szCs w:val="22"/>
        </w:rPr>
        <w:t xml:space="preserve">that </w:t>
      </w:r>
      <w:r w:rsidRPr="00BC4CE9">
        <w:rPr>
          <w:szCs w:val="22"/>
        </w:rPr>
        <w:t xml:space="preserve">could partially explain the </w:t>
      </w:r>
      <w:r>
        <w:rPr>
          <w:szCs w:val="22"/>
        </w:rPr>
        <w:t>patient’s</w:t>
      </w:r>
      <w:r w:rsidRPr="00BC4CE9">
        <w:rPr>
          <w:szCs w:val="22"/>
        </w:rPr>
        <w:t xml:space="preserve"> symptoms.</w:t>
      </w:r>
    </w:p>
    <w:p w14:paraId="729BFC8C" w14:textId="3A618DFC" w:rsidR="004A137D" w:rsidRPr="006B1C49" w:rsidRDefault="007A0AF1" w:rsidP="007C2B10">
      <w:pPr>
        <w:pStyle w:val="Heading3"/>
      </w:pPr>
      <w:bookmarkStart w:id="173" w:name="_Toc137504785"/>
      <w:r>
        <w:t>5.</w:t>
      </w:r>
      <w:r w:rsidR="004A137D" w:rsidRPr="006B1C49">
        <w:t>3.2 Descriptive</w:t>
      </w:r>
      <w:r w:rsidR="004A137D">
        <w:t xml:space="preserve"> Statistics</w:t>
      </w:r>
      <w:bookmarkEnd w:id="173"/>
    </w:p>
    <w:p w14:paraId="288AC0E1" w14:textId="41D61BDC" w:rsidR="004A137D" w:rsidRPr="00F75303" w:rsidRDefault="004A137D" w:rsidP="00F75303">
      <w:pPr>
        <w:rPr>
          <w:u w:val="single"/>
        </w:rPr>
      </w:pPr>
      <w:r w:rsidRPr="00F75303">
        <w:rPr>
          <w:u w:val="single"/>
        </w:rPr>
        <w:t>Demographic and Clinical Characteristics</w:t>
      </w:r>
    </w:p>
    <w:p w14:paraId="6E163421" w14:textId="56DA05E0" w:rsidR="004A137D" w:rsidRPr="00BC4CE9" w:rsidRDefault="004A137D" w:rsidP="00FF3DD4">
      <w:pPr>
        <w:rPr>
          <w:szCs w:val="22"/>
        </w:rPr>
      </w:pPr>
      <w:r w:rsidRPr="00BC4CE9">
        <w:rPr>
          <w:szCs w:val="22"/>
        </w:rPr>
        <w:t>In the study sample, the FNSD and HC patients were of similar age and gender distribution.</w:t>
      </w:r>
      <w:r>
        <w:rPr>
          <w:szCs w:val="22"/>
        </w:rPr>
        <w:t xml:space="preserve"> </w:t>
      </w:r>
      <w:r w:rsidRPr="00BC4CE9">
        <w:rPr>
          <w:szCs w:val="22"/>
        </w:rPr>
        <w:t xml:space="preserve">The two groups significantly differed in </w:t>
      </w:r>
      <w:r>
        <w:rPr>
          <w:szCs w:val="22"/>
        </w:rPr>
        <w:t>self-</w:t>
      </w:r>
      <w:r w:rsidRPr="00BC4CE9">
        <w:rPr>
          <w:szCs w:val="22"/>
        </w:rPr>
        <w:t>rated socioeconomic status, ethnicity, employment status, level of education,</w:t>
      </w:r>
      <w:r>
        <w:rPr>
          <w:szCs w:val="22"/>
        </w:rPr>
        <w:t xml:space="preserve"> levels of</w:t>
      </w:r>
      <w:r w:rsidRPr="00BC4CE9">
        <w:rPr>
          <w:szCs w:val="22"/>
        </w:rPr>
        <w:t xml:space="preserve"> diagnosed </w:t>
      </w:r>
      <w:r>
        <w:rPr>
          <w:szCs w:val="22"/>
        </w:rPr>
        <w:t>a</w:t>
      </w:r>
      <w:r w:rsidRPr="00BC4CE9">
        <w:rPr>
          <w:szCs w:val="22"/>
        </w:rPr>
        <w:t xml:space="preserve">nxiety, diagnosed depression, diagnosed PTSD, diagnosed OCD, previous psychological treatments and </w:t>
      </w:r>
      <w:r w:rsidRPr="00D00710">
        <w:rPr>
          <w:szCs w:val="22"/>
        </w:rPr>
        <w:t xml:space="preserve">current number of prescribed medications. Demographic and clinical statistics are reported in Table </w:t>
      </w:r>
      <w:r w:rsidR="00251F83" w:rsidRPr="00D00710">
        <w:rPr>
          <w:szCs w:val="22"/>
        </w:rPr>
        <w:t>22</w:t>
      </w:r>
      <w:r w:rsidRPr="00D00710">
        <w:rPr>
          <w:szCs w:val="22"/>
        </w:rPr>
        <w:t>.</w:t>
      </w:r>
    </w:p>
    <w:p w14:paraId="64DABF43" w14:textId="77777777" w:rsidR="004A137D" w:rsidRDefault="004A137D">
      <w:pPr>
        <w:rPr>
          <w:rFonts w:ascii="Avenir Heavy" w:hAnsi="Avenir Heavy"/>
          <w:b/>
          <w:bCs/>
        </w:rPr>
      </w:pPr>
    </w:p>
    <w:p w14:paraId="36E84F1F" w14:textId="75C1BF95" w:rsidR="004A137D" w:rsidRPr="00776404" w:rsidRDefault="004A137D" w:rsidP="00A83384">
      <w:r w:rsidRPr="00776404">
        <w:t xml:space="preserve">Table </w:t>
      </w:r>
      <w:r w:rsidR="000123AE">
        <w:t>22</w:t>
      </w:r>
      <w:r w:rsidRPr="00776404">
        <w:t>.</w:t>
      </w:r>
      <w:r>
        <w:t xml:space="preserve"> </w:t>
      </w:r>
      <w:r w:rsidRPr="00776404">
        <w:t>Demographic and clinical comparison of patients with FNSD and healthy controls</w:t>
      </w:r>
    </w:p>
    <w:p w14:paraId="093033AE" w14:textId="77777777" w:rsidR="004A137D" w:rsidRPr="006D0CC9" w:rsidRDefault="004A137D" w:rsidP="00A83384">
      <w:pPr>
        <w:rPr>
          <w:rFonts w:ascii="Avenir Heavy" w:hAnsi="Avenir Heavy"/>
          <w:b/>
          <w:bCs/>
          <w:sz w:val="8"/>
          <w:szCs w:val="10"/>
        </w:rPr>
      </w:pPr>
    </w:p>
    <w:tbl>
      <w:tblPr>
        <w:tblStyle w:val="TableGrid"/>
        <w:tblW w:w="9209" w:type="dxa"/>
        <w:tblLook w:val="04A0" w:firstRow="1" w:lastRow="0" w:firstColumn="1" w:lastColumn="0" w:noHBand="0" w:noVBand="1"/>
      </w:tblPr>
      <w:tblGrid>
        <w:gridCol w:w="3964"/>
        <w:gridCol w:w="1559"/>
        <w:gridCol w:w="1843"/>
        <w:gridCol w:w="1843"/>
      </w:tblGrid>
      <w:tr w:rsidR="004A137D" w:rsidRPr="00CD314B" w14:paraId="5BD4EC1C" w14:textId="77777777" w:rsidTr="00CB534B">
        <w:trPr>
          <w:trHeight w:val="562"/>
        </w:trPr>
        <w:tc>
          <w:tcPr>
            <w:tcW w:w="3964" w:type="dxa"/>
            <w:vAlign w:val="center"/>
          </w:tcPr>
          <w:p w14:paraId="193B3E67"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Characteristic</w:t>
            </w:r>
          </w:p>
        </w:tc>
        <w:tc>
          <w:tcPr>
            <w:tcW w:w="1559" w:type="dxa"/>
            <w:vAlign w:val="center"/>
          </w:tcPr>
          <w:p w14:paraId="10D5C4FF"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FNSD (n =59)</w:t>
            </w:r>
          </w:p>
        </w:tc>
        <w:tc>
          <w:tcPr>
            <w:tcW w:w="1843" w:type="dxa"/>
            <w:vAlign w:val="center"/>
          </w:tcPr>
          <w:p w14:paraId="73F31A5D"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HC (n= 63)</w:t>
            </w:r>
          </w:p>
        </w:tc>
        <w:tc>
          <w:tcPr>
            <w:tcW w:w="1843" w:type="dxa"/>
            <w:vAlign w:val="center"/>
          </w:tcPr>
          <w:p w14:paraId="504756AC" w14:textId="77777777" w:rsidR="004A137D" w:rsidRPr="00CD314B" w:rsidRDefault="004A137D" w:rsidP="00CD314B">
            <w:pPr>
              <w:spacing w:line="240" w:lineRule="auto"/>
              <w:rPr>
                <w:rFonts w:ascii="Avenir Heavy" w:hAnsi="Avenir Heavy"/>
                <w:b/>
                <w:bCs/>
                <w:sz w:val="18"/>
                <w:szCs w:val="18"/>
                <w:vertAlign w:val="superscript"/>
              </w:rPr>
            </w:pPr>
            <w:proofErr w:type="spellStart"/>
            <w:r w:rsidRPr="00CD314B">
              <w:rPr>
                <w:rFonts w:ascii="Avenir Heavy" w:hAnsi="Avenir Heavy"/>
                <w:b/>
                <w:bCs/>
                <w:sz w:val="18"/>
                <w:szCs w:val="18"/>
              </w:rPr>
              <w:t>P.value</w:t>
            </w:r>
            <w:proofErr w:type="spellEnd"/>
          </w:p>
        </w:tc>
      </w:tr>
      <w:tr w:rsidR="004A137D" w:rsidRPr="00CD314B" w14:paraId="344C2AA5" w14:textId="77777777" w:rsidTr="00CB534B">
        <w:tc>
          <w:tcPr>
            <w:tcW w:w="3964" w:type="dxa"/>
            <w:vAlign w:val="center"/>
          </w:tcPr>
          <w:p w14:paraId="1272D008"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Age, mean (SD)</w:t>
            </w:r>
          </w:p>
          <w:p w14:paraId="59A37EEC" w14:textId="77777777" w:rsidR="004A137D" w:rsidRPr="00CD314B" w:rsidRDefault="004A137D" w:rsidP="00CD314B">
            <w:pPr>
              <w:spacing w:line="240" w:lineRule="auto"/>
              <w:rPr>
                <w:rFonts w:ascii="Avenir Heavy" w:hAnsi="Avenir Heavy"/>
                <w:b/>
                <w:bCs/>
                <w:sz w:val="18"/>
                <w:szCs w:val="18"/>
              </w:rPr>
            </w:pPr>
          </w:p>
        </w:tc>
        <w:tc>
          <w:tcPr>
            <w:tcW w:w="1559" w:type="dxa"/>
            <w:vAlign w:val="center"/>
          </w:tcPr>
          <w:p w14:paraId="70491087" w14:textId="77777777" w:rsidR="004A137D" w:rsidRPr="00CD314B" w:rsidRDefault="004A137D" w:rsidP="00CD314B">
            <w:pPr>
              <w:spacing w:line="240" w:lineRule="auto"/>
              <w:rPr>
                <w:sz w:val="18"/>
                <w:szCs w:val="18"/>
              </w:rPr>
            </w:pPr>
            <w:r w:rsidRPr="00CD314B">
              <w:rPr>
                <w:sz w:val="18"/>
                <w:szCs w:val="18"/>
              </w:rPr>
              <w:t>37.3 (17.9)</w:t>
            </w:r>
          </w:p>
        </w:tc>
        <w:tc>
          <w:tcPr>
            <w:tcW w:w="1843" w:type="dxa"/>
            <w:vAlign w:val="center"/>
          </w:tcPr>
          <w:p w14:paraId="3E0C015B" w14:textId="77777777" w:rsidR="004A137D" w:rsidRPr="00CD314B" w:rsidRDefault="004A137D" w:rsidP="00CD314B">
            <w:pPr>
              <w:spacing w:line="240" w:lineRule="auto"/>
              <w:rPr>
                <w:sz w:val="18"/>
                <w:szCs w:val="18"/>
              </w:rPr>
            </w:pPr>
            <w:r w:rsidRPr="00CD314B">
              <w:rPr>
                <w:sz w:val="18"/>
                <w:szCs w:val="18"/>
              </w:rPr>
              <w:t>38.5 (10.8)</w:t>
            </w:r>
          </w:p>
        </w:tc>
        <w:tc>
          <w:tcPr>
            <w:tcW w:w="1843" w:type="dxa"/>
            <w:vAlign w:val="center"/>
          </w:tcPr>
          <w:p w14:paraId="6D9CD2B4" w14:textId="77777777" w:rsidR="004A137D" w:rsidRPr="00CD314B" w:rsidRDefault="004A137D" w:rsidP="00CD314B">
            <w:pPr>
              <w:spacing w:line="240" w:lineRule="auto"/>
              <w:rPr>
                <w:sz w:val="18"/>
                <w:szCs w:val="18"/>
                <w:vertAlign w:val="superscript"/>
              </w:rPr>
            </w:pPr>
            <w:r w:rsidRPr="00CD314B">
              <w:rPr>
                <w:sz w:val="18"/>
                <w:szCs w:val="18"/>
              </w:rPr>
              <w:t>0.925</w:t>
            </w:r>
            <w:r w:rsidRPr="00CD314B">
              <w:rPr>
                <w:sz w:val="18"/>
                <w:szCs w:val="18"/>
                <w:vertAlign w:val="superscript"/>
              </w:rPr>
              <w:t>a</w:t>
            </w:r>
          </w:p>
        </w:tc>
      </w:tr>
      <w:tr w:rsidR="004A137D" w:rsidRPr="00CD314B" w14:paraId="3326CF9E" w14:textId="77777777" w:rsidTr="00CB534B">
        <w:tc>
          <w:tcPr>
            <w:tcW w:w="3964" w:type="dxa"/>
            <w:vAlign w:val="center"/>
          </w:tcPr>
          <w:p w14:paraId="690CBB1B"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Female, n (%)</w:t>
            </w:r>
          </w:p>
        </w:tc>
        <w:tc>
          <w:tcPr>
            <w:tcW w:w="1559" w:type="dxa"/>
            <w:vAlign w:val="center"/>
          </w:tcPr>
          <w:p w14:paraId="2872D95F" w14:textId="77777777" w:rsidR="004A137D" w:rsidRPr="00CD314B" w:rsidRDefault="004A137D" w:rsidP="00CD314B">
            <w:pPr>
              <w:spacing w:line="240" w:lineRule="auto"/>
              <w:rPr>
                <w:sz w:val="18"/>
                <w:szCs w:val="18"/>
              </w:rPr>
            </w:pPr>
            <w:r w:rsidRPr="00CD314B">
              <w:rPr>
                <w:sz w:val="18"/>
                <w:szCs w:val="18"/>
              </w:rPr>
              <w:t>45 (76.3%)</w:t>
            </w:r>
          </w:p>
        </w:tc>
        <w:tc>
          <w:tcPr>
            <w:tcW w:w="1843" w:type="dxa"/>
            <w:vAlign w:val="center"/>
          </w:tcPr>
          <w:p w14:paraId="5909CDD4" w14:textId="77777777" w:rsidR="004A137D" w:rsidRPr="00CD314B" w:rsidRDefault="004A137D" w:rsidP="00CD314B">
            <w:pPr>
              <w:spacing w:line="240" w:lineRule="auto"/>
              <w:rPr>
                <w:sz w:val="18"/>
                <w:szCs w:val="18"/>
              </w:rPr>
            </w:pPr>
            <w:r w:rsidRPr="00CD314B">
              <w:rPr>
                <w:sz w:val="18"/>
                <w:szCs w:val="18"/>
              </w:rPr>
              <w:t>41 (65.1%)</w:t>
            </w:r>
          </w:p>
        </w:tc>
        <w:tc>
          <w:tcPr>
            <w:tcW w:w="1843" w:type="dxa"/>
            <w:vAlign w:val="center"/>
          </w:tcPr>
          <w:p w14:paraId="682A2052" w14:textId="77777777" w:rsidR="004A137D" w:rsidRPr="00CD314B" w:rsidRDefault="004A137D" w:rsidP="00CD314B">
            <w:pPr>
              <w:spacing w:line="240" w:lineRule="auto"/>
              <w:rPr>
                <w:sz w:val="18"/>
                <w:szCs w:val="18"/>
              </w:rPr>
            </w:pPr>
            <w:r w:rsidRPr="00CD314B">
              <w:rPr>
                <w:sz w:val="18"/>
                <w:szCs w:val="18"/>
              </w:rPr>
              <w:t>0.176</w:t>
            </w:r>
            <w:r w:rsidRPr="00CD314B">
              <w:rPr>
                <w:sz w:val="18"/>
                <w:szCs w:val="18"/>
                <w:vertAlign w:val="superscript"/>
              </w:rPr>
              <w:t>c</w:t>
            </w:r>
          </w:p>
        </w:tc>
      </w:tr>
      <w:tr w:rsidR="004A137D" w:rsidRPr="00CD314B" w14:paraId="368787FA" w14:textId="77777777" w:rsidTr="00CB534B">
        <w:tc>
          <w:tcPr>
            <w:tcW w:w="3964" w:type="dxa"/>
            <w:vAlign w:val="center"/>
          </w:tcPr>
          <w:p w14:paraId="72F7B477"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Socioeconomic ladder, median (range)</w:t>
            </w:r>
          </w:p>
        </w:tc>
        <w:tc>
          <w:tcPr>
            <w:tcW w:w="1559" w:type="dxa"/>
            <w:vAlign w:val="center"/>
          </w:tcPr>
          <w:p w14:paraId="23D331CB" w14:textId="77777777" w:rsidR="004A137D" w:rsidRPr="00CD314B" w:rsidRDefault="004A137D" w:rsidP="00CD314B">
            <w:pPr>
              <w:spacing w:line="240" w:lineRule="auto"/>
              <w:rPr>
                <w:sz w:val="18"/>
                <w:szCs w:val="18"/>
              </w:rPr>
            </w:pPr>
            <w:r w:rsidRPr="00CD314B">
              <w:rPr>
                <w:sz w:val="18"/>
                <w:szCs w:val="18"/>
              </w:rPr>
              <w:t>5 (1 – 9)</w:t>
            </w:r>
          </w:p>
        </w:tc>
        <w:tc>
          <w:tcPr>
            <w:tcW w:w="1843" w:type="dxa"/>
            <w:vAlign w:val="center"/>
          </w:tcPr>
          <w:p w14:paraId="7829F642" w14:textId="77777777" w:rsidR="004A137D" w:rsidRPr="00CD314B" w:rsidRDefault="004A137D" w:rsidP="00CD314B">
            <w:pPr>
              <w:spacing w:line="240" w:lineRule="auto"/>
              <w:rPr>
                <w:sz w:val="18"/>
                <w:szCs w:val="18"/>
              </w:rPr>
            </w:pPr>
            <w:r w:rsidRPr="00CD314B">
              <w:rPr>
                <w:sz w:val="18"/>
                <w:szCs w:val="18"/>
              </w:rPr>
              <w:t>6 (3 – 9)</w:t>
            </w:r>
          </w:p>
        </w:tc>
        <w:tc>
          <w:tcPr>
            <w:tcW w:w="1843" w:type="dxa"/>
            <w:vAlign w:val="center"/>
          </w:tcPr>
          <w:p w14:paraId="7CD9470C" w14:textId="77777777" w:rsidR="004A137D" w:rsidRPr="00CD314B" w:rsidRDefault="004A137D" w:rsidP="00CD314B">
            <w:pPr>
              <w:spacing w:line="240" w:lineRule="auto"/>
              <w:rPr>
                <w:sz w:val="18"/>
                <w:szCs w:val="18"/>
                <w:vertAlign w:val="superscript"/>
              </w:rPr>
            </w:pPr>
            <w:r w:rsidRPr="00CD314B">
              <w:rPr>
                <w:sz w:val="18"/>
                <w:szCs w:val="18"/>
              </w:rPr>
              <w:t>&lt;0.001</w:t>
            </w:r>
            <w:r w:rsidRPr="00CD314B">
              <w:rPr>
                <w:sz w:val="18"/>
                <w:szCs w:val="18"/>
                <w:vertAlign w:val="superscript"/>
              </w:rPr>
              <w:t>c***</w:t>
            </w:r>
          </w:p>
        </w:tc>
      </w:tr>
      <w:tr w:rsidR="004A137D" w:rsidRPr="00CD314B" w14:paraId="624CF19E" w14:textId="77777777" w:rsidTr="00CB534B">
        <w:tc>
          <w:tcPr>
            <w:tcW w:w="3964" w:type="dxa"/>
            <w:vAlign w:val="center"/>
          </w:tcPr>
          <w:p w14:paraId="08785BF6"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Ethnicity, n (%)</w:t>
            </w:r>
          </w:p>
          <w:p w14:paraId="0C6CB38D" w14:textId="77777777" w:rsidR="004A137D" w:rsidRPr="00CD314B" w:rsidRDefault="004A137D" w:rsidP="00CD314B">
            <w:pPr>
              <w:spacing w:line="240" w:lineRule="auto"/>
              <w:rPr>
                <w:sz w:val="18"/>
                <w:szCs w:val="18"/>
              </w:rPr>
            </w:pPr>
            <w:r w:rsidRPr="00CD314B">
              <w:rPr>
                <w:sz w:val="18"/>
                <w:szCs w:val="18"/>
              </w:rPr>
              <w:t>Asian</w:t>
            </w:r>
          </w:p>
          <w:p w14:paraId="4130F121" w14:textId="77777777" w:rsidR="004A137D" w:rsidRPr="00CD314B" w:rsidRDefault="004A137D" w:rsidP="00CD314B">
            <w:pPr>
              <w:spacing w:line="240" w:lineRule="auto"/>
              <w:rPr>
                <w:sz w:val="18"/>
                <w:szCs w:val="18"/>
              </w:rPr>
            </w:pPr>
            <w:r w:rsidRPr="00CD314B">
              <w:rPr>
                <w:sz w:val="18"/>
                <w:szCs w:val="18"/>
              </w:rPr>
              <w:t>Black</w:t>
            </w:r>
          </w:p>
          <w:p w14:paraId="0D9F4EB7" w14:textId="77777777" w:rsidR="004A137D" w:rsidRPr="00CD314B" w:rsidRDefault="004A137D" w:rsidP="00CD314B">
            <w:pPr>
              <w:spacing w:line="240" w:lineRule="auto"/>
              <w:rPr>
                <w:sz w:val="18"/>
                <w:szCs w:val="18"/>
              </w:rPr>
            </w:pPr>
            <w:r w:rsidRPr="00CD314B">
              <w:rPr>
                <w:sz w:val="18"/>
                <w:szCs w:val="18"/>
              </w:rPr>
              <w:t>White</w:t>
            </w:r>
          </w:p>
          <w:p w14:paraId="339B8026" w14:textId="77777777" w:rsidR="004A137D" w:rsidRPr="00CD314B" w:rsidRDefault="004A137D" w:rsidP="00CD314B">
            <w:pPr>
              <w:spacing w:line="240" w:lineRule="auto"/>
              <w:rPr>
                <w:sz w:val="18"/>
                <w:szCs w:val="18"/>
              </w:rPr>
            </w:pPr>
            <w:r w:rsidRPr="00CD314B">
              <w:rPr>
                <w:sz w:val="18"/>
                <w:szCs w:val="18"/>
              </w:rPr>
              <w:t>Multiple/mixed</w:t>
            </w:r>
          </w:p>
        </w:tc>
        <w:tc>
          <w:tcPr>
            <w:tcW w:w="1559" w:type="dxa"/>
            <w:vAlign w:val="center"/>
          </w:tcPr>
          <w:p w14:paraId="6F8FF816" w14:textId="77777777" w:rsidR="004A137D" w:rsidRPr="00CD314B" w:rsidRDefault="004A137D" w:rsidP="00CD314B">
            <w:pPr>
              <w:spacing w:line="240" w:lineRule="auto"/>
              <w:rPr>
                <w:sz w:val="18"/>
                <w:szCs w:val="18"/>
              </w:rPr>
            </w:pPr>
          </w:p>
          <w:p w14:paraId="012D4C5F" w14:textId="77777777" w:rsidR="004A137D" w:rsidRPr="00CD314B" w:rsidRDefault="004A137D" w:rsidP="00CD314B">
            <w:pPr>
              <w:spacing w:line="240" w:lineRule="auto"/>
              <w:rPr>
                <w:sz w:val="18"/>
                <w:szCs w:val="18"/>
              </w:rPr>
            </w:pPr>
            <w:r w:rsidRPr="00CD314B">
              <w:rPr>
                <w:sz w:val="18"/>
                <w:szCs w:val="18"/>
              </w:rPr>
              <w:t>1 (1.7)</w:t>
            </w:r>
          </w:p>
          <w:p w14:paraId="41D78D09" w14:textId="77777777" w:rsidR="004A137D" w:rsidRPr="00CD314B" w:rsidRDefault="004A137D" w:rsidP="00CD314B">
            <w:pPr>
              <w:spacing w:line="240" w:lineRule="auto"/>
              <w:rPr>
                <w:sz w:val="18"/>
                <w:szCs w:val="18"/>
              </w:rPr>
            </w:pPr>
            <w:r w:rsidRPr="00CD314B">
              <w:rPr>
                <w:sz w:val="18"/>
                <w:szCs w:val="18"/>
              </w:rPr>
              <w:t>1 (1.7)</w:t>
            </w:r>
          </w:p>
          <w:p w14:paraId="054A78C7" w14:textId="77777777" w:rsidR="004A137D" w:rsidRPr="00CD314B" w:rsidRDefault="004A137D" w:rsidP="00CD314B">
            <w:pPr>
              <w:spacing w:line="240" w:lineRule="auto"/>
              <w:rPr>
                <w:sz w:val="18"/>
                <w:szCs w:val="18"/>
              </w:rPr>
            </w:pPr>
            <w:r w:rsidRPr="00CD314B">
              <w:rPr>
                <w:sz w:val="18"/>
                <w:szCs w:val="18"/>
              </w:rPr>
              <w:t>56 (94.9)</w:t>
            </w:r>
          </w:p>
          <w:p w14:paraId="15081574" w14:textId="77777777" w:rsidR="004A137D" w:rsidRPr="00CD314B" w:rsidRDefault="004A137D" w:rsidP="00CD314B">
            <w:pPr>
              <w:spacing w:line="240" w:lineRule="auto"/>
              <w:rPr>
                <w:sz w:val="18"/>
                <w:szCs w:val="18"/>
              </w:rPr>
            </w:pPr>
            <w:r w:rsidRPr="00CD314B">
              <w:rPr>
                <w:sz w:val="18"/>
                <w:szCs w:val="18"/>
              </w:rPr>
              <w:t>1 (1.7)</w:t>
            </w:r>
          </w:p>
        </w:tc>
        <w:tc>
          <w:tcPr>
            <w:tcW w:w="1843" w:type="dxa"/>
            <w:vAlign w:val="center"/>
          </w:tcPr>
          <w:p w14:paraId="722BCE97" w14:textId="77777777" w:rsidR="004A137D" w:rsidRPr="00CD314B" w:rsidRDefault="004A137D" w:rsidP="00CD314B">
            <w:pPr>
              <w:spacing w:line="240" w:lineRule="auto"/>
              <w:rPr>
                <w:sz w:val="18"/>
                <w:szCs w:val="18"/>
              </w:rPr>
            </w:pPr>
          </w:p>
          <w:p w14:paraId="15A173B0" w14:textId="77777777" w:rsidR="004A137D" w:rsidRPr="00CD314B" w:rsidRDefault="004A137D" w:rsidP="00CD314B">
            <w:pPr>
              <w:spacing w:line="240" w:lineRule="auto"/>
              <w:rPr>
                <w:sz w:val="18"/>
                <w:szCs w:val="18"/>
              </w:rPr>
            </w:pPr>
            <w:r w:rsidRPr="00CD314B">
              <w:rPr>
                <w:sz w:val="18"/>
                <w:szCs w:val="18"/>
              </w:rPr>
              <w:t>6 (9.5)</w:t>
            </w:r>
          </w:p>
          <w:p w14:paraId="6DDFF217" w14:textId="77777777" w:rsidR="004A137D" w:rsidRPr="00CD314B" w:rsidRDefault="004A137D" w:rsidP="00CD314B">
            <w:pPr>
              <w:spacing w:line="240" w:lineRule="auto"/>
              <w:rPr>
                <w:sz w:val="18"/>
                <w:szCs w:val="18"/>
              </w:rPr>
            </w:pPr>
            <w:r w:rsidRPr="00CD314B">
              <w:rPr>
                <w:sz w:val="18"/>
                <w:szCs w:val="18"/>
              </w:rPr>
              <w:t>12 (19.0)</w:t>
            </w:r>
          </w:p>
          <w:p w14:paraId="43573D50" w14:textId="77777777" w:rsidR="004A137D" w:rsidRPr="00CD314B" w:rsidRDefault="004A137D" w:rsidP="00CD314B">
            <w:pPr>
              <w:spacing w:line="240" w:lineRule="auto"/>
              <w:rPr>
                <w:sz w:val="18"/>
                <w:szCs w:val="18"/>
              </w:rPr>
            </w:pPr>
            <w:r w:rsidRPr="00CD314B">
              <w:rPr>
                <w:sz w:val="18"/>
                <w:szCs w:val="18"/>
              </w:rPr>
              <w:t>41 (65.1)</w:t>
            </w:r>
          </w:p>
          <w:p w14:paraId="04D801B4" w14:textId="77777777" w:rsidR="004A137D" w:rsidRPr="00CD314B" w:rsidRDefault="004A137D" w:rsidP="00CD314B">
            <w:pPr>
              <w:spacing w:line="240" w:lineRule="auto"/>
              <w:rPr>
                <w:sz w:val="18"/>
                <w:szCs w:val="18"/>
              </w:rPr>
            </w:pPr>
            <w:r w:rsidRPr="00CD314B">
              <w:rPr>
                <w:sz w:val="18"/>
                <w:szCs w:val="18"/>
              </w:rPr>
              <w:t>4 (6.3)</w:t>
            </w:r>
          </w:p>
        </w:tc>
        <w:tc>
          <w:tcPr>
            <w:tcW w:w="1843" w:type="dxa"/>
            <w:vAlign w:val="center"/>
          </w:tcPr>
          <w:p w14:paraId="6DC60F7C" w14:textId="77777777" w:rsidR="004A137D" w:rsidRPr="00CD314B" w:rsidRDefault="004A137D" w:rsidP="00CD314B">
            <w:pPr>
              <w:spacing w:line="240" w:lineRule="auto"/>
              <w:rPr>
                <w:sz w:val="18"/>
                <w:szCs w:val="18"/>
                <w:vertAlign w:val="superscript"/>
              </w:rPr>
            </w:pPr>
            <w:r w:rsidRPr="00CD314B">
              <w:rPr>
                <w:sz w:val="18"/>
                <w:szCs w:val="18"/>
              </w:rPr>
              <w:t>&lt;0.001</w:t>
            </w:r>
            <w:r w:rsidRPr="00CD314B">
              <w:rPr>
                <w:sz w:val="18"/>
                <w:szCs w:val="18"/>
                <w:vertAlign w:val="superscript"/>
              </w:rPr>
              <w:t>c***</w:t>
            </w:r>
          </w:p>
        </w:tc>
      </w:tr>
      <w:tr w:rsidR="004A137D" w:rsidRPr="00CD314B" w14:paraId="62D36532" w14:textId="77777777" w:rsidTr="006D0CC9">
        <w:trPr>
          <w:trHeight w:val="1982"/>
        </w:trPr>
        <w:tc>
          <w:tcPr>
            <w:tcW w:w="3964" w:type="dxa"/>
            <w:vAlign w:val="center"/>
          </w:tcPr>
          <w:p w14:paraId="3CDE380E"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Economically active, n (%)</w:t>
            </w:r>
          </w:p>
          <w:p w14:paraId="34193C04" w14:textId="77777777" w:rsidR="004A137D" w:rsidRPr="00CD314B" w:rsidRDefault="004A137D" w:rsidP="00CD314B">
            <w:pPr>
              <w:spacing w:line="240" w:lineRule="auto"/>
              <w:rPr>
                <w:sz w:val="18"/>
                <w:szCs w:val="18"/>
              </w:rPr>
            </w:pPr>
            <w:r w:rsidRPr="00CD314B">
              <w:rPr>
                <w:sz w:val="18"/>
                <w:szCs w:val="18"/>
              </w:rPr>
              <w:t xml:space="preserve">In any paid work, n (%) </w:t>
            </w:r>
          </w:p>
          <w:p w14:paraId="47203181" w14:textId="77777777" w:rsidR="004A137D" w:rsidRPr="00CD314B" w:rsidRDefault="004A137D" w:rsidP="00CD314B">
            <w:pPr>
              <w:spacing w:line="240" w:lineRule="auto"/>
              <w:rPr>
                <w:sz w:val="18"/>
                <w:szCs w:val="18"/>
              </w:rPr>
            </w:pPr>
            <w:r w:rsidRPr="00CD314B">
              <w:rPr>
                <w:sz w:val="18"/>
                <w:szCs w:val="18"/>
              </w:rPr>
              <w:t>Full-time education, n (%)</w:t>
            </w:r>
          </w:p>
          <w:p w14:paraId="391809B7" w14:textId="77777777" w:rsidR="004A137D" w:rsidRPr="00CD314B" w:rsidRDefault="004A137D" w:rsidP="00CD314B">
            <w:pPr>
              <w:spacing w:line="240" w:lineRule="auto"/>
              <w:rPr>
                <w:sz w:val="18"/>
                <w:szCs w:val="18"/>
              </w:rPr>
            </w:pPr>
            <w:r w:rsidRPr="00CD314B">
              <w:rPr>
                <w:sz w:val="18"/>
                <w:szCs w:val="18"/>
              </w:rPr>
              <w:t xml:space="preserve">Full-time </w:t>
            </w:r>
            <w:proofErr w:type="spellStart"/>
            <w:r w:rsidRPr="00CD314B">
              <w:rPr>
                <w:sz w:val="18"/>
                <w:szCs w:val="18"/>
              </w:rPr>
              <w:t>carer</w:t>
            </w:r>
            <w:proofErr w:type="spellEnd"/>
            <w:r w:rsidRPr="00CD314B">
              <w:rPr>
                <w:sz w:val="18"/>
                <w:szCs w:val="18"/>
              </w:rPr>
              <w:t xml:space="preserve">/homemaker </w:t>
            </w:r>
          </w:p>
          <w:p w14:paraId="6A3981E0" w14:textId="77777777" w:rsidR="004A137D" w:rsidRPr="00CD314B" w:rsidRDefault="004A137D" w:rsidP="00CD314B">
            <w:pPr>
              <w:spacing w:line="240" w:lineRule="auto"/>
              <w:rPr>
                <w:sz w:val="18"/>
                <w:szCs w:val="18"/>
              </w:rPr>
            </w:pPr>
            <w:r w:rsidRPr="00CD314B">
              <w:rPr>
                <w:sz w:val="18"/>
                <w:szCs w:val="18"/>
              </w:rPr>
              <w:t>On leave/out of work due to illness or disability, n (%)</w:t>
            </w:r>
          </w:p>
          <w:p w14:paraId="3B386AC2" w14:textId="77777777" w:rsidR="004A137D" w:rsidRPr="00CD314B" w:rsidRDefault="004A137D" w:rsidP="00CD314B">
            <w:pPr>
              <w:spacing w:line="240" w:lineRule="auto"/>
              <w:rPr>
                <w:sz w:val="18"/>
                <w:szCs w:val="18"/>
              </w:rPr>
            </w:pPr>
            <w:r w:rsidRPr="00CD314B">
              <w:rPr>
                <w:sz w:val="18"/>
                <w:szCs w:val="18"/>
              </w:rPr>
              <w:t>Retired, n (%)</w:t>
            </w:r>
          </w:p>
        </w:tc>
        <w:tc>
          <w:tcPr>
            <w:tcW w:w="1559" w:type="dxa"/>
            <w:vAlign w:val="center"/>
          </w:tcPr>
          <w:p w14:paraId="7E645C08" w14:textId="77777777" w:rsidR="004A137D" w:rsidRPr="00CD314B" w:rsidRDefault="004A137D" w:rsidP="00CD314B">
            <w:pPr>
              <w:spacing w:line="240" w:lineRule="auto"/>
              <w:rPr>
                <w:sz w:val="18"/>
                <w:szCs w:val="18"/>
              </w:rPr>
            </w:pPr>
          </w:p>
          <w:p w14:paraId="6B2B8AA7" w14:textId="77777777" w:rsidR="004A137D" w:rsidRPr="00CD314B" w:rsidRDefault="004A137D" w:rsidP="00CD314B">
            <w:pPr>
              <w:spacing w:line="240" w:lineRule="auto"/>
              <w:rPr>
                <w:sz w:val="18"/>
                <w:szCs w:val="18"/>
              </w:rPr>
            </w:pPr>
            <w:r w:rsidRPr="00CD314B">
              <w:rPr>
                <w:sz w:val="18"/>
                <w:szCs w:val="18"/>
              </w:rPr>
              <w:t>22  (37.3%)</w:t>
            </w:r>
          </w:p>
          <w:p w14:paraId="00730A4E" w14:textId="77777777" w:rsidR="004A137D" w:rsidRPr="00CD314B" w:rsidRDefault="004A137D" w:rsidP="00CD314B">
            <w:pPr>
              <w:spacing w:line="240" w:lineRule="auto"/>
              <w:rPr>
                <w:sz w:val="18"/>
                <w:szCs w:val="18"/>
              </w:rPr>
            </w:pPr>
            <w:r w:rsidRPr="00CD314B">
              <w:rPr>
                <w:sz w:val="18"/>
                <w:szCs w:val="18"/>
              </w:rPr>
              <w:t>7 (11.9%)</w:t>
            </w:r>
          </w:p>
          <w:p w14:paraId="585EF986" w14:textId="77777777" w:rsidR="004A137D" w:rsidRPr="00CD314B" w:rsidRDefault="004A137D" w:rsidP="00CD314B">
            <w:pPr>
              <w:spacing w:line="240" w:lineRule="auto"/>
              <w:rPr>
                <w:sz w:val="18"/>
                <w:szCs w:val="18"/>
              </w:rPr>
            </w:pPr>
            <w:r w:rsidRPr="00CD314B">
              <w:rPr>
                <w:sz w:val="18"/>
                <w:szCs w:val="18"/>
              </w:rPr>
              <w:t>0 (0)</w:t>
            </w:r>
          </w:p>
          <w:p w14:paraId="4E976372" w14:textId="77777777" w:rsidR="004A137D" w:rsidRPr="00CD314B" w:rsidRDefault="004A137D" w:rsidP="00CD314B">
            <w:pPr>
              <w:spacing w:line="240" w:lineRule="auto"/>
              <w:rPr>
                <w:sz w:val="18"/>
                <w:szCs w:val="18"/>
              </w:rPr>
            </w:pPr>
            <w:r w:rsidRPr="00CD314B">
              <w:rPr>
                <w:sz w:val="18"/>
                <w:szCs w:val="18"/>
              </w:rPr>
              <w:t>24 (40.7%)</w:t>
            </w:r>
          </w:p>
          <w:p w14:paraId="20CEE295" w14:textId="77777777" w:rsidR="004A137D" w:rsidRPr="00CD314B" w:rsidRDefault="004A137D" w:rsidP="00CD314B">
            <w:pPr>
              <w:spacing w:line="240" w:lineRule="auto"/>
              <w:rPr>
                <w:sz w:val="18"/>
                <w:szCs w:val="18"/>
              </w:rPr>
            </w:pPr>
          </w:p>
          <w:p w14:paraId="3BD7439F" w14:textId="77777777" w:rsidR="004A137D" w:rsidRPr="00CD314B" w:rsidRDefault="004A137D" w:rsidP="00CD314B">
            <w:pPr>
              <w:spacing w:line="240" w:lineRule="auto"/>
              <w:rPr>
                <w:sz w:val="18"/>
                <w:szCs w:val="18"/>
              </w:rPr>
            </w:pPr>
            <w:r w:rsidRPr="00CD314B">
              <w:rPr>
                <w:sz w:val="18"/>
                <w:szCs w:val="18"/>
              </w:rPr>
              <w:t>6 (10.2%)</w:t>
            </w:r>
          </w:p>
        </w:tc>
        <w:tc>
          <w:tcPr>
            <w:tcW w:w="1843" w:type="dxa"/>
            <w:vAlign w:val="center"/>
          </w:tcPr>
          <w:p w14:paraId="4C4A0E44" w14:textId="77777777" w:rsidR="004A137D" w:rsidRPr="00CD314B" w:rsidRDefault="004A137D" w:rsidP="00CD314B">
            <w:pPr>
              <w:spacing w:line="240" w:lineRule="auto"/>
              <w:rPr>
                <w:sz w:val="18"/>
                <w:szCs w:val="18"/>
              </w:rPr>
            </w:pPr>
          </w:p>
          <w:p w14:paraId="501228EF" w14:textId="77777777" w:rsidR="004A137D" w:rsidRPr="00CD314B" w:rsidRDefault="004A137D" w:rsidP="00CD314B">
            <w:pPr>
              <w:spacing w:line="240" w:lineRule="auto"/>
              <w:rPr>
                <w:sz w:val="18"/>
                <w:szCs w:val="18"/>
              </w:rPr>
            </w:pPr>
            <w:r w:rsidRPr="00CD314B">
              <w:rPr>
                <w:sz w:val="18"/>
                <w:szCs w:val="18"/>
              </w:rPr>
              <w:t>49 (77.8%)</w:t>
            </w:r>
          </w:p>
          <w:p w14:paraId="63B937AE" w14:textId="77777777" w:rsidR="004A137D" w:rsidRPr="00CD314B" w:rsidRDefault="004A137D" w:rsidP="00CD314B">
            <w:pPr>
              <w:spacing w:line="240" w:lineRule="auto"/>
              <w:rPr>
                <w:sz w:val="18"/>
                <w:szCs w:val="18"/>
              </w:rPr>
            </w:pPr>
            <w:r w:rsidRPr="00CD314B">
              <w:rPr>
                <w:sz w:val="18"/>
                <w:szCs w:val="18"/>
              </w:rPr>
              <w:t>4 (6.3%)</w:t>
            </w:r>
          </w:p>
          <w:p w14:paraId="539A0CC4" w14:textId="77777777" w:rsidR="004A137D" w:rsidRPr="00CD314B" w:rsidRDefault="004A137D" w:rsidP="00CD314B">
            <w:pPr>
              <w:spacing w:line="240" w:lineRule="auto"/>
              <w:rPr>
                <w:sz w:val="18"/>
                <w:szCs w:val="18"/>
              </w:rPr>
            </w:pPr>
            <w:r w:rsidRPr="00CD314B">
              <w:rPr>
                <w:sz w:val="18"/>
                <w:szCs w:val="18"/>
              </w:rPr>
              <w:t>8 (12.7%)</w:t>
            </w:r>
          </w:p>
          <w:p w14:paraId="57E88D06" w14:textId="77777777" w:rsidR="004A137D" w:rsidRPr="00CD314B" w:rsidRDefault="004A137D" w:rsidP="00CD314B">
            <w:pPr>
              <w:spacing w:line="240" w:lineRule="auto"/>
              <w:rPr>
                <w:sz w:val="18"/>
                <w:szCs w:val="18"/>
              </w:rPr>
            </w:pPr>
            <w:r w:rsidRPr="00CD314B">
              <w:rPr>
                <w:sz w:val="18"/>
                <w:szCs w:val="18"/>
              </w:rPr>
              <w:t>1 (1.6%)</w:t>
            </w:r>
          </w:p>
          <w:p w14:paraId="0F770682" w14:textId="77777777" w:rsidR="004A137D" w:rsidRPr="00CD314B" w:rsidRDefault="004A137D" w:rsidP="00CD314B">
            <w:pPr>
              <w:spacing w:line="240" w:lineRule="auto"/>
              <w:rPr>
                <w:sz w:val="18"/>
                <w:szCs w:val="18"/>
              </w:rPr>
            </w:pPr>
          </w:p>
          <w:p w14:paraId="64416F35" w14:textId="77777777" w:rsidR="004A137D" w:rsidRPr="00CD314B" w:rsidRDefault="004A137D" w:rsidP="00CD314B">
            <w:pPr>
              <w:spacing w:line="240" w:lineRule="auto"/>
              <w:rPr>
                <w:sz w:val="18"/>
                <w:szCs w:val="18"/>
              </w:rPr>
            </w:pPr>
            <w:r w:rsidRPr="00CD314B">
              <w:rPr>
                <w:sz w:val="18"/>
                <w:szCs w:val="18"/>
              </w:rPr>
              <w:t>1 (1.6%)</w:t>
            </w:r>
          </w:p>
        </w:tc>
        <w:tc>
          <w:tcPr>
            <w:tcW w:w="1843" w:type="dxa"/>
            <w:vAlign w:val="center"/>
          </w:tcPr>
          <w:p w14:paraId="3D54371F" w14:textId="77777777" w:rsidR="004A137D" w:rsidRPr="00CD314B" w:rsidRDefault="004A137D" w:rsidP="00CD314B">
            <w:pPr>
              <w:spacing w:line="240" w:lineRule="auto"/>
              <w:rPr>
                <w:sz w:val="18"/>
                <w:szCs w:val="18"/>
                <w:vertAlign w:val="superscript"/>
              </w:rPr>
            </w:pPr>
            <w:r w:rsidRPr="00CD314B">
              <w:rPr>
                <w:sz w:val="18"/>
                <w:szCs w:val="18"/>
              </w:rPr>
              <w:t>&lt;0.001</w:t>
            </w:r>
            <w:r w:rsidRPr="00CD314B">
              <w:rPr>
                <w:sz w:val="18"/>
                <w:szCs w:val="18"/>
                <w:vertAlign w:val="superscript"/>
              </w:rPr>
              <w:t>c***</w:t>
            </w:r>
          </w:p>
        </w:tc>
      </w:tr>
      <w:tr w:rsidR="004A137D" w:rsidRPr="00CD314B" w14:paraId="3E06C76A" w14:textId="77777777" w:rsidTr="00CB534B">
        <w:tc>
          <w:tcPr>
            <w:tcW w:w="3964" w:type="dxa"/>
            <w:vAlign w:val="center"/>
          </w:tcPr>
          <w:p w14:paraId="62DE0D33"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Level of education, n (%)</w:t>
            </w:r>
          </w:p>
          <w:p w14:paraId="7BAD35CA" w14:textId="77777777" w:rsidR="004A137D" w:rsidRPr="00CD314B" w:rsidRDefault="004A137D" w:rsidP="00CD314B">
            <w:pPr>
              <w:spacing w:line="240" w:lineRule="auto"/>
              <w:rPr>
                <w:sz w:val="18"/>
                <w:szCs w:val="18"/>
              </w:rPr>
            </w:pPr>
            <w:r w:rsidRPr="00CD314B">
              <w:rPr>
                <w:sz w:val="18"/>
                <w:szCs w:val="18"/>
              </w:rPr>
              <w:t>No educational qualifications</w:t>
            </w:r>
          </w:p>
          <w:p w14:paraId="3EF58589" w14:textId="77777777" w:rsidR="004A137D" w:rsidRPr="00CD314B" w:rsidRDefault="004A137D" w:rsidP="00CD314B">
            <w:pPr>
              <w:spacing w:line="240" w:lineRule="auto"/>
              <w:rPr>
                <w:sz w:val="18"/>
                <w:szCs w:val="18"/>
              </w:rPr>
            </w:pPr>
            <w:r w:rsidRPr="00CD314B">
              <w:rPr>
                <w:sz w:val="18"/>
                <w:szCs w:val="18"/>
              </w:rPr>
              <w:t>Secondary/High School Education</w:t>
            </w:r>
          </w:p>
          <w:p w14:paraId="6C10BC0C" w14:textId="77777777" w:rsidR="004A137D" w:rsidRPr="00CD314B" w:rsidRDefault="004A137D" w:rsidP="00CD314B">
            <w:pPr>
              <w:spacing w:line="240" w:lineRule="auto"/>
              <w:rPr>
                <w:sz w:val="18"/>
                <w:szCs w:val="18"/>
              </w:rPr>
            </w:pPr>
            <w:r w:rsidRPr="00CD314B">
              <w:rPr>
                <w:sz w:val="18"/>
                <w:szCs w:val="18"/>
              </w:rPr>
              <w:t>Trade or Vocational Education</w:t>
            </w:r>
          </w:p>
          <w:p w14:paraId="590B0C0C" w14:textId="77777777" w:rsidR="004A137D" w:rsidRPr="00CD314B" w:rsidRDefault="004A137D" w:rsidP="00CD314B">
            <w:pPr>
              <w:spacing w:line="240" w:lineRule="auto"/>
              <w:rPr>
                <w:sz w:val="18"/>
                <w:szCs w:val="18"/>
              </w:rPr>
            </w:pPr>
            <w:r w:rsidRPr="00CD314B">
              <w:rPr>
                <w:sz w:val="18"/>
                <w:szCs w:val="18"/>
              </w:rPr>
              <w:t>Post-secondary Certificate/Diploma</w:t>
            </w:r>
          </w:p>
          <w:p w14:paraId="17DA1396" w14:textId="77777777" w:rsidR="004A137D" w:rsidRPr="00CD314B" w:rsidRDefault="004A137D" w:rsidP="00CD314B">
            <w:pPr>
              <w:spacing w:line="240" w:lineRule="auto"/>
              <w:rPr>
                <w:sz w:val="18"/>
                <w:szCs w:val="18"/>
              </w:rPr>
            </w:pPr>
            <w:r w:rsidRPr="00CD314B">
              <w:rPr>
                <w:sz w:val="18"/>
                <w:szCs w:val="18"/>
              </w:rPr>
              <w:t>Higher Education Degree </w:t>
            </w:r>
          </w:p>
          <w:p w14:paraId="242E1233" w14:textId="77777777" w:rsidR="004A137D" w:rsidRPr="00CD314B" w:rsidRDefault="004A137D" w:rsidP="00CD314B">
            <w:pPr>
              <w:spacing w:line="240" w:lineRule="auto"/>
              <w:rPr>
                <w:sz w:val="18"/>
                <w:szCs w:val="18"/>
              </w:rPr>
            </w:pPr>
            <w:r w:rsidRPr="00CD314B">
              <w:rPr>
                <w:sz w:val="18"/>
                <w:szCs w:val="18"/>
              </w:rPr>
              <w:t>Post-graduate qualification </w:t>
            </w:r>
          </w:p>
          <w:p w14:paraId="167CE48E" w14:textId="77777777" w:rsidR="004A137D" w:rsidRPr="00CD314B" w:rsidRDefault="004A137D" w:rsidP="00CD314B">
            <w:pPr>
              <w:spacing w:line="240" w:lineRule="auto"/>
              <w:rPr>
                <w:sz w:val="18"/>
                <w:szCs w:val="18"/>
              </w:rPr>
            </w:pPr>
            <w:r w:rsidRPr="00CD314B">
              <w:rPr>
                <w:sz w:val="18"/>
                <w:szCs w:val="18"/>
              </w:rPr>
              <w:t>Professional qualification</w:t>
            </w:r>
          </w:p>
        </w:tc>
        <w:tc>
          <w:tcPr>
            <w:tcW w:w="1559" w:type="dxa"/>
            <w:vAlign w:val="center"/>
          </w:tcPr>
          <w:p w14:paraId="5058CDA3" w14:textId="77777777" w:rsidR="004A137D" w:rsidRPr="00CD314B" w:rsidRDefault="004A137D" w:rsidP="00CD314B">
            <w:pPr>
              <w:spacing w:line="240" w:lineRule="auto"/>
              <w:rPr>
                <w:sz w:val="18"/>
                <w:szCs w:val="18"/>
              </w:rPr>
            </w:pPr>
          </w:p>
          <w:p w14:paraId="79D5CCF0" w14:textId="77777777" w:rsidR="004A137D" w:rsidRPr="00CD314B" w:rsidRDefault="004A137D" w:rsidP="00CD314B">
            <w:pPr>
              <w:spacing w:line="240" w:lineRule="auto"/>
              <w:rPr>
                <w:sz w:val="18"/>
                <w:szCs w:val="18"/>
              </w:rPr>
            </w:pPr>
            <w:r w:rsidRPr="00CD314B">
              <w:rPr>
                <w:sz w:val="18"/>
                <w:szCs w:val="18"/>
              </w:rPr>
              <w:t>1 (1.7%)</w:t>
            </w:r>
          </w:p>
          <w:p w14:paraId="1A241484" w14:textId="77777777" w:rsidR="004A137D" w:rsidRPr="00CD314B" w:rsidRDefault="004A137D" w:rsidP="00CD314B">
            <w:pPr>
              <w:spacing w:line="240" w:lineRule="auto"/>
              <w:rPr>
                <w:sz w:val="18"/>
                <w:szCs w:val="18"/>
              </w:rPr>
            </w:pPr>
            <w:r w:rsidRPr="00CD314B">
              <w:rPr>
                <w:sz w:val="18"/>
                <w:szCs w:val="18"/>
              </w:rPr>
              <w:t>8 (13.6%)</w:t>
            </w:r>
          </w:p>
          <w:p w14:paraId="7533D335" w14:textId="77777777" w:rsidR="004A137D" w:rsidRPr="00CD314B" w:rsidRDefault="004A137D" w:rsidP="00CD314B">
            <w:pPr>
              <w:spacing w:line="240" w:lineRule="auto"/>
              <w:rPr>
                <w:sz w:val="18"/>
                <w:szCs w:val="18"/>
              </w:rPr>
            </w:pPr>
            <w:r w:rsidRPr="00CD314B">
              <w:rPr>
                <w:sz w:val="18"/>
                <w:szCs w:val="18"/>
              </w:rPr>
              <w:t>9 (15.25%)</w:t>
            </w:r>
          </w:p>
          <w:p w14:paraId="603A8E7D" w14:textId="77777777" w:rsidR="004A137D" w:rsidRPr="00CD314B" w:rsidRDefault="004A137D" w:rsidP="00CD314B">
            <w:pPr>
              <w:spacing w:line="240" w:lineRule="auto"/>
              <w:rPr>
                <w:sz w:val="18"/>
                <w:szCs w:val="18"/>
              </w:rPr>
            </w:pPr>
            <w:r w:rsidRPr="00CD314B">
              <w:rPr>
                <w:sz w:val="18"/>
                <w:szCs w:val="18"/>
              </w:rPr>
              <w:t>14 (23.7%)</w:t>
            </w:r>
          </w:p>
          <w:p w14:paraId="41794387" w14:textId="77777777" w:rsidR="004A137D" w:rsidRPr="00CD314B" w:rsidRDefault="004A137D" w:rsidP="00CD314B">
            <w:pPr>
              <w:spacing w:line="240" w:lineRule="auto"/>
              <w:rPr>
                <w:sz w:val="18"/>
                <w:szCs w:val="18"/>
              </w:rPr>
            </w:pPr>
            <w:r w:rsidRPr="00CD314B">
              <w:rPr>
                <w:sz w:val="18"/>
                <w:szCs w:val="18"/>
              </w:rPr>
              <w:t>8 (13.6%)</w:t>
            </w:r>
          </w:p>
          <w:p w14:paraId="64205E05" w14:textId="77777777" w:rsidR="004A137D" w:rsidRPr="00CD314B" w:rsidRDefault="004A137D" w:rsidP="00CD314B">
            <w:pPr>
              <w:spacing w:line="240" w:lineRule="auto"/>
              <w:rPr>
                <w:sz w:val="18"/>
                <w:szCs w:val="18"/>
              </w:rPr>
            </w:pPr>
            <w:r w:rsidRPr="00CD314B">
              <w:rPr>
                <w:sz w:val="18"/>
                <w:szCs w:val="18"/>
              </w:rPr>
              <w:t>10 (16.9%)</w:t>
            </w:r>
          </w:p>
          <w:p w14:paraId="48C3C6B3" w14:textId="77777777" w:rsidR="004A137D" w:rsidRPr="00CD314B" w:rsidRDefault="004A137D" w:rsidP="00CD314B">
            <w:pPr>
              <w:spacing w:line="240" w:lineRule="auto"/>
              <w:rPr>
                <w:sz w:val="18"/>
                <w:szCs w:val="18"/>
              </w:rPr>
            </w:pPr>
            <w:r w:rsidRPr="00CD314B">
              <w:rPr>
                <w:sz w:val="18"/>
                <w:szCs w:val="18"/>
              </w:rPr>
              <w:t>9 (15.3%)</w:t>
            </w:r>
          </w:p>
        </w:tc>
        <w:tc>
          <w:tcPr>
            <w:tcW w:w="1843" w:type="dxa"/>
            <w:vAlign w:val="center"/>
          </w:tcPr>
          <w:p w14:paraId="19AA958D" w14:textId="77777777" w:rsidR="004A137D" w:rsidRPr="00CD314B" w:rsidRDefault="004A137D" w:rsidP="00CD314B">
            <w:pPr>
              <w:spacing w:line="240" w:lineRule="auto"/>
              <w:rPr>
                <w:sz w:val="18"/>
                <w:szCs w:val="18"/>
              </w:rPr>
            </w:pPr>
          </w:p>
          <w:p w14:paraId="4037F181" w14:textId="77777777" w:rsidR="004A137D" w:rsidRPr="00CD314B" w:rsidRDefault="004A137D" w:rsidP="00CD314B">
            <w:pPr>
              <w:spacing w:line="240" w:lineRule="auto"/>
              <w:rPr>
                <w:sz w:val="18"/>
                <w:szCs w:val="18"/>
              </w:rPr>
            </w:pPr>
            <w:r w:rsidRPr="00CD314B">
              <w:rPr>
                <w:sz w:val="18"/>
                <w:szCs w:val="18"/>
              </w:rPr>
              <w:t>1 (1.6%)</w:t>
            </w:r>
          </w:p>
          <w:p w14:paraId="3D38ACF1" w14:textId="77777777" w:rsidR="004A137D" w:rsidRPr="00CD314B" w:rsidRDefault="004A137D" w:rsidP="00CD314B">
            <w:pPr>
              <w:spacing w:line="240" w:lineRule="auto"/>
              <w:rPr>
                <w:sz w:val="18"/>
                <w:szCs w:val="18"/>
              </w:rPr>
            </w:pPr>
            <w:r w:rsidRPr="00CD314B">
              <w:rPr>
                <w:sz w:val="18"/>
                <w:szCs w:val="18"/>
              </w:rPr>
              <w:t>8 (12.7%)</w:t>
            </w:r>
          </w:p>
          <w:p w14:paraId="424F738A" w14:textId="77777777" w:rsidR="004A137D" w:rsidRPr="00CD314B" w:rsidRDefault="004A137D" w:rsidP="00CD314B">
            <w:pPr>
              <w:spacing w:line="240" w:lineRule="auto"/>
              <w:rPr>
                <w:sz w:val="18"/>
                <w:szCs w:val="18"/>
              </w:rPr>
            </w:pPr>
            <w:r w:rsidRPr="00CD314B">
              <w:rPr>
                <w:sz w:val="18"/>
                <w:szCs w:val="18"/>
              </w:rPr>
              <w:t>6 (9.5%)</w:t>
            </w:r>
          </w:p>
          <w:p w14:paraId="7D1054BD" w14:textId="77777777" w:rsidR="004A137D" w:rsidRPr="00CD314B" w:rsidRDefault="004A137D" w:rsidP="00CD314B">
            <w:pPr>
              <w:spacing w:line="240" w:lineRule="auto"/>
              <w:rPr>
                <w:sz w:val="18"/>
                <w:szCs w:val="18"/>
              </w:rPr>
            </w:pPr>
            <w:r w:rsidRPr="00CD314B">
              <w:rPr>
                <w:sz w:val="18"/>
                <w:szCs w:val="18"/>
              </w:rPr>
              <w:t>6 (9.5%)</w:t>
            </w:r>
          </w:p>
          <w:p w14:paraId="768FCE2B" w14:textId="77777777" w:rsidR="004A137D" w:rsidRPr="00CD314B" w:rsidRDefault="004A137D" w:rsidP="00CD314B">
            <w:pPr>
              <w:spacing w:line="240" w:lineRule="auto"/>
              <w:rPr>
                <w:sz w:val="18"/>
                <w:szCs w:val="18"/>
              </w:rPr>
            </w:pPr>
            <w:r w:rsidRPr="00CD314B">
              <w:rPr>
                <w:sz w:val="18"/>
                <w:szCs w:val="18"/>
              </w:rPr>
              <w:t>26 (41.3%)</w:t>
            </w:r>
          </w:p>
          <w:p w14:paraId="05E53D0A" w14:textId="77777777" w:rsidR="004A137D" w:rsidRPr="00CD314B" w:rsidRDefault="004A137D" w:rsidP="00CD314B">
            <w:pPr>
              <w:spacing w:line="240" w:lineRule="auto"/>
              <w:rPr>
                <w:sz w:val="18"/>
                <w:szCs w:val="18"/>
              </w:rPr>
            </w:pPr>
            <w:r w:rsidRPr="00CD314B">
              <w:rPr>
                <w:sz w:val="18"/>
                <w:szCs w:val="18"/>
              </w:rPr>
              <w:t>10 (15.9%)</w:t>
            </w:r>
          </w:p>
          <w:p w14:paraId="46634E06" w14:textId="77777777" w:rsidR="004A137D" w:rsidRPr="00CD314B" w:rsidRDefault="004A137D" w:rsidP="00CD314B">
            <w:pPr>
              <w:spacing w:line="240" w:lineRule="auto"/>
              <w:rPr>
                <w:sz w:val="18"/>
                <w:szCs w:val="18"/>
              </w:rPr>
            </w:pPr>
            <w:r w:rsidRPr="00CD314B">
              <w:rPr>
                <w:sz w:val="18"/>
                <w:szCs w:val="18"/>
              </w:rPr>
              <w:t>6 (9.5%)</w:t>
            </w:r>
          </w:p>
        </w:tc>
        <w:tc>
          <w:tcPr>
            <w:tcW w:w="1843" w:type="dxa"/>
            <w:vAlign w:val="center"/>
          </w:tcPr>
          <w:p w14:paraId="6AB50828" w14:textId="77777777" w:rsidR="004A137D" w:rsidRPr="00CD314B" w:rsidRDefault="004A137D" w:rsidP="00CD314B">
            <w:pPr>
              <w:spacing w:line="240" w:lineRule="auto"/>
              <w:rPr>
                <w:sz w:val="18"/>
                <w:szCs w:val="18"/>
              </w:rPr>
            </w:pPr>
            <w:r w:rsidRPr="00CD314B">
              <w:rPr>
                <w:sz w:val="18"/>
                <w:szCs w:val="18"/>
              </w:rPr>
              <w:t>0.032</w:t>
            </w:r>
            <w:r w:rsidRPr="00CD314B">
              <w:rPr>
                <w:sz w:val="18"/>
                <w:szCs w:val="18"/>
                <w:vertAlign w:val="superscript"/>
              </w:rPr>
              <w:t>c*</w:t>
            </w:r>
          </w:p>
        </w:tc>
      </w:tr>
      <w:tr w:rsidR="004A137D" w:rsidRPr="00CD314B" w14:paraId="741088DD" w14:textId="77777777" w:rsidTr="00CB534B">
        <w:tc>
          <w:tcPr>
            <w:tcW w:w="3964" w:type="dxa"/>
            <w:vAlign w:val="center"/>
          </w:tcPr>
          <w:p w14:paraId="251D0207"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N. Comorbid health conditions, n (%)</w:t>
            </w:r>
          </w:p>
          <w:p w14:paraId="64E39C2F" w14:textId="77777777" w:rsidR="004A137D" w:rsidRPr="00CD314B" w:rsidRDefault="004A137D" w:rsidP="00CD314B">
            <w:pPr>
              <w:spacing w:line="240" w:lineRule="auto"/>
              <w:rPr>
                <w:sz w:val="18"/>
                <w:szCs w:val="18"/>
              </w:rPr>
            </w:pPr>
            <w:r w:rsidRPr="00CD314B">
              <w:rPr>
                <w:sz w:val="18"/>
                <w:szCs w:val="18"/>
              </w:rPr>
              <w:lastRenderedPageBreak/>
              <w:t>Any Cancers</w:t>
            </w:r>
          </w:p>
          <w:p w14:paraId="0AEBA885" w14:textId="77777777" w:rsidR="004A137D" w:rsidRPr="00CD314B" w:rsidRDefault="004A137D" w:rsidP="00CD314B">
            <w:pPr>
              <w:spacing w:line="240" w:lineRule="auto"/>
              <w:rPr>
                <w:sz w:val="18"/>
                <w:szCs w:val="18"/>
              </w:rPr>
            </w:pPr>
            <w:r w:rsidRPr="00CD314B">
              <w:rPr>
                <w:sz w:val="18"/>
                <w:szCs w:val="18"/>
              </w:rPr>
              <w:t>Any Digestive Tract Disease</w:t>
            </w:r>
          </w:p>
          <w:p w14:paraId="0DACA9F2" w14:textId="77777777" w:rsidR="004A137D" w:rsidRPr="00CD314B" w:rsidRDefault="004A137D" w:rsidP="00CD314B">
            <w:pPr>
              <w:spacing w:line="240" w:lineRule="auto"/>
              <w:rPr>
                <w:sz w:val="18"/>
                <w:szCs w:val="18"/>
              </w:rPr>
            </w:pPr>
            <w:r w:rsidRPr="00CD314B">
              <w:rPr>
                <w:sz w:val="18"/>
                <w:szCs w:val="18"/>
              </w:rPr>
              <w:t>Any Heart Disease</w:t>
            </w:r>
          </w:p>
          <w:p w14:paraId="34006229" w14:textId="77777777" w:rsidR="004A137D" w:rsidRPr="00CD314B" w:rsidRDefault="004A137D" w:rsidP="00CD314B">
            <w:pPr>
              <w:spacing w:line="240" w:lineRule="auto"/>
              <w:rPr>
                <w:sz w:val="18"/>
                <w:szCs w:val="18"/>
              </w:rPr>
            </w:pPr>
            <w:r w:rsidRPr="00CD314B">
              <w:rPr>
                <w:sz w:val="18"/>
                <w:szCs w:val="18"/>
              </w:rPr>
              <w:t>Any Lung and Respiratory Disease</w:t>
            </w:r>
          </w:p>
          <w:p w14:paraId="0DC2900C" w14:textId="77777777" w:rsidR="004A137D" w:rsidRPr="00CD314B" w:rsidRDefault="004A137D" w:rsidP="00CD314B">
            <w:pPr>
              <w:spacing w:line="240" w:lineRule="auto"/>
              <w:rPr>
                <w:sz w:val="18"/>
                <w:szCs w:val="18"/>
              </w:rPr>
            </w:pPr>
            <w:r w:rsidRPr="00CD314B">
              <w:rPr>
                <w:sz w:val="18"/>
                <w:szCs w:val="18"/>
              </w:rPr>
              <w:t>Asthma</w:t>
            </w:r>
          </w:p>
          <w:p w14:paraId="7C1CC4F8" w14:textId="77777777" w:rsidR="004A137D" w:rsidRPr="00CD314B" w:rsidRDefault="004A137D" w:rsidP="00CD314B">
            <w:pPr>
              <w:spacing w:line="240" w:lineRule="auto"/>
              <w:rPr>
                <w:sz w:val="18"/>
                <w:szCs w:val="18"/>
              </w:rPr>
            </w:pPr>
            <w:r w:rsidRPr="00CD314B">
              <w:rPr>
                <w:sz w:val="18"/>
                <w:szCs w:val="18"/>
              </w:rPr>
              <w:t>Diabetes</w:t>
            </w:r>
          </w:p>
          <w:p w14:paraId="76BD492A" w14:textId="77777777" w:rsidR="004A137D" w:rsidRPr="00CD314B" w:rsidRDefault="004A137D" w:rsidP="00CD314B">
            <w:pPr>
              <w:spacing w:line="240" w:lineRule="auto"/>
              <w:rPr>
                <w:sz w:val="18"/>
                <w:szCs w:val="18"/>
              </w:rPr>
            </w:pPr>
            <w:r w:rsidRPr="00CD314B">
              <w:rPr>
                <w:sz w:val="18"/>
                <w:szCs w:val="18"/>
              </w:rPr>
              <w:t>Epilepsy</w:t>
            </w:r>
          </w:p>
          <w:p w14:paraId="56ACBFD3" w14:textId="77777777" w:rsidR="004A137D" w:rsidRPr="00CD314B" w:rsidRDefault="004A137D" w:rsidP="00CD314B">
            <w:pPr>
              <w:spacing w:line="240" w:lineRule="auto"/>
              <w:rPr>
                <w:sz w:val="18"/>
                <w:szCs w:val="18"/>
              </w:rPr>
            </w:pPr>
            <w:r w:rsidRPr="00CD314B">
              <w:rPr>
                <w:sz w:val="18"/>
                <w:szCs w:val="18"/>
              </w:rPr>
              <w:t>Physical Trauma</w:t>
            </w:r>
          </w:p>
          <w:p w14:paraId="3C47ED53" w14:textId="77777777" w:rsidR="004A137D" w:rsidRPr="00CD314B" w:rsidRDefault="004A137D" w:rsidP="00CD314B">
            <w:pPr>
              <w:spacing w:line="240" w:lineRule="auto"/>
              <w:rPr>
                <w:sz w:val="18"/>
                <w:szCs w:val="18"/>
              </w:rPr>
            </w:pPr>
            <w:r w:rsidRPr="00CD314B">
              <w:rPr>
                <w:sz w:val="18"/>
                <w:szCs w:val="18"/>
              </w:rPr>
              <w:t>High Blood Pressure</w:t>
            </w:r>
          </w:p>
          <w:p w14:paraId="2E6863AB" w14:textId="77777777" w:rsidR="004A137D" w:rsidRPr="00CD314B" w:rsidRDefault="004A137D" w:rsidP="00CD314B">
            <w:pPr>
              <w:spacing w:line="240" w:lineRule="auto"/>
              <w:rPr>
                <w:sz w:val="18"/>
                <w:szCs w:val="18"/>
              </w:rPr>
            </w:pPr>
            <w:r w:rsidRPr="00CD314B">
              <w:rPr>
                <w:sz w:val="18"/>
                <w:szCs w:val="18"/>
              </w:rPr>
              <w:t>None</w:t>
            </w:r>
          </w:p>
        </w:tc>
        <w:tc>
          <w:tcPr>
            <w:tcW w:w="1559" w:type="dxa"/>
            <w:vAlign w:val="center"/>
          </w:tcPr>
          <w:p w14:paraId="75C45AC7" w14:textId="77777777" w:rsidR="004A137D" w:rsidRPr="00CD314B" w:rsidRDefault="004A137D" w:rsidP="00CD314B">
            <w:pPr>
              <w:spacing w:line="240" w:lineRule="auto"/>
              <w:rPr>
                <w:sz w:val="18"/>
                <w:szCs w:val="18"/>
              </w:rPr>
            </w:pPr>
          </w:p>
          <w:p w14:paraId="08DB8553" w14:textId="77777777" w:rsidR="004A137D" w:rsidRPr="00CD314B" w:rsidRDefault="004A137D" w:rsidP="00CD314B">
            <w:pPr>
              <w:spacing w:line="240" w:lineRule="auto"/>
              <w:rPr>
                <w:sz w:val="18"/>
                <w:szCs w:val="18"/>
              </w:rPr>
            </w:pPr>
            <w:r w:rsidRPr="00CD314B">
              <w:rPr>
                <w:sz w:val="18"/>
                <w:szCs w:val="18"/>
              </w:rPr>
              <w:lastRenderedPageBreak/>
              <w:t>1 (1.7%)</w:t>
            </w:r>
          </w:p>
          <w:p w14:paraId="68966C89" w14:textId="77777777" w:rsidR="004A137D" w:rsidRPr="00CD314B" w:rsidRDefault="004A137D" w:rsidP="00CD314B">
            <w:pPr>
              <w:spacing w:line="240" w:lineRule="auto"/>
              <w:rPr>
                <w:sz w:val="18"/>
                <w:szCs w:val="18"/>
              </w:rPr>
            </w:pPr>
            <w:r w:rsidRPr="00CD314B">
              <w:rPr>
                <w:sz w:val="18"/>
                <w:szCs w:val="18"/>
              </w:rPr>
              <w:t>4 (6.8%)</w:t>
            </w:r>
          </w:p>
          <w:p w14:paraId="6DCEA420" w14:textId="77777777" w:rsidR="004A137D" w:rsidRPr="00CD314B" w:rsidRDefault="004A137D" w:rsidP="00CD314B">
            <w:pPr>
              <w:spacing w:line="240" w:lineRule="auto"/>
              <w:rPr>
                <w:sz w:val="18"/>
                <w:szCs w:val="18"/>
              </w:rPr>
            </w:pPr>
            <w:r w:rsidRPr="00CD314B">
              <w:rPr>
                <w:sz w:val="18"/>
                <w:szCs w:val="18"/>
              </w:rPr>
              <w:t>4 (6.8%)</w:t>
            </w:r>
          </w:p>
          <w:p w14:paraId="2B7B5018" w14:textId="77777777" w:rsidR="004A137D" w:rsidRPr="00CD314B" w:rsidRDefault="004A137D" w:rsidP="00CD314B">
            <w:pPr>
              <w:spacing w:line="240" w:lineRule="auto"/>
              <w:rPr>
                <w:sz w:val="18"/>
                <w:szCs w:val="18"/>
              </w:rPr>
            </w:pPr>
            <w:r w:rsidRPr="00CD314B">
              <w:rPr>
                <w:sz w:val="18"/>
                <w:szCs w:val="18"/>
              </w:rPr>
              <w:t>8 (13.6%)</w:t>
            </w:r>
          </w:p>
          <w:p w14:paraId="34BC74EC" w14:textId="77777777" w:rsidR="004A137D" w:rsidRPr="00CD314B" w:rsidRDefault="004A137D" w:rsidP="00CD314B">
            <w:pPr>
              <w:spacing w:line="240" w:lineRule="auto"/>
              <w:rPr>
                <w:sz w:val="18"/>
                <w:szCs w:val="18"/>
              </w:rPr>
            </w:pPr>
            <w:r w:rsidRPr="00CD314B">
              <w:rPr>
                <w:sz w:val="18"/>
                <w:szCs w:val="18"/>
              </w:rPr>
              <w:t>0 (0)</w:t>
            </w:r>
          </w:p>
          <w:p w14:paraId="3CDE5129" w14:textId="77777777" w:rsidR="004A137D" w:rsidRPr="00CD314B" w:rsidRDefault="004A137D" w:rsidP="00CD314B">
            <w:pPr>
              <w:spacing w:line="240" w:lineRule="auto"/>
              <w:rPr>
                <w:sz w:val="18"/>
                <w:szCs w:val="18"/>
              </w:rPr>
            </w:pPr>
            <w:r w:rsidRPr="00CD314B">
              <w:rPr>
                <w:sz w:val="18"/>
                <w:szCs w:val="18"/>
              </w:rPr>
              <w:t>4 (6.8%)</w:t>
            </w:r>
          </w:p>
          <w:p w14:paraId="37DC5A0D" w14:textId="77777777" w:rsidR="004A137D" w:rsidRPr="00CD314B" w:rsidRDefault="004A137D" w:rsidP="00CD314B">
            <w:pPr>
              <w:spacing w:line="240" w:lineRule="auto"/>
              <w:rPr>
                <w:sz w:val="18"/>
                <w:szCs w:val="18"/>
              </w:rPr>
            </w:pPr>
            <w:r w:rsidRPr="00CD314B">
              <w:rPr>
                <w:sz w:val="18"/>
                <w:szCs w:val="18"/>
              </w:rPr>
              <w:t>1 (1.7%)</w:t>
            </w:r>
          </w:p>
          <w:p w14:paraId="1B777B7E" w14:textId="77777777" w:rsidR="004A137D" w:rsidRPr="00CD314B" w:rsidRDefault="004A137D" w:rsidP="00CD314B">
            <w:pPr>
              <w:spacing w:line="240" w:lineRule="auto"/>
              <w:rPr>
                <w:sz w:val="18"/>
                <w:szCs w:val="18"/>
              </w:rPr>
            </w:pPr>
            <w:r w:rsidRPr="00CD314B">
              <w:rPr>
                <w:sz w:val="18"/>
                <w:szCs w:val="18"/>
              </w:rPr>
              <w:t>4 (6.8%)</w:t>
            </w:r>
          </w:p>
          <w:p w14:paraId="51C95149" w14:textId="77777777" w:rsidR="004A137D" w:rsidRPr="00CD314B" w:rsidRDefault="004A137D" w:rsidP="00CD314B">
            <w:pPr>
              <w:spacing w:line="240" w:lineRule="auto"/>
              <w:rPr>
                <w:sz w:val="18"/>
                <w:szCs w:val="18"/>
              </w:rPr>
            </w:pPr>
            <w:r w:rsidRPr="00CD314B">
              <w:rPr>
                <w:sz w:val="18"/>
                <w:szCs w:val="18"/>
              </w:rPr>
              <w:t>5 (8.5%)</w:t>
            </w:r>
          </w:p>
          <w:p w14:paraId="3340466C" w14:textId="77777777" w:rsidR="004A137D" w:rsidRPr="00CD314B" w:rsidRDefault="004A137D" w:rsidP="00CD314B">
            <w:pPr>
              <w:spacing w:line="240" w:lineRule="auto"/>
              <w:rPr>
                <w:sz w:val="18"/>
                <w:szCs w:val="18"/>
              </w:rPr>
            </w:pPr>
            <w:r w:rsidRPr="00CD314B">
              <w:rPr>
                <w:sz w:val="18"/>
                <w:szCs w:val="18"/>
              </w:rPr>
              <w:t>28 (47.5%)</w:t>
            </w:r>
          </w:p>
        </w:tc>
        <w:tc>
          <w:tcPr>
            <w:tcW w:w="1843" w:type="dxa"/>
            <w:vAlign w:val="center"/>
          </w:tcPr>
          <w:p w14:paraId="43DA5C19" w14:textId="77777777" w:rsidR="004A137D" w:rsidRPr="00CD314B" w:rsidRDefault="004A137D" w:rsidP="00CD314B">
            <w:pPr>
              <w:spacing w:line="240" w:lineRule="auto"/>
              <w:rPr>
                <w:sz w:val="18"/>
                <w:szCs w:val="18"/>
              </w:rPr>
            </w:pPr>
          </w:p>
          <w:p w14:paraId="2B0C1422" w14:textId="77777777" w:rsidR="004A137D" w:rsidRPr="00CD314B" w:rsidRDefault="004A137D" w:rsidP="00CD314B">
            <w:pPr>
              <w:spacing w:line="240" w:lineRule="auto"/>
              <w:rPr>
                <w:sz w:val="18"/>
                <w:szCs w:val="18"/>
              </w:rPr>
            </w:pPr>
            <w:r w:rsidRPr="00CD314B">
              <w:rPr>
                <w:sz w:val="18"/>
                <w:szCs w:val="18"/>
              </w:rPr>
              <w:lastRenderedPageBreak/>
              <w:t>0 (0)</w:t>
            </w:r>
          </w:p>
          <w:p w14:paraId="096D2928" w14:textId="77777777" w:rsidR="004A137D" w:rsidRPr="00CD314B" w:rsidRDefault="004A137D" w:rsidP="00CD314B">
            <w:pPr>
              <w:spacing w:line="240" w:lineRule="auto"/>
              <w:rPr>
                <w:sz w:val="18"/>
                <w:szCs w:val="18"/>
              </w:rPr>
            </w:pPr>
            <w:r w:rsidRPr="00CD314B">
              <w:rPr>
                <w:sz w:val="18"/>
                <w:szCs w:val="18"/>
              </w:rPr>
              <w:t>2 (3.2)</w:t>
            </w:r>
          </w:p>
          <w:p w14:paraId="3BD09DFA" w14:textId="77777777" w:rsidR="004A137D" w:rsidRPr="00CD314B" w:rsidRDefault="004A137D" w:rsidP="00CD314B">
            <w:pPr>
              <w:spacing w:line="240" w:lineRule="auto"/>
              <w:rPr>
                <w:sz w:val="18"/>
                <w:szCs w:val="18"/>
              </w:rPr>
            </w:pPr>
            <w:r w:rsidRPr="00CD314B">
              <w:rPr>
                <w:sz w:val="18"/>
                <w:szCs w:val="18"/>
              </w:rPr>
              <w:t>0 (0)</w:t>
            </w:r>
          </w:p>
          <w:p w14:paraId="4D494D5F" w14:textId="77777777" w:rsidR="004A137D" w:rsidRPr="00CD314B" w:rsidRDefault="004A137D" w:rsidP="00CD314B">
            <w:pPr>
              <w:spacing w:line="240" w:lineRule="auto"/>
              <w:rPr>
                <w:sz w:val="18"/>
                <w:szCs w:val="18"/>
              </w:rPr>
            </w:pPr>
            <w:r w:rsidRPr="00CD314B">
              <w:rPr>
                <w:sz w:val="18"/>
                <w:szCs w:val="18"/>
              </w:rPr>
              <w:t>0 (0)</w:t>
            </w:r>
          </w:p>
          <w:p w14:paraId="102A0F47" w14:textId="77777777" w:rsidR="004A137D" w:rsidRPr="00CD314B" w:rsidRDefault="004A137D" w:rsidP="00CD314B">
            <w:pPr>
              <w:spacing w:line="240" w:lineRule="auto"/>
              <w:rPr>
                <w:sz w:val="18"/>
                <w:szCs w:val="18"/>
              </w:rPr>
            </w:pPr>
            <w:r w:rsidRPr="00CD314B">
              <w:rPr>
                <w:sz w:val="18"/>
                <w:szCs w:val="18"/>
              </w:rPr>
              <w:t>1 (1.6)</w:t>
            </w:r>
          </w:p>
          <w:p w14:paraId="3898E17F" w14:textId="77777777" w:rsidR="004A137D" w:rsidRPr="00CD314B" w:rsidRDefault="004A137D" w:rsidP="00CD314B">
            <w:pPr>
              <w:spacing w:line="240" w:lineRule="auto"/>
              <w:rPr>
                <w:sz w:val="18"/>
                <w:szCs w:val="18"/>
              </w:rPr>
            </w:pPr>
            <w:r w:rsidRPr="00CD314B">
              <w:rPr>
                <w:sz w:val="18"/>
                <w:szCs w:val="18"/>
              </w:rPr>
              <w:t>1 (1.6)</w:t>
            </w:r>
          </w:p>
          <w:p w14:paraId="5C0FA2A5" w14:textId="77777777" w:rsidR="004A137D" w:rsidRPr="00CD314B" w:rsidRDefault="004A137D" w:rsidP="00CD314B">
            <w:pPr>
              <w:spacing w:line="240" w:lineRule="auto"/>
              <w:rPr>
                <w:sz w:val="18"/>
                <w:szCs w:val="18"/>
              </w:rPr>
            </w:pPr>
            <w:r w:rsidRPr="00CD314B">
              <w:rPr>
                <w:sz w:val="18"/>
                <w:szCs w:val="18"/>
              </w:rPr>
              <w:t>0 (0)</w:t>
            </w:r>
          </w:p>
          <w:p w14:paraId="5EDF8827" w14:textId="77777777" w:rsidR="004A137D" w:rsidRPr="00CD314B" w:rsidRDefault="004A137D" w:rsidP="00CD314B">
            <w:pPr>
              <w:spacing w:line="240" w:lineRule="auto"/>
              <w:rPr>
                <w:sz w:val="18"/>
                <w:szCs w:val="18"/>
              </w:rPr>
            </w:pPr>
            <w:r w:rsidRPr="00CD314B">
              <w:rPr>
                <w:sz w:val="18"/>
                <w:szCs w:val="18"/>
              </w:rPr>
              <w:t>0 (0)</w:t>
            </w:r>
          </w:p>
          <w:p w14:paraId="407735CE" w14:textId="77777777" w:rsidR="004A137D" w:rsidRPr="00CD314B" w:rsidRDefault="004A137D" w:rsidP="00CD314B">
            <w:pPr>
              <w:spacing w:line="240" w:lineRule="auto"/>
              <w:rPr>
                <w:sz w:val="18"/>
                <w:szCs w:val="18"/>
              </w:rPr>
            </w:pPr>
            <w:r w:rsidRPr="00CD314B">
              <w:rPr>
                <w:sz w:val="18"/>
                <w:szCs w:val="18"/>
              </w:rPr>
              <w:t>1 (1.6)</w:t>
            </w:r>
          </w:p>
          <w:p w14:paraId="3858006B" w14:textId="77777777" w:rsidR="004A137D" w:rsidRPr="00CD314B" w:rsidRDefault="004A137D" w:rsidP="00CD314B">
            <w:pPr>
              <w:spacing w:line="240" w:lineRule="auto"/>
              <w:rPr>
                <w:sz w:val="18"/>
                <w:szCs w:val="18"/>
              </w:rPr>
            </w:pPr>
            <w:r w:rsidRPr="00CD314B">
              <w:rPr>
                <w:sz w:val="18"/>
                <w:szCs w:val="18"/>
              </w:rPr>
              <w:t>57 (90.5)</w:t>
            </w:r>
          </w:p>
        </w:tc>
        <w:tc>
          <w:tcPr>
            <w:tcW w:w="1843" w:type="dxa"/>
            <w:vAlign w:val="center"/>
          </w:tcPr>
          <w:p w14:paraId="2314E7E2" w14:textId="77777777" w:rsidR="004A137D" w:rsidRPr="00CD314B" w:rsidRDefault="004A137D" w:rsidP="00CD314B">
            <w:pPr>
              <w:spacing w:line="240" w:lineRule="auto"/>
              <w:rPr>
                <w:sz w:val="18"/>
                <w:szCs w:val="18"/>
              </w:rPr>
            </w:pPr>
            <w:r w:rsidRPr="00CD314B">
              <w:rPr>
                <w:sz w:val="18"/>
                <w:szCs w:val="18"/>
              </w:rPr>
              <w:lastRenderedPageBreak/>
              <w:t>&lt;0.001</w:t>
            </w:r>
            <w:r w:rsidRPr="00CD314B">
              <w:rPr>
                <w:sz w:val="18"/>
                <w:szCs w:val="18"/>
                <w:vertAlign w:val="superscript"/>
              </w:rPr>
              <w:t>c***</w:t>
            </w:r>
          </w:p>
        </w:tc>
      </w:tr>
      <w:tr w:rsidR="004A137D" w:rsidRPr="00CD314B" w14:paraId="14CF7716" w14:textId="77777777" w:rsidTr="00CB534B">
        <w:tc>
          <w:tcPr>
            <w:tcW w:w="3964" w:type="dxa"/>
            <w:vAlign w:val="center"/>
          </w:tcPr>
          <w:p w14:paraId="395F763B"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Diagnosed Anxiety, n (%)</w:t>
            </w:r>
          </w:p>
        </w:tc>
        <w:tc>
          <w:tcPr>
            <w:tcW w:w="1559" w:type="dxa"/>
            <w:vAlign w:val="center"/>
          </w:tcPr>
          <w:p w14:paraId="1E47774C" w14:textId="77777777" w:rsidR="004A137D" w:rsidRPr="00CD314B" w:rsidRDefault="004A137D" w:rsidP="00CD314B">
            <w:pPr>
              <w:spacing w:line="240" w:lineRule="auto"/>
              <w:rPr>
                <w:sz w:val="18"/>
                <w:szCs w:val="18"/>
              </w:rPr>
            </w:pPr>
            <w:r w:rsidRPr="00CD314B">
              <w:rPr>
                <w:sz w:val="18"/>
                <w:szCs w:val="18"/>
              </w:rPr>
              <w:t>38 (64.4%)</w:t>
            </w:r>
          </w:p>
        </w:tc>
        <w:tc>
          <w:tcPr>
            <w:tcW w:w="1843" w:type="dxa"/>
            <w:vAlign w:val="center"/>
          </w:tcPr>
          <w:p w14:paraId="36B86B7D" w14:textId="77777777" w:rsidR="004A137D" w:rsidRPr="00CD314B" w:rsidRDefault="004A137D" w:rsidP="00CD314B">
            <w:pPr>
              <w:spacing w:line="240" w:lineRule="auto"/>
              <w:rPr>
                <w:sz w:val="18"/>
                <w:szCs w:val="18"/>
              </w:rPr>
            </w:pPr>
            <w:r w:rsidRPr="00CD314B">
              <w:rPr>
                <w:sz w:val="18"/>
                <w:szCs w:val="18"/>
              </w:rPr>
              <w:t>0</w:t>
            </w:r>
          </w:p>
        </w:tc>
        <w:tc>
          <w:tcPr>
            <w:tcW w:w="1843" w:type="dxa"/>
            <w:vAlign w:val="center"/>
          </w:tcPr>
          <w:p w14:paraId="5C005BD2" w14:textId="77777777" w:rsidR="004A137D" w:rsidRPr="00CD314B" w:rsidRDefault="004A137D" w:rsidP="00CD314B">
            <w:pPr>
              <w:spacing w:line="240" w:lineRule="auto"/>
              <w:rPr>
                <w:sz w:val="18"/>
                <w:szCs w:val="18"/>
              </w:rPr>
            </w:pPr>
            <w:r w:rsidRPr="00CD314B">
              <w:rPr>
                <w:sz w:val="18"/>
                <w:szCs w:val="18"/>
              </w:rPr>
              <w:t>&lt;0.001</w:t>
            </w:r>
            <w:r w:rsidRPr="00CD314B">
              <w:rPr>
                <w:sz w:val="18"/>
                <w:szCs w:val="18"/>
                <w:vertAlign w:val="superscript"/>
              </w:rPr>
              <w:t>d***</w:t>
            </w:r>
          </w:p>
        </w:tc>
      </w:tr>
      <w:tr w:rsidR="004A137D" w:rsidRPr="00CD314B" w14:paraId="0BB283ED" w14:textId="77777777" w:rsidTr="00CB534B">
        <w:tc>
          <w:tcPr>
            <w:tcW w:w="3964" w:type="dxa"/>
            <w:vAlign w:val="center"/>
          </w:tcPr>
          <w:p w14:paraId="76183AC4"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Diagnosed depression, n (%)</w:t>
            </w:r>
          </w:p>
        </w:tc>
        <w:tc>
          <w:tcPr>
            <w:tcW w:w="1559" w:type="dxa"/>
            <w:vAlign w:val="center"/>
          </w:tcPr>
          <w:p w14:paraId="1A935EC0" w14:textId="77777777" w:rsidR="004A137D" w:rsidRPr="00CD314B" w:rsidRDefault="004A137D" w:rsidP="00CD314B">
            <w:pPr>
              <w:spacing w:line="240" w:lineRule="auto"/>
              <w:rPr>
                <w:sz w:val="18"/>
                <w:szCs w:val="18"/>
              </w:rPr>
            </w:pPr>
            <w:r w:rsidRPr="00CD314B">
              <w:rPr>
                <w:sz w:val="18"/>
                <w:szCs w:val="18"/>
              </w:rPr>
              <w:t>30 (50.8)</w:t>
            </w:r>
          </w:p>
        </w:tc>
        <w:tc>
          <w:tcPr>
            <w:tcW w:w="1843" w:type="dxa"/>
            <w:vAlign w:val="center"/>
          </w:tcPr>
          <w:p w14:paraId="22A6B4CF" w14:textId="77777777" w:rsidR="004A137D" w:rsidRPr="00CD314B" w:rsidRDefault="004A137D" w:rsidP="00CD314B">
            <w:pPr>
              <w:spacing w:line="240" w:lineRule="auto"/>
              <w:rPr>
                <w:sz w:val="18"/>
                <w:szCs w:val="18"/>
              </w:rPr>
            </w:pPr>
            <w:r w:rsidRPr="00CD314B">
              <w:rPr>
                <w:sz w:val="18"/>
                <w:szCs w:val="18"/>
              </w:rPr>
              <w:t>0</w:t>
            </w:r>
          </w:p>
        </w:tc>
        <w:tc>
          <w:tcPr>
            <w:tcW w:w="1843" w:type="dxa"/>
            <w:vAlign w:val="center"/>
          </w:tcPr>
          <w:p w14:paraId="7073207E" w14:textId="77777777" w:rsidR="004A137D" w:rsidRPr="00CD314B" w:rsidRDefault="004A137D" w:rsidP="00CD314B">
            <w:pPr>
              <w:spacing w:line="240" w:lineRule="auto"/>
              <w:rPr>
                <w:sz w:val="18"/>
                <w:szCs w:val="18"/>
              </w:rPr>
            </w:pPr>
            <w:r w:rsidRPr="00CD314B">
              <w:rPr>
                <w:sz w:val="18"/>
                <w:szCs w:val="18"/>
              </w:rPr>
              <w:t>&lt;0.001</w:t>
            </w:r>
            <w:r w:rsidRPr="00CD314B">
              <w:rPr>
                <w:sz w:val="18"/>
                <w:szCs w:val="18"/>
                <w:vertAlign w:val="superscript"/>
              </w:rPr>
              <w:t>d***</w:t>
            </w:r>
          </w:p>
        </w:tc>
      </w:tr>
      <w:tr w:rsidR="004A137D" w:rsidRPr="00CD314B" w14:paraId="7C018462" w14:textId="77777777" w:rsidTr="00CB534B">
        <w:trPr>
          <w:trHeight w:val="335"/>
        </w:trPr>
        <w:tc>
          <w:tcPr>
            <w:tcW w:w="3964" w:type="dxa"/>
            <w:vAlign w:val="center"/>
          </w:tcPr>
          <w:p w14:paraId="5A7BE234"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Diagnosed PTSD, n (%)</w:t>
            </w:r>
          </w:p>
        </w:tc>
        <w:tc>
          <w:tcPr>
            <w:tcW w:w="1559" w:type="dxa"/>
            <w:vAlign w:val="center"/>
          </w:tcPr>
          <w:p w14:paraId="5DA1CD30" w14:textId="77777777" w:rsidR="004A137D" w:rsidRPr="00CD314B" w:rsidRDefault="004A137D" w:rsidP="00CD314B">
            <w:pPr>
              <w:spacing w:line="240" w:lineRule="auto"/>
              <w:rPr>
                <w:sz w:val="18"/>
                <w:szCs w:val="18"/>
              </w:rPr>
            </w:pPr>
            <w:r w:rsidRPr="00CD314B">
              <w:rPr>
                <w:sz w:val="18"/>
                <w:szCs w:val="18"/>
              </w:rPr>
              <w:t>20 (33.9)</w:t>
            </w:r>
          </w:p>
        </w:tc>
        <w:tc>
          <w:tcPr>
            <w:tcW w:w="1843" w:type="dxa"/>
            <w:vAlign w:val="center"/>
          </w:tcPr>
          <w:p w14:paraId="2349A4A6" w14:textId="77777777" w:rsidR="004A137D" w:rsidRPr="00CD314B" w:rsidRDefault="004A137D" w:rsidP="00CD314B">
            <w:pPr>
              <w:spacing w:line="240" w:lineRule="auto"/>
              <w:rPr>
                <w:sz w:val="18"/>
                <w:szCs w:val="18"/>
              </w:rPr>
            </w:pPr>
            <w:r w:rsidRPr="00CD314B">
              <w:rPr>
                <w:sz w:val="18"/>
                <w:szCs w:val="18"/>
              </w:rPr>
              <w:t>0</w:t>
            </w:r>
          </w:p>
        </w:tc>
        <w:tc>
          <w:tcPr>
            <w:tcW w:w="1843" w:type="dxa"/>
            <w:vAlign w:val="center"/>
          </w:tcPr>
          <w:p w14:paraId="5B3E3198" w14:textId="77777777" w:rsidR="004A137D" w:rsidRPr="00CD314B" w:rsidRDefault="004A137D" w:rsidP="00CD314B">
            <w:pPr>
              <w:spacing w:line="240" w:lineRule="auto"/>
              <w:rPr>
                <w:sz w:val="18"/>
                <w:szCs w:val="18"/>
              </w:rPr>
            </w:pPr>
            <w:r w:rsidRPr="00CD314B">
              <w:rPr>
                <w:sz w:val="18"/>
                <w:szCs w:val="18"/>
              </w:rPr>
              <w:t>&lt;0.001</w:t>
            </w:r>
            <w:r w:rsidRPr="00CD314B">
              <w:rPr>
                <w:sz w:val="18"/>
                <w:szCs w:val="18"/>
                <w:vertAlign w:val="superscript"/>
              </w:rPr>
              <w:t>d***</w:t>
            </w:r>
          </w:p>
        </w:tc>
      </w:tr>
      <w:tr w:rsidR="004A137D" w:rsidRPr="00CD314B" w14:paraId="1BBDBF03" w14:textId="77777777" w:rsidTr="00CB534B">
        <w:trPr>
          <w:trHeight w:val="268"/>
        </w:trPr>
        <w:tc>
          <w:tcPr>
            <w:tcW w:w="3964" w:type="dxa"/>
            <w:vAlign w:val="center"/>
          </w:tcPr>
          <w:p w14:paraId="6140A095"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Diagnosed OCD, n (%)</w:t>
            </w:r>
          </w:p>
        </w:tc>
        <w:tc>
          <w:tcPr>
            <w:tcW w:w="1559" w:type="dxa"/>
            <w:vAlign w:val="center"/>
          </w:tcPr>
          <w:p w14:paraId="075D4D13" w14:textId="77777777" w:rsidR="004A137D" w:rsidRPr="00CD314B" w:rsidRDefault="004A137D" w:rsidP="00CD314B">
            <w:pPr>
              <w:spacing w:line="240" w:lineRule="auto"/>
              <w:rPr>
                <w:sz w:val="18"/>
                <w:szCs w:val="18"/>
              </w:rPr>
            </w:pPr>
            <w:r w:rsidRPr="00CD314B">
              <w:rPr>
                <w:sz w:val="18"/>
                <w:szCs w:val="18"/>
              </w:rPr>
              <w:t>5 (8.5)</w:t>
            </w:r>
          </w:p>
        </w:tc>
        <w:tc>
          <w:tcPr>
            <w:tcW w:w="1843" w:type="dxa"/>
            <w:vAlign w:val="center"/>
          </w:tcPr>
          <w:p w14:paraId="21627652" w14:textId="77777777" w:rsidR="004A137D" w:rsidRPr="00CD314B" w:rsidRDefault="004A137D" w:rsidP="00CD314B">
            <w:pPr>
              <w:spacing w:line="240" w:lineRule="auto"/>
              <w:rPr>
                <w:sz w:val="18"/>
                <w:szCs w:val="18"/>
              </w:rPr>
            </w:pPr>
            <w:r w:rsidRPr="00CD314B">
              <w:rPr>
                <w:sz w:val="18"/>
                <w:szCs w:val="18"/>
              </w:rPr>
              <w:t>0</w:t>
            </w:r>
          </w:p>
        </w:tc>
        <w:tc>
          <w:tcPr>
            <w:tcW w:w="1843" w:type="dxa"/>
            <w:vAlign w:val="center"/>
          </w:tcPr>
          <w:p w14:paraId="5961E5E7" w14:textId="77777777" w:rsidR="004A137D" w:rsidRPr="00CD314B" w:rsidRDefault="004A137D" w:rsidP="00CD314B">
            <w:pPr>
              <w:spacing w:line="240" w:lineRule="auto"/>
              <w:rPr>
                <w:sz w:val="18"/>
                <w:szCs w:val="18"/>
                <w:vertAlign w:val="superscript"/>
              </w:rPr>
            </w:pPr>
            <w:r w:rsidRPr="00CD314B">
              <w:rPr>
                <w:sz w:val="18"/>
                <w:szCs w:val="18"/>
              </w:rPr>
              <w:t>0.024</w:t>
            </w:r>
            <w:r w:rsidRPr="00CD314B">
              <w:rPr>
                <w:sz w:val="18"/>
                <w:szCs w:val="18"/>
                <w:vertAlign w:val="superscript"/>
              </w:rPr>
              <w:t>d*</w:t>
            </w:r>
          </w:p>
        </w:tc>
      </w:tr>
      <w:tr w:rsidR="004A137D" w:rsidRPr="00CD314B" w14:paraId="485F47D2" w14:textId="77777777" w:rsidTr="00CB534B">
        <w:tc>
          <w:tcPr>
            <w:tcW w:w="3964" w:type="dxa"/>
            <w:vAlign w:val="center"/>
          </w:tcPr>
          <w:p w14:paraId="5955A5BD"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Previous psychological treatment, n (%)</w:t>
            </w:r>
          </w:p>
        </w:tc>
        <w:tc>
          <w:tcPr>
            <w:tcW w:w="1559" w:type="dxa"/>
            <w:vAlign w:val="center"/>
          </w:tcPr>
          <w:p w14:paraId="45C420B9" w14:textId="77777777" w:rsidR="004A137D" w:rsidRPr="00CD314B" w:rsidRDefault="004A137D" w:rsidP="00CD314B">
            <w:pPr>
              <w:spacing w:line="240" w:lineRule="auto"/>
              <w:rPr>
                <w:sz w:val="18"/>
                <w:szCs w:val="18"/>
              </w:rPr>
            </w:pPr>
            <w:r w:rsidRPr="00CD314B">
              <w:rPr>
                <w:sz w:val="18"/>
                <w:szCs w:val="18"/>
              </w:rPr>
              <w:t>33 (55.9%)</w:t>
            </w:r>
          </w:p>
        </w:tc>
        <w:tc>
          <w:tcPr>
            <w:tcW w:w="1843" w:type="dxa"/>
            <w:vAlign w:val="center"/>
          </w:tcPr>
          <w:p w14:paraId="1028239D" w14:textId="77777777" w:rsidR="004A137D" w:rsidRPr="00CD314B" w:rsidRDefault="004A137D" w:rsidP="00CD314B">
            <w:pPr>
              <w:spacing w:line="240" w:lineRule="auto"/>
              <w:rPr>
                <w:sz w:val="18"/>
                <w:szCs w:val="18"/>
              </w:rPr>
            </w:pPr>
            <w:r w:rsidRPr="00CD314B">
              <w:rPr>
                <w:sz w:val="18"/>
                <w:szCs w:val="18"/>
              </w:rPr>
              <w:t>21 (33.3%)</w:t>
            </w:r>
          </w:p>
        </w:tc>
        <w:tc>
          <w:tcPr>
            <w:tcW w:w="1843" w:type="dxa"/>
            <w:vAlign w:val="center"/>
          </w:tcPr>
          <w:p w14:paraId="6EEAFFAB" w14:textId="77777777" w:rsidR="004A137D" w:rsidRPr="00CD314B" w:rsidRDefault="004A137D" w:rsidP="00CD314B">
            <w:pPr>
              <w:spacing w:line="240" w:lineRule="auto"/>
              <w:rPr>
                <w:sz w:val="18"/>
                <w:szCs w:val="18"/>
                <w:vertAlign w:val="superscript"/>
              </w:rPr>
            </w:pPr>
            <w:r w:rsidRPr="00CD314B">
              <w:rPr>
                <w:sz w:val="18"/>
                <w:szCs w:val="18"/>
              </w:rPr>
              <w:t>0.012</w:t>
            </w:r>
            <w:r w:rsidRPr="00CD314B">
              <w:rPr>
                <w:sz w:val="18"/>
                <w:szCs w:val="18"/>
                <w:vertAlign w:val="superscript"/>
              </w:rPr>
              <w:t>c*</w:t>
            </w:r>
          </w:p>
        </w:tc>
      </w:tr>
      <w:tr w:rsidR="004A137D" w:rsidRPr="00CD314B" w14:paraId="59735206" w14:textId="77777777" w:rsidTr="00CB534B">
        <w:trPr>
          <w:trHeight w:val="1030"/>
        </w:trPr>
        <w:tc>
          <w:tcPr>
            <w:tcW w:w="3964" w:type="dxa"/>
            <w:vAlign w:val="center"/>
          </w:tcPr>
          <w:p w14:paraId="0A531125" w14:textId="77777777" w:rsidR="004A137D" w:rsidRPr="00CD314B" w:rsidRDefault="004A137D" w:rsidP="00CD314B">
            <w:pPr>
              <w:spacing w:line="240" w:lineRule="auto"/>
              <w:rPr>
                <w:rFonts w:ascii="Avenir Heavy" w:hAnsi="Avenir Heavy"/>
                <w:b/>
                <w:bCs/>
                <w:sz w:val="18"/>
                <w:szCs w:val="18"/>
              </w:rPr>
            </w:pPr>
            <w:r w:rsidRPr="00CD314B">
              <w:rPr>
                <w:rFonts w:ascii="Avenir Heavy" w:hAnsi="Avenir Heavy"/>
                <w:b/>
                <w:bCs/>
                <w:sz w:val="18"/>
                <w:szCs w:val="18"/>
              </w:rPr>
              <w:t>Medication, median (range)</w:t>
            </w:r>
          </w:p>
          <w:p w14:paraId="2FC5615B" w14:textId="77777777" w:rsidR="004A137D" w:rsidRPr="00CD314B" w:rsidRDefault="004A137D" w:rsidP="00CD314B">
            <w:pPr>
              <w:spacing w:line="240" w:lineRule="auto"/>
              <w:rPr>
                <w:sz w:val="18"/>
                <w:szCs w:val="18"/>
              </w:rPr>
            </w:pPr>
            <w:r w:rsidRPr="00CD314B">
              <w:rPr>
                <w:sz w:val="18"/>
                <w:szCs w:val="18"/>
              </w:rPr>
              <w:t>0</w:t>
            </w:r>
          </w:p>
          <w:p w14:paraId="42349A47" w14:textId="77777777" w:rsidR="004A137D" w:rsidRPr="00CD314B" w:rsidRDefault="004A137D" w:rsidP="00CD314B">
            <w:pPr>
              <w:spacing w:line="240" w:lineRule="auto"/>
              <w:rPr>
                <w:sz w:val="18"/>
                <w:szCs w:val="18"/>
              </w:rPr>
            </w:pPr>
            <w:r w:rsidRPr="00CD314B">
              <w:rPr>
                <w:sz w:val="18"/>
                <w:szCs w:val="18"/>
              </w:rPr>
              <w:t>1</w:t>
            </w:r>
          </w:p>
          <w:p w14:paraId="770F74CD" w14:textId="77777777" w:rsidR="004A137D" w:rsidRPr="00CD314B" w:rsidRDefault="004A137D" w:rsidP="00CD314B">
            <w:pPr>
              <w:spacing w:line="240" w:lineRule="auto"/>
              <w:rPr>
                <w:sz w:val="18"/>
                <w:szCs w:val="18"/>
              </w:rPr>
            </w:pPr>
            <w:r w:rsidRPr="00CD314B">
              <w:rPr>
                <w:sz w:val="18"/>
                <w:szCs w:val="18"/>
              </w:rPr>
              <w:t>2 – 5</w:t>
            </w:r>
          </w:p>
          <w:p w14:paraId="2700C29A" w14:textId="77777777" w:rsidR="004A137D" w:rsidRPr="00CD314B" w:rsidRDefault="004A137D" w:rsidP="00CD314B">
            <w:pPr>
              <w:spacing w:line="240" w:lineRule="auto"/>
              <w:rPr>
                <w:rFonts w:ascii="Avenir Heavy" w:hAnsi="Avenir Heavy"/>
                <w:b/>
                <w:bCs/>
                <w:sz w:val="18"/>
                <w:szCs w:val="18"/>
              </w:rPr>
            </w:pPr>
            <w:r w:rsidRPr="00CD314B">
              <w:rPr>
                <w:sz w:val="18"/>
                <w:szCs w:val="18"/>
              </w:rPr>
              <w:t>6+</w:t>
            </w:r>
          </w:p>
        </w:tc>
        <w:tc>
          <w:tcPr>
            <w:tcW w:w="1559" w:type="dxa"/>
            <w:vAlign w:val="center"/>
          </w:tcPr>
          <w:p w14:paraId="63365799" w14:textId="77777777" w:rsidR="004A137D" w:rsidRPr="00CD314B" w:rsidRDefault="004A137D" w:rsidP="00CD314B">
            <w:pPr>
              <w:spacing w:line="240" w:lineRule="auto"/>
              <w:rPr>
                <w:sz w:val="18"/>
                <w:szCs w:val="18"/>
              </w:rPr>
            </w:pPr>
          </w:p>
          <w:p w14:paraId="36CB77A0" w14:textId="77777777" w:rsidR="004A137D" w:rsidRPr="00CD314B" w:rsidRDefault="004A137D" w:rsidP="00CD314B">
            <w:pPr>
              <w:spacing w:line="240" w:lineRule="auto"/>
              <w:rPr>
                <w:sz w:val="18"/>
                <w:szCs w:val="18"/>
              </w:rPr>
            </w:pPr>
            <w:r w:rsidRPr="00CD314B">
              <w:rPr>
                <w:sz w:val="18"/>
                <w:szCs w:val="18"/>
              </w:rPr>
              <w:t>9 (15.3%)</w:t>
            </w:r>
          </w:p>
          <w:p w14:paraId="36B9164F" w14:textId="77777777" w:rsidR="004A137D" w:rsidRPr="00CD314B" w:rsidRDefault="004A137D" w:rsidP="00CD314B">
            <w:pPr>
              <w:spacing w:line="240" w:lineRule="auto"/>
              <w:rPr>
                <w:sz w:val="18"/>
                <w:szCs w:val="18"/>
              </w:rPr>
            </w:pPr>
            <w:r w:rsidRPr="00CD314B">
              <w:rPr>
                <w:sz w:val="18"/>
                <w:szCs w:val="18"/>
              </w:rPr>
              <w:t>15 (25.4%)</w:t>
            </w:r>
          </w:p>
          <w:p w14:paraId="75999EBA" w14:textId="77777777" w:rsidR="004A137D" w:rsidRPr="00CD314B" w:rsidRDefault="004A137D" w:rsidP="00CD314B">
            <w:pPr>
              <w:spacing w:line="240" w:lineRule="auto"/>
              <w:rPr>
                <w:sz w:val="18"/>
                <w:szCs w:val="18"/>
              </w:rPr>
            </w:pPr>
            <w:r w:rsidRPr="00CD314B">
              <w:rPr>
                <w:sz w:val="18"/>
                <w:szCs w:val="18"/>
              </w:rPr>
              <w:t>22 (37.3%)</w:t>
            </w:r>
          </w:p>
          <w:p w14:paraId="216B3118" w14:textId="77777777" w:rsidR="004A137D" w:rsidRPr="00CD314B" w:rsidRDefault="004A137D" w:rsidP="00CD314B">
            <w:pPr>
              <w:spacing w:line="240" w:lineRule="auto"/>
              <w:rPr>
                <w:sz w:val="18"/>
                <w:szCs w:val="18"/>
              </w:rPr>
            </w:pPr>
            <w:r w:rsidRPr="00CD314B">
              <w:rPr>
                <w:sz w:val="18"/>
                <w:szCs w:val="18"/>
              </w:rPr>
              <w:t>13 (22.0%)</w:t>
            </w:r>
          </w:p>
        </w:tc>
        <w:tc>
          <w:tcPr>
            <w:tcW w:w="1843" w:type="dxa"/>
            <w:vAlign w:val="center"/>
          </w:tcPr>
          <w:p w14:paraId="2847325F" w14:textId="77777777" w:rsidR="004A137D" w:rsidRPr="00CD314B" w:rsidRDefault="004A137D" w:rsidP="00CD314B">
            <w:pPr>
              <w:spacing w:line="240" w:lineRule="auto"/>
              <w:rPr>
                <w:sz w:val="18"/>
                <w:szCs w:val="18"/>
              </w:rPr>
            </w:pPr>
          </w:p>
          <w:p w14:paraId="4E643962" w14:textId="77777777" w:rsidR="004A137D" w:rsidRPr="00CD314B" w:rsidRDefault="004A137D" w:rsidP="00CD314B">
            <w:pPr>
              <w:spacing w:line="240" w:lineRule="auto"/>
              <w:rPr>
                <w:sz w:val="18"/>
                <w:szCs w:val="18"/>
              </w:rPr>
            </w:pPr>
            <w:r w:rsidRPr="00CD314B">
              <w:rPr>
                <w:sz w:val="18"/>
                <w:szCs w:val="18"/>
              </w:rPr>
              <w:t>56 (88.8%)</w:t>
            </w:r>
          </w:p>
          <w:p w14:paraId="75FA3A64" w14:textId="77777777" w:rsidR="004A137D" w:rsidRPr="00CD314B" w:rsidRDefault="004A137D" w:rsidP="00CD314B">
            <w:pPr>
              <w:spacing w:line="240" w:lineRule="auto"/>
              <w:rPr>
                <w:sz w:val="18"/>
                <w:szCs w:val="18"/>
              </w:rPr>
            </w:pPr>
            <w:r w:rsidRPr="00CD314B">
              <w:rPr>
                <w:sz w:val="18"/>
                <w:szCs w:val="18"/>
              </w:rPr>
              <w:t>3 (4.8%)</w:t>
            </w:r>
          </w:p>
          <w:p w14:paraId="1B9F0DB5" w14:textId="77777777" w:rsidR="004A137D" w:rsidRPr="00CD314B" w:rsidRDefault="004A137D" w:rsidP="00CD314B">
            <w:pPr>
              <w:spacing w:line="240" w:lineRule="auto"/>
              <w:rPr>
                <w:sz w:val="18"/>
                <w:szCs w:val="18"/>
              </w:rPr>
            </w:pPr>
            <w:r w:rsidRPr="00CD314B">
              <w:rPr>
                <w:sz w:val="18"/>
                <w:szCs w:val="18"/>
              </w:rPr>
              <w:t>4 (6.3%)</w:t>
            </w:r>
          </w:p>
          <w:p w14:paraId="3FDDAA80" w14:textId="77777777" w:rsidR="004A137D" w:rsidRPr="00CD314B" w:rsidRDefault="004A137D" w:rsidP="00CD314B">
            <w:pPr>
              <w:spacing w:line="240" w:lineRule="auto"/>
              <w:rPr>
                <w:sz w:val="18"/>
                <w:szCs w:val="18"/>
              </w:rPr>
            </w:pPr>
            <w:r w:rsidRPr="00CD314B">
              <w:rPr>
                <w:sz w:val="18"/>
                <w:szCs w:val="18"/>
              </w:rPr>
              <w:t>0 (0)</w:t>
            </w:r>
          </w:p>
        </w:tc>
        <w:tc>
          <w:tcPr>
            <w:tcW w:w="1843" w:type="dxa"/>
            <w:vAlign w:val="center"/>
          </w:tcPr>
          <w:p w14:paraId="35E2D0DC" w14:textId="77777777" w:rsidR="004A137D" w:rsidRPr="00CD314B" w:rsidRDefault="004A137D" w:rsidP="00CD314B">
            <w:pPr>
              <w:spacing w:line="240" w:lineRule="auto"/>
              <w:rPr>
                <w:sz w:val="18"/>
                <w:szCs w:val="18"/>
                <w:vertAlign w:val="superscript"/>
              </w:rPr>
            </w:pPr>
            <w:r w:rsidRPr="00CD314B">
              <w:rPr>
                <w:sz w:val="18"/>
                <w:szCs w:val="18"/>
              </w:rPr>
              <w:t>&lt;0.001</w:t>
            </w:r>
            <w:r w:rsidRPr="00CD314B">
              <w:rPr>
                <w:sz w:val="18"/>
                <w:szCs w:val="18"/>
                <w:vertAlign w:val="superscript"/>
              </w:rPr>
              <w:t>d***</w:t>
            </w:r>
          </w:p>
        </w:tc>
      </w:tr>
    </w:tbl>
    <w:p w14:paraId="0A5368F2" w14:textId="77412BE0" w:rsidR="004A137D" w:rsidRDefault="004A137D">
      <w:pPr>
        <w:rPr>
          <w:i/>
          <w:iCs/>
          <w:sz w:val="18"/>
          <w:szCs w:val="18"/>
        </w:rPr>
      </w:pPr>
      <w:r w:rsidRPr="00EC258D">
        <w:rPr>
          <w:i/>
          <w:iCs/>
          <w:sz w:val="18"/>
          <w:szCs w:val="18"/>
        </w:rPr>
        <w:t xml:space="preserve">Note: Economically active = in full - / part-time </w:t>
      </w:r>
      <w:r>
        <w:rPr>
          <w:i/>
          <w:iCs/>
          <w:sz w:val="18"/>
          <w:szCs w:val="18"/>
        </w:rPr>
        <w:t>work/education</w:t>
      </w:r>
      <w:r w:rsidRPr="00EC258D">
        <w:rPr>
          <w:i/>
          <w:iCs/>
          <w:sz w:val="18"/>
          <w:szCs w:val="18"/>
        </w:rPr>
        <w:t xml:space="preserve"> or homemaker.</w:t>
      </w:r>
      <w:r>
        <w:rPr>
          <w:i/>
          <w:iCs/>
          <w:sz w:val="18"/>
          <w:szCs w:val="18"/>
        </w:rPr>
        <w:t xml:space="preserve"> </w:t>
      </w:r>
      <w:r w:rsidRPr="00EC258D">
        <w:rPr>
          <w:i/>
          <w:iCs/>
          <w:sz w:val="18"/>
          <w:szCs w:val="18"/>
        </w:rPr>
        <w:t>Previous psychological treatment = patient has previously received psychological therapy.</w:t>
      </w:r>
      <w:r>
        <w:rPr>
          <w:i/>
          <w:iCs/>
          <w:sz w:val="18"/>
          <w:szCs w:val="18"/>
        </w:rPr>
        <w:t xml:space="preserve"> </w:t>
      </w:r>
      <w:r w:rsidRPr="00EC258D">
        <w:rPr>
          <w:i/>
          <w:iCs/>
          <w:sz w:val="18"/>
          <w:szCs w:val="18"/>
        </w:rPr>
        <w:t>Medication = median number of prescribed medications.</w:t>
      </w:r>
      <w:r>
        <w:rPr>
          <w:i/>
          <w:iCs/>
          <w:sz w:val="18"/>
          <w:szCs w:val="18"/>
        </w:rPr>
        <w:t xml:space="preserve"> </w:t>
      </w:r>
      <w:r w:rsidRPr="00EC258D">
        <w:rPr>
          <w:i/>
          <w:iCs/>
          <w:sz w:val="18"/>
          <w:szCs w:val="18"/>
        </w:rPr>
        <w:t>Student’s t-test (</w:t>
      </w:r>
      <w:r w:rsidRPr="00EC258D">
        <w:rPr>
          <w:i/>
          <w:iCs/>
          <w:sz w:val="18"/>
          <w:szCs w:val="18"/>
          <w:vertAlign w:val="superscript"/>
        </w:rPr>
        <w:t>a</w:t>
      </w:r>
      <w:r w:rsidRPr="00EC258D">
        <w:rPr>
          <w:i/>
          <w:iCs/>
          <w:sz w:val="18"/>
          <w:szCs w:val="18"/>
        </w:rPr>
        <w:t>); Mann-Whitney U test (</w:t>
      </w:r>
      <w:r w:rsidRPr="00EC258D">
        <w:rPr>
          <w:i/>
          <w:iCs/>
          <w:sz w:val="18"/>
          <w:szCs w:val="18"/>
          <w:vertAlign w:val="superscript"/>
        </w:rPr>
        <w:t>b</w:t>
      </w:r>
      <w:r w:rsidRPr="00EC258D">
        <w:rPr>
          <w:i/>
          <w:iCs/>
          <w:sz w:val="18"/>
          <w:szCs w:val="18"/>
        </w:rPr>
        <w:t>); Pearson’s chi-square (</w:t>
      </w:r>
      <w:r w:rsidRPr="00EC258D">
        <w:rPr>
          <w:i/>
          <w:iCs/>
          <w:sz w:val="18"/>
          <w:szCs w:val="18"/>
          <w:vertAlign w:val="superscript"/>
        </w:rPr>
        <w:t>c</w:t>
      </w:r>
      <w:r w:rsidRPr="00EC258D">
        <w:rPr>
          <w:i/>
          <w:iCs/>
          <w:sz w:val="18"/>
          <w:szCs w:val="18"/>
        </w:rPr>
        <w:t>) or Fisher’s exact test (</w:t>
      </w:r>
      <w:r w:rsidRPr="00EC258D">
        <w:rPr>
          <w:i/>
          <w:iCs/>
          <w:sz w:val="18"/>
          <w:szCs w:val="18"/>
          <w:vertAlign w:val="superscript"/>
        </w:rPr>
        <w:t>d</w:t>
      </w:r>
      <w:r w:rsidRPr="00EC258D">
        <w:rPr>
          <w:i/>
          <w:iCs/>
          <w:sz w:val="18"/>
          <w:szCs w:val="18"/>
        </w:rPr>
        <w:t>).</w:t>
      </w:r>
      <w:r>
        <w:rPr>
          <w:i/>
          <w:iCs/>
          <w:sz w:val="18"/>
          <w:szCs w:val="18"/>
        </w:rPr>
        <w:t xml:space="preserve"> </w:t>
      </w:r>
      <w:r w:rsidRPr="00EC258D">
        <w:rPr>
          <w:i/>
          <w:iCs/>
          <w:sz w:val="18"/>
          <w:szCs w:val="18"/>
        </w:rPr>
        <w:t xml:space="preserve">Significance set at 0.05; &lt;0.001***, &lt;0.01**, &lt;0.05*. </w:t>
      </w:r>
    </w:p>
    <w:p w14:paraId="56D8FB2C" w14:textId="77777777" w:rsidR="00CD314B" w:rsidRPr="00FE03F9" w:rsidRDefault="00CD314B">
      <w:pPr>
        <w:rPr>
          <w:i/>
          <w:iCs/>
          <w:sz w:val="18"/>
          <w:szCs w:val="18"/>
        </w:rPr>
      </w:pPr>
    </w:p>
    <w:p w14:paraId="3CEDB1D4" w14:textId="7DFBAA4D" w:rsidR="004A137D" w:rsidRDefault="00CD314B" w:rsidP="007C2B10">
      <w:pPr>
        <w:pStyle w:val="Heading3"/>
      </w:pPr>
      <w:bookmarkStart w:id="174" w:name="_Toc137504786"/>
      <w:r>
        <w:t>5.</w:t>
      </w:r>
      <w:r w:rsidR="004A137D" w:rsidRPr="00F95717">
        <w:t>3.</w:t>
      </w:r>
      <w:r w:rsidR="004A137D">
        <w:t>3</w:t>
      </w:r>
      <w:r w:rsidR="004A137D" w:rsidRPr="00F95717">
        <w:t xml:space="preserve"> </w:t>
      </w:r>
      <w:r w:rsidR="004A137D">
        <w:t>Between-group comparisons</w:t>
      </w:r>
      <w:bookmarkEnd w:id="174"/>
    </w:p>
    <w:p w14:paraId="05CBE869" w14:textId="77777777" w:rsidR="004A137D" w:rsidRDefault="004A137D" w:rsidP="00FC747D">
      <w:pPr>
        <w:rPr>
          <w:rFonts w:cs="Open Sans"/>
          <w:szCs w:val="22"/>
        </w:rPr>
      </w:pPr>
      <w:r>
        <w:rPr>
          <w:rFonts w:cs="Open Sans"/>
          <w:szCs w:val="22"/>
        </w:rPr>
        <w:t xml:space="preserve">In the study sample, </w:t>
      </w:r>
      <w:r w:rsidRPr="003E72DA">
        <w:rPr>
          <w:rFonts w:cs="Open Sans"/>
          <w:szCs w:val="22"/>
        </w:rPr>
        <w:t>FNSD patients had significantly greater</w:t>
      </w:r>
      <w:r>
        <w:rPr>
          <w:rFonts w:cs="Open Sans"/>
          <w:szCs w:val="22"/>
        </w:rPr>
        <w:t xml:space="preserve"> scores</w:t>
      </w:r>
      <w:r w:rsidRPr="003E72DA">
        <w:rPr>
          <w:rFonts w:cs="Open Sans"/>
          <w:szCs w:val="22"/>
        </w:rPr>
        <w:t xml:space="preserve"> </w:t>
      </w:r>
      <w:r>
        <w:rPr>
          <w:rFonts w:cs="Open Sans"/>
          <w:szCs w:val="22"/>
        </w:rPr>
        <w:t>for d</w:t>
      </w:r>
      <w:r w:rsidRPr="00724698">
        <w:rPr>
          <w:rFonts w:cs="Open Sans"/>
          <w:szCs w:val="22"/>
        </w:rPr>
        <w:t>ifficulty</w:t>
      </w:r>
      <w:r>
        <w:rPr>
          <w:rFonts w:cs="Open Sans"/>
          <w:szCs w:val="22"/>
        </w:rPr>
        <w:t xml:space="preserve"> with </w:t>
      </w:r>
      <w:r w:rsidRPr="00724698">
        <w:rPr>
          <w:rFonts w:cs="Open Sans"/>
          <w:szCs w:val="22"/>
        </w:rPr>
        <w:t xml:space="preserve">emotion regulation, </w:t>
      </w:r>
      <w:r>
        <w:rPr>
          <w:rFonts w:cs="Open Sans"/>
          <w:szCs w:val="22"/>
        </w:rPr>
        <w:t>d</w:t>
      </w:r>
      <w:r w:rsidRPr="00724698">
        <w:rPr>
          <w:rFonts w:cs="Open Sans"/>
          <w:szCs w:val="22"/>
        </w:rPr>
        <w:t>epression</w:t>
      </w:r>
      <w:r>
        <w:rPr>
          <w:rFonts w:cs="Open Sans"/>
          <w:szCs w:val="22"/>
        </w:rPr>
        <w:t>, anxiety</w:t>
      </w:r>
      <w:r w:rsidRPr="00724698">
        <w:rPr>
          <w:rFonts w:cs="Open Sans"/>
          <w:szCs w:val="22"/>
        </w:rPr>
        <w:t>, somatic symptoms</w:t>
      </w:r>
      <w:r>
        <w:rPr>
          <w:rFonts w:cs="Open Sans"/>
          <w:szCs w:val="22"/>
        </w:rPr>
        <w:t xml:space="preserve"> </w:t>
      </w:r>
      <w:r w:rsidRPr="00724698">
        <w:rPr>
          <w:rFonts w:cs="Open Sans"/>
          <w:szCs w:val="22"/>
        </w:rPr>
        <w:t>and quality of life</w:t>
      </w:r>
      <w:r>
        <w:rPr>
          <w:rFonts w:cs="Open Sans"/>
          <w:szCs w:val="22"/>
        </w:rPr>
        <w:t xml:space="preserve"> than the healthy control group. The overall discounting rate and specific discount rates</w:t>
      </w:r>
      <w:r w:rsidRPr="00724698">
        <w:rPr>
          <w:rFonts w:cs="Open Sans"/>
          <w:szCs w:val="22"/>
        </w:rPr>
        <w:t xml:space="preserve"> for medium and large rewards were also significantly different between the two groups.</w:t>
      </w:r>
      <w:r>
        <w:rPr>
          <w:rFonts w:cs="Open Sans"/>
          <w:szCs w:val="22"/>
        </w:rPr>
        <w:t xml:space="preserve"> However, the difference in rates</w:t>
      </w:r>
      <w:r w:rsidRPr="00724698">
        <w:rPr>
          <w:rFonts w:cs="Open Sans"/>
          <w:szCs w:val="22"/>
        </w:rPr>
        <w:t xml:space="preserve"> for small rewards</w:t>
      </w:r>
      <w:r>
        <w:rPr>
          <w:rFonts w:cs="Open Sans"/>
          <w:szCs w:val="22"/>
        </w:rPr>
        <w:t xml:space="preserve"> (£25 to £35)</w:t>
      </w:r>
      <w:r w:rsidRPr="00724698">
        <w:rPr>
          <w:rFonts w:cs="Open Sans"/>
          <w:szCs w:val="22"/>
        </w:rPr>
        <w:t xml:space="preserve"> did not reach significance.</w:t>
      </w:r>
      <w:r>
        <w:rPr>
          <w:rFonts w:cs="Open Sans"/>
          <w:szCs w:val="22"/>
        </w:rPr>
        <w:t xml:space="preserve"> </w:t>
      </w:r>
      <w:r w:rsidRPr="00724698">
        <w:rPr>
          <w:rFonts w:cs="Open Sans"/>
          <w:szCs w:val="22"/>
        </w:rPr>
        <w:t xml:space="preserve">The </w:t>
      </w:r>
      <w:r>
        <w:rPr>
          <w:rFonts w:cs="Open Sans"/>
          <w:szCs w:val="22"/>
        </w:rPr>
        <w:t xml:space="preserve">overall </w:t>
      </w:r>
      <w:r w:rsidRPr="00724698">
        <w:rPr>
          <w:rFonts w:cs="Open Sans"/>
          <w:szCs w:val="22"/>
        </w:rPr>
        <w:t>proportion of larger delayed rewards</w:t>
      </w:r>
      <w:r>
        <w:rPr>
          <w:rFonts w:cs="Open Sans"/>
          <w:szCs w:val="22"/>
        </w:rPr>
        <w:t xml:space="preserve"> (LDR) chosen differed between groups. In regard </w:t>
      </w:r>
      <w:r w:rsidRPr="00724698">
        <w:rPr>
          <w:rFonts w:cs="Open Sans"/>
          <w:szCs w:val="22"/>
        </w:rPr>
        <w:t>to the negative affective priming task</w:t>
      </w:r>
      <w:r>
        <w:rPr>
          <w:rFonts w:cs="Open Sans"/>
          <w:szCs w:val="22"/>
        </w:rPr>
        <w:t xml:space="preserve">, reaction times in the control probe trials (i.e. incongruent distractors-prime and probe-targets) </w:t>
      </w:r>
      <w:r w:rsidRPr="00724698">
        <w:rPr>
          <w:rFonts w:cs="Open Sans"/>
          <w:szCs w:val="22"/>
        </w:rPr>
        <w:t xml:space="preserve">were </w:t>
      </w:r>
      <w:r>
        <w:rPr>
          <w:rFonts w:cs="Open Sans"/>
          <w:szCs w:val="22"/>
        </w:rPr>
        <w:t xml:space="preserve">different </w:t>
      </w:r>
      <w:r w:rsidRPr="00724698">
        <w:rPr>
          <w:rFonts w:cs="Open Sans"/>
          <w:szCs w:val="22"/>
        </w:rPr>
        <w:t>between groups</w:t>
      </w:r>
      <w:r>
        <w:rPr>
          <w:rFonts w:cs="Open Sans"/>
          <w:szCs w:val="22"/>
        </w:rPr>
        <w:t xml:space="preserve">. The NAP and interference indices for negative stimuli were also significant, indicating that negative stimuli influence FNSD patients and HC differently when it comes to priming and inhibition effects. </w:t>
      </w:r>
    </w:p>
    <w:p w14:paraId="7A9FC82D" w14:textId="2AC9A3BC" w:rsidR="004A137D" w:rsidRPr="003E72DA" w:rsidRDefault="004A137D" w:rsidP="00FC747D">
      <w:pPr>
        <w:rPr>
          <w:rFonts w:cs="Open Sans"/>
          <w:szCs w:val="22"/>
        </w:rPr>
      </w:pPr>
      <w:r w:rsidRPr="00724698">
        <w:rPr>
          <w:rFonts w:cs="Open Sans"/>
          <w:szCs w:val="22"/>
        </w:rPr>
        <w:t>Table</w:t>
      </w:r>
      <w:r>
        <w:rPr>
          <w:rFonts w:cs="Open Sans"/>
          <w:szCs w:val="22"/>
        </w:rPr>
        <w:t xml:space="preserve"> </w:t>
      </w:r>
      <w:r w:rsidR="000123AE">
        <w:rPr>
          <w:rFonts w:cs="Open Sans"/>
          <w:szCs w:val="22"/>
        </w:rPr>
        <w:t>23</w:t>
      </w:r>
      <w:r w:rsidRPr="00724698">
        <w:rPr>
          <w:rFonts w:cs="Open Sans"/>
          <w:szCs w:val="22"/>
        </w:rPr>
        <w:t>.</w:t>
      </w:r>
      <w:r>
        <w:rPr>
          <w:rFonts w:cs="Open Sans"/>
          <w:szCs w:val="22"/>
        </w:rPr>
        <w:t xml:space="preserve"> </w:t>
      </w:r>
      <w:r w:rsidRPr="00724698">
        <w:rPr>
          <w:rFonts w:cs="Open Sans"/>
          <w:szCs w:val="22"/>
        </w:rPr>
        <w:t>shows the between</w:t>
      </w:r>
      <w:r>
        <w:rPr>
          <w:rFonts w:cs="Open Sans"/>
          <w:szCs w:val="22"/>
        </w:rPr>
        <w:t>-</w:t>
      </w:r>
      <w:r w:rsidRPr="00724698">
        <w:rPr>
          <w:rFonts w:cs="Open Sans"/>
          <w:szCs w:val="22"/>
        </w:rPr>
        <w:t xml:space="preserve">group analysis of </w:t>
      </w:r>
      <w:r>
        <w:rPr>
          <w:rFonts w:cs="Open Sans"/>
          <w:szCs w:val="22"/>
        </w:rPr>
        <w:t xml:space="preserve">the </w:t>
      </w:r>
      <w:r w:rsidRPr="00724698">
        <w:rPr>
          <w:rFonts w:cs="Open Sans"/>
          <w:szCs w:val="22"/>
        </w:rPr>
        <w:t>study</w:t>
      </w:r>
      <w:r>
        <w:rPr>
          <w:rFonts w:cs="Open Sans"/>
          <w:szCs w:val="22"/>
        </w:rPr>
        <w:t>’s</w:t>
      </w:r>
      <w:r w:rsidRPr="00724698">
        <w:rPr>
          <w:rFonts w:cs="Open Sans"/>
          <w:szCs w:val="22"/>
        </w:rPr>
        <w:t xml:space="preserve"> clinical and cognitive variables between the FNSD and healthy control groups.</w:t>
      </w:r>
    </w:p>
    <w:p w14:paraId="5ECF63DA" w14:textId="77777777" w:rsidR="004A137D" w:rsidRDefault="004A137D" w:rsidP="002A173B">
      <w:pPr>
        <w:rPr>
          <w:b/>
          <w:bCs/>
        </w:rPr>
      </w:pPr>
    </w:p>
    <w:p w14:paraId="553685A0" w14:textId="77777777" w:rsidR="004A137D" w:rsidRDefault="004A137D">
      <w:pPr>
        <w:rPr>
          <w:szCs w:val="22"/>
        </w:rPr>
      </w:pPr>
      <w:r>
        <w:rPr>
          <w:szCs w:val="22"/>
        </w:rPr>
        <w:br w:type="page"/>
      </w:r>
    </w:p>
    <w:p w14:paraId="521A86F2" w14:textId="53965DBA" w:rsidR="004A137D" w:rsidRPr="00FE03F9" w:rsidRDefault="004A137D" w:rsidP="002A173B">
      <w:pPr>
        <w:rPr>
          <w:rFonts w:ascii="Avenir Book" w:hAnsi="Avenir Book"/>
          <w:szCs w:val="22"/>
        </w:rPr>
      </w:pPr>
      <w:r w:rsidRPr="00FC747D">
        <w:rPr>
          <w:szCs w:val="22"/>
        </w:rPr>
        <w:lastRenderedPageBreak/>
        <w:t xml:space="preserve">Table </w:t>
      </w:r>
      <w:r w:rsidR="000123AE">
        <w:rPr>
          <w:szCs w:val="22"/>
        </w:rPr>
        <w:t>23</w:t>
      </w:r>
      <w:r w:rsidRPr="00FC747D">
        <w:rPr>
          <w:szCs w:val="22"/>
        </w:rPr>
        <w:t>.</w:t>
      </w:r>
      <w:r>
        <w:rPr>
          <w:szCs w:val="22"/>
        </w:rPr>
        <w:t xml:space="preserve"> </w:t>
      </w:r>
      <w:r w:rsidRPr="00FC747D">
        <w:rPr>
          <w:szCs w:val="22"/>
        </w:rPr>
        <w:t>Between-Group Analysis of study clinical and cognitive variables</w:t>
      </w:r>
    </w:p>
    <w:tbl>
      <w:tblPr>
        <w:tblStyle w:val="TableGrid"/>
        <w:tblW w:w="9010" w:type="dxa"/>
        <w:jc w:val="center"/>
        <w:tblLook w:val="04A0" w:firstRow="1" w:lastRow="0" w:firstColumn="1" w:lastColumn="0" w:noHBand="0" w:noVBand="1"/>
      </w:tblPr>
      <w:tblGrid>
        <w:gridCol w:w="2689"/>
        <w:gridCol w:w="1580"/>
        <w:gridCol w:w="1580"/>
        <w:gridCol w:w="1580"/>
        <w:gridCol w:w="1581"/>
      </w:tblGrid>
      <w:tr w:rsidR="004A137D" w:rsidRPr="00FE03F9" w14:paraId="628A4434" w14:textId="77777777" w:rsidTr="003E72DA">
        <w:trPr>
          <w:trHeight w:val="439"/>
          <w:jc w:val="center"/>
        </w:trPr>
        <w:tc>
          <w:tcPr>
            <w:tcW w:w="2689" w:type="dxa"/>
            <w:vAlign w:val="center"/>
            <w:hideMark/>
          </w:tcPr>
          <w:p w14:paraId="5EB7C9BA" w14:textId="77777777" w:rsidR="004A137D" w:rsidRPr="00FE03F9" w:rsidRDefault="004A137D" w:rsidP="00FE03F9">
            <w:pPr>
              <w:spacing w:line="240" w:lineRule="auto"/>
              <w:jc w:val="left"/>
              <w:rPr>
                <w:rFonts w:ascii="Avenir Heavy" w:hAnsi="Avenir Heavy"/>
                <w:b/>
                <w:bCs/>
                <w:sz w:val="20"/>
                <w:szCs w:val="20"/>
              </w:rPr>
            </w:pPr>
            <w:r w:rsidRPr="00FE03F9">
              <w:rPr>
                <w:rFonts w:ascii="Avenir Heavy" w:hAnsi="Avenir Heavy"/>
                <w:b/>
                <w:bCs/>
                <w:sz w:val="20"/>
                <w:szCs w:val="20"/>
              </w:rPr>
              <w:t>Variable</w:t>
            </w:r>
          </w:p>
        </w:tc>
        <w:tc>
          <w:tcPr>
            <w:tcW w:w="1580" w:type="dxa"/>
            <w:vAlign w:val="center"/>
          </w:tcPr>
          <w:p w14:paraId="4BC2E047"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FNSD (n=59 )</w:t>
            </w:r>
          </w:p>
        </w:tc>
        <w:tc>
          <w:tcPr>
            <w:tcW w:w="1580" w:type="dxa"/>
            <w:vAlign w:val="center"/>
          </w:tcPr>
          <w:p w14:paraId="0E22D95D"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HC (n=63 )</w:t>
            </w:r>
          </w:p>
        </w:tc>
        <w:tc>
          <w:tcPr>
            <w:tcW w:w="1580" w:type="dxa"/>
            <w:vAlign w:val="center"/>
            <w:hideMark/>
          </w:tcPr>
          <w:p w14:paraId="69F988E5"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Z</w:t>
            </w:r>
          </w:p>
        </w:tc>
        <w:tc>
          <w:tcPr>
            <w:tcW w:w="1581" w:type="dxa"/>
            <w:vAlign w:val="center"/>
            <w:hideMark/>
          </w:tcPr>
          <w:p w14:paraId="2505974E"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p-value</w:t>
            </w:r>
          </w:p>
        </w:tc>
      </w:tr>
      <w:tr w:rsidR="004A137D" w:rsidRPr="00FE03F9" w14:paraId="218E85E2" w14:textId="77777777" w:rsidTr="003E72DA">
        <w:trPr>
          <w:trHeight w:val="279"/>
          <w:jc w:val="center"/>
        </w:trPr>
        <w:tc>
          <w:tcPr>
            <w:tcW w:w="2689" w:type="dxa"/>
            <w:vAlign w:val="center"/>
            <w:hideMark/>
          </w:tcPr>
          <w:p w14:paraId="6D6779EC"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DERS, mean (SD)</w:t>
            </w:r>
          </w:p>
        </w:tc>
        <w:tc>
          <w:tcPr>
            <w:tcW w:w="1580" w:type="dxa"/>
            <w:vAlign w:val="center"/>
          </w:tcPr>
          <w:p w14:paraId="35BD3651" w14:textId="77777777" w:rsidR="004A137D" w:rsidRPr="00FE03F9" w:rsidRDefault="004A137D" w:rsidP="00FE03F9">
            <w:pPr>
              <w:spacing w:line="240" w:lineRule="auto"/>
              <w:jc w:val="center"/>
              <w:rPr>
                <w:sz w:val="20"/>
                <w:szCs w:val="20"/>
              </w:rPr>
            </w:pPr>
            <w:r w:rsidRPr="00FE03F9">
              <w:rPr>
                <w:sz w:val="20"/>
                <w:szCs w:val="20"/>
              </w:rPr>
              <w:t>97.4 (29.8)</w:t>
            </w:r>
          </w:p>
        </w:tc>
        <w:tc>
          <w:tcPr>
            <w:tcW w:w="1580" w:type="dxa"/>
            <w:vAlign w:val="center"/>
          </w:tcPr>
          <w:p w14:paraId="36D98456" w14:textId="77777777" w:rsidR="004A137D" w:rsidRPr="00FE03F9" w:rsidRDefault="004A137D" w:rsidP="00FE03F9">
            <w:pPr>
              <w:spacing w:line="240" w:lineRule="auto"/>
              <w:jc w:val="center"/>
              <w:rPr>
                <w:sz w:val="20"/>
                <w:szCs w:val="20"/>
              </w:rPr>
            </w:pPr>
            <w:r w:rsidRPr="00FE03F9">
              <w:rPr>
                <w:sz w:val="20"/>
                <w:szCs w:val="20"/>
              </w:rPr>
              <w:t>55.9 (14.0)</w:t>
            </w:r>
          </w:p>
        </w:tc>
        <w:tc>
          <w:tcPr>
            <w:tcW w:w="1580" w:type="dxa"/>
            <w:vAlign w:val="center"/>
            <w:hideMark/>
          </w:tcPr>
          <w:p w14:paraId="51B6B8F3" w14:textId="77777777" w:rsidR="004A137D" w:rsidRPr="00FE03F9" w:rsidRDefault="004A137D" w:rsidP="00FE03F9">
            <w:pPr>
              <w:spacing w:line="240" w:lineRule="auto"/>
              <w:jc w:val="center"/>
              <w:rPr>
                <w:sz w:val="20"/>
                <w:szCs w:val="20"/>
              </w:rPr>
            </w:pPr>
            <w:r w:rsidRPr="00FE03F9">
              <w:rPr>
                <w:sz w:val="20"/>
                <w:szCs w:val="20"/>
              </w:rPr>
              <w:t>-7.58</w:t>
            </w:r>
          </w:p>
        </w:tc>
        <w:tc>
          <w:tcPr>
            <w:tcW w:w="1581" w:type="dxa"/>
            <w:vAlign w:val="center"/>
            <w:hideMark/>
          </w:tcPr>
          <w:p w14:paraId="69E216B8" w14:textId="77777777" w:rsidR="004A137D" w:rsidRPr="00FE03F9" w:rsidRDefault="004A137D" w:rsidP="00FE03F9">
            <w:pPr>
              <w:spacing w:line="240" w:lineRule="auto"/>
              <w:jc w:val="center"/>
              <w:rPr>
                <w:sz w:val="20"/>
                <w:szCs w:val="20"/>
              </w:rPr>
            </w:pPr>
            <w:r w:rsidRPr="00FE03F9">
              <w:rPr>
                <w:sz w:val="20"/>
                <w:szCs w:val="20"/>
              </w:rPr>
              <w:t>&lt;0.001**</w:t>
            </w:r>
          </w:p>
        </w:tc>
      </w:tr>
      <w:tr w:rsidR="004A137D" w:rsidRPr="00FE03F9" w14:paraId="10C11B68" w14:textId="77777777" w:rsidTr="003E72DA">
        <w:trPr>
          <w:trHeight w:val="278"/>
          <w:jc w:val="center"/>
        </w:trPr>
        <w:tc>
          <w:tcPr>
            <w:tcW w:w="2689" w:type="dxa"/>
            <w:vAlign w:val="center"/>
            <w:hideMark/>
          </w:tcPr>
          <w:p w14:paraId="73B2FE4C"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PHQ-9, mean (SD)</w:t>
            </w:r>
          </w:p>
        </w:tc>
        <w:tc>
          <w:tcPr>
            <w:tcW w:w="1580" w:type="dxa"/>
            <w:vAlign w:val="center"/>
          </w:tcPr>
          <w:p w14:paraId="34D2A997" w14:textId="77777777" w:rsidR="004A137D" w:rsidRPr="00FE03F9" w:rsidRDefault="004A137D" w:rsidP="00FE03F9">
            <w:pPr>
              <w:spacing w:line="240" w:lineRule="auto"/>
              <w:jc w:val="center"/>
              <w:rPr>
                <w:sz w:val="20"/>
                <w:szCs w:val="20"/>
              </w:rPr>
            </w:pPr>
            <w:r w:rsidRPr="00FE03F9">
              <w:rPr>
                <w:sz w:val="20"/>
                <w:szCs w:val="20"/>
              </w:rPr>
              <w:t>13.12 (6.5)</w:t>
            </w:r>
          </w:p>
        </w:tc>
        <w:tc>
          <w:tcPr>
            <w:tcW w:w="1580" w:type="dxa"/>
            <w:vAlign w:val="center"/>
          </w:tcPr>
          <w:p w14:paraId="10C0C2A0" w14:textId="77777777" w:rsidR="004A137D" w:rsidRPr="00FE03F9" w:rsidRDefault="004A137D" w:rsidP="00FE03F9">
            <w:pPr>
              <w:spacing w:line="240" w:lineRule="auto"/>
              <w:jc w:val="center"/>
              <w:rPr>
                <w:sz w:val="20"/>
                <w:szCs w:val="20"/>
              </w:rPr>
            </w:pPr>
            <w:r w:rsidRPr="00FE03F9">
              <w:rPr>
                <w:sz w:val="20"/>
                <w:szCs w:val="20"/>
              </w:rPr>
              <w:t>1.56 (2.1)</w:t>
            </w:r>
          </w:p>
        </w:tc>
        <w:tc>
          <w:tcPr>
            <w:tcW w:w="1580" w:type="dxa"/>
            <w:vAlign w:val="center"/>
            <w:hideMark/>
          </w:tcPr>
          <w:p w14:paraId="4DF73384" w14:textId="77777777" w:rsidR="004A137D" w:rsidRPr="00FE03F9" w:rsidRDefault="004A137D" w:rsidP="00FE03F9">
            <w:pPr>
              <w:spacing w:line="240" w:lineRule="auto"/>
              <w:jc w:val="center"/>
              <w:rPr>
                <w:sz w:val="20"/>
                <w:szCs w:val="20"/>
              </w:rPr>
            </w:pPr>
            <w:r w:rsidRPr="00FE03F9">
              <w:rPr>
                <w:sz w:val="20"/>
                <w:szCs w:val="20"/>
              </w:rPr>
              <w:t>-8.75</w:t>
            </w:r>
          </w:p>
        </w:tc>
        <w:tc>
          <w:tcPr>
            <w:tcW w:w="1581" w:type="dxa"/>
            <w:vAlign w:val="center"/>
            <w:hideMark/>
          </w:tcPr>
          <w:p w14:paraId="1F801C0F" w14:textId="77777777" w:rsidR="004A137D" w:rsidRPr="00FE03F9" w:rsidRDefault="004A137D" w:rsidP="00FE03F9">
            <w:pPr>
              <w:spacing w:line="240" w:lineRule="auto"/>
              <w:jc w:val="center"/>
              <w:rPr>
                <w:sz w:val="20"/>
                <w:szCs w:val="20"/>
              </w:rPr>
            </w:pPr>
            <w:r w:rsidRPr="00FE03F9">
              <w:rPr>
                <w:sz w:val="20"/>
                <w:szCs w:val="20"/>
              </w:rPr>
              <w:t>&lt;0.001**</w:t>
            </w:r>
          </w:p>
        </w:tc>
      </w:tr>
      <w:tr w:rsidR="004A137D" w:rsidRPr="00FE03F9" w14:paraId="0C215622" w14:textId="77777777" w:rsidTr="003E72DA">
        <w:trPr>
          <w:trHeight w:val="278"/>
          <w:jc w:val="center"/>
        </w:trPr>
        <w:tc>
          <w:tcPr>
            <w:tcW w:w="2689" w:type="dxa"/>
            <w:vAlign w:val="center"/>
            <w:hideMark/>
          </w:tcPr>
          <w:p w14:paraId="5B4521D9"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PHQ-15, mean (SD)</w:t>
            </w:r>
          </w:p>
        </w:tc>
        <w:tc>
          <w:tcPr>
            <w:tcW w:w="1580" w:type="dxa"/>
            <w:vAlign w:val="center"/>
          </w:tcPr>
          <w:p w14:paraId="06305D19" w14:textId="77777777" w:rsidR="004A137D" w:rsidRPr="00FE03F9" w:rsidRDefault="004A137D" w:rsidP="00FE03F9">
            <w:pPr>
              <w:spacing w:line="240" w:lineRule="auto"/>
              <w:jc w:val="center"/>
              <w:rPr>
                <w:sz w:val="20"/>
                <w:szCs w:val="20"/>
              </w:rPr>
            </w:pPr>
            <w:r w:rsidRPr="00FE03F9">
              <w:rPr>
                <w:sz w:val="20"/>
                <w:szCs w:val="20"/>
              </w:rPr>
              <w:t>14.05 (6.2)</w:t>
            </w:r>
          </w:p>
        </w:tc>
        <w:tc>
          <w:tcPr>
            <w:tcW w:w="1580" w:type="dxa"/>
            <w:vAlign w:val="center"/>
          </w:tcPr>
          <w:p w14:paraId="087044B4" w14:textId="77777777" w:rsidR="004A137D" w:rsidRPr="00FE03F9" w:rsidRDefault="004A137D" w:rsidP="00FE03F9">
            <w:pPr>
              <w:spacing w:line="240" w:lineRule="auto"/>
              <w:jc w:val="center"/>
              <w:rPr>
                <w:sz w:val="20"/>
                <w:szCs w:val="20"/>
              </w:rPr>
            </w:pPr>
            <w:r w:rsidRPr="00FE03F9">
              <w:rPr>
                <w:sz w:val="20"/>
                <w:szCs w:val="20"/>
              </w:rPr>
              <w:t>1.90 (1.9)</w:t>
            </w:r>
          </w:p>
        </w:tc>
        <w:tc>
          <w:tcPr>
            <w:tcW w:w="1580" w:type="dxa"/>
            <w:vAlign w:val="center"/>
            <w:hideMark/>
          </w:tcPr>
          <w:p w14:paraId="56085ED8" w14:textId="77777777" w:rsidR="004A137D" w:rsidRPr="00FE03F9" w:rsidRDefault="004A137D" w:rsidP="00FE03F9">
            <w:pPr>
              <w:spacing w:line="240" w:lineRule="auto"/>
              <w:jc w:val="center"/>
              <w:rPr>
                <w:sz w:val="20"/>
                <w:szCs w:val="20"/>
              </w:rPr>
            </w:pPr>
            <w:r w:rsidRPr="00FE03F9">
              <w:rPr>
                <w:sz w:val="20"/>
                <w:szCs w:val="20"/>
              </w:rPr>
              <w:t>-9.15</w:t>
            </w:r>
          </w:p>
        </w:tc>
        <w:tc>
          <w:tcPr>
            <w:tcW w:w="1581" w:type="dxa"/>
            <w:vAlign w:val="center"/>
            <w:hideMark/>
          </w:tcPr>
          <w:p w14:paraId="1A2B59D1" w14:textId="77777777" w:rsidR="004A137D" w:rsidRPr="00FE03F9" w:rsidRDefault="004A137D" w:rsidP="00FE03F9">
            <w:pPr>
              <w:spacing w:line="240" w:lineRule="auto"/>
              <w:jc w:val="center"/>
              <w:rPr>
                <w:sz w:val="20"/>
                <w:szCs w:val="20"/>
              </w:rPr>
            </w:pPr>
            <w:r w:rsidRPr="00FE03F9">
              <w:rPr>
                <w:sz w:val="20"/>
                <w:szCs w:val="20"/>
              </w:rPr>
              <w:t>&lt;0.001**</w:t>
            </w:r>
          </w:p>
        </w:tc>
      </w:tr>
      <w:tr w:rsidR="004A137D" w:rsidRPr="00FE03F9" w14:paraId="186CC381" w14:textId="77777777" w:rsidTr="003E72DA">
        <w:trPr>
          <w:trHeight w:val="278"/>
          <w:jc w:val="center"/>
        </w:trPr>
        <w:tc>
          <w:tcPr>
            <w:tcW w:w="2689" w:type="dxa"/>
            <w:vAlign w:val="center"/>
          </w:tcPr>
          <w:p w14:paraId="75F21A75"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GAD-7, mean (SD)</w:t>
            </w:r>
          </w:p>
        </w:tc>
        <w:tc>
          <w:tcPr>
            <w:tcW w:w="1580" w:type="dxa"/>
            <w:vAlign w:val="center"/>
          </w:tcPr>
          <w:p w14:paraId="63EDFEFA" w14:textId="77777777" w:rsidR="004A137D" w:rsidRPr="00FE03F9" w:rsidRDefault="004A137D" w:rsidP="00FE03F9">
            <w:pPr>
              <w:spacing w:line="240" w:lineRule="auto"/>
              <w:jc w:val="center"/>
              <w:rPr>
                <w:sz w:val="20"/>
                <w:szCs w:val="20"/>
              </w:rPr>
            </w:pPr>
            <w:r w:rsidRPr="00FE03F9">
              <w:rPr>
                <w:sz w:val="20"/>
                <w:szCs w:val="20"/>
              </w:rPr>
              <w:t>10.42 (5.2)</w:t>
            </w:r>
          </w:p>
        </w:tc>
        <w:tc>
          <w:tcPr>
            <w:tcW w:w="1580" w:type="dxa"/>
            <w:vAlign w:val="center"/>
          </w:tcPr>
          <w:p w14:paraId="3C5B9C0E" w14:textId="77777777" w:rsidR="004A137D" w:rsidRPr="00FE03F9" w:rsidRDefault="004A137D" w:rsidP="00FE03F9">
            <w:pPr>
              <w:spacing w:line="240" w:lineRule="auto"/>
              <w:jc w:val="center"/>
              <w:rPr>
                <w:sz w:val="20"/>
                <w:szCs w:val="20"/>
              </w:rPr>
            </w:pPr>
            <w:r w:rsidRPr="00FE03F9">
              <w:rPr>
                <w:sz w:val="20"/>
                <w:szCs w:val="20"/>
              </w:rPr>
              <w:t>1.52 (2.2)</w:t>
            </w:r>
          </w:p>
        </w:tc>
        <w:tc>
          <w:tcPr>
            <w:tcW w:w="1580" w:type="dxa"/>
            <w:vAlign w:val="center"/>
          </w:tcPr>
          <w:p w14:paraId="217E99C2" w14:textId="77777777" w:rsidR="004A137D" w:rsidRPr="00FE03F9" w:rsidRDefault="004A137D" w:rsidP="00FE03F9">
            <w:pPr>
              <w:spacing w:line="240" w:lineRule="auto"/>
              <w:jc w:val="center"/>
              <w:rPr>
                <w:sz w:val="20"/>
                <w:szCs w:val="20"/>
              </w:rPr>
            </w:pPr>
            <w:r w:rsidRPr="00FE03F9">
              <w:rPr>
                <w:sz w:val="20"/>
                <w:szCs w:val="20"/>
              </w:rPr>
              <w:t>-8.61</w:t>
            </w:r>
          </w:p>
        </w:tc>
        <w:tc>
          <w:tcPr>
            <w:tcW w:w="1581" w:type="dxa"/>
            <w:vAlign w:val="center"/>
          </w:tcPr>
          <w:p w14:paraId="10DD64B2" w14:textId="77777777" w:rsidR="004A137D" w:rsidRPr="00FE03F9" w:rsidRDefault="004A137D" w:rsidP="00FE03F9">
            <w:pPr>
              <w:spacing w:line="240" w:lineRule="auto"/>
              <w:jc w:val="center"/>
              <w:rPr>
                <w:sz w:val="20"/>
                <w:szCs w:val="20"/>
              </w:rPr>
            </w:pPr>
            <w:r w:rsidRPr="00FE03F9">
              <w:rPr>
                <w:sz w:val="20"/>
                <w:szCs w:val="20"/>
              </w:rPr>
              <w:t>&lt;0.001**</w:t>
            </w:r>
          </w:p>
        </w:tc>
      </w:tr>
      <w:tr w:rsidR="004A137D" w:rsidRPr="00FE03F9" w14:paraId="371FBF6D" w14:textId="77777777" w:rsidTr="003E72DA">
        <w:trPr>
          <w:jc w:val="center"/>
        </w:trPr>
        <w:tc>
          <w:tcPr>
            <w:tcW w:w="2689" w:type="dxa"/>
            <w:vAlign w:val="center"/>
          </w:tcPr>
          <w:p w14:paraId="1F94E03E"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EQ-5D-3L utility, mean (SD)</w:t>
            </w:r>
          </w:p>
        </w:tc>
        <w:tc>
          <w:tcPr>
            <w:tcW w:w="1580" w:type="dxa"/>
            <w:vAlign w:val="center"/>
          </w:tcPr>
          <w:p w14:paraId="2D6B5CBA" w14:textId="77777777" w:rsidR="004A137D" w:rsidRPr="00FE03F9" w:rsidRDefault="004A137D" w:rsidP="00FE03F9">
            <w:pPr>
              <w:spacing w:line="240" w:lineRule="auto"/>
              <w:jc w:val="center"/>
              <w:rPr>
                <w:sz w:val="20"/>
                <w:szCs w:val="20"/>
              </w:rPr>
            </w:pPr>
            <w:r w:rsidRPr="00FE03F9">
              <w:rPr>
                <w:sz w:val="20"/>
                <w:szCs w:val="20"/>
              </w:rPr>
              <w:t>0.47 (0.40)</w:t>
            </w:r>
          </w:p>
        </w:tc>
        <w:tc>
          <w:tcPr>
            <w:tcW w:w="1580" w:type="dxa"/>
            <w:vAlign w:val="center"/>
          </w:tcPr>
          <w:p w14:paraId="0AD119E0" w14:textId="77777777" w:rsidR="004A137D" w:rsidRPr="00FE03F9" w:rsidRDefault="004A137D" w:rsidP="00FE03F9">
            <w:pPr>
              <w:spacing w:line="240" w:lineRule="auto"/>
              <w:jc w:val="center"/>
              <w:rPr>
                <w:sz w:val="20"/>
                <w:szCs w:val="20"/>
              </w:rPr>
            </w:pPr>
            <w:r w:rsidRPr="00FE03F9">
              <w:rPr>
                <w:sz w:val="20"/>
                <w:szCs w:val="20"/>
              </w:rPr>
              <w:t>0.92 (0.10)</w:t>
            </w:r>
          </w:p>
        </w:tc>
        <w:tc>
          <w:tcPr>
            <w:tcW w:w="1580" w:type="dxa"/>
            <w:vAlign w:val="center"/>
          </w:tcPr>
          <w:p w14:paraId="12DA52BC" w14:textId="77777777" w:rsidR="004A137D" w:rsidRPr="00FE03F9" w:rsidRDefault="004A137D" w:rsidP="00FE03F9">
            <w:pPr>
              <w:spacing w:line="240" w:lineRule="auto"/>
              <w:jc w:val="center"/>
              <w:rPr>
                <w:sz w:val="20"/>
                <w:szCs w:val="20"/>
              </w:rPr>
            </w:pPr>
            <w:r w:rsidRPr="00FE03F9">
              <w:rPr>
                <w:sz w:val="20"/>
                <w:szCs w:val="20"/>
              </w:rPr>
              <w:t>-7.44</w:t>
            </w:r>
          </w:p>
        </w:tc>
        <w:tc>
          <w:tcPr>
            <w:tcW w:w="1581" w:type="dxa"/>
            <w:vAlign w:val="center"/>
          </w:tcPr>
          <w:p w14:paraId="5CA4BE27" w14:textId="77777777" w:rsidR="004A137D" w:rsidRPr="00FE03F9" w:rsidRDefault="004A137D" w:rsidP="00FE03F9">
            <w:pPr>
              <w:spacing w:line="240" w:lineRule="auto"/>
              <w:jc w:val="center"/>
              <w:rPr>
                <w:sz w:val="20"/>
                <w:szCs w:val="20"/>
              </w:rPr>
            </w:pPr>
            <w:r w:rsidRPr="00FE03F9">
              <w:rPr>
                <w:sz w:val="20"/>
                <w:szCs w:val="20"/>
              </w:rPr>
              <w:t>&lt;0.001**</w:t>
            </w:r>
          </w:p>
        </w:tc>
      </w:tr>
      <w:tr w:rsidR="004A137D" w:rsidRPr="00FE03F9" w14:paraId="1F35BBF3" w14:textId="77777777" w:rsidTr="003E72DA">
        <w:trPr>
          <w:trHeight w:val="278"/>
          <w:jc w:val="center"/>
        </w:trPr>
        <w:tc>
          <w:tcPr>
            <w:tcW w:w="2689" w:type="dxa"/>
            <w:vAlign w:val="center"/>
          </w:tcPr>
          <w:p w14:paraId="57FF8998"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EQ-5D-3L VAS, mean (SD)</w:t>
            </w:r>
          </w:p>
        </w:tc>
        <w:tc>
          <w:tcPr>
            <w:tcW w:w="1580" w:type="dxa"/>
            <w:vAlign w:val="center"/>
          </w:tcPr>
          <w:p w14:paraId="014E73A0" w14:textId="77777777" w:rsidR="004A137D" w:rsidRPr="00FE03F9" w:rsidRDefault="004A137D" w:rsidP="00FE03F9">
            <w:pPr>
              <w:spacing w:line="240" w:lineRule="auto"/>
              <w:jc w:val="center"/>
              <w:rPr>
                <w:sz w:val="20"/>
                <w:szCs w:val="20"/>
              </w:rPr>
            </w:pPr>
            <w:r w:rsidRPr="00FE03F9">
              <w:rPr>
                <w:sz w:val="20"/>
                <w:szCs w:val="20"/>
              </w:rPr>
              <w:t>50.2 (21.6)</w:t>
            </w:r>
          </w:p>
        </w:tc>
        <w:tc>
          <w:tcPr>
            <w:tcW w:w="1580" w:type="dxa"/>
            <w:vAlign w:val="center"/>
          </w:tcPr>
          <w:p w14:paraId="39B667B7" w14:textId="77777777" w:rsidR="004A137D" w:rsidRPr="00FE03F9" w:rsidRDefault="004A137D" w:rsidP="00FE03F9">
            <w:pPr>
              <w:spacing w:line="240" w:lineRule="auto"/>
              <w:jc w:val="center"/>
              <w:rPr>
                <w:sz w:val="20"/>
                <w:szCs w:val="20"/>
              </w:rPr>
            </w:pPr>
            <w:r w:rsidRPr="00FE03F9">
              <w:rPr>
                <w:sz w:val="20"/>
                <w:szCs w:val="20"/>
              </w:rPr>
              <w:t>83.2 (8.5)</w:t>
            </w:r>
          </w:p>
        </w:tc>
        <w:tc>
          <w:tcPr>
            <w:tcW w:w="1580" w:type="dxa"/>
            <w:vAlign w:val="center"/>
          </w:tcPr>
          <w:p w14:paraId="25B59FDD" w14:textId="77777777" w:rsidR="004A137D" w:rsidRPr="00FE03F9" w:rsidRDefault="004A137D" w:rsidP="00FE03F9">
            <w:pPr>
              <w:spacing w:line="240" w:lineRule="auto"/>
              <w:jc w:val="center"/>
              <w:rPr>
                <w:sz w:val="20"/>
                <w:szCs w:val="20"/>
              </w:rPr>
            </w:pPr>
            <w:r w:rsidRPr="00FE03F9">
              <w:rPr>
                <w:sz w:val="20"/>
                <w:szCs w:val="20"/>
              </w:rPr>
              <w:t>-7.69</w:t>
            </w:r>
          </w:p>
        </w:tc>
        <w:tc>
          <w:tcPr>
            <w:tcW w:w="1581" w:type="dxa"/>
            <w:vAlign w:val="center"/>
          </w:tcPr>
          <w:p w14:paraId="43C2B20F" w14:textId="77777777" w:rsidR="004A137D" w:rsidRPr="00FE03F9" w:rsidRDefault="004A137D" w:rsidP="00FE03F9">
            <w:pPr>
              <w:spacing w:line="240" w:lineRule="auto"/>
              <w:jc w:val="center"/>
              <w:rPr>
                <w:sz w:val="20"/>
                <w:szCs w:val="20"/>
              </w:rPr>
            </w:pPr>
            <w:r w:rsidRPr="00FE03F9">
              <w:rPr>
                <w:sz w:val="20"/>
                <w:szCs w:val="20"/>
              </w:rPr>
              <w:t>&lt;0.001**</w:t>
            </w:r>
          </w:p>
        </w:tc>
      </w:tr>
      <w:tr w:rsidR="004A137D" w:rsidRPr="00FE03F9" w14:paraId="27D2656E" w14:textId="77777777" w:rsidTr="003E72DA">
        <w:trPr>
          <w:trHeight w:val="278"/>
          <w:jc w:val="center"/>
        </w:trPr>
        <w:tc>
          <w:tcPr>
            <w:tcW w:w="2689" w:type="dxa"/>
            <w:vAlign w:val="center"/>
          </w:tcPr>
          <w:p w14:paraId="6B780C3A"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Overall k, mean (SD)</w:t>
            </w:r>
          </w:p>
        </w:tc>
        <w:tc>
          <w:tcPr>
            <w:tcW w:w="1580" w:type="dxa"/>
            <w:vAlign w:val="center"/>
          </w:tcPr>
          <w:p w14:paraId="7779FAB0" w14:textId="77777777" w:rsidR="004A137D" w:rsidRPr="00FE03F9" w:rsidRDefault="004A137D" w:rsidP="00FE03F9">
            <w:pPr>
              <w:spacing w:line="240" w:lineRule="auto"/>
              <w:jc w:val="center"/>
              <w:rPr>
                <w:sz w:val="20"/>
                <w:szCs w:val="20"/>
              </w:rPr>
            </w:pPr>
            <w:r w:rsidRPr="00FE03F9">
              <w:rPr>
                <w:sz w:val="20"/>
                <w:szCs w:val="20"/>
              </w:rPr>
              <w:t>0.04 (0.03)</w:t>
            </w:r>
          </w:p>
        </w:tc>
        <w:tc>
          <w:tcPr>
            <w:tcW w:w="1580" w:type="dxa"/>
            <w:vAlign w:val="center"/>
          </w:tcPr>
          <w:p w14:paraId="1D932840" w14:textId="77777777" w:rsidR="004A137D" w:rsidRPr="00FE03F9" w:rsidRDefault="004A137D" w:rsidP="00FE03F9">
            <w:pPr>
              <w:spacing w:line="240" w:lineRule="auto"/>
              <w:jc w:val="center"/>
              <w:rPr>
                <w:sz w:val="20"/>
                <w:szCs w:val="20"/>
              </w:rPr>
            </w:pPr>
            <w:r w:rsidRPr="00FE03F9">
              <w:rPr>
                <w:sz w:val="20"/>
                <w:szCs w:val="20"/>
              </w:rPr>
              <w:t>0.01 (0.03)</w:t>
            </w:r>
          </w:p>
        </w:tc>
        <w:tc>
          <w:tcPr>
            <w:tcW w:w="1580" w:type="dxa"/>
            <w:vAlign w:val="center"/>
          </w:tcPr>
          <w:p w14:paraId="317BF1E6" w14:textId="77777777" w:rsidR="004A137D" w:rsidRPr="00FE03F9" w:rsidRDefault="004A137D" w:rsidP="00FE03F9">
            <w:pPr>
              <w:spacing w:line="240" w:lineRule="auto"/>
              <w:jc w:val="center"/>
              <w:rPr>
                <w:sz w:val="20"/>
                <w:szCs w:val="20"/>
              </w:rPr>
            </w:pPr>
            <w:r w:rsidRPr="00FE03F9">
              <w:rPr>
                <w:sz w:val="20"/>
                <w:szCs w:val="20"/>
              </w:rPr>
              <w:t>-2.45</w:t>
            </w:r>
          </w:p>
        </w:tc>
        <w:tc>
          <w:tcPr>
            <w:tcW w:w="1581" w:type="dxa"/>
            <w:vAlign w:val="center"/>
          </w:tcPr>
          <w:p w14:paraId="7AFBC570" w14:textId="77777777" w:rsidR="004A137D" w:rsidRPr="00FE03F9" w:rsidRDefault="004A137D" w:rsidP="00FE03F9">
            <w:pPr>
              <w:spacing w:line="240" w:lineRule="auto"/>
              <w:jc w:val="center"/>
              <w:rPr>
                <w:sz w:val="20"/>
                <w:szCs w:val="20"/>
              </w:rPr>
            </w:pPr>
            <w:r w:rsidRPr="00FE03F9">
              <w:rPr>
                <w:sz w:val="20"/>
                <w:szCs w:val="20"/>
              </w:rPr>
              <w:t>0.014*</w:t>
            </w:r>
          </w:p>
        </w:tc>
      </w:tr>
      <w:tr w:rsidR="004A137D" w:rsidRPr="00FE03F9" w14:paraId="2EBCEA35" w14:textId="77777777" w:rsidTr="003E72DA">
        <w:trPr>
          <w:trHeight w:val="278"/>
          <w:jc w:val="center"/>
        </w:trPr>
        <w:tc>
          <w:tcPr>
            <w:tcW w:w="2689" w:type="dxa"/>
            <w:vAlign w:val="center"/>
          </w:tcPr>
          <w:p w14:paraId="4D89FDA9"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Small k, mean (SD)</w:t>
            </w:r>
          </w:p>
        </w:tc>
        <w:tc>
          <w:tcPr>
            <w:tcW w:w="1580" w:type="dxa"/>
            <w:vAlign w:val="center"/>
          </w:tcPr>
          <w:p w14:paraId="41D507EC" w14:textId="77777777" w:rsidR="004A137D" w:rsidRPr="00FE03F9" w:rsidRDefault="004A137D" w:rsidP="00FE03F9">
            <w:pPr>
              <w:spacing w:line="240" w:lineRule="auto"/>
              <w:jc w:val="center"/>
              <w:rPr>
                <w:sz w:val="20"/>
                <w:szCs w:val="20"/>
              </w:rPr>
            </w:pPr>
            <w:r w:rsidRPr="00FE03F9">
              <w:rPr>
                <w:sz w:val="20"/>
                <w:szCs w:val="20"/>
              </w:rPr>
              <w:t>0.04 (0.06)</w:t>
            </w:r>
          </w:p>
        </w:tc>
        <w:tc>
          <w:tcPr>
            <w:tcW w:w="1580" w:type="dxa"/>
            <w:vAlign w:val="center"/>
          </w:tcPr>
          <w:p w14:paraId="249DC62C" w14:textId="77777777" w:rsidR="004A137D" w:rsidRPr="00FE03F9" w:rsidRDefault="004A137D" w:rsidP="00FE03F9">
            <w:pPr>
              <w:spacing w:line="240" w:lineRule="auto"/>
              <w:jc w:val="center"/>
              <w:rPr>
                <w:sz w:val="20"/>
                <w:szCs w:val="20"/>
              </w:rPr>
            </w:pPr>
            <w:r w:rsidRPr="00FE03F9">
              <w:rPr>
                <w:sz w:val="20"/>
                <w:szCs w:val="20"/>
              </w:rPr>
              <w:t>0.02 (0.03)</w:t>
            </w:r>
          </w:p>
        </w:tc>
        <w:tc>
          <w:tcPr>
            <w:tcW w:w="1580" w:type="dxa"/>
            <w:vAlign w:val="center"/>
          </w:tcPr>
          <w:p w14:paraId="53C84CDE" w14:textId="77777777" w:rsidR="004A137D" w:rsidRPr="00FE03F9" w:rsidRDefault="004A137D" w:rsidP="00FE03F9">
            <w:pPr>
              <w:spacing w:line="240" w:lineRule="auto"/>
              <w:jc w:val="center"/>
              <w:rPr>
                <w:sz w:val="20"/>
                <w:szCs w:val="20"/>
              </w:rPr>
            </w:pPr>
            <w:r w:rsidRPr="00FE03F9">
              <w:rPr>
                <w:sz w:val="20"/>
                <w:szCs w:val="20"/>
              </w:rPr>
              <w:t>-1.87</w:t>
            </w:r>
          </w:p>
        </w:tc>
        <w:tc>
          <w:tcPr>
            <w:tcW w:w="1581" w:type="dxa"/>
            <w:vAlign w:val="center"/>
          </w:tcPr>
          <w:p w14:paraId="4639B40B" w14:textId="77777777" w:rsidR="004A137D" w:rsidRPr="00FE03F9" w:rsidRDefault="004A137D" w:rsidP="00FE03F9">
            <w:pPr>
              <w:spacing w:line="240" w:lineRule="auto"/>
              <w:jc w:val="center"/>
              <w:rPr>
                <w:sz w:val="20"/>
                <w:szCs w:val="20"/>
              </w:rPr>
            </w:pPr>
            <w:r w:rsidRPr="00FE03F9">
              <w:rPr>
                <w:sz w:val="20"/>
                <w:szCs w:val="20"/>
              </w:rPr>
              <w:t>0.062</w:t>
            </w:r>
          </w:p>
        </w:tc>
      </w:tr>
      <w:tr w:rsidR="004A137D" w:rsidRPr="00FE03F9" w14:paraId="7974F558" w14:textId="77777777" w:rsidTr="003E72DA">
        <w:trPr>
          <w:trHeight w:val="278"/>
          <w:jc w:val="center"/>
        </w:trPr>
        <w:tc>
          <w:tcPr>
            <w:tcW w:w="2689" w:type="dxa"/>
            <w:vAlign w:val="center"/>
          </w:tcPr>
          <w:p w14:paraId="2071AF6C"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Medium k, mean (SD)</w:t>
            </w:r>
          </w:p>
        </w:tc>
        <w:tc>
          <w:tcPr>
            <w:tcW w:w="1580" w:type="dxa"/>
            <w:vAlign w:val="center"/>
          </w:tcPr>
          <w:p w14:paraId="4463969B" w14:textId="77777777" w:rsidR="004A137D" w:rsidRPr="00FE03F9" w:rsidRDefault="004A137D" w:rsidP="00FE03F9">
            <w:pPr>
              <w:spacing w:line="240" w:lineRule="auto"/>
              <w:jc w:val="center"/>
              <w:rPr>
                <w:sz w:val="20"/>
                <w:szCs w:val="20"/>
              </w:rPr>
            </w:pPr>
            <w:r w:rsidRPr="00FE03F9">
              <w:rPr>
                <w:sz w:val="20"/>
                <w:szCs w:val="20"/>
              </w:rPr>
              <w:t>0.06 (0.08)</w:t>
            </w:r>
          </w:p>
        </w:tc>
        <w:tc>
          <w:tcPr>
            <w:tcW w:w="1580" w:type="dxa"/>
            <w:vAlign w:val="center"/>
          </w:tcPr>
          <w:p w14:paraId="3B958004" w14:textId="77777777" w:rsidR="004A137D" w:rsidRPr="00FE03F9" w:rsidRDefault="004A137D" w:rsidP="00FE03F9">
            <w:pPr>
              <w:spacing w:line="240" w:lineRule="auto"/>
              <w:jc w:val="center"/>
              <w:rPr>
                <w:sz w:val="20"/>
                <w:szCs w:val="20"/>
              </w:rPr>
            </w:pPr>
            <w:r w:rsidRPr="00FE03F9">
              <w:rPr>
                <w:sz w:val="20"/>
                <w:szCs w:val="20"/>
              </w:rPr>
              <w:t>0.02 (0.03)</w:t>
            </w:r>
          </w:p>
        </w:tc>
        <w:tc>
          <w:tcPr>
            <w:tcW w:w="1580" w:type="dxa"/>
            <w:vAlign w:val="center"/>
          </w:tcPr>
          <w:p w14:paraId="715CECC5" w14:textId="77777777" w:rsidR="004A137D" w:rsidRPr="00FE03F9" w:rsidRDefault="004A137D" w:rsidP="00FE03F9">
            <w:pPr>
              <w:spacing w:line="240" w:lineRule="auto"/>
              <w:jc w:val="center"/>
              <w:rPr>
                <w:sz w:val="20"/>
                <w:szCs w:val="20"/>
              </w:rPr>
            </w:pPr>
            <w:r w:rsidRPr="00FE03F9">
              <w:rPr>
                <w:sz w:val="20"/>
                <w:szCs w:val="20"/>
              </w:rPr>
              <w:t>-2.24</w:t>
            </w:r>
          </w:p>
        </w:tc>
        <w:tc>
          <w:tcPr>
            <w:tcW w:w="1581" w:type="dxa"/>
            <w:vAlign w:val="center"/>
          </w:tcPr>
          <w:p w14:paraId="14F4412C" w14:textId="77777777" w:rsidR="004A137D" w:rsidRPr="00FE03F9" w:rsidRDefault="004A137D" w:rsidP="00FE03F9">
            <w:pPr>
              <w:spacing w:line="240" w:lineRule="auto"/>
              <w:jc w:val="center"/>
              <w:rPr>
                <w:sz w:val="20"/>
                <w:szCs w:val="20"/>
              </w:rPr>
            </w:pPr>
            <w:r w:rsidRPr="00FE03F9">
              <w:rPr>
                <w:sz w:val="20"/>
                <w:szCs w:val="20"/>
              </w:rPr>
              <w:t>0.025*</w:t>
            </w:r>
          </w:p>
        </w:tc>
      </w:tr>
      <w:tr w:rsidR="004A137D" w:rsidRPr="00FE03F9" w14:paraId="119E6514" w14:textId="77777777" w:rsidTr="003E72DA">
        <w:trPr>
          <w:trHeight w:val="278"/>
          <w:jc w:val="center"/>
        </w:trPr>
        <w:tc>
          <w:tcPr>
            <w:tcW w:w="2689" w:type="dxa"/>
            <w:vAlign w:val="center"/>
          </w:tcPr>
          <w:p w14:paraId="16F5324C"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Large k, mean (SD)</w:t>
            </w:r>
          </w:p>
        </w:tc>
        <w:tc>
          <w:tcPr>
            <w:tcW w:w="1580" w:type="dxa"/>
            <w:vAlign w:val="center"/>
          </w:tcPr>
          <w:p w14:paraId="579754DD" w14:textId="77777777" w:rsidR="004A137D" w:rsidRPr="00FE03F9" w:rsidRDefault="004A137D" w:rsidP="00FE03F9">
            <w:pPr>
              <w:spacing w:line="240" w:lineRule="auto"/>
              <w:jc w:val="center"/>
              <w:rPr>
                <w:sz w:val="20"/>
                <w:szCs w:val="20"/>
              </w:rPr>
            </w:pPr>
            <w:r w:rsidRPr="00FE03F9">
              <w:rPr>
                <w:sz w:val="20"/>
                <w:szCs w:val="20"/>
              </w:rPr>
              <w:t>0.03 (0.06)</w:t>
            </w:r>
          </w:p>
        </w:tc>
        <w:tc>
          <w:tcPr>
            <w:tcW w:w="1580" w:type="dxa"/>
            <w:vAlign w:val="center"/>
          </w:tcPr>
          <w:p w14:paraId="639F9885" w14:textId="77777777" w:rsidR="004A137D" w:rsidRPr="00FE03F9" w:rsidRDefault="004A137D" w:rsidP="00FE03F9">
            <w:pPr>
              <w:spacing w:line="240" w:lineRule="auto"/>
              <w:jc w:val="center"/>
              <w:rPr>
                <w:sz w:val="20"/>
                <w:szCs w:val="20"/>
              </w:rPr>
            </w:pPr>
            <w:r w:rsidRPr="00FE03F9">
              <w:rPr>
                <w:sz w:val="20"/>
                <w:szCs w:val="20"/>
              </w:rPr>
              <w:t>0.01 (0.03)</w:t>
            </w:r>
          </w:p>
        </w:tc>
        <w:tc>
          <w:tcPr>
            <w:tcW w:w="1580" w:type="dxa"/>
            <w:vAlign w:val="center"/>
          </w:tcPr>
          <w:p w14:paraId="7CAB1847" w14:textId="77777777" w:rsidR="004A137D" w:rsidRPr="00FE03F9" w:rsidRDefault="004A137D" w:rsidP="00FE03F9">
            <w:pPr>
              <w:spacing w:line="240" w:lineRule="auto"/>
              <w:jc w:val="center"/>
              <w:rPr>
                <w:sz w:val="20"/>
                <w:szCs w:val="20"/>
              </w:rPr>
            </w:pPr>
            <w:r w:rsidRPr="00FE03F9">
              <w:rPr>
                <w:sz w:val="20"/>
                <w:szCs w:val="20"/>
              </w:rPr>
              <w:t>-2.37</w:t>
            </w:r>
          </w:p>
        </w:tc>
        <w:tc>
          <w:tcPr>
            <w:tcW w:w="1581" w:type="dxa"/>
            <w:vAlign w:val="center"/>
          </w:tcPr>
          <w:p w14:paraId="4ACF668F" w14:textId="77777777" w:rsidR="004A137D" w:rsidRPr="00FE03F9" w:rsidRDefault="004A137D" w:rsidP="00FE03F9">
            <w:pPr>
              <w:spacing w:line="240" w:lineRule="auto"/>
              <w:jc w:val="center"/>
              <w:rPr>
                <w:sz w:val="20"/>
                <w:szCs w:val="20"/>
              </w:rPr>
            </w:pPr>
            <w:r w:rsidRPr="00FE03F9">
              <w:rPr>
                <w:sz w:val="20"/>
                <w:szCs w:val="20"/>
              </w:rPr>
              <w:t>0.018*</w:t>
            </w:r>
          </w:p>
        </w:tc>
      </w:tr>
      <w:tr w:rsidR="004A137D" w:rsidRPr="00FE03F9" w14:paraId="2878A87C" w14:textId="77777777" w:rsidTr="003E72DA">
        <w:trPr>
          <w:jc w:val="center"/>
        </w:trPr>
        <w:tc>
          <w:tcPr>
            <w:tcW w:w="2689" w:type="dxa"/>
            <w:vAlign w:val="center"/>
          </w:tcPr>
          <w:p w14:paraId="04985DAD"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Composite Consistency, mean (SD)</w:t>
            </w:r>
          </w:p>
        </w:tc>
        <w:tc>
          <w:tcPr>
            <w:tcW w:w="1580" w:type="dxa"/>
            <w:vAlign w:val="center"/>
          </w:tcPr>
          <w:p w14:paraId="644E6C2B" w14:textId="77777777" w:rsidR="004A137D" w:rsidRPr="00FE03F9" w:rsidRDefault="004A137D" w:rsidP="00FE03F9">
            <w:pPr>
              <w:spacing w:line="240" w:lineRule="auto"/>
              <w:jc w:val="center"/>
              <w:rPr>
                <w:sz w:val="20"/>
                <w:szCs w:val="20"/>
              </w:rPr>
            </w:pPr>
            <w:r w:rsidRPr="00FE03F9">
              <w:rPr>
                <w:sz w:val="20"/>
                <w:szCs w:val="20"/>
              </w:rPr>
              <w:t>96% (5.00)</w:t>
            </w:r>
          </w:p>
        </w:tc>
        <w:tc>
          <w:tcPr>
            <w:tcW w:w="1580" w:type="dxa"/>
            <w:vAlign w:val="center"/>
          </w:tcPr>
          <w:p w14:paraId="2F98A1E9" w14:textId="77777777" w:rsidR="004A137D" w:rsidRPr="00FE03F9" w:rsidRDefault="004A137D" w:rsidP="00FE03F9">
            <w:pPr>
              <w:spacing w:line="240" w:lineRule="auto"/>
              <w:jc w:val="center"/>
              <w:rPr>
                <w:sz w:val="20"/>
                <w:szCs w:val="20"/>
              </w:rPr>
            </w:pPr>
            <w:r w:rsidRPr="00FE03F9">
              <w:rPr>
                <w:sz w:val="20"/>
                <w:szCs w:val="20"/>
              </w:rPr>
              <w:t>95% (4.00)</w:t>
            </w:r>
          </w:p>
        </w:tc>
        <w:tc>
          <w:tcPr>
            <w:tcW w:w="1580" w:type="dxa"/>
            <w:vAlign w:val="center"/>
          </w:tcPr>
          <w:p w14:paraId="0D883DE4" w14:textId="77777777" w:rsidR="004A137D" w:rsidRPr="00FE03F9" w:rsidRDefault="004A137D" w:rsidP="00FE03F9">
            <w:pPr>
              <w:spacing w:line="240" w:lineRule="auto"/>
              <w:jc w:val="center"/>
              <w:rPr>
                <w:sz w:val="20"/>
                <w:szCs w:val="20"/>
              </w:rPr>
            </w:pPr>
            <w:r w:rsidRPr="00FE03F9">
              <w:rPr>
                <w:sz w:val="20"/>
                <w:szCs w:val="20"/>
              </w:rPr>
              <w:t>-0.55</w:t>
            </w:r>
          </w:p>
        </w:tc>
        <w:tc>
          <w:tcPr>
            <w:tcW w:w="1581" w:type="dxa"/>
            <w:vAlign w:val="center"/>
          </w:tcPr>
          <w:p w14:paraId="3EBB09ED" w14:textId="77777777" w:rsidR="004A137D" w:rsidRPr="00FE03F9" w:rsidRDefault="004A137D" w:rsidP="00FE03F9">
            <w:pPr>
              <w:spacing w:line="240" w:lineRule="auto"/>
              <w:jc w:val="center"/>
              <w:rPr>
                <w:sz w:val="20"/>
                <w:szCs w:val="20"/>
              </w:rPr>
            </w:pPr>
            <w:r w:rsidRPr="00FE03F9">
              <w:rPr>
                <w:sz w:val="20"/>
                <w:szCs w:val="20"/>
              </w:rPr>
              <w:t>0.579</w:t>
            </w:r>
          </w:p>
        </w:tc>
      </w:tr>
      <w:tr w:rsidR="004A137D" w:rsidRPr="00FE03F9" w14:paraId="1EAD7D1E" w14:textId="77777777" w:rsidTr="003E72DA">
        <w:trPr>
          <w:jc w:val="center"/>
        </w:trPr>
        <w:tc>
          <w:tcPr>
            <w:tcW w:w="2689" w:type="dxa"/>
            <w:vAlign w:val="center"/>
          </w:tcPr>
          <w:p w14:paraId="37E4594A"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Overall Proportion (LDR chosen), mean (SD)</w:t>
            </w:r>
          </w:p>
        </w:tc>
        <w:tc>
          <w:tcPr>
            <w:tcW w:w="1580" w:type="dxa"/>
            <w:vAlign w:val="center"/>
          </w:tcPr>
          <w:p w14:paraId="4E424738" w14:textId="77777777" w:rsidR="004A137D" w:rsidRPr="00FE03F9" w:rsidRDefault="004A137D" w:rsidP="00FE03F9">
            <w:pPr>
              <w:spacing w:line="240" w:lineRule="auto"/>
              <w:jc w:val="center"/>
              <w:rPr>
                <w:sz w:val="20"/>
                <w:szCs w:val="20"/>
              </w:rPr>
            </w:pPr>
            <w:r w:rsidRPr="00FE03F9">
              <w:rPr>
                <w:sz w:val="20"/>
                <w:szCs w:val="20"/>
              </w:rPr>
              <w:t>44% (25%)</w:t>
            </w:r>
          </w:p>
        </w:tc>
        <w:tc>
          <w:tcPr>
            <w:tcW w:w="1580" w:type="dxa"/>
            <w:vAlign w:val="center"/>
          </w:tcPr>
          <w:p w14:paraId="5FB3194A" w14:textId="77777777" w:rsidR="004A137D" w:rsidRPr="00FE03F9" w:rsidRDefault="004A137D" w:rsidP="00FE03F9">
            <w:pPr>
              <w:spacing w:line="240" w:lineRule="auto"/>
              <w:jc w:val="center"/>
              <w:rPr>
                <w:sz w:val="20"/>
                <w:szCs w:val="20"/>
              </w:rPr>
            </w:pPr>
            <w:r w:rsidRPr="00FE03F9">
              <w:rPr>
                <w:sz w:val="20"/>
                <w:szCs w:val="20"/>
              </w:rPr>
              <w:t>77% (28)</w:t>
            </w:r>
          </w:p>
        </w:tc>
        <w:tc>
          <w:tcPr>
            <w:tcW w:w="1580" w:type="dxa"/>
            <w:vAlign w:val="center"/>
          </w:tcPr>
          <w:p w14:paraId="74DE25F0" w14:textId="77777777" w:rsidR="004A137D" w:rsidRPr="00FE03F9" w:rsidRDefault="004A137D" w:rsidP="00FE03F9">
            <w:pPr>
              <w:spacing w:line="240" w:lineRule="auto"/>
              <w:jc w:val="center"/>
              <w:rPr>
                <w:sz w:val="20"/>
                <w:szCs w:val="20"/>
              </w:rPr>
            </w:pPr>
            <w:r w:rsidRPr="00FE03F9">
              <w:rPr>
                <w:sz w:val="20"/>
                <w:szCs w:val="20"/>
              </w:rPr>
              <w:t>-5.85</w:t>
            </w:r>
          </w:p>
        </w:tc>
        <w:tc>
          <w:tcPr>
            <w:tcW w:w="1581" w:type="dxa"/>
            <w:vAlign w:val="center"/>
          </w:tcPr>
          <w:p w14:paraId="09626446" w14:textId="77777777" w:rsidR="004A137D" w:rsidRPr="00FE03F9" w:rsidRDefault="004A137D" w:rsidP="00FE03F9">
            <w:pPr>
              <w:spacing w:line="240" w:lineRule="auto"/>
              <w:jc w:val="center"/>
              <w:rPr>
                <w:sz w:val="20"/>
                <w:szCs w:val="20"/>
              </w:rPr>
            </w:pPr>
            <w:r w:rsidRPr="00FE03F9">
              <w:rPr>
                <w:sz w:val="20"/>
                <w:szCs w:val="20"/>
              </w:rPr>
              <w:t>&lt;0.001**</w:t>
            </w:r>
          </w:p>
        </w:tc>
      </w:tr>
      <w:tr w:rsidR="004A137D" w:rsidRPr="00FE03F9" w14:paraId="69372600" w14:textId="77777777" w:rsidTr="003E72DA">
        <w:trPr>
          <w:trHeight w:val="305"/>
          <w:jc w:val="center"/>
        </w:trPr>
        <w:tc>
          <w:tcPr>
            <w:tcW w:w="2689" w:type="dxa"/>
            <w:vAlign w:val="center"/>
          </w:tcPr>
          <w:p w14:paraId="00A59768" w14:textId="77777777" w:rsidR="004A137D" w:rsidRPr="00FE03F9" w:rsidRDefault="004A137D" w:rsidP="00FE03F9">
            <w:pPr>
              <w:spacing w:line="240" w:lineRule="auto"/>
              <w:jc w:val="left"/>
              <w:rPr>
                <w:rFonts w:ascii="AVENIR BOOK OBLIQUE" w:hAnsi="AVENIR BOOK OBLIQUE"/>
                <w:i/>
                <w:iCs/>
                <w:sz w:val="20"/>
                <w:szCs w:val="20"/>
                <w:u w:val="single"/>
              </w:rPr>
            </w:pPr>
            <w:r w:rsidRPr="00FE03F9">
              <w:rPr>
                <w:rFonts w:ascii="AVENIR BOOK OBLIQUE" w:hAnsi="AVENIR BOOK OBLIQUE"/>
                <w:i/>
                <w:iCs/>
                <w:sz w:val="20"/>
                <w:szCs w:val="20"/>
                <w:u w:val="single"/>
              </w:rPr>
              <w:t>NAP Prime trials:</w:t>
            </w:r>
          </w:p>
        </w:tc>
        <w:tc>
          <w:tcPr>
            <w:tcW w:w="1580" w:type="dxa"/>
            <w:vAlign w:val="center"/>
          </w:tcPr>
          <w:p w14:paraId="6BAE2A66"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FNSD (n=34 )</w:t>
            </w:r>
          </w:p>
        </w:tc>
        <w:tc>
          <w:tcPr>
            <w:tcW w:w="1580" w:type="dxa"/>
            <w:vAlign w:val="center"/>
          </w:tcPr>
          <w:p w14:paraId="139D7F0C"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HC (n=44)</w:t>
            </w:r>
          </w:p>
        </w:tc>
        <w:tc>
          <w:tcPr>
            <w:tcW w:w="1580" w:type="dxa"/>
            <w:vAlign w:val="center"/>
          </w:tcPr>
          <w:p w14:paraId="1C1FB545"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t</w:t>
            </w:r>
          </w:p>
        </w:tc>
        <w:tc>
          <w:tcPr>
            <w:tcW w:w="1581" w:type="dxa"/>
            <w:vAlign w:val="center"/>
          </w:tcPr>
          <w:p w14:paraId="0779DD9B"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p-value</w:t>
            </w:r>
          </w:p>
        </w:tc>
      </w:tr>
      <w:tr w:rsidR="004A137D" w:rsidRPr="00FE03F9" w14:paraId="3EFF8F47" w14:textId="77777777" w:rsidTr="003E72DA">
        <w:trPr>
          <w:trHeight w:val="305"/>
          <w:jc w:val="center"/>
        </w:trPr>
        <w:tc>
          <w:tcPr>
            <w:tcW w:w="2689" w:type="dxa"/>
            <w:vAlign w:val="center"/>
          </w:tcPr>
          <w:p w14:paraId="03B9ABAA" w14:textId="77777777" w:rsidR="004A137D" w:rsidRPr="00FE03F9" w:rsidRDefault="004A137D" w:rsidP="00FE03F9">
            <w:pPr>
              <w:spacing w:line="240" w:lineRule="auto"/>
              <w:jc w:val="left"/>
              <w:rPr>
                <w:rFonts w:ascii="AVENIR BOOK OBLIQUE" w:hAnsi="AVENIR BOOK OBLIQUE"/>
                <w:i/>
                <w:iCs/>
                <w:sz w:val="20"/>
                <w:szCs w:val="20"/>
                <w:u w:val="single"/>
              </w:rPr>
            </w:pPr>
            <w:r w:rsidRPr="00FE03F9">
              <w:rPr>
                <w:rFonts w:ascii="Avenir Heavy" w:hAnsi="Avenir Heavy"/>
                <w:b/>
                <w:bCs/>
                <w:i/>
                <w:iCs/>
                <w:sz w:val="20"/>
                <w:szCs w:val="20"/>
              </w:rPr>
              <w:t xml:space="preserve">Positive valence (C), mean RT in </w:t>
            </w:r>
            <w:proofErr w:type="spellStart"/>
            <w:r w:rsidRPr="00FE03F9">
              <w:rPr>
                <w:rFonts w:ascii="Avenir Heavy" w:hAnsi="Avenir Heavy"/>
                <w:b/>
                <w:bCs/>
                <w:i/>
                <w:iCs/>
                <w:sz w:val="20"/>
                <w:szCs w:val="20"/>
              </w:rPr>
              <w:t>ms</w:t>
            </w:r>
            <w:proofErr w:type="spellEnd"/>
          </w:p>
        </w:tc>
        <w:tc>
          <w:tcPr>
            <w:tcW w:w="1580" w:type="dxa"/>
            <w:vAlign w:val="center"/>
          </w:tcPr>
          <w:p w14:paraId="04FB4E30" w14:textId="77777777" w:rsidR="004A137D" w:rsidRPr="00FE03F9" w:rsidRDefault="004A137D" w:rsidP="00FE03F9">
            <w:pPr>
              <w:spacing w:line="240" w:lineRule="auto"/>
              <w:jc w:val="center"/>
              <w:rPr>
                <w:sz w:val="20"/>
                <w:szCs w:val="20"/>
              </w:rPr>
            </w:pPr>
            <w:r w:rsidRPr="00FE03F9">
              <w:rPr>
                <w:sz w:val="20"/>
                <w:szCs w:val="20"/>
              </w:rPr>
              <w:t>696.8 (131.4)</w:t>
            </w:r>
          </w:p>
        </w:tc>
        <w:tc>
          <w:tcPr>
            <w:tcW w:w="1580" w:type="dxa"/>
            <w:vAlign w:val="center"/>
          </w:tcPr>
          <w:p w14:paraId="37F3281B" w14:textId="77777777" w:rsidR="004A137D" w:rsidRPr="00FE03F9" w:rsidRDefault="004A137D" w:rsidP="00FE03F9">
            <w:pPr>
              <w:spacing w:line="240" w:lineRule="auto"/>
              <w:jc w:val="center"/>
              <w:rPr>
                <w:sz w:val="20"/>
                <w:szCs w:val="20"/>
              </w:rPr>
            </w:pPr>
            <w:r w:rsidRPr="00FE03F9">
              <w:rPr>
                <w:sz w:val="20"/>
                <w:szCs w:val="20"/>
              </w:rPr>
              <w:t>671.5 (167.3)</w:t>
            </w:r>
          </w:p>
        </w:tc>
        <w:tc>
          <w:tcPr>
            <w:tcW w:w="1580" w:type="dxa"/>
            <w:vAlign w:val="center"/>
          </w:tcPr>
          <w:p w14:paraId="06567525" w14:textId="77777777" w:rsidR="004A137D" w:rsidRPr="00FE03F9" w:rsidRDefault="004A137D" w:rsidP="00FE03F9">
            <w:pPr>
              <w:spacing w:line="240" w:lineRule="auto"/>
              <w:jc w:val="center"/>
              <w:rPr>
                <w:sz w:val="20"/>
                <w:szCs w:val="20"/>
              </w:rPr>
            </w:pPr>
            <w:r w:rsidRPr="00FE03F9">
              <w:rPr>
                <w:sz w:val="20"/>
                <w:szCs w:val="20"/>
              </w:rPr>
              <w:t>-0.73</w:t>
            </w:r>
          </w:p>
        </w:tc>
        <w:tc>
          <w:tcPr>
            <w:tcW w:w="1581" w:type="dxa"/>
            <w:vAlign w:val="center"/>
          </w:tcPr>
          <w:p w14:paraId="3DD8BE0B" w14:textId="77777777" w:rsidR="004A137D" w:rsidRPr="00FE03F9" w:rsidRDefault="004A137D" w:rsidP="00FE03F9">
            <w:pPr>
              <w:spacing w:line="240" w:lineRule="auto"/>
              <w:jc w:val="center"/>
              <w:rPr>
                <w:sz w:val="20"/>
                <w:szCs w:val="20"/>
              </w:rPr>
            </w:pPr>
            <w:r w:rsidRPr="00FE03F9">
              <w:rPr>
                <w:sz w:val="20"/>
                <w:szCs w:val="20"/>
              </w:rPr>
              <w:t>0.471</w:t>
            </w:r>
          </w:p>
        </w:tc>
      </w:tr>
      <w:tr w:rsidR="004A137D" w:rsidRPr="00FE03F9" w14:paraId="1735DDD0" w14:textId="77777777" w:rsidTr="003E72DA">
        <w:trPr>
          <w:trHeight w:val="305"/>
          <w:jc w:val="center"/>
        </w:trPr>
        <w:tc>
          <w:tcPr>
            <w:tcW w:w="2689" w:type="dxa"/>
            <w:vAlign w:val="center"/>
          </w:tcPr>
          <w:p w14:paraId="6D28641E" w14:textId="77777777" w:rsidR="004A137D" w:rsidRPr="00FE03F9" w:rsidRDefault="004A137D" w:rsidP="00FE03F9">
            <w:pPr>
              <w:spacing w:line="240" w:lineRule="auto"/>
              <w:jc w:val="left"/>
              <w:rPr>
                <w:rFonts w:ascii="AVENIR BOOK OBLIQUE" w:hAnsi="AVENIR BOOK OBLIQUE"/>
                <w:i/>
                <w:iCs/>
                <w:sz w:val="20"/>
                <w:szCs w:val="20"/>
                <w:u w:val="single"/>
              </w:rPr>
            </w:pPr>
            <w:r w:rsidRPr="00FE03F9">
              <w:rPr>
                <w:rFonts w:ascii="Avenir Heavy" w:hAnsi="Avenir Heavy"/>
                <w:b/>
                <w:bCs/>
                <w:i/>
                <w:iCs/>
                <w:sz w:val="20"/>
                <w:szCs w:val="20"/>
              </w:rPr>
              <w:t xml:space="preserve">Positive valence (E), mean RT in </w:t>
            </w:r>
            <w:proofErr w:type="spellStart"/>
            <w:r w:rsidRPr="00FE03F9">
              <w:rPr>
                <w:rFonts w:ascii="Avenir Heavy" w:hAnsi="Avenir Heavy"/>
                <w:b/>
                <w:bCs/>
                <w:i/>
                <w:iCs/>
                <w:sz w:val="20"/>
                <w:szCs w:val="20"/>
              </w:rPr>
              <w:t>ms</w:t>
            </w:r>
            <w:proofErr w:type="spellEnd"/>
          </w:p>
        </w:tc>
        <w:tc>
          <w:tcPr>
            <w:tcW w:w="1580" w:type="dxa"/>
            <w:vAlign w:val="center"/>
          </w:tcPr>
          <w:p w14:paraId="4195BE1F" w14:textId="77777777" w:rsidR="004A137D" w:rsidRPr="00FE03F9" w:rsidRDefault="004A137D" w:rsidP="00FE03F9">
            <w:pPr>
              <w:spacing w:line="240" w:lineRule="auto"/>
              <w:jc w:val="center"/>
              <w:rPr>
                <w:sz w:val="20"/>
                <w:szCs w:val="20"/>
              </w:rPr>
            </w:pPr>
            <w:r w:rsidRPr="00FE03F9">
              <w:rPr>
                <w:sz w:val="20"/>
                <w:szCs w:val="20"/>
              </w:rPr>
              <w:t>713.4 (109.8)</w:t>
            </w:r>
          </w:p>
        </w:tc>
        <w:tc>
          <w:tcPr>
            <w:tcW w:w="1580" w:type="dxa"/>
            <w:vAlign w:val="center"/>
          </w:tcPr>
          <w:p w14:paraId="28AB8268" w14:textId="77777777" w:rsidR="004A137D" w:rsidRPr="00FE03F9" w:rsidRDefault="004A137D" w:rsidP="00FE03F9">
            <w:pPr>
              <w:spacing w:line="240" w:lineRule="auto"/>
              <w:jc w:val="center"/>
              <w:rPr>
                <w:sz w:val="20"/>
                <w:szCs w:val="20"/>
              </w:rPr>
            </w:pPr>
            <w:r w:rsidRPr="00FE03F9">
              <w:rPr>
                <w:sz w:val="20"/>
                <w:szCs w:val="20"/>
              </w:rPr>
              <w:t>678.6 (163.4)</w:t>
            </w:r>
          </w:p>
        </w:tc>
        <w:tc>
          <w:tcPr>
            <w:tcW w:w="1580" w:type="dxa"/>
            <w:vAlign w:val="center"/>
          </w:tcPr>
          <w:p w14:paraId="56B68CC6" w14:textId="77777777" w:rsidR="004A137D" w:rsidRPr="00FE03F9" w:rsidRDefault="004A137D" w:rsidP="00FE03F9">
            <w:pPr>
              <w:spacing w:line="240" w:lineRule="auto"/>
              <w:jc w:val="center"/>
              <w:rPr>
                <w:sz w:val="20"/>
                <w:szCs w:val="20"/>
              </w:rPr>
            </w:pPr>
            <w:r w:rsidRPr="00FE03F9">
              <w:rPr>
                <w:sz w:val="20"/>
                <w:szCs w:val="20"/>
              </w:rPr>
              <w:t>-0.90</w:t>
            </w:r>
          </w:p>
        </w:tc>
        <w:tc>
          <w:tcPr>
            <w:tcW w:w="1581" w:type="dxa"/>
            <w:vAlign w:val="center"/>
          </w:tcPr>
          <w:p w14:paraId="34435C3A" w14:textId="77777777" w:rsidR="004A137D" w:rsidRPr="00FE03F9" w:rsidRDefault="004A137D" w:rsidP="00FE03F9">
            <w:pPr>
              <w:spacing w:line="240" w:lineRule="auto"/>
              <w:jc w:val="center"/>
              <w:rPr>
                <w:sz w:val="20"/>
                <w:szCs w:val="20"/>
              </w:rPr>
            </w:pPr>
            <w:r w:rsidRPr="00FE03F9">
              <w:rPr>
                <w:sz w:val="20"/>
                <w:szCs w:val="20"/>
              </w:rPr>
              <w:t>0.369</w:t>
            </w:r>
          </w:p>
        </w:tc>
      </w:tr>
      <w:tr w:rsidR="004A137D" w:rsidRPr="00FE03F9" w14:paraId="2B9B0142" w14:textId="77777777" w:rsidTr="003E72DA">
        <w:trPr>
          <w:trHeight w:val="305"/>
          <w:jc w:val="center"/>
        </w:trPr>
        <w:tc>
          <w:tcPr>
            <w:tcW w:w="2689" w:type="dxa"/>
            <w:vAlign w:val="center"/>
          </w:tcPr>
          <w:p w14:paraId="088B25A5" w14:textId="77777777" w:rsidR="004A137D" w:rsidRPr="00FE03F9" w:rsidRDefault="004A137D" w:rsidP="00FE03F9">
            <w:pPr>
              <w:spacing w:line="240" w:lineRule="auto"/>
              <w:jc w:val="left"/>
              <w:rPr>
                <w:rFonts w:ascii="AVENIR BOOK OBLIQUE" w:hAnsi="AVENIR BOOK OBLIQUE"/>
                <w:i/>
                <w:iCs/>
                <w:sz w:val="20"/>
                <w:szCs w:val="20"/>
                <w:u w:val="single"/>
              </w:rPr>
            </w:pPr>
            <w:r w:rsidRPr="00FE03F9">
              <w:rPr>
                <w:rFonts w:ascii="Avenir Heavy" w:hAnsi="Avenir Heavy"/>
                <w:b/>
                <w:bCs/>
                <w:i/>
                <w:iCs/>
                <w:sz w:val="20"/>
                <w:szCs w:val="20"/>
              </w:rPr>
              <w:t xml:space="preserve">Negative valence (C), mean RT in </w:t>
            </w:r>
            <w:proofErr w:type="spellStart"/>
            <w:r w:rsidRPr="00FE03F9">
              <w:rPr>
                <w:rFonts w:ascii="Avenir Heavy" w:hAnsi="Avenir Heavy"/>
                <w:b/>
                <w:bCs/>
                <w:i/>
                <w:iCs/>
                <w:sz w:val="20"/>
                <w:szCs w:val="20"/>
              </w:rPr>
              <w:t>ms</w:t>
            </w:r>
            <w:proofErr w:type="spellEnd"/>
          </w:p>
        </w:tc>
        <w:tc>
          <w:tcPr>
            <w:tcW w:w="1580" w:type="dxa"/>
            <w:vAlign w:val="center"/>
          </w:tcPr>
          <w:p w14:paraId="5D2FDD71" w14:textId="77777777" w:rsidR="004A137D" w:rsidRPr="00FE03F9" w:rsidRDefault="004A137D" w:rsidP="00FE03F9">
            <w:pPr>
              <w:spacing w:line="240" w:lineRule="auto"/>
              <w:jc w:val="center"/>
              <w:rPr>
                <w:sz w:val="20"/>
                <w:szCs w:val="20"/>
              </w:rPr>
            </w:pPr>
            <w:r w:rsidRPr="00FE03F9">
              <w:rPr>
                <w:sz w:val="20"/>
                <w:szCs w:val="20"/>
              </w:rPr>
              <w:t>713.3 (119.0)</w:t>
            </w:r>
          </w:p>
        </w:tc>
        <w:tc>
          <w:tcPr>
            <w:tcW w:w="1580" w:type="dxa"/>
            <w:vAlign w:val="center"/>
          </w:tcPr>
          <w:p w14:paraId="104F223A" w14:textId="77777777" w:rsidR="004A137D" w:rsidRPr="00FE03F9" w:rsidRDefault="004A137D" w:rsidP="00FE03F9">
            <w:pPr>
              <w:spacing w:line="240" w:lineRule="auto"/>
              <w:jc w:val="center"/>
              <w:rPr>
                <w:sz w:val="20"/>
                <w:szCs w:val="20"/>
              </w:rPr>
            </w:pPr>
            <w:r w:rsidRPr="00FE03F9">
              <w:rPr>
                <w:sz w:val="20"/>
                <w:szCs w:val="20"/>
              </w:rPr>
              <w:t>682.0 (172.4)</w:t>
            </w:r>
          </w:p>
        </w:tc>
        <w:tc>
          <w:tcPr>
            <w:tcW w:w="1580" w:type="dxa"/>
            <w:vAlign w:val="center"/>
          </w:tcPr>
          <w:p w14:paraId="46E0CD4F" w14:textId="77777777" w:rsidR="004A137D" w:rsidRPr="00FE03F9" w:rsidRDefault="004A137D" w:rsidP="00FE03F9">
            <w:pPr>
              <w:spacing w:line="240" w:lineRule="auto"/>
              <w:jc w:val="center"/>
              <w:rPr>
                <w:sz w:val="20"/>
                <w:szCs w:val="20"/>
              </w:rPr>
            </w:pPr>
            <w:r w:rsidRPr="00FE03F9">
              <w:rPr>
                <w:sz w:val="20"/>
                <w:szCs w:val="20"/>
              </w:rPr>
              <w:t>-1.07</w:t>
            </w:r>
          </w:p>
        </w:tc>
        <w:tc>
          <w:tcPr>
            <w:tcW w:w="1581" w:type="dxa"/>
            <w:vAlign w:val="center"/>
          </w:tcPr>
          <w:p w14:paraId="3931190E" w14:textId="77777777" w:rsidR="004A137D" w:rsidRPr="00FE03F9" w:rsidRDefault="004A137D" w:rsidP="00FE03F9">
            <w:pPr>
              <w:spacing w:line="240" w:lineRule="auto"/>
              <w:jc w:val="center"/>
              <w:rPr>
                <w:sz w:val="20"/>
                <w:szCs w:val="20"/>
              </w:rPr>
            </w:pPr>
            <w:r w:rsidRPr="00FE03F9">
              <w:rPr>
                <w:sz w:val="20"/>
                <w:szCs w:val="20"/>
              </w:rPr>
              <w:t>0.289</w:t>
            </w:r>
          </w:p>
        </w:tc>
      </w:tr>
      <w:tr w:rsidR="004A137D" w:rsidRPr="00FE03F9" w14:paraId="145190B9" w14:textId="77777777" w:rsidTr="003E72DA">
        <w:trPr>
          <w:trHeight w:val="305"/>
          <w:jc w:val="center"/>
        </w:trPr>
        <w:tc>
          <w:tcPr>
            <w:tcW w:w="2689" w:type="dxa"/>
            <w:vAlign w:val="center"/>
          </w:tcPr>
          <w:p w14:paraId="748C0C47" w14:textId="77777777" w:rsidR="004A137D" w:rsidRPr="00FE03F9" w:rsidRDefault="004A137D" w:rsidP="00FE03F9">
            <w:pPr>
              <w:spacing w:line="240" w:lineRule="auto"/>
              <w:jc w:val="left"/>
              <w:rPr>
                <w:rFonts w:ascii="AVENIR BOOK OBLIQUE" w:hAnsi="AVENIR BOOK OBLIQUE"/>
                <w:i/>
                <w:iCs/>
                <w:sz w:val="20"/>
                <w:szCs w:val="20"/>
                <w:u w:val="single"/>
              </w:rPr>
            </w:pPr>
            <w:r w:rsidRPr="00FE03F9">
              <w:rPr>
                <w:rFonts w:ascii="Avenir Heavy" w:hAnsi="Avenir Heavy"/>
                <w:b/>
                <w:bCs/>
                <w:i/>
                <w:iCs/>
                <w:sz w:val="20"/>
                <w:szCs w:val="20"/>
              </w:rPr>
              <w:t xml:space="preserve">Negative valence (E), mean RT in </w:t>
            </w:r>
            <w:proofErr w:type="spellStart"/>
            <w:r w:rsidRPr="00FE03F9">
              <w:rPr>
                <w:rFonts w:ascii="Avenir Heavy" w:hAnsi="Avenir Heavy"/>
                <w:b/>
                <w:bCs/>
                <w:i/>
                <w:iCs/>
                <w:sz w:val="20"/>
                <w:szCs w:val="20"/>
              </w:rPr>
              <w:t>ms</w:t>
            </w:r>
            <w:proofErr w:type="spellEnd"/>
          </w:p>
        </w:tc>
        <w:tc>
          <w:tcPr>
            <w:tcW w:w="1580" w:type="dxa"/>
            <w:vAlign w:val="center"/>
          </w:tcPr>
          <w:p w14:paraId="3BBFEEB0" w14:textId="77777777" w:rsidR="004A137D" w:rsidRPr="00FE03F9" w:rsidRDefault="004A137D" w:rsidP="00FE03F9">
            <w:pPr>
              <w:spacing w:line="240" w:lineRule="auto"/>
              <w:jc w:val="center"/>
              <w:rPr>
                <w:sz w:val="20"/>
                <w:szCs w:val="20"/>
              </w:rPr>
            </w:pPr>
            <w:r w:rsidRPr="00FE03F9">
              <w:rPr>
                <w:sz w:val="20"/>
                <w:szCs w:val="20"/>
              </w:rPr>
              <w:t>726.9 (141.8)</w:t>
            </w:r>
          </w:p>
        </w:tc>
        <w:tc>
          <w:tcPr>
            <w:tcW w:w="1580" w:type="dxa"/>
            <w:vAlign w:val="center"/>
          </w:tcPr>
          <w:p w14:paraId="4D34A92F" w14:textId="77777777" w:rsidR="004A137D" w:rsidRPr="00FE03F9" w:rsidRDefault="004A137D" w:rsidP="00FE03F9">
            <w:pPr>
              <w:spacing w:line="240" w:lineRule="auto"/>
              <w:jc w:val="center"/>
              <w:rPr>
                <w:sz w:val="20"/>
                <w:szCs w:val="20"/>
              </w:rPr>
            </w:pPr>
            <w:r w:rsidRPr="00FE03F9">
              <w:rPr>
                <w:sz w:val="20"/>
                <w:szCs w:val="20"/>
              </w:rPr>
              <w:t>712.1 (171.4)</w:t>
            </w:r>
          </w:p>
        </w:tc>
        <w:tc>
          <w:tcPr>
            <w:tcW w:w="1580" w:type="dxa"/>
            <w:vAlign w:val="center"/>
          </w:tcPr>
          <w:p w14:paraId="784B4258" w14:textId="77777777" w:rsidR="004A137D" w:rsidRPr="00FE03F9" w:rsidRDefault="004A137D" w:rsidP="00FE03F9">
            <w:pPr>
              <w:spacing w:line="240" w:lineRule="auto"/>
              <w:jc w:val="center"/>
              <w:rPr>
                <w:sz w:val="20"/>
                <w:szCs w:val="20"/>
              </w:rPr>
            </w:pPr>
            <w:r w:rsidRPr="00FE03F9">
              <w:rPr>
                <w:sz w:val="20"/>
                <w:szCs w:val="20"/>
              </w:rPr>
              <w:t>-0.41</w:t>
            </w:r>
          </w:p>
        </w:tc>
        <w:tc>
          <w:tcPr>
            <w:tcW w:w="1581" w:type="dxa"/>
            <w:vAlign w:val="center"/>
          </w:tcPr>
          <w:p w14:paraId="7A3D14BD" w14:textId="77777777" w:rsidR="004A137D" w:rsidRPr="00FE03F9" w:rsidRDefault="004A137D" w:rsidP="00FE03F9">
            <w:pPr>
              <w:spacing w:line="240" w:lineRule="auto"/>
              <w:jc w:val="center"/>
              <w:rPr>
                <w:sz w:val="20"/>
                <w:szCs w:val="20"/>
              </w:rPr>
            </w:pPr>
            <w:r w:rsidRPr="00FE03F9">
              <w:rPr>
                <w:sz w:val="20"/>
                <w:szCs w:val="20"/>
              </w:rPr>
              <w:t>0.684</w:t>
            </w:r>
          </w:p>
        </w:tc>
      </w:tr>
      <w:tr w:rsidR="004A137D" w:rsidRPr="00FE03F9" w14:paraId="4AF00A25" w14:textId="77777777" w:rsidTr="003E72DA">
        <w:trPr>
          <w:trHeight w:val="305"/>
          <w:jc w:val="center"/>
        </w:trPr>
        <w:tc>
          <w:tcPr>
            <w:tcW w:w="2689" w:type="dxa"/>
            <w:vAlign w:val="center"/>
          </w:tcPr>
          <w:p w14:paraId="1829B8A4" w14:textId="77777777" w:rsidR="004A137D" w:rsidRPr="00FE03F9" w:rsidRDefault="004A137D" w:rsidP="00FE03F9">
            <w:pPr>
              <w:spacing w:line="240" w:lineRule="auto"/>
              <w:jc w:val="left"/>
              <w:rPr>
                <w:rFonts w:ascii="AVENIR BOOK OBLIQUE" w:hAnsi="AVENIR BOOK OBLIQUE"/>
                <w:i/>
                <w:iCs/>
                <w:sz w:val="20"/>
                <w:szCs w:val="20"/>
                <w:u w:val="single"/>
              </w:rPr>
            </w:pPr>
            <w:r w:rsidRPr="00FE03F9">
              <w:rPr>
                <w:rFonts w:ascii="AVENIR BOOK OBLIQUE" w:hAnsi="AVENIR BOOK OBLIQUE"/>
                <w:i/>
                <w:iCs/>
                <w:sz w:val="20"/>
                <w:szCs w:val="20"/>
                <w:u w:val="single"/>
              </w:rPr>
              <w:t>NAP Probe trials:</w:t>
            </w:r>
          </w:p>
        </w:tc>
        <w:tc>
          <w:tcPr>
            <w:tcW w:w="1580" w:type="dxa"/>
            <w:vAlign w:val="center"/>
          </w:tcPr>
          <w:p w14:paraId="139D1E3C"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FNSD (n=34)</w:t>
            </w:r>
          </w:p>
        </w:tc>
        <w:tc>
          <w:tcPr>
            <w:tcW w:w="1580" w:type="dxa"/>
            <w:vAlign w:val="center"/>
          </w:tcPr>
          <w:p w14:paraId="0D9D8F2F"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HC (n=44)</w:t>
            </w:r>
          </w:p>
        </w:tc>
        <w:tc>
          <w:tcPr>
            <w:tcW w:w="1580" w:type="dxa"/>
            <w:vAlign w:val="center"/>
          </w:tcPr>
          <w:p w14:paraId="708AB811"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U</w:t>
            </w:r>
          </w:p>
        </w:tc>
        <w:tc>
          <w:tcPr>
            <w:tcW w:w="1581" w:type="dxa"/>
            <w:vAlign w:val="center"/>
          </w:tcPr>
          <w:p w14:paraId="14C454A5" w14:textId="77777777" w:rsidR="004A137D" w:rsidRPr="00FE03F9" w:rsidRDefault="004A137D" w:rsidP="00FE03F9">
            <w:pPr>
              <w:spacing w:line="240" w:lineRule="auto"/>
              <w:jc w:val="center"/>
              <w:rPr>
                <w:rFonts w:ascii="Avenir Heavy" w:hAnsi="Avenir Heavy"/>
                <w:b/>
                <w:bCs/>
                <w:sz w:val="20"/>
                <w:szCs w:val="20"/>
              </w:rPr>
            </w:pPr>
            <w:r w:rsidRPr="00FE03F9">
              <w:rPr>
                <w:rFonts w:ascii="Avenir Heavy" w:hAnsi="Avenir Heavy"/>
                <w:b/>
                <w:bCs/>
                <w:sz w:val="20"/>
                <w:szCs w:val="20"/>
              </w:rPr>
              <w:t>p-value</w:t>
            </w:r>
          </w:p>
        </w:tc>
      </w:tr>
      <w:tr w:rsidR="004A137D" w:rsidRPr="00FE03F9" w14:paraId="4E0B9A55" w14:textId="77777777" w:rsidTr="003E72DA">
        <w:trPr>
          <w:jc w:val="center"/>
        </w:trPr>
        <w:tc>
          <w:tcPr>
            <w:tcW w:w="2689" w:type="dxa"/>
            <w:vAlign w:val="center"/>
          </w:tcPr>
          <w:p w14:paraId="75C1FCDD"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 xml:space="preserve">Positive valence (C), mean RT in </w:t>
            </w:r>
            <w:proofErr w:type="spellStart"/>
            <w:r w:rsidRPr="00FE03F9">
              <w:rPr>
                <w:rFonts w:ascii="Avenir Heavy" w:hAnsi="Avenir Heavy"/>
                <w:b/>
                <w:bCs/>
                <w:i/>
                <w:iCs/>
                <w:sz w:val="20"/>
                <w:szCs w:val="20"/>
              </w:rPr>
              <w:t>ms</w:t>
            </w:r>
            <w:proofErr w:type="spellEnd"/>
          </w:p>
        </w:tc>
        <w:tc>
          <w:tcPr>
            <w:tcW w:w="1580" w:type="dxa"/>
            <w:vAlign w:val="center"/>
          </w:tcPr>
          <w:p w14:paraId="2E0E98CE" w14:textId="77777777" w:rsidR="004A137D" w:rsidRPr="00FE03F9" w:rsidRDefault="004A137D" w:rsidP="00FE03F9">
            <w:pPr>
              <w:spacing w:line="240" w:lineRule="auto"/>
              <w:jc w:val="center"/>
              <w:rPr>
                <w:sz w:val="20"/>
                <w:szCs w:val="20"/>
              </w:rPr>
            </w:pPr>
            <w:r w:rsidRPr="00FE03F9">
              <w:rPr>
                <w:sz w:val="20"/>
                <w:szCs w:val="20"/>
              </w:rPr>
              <w:t>7024 (125.2)</w:t>
            </w:r>
          </w:p>
        </w:tc>
        <w:tc>
          <w:tcPr>
            <w:tcW w:w="1580" w:type="dxa"/>
            <w:vAlign w:val="center"/>
          </w:tcPr>
          <w:p w14:paraId="0108EDAF" w14:textId="77777777" w:rsidR="004A137D" w:rsidRPr="00FE03F9" w:rsidRDefault="004A137D" w:rsidP="00FE03F9">
            <w:pPr>
              <w:spacing w:line="240" w:lineRule="auto"/>
              <w:jc w:val="center"/>
              <w:rPr>
                <w:sz w:val="20"/>
                <w:szCs w:val="20"/>
              </w:rPr>
            </w:pPr>
            <w:r w:rsidRPr="00FE03F9">
              <w:rPr>
                <w:sz w:val="20"/>
                <w:szCs w:val="20"/>
              </w:rPr>
              <w:t>689.2 (181.3)</w:t>
            </w:r>
          </w:p>
        </w:tc>
        <w:tc>
          <w:tcPr>
            <w:tcW w:w="1580" w:type="dxa"/>
            <w:vAlign w:val="center"/>
          </w:tcPr>
          <w:p w14:paraId="4E92F3B1" w14:textId="77777777" w:rsidR="004A137D" w:rsidRPr="00FE03F9" w:rsidRDefault="004A137D" w:rsidP="00FE03F9">
            <w:pPr>
              <w:spacing w:line="240" w:lineRule="auto"/>
              <w:jc w:val="center"/>
              <w:rPr>
                <w:sz w:val="20"/>
                <w:szCs w:val="20"/>
              </w:rPr>
            </w:pPr>
            <w:r w:rsidRPr="00FE03F9">
              <w:rPr>
                <w:sz w:val="20"/>
                <w:szCs w:val="20"/>
              </w:rPr>
              <w:t>565.5</w:t>
            </w:r>
          </w:p>
        </w:tc>
        <w:tc>
          <w:tcPr>
            <w:tcW w:w="1581" w:type="dxa"/>
            <w:vAlign w:val="center"/>
          </w:tcPr>
          <w:p w14:paraId="769BB214" w14:textId="77777777" w:rsidR="004A137D" w:rsidRPr="00FE03F9" w:rsidRDefault="004A137D" w:rsidP="00FE03F9">
            <w:pPr>
              <w:spacing w:line="240" w:lineRule="auto"/>
              <w:jc w:val="center"/>
              <w:rPr>
                <w:sz w:val="20"/>
                <w:szCs w:val="20"/>
              </w:rPr>
            </w:pPr>
            <w:r w:rsidRPr="00FE03F9">
              <w:rPr>
                <w:sz w:val="20"/>
                <w:szCs w:val="20"/>
              </w:rPr>
              <w:t>0.002*</w:t>
            </w:r>
          </w:p>
        </w:tc>
      </w:tr>
      <w:tr w:rsidR="004A137D" w:rsidRPr="00FE03F9" w14:paraId="084D22B7" w14:textId="77777777" w:rsidTr="003E72DA">
        <w:trPr>
          <w:jc w:val="center"/>
        </w:trPr>
        <w:tc>
          <w:tcPr>
            <w:tcW w:w="2689" w:type="dxa"/>
            <w:vAlign w:val="center"/>
          </w:tcPr>
          <w:p w14:paraId="2E2C8C77"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 xml:space="preserve">Positive valence (E), mean RT in </w:t>
            </w:r>
            <w:proofErr w:type="spellStart"/>
            <w:r w:rsidRPr="00FE03F9">
              <w:rPr>
                <w:rFonts w:ascii="Avenir Heavy" w:hAnsi="Avenir Heavy"/>
                <w:b/>
                <w:bCs/>
                <w:i/>
                <w:iCs/>
                <w:sz w:val="20"/>
                <w:szCs w:val="20"/>
              </w:rPr>
              <w:t>ms</w:t>
            </w:r>
            <w:proofErr w:type="spellEnd"/>
          </w:p>
        </w:tc>
        <w:tc>
          <w:tcPr>
            <w:tcW w:w="1580" w:type="dxa"/>
            <w:vAlign w:val="center"/>
          </w:tcPr>
          <w:p w14:paraId="7E15860C" w14:textId="77777777" w:rsidR="004A137D" w:rsidRPr="00FE03F9" w:rsidRDefault="004A137D" w:rsidP="00FE03F9">
            <w:pPr>
              <w:spacing w:line="240" w:lineRule="auto"/>
              <w:jc w:val="center"/>
              <w:rPr>
                <w:sz w:val="20"/>
                <w:szCs w:val="20"/>
              </w:rPr>
            </w:pPr>
            <w:r w:rsidRPr="00FE03F9">
              <w:rPr>
                <w:sz w:val="20"/>
                <w:szCs w:val="20"/>
              </w:rPr>
              <w:t>733.8 (111.6)</w:t>
            </w:r>
          </w:p>
        </w:tc>
        <w:tc>
          <w:tcPr>
            <w:tcW w:w="1580" w:type="dxa"/>
            <w:vAlign w:val="center"/>
          </w:tcPr>
          <w:p w14:paraId="1AC46BE1" w14:textId="77777777" w:rsidR="004A137D" w:rsidRPr="00FE03F9" w:rsidRDefault="004A137D" w:rsidP="00FE03F9">
            <w:pPr>
              <w:spacing w:line="240" w:lineRule="auto"/>
              <w:jc w:val="center"/>
              <w:rPr>
                <w:sz w:val="20"/>
                <w:szCs w:val="20"/>
              </w:rPr>
            </w:pPr>
            <w:r w:rsidRPr="00FE03F9">
              <w:rPr>
                <w:sz w:val="20"/>
                <w:szCs w:val="20"/>
              </w:rPr>
              <w:t>761.0 (174.8)</w:t>
            </w:r>
          </w:p>
        </w:tc>
        <w:tc>
          <w:tcPr>
            <w:tcW w:w="1580" w:type="dxa"/>
            <w:vAlign w:val="center"/>
          </w:tcPr>
          <w:p w14:paraId="7C6B5167" w14:textId="77777777" w:rsidR="004A137D" w:rsidRPr="00FE03F9" w:rsidRDefault="004A137D" w:rsidP="00FE03F9">
            <w:pPr>
              <w:spacing w:line="240" w:lineRule="auto"/>
              <w:jc w:val="center"/>
              <w:rPr>
                <w:sz w:val="20"/>
                <w:szCs w:val="20"/>
              </w:rPr>
            </w:pPr>
            <w:r w:rsidRPr="00FE03F9">
              <w:rPr>
                <w:sz w:val="20"/>
                <w:szCs w:val="20"/>
              </w:rPr>
              <w:t>634.0</w:t>
            </w:r>
          </w:p>
        </w:tc>
        <w:tc>
          <w:tcPr>
            <w:tcW w:w="1581" w:type="dxa"/>
            <w:vAlign w:val="center"/>
          </w:tcPr>
          <w:p w14:paraId="3C1EE53D" w14:textId="77777777" w:rsidR="004A137D" w:rsidRPr="00FE03F9" w:rsidRDefault="004A137D" w:rsidP="00FE03F9">
            <w:pPr>
              <w:spacing w:line="240" w:lineRule="auto"/>
              <w:jc w:val="center"/>
              <w:rPr>
                <w:sz w:val="20"/>
                <w:szCs w:val="20"/>
              </w:rPr>
            </w:pPr>
            <w:r w:rsidRPr="00FE03F9">
              <w:rPr>
                <w:sz w:val="20"/>
                <w:szCs w:val="20"/>
              </w:rPr>
              <w:t>0.068</w:t>
            </w:r>
          </w:p>
        </w:tc>
      </w:tr>
      <w:tr w:rsidR="004A137D" w:rsidRPr="00FE03F9" w14:paraId="434465C9" w14:textId="77777777" w:rsidTr="003E72DA">
        <w:trPr>
          <w:jc w:val="center"/>
        </w:trPr>
        <w:tc>
          <w:tcPr>
            <w:tcW w:w="2689" w:type="dxa"/>
            <w:vAlign w:val="center"/>
          </w:tcPr>
          <w:p w14:paraId="123979E2"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 xml:space="preserve">Negative valence (C), mean RT in </w:t>
            </w:r>
            <w:proofErr w:type="spellStart"/>
            <w:r w:rsidRPr="00FE03F9">
              <w:rPr>
                <w:rFonts w:ascii="Avenir Heavy" w:hAnsi="Avenir Heavy"/>
                <w:b/>
                <w:bCs/>
                <w:i/>
                <w:iCs/>
                <w:sz w:val="20"/>
                <w:szCs w:val="20"/>
              </w:rPr>
              <w:t>ms</w:t>
            </w:r>
            <w:proofErr w:type="spellEnd"/>
          </w:p>
        </w:tc>
        <w:tc>
          <w:tcPr>
            <w:tcW w:w="1580" w:type="dxa"/>
            <w:vAlign w:val="center"/>
          </w:tcPr>
          <w:p w14:paraId="42059DCE" w14:textId="77777777" w:rsidR="004A137D" w:rsidRPr="00FE03F9" w:rsidRDefault="004A137D" w:rsidP="00FE03F9">
            <w:pPr>
              <w:spacing w:line="240" w:lineRule="auto"/>
              <w:jc w:val="center"/>
              <w:rPr>
                <w:sz w:val="20"/>
                <w:szCs w:val="20"/>
              </w:rPr>
            </w:pPr>
            <w:r w:rsidRPr="00FE03F9">
              <w:rPr>
                <w:sz w:val="20"/>
                <w:szCs w:val="20"/>
              </w:rPr>
              <w:t>756.5 (147.2)</w:t>
            </w:r>
          </w:p>
        </w:tc>
        <w:tc>
          <w:tcPr>
            <w:tcW w:w="1580" w:type="dxa"/>
            <w:vAlign w:val="center"/>
          </w:tcPr>
          <w:p w14:paraId="6C83C558" w14:textId="77777777" w:rsidR="004A137D" w:rsidRPr="00FE03F9" w:rsidRDefault="004A137D" w:rsidP="00FE03F9">
            <w:pPr>
              <w:spacing w:line="240" w:lineRule="auto"/>
              <w:jc w:val="center"/>
              <w:rPr>
                <w:sz w:val="20"/>
                <w:szCs w:val="20"/>
              </w:rPr>
            </w:pPr>
            <w:r w:rsidRPr="00FE03F9">
              <w:rPr>
                <w:sz w:val="20"/>
                <w:szCs w:val="20"/>
              </w:rPr>
              <w:t>692.9 (161.9)</w:t>
            </w:r>
          </w:p>
        </w:tc>
        <w:tc>
          <w:tcPr>
            <w:tcW w:w="1580" w:type="dxa"/>
            <w:vAlign w:val="center"/>
          </w:tcPr>
          <w:p w14:paraId="1636B52F" w14:textId="77777777" w:rsidR="004A137D" w:rsidRPr="00FE03F9" w:rsidRDefault="004A137D" w:rsidP="00FE03F9">
            <w:pPr>
              <w:spacing w:line="240" w:lineRule="auto"/>
              <w:jc w:val="center"/>
              <w:rPr>
                <w:sz w:val="20"/>
                <w:szCs w:val="20"/>
              </w:rPr>
            </w:pPr>
            <w:r w:rsidRPr="00FE03F9">
              <w:rPr>
                <w:sz w:val="20"/>
                <w:szCs w:val="20"/>
              </w:rPr>
              <w:t>609.5</w:t>
            </w:r>
          </w:p>
        </w:tc>
        <w:tc>
          <w:tcPr>
            <w:tcW w:w="1581" w:type="dxa"/>
            <w:vAlign w:val="center"/>
          </w:tcPr>
          <w:p w14:paraId="4BD19B6C" w14:textId="77777777" w:rsidR="004A137D" w:rsidRPr="00FE03F9" w:rsidRDefault="004A137D" w:rsidP="00FE03F9">
            <w:pPr>
              <w:spacing w:line="240" w:lineRule="auto"/>
              <w:jc w:val="center"/>
              <w:rPr>
                <w:sz w:val="20"/>
                <w:szCs w:val="20"/>
              </w:rPr>
            </w:pPr>
            <w:r w:rsidRPr="00FE03F9">
              <w:rPr>
                <w:sz w:val="20"/>
                <w:szCs w:val="20"/>
              </w:rPr>
              <w:t>0.008*</w:t>
            </w:r>
          </w:p>
        </w:tc>
      </w:tr>
      <w:tr w:rsidR="004A137D" w:rsidRPr="00FE03F9" w14:paraId="26C36E5E" w14:textId="77777777" w:rsidTr="003E72DA">
        <w:trPr>
          <w:jc w:val="center"/>
        </w:trPr>
        <w:tc>
          <w:tcPr>
            <w:tcW w:w="2689" w:type="dxa"/>
            <w:vAlign w:val="center"/>
          </w:tcPr>
          <w:p w14:paraId="3201AAE9"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 xml:space="preserve">Negative valence (E), mean RT in </w:t>
            </w:r>
            <w:proofErr w:type="spellStart"/>
            <w:r w:rsidRPr="00FE03F9">
              <w:rPr>
                <w:rFonts w:ascii="Avenir Heavy" w:hAnsi="Avenir Heavy"/>
                <w:b/>
                <w:bCs/>
                <w:i/>
                <w:iCs/>
                <w:sz w:val="20"/>
                <w:szCs w:val="20"/>
              </w:rPr>
              <w:t>ms</w:t>
            </w:r>
            <w:proofErr w:type="spellEnd"/>
          </w:p>
        </w:tc>
        <w:tc>
          <w:tcPr>
            <w:tcW w:w="1580" w:type="dxa"/>
            <w:vAlign w:val="center"/>
          </w:tcPr>
          <w:p w14:paraId="05066CC9" w14:textId="77777777" w:rsidR="004A137D" w:rsidRPr="00FE03F9" w:rsidRDefault="004A137D" w:rsidP="00FE03F9">
            <w:pPr>
              <w:spacing w:line="240" w:lineRule="auto"/>
              <w:jc w:val="center"/>
              <w:rPr>
                <w:sz w:val="20"/>
                <w:szCs w:val="20"/>
              </w:rPr>
            </w:pPr>
            <w:r w:rsidRPr="00FE03F9">
              <w:rPr>
                <w:sz w:val="20"/>
                <w:szCs w:val="20"/>
              </w:rPr>
              <w:t>728.7 (132.4)</w:t>
            </w:r>
          </w:p>
        </w:tc>
        <w:tc>
          <w:tcPr>
            <w:tcW w:w="1580" w:type="dxa"/>
            <w:vAlign w:val="center"/>
          </w:tcPr>
          <w:p w14:paraId="62882113" w14:textId="77777777" w:rsidR="004A137D" w:rsidRPr="00FE03F9" w:rsidRDefault="004A137D" w:rsidP="00FE03F9">
            <w:pPr>
              <w:spacing w:line="240" w:lineRule="auto"/>
              <w:jc w:val="center"/>
              <w:rPr>
                <w:sz w:val="20"/>
                <w:szCs w:val="20"/>
              </w:rPr>
            </w:pPr>
            <w:r w:rsidRPr="00FE03F9">
              <w:rPr>
                <w:sz w:val="20"/>
                <w:szCs w:val="20"/>
              </w:rPr>
              <w:t>795.4 (172.4)</w:t>
            </w:r>
          </w:p>
        </w:tc>
        <w:tc>
          <w:tcPr>
            <w:tcW w:w="1580" w:type="dxa"/>
            <w:vAlign w:val="center"/>
          </w:tcPr>
          <w:p w14:paraId="1B69CFBD" w14:textId="77777777" w:rsidR="004A137D" w:rsidRPr="00FE03F9" w:rsidRDefault="004A137D" w:rsidP="00FE03F9">
            <w:pPr>
              <w:spacing w:line="240" w:lineRule="auto"/>
              <w:jc w:val="center"/>
              <w:rPr>
                <w:sz w:val="20"/>
                <w:szCs w:val="20"/>
              </w:rPr>
            </w:pPr>
            <w:r w:rsidRPr="00FE03F9">
              <w:rPr>
                <w:sz w:val="20"/>
                <w:szCs w:val="20"/>
              </w:rPr>
              <w:t>738.5</w:t>
            </w:r>
          </w:p>
        </w:tc>
        <w:tc>
          <w:tcPr>
            <w:tcW w:w="1581" w:type="dxa"/>
            <w:vAlign w:val="center"/>
          </w:tcPr>
          <w:p w14:paraId="45534679" w14:textId="77777777" w:rsidR="004A137D" w:rsidRPr="00FE03F9" w:rsidRDefault="004A137D" w:rsidP="00FE03F9">
            <w:pPr>
              <w:spacing w:line="240" w:lineRule="auto"/>
              <w:jc w:val="center"/>
              <w:rPr>
                <w:sz w:val="20"/>
                <w:szCs w:val="20"/>
              </w:rPr>
            </w:pPr>
            <w:r w:rsidRPr="00FE03F9">
              <w:rPr>
                <w:sz w:val="20"/>
                <w:szCs w:val="20"/>
              </w:rPr>
              <w:t>0.912</w:t>
            </w:r>
          </w:p>
        </w:tc>
      </w:tr>
      <w:tr w:rsidR="004A137D" w:rsidRPr="00FE03F9" w14:paraId="15CBE698" w14:textId="77777777" w:rsidTr="003E72DA">
        <w:trPr>
          <w:jc w:val="center"/>
        </w:trPr>
        <w:tc>
          <w:tcPr>
            <w:tcW w:w="2689" w:type="dxa"/>
            <w:vAlign w:val="center"/>
          </w:tcPr>
          <w:p w14:paraId="326DE0E5"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NAP index - positive, mean</w:t>
            </w:r>
          </w:p>
        </w:tc>
        <w:tc>
          <w:tcPr>
            <w:tcW w:w="1580" w:type="dxa"/>
            <w:vAlign w:val="center"/>
          </w:tcPr>
          <w:p w14:paraId="3C597560" w14:textId="77777777" w:rsidR="004A137D" w:rsidRPr="00FE03F9" w:rsidRDefault="004A137D" w:rsidP="00FE03F9">
            <w:pPr>
              <w:spacing w:line="240" w:lineRule="auto"/>
              <w:jc w:val="center"/>
              <w:rPr>
                <w:sz w:val="20"/>
                <w:szCs w:val="20"/>
              </w:rPr>
            </w:pPr>
            <w:r w:rsidRPr="00FE03F9">
              <w:rPr>
                <w:sz w:val="20"/>
                <w:szCs w:val="20"/>
              </w:rPr>
              <w:t>31.3 (125.1)</w:t>
            </w:r>
          </w:p>
        </w:tc>
        <w:tc>
          <w:tcPr>
            <w:tcW w:w="1580" w:type="dxa"/>
            <w:vAlign w:val="center"/>
          </w:tcPr>
          <w:p w14:paraId="4EF8C8F4" w14:textId="77777777" w:rsidR="004A137D" w:rsidRPr="00FE03F9" w:rsidRDefault="004A137D" w:rsidP="00FE03F9">
            <w:pPr>
              <w:spacing w:line="240" w:lineRule="auto"/>
              <w:jc w:val="center"/>
              <w:rPr>
                <w:sz w:val="20"/>
                <w:szCs w:val="20"/>
              </w:rPr>
            </w:pPr>
            <w:r w:rsidRPr="00FE03F9">
              <w:rPr>
                <w:sz w:val="20"/>
                <w:szCs w:val="20"/>
              </w:rPr>
              <w:t>71.6 (114.7)</w:t>
            </w:r>
          </w:p>
        </w:tc>
        <w:tc>
          <w:tcPr>
            <w:tcW w:w="1580" w:type="dxa"/>
            <w:vAlign w:val="center"/>
          </w:tcPr>
          <w:p w14:paraId="394213C1" w14:textId="77777777" w:rsidR="004A137D" w:rsidRPr="00FE03F9" w:rsidRDefault="004A137D" w:rsidP="00FE03F9">
            <w:pPr>
              <w:spacing w:line="240" w:lineRule="auto"/>
              <w:jc w:val="center"/>
              <w:rPr>
                <w:sz w:val="20"/>
                <w:szCs w:val="20"/>
              </w:rPr>
            </w:pPr>
            <w:r w:rsidRPr="00FE03F9">
              <w:rPr>
                <w:sz w:val="20"/>
                <w:szCs w:val="20"/>
              </w:rPr>
              <w:t>623.0</w:t>
            </w:r>
          </w:p>
        </w:tc>
        <w:tc>
          <w:tcPr>
            <w:tcW w:w="1581" w:type="dxa"/>
            <w:vAlign w:val="center"/>
          </w:tcPr>
          <w:p w14:paraId="36FCA828" w14:textId="77777777" w:rsidR="004A137D" w:rsidRPr="00FE03F9" w:rsidRDefault="004A137D" w:rsidP="00FE03F9">
            <w:pPr>
              <w:spacing w:line="240" w:lineRule="auto"/>
              <w:jc w:val="center"/>
              <w:rPr>
                <w:sz w:val="20"/>
                <w:szCs w:val="20"/>
              </w:rPr>
            </w:pPr>
            <w:r w:rsidRPr="00FE03F9">
              <w:rPr>
                <w:sz w:val="20"/>
                <w:szCs w:val="20"/>
              </w:rPr>
              <w:t>0.210</w:t>
            </w:r>
          </w:p>
        </w:tc>
      </w:tr>
      <w:tr w:rsidR="004A137D" w:rsidRPr="00FE03F9" w14:paraId="0E67B81C" w14:textId="77777777" w:rsidTr="003E72DA">
        <w:trPr>
          <w:jc w:val="center"/>
        </w:trPr>
        <w:tc>
          <w:tcPr>
            <w:tcW w:w="2689" w:type="dxa"/>
            <w:vAlign w:val="center"/>
          </w:tcPr>
          <w:p w14:paraId="4A5A0373"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NAP index – negative, mean</w:t>
            </w:r>
          </w:p>
        </w:tc>
        <w:tc>
          <w:tcPr>
            <w:tcW w:w="1580" w:type="dxa"/>
            <w:vAlign w:val="center"/>
          </w:tcPr>
          <w:p w14:paraId="7A432F63" w14:textId="77777777" w:rsidR="004A137D" w:rsidRPr="00FE03F9" w:rsidRDefault="004A137D" w:rsidP="00FE03F9">
            <w:pPr>
              <w:spacing w:line="240" w:lineRule="auto"/>
              <w:jc w:val="center"/>
              <w:rPr>
                <w:sz w:val="20"/>
                <w:szCs w:val="20"/>
              </w:rPr>
            </w:pPr>
            <w:r w:rsidRPr="00FE03F9">
              <w:rPr>
                <w:sz w:val="20"/>
                <w:szCs w:val="20"/>
              </w:rPr>
              <w:t>-27.82 (117.5)</w:t>
            </w:r>
          </w:p>
        </w:tc>
        <w:tc>
          <w:tcPr>
            <w:tcW w:w="1580" w:type="dxa"/>
            <w:vAlign w:val="center"/>
          </w:tcPr>
          <w:p w14:paraId="7E7DD648" w14:textId="77777777" w:rsidR="004A137D" w:rsidRPr="00FE03F9" w:rsidRDefault="004A137D" w:rsidP="00FE03F9">
            <w:pPr>
              <w:spacing w:line="240" w:lineRule="auto"/>
              <w:jc w:val="center"/>
              <w:rPr>
                <w:sz w:val="20"/>
                <w:szCs w:val="20"/>
              </w:rPr>
            </w:pPr>
            <w:r w:rsidRPr="00FE03F9">
              <w:rPr>
                <w:sz w:val="20"/>
                <w:szCs w:val="20"/>
              </w:rPr>
              <w:t>93.4 (106.11)</w:t>
            </w:r>
          </w:p>
        </w:tc>
        <w:tc>
          <w:tcPr>
            <w:tcW w:w="1580" w:type="dxa"/>
            <w:vAlign w:val="center"/>
          </w:tcPr>
          <w:p w14:paraId="3C9288F5" w14:textId="77777777" w:rsidR="004A137D" w:rsidRPr="00FE03F9" w:rsidRDefault="004A137D" w:rsidP="00FE03F9">
            <w:pPr>
              <w:spacing w:line="240" w:lineRule="auto"/>
              <w:jc w:val="center"/>
              <w:rPr>
                <w:sz w:val="20"/>
                <w:szCs w:val="20"/>
              </w:rPr>
            </w:pPr>
            <w:r w:rsidRPr="00FE03F9">
              <w:rPr>
                <w:sz w:val="20"/>
                <w:szCs w:val="20"/>
              </w:rPr>
              <w:t>310.0</w:t>
            </w:r>
          </w:p>
        </w:tc>
        <w:tc>
          <w:tcPr>
            <w:tcW w:w="1581" w:type="dxa"/>
            <w:vAlign w:val="center"/>
          </w:tcPr>
          <w:p w14:paraId="5C9D0222" w14:textId="77777777" w:rsidR="004A137D" w:rsidRPr="00FE03F9" w:rsidRDefault="004A137D" w:rsidP="00FE03F9">
            <w:pPr>
              <w:spacing w:line="240" w:lineRule="auto"/>
              <w:jc w:val="center"/>
              <w:rPr>
                <w:sz w:val="20"/>
                <w:szCs w:val="20"/>
              </w:rPr>
            </w:pPr>
            <w:r w:rsidRPr="00FE03F9">
              <w:rPr>
                <w:sz w:val="20"/>
                <w:szCs w:val="20"/>
              </w:rPr>
              <w:t>&lt;0.001**</w:t>
            </w:r>
          </w:p>
        </w:tc>
      </w:tr>
      <w:tr w:rsidR="004A137D" w:rsidRPr="00FE03F9" w14:paraId="433301AA" w14:textId="77777777" w:rsidTr="003E72DA">
        <w:trPr>
          <w:jc w:val="center"/>
        </w:trPr>
        <w:tc>
          <w:tcPr>
            <w:tcW w:w="2689" w:type="dxa"/>
            <w:vAlign w:val="center"/>
          </w:tcPr>
          <w:p w14:paraId="3C0EB0E9"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Interference index - positive</w:t>
            </w:r>
          </w:p>
        </w:tc>
        <w:tc>
          <w:tcPr>
            <w:tcW w:w="1580" w:type="dxa"/>
            <w:vAlign w:val="center"/>
          </w:tcPr>
          <w:p w14:paraId="1AA5B0F7" w14:textId="77777777" w:rsidR="004A137D" w:rsidRPr="00FE03F9" w:rsidRDefault="004A137D" w:rsidP="00FE03F9">
            <w:pPr>
              <w:spacing w:line="240" w:lineRule="auto"/>
              <w:jc w:val="center"/>
              <w:rPr>
                <w:sz w:val="20"/>
                <w:szCs w:val="20"/>
              </w:rPr>
            </w:pPr>
            <w:r w:rsidRPr="00FE03F9">
              <w:rPr>
                <w:sz w:val="20"/>
                <w:szCs w:val="20"/>
              </w:rPr>
              <w:t>0.08 (0.14)</w:t>
            </w:r>
          </w:p>
        </w:tc>
        <w:tc>
          <w:tcPr>
            <w:tcW w:w="1580" w:type="dxa"/>
            <w:vAlign w:val="center"/>
          </w:tcPr>
          <w:p w14:paraId="6182B0CC" w14:textId="77777777" w:rsidR="004A137D" w:rsidRPr="00FE03F9" w:rsidRDefault="004A137D" w:rsidP="00FE03F9">
            <w:pPr>
              <w:spacing w:line="240" w:lineRule="auto"/>
              <w:jc w:val="center"/>
              <w:rPr>
                <w:sz w:val="20"/>
                <w:szCs w:val="20"/>
              </w:rPr>
            </w:pPr>
            <w:r w:rsidRPr="00FE03F9">
              <w:rPr>
                <w:sz w:val="20"/>
                <w:szCs w:val="20"/>
              </w:rPr>
              <w:t>0.12 (0.15)</w:t>
            </w:r>
          </w:p>
        </w:tc>
        <w:tc>
          <w:tcPr>
            <w:tcW w:w="1580" w:type="dxa"/>
            <w:vAlign w:val="center"/>
          </w:tcPr>
          <w:p w14:paraId="6DC55D5F" w14:textId="77777777" w:rsidR="004A137D" w:rsidRPr="00FE03F9" w:rsidRDefault="004A137D" w:rsidP="00FE03F9">
            <w:pPr>
              <w:spacing w:line="240" w:lineRule="auto"/>
              <w:jc w:val="center"/>
              <w:rPr>
                <w:sz w:val="20"/>
                <w:szCs w:val="20"/>
              </w:rPr>
            </w:pPr>
            <w:r w:rsidRPr="00FE03F9">
              <w:rPr>
                <w:sz w:val="20"/>
                <w:szCs w:val="20"/>
              </w:rPr>
              <w:t>583.0</w:t>
            </w:r>
          </w:p>
        </w:tc>
        <w:tc>
          <w:tcPr>
            <w:tcW w:w="1581" w:type="dxa"/>
            <w:vAlign w:val="center"/>
          </w:tcPr>
          <w:p w14:paraId="479BE87E" w14:textId="77777777" w:rsidR="004A137D" w:rsidRPr="00FE03F9" w:rsidRDefault="004A137D" w:rsidP="00FE03F9">
            <w:pPr>
              <w:spacing w:line="240" w:lineRule="auto"/>
              <w:jc w:val="center"/>
              <w:rPr>
                <w:sz w:val="20"/>
                <w:szCs w:val="20"/>
              </w:rPr>
            </w:pPr>
            <w:r w:rsidRPr="00FE03F9">
              <w:rPr>
                <w:sz w:val="20"/>
                <w:szCs w:val="20"/>
              </w:rPr>
              <w:t>0.097</w:t>
            </w:r>
          </w:p>
        </w:tc>
      </w:tr>
      <w:tr w:rsidR="004A137D" w:rsidRPr="00FE03F9" w14:paraId="2B337A07" w14:textId="77777777" w:rsidTr="003E72DA">
        <w:trPr>
          <w:jc w:val="center"/>
        </w:trPr>
        <w:tc>
          <w:tcPr>
            <w:tcW w:w="2689" w:type="dxa"/>
            <w:vAlign w:val="center"/>
          </w:tcPr>
          <w:p w14:paraId="16D3B313" w14:textId="77777777" w:rsidR="004A137D" w:rsidRPr="00FE03F9" w:rsidRDefault="004A137D" w:rsidP="00FE03F9">
            <w:pPr>
              <w:spacing w:line="240" w:lineRule="auto"/>
              <w:jc w:val="left"/>
              <w:rPr>
                <w:rFonts w:ascii="Avenir Heavy" w:hAnsi="Avenir Heavy"/>
                <w:b/>
                <w:bCs/>
                <w:i/>
                <w:iCs/>
                <w:sz w:val="20"/>
                <w:szCs w:val="20"/>
              </w:rPr>
            </w:pPr>
            <w:r w:rsidRPr="00FE03F9">
              <w:rPr>
                <w:rFonts w:ascii="Avenir Heavy" w:hAnsi="Avenir Heavy"/>
                <w:b/>
                <w:bCs/>
                <w:i/>
                <w:iCs/>
                <w:sz w:val="20"/>
                <w:szCs w:val="20"/>
              </w:rPr>
              <w:t>Interference index - negative</w:t>
            </w:r>
          </w:p>
        </w:tc>
        <w:tc>
          <w:tcPr>
            <w:tcW w:w="1580" w:type="dxa"/>
            <w:vAlign w:val="center"/>
          </w:tcPr>
          <w:p w14:paraId="52898AFC" w14:textId="77777777" w:rsidR="004A137D" w:rsidRPr="00FE03F9" w:rsidRDefault="004A137D" w:rsidP="00FE03F9">
            <w:pPr>
              <w:spacing w:line="240" w:lineRule="auto"/>
              <w:jc w:val="center"/>
              <w:rPr>
                <w:sz w:val="20"/>
                <w:szCs w:val="20"/>
              </w:rPr>
            </w:pPr>
            <w:r w:rsidRPr="00FE03F9">
              <w:rPr>
                <w:sz w:val="20"/>
                <w:szCs w:val="20"/>
              </w:rPr>
              <w:t>-0.02 (0.14)</w:t>
            </w:r>
          </w:p>
        </w:tc>
        <w:tc>
          <w:tcPr>
            <w:tcW w:w="1580" w:type="dxa"/>
            <w:vAlign w:val="center"/>
          </w:tcPr>
          <w:p w14:paraId="01A5D066" w14:textId="77777777" w:rsidR="004A137D" w:rsidRPr="00FE03F9" w:rsidRDefault="004A137D" w:rsidP="00FE03F9">
            <w:pPr>
              <w:spacing w:line="240" w:lineRule="auto"/>
              <w:jc w:val="center"/>
              <w:rPr>
                <w:sz w:val="20"/>
                <w:szCs w:val="20"/>
              </w:rPr>
            </w:pPr>
            <w:r w:rsidRPr="00FE03F9">
              <w:rPr>
                <w:sz w:val="20"/>
                <w:szCs w:val="20"/>
              </w:rPr>
              <w:t>0.07 (0.13)</w:t>
            </w:r>
          </w:p>
        </w:tc>
        <w:tc>
          <w:tcPr>
            <w:tcW w:w="1580" w:type="dxa"/>
            <w:vAlign w:val="center"/>
          </w:tcPr>
          <w:p w14:paraId="51388D47" w14:textId="77777777" w:rsidR="004A137D" w:rsidRPr="00FE03F9" w:rsidRDefault="004A137D" w:rsidP="00FE03F9">
            <w:pPr>
              <w:spacing w:line="240" w:lineRule="auto"/>
              <w:jc w:val="center"/>
              <w:rPr>
                <w:sz w:val="20"/>
                <w:szCs w:val="20"/>
              </w:rPr>
            </w:pPr>
            <w:r w:rsidRPr="00FE03F9">
              <w:rPr>
                <w:sz w:val="20"/>
                <w:szCs w:val="20"/>
              </w:rPr>
              <w:t>495.0</w:t>
            </w:r>
          </w:p>
        </w:tc>
        <w:tc>
          <w:tcPr>
            <w:tcW w:w="1581" w:type="dxa"/>
            <w:vAlign w:val="center"/>
          </w:tcPr>
          <w:p w14:paraId="0190CDCA" w14:textId="77777777" w:rsidR="004A137D" w:rsidRPr="00FE03F9" w:rsidRDefault="004A137D" w:rsidP="00FE03F9">
            <w:pPr>
              <w:spacing w:line="240" w:lineRule="auto"/>
              <w:jc w:val="center"/>
              <w:rPr>
                <w:sz w:val="20"/>
                <w:szCs w:val="20"/>
              </w:rPr>
            </w:pPr>
            <w:r w:rsidRPr="00FE03F9">
              <w:rPr>
                <w:sz w:val="20"/>
                <w:szCs w:val="20"/>
              </w:rPr>
              <w:t>0.011*</w:t>
            </w:r>
          </w:p>
        </w:tc>
      </w:tr>
    </w:tbl>
    <w:p w14:paraId="2814967F" w14:textId="0DF51FB0" w:rsidR="004A137D" w:rsidRPr="00FE03F9" w:rsidRDefault="004A137D" w:rsidP="00CB534B">
      <w:pPr>
        <w:rPr>
          <w:rFonts w:ascii="Avenir Book" w:hAnsi="Avenir Book"/>
          <w:i/>
          <w:iCs/>
          <w:sz w:val="17"/>
          <w:szCs w:val="17"/>
        </w:rPr>
      </w:pPr>
      <w:r w:rsidRPr="00B670C8">
        <w:rPr>
          <w:i/>
          <w:iCs/>
          <w:sz w:val="17"/>
          <w:szCs w:val="17"/>
        </w:rPr>
        <w:t xml:space="preserve">Note: </w:t>
      </w:r>
      <w:r>
        <w:rPr>
          <w:i/>
          <w:iCs/>
          <w:sz w:val="17"/>
          <w:szCs w:val="17"/>
        </w:rPr>
        <w:t xml:space="preserve">Student’s t-test used for parametric data. </w:t>
      </w:r>
      <w:r w:rsidRPr="00B670C8">
        <w:rPr>
          <w:i/>
          <w:iCs/>
          <w:sz w:val="17"/>
          <w:szCs w:val="17"/>
        </w:rPr>
        <w:t xml:space="preserve">Mann-Whitney U test </w:t>
      </w:r>
      <w:r>
        <w:rPr>
          <w:i/>
          <w:iCs/>
          <w:sz w:val="17"/>
          <w:szCs w:val="17"/>
        </w:rPr>
        <w:t xml:space="preserve">was </w:t>
      </w:r>
      <w:r w:rsidRPr="00B670C8">
        <w:rPr>
          <w:i/>
          <w:iCs/>
          <w:sz w:val="17"/>
          <w:szCs w:val="17"/>
        </w:rPr>
        <w:t>used for non-parametric data.</w:t>
      </w:r>
      <w:r>
        <w:rPr>
          <w:i/>
          <w:iCs/>
          <w:sz w:val="17"/>
          <w:szCs w:val="17"/>
        </w:rPr>
        <w:t xml:space="preserve"> </w:t>
      </w:r>
      <w:r w:rsidRPr="00B670C8">
        <w:rPr>
          <w:i/>
          <w:iCs/>
          <w:sz w:val="17"/>
          <w:szCs w:val="17"/>
        </w:rPr>
        <w:t>DERS – Difficulties in Emotion Regulation Scale; PHQ-9 – Patient Health Questionnaire-9 (depression); PHQ-15 – Patient Health</w:t>
      </w:r>
      <w:r w:rsidR="00FE03F9">
        <w:rPr>
          <w:i/>
          <w:iCs/>
          <w:sz w:val="17"/>
          <w:szCs w:val="17"/>
        </w:rPr>
        <w:t xml:space="preserve"> </w:t>
      </w:r>
      <w:r w:rsidRPr="00B670C8">
        <w:rPr>
          <w:i/>
          <w:iCs/>
          <w:sz w:val="17"/>
          <w:szCs w:val="17"/>
        </w:rPr>
        <w:t>Questionnaire-15 (Somatic symptoms); GAD-7 – Generalised Anxiety Disorder-7</w:t>
      </w:r>
      <w:r>
        <w:rPr>
          <w:i/>
          <w:iCs/>
          <w:sz w:val="17"/>
          <w:szCs w:val="17"/>
        </w:rPr>
        <w:t xml:space="preserve"> (anxiety)</w:t>
      </w:r>
      <w:r w:rsidRPr="00B670C8">
        <w:rPr>
          <w:i/>
          <w:iCs/>
          <w:sz w:val="17"/>
          <w:szCs w:val="17"/>
        </w:rPr>
        <w:t>; EQ-5D-3L</w:t>
      </w:r>
      <w:r>
        <w:rPr>
          <w:i/>
          <w:iCs/>
          <w:sz w:val="17"/>
          <w:szCs w:val="17"/>
        </w:rPr>
        <w:t xml:space="preserve"> – </w:t>
      </w:r>
      <w:proofErr w:type="spellStart"/>
      <w:r>
        <w:rPr>
          <w:i/>
          <w:iCs/>
          <w:sz w:val="17"/>
          <w:szCs w:val="17"/>
        </w:rPr>
        <w:t>EuroQol</w:t>
      </w:r>
      <w:proofErr w:type="spellEnd"/>
      <w:r>
        <w:rPr>
          <w:i/>
          <w:iCs/>
          <w:sz w:val="17"/>
          <w:szCs w:val="17"/>
        </w:rPr>
        <w:t xml:space="preserve"> 5-dimension -3-level scale (QOL). </w:t>
      </w:r>
    </w:p>
    <w:p w14:paraId="1592587C" w14:textId="6FCEB650" w:rsidR="004A137D" w:rsidRPr="00FE03F9" w:rsidRDefault="004A137D" w:rsidP="007C2B10">
      <w:pPr>
        <w:pStyle w:val="Heading3"/>
      </w:pPr>
      <w:r>
        <w:br w:type="page"/>
      </w:r>
      <w:bookmarkStart w:id="175" w:name="_Toc137504787"/>
      <w:r w:rsidR="00CD314B">
        <w:lastRenderedPageBreak/>
        <w:t>5.</w:t>
      </w:r>
      <w:r w:rsidRPr="00E62304">
        <w:t>3.</w:t>
      </w:r>
      <w:r>
        <w:t>4</w:t>
      </w:r>
      <w:r w:rsidRPr="00E62304">
        <w:t xml:space="preserve"> Delay discounting</w:t>
      </w:r>
      <w:bookmarkEnd w:id="175"/>
    </w:p>
    <w:p w14:paraId="2A5946F8" w14:textId="77777777" w:rsidR="004A137D" w:rsidRDefault="004A137D" w:rsidP="006C2C48">
      <w:pPr>
        <w:rPr>
          <w:rFonts w:ascii="Georgia" w:hAnsi="Georgia"/>
          <w:color w:val="2E2E2E"/>
        </w:rPr>
      </w:pPr>
      <w:r w:rsidRPr="00F15EE9">
        <w:rPr>
          <w:rFonts w:cs="Open Sans"/>
          <w:szCs w:val="22"/>
        </w:rPr>
        <w:t xml:space="preserve">Both groups responded to items with similar degrees of consistency, </w:t>
      </w:r>
      <w:r w:rsidRPr="006C2C48">
        <w:rPr>
          <w:rFonts w:cs="Open Sans"/>
          <w:szCs w:val="22"/>
        </w:rPr>
        <w:t>FNSD</w:t>
      </w:r>
      <w:r>
        <w:rPr>
          <w:rFonts w:cs="Open Sans"/>
          <w:szCs w:val="22"/>
        </w:rPr>
        <w:t xml:space="preserve">: </w:t>
      </w:r>
      <w:r w:rsidRPr="00F15EE9">
        <w:rPr>
          <w:rFonts w:cs="Open Sans"/>
          <w:szCs w:val="22"/>
        </w:rPr>
        <w:t>mean</w:t>
      </w:r>
      <w:r w:rsidRPr="00F15EE9">
        <w:rPr>
          <w:rFonts w:ascii="Times New Roman" w:hAnsi="Times New Roman"/>
          <w:szCs w:val="22"/>
        </w:rPr>
        <w:t> </w:t>
      </w:r>
      <w:r w:rsidRPr="00F15EE9">
        <w:rPr>
          <w:rFonts w:cs="Open Sans"/>
          <w:szCs w:val="22"/>
        </w:rPr>
        <w:t>=</w:t>
      </w:r>
      <w:r w:rsidRPr="00F15EE9">
        <w:rPr>
          <w:rFonts w:ascii="Times New Roman" w:hAnsi="Times New Roman"/>
          <w:szCs w:val="22"/>
        </w:rPr>
        <w:t> </w:t>
      </w:r>
      <w:r w:rsidRPr="006C2C48">
        <w:rPr>
          <w:rFonts w:cs="Open Sans"/>
          <w:szCs w:val="22"/>
        </w:rPr>
        <w:t>96.</w:t>
      </w:r>
      <w:r>
        <w:rPr>
          <w:rFonts w:cs="Open Sans"/>
          <w:szCs w:val="22"/>
        </w:rPr>
        <w:t>0 (+-</w:t>
      </w:r>
      <w:r w:rsidRPr="006C2C48">
        <w:rPr>
          <w:rFonts w:cs="Open Sans"/>
          <w:szCs w:val="22"/>
        </w:rPr>
        <w:t>5</w:t>
      </w:r>
      <w:r>
        <w:rPr>
          <w:rFonts w:cs="Open Sans"/>
          <w:szCs w:val="22"/>
        </w:rPr>
        <w:t>.0)</w:t>
      </w:r>
      <w:r w:rsidRPr="00F15EE9">
        <w:rPr>
          <w:rFonts w:cs="Open Sans"/>
          <w:szCs w:val="22"/>
        </w:rPr>
        <w:t xml:space="preserve">; </w:t>
      </w:r>
      <w:r w:rsidRPr="006C2C48">
        <w:rPr>
          <w:rFonts w:cs="Open Sans"/>
          <w:szCs w:val="22"/>
        </w:rPr>
        <w:t>HC</w:t>
      </w:r>
      <w:r w:rsidRPr="00F15EE9">
        <w:rPr>
          <w:rFonts w:cs="Open Sans"/>
          <w:szCs w:val="22"/>
        </w:rPr>
        <w:t>: mean</w:t>
      </w:r>
      <w:r w:rsidRPr="00F15EE9">
        <w:rPr>
          <w:rFonts w:ascii="Times New Roman" w:hAnsi="Times New Roman"/>
          <w:szCs w:val="22"/>
        </w:rPr>
        <w:t> </w:t>
      </w:r>
      <w:r w:rsidRPr="00F15EE9">
        <w:rPr>
          <w:rFonts w:cs="Open Sans"/>
          <w:szCs w:val="22"/>
        </w:rPr>
        <w:t>=</w:t>
      </w:r>
      <w:r w:rsidRPr="00F15EE9">
        <w:rPr>
          <w:rFonts w:ascii="Times New Roman" w:hAnsi="Times New Roman"/>
          <w:szCs w:val="22"/>
        </w:rPr>
        <w:t> </w:t>
      </w:r>
      <w:r w:rsidRPr="006C2C48">
        <w:rPr>
          <w:rFonts w:cs="Open Sans"/>
          <w:szCs w:val="22"/>
        </w:rPr>
        <w:t>94.5</w:t>
      </w:r>
      <w:r w:rsidRPr="00F15EE9">
        <w:rPr>
          <w:rFonts w:cs="Open Sans"/>
          <w:szCs w:val="22"/>
        </w:rPr>
        <w:t>%</w:t>
      </w:r>
      <w:r w:rsidRPr="006C2C48">
        <w:rPr>
          <w:rFonts w:cs="Open Sans"/>
          <w:szCs w:val="22"/>
        </w:rPr>
        <w:t xml:space="preserve"> (</w:t>
      </w:r>
      <w:r>
        <w:rPr>
          <w:rFonts w:cs="Open Sans"/>
          <w:szCs w:val="22"/>
        </w:rPr>
        <w:t>+-</w:t>
      </w:r>
      <w:r w:rsidRPr="006C2C48">
        <w:rPr>
          <w:rFonts w:cs="Open Sans"/>
          <w:szCs w:val="22"/>
        </w:rPr>
        <w:t>3.9)</w:t>
      </w:r>
      <w:r w:rsidRPr="00F15EE9">
        <w:rPr>
          <w:rFonts w:cs="Open Sans"/>
          <w:szCs w:val="22"/>
        </w:rPr>
        <w:t>;</w:t>
      </w:r>
      <w:r w:rsidRPr="006C2C48">
        <w:rPr>
          <w:rFonts w:cs="Open Sans"/>
          <w:szCs w:val="22"/>
        </w:rPr>
        <w:t xml:space="preserve"> p&lt;0.001</w:t>
      </w:r>
      <w:r>
        <w:rPr>
          <w:rFonts w:cs="Open Sans"/>
          <w:szCs w:val="22"/>
        </w:rPr>
        <w:t xml:space="preserve">). </w:t>
      </w:r>
      <w:r>
        <w:t>FNSD</w:t>
      </w:r>
      <w:r w:rsidRPr="00F15EE9">
        <w:t xml:space="preserve"> participants show</w:t>
      </w:r>
      <w:r>
        <w:t>ed</w:t>
      </w:r>
      <w:r w:rsidRPr="00F15EE9">
        <w:t xml:space="preserve"> significantly steeper discounting than HC participants at both medium and large LDR sizes.</w:t>
      </w:r>
      <w:r>
        <w:t xml:space="preserve"> </w:t>
      </w:r>
      <w:r w:rsidRPr="00F15EE9">
        <w:t>At small LDR sizes, patients show</w:t>
      </w:r>
      <w:r>
        <w:t>ed</w:t>
      </w:r>
      <w:r w:rsidRPr="00F15EE9">
        <w:t xml:space="preserve"> a nonsignificant trend towards steeper discounting (p=</w:t>
      </w:r>
      <w:r>
        <w:t>0</w:t>
      </w:r>
      <w:r w:rsidRPr="00F15EE9">
        <w:t>.</w:t>
      </w:r>
      <w:r>
        <w:t>062</w:t>
      </w:r>
      <w:r w:rsidRPr="00F15EE9">
        <w:t xml:space="preserve">). </w:t>
      </w:r>
    </w:p>
    <w:p w14:paraId="3E045B3B" w14:textId="77777777" w:rsidR="004A137D" w:rsidRPr="00D96D88" w:rsidRDefault="004A137D" w:rsidP="00D96D88"/>
    <w:p w14:paraId="76691FA7" w14:textId="56362A8A" w:rsidR="004A137D" w:rsidRDefault="00CD314B" w:rsidP="007C2B10">
      <w:pPr>
        <w:pStyle w:val="Heading3"/>
      </w:pPr>
      <w:bookmarkStart w:id="176" w:name="_Toc137504788"/>
      <w:r>
        <w:t>5.</w:t>
      </w:r>
      <w:r w:rsidR="004A137D" w:rsidRPr="00AF76F4">
        <w:t>3.</w:t>
      </w:r>
      <w:r w:rsidR="004A137D">
        <w:t>5</w:t>
      </w:r>
      <w:r w:rsidR="004A137D" w:rsidRPr="00AF76F4">
        <w:t xml:space="preserve"> </w:t>
      </w:r>
      <w:r w:rsidR="004A137D" w:rsidRPr="00CB534B">
        <w:t>Negative Affective Priming Effect</w:t>
      </w:r>
      <w:r w:rsidR="004A137D">
        <w:t>s</w:t>
      </w:r>
      <w:bookmarkEnd w:id="176"/>
    </w:p>
    <w:p w14:paraId="50CD9316" w14:textId="375D18B9" w:rsidR="004A137D" w:rsidRPr="007C2B10" w:rsidRDefault="004A137D" w:rsidP="007C2B10">
      <w:pPr>
        <w:rPr>
          <w:u w:val="single"/>
        </w:rPr>
      </w:pPr>
      <w:r w:rsidRPr="007C2B10">
        <w:rPr>
          <w:u w:val="single"/>
        </w:rPr>
        <w:t xml:space="preserve">Behavioural Data – NAP </w:t>
      </w:r>
    </w:p>
    <w:p w14:paraId="3CB653AD" w14:textId="47915A30" w:rsidR="004A137D" w:rsidRDefault="004A137D" w:rsidP="00F95717">
      <w:r w:rsidRPr="00936FDB">
        <w:rPr>
          <w:rFonts w:cs="Open Sans"/>
          <w:szCs w:val="22"/>
        </w:rPr>
        <w:t xml:space="preserve">The </w:t>
      </w:r>
      <w:r>
        <w:rPr>
          <w:rFonts w:cs="Open Sans"/>
          <w:szCs w:val="22"/>
        </w:rPr>
        <w:t>average</w:t>
      </w:r>
      <w:r w:rsidRPr="00936FDB">
        <w:rPr>
          <w:rFonts w:cs="Open Sans"/>
          <w:szCs w:val="22"/>
        </w:rPr>
        <w:t xml:space="preserve"> accurac</w:t>
      </w:r>
      <w:r>
        <w:rPr>
          <w:rFonts w:cs="Open Sans"/>
          <w:szCs w:val="22"/>
        </w:rPr>
        <w:t>ies</w:t>
      </w:r>
      <w:r w:rsidRPr="00936FDB">
        <w:rPr>
          <w:rFonts w:cs="Open Sans"/>
          <w:szCs w:val="22"/>
        </w:rPr>
        <w:t xml:space="preserve"> and reaction time</w:t>
      </w:r>
      <w:r>
        <w:rPr>
          <w:rFonts w:cs="Open Sans"/>
          <w:szCs w:val="22"/>
        </w:rPr>
        <w:t>s</w:t>
      </w:r>
      <w:r w:rsidRPr="00936FDB">
        <w:rPr>
          <w:rFonts w:cs="Open Sans"/>
          <w:szCs w:val="22"/>
        </w:rPr>
        <w:t xml:space="preserve"> for each probe condition across the FNSD and healthy control groups are presented in </w:t>
      </w:r>
      <w:r>
        <w:rPr>
          <w:rFonts w:cs="Open Sans"/>
          <w:szCs w:val="22"/>
        </w:rPr>
        <w:t>Table</w:t>
      </w:r>
      <w:r w:rsidRPr="00936FDB">
        <w:rPr>
          <w:rFonts w:cs="Open Sans"/>
          <w:szCs w:val="22"/>
        </w:rPr>
        <w:t xml:space="preserve"> </w:t>
      </w:r>
      <w:r w:rsidR="003A134E">
        <w:rPr>
          <w:rFonts w:cs="Open Sans"/>
          <w:szCs w:val="22"/>
        </w:rPr>
        <w:t>23</w:t>
      </w:r>
      <w:r w:rsidRPr="00936FDB">
        <w:rPr>
          <w:rFonts w:cs="Open Sans"/>
          <w:szCs w:val="22"/>
        </w:rPr>
        <w:t xml:space="preserve"> and </w:t>
      </w:r>
      <w:r>
        <w:rPr>
          <w:rFonts w:cs="Open Sans"/>
          <w:szCs w:val="22"/>
        </w:rPr>
        <w:t>Figure</w:t>
      </w:r>
      <w:r w:rsidRPr="00936FDB">
        <w:rPr>
          <w:rFonts w:cs="Open Sans"/>
          <w:szCs w:val="22"/>
        </w:rPr>
        <w:t xml:space="preserve"> </w:t>
      </w:r>
      <w:r w:rsidR="003A134E">
        <w:rPr>
          <w:rFonts w:cs="Open Sans"/>
          <w:szCs w:val="22"/>
        </w:rPr>
        <w:t>23</w:t>
      </w:r>
      <w:r w:rsidRPr="00936FDB">
        <w:rPr>
          <w:rFonts w:cs="Open Sans"/>
          <w:szCs w:val="22"/>
        </w:rPr>
        <w:t>.</w:t>
      </w:r>
      <w:r>
        <w:rPr>
          <w:rFonts w:cs="Open Sans"/>
          <w:szCs w:val="22"/>
        </w:rPr>
        <w:t xml:space="preserve"> </w:t>
      </w:r>
      <w:r w:rsidRPr="00936FDB">
        <w:rPr>
          <w:rFonts w:cs="Open Sans"/>
          <w:szCs w:val="22"/>
        </w:rPr>
        <w:t xml:space="preserve">Following recommendations by </w:t>
      </w:r>
      <w:proofErr w:type="spellStart"/>
      <w:r w:rsidRPr="00936FDB">
        <w:rPr>
          <w:rFonts w:cs="Open Sans"/>
          <w:szCs w:val="22"/>
        </w:rPr>
        <w:t>Koppehel-Gosel</w:t>
      </w:r>
      <w:proofErr w:type="spellEnd"/>
      <w:r w:rsidRPr="00936FDB">
        <w:rPr>
          <w:rFonts w:cs="Open Sans"/>
          <w:szCs w:val="22"/>
        </w:rPr>
        <w:t xml:space="preserve"> </w:t>
      </w:r>
      <w:r>
        <w:rPr>
          <w:rFonts w:cs="Open Sans"/>
          <w:szCs w:val="22"/>
        </w:rPr>
        <w:t>et al.</w:t>
      </w:r>
      <w:r w:rsidRPr="00936FDB">
        <w:rPr>
          <w:rFonts w:cs="Open Sans"/>
          <w:szCs w:val="22"/>
        </w:rPr>
        <w:t xml:space="preserve"> (2020), outlying reaction times below 300 and above 1000ms were eliminated from the analysis (18.6%).</w:t>
      </w:r>
      <w:r>
        <w:rPr>
          <w:rFonts w:cs="Open Sans"/>
          <w:szCs w:val="22"/>
        </w:rPr>
        <w:t xml:space="preserve"> </w:t>
      </w:r>
      <w:r w:rsidRPr="00936FDB">
        <w:rPr>
          <w:rFonts w:cs="Open Sans"/>
          <w:szCs w:val="22"/>
        </w:rPr>
        <w:t>Only correct responses were analysed (&gt;95.8% across trials).</w:t>
      </w:r>
      <w:r>
        <w:rPr>
          <w:rFonts w:cs="Open Sans"/>
          <w:szCs w:val="22"/>
        </w:rPr>
        <w:t xml:space="preserve"> </w:t>
      </w:r>
      <w:r w:rsidRPr="00936FDB">
        <w:rPr>
          <w:rFonts w:cs="Open Sans"/>
          <w:szCs w:val="22"/>
        </w:rPr>
        <w:t>Normality tests were not significant for the reaction time variables, so normal distribution was assumed.</w:t>
      </w:r>
      <w:r>
        <w:rPr>
          <w:rFonts w:cs="Open Sans"/>
          <w:szCs w:val="22"/>
        </w:rPr>
        <w:t xml:space="preserve"> </w:t>
      </w:r>
      <w:r w:rsidRPr="00936FDB">
        <w:rPr>
          <w:rFonts w:cs="Open Sans"/>
          <w:szCs w:val="22"/>
        </w:rPr>
        <w:t>Priming and interference indices were</w:t>
      </w:r>
      <w:r>
        <w:rPr>
          <w:rFonts w:cs="Open Sans"/>
          <w:szCs w:val="22"/>
        </w:rPr>
        <w:t>,</w:t>
      </w:r>
      <w:r w:rsidRPr="00936FDB">
        <w:rPr>
          <w:rFonts w:cs="Open Sans"/>
          <w:szCs w:val="22"/>
        </w:rPr>
        <w:t xml:space="preserve"> however</w:t>
      </w:r>
      <w:r>
        <w:rPr>
          <w:rFonts w:cs="Open Sans"/>
          <w:szCs w:val="22"/>
        </w:rPr>
        <w:t>,</w:t>
      </w:r>
      <w:r w:rsidRPr="00936FDB">
        <w:rPr>
          <w:rFonts w:cs="Open Sans"/>
          <w:szCs w:val="22"/>
        </w:rPr>
        <w:t xml:space="preserve"> treated as non-parametric data.</w:t>
      </w:r>
      <w:r>
        <w:t xml:space="preserve"> Table n</w:t>
      </w:r>
      <w:r w:rsidRPr="00CB534B">
        <w:t xml:space="preserve"> </w:t>
      </w:r>
      <w:r>
        <w:t xml:space="preserve">above </w:t>
      </w:r>
      <w:r w:rsidRPr="00CB534B">
        <w:t xml:space="preserve">provides </w:t>
      </w:r>
      <w:r>
        <w:t>descriptive statistics</w:t>
      </w:r>
      <w:r w:rsidRPr="00CB534B">
        <w:t xml:space="preserve"> for each level of valence and condition for each group.</w:t>
      </w:r>
    </w:p>
    <w:p w14:paraId="39B4EB97" w14:textId="6CA7A63D" w:rsidR="004A137D" w:rsidRPr="001A2683" w:rsidRDefault="004A137D" w:rsidP="00CB534B">
      <w:pPr>
        <w:rPr>
          <w:i/>
          <w:iCs/>
          <w:u w:val="single"/>
        </w:rPr>
      </w:pPr>
      <w:r w:rsidRPr="001A2683">
        <w:rPr>
          <w:i/>
          <w:iCs/>
          <w:u w:val="single"/>
        </w:rPr>
        <w:t>NAP Prime trials (Single prime-target trials)</w:t>
      </w:r>
    </w:p>
    <w:p w14:paraId="6CBECE3A" w14:textId="2349677F" w:rsidR="004A137D" w:rsidRDefault="004A137D" w:rsidP="00CB534B">
      <w:r w:rsidRPr="00724698">
        <w:t xml:space="preserve">A repeated measures ANOVA </w:t>
      </w:r>
      <w:r>
        <w:t xml:space="preserve">of prime reaction times showed a significant main effect of valence </w:t>
      </w:r>
      <w:r w:rsidRPr="00724698">
        <w:t>(F(1</w:t>
      </w:r>
      <w:r>
        <w:t>, 103</w:t>
      </w:r>
      <w:r w:rsidRPr="00724698">
        <w:t>) = 8</w:t>
      </w:r>
      <w:r>
        <w:t>.53</w:t>
      </w:r>
      <w:r w:rsidRPr="00724698">
        <w:t xml:space="preserve">, </w:t>
      </w:r>
      <w:r>
        <w:t>p</w:t>
      </w:r>
      <w:r w:rsidRPr="00724698">
        <w:t xml:space="preserve"> </w:t>
      </w:r>
      <w:r>
        <w:t>=</w:t>
      </w:r>
      <w:r w:rsidRPr="00724698">
        <w:t xml:space="preserve"> 0.00</w:t>
      </w:r>
      <w:r>
        <w:t>4</w:t>
      </w:r>
      <w:r w:rsidRPr="00724698">
        <w:t>)</w:t>
      </w:r>
      <w:r>
        <w:t xml:space="preserve">, indicating that the mean reaction time of prime trials differed between positive and negative target expressions. There was no main effect of condition (F(1,103) = 3.52, p=0.063), demonstrating that there were no differences between </w:t>
      </w:r>
      <w:r w:rsidR="00251F83">
        <w:t>control vs experimental t</w:t>
      </w:r>
      <w:r>
        <w:t>rial reaction time</w:t>
      </w:r>
      <w:r w:rsidR="00251F83">
        <w:t>s, across both FND &amp; comparator groups</w:t>
      </w:r>
      <w:r>
        <w:t>.</w:t>
      </w:r>
    </w:p>
    <w:p w14:paraId="6EFA871F" w14:textId="77777777" w:rsidR="004A137D" w:rsidRDefault="004A137D" w:rsidP="00CB534B">
      <w:r>
        <w:t xml:space="preserve">A between-group difference was also observed, </w:t>
      </w:r>
      <w:r w:rsidRPr="00CB534B">
        <w:t>F(</w:t>
      </w:r>
      <w:r>
        <w:t>1</w:t>
      </w:r>
      <w:r w:rsidRPr="00CB534B">
        <w:t>,</w:t>
      </w:r>
      <w:r>
        <w:t xml:space="preserve"> 103)</w:t>
      </w:r>
      <w:r w:rsidRPr="00CB534B">
        <w:t xml:space="preserve"> </w:t>
      </w:r>
      <w:r>
        <w:t>=14.2</w:t>
      </w:r>
      <w:r w:rsidRPr="00CB534B">
        <w:t xml:space="preserve">, p &lt; </w:t>
      </w:r>
      <w:r>
        <w:t>0</w:t>
      </w:r>
      <w:r w:rsidRPr="00CB534B">
        <w:t>.</w:t>
      </w:r>
      <w:r>
        <w:t xml:space="preserve">001, </w:t>
      </w:r>
      <w:r w:rsidRPr="0025020C">
        <w:rPr>
          <w:rFonts w:ascii="Avenir Heavy" w:hAnsi="Avenir Heavy" w:cs="Avenir Heavy"/>
        </w:rPr>
        <w:t>η</w:t>
      </w:r>
      <w:r w:rsidRPr="0025020C">
        <w:t>2</w:t>
      </w:r>
      <w:r>
        <w:t xml:space="preserve">p = 0.121 for prime reaction times. </w:t>
      </w:r>
      <w:r w:rsidRPr="00CB534B">
        <w:t xml:space="preserve">This indicates that the </w:t>
      </w:r>
      <w:r>
        <w:t>reaction times</w:t>
      </w:r>
      <w:r w:rsidRPr="00CB534B">
        <w:t xml:space="preserve"> differed significantly between groups.</w:t>
      </w:r>
      <w:r>
        <w:t xml:space="preserve"> </w:t>
      </w:r>
      <w:r w:rsidRPr="00CB534B">
        <w:t>A significant interaction was found between valence and group, F(</w:t>
      </w:r>
      <w:r>
        <w:t>1</w:t>
      </w:r>
      <w:r w:rsidRPr="00CB534B">
        <w:t xml:space="preserve">, </w:t>
      </w:r>
      <w:r>
        <w:t>103</w:t>
      </w:r>
      <w:r w:rsidRPr="00CB534B">
        <w:t xml:space="preserve">) = F-value, p &lt; .05, </w:t>
      </w:r>
      <w:r>
        <w:t xml:space="preserve">but not condition and group, </w:t>
      </w:r>
      <w:r w:rsidRPr="00CB534B">
        <w:t xml:space="preserve">suggesting that the effect of valence on the </w:t>
      </w:r>
      <w:r>
        <w:t>prime reaction times were</w:t>
      </w:r>
      <w:r w:rsidRPr="00CB534B">
        <w:t xml:space="preserve"> not consistent across groups. </w:t>
      </w:r>
    </w:p>
    <w:p w14:paraId="49F363CC" w14:textId="5BF0266A" w:rsidR="00CD314B" w:rsidRDefault="004A137D" w:rsidP="00F95717">
      <w:r w:rsidRPr="00724698">
        <w:t xml:space="preserve">Post hoc analysis with a </w:t>
      </w:r>
      <w:proofErr w:type="spellStart"/>
      <w:r w:rsidRPr="00CB534B">
        <w:t>Benjamini</w:t>
      </w:r>
      <w:proofErr w:type="spellEnd"/>
      <w:r w:rsidRPr="00CB534B">
        <w:t xml:space="preserve">-Hochberg </w:t>
      </w:r>
      <w:r w:rsidRPr="00724698">
        <w:t>adjustment revealed that</w:t>
      </w:r>
      <w:r>
        <w:t xml:space="preserve"> HC reaction times were significantly lower than FNSD patient </w:t>
      </w:r>
      <w:r w:rsidRPr="00CB534B">
        <w:t>reaction times</w:t>
      </w:r>
      <w:r>
        <w:t xml:space="preserve"> </w:t>
      </w:r>
      <w:r w:rsidRPr="00724698">
        <w:t>(</w:t>
      </w:r>
      <w:r>
        <w:t>-189</w:t>
      </w:r>
      <w:r w:rsidRPr="00724698">
        <w:t xml:space="preserve"> (95% CI</w:t>
      </w:r>
      <w:r>
        <w:t>: 182,197ms</w:t>
      </w:r>
      <w:r w:rsidRPr="00724698">
        <w:t>)</w:t>
      </w:r>
      <w:r>
        <w:t>,</w:t>
      </w:r>
      <w:r w:rsidRPr="00724698">
        <w:t xml:space="preserve"> </w:t>
      </w:r>
      <w:r>
        <w:t>p</w:t>
      </w:r>
      <w:r w:rsidRPr="00724698">
        <w:t xml:space="preserve">&lt; </w:t>
      </w:r>
      <w:r>
        <w:t>0</w:t>
      </w:r>
      <w:r w:rsidRPr="00724698">
        <w:t>.00</w:t>
      </w:r>
      <w:r>
        <w:t>1</w:t>
      </w:r>
      <w:r w:rsidRPr="00724698">
        <w:t>)</w:t>
      </w:r>
      <w:r w:rsidRPr="00CB534B">
        <w:t>.</w:t>
      </w:r>
      <w:r>
        <w:t xml:space="preserve"> Negative prime </w:t>
      </w:r>
      <w:r w:rsidRPr="00D00710">
        <w:t xml:space="preserve">reaction times were statistically significantly </w:t>
      </w:r>
      <w:r>
        <w:t xml:space="preserve">lower than </w:t>
      </w:r>
      <w:r w:rsidRPr="00CB534B">
        <w:t xml:space="preserve">positive </w:t>
      </w:r>
      <w:r w:rsidRPr="00724698">
        <w:t>(</w:t>
      </w:r>
      <w:r>
        <w:t>-21.9</w:t>
      </w:r>
      <w:r w:rsidRPr="00724698">
        <w:t xml:space="preserve"> (95% CI</w:t>
      </w:r>
      <w:r>
        <w:t>:</w:t>
      </w:r>
      <w:r w:rsidRPr="00724698">
        <w:t xml:space="preserve"> </w:t>
      </w:r>
      <w:r>
        <w:t>15, 28ms</w:t>
      </w:r>
      <w:r w:rsidRPr="00724698">
        <w:t>)</w:t>
      </w:r>
      <w:r>
        <w:t>,</w:t>
      </w:r>
      <w:r w:rsidRPr="00724698">
        <w:t xml:space="preserve"> </w:t>
      </w:r>
      <w:r>
        <w:t>p=</w:t>
      </w:r>
      <w:r w:rsidRPr="00724698">
        <w:t xml:space="preserve"> </w:t>
      </w:r>
      <w:r>
        <w:t>0</w:t>
      </w:r>
      <w:r w:rsidRPr="00724698">
        <w:t>.</w:t>
      </w:r>
      <w:r w:rsidRPr="00D00710">
        <w:t xml:space="preserve">004). Table </w:t>
      </w:r>
      <w:r w:rsidR="00251F83" w:rsidRPr="00D00710">
        <w:t>24</w:t>
      </w:r>
      <w:r w:rsidRPr="00D00710">
        <w:t xml:space="preserve"> below shows </w:t>
      </w:r>
      <w:r>
        <w:t xml:space="preserve">the </w:t>
      </w:r>
      <w:r>
        <w:lastRenderedPageBreak/>
        <w:t>Valence *group comparisons. Significant differences across valence and between groups were found in all comparisons except between reaction times to positive and negative stimuli in HCs (corrected p =0.538).</w:t>
      </w:r>
    </w:p>
    <w:p w14:paraId="29E3F496" w14:textId="77777777" w:rsidR="001A2683" w:rsidRDefault="001A2683" w:rsidP="00F95717"/>
    <w:p w14:paraId="075AF435" w14:textId="5C02F591" w:rsidR="004A137D" w:rsidRPr="00CD314B" w:rsidRDefault="004A137D" w:rsidP="003A134E">
      <w:pPr>
        <w:rPr>
          <w:rFonts w:eastAsia="Times New Roman"/>
        </w:rPr>
      </w:pPr>
      <w:r>
        <w:rPr>
          <w:rFonts w:eastAsia="Times New Roman"/>
        </w:rPr>
        <w:t xml:space="preserve">Table </w:t>
      </w:r>
      <w:r w:rsidR="003A134E">
        <w:rPr>
          <w:rFonts w:eastAsia="Times New Roman"/>
        </w:rPr>
        <w:t>24.</w:t>
      </w:r>
      <w:r>
        <w:rPr>
          <w:rFonts w:eastAsia="Times New Roman"/>
        </w:rPr>
        <w:t xml:space="preserve"> </w:t>
      </w:r>
      <w:r w:rsidRPr="00CB534B">
        <w:rPr>
          <w:rFonts w:eastAsia="Times New Roman"/>
        </w:rPr>
        <w:t>P</w:t>
      </w:r>
      <w:r>
        <w:rPr>
          <w:rFonts w:eastAsia="Times New Roman"/>
        </w:rPr>
        <w:t>rime trials p</w:t>
      </w:r>
      <w:r w:rsidRPr="00CB534B">
        <w:rPr>
          <w:rFonts w:eastAsia="Times New Roman"/>
        </w:rPr>
        <w:t>ost Hoc Tests</w:t>
      </w:r>
      <w:r>
        <w:rPr>
          <w:rFonts w:eastAsia="Times New Roman"/>
        </w:rPr>
        <w:t xml:space="preserve"> – Valence * Group</w:t>
      </w:r>
    </w:p>
    <w:tbl>
      <w:tblPr>
        <w:tblStyle w:val="TableGridLight"/>
        <w:tblW w:w="5000" w:type="pct"/>
        <w:tblLook w:val="04A0" w:firstRow="1" w:lastRow="0" w:firstColumn="1" w:lastColumn="0" w:noHBand="0" w:noVBand="1"/>
      </w:tblPr>
      <w:tblGrid>
        <w:gridCol w:w="1035"/>
        <w:gridCol w:w="891"/>
        <w:gridCol w:w="293"/>
        <w:gridCol w:w="1479"/>
        <w:gridCol w:w="885"/>
        <w:gridCol w:w="885"/>
        <w:gridCol w:w="885"/>
        <w:gridCol w:w="885"/>
        <w:gridCol w:w="885"/>
        <w:gridCol w:w="887"/>
      </w:tblGrid>
      <w:tr w:rsidR="004A137D" w:rsidRPr="003456DF" w14:paraId="52DF5444" w14:textId="77777777" w:rsidTr="003456DF">
        <w:trPr>
          <w:trHeight w:val="590"/>
        </w:trPr>
        <w:tc>
          <w:tcPr>
            <w:tcW w:w="574" w:type="pct"/>
            <w:vAlign w:val="center"/>
          </w:tcPr>
          <w:p w14:paraId="47573A91" w14:textId="77777777" w:rsidR="004A137D" w:rsidRPr="003456DF" w:rsidRDefault="004A137D" w:rsidP="003456DF">
            <w:pPr>
              <w:jc w:val="center"/>
              <w:rPr>
                <w:rFonts w:cs="Segoe UI"/>
                <w:color w:val="333333"/>
                <w:sz w:val="18"/>
                <w:szCs w:val="18"/>
              </w:rPr>
            </w:pPr>
            <w:r w:rsidRPr="003456DF">
              <w:rPr>
                <w:rFonts w:cs="Segoe UI"/>
                <w:color w:val="333333"/>
                <w:sz w:val="18"/>
                <w:szCs w:val="18"/>
              </w:rPr>
              <w:t>Valence</w:t>
            </w:r>
          </w:p>
        </w:tc>
        <w:tc>
          <w:tcPr>
            <w:tcW w:w="494" w:type="pct"/>
            <w:vAlign w:val="center"/>
          </w:tcPr>
          <w:p w14:paraId="786EB80B" w14:textId="77777777" w:rsidR="004A137D" w:rsidRPr="003456DF" w:rsidRDefault="004A137D" w:rsidP="003456DF">
            <w:pPr>
              <w:jc w:val="center"/>
              <w:rPr>
                <w:rFonts w:cs="Segoe UI"/>
                <w:color w:val="333333"/>
                <w:sz w:val="18"/>
                <w:szCs w:val="18"/>
              </w:rPr>
            </w:pPr>
            <w:r w:rsidRPr="003456DF">
              <w:rPr>
                <w:rFonts w:cs="Segoe UI"/>
                <w:color w:val="333333"/>
                <w:sz w:val="18"/>
                <w:szCs w:val="18"/>
              </w:rPr>
              <w:t>Group</w:t>
            </w:r>
          </w:p>
        </w:tc>
        <w:tc>
          <w:tcPr>
            <w:tcW w:w="162" w:type="pct"/>
            <w:vAlign w:val="center"/>
          </w:tcPr>
          <w:p w14:paraId="4A97895D" w14:textId="77777777" w:rsidR="004A137D" w:rsidRPr="003456DF" w:rsidRDefault="004A137D" w:rsidP="003456DF">
            <w:pPr>
              <w:jc w:val="center"/>
              <w:rPr>
                <w:rFonts w:cs="Segoe UI"/>
                <w:color w:val="333333"/>
                <w:sz w:val="18"/>
                <w:szCs w:val="18"/>
              </w:rPr>
            </w:pPr>
          </w:p>
        </w:tc>
        <w:tc>
          <w:tcPr>
            <w:tcW w:w="821" w:type="pct"/>
            <w:vAlign w:val="center"/>
          </w:tcPr>
          <w:p w14:paraId="327D88EE" w14:textId="77777777" w:rsidR="004A137D" w:rsidRPr="003456DF" w:rsidRDefault="004A137D" w:rsidP="003456DF">
            <w:pPr>
              <w:jc w:val="center"/>
              <w:rPr>
                <w:rFonts w:cs="Segoe UI"/>
                <w:color w:val="333333"/>
                <w:sz w:val="18"/>
                <w:szCs w:val="18"/>
              </w:rPr>
            </w:pPr>
            <w:r w:rsidRPr="003456DF">
              <w:rPr>
                <w:rFonts w:cs="Segoe UI"/>
                <w:color w:val="333333"/>
                <w:sz w:val="18"/>
                <w:szCs w:val="18"/>
              </w:rPr>
              <w:t>Valence</w:t>
            </w:r>
          </w:p>
        </w:tc>
        <w:tc>
          <w:tcPr>
            <w:tcW w:w="491" w:type="pct"/>
            <w:vAlign w:val="center"/>
          </w:tcPr>
          <w:p w14:paraId="14FAEBA1" w14:textId="77777777" w:rsidR="004A137D" w:rsidRPr="003456DF" w:rsidRDefault="004A137D" w:rsidP="003456DF">
            <w:pPr>
              <w:jc w:val="center"/>
              <w:rPr>
                <w:rFonts w:cs="Segoe UI"/>
                <w:color w:val="333333"/>
                <w:sz w:val="18"/>
                <w:szCs w:val="18"/>
              </w:rPr>
            </w:pPr>
            <w:r w:rsidRPr="003456DF">
              <w:rPr>
                <w:rFonts w:cs="Segoe UI"/>
                <w:color w:val="333333"/>
                <w:sz w:val="18"/>
                <w:szCs w:val="18"/>
              </w:rPr>
              <w:t>Group</w:t>
            </w:r>
          </w:p>
        </w:tc>
        <w:tc>
          <w:tcPr>
            <w:tcW w:w="491" w:type="pct"/>
            <w:vAlign w:val="center"/>
          </w:tcPr>
          <w:p w14:paraId="792E38CE" w14:textId="77777777" w:rsidR="004A137D" w:rsidRPr="003456DF" w:rsidRDefault="004A137D" w:rsidP="003456DF">
            <w:pPr>
              <w:jc w:val="center"/>
              <w:rPr>
                <w:rFonts w:cs="Segoe UI"/>
                <w:color w:val="333333"/>
                <w:sz w:val="18"/>
                <w:szCs w:val="18"/>
              </w:rPr>
            </w:pPr>
            <w:r w:rsidRPr="003456DF">
              <w:rPr>
                <w:rFonts w:cs="Segoe UI"/>
                <w:color w:val="333333"/>
                <w:sz w:val="18"/>
                <w:szCs w:val="18"/>
              </w:rPr>
              <w:t>MD</w:t>
            </w:r>
          </w:p>
        </w:tc>
        <w:tc>
          <w:tcPr>
            <w:tcW w:w="491" w:type="pct"/>
            <w:vAlign w:val="center"/>
          </w:tcPr>
          <w:p w14:paraId="7D463550" w14:textId="77777777" w:rsidR="004A137D" w:rsidRPr="003456DF" w:rsidRDefault="004A137D" w:rsidP="003456DF">
            <w:pPr>
              <w:jc w:val="center"/>
              <w:rPr>
                <w:rFonts w:cs="Segoe UI"/>
                <w:color w:val="333333"/>
                <w:sz w:val="18"/>
                <w:szCs w:val="18"/>
              </w:rPr>
            </w:pPr>
            <w:r w:rsidRPr="003456DF">
              <w:rPr>
                <w:rFonts w:cs="Segoe UI"/>
                <w:color w:val="333333"/>
                <w:sz w:val="18"/>
                <w:szCs w:val="18"/>
              </w:rPr>
              <w:t>SE</w:t>
            </w:r>
          </w:p>
        </w:tc>
        <w:tc>
          <w:tcPr>
            <w:tcW w:w="491" w:type="pct"/>
            <w:vAlign w:val="center"/>
          </w:tcPr>
          <w:p w14:paraId="09782F48" w14:textId="77777777" w:rsidR="004A137D" w:rsidRPr="003456DF" w:rsidRDefault="004A137D" w:rsidP="003456DF">
            <w:pPr>
              <w:jc w:val="center"/>
              <w:rPr>
                <w:rFonts w:cs="Segoe UI"/>
                <w:color w:val="333333"/>
                <w:sz w:val="18"/>
                <w:szCs w:val="18"/>
              </w:rPr>
            </w:pPr>
            <w:r w:rsidRPr="003456DF">
              <w:rPr>
                <w:rFonts w:cs="Segoe UI"/>
                <w:color w:val="333333"/>
                <w:sz w:val="18"/>
                <w:szCs w:val="18"/>
              </w:rPr>
              <w:t>DF</w:t>
            </w:r>
          </w:p>
        </w:tc>
        <w:tc>
          <w:tcPr>
            <w:tcW w:w="491" w:type="pct"/>
            <w:vAlign w:val="center"/>
          </w:tcPr>
          <w:p w14:paraId="62BAA250" w14:textId="77777777" w:rsidR="004A137D" w:rsidRPr="003456DF" w:rsidRDefault="004A137D" w:rsidP="003456DF">
            <w:pPr>
              <w:jc w:val="center"/>
              <w:rPr>
                <w:rFonts w:cs="Segoe UI"/>
                <w:color w:val="333333"/>
                <w:sz w:val="18"/>
                <w:szCs w:val="18"/>
              </w:rPr>
            </w:pPr>
            <w:r w:rsidRPr="003456DF">
              <w:rPr>
                <w:rFonts w:cs="Segoe UI"/>
                <w:color w:val="333333"/>
                <w:sz w:val="18"/>
                <w:szCs w:val="18"/>
              </w:rPr>
              <w:t>T</w:t>
            </w:r>
          </w:p>
        </w:tc>
        <w:tc>
          <w:tcPr>
            <w:tcW w:w="492" w:type="pct"/>
            <w:vAlign w:val="center"/>
          </w:tcPr>
          <w:p w14:paraId="2CF1CA01" w14:textId="77777777" w:rsidR="004A137D" w:rsidRPr="003456DF" w:rsidRDefault="004A137D" w:rsidP="003456DF">
            <w:pPr>
              <w:jc w:val="center"/>
              <w:rPr>
                <w:rFonts w:cs="Segoe UI"/>
                <w:color w:val="333333"/>
                <w:sz w:val="18"/>
                <w:szCs w:val="18"/>
                <w:vertAlign w:val="subscript"/>
              </w:rPr>
            </w:pPr>
            <w:proofErr w:type="spellStart"/>
            <w:r>
              <w:rPr>
                <w:rFonts w:cs="Segoe UI"/>
                <w:color w:val="333333"/>
                <w:sz w:val="18"/>
                <w:szCs w:val="18"/>
              </w:rPr>
              <w:t>P</w:t>
            </w:r>
            <w:r>
              <w:rPr>
                <w:rFonts w:cs="Segoe UI"/>
                <w:color w:val="333333"/>
                <w:sz w:val="18"/>
                <w:szCs w:val="18"/>
                <w:vertAlign w:val="subscript"/>
              </w:rPr>
              <w:t>corrected</w:t>
            </w:r>
            <w:proofErr w:type="spellEnd"/>
          </w:p>
        </w:tc>
      </w:tr>
      <w:tr w:rsidR="004A137D" w:rsidRPr="003456DF" w14:paraId="1A19A861" w14:textId="77777777" w:rsidTr="003456DF">
        <w:trPr>
          <w:trHeight w:val="283"/>
        </w:trPr>
        <w:tc>
          <w:tcPr>
            <w:tcW w:w="574" w:type="pct"/>
            <w:vAlign w:val="center"/>
            <w:hideMark/>
          </w:tcPr>
          <w:p w14:paraId="5CB08E9E" w14:textId="77777777" w:rsidR="004A137D" w:rsidRPr="003456DF" w:rsidRDefault="004A137D" w:rsidP="003456DF">
            <w:pPr>
              <w:jc w:val="center"/>
              <w:rPr>
                <w:rFonts w:cs="Segoe UI"/>
                <w:color w:val="333333"/>
                <w:sz w:val="18"/>
                <w:szCs w:val="18"/>
              </w:rPr>
            </w:pPr>
            <w:r w:rsidRPr="003456DF">
              <w:rPr>
                <w:rFonts w:cs="Segoe UI"/>
                <w:color w:val="333333"/>
                <w:sz w:val="18"/>
                <w:szCs w:val="18"/>
              </w:rPr>
              <w:t>Positive</w:t>
            </w:r>
          </w:p>
        </w:tc>
        <w:tc>
          <w:tcPr>
            <w:tcW w:w="494" w:type="pct"/>
            <w:vAlign w:val="center"/>
            <w:hideMark/>
          </w:tcPr>
          <w:p w14:paraId="7C5C1C09" w14:textId="77777777" w:rsidR="004A137D" w:rsidRPr="003456DF" w:rsidRDefault="004A137D" w:rsidP="003456DF">
            <w:pPr>
              <w:jc w:val="center"/>
              <w:rPr>
                <w:rFonts w:cs="Segoe UI"/>
                <w:color w:val="333333"/>
                <w:sz w:val="18"/>
                <w:szCs w:val="18"/>
              </w:rPr>
            </w:pPr>
            <w:r w:rsidRPr="003456DF">
              <w:rPr>
                <w:rFonts w:cs="Segoe UI"/>
                <w:color w:val="333333"/>
                <w:sz w:val="18"/>
                <w:szCs w:val="18"/>
              </w:rPr>
              <w:t>HC</w:t>
            </w:r>
          </w:p>
        </w:tc>
        <w:tc>
          <w:tcPr>
            <w:tcW w:w="162" w:type="pct"/>
            <w:vAlign w:val="center"/>
            <w:hideMark/>
          </w:tcPr>
          <w:p w14:paraId="74AC80E6" w14:textId="77777777" w:rsidR="004A137D" w:rsidRPr="003456DF" w:rsidRDefault="004A137D" w:rsidP="003456DF">
            <w:pPr>
              <w:jc w:val="center"/>
              <w:rPr>
                <w:rFonts w:cs="Segoe UI"/>
                <w:color w:val="333333"/>
                <w:sz w:val="18"/>
                <w:szCs w:val="18"/>
              </w:rPr>
            </w:pPr>
            <w:r w:rsidRPr="003456DF">
              <w:rPr>
                <w:rFonts w:cs="Segoe UI"/>
                <w:color w:val="333333"/>
                <w:sz w:val="18"/>
                <w:szCs w:val="18"/>
              </w:rPr>
              <w:t>-</w:t>
            </w:r>
          </w:p>
        </w:tc>
        <w:tc>
          <w:tcPr>
            <w:tcW w:w="821" w:type="pct"/>
            <w:vAlign w:val="center"/>
            <w:hideMark/>
          </w:tcPr>
          <w:p w14:paraId="18D9ECAC" w14:textId="77777777" w:rsidR="004A137D" w:rsidRPr="003456DF" w:rsidRDefault="004A137D" w:rsidP="003456DF">
            <w:pPr>
              <w:jc w:val="center"/>
              <w:rPr>
                <w:rFonts w:cs="Segoe UI"/>
                <w:color w:val="333333"/>
                <w:sz w:val="18"/>
                <w:szCs w:val="18"/>
              </w:rPr>
            </w:pPr>
            <w:r w:rsidRPr="003456DF">
              <w:rPr>
                <w:rFonts w:cs="Segoe UI"/>
                <w:color w:val="333333"/>
                <w:sz w:val="18"/>
                <w:szCs w:val="18"/>
              </w:rPr>
              <w:t>Positive</w:t>
            </w:r>
          </w:p>
        </w:tc>
        <w:tc>
          <w:tcPr>
            <w:tcW w:w="491" w:type="pct"/>
            <w:vAlign w:val="center"/>
            <w:hideMark/>
          </w:tcPr>
          <w:p w14:paraId="7B59325C" w14:textId="77777777" w:rsidR="004A137D" w:rsidRPr="003456DF" w:rsidRDefault="004A137D" w:rsidP="003456DF">
            <w:pPr>
              <w:jc w:val="center"/>
              <w:rPr>
                <w:rFonts w:cs="Segoe UI"/>
                <w:color w:val="333333"/>
                <w:sz w:val="18"/>
                <w:szCs w:val="18"/>
              </w:rPr>
            </w:pPr>
            <w:r w:rsidRPr="003456DF">
              <w:rPr>
                <w:rFonts w:cs="Segoe UI"/>
                <w:color w:val="333333"/>
                <w:sz w:val="18"/>
                <w:szCs w:val="18"/>
              </w:rPr>
              <w:t>FNSD</w:t>
            </w:r>
          </w:p>
        </w:tc>
        <w:tc>
          <w:tcPr>
            <w:tcW w:w="491" w:type="pct"/>
            <w:vAlign w:val="center"/>
            <w:hideMark/>
          </w:tcPr>
          <w:p w14:paraId="27EDF640"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-173.53</w:t>
            </w:r>
          </w:p>
        </w:tc>
        <w:tc>
          <w:tcPr>
            <w:tcW w:w="491" w:type="pct"/>
            <w:vAlign w:val="center"/>
            <w:hideMark/>
          </w:tcPr>
          <w:p w14:paraId="6F0CAE6B" w14:textId="77777777" w:rsidR="004A137D" w:rsidRPr="003456DF" w:rsidRDefault="004A137D" w:rsidP="003456DF">
            <w:pPr>
              <w:jc w:val="center"/>
              <w:rPr>
                <w:rFonts w:cs="Segoe UI"/>
                <w:color w:val="333333"/>
                <w:sz w:val="18"/>
                <w:szCs w:val="18"/>
              </w:rPr>
            </w:pPr>
            <w:r w:rsidRPr="003456DF">
              <w:rPr>
                <w:rFonts w:cs="Segoe UI"/>
                <w:color w:val="333333"/>
                <w:sz w:val="18"/>
                <w:szCs w:val="18"/>
              </w:rPr>
              <w:t>47.4</w:t>
            </w:r>
          </w:p>
        </w:tc>
        <w:tc>
          <w:tcPr>
            <w:tcW w:w="491" w:type="pct"/>
            <w:vAlign w:val="center"/>
            <w:hideMark/>
          </w:tcPr>
          <w:p w14:paraId="548C2F6A"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103</w:t>
            </w:r>
          </w:p>
        </w:tc>
        <w:tc>
          <w:tcPr>
            <w:tcW w:w="491" w:type="pct"/>
            <w:vAlign w:val="center"/>
            <w:hideMark/>
          </w:tcPr>
          <w:p w14:paraId="2103C8C1" w14:textId="77777777" w:rsidR="004A137D" w:rsidRPr="003456DF" w:rsidRDefault="004A137D" w:rsidP="003456DF">
            <w:pPr>
              <w:jc w:val="center"/>
              <w:rPr>
                <w:rFonts w:cs="Segoe UI"/>
                <w:color w:val="333333"/>
                <w:sz w:val="18"/>
                <w:szCs w:val="18"/>
              </w:rPr>
            </w:pPr>
            <w:r w:rsidRPr="003456DF">
              <w:rPr>
                <w:rFonts w:cs="Segoe UI"/>
                <w:color w:val="333333"/>
                <w:sz w:val="18"/>
                <w:szCs w:val="18"/>
              </w:rPr>
              <w:t>-3.659</w:t>
            </w:r>
          </w:p>
        </w:tc>
        <w:tc>
          <w:tcPr>
            <w:tcW w:w="492" w:type="pct"/>
            <w:vAlign w:val="center"/>
            <w:hideMark/>
          </w:tcPr>
          <w:p w14:paraId="29396663" w14:textId="77777777" w:rsidR="004A137D" w:rsidRPr="003456DF" w:rsidRDefault="004A137D" w:rsidP="003456DF">
            <w:pPr>
              <w:jc w:val="center"/>
              <w:rPr>
                <w:rFonts w:cs="Segoe UI"/>
                <w:color w:val="333333"/>
                <w:sz w:val="18"/>
                <w:szCs w:val="18"/>
              </w:rPr>
            </w:pPr>
            <w:r w:rsidRPr="003456DF">
              <w:rPr>
                <w:rFonts w:cs="Segoe UI"/>
                <w:color w:val="333333"/>
                <w:sz w:val="18"/>
                <w:szCs w:val="18"/>
              </w:rPr>
              <w:t>0.002</w:t>
            </w:r>
          </w:p>
        </w:tc>
      </w:tr>
      <w:tr w:rsidR="004A137D" w:rsidRPr="003456DF" w14:paraId="4E66BD47" w14:textId="77777777" w:rsidTr="003456DF">
        <w:trPr>
          <w:trHeight w:val="283"/>
        </w:trPr>
        <w:tc>
          <w:tcPr>
            <w:tcW w:w="574" w:type="pct"/>
            <w:vAlign w:val="center"/>
            <w:hideMark/>
          </w:tcPr>
          <w:p w14:paraId="655D3E7E" w14:textId="77777777" w:rsidR="004A137D" w:rsidRPr="003456DF" w:rsidRDefault="004A137D" w:rsidP="003456DF">
            <w:pPr>
              <w:jc w:val="center"/>
              <w:rPr>
                <w:rFonts w:cs="Segoe UI"/>
                <w:color w:val="333333"/>
                <w:sz w:val="18"/>
                <w:szCs w:val="18"/>
              </w:rPr>
            </w:pPr>
          </w:p>
        </w:tc>
        <w:tc>
          <w:tcPr>
            <w:tcW w:w="494" w:type="pct"/>
            <w:vAlign w:val="center"/>
            <w:hideMark/>
          </w:tcPr>
          <w:p w14:paraId="45335CE3" w14:textId="77777777" w:rsidR="004A137D" w:rsidRPr="003456DF" w:rsidRDefault="004A137D" w:rsidP="003456DF">
            <w:pPr>
              <w:jc w:val="center"/>
              <w:rPr>
                <w:rFonts w:cs="Segoe UI"/>
                <w:color w:val="333333"/>
                <w:sz w:val="18"/>
                <w:szCs w:val="18"/>
              </w:rPr>
            </w:pPr>
          </w:p>
        </w:tc>
        <w:tc>
          <w:tcPr>
            <w:tcW w:w="162" w:type="pct"/>
            <w:vAlign w:val="center"/>
            <w:hideMark/>
          </w:tcPr>
          <w:p w14:paraId="5E7F46A1" w14:textId="77777777" w:rsidR="004A137D" w:rsidRPr="003456DF" w:rsidRDefault="004A137D" w:rsidP="003456DF">
            <w:pPr>
              <w:jc w:val="center"/>
              <w:rPr>
                <w:rFonts w:cs="Segoe UI"/>
                <w:color w:val="333333"/>
                <w:sz w:val="18"/>
                <w:szCs w:val="18"/>
              </w:rPr>
            </w:pPr>
            <w:r w:rsidRPr="003456DF">
              <w:rPr>
                <w:rFonts w:cs="Segoe UI"/>
                <w:color w:val="333333"/>
                <w:sz w:val="18"/>
                <w:szCs w:val="18"/>
              </w:rPr>
              <w:t>-</w:t>
            </w:r>
          </w:p>
        </w:tc>
        <w:tc>
          <w:tcPr>
            <w:tcW w:w="821" w:type="pct"/>
            <w:vAlign w:val="center"/>
            <w:hideMark/>
          </w:tcPr>
          <w:p w14:paraId="53C58A58" w14:textId="77777777" w:rsidR="004A137D" w:rsidRPr="003456DF" w:rsidRDefault="004A137D" w:rsidP="003456DF">
            <w:pPr>
              <w:jc w:val="center"/>
              <w:rPr>
                <w:rFonts w:cs="Segoe UI"/>
                <w:color w:val="333333"/>
                <w:sz w:val="18"/>
                <w:szCs w:val="18"/>
              </w:rPr>
            </w:pPr>
            <w:r w:rsidRPr="003456DF">
              <w:rPr>
                <w:rFonts w:cs="Segoe UI"/>
                <w:color w:val="333333"/>
                <w:sz w:val="18"/>
                <w:szCs w:val="18"/>
              </w:rPr>
              <w:t>Negative</w:t>
            </w:r>
          </w:p>
        </w:tc>
        <w:tc>
          <w:tcPr>
            <w:tcW w:w="491" w:type="pct"/>
            <w:vAlign w:val="center"/>
            <w:hideMark/>
          </w:tcPr>
          <w:p w14:paraId="5C593579" w14:textId="77777777" w:rsidR="004A137D" w:rsidRPr="003456DF" w:rsidRDefault="004A137D" w:rsidP="003456DF">
            <w:pPr>
              <w:jc w:val="center"/>
              <w:rPr>
                <w:rFonts w:cs="Segoe UI"/>
                <w:color w:val="333333"/>
                <w:sz w:val="18"/>
                <w:szCs w:val="18"/>
              </w:rPr>
            </w:pPr>
            <w:r w:rsidRPr="003456DF">
              <w:rPr>
                <w:rFonts w:cs="Segoe UI"/>
                <w:color w:val="333333"/>
                <w:sz w:val="18"/>
                <w:szCs w:val="18"/>
              </w:rPr>
              <w:t>HC</w:t>
            </w:r>
          </w:p>
        </w:tc>
        <w:tc>
          <w:tcPr>
            <w:tcW w:w="491" w:type="pct"/>
            <w:vAlign w:val="center"/>
            <w:hideMark/>
          </w:tcPr>
          <w:p w14:paraId="65654530" w14:textId="77777777" w:rsidR="004A137D" w:rsidRPr="003456DF" w:rsidRDefault="004A137D" w:rsidP="003456DF">
            <w:pPr>
              <w:jc w:val="center"/>
              <w:rPr>
                <w:rFonts w:cs="Segoe UI"/>
                <w:color w:val="333333"/>
                <w:sz w:val="18"/>
                <w:szCs w:val="18"/>
              </w:rPr>
            </w:pPr>
            <w:r w:rsidRPr="003456DF">
              <w:rPr>
                <w:rFonts w:cs="Segoe UI"/>
                <w:color w:val="333333"/>
                <w:sz w:val="18"/>
                <w:szCs w:val="18"/>
              </w:rPr>
              <w:t>-6.19</w:t>
            </w:r>
          </w:p>
        </w:tc>
        <w:tc>
          <w:tcPr>
            <w:tcW w:w="491" w:type="pct"/>
            <w:vAlign w:val="center"/>
            <w:hideMark/>
          </w:tcPr>
          <w:p w14:paraId="791C214B"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10.0</w:t>
            </w:r>
          </w:p>
        </w:tc>
        <w:tc>
          <w:tcPr>
            <w:tcW w:w="491" w:type="pct"/>
            <w:vAlign w:val="center"/>
            <w:hideMark/>
          </w:tcPr>
          <w:p w14:paraId="473638CD"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103</w:t>
            </w:r>
          </w:p>
        </w:tc>
        <w:tc>
          <w:tcPr>
            <w:tcW w:w="491" w:type="pct"/>
            <w:vAlign w:val="center"/>
            <w:hideMark/>
          </w:tcPr>
          <w:p w14:paraId="062DE260" w14:textId="77777777" w:rsidR="004A137D" w:rsidRPr="003456DF" w:rsidRDefault="004A137D" w:rsidP="003456DF">
            <w:pPr>
              <w:jc w:val="center"/>
              <w:rPr>
                <w:rFonts w:cs="Segoe UI"/>
                <w:color w:val="333333"/>
                <w:sz w:val="18"/>
                <w:szCs w:val="18"/>
              </w:rPr>
            </w:pPr>
            <w:r w:rsidRPr="003456DF">
              <w:rPr>
                <w:rFonts w:cs="Segoe UI"/>
                <w:color w:val="333333"/>
                <w:sz w:val="18"/>
                <w:szCs w:val="18"/>
              </w:rPr>
              <w:t>-0.618</w:t>
            </w:r>
          </w:p>
        </w:tc>
        <w:tc>
          <w:tcPr>
            <w:tcW w:w="492" w:type="pct"/>
            <w:vAlign w:val="center"/>
            <w:hideMark/>
          </w:tcPr>
          <w:p w14:paraId="29521E72" w14:textId="77777777" w:rsidR="004A137D" w:rsidRPr="003456DF" w:rsidRDefault="004A137D" w:rsidP="003456DF">
            <w:pPr>
              <w:jc w:val="center"/>
              <w:rPr>
                <w:rFonts w:cs="Segoe UI"/>
                <w:color w:val="333333"/>
                <w:sz w:val="18"/>
                <w:szCs w:val="18"/>
              </w:rPr>
            </w:pPr>
            <w:r w:rsidRPr="003456DF">
              <w:rPr>
                <w:rFonts w:cs="Segoe UI"/>
                <w:color w:val="333333"/>
                <w:sz w:val="18"/>
                <w:szCs w:val="18"/>
              </w:rPr>
              <w:t>0.538</w:t>
            </w:r>
          </w:p>
        </w:tc>
      </w:tr>
      <w:tr w:rsidR="004A137D" w:rsidRPr="003456DF" w14:paraId="2113C339" w14:textId="77777777" w:rsidTr="003456DF">
        <w:trPr>
          <w:trHeight w:val="283"/>
        </w:trPr>
        <w:tc>
          <w:tcPr>
            <w:tcW w:w="574" w:type="pct"/>
            <w:vAlign w:val="center"/>
            <w:hideMark/>
          </w:tcPr>
          <w:p w14:paraId="567819AB" w14:textId="77777777" w:rsidR="004A137D" w:rsidRPr="003456DF" w:rsidRDefault="004A137D" w:rsidP="003456DF">
            <w:pPr>
              <w:jc w:val="center"/>
              <w:rPr>
                <w:rFonts w:cs="Segoe UI"/>
                <w:color w:val="333333"/>
                <w:sz w:val="18"/>
                <w:szCs w:val="18"/>
              </w:rPr>
            </w:pPr>
          </w:p>
        </w:tc>
        <w:tc>
          <w:tcPr>
            <w:tcW w:w="494" w:type="pct"/>
            <w:vAlign w:val="center"/>
            <w:hideMark/>
          </w:tcPr>
          <w:p w14:paraId="587D9CE5" w14:textId="77777777" w:rsidR="004A137D" w:rsidRPr="003456DF" w:rsidRDefault="004A137D" w:rsidP="003456DF">
            <w:pPr>
              <w:jc w:val="center"/>
              <w:rPr>
                <w:rFonts w:cs="Segoe UI"/>
                <w:color w:val="333333"/>
                <w:sz w:val="18"/>
                <w:szCs w:val="18"/>
              </w:rPr>
            </w:pPr>
          </w:p>
        </w:tc>
        <w:tc>
          <w:tcPr>
            <w:tcW w:w="162" w:type="pct"/>
            <w:vAlign w:val="center"/>
            <w:hideMark/>
          </w:tcPr>
          <w:p w14:paraId="65F8ECFC" w14:textId="77777777" w:rsidR="004A137D" w:rsidRPr="003456DF" w:rsidRDefault="004A137D" w:rsidP="003456DF">
            <w:pPr>
              <w:jc w:val="center"/>
              <w:rPr>
                <w:rFonts w:cs="Segoe UI"/>
                <w:color w:val="333333"/>
                <w:sz w:val="18"/>
                <w:szCs w:val="18"/>
              </w:rPr>
            </w:pPr>
            <w:r w:rsidRPr="003456DF">
              <w:rPr>
                <w:rFonts w:cs="Segoe UI"/>
                <w:color w:val="333333"/>
                <w:sz w:val="18"/>
                <w:szCs w:val="18"/>
              </w:rPr>
              <w:t>-</w:t>
            </w:r>
          </w:p>
        </w:tc>
        <w:tc>
          <w:tcPr>
            <w:tcW w:w="821" w:type="pct"/>
            <w:vAlign w:val="center"/>
            <w:hideMark/>
          </w:tcPr>
          <w:p w14:paraId="19A859B0" w14:textId="77777777" w:rsidR="004A137D" w:rsidRPr="003456DF" w:rsidRDefault="004A137D" w:rsidP="003456DF">
            <w:pPr>
              <w:jc w:val="center"/>
              <w:rPr>
                <w:rFonts w:cs="Segoe UI"/>
                <w:color w:val="333333"/>
                <w:sz w:val="18"/>
                <w:szCs w:val="18"/>
              </w:rPr>
            </w:pPr>
            <w:r w:rsidRPr="003456DF">
              <w:rPr>
                <w:rFonts w:cs="Segoe UI"/>
                <w:color w:val="333333"/>
                <w:sz w:val="18"/>
                <w:szCs w:val="18"/>
              </w:rPr>
              <w:t>Negative</w:t>
            </w:r>
          </w:p>
        </w:tc>
        <w:tc>
          <w:tcPr>
            <w:tcW w:w="491" w:type="pct"/>
            <w:vAlign w:val="center"/>
            <w:hideMark/>
          </w:tcPr>
          <w:p w14:paraId="6A857C1E" w14:textId="77777777" w:rsidR="004A137D" w:rsidRPr="003456DF" w:rsidRDefault="004A137D" w:rsidP="003456DF">
            <w:pPr>
              <w:jc w:val="center"/>
              <w:rPr>
                <w:rFonts w:cs="Segoe UI"/>
                <w:color w:val="333333"/>
                <w:sz w:val="18"/>
                <w:szCs w:val="18"/>
              </w:rPr>
            </w:pPr>
            <w:r w:rsidRPr="003456DF">
              <w:rPr>
                <w:rFonts w:cs="Segoe UI"/>
                <w:color w:val="333333"/>
                <w:sz w:val="18"/>
                <w:szCs w:val="18"/>
              </w:rPr>
              <w:t>FNSD</w:t>
            </w:r>
          </w:p>
        </w:tc>
        <w:tc>
          <w:tcPr>
            <w:tcW w:w="491" w:type="pct"/>
            <w:vAlign w:val="center"/>
            <w:hideMark/>
          </w:tcPr>
          <w:p w14:paraId="1DF77A2B" w14:textId="77777777" w:rsidR="004A137D" w:rsidRPr="003456DF" w:rsidRDefault="004A137D" w:rsidP="003456DF">
            <w:pPr>
              <w:jc w:val="center"/>
              <w:rPr>
                <w:rFonts w:cs="Segoe UI"/>
                <w:color w:val="333333"/>
                <w:sz w:val="18"/>
                <w:szCs w:val="18"/>
              </w:rPr>
            </w:pPr>
            <w:r w:rsidRPr="003456DF">
              <w:rPr>
                <w:rFonts w:cs="Segoe UI"/>
                <w:color w:val="333333"/>
                <w:sz w:val="18"/>
                <w:szCs w:val="18"/>
              </w:rPr>
              <w:t>-211.07</w:t>
            </w:r>
          </w:p>
        </w:tc>
        <w:tc>
          <w:tcPr>
            <w:tcW w:w="491" w:type="pct"/>
            <w:vAlign w:val="center"/>
            <w:hideMark/>
          </w:tcPr>
          <w:p w14:paraId="3A169358" w14:textId="77777777" w:rsidR="004A137D" w:rsidRPr="003456DF" w:rsidRDefault="004A137D" w:rsidP="003456DF">
            <w:pPr>
              <w:jc w:val="center"/>
              <w:rPr>
                <w:rFonts w:cs="Segoe UI"/>
                <w:color w:val="333333"/>
                <w:sz w:val="18"/>
                <w:szCs w:val="18"/>
              </w:rPr>
            </w:pPr>
            <w:r w:rsidRPr="003456DF">
              <w:rPr>
                <w:rFonts w:cs="Segoe UI"/>
                <w:color w:val="333333"/>
                <w:sz w:val="18"/>
                <w:szCs w:val="18"/>
              </w:rPr>
              <w:t>51.1</w:t>
            </w:r>
          </w:p>
        </w:tc>
        <w:tc>
          <w:tcPr>
            <w:tcW w:w="491" w:type="pct"/>
            <w:vAlign w:val="center"/>
            <w:hideMark/>
          </w:tcPr>
          <w:p w14:paraId="0F1F7B00"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103</w:t>
            </w:r>
          </w:p>
        </w:tc>
        <w:tc>
          <w:tcPr>
            <w:tcW w:w="491" w:type="pct"/>
            <w:vAlign w:val="center"/>
            <w:hideMark/>
          </w:tcPr>
          <w:p w14:paraId="45BE7548" w14:textId="77777777" w:rsidR="004A137D" w:rsidRPr="003456DF" w:rsidRDefault="004A137D" w:rsidP="003456DF">
            <w:pPr>
              <w:jc w:val="center"/>
              <w:rPr>
                <w:rFonts w:cs="Segoe UI"/>
                <w:color w:val="333333"/>
                <w:sz w:val="18"/>
                <w:szCs w:val="18"/>
              </w:rPr>
            </w:pPr>
            <w:r w:rsidRPr="003456DF">
              <w:rPr>
                <w:rFonts w:cs="Segoe UI"/>
                <w:color w:val="333333"/>
                <w:sz w:val="18"/>
                <w:szCs w:val="18"/>
              </w:rPr>
              <w:t>-4.132</w:t>
            </w:r>
          </w:p>
        </w:tc>
        <w:tc>
          <w:tcPr>
            <w:tcW w:w="492" w:type="pct"/>
            <w:vAlign w:val="center"/>
            <w:hideMark/>
          </w:tcPr>
          <w:p w14:paraId="36A63388" w14:textId="77777777" w:rsidR="004A137D" w:rsidRPr="003456DF" w:rsidRDefault="004A137D" w:rsidP="003456DF">
            <w:pPr>
              <w:jc w:val="center"/>
              <w:rPr>
                <w:rFonts w:cs="Segoe UI"/>
                <w:color w:val="333333"/>
                <w:sz w:val="18"/>
                <w:szCs w:val="18"/>
              </w:rPr>
            </w:pPr>
            <w:r w:rsidRPr="003456DF">
              <w:rPr>
                <w:rFonts w:cs="Segoe UI"/>
                <w:color w:val="333333"/>
                <w:sz w:val="18"/>
                <w:szCs w:val="18"/>
              </w:rPr>
              <w:t>&lt;</w:t>
            </w:r>
            <w:r w:rsidRPr="003456DF">
              <w:rPr>
                <w:rFonts w:ascii="Times New Roman" w:hAnsi="Times New Roman"/>
                <w:color w:val="333333"/>
                <w:sz w:val="18"/>
                <w:szCs w:val="18"/>
              </w:rPr>
              <w:t> </w:t>
            </w:r>
            <w:r w:rsidRPr="003456DF">
              <w:rPr>
                <w:rFonts w:cs="Segoe UI"/>
                <w:color w:val="333333"/>
                <w:sz w:val="18"/>
                <w:szCs w:val="18"/>
              </w:rPr>
              <w:t>.001</w:t>
            </w:r>
          </w:p>
        </w:tc>
      </w:tr>
      <w:tr w:rsidR="004A137D" w:rsidRPr="003456DF" w14:paraId="63AB04BB" w14:textId="77777777" w:rsidTr="003456DF">
        <w:trPr>
          <w:trHeight w:val="283"/>
        </w:trPr>
        <w:tc>
          <w:tcPr>
            <w:tcW w:w="574" w:type="pct"/>
            <w:vAlign w:val="center"/>
            <w:hideMark/>
          </w:tcPr>
          <w:p w14:paraId="0E351AE1" w14:textId="77777777" w:rsidR="004A137D" w:rsidRPr="003456DF" w:rsidRDefault="004A137D" w:rsidP="003456DF">
            <w:pPr>
              <w:jc w:val="center"/>
              <w:rPr>
                <w:rFonts w:cs="Segoe UI"/>
                <w:color w:val="333333"/>
                <w:sz w:val="18"/>
                <w:szCs w:val="18"/>
              </w:rPr>
            </w:pPr>
          </w:p>
        </w:tc>
        <w:tc>
          <w:tcPr>
            <w:tcW w:w="494" w:type="pct"/>
            <w:vAlign w:val="center"/>
            <w:hideMark/>
          </w:tcPr>
          <w:p w14:paraId="2654F3EB" w14:textId="77777777" w:rsidR="004A137D" w:rsidRPr="003456DF" w:rsidRDefault="004A137D" w:rsidP="003456DF">
            <w:pPr>
              <w:jc w:val="center"/>
              <w:rPr>
                <w:rFonts w:cs="Segoe UI"/>
                <w:color w:val="333333"/>
                <w:sz w:val="18"/>
                <w:szCs w:val="18"/>
              </w:rPr>
            </w:pPr>
            <w:r w:rsidRPr="003456DF">
              <w:rPr>
                <w:rFonts w:cs="Segoe UI"/>
                <w:color w:val="333333"/>
                <w:sz w:val="18"/>
                <w:szCs w:val="18"/>
              </w:rPr>
              <w:t>FNSD</w:t>
            </w:r>
          </w:p>
        </w:tc>
        <w:tc>
          <w:tcPr>
            <w:tcW w:w="162" w:type="pct"/>
            <w:vAlign w:val="center"/>
            <w:hideMark/>
          </w:tcPr>
          <w:p w14:paraId="241E5178" w14:textId="77777777" w:rsidR="004A137D" w:rsidRPr="003456DF" w:rsidRDefault="004A137D" w:rsidP="003456DF">
            <w:pPr>
              <w:jc w:val="center"/>
              <w:rPr>
                <w:rFonts w:cs="Segoe UI"/>
                <w:color w:val="333333"/>
                <w:sz w:val="18"/>
                <w:szCs w:val="18"/>
              </w:rPr>
            </w:pPr>
            <w:r w:rsidRPr="003456DF">
              <w:rPr>
                <w:rFonts w:cs="Segoe UI"/>
                <w:color w:val="333333"/>
                <w:sz w:val="18"/>
                <w:szCs w:val="18"/>
              </w:rPr>
              <w:t>-</w:t>
            </w:r>
          </w:p>
        </w:tc>
        <w:tc>
          <w:tcPr>
            <w:tcW w:w="821" w:type="pct"/>
            <w:vAlign w:val="center"/>
            <w:hideMark/>
          </w:tcPr>
          <w:p w14:paraId="3A282CEE" w14:textId="77777777" w:rsidR="004A137D" w:rsidRPr="003456DF" w:rsidRDefault="004A137D" w:rsidP="003456DF">
            <w:pPr>
              <w:jc w:val="center"/>
              <w:rPr>
                <w:rFonts w:cs="Segoe UI"/>
                <w:color w:val="333333"/>
                <w:sz w:val="18"/>
                <w:szCs w:val="18"/>
              </w:rPr>
            </w:pPr>
            <w:r w:rsidRPr="003456DF">
              <w:rPr>
                <w:rFonts w:cs="Segoe UI"/>
                <w:color w:val="333333"/>
                <w:sz w:val="18"/>
                <w:szCs w:val="18"/>
              </w:rPr>
              <w:t>Negative</w:t>
            </w:r>
          </w:p>
        </w:tc>
        <w:tc>
          <w:tcPr>
            <w:tcW w:w="491" w:type="pct"/>
            <w:vAlign w:val="center"/>
            <w:hideMark/>
          </w:tcPr>
          <w:p w14:paraId="3250731D" w14:textId="77777777" w:rsidR="004A137D" w:rsidRPr="003456DF" w:rsidRDefault="004A137D" w:rsidP="003456DF">
            <w:pPr>
              <w:jc w:val="center"/>
              <w:rPr>
                <w:rFonts w:cs="Segoe UI"/>
                <w:color w:val="333333"/>
                <w:sz w:val="18"/>
                <w:szCs w:val="18"/>
              </w:rPr>
            </w:pPr>
            <w:r w:rsidRPr="003456DF">
              <w:rPr>
                <w:rFonts w:cs="Segoe UI"/>
                <w:color w:val="333333"/>
                <w:sz w:val="18"/>
                <w:szCs w:val="18"/>
              </w:rPr>
              <w:t>HC</w:t>
            </w:r>
          </w:p>
        </w:tc>
        <w:tc>
          <w:tcPr>
            <w:tcW w:w="491" w:type="pct"/>
            <w:vAlign w:val="center"/>
            <w:hideMark/>
          </w:tcPr>
          <w:p w14:paraId="535CF268"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167.34</w:t>
            </w:r>
          </w:p>
        </w:tc>
        <w:tc>
          <w:tcPr>
            <w:tcW w:w="491" w:type="pct"/>
            <w:vAlign w:val="center"/>
            <w:hideMark/>
          </w:tcPr>
          <w:p w14:paraId="2FCC5593" w14:textId="77777777" w:rsidR="004A137D" w:rsidRPr="003456DF" w:rsidRDefault="004A137D" w:rsidP="003456DF">
            <w:pPr>
              <w:jc w:val="center"/>
              <w:rPr>
                <w:rFonts w:cs="Segoe UI"/>
                <w:color w:val="333333"/>
                <w:sz w:val="18"/>
                <w:szCs w:val="18"/>
              </w:rPr>
            </w:pPr>
            <w:r w:rsidRPr="003456DF">
              <w:rPr>
                <w:rFonts w:cs="Segoe UI"/>
                <w:color w:val="333333"/>
                <w:sz w:val="18"/>
                <w:szCs w:val="18"/>
              </w:rPr>
              <w:t>50.4</w:t>
            </w:r>
          </w:p>
        </w:tc>
        <w:tc>
          <w:tcPr>
            <w:tcW w:w="491" w:type="pct"/>
            <w:vAlign w:val="center"/>
            <w:hideMark/>
          </w:tcPr>
          <w:p w14:paraId="4CFBC16B"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103</w:t>
            </w:r>
          </w:p>
        </w:tc>
        <w:tc>
          <w:tcPr>
            <w:tcW w:w="491" w:type="pct"/>
            <w:vAlign w:val="center"/>
            <w:hideMark/>
          </w:tcPr>
          <w:p w14:paraId="7137F79D" w14:textId="77777777" w:rsidR="004A137D" w:rsidRPr="003456DF" w:rsidRDefault="004A137D" w:rsidP="003456DF">
            <w:pPr>
              <w:jc w:val="center"/>
              <w:rPr>
                <w:rFonts w:cs="Segoe UI"/>
                <w:color w:val="333333"/>
                <w:sz w:val="18"/>
                <w:szCs w:val="18"/>
              </w:rPr>
            </w:pPr>
            <w:r w:rsidRPr="003456DF">
              <w:rPr>
                <w:rFonts w:cs="Segoe UI"/>
                <w:color w:val="333333"/>
                <w:sz w:val="18"/>
                <w:szCs w:val="18"/>
              </w:rPr>
              <w:t>3.319</w:t>
            </w:r>
          </w:p>
        </w:tc>
        <w:tc>
          <w:tcPr>
            <w:tcW w:w="492" w:type="pct"/>
            <w:vAlign w:val="center"/>
            <w:hideMark/>
          </w:tcPr>
          <w:p w14:paraId="0B2348C3" w14:textId="77777777" w:rsidR="004A137D" w:rsidRPr="003456DF" w:rsidRDefault="004A137D" w:rsidP="003456DF">
            <w:pPr>
              <w:jc w:val="center"/>
              <w:rPr>
                <w:rFonts w:cs="Segoe UI"/>
                <w:color w:val="333333"/>
                <w:sz w:val="18"/>
                <w:szCs w:val="18"/>
              </w:rPr>
            </w:pPr>
            <w:r w:rsidRPr="003456DF">
              <w:rPr>
                <w:rFonts w:cs="Segoe UI"/>
                <w:color w:val="333333"/>
                <w:sz w:val="18"/>
                <w:szCs w:val="18"/>
              </w:rPr>
              <w:t>0.003</w:t>
            </w:r>
          </w:p>
        </w:tc>
      </w:tr>
      <w:tr w:rsidR="004A137D" w:rsidRPr="003456DF" w14:paraId="1F5FC11F" w14:textId="77777777" w:rsidTr="003456DF">
        <w:trPr>
          <w:trHeight w:val="283"/>
        </w:trPr>
        <w:tc>
          <w:tcPr>
            <w:tcW w:w="574" w:type="pct"/>
            <w:vAlign w:val="center"/>
            <w:hideMark/>
          </w:tcPr>
          <w:p w14:paraId="32E15400" w14:textId="77777777" w:rsidR="004A137D" w:rsidRPr="003456DF" w:rsidRDefault="004A137D" w:rsidP="003456DF">
            <w:pPr>
              <w:jc w:val="center"/>
              <w:rPr>
                <w:rFonts w:cs="Segoe UI"/>
                <w:color w:val="333333"/>
                <w:sz w:val="18"/>
                <w:szCs w:val="18"/>
              </w:rPr>
            </w:pPr>
          </w:p>
        </w:tc>
        <w:tc>
          <w:tcPr>
            <w:tcW w:w="494" w:type="pct"/>
            <w:vAlign w:val="center"/>
            <w:hideMark/>
          </w:tcPr>
          <w:p w14:paraId="09604438" w14:textId="77777777" w:rsidR="004A137D" w:rsidRPr="003456DF" w:rsidRDefault="004A137D" w:rsidP="003456DF">
            <w:pPr>
              <w:jc w:val="center"/>
              <w:rPr>
                <w:rFonts w:cs="Segoe UI"/>
                <w:color w:val="333333"/>
                <w:sz w:val="18"/>
                <w:szCs w:val="18"/>
              </w:rPr>
            </w:pPr>
          </w:p>
        </w:tc>
        <w:tc>
          <w:tcPr>
            <w:tcW w:w="162" w:type="pct"/>
            <w:vAlign w:val="center"/>
            <w:hideMark/>
          </w:tcPr>
          <w:p w14:paraId="4D25BF02" w14:textId="77777777" w:rsidR="004A137D" w:rsidRPr="003456DF" w:rsidRDefault="004A137D" w:rsidP="003456DF">
            <w:pPr>
              <w:jc w:val="center"/>
              <w:rPr>
                <w:rFonts w:cs="Segoe UI"/>
                <w:color w:val="333333"/>
                <w:sz w:val="18"/>
                <w:szCs w:val="18"/>
              </w:rPr>
            </w:pPr>
            <w:r w:rsidRPr="003456DF">
              <w:rPr>
                <w:rFonts w:cs="Segoe UI"/>
                <w:color w:val="333333"/>
                <w:sz w:val="18"/>
                <w:szCs w:val="18"/>
              </w:rPr>
              <w:t>-</w:t>
            </w:r>
          </w:p>
        </w:tc>
        <w:tc>
          <w:tcPr>
            <w:tcW w:w="821" w:type="pct"/>
            <w:vAlign w:val="center"/>
            <w:hideMark/>
          </w:tcPr>
          <w:p w14:paraId="3C1D7F14" w14:textId="77777777" w:rsidR="004A137D" w:rsidRPr="003456DF" w:rsidRDefault="004A137D" w:rsidP="003456DF">
            <w:pPr>
              <w:jc w:val="center"/>
              <w:rPr>
                <w:rFonts w:cs="Segoe UI"/>
                <w:color w:val="333333"/>
                <w:sz w:val="18"/>
                <w:szCs w:val="18"/>
              </w:rPr>
            </w:pPr>
            <w:r w:rsidRPr="003456DF">
              <w:rPr>
                <w:rFonts w:cs="Segoe UI"/>
                <w:color w:val="333333"/>
                <w:sz w:val="18"/>
                <w:szCs w:val="18"/>
              </w:rPr>
              <w:t>Negative</w:t>
            </w:r>
          </w:p>
        </w:tc>
        <w:tc>
          <w:tcPr>
            <w:tcW w:w="491" w:type="pct"/>
            <w:vAlign w:val="center"/>
            <w:hideMark/>
          </w:tcPr>
          <w:p w14:paraId="52A0E374" w14:textId="77777777" w:rsidR="004A137D" w:rsidRPr="003456DF" w:rsidRDefault="004A137D" w:rsidP="003456DF">
            <w:pPr>
              <w:jc w:val="center"/>
              <w:rPr>
                <w:rFonts w:cs="Segoe UI"/>
                <w:color w:val="333333"/>
                <w:sz w:val="18"/>
                <w:szCs w:val="18"/>
              </w:rPr>
            </w:pPr>
            <w:r w:rsidRPr="003456DF">
              <w:rPr>
                <w:rFonts w:cs="Segoe UI"/>
                <w:color w:val="333333"/>
                <w:sz w:val="18"/>
                <w:szCs w:val="18"/>
              </w:rPr>
              <w:t>FNSD</w:t>
            </w:r>
          </w:p>
        </w:tc>
        <w:tc>
          <w:tcPr>
            <w:tcW w:w="491" w:type="pct"/>
            <w:vAlign w:val="center"/>
            <w:hideMark/>
          </w:tcPr>
          <w:p w14:paraId="0142B408" w14:textId="77777777" w:rsidR="004A137D" w:rsidRPr="003456DF" w:rsidRDefault="004A137D" w:rsidP="003456DF">
            <w:pPr>
              <w:jc w:val="center"/>
              <w:rPr>
                <w:rFonts w:cs="Segoe UI"/>
                <w:color w:val="333333"/>
                <w:sz w:val="18"/>
                <w:szCs w:val="18"/>
              </w:rPr>
            </w:pPr>
            <w:r w:rsidRPr="003456DF">
              <w:rPr>
                <w:rFonts w:cs="Segoe UI"/>
                <w:color w:val="333333"/>
                <w:sz w:val="18"/>
                <w:szCs w:val="18"/>
              </w:rPr>
              <w:t>-37.54</w:t>
            </w:r>
          </w:p>
        </w:tc>
        <w:tc>
          <w:tcPr>
            <w:tcW w:w="491" w:type="pct"/>
            <w:vAlign w:val="center"/>
            <w:hideMark/>
          </w:tcPr>
          <w:p w14:paraId="7701570B"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11.1</w:t>
            </w:r>
          </w:p>
        </w:tc>
        <w:tc>
          <w:tcPr>
            <w:tcW w:w="491" w:type="pct"/>
            <w:vAlign w:val="center"/>
            <w:hideMark/>
          </w:tcPr>
          <w:p w14:paraId="09752D6C"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103</w:t>
            </w:r>
          </w:p>
        </w:tc>
        <w:tc>
          <w:tcPr>
            <w:tcW w:w="491" w:type="pct"/>
            <w:vAlign w:val="center"/>
            <w:hideMark/>
          </w:tcPr>
          <w:p w14:paraId="6F5C40F4" w14:textId="77777777" w:rsidR="004A137D" w:rsidRPr="003456DF" w:rsidRDefault="004A137D" w:rsidP="003456DF">
            <w:pPr>
              <w:jc w:val="center"/>
              <w:rPr>
                <w:rFonts w:cs="Segoe UI"/>
                <w:color w:val="333333"/>
                <w:sz w:val="18"/>
                <w:szCs w:val="18"/>
              </w:rPr>
            </w:pPr>
            <w:r w:rsidRPr="003456DF">
              <w:rPr>
                <w:rFonts w:cs="Segoe UI"/>
                <w:color w:val="333333"/>
                <w:sz w:val="18"/>
                <w:szCs w:val="18"/>
              </w:rPr>
              <w:t>-3.374</w:t>
            </w:r>
          </w:p>
        </w:tc>
        <w:tc>
          <w:tcPr>
            <w:tcW w:w="492" w:type="pct"/>
            <w:vAlign w:val="center"/>
            <w:hideMark/>
          </w:tcPr>
          <w:p w14:paraId="4134BDBD" w14:textId="77777777" w:rsidR="004A137D" w:rsidRPr="003456DF" w:rsidRDefault="004A137D" w:rsidP="003456DF">
            <w:pPr>
              <w:jc w:val="center"/>
              <w:rPr>
                <w:rFonts w:cs="Segoe UI"/>
                <w:color w:val="333333"/>
                <w:sz w:val="18"/>
                <w:szCs w:val="18"/>
              </w:rPr>
            </w:pPr>
            <w:r w:rsidRPr="003456DF">
              <w:rPr>
                <w:rFonts w:cs="Segoe UI"/>
                <w:color w:val="333333"/>
                <w:sz w:val="18"/>
                <w:szCs w:val="18"/>
              </w:rPr>
              <w:t>0.003</w:t>
            </w:r>
          </w:p>
        </w:tc>
      </w:tr>
      <w:tr w:rsidR="004A137D" w:rsidRPr="003456DF" w14:paraId="760B9FEB" w14:textId="77777777" w:rsidTr="003456DF">
        <w:trPr>
          <w:trHeight w:val="283"/>
        </w:trPr>
        <w:tc>
          <w:tcPr>
            <w:tcW w:w="574" w:type="pct"/>
            <w:vAlign w:val="center"/>
            <w:hideMark/>
          </w:tcPr>
          <w:p w14:paraId="37808459" w14:textId="77777777" w:rsidR="004A137D" w:rsidRPr="003456DF" w:rsidRDefault="004A137D" w:rsidP="003456DF">
            <w:pPr>
              <w:jc w:val="center"/>
              <w:rPr>
                <w:rFonts w:cs="Segoe UI"/>
                <w:color w:val="333333"/>
                <w:sz w:val="18"/>
                <w:szCs w:val="18"/>
              </w:rPr>
            </w:pPr>
            <w:r w:rsidRPr="003456DF">
              <w:rPr>
                <w:rFonts w:cs="Segoe UI"/>
                <w:color w:val="333333"/>
                <w:sz w:val="18"/>
                <w:szCs w:val="18"/>
              </w:rPr>
              <w:t>Negative</w:t>
            </w:r>
          </w:p>
        </w:tc>
        <w:tc>
          <w:tcPr>
            <w:tcW w:w="494" w:type="pct"/>
            <w:vAlign w:val="center"/>
            <w:hideMark/>
          </w:tcPr>
          <w:p w14:paraId="58622C1D" w14:textId="77777777" w:rsidR="004A137D" w:rsidRPr="003456DF" w:rsidRDefault="004A137D" w:rsidP="003456DF">
            <w:pPr>
              <w:jc w:val="center"/>
              <w:rPr>
                <w:rFonts w:cs="Segoe UI"/>
                <w:color w:val="333333"/>
                <w:sz w:val="18"/>
                <w:szCs w:val="18"/>
              </w:rPr>
            </w:pPr>
            <w:r w:rsidRPr="003456DF">
              <w:rPr>
                <w:rFonts w:cs="Segoe UI"/>
                <w:color w:val="333333"/>
                <w:sz w:val="18"/>
                <w:szCs w:val="18"/>
              </w:rPr>
              <w:t>HC</w:t>
            </w:r>
          </w:p>
        </w:tc>
        <w:tc>
          <w:tcPr>
            <w:tcW w:w="162" w:type="pct"/>
            <w:vAlign w:val="center"/>
            <w:hideMark/>
          </w:tcPr>
          <w:p w14:paraId="49432FF3" w14:textId="77777777" w:rsidR="004A137D" w:rsidRPr="003456DF" w:rsidRDefault="004A137D" w:rsidP="003456DF">
            <w:pPr>
              <w:jc w:val="center"/>
              <w:rPr>
                <w:rFonts w:cs="Segoe UI"/>
                <w:color w:val="333333"/>
                <w:sz w:val="18"/>
                <w:szCs w:val="18"/>
              </w:rPr>
            </w:pPr>
            <w:r w:rsidRPr="003456DF">
              <w:rPr>
                <w:rFonts w:cs="Segoe UI"/>
                <w:color w:val="333333"/>
                <w:sz w:val="18"/>
                <w:szCs w:val="18"/>
              </w:rPr>
              <w:t>-</w:t>
            </w:r>
          </w:p>
        </w:tc>
        <w:tc>
          <w:tcPr>
            <w:tcW w:w="821" w:type="pct"/>
            <w:vAlign w:val="center"/>
            <w:hideMark/>
          </w:tcPr>
          <w:p w14:paraId="319347D5" w14:textId="77777777" w:rsidR="004A137D" w:rsidRPr="003456DF" w:rsidRDefault="004A137D" w:rsidP="003456DF">
            <w:pPr>
              <w:jc w:val="center"/>
              <w:rPr>
                <w:rFonts w:cs="Segoe UI"/>
                <w:color w:val="333333"/>
                <w:sz w:val="18"/>
                <w:szCs w:val="18"/>
              </w:rPr>
            </w:pPr>
            <w:r w:rsidRPr="003456DF">
              <w:rPr>
                <w:rFonts w:cs="Segoe UI"/>
                <w:color w:val="333333"/>
                <w:sz w:val="18"/>
                <w:szCs w:val="18"/>
              </w:rPr>
              <w:t>Negative</w:t>
            </w:r>
          </w:p>
        </w:tc>
        <w:tc>
          <w:tcPr>
            <w:tcW w:w="491" w:type="pct"/>
            <w:vAlign w:val="center"/>
            <w:hideMark/>
          </w:tcPr>
          <w:p w14:paraId="7A3785F3" w14:textId="77777777" w:rsidR="004A137D" w:rsidRPr="003456DF" w:rsidRDefault="004A137D" w:rsidP="003456DF">
            <w:pPr>
              <w:jc w:val="center"/>
              <w:rPr>
                <w:rFonts w:cs="Segoe UI"/>
                <w:color w:val="333333"/>
                <w:sz w:val="18"/>
                <w:szCs w:val="18"/>
              </w:rPr>
            </w:pPr>
            <w:r w:rsidRPr="003456DF">
              <w:rPr>
                <w:rFonts w:cs="Segoe UI"/>
                <w:color w:val="333333"/>
                <w:sz w:val="18"/>
                <w:szCs w:val="18"/>
              </w:rPr>
              <w:t>FNSD</w:t>
            </w:r>
          </w:p>
        </w:tc>
        <w:tc>
          <w:tcPr>
            <w:tcW w:w="491" w:type="pct"/>
            <w:vAlign w:val="center"/>
            <w:hideMark/>
          </w:tcPr>
          <w:p w14:paraId="3F1AB7BC" w14:textId="77777777" w:rsidR="004A137D" w:rsidRPr="003456DF" w:rsidRDefault="004A137D" w:rsidP="003456DF">
            <w:pPr>
              <w:jc w:val="center"/>
              <w:rPr>
                <w:rFonts w:cs="Segoe UI"/>
                <w:color w:val="333333"/>
                <w:sz w:val="18"/>
                <w:szCs w:val="18"/>
              </w:rPr>
            </w:pPr>
            <w:r w:rsidRPr="003456DF">
              <w:rPr>
                <w:rFonts w:cs="Segoe UI"/>
                <w:color w:val="333333"/>
                <w:sz w:val="18"/>
                <w:szCs w:val="18"/>
              </w:rPr>
              <w:t>-204.88</w:t>
            </w:r>
          </w:p>
        </w:tc>
        <w:tc>
          <w:tcPr>
            <w:tcW w:w="491" w:type="pct"/>
            <w:vAlign w:val="center"/>
            <w:hideMark/>
          </w:tcPr>
          <w:p w14:paraId="7F0775E5" w14:textId="77777777" w:rsidR="004A137D" w:rsidRPr="003456DF" w:rsidRDefault="004A137D" w:rsidP="003456DF">
            <w:pPr>
              <w:jc w:val="center"/>
              <w:rPr>
                <w:rFonts w:cs="Segoe UI"/>
                <w:color w:val="333333"/>
                <w:sz w:val="18"/>
                <w:szCs w:val="18"/>
              </w:rPr>
            </w:pPr>
            <w:r w:rsidRPr="003456DF">
              <w:rPr>
                <w:rFonts w:cs="Segoe UI"/>
                <w:color w:val="333333"/>
                <w:sz w:val="18"/>
                <w:szCs w:val="18"/>
              </w:rPr>
              <w:t>53.9</w:t>
            </w:r>
          </w:p>
        </w:tc>
        <w:tc>
          <w:tcPr>
            <w:tcW w:w="491" w:type="pct"/>
            <w:vAlign w:val="center"/>
            <w:hideMark/>
          </w:tcPr>
          <w:p w14:paraId="5C42C0C9" w14:textId="77777777" w:rsidR="004A137D" w:rsidRPr="003456DF" w:rsidRDefault="004A137D" w:rsidP="003456DF">
            <w:pPr>
              <w:jc w:val="center"/>
              <w:rPr>
                <w:rFonts w:cs="Segoe UI"/>
                <w:color w:val="333333"/>
                <w:sz w:val="18"/>
                <w:szCs w:val="18"/>
              </w:rPr>
            </w:pPr>
            <w:r w:rsidRPr="003456DF">
              <w:rPr>
                <w:rFonts w:cs="Segoe UI"/>
                <w:color w:val="333333"/>
                <w:sz w:val="18"/>
                <w:szCs w:val="18"/>
              </w:rPr>
              <w:t>103</w:t>
            </w:r>
          </w:p>
        </w:tc>
        <w:tc>
          <w:tcPr>
            <w:tcW w:w="491" w:type="pct"/>
            <w:vAlign w:val="center"/>
            <w:hideMark/>
          </w:tcPr>
          <w:p w14:paraId="07EABCC2" w14:textId="77777777" w:rsidR="004A137D" w:rsidRPr="003456DF" w:rsidRDefault="004A137D" w:rsidP="003456DF">
            <w:pPr>
              <w:jc w:val="center"/>
              <w:rPr>
                <w:rFonts w:cs="Segoe UI"/>
                <w:color w:val="333333"/>
                <w:sz w:val="18"/>
                <w:szCs w:val="18"/>
              </w:rPr>
            </w:pPr>
            <w:r w:rsidRPr="003456DF">
              <w:rPr>
                <w:rFonts w:cs="Segoe UI"/>
                <w:color w:val="333333"/>
                <w:sz w:val="18"/>
                <w:szCs w:val="18"/>
              </w:rPr>
              <w:t>-3.803</w:t>
            </w:r>
          </w:p>
        </w:tc>
        <w:tc>
          <w:tcPr>
            <w:tcW w:w="492" w:type="pct"/>
            <w:vAlign w:val="center"/>
            <w:hideMark/>
          </w:tcPr>
          <w:p w14:paraId="53581ADE" w14:textId="77777777" w:rsidR="004A137D" w:rsidRPr="003456DF" w:rsidRDefault="004A137D" w:rsidP="003456DF">
            <w:pPr>
              <w:jc w:val="center"/>
              <w:rPr>
                <w:rFonts w:cs="Segoe UI"/>
                <w:color w:val="333333"/>
                <w:sz w:val="18"/>
                <w:szCs w:val="18"/>
              </w:rPr>
            </w:pPr>
            <w:r w:rsidRPr="003456DF">
              <w:rPr>
                <w:rFonts w:cs="Segoe UI"/>
                <w:color w:val="333333"/>
                <w:sz w:val="18"/>
                <w:szCs w:val="18"/>
              </w:rPr>
              <w:t>0.001</w:t>
            </w:r>
          </w:p>
        </w:tc>
      </w:tr>
    </w:tbl>
    <w:p w14:paraId="37030271" w14:textId="0BFE3B59" w:rsidR="004A137D" w:rsidRDefault="00CD314B" w:rsidP="00CB534B">
      <w:pPr>
        <w:pStyle w:val="NormalWeb"/>
        <w:rPr>
          <w:rFonts w:ascii="Segoe UI" w:hAnsi="Segoe UI" w:cs="Segoe UI"/>
          <w:color w:val="333333"/>
          <w:sz w:val="18"/>
          <w:szCs w:val="18"/>
        </w:rPr>
      </w:pPr>
      <w:r>
        <w:rPr>
          <w:rFonts w:ascii="Segoe UI" w:hAnsi="Segoe UI" w:cs="Segoe UI"/>
          <w:color w:val="333333"/>
          <w:sz w:val="18"/>
          <w:szCs w:val="18"/>
        </w:rPr>
        <w:t>Note: Marginal mean differences of prime trial reaction times, comparing Valence*Group.</w:t>
      </w:r>
    </w:p>
    <w:p w14:paraId="09817D80" w14:textId="77777777" w:rsidR="004A137D" w:rsidRPr="001A2683" w:rsidRDefault="004A137D" w:rsidP="0025020C">
      <w:pPr>
        <w:rPr>
          <w:i/>
          <w:iCs/>
          <w:u w:val="single"/>
        </w:rPr>
      </w:pPr>
      <w:r w:rsidRPr="001A2683">
        <w:rPr>
          <w:i/>
          <w:iCs/>
          <w:u w:val="single"/>
        </w:rPr>
        <w:t>NAP Probe trials (Prime-distractor, probe-target trials)</w:t>
      </w:r>
    </w:p>
    <w:p w14:paraId="47B83FD0" w14:textId="77777777" w:rsidR="004A137D" w:rsidRDefault="004A137D" w:rsidP="0025020C">
      <w:r w:rsidRPr="0025020C">
        <w:t>Another repeated measure ANOVA in probe trials did not reveal significant main effects of valence but of condition (F(1,103)=14.8, p&lt;0.001)</w:t>
      </w:r>
      <w:r>
        <w:t>, i.e. control (incongruent prime-distractor and probe-target) versus experimental (congruent prime-distractor and probe-target) trials</w:t>
      </w:r>
      <w:r w:rsidRPr="0025020C">
        <w:t>.</w:t>
      </w:r>
      <w:r>
        <w:t xml:space="preserve"> </w:t>
      </w:r>
      <w:r w:rsidRPr="0025020C">
        <w:t>A significant group interaction effect was also observed with condition and group</w:t>
      </w:r>
      <w:r>
        <w:t>,</w:t>
      </w:r>
      <w:r w:rsidRPr="0025020C">
        <w:t xml:space="preserve"> indicating that the effect of the conditio</w:t>
      </w:r>
      <w:r>
        <w:t xml:space="preserve">n </w:t>
      </w:r>
      <w:r w:rsidRPr="0025020C">
        <w:t xml:space="preserve">on the probe reaction times </w:t>
      </w:r>
      <w:r>
        <w:t>was</w:t>
      </w:r>
      <w:r w:rsidRPr="0025020C">
        <w:t xml:space="preserve"> not consistent across groups.</w:t>
      </w:r>
      <w:r>
        <w:t xml:space="preserve"> </w:t>
      </w:r>
      <w:r w:rsidRPr="0025020C">
        <w:t xml:space="preserve">A three-way interaction (valence*group*condition) was also significant (F(1,103)=4.0, p=0.048, </w:t>
      </w:r>
      <w:r w:rsidRPr="0025020C">
        <w:rPr>
          <w:rFonts w:ascii="Avenir Heavy" w:hAnsi="Avenir Heavy" w:cs="Avenir Heavy"/>
        </w:rPr>
        <w:t>η</w:t>
      </w:r>
      <w:r w:rsidRPr="0025020C">
        <w:t xml:space="preserve">2p = 0.037), suggesting that the effect of valence on </w:t>
      </w:r>
      <w:r w:rsidRPr="0005330E">
        <w:t>the probe trial reaction times is not consistent across HC and FNSD nor the experimental and control conditions</w:t>
      </w:r>
      <w:r w:rsidRPr="0025020C">
        <w:t>.</w:t>
      </w:r>
      <w:r>
        <w:t xml:space="preserve"> </w:t>
      </w:r>
      <w:r w:rsidRPr="0025020C">
        <w:t>A significant between-group effect was also found (F(1,103)=10.9, p=0.001).</w:t>
      </w:r>
      <w:r>
        <w:t xml:space="preserve"> </w:t>
      </w:r>
    </w:p>
    <w:p w14:paraId="0274DDC4" w14:textId="6E88D52F" w:rsidR="004A137D" w:rsidRDefault="004A137D" w:rsidP="00FC747D">
      <w:r>
        <w:t xml:space="preserve">Post-hoc comparisons revealed significantly higher reaction times in the experimental probe trials in HCs only. This difference was also significant when considering the valence of the stimuli, i.e., mean RTs to experimental probe trials were greater than controls with both positive and negative stimuli. However, the difference between positive and negative experimental trials RTs were not significant. The only significant differences found within the FNSD patient group was between positive and negative control trials. </w:t>
      </w:r>
      <w:r w:rsidRPr="0025020C">
        <w:t xml:space="preserve">The average RT for each probe condition is presented in Figure </w:t>
      </w:r>
      <w:r w:rsidR="0047170A">
        <w:t>12</w:t>
      </w:r>
      <w:r w:rsidRPr="0025020C">
        <w:t xml:space="preserve">. </w:t>
      </w:r>
    </w:p>
    <w:p w14:paraId="586C5B74" w14:textId="460FE2C7" w:rsidR="004A137D" w:rsidRPr="00FC747D" w:rsidRDefault="004A137D" w:rsidP="006B1C49">
      <w:r>
        <w:t xml:space="preserve">Figure </w:t>
      </w:r>
      <w:r w:rsidR="003A134E">
        <w:t>1</w:t>
      </w:r>
      <w:r w:rsidR="0047170A">
        <w:t>2</w:t>
      </w:r>
      <w:r>
        <w:t xml:space="preserve">. Mean RT to probe trials in the control and experimental trials. </w:t>
      </w:r>
    </w:p>
    <w:p w14:paraId="4FFD5446" w14:textId="77777777" w:rsidR="004A137D" w:rsidRDefault="004A137D" w:rsidP="006B1C49">
      <w:pPr>
        <w:rPr>
          <w:b/>
          <w:bCs/>
        </w:rPr>
      </w:pPr>
      <w:r>
        <w:rPr>
          <w:b/>
          <w:bCs/>
          <w:noProof/>
          <w14:ligatures w14:val="standardContextual"/>
        </w:rPr>
        <w:lastRenderedPageBreak/>
        <w:drawing>
          <wp:inline distT="0" distB="0" distL="0" distR="0" wp14:anchorId="10706F41" wp14:editId="4468D53F">
            <wp:extent cx="5727700" cy="4242435"/>
            <wp:effectExtent l="0" t="0" r="0" b="0"/>
            <wp:docPr id="81012501" name="Picture 4" descr="A picture containing text, screenshot, sketch,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501" name="Picture 4" descr="A picture containing text, screenshot, sketch, 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27700" cy="4242435"/>
                    </a:xfrm>
                    <a:prstGeom prst="rect">
                      <a:avLst/>
                    </a:prstGeom>
                  </pic:spPr>
                </pic:pic>
              </a:graphicData>
            </a:graphic>
          </wp:inline>
        </w:drawing>
      </w:r>
    </w:p>
    <w:p w14:paraId="69E27DAF" w14:textId="29852AAA" w:rsidR="004A137D" w:rsidRPr="001C4F89" w:rsidRDefault="004A137D" w:rsidP="006B1C49">
      <w:pPr>
        <w:rPr>
          <w:i/>
          <w:iCs/>
          <w:sz w:val="21"/>
          <w:szCs w:val="22"/>
        </w:rPr>
      </w:pPr>
      <w:r w:rsidRPr="00C44D1A">
        <w:rPr>
          <w:i/>
          <w:iCs/>
          <w:sz w:val="21"/>
          <w:szCs w:val="22"/>
        </w:rPr>
        <w:t xml:space="preserve">Figure </w:t>
      </w:r>
      <w:r w:rsidR="003A134E">
        <w:rPr>
          <w:i/>
          <w:iCs/>
          <w:sz w:val="21"/>
          <w:szCs w:val="22"/>
        </w:rPr>
        <w:t>1</w:t>
      </w:r>
      <w:r w:rsidR="0047170A">
        <w:rPr>
          <w:i/>
          <w:iCs/>
          <w:sz w:val="21"/>
          <w:szCs w:val="22"/>
        </w:rPr>
        <w:t>2</w:t>
      </w:r>
      <w:r w:rsidRPr="00C44D1A">
        <w:rPr>
          <w:i/>
          <w:iCs/>
          <w:sz w:val="21"/>
          <w:szCs w:val="22"/>
        </w:rPr>
        <w:t>.</w:t>
      </w:r>
      <w:r>
        <w:rPr>
          <w:i/>
          <w:iCs/>
          <w:sz w:val="21"/>
          <w:szCs w:val="22"/>
        </w:rPr>
        <w:t xml:space="preserve"> </w:t>
      </w:r>
      <w:r w:rsidRPr="00C44D1A">
        <w:rPr>
          <w:i/>
          <w:iCs/>
          <w:sz w:val="21"/>
          <w:szCs w:val="22"/>
        </w:rPr>
        <w:t>Mean RT to probe trials by group and valence in the control and experimental trials. (*) p&lt;0.01</w:t>
      </w:r>
      <w:r>
        <w:rPr>
          <w:i/>
          <w:iCs/>
          <w:sz w:val="21"/>
          <w:szCs w:val="22"/>
        </w:rPr>
        <w:t>. Valence refers to the valence of target stimuli. Control trials were those in which prime distractors and probe target were of incongruent valence, while in experimental trials the valence of these stimuli were congruent.</w:t>
      </w:r>
    </w:p>
    <w:p w14:paraId="30FCA015" w14:textId="77777777" w:rsidR="004A137D" w:rsidRPr="007C2B10" w:rsidRDefault="004A137D" w:rsidP="0005330E">
      <w:pPr>
        <w:rPr>
          <w:i/>
          <w:iCs/>
        </w:rPr>
      </w:pPr>
      <w:r w:rsidRPr="007C2B10">
        <w:rPr>
          <w:i/>
          <w:iCs/>
        </w:rPr>
        <w:t>NAP Effect using a priming index</w:t>
      </w:r>
    </w:p>
    <w:p w14:paraId="6696029E" w14:textId="77777777" w:rsidR="004A137D" w:rsidRPr="00B02202" w:rsidRDefault="004A137D" w:rsidP="0005330E">
      <w:r w:rsidRPr="00B02202">
        <w:t xml:space="preserve">A repeated-measures ANOVA of NAP </w:t>
      </w:r>
      <w:r>
        <w:t xml:space="preserve">RT </w:t>
      </w:r>
      <w:r w:rsidRPr="00B02202">
        <w:t>difference scores did not show a</w:t>
      </w:r>
      <w:r>
        <w:t xml:space="preserve"> main</w:t>
      </w:r>
      <w:r w:rsidRPr="00B02202">
        <w:t xml:space="preserve"> effect of valence [F(1,</w:t>
      </w:r>
      <w:r>
        <w:t>76</w:t>
      </w:r>
      <w:r w:rsidRPr="00B02202">
        <w:t>) = 1.</w:t>
      </w:r>
      <w:r>
        <w:t>31</w:t>
      </w:r>
      <w:r w:rsidRPr="00B02202">
        <w:t>, p = 0.</w:t>
      </w:r>
      <w:r>
        <w:t xml:space="preserve">25, </w:t>
      </w:r>
      <w:r w:rsidRPr="0025020C">
        <w:rPr>
          <w:rFonts w:ascii="Avenir Heavy" w:hAnsi="Avenir Heavy" w:cs="Avenir Heavy"/>
        </w:rPr>
        <w:t>η</w:t>
      </w:r>
      <w:r w:rsidRPr="0025020C">
        <w:t>2p = 0.0</w:t>
      </w:r>
      <w:r>
        <w:t>1</w:t>
      </w:r>
      <w:r w:rsidRPr="0025020C">
        <w:t>7</w:t>
      </w:r>
      <w:r w:rsidRPr="00B02202">
        <w:t>]</w:t>
      </w:r>
      <w:r>
        <w:t>,</w:t>
      </w:r>
      <w:r w:rsidRPr="00B02202">
        <w:t xml:space="preserve"> indicating that </w:t>
      </w:r>
      <w:r>
        <w:t xml:space="preserve">priming effects (facilitation of target responses based on reaction time) were not dependent on the valence of the prime or target. But main between-group </w:t>
      </w:r>
      <w:r w:rsidRPr="00B02202">
        <w:t>[F(1,</w:t>
      </w:r>
      <w:r>
        <w:t>76</w:t>
      </w:r>
      <w:r w:rsidRPr="00B02202">
        <w:t>) = 1</w:t>
      </w:r>
      <w:r>
        <w:t>5.3</w:t>
      </w:r>
      <w:r w:rsidRPr="00B02202">
        <w:t xml:space="preserve">, p </w:t>
      </w:r>
      <w:r>
        <w:t>&lt;</w:t>
      </w:r>
      <w:r w:rsidRPr="00B02202">
        <w:t>0.</w:t>
      </w:r>
      <w:r>
        <w:t xml:space="preserve">001, </w:t>
      </w:r>
      <w:r w:rsidRPr="0025020C">
        <w:rPr>
          <w:rFonts w:ascii="Avenir Heavy" w:hAnsi="Avenir Heavy" w:cs="Avenir Heavy"/>
        </w:rPr>
        <w:t>η</w:t>
      </w:r>
      <w:r w:rsidRPr="0025020C">
        <w:t>2p = 0.</w:t>
      </w:r>
      <w:r>
        <w:t>1</w:t>
      </w:r>
      <w:r w:rsidRPr="0025020C">
        <w:t>07</w:t>
      </w:r>
      <w:r w:rsidRPr="00B02202">
        <w:t xml:space="preserve">] </w:t>
      </w:r>
      <w:r>
        <w:t xml:space="preserve"> and group*valence interactions </w:t>
      </w:r>
      <w:r w:rsidRPr="00B02202">
        <w:t>[F(1,</w:t>
      </w:r>
      <w:r>
        <w:t>76</w:t>
      </w:r>
      <w:r w:rsidRPr="00B02202">
        <w:t xml:space="preserve">) = </w:t>
      </w:r>
      <w:r>
        <w:t>6</w:t>
      </w:r>
      <w:r w:rsidRPr="00B02202">
        <w:t>.</w:t>
      </w:r>
      <w:r>
        <w:t>2</w:t>
      </w:r>
      <w:r w:rsidRPr="00B02202">
        <w:t>, p = 0.</w:t>
      </w:r>
      <w:r>
        <w:t>015,</w:t>
      </w:r>
      <w:r w:rsidRPr="0005330E">
        <w:rPr>
          <w:rFonts w:ascii="Avenir Heavy" w:hAnsi="Avenir Heavy" w:cs="Avenir Heavy"/>
        </w:rPr>
        <w:t xml:space="preserve"> </w:t>
      </w:r>
      <w:r w:rsidRPr="0025020C">
        <w:rPr>
          <w:rFonts w:ascii="Avenir Heavy" w:hAnsi="Avenir Heavy" w:cs="Avenir Heavy"/>
        </w:rPr>
        <w:t>η</w:t>
      </w:r>
      <w:r w:rsidRPr="0025020C">
        <w:t>2p = 0.0</w:t>
      </w:r>
      <w:r>
        <w:t>2</w:t>
      </w:r>
      <w:r w:rsidRPr="0025020C">
        <w:t>7</w:t>
      </w:r>
      <w:r w:rsidRPr="00B02202">
        <w:t xml:space="preserve">] </w:t>
      </w:r>
      <w:r>
        <w:t>were significant, indicating a difference in priming effects between groups.</w:t>
      </w:r>
    </w:p>
    <w:p w14:paraId="23EF620F" w14:textId="77777777" w:rsidR="004A137D" w:rsidRDefault="004A137D" w:rsidP="00FC747D">
      <w:r>
        <w:t>In a post-hoc analysis of the interaction effects, t</w:t>
      </w:r>
      <w:r w:rsidRPr="00CA2993">
        <w:t xml:space="preserve">he </w:t>
      </w:r>
      <w:r w:rsidRPr="00E2702F">
        <w:t xml:space="preserve">FNSD patients were </w:t>
      </w:r>
      <w:r w:rsidRPr="00CA2993">
        <w:t xml:space="preserve">associated with a </w:t>
      </w:r>
      <w:r w:rsidRPr="00E2702F">
        <w:t>lower</w:t>
      </w:r>
      <w:r w:rsidRPr="00CA2993">
        <w:t xml:space="preserve"> mean </w:t>
      </w:r>
      <w:r w:rsidRPr="00E2702F">
        <w:t xml:space="preserve">priming effect index </w:t>
      </w:r>
      <w:r>
        <w:t xml:space="preserve">than </w:t>
      </w:r>
      <w:r w:rsidRPr="00E2702F">
        <w:t>HCs</w:t>
      </w:r>
      <w:r w:rsidRPr="00CA2993">
        <w:t xml:space="preserve"> </w:t>
      </w:r>
      <w:r w:rsidRPr="00E2702F">
        <w:t>(MD=</w:t>
      </w:r>
      <w:r>
        <w:t>80.7</w:t>
      </w:r>
      <w:r w:rsidRPr="00E2702F">
        <w:t>, SE =</w:t>
      </w:r>
      <w:r>
        <w:t>20.7</w:t>
      </w:r>
      <w:r w:rsidRPr="00E2702F">
        <w:t>,</w:t>
      </w:r>
      <w:r>
        <w:t xml:space="preserve"> </w:t>
      </w:r>
      <w:proofErr w:type="spellStart"/>
      <w:r w:rsidRPr="00E2702F">
        <w:t>p</w:t>
      </w:r>
      <w:r w:rsidRPr="00E2702F">
        <w:rPr>
          <w:vertAlign w:val="subscript"/>
        </w:rPr>
        <w:t>corrected</w:t>
      </w:r>
      <w:proofErr w:type="spellEnd"/>
      <w:r>
        <w:t>&lt;0.001</w:t>
      </w:r>
      <w:r w:rsidRPr="00E2702F">
        <w:t>).</w:t>
      </w:r>
      <w:r>
        <w:t xml:space="preserve"> P</w:t>
      </w:r>
      <w:r w:rsidRPr="00E2702F">
        <w:t>atients</w:t>
      </w:r>
      <w:r>
        <w:t xml:space="preserve"> with FNSD</w:t>
      </w:r>
      <w:r w:rsidRPr="00E2702F">
        <w:t xml:space="preserve"> had lower NAP indices for negatively </w:t>
      </w:r>
      <w:r w:rsidRPr="00CA2993">
        <w:t>valen</w:t>
      </w:r>
      <w:r w:rsidRPr="00E2702F">
        <w:t>t stimuli</w:t>
      </w:r>
      <w:r>
        <w:t xml:space="preserve"> </w:t>
      </w:r>
      <w:r w:rsidRPr="00E2702F">
        <w:t>(MD=</w:t>
      </w:r>
      <w:r>
        <w:t>121.2</w:t>
      </w:r>
      <w:r w:rsidRPr="00E2702F">
        <w:t>, SE =</w:t>
      </w:r>
      <w:r>
        <w:t>25.4</w:t>
      </w:r>
      <w:r w:rsidRPr="00E2702F">
        <w:t>,</w:t>
      </w:r>
      <w:r>
        <w:t xml:space="preserve"> </w:t>
      </w:r>
      <w:proofErr w:type="spellStart"/>
      <w:r w:rsidRPr="00E2702F">
        <w:t>p</w:t>
      </w:r>
      <w:r w:rsidRPr="00E2702F">
        <w:rPr>
          <w:vertAlign w:val="subscript"/>
        </w:rPr>
        <w:t>corrected</w:t>
      </w:r>
      <w:proofErr w:type="spellEnd"/>
      <w:r>
        <w:t>&lt;0.001</w:t>
      </w:r>
      <w:r w:rsidRPr="00E2702F">
        <w:t>)</w:t>
      </w:r>
      <w:r>
        <w:t xml:space="preserve"> than HCs</w:t>
      </w:r>
      <w:r w:rsidRPr="00E2702F">
        <w:t xml:space="preserve"> but not positively valent stimuli (MD=</w:t>
      </w:r>
      <w:r>
        <w:t>40.3</w:t>
      </w:r>
      <w:r w:rsidRPr="00E2702F">
        <w:t>, SE =</w:t>
      </w:r>
      <w:r>
        <w:t>27.2</w:t>
      </w:r>
      <w:r w:rsidRPr="00E2702F">
        <w:t>,</w:t>
      </w:r>
      <w:r>
        <w:t xml:space="preserve"> </w:t>
      </w:r>
      <w:proofErr w:type="spellStart"/>
      <w:r w:rsidRPr="00E2702F">
        <w:t>p</w:t>
      </w:r>
      <w:r w:rsidRPr="00E2702F">
        <w:rPr>
          <w:vertAlign w:val="subscript"/>
        </w:rPr>
        <w:t>corrected</w:t>
      </w:r>
      <w:proofErr w:type="spellEnd"/>
      <w:r w:rsidRPr="00E2702F">
        <w:t>=</w:t>
      </w:r>
      <w:r>
        <w:t>0.287</w:t>
      </w:r>
      <w:r w:rsidRPr="00E2702F">
        <w:t>).</w:t>
      </w:r>
    </w:p>
    <w:p w14:paraId="3AA9629B" w14:textId="7E6D34A7" w:rsidR="004A137D" w:rsidRDefault="004A137D" w:rsidP="0005330E">
      <w:r w:rsidRPr="00FC747D">
        <w:lastRenderedPageBreak/>
        <w:t xml:space="preserve">Figure </w:t>
      </w:r>
      <w:r w:rsidR="00C12C63">
        <w:t>1</w:t>
      </w:r>
      <w:r w:rsidR="00EC7CE1">
        <w:t>3</w:t>
      </w:r>
      <w:r w:rsidRPr="00FC747D">
        <w:t>.</w:t>
      </w:r>
      <w:r>
        <w:t xml:space="preserve"> </w:t>
      </w:r>
      <w:r w:rsidRPr="00FC747D">
        <w:t>NAP Effect Estimated Marginal Means – Group</w:t>
      </w:r>
      <w:r w:rsidR="00C12C63">
        <w:t xml:space="preserve"> (FNSD vs HC)</w:t>
      </w:r>
      <w:r w:rsidR="00C12C63" w:rsidRPr="00FC747D">
        <w:t xml:space="preserve"> </w:t>
      </w:r>
      <w:r w:rsidRPr="00FC747D">
        <w:t xml:space="preserve"> x Valence</w:t>
      </w:r>
      <w:r w:rsidR="00C12C63">
        <w:t xml:space="preserve"> (Positive vs Negative)</w:t>
      </w:r>
    </w:p>
    <w:p w14:paraId="0F38981F" w14:textId="2FAA345E" w:rsidR="004A137D" w:rsidRDefault="001A2683" w:rsidP="00C44D1A">
      <w:pPr>
        <w:rPr>
          <w:i/>
          <w:iCs/>
        </w:rPr>
      </w:pPr>
      <w:r>
        <w:rPr>
          <w:i/>
          <w:iCs/>
          <w:noProof/>
        </w:rPr>
        <w:drawing>
          <wp:inline distT="0" distB="0" distL="0" distR="0" wp14:anchorId="1E032ED1" wp14:editId="546EE27B">
            <wp:extent cx="5669381" cy="3701143"/>
            <wp:effectExtent l="0" t="0" r="0" b="0"/>
            <wp:docPr id="1106031157" name="Picture 5" descr="A graph of a gro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31157" name="Picture 5" descr="A graph of a group&#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5693431" cy="3716844"/>
                    </a:xfrm>
                    <a:prstGeom prst="rect">
                      <a:avLst/>
                    </a:prstGeom>
                  </pic:spPr>
                </pic:pic>
              </a:graphicData>
            </a:graphic>
          </wp:inline>
        </w:drawing>
      </w:r>
    </w:p>
    <w:p w14:paraId="5F768798" w14:textId="77777777" w:rsidR="001A2683" w:rsidRDefault="001A2683" w:rsidP="00C44D1A">
      <w:pPr>
        <w:rPr>
          <w:i/>
          <w:iCs/>
        </w:rPr>
      </w:pPr>
    </w:p>
    <w:p w14:paraId="09309F81" w14:textId="4A378C5E" w:rsidR="004A137D" w:rsidRPr="006C2C48" w:rsidRDefault="004A137D" w:rsidP="00C44D1A">
      <w:pPr>
        <w:rPr>
          <w:i/>
          <w:iCs/>
          <w:sz w:val="20"/>
          <w:szCs w:val="21"/>
        </w:rPr>
      </w:pPr>
      <w:r w:rsidRPr="006C2C48">
        <w:rPr>
          <w:i/>
          <w:iCs/>
          <w:sz w:val="20"/>
          <w:szCs w:val="21"/>
        </w:rPr>
        <w:t xml:space="preserve">Figure </w:t>
      </w:r>
      <w:r w:rsidR="00C12C63">
        <w:rPr>
          <w:i/>
          <w:iCs/>
          <w:sz w:val="20"/>
          <w:szCs w:val="21"/>
        </w:rPr>
        <w:t>1</w:t>
      </w:r>
      <w:r w:rsidR="00EC7CE1">
        <w:rPr>
          <w:i/>
          <w:iCs/>
          <w:sz w:val="20"/>
          <w:szCs w:val="21"/>
        </w:rPr>
        <w:t>3</w:t>
      </w:r>
      <w:r w:rsidRPr="006C2C48">
        <w:rPr>
          <w:i/>
          <w:iCs/>
          <w:sz w:val="20"/>
          <w:szCs w:val="21"/>
        </w:rPr>
        <w:t>.</w:t>
      </w:r>
      <w:r>
        <w:rPr>
          <w:i/>
          <w:iCs/>
          <w:sz w:val="20"/>
          <w:szCs w:val="21"/>
        </w:rPr>
        <w:t xml:space="preserve"> </w:t>
      </w:r>
      <w:r w:rsidRPr="006C2C48">
        <w:rPr>
          <w:i/>
          <w:iCs/>
          <w:sz w:val="20"/>
          <w:szCs w:val="21"/>
        </w:rPr>
        <w:t xml:space="preserve">Marginal means (CI) of NAP difference indices computed as </w:t>
      </w:r>
      <w:r w:rsidRPr="00FC747D">
        <w:rPr>
          <w:i/>
          <w:iCs/>
          <w:sz w:val="20"/>
          <w:szCs w:val="21"/>
        </w:rPr>
        <w:t>RT experimental trial – RT control trial</w:t>
      </w:r>
      <w:r w:rsidRPr="006C2C48">
        <w:rPr>
          <w:i/>
          <w:iCs/>
          <w:sz w:val="20"/>
          <w:szCs w:val="21"/>
        </w:rPr>
        <w:t xml:space="preserve"> for probe trials of both valences and group. </w:t>
      </w:r>
      <w:r>
        <w:rPr>
          <w:i/>
          <w:iCs/>
          <w:sz w:val="20"/>
          <w:szCs w:val="21"/>
        </w:rPr>
        <w:t xml:space="preserve">Group 0 – HC, 1 - FNSD. </w:t>
      </w:r>
      <w:r w:rsidRPr="006C2C48">
        <w:rPr>
          <w:i/>
          <w:iCs/>
          <w:sz w:val="20"/>
          <w:szCs w:val="21"/>
        </w:rPr>
        <w:t>Significant mean diff found only between HC and FNSD for negative trials.</w:t>
      </w:r>
      <w:r>
        <w:rPr>
          <w:i/>
          <w:iCs/>
          <w:sz w:val="20"/>
          <w:szCs w:val="21"/>
        </w:rPr>
        <w:t xml:space="preserve"> </w:t>
      </w:r>
      <w:r w:rsidRPr="006C2C48">
        <w:rPr>
          <w:i/>
          <w:iCs/>
          <w:sz w:val="20"/>
          <w:szCs w:val="21"/>
        </w:rPr>
        <w:t>No other significant differences between relevant data points.</w:t>
      </w:r>
      <w:r>
        <w:rPr>
          <w:i/>
          <w:iCs/>
          <w:sz w:val="20"/>
          <w:szCs w:val="21"/>
        </w:rPr>
        <w:t xml:space="preserve"> </w:t>
      </w:r>
      <w:r w:rsidRPr="006C2C48">
        <w:rPr>
          <w:i/>
          <w:iCs/>
          <w:sz w:val="20"/>
          <w:szCs w:val="21"/>
        </w:rPr>
        <w:t>For HC: Positive stimuli (mean 71.6, SE =18.0, 95% CI 35.8- 107.4) and negative stimuli (mean 93.4, SE =16.8, 95% CI 60.03- 126.8).</w:t>
      </w:r>
      <w:r>
        <w:rPr>
          <w:i/>
          <w:iCs/>
          <w:sz w:val="20"/>
          <w:szCs w:val="21"/>
        </w:rPr>
        <w:t xml:space="preserve"> </w:t>
      </w:r>
      <w:r w:rsidRPr="006C2C48">
        <w:rPr>
          <w:i/>
          <w:iCs/>
          <w:sz w:val="20"/>
          <w:szCs w:val="21"/>
        </w:rPr>
        <w:t>For FNSD: Positive stimuli (mean 31.3, SE =16.8, 95% CI -9.42- 72.1) and negative stimuli (mean -27.8, SE =19.1, 95% CI -65.8- 10.2).</w:t>
      </w:r>
    </w:p>
    <w:p w14:paraId="720436BA" w14:textId="77777777" w:rsidR="004A137D" w:rsidRPr="007C2B10" w:rsidRDefault="004A137D" w:rsidP="00CA2993">
      <w:pPr>
        <w:rPr>
          <w:i/>
          <w:iCs/>
        </w:rPr>
      </w:pPr>
      <w:r w:rsidRPr="007C2B10">
        <w:rPr>
          <w:i/>
          <w:iCs/>
        </w:rPr>
        <w:t>Interference effects</w:t>
      </w:r>
    </w:p>
    <w:p w14:paraId="26B46F3D" w14:textId="77777777" w:rsidR="004A137D" w:rsidRDefault="004A137D" w:rsidP="00CA2993">
      <w:r w:rsidRPr="00B02202">
        <w:t>The analysis of the</w:t>
      </w:r>
      <w:r>
        <w:t xml:space="preserve"> probe</w:t>
      </w:r>
      <w:r w:rsidRPr="00B02202">
        <w:t xml:space="preserve"> trial interference index showed a significant main effect of valence  [F(1,</w:t>
      </w:r>
      <w:r>
        <w:t>76</w:t>
      </w:r>
      <w:r w:rsidRPr="00B02202">
        <w:t xml:space="preserve">) = </w:t>
      </w:r>
      <w:r>
        <w:t>10</w:t>
      </w:r>
      <w:r w:rsidRPr="00B02202">
        <w:t>.</w:t>
      </w:r>
      <w:r>
        <w:t>08</w:t>
      </w:r>
      <w:r w:rsidRPr="00B02202">
        <w:t>, p = 0.00</w:t>
      </w:r>
      <w:r>
        <w:t xml:space="preserve">2, </w:t>
      </w:r>
      <w:r w:rsidRPr="00CA2993">
        <w:rPr>
          <w:rFonts w:ascii="Avenir Heavy" w:hAnsi="Avenir Heavy" w:cs="Avenir Heavy"/>
        </w:rPr>
        <w:t>η</w:t>
      </w:r>
      <w:r w:rsidRPr="0025020C">
        <w:t>2p = 0.</w:t>
      </w:r>
      <w:r>
        <w:t>117</w:t>
      </w:r>
      <w:r w:rsidRPr="00B02202">
        <w:t>]</w:t>
      </w:r>
      <w:r>
        <w:t>,</w:t>
      </w:r>
      <w:r w:rsidRPr="00B02202">
        <w:t xml:space="preserve"> revealing a </w:t>
      </w:r>
      <w:r>
        <w:t xml:space="preserve">difference in the interference and, therefore, inhibition effort needed between negative and positive target trials. There was a significant effect of the group </w:t>
      </w:r>
      <w:r w:rsidRPr="00E70E61">
        <w:t xml:space="preserve">[F(1,76) = 3.5, p = 0.037, </w:t>
      </w:r>
      <w:r w:rsidRPr="00E70E61">
        <w:rPr>
          <w:rFonts w:ascii="Avenir Heavy" w:hAnsi="Avenir Heavy" w:cs="Avenir Heavy"/>
        </w:rPr>
        <w:t>η</w:t>
      </w:r>
      <w:r w:rsidRPr="00E70E61">
        <w:t>2p = 0.084]</w:t>
      </w:r>
      <w:r>
        <w:t xml:space="preserve"> but a non-significant valence*group effect.</w:t>
      </w:r>
    </w:p>
    <w:p w14:paraId="1DC71C6B" w14:textId="4A297DAD" w:rsidR="004A137D" w:rsidRDefault="004A137D" w:rsidP="006B1C49">
      <w:r>
        <w:t xml:space="preserve">A </w:t>
      </w:r>
      <w:r w:rsidRPr="00CA2993">
        <w:t xml:space="preserve">significant difference </w:t>
      </w:r>
      <w:r>
        <w:t xml:space="preserve">was found </w:t>
      </w:r>
      <w:r w:rsidRPr="00CA2993">
        <w:t xml:space="preserve">between interference effects with positive and </w:t>
      </w:r>
      <w:r>
        <w:t>negative</w:t>
      </w:r>
      <w:r w:rsidRPr="00CA2993">
        <w:t xml:space="preserve"> valent stimuli (0.07, </w:t>
      </w:r>
      <w:proofErr w:type="spellStart"/>
      <w:r w:rsidRPr="00CA2993">
        <w:t>p</w:t>
      </w:r>
      <w:r>
        <w:rPr>
          <w:vertAlign w:val="subscript"/>
        </w:rPr>
        <w:t>corrected</w:t>
      </w:r>
      <w:proofErr w:type="spellEnd"/>
      <w:r w:rsidRPr="00CA2993">
        <w:t xml:space="preserve"> = 0.002).</w:t>
      </w:r>
      <w:r>
        <w:t xml:space="preserve"> </w:t>
      </w:r>
      <w:r w:rsidRPr="00CA2993">
        <w:t>Specifically, the positive target interference was associated with a higher mean score compared to the negative target interference (MD 0.074, SE = 0.02)</w:t>
      </w:r>
      <w:r>
        <w:t xml:space="preserve"> in both FNSDs and healthy controls, indicating greater inhibition of the </w:t>
      </w:r>
      <w:r w:rsidR="001A2683">
        <w:t xml:space="preserve">positive </w:t>
      </w:r>
      <w:r>
        <w:t xml:space="preserve">distractor in the prime trial was required to respond </w:t>
      </w:r>
      <w:r>
        <w:lastRenderedPageBreak/>
        <w:t>correctly to the positive target in the probe trial</w:t>
      </w:r>
      <w:r w:rsidRPr="00CA2993">
        <w:t>.</w:t>
      </w:r>
      <w:r>
        <w:t xml:space="preserve"> </w:t>
      </w:r>
      <w:r w:rsidRPr="00CA2993">
        <w:t>Furthermore</w:t>
      </w:r>
      <w:r>
        <w:t>,</w:t>
      </w:r>
      <w:r w:rsidRPr="00CA2993">
        <w:t xml:space="preserve"> the interference indices for negative stimuli was also significantly lower in the FNSD patient group than in healthy controls</w:t>
      </w:r>
      <w:r>
        <w:t xml:space="preserve">; this did not reach significance </w:t>
      </w:r>
      <w:r w:rsidRPr="00CA2993">
        <w:t>for positive stimuli</w:t>
      </w:r>
      <w:r>
        <w:t>.</w:t>
      </w:r>
    </w:p>
    <w:p w14:paraId="0172C1F8" w14:textId="654DC876" w:rsidR="004A137D" w:rsidRPr="00E70E61" w:rsidRDefault="004A137D" w:rsidP="00E70E61">
      <w:r w:rsidRPr="00C44D1A">
        <w:t xml:space="preserve">Figure </w:t>
      </w:r>
      <w:r w:rsidR="00C12C63">
        <w:t>1</w:t>
      </w:r>
      <w:r w:rsidR="00EC7CE1">
        <w:t>4</w:t>
      </w:r>
      <w:r w:rsidRPr="00C44D1A">
        <w:t>.</w:t>
      </w:r>
      <w:r>
        <w:t xml:space="preserve"> </w:t>
      </w:r>
      <w:r w:rsidRPr="00C44D1A">
        <w:t xml:space="preserve">Interference Effect </w:t>
      </w:r>
      <w:r w:rsidRPr="0005330E">
        <w:t>Estimated Marginal Means</w:t>
      </w:r>
      <w:r>
        <w:t xml:space="preserve"> – Valence x Group </w:t>
      </w:r>
    </w:p>
    <w:p w14:paraId="2A87F0FB" w14:textId="77777777" w:rsidR="004A137D" w:rsidRPr="0005330E" w:rsidRDefault="004A137D" w:rsidP="0005330E">
      <w:pPr>
        <w:rPr>
          <w:rFonts w:ascii="Segoe UI" w:hAnsi="Segoe UI" w:cs="Segoe UI"/>
          <w:color w:val="333333"/>
          <w:sz w:val="18"/>
          <w:szCs w:val="18"/>
        </w:rPr>
      </w:pPr>
      <w:r>
        <w:rPr>
          <w:rFonts w:ascii="Segoe UI" w:hAnsi="Segoe UI" w:cs="Segoe UI"/>
          <w:noProof/>
          <w:color w:val="333333"/>
          <w:sz w:val="18"/>
          <w:szCs w:val="18"/>
          <w14:ligatures w14:val="standardContextual"/>
        </w:rPr>
        <w:drawing>
          <wp:inline distT="0" distB="0" distL="0" distR="0" wp14:anchorId="2BA3C67C" wp14:editId="702A10E6">
            <wp:extent cx="5823857" cy="3539510"/>
            <wp:effectExtent l="0" t="0" r="5715" b="3810"/>
            <wp:docPr id="1120444623" name="Picture 3" descr="A diagram of positive and negativ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44623" name="Picture 3" descr="A diagram of positive and negative&#10;&#10;Description automatically generated with low confidence"/>
                    <pic:cNvPicPr/>
                  </pic:nvPicPr>
                  <pic:blipFill>
                    <a:blip r:embed="rId59">
                      <a:extLst>
                        <a:ext uri="{28A0092B-C50C-407E-A947-70E740481C1C}">
                          <a14:useLocalDpi xmlns:a14="http://schemas.microsoft.com/office/drawing/2010/main" val="0"/>
                        </a:ext>
                      </a:extLst>
                    </a:blip>
                    <a:stretch>
                      <a:fillRect/>
                    </a:stretch>
                  </pic:blipFill>
                  <pic:spPr>
                    <a:xfrm>
                      <a:off x="0" y="0"/>
                      <a:ext cx="5857886" cy="3560191"/>
                    </a:xfrm>
                    <a:prstGeom prst="rect">
                      <a:avLst/>
                    </a:prstGeom>
                  </pic:spPr>
                </pic:pic>
              </a:graphicData>
            </a:graphic>
          </wp:inline>
        </w:drawing>
      </w:r>
    </w:p>
    <w:p w14:paraId="00F98784" w14:textId="34C74558" w:rsidR="004A137D" w:rsidRPr="007C2B10" w:rsidRDefault="004A137D" w:rsidP="007C2B10">
      <w:pPr>
        <w:rPr>
          <w:rFonts w:cs="Segoe UI"/>
          <w:i/>
          <w:iCs/>
          <w:color w:val="333333"/>
          <w:sz w:val="15"/>
          <w:szCs w:val="15"/>
        </w:rPr>
      </w:pPr>
      <w:r w:rsidRPr="007C2B10">
        <w:rPr>
          <w:i/>
          <w:iCs/>
          <w:sz w:val="21"/>
          <w:szCs w:val="21"/>
        </w:rPr>
        <w:t xml:space="preserve">Figure </w:t>
      </w:r>
      <w:r w:rsidR="00C12C63" w:rsidRPr="007C2B10">
        <w:rPr>
          <w:i/>
          <w:iCs/>
          <w:sz w:val="21"/>
          <w:szCs w:val="21"/>
        </w:rPr>
        <w:t>1</w:t>
      </w:r>
      <w:r w:rsidR="00EC7CE1">
        <w:rPr>
          <w:i/>
          <w:iCs/>
          <w:sz w:val="21"/>
          <w:szCs w:val="21"/>
        </w:rPr>
        <w:t>4</w:t>
      </w:r>
      <w:r w:rsidRPr="007C2B10">
        <w:rPr>
          <w:i/>
          <w:iCs/>
          <w:sz w:val="21"/>
          <w:szCs w:val="21"/>
        </w:rPr>
        <w:t>. Experimental and CT indices computed by the ratio [(RT probe negative target – RT prime negative target)/RT prime negative target] for affective prime distractors of both control and experimental conditions. Significant mean difference found between HC and FNSD for negative trials and between FNSD positive and negative trials. No other significant differences between relevant data points. The statistics imputed for the marginal means plot: For HC - Positive stimuli (mean 0.118, SE =0.022, 95% CI 0.075- 0.161) and negative stimuli (mean 0.069, SE =0.020, 95% CI 0.029- 0.109). For FNSD - Positive stimuli (mean 0.084 SE =0.025, 95% CI 0.036- 0.133) and negative stimuli (mean -0.015, SE =0.023, 95% CI -0.061- 0.031).</w:t>
      </w:r>
    </w:p>
    <w:p w14:paraId="207E52B0" w14:textId="77777777" w:rsidR="004A137D" w:rsidRDefault="004A137D" w:rsidP="00CB534B">
      <w:pPr>
        <w:pStyle w:val="Heading3"/>
      </w:pPr>
      <w:bookmarkStart w:id="177" w:name="_Toc137504789"/>
      <w:r>
        <w:t>3.6 Exploratory Analysis - Correlations</w:t>
      </w:r>
      <w:bookmarkEnd w:id="177"/>
    </w:p>
    <w:p w14:paraId="2936DCD1" w14:textId="28522318" w:rsidR="004A137D" w:rsidRPr="00D00710" w:rsidRDefault="004A137D" w:rsidP="007C2B10">
      <w:r w:rsidRPr="00936FDB">
        <w:t>Among FNSD patients, the log-transformed k’s</w:t>
      </w:r>
      <w:r>
        <w:t xml:space="preserve"> </w:t>
      </w:r>
      <w:r w:rsidRPr="00936FDB">
        <w:t>(DD estimate), overall and across all LDR sizes</w:t>
      </w:r>
      <w:r>
        <w:t>,</w:t>
      </w:r>
      <w:r w:rsidRPr="00936FDB">
        <w:t xml:space="preserve"> </w:t>
      </w:r>
      <w:r>
        <w:t xml:space="preserve">positively correlated with GAD-7 scores (r’s= 0.26–0.3; </w:t>
      </w:r>
      <w:r w:rsidRPr="00936FDB">
        <w:t>p’s&lt;0.05)</w:t>
      </w:r>
      <w:r>
        <w:t xml:space="preserve">. Only small </w:t>
      </w:r>
      <w:r w:rsidRPr="00D00710">
        <w:t>reward k values significantly correlated with when patients were feeling anxious (r=0.28, p</w:t>
      </w:r>
      <w:r w:rsidR="00B4315D" w:rsidRPr="00D00710">
        <w:t>&lt;0.05)</w:t>
      </w:r>
      <w:r w:rsidRPr="00D00710">
        <w:t xml:space="preserve"> or irritable (r=0.29, p</w:t>
      </w:r>
      <w:r w:rsidR="00B4315D" w:rsidRPr="00D00710">
        <w:t>&lt;0.05</w:t>
      </w:r>
      <w:r w:rsidRPr="00D00710">
        <w:t xml:space="preserve">)  at the time of completing the task. Overall k and k values for small and medium rewards were also negatively </w:t>
      </w:r>
      <w:r>
        <w:t xml:space="preserve">correlated with self-rated socioeconomic status (r’s= -0.35–-0.26; </w:t>
      </w:r>
      <w:r w:rsidRPr="00936FDB">
        <w:t>p’s&lt;0.05)</w:t>
      </w:r>
      <w:r>
        <w:t xml:space="preserve">. </w:t>
      </w:r>
      <w:r w:rsidRPr="00936FDB">
        <w:t xml:space="preserve">The DD estimates did not </w:t>
      </w:r>
      <w:r>
        <w:t xml:space="preserve">significantly </w:t>
      </w:r>
      <w:r w:rsidRPr="00936FDB">
        <w:t xml:space="preserve">relate to other included measures (age, </w:t>
      </w:r>
      <w:r w:rsidRPr="00D00710">
        <w:t>socioeconomic status, the number of medications, PHQ-9, PHQ-15, DERS, or EQ-5D-3L (p’s&gt;0.25).</w:t>
      </w:r>
      <w:r w:rsidR="001A2683" w:rsidRPr="00D00710">
        <w:t xml:space="preserve"> These </w:t>
      </w:r>
      <w:r w:rsidR="001A2683" w:rsidRPr="00D00710">
        <w:lastRenderedPageBreak/>
        <w:t xml:space="preserve">findings differed in HC participants where overall and the small, medium and large values of k significantly correlated with current feelings of anger and irritability. </w:t>
      </w:r>
      <w:r w:rsidRPr="00D00710">
        <w:t xml:space="preserve"> There were no significant correlations between the priming and interference indices and any of the self-report questionnaires, or current mood in our patient group. </w:t>
      </w:r>
    </w:p>
    <w:p w14:paraId="38C1FE37" w14:textId="235E8504" w:rsidR="004A137D" w:rsidRPr="00D00710" w:rsidRDefault="004A137D" w:rsidP="007C2B10">
      <w:r w:rsidRPr="00D00710">
        <w:t>In healthy controls, the interference index for angry stimuli correlated with</w:t>
      </w:r>
      <w:r w:rsidR="00B4315D" w:rsidRPr="00D00710">
        <w:t xml:space="preserve"> the </w:t>
      </w:r>
      <w:r w:rsidRPr="00D00710">
        <w:t xml:space="preserve">DERS total score (r=0.41, p&lt;0.001) and GAD-7 scores were significantly correlated with the interference index for both angry (r=0.41, p&lt;0.001) and happy stimuli (r= 0.26, p =0.04). See the full correlation matrices for HC and FNSD participants in Appendix </w:t>
      </w:r>
      <w:r w:rsidR="00634FE3" w:rsidRPr="00D00710">
        <w:t>F</w:t>
      </w:r>
      <w:r w:rsidRPr="00D00710">
        <w:t>.</w:t>
      </w:r>
    </w:p>
    <w:p w14:paraId="054257FB" w14:textId="77777777" w:rsidR="004A137D" w:rsidRPr="00D00710" w:rsidRDefault="004A137D" w:rsidP="007C2B10">
      <w:r w:rsidRPr="00D00710">
        <w:t>In the FNSD group, after adjusting for gender, SES rating, and previous psychological treatment, overall, small, medium and large k’s did not remain associated to GAD-7 scores, gender or self-rated socioeconomic status. The overall model test for each outcome variable was significant (p&lt;0.05), and R</w:t>
      </w:r>
      <w:r w:rsidRPr="00D00710">
        <w:rPr>
          <w:vertAlign w:val="superscript"/>
        </w:rPr>
        <w:t xml:space="preserve">2 </w:t>
      </w:r>
      <w:r w:rsidRPr="00D00710">
        <w:t xml:space="preserve">values varied between 0.27 - 0.35. Residual analysis suggested that the assumptions of the linear regressions were adequately met. </w:t>
      </w:r>
    </w:p>
    <w:p w14:paraId="5D35DD0C" w14:textId="79853809" w:rsidR="004A137D" w:rsidRPr="00D00710" w:rsidRDefault="00C12C63" w:rsidP="007C2B10">
      <w:r w:rsidRPr="00D00710">
        <w:t>Table 25</w:t>
      </w:r>
      <w:r w:rsidR="00007A95" w:rsidRPr="00D00710">
        <w:t xml:space="preserve"> </w:t>
      </w:r>
      <w:r w:rsidR="004A137D" w:rsidRPr="00D00710">
        <w:t xml:space="preserve">shows coefficients for GAD-7, sex, current feelings of anxiety, SES ladder and previous psychological treatment for delay discounting estimates at different reward magnitudes and overall. </w:t>
      </w:r>
    </w:p>
    <w:p w14:paraId="766DFD48" w14:textId="77777777" w:rsidR="004A137D" w:rsidRPr="00D00710" w:rsidRDefault="004A137D" w:rsidP="007C2B10"/>
    <w:p w14:paraId="749AB0E2" w14:textId="77777777" w:rsidR="004A137D" w:rsidRDefault="004A137D" w:rsidP="007C2B10">
      <w:r>
        <w:br w:type="page"/>
      </w:r>
    </w:p>
    <w:p w14:paraId="004C6589" w14:textId="1A364035" w:rsidR="004A137D" w:rsidRPr="006B1C49" w:rsidRDefault="004A137D" w:rsidP="0099161D">
      <w:r w:rsidRPr="00DD0B62">
        <w:lastRenderedPageBreak/>
        <w:t xml:space="preserve">Table </w:t>
      </w:r>
      <w:r w:rsidR="00C12C63">
        <w:t>25</w:t>
      </w:r>
      <w:r w:rsidRPr="00DD0B62">
        <w:t>.</w:t>
      </w:r>
      <w:r>
        <w:t xml:space="preserve"> </w:t>
      </w:r>
      <w:r w:rsidRPr="00DD0B62">
        <w:t>Multiple Regression Analysis of Delay discounting estimates (k) in the FNSD population</w:t>
      </w:r>
      <w:r w:rsidR="00C12C63">
        <w:t xml:space="preserve"> (n=59)</w:t>
      </w:r>
      <w:r>
        <w:t>.</w:t>
      </w:r>
    </w:p>
    <w:tbl>
      <w:tblPr>
        <w:tblStyle w:val="TableGrid"/>
        <w:tblW w:w="8217" w:type="dxa"/>
        <w:jc w:val="center"/>
        <w:tblLook w:val="04A0" w:firstRow="1" w:lastRow="0" w:firstColumn="1" w:lastColumn="0" w:noHBand="0" w:noVBand="1"/>
      </w:tblPr>
      <w:tblGrid>
        <w:gridCol w:w="1132"/>
        <w:gridCol w:w="2482"/>
        <w:gridCol w:w="836"/>
        <w:gridCol w:w="785"/>
        <w:gridCol w:w="999"/>
        <w:gridCol w:w="988"/>
        <w:gridCol w:w="995"/>
      </w:tblGrid>
      <w:tr w:rsidR="004A137D" w:rsidRPr="00A2449A" w14:paraId="24BDB558" w14:textId="77777777" w:rsidTr="00AF2A65">
        <w:trPr>
          <w:jc w:val="center"/>
        </w:trPr>
        <w:tc>
          <w:tcPr>
            <w:tcW w:w="1132" w:type="dxa"/>
            <w:vAlign w:val="center"/>
          </w:tcPr>
          <w:p w14:paraId="0DDFF970" w14:textId="77777777" w:rsidR="004A137D" w:rsidRPr="00A2449A" w:rsidRDefault="004A137D" w:rsidP="004A137D">
            <w:pPr>
              <w:spacing w:line="240" w:lineRule="auto"/>
              <w:jc w:val="center"/>
              <w:rPr>
                <w:rFonts w:ascii="Avenir Heavy" w:hAnsi="Avenir Heavy"/>
                <w:sz w:val="16"/>
                <w:szCs w:val="18"/>
              </w:rPr>
            </w:pPr>
            <w:r w:rsidRPr="00A2449A">
              <w:rPr>
                <w:rFonts w:ascii="Avenir Heavy" w:hAnsi="Avenir Heavy"/>
                <w:sz w:val="16"/>
                <w:szCs w:val="18"/>
              </w:rPr>
              <w:t>Outcome</w:t>
            </w:r>
          </w:p>
        </w:tc>
        <w:tc>
          <w:tcPr>
            <w:tcW w:w="2482" w:type="dxa"/>
            <w:vAlign w:val="center"/>
          </w:tcPr>
          <w:p w14:paraId="6470E7CC" w14:textId="77777777" w:rsidR="004A137D" w:rsidRPr="00A2449A" w:rsidRDefault="004A137D" w:rsidP="004A137D">
            <w:pPr>
              <w:spacing w:line="240" w:lineRule="auto"/>
              <w:jc w:val="center"/>
              <w:rPr>
                <w:rFonts w:ascii="Avenir Heavy" w:hAnsi="Avenir Heavy"/>
                <w:b/>
                <w:bCs/>
                <w:sz w:val="16"/>
                <w:szCs w:val="18"/>
              </w:rPr>
            </w:pPr>
            <w:r w:rsidRPr="00A2449A">
              <w:rPr>
                <w:rFonts w:ascii="Avenir Heavy" w:hAnsi="Avenir Heavy"/>
                <w:b/>
                <w:bCs/>
                <w:sz w:val="16"/>
                <w:szCs w:val="18"/>
              </w:rPr>
              <w:t>Predictor</w:t>
            </w:r>
          </w:p>
        </w:tc>
        <w:tc>
          <w:tcPr>
            <w:tcW w:w="836" w:type="dxa"/>
            <w:vAlign w:val="center"/>
          </w:tcPr>
          <w:p w14:paraId="5A796876" w14:textId="77777777" w:rsidR="004A137D" w:rsidRPr="00A2449A" w:rsidRDefault="004A137D" w:rsidP="004A137D">
            <w:pPr>
              <w:spacing w:line="240" w:lineRule="auto"/>
              <w:jc w:val="center"/>
              <w:rPr>
                <w:rFonts w:ascii="Avenir Heavy" w:hAnsi="Avenir Heavy"/>
                <w:b/>
                <w:bCs/>
                <w:sz w:val="16"/>
                <w:szCs w:val="18"/>
              </w:rPr>
            </w:pPr>
            <w:r w:rsidRPr="00A2449A">
              <w:rPr>
                <w:rFonts w:ascii="Avenir Heavy" w:hAnsi="Avenir Heavy"/>
                <w:b/>
                <w:bCs/>
                <w:sz w:val="16"/>
                <w:szCs w:val="18"/>
              </w:rPr>
              <w:t>B</w:t>
            </w:r>
            <w:r>
              <w:rPr>
                <w:rFonts w:ascii="Avenir Heavy" w:hAnsi="Avenir Heavy"/>
                <w:b/>
                <w:bCs/>
                <w:sz w:val="16"/>
                <w:szCs w:val="18"/>
              </w:rPr>
              <w:t>eta</w:t>
            </w:r>
          </w:p>
        </w:tc>
        <w:tc>
          <w:tcPr>
            <w:tcW w:w="785" w:type="dxa"/>
            <w:vAlign w:val="center"/>
          </w:tcPr>
          <w:p w14:paraId="7EA963BC" w14:textId="77777777" w:rsidR="004A137D" w:rsidRPr="00A2449A" w:rsidRDefault="004A137D" w:rsidP="004A137D">
            <w:pPr>
              <w:spacing w:line="240" w:lineRule="auto"/>
              <w:jc w:val="center"/>
              <w:rPr>
                <w:rFonts w:ascii="Avenir Heavy" w:hAnsi="Avenir Heavy"/>
                <w:b/>
                <w:bCs/>
                <w:sz w:val="16"/>
                <w:szCs w:val="18"/>
              </w:rPr>
            </w:pPr>
            <w:r w:rsidRPr="00A2449A">
              <w:rPr>
                <w:rFonts w:ascii="Avenir Heavy" w:hAnsi="Avenir Heavy"/>
                <w:b/>
                <w:bCs/>
                <w:sz w:val="16"/>
                <w:szCs w:val="18"/>
              </w:rPr>
              <w:t>SE</w:t>
            </w:r>
          </w:p>
        </w:tc>
        <w:tc>
          <w:tcPr>
            <w:tcW w:w="999" w:type="dxa"/>
            <w:vAlign w:val="center"/>
          </w:tcPr>
          <w:p w14:paraId="43642094" w14:textId="77777777" w:rsidR="004A137D" w:rsidRPr="00A2449A" w:rsidRDefault="004A137D" w:rsidP="004A137D">
            <w:pPr>
              <w:spacing w:line="240" w:lineRule="auto"/>
              <w:jc w:val="center"/>
              <w:rPr>
                <w:rFonts w:ascii="Avenir Heavy" w:hAnsi="Avenir Heavy"/>
                <w:b/>
                <w:bCs/>
                <w:sz w:val="16"/>
                <w:szCs w:val="18"/>
              </w:rPr>
            </w:pPr>
            <w:r w:rsidRPr="00A2449A">
              <w:rPr>
                <w:rFonts w:ascii="Avenir Heavy" w:hAnsi="Avenir Heavy"/>
                <w:b/>
                <w:bCs/>
                <w:sz w:val="16"/>
                <w:szCs w:val="18"/>
              </w:rPr>
              <w:t>p-value</w:t>
            </w:r>
          </w:p>
        </w:tc>
        <w:tc>
          <w:tcPr>
            <w:tcW w:w="988" w:type="dxa"/>
            <w:vAlign w:val="center"/>
          </w:tcPr>
          <w:p w14:paraId="73429C36" w14:textId="77777777" w:rsidR="004A137D" w:rsidRPr="00A2449A" w:rsidRDefault="004A137D" w:rsidP="004A137D">
            <w:pPr>
              <w:spacing w:line="240" w:lineRule="auto"/>
              <w:jc w:val="center"/>
              <w:rPr>
                <w:rFonts w:ascii="Avenir Heavy" w:hAnsi="Avenir Heavy"/>
                <w:b/>
                <w:bCs/>
                <w:sz w:val="16"/>
                <w:szCs w:val="18"/>
              </w:rPr>
            </w:pPr>
            <w:r w:rsidRPr="00A2449A">
              <w:rPr>
                <w:rFonts w:ascii="Avenir Heavy" w:hAnsi="Avenir Heavy"/>
                <w:b/>
                <w:bCs/>
                <w:sz w:val="16"/>
                <w:szCs w:val="18"/>
              </w:rPr>
              <w:t>95% Low CI</w:t>
            </w:r>
          </w:p>
        </w:tc>
        <w:tc>
          <w:tcPr>
            <w:tcW w:w="995" w:type="dxa"/>
            <w:vAlign w:val="center"/>
          </w:tcPr>
          <w:p w14:paraId="5D6FCAA3" w14:textId="77777777" w:rsidR="004A137D" w:rsidRPr="00A2449A" w:rsidRDefault="004A137D" w:rsidP="004A137D">
            <w:pPr>
              <w:spacing w:line="240" w:lineRule="auto"/>
              <w:jc w:val="center"/>
              <w:rPr>
                <w:rFonts w:ascii="Avenir Heavy" w:hAnsi="Avenir Heavy"/>
                <w:b/>
                <w:bCs/>
                <w:sz w:val="16"/>
                <w:szCs w:val="18"/>
              </w:rPr>
            </w:pPr>
            <w:r w:rsidRPr="00A2449A">
              <w:rPr>
                <w:rFonts w:ascii="Avenir Heavy" w:hAnsi="Avenir Heavy"/>
                <w:b/>
                <w:bCs/>
                <w:sz w:val="16"/>
                <w:szCs w:val="18"/>
              </w:rPr>
              <w:t>95% Upper CI</w:t>
            </w:r>
          </w:p>
        </w:tc>
      </w:tr>
      <w:tr w:rsidR="004A137D" w:rsidRPr="00A2449A" w14:paraId="23572B76" w14:textId="77777777" w:rsidTr="00AF2A65">
        <w:trPr>
          <w:jc w:val="center"/>
        </w:trPr>
        <w:tc>
          <w:tcPr>
            <w:tcW w:w="1132" w:type="dxa"/>
            <w:vMerge w:val="restart"/>
            <w:vAlign w:val="center"/>
          </w:tcPr>
          <w:p w14:paraId="1CE2BA8D" w14:textId="77777777" w:rsidR="004A137D" w:rsidRPr="00A2449A" w:rsidRDefault="004A137D" w:rsidP="004A137D">
            <w:pPr>
              <w:spacing w:line="240" w:lineRule="auto"/>
              <w:jc w:val="center"/>
              <w:rPr>
                <w:rFonts w:ascii="Avenir Heavy" w:hAnsi="Avenir Heavy"/>
                <w:sz w:val="16"/>
                <w:szCs w:val="18"/>
              </w:rPr>
            </w:pPr>
            <w:r w:rsidRPr="00A2449A">
              <w:rPr>
                <w:rFonts w:ascii="Avenir Heavy" w:hAnsi="Avenir Heavy"/>
                <w:sz w:val="16"/>
                <w:szCs w:val="18"/>
              </w:rPr>
              <w:t>Overall k</w:t>
            </w:r>
          </w:p>
        </w:tc>
        <w:tc>
          <w:tcPr>
            <w:tcW w:w="2482" w:type="dxa"/>
            <w:vAlign w:val="center"/>
          </w:tcPr>
          <w:p w14:paraId="411B74EF" w14:textId="77777777" w:rsidR="004A137D" w:rsidRPr="00A2449A" w:rsidRDefault="004A137D" w:rsidP="004A137D">
            <w:pPr>
              <w:spacing w:line="240" w:lineRule="auto"/>
              <w:jc w:val="center"/>
              <w:rPr>
                <w:sz w:val="16"/>
                <w:szCs w:val="18"/>
              </w:rPr>
            </w:pPr>
            <w:r>
              <w:rPr>
                <w:sz w:val="16"/>
                <w:szCs w:val="18"/>
              </w:rPr>
              <w:t>Intercept</w:t>
            </w:r>
          </w:p>
        </w:tc>
        <w:tc>
          <w:tcPr>
            <w:tcW w:w="836" w:type="dxa"/>
            <w:vAlign w:val="center"/>
          </w:tcPr>
          <w:p w14:paraId="5561DA20" w14:textId="77777777" w:rsidR="004A137D" w:rsidRPr="00A2449A" w:rsidRDefault="004A137D" w:rsidP="004A137D">
            <w:pPr>
              <w:spacing w:line="240" w:lineRule="auto"/>
              <w:jc w:val="center"/>
              <w:rPr>
                <w:sz w:val="16"/>
                <w:szCs w:val="18"/>
              </w:rPr>
            </w:pPr>
          </w:p>
        </w:tc>
        <w:tc>
          <w:tcPr>
            <w:tcW w:w="785" w:type="dxa"/>
            <w:vAlign w:val="center"/>
          </w:tcPr>
          <w:p w14:paraId="25F9EDA5" w14:textId="77777777" w:rsidR="004A137D" w:rsidRPr="00A2449A" w:rsidRDefault="004A137D" w:rsidP="004A137D">
            <w:pPr>
              <w:spacing w:line="240" w:lineRule="auto"/>
              <w:jc w:val="center"/>
              <w:rPr>
                <w:sz w:val="16"/>
                <w:szCs w:val="18"/>
              </w:rPr>
            </w:pPr>
            <w:r w:rsidRPr="009B0A6C">
              <w:rPr>
                <w:sz w:val="16"/>
                <w:szCs w:val="18"/>
              </w:rPr>
              <w:t>0.05</w:t>
            </w:r>
          </w:p>
        </w:tc>
        <w:tc>
          <w:tcPr>
            <w:tcW w:w="999" w:type="dxa"/>
            <w:vAlign w:val="center"/>
          </w:tcPr>
          <w:p w14:paraId="001E9BA0" w14:textId="77777777" w:rsidR="004A137D" w:rsidRPr="00A2449A" w:rsidRDefault="004A137D" w:rsidP="004A137D">
            <w:pPr>
              <w:spacing w:line="240" w:lineRule="auto"/>
              <w:jc w:val="center"/>
              <w:rPr>
                <w:sz w:val="16"/>
                <w:szCs w:val="18"/>
              </w:rPr>
            </w:pPr>
            <w:r w:rsidRPr="009B0A6C">
              <w:rPr>
                <w:sz w:val="16"/>
                <w:szCs w:val="18"/>
              </w:rPr>
              <w:t>0.654</w:t>
            </w:r>
          </w:p>
        </w:tc>
        <w:tc>
          <w:tcPr>
            <w:tcW w:w="988" w:type="dxa"/>
            <w:vAlign w:val="center"/>
          </w:tcPr>
          <w:p w14:paraId="314503F2" w14:textId="77777777" w:rsidR="004A137D" w:rsidRDefault="004A137D" w:rsidP="004A137D">
            <w:pPr>
              <w:spacing w:line="240" w:lineRule="auto"/>
              <w:jc w:val="center"/>
              <w:rPr>
                <w:sz w:val="16"/>
                <w:szCs w:val="18"/>
              </w:rPr>
            </w:pPr>
            <w:r>
              <w:rPr>
                <w:sz w:val="16"/>
                <w:szCs w:val="18"/>
              </w:rPr>
              <w:t xml:space="preserve"> </w:t>
            </w:r>
          </w:p>
        </w:tc>
        <w:tc>
          <w:tcPr>
            <w:tcW w:w="995" w:type="dxa"/>
            <w:vAlign w:val="center"/>
          </w:tcPr>
          <w:p w14:paraId="3FB524F2" w14:textId="77777777" w:rsidR="004A137D" w:rsidRPr="00A2449A" w:rsidRDefault="004A137D" w:rsidP="004A137D">
            <w:pPr>
              <w:spacing w:line="240" w:lineRule="auto"/>
              <w:jc w:val="center"/>
              <w:rPr>
                <w:sz w:val="16"/>
                <w:szCs w:val="18"/>
              </w:rPr>
            </w:pPr>
          </w:p>
        </w:tc>
      </w:tr>
      <w:tr w:rsidR="004A137D" w:rsidRPr="00A2449A" w14:paraId="66797FC9" w14:textId="77777777" w:rsidTr="00AF2A65">
        <w:trPr>
          <w:jc w:val="center"/>
        </w:trPr>
        <w:tc>
          <w:tcPr>
            <w:tcW w:w="1132" w:type="dxa"/>
            <w:vMerge/>
            <w:vAlign w:val="center"/>
            <w:hideMark/>
          </w:tcPr>
          <w:p w14:paraId="622B15A6"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hideMark/>
          </w:tcPr>
          <w:p w14:paraId="29EA5B98" w14:textId="77777777" w:rsidR="004A137D" w:rsidRPr="00A2449A" w:rsidRDefault="004A137D" w:rsidP="004A137D">
            <w:pPr>
              <w:spacing w:line="240" w:lineRule="auto"/>
              <w:jc w:val="center"/>
              <w:rPr>
                <w:sz w:val="16"/>
                <w:szCs w:val="18"/>
              </w:rPr>
            </w:pPr>
            <w:r w:rsidRPr="00A2449A">
              <w:rPr>
                <w:sz w:val="16"/>
                <w:szCs w:val="18"/>
              </w:rPr>
              <w:t>GAD-7</w:t>
            </w:r>
          </w:p>
        </w:tc>
        <w:tc>
          <w:tcPr>
            <w:tcW w:w="836" w:type="dxa"/>
            <w:vAlign w:val="center"/>
            <w:hideMark/>
          </w:tcPr>
          <w:p w14:paraId="1EC8AB57" w14:textId="77777777" w:rsidR="004A137D" w:rsidRPr="00A2449A" w:rsidRDefault="004A137D" w:rsidP="004A137D">
            <w:pPr>
              <w:spacing w:line="240" w:lineRule="auto"/>
              <w:jc w:val="center"/>
              <w:rPr>
                <w:sz w:val="16"/>
                <w:szCs w:val="18"/>
              </w:rPr>
            </w:pPr>
            <w:r w:rsidRPr="00A2449A">
              <w:rPr>
                <w:sz w:val="16"/>
                <w:szCs w:val="18"/>
              </w:rPr>
              <w:t>0.</w:t>
            </w:r>
            <w:r>
              <w:rPr>
                <w:sz w:val="16"/>
                <w:szCs w:val="18"/>
              </w:rPr>
              <w:t>28</w:t>
            </w:r>
          </w:p>
        </w:tc>
        <w:tc>
          <w:tcPr>
            <w:tcW w:w="785" w:type="dxa"/>
            <w:vAlign w:val="center"/>
            <w:hideMark/>
          </w:tcPr>
          <w:p w14:paraId="1361E946" w14:textId="77777777" w:rsidR="004A137D" w:rsidRPr="00A2449A" w:rsidRDefault="004A137D" w:rsidP="004A137D">
            <w:pPr>
              <w:spacing w:line="240" w:lineRule="auto"/>
              <w:jc w:val="center"/>
              <w:rPr>
                <w:sz w:val="16"/>
                <w:szCs w:val="18"/>
              </w:rPr>
            </w:pPr>
            <w:r w:rsidRPr="00A2449A">
              <w:rPr>
                <w:sz w:val="16"/>
                <w:szCs w:val="18"/>
              </w:rPr>
              <w:t>0.0</w:t>
            </w:r>
            <w:r>
              <w:rPr>
                <w:sz w:val="16"/>
                <w:szCs w:val="18"/>
              </w:rPr>
              <w:t>0</w:t>
            </w:r>
          </w:p>
        </w:tc>
        <w:tc>
          <w:tcPr>
            <w:tcW w:w="999" w:type="dxa"/>
            <w:vAlign w:val="center"/>
            <w:hideMark/>
          </w:tcPr>
          <w:p w14:paraId="2E3ECC8A" w14:textId="77777777" w:rsidR="004A137D" w:rsidRPr="00A2449A" w:rsidRDefault="004A137D" w:rsidP="004A137D">
            <w:pPr>
              <w:spacing w:line="240" w:lineRule="auto"/>
              <w:jc w:val="center"/>
              <w:rPr>
                <w:sz w:val="16"/>
                <w:szCs w:val="18"/>
              </w:rPr>
            </w:pPr>
            <w:r w:rsidRPr="009B0A6C">
              <w:rPr>
                <w:sz w:val="16"/>
                <w:szCs w:val="18"/>
              </w:rPr>
              <w:t>0.165</w:t>
            </w:r>
          </w:p>
        </w:tc>
        <w:tc>
          <w:tcPr>
            <w:tcW w:w="988" w:type="dxa"/>
          </w:tcPr>
          <w:p w14:paraId="3A39A71F" w14:textId="77777777" w:rsidR="004A137D" w:rsidRPr="00A2449A" w:rsidRDefault="004A137D" w:rsidP="004A137D">
            <w:pPr>
              <w:spacing w:line="240" w:lineRule="auto"/>
              <w:jc w:val="center"/>
              <w:rPr>
                <w:sz w:val="16"/>
                <w:szCs w:val="18"/>
              </w:rPr>
            </w:pPr>
            <w:r w:rsidRPr="009B0A6C">
              <w:rPr>
                <w:sz w:val="16"/>
                <w:szCs w:val="18"/>
              </w:rPr>
              <w:t>-0.12</w:t>
            </w:r>
          </w:p>
        </w:tc>
        <w:tc>
          <w:tcPr>
            <w:tcW w:w="995" w:type="dxa"/>
          </w:tcPr>
          <w:p w14:paraId="50CD13B2" w14:textId="77777777" w:rsidR="004A137D" w:rsidRPr="00A2449A" w:rsidRDefault="004A137D" w:rsidP="004A137D">
            <w:pPr>
              <w:spacing w:line="240" w:lineRule="auto"/>
              <w:jc w:val="center"/>
              <w:rPr>
                <w:sz w:val="16"/>
                <w:szCs w:val="18"/>
              </w:rPr>
            </w:pPr>
            <w:r w:rsidRPr="009B0A6C">
              <w:rPr>
                <w:sz w:val="16"/>
                <w:szCs w:val="18"/>
              </w:rPr>
              <w:t>0.68</w:t>
            </w:r>
          </w:p>
        </w:tc>
      </w:tr>
      <w:tr w:rsidR="004A137D" w:rsidRPr="00A2449A" w14:paraId="1ABE5502" w14:textId="77777777" w:rsidTr="00AF2A65">
        <w:trPr>
          <w:jc w:val="center"/>
        </w:trPr>
        <w:tc>
          <w:tcPr>
            <w:tcW w:w="1132" w:type="dxa"/>
            <w:vMerge/>
            <w:vAlign w:val="center"/>
          </w:tcPr>
          <w:p w14:paraId="5E281FFA"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445FB17B" w14:textId="77777777" w:rsidR="004A137D" w:rsidRPr="00A2449A" w:rsidRDefault="004A137D" w:rsidP="004A137D">
            <w:pPr>
              <w:spacing w:line="240" w:lineRule="auto"/>
              <w:jc w:val="center"/>
              <w:rPr>
                <w:sz w:val="16"/>
                <w:szCs w:val="18"/>
              </w:rPr>
            </w:pPr>
            <w:r>
              <w:rPr>
                <w:sz w:val="16"/>
                <w:szCs w:val="18"/>
              </w:rPr>
              <w:t>Female – Male</w:t>
            </w:r>
          </w:p>
        </w:tc>
        <w:tc>
          <w:tcPr>
            <w:tcW w:w="836" w:type="dxa"/>
            <w:vAlign w:val="center"/>
          </w:tcPr>
          <w:p w14:paraId="26289899" w14:textId="77777777" w:rsidR="004A137D" w:rsidRPr="00A2449A" w:rsidRDefault="004A137D" w:rsidP="004A137D">
            <w:pPr>
              <w:spacing w:line="240" w:lineRule="auto"/>
              <w:jc w:val="center"/>
              <w:rPr>
                <w:sz w:val="16"/>
                <w:szCs w:val="18"/>
              </w:rPr>
            </w:pPr>
            <w:r>
              <w:rPr>
                <w:sz w:val="16"/>
                <w:szCs w:val="18"/>
              </w:rPr>
              <w:t>0.18</w:t>
            </w:r>
          </w:p>
        </w:tc>
        <w:tc>
          <w:tcPr>
            <w:tcW w:w="785" w:type="dxa"/>
            <w:vAlign w:val="center"/>
          </w:tcPr>
          <w:p w14:paraId="7E72E20C" w14:textId="77777777" w:rsidR="004A137D" w:rsidRPr="00A2449A" w:rsidRDefault="004A137D" w:rsidP="004A137D">
            <w:pPr>
              <w:spacing w:line="240" w:lineRule="auto"/>
              <w:jc w:val="center"/>
              <w:rPr>
                <w:sz w:val="16"/>
                <w:szCs w:val="18"/>
              </w:rPr>
            </w:pPr>
            <w:r w:rsidRPr="00D90771">
              <w:rPr>
                <w:sz w:val="16"/>
                <w:szCs w:val="18"/>
              </w:rPr>
              <w:t>0.02</w:t>
            </w:r>
          </w:p>
        </w:tc>
        <w:tc>
          <w:tcPr>
            <w:tcW w:w="999" w:type="dxa"/>
            <w:vAlign w:val="center"/>
          </w:tcPr>
          <w:p w14:paraId="1856D69B" w14:textId="77777777" w:rsidR="004A137D" w:rsidRPr="00A2449A" w:rsidRDefault="004A137D" w:rsidP="004A137D">
            <w:pPr>
              <w:spacing w:line="240" w:lineRule="auto"/>
              <w:jc w:val="center"/>
              <w:rPr>
                <w:sz w:val="16"/>
                <w:szCs w:val="18"/>
              </w:rPr>
            </w:pPr>
            <w:r w:rsidRPr="009B0A6C">
              <w:rPr>
                <w:sz w:val="16"/>
                <w:szCs w:val="18"/>
              </w:rPr>
              <w:t>0.590</w:t>
            </w:r>
          </w:p>
        </w:tc>
        <w:tc>
          <w:tcPr>
            <w:tcW w:w="988" w:type="dxa"/>
          </w:tcPr>
          <w:p w14:paraId="5673AFAE" w14:textId="77777777" w:rsidR="004A137D" w:rsidRPr="00A2449A" w:rsidRDefault="004A137D" w:rsidP="004A137D">
            <w:pPr>
              <w:spacing w:line="240" w:lineRule="auto"/>
              <w:jc w:val="center"/>
              <w:rPr>
                <w:sz w:val="16"/>
                <w:szCs w:val="18"/>
              </w:rPr>
            </w:pPr>
            <w:r w:rsidRPr="009B0A6C">
              <w:rPr>
                <w:sz w:val="16"/>
                <w:szCs w:val="18"/>
              </w:rPr>
              <w:t>-0.48</w:t>
            </w:r>
          </w:p>
        </w:tc>
        <w:tc>
          <w:tcPr>
            <w:tcW w:w="995" w:type="dxa"/>
          </w:tcPr>
          <w:p w14:paraId="2F2788F8" w14:textId="77777777" w:rsidR="004A137D" w:rsidRPr="00A2449A" w:rsidRDefault="004A137D" w:rsidP="004A137D">
            <w:pPr>
              <w:spacing w:line="240" w:lineRule="auto"/>
              <w:jc w:val="center"/>
              <w:rPr>
                <w:sz w:val="16"/>
                <w:szCs w:val="18"/>
              </w:rPr>
            </w:pPr>
            <w:r w:rsidRPr="009B0A6C">
              <w:rPr>
                <w:sz w:val="16"/>
                <w:szCs w:val="18"/>
              </w:rPr>
              <w:t>0.84</w:t>
            </w:r>
          </w:p>
        </w:tc>
      </w:tr>
      <w:tr w:rsidR="004A137D" w:rsidRPr="00A2449A" w14:paraId="42ED7F78" w14:textId="77777777" w:rsidTr="00AF2A65">
        <w:trPr>
          <w:jc w:val="center"/>
        </w:trPr>
        <w:tc>
          <w:tcPr>
            <w:tcW w:w="1132" w:type="dxa"/>
            <w:vMerge/>
            <w:vAlign w:val="center"/>
            <w:hideMark/>
          </w:tcPr>
          <w:p w14:paraId="12CFE913"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hideMark/>
          </w:tcPr>
          <w:p w14:paraId="4D2D2BFC" w14:textId="77777777" w:rsidR="004A137D" w:rsidRPr="00A2449A" w:rsidRDefault="004A137D" w:rsidP="004A137D">
            <w:pPr>
              <w:spacing w:line="240" w:lineRule="auto"/>
              <w:jc w:val="center"/>
              <w:rPr>
                <w:sz w:val="16"/>
                <w:szCs w:val="18"/>
              </w:rPr>
            </w:pPr>
            <w:r>
              <w:rPr>
                <w:sz w:val="16"/>
                <w:szCs w:val="18"/>
              </w:rPr>
              <w:t>SES ladder</w:t>
            </w:r>
          </w:p>
        </w:tc>
        <w:tc>
          <w:tcPr>
            <w:tcW w:w="836" w:type="dxa"/>
            <w:vAlign w:val="center"/>
            <w:hideMark/>
          </w:tcPr>
          <w:p w14:paraId="58FD3138" w14:textId="77777777" w:rsidR="004A137D" w:rsidRPr="00A2449A" w:rsidRDefault="004A137D" w:rsidP="004A137D">
            <w:pPr>
              <w:spacing w:line="240" w:lineRule="auto"/>
              <w:jc w:val="center"/>
              <w:rPr>
                <w:sz w:val="16"/>
                <w:szCs w:val="18"/>
              </w:rPr>
            </w:pPr>
            <w:r w:rsidRPr="00D90771">
              <w:rPr>
                <w:sz w:val="16"/>
                <w:szCs w:val="18"/>
              </w:rPr>
              <w:t>-0.11</w:t>
            </w:r>
          </w:p>
        </w:tc>
        <w:tc>
          <w:tcPr>
            <w:tcW w:w="785" w:type="dxa"/>
            <w:vAlign w:val="center"/>
            <w:hideMark/>
          </w:tcPr>
          <w:p w14:paraId="045626E9" w14:textId="77777777" w:rsidR="004A137D" w:rsidRPr="00A2449A" w:rsidRDefault="004A137D" w:rsidP="004A137D">
            <w:pPr>
              <w:spacing w:line="240" w:lineRule="auto"/>
              <w:jc w:val="center"/>
              <w:rPr>
                <w:sz w:val="16"/>
                <w:szCs w:val="18"/>
              </w:rPr>
            </w:pPr>
            <w:r>
              <w:rPr>
                <w:sz w:val="16"/>
                <w:szCs w:val="18"/>
              </w:rPr>
              <w:t>0.01</w:t>
            </w:r>
          </w:p>
        </w:tc>
        <w:tc>
          <w:tcPr>
            <w:tcW w:w="999" w:type="dxa"/>
            <w:vAlign w:val="center"/>
            <w:hideMark/>
          </w:tcPr>
          <w:p w14:paraId="781F6BE4" w14:textId="77777777" w:rsidR="004A137D" w:rsidRPr="00A2449A" w:rsidRDefault="004A137D" w:rsidP="004A137D">
            <w:pPr>
              <w:spacing w:line="240" w:lineRule="auto"/>
              <w:jc w:val="center"/>
              <w:rPr>
                <w:sz w:val="16"/>
                <w:szCs w:val="18"/>
              </w:rPr>
            </w:pPr>
            <w:r w:rsidRPr="00D90771">
              <w:rPr>
                <w:sz w:val="16"/>
                <w:szCs w:val="18"/>
              </w:rPr>
              <w:t>0.472</w:t>
            </w:r>
          </w:p>
        </w:tc>
        <w:tc>
          <w:tcPr>
            <w:tcW w:w="988" w:type="dxa"/>
          </w:tcPr>
          <w:p w14:paraId="687B1352" w14:textId="77777777" w:rsidR="004A137D" w:rsidRPr="00A2449A" w:rsidRDefault="004A137D" w:rsidP="004A137D">
            <w:pPr>
              <w:spacing w:line="240" w:lineRule="auto"/>
              <w:jc w:val="center"/>
              <w:rPr>
                <w:sz w:val="16"/>
                <w:szCs w:val="18"/>
              </w:rPr>
            </w:pPr>
            <w:r w:rsidRPr="00D9353E">
              <w:rPr>
                <w:sz w:val="16"/>
                <w:szCs w:val="18"/>
              </w:rPr>
              <w:t xml:space="preserve"> </w:t>
            </w:r>
            <w:r w:rsidRPr="00D90771">
              <w:rPr>
                <w:sz w:val="16"/>
                <w:szCs w:val="18"/>
              </w:rPr>
              <w:t>-0.43</w:t>
            </w:r>
          </w:p>
        </w:tc>
        <w:tc>
          <w:tcPr>
            <w:tcW w:w="995" w:type="dxa"/>
          </w:tcPr>
          <w:p w14:paraId="54A1169E" w14:textId="77777777" w:rsidR="004A137D" w:rsidRPr="00A2449A" w:rsidRDefault="004A137D" w:rsidP="004A137D">
            <w:pPr>
              <w:spacing w:line="240" w:lineRule="auto"/>
              <w:jc w:val="center"/>
              <w:rPr>
                <w:sz w:val="16"/>
                <w:szCs w:val="18"/>
              </w:rPr>
            </w:pPr>
            <w:r w:rsidRPr="00D90771">
              <w:rPr>
                <w:sz w:val="16"/>
                <w:szCs w:val="18"/>
              </w:rPr>
              <w:t>0.20</w:t>
            </w:r>
          </w:p>
        </w:tc>
      </w:tr>
      <w:tr w:rsidR="004A137D" w:rsidRPr="00A2449A" w14:paraId="7CEF262B" w14:textId="77777777" w:rsidTr="00AF2A65">
        <w:trPr>
          <w:jc w:val="center"/>
        </w:trPr>
        <w:tc>
          <w:tcPr>
            <w:tcW w:w="1132" w:type="dxa"/>
            <w:vMerge/>
            <w:vAlign w:val="center"/>
          </w:tcPr>
          <w:p w14:paraId="2C3FF0CB"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2C055930" w14:textId="77777777" w:rsidR="004A137D" w:rsidRDefault="004A137D" w:rsidP="004A137D">
            <w:pPr>
              <w:spacing w:line="240" w:lineRule="auto"/>
              <w:jc w:val="center"/>
              <w:rPr>
                <w:sz w:val="16"/>
                <w:szCs w:val="18"/>
              </w:rPr>
            </w:pPr>
            <w:r>
              <w:rPr>
                <w:sz w:val="16"/>
                <w:szCs w:val="18"/>
              </w:rPr>
              <w:t>Currently anxious</w:t>
            </w:r>
          </w:p>
          <w:p w14:paraId="643B5E2D" w14:textId="77777777" w:rsidR="004A137D" w:rsidRDefault="004A137D" w:rsidP="004A137D">
            <w:pPr>
              <w:spacing w:line="240" w:lineRule="auto"/>
              <w:jc w:val="center"/>
              <w:rPr>
                <w:sz w:val="16"/>
                <w:szCs w:val="18"/>
              </w:rPr>
            </w:pPr>
            <w:r>
              <w:rPr>
                <w:sz w:val="16"/>
                <w:szCs w:val="18"/>
              </w:rPr>
              <w:t>2-1</w:t>
            </w:r>
          </w:p>
          <w:p w14:paraId="5498D916" w14:textId="77777777" w:rsidR="004A137D" w:rsidRDefault="004A137D" w:rsidP="004A137D">
            <w:pPr>
              <w:spacing w:line="240" w:lineRule="auto"/>
              <w:jc w:val="center"/>
              <w:rPr>
                <w:sz w:val="16"/>
                <w:szCs w:val="18"/>
              </w:rPr>
            </w:pPr>
            <w:r>
              <w:rPr>
                <w:sz w:val="16"/>
                <w:szCs w:val="18"/>
              </w:rPr>
              <w:t>3-1</w:t>
            </w:r>
          </w:p>
          <w:p w14:paraId="06CCFAAF" w14:textId="77777777" w:rsidR="004A137D" w:rsidRDefault="004A137D" w:rsidP="004A137D">
            <w:pPr>
              <w:spacing w:line="240" w:lineRule="auto"/>
              <w:jc w:val="center"/>
              <w:rPr>
                <w:sz w:val="16"/>
                <w:szCs w:val="18"/>
              </w:rPr>
            </w:pPr>
            <w:r>
              <w:rPr>
                <w:sz w:val="16"/>
                <w:szCs w:val="18"/>
              </w:rPr>
              <w:t>4-1</w:t>
            </w:r>
          </w:p>
          <w:p w14:paraId="00B9CF50" w14:textId="77777777" w:rsidR="004A137D" w:rsidRDefault="004A137D" w:rsidP="004A137D">
            <w:pPr>
              <w:spacing w:line="240" w:lineRule="auto"/>
              <w:jc w:val="center"/>
              <w:rPr>
                <w:sz w:val="16"/>
                <w:szCs w:val="18"/>
              </w:rPr>
            </w:pPr>
            <w:r>
              <w:rPr>
                <w:sz w:val="16"/>
                <w:szCs w:val="18"/>
              </w:rPr>
              <w:t>5-1</w:t>
            </w:r>
          </w:p>
          <w:p w14:paraId="7352EB54" w14:textId="77777777" w:rsidR="004A137D" w:rsidRDefault="004A137D" w:rsidP="004A137D">
            <w:pPr>
              <w:spacing w:line="240" w:lineRule="auto"/>
              <w:jc w:val="center"/>
              <w:rPr>
                <w:sz w:val="16"/>
                <w:szCs w:val="18"/>
              </w:rPr>
            </w:pPr>
            <w:r>
              <w:rPr>
                <w:sz w:val="16"/>
                <w:szCs w:val="18"/>
              </w:rPr>
              <w:t>6-1</w:t>
            </w:r>
          </w:p>
          <w:p w14:paraId="4F1AE95B" w14:textId="77777777" w:rsidR="004A137D" w:rsidRPr="00A2449A" w:rsidRDefault="004A137D" w:rsidP="004A137D">
            <w:pPr>
              <w:spacing w:line="240" w:lineRule="auto"/>
              <w:jc w:val="center"/>
              <w:rPr>
                <w:sz w:val="16"/>
                <w:szCs w:val="18"/>
              </w:rPr>
            </w:pPr>
            <w:r>
              <w:rPr>
                <w:sz w:val="16"/>
                <w:szCs w:val="18"/>
              </w:rPr>
              <w:t>7-1</w:t>
            </w:r>
          </w:p>
        </w:tc>
        <w:tc>
          <w:tcPr>
            <w:tcW w:w="836" w:type="dxa"/>
            <w:vAlign w:val="center"/>
          </w:tcPr>
          <w:p w14:paraId="56772664" w14:textId="77777777" w:rsidR="004A137D" w:rsidRDefault="004A137D" w:rsidP="004A137D">
            <w:pPr>
              <w:spacing w:line="240" w:lineRule="auto"/>
              <w:jc w:val="center"/>
              <w:rPr>
                <w:sz w:val="16"/>
                <w:szCs w:val="18"/>
              </w:rPr>
            </w:pPr>
          </w:p>
          <w:p w14:paraId="3408BE78" w14:textId="77777777" w:rsidR="004A137D" w:rsidRPr="00D90771" w:rsidRDefault="004A137D" w:rsidP="004A137D">
            <w:pPr>
              <w:spacing w:line="240" w:lineRule="auto"/>
              <w:jc w:val="center"/>
              <w:rPr>
                <w:sz w:val="16"/>
                <w:szCs w:val="18"/>
              </w:rPr>
            </w:pPr>
            <w:r w:rsidRPr="00D90771">
              <w:rPr>
                <w:sz w:val="16"/>
                <w:szCs w:val="18"/>
              </w:rPr>
              <w:t>0.55</w:t>
            </w:r>
          </w:p>
          <w:p w14:paraId="4E7FC9E6" w14:textId="77777777" w:rsidR="004A137D" w:rsidRPr="00D90771" w:rsidRDefault="004A137D" w:rsidP="004A137D">
            <w:pPr>
              <w:spacing w:line="240" w:lineRule="auto"/>
              <w:jc w:val="center"/>
              <w:rPr>
                <w:sz w:val="16"/>
                <w:szCs w:val="18"/>
              </w:rPr>
            </w:pPr>
            <w:r w:rsidRPr="00D90771">
              <w:rPr>
                <w:sz w:val="16"/>
                <w:szCs w:val="18"/>
              </w:rPr>
              <w:t>0.52</w:t>
            </w:r>
          </w:p>
          <w:p w14:paraId="17716143" w14:textId="77777777" w:rsidR="004A137D" w:rsidRPr="00D90771" w:rsidRDefault="004A137D" w:rsidP="004A137D">
            <w:pPr>
              <w:spacing w:line="240" w:lineRule="auto"/>
              <w:jc w:val="center"/>
              <w:rPr>
                <w:sz w:val="16"/>
                <w:szCs w:val="18"/>
              </w:rPr>
            </w:pPr>
            <w:r w:rsidRPr="00D90771">
              <w:rPr>
                <w:sz w:val="16"/>
                <w:szCs w:val="18"/>
              </w:rPr>
              <w:t>0.46</w:t>
            </w:r>
          </w:p>
          <w:p w14:paraId="73ACFF9C" w14:textId="77777777" w:rsidR="004A137D" w:rsidRPr="00D90771" w:rsidRDefault="004A137D" w:rsidP="004A137D">
            <w:pPr>
              <w:spacing w:line="240" w:lineRule="auto"/>
              <w:jc w:val="center"/>
              <w:rPr>
                <w:sz w:val="16"/>
                <w:szCs w:val="18"/>
              </w:rPr>
            </w:pPr>
            <w:r w:rsidRPr="00D90771">
              <w:rPr>
                <w:sz w:val="16"/>
                <w:szCs w:val="18"/>
              </w:rPr>
              <w:t>0.01</w:t>
            </w:r>
          </w:p>
          <w:p w14:paraId="4ED6ED52" w14:textId="77777777" w:rsidR="004A137D" w:rsidRPr="00D90771" w:rsidRDefault="004A137D" w:rsidP="004A137D">
            <w:pPr>
              <w:spacing w:line="240" w:lineRule="auto"/>
              <w:jc w:val="center"/>
              <w:rPr>
                <w:sz w:val="16"/>
                <w:szCs w:val="18"/>
              </w:rPr>
            </w:pPr>
            <w:r w:rsidRPr="00D90771">
              <w:rPr>
                <w:sz w:val="16"/>
                <w:szCs w:val="18"/>
              </w:rPr>
              <w:t>-0</w:t>
            </w:r>
            <w:r>
              <w:rPr>
                <w:sz w:val="16"/>
                <w:szCs w:val="18"/>
              </w:rPr>
              <w:t>.</w:t>
            </w:r>
            <w:r w:rsidRPr="00D90771">
              <w:rPr>
                <w:sz w:val="16"/>
                <w:szCs w:val="18"/>
              </w:rPr>
              <w:t>53</w:t>
            </w:r>
          </w:p>
          <w:p w14:paraId="265B4120" w14:textId="77777777" w:rsidR="004A137D" w:rsidRPr="00A2449A" w:rsidRDefault="004A137D" w:rsidP="004A137D">
            <w:pPr>
              <w:spacing w:line="240" w:lineRule="auto"/>
              <w:jc w:val="center"/>
              <w:rPr>
                <w:sz w:val="16"/>
                <w:szCs w:val="18"/>
              </w:rPr>
            </w:pPr>
            <w:r w:rsidRPr="00D90771">
              <w:rPr>
                <w:sz w:val="16"/>
                <w:szCs w:val="18"/>
              </w:rPr>
              <w:t>0.39</w:t>
            </w:r>
          </w:p>
        </w:tc>
        <w:tc>
          <w:tcPr>
            <w:tcW w:w="785" w:type="dxa"/>
            <w:vAlign w:val="center"/>
          </w:tcPr>
          <w:p w14:paraId="15DE3667" w14:textId="77777777" w:rsidR="004A137D" w:rsidRDefault="004A137D" w:rsidP="004A137D">
            <w:pPr>
              <w:spacing w:line="240" w:lineRule="auto"/>
              <w:jc w:val="center"/>
              <w:rPr>
                <w:sz w:val="16"/>
                <w:szCs w:val="18"/>
              </w:rPr>
            </w:pPr>
          </w:p>
          <w:p w14:paraId="08D9D5BA" w14:textId="77777777" w:rsidR="004A137D" w:rsidRPr="00D90771" w:rsidRDefault="004A137D" w:rsidP="004A137D">
            <w:pPr>
              <w:spacing w:line="240" w:lineRule="auto"/>
              <w:jc w:val="center"/>
              <w:rPr>
                <w:sz w:val="16"/>
                <w:szCs w:val="18"/>
              </w:rPr>
            </w:pPr>
            <w:r w:rsidRPr="00D90771">
              <w:rPr>
                <w:sz w:val="16"/>
                <w:szCs w:val="18"/>
              </w:rPr>
              <w:t>0.03</w:t>
            </w:r>
          </w:p>
          <w:p w14:paraId="27E8FEEA" w14:textId="77777777" w:rsidR="004A137D" w:rsidRPr="00D90771" w:rsidRDefault="004A137D" w:rsidP="004A137D">
            <w:pPr>
              <w:spacing w:line="240" w:lineRule="auto"/>
              <w:jc w:val="center"/>
              <w:rPr>
                <w:sz w:val="16"/>
                <w:szCs w:val="18"/>
              </w:rPr>
            </w:pPr>
            <w:r w:rsidRPr="00D90771">
              <w:rPr>
                <w:sz w:val="16"/>
                <w:szCs w:val="18"/>
              </w:rPr>
              <w:t>0.04</w:t>
            </w:r>
          </w:p>
          <w:p w14:paraId="30880F48" w14:textId="77777777" w:rsidR="004A137D" w:rsidRPr="00D90771" w:rsidRDefault="004A137D" w:rsidP="004A137D">
            <w:pPr>
              <w:spacing w:line="240" w:lineRule="auto"/>
              <w:jc w:val="center"/>
              <w:rPr>
                <w:sz w:val="16"/>
                <w:szCs w:val="18"/>
              </w:rPr>
            </w:pPr>
            <w:r w:rsidRPr="00D90771">
              <w:rPr>
                <w:sz w:val="16"/>
                <w:szCs w:val="18"/>
              </w:rPr>
              <w:t>0.03</w:t>
            </w:r>
          </w:p>
          <w:p w14:paraId="6EBF0070" w14:textId="77777777" w:rsidR="004A137D" w:rsidRPr="00D90771" w:rsidRDefault="004A137D" w:rsidP="004A137D">
            <w:pPr>
              <w:spacing w:line="240" w:lineRule="auto"/>
              <w:jc w:val="center"/>
              <w:rPr>
                <w:sz w:val="16"/>
                <w:szCs w:val="18"/>
              </w:rPr>
            </w:pPr>
            <w:r w:rsidRPr="00D90771">
              <w:rPr>
                <w:sz w:val="16"/>
                <w:szCs w:val="18"/>
              </w:rPr>
              <w:t>0.04</w:t>
            </w:r>
          </w:p>
          <w:p w14:paraId="3080CD3D" w14:textId="77777777" w:rsidR="004A137D" w:rsidRPr="00D90771" w:rsidRDefault="004A137D" w:rsidP="004A137D">
            <w:pPr>
              <w:spacing w:line="240" w:lineRule="auto"/>
              <w:jc w:val="center"/>
              <w:rPr>
                <w:sz w:val="16"/>
                <w:szCs w:val="18"/>
              </w:rPr>
            </w:pPr>
            <w:r w:rsidRPr="00D90771">
              <w:rPr>
                <w:sz w:val="16"/>
                <w:szCs w:val="18"/>
              </w:rPr>
              <w:t>0.05</w:t>
            </w:r>
          </w:p>
          <w:p w14:paraId="584E5D13" w14:textId="77777777" w:rsidR="004A137D" w:rsidRPr="00A2449A" w:rsidRDefault="004A137D" w:rsidP="004A137D">
            <w:pPr>
              <w:spacing w:line="240" w:lineRule="auto"/>
              <w:jc w:val="center"/>
              <w:rPr>
                <w:sz w:val="16"/>
                <w:szCs w:val="18"/>
              </w:rPr>
            </w:pPr>
            <w:r w:rsidRPr="00D90771">
              <w:rPr>
                <w:sz w:val="16"/>
                <w:szCs w:val="18"/>
              </w:rPr>
              <w:t>0.05</w:t>
            </w:r>
          </w:p>
        </w:tc>
        <w:tc>
          <w:tcPr>
            <w:tcW w:w="999" w:type="dxa"/>
            <w:vAlign w:val="center"/>
          </w:tcPr>
          <w:p w14:paraId="5155796B" w14:textId="77777777" w:rsidR="004A137D" w:rsidRDefault="004A137D" w:rsidP="004A137D">
            <w:pPr>
              <w:spacing w:line="240" w:lineRule="auto"/>
              <w:jc w:val="center"/>
              <w:rPr>
                <w:sz w:val="16"/>
                <w:szCs w:val="18"/>
              </w:rPr>
            </w:pPr>
          </w:p>
          <w:p w14:paraId="571FDDB4" w14:textId="77777777" w:rsidR="004A137D" w:rsidRPr="00D90771" w:rsidRDefault="004A137D" w:rsidP="004A137D">
            <w:pPr>
              <w:spacing w:line="240" w:lineRule="auto"/>
              <w:jc w:val="center"/>
              <w:rPr>
                <w:sz w:val="16"/>
                <w:szCs w:val="18"/>
              </w:rPr>
            </w:pPr>
            <w:r w:rsidRPr="00D90771">
              <w:rPr>
                <w:sz w:val="16"/>
                <w:szCs w:val="18"/>
              </w:rPr>
              <w:t>0.244</w:t>
            </w:r>
          </w:p>
          <w:p w14:paraId="7C892871" w14:textId="77777777" w:rsidR="004A137D" w:rsidRPr="00D90771" w:rsidRDefault="004A137D" w:rsidP="004A137D">
            <w:pPr>
              <w:spacing w:line="240" w:lineRule="auto"/>
              <w:jc w:val="center"/>
              <w:rPr>
                <w:sz w:val="16"/>
                <w:szCs w:val="18"/>
              </w:rPr>
            </w:pPr>
            <w:r w:rsidRPr="00D90771">
              <w:rPr>
                <w:sz w:val="16"/>
                <w:szCs w:val="18"/>
              </w:rPr>
              <w:t>0.309</w:t>
            </w:r>
          </w:p>
          <w:p w14:paraId="34E16007" w14:textId="77777777" w:rsidR="004A137D" w:rsidRPr="00D90771" w:rsidRDefault="004A137D" w:rsidP="004A137D">
            <w:pPr>
              <w:spacing w:line="240" w:lineRule="auto"/>
              <w:jc w:val="center"/>
              <w:rPr>
                <w:sz w:val="16"/>
                <w:szCs w:val="18"/>
              </w:rPr>
            </w:pPr>
            <w:r w:rsidRPr="00D90771">
              <w:rPr>
                <w:sz w:val="16"/>
                <w:szCs w:val="18"/>
              </w:rPr>
              <w:t>0.331</w:t>
            </w:r>
          </w:p>
          <w:p w14:paraId="452DB273" w14:textId="77777777" w:rsidR="004A137D" w:rsidRPr="00D90771" w:rsidRDefault="004A137D" w:rsidP="004A137D">
            <w:pPr>
              <w:spacing w:line="240" w:lineRule="auto"/>
              <w:jc w:val="center"/>
              <w:rPr>
                <w:sz w:val="16"/>
                <w:szCs w:val="18"/>
              </w:rPr>
            </w:pPr>
            <w:r w:rsidRPr="00D90771">
              <w:rPr>
                <w:sz w:val="16"/>
                <w:szCs w:val="18"/>
              </w:rPr>
              <w:t>0.983</w:t>
            </w:r>
          </w:p>
          <w:p w14:paraId="0523D1AE" w14:textId="77777777" w:rsidR="004A137D" w:rsidRPr="00D90771" w:rsidRDefault="004A137D" w:rsidP="004A137D">
            <w:pPr>
              <w:spacing w:line="240" w:lineRule="auto"/>
              <w:jc w:val="center"/>
              <w:rPr>
                <w:sz w:val="16"/>
                <w:szCs w:val="18"/>
              </w:rPr>
            </w:pPr>
            <w:r w:rsidRPr="00D90771">
              <w:rPr>
                <w:sz w:val="16"/>
                <w:szCs w:val="18"/>
              </w:rPr>
              <w:t>0.450</w:t>
            </w:r>
          </w:p>
          <w:p w14:paraId="4A2FA2E7" w14:textId="77777777" w:rsidR="004A137D" w:rsidRPr="00A2449A" w:rsidRDefault="004A137D" w:rsidP="004A137D">
            <w:pPr>
              <w:spacing w:line="240" w:lineRule="auto"/>
              <w:jc w:val="center"/>
              <w:rPr>
                <w:sz w:val="16"/>
                <w:szCs w:val="18"/>
              </w:rPr>
            </w:pPr>
            <w:r w:rsidRPr="00D90771">
              <w:rPr>
                <w:sz w:val="16"/>
                <w:szCs w:val="18"/>
              </w:rPr>
              <w:t>0.590</w:t>
            </w:r>
          </w:p>
        </w:tc>
        <w:tc>
          <w:tcPr>
            <w:tcW w:w="988" w:type="dxa"/>
          </w:tcPr>
          <w:p w14:paraId="20895595" w14:textId="77777777" w:rsidR="004A137D" w:rsidRDefault="004A137D" w:rsidP="004A137D">
            <w:pPr>
              <w:spacing w:line="240" w:lineRule="auto"/>
              <w:jc w:val="center"/>
              <w:rPr>
                <w:sz w:val="16"/>
                <w:szCs w:val="18"/>
              </w:rPr>
            </w:pPr>
            <w:r w:rsidRPr="00D9353E">
              <w:rPr>
                <w:sz w:val="16"/>
                <w:szCs w:val="18"/>
              </w:rPr>
              <w:t xml:space="preserve"> </w:t>
            </w:r>
          </w:p>
          <w:p w14:paraId="4FA4EA8D" w14:textId="77777777" w:rsidR="004A137D" w:rsidRPr="00D90771" w:rsidRDefault="004A137D" w:rsidP="004A137D">
            <w:pPr>
              <w:spacing w:line="240" w:lineRule="auto"/>
              <w:jc w:val="center"/>
              <w:rPr>
                <w:sz w:val="16"/>
                <w:szCs w:val="18"/>
              </w:rPr>
            </w:pPr>
            <w:r w:rsidRPr="00D90771">
              <w:rPr>
                <w:sz w:val="16"/>
                <w:szCs w:val="18"/>
              </w:rPr>
              <w:t>-0.39</w:t>
            </w:r>
          </w:p>
          <w:p w14:paraId="04C7109F" w14:textId="77777777" w:rsidR="004A137D" w:rsidRPr="00D90771" w:rsidRDefault="004A137D" w:rsidP="004A137D">
            <w:pPr>
              <w:spacing w:line="240" w:lineRule="auto"/>
              <w:jc w:val="center"/>
              <w:rPr>
                <w:sz w:val="16"/>
                <w:szCs w:val="18"/>
              </w:rPr>
            </w:pPr>
            <w:r w:rsidRPr="00D90771">
              <w:rPr>
                <w:sz w:val="16"/>
                <w:szCs w:val="18"/>
              </w:rPr>
              <w:t>-0.49</w:t>
            </w:r>
          </w:p>
          <w:p w14:paraId="63D55EBA" w14:textId="77777777" w:rsidR="004A137D" w:rsidRPr="00D90771" w:rsidRDefault="004A137D" w:rsidP="004A137D">
            <w:pPr>
              <w:spacing w:line="240" w:lineRule="auto"/>
              <w:jc w:val="center"/>
              <w:rPr>
                <w:sz w:val="16"/>
                <w:szCs w:val="18"/>
              </w:rPr>
            </w:pPr>
            <w:r w:rsidRPr="00D90771">
              <w:rPr>
                <w:sz w:val="16"/>
                <w:szCs w:val="18"/>
              </w:rPr>
              <w:t>-0.48</w:t>
            </w:r>
          </w:p>
          <w:p w14:paraId="0BA003E7" w14:textId="77777777" w:rsidR="004A137D" w:rsidRPr="00D90771" w:rsidRDefault="004A137D" w:rsidP="004A137D">
            <w:pPr>
              <w:spacing w:line="240" w:lineRule="auto"/>
              <w:jc w:val="center"/>
              <w:rPr>
                <w:sz w:val="16"/>
                <w:szCs w:val="18"/>
              </w:rPr>
            </w:pPr>
            <w:r w:rsidRPr="00D90771">
              <w:rPr>
                <w:sz w:val="16"/>
                <w:szCs w:val="18"/>
              </w:rPr>
              <w:t>-1.02</w:t>
            </w:r>
          </w:p>
          <w:p w14:paraId="14C271D6" w14:textId="77777777" w:rsidR="004A137D" w:rsidRPr="00D90771" w:rsidRDefault="004A137D" w:rsidP="004A137D">
            <w:pPr>
              <w:spacing w:line="240" w:lineRule="auto"/>
              <w:jc w:val="center"/>
              <w:rPr>
                <w:sz w:val="16"/>
                <w:szCs w:val="18"/>
              </w:rPr>
            </w:pPr>
            <w:r w:rsidRPr="00D90771">
              <w:rPr>
                <w:sz w:val="16"/>
                <w:szCs w:val="18"/>
              </w:rPr>
              <w:t>-1.91</w:t>
            </w:r>
          </w:p>
          <w:p w14:paraId="0295EC12" w14:textId="77777777" w:rsidR="004A137D" w:rsidRPr="00A2449A" w:rsidRDefault="004A137D" w:rsidP="004A137D">
            <w:pPr>
              <w:spacing w:line="240" w:lineRule="auto"/>
              <w:jc w:val="center"/>
              <w:rPr>
                <w:sz w:val="16"/>
                <w:szCs w:val="18"/>
              </w:rPr>
            </w:pPr>
            <w:r w:rsidRPr="00D90771">
              <w:rPr>
                <w:sz w:val="16"/>
                <w:szCs w:val="18"/>
              </w:rPr>
              <w:t>-1.05</w:t>
            </w:r>
          </w:p>
        </w:tc>
        <w:tc>
          <w:tcPr>
            <w:tcW w:w="995" w:type="dxa"/>
          </w:tcPr>
          <w:p w14:paraId="4C8E3366" w14:textId="77777777" w:rsidR="004A137D" w:rsidRDefault="004A137D" w:rsidP="004A137D">
            <w:pPr>
              <w:spacing w:line="240" w:lineRule="auto"/>
              <w:jc w:val="center"/>
              <w:rPr>
                <w:sz w:val="16"/>
                <w:szCs w:val="18"/>
              </w:rPr>
            </w:pPr>
          </w:p>
          <w:p w14:paraId="0656A721" w14:textId="77777777" w:rsidR="004A137D" w:rsidRPr="00D90771" w:rsidRDefault="004A137D" w:rsidP="004A137D">
            <w:pPr>
              <w:spacing w:line="240" w:lineRule="auto"/>
              <w:jc w:val="center"/>
              <w:rPr>
                <w:sz w:val="16"/>
                <w:szCs w:val="18"/>
              </w:rPr>
            </w:pPr>
            <w:r w:rsidRPr="00D90771">
              <w:rPr>
                <w:sz w:val="16"/>
                <w:szCs w:val="18"/>
              </w:rPr>
              <w:t>1.49</w:t>
            </w:r>
          </w:p>
          <w:p w14:paraId="455643A7" w14:textId="77777777" w:rsidR="004A137D" w:rsidRPr="00D90771" w:rsidRDefault="004A137D" w:rsidP="004A137D">
            <w:pPr>
              <w:spacing w:line="240" w:lineRule="auto"/>
              <w:jc w:val="center"/>
              <w:rPr>
                <w:sz w:val="16"/>
                <w:szCs w:val="18"/>
              </w:rPr>
            </w:pPr>
            <w:r w:rsidRPr="00D90771">
              <w:rPr>
                <w:sz w:val="16"/>
                <w:szCs w:val="18"/>
              </w:rPr>
              <w:t>1.52</w:t>
            </w:r>
          </w:p>
          <w:p w14:paraId="196E2D05" w14:textId="77777777" w:rsidR="004A137D" w:rsidRPr="00D90771" w:rsidRDefault="004A137D" w:rsidP="004A137D">
            <w:pPr>
              <w:spacing w:line="240" w:lineRule="auto"/>
              <w:jc w:val="center"/>
              <w:rPr>
                <w:sz w:val="16"/>
                <w:szCs w:val="18"/>
              </w:rPr>
            </w:pPr>
            <w:r w:rsidRPr="00D90771">
              <w:rPr>
                <w:sz w:val="16"/>
                <w:szCs w:val="18"/>
              </w:rPr>
              <w:t>1.41</w:t>
            </w:r>
          </w:p>
          <w:p w14:paraId="32C1DA01" w14:textId="77777777" w:rsidR="004A137D" w:rsidRPr="00D90771" w:rsidRDefault="004A137D" w:rsidP="004A137D">
            <w:pPr>
              <w:spacing w:line="240" w:lineRule="auto"/>
              <w:jc w:val="center"/>
              <w:rPr>
                <w:sz w:val="16"/>
                <w:szCs w:val="18"/>
              </w:rPr>
            </w:pPr>
            <w:r w:rsidRPr="00D90771">
              <w:rPr>
                <w:sz w:val="16"/>
                <w:szCs w:val="18"/>
              </w:rPr>
              <w:t>1.04</w:t>
            </w:r>
          </w:p>
          <w:p w14:paraId="51D53340" w14:textId="77777777" w:rsidR="004A137D" w:rsidRPr="00D90771" w:rsidRDefault="004A137D" w:rsidP="004A137D">
            <w:pPr>
              <w:spacing w:line="240" w:lineRule="auto"/>
              <w:jc w:val="center"/>
              <w:rPr>
                <w:sz w:val="16"/>
                <w:szCs w:val="18"/>
              </w:rPr>
            </w:pPr>
            <w:r w:rsidRPr="00D90771">
              <w:rPr>
                <w:sz w:val="16"/>
                <w:szCs w:val="18"/>
              </w:rPr>
              <w:t>0.86</w:t>
            </w:r>
          </w:p>
          <w:p w14:paraId="7B1C04C0" w14:textId="77777777" w:rsidR="004A137D" w:rsidRPr="00A2449A" w:rsidRDefault="004A137D" w:rsidP="004A137D">
            <w:pPr>
              <w:spacing w:line="240" w:lineRule="auto"/>
              <w:jc w:val="center"/>
              <w:rPr>
                <w:sz w:val="16"/>
                <w:szCs w:val="18"/>
              </w:rPr>
            </w:pPr>
            <w:r w:rsidRPr="00D90771">
              <w:rPr>
                <w:sz w:val="16"/>
                <w:szCs w:val="18"/>
              </w:rPr>
              <w:t>1.82</w:t>
            </w:r>
            <w:r w:rsidRPr="00D9353E">
              <w:rPr>
                <w:sz w:val="16"/>
                <w:szCs w:val="18"/>
              </w:rPr>
              <w:t xml:space="preserve"> </w:t>
            </w:r>
          </w:p>
        </w:tc>
      </w:tr>
      <w:tr w:rsidR="004A137D" w:rsidRPr="00A2449A" w14:paraId="79F5CC3B" w14:textId="77777777" w:rsidTr="00AF2A65">
        <w:trPr>
          <w:jc w:val="center"/>
        </w:trPr>
        <w:tc>
          <w:tcPr>
            <w:tcW w:w="1132" w:type="dxa"/>
            <w:vMerge/>
            <w:vAlign w:val="center"/>
          </w:tcPr>
          <w:p w14:paraId="7D983987"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53E3DE43" w14:textId="77777777" w:rsidR="004A137D" w:rsidRDefault="004A137D" w:rsidP="004A137D">
            <w:pPr>
              <w:spacing w:line="240" w:lineRule="auto"/>
              <w:jc w:val="center"/>
              <w:rPr>
                <w:sz w:val="16"/>
                <w:szCs w:val="18"/>
              </w:rPr>
            </w:pPr>
            <w:r>
              <w:rPr>
                <w:sz w:val="16"/>
                <w:szCs w:val="18"/>
              </w:rPr>
              <w:t>Previous Psych Treatment</w:t>
            </w:r>
          </w:p>
        </w:tc>
        <w:tc>
          <w:tcPr>
            <w:tcW w:w="836" w:type="dxa"/>
            <w:vAlign w:val="center"/>
          </w:tcPr>
          <w:p w14:paraId="67D291AB" w14:textId="77777777" w:rsidR="004A137D" w:rsidRDefault="004A137D" w:rsidP="004A137D">
            <w:pPr>
              <w:spacing w:line="240" w:lineRule="auto"/>
              <w:jc w:val="center"/>
              <w:rPr>
                <w:sz w:val="16"/>
                <w:szCs w:val="18"/>
              </w:rPr>
            </w:pPr>
            <w:r>
              <w:rPr>
                <w:sz w:val="16"/>
                <w:szCs w:val="18"/>
              </w:rPr>
              <w:t xml:space="preserve"> </w:t>
            </w:r>
            <w:r w:rsidRPr="009B0A6C">
              <w:rPr>
                <w:sz w:val="16"/>
                <w:szCs w:val="18"/>
              </w:rPr>
              <w:t>0.30</w:t>
            </w:r>
          </w:p>
        </w:tc>
        <w:tc>
          <w:tcPr>
            <w:tcW w:w="785" w:type="dxa"/>
            <w:vAlign w:val="center"/>
          </w:tcPr>
          <w:p w14:paraId="142B4B74" w14:textId="77777777" w:rsidR="004A137D" w:rsidRDefault="004A137D" w:rsidP="004A137D">
            <w:pPr>
              <w:spacing w:line="240" w:lineRule="auto"/>
              <w:jc w:val="center"/>
              <w:rPr>
                <w:sz w:val="16"/>
                <w:szCs w:val="18"/>
              </w:rPr>
            </w:pPr>
            <w:r w:rsidRPr="009B0A6C">
              <w:rPr>
                <w:sz w:val="16"/>
                <w:szCs w:val="18"/>
              </w:rPr>
              <w:t>0.02</w:t>
            </w:r>
          </w:p>
        </w:tc>
        <w:tc>
          <w:tcPr>
            <w:tcW w:w="999" w:type="dxa"/>
            <w:vAlign w:val="center"/>
          </w:tcPr>
          <w:p w14:paraId="5BFA5E0E" w14:textId="77777777" w:rsidR="004A137D" w:rsidRDefault="004A137D" w:rsidP="004A137D">
            <w:pPr>
              <w:spacing w:line="240" w:lineRule="auto"/>
              <w:jc w:val="center"/>
              <w:rPr>
                <w:sz w:val="16"/>
                <w:szCs w:val="18"/>
              </w:rPr>
            </w:pPr>
            <w:r w:rsidRPr="009B0A6C">
              <w:rPr>
                <w:sz w:val="16"/>
                <w:szCs w:val="18"/>
              </w:rPr>
              <w:t>0.298</w:t>
            </w:r>
          </w:p>
        </w:tc>
        <w:tc>
          <w:tcPr>
            <w:tcW w:w="988" w:type="dxa"/>
          </w:tcPr>
          <w:p w14:paraId="2EF732C7" w14:textId="77777777" w:rsidR="004A137D" w:rsidRPr="00D9353E" w:rsidRDefault="004A137D" w:rsidP="004A137D">
            <w:pPr>
              <w:spacing w:line="240" w:lineRule="auto"/>
              <w:jc w:val="center"/>
              <w:rPr>
                <w:sz w:val="16"/>
                <w:szCs w:val="18"/>
              </w:rPr>
            </w:pPr>
            <w:r w:rsidRPr="009B0A6C">
              <w:rPr>
                <w:sz w:val="16"/>
                <w:szCs w:val="18"/>
              </w:rPr>
              <w:t>-0.27</w:t>
            </w:r>
          </w:p>
        </w:tc>
        <w:tc>
          <w:tcPr>
            <w:tcW w:w="995" w:type="dxa"/>
          </w:tcPr>
          <w:p w14:paraId="5C63C127" w14:textId="77777777" w:rsidR="004A137D" w:rsidRPr="00D9353E" w:rsidRDefault="004A137D" w:rsidP="004A137D">
            <w:pPr>
              <w:spacing w:line="240" w:lineRule="auto"/>
              <w:jc w:val="center"/>
              <w:rPr>
                <w:sz w:val="16"/>
                <w:szCs w:val="18"/>
              </w:rPr>
            </w:pPr>
            <w:r w:rsidRPr="009B0A6C">
              <w:rPr>
                <w:sz w:val="16"/>
                <w:szCs w:val="18"/>
              </w:rPr>
              <w:t>0.87</w:t>
            </w:r>
          </w:p>
        </w:tc>
      </w:tr>
      <w:tr w:rsidR="004A137D" w:rsidRPr="00A2449A" w14:paraId="36F17E85" w14:textId="77777777" w:rsidTr="00AF2A65">
        <w:trPr>
          <w:jc w:val="center"/>
        </w:trPr>
        <w:tc>
          <w:tcPr>
            <w:tcW w:w="1132" w:type="dxa"/>
            <w:vMerge w:val="restart"/>
            <w:vAlign w:val="center"/>
          </w:tcPr>
          <w:p w14:paraId="65A8F62E" w14:textId="77777777" w:rsidR="004A137D" w:rsidRPr="00A2449A" w:rsidRDefault="004A137D" w:rsidP="004A137D">
            <w:pPr>
              <w:spacing w:line="240" w:lineRule="auto"/>
              <w:jc w:val="center"/>
              <w:rPr>
                <w:rFonts w:ascii="Avenir Heavy" w:hAnsi="Avenir Heavy"/>
                <w:sz w:val="16"/>
                <w:szCs w:val="18"/>
              </w:rPr>
            </w:pPr>
            <w:r w:rsidRPr="00A2449A">
              <w:rPr>
                <w:rFonts w:ascii="Avenir Heavy" w:hAnsi="Avenir Heavy"/>
                <w:sz w:val="16"/>
                <w:szCs w:val="18"/>
              </w:rPr>
              <w:t>Small k</w:t>
            </w:r>
          </w:p>
        </w:tc>
        <w:tc>
          <w:tcPr>
            <w:tcW w:w="2482" w:type="dxa"/>
            <w:vAlign w:val="center"/>
          </w:tcPr>
          <w:p w14:paraId="1DF94191" w14:textId="77777777" w:rsidR="004A137D" w:rsidRPr="00A2449A" w:rsidRDefault="004A137D" w:rsidP="004A137D">
            <w:pPr>
              <w:spacing w:line="240" w:lineRule="auto"/>
              <w:jc w:val="center"/>
              <w:rPr>
                <w:sz w:val="16"/>
                <w:szCs w:val="18"/>
              </w:rPr>
            </w:pPr>
            <w:r>
              <w:rPr>
                <w:sz w:val="16"/>
                <w:szCs w:val="18"/>
              </w:rPr>
              <w:t>Intercept</w:t>
            </w:r>
          </w:p>
        </w:tc>
        <w:tc>
          <w:tcPr>
            <w:tcW w:w="836" w:type="dxa"/>
          </w:tcPr>
          <w:p w14:paraId="7E551F01" w14:textId="77777777" w:rsidR="004A137D" w:rsidRPr="000A2378" w:rsidRDefault="004A137D" w:rsidP="004A137D">
            <w:pPr>
              <w:spacing w:line="240" w:lineRule="auto"/>
              <w:jc w:val="center"/>
              <w:rPr>
                <w:sz w:val="16"/>
                <w:szCs w:val="18"/>
              </w:rPr>
            </w:pPr>
            <w:r w:rsidRPr="00BC417E">
              <w:rPr>
                <w:sz w:val="16"/>
                <w:szCs w:val="18"/>
              </w:rPr>
              <w:t xml:space="preserve"> </w:t>
            </w:r>
          </w:p>
        </w:tc>
        <w:tc>
          <w:tcPr>
            <w:tcW w:w="785" w:type="dxa"/>
          </w:tcPr>
          <w:p w14:paraId="22936692" w14:textId="77777777" w:rsidR="004A137D" w:rsidRPr="000A2378" w:rsidRDefault="004A137D" w:rsidP="004A137D">
            <w:pPr>
              <w:spacing w:line="240" w:lineRule="auto"/>
              <w:jc w:val="center"/>
              <w:rPr>
                <w:sz w:val="16"/>
                <w:szCs w:val="18"/>
              </w:rPr>
            </w:pPr>
            <w:r w:rsidRPr="00D90771">
              <w:rPr>
                <w:sz w:val="16"/>
                <w:szCs w:val="18"/>
              </w:rPr>
              <w:t>0.04</w:t>
            </w:r>
            <w:r w:rsidRPr="00BC417E">
              <w:rPr>
                <w:sz w:val="16"/>
                <w:szCs w:val="18"/>
              </w:rPr>
              <w:t xml:space="preserve"> </w:t>
            </w:r>
          </w:p>
        </w:tc>
        <w:tc>
          <w:tcPr>
            <w:tcW w:w="999" w:type="dxa"/>
          </w:tcPr>
          <w:p w14:paraId="0BD2B699" w14:textId="77777777" w:rsidR="004A137D" w:rsidRPr="000A2378" w:rsidRDefault="004A137D" w:rsidP="004A137D">
            <w:pPr>
              <w:tabs>
                <w:tab w:val="left" w:pos="340"/>
                <w:tab w:val="center" w:pos="391"/>
              </w:tabs>
              <w:spacing w:line="240" w:lineRule="auto"/>
              <w:jc w:val="center"/>
              <w:rPr>
                <w:sz w:val="16"/>
                <w:szCs w:val="18"/>
              </w:rPr>
            </w:pPr>
            <w:r w:rsidRPr="00D90771">
              <w:rPr>
                <w:sz w:val="16"/>
                <w:szCs w:val="18"/>
              </w:rPr>
              <w:t>0.607</w:t>
            </w:r>
          </w:p>
        </w:tc>
        <w:tc>
          <w:tcPr>
            <w:tcW w:w="988" w:type="dxa"/>
          </w:tcPr>
          <w:p w14:paraId="2DB3D0F8" w14:textId="77777777" w:rsidR="004A137D" w:rsidRPr="000A2378" w:rsidRDefault="004A137D" w:rsidP="004A137D">
            <w:pPr>
              <w:spacing w:line="240" w:lineRule="auto"/>
              <w:jc w:val="center"/>
              <w:rPr>
                <w:sz w:val="16"/>
                <w:szCs w:val="18"/>
              </w:rPr>
            </w:pPr>
            <w:r w:rsidRPr="00BC417E">
              <w:rPr>
                <w:sz w:val="16"/>
                <w:szCs w:val="18"/>
              </w:rPr>
              <w:t xml:space="preserve"> </w:t>
            </w:r>
          </w:p>
        </w:tc>
        <w:tc>
          <w:tcPr>
            <w:tcW w:w="995" w:type="dxa"/>
          </w:tcPr>
          <w:p w14:paraId="66647536" w14:textId="77777777" w:rsidR="004A137D" w:rsidRPr="000A2378" w:rsidRDefault="004A137D" w:rsidP="004A137D">
            <w:pPr>
              <w:spacing w:line="240" w:lineRule="auto"/>
              <w:jc w:val="center"/>
              <w:rPr>
                <w:sz w:val="16"/>
                <w:szCs w:val="18"/>
              </w:rPr>
            </w:pPr>
            <w:r w:rsidRPr="00BC417E">
              <w:rPr>
                <w:sz w:val="16"/>
                <w:szCs w:val="18"/>
              </w:rPr>
              <w:t xml:space="preserve"> </w:t>
            </w:r>
          </w:p>
        </w:tc>
      </w:tr>
      <w:tr w:rsidR="004A137D" w:rsidRPr="00A2449A" w14:paraId="7C8FFD74" w14:textId="77777777" w:rsidTr="00AF2A65">
        <w:trPr>
          <w:jc w:val="center"/>
        </w:trPr>
        <w:tc>
          <w:tcPr>
            <w:tcW w:w="1132" w:type="dxa"/>
            <w:vMerge/>
            <w:vAlign w:val="center"/>
          </w:tcPr>
          <w:p w14:paraId="698F8F5A"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437B6422" w14:textId="77777777" w:rsidR="004A137D" w:rsidRPr="00A2449A" w:rsidRDefault="004A137D" w:rsidP="004A137D">
            <w:pPr>
              <w:spacing w:line="240" w:lineRule="auto"/>
              <w:jc w:val="center"/>
              <w:rPr>
                <w:sz w:val="16"/>
                <w:szCs w:val="18"/>
              </w:rPr>
            </w:pPr>
            <w:r w:rsidRPr="00A2449A">
              <w:rPr>
                <w:sz w:val="16"/>
                <w:szCs w:val="18"/>
              </w:rPr>
              <w:t>GAD-7</w:t>
            </w:r>
          </w:p>
        </w:tc>
        <w:tc>
          <w:tcPr>
            <w:tcW w:w="836" w:type="dxa"/>
          </w:tcPr>
          <w:p w14:paraId="6FBD5087" w14:textId="77777777" w:rsidR="004A137D" w:rsidRPr="000A2378" w:rsidRDefault="004A137D" w:rsidP="004A137D">
            <w:pPr>
              <w:spacing w:line="240" w:lineRule="auto"/>
              <w:jc w:val="center"/>
              <w:rPr>
                <w:sz w:val="16"/>
                <w:szCs w:val="18"/>
              </w:rPr>
            </w:pPr>
            <w:r w:rsidRPr="00BC417E">
              <w:rPr>
                <w:sz w:val="16"/>
                <w:szCs w:val="18"/>
              </w:rPr>
              <w:t xml:space="preserve"> </w:t>
            </w:r>
            <w:r w:rsidRPr="00D90771">
              <w:rPr>
                <w:sz w:val="16"/>
                <w:szCs w:val="18"/>
              </w:rPr>
              <w:t>0.11</w:t>
            </w:r>
          </w:p>
        </w:tc>
        <w:tc>
          <w:tcPr>
            <w:tcW w:w="785" w:type="dxa"/>
          </w:tcPr>
          <w:p w14:paraId="4CC745A0" w14:textId="77777777" w:rsidR="004A137D" w:rsidRPr="000A2378" w:rsidRDefault="004A137D" w:rsidP="004A137D">
            <w:pPr>
              <w:spacing w:line="240" w:lineRule="auto"/>
              <w:jc w:val="center"/>
              <w:rPr>
                <w:sz w:val="16"/>
                <w:szCs w:val="18"/>
              </w:rPr>
            </w:pPr>
            <w:r w:rsidRPr="00D90771">
              <w:rPr>
                <w:sz w:val="16"/>
                <w:szCs w:val="18"/>
              </w:rPr>
              <w:t>0.00</w:t>
            </w:r>
            <w:r w:rsidRPr="00BC417E">
              <w:rPr>
                <w:sz w:val="16"/>
                <w:szCs w:val="18"/>
              </w:rPr>
              <w:t xml:space="preserve"> </w:t>
            </w:r>
          </w:p>
        </w:tc>
        <w:tc>
          <w:tcPr>
            <w:tcW w:w="999" w:type="dxa"/>
          </w:tcPr>
          <w:p w14:paraId="13C6EB43" w14:textId="77777777" w:rsidR="004A137D" w:rsidRPr="000A2378" w:rsidRDefault="004A137D" w:rsidP="004A137D">
            <w:pPr>
              <w:spacing w:line="240" w:lineRule="auto"/>
              <w:jc w:val="center"/>
              <w:rPr>
                <w:sz w:val="16"/>
                <w:szCs w:val="18"/>
              </w:rPr>
            </w:pPr>
            <w:r w:rsidRPr="00D90771">
              <w:rPr>
                <w:sz w:val="16"/>
                <w:szCs w:val="18"/>
              </w:rPr>
              <w:t>0.581</w:t>
            </w:r>
            <w:r w:rsidRPr="00BC417E">
              <w:rPr>
                <w:sz w:val="16"/>
                <w:szCs w:val="18"/>
              </w:rPr>
              <w:t xml:space="preserve"> </w:t>
            </w:r>
          </w:p>
        </w:tc>
        <w:tc>
          <w:tcPr>
            <w:tcW w:w="988" w:type="dxa"/>
          </w:tcPr>
          <w:p w14:paraId="513C1E8A" w14:textId="77777777" w:rsidR="004A137D" w:rsidRPr="000A2378" w:rsidRDefault="004A137D" w:rsidP="004A137D">
            <w:pPr>
              <w:spacing w:line="240" w:lineRule="auto"/>
              <w:jc w:val="center"/>
              <w:rPr>
                <w:sz w:val="16"/>
                <w:szCs w:val="18"/>
              </w:rPr>
            </w:pPr>
            <w:r w:rsidRPr="00BC417E">
              <w:rPr>
                <w:sz w:val="16"/>
                <w:szCs w:val="18"/>
              </w:rPr>
              <w:t xml:space="preserve"> </w:t>
            </w:r>
            <w:r w:rsidRPr="00D90771">
              <w:rPr>
                <w:sz w:val="16"/>
                <w:szCs w:val="18"/>
              </w:rPr>
              <w:t>-0.28</w:t>
            </w:r>
          </w:p>
        </w:tc>
        <w:tc>
          <w:tcPr>
            <w:tcW w:w="995" w:type="dxa"/>
          </w:tcPr>
          <w:p w14:paraId="0A6C6CA0" w14:textId="77777777" w:rsidR="004A137D" w:rsidRPr="000A2378" w:rsidRDefault="004A137D" w:rsidP="004A137D">
            <w:pPr>
              <w:spacing w:line="240" w:lineRule="auto"/>
              <w:jc w:val="center"/>
              <w:rPr>
                <w:sz w:val="16"/>
                <w:szCs w:val="18"/>
              </w:rPr>
            </w:pPr>
            <w:r w:rsidRPr="00D90771">
              <w:rPr>
                <w:sz w:val="16"/>
                <w:szCs w:val="18"/>
              </w:rPr>
              <w:t>0.50</w:t>
            </w:r>
            <w:r w:rsidRPr="00BC417E">
              <w:rPr>
                <w:sz w:val="16"/>
                <w:szCs w:val="18"/>
              </w:rPr>
              <w:t xml:space="preserve"> </w:t>
            </w:r>
          </w:p>
        </w:tc>
      </w:tr>
      <w:tr w:rsidR="004A137D" w:rsidRPr="00A2449A" w14:paraId="416F3EDB" w14:textId="77777777" w:rsidTr="00AF2A65">
        <w:trPr>
          <w:jc w:val="center"/>
        </w:trPr>
        <w:tc>
          <w:tcPr>
            <w:tcW w:w="1132" w:type="dxa"/>
            <w:vMerge/>
            <w:vAlign w:val="center"/>
          </w:tcPr>
          <w:p w14:paraId="3AFB4859"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551345E3" w14:textId="77777777" w:rsidR="004A137D" w:rsidRPr="00A2449A" w:rsidRDefault="004A137D" w:rsidP="004A137D">
            <w:pPr>
              <w:spacing w:line="240" w:lineRule="auto"/>
              <w:jc w:val="center"/>
              <w:rPr>
                <w:sz w:val="16"/>
                <w:szCs w:val="18"/>
              </w:rPr>
            </w:pPr>
            <w:r>
              <w:rPr>
                <w:sz w:val="16"/>
                <w:szCs w:val="18"/>
              </w:rPr>
              <w:t>Female – Male</w:t>
            </w:r>
          </w:p>
        </w:tc>
        <w:tc>
          <w:tcPr>
            <w:tcW w:w="836" w:type="dxa"/>
          </w:tcPr>
          <w:p w14:paraId="5F6D0136" w14:textId="77777777" w:rsidR="004A137D" w:rsidRPr="000A2378" w:rsidRDefault="004A137D" w:rsidP="004A137D">
            <w:pPr>
              <w:spacing w:line="240" w:lineRule="auto"/>
              <w:jc w:val="center"/>
              <w:rPr>
                <w:sz w:val="16"/>
                <w:szCs w:val="18"/>
              </w:rPr>
            </w:pPr>
            <w:r w:rsidRPr="00BC417E">
              <w:rPr>
                <w:sz w:val="16"/>
                <w:szCs w:val="18"/>
              </w:rPr>
              <w:t xml:space="preserve"> </w:t>
            </w:r>
            <w:r w:rsidRPr="00D90771">
              <w:rPr>
                <w:sz w:val="16"/>
                <w:szCs w:val="18"/>
              </w:rPr>
              <w:t>0.02</w:t>
            </w:r>
          </w:p>
        </w:tc>
        <w:tc>
          <w:tcPr>
            <w:tcW w:w="785" w:type="dxa"/>
          </w:tcPr>
          <w:p w14:paraId="73D45619" w14:textId="77777777" w:rsidR="004A137D" w:rsidRPr="000A2378" w:rsidRDefault="004A137D" w:rsidP="004A137D">
            <w:pPr>
              <w:spacing w:line="240" w:lineRule="auto"/>
              <w:jc w:val="center"/>
              <w:rPr>
                <w:sz w:val="16"/>
                <w:szCs w:val="18"/>
              </w:rPr>
            </w:pPr>
            <w:r w:rsidRPr="00D90771">
              <w:rPr>
                <w:sz w:val="16"/>
                <w:szCs w:val="18"/>
              </w:rPr>
              <w:t>0.02</w:t>
            </w:r>
            <w:r w:rsidRPr="00BC417E">
              <w:rPr>
                <w:sz w:val="16"/>
                <w:szCs w:val="18"/>
              </w:rPr>
              <w:t xml:space="preserve"> </w:t>
            </w:r>
          </w:p>
        </w:tc>
        <w:tc>
          <w:tcPr>
            <w:tcW w:w="999" w:type="dxa"/>
          </w:tcPr>
          <w:p w14:paraId="33F7E2FC" w14:textId="77777777" w:rsidR="004A137D" w:rsidRPr="000A2378" w:rsidRDefault="004A137D" w:rsidP="004A137D">
            <w:pPr>
              <w:spacing w:line="240" w:lineRule="auto"/>
              <w:jc w:val="center"/>
              <w:rPr>
                <w:sz w:val="16"/>
                <w:szCs w:val="18"/>
              </w:rPr>
            </w:pPr>
            <w:r w:rsidRPr="00D90771">
              <w:rPr>
                <w:sz w:val="16"/>
                <w:szCs w:val="18"/>
              </w:rPr>
              <w:t>0.955</w:t>
            </w:r>
          </w:p>
        </w:tc>
        <w:tc>
          <w:tcPr>
            <w:tcW w:w="988" w:type="dxa"/>
          </w:tcPr>
          <w:p w14:paraId="47CBB896" w14:textId="77777777" w:rsidR="004A137D" w:rsidRPr="000A2378" w:rsidRDefault="004A137D" w:rsidP="004A137D">
            <w:pPr>
              <w:spacing w:line="240" w:lineRule="auto"/>
              <w:jc w:val="center"/>
              <w:rPr>
                <w:sz w:val="16"/>
                <w:szCs w:val="18"/>
              </w:rPr>
            </w:pPr>
            <w:r w:rsidRPr="00BC417E">
              <w:rPr>
                <w:sz w:val="16"/>
                <w:szCs w:val="18"/>
              </w:rPr>
              <w:t xml:space="preserve"> </w:t>
            </w:r>
            <w:r w:rsidRPr="00D90771">
              <w:rPr>
                <w:sz w:val="16"/>
                <w:szCs w:val="18"/>
              </w:rPr>
              <w:t>-0.62</w:t>
            </w:r>
          </w:p>
        </w:tc>
        <w:tc>
          <w:tcPr>
            <w:tcW w:w="995" w:type="dxa"/>
          </w:tcPr>
          <w:p w14:paraId="6D752091" w14:textId="77777777" w:rsidR="004A137D" w:rsidRPr="000A2378" w:rsidRDefault="004A137D" w:rsidP="004A137D">
            <w:pPr>
              <w:tabs>
                <w:tab w:val="left" w:pos="223"/>
                <w:tab w:val="center" w:pos="389"/>
              </w:tabs>
              <w:spacing w:line="240" w:lineRule="auto"/>
              <w:rPr>
                <w:sz w:val="16"/>
                <w:szCs w:val="18"/>
              </w:rPr>
            </w:pPr>
            <w:r>
              <w:rPr>
                <w:sz w:val="16"/>
                <w:szCs w:val="18"/>
              </w:rPr>
              <w:tab/>
            </w:r>
            <w:r w:rsidRPr="00D90771">
              <w:rPr>
                <w:sz w:val="16"/>
                <w:szCs w:val="18"/>
              </w:rPr>
              <w:t>0.66</w:t>
            </w:r>
            <w:r>
              <w:rPr>
                <w:sz w:val="16"/>
                <w:szCs w:val="18"/>
              </w:rPr>
              <w:tab/>
            </w:r>
            <w:r w:rsidRPr="00BC417E">
              <w:rPr>
                <w:sz w:val="16"/>
                <w:szCs w:val="18"/>
              </w:rPr>
              <w:t xml:space="preserve"> </w:t>
            </w:r>
          </w:p>
        </w:tc>
      </w:tr>
      <w:tr w:rsidR="004A137D" w:rsidRPr="00A2449A" w14:paraId="1451B877" w14:textId="77777777" w:rsidTr="00AF2A65">
        <w:trPr>
          <w:jc w:val="center"/>
        </w:trPr>
        <w:tc>
          <w:tcPr>
            <w:tcW w:w="1132" w:type="dxa"/>
            <w:vMerge/>
            <w:vAlign w:val="center"/>
          </w:tcPr>
          <w:p w14:paraId="63CB2BDA"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045E314D" w14:textId="77777777" w:rsidR="004A137D" w:rsidRPr="00A2449A" w:rsidRDefault="004A137D" w:rsidP="004A137D">
            <w:pPr>
              <w:spacing w:line="240" w:lineRule="auto"/>
              <w:jc w:val="center"/>
              <w:rPr>
                <w:sz w:val="16"/>
                <w:szCs w:val="18"/>
              </w:rPr>
            </w:pPr>
            <w:r>
              <w:rPr>
                <w:sz w:val="16"/>
                <w:szCs w:val="18"/>
              </w:rPr>
              <w:t>SES ladder</w:t>
            </w:r>
          </w:p>
        </w:tc>
        <w:tc>
          <w:tcPr>
            <w:tcW w:w="836" w:type="dxa"/>
          </w:tcPr>
          <w:p w14:paraId="2C96080D" w14:textId="77777777" w:rsidR="004A137D" w:rsidRPr="000A2378" w:rsidRDefault="004A137D" w:rsidP="004A137D">
            <w:pPr>
              <w:spacing w:line="240" w:lineRule="auto"/>
              <w:jc w:val="center"/>
              <w:rPr>
                <w:sz w:val="16"/>
                <w:szCs w:val="18"/>
              </w:rPr>
            </w:pPr>
            <w:r w:rsidRPr="00BC417E">
              <w:rPr>
                <w:sz w:val="16"/>
                <w:szCs w:val="18"/>
              </w:rPr>
              <w:t xml:space="preserve"> </w:t>
            </w:r>
            <w:r w:rsidRPr="00D90771">
              <w:rPr>
                <w:sz w:val="16"/>
                <w:szCs w:val="18"/>
              </w:rPr>
              <w:t>-0.27</w:t>
            </w:r>
          </w:p>
        </w:tc>
        <w:tc>
          <w:tcPr>
            <w:tcW w:w="785" w:type="dxa"/>
          </w:tcPr>
          <w:p w14:paraId="12BFB397" w14:textId="77777777" w:rsidR="004A137D" w:rsidRPr="000A2378" w:rsidRDefault="004A137D" w:rsidP="004A137D">
            <w:pPr>
              <w:spacing w:line="240" w:lineRule="auto"/>
              <w:jc w:val="center"/>
              <w:rPr>
                <w:sz w:val="16"/>
                <w:szCs w:val="18"/>
              </w:rPr>
            </w:pPr>
            <w:r w:rsidRPr="00D90771">
              <w:rPr>
                <w:sz w:val="16"/>
                <w:szCs w:val="18"/>
              </w:rPr>
              <w:t>0.00</w:t>
            </w:r>
            <w:r w:rsidRPr="00BC417E">
              <w:rPr>
                <w:sz w:val="16"/>
                <w:szCs w:val="18"/>
              </w:rPr>
              <w:t xml:space="preserve"> </w:t>
            </w:r>
          </w:p>
        </w:tc>
        <w:tc>
          <w:tcPr>
            <w:tcW w:w="999" w:type="dxa"/>
          </w:tcPr>
          <w:p w14:paraId="5F596BAA" w14:textId="77777777" w:rsidR="004A137D" w:rsidRPr="000A2378" w:rsidRDefault="004A137D" w:rsidP="004A137D">
            <w:pPr>
              <w:spacing w:line="240" w:lineRule="auto"/>
              <w:jc w:val="center"/>
              <w:rPr>
                <w:sz w:val="16"/>
                <w:szCs w:val="18"/>
              </w:rPr>
            </w:pPr>
            <w:r w:rsidRPr="00BC417E">
              <w:rPr>
                <w:sz w:val="16"/>
                <w:szCs w:val="18"/>
              </w:rPr>
              <w:t xml:space="preserve"> </w:t>
            </w:r>
            <w:r w:rsidRPr="00D90771">
              <w:rPr>
                <w:sz w:val="16"/>
                <w:szCs w:val="18"/>
              </w:rPr>
              <w:t>0.076</w:t>
            </w:r>
          </w:p>
        </w:tc>
        <w:tc>
          <w:tcPr>
            <w:tcW w:w="988" w:type="dxa"/>
          </w:tcPr>
          <w:p w14:paraId="0484415D" w14:textId="77777777" w:rsidR="004A137D" w:rsidRPr="000A2378" w:rsidRDefault="004A137D" w:rsidP="004A137D">
            <w:pPr>
              <w:tabs>
                <w:tab w:val="left" w:pos="275"/>
                <w:tab w:val="center" w:pos="386"/>
              </w:tabs>
              <w:spacing w:line="240" w:lineRule="auto"/>
              <w:jc w:val="center"/>
              <w:rPr>
                <w:sz w:val="16"/>
                <w:szCs w:val="18"/>
              </w:rPr>
            </w:pPr>
            <w:r w:rsidRPr="00D90771">
              <w:rPr>
                <w:sz w:val="16"/>
                <w:szCs w:val="18"/>
              </w:rPr>
              <w:t>-0.58</w:t>
            </w:r>
          </w:p>
        </w:tc>
        <w:tc>
          <w:tcPr>
            <w:tcW w:w="995" w:type="dxa"/>
          </w:tcPr>
          <w:p w14:paraId="60CC2FC6" w14:textId="77777777" w:rsidR="004A137D" w:rsidRPr="000A2378" w:rsidRDefault="004A137D" w:rsidP="004A137D">
            <w:pPr>
              <w:spacing w:line="240" w:lineRule="auto"/>
              <w:jc w:val="center"/>
              <w:rPr>
                <w:sz w:val="16"/>
                <w:szCs w:val="18"/>
              </w:rPr>
            </w:pPr>
            <w:r w:rsidRPr="00BC417E">
              <w:rPr>
                <w:sz w:val="16"/>
                <w:szCs w:val="18"/>
              </w:rPr>
              <w:t xml:space="preserve"> </w:t>
            </w:r>
            <w:r w:rsidRPr="00D90771">
              <w:rPr>
                <w:sz w:val="16"/>
                <w:szCs w:val="18"/>
              </w:rPr>
              <w:t>0.03</w:t>
            </w:r>
          </w:p>
        </w:tc>
      </w:tr>
      <w:tr w:rsidR="004A137D" w:rsidRPr="00A2449A" w14:paraId="21AB9AB8" w14:textId="77777777" w:rsidTr="00AF2A65">
        <w:trPr>
          <w:jc w:val="center"/>
        </w:trPr>
        <w:tc>
          <w:tcPr>
            <w:tcW w:w="1132" w:type="dxa"/>
            <w:vMerge/>
            <w:vAlign w:val="center"/>
          </w:tcPr>
          <w:p w14:paraId="1E1E7889"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1202E84E" w14:textId="77777777" w:rsidR="004A137D" w:rsidRDefault="004A137D" w:rsidP="004A137D">
            <w:pPr>
              <w:spacing w:line="240" w:lineRule="auto"/>
              <w:jc w:val="center"/>
              <w:rPr>
                <w:sz w:val="16"/>
                <w:szCs w:val="18"/>
              </w:rPr>
            </w:pPr>
            <w:r>
              <w:rPr>
                <w:sz w:val="16"/>
                <w:szCs w:val="18"/>
              </w:rPr>
              <w:t>Currently anxious</w:t>
            </w:r>
          </w:p>
          <w:p w14:paraId="1496A539" w14:textId="77777777" w:rsidR="004A137D" w:rsidRDefault="004A137D" w:rsidP="004A137D">
            <w:pPr>
              <w:spacing w:line="240" w:lineRule="auto"/>
              <w:jc w:val="center"/>
              <w:rPr>
                <w:sz w:val="16"/>
                <w:szCs w:val="18"/>
              </w:rPr>
            </w:pPr>
            <w:r>
              <w:rPr>
                <w:sz w:val="16"/>
                <w:szCs w:val="18"/>
              </w:rPr>
              <w:t>2-1</w:t>
            </w:r>
          </w:p>
          <w:p w14:paraId="724D279D" w14:textId="77777777" w:rsidR="004A137D" w:rsidRDefault="004A137D" w:rsidP="004A137D">
            <w:pPr>
              <w:spacing w:line="240" w:lineRule="auto"/>
              <w:jc w:val="center"/>
              <w:rPr>
                <w:sz w:val="16"/>
                <w:szCs w:val="18"/>
              </w:rPr>
            </w:pPr>
            <w:r>
              <w:rPr>
                <w:sz w:val="16"/>
                <w:szCs w:val="18"/>
              </w:rPr>
              <w:t>3-1</w:t>
            </w:r>
          </w:p>
          <w:p w14:paraId="14F59CD0" w14:textId="77777777" w:rsidR="004A137D" w:rsidRDefault="004A137D" w:rsidP="004A137D">
            <w:pPr>
              <w:spacing w:line="240" w:lineRule="auto"/>
              <w:jc w:val="center"/>
              <w:rPr>
                <w:sz w:val="16"/>
                <w:szCs w:val="18"/>
              </w:rPr>
            </w:pPr>
            <w:r>
              <w:rPr>
                <w:sz w:val="16"/>
                <w:szCs w:val="18"/>
              </w:rPr>
              <w:t>4-1</w:t>
            </w:r>
          </w:p>
          <w:p w14:paraId="2D8D84E5" w14:textId="77777777" w:rsidR="004A137D" w:rsidRDefault="004A137D" w:rsidP="004A137D">
            <w:pPr>
              <w:spacing w:line="240" w:lineRule="auto"/>
              <w:jc w:val="center"/>
              <w:rPr>
                <w:sz w:val="16"/>
                <w:szCs w:val="18"/>
              </w:rPr>
            </w:pPr>
            <w:r>
              <w:rPr>
                <w:sz w:val="16"/>
                <w:szCs w:val="18"/>
              </w:rPr>
              <w:t>5-1</w:t>
            </w:r>
          </w:p>
          <w:p w14:paraId="29301AE9" w14:textId="77777777" w:rsidR="004A137D" w:rsidRDefault="004A137D" w:rsidP="004A137D">
            <w:pPr>
              <w:spacing w:line="240" w:lineRule="auto"/>
              <w:jc w:val="center"/>
              <w:rPr>
                <w:sz w:val="16"/>
                <w:szCs w:val="18"/>
              </w:rPr>
            </w:pPr>
            <w:r>
              <w:rPr>
                <w:sz w:val="16"/>
                <w:szCs w:val="18"/>
              </w:rPr>
              <w:t>6-1</w:t>
            </w:r>
          </w:p>
          <w:p w14:paraId="35852EB1" w14:textId="77777777" w:rsidR="004A137D" w:rsidRPr="00A2449A" w:rsidRDefault="004A137D" w:rsidP="004A137D">
            <w:pPr>
              <w:spacing w:line="240" w:lineRule="auto"/>
              <w:jc w:val="center"/>
              <w:rPr>
                <w:sz w:val="16"/>
                <w:szCs w:val="18"/>
              </w:rPr>
            </w:pPr>
            <w:r>
              <w:rPr>
                <w:sz w:val="16"/>
                <w:szCs w:val="18"/>
              </w:rPr>
              <w:t>7-1</w:t>
            </w:r>
          </w:p>
        </w:tc>
        <w:tc>
          <w:tcPr>
            <w:tcW w:w="836" w:type="dxa"/>
          </w:tcPr>
          <w:p w14:paraId="515D122B" w14:textId="77777777" w:rsidR="004A137D" w:rsidRDefault="004A137D" w:rsidP="004A137D">
            <w:pPr>
              <w:spacing w:line="240" w:lineRule="auto"/>
              <w:jc w:val="center"/>
              <w:rPr>
                <w:sz w:val="16"/>
                <w:szCs w:val="18"/>
              </w:rPr>
            </w:pPr>
          </w:p>
          <w:p w14:paraId="7A8EDB9A" w14:textId="77777777" w:rsidR="004A137D" w:rsidRPr="00D90771" w:rsidRDefault="004A137D" w:rsidP="004A137D">
            <w:pPr>
              <w:spacing w:line="240" w:lineRule="auto"/>
              <w:jc w:val="center"/>
              <w:rPr>
                <w:sz w:val="16"/>
                <w:szCs w:val="18"/>
              </w:rPr>
            </w:pPr>
            <w:r w:rsidRPr="00D90771">
              <w:rPr>
                <w:sz w:val="16"/>
                <w:szCs w:val="18"/>
              </w:rPr>
              <w:t>0.49</w:t>
            </w:r>
          </w:p>
          <w:p w14:paraId="558B96EF" w14:textId="77777777" w:rsidR="004A137D" w:rsidRPr="00D90771" w:rsidRDefault="004A137D" w:rsidP="004A137D">
            <w:pPr>
              <w:spacing w:line="240" w:lineRule="auto"/>
              <w:jc w:val="center"/>
              <w:rPr>
                <w:sz w:val="16"/>
                <w:szCs w:val="18"/>
              </w:rPr>
            </w:pPr>
            <w:r w:rsidRPr="00D90771">
              <w:rPr>
                <w:sz w:val="16"/>
                <w:szCs w:val="18"/>
              </w:rPr>
              <w:t>0.25</w:t>
            </w:r>
          </w:p>
          <w:p w14:paraId="672A2F8E" w14:textId="77777777" w:rsidR="004A137D" w:rsidRPr="00D90771" w:rsidRDefault="004A137D" w:rsidP="004A137D">
            <w:pPr>
              <w:spacing w:line="240" w:lineRule="auto"/>
              <w:jc w:val="center"/>
              <w:rPr>
                <w:sz w:val="16"/>
                <w:szCs w:val="18"/>
              </w:rPr>
            </w:pPr>
            <w:r w:rsidRPr="00D90771">
              <w:rPr>
                <w:sz w:val="16"/>
                <w:szCs w:val="18"/>
              </w:rPr>
              <w:t>0.65</w:t>
            </w:r>
          </w:p>
          <w:p w14:paraId="586F4788" w14:textId="77777777" w:rsidR="004A137D" w:rsidRPr="00D90771" w:rsidRDefault="004A137D" w:rsidP="004A137D">
            <w:pPr>
              <w:spacing w:line="240" w:lineRule="auto"/>
              <w:jc w:val="center"/>
              <w:rPr>
                <w:sz w:val="16"/>
                <w:szCs w:val="18"/>
              </w:rPr>
            </w:pPr>
            <w:r w:rsidRPr="00D90771">
              <w:rPr>
                <w:sz w:val="16"/>
                <w:szCs w:val="18"/>
              </w:rPr>
              <w:t>0.45</w:t>
            </w:r>
          </w:p>
          <w:p w14:paraId="40180A4B" w14:textId="77777777" w:rsidR="004A137D" w:rsidRPr="00D90771" w:rsidRDefault="004A137D" w:rsidP="004A137D">
            <w:pPr>
              <w:spacing w:line="240" w:lineRule="auto"/>
              <w:jc w:val="center"/>
              <w:rPr>
                <w:sz w:val="16"/>
                <w:szCs w:val="18"/>
              </w:rPr>
            </w:pPr>
            <w:r w:rsidRPr="00D90771">
              <w:rPr>
                <w:sz w:val="16"/>
                <w:szCs w:val="18"/>
              </w:rPr>
              <w:t>-0.20</w:t>
            </w:r>
          </w:p>
          <w:p w14:paraId="754FA992" w14:textId="77777777" w:rsidR="004A137D" w:rsidRPr="000A2378" w:rsidRDefault="004A137D" w:rsidP="004A137D">
            <w:pPr>
              <w:spacing w:line="240" w:lineRule="auto"/>
              <w:jc w:val="center"/>
              <w:rPr>
                <w:sz w:val="16"/>
                <w:szCs w:val="18"/>
              </w:rPr>
            </w:pPr>
            <w:r w:rsidRPr="00D90771">
              <w:rPr>
                <w:sz w:val="16"/>
                <w:szCs w:val="18"/>
              </w:rPr>
              <w:t>1.02</w:t>
            </w:r>
            <w:r w:rsidRPr="00BC417E">
              <w:rPr>
                <w:sz w:val="16"/>
                <w:szCs w:val="18"/>
              </w:rPr>
              <w:t xml:space="preserve"> </w:t>
            </w:r>
          </w:p>
        </w:tc>
        <w:tc>
          <w:tcPr>
            <w:tcW w:w="785" w:type="dxa"/>
          </w:tcPr>
          <w:p w14:paraId="0C294D70" w14:textId="77777777" w:rsidR="004A137D" w:rsidRDefault="004A137D" w:rsidP="004A137D">
            <w:pPr>
              <w:spacing w:line="240" w:lineRule="auto"/>
              <w:jc w:val="center"/>
              <w:rPr>
                <w:sz w:val="16"/>
                <w:szCs w:val="18"/>
              </w:rPr>
            </w:pPr>
            <w:r w:rsidRPr="00BC417E">
              <w:rPr>
                <w:sz w:val="16"/>
                <w:szCs w:val="18"/>
              </w:rPr>
              <w:t xml:space="preserve"> </w:t>
            </w:r>
          </w:p>
          <w:p w14:paraId="278C7DDB" w14:textId="77777777" w:rsidR="004A137D" w:rsidRPr="00D90771" w:rsidRDefault="004A137D" w:rsidP="004A137D">
            <w:pPr>
              <w:spacing w:line="240" w:lineRule="auto"/>
              <w:jc w:val="center"/>
              <w:rPr>
                <w:sz w:val="16"/>
                <w:szCs w:val="18"/>
              </w:rPr>
            </w:pPr>
            <w:r w:rsidRPr="00D90771">
              <w:rPr>
                <w:sz w:val="16"/>
                <w:szCs w:val="18"/>
              </w:rPr>
              <w:t>0.03</w:t>
            </w:r>
          </w:p>
          <w:p w14:paraId="53C50EED" w14:textId="77777777" w:rsidR="004A137D" w:rsidRPr="00D90771" w:rsidRDefault="004A137D" w:rsidP="004A137D">
            <w:pPr>
              <w:spacing w:line="240" w:lineRule="auto"/>
              <w:jc w:val="center"/>
              <w:rPr>
                <w:sz w:val="16"/>
                <w:szCs w:val="18"/>
              </w:rPr>
            </w:pPr>
            <w:r w:rsidRPr="00D90771">
              <w:rPr>
                <w:sz w:val="16"/>
                <w:szCs w:val="18"/>
              </w:rPr>
              <w:t>0.03</w:t>
            </w:r>
          </w:p>
          <w:p w14:paraId="49DA882B" w14:textId="77777777" w:rsidR="004A137D" w:rsidRPr="00D90771" w:rsidRDefault="004A137D" w:rsidP="004A137D">
            <w:pPr>
              <w:spacing w:line="240" w:lineRule="auto"/>
              <w:jc w:val="center"/>
              <w:rPr>
                <w:sz w:val="16"/>
                <w:szCs w:val="18"/>
              </w:rPr>
            </w:pPr>
            <w:r w:rsidRPr="00D90771">
              <w:rPr>
                <w:sz w:val="16"/>
                <w:szCs w:val="18"/>
              </w:rPr>
              <w:t>0.03</w:t>
            </w:r>
          </w:p>
          <w:p w14:paraId="5FA6ACF1" w14:textId="77777777" w:rsidR="004A137D" w:rsidRPr="00D90771" w:rsidRDefault="004A137D" w:rsidP="004A137D">
            <w:pPr>
              <w:spacing w:line="240" w:lineRule="auto"/>
              <w:jc w:val="center"/>
              <w:rPr>
                <w:sz w:val="16"/>
                <w:szCs w:val="18"/>
              </w:rPr>
            </w:pPr>
            <w:r w:rsidRPr="00D90771">
              <w:rPr>
                <w:sz w:val="16"/>
                <w:szCs w:val="18"/>
              </w:rPr>
              <w:t>0.03</w:t>
            </w:r>
          </w:p>
          <w:p w14:paraId="184572CB" w14:textId="77777777" w:rsidR="004A137D" w:rsidRPr="00D90771" w:rsidRDefault="004A137D" w:rsidP="004A137D">
            <w:pPr>
              <w:spacing w:line="240" w:lineRule="auto"/>
              <w:jc w:val="center"/>
              <w:rPr>
                <w:sz w:val="16"/>
                <w:szCs w:val="18"/>
              </w:rPr>
            </w:pPr>
            <w:r w:rsidRPr="00D90771">
              <w:rPr>
                <w:sz w:val="16"/>
                <w:szCs w:val="18"/>
              </w:rPr>
              <w:t>0.04</w:t>
            </w:r>
          </w:p>
          <w:p w14:paraId="3B519609" w14:textId="77777777" w:rsidR="004A137D" w:rsidRPr="000A2378" w:rsidRDefault="004A137D" w:rsidP="004A137D">
            <w:pPr>
              <w:spacing w:line="240" w:lineRule="auto"/>
              <w:jc w:val="center"/>
              <w:rPr>
                <w:sz w:val="16"/>
                <w:szCs w:val="18"/>
              </w:rPr>
            </w:pPr>
            <w:r w:rsidRPr="00D90771">
              <w:rPr>
                <w:sz w:val="16"/>
                <w:szCs w:val="18"/>
              </w:rPr>
              <w:t>0.04</w:t>
            </w:r>
          </w:p>
        </w:tc>
        <w:tc>
          <w:tcPr>
            <w:tcW w:w="999" w:type="dxa"/>
          </w:tcPr>
          <w:p w14:paraId="43F5AB44" w14:textId="77777777" w:rsidR="004A137D" w:rsidRDefault="004A137D" w:rsidP="004A137D">
            <w:pPr>
              <w:spacing w:line="240" w:lineRule="auto"/>
              <w:jc w:val="center"/>
              <w:rPr>
                <w:sz w:val="16"/>
                <w:szCs w:val="18"/>
              </w:rPr>
            </w:pPr>
          </w:p>
          <w:p w14:paraId="42B81AEE" w14:textId="77777777" w:rsidR="004A137D" w:rsidRPr="00D90771" w:rsidRDefault="004A137D" w:rsidP="004A137D">
            <w:pPr>
              <w:spacing w:line="240" w:lineRule="auto"/>
              <w:jc w:val="center"/>
              <w:rPr>
                <w:sz w:val="16"/>
                <w:szCs w:val="18"/>
              </w:rPr>
            </w:pPr>
            <w:r w:rsidRPr="00D90771">
              <w:rPr>
                <w:sz w:val="16"/>
                <w:szCs w:val="18"/>
              </w:rPr>
              <w:t>0.280</w:t>
            </w:r>
          </w:p>
          <w:p w14:paraId="2BEE0463" w14:textId="77777777" w:rsidR="004A137D" w:rsidRPr="00D90771" w:rsidRDefault="004A137D" w:rsidP="004A137D">
            <w:pPr>
              <w:spacing w:line="240" w:lineRule="auto"/>
              <w:jc w:val="center"/>
              <w:rPr>
                <w:sz w:val="16"/>
                <w:szCs w:val="18"/>
              </w:rPr>
            </w:pPr>
            <w:r w:rsidRPr="00D90771">
              <w:rPr>
                <w:sz w:val="16"/>
                <w:szCs w:val="18"/>
              </w:rPr>
              <w:t>0.603</w:t>
            </w:r>
          </w:p>
          <w:p w14:paraId="652B2154" w14:textId="77777777" w:rsidR="004A137D" w:rsidRPr="00D90771" w:rsidRDefault="004A137D" w:rsidP="004A137D">
            <w:pPr>
              <w:spacing w:line="240" w:lineRule="auto"/>
              <w:jc w:val="center"/>
              <w:rPr>
                <w:sz w:val="16"/>
                <w:szCs w:val="18"/>
              </w:rPr>
            </w:pPr>
            <w:r w:rsidRPr="00D90771">
              <w:rPr>
                <w:sz w:val="16"/>
                <w:szCs w:val="18"/>
              </w:rPr>
              <w:t>0.161</w:t>
            </w:r>
          </w:p>
          <w:p w14:paraId="42AA8BC7" w14:textId="77777777" w:rsidR="004A137D" w:rsidRPr="00D90771" w:rsidRDefault="004A137D" w:rsidP="004A137D">
            <w:pPr>
              <w:spacing w:line="240" w:lineRule="auto"/>
              <w:jc w:val="center"/>
              <w:rPr>
                <w:sz w:val="16"/>
                <w:szCs w:val="18"/>
              </w:rPr>
            </w:pPr>
            <w:r w:rsidRPr="00D90771">
              <w:rPr>
                <w:sz w:val="16"/>
                <w:szCs w:val="18"/>
              </w:rPr>
              <w:t>0.367</w:t>
            </w:r>
          </w:p>
          <w:p w14:paraId="23C1193A" w14:textId="77777777" w:rsidR="004A137D" w:rsidRPr="00D90771" w:rsidRDefault="004A137D" w:rsidP="004A137D">
            <w:pPr>
              <w:spacing w:line="240" w:lineRule="auto"/>
              <w:jc w:val="center"/>
              <w:rPr>
                <w:sz w:val="16"/>
                <w:szCs w:val="18"/>
              </w:rPr>
            </w:pPr>
            <w:r w:rsidRPr="00D90771">
              <w:rPr>
                <w:sz w:val="16"/>
                <w:szCs w:val="18"/>
              </w:rPr>
              <w:t>0.765</w:t>
            </w:r>
          </w:p>
          <w:p w14:paraId="41F187EF" w14:textId="77777777" w:rsidR="004A137D" w:rsidRPr="000A2378" w:rsidRDefault="004A137D" w:rsidP="004A137D">
            <w:pPr>
              <w:spacing w:line="240" w:lineRule="auto"/>
              <w:jc w:val="center"/>
              <w:rPr>
                <w:sz w:val="16"/>
                <w:szCs w:val="18"/>
              </w:rPr>
            </w:pPr>
            <w:r w:rsidRPr="00D90771">
              <w:rPr>
                <w:sz w:val="16"/>
                <w:szCs w:val="18"/>
              </w:rPr>
              <w:t>0.145</w:t>
            </w:r>
            <w:r w:rsidRPr="00BC417E">
              <w:rPr>
                <w:sz w:val="16"/>
                <w:szCs w:val="18"/>
              </w:rPr>
              <w:t xml:space="preserve"> </w:t>
            </w:r>
          </w:p>
        </w:tc>
        <w:tc>
          <w:tcPr>
            <w:tcW w:w="988" w:type="dxa"/>
          </w:tcPr>
          <w:p w14:paraId="69F8A8B3" w14:textId="77777777" w:rsidR="004A137D" w:rsidRDefault="004A137D" w:rsidP="004A137D">
            <w:pPr>
              <w:spacing w:line="240" w:lineRule="auto"/>
              <w:jc w:val="center"/>
              <w:rPr>
                <w:sz w:val="16"/>
                <w:szCs w:val="18"/>
              </w:rPr>
            </w:pPr>
          </w:p>
          <w:p w14:paraId="036CC2CF" w14:textId="77777777" w:rsidR="004A137D" w:rsidRPr="00D90771" w:rsidRDefault="004A137D" w:rsidP="004A137D">
            <w:pPr>
              <w:spacing w:line="240" w:lineRule="auto"/>
              <w:jc w:val="center"/>
              <w:rPr>
                <w:sz w:val="16"/>
                <w:szCs w:val="18"/>
              </w:rPr>
            </w:pPr>
            <w:r w:rsidRPr="00D90771">
              <w:rPr>
                <w:sz w:val="16"/>
                <w:szCs w:val="18"/>
              </w:rPr>
              <w:t>-0.41</w:t>
            </w:r>
          </w:p>
          <w:p w14:paraId="7E7A2243" w14:textId="77777777" w:rsidR="004A137D" w:rsidRPr="00D90771" w:rsidRDefault="004A137D" w:rsidP="004A137D">
            <w:pPr>
              <w:spacing w:line="240" w:lineRule="auto"/>
              <w:jc w:val="center"/>
              <w:rPr>
                <w:sz w:val="16"/>
                <w:szCs w:val="18"/>
              </w:rPr>
            </w:pPr>
            <w:r w:rsidRPr="00D90771">
              <w:rPr>
                <w:sz w:val="16"/>
                <w:szCs w:val="18"/>
              </w:rPr>
              <w:t>-0.72</w:t>
            </w:r>
          </w:p>
          <w:p w14:paraId="2E8164D8" w14:textId="77777777" w:rsidR="004A137D" w:rsidRPr="00D90771" w:rsidRDefault="004A137D" w:rsidP="004A137D">
            <w:pPr>
              <w:spacing w:line="240" w:lineRule="auto"/>
              <w:jc w:val="center"/>
              <w:rPr>
                <w:sz w:val="16"/>
                <w:szCs w:val="18"/>
              </w:rPr>
            </w:pPr>
            <w:r w:rsidRPr="00D90771">
              <w:rPr>
                <w:sz w:val="16"/>
                <w:szCs w:val="18"/>
              </w:rPr>
              <w:t>-0.27</w:t>
            </w:r>
          </w:p>
          <w:p w14:paraId="350679BA" w14:textId="77777777" w:rsidR="004A137D" w:rsidRPr="00D90771" w:rsidRDefault="004A137D" w:rsidP="004A137D">
            <w:pPr>
              <w:spacing w:line="240" w:lineRule="auto"/>
              <w:jc w:val="center"/>
              <w:rPr>
                <w:sz w:val="16"/>
                <w:szCs w:val="18"/>
              </w:rPr>
            </w:pPr>
            <w:r w:rsidRPr="00D90771">
              <w:rPr>
                <w:sz w:val="16"/>
                <w:szCs w:val="18"/>
              </w:rPr>
              <w:t>-0.54</w:t>
            </w:r>
          </w:p>
          <w:p w14:paraId="5478A471" w14:textId="77777777" w:rsidR="004A137D" w:rsidRPr="00D90771" w:rsidRDefault="004A137D" w:rsidP="004A137D">
            <w:pPr>
              <w:spacing w:line="240" w:lineRule="auto"/>
              <w:jc w:val="center"/>
              <w:rPr>
                <w:sz w:val="16"/>
                <w:szCs w:val="18"/>
              </w:rPr>
            </w:pPr>
            <w:r w:rsidRPr="00D90771">
              <w:rPr>
                <w:sz w:val="16"/>
                <w:szCs w:val="18"/>
              </w:rPr>
              <w:t>-1.54</w:t>
            </w:r>
          </w:p>
          <w:p w14:paraId="33497505" w14:textId="77777777" w:rsidR="004A137D" w:rsidRPr="000A2378" w:rsidRDefault="004A137D" w:rsidP="004A137D">
            <w:pPr>
              <w:spacing w:line="240" w:lineRule="auto"/>
              <w:jc w:val="center"/>
              <w:rPr>
                <w:sz w:val="16"/>
                <w:szCs w:val="18"/>
              </w:rPr>
            </w:pPr>
            <w:r w:rsidRPr="00D90771">
              <w:rPr>
                <w:sz w:val="16"/>
                <w:szCs w:val="18"/>
              </w:rPr>
              <w:t>-0.37</w:t>
            </w:r>
            <w:r w:rsidRPr="00BC417E">
              <w:rPr>
                <w:sz w:val="16"/>
                <w:szCs w:val="18"/>
              </w:rPr>
              <w:t xml:space="preserve"> </w:t>
            </w:r>
          </w:p>
        </w:tc>
        <w:tc>
          <w:tcPr>
            <w:tcW w:w="995" w:type="dxa"/>
          </w:tcPr>
          <w:p w14:paraId="241AFEDC" w14:textId="77777777" w:rsidR="004A137D" w:rsidRDefault="004A137D" w:rsidP="004A137D">
            <w:pPr>
              <w:spacing w:line="240" w:lineRule="auto"/>
              <w:jc w:val="center"/>
              <w:rPr>
                <w:sz w:val="16"/>
                <w:szCs w:val="18"/>
              </w:rPr>
            </w:pPr>
          </w:p>
          <w:p w14:paraId="3AB000AF" w14:textId="77777777" w:rsidR="004A137D" w:rsidRPr="00D90771" w:rsidRDefault="004A137D" w:rsidP="004A137D">
            <w:pPr>
              <w:spacing w:line="240" w:lineRule="auto"/>
              <w:jc w:val="center"/>
              <w:rPr>
                <w:sz w:val="16"/>
                <w:szCs w:val="18"/>
              </w:rPr>
            </w:pPr>
            <w:r w:rsidRPr="00D90771">
              <w:rPr>
                <w:sz w:val="16"/>
                <w:szCs w:val="18"/>
              </w:rPr>
              <w:t>1.40</w:t>
            </w:r>
          </w:p>
          <w:p w14:paraId="0D170D59" w14:textId="77777777" w:rsidR="004A137D" w:rsidRPr="00D90771" w:rsidRDefault="004A137D" w:rsidP="004A137D">
            <w:pPr>
              <w:spacing w:line="240" w:lineRule="auto"/>
              <w:jc w:val="center"/>
              <w:rPr>
                <w:sz w:val="16"/>
                <w:szCs w:val="18"/>
              </w:rPr>
            </w:pPr>
            <w:r w:rsidRPr="00D90771">
              <w:rPr>
                <w:sz w:val="16"/>
                <w:szCs w:val="18"/>
              </w:rPr>
              <w:t>1.23</w:t>
            </w:r>
          </w:p>
          <w:p w14:paraId="4867C5A8" w14:textId="77777777" w:rsidR="004A137D" w:rsidRPr="00D90771" w:rsidRDefault="004A137D" w:rsidP="004A137D">
            <w:pPr>
              <w:spacing w:line="240" w:lineRule="auto"/>
              <w:jc w:val="center"/>
              <w:rPr>
                <w:sz w:val="16"/>
                <w:szCs w:val="18"/>
              </w:rPr>
            </w:pPr>
            <w:r w:rsidRPr="00D90771">
              <w:rPr>
                <w:sz w:val="16"/>
                <w:szCs w:val="18"/>
              </w:rPr>
              <w:t>1.56</w:t>
            </w:r>
          </w:p>
          <w:p w14:paraId="50168BF5" w14:textId="77777777" w:rsidR="004A137D" w:rsidRPr="00D90771" w:rsidRDefault="004A137D" w:rsidP="004A137D">
            <w:pPr>
              <w:spacing w:line="240" w:lineRule="auto"/>
              <w:jc w:val="center"/>
              <w:rPr>
                <w:sz w:val="16"/>
                <w:szCs w:val="18"/>
              </w:rPr>
            </w:pPr>
            <w:r w:rsidRPr="00D90771">
              <w:rPr>
                <w:sz w:val="16"/>
                <w:szCs w:val="18"/>
              </w:rPr>
              <w:t>1.44</w:t>
            </w:r>
          </w:p>
          <w:p w14:paraId="0C040C40" w14:textId="77777777" w:rsidR="004A137D" w:rsidRPr="00D90771" w:rsidRDefault="004A137D" w:rsidP="004A137D">
            <w:pPr>
              <w:spacing w:line="240" w:lineRule="auto"/>
              <w:jc w:val="center"/>
              <w:rPr>
                <w:sz w:val="16"/>
                <w:szCs w:val="18"/>
              </w:rPr>
            </w:pPr>
            <w:r w:rsidRPr="00D90771">
              <w:rPr>
                <w:sz w:val="16"/>
                <w:szCs w:val="18"/>
              </w:rPr>
              <w:t>1.14</w:t>
            </w:r>
          </w:p>
          <w:p w14:paraId="1256A95A" w14:textId="77777777" w:rsidR="004A137D" w:rsidRPr="000A2378" w:rsidRDefault="004A137D" w:rsidP="004A137D">
            <w:pPr>
              <w:spacing w:line="240" w:lineRule="auto"/>
              <w:jc w:val="center"/>
              <w:rPr>
                <w:sz w:val="16"/>
                <w:szCs w:val="18"/>
              </w:rPr>
            </w:pPr>
            <w:r w:rsidRPr="00D90771">
              <w:rPr>
                <w:sz w:val="16"/>
                <w:szCs w:val="18"/>
              </w:rPr>
              <w:t>2.41</w:t>
            </w:r>
            <w:r w:rsidRPr="00BC417E">
              <w:rPr>
                <w:sz w:val="16"/>
                <w:szCs w:val="18"/>
              </w:rPr>
              <w:t xml:space="preserve"> </w:t>
            </w:r>
          </w:p>
        </w:tc>
      </w:tr>
      <w:tr w:rsidR="004A137D" w:rsidRPr="00A2449A" w14:paraId="55F03732" w14:textId="77777777" w:rsidTr="00AF2A65">
        <w:trPr>
          <w:jc w:val="center"/>
        </w:trPr>
        <w:tc>
          <w:tcPr>
            <w:tcW w:w="1132" w:type="dxa"/>
            <w:vMerge/>
            <w:vAlign w:val="center"/>
          </w:tcPr>
          <w:p w14:paraId="4F5B4116"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7ADCC454" w14:textId="77777777" w:rsidR="004A137D" w:rsidRDefault="004A137D" w:rsidP="004A137D">
            <w:pPr>
              <w:spacing w:line="240" w:lineRule="auto"/>
              <w:jc w:val="center"/>
              <w:rPr>
                <w:sz w:val="16"/>
                <w:szCs w:val="18"/>
              </w:rPr>
            </w:pPr>
            <w:r>
              <w:rPr>
                <w:sz w:val="16"/>
                <w:szCs w:val="18"/>
              </w:rPr>
              <w:t>Previous Psych Treatment</w:t>
            </w:r>
          </w:p>
        </w:tc>
        <w:tc>
          <w:tcPr>
            <w:tcW w:w="836" w:type="dxa"/>
          </w:tcPr>
          <w:p w14:paraId="0264B478" w14:textId="77777777" w:rsidR="004A137D" w:rsidRDefault="004A137D" w:rsidP="004A137D">
            <w:pPr>
              <w:spacing w:line="240" w:lineRule="auto"/>
              <w:jc w:val="center"/>
              <w:rPr>
                <w:sz w:val="16"/>
                <w:szCs w:val="18"/>
              </w:rPr>
            </w:pPr>
            <w:r w:rsidRPr="00BC417E">
              <w:rPr>
                <w:sz w:val="16"/>
                <w:szCs w:val="18"/>
              </w:rPr>
              <w:t xml:space="preserve"> </w:t>
            </w:r>
            <w:r w:rsidRPr="00D90771">
              <w:rPr>
                <w:sz w:val="16"/>
                <w:szCs w:val="18"/>
              </w:rPr>
              <w:t>0.46</w:t>
            </w:r>
          </w:p>
        </w:tc>
        <w:tc>
          <w:tcPr>
            <w:tcW w:w="785" w:type="dxa"/>
          </w:tcPr>
          <w:p w14:paraId="6C6C0D13" w14:textId="77777777" w:rsidR="004A137D" w:rsidRDefault="004A137D" w:rsidP="004A137D">
            <w:pPr>
              <w:spacing w:line="240" w:lineRule="auto"/>
              <w:jc w:val="center"/>
              <w:rPr>
                <w:sz w:val="16"/>
                <w:szCs w:val="18"/>
              </w:rPr>
            </w:pPr>
            <w:r w:rsidRPr="00D90771">
              <w:rPr>
                <w:sz w:val="16"/>
                <w:szCs w:val="18"/>
              </w:rPr>
              <w:t>0.02</w:t>
            </w:r>
            <w:r w:rsidRPr="00BC417E">
              <w:rPr>
                <w:sz w:val="16"/>
                <w:szCs w:val="18"/>
              </w:rPr>
              <w:t xml:space="preserve"> </w:t>
            </w:r>
          </w:p>
        </w:tc>
        <w:tc>
          <w:tcPr>
            <w:tcW w:w="999" w:type="dxa"/>
          </w:tcPr>
          <w:p w14:paraId="083E7590" w14:textId="77777777" w:rsidR="004A137D" w:rsidRDefault="004A137D" w:rsidP="004A137D">
            <w:pPr>
              <w:spacing w:line="240" w:lineRule="auto"/>
              <w:jc w:val="center"/>
              <w:rPr>
                <w:sz w:val="16"/>
                <w:szCs w:val="18"/>
              </w:rPr>
            </w:pPr>
            <w:r w:rsidRPr="00BC417E">
              <w:rPr>
                <w:sz w:val="16"/>
                <w:szCs w:val="18"/>
              </w:rPr>
              <w:t xml:space="preserve"> </w:t>
            </w:r>
            <w:r w:rsidRPr="00D90771">
              <w:rPr>
                <w:sz w:val="16"/>
                <w:szCs w:val="18"/>
              </w:rPr>
              <w:t>0.105</w:t>
            </w:r>
          </w:p>
        </w:tc>
        <w:tc>
          <w:tcPr>
            <w:tcW w:w="988" w:type="dxa"/>
          </w:tcPr>
          <w:p w14:paraId="5F30CFD4" w14:textId="77777777" w:rsidR="004A137D" w:rsidRDefault="004A137D" w:rsidP="004A137D">
            <w:pPr>
              <w:spacing w:line="240" w:lineRule="auto"/>
              <w:jc w:val="center"/>
              <w:rPr>
                <w:sz w:val="16"/>
                <w:szCs w:val="18"/>
              </w:rPr>
            </w:pPr>
            <w:r w:rsidRPr="00BC417E">
              <w:rPr>
                <w:sz w:val="16"/>
                <w:szCs w:val="18"/>
              </w:rPr>
              <w:t xml:space="preserve"> </w:t>
            </w:r>
            <w:r w:rsidRPr="00D90771">
              <w:rPr>
                <w:sz w:val="16"/>
                <w:szCs w:val="18"/>
              </w:rPr>
              <w:t>-0.10</w:t>
            </w:r>
          </w:p>
        </w:tc>
        <w:tc>
          <w:tcPr>
            <w:tcW w:w="995" w:type="dxa"/>
          </w:tcPr>
          <w:p w14:paraId="6EA1F2E5" w14:textId="77777777" w:rsidR="004A137D" w:rsidRDefault="004A137D" w:rsidP="004A137D">
            <w:pPr>
              <w:spacing w:line="240" w:lineRule="auto"/>
              <w:jc w:val="center"/>
              <w:rPr>
                <w:sz w:val="16"/>
                <w:szCs w:val="18"/>
              </w:rPr>
            </w:pPr>
            <w:r w:rsidRPr="00BC417E">
              <w:rPr>
                <w:sz w:val="16"/>
                <w:szCs w:val="18"/>
              </w:rPr>
              <w:t xml:space="preserve"> </w:t>
            </w:r>
            <w:r w:rsidRPr="00D90771">
              <w:rPr>
                <w:sz w:val="16"/>
                <w:szCs w:val="18"/>
              </w:rPr>
              <w:t>1.01</w:t>
            </w:r>
          </w:p>
        </w:tc>
      </w:tr>
      <w:tr w:rsidR="004A137D" w:rsidRPr="00A2449A" w14:paraId="14E44514" w14:textId="77777777" w:rsidTr="00AF2A65">
        <w:trPr>
          <w:jc w:val="center"/>
        </w:trPr>
        <w:tc>
          <w:tcPr>
            <w:tcW w:w="1132" w:type="dxa"/>
            <w:vMerge w:val="restart"/>
            <w:vAlign w:val="center"/>
          </w:tcPr>
          <w:p w14:paraId="7B826AAD" w14:textId="77777777" w:rsidR="004A137D" w:rsidRPr="00A2449A" w:rsidRDefault="004A137D" w:rsidP="004A137D">
            <w:pPr>
              <w:spacing w:line="240" w:lineRule="auto"/>
              <w:jc w:val="center"/>
              <w:rPr>
                <w:rFonts w:ascii="Avenir Heavy" w:hAnsi="Avenir Heavy"/>
                <w:sz w:val="16"/>
                <w:szCs w:val="18"/>
              </w:rPr>
            </w:pPr>
            <w:r w:rsidRPr="00A2449A">
              <w:rPr>
                <w:rFonts w:ascii="Avenir Heavy" w:hAnsi="Avenir Heavy"/>
                <w:sz w:val="16"/>
                <w:szCs w:val="18"/>
              </w:rPr>
              <w:t>Medium k</w:t>
            </w:r>
          </w:p>
        </w:tc>
        <w:tc>
          <w:tcPr>
            <w:tcW w:w="2482" w:type="dxa"/>
            <w:vAlign w:val="center"/>
          </w:tcPr>
          <w:p w14:paraId="5543762B" w14:textId="77777777" w:rsidR="004A137D" w:rsidRPr="00A2449A" w:rsidRDefault="004A137D" w:rsidP="004A137D">
            <w:pPr>
              <w:spacing w:line="240" w:lineRule="auto"/>
              <w:jc w:val="center"/>
              <w:rPr>
                <w:sz w:val="16"/>
                <w:szCs w:val="18"/>
              </w:rPr>
            </w:pPr>
            <w:r>
              <w:rPr>
                <w:sz w:val="16"/>
                <w:szCs w:val="18"/>
              </w:rPr>
              <w:t>Intercept</w:t>
            </w:r>
          </w:p>
        </w:tc>
        <w:tc>
          <w:tcPr>
            <w:tcW w:w="836" w:type="dxa"/>
          </w:tcPr>
          <w:p w14:paraId="18192B43" w14:textId="77777777" w:rsidR="004A137D" w:rsidRPr="000A2378" w:rsidRDefault="004A137D" w:rsidP="004A137D">
            <w:pPr>
              <w:spacing w:line="240" w:lineRule="auto"/>
              <w:jc w:val="center"/>
              <w:rPr>
                <w:sz w:val="16"/>
                <w:szCs w:val="18"/>
              </w:rPr>
            </w:pPr>
            <w:r w:rsidRPr="00BC417E">
              <w:rPr>
                <w:sz w:val="16"/>
                <w:szCs w:val="18"/>
              </w:rPr>
              <w:t xml:space="preserve"> </w:t>
            </w:r>
          </w:p>
        </w:tc>
        <w:tc>
          <w:tcPr>
            <w:tcW w:w="785" w:type="dxa"/>
          </w:tcPr>
          <w:p w14:paraId="189D6270" w14:textId="77777777" w:rsidR="004A137D" w:rsidRPr="000A2378" w:rsidRDefault="004A137D" w:rsidP="004A137D">
            <w:pPr>
              <w:spacing w:line="240" w:lineRule="auto"/>
              <w:jc w:val="center"/>
              <w:rPr>
                <w:sz w:val="16"/>
                <w:szCs w:val="18"/>
              </w:rPr>
            </w:pPr>
            <w:r w:rsidRPr="00BC417E">
              <w:rPr>
                <w:sz w:val="16"/>
                <w:szCs w:val="18"/>
              </w:rPr>
              <w:t xml:space="preserve"> </w:t>
            </w:r>
            <w:r w:rsidRPr="00C24918">
              <w:rPr>
                <w:sz w:val="16"/>
                <w:szCs w:val="18"/>
              </w:rPr>
              <w:t>0.06</w:t>
            </w:r>
          </w:p>
        </w:tc>
        <w:tc>
          <w:tcPr>
            <w:tcW w:w="999" w:type="dxa"/>
          </w:tcPr>
          <w:p w14:paraId="68D625E5" w14:textId="77777777" w:rsidR="004A137D" w:rsidRPr="000A2378" w:rsidRDefault="004A137D" w:rsidP="004A137D">
            <w:pPr>
              <w:spacing w:line="240" w:lineRule="auto"/>
              <w:jc w:val="center"/>
              <w:rPr>
                <w:sz w:val="16"/>
                <w:szCs w:val="18"/>
              </w:rPr>
            </w:pPr>
            <w:r w:rsidRPr="00C24918">
              <w:rPr>
                <w:sz w:val="16"/>
                <w:szCs w:val="18"/>
              </w:rPr>
              <w:t>0.593</w:t>
            </w:r>
            <w:r w:rsidRPr="00BC417E">
              <w:rPr>
                <w:sz w:val="16"/>
                <w:szCs w:val="18"/>
              </w:rPr>
              <w:t xml:space="preserve"> </w:t>
            </w:r>
          </w:p>
        </w:tc>
        <w:tc>
          <w:tcPr>
            <w:tcW w:w="988" w:type="dxa"/>
          </w:tcPr>
          <w:p w14:paraId="7A78BFC5" w14:textId="77777777" w:rsidR="004A137D" w:rsidRPr="000A2378" w:rsidRDefault="004A137D" w:rsidP="004A137D">
            <w:pPr>
              <w:spacing w:line="240" w:lineRule="auto"/>
              <w:jc w:val="center"/>
              <w:rPr>
                <w:sz w:val="16"/>
                <w:szCs w:val="18"/>
              </w:rPr>
            </w:pPr>
            <w:r w:rsidRPr="00BC417E">
              <w:rPr>
                <w:sz w:val="16"/>
                <w:szCs w:val="18"/>
              </w:rPr>
              <w:t xml:space="preserve"> </w:t>
            </w:r>
          </w:p>
        </w:tc>
        <w:tc>
          <w:tcPr>
            <w:tcW w:w="995" w:type="dxa"/>
          </w:tcPr>
          <w:p w14:paraId="0561D2E5" w14:textId="77777777" w:rsidR="004A137D" w:rsidRPr="000A2378" w:rsidRDefault="004A137D" w:rsidP="004A137D">
            <w:pPr>
              <w:spacing w:line="240" w:lineRule="auto"/>
              <w:jc w:val="center"/>
              <w:rPr>
                <w:sz w:val="16"/>
                <w:szCs w:val="18"/>
              </w:rPr>
            </w:pPr>
            <w:r w:rsidRPr="00BC417E">
              <w:rPr>
                <w:sz w:val="16"/>
                <w:szCs w:val="18"/>
              </w:rPr>
              <w:t xml:space="preserve"> </w:t>
            </w:r>
          </w:p>
        </w:tc>
      </w:tr>
      <w:tr w:rsidR="004A137D" w:rsidRPr="00A2449A" w14:paraId="708D73A0" w14:textId="77777777" w:rsidTr="00AF2A65">
        <w:trPr>
          <w:jc w:val="center"/>
        </w:trPr>
        <w:tc>
          <w:tcPr>
            <w:tcW w:w="1132" w:type="dxa"/>
            <w:vMerge/>
            <w:vAlign w:val="center"/>
          </w:tcPr>
          <w:p w14:paraId="143AD85A"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308A9E22" w14:textId="77777777" w:rsidR="004A137D" w:rsidRPr="00A2449A" w:rsidRDefault="004A137D" w:rsidP="004A137D">
            <w:pPr>
              <w:spacing w:line="240" w:lineRule="auto"/>
              <w:jc w:val="center"/>
              <w:rPr>
                <w:sz w:val="16"/>
                <w:szCs w:val="18"/>
              </w:rPr>
            </w:pPr>
            <w:r w:rsidRPr="00A2449A">
              <w:rPr>
                <w:sz w:val="16"/>
                <w:szCs w:val="18"/>
              </w:rPr>
              <w:t>GAD-7</w:t>
            </w:r>
          </w:p>
        </w:tc>
        <w:tc>
          <w:tcPr>
            <w:tcW w:w="836" w:type="dxa"/>
          </w:tcPr>
          <w:p w14:paraId="50E142FC" w14:textId="77777777" w:rsidR="004A137D" w:rsidRPr="000A2378" w:rsidRDefault="004A137D" w:rsidP="004A137D">
            <w:pPr>
              <w:spacing w:line="240" w:lineRule="auto"/>
              <w:jc w:val="center"/>
              <w:rPr>
                <w:sz w:val="16"/>
                <w:szCs w:val="18"/>
              </w:rPr>
            </w:pPr>
            <w:r w:rsidRPr="00C24918">
              <w:rPr>
                <w:sz w:val="16"/>
                <w:szCs w:val="18"/>
              </w:rPr>
              <w:t>0.28</w:t>
            </w:r>
            <w:r w:rsidRPr="00BC417E">
              <w:rPr>
                <w:sz w:val="16"/>
                <w:szCs w:val="18"/>
              </w:rPr>
              <w:t xml:space="preserve"> </w:t>
            </w:r>
          </w:p>
        </w:tc>
        <w:tc>
          <w:tcPr>
            <w:tcW w:w="785" w:type="dxa"/>
          </w:tcPr>
          <w:p w14:paraId="6CD3A612" w14:textId="77777777" w:rsidR="004A137D" w:rsidRPr="000A2378" w:rsidRDefault="004A137D" w:rsidP="004A137D">
            <w:pPr>
              <w:spacing w:line="240" w:lineRule="auto"/>
              <w:jc w:val="center"/>
              <w:rPr>
                <w:sz w:val="16"/>
                <w:szCs w:val="18"/>
              </w:rPr>
            </w:pPr>
            <w:r w:rsidRPr="00C24918">
              <w:rPr>
                <w:sz w:val="16"/>
                <w:szCs w:val="18"/>
              </w:rPr>
              <w:t>0.00</w:t>
            </w:r>
            <w:r w:rsidRPr="00BC417E">
              <w:rPr>
                <w:sz w:val="16"/>
                <w:szCs w:val="18"/>
              </w:rPr>
              <w:t xml:space="preserve"> </w:t>
            </w:r>
          </w:p>
        </w:tc>
        <w:tc>
          <w:tcPr>
            <w:tcW w:w="999" w:type="dxa"/>
          </w:tcPr>
          <w:p w14:paraId="0E96E94B" w14:textId="77777777" w:rsidR="004A137D" w:rsidRPr="000A2378" w:rsidRDefault="004A137D" w:rsidP="004A137D">
            <w:pPr>
              <w:spacing w:line="240" w:lineRule="auto"/>
              <w:jc w:val="center"/>
              <w:rPr>
                <w:sz w:val="16"/>
                <w:szCs w:val="18"/>
              </w:rPr>
            </w:pPr>
            <w:r w:rsidRPr="00C24918">
              <w:rPr>
                <w:sz w:val="16"/>
                <w:szCs w:val="18"/>
              </w:rPr>
              <w:t>0.171</w:t>
            </w:r>
            <w:r w:rsidRPr="00BC417E">
              <w:rPr>
                <w:sz w:val="16"/>
                <w:szCs w:val="18"/>
              </w:rPr>
              <w:t xml:space="preserve"> </w:t>
            </w:r>
          </w:p>
        </w:tc>
        <w:tc>
          <w:tcPr>
            <w:tcW w:w="988" w:type="dxa"/>
          </w:tcPr>
          <w:p w14:paraId="4E809353" w14:textId="77777777" w:rsidR="004A137D" w:rsidRPr="000A2378" w:rsidRDefault="004A137D" w:rsidP="004A137D">
            <w:pPr>
              <w:spacing w:line="240" w:lineRule="auto"/>
              <w:jc w:val="center"/>
              <w:rPr>
                <w:sz w:val="16"/>
                <w:szCs w:val="18"/>
              </w:rPr>
            </w:pPr>
            <w:r w:rsidRPr="00C24918">
              <w:rPr>
                <w:sz w:val="16"/>
                <w:szCs w:val="18"/>
              </w:rPr>
              <w:t>-0.13</w:t>
            </w:r>
            <w:r w:rsidRPr="00BC417E">
              <w:rPr>
                <w:sz w:val="16"/>
                <w:szCs w:val="18"/>
              </w:rPr>
              <w:t xml:space="preserve"> </w:t>
            </w:r>
          </w:p>
        </w:tc>
        <w:tc>
          <w:tcPr>
            <w:tcW w:w="995" w:type="dxa"/>
          </w:tcPr>
          <w:p w14:paraId="35A0B005" w14:textId="77777777" w:rsidR="004A137D" w:rsidRPr="000A2378" w:rsidRDefault="004A137D" w:rsidP="004A137D">
            <w:pPr>
              <w:spacing w:line="240" w:lineRule="auto"/>
              <w:jc w:val="center"/>
              <w:rPr>
                <w:sz w:val="16"/>
                <w:szCs w:val="18"/>
              </w:rPr>
            </w:pPr>
            <w:r w:rsidRPr="00C24918">
              <w:rPr>
                <w:sz w:val="16"/>
                <w:szCs w:val="18"/>
              </w:rPr>
              <w:t>0.69</w:t>
            </w:r>
            <w:r w:rsidRPr="00BC417E">
              <w:rPr>
                <w:sz w:val="16"/>
                <w:szCs w:val="18"/>
              </w:rPr>
              <w:t xml:space="preserve"> </w:t>
            </w:r>
          </w:p>
        </w:tc>
      </w:tr>
      <w:tr w:rsidR="004A137D" w:rsidRPr="00A2449A" w14:paraId="2452886E" w14:textId="77777777" w:rsidTr="00AF2A65">
        <w:trPr>
          <w:jc w:val="center"/>
        </w:trPr>
        <w:tc>
          <w:tcPr>
            <w:tcW w:w="1132" w:type="dxa"/>
            <w:vMerge/>
            <w:vAlign w:val="center"/>
          </w:tcPr>
          <w:p w14:paraId="7D99A9B9"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0B110DEE" w14:textId="77777777" w:rsidR="004A137D" w:rsidRPr="00A2449A" w:rsidRDefault="004A137D" w:rsidP="004A137D">
            <w:pPr>
              <w:spacing w:line="240" w:lineRule="auto"/>
              <w:jc w:val="center"/>
              <w:rPr>
                <w:sz w:val="16"/>
                <w:szCs w:val="18"/>
              </w:rPr>
            </w:pPr>
            <w:r>
              <w:rPr>
                <w:sz w:val="16"/>
                <w:szCs w:val="18"/>
              </w:rPr>
              <w:t>Female – Male</w:t>
            </w:r>
          </w:p>
        </w:tc>
        <w:tc>
          <w:tcPr>
            <w:tcW w:w="836" w:type="dxa"/>
          </w:tcPr>
          <w:p w14:paraId="28501058" w14:textId="77777777" w:rsidR="004A137D" w:rsidRPr="000A2378" w:rsidRDefault="004A137D" w:rsidP="004A137D">
            <w:pPr>
              <w:spacing w:line="240" w:lineRule="auto"/>
              <w:jc w:val="center"/>
              <w:rPr>
                <w:sz w:val="16"/>
                <w:szCs w:val="18"/>
              </w:rPr>
            </w:pPr>
            <w:r w:rsidRPr="00C24918">
              <w:rPr>
                <w:sz w:val="16"/>
                <w:szCs w:val="18"/>
              </w:rPr>
              <w:t>0.46</w:t>
            </w:r>
            <w:r w:rsidRPr="00BC417E">
              <w:rPr>
                <w:sz w:val="16"/>
                <w:szCs w:val="18"/>
              </w:rPr>
              <w:t xml:space="preserve"> </w:t>
            </w:r>
          </w:p>
        </w:tc>
        <w:tc>
          <w:tcPr>
            <w:tcW w:w="785" w:type="dxa"/>
          </w:tcPr>
          <w:p w14:paraId="228FD23E" w14:textId="77777777" w:rsidR="004A137D" w:rsidRPr="000A2378" w:rsidRDefault="004A137D" w:rsidP="004A137D">
            <w:pPr>
              <w:spacing w:line="240" w:lineRule="auto"/>
              <w:jc w:val="center"/>
              <w:rPr>
                <w:sz w:val="16"/>
                <w:szCs w:val="18"/>
              </w:rPr>
            </w:pPr>
            <w:r w:rsidRPr="00BC417E">
              <w:rPr>
                <w:sz w:val="16"/>
                <w:szCs w:val="18"/>
              </w:rPr>
              <w:t xml:space="preserve"> </w:t>
            </w:r>
            <w:r w:rsidRPr="00C24918">
              <w:rPr>
                <w:sz w:val="16"/>
                <w:szCs w:val="18"/>
              </w:rPr>
              <w:t>0.03</w:t>
            </w:r>
          </w:p>
        </w:tc>
        <w:tc>
          <w:tcPr>
            <w:tcW w:w="999" w:type="dxa"/>
          </w:tcPr>
          <w:p w14:paraId="028158F0" w14:textId="77777777" w:rsidR="004A137D" w:rsidRPr="000A2378" w:rsidRDefault="004A137D" w:rsidP="004A137D">
            <w:pPr>
              <w:spacing w:line="240" w:lineRule="auto"/>
              <w:jc w:val="center"/>
              <w:rPr>
                <w:sz w:val="16"/>
                <w:szCs w:val="18"/>
              </w:rPr>
            </w:pPr>
            <w:r w:rsidRPr="00BC417E">
              <w:rPr>
                <w:sz w:val="16"/>
                <w:szCs w:val="18"/>
              </w:rPr>
              <w:t xml:space="preserve"> </w:t>
            </w:r>
            <w:r w:rsidRPr="00C24918">
              <w:rPr>
                <w:sz w:val="16"/>
                <w:szCs w:val="18"/>
              </w:rPr>
              <w:t>0.173</w:t>
            </w:r>
          </w:p>
        </w:tc>
        <w:tc>
          <w:tcPr>
            <w:tcW w:w="988" w:type="dxa"/>
          </w:tcPr>
          <w:p w14:paraId="373D9C72" w14:textId="77777777" w:rsidR="004A137D" w:rsidRPr="000A2378" w:rsidRDefault="004A137D" w:rsidP="004A137D">
            <w:pPr>
              <w:spacing w:line="240" w:lineRule="auto"/>
              <w:jc w:val="center"/>
              <w:rPr>
                <w:sz w:val="16"/>
                <w:szCs w:val="18"/>
              </w:rPr>
            </w:pPr>
            <w:r w:rsidRPr="00BC417E">
              <w:rPr>
                <w:sz w:val="16"/>
                <w:szCs w:val="18"/>
              </w:rPr>
              <w:t xml:space="preserve"> </w:t>
            </w:r>
            <w:r w:rsidRPr="00C24918">
              <w:rPr>
                <w:sz w:val="16"/>
                <w:szCs w:val="18"/>
              </w:rPr>
              <w:t>-0.21</w:t>
            </w:r>
          </w:p>
        </w:tc>
        <w:tc>
          <w:tcPr>
            <w:tcW w:w="995" w:type="dxa"/>
          </w:tcPr>
          <w:p w14:paraId="51A7902A" w14:textId="77777777" w:rsidR="004A137D" w:rsidRPr="000A2378" w:rsidRDefault="004A137D" w:rsidP="004A137D">
            <w:pPr>
              <w:spacing w:line="240" w:lineRule="auto"/>
              <w:jc w:val="center"/>
              <w:rPr>
                <w:sz w:val="16"/>
                <w:szCs w:val="18"/>
              </w:rPr>
            </w:pPr>
            <w:r w:rsidRPr="00C24918">
              <w:rPr>
                <w:sz w:val="16"/>
                <w:szCs w:val="18"/>
              </w:rPr>
              <w:t>1.14</w:t>
            </w:r>
            <w:r w:rsidRPr="00BC417E">
              <w:rPr>
                <w:sz w:val="16"/>
                <w:szCs w:val="18"/>
              </w:rPr>
              <w:t xml:space="preserve"> </w:t>
            </w:r>
          </w:p>
        </w:tc>
      </w:tr>
      <w:tr w:rsidR="004A137D" w:rsidRPr="00A2449A" w14:paraId="26506931" w14:textId="77777777" w:rsidTr="00AF2A65">
        <w:trPr>
          <w:jc w:val="center"/>
        </w:trPr>
        <w:tc>
          <w:tcPr>
            <w:tcW w:w="1132" w:type="dxa"/>
            <w:vMerge/>
            <w:vAlign w:val="center"/>
          </w:tcPr>
          <w:p w14:paraId="0D48B064"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38A3AA4B" w14:textId="77777777" w:rsidR="004A137D" w:rsidRPr="00A2449A" w:rsidRDefault="004A137D" w:rsidP="004A137D">
            <w:pPr>
              <w:spacing w:line="240" w:lineRule="auto"/>
              <w:jc w:val="center"/>
              <w:rPr>
                <w:sz w:val="16"/>
                <w:szCs w:val="18"/>
              </w:rPr>
            </w:pPr>
            <w:r>
              <w:rPr>
                <w:sz w:val="16"/>
                <w:szCs w:val="18"/>
              </w:rPr>
              <w:t>SES ladder</w:t>
            </w:r>
          </w:p>
        </w:tc>
        <w:tc>
          <w:tcPr>
            <w:tcW w:w="836" w:type="dxa"/>
          </w:tcPr>
          <w:p w14:paraId="79C8E166" w14:textId="77777777" w:rsidR="004A137D" w:rsidRPr="000A2378" w:rsidRDefault="004A137D" w:rsidP="004A137D">
            <w:pPr>
              <w:spacing w:line="240" w:lineRule="auto"/>
              <w:jc w:val="center"/>
              <w:rPr>
                <w:sz w:val="16"/>
                <w:szCs w:val="18"/>
              </w:rPr>
            </w:pPr>
            <w:r w:rsidRPr="00C24918">
              <w:rPr>
                <w:sz w:val="16"/>
                <w:szCs w:val="18"/>
              </w:rPr>
              <w:t>-0.05</w:t>
            </w:r>
            <w:r w:rsidRPr="00BC417E">
              <w:rPr>
                <w:sz w:val="16"/>
                <w:szCs w:val="18"/>
              </w:rPr>
              <w:t xml:space="preserve"> </w:t>
            </w:r>
          </w:p>
        </w:tc>
        <w:tc>
          <w:tcPr>
            <w:tcW w:w="785" w:type="dxa"/>
          </w:tcPr>
          <w:p w14:paraId="2A7C044F" w14:textId="77777777" w:rsidR="004A137D" w:rsidRPr="000A2378" w:rsidRDefault="004A137D" w:rsidP="004A137D">
            <w:pPr>
              <w:spacing w:line="240" w:lineRule="auto"/>
              <w:jc w:val="center"/>
              <w:rPr>
                <w:sz w:val="16"/>
                <w:szCs w:val="18"/>
              </w:rPr>
            </w:pPr>
            <w:r w:rsidRPr="00BC417E">
              <w:rPr>
                <w:sz w:val="16"/>
                <w:szCs w:val="18"/>
              </w:rPr>
              <w:t xml:space="preserve"> </w:t>
            </w:r>
            <w:r w:rsidRPr="00C24918">
              <w:rPr>
                <w:sz w:val="16"/>
                <w:szCs w:val="18"/>
              </w:rPr>
              <w:t>0.01</w:t>
            </w:r>
          </w:p>
        </w:tc>
        <w:tc>
          <w:tcPr>
            <w:tcW w:w="999" w:type="dxa"/>
          </w:tcPr>
          <w:p w14:paraId="72BE2715" w14:textId="77777777" w:rsidR="004A137D" w:rsidRPr="000A2378" w:rsidRDefault="004A137D" w:rsidP="004A137D">
            <w:pPr>
              <w:spacing w:line="240" w:lineRule="auto"/>
              <w:jc w:val="center"/>
              <w:rPr>
                <w:sz w:val="16"/>
                <w:szCs w:val="18"/>
              </w:rPr>
            </w:pPr>
            <w:r w:rsidRPr="00BC417E">
              <w:rPr>
                <w:sz w:val="16"/>
                <w:szCs w:val="18"/>
              </w:rPr>
              <w:t xml:space="preserve"> </w:t>
            </w:r>
            <w:r w:rsidRPr="00C24918">
              <w:rPr>
                <w:sz w:val="16"/>
                <w:szCs w:val="18"/>
              </w:rPr>
              <w:t>0.738</w:t>
            </w:r>
          </w:p>
        </w:tc>
        <w:tc>
          <w:tcPr>
            <w:tcW w:w="988" w:type="dxa"/>
          </w:tcPr>
          <w:p w14:paraId="03EE4F69" w14:textId="77777777" w:rsidR="004A137D" w:rsidRPr="000A2378" w:rsidRDefault="004A137D" w:rsidP="004A137D">
            <w:pPr>
              <w:spacing w:line="240" w:lineRule="auto"/>
              <w:jc w:val="center"/>
              <w:rPr>
                <w:sz w:val="16"/>
                <w:szCs w:val="18"/>
              </w:rPr>
            </w:pPr>
            <w:r w:rsidRPr="00BC417E">
              <w:rPr>
                <w:sz w:val="16"/>
                <w:szCs w:val="18"/>
              </w:rPr>
              <w:t xml:space="preserve"> </w:t>
            </w:r>
            <w:r w:rsidRPr="00C24918">
              <w:rPr>
                <w:sz w:val="16"/>
                <w:szCs w:val="18"/>
              </w:rPr>
              <w:t>-0.37</w:t>
            </w:r>
          </w:p>
        </w:tc>
        <w:tc>
          <w:tcPr>
            <w:tcW w:w="995" w:type="dxa"/>
          </w:tcPr>
          <w:p w14:paraId="68692F81" w14:textId="77777777" w:rsidR="004A137D" w:rsidRPr="000A2378" w:rsidRDefault="004A137D" w:rsidP="004A137D">
            <w:pPr>
              <w:spacing w:line="240" w:lineRule="auto"/>
              <w:jc w:val="center"/>
              <w:rPr>
                <w:sz w:val="16"/>
                <w:szCs w:val="18"/>
              </w:rPr>
            </w:pPr>
            <w:r w:rsidRPr="00C24918">
              <w:rPr>
                <w:sz w:val="16"/>
                <w:szCs w:val="18"/>
              </w:rPr>
              <w:t>0.27</w:t>
            </w:r>
            <w:r w:rsidRPr="00BC417E">
              <w:rPr>
                <w:sz w:val="16"/>
                <w:szCs w:val="18"/>
              </w:rPr>
              <w:t xml:space="preserve"> </w:t>
            </w:r>
          </w:p>
        </w:tc>
      </w:tr>
      <w:tr w:rsidR="004A137D" w:rsidRPr="00A2449A" w14:paraId="6E0B6868" w14:textId="77777777" w:rsidTr="00AF2A65">
        <w:trPr>
          <w:jc w:val="center"/>
        </w:trPr>
        <w:tc>
          <w:tcPr>
            <w:tcW w:w="1132" w:type="dxa"/>
            <w:vMerge/>
            <w:vAlign w:val="center"/>
          </w:tcPr>
          <w:p w14:paraId="75E043E8"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379A0395" w14:textId="77777777" w:rsidR="004A137D" w:rsidRDefault="004A137D" w:rsidP="004A137D">
            <w:pPr>
              <w:spacing w:line="240" w:lineRule="auto"/>
              <w:jc w:val="center"/>
              <w:rPr>
                <w:sz w:val="16"/>
                <w:szCs w:val="18"/>
              </w:rPr>
            </w:pPr>
            <w:r>
              <w:rPr>
                <w:sz w:val="16"/>
                <w:szCs w:val="18"/>
              </w:rPr>
              <w:t>Currently anxious</w:t>
            </w:r>
          </w:p>
          <w:p w14:paraId="2A883EFA" w14:textId="77777777" w:rsidR="004A137D" w:rsidRDefault="004A137D" w:rsidP="004A137D">
            <w:pPr>
              <w:spacing w:line="240" w:lineRule="auto"/>
              <w:jc w:val="center"/>
              <w:rPr>
                <w:sz w:val="16"/>
                <w:szCs w:val="18"/>
              </w:rPr>
            </w:pPr>
            <w:r>
              <w:rPr>
                <w:sz w:val="16"/>
                <w:szCs w:val="18"/>
              </w:rPr>
              <w:t>2-1</w:t>
            </w:r>
          </w:p>
          <w:p w14:paraId="47E4BA1D" w14:textId="77777777" w:rsidR="004A137D" w:rsidRDefault="004A137D" w:rsidP="004A137D">
            <w:pPr>
              <w:spacing w:line="240" w:lineRule="auto"/>
              <w:jc w:val="center"/>
              <w:rPr>
                <w:sz w:val="16"/>
                <w:szCs w:val="18"/>
              </w:rPr>
            </w:pPr>
            <w:r>
              <w:rPr>
                <w:sz w:val="16"/>
                <w:szCs w:val="18"/>
              </w:rPr>
              <w:t>3-1</w:t>
            </w:r>
          </w:p>
          <w:p w14:paraId="2CC4B457" w14:textId="77777777" w:rsidR="004A137D" w:rsidRDefault="004A137D" w:rsidP="004A137D">
            <w:pPr>
              <w:spacing w:line="240" w:lineRule="auto"/>
              <w:jc w:val="center"/>
              <w:rPr>
                <w:sz w:val="16"/>
                <w:szCs w:val="18"/>
              </w:rPr>
            </w:pPr>
            <w:r>
              <w:rPr>
                <w:sz w:val="16"/>
                <w:szCs w:val="18"/>
              </w:rPr>
              <w:t>4-1</w:t>
            </w:r>
          </w:p>
          <w:p w14:paraId="1147443A" w14:textId="77777777" w:rsidR="004A137D" w:rsidRDefault="004A137D" w:rsidP="004A137D">
            <w:pPr>
              <w:spacing w:line="240" w:lineRule="auto"/>
              <w:jc w:val="center"/>
              <w:rPr>
                <w:sz w:val="16"/>
                <w:szCs w:val="18"/>
              </w:rPr>
            </w:pPr>
            <w:r>
              <w:rPr>
                <w:sz w:val="16"/>
                <w:szCs w:val="18"/>
              </w:rPr>
              <w:t>5-1</w:t>
            </w:r>
          </w:p>
          <w:p w14:paraId="761117A5" w14:textId="77777777" w:rsidR="004A137D" w:rsidRDefault="004A137D" w:rsidP="004A137D">
            <w:pPr>
              <w:spacing w:line="240" w:lineRule="auto"/>
              <w:jc w:val="center"/>
              <w:rPr>
                <w:sz w:val="16"/>
                <w:szCs w:val="18"/>
              </w:rPr>
            </w:pPr>
            <w:r>
              <w:rPr>
                <w:sz w:val="16"/>
                <w:szCs w:val="18"/>
              </w:rPr>
              <w:t>6-1</w:t>
            </w:r>
          </w:p>
          <w:p w14:paraId="08C50616" w14:textId="77777777" w:rsidR="004A137D" w:rsidRPr="00A2449A" w:rsidRDefault="004A137D" w:rsidP="004A137D">
            <w:pPr>
              <w:spacing w:line="240" w:lineRule="auto"/>
              <w:jc w:val="center"/>
              <w:rPr>
                <w:sz w:val="16"/>
                <w:szCs w:val="18"/>
              </w:rPr>
            </w:pPr>
            <w:r>
              <w:rPr>
                <w:sz w:val="16"/>
                <w:szCs w:val="18"/>
              </w:rPr>
              <w:t>7-1</w:t>
            </w:r>
          </w:p>
        </w:tc>
        <w:tc>
          <w:tcPr>
            <w:tcW w:w="836" w:type="dxa"/>
          </w:tcPr>
          <w:p w14:paraId="09873843" w14:textId="77777777" w:rsidR="004A137D" w:rsidRDefault="004A137D" w:rsidP="004A137D">
            <w:pPr>
              <w:spacing w:line="240" w:lineRule="auto"/>
              <w:jc w:val="center"/>
              <w:rPr>
                <w:sz w:val="16"/>
                <w:szCs w:val="18"/>
              </w:rPr>
            </w:pPr>
          </w:p>
          <w:p w14:paraId="238613A5" w14:textId="77777777" w:rsidR="004A137D" w:rsidRPr="00C24918" w:rsidRDefault="004A137D" w:rsidP="004A137D">
            <w:pPr>
              <w:spacing w:line="240" w:lineRule="auto"/>
              <w:jc w:val="center"/>
              <w:rPr>
                <w:sz w:val="16"/>
                <w:szCs w:val="18"/>
              </w:rPr>
            </w:pPr>
            <w:r w:rsidRPr="00C24918">
              <w:rPr>
                <w:sz w:val="16"/>
                <w:szCs w:val="18"/>
              </w:rPr>
              <w:t>0.69</w:t>
            </w:r>
          </w:p>
          <w:p w14:paraId="69AC6859" w14:textId="77777777" w:rsidR="004A137D" w:rsidRPr="00C24918" w:rsidRDefault="004A137D" w:rsidP="004A137D">
            <w:pPr>
              <w:spacing w:line="240" w:lineRule="auto"/>
              <w:jc w:val="center"/>
              <w:rPr>
                <w:sz w:val="16"/>
                <w:szCs w:val="18"/>
              </w:rPr>
            </w:pPr>
            <w:r w:rsidRPr="00C24918">
              <w:rPr>
                <w:sz w:val="16"/>
                <w:szCs w:val="18"/>
              </w:rPr>
              <w:t>0.55</w:t>
            </w:r>
          </w:p>
          <w:p w14:paraId="162BFC25" w14:textId="77777777" w:rsidR="004A137D" w:rsidRPr="00C24918" w:rsidRDefault="004A137D" w:rsidP="004A137D">
            <w:pPr>
              <w:spacing w:line="240" w:lineRule="auto"/>
              <w:jc w:val="center"/>
              <w:rPr>
                <w:sz w:val="16"/>
                <w:szCs w:val="18"/>
              </w:rPr>
            </w:pPr>
            <w:r w:rsidRPr="00C24918">
              <w:rPr>
                <w:sz w:val="16"/>
                <w:szCs w:val="18"/>
              </w:rPr>
              <w:t>0.10</w:t>
            </w:r>
          </w:p>
          <w:p w14:paraId="3074DACE" w14:textId="77777777" w:rsidR="004A137D" w:rsidRPr="00C24918" w:rsidRDefault="004A137D" w:rsidP="004A137D">
            <w:pPr>
              <w:spacing w:line="240" w:lineRule="auto"/>
              <w:jc w:val="center"/>
              <w:rPr>
                <w:sz w:val="16"/>
                <w:szCs w:val="18"/>
              </w:rPr>
            </w:pPr>
            <w:r w:rsidRPr="00C24918">
              <w:rPr>
                <w:sz w:val="16"/>
                <w:szCs w:val="18"/>
              </w:rPr>
              <w:t>0.11</w:t>
            </w:r>
          </w:p>
          <w:p w14:paraId="0DFACFA1" w14:textId="77777777" w:rsidR="004A137D" w:rsidRPr="00C24918" w:rsidRDefault="004A137D" w:rsidP="004A137D">
            <w:pPr>
              <w:spacing w:line="240" w:lineRule="auto"/>
              <w:jc w:val="center"/>
              <w:rPr>
                <w:sz w:val="16"/>
                <w:szCs w:val="18"/>
              </w:rPr>
            </w:pPr>
            <w:r w:rsidRPr="00C24918">
              <w:rPr>
                <w:sz w:val="16"/>
                <w:szCs w:val="18"/>
              </w:rPr>
              <w:t>-0.77</w:t>
            </w:r>
          </w:p>
          <w:p w14:paraId="69FC0F34" w14:textId="77777777" w:rsidR="004A137D" w:rsidRPr="000A2378" w:rsidRDefault="004A137D" w:rsidP="004A137D">
            <w:pPr>
              <w:spacing w:line="240" w:lineRule="auto"/>
              <w:jc w:val="center"/>
              <w:rPr>
                <w:sz w:val="16"/>
                <w:szCs w:val="18"/>
              </w:rPr>
            </w:pPr>
            <w:r w:rsidRPr="00C24918">
              <w:rPr>
                <w:sz w:val="16"/>
                <w:szCs w:val="18"/>
              </w:rPr>
              <w:t>0.03</w:t>
            </w:r>
            <w:r w:rsidRPr="00BC417E">
              <w:rPr>
                <w:sz w:val="16"/>
                <w:szCs w:val="18"/>
              </w:rPr>
              <w:t xml:space="preserve"> </w:t>
            </w:r>
          </w:p>
        </w:tc>
        <w:tc>
          <w:tcPr>
            <w:tcW w:w="785" w:type="dxa"/>
          </w:tcPr>
          <w:p w14:paraId="05E0352E" w14:textId="77777777" w:rsidR="004A137D" w:rsidRDefault="004A137D" w:rsidP="004A137D">
            <w:pPr>
              <w:spacing w:line="240" w:lineRule="auto"/>
              <w:jc w:val="center"/>
              <w:rPr>
                <w:sz w:val="16"/>
                <w:szCs w:val="18"/>
              </w:rPr>
            </w:pPr>
            <w:r w:rsidRPr="00BC417E">
              <w:rPr>
                <w:sz w:val="16"/>
                <w:szCs w:val="18"/>
              </w:rPr>
              <w:t xml:space="preserve"> </w:t>
            </w:r>
          </w:p>
          <w:p w14:paraId="0564DFC9" w14:textId="77777777" w:rsidR="004A137D" w:rsidRPr="00C24918" w:rsidRDefault="004A137D" w:rsidP="004A137D">
            <w:pPr>
              <w:spacing w:line="240" w:lineRule="auto"/>
              <w:jc w:val="center"/>
              <w:rPr>
                <w:sz w:val="16"/>
                <w:szCs w:val="18"/>
              </w:rPr>
            </w:pPr>
            <w:r w:rsidRPr="00C24918">
              <w:rPr>
                <w:sz w:val="16"/>
                <w:szCs w:val="18"/>
              </w:rPr>
              <w:t>0.04</w:t>
            </w:r>
          </w:p>
          <w:p w14:paraId="09E9CCBB" w14:textId="77777777" w:rsidR="004A137D" w:rsidRPr="00C24918" w:rsidRDefault="004A137D" w:rsidP="004A137D">
            <w:pPr>
              <w:spacing w:line="240" w:lineRule="auto"/>
              <w:jc w:val="center"/>
              <w:rPr>
                <w:sz w:val="16"/>
                <w:szCs w:val="18"/>
              </w:rPr>
            </w:pPr>
            <w:r w:rsidRPr="00C24918">
              <w:rPr>
                <w:sz w:val="16"/>
                <w:szCs w:val="18"/>
              </w:rPr>
              <w:t>0.04</w:t>
            </w:r>
          </w:p>
          <w:p w14:paraId="695FE9F0" w14:textId="77777777" w:rsidR="004A137D" w:rsidRPr="00C24918" w:rsidRDefault="004A137D" w:rsidP="004A137D">
            <w:pPr>
              <w:spacing w:line="240" w:lineRule="auto"/>
              <w:jc w:val="center"/>
              <w:rPr>
                <w:sz w:val="16"/>
                <w:szCs w:val="18"/>
              </w:rPr>
            </w:pPr>
            <w:r w:rsidRPr="00C24918">
              <w:rPr>
                <w:sz w:val="16"/>
                <w:szCs w:val="18"/>
              </w:rPr>
              <w:t>0.04</w:t>
            </w:r>
          </w:p>
          <w:p w14:paraId="1F9E8B62" w14:textId="77777777" w:rsidR="004A137D" w:rsidRPr="00C24918" w:rsidRDefault="004A137D" w:rsidP="004A137D">
            <w:pPr>
              <w:spacing w:line="240" w:lineRule="auto"/>
              <w:jc w:val="center"/>
              <w:rPr>
                <w:sz w:val="16"/>
                <w:szCs w:val="18"/>
              </w:rPr>
            </w:pPr>
            <w:r w:rsidRPr="00C24918">
              <w:rPr>
                <w:sz w:val="16"/>
                <w:szCs w:val="18"/>
              </w:rPr>
              <w:t>0.04</w:t>
            </w:r>
          </w:p>
          <w:p w14:paraId="2055F75C" w14:textId="77777777" w:rsidR="004A137D" w:rsidRPr="00C24918" w:rsidRDefault="004A137D" w:rsidP="004A137D">
            <w:pPr>
              <w:spacing w:line="240" w:lineRule="auto"/>
              <w:jc w:val="center"/>
              <w:rPr>
                <w:sz w:val="16"/>
                <w:szCs w:val="18"/>
              </w:rPr>
            </w:pPr>
            <w:r w:rsidRPr="00C24918">
              <w:rPr>
                <w:sz w:val="16"/>
                <w:szCs w:val="18"/>
              </w:rPr>
              <w:t>0.06</w:t>
            </w:r>
          </w:p>
          <w:p w14:paraId="1CFF4636" w14:textId="77777777" w:rsidR="004A137D" w:rsidRPr="000A2378" w:rsidRDefault="004A137D" w:rsidP="004A137D">
            <w:pPr>
              <w:spacing w:line="240" w:lineRule="auto"/>
              <w:jc w:val="center"/>
              <w:rPr>
                <w:sz w:val="16"/>
                <w:szCs w:val="18"/>
              </w:rPr>
            </w:pPr>
            <w:r w:rsidRPr="00C24918">
              <w:rPr>
                <w:sz w:val="16"/>
                <w:szCs w:val="18"/>
              </w:rPr>
              <w:t>0.06</w:t>
            </w:r>
          </w:p>
        </w:tc>
        <w:tc>
          <w:tcPr>
            <w:tcW w:w="999" w:type="dxa"/>
          </w:tcPr>
          <w:p w14:paraId="08354B87" w14:textId="77777777" w:rsidR="004A137D" w:rsidRDefault="004A137D" w:rsidP="004A137D">
            <w:pPr>
              <w:spacing w:line="240" w:lineRule="auto"/>
              <w:jc w:val="center"/>
              <w:rPr>
                <w:sz w:val="16"/>
                <w:szCs w:val="18"/>
              </w:rPr>
            </w:pPr>
            <w:r w:rsidRPr="00BC417E">
              <w:rPr>
                <w:sz w:val="16"/>
                <w:szCs w:val="18"/>
              </w:rPr>
              <w:t xml:space="preserve"> </w:t>
            </w:r>
          </w:p>
          <w:p w14:paraId="7F9F3F93" w14:textId="77777777" w:rsidR="004A137D" w:rsidRPr="00C24918" w:rsidRDefault="004A137D" w:rsidP="004A137D">
            <w:pPr>
              <w:spacing w:line="240" w:lineRule="auto"/>
              <w:jc w:val="center"/>
              <w:rPr>
                <w:sz w:val="16"/>
                <w:szCs w:val="18"/>
              </w:rPr>
            </w:pPr>
            <w:r w:rsidRPr="00C24918">
              <w:rPr>
                <w:sz w:val="16"/>
                <w:szCs w:val="18"/>
              </w:rPr>
              <w:t>0.149</w:t>
            </w:r>
          </w:p>
          <w:p w14:paraId="1B56D9D3" w14:textId="77777777" w:rsidR="004A137D" w:rsidRPr="00C24918" w:rsidRDefault="004A137D" w:rsidP="004A137D">
            <w:pPr>
              <w:spacing w:line="240" w:lineRule="auto"/>
              <w:jc w:val="center"/>
              <w:rPr>
                <w:sz w:val="16"/>
                <w:szCs w:val="18"/>
              </w:rPr>
            </w:pPr>
            <w:r w:rsidRPr="00C24918">
              <w:rPr>
                <w:sz w:val="16"/>
                <w:szCs w:val="18"/>
              </w:rPr>
              <w:t>0.288</w:t>
            </w:r>
          </w:p>
          <w:p w14:paraId="6DEF2B06" w14:textId="77777777" w:rsidR="004A137D" w:rsidRPr="00C24918" w:rsidRDefault="004A137D" w:rsidP="004A137D">
            <w:pPr>
              <w:spacing w:line="240" w:lineRule="auto"/>
              <w:jc w:val="center"/>
              <w:rPr>
                <w:sz w:val="16"/>
                <w:szCs w:val="18"/>
              </w:rPr>
            </w:pPr>
            <w:r w:rsidRPr="00C24918">
              <w:rPr>
                <w:sz w:val="16"/>
                <w:szCs w:val="18"/>
              </w:rPr>
              <w:t>0.834</w:t>
            </w:r>
          </w:p>
          <w:p w14:paraId="0B5267F0" w14:textId="77777777" w:rsidR="004A137D" w:rsidRPr="00C24918" w:rsidRDefault="004A137D" w:rsidP="004A137D">
            <w:pPr>
              <w:spacing w:line="240" w:lineRule="auto"/>
              <w:jc w:val="center"/>
              <w:rPr>
                <w:sz w:val="16"/>
                <w:szCs w:val="18"/>
              </w:rPr>
            </w:pPr>
            <w:r w:rsidRPr="00C24918">
              <w:rPr>
                <w:sz w:val="16"/>
                <w:szCs w:val="18"/>
              </w:rPr>
              <w:t>0.835</w:t>
            </w:r>
          </w:p>
          <w:p w14:paraId="736A253F" w14:textId="77777777" w:rsidR="004A137D" w:rsidRPr="00C24918" w:rsidRDefault="004A137D" w:rsidP="004A137D">
            <w:pPr>
              <w:spacing w:line="240" w:lineRule="auto"/>
              <w:jc w:val="center"/>
              <w:rPr>
                <w:sz w:val="16"/>
                <w:szCs w:val="18"/>
              </w:rPr>
            </w:pPr>
            <w:r w:rsidRPr="00C24918">
              <w:rPr>
                <w:sz w:val="16"/>
                <w:szCs w:val="18"/>
              </w:rPr>
              <w:t>0.276</w:t>
            </w:r>
          </w:p>
          <w:p w14:paraId="4A23D188" w14:textId="77777777" w:rsidR="004A137D" w:rsidRPr="000A2378" w:rsidRDefault="004A137D" w:rsidP="004A137D">
            <w:pPr>
              <w:spacing w:line="240" w:lineRule="auto"/>
              <w:jc w:val="center"/>
              <w:rPr>
                <w:sz w:val="16"/>
                <w:szCs w:val="18"/>
              </w:rPr>
            </w:pPr>
            <w:r w:rsidRPr="00C24918">
              <w:rPr>
                <w:sz w:val="16"/>
                <w:szCs w:val="18"/>
              </w:rPr>
              <w:t>0.962</w:t>
            </w:r>
          </w:p>
        </w:tc>
        <w:tc>
          <w:tcPr>
            <w:tcW w:w="988" w:type="dxa"/>
          </w:tcPr>
          <w:p w14:paraId="5B2A1AC2" w14:textId="77777777" w:rsidR="004A137D" w:rsidRDefault="004A137D" w:rsidP="004A137D">
            <w:pPr>
              <w:spacing w:line="240" w:lineRule="auto"/>
              <w:jc w:val="center"/>
              <w:rPr>
                <w:sz w:val="16"/>
                <w:szCs w:val="18"/>
              </w:rPr>
            </w:pPr>
            <w:r w:rsidRPr="00BC417E">
              <w:rPr>
                <w:sz w:val="16"/>
                <w:szCs w:val="18"/>
              </w:rPr>
              <w:t xml:space="preserve"> </w:t>
            </w:r>
          </w:p>
          <w:p w14:paraId="795161D6" w14:textId="77777777" w:rsidR="004A137D" w:rsidRPr="00C24918" w:rsidRDefault="004A137D" w:rsidP="004A137D">
            <w:pPr>
              <w:spacing w:line="240" w:lineRule="auto"/>
              <w:jc w:val="center"/>
              <w:rPr>
                <w:sz w:val="16"/>
                <w:szCs w:val="18"/>
              </w:rPr>
            </w:pPr>
            <w:r w:rsidRPr="00C24918">
              <w:rPr>
                <w:sz w:val="16"/>
                <w:szCs w:val="18"/>
              </w:rPr>
              <w:t>-0.26</w:t>
            </w:r>
          </w:p>
          <w:p w14:paraId="42233505" w14:textId="77777777" w:rsidR="004A137D" w:rsidRPr="00C24918" w:rsidRDefault="004A137D" w:rsidP="004A137D">
            <w:pPr>
              <w:spacing w:line="240" w:lineRule="auto"/>
              <w:jc w:val="center"/>
              <w:rPr>
                <w:sz w:val="16"/>
                <w:szCs w:val="18"/>
              </w:rPr>
            </w:pPr>
            <w:r w:rsidRPr="00C24918">
              <w:rPr>
                <w:sz w:val="16"/>
                <w:szCs w:val="18"/>
              </w:rPr>
              <w:t>-0.48</w:t>
            </w:r>
          </w:p>
          <w:p w14:paraId="5BB5D868" w14:textId="77777777" w:rsidR="004A137D" w:rsidRPr="00C24918" w:rsidRDefault="004A137D" w:rsidP="004A137D">
            <w:pPr>
              <w:spacing w:line="240" w:lineRule="auto"/>
              <w:jc w:val="center"/>
              <w:rPr>
                <w:sz w:val="16"/>
                <w:szCs w:val="18"/>
              </w:rPr>
            </w:pPr>
            <w:r w:rsidRPr="00C24918">
              <w:rPr>
                <w:sz w:val="16"/>
                <w:szCs w:val="18"/>
              </w:rPr>
              <w:t>-0.86</w:t>
            </w:r>
          </w:p>
          <w:p w14:paraId="6A3BF495" w14:textId="77777777" w:rsidR="004A137D" w:rsidRPr="00C24918" w:rsidRDefault="004A137D" w:rsidP="004A137D">
            <w:pPr>
              <w:spacing w:line="240" w:lineRule="auto"/>
              <w:jc w:val="center"/>
              <w:rPr>
                <w:sz w:val="16"/>
                <w:szCs w:val="18"/>
              </w:rPr>
            </w:pPr>
            <w:r w:rsidRPr="00C24918">
              <w:rPr>
                <w:sz w:val="16"/>
                <w:szCs w:val="18"/>
              </w:rPr>
              <w:t>-0.93</w:t>
            </w:r>
          </w:p>
          <w:p w14:paraId="1922DA10" w14:textId="77777777" w:rsidR="004A137D" w:rsidRPr="00C24918" w:rsidRDefault="004A137D" w:rsidP="004A137D">
            <w:pPr>
              <w:spacing w:line="240" w:lineRule="auto"/>
              <w:jc w:val="center"/>
              <w:rPr>
                <w:sz w:val="16"/>
                <w:szCs w:val="18"/>
              </w:rPr>
            </w:pPr>
            <w:r w:rsidRPr="00C24918">
              <w:rPr>
                <w:sz w:val="16"/>
                <w:szCs w:val="18"/>
              </w:rPr>
              <w:t>-2.17</w:t>
            </w:r>
          </w:p>
          <w:p w14:paraId="69145ACC" w14:textId="77777777" w:rsidR="004A137D" w:rsidRPr="000A2378" w:rsidRDefault="004A137D" w:rsidP="004A137D">
            <w:pPr>
              <w:spacing w:line="240" w:lineRule="auto"/>
              <w:jc w:val="center"/>
              <w:rPr>
                <w:sz w:val="16"/>
                <w:szCs w:val="18"/>
              </w:rPr>
            </w:pPr>
            <w:r w:rsidRPr="00C24918">
              <w:rPr>
                <w:sz w:val="16"/>
                <w:szCs w:val="18"/>
              </w:rPr>
              <w:t>-1.42</w:t>
            </w:r>
          </w:p>
        </w:tc>
        <w:tc>
          <w:tcPr>
            <w:tcW w:w="995" w:type="dxa"/>
          </w:tcPr>
          <w:p w14:paraId="4CEC2CC9" w14:textId="77777777" w:rsidR="004A137D" w:rsidRDefault="004A137D" w:rsidP="004A137D">
            <w:pPr>
              <w:spacing w:line="240" w:lineRule="auto"/>
              <w:jc w:val="center"/>
              <w:rPr>
                <w:sz w:val="16"/>
                <w:szCs w:val="18"/>
              </w:rPr>
            </w:pPr>
          </w:p>
          <w:p w14:paraId="1B7EEB58" w14:textId="77777777" w:rsidR="004A137D" w:rsidRPr="00C24918" w:rsidRDefault="004A137D" w:rsidP="004A137D">
            <w:pPr>
              <w:spacing w:line="240" w:lineRule="auto"/>
              <w:jc w:val="center"/>
              <w:rPr>
                <w:sz w:val="16"/>
                <w:szCs w:val="18"/>
              </w:rPr>
            </w:pPr>
            <w:r w:rsidRPr="00C24918">
              <w:rPr>
                <w:sz w:val="16"/>
                <w:szCs w:val="18"/>
              </w:rPr>
              <w:t>1.65</w:t>
            </w:r>
          </w:p>
          <w:p w14:paraId="6F175E04" w14:textId="77777777" w:rsidR="004A137D" w:rsidRPr="00C24918" w:rsidRDefault="004A137D" w:rsidP="004A137D">
            <w:pPr>
              <w:spacing w:line="240" w:lineRule="auto"/>
              <w:jc w:val="center"/>
              <w:rPr>
                <w:sz w:val="16"/>
                <w:szCs w:val="18"/>
              </w:rPr>
            </w:pPr>
            <w:r w:rsidRPr="00C24918">
              <w:rPr>
                <w:sz w:val="16"/>
                <w:szCs w:val="18"/>
              </w:rPr>
              <w:t>1.57</w:t>
            </w:r>
          </w:p>
          <w:p w14:paraId="6E7EB17E" w14:textId="77777777" w:rsidR="004A137D" w:rsidRPr="00C24918" w:rsidRDefault="004A137D" w:rsidP="004A137D">
            <w:pPr>
              <w:spacing w:line="240" w:lineRule="auto"/>
              <w:jc w:val="center"/>
              <w:rPr>
                <w:sz w:val="16"/>
                <w:szCs w:val="18"/>
              </w:rPr>
            </w:pPr>
            <w:r w:rsidRPr="00C24918">
              <w:rPr>
                <w:sz w:val="16"/>
                <w:szCs w:val="18"/>
              </w:rPr>
              <w:t>1.06</w:t>
            </w:r>
          </w:p>
          <w:p w14:paraId="0D6C1A4D" w14:textId="77777777" w:rsidR="004A137D" w:rsidRPr="00C24918" w:rsidRDefault="004A137D" w:rsidP="004A137D">
            <w:pPr>
              <w:spacing w:line="240" w:lineRule="auto"/>
              <w:jc w:val="center"/>
              <w:rPr>
                <w:sz w:val="16"/>
                <w:szCs w:val="18"/>
              </w:rPr>
            </w:pPr>
            <w:r w:rsidRPr="00C24918">
              <w:rPr>
                <w:sz w:val="16"/>
                <w:szCs w:val="18"/>
              </w:rPr>
              <w:t>1.15</w:t>
            </w:r>
          </w:p>
          <w:p w14:paraId="0739A244" w14:textId="77777777" w:rsidR="004A137D" w:rsidRPr="00C24918" w:rsidRDefault="004A137D" w:rsidP="004A137D">
            <w:pPr>
              <w:spacing w:line="240" w:lineRule="auto"/>
              <w:jc w:val="center"/>
              <w:rPr>
                <w:sz w:val="16"/>
                <w:szCs w:val="18"/>
              </w:rPr>
            </w:pPr>
            <w:r w:rsidRPr="00C24918">
              <w:rPr>
                <w:sz w:val="16"/>
                <w:szCs w:val="18"/>
              </w:rPr>
              <w:t>0.63</w:t>
            </w:r>
          </w:p>
          <w:p w14:paraId="4912B736" w14:textId="77777777" w:rsidR="004A137D" w:rsidRPr="000A2378" w:rsidRDefault="004A137D" w:rsidP="004A137D">
            <w:pPr>
              <w:spacing w:line="240" w:lineRule="auto"/>
              <w:jc w:val="center"/>
              <w:rPr>
                <w:sz w:val="16"/>
                <w:szCs w:val="18"/>
              </w:rPr>
            </w:pPr>
            <w:r w:rsidRPr="00C24918">
              <w:rPr>
                <w:sz w:val="16"/>
                <w:szCs w:val="18"/>
              </w:rPr>
              <w:t>1.49</w:t>
            </w:r>
            <w:r w:rsidRPr="00BC417E">
              <w:rPr>
                <w:sz w:val="16"/>
                <w:szCs w:val="18"/>
              </w:rPr>
              <w:t xml:space="preserve"> </w:t>
            </w:r>
          </w:p>
        </w:tc>
      </w:tr>
      <w:tr w:rsidR="004A137D" w:rsidRPr="00A2449A" w14:paraId="02D138ED" w14:textId="77777777" w:rsidTr="00AF2A65">
        <w:trPr>
          <w:jc w:val="center"/>
        </w:trPr>
        <w:tc>
          <w:tcPr>
            <w:tcW w:w="1132" w:type="dxa"/>
            <w:vMerge/>
            <w:vAlign w:val="center"/>
          </w:tcPr>
          <w:p w14:paraId="46B15D29"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1D4FBFA5" w14:textId="77777777" w:rsidR="004A137D" w:rsidRDefault="004A137D" w:rsidP="004A137D">
            <w:pPr>
              <w:spacing w:line="240" w:lineRule="auto"/>
              <w:jc w:val="center"/>
              <w:rPr>
                <w:sz w:val="16"/>
                <w:szCs w:val="18"/>
              </w:rPr>
            </w:pPr>
            <w:r>
              <w:rPr>
                <w:sz w:val="16"/>
                <w:szCs w:val="18"/>
              </w:rPr>
              <w:t>Previous Psych Treatment</w:t>
            </w:r>
          </w:p>
        </w:tc>
        <w:tc>
          <w:tcPr>
            <w:tcW w:w="836" w:type="dxa"/>
          </w:tcPr>
          <w:p w14:paraId="1777D6F0" w14:textId="77777777" w:rsidR="004A137D" w:rsidRDefault="004A137D" w:rsidP="004A137D">
            <w:pPr>
              <w:tabs>
                <w:tab w:val="left" w:pos="223"/>
                <w:tab w:val="center" w:pos="310"/>
              </w:tabs>
              <w:spacing w:line="240" w:lineRule="auto"/>
              <w:jc w:val="center"/>
              <w:rPr>
                <w:sz w:val="16"/>
                <w:szCs w:val="18"/>
              </w:rPr>
            </w:pPr>
            <w:r>
              <w:rPr>
                <w:sz w:val="16"/>
                <w:szCs w:val="18"/>
              </w:rPr>
              <w:t>0.18</w:t>
            </w:r>
          </w:p>
        </w:tc>
        <w:tc>
          <w:tcPr>
            <w:tcW w:w="785" w:type="dxa"/>
          </w:tcPr>
          <w:p w14:paraId="6B7D7F4A" w14:textId="77777777" w:rsidR="004A137D" w:rsidRDefault="004A137D" w:rsidP="004A137D">
            <w:pPr>
              <w:spacing w:line="240" w:lineRule="auto"/>
              <w:jc w:val="center"/>
              <w:rPr>
                <w:sz w:val="16"/>
                <w:szCs w:val="18"/>
              </w:rPr>
            </w:pPr>
            <w:r w:rsidRPr="00BC417E">
              <w:rPr>
                <w:sz w:val="16"/>
                <w:szCs w:val="18"/>
              </w:rPr>
              <w:t xml:space="preserve"> </w:t>
            </w:r>
            <w:r w:rsidRPr="00D90771">
              <w:rPr>
                <w:sz w:val="16"/>
                <w:szCs w:val="18"/>
              </w:rPr>
              <w:t>0.02</w:t>
            </w:r>
          </w:p>
        </w:tc>
        <w:tc>
          <w:tcPr>
            <w:tcW w:w="999" w:type="dxa"/>
          </w:tcPr>
          <w:p w14:paraId="48892C5F" w14:textId="77777777" w:rsidR="004A137D" w:rsidRDefault="004A137D" w:rsidP="004A137D">
            <w:pPr>
              <w:spacing w:line="240" w:lineRule="auto"/>
              <w:jc w:val="center"/>
              <w:rPr>
                <w:sz w:val="16"/>
                <w:szCs w:val="18"/>
              </w:rPr>
            </w:pPr>
            <w:r w:rsidRPr="00BC417E">
              <w:rPr>
                <w:sz w:val="16"/>
                <w:szCs w:val="18"/>
              </w:rPr>
              <w:t xml:space="preserve"> </w:t>
            </w:r>
            <w:r w:rsidRPr="00D90771">
              <w:rPr>
                <w:sz w:val="16"/>
                <w:szCs w:val="18"/>
              </w:rPr>
              <w:t>0.534</w:t>
            </w:r>
          </w:p>
        </w:tc>
        <w:tc>
          <w:tcPr>
            <w:tcW w:w="988" w:type="dxa"/>
          </w:tcPr>
          <w:p w14:paraId="51782754" w14:textId="77777777" w:rsidR="004A137D" w:rsidRDefault="004A137D" w:rsidP="004A137D">
            <w:pPr>
              <w:spacing w:line="240" w:lineRule="auto"/>
              <w:jc w:val="center"/>
              <w:rPr>
                <w:sz w:val="16"/>
                <w:szCs w:val="18"/>
              </w:rPr>
            </w:pPr>
            <w:r w:rsidRPr="00BC417E">
              <w:rPr>
                <w:sz w:val="16"/>
                <w:szCs w:val="18"/>
              </w:rPr>
              <w:t xml:space="preserve"> </w:t>
            </w:r>
            <w:r w:rsidRPr="00D90771">
              <w:rPr>
                <w:sz w:val="16"/>
                <w:szCs w:val="18"/>
              </w:rPr>
              <w:t>-0.40</w:t>
            </w:r>
          </w:p>
        </w:tc>
        <w:tc>
          <w:tcPr>
            <w:tcW w:w="995" w:type="dxa"/>
          </w:tcPr>
          <w:p w14:paraId="0989B429" w14:textId="77777777" w:rsidR="004A137D" w:rsidRDefault="004A137D" w:rsidP="004A137D">
            <w:pPr>
              <w:spacing w:line="240" w:lineRule="auto"/>
              <w:jc w:val="center"/>
              <w:rPr>
                <w:sz w:val="16"/>
                <w:szCs w:val="18"/>
              </w:rPr>
            </w:pPr>
            <w:r w:rsidRPr="00BC417E">
              <w:rPr>
                <w:sz w:val="16"/>
                <w:szCs w:val="18"/>
              </w:rPr>
              <w:t xml:space="preserve"> </w:t>
            </w:r>
            <w:r w:rsidRPr="00D90771">
              <w:rPr>
                <w:sz w:val="16"/>
                <w:szCs w:val="18"/>
              </w:rPr>
              <w:t>0.76</w:t>
            </w:r>
          </w:p>
        </w:tc>
      </w:tr>
      <w:tr w:rsidR="004A137D" w:rsidRPr="00A2449A" w14:paraId="2E89D5C0" w14:textId="77777777" w:rsidTr="00AF2A65">
        <w:trPr>
          <w:jc w:val="center"/>
        </w:trPr>
        <w:tc>
          <w:tcPr>
            <w:tcW w:w="1132" w:type="dxa"/>
            <w:vMerge w:val="restart"/>
            <w:vAlign w:val="center"/>
          </w:tcPr>
          <w:p w14:paraId="2F81A022" w14:textId="77777777" w:rsidR="004A137D" w:rsidRPr="00A2449A" w:rsidRDefault="004A137D" w:rsidP="004A137D">
            <w:pPr>
              <w:spacing w:line="240" w:lineRule="auto"/>
              <w:jc w:val="center"/>
              <w:rPr>
                <w:rFonts w:ascii="Avenir Heavy" w:hAnsi="Avenir Heavy"/>
                <w:sz w:val="16"/>
                <w:szCs w:val="18"/>
              </w:rPr>
            </w:pPr>
            <w:r w:rsidRPr="00A2449A">
              <w:rPr>
                <w:rFonts w:ascii="Avenir Heavy" w:hAnsi="Avenir Heavy"/>
                <w:sz w:val="16"/>
                <w:szCs w:val="18"/>
              </w:rPr>
              <w:t>Large k</w:t>
            </w:r>
          </w:p>
        </w:tc>
        <w:tc>
          <w:tcPr>
            <w:tcW w:w="2482" w:type="dxa"/>
            <w:vAlign w:val="center"/>
          </w:tcPr>
          <w:p w14:paraId="1AE90F80" w14:textId="77777777" w:rsidR="004A137D" w:rsidRPr="00A2449A" w:rsidRDefault="004A137D" w:rsidP="004A137D">
            <w:pPr>
              <w:spacing w:line="240" w:lineRule="auto"/>
              <w:jc w:val="center"/>
              <w:rPr>
                <w:sz w:val="16"/>
                <w:szCs w:val="18"/>
              </w:rPr>
            </w:pPr>
            <w:r>
              <w:rPr>
                <w:sz w:val="16"/>
                <w:szCs w:val="18"/>
              </w:rPr>
              <w:t>Intercept</w:t>
            </w:r>
          </w:p>
        </w:tc>
        <w:tc>
          <w:tcPr>
            <w:tcW w:w="836" w:type="dxa"/>
          </w:tcPr>
          <w:p w14:paraId="7A044F21" w14:textId="77777777" w:rsidR="004A137D" w:rsidRPr="000A2378" w:rsidRDefault="004A137D" w:rsidP="004A137D">
            <w:pPr>
              <w:spacing w:line="240" w:lineRule="auto"/>
              <w:jc w:val="center"/>
              <w:rPr>
                <w:sz w:val="16"/>
                <w:szCs w:val="18"/>
              </w:rPr>
            </w:pPr>
            <w:r w:rsidRPr="00BC417E">
              <w:rPr>
                <w:sz w:val="16"/>
                <w:szCs w:val="18"/>
              </w:rPr>
              <w:t xml:space="preserve"> </w:t>
            </w:r>
          </w:p>
        </w:tc>
        <w:tc>
          <w:tcPr>
            <w:tcW w:w="785" w:type="dxa"/>
          </w:tcPr>
          <w:p w14:paraId="125C9695"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0.04</w:t>
            </w:r>
          </w:p>
        </w:tc>
        <w:tc>
          <w:tcPr>
            <w:tcW w:w="999" w:type="dxa"/>
          </w:tcPr>
          <w:p w14:paraId="050993B2" w14:textId="77777777" w:rsidR="004A137D" w:rsidRPr="000A2378" w:rsidRDefault="004A137D" w:rsidP="004A137D">
            <w:pPr>
              <w:spacing w:line="240" w:lineRule="auto"/>
              <w:jc w:val="center"/>
              <w:rPr>
                <w:sz w:val="16"/>
                <w:szCs w:val="18"/>
              </w:rPr>
            </w:pPr>
            <w:r>
              <w:rPr>
                <w:sz w:val="16"/>
                <w:szCs w:val="18"/>
              </w:rPr>
              <w:t>0.558</w:t>
            </w:r>
            <w:r w:rsidRPr="00BC417E">
              <w:rPr>
                <w:sz w:val="16"/>
                <w:szCs w:val="18"/>
              </w:rPr>
              <w:t xml:space="preserve"> </w:t>
            </w:r>
          </w:p>
        </w:tc>
        <w:tc>
          <w:tcPr>
            <w:tcW w:w="988" w:type="dxa"/>
          </w:tcPr>
          <w:p w14:paraId="5B73C4AA" w14:textId="77777777" w:rsidR="004A137D" w:rsidRPr="000A2378" w:rsidRDefault="004A137D" w:rsidP="004A137D">
            <w:pPr>
              <w:spacing w:line="240" w:lineRule="auto"/>
              <w:jc w:val="center"/>
              <w:rPr>
                <w:sz w:val="16"/>
                <w:szCs w:val="18"/>
              </w:rPr>
            </w:pPr>
            <w:r w:rsidRPr="00BC417E">
              <w:rPr>
                <w:sz w:val="16"/>
                <w:szCs w:val="18"/>
              </w:rPr>
              <w:t xml:space="preserve"> </w:t>
            </w:r>
          </w:p>
        </w:tc>
        <w:tc>
          <w:tcPr>
            <w:tcW w:w="995" w:type="dxa"/>
          </w:tcPr>
          <w:p w14:paraId="034CA606" w14:textId="77777777" w:rsidR="004A137D" w:rsidRPr="000A2378" w:rsidRDefault="004A137D" w:rsidP="004A137D">
            <w:pPr>
              <w:spacing w:line="240" w:lineRule="auto"/>
              <w:jc w:val="center"/>
              <w:rPr>
                <w:sz w:val="16"/>
                <w:szCs w:val="18"/>
              </w:rPr>
            </w:pPr>
            <w:r w:rsidRPr="00BC417E">
              <w:rPr>
                <w:sz w:val="16"/>
                <w:szCs w:val="18"/>
              </w:rPr>
              <w:t xml:space="preserve"> </w:t>
            </w:r>
          </w:p>
        </w:tc>
      </w:tr>
      <w:tr w:rsidR="004A137D" w:rsidRPr="00A2449A" w14:paraId="13315DBA" w14:textId="77777777" w:rsidTr="00AF2A65">
        <w:trPr>
          <w:jc w:val="center"/>
        </w:trPr>
        <w:tc>
          <w:tcPr>
            <w:tcW w:w="1132" w:type="dxa"/>
            <w:vMerge/>
            <w:vAlign w:val="center"/>
          </w:tcPr>
          <w:p w14:paraId="78D9E89C"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5ABDB2EA" w14:textId="77777777" w:rsidR="004A137D" w:rsidRPr="00A2449A" w:rsidRDefault="004A137D" w:rsidP="004A137D">
            <w:pPr>
              <w:spacing w:line="240" w:lineRule="auto"/>
              <w:jc w:val="center"/>
              <w:rPr>
                <w:sz w:val="16"/>
                <w:szCs w:val="18"/>
              </w:rPr>
            </w:pPr>
            <w:r w:rsidRPr="00A2449A">
              <w:rPr>
                <w:sz w:val="16"/>
                <w:szCs w:val="18"/>
              </w:rPr>
              <w:t>GAD-7</w:t>
            </w:r>
          </w:p>
        </w:tc>
        <w:tc>
          <w:tcPr>
            <w:tcW w:w="836" w:type="dxa"/>
          </w:tcPr>
          <w:p w14:paraId="3A8599CB"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0.28</w:t>
            </w:r>
          </w:p>
        </w:tc>
        <w:tc>
          <w:tcPr>
            <w:tcW w:w="785" w:type="dxa"/>
          </w:tcPr>
          <w:p w14:paraId="3269D1F8"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0.00</w:t>
            </w:r>
          </w:p>
        </w:tc>
        <w:tc>
          <w:tcPr>
            <w:tcW w:w="999" w:type="dxa"/>
          </w:tcPr>
          <w:p w14:paraId="20A8ED0A"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0.180</w:t>
            </w:r>
          </w:p>
        </w:tc>
        <w:tc>
          <w:tcPr>
            <w:tcW w:w="988" w:type="dxa"/>
          </w:tcPr>
          <w:p w14:paraId="0B9A5939" w14:textId="77777777" w:rsidR="004A137D" w:rsidRPr="000A2378" w:rsidRDefault="004A137D" w:rsidP="004A137D">
            <w:pPr>
              <w:spacing w:line="240" w:lineRule="auto"/>
              <w:jc w:val="center"/>
              <w:rPr>
                <w:sz w:val="16"/>
                <w:szCs w:val="18"/>
              </w:rPr>
            </w:pPr>
            <w:r>
              <w:rPr>
                <w:sz w:val="16"/>
                <w:szCs w:val="18"/>
              </w:rPr>
              <w:t>-0.13</w:t>
            </w:r>
            <w:r w:rsidRPr="00BC417E">
              <w:rPr>
                <w:sz w:val="16"/>
                <w:szCs w:val="18"/>
              </w:rPr>
              <w:t xml:space="preserve"> </w:t>
            </w:r>
          </w:p>
        </w:tc>
        <w:tc>
          <w:tcPr>
            <w:tcW w:w="995" w:type="dxa"/>
          </w:tcPr>
          <w:p w14:paraId="3B5DA936" w14:textId="77777777" w:rsidR="004A137D" w:rsidRPr="000A2378" w:rsidRDefault="004A137D" w:rsidP="004A137D">
            <w:pPr>
              <w:spacing w:line="240" w:lineRule="auto"/>
              <w:jc w:val="center"/>
              <w:rPr>
                <w:sz w:val="16"/>
                <w:szCs w:val="18"/>
              </w:rPr>
            </w:pPr>
            <w:r w:rsidRPr="00C24918">
              <w:rPr>
                <w:sz w:val="16"/>
                <w:szCs w:val="18"/>
              </w:rPr>
              <w:t>0.68</w:t>
            </w:r>
            <w:r w:rsidRPr="00BC417E">
              <w:rPr>
                <w:sz w:val="16"/>
                <w:szCs w:val="18"/>
              </w:rPr>
              <w:t xml:space="preserve"> </w:t>
            </w:r>
          </w:p>
        </w:tc>
      </w:tr>
      <w:tr w:rsidR="004A137D" w:rsidRPr="00A2449A" w14:paraId="15E4EE79" w14:textId="77777777" w:rsidTr="00AF2A65">
        <w:trPr>
          <w:jc w:val="center"/>
        </w:trPr>
        <w:tc>
          <w:tcPr>
            <w:tcW w:w="1132" w:type="dxa"/>
            <w:vMerge/>
            <w:vAlign w:val="center"/>
          </w:tcPr>
          <w:p w14:paraId="67E56BA1"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675EEF21" w14:textId="77777777" w:rsidR="004A137D" w:rsidRPr="00A2449A" w:rsidRDefault="004A137D" w:rsidP="004A137D">
            <w:pPr>
              <w:spacing w:line="240" w:lineRule="auto"/>
              <w:jc w:val="center"/>
              <w:rPr>
                <w:sz w:val="16"/>
                <w:szCs w:val="18"/>
              </w:rPr>
            </w:pPr>
            <w:r>
              <w:rPr>
                <w:sz w:val="16"/>
                <w:szCs w:val="18"/>
              </w:rPr>
              <w:t>Female – Male</w:t>
            </w:r>
          </w:p>
        </w:tc>
        <w:tc>
          <w:tcPr>
            <w:tcW w:w="836" w:type="dxa"/>
          </w:tcPr>
          <w:p w14:paraId="4008B78E" w14:textId="77777777" w:rsidR="004A137D" w:rsidRPr="000A2378" w:rsidRDefault="004A137D" w:rsidP="004A137D">
            <w:pPr>
              <w:spacing w:line="240" w:lineRule="auto"/>
              <w:jc w:val="center"/>
              <w:rPr>
                <w:sz w:val="16"/>
                <w:szCs w:val="18"/>
              </w:rPr>
            </w:pPr>
            <w:r>
              <w:rPr>
                <w:sz w:val="16"/>
                <w:szCs w:val="18"/>
              </w:rPr>
              <w:t>0.14</w:t>
            </w:r>
            <w:r w:rsidRPr="00BC417E">
              <w:rPr>
                <w:sz w:val="16"/>
                <w:szCs w:val="18"/>
              </w:rPr>
              <w:t xml:space="preserve"> </w:t>
            </w:r>
          </w:p>
        </w:tc>
        <w:tc>
          <w:tcPr>
            <w:tcW w:w="785" w:type="dxa"/>
          </w:tcPr>
          <w:p w14:paraId="29769203"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0.02</w:t>
            </w:r>
          </w:p>
        </w:tc>
        <w:tc>
          <w:tcPr>
            <w:tcW w:w="999" w:type="dxa"/>
          </w:tcPr>
          <w:p w14:paraId="44CC453F"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0.684</w:t>
            </w:r>
          </w:p>
        </w:tc>
        <w:tc>
          <w:tcPr>
            <w:tcW w:w="988" w:type="dxa"/>
          </w:tcPr>
          <w:p w14:paraId="6B8958A7"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-0.54</w:t>
            </w:r>
          </w:p>
        </w:tc>
        <w:tc>
          <w:tcPr>
            <w:tcW w:w="995" w:type="dxa"/>
          </w:tcPr>
          <w:p w14:paraId="0F1AE58C" w14:textId="77777777" w:rsidR="004A137D" w:rsidRPr="000A2378" w:rsidRDefault="004A137D" w:rsidP="004A137D">
            <w:pPr>
              <w:spacing w:line="240" w:lineRule="auto"/>
              <w:jc w:val="center"/>
              <w:rPr>
                <w:sz w:val="16"/>
                <w:szCs w:val="18"/>
              </w:rPr>
            </w:pPr>
            <w:r w:rsidRPr="00C24918">
              <w:rPr>
                <w:sz w:val="16"/>
                <w:szCs w:val="18"/>
              </w:rPr>
              <w:t>0.81</w:t>
            </w:r>
            <w:r w:rsidRPr="00BC417E">
              <w:rPr>
                <w:sz w:val="16"/>
                <w:szCs w:val="18"/>
              </w:rPr>
              <w:t xml:space="preserve"> </w:t>
            </w:r>
          </w:p>
        </w:tc>
      </w:tr>
      <w:tr w:rsidR="004A137D" w:rsidRPr="00A2449A" w14:paraId="17A1FC9F" w14:textId="77777777" w:rsidTr="00AF2A65">
        <w:trPr>
          <w:jc w:val="center"/>
        </w:trPr>
        <w:tc>
          <w:tcPr>
            <w:tcW w:w="1132" w:type="dxa"/>
            <w:vMerge/>
            <w:vAlign w:val="center"/>
          </w:tcPr>
          <w:p w14:paraId="0A9D5DCB"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5223F34F" w14:textId="77777777" w:rsidR="004A137D" w:rsidRPr="00A2449A" w:rsidRDefault="004A137D" w:rsidP="004A137D">
            <w:pPr>
              <w:spacing w:line="240" w:lineRule="auto"/>
              <w:jc w:val="center"/>
              <w:rPr>
                <w:sz w:val="16"/>
                <w:szCs w:val="18"/>
              </w:rPr>
            </w:pPr>
            <w:r>
              <w:rPr>
                <w:sz w:val="16"/>
                <w:szCs w:val="18"/>
              </w:rPr>
              <w:t>SES ladder</w:t>
            </w:r>
          </w:p>
        </w:tc>
        <w:tc>
          <w:tcPr>
            <w:tcW w:w="836" w:type="dxa"/>
          </w:tcPr>
          <w:p w14:paraId="483A113D"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-0.04</w:t>
            </w:r>
          </w:p>
        </w:tc>
        <w:tc>
          <w:tcPr>
            <w:tcW w:w="785" w:type="dxa"/>
          </w:tcPr>
          <w:p w14:paraId="76B42E71"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0.00</w:t>
            </w:r>
          </w:p>
        </w:tc>
        <w:tc>
          <w:tcPr>
            <w:tcW w:w="999" w:type="dxa"/>
          </w:tcPr>
          <w:p w14:paraId="7966AAB8"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0.787</w:t>
            </w:r>
          </w:p>
        </w:tc>
        <w:tc>
          <w:tcPr>
            <w:tcW w:w="988" w:type="dxa"/>
          </w:tcPr>
          <w:p w14:paraId="72B056D7" w14:textId="77777777" w:rsidR="004A137D" w:rsidRPr="000A2378" w:rsidRDefault="004A137D" w:rsidP="004A137D">
            <w:pPr>
              <w:spacing w:line="240" w:lineRule="auto"/>
              <w:jc w:val="center"/>
              <w:rPr>
                <w:sz w:val="16"/>
                <w:szCs w:val="18"/>
              </w:rPr>
            </w:pPr>
            <w:r w:rsidRPr="00BC417E">
              <w:rPr>
                <w:sz w:val="16"/>
                <w:szCs w:val="18"/>
              </w:rPr>
              <w:t xml:space="preserve"> </w:t>
            </w:r>
            <w:r>
              <w:rPr>
                <w:sz w:val="16"/>
                <w:szCs w:val="18"/>
              </w:rPr>
              <w:t>-0.36</w:t>
            </w:r>
          </w:p>
        </w:tc>
        <w:tc>
          <w:tcPr>
            <w:tcW w:w="995" w:type="dxa"/>
          </w:tcPr>
          <w:p w14:paraId="72007C00" w14:textId="77777777" w:rsidR="004A137D" w:rsidRPr="000A2378" w:rsidRDefault="004A137D" w:rsidP="004A137D">
            <w:pPr>
              <w:spacing w:line="240" w:lineRule="auto"/>
              <w:jc w:val="center"/>
              <w:rPr>
                <w:sz w:val="16"/>
                <w:szCs w:val="18"/>
              </w:rPr>
            </w:pPr>
            <w:r w:rsidRPr="00C24918">
              <w:rPr>
                <w:sz w:val="16"/>
                <w:szCs w:val="18"/>
              </w:rPr>
              <w:t>0.28</w:t>
            </w:r>
            <w:r w:rsidRPr="00BC417E">
              <w:rPr>
                <w:sz w:val="16"/>
                <w:szCs w:val="18"/>
              </w:rPr>
              <w:t xml:space="preserve"> </w:t>
            </w:r>
          </w:p>
        </w:tc>
      </w:tr>
      <w:tr w:rsidR="004A137D" w:rsidRPr="00A2449A" w14:paraId="630366FD" w14:textId="77777777" w:rsidTr="00AF2A65">
        <w:trPr>
          <w:jc w:val="center"/>
        </w:trPr>
        <w:tc>
          <w:tcPr>
            <w:tcW w:w="1132" w:type="dxa"/>
            <w:vMerge/>
            <w:vAlign w:val="center"/>
          </w:tcPr>
          <w:p w14:paraId="3C65138A"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0CAB5C51" w14:textId="77777777" w:rsidR="004A137D" w:rsidRDefault="004A137D" w:rsidP="004A137D">
            <w:pPr>
              <w:spacing w:line="240" w:lineRule="auto"/>
              <w:jc w:val="center"/>
              <w:rPr>
                <w:sz w:val="16"/>
                <w:szCs w:val="18"/>
              </w:rPr>
            </w:pPr>
            <w:r>
              <w:rPr>
                <w:sz w:val="16"/>
                <w:szCs w:val="18"/>
              </w:rPr>
              <w:t>Currently anxious</w:t>
            </w:r>
          </w:p>
          <w:p w14:paraId="25015855" w14:textId="77777777" w:rsidR="004A137D" w:rsidRDefault="004A137D" w:rsidP="004A137D">
            <w:pPr>
              <w:spacing w:line="240" w:lineRule="auto"/>
              <w:jc w:val="center"/>
              <w:rPr>
                <w:sz w:val="16"/>
                <w:szCs w:val="18"/>
              </w:rPr>
            </w:pPr>
            <w:r>
              <w:rPr>
                <w:sz w:val="16"/>
                <w:szCs w:val="18"/>
              </w:rPr>
              <w:t>2-1</w:t>
            </w:r>
          </w:p>
          <w:p w14:paraId="3FA6849A" w14:textId="77777777" w:rsidR="004A137D" w:rsidRDefault="004A137D" w:rsidP="004A137D">
            <w:pPr>
              <w:spacing w:line="240" w:lineRule="auto"/>
              <w:jc w:val="center"/>
              <w:rPr>
                <w:sz w:val="16"/>
                <w:szCs w:val="18"/>
              </w:rPr>
            </w:pPr>
            <w:r>
              <w:rPr>
                <w:sz w:val="16"/>
                <w:szCs w:val="18"/>
              </w:rPr>
              <w:t>3-1</w:t>
            </w:r>
          </w:p>
          <w:p w14:paraId="7239EBF9" w14:textId="77777777" w:rsidR="004A137D" w:rsidRDefault="004A137D" w:rsidP="004A137D">
            <w:pPr>
              <w:spacing w:line="240" w:lineRule="auto"/>
              <w:jc w:val="center"/>
              <w:rPr>
                <w:sz w:val="16"/>
                <w:szCs w:val="18"/>
              </w:rPr>
            </w:pPr>
            <w:r>
              <w:rPr>
                <w:sz w:val="16"/>
                <w:szCs w:val="18"/>
              </w:rPr>
              <w:t>4-1</w:t>
            </w:r>
          </w:p>
          <w:p w14:paraId="331E9C1B" w14:textId="77777777" w:rsidR="004A137D" w:rsidRDefault="004A137D" w:rsidP="004A137D">
            <w:pPr>
              <w:spacing w:line="240" w:lineRule="auto"/>
              <w:jc w:val="center"/>
              <w:rPr>
                <w:sz w:val="16"/>
                <w:szCs w:val="18"/>
              </w:rPr>
            </w:pPr>
            <w:r>
              <w:rPr>
                <w:sz w:val="16"/>
                <w:szCs w:val="18"/>
              </w:rPr>
              <w:t>5-1</w:t>
            </w:r>
          </w:p>
          <w:p w14:paraId="385779F9" w14:textId="77777777" w:rsidR="004A137D" w:rsidRDefault="004A137D" w:rsidP="004A137D">
            <w:pPr>
              <w:spacing w:line="240" w:lineRule="auto"/>
              <w:jc w:val="center"/>
              <w:rPr>
                <w:sz w:val="16"/>
                <w:szCs w:val="18"/>
              </w:rPr>
            </w:pPr>
            <w:r>
              <w:rPr>
                <w:sz w:val="16"/>
                <w:szCs w:val="18"/>
              </w:rPr>
              <w:t>6-1</w:t>
            </w:r>
          </w:p>
          <w:p w14:paraId="0EEF07D9" w14:textId="77777777" w:rsidR="004A137D" w:rsidRPr="00A2449A" w:rsidRDefault="004A137D" w:rsidP="004A137D">
            <w:pPr>
              <w:spacing w:line="240" w:lineRule="auto"/>
              <w:jc w:val="center"/>
              <w:rPr>
                <w:sz w:val="16"/>
                <w:szCs w:val="18"/>
              </w:rPr>
            </w:pPr>
            <w:r>
              <w:rPr>
                <w:sz w:val="16"/>
                <w:szCs w:val="18"/>
              </w:rPr>
              <w:t>7-1</w:t>
            </w:r>
          </w:p>
        </w:tc>
        <w:tc>
          <w:tcPr>
            <w:tcW w:w="836" w:type="dxa"/>
          </w:tcPr>
          <w:p w14:paraId="030CC0C4" w14:textId="77777777" w:rsidR="004A137D" w:rsidRDefault="004A137D" w:rsidP="004A137D">
            <w:pPr>
              <w:spacing w:line="240" w:lineRule="auto"/>
              <w:jc w:val="center"/>
              <w:rPr>
                <w:sz w:val="16"/>
                <w:szCs w:val="18"/>
              </w:rPr>
            </w:pPr>
            <w:r w:rsidRPr="00BC417E">
              <w:rPr>
                <w:sz w:val="16"/>
                <w:szCs w:val="18"/>
              </w:rPr>
              <w:t xml:space="preserve"> </w:t>
            </w:r>
          </w:p>
          <w:p w14:paraId="1B4BC3C5" w14:textId="77777777" w:rsidR="004A137D" w:rsidRPr="00732E3E" w:rsidRDefault="004A137D" w:rsidP="004A137D">
            <w:pPr>
              <w:spacing w:line="240" w:lineRule="auto"/>
              <w:jc w:val="center"/>
              <w:rPr>
                <w:sz w:val="16"/>
                <w:szCs w:val="18"/>
              </w:rPr>
            </w:pPr>
            <w:r w:rsidRPr="00732E3E">
              <w:rPr>
                <w:sz w:val="16"/>
                <w:szCs w:val="18"/>
              </w:rPr>
              <w:t>0.57</w:t>
            </w:r>
          </w:p>
          <w:p w14:paraId="44A2289F" w14:textId="77777777" w:rsidR="004A137D" w:rsidRPr="00732E3E" w:rsidRDefault="004A137D" w:rsidP="004A137D">
            <w:pPr>
              <w:spacing w:line="240" w:lineRule="auto"/>
              <w:jc w:val="center"/>
              <w:rPr>
                <w:sz w:val="16"/>
                <w:szCs w:val="18"/>
              </w:rPr>
            </w:pPr>
            <w:r w:rsidRPr="00732E3E">
              <w:rPr>
                <w:sz w:val="16"/>
                <w:szCs w:val="18"/>
              </w:rPr>
              <w:t>0.44</w:t>
            </w:r>
          </w:p>
          <w:p w14:paraId="1BFD3441" w14:textId="77777777" w:rsidR="004A137D" w:rsidRPr="00732E3E" w:rsidRDefault="004A137D" w:rsidP="004A137D">
            <w:pPr>
              <w:spacing w:line="240" w:lineRule="auto"/>
              <w:jc w:val="center"/>
              <w:rPr>
                <w:sz w:val="16"/>
                <w:szCs w:val="18"/>
              </w:rPr>
            </w:pPr>
            <w:r w:rsidRPr="00732E3E">
              <w:rPr>
                <w:sz w:val="16"/>
                <w:szCs w:val="18"/>
              </w:rPr>
              <w:t>0.47</w:t>
            </w:r>
          </w:p>
          <w:p w14:paraId="5BCA68F2" w14:textId="77777777" w:rsidR="004A137D" w:rsidRPr="00732E3E" w:rsidRDefault="004A137D" w:rsidP="004A137D">
            <w:pPr>
              <w:spacing w:line="240" w:lineRule="auto"/>
              <w:jc w:val="center"/>
              <w:rPr>
                <w:sz w:val="16"/>
                <w:szCs w:val="18"/>
              </w:rPr>
            </w:pPr>
            <w:r w:rsidRPr="00732E3E">
              <w:rPr>
                <w:sz w:val="16"/>
                <w:szCs w:val="18"/>
              </w:rPr>
              <w:t>-0.04</w:t>
            </w:r>
          </w:p>
          <w:p w14:paraId="7F28E2C1" w14:textId="77777777" w:rsidR="004A137D" w:rsidRPr="00732E3E" w:rsidRDefault="004A137D" w:rsidP="004A137D">
            <w:pPr>
              <w:spacing w:line="240" w:lineRule="auto"/>
              <w:jc w:val="center"/>
              <w:rPr>
                <w:sz w:val="16"/>
                <w:szCs w:val="18"/>
              </w:rPr>
            </w:pPr>
            <w:r w:rsidRPr="00732E3E">
              <w:rPr>
                <w:sz w:val="16"/>
                <w:szCs w:val="18"/>
              </w:rPr>
              <w:t>-0.53</w:t>
            </w:r>
          </w:p>
          <w:p w14:paraId="5E8FF3F5" w14:textId="77777777" w:rsidR="004A137D" w:rsidRPr="000A2378" w:rsidRDefault="004A137D" w:rsidP="004A137D">
            <w:pPr>
              <w:spacing w:line="240" w:lineRule="auto"/>
              <w:jc w:val="center"/>
              <w:rPr>
                <w:sz w:val="16"/>
                <w:szCs w:val="18"/>
              </w:rPr>
            </w:pPr>
            <w:r w:rsidRPr="00732E3E">
              <w:rPr>
                <w:sz w:val="16"/>
                <w:szCs w:val="18"/>
              </w:rPr>
              <w:t>0.50</w:t>
            </w:r>
          </w:p>
        </w:tc>
        <w:tc>
          <w:tcPr>
            <w:tcW w:w="785" w:type="dxa"/>
          </w:tcPr>
          <w:p w14:paraId="538EE2EE" w14:textId="77777777" w:rsidR="004A137D" w:rsidRDefault="004A137D" w:rsidP="004A137D">
            <w:pPr>
              <w:spacing w:line="240" w:lineRule="auto"/>
              <w:jc w:val="center"/>
              <w:rPr>
                <w:sz w:val="16"/>
                <w:szCs w:val="18"/>
              </w:rPr>
            </w:pPr>
          </w:p>
          <w:p w14:paraId="2BA4B800" w14:textId="77777777" w:rsidR="004A137D" w:rsidRPr="00732E3E" w:rsidRDefault="004A137D" w:rsidP="004A137D">
            <w:pPr>
              <w:spacing w:line="240" w:lineRule="auto"/>
              <w:jc w:val="center"/>
              <w:rPr>
                <w:sz w:val="16"/>
                <w:szCs w:val="18"/>
              </w:rPr>
            </w:pPr>
            <w:r w:rsidRPr="00732E3E">
              <w:rPr>
                <w:sz w:val="16"/>
                <w:szCs w:val="18"/>
              </w:rPr>
              <w:t>0.03</w:t>
            </w:r>
          </w:p>
          <w:p w14:paraId="6933B549" w14:textId="77777777" w:rsidR="004A137D" w:rsidRPr="00732E3E" w:rsidRDefault="004A137D" w:rsidP="004A137D">
            <w:pPr>
              <w:spacing w:line="240" w:lineRule="auto"/>
              <w:jc w:val="center"/>
              <w:rPr>
                <w:sz w:val="16"/>
                <w:szCs w:val="18"/>
              </w:rPr>
            </w:pPr>
            <w:r w:rsidRPr="00732E3E">
              <w:rPr>
                <w:sz w:val="16"/>
                <w:szCs w:val="18"/>
              </w:rPr>
              <w:t>0.03</w:t>
            </w:r>
          </w:p>
          <w:p w14:paraId="7FBE90D3" w14:textId="77777777" w:rsidR="004A137D" w:rsidRPr="00732E3E" w:rsidRDefault="004A137D" w:rsidP="004A137D">
            <w:pPr>
              <w:spacing w:line="240" w:lineRule="auto"/>
              <w:jc w:val="center"/>
              <w:rPr>
                <w:sz w:val="16"/>
                <w:szCs w:val="18"/>
              </w:rPr>
            </w:pPr>
            <w:r w:rsidRPr="00732E3E">
              <w:rPr>
                <w:sz w:val="16"/>
                <w:szCs w:val="18"/>
              </w:rPr>
              <w:t>0.03</w:t>
            </w:r>
          </w:p>
          <w:p w14:paraId="4CC6F0A7" w14:textId="77777777" w:rsidR="004A137D" w:rsidRPr="00732E3E" w:rsidRDefault="004A137D" w:rsidP="004A137D">
            <w:pPr>
              <w:spacing w:line="240" w:lineRule="auto"/>
              <w:jc w:val="center"/>
              <w:rPr>
                <w:sz w:val="16"/>
                <w:szCs w:val="18"/>
              </w:rPr>
            </w:pPr>
            <w:r w:rsidRPr="00732E3E">
              <w:rPr>
                <w:sz w:val="16"/>
                <w:szCs w:val="18"/>
              </w:rPr>
              <w:t>0.03</w:t>
            </w:r>
          </w:p>
          <w:p w14:paraId="070B1635" w14:textId="77777777" w:rsidR="004A137D" w:rsidRPr="00732E3E" w:rsidRDefault="004A137D" w:rsidP="004A137D">
            <w:pPr>
              <w:spacing w:line="240" w:lineRule="auto"/>
              <w:jc w:val="center"/>
              <w:rPr>
                <w:sz w:val="16"/>
                <w:szCs w:val="18"/>
              </w:rPr>
            </w:pPr>
            <w:r w:rsidRPr="00732E3E">
              <w:rPr>
                <w:sz w:val="16"/>
                <w:szCs w:val="18"/>
              </w:rPr>
              <w:t>0.04</w:t>
            </w:r>
          </w:p>
          <w:p w14:paraId="4F5F9312" w14:textId="77777777" w:rsidR="004A137D" w:rsidRPr="000A2378" w:rsidRDefault="004A137D" w:rsidP="004A137D">
            <w:pPr>
              <w:spacing w:line="240" w:lineRule="auto"/>
              <w:jc w:val="center"/>
              <w:rPr>
                <w:sz w:val="16"/>
                <w:szCs w:val="18"/>
              </w:rPr>
            </w:pPr>
            <w:r w:rsidRPr="00732E3E">
              <w:rPr>
                <w:sz w:val="16"/>
                <w:szCs w:val="18"/>
              </w:rPr>
              <w:t>0.05</w:t>
            </w:r>
            <w:r w:rsidRPr="00BC417E">
              <w:rPr>
                <w:sz w:val="16"/>
                <w:szCs w:val="18"/>
              </w:rPr>
              <w:t xml:space="preserve"> </w:t>
            </w:r>
          </w:p>
        </w:tc>
        <w:tc>
          <w:tcPr>
            <w:tcW w:w="999" w:type="dxa"/>
          </w:tcPr>
          <w:p w14:paraId="2099ECA3" w14:textId="77777777" w:rsidR="004A137D" w:rsidRDefault="004A137D" w:rsidP="004A137D">
            <w:pPr>
              <w:spacing w:line="240" w:lineRule="auto"/>
              <w:jc w:val="center"/>
              <w:rPr>
                <w:sz w:val="16"/>
                <w:szCs w:val="18"/>
              </w:rPr>
            </w:pPr>
          </w:p>
          <w:p w14:paraId="4C17ED8D" w14:textId="77777777" w:rsidR="004A137D" w:rsidRPr="00C24918" w:rsidRDefault="004A137D" w:rsidP="004A137D">
            <w:pPr>
              <w:spacing w:line="240" w:lineRule="auto"/>
              <w:jc w:val="center"/>
              <w:rPr>
                <w:sz w:val="16"/>
                <w:szCs w:val="18"/>
              </w:rPr>
            </w:pPr>
            <w:r w:rsidRPr="00C24918">
              <w:rPr>
                <w:sz w:val="16"/>
                <w:szCs w:val="18"/>
              </w:rPr>
              <w:t>0.238</w:t>
            </w:r>
          </w:p>
          <w:p w14:paraId="4D0106E0" w14:textId="77777777" w:rsidR="004A137D" w:rsidRPr="00C24918" w:rsidRDefault="004A137D" w:rsidP="004A137D">
            <w:pPr>
              <w:spacing w:line="240" w:lineRule="auto"/>
              <w:jc w:val="center"/>
              <w:rPr>
                <w:sz w:val="16"/>
                <w:szCs w:val="18"/>
              </w:rPr>
            </w:pPr>
            <w:r w:rsidRPr="00C24918">
              <w:rPr>
                <w:sz w:val="16"/>
                <w:szCs w:val="18"/>
              </w:rPr>
              <w:t>0.388</w:t>
            </w:r>
          </w:p>
          <w:p w14:paraId="3B71923F" w14:textId="77777777" w:rsidR="004A137D" w:rsidRPr="00C24918" w:rsidRDefault="004A137D" w:rsidP="004A137D">
            <w:pPr>
              <w:spacing w:line="240" w:lineRule="auto"/>
              <w:jc w:val="center"/>
              <w:rPr>
                <w:sz w:val="16"/>
                <w:szCs w:val="18"/>
              </w:rPr>
            </w:pPr>
            <w:r w:rsidRPr="00C24918">
              <w:rPr>
                <w:sz w:val="16"/>
                <w:szCs w:val="18"/>
              </w:rPr>
              <w:t>0.330</w:t>
            </w:r>
          </w:p>
          <w:p w14:paraId="0F0450AF" w14:textId="77777777" w:rsidR="004A137D" w:rsidRPr="00C24918" w:rsidRDefault="004A137D" w:rsidP="004A137D">
            <w:pPr>
              <w:spacing w:line="240" w:lineRule="auto"/>
              <w:jc w:val="center"/>
              <w:rPr>
                <w:sz w:val="16"/>
                <w:szCs w:val="18"/>
              </w:rPr>
            </w:pPr>
            <w:r w:rsidRPr="00C24918">
              <w:rPr>
                <w:sz w:val="16"/>
                <w:szCs w:val="18"/>
              </w:rPr>
              <w:t>0.935</w:t>
            </w:r>
          </w:p>
          <w:p w14:paraId="3397FC3A" w14:textId="77777777" w:rsidR="004A137D" w:rsidRPr="00C24918" w:rsidRDefault="004A137D" w:rsidP="004A137D">
            <w:pPr>
              <w:spacing w:line="240" w:lineRule="auto"/>
              <w:jc w:val="center"/>
              <w:rPr>
                <w:sz w:val="16"/>
                <w:szCs w:val="18"/>
              </w:rPr>
            </w:pPr>
            <w:r w:rsidRPr="00C24918">
              <w:rPr>
                <w:sz w:val="16"/>
                <w:szCs w:val="18"/>
              </w:rPr>
              <w:t>0.454</w:t>
            </w:r>
          </w:p>
          <w:p w14:paraId="68B40ED1" w14:textId="77777777" w:rsidR="004A137D" w:rsidRPr="000A2378" w:rsidRDefault="004A137D" w:rsidP="004A137D">
            <w:pPr>
              <w:spacing w:line="240" w:lineRule="auto"/>
              <w:jc w:val="center"/>
              <w:rPr>
                <w:sz w:val="16"/>
                <w:szCs w:val="18"/>
              </w:rPr>
            </w:pPr>
            <w:r w:rsidRPr="00C24918">
              <w:rPr>
                <w:sz w:val="16"/>
                <w:szCs w:val="18"/>
              </w:rPr>
              <w:t>0.498</w:t>
            </w:r>
            <w:r w:rsidRPr="00BC417E">
              <w:rPr>
                <w:sz w:val="16"/>
                <w:szCs w:val="18"/>
              </w:rPr>
              <w:t xml:space="preserve"> </w:t>
            </w:r>
          </w:p>
        </w:tc>
        <w:tc>
          <w:tcPr>
            <w:tcW w:w="988" w:type="dxa"/>
          </w:tcPr>
          <w:p w14:paraId="5EA94848" w14:textId="77777777" w:rsidR="004A137D" w:rsidRDefault="004A137D" w:rsidP="004A137D">
            <w:pPr>
              <w:spacing w:line="240" w:lineRule="auto"/>
              <w:jc w:val="center"/>
              <w:rPr>
                <w:sz w:val="16"/>
                <w:szCs w:val="18"/>
              </w:rPr>
            </w:pPr>
          </w:p>
          <w:p w14:paraId="1F46E2A0" w14:textId="77777777" w:rsidR="004A137D" w:rsidRPr="00C24918" w:rsidRDefault="004A137D" w:rsidP="004A137D">
            <w:pPr>
              <w:spacing w:line="240" w:lineRule="auto"/>
              <w:jc w:val="center"/>
              <w:rPr>
                <w:sz w:val="16"/>
                <w:szCs w:val="18"/>
              </w:rPr>
            </w:pPr>
            <w:r w:rsidRPr="00C24918">
              <w:rPr>
                <w:sz w:val="16"/>
                <w:szCs w:val="18"/>
              </w:rPr>
              <w:t>-0.39</w:t>
            </w:r>
          </w:p>
          <w:p w14:paraId="7D70E040" w14:textId="77777777" w:rsidR="004A137D" w:rsidRPr="00C24918" w:rsidRDefault="004A137D" w:rsidP="004A137D">
            <w:pPr>
              <w:spacing w:line="240" w:lineRule="auto"/>
              <w:jc w:val="center"/>
              <w:rPr>
                <w:sz w:val="16"/>
                <w:szCs w:val="18"/>
              </w:rPr>
            </w:pPr>
            <w:r w:rsidRPr="00C24918">
              <w:rPr>
                <w:sz w:val="16"/>
                <w:szCs w:val="18"/>
              </w:rPr>
              <w:t>-0.58</w:t>
            </w:r>
          </w:p>
          <w:p w14:paraId="6E57E611" w14:textId="77777777" w:rsidR="004A137D" w:rsidRPr="00C24918" w:rsidRDefault="004A137D" w:rsidP="004A137D">
            <w:pPr>
              <w:spacing w:line="240" w:lineRule="auto"/>
              <w:jc w:val="center"/>
              <w:rPr>
                <w:sz w:val="16"/>
                <w:szCs w:val="18"/>
              </w:rPr>
            </w:pPr>
            <w:r w:rsidRPr="00C24918">
              <w:rPr>
                <w:sz w:val="16"/>
                <w:szCs w:val="18"/>
              </w:rPr>
              <w:t>-0.49</w:t>
            </w:r>
          </w:p>
          <w:p w14:paraId="3D220CE4" w14:textId="77777777" w:rsidR="004A137D" w:rsidRPr="00C24918" w:rsidRDefault="004A137D" w:rsidP="004A137D">
            <w:pPr>
              <w:spacing w:line="240" w:lineRule="auto"/>
              <w:jc w:val="center"/>
              <w:rPr>
                <w:sz w:val="16"/>
                <w:szCs w:val="18"/>
              </w:rPr>
            </w:pPr>
            <w:r w:rsidRPr="00C24918">
              <w:rPr>
                <w:sz w:val="16"/>
                <w:szCs w:val="18"/>
              </w:rPr>
              <w:t>-1.09</w:t>
            </w:r>
          </w:p>
          <w:p w14:paraId="5E556443" w14:textId="77777777" w:rsidR="004A137D" w:rsidRPr="00C24918" w:rsidRDefault="004A137D" w:rsidP="004A137D">
            <w:pPr>
              <w:spacing w:line="240" w:lineRule="auto"/>
              <w:jc w:val="center"/>
              <w:rPr>
                <w:sz w:val="16"/>
                <w:szCs w:val="18"/>
              </w:rPr>
            </w:pPr>
            <w:r w:rsidRPr="00C24918">
              <w:rPr>
                <w:sz w:val="16"/>
                <w:szCs w:val="18"/>
              </w:rPr>
              <w:t>-1.94</w:t>
            </w:r>
          </w:p>
          <w:p w14:paraId="0CF44B97" w14:textId="77777777" w:rsidR="004A137D" w:rsidRPr="000A2378" w:rsidRDefault="004A137D" w:rsidP="004A137D">
            <w:pPr>
              <w:spacing w:line="240" w:lineRule="auto"/>
              <w:jc w:val="center"/>
              <w:rPr>
                <w:sz w:val="16"/>
                <w:szCs w:val="18"/>
              </w:rPr>
            </w:pPr>
            <w:r w:rsidRPr="00C24918">
              <w:rPr>
                <w:sz w:val="16"/>
                <w:szCs w:val="18"/>
              </w:rPr>
              <w:t>-0.96</w:t>
            </w:r>
            <w:r w:rsidRPr="00BC417E">
              <w:rPr>
                <w:sz w:val="16"/>
                <w:szCs w:val="18"/>
              </w:rPr>
              <w:t xml:space="preserve"> </w:t>
            </w:r>
          </w:p>
        </w:tc>
        <w:tc>
          <w:tcPr>
            <w:tcW w:w="995" w:type="dxa"/>
          </w:tcPr>
          <w:p w14:paraId="13048CE4" w14:textId="77777777" w:rsidR="004A137D" w:rsidRDefault="004A137D" w:rsidP="004A137D">
            <w:pPr>
              <w:spacing w:line="240" w:lineRule="auto"/>
              <w:jc w:val="center"/>
              <w:rPr>
                <w:sz w:val="16"/>
                <w:szCs w:val="18"/>
              </w:rPr>
            </w:pPr>
          </w:p>
          <w:p w14:paraId="309DC0AD" w14:textId="77777777" w:rsidR="004A137D" w:rsidRPr="00C24918" w:rsidRDefault="004A137D" w:rsidP="004A137D">
            <w:pPr>
              <w:spacing w:line="240" w:lineRule="auto"/>
              <w:jc w:val="center"/>
              <w:rPr>
                <w:sz w:val="16"/>
                <w:szCs w:val="18"/>
              </w:rPr>
            </w:pPr>
            <w:r w:rsidRPr="00C24918">
              <w:rPr>
                <w:sz w:val="16"/>
                <w:szCs w:val="18"/>
              </w:rPr>
              <w:t>1.52</w:t>
            </w:r>
          </w:p>
          <w:p w14:paraId="2EF56904" w14:textId="77777777" w:rsidR="004A137D" w:rsidRPr="00C24918" w:rsidRDefault="004A137D" w:rsidP="004A137D">
            <w:pPr>
              <w:spacing w:line="240" w:lineRule="auto"/>
              <w:jc w:val="center"/>
              <w:rPr>
                <w:sz w:val="16"/>
                <w:szCs w:val="18"/>
              </w:rPr>
            </w:pPr>
            <w:r w:rsidRPr="00C24918">
              <w:rPr>
                <w:sz w:val="16"/>
                <w:szCs w:val="18"/>
              </w:rPr>
              <w:t>1.47</w:t>
            </w:r>
          </w:p>
          <w:p w14:paraId="17CA92D3" w14:textId="77777777" w:rsidR="004A137D" w:rsidRPr="00C24918" w:rsidRDefault="004A137D" w:rsidP="004A137D">
            <w:pPr>
              <w:spacing w:line="240" w:lineRule="auto"/>
              <w:jc w:val="center"/>
              <w:rPr>
                <w:sz w:val="16"/>
                <w:szCs w:val="18"/>
              </w:rPr>
            </w:pPr>
            <w:r w:rsidRPr="00C24918">
              <w:rPr>
                <w:sz w:val="16"/>
                <w:szCs w:val="18"/>
              </w:rPr>
              <w:t>1.43</w:t>
            </w:r>
          </w:p>
          <w:p w14:paraId="516F705C" w14:textId="77777777" w:rsidR="004A137D" w:rsidRPr="00C24918" w:rsidRDefault="004A137D" w:rsidP="004A137D">
            <w:pPr>
              <w:spacing w:line="240" w:lineRule="auto"/>
              <w:jc w:val="center"/>
              <w:rPr>
                <w:sz w:val="16"/>
                <w:szCs w:val="18"/>
              </w:rPr>
            </w:pPr>
            <w:r w:rsidRPr="00C24918">
              <w:rPr>
                <w:sz w:val="16"/>
                <w:szCs w:val="18"/>
              </w:rPr>
              <w:t>1.00</w:t>
            </w:r>
          </w:p>
          <w:p w14:paraId="3B364CBE" w14:textId="77777777" w:rsidR="004A137D" w:rsidRPr="00C24918" w:rsidRDefault="004A137D" w:rsidP="004A137D">
            <w:pPr>
              <w:spacing w:line="240" w:lineRule="auto"/>
              <w:jc w:val="center"/>
              <w:rPr>
                <w:sz w:val="16"/>
                <w:szCs w:val="18"/>
              </w:rPr>
            </w:pPr>
            <w:r w:rsidRPr="00C24918">
              <w:rPr>
                <w:sz w:val="16"/>
                <w:szCs w:val="18"/>
              </w:rPr>
              <w:t>0.88</w:t>
            </w:r>
          </w:p>
          <w:p w14:paraId="2D2AEE44" w14:textId="77777777" w:rsidR="004A137D" w:rsidRPr="000A2378" w:rsidRDefault="004A137D" w:rsidP="004A137D">
            <w:pPr>
              <w:spacing w:line="240" w:lineRule="auto"/>
              <w:jc w:val="center"/>
              <w:rPr>
                <w:sz w:val="16"/>
                <w:szCs w:val="18"/>
              </w:rPr>
            </w:pPr>
            <w:r w:rsidRPr="00C24918">
              <w:rPr>
                <w:sz w:val="16"/>
                <w:szCs w:val="18"/>
              </w:rPr>
              <w:t>1.95</w:t>
            </w:r>
            <w:r w:rsidRPr="00BC417E">
              <w:rPr>
                <w:sz w:val="16"/>
                <w:szCs w:val="18"/>
              </w:rPr>
              <w:t xml:space="preserve"> </w:t>
            </w:r>
          </w:p>
        </w:tc>
      </w:tr>
      <w:tr w:rsidR="004A137D" w:rsidRPr="00A2449A" w14:paraId="3948CAC9" w14:textId="77777777" w:rsidTr="00AF2A65">
        <w:trPr>
          <w:jc w:val="center"/>
        </w:trPr>
        <w:tc>
          <w:tcPr>
            <w:tcW w:w="1132" w:type="dxa"/>
            <w:vMerge/>
            <w:vAlign w:val="center"/>
          </w:tcPr>
          <w:p w14:paraId="1492F245" w14:textId="77777777" w:rsidR="004A137D" w:rsidRPr="00A2449A" w:rsidRDefault="004A137D" w:rsidP="004A137D">
            <w:pPr>
              <w:spacing w:line="240" w:lineRule="auto"/>
              <w:jc w:val="center"/>
              <w:rPr>
                <w:rFonts w:ascii="Avenir Heavy" w:hAnsi="Avenir Heavy"/>
                <w:sz w:val="16"/>
                <w:szCs w:val="18"/>
              </w:rPr>
            </w:pPr>
          </w:p>
        </w:tc>
        <w:tc>
          <w:tcPr>
            <w:tcW w:w="2482" w:type="dxa"/>
            <w:vAlign w:val="center"/>
          </w:tcPr>
          <w:p w14:paraId="64650C4B" w14:textId="77777777" w:rsidR="004A137D" w:rsidRDefault="004A137D" w:rsidP="004A137D">
            <w:pPr>
              <w:spacing w:line="240" w:lineRule="auto"/>
              <w:jc w:val="center"/>
              <w:rPr>
                <w:sz w:val="16"/>
                <w:szCs w:val="18"/>
              </w:rPr>
            </w:pPr>
            <w:r>
              <w:rPr>
                <w:sz w:val="16"/>
                <w:szCs w:val="18"/>
              </w:rPr>
              <w:t>Previous Psych Treatment</w:t>
            </w:r>
          </w:p>
        </w:tc>
        <w:tc>
          <w:tcPr>
            <w:tcW w:w="836" w:type="dxa"/>
            <w:vAlign w:val="center"/>
          </w:tcPr>
          <w:p w14:paraId="1395812D" w14:textId="77777777" w:rsidR="004A137D" w:rsidRDefault="004A137D" w:rsidP="004A137D">
            <w:pPr>
              <w:spacing w:line="240" w:lineRule="auto"/>
              <w:jc w:val="center"/>
              <w:rPr>
                <w:sz w:val="16"/>
                <w:szCs w:val="18"/>
              </w:rPr>
            </w:pPr>
            <w:r w:rsidRPr="00C24918">
              <w:rPr>
                <w:sz w:val="16"/>
                <w:szCs w:val="18"/>
              </w:rPr>
              <w:t>0.23</w:t>
            </w:r>
          </w:p>
        </w:tc>
        <w:tc>
          <w:tcPr>
            <w:tcW w:w="785" w:type="dxa"/>
            <w:vAlign w:val="center"/>
          </w:tcPr>
          <w:p w14:paraId="69894C59" w14:textId="77777777" w:rsidR="004A137D" w:rsidRDefault="004A137D" w:rsidP="004A137D">
            <w:pPr>
              <w:spacing w:line="240" w:lineRule="auto"/>
              <w:jc w:val="center"/>
              <w:rPr>
                <w:sz w:val="16"/>
                <w:szCs w:val="18"/>
              </w:rPr>
            </w:pPr>
            <w:r w:rsidRPr="00C24918">
              <w:rPr>
                <w:sz w:val="16"/>
                <w:szCs w:val="18"/>
              </w:rPr>
              <w:t>0.02</w:t>
            </w:r>
          </w:p>
        </w:tc>
        <w:tc>
          <w:tcPr>
            <w:tcW w:w="999" w:type="dxa"/>
            <w:vAlign w:val="center"/>
          </w:tcPr>
          <w:p w14:paraId="5342EA97" w14:textId="77777777" w:rsidR="004A137D" w:rsidRDefault="004A137D" w:rsidP="004A137D">
            <w:pPr>
              <w:spacing w:line="240" w:lineRule="auto"/>
              <w:jc w:val="center"/>
              <w:rPr>
                <w:sz w:val="16"/>
                <w:szCs w:val="18"/>
              </w:rPr>
            </w:pPr>
            <w:r w:rsidRPr="00C24918">
              <w:rPr>
                <w:sz w:val="16"/>
                <w:szCs w:val="18"/>
              </w:rPr>
              <w:t>0.425</w:t>
            </w:r>
          </w:p>
        </w:tc>
        <w:tc>
          <w:tcPr>
            <w:tcW w:w="988" w:type="dxa"/>
            <w:vAlign w:val="center"/>
          </w:tcPr>
          <w:p w14:paraId="492E9126" w14:textId="77777777" w:rsidR="004A137D" w:rsidRDefault="004A137D" w:rsidP="004A137D">
            <w:pPr>
              <w:spacing w:line="240" w:lineRule="auto"/>
              <w:jc w:val="center"/>
              <w:rPr>
                <w:sz w:val="16"/>
                <w:szCs w:val="18"/>
              </w:rPr>
            </w:pPr>
            <w:r w:rsidRPr="00C24918">
              <w:rPr>
                <w:sz w:val="16"/>
                <w:szCs w:val="18"/>
              </w:rPr>
              <w:t>-0.35</w:t>
            </w:r>
          </w:p>
        </w:tc>
        <w:tc>
          <w:tcPr>
            <w:tcW w:w="995" w:type="dxa"/>
            <w:vAlign w:val="center"/>
          </w:tcPr>
          <w:p w14:paraId="1A834708" w14:textId="77777777" w:rsidR="004A137D" w:rsidRDefault="004A137D" w:rsidP="004A137D">
            <w:pPr>
              <w:spacing w:line="240" w:lineRule="auto"/>
              <w:jc w:val="center"/>
              <w:rPr>
                <w:sz w:val="16"/>
                <w:szCs w:val="18"/>
              </w:rPr>
            </w:pPr>
            <w:r w:rsidRPr="00C24918">
              <w:rPr>
                <w:sz w:val="16"/>
                <w:szCs w:val="18"/>
              </w:rPr>
              <w:t>0.82</w:t>
            </w:r>
          </w:p>
        </w:tc>
      </w:tr>
    </w:tbl>
    <w:p w14:paraId="3898426F" w14:textId="77777777" w:rsidR="004A137D" w:rsidRDefault="004A137D" w:rsidP="0099161D"/>
    <w:p w14:paraId="443965C1" w14:textId="77777777" w:rsidR="004A137D" w:rsidRPr="001C5BA9" w:rsidRDefault="004A137D">
      <w:pPr>
        <w:rPr>
          <w:i/>
          <w:iCs/>
          <w:sz w:val="18"/>
          <w:szCs w:val="18"/>
        </w:rPr>
      </w:pPr>
      <w:r w:rsidRPr="00A2449A">
        <w:rPr>
          <w:i/>
          <w:iCs/>
          <w:sz w:val="18"/>
          <w:szCs w:val="20"/>
        </w:rPr>
        <w:t xml:space="preserve">Note: </w:t>
      </w:r>
      <w:r>
        <w:rPr>
          <w:i/>
          <w:iCs/>
          <w:sz w:val="18"/>
          <w:szCs w:val="20"/>
        </w:rPr>
        <w:t xml:space="preserve">Multiple linear </w:t>
      </w:r>
      <w:r w:rsidRPr="00A2449A">
        <w:rPr>
          <w:i/>
          <w:iCs/>
          <w:sz w:val="18"/>
          <w:szCs w:val="20"/>
        </w:rPr>
        <w:t xml:space="preserve">regression analysis was </w:t>
      </w:r>
      <w:r>
        <w:rPr>
          <w:i/>
          <w:iCs/>
          <w:sz w:val="18"/>
          <w:szCs w:val="20"/>
        </w:rPr>
        <w:t>for the FNSD population</w:t>
      </w:r>
      <w:r w:rsidRPr="00A2449A">
        <w:rPr>
          <w:i/>
          <w:iCs/>
          <w:sz w:val="18"/>
          <w:szCs w:val="20"/>
        </w:rPr>
        <w:t>.</w:t>
      </w:r>
      <w:r>
        <w:rPr>
          <w:i/>
          <w:iCs/>
          <w:sz w:val="18"/>
          <w:szCs w:val="20"/>
        </w:rPr>
        <w:t xml:space="preserve"> </w:t>
      </w:r>
      <w:r w:rsidRPr="00A2449A">
        <w:rPr>
          <w:i/>
          <w:iCs/>
          <w:sz w:val="18"/>
          <w:szCs w:val="20"/>
        </w:rPr>
        <w:t>Regression model statistics for each of the outcome variables, p&lt;0.05.</w:t>
      </w:r>
      <w:r>
        <w:rPr>
          <w:i/>
          <w:iCs/>
          <w:sz w:val="18"/>
          <w:szCs w:val="20"/>
        </w:rPr>
        <w:t xml:space="preserve"> </w:t>
      </w:r>
      <w:r w:rsidRPr="00A2449A">
        <w:rPr>
          <w:i/>
          <w:iCs/>
          <w:sz w:val="18"/>
          <w:szCs w:val="20"/>
        </w:rPr>
        <w:t>Note: B</w:t>
      </w:r>
      <w:r>
        <w:rPr>
          <w:i/>
          <w:iCs/>
          <w:sz w:val="18"/>
          <w:szCs w:val="20"/>
        </w:rPr>
        <w:t>eta</w:t>
      </w:r>
      <w:r w:rsidRPr="00A2449A">
        <w:rPr>
          <w:i/>
          <w:iCs/>
          <w:sz w:val="18"/>
          <w:szCs w:val="20"/>
        </w:rPr>
        <w:t xml:space="preserve"> = standardised regression coefficient; SE =</w:t>
      </w:r>
      <w:r>
        <w:rPr>
          <w:i/>
          <w:iCs/>
          <w:sz w:val="18"/>
          <w:szCs w:val="20"/>
        </w:rPr>
        <w:t xml:space="preserve"> </w:t>
      </w:r>
      <w:r w:rsidRPr="00A2449A">
        <w:rPr>
          <w:i/>
          <w:iCs/>
          <w:sz w:val="18"/>
          <w:szCs w:val="20"/>
        </w:rPr>
        <w:t>standard error</w:t>
      </w:r>
      <w:r>
        <w:rPr>
          <w:i/>
          <w:iCs/>
          <w:sz w:val="18"/>
          <w:szCs w:val="20"/>
        </w:rPr>
        <w:t xml:space="preserve">. </w:t>
      </w:r>
      <w:r w:rsidRPr="00A2449A">
        <w:rPr>
          <w:i/>
          <w:iCs/>
          <w:sz w:val="18"/>
          <w:szCs w:val="18"/>
        </w:rPr>
        <w:t>Note.</w:t>
      </w:r>
      <w:r>
        <w:rPr>
          <w:i/>
          <w:iCs/>
          <w:sz w:val="18"/>
          <w:szCs w:val="18"/>
        </w:rPr>
        <w:t xml:space="preserve"> </w:t>
      </w:r>
      <w:r w:rsidRPr="00A2449A">
        <w:rPr>
          <w:i/>
          <w:iCs/>
          <w:sz w:val="18"/>
          <w:szCs w:val="18"/>
        </w:rPr>
        <w:t>CI = 95</w:t>
      </w:r>
      <w:r>
        <w:rPr>
          <w:i/>
          <w:iCs/>
          <w:sz w:val="18"/>
          <w:szCs w:val="18"/>
        </w:rPr>
        <w:t>%</w:t>
      </w:r>
      <w:r w:rsidRPr="00A2449A">
        <w:rPr>
          <w:i/>
          <w:iCs/>
          <w:sz w:val="18"/>
          <w:szCs w:val="18"/>
        </w:rPr>
        <w:t xml:space="preserve"> Confidence Interval</w:t>
      </w:r>
      <w:r>
        <w:rPr>
          <w:i/>
          <w:iCs/>
          <w:sz w:val="18"/>
          <w:szCs w:val="18"/>
        </w:rPr>
        <w:t xml:space="preserve">. GAD-7 = GAD-7 total score. Gender = (0) male, (1) female. </w:t>
      </w:r>
    </w:p>
    <w:p w14:paraId="25F52368" w14:textId="1C9B2202" w:rsidR="0092671A" w:rsidRPr="007C2B10" w:rsidRDefault="00653369" w:rsidP="007C2B10">
      <w:pPr>
        <w:pStyle w:val="Heading2"/>
      </w:pPr>
      <w:r>
        <w:br w:type="page"/>
      </w:r>
      <w:bookmarkStart w:id="178" w:name="_Toc137504790"/>
      <w:r w:rsidR="007C2B10">
        <w:lastRenderedPageBreak/>
        <w:t>5.4</w:t>
      </w:r>
      <w:r w:rsidR="0092671A" w:rsidRPr="007C2B10">
        <w:t xml:space="preserve"> Discussion</w:t>
      </w:r>
      <w:bookmarkEnd w:id="178"/>
    </w:p>
    <w:p w14:paraId="485C0CD8" w14:textId="77777777" w:rsidR="0092671A" w:rsidRPr="007D2B26" w:rsidRDefault="0092671A" w:rsidP="007D2B26"/>
    <w:p w14:paraId="0E659FED" w14:textId="1ED39FC6" w:rsidR="0092671A" w:rsidRPr="007D2B26" w:rsidRDefault="0092671A" w:rsidP="00F13157">
      <w:pPr>
        <w:spacing w:after="240"/>
        <w:rPr>
          <w:szCs w:val="22"/>
        </w:rPr>
      </w:pPr>
      <w:r w:rsidRPr="007D2B26">
        <w:rPr>
          <w:szCs w:val="22"/>
        </w:rPr>
        <w:t>Th</w:t>
      </w:r>
      <w:r>
        <w:rPr>
          <w:szCs w:val="22"/>
        </w:rPr>
        <w:t xml:space="preserve">is exploratory study examined whether negative affective priming and delay discounting tasks would detect differences in </w:t>
      </w:r>
      <w:r w:rsidRPr="007D2B26">
        <w:rPr>
          <w:szCs w:val="22"/>
        </w:rPr>
        <w:t>cognitive</w:t>
      </w:r>
      <w:r>
        <w:rPr>
          <w:szCs w:val="22"/>
        </w:rPr>
        <w:t xml:space="preserve"> and emotion</w:t>
      </w:r>
      <w:r w:rsidRPr="007D2B26">
        <w:rPr>
          <w:szCs w:val="22"/>
        </w:rPr>
        <w:t xml:space="preserve"> processing in FNSDs </w:t>
      </w:r>
      <w:r>
        <w:rPr>
          <w:szCs w:val="22"/>
        </w:rPr>
        <w:t>compared to</w:t>
      </w:r>
      <w:r w:rsidRPr="007D2B26">
        <w:rPr>
          <w:szCs w:val="22"/>
        </w:rPr>
        <w:t xml:space="preserve"> healthy controls.</w:t>
      </w:r>
      <w:r>
        <w:rPr>
          <w:szCs w:val="22"/>
        </w:rPr>
        <w:t xml:space="preserve"> </w:t>
      </w:r>
      <w:r w:rsidRPr="007D2B26">
        <w:rPr>
          <w:szCs w:val="22"/>
        </w:rPr>
        <w:t>Patients with FNSD</w:t>
      </w:r>
      <w:r>
        <w:rPr>
          <w:szCs w:val="22"/>
        </w:rPr>
        <w:t xml:space="preserve"> d</w:t>
      </w:r>
      <w:r w:rsidRPr="007D2B26">
        <w:rPr>
          <w:szCs w:val="22"/>
        </w:rPr>
        <w:t xml:space="preserve">isplayed priming </w:t>
      </w:r>
      <w:r w:rsidR="00B4315D">
        <w:rPr>
          <w:szCs w:val="22"/>
        </w:rPr>
        <w:t>but reduced</w:t>
      </w:r>
      <w:r w:rsidRPr="007D2B26">
        <w:rPr>
          <w:szCs w:val="22"/>
        </w:rPr>
        <w:t xml:space="preserve"> interference effects for angry and happy facial expressions, notably to a different extent t</w:t>
      </w:r>
      <w:r>
        <w:rPr>
          <w:szCs w:val="22"/>
        </w:rPr>
        <w:t>han</w:t>
      </w:r>
      <w:r w:rsidRPr="007D2B26">
        <w:rPr>
          <w:szCs w:val="22"/>
        </w:rPr>
        <w:t xml:space="preserve"> health</w:t>
      </w:r>
      <w:r>
        <w:rPr>
          <w:szCs w:val="22"/>
        </w:rPr>
        <w:t>y</w:t>
      </w:r>
      <w:r w:rsidRPr="007D2B26">
        <w:rPr>
          <w:szCs w:val="22"/>
        </w:rPr>
        <w:t xml:space="preserve"> controls.</w:t>
      </w:r>
      <w:r>
        <w:rPr>
          <w:szCs w:val="22"/>
        </w:rPr>
        <w:t xml:space="preserve"> </w:t>
      </w:r>
      <w:r w:rsidRPr="007D2B26">
        <w:rPr>
          <w:szCs w:val="22"/>
        </w:rPr>
        <w:t>Delay discounting was steeper in patients with FNSD</w:t>
      </w:r>
      <w:r>
        <w:rPr>
          <w:szCs w:val="22"/>
        </w:rPr>
        <w:t xml:space="preserve">, indicating a preference for less subjectively valuable immediate rewards. However, </w:t>
      </w:r>
      <w:r w:rsidRPr="007D2B26">
        <w:rPr>
          <w:szCs w:val="22"/>
        </w:rPr>
        <w:t xml:space="preserve">delay discounting </w:t>
      </w:r>
      <w:r>
        <w:rPr>
          <w:szCs w:val="22"/>
        </w:rPr>
        <w:t xml:space="preserve">estimates were not predicted by </w:t>
      </w:r>
      <w:r w:rsidRPr="007D2B26">
        <w:rPr>
          <w:szCs w:val="22"/>
        </w:rPr>
        <w:t>emotion dysregulation, anxiety, or symptomatic burden</w:t>
      </w:r>
      <w:r>
        <w:rPr>
          <w:szCs w:val="22"/>
        </w:rPr>
        <w:t xml:space="preserve"> within the patient group</w:t>
      </w:r>
      <w:r w:rsidRPr="007D2B26">
        <w:rPr>
          <w:szCs w:val="22"/>
        </w:rPr>
        <w:t xml:space="preserve">. </w:t>
      </w:r>
    </w:p>
    <w:p w14:paraId="6BB4F853" w14:textId="0EF37DE0" w:rsidR="0092671A" w:rsidRPr="007C2B10" w:rsidRDefault="007C2B10" w:rsidP="007C2B10">
      <w:pPr>
        <w:pStyle w:val="Heading3"/>
      </w:pPr>
      <w:bookmarkStart w:id="179" w:name="_Toc137504791"/>
      <w:r>
        <w:t xml:space="preserve">5.4.1 </w:t>
      </w:r>
      <w:r w:rsidR="0092671A" w:rsidRPr="007C2B10">
        <w:t>Negative Affective Priming – Indications for attentional biases in FNSDs.</w:t>
      </w:r>
      <w:bookmarkEnd w:id="179"/>
    </w:p>
    <w:p w14:paraId="18A76EF5" w14:textId="30ACF80F" w:rsidR="0092671A" w:rsidRPr="004854E9" w:rsidRDefault="0092671A" w:rsidP="00B42E36">
      <w:r>
        <w:t>R</w:t>
      </w:r>
      <w:r w:rsidRPr="007D2B26">
        <w:t>eaction times for</w:t>
      </w:r>
      <w:r>
        <w:t xml:space="preserve"> simple</w:t>
      </w:r>
      <w:r w:rsidRPr="007D2B26">
        <w:t xml:space="preserve"> prime</w:t>
      </w:r>
      <w:r>
        <w:t>-target</w:t>
      </w:r>
      <w:r w:rsidRPr="007D2B26">
        <w:t xml:space="preserve"> trials </w:t>
      </w:r>
      <w:r>
        <w:t xml:space="preserve">in the negative affective priming task </w:t>
      </w:r>
      <w:r w:rsidRPr="007D2B26">
        <w:t xml:space="preserve">varied between </w:t>
      </w:r>
      <w:r>
        <w:t>positive and negative</w:t>
      </w:r>
      <w:r w:rsidRPr="007D2B26">
        <w:t xml:space="preserve"> valent facial expressions for FNSD patients and healthy controls.</w:t>
      </w:r>
      <w:r>
        <w:t xml:space="preserve"> </w:t>
      </w:r>
      <w:r w:rsidRPr="007D2B26">
        <w:t xml:space="preserve">In general, FNSD patients had slower reaction times </w:t>
      </w:r>
      <w:r>
        <w:t>than</w:t>
      </w:r>
      <w:r w:rsidRPr="007D2B26">
        <w:t xml:space="preserve"> healthy controls, suggesting that FNSD patients might have more difficulty or take more time to process emotional facial expressions.</w:t>
      </w:r>
      <w:r>
        <w:t xml:space="preserve"> Significant valence interactions augmented this group difference as r</w:t>
      </w:r>
      <w:r w:rsidRPr="007D2B26">
        <w:t>eaction times to negative facial expressions were significantly faster than positive facial expressions</w:t>
      </w:r>
      <w:r>
        <w:t xml:space="preserve"> in the FNSD group</w:t>
      </w:r>
      <w:r w:rsidRPr="007D2B26">
        <w:t xml:space="preserve"> </w:t>
      </w:r>
      <w:r>
        <w:t xml:space="preserve">but not so in HC participants, </w:t>
      </w:r>
      <w:r w:rsidRPr="007D2B26">
        <w:t xml:space="preserve">giving first indications </w:t>
      </w:r>
      <w:r>
        <w:t>of</w:t>
      </w:r>
      <w:r w:rsidRPr="007D2B26">
        <w:t xml:space="preserve"> a</w:t>
      </w:r>
      <w:r>
        <w:t xml:space="preserve">n </w:t>
      </w:r>
      <w:r w:rsidRPr="007D2B26">
        <w:t>a</w:t>
      </w:r>
      <w:r>
        <w:t>ttentional</w:t>
      </w:r>
      <w:r w:rsidRPr="007D2B26">
        <w:t xml:space="preserve"> bias among FNSD patients</w:t>
      </w:r>
      <w:r>
        <w:t xml:space="preserve">. </w:t>
      </w:r>
      <w:r w:rsidRPr="007D2B26">
        <w:t>Th</w:t>
      </w:r>
      <w:r>
        <w:t xml:space="preserve">ese results suggest </w:t>
      </w:r>
      <w:r w:rsidRPr="007D2B26">
        <w:t xml:space="preserve">that FNSD patients process emotional facial expressions differently and perhaps more slowly than healthy controls, particularly for positive </w:t>
      </w:r>
      <w:r>
        <w:t xml:space="preserve">facial </w:t>
      </w:r>
      <w:r w:rsidRPr="007D2B26">
        <w:t>expressions.</w:t>
      </w:r>
      <w:r>
        <w:t xml:space="preserve"> Previous work supports these findings as difficulty in voluntarily disengaging attention </w:t>
      </w:r>
      <w:r w:rsidRPr="001F1637">
        <w:t>from even emotionally neutral stimuli (</w:t>
      </w:r>
      <w:proofErr w:type="spellStart"/>
      <w:r w:rsidRPr="001F1637">
        <w:t>Roelofs</w:t>
      </w:r>
      <w:proofErr w:type="spellEnd"/>
      <w:r w:rsidRPr="001F1637">
        <w:t xml:space="preserve"> </w:t>
      </w:r>
      <w:r>
        <w:t>et al.</w:t>
      </w:r>
      <w:r w:rsidRPr="001F1637">
        <w:t xml:space="preserve"> 2003) </w:t>
      </w:r>
      <w:r>
        <w:t>has</w:t>
      </w:r>
      <w:r w:rsidRPr="001F1637">
        <w:t xml:space="preserve"> been reported</w:t>
      </w:r>
      <w:r>
        <w:t xml:space="preserve"> in FNSDs,</w:t>
      </w:r>
      <w:r w:rsidRPr="001F1637">
        <w:t xml:space="preserve"> </w:t>
      </w:r>
      <w:r>
        <w:t>not to mention</w:t>
      </w:r>
      <w:r w:rsidRPr="001F1637">
        <w:t xml:space="preserve"> abnormal pre-conscious attention to emotional facial expression </w:t>
      </w:r>
      <w:sdt>
        <w:sdtPr>
          <w:rPr>
            <w:color w:val="000000"/>
          </w:rPr>
          <w:tag w:val="MENDELEY_CITATION_v3_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"/>
          <w:id w:val="1319539310"/>
          <w:placeholder>
            <w:docPart w:val="BA7C8A2B9A94C84B957B471B05E913FD"/>
          </w:placeholder>
        </w:sdtPr>
        <w:sdtContent>
          <w:r w:rsidR="00EC7CE1" w:rsidRPr="00EC7CE1">
            <w:rPr>
              <w:color w:val="000000"/>
            </w:rPr>
            <w:t>(Pick et al., 2018b)</w:t>
          </w:r>
        </w:sdtContent>
      </w:sdt>
      <w:r>
        <w:t xml:space="preserve"> </w:t>
      </w:r>
      <w:r w:rsidRPr="0035696F">
        <w:t xml:space="preserve">and threat-related facial affect </w:t>
      </w:r>
      <w:sdt>
        <w:sdtPr>
          <w:rPr>
            <w:color w:val="000000"/>
          </w:rPr>
          <w:tag w:val="MENDELEY_CITATION_v3_eyJjaXRhdGlvbklEIjoiTUVOREVMRVlfQ0lUQVRJT05fZDkwOTAwMjMtMjZjMS00YjdjLWFlMjUtM2EyMzNjZWM2NzY4IiwicHJvcGVydGllcyI6eyJub3RlSW5kZXgiOjB9LCJpc0VkaXRlZCI6ZmFsc2UsIm1hbnVhbE92ZXJyaWRlIjp7ImlzTWFudWFsbHlPdmVycmlkZGVuIjpmYWxzZSwiY2l0ZXByb2NUZXh0IjoiKEJha3ZpcyBldCBhbC4sIDIwMDkpIiwibWFudWFsT3ZlcnJpZGVUZXh0Ijoi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V19"/>
          <w:id w:val="-1062406091"/>
          <w:placeholder>
            <w:docPart w:val="BA7C8A2B9A94C84B957B471B05E913FD"/>
          </w:placeholder>
        </w:sdtPr>
        <w:sdtContent>
          <w:r w:rsidR="00EC7CE1" w:rsidRPr="00EC7CE1">
            <w:rPr>
              <w:color w:val="000000"/>
            </w:rPr>
            <w:t>(</w:t>
          </w:r>
          <w:proofErr w:type="spellStart"/>
          <w:r w:rsidR="00EC7CE1" w:rsidRPr="00EC7CE1">
            <w:rPr>
              <w:color w:val="000000"/>
            </w:rPr>
            <w:t>Bakvis</w:t>
          </w:r>
          <w:proofErr w:type="spellEnd"/>
          <w:r w:rsidR="00EC7CE1" w:rsidRPr="00EC7CE1">
            <w:rPr>
              <w:color w:val="000000"/>
            </w:rPr>
            <w:t xml:space="preserve"> et al., 2009)</w:t>
          </w:r>
        </w:sdtContent>
      </w:sdt>
      <w:r w:rsidRPr="004854E9">
        <w:t xml:space="preserve"> </w:t>
      </w:r>
    </w:p>
    <w:p w14:paraId="6A586892" w14:textId="33F0D2E3" w:rsidR="0092671A" w:rsidRPr="00685025" w:rsidRDefault="0092671A" w:rsidP="00B42E36">
      <w:r w:rsidRPr="005A5BEC">
        <w:t xml:space="preserve">When interpreting priming and interference results, </w:t>
      </w:r>
      <w:sdt>
        <w:sdtPr>
          <w:rPr>
            <w:color w:val="000000"/>
          </w:rPr>
          <w:tag w:val="MENDELEY_CITATION_v3_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"/>
          <w:id w:val="-1772851513"/>
          <w:placeholder>
            <w:docPart w:val="7A43E38A8AC6794087BB2323B558952D"/>
          </w:placeholder>
        </w:sdtPr>
        <w:sdtContent>
          <w:proofErr w:type="spellStart"/>
          <w:r w:rsidR="00EC7CE1">
            <w:rPr>
              <w:rFonts w:eastAsia="Times New Roman"/>
            </w:rPr>
            <w:t>Bargh</w:t>
          </w:r>
          <w:proofErr w:type="spellEnd"/>
          <w:r w:rsidR="00EC7CE1">
            <w:rPr>
              <w:rFonts w:eastAsia="Times New Roman"/>
            </w:rPr>
            <w:t xml:space="preserve"> &amp; Chartrand (2014)</w:t>
          </w:r>
        </w:sdtContent>
      </w:sdt>
      <w:r w:rsidRPr="005A5BEC">
        <w:t xml:space="preserve"> </w:t>
      </w:r>
      <w:r>
        <w:t>emphasise</w:t>
      </w:r>
      <w:r w:rsidRPr="005A5BEC">
        <w:t xml:space="preserve"> the importance of considering the delay between prime and target presentations.</w:t>
      </w:r>
      <w:r>
        <w:t xml:space="preserve"> </w:t>
      </w:r>
      <w:r w:rsidRPr="005A5BEC">
        <w:t xml:space="preserve">With brief delays between prime and target (i.e., less than 250 </w:t>
      </w:r>
      <w:proofErr w:type="spellStart"/>
      <w:r w:rsidRPr="005A5BEC">
        <w:t>ms</w:t>
      </w:r>
      <w:proofErr w:type="spellEnd"/>
      <w:r w:rsidRPr="005A5BEC">
        <w:t xml:space="preserve">), only automatic effects should influence </w:t>
      </w:r>
      <w:r>
        <w:t>people's</w:t>
      </w:r>
      <w:r w:rsidRPr="005A5BEC">
        <w:t xml:space="preserve"> response to the target.</w:t>
      </w:r>
      <w:r>
        <w:t xml:space="preserve"> </w:t>
      </w:r>
      <w:r w:rsidRPr="005A5BEC">
        <w:t>The prime should facilitate faster responses to congruent targets, as traditionally observed in priming studies.</w:t>
      </w:r>
      <w:r>
        <w:t xml:space="preserve"> </w:t>
      </w:r>
      <w:r w:rsidRPr="005A5BEC">
        <w:t xml:space="preserve">As the delay between </w:t>
      </w:r>
      <w:r>
        <w:t xml:space="preserve">the </w:t>
      </w:r>
      <w:r w:rsidRPr="005A5BEC">
        <w:t xml:space="preserve">prime and target increases, however, strategic and </w:t>
      </w:r>
      <w:r>
        <w:t xml:space="preserve">more executive </w:t>
      </w:r>
      <w:r w:rsidRPr="005A5BEC">
        <w:t xml:space="preserve">processing of the prime </w:t>
      </w:r>
      <w:r>
        <w:t>is</w:t>
      </w:r>
      <w:r w:rsidRPr="005A5BEC">
        <w:t xml:space="preserve"> expected to override traditional </w:t>
      </w:r>
      <w:r w:rsidRPr="005A5BEC">
        <w:lastRenderedPageBreak/>
        <w:t>priming effects.</w:t>
      </w:r>
      <w:r>
        <w:t xml:space="preserve"> </w:t>
      </w:r>
      <w:r w:rsidRPr="005A5BEC">
        <w:t xml:space="preserve">In the current study, 200ms separated the presentation of the prime and target, which </w:t>
      </w:r>
      <w:r>
        <w:t>sh</w:t>
      </w:r>
      <w:r w:rsidRPr="005A5BEC">
        <w:t xml:space="preserve">ould have </w:t>
      </w:r>
      <w:r>
        <w:t xml:space="preserve">captured any effects on the </w:t>
      </w:r>
      <w:r w:rsidRPr="005A5BEC">
        <w:t xml:space="preserve">automatic </w:t>
      </w:r>
      <w:r>
        <w:t xml:space="preserve">and pre-conscious </w:t>
      </w:r>
      <w:r w:rsidRPr="005A5BEC">
        <w:t>processing of targets</w:t>
      </w:r>
      <w:r>
        <w:t>.</w:t>
      </w:r>
    </w:p>
    <w:p w14:paraId="5CB09263" w14:textId="3B4D3453" w:rsidR="0092671A" w:rsidRPr="005A5BEC" w:rsidRDefault="0092671A" w:rsidP="00B42E36">
      <w:r w:rsidRPr="005A5BEC">
        <w:t xml:space="preserve">Probe trials in this task investigated the inhibition of irrelevant distractors, namely the reaction time delay when the target </w:t>
      </w:r>
      <w:r>
        <w:t>was</w:t>
      </w:r>
      <w:r w:rsidRPr="005A5BEC">
        <w:t xml:space="preserve"> emotionally congruent to </w:t>
      </w:r>
      <w:r>
        <w:t>the</w:t>
      </w:r>
      <w:r w:rsidRPr="005A5BEC">
        <w:t xml:space="preserve"> ignored distract</w:t>
      </w:r>
      <w:r>
        <w:t>o</w:t>
      </w:r>
      <w:r w:rsidRPr="005A5BEC">
        <w:t>r</w:t>
      </w:r>
      <w:r>
        <w:t xml:space="preserve"> in the previous prime trial. </w:t>
      </w:r>
      <w:r w:rsidRPr="005A5BEC">
        <w:t xml:space="preserve">This effect </w:t>
      </w:r>
      <w:r>
        <w:t xml:space="preserve">is </w:t>
      </w:r>
      <w:r w:rsidRPr="005A5BEC">
        <w:t>known as the interference effect or disinhibition</w:t>
      </w:r>
      <w:r>
        <w:t>. The effect</w:t>
      </w:r>
      <w:r w:rsidRPr="005A5BEC">
        <w:t xml:space="preserve"> </w:t>
      </w:r>
      <w:r>
        <w:t>implies</w:t>
      </w:r>
      <w:r w:rsidRPr="005A5BEC">
        <w:t xml:space="preserve"> lingered distract</w:t>
      </w:r>
      <w:r>
        <w:t>o</w:t>
      </w:r>
      <w:r w:rsidRPr="005A5BEC">
        <w:t xml:space="preserve">r inhibition processes triggered </w:t>
      </w:r>
      <w:r>
        <w:t>in</w:t>
      </w:r>
      <w:r w:rsidRPr="005A5BEC">
        <w:t xml:space="preserve"> the prime trial, which </w:t>
      </w:r>
      <w:r>
        <w:t>would</w:t>
      </w:r>
      <w:r w:rsidRPr="005A5BEC">
        <w:t xml:space="preserve"> require more </w:t>
      </w:r>
      <w:r>
        <w:t xml:space="preserve">cognitive </w:t>
      </w:r>
      <w:r w:rsidRPr="005A5BEC">
        <w:t>effort to overcome in the subsequent probe trial (May, Kane, &amp; Hasher, 1995).</w:t>
      </w:r>
      <w:r>
        <w:t xml:space="preserve"> Responders are thus</w:t>
      </w:r>
      <w:r w:rsidRPr="005A5BEC">
        <w:t xml:space="preserve"> slower to re</w:t>
      </w:r>
      <w:r>
        <w:t xml:space="preserve">act </w:t>
      </w:r>
      <w:r w:rsidRPr="005A5BEC">
        <w:t xml:space="preserve">to the target </w:t>
      </w:r>
      <w:sdt>
        <w:sdtPr>
          <w:rPr>
            <w:color w:val="000000"/>
          </w:rPr>
          <w:tag w:val="MENDELEY_CITATION_v3_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"/>
          <w:id w:val="-1817556671"/>
          <w:placeholder>
            <w:docPart w:val="BA7C8A2B9A94C84B957B471B05E913FD"/>
          </w:placeholder>
        </w:sdtPr>
        <w:sdtContent>
          <w:r w:rsidR="00EC7CE1" w:rsidRPr="00EC7CE1">
            <w:rPr>
              <w:color w:val="000000"/>
            </w:rPr>
            <w:t>(</w:t>
          </w:r>
          <w:proofErr w:type="spellStart"/>
          <w:r w:rsidR="00EC7CE1" w:rsidRPr="00EC7CE1">
            <w:rPr>
              <w:color w:val="000000"/>
            </w:rPr>
            <w:t>Wentura</w:t>
          </w:r>
          <w:proofErr w:type="spellEnd"/>
          <w:r w:rsidR="00EC7CE1" w:rsidRPr="00EC7CE1">
            <w:rPr>
              <w:color w:val="000000"/>
            </w:rPr>
            <w:t>, 1999)</w:t>
          </w:r>
        </w:sdtContent>
      </w:sdt>
      <w:r>
        <w:rPr>
          <w:color w:val="000000"/>
        </w:rPr>
        <w:t>.</w:t>
      </w:r>
      <w:r>
        <w:t xml:space="preserve"> </w:t>
      </w:r>
      <w:r w:rsidRPr="005A5BEC">
        <w:t xml:space="preserve">If this effect is not shown, it is assumed that the prime </w:t>
      </w:r>
      <w:r>
        <w:t>distractor</w:t>
      </w:r>
      <w:r w:rsidRPr="005A5BEC">
        <w:t xml:space="preserve"> stimuli could not be inhibited because</w:t>
      </w:r>
      <w:r>
        <w:t xml:space="preserve"> of</w:t>
      </w:r>
      <w:r w:rsidRPr="005A5BEC">
        <w:t xml:space="preserve"> </w:t>
      </w:r>
      <w:r>
        <w:t xml:space="preserve">the </w:t>
      </w:r>
      <w:r w:rsidRPr="005A5BEC">
        <w:t>special attention given to the valence of the prime</w:t>
      </w:r>
      <w:r>
        <w:t xml:space="preserve"> distractor</w:t>
      </w:r>
      <w:r w:rsidRPr="005A5BEC">
        <w:t xml:space="preserve">s </w:t>
      </w:r>
      <w:sdt>
        <w:sdtPr>
          <w:rPr>
            <w:color w:val="000000"/>
          </w:rPr>
          <w:tag w:val="MENDELEY_CITATION_v3_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"/>
          <w:id w:val="-1934506734"/>
          <w:placeholder>
            <w:docPart w:val="BA7C8A2B9A94C84B957B471B05E913FD"/>
          </w:placeholder>
        </w:sdtPr>
        <w:sdtContent>
          <w:r w:rsidR="00EC7CE1" w:rsidRPr="00EC7CE1">
            <w:rPr>
              <w:color w:val="000000"/>
            </w:rPr>
            <w:t>(</w:t>
          </w:r>
          <w:proofErr w:type="spellStart"/>
          <w:r w:rsidR="00EC7CE1" w:rsidRPr="00EC7CE1">
            <w:rPr>
              <w:color w:val="000000"/>
            </w:rPr>
            <w:t>Joormann</w:t>
          </w:r>
          <w:proofErr w:type="spellEnd"/>
          <w:r w:rsidR="00EC7CE1" w:rsidRPr="00EC7CE1">
            <w:rPr>
              <w:color w:val="000000"/>
            </w:rPr>
            <w:t>, 2004)</w:t>
          </w:r>
        </w:sdtContent>
      </w:sdt>
      <w:r>
        <w:t xml:space="preserve"> </w:t>
      </w:r>
      <w:r w:rsidRPr="005A5BEC">
        <w:t>With our calculated indice</w:t>
      </w:r>
      <w:r>
        <w:t>s</w:t>
      </w:r>
      <w:r w:rsidRPr="005A5BEC">
        <w:t xml:space="preserve">, performance was not </w:t>
      </w:r>
      <w:r>
        <w:t>only analysed</w:t>
      </w:r>
      <w:r w:rsidRPr="005A5BEC">
        <w:t xml:space="preserve"> by the congruency of </w:t>
      </w:r>
      <w:r>
        <w:t>distractor</w:t>
      </w:r>
      <w:r w:rsidRPr="005A5BEC">
        <w:t xml:space="preserve">–target pairs within trials (here </w:t>
      </w:r>
      <w:r>
        <w:t>measured by a calculated '</w:t>
      </w:r>
      <w:r w:rsidRPr="005A5BEC">
        <w:t>priming index</w:t>
      </w:r>
      <w:r>
        <w:t>'</w:t>
      </w:r>
      <w:r w:rsidRPr="005A5BEC">
        <w:t xml:space="preserve">) but as a function of the congruency between the </w:t>
      </w:r>
      <w:r>
        <w:t>distractor</w:t>
      </w:r>
      <w:r w:rsidRPr="005A5BEC">
        <w:t xml:space="preserve"> in the prime trial and the target in the probe trial (here </w:t>
      </w:r>
      <w:r>
        <w:t>measured by</w:t>
      </w:r>
      <w:r w:rsidRPr="005A5BEC">
        <w:t xml:space="preserve"> </w:t>
      </w:r>
      <w:r>
        <w:t>the ‘</w:t>
      </w:r>
      <w:r w:rsidRPr="005A5BEC">
        <w:t>interference index</w:t>
      </w:r>
      <w:r>
        <w:t>’</w:t>
      </w:r>
      <w:r w:rsidRPr="005A5BEC">
        <w:t xml:space="preserve">). </w:t>
      </w:r>
    </w:p>
    <w:p w14:paraId="7CECC8A3" w14:textId="12717051" w:rsidR="0092671A" w:rsidRDefault="0092671A" w:rsidP="00B42E36">
      <w:pPr>
        <w:rPr>
          <w:rFonts w:eastAsia="Times New Roman" w:cs="Arial"/>
          <w:color w:val="000000"/>
          <w:bdr w:val="none" w:sz="0" w:space="0" w:color="auto" w:frame="1"/>
          <w:shd w:val="clear" w:color="auto" w:fill="FFFFFF"/>
          <w:lang w:eastAsia="en-GB"/>
        </w:rPr>
      </w:pPr>
      <w:r w:rsidRPr="005A5BEC">
        <w:t>An interplay of factors was observed based on the interaction effects in the probe trials of the NAP task.</w:t>
      </w:r>
      <w:r>
        <w:t xml:space="preserve"> </w:t>
      </w:r>
      <w:r w:rsidRPr="005A5BEC">
        <w:t xml:space="preserve">Specifically, the effect of valence on reaction times </w:t>
      </w:r>
      <w:r>
        <w:t>was</w:t>
      </w:r>
      <w:r w:rsidRPr="005A5BEC">
        <w:t xml:space="preserve"> not consistent across the different groups </w:t>
      </w:r>
      <w:r>
        <w:t xml:space="preserve">nor in the experimental vs control </w:t>
      </w:r>
      <w:r w:rsidRPr="005A5BEC">
        <w:t>conditions</w:t>
      </w:r>
      <w:r>
        <w:t xml:space="preserve">. </w:t>
      </w:r>
      <w:r>
        <w:rPr>
          <w:rFonts w:eastAsia="Times New Roman" w:cs="Arial"/>
          <w:bdr w:val="none" w:sz="0" w:space="0" w:color="auto" w:frame="1"/>
          <w:shd w:val="clear" w:color="auto" w:fill="FFFFFF"/>
          <w:lang w:eastAsia="en-GB"/>
        </w:rPr>
        <w:t>In this study,</w:t>
      </w:r>
      <w:r w:rsidRPr="005A5BEC">
        <w:rPr>
          <w:rFonts w:eastAsia="Times New Roman" w:cs="Arial"/>
          <w:bdr w:val="none" w:sz="0" w:space="0" w:color="auto" w:frame="1"/>
          <w:shd w:val="clear" w:color="auto" w:fill="FFFFFF"/>
          <w:lang w:eastAsia="en-GB"/>
        </w:rPr>
        <w:t xml:space="preserve"> patients with FNSD displayed lower inhibition effort for positive and negative stimuli</w:t>
      </w:r>
      <w:r>
        <w:rPr>
          <w:rFonts w:eastAsia="Times New Roman" w:cs="Arial"/>
          <w:bdr w:val="none" w:sz="0" w:space="0" w:color="auto" w:frame="1"/>
          <w:shd w:val="clear" w:color="auto" w:fill="FFFFFF"/>
          <w:lang w:eastAsia="en-GB"/>
        </w:rPr>
        <w:t>, which</w:t>
      </w:r>
      <w:r w:rsidRPr="005A5BEC">
        <w:rPr>
          <w:rFonts w:eastAsia="Times New Roman" w:cs="Arial"/>
          <w:bdr w:val="none" w:sz="0" w:space="0" w:color="auto" w:frame="1"/>
          <w:shd w:val="clear" w:color="auto" w:fill="FFFFFF"/>
          <w:lang w:eastAsia="en-GB"/>
        </w:rPr>
        <w:t xml:space="preserve"> were more pronounced for negative stimuli.</w:t>
      </w:r>
      <w:r>
        <w:rPr>
          <w:rFonts w:eastAsia="Times New Roman" w:cs="Arial"/>
          <w:bdr w:val="none" w:sz="0" w:space="0" w:color="auto" w:frame="1"/>
          <w:shd w:val="clear" w:color="auto" w:fill="FFFFFF"/>
          <w:lang w:eastAsia="en-GB"/>
        </w:rPr>
        <w:t xml:space="preserve"> This aligns with previous research where FNSDs have been shown to have </w:t>
      </w:r>
      <w:r w:rsidRPr="00A561A9">
        <w:t xml:space="preserve">abnormal attention toward negative or threatening stimuli </w:t>
      </w:r>
      <w:sdt>
        <w:sdtPr>
          <w:rPr>
            <w:color w:val="000000"/>
          </w:rPr>
          <w:tag w:val="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"/>
          <w:id w:val="1047883690"/>
          <w:placeholder>
            <w:docPart w:val="BA7C8A2B9A94C84B957B471B05E913FD"/>
          </w:placeholder>
        </w:sdtPr>
        <w:sdtContent>
          <w:r w:rsidR="00EC7CE1" w:rsidRPr="00EC7CE1">
            <w:rPr>
              <w:color w:val="000000"/>
            </w:rPr>
            <w:t>(</w:t>
          </w:r>
          <w:proofErr w:type="spellStart"/>
          <w:r w:rsidR="00EC7CE1" w:rsidRPr="00EC7CE1">
            <w:rPr>
              <w:color w:val="000000"/>
            </w:rPr>
            <w:t>Bakvis</w:t>
          </w:r>
          <w:proofErr w:type="spellEnd"/>
          <w:r w:rsidR="00EC7CE1" w:rsidRPr="00EC7CE1">
            <w:rPr>
              <w:color w:val="000000"/>
            </w:rPr>
            <w:t xml:space="preserve"> et al., 2009; </w:t>
          </w:r>
          <w:proofErr w:type="spellStart"/>
          <w:r w:rsidR="00EC7CE1" w:rsidRPr="00EC7CE1">
            <w:rPr>
              <w:color w:val="000000"/>
            </w:rPr>
            <w:t>Keynejad</w:t>
          </w:r>
          <w:proofErr w:type="spellEnd"/>
          <w:r w:rsidR="00EC7CE1" w:rsidRPr="00EC7CE1">
            <w:rPr>
              <w:color w:val="000000"/>
            </w:rPr>
            <w:t xml:space="preserve"> et al., 2020; Pick et al., 2018b)</w:t>
          </w:r>
        </w:sdtContent>
      </w:sdt>
      <w:r w:rsidRPr="00A561A9">
        <w:t>.</w:t>
      </w:r>
      <w:r>
        <w:t xml:space="preserve"> </w:t>
      </w:r>
    </w:p>
    <w:p w14:paraId="22DA0BE7" w14:textId="5D0AAFFB" w:rsidR="0092671A" w:rsidRPr="00855D6D" w:rsidRDefault="0092671A" w:rsidP="00B42E36">
      <w:r>
        <w:rPr>
          <w:rFonts w:eastAsia="Times New Roman" w:cs="Arial"/>
          <w:bdr w:val="none" w:sz="0" w:space="0" w:color="auto" w:frame="1"/>
          <w:shd w:val="clear" w:color="auto" w:fill="FFFFFF"/>
          <w:lang w:eastAsia="en-GB"/>
        </w:rPr>
        <w:t>P</w:t>
      </w:r>
      <w:r w:rsidRPr="001F1637">
        <w:rPr>
          <w:rFonts w:eastAsia="Times New Roman" w:cs="Arial"/>
          <w:bdr w:val="none" w:sz="0" w:space="0" w:color="auto" w:frame="1"/>
          <w:shd w:val="clear" w:color="auto" w:fill="FFFFFF"/>
          <w:lang w:eastAsia="en-GB"/>
        </w:rPr>
        <w:t>atients may employ strategies such as avoidance or suppression of emotional responses to manage their emotional reactions.</w:t>
      </w:r>
      <w:r>
        <w:rPr>
          <w:rFonts w:eastAsia="Times New Roman" w:cs="Arial"/>
          <w:bdr w:val="none" w:sz="0" w:space="0" w:color="auto" w:frame="1"/>
          <w:shd w:val="clear" w:color="auto" w:fill="FFFFFF"/>
          <w:lang w:eastAsia="en-GB"/>
        </w:rPr>
        <w:t xml:space="preserve"> </w:t>
      </w:r>
      <w:r w:rsidRPr="001F1637">
        <w:rPr>
          <w:rFonts w:eastAsia="Times New Roman" w:cs="Arial"/>
          <w:bdr w:val="none" w:sz="0" w:space="0" w:color="auto" w:frame="1"/>
          <w:shd w:val="clear" w:color="auto" w:fill="FFFFFF"/>
          <w:lang w:eastAsia="en-GB"/>
        </w:rPr>
        <w:t>For example,</w:t>
      </w:r>
      <w:r w:rsidRPr="00BD4424">
        <w:rPr>
          <w:rFonts w:eastAsia="Times New Roman" w:cs="Arial"/>
          <w:color w:val="000000"/>
          <w:bdr w:val="none" w:sz="0" w:space="0" w:color="auto" w:frame="1"/>
          <w:shd w:val="clear" w:color="auto" w:fill="FFFFFF"/>
          <w:lang w:eastAsia="en-GB"/>
        </w:rPr>
        <w:t xml:space="preserve"> </w:t>
      </w:r>
      <w:sdt>
        <w:sdtPr>
          <w:rPr>
            <w:rFonts w:eastAsia="Times New Roman" w:cs="Arial"/>
            <w:color w:val="000000"/>
            <w:bdr w:val="none" w:sz="0" w:space="0" w:color="auto" w:frame="1"/>
            <w:shd w:val="clear" w:color="auto" w:fill="FFFFFF"/>
            <w:lang w:eastAsia="en-GB"/>
          </w:rPr>
          <w:tag w:val="MENDELEY_CITATION_v3_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"/>
          <w:id w:val="1099753581"/>
          <w:placeholder>
            <w:docPart w:val="9F9A710FF745204C88F9D3587F9A2678"/>
          </w:placeholder>
        </w:sdtPr>
        <w:sdtContent>
          <w:r w:rsidR="00EC7CE1" w:rsidRPr="00EC7CE1">
            <w:rPr>
              <w:rFonts w:eastAsia="Times New Roman" w:cs="Arial"/>
              <w:color w:val="000000"/>
              <w:bdr w:val="none" w:sz="0" w:space="0" w:color="auto" w:frame="1"/>
              <w:shd w:val="clear" w:color="auto" w:fill="FFFFFF"/>
              <w:lang w:eastAsia="en-GB"/>
            </w:rPr>
            <w:t>(</w:t>
          </w:r>
          <w:proofErr w:type="spellStart"/>
          <w:r w:rsidR="00EC7CE1" w:rsidRPr="00EC7CE1">
            <w:rPr>
              <w:rFonts w:eastAsia="Times New Roman" w:cs="Arial"/>
              <w:color w:val="000000"/>
              <w:bdr w:val="none" w:sz="0" w:space="0" w:color="auto" w:frame="1"/>
              <w:shd w:val="clear" w:color="auto" w:fill="FFFFFF"/>
              <w:lang w:eastAsia="en-GB"/>
            </w:rPr>
            <w:t>Fiess</w:t>
          </w:r>
          <w:proofErr w:type="spellEnd"/>
          <w:r w:rsidR="00EC7CE1" w:rsidRPr="00EC7CE1">
            <w:rPr>
              <w:rFonts w:eastAsia="Times New Roman" w:cs="Arial"/>
              <w:color w:val="000000"/>
              <w:bdr w:val="none" w:sz="0" w:space="0" w:color="auto" w:frame="1"/>
              <w:shd w:val="clear" w:color="auto" w:fill="FFFFFF"/>
              <w:lang w:eastAsia="en-GB"/>
            </w:rPr>
            <w:t xml:space="preserve"> et al.2015)</w:t>
          </w:r>
        </w:sdtContent>
      </w:sdt>
      <w:r w:rsidRPr="001F1637">
        <w:rPr>
          <w:rFonts w:eastAsia="Times New Roman" w:cs="Arial"/>
          <w:bdr w:val="none" w:sz="0" w:space="0" w:color="auto" w:frame="1"/>
          <w:shd w:val="clear" w:color="auto" w:fill="FFFFFF"/>
          <w:lang w:eastAsia="en-GB"/>
        </w:rPr>
        <w:t xml:space="preserve"> found that diverting attention from unpleasant emotional stimuli also predominantly activates the parietal regions in </w:t>
      </w:r>
      <w:r>
        <w:rPr>
          <w:rFonts w:eastAsia="Times New Roman" w:cs="Arial"/>
          <w:bdr w:val="none" w:sz="0" w:space="0" w:color="auto" w:frame="1"/>
          <w:shd w:val="clear" w:color="auto" w:fill="FFFFFF"/>
          <w:lang w:eastAsia="en-GB"/>
        </w:rPr>
        <w:t>FNSD</w:t>
      </w:r>
      <w:r w:rsidRPr="001F1637">
        <w:rPr>
          <w:rFonts w:eastAsia="Times New Roman" w:cs="Arial"/>
          <w:bdr w:val="none" w:sz="0" w:space="0" w:color="auto" w:frame="1"/>
          <w:shd w:val="clear" w:color="auto" w:fill="FFFFFF"/>
          <w:lang w:eastAsia="en-GB"/>
        </w:rPr>
        <w:t xml:space="preserve">, similar to findings reported in </w:t>
      </w:r>
      <w:r>
        <w:rPr>
          <w:rFonts w:eastAsia="Times New Roman" w:cs="Arial"/>
          <w:bdr w:val="none" w:sz="0" w:space="0" w:color="auto" w:frame="1"/>
          <w:shd w:val="clear" w:color="auto" w:fill="FFFFFF"/>
          <w:lang w:eastAsia="en-GB"/>
        </w:rPr>
        <w:t>healthy groups</w:t>
      </w:r>
      <w:r w:rsidRPr="00BD4424">
        <w:rPr>
          <w:rFonts w:eastAsia="Times New Roman" w:cs="Arial"/>
          <w:color w:val="000000"/>
          <w:bdr w:val="none" w:sz="0" w:space="0" w:color="auto" w:frame="1"/>
          <w:shd w:val="clear" w:color="auto" w:fill="FFFFFF"/>
          <w:lang w:eastAsia="en-GB"/>
        </w:rPr>
        <w:t xml:space="preserve"> </w:t>
      </w:r>
      <w:r>
        <w:rPr>
          <w:rFonts w:eastAsia="Times New Roman" w:cs="Arial"/>
          <w:color w:val="000000"/>
          <w:bdr w:val="none" w:sz="0" w:space="0" w:color="auto" w:frame="1"/>
          <w:shd w:val="clear" w:color="auto" w:fill="FFFFFF"/>
          <w:lang w:eastAsia="en-GB"/>
        </w:rPr>
        <w:t>(</w:t>
      </w:r>
      <w:proofErr w:type="spellStart"/>
      <w:sdt>
        <w:sdtPr>
          <w:rPr>
            <w:rFonts w:eastAsia="Times New Roman" w:cs="Arial"/>
            <w:color w:val="000000"/>
            <w:bdr w:val="none" w:sz="0" w:space="0" w:color="auto" w:frame="1"/>
            <w:shd w:val="clear" w:color="auto" w:fill="FFFFFF"/>
            <w:lang w:eastAsia="en-GB"/>
          </w:rPr>
          <w:tag w:val="MENDELEY_CITATION_v3_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"/>
          <w:id w:val="10038947"/>
          <w:placeholder>
            <w:docPart w:val="42A106DF8D73124DA0977A4A56EB286C"/>
          </w:placeholder>
        </w:sdtPr>
        <w:sdtContent>
          <w:r w:rsidR="00EC7CE1" w:rsidRPr="00EC7CE1">
            <w:rPr>
              <w:rFonts w:eastAsia="Times New Roman" w:cs="Arial"/>
              <w:color w:val="000000"/>
              <w:bdr w:val="none" w:sz="0" w:space="0" w:color="auto" w:frame="1"/>
              <w:shd w:val="clear" w:color="auto" w:fill="FFFFFF"/>
              <w:lang w:eastAsia="en-GB"/>
            </w:rPr>
            <w:t>Ferri</w:t>
          </w:r>
          <w:proofErr w:type="spellEnd"/>
          <w:r w:rsidR="00EC7CE1" w:rsidRPr="00EC7CE1">
            <w:rPr>
              <w:rFonts w:eastAsia="Times New Roman" w:cs="Arial"/>
              <w:color w:val="000000"/>
              <w:bdr w:val="none" w:sz="0" w:space="0" w:color="auto" w:frame="1"/>
              <w:shd w:val="clear" w:color="auto" w:fill="FFFFFF"/>
              <w:lang w:eastAsia="en-GB"/>
            </w:rPr>
            <w:t xml:space="preserve"> et al., 2016)</w:t>
          </w:r>
        </w:sdtContent>
      </w:sdt>
      <w:r w:rsidRPr="001F1637">
        <w:rPr>
          <w:rFonts w:eastAsia="Times New Roman" w:cs="Arial"/>
          <w:bdr w:val="none" w:sz="0" w:space="0" w:color="auto" w:frame="1"/>
          <w:shd w:val="clear" w:color="auto" w:fill="FFFFFF"/>
          <w:lang w:eastAsia="en-GB"/>
        </w:rPr>
        <w:t>.</w:t>
      </w:r>
      <w:r>
        <w:rPr>
          <w:rFonts w:eastAsia="Times New Roman" w:cs="Arial"/>
          <w:bdr w:val="none" w:sz="0" w:space="0" w:color="auto" w:frame="1"/>
          <w:shd w:val="clear" w:color="auto" w:fill="FFFFFF"/>
          <w:lang w:eastAsia="en-GB"/>
        </w:rPr>
        <w:t xml:space="preserve"> Evidence of impairment in both higher-level endogenous attentional control </w:t>
      </w:r>
      <w:r w:rsidRPr="001F1637">
        <w:rPr>
          <w:rFonts w:eastAsia="Times New Roman" w:cs="Arial"/>
          <w:bdr w:val="none" w:sz="0" w:space="0" w:color="auto" w:frame="1"/>
          <w:shd w:val="clear" w:color="auto" w:fill="FFFFFF"/>
          <w:lang w:eastAsia="en-GB"/>
        </w:rPr>
        <w:t>and lower-level automatic attentional orienting</w:t>
      </w:r>
      <w:r>
        <w:rPr>
          <w:rFonts w:eastAsia="Times New Roman" w:cs="Arial"/>
          <w:bdr w:val="none" w:sz="0" w:space="0" w:color="auto" w:frame="1"/>
          <w:shd w:val="clear" w:color="auto" w:fill="FFFFFF"/>
          <w:lang w:eastAsia="en-GB"/>
        </w:rPr>
        <w:t xml:space="preserve"> would support this further and collectively have led to harm-avoidance </w:t>
      </w:r>
      <w:r w:rsidRPr="00855D6D">
        <w:t xml:space="preserve">theories in FNSDs. </w:t>
      </w:r>
    </w:p>
    <w:p w14:paraId="22076BF8" w14:textId="4B884BDC" w:rsidR="0092671A" w:rsidRPr="00B42E36" w:rsidRDefault="0092671A" w:rsidP="00BD4424">
      <w:pPr>
        <w:rPr>
          <w:szCs w:val="22"/>
        </w:rPr>
      </w:pPr>
      <w:r w:rsidRPr="00855D6D">
        <w:rPr>
          <w:szCs w:val="22"/>
        </w:rPr>
        <w:t xml:space="preserve">Related theories on FNSD pose core processes involved in the disorder's cognitive processing of emotion that would be relevant in this context. These include attentional focus, </w:t>
      </w:r>
      <w:r>
        <w:rPr>
          <w:szCs w:val="22"/>
        </w:rPr>
        <w:t xml:space="preserve">prior </w:t>
      </w:r>
      <w:r w:rsidRPr="00855D6D">
        <w:rPr>
          <w:szCs w:val="22"/>
        </w:rPr>
        <w:t xml:space="preserve">beliefs and expectations about illness, and deficits in control over one's </w:t>
      </w:r>
      <w:r w:rsidRPr="00855D6D">
        <w:rPr>
          <w:szCs w:val="22"/>
        </w:rPr>
        <w:lastRenderedPageBreak/>
        <w:t xml:space="preserve">actions </w:t>
      </w:r>
      <w:sdt>
        <w:sdtPr>
          <w:rPr>
            <w:color w:val="000000"/>
            <w:szCs w:val="22"/>
          </w:rPr>
          <w:tag w:val="MENDELEY_CITATION_v3_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"/>
          <w:id w:val="1993054900"/>
          <w:placeholder>
            <w:docPart w:val="BA7C8A2B9A94C84B957B471B05E913FD"/>
          </w:placeholder>
        </w:sdtPr>
        <w:sdtContent>
          <w:r w:rsidR="00EC7CE1">
            <w:rPr>
              <w:rFonts w:eastAsia="Times New Roman"/>
            </w:rPr>
            <w:t xml:space="preserve">(M. J. Edwards et al., 2013; K. </w:t>
          </w:r>
          <w:proofErr w:type="spellStart"/>
          <w:r w:rsidR="00EC7CE1">
            <w:rPr>
              <w:rFonts w:eastAsia="Times New Roman"/>
            </w:rPr>
            <w:t>Roelofs</w:t>
          </w:r>
          <w:proofErr w:type="spellEnd"/>
          <w:r w:rsidR="00EC7CE1">
            <w:rPr>
              <w:rFonts w:eastAsia="Times New Roman"/>
            </w:rPr>
            <w:t xml:space="preserve"> &amp; </w:t>
          </w:r>
          <w:proofErr w:type="spellStart"/>
          <w:r w:rsidR="00EC7CE1">
            <w:rPr>
              <w:rFonts w:eastAsia="Times New Roman"/>
            </w:rPr>
            <w:t>Pasman</w:t>
          </w:r>
          <w:proofErr w:type="spellEnd"/>
          <w:r w:rsidR="00EC7CE1">
            <w:rPr>
              <w:rFonts w:eastAsia="Times New Roman"/>
            </w:rPr>
            <w:t>, 2016)</w:t>
          </w:r>
        </w:sdtContent>
      </w:sdt>
      <w:r w:rsidRPr="00855D6D">
        <w:rPr>
          <w:szCs w:val="22"/>
        </w:rPr>
        <w:t xml:space="preserve"> as discussed in the introduction of this thesis.</w:t>
      </w:r>
    </w:p>
    <w:p w14:paraId="11C5D4C6" w14:textId="41FEC41F" w:rsidR="0092671A" w:rsidRPr="00855D6D" w:rsidRDefault="0092671A" w:rsidP="007C2B10">
      <w:pPr>
        <w:spacing w:after="240"/>
        <w:rPr>
          <w:szCs w:val="22"/>
        </w:rPr>
      </w:pPr>
      <w:r w:rsidRPr="00855D6D">
        <w:rPr>
          <w:szCs w:val="22"/>
        </w:rPr>
        <w:t>Inadequate top–down control of irrelevant affective stimuli is associated with poor mental health</w:t>
      </w:r>
      <w:r>
        <w:rPr>
          <w:szCs w:val="22"/>
        </w:rPr>
        <w:t xml:space="preserve"> </w:t>
      </w:r>
      <w:r w:rsidRPr="00855D6D">
        <w:rPr>
          <w:szCs w:val="22"/>
        </w:rPr>
        <w:t xml:space="preserve">and failures in ignoring negative distractors have therefore been related to maladaptive emotion regulation strategies such as rumination, which in turn, are strongly linked to psychopathology </w:t>
      </w:r>
      <w:sdt>
        <w:sdtPr>
          <w:rPr>
            <w:color w:val="000000"/>
            <w:szCs w:val="22"/>
          </w:rPr>
          <w:tag w:val="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"/>
          <w:id w:val="-679116326"/>
          <w:placeholder>
            <w:docPart w:val="BA7C8A2B9A94C84B957B471B05E913FD"/>
          </w:placeholder>
        </w:sdtPr>
        <w:sdtContent>
          <w:r w:rsidR="00EC7CE1" w:rsidRPr="00EC7CE1">
            <w:rPr>
              <w:color w:val="000000"/>
              <w:szCs w:val="22"/>
            </w:rPr>
            <w:t>(</w:t>
          </w:r>
          <w:proofErr w:type="spellStart"/>
          <w:r w:rsidR="00EC7CE1" w:rsidRPr="00EC7CE1">
            <w:rPr>
              <w:color w:val="000000"/>
              <w:szCs w:val="22"/>
            </w:rPr>
            <w:t>Espay</w:t>
          </w:r>
          <w:proofErr w:type="spellEnd"/>
          <w:r w:rsidR="00EC7CE1" w:rsidRPr="00EC7CE1">
            <w:rPr>
              <w:color w:val="000000"/>
              <w:szCs w:val="22"/>
            </w:rPr>
            <w:t xml:space="preserve">, Maloney, et al., 2018; </w:t>
          </w:r>
          <w:proofErr w:type="spellStart"/>
          <w:r w:rsidR="00EC7CE1" w:rsidRPr="00EC7CE1">
            <w:rPr>
              <w:color w:val="000000"/>
              <w:szCs w:val="22"/>
            </w:rPr>
            <w:t>Fiess</w:t>
          </w:r>
          <w:proofErr w:type="spellEnd"/>
          <w:r w:rsidR="00EC7CE1" w:rsidRPr="00EC7CE1">
            <w:rPr>
              <w:color w:val="000000"/>
              <w:szCs w:val="22"/>
            </w:rPr>
            <w:t xml:space="preserve"> et al., 2015, 2016; Sojka et al., 2018, 2019; Szaflarski et al., 2018)</w:t>
          </w:r>
        </w:sdtContent>
      </w:sdt>
      <w:r>
        <w:rPr>
          <w:szCs w:val="22"/>
        </w:rPr>
        <w:t xml:space="preserve">. </w:t>
      </w:r>
      <w:r w:rsidRPr="00855D6D">
        <w:rPr>
          <w:szCs w:val="22"/>
        </w:rPr>
        <w:t xml:space="preserve">The </w:t>
      </w:r>
      <w:r>
        <w:rPr>
          <w:szCs w:val="22"/>
        </w:rPr>
        <w:t>NAP task</w:t>
      </w:r>
      <w:r w:rsidRPr="00855D6D">
        <w:rPr>
          <w:szCs w:val="22"/>
        </w:rPr>
        <w:t xml:space="preserve"> used in the present study may have captured one or more of these altered aspects of emotion processing in FNSD patients.</w:t>
      </w:r>
    </w:p>
    <w:p w14:paraId="6D8074F0" w14:textId="75CD6838" w:rsidR="0092671A" w:rsidRPr="007D2B26" w:rsidRDefault="007C2B10" w:rsidP="007D2B26">
      <w:pPr>
        <w:pStyle w:val="Heading3"/>
        <w:spacing w:after="240"/>
      </w:pPr>
      <w:bookmarkStart w:id="180" w:name="_Toc137504792"/>
      <w:r>
        <w:t xml:space="preserve">5.4.2 </w:t>
      </w:r>
      <w:r w:rsidR="0092671A" w:rsidRPr="007D2B26">
        <w:t>D</w:t>
      </w:r>
      <w:r w:rsidR="0092671A">
        <w:t>elay</w:t>
      </w:r>
      <w:r w:rsidR="0092671A" w:rsidRPr="007D2B26">
        <w:t xml:space="preserve"> D</w:t>
      </w:r>
      <w:r w:rsidR="0092671A">
        <w:t>iscounting</w:t>
      </w:r>
      <w:bookmarkEnd w:id="180"/>
    </w:p>
    <w:p w14:paraId="74130030" w14:textId="52B8FDEE" w:rsidR="0092671A" w:rsidRDefault="0092671A" w:rsidP="00DB1D04">
      <w:pPr>
        <w:rPr>
          <w:szCs w:val="22"/>
        </w:rPr>
      </w:pPr>
      <w:r w:rsidRPr="0017043A">
        <w:rPr>
          <w:szCs w:val="22"/>
        </w:rPr>
        <w:t xml:space="preserve">Delay discounting studies offer a way to discern differences in decision-making both between </w:t>
      </w:r>
      <w:r w:rsidR="00B4315D">
        <w:rPr>
          <w:szCs w:val="22"/>
        </w:rPr>
        <w:t xml:space="preserve">and within </w:t>
      </w:r>
      <w:r w:rsidRPr="0017043A">
        <w:rPr>
          <w:szCs w:val="22"/>
        </w:rPr>
        <w:t xml:space="preserve">groups </w:t>
      </w:r>
      <w:sdt>
        <w:sdtPr>
          <w:rPr>
            <w:color w:val="000000"/>
            <w:szCs w:val="22"/>
          </w:rPr>
          <w:tag w:val="MENDELEY_CITATION_v3_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"/>
          <w:id w:val="-173881226"/>
          <w:placeholder>
            <w:docPart w:val="BA7C8A2B9A94C84B957B471B05E913FD"/>
          </w:placeholder>
        </w:sdtPr>
        <w:sdtContent>
          <w:r w:rsidR="00EC7CE1">
            <w:rPr>
              <w:rFonts w:eastAsia="Times New Roman"/>
            </w:rPr>
            <w:t>(</w:t>
          </w:r>
          <w:proofErr w:type="spellStart"/>
          <w:r w:rsidR="00EC7CE1">
            <w:rPr>
              <w:rFonts w:eastAsia="Times New Roman"/>
            </w:rPr>
            <w:t>Amlung</w:t>
          </w:r>
          <w:proofErr w:type="spellEnd"/>
          <w:r w:rsidR="00EC7CE1">
            <w:rPr>
              <w:rFonts w:eastAsia="Times New Roman"/>
            </w:rPr>
            <w:t xml:space="preserve"> et al., 2019; Jackson &amp; Mackillop, 2016b)</w:t>
          </w:r>
        </w:sdtContent>
      </w:sdt>
      <w:r w:rsidRPr="0017043A">
        <w:rPr>
          <w:szCs w:val="22"/>
        </w:rPr>
        <w:t>.</w:t>
      </w:r>
      <w:r>
        <w:rPr>
          <w:szCs w:val="22"/>
        </w:rPr>
        <w:t xml:space="preserve"> </w:t>
      </w:r>
      <w:r w:rsidRPr="0017043A">
        <w:rPr>
          <w:szCs w:val="22"/>
        </w:rPr>
        <w:t xml:space="preserve">It has been observed through </w:t>
      </w:r>
      <w:r>
        <w:rPr>
          <w:szCs w:val="22"/>
        </w:rPr>
        <w:t xml:space="preserve">DD </w:t>
      </w:r>
      <w:r w:rsidRPr="0017043A">
        <w:rPr>
          <w:szCs w:val="22"/>
        </w:rPr>
        <w:t xml:space="preserve">studies that there are variations in the level of delay discounting between individuals exhibiting patterns of maladaptive </w:t>
      </w:r>
      <w:r>
        <w:rPr>
          <w:szCs w:val="22"/>
        </w:rPr>
        <w:t xml:space="preserve">decision-making </w:t>
      </w:r>
      <w:r w:rsidRPr="0017043A">
        <w:rPr>
          <w:szCs w:val="22"/>
        </w:rPr>
        <w:t>behaviour and those in control groups</w:t>
      </w:r>
      <w:r>
        <w:rPr>
          <w:szCs w:val="22"/>
        </w:rPr>
        <w:t>,</w:t>
      </w:r>
      <w:r w:rsidRPr="0017043A">
        <w:rPr>
          <w:szCs w:val="22"/>
        </w:rPr>
        <w:t xml:space="preserve"> and have provided researchers with a rationale for why individuals gamble, use drugs, overeat, or have little regard for health-related behaviour</w:t>
      </w:r>
      <w:r>
        <w:rPr>
          <w:szCs w:val="22"/>
        </w:rPr>
        <w:t xml:space="preserve">, in the respective relevant psychiatric disorders </w:t>
      </w:r>
      <w:sdt>
        <w:sdtPr>
          <w:rPr>
            <w:color w:val="000000"/>
            <w:szCs w:val="22"/>
          </w:rPr>
          <w:tag w:val="MENDELEY_CITATION_v3_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"/>
          <w:id w:val="-1263063629"/>
          <w:placeholder>
            <w:docPart w:val="BA7C8A2B9A94C84B957B471B05E913FD"/>
          </w:placeholder>
        </w:sdtPr>
        <w:sdtContent>
          <w:r w:rsidR="00EC7CE1" w:rsidRPr="00EC7CE1">
            <w:rPr>
              <w:color w:val="000000"/>
              <w:szCs w:val="22"/>
            </w:rPr>
            <w:t>(</w:t>
          </w:r>
          <w:proofErr w:type="spellStart"/>
          <w:r w:rsidR="00EC7CE1" w:rsidRPr="00EC7CE1">
            <w:rPr>
              <w:color w:val="000000"/>
              <w:szCs w:val="22"/>
            </w:rPr>
            <w:t>Weinsztok</w:t>
          </w:r>
          <w:proofErr w:type="spellEnd"/>
          <w:r w:rsidR="00EC7CE1" w:rsidRPr="00EC7CE1">
            <w:rPr>
              <w:color w:val="000000"/>
              <w:szCs w:val="22"/>
            </w:rPr>
            <w:t xml:space="preserve"> et al., 2021)</w:t>
          </w:r>
        </w:sdtContent>
      </w:sdt>
      <w:r>
        <w:rPr>
          <w:szCs w:val="22"/>
        </w:rPr>
        <w:t xml:space="preserve">. </w:t>
      </w:r>
      <w:r w:rsidRPr="0017043A">
        <w:rPr>
          <w:szCs w:val="22"/>
        </w:rPr>
        <w:t xml:space="preserve">The rationale for use in the current study, </w:t>
      </w:r>
      <w:r>
        <w:rPr>
          <w:szCs w:val="22"/>
        </w:rPr>
        <w:t>however, was</w:t>
      </w:r>
      <w:r w:rsidRPr="0017043A">
        <w:rPr>
          <w:szCs w:val="22"/>
        </w:rPr>
        <w:t xml:space="preserve"> from associations found between delay discounting and high levels of stress and emotion dysregulation, </w:t>
      </w:r>
      <w:r>
        <w:rPr>
          <w:szCs w:val="22"/>
        </w:rPr>
        <w:t>which</w:t>
      </w:r>
      <w:r w:rsidRPr="0017043A">
        <w:rPr>
          <w:szCs w:val="22"/>
        </w:rPr>
        <w:t xml:space="preserve"> are also reported to high degrees in patients with FNSD </w:t>
      </w:r>
      <w:sdt>
        <w:sdtPr>
          <w:rPr>
            <w:color w:val="000000"/>
            <w:szCs w:val="22"/>
          </w:rPr>
          <w:tag w:val="MENDELEY_CITATION_v3_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"/>
          <w:id w:val="-1416545566"/>
          <w:placeholder>
            <w:docPart w:val="C5FC8EA4F16AB44093892E62CE18210C"/>
          </w:placeholder>
        </w:sdtPr>
        <w:sdtContent>
          <w:r w:rsidR="00EC7CE1" w:rsidRPr="00EC7CE1">
            <w:rPr>
              <w:color w:val="000000"/>
              <w:szCs w:val="22"/>
            </w:rPr>
            <w:t>(</w:t>
          </w:r>
          <w:proofErr w:type="spellStart"/>
          <w:r w:rsidR="00EC7CE1" w:rsidRPr="00EC7CE1">
            <w:rPr>
              <w:color w:val="000000"/>
              <w:szCs w:val="22"/>
            </w:rPr>
            <w:t>Malesza</w:t>
          </w:r>
          <w:proofErr w:type="spellEnd"/>
          <w:r w:rsidR="00EC7CE1" w:rsidRPr="00EC7CE1">
            <w:rPr>
              <w:color w:val="000000"/>
              <w:szCs w:val="22"/>
            </w:rPr>
            <w:t>, 2019a, 2019b)</w:t>
          </w:r>
        </w:sdtContent>
      </w:sdt>
      <w:r w:rsidRPr="0017043A">
        <w:rPr>
          <w:szCs w:val="22"/>
        </w:rPr>
        <w:t>.</w:t>
      </w:r>
    </w:p>
    <w:p w14:paraId="17FB2BF3" w14:textId="2CA22C23" w:rsidR="0092671A" w:rsidRPr="00A21AE2" w:rsidRDefault="0092671A" w:rsidP="00A21AE2">
      <w:pPr>
        <w:rPr>
          <w:szCs w:val="22"/>
        </w:rPr>
      </w:pPr>
      <w:r>
        <w:rPr>
          <w:szCs w:val="22"/>
        </w:rPr>
        <w:t>Our</w:t>
      </w:r>
      <w:r w:rsidRPr="0017043A">
        <w:rPr>
          <w:szCs w:val="22"/>
        </w:rPr>
        <w:t xml:space="preserve"> study was successful in identifying differences between the FNSD population and a control</w:t>
      </w:r>
      <w:r>
        <w:rPr>
          <w:szCs w:val="22"/>
        </w:rPr>
        <w:t xml:space="preserve"> group</w:t>
      </w:r>
      <w:r w:rsidRPr="0017043A">
        <w:rPr>
          <w:szCs w:val="22"/>
        </w:rPr>
        <w:t>.</w:t>
      </w:r>
      <w:r>
        <w:rPr>
          <w:szCs w:val="22"/>
        </w:rPr>
        <w:t xml:space="preserve"> Patients with FNSD demonstrated steeper discounting in our research. </w:t>
      </w:r>
      <w:r w:rsidRPr="004854E9">
        <w:rPr>
          <w:szCs w:val="22"/>
        </w:rPr>
        <w:t xml:space="preserve">High discounting rates are </w:t>
      </w:r>
      <w:r>
        <w:rPr>
          <w:szCs w:val="22"/>
        </w:rPr>
        <w:t xml:space="preserve">typically considered </w:t>
      </w:r>
      <w:r w:rsidRPr="004854E9">
        <w:rPr>
          <w:szCs w:val="22"/>
        </w:rPr>
        <w:t xml:space="preserve">an indicator of impulsive decision-making behaviour, </w:t>
      </w:r>
      <w:r w:rsidRPr="00C40F47">
        <w:rPr>
          <w:color w:val="000000"/>
          <w:szCs w:val="22"/>
        </w:rPr>
        <w:t xml:space="preserve">which has been linked to increased levels of anxiety and stress </w:t>
      </w:r>
      <w:sdt>
        <w:sdtPr>
          <w:rPr>
            <w:color w:val="000000"/>
            <w:szCs w:val="22"/>
          </w:rPr>
          <w:tag w:val="MENDELEY_CITATION_v3_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"/>
          <w:id w:val="-2110810214"/>
          <w:placeholder>
            <w:docPart w:val="BA7C8A2B9A94C84B957B471B05E913FD"/>
          </w:placeholder>
        </w:sdtPr>
        <w:sdtContent>
          <w:r w:rsidR="00EC7CE1" w:rsidRPr="00EC7CE1">
            <w:rPr>
              <w:color w:val="000000"/>
              <w:szCs w:val="22"/>
            </w:rPr>
            <w:t>(</w:t>
          </w:r>
          <w:proofErr w:type="spellStart"/>
          <w:r w:rsidR="00EC7CE1" w:rsidRPr="00EC7CE1">
            <w:rPr>
              <w:color w:val="000000"/>
              <w:szCs w:val="22"/>
            </w:rPr>
            <w:t>Amlung</w:t>
          </w:r>
          <w:proofErr w:type="spellEnd"/>
          <w:r w:rsidR="00EC7CE1" w:rsidRPr="00EC7CE1">
            <w:rPr>
              <w:color w:val="000000"/>
              <w:szCs w:val="22"/>
            </w:rPr>
            <w:t xml:space="preserve"> et al., 2019)</w:t>
          </w:r>
        </w:sdtContent>
      </w:sdt>
      <w:r w:rsidRPr="00C40F47">
        <w:rPr>
          <w:color w:val="000000"/>
          <w:szCs w:val="22"/>
        </w:rPr>
        <w:t>. For example, individuals with anxiety disorders often show a preference for immediate rewards and prefer instant gratification, potentially as a strategy to mitigate their heightened state of arousal</w:t>
      </w:r>
      <w:r>
        <w:rPr>
          <w:color w:val="000000"/>
          <w:szCs w:val="22"/>
        </w:rPr>
        <w:t xml:space="preserve"> </w:t>
      </w:r>
      <w:r w:rsidRPr="00C40F47">
        <w:rPr>
          <w:color w:val="000000"/>
          <w:szCs w:val="22"/>
        </w:rPr>
        <w:t xml:space="preserve">. Intolerance of uncertainty (IU) describes a tendency to perceive ambiguous situations as threatening and inherently negative, stemming from aberrant beliefs about the uncertainty and its consequent outcomes </w:t>
      </w:r>
      <w:sdt>
        <w:sdtPr>
          <w:rPr>
            <w:color w:val="000000"/>
            <w:szCs w:val="22"/>
          </w:rPr>
          <w:tag w:val="MENDELEY_CITATION_v3_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"/>
          <w:id w:val="934876122"/>
          <w:placeholder>
            <w:docPart w:val="5848EFD39BCF3F49BCE26FF0D55150E8"/>
          </w:placeholder>
        </w:sdtPr>
        <w:sdtContent>
          <w:r w:rsidR="00EC7CE1" w:rsidRPr="00EC7CE1">
            <w:rPr>
              <w:color w:val="000000"/>
              <w:szCs w:val="22"/>
            </w:rPr>
            <w:t>(</w:t>
          </w:r>
          <w:proofErr w:type="spellStart"/>
          <w:r w:rsidR="00EC7CE1" w:rsidRPr="00EC7CE1">
            <w:rPr>
              <w:color w:val="000000"/>
              <w:szCs w:val="22"/>
            </w:rPr>
            <w:t>Freeston</w:t>
          </w:r>
          <w:proofErr w:type="spellEnd"/>
          <w:r w:rsidR="00EC7CE1" w:rsidRPr="00EC7CE1">
            <w:rPr>
              <w:color w:val="000000"/>
              <w:szCs w:val="22"/>
            </w:rPr>
            <w:t xml:space="preserve"> et al., 1994)</w:t>
          </w:r>
        </w:sdtContent>
      </w:sdt>
      <w:r w:rsidRPr="00C40F47">
        <w:rPr>
          <w:color w:val="000000"/>
          <w:szCs w:val="22"/>
        </w:rPr>
        <w:t xml:space="preserve">. These beliefs include the notions that uncertainty is unjust or reflects poorly on one's character </w:t>
      </w:r>
      <w:sdt>
        <w:sdtPr>
          <w:rPr>
            <w:color w:val="000000"/>
            <w:szCs w:val="22"/>
          </w:rPr>
          <w:tag w:val="MENDELEY_CITATION_v3_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"/>
          <w:id w:val="1689410128"/>
          <w:placeholder>
            <w:docPart w:val="0DCF109D29FC7044A38DBE1ED15F0C99"/>
          </w:placeholder>
        </w:sdtPr>
        <w:sdtContent>
          <w:r w:rsidR="00EC7CE1">
            <w:rPr>
              <w:rFonts w:eastAsia="Times New Roman"/>
            </w:rPr>
            <w:t>(Buhr &amp; Dugas, 2002)</w:t>
          </w:r>
        </w:sdtContent>
      </w:sdt>
      <w:r w:rsidRPr="00C40F47">
        <w:rPr>
          <w:color w:val="000000"/>
          <w:szCs w:val="22"/>
        </w:rPr>
        <w:t xml:space="preserve"> and consequently precipitates feelings of distress and anxiety. As such, IU is viewed as a </w:t>
      </w:r>
      <w:r w:rsidRPr="00C40F47">
        <w:rPr>
          <w:color w:val="000000"/>
          <w:szCs w:val="22"/>
        </w:rPr>
        <w:lastRenderedPageBreak/>
        <w:t xml:space="preserve">transdiagnostic factor across several anxiety disorders </w:t>
      </w:r>
      <w:sdt>
        <w:sdtPr>
          <w:rPr>
            <w:color w:val="000000"/>
            <w:szCs w:val="22"/>
          </w:rPr>
          <w:tag w:val="MENDELEY_CITATION_v3_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"/>
          <w:id w:val="-33969701"/>
          <w:placeholder>
            <w:docPart w:val="98C7F456F78B5240AF530959B8ED1D01"/>
          </w:placeholder>
        </w:sdtPr>
        <w:sdtContent>
          <w:r w:rsidR="00EC7CE1">
            <w:rPr>
              <w:rFonts w:eastAsia="Times New Roman"/>
            </w:rPr>
            <w:t>(Mahoney &amp; McEvoy, 2012; McEvoy &amp; Mahoney, 2012)</w:t>
          </w:r>
        </w:sdtContent>
      </w:sdt>
      <w:r w:rsidRPr="00C40F47">
        <w:rPr>
          <w:color w:val="000000"/>
          <w:szCs w:val="22"/>
        </w:rPr>
        <w:t>. The anxiety experienced in uncertain circumstances might trigger maladaptive behaviours, such as impulsive decision-making. In FNSD, IU could represent a mechanism that affects performance in the DD task, in keeping with the theories of attentional bias within FNSD.</w:t>
      </w:r>
    </w:p>
    <w:p w14:paraId="19D1BC28" w14:textId="2D4CBF23" w:rsidR="0092671A" w:rsidRPr="000F5A70" w:rsidRDefault="0092671A" w:rsidP="00A82820">
      <w:pPr>
        <w:rPr>
          <w:szCs w:val="22"/>
        </w:rPr>
      </w:pPr>
      <w:r w:rsidRPr="004F0098">
        <w:rPr>
          <w:szCs w:val="22"/>
        </w:rPr>
        <w:t xml:space="preserve">Theories on emotion regulation </w:t>
      </w:r>
      <w:r>
        <w:rPr>
          <w:szCs w:val="22"/>
        </w:rPr>
        <w:t>suggest</w:t>
      </w:r>
      <w:r w:rsidRPr="004F0098">
        <w:rPr>
          <w:szCs w:val="22"/>
        </w:rPr>
        <w:t xml:space="preserve"> that individuals with poorly regulated emotions tend to have adapted behaviours in a bid to alleviate or down-regulate their emotions.</w:t>
      </w:r>
      <w:r>
        <w:rPr>
          <w:szCs w:val="22"/>
        </w:rPr>
        <w:t xml:space="preserve"> </w:t>
      </w:r>
      <w:r w:rsidRPr="004F0098">
        <w:rPr>
          <w:szCs w:val="22"/>
        </w:rPr>
        <w:t xml:space="preserve">Research on the impact of emotions on discounting rewards </w:t>
      </w:r>
      <w:r>
        <w:rPr>
          <w:szCs w:val="22"/>
        </w:rPr>
        <w:t>has</w:t>
      </w:r>
      <w:r w:rsidRPr="004F0098">
        <w:rPr>
          <w:szCs w:val="22"/>
        </w:rPr>
        <w:t xml:space="preserve"> shown a significant correlation </w:t>
      </w:r>
      <w:r>
        <w:rPr>
          <w:szCs w:val="22"/>
        </w:rPr>
        <w:t>between</w:t>
      </w:r>
      <w:r w:rsidRPr="004F0098">
        <w:rPr>
          <w:szCs w:val="22"/>
        </w:rPr>
        <w:t xml:space="preserve"> negative emotional arousal (such as feelings of stress) and higher rates of delay discounting </w:t>
      </w:r>
      <w:sdt>
        <w:sdtPr>
          <w:rPr>
            <w:color w:val="000000"/>
            <w:szCs w:val="22"/>
          </w:rPr>
          <w:tag w:val="MENDELEY_CITATION_v3_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"/>
          <w:id w:val="1372113160"/>
          <w:placeholder>
            <w:docPart w:val="BA7C8A2B9A94C84B957B471B05E913FD"/>
          </w:placeholder>
        </w:sdtPr>
        <w:sdtContent>
          <w:r w:rsidR="00EC7CE1" w:rsidRPr="00EC7CE1">
            <w:rPr>
              <w:color w:val="000000"/>
              <w:szCs w:val="22"/>
            </w:rPr>
            <w:t xml:space="preserve">(Fields et al., 2014; </w:t>
          </w:r>
          <w:proofErr w:type="spellStart"/>
          <w:r w:rsidR="00EC7CE1" w:rsidRPr="00EC7CE1">
            <w:rPr>
              <w:color w:val="000000"/>
              <w:szCs w:val="22"/>
            </w:rPr>
            <w:t>Lempert</w:t>
          </w:r>
          <w:proofErr w:type="spellEnd"/>
          <w:r w:rsidR="00EC7CE1" w:rsidRPr="00EC7CE1">
            <w:rPr>
              <w:color w:val="000000"/>
              <w:szCs w:val="22"/>
            </w:rPr>
            <w:t xml:space="preserve"> et al., 2012)</w:t>
          </w:r>
        </w:sdtContent>
      </w:sdt>
      <w:r w:rsidRPr="004F0098">
        <w:rPr>
          <w:szCs w:val="22"/>
        </w:rPr>
        <w:t>.</w:t>
      </w:r>
      <w:r>
        <w:rPr>
          <w:szCs w:val="22"/>
        </w:rPr>
        <w:t xml:space="preserve"> </w:t>
      </w:r>
      <w:sdt>
        <w:sdtPr>
          <w:rPr>
            <w:color w:val="000000"/>
            <w:szCs w:val="22"/>
          </w:rPr>
          <w:tag w:val="MENDELEY_CITATION_v3_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"/>
          <w:id w:val="1432860230"/>
          <w:placeholder>
            <w:docPart w:val="BA7C8A2B9A94C84B957B471B05E913FD"/>
          </w:placeholder>
        </w:sdtPr>
        <w:sdtContent>
          <w:r w:rsidR="00EC7CE1" w:rsidRPr="00EC7CE1">
            <w:rPr>
              <w:color w:val="000000"/>
              <w:szCs w:val="22"/>
            </w:rPr>
            <w:t>Liu et al. (2013)</w:t>
          </w:r>
        </w:sdtContent>
      </w:sdt>
      <w:r w:rsidRPr="004F0098">
        <w:rPr>
          <w:szCs w:val="22"/>
        </w:rPr>
        <w:t xml:space="preserve"> found that positive emotions</w:t>
      </w:r>
      <w:r w:rsidR="00B4315D">
        <w:rPr>
          <w:szCs w:val="22"/>
        </w:rPr>
        <w:t xml:space="preserve"> </w:t>
      </w:r>
      <w:r>
        <w:rPr>
          <w:szCs w:val="22"/>
        </w:rPr>
        <w:t>inclined individuals</w:t>
      </w:r>
      <w:r w:rsidRPr="004F0098">
        <w:rPr>
          <w:szCs w:val="22"/>
        </w:rPr>
        <w:t xml:space="preserve"> toward selecting the larger delayed rewards</w:t>
      </w:r>
      <w:r>
        <w:rPr>
          <w:szCs w:val="22"/>
        </w:rPr>
        <w:t>,</w:t>
      </w:r>
      <w:r w:rsidRPr="004F0098">
        <w:rPr>
          <w:szCs w:val="22"/>
        </w:rPr>
        <w:t xml:space="preserve"> while the induction of negative emotions</w:t>
      </w:r>
      <w:r>
        <w:rPr>
          <w:szCs w:val="22"/>
        </w:rPr>
        <w:t xml:space="preserve"> (by imagi</w:t>
      </w:r>
      <w:r w:rsidR="00B4315D">
        <w:rPr>
          <w:szCs w:val="22"/>
        </w:rPr>
        <w:t>ni</w:t>
      </w:r>
      <w:r>
        <w:rPr>
          <w:szCs w:val="22"/>
        </w:rPr>
        <w:t xml:space="preserve">ng an </w:t>
      </w:r>
      <w:r w:rsidRPr="004F0098">
        <w:rPr>
          <w:szCs w:val="22"/>
        </w:rPr>
        <w:t>event defined as an experience they would prefer to avoid</w:t>
      </w:r>
      <w:r>
        <w:rPr>
          <w:szCs w:val="22"/>
        </w:rPr>
        <w:t>,</w:t>
      </w:r>
      <w:r w:rsidRPr="004F0098">
        <w:rPr>
          <w:szCs w:val="22"/>
        </w:rPr>
        <w:t xml:space="preserve"> e.g.,</w:t>
      </w:r>
      <w:r>
        <w:rPr>
          <w:szCs w:val="22"/>
        </w:rPr>
        <w:t xml:space="preserve"> becoming</w:t>
      </w:r>
      <w:r w:rsidRPr="004F0098">
        <w:rPr>
          <w:szCs w:val="22"/>
        </w:rPr>
        <w:t xml:space="preserve"> ill, fail</w:t>
      </w:r>
      <w:r>
        <w:rPr>
          <w:szCs w:val="22"/>
        </w:rPr>
        <w:t>ing an</w:t>
      </w:r>
      <w:r w:rsidRPr="004F0098">
        <w:rPr>
          <w:szCs w:val="22"/>
        </w:rPr>
        <w:t xml:space="preserve"> exam) made individuals choose smaller but more immediate rewards.</w:t>
      </w:r>
      <w:r>
        <w:rPr>
          <w:szCs w:val="22"/>
        </w:rPr>
        <w:t xml:space="preserve"> </w:t>
      </w:r>
      <w:r w:rsidRPr="004F0098">
        <w:rPr>
          <w:szCs w:val="22"/>
        </w:rPr>
        <w:t>Emotional dysregulation could</w:t>
      </w:r>
      <w:r>
        <w:rPr>
          <w:szCs w:val="22"/>
        </w:rPr>
        <w:t>,</w:t>
      </w:r>
      <w:r w:rsidRPr="004F0098">
        <w:rPr>
          <w:szCs w:val="22"/>
        </w:rPr>
        <w:t xml:space="preserve"> therefore</w:t>
      </w:r>
      <w:r>
        <w:rPr>
          <w:szCs w:val="22"/>
        </w:rPr>
        <w:t>,</w:t>
      </w:r>
      <w:r w:rsidRPr="004F0098">
        <w:rPr>
          <w:szCs w:val="22"/>
        </w:rPr>
        <w:t xml:space="preserve"> also moderate this </w:t>
      </w:r>
      <w:r>
        <w:rPr>
          <w:szCs w:val="22"/>
        </w:rPr>
        <w:t>proposed</w:t>
      </w:r>
      <w:r w:rsidRPr="004F0098">
        <w:rPr>
          <w:szCs w:val="22"/>
        </w:rPr>
        <w:t xml:space="preserve"> framework for DD in patients with FNSD. </w:t>
      </w:r>
      <w:sdt>
        <w:sdtPr>
          <w:rPr>
            <w:color w:val="000000"/>
            <w:szCs w:val="22"/>
          </w:rPr>
          <w:tag w:val="MENDELEY_CITATION_v3_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"/>
          <w:id w:val="-182828120"/>
          <w:placeholder>
            <w:docPart w:val="ED2894A72CB6FF44B047883162B4CE7F"/>
          </w:placeholder>
        </w:sdtPr>
        <w:sdtContent>
          <w:r w:rsidR="00EC7CE1" w:rsidRPr="00EC7CE1">
            <w:rPr>
              <w:color w:val="000000"/>
              <w:szCs w:val="22"/>
            </w:rPr>
            <w:t>(</w:t>
          </w:r>
          <w:proofErr w:type="spellStart"/>
          <w:r w:rsidR="00EC7CE1" w:rsidRPr="00EC7CE1">
            <w:rPr>
              <w:color w:val="000000"/>
              <w:szCs w:val="22"/>
            </w:rPr>
            <w:t>Malesza</w:t>
          </w:r>
          <w:proofErr w:type="spellEnd"/>
          <w:r w:rsidR="00EC7CE1" w:rsidRPr="00EC7CE1">
            <w:rPr>
              <w:color w:val="000000"/>
              <w:szCs w:val="22"/>
            </w:rPr>
            <w:t>, 2019a, 2019b)</w:t>
          </w:r>
        </w:sdtContent>
      </w:sdt>
      <w:r w:rsidRPr="004F0098">
        <w:rPr>
          <w:szCs w:val="22"/>
        </w:rPr>
        <w:t xml:space="preserve">. </w:t>
      </w:r>
      <w:r w:rsidRPr="005B11D8">
        <w:rPr>
          <w:szCs w:val="22"/>
        </w:rPr>
        <w:t>Research on decision-making suggests that individuals have more difficulty delaying gratification during periods of acute distress.</w:t>
      </w:r>
      <w:r>
        <w:rPr>
          <w:szCs w:val="22"/>
        </w:rPr>
        <w:t xml:space="preserve"> </w:t>
      </w:r>
      <w:r w:rsidRPr="005B11D8">
        <w:rPr>
          <w:szCs w:val="22"/>
        </w:rPr>
        <w:t>Delay of gratification involves forgoing immediate and transient sources of comfort for more delayed and meaningful outcomes.</w:t>
      </w:r>
      <w:r>
        <w:rPr>
          <w:szCs w:val="22"/>
        </w:rPr>
        <w:t xml:space="preserve"> </w:t>
      </w:r>
      <w:r w:rsidRPr="005B11D8">
        <w:rPr>
          <w:szCs w:val="22"/>
        </w:rPr>
        <w:t xml:space="preserve">Regarding the possible relationship between stress and delay discounting, it has been suggested that experiencing stress could disrupt cognitive functioning, especially the processes linked to self-regulation, such as consistent attention or behavioural restraint; </w:t>
      </w:r>
      <w:proofErr w:type="spellStart"/>
      <w:r w:rsidRPr="005B11D8">
        <w:rPr>
          <w:szCs w:val="22"/>
        </w:rPr>
        <w:t>Lempert</w:t>
      </w:r>
      <w:proofErr w:type="spellEnd"/>
      <w:r w:rsidRPr="005B11D8">
        <w:rPr>
          <w:szCs w:val="22"/>
        </w:rPr>
        <w:t xml:space="preserve"> et al., 2012; </w:t>
      </w:r>
      <w:proofErr w:type="spellStart"/>
      <w:r w:rsidRPr="005B11D8">
        <w:rPr>
          <w:szCs w:val="22"/>
        </w:rPr>
        <w:t>Muraven</w:t>
      </w:r>
      <w:proofErr w:type="spellEnd"/>
      <w:r w:rsidRPr="005B11D8">
        <w:rPr>
          <w:szCs w:val="22"/>
        </w:rPr>
        <w:t xml:space="preserve"> &amp; Baumeister, 2000; Worthy, Byrne, &amp; Fields, 2014).</w:t>
      </w:r>
    </w:p>
    <w:p w14:paraId="1E2C0AD2" w14:textId="77777777" w:rsidR="0092671A" w:rsidRPr="003401AE" w:rsidRDefault="0092671A" w:rsidP="006B02D0">
      <w:pPr>
        <w:rPr>
          <w:szCs w:val="22"/>
        </w:rPr>
      </w:pPr>
    </w:p>
    <w:p w14:paraId="1AA7EE49" w14:textId="0255311B" w:rsidR="0092671A" w:rsidRPr="0017043A" w:rsidRDefault="0092671A" w:rsidP="006B02D0">
      <w:pPr>
        <w:rPr>
          <w:szCs w:val="22"/>
        </w:rPr>
      </w:pPr>
      <w:r>
        <w:rPr>
          <w:szCs w:val="22"/>
        </w:rPr>
        <w:t>T</w:t>
      </w:r>
      <w:r w:rsidRPr="003401AE">
        <w:rPr>
          <w:szCs w:val="22"/>
        </w:rPr>
        <w:t>hese factors are also addressed therapeutically.</w:t>
      </w:r>
      <w:r>
        <w:rPr>
          <w:szCs w:val="22"/>
        </w:rPr>
        <w:t xml:space="preserve"> </w:t>
      </w:r>
      <w:r w:rsidRPr="003401AE">
        <w:rPr>
          <w:szCs w:val="22"/>
        </w:rPr>
        <w:t xml:space="preserve">Psychotherapeutic therapies such as Cognitive Behavioural Therapy are designed to identify maladaptive thought patterns and behaviours and implement strategies to alter them </w:t>
      </w:r>
      <w:sdt>
        <w:sdtPr>
          <w:rPr>
            <w:szCs w:val="22"/>
          </w:rPr>
          <w:tag w:val="MENDELEY_CITATION_v3_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"/>
          <w:id w:val="-422190787"/>
          <w:placeholder>
            <w:docPart w:val="BA7C8A2B9A94C84B957B471B05E913FD"/>
          </w:placeholder>
        </w:sdtPr>
        <w:sdtContent>
          <w:r w:rsidR="00EC7CE1">
            <w:rPr>
              <w:rFonts w:eastAsia="Times New Roman"/>
            </w:rPr>
            <w:t>(Hayes &amp; Hofmann, 2017)</w:t>
          </w:r>
        </w:sdtContent>
      </w:sdt>
      <w:r w:rsidRPr="003401AE">
        <w:rPr>
          <w:szCs w:val="22"/>
        </w:rPr>
        <w:t>.</w:t>
      </w:r>
      <w:r>
        <w:rPr>
          <w:szCs w:val="22"/>
        </w:rPr>
        <w:t xml:space="preserve"> </w:t>
      </w:r>
      <w:r w:rsidRPr="003401AE">
        <w:rPr>
          <w:szCs w:val="22"/>
        </w:rPr>
        <w:t>Grounding techniques for introspection and prospection slow down decision-making processes and help patients consider long-term consequences over immediate rewards.</w:t>
      </w:r>
      <w:r>
        <w:rPr>
          <w:szCs w:val="22"/>
        </w:rPr>
        <w:t xml:space="preserve"> </w:t>
      </w:r>
      <w:r w:rsidRPr="003401AE">
        <w:rPr>
          <w:szCs w:val="22"/>
        </w:rPr>
        <w:t xml:space="preserve">For stress and anxiety, CBT's efficacy is well-documented, with skills such as mindfulness, relaxation techniques, and cognitive restructuring reducing symptoms and perhaps leading to more deliberative decision-making </w:t>
      </w:r>
      <w:sdt>
        <w:sdtPr>
          <w:rPr>
            <w:color w:val="000000"/>
            <w:szCs w:val="22"/>
          </w:rPr>
          <w:tag w:val="MENDELEY_CITATION_v3_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"/>
          <w:id w:val="1243062320"/>
          <w:placeholder>
            <w:docPart w:val="BA7C8A2B9A94C84B957B471B05E913FD"/>
          </w:placeholder>
        </w:sdtPr>
        <w:sdtContent>
          <w:r w:rsidR="00EC7CE1" w:rsidRPr="00EC7CE1">
            <w:rPr>
              <w:color w:val="000000"/>
              <w:szCs w:val="22"/>
            </w:rPr>
            <w:t>(Goldstein et al., 2020a; Richardson et al., 2018)</w:t>
          </w:r>
        </w:sdtContent>
      </w:sdt>
      <w:r>
        <w:rPr>
          <w:color w:val="000000"/>
          <w:szCs w:val="22"/>
        </w:rPr>
        <w:t xml:space="preserve">. </w:t>
      </w:r>
      <w:r>
        <w:rPr>
          <w:szCs w:val="22"/>
        </w:rPr>
        <w:t>Therefore, the</w:t>
      </w:r>
      <w:r w:rsidRPr="0017043A">
        <w:rPr>
          <w:szCs w:val="22"/>
        </w:rPr>
        <w:t xml:space="preserve"> delay discounting</w:t>
      </w:r>
      <w:r>
        <w:rPr>
          <w:szCs w:val="22"/>
        </w:rPr>
        <w:t xml:space="preserve"> estimates</w:t>
      </w:r>
      <w:r w:rsidRPr="0017043A">
        <w:rPr>
          <w:szCs w:val="22"/>
        </w:rPr>
        <w:t xml:space="preserve"> </w:t>
      </w:r>
      <w:r>
        <w:rPr>
          <w:szCs w:val="22"/>
        </w:rPr>
        <w:t xml:space="preserve">in FNSD </w:t>
      </w:r>
      <w:r w:rsidRPr="0017043A">
        <w:rPr>
          <w:szCs w:val="22"/>
        </w:rPr>
        <w:t>may be impacted by current mood</w:t>
      </w:r>
      <w:r>
        <w:rPr>
          <w:szCs w:val="22"/>
        </w:rPr>
        <w:t>, acute stress</w:t>
      </w:r>
      <w:r w:rsidRPr="0017043A">
        <w:rPr>
          <w:szCs w:val="22"/>
        </w:rPr>
        <w:t xml:space="preserve">, </w:t>
      </w:r>
      <w:r>
        <w:rPr>
          <w:szCs w:val="22"/>
        </w:rPr>
        <w:t xml:space="preserve">generalised anxiety or </w:t>
      </w:r>
      <w:r w:rsidRPr="0017043A">
        <w:rPr>
          <w:szCs w:val="22"/>
        </w:rPr>
        <w:t xml:space="preserve">long-term </w:t>
      </w:r>
      <w:r>
        <w:rPr>
          <w:szCs w:val="22"/>
        </w:rPr>
        <w:lastRenderedPageBreak/>
        <w:t>arousal</w:t>
      </w:r>
      <w:r w:rsidRPr="0017043A">
        <w:rPr>
          <w:szCs w:val="22"/>
        </w:rPr>
        <w:t xml:space="preserve"> or distress</w:t>
      </w:r>
      <w:r>
        <w:rPr>
          <w:szCs w:val="22"/>
        </w:rPr>
        <w:t xml:space="preserve">, </w:t>
      </w:r>
      <w:r w:rsidRPr="0017043A">
        <w:rPr>
          <w:szCs w:val="22"/>
        </w:rPr>
        <w:t xml:space="preserve">and possibly reduced by </w:t>
      </w:r>
      <w:r>
        <w:rPr>
          <w:szCs w:val="22"/>
        </w:rPr>
        <w:t xml:space="preserve">the </w:t>
      </w:r>
      <w:r w:rsidRPr="0017043A">
        <w:rPr>
          <w:szCs w:val="22"/>
        </w:rPr>
        <w:t xml:space="preserve">therapeutic intervention </w:t>
      </w:r>
      <w:sdt>
        <w:sdtPr>
          <w:rPr>
            <w:color w:val="000000"/>
            <w:szCs w:val="22"/>
          </w:rPr>
          <w:tag w:val="MENDELEY_CITATION_v3_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"/>
          <w:id w:val="-1814713055"/>
          <w:placeholder>
            <w:docPart w:val="BA7C8A2B9A94C84B957B471B05E913FD"/>
          </w:placeholder>
        </w:sdtPr>
        <w:sdtContent>
          <w:r w:rsidR="00EC7CE1" w:rsidRPr="00EC7CE1">
            <w:rPr>
              <w:color w:val="000000"/>
              <w:szCs w:val="22"/>
            </w:rPr>
            <w:t>(Bailey et al., 2021)</w:t>
          </w:r>
        </w:sdtContent>
      </w:sdt>
      <w:r>
        <w:rPr>
          <w:szCs w:val="22"/>
        </w:rPr>
        <w:t>.</w:t>
      </w:r>
    </w:p>
    <w:p w14:paraId="376D31C0" w14:textId="6FD20834" w:rsidR="0092671A" w:rsidRPr="0017043A" w:rsidRDefault="0092671A" w:rsidP="006B02D0">
      <w:pPr>
        <w:rPr>
          <w:szCs w:val="22"/>
        </w:rPr>
      </w:pPr>
      <w:r w:rsidRPr="0017043A">
        <w:rPr>
          <w:szCs w:val="22"/>
        </w:rPr>
        <w:t xml:space="preserve">Given the novel use of delay discounting in FNSD, </w:t>
      </w:r>
      <w:r>
        <w:rPr>
          <w:szCs w:val="22"/>
        </w:rPr>
        <w:t>no</w:t>
      </w:r>
      <w:r w:rsidRPr="0017043A">
        <w:rPr>
          <w:szCs w:val="22"/>
        </w:rPr>
        <w:t xml:space="preserve"> previous estimates </w:t>
      </w:r>
      <w:r>
        <w:rPr>
          <w:szCs w:val="22"/>
        </w:rPr>
        <w:t>for</w:t>
      </w:r>
      <w:r w:rsidRPr="0017043A">
        <w:rPr>
          <w:szCs w:val="22"/>
        </w:rPr>
        <w:t xml:space="preserve"> comparison</w:t>
      </w:r>
      <w:r>
        <w:rPr>
          <w:szCs w:val="22"/>
        </w:rPr>
        <w:t xml:space="preserve"> </w:t>
      </w:r>
      <w:r w:rsidRPr="0017043A">
        <w:rPr>
          <w:szCs w:val="22"/>
        </w:rPr>
        <w:t>o</w:t>
      </w:r>
      <w:r>
        <w:rPr>
          <w:szCs w:val="22"/>
        </w:rPr>
        <w:t>r</w:t>
      </w:r>
      <w:r w:rsidRPr="0017043A">
        <w:rPr>
          <w:szCs w:val="22"/>
        </w:rPr>
        <w:t xml:space="preserve"> suitable </w:t>
      </w:r>
      <w:r>
        <w:rPr>
          <w:szCs w:val="22"/>
        </w:rPr>
        <w:t>inferences exist</w:t>
      </w:r>
      <w:r w:rsidRPr="0017043A">
        <w:rPr>
          <w:szCs w:val="22"/>
        </w:rPr>
        <w:t>.</w:t>
      </w:r>
      <w:r>
        <w:rPr>
          <w:szCs w:val="22"/>
        </w:rPr>
        <w:t xml:space="preserve"> </w:t>
      </w:r>
      <w:r w:rsidRPr="0017043A">
        <w:rPr>
          <w:szCs w:val="22"/>
        </w:rPr>
        <w:t>In addition, little research has yet focused on the mechanisms underlying delay discounting</w:t>
      </w:r>
      <w:r>
        <w:rPr>
          <w:szCs w:val="22"/>
        </w:rPr>
        <w:t xml:space="preserve"> </w:t>
      </w:r>
      <w:sdt>
        <w:sdtPr>
          <w:rPr>
            <w:szCs w:val="22"/>
          </w:rPr>
          <w:tag w:val="MENDELEY_CITATION_v3_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"/>
          <w:id w:val="663906793"/>
          <w:placeholder>
            <w:docPart w:val="BA7C8A2B9A94C84B957B471B05E913FD"/>
          </w:placeholder>
        </w:sdtPr>
        <w:sdtContent>
          <w:r w:rsidR="00EC7CE1">
            <w:rPr>
              <w:rFonts w:eastAsia="Times New Roman"/>
            </w:rPr>
            <w:t>(Frost &amp; McNaughton, 2017)</w:t>
          </w:r>
        </w:sdtContent>
      </w:sdt>
      <w:r w:rsidRPr="0017043A">
        <w:rPr>
          <w:szCs w:val="22"/>
        </w:rPr>
        <w:t>.</w:t>
      </w:r>
      <w:r>
        <w:rPr>
          <w:szCs w:val="22"/>
        </w:rPr>
        <w:t xml:space="preserve"> </w:t>
      </w:r>
      <w:r w:rsidRPr="0017043A">
        <w:rPr>
          <w:szCs w:val="22"/>
        </w:rPr>
        <w:t xml:space="preserve">However, </w:t>
      </w:r>
      <w:r>
        <w:rPr>
          <w:szCs w:val="22"/>
        </w:rPr>
        <w:t>evidence suggests</w:t>
      </w:r>
      <w:r w:rsidRPr="0017043A">
        <w:rPr>
          <w:szCs w:val="22"/>
        </w:rPr>
        <w:t xml:space="preserve"> that delay discounting is at least somewhat malleable</w:t>
      </w:r>
      <w:r>
        <w:rPr>
          <w:szCs w:val="22"/>
        </w:rPr>
        <w:t xml:space="preserve">. Therefore the proposed processes leading to steeper discounting and decision-making in FNSD could be assessed and perhaps targeted for treatment. Further study would be essential to focus on elucidating </w:t>
      </w:r>
      <w:r w:rsidRPr="0017043A">
        <w:rPr>
          <w:szCs w:val="22"/>
        </w:rPr>
        <w:t xml:space="preserve">the psychological and neurobiological mechanisms underlying delay discounting in </w:t>
      </w:r>
      <w:r>
        <w:rPr>
          <w:szCs w:val="22"/>
        </w:rPr>
        <w:t>FNSD</w:t>
      </w:r>
      <w:r w:rsidRPr="0017043A">
        <w:rPr>
          <w:szCs w:val="22"/>
        </w:rPr>
        <w:t xml:space="preserve"> and </w:t>
      </w:r>
      <w:r>
        <w:rPr>
          <w:szCs w:val="22"/>
        </w:rPr>
        <w:t xml:space="preserve">the </w:t>
      </w:r>
      <w:r w:rsidRPr="0017043A">
        <w:rPr>
          <w:szCs w:val="22"/>
        </w:rPr>
        <w:t>variables that can impact those mechanisms.</w:t>
      </w:r>
      <w:r>
        <w:rPr>
          <w:szCs w:val="22"/>
        </w:rPr>
        <w:t xml:space="preserve"> </w:t>
      </w:r>
    </w:p>
    <w:p w14:paraId="5421586E" w14:textId="0D80F9E1" w:rsidR="0092671A" w:rsidRPr="00E45A55" w:rsidRDefault="0092671A" w:rsidP="00524857">
      <w:pPr>
        <w:rPr>
          <w:szCs w:val="22"/>
        </w:rPr>
      </w:pPr>
      <w:r w:rsidRPr="0017043A">
        <w:rPr>
          <w:szCs w:val="22"/>
        </w:rPr>
        <w:t xml:space="preserve">In the current study, FNSD within-group analysis did not detect any sustained or significant associations with other measures of emotion dysregulation (DERS), reported levels of distress (based on </w:t>
      </w:r>
      <w:r>
        <w:rPr>
          <w:szCs w:val="22"/>
        </w:rPr>
        <w:t>generalised</w:t>
      </w:r>
      <w:r w:rsidRPr="0017043A">
        <w:rPr>
          <w:szCs w:val="22"/>
        </w:rPr>
        <w:t xml:space="preserve"> anxiety and current mood)</w:t>
      </w:r>
      <w:r>
        <w:rPr>
          <w:szCs w:val="22"/>
        </w:rPr>
        <w:t>,</w:t>
      </w:r>
      <w:r w:rsidRPr="0017043A">
        <w:rPr>
          <w:szCs w:val="22"/>
        </w:rPr>
        <w:t xml:space="preserve"> nor with the results from </w:t>
      </w:r>
      <w:r>
        <w:rPr>
          <w:szCs w:val="22"/>
        </w:rPr>
        <w:t xml:space="preserve">the </w:t>
      </w:r>
      <w:r w:rsidRPr="0017043A">
        <w:rPr>
          <w:szCs w:val="22"/>
        </w:rPr>
        <w:t>NAP task</w:t>
      </w:r>
      <w:r>
        <w:rPr>
          <w:szCs w:val="22"/>
        </w:rPr>
        <w:t>,</w:t>
      </w:r>
      <w:r w:rsidRPr="0017043A">
        <w:rPr>
          <w:szCs w:val="22"/>
        </w:rPr>
        <w:t xml:space="preserve"> which inferred abnormal emotional processing.</w:t>
      </w:r>
      <w:r>
        <w:rPr>
          <w:szCs w:val="22"/>
        </w:rPr>
        <w:t xml:space="preserve"> D</w:t>
      </w:r>
      <w:r w:rsidRPr="0017043A">
        <w:rPr>
          <w:szCs w:val="22"/>
        </w:rPr>
        <w:t xml:space="preserve">elay discounting </w:t>
      </w:r>
      <w:r>
        <w:rPr>
          <w:szCs w:val="22"/>
        </w:rPr>
        <w:t xml:space="preserve">estimates </w:t>
      </w:r>
      <w:r w:rsidRPr="0017043A">
        <w:rPr>
          <w:szCs w:val="22"/>
        </w:rPr>
        <w:t xml:space="preserve">were only modestly related to </w:t>
      </w:r>
      <w:r>
        <w:rPr>
          <w:szCs w:val="22"/>
        </w:rPr>
        <w:t>generalised</w:t>
      </w:r>
      <w:r w:rsidRPr="0017043A">
        <w:rPr>
          <w:szCs w:val="22"/>
        </w:rPr>
        <w:t xml:space="preserve"> anxiety scores</w:t>
      </w:r>
      <w:r>
        <w:rPr>
          <w:szCs w:val="22"/>
        </w:rPr>
        <w:t>,</w:t>
      </w:r>
      <w:r w:rsidRPr="0017043A">
        <w:rPr>
          <w:szCs w:val="22"/>
        </w:rPr>
        <w:t xml:space="preserve"> and this association was not sustained when adjusting for relevant demographic factors</w:t>
      </w:r>
      <w:r>
        <w:rPr>
          <w:szCs w:val="22"/>
        </w:rPr>
        <w:t>,</w:t>
      </w:r>
      <w:r w:rsidRPr="0017043A">
        <w:rPr>
          <w:szCs w:val="22"/>
        </w:rPr>
        <w:t xml:space="preserve"> including gender</w:t>
      </w:r>
      <w:r>
        <w:rPr>
          <w:szCs w:val="22"/>
        </w:rPr>
        <w:t>,</w:t>
      </w:r>
      <w:r w:rsidRPr="0017043A">
        <w:rPr>
          <w:szCs w:val="22"/>
        </w:rPr>
        <w:t xml:space="preserve"> self-rated socioeconomic status and </w:t>
      </w:r>
      <w:r>
        <w:rPr>
          <w:szCs w:val="22"/>
        </w:rPr>
        <w:t>current feelings of stress in a regression model</w:t>
      </w:r>
      <w:r w:rsidRPr="0017043A">
        <w:rPr>
          <w:szCs w:val="22"/>
        </w:rPr>
        <w:t>.</w:t>
      </w:r>
      <w:r>
        <w:rPr>
          <w:szCs w:val="22"/>
        </w:rPr>
        <w:t xml:space="preserve"> On one hand, this could</w:t>
      </w:r>
      <w:r w:rsidRPr="0017043A">
        <w:rPr>
          <w:szCs w:val="22"/>
        </w:rPr>
        <w:t xml:space="preserve"> </w:t>
      </w:r>
      <w:r>
        <w:rPr>
          <w:szCs w:val="22"/>
        </w:rPr>
        <w:t xml:space="preserve">imply that delay discounting estimates </w:t>
      </w:r>
      <w:r w:rsidRPr="0017043A">
        <w:rPr>
          <w:szCs w:val="22"/>
        </w:rPr>
        <w:t xml:space="preserve">do not capture </w:t>
      </w:r>
      <w:r>
        <w:rPr>
          <w:szCs w:val="22"/>
        </w:rPr>
        <w:t xml:space="preserve">the same </w:t>
      </w:r>
      <w:r w:rsidRPr="0017043A">
        <w:rPr>
          <w:szCs w:val="22"/>
        </w:rPr>
        <w:t xml:space="preserve">underlying cognitive </w:t>
      </w:r>
      <w:r>
        <w:rPr>
          <w:szCs w:val="22"/>
        </w:rPr>
        <w:t xml:space="preserve">aspects that the self-report measures of anxiety do, and as the literature suggests, delay discounting is a function of several underlying processes </w:t>
      </w:r>
      <w:sdt>
        <w:sdtPr>
          <w:rPr>
            <w:szCs w:val="22"/>
          </w:rPr>
          <w:tag w:val="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"/>
          <w:id w:val="-1793276467"/>
          <w:placeholder>
            <w:docPart w:val="BA7C8A2B9A94C84B957B471B05E913FD"/>
          </w:placeholder>
        </w:sdtPr>
        <w:sdtContent>
          <w:r w:rsidR="00EC7CE1">
            <w:rPr>
              <w:rFonts w:eastAsia="Times New Roman"/>
            </w:rPr>
            <w:t xml:space="preserve">(Bailey et al., 2021; Frost &amp; McNaughton, 2017; </w:t>
          </w:r>
          <w:proofErr w:type="spellStart"/>
          <w:r w:rsidR="00EC7CE1">
            <w:rPr>
              <w:rFonts w:eastAsia="Times New Roman"/>
            </w:rPr>
            <w:t>Jimura</w:t>
          </w:r>
          <w:proofErr w:type="spellEnd"/>
          <w:r w:rsidR="00EC7CE1">
            <w:rPr>
              <w:rFonts w:eastAsia="Times New Roman"/>
            </w:rPr>
            <w:t xml:space="preserve"> et al., 2013)</w:t>
          </w:r>
        </w:sdtContent>
      </w:sdt>
      <w:r>
        <w:rPr>
          <w:szCs w:val="22"/>
        </w:rPr>
        <w:t xml:space="preserve">. </w:t>
      </w:r>
      <w:r w:rsidRPr="0017043A">
        <w:rPr>
          <w:szCs w:val="22"/>
        </w:rPr>
        <w:t xml:space="preserve">Some have argued that though discounting rates do distinguish between clinical populations and examine factors that contribute to how individuals make decisions in the real-world related to </w:t>
      </w:r>
      <w:r>
        <w:rPr>
          <w:szCs w:val="22"/>
        </w:rPr>
        <w:t>maximising</w:t>
      </w:r>
      <w:r w:rsidRPr="0017043A">
        <w:rPr>
          <w:szCs w:val="22"/>
        </w:rPr>
        <w:t xml:space="preserve"> benefits over time predict intertemporal choice patterns</w:t>
      </w:r>
      <w:r>
        <w:rPr>
          <w:szCs w:val="22"/>
        </w:rPr>
        <w:t>,</w:t>
      </w:r>
      <w:r w:rsidRPr="0017043A">
        <w:rPr>
          <w:szCs w:val="22"/>
        </w:rPr>
        <w:t xml:space="preserve"> they do not appear to be </w:t>
      </w:r>
      <w:r>
        <w:rPr>
          <w:szCs w:val="22"/>
        </w:rPr>
        <w:t xml:space="preserve">directly </w:t>
      </w:r>
      <w:r w:rsidRPr="0017043A">
        <w:rPr>
          <w:szCs w:val="22"/>
        </w:rPr>
        <w:t xml:space="preserve">related to </w:t>
      </w:r>
      <w:r>
        <w:rPr>
          <w:szCs w:val="22"/>
        </w:rPr>
        <w:t>the</w:t>
      </w:r>
      <w:r w:rsidRPr="0017043A">
        <w:rPr>
          <w:szCs w:val="22"/>
        </w:rPr>
        <w:t xml:space="preserve"> dimension</w:t>
      </w:r>
      <w:r>
        <w:rPr>
          <w:szCs w:val="22"/>
        </w:rPr>
        <w:t>s</w:t>
      </w:r>
      <w:r w:rsidRPr="0017043A">
        <w:rPr>
          <w:szCs w:val="22"/>
        </w:rPr>
        <w:t xml:space="preserve"> of psychopathology in </w:t>
      </w:r>
      <w:r>
        <w:rPr>
          <w:szCs w:val="22"/>
        </w:rPr>
        <w:t xml:space="preserve">studied disorders </w:t>
      </w:r>
      <w:sdt>
        <w:sdtPr>
          <w:rPr>
            <w:color w:val="000000"/>
            <w:szCs w:val="22"/>
          </w:rPr>
          <w:tag w:val="MENDELEY_CITATION_v3_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"/>
          <w:id w:val="-1927415946"/>
          <w:placeholder>
            <w:docPart w:val="BA7C8A2B9A94C84B957B471B05E913FD"/>
          </w:placeholder>
        </w:sdtPr>
        <w:sdtContent>
          <w:r w:rsidR="00EC7CE1" w:rsidRPr="00EC7CE1">
            <w:rPr>
              <w:color w:val="000000"/>
              <w:szCs w:val="22"/>
            </w:rPr>
            <w:t>(Bailey et al., 2021)</w:t>
          </w:r>
        </w:sdtContent>
      </w:sdt>
      <w:r w:rsidRPr="0017043A">
        <w:rPr>
          <w:szCs w:val="22"/>
        </w:rPr>
        <w:t xml:space="preserve">. </w:t>
      </w:r>
      <w:r>
        <w:rPr>
          <w:szCs w:val="22"/>
        </w:rPr>
        <w:t>However, t</w:t>
      </w:r>
      <w:r w:rsidRPr="00E45A55">
        <w:rPr>
          <w:szCs w:val="22"/>
        </w:rPr>
        <w:t>he fact that the DD task and self-reported constructs failed to correlate does not definitely invalidate this objective test. The literature review included in this project demonstrated poor correlation between subjective and objective constructs. As such, the DD task may provide a useful measure but of a construct that is quite different from those captured by the self-report measures theoretically designed to measure a similar or linked construct (in this case anxiety). The fact that there were significant differences between patients and controls, support this interpretation.</w:t>
      </w:r>
    </w:p>
    <w:p w14:paraId="1E4A4603" w14:textId="77777777" w:rsidR="0092671A" w:rsidRPr="0017043A" w:rsidRDefault="0092671A" w:rsidP="00402478">
      <w:pPr>
        <w:spacing w:after="240"/>
        <w:rPr>
          <w:szCs w:val="22"/>
        </w:rPr>
      </w:pPr>
      <w:r w:rsidRPr="0017043A">
        <w:rPr>
          <w:szCs w:val="22"/>
        </w:rPr>
        <w:lastRenderedPageBreak/>
        <w:t>Evidently</w:t>
      </w:r>
      <w:r>
        <w:rPr>
          <w:szCs w:val="22"/>
        </w:rPr>
        <w:t>,</w:t>
      </w:r>
      <w:r w:rsidRPr="0017043A">
        <w:rPr>
          <w:szCs w:val="22"/>
        </w:rPr>
        <w:t xml:space="preserve"> much more work is needed to elucidate the underlying links to emotional processing abnormalities, particularly in an FNSD patient group and which</w:t>
      </w:r>
      <w:r>
        <w:rPr>
          <w:szCs w:val="22"/>
        </w:rPr>
        <w:t xml:space="preserve"> </w:t>
      </w:r>
      <w:r w:rsidRPr="0017043A">
        <w:rPr>
          <w:szCs w:val="22"/>
        </w:rPr>
        <w:t xml:space="preserve">of these processes the delay discounting </w:t>
      </w:r>
      <w:r>
        <w:rPr>
          <w:szCs w:val="22"/>
        </w:rPr>
        <w:t>estimates</w:t>
      </w:r>
      <w:r w:rsidRPr="0017043A">
        <w:rPr>
          <w:szCs w:val="22"/>
        </w:rPr>
        <w:t xml:space="preserve"> capture.</w:t>
      </w:r>
    </w:p>
    <w:p w14:paraId="226C9099" w14:textId="2D3431AA" w:rsidR="0092671A" w:rsidRPr="007C2B10" w:rsidRDefault="007C2B10" w:rsidP="007C2B10">
      <w:pPr>
        <w:pStyle w:val="Heading3"/>
      </w:pPr>
      <w:bookmarkStart w:id="181" w:name="_Toc137504793"/>
      <w:r w:rsidRPr="007C2B10">
        <w:t xml:space="preserve">5.4.3 </w:t>
      </w:r>
      <w:r w:rsidR="0092671A" w:rsidRPr="007C2B10">
        <w:t>Outcome Measurement using NAP and DD in FNSDs</w:t>
      </w:r>
      <w:bookmarkEnd w:id="181"/>
    </w:p>
    <w:p w14:paraId="39F3F734" w14:textId="77777777" w:rsidR="0092671A" w:rsidRDefault="0092671A" w:rsidP="008E5009">
      <w:pPr>
        <w:rPr>
          <w:szCs w:val="22"/>
        </w:rPr>
      </w:pPr>
      <w:r w:rsidRPr="0017043A">
        <w:rPr>
          <w:szCs w:val="22"/>
        </w:rPr>
        <w:t>This study yielded a limited number of significant correlations between the NAP and DD tasks and other clinical measures.</w:t>
      </w:r>
      <w:r>
        <w:rPr>
          <w:szCs w:val="22"/>
        </w:rPr>
        <w:t xml:space="preserve"> </w:t>
      </w:r>
      <w:r w:rsidRPr="0017043A">
        <w:rPr>
          <w:szCs w:val="22"/>
        </w:rPr>
        <w:t>However, the low convergent validity and predictive ability measured here, particularly with discounting estimates</w:t>
      </w:r>
      <w:r>
        <w:rPr>
          <w:szCs w:val="22"/>
        </w:rPr>
        <w:t>,</w:t>
      </w:r>
      <w:r w:rsidRPr="0017043A">
        <w:rPr>
          <w:szCs w:val="22"/>
        </w:rPr>
        <w:t xml:space="preserve"> does not indicate </w:t>
      </w:r>
      <w:r>
        <w:rPr>
          <w:szCs w:val="22"/>
        </w:rPr>
        <w:t xml:space="preserve">the </w:t>
      </w:r>
      <w:r w:rsidRPr="0017043A">
        <w:rPr>
          <w:szCs w:val="22"/>
        </w:rPr>
        <w:t>redundancy of these measures in the patient group.</w:t>
      </w:r>
    </w:p>
    <w:p w14:paraId="5F5F5384" w14:textId="552C18D4" w:rsidR="0092671A" w:rsidRPr="0017043A" w:rsidRDefault="0092671A" w:rsidP="002343F4">
      <w:pPr>
        <w:rPr>
          <w:szCs w:val="22"/>
        </w:rPr>
      </w:pPr>
      <w:r>
        <w:rPr>
          <w:szCs w:val="22"/>
        </w:rPr>
        <w:t>One study reported</w:t>
      </w:r>
      <w:r w:rsidRPr="0017043A">
        <w:rPr>
          <w:szCs w:val="22"/>
        </w:rPr>
        <w:t xml:space="preserve"> modest correlations among different physiological measures of stress,</w:t>
      </w:r>
      <w:r>
        <w:rPr>
          <w:szCs w:val="22"/>
        </w:rPr>
        <w:t xml:space="preserve"> however</w:t>
      </w:r>
      <w:r w:rsidRPr="0017043A">
        <w:rPr>
          <w:szCs w:val="22"/>
        </w:rPr>
        <w:t xml:space="preserve"> a discrepancy between physiological responses and self-rated stress suggests that self-report measures may not accurately reflect the present stress levels in an individua</w:t>
      </w:r>
      <w:r>
        <w:rPr>
          <w:szCs w:val="22"/>
        </w:rPr>
        <w:t xml:space="preserve">l </w:t>
      </w:r>
      <w:sdt>
        <w:sdtPr>
          <w:rPr>
            <w:color w:val="000000"/>
            <w:szCs w:val="22"/>
          </w:rPr>
          <w:tag w:val="MENDELEY_CITATION_v3_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"/>
          <w:id w:val="-1169637207"/>
          <w:placeholder>
            <w:docPart w:val="BA7C8A2B9A94C84B957B471B05E913FD"/>
          </w:placeholder>
        </w:sdtPr>
        <w:sdtContent>
          <w:r w:rsidR="00EC7CE1" w:rsidRPr="00EC7CE1">
            <w:rPr>
              <w:color w:val="000000"/>
              <w:szCs w:val="22"/>
            </w:rPr>
            <w:t>(</w:t>
          </w:r>
          <w:proofErr w:type="spellStart"/>
          <w:r w:rsidR="00EC7CE1" w:rsidRPr="00EC7CE1">
            <w:rPr>
              <w:color w:val="000000"/>
              <w:szCs w:val="22"/>
            </w:rPr>
            <w:t>Keynejad</w:t>
          </w:r>
          <w:proofErr w:type="spellEnd"/>
          <w:r w:rsidR="00EC7CE1" w:rsidRPr="00EC7CE1">
            <w:rPr>
              <w:color w:val="000000"/>
              <w:szCs w:val="22"/>
            </w:rPr>
            <w:t xml:space="preserve"> et al., 2019).</w:t>
          </w:r>
        </w:sdtContent>
      </w:sdt>
      <w:r>
        <w:rPr>
          <w:szCs w:val="22"/>
        </w:rPr>
        <w:t xml:space="preserve"> </w:t>
      </w:r>
      <w:r w:rsidRPr="0017043A">
        <w:rPr>
          <w:szCs w:val="22"/>
        </w:rPr>
        <w:t xml:space="preserve">Subjectively, individuals may be better at </w:t>
      </w:r>
      <w:r>
        <w:rPr>
          <w:szCs w:val="22"/>
        </w:rPr>
        <w:t>recognising</w:t>
      </w:r>
      <w:r w:rsidRPr="0017043A">
        <w:rPr>
          <w:szCs w:val="22"/>
        </w:rPr>
        <w:t xml:space="preserve"> fluctuations in stress levels rather than acknowledging chronic stress levels.</w:t>
      </w:r>
      <w:r>
        <w:rPr>
          <w:szCs w:val="22"/>
        </w:rPr>
        <w:t xml:space="preserve"> </w:t>
      </w:r>
      <w:r w:rsidRPr="0017043A">
        <w:rPr>
          <w:szCs w:val="22"/>
        </w:rPr>
        <w:t>For example, someone in a state of stress might not consciously perceive the stress, although physiological indicators might suggest otherwise.</w:t>
      </w:r>
      <w:r>
        <w:rPr>
          <w:szCs w:val="22"/>
        </w:rPr>
        <w:t xml:space="preserve"> </w:t>
      </w:r>
      <w:r w:rsidRPr="0017043A">
        <w:rPr>
          <w:szCs w:val="22"/>
        </w:rPr>
        <w:t>This dis</w:t>
      </w:r>
      <w:r>
        <w:rPr>
          <w:szCs w:val="22"/>
        </w:rPr>
        <w:t>crepancy here again,</w:t>
      </w:r>
      <w:r w:rsidRPr="0017043A">
        <w:rPr>
          <w:szCs w:val="22"/>
        </w:rPr>
        <w:t xml:space="preserve"> calls into question the efficacy of self-report scales and highlights their limitations, especially in </w:t>
      </w:r>
      <w:r>
        <w:rPr>
          <w:szCs w:val="22"/>
        </w:rPr>
        <w:t>recognising</w:t>
      </w:r>
      <w:r w:rsidRPr="0017043A">
        <w:rPr>
          <w:szCs w:val="22"/>
        </w:rPr>
        <w:t xml:space="preserve"> current stress and arousal levels and associated emotion dysregulation</w:t>
      </w:r>
      <w:r>
        <w:rPr>
          <w:szCs w:val="22"/>
        </w:rPr>
        <w:t xml:space="preserve">, and more so in a patient group with the established difficulty of self-awareness and interoception. </w:t>
      </w:r>
      <w:r w:rsidRPr="0017043A">
        <w:rPr>
          <w:szCs w:val="22"/>
        </w:rPr>
        <w:t xml:space="preserve">The timeline of the self-report tasks </w:t>
      </w:r>
      <w:r>
        <w:rPr>
          <w:szCs w:val="22"/>
        </w:rPr>
        <w:t xml:space="preserve">in this study </w:t>
      </w:r>
      <w:r w:rsidRPr="0017043A">
        <w:rPr>
          <w:szCs w:val="22"/>
        </w:rPr>
        <w:t>may play a significant role in this discrepancy.</w:t>
      </w:r>
      <w:r>
        <w:rPr>
          <w:szCs w:val="22"/>
        </w:rPr>
        <w:t xml:space="preserve"> </w:t>
      </w:r>
      <w:r w:rsidRPr="0017043A">
        <w:rPr>
          <w:szCs w:val="22"/>
        </w:rPr>
        <w:t>For instance, GAD-7 enquires about feelings within the last two weeks ago instead of the present moment</w:t>
      </w:r>
      <w:r w:rsidR="00B4315D">
        <w:rPr>
          <w:szCs w:val="22"/>
        </w:rPr>
        <w:t xml:space="preserve"> as in the mood zoom questionnaire</w:t>
      </w:r>
      <w:r w:rsidRPr="0017043A">
        <w:rPr>
          <w:szCs w:val="22"/>
        </w:rPr>
        <w:t>.</w:t>
      </w:r>
      <w:r>
        <w:rPr>
          <w:szCs w:val="22"/>
        </w:rPr>
        <w:t xml:space="preserve"> </w:t>
      </w:r>
      <w:r w:rsidR="00B4315D">
        <w:rPr>
          <w:szCs w:val="22"/>
        </w:rPr>
        <w:t>Furthermore, t</w:t>
      </w:r>
      <w:r w:rsidRPr="0017043A">
        <w:rPr>
          <w:szCs w:val="22"/>
        </w:rPr>
        <w:t>he design of the current study is restricted by its cross-sectional data</w:t>
      </w:r>
      <w:r>
        <w:rPr>
          <w:szCs w:val="22"/>
        </w:rPr>
        <w:t>. The inclusion</w:t>
      </w:r>
      <w:r w:rsidRPr="0017043A">
        <w:rPr>
          <w:szCs w:val="22"/>
        </w:rPr>
        <w:t xml:space="preserve"> of longitudinal data </w:t>
      </w:r>
      <w:r>
        <w:rPr>
          <w:szCs w:val="22"/>
        </w:rPr>
        <w:t>w</w:t>
      </w:r>
      <w:r w:rsidRPr="0017043A">
        <w:rPr>
          <w:szCs w:val="22"/>
        </w:rPr>
        <w:t xml:space="preserve">ould potentially provide insights into whether the tasks employed </w:t>
      </w:r>
      <w:r>
        <w:rPr>
          <w:szCs w:val="22"/>
        </w:rPr>
        <w:t xml:space="preserve">here </w:t>
      </w:r>
      <w:r w:rsidRPr="0017043A">
        <w:rPr>
          <w:szCs w:val="22"/>
        </w:rPr>
        <w:t>are</w:t>
      </w:r>
      <w:r>
        <w:rPr>
          <w:szCs w:val="22"/>
        </w:rPr>
        <w:t xml:space="preserve"> more</w:t>
      </w:r>
      <w:r w:rsidRPr="0017043A">
        <w:rPr>
          <w:szCs w:val="22"/>
        </w:rPr>
        <w:t xml:space="preserve"> sensitive to discern differences in groups of patients receiving different treatments.</w:t>
      </w:r>
      <w:r>
        <w:rPr>
          <w:szCs w:val="22"/>
        </w:rPr>
        <w:t xml:space="preserve"> </w:t>
      </w:r>
    </w:p>
    <w:p w14:paraId="6713CFAF" w14:textId="676FD523" w:rsidR="0092671A" w:rsidRPr="007C2B10" w:rsidRDefault="007C2B10" w:rsidP="007C2B10">
      <w:pPr>
        <w:pStyle w:val="Heading3"/>
      </w:pPr>
      <w:bookmarkStart w:id="182" w:name="_Toc137504794"/>
      <w:r w:rsidRPr="007C2B10">
        <w:t xml:space="preserve">5.4.4 </w:t>
      </w:r>
      <w:r w:rsidR="0092671A" w:rsidRPr="007C2B10">
        <w:t>Strengths and limitations</w:t>
      </w:r>
      <w:bookmarkEnd w:id="182"/>
      <w:r w:rsidR="0092671A" w:rsidRPr="007C2B10">
        <w:t xml:space="preserve"> </w:t>
      </w:r>
    </w:p>
    <w:p w14:paraId="7E135984" w14:textId="77777777" w:rsidR="0092671A" w:rsidRPr="007D2B26" w:rsidRDefault="0092671A" w:rsidP="007D2B26">
      <w:pPr>
        <w:rPr>
          <w:szCs w:val="22"/>
        </w:rPr>
      </w:pPr>
      <w:r w:rsidRPr="007D2B26">
        <w:rPr>
          <w:szCs w:val="22"/>
        </w:rPr>
        <w:t xml:space="preserve">One strength of this study lies in its use of an online platform, which provided a broader geographical and socio-cultural sample, enabling a more </w:t>
      </w:r>
      <w:r>
        <w:rPr>
          <w:szCs w:val="22"/>
        </w:rPr>
        <w:t>generalisable</w:t>
      </w:r>
      <w:r w:rsidRPr="007D2B26">
        <w:rPr>
          <w:szCs w:val="22"/>
        </w:rPr>
        <w:t xml:space="preserve"> inference.</w:t>
      </w:r>
      <w:r>
        <w:rPr>
          <w:szCs w:val="22"/>
        </w:rPr>
        <w:t xml:space="preserve"> </w:t>
      </w:r>
      <w:r w:rsidRPr="007D2B26">
        <w:rPr>
          <w:szCs w:val="22"/>
        </w:rPr>
        <w:t>This study also benefitted from the use of well-established measures</w:t>
      </w:r>
      <w:r>
        <w:rPr>
          <w:szCs w:val="22"/>
        </w:rPr>
        <w:t>,</w:t>
      </w:r>
      <w:r w:rsidRPr="007D2B26">
        <w:rPr>
          <w:szCs w:val="22"/>
        </w:rPr>
        <w:t xml:space="preserve"> including the Evaluative Priming Task and the Monetary Choice Questionnaire, as well as several </w:t>
      </w:r>
      <w:r>
        <w:rPr>
          <w:szCs w:val="22"/>
        </w:rPr>
        <w:t>validated</w:t>
      </w:r>
      <w:r w:rsidRPr="007D2B26">
        <w:rPr>
          <w:szCs w:val="22"/>
        </w:rPr>
        <w:t xml:space="preserve"> clinical questionnaires.</w:t>
      </w:r>
      <w:r>
        <w:rPr>
          <w:szCs w:val="22"/>
        </w:rPr>
        <w:t xml:space="preserve"> However, se</w:t>
      </w:r>
      <w:r w:rsidRPr="007D2B26">
        <w:rPr>
          <w:szCs w:val="22"/>
        </w:rPr>
        <w:t xml:space="preserve">veral limitations </w:t>
      </w:r>
      <w:r>
        <w:rPr>
          <w:szCs w:val="22"/>
        </w:rPr>
        <w:t xml:space="preserve">of the study </w:t>
      </w:r>
      <w:r w:rsidRPr="007D2B26">
        <w:rPr>
          <w:szCs w:val="22"/>
        </w:rPr>
        <w:t>should be noted.</w:t>
      </w:r>
      <w:r>
        <w:rPr>
          <w:szCs w:val="22"/>
        </w:rPr>
        <w:t xml:space="preserve"> </w:t>
      </w:r>
      <w:r w:rsidRPr="007D2B26">
        <w:rPr>
          <w:szCs w:val="22"/>
        </w:rPr>
        <w:t>Firstly, the cross-sectional design limits causal inferences</w:t>
      </w:r>
      <w:r>
        <w:rPr>
          <w:szCs w:val="22"/>
        </w:rPr>
        <w:t>,</w:t>
      </w:r>
      <w:r w:rsidRPr="007D2B26">
        <w:rPr>
          <w:szCs w:val="22"/>
        </w:rPr>
        <w:t xml:space="preserve"> and future studies employing longitudinal or experimental designs may help establish causality.</w:t>
      </w:r>
      <w:r>
        <w:rPr>
          <w:szCs w:val="22"/>
        </w:rPr>
        <w:t xml:space="preserve"> </w:t>
      </w:r>
      <w:r w:rsidRPr="007D2B26">
        <w:rPr>
          <w:szCs w:val="22"/>
        </w:rPr>
        <w:t xml:space="preserve">The use </w:t>
      </w:r>
      <w:r w:rsidRPr="007D2B26">
        <w:rPr>
          <w:szCs w:val="22"/>
        </w:rPr>
        <w:lastRenderedPageBreak/>
        <w:t>of online platforms, although beneficial in terms of reach, also introduces certain uncontrollable factors.</w:t>
      </w:r>
      <w:r>
        <w:rPr>
          <w:szCs w:val="22"/>
        </w:rPr>
        <w:t xml:space="preserve"> </w:t>
      </w:r>
      <w:r w:rsidRPr="007D2B26">
        <w:rPr>
          <w:szCs w:val="22"/>
        </w:rPr>
        <w:t xml:space="preserve">It is possible that the participants may not have completed the tasks in a distraction-free environment, which could impact their performance on reaction time tasks and MCQ responses. </w:t>
      </w:r>
    </w:p>
    <w:p w14:paraId="475E2134" w14:textId="77777777" w:rsidR="0092671A" w:rsidRPr="008E5009" w:rsidRDefault="0092671A" w:rsidP="00F13157">
      <w:pPr>
        <w:spacing w:after="240"/>
        <w:rPr>
          <w:szCs w:val="22"/>
        </w:rPr>
      </w:pPr>
      <w:r>
        <w:rPr>
          <w:szCs w:val="22"/>
        </w:rPr>
        <w:t>Furthermore,</w:t>
      </w:r>
      <w:r w:rsidRPr="007D2B26">
        <w:rPr>
          <w:szCs w:val="22"/>
        </w:rPr>
        <w:t xml:space="preserve"> potential </w:t>
      </w:r>
      <w:r>
        <w:rPr>
          <w:szCs w:val="22"/>
        </w:rPr>
        <w:t>variations</w:t>
      </w:r>
      <w:r w:rsidRPr="007D2B26">
        <w:rPr>
          <w:szCs w:val="22"/>
        </w:rPr>
        <w:t xml:space="preserve"> in </w:t>
      </w:r>
      <w:r>
        <w:rPr>
          <w:szCs w:val="22"/>
        </w:rPr>
        <w:t>factors such as participants'</w:t>
      </w:r>
      <w:r w:rsidRPr="007D2B26">
        <w:rPr>
          <w:szCs w:val="22"/>
        </w:rPr>
        <w:t xml:space="preserve"> hardware and internet connections, differences in device speed, screen size, or internet lag could have affected reaction time measurements and were not accounted for in </w:t>
      </w:r>
      <w:r>
        <w:rPr>
          <w:szCs w:val="22"/>
        </w:rPr>
        <w:t xml:space="preserve">this </w:t>
      </w:r>
      <w:r w:rsidRPr="007D2B26">
        <w:rPr>
          <w:szCs w:val="22"/>
        </w:rPr>
        <w:t>analysis.</w:t>
      </w:r>
      <w:r>
        <w:rPr>
          <w:szCs w:val="22"/>
        </w:rPr>
        <w:t xml:space="preserve"> Alt</w:t>
      </w:r>
      <w:r w:rsidRPr="001C7452">
        <w:rPr>
          <w:szCs w:val="22"/>
        </w:rPr>
        <w:t>h</w:t>
      </w:r>
      <w:r>
        <w:rPr>
          <w:szCs w:val="22"/>
        </w:rPr>
        <w:t xml:space="preserve">ough the sample size was calculated a-priori to be sufficiently powered to detect between-group medium-sized effects, the detection of smaller effects and the power for the more complex analyses in this study may have been affected. </w:t>
      </w:r>
      <w:r w:rsidRPr="001C7452">
        <w:rPr>
          <w:szCs w:val="22"/>
        </w:rPr>
        <w:t>It is recommended that these findings be reproduced in a larger clinical sample for more robust results.</w:t>
      </w:r>
      <w:r>
        <w:rPr>
          <w:szCs w:val="22"/>
        </w:rPr>
        <w:t xml:space="preserve"> </w:t>
      </w:r>
      <w:r w:rsidRPr="001C7452">
        <w:rPr>
          <w:szCs w:val="22"/>
        </w:rPr>
        <w:t>Despite this, the fact that the interaction between group, valence, condition, and emotion was significant even</w:t>
      </w:r>
      <w:r>
        <w:rPr>
          <w:szCs w:val="22"/>
        </w:rPr>
        <w:t xml:space="preserve"> with </w:t>
      </w:r>
      <w:r w:rsidRPr="001C7452">
        <w:rPr>
          <w:szCs w:val="22"/>
        </w:rPr>
        <w:t xml:space="preserve">potential power limitations </w:t>
      </w:r>
      <w:r>
        <w:rPr>
          <w:szCs w:val="22"/>
        </w:rPr>
        <w:t xml:space="preserve">and adjusted significance levels </w:t>
      </w:r>
      <w:r w:rsidRPr="001C7452">
        <w:rPr>
          <w:szCs w:val="22"/>
        </w:rPr>
        <w:t>underscores the reliability of this result.</w:t>
      </w:r>
      <w:r>
        <w:rPr>
          <w:szCs w:val="22"/>
        </w:rPr>
        <w:t xml:space="preserve"> Nevertheless, this</w:t>
      </w:r>
      <w:r w:rsidRPr="0017043A">
        <w:rPr>
          <w:szCs w:val="22"/>
        </w:rPr>
        <w:t xml:space="preserve"> </w:t>
      </w:r>
      <w:r>
        <w:rPr>
          <w:szCs w:val="22"/>
        </w:rPr>
        <w:t>study's</w:t>
      </w:r>
      <w:r w:rsidRPr="0017043A">
        <w:rPr>
          <w:szCs w:val="22"/>
        </w:rPr>
        <w:t xml:space="preserve"> findings </w:t>
      </w:r>
      <w:r>
        <w:rPr>
          <w:szCs w:val="22"/>
        </w:rPr>
        <w:t>contribute</w:t>
      </w:r>
      <w:r w:rsidRPr="0017043A">
        <w:rPr>
          <w:szCs w:val="22"/>
        </w:rPr>
        <w:t xml:space="preserve"> to understanding </w:t>
      </w:r>
      <w:r>
        <w:rPr>
          <w:szCs w:val="22"/>
        </w:rPr>
        <w:t>how emotion processing</w:t>
      </w:r>
      <w:r w:rsidRPr="0017043A">
        <w:rPr>
          <w:szCs w:val="22"/>
        </w:rPr>
        <w:t xml:space="preserve">, </w:t>
      </w:r>
      <w:r>
        <w:rPr>
          <w:szCs w:val="22"/>
        </w:rPr>
        <w:t>attentional bias and decision-making can be assessed in FNSD.</w:t>
      </w:r>
    </w:p>
    <w:p w14:paraId="012C924C" w14:textId="71EB49BF" w:rsidR="0092671A" w:rsidRPr="007C2B10" w:rsidRDefault="007C2B10" w:rsidP="007C2B10">
      <w:pPr>
        <w:pStyle w:val="Heading3"/>
      </w:pPr>
      <w:bookmarkStart w:id="183" w:name="_Toc137504795"/>
      <w:r w:rsidRPr="007C2B10">
        <w:t xml:space="preserve">5.4.5 </w:t>
      </w:r>
      <w:r w:rsidR="0092671A" w:rsidRPr="007C2B10">
        <w:t>Future Research</w:t>
      </w:r>
      <w:bookmarkEnd w:id="183"/>
      <w:r w:rsidR="0092671A" w:rsidRPr="007C2B10">
        <w:t xml:space="preserve"> </w:t>
      </w:r>
    </w:p>
    <w:p w14:paraId="25F52F40" w14:textId="77777777" w:rsidR="0092671A" w:rsidRPr="00FF2622" w:rsidRDefault="0092671A" w:rsidP="00FF2622">
      <w:pPr>
        <w:rPr>
          <w:szCs w:val="22"/>
        </w:rPr>
      </w:pPr>
      <w:r w:rsidRPr="00FF2622">
        <w:rPr>
          <w:szCs w:val="22"/>
        </w:rPr>
        <w:t xml:space="preserve">Given that these delay discounting and negative affective priming tasks are novel </w:t>
      </w:r>
      <w:r>
        <w:rPr>
          <w:szCs w:val="22"/>
        </w:rPr>
        <w:t>approaches</w:t>
      </w:r>
      <w:r w:rsidRPr="00FF2622">
        <w:rPr>
          <w:szCs w:val="22"/>
        </w:rPr>
        <w:t xml:space="preserve"> to assessing outcomes in FNSD, additional studies are required to ascertain their reliability and validity within this patient group.</w:t>
      </w:r>
      <w:r>
        <w:rPr>
          <w:szCs w:val="22"/>
        </w:rPr>
        <w:t xml:space="preserve"> </w:t>
      </w:r>
      <w:r w:rsidRPr="00FF2622">
        <w:rPr>
          <w:szCs w:val="22"/>
        </w:rPr>
        <w:t>Future research in larger</w:t>
      </w:r>
      <w:r>
        <w:rPr>
          <w:szCs w:val="22"/>
        </w:rPr>
        <w:t>,</w:t>
      </w:r>
      <w:r w:rsidRPr="00FF2622">
        <w:rPr>
          <w:szCs w:val="22"/>
        </w:rPr>
        <w:t xml:space="preserve"> sufficiently powered FNSD samples </w:t>
      </w:r>
      <w:r>
        <w:rPr>
          <w:szCs w:val="22"/>
        </w:rPr>
        <w:t>is</w:t>
      </w:r>
      <w:r w:rsidRPr="00FF2622">
        <w:rPr>
          <w:szCs w:val="22"/>
        </w:rPr>
        <w:t xml:space="preserve"> warranted to assess both measures</w:t>
      </w:r>
      <w:r>
        <w:rPr>
          <w:szCs w:val="22"/>
        </w:rPr>
        <w:t>; ideally,</w:t>
      </w:r>
      <w:r w:rsidRPr="00FF2622">
        <w:rPr>
          <w:szCs w:val="22"/>
        </w:rPr>
        <w:t xml:space="preserve"> this could be included as a measure in a longitudinal trial following therapy in these patients to understand how therapeutic intervention could influence delay discounting. </w:t>
      </w:r>
    </w:p>
    <w:p w14:paraId="4A226239" w14:textId="77777777" w:rsidR="0092671A" w:rsidRPr="00FF2622" w:rsidRDefault="0092671A" w:rsidP="00FF2622">
      <w:pPr>
        <w:rPr>
          <w:szCs w:val="22"/>
        </w:rPr>
      </w:pPr>
      <w:r w:rsidRPr="00FF2622">
        <w:rPr>
          <w:szCs w:val="22"/>
        </w:rPr>
        <w:t xml:space="preserve">Further study regarding negative attentional bias could aim to investigate changes in attentional bias and the improvement of symptoms after treatment, </w:t>
      </w:r>
      <w:r>
        <w:rPr>
          <w:szCs w:val="22"/>
        </w:rPr>
        <w:t>considering</w:t>
      </w:r>
      <w:r w:rsidRPr="00FF2622">
        <w:rPr>
          <w:szCs w:val="22"/>
        </w:rPr>
        <w:t xml:space="preserve"> potential confounding factors such as mental health disorders or medication consumption, task complexity, </w:t>
      </w:r>
      <w:r>
        <w:rPr>
          <w:szCs w:val="22"/>
        </w:rPr>
        <w:t>patients'</w:t>
      </w:r>
      <w:r w:rsidRPr="00FF2622">
        <w:rPr>
          <w:szCs w:val="22"/>
        </w:rPr>
        <w:t xml:space="preserve"> understanding, and participant motivations.</w:t>
      </w:r>
    </w:p>
    <w:p w14:paraId="241EFDFC" w14:textId="77777777" w:rsidR="0092671A" w:rsidRPr="00FF2622" w:rsidRDefault="0092671A" w:rsidP="00FF2622">
      <w:pPr>
        <w:rPr>
          <w:szCs w:val="22"/>
        </w:rPr>
      </w:pPr>
      <w:r>
        <w:rPr>
          <w:szCs w:val="22"/>
        </w:rPr>
        <w:t>Incorporating</w:t>
      </w:r>
      <w:r w:rsidRPr="00FF2622">
        <w:rPr>
          <w:szCs w:val="22"/>
        </w:rPr>
        <w:t xml:space="preserve"> more specific and validated measures of the cognitive and emotional processes, such as the Intolerance of Uncertainty scale, may offer more understanding </w:t>
      </w:r>
      <w:r>
        <w:rPr>
          <w:szCs w:val="22"/>
        </w:rPr>
        <w:t>of</w:t>
      </w:r>
      <w:r w:rsidRPr="00FF2622">
        <w:rPr>
          <w:szCs w:val="22"/>
        </w:rPr>
        <w:t xml:space="preserve"> the relevance of these tasks</w:t>
      </w:r>
      <w:r>
        <w:rPr>
          <w:szCs w:val="22"/>
        </w:rPr>
        <w:t xml:space="preserve"> and</w:t>
      </w:r>
      <w:r w:rsidRPr="00FF2622">
        <w:rPr>
          <w:szCs w:val="22"/>
        </w:rPr>
        <w:t xml:space="preserve"> convergence between implicit, objective and self-report measures.</w:t>
      </w:r>
      <w:r>
        <w:rPr>
          <w:szCs w:val="22"/>
        </w:rPr>
        <w:t xml:space="preserve"> T</w:t>
      </w:r>
      <w:r w:rsidRPr="00FF2622">
        <w:rPr>
          <w:szCs w:val="22"/>
        </w:rPr>
        <w:t>esting in induced-stress conditions or between groups of patients with different levels of stress or arousal.</w:t>
      </w:r>
    </w:p>
    <w:p w14:paraId="54028376" w14:textId="77777777" w:rsidR="0092671A" w:rsidRPr="00FF2622" w:rsidRDefault="0092671A" w:rsidP="00F13157">
      <w:pPr>
        <w:spacing w:after="240"/>
        <w:rPr>
          <w:szCs w:val="22"/>
        </w:rPr>
      </w:pPr>
      <w:r w:rsidRPr="00FF2622">
        <w:rPr>
          <w:szCs w:val="22"/>
        </w:rPr>
        <w:lastRenderedPageBreak/>
        <w:t>Further study is also necessary to understand the universal application of these findings.</w:t>
      </w:r>
      <w:r>
        <w:rPr>
          <w:szCs w:val="22"/>
        </w:rPr>
        <w:t xml:space="preserve"> </w:t>
      </w:r>
      <w:r w:rsidRPr="00FF2622">
        <w:rPr>
          <w:szCs w:val="22"/>
        </w:rPr>
        <w:t xml:space="preserve">Application of the tasks in specific FNSD sub-groups may shed light on underlying processes </w:t>
      </w:r>
      <w:r>
        <w:rPr>
          <w:szCs w:val="22"/>
        </w:rPr>
        <w:t>and</w:t>
      </w:r>
      <w:r w:rsidRPr="00FF2622">
        <w:rPr>
          <w:szCs w:val="22"/>
        </w:rPr>
        <w:t xml:space="preserve"> the influence that reducing delay discounting could have on the tendency to adopt maladaptive behaviours associated with high delay discounting gradients. </w:t>
      </w:r>
    </w:p>
    <w:p w14:paraId="7F7A3AAD" w14:textId="204B2A76" w:rsidR="0092671A" w:rsidRPr="007C2B10" w:rsidRDefault="007C2B10" w:rsidP="007C2B10">
      <w:pPr>
        <w:pStyle w:val="Heading3"/>
      </w:pPr>
      <w:bookmarkStart w:id="184" w:name="_Toc137504796"/>
      <w:r w:rsidRPr="007C2B10">
        <w:t xml:space="preserve">5.4.6 </w:t>
      </w:r>
      <w:r w:rsidR="0092671A" w:rsidRPr="007C2B10">
        <w:t>Conclusions</w:t>
      </w:r>
      <w:bookmarkEnd w:id="184"/>
    </w:p>
    <w:p w14:paraId="0F2A05DF" w14:textId="77777777" w:rsidR="0092671A" w:rsidRPr="0017043A" w:rsidRDefault="0092671A" w:rsidP="004854E9">
      <w:pPr>
        <w:rPr>
          <w:szCs w:val="22"/>
        </w:rPr>
      </w:pPr>
      <w:r w:rsidRPr="0017043A">
        <w:rPr>
          <w:szCs w:val="22"/>
        </w:rPr>
        <w:t xml:space="preserve">The tasks used </w:t>
      </w:r>
      <w:r>
        <w:rPr>
          <w:szCs w:val="22"/>
        </w:rPr>
        <w:t>in this study offer</w:t>
      </w:r>
      <w:r w:rsidRPr="0017043A">
        <w:rPr>
          <w:szCs w:val="22"/>
        </w:rPr>
        <w:t xml:space="preserve"> insights into the emotional, cognitive, and decision-making processes in FNSD </w:t>
      </w:r>
      <w:r>
        <w:rPr>
          <w:szCs w:val="22"/>
        </w:rPr>
        <w:t>by highlighting the</w:t>
      </w:r>
      <w:r w:rsidRPr="0017043A">
        <w:rPr>
          <w:szCs w:val="22"/>
        </w:rPr>
        <w:t xml:space="preserve"> potential role of</w:t>
      </w:r>
      <w:r>
        <w:rPr>
          <w:szCs w:val="22"/>
        </w:rPr>
        <w:t xml:space="preserve"> stress, distress, and arousal in modifying outcome measurement in this patient group. The usefulness (and</w:t>
      </w:r>
      <w:r w:rsidRPr="0017043A">
        <w:rPr>
          <w:szCs w:val="22"/>
        </w:rPr>
        <w:t xml:space="preserve"> limitations</w:t>
      </w:r>
      <w:r>
        <w:rPr>
          <w:szCs w:val="22"/>
        </w:rPr>
        <w:t xml:space="preserve">) of the two simple implicit measures are here discussed. These tasks show some potential in assessing psychopathological processes related to emotion regulation, attention, and decision-making, alongside other measures, in patients with FNSD. </w:t>
      </w:r>
      <w:r w:rsidRPr="0017043A">
        <w:rPr>
          <w:szCs w:val="22"/>
        </w:rPr>
        <w:t>The findings underscore the importance of using a combined approach to outcome measurement</w:t>
      </w:r>
      <w:r>
        <w:rPr>
          <w:szCs w:val="22"/>
        </w:rPr>
        <w:t>, including s</w:t>
      </w:r>
      <w:r w:rsidRPr="0017043A">
        <w:rPr>
          <w:szCs w:val="22"/>
        </w:rPr>
        <w:t>elf-report</w:t>
      </w:r>
      <w:r>
        <w:rPr>
          <w:szCs w:val="22"/>
        </w:rPr>
        <w:t xml:space="preserve"> and o</w:t>
      </w:r>
      <w:r w:rsidRPr="0017043A">
        <w:rPr>
          <w:szCs w:val="22"/>
        </w:rPr>
        <w:t xml:space="preserve">bjective </w:t>
      </w:r>
      <w:r>
        <w:rPr>
          <w:szCs w:val="22"/>
        </w:rPr>
        <w:t>measures</w:t>
      </w:r>
      <w:r w:rsidRPr="0017043A">
        <w:rPr>
          <w:szCs w:val="22"/>
        </w:rPr>
        <w:t>.</w:t>
      </w:r>
      <w:r>
        <w:rPr>
          <w:szCs w:val="22"/>
        </w:rPr>
        <w:t xml:space="preserve"> </w:t>
      </w:r>
      <w:r w:rsidRPr="0017043A">
        <w:rPr>
          <w:szCs w:val="22"/>
        </w:rPr>
        <w:t xml:space="preserve">However, much more research is required to explore and refine these measures </w:t>
      </w:r>
      <w:r>
        <w:rPr>
          <w:szCs w:val="22"/>
        </w:rPr>
        <w:t xml:space="preserve">for optimal use in FNSD’s. </w:t>
      </w:r>
    </w:p>
    <w:p w14:paraId="5A2FFBC6" w14:textId="77777777" w:rsidR="0092671A" w:rsidRPr="004854E9" w:rsidRDefault="0092671A" w:rsidP="004854E9"/>
    <w:p w14:paraId="26DD8FFA" w14:textId="7DDACADE" w:rsidR="00653369" w:rsidRDefault="00653369">
      <w:pPr>
        <w:spacing w:line="240" w:lineRule="auto"/>
        <w:jc w:val="left"/>
        <w:rPr>
          <w:rFonts w:ascii="Calibri Light" w:eastAsia="Times New Roman" w:hAnsi="Calibri Light" w:cs="Times New Roman"/>
          <w:color w:val="2E74B5" w:themeColor="accent1" w:themeShade="BF"/>
          <w:sz w:val="36"/>
          <w:szCs w:val="20"/>
          <w:lang w:val="en-US"/>
        </w:rPr>
      </w:pPr>
    </w:p>
    <w:p w14:paraId="21600FA3" w14:textId="77777777" w:rsidR="0075373D" w:rsidRDefault="0075373D">
      <w:pPr>
        <w:spacing w:line="240" w:lineRule="auto"/>
        <w:jc w:val="left"/>
        <w:rPr>
          <w:rFonts w:ascii="Calibri Light" w:eastAsia="Times New Roman" w:hAnsi="Calibri Light" w:cs="Times New Roman"/>
          <w:color w:val="2E74B5" w:themeColor="accent1" w:themeShade="BF"/>
          <w:sz w:val="36"/>
          <w:szCs w:val="20"/>
          <w:lang w:val="en-US"/>
        </w:rPr>
      </w:pPr>
      <w:r>
        <w:br w:type="page"/>
      </w:r>
    </w:p>
    <w:p w14:paraId="7FCA1FD6" w14:textId="0EBDC5F5" w:rsidR="00100D99" w:rsidRPr="005A2F5C" w:rsidRDefault="00100D99" w:rsidP="007D38F2">
      <w:pPr>
        <w:pStyle w:val="Heading1"/>
        <w:jc w:val="left"/>
      </w:pPr>
      <w:bookmarkStart w:id="185" w:name="_Toc137504797"/>
      <w:r>
        <w:lastRenderedPageBreak/>
        <w:t>6</w:t>
      </w:r>
      <w:r w:rsidRPr="005A2F5C">
        <w:t>.0 D</w:t>
      </w:r>
      <w:r>
        <w:t>iscussion</w:t>
      </w:r>
      <w:bookmarkEnd w:id="185"/>
    </w:p>
    <w:p w14:paraId="0834515A" w14:textId="761F9AC6" w:rsidR="00100D99" w:rsidRPr="00802565" w:rsidRDefault="00100D99" w:rsidP="00383A1A">
      <w:pPr>
        <w:autoSpaceDE w:val="0"/>
        <w:autoSpaceDN w:val="0"/>
        <w:adjustRightInd w:val="0"/>
      </w:pPr>
      <w:r w:rsidRPr="00802565">
        <w:t xml:space="preserve">This thesis </w:t>
      </w:r>
      <w:r>
        <w:t>aims</w:t>
      </w:r>
      <w:r w:rsidRPr="00802565">
        <w:t xml:space="preserve"> to contribute to </w:t>
      </w:r>
      <w:r>
        <w:t>understanding</w:t>
      </w:r>
      <w:r w:rsidRPr="00802565">
        <w:t xml:space="preserve"> </w:t>
      </w:r>
      <w:r>
        <w:t xml:space="preserve">outcome </w:t>
      </w:r>
      <w:r w:rsidRPr="00802565">
        <w:t>measurement in Functional Neurological Symptom Disorders</w:t>
      </w:r>
      <w:r>
        <w:t xml:space="preserve"> (FNSD)</w:t>
      </w:r>
      <w:r w:rsidRPr="00802565">
        <w:t xml:space="preserve"> by describing research projects investigating </w:t>
      </w:r>
      <w:r>
        <w:t xml:space="preserve">subjective </w:t>
      </w:r>
      <w:r w:rsidRPr="00802565">
        <w:t xml:space="preserve">self-report, </w:t>
      </w:r>
      <w:r>
        <w:t xml:space="preserve">objective </w:t>
      </w:r>
      <w:r w:rsidRPr="00802565">
        <w:t>social</w:t>
      </w:r>
      <w:r>
        <w:t xml:space="preserve"> </w:t>
      </w:r>
      <w:r w:rsidRPr="00802565">
        <w:t xml:space="preserve">behavioural, and </w:t>
      </w:r>
      <w:r>
        <w:t>implicit affective-</w:t>
      </w:r>
      <w:r w:rsidRPr="00802565">
        <w:t>cogniti</w:t>
      </w:r>
      <w:r>
        <w:t>on</w:t>
      </w:r>
      <w:r w:rsidRPr="00802565">
        <w:t xml:space="preserve"> approaches to </w:t>
      </w:r>
      <w:r>
        <w:t xml:space="preserve">measuring patients' current state and level of functioning, which could be suitable as </w:t>
      </w:r>
      <w:r w:rsidRPr="00802565">
        <w:t xml:space="preserve">outcome measurement. </w:t>
      </w:r>
      <w:r w:rsidRPr="001733C2">
        <w:t>These measures were selected for their theoretical relevance, as evidenced by previous literature</w:t>
      </w:r>
      <w:r>
        <w:t xml:space="preserve"> </w:t>
      </w:r>
      <w:r w:rsidRPr="001733C2">
        <w:t xml:space="preserve">establishing connections to </w:t>
      </w:r>
      <w:r>
        <w:t>similar psychopathological</w:t>
      </w:r>
      <w:r w:rsidRPr="001733C2">
        <w:t xml:space="preserve"> processes </w:t>
      </w:r>
      <w:r>
        <w:t>to those found in</w:t>
      </w:r>
      <w:r w:rsidRPr="001733C2">
        <w:t xml:space="preserve"> FNSD, and for their practical advantages, namely, their simplicity and ease of use. Moreover, these measures </w:t>
      </w:r>
      <w:r>
        <w:t xml:space="preserve">showed the potential to </w:t>
      </w:r>
      <w:r w:rsidRPr="001733C2">
        <w:t>serv</w:t>
      </w:r>
      <w:r>
        <w:t>e</w:t>
      </w:r>
      <w:r w:rsidRPr="001733C2">
        <w:t xml:space="preserve"> as indicators of a patient's </w:t>
      </w:r>
      <w:r>
        <w:t xml:space="preserve">health state and potential change for example, due to therapeutic intervention. </w:t>
      </w:r>
      <w:r w:rsidRPr="00032013">
        <w:t xml:space="preserve">Despite the growing interest in FNSD, well-suited </w:t>
      </w:r>
      <w:r>
        <w:t xml:space="preserve">and validated </w:t>
      </w:r>
      <w:r w:rsidRPr="00032013">
        <w:t xml:space="preserve">instruments for </w:t>
      </w:r>
      <w:r>
        <w:t xml:space="preserve">assessing the </w:t>
      </w:r>
      <w:r w:rsidRPr="00032013">
        <w:t xml:space="preserve">symptoms and </w:t>
      </w:r>
      <w:r>
        <w:t>experiences</w:t>
      </w:r>
      <w:r w:rsidRPr="00032013">
        <w:t xml:space="preserve"> described by patients </w:t>
      </w:r>
      <w:r>
        <w:t xml:space="preserve">are </w:t>
      </w:r>
      <w:r w:rsidRPr="00032013">
        <w:t xml:space="preserve">still </w:t>
      </w:r>
      <w:r>
        <w:t>lacking</w:t>
      </w:r>
      <w:r w:rsidRPr="00032013">
        <w:t>.</w:t>
      </w:r>
      <w:r>
        <w:t xml:space="preserve"> </w:t>
      </w:r>
      <w:r w:rsidRPr="00032013">
        <w:t xml:space="preserve">As such, </w:t>
      </w:r>
      <w:r>
        <w:t xml:space="preserve">it remains difficult to measure </w:t>
      </w:r>
      <w:r w:rsidRPr="00032013">
        <w:t xml:space="preserve">symptoms and their variability </w:t>
      </w:r>
      <w:r>
        <w:t xml:space="preserve">and to assess </w:t>
      </w:r>
      <w:r w:rsidRPr="00032013">
        <w:t>therapy-related change for different FNSD subtypes and treatment modalitie</w:t>
      </w:r>
      <w:r>
        <w:t>s</w:t>
      </w:r>
      <w:r w:rsidRPr="00032013">
        <w:t>.</w:t>
      </w:r>
      <w:r>
        <w:t xml:space="preserve"> </w:t>
      </w:r>
      <w:r w:rsidRPr="00383A1A">
        <w:t xml:space="preserve">Moreover, providing </w:t>
      </w:r>
      <w:r>
        <w:t>standardised</w:t>
      </w:r>
      <w:r w:rsidRPr="00383A1A">
        <w:t>, comparable data - across</w:t>
      </w:r>
      <w:r>
        <w:t xml:space="preserve"> </w:t>
      </w:r>
      <w:r w:rsidRPr="00383A1A">
        <w:t>research studies and in clinical contexts relative to other disorders - presents a significant challenge.</w:t>
      </w:r>
      <w:r>
        <w:t xml:space="preserve"> </w:t>
      </w:r>
      <w:r w:rsidRPr="00383A1A">
        <w:t xml:space="preserve">Growing discussions </w:t>
      </w:r>
      <w:r>
        <w:t>highlight</w:t>
      </w:r>
      <w:r w:rsidRPr="00383A1A">
        <w:t xml:space="preserve"> the need </w:t>
      </w:r>
      <w:r>
        <w:t>to develop</w:t>
      </w:r>
      <w:r w:rsidRPr="00383A1A">
        <w:t xml:space="preserve"> </w:t>
      </w:r>
      <w:r>
        <w:t xml:space="preserve">suitable </w:t>
      </w:r>
      <w:r w:rsidRPr="00383A1A">
        <w:t xml:space="preserve">measures </w:t>
      </w:r>
      <w:r>
        <w:t>for</w:t>
      </w:r>
      <w:r w:rsidRPr="00383A1A">
        <w:t xml:space="preserve"> this patient group</w:t>
      </w:r>
      <w:r>
        <w:t xml:space="preserve"> </w:t>
      </w:r>
      <w:sdt>
        <w:sdtPr>
          <w:rPr>
            <w:color w:val="000000"/>
          </w:rPr>
          <w:tag w:val="MENDELEY_CITATION_v3_eyJjaXRhdGlvbklEIjoiTUVOREVMRVlfQ0lUQVRJT05fNWUyMTc0YTktYmQ4ZC00MTc2LTg3M2ItNzY4NmJmZGIxZDg0IiwicHJvcGVydGllcyI6eyJub3RlSW5kZXgiOjB9LCJpc0VkaXRlZCI6ZmFsc2UsIm1hbnVhbE92ZXJyaWRlIjp7ImlzTWFudWFsbHlPdmVycmlkZGVuIjpmYWxzZSwiY2l0ZXByb2NUZXh0IjoiKE5pY2hvbHNvbi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
          <w:id w:val="-412930056"/>
          <w:placeholder>
            <w:docPart w:val="E083BE152A98EE49A87198EA29194721"/>
          </w:placeholder>
        </w:sdtPr>
        <w:sdtContent>
          <w:r w:rsidR="00EC7CE1" w:rsidRPr="00EC7CE1">
            <w:rPr>
              <w:color w:val="000000"/>
            </w:rPr>
            <w:t>(Nicholson et al., 2020)</w:t>
          </w:r>
        </w:sdtContent>
      </w:sdt>
      <w:r>
        <w:t>.</w:t>
      </w:r>
    </w:p>
    <w:p w14:paraId="5A219FDE" w14:textId="77777777" w:rsidR="00100D99" w:rsidRPr="00802565" w:rsidRDefault="00100D99" w:rsidP="00383A1A">
      <w:pPr>
        <w:autoSpaceDE w:val="0"/>
        <w:autoSpaceDN w:val="0"/>
        <w:adjustRightInd w:val="0"/>
      </w:pPr>
      <w:r>
        <w:t>T</w:t>
      </w:r>
      <w:r w:rsidRPr="00802565">
        <w:t>he</w:t>
      </w:r>
      <w:r>
        <w:t xml:space="preserve"> following </w:t>
      </w:r>
      <w:r w:rsidRPr="00802565">
        <w:t>sections will discuss how th</w:t>
      </w:r>
      <w:r>
        <w:t>e present</w:t>
      </w:r>
      <w:r w:rsidRPr="00802565">
        <w:t xml:space="preserve"> work addressed the overarching research questions</w:t>
      </w:r>
      <w:r>
        <w:t xml:space="preserve"> in light of these challenges.</w:t>
      </w:r>
    </w:p>
    <w:p w14:paraId="56FEEE00" w14:textId="77777777" w:rsidR="00100D99" w:rsidRDefault="00100D99" w:rsidP="004D2245">
      <w:pPr>
        <w:rPr>
          <w:szCs w:val="22"/>
        </w:rPr>
      </w:pPr>
    </w:p>
    <w:p w14:paraId="0CFD547D" w14:textId="77777777" w:rsidR="00100D99" w:rsidRDefault="00100D99" w:rsidP="005A2F5C">
      <w:pPr>
        <w:pStyle w:val="Heading2"/>
      </w:pPr>
      <w:bookmarkStart w:id="186" w:name="_Toc137504798"/>
      <w:r>
        <w:t>6.1 P</w:t>
      </w:r>
      <w:r w:rsidRPr="00B922DD">
        <w:t>atient self-report measure</w:t>
      </w:r>
      <w:r>
        <w:t>s for FNSD outcome measurement</w:t>
      </w:r>
      <w:bookmarkEnd w:id="186"/>
      <w:r>
        <w:t xml:space="preserve"> </w:t>
      </w:r>
    </w:p>
    <w:p w14:paraId="6D9EF4C2" w14:textId="77777777" w:rsidR="00100D99" w:rsidRPr="000F5A70" w:rsidRDefault="00100D99" w:rsidP="00721CB0">
      <w:pPr>
        <w:autoSpaceDE w:val="0"/>
        <w:autoSpaceDN w:val="0"/>
        <w:adjustRightInd w:val="0"/>
      </w:pPr>
      <w:r>
        <w:t>The use of</w:t>
      </w:r>
      <w:r w:rsidRPr="000F5A70">
        <w:t xml:space="preserve"> self-report measures to </w:t>
      </w:r>
      <w:r w:rsidRPr="00677194">
        <w:t xml:space="preserve">assess </w:t>
      </w:r>
      <w:r>
        <w:t xml:space="preserve">the </w:t>
      </w:r>
      <w:r w:rsidRPr="000F5A70">
        <w:t>current health state, treatment eff</w:t>
      </w:r>
      <w:r w:rsidRPr="00677194">
        <w:t>icacy</w:t>
      </w:r>
      <w:r w:rsidRPr="000F5A70">
        <w:t xml:space="preserve">, and treatment-related change in </w:t>
      </w:r>
      <w:r w:rsidRPr="00677194">
        <w:t xml:space="preserve">FNSD patients reveals </w:t>
      </w:r>
      <w:r>
        <w:t>both</w:t>
      </w:r>
      <w:r w:rsidRPr="00677194">
        <w:t xml:space="preserve"> challenges and opportunities from a </w:t>
      </w:r>
      <w:r w:rsidRPr="000F5A70">
        <w:t xml:space="preserve">theoretical and methodological </w:t>
      </w:r>
      <w:r w:rsidRPr="00677194">
        <w:t>standpoint</w:t>
      </w:r>
      <w:r w:rsidRPr="000F5A70">
        <w:t>.</w:t>
      </w:r>
    </w:p>
    <w:p w14:paraId="06209CE8" w14:textId="6D2330C2" w:rsidR="00100D99" w:rsidRDefault="00100D99" w:rsidP="00721CB0">
      <w:pPr>
        <w:autoSpaceDE w:val="0"/>
        <w:autoSpaceDN w:val="0"/>
        <w:adjustRightInd w:val="0"/>
      </w:pPr>
      <w:r w:rsidRPr="000F5A70">
        <w:t xml:space="preserve">In social science, psychology, and clinical </w:t>
      </w:r>
      <w:r w:rsidRPr="00721CB0">
        <w:t>research</w:t>
      </w:r>
      <w:r w:rsidRPr="000F5A70">
        <w:t xml:space="preserve">, the individual possessing certain personality traits or experiencing specific states is generally </w:t>
      </w:r>
      <w:r>
        <w:t>considered the most informative data source</w:t>
      </w:r>
      <w:r w:rsidRPr="000F5A70">
        <w:t xml:space="preserve"> regarding these constructs</w:t>
      </w:r>
      <w:r>
        <w:t xml:space="preserve"> </w:t>
      </w:r>
      <w:sdt>
        <w:sdtPr>
          <w:rPr>
            <w:color w:val="000000"/>
          </w:rPr>
          <w:tag w:val="MENDELEY_CITATION_v3_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"/>
          <w:id w:val="-104894300"/>
          <w:placeholder>
            <w:docPart w:val="E083BE152A98EE49A87198EA29194721"/>
          </w:placeholder>
        </w:sdtPr>
        <w:sdtContent>
          <w:r w:rsidR="00EC7CE1">
            <w:rPr>
              <w:rFonts w:eastAsia="Times New Roman"/>
            </w:rPr>
            <w:t xml:space="preserve">(Dang et al., 2020; </w:t>
          </w:r>
          <w:proofErr w:type="spellStart"/>
          <w:r w:rsidR="00EC7CE1">
            <w:rPr>
              <w:rFonts w:eastAsia="Times New Roman"/>
            </w:rPr>
            <w:t>Paulhus</w:t>
          </w:r>
          <w:proofErr w:type="spellEnd"/>
          <w:r w:rsidR="00EC7CE1">
            <w:rPr>
              <w:rFonts w:eastAsia="Times New Roman"/>
            </w:rPr>
            <w:t xml:space="preserve"> &amp; </w:t>
          </w:r>
          <w:proofErr w:type="spellStart"/>
          <w:r w:rsidR="00EC7CE1">
            <w:rPr>
              <w:rFonts w:eastAsia="Times New Roman"/>
            </w:rPr>
            <w:t>Vazire</w:t>
          </w:r>
          <w:proofErr w:type="spellEnd"/>
          <w:r w:rsidR="00EC7CE1">
            <w:rPr>
              <w:rFonts w:eastAsia="Times New Roman"/>
            </w:rPr>
            <w:t>, 2007)</w:t>
          </w:r>
        </w:sdtContent>
      </w:sdt>
      <w:r>
        <w:t xml:space="preserve">. </w:t>
      </w:r>
      <w:r w:rsidRPr="000F5A70">
        <w:t xml:space="preserve">This is particularly relevant </w:t>
      </w:r>
      <w:r>
        <w:t>in</w:t>
      </w:r>
      <w:r w:rsidRPr="000F5A70">
        <w:t xml:space="preserve"> FNSD, where a </w:t>
      </w:r>
      <w:r>
        <w:t>patient's</w:t>
      </w:r>
      <w:r w:rsidRPr="000F5A70">
        <w:t xml:space="preserve"> self-perception could be as clinically meaningful, if not more so, than objective measures.</w:t>
      </w:r>
      <w:r>
        <w:t xml:space="preserve"> </w:t>
      </w:r>
      <w:r w:rsidRPr="000F5A70">
        <w:t xml:space="preserve">For instance, the </w:t>
      </w:r>
      <w:r>
        <w:t xml:space="preserve">development of the </w:t>
      </w:r>
      <w:r w:rsidRPr="000F5A70">
        <w:t xml:space="preserve">self-report measure </w:t>
      </w:r>
      <w:r>
        <w:t>analysed</w:t>
      </w:r>
      <w:r w:rsidRPr="000F5A70">
        <w:t xml:space="preserve"> in this project, </w:t>
      </w:r>
      <w:r>
        <w:rPr>
          <w:szCs w:val="22"/>
        </w:rPr>
        <w:t>t</w:t>
      </w:r>
      <w:r w:rsidRPr="00E21878">
        <w:rPr>
          <w:szCs w:val="22"/>
        </w:rPr>
        <w:t xml:space="preserve">he </w:t>
      </w:r>
      <w:r>
        <w:rPr>
          <w:szCs w:val="22"/>
        </w:rPr>
        <w:t>'</w:t>
      </w:r>
      <w:r w:rsidRPr="00E21878">
        <w:rPr>
          <w:szCs w:val="22"/>
        </w:rPr>
        <w:t>s</w:t>
      </w:r>
      <w:r>
        <w:rPr>
          <w:szCs w:val="22"/>
        </w:rPr>
        <w:t>e</w:t>
      </w:r>
      <w:r w:rsidRPr="00E21878">
        <w:rPr>
          <w:szCs w:val="22"/>
        </w:rPr>
        <w:t xml:space="preserve">lf-efficacy, </w:t>
      </w:r>
      <w:r>
        <w:rPr>
          <w:szCs w:val="22"/>
        </w:rPr>
        <w:t>a</w:t>
      </w:r>
      <w:r w:rsidRPr="00E21878">
        <w:rPr>
          <w:szCs w:val="22"/>
        </w:rPr>
        <w:t xml:space="preserve">ssertiveness, </w:t>
      </w:r>
      <w:r>
        <w:rPr>
          <w:szCs w:val="22"/>
        </w:rPr>
        <w:t>s</w:t>
      </w:r>
      <w:r w:rsidRPr="00E21878">
        <w:rPr>
          <w:szCs w:val="22"/>
        </w:rPr>
        <w:t>ocial support, self-awareness and helpful thinking</w:t>
      </w:r>
      <w:r>
        <w:rPr>
          <w:szCs w:val="22"/>
        </w:rPr>
        <w:t>'</w:t>
      </w:r>
      <w:r w:rsidRPr="00E21878">
        <w:rPr>
          <w:szCs w:val="22"/>
        </w:rPr>
        <w:t xml:space="preserve"> (EASE) </w:t>
      </w:r>
      <w:r w:rsidRPr="00E21878">
        <w:rPr>
          <w:szCs w:val="22"/>
        </w:rPr>
        <w:lastRenderedPageBreak/>
        <w:t>questionnaire</w:t>
      </w:r>
      <w:r w:rsidRPr="000F5A70">
        <w:t xml:space="preserve">, was </w:t>
      </w:r>
      <w:r>
        <w:t>inspired by the findings of</w:t>
      </w:r>
      <w:r w:rsidRPr="000F5A70">
        <w:t xml:space="preserve"> </w:t>
      </w:r>
      <w:r>
        <w:t xml:space="preserve">a </w:t>
      </w:r>
      <w:r w:rsidRPr="000F5A70">
        <w:t>qualitative stud</w:t>
      </w:r>
      <w:r>
        <w:t>y</w:t>
      </w:r>
      <w:r w:rsidRPr="000F5A70">
        <w:t xml:space="preserve"> involving </w:t>
      </w:r>
      <w:r>
        <w:t>epilepsy</w:t>
      </w:r>
      <w:r w:rsidRPr="000F5A70">
        <w:t xml:space="preserve"> patients</w:t>
      </w:r>
      <w:r>
        <w:t xml:space="preserve"> receiving therapy </w:t>
      </w:r>
      <w:sdt>
        <w:sdtPr>
          <w:rPr>
            <w:color w:val="000000"/>
          </w:rPr>
          <w:tag w:val="MENDELEY_CITATION_v3_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"/>
          <w:id w:val="-194691199"/>
          <w:placeholder>
            <w:docPart w:val="E083BE152A98EE49A87198EA29194721"/>
          </w:placeholder>
        </w:sdtPr>
        <w:sdtContent>
          <w:r w:rsidR="00EC7CE1" w:rsidRPr="00EC7CE1">
            <w:rPr>
              <w:color w:val="000000"/>
            </w:rPr>
            <w:t>(Michaelis et al., 2018)</w:t>
          </w:r>
        </w:sdtContent>
      </w:sdt>
      <w:r w:rsidRPr="000F5A70">
        <w:t>.</w:t>
      </w:r>
      <w:r>
        <w:t xml:space="preserve"> </w:t>
      </w:r>
      <w:r w:rsidRPr="000F5A70">
        <w:t xml:space="preserve">The questionnaire </w:t>
      </w:r>
      <w:r>
        <w:t>focused</w:t>
      </w:r>
      <w:r w:rsidRPr="000F5A70">
        <w:t xml:space="preserve"> on personal agency</w:t>
      </w:r>
      <w:r>
        <w:t>, resourcefulness and coping</w:t>
      </w:r>
      <w:r w:rsidRPr="000F5A70">
        <w:t xml:space="preserve"> </w:t>
      </w:r>
      <w:r>
        <w:t xml:space="preserve">constructs </w:t>
      </w:r>
      <w:r w:rsidRPr="000F5A70">
        <w:t xml:space="preserve">and </w:t>
      </w:r>
      <w:r>
        <w:t xml:space="preserve">was designed to capture </w:t>
      </w:r>
      <w:r w:rsidRPr="000F5A70">
        <w:t xml:space="preserve">constructs </w:t>
      </w:r>
      <w:r>
        <w:t xml:space="preserve">not measured by pathology-oriented self-report tools but highly relevant and potentially amenable to psychotherapeutic intervention </w:t>
      </w:r>
      <w:sdt>
        <w:sdtPr>
          <w:rPr>
            <w:color w:val="000000"/>
          </w:rPr>
          <w:tag w:val="MENDELEY_CITATION_v3_eyJjaXRhdGlvbklEIjoiTUVOREVMRVlfQ0lUQVRJT05fMjc2Yjg0MTQtNmEwYi00Y2Q0LTliMTgtYWI2MTk4ZjM5Njg0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
          <w:id w:val="-73436108"/>
          <w:placeholder>
            <w:docPart w:val="E083BE152A98EE49A87198EA29194721"/>
          </w:placeholder>
        </w:sdtPr>
        <w:sdtContent>
          <w:r w:rsidR="00EC7CE1" w:rsidRPr="00EC7CE1">
            <w:rPr>
              <w:color w:val="000000"/>
            </w:rPr>
            <w:t>(Michaelis et al., 2019)</w:t>
          </w:r>
        </w:sdtContent>
      </w:sdt>
      <w:r w:rsidRPr="000F5A70">
        <w:t>.</w:t>
      </w:r>
      <w:r>
        <w:t xml:space="preserve"> </w:t>
      </w:r>
      <w:r w:rsidRPr="000F5A70">
        <w:t xml:space="preserve">By demonstrating convergent validity with other established </w:t>
      </w:r>
      <w:r>
        <w:t>outcome measures</w:t>
      </w:r>
      <w:r w:rsidRPr="000F5A70">
        <w:t xml:space="preserve">, the EASE illustrates </w:t>
      </w:r>
      <w:r>
        <w:t xml:space="preserve">its </w:t>
      </w:r>
      <w:r w:rsidRPr="000F5A70">
        <w:t>potential</w:t>
      </w:r>
      <w:r>
        <w:t xml:space="preserve"> to serve as a complimentary </w:t>
      </w:r>
      <w:r w:rsidRPr="000F5A70">
        <w:t>measure</w:t>
      </w:r>
      <w:r>
        <w:t xml:space="preserve"> of treatment-related change</w:t>
      </w:r>
      <w:r w:rsidRPr="000F5A70">
        <w:t>.</w:t>
      </w:r>
      <w:r>
        <w:t xml:space="preserve"> Utilising and </w:t>
      </w:r>
      <w:r w:rsidRPr="00721CB0">
        <w:t>adapting self-report measures t</w:t>
      </w:r>
      <w:r>
        <w:t>hat</w:t>
      </w:r>
      <w:r w:rsidRPr="00721CB0">
        <w:t xml:space="preserve"> </w:t>
      </w:r>
      <w:r>
        <w:t xml:space="preserve">are </w:t>
      </w:r>
      <w:r w:rsidRPr="00721CB0">
        <w:t xml:space="preserve">closely </w:t>
      </w:r>
      <w:r>
        <w:t>related to</w:t>
      </w:r>
      <w:r w:rsidRPr="00721CB0">
        <w:t xml:space="preserve"> therap</w:t>
      </w:r>
      <w:r>
        <w:t>y-related</w:t>
      </w:r>
      <w:r w:rsidRPr="00721CB0">
        <w:t xml:space="preserve"> concepts, such as constructs of resourcefulness, which may significantly impact </w:t>
      </w:r>
      <w:r>
        <w:t>patients'</w:t>
      </w:r>
      <w:r w:rsidRPr="00721CB0">
        <w:t xml:space="preserve"> daily functioning, m</w:t>
      </w:r>
      <w:r>
        <w:t>ay</w:t>
      </w:r>
      <w:r w:rsidRPr="00721CB0">
        <w:t xml:space="preserve"> prove </w:t>
      </w:r>
      <w:r>
        <w:t>particularly</w:t>
      </w:r>
      <w:r w:rsidRPr="00721CB0">
        <w:t xml:space="preserve"> re</w:t>
      </w:r>
      <w:r>
        <w:t xml:space="preserve">levant </w:t>
      </w:r>
      <w:r w:rsidRPr="00721CB0">
        <w:t xml:space="preserve">to </w:t>
      </w:r>
      <w:r>
        <w:t xml:space="preserve">treatment-associated </w:t>
      </w:r>
      <w:r w:rsidRPr="00721CB0">
        <w:t xml:space="preserve">changes </w:t>
      </w:r>
      <w:r>
        <w:t>in patients' 'real lives'</w:t>
      </w:r>
      <w:r w:rsidRPr="00721CB0">
        <w:t xml:space="preserve"> </w:t>
      </w:r>
      <w:sdt>
        <w:sdtPr>
          <w:rPr>
            <w:color w:val="000000"/>
          </w:rPr>
          <w:tag w:val="MENDELEY_CITATION_v3_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"/>
          <w:id w:val="1908641186"/>
          <w:placeholder>
            <w:docPart w:val="E083BE152A98EE49A87198EA29194721"/>
          </w:placeholder>
        </w:sdtPr>
        <w:sdtContent>
          <w:r w:rsidR="00EC7CE1" w:rsidRPr="00EC7CE1">
            <w:rPr>
              <w:color w:val="000000"/>
            </w:rPr>
            <w:t>(Zahra et al., 2014)</w:t>
          </w:r>
        </w:sdtContent>
      </w:sdt>
      <w:r w:rsidRPr="00721CB0">
        <w:t>.</w:t>
      </w:r>
      <w:r>
        <w:t xml:space="preserve"> </w:t>
      </w:r>
      <w:r w:rsidRPr="00721CB0">
        <w:t xml:space="preserve">While the current study could not establish if the EASE </w:t>
      </w:r>
      <w:r>
        <w:t>scales were</w:t>
      </w:r>
      <w:r w:rsidRPr="00721CB0">
        <w:t xml:space="preserve"> sensitive to </w:t>
      </w:r>
      <w:r>
        <w:t>the changes associated</w:t>
      </w:r>
      <w:r w:rsidRPr="00721CB0">
        <w:t xml:space="preserve"> </w:t>
      </w:r>
      <w:r>
        <w:t>with</w:t>
      </w:r>
      <w:r w:rsidRPr="00721CB0">
        <w:t xml:space="preserve"> treatment, this offers a compelling area for future investigation.</w:t>
      </w:r>
    </w:p>
    <w:p w14:paraId="2C302F73" w14:textId="55CA7861" w:rsidR="00100D99" w:rsidRDefault="00100D99" w:rsidP="00721CB0">
      <w:pPr>
        <w:autoSpaceDE w:val="0"/>
        <w:autoSpaceDN w:val="0"/>
        <w:adjustRightInd w:val="0"/>
      </w:pPr>
      <w:r w:rsidRPr="00721CB0">
        <w:t xml:space="preserve">However, self-report measures also </w:t>
      </w:r>
      <w:r>
        <w:t>have inherent</w:t>
      </w:r>
      <w:r w:rsidRPr="00721CB0">
        <w:t xml:space="preserve"> limitations.</w:t>
      </w:r>
      <w:r>
        <w:t xml:space="preserve"> </w:t>
      </w:r>
      <w:r w:rsidRPr="00721CB0">
        <w:t>The construct under measurement can sometimes be unclear</w:t>
      </w:r>
      <w:r>
        <w:t>,</w:t>
      </w:r>
      <w:r w:rsidRPr="00721CB0">
        <w:t xml:space="preserve"> and while individuals generally have good insight into their cognitive content, they often have limited insight into the processes that generated this content </w:t>
      </w:r>
      <w:sdt>
        <w:sdtPr>
          <w:rPr>
            <w:color w:val="000000"/>
          </w:rPr>
          <w:tag w:val="MENDELEY_CITATION_v3_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"/>
          <w:id w:val="1795864004"/>
          <w:placeholder>
            <w:docPart w:val="E083BE152A98EE49A87198EA29194721"/>
          </w:placeholder>
        </w:sdtPr>
        <w:sdtContent>
          <w:r w:rsidR="00EC7CE1" w:rsidRPr="00EC7CE1">
            <w:rPr>
              <w:color w:val="000000"/>
            </w:rPr>
            <w:t>(Johansson et al., 2006)</w:t>
          </w:r>
        </w:sdtContent>
      </w:sdt>
      <w:r w:rsidRPr="00721CB0">
        <w:t>.</w:t>
      </w:r>
      <w:r>
        <w:t xml:space="preserve"> </w:t>
      </w:r>
    </w:p>
    <w:p w14:paraId="4F9906F9" w14:textId="55327AD5" w:rsidR="00100D99" w:rsidRDefault="00100D99" w:rsidP="00721CB0">
      <w:pPr>
        <w:autoSpaceDE w:val="0"/>
        <w:autoSpaceDN w:val="0"/>
        <w:adjustRightInd w:val="0"/>
        <w:rPr>
          <w:rFonts w:cs="Arial"/>
        </w:rPr>
      </w:pPr>
      <w:r>
        <w:t>While d</w:t>
      </w:r>
      <w:r w:rsidRPr="00721CB0">
        <w:t xml:space="preserve">iscrepancies between </w:t>
      </w:r>
      <w:r>
        <w:t>self-reported</w:t>
      </w:r>
      <w:r w:rsidRPr="00721CB0">
        <w:t xml:space="preserve"> and objective measures are not </w:t>
      </w:r>
      <w:r>
        <w:t xml:space="preserve">limited to </w:t>
      </w:r>
      <w:r w:rsidRPr="00721CB0">
        <w:t>FNSD</w:t>
      </w:r>
      <w:r>
        <w:t>, t</w:t>
      </w:r>
      <w:r w:rsidRPr="00721CB0">
        <w:t xml:space="preserve">hese issues are amplified when dealing with FNSD patients, who may have increased dissociative tendencies, high levels of alexithymia, and strong internal expectations that can bias their perception </w:t>
      </w:r>
      <w:sdt>
        <w:sdtPr>
          <w:rPr>
            <w:color w:val="000000"/>
          </w:rPr>
          <w:tag w:val="MENDELEY_CITATION_v3_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"/>
          <w:id w:val="1130669339"/>
          <w:placeholder>
            <w:docPart w:val="E083BE152A98EE49A87198EA29194721"/>
          </w:placeholder>
        </w:sdtPr>
        <w:sdtContent>
          <w:r w:rsidR="00EC7CE1" w:rsidRPr="00EC7CE1">
            <w:rPr>
              <w:color w:val="000000"/>
            </w:rPr>
            <w:t xml:space="preserve">(Demartini, </w:t>
          </w:r>
          <w:proofErr w:type="spellStart"/>
          <w:r w:rsidR="00EC7CE1" w:rsidRPr="00EC7CE1">
            <w:rPr>
              <w:color w:val="000000"/>
            </w:rPr>
            <w:t>Petrochilos</w:t>
          </w:r>
          <w:proofErr w:type="spellEnd"/>
          <w:r w:rsidR="00EC7CE1" w:rsidRPr="00EC7CE1">
            <w:rPr>
              <w:color w:val="000000"/>
            </w:rPr>
            <w:t>, et al., 2014; M. J. Edwards et al., 2012; I. A. Williams et al., 2021; I. A. Williams, Levita, et al., 2018)</w:t>
          </w:r>
        </w:sdtContent>
      </w:sdt>
      <w:r w:rsidRPr="00721CB0">
        <w:t>.</w:t>
      </w:r>
      <w:r>
        <w:t xml:space="preserve"> </w:t>
      </w:r>
      <w:r w:rsidRPr="00721CB0">
        <w:t xml:space="preserve">These factors </w:t>
      </w:r>
      <w:r>
        <w:t>raise</w:t>
      </w:r>
      <w:r w:rsidRPr="00721CB0">
        <w:t xml:space="preserve"> questions regarding the reliability of self-reported information in FNSD patients.</w:t>
      </w:r>
      <w:r>
        <w:t xml:space="preserve"> </w:t>
      </w:r>
      <w:r w:rsidRPr="00721CB0">
        <w:t xml:space="preserve">This suggests the necessity </w:t>
      </w:r>
      <w:r>
        <w:t>o</w:t>
      </w:r>
      <w:r w:rsidRPr="00721CB0">
        <w:t>f</w:t>
      </w:r>
      <w:r>
        <w:t xml:space="preserve"> </w:t>
      </w:r>
      <w:r w:rsidRPr="00721CB0">
        <w:t>approach</w:t>
      </w:r>
      <w:r>
        <w:t>es</w:t>
      </w:r>
      <w:r w:rsidRPr="00721CB0">
        <w:t xml:space="preserve"> </w:t>
      </w:r>
      <w:r>
        <w:t>combining</w:t>
      </w:r>
      <w:r w:rsidRPr="00721CB0">
        <w:t xml:space="preserve"> subjective and objective measures, </w:t>
      </w:r>
      <w:r>
        <w:t>carefully considering</w:t>
      </w:r>
      <w:r w:rsidRPr="00721CB0">
        <w:t xml:space="preserve"> any mismatch between them.</w:t>
      </w:r>
      <w:r>
        <w:t xml:space="preserve"> Especially in the context of FNSD, the</w:t>
      </w:r>
      <w:r w:rsidRPr="00721CB0">
        <w:t xml:space="preserve"> discrepancy between self-report and objective measures could</w:t>
      </w:r>
      <w:r>
        <w:t xml:space="preserve"> be</w:t>
      </w:r>
      <w:r w:rsidRPr="00721CB0">
        <w:t xml:space="preserve"> </w:t>
      </w:r>
      <w:r>
        <w:t>viewed as</w:t>
      </w:r>
      <w:r w:rsidRPr="00721CB0">
        <w:t xml:space="preserve"> a</w:t>
      </w:r>
      <w:r>
        <w:t>n important observation</w:t>
      </w:r>
      <w:r w:rsidRPr="00721CB0">
        <w:t xml:space="preserve"> in its own right, interpreted as a potential marker of a genuine dysregulation of interocepti</w:t>
      </w:r>
      <w:r>
        <w:t>ve</w:t>
      </w:r>
      <w:r w:rsidRPr="00721CB0">
        <w:t xml:space="preserve"> capacity</w:t>
      </w:r>
      <w:r>
        <w:t>.</w:t>
      </w:r>
      <w:r>
        <w:rPr>
          <w:rFonts w:cs="Arial"/>
        </w:rPr>
        <w:t xml:space="preserve"> </w:t>
      </w:r>
    </w:p>
    <w:p w14:paraId="3CAD6123" w14:textId="77777777" w:rsidR="00100D99" w:rsidRDefault="00100D99" w:rsidP="005A2F5C">
      <w:pPr>
        <w:pStyle w:val="Heading2"/>
        <w:rPr>
          <w:rFonts w:ascii="Avenir Book" w:hAnsi="Avenir Book"/>
        </w:rPr>
      </w:pPr>
      <w:bookmarkStart w:id="187" w:name="_Toc137504799"/>
      <w:r>
        <w:t>6.2 Emergency Service Use for FNSD outcome measurement</w:t>
      </w:r>
      <w:bookmarkEnd w:id="187"/>
    </w:p>
    <w:p w14:paraId="62745E05" w14:textId="77777777" w:rsidR="00100D99" w:rsidRPr="00174DEB" w:rsidRDefault="00100D99" w:rsidP="0065770C">
      <w:r>
        <w:t>The high levels of urgent and emergency care (UEC) use documented in the cross-sectional comparison with general population usage data supports the potential role of UEC utilisation data as a measure of the current state and functioning of particular relevance for patients with FNSD. However, interpreting</w:t>
      </w:r>
      <w:r w:rsidRPr="00174DEB">
        <w:t xml:space="preserve"> healthcare </w:t>
      </w:r>
      <w:r>
        <w:t>utilisation</w:t>
      </w:r>
      <w:r w:rsidRPr="00174DEB">
        <w:t xml:space="preserve"> patterns </w:t>
      </w:r>
      <w:r>
        <w:lastRenderedPageBreak/>
        <w:t>as an indicator of</w:t>
      </w:r>
      <w:r w:rsidRPr="00174DEB">
        <w:t xml:space="preserve"> current health state, treatment effectiveness, and treatment-related changes in patients with </w:t>
      </w:r>
      <w:r>
        <w:t xml:space="preserve">FNSD is </w:t>
      </w:r>
      <w:r w:rsidRPr="00174DEB">
        <w:t xml:space="preserve">complex </w:t>
      </w:r>
      <w:r>
        <w:t xml:space="preserve">and likely to require a multidimensional analytic </w:t>
      </w:r>
      <w:r w:rsidRPr="00ED25E1">
        <w:t>approach</w:t>
      </w:r>
      <w:r w:rsidRPr="00174DEB">
        <w:t>.</w:t>
      </w:r>
    </w:p>
    <w:p w14:paraId="2547CBA5" w14:textId="77777777" w:rsidR="00100D99" w:rsidRPr="00174DEB" w:rsidRDefault="00100D99" w:rsidP="0065770C">
      <w:r w:rsidRPr="00ED25E1">
        <w:t xml:space="preserve">Despite </w:t>
      </w:r>
      <w:r>
        <w:t>its</w:t>
      </w:r>
      <w:r w:rsidRPr="00ED25E1">
        <w:t xml:space="preserve"> limitations, the current research</w:t>
      </w:r>
      <w:r w:rsidRPr="00174DEB">
        <w:t xml:space="preserve"> demonstrated that emergency service </w:t>
      </w:r>
      <w:r>
        <w:t>utilisation</w:t>
      </w:r>
      <w:r w:rsidRPr="00ED25E1">
        <w:t xml:space="preserve"> rates can capture </w:t>
      </w:r>
      <w:r>
        <w:t xml:space="preserve">treatment-associated </w:t>
      </w:r>
      <w:r w:rsidRPr="00ED25E1">
        <w:t>change.</w:t>
      </w:r>
      <w:r>
        <w:t xml:space="preserve"> While UEC service use increased steadily over the 18 months before psychotherapy, it declined during and immediately after psychotherapeutic intervention before increasing again towards the pre-treatment baseline by the end of an 18-month follow-up period. The factors underlying these patterns likely suggest</w:t>
      </w:r>
      <w:r w:rsidRPr="00174DEB">
        <w:t xml:space="preserve"> a complex interplay of variables beyond the impact of </w:t>
      </w:r>
      <w:r>
        <w:t xml:space="preserve">the </w:t>
      </w:r>
      <w:r w:rsidRPr="00174DEB">
        <w:t>treatment itself.</w:t>
      </w:r>
    </w:p>
    <w:p w14:paraId="4E5C4D03" w14:textId="77777777" w:rsidR="00100D99" w:rsidRPr="00174DEB" w:rsidRDefault="00100D99" w:rsidP="0065770C">
      <w:r w:rsidRPr="00174DEB">
        <w:t xml:space="preserve">Accurate comparison and analysis of treatment effects </w:t>
      </w:r>
      <w:r w:rsidRPr="00ED25E1">
        <w:t xml:space="preserve">may </w:t>
      </w:r>
      <w:r w:rsidRPr="00174DEB">
        <w:t xml:space="preserve">require well-matched controls that can effectively account for confounding variables, thereby providing a clearer picture of the </w:t>
      </w:r>
      <w:r>
        <w:t>treatment's</w:t>
      </w:r>
      <w:r w:rsidRPr="00174DEB">
        <w:t xml:space="preserve"> impact</w:t>
      </w:r>
      <w:r w:rsidRPr="00ED25E1">
        <w:t xml:space="preserve"> and effectiveness</w:t>
      </w:r>
      <w:r>
        <w:t xml:space="preserve"> and the specific reasons why individuals access emergency services</w:t>
      </w:r>
      <w:r w:rsidRPr="00ED25E1">
        <w:t xml:space="preserve">. </w:t>
      </w:r>
    </w:p>
    <w:p w14:paraId="46033E49" w14:textId="6DB879AB" w:rsidR="00100D99" w:rsidRPr="00ED25E1" w:rsidRDefault="00100D99" w:rsidP="0065770C">
      <w:r w:rsidRPr="00174DEB">
        <w:t xml:space="preserve">The use of healthcare </w:t>
      </w:r>
      <w:r>
        <w:t>utilisation</w:t>
      </w:r>
      <w:r w:rsidRPr="00174DEB">
        <w:t xml:space="preserve"> as a </w:t>
      </w:r>
      <w:r w:rsidRPr="00ED25E1">
        <w:t>group</w:t>
      </w:r>
      <w:r w:rsidRPr="00174DEB">
        <w:t>-level metric in th</w:t>
      </w:r>
      <w:r>
        <w:t>is project</w:t>
      </w:r>
      <w:r w:rsidRPr="00174DEB">
        <w:t xml:space="preserve"> presents challenges in extrapolating findings to individual patients.</w:t>
      </w:r>
      <w:r>
        <w:t xml:space="preserve"> </w:t>
      </w:r>
      <w:r w:rsidRPr="00174DEB">
        <w:t>While broad trends can be discerned</w:t>
      </w:r>
      <w:r w:rsidRPr="00ED25E1">
        <w:t xml:space="preserve"> for emergency service use </w:t>
      </w:r>
      <w:r>
        <w:t>on a population level</w:t>
      </w:r>
      <w:r w:rsidRPr="00174DEB">
        <w:t xml:space="preserve">, these data may not accurately reflect </w:t>
      </w:r>
      <w:r>
        <w:t>individual patients'</w:t>
      </w:r>
      <w:r w:rsidRPr="00174DEB">
        <w:t xml:space="preserve"> health </w:t>
      </w:r>
      <w:r>
        <w:t>states</w:t>
      </w:r>
      <w:r w:rsidRPr="00174DEB">
        <w:t xml:space="preserve"> or treatment outcomes.</w:t>
      </w:r>
      <w:r>
        <w:t xml:space="preserve"> Comorbid physical and mental health conditions are likely to have a major effect on individual patients </w:t>
      </w:r>
      <w:sdt>
        <w:sdtPr>
          <w:rPr>
            <w:color w:val="000000"/>
          </w:rPr>
          <w:tag w:val="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"/>
          <w:id w:val="-628391979"/>
          <w:placeholder>
            <w:docPart w:val="E083BE152A98EE49A87198EA29194721"/>
          </w:placeholder>
        </w:sdtPr>
        <w:sdtContent>
          <w:r w:rsidR="00EC7CE1" w:rsidRPr="00EC7CE1">
            <w:rPr>
              <w:color w:val="000000"/>
            </w:rPr>
            <w:t>(</w:t>
          </w:r>
          <w:proofErr w:type="spellStart"/>
          <w:r w:rsidR="00EC7CE1" w:rsidRPr="00EC7CE1">
            <w:rPr>
              <w:color w:val="000000"/>
            </w:rPr>
            <w:t>Jennum</w:t>
          </w:r>
          <w:proofErr w:type="spellEnd"/>
          <w:r w:rsidR="00EC7CE1" w:rsidRPr="00EC7CE1">
            <w:rPr>
              <w:color w:val="000000"/>
            </w:rPr>
            <w:t xml:space="preserve"> et al., 2019; Zhang et al., 2022)</w:t>
          </w:r>
        </w:sdtContent>
      </w:sdt>
      <w:r>
        <w:t>. To</w:t>
      </w:r>
      <w:r w:rsidRPr="00ED25E1">
        <w:t xml:space="preserve"> </w:t>
      </w:r>
      <w:r>
        <w:t>utilise</w:t>
      </w:r>
      <w:r w:rsidRPr="00ED25E1">
        <w:t xml:space="preserve"> emergency use as an outcome measure on </w:t>
      </w:r>
      <w:r>
        <w:t xml:space="preserve">a subgroup or patient </w:t>
      </w:r>
      <w:r w:rsidRPr="00ED25E1">
        <w:t xml:space="preserve">level, </w:t>
      </w:r>
      <w:r>
        <w:t>individualised</w:t>
      </w:r>
      <w:r w:rsidRPr="00174DEB">
        <w:t xml:space="preserve"> patient trajectories</w:t>
      </w:r>
      <w:r w:rsidRPr="00ED25E1">
        <w:t xml:space="preserve"> and flow would </w:t>
      </w:r>
      <w:r>
        <w:t>need to be examined to understand</w:t>
      </w:r>
      <w:r w:rsidRPr="00ED25E1">
        <w:t xml:space="preserve"> treatment-related change</w:t>
      </w:r>
      <w:r>
        <w:t>s</w:t>
      </w:r>
      <w:r w:rsidRPr="00ED25E1">
        <w:t>.</w:t>
      </w:r>
      <w:r>
        <w:t xml:space="preserve"> </w:t>
      </w:r>
      <w:r w:rsidRPr="00ED25E1">
        <w:t xml:space="preserve">Furthermore, rates may only show one aspect of change that does not necessarily </w:t>
      </w:r>
      <w:r>
        <w:t>reflect the overall change of healthcare use,</w:t>
      </w:r>
      <w:r w:rsidRPr="00ED25E1">
        <w:t xml:space="preserve"> </w:t>
      </w:r>
      <w:r>
        <w:t>e.g.,</w:t>
      </w:r>
      <w:r w:rsidRPr="00ED25E1">
        <w:t xml:space="preserve"> an increase in UEC rate may </w:t>
      </w:r>
      <w:r>
        <w:t>result from</w:t>
      </w:r>
      <w:r w:rsidRPr="00ED25E1">
        <w:t xml:space="preserve"> </w:t>
      </w:r>
      <w:r>
        <w:t>reduced</w:t>
      </w:r>
      <w:r w:rsidRPr="00ED25E1">
        <w:t xml:space="preserve"> use of routine or pre-planned care</w:t>
      </w:r>
      <w:r>
        <w:t xml:space="preserve"> and vice versa</w:t>
      </w:r>
      <w:r w:rsidRPr="00174DEB">
        <w:t>.</w:t>
      </w:r>
      <w:r>
        <w:t xml:space="preserve"> </w:t>
      </w:r>
      <w:r w:rsidRPr="00ED25E1">
        <w:t>Consideration of the features of use</w:t>
      </w:r>
      <w:r>
        <w:t>,</w:t>
      </w:r>
      <w:r w:rsidRPr="00ED25E1">
        <w:t xml:space="preserve"> e.g. overlap with other UEC or secondary/tertiary services</w:t>
      </w:r>
      <w:r>
        <w:t>,</w:t>
      </w:r>
      <w:r w:rsidRPr="00ED25E1">
        <w:t xml:space="preserve"> as well as outcomes from each contact</w:t>
      </w:r>
      <w:r>
        <w:t>,</w:t>
      </w:r>
      <w:r w:rsidRPr="00ED25E1">
        <w:t xml:space="preserve"> </w:t>
      </w:r>
      <w:r>
        <w:t>may be</w:t>
      </w:r>
      <w:r w:rsidRPr="00ED25E1">
        <w:t xml:space="preserve"> more indicative.</w:t>
      </w:r>
      <w:r>
        <w:t xml:space="preserve"> </w:t>
      </w:r>
    </w:p>
    <w:p w14:paraId="05795A54" w14:textId="0F4F1362" w:rsidR="00100D99" w:rsidRPr="00ED25E1" w:rsidRDefault="00100D99" w:rsidP="0065770C">
      <w:r>
        <w:t xml:space="preserve">One aspect increasing the attractiveness of UEC (and other healthcare) usage rates as an outcome measure is the </w:t>
      </w:r>
      <w:r w:rsidRPr="00ED25E1">
        <w:t>opportunity to conduct economic evaluations of different treatment modalities.</w:t>
      </w:r>
      <w:r>
        <w:t xml:space="preserve"> </w:t>
      </w:r>
      <w:r w:rsidRPr="00ED25E1">
        <w:t>Given that the objective of cost-effectiveness analysis in health care is to examine both the costs and health effects of treatment and compare them with alternative</w:t>
      </w:r>
      <w:r>
        <w:t>s</w:t>
      </w:r>
      <w:r w:rsidRPr="00ED25E1">
        <w:t>, enabling researchers and healthcare providers to understand better the trade-offs between different health interventions given the constrained resources</w:t>
      </w:r>
      <w:r>
        <w:t xml:space="preserve"> </w:t>
      </w:r>
      <w:sdt>
        <w:sdtPr>
          <w:rPr>
            <w:color w:val="000000"/>
          </w:rPr>
          <w:tag w:val="MENDELEY_CITATION_v3_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"/>
          <w:id w:val="-688520238"/>
          <w:placeholder>
            <w:docPart w:val="E083BE152A98EE49A87198EA29194721"/>
          </w:placeholder>
        </w:sdtPr>
        <w:sdtContent>
          <w:r w:rsidR="00EC7CE1" w:rsidRPr="00EC7CE1">
            <w:rPr>
              <w:color w:val="000000"/>
            </w:rPr>
            <w:t>(Robinson, 1993)</w:t>
          </w:r>
        </w:sdtContent>
      </w:sdt>
      <w:r>
        <w:t>,</w:t>
      </w:r>
      <w:r w:rsidRPr="00ED25E1">
        <w:t xml:space="preserve"> specific factors should be considered for FNSD.</w:t>
      </w:r>
      <w:r>
        <w:t xml:space="preserve"> </w:t>
      </w:r>
      <w:r w:rsidRPr="00ED25E1">
        <w:t xml:space="preserve">The complex </w:t>
      </w:r>
      <w:r w:rsidRPr="00ED25E1">
        <w:lastRenderedPageBreak/>
        <w:t xml:space="preserve">manifestations of FNSD </w:t>
      </w:r>
      <w:r>
        <w:t>necessitate</w:t>
      </w:r>
      <w:r w:rsidRPr="00ED25E1">
        <w:t xml:space="preserve"> a </w:t>
      </w:r>
      <w:r>
        <w:t>multidimensional</w:t>
      </w:r>
      <w:r w:rsidRPr="00ED25E1">
        <w:t xml:space="preserve"> approach in terms of treatment.</w:t>
      </w:r>
      <w:r>
        <w:t xml:space="preserve"> </w:t>
      </w:r>
      <w:r w:rsidRPr="00ED25E1">
        <w:t xml:space="preserve">Therefore, cost analysis would need to </w:t>
      </w:r>
      <w:r>
        <w:t>consider</w:t>
      </w:r>
      <w:r w:rsidRPr="00ED25E1">
        <w:t xml:space="preserve"> the </w:t>
      </w:r>
      <w:r>
        <w:t>various</w:t>
      </w:r>
      <w:r w:rsidRPr="00ED25E1">
        <w:t xml:space="preserve"> resources </w:t>
      </w:r>
      <w:r>
        <w:t>utilised</w:t>
      </w:r>
      <w:r w:rsidRPr="00ED25E1">
        <w:t xml:space="preserve"> for managing the disease, including different therapies, medications, and other healthcare contacts.</w:t>
      </w:r>
      <w:r>
        <w:t xml:space="preserve"> Treatment costs for co</w:t>
      </w:r>
      <w:r w:rsidRPr="00ED25E1">
        <w:t>morbidit</w:t>
      </w:r>
      <w:r>
        <w:t>ies</w:t>
      </w:r>
      <w:r w:rsidRPr="00ED25E1">
        <w:t xml:space="preserve"> prevalent in FNSD patients would also need to be accounted for</w:t>
      </w:r>
      <w:r>
        <w:t>,</w:t>
      </w:r>
      <w:r w:rsidRPr="00ED25E1">
        <w:t xml:space="preserve"> as well </w:t>
      </w:r>
      <w:r>
        <w:t>a</w:t>
      </w:r>
      <w:r w:rsidRPr="00ED25E1">
        <w:t xml:space="preserve">s </w:t>
      </w:r>
      <w:r>
        <w:t xml:space="preserve">the high </w:t>
      </w:r>
      <w:r w:rsidRPr="00ED25E1">
        <w:t xml:space="preserve">impact </w:t>
      </w:r>
      <w:r>
        <w:t xml:space="preserve">FNSD can have on social costs </w:t>
      </w:r>
      <w:r w:rsidRPr="00ED25E1">
        <w:t>due to</w:t>
      </w:r>
      <w:r>
        <w:t xml:space="preserve"> patient's inability to work and need for care – often delivered informally by family members. </w:t>
      </w:r>
    </w:p>
    <w:p w14:paraId="1B8AF9E5" w14:textId="77777777" w:rsidR="00100D99" w:rsidRPr="00ED25E1" w:rsidRDefault="00100D99" w:rsidP="0065770C">
      <w:r w:rsidRPr="00ED25E1">
        <w:t>F</w:t>
      </w:r>
      <w:r w:rsidRPr="00174DEB">
        <w:t>actors such as socioeconomic status, access to various levels of healthcare (primary, secondary, or tertiary), and proximity to emergency departments play significant roles in determining emergency care use</w:t>
      </w:r>
      <w:r>
        <w:t>. These may</w:t>
      </w:r>
      <w:r w:rsidRPr="00ED25E1">
        <w:t xml:space="preserve"> </w:t>
      </w:r>
      <w:r>
        <w:t xml:space="preserve">act as </w:t>
      </w:r>
      <w:r w:rsidRPr="00ED25E1">
        <w:t>moderating factors to usage rates.</w:t>
      </w:r>
      <w:r>
        <w:t xml:space="preserve"> At the same time,</w:t>
      </w:r>
      <w:r w:rsidRPr="00ED25E1">
        <w:t xml:space="preserve"> </w:t>
      </w:r>
      <w:r w:rsidRPr="00174DEB">
        <w:t>other aspects of patient health</w:t>
      </w:r>
      <w:r>
        <w:t>,</w:t>
      </w:r>
      <w:r w:rsidRPr="00174DEB">
        <w:t xml:space="preserve"> such as coping mechanisms and self-management capabilities</w:t>
      </w:r>
      <w:r>
        <w:t>,</w:t>
      </w:r>
      <w:r w:rsidRPr="00174DEB">
        <w:t xml:space="preserve"> may also influence healthcare </w:t>
      </w:r>
      <w:r>
        <w:t>utilisation</w:t>
      </w:r>
      <w:r w:rsidRPr="00174DEB">
        <w:t xml:space="preserve"> patterns.</w:t>
      </w:r>
      <w:r>
        <w:t xml:space="preserve"> </w:t>
      </w:r>
      <w:r w:rsidRPr="00ED25E1">
        <w:t xml:space="preserve">Further </w:t>
      </w:r>
      <w:r>
        <w:t>emphasising</w:t>
      </w:r>
      <w:r w:rsidRPr="00ED25E1">
        <w:t xml:space="preserve"> the importance of incorporating a range of outcome measures.</w:t>
      </w:r>
    </w:p>
    <w:p w14:paraId="3DA19491" w14:textId="77777777" w:rsidR="00100D99" w:rsidRPr="00174DEB" w:rsidRDefault="00100D99" w:rsidP="0065770C">
      <w:r>
        <w:t>While there is, therefore, much more work to be done to identify the best aspects of healthcare utilisation to measure, t</w:t>
      </w:r>
      <w:r w:rsidRPr="00174DEB">
        <w:t xml:space="preserve">he congruence of </w:t>
      </w:r>
      <w:r>
        <w:t>the</w:t>
      </w:r>
      <w:r w:rsidRPr="00174DEB">
        <w:t xml:space="preserve"> findings with previous literature</w:t>
      </w:r>
      <w:r w:rsidRPr="00ED25E1">
        <w:t>, both behaviourally assessed and through self-reports,</w:t>
      </w:r>
      <w:r w:rsidRPr="00174DEB">
        <w:t xml:space="preserve"> provides initial evidence that emergency service </w:t>
      </w:r>
      <w:r>
        <w:t>utilisation</w:t>
      </w:r>
      <w:r w:rsidRPr="00174DEB">
        <w:t xml:space="preserve"> may serve as a </w:t>
      </w:r>
      <w:r>
        <w:t>valuable</w:t>
      </w:r>
      <w:r w:rsidRPr="00174DEB">
        <w:t xml:space="preserve"> proxy for evaluating treatment effectiveness and treatment-related change.</w:t>
      </w:r>
      <w:r>
        <w:t xml:space="preserve"> </w:t>
      </w:r>
      <w:r w:rsidRPr="00ED25E1">
        <w:t xml:space="preserve">Its combination with self-report questionnaires might paint a better picture of patient experience and draw links between the </w:t>
      </w:r>
      <w:r>
        <w:t xml:space="preserve">disorder's </w:t>
      </w:r>
      <w:r w:rsidRPr="00ED25E1">
        <w:t>pathogenesis, maintenance and societal impact.</w:t>
      </w:r>
    </w:p>
    <w:p w14:paraId="7ACD585D" w14:textId="77777777" w:rsidR="00100D99" w:rsidRDefault="00100D99" w:rsidP="00E06EF2">
      <w:r>
        <w:t>Furthermore, t</w:t>
      </w:r>
      <w:r w:rsidRPr="00174DEB">
        <w:t>his approach provide</w:t>
      </w:r>
      <w:r>
        <w:t>s a</w:t>
      </w:r>
      <w:r w:rsidRPr="00174DEB">
        <w:t xml:space="preserve"> perspective </w:t>
      </w:r>
      <w:r>
        <w:t>of</w:t>
      </w:r>
      <w:r w:rsidRPr="00174DEB">
        <w:t xml:space="preserve"> outcomes</w:t>
      </w:r>
      <w:r>
        <w:t xml:space="preserve"> which has particularly direct</w:t>
      </w:r>
      <w:r w:rsidRPr="00174DEB">
        <w:t xml:space="preserve"> implications for </w:t>
      </w:r>
      <w:r>
        <w:t>the optimal allocation</w:t>
      </w:r>
      <w:r w:rsidRPr="00174DEB">
        <w:t xml:space="preserve"> </w:t>
      </w:r>
      <w:r>
        <w:t xml:space="preserve">of </w:t>
      </w:r>
      <w:r w:rsidRPr="00174DEB">
        <w:t>healthcare resources</w:t>
      </w:r>
      <w:r>
        <w:t xml:space="preserve"> and </w:t>
      </w:r>
      <w:r w:rsidRPr="00174DEB">
        <w:t xml:space="preserve">treatment </w:t>
      </w:r>
      <w:r>
        <w:t xml:space="preserve">pathway </w:t>
      </w:r>
      <w:r w:rsidRPr="00174DEB">
        <w:t>development.</w:t>
      </w:r>
      <w:r w:rsidRPr="00ED25E1">
        <w:t xml:space="preserve"> </w:t>
      </w:r>
    </w:p>
    <w:p w14:paraId="32C3D1E2" w14:textId="77777777" w:rsidR="00100D99" w:rsidRPr="005A2F5C" w:rsidRDefault="00100D99" w:rsidP="005A2F5C">
      <w:pPr>
        <w:pStyle w:val="Heading2"/>
      </w:pPr>
      <w:bookmarkStart w:id="188" w:name="_Toc137504800"/>
      <w:r w:rsidRPr="005A2F5C">
        <w:t>6.3 Utilising Cognitive Affective Traits for FNSD outcome measurement</w:t>
      </w:r>
      <w:bookmarkEnd w:id="188"/>
      <w:r w:rsidRPr="005A2F5C">
        <w:t xml:space="preserve"> </w:t>
      </w:r>
    </w:p>
    <w:p w14:paraId="1D57ACBC" w14:textId="67DD3A2C" w:rsidR="00100D99" w:rsidRPr="00160F51" w:rsidRDefault="00100D99" w:rsidP="00AD1D5E">
      <w:pPr>
        <w:rPr>
          <w:lang w:eastAsia="en-GB"/>
        </w:rPr>
      </w:pPr>
      <w:r>
        <w:rPr>
          <w:lang w:eastAsia="en-GB"/>
        </w:rPr>
        <w:t>The use of</w:t>
      </w:r>
      <w:r w:rsidRPr="001A5B6D">
        <w:rPr>
          <w:lang w:eastAsia="en-GB"/>
        </w:rPr>
        <w:t xml:space="preserve"> measures such as negative affecti</w:t>
      </w:r>
      <w:r>
        <w:rPr>
          <w:lang w:eastAsia="en-GB"/>
        </w:rPr>
        <w:t>ve</w:t>
      </w:r>
      <w:r w:rsidRPr="001A5B6D">
        <w:rPr>
          <w:lang w:eastAsia="en-GB"/>
        </w:rPr>
        <w:t xml:space="preserve"> priming tasks and delay discounting that implicitly assess cognitive </w:t>
      </w:r>
      <w:r>
        <w:rPr>
          <w:lang w:eastAsia="en-GB"/>
        </w:rPr>
        <w:t xml:space="preserve">and </w:t>
      </w:r>
      <w:r w:rsidRPr="001A5B6D">
        <w:rPr>
          <w:lang w:eastAsia="en-GB"/>
        </w:rPr>
        <w:t>affective traits as FNSD outcome measures warrant</w:t>
      </w:r>
      <w:r>
        <w:rPr>
          <w:lang w:eastAsia="en-GB"/>
        </w:rPr>
        <w:t>s a</w:t>
      </w:r>
      <w:r w:rsidRPr="001A5B6D">
        <w:rPr>
          <w:lang w:eastAsia="en-GB"/>
        </w:rPr>
        <w:t xml:space="preserve"> depth of understanding of FNSD psychopathology</w:t>
      </w:r>
      <w:r>
        <w:rPr>
          <w:lang w:eastAsia="en-GB"/>
        </w:rPr>
        <w:t xml:space="preserve">. </w:t>
      </w:r>
      <w:r w:rsidRPr="001A5B6D">
        <w:rPr>
          <w:lang w:eastAsia="en-GB"/>
        </w:rPr>
        <w:t>Study 3 successfully replicated previous findings</w:t>
      </w:r>
      <w:r>
        <w:rPr>
          <w:lang w:eastAsia="en-GB"/>
        </w:rPr>
        <w:t xml:space="preserve"> </w:t>
      </w:r>
      <w:r w:rsidRPr="001A5B6D">
        <w:rPr>
          <w:lang w:eastAsia="en-GB"/>
        </w:rPr>
        <w:t>indicating attentional biases in FNSD patients compared to healthy in the negative affective priming task</w:t>
      </w:r>
      <w:r>
        <w:rPr>
          <w:lang w:eastAsia="en-GB"/>
        </w:rPr>
        <w:t xml:space="preserve"> </w:t>
      </w:r>
      <w:sdt>
        <w:sdtPr>
          <w:rPr>
            <w:color w:val="000000"/>
            <w:lang w:eastAsia="en-GB"/>
          </w:rPr>
          <w:tag w:val="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"/>
          <w:id w:val="1979650075"/>
          <w:placeholder>
            <w:docPart w:val="71DF423F5469074FB7F07139D380EF43"/>
          </w:placeholder>
        </w:sdtPr>
        <w:sdtContent>
          <w:r w:rsidR="00EC7CE1" w:rsidRPr="00EC7CE1">
            <w:rPr>
              <w:color w:val="000000"/>
              <w:lang w:eastAsia="en-GB"/>
            </w:rPr>
            <w:t>(</w:t>
          </w:r>
          <w:proofErr w:type="spellStart"/>
          <w:r w:rsidR="00EC7CE1" w:rsidRPr="00EC7CE1">
            <w:rPr>
              <w:color w:val="000000"/>
              <w:lang w:eastAsia="en-GB"/>
            </w:rPr>
            <w:t>Keynejad</w:t>
          </w:r>
          <w:proofErr w:type="spellEnd"/>
          <w:r w:rsidR="00EC7CE1" w:rsidRPr="00EC7CE1">
            <w:rPr>
              <w:color w:val="000000"/>
              <w:lang w:eastAsia="en-GB"/>
            </w:rPr>
            <w:t xml:space="preserve"> et al., 2020; Ricciardi et al., 2016)</w:t>
          </w:r>
        </w:sdtContent>
      </w:sdt>
      <w:r w:rsidRPr="001A5B6D">
        <w:rPr>
          <w:lang w:eastAsia="en-GB"/>
        </w:rPr>
        <w:t>.</w:t>
      </w:r>
      <w:r>
        <w:rPr>
          <w:lang w:eastAsia="en-GB"/>
        </w:rPr>
        <w:t xml:space="preserve"> The findings that delay discounting also differentiated between FNSD and healthy controls group and aligned w</w:t>
      </w:r>
      <w:r w:rsidRPr="001A5B6D">
        <w:rPr>
          <w:rFonts w:cs="Times New Roman"/>
          <w:lang w:eastAsia="en-GB"/>
        </w:rPr>
        <w:t xml:space="preserve">ith </w:t>
      </w:r>
      <w:r>
        <w:rPr>
          <w:rFonts w:cs="Times New Roman"/>
          <w:lang w:eastAsia="en-GB"/>
        </w:rPr>
        <w:t xml:space="preserve">a </w:t>
      </w:r>
      <w:r w:rsidRPr="001A5B6D">
        <w:rPr>
          <w:rFonts w:cs="Times New Roman"/>
          <w:lang w:eastAsia="en-GB"/>
        </w:rPr>
        <w:t xml:space="preserve">previous </w:t>
      </w:r>
      <w:r>
        <w:rPr>
          <w:rFonts w:cs="Times New Roman"/>
          <w:lang w:eastAsia="en-GB"/>
        </w:rPr>
        <w:t>study</w:t>
      </w:r>
      <w:r w:rsidRPr="001A5B6D">
        <w:rPr>
          <w:rFonts w:cs="Times New Roman"/>
          <w:lang w:eastAsia="en-GB"/>
        </w:rPr>
        <w:t xml:space="preserve"> </w:t>
      </w:r>
      <w:r>
        <w:rPr>
          <w:rFonts w:cs="Times New Roman"/>
          <w:lang w:eastAsia="en-GB"/>
        </w:rPr>
        <w:t xml:space="preserve">suggesting a relationship between anxiety or stress and discounting rates </w:t>
      </w:r>
      <w:sdt>
        <w:sdtPr>
          <w:rPr>
            <w:rFonts w:cs="Times New Roman"/>
            <w:color w:val="000000"/>
            <w:lang w:eastAsia="en-GB"/>
          </w:rPr>
          <w:tag w:val="MENDELEY_CITATION_v3_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"/>
          <w:id w:val="-772784651"/>
          <w:placeholder>
            <w:docPart w:val="E083BE152A98EE49A87198EA29194721"/>
          </w:placeholder>
        </w:sdtPr>
        <w:sdtContent>
          <w:r w:rsidR="00EC7CE1" w:rsidRPr="00EC7CE1">
            <w:rPr>
              <w:rFonts w:cs="Times New Roman"/>
              <w:color w:val="000000"/>
              <w:lang w:eastAsia="en-GB"/>
            </w:rPr>
            <w:t>(</w:t>
          </w:r>
          <w:proofErr w:type="spellStart"/>
          <w:r w:rsidR="00EC7CE1" w:rsidRPr="00EC7CE1">
            <w:rPr>
              <w:rFonts w:cs="Times New Roman"/>
              <w:color w:val="000000"/>
              <w:lang w:eastAsia="en-GB"/>
            </w:rPr>
            <w:t>Malesza</w:t>
          </w:r>
          <w:proofErr w:type="spellEnd"/>
          <w:r w:rsidR="00EC7CE1" w:rsidRPr="00EC7CE1">
            <w:rPr>
              <w:rFonts w:cs="Times New Roman"/>
              <w:color w:val="000000"/>
              <w:lang w:eastAsia="en-GB"/>
            </w:rPr>
            <w:t>, 2019b)</w:t>
          </w:r>
        </w:sdtContent>
      </w:sdt>
      <w:r>
        <w:rPr>
          <w:rFonts w:cs="Times New Roman"/>
          <w:lang w:eastAsia="en-GB"/>
        </w:rPr>
        <w:t>.</w:t>
      </w:r>
      <w:r w:rsidRPr="001A5B6D">
        <w:rPr>
          <w:rFonts w:cs="Times New Roman"/>
          <w:lang w:eastAsia="en-GB"/>
        </w:rPr>
        <w:t xml:space="preserve"> </w:t>
      </w:r>
      <w:r w:rsidRPr="001A5B6D">
        <w:rPr>
          <w:lang w:eastAsia="en-GB"/>
        </w:rPr>
        <w:t xml:space="preserve">Though delay </w:t>
      </w:r>
      <w:r w:rsidRPr="001A5B6D">
        <w:rPr>
          <w:lang w:eastAsia="en-GB"/>
        </w:rPr>
        <w:lastRenderedPageBreak/>
        <w:t xml:space="preserve">discounting has been discussed as a potential key transdiagnostic process in psychopathology, </w:t>
      </w:r>
      <w:r>
        <w:rPr>
          <w:lang w:eastAsia="en-GB"/>
        </w:rPr>
        <w:t>the</w:t>
      </w:r>
      <w:r w:rsidRPr="001A5B6D">
        <w:rPr>
          <w:lang w:eastAsia="en-GB"/>
        </w:rPr>
        <w:t xml:space="preserve"> precise defin</w:t>
      </w:r>
      <w:r>
        <w:rPr>
          <w:lang w:eastAsia="en-GB"/>
        </w:rPr>
        <w:t>ition of</w:t>
      </w:r>
      <w:r w:rsidRPr="001A5B6D">
        <w:rPr>
          <w:lang w:eastAsia="en-GB"/>
        </w:rPr>
        <w:t xml:space="preserve"> the process</w:t>
      </w:r>
      <w:r>
        <w:rPr>
          <w:lang w:eastAsia="en-GB"/>
        </w:rPr>
        <w:t>es</w:t>
      </w:r>
      <w:r w:rsidRPr="001A5B6D">
        <w:rPr>
          <w:lang w:eastAsia="en-GB"/>
        </w:rPr>
        <w:t xml:space="preserve"> the estimates capture and its centrality in psychopathology</w:t>
      </w:r>
      <w:r>
        <w:rPr>
          <w:lang w:eastAsia="en-GB"/>
        </w:rPr>
        <w:t xml:space="preserve"> continues to be debated </w:t>
      </w:r>
      <w:sdt>
        <w:sdtPr>
          <w:rPr>
            <w:color w:val="000000"/>
            <w:lang w:eastAsia="en-GB"/>
          </w:rPr>
          <w:tag w:val="MENDELEY_CITATION_v3_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"/>
          <w:id w:val="1394162749"/>
          <w:placeholder>
            <w:docPart w:val="E083BE152A98EE49A87198EA29194721"/>
          </w:placeholder>
        </w:sdtPr>
        <w:sdtContent>
          <w:r w:rsidR="00EC7CE1" w:rsidRPr="00EC7CE1">
            <w:rPr>
              <w:color w:val="000000"/>
              <w:lang w:eastAsia="en-GB"/>
            </w:rPr>
            <w:t>(Bailey et al., 2021)</w:t>
          </w:r>
        </w:sdtContent>
      </w:sdt>
      <w:r w:rsidRPr="001A5B6D">
        <w:rPr>
          <w:lang w:eastAsia="en-GB"/>
        </w:rPr>
        <w:t xml:space="preserve">. What is clear, however, is that impulsivity and poor self-control within decision-making contexts reflect several processes, suggesting that a broader view of the </w:t>
      </w:r>
      <w:r>
        <w:rPr>
          <w:lang w:eastAsia="en-GB"/>
        </w:rPr>
        <w:t>patient's</w:t>
      </w:r>
      <w:r w:rsidRPr="001A5B6D">
        <w:rPr>
          <w:lang w:eastAsia="en-GB"/>
        </w:rPr>
        <w:t xml:space="preserve"> cognitive-affective profile is required</w:t>
      </w:r>
      <w:r>
        <w:rPr>
          <w:lang w:eastAsia="en-GB"/>
        </w:rPr>
        <w:t xml:space="preserve">  </w:t>
      </w:r>
      <w:sdt>
        <w:sdtPr>
          <w:rPr>
            <w:color w:val="000000"/>
            <w:lang w:eastAsia="en-GB"/>
          </w:rPr>
          <w:tag w:val="MENDELEY_CITATION_v3_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"/>
          <w:id w:val="-778571354"/>
          <w:placeholder>
            <w:docPart w:val="E083BE152A98EE49A87198EA29194721"/>
          </w:placeholder>
        </w:sdtPr>
        <w:sdtContent>
          <w:r w:rsidR="00EC7CE1" w:rsidRPr="00EC7CE1">
            <w:rPr>
              <w:color w:val="000000"/>
              <w:lang w:eastAsia="en-GB"/>
            </w:rPr>
            <w:t>(</w:t>
          </w:r>
          <w:proofErr w:type="spellStart"/>
          <w:r w:rsidR="00EC7CE1" w:rsidRPr="00EC7CE1">
            <w:rPr>
              <w:color w:val="000000"/>
              <w:lang w:eastAsia="en-GB"/>
            </w:rPr>
            <w:t>Jimura</w:t>
          </w:r>
          <w:proofErr w:type="spellEnd"/>
          <w:r w:rsidR="00EC7CE1" w:rsidRPr="00EC7CE1">
            <w:rPr>
              <w:color w:val="000000"/>
              <w:lang w:eastAsia="en-GB"/>
            </w:rPr>
            <w:t xml:space="preserve"> et al., 2013; </w:t>
          </w:r>
          <w:proofErr w:type="spellStart"/>
          <w:r w:rsidR="00EC7CE1" w:rsidRPr="00EC7CE1">
            <w:rPr>
              <w:color w:val="000000"/>
              <w:lang w:eastAsia="en-GB"/>
            </w:rPr>
            <w:t>Nigg</w:t>
          </w:r>
          <w:proofErr w:type="spellEnd"/>
          <w:r w:rsidR="00EC7CE1" w:rsidRPr="00EC7CE1">
            <w:rPr>
              <w:color w:val="000000"/>
              <w:lang w:eastAsia="en-GB"/>
            </w:rPr>
            <w:t>, 2017)</w:t>
          </w:r>
        </w:sdtContent>
      </w:sdt>
      <w:r w:rsidRPr="001A5B6D">
        <w:rPr>
          <w:lang w:eastAsia="en-GB"/>
        </w:rPr>
        <w:t>.</w:t>
      </w:r>
    </w:p>
    <w:p w14:paraId="478A75C6" w14:textId="766B09A3" w:rsidR="00100D99" w:rsidRDefault="00100D99" w:rsidP="00AD1D5E">
      <w:pPr>
        <w:rPr>
          <w:rFonts w:cs="Times New Roman"/>
        </w:rPr>
      </w:pPr>
      <w:r>
        <w:rPr>
          <w:lang w:eastAsia="en-GB"/>
        </w:rPr>
        <w:t>The</w:t>
      </w:r>
      <w:r w:rsidRPr="00160F51">
        <w:rPr>
          <w:lang w:eastAsia="en-GB"/>
        </w:rPr>
        <w:t xml:space="preserve"> influence </w:t>
      </w:r>
      <w:r>
        <w:rPr>
          <w:lang w:eastAsia="en-GB"/>
        </w:rPr>
        <w:t xml:space="preserve">of negative affect on </w:t>
      </w:r>
      <w:r w:rsidRPr="00160F51">
        <w:rPr>
          <w:lang w:eastAsia="en-GB"/>
        </w:rPr>
        <w:t xml:space="preserve">self-report measures, leading to variability in self-report measures, has led </w:t>
      </w:r>
      <w:r>
        <w:rPr>
          <w:lang w:eastAsia="en-GB"/>
        </w:rPr>
        <w:t xml:space="preserve">researchers </w:t>
      </w:r>
      <w:r w:rsidRPr="00160F51">
        <w:rPr>
          <w:lang w:eastAsia="en-GB"/>
        </w:rPr>
        <w:t>to question the validity of relationships identified via self-report research</w:t>
      </w:r>
      <w:r>
        <w:rPr>
          <w:lang w:eastAsia="en-GB"/>
        </w:rPr>
        <w:t xml:space="preserve"> (</w:t>
      </w:r>
      <w:r w:rsidRPr="00160F51">
        <w:rPr>
          <w:lang w:eastAsia="en-GB"/>
        </w:rPr>
        <w:t xml:space="preserve">Brief et al. </w:t>
      </w:r>
      <w:r>
        <w:rPr>
          <w:lang w:eastAsia="en-GB"/>
        </w:rPr>
        <w:t>1</w:t>
      </w:r>
      <w:r w:rsidRPr="00160F51">
        <w:rPr>
          <w:lang w:eastAsia="en-GB"/>
        </w:rPr>
        <w:t>988)</w:t>
      </w:r>
      <w:r w:rsidRPr="001A5B6D">
        <w:rPr>
          <w:rFonts w:cs="Times New Roman"/>
        </w:rPr>
        <w:t xml:space="preserve">. </w:t>
      </w:r>
      <w:r w:rsidRPr="00160F51">
        <w:rPr>
          <w:lang w:eastAsia="en-GB"/>
        </w:rPr>
        <w:t>Similarly, mood and negative affect are believed to impact delay discounting. Despite mixed results, some studies hint at a relationship between affect and delay discounting, possibly modulated by other factors such as</w:t>
      </w:r>
      <w:r>
        <w:rPr>
          <w:lang w:eastAsia="en-GB"/>
        </w:rPr>
        <w:t xml:space="preserve"> sex </w:t>
      </w:r>
      <w:r w:rsidRPr="00160F51">
        <w:rPr>
          <w:lang w:eastAsia="en-GB"/>
        </w:rPr>
        <w:t>or an alternative process</w:t>
      </w:r>
      <w:r>
        <w:rPr>
          <w:lang w:eastAsia="en-GB"/>
        </w:rPr>
        <w:t xml:space="preserve"> related to</w:t>
      </w:r>
      <w:r w:rsidRPr="00160F51">
        <w:rPr>
          <w:lang w:eastAsia="en-GB"/>
        </w:rPr>
        <w:t xml:space="preserve"> impulsivity </w:t>
      </w:r>
      <w:sdt>
        <w:sdtPr>
          <w:rPr>
            <w:lang w:eastAsia="en-GB"/>
          </w:rPr>
          <w:tag w:val="MENDELEY_CITATION_v3_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"/>
          <w:id w:val="-588856891"/>
          <w:placeholder>
            <w:docPart w:val="67EEC3D1BE739D418825FDCE309F33B6"/>
          </w:placeholder>
        </w:sdtPr>
        <w:sdtContent>
          <w:r w:rsidR="00EC7CE1">
            <w:rPr>
              <w:rFonts w:eastAsia="Times New Roman"/>
            </w:rPr>
            <w:t>(</w:t>
          </w:r>
          <w:proofErr w:type="spellStart"/>
          <w:r w:rsidR="00EC7CE1">
            <w:rPr>
              <w:rFonts w:eastAsia="Times New Roman"/>
            </w:rPr>
            <w:t>Koff</w:t>
          </w:r>
          <w:proofErr w:type="spellEnd"/>
          <w:r w:rsidR="00EC7CE1">
            <w:rPr>
              <w:rFonts w:eastAsia="Times New Roman"/>
            </w:rPr>
            <w:t xml:space="preserve"> &amp; Lucas, 2011; </w:t>
          </w:r>
          <w:proofErr w:type="spellStart"/>
          <w:r w:rsidR="00EC7CE1">
            <w:rPr>
              <w:rFonts w:eastAsia="Times New Roman"/>
            </w:rPr>
            <w:t>Malesza</w:t>
          </w:r>
          <w:proofErr w:type="spellEnd"/>
          <w:r w:rsidR="00EC7CE1">
            <w:rPr>
              <w:rFonts w:eastAsia="Times New Roman"/>
            </w:rPr>
            <w:t>, 2019a)</w:t>
          </w:r>
        </w:sdtContent>
      </w:sdt>
      <w:r>
        <w:rPr>
          <w:lang w:eastAsia="en-GB"/>
        </w:rPr>
        <w:t>.</w:t>
      </w:r>
    </w:p>
    <w:p w14:paraId="25D4FFBA" w14:textId="77777777" w:rsidR="00100D99" w:rsidRDefault="00100D99" w:rsidP="00AD1D5E">
      <w:pPr>
        <w:rPr>
          <w:rFonts w:cs="Times New Roman"/>
        </w:rPr>
      </w:pPr>
      <w:r>
        <w:rPr>
          <w:rFonts w:cs="Times New Roman"/>
        </w:rPr>
        <w:t>It is possible that emotion processing alterations, as seen in FNSD and as measured by these affective cognition tasks, impact the measuring ability of other affective cognitive tests and self-report tools.</w:t>
      </w:r>
    </w:p>
    <w:p w14:paraId="77635164" w14:textId="00445C8B" w:rsidR="00100D99" w:rsidRPr="005B78C3" w:rsidRDefault="00100D99" w:rsidP="00AD1D5E">
      <w:pPr>
        <w:rPr>
          <w:lang w:eastAsia="en-GB"/>
        </w:rPr>
      </w:pPr>
      <w:r>
        <w:rPr>
          <w:rFonts w:cs="Times New Roman"/>
        </w:rPr>
        <w:t xml:space="preserve">As </w:t>
      </w:r>
      <w:r>
        <w:rPr>
          <w:lang w:eastAsia="en-GB"/>
        </w:rPr>
        <w:t>r</w:t>
      </w:r>
      <w:r w:rsidRPr="001A5B6D">
        <w:rPr>
          <w:lang w:eastAsia="en-GB"/>
        </w:rPr>
        <w:t>esearch show</w:t>
      </w:r>
      <w:r>
        <w:rPr>
          <w:lang w:eastAsia="en-GB"/>
        </w:rPr>
        <w:t>s</w:t>
      </w:r>
      <w:r w:rsidRPr="001A5B6D">
        <w:rPr>
          <w:lang w:eastAsia="en-GB"/>
        </w:rPr>
        <w:t xml:space="preserve"> that emotion regulation strategies in FNSD patients can change over time and relative to treatment on behavioural and cortical levels </w:t>
      </w:r>
      <w:sdt>
        <w:sdtPr>
          <w:rPr>
            <w:color w:val="000000"/>
            <w:lang w:eastAsia="en-GB"/>
          </w:rPr>
          <w:tag w:val="MENDELEY_CITATION_v3_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"/>
          <w:id w:val="-864130441"/>
          <w:placeholder>
            <w:docPart w:val="09E955B4B7C90D4E8B6671C3E1289157"/>
          </w:placeholder>
        </w:sdtPr>
        <w:sdtContent>
          <w:r w:rsidR="00EC7CE1" w:rsidRPr="00EC7CE1">
            <w:rPr>
              <w:color w:val="000000"/>
              <w:lang w:eastAsia="en-GB"/>
            </w:rPr>
            <w:t>(</w:t>
          </w:r>
          <w:proofErr w:type="spellStart"/>
          <w:r w:rsidR="00EC7CE1" w:rsidRPr="00EC7CE1">
            <w:rPr>
              <w:color w:val="000000"/>
              <w:lang w:eastAsia="en-GB"/>
            </w:rPr>
            <w:t>Kienle</w:t>
          </w:r>
          <w:proofErr w:type="spellEnd"/>
          <w:r w:rsidR="00EC7CE1" w:rsidRPr="00EC7CE1">
            <w:rPr>
              <w:color w:val="000000"/>
              <w:lang w:eastAsia="en-GB"/>
            </w:rPr>
            <w:t xml:space="preserve"> et al., 2018)</w:t>
          </w:r>
        </w:sdtContent>
      </w:sdt>
      <w:r>
        <w:rPr>
          <w:lang w:eastAsia="en-GB"/>
        </w:rPr>
        <w:t>; employing</w:t>
      </w:r>
      <w:r w:rsidRPr="001A5B6D">
        <w:rPr>
          <w:lang w:eastAsia="en-GB"/>
        </w:rPr>
        <w:t xml:space="preserve"> multiple observation points to accurately measure an </w:t>
      </w:r>
      <w:r>
        <w:rPr>
          <w:lang w:eastAsia="en-GB"/>
        </w:rPr>
        <w:t>individual's</w:t>
      </w:r>
      <w:r w:rsidRPr="001A5B6D">
        <w:rPr>
          <w:lang w:eastAsia="en-GB"/>
        </w:rPr>
        <w:t xml:space="preserve"> state, traits, and outcomes</w:t>
      </w:r>
      <w:r>
        <w:rPr>
          <w:lang w:eastAsia="en-GB"/>
        </w:rPr>
        <w:t xml:space="preserve"> using these approaches should also be considered</w:t>
      </w:r>
      <w:r w:rsidRPr="001A5B6D">
        <w:rPr>
          <w:lang w:eastAsia="en-GB"/>
        </w:rPr>
        <w:t xml:space="preserve">. </w:t>
      </w:r>
      <w:r>
        <w:rPr>
          <w:rFonts w:cs="Times New Roman"/>
        </w:rPr>
        <w:t>W</w:t>
      </w:r>
      <w:r w:rsidRPr="001A5B6D">
        <w:rPr>
          <w:rFonts w:cs="Times New Roman"/>
        </w:rPr>
        <w:t xml:space="preserve">hile </w:t>
      </w:r>
      <w:r>
        <w:rPr>
          <w:rFonts w:cs="Times New Roman"/>
        </w:rPr>
        <w:t xml:space="preserve">these </w:t>
      </w:r>
      <w:r w:rsidRPr="001A5B6D">
        <w:rPr>
          <w:rFonts w:cs="Times New Roman"/>
        </w:rPr>
        <w:t>measures may provide some insight into cognitive-affective traits in FNSD patients, the</w:t>
      </w:r>
      <w:r>
        <w:rPr>
          <w:rFonts w:cs="Times New Roman"/>
        </w:rPr>
        <w:t xml:space="preserve"> current lack of clear understanding of the underlying processes, and their potential subjection to affective states, </w:t>
      </w:r>
      <w:r w:rsidRPr="001A5B6D">
        <w:rPr>
          <w:rFonts w:cs="Times New Roman"/>
        </w:rPr>
        <w:t>suggest that they should be used in conjunction with other outcome measures to determine the current health state, treatment effectiveness, or treatment-related change in this patient population</w:t>
      </w:r>
      <w:r>
        <w:rPr>
          <w:rFonts w:cs="Times New Roman"/>
        </w:rPr>
        <w:t xml:space="preserve">. </w:t>
      </w:r>
    </w:p>
    <w:p w14:paraId="38366CD4" w14:textId="77777777" w:rsidR="00100D99" w:rsidRPr="009B17E7" w:rsidRDefault="00100D99" w:rsidP="005A2F5C">
      <w:pPr>
        <w:pStyle w:val="Heading2"/>
      </w:pPr>
      <w:bookmarkStart w:id="189" w:name="_Toc137504801"/>
      <w:r>
        <w:t xml:space="preserve">6.4 </w:t>
      </w:r>
      <w:r w:rsidRPr="009B17E7">
        <w:t>Enhancing outcome measurement in FNSD</w:t>
      </w:r>
      <w:bookmarkEnd w:id="189"/>
    </w:p>
    <w:p w14:paraId="1AF9D277" w14:textId="77777777" w:rsidR="00100D99" w:rsidRPr="000F5A70" w:rsidRDefault="00100D99" w:rsidP="000F5A70">
      <w:pPr>
        <w:rPr>
          <w:szCs w:val="22"/>
        </w:rPr>
      </w:pPr>
      <w:r>
        <w:rPr>
          <w:szCs w:val="22"/>
        </w:rPr>
        <w:t>Outcome</w:t>
      </w:r>
      <w:r w:rsidRPr="000F5A70">
        <w:rPr>
          <w:szCs w:val="22"/>
        </w:rPr>
        <w:t xml:space="preserve"> measurement in FNSD is not a </w:t>
      </w:r>
      <w:r>
        <w:rPr>
          <w:szCs w:val="22"/>
        </w:rPr>
        <w:t>'</w:t>
      </w:r>
      <w:r w:rsidRPr="000F5A70">
        <w:rPr>
          <w:szCs w:val="22"/>
        </w:rPr>
        <w:t>linear</w:t>
      </w:r>
      <w:r>
        <w:rPr>
          <w:szCs w:val="22"/>
        </w:rPr>
        <w:t>'</w:t>
      </w:r>
      <w:r w:rsidRPr="000F5A70">
        <w:rPr>
          <w:szCs w:val="22"/>
        </w:rPr>
        <w:t xml:space="preserve"> process.</w:t>
      </w:r>
      <w:r>
        <w:rPr>
          <w:szCs w:val="22"/>
        </w:rPr>
        <w:t xml:space="preserve"> This work and findings in the literature </w:t>
      </w:r>
      <w:r w:rsidRPr="000F5A70">
        <w:rPr>
          <w:szCs w:val="22"/>
        </w:rPr>
        <w:t xml:space="preserve">indicate that a combined approach </w:t>
      </w:r>
      <w:r>
        <w:rPr>
          <w:szCs w:val="22"/>
        </w:rPr>
        <w:t>utilising</w:t>
      </w:r>
      <w:r w:rsidRPr="000F5A70">
        <w:rPr>
          <w:szCs w:val="22"/>
        </w:rPr>
        <w:t xml:space="preserve"> </w:t>
      </w:r>
      <w:r>
        <w:rPr>
          <w:szCs w:val="22"/>
        </w:rPr>
        <w:t>different types of</w:t>
      </w:r>
      <w:r w:rsidRPr="000F5A70">
        <w:rPr>
          <w:szCs w:val="22"/>
        </w:rPr>
        <w:t xml:space="preserve"> objective and subjective measures could enhance</w:t>
      </w:r>
      <w:r>
        <w:rPr>
          <w:szCs w:val="22"/>
        </w:rPr>
        <w:t xml:space="preserve"> </w:t>
      </w:r>
      <w:r w:rsidRPr="000F5A70">
        <w:rPr>
          <w:szCs w:val="22"/>
        </w:rPr>
        <w:t>understanding of FNSD by</w:t>
      </w:r>
      <w:r>
        <w:rPr>
          <w:szCs w:val="22"/>
        </w:rPr>
        <w:t xml:space="preserve"> </w:t>
      </w:r>
      <w:r w:rsidRPr="000F5A70">
        <w:rPr>
          <w:szCs w:val="22"/>
        </w:rPr>
        <w:t>examin</w:t>
      </w:r>
      <w:r>
        <w:rPr>
          <w:szCs w:val="22"/>
        </w:rPr>
        <w:t>ing</w:t>
      </w:r>
      <w:r w:rsidRPr="000F5A70">
        <w:rPr>
          <w:szCs w:val="22"/>
        </w:rPr>
        <w:t xml:space="preserve"> similar </w:t>
      </w:r>
      <w:r>
        <w:rPr>
          <w:szCs w:val="22"/>
        </w:rPr>
        <w:t xml:space="preserve">or seemingly similar constructs </w:t>
      </w:r>
      <w:r w:rsidRPr="000F5A70">
        <w:rPr>
          <w:szCs w:val="22"/>
        </w:rPr>
        <w:t>through different lenses.</w:t>
      </w:r>
      <w:r>
        <w:rPr>
          <w:szCs w:val="22"/>
        </w:rPr>
        <w:t xml:space="preserve"> </w:t>
      </w:r>
      <w:r w:rsidRPr="000F5A70">
        <w:rPr>
          <w:szCs w:val="22"/>
        </w:rPr>
        <w:t>Th</w:t>
      </w:r>
      <w:r>
        <w:rPr>
          <w:szCs w:val="22"/>
        </w:rPr>
        <w:t>e</w:t>
      </w:r>
      <w:r w:rsidRPr="000F5A70">
        <w:rPr>
          <w:szCs w:val="22"/>
        </w:rPr>
        <w:t xml:space="preserve"> discrepanc</w:t>
      </w:r>
      <w:r>
        <w:rPr>
          <w:szCs w:val="22"/>
        </w:rPr>
        <w:t>ies</w:t>
      </w:r>
      <w:r w:rsidRPr="000F5A70">
        <w:rPr>
          <w:szCs w:val="22"/>
        </w:rPr>
        <w:t xml:space="preserve"> </w:t>
      </w:r>
      <w:r>
        <w:rPr>
          <w:szCs w:val="22"/>
        </w:rPr>
        <w:t>found between these approaches do not necessarily mean</w:t>
      </w:r>
      <w:r w:rsidRPr="000F5A70">
        <w:rPr>
          <w:szCs w:val="22"/>
        </w:rPr>
        <w:t xml:space="preserve"> that </w:t>
      </w:r>
      <w:r>
        <w:rPr>
          <w:szCs w:val="22"/>
        </w:rPr>
        <w:t>different measures of the same construct that show</w:t>
      </w:r>
      <w:r w:rsidRPr="000F5A70">
        <w:rPr>
          <w:szCs w:val="22"/>
        </w:rPr>
        <w:t xml:space="preserve"> poor convergent validity are redundant</w:t>
      </w:r>
      <w:r>
        <w:rPr>
          <w:szCs w:val="22"/>
        </w:rPr>
        <w:t xml:space="preserve"> or invalid</w:t>
      </w:r>
      <w:r w:rsidRPr="000F5A70">
        <w:rPr>
          <w:szCs w:val="22"/>
        </w:rPr>
        <w:t>.</w:t>
      </w:r>
      <w:r>
        <w:rPr>
          <w:szCs w:val="22"/>
        </w:rPr>
        <w:t xml:space="preserve"> </w:t>
      </w:r>
      <w:r w:rsidRPr="000F5A70">
        <w:rPr>
          <w:szCs w:val="22"/>
        </w:rPr>
        <w:t xml:space="preserve">On the contrary, </w:t>
      </w:r>
      <w:r>
        <w:rPr>
          <w:szCs w:val="22"/>
        </w:rPr>
        <w:t xml:space="preserve">differences captured between measurements using different assessment </w:t>
      </w:r>
      <w:r>
        <w:rPr>
          <w:szCs w:val="22"/>
        </w:rPr>
        <w:lastRenderedPageBreak/>
        <w:t xml:space="preserve">modalities may </w:t>
      </w:r>
      <w:r w:rsidRPr="000F5A70">
        <w:rPr>
          <w:szCs w:val="22"/>
        </w:rPr>
        <w:t>provide unique insights into the disorder, as they</w:t>
      </w:r>
      <w:r>
        <w:rPr>
          <w:szCs w:val="22"/>
        </w:rPr>
        <w:t xml:space="preserve"> simply reflect</w:t>
      </w:r>
      <w:r w:rsidRPr="000F5A70">
        <w:rPr>
          <w:szCs w:val="22"/>
        </w:rPr>
        <w:t xml:space="preserve"> different </w:t>
      </w:r>
      <w:r>
        <w:rPr>
          <w:szCs w:val="22"/>
        </w:rPr>
        <w:t xml:space="preserve">representations of the construct </w:t>
      </w:r>
      <w:r w:rsidRPr="000F5A70">
        <w:rPr>
          <w:szCs w:val="22"/>
        </w:rPr>
        <w:t>ranging from cognitive and automatic levels to pathological and symptomatic levels and subjective experiential</w:t>
      </w:r>
      <w:r>
        <w:rPr>
          <w:szCs w:val="22"/>
        </w:rPr>
        <w:t xml:space="preserve"> to behavioural</w:t>
      </w:r>
      <w:r w:rsidRPr="000F5A70">
        <w:rPr>
          <w:szCs w:val="22"/>
        </w:rPr>
        <w:t xml:space="preserve"> levels</w:t>
      </w:r>
      <w:r>
        <w:rPr>
          <w:szCs w:val="22"/>
        </w:rPr>
        <w:t xml:space="preserve">. </w:t>
      </w:r>
    </w:p>
    <w:p w14:paraId="7D0BE3B6" w14:textId="77777777" w:rsidR="00100D99" w:rsidRPr="000F5A70" w:rsidRDefault="00100D99" w:rsidP="000F5A70">
      <w:pPr>
        <w:rPr>
          <w:szCs w:val="22"/>
        </w:rPr>
      </w:pPr>
      <w:r w:rsidRPr="000F5A70">
        <w:rPr>
          <w:szCs w:val="22"/>
        </w:rPr>
        <w:t xml:space="preserve">This </w:t>
      </w:r>
      <w:r>
        <w:rPr>
          <w:szCs w:val="22"/>
        </w:rPr>
        <w:t>multidimensional</w:t>
      </w:r>
      <w:r w:rsidRPr="000F5A70">
        <w:rPr>
          <w:szCs w:val="22"/>
        </w:rPr>
        <w:t xml:space="preserve"> understanding of FNSD suggests that capturing a complete picture of the disorder requires a </w:t>
      </w:r>
      <w:r>
        <w:rPr>
          <w:szCs w:val="22"/>
        </w:rPr>
        <w:t>holistic</w:t>
      </w:r>
      <w:r w:rsidRPr="000F5A70">
        <w:rPr>
          <w:szCs w:val="22"/>
        </w:rPr>
        <w:t xml:space="preserve"> approach</w:t>
      </w:r>
      <w:r>
        <w:rPr>
          <w:szCs w:val="22"/>
        </w:rPr>
        <w:t xml:space="preserve"> to measurement</w:t>
      </w:r>
      <w:r w:rsidRPr="000F5A70">
        <w:rPr>
          <w:szCs w:val="22"/>
        </w:rPr>
        <w:t>.</w:t>
      </w:r>
      <w:r>
        <w:rPr>
          <w:szCs w:val="22"/>
        </w:rPr>
        <w:t xml:space="preserve"> </w:t>
      </w:r>
      <w:r w:rsidRPr="000F5A70">
        <w:rPr>
          <w:szCs w:val="22"/>
        </w:rPr>
        <w:t xml:space="preserve">For instance, the variance between </w:t>
      </w:r>
      <w:r>
        <w:rPr>
          <w:szCs w:val="22"/>
        </w:rPr>
        <w:t>patients'</w:t>
      </w:r>
      <w:r w:rsidRPr="000F5A70">
        <w:rPr>
          <w:szCs w:val="22"/>
        </w:rPr>
        <w:t xml:space="preserve"> physiological responses and their subjective perceptions of stress</w:t>
      </w:r>
      <w:r>
        <w:rPr>
          <w:szCs w:val="22"/>
        </w:rPr>
        <w:t>, distress or arousal</w:t>
      </w:r>
      <w:r w:rsidRPr="000F5A70">
        <w:rPr>
          <w:szCs w:val="22"/>
        </w:rPr>
        <w:t xml:space="preserve"> indicate that simple self-reports cannot </w:t>
      </w:r>
      <w:r>
        <w:rPr>
          <w:szCs w:val="22"/>
        </w:rPr>
        <w:t>substitute</w:t>
      </w:r>
      <w:r w:rsidRPr="000F5A70">
        <w:rPr>
          <w:szCs w:val="22"/>
        </w:rPr>
        <w:t xml:space="preserve"> physiological arousal in FNSD patients dealing with stress.</w:t>
      </w:r>
      <w:r>
        <w:rPr>
          <w:szCs w:val="22"/>
        </w:rPr>
        <w:t xml:space="preserve"> </w:t>
      </w:r>
    </w:p>
    <w:p w14:paraId="4C2BBE12" w14:textId="5A396476" w:rsidR="00100D99" w:rsidRDefault="00100D99" w:rsidP="000F5A70">
      <w:pPr>
        <w:rPr>
          <w:szCs w:val="22"/>
        </w:rPr>
      </w:pPr>
      <w:r w:rsidRPr="000F5A70">
        <w:rPr>
          <w:szCs w:val="22"/>
        </w:rPr>
        <w:t>Furthermore, this comprehensive approach to outcome measurement may be crucial in tailoring</w:t>
      </w:r>
      <w:r>
        <w:rPr>
          <w:szCs w:val="22"/>
        </w:rPr>
        <w:t xml:space="preserve"> and assessing</w:t>
      </w:r>
      <w:r w:rsidRPr="000F5A70">
        <w:rPr>
          <w:szCs w:val="22"/>
        </w:rPr>
        <w:t xml:space="preserve"> </w:t>
      </w:r>
      <w:r>
        <w:rPr>
          <w:szCs w:val="22"/>
        </w:rPr>
        <w:t>individualised</w:t>
      </w:r>
      <w:r w:rsidRPr="000F5A70">
        <w:rPr>
          <w:szCs w:val="22"/>
        </w:rPr>
        <w:t xml:space="preserve"> therapies, a key discussion point in </w:t>
      </w:r>
      <w:r>
        <w:rPr>
          <w:szCs w:val="22"/>
        </w:rPr>
        <w:t xml:space="preserve">FNSD outcomes </w:t>
      </w:r>
      <w:sdt>
        <w:sdtPr>
          <w:rPr>
            <w:color w:val="000000"/>
            <w:szCs w:val="22"/>
          </w:rPr>
          <w:tag w:val="MENDELEY_CITATION_v3_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"/>
          <w:id w:val="1674914749"/>
          <w:placeholder>
            <w:docPart w:val="E083BE152A98EE49A87198EA29194721"/>
          </w:placeholder>
        </w:sdtPr>
        <w:sdtContent>
          <w:r w:rsidR="00EC7CE1" w:rsidRPr="00EC7CE1">
            <w:rPr>
              <w:color w:val="000000"/>
              <w:szCs w:val="22"/>
            </w:rPr>
            <w:t>(</w:t>
          </w:r>
          <w:proofErr w:type="spellStart"/>
          <w:r w:rsidR="00EC7CE1" w:rsidRPr="00EC7CE1">
            <w:rPr>
              <w:color w:val="000000"/>
              <w:szCs w:val="22"/>
            </w:rPr>
            <w:t>Petrochilos</w:t>
          </w:r>
          <w:proofErr w:type="spellEnd"/>
          <w:r w:rsidR="00EC7CE1" w:rsidRPr="00EC7CE1">
            <w:rPr>
              <w:color w:val="000000"/>
              <w:szCs w:val="22"/>
            </w:rPr>
            <w:t xml:space="preserve"> et al., 2020)</w:t>
          </w:r>
        </w:sdtContent>
      </w:sdt>
      <w:r>
        <w:rPr>
          <w:szCs w:val="22"/>
        </w:rPr>
        <w:t>. In view of the range of possible (different) FNSD manifestations, t</w:t>
      </w:r>
      <w:r w:rsidRPr="000F5A70">
        <w:rPr>
          <w:szCs w:val="22"/>
        </w:rPr>
        <w:t xml:space="preserve">he combination of outcome measurement methods may need to be </w:t>
      </w:r>
      <w:r>
        <w:rPr>
          <w:szCs w:val="22"/>
        </w:rPr>
        <w:t xml:space="preserve">tailored </w:t>
      </w:r>
      <w:r w:rsidRPr="000F5A70">
        <w:rPr>
          <w:szCs w:val="22"/>
        </w:rPr>
        <w:t xml:space="preserve">for different FNSD subgroups or </w:t>
      </w:r>
      <w:r>
        <w:rPr>
          <w:szCs w:val="22"/>
        </w:rPr>
        <w:t xml:space="preserve">interventions. </w:t>
      </w:r>
      <w:r w:rsidRPr="000F5A70">
        <w:rPr>
          <w:szCs w:val="22"/>
        </w:rPr>
        <w:t>T</w:t>
      </w:r>
      <w:r>
        <w:rPr>
          <w:szCs w:val="22"/>
        </w:rPr>
        <w:t>hat said, t</w:t>
      </w:r>
      <w:r w:rsidRPr="000F5A70">
        <w:rPr>
          <w:szCs w:val="22"/>
        </w:rPr>
        <w:t xml:space="preserve">he question of whether outcome measurement can be tailored to specific </w:t>
      </w:r>
      <w:r>
        <w:rPr>
          <w:szCs w:val="22"/>
        </w:rPr>
        <w:t>FNSD</w:t>
      </w:r>
      <w:r w:rsidRPr="000F5A70">
        <w:rPr>
          <w:szCs w:val="22"/>
        </w:rPr>
        <w:t xml:space="preserve"> patient subgroups to </w:t>
      </w:r>
      <w:r>
        <w:rPr>
          <w:szCs w:val="22"/>
        </w:rPr>
        <w:t>optimise</w:t>
      </w:r>
      <w:r w:rsidRPr="000F5A70">
        <w:rPr>
          <w:szCs w:val="22"/>
        </w:rPr>
        <w:t xml:space="preserve"> their utility in evaluating patient outcomes </w:t>
      </w:r>
      <w:r>
        <w:rPr>
          <w:szCs w:val="22"/>
        </w:rPr>
        <w:t>must also be considered. T</w:t>
      </w:r>
      <w:r w:rsidRPr="000F5A70">
        <w:rPr>
          <w:szCs w:val="22"/>
        </w:rPr>
        <w:t xml:space="preserve">he current study </w:t>
      </w:r>
      <w:r>
        <w:rPr>
          <w:szCs w:val="22"/>
        </w:rPr>
        <w:t xml:space="preserve">could not conduct an in-depth </w:t>
      </w:r>
      <w:r w:rsidRPr="000F5A70">
        <w:rPr>
          <w:szCs w:val="22"/>
        </w:rPr>
        <w:t xml:space="preserve">subgroup analysis due to limitations </w:t>
      </w:r>
      <w:r>
        <w:rPr>
          <w:szCs w:val="22"/>
        </w:rPr>
        <w:t>of sample sizes and the uncertainty of FNSD symptomatic classifications within the samples. However,</w:t>
      </w:r>
      <w:r w:rsidRPr="000F5A70">
        <w:rPr>
          <w:szCs w:val="22"/>
        </w:rPr>
        <w:t xml:space="preserve"> </w:t>
      </w:r>
      <w:r>
        <w:rPr>
          <w:szCs w:val="22"/>
        </w:rPr>
        <w:t>developing</w:t>
      </w:r>
      <w:r w:rsidRPr="000F5A70">
        <w:rPr>
          <w:szCs w:val="22"/>
        </w:rPr>
        <w:t xml:space="preserve"> </w:t>
      </w:r>
      <w:r>
        <w:rPr>
          <w:szCs w:val="22"/>
        </w:rPr>
        <w:t xml:space="preserve">the EASE </w:t>
      </w:r>
      <w:r w:rsidRPr="000F5A70">
        <w:rPr>
          <w:szCs w:val="22"/>
        </w:rPr>
        <w:t xml:space="preserve">self-report </w:t>
      </w:r>
      <w:r>
        <w:rPr>
          <w:szCs w:val="22"/>
        </w:rPr>
        <w:t xml:space="preserve">measure according to the Rasch Model, which refined the measure based on </w:t>
      </w:r>
      <w:r w:rsidRPr="000F5A70">
        <w:rPr>
          <w:szCs w:val="22"/>
        </w:rPr>
        <w:t>patient ability and item difficulty</w:t>
      </w:r>
      <w:r>
        <w:rPr>
          <w:szCs w:val="22"/>
        </w:rPr>
        <w:t xml:space="preserve">, theoretically </w:t>
      </w:r>
      <w:r w:rsidRPr="000F5A70">
        <w:rPr>
          <w:szCs w:val="22"/>
        </w:rPr>
        <w:t>shows promise in detecting patient subgroups.</w:t>
      </w:r>
      <w:r>
        <w:rPr>
          <w:szCs w:val="22"/>
        </w:rPr>
        <w:t xml:space="preserve"> </w:t>
      </w:r>
    </w:p>
    <w:p w14:paraId="4527833E" w14:textId="714EA092" w:rsidR="00100D99" w:rsidRDefault="00100D99" w:rsidP="005202DF">
      <w:pPr>
        <w:rPr>
          <w:szCs w:val="22"/>
        </w:rPr>
      </w:pPr>
      <w:r>
        <w:rPr>
          <w:szCs w:val="22"/>
        </w:rPr>
        <w:t>T</w:t>
      </w:r>
      <w:r w:rsidRPr="000F5A70">
        <w:rPr>
          <w:szCs w:val="22"/>
        </w:rPr>
        <w:t xml:space="preserve">ailoring measures that align more precisely with the concepts worked on in therapy, such as resourcefulness constructs, could </w:t>
      </w:r>
      <w:r>
        <w:rPr>
          <w:szCs w:val="22"/>
        </w:rPr>
        <w:t xml:space="preserve">capture more meaningful long-term </w:t>
      </w:r>
      <w:r w:rsidRPr="000F5A70">
        <w:rPr>
          <w:szCs w:val="22"/>
        </w:rPr>
        <w:t xml:space="preserve">pre-post changes than more </w:t>
      </w:r>
      <w:r>
        <w:rPr>
          <w:szCs w:val="22"/>
        </w:rPr>
        <w:t xml:space="preserve">pathology-focussed measures, such as those of </w:t>
      </w:r>
      <w:r w:rsidRPr="000F5A70">
        <w:rPr>
          <w:szCs w:val="22"/>
        </w:rPr>
        <w:t>anxiety or depression.</w:t>
      </w:r>
      <w:r>
        <w:rPr>
          <w:szCs w:val="22"/>
        </w:rPr>
        <w:t xml:space="preserve"> By implication, developing more </w:t>
      </w:r>
      <w:r w:rsidRPr="000F5A70">
        <w:rPr>
          <w:szCs w:val="22"/>
        </w:rPr>
        <w:t>illness-specific scales for FNSD</w:t>
      </w:r>
      <w:r>
        <w:rPr>
          <w:szCs w:val="22"/>
        </w:rPr>
        <w:t xml:space="preserve"> may be needed. A</w:t>
      </w:r>
      <w:r w:rsidRPr="000F5A70">
        <w:rPr>
          <w:szCs w:val="22"/>
        </w:rPr>
        <w:t xml:space="preserve"> symptom outcome scale suited to the timing onset and phenomenology of FNSD symptoms</w:t>
      </w:r>
      <w:r>
        <w:rPr>
          <w:szCs w:val="22"/>
        </w:rPr>
        <w:t xml:space="preserve"> would complement m</w:t>
      </w:r>
      <w:r w:rsidRPr="000F5A70">
        <w:rPr>
          <w:szCs w:val="22"/>
        </w:rPr>
        <w:t xml:space="preserve">any of the existing </w:t>
      </w:r>
      <w:r>
        <w:rPr>
          <w:szCs w:val="22"/>
        </w:rPr>
        <w:t xml:space="preserve">scales </w:t>
      </w:r>
      <w:r w:rsidRPr="000F5A70">
        <w:rPr>
          <w:szCs w:val="22"/>
        </w:rPr>
        <w:t>captur</w:t>
      </w:r>
      <w:r>
        <w:rPr>
          <w:szCs w:val="22"/>
        </w:rPr>
        <w:t>ing</w:t>
      </w:r>
      <w:r w:rsidRPr="000F5A70">
        <w:rPr>
          <w:szCs w:val="22"/>
        </w:rPr>
        <w:t xml:space="preserve"> global concepts like</w:t>
      </w:r>
      <w:r>
        <w:rPr>
          <w:szCs w:val="22"/>
        </w:rPr>
        <w:t xml:space="preserve"> health-related quality of life </w:t>
      </w:r>
      <w:r w:rsidRPr="000F5A70">
        <w:rPr>
          <w:szCs w:val="22"/>
        </w:rPr>
        <w:t>or general somatic symptom load (SCL90-R, SOMS) or focus</w:t>
      </w:r>
      <w:r>
        <w:rPr>
          <w:szCs w:val="22"/>
        </w:rPr>
        <w:t>ing</w:t>
      </w:r>
      <w:r w:rsidRPr="000F5A70">
        <w:rPr>
          <w:szCs w:val="22"/>
        </w:rPr>
        <w:t xml:space="preserve"> on</w:t>
      </w:r>
      <w:r>
        <w:rPr>
          <w:szCs w:val="22"/>
        </w:rPr>
        <w:t xml:space="preserve"> one aspect of the </w:t>
      </w:r>
      <w:r w:rsidRPr="000F5A70">
        <w:rPr>
          <w:szCs w:val="22"/>
        </w:rPr>
        <w:t>disorders only</w:t>
      </w:r>
      <w:r>
        <w:rPr>
          <w:szCs w:val="22"/>
        </w:rPr>
        <w:t xml:space="preserve">, e.g. movement disorders </w:t>
      </w:r>
      <w:sdt>
        <w:sdtPr>
          <w:rPr>
            <w:color w:val="000000"/>
            <w:szCs w:val="22"/>
          </w:rPr>
          <w:tag w:val="MENDELEY_CITATION_v3_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"/>
          <w:id w:val="1676307498"/>
          <w:placeholder>
            <w:docPart w:val="E083BE152A98EE49A87198EA29194721"/>
          </w:placeholder>
        </w:sdtPr>
        <w:sdtContent>
          <w:r w:rsidR="00EC7CE1" w:rsidRPr="00EC7CE1">
            <w:rPr>
              <w:color w:val="000000"/>
              <w:szCs w:val="22"/>
            </w:rPr>
            <w:t>(Nielsen et al., 2017)</w:t>
          </w:r>
        </w:sdtContent>
      </w:sdt>
      <w:r w:rsidRPr="000F5A70">
        <w:rPr>
          <w:szCs w:val="22"/>
        </w:rPr>
        <w:t xml:space="preserve">. </w:t>
      </w:r>
      <w:r>
        <w:rPr>
          <w:szCs w:val="22"/>
        </w:rPr>
        <w:t>The timing</w:t>
      </w:r>
      <w:r w:rsidRPr="000F5A70">
        <w:rPr>
          <w:szCs w:val="22"/>
        </w:rPr>
        <w:t xml:space="preserve"> and duration of symptoms</w:t>
      </w:r>
      <w:r>
        <w:rPr>
          <w:szCs w:val="22"/>
        </w:rPr>
        <w:t xml:space="preserve"> play</w:t>
      </w:r>
      <w:r w:rsidRPr="000F5A70">
        <w:rPr>
          <w:szCs w:val="22"/>
        </w:rPr>
        <w:t xml:space="preserve"> a pivotal role in the sensitivity of outcome measures.</w:t>
      </w:r>
      <w:r w:rsidRPr="005202DF">
        <w:rPr>
          <w:szCs w:val="22"/>
        </w:rPr>
        <w:t xml:space="preserve"> </w:t>
      </w:r>
      <w:r w:rsidRPr="000F5A70">
        <w:rPr>
          <w:szCs w:val="22"/>
        </w:rPr>
        <w:t xml:space="preserve">Additionally, the ability of patients to subjectively detect </w:t>
      </w:r>
      <w:r>
        <w:rPr>
          <w:szCs w:val="22"/>
        </w:rPr>
        <w:t xml:space="preserve">a </w:t>
      </w:r>
      <w:r w:rsidRPr="000F5A70">
        <w:rPr>
          <w:szCs w:val="22"/>
        </w:rPr>
        <w:t xml:space="preserve">change </w:t>
      </w:r>
      <w:r>
        <w:rPr>
          <w:szCs w:val="22"/>
        </w:rPr>
        <w:t xml:space="preserve">in particular constructs </w:t>
      </w:r>
      <w:r w:rsidRPr="000F5A70">
        <w:rPr>
          <w:szCs w:val="22"/>
        </w:rPr>
        <w:t xml:space="preserve">over time </w:t>
      </w:r>
      <w:r>
        <w:rPr>
          <w:szCs w:val="22"/>
        </w:rPr>
        <w:t>may differ. Factors</w:t>
      </w:r>
      <w:r w:rsidRPr="005202DF">
        <w:rPr>
          <w:szCs w:val="22"/>
        </w:rPr>
        <w:t xml:space="preserve"> such as </w:t>
      </w:r>
      <w:r>
        <w:rPr>
          <w:szCs w:val="22"/>
        </w:rPr>
        <w:t>s</w:t>
      </w:r>
      <w:r w:rsidRPr="000F5A70">
        <w:rPr>
          <w:szCs w:val="22"/>
        </w:rPr>
        <w:t>ymptom</w:t>
      </w:r>
      <w:r>
        <w:rPr>
          <w:szCs w:val="22"/>
        </w:rPr>
        <w:t xml:space="preserve"> severity</w:t>
      </w:r>
      <w:r w:rsidRPr="000F5A70">
        <w:rPr>
          <w:szCs w:val="22"/>
        </w:rPr>
        <w:t xml:space="preserve"> or </w:t>
      </w:r>
      <w:r>
        <w:rPr>
          <w:szCs w:val="22"/>
        </w:rPr>
        <w:t xml:space="preserve">UEC service </w:t>
      </w:r>
      <w:r w:rsidRPr="000F5A70">
        <w:rPr>
          <w:szCs w:val="22"/>
        </w:rPr>
        <w:t>usage rates may fluctuate, and post-treatment effects may not always be sustained.</w:t>
      </w:r>
      <w:r w:rsidRPr="005202DF">
        <w:rPr>
          <w:szCs w:val="22"/>
        </w:rPr>
        <w:t xml:space="preserve"> </w:t>
      </w:r>
      <w:r>
        <w:rPr>
          <w:szCs w:val="22"/>
        </w:rPr>
        <w:t>M</w:t>
      </w:r>
      <w:r w:rsidRPr="000F5A70">
        <w:rPr>
          <w:szCs w:val="22"/>
        </w:rPr>
        <w:t xml:space="preserve">easures that </w:t>
      </w:r>
      <w:r>
        <w:rPr>
          <w:szCs w:val="22"/>
        </w:rPr>
        <w:t>account for or control for</w:t>
      </w:r>
      <w:r w:rsidRPr="000F5A70">
        <w:rPr>
          <w:szCs w:val="22"/>
        </w:rPr>
        <w:t xml:space="preserve"> these </w:t>
      </w:r>
      <w:r>
        <w:rPr>
          <w:szCs w:val="22"/>
        </w:rPr>
        <w:t>changes</w:t>
      </w:r>
      <w:r w:rsidRPr="000F5A70">
        <w:rPr>
          <w:szCs w:val="22"/>
        </w:rPr>
        <w:t xml:space="preserve"> over time</w:t>
      </w:r>
      <w:r>
        <w:rPr>
          <w:szCs w:val="22"/>
        </w:rPr>
        <w:t xml:space="preserve"> would</w:t>
      </w:r>
      <w:r w:rsidRPr="000F5A70">
        <w:rPr>
          <w:szCs w:val="22"/>
        </w:rPr>
        <w:t xml:space="preserve"> enhance</w:t>
      </w:r>
      <w:r>
        <w:rPr>
          <w:szCs w:val="22"/>
        </w:rPr>
        <w:t xml:space="preserve"> measurement</w:t>
      </w:r>
      <w:r w:rsidRPr="000F5A70">
        <w:rPr>
          <w:szCs w:val="22"/>
        </w:rPr>
        <w:t xml:space="preserve"> sensitivity</w:t>
      </w:r>
      <w:r>
        <w:rPr>
          <w:szCs w:val="22"/>
        </w:rPr>
        <w:t xml:space="preserve">. </w:t>
      </w:r>
    </w:p>
    <w:p w14:paraId="17E2BF09" w14:textId="35985F3B" w:rsidR="00100D99" w:rsidRPr="000F5A70" w:rsidRDefault="00100D99" w:rsidP="005202DF">
      <w:pPr>
        <w:rPr>
          <w:szCs w:val="22"/>
        </w:rPr>
      </w:pPr>
      <w:r>
        <w:rPr>
          <w:szCs w:val="22"/>
        </w:rPr>
        <w:lastRenderedPageBreak/>
        <w:t>It is important to understand</w:t>
      </w:r>
      <w:r w:rsidRPr="000F5A70">
        <w:rPr>
          <w:szCs w:val="22"/>
        </w:rPr>
        <w:t xml:space="preserve"> how potential confounders might change and how they moderate relationships between the patient and </w:t>
      </w:r>
      <w:r>
        <w:rPr>
          <w:szCs w:val="22"/>
        </w:rPr>
        <w:t xml:space="preserve">the </w:t>
      </w:r>
      <w:r w:rsidRPr="000F5A70">
        <w:rPr>
          <w:szCs w:val="22"/>
        </w:rPr>
        <w:t>outcome.</w:t>
      </w:r>
      <w:r w:rsidRPr="005202DF">
        <w:rPr>
          <w:szCs w:val="22"/>
        </w:rPr>
        <w:t xml:space="preserve"> </w:t>
      </w:r>
      <w:r w:rsidRPr="000F5A70">
        <w:rPr>
          <w:szCs w:val="22"/>
        </w:rPr>
        <w:t>For instance, a heightened focus on negative stimuli in FNSD patients may cause an overemphasis on symptoms, potentially correlating with increased emergency service use</w:t>
      </w:r>
      <w:r>
        <w:rPr>
          <w:szCs w:val="22"/>
        </w:rPr>
        <w:t xml:space="preserve"> </w:t>
      </w:r>
      <w:sdt>
        <w:sdtPr>
          <w:rPr>
            <w:color w:val="000000"/>
            <w:szCs w:val="22"/>
          </w:rPr>
          <w:tag w:val="MENDELEY_CITATION_v3_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"/>
          <w:id w:val="382151988"/>
          <w:placeholder>
            <w:docPart w:val="E083BE152A98EE49A87198EA29194721"/>
          </w:placeholder>
        </w:sdtPr>
        <w:sdtContent>
          <w:r w:rsidR="00EC7CE1" w:rsidRPr="00EC7CE1">
            <w:rPr>
              <w:color w:val="000000"/>
              <w:szCs w:val="22"/>
            </w:rPr>
            <w:t>(Whitfield et al., 2020)</w:t>
          </w:r>
        </w:sdtContent>
      </w:sdt>
      <w:r w:rsidRPr="000F5A70">
        <w:rPr>
          <w:szCs w:val="22"/>
        </w:rPr>
        <w:t>.</w:t>
      </w:r>
      <w:r w:rsidRPr="005202DF">
        <w:rPr>
          <w:szCs w:val="22"/>
        </w:rPr>
        <w:t xml:space="preserve"> </w:t>
      </w:r>
      <w:r w:rsidRPr="000F5A70">
        <w:rPr>
          <w:szCs w:val="22"/>
        </w:rPr>
        <w:t>Thoroughly understanding these interactions and designing outcome measures to account for these variables</w:t>
      </w:r>
      <w:r w:rsidRPr="005202DF">
        <w:rPr>
          <w:szCs w:val="22"/>
        </w:rPr>
        <w:t xml:space="preserve"> is paramount.</w:t>
      </w:r>
    </w:p>
    <w:p w14:paraId="70C78A1E" w14:textId="77777777" w:rsidR="00100D99" w:rsidRDefault="00100D99" w:rsidP="005202DF">
      <w:pPr>
        <w:rPr>
          <w:szCs w:val="22"/>
        </w:rPr>
      </w:pPr>
      <w:r w:rsidRPr="000F5A70">
        <w:rPr>
          <w:szCs w:val="22"/>
        </w:rPr>
        <w:t xml:space="preserve">A patient-centred approach to outcome measurement may </w:t>
      </w:r>
      <w:r w:rsidRPr="005202DF">
        <w:rPr>
          <w:szCs w:val="22"/>
        </w:rPr>
        <w:t xml:space="preserve">also </w:t>
      </w:r>
      <w:r w:rsidRPr="000F5A70">
        <w:rPr>
          <w:szCs w:val="22"/>
        </w:rPr>
        <w:t>enhance its relevance and applicability.</w:t>
      </w:r>
      <w:r w:rsidRPr="005202DF">
        <w:rPr>
          <w:szCs w:val="22"/>
        </w:rPr>
        <w:t xml:space="preserve"> </w:t>
      </w:r>
      <w:r w:rsidRPr="000F5A70">
        <w:rPr>
          <w:szCs w:val="22"/>
        </w:rPr>
        <w:t>By incorporating outcomes that are most meaningful to patients, in addition to those of clinical interest, a more holistic picture of treatment-related change</w:t>
      </w:r>
      <w:r w:rsidRPr="005202DF">
        <w:rPr>
          <w:szCs w:val="22"/>
        </w:rPr>
        <w:t xml:space="preserve"> may be captured. It is also</w:t>
      </w:r>
      <w:r w:rsidRPr="000F5A70">
        <w:rPr>
          <w:szCs w:val="22"/>
        </w:rPr>
        <w:t xml:space="preserve"> essential to acknowledge that a self-report measure may only capture what the patient </w:t>
      </w:r>
      <w:r>
        <w:rPr>
          <w:szCs w:val="22"/>
        </w:rPr>
        <w:t>can recognise, given the pathology's potential impact</w:t>
      </w:r>
      <w:r w:rsidRPr="000F5A70">
        <w:rPr>
          <w:szCs w:val="22"/>
        </w:rPr>
        <w:t xml:space="preserve"> on their cognition.</w:t>
      </w:r>
      <w:r w:rsidRPr="005202DF">
        <w:rPr>
          <w:szCs w:val="22"/>
        </w:rPr>
        <w:t xml:space="preserve"> </w:t>
      </w:r>
      <w:r w:rsidRPr="000F5A70">
        <w:rPr>
          <w:szCs w:val="22"/>
        </w:rPr>
        <w:t>This limited insight could be an interesting finding, shedding light on the depth of cognitive awareness or insight in the measured outcome.</w:t>
      </w:r>
      <w:r w:rsidRPr="005202DF">
        <w:rPr>
          <w:szCs w:val="22"/>
        </w:rPr>
        <w:t xml:space="preserve"> </w:t>
      </w:r>
      <w:r w:rsidRPr="000F5A70">
        <w:rPr>
          <w:szCs w:val="22"/>
        </w:rPr>
        <w:t>Thus, enhancing</w:t>
      </w:r>
      <w:r w:rsidRPr="005202DF">
        <w:rPr>
          <w:szCs w:val="22"/>
        </w:rPr>
        <w:t xml:space="preserve"> the depth and breadth of a battery of</w:t>
      </w:r>
      <w:r w:rsidRPr="000F5A70">
        <w:rPr>
          <w:szCs w:val="22"/>
        </w:rPr>
        <w:t xml:space="preserve"> outcome </w:t>
      </w:r>
      <w:r w:rsidRPr="005202DF">
        <w:rPr>
          <w:szCs w:val="22"/>
        </w:rPr>
        <w:t xml:space="preserve">measures to encompass the variable </w:t>
      </w:r>
      <w:r w:rsidRPr="000F5A70">
        <w:rPr>
          <w:szCs w:val="22"/>
        </w:rPr>
        <w:t xml:space="preserve">representation of </w:t>
      </w:r>
      <w:r w:rsidRPr="005202DF">
        <w:rPr>
          <w:szCs w:val="22"/>
        </w:rPr>
        <w:t xml:space="preserve">a </w:t>
      </w:r>
      <w:r>
        <w:rPr>
          <w:szCs w:val="22"/>
        </w:rPr>
        <w:t>construct could help</w:t>
      </w:r>
      <w:r w:rsidRPr="000F5A70">
        <w:rPr>
          <w:szCs w:val="22"/>
        </w:rPr>
        <w:t xml:space="preserve"> </w:t>
      </w:r>
      <w:r>
        <w:rPr>
          <w:szCs w:val="22"/>
        </w:rPr>
        <w:t>maximise</w:t>
      </w:r>
      <w:r w:rsidRPr="000F5A70">
        <w:rPr>
          <w:szCs w:val="22"/>
        </w:rPr>
        <w:t xml:space="preserve"> the</w:t>
      </w:r>
      <w:r w:rsidRPr="005202DF">
        <w:rPr>
          <w:szCs w:val="22"/>
        </w:rPr>
        <w:t xml:space="preserve"> </w:t>
      </w:r>
      <w:r w:rsidRPr="000F5A70">
        <w:rPr>
          <w:szCs w:val="22"/>
        </w:rPr>
        <w:t xml:space="preserve">sensitivity </w:t>
      </w:r>
      <w:r w:rsidRPr="005202DF">
        <w:rPr>
          <w:szCs w:val="22"/>
        </w:rPr>
        <w:t>of outcome measurement.</w:t>
      </w:r>
      <w:r>
        <w:rPr>
          <w:szCs w:val="22"/>
        </w:rPr>
        <w:t xml:space="preserve"> However, a</w:t>
      </w:r>
      <w:r w:rsidRPr="009A49ED">
        <w:rPr>
          <w:szCs w:val="22"/>
        </w:rPr>
        <w:t xml:space="preserve"> drawback to individualised outcome measurement is poor comparability with other patients or patient populations - which means that this </w:t>
      </w:r>
      <w:r>
        <w:rPr>
          <w:szCs w:val="22"/>
        </w:rPr>
        <w:t xml:space="preserve">as a sole </w:t>
      </w:r>
      <w:r w:rsidRPr="009A49ED">
        <w:rPr>
          <w:szCs w:val="22"/>
        </w:rPr>
        <w:t>approach would not be helpful in terms of competitive resource allocation.</w:t>
      </w:r>
    </w:p>
    <w:p w14:paraId="320A9689" w14:textId="77777777" w:rsidR="00100D99" w:rsidRDefault="00100D99" w:rsidP="005202DF">
      <w:pPr>
        <w:rPr>
          <w:szCs w:val="22"/>
        </w:rPr>
      </w:pPr>
      <w:r w:rsidRPr="00ED25E1">
        <w:t xml:space="preserve">Lastly, </w:t>
      </w:r>
      <w:r>
        <w:t xml:space="preserve">the </w:t>
      </w:r>
      <w:r w:rsidRPr="00ED25E1">
        <w:t xml:space="preserve">measurement of </w:t>
      </w:r>
      <w:r>
        <w:t>'</w:t>
      </w:r>
      <w:r w:rsidRPr="00ED25E1">
        <w:t>effectiveness</w:t>
      </w:r>
      <w:r>
        <w:t>'</w:t>
      </w:r>
      <w:r w:rsidRPr="00ED25E1">
        <w:t xml:space="preserve"> in FNSD is not always straightforward.</w:t>
      </w:r>
      <w:r>
        <w:t xml:space="preserve"> </w:t>
      </w:r>
      <w:r w:rsidRPr="00ED25E1">
        <w:t xml:space="preserve">The heterogeneous nature of the disorder, combined with the lack of a universally accepted outcome measure, makes it challenging to </w:t>
      </w:r>
      <w:r>
        <w:t xml:space="preserve">clearly </w:t>
      </w:r>
      <w:r w:rsidRPr="00ED25E1">
        <w:t>define a successful treatment outcome.</w:t>
      </w:r>
      <w:r>
        <w:t xml:space="preserve"> </w:t>
      </w:r>
      <w:r w:rsidRPr="00ED25E1">
        <w:t>This</w:t>
      </w:r>
      <w:r>
        <w:t xml:space="preserve"> will</w:t>
      </w:r>
      <w:r w:rsidRPr="00ED25E1">
        <w:t xml:space="preserve"> need to be</w:t>
      </w:r>
      <w:r>
        <w:t xml:space="preserve"> defined and</w:t>
      </w:r>
      <w:r w:rsidRPr="00ED25E1">
        <w:t xml:space="preserve"> accounted for in a</w:t>
      </w:r>
      <w:r>
        <w:t xml:space="preserve">ny patient outcome </w:t>
      </w:r>
      <w:r w:rsidRPr="00ED25E1">
        <w:t>study.</w:t>
      </w:r>
    </w:p>
    <w:p w14:paraId="5B3DE680" w14:textId="77777777" w:rsidR="00100D99" w:rsidRDefault="00100D99" w:rsidP="005A2F5C">
      <w:pPr>
        <w:pStyle w:val="Heading2"/>
      </w:pPr>
      <w:bookmarkStart w:id="190" w:name="_Toc137504802"/>
      <w:r>
        <w:t xml:space="preserve">6.5 </w:t>
      </w:r>
      <w:r w:rsidRPr="000D05AD">
        <w:t>Implications of this research</w:t>
      </w:r>
      <w:bookmarkEnd w:id="190"/>
    </w:p>
    <w:p w14:paraId="70C0A971" w14:textId="77777777" w:rsidR="00100D99" w:rsidRDefault="00100D99" w:rsidP="008B1EC7">
      <w:r>
        <w:t>This research has implications for both research and clinical practice relating to FNSD. By understanding the specific features of the disorder, we can ensure the scientific validity of outcome assessments and contribute to the knowledge of FNSD development.</w:t>
      </w:r>
    </w:p>
    <w:p w14:paraId="2A31584D" w14:textId="1DD873CB" w:rsidR="00100D99" w:rsidRDefault="00100D99" w:rsidP="008B1EC7">
      <w:r>
        <w:t xml:space="preserve">Developing and using optimal outcome measures could generate stronger evidence supporting the effectiveness of FNSD therapies, thereby supporting the development and improvement of treatment services. This progression would enable the optimal allocation of limited healthcare resources and identification of patients who are most likely to benefit from specific treatments and specialised services for FNSD patients </w:t>
      </w:r>
      <w:r>
        <w:lastRenderedPageBreak/>
        <w:t xml:space="preserve">and who might otherwise lack treatment access </w:t>
      </w:r>
      <w:sdt>
        <w:sdtPr>
          <w:tag w:val="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"/>
          <w:id w:val="-1047516874"/>
          <w:placeholder>
            <w:docPart w:val="E083BE152A98EE49A87198EA29194721"/>
          </w:placeholder>
        </w:sdtPr>
        <w:sdtContent>
          <w:r w:rsidR="00EC7CE1">
            <w:rPr>
              <w:rFonts w:eastAsia="Times New Roman"/>
            </w:rPr>
            <w:t>(</w:t>
          </w:r>
          <w:proofErr w:type="spellStart"/>
          <w:r w:rsidR="00EC7CE1">
            <w:rPr>
              <w:rFonts w:eastAsia="Times New Roman"/>
            </w:rPr>
            <w:t>Aybek</w:t>
          </w:r>
          <w:proofErr w:type="spellEnd"/>
          <w:r w:rsidR="00EC7CE1">
            <w:rPr>
              <w:rFonts w:eastAsia="Times New Roman"/>
            </w:rPr>
            <w:t xml:space="preserve"> et al., 2013; </w:t>
          </w:r>
          <w:proofErr w:type="spellStart"/>
          <w:r w:rsidR="00EC7CE1">
            <w:rPr>
              <w:rFonts w:eastAsia="Times New Roman"/>
            </w:rPr>
            <w:t>Petrochilos</w:t>
          </w:r>
          <w:proofErr w:type="spellEnd"/>
          <w:r w:rsidR="00EC7CE1">
            <w:rPr>
              <w:rFonts w:eastAsia="Times New Roman"/>
            </w:rPr>
            <w:t xml:space="preserve"> et al., 2020; Ricciardi &amp; Edwards, 2014; Russell et al., 2022; D. T. Williams et al., 2016)</w:t>
          </w:r>
        </w:sdtContent>
      </w:sdt>
      <w:r>
        <w:t xml:space="preserve">. </w:t>
      </w:r>
    </w:p>
    <w:p w14:paraId="42154C60" w14:textId="77777777" w:rsidR="00100D99" w:rsidRDefault="00100D99" w:rsidP="008B1EC7">
      <w:r>
        <w:t>Additionally, this project could pave the way for further investigations into the cost-utility of FNSD treatments and enable comparisons among different treatment options for various FNSD subtypes. This research could allow probes into specific therapeutic factors contributing to the observed changes and explore why certain recommended actions did not alter post-therapy. Such insights could illuminate aspects of FNSD that are more challenging to change, demanding different or supplementary therapeutic interventions.</w:t>
      </w:r>
    </w:p>
    <w:p w14:paraId="461FE6E0" w14:textId="77777777" w:rsidR="00100D99" w:rsidRPr="00D86006" w:rsidRDefault="00100D99" w:rsidP="005A2F5C">
      <w:pPr>
        <w:pStyle w:val="Heading2"/>
        <w:rPr>
          <w:szCs w:val="24"/>
        </w:rPr>
      </w:pPr>
      <w:bookmarkStart w:id="191" w:name="_Toc137504803"/>
      <w:r>
        <w:t>6.6 Strengths and Limitations</w:t>
      </w:r>
      <w:bookmarkEnd w:id="191"/>
    </w:p>
    <w:p w14:paraId="50E8FDB6" w14:textId="77777777" w:rsidR="00100D99" w:rsidRPr="00576F88" w:rsidRDefault="00100D99" w:rsidP="00576F88">
      <w:r>
        <w:t>When evaluating this thesis's conclusions, several</w:t>
      </w:r>
      <w:r w:rsidRPr="00576F88">
        <w:t xml:space="preserve"> methodological and theoretical considerations must be </w:t>
      </w:r>
      <w:r>
        <w:t>considered</w:t>
      </w:r>
      <w:r w:rsidRPr="00576F88">
        <w:t xml:space="preserve">. The cohort participating in these studies may have a greater inclination towards </w:t>
      </w:r>
      <w:r>
        <w:t>recognising</w:t>
      </w:r>
      <w:r w:rsidRPr="00576F88">
        <w:t xml:space="preserve"> psychological elements in their disorder compared to the broader FNSD community or those who did not respond to the recruitment advertisement for Study 3. Although the study was advertised neutrally, the potential for a bias towards individuals seeking further understanding or assessment of their symptoms cannot be discounted.</w:t>
      </w:r>
    </w:p>
    <w:p w14:paraId="1559FCE5" w14:textId="77777777" w:rsidR="00100D99" w:rsidRPr="00576F88" w:rsidRDefault="00100D99" w:rsidP="00576F88">
      <w:r w:rsidRPr="00576F88">
        <w:t xml:space="preserve">All participants involved in Studies 1 and 2 were undergoing or about to </w:t>
      </w:r>
      <w:r>
        <w:t xml:space="preserve">begin </w:t>
      </w:r>
      <w:r w:rsidRPr="00576F88">
        <w:t xml:space="preserve">psychotherapy. The participants selected from these studies, referred from a specialist psychotherapy service following a </w:t>
      </w:r>
      <w:r>
        <w:t>neurologist's</w:t>
      </w:r>
      <w:r w:rsidRPr="00576F88">
        <w:t xml:space="preserve"> recommendation, </w:t>
      </w:r>
      <w:r>
        <w:t xml:space="preserve">may have carried a particularly high </w:t>
      </w:r>
      <w:r w:rsidRPr="00576F88">
        <w:t>burden</w:t>
      </w:r>
      <w:r>
        <w:t xml:space="preserve"> of</w:t>
      </w:r>
      <w:r w:rsidRPr="00576F88">
        <w:t xml:space="preserve"> physical or psychological impairments. Consequently, </w:t>
      </w:r>
      <w:r>
        <w:t>extrapolating</w:t>
      </w:r>
      <w:r w:rsidRPr="00576F88">
        <w:t xml:space="preserve"> these findings to the broader FND population should be done with </w:t>
      </w:r>
      <w:r>
        <w:t>caution</w:t>
      </w:r>
      <w:r w:rsidRPr="00576F88">
        <w:t>.</w:t>
      </w:r>
    </w:p>
    <w:p w14:paraId="3847A57F" w14:textId="77777777" w:rsidR="00100D99" w:rsidRPr="00576F88" w:rsidRDefault="00100D99" w:rsidP="007C2554">
      <w:r w:rsidRPr="00576F88">
        <w:t xml:space="preserve">From a theoretical perspective, while this thesis highlights the </w:t>
      </w:r>
      <w:r>
        <w:t>potential o</w:t>
      </w:r>
      <w:r w:rsidRPr="00576F88">
        <w:t xml:space="preserve">f delay discounting tasks, NAP tasks, and the </w:t>
      </w:r>
      <w:r>
        <w:t>novel</w:t>
      </w:r>
      <w:r w:rsidRPr="00576F88">
        <w:t xml:space="preserve"> EASE questionnaire in measuring FNSD outcomes, the </w:t>
      </w:r>
      <w:r>
        <w:t xml:space="preserve">fact that the studies described here were </w:t>
      </w:r>
      <w:r w:rsidRPr="00576F88">
        <w:t xml:space="preserve">cross-sectional </w:t>
      </w:r>
      <w:r>
        <w:t xml:space="preserve">(or retrospective) </w:t>
      </w:r>
      <w:r w:rsidRPr="00576F88">
        <w:t>implies th</w:t>
      </w:r>
      <w:r>
        <w:t>at th</w:t>
      </w:r>
      <w:r w:rsidRPr="00576F88">
        <w:t xml:space="preserve">ey cannot conclusively determine whether these tools accurately capture </w:t>
      </w:r>
      <w:r>
        <w:t xml:space="preserve">treatment </w:t>
      </w:r>
      <w:r w:rsidRPr="00576F88">
        <w:t>outcome</w:t>
      </w:r>
      <w:r>
        <w:t>s</w:t>
      </w:r>
      <w:r w:rsidRPr="00576F88">
        <w:t xml:space="preserve">, </w:t>
      </w:r>
      <w:r>
        <w:t>that is,</w:t>
      </w:r>
      <w:r w:rsidRPr="00576F88">
        <w:t xml:space="preserve"> </w:t>
      </w:r>
      <w:r>
        <w:t xml:space="preserve">potentially </w:t>
      </w:r>
      <w:r w:rsidRPr="00576F88">
        <w:t xml:space="preserve">therapeutic changes. </w:t>
      </w:r>
      <w:r>
        <w:t>In th</w:t>
      </w:r>
      <w:r w:rsidRPr="00576F88">
        <w:t xml:space="preserve">e absence of preceding studies in FNSD using the DD and NAP measures (employed in Study 2) to clarify the processes these </w:t>
      </w:r>
      <w:r>
        <w:t>tasks might measure</w:t>
      </w:r>
      <w:r w:rsidRPr="00576F88">
        <w:t xml:space="preserve">, as well as their centrality in psychopathology, means that we are currently unable to define how well these tasks operate as indicators </w:t>
      </w:r>
      <w:r>
        <w:t>of</w:t>
      </w:r>
      <w:r w:rsidRPr="00576F88">
        <w:t xml:space="preserve"> </w:t>
      </w:r>
      <w:r>
        <w:t xml:space="preserve">health in </w:t>
      </w:r>
      <w:r w:rsidRPr="00576F88">
        <w:t>FNSD.</w:t>
      </w:r>
    </w:p>
    <w:p w14:paraId="2FA4DDD7" w14:textId="77777777" w:rsidR="00100D99" w:rsidRDefault="00100D99" w:rsidP="005A2F5C">
      <w:r w:rsidRPr="00576F88">
        <w:lastRenderedPageBreak/>
        <w:t>Despite these limitations, this project possesses several significant strengths</w:t>
      </w:r>
      <w:r>
        <w:t>. These were discussed in each of the chapters of this thesis but also</w:t>
      </w:r>
      <w:r w:rsidRPr="00576F88">
        <w:t xml:space="preserve"> </w:t>
      </w:r>
      <w:r>
        <w:t xml:space="preserve">included the use of </w:t>
      </w:r>
      <w:r w:rsidRPr="00576F88">
        <w:t>multi-modal measurements</w:t>
      </w:r>
      <w:r>
        <w:t xml:space="preserve"> </w:t>
      </w:r>
      <w:r w:rsidRPr="00576F88">
        <w:t xml:space="preserve">- self-report, behavioural, and physiological methods. Each </w:t>
      </w:r>
      <w:r>
        <w:t>method</w:t>
      </w:r>
      <w:r w:rsidRPr="00576F88">
        <w:t xml:space="preserve"> </w:t>
      </w:r>
      <w:r>
        <w:t>has</w:t>
      </w:r>
      <w:r w:rsidRPr="00576F88">
        <w:t xml:space="preserve"> merits and limitations; however, their combined use enables a comprehensive exploration of their u</w:t>
      </w:r>
      <w:r>
        <w:t>tility</w:t>
      </w:r>
      <w:r w:rsidRPr="00576F88">
        <w:t xml:space="preserve"> for outcome measurement in FNSD. The exploratory nature of Studies 2 and 3 further facilitates our understanding of FNSD</w:t>
      </w:r>
      <w:r>
        <w:t xml:space="preserve"> and presents several areas and questions</w:t>
      </w:r>
      <w:r w:rsidRPr="00576F88">
        <w:t xml:space="preserve"> for future research</w:t>
      </w:r>
      <w:r>
        <w:t>.</w:t>
      </w:r>
    </w:p>
    <w:p w14:paraId="62DF5FBD" w14:textId="77777777" w:rsidR="00100D99" w:rsidRDefault="00100D99" w:rsidP="005A2F5C">
      <w:pPr>
        <w:pStyle w:val="Heading2"/>
      </w:pPr>
      <w:bookmarkStart w:id="192" w:name="_Toc137504804"/>
      <w:r>
        <w:t>6.7 Future work</w:t>
      </w:r>
      <w:bookmarkEnd w:id="192"/>
    </w:p>
    <w:p w14:paraId="2E68BF4F" w14:textId="77777777" w:rsidR="00100D99" w:rsidRDefault="00100D99" w:rsidP="008E3888">
      <w:r w:rsidRPr="00724524">
        <w:t>Future research could focus on developing</w:t>
      </w:r>
      <w:r>
        <w:t xml:space="preserve"> and validating</w:t>
      </w:r>
      <w:r w:rsidRPr="00724524">
        <w:t xml:space="preserve"> a comprehensive outcome</w:t>
      </w:r>
      <w:r>
        <w:t xml:space="preserve"> </w:t>
      </w:r>
      <w:r w:rsidRPr="00724524">
        <w:t xml:space="preserve">measurement framework for FNSD that integrates </w:t>
      </w:r>
      <w:r>
        <w:t xml:space="preserve">several </w:t>
      </w:r>
      <w:r w:rsidRPr="00724524">
        <w:t xml:space="preserve">subjective and objective measures. </w:t>
      </w:r>
      <w:r>
        <w:t>This</w:t>
      </w:r>
      <w:r w:rsidRPr="008A58C8">
        <w:t xml:space="preserve"> should </w:t>
      </w:r>
      <w:r>
        <w:t>follow</w:t>
      </w:r>
      <w:r w:rsidRPr="008A58C8">
        <w:t xml:space="preserve"> a theory</w:t>
      </w:r>
      <w:r>
        <w:t>-</w:t>
      </w:r>
      <w:r w:rsidRPr="008A58C8">
        <w:t>driven approach</w:t>
      </w:r>
      <w:r>
        <w:t xml:space="preserve"> to address the underlying psychological processes that, to some degree, moderate both outcomes and measurement ability</w:t>
      </w:r>
      <w:r w:rsidRPr="008A58C8">
        <w:t>.</w:t>
      </w:r>
      <w:r>
        <w:t xml:space="preserve"> </w:t>
      </w:r>
      <w:r w:rsidRPr="00724524">
        <w:t xml:space="preserve">This could include </w:t>
      </w:r>
      <w:r>
        <w:t>the development of other</w:t>
      </w:r>
      <w:r w:rsidRPr="00724524">
        <w:t xml:space="preserve"> </w:t>
      </w:r>
      <w:r>
        <w:t xml:space="preserve">disorder-specific </w:t>
      </w:r>
      <w:r w:rsidRPr="00724524">
        <w:t>self-report scales,</w:t>
      </w:r>
      <w:r>
        <w:t xml:space="preserve"> with patient input, e.g., in a qualitative study, and </w:t>
      </w:r>
      <w:r w:rsidRPr="00724524">
        <w:t xml:space="preserve">establishing their reliability and validity across different patient subgroups. Additionally, </w:t>
      </w:r>
      <w:r>
        <w:t xml:space="preserve">specific studies designed to analyse the convergence across subjective and </w:t>
      </w:r>
      <w:r w:rsidRPr="00724524">
        <w:t>objective measures</w:t>
      </w:r>
      <w:r>
        <w:t xml:space="preserve">, including </w:t>
      </w:r>
      <w:r w:rsidRPr="00724524">
        <w:t>neuroimaging biomarkers or physiological indices</w:t>
      </w:r>
      <w:r>
        <w:t xml:space="preserve">, and identifying any overlap will help provide a holistic understanding of measurement in this patient group and how they can complement each other. </w:t>
      </w:r>
      <w:r w:rsidRPr="00724524">
        <w:t xml:space="preserve">Furthermore, longitudinal studies tracking changes in these measures </w:t>
      </w:r>
      <w:r>
        <w:t>throughout</w:t>
      </w:r>
      <w:r w:rsidRPr="00724524">
        <w:t xml:space="preserve"> treatment could provide insights into the temporal progression of FNSD </w:t>
      </w:r>
      <w:r>
        <w:t xml:space="preserve">and </w:t>
      </w:r>
      <w:r w:rsidRPr="00724524">
        <w:t>help understand the</w:t>
      </w:r>
      <w:r>
        <w:t>ir</w:t>
      </w:r>
      <w:r w:rsidRPr="00724524">
        <w:t xml:space="preserve"> sensitivity to treatment-related changes</w:t>
      </w:r>
      <w:r>
        <w:t xml:space="preserve">. </w:t>
      </w:r>
      <w:r w:rsidRPr="00724524">
        <w:t xml:space="preserve">Further investigations could also explore the impact of </w:t>
      </w:r>
      <w:r>
        <w:t>individualised</w:t>
      </w:r>
      <w:r w:rsidRPr="00724524">
        <w:t xml:space="preserve"> therapies on outcomes, identifying patient subgroups that may respond differently to treatments. </w:t>
      </w:r>
      <w:r>
        <w:t>C</w:t>
      </w:r>
      <w:r w:rsidRPr="00724524">
        <w:t>ost-effectiveness analyses could be undertaken to ensure resources are being allocated efficiently in managing FNSD.</w:t>
      </w:r>
      <w:r>
        <w:t xml:space="preserve"> Moreover, t</w:t>
      </w:r>
      <w:r w:rsidRPr="00DF2330">
        <w:t xml:space="preserve">here is a need </w:t>
      </w:r>
      <w:r>
        <w:t xml:space="preserve">to confirm </w:t>
      </w:r>
      <w:r w:rsidRPr="00DF2330">
        <w:t xml:space="preserve">the stability of the self-report and experimental methods </w:t>
      </w:r>
      <w:r>
        <w:t xml:space="preserve">utilising the </w:t>
      </w:r>
      <w:r w:rsidRPr="00DF2330">
        <w:t>test-retest approach</w:t>
      </w:r>
      <w:r>
        <w:t xml:space="preserve"> in longitudinal studies.</w:t>
      </w:r>
    </w:p>
    <w:p w14:paraId="32A9E198" w14:textId="77777777" w:rsidR="00C77674" w:rsidRDefault="00C77674">
      <w:pPr>
        <w:spacing w:line="240" w:lineRule="auto"/>
        <w:jc w:val="left"/>
        <w:rPr>
          <w:rFonts w:ascii="Calibri Light" w:eastAsia="Times New Roman" w:hAnsi="Calibri Light" w:cs="Times New Roman"/>
          <w:color w:val="2E74B5" w:themeColor="accent1" w:themeShade="BF"/>
          <w:sz w:val="36"/>
          <w:szCs w:val="20"/>
          <w:lang w:val="en-US"/>
        </w:rPr>
      </w:pPr>
      <w:r>
        <w:br w:type="page"/>
      </w:r>
    </w:p>
    <w:p w14:paraId="038017E3" w14:textId="0FAE7421" w:rsidR="00100D99" w:rsidRPr="005A2F5C" w:rsidRDefault="00100D99" w:rsidP="005A2F5C">
      <w:pPr>
        <w:pStyle w:val="Heading1"/>
      </w:pPr>
      <w:bookmarkStart w:id="193" w:name="_Toc137504805"/>
      <w:r w:rsidRPr="005A2F5C">
        <w:lastRenderedPageBreak/>
        <w:t>7.0 Conclusion</w:t>
      </w:r>
      <w:bookmarkEnd w:id="193"/>
    </w:p>
    <w:p w14:paraId="64211F4D" w14:textId="77777777" w:rsidR="00100D99" w:rsidRPr="0089033A" w:rsidRDefault="00100D99" w:rsidP="00B2266A">
      <w:r>
        <w:t>T</w:t>
      </w:r>
      <w:r w:rsidRPr="007328A1">
        <w:t>his research show</w:t>
      </w:r>
      <w:r>
        <w:t>s</w:t>
      </w:r>
      <w:r w:rsidRPr="007328A1">
        <w:t xml:space="preserve"> that it </w:t>
      </w:r>
      <w:r>
        <w:t>is</w:t>
      </w:r>
      <w:r w:rsidRPr="007328A1">
        <w:t xml:space="preserve"> necessary to develop a comprehensive outcome measurement framework for</w:t>
      </w:r>
      <w:r>
        <w:t xml:space="preserve"> </w:t>
      </w:r>
      <w:r w:rsidRPr="007328A1">
        <w:t>patient</w:t>
      </w:r>
      <w:r>
        <w:t>s with FNSD, including a range of complimentary methods</w:t>
      </w:r>
      <w:r w:rsidRPr="007328A1">
        <w:t xml:space="preserve">. This framework </w:t>
      </w:r>
      <w:r>
        <w:t>w</w:t>
      </w:r>
      <w:r w:rsidRPr="007328A1">
        <w:t xml:space="preserve">ould guide the selection of measurable aspects of the disorder, </w:t>
      </w:r>
      <w:r>
        <w:t xml:space="preserve">describe </w:t>
      </w:r>
      <w:r w:rsidRPr="007328A1">
        <w:t xml:space="preserve">how </w:t>
      </w:r>
      <w:r>
        <w:t>they</w:t>
      </w:r>
      <w:r w:rsidRPr="007328A1">
        <w:t xml:space="preserve"> </w:t>
      </w:r>
      <w:r>
        <w:t>should</w:t>
      </w:r>
      <w:r w:rsidRPr="007328A1">
        <w:t xml:space="preserve"> be measured (</w:t>
      </w:r>
      <w:r>
        <w:t xml:space="preserve">and </w:t>
      </w:r>
      <w:r w:rsidRPr="007328A1">
        <w:t xml:space="preserve">when), and in which patient groups to </w:t>
      </w:r>
      <w:r>
        <w:t>maximise</w:t>
      </w:r>
      <w:r w:rsidRPr="007328A1">
        <w:t xml:space="preserve"> </w:t>
      </w:r>
      <w:r>
        <w:t xml:space="preserve">the effectiveness of </w:t>
      </w:r>
      <w:r w:rsidRPr="007328A1">
        <w:t xml:space="preserve">measurement in research or clinical practice. </w:t>
      </w:r>
      <w:r>
        <w:t>Such an outcome measurement framework</w:t>
      </w:r>
      <w:r w:rsidRPr="007328A1">
        <w:t xml:space="preserve"> </w:t>
      </w:r>
      <w:r>
        <w:t>c</w:t>
      </w:r>
      <w:r w:rsidRPr="007328A1">
        <w:t xml:space="preserve">ould </w:t>
      </w:r>
      <w:r>
        <w:t xml:space="preserve">yield </w:t>
      </w:r>
      <w:r w:rsidRPr="007328A1">
        <w:t xml:space="preserve">precise and adaptable </w:t>
      </w:r>
      <w:r>
        <w:t>health measurements</w:t>
      </w:r>
      <w:r w:rsidRPr="007328A1">
        <w:t xml:space="preserve"> and outcomes, ensuring the collected data is extensive, </w:t>
      </w:r>
      <w:r>
        <w:t>generalisable, standardised,</w:t>
      </w:r>
      <w:r w:rsidRPr="007328A1">
        <w:t xml:space="preserve"> </w:t>
      </w:r>
      <w:r>
        <w:t>and</w:t>
      </w:r>
      <w:r w:rsidRPr="007328A1">
        <w:t xml:space="preserve"> directly relevant to the objectives and the patient group. </w:t>
      </w:r>
      <w:r>
        <w:t xml:space="preserve">Better measurement of patient states and functioning will be a key step toward </w:t>
      </w:r>
      <w:r w:rsidRPr="007328A1">
        <w:t xml:space="preserve">a </w:t>
      </w:r>
      <w:r>
        <w:t xml:space="preserve">deeper </w:t>
      </w:r>
      <w:r w:rsidRPr="007328A1">
        <w:t xml:space="preserve">understanding of the disorder </w:t>
      </w:r>
      <w:r>
        <w:t xml:space="preserve">and developing and improving effective treatments. </w:t>
      </w:r>
    </w:p>
    <w:p w14:paraId="418686C6" w14:textId="4C52071D" w:rsidR="00BE443D" w:rsidRDefault="00BE443D">
      <w:pPr>
        <w:spacing w:line="240" w:lineRule="auto"/>
        <w:jc w:val="left"/>
      </w:pPr>
      <w:r>
        <w:br w:type="page"/>
      </w:r>
    </w:p>
    <w:p w14:paraId="5066C106" w14:textId="1107EEC8" w:rsidR="00C47BE9" w:rsidRPr="00C47BE9" w:rsidRDefault="00C47BE9" w:rsidP="00C47BE9">
      <w:pPr>
        <w:pStyle w:val="Heading1"/>
        <w:divId w:val="333343070"/>
      </w:pPr>
      <w:r>
        <w:lastRenderedPageBreak/>
        <w:t>8</w:t>
      </w:r>
      <w:r w:rsidRPr="005A2F5C">
        <w:t xml:space="preserve">.0 </w:t>
      </w:r>
      <w:r>
        <w:t>References</w:t>
      </w:r>
    </w:p>
    <w:p w14:paraId="2923BD59" w14:textId="77777777" w:rsidR="00C47BE9" w:rsidRDefault="00C47BE9">
      <w:pPr>
        <w:autoSpaceDE w:val="0"/>
        <w:autoSpaceDN w:val="0"/>
        <w:ind w:hanging="480"/>
        <w:divId w:val="333343070"/>
      </w:pPr>
    </w:p>
    <w:sdt>
      <w:sdtPr>
        <w:tag w:val="MENDELEY_BIBLIOGRAPHY"/>
        <w:id w:val="-70351869"/>
        <w:placeholder>
          <w:docPart w:val="DefaultPlaceholder_-1854013440"/>
        </w:placeholder>
      </w:sdtPr>
      <w:sdtContent>
        <w:p w14:paraId="639CBD97" w14:textId="14981329" w:rsidR="00EC7CE1" w:rsidRDefault="00EC7CE1">
          <w:pPr>
            <w:autoSpaceDE w:val="0"/>
            <w:autoSpaceDN w:val="0"/>
            <w:ind w:hanging="480"/>
            <w:divId w:val="333343070"/>
            <w:rPr>
              <w:rFonts w:eastAsia="Times New Roman"/>
            </w:rPr>
          </w:pPr>
          <w:proofErr w:type="spellStart"/>
          <w:r>
            <w:rPr>
              <w:rFonts w:eastAsia="Times New Roman"/>
            </w:rPr>
            <w:t>Abma</w:t>
          </w:r>
          <w:proofErr w:type="spellEnd"/>
          <w:r>
            <w:rPr>
              <w:rFonts w:eastAsia="Times New Roman"/>
            </w:rPr>
            <w:t xml:space="preserve">, I. L., Rovers, M., &amp; Van Der Wees, P. J. (2016). Appraising convergent validity of patient-reported outcome measures in systematic reviews: Constructing hypotheses and interpreting outcomes. </w:t>
          </w:r>
          <w:r>
            <w:rPr>
              <w:rFonts w:eastAsia="Times New Roman"/>
              <w:i/>
              <w:iCs/>
            </w:rPr>
            <w:t>BMC Research Notes</w:t>
          </w:r>
          <w:r>
            <w:rPr>
              <w:rFonts w:eastAsia="Times New Roman"/>
            </w:rPr>
            <w:t xml:space="preserve">, </w:t>
          </w:r>
          <w:r>
            <w:rPr>
              <w:rFonts w:eastAsia="Times New Roman"/>
              <w:i/>
              <w:iCs/>
            </w:rPr>
            <w:t>9</w:t>
          </w:r>
          <w:r>
            <w:rPr>
              <w:rFonts w:eastAsia="Times New Roman"/>
            </w:rPr>
            <w:t>(1), 1–5. https://doi.org/10.1186/S13104-016-2034-2/METRICS</w:t>
          </w:r>
        </w:p>
        <w:p w14:paraId="0F224544" w14:textId="77777777" w:rsidR="00EC7CE1" w:rsidRDefault="00EC7CE1">
          <w:pPr>
            <w:autoSpaceDE w:val="0"/>
            <w:autoSpaceDN w:val="0"/>
            <w:ind w:hanging="480"/>
            <w:divId w:val="1467317207"/>
            <w:rPr>
              <w:rFonts w:eastAsia="Times New Roman"/>
            </w:rPr>
          </w:pPr>
          <w:r>
            <w:rPr>
              <w:rFonts w:eastAsia="Times New Roman"/>
            </w:rPr>
            <w:t xml:space="preserve">Abraham, K. M., Miller, C. J., </w:t>
          </w:r>
          <w:proofErr w:type="spellStart"/>
          <w:r>
            <w:rPr>
              <w:rFonts w:eastAsia="Times New Roman"/>
            </w:rPr>
            <w:t>Birgenheir</w:t>
          </w:r>
          <w:proofErr w:type="spellEnd"/>
          <w:r>
            <w:rPr>
              <w:rFonts w:eastAsia="Times New Roman"/>
            </w:rPr>
            <w:t xml:space="preserve">, D. G., Lai, Z., &amp; Kilbourne, A. M. (2014). Self-efficacy and Quality of Life among People with Bipolar Disorder. </w:t>
          </w:r>
          <w:r>
            <w:rPr>
              <w:rFonts w:eastAsia="Times New Roman"/>
              <w:i/>
              <w:iCs/>
            </w:rPr>
            <w:t>The Journal of Nervous and Mental Disease</w:t>
          </w:r>
          <w:r>
            <w:rPr>
              <w:rFonts w:eastAsia="Times New Roman"/>
            </w:rPr>
            <w:t xml:space="preserve">, </w:t>
          </w:r>
          <w:r>
            <w:rPr>
              <w:rFonts w:eastAsia="Times New Roman"/>
              <w:i/>
              <w:iCs/>
            </w:rPr>
            <w:t>202</w:t>
          </w:r>
          <w:r>
            <w:rPr>
              <w:rFonts w:eastAsia="Times New Roman"/>
            </w:rPr>
            <w:t>(8), 583. https://doi.org/10.1097/NMD.0000000000000165</w:t>
          </w:r>
        </w:p>
        <w:p w14:paraId="30C7FB66" w14:textId="77777777" w:rsidR="00EC7CE1" w:rsidRDefault="00EC7CE1">
          <w:pPr>
            <w:autoSpaceDE w:val="0"/>
            <w:autoSpaceDN w:val="0"/>
            <w:ind w:hanging="480"/>
            <w:divId w:val="653993349"/>
            <w:rPr>
              <w:rFonts w:eastAsia="Times New Roman"/>
            </w:rPr>
          </w:pPr>
          <w:r>
            <w:rPr>
              <w:rFonts w:eastAsia="Times New Roman"/>
              <w:i/>
              <w:iCs/>
            </w:rPr>
            <w:t>Accident and Emergency Attendances in England - 2013-14 - NHS Digital</w:t>
          </w:r>
          <w:r>
            <w:rPr>
              <w:rFonts w:eastAsia="Times New Roman"/>
            </w:rPr>
            <w:t>. (n.d.). Retrieved June 7, 2023, from https://digital.nhs.uk/data-and-information/publications/statistical/hospital-accident--emergency-activity/2013-14</w:t>
          </w:r>
        </w:p>
        <w:p w14:paraId="03044CA7" w14:textId="77777777" w:rsidR="00EC7CE1" w:rsidRDefault="00EC7CE1">
          <w:pPr>
            <w:autoSpaceDE w:val="0"/>
            <w:autoSpaceDN w:val="0"/>
            <w:ind w:hanging="480"/>
            <w:divId w:val="1971209277"/>
            <w:rPr>
              <w:rFonts w:eastAsia="Times New Roman"/>
            </w:rPr>
          </w:pPr>
          <w:r>
            <w:rPr>
              <w:rFonts w:eastAsia="Times New Roman"/>
            </w:rPr>
            <w:t xml:space="preserve">Ahern, L., Stone, J., &amp; Sharpe, M. C. (2009). Attitudes of neuroscience nurses toward patients with conversion symptoms. </w:t>
          </w:r>
          <w:r>
            <w:rPr>
              <w:rFonts w:eastAsia="Times New Roman"/>
              <w:i/>
              <w:iCs/>
            </w:rPr>
            <w:t>Psychosomatics</w:t>
          </w:r>
          <w:r>
            <w:rPr>
              <w:rFonts w:eastAsia="Times New Roman"/>
            </w:rPr>
            <w:t xml:space="preserve">, </w:t>
          </w:r>
          <w:r>
            <w:rPr>
              <w:rFonts w:eastAsia="Times New Roman"/>
              <w:i/>
              <w:iCs/>
            </w:rPr>
            <w:t>50</w:t>
          </w:r>
          <w:r>
            <w:rPr>
              <w:rFonts w:eastAsia="Times New Roman"/>
            </w:rPr>
            <w:t>(4), 336–339. https://doi.org/10.1176/APPI.PSY.50.4.336</w:t>
          </w:r>
        </w:p>
        <w:p w14:paraId="56FD58EA" w14:textId="77777777" w:rsidR="00EC7CE1" w:rsidRDefault="00EC7CE1">
          <w:pPr>
            <w:autoSpaceDE w:val="0"/>
            <w:autoSpaceDN w:val="0"/>
            <w:ind w:hanging="480"/>
            <w:divId w:val="1683169791"/>
            <w:rPr>
              <w:rFonts w:eastAsia="Times New Roman"/>
            </w:rPr>
          </w:pPr>
          <w:r>
            <w:rPr>
              <w:rFonts w:eastAsia="Times New Roman"/>
            </w:rPr>
            <w:t xml:space="preserve">Akagi, H., &amp; House, A. (2002). The clinical epidemiology of hysteria: Vanishingly rare, or just vanishing? </w:t>
          </w:r>
          <w:r>
            <w:rPr>
              <w:rFonts w:eastAsia="Times New Roman"/>
              <w:i/>
              <w:iCs/>
            </w:rPr>
            <w:t>Psychological Medicine</w:t>
          </w:r>
          <w:r>
            <w:rPr>
              <w:rFonts w:eastAsia="Times New Roman"/>
            </w:rPr>
            <w:t xml:space="preserve">, </w:t>
          </w:r>
          <w:r>
            <w:rPr>
              <w:rFonts w:eastAsia="Times New Roman"/>
              <w:i/>
              <w:iCs/>
            </w:rPr>
            <w:t>32</w:t>
          </w:r>
          <w:r>
            <w:rPr>
              <w:rFonts w:eastAsia="Times New Roman"/>
            </w:rPr>
            <w:t>(2), 191–194. https://doi.org/10.1017/S0033291701004962</w:t>
          </w:r>
        </w:p>
        <w:p w14:paraId="5048F654" w14:textId="77777777" w:rsidR="00EC7CE1" w:rsidRDefault="00EC7CE1">
          <w:pPr>
            <w:autoSpaceDE w:val="0"/>
            <w:autoSpaceDN w:val="0"/>
            <w:ind w:hanging="480"/>
            <w:divId w:val="1401171832"/>
            <w:rPr>
              <w:rFonts w:eastAsia="Times New Roman"/>
            </w:rPr>
          </w:pPr>
          <w:proofErr w:type="spellStart"/>
          <w:r>
            <w:rPr>
              <w:rFonts w:eastAsia="Times New Roman"/>
            </w:rPr>
            <w:t>Allendorfer</w:t>
          </w:r>
          <w:proofErr w:type="spellEnd"/>
          <w:r>
            <w:rPr>
              <w:rFonts w:eastAsia="Times New Roman"/>
            </w:rPr>
            <w:t xml:space="preserve">, J. B., </w:t>
          </w:r>
          <w:proofErr w:type="spellStart"/>
          <w:r>
            <w:rPr>
              <w:rFonts w:eastAsia="Times New Roman"/>
            </w:rPr>
            <w:t>Nenert</w:t>
          </w:r>
          <w:proofErr w:type="spellEnd"/>
          <w:r>
            <w:rPr>
              <w:rFonts w:eastAsia="Times New Roman"/>
            </w:rPr>
            <w:t xml:space="preserve">, R., Hernando, K. A., </w:t>
          </w:r>
          <w:proofErr w:type="spellStart"/>
          <w:r>
            <w:rPr>
              <w:rFonts w:eastAsia="Times New Roman"/>
            </w:rPr>
            <w:t>DeWolfe</w:t>
          </w:r>
          <w:proofErr w:type="spellEnd"/>
          <w:r>
            <w:rPr>
              <w:rFonts w:eastAsia="Times New Roman"/>
            </w:rPr>
            <w:t xml:space="preserve">, J. L., Pati, S., Thomas, A. E., </w:t>
          </w:r>
          <w:proofErr w:type="spellStart"/>
          <w:r>
            <w:rPr>
              <w:rFonts w:eastAsia="Times New Roman"/>
            </w:rPr>
            <w:t>Billeaud</w:t>
          </w:r>
          <w:proofErr w:type="spellEnd"/>
          <w:r>
            <w:rPr>
              <w:rFonts w:eastAsia="Times New Roman"/>
            </w:rPr>
            <w:t xml:space="preserve">, N., Martin, R. C., &amp; Szaflarski, J. P. (2019). FMRI response to acute psychological stress differentiates patients with psychogenic non-epileptic seizures from healthy controls - A biochemical and neuroimaging biomarker study. </w:t>
          </w:r>
          <w:proofErr w:type="spellStart"/>
          <w:r>
            <w:rPr>
              <w:rFonts w:eastAsia="Times New Roman"/>
              <w:i/>
              <w:iCs/>
            </w:rPr>
            <w:t>NeuroImage</w:t>
          </w:r>
          <w:proofErr w:type="spellEnd"/>
          <w:r>
            <w:rPr>
              <w:rFonts w:eastAsia="Times New Roman"/>
              <w:i/>
              <w:iCs/>
            </w:rPr>
            <w:t>. Clinical</w:t>
          </w:r>
          <w:r>
            <w:rPr>
              <w:rFonts w:eastAsia="Times New Roman"/>
            </w:rPr>
            <w:t xml:space="preserve">, </w:t>
          </w:r>
          <w:r>
            <w:rPr>
              <w:rFonts w:eastAsia="Times New Roman"/>
              <w:i/>
              <w:iCs/>
            </w:rPr>
            <w:t>24</w:t>
          </w:r>
          <w:r>
            <w:rPr>
              <w:rFonts w:eastAsia="Times New Roman"/>
            </w:rPr>
            <w:t>, 101967. https://doi.org/10.1016/j.nicl.2019.101967</w:t>
          </w:r>
        </w:p>
        <w:p w14:paraId="1A1EE5E3" w14:textId="77777777" w:rsidR="00EC7CE1" w:rsidRDefault="00EC7CE1">
          <w:pPr>
            <w:autoSpaceDE w:val="0"/>
            <w:autoSpaceDN w:val="0"/>
            <w:ind w:hanging="480"/>
            <w:divId w:val="761143109"/>
            <w:rPr>
              <w:rFonts w:eastAsia="Times New Roman"/>
            </w:rPr>
          </w:pPr>
          <w:r>
            <w:rPr>
              <w:rFonts w:eastAsia="Times New Roman"/>
            </w:rPr>
            <w:t>American Psychiatric Association, D.-5 T. F. (2013). Diagnostic and statistical manual of mental disorders: DSM-5</w:t>
          </w:r>
          <w:r>
            <w:rPr>
              <w:rFonts w:eastAsia="Times New Roman"/>
              <w:vertAlign w:val="superscript"/>
            </w:rPr>
            <w:t>TM</w:t>
          </w:r>
          <w:r>
            <w:rPr>
              <w:rFonts w:eastAsia="Times New Roman"/>
            </w:rPr>
            <w:t xml:space="preserve">, 5th ed. In </w:t>
          </w:r>
          <w:r>
            <w:rPr>
              <w:rFonts w:eastAsia="Times New Roman"/>
              <w:i/>
              <w:iCs/>
            </w:rPr>
            <w:t>Diagnostic and statistical manual of mental disorders: DSM-5</w:t>
          </w:r>
          <w:r>
            <w:rPr>
              <w:rFonts w:eastAsia="Times New Roman"/>
              <w:i/>
              <w:iCs/>
              <w:vertAlign w:val="superscript"/>
            </w:rPr>
            <w:t>TM</w:t>
          </w:r>
          <w:r>
            <w:rPr>
              <w:rFonts w:eastAsia="Times New Roman"/>
              <w:i/>
              <w:iCs/>
            </w:rPr>
            <w:t>, 5th ed.</w:t>
          </w:r>
          <w:r>
            <w:rPr>
              <w:rFonts w:eastAsia="Times New Roman"/>
            </w:rPr>
            <w:t xml:space="preserve"> American Psychiatric Publishing, Inc. https://doi.org/10.1176/appi.books.9780890425596</w:t>
          </w:r>
        </w:p>
        <w:p w14:paraId="2E65E220" w14:textId="77777777" w:rsidR="00EC7CE1" w:rsidRDefault="00EC7CE1">
          <w:pPr>
            <w:autoSpaceDE w:val="0"/>
            <w:autoSpaceDN w:val="0"/>
            <w:ind w:hanging="480"/>
            <w:divId w:val="917717427"/>
            <w:rPr>
              <w:rFonts w:eastAsia="Times New Roman"/>
            </w:rPr>
          </w:pPr>
          <w:r>
            <w:rPr>
              <w:rFonts w:eastAsia="Times New Roman"/>
            </w:rPr>
            <w:t xml:space="preserve">Ames, D. R., &amp; Flynn, F. J. (2007). </w:t>
          </w:r>
          <w:r>
            <w:rPr>
              <w:rFonts w:eastAsia="Times New Roman"/>
              <w:i/>
              <w:iCs/>
            </w:rPr>
            <w:t>PERSONALITY PROCESSES AND INDIVIDUAL DIFFERENCES What Breaks a Leader: The Curvilinear Relation Between Assertiveness and Leadership</w:t>
          </w:r>
          <w:r>
            <w:rPr>
              <w:rFonts w:eastAsia="Times New Roman"/>
            </w:rPr>
            <w:t>. https://doi.org/10.1037/0022-3514.92.2.307</w:t>
          </w:r>
        </w:p>
        <w:p w14:paraId="15A0A2FF" w14:textId="77777777" w:rsidR="00EC7CE1" w:rsidRDefault="00EC7CE1">
          <w:pPr>
            <w:autoSpaceDE w:val="0"/>
            <w:autoSpaceDN w:val="0"/>
            <w:ind w:hanging="480"/>
            <w:divId w:val="296759237"/>
            <w:rPr>
              <w:rFonts w:eastAsia="Times New Roman"/>
            </w:rPr>
          </w:pPr>
          <w:proofErr w:type="spellStart"/>
          <w:r>
            <w:rPr>
              <w:rFonts w:eastAsia="Times New Roman"/>
            </w:rPr>
            <w:lastRenderedPageBreak/>
            <w:t>Amlung</w:t>
          </w:r>
          <w:proofErr w:type="spellEnd"/>
          <w:r>
            <w:rPr>
              <w:rFonts w:eastAsia="Times New Roman"/>
            </w:rPr>
            <w:t xml:space="preserve">, M., Marsden, E., Holshausen, K., Morris, V., Patel, H., </w:t>
          </w:r>
          <w:proofErr w:type="spellStart"/>
          <w:r>
            <w:rPr>
              <w:rFonts w:eastAsia="Times New Roman"/>
            </w:rPr>
            <w:t>Vedelago</w:t>
          </w:r>
          <w:proofErr w:type="spellEnd"/>
          <w:r>
            <w:rPr>
              <w:rFonts w:eastAsia="Times New Roman"/>
            </w:rPr>
            <w:t xml:space="preserve">, L., </w:t>
          </w:r>
          <w:proofErr w:type="spellStart"/>
          <w:r>
            <w:rPr>
              <w:rFonts w:eastAsia="Times New Roman"/>
            </w:rPr>
            <w:t>Naish</w:t>
          </w:r>
          <w:proofErr w:type="spellEnd"/>
          <w:r>
            <w:rPr>
              <w:rFonts w:eastAsia="Times New Roman"/>
            </w:rPr>
            <w:t xml:space="preserve">, K. R., Reed, D. D., &amp; </w:t>
          </w:r>
          <w:proofErr w:type="spellStart"/>
          <w:r>
            <w:rPr>
              <w:rFonts w:eastAsia="Times New Roman"/>
            </w:rPr>
            <w:t>Mccabe</w:t>
          </w:r>
          <w:proofErr w:type="spellEnd"/>
          <w:r>
            <w:rPr>
              <w:rFonts w:eastAsia="Times New Roman"/>
            </w:rPr>
            <w:t xml:space="preserve">, R. E. (2019). Delay Discounting as a Transdiagnostic Process in Psychiatric Disorders. </w:t>
          </w:r>
          <w:r>
            <w:rPr>
              <w:rFonts w:eastAsia="Times New Roman"/>
              <w:i/>
              <w:iCs/>
            </w:rPr>
            <w:t>JAMA Psychiatry</w:t>
          </w:r>
          <w:r>
            <w:rPr>
              <w:rFonts w:eastAsia="Times New Roman"/>
            </w:rPr>
            <w:t xml:space="preserve">, </w:t>
          </w:r>
          <w:r>
            <w:rPr>
              <w:rFonts w:eastAsia="Times New Roman"/>
              <w:i/>
              <w:iCs/>
            </w:rPr>
            <w:t>76</w:t>
          </w:r>
          <w:r>
            <w:rPr>
              <w:rFonts w:eastAsia="Times New Roman"/>
            </w:rPr>
            <w:t>(11), 1176. https://doi.org/10.1001/jamapsychiatry.2019.2102</w:t>
          </w:r>
        </w:p>
        <w:p w14:paraId="4E99BB0C" w14:textId="77777777" w:rsidR="00EC7CE1" w:rsidRDefault="00EC7CE1">
          <w:pPr>
            <w:autoSpaceDE w:val="0"/>
            <w:autoSpaceDN w:val="0"/>
            <w:ind w:hanging="480"/>
            <w:divId w:val="627048457"/>
            <w:rPr>
              <w:rFonts w:eastAsia="Times New Roman"/>
            </w:rPr>
          </w:pPr>
          <w:r>
            <w:rPr>
              <w:rFonts w:eastAsia="Times New Roman"/>
            </w:rPr>
            <w:t xml:space="preserve">Anderson, E. S., </w:t>
          </w:r>
          <w:proofErr w:type="spellStart"/>
          <w:r>
            <w:rPr>
              <w:rFonts w:eastAsia="Times New Roman"/>
            </w:rPr>
            <w:t>Winett</w:t>
          </w:r>
          <w:proofErr w:type="spellEnd"/>
          <w:r>
            <w:rPr>
              <w:rFonts w:eastAsia="Times New Roman"/>
            </w:rPr>
            <w:t xml:space="preserve">, R. A., &amp; Wojcik, J. R. (2007). Self-regulation, self-efficacy, outcome expectations, and social support: Social cognitive theory and nutrition </w:t>
          </w:r>
          <w:proofErr w:type="spellStart"/>
          <w:r>
            <w:rPr>
              <w:rFonts w:eastAsia="Times New Roman"/>
            </w:rPr>
            <w:t>behavior</w:t>
          </w:r>
          <w:proofErr w:type="spellEnd"/>
          <w:r>
            <w:rPr>
              <w:rFonts w:eastAsia="Times New Roman"/>
            </w:rPr>
            <w:t xml:space="preserve">. </w:t>
          </w:r>
          <w:r>
            <w:rPr>
              <w:rFonts w:eastAsia="Times New Roman"/>
              <w:i/>
              <w:iCs/>
            </w:rPr>
            <w:t xml:space="preserve">Annals of </w:t>
          </w:r>
          <w:proofErr w:type="spellStart"/>
          <w:r>
            <w:rPr>
              <w:rFonts w:eastAsia="Times New Roman"/>
              <w:i/>
              <w:iCs/>
            </w:rPr>
            <w:t>Behavioral</w:t>
          </w:r>
          <w:proofErr w:type="spellEnd"/>
          <w:r>
            <w:rPr>
              <w:rFonts w:eastAsia="Times New Roman"/>
              <w:i/>
              <w:iCs/>
            </w:rPr>
            <w:t xml:space="preserve"> Medicine</w:t>
          </w:r>
          <w:r>
            <w:rPr>
              <w:rFonts w:eastAsia="Times New Roman"/>
            </w:rPr>
            <w:t xml:space="preserve">, </w:t>
          </w:r>
          <w:r>
            <w:rPr>
              <w:rFonts w:eastAsia="Times New Roman"/>
              <w:i/>
              <w:iCs/>
            </w:rPr>
            <w:t>34</w:t>
          </w:r>
          <w:r>
            <w:rPr>
              <w:rFonts w:eastAsia="Times New Roman"/>
            </w:rPr>
            <w:t>(3), 304–312. https://doi.org/10.1007/BF02874555/METRICS</w:t>
          </w:r>
        </w:p>
        <w:p w14:paraId="7AA98DDA" w14:textId="77777777" w:rsidR="00EC7CE1" w:rsidRDefault="00EC7CE1">
          <w:pPr>
            <w:autoSpaceDE w:val="0"/>
            <w:autoSpaceDN w:val="0"/>
            <w:ind w:hanging="480"/>
            <w:divId w:val="1515221588"/>
            <w:rPr>
              <w:rFonts w:eastAsia="Times New Roman"/>
            </w:rPr>
          </w:pPr>
          <w:r>
            <w:rPr>
              <w:rFonts w:eastAsia="Times New Roman"/>
            </w:rPr>
            <w:t xml:space="preserve">Anderson, J. R., </w:t>
          </w:r>
          <w:proofErr w:type="spellStart"/>
          <w:r>
            <w:rPr>
              <w:rFonts w:eastAsia="Times New Roman"/>
            </w:rPr>
            <w:t>Nakhate</w:t>
          </w:r>
          <w:proofErr w:type="spellEnd"/>
          <w:r>
            <w:rPr>
              <w:rFonts w:eastAsia="Times New Roman"/>
            </w:rPr>
            <w:t xml:space="preserve">, V., Stephen, C. D., &amp; Perez, D. L. (2019). Functional (Psychogenic) Neurological Disorders: Assessment and Acute Management in the Emergency Department. </w:t>
          </w:r>
          <w:r>
            <w:rPr>
              <w:rFonts w:eastAsia="Times New Roman"/>
              <w:i/>
              <w:iCs/>
            </w:rPr>
            <w:t xml:space="preserve">Semin </w:t>
          </w:r>
          <w:proofErr w:type="spellStart"/>
          <w:r>
            <w:rPr>
              <w:rFonts w:eastAsia="Times New Roman"/>
              <w:i/>
              <w:iCs/>
            </w:rPr>
            <w:t>Neurol</w:t>
          </w:r>
          <w:proofErr w:type="spellEnd"/>
          <w:r>
            <w:rPr>
              <w:rFonts w:eastAsia="Times New Roman"/>
            </w:rPr>
            <w:t xml:space="preserve">, </w:t>
          </w:r>
          <w:r>
            <w:rPr>
              <w:rFonts w:eastAsia="Times New Roman"/>
              <w:i/>
              <w:iCs/>
            </w:rPr>
            <w:t>39</w:t>
          </w:r>
          <w:r>
            <w:rPr>
              <w:rFonts w:eastAsia="Times New Roman"/>
            </w:rPr>
            <w:t>(1), 102–114. https://doi.org/10.1055/s-0038-1676844</w:t>
          </w:r>
        </w:p>
        <w:p w14:paraId="55B3E3DF" w14:textId="77777777" w:rsidR="00EC7CE1" w:rsidRDefault="00EC7CE1">
          <w:pPr>
            <w:autoSpaceDE w:val="0"/>
            <w:autoSpaceDN w:val="0"/>
            <w:ind w:hanging="480"/>
            <w:divId w:val="932474950"/>
            <w:rPr>
              <w:rFonts w:eastAsia="Times New Roman"/>
            </w:rPr>
          </w:pPr>
          <w:r>
            <w:rPr>
              <w:rFonts w:eastAsia="Times New Roman"/>
            </w:rPr>
            <w:t xml:space="preserve">Andrews, G., Sanderson, K., Slade, T., &amp; </w:t>
          </w:r>
          <w:proofErr w:type="spellStart"/>
          <w:r>
            <w:rPr>
              <w:rFonts w:eastAsia="Times New Roman"/>
            </w:rPr>
            <w:t>Issakidis</w:t>
          </w:r>
          <w:proofErr w:type="spellEnd"/>
          <w:r>
            <w:rPr>
              <w:rFonts w:eastAsia="Times New Roman"/>
            </w:rPr>
            <w:t xml:space="preserve">, C. (2000). Why does the burden of disease persist? Relating the burden of anxiety and depression to effectiveness of treatment. </w:t>
          </w:r>
          <w:r>
            <w:rPr>
              <w:rFonts w:eastAsia="Times New Roman"/>
              <w:i/>
              <w:iCs/>
            </w:rPr>
            <w:t>Bulletin of the World Health Organization</w:t>
          </w:r>
          <w:r>
            <w:rPr>
              <w:rFonts w:eastAsia="Times New Roman"/>
            </w:rPr>
            <w:t xml:space="preserve">, </w:t>
          </w:r>
          <w:r>
            <w:rPr>
              <w:rFonts w:eastAsia="Times New Roman"/>
              <w:i/>
              <w:iCs/>
            </w:rPr>
            <w:t>78</w:t>
          </w:r>
          <w:r>
            <w:rPr>
              <w:rFonts w:eastAsia="Times New Roman"/>
            </w:rPr>
            <w:t>(4), 446. https://doi.org/10.1080/000486700536</w:t>
          </w:r>
        </w:p>
        <w:p w14:paraId="7139CFA1" w14:textId="77777777" w:rsidR="00EC7CE1" w:rsidRDefault="00EC7CE1">
          <w:pPr>
            <w:autoSpaceDE w:val="0"/>
            <w:autoSpaceDN w:val="0"/>
            <w:ind w:hanging="480"/>
            <w:divId w:val="1698969311"/>
            <w:rPr>
              <w:rFonts w:eastAsia="Times New Roman"/>
            </w:rPr>
          </w:pPr>
          <w:r>
            <w:rPr>
              <w:rFonts w:eastAsia="Times New Roman"/>
            </w:rPr>
            <w:t xml:space="preserve">Andrich, D. (1978). A rating formulation for ordered response categories. </w:t>
          </w:r>
          <w:r>
            <w:rPr>
              <w:rFonts w:eastAsia="Times New Roman"/>
              <w:i/>
              <w:iCs/>
            </w:rPr>
            <w:t>Psychometrika</w:t>
          </w:r>
          <w:r>
            <w:rPr>
              <w:rFonts w:eastAsia="Times New Roman"/>
            </w:rPr>
            <w:t xml:space="preserve">, </w:t>
          </w:r>
          <w:r>
            <w:rPr>
              <w:rFonts w:eastAsia="Times New Roman"/>
              <w:i/>
              <w:iCs/>
            </w:rPr>
            <w:t>43</w:t>
          </w:r>
          <w:r>
            <w:rPr>
              <w:rFonts w:eastAsia="Times New Roman"/>
            </w:rPr>
            <w:t>(4), 561–573. https://doi.org/10.1007/BF02293814/METRICS</w:t>
          </w:r>
        </w:p>
        <w:p w14:paraId="51DF49B9" w14:textId="77777777" w:rsidR="00EC7CE1" w:rsidRDefault="00EC7CE1">
          <w:pPr>
            <w:autoSpaceDE w:val="0"/>
            <w:autoSpaceDN w:val="0"/>
            <w:ind w:hanging="480"/>
            <w:divId w:val="292058269"/>
            <w:rPr>
              <w:rFonts w:eastAsia="Times New Roman"/>
            </w:rPr>
          </w:pPr>
          <w:r>
            <w:rPr>
              <w:rFonts w:eastAsia="Times New Roman"/>
            </w:rPr>
            <w:t xml:space="preserve">Andrich, D. (1988). Rasch Models for Measurement. </w:t>
          </w:r>
          <w:r>
            <w:rPr>
              <w:rFonts w:eastAsia="Times New Roman"/>
              <w:i/>
              <w:iCs/>
            </w:rPr>
            <w:t>Rasch Models for Measurement</w:t>
          </w:r>
          <w:r>
            <w:rPr>
              <w:rFonts w:eastAsia="Times New Roman"/>
            </w:rPr>
            <w:t>. https://doi.org/10.4135/9781412985598</w:t>
          </w:r>
        </w:p>
        <w:p w14:paraId="7E1C3052" w14:textId="77777777" w:rsidR="00EC7CE1" w:rsidRDefault="00EC7CE1">
          <w:pPr>
            <w:autoSpaceDE w:val="0"/>
            <w:autoSpaceDN w:val="0"/>
            <w:ind w:hanging="480"/>
            <w:divId w:val="1218661576"/>
            <w:rPr>
              <w:rFonts w:eastAsia="Times New Roman"/>
            </w:rPr>
          </w:pPr>
          <w:proofErr w:type="spellStart"/>
          <w:r>
            <w:rPr>
              <w:rFonts w:eastAsia="Times New Roman"/>
            </w:rPr>
            <w:t>Anwyl</w:t>
          </w:r>
          <w:proofErr w:type="spellEnd"/>
          <w:r>
            <w:rPr>
              <w:rFonts w:eastAsia="Times New Roman"/>
            </w:rPr>
            <w:t xml:space="preserve">-Irvine, A. L., </w:t>
          </w:r>
          <w:proofErr w:type="spellStart"/>
          <w:r>
            <w:rPr>
              <w:rFonts w:eastAsia="Times New Roman"/>
            </w:rPr>
            <w:t>Massonnié</w:t>
          </w:r>
          <w:proofErr w:type="spellEnd"/>
          <w:r>
            <w:rPr>
              <w:rFonts w:eastAsia="Times New Roman"/>
            </w:rPr>
            <w:t xml:space="preserve">, J., </w:t>
          </w:r>
          <w:proofErr w:type="spellStart"/>
          <w:r>
            <w:rPr>
              <w:rFonts w:eastAsia="Times New Roman"/>
            </w:rPr>
            <w:t>Flitton</w:t>
          </w:r>
          <w:proofErr w:type="spellEnd"/>
          <w:r>
            <w:rPr>
              <w:rFonts w:eastAsia="Times New Roman"/>
            </w:rPr>
            <w:t xml:space="preserve">, A., Kirkham, N., &amp; </w:t>
          </w:r>
          <w:proofErr w:type="spellStart"/>
          <w:r>
            <w:rPr>
              <w:rFonts w:eastAsia="Times New Roman"/>
            </w:rPr>
            <w:t>Evershed</w:t>
          </w:r>
          <w:proofErr w:type="spellEnd"/>
          <w:r>
            <w:rPr>
              <w:rFonts w:eastAsia="Times New Roman"/>
            </w:rPr>
            <w:t xml:space="preserve">, J. K. (2020). Gorilla in our midst: An online </w:t>
          </w:r>
          <w:proofErr w:type="spellStart"/>
          <w:r>
            <w:rPr>
              <w:rFonts w:eastAsia="Times New Roman"/>
            </w:rPr>
            <w:t>behavioral</w:t>
          </w:r>
          <w:proofErr w:type="spellEnd"/>
          <w:r>
            <w:rPr>
              <w:rFonts w:eastAsia="Times New Roman"/>
            </w:rPr>
            <w:t xml:space="preserve"> experiment builder. </w:t>
          </w:r>
          <w:proofErr w:type="spellStart"/>
          <w:r>
            <w:rPr>
              <w:rFonts w:eastAsia="Times New Roman"/>
              <w:i/>
              <w:iCs/>
            </w:rPr>
            <w:t>Behavior</w:t>
          </w:r>
          <w:proofErr w:type="spellEnd"/>
          <w:r>
            <w:rPr>
              <w:rFonts w:eastAsia="Times New Roman"/>
              <w:i/>
              <w:iCs/>
            </w:rPr>
            <w:t xml:space="preserve"> Research Methods</w:t>
          </w:r>
          <w:r>
            <w:rPr>
              <w:rFonts w:eastAsia="Times New Roman"/>
            </w:rPr>
            <w:t xml:space="preserve">, </w:t>
          </w:r>
          <w:r>
            <w:rPr>
              <w:rFonts w:eastAsia="Times New Roman"/>
              <w:i/>
              <w:iCs/>
            </w:rPr>
            <w:t>52</w:t>
          </w:r>
          <w:r>
            <w:rPr>
              <w:rFonts w:eastAsia="Times New Roman"/>
            </w:rPr>
            <w:t>(1), 388–407. https://doi.org/10.3758/s13428-019-01237-x</w:t>
          </w:r>
        </w:p>
        <w:p w14:paraId="1A76AC22" w14:textId="77777777" w:rsidR="00EC7CE1" w:rsidRDefault="00EC7CE1">
          <w:pPr>
            <w:autoSpaceDE w:val="0"/>
            <w:autoSpaceDN w:val="0"/>
            <w:ind w:hanging="480"/>
            <w:divId w:val="884022590"/>
            <w:rPr>
              <w:rFonts w:eastAsia="Times New Roman"/>
            </w:rPr>
          </w:pPr>
          <w:r>
            <w:rPr>
              <w:rFonts w:eastAsia="Times New Roman"/>
            </w:rPr>
            <w:t xml:space="preserve">Apazoglou, K., Mazzola, V., </w:t>
          </w:r>
          <w:proofErr w:type="spellStart"/>
          <w:r>
            <w:rPr>
              <w:rFonts w:eastAsia="Times New Roman"/>
            </w:rPr>
            <w:t>Wegrzyk</w:t>
          </w:r>
          <w:proofErr w:type="spellEnd"/>
          <w:r>
            <w:rPr>
              <w:rFonts w:eastAsia="Times New Roman"/>
            </w:rPr>
            <w:t xml:space="preserve">, J., </w:t>
          </w:r>
          <w:proofErr w:type="spellStart"/>
          <w:r>
            <w:rPr>
              <w:rFonts w:eastAsia="Times New Roman"/>
            </w:rPr>
            <w:t>Frasca</w:t>
          </w:r>
          <w:proofErr w:type="spellEnd"/>
          <w:r>
            <w:rPr>
              <w:rFonts w:eastAsia="Times New Roman"/>
            </w:rPr>
            <w:t xml:space="preserve"> Polara, G., &amp; </w:t>
          </w:r>
          <w:proofErr w:type="spellStart"/>
          <w:r>
            <w:rPr>
              <w:rFonts w:eastAsia="Times New Roman"/>
            </w:rPr>
            <w:t>Aybek</w:t>
          </w:r>
          <w:proofErr w:type="spellEnd"/>
          <w:r>
            <w:rPr>
              <w:rFonts w:eastAsia="Times New Roman"/>
            </w:rPr>
            <w:t xml:space="preserve">, S. (2017). Biological and perceived stress in motor functional neurological disorders. </w:t>
          </w:r>
          <w:proofErr w:type="spellStart"/>
          <w:r>
            <w:rPr>
              <w:rFonts w:eastAsia="Times New Roman"/>
              <w:i/>
              <w:iCs/>
            </w:rPr>
            <w:t>Psychoneuroendocrinology</w:t>
          </w:r>
          <w:proofErr w:type="spellEnd"/>
          <w:r>
            <w:rPr>
              <w:rFonts w:eastAsia="Times New Roman"/>
            </w:rPr>
            <w:t xml:space="preserve">, </w:t>
          </w:r>
          <w:r>
            <w:rPr>
              <w:rFonts w:eastAsia="Times New Roman"/>
              <w:i/>
              <w:iCs/>
            </w:rPr>
            <w:t>85</w:t>
          </w:r>
          <w:r>
            <w:rPr>
              <w:rFonts w:eastAsia="Times New Roman"/>
            </w:rPr>
            <w:t>, 142–150. https://doi.org/10.1016/j.psyneuen.2017.08.023</w:t>
          </w:r>
        </w:p>
        <w:p w14:paraId="55B64F05" w14:textId="77777777" w:rsidR="00EC7CE1" w:rsidRDefault="00EC7CE1">
          <w:pPr>
            <w:autoSpaceDE w:val="0"/>
            <w:autoSpaceDN w:val="0"/>
            <w:ind w:hanging="480"/>
            <w:divId w:val="1721828439"/>
            <w:rPr>
              <w:rFonts w:eastAsia="Times New Roman"/>
            </w:rPr>
          </w:pPr>
          <w:r>
            <w:rPr>
              <w:rFonts w:eastAsia="Times New Roman"/>
              <w:i/>
              <w:iCs/>
            </w:rPr>
            <w:t>Are hospital services used differently in deprived areas? Evidence to identify commissioning challenges - PDF Free Download</w:t>
          </w:r>
          <w:r>
            <w:rPr>
              <w:rFonts w:eastAsia="Times New Roman"/>
            </w:rPr>
            <w:t>. (n.d.). Retrieved June 7, 2023, from https://docplayer.net/11150695-Are-hospital-services-used-differently-in-deprived-areas-evidence-to-identify-commissioning-challenges.html</w:t>
          </w:r>
        </w:p>
        <w:p w14:paraId="4E025546" w14:textId="77777777" w:rsidR="00EC7CE1" w:rsidRDefault="00EC7CE1">
          <w:pPr>
            <w:autoSpaceDE w:val="0"/>
            <w:autoSpaceDN w:val="0"/>
            <w:ind w:hanging="480"/>
            <w:divId w:val="424498168"/>
            <w:rPr>
              <w:rFonts w:eastAsia="Times New Roman"/>
            </w:rPr>
          </w:pPr>
          <w:proofErr w:type="spellStart"/>
          <w:r>
            <w:rPr>
              <w:rFonts w:eastAsia="Times New Roman"/>
            </w:rPr>
            <w:t>Asadi-Pooya</w:t>
          </w:r>
          <w:proofErr w:type="spellEnd"/>
          <w:r>
            <w:rPr>
              <w:rFonts w:eastAsia="Times New Roman"/>
            </w:rPr>
            <w:t xml:space="preserve">, A. A., </w:t>
          </w:r>
          <w:proofErr w:type="spellStart"/>
          <w:r>
            <w:rPr>
              <w:rFonts w:eastAsia="Times New Roman"/>
            </w:rPr>
            <w:t>Brigo</w:t>
          </w:r>
          <w:proofErr w:type="spellEnd"/>
          <w:r>
            <w:rPr>
              <w:rFonts w:eastAsia="Times New Roman"/>
            </w:rPr>
            <w:t xml:space="preserve">, F., </w:t>
          </w:r>
          <w:proofErr w:type="spellStart"/>
          <w:r>
            <w:rPr>
              <w:rFonts w:eastAsia="Times New Roman"/>
            </w:rPr>
            <w:t>Kozlowska</w:t>
          </w:r>
          <w:proofErr w:type="spellEnd"/>
          <w:r>
            <w:rPr>
              <w:rFonts w:eastAsia="Times New Roman"/>
            </w:rPr>
            <w:t xml:space="preserve">, K., Perez, D. L., Pretorius, C., Sawchuk, T., Saxena, A., </w:t>
          </w:r>
          <w:proofErr w:type="spellStart"/>
          <w:r>
            <w:rPr>
              <w:rFonts w:eastAsia="Times New Roman"/>
            </w:rPr>
            <w:t>Tolchin</w:t>
          </w:r>
          <w:proofErr w:type="spellEnd"/>
          <w:r>
            <w:rPr>
              <w:rFonts w:eastAsia="Times New Roman"/>
            </w:rPr>
            <w:t xml:space="preserve">, B., &amp; Valente, K. D. (2021). Social aspects of life in patients with functional seizures: Closing the gap in the biopsychosocial formulation. </w:t>
          </w:r>
          <w:r>
            <w:rPr>
              <w:rFonts w:eastAsia="Times New Roman"/>
              <w:i/>
              <w:iCs/>
            </w:rPr>
            <w:lastRenderedPageBreak/>
            <w:t xml:space="preserve">Epilepsy &amp; </w:t>
          </w:r>
          <w:proofErr w:type="spellStart"/>
          <w:r>
            <w:rPr>
              <w:rFonts w:eastAsia="Times New Roman"/>
              <w:i/>
              <w:iCs/>
            </w:rPr>
            <w:t>Behavior</w:t>
          </w:r>
          <w:proofErr w:type="spellEnd"/>
          <w:r>
            <w:rPr>
              <w:rFonts w:eastAsia="Times New Roman"/>
            </w:rPr>
            <w:t xml:space="preserve">, </w:t>
          </w:r>
          <w:r>
            <w:rPr>
              <w:rFonts w:eastAsia="Times New Roman"/>
              <w:i/>
              <w:iCs/>
            </w:rPr>
            <w:t>117</w:t>
          </w:r>
          <w:r>
            <w:rPr>
              <w:rFonts w:eastAsia="Times New Roman"/>
            </w:rPr>
            <w:t>, 107903. https://doi.org/10.1016/J.YEBEH.2021.107903</w:t>
          </w:r>
        </w:p>
        <w:p w14:paraId="4A8E2BD5" w14:textId="77777777" w:rsidR="00EC7CE1" w:rsidRDefault="00EC7CE1">
          <w:pPr>
            <w:autoSpaceDE w:val="0"/>
            <w:autoSpaceDN w:val="0"/>
            <w:ind w:hanging="480"/>
            <w:divId w:val="1673603944"/>
            <w:rPr>
              <w:rFonts w:eastAsia="Times New Roman"/>
            </w:rPr>
          </w:pPr>
          <w:proofErr w:type="spellStart"/>
          <w:r>
            <w:rPr>
              <w:rFonts w:eastAsia="Times New Roman"/>
            </w:rPr>
            <w:t>Asadi-Pooya</w:t>
          </w:r>
          <w:proofErr w:type="spellEnd"/>
          <w:r>
            <w:rPr>
              <w:rFonts w:eastAsia="Times New Roman"/>
            </w:rPr>
            <w:t xml:space="preserve">, A. A., </w:t>
          </w:r>
          <w:proofErr w:type="spellStart"/>
          <w:r>
            <w:rPr>
              <w:rFonts w:eastAsia="Times New Roman"/>
            </w:rPr>
            <w:t>Brigo</w:t>
          </w:r>
          <w:proofErr w:type="spellEnd"/>
          <w:r>
            <w:rPr>
              <w:rFonts w:eastAsia="Times New Roman"/>
            </w:rPr>
            <w:t xml:space="preserve">, F., </w:t>
          </w:r>
          <w:proofErr w:type="spellStart"/>
          <w:r>
            <w:rPr>
              <w:rFonts w:eastAsia="Times New Roman"/>
            </w:rPr>
            <w:t>Mildon</w:t>
          </w:r>
          <w:proofErr w:type="spellEnd"/>
          <w:r>
            <w:rPr>
              <w:rFonts w:eastAsia="Times New Roman"/>
            </w:rPr>
            <w:t xml:space="preserve">, B., &amp; Nicholson, T. R. (2020). Terminology for psychogenic nonepileptic seizures: Making the case for “functional seizures.” </w:t>
          </w:r>
          <w:r>
            <w:rPr>
              <w:rFonts w:eastAsia="Times New Roman"/>
              <w:i/>
              <w:iCs/>
            </w:rPr>
            <w:t xml:space="preserve">Epilepsy &amp; </w:t>
          </w:r>
          <w:proofErr w:type="spellStart"/>
          <w:r>
            <w:rPr>
              <w:rFonts w:eastAsia="Times New Roman"/>
              <w:i/>
              <w:iCs/>
            </w:rPr>
            <w:t>Behavior</w:t>
          </w:r>
          <w:proofErr w:type="spellEnd"/>
          <w:r>
            <w:rPr>
              <w:rFonts w:eastAsia="Times New Roman"/>
            </w:rPr>
            <w:t xml:space="preserve">, </w:t>
          </w:r>
          <w:r>
            <w:rPr>
              <w:rFonts w:eastAsia="Times New Roman"/>
              <w:i/>
              <w:iCs/>
            </w:rPr>
            <w:t>104</w:t>
          </w:r>
          <w:r>
            <w:rPr>
              <w:rFonts w:eastAsia="Times New Roman"/>
            </w:rPr>
            <w:t>, 106895. https://doi.org/10.1016/J.YEBEH.2019.106895</w:t>
          </w:r>
        </w:p>
        <w:p w14:paraId="4B345635" w14:textId="77777777" w:rsidR="00EC7CE1" w:rsidRDefault="00EC7CE1">
          <w:pPr>
            <w:autoSpaceDE w:val="0"/>
            <w:autoSpaceDN w:val="0"/>
            <w:ind w:hanging="480"/>
            <w:divId w:val="1268736158"/>
            <w:rPr>
              <w:rFonts w:eastAsia="Times New Roman"/>
            </w:rPr>
          </w:pPr>
          <w:proofErr w:type="spellStart"/>
          <w:r>
            <w:rPr>
              <w:rFonts w:eastAsia="Times New Roman"/>
            </w:rPr>
            <w:t>Asadi-Pooya</w:t>
          </w:r>
          <w:proofErr w:type="spellEnd"/>
          <w:r>
            <w:rPr>
              <w:rFonts w:eastAsia="Times New Roman"/>
            </w:rPr>
            <w:t xml:space="preserve">, A. A., </w:t>
          </w:r>
          <w:proofErr w:type="spellStart"/>
          <w:r>
            <w:rPr>
              <w:rFonts w:eastAsia="Times New Roman"/>
            </w:rPr>
            <w:t>Emami</w:t>
          </w:r>
          <w:proofErr w:type="spellEnd"/>
          <w:r>
            <w:rPr>
              <w:rFonts w:eastAsia="Times New Roman"/>
            </w:rPr>
            <w:t xml:space="preserve">, M., &amp; </w:t>
          </w:r>
          <w:proofErr w:type="spellStart"/>
          <w:r>
            <w:rPr>
              <w:rFonts w:eastAsia="Times New Roman"/>
            </w:rPr>
            <w:t>Emami</w:t>
          </w:r>
          <w:proofErr w:type="spellEnd"/>
          <w:r>
            <w:rPr>
              <w:rFonts w:eastAsia="Times New Roman"/>
            </w:rPr>
            <w:t xml:space="preserve">, Y. (2014). Ictal injury in psychogenic non-epileptic seizures. </w:t>
          </w:r>
          <w:r>
            <w:rPr>
              <w:rFonts w:eastAsia="Times New Roman"/>
              <w:i/>
              <w:iCs/>
            </w:rPr>
            <w:t>Seizure</w:t>
          </w:r>
          <w:r>
            <w:rPr>
              <w:rFonts w:eastAsia="Times New Roman"/>
            </w:rPr>
            <w:t xml:space="preserve">, </w:t>
          </w:r>
          <w:r>
            <w:rPr>
              <w:rFonts w:eastAsia="Times New Roman"/>
              <w:i/>
              <w:iCs/>
            </w:rPr>
            <w:t>23</w:t>
          </w:r>
          <w:r>
            <w:rPr>
              <w:rFonts w:eastAsia="Times New Roman"/>
            </w:rPr>
            <w:t>(5), 363–366. https://doi.org/10.1016/j.seizure.2014.02.001</w:t>
          </w:r>
        </w:p>
        <w:p w14:paraId="31DC0233" w14:textId="77777777" w:rsidR="00EC7CE1" w:rsidRDefault="00EC7CE1">
          <w:pPr>
            <w:autoSpaceDE w:val="0"/>
            <w:autoSpaceDN w:val="0"/>
            <w:ind w:hanging="480"/>
            <w:divId w:val="1048649515"/>
            <w:rPr>
              <w:rFonts w:eastAsia="Times New Roman"/>
            </w:rPr>
          </w:pPr>
          <w:proofErr w:type="spellStart"/>
          <w:r>
            <w:rPr>
              <w:rFonts w:eastAsia="Times New Roman"/>
            </w:rPr>
            <w:t>Asaria</w:t>
          </w:r>
          <w:proofErr w:type="spellEnd"/>
          <w:r>
            <w:rPr>
              <w:rFonts w:eastAsia="Times New Roman"/>
            </w:rPr>
            <w:t xml:space="preserve">, M., Ali, S., Doran, T., Ferguson, B., </w:t>
          </w:r>
          <w:proofErr w:type="spellStart"/>
          <w:r>
            <w:rPr>
              <w:rFonts w:eastAsia="Times New Roman"/>
            </w:rPr>
            <w:t>Fleetcroft</w:t>
          </w:r>
          <w:proofErr w:type="spellEnd"/>
          <w:r>
            <w:rPr>
              <w:rFonts w:eastAsia="Times New Roman"/>
            </w:rPr>
            <w:t xml:space="preserve">, R., Goddard, M., Goldblatt, P., </w:t>
          </w:r>
          <w:proofErr w:type="spellStart"/>
          <w:r>
            <w:rPr>
              <w:rFonts w:eastAsia="Times New Roman"/>
            </w:rPr>
            <w:t>Laudicella</w:t>
          </w:r>
          <w:proofErr w:type="spellEnd"/>
          <w:r>
            <w:rPr>
              <w:rFonts w:eastAsia="Times New Roman"/>
            </w:rPr>
            <w:t xml:space="preserve">, M., Raine, R., &amp; Cookson, R. (2016). How a universal health system reduces inequalities: lessons from England. </w:t>
          </w:r>
          <w:r>
            <w:rPr>
              <w:rFonts w:eastAsia="Times New Roman"/>
              <w:i/>
              <w:iCs/>
            </w:rPr>
            <w:t>Journal of Epidemiology and Community Health</w:t>
          </w:r>
          <w:r>
            <w:rPr>
              <w:rFonts w:eastAsia="Times New Roman"/>
            </w:rPr>
            <w:t xml:space="preserve">, </w:t>
          </w:r>
          <w:r>
            <w:rPr>
              <w:rFonts w:eastAsia="Times New Roman"/>
              <w:i/>
              <w:iCs/>
            </w:rPr>
            <w:t>70</w:t>
          </w:r>
          <w:r>
            <w:rPr>
              <w:rFonts w:eastAsia="Times New Roman"/>
            </w:rPr>
            <w:t>(7), 637–643. https://doi.org/10.1136/JECH-2015-206742</w:t>
          </w:r>
        </w:p>
        <w:p w14:paraId="604D3B49" w14:textId="77777777" w:rsidR="00EC7CE1" w:rsidRDefault="00EC7CE1">
          <w:pPr>
            <w:autoSpaceDE w:val="0"/>
            <w:autoSpaceDN w:val="0"/>
            <w:ind w:hanging="480"/>
            <w:divId w:val="1441031198"/>
            <w:rPr>
              <w:rFonts w:eastAsia="Times New Roman"/>
            </w:rPr>
          </w:pPr>
          <w:proofErr w:type="spellStart"/>
          <w:r>
            <w:rPr>
              <w:rFonts w:eastAsia="Times New Roman"/>
            </w:rPr>
            <w:t>Aybek</w:t>
          </w:r>
          <w:proofErr w:type="spellEnd"/>
          <w:r>
            <w:rPr>
              <w:rFonts w:eastAsia="Times New Roman"/>
            </w:rPr>
            <w:t xml:space="preserve">, S., </w:t>
          </w:r>
          <w:proofErr w:type="spellStart"/>
          <w:r>
            <w:rPr>
              <w:rFonts w:eastAsia="Times New Roman"/>
            </w:rPr>
            <w:t>Hubschmid</w:t>
          </w:r>
          <w:proofErr w:type="spellEnd"/>
          <w:r>
            <w:rPr>
              <w:rFonts w:eastAsia="Times New Roman"/>
            </w:rPr>
            <w:t xml:space="preserve">, M., </w:t>
          </w:r>
          <w:proofErr w:type="spellStart"/>
          <w:r>
            <w:rPr>
              <w:rFonts w:eastAsia="Times New Roman"/>
            </w:rPr>
            <w:t>Mossinger</w:t>
          </w:r>
          <w:proofErr w:type="spellEnd"/>
          <w:r>
            <w:rPr>
              <w:rFonts w:eastAsia="Times New Roman"/>
            </w:rPr>
            <w:t xml:space="preserve">, C., </w:t>
          </w:r>
          <w:proofErr w:type="spellStart"/>
          <w:r>
            <w:rPr>
              <w:rFonts w:eastAsia="Times New Roman"/>
            </w:rPr>
            <w:t>Berney</w:t>
          </w:r>
          <w:proofErr w:type="spellEnd"/>
          <w:r>
            <w:rPr>
              <w:rFonts w:eastAsia="Times New Roman"/>
            </w:rPr>
            <w:t xml:space="preserve">, A., &amp; </w:t>
          </w:r>
          <w:proofErr w:type="spellStart"/>
          <w:r>
            <w:rPr>
              <w:rFonts w:eastAsia="Times New Roman"/>
            </w:rPr>
            <w:t>Vingerhoets</w:t>
          </w:r>
          <w:proofErr w:type="spellEnd"/>
          <w:r>
            <w:rPr>
              <w:rFonts w:eastAsia="Times New Roman"/>
            </w:rPr>
            <w:t xml:space="preserve">, F. (2013). Early intervention for conversion disorder: neurologists and psychiatrists working together. </w:t>
          </w:r>
          <w:r>
            <w:rPr>
              <w:rFonts w:eastAsia="Times New Roman"/>
              <w:i/>
              <w:iCs/>
            </w:rPr>
            <w:t xml:space="preserve">Acta </w:t>
          </w:r>
          <w:proofErr w:type="spellStart"/>
          <w:r>
            <w:rPr>
              <w:rFonts w:eastAsia="Times New Roman"/>
              <w:i/>
              <w:iCs/>
            </w:rPr>
            <w:t>Neuropsychiatrica</w:t>
          </w:r>
          <w:proofErr w:type="spellEnd"/>
          <w:r>
            <w:rPr>
              <w:rFonts w:eastAsia="Times New Roman"/>
            </w:rPr>
            <w:t xml:space="preserve">, </w:t>
          </w:r>
          <w:r>
            <w:rPr>
              <w:rFonts w:eastAsia="Times New Roman"/>
              <w:i/>
              <w:iCs/>
            </w:rPr>
            <w:t>25</w:t>
          </w:r>
          <w:r>
            <w:rPr>
              <w:rFonts w:eastAsia="Times New Roman"/>
            </w:rPr>
            <w:t>(1), 52–56. https://doi.org/10.1111/J.1601-5215.2012.00668.X</w:t>
          </w:r>
        </w:p>
        <w:p w14:paraId="0DE85AC8" w14:textId="77777777" w:rsidR="00EC7CE1" w:rsidRDefault="00EC7CE1">
          <w:pPr>
            <w:autoSpaceDE w:val="0"/>
            <w:autoSpaceDN w:val="0"/>
            <w:ind w:hanging="480"/>
            <w:divId w:val="1972125905"/>
            <w:rPr>
              <w:rFonts w:eastAsia="Times New Roman"/>
            </w:rPr>
          </w:pPr>
          <w:proofErr w:type="spellStart"/>
          <w:r>
            <w:rPr>
              <w:rFonts w:eastAsia="Times New Roman"/>
            </w:rPr>
            <w:t>Aybek</w:t>
          </w:r>
          <w:proofErr w:type="spellEnd"/>
          <w:r>
            <w:rPr>
              <w:rFonts w:eastAsia="Times New Roman"/>
            </w:rPr>
            <w:t xml:space="preserve">, S., Nicholson, T. R., </w:t>
          </w:r>
          <w:proofErr w:type="spellStart"/>
          <w:r>
            <w:rPr>
              <w:rFonts w:eastAsia="Times New Roman"/>
            </w:rPr>
            <w:t>O’Daly</w:t>
          </w:r>
          <w:proofErr w:type="spellEnd"/>
          <w:r>
            <w:rPr>
              <w:rFonts w:eastAsia="Times New Roman"/>
            </w:rPr>
            <w:t xml:space="preserve">, O., Zelaya, F., Kanaan, R. A., &amp; David, A. S. (2015). Emotion-motion interactions in conversion disorder: an FMRI study.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10</w:t>
          </w:r>
          <w:r>
            <w:rPr>
              <w:rFonts w:eastAsia="Times New Roman"/>
            </w:rPr>
            <w:t>(4), e0123273–e0123273. https://doi.org/10.1371/journal.pone.0123273</w:t>
          </w:r>
        </w:p>
        <w:p w14:paraId="25EF566B" w14:textId="77777777" w:rsidR="00EC7CE1" w:rsidRDefault="00EC7CE1">
          <w:pPr>
            <w:autoSpaceDE w:val="0"/>
            <w:autoSpaceDN w:val="0"/>
            <w:ind w:hanging="480"/>
            <w:divId w:val="459540972"/>
            <w:rPr>
              <w:rFonts w:eastAsia="Times New Roman"/>
            </w:rPr>
          </w:pPr>
          <w:proofErr w:type="spellStart"/>
          <w:r>
            <w:rPr>
              <w:rFonts w:eastAsia="Times New Roman"/>
            </w:rPr>
            <w:t>Aybek</w:t>
          </w:r>
          <w:proofErr w:type="spellEnd"/>
          <w:r>
            <w:rPr>
              <w:rFonts w:eastAsia="Times New Roman"/>
            </w:rPr>
            <w:t xml:space="preserve">, S., &amp; Perez, D. L. (2022). Diagnosis and management of functional neurological disorder. </w:t>
          </w:r>
          <w:r>
            <w:rPr>
              <w:rFonts w:eastAsia="Times New Roman"/>
              <w:i/>
              <w:iCs/>
            </w:rPr>
            <w:t>BMJ (Clinical Research Ed.)</w:t>
          </w:r>
          <w:r>
            <w:rPr>
              <w:rFonts w:eastAsia="Times New Roman"/>
            </w:rPr>
            <w:t xml:space="preserve">, </w:t>
          </w:r>
          <w:r>
            <w:rPr>
              <w:rFonts w:eastAsia="Times New Roman"/>
              <w:i/>
              <w:iCs/>
            </w:rPr>
            <w:t>376</w:t>
          </w:r>
          <w:r>
            <w:rPr>
              <w:rFonts w:eastAsia="Times New Roman"/>
            </w:rPr>
            <w:t>. https://doi.org/10.1136/BMJ.O64</w:t>
          </w:r>
        </w:p>
        <w:p w14:paraId="69D2FD57" w14:textId="77777777" w:rsidR="00EC7CE1" w:rsidRDefault="00EC7CE1">
          <w:pPr>
            <w:autoSpaceDE w:val="0"/>
            <w:autoSpaceDN w:val="0"/>
            <w:ind w:hanging="480"/>
            <w:divId w:val="1000932323"/>
            <w:rPr>
              <w:rFonts w:eastAsia="Times New Roman"/>
            </w:rPr>
          </w:pPr>
          <w:proofErr w:type="spellStart"/>
          <w:r>
            <w:rPr>
              <w:rFonts w:eastAsia="Times New Roman"/>
            </w:rPr>
            <w:t>Baghaei</w:t>
          </w:r>
          <w:proofErr w:type="spellEnd"/>
          <w:r>
            <w:rPr>
              <w:rFonts w:eastAsia="Times New Roman"/>
            </w:rPr>
            <w:t xml:space="preserve">, P. (2008). Local dependency and Rasch measures. </w:t>
          </w:r>
          <w:r>
            <w:rPr>
              <w:rFonts w:eastAsia="Times New Roman"/>
              <w:i/>
              <w:iCs/>
            </w:rPr>
            <w:t>Rasch Measurement Transactions</w:t>
          </w:r>
          <w:r>
            <w:rPr>
              <w:rFonts w:eastAsia="Times New Roman"/>
            </w:rPr>
            <w:t xml:space="preserve">, </w:t>
          </w:r>
          <w:r>
            <w:rPr>
              <w:rFonts w:eastAsia="Times New Roman"/>
              <w:i/>
              <w:iCs/>
            </w:rPr>
            <w:t>21</w:t>
          </w:r>
          <w:r>
            <w:rPr>
              <w:rFonts w:eastAsia="Times New Roman"/>
            </w:rPr>
            <w:t>(3), 1105–1106. https://www.researchgate.net/publication/267330191_Local_dependency_and_Rasch_measures</w:t>
          </w:r>
        </w:p>
        <w:p w14:paraId="5E4DF4D4" w14:textId="77777777" w:rsidR="00EC7CE1" w:rsidRDefault="00EC7CE1">
          <w:pPr>
            <w:autoSpaceDE w:val="0"/>
            <w:autoSpaceDN w:val="0"/>
            <w:ind w:hanging="480"/>
            <w:divId w:val="319235137"/>
            <w:rPr>
              <w:rFonts w:eastAsia="Times New Roman"/>
            </w:rPr>
          </w:pPr>
          <w:r>
            <w:rPr>
              <w:rFonts w:eastAsia="Times New Roman"/>
            </w:rPr>
            <w:t xml:space="preserve">Bailey, A. J., Romeu, R. J., &amp; Finn, P. R. (2021). The problems with delay discounting: a critical review of current practices and clinical applications. </w:t>
          </w:r>
          <w:r>
            <w:rPr>
              <w:rFonts w:eastAsia="Times New Roman"/>
              <w:i/>
              <w:iCs/>
            </w:rPr>
            <w:t>Psychological Medicine</w:t>
          </w:r>
          <w:r>
            <w:rPr>
              <w:rFonts w:eastAsia="Times New Roman"/>
            </w:rPr>
            <w:t xml:space="preserve">, </w:t>
          </w:r>
          <w:r>
            <w:rPr>
              <w:rFonts w:eastAsia="Times New Roman"/>
              <w:i/>
              <w:iCs/>
            </w:rPr>
            <w:t>51</w:t>
          </w:r>
          <w:r>
            <w:rPr>
              <w:rFonts w:eastAsia="Times New Roman"/>
            </w:rPr>
            <w:t>(11), 1799. https://doi.org/10.1017/S0033291721002282</w:t>
          </w:r>
        </w:p>
        <w:p w14:paraId="6FB65D60" w14:textId="77777777" w:rsidR="00EC7CE1" w:rsidRDefault="00EC7CE1">
          <w:pPr>
            <w:autoSpaceDE w:val="0"/>
            <w:autoSpaceDN w:val="0"/>
            <w:ind w:hanging="480"/>
            <w:divId w:val="1376345266"/>
            <w:rPr>
              <w:rFonts w:eastAsia="Times New Roman"/>
            </w:rPr>
          </w:pPr>
          <w:proofErr w:type="spellStart"/>
          <w:r>
            <w:rPr>
              <w:rFonts w:eastAsia="Times New Roman"/>
            </w:rPr>
            <w:t>Baizabal-Carvallo</w:t>
          </w:r>
          <w:proofErr w:type="spellEnd"/>
          <w:r>
            <w:rPr>
              <w:rFonts w:eastAsia="Times New Roman"/>
            </w:rPr>
            <w:t xml:space="preserve">, J. F., Hallett, M., &amp; Jankovic, J. (2019). Pathogenesis and pathophysiology of functional (psychogenic) movement disorders. </w:t>
          </w:r>
          <w:proofErr w:type="spellStart"/>
          <w:r>
            <w:rPr>
              <w:rFonts w:eastAsia="Times New Roman"/>
              <w:i/>
              <w:iCs/>
            </w:rPr>
            <w:t>Neurobiol</w:t>
          </w:r>
          <w:proofErr w:type="spellEnd"/>
          <w:r>
            <w:rPr>
              <w:rFonts w:eastAsia="Times New Roman"/>
              <w:i/>
              <w:iCs/>
            </w:rPr>
            <w:t xml:space="preserve"> Dis</w:t>
          </w:r>
          <w:r>
            <w:rPr>
              <w:rFonts w:eastAsia="Times New Roman"/>
            </w:rPr>
            <w:t xml:space="preserve">, </w:t>
          </w:r>
          <w:r>
            <w:rPr>
              <w:rFonts w:eastAsia="Times New Roman"/>
              <w:i/>
              <w:iCs/>
            </w:rPr>
            <w:t>127</w:t>
          </w:r>
          <w:r>
            <w:rPr>
              <w:rFonts w:eastAsia="Times New Roman"/>
            </w:rPr>
            <w:t>, 32–44. https://doi.org/10.1016/j.nbd.2019.02.013</w:t>
          </w:r>
        </w:p>
        <w:p w14:paraId="42292F73" w14:textId="77777777" w:rsidR="00EC7CE1" w:rsidRDefault="00EC7CE1">
          <w:pPr>
            <w:autoSpaceDE w:val="0"/>
            <w:autoSpaceDN w:val="0"/>
            <w:ind w:hanging="480"/>
            <w:divId w:val="936055713"/>
            <w:rPr>
              <w:rFonts w:eastAsia="Times New Roman"/>
            </w:rPr>
          </w:pPr>
          <w:proofErr w:type="spellStart"/>
          <w:r>
            <w:rPr>
              <w:rFonts w:eastAsia="Times New Roman"/>
            </w:rPr>
            <w:lastRenderedPageBreak/>
            <w:t>Bajestan</w:t>
          </w:r>
          <w:proofErr w:type="spellEnd"/>
          <w:r>
            <w:rPr>
              <w:rFonts w:eastAsia="Times New Roman"/>
            </w:rPr>
            <w:t xml:space="preserve">, S. N., &amp; W. Curt  LaFrance, Jr. (2016). Clinical Approaches to Psychogenic Nonepileptic Seizures. </w:t>
          </w:r>
          <w:r>
            <w:rPr>
              <w:rFonts w:eastAsia="Times New Roman"/>
              <w:i/>
              <w:iCs/>
            </w:rPr>
            <w:t>Https://Doi.Org/10.1176/Appi.Focus.20160020</w:t>
          </w:r>
          <w:r>
            <w:rPr>
              <w:rFonts w:eastAsia="Times New Roman"/>
            </w:rPr>
            <w:t xml:space="preserve">, </w:t>
          </w:r>
          <w:r>
            <w:rPr>
              <w:rFonts w:eastAsia="Times New Roman"/>
              <w:i/>
              <w:iCs/>
            </w:rPr>
            <w:t>14</w:t>
          </w:r>
          <w:r>
            <w:rPr>
              <w:rFonts w:eastAsia="Times New Roman"/>
            </w:rPr>
            <w:t>(4), 422–431. https://doi.org/10.1176/APPI.FOCUS.20160020</w:t>
          </w:r>
        </w:p>
        <w:p w14:paraId="410E271E" w14:textId="77777777" w:rsidR="00EC7CE1" w:rsidRDefault="00EC7CE1">
          <w:pPr>
            <w:autoSpaceDE w:val="0"/>
            <w:autoSpaceDN w:val="0"/>
            <w:ind w:hanging="480"/>
            <w:divId w:val="175002136"/>
            <w:rPr>
              <w:rFonts w:eastAsia="Times New Roman"/>
            </w:rPr>
          </w:pPr>
          <w:proofErr w:type="spellStart"/>
          <w:r>
            <w:rPr>
              <w:rFonts w:eastAsia="Times New Roman"/>
            </w:rPr>
            <w:t>Bakvis</w:t>
          </w:r>
          <w:proofErr w:type="spellEnd"/>
          <w:r>
            <w:rPr>
              <w:rFonts w:eastAsia="Times New Roman"/>
            </w:rPr>
            <w:t xml:space="preserve">, P., </w:t>
          </w:r>
          <w:proofErr w:type="spellStart"/>
          <w:r>
            <w:rPr>
              <w:rFonts w:eastAsia="Times New Roman"/>
            </w:rPr>
            <w:t>Roelofs</w:t>
          </w:r>
          <w:proofErr w:type="spellEnd"/>
          <w:r>
            <w:rPr>
              <w:rFonts w:eastAsia="Times New Roman"/>
            </w:rPr>
            <w:t xml:space="preserve">, K., </w:t>
          </w:r>
          <w:proofErr w:type="spellStart"/>
          <w:r>
            <w:rPr>
              <w:rFonts w:eastAsia="Times New Roman"/>
            </w:rPr>
            <w:t>Kuyk</w:t>
          </w:r>
          <w:proofErr w:type="spellEnd"/>
          <w:r>
            <w:rPr>
              <w:rFonts w:eastAsia="Times New Roman"/>
            </w:rPr>
            <w:t xml:space="preserve">, J., </w:t>
          </w:r>
          <w:proofErr w:type="spellStart"/>
          <w:r>
            <w:rPr>
              <w:rFonts w:eastAsia="Times New Roman"/>
            </w:rPr>
            <w:t>Edelbroek</w:t>
          </w:r>
          <w:proofErr w:type="spellEnd"/>
          <w:r>
            <w:rPr>
              <w:rFonts w:eastAsia="Times New Roman"/>
            </w:rPr>
            <w:t xml:space="preserve">, P. M., Swinkels, W. A., &amp; </w:t>
          </w:r>
          <w:proofErr w:type="spellStart"/>
          <w:r>
            <w:rPr>
              <w:rFonts w:eastAsia="Times New Roman"/>
            </w:rPr>
            <w:t>Spinhoven</w:t>
          </w:r>
          <w:proofErr w:type="spellEnd"/>
          <w:r>
            <w:rPr>
              <w:rFonts w:eastAsia="Times New Roman"/>
            </w:rPr>
            <w:t xml:space="preserve">, P. (2009). Trauma, stress, and preconscious threat processing in patients with psychogenic nonepileptic seizures. </w:t>
          </w:r>
          <w:proofErr w:type="spellStart"/>
          <w:r>
            <w:rPr>
              <w:rFonts w:eastAsia="Times New Roman"/>
              <w:i/>
              <w:iCs/>
            </w:rPr>
            <w:t>Epilepsia</w:t>
          </w:r>
          <w:proofErr w:type="spellEnd"/>
          <w:r>
            <w:rPr>
              <w:rFonts w:eastAsia="Times New Roman"/>
            </w:rPr>
            <w:t xml:space="preserve">, </w:t>
          </w:r>
          <w:r>
            <w:rPr>
              <w:rFonts w:eastAsia="Times New Roman"/>
              <w:i/>
              <w:iCs/>
            </w:rPr>
            <w:t>50</w:t>
          </w:r>
          <w:r>
            <w:rPr>
              <w:rFonts w:eastAsia="Times New Roman"/>
            </w:rPr>
            <w:t>(5), 1001–1011. https://doi.org/10.1111/j.1528-1167.2008.01862.x</w:t>
          </w:r>
        </w:p>
        <w:p w14:paraId="56FF89A8" w14:textId="77777777" w:rsidR="00EC7CE1" w:rsidRDefault="00EC7CE1">
          <w:pPr>
            <w:autoSpaceDE w:val="0"/>
            <w:autoSpaceDN w:val="0"/>
            <w:ind w:hanging="480"/>
            <w:divId w:val="334191360"/>
            <w:rPr>
              <w:rFonts w:eastAsia="Times New Roman"/>
            </w:rPr>
          </w:pPr>
          <w:proofErr w:type="spellStart"/>
          <w:r>
            <w:rPr>
              <w:rFonts w:eastAsia="Times New Roman"/>
            </w:rPr>
            <w:t>Bakvis</w:t>
          </w:r>
          <w:proofErr w:type="spellEnd"/>
          <w:r>
            <w:rPr>
              <w:rFonts w:eastAsia="Times New Roman"/>
            </w:rPr>
            <w:t xml:space="preserve">, P., </w:t>
          </w:r>
          <w:proofErr w:type="spellStart"/>
          <w:r>
            <w:rPr>
              <w:rFonts w:eastAsia="Times New Roman"/>
            </w:rPr>
            <w:t>Spinhoven</w:t>
          </w:r>
          <w:proofErr w:type="spellEnd"/>
          <w:r>
            <w:rPr>
              <w:rFonts w:eastAsia="Times New Roman"/>
            </w:rPr>
            <w:t xml:space="preserve">, P., </w:t>
          </w:r>
          <w:proofErr w:type="spellStart"/>
          <w:r>
            <w:rPr>
              <w:rFonts w:eastAsia="Times New Roman"/>
            </w:rPr>
            <w:t>Giltay</w:t>
          </w:r>
          <w:proofErr w:type="spellEnd"/>
          <w:r>
            <w:rPr>
              <w:rFonts w:eastAsia="Times New Roman"/>
            </w:rPr>
            <w:t xml:space="preserve">, E. J., </w:t>
          </w:r>
          <w:proofErr w:type="spellStart"/>
          <w:r>
            <w:rPr>
              <w:rFonts w:eastAsia="Times New Roman"/>
            </w:rPr>
            <w:t>Kuyk</w:t>
          </w:r>
          <w:proofErr w:type="spellEnd"/>
          <w:r>
            <w:rPr>
              <w:rFonts w:eastAsia="Times New Roman"/>
            </w:rPr>
            <w:t xml:space="preserve">, J., </w:t>
          </w:r>
          <w:proofErr w:type="spellStart"/>
          <w:r>
            <w:rPr>
              <w:rFonts w:eastAsia="Times New Roman"/>
            </w:rPr>
            <w:t>Edelbroek</w:t>
          </w:r>
          <w:proofErr w:type="spellEnd"/>
          <w:r>
            <w:rPr>
              <w:rFonts w:eastAsia="Times New Roman"/>
            </w:rPr>
            <w:t xml:space="preserve">, P. M., </w:t>
          </w:r>
          <w:proofErr w:type="spellStart"/>
          <w:r>
            <w:rPr>
              <w:rFonts w:eastAsia="Times New Roman"/>
            </w:rPr>
            <w:t>Zitman</w:t>
          </w:r>
          <w:proofErr w:type="spellEnd"/>
          <w:r>
            <w:rPr>
              <w:rFonts w:eastAsia="Times New Roman"/>
            </w:rPr>
            <w:t xml:space="preserve">, F. G., &amp; </w:t>
          </w:r>
          <w:proofErr w:type="spellStart"/>
          <w:r>
            <w:rPr>
              <w:rFonts w:eastAsia="Times New Roman"/>
            </w:rPr>
            <w:t>Roelofs</w:t>
          </w:r>
          <w:proofErr w:type="spellEnd"/>
          <w:r>
            <w:rPr>
              <w:rFonts w:eastAsia="Times New Roman"/>
            </w:rPr>
            <w:t xml:space="preserve">, K. (2010). Basal hypercortisolism and trauma in patients with psychogenic nonepileptic seizures. </w:t>
          </w:r>
          <w:proofErr w:type="spellStart"/>
          <w:r>
            <w:rPr>
              <w:rFonts w:eastAsia="Times New Roman"/>
              <w:i/>
              <w:iCs/>
            </w:rPr>
            <w:t>Epilepsia</w:t>
          </w:r>
          <w:proofErr w:type="spellEnd"/>
          <w:r>
            <w:rPr>
              <w:rFonts w:eastAsia="Times New Roman"/>
            </w:rPr>
            <w:t xml:space="preserve">, </w:t>
          </w:r>
          <w:r>
            <w:rPr>
              <w:rFonts w:eastAsia="Times New Roman"/>
              <w:i/>
              <w:iCs/>
            </w:rPr>
            <w:t>51</w:t>
          </w:r>
          <w:r>
            <w:rPr>
              <w:rFonts w:eastAsia="Times New Roman"/>
            </w:rPr>
            <w:t>(5), 752–759. https://doi.org/10.1111/j.1528-1167.2009.02394.x</w:t>
          </w:r>
        </w:p>
        <w:p w14:paraId="2450D11E" w14:textId="77777777" w:rsidR="00EC7CE1" w:rsidRDefault="00EC7CE1">
          <w:pPr>
            <w:autoSpaceDE w:val="0"/>
            <w:autoSpaceDN w:val="0"/>
            <w:ind w:hanging="480"/>
            <w:divId w:val="1161508768"/>
            <w:rPr>
              <w:rFonts w:eastAsia="Times New Roman"/>
            </w:rPr>
          </w:pPr>
          <w:proofErr w:type="spellStart"/>
          <w:r>
            <w:rPr>
              <w:rFonts w:eastAsia="Times New Roman"/>
            </w:rPr>
            <w:t>Bakvis</w:t>
          </w:r>
          <w:proofErr w:type="spellEnd"/>
          <w:r>
            <w:rPr>
              <w:rFonts w:eastAsia="Times New Roman"/>
            </w:rPr>
            <w:t xml:space="preserve">, P., </w:t>
          </w:r>
          <w:proofErr w:type="spellStart"/>
          <w:r>
            <w:rPr>
              <w:rFonts w:eastAsia="Times New Roman"/>
            </w:rPr>
            <w:t>Spinhoven</w:t>
          </w:r>
          <w:proofErr w:type="spellEnd"/>
          <w:r>
            <w:rPr>
              <w:rFonts w:eastAsia="Times New Roman"/>
            </w:rPr>
            <w:t xml:space="preserve">, P., </w:t>
          </w:r>
          <w:proofErr w:type="spellStart"/>
          <w:r>
            <w:rPr>
              <w:rFonts w:eastAsia="Times New Roman"/>
            </w:rPr>
            <w:t>Zitman</w:t>
          </w:r>
          <w:proofErr w:type="spellEnd"/>
          <w:r>
            <w:rPr>
              <w:rFonts w:eastAsia="Times New Roman"/>
            </w:rPr>
            <w:t xml:space="preserve">, F. G., &amp; </w:t>
          </w:r>
          <w:proofErr w:type="spellStart"/>
          <w:r>
            <w:rPr>
              <w:rFonts w:eastAsia="Times New Roman"/>
            </w:rPr>
            <w:t>Roelofs</w:t>
          </w:r>
          <w:proofErr w:type="spellEnd"/>
          <w:r>
            <w:rPr>
              <w:rFonts w:eastAsia="Times New Roman"/>
            </w:rPr>
            <w:t xml:space="preserve">, K. (2011). Automatic avoidance tendencies in patients with Psychogenic Non Epileptic Seizures. </w:t>
          </w:r>
          <w:r>
            <w:rPr>
              <w:rFonts w:eastAsia="Times New Roman"/>
              <w:i/>
              <w:iCs/>
            </w:rPr>
            <w:t>Seizure</w:t>
          </w:r>
          <w:r>
            <w:rPr>
              <w:rFonts w:eastAsia="Times New Roman"/>
            </w:rPr>
            <w:t xml:space="preserve">, </w:t>
          </w:r>
          <w:r>
            <w:rPr>
              <w:rFonts w:eastAsia="Times New Roman"/>
              <w:i/>
              <w:iCs/>
            </w:rPr>
            <w:t>20</w:t>
          </w:r>
          <w:r>
            <w:rPr>
              <w:rFonts w:eastAsia="Times New Roman"/>
            </w:rPr>
            <w:t>(8), 628–634. https://doi.org/https://doi.org/10.1016/j.seizure.2011.06.006</w:t>
          </w:r>
        </w:p>
        <w:p w14:paraId="4B7332A1" w14:textId="77777777" w:rsidR="00EC7CE1" w:rsidRDefault="00EC7CE1">
          <w:pPr>
            <w:autoSpaceDE w:val="0"/>
            <w:autoSpaceDN w:val="0"/>
            <w:ind w:hanging="480"/>
            <w:divId w:val="2123837361"/>
            <w:rPr>
              <w:rFonts w:eastAsia="Times New Roman"/>
            </w:rPr>
          </w:pPr>
          <w:proofErr w:type="spellStart"/>
          <w:r>
            <w:rPr>
              <w:rFonts w:eastAsia="Times New Roman"/>
            </w:rPr>
            <w:t>Baldellou</w:t>
          </w:r>
          <w:proofErr w:type="spellEnd"/>
          <w:r>
            <w:rPr>
              <w:rFonts w:eastAsia="Times New Roman"/>
            </w:rPr>
            <w:t xml:space="preserve"> Lopez, M., Goldstein, L. H., Robinson, E. J., </w:t>
          </w:r>
          <w:proofErr w:type="spellStart"/>
          <w:r>
            <w:rPr>
              <w:rFonts w:eastAsia="Times New Roman"/>
            </w:rPr>
            <w:t>Vitoratou</w:t>
          </w:r>
          <w:proofErr w:type="spellEnd"/>
          <w:r>
            <w:rPr>
              <w:rFonts w:eastAsia="Times New Roman"/>
            </w:rPr>
            <w:t xml:space="preserve">, S., Chalder, T., Carson, A., Stone, J., &amp; Reuber, M. (2021). Validation of the PHQ-9 in adults with dissociative seizures. </w:t>
          </w:r>
          <w:r>
            <w:rPr>
              <w:rFonts w:eastAsia="Times New Roman"/>
              <w:i/>
              <w:iCs/>
            </w:rPr>
            <w:t>Journal of Psychosomatic Research</w:t>
          </w:r>
          <w:r>
            <w:rPr>
              <w:rFonts w:eastAsia="Times New Roman"/>
            </w:rPr>
            <w:t xml:space="preserve">, </w:t>
          </w:r>
          <w:r>
            <w:rPr>
              <w:rFonts w:eastAsia="Times New Roman"/>
              <w:i/>
              <w:iCs/>
            </w:rPr>
            <w:t>146</w:t>
          </w:r>
          <w:r>
            <w:rPr>
              <w:rFonts w:eastAsia="Times New Roman"/>
            </w:rPr>
            <w:t>. https://doi.org/10.1016/J.JPSYCHORES.2021.110487</w:t>
          </w:r>
        </w:p>
        <w:p w14:paraId="1D6A3650" w14:textId="77777777" w:rsidR="00EC7CE1" w:rsidRDefault="00EC7CE1">
          <w:pPr>
            <w:autoSpaceDE w:val="0"/>
            <w:autoSpaceDN w:val="0"/>
            <w:ind w:hanging="480"/>
            <w:divId w:val="546114501"/>
            <w:rPr>
              <w:rFonts w:eastAsia="Times New Roman"/>
            </w:rPr>
          </w:pPr>
          <w:r>
            <w:rPr>
              <w:rFonts w:eastAsia="Times New Roman"/>
            </w:rPr>
            <w:t xml:space="preserve">Bandura, A. (1977). Self-efficacy: Toward a unifying theory of </w:t>
          </w:r>
          <w:proofErr w:type="spellStart"/>
          <w:r>
            <w:rPr>
              <w:rFonts w:eastAsia="Times New Roman"/>
            </w:rPr>
            <w:t>behavioral</w:t>
          </w:r>
          <w:proofErr w:type="spellEnd"/>
          <w:r>
            <w:rPr>
              <w:rFonts w:eastAsia="Times New Roman"/>
            </w:rPr>
            <w:t xml:space="preserve"> change. </w:t>
          </w:r>
          <w:r>
            <w:rPr>
              <w:rFonts w:eastAsia="Times New Roman"/>
              <w:i/>
              <w:iCs/>
            </w:rPr>
            <w:t>Psychological Review</w:t>
          </w:r>
          <w:r>
            <w:rPr>
              <w:rFonts w:eastAsia="Times New Roman"/>
            </w:rPr>
            <w:t xml:space="preserve">, </w:t>
          </w:r>
          <w:r>
            <w:rPr>
              <w:rFonts w:eastAsia="Times New Roman"/>
              <w:i/>
              <w:iCs/>
            </w:rPr>
            <w:t>84</w:t>
          </w:r>
          <w:r>
            <w:rPr>
              <w:rFonts w:eastAsia="Times New Roman"/>
            </w:rPr>
            <w:t>(2), 191–215. https://doi.org/10.1037/0033-295X.84.2.191</w:t>
          </w:r>
        </w:p>
        <w:p w14:paraId="0EB25D27" w14:textId="77777777" w:rsidR="00EC7CE1" w:rsidRDefault="00EC7CE1">
          <w:pPr>
            <w:autoSpaceDE w:val="0"/>
            <w:autoSpaceDN w:val="0"/>
            <w:ind w:hanging="480"/>
            <w:divId w:val="238444894"/>
            <w:rPr>
              <w:rFonts w:eastAsia="Times New Roman"/>
            </w:rPr>
          </w:pPr>
          <w:r>
            <w:rPr>
              <w:rFonts w:eastAsia="Times New Roman"/>
            </w:rPr>
            <w:t xml:space="preserve">Bandura, A. (1989). Regulation of Cognitive Processes Through Perceived Self-Efficacy. </w:t>
          </w:r>
          <w:r>
            <w:rPr>
              <w:rFonts w:eastAsia="Times New Roman"/>
              <w:i/>
              <w:iCs/>
            </w:rPr>
            <w:t>Developmental Psychology</w:t>
          </w:r>
          <w:r>
            <w:rPr>
              <w:rFonts w:eastAsia="Times New Roman"/>
            </w:rPr>
            <w:t xml:space="preserve">, </w:t>
          </w:r>
          <w:r>
            <w:rPr>
              <w:rFonts w:eastAsia="Times New Roman"/>
              <w:i/>
              <w:iCs/>
            </w:rPr>
            <w:t>25</w:t>
          </w:r>
          <w:r>
            <w:rPr>
              <w:rFonts w:eastAsia="Times New Roman"/>
            </w:rPr>
            <w:t>(5), 729–735. https://doi.org/10.1037/0012-1649.25.5.729</w:t>
          </w:r>
        </w:p>
        <w:p w14:paraId="6BAC5C95" w14:textId="77777777" w:rsidR="00EC7CE1" w:rsidRDefault="00EC7CE1">
          <w:pPr>
            <w:autoSpaceDE w:val="0"/>
            <w:autoSpaceDN w:val="0"/>
            <w:ind w:hanging="480"/>
            <w:divId w:val="2033333638"/>
            <w:rPr>
              <w:rFonts w:eastAsia="Times New Roman"/>
            </w:rPr>
          </w:pPr>
          <w:r>
            <w:rPr>
              <w:rFonts w:eastAsia="Times New Roman"/>
            </w:rPr>
            <w:t xml:space="preserve">Bandura, A. (2004). Health Promotion by Social Cognitive Means. </w:t>
          </w:r>
          <w:r>
            <w:rPr>
              <w:rFonts w:eastAsia="Times New Roman"/>
              <w:i/>
              <w:iCs/>
            </w:rPr>
            <w:t xml:space="preserve">Health Education &amp; </w:t>
          </w:r>
          <w:proofErr w:type="spellStart"/>
          <w:r>
            <w:rPr>
              <w:rFonts w:eastAsia="Times New Roman"/>
              <w:i/>
              <w:iCs/>
            </w:rPr>
            <w:t>Behavior</w:t>
          </w:r>
          <w:proofErr w:type="spellEnd"/>
          <w:r>
            <w:rPr>
              <w:rFonts w:eastAsia="Times New Roman"/>
            </w:rPr>
            <w:t xml:space="preserve">, </w:t>
          </w:r>
          <w:r>
            <w:rPr>
              <w:rFonts w:eastAsia="Times New Roman"/>
              <w:i/>
              <w:iCs/>
            </w:rPr>
            <w:t>31</w:t>
          </w:r>
          <w:r>
            <w:rPr>
              <w:rFonts w:eastAsia="Times New Roman"/>
            </w:rPr>
            <w:t>(2), 143–164. https://doi.org/10.1177/1090198104263660</w:t>
          </w:r>
        </w:p>
        <w:p w14:paraId="4E68C1E7" w14:textId="77777777" w:rsidR="00EC7CE1" w:rsidRDefault="00EC7CE1">
          <w:pPr>
            <w:autoSpaceDE w:val="0"/>
            <w:autoSpaceDN w:val="0"/>
            <w:ind w:hanging="480"/>
            <w:divId w:val="1677271221"/>
            <w:rPr>
              <w:rFonts w:eastAsia="Times New Roman"/>
            </w:rPr>
          </w:pPr>
          <w:r>
            <w:rPr>
              <w:rFonts w:eastAsia="Times New Roman"/>
            </w:rPr>
            <w:t xml:space="preserve">Bandura, A., Freeman, W. H., &amp; Lightsey, R. (1999). Self-Efficacy: The Exercise of Control. </w:t>
          </w:r>
          <w:r>
            <w:rPr>
              <w:rFonts w:eastAsia="Times New Roman"/>
              <w:i/>
              <w:iCs/>
            </w:rPr>
            <w:t>Journal of Cognitive Psychotherapy</w:t>
          </w:r>
          <w:r>
            <w:rPr>
              <w:rFonts w:eastAsia="Times New Roman"/>
            </w:rPr>
            <w:t xml:space="preserve">, </w:t>
          </w:r>
          <w:r>
            <w:rPr>
              <w:rFonts w:eastAsia="Times New Roman"/>
              <w:i/>
              <w:iCs/>
            </w:rPr>
            <w:t>13</w:t>
          </w:r>
          <w:r>
            <w:rPr>
              <w:rFonts w:eastAsia="Times New Roman"/>
            </w:rPr>
            <w:t>(2), 158–166. https://doi.org/10.1891/0889-8391.13.2.158</w:t>
          </w:r>
        </w:p>
        <w:p w14:paraId="23E3ABD6" w14:textId="77777777" w:rsidR="00EC7CE1" w:rsidRDefault="00EC7CE1">
          <w:pPr>
            <w:autoSpaceDE w:val="0"/>
            <w:autoSpaceDN w:val="0"/>
            <w:ind w:hanging="480"/>
            <w:divId w:val="1468818717"/>
            <w:rPr>
              <w:rFonts w:eastAsia="Times New Roman"/>
            </w:rPr>
          </w:pPr>
          <w:proofErr w:type="spellStart"/>
          <w:r>
            <w:rPr>
              <w:rFonts w:eastAsia="Times New Roman"/>
            </w:rPr>
            <w:t>Bargh</w:t>
          </w:r>
          <w:proofErr w:type="spellEnd"/>
          <w:r>
            <w:rPr>
              <w:rFonts w:eastAsia="Times New Roman"/>
            </w:rPr>
            <w:t xml:space="preserve">, J. A., &amp; Chartrand, T. L. (2014). The Mind in the Middle. </w:t>
          </w:r>
          <w:r>
            <w:rPr>
              <w:rFonts w:eastAsia="Times New Roman"/>
              <w:i/>
              <w:iCs/>
            </w:rPr>
            <w:t>Handbook of Research Methods in Social and Personality Psychology</w:t>
          </w:r>
          <w:r>
            <w:rPr>
              <w:rFonts w:eastAsia="Times New Roman"/>
            </w:rPr>
            <w:t>, 311–344. https://doi.org/10.1017/CBO9780511996481.017</w:t>
          </w:r>
        </w:p>
        <w:p w14:paraId="70440050" w14:textId="77777777" w:rsidR="00EC7CE1" w:rsidRDefault="00EC7CE1">
          <w:pPr>
            <w:autoSpaceDE w:val="0"/>
            <w:autoSpaceDN w:val="0"/>
            <w:ind w:hanging="480"/>
            <w:divId w:val="931860060"/>
            <w:rPr>
              <w:rFonts w:eastAsia="Times New Roman"/>
            </w:rPr>
          </w:pPr>
          <w:r>
            <w:rPr>
              <w:rFonts w:eastAsia="Times New Roman"/>
            </w:rPr>
            <w:t xml:space="preserve">Bar-Haim, Y., Lamy, D., </w:t>
          </w:r>
          <w:proofErr w:type="spellStart"/>
          <w:r>
            <w:rPr>
              <w:rFonts w:eastAsia="Times New Roman"/>
            </w:rPr>
            <w:t>Pergamin</w:t>
          </w:r>
          <w:proofErr w:type="spellEnd"/>
          <w:r>
            <w:rPr>
              <w:rFonts w:eastAsia="Times New Roman"/>
            </w:rPr>
            <w:t xml:space="preserve">, L., </w:t>
          </w:r>
          <w:proofErr w:type="spellStart"/>
          <w:r>
            <w:rPr>
              <w:rFonts w:eastAsia="Times New Roman"/>
            </w:rPr>
            <w:t>Bakermans-Kranenburg</w:t>
          </w:r>
          <w:proofErr w:type="spellEnd"/>
          <w:r>
            <w:rPr>
              <w:rFonts w:eastAsia="Times New Roman"/>
            </w:rPr>
            <w:t xml:space="preserve">, M. J., &amp; Van </w:t>
          </w:r>
          <w:proofErr w:type="spellStart"/>
          <w:r>
            <w:rPr>
              <w:rFonts w:eastAsia="Times New Roman"/>
            </w:rPr>
            <w:t>Ijzendoorn</w:t>
          </w:r>
          <w:proofErr w:type="spellEnd"/>
          <w:r>
            <w:rPr>
              <w:rFonts w:eastAsia="Times New Roman"/>
            </w:rPr>
            <w:t xml:space="preserve">, M. H. (2007). Threat-related attentional bias in anxious and </w:t>
          </w:r>
          <w:proofErr w:type="spellStart"/>
          <w:r>
            <w:rPr>
              <w:rFonts w:eastAsia="Times New Roman"/>
            </w:rPr>
            <w:lastRenderedPageBreak/>
            <w:t>nonanxious</w:t>
          </w:r>
          <w:proofErr w:type="spellEnd"/>
          <w:r>
            <w:rPr>
              <w:rFonts w:eastAsia="Times New Roman"/>
            </w:rPr>
            <w:t xml:space="preserve"> individuals: A meta-analytic study. </w:t>
          </w:r>
          <w:r>
            <w:rPr>
              <w:rFonts w:eastAsia="Times New Roman"/>
              <w:i/>
              <w:iCs/>
            </w:rPr>
            <w:t>Psychological Bulletin</w:t>
          </w:r>
          <w:r>
            <w:rPr>
              <w:rFonts w:eastAsia="Times New Roman"/>
            </w:rPr>
            <w:t xml:space="preserve">, </w:t>
          </w:r>
          <w:r>
            <w:rPr>
              <w:rFonts w:eastAsia="Times New Roman"/>
              <w:i/>
              <w:iCs/>
            </w:rPr>
            <w:t>133</w:t>
          </w:r>
          <w:r>
            <w:rPr>
              <w:rFonts w:eastAsia="Times New Roman"/>
            </w:rPr>
            <w:t>(1), 1–24. https://doi.org/10.1037/0033-2909.133.1.1</w:t>
          </w:r>
        </w:p>
        <w:p w14:paraId="7BCCF984" w14:textId="77777777" w:rsidR="00EC7CE1" w:rsidRDefault="00EC7CE1">
          <w:pPr>
            <w:autoSpaceDE w:val="0"/>
            <w:autoSpaceDN w:val="0"/>
            <w:ind w:hanging="480"/>
            <w:divId w:val="1569727251"/>
            <w:rPr>
              <w:rFonts w:eastAsia="Times New Roman"/>
            </w:rPr>
          </w:pPr>
          <w:r>
            <w:rPr>
              <w:rFonts w:eastAsia="Times New Roman"/>
            </w:rPr>
            <w:t xml:space="preserve">Barrett, L. F., Gross, J., Christensen, T. C., &amp; Benvenuto, M. (2001). Knowing what you’re feeling and knowing what to do about it: Mapping the relation between emotion differentiation and emotion regulation. </w:t>
          </w:r>
          <w:r>
            <w:rPr>
              <w:rFonts w:eastAsia="Times New Roman"/>
              <w:i/>
              <w:iCs/>
            </w:rPr>
            <w:t>Cognition and Emotion</w:t>
          </w:r>
          <w:r>
            <w:rPr>
              <w:rFonts w:eastAsia="Times New Roman"/>
            </w:rPr>
            <w:t xml:space="preserve">, </w:t>
          </w:r>
          <w:r>
            <w:rPr>
              <w:rFonts w:eastAsia="Times New Roman"/>
              <w:i/>
              <w:iCs/>
            </w:rPr>
            <w:t>15</w:t>
          </w:r>
          <w:r>
            <w:rPr>
              <w:rFonts w:eastAsia="Times New Roman"/>
            </w:rPr>
            <w:t>(6), 713–724. https://doi.org/10.1080/02699930143000239</w:t>
          </w:r>
        </w:p>
        <w:p w14:paraId="018D31EC" w14:textId="77777777" w:rsidR="00EC7CE1" w:rsidRDefault="00EC7CE1">
          <w:pPr>
            <w:autoSpaceDE w:val="0"/>
            <w:autoSpaceDN w:val="0"/>
            <w:ind w:hanging="480"/>
            <w:divId w:val="741634365"/>
            <w:rPr>
              <w:rFonts w:eastAsia="Times New Roman"/>
            </w:rPr>
          </w:pPr>
          <w:r>
            <w:rPr>
              <w:rFonts w:eastAsia="Times New Roman"/>
            </w:rPr>
            <w:t xml:space="preserve">Barsky, A. J., </w:t>
          </w:r>
          <w:proofErr w:type="spellStart"/>
          <w:r>
            <w:rPr>
              <w:rFonts w:eastAsia="Times New Roman"/>
            </w:rPr>
            <w:t>Orav</w:t>
          </w:r>
          <w:proofErr w:type="spellEnd"/>
          <w:r>
            <w:rPr>
              <w:rFonts w:eastAsia="Times New Roman"/>
            </w:rPr>
            <w:t xml:space="preserve">, E. J., &amp; Bates, D. W. (2005). Somatization increases medical utilization and costs independent of psychiatric and medical comorbidity. </w:t>
          </w:r>
          <w:r>
            <w:rPr>
              <w:rFonts w:eastAsia="Times New Roman"/>
              <w:i/>
              <w:iCs/>
            </w:rPr>
            <w:t>Arch Gen Psychiatry</w:t>
          </w:r>
          <w:r>
            <w:rPr>
              <w:rFonts w:eastAsia="Times New Roman"/>
            </w:rPr>
            <w:t xml:space="preserve">, </w:t>
          </w:r>
          <w:r>
            <w:rPr>
              <w:rFonts w:eastAsia="Times New Roman"/>
              <w:i/>
              <w:iCs/>
            </w:rPr>
            <w:t>62</w:t>
          </w:r>
          <w:r>
            <w:rPr>
              <w:rFonts w:eastAsia="Times New Roman"/>
            </w:rPr>
            <w:t>(8), 903–910. https://doi.org/10.1001/archpsyc.62.8.903</w:t>
          </w:r>
        </w:p>
        <w:p w14:paraId="20C0CCAE" w14:textId="77777777" w:rsidR="00EC7CE1" w:rsidRDefault="00EC7CE1">
          <w:pPr>
            <w:autoSpaceDE w:val="0"/>
            <w:autoSpaceDN w:val="0"/>
            <w:ind w:hanging="480"/>
            <w:divId w:val="1668630622"/>
            <w:rPr>
              <w:rFonts w:eastAsia="Times New Roman"/>
            </w:rPr>
          </w:pPr>
          <w:proofErr w:type="spellStart"/>
          <w:r>
            <w:rPr>
              <w:rFonts w:eastAsia="Times New Roman"/>
            </w:rPr>
            <w:t>Baslet</w:t>
          </w:r>
          <w:proofErr w:type="spellEnd"/>
          <w:r>
            <w:rPr>
              <w:rFonts w:eastAsia="Times New Roman"/>
            </w:rPr>
            <w:t xml:space="preserve">, G. (2011). Psychogenic non-epileptic seizures: a model of their pathogenic mechanism. </w:t>
          </w:r>
          <w:r>
            <w:rPr>
              <w:rFonts w:eastAsia="Times New Roman"/>
              <w:i/>
              <w:iCs/>
            </w:rPr>
            <w:t>Seizure</w:t>
          </w:r>
          <w:r>
            <w:rPr>
              <w:rFonts w:eastAsia="Times New Roman"/>
            </w:rPr>
            <w:t xml:space="preserve">, </w:t>
          </w:r>
          <w:r>
            <w:rPr>
              <w:rFonts w:eastAsia="Times New Roman"/>
              <w:i/>
              <w:iCs/>
            </w:rPr>
            <w:t>20</w:t>
          </w:r>
          <w:r>
            <w:rPr>
              <w:rFonts w:eastAsia="Times New Roman"/>
            </w:rPr>
            <w:t>(1), 1–13. https://doi.org/10.1016/J.SEIZURE.2010.10.032</w:t>
          </w:r>
        </w:p>
        <w:p w14:paraId="1F78ED8E" w14:textId="77777777" w:rsidR="00EC7CE1" w:rsidRDefault="00EC7CE1">
          <w:pPr>
            <w:autoSpaceDE w:val="0"/>
            <w:autoSpaceDN w:val="0"/>
            <w:ind w:hanging="480"/>
            <w:divId w:val="1434596085"/>
            <w:rPr>
              <w:rFonts w:eastAsia="Times New Roman"/>
            </w:rPr>
          </w:pPr>
          <w:proofErr w:type="spellStart"/>
          <w:r>
            <w:rPr>
              <w:rFonts w:eastAsia="Times New Roman"/>
            </w:rPr>
            <w:t>Baslet</w:t>
          </w:r>
          <w:proofErr w:type="spellEnd"/>
          <w:r>
            <w:rPr>
              <w:rFonts w:eastAsia="Times New Roman"/>
            </w:rPr>
            <w:t xml:space="preserve">, G., </w:t>
          </w:r>
          <w:proofErr w:type="spellStart"/>
          <w:r>
            <w:rPr>
              <w:rFonts w:eastAsia="Times New Roman"/>
            </w:rPr>
            <w:t>Dworetzky</w:t>
          </w:r>
          <w:proofErr w:type="spellEnd"/>
          <w:r>
            <w:rPr>
              <w:rFonts w:eastAsia="Times New Roman"/>
            </w:rPr>
            <w:t xml:space="preserve">, B., Perez, D. L., &amp; </w:t>
          </w:r>
          <w:proofErr w:type="spellStart"/>
          <w:r>
            <w:rPr>
              <w:rFonts w:eastAsia="Times New Roman"/>
            </w:rPr>
            <w:t>Oser</w:t>
          </w:r>
          <w:proofErr w:type="spellEnd"/>
          <w:r>
            <w:rPr>
              <w:rFonts w:eastAsia="Times New Roman"/>
            </w:rPr>
            <w:t xml:space="preserve">, M. (2015). Treatment of psychogenic nonepileptic seizures: updated review and findings from a mindfulness-based intervention case series. </w:t>
          </w:r>
          <w:r>
            <w:rPr>
              <w:rFonts w:eastAsia="Times New Roman"/>
              <w:i/>
              <w:iCs/>
            </w:rPr>
            <w:t>Clinical EEG and Neuroscience</w:t>
          </w:r>
          <w:r>
            <w:rPr>
              <w:rFonts w:eastAsia="Times New Roman"/>
            </w:rPr>
            <w:t xml:space="preserve">, </w:t>
          </w:r>
          <w:r>
            <w:rPr>
              <w:rFonts w:eastAsia="Times New Roman"/>
              <w:i/>
              <w:iCs/>
            </w:rPr>
            <w:t>46</w:t>
          </w:r>
          <w:r>
            <w:rPr>
              <w:rFonts w:eastAsia="Times New Roman"/>
            </w:rPr>
            <w:t>(1), 54–64. https://doi.org/10.1177/1550059414557025</w:t>
          </w:r>
        </w:p>
        <w:p w14:paraId="7D3E245B" w14:textId="77777777" w:rsidR="00EC7CE1" w:rsidRDefault="00EC7CE1">
          <w:pPr>
            <w:autoSpaceDE w:val="0"/>
            <w:autoSpaceDN w:val="0"/>
            <w:ind w:hanging="480"/>
            <w:divId w:val="1996563963"/>
            <w:rPr>
              <w:rFonts w:eastAsia="Times New Roman"/>
            </w:rPr>
          </w:pPr>
          <w:proofErr w:type="spellStart"/>
          <w:r>
            <w:rPr>
              <w:rFonts w:eastAsia="Times New Roman"/>
            </w:rPr>
            <w:t>Bazydlo</w:t>
          </w:r>
          <w:proofErr w:type="spellEnd"/>
          <w:r>
            <w:rPr>
              <w:rFonts w:eastAsia="Times New Roman"/>
            </w:rPr>
            <w:t xml:space="preserve">, S., &amp; Eccles, F. J. R. (2022). Living with functional movement disorders: a tale of three battles. An interpretative phenomenological analysis. </w:t>
          </w:r>
          <w:r>
            <w:rPr>
              <w:rFonts w:eastAsia="Times New Roman"/>
              <w:i/>
              <w:iCs/>
            </w:rPr>
            <w:t>Https://Doi.Org/10.1080/08870446.2022.2130312</w:t>
          </w:r>
          <w:r>
            <w:rPr>
              <w:rFonts w:eastAsia="Times New Roman"/>
            </w:rPr>
            <w:t>. https://doi.org/10.1080/08870446.2022.2130312</w:t>
          </w:r>
        </w:p>
        <w:p w14:paraId="5405AF5B" w14:textId="77777777" w:rsidR="00EC7CE1" w:rsidRDefault="00EC7CE1">
          <w:pPr>
            <w:autoSpaceDE w:val="0"/>
            <w:autoSpaceDN w:val="0"/>
            <w:ind w:hanging="480"/>
            <w:divId w:val="743067858"/>
            <w:rPr>
              <w:rFonts w:eastAsia="Times New Roman"/>
            </w:rPr>
          </w:pPr>
          <w:r>
            <w:rPr>
              <w:rFonts w:eastAsia="Times New Roman"/>
            </w:rPr>
            <w:t xml:space="preserve">Beard, C., &amp; </w:t>
          </w:r>
          <w:proofErr w:type="spellStart"/>
          <w:r>
            <w:rPr>
              <w:rFonts w:eastAsia="Times New Roman"/>
            </w:rPr>
            <w:t>Björgvinsson</w:t>
          </w:r>
          <w:proofErr w:type="spellEnd"/>
          <w:r>
            <w:rPr>
              <w:rFonts w:eastAsia="Times New Roman"/>
            </w:rPr>
            <w:t xml:space="preserve">, T. (2014). Beyond generalized anxiety disorder: psychometric properties of the GAD-7 in a heterogeneous psychiatric sample. </w:t>
          </w:r>
          <w:r>
            <w:rPr>
              <w:rFonts w:eastAsia="Times New Roman"/>
              <w:i/>
              <w:iCs/>
            </w:rPr>
            <w:t xml:space="preserve">J Anxiety </w:t>
          </w:r>
          <w:proofErr w:type="spellStart"/>
          <w:r>
            <w:rPr>
              <w:rFonts w:eastAsia="Times New Roman"/>
              <w:i/>
              <w:iCs/>
            </w:rPr>
            <w:t>Disord</w:t>
          </w:r>
          <w:proofErr w:type="spellEnd"/>
          <w:r>
            <w:rPr>
              <w:rFonts w:eastAsia="Times New Roman"/>
            </w:rPr>
            <w:t xml:space="preserve">, </w:t>
          </w:r>
          <w:r>
            <w:rPr>
              <w:rFonts w:eastAsia="Times New Roman"/>
              <w:i/>
              <w:iCs/>
            </w:rPr>
            <w:t>28</w:t>
          </w:r>
          <w:r>
            <w:rPr>
              <w:rFonts w:eastAsia="Times New Roman"/>
            </w:rPr>
            <w:t>(6), 547–552. https://doi.org/10.1016/j.janxdis.2014.06.002</w:t>
          </w:r>
        </w:p>
        <w:p w14:paraId="792514B1" w14:textId="77777777" w:rsidR="00EC7CE1" w:rsidRDefault="00EC7CE1">
          <w:pPr>
            <w:autoSpaceDE w:val="0"/>
            <w:autoSpaceDN w:val="0"/>
            <w:ind w:hanging="480"/>
            <w:divId w:val="956446122"/>
            <w:rPr>
              <w:rFonts w:eastAsia="Times New Roman"/>
            </w:rPr>
          </w:pPr>
          <w:proofErr w:type="spellStart"/>
          <w:r>
            <w:rPr>
              <w:rFonts w:eastAsia="Times New Roman"/>
            </w:rPr>
            <w:t>Bègue</w:t>
          </w:r>
          <w:proofErr w:type="spellEnd"/>
          <w:r>
            <w:rPr>
              <w:rFonts w:eastAsia="Times New Roman"/>
            </w:rPr>
            <w:t xml:space="preserve">, I., Adams, C., Stone, J., &amp; Perez, D. L. (2019). Structural alterations in functional neurological disorder and related conditions: a software and hardware problem? </w:t>
          </w:r>
          <w:proofErr w:type="spellStart"/>
          <w:r>
            <w:rPr>
              <w:rFonts w:eastAsia="Times New Roman"/>
              <w:i/>
              <w:iCs/>
            </w:rPr>
            <w:t>NeuroImage</w:t>
          </w:r>
          <w:proofErr w:type="spellEnd"/>
          <w:r>
            <w:rPr>
              <w:rFonts w:eastAsia="Times New Roman"/>
              <w:i/>
              <w:iCs/>
            </w:rPr>
            <w:t>: Clinical</w:t>
          </w:r>
          <w:r>
            <w:rPr>
              <w:rFonts w:eastAsia="Times New Roman"/>
            </w:rPr>
            <w:t xml:space="preserve">, </w:t>
          </w:r>
          <w:r>
            <w:rPr>
              <w:rFonts w:eastAsia="Times New Roman"/>
              <w:i/>
              <w:iCs/>
            </w:rPr>
            <w:t>22</w:t>
          </w:r>
          <w:r>
            <w:rPr>
              <w:rFonts w:eastAsia="Times New Roman"/>
            </w:rPr>
            <w:t>, 101798. https://doi.org/https://doi.org/10.1016/j.nicl.2019.101798</w:t>
          </w:r>
        </w:p>
        <w:p w14:paraId="1E97B3F4" w14:textId="77777777" w:rsidR="00EC7CE1" w:rsidRDefault="00EC7CE1">
          <w:pPr>
            <w:autoSpaceDE w:val="0"/>
            <w:autoSpaceDN w:val="0"/>
            <w:ind w:hanging="480"/>
            <w:divId w:val="1695185692"/>
            <w:rPr>
              <w:rFonts w:eastAsia="Times New Roman"/>
            </w:rPr>
          </w:pPr>
          <w:r>
            <w:rPr>
              <w:rFonts w:eastAsia="Times New Roman"/>
            </w:rPr>
            <w:t xml:space="preserve">Beharry, J., Palmer, D., Wu, T., Wilson, D., Le Heron, C., Mason, D., Reimers, J., Fink, J., Mulder, R., &amp; Duncan, R. (2021). Functional neurological disorders presenting as emergencies to secondary care. </w:t>
          </w:r>
          <w:r>
            <w:rPr>
              <w:rFonts w:eastAsia="Times New Roman"/>
              <w:i/>
              <w:iCs/>
            </w:rPr>
            <w:t>European Journal of Neurology</w:t>
          </w:r>
          <w:r>
            <w:rPr>
              <w:rFonts w:eastAsia="Times New Roman"/>
            </w:rPr>
            <w:t xml:space="preserve">, </w:t>
          </w:r>
          <w:r>
            <w:rPr>
              <w:rFonts w:eastAsia="Times New Roman"/>
              <w:i/>
              <w:iCs/>
            </w:rPr>
            <w:t>28</w:t>
          </w:r>
          <w:r>
            <w:rPr>
              <w:rFonts w:eastAsia="Times New Roman"/>
            </w:rPr>
            <w:t>(5), 1441–1445. https://doi.org/10.1111/ENE.14728</w:t>
          </w:r>
        </w:p>
        <w:p w14:paraId="3CDF4F9D" w14:textId="77777777" w:rsidR="00EC7CE1" w:rsidRDefault="00EC7CE1">
          <w:pPr>
            <w:autoSpaceDE w:val="0"/>
            <w:autoSpaceDN w:val="0"/>
            <w:ind w:hanging="480"/>
            <w:divId w:val="305626488"/>
            <w:rPr>
              <w:rFonts w:eastAsia="Times New Roman"/>
            </w:rPr>
          </w:pPr>
          <w:proofErr w:type="spellStart"/>
          <w:r>
            <w:rPr>
              <w:rFonts w:eastAsia="Times New Roman"/>
            </w:rPr>
            <w:t>Benbadis</w:t>
          </w:r>
          <w:proofErr w:type="spellEnd"/>
          <w:r>
            <w:rPr>
              <w:rFonts w:eastAsia="Times New Roman"/>
            </w:rPr>
            <w:t xml:space="preserve">, S. R. (2009). Provocative techniques should be used for the diagnosis of psychogenic nonepileptic seizures.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15</w:t>
          </w:r>
          <w:r>
            <w:rPr>
              <w:rFonts w:eastAsia="Times New Roman"/>
            </w:rPr>
            <w:t>(2), 106–109; discussion 115-8. https://doi.org/10.1016/j.yebeh.2009.02.002</w:t>
          </w:r>
        </w:p>
        <w:p w14:paraId="5DFE07CF" w14:textId="77777777" w:rsidR="00EC7CE1" w:rsidRDefault="00EC7CE1">
          <w:pPr>
            <w:autoSpaceDE w:val="0"/>
            <w:autoSpaceDN w:val="0"/>
            <w:ind w:hanging="480"/>
            <w:divId w:val="360866099"/>
            <w:rPr>
              <w:rFonts w:eastAsia="Times New Roman"/>
            </w:rPr>
          </w:pPr>
          <w:proofErr w:type="spellStart"/>
          <w:r>
            <w:rPr>
              <w:rFonts w:eastAsia="Times New Roman"/>
            </w:rPr>
            <w:lastRenderedPageBreak/>
            <w:t>Benbadis</w:t>
          </w:r>
          <w:proofErr w:type="spellEnd"/>
          <w:r>
            <w:rPr>
              <w:rFonts w:eastAsia="Times New Roman"/>
            </w:rPr>
            <w:t xml:space="preserve">, S. R., &amp; Allen Hauser, W. (2000). An estimate of the prevalence of psychogenic non-epileptic seizures. </w:t>
          </w:r>
          <w:r>
            <w:rPr>
              <w:rFonts w:eastAsia="Times New Roman"/>
              <w:i/>
              <w:iCs/>
            </w:rPr>
            <w:t>Seizure</w:t>
          </w:r>
          <w:r>
            <w:rPr>
              <w:rFonts w:eastAsia="Times New Roman"/>
            </w:rPr>
            <w:t xml:space="preserve">, </w:t>
          </w:r>
          <w:r>
            <w:rPr>
              <w:rFonts w:eastAsia="Times New Roman"/>
              <w:i/>
              <w:iCs/>
            </w:rPr>
            <w:t>9</w:t>
          </w:r>
          <w:r>
            <w:rPr>
              <w:rFonts w:eastAsia="Times New Roman"/>
            </w:rPr>
            <w:t>(4), 280–281. https://doi.org/10.1053/SEIZ.2000.0409</w:t>
          </w:r>
        </w:p>
        <w:p w14:paraId="757E7EDE" w14:textId="77777777" w:rsidR="00EC7CE1" w:rsidRDefault="00EC7CE1">
          <w:pPr>
            <w:autoSpaceDE w:val="0"/>
            <w:autoSpaceDN w:val="0"/>
            <w:ind w:hanging="480"/>
            <w:divId w:val="2062055070"/>
            <w:rPr>
              <w:rFonts w:eastAsia="Times New Roman"/>
            </w:rPr>
          </w:pPr>
          <w:r>
            <w:rPr>
              <w:rFonts w:eastAsia="Times New Roman"/>
            </w:rPr>
            <w:t xml:space="preserve">Bennett, K., Diamond, C., </w:t>
          </w:r>
          <w:proofErr w:type="spellStart"/>
          <w:r>
            <w:rPr>
              <w:rFonts w:eastAsia="Times New Roman"/>
            </w:rPr>
            <w:t>Hoeritzauer</w:t>
          </w:r>
          <w:proofErr w:type="spellEnd"/>
          <w:r>
            <w:rPr>
              <w:rFonts w:eastAsia="Times New Roman"/>
            </w:rPr>
            <w:t xml:space="preserve">, I., Gardiner, P., McWhirter, L., Carson, A., &amp; Stone, J. (2021). A practical review of functional neurological disorder (FND) for the general physician. </w:t>
          </w:r>
          <w:r>
            <w:rPr>
              <w:rFonts w:eastAsia="Times New Roman"/>
              <w:i/>
              <w:iCs/>
            </w:rPr>
            <w:t>Clinical Medicine</w:t>
          </w:r>
          <w:r>
            <w:rPr>
              <w:rFonts w:eastAsia="Times New Roman"/>
            </w:rPr>
            <w:t xml:space="preserve">, </w:t>
          </w:r>
          <w:r>
            <w:rPr>
              <w:rFonts w:eastAsia="Times New Roman"/>
              <w:i/>
              <w:iCs/>
            </w:rPr>
            <w:t>21</w:t>
          </w:r>
          <w:r>
            <w:rPr>
              <w:rFonts w:eastAsia="Times New Roman"/>
            </w:rPr>
            <w:t>(1), 28. https://doi.org/10.7861/CLINMED.2020-0987</w:t>
          </w:r>
        </w:p>
        <w:p w14:paraId="10D5EF5B" w14:textId="77777777" w:rsidR="00EC7CE1" w:rsidRDefault="00EC7CE1">
          <w:pPr>
            <w:autoSpaceDE w:val="0"/>
            <w:autoSpaceDN w:val="0"/>
            <w:ind w:hanging="480"/>
            <w:divId w:val="868109416"/>
            <w:rPr>
              <w:rFonts w:eastAsia="Times New Roman"/>
            </w:rPr>
          </w:pPr>
          <w:proofErr w:type="spellStart"/>
          <w:r>
            <w:rPr>
              <w:rFonts w:eastAsia="Times New Roman"/>
            </w:rPr>
            <w:t>Bermingham</w:t>
          </w:r>
          <w:proofErr w:type="spellEnd"/>
          <w:r>
            <w:rPr>
              <w:rFonts w:eastAsia="Times New Roman"/>
            </w:rPr>
            <w:t xml:space="preserve">, S. L., Cohen, A., Hague, J., &amp; Parsonage, M. (2010). The cost of somatisation among the working-age population in England for the year 2008-2009. </w:t>
          </w:r>
          <w:r>
            <w:rPr>
              <w:rFonts w:eastAsia="Times New Roman"/>
              <w:i/>
              <w:iCs/>
            </w:rPr>
            <w:t>Mental Health in Family Medicine</w:t>
          </w:r>
          <w:r>
            <w:rPr>
              <w:rFonts w:eastAsia="Times New Roman"/>
            </w:rPr>
            <w:t xml:space="preserve">, </w:t>
          </w:r>
          <w:r>
            <w:rPr>
              <w:rFonts w:eastAsia="Times New Roman"/>
              <w:i/>
              <w:iCs/>
            </w:rPr>
            <w:t>7</w:t>
          </w:r>
          <w:r>
            <w:rPr>
              <w:rFonts w:eastAsia="Times New Roman"/>
            </w:rPr>
            <w:t>(2), 71–84. https://pubmed.ncbi.nlm.nih.gov/22477925</w:t>
          </w:r>
        </w:p>
        <w:p w14:paraId="7A4C2E54" w14:textId="77777777" w:rsidR="00EC7CE1" w:rsidRDefault="00EC7CE1">
          <w:pPr>
            <w:autoSpaceDE w:val="0"/>
            <w:autoSpaceDN w:val="0"/>
            <w:ind w:hanging="480"/>
            <w:divId w:val="1663238469"/>
            <w:rPr>
              <w:rFonts w:eastAsia="Times New Roman"/>
            </w:rPr>
          </w:pPr>
          <w:proofErr w:type="spellStart"/>
          <w:r>
            <w:rPr>
              <w:rFonts w:eastAsia="Times New Roman"/>
            </w:rPr>
            <w:t>Bessing</w:t>
          </w:r>
          <w:proofErr w:type="spellEnd"/>
          <w:r>
            <w:rPr>
              <w:rFonts w:eastAsia="Times New Roman"/>
            </w:rPr>
            <w:t xml:space="preserve">, B., Honan, C. A., van der Mei, I., Taylor, B. v., &amp; Claflin, S. B. (2022). Measurement Properties of the Health Literacy Questionnaire in the Understanding Multiple Sclerosis Massive Open Online Course Cohort: A Rasch Analysis. </w:t>
          </w:r>
          <w:r>
            <w:rPr>
              <w:rFonts w:eastAsia="Times New Roman"/>
              <w:i/>
              <w:iCs/>
            </w:rPr>
            <w:t>Health Literacy Research and Practice</w:t>
          </w:r>
          <w:r>
            <w:rPr>
              <w:rFonts w:eastAsia="Times New Roman"/>
            </w:rPr>
            <w:t xml:space="preserve">, </w:t>
          </w:r>
          <w:r>
            <w:rPr>
              <w:rFonts w:eastAsia="Times New Roman"/>
              <w:i/>
              <w:iCs/>
            </w:rPr>
            <w:t>6</w:t>
          </w:r>
          <w:r>
            <w:rPr>
              <w:rFonts w:eastAsia="Times New Roman"/>
            </w:rPr>
            <w:t>(3), e200–e212. https://doi.org/10.3928/24748307-20220720-01</w:t>
          </w:r>
        </w:p>
        <w:p w14:paraId="579A362A" w14:textId="77777777" w:rsidR="00EC7CE1" w:rsidRDefault="00EC7CE1">
          <w:pPr>
            <w:autoSpaceDE w:val="0"/>
            <w:autoSpaceDN w:val="0"/>
            <w:ind w:hanging="480"/>
            <w:divId w:val="1245187452"/>
            <w:rPr>
              <w:rFonts w:eastAsia="Times New Roman"/>
            </w:rPr>
          </w:pPr>
          <w:r>
            <w:rPr>
              <w:rFonts w:eastAsia="Times New Roman"/>
            </w:rPr>
            <w:t xml:space="preserve">Bewley, J., Murphy, P. N., Mallows, J., &amp; Baker, G. A. (2005). Does alexithymia differentiate between patients with nonepileptic seizures, patients with epilepsy, and nonpatient controls? </w:t>
          </w:r>
          <w:r>
            <w:rPr>
              <w:rFonts w:eastAsia="Times New Roman"/>
              <w:i/>
              <w:iCs/>
            </w:rPr>
            <w:t xml:space="preserve">Epilepsy &amp; </w:t>
          </w:r>
          <w:proofErr w:type="spellStart"/>
          <w:r>
            <w:rPr>
              <w:rFonts w:eastAsia="Times New Roman"/>
              <w:i/>
              <w:iCs/>
            </w:rPr>
            <w:t>Behavior</w:t>
          </w:r>
          <w:proofErr w:type="spellEnd"/>
          <w:r>
            <w:rPr>
              <w:rFonts w:eastAsia="Times New Roman"/>
            </w:rPr>
            <w:t xml:space="preserve">, </w:t>
          </w:r>
          <w:r>
            <w:rPr>
              <w:rFonts w:eastAsia="Times New Roman"/>
              <w:i/>
              <w:iCs/>
            </w:rPr>
            <w:t>7</w:t>
          </w:r>
          <w:r>
            <w:rPr>
              <w:rFonts w:eastAsia="Times New Roman"/>
            </w:rPr>
            <w:t>(3), 430–437. https://doi.org/10.1016/j.yebeh.2005.06.006</w:t>
          </w:r>
        </w:p>
        <w:p w14:paraId="521CC797" w14:textId="77777777" w:rsidR="00EC7CE1" w:rsidRDefault="00EC7CE1">
          <w:pPr>
            <w:autoSpaceDE w:val="0"/>
            <w:autoSpaceDN w:val="0"/>
            <w:ind w:hanging="480"/>
            <w:divId w:val="1539472815"/>
            <w:rPr>
              <w:rFonts w:eastAsia="Times New Roman"/>
            </w:rPr>
          </w:pPr>
          <w:r>
            <w:rPr>
              <w:rFonts w:eastAsia="Times New Roman"/>
            </w:rPr>
            <w:t xml:space="preserve">Bickel, W. K., </w:t>
          </w:r>
          <w:proofErr w:type="spellStart"/>
          <w:r>
            <w:rPr>
              <w:rFonts w:eastAsia="Times New Roman"/>
            </w:rPr>
            <w:t>Jarmolowicz</w:t>
          </w:r>
          <w:proofErr w:type="spellEnd"/>
          <w:r>
            <w:rPr>
              <w:rFonts w:eastAsia="Times New Roman"/>
            </w:rPr>
            <w:t xml:space="preserve">, D. P., Mueller, E. T., </w:t>
          </w:r>
          <w:proofErr w:type="spellStart"/>
          <w:r>
            <w:rPr>
              <w:rFonts w:eastAsia="Times New Roman"/>
            </w:rPr>
            <w:t>Koffarnus</w:t>
          </w:r>
          <w:proofErr w:type="spellEnd"/>
          <w:r>
            <w:rPr>
              <w:rFonts w:eastAsia="Times New Roman"/>
            </w:rPr>
            <w:t xml:space="preserve">, M. N., &amp; Gatchalian, K. M. (2012). Excessive Discounting of Delayed Reinforcers as a Trans-Disease Process Contributing to Addiction and Other Disease-Related Vulnerabilities: Emerging Evidence. </w:t>
          </w:r>
          <w:r>
            <w:rPr>
              <w:rFonts w:eastAsia="Times New Roman"/>
              <w:i/>
              <w:iCs/>
            </w:rPr>
            <w:t>Pharmacology &amp; Therapeutics</w:t>
          </w:r>
          <w:r>
            <w:rPr>
              <w:rFonts w:eastAsia="Times New Roman"/>
            </w:rPr>
            <w:t xml:space="preserve">, </w:t>
          </w:r>
          <w:r>
            <w:rPr>
              <w:rFonts w:eastAsia="Times New Roman"/>
              <w:i/>
              <w:iCs/>
            </w:rPr>
            <w:t>134</w:t>
          </w:r>
          <w:r>
            <w:rPr>
              <w:rFonts w:eastAsia="Times New Roman"/>
            </w:rPr>
            <w:t>(3), 287. https://doi.org/10.1016/J.PHARMTHERA.2012.02.004</w:t>
          </w:r>
        </w:p>
        <w:p w14:paraId="3521DFFF" w14:textId="77777777" w:rsidR="00EC7CE1" w:rsidRDefault="00EC7CE1">
          <w:pPr>
            <w:autoSpaceDE w:val="0"/>
            <w:autoSpaceDN w:val="0"/>
            <w:ind w:hanging="480"/>
            <w:divId w:val="1166021966"/>
            <w:rPr>
              <w:rFonts w:eastAsia="Times New Roman"/>
            </w:rPr>
          </w:pPr>
          <w:proofErr w:type="spellStart"/>
          <w:r>
            <w:rPr>
              <w:rFonts w:eastAsia="Times New Roman"/>
            </w:rPr>
            <w:t>Binzer</w:t>
          </w:r>
          <w:proofErr w:type="spellEnd"/>
          <w:r>
            <w:rPr>
              <w:rFonts w:eastAsia="Times New Roman"/>
            </w:rPr>
            <w:t xml:space="preserve">, M., Andersen, P. M., &amp; </w:t>
          </w:r>
          <w:proofErr w:type="spellStart"/>
          <w:r>
            <w:rPr>
              <w:rFonts w:eastAsia="Times New Roman"/>
            </w:rPr>
            <w:t>Kullgren</w:t>
          </w:r>
          <w:proofErr w:type="spellEnd"/>
          <w:r>
            <w:rPr>
              <w:rFonts w:eastAsia="Times New Roman"/>
            </w:rPr>
            <w:t xml:space="preserve">, G. (1997). Clinical characteristics of patients with motor disability due to conversion disorder: a prospective control group study. </w:t>
          </w:r>
          <w:r>
            <w:rPr>
              <w:rFonts w:eastAsia="Times New Roman"/>
              <w:i/>
              <w:iCs/>
            </w:rPr>
            <w:t>Journal of Neurology, Neurosurgery, and Psychiatry</w:t>
          </w:r>
          <w:r>
            <w:rPr>
              <w:rFonts w:eastAsia="Times New Roman"/>
            </w:rPr>
            <w:t xml:space="preserve">, </w:t>
          </w:r>
          <w:r>
            <w:rPr>
              <w:rFonts w:eastAsia="Times New Roman"/>
              <w:i/>
              <w:iCs/>
            </w:rPr>
            <w:t>63</w:t>
          </w:r>
          <w:r>
            <w:rPr>
              <w:rFonts w:eastAsia="Times New Roman"/>
            </w:rPr>
            <w:t>(1), 83–88. https://doi.org/10.1136/JNNP.63.1.83</w:t>
          </w:r>
        </w:p>
        <w:p w14:paraId="6F9B01F1" w14:textId="77777777" w:rsidR="00EC7CE1" w:rsidRDefault="00EC7CE1">
          <w:pPr>
            <w:autoSpaceDE w:val="0"/>
            <w:autoSpaceDN w:val="0"/>
            <w:ind w:hanging="480"/>
            <w:divId w:val="1408578361"/>
            <w:rPr>
              <w:rFonts w:eastAsia="Times New Roman"/>
            </w:rPr>
          </w:pPr>
          <w:r>
            <w:rPr>
              <w:rFonts w:eastAsia="Times New Roman"/>
            </w:rPr>
            <w:t xml:space="preserve">Birmingham, L. E., Cochran, T., Frey, J. A., Stiffler, K. A., &amp; Wilber, S. T. (2017). Emergency department use and barriers to wellness: A survey of emergency department frequent users. </w:t>
          </w:r>
          <w:r>
            <w:rPr>
              <w:rFonts w:eastAsia="Times New Roman"/>
              <w:i/>
              <w:iCs/>
            </w:rPr>
            <w:t>BMC Emergency Medicine</w:t>
          </w:r>
          <w:r>
            <w:rPr>
              <w:rFonts w:eastAsia="Times New Roman"/>
            </w:rPr>
            <w:t xml:space="preserve">, </w:t>
          </w:r>
          <w:r>
            <w:rPr>
              <w:rFonts w:eastAsia="Times New Roman"/>
              <w:i/>
              <w:iCs/>
            </w:rPr>
            <w:t>17</w:t>
          </w:r>
          <w:r>
            <w:rPr>
              <w:rFonts w:eastAsia="Times New Roman"/>
            </w:rPr>
            <w:t>(1), 1–8. https://doi.org/10.1186/S12873-017-0126-5/TABLES/5</w:t>
          </w:r>
        </w:p>
        <w:p w14:paraId="28A65F42" w14:textId="77777777" w:rsidR="00EC7CE1" w:rsidRDefault="00EC7CE1">
          <w:pPr>
            <w:autoSpaceDE w:val="0"/>
            <w:autoSpaceDN w:val="0"/>
            <w:ind w:hanging="480"/>
            <w:divId w:val="426273224"/>
            <w:rPr>
              <w:rFonts w:eastAsia="Times New Roman"/>
            </w:rPr>
          </w:pPr>
          <w:r>
            <w:rPr>
              <w:rFonts w:eastAsia="Times New Roman"/>
            </w:rPr>
            <w:lastRenderedPageBreak/>
            <w:t xml:space="preserve">Bishop, S. R., Lau, M., Shapiro, S., Carlson, L., Anderson, N. D., Carmody, J., Segal, Z. V, Abbey, S., </w:t>
          </w:r>
          <w:proofErr w:type="spellStart"/>
          <w:r>
            <w:rPr>
              <w:rFonts w:eastAsia="Times New Roman"/>
            </w:rPr>
            <w:t>Speca</w:t>
          </w:r>
          <w:proofErr w:type="spellEnd"/>
          <w:r>
            <w:rPr>
              <w:rFonts w:eastAsia="Times New Roman"/>
            </w:rPr>
            <w:t xml:space="preserve">, M., </w:t>
          </w:r>
          <w:proofErr w:type="spellStart"/>
          <w:r>
            <w:rPr>
              <w:rFonts w:eastAsia="Times New Roman"/>
            </w:rPr>
            <w:t>Velting</w:t>
          </w:r>
          <w:proofErr w:type="spellEnd"/>
          <w:r>
            <w:rPr>
              <w:rFonts w:eastAsia="Times New Roman"/>
            </w:rPr>
            <w:t xml:space="preserve">, D., &amp; </w:t>
          </w:r>
          <w:proofErr w:type="spellStart"/>
          <w:r>
            <w:rPr>
              <w:rFonts w:eastAsia="Times New Roman"/>
            </w:rPr>
            <w:t>Devins</w:t>
          </w:r>
          <w:proofErr w:type="spellEnd"/>
          <w:r>
            <w:rPr>
              <w:rFonts w:eastAsia="Times New Roman"/>
            </w:rPr>
            <w:t xml:space="preserve">, G. (2006). Mindfulness: A Proposed Operational Definition. </w:t>
          </w:r>
          <w:r>
            <w:rPr>
              <w:rFonts w:eastAsia="Times New Roman"/>
              <w:i/>
              <w:iCs/>
            </w:rPr>
            <w:t>Clinical Psychology: Science and Practice</w:t>
          </w:r>
          <w:r>
            <w:rPr>
              <w:rFonts w:eastAsia="Times New Roman"/>
            </w:rPr>
            <w:t xml:space="preserve">, </w:t>
          </w:r>
          <w:r>
            <w:rPr>
              <w:rFonts w:eastAsia="Times New Roman"/>
              <w:i/>
              <w:iCs/>
            </w:rPr>
            <w:t>11</w:t>
          </w:r>
          <w:r>
            <w:rPr>
              <w:rFonts w:eastAsia="Times New Roman"/>
            </w:rPr>
            <w:t>(3), 230–241. https://doi.org/10.1093/clipsy.bph077</w:t>
          </w:r>
        </w:p>
        <w:p w14:paraId="11A11F40" w14:textId="77777777" w:rsidR="00EC7CE1" w:rsidRDefault="00EC7CE1">
          <w:pPr>
            <w:autoSpaceDE w:val="0"/>
            <w:autoSpaceDN w:val="0"/>
            <w:ind w:hanging="480"/>
            <w:divId w:val="1241721256"/>
            <w:rPr>
              <w:rFonts w:eastAsia="Times New Roman"/>
            </w:rPr>
          </w:pPr>
          <w:r>
            <w:rPr>
              <w:rFonts w:eastAsia="Times New Roman"/>
            </w:rPr>
            <w:t xml:space="preserve">Black, N. (1996). Why we need observational studies to evaluate the effectiveness of health care. </w:t>
          </w:r>
          <w:r>
            <w:rPr>
              <w:rFonts w:eastAsia="Times New Roman"/>
              <w:i/>
              <w:iCs/>
            </w:rPr>
            <w:t>BMJ</w:t>
          </w:r>
          <w:r>
            <w:rPr>
              <w:rFonts w:eastAsia="Times New Roman"/>
            </w:rPr>
            <w:t xml:space="preserve">, </w:t>
          </w:r>
          <w:r>
            <w:rPr>
              <w:rFonts w:eastAsia="Times New Roman"/>
              <w:i/>
              <w:iCs/>
            </w:rPr>
            <w:t>312</w:t>
          </w:r>
          <w:r>
            <w:rPr>
              <w:rFonts w:eastAsia="Times New Roman"/>
            </w:rPr>
            <w:t>(7040), 1215–1218. https://doi.org/10.1136/bmj.312.7040.1215</w:t>
          </w:r>
        </w:p>
        <w:p w14:paraId="6D389D88" w14:textId="77777777" w:rsidR="00EC7CE1" w:rsidRDefault="00EC7CE1">
          <w:pPr>
            <w:autoSpaceDE w:val="0"/>
            <w:autoSpaceDN w:val="0"/>
            <w:ind w:hanging="480"/>
            <w:divId w:val="428741111"/>
            <w:rPr>
              <w:rFonts w:eastAsia="Times New Roman"/>
            </w:rPr>
          </w:pPr>
          <w:r>
            <w:rPr>
              <w:rFonts w:eastAsia="Times New Roman"/>
            </w:rPr>
            <w:t xml:space="preserve">Blad, H., Lamberts, R. J., Dijk, J. G. Van, &amp; Thijs, R. D. (2015). Tilt-induced vasovagal syncope and psychogenic </w:t>
          </w:r>
          <w:proofErr w:type="spellStart"/>
          <w:r>
            <w:rPr>
              <w:rFonts w:eastAsia="Times New Roman"/>
            </w:rPr>
            <w:t>pseudosyncope</w:t>
          </w:r>
          <w:proofErr w:type="spellEnd"/>
          <w:r>
            <w:rPr>
              <w:rFonts w:eastAsia="Times New Roman"/>
            </w:rPr>
            <w:t xml:space="preserve">: Overlapping clinical entities. </w:t>
          </w:r>
          <w:r>
            <w:rPr>
              <w:rFonts w:eastAsia="Times New Roman"/>
              <w:i/>
              <w:iCs/>
            </w:rPr>
            <w:t>Neurology</w:t>
          </w:r>
          <w:r>
            <w:rPr>
              <w:rFonts w:eastAsia="Times New Roman"/>
            </w:rPr>
            <w:t xml:space="preserve">, </w:t>
          </w:r>
          <w:r>
            <w:rPr>
              <w:rFonts w:eastAsia="Times New Roman"/>
              <w:i/>
              <w:iCs/>
            </w:rPr>
            <w:t>85</w:t>
          </w:r>
          <w:r>
            <w:rPr>
              <w:rFonts w:eastAsia="Times New Roman"/>
            </w:rPr>
            <w:t>(23), 2006. https://doi.org/10.1212/WNL.0000000000002184</w:t>
          </w:r>
        </w:p>
        <w:p w14:paraId="30006EF5" w14:textId="77777777" w:rsidR="00EC7CE1" w:rsidRDefault="00EC7CE1">
          <w:pPr>
            <w:autoSpaceDE w:val="0"/>
            <w:autoSpaceDN w:val="0"/>
            <w:ind w:hanging="480"/>
            <w:divId w:val="1306081282"/>
            <w:rPr>
              <w:rFonts w:eastAsia="Times New Roman"/>
            </w:rPr>
          </w:pPr>
          <w:r>
            <w:rPr>
              <w:rFonts w:eastAsia="Times New Roman"/>
            </w:rPr>
            <w:t xml:space="preserve">Blakemore, R. L., </w:t>
          </w:r>
          <w:proofErr w:type="spellStart"/>
          <w:r>
            <w:rPr>
              <w:rFonts w:eastAsia="Times New Roman"/>
            </w:rPr>
            <w:t>Sinanaj</w:t>
          </w:r>
          <w:proofErr w:type="spellEnd"/>
          <w:r>
            <w:rPr>
              <w:rFonts w:eastAsia="Times New Roman"/>
            </w:rPr>
            <w:t xml:space="preserve">, I., Galli, S., </w:t>
          </w:r>
          <w:proofErr w:type="spellStart"/>
          <w:r>
            <w:rPr>
              <w:rFonts w:eastAsia="Times New Roman"/>
            </w:rPr>
            <w:t>Aybek</w:t>
          </w:r>
          <w:proofErr w:type="spellEnd"/>
          <w:r>
            <w:rPr>
              <w:rFonts w:eastAsia="Times New Roman"/>
            </w:rPr>
            <w:t xml:space="preserve">, S., &amp; </w:t>
          </w:r>
          <w:proofErr w:type="spellStart"/>
          <w:r>
            <w:rPr>
              <w:rFonts w:eastAsia="Times New Roman"/>
            </w:rPr>
            <w:t>Vuilleumier</w:t>
          </w:r>
          <w:proofErr w:type="spellEnd"/>
          <w:r>
            <w:rPr>
              <w:rFonts w:eastAsia="Times New Roman"/>
            </w:rPr>
            <w:t xml:space="preserve">, P. (2016). Aversive stimuli exacerbate defensive motor behaviour in motor conversion disorder. </w:t>
          </w:r>
          <w:proofErr w:type="spellStart"/>
          <w:r>
            <w:rPr>
              <w:rFonts w:eastAsia="Times New Roman"/>
              <w:i/>
              <w:iCs/>
            </w:rPr>
            <w:t>Neuropsychologia</w:t>
          </w:r>
          <w:proofErr w:type="spellEnd"/>
          <w:r>
            <w:rPr>
              <w:rFonts w:eastAsia="Times New Roman"/>
            </w:rPr>
            <w:t xml:space="preserve">, </w:t>
          </w:r>
          <w:r>
            <w:rPr>
              <w:rFonts w:eastAsia="Times New Roman"/>
              <w:i/>
              <w:iCs/>
            </w:rPr>
            <w:t>93</w:t>
          </w:r>
          <w:r>
            <w:rPr>
              <w:rFonts w:eastAsia="Times New Roman"/>
            </w:rPr>
            <w:t>(Pt A), 229–241. https://doi.org/10.1016/J.NEUROPSYCHOLOGIA.2016.11.005</w:t>
          </w:r>
        </w:p>
        <w:p w14:paraId="1BAD6CEC" w14:textId="77777777" w:rsidR="00EC7CE1" w:rsidRDefault="00EC7CE1">
          <w:pPr>
            <w:autoSpaceDE w:val="0"/>
            <w:autoSpaceDN w:val="0"/>
            <w:ind w:hanging="480"/>
            <w:divId w:val="1254044912"/>
            <w:rPr>
              <w:rFonts w:eastAsia="Times New Roman"/>
            </w:rPr>
          </w:pPr>
          <w:r>
            <w:rPr>
              <w:rFonts w:eastAsia="Times New Roman"/>
            </w:rPr>
            <w:t xml:space="preserve">Blevins, C. A., Weathers, F. W., Davis, M. T., Witte, T. K., &amp; Domino, J. L. (2015). The Posttraumatic Stress Disorder Checklist for DSM-5 (PCL-5): Development and Initial Psychometric Evaluation. </w:t>
          </w:r>
          <w:r>
            <w:rPr>
              <w:rFonts w:eastAsia="Times New Roman"/>
              <w:i/>
              <w:iCs/>
            </w:rPr>
            <w:t>Journal of Traumatic Stress</w:t>
          </w:r>
          <w:r>
            <w:rPr>
              <w:rFonts w:eastAsia="Times New Roman"/>
            </w:rPr>
            <w:t xml:space="preserve">, </w:t>
          </w:r>
          <w:r>
            <w:rPr>
              <w:rFonts w:eastAsia="Times New Roman"/>
              <w:i/>
              <w:iCs/>
            </w:rPr>
            <w:t>28</w:t>
          </w:r>
          <w:r>
            <w:rPr>
              <w:rFonts w:eastAsia="Times New Roman"/>
            </w:rPr>
            <w:t>(6), 489–498. https://doi.org/10.1002/jts.22059</w:t>
          </w:r>
        </w:p>
        <w:p w14:paraId="67384AE3" w14:textId="77777777" w:rsidR="00EC7CE1" w:rsidRDefault="00EC7CE1">
          <w:pPr>
            <w:autoSpaceDE w:val="0"/>
            <w:autoSpaceDN w:val="0"/>
            <w:ind w:hanging="480"/>
            <w:divId w:val="1848982797"/>
            <w:rPr>
              <w:rFonts w:eastAsia="Times New Roman"/>
            </w:rPr>
          </w:pPr>
          <w:proofErr w:type="spellStart"/>
          <w:r>
            <w:rPr>
              <w:rFonts w:eastAsia="Times New Roman"/>
            </w:rPr>
            <w:t>Bodde</w:t>
          </w:r>
          <w:proofErr w:type="spellEnd"/>
          <w:r>
            <w:rPr>
              <w:rFonts w:eastAsia="Times New Roman"/>
            </w:rPr>
            <w:t xml:space="preserve">, N. M., Brooks, J. L., Baker, G. A., Boon, P. A., Hendriksen, J. G., Mulder, O. G., &amp; </w:t>
          </w:r>
          <w:proofErr w:type="spellStart"/>
          <w:r>
            <w:rPr>
              <w:rFonts w:eastAsia="Times New Roman"/>
            </w:rPr>
            <w:t>Aldenkamp</w:t>
          </w:r>
          <w:proofErr w:type="spellEnd"/>
          <w:r>
            <w:rPr>
              <w:rFonts w:eastAsia="Times New Roman"/>
            </w:rPr>
            <w:t xml:space="preserve">, A. P. (2009). Psychogenic non-epileptic seizures--definition, </w:t>
          </w:r>
          <w:proofErr w:type="spellStart"/>
          <w:r>
            <w:rPr>
              <w:rFonts w:eastAsia="Times New Roman"/>
            </w:rPr>
            <w:t>etiology</w:t>
          </w:r>
          <w:proofErr w:type="spellEnd"/>
          <w:r>
            <w:rPr>
              <w:rFonts w:eastAsia="Times New Roman"/>
            </w:rPr>
            <w:t xml:space="preserve">, treatment and prognostic issues: a critical review. </w:t>
          </w:r>
          <w:r>
            <w:rPr>
              <w:rFonts w:eastAsia="Times New Roman"/>
              <w:i/>
              <w:iCs/>
            </w:rPr>
            <w:t>Seizure</w:t>
          </w:r>
          <w:r>
            <w:rPr>
              <w:rFonts w:eastAsia="Times New Roman"/>
            </w:rPr>
            <w:t xml:space="preserve">, </w:t>
          </w:r>
          <w:r>
            <w:rPr>
              <w:rFonts w:eastAsia="Times New Roman"/>
              <w:i/>
              <w:iCs/>
            </w:rPr>
            <w:t>18</w:t>
          </w:r>
          <w:r>
            <w:rPr>
              <w:rFonts w:eastAsia="Times New Roman"/>
            </w:rPr>
            <w:t>(8), 543–553. https://doi.org/10.1016/j.seizure.2009.06.006</w:t>
          </w:r>
        </w:p>
        <w:p w14:paraId="759DC64C" w14:textId="77777777" w:rsidR="00EC7CE1" w:rsidRDefault="00EC7CE1">
          <w:pPr>
            <w:autoSpaceDE w:val="0"/>
            <w:autoSpaceDN w:val="0"/>
            <w:ind w:hanging="480"/>
            <w:divId w:val="1074158646"/>
            <w:rPr>
              <w:rFonts w:eastAsia="Times New Roman"/>
            </w:rPr>
          </w:pPr>
          <w:proofErr w:type="spellStart"/>
          <w:r>
            <w:rPr>
              <w:rFonts w:eastAsia="Times New Roman"/>
            </w:rPr>
            <w:t>Bodde</w:t>
          </w:r>
          <w:proofErr w:type="spellEnd"/>
          <w:r>
            <w:rPr>
              <w:rFonts w:eastAsia="Times New Roman"/>
            </w:rPr>
            <w:t xml:space="preserve">, N. M. G., Janssen, A. M. A. J., </w:t>
          </w:r>
          <w:proofErr w:type="spellStart"/>
          <w:r>
            <w:rPr>
              <w:rFonts w:eastAsia="Times New Roman"/>
            </w:rPr>
            <w:t>Theuns</w:t>
          </w:r>
          <w:proofErr w:type="spellEnd"/>
          <w:r>
            <w:rPr>
              <w:rFonts w:eastAsia="Times New Roman"/>
            </w:rPr>
            <w:t xml:space="preserve">, C., </w:t>
          </w:r>
          <w:proofErr w:type="spellStart"/>
          <w:r>
            <w:rPr>
              <w:rFonts w:eastAsia="Times New Roman"/>
            </w:rPr>
            <w:t>Vanhoutvin</w:t>
          </w:r>
          <w:proofErr w:type="spellEnd"/>
          <w:r>
            <w:rPr>
              <w:rFonts w:eastAsia="Times New Roman"/>
            </w:rPr>
            <w:t xml:space="preserve">, J. F. G., Boon, P. A. J. M., &amp; </w:t>
          </w:r>
          <w:proofErr w:type="spellStart"/>
          <w:r>
            <w:rPr>
              <w:rFonts w:eastAsia="Times New Roman"/>
            </w:rPr>
            <w:t>Aldenkamp</w:t>
          </w:r>
          <w:proofErr w:type="spellEnd"/>
          <w:r>
            <w:rPr>
              <w:rFonts w:eastAsia="Times New Roman"/>
            </w:rPr>
            <w:t xml:space="preserve">, A. P. (2007). Factors involved in the long-term prognosis of psychogenic nonepileptic seizures. </w:t>
          </w:r>
          <w:r>
            <w:rPr>
              <w:rFonts w:eastAsia="Times New Roman"/>
              <w:i/>
              <w:iCs/>
            </w:rPr>
            <w:t>Journal of Psychosomatic Research</w:t>
          </w:r>
          <w:r>
            <w:rPr>
              <w:rFonts w:eastAsia="Times New Roman"/>
            </w:rPr>
            <w:t xml:space="preserve">, </w:t>
          </w:r>
          <w:r>
            <w:rPr>
              <w:rFonts w:eastAsia="Times New Roman"/>
              <w:i/>
              <w:iCs/>
            </w:rPr>
            <w:t>62</w:t>
          </w:r>
          <w:r>
            <w:rPr>
              <w:rFonts w:eastAsia="Times New Roman"/>
            </w:rPr>
            <w:t>(5), 545–551. https://doi.org/10.1016/J.JPSYCHORES.2006.11.015</w:t>
          </w:r>
        </w:p>
        <w:p w14:paraId="40CD37A9" w14:textId="77777777" w:rsidR="00EC7CE1" w:rsidRDefault="00EC7CE1">
          <w:pPr>
            <w:autoSpaceDE w:val="0"/>
            <w:autoSpaceDN w:val="0"/>
            <w:ind w:hanging="480"/>
            <w:divId w:val="831144908"/>
            <w:rPr>
              <w:rFonts w:eastAsia="Times New Roman"/>
            </w:rPr>
          </w:pPr>
          <w:r>
            <w:rPr>
              <w:rFonts w:eastAsia="Times New Roman"/>
            </w:rPr>
            <w:t xml:space="preserve">Bogaerts, K., Van </w:t>
          </w:r>
          <w:proofErr w:type="spellStart"/>
          <w:r>
            <w:rPr>
              <w:rFonts w:eastAsia="Times New Roman"/>
            </w:rPr>
            <w:t>Eylen</w:t>
          </w:r>
          <w:proofErr w:type="spellEnd"/>
          <w:r>
            <w:rPr>
              <w:rFonts w:eastAsia="Times New Roman"/>
            </w:rPr>
            <w:t xml:space="preserve">, L., Li, W., </w:t>
          </w:r>
          <w:proofErr w:type="spellStart"/>
          <w:r>
            <w:rPr>
              <w:rFonts w:eastAsia="Times New Roman"/>
            </w:rPr>
            <w:t>Bresseleers</w:t>
          </w:r>
          <w:proofErr w:type="spellEnd"/>
          <w:r>
            <w:rPr>
              <w:rFonts w:eastAsia="Times New Roman"/>
            </w:rPr>
            <w:t xml:space="preserve">, J., Van </w:t>
          </w:r>
          <w:proofErr w:type="spellStart"/>
          <w:r>
            <w:rPr>
              <w:rFonts w:eastAsia="Times New Roman"/>
            </w:rPr>
            <w:t>Diest</w:t>
          </w:r>
          <w:proofErr w:type="spellEnd"/>
          <w:r>
            <w:rPr>
              <w:rFonts w:eastAsia="Times New Roman"/>
            </w:rPr>
            <w:t xml:space="preserve">, I., De </w:t>
          </w:r>
          <w:proofErr w:type="spellStart"/>
          <w:r>
            <w:rPr>
              <w:rFonts w:eastAsia="Times New Roman"/>
            </w:rPr>
            <w:t>Peuter</w:t>
          </w:r>
          <w:proofErr w:type="spellEnd"/>
          <w:r>
            <w:rPr>
              <w:rFonts w:eastAsia="Times New Roman"/>
            </w:rPr>
            <w:t xml:space="preserve">, S., Stans, L., </w:t>
          </w:r>
          <w:proofErr w:type="spellStart"/>
          <w:r>
            <w:rPr>
              <w:rFonts w:eastAsia="Times New Roman"/>
            </w:rPr>
            <w:t>Decramer</w:t>
          </w:r>
          <w:proofErr w:type="spellEnd"/>
          <w:r>
            <w:rPr>
              <w:rFonts w:eastAsia="Times New Roman"/>
            </w:rPr>
            <w:t xml:space="preserve">, M., &amp; Van den Bergh, O. (2010). Distorted symptom perception in patients with medically unexplained symptoms. </w:t>
          </w:r>
          <w:r>
            <w:rPr>
              <w:rFonts w:eastAsia="Times New Roman"/>
              <w:i/>
              <w:iCs/>
            </w:rPr>
            <w:t xml:space="preserve">J </w:t>
          </w:r>
          <w:proofErr w:type="spellStart"/>
          <w:r>
            <w:rPr>
              <w:rFonts w:eastAsia="Times New Roman"/>
              <w:i/>
              <w:iCs/>
            </w:rPr>
            <w:t>Abnorm</w:t>
          </w:r>
          <w:proofErr w:type="spellEnd"/>
          <w:r>
            <w:rPr>
              <w:rFonts w:eastAsia="Times New Roman"/>
              <w:i/>
              <w:iCs/>
            </w:rPr>
            <w:t xml:space="preserve"> </w:t>
          </w:r>
          <w:proofErr w:type="spellStart"/>
          <w:r>
            <w:rPr>
              <w:rFonts w:eastAsia="Times New Roman"/>
              <w:i/>
              <w:iCs/>
            </w:rPr>
            <w:t>Psychol</w:t>
          </w:r>
          <w:proofErr w:type="spellEnd"/>
          <w:r>
            <w:rPr>
              <w:rFonts w:eastAsia="Times New Roman"/>
            </w:rPr>
            <w:t xml:space="preserve">, </w:t>
          </w:r>
          <w:r>
            <w:rPr>
              <w:rFonts w:eastAsia="Times New Roman"/>
              <w:i/>
              <w:iCs/>
            </w:rPr>
            <w:t>119</w:t>
          </w:r>
          <w:r>
            <w:rPr>
              <w:rFonts w:eastAsia="Times New Roman"/>
            </w:rPr>
            <w:t>(1), 226–234. https://doi.org/10.1037/a0017780</w:t>
          </w:r>
        </w:p>
        <w:p w14:paraId="1BDD3785" w14:textId="77777777" w:rsidR="00EC7CE1" w:rsidRDefault="00EC7CE1">
          <w:pPr>
            <w:autoSpaceDE w:val="0"/>
            <w:autoSpaceDN w:val="0"/>
            <w:ind w:hanging="480"/>
            <w:divId w:val="248270625"/>
            <w:rPr>
              <w:rFonts w:eastAsia="Times New Roman"/>
            </w:rPr>
          </w:pPr>
          <w:r>
            <w:rPr>
              <w:rFonts w:eastAsia="Times New Roman"/>
            </w:rPr>
            <w:t xml:space="preserve">Bond, T., &amp; Fox, C. (2015). Applying the Rasch Model : Fundamental Measurement in the Human Sciences, Third Edition. </w:t>
          </w:r>
          <w:r>
            <w:rPr>
              <w:rFonts w:eastAsia="Times New Roman"/>
              <w:i/>
              <w:iCs/>
            </w:rPr>
            <w:t>Applying the Rasch Model</w:t>
          </w:r>
          <w:r>
            <w:rPr>
              <w:rFonts w:eastAsia="Times New Roman"/>
            </w:rPr>
            <w:t>. https://doi.org/10.4324/9781315814698</w:t>
          </w:r>
        </w:p>
        <w:p w14:paraId="10A7BD17" w14:textId="77777777" w:rsidR="00EC7CE1" w:rsidRDefault="00EC7CE1">
          <w:pPr>
            <w:autoSpaceDE w:val="0"/>
            <w:autoSpaceDN w:val="0"/>
            <w:ind w:hanging="480"/>
            <w:divId w:val="1035228702"/>
            <w:rPr>
              <w:rFonts w:eastAsia="Times New Roman"/>
            </w:rPr>
          </w:pPr>
          <w:r>
            <w:rPr>
              <w:rFonts w:eastAsia="Times New Roman"/>
            </w:rPr>
            <w:lastRenderedPageBreak/>
            <w:t xml:space="preserve">Bond, T. G., &amp; Fox, C. M. (2007). </w:t>
          </w:r>
          <w:r>
            <w:rPr>
              <w:rFonts w:eastAsia="Times New Roman"/>
              <w:i/>
              <w:iCs/>
            </w:rPr>
            <w:t>Applying the Rasch Model: Fundamental Measurement in the Human Sciences Second Edition</w:t>
          </w:r>
          <w:r>
            <w:rPr>
              <w:rFonts w:eastAsia="Times New Roman"/>
            </w:rPr>
            <w:t>. www.erlbaum.coOl</w:t>
          </w:r>
        </w:p>
        <w:p w14:paraId="0E0DD1AF" w14:textId="77777777" w:rsidR="00EC7CE1" w:rsidRDefault="00EC7CE1">
          <w:pPr>
            <w:autoSpaceDE w:val="0"/>
            <w:autoSpaceDN w:val="0"/>
            <w:ind w:hanging="480"/>
            <w:divId w:val="1570653700"/>
            <w:rPr>
              <w:rFonts w:eastAsia="Times New Roman"/>
            </w:rPr>
          </w:pPr>
          <w:r>
            <w:rPr>
              <w:rFonts w:eastAsia="Times New Roman"/>
            </w:rPr>
            <w:t xml:space="preserve">Bond, T. G., Yan, Z., &amp; Heene, M. (2020). Applying the </w:t>
          </w:r>
          <w:proofErr w:type="spellStart"/>
          <w:r>
            <w:rPr>
              <w:rFonts w:eastAsia="Times New Roman"/>
            </w:rPr>
            <w:t>rasch</w:t>
          </w:r>
          <w:proofErr w:type="spellEnd"/>
          <w:r>
            <w:rPr>
              <w:rFonts w:eastAsia="Times New Roman"/>
            </w:rPr>
            <w:t xml:space="preserve"> model: Fundamental measurement in the human sciences. </w:t>
          </w:r>
          <w:r>
            <w:rPr>
              <w:rFonts w:eastAsia="Times New Roman"/>
              <w:i/>
              <w:iCs/>
            </w:rPr>
            <w:t>Applying the Rasch Model: Fundamental Measurement in the Human Sciences</w:t>
          </w:r>
          <w:r>
            <w:rPr>
              <w:rFonts w:eastAsia="Times New Roman"/>
            </w:rPr>
            <w:t>, 1–348. https://doi.org/10.4324/9780429030499/APPLYING-RASCH-MODEL-TREVOR-BOND-ZI-YAN-MORITZ-HEENE</w:t>
          </w:r>
        </w:p>
        <w:p w14:paraId="4331CE23" w14:textId="77777777" w:rsidR="00EC7CE1" w:rsidRDefault="00EC7CE1">
          <w:pPr>
            <w:autoSpaceDE w:val="0"/>
            <w:autoSpaceDN w:val="0"/>
            <w:ind w:hanging="480"/>
            <w:divId w:val="629478056"/>
            <w:rPr>
              <w:rFonts w:eastAsia="Times New Roman"/>
            </w:rPr>
          </w:pPr>
          <w:r>
            <w:rPr>
              <w:rFonts w:eastAsia="Times New Roman"/>
            </w:rPr>
            <w:t xml:space="preserve">Boone, W. J., &amp; Staver, J. R. (2020). Advances in Rasch Analyses in the Human Sciences. </w:t>
          </w:r>
          <w:r>
            <w:rPr>
              <w:rFonts w:eastAsia="Times New Roman"/>
              <w:i/>
              <w:iCs/>
            </w:rPr>
            <w:t>Advances in Rasch Analyses in the Human Sciences</w:t>
          </w:r>
          <w:r>
            <w:rPr>
              <w:rFonts w:eastAsia="Times New Roman"/>
            </w:rPr>
            <w:t>. https://doi.org/10.1007/978-3-030-43420-5</w:t>
          </w:r>
        </w:p>
        <w:p w14:paraId="68BDEAF5" w14:textId="77777777" w:rsidR="00EC7CE1" w:rsidRDefault="00EC7CE1">
          <w:pPr>
            <w:autoSpaceDE w:val="0"/>
            <w:autoSpaceDN w:val="0"/>
            <w:ind w:hanging="480"/>
            <w:divId w:val="1410344900"/>
            <w:rPr>
              <w:rFonts w:eastAsia="Times New Roman"/>
            </w:rPr>
          </w:pPr>
          <w:r>
            <w:rPr>
              <w:rFonts w:eastAsia="Times New Roman"/>
            </w:rPr>
            <w:t xml:space="preserve">Boone, W. J., Yale, M. S., &amp; Staver, J. R. (2014). Rasch analysis in the human sciences. In </w:t>
          </w:r>
          <w:r>
            <w:rPr>
              <w:rFonts w:eastAsia="Times New Roman"/>
              <w:i/>
              <w:iCs/>
            </w:rPr>
            <w:t>Rasch Analysis in the Human Sciences</w:t>
          </w:r>
          <w:r>
            <w:rPr>
              <w:rFonts w:eastAsia="Times New Roman"/>
            </w:rPr>
            <w:t>. Springer Netherlands. https://doi.org/10.1007/978-94-007-6857-4</w:t>
          </w:r>
        </w:p>
        <w:p w14:paraId="58EB9577" w14:textId="77777777" w:rsidR="00EC7CE1" w:rsidRDefault="00EC7CE1">
          <w:pPr>
            <w:autoSpaceDE w:val="0"/>
            <w:autoSpaceDN w:val="0"/>
            <w:ind w:hanging="480"/>
            <w:divId w:val="440300289"/>
            <w:rPr>
              <w:rFonts w:eastAsia="Times New Roman"/>
            </w:rPr>
          </w:pPr>
          <w:r>
            <w:rPr>
              <w:rFonts w:eastAsia="Times New Roman"/>
            </w:rPr>
            <w:t xml:space="preserve">Bowman, E. S. (2006). Why conversion seizures should be classified as a dissociative disorder. </w:t>
          </w:r>
          <w:proofErr w:type="spellStart"/>
          <w:r>
            <w:rPr>
              <w:rFonts w:eastAsia="Times New Roman"/>
              <w:i/>
              <w:iCs/>
            </w:rPr>
            <w:t>Psychiatr</w:t>
          </w:r>
          <w:proofErr w:type="spellEnd"/>
          <w:r>
            <w:rPr>
              <w:rFonts w:eastAsia="Times New Roman"/>
              <w:i/>
              <w:iCs/>
            </w:rPr>
            <w:t xml:space="preserve"> Clin North Am</w:t>
          </w:r>
          <w:r>
            <w:rPr>
              <w:rFonts w:eastAsia="Times New Roman"/>
            </w:rPr>
            <w:t xml:space="preserve">, </w:t>
          </w:r>
          <w:r>
            <w:rPr>
              <w:rFonts w:eastAsia="Times New Roman"/>
              <w:i/>
              <w:iCs/>
            </w:rPr>
            <w:t>29</w:t>
          </w:r>
          <w:r>
            <w:rPr>
              <w:rFonts w:eastAsia="Times New Roman"/>
            </w:rPr>
            <w:t>(1), 185–211, x. https://doi.org/10.1016/j.psc.2005.10.003</w:t>
          </w:r>
        </w:p>
        <w:p w14:paraId="60D1D59D" w14:textId="77777777" w:rsidR="00EC7CE1" w:rsidRDefault="00EC7CE1">
          <w:pPr>
            <w:autoSpaceDE w:val="0"/>
            <w:autoSpaceDN w:val="0"/>
            <w:ind w:hanging="480"/>
            <w:divId w:val="436876100"/>
            <w:rPr>
              <w:rFonts w:eastAsia="Times New Roman"/>
            </w:rPr>
          </w:pPr>
          <w:r>
            <w:rPr>
              <w:rFonts w:eastAsia="Times New Roman"/>
            </w:rPr>
            <w:t xml:space="preserve">Breuer, J., &amp; Freud, S. (1895). Studies on Hysteria. In J. Strachey (Ed.), </w:t>
          </w:r>
          <w:r>
            <w:rPr>
              <w:rFonts w:eastAsia="Times New Roman"/>
              <w:i/>
              <w:iCs/>
            </w:rPr>
            <w:t>American Journal of Clinical Hypnosis: Vol. Vol.2, xxxii</w:t>
          </w:r>
          <w:r>
            <w:rPr>
              <w:rFonts w:eastAsia="Times New Roman"/>
            </w:rPr>
            <w:t xml:space="preserve"> (Issue 3). Hogarth Press. https://doi.org/10.1080/00029157.1996.10403343</w:t>
          </w:r>
        </w:p>
        <w:p w14:paraId="6CFCCAA3" w14:textId="77777777" w:rsidR="00EC7CE1" w:rsidRDefault="00EC7CE1">
          <w:pPr>
            <w:autoSpaceDE w:val="0"/>
            <w:autoSpaceDN w:val="0"/>
            <w:ind w:hanging="480"/>
            <w:divId w:val="1025711319"/>
            <w:rPr>
              <w:rFonts w:eastAsia="Times New Roman"/>
            </w:rPr>
          </w:pPr>
          <w:r>
            <w:rPr>
              <w:rFonts w:eastAsia="Times New Roman"/>
            </w:rPr>
            <w:t xml:space="preserve">Brown, R. J., &amp; Reuber, M. (2016a). Psychological and psychiatric aspects of psychogenic non-epileptic seizures (PNES): A systematic review. </w:t>
          </w:r>
          <w:r>
            <w:rPr>
              <w:rFonts w:eastAsia="Times New Roman"/>
              <w:i/>
              <w:iCs/>
            </w:rPr>
            <w:t>Clinical Psychology Review</w:t>
          </w:r>
          <w:r>
            <w:rPr>
              <w:rFonts w:eastAsia="Times New Roman"/>
            </w:rPr>
            <w:t xml:space="preserve">, </w:t>
          </w:r>
          <w:r>
            <w:rPr>
              <w:rFonts w:eastAsia="Times New Roman"/>
              <w:i/>
              <w:iCs/>
            </w:rPr>
            <w:t>45</w:t>
          </w:r>
          <w:r>
            <w:rPr>
              <w:rFonts w:eastAsia="Times New Roman"/>
            </w:rPr>
            <w:t>, 157–182. https://doi.org/10.1016/j.cpr.2016.01.003</w:t>
          </w:r>
        </w:p>
        <w:p w14:paraId="38F6D0EB" w14:textId="77777777" w:rsidR="00EC7CE1" w:rsidRDefault="00EC7CE1">
          <w:pPr>
            <w:autoSpaceDE w:val="0"/>
            <w:autoSpaceDN w:val="0"/>
            <w:ind w:hanging="480"/>
            <w:divId w:val="1794053219"/>
            <w:rPr>
              <w:rFonts w:eastAsia="Times New Roman"/>
            </w:rPr>
          </w:pPr>
          <w:r>
            <w:rPr>
              <w:rFonts w:eastAsia="Times New Roman"/>
            </w:rPr>
            <w:t xml:space="preserve">Brown, R. J., &amp; Reuber, M. (2016b). Towards an integrative theory of psychogenic non-epileptic seizures (PNES). </w:t>
          </w:r>
          <w:r>
            <w:rPr>
              <w:rFonts w:eastAsia="Times New Roman"/>
              <w:i/>
              <w:iCs/>
            </w:rPr>
            <w:t>Clinical Psychology Review</w:t>
          </w:r>
          <w:r>
            <w:rPr>
              <w:rFonts w:eastAsia="Times New Roman"/>
            </w:rPr>
            <w:t xml:space="preserve">, </w:t>
          </w:r>
          <w:r>
            <w:rPr>
              <w:rFonts w:eastAsia="Times New Roman"/>
              <w:i/>
              <w:iCs/>
            </w:rPr>
            <w:t>47</w:t>
          </w:r>
          <w:r>
            <w:rPr>
              <w:rFonts w:eastAsia="Times New Roman"/>
            </w:rPr>
            <w:t>, 55–70. https://doi.org/10.1016/J.CPR.2016.06.003</w:t>
          </w:r>
        </w:p>
        <w:p w14:paraId="6FB98B07" w14:textId="77777777" w:rsidR="00EC7CE1" w:rsidRDefault="00EC7CE1">
          <w:pPr>
            <w:autoSpaceDE w:val="0"/>
            <w:autoSpaceDN w:val="0"/>
            <w:ind w:hanging="480"/>
            <w:divId w:val="556673422"/>
            <w:rPr>
              <w:rFonts w:eastAsia="Times New Roman"/>
            </w:rPr>
          </w:pPr>
          <w:r>
            <w:rPr>
              <w:rFonts w:eastAsia="Times New Roman"/>
            </w:rPr>
            <w:t xml:space="preserve">Brown, T. (2015). </w:t>
          </w:r>
          <w:r>
            <w:rPr>
              <w:rFonts w:eastAsia="Times New Roman"/>
              <w:i/>
              <w:iCs/>
            </w:rPr>
            <w:t>Confirmatory factor analysis for applied research, 2nd ed.</w:t>
          </w:r>
          <w:r>
            <w:rPr>
              <w:rFonts w:eastAsia="Times New Roman"/>
            </w:rPr>
            <w:t xml:space="preserve"> (2nd ed.). Guildford Press.</w:t>
          </w:r>
        </w:p>
        <w:p w14:paraId="3C178C92" w14:textId="77777777" w:rsidR="00EC7CE1" w:rsidRDefault="00EC7CE1">
          <w:pPr>
            <w:autoSpaceDE w:val="0"/>
            <w:autoSpaceDN w:val="0"/>
            <w:ind w:hanging="480"/>
            <w:divId w:val="1170830491"/>
            <w:rPr>
              <w:rFonts w:eastAsia="Times New Roman"/>
            </w:rPr>
          </w:pPr>
          <w:r>
            <w:rPr>
              <w:rFonts w:eastAsia="Times New Roman"/>
            </w:rPr>
            <w:t xml:space="preserve">Bruce, J. M., Bruce, A. S., Lynch, S., </w:t>
          </w:r>
          <w:proofErr w:type="spellStart"/>
          <w:r>
            <w:rPr>
              <w:rFonts w:eastAsia="Times New Roman"/>
            </w:rPr>
            <w:t>Thelen</w:t>
          </w:r>
          <w:proofErr w:type="spellEnd"/>
          <w:r>
            <w:rPr>
              <w:rFonts w:eastAsia="Times New Roman"/>
            </w:rPr>
            <w:t xml:space="preserve">, J., Lim, S. L., Smith, J., </w:t>
          </w:r>
          <w:proofErr w:type="spellStart"/>
          <w:r>
            <w:rPr>
              <w:rFonts w:eastAsia="Times New Roman"/>
            </w:rPr>
            <w:t>Catley</w:t>
          </w:r>
          <w:proofErr w:type="spellEnd"/>
          <w:r>
            <w:rPr>
              <w:rFonts w:eastAsia="Times New Roman"/>
            </w:rPr>
            <w:t xml:space="preserve">, D., Reed, D. D., &amp; </w:t>
          </w:r>
          <w:proofErr w:type="spellStart"/>
          <w:r>
            <w:rPr>
              <w:rFonts w:eastAsia="Times New Roman"/>
            </w:rPr>
            <w:t>Jarmolowicz</w:t>
          </w:r>
          <w:proofErr w:type="spellEnd"/>
          <w:r>
            <w:rPr>
              <w:rFonts w:eastAsia="Times New Roman"/>
            </w:rPr>
            <w:t xml:space="preserve">, D. P. (2018). Probability discounting of treatment decisions in multiple sclerosis: associations with disease knowledge, neuropsychiatric status, and adherence. </w:t>
          </w:r>
          <w:r>
            <w:rPr>
              <w:rFonts w:eastAsia="Times New Roman"/>
              <w:i/>
              <w:iCs/>
            </w:rPr>
            <w:t>Psychopharmacology</w:t>
          </w:r>
          <w:r>
            <w:rPr>
              <w:rFonts w:eastAsia="Times New Roman"/>
            </w:rPr>
            <w:t xml:space="preserve">, </w:t>
          </w:r>
          <w:r>
            <w:rPr>
              <w:rFonts w:eastAsia="Times New Roman"/>
              <w:i/>
              <w:iCs/>
            </w:rPr>
            <w:t>235</w:t>
          </w:r>
          <w:r>
            <w:rPr>
              <w:rFonts w:eastAsia="Times New Roman"/>
            </w:rPr>
            <w:t>(11), 3303–3313. https://doi.org/10.1007/S00213-018-5037-Y</w:t>
          </w:r>
        </w:p>
        <w:p w14:paraId="6E788EC9" w14:textId="77777777" w:rsidR="00EC7CE1" w:rsidRDefault="00EC7CE1">
          <w:pPr>
            <w:autoSpaceDE w:val="0"/>
            <w:autoSpaceDN w:val="0"/>
            <w:ind w:hanging="480"/>
            <w:divId w:val="124084144"/>
            <w:rPr>
              <w:rFonts w:eastAsia="Times New Roman"/>
            </w:rPr>
          </w:pPr>
          <w:proofErr w:type="spellStart"/>
          <w:r>
            <w:rPr>
              <w:rFonts w:eastAsia="Times New Roman"/>
            </w:rPr>
            <w:t>Brugha</w:t>
          </w:r>
          <w:proofErr w:type="spellEnd"/>
          <w:r>
            <w:rPr>
              <w:rFonts w:eastAsia="Times New Roman"/>
            </w:rPr>
            <w:t xml:space="preserve">, T. S. (2010). Social Support. </w:t>
          </w:r>
          <w:r>
            <w:rPr>
              <w:rFonts w:eastAsia="Times New Roman"/>
              <w:i/>
              <w:iCs/>
            </w:rPr>
            <w:t>Principles of Social Psychiatry: Second Edition</w:t>
          </w:r>
          <w:r>
            <w:rPr>
              <w:rFonts w:eastAsia="Times New Roman"/>
            </w:rPr>
            <w:t>, 461–476. https://doi.org/10.1002/9780470684214.CH35</w:t>
          </w:r>
        </w:p>
        <w:p w14:paraId="220A9561" w14:textId="77777777" w:rsidR="00EC7CE1" w:rsidRDefault="00EC7CE1">
          <w:pPr>
            <w:autoSpaceDE w:val="0"/>
            <w:autoSpaceDN w:val="0"/>
            <w:ind w:hanging="480"/>
            <w:divId w:val="178392913"/>
            <w:rPr>
              <w:rFonts w:eastAsia="Times New Roman"/>
            </w:rPr>
          </w:pPr>
          <w:r>
            <w:rPr>
              <w:rFonts w:eastAsia="Times New Roman"/>
            </w:rPr>
            <w:lastRenderedPageBreak/>
            <w:t xml:space="preserve">Buhr, K., &amp; Dugas, M. J. (2002). The Intolerance of Uncertainty Scale: psychometric properties of the English version. </w:t>
          </w:r>
          <w:r>
            <w:rPr>
              <w:rFonts w:eastAsia="Times New Roman"/>
              <w:i/>
              <w:iCs/>
            </w:rPr>
            <w:t>Behaviour Research and Therapy</w:t>
          </w:r>
          <w:r>
            <w:rPr>
              <w:rFonts w:eastAsia="Times New Roman"/>
            </w:rPr>
            <w:t xml:space="preserve">, </w:t>
          </w:r>
          <w:r>
            <w:rPr>
              <w:rFonts w:eastAsia="Times New Roman"/>
              <w:i/>
              <w:iCs/>
            </w:rPr>
            <w:t>40</w:t>
          </w:r>
          <w:r>
            <w:rPr>
              <w:rFonts w:eastAsia="Times New Roman"/>
            </w:rPr>
            <w:t>(8), 931–945. https://doi.org/10.1016/S0005-7967(01)00092-4</w:t>
          </w:r>
        </w:p>
        <w:p w14:paraId="0B11747F" w14:textId="77777777" w:rsidR="00EC7CE1" w:rsidRDefault="00EC7CE1">
          <w:pPr>
            <w:autoSpaceDE w:val="0"/>
            <w:autoSpaceDN w:val="0"/>
            <w:ind w:hanging="480"/>
            <w:divId w:val="461655677"/>
            <w:rPr>
              <w:rFonts w:eastAsia="Times New Roman"/>
            </w:rPr>
          </w:pPr>
          <w:proofErr w:type="spellStart"/>
          <w:r>
            <w:rPr>
              <w:rFonts w:eastAsia="Times New Roman"/>
            </w:rPr>
            <w:t>Busner</w:t>
          </w:r>
          <w:proofErr w:type="spellEnd"/>
          <w:r>
            <w:rPr>
              <w:rFonts w:eastAsia="Times New Roman"/>
            </w:rPr>
            <w:t xml:space="preserve">, J., &amp; Targum, S. D. (2007). The Clinical Global Impressions Scale: Applying a Research Tool in Clinical Practice. </w:t>
          </w:r>
          <w:r>
            <w:rPr>
              <w:rFonts w:eastAsia="Times New Roman"/>
              <w:i/>
              <w:iCs/>
            </w:rPr>
            <w:t>Psychiatry (</w:t>
          </w:r>
          <w:proofErr w:type="spellStart"/>
          <w:r>
            <w:rPr>
              <w:rFonts w:eastAsia="Times New Roman"/>
              <w:i/>
              <w:iCs/>
            </w:rPr>
            <w:t>Edgmont</w:t>
          </w:r>
          <w:proofErr w:type="spellEnd"/>
          <w:r>
            <w:rPr>
              <w:rFonts w:eastAsia="Times New Roman"/>
              <w:i/>
              <w:iCs/>
            </w:rPr>
            <w:t>)</w:t>
          </w:r>
          <w:r>
            <w:rPr>
              <w:rFonts w:eastAsia="Times New Roman"/>
            </w:rPr>
            <w:t xml:space="preserve">, </w:t>
          </w:r>
          <w:r>
            <w:rPr>
              <w:rFonts w:eastAsia="Times New Roman"/>
              <w:i/>
              <w:iCs/>
            </w:rPr>
            <w:t>4</w:t>
          </w:r>
          <w:r>
            <w:rPr>
              <w:rFonts w:eastAsia="Times New Roman"/>
            </w:rPr>
            <w:t>(7), 28. /</w:t>
          </w:r>
          <w:proofErr w:type="spellStart"/>
          <w:r>
            <w:rPr>
              <w:rFonts w:eastAsia="Times New Roman"/>
            </w:rPr>
            <w:t>pmc</w:t>
          </w:r>
          <w:proofErr w:type="spellEnd"/>
          <w:r>
            <w:rPr>
              <w:rFonts w:eastAsia="Times New Roman"/>
            </w:rPr>
            <w:t>/articles/PMC2880930/</w:t>
          </w:r>
        </w:p>
        <w:p w14:paraId="37AEDFD7" w14:textId="77777777" w:rsidR="00EC7CE1" w:rsidRDefault="00EC7CE1">
          <w:pPr>
            <w:autoSpaceDE w:val="0"/>
            <w:autoSpaceDN w:val="0"/>
            <w:ind w:hanging="480"/>
            <w:divId w:val="747192680"/>
            <w:rPr>
              <w:rFonts w:eastAsia="Times New Roman"/>
            </w:rPr>
          </w:pPr>
          <w:r>
            <w:rPr>
              <w:rFonts w:eastAsia="Times New Roman"/>
            </w:rPr>
            <w:t xml:space="preserve">Butler, M., Shipston-Sharman, O., </w:t>
          </w:r>
          <w:proofErr w:type="spellStart"/>
          <w:r>
            <w:rPr>
              <w:rFonts w:eastAsia="Times New Roman"/>
            </w:rPr>
            <w:t>Seynaeve</w:t>
          </w:r>
          <w:proofErr w:type="spellEnd"/>
          <w:r>
            <w:rPr>
              <w:rFonts w:eastAsia="Times New Roman"/>
            </w:rPr>
            <w:t>, M., Bao, J., Pick, S., Bradley-</w:t>
          </w:r>
          <w:proofErr w:type="spellStart"/>
          <w:r>
            <w:rPr>
              <w:rFonts w:eastAsia="Times New Roman"/>
            </w:rPr>
            <w:t>Westguard</w:t>
          </w:r>
          <w:proofErr w:type="spellEnd"/>
          <w:r>
            <w:rPr>
              <w:rFonts w:eastAsia="Times New Roman"/>
            </w:rPr>
            <w:t xml:space="preserve">, A., </w:t>
          </w:r>
          <w:proofErr w:type="spellStart"/>
          <w:r>
            <w:rPr>
              <w:rFonts w:eastAsia="Times New Roman"/>
            </w:rPr>
            <w:t>Ilola</w:t>
          </w:r>
          <w:proofErr w:type="spellEnd"/>
          <w:r>
            <w:rPr>
              <w:rFonts w:eastAsia="Times New Roman"/>
            </w:rPr>
            <w:t xml:space="preserve">, E., </w:t>
          </w:r>
          <w:proofErr w:type="spellStart"/>
          <w:r>
            <w:rPr>
              <w:rFonts w:eastAsia="Times New Roman"/>
            </w:rPr>
            <w:t>Mildon</w:t>
          </w:r>
          <w:proofErr w:type="spellEnd"/>
          <w:r>
            <w:rPr>
              <w:rFonts w:eastAsia="Times New Roman"/>
            </w:rPr>
            <w:t xml:space="preserve">, B., Golder, D., Rucker, J., Stone, J., &amp; Nicholson, T. (2021). International online survey of 1048 individuals with functional neurological disorder. </w:t>
          </w:r>
          <w:r>
            <w:rPr>
              <w:rFonts w:eastAsia="Times New Roman"/>
              <w:i/>
              <w:iCs/>
            </w:rPr>
            <w:t>European Journal of Neurology</w:t>
          </w:r>
          <w:r>
            <w:rPr>
              <w:rFonts w:eastAsia="Times New Roman"/>
            </w:rPr>
            <w:t xml:space="preserve">, </w:t>
          </w:r>
          <w:r>
            <w:rPr>
              <w:rFonts w:eastAsia="Times New Roman"/>
              <w:i/>
              <w:iCs/>
            </w:rPr>
            <w:t>28</w:t>
          </w:r>
          <w:r>
            <w:rPr>
              <w:rFonts w:eastAsia="Times New Roman"/>
            </w:rPr>
            <w:t>(11), 3591–3602. https://doi.org/10.1111/ENE.15018</w:t>
          </w:r>
        </w:p>
        <w:p w14:paraId="4ACDFB52" w14:textId="77777777" w:rsidR="00EC7CE1" w:rsidRDefault="00EC7CE1">
          <w:pPr>
            <w:autoSpaceDE w:val="0"/>
            <w:autoSpaceDN w:val="0"/>
            <w:ind w:hanging="480"/>
            <w:divId w:val="1394505505"/>
            <w:rPr>
              <w:rFonts w:eastAsia="Times New Roman"/>
            </w:rPr>
          </w:pPr>
          <w:r>
            <w:rPr>
              <w:rFonts w:eastAsia="Times New Roman"/>
            </w:rPr>
            <w:t xml:space="preserve">Byrne, P. (2000). </w:t>
          </w:r>
          <w:r>
            <w:rPr>
              <w:rFonts w:eastAsia="Times New Roman"/>
              <w:i/>
              <w:iCs/>
            </w:rPr>
            <w:t>Stigma of mental illness and ways of diminishing it</w:t>
          </w:r>
          <w:r>
            <w:rPr>
              <w:rFonts w:eastAsia="Times New Roman"/>
            </w:rPr>
            <w:t xml:space="preserve">. </w:t>
          </w:r>
          <w:r>
            <w:rPr>
              <w:rFonts w:eastAsia="Times New Roman"/>
              <w:i/>
              <w:iCs/>
            </w:rPr>
            <w:t>6</w:t>
          </w:r>
          <w:r>
            <w:rPr>
              <w:rFonts w:eastAsia="Times New Roman"/>
            </w:rPr>
            <w:t>, 65–72.</w:t>
          </w:r>
        </w:p>
        <w:p w14:paraId="5B2F45D0" w14:textId="77777777" w:rsidR="00EC7CE1" w:rsidRDefault="00EC7CE1">
          <w:pPr>
            <w:autoSpaceDE w:val="0"/>
            <w:autoSpaceDN w:val="0"/>
            <w:ind w:hanging="480"/>
            <w:divId w:val="1548756601"/>
            <w:rPr>
              <w:rFonts w:eastAsia="Times New Roman"/>
            </w:rPr>
          </w:pPr>
          <w:r>
            <w:rPr>
              <w:rFonts w:eastAsia="Times New Roman"/>
            </w:rPr>
            <w:t xml:space="preserve">Cabrera-Nguyen, P. (2010). Author Guidelines for Reporting Scale Development and Validation Results in the Journal of the Society for Social Work and Research. </w:t>
          </w:r>
          <w:r>
            <w:rPr>
              <w:rFonts w:eastAsia="Times New Roman"/>
              <w:i/>
              <w:iCs/>
            </w:rPr>
            <w:t>Https://Doi.Org/10.5243/Jsswr.2010.8</w:t>
          </w:r>
          <w:r>
            <w:rPr>
              <w:rFonts w:eastAsia="Times New Roman"/>
            </w:rPr>
            <w:t xml:space="preserve">, </w:t>
          </w:r>
          <w:r>
            <w:rPr>
              <w:rFonts w:eastAsia="Times New Roman"/>
              <w:i/>
              <w:iCs/>
            </w:rPr>
            <w:t>1</w:t>
          </w:r>
          <w:r>
            <w:rPr>
              <w:rFonts w:eastAsia="Times New Roman"/>
            </w:rPr>
            <w:t>(2), 99–103. https://doi.org/10.5243/JSSWR.2010.8</w:t>
          </w:r>
        </w:p>
        <w:p w14:paraId="3F963246" w14:textId="77777777" w:rsidR="00EC7CE1" w:rsidRDefault="00EC7CE1">
          <w:pPr>
            <w:autoSpaceDE w:val="0"/>
            <w:autoSpaceDN w:val="0"/>
            <w:ind w:hanging="480"/>
            <w:divId w:val="2027318797"/>
            <w:rPr>
              <w:rFonts w:eastAsia="Times New Roman"/>
            </w:rPr>
          </w:pPr>
          <w:r>
            <w:rPr>
              <w:rFonts w:eastAsia="Times New Roman"/>
            </w:rPr>
            <w:t xml:space="preserve">Cameron, O. G. (2002). Visceral sensory neuroscience: Interoception. In </w:t>
          </w:r>
          <w:r>
            <w:rPr>
              <w:rFonts w:eastAsia="Times New Roman"/>
              <w:i/>
              <w:iCs/>
            </w:rPr>
            <w:t>Visceral sensory neuroscience: Interoception.</w:t>
          </w:r>
          <w:r>
            <w:rPr>
              <w:rFonts w:eastAsia="Times New Roman"/>
            </w:rPr>
            <w:t xml:space="preserve"> Oxford University Press.</w:t>
          </w:r>
        </w:p>
        <w:p w14:paraId="00138EFC" w14:textId="77777777" w:rsidR="00EC7CE1" w:rsidRDefault="00EC7CE1">
          <w:pPr>
            <w:autoSpaceDE w:val="0"/>
            <w:autoSpaceDN w:val="0"/>
            <w:ind w:hanging="480"/>
            <w:divId w:val="199632418"/>
            <w:rPr>
              <w:rFonts w:eastAsia="Times New Roman"/>
            </w:rPr>
          </w:pPr>
          <w:r>
            <w:rPr>
              <w:rFonts w:eastAsia="Times New Roman"/>
            </w:rPr>
            <w:t xml:space="preserve">Campbell, L., Norcross, J., Vasquez, M., &amp; </w:t>
          </w:r>
          <w:proofErr w:type="spellStart"/>
          <w:r>
            <w:rPr>
              <w:rFonts w:eastAsia="Times New Roman"/>
            </w:rPr>
            <w:t>Kaslow</w:t>
          </w:r>
          <w:proofErr w:type="spellEnd"/>
          <w:r>
            <w:rPr>
              <w:rFonts w:eastAsia="Times New Roman"/>
            </w:rPr>
            <w:t xml:space="preserve">, N. (2013). Recognition of Psychotherapy Effectiveness: The APA Resolution. </w:t>
          </w:r>
          <w:r>
            <w:rPr>
              <w:rFonts w:eastAsia="Times New Roman"/>
              <w:i/>
              <w:iCs/>
            </w:rPr>
            <w:t>Psychotherapy (Chicago, Ill.)</w:t>
          </w:r>
          <w:r>
            <w:rPr>
              <w:rFonts w:eastAsia="Times New Roman"/>
            </w:rPr>
            <w:t xml:space="preserve">, </w:t>
          </w:r>
          <w:r>
            <w:rPr>
              <w:rFonts w:eastAsia="Times New Roman"/>
              <w:i/>
              <w:iCs/>
            </w:rPr>
            <w:t>50</w:t>
          </w:r>
          <w:r>
            <w:rPr>
              <w:rFonts w:eastAsia="Times New Roman"/>
            </w:rPr>
            <w:t>, 98–101. https://doi.org/10.1037/a0031817</w:t>
          </w:r>
        </w:p>
        <w:p w14:paraId="09610E13" w14:textId="77777777" w:rsidR="00EC7CE1" w:rsidRDefault="00EC7CE1">
          <w:pPr>
            <w:autoSpaceDE w:val="0"/>
            <w:autoSpaceDN w:val="0"/>
            <w:ind w:hanging="480"/>
            <w:divId w:val="1765177373"/>
            <w:rPr>
              <w:rFonts w:eastAsia="Times New Roman"/>
            </w:rPr>
          </w:pPr>
          <w:r>
            <w:rPr>
              <w:rFonts w:eastAsia="Times New Roman"/>
            </w:rPr>
            <w:t xml:space="preserve">Carlson, P., &amp; Nicholson, K. (2017). Psychological interventions for psychogenic non-epileptic seizures: A meta-analysis. </w:t>
          </w:r>
          <w:r>
            <w:rPr>
              <w:rFonts w:eastAsia="Times New Roman"/>
              <w:i/>
              <w:iCs/>
            </w:rPr>
            <w:t>Seizure</w:t>
          </w:r>
          <w:r>
            <w:rPr>
              <w:rFonts w:eastAsia="Times New Roman"/>
            </w:rPr>
            <w:t xml:space="preserve">, </w:t>
          </w:r>
          <w:r>
            <w:rPr>
              <w:rFonts w:eastAsia="Times New Roman"/>
              <w:i/>
              <w:iCs/>
            </w:rPr>
            <w:t>45</w:t>
          </w:r>
          <w:r>
            <w:rPr>
              <w:rFonts w:eastAsia="Times New Roman"/>
            </w:rPr>
            <w:t>, 142–150. https://doi.org/10.1016/j.seizure.2016.12.007</w:t>
          </w:r>
        </w:p>
        <w:p w14:paraId="6B65AF0A" w14:textId="77777777" w:rsidR="00EC7CE1" w:rsidRDefault="00EC7CE1">
          <w:pPr>
            <w:autoSpaceDE w:val="0"/>
            <w:autoSpaceDN w:val="0"/>
            <w:ind w:hanging="480"/>
            <w:divId w:val="269776276"/>
            <w:rPr>
              <w:rFonts w:eastAsia="Times New Roman"/>
            </w:rPr>
          </w:pPr>
          <w:r>
            <w:rPr>
              <w:rFonts w:eastAsia="Times New Roman"/>
            </w:rPr>
            <w:t xml:space="preserve">Carson, A. J., Brown, R., David, A. S., Duncan, R., Edwards, M. J., Goldstein, L. H., Grunewald, R., Howlett, S., Kanaan, R., Mellers, J., Nicholson, T. R., Reuber, M., </w:t>
          </w:r>
          <w:proofErr w:type="spellStart"/>
          <w:r>
            <w:rPr>
              <w:rFonts w:eastAsia="Times New Roman"/>
            </w:rPr>
            <w:t>Schrag</w:t>
          </w:r>
          <w:proofErr w:type="spellEnd"/>
          <w:r>
            <w:rPr>
              <w:rFonts w:eastAsia="Times New Roman"/>
            </w:rPr>
            <w:t xml:space="preserve">, A. E., Stone, J., &amp; </w:t>
          </w:r>
          <w:proofErr w:type="spellStart"/>
          <w:r>
            <w:rPr>
              <w:rFonts w:eastAsia="Times New Roman"/>
            </w:rPr>
            <w:t>Voon</w:t>
          </w:r>
          <w:proofErr w:type="spellEnd"/>
          <w:r>
            <w:rPr>
              <w:rFonts w:eastAsia="Times New Roman"/>
            </w:rPr>
            <w:t xml:space="preserve">, V. (2012a). Functional (conversion) neurological symptoms: research since the millennium. </w:t>
          </w:r>
          <w:r>
            <w:rPr>
              <w:rFonts w:eastAsia="Times New Roman"/>
              <w:i/>
              <w:iCs/>
            </w:rPr>
            <w:t>Journal of Neurology, Neurosurgery &amp; Psychiatry</w:t>
          </w:r>
          <w:r>
            <w:rPr>
              <w:rFonts w:eastAsia="Times New Roman"/>
            </w:rPr>
            <w:t xml:space="preserve">, </w:t>
          </w:r>
          <w:r>
            <w:rPr>
              <w:rFonts w:eastAsia="Times New Roman"/>
              <w:i/>
              <w:iCs/>
            </w:rPr>
            <w:t>83</w:t>
          </w:r>
          <w:r>
            <w:rPr>
              <w:rFonts w:eastAsia="Times New Roman"/>
            </w:rPr>
            <w:t>(8), 842–850. https://doi.org/10.1136/JNNP-2011-301860</w:t>
          </w:r>
        </w:p>
        <w:p w14:paraId="36F90CB6" w14:textId="77777777" w:rsidR="00EC7CE1" w:rsidRDefault="00EC7CE1">
          <w:pPr>
            <w:autoSpaceDE w:val="0"/>
            <w:autoSpaceDN w:val="0"/>
            <w:ind w:hanging="480"/>
            <w:divId w:val="1777097747"/>
            <w:rPr>
              <w:rFonts w:eastAsia="Times New Roman"/>
            </w:rPr>
          </w:pPr>
          <w:r>
            <w:rPr>
              <w:rFonts w:eastAsia="Times New Roman"/>
            </w:rPr>
            <w:t xml:space="preserve">Carson, A. J., Brown, R., David, A. S., Duncan, R., Edwards, M. J., Goldstein, L. H., Grunewald, R., Howlett, S., Kanaan, R., Mellers, J., Nicholson, T. R., Reuber, M., </w:t>
          </w:r>
          <w:proofErr w:type="spellStart"/>
          <w:r>
            <w:rPr>
              <w:rFonts w:eastAsia="Times New Roman"/>
            </w:rPr>
            <w:t>Schrag</w:t>
          </w:r>
          <w:proofErr w:type="spellEnd"/>
          <w:r>
            <w:rPr>
              <w:rFonts w:eastAsia="Times New Roman"/>
            </w:rPr>
            <w:t xml:space="preserve">, A. E., Stone, J., &amp; </w:t>
          </w:r>
          <w:proofErr w:type="spellStart"/>
          <w:r>
            <w:rPr>
              <w:rFonts w:eastAsia="Times New Roman"/>
            </w:rPr>
            <w:t>Voon</w:t>
          </w:r>
          <w:proofErr w:type="spellEnd"/>
          <w:r>
            <w:rPr>
              <w:rFonts w:eastAsia="Times New Roman"/>
            </w:rPr>
            <w:t xml:space="preserve">, V. (2012b). Functional (conversion) neurological symptoms: research since the millennium. </w:t>
          </w:r>
          <w:r>
            <w:rPr>
              <w:rFonts w:eastAsia="Times New Roman"/>
              <w:i/>
              <w:iCs/>
            </w:rPr>
            <w:t xml:space="preserve">J </w:t>
          </w:r>
          <w:proofErr w:type="spellStart"/>
          <w:r>
            <w:rPr>
              <w:rFonts w:eastAsia="Times New Roman"/>
              <w:i/>
              <w:iCs/>
            </w:rPr>
            <w:t>Neurol</w:t>
          </w:r>
          <w:proofErr w:type="spellEnd"/>
          <w:r>
            <w:rPr>
              <w:rFonts w:eastAsia="Times New Roman"/>
              <w:i/>
              <w:iCs/>
            </w:rPr>
            <w:t xml:space="preserve"> </w:t>
          </w:r>
          <w:proofErr w:type="spellStart"/>
          <w:r>
            <w:rPr>
              <w:rFonts w:eastAsia="Times New Roman"/>
              <w:i/>
              <w:iCs/>
            </w:rPr>
            <w:t>Neurosurg</w:t>
          </w:r>
          <w:proofErr w:type="spellEnd"/>
          <w:r>
            <w:rPr>
              <w:rFonts w:eastAsia="Times New Roman"/>
              <w:i/>
              <w:iCs/>
            </w:rPr>
            <w:t xml:space="preserve"> Psychiatry</w:t>
          </w:r>
          <w:r>
            <w:rPr>
              <w:rFonts w:eastAsia="Times New Roman"/>
            </w:rPr>
            <w:t xml:space="preserve">, </w:t>
          </w:r>
          <w:r>
            <w:rPr>
              <w:rFonts w:eastAsia="Times New Roman"/>
              <w:i/>
              <w:iCs/>
            </w:rPr>
            <w:t>83</w:t>
          </w:r>
          <w:r>
            <w:rPr>
              <w:rFonts w:eastAsia="Times New Roman"/>
            </w:rPr>
            <w:t>(8), 842–850. https://doi.org/10.1136/jnnp-2011-301860</w:t>
          </w:r>
        </w:p>
        <w:p w14:paraId="0B69701F" w14:textId="77777777" w:rsidR="00EC7CE1" w:rsidRDefault="00EC7CE1">
          <w:pPr>
            <w:autoSpaceDE w:val="0"/>
            <w:autoSpaceDN w:val="0"/>
            <w:ind w:hanging="480"/>
            <w:divId w:val="1597246575"/>
            <w:rPr>
              <w:rFonts w:eastAsia="Times New Roman"/>
            </w:rPr>
          </w:pPr>
          <w:r>
            <w:rPr>
              <w:rFonts w:eastAsia="Times New Roman"/>
            </w:rPr>
            <w:lastRenderedPageBreak/>
            <w:t xml:space="preserve">Carson, A., &amp; Lehn, A. (2016). Epidemiology. </w:t>
          </w:r>
          <w:r>
            <w:rPr>
              <w:rFonts w:eastAsia="Times New Roman"/>
              <w:i/>
              <w:iCs/>
            </w:rPr>
            <w:t>Handbook of Clinical Neurology</w:t>
          </w:r>
          <w:r>
            <w:rPr>
              <w:rFonts w:eastAsia="Times New Roman"/>
            </w:rPr>
            <w:t xml:space="preserve">, </w:t>
          </w:r>
          <w:r>
            <w:rPr>
              <w:rFonts w:eastAsia="Times New Roman"/>
              <w:i/>
              <w:iCs/>
            </w:rPr>
            <w:t>139</w:t>
          </w:r>
          <w:r>
            <w:rPr>
              <w:rFonts w:eastAsia="Times New Roman"/>
            </w:rPr>
            <w:t>, 47–60. https://doi.org/10.1016/B978-0-12-801772-2.00005-9</w:t>
          </w:r>
        </w:p>
        <w:p w14:paraId="66FF0C1B" w14:textId="77777777" w:rsidR="00EC7CE1" w:rsidRDefault="00EC7CE1">
          <w:pPr>
            <w:autoSpaceDE w:val="0"/>
            <w:autoSpaceDN w:val="0"/>
            <w:ind w:hanging="480"/>
            <w:divId w:val="446392939"/>
            <w:rPr>
              <w:rFonts w:eastAsia="Times New Roman"/>
            </w:rPr>
          </w:pPr>
          <w:r>
            <w:rPr>
              <w:rFonts w:eastAsia="Times New Roman"/>
            </w:rPr>
            <w:t xml:space="preserve">Carson, A., Stone, J., Hibberd, C., Murray, G., Duncan, R., Coleman, R., </w:t>
          </w:r>
          <w:proofErr w:type="spellStart"/>
          <w:r>
            <w:rPr>
              <w:rFonts w:eastAsia="Times New Roman"/>
            </w:rPr>
            <w:t>Warlow</w:t>
          </w:r>
          <w:proofErr w:type="spellEnd"/>
          <w:r>
            <w:rPr>
              <w:rFonts w:eastAsia="Times New Roman"/>
            </w:rPr>
            <w:t xml:space="preserve">, C., Roberts, R., Pelosi, A., Cavanagh, J., Matthews, K., </w:t>
          </w:r>
          <w:proofErr w:type="spellStart"/>
          <w:r>
            <w:rPr>
              <w:rFonts w:eastAsia="Times New Roman"/>
            </w:rPr>
            <w:t>Goldbeck</w:t>
          </w:r>
          <w:proofErr w:type="spellEnd"/>
          <w:r>
            <w:rPr>
              <w:rFonts w:eastAsia="Times New Roman"/>
            </w:rPr>
            <w:t xml:space="preserve">, R., Hansen, C., &amp; Sharpe, M. (2011). Disability, distress and unemployment in neurology outpatients with symptoms “unexplained by organic disease.” </w:t>
          </w:r>
          <w:r>
            <w:rPr>
              <w:rFonts w:eastAsia="Times New Roman"/>
              <w:i/>
              <w:iCs/>
            </w:rPr>
            <w:t xml:space="preserve">J </w:t>
          </w:r>
          <w:proofErr w:type="spellStart"/>
          <w:r>
            <w:rPr>
              <w:rFonts w:eastAsia="Times New Roman"/>
              <w:i/>
              <w:iCs/>
            </w:rPr>
            <w:t>Neurol</w:t>
          </w:r>
          <w:proofErr w:type="spellEnd"/>
          <w:r>
            <w:rPr>
              <w:rFonts w:eastAsia="Times New Roman"/>
              <w:i/>
              <w:iCs/>
            </w:rPr>
            <w:t xml:space="preserve"> </w:t>
          </w:r>
          <w:proofErr w:type="spellStart"/>
          <w:r>
            <w:rPr>
              <w:rFonts w:eastAsia="Times New Roman"/>
              <w:i/>
              <w:iCs/>
            </w:rPr>
            <w:t>Neurosurg</w:t>
          </w:r>
          <w:proofErr w:type="spellEnd"/>
          <w:r>
            <w:rPr>
              <w:rFonts w:eastAsia="Times New Roman"/>
              <w:i/>
              <w:iCs/>
            </w:rPr>
            <w:t xml:space="preserve"> Psychiatry</w:t>
          </w:r>
          <w:r>
            <w:rPr>
              <w:rFonts w:eastAsia="Times New Roman"/>
            </w:rPr>
            <w:t xml:space="preserve">, </w:t>
          </w:r>
          <w:r>
            <w:rPr>
              <w:rFonts w:eastAsia="Times New Roman"/>
              <w:i/>
              <w:iCs/>
            </w:rPr>
            <w:t>82</w:t>
          </w:r>
          <w:r>
            <w:rPr>
              <w:rFonts w:eastAsia="Times New Roman"/>
            </w:rPr>
            <w:t>(7), 810–813. https://doi.org/10.1136/jnnp.2010.220640</w:t>
          </w:r>
        </w:p>
        <w:p w14:paraId="61806683" w14:textId="77777777" w:rsidR="00EC7CE1" w:rsidRDefault="00EC7CE1">
          <w:pPr>
            <w:autoSpaceDE w:val="0"/>
            <w:autoSpaceDN w:val="0"/>
            <w:ind w:hanging="480"/>
            <w:divId w:val="1100834741"/>
            <w:rPr>
              <w:rFonts w:eastAsia="Times New Roman"/>
            </w:rPr>
          </w:pPr>
          <w:proofErr w:type="spellStart"/>
          <w:r>
            <w:rPr>
              <w:rFonts w:eastAsia="Times New Roman"/>
            </w:rPr>
            <w:t>Castelnuovo</w:t>
          </w:r>
          <w:proofErr w:type="spellEnd"/>
          <w:r>
            <w:rPr>
              <w:rFonts w:eastAsia="Times New Roman"/>
            </w:rPr>
            <w:t xml:space="preserve">, G. (2010). Empirically supported treatments in psychotherapy: towards an evidence-based or evidence-biased psychology in clinical settings? </w:t>
          </w:r>
          <w:r>
            <w:rPr>
              <w:rFonts w:eastAsia="Times New Roman"/>
              <w:i/>
              <w:iCs/>
            </w:rPr>
            <w:t>Frontiers in Psychology</w:t>
          </w:r>
          <w:r>
            <w:rPr>
              <w:rFonts w:eastAsia="Times New Roman"/>
            </w:rPr>
            <w:t xml:space="preserve">, </w:t>
          </w:r>
          <w:r>
            <w:rPr>
              <w:rFonts w:eastAsia="Times New Roman"/>
              <w:i/>
              <w:iCs/>
            </w:rPr>
            <w:t>1</w:t>
          </w:r>
          <w:r>
            <w:rPr>
              <w:rFonts w:eastAsia="Times New Roman"/>
            </w:rPr>
            <w:t>, 27. https://doi.org/10.3389/fpsyg.2010.00027</w:t>
          </w:r>
        </w:p>
        <w:p w14:paraId="15E98F5A" w14:textId="77777777" w:rsidR="00EC7CE1" w:rsidRDefault="00EC7CE1">
          <w:pPr>
            <w:autoSpaceDE w:val="0"/>
            <w:autoSpaceDN w:val="0"/>
            <w:ind w:hanging="480"/>
            <w:divId w:val="846286276"/>
            <w:rPr>
              <w:rFonts w:eastAsia="Times New Roman"/>
            </w:rPr>
          </w:pPr>
          <w:r>
            <w:rPr>
              <w:rFonts w:eastAsia="Times New Roman"/>
            </w:rPr>
            <w:t xml:space="preserve">Cattell, R. B. (1966). The Scree Test For The Number Of Factors. </w:t>
          </w:r>
          <w:r>
            <w:rPr>
              <w:rFonts w:eastAsia="Times New Roman"/>
              <w:i/>
              <w:iCs/>
            </w:rPr>
            <w:t xml:space="preserve">Multivariate </w:t>
          </w:r>
          <w:proofErr w:type="spellStart"/>
          <w:r>
            <w:rPr>
              <w:rFonts w:eastAsia="Times New Roman"/>
              <w:i/>
              <w:iCs/>
            </w:rPr>
            <w:t>Behavioral</w:t>
          </w:r>
          <w:proofErr w:type="spellEnd"/>
          <w:r>
            <w:rPr>
              <w:rFonts w:eastAsia="Times New Roman"/>
              <w:i/>
              <w:iCs/>
            </w:rPr>
            <w:t xml:space="preserve"> Research</w:t>
          </w:r>
          <w:r>
            <w:rPr>
              <w:rFonts w:eastAsia="Times New Roman"/>
            </w:rPr>
            <w:t xml:space="preserve">, </w:t>
          </w:r>
          <w:r>
            <w:rPr>
              <w:rFonts w:eastAsia="Times New Roman"/>
              <w:i/>
              <w:iCs/>
            </w:rPr>
            <w:t>1</w:t>
          </w:r>
          <w:r>
            <w:rPr>
              <w:rFonts w:eastAsia="Times New Roman"/>
            </w:rPr>
            <w:t>(2), 245–276. https://doi.org/10.1207/s15327906mbr0102_10</w:t>
          </w:r>
        </w:p>
        <w:p w14:paraId="3C2D286B" w14:textId="77777777" w:rsidR="00EC7CE1" w:rsidRDefault="00EC7CE1">
          <w:pPr>
            <w:autoSpaceDE w:val="0"/>
            <w:autoSpaceDN w:val="0"/>
            <w:ind w:hanging="480"/>
            <w:divId w:val="1765224179"/>
            <w:rPr>
              <w:rFonts w:eastAsia="Times New Roman"/>
            </w:rPr>
          </w:pPr>
          <w:proofErr w:type="spellStart"/>
          <w:r>
            <w:rPr>
              <w:rFonts w:eastAsia="Times New Roman"/>
            </w:rPr>
            <w:t>Cella</w:t>
          </w:r>
          <w:proofErr w:type="spellEnd"/>
          <w:r>
            <w:rPr>
              <w:rFonts w:eastAsia="Times New Roman"/>
            </w:rPr>
            <w:t xml:space="preserve">, D., Riley, W., Stone, A., Rothrock, N., Reeve, B., </w:t>
          </w:r>
          <w:proofErr w:type="spellStart"/>
          <w:r>
            <w:rPr>
              <w:rFonts w:eastAsia="Times New Roman"/>
            </w:rPr>
            <w:t>Yount</w:t>
          </w:r>
          <w:proofErr w:type="spellEnd"/>
          <w:r>
            <w:rPr>
              <w:rFonts w:eastAsia="Times New Roman"/>
            </w:rPr>
            <w:t xml:space="preserve">, S., </w:t>
          </w:r>
          <w:proofErr w:type="spellStart"/>
          <w:r>
            <w:rPr>
              <w:rFonts w:eastAsia="Times New Roman"/>
            </w:rPr>
            <w:t>Amtmann</w:t>
          </w:r>
          <w:proofErr w:type="spellEnd"/>
          <w:r>
            <w:rPr>
              <w:rFonts w:eastAsia="Times New Roman"/>
            </w:rPr>
            <w:t xml:space="preserve">, D., Bode, R., </w:t>
          </w:r>
          <w:proofErr w:type="spellStart"/>
          <w:r>
            <w:rPr>
              <w:rFonts w:eastAsia="Times New Roman"/>
            </w:rPr>
            <w:t>Buysse</w:t>
          </w:r>
          <w:proofErr w:type="spellEnd"/>
          <w:r>
            <w:rPr>
              <w:rFonts w:eastAsia="Times New Roman"/>
            </w:rPr>
            <w:t xml:space="preserve">, D., Choi, S., Cook, K., </w:t>
          </w:r>
          <w:proofErr w:type="spellStart"/>
          <w:r>
            <w:rPr>
              <w:rFonts w:eastAsia="Times New Roman"/>
            </w:rPr>
            <w:t>Devellis</w:t>
          </w:r>
          <w:proofErr w:type="spellEnd"/>
          <w:r>
            <w:rPr>
              <w:rFonts w:eastAsia="Times New Roman"/>
            </w:rPr>
            <w:t xml:space="preserve">, R., </w:t>
          </w:r>
          <w:proofErr w:type="spellStart"/>
          <w:r>
            <w:rPr>
              <w:rFonts w:eastAsia="Times New Roman"/>
            </w:rPr>
            <w:t>Dewalt</w:t>
          </w:r>
          <w:proofErr w:type="spellEnd"/>
          <w:r>
            <w:rPr>
              <w:rFonts w:eastAsia="Times New Roman"/>
            </w:rPr>
            <w:t xml:space="preserve">, D., Fries, J. F., Gershon, R., Hahn, E. A., Lai, J. S., </w:t>
          </w:r>
          <w:proofErr w:type="spellStart"/>
          <w:r>
            <w:rPr>
              <w:rFonts w:eastAsia="Times New Roman"/>
            </w:rPr>
            <w:t>Pilkonis</w:t>
          </w:r>
          <w:proofErr w:type="spellEnd"/>
          <w:r>
            <w:rPr>
              <w:rFonts w:eastAsia="Times New Roman"/>
            </w:rPr>
            <w:t xml:space="preserve">, P., </w:t>
          </w:r>
          <w:proofErr w:type="spellStart"/>
          <w:r>
            <w:rPr>
              <w:rFonts w:eastAsia="Times New Roman"/>
            </w:rPr>
            <w:t>Revicki</w:t>
          </w:r>
          <w:proofErr w:type="spellEnd"/>
          <w:r>
            <w:rPr>
              <w:rFonts w:eastAsia="Times New Roman"/>
            </w:rPr>
            <w:t xml:space="preserve">, D., … Hays, R. (2010). The Patient-Reported Outcomes Measurement Information System (PROMIS) developed and tested its first wave of adult self-reported health outcome item banks: 2005-2008. </w:t>
          </w:r>
          <w:r>
            <w:rPr>
              <w:rFonts w:eastAsia="Times New Roman"/>
              <w:i/>
              <w:iCs/>
            </w:rPr>
            <w:t>Journal of Clinical Epidemiology</w:t>
          </w:r>
          <w:r>
            <w:rPr>
              <w:rFonts w:eastAsia="Times New Roman"/>
            </w:rPr>
            <w:t xml:space="preserve">, </w:t>
          </w:r>
          <w:r>
            <w:rPr>
              <w:rFonts w:eastAsia="Times New Roman"/>
              <w:i/>
              <w:iCs/>
            </w:rPr>
            <w:t>63</w:t>
          </w:r>
          <w:r>
            <w:rPr>
              <w:rFonts w:eastAsia="Times New Roman"/>
            </w:rPr>
            <w:t>(11), 1179–1194. https://doi.org/10.1016/J.JCLINEPI.2010.04.011</w:t>
          </w:r>
        </w:p>
        <w:p w14:paraId="2B74579B" w14:textId="77777777" w:rsidR="00EC7CE1" w:rsidRDefault="00EC7CE1">
          <w:pPr>
            <w:autoSpaceDE w:val="0"/>
            <w:autoSpaceDN w:val="0"/>
            <w:ind w:hanging="480"/>
            <w:divId w:val="895552335"/>
            <w:rPr>
              <w:rFonts w:eastAsia="Times New Roman"/>
            </w:rPr>
          </w:pPr>
          <w:proofErr w:type="spellStart"/>
          <w:r>
            <w:rPr>
              <w:rFonts w:eastAsia="Times New Roman"/>
            </w:rPr>
            <w:t>Cella</w:t>
          </w:r>
          <w:proofErr w:type="spellEnd"/>
          <w:r>
            <w:rPr>
              <w:rFonts w:eastAsia="Times New Roman"/>
            </w:rPr>
            <w:t xml:space="preserve">, M., Sharpe, M., &amp; Chalder, T. (2011). Measuring disability in patients with chronic fatigue syndrome: reliability and validity of the Work and Social Adjustment Scale. </w:t>
          </w:r>
          <w:r>
            <w:rPr>
              <w:rFonts w:eastAsia="Times New Roman"/>
              <w:i/>
              <w:iCs/>
            </w:rPr>
            <w:t xml:space="preserve">J </w:t>
          </w:r>
          <w:proofErr w:type="spellStart"/>
          <w:r>
            <w:rPr>
              <w:rFonts w:eastAsia="Times New Roman"/>
              <w:i/>
              <w:iCs/>
            </w:rPr>
            <w:t>Psychosom</w:t>
          </w:r>
          <w:proofErr w:type="spellEnd"/>
          <w:r>
            <w:rPr>
              <w:rFonts w:eastAsia="Times New Roman"/>
              <w:i/>
              <w:iCs/>
            </w:rPr>
            <w:t xml:space="preserve"> Res</w:t>
          </w:r>
          <w:r>
            <w:rPr>
              <w:rFonts w:eastAsia="Times New Roman"/>
            </w:rPr>
            <w:t xml:space="preserve">, </w:t>
          </w:r>
          <w:r>
            <w:rPr>
              <w:rFonts w:eastAsia="Times New Roman"/>
              <w:i/>
              <w:iCs/>
            </w:rPr>
            <w:t>71</w:t>
          </w:r>
          <w:r>
            <w:rPr>
              <w:rFonts w:eastAsia="Times New Roman"/>
            </w:rPr>
            <w:t>(3), 124–128. https://doi.org/10.1016/j.jpsychores.2011.02.009</w:t>
          </w:r>
        </w:p>
        <w:p w14:paraId="29519AC5" w14:textId="77777777" w:rsidR="00EC7CE1" w:rsidRDefault="00EC7CE1">
          <w:pPr>
            <w:autoSpaceDE w:val="0"/>
            <w:autoSpaceDN w:val="0"/>
            <w:ind w:hanging="480"/>
            <w:divId w:val="1871139220"/>
            <w:rPr>
              <w:rFonts w:eastAsia="Times New Roman"/>
            </w:rPr>
          </w:pPr>
          <w:r>
            <w:rPr>
              <w:rFonts w:eastAsia="Times New Roman"/>
            </w:rPr>
            <w:t xml:space="preserve">Chen, H. F., Tsai, Y. F., Lin, Y. P., Shih, M. S., &amp; Chen, J. C. (2010). The relationships among medicine symptom distress, self-efficacy, patient-provider relationship, and medication compliance in patients with epilepsy.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19</w:t>
          </w:r>
          <w:r>
            <w:rPr>
              <w:rFonts w:eastAsia="Times New Roman"/>
            </w:rPr>
            <w:t>(1), 43–49. https://doi.org/10.1016/J.YEBEH.2010.06.007</w:t>
          </w:r>
        </w:p>
        <w:p w14:paraId="3AAB39A7" w14:textId="77777777" w:rsidR="00EC7CE1" w:rsidRDefault="00EC7CE1">
          <w:pPr>
            <w:autoSpaceDE w:val="0"/>
            <w:autoSpaceDN w:val="0"/>
            <w:ind w:hanging="480"/>
            <w:divId w:val="1001280088"/>
            <w:rPr>
              <w:rFonts w:eastAsia="Times New Roman"/>
            </w:rPr>
          </w:pPr>
          <w:r>
            <w:rPr>
              <w:rFonts w:eastAsia="Times New Roman"/>
            </w:rPr>
            <w:t xml:space="preserve">Chen, S., Chiu, H., Xu, B., Ma, Y., </w:t>
          </w:r>
          <w:proofErr w:type="spellStart"/>
          <w:r>
            <w:rPr>
              <w:rFonts w:eastAsia="Times New Roman"/>
            </w:rPr>
            <w:t>Jin</w:t>
          </w:r>
          <w:proofErr w:type="spellEnd"/>
          <w:r>
            <w:rPr>
              <w:rFonts w:eastAsia="Times New Roman"/>
            </w:rPr>
            <w:t xml:space="preserve">, T., Wu, M., &amp; Conwell, Y. (2010). Reliability and validity of the PHQ-9 for screening late-life depression in Chinese primary care. </w:t>
          </w:r>
          <w:r>
            <w:rPr>
              <w:rFonts w:eastAsia="Times New Roman"/>
              <w:i/>
              <w:iCs/>
            </w:rPr>
            <w:t>International Journal of Geriatric Psychiatry</w:t>
          </w:r>
          <w:r>
            <w:rPr>
              <w:rFonts w:eastAsia="Times New Roman"/>
            </w:rPr>
            <w:t xml:space="preserve">, </w:t>
          </w:r>
          <w:r>
            <w:rPr>
              <w:rFonts w:eastAsia="Times New Roman"/>
              <w:i/>
              <w:iCs/>
            </w:rPr>
            <w:t>25</w:t>
          </w:r>
          <w:r>
            <w:rPr>
              <w:rFonts w:eastAsia="Times New Roman"/>
            </w:rPr>
            <w:t>(11), 1127–1133. https://doi.org/10.1002/gps.2442</w:t>
          </w:r>
        </w:p>
        <w:p w14:paraId="55CF9D73" w14:textId="77777777" w:rsidR="00EC7CE1" w:rsidRDefault="00EC7CE1">
          <w:pPr>
            <w:autoSpaceDE w:val="0"/>
            <w:autoSpaceDN w:val="0"/>
            <w:ind w:hanging="480"/>
            <w:divId w:val="517162476"/>
            <w:rPr>
              <w:rFonts w:eastAsia="Times New Roman"/>
            </w:rPr>
          </w:pPr>
          <w:r>
            <w:rPr>
              <w:rFonts w:eastAsia="Times New Roman"/>
              <w:i/>
              <w:iCs/>
            </w:rPr>
            <w:t>Clinical commissioning group population estimates (National Statistics) - Office for National Statistics</w:t>
          </w:r>
          <w:r>
            <w:rPr>
              <w:rFonts w:eastAsia="Times New Roman"/>
            </w:rPr>
            <w:t xml:space="preserve">. (n.d.). Retrieved May 31, 2023, from </w:t>
          </w:r>
          <w:r>
            <w:rPr>
              <w:rFonts w:eastAsia="Times New Roman"/>
            </w:rPr>
            <w:lastRenderedPageBreak/>
            <w:t>https://www.ons.gov.uk/peoplepopulationandcommunity/populationandmigration/populationestimates/datasets/clinicalcommissioninggroupmidyearpopulationestimates</w:t>
          </w:r>
        </w:p>
        <w:p w14:paraId="18D82031" w14:textId="77777777" w:rsidR="00EC7CE1" w:rsidRDefault="00EC7CE1">
          <w:pPr>
            <w:autoSpaceDE w:val="0"/>
            <w:autoSpaceDN w:val="0"/>
            <w:ind w:hanging="480"/>
            <w:divId w:val="257562661"/>
            <w:rPr>
              <w:rFonts w:eastAsia="Times New Roman"/>
            </w:rPr>
          </w:pPr>
          <w:r>
            <w:rPr>
              <w:rFonts w:eastAsia="Times New Roman"/>
            </w:rPr>
            <w:t xml:space="preserve">Cobb, S. (1976). Social support as a moderator of life stress. </w:t>
          </w:r>
          <w:r>
            <w:rPr>
              <w:rFonts w:eastAsia="Times New Roman"/>
              <w:i/>
              <w:iCs/>
            </w:rPr>
            <w:t>Psychosomatic Medicine</w:t>
          </w:r>
          <w:r>
            <w:rPr>
              <w:rFonts w:eastAsia="Times New Roman"/>
            </w:rPr>
            <w:t xml:space="preserve">, </w:t>
          </w:r>
          <w:r>
            <w:rPr>
              <w:rFonts w:eastAsia="Times New Roman"/>
              <w:i/>
              <w:iCs/>
            </w:rPr>
            <w:t>38</w:t>
          </w:r>
          <w:r>
            <w:rPr>
              <w:rFonts w:eastAsia="Times New Roman"/>
            </w:rPr>
            <w:t>(5), 300–314. https://doi.org/10.1097/00006842-197609000-00003</w:t>
          </w:r>
        </w:p>
        <w:p w14:paraId="3657C25B" w14:textId="77777777" w:rsidR="00EC7CE1" w:rsidRDefault="00EC7CE1">
          <w:pPr>
            <w:autoSpaceDE w:val="0"/>
            <w:autoSpaceDN w:val="0"/>
            <w:ind w:hanging="480"/>
            <w:divId w:val="1403018075"/>
            <w:rPr>
              <w:rFonts w:eastAsia="Times New Roman"/>
            </w:rPr>
          </w:pPr>
          <w:r>
            <w:rPr>
              <w:rFonts w:eastAsia="Times New Roman"/>
            </w:rPr>
            <w:t xml:space="preserve">Cock, H. R., &amp; Edwards, M. J. (2018). Functional neurological disorders: acute presentations and management. </w:t>
          </w:r>
          <w:r>
            <w:rPr>
              <w:rFonts w:eastAsia="Times New Roman"/>
              <w:i/>
              <w:iCs/>
            </w:rPr>
            <w:t>Clinical Medicine (London, England)</w:t>
          </w:r>
          <w:r>
            <w:rPr>
              <w:rFonts w:eastAsia="Times New Roman"/>
            </w:rPr>
            <w:t xml:space="preserve">, </w:t>
          </w:r>
          <w:r>
            <w:rPr>
              <w:rFonts w:eastAsia="Times New Roman"/>
              <w:i/>
              <w:iCs/>
            </w:rPr>
            <w:t>18</w:t>
          </w:r>
          <w:r>
            <w:rPr>
              <w:rFonts w:eastAsia="Times New Roman"/>
            </w:rPr>
            <w:t>(5), 414–417. https://doi.org/10.7861/clinmedicine.18-5-414</w:t>
          </w:r>
        </w:p>
        <w:p w14:paraId="5FC7ECA1" w14:textId="77777777" w:rsidR="00EC7CE1" w:rsidRDefault="00EC7CE1">
          <w:pPr>
            <w:autoSpaceDE w:val="0"/>
            <w:autoSpaceDN w:val="0"/>
            <w:ind w:hanging="480"/>
            <w:divId w:val="1247962337"/>
            <w:rPr>
              <w:rFonts w:eastAsia="Times New Roman"/>
            </w:rPr>
          </w:pPr>
          <w:r>
            <w:rPr>
              <w:rFonts w:eastAsia="Times New Roman"/>
            </w:rPr>
            <w:t xml:space="preserve">Cohen, S. (2004). Social relationships and health. </w:t>
          </w:r>
          <w:r>
            <w:rPr>
              <w:rFonts w:eastAsia="Times New Roman"/>
              <w:i/>
              <w:iCs/>
            </w:rPr>
            <w:t>American Psychologist</w:t>
          </w:r>
          <w:r>
            <w:rPr>
              <w:rFonts w:eastAsia="Times New Roman"/>
            </w:rPr>
            <w:t xml:space="preserve">, </w:t>
          </w:r>
          <w:r>
            <w:rPr>
              <w:rFonts w:eastAsia="Times New Roman"/>
              <w:i/>
              <w:iCs/>
            </w:rPr>
            <w:t>59</w:t>
          </w:r>
          <w:r>
            <w:rPr>
              <w:rFonts w:eastAsia="Times New Roman"/>
            </w:rPr>
            <w:t>(8), 676–684. https://doi.org/10.1037/0003-066X.59.8.676</w:t>
          </w:r>
        </w:p>
        <w:p w14:paraId="13CDD8F2" w14:textId="77777777" w:rsidR="00EC7CE1" w:rsidRDefault="00EC7CE1">
          <w:pPr>
            <w:autoSpaceDE w:val="0"/>
            <w:autoSpaceDN w:val="0"/>
            <w:ind w:hanging="480"/>
            <w:divId w:val="1022631575"/>
            <w:rPr>
              <w:rFonts w:eastAsia="Times New Roman"/>
            </w:rPr>
          </w:pPr>
          <w:r>
            <w:rPr>
              <w:rFonts w:eastAsia="Times New Roman"/>
            </w:rPr>
            <w:t xml:space="preserve">Cohen, S., &amp; Wills, T. A. (1985). Stress, Social Support, and the Buffering Hypothesis. </w:t>
          </w:r>
          <w:r>
            <w:rPr>
              <w:rFonts w:eastAsia="Times New Roman"/>
              <w:i/>
              <w:iCs/>
            </w:rPr>
            <w:t>Psychological Bulletin</w:t>
          </w:r>
          <w:r>
            <w:rPr>
              <w:rFonts w:eastAsia="Times New Roman"/>
            </w:rPr>
            <w:t xml:space="preserve">, </w:t>
          </w:r>
          <w:r>
            <w:rPr>
              <w:rFonts w:eastAsia="Times New Roman"/>
              <w:i/>
              <w:iCs/>
            </w:rPr>
            <w:t>98</w:t>
          </w:r>
          <w:r>
            <w:rPr>
              <w:rFonts w:eastAsia="Times New Roman"/>
            </w:rPr>
            <w:t>(2), 310–357. https://doi.org/10.1037/0033-2909.98.2.310</w:t>
          </w:r>
        </w:p>
        <w:p w14:paraId="5B088A70" w14:textId="77777777" w:rsidR="00EC7CE1" w:rsidRDefault="00EC7CE1">
          <w:pPr>
            <w:autoSpaceDE w:val="0"/>
            <w:autoSpaceDN w:val="0"/>
            <w:ind w:hanging="480"/>
            <w:divId w:val="610867159"/>
            <w:rPr>
              <w:rFonts w:eastAsia="Times New Roman"/>
            </w:rPr>
          </w:pPr>
          <w:r>
            <w:rPr>
              <w:rFonts w:eastAsia="Times New Roman"/>
            </w:rPr>
            <w:t xml:space="preserve">Cookson, R., </w:t>
          </w:r>
          <w:proofErr w:type="spellStart"/>
          <w:r>
            <w:rPr>
              <w:rFonts w:eastAsia="Times New Roman"/>
            </w:rPr>
            <w:t>Asaria</w:t>
          </w:r>
          <w:proofErr w:type="spellEnd"/>
          <w:r>
            <w:rPr>
              <w:rFonts w:eastAsia="Times New Roman"/>
            </w:rPr>
            <w:t xml:space="preserve">, M., Ali, S., Ferguson, B., </w:t>
          </w:r>
          <w:proofErr w:type="spellStart"/>
          <w:r>
            <w:rPr>
              <w:rFonts w:eastAsia="Times New Roman"/>
            </w:rPr>
            <w:t>Fleetcroft</w:t>
          </w:r>
          <w:proofErr w:type="spellEnd"/>
          <w:r>
            <w:rPr>
              <w:rFonts w:eastAsia="Times New Roman"/>
            </w:rPr>
            <w:t xml:space="preserve">, R., Goddard, M., Goldblatt, P., </w:t>
          </w:r>
          <w:proofErr w:type="spellStart"/>
          <w:r>
            <w:rPr>
              <w:rFonts w:eastAsia="Times New Roman"/>
            </w:rPr>
            <w:t>Laudicella</w:t>
          </w:r>
          <w:proofErr w:type="spellEnd"/>
          <w:r>
            <w:rPr>
              <w:rFonts w:eastAsia="Times New Roman"/>
            </w:rPr>
            <w:t xml:space="preserve">, M., &amp; Raine, R. (2016). Health Equity Indicators for the English NHS: a longitudinal whole-population study at the small-area level. </w:t>
          </w:r>
          <w:r>
            <w:rPr>
              <w:rFonts w:eastAsia="Times New Roman"/>
              <w:i/>
              <w:iCs/>
            </w:rPr>
            <w:t>Health Services and Delivery Research</w:t>
          </w:r>
          <w:r>
            <w:rPr>
              <w:rFonts w:eastAsia="Times New Roman"/>
            </w:rPr>
            <w:t xml:space="preserve">, </w:t>
          </w:r>
          <w:r>
            <w:rPr>
              <w:rFonts w:eastAsia="Times New Roman"/>
              <w:i/>
              <w:iCs/>
            </w:rPr>
            <w:t>4</w:t>
          </w:r>
          <w:r>
            <w:rPr>
              <w:rFonts w:eastAsia="Times New Roman"/>
            </w:rPr>
            <w:t>(26), 1–224. https://doi.org/10.3310/HSDR04260</w:t>
          </w:r>
        </w:p>
        <w:p w14:paraId="71B3D250" w14:textId="77777777" w:rsidR="00EC7CE1" w:rsidRDefault="00EC7CE1">
          <w:pPr>
            <w:autoSpaceDE w:val="0"/>
            <w:autoSpaceDN w:val="0"/>
            <w:ind w:hanging="480"/>
            <w:divId w:val="446973353"/>
            <w:rPr>
              <w:rFonts w:eastAsia="Times New Roman"/>
            </w:rPr>
          </w:pPr>
          <w:r>
            <w:rPr>
              <w:rFonts w:eastAsia="Times New Roman"/>
            </w:rPr>
            <w:t xml:space="preserve">Costello, A. B., &amp; Osborne, J. (2005). Best practices in exploratory factor analysis: four recommendations for getting the most from your analysis. </w:t>
          </w:r>
          <w:r>
            <w:rPr>
              <w:rFonts w:eastAsia="Times New Roman"/>
              <w:i/>
              <w:iCs/>
            </w:rPr>
            <w:t>Research, and Evaluation Practical Assessment, Research, and Evaluation</w:t>
          </w:r>
          <w:r>
            <w:rPr>
              <w:rFonts w:eastAsia="Times New Roman"/>
            </w:rPr>
            <w:t xml:space="preserve">, </w:t>
          </w:r>
          <w:r>
            <w:rPr>
              <w:rFonts w:eastAsia="Times New Roman"/>
              <w:i/>
              <w:iCs/>
            </w:rPr>
            <w:t>10</w:t>
          </w:r>
          <w:r>
            <w:rPr>
              <w:rFonts w:eastAsia="Times New Roman"/>
            </w:rPr>
            <w:t>, 7. https://doi.org/10.7275/jyj1-4868</w:t>
          </w:r>
        </w:p>
        <w:p w14:paraId="1A9828EC" w14:textId="77777777" w:rsidR="00EC7CE1" w:rsidRDefault="00EC7CE1">
          <w:pPr>
            <w:autoSpaceDE w:val="0"/>
            <w:autoSpaceDN w:val="0"/>
            <w:ind w:hanging="480"/>
            <w:divId w:val="3172859"/>
            <w:rPr>
              <w:rFonts w:eastAsia="Times New Roman"/>
            </w:rPr>
          </w:pPr>
          <w:r>
            <w:rPr>
              <w:rFonts w:eastAsia="Times New Roman"/>
            </w:rPr>
            <w:t xml:space="preserve">Craig, A. D. (2002). How do you feel? Interoception: the sense of the physiological condition of the body. </w:t>
          </w:r>
          <w:r>
            <w:rPr>
              <w:rFonts w:eastAsia="Times New Roman"/>
              <w:i/>
              <w:iCs/>
            </w:rPr>
            <w:t xml:space="preserve">Nat Rev </w:t>
          </w:r>
          <w:proofErr w:type="spellStart"/>
          <w:r>
            <w:rPr>
              <w:rFonts w:eastAsia="Times New Roman"/>
              <w:i/>
              <w:iCs/>
            </w:rPr>
            <w:t>Neurosci</w:t>
          </w:r>
          <w:proofErr w:type="spellEnd"/>
          <w:r>
            <w:rPr>
              <w:rFonts w:eastAsia="Times New Roman"/>
            </w:rPr>
            <w:t xml:space="preserve">, </w:t>
          </w:r>
          <w:r>
            <w:rPr>
              <w:rFonts w:eastAsia="Times New Roman"/>
              <w:i/>
              <w:iCs/>
            </w:rPr>
            <w:t>3</w:t>
          </w:r>
          <w:r>
            <w:rPr>
              <w:rFonts w:eastAsia="Times New Roman"/>
            </w:rPr>
            <w:t>(8), 655–666. https://doi.org/10.1038/nrn894</w:t>
          </w:r>
        </w:p>
        <w:p w14:paraId="5A66A1E7" w14:textId="77777777" w:rsidR="00EC7CE1" w:rsidRDefault="00EC7CE1">
          <w:pPr>
            <w:autoSpaceDE w:val="0"/>
            <w:autoSpaceDN w:val="0"/>
            <w:ind w:hanging="480"/>
            <w:divId w:val="1626503848"/>
            <w:rPr>
              <w:rFonts w:eastAsia="Times New Roman"/>
            </w:rPr>
          </w:pPr>
          <w:proofErr w:type="spellStart"/>
          <w:r>
            <w:rPr>
              <w:rFonts w:eastAsia="Times New Roman"/>
            </w:rPr>
            <w:t>Crellin</w:t>
          </w:r>
          <w:proofErr w:type="spellEnd"/>
          <w:r>
            <w:rPr>
              <w:rFonts w:eastAsia="Times New Roman"/>
            </w:rPr>
            <w:t xml:space="preserve">, N. E., </w:t>
          </w:r>
          <w:proofErr w:type="spellStart"/>
          <w:r>
            <w:rPr>
              <w:rFonts w:eastAsia="Times New Roman"/>
            </w:rPr>
            <w:t>Orrell</w:t>
          </w:r>
          <w:proofErr w:type="spellEnd"/>
          <w:r>
            <w:rPr>
              <w:rFonts w:eastAsia="Times New Roman"/>
            </w:rPr>
            <w:t xml:space="preserve">, M., McDermott, O., &amp; Charlesworth, G. (2014). Self-efficacy and health-related quality of life in family carers of people with dementia: a systematic review. </w:t>
          </w:r>
          <w:r>
            <w:rPr>
              <w:rFonts w:eastAsia="Times New Roman"/>
              <w:i/>
              <w:iCs/>
            </w:rPr>
            <w:t>Aging &amp; Mental Health</w:t>
          </w:r>
          <w:r>
            <w:rPr>
              <w:rFonts w:eastAsia="Times New Roman"/>
            </w:rPr>
            <w:t xml:space="preserve">, </w:t>
          </w:r>
          <w:r>
            <w:rPr>
              <w:rFonts w:eastAsia="Times New Roman"/>
              <w:i/>
              <w:iCs/>
            </w:rPr>
            <w:t>18</w:t>
          </w:r>
          <w:r>
            <w:rPr>
              <w:rFonts w:eastAsia="Times New Roman"/>
            </w:rPr>
            <w:t>(8), 954–969. https://doi.org/10.1080/13607863.2014.915921</w:t>
          </w:r>
        </w:p>
        <w:p w14:paraId="2E5DEF4A" w14:textId="77777777" w:rsidR="00EC7CE1" w:rsidRDefault="00EC7CE1">
          <w:pPr>
            <w:autoSpaceDE w:val="0"/>
            <w:autoSpaceDN w:val="0"/>
            <w:ind w:hanging="480"/>
            <w:divId w:val="944649320"/>
            <w:rPr>
              <w:rFonts w:eastAsia="Times New Roman"/>
            </w:rPr>
          </w:pPr>
          <w:proofErr w:type="spellStart"/>
          <w:r>
            <w:rPr>
              <w:rFonts w:eastAsia="Times New Roman"/>
            </w:rPr>
            <w:t>Cretton</w:t>
          </w:r>
          <w:proofErr w:type="spellEnd"/>
          <w:r>
            <w:rPr>
              <w:rFonts w:eastAsia="Times New Roman"/>
            </w:rPr>
            <w:t xml:space="preserve">, A., Brown, R. J., Lafrance, W. C., &amp; </w:t>
          </w:r>
          <w:proofErr w:type="spellStart"/>
          <w:r>
            <w:rPr>
              <w:rFonts w:eastAsia="Times New Roman"/>
            </w:rPr>
            <w:t>Aybek</w:t>
          </w:r>
          <w:proofErr w:type="spellEnd"/>
          <w:r>
            <w:rPr>
              <w:rFonts w:eastAsia="Times New Roman"/>
            </w:rPr>
            <w:t xml:space="preserve">, S. (2020). What does neuroscience tell us about the conversion model of functional neurological disorders? </w:t>
          </w:r>
          <w:r>
            <w:rPr>
              <w:rFonts w:eastAsia="Times New Roman"/>
              <w:i/>
              <w:iCs/>
            </w:rPr>
            <w:t>Journal of Neuropsychiatry and Clinical Neurosciences</w:t>
          </w:r>
          <w:r>
            <w:rPr>
              <w:rFonts w:eastAsia="Times New Roman"/>
            </w:rPr>
            <w:t xml:space="preserve">, </w:t>
          </w:r>
          <w:r>
            <w:rPr>
              <w:rFonts w:eastAsia="Times New Roman"/>
              <w:i/>
              <w:iCs/>
            </w:rPr>
            <w:t>32</w:t>
          </w:r>
          <w:r>
            <w:rPr>
              <w:rFonts w:eastAsia="Times New Roman"/>
            </w:rPr>
            <w:t>(1), 24–32. https://doi.org/10.1176/APPI.NEUROPSYCH.19040089/ASSET/IMAGES/LARGE/APPI.NEUROPSYCH.19040089F2.JPEG</w:t>
          </w:r>
        </w:p>
        <w:p w14:paraId="64B1B196" w14:textId="77777777" w:rsidR="00EC7CE1" w:rsidRDefault="00EC7CE1">
          <w:pPr>
            <w:autoSpaceDE w:val="0"/>
            <w:autoSpaceDN w:val="0"/>
            <w:ind w:hanging="480"/>
            <w:divId w:val="395595048"/>
            <w:rPr>
              <w:rFonts w:eastAsia="Times New Roman"/>
            </w:rPr>
          </w:pPr>
          <w:proofErr w:type="spellStart"/>
          <w:r>
            <w:rPr>
              <w:rFonts w:eastAsia="Times New Roman"/>
            </w:rPr>
            <w:lastRenderedPageBreak/>
            <w:t>Cuoco</w:t>
          </w:r>
          <w:proofErr w:type="spellEnd"/>
          <w:r>
            <w:rPr>
              <w:rFonts w:eastAsia="Times New Roman"/>
            </w:rPr>
            <w:t xml:space="preserve">, S., </w:t>
          </w:r>
          <w:proofErr w:type="spellStart"/>
          <w:r>
            <w:rPr>
              <w:rFonts w:eastAsia="Times New Roman"/>
            </w:rPr>
            <w:t>Scannapieco</w:t>
          </w:r>
          <w:proofErr w:type="spellEnd"/>
          <w:r>
            <w:rPr>
              <w:rFonts w:eastAsia="Times New Roman"/>
            </w:rPr>
            <w:t xml:space="preserve">, S., </w:t>
          </w:r>
          <w:proofErr w:type="spellStart"/>
          <w:r>
            <w:rPr>
              <w:rFonts w:eastAsia="Times New Roman"/>
            </w:rPr>
            <w:t>Carotenuto</w:t>
          </w:r>
          <w:proofErr w:type="spellEnd"/>
          <w:r>
            <w:rPr>
              <w:rFonts w:eastAsia="Times New Roman"/>
            </w:rPr>
            <w:t xml:space="preserve">, I., </w:t>
          </w:r>
          <w:proofErr w:type="spellStart"/>
          <w:r>
            <w:rPr>
              <w:rFonts w:eastAsia="Times New Roman"/>
            </w:rPr>
            <w:t>Picillo</w:t>
          </w:r>
          <w:proofErr w:type="spellEnd"/>
          <w:r>
            <w:rPr>
              <w:rFonts w:eastAsia="Times New Roman"/>
            </w:rPr>
            <w:t xml:space="preserve">, M., </w:t>
          </w:r>
          <w:proofErr w:type="spellStart"/>
          <w:r>
            <w:rPr>
              <w:rFonts w:eastAsia="Times New Roman"/>
            </w:rPr>
            <w:t>Pellecchia</w:t>
          </w:r>
          <w:proofErr w:type="spellEnd"/>
          <w:r>
            <w:rPr>
              <w:rFonts w:eastAsia="Times New Roman"/>
            </w:rPr>
            <w:t xml:space="preserve">, M. T., Barone, P., &amp; </w:t>
          </w:r>
          <w:proofErr w:type="spellStart"/>
          <w:r>
            <w:rPr>
              <w:rFonts w:eastAsia="Times New Roman"/>
            </w:rPr>
            <w:t>Erro</w:t>
          </w:r>
          <w:proofErr w:type="spellEnd"/>
          <w:r>
            <w:rPr>
              <w:rFonts w:eastAsia="Times New Roman"/>
            </w:rPr>
            <w:t xml:space="preserve">, R. (2023). Higher Health Service Costs Associated With Delayed Diagnosis of Functional Neurological Disorder. </w:t>
          </w:r>
          <w:r>
            <w:rPr>
              <w:rFonts w:eastAsia="Times New Roman"/>
              <w:i/>
              <w:iCs/>
            </w:rPr>
            <w:t>The Journal of Neuropsychiatry and Clinical Neurosciences</w:t>
          </w:r>
          <w:r>
            <w:rPr>
              <w:rFonts w:eastAsia="Times New Roman"/>
            </w:rPr>
            <w:t xml:space="preserve">, </w:t>
          </w:r>
          <w:r>
            <w:rPr>
              <w:rFonts w:eastAsia="Times New Roman"/>
              <w:i/>
              <w:iCs/>
            </w:rPr>
            <w:t>35</w:t>
          </w:r>
          <w:r>
            <w:rPr>
              <w:rFonts w:eastAsia="Times New Roman"/>
            </w:rPr>
            <w:t>(1), 86–91. https://doi.org/10.1176/APPI.NEUROPSYCH.21110288/ASSET/IMAGES/LARGE/APPI.NEUROPSYCH.21110288F1.JPEG</w:t>
          </w:r>
        </w:p>
        <w:p w14:paraId="0FF6C12E" w14:textId="77777777" w:rsidR="00EC7CE1" w:rsidRDefault="00EC7CE1">
          <w:pPr>
            <w:autoSpaceDE w:val="0"/>
            <w:autoSpaceDN w:val="0"/>
            <w:ind w:hanging="480"/>
            <w:divId w:val="152988574"/>
            <w:rPr>
              <w:rFonts w:eastAsia="Times New Roman"/>
            </w:rPr>
          </w:pPr>
          <w:r>
            <w:rPr>
              <w:rFonts w:eastAsia="Times New Roman"/>
            </w:rPr>
            <w:t xml:space="preserve">CUREd. (2020). </w:t>
          </w:r>
          <w:r>
            <w:rPr>
              <w:rFonts w:eastAsia="Times New Roman"/>
              <w:i/>
              <w:iCs/>
            </w:rPr>
            <w:t>CUREd Research Database</w:t>
          </w:r>
          <w:r>
            <w:rPr>
              <w:rFonts w:eastAsia="Times New Roman"/>
            </w:rPr>
            <w:t>. https://www.sheffield.ac.uk/scharr/sections/hsr/cure/projects/cured-rd/home</w:t>
          </w:r>
        </w:p>
        <w:p w14:paraId="085DB497" w14:textId="77777777" w:rsidR="00EC7CE1" w:rsidRDefault="00EC7CE1">
          <w:pPr>
            <w:autoSpaceDE w:val="0"/>
            <w:autoSpaceDN w:val="0"/>
            <w:ind w:hanging="480"/>
            <w:divId w:val="825632468"/>
            <w:rPr>
              <w:rFonts w:eastAsia="Times New Roman"/>
            </w:rPr>
          </w:pPr>
          <w:r>
            <w:rPr>
              <w:rFonts w:eastAsia="Times New Roman"/>
            </w:rPr>
            <w:t xml:space="preserve">Curtiss, J., &amp; </w:t>
          </w:r>
          <w:proofErr w:type="spellStart"/>
          <w:r>
            <w:rPr>
              <w:rFonts w:eastAsia="Times New Roman"/>
            </w:rPr>
            <w:t>Klemanski</w:t>
          </w:r>
          <w:proofErr w:type="spellEnd"/>
          <w:r>
            <w:rPr>
              <w:rFonts w:eastAsia="Times New Roman"/>
            </w:rPr>
            <w:t xml:space="preserve">, D. H. (2014). Factor Analysis of the Five Facet Mindfulness Questionnaire in a Heterogeneous Clinical Sample. </w:t>
          </w:r>
          <w:r>
            <w:rPr>
              <w:rFonts w:eastAsia="Times New Roman"/>
              <w:i/>
              <w:iCs/>
            </w:rPr>
            <w:t xml:space="preserve">Journal of Psychopathology and </w:t>
          </w:r>
          <w:proofErr w:type="spellStart"/>
          <w:r>
            <w:rPr>
              <w:rFonts w:eastAsia="Times New Roman"/>
              <w:i/>
              <w:iCs/>
            </w:rPr>
            <w:t>Behavioral</w:t>
          </w:r>
          <w:proofErr w:type="spellEnd"/>
          <w:r>
            <w:rPr>
              <w:rFonts w:eastAsia="Times New Roman"/>
              <w:i/>
              <w:iCs/>
            </w:rPr>
            <w:t xml:space="preserve"> Assessment</w:t>
          </w:r>
          <w:r>
            <w:rPr>
              <w:rFonts w:eastAsia="Times New Roman"/>
            </w:rPr>
            <w:t xml:space="preserve">, </w:t>
          </w:r>
          <w:r>
            <w:rPr>
              <w:rFonts w:eastAsia="Times New Roman"/>
              <w:i/>
              <w:iCs/>
            </w:rPr>
            <w:t>36</w:t>
          </w:r>
          <w:r>
            <w:rPr>
              <w:rFonts w:eastAsia="Times New Roman"/>
            </w:rPr>
            <w:t>(4), 683–694. https://doi.org/10.1007/S10862-014-9429-Y/TABLES/4</w:t>
          </w:r>
        </w:p>
        <w:p w14:paraId="0DE5C526" w14:textId="77777777" w:rsidR="00EC7CE1" w:rsidRDefault="00EC7CE1">
          <w:pPr>
            <w:autoSpaceDE w:val="0"/>
            <w:autoSpaceDN w:val="0"/>
            <w:ind w:hanging="480"/>
            <w:divId w:val="427772131"/>
            <w:rPr>
              <w:rFonts w:eastAsia="Times New Roman"/>
            </w:rPr>
          </w:pPr>
          <w:r>
            <w:rPr>
              <w:rFonts w:eastAsia="Times New Roman"/>
            </w:rPr>
            <w:t xml:space="preserve">Dalgleish, T., &amp; Watts, F. N. (1990). Biases of attention and memory in disorders of anxiety and depression. </w:t>
          </w:r>
          <w:r>
            <w:rPr>
              <w:rFonts w:eastAsia="Times New Roman"/>
              <w:i/>
              <w:iCs/>
            </w:rPr>
            <w:t>Clinical Psychology Review</w:t>
          </w:r>
          <w:r>
            <w:rPr>
              <w:rFonts w:eastAsia="Times New Roman"/>
            </w:rPr>
            <w:t xml:space="preserve">, </w:t>
          </w:r>
          <w:r>
            <w:rPr>
              <w:rFonts w:eastAsia="Times New Roman"/>
              <w:i/>
              <w:iCs/>
            </w:rPr>
            <w:t>10</w:t>
          </w:r>
          <w:r>
            <w:rPr>
              <w:rFonts w:eastAsia="Times New Roman"/>
            </w:rPr>
            <w:t>(5), 589–604. https://doi.org/10.1016/0272-7358(90)90098-u</w:t>
          </w:r>
        </w:p>
        <w:p w14:paraId="42C8F070" w14:textId="77777777" w:rsidR="00EC7CE1" w:rsidRDefault="00EC7CE1">
          <w:pPr>
            <w:autoSpaceDE w:val="0"/>
            <w:autoSpaceDN w:val="0"/>
            <w:ind w:hanging="480"/>
            <w:divId w:val="928192487"/>
            <w:rPr>
              <w:rFonts w:eastAsia="Times New Roman"/>
            </w:rPr>
          </w:pPr>
          <w:proofErr w:type="spellStart"/>
          <w:r>
            <w:rPr>
              <w:rFonts w:eastAsia="Times New Roman"/>
            </w:rPr>
            <w:t>Dalley</w:t>
          </w:r>
          <w:proofErr w:type="spellEnd"/>
          <w:r>
            <w:rPr>
              <w:rFonts w:eastAsia="Times New Roman"/>
            </w:rPr>
            <w:t xml:space="preserve">, J. W., Everitt, B. J., &amp; Robbins, T. W. (2011). </w:t>
          </w:r>
          <w:r>
            <w:rPr>
              <w:rFonts w:eastAsia="Times New Roman"/>
              <w:i/>
              <w:iCs/>
            </w:rPr>
            <w:t>Neuron Review Impulsivity, Compulsivity, and Top-Down Cognitive Control</w:t>
          </w:r>
          <w:r>
            <w:rPr>
              <w:rFonts w:eastAsia="Times New Roman"/>
            </w:rPr>
            <w:t>. https://doi.org/10.1016/j.neuron.2011.01.020</w:t>
          </w:r>
        </w:p>
        <w:p w14:paraId="31BCC3EB" w14:textId="77777777" w:rsidR="00EC7CE1" w:rsidRDefault="00EC7CE1">
          <w:pPr>
            <w:autoSpaceDE w:val="0"/>
            <w:autoSpaceDN w:val="0"/>
            <w:ind w:hanging="480"/>
            <w:divId w:val="2123454657"/>
            <w:rPr>
              <w:rFonts w:eastAsia="Times New Roman"/>
            </w:rPr>
          </w:pPr>
          <w:proofErr w:type="spellStart"/>
          <w:r>
            <w:rPr>
              <w:rFonts w:eastAsia="Times New Roman"/>
            </w:rPr>
            <w:t>Dallocchio</w:t>
          </w:r>
          <w:proofErr w:type="spellEnd"/>
          <w:r>
            <w:rPr>
              <w:rFonts w:eastAsia="Times New Roman"/>
            </w:rPr>
            <w:t xml:space="preserve">, C., </w:t>
          </w:r>
          <w:proofErr w:type="spellStart"/>
          <w:r>
            <w:rPr>
              <w:rFonts w:eastAsia="Times New Roman"/>
            </w:rPr>
            <w:t>Tinazzi</w:t>
          </w:r>
          <w:proofErr w:type="spellEnd"/>
          <w:r>
            <w:rPr>
              <w:rFonts w:eastAsia="Times New Roman"/>
            </w:rPr>
            <w:t xml:space="preserve">, M., </w:t>
          </w:r>
          <w:proofErr w:type="spellStart"/>
          <w:r>
            <w:rPr>
              <w:rFonts w:eastAsia="Times New Roman"/>
            </w:rPr>
            <w:t>Bombieri</w:t>
          </w:r>
          <w:proofErr w:type="spellEnd"/>
          <w:r>
            <w:rPr>
              <w:rFonts w:eastAsia="Times New Roman"/>
            </w:rPr>
            <w:t xml:space="preserve">, F., </w:t>
          </w:r>
          <w:proofErr w:type="spellStart"/>
          <w:r>
            <w:rPr>
              <w:rFonts w:eastAsia="Times New Roman"/>
            </w:rPr>
            <w:t>Arnó</w:t>
          </w:r>
          <w:proofErr w:type="spellEnd"/>
          <w:r>
            <w:rPr>
              <w:rFonts w:eastAsia="Times New Roman"/>
            </w:rPr>
            <w:t xml:space="preserve">, N., &amp; </w:t>
          </w:r>
          <w:proofErr w:type="spellStart"/>
          <w:r>
            <w:rPr>
              <w:rFonts w:eastAsia="Times New Roman"/>
            </w:rPr>
            <w:t>Erro</w:t>
          </w:r>
          <w:proofErr w:type="spellEnd"/>
          <w:r>
            <w:rPr>
              <w:rFonts w:eastAsia="Times New Roman"/>
            </w:rPr>
            <w:t xml:space="preserve">, R. (2016). Cognitive behavioural therapy and adjunctive physical activity for functional movement disorders (Conversion Disorder): A pilot, single-blinded, randomized study. </w:t>
          </w:r>
          <w:r>
            <w:rPr>
              <w:rFonts w:eastAsia="Times New Roman"/>
              <w:i/>
              <w:iCs/>
            </w:rPr>
            <w:t>Psychotherapy and Psychosomatics</w:t>
          </w:r>
          <w:r>
            <w:rPr>
              <w:rFonts w:eastAsia="Times New Roman"/>
            </w:rPr>
            <w:t xml:space="preserve">, </w:t>
          </w:r>
          <w:r>
            <w:rPr>
              <w:rFonts w:eastAsia="Times New Roman"/>
              <w:i/>
              <w:iCs/>
            </w:rPr>
            <w:t>85</w:t>
          </w:r>
          <w:r>
            <w:rPr>
              <w:rFonts w:eastAsia="Times New Roman"/>
            </w:rPr>
            <w:t>(6), 381–383. https://doi.org/10.1159/000446660</w:t>
          </w:r>
        </w:p>
        <w:p w14:paraId="31B4CFEF" w14:textId="77777777" w:rsidR="00EC7CE1" w:rsidRDefault="00EC7CE1">
          <w:pPr>
            <w:autoSpaceDE w:val="0"/>
            <w:autoSpaceDN w:val="0"/>
            <w:ind w:hanging="480"/>
            <w:divId w:val="1953585431"/>
            <w:rPr>
              <w:rFonts w:eastAsia="Times New Roman"/>
            </w:rPr>
          </w:pPr>
          <w:r>
            <w:rPr>
              <w:rFonts w:eastAsia="Times New Roman"/>
            </w:rPr>
            <w:t xml:space="preserve">Dang, J., King, K. M., &amp; </w:t>
          </w:r>
          <w:proofErr w:type="spellStart"/>
          <w:r>
            <w:rPr>
              <w:rFonts w:eastAsia="Times New Roman"/>
            </w:rPr>
            <w:t>Inzlicht</w:t>
          </w:r>
          <w:proofErr w:type="spellEnd"/>
          <w:r>
            <w:rPr>
              <w:rFonts w:eastAsia="Times New Roman"/>
            </w:rPr>
            <w:t xml:space="preserve">, M. (2020). Why Are Self-Report and </w:t>
          </w:r>
          <w:proofErr w:type="spellStart"/>
          <w:r>
            <w:rPr>
              <w:rFonts w:eastAsia="Times New Roman"/>
            </w:rPr>
            <w:t>Behavioral</w:t>
          </w:r>
          <w:proofErr w:type="spellEnd"/>
          <w:r>
            <w:rPr>
              <w:rFonts w:eastAsia="Times New Roman"/>
            </w:rPr>
            <w:t xml:space="preserve"> Measures Weakly Correlated? </w:t>
          </w:r>
          <w:r>
            <w:rPr>
              <w:rFonts w:eastAsia="Times New Roman"/>
              <w:i/>
              <w:iCs/>
            </w:rPr>
            <w:t>Trends in Cognitive Science</w:t>
          </w:r>
          <w:r>
            <w:rPr>
              <w:rFonts w:eastAsia="Times New Roman"/>
            </w:rPr>
            <w:t xml:space="preserve">, </w:t>
          </w:r>
          <w:r>
            <w:rPr>
              <w:rFonts w:eastAsia="Times New Roman"/>
              <w:i/>
              <w:iCs/>
            </w:rPr>
            <w:t>24</w:t>
          </w:r>
          <w:r>
            <w:rPr>
              <w:rFonts w:eastAsia="Times New Roman"/>
            </w:rPr>
            <w:t>, 267–269. https://doi.org/10.1016/j.tics.2020.01.007</w:t>
          </w:r>
        </w:p>
        <w:p w14:paraId="0099DB32" w14:textId="77777777" w:rsidR="00EC7CE1" w:rsidRDefault="00EC7CE1">
          <w:pPr>
            <w:autoSpaceDE w:val="0"/>
            <w:autoSpaceDN w:val="0"/>
            <w:ind w:hanging="480"/>
            <w:divId w:val="1834947508"/>
            <w:rPr>
              <w:rFonts w:eastAsia="Times New Roman"/>
            </w:rPr>
          </w:pPr>
          <w:proofErr w:type="spellStart"/>
          <w:r>
            <w:rPr>
              <w:rFonts w:eastAsia="Times New Roman"/>
            </w:rPr>
            <w:t>Daum</w:t>
          </w:r>
          <w:proofErr w:type="spellEnd"/>
          <w:r>
            <w:rPr>
              <w:rFonts w:eastAsia="Times New Roman"/>
            </w:rPr>
            <w:t xml:space="preserve">, C., </w:t>
          </w:r>
          <w:proofErr w:type="spellStart"/>
          <w:r>
            <w:rPr>
              <w:rFonts w:eastAsia="Times New Roman"/>
            </w:rPr>
            <w:t>Hubschmid</w:t>
          </w:r>
          <w:proofErr w:type="spellEnd"/>
          <w:r>
            <w:rPr>
              <w:rFonts w:eastAsia="Times New Roman"/>
            </w:rPr>
            <w:t xml:space="preserve">, M., &amp; </w:t>
          </w:r>
          <w:proofErr w:type="spellStart"/>
          <w:r>
            <w:rPr>
              <w:rFonts w:eastAsia="Times New Roman"/>
            </w:rPr>
            <w:t>Aybek</w:t>
          </w:r>
          <w:proofErr w:type="spellEnd"/>
          <w:r>
            <w:rPr>
              <w:rFonts w:eastAsia="Times New Roman"/>
            </w:rPr>
            <w:t xml:space="preserve">, S. (2014). The value of “positive” clinical signs for weakness, sensory and gait disorders in conversion disorder: a systematic and narrative review. </w:t>
          </w:r>
          <w:r>
            <w:rPr>
              <w:rFonts w:eastAsia="Times New Roman"/>
              <w:i/>
              <w:iCs/>
            </w:rPr>
            <w:t xml:space="preserve">J </w:t>
          </w:r>
          <w:proofErr w:type="spellStart"/>
          <w:r>
            <w:rPr>
              <w:rFonts w:eastAsia="Times New Roman"/>
              <w:i/>
              <w:iCs/>
            </w:rPr>
            <w:t>Neurol</w:t>
          </w:r>
          <w:proofErr w:type="spellEnd"/>
          <w:r>
            <w:rPr>
              <w:rFonts w:eastAsia="Times New Roman"/>
              <w:i/>
              <w:iCs/>
            </w:rPr>
            <w:t xml:space="preserve"> </w:t>
          </w:r>
          <w:proofErr w:type="spellStart"/>
          <w:r>
            <w:rPr>
              <w:rFonts w:eastAsia="Times New Roman"/>
              <w:i/>
              <w:iCs/>
            </w:rPr>
            <w:t>Neurosurg</w:t>
          </w:r>
          <w:proofErr w:type="spellEnd"/>
          <w:r>
            <w:rPr>
              <w:rFonts w:eastAsia="Times New Roman"/>
              <w:i/>
              <w:iCs/>
            </w:rPr>
            <w:t xml:space="preserve"> Psychiatry</w:t>
          </w:r>
          <w:r>
            <w:rPr>
              <w:rFonts w:eastAsia="Times New Roman"/>
            </w:rPr>
            <w:t xml:space="preserve">, </w:t>
          </w:r>
          <w:r>
            <w:rPr>
              <w:rFonts w:eastAsia="Times New Roman"/>
              <w:i/>
              <w:iCs/>
            </w:rPr>
            <w:t>85</w:t>
          </w:r>
          <w:r>
            <w:rPr>
              <w:rFonts w:eastAsia="Times New Roman"/>
            </w:rPr>
            <w:t>(2), 180–190. https://doi.org/10.1136/jnnp-2012-304607</w:t>
          </w:r>
        </w:p>
        <w:p w14:paraId="297AB8B3" w14:textId="77777777" w:rsidR="00EC7CE1" w:rsidRDefault="00EC7CE1">
          <w:pPr>
            <w:autoSpaceDE w:val="0"/>
            <w:autoSpaceDN w:val="0"/>
            <w:ind w:hanging="480"/>
            <w:divId w:val="1854104374"/>
            <w:rPr>
              <w:rFonts w:eastAsia="Times New Roman"/>
            </w:rPr>
          </w:pPr>
          <w:r>
            <w:rPr>
              <w:rFonts w:eastAsia="Times New Roman"/>
            </w:rPr>
            <w:t xml:space="preserve">De Vet, H. C. W., </w:t>
          </w:r>
          <w:proofErr w:type="spellStart"/>
          <w:r>
            <w:rPr>
              <w:rFonts w:eastAsia="Times New Roman"/>
            </w:rPr>
            <w:t>Terwee</w:t>
          </w:r>
          <w:proofErr w:type="spellEnd"/>
          <w:r>
            <w:rPr>
              <w:rFonts w:eastAsia="Times New Roman"/>
            </w:rPr>
            <w:t xml:space="preserve">, C. B., </w:t>
          </w:r>
          <w:proofErr w:type="spellStart"/>
          <w:r>
            <w:rPr>
              <w:rFonts w:eastAsia="Times New Roman"/>
            </w:rPr>
            <w:t>Mokkink</w:t>
          </w:r>
          <w:proofErr w:type="spellEnd"/>
          <w:r>
            <w:rPr>
              <w:rFonts w:eastAsia="Times New Roman"/>
            </w:rPr>
            <w:t xml:space="preserve">, L. B., &amp; </w:t>
          </w:r>
          <w:proofErr w:type="spellStart"/>
          <w:r>
            <w:rPr>
              <w:rFonts w:eastAsia="Times New Roman"/>
            </w:rPr>
            <w:t>Knol</w:t>
          </w:r>
          <w:proofErr w:type="spellEnd"/>
          <w:r>
            <w:rPr>
              <w:rFonts w:eastAsia="Times New Roman"/>
            </w:rPr>
            <w:t xml:space="preserve">, D. L. (2011). Measurement in Medicine: A Practical Guide. </w:t>
          </w:r>
          <w:r>
            <w:rPr>
              <w:rFonts w:eastAsia="Times New Roman"/>
              <w:i/>
              <w:iCs/>
            </w:rPr>
            <w:t>Measurement in Medicine: A Practical Guide</w:t>
          </w:r>
          <w:r>
            <w:rPr>
              <w:rFonts w:eastAsia="Times New Roman"/>
            </w:rPr>
            <w:t>, 1–338. https://doi.org/10.1017/CBO9780511996214</w:t>
          </w:r>
        </w:p>
        <w:p w14:paraId="640C72F5" w14:textId="77777777" w:rsidR="00EC7CE1" w:rsidRDefault="00EC7CE1">
          <w:pPr>
            <w:autoSpaceDE w:val="0"/>
            <w:autoSpaceDN w:val="0"/>
            <w:ind w:hanging="480"/>
            <w:divId w:val="1002859419"/>
            <w:rPr>
              <w:rFonts w:eastAsia="Times New Roman"/>
            </w:rPr>
          </w:pPr>
          <w:r>
            <w:rPr>
              <w:rFonts w:eastAsia="Times New Roman"/>
            </w:rPr>
            <w:lastRenderedPageBreak/>
            <w:t xml:space="preserve">de Waal, M. W., Arnold, I. A., </w:t>
          </w:r>
          <w:proofErr w:type="spellStart"/>
          <w:r>
            <w:rPr>
              <w:rFonts w:eastAsia="Times New Roman"/>
            </w:rPr>
            <w:t>Eekhof</w:t>
          </w:r>
          <w:proofErr w:type="spellEnd"/>
          <w:r>
            <w:rPr>
              <w:rFonts w:eastAsia="Times New Roman"/>
            </w:rPr>
            <w:t xml:space="preserve">, J. A., &amp; van </w:t>
          </w:r>
          <w:proofErr w:type="spellStart"/>
          <w:r>
            <w:rPr>
              <w:rFonts w:eastAsia="Times New Roman"/>
            </w:rPr>
            <w:t>Hemert</w:t>
          </w:r>
          <w:proofErr w:type="spellEnd"/>
          <w:r>
            <w:rPr>
              <w:rFonts w:eastAsia="Times New Roman"/>
            </w:rPr>
            <w:t xml:space="preserve">, A. M. (2006). [Somatoform disorders in general practice: prevalence, functional limitations and comorbidity with anxiety and depression]. </w:t>
          </w:r>
          <w:r>
            <w:rPr>
              <w:rFonts w:eastAsia="Times New Roman"/>
              <w:i/>
              <w:iCs/>
            </w:rPr>
            <w:t xml:space="preserve">Ned </w:t>
          </w:r>
          <w:proofErr w:type="spellStart"/>
          <w:r>
            <w:rPr>
              <w:rFonts w:eastAsia="Times New Roman"/>
              <w:i/>
              <w:iCs/>
            </w:rPr>
            <w:t>Tijdschr</w:t>
          </w:r>
          <w:proofErr w:type="spellEnd"/>
          <w:r>
            <w:rPr>
              <w:rFonts w:eastAsia="Times New Roman"/>
              <w:i/>
              <w:iCs/>
            </w:rPr>
            <w:t xml:space="preserve"> </w:t>
          </w:r>
          <w:proofErr w:type="spellStart"/>
          <w:r>
            <w:rPr>
              <w:rFonts w:eastAsia="Times New Roman"/>
              <w:i/>
              <w:iCs/>
            </w:rPr>
            <w:t>Geneeskd</w:t>
          </w:r>
          <w:proofErr w:type="spellEnd"/>
          <w:r>
            <w:rPr>
              <w:rFonts w:eastAsia="Times New Roman"/>
            </w:rPr>
            <w:t xml:space="preserve">, </w:t>
          </w:r>
          <w:r>
            <w:rPr>
              <w:rFonts w:eastAsia="Times New Roman"/>
              <w:i/>
              <w:iCs/>
            </w:rPr>
            <w:t>150</w:t>
          </w:r>
          <w:r>
            <w:rPr>
              <w:rFonts w:eastAsia="Times New Roman"/>
            </w:rPr>
            <w:t>(12), 671–676.</w:t>
          </w:r>
        </w:p>
        <w:p w14:paraId="4CA314BB" w14:textId="77777777" w:rsidR="00EC7CE1" w:rsidRDefault="00EC7CE1">
          <w:pPr>
            <w:autoSpaceDE w:val="0"/>
            <w:autoSpaceDN w:val="0"/>
            <w:ind w:hanging="480"/>
            <w:divId w:val="1336569835"/>
            <w:rPr>
              <w:rFonts w:eastAsia="Times New Roman"/>
            </w:rPr>
          </w:pPr>
          <w:proofErr w:type="spellStart"/>
          <w:r>
            <w:rPr>
              <w:rFonts w:eastAsia="Times New Roman"/>
            </w:rPr>
            <w:t>Deleuran</w:t>
          </w:r>
          <w:proofErr w:type="spellEnd"/>
          <w:r>
            <w:rPr>
              <w:rFonts w:eastAsia="Times New Roman"/>
            </w:rPr>
            <w:t xml:space="preserve">, M., </w:t>
          </w:r>
          <w:proofErr w:type="spellStart"/>
          <w:r>
            <w:rPr>
              <w:rFonts w:eastAsia="Times New Roman"/>
            </w:rPr>
            <w:t>Nørgaard</w:t>
          </w:r>
          <w:proofErr w:type="spellEnd"/>
          <w:r>
            <w:rPr>
              <w:rFonts w:eastAsia="Times New Roman"/>
            </w:rPr>
            <w:t xml:space="preserve">, K., Andersen, N. B., &amp; </w:t>
          </w:r>
          <w:proofErr w:type="spellStart"/>
          <w:r>
            <w:rPr>
              <w:rFonts w:eastAsia="Times New Roman"/>
            </w:rPr>
            <w:t>Sabers</w:t>
          </w:r>
          <w:proofErr w:type="spellEnd"/>
          <w:r>
            <w:rPr>
              <w:rFonts w:eastAsia="Times New Roman"/>
            </w:rPr>
            <w:t xml:space="preserve">, A. (2019). Psychogenic nonepileptic seizures treated with psychotherapy: Long-term outcome on seizures and healthcare utilization.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98</w:t>
          </w:r>
          <w:r>
            <w:rPr>
              <w:rFonts w:eastAsia="Times New Roman"/>
            </w:rPr>
            <w:t>(Pt A), 195–200. https://doi.org/10.1016/j.yebeh.2019.05.007</w:t>
          </w:r>
        </w:p>
        <w:p w14:paraId="275F257F" w14:textId="77777777" w:rsidR="00EC7CE1" w:rsidRDefault="00EC7CE1">
          <w:pPr>
            <w:autoSpaceDE w:val="0"/>
            <w:autoSpaceDN w:val="0"/>
            <w:ind w:hanging="480"/>
            <w:divId w:val="853886383"/>
            <w:rPr>
              <w:rFonts w:eastAsia="Times New Roman"/>
            </w:rPr>
          </w:pPr>
          <w:r>
            <w:rPr>
              <w:rFonts w:eastAsia="Times New Roman"/>
            </w:rPr>
            <w:t xml:space="preserve">Demartini, B., </w:t>
          </w:r>
          <w:proofErr w:type="spellStart"/>
          <w:r>
            <w:rPr>
              <w:rFonts w:eastAsia="Times New Roman"/>
            </w:rPr>
            <w:t>Batla</w:t>
          </w:r>
          <w:proofErr w:type="spellEnd"/>
          <w:r>
            <w:rPr>
              <w:rFonts w:eastAsia="Times New Roman"/>
            </w:rPr>
            <w:t xml:space="preserve">, A., </w:t>
          </w:r>
          <w:proofErr w:type="spellStart"/>
          <w:r>
            <w:rPr>
              <w:rFonts w:eastAsia="Times New Roman"/>
            </w:rPr>
            <w:t>Petrochilos</w:t>
          </w:r>
          <w:proofErr w:type="spellEnd"/>
          <w:r>
            <w:rPr>
              <w:rFonts w:eastAsia="Times New Roman"/>
            </w:rPr>
            <w:t xml:space="preserve">, P., Fisher, L., Edwards, M. J., &amp; Joyce, E. (2014). Multidisciplinary treatment for functional neurological symptoms: a prospective study. </w:t>
          </w:r>
          <w:r>
            <w:rPr>
              <w:rFonts w:eastAsia="Times New Roman"/>
              <w:i/>
              <w:iCs/>
            </w:rPr>
            <w:t>Journal of Neurology</w:t>
          </w:r>
          <w:r>
            <w:rPr>
              <w:rFonts w:eastAsia="Times New Roman"/>
            </w:rPr>
            <w:t xml:space="preserve">, </w:t>
          </w:r>
          <w:r>
            <w:rPr>
              <w:rFonts w:eastAsia="Times New Roman"/>
              <w:i/>
              <w:iCs/>
            </w:rPr>
            <w:t>261</w:t>
          </w:r>
          <w:r>
            <w:rPr>
              <w:rFonts w:eastAsia="Times New Roman"/>
            </w:rPr>
            <w:t>(12), 2370–2377. https://doi.org/10.1007/s00415-014-7495-4</w:t>
          </w:r>
        </w:p>
        <w:p w14:paraId="082E51A1" w14:textId="77777777" w:rsidR="00EC7CE1" w:rsidRDefault="00EC7CE1">
          <w:pPr>
            <w:autoSpaceDE w:val="0"/>
            <w:autoSpaceDN w:val="0"/>
            <w:ind w:hanging="480"/>
            <w:divId w:val="1637756641"/>
            <w:rPr>
              <w:rFonts w:eastAsia="Times New Roman"/>
            </w:rPr>
          </w:pPr>
          <w:r>
            <w:rPr>
              <w:rFonts w:eastAsia="Times New Roman"/>
            </w:rPr>
            <w:t xml:space="preserve">Demartini, B., </w:t>
          </w:r>
          <w:proofErr w:type="spellStart"/>
          <w:r>
            <w:rPr>
              <w:rFonts w:eastAsia="Times New Roman"/>
            </w:rPr>
            <w:t>Goeta</w:t>
          </w:r>
          <w:proofErr w:type="spellEnd"/>
          <w:r>
            <w:rPr>
              <w:rFonts w:eastAsia="Times New Roman"/>
            </w:rPr>
            <w:t xml:space="preserve">, D., Barbieri, V., Ricciardi, L., </w:t>
          </w:r>
          <w:proofErr w:type="spellStart"/>
          <w:r>
            <w:rPr>
              <w:rFonts w:eastAsia="Times New Roman"/>
            </w:rPr>
            <w:t>Canevini</w:t>
          </w:r>
          <w:proofErr w:type="spellEnd"/>
          <w:r>
            <w:rPr>
              <w:rFonts w:eastAsia="Times New Roman"/>
            </w:rPr>
            <w:t xml:space="preserve">, M. P., Turner, K., D’Agostino, A., </w:t>
          </w:r>
          <w:proofErr w:type="spellStart"/>
          <w:r>
            <w:rPr>
              <w:rFonts w:eastAsia="Times New Roman"/>
            </w:rPr>
            <w:t>Romito</w:t>
          </w:r>
          <w:proofErr w:type="spellEnd"/>
          <w:r>
            <w:rPr>
              <w:rFonts w:eastAsia="Times New Roman"/>
            </w:rPr>
            <w:t xml:space="preserve">, L., &amp; </w:t>
          </w:r>
          <w:proofErr w:type="spellStart"/>
          <w:r>
            <w:rPr>
              <w:rFonts w:eastAsia="Times New Roman"/>
            </w:rPr>
            <w:t>Gambini</w:t>
          </w:r>
          <w:proofErr w:type="spellEnd"/>
          <w:r>
            <w:rPr>
              <w:rFonts w:eastAsia="Times New Roman"/>
            </w:rPr>
            <w:t xml:space="preserve">, O. (2016). Psychogenic non-epileptic seizures and functional motor symptoms: A common phenomenology? </w:t>
          </w:r>
          <w:r>
            <w:rPr>
              <w:rFonts w:eastAsia="Times New Roman"/>
              <w:i/>
              <w:iCs/>
            </w:rPr>
            <w:t xml:space="preserve">J </w:t>
          </w:r>
          <w:proofErr w:type="spellStart"/>
          <w:r>
            <w:rPr>
              <w:rFonts w:eastAsia="Times New Roman"/>
              <w:i/>
              <w:iCs/>
            </w:rPr>
            <w:t>Neurol</w:t>
          </w:r>
          <w:proofErr w:type="spellEnd"/>
          <w:r>
            <w:rPr>
              <w:rFonts w:eastAsia="Times New Roman"/>
              <w:i/>
              <w:iCs/>
            </w:rPr>
            <w:t xml:space="preserve"> Sci</w:t>
          </w:r>
          <w:r>
            <w:rPr>
              <w:rFonts w:eastAsia="Times New Roman"/>
            </w:rPr>
            <w:t xml:space="preserve">, </w:t>
          </w:r>
          <w:r>
            <w:rPr>
              <w:rFonts w:eastAsia="Times New Roman"/>
              <w:i/>
              <w:iCs/>
            </w:rPr>
            <w:t>368</w:t>
          </w:r>
          <w:r>
            <w:rPr>
              <w:rFonts w:eastAsia="Times New Roman"/>
            </w:rPr>
            <w:t>, 49–54. https://doi.org/10.1016/j.jns.2016.06.045</w:t>
          </w:r>
        </w:p>
        <w:p w14:paraId="73FE54D1" w14:textId="77777777" w:rsidR="00EC7CE1" w:rsidRDefault="00EC7CE1">
          <w:pPr>
            <w:autoSpaceDE w:val="0"/>
            <w:autoSpaceDN w:val="0"/>
            <w:ind w:hanging="480"/>
            <w:divId w:val="2130853977"/>
            <w:rPr>
              <w:rFonts w:eastAsia="Times New Roman"/>
            </w:rPr>
          </w:pPr>
          <w:r>
            <w:rPr>
              <w:rFonts w:eastAsia="Times New Roman"/>
            </w:rPr>
            <w:t xml:space="preserve">Demartini, B., </w:t>
          </w:r>
          <w:proofErr w:type="spellStart"/>
          <w:r>
            <w:rPr>
              <w:rFonts w:eastAsia="Times New Roman"/>
            </w:rPr>
            <w:t>Petrochilos</w:t>
          </w:r>
          <w:proofErr w:type="spellEnd"/>
          <w:r>
            <w:rPr>
              <w:rFonts w:eastAsia="Times New Roman"/>
            </w:rPr>
            <w:t xml:space="preserve">, P., Ricciardi, L., Price, G., Edwards, M. J., &amp; Joyce, E. (2014). The role of alexithymia in the development of functional motor symptoms (conversion disorder). </w:t>
          </w:r>
          <w:r>
            <w:rPr>
              <w:rFonts w:eastAsia="Times New Roman"/>
              <w:i/>
              <w:iCs/>
            </w:rPr>
            <w:t>Journal of Neurology, Neurosurgery &amp; Psychiatry</w:t>
          </w:r>
          <w:r>
            <w:rPr>
              <w:rFonts w:eastAsia="Times New Roman"/>
            </w:rPr>
            <w:t xml:space="preserve">, </w:t>
          </w:r>
          <w:r>
            <w:rPr>
              <w:rFonts w:eastAsia="Times New Roman"/>
              <w:i/>
              <w:iCs/>
            </w:rPr>
            <w:t>85</w:t>
          </w:r>
          <w:r>
            <w:rPr>
              <w:rFonts w:eastAsia="Times New Roman"/>
            </w:rPr>
            <w:t>(10), 1132–1137. https://doi.org/10.1136/JNNP-2013-307203</w:t>
          </w:r>
        </w:p>
        <w:p w14:paraId="7F08D321" w14:textId="77777777" w:rsidR="00EC7CE1" w:rsidRDefault="00EC7CE1">
          <w:pPr>
            <w:autoSpaceDE w:val="0"/>
            <w:autoSpaceDN w:val="0"/>
            <w:ind w:hanging="480"/>
            <w:divId w:val="809136254"/>
            <w:rPr>
              <w:rFonts w:eastAsia="Times New Roman"/>
            </w:rPr>
          </w:pPr>
          <w:proofErr w:type="spellStart"/>
          <w:r>
            <w:rPr>
              <w:rFonts w:eastAsia="Times New Roman"/>
            </w:rPr>
            <w:t>Dezetter</w:t>
          </w:r>
          <w:proofErr w:type="spellEnd"/>
          <w:r>
            <w:rPr>
              <w:rFonts w:eastAsia="Times New Roman"/>
            </w:rPr>
            <w:t xml:space="preserve">, A., </w:t>
          </w:r>
          <w:proofErr w:type="spellStart"/>
          <w:r>
            <w:rPr>
              <w:rFonts w:eastAsia="Times New Roman"/>
            </w:rPr>
            <w:t>Briffault</w:t>
          </w:r>
          <w:proofErr w:type="spellEnd"/>
          <w:r>
            <w:rPr>
              <w:rFonts w:eastAsia="Times New Roman"/>
            </w:rPr>
            <w:t xml:space="preserve">, X., Ben </w:t>
          </w:r>
          <w:proofErr w:type="spellStart"/>
          <w:r>
            <w:rPr>
              <w:rFonts w:eastAsia="Times New Roman"/>
            </w:rPr>
            <w:t>Lakhdar</w:t>
          </w:r>
          <w:proofErr w:type="spellEnd"/>
          <w:r>
            <w:rPr>
              <w:rFonts w:eastAsia="Times New Roman"/>
            </w:rPr>
            <w:t xml:space="preserve">, C., &amp; </w:t>
          </w:r>
          <w:proofErr w:type="spellStart"/>
          <w:r>
            <w:rPr>
              <w:rFonts w:eastAsia="Times New Roman"/>
            </w:rPr>
            <w:t>Kovess-Masfety</w:t>
          </w:r>
          <w:proofErr w:type="spellEnd"/>
          <w:r>
            <w:rPr>
              <w:rFonts w:eastAsia="Times New Roman"/>
            </w:rPr>
            <w:t xml:space="preserve">, V. (2013). Costs and Benefits of Improving Access to Psychotherapies for Common Mental Disorders. </w:t>
          </w:r>
          <w:r>
            <w:rPr>
              <w:rFonts w:eastAsia="Times New Roman"/>
              <w:i/>
              <w:iCs/>
            </w:rPr>
            <w:t>The Journal of Mental Health Policy and Economics</w:t>
          </w:r>
          <w:r>
            <w:rPr>
              <w:rFonts w:eastAsia="Times New Roman"/>
            </w:rPr>
            <w:t xml:space="preserve">, </w:t>
          </w:r>
          <w:r>
            <w:rPr>
              <w:rFonts w:eastAsia="Times New Roman"/>
              <w:i/>
              <w:iCs/>
            </w:rPr>
            <w:t>16</w:t>
          </w:r>
          <w:r>
            <w:rPr>
              <w:rFonts w:eastAsia="Times New Roman"/>
            </w:rPr>
            <w:t>, 161–177.</w:t>
          </w:r>
        </w:p>
        <w:p w14:paraId="109886E9" w14:textId="77777777" w:rsidR="00EC7CE1" w:rsidRDefault="00EC7CE1">
          <w:pPr>
            <w:autoSpaceDE w:val="0"/>
            <w:autoSpaceDN w:val="0"/>
            <w:ind w:hanging="480"/>
            <w:divId w:val="1171067484"/>
            <w:rPr>
              <w:rFonts w:eastAsia="Times New Roman"/>
            </w:rPr>
          </w:pPr>
          <w:proofErr w:type="spellStart"/>
          <w:r>
            <w:rPr>
              <w:rFonts w:eastAsia="Times New Roman"/>
            </w:rPr>
            <w:t>Dhand</w:t>
          </w:r>
          <w:proofErr w:type="spellEnd"/>
          <w:r>
            <w:rPr>
              <w:rFonts w:eastAsia="Times New Roman"/>
            </w:rPr>
            <w:t xml:space="preserve">, A., Luke, D. A., Lang, C. E., &amp; Lee, J. M. (2016). Social networks and neurological illness. </w:t>
          </w:r>
          <w:r>
            <w:rPr>
              <w:rFonts w:eastAsia="Times New Roman"/>
              <w:i/>
              <w:iCs/>
            </w:rPr>
            <w:t>Nature Reviews Neurology 2016 12:10</w:t>
          </w:r>
          <w:r>
            <w:rPr>
              <w:rFonts w:eastAsia="Times New Roman"/>
            </w:rPr>
            <w:t xml:space="preserve">, </w:t>
          </w:r>
          <w:r>
            <w:rPr>
              <w:rFonts w:eastAsia="Times New Roman"/>
              <w:i/>
              <w:iCs/>
            </w:rPr>
            <w:t>12</w:t>
          </w:r>
          <w:r>
            <w:rPr>
              <w:rFonts w:eastAsia="Times New Roman"/>
            </w:rPr>
            <w:t>(10), 605–612. https://doi.org/10.1038/nrneurol.2016.119</w:t>
          </w:r>
        </w:p>
        <w:p w14:paraId="467C5E1A" w14:textId="77777777" w:rsidR="00EC7CE1" w:rsidRDefault="00EC7CE1">
          <w:pPr>
            <w:autoSpaceDE w:val="0"/>
            <w:autoSpaceDN w:val="0"/>
            <w:ind w:hanging="480"/>
            <w:divId w:val="1716268863"/>
            <w:rPr>
              <w:rFonts w:eastAsia="Times New Roman"/>
            </w:rPr>
          </w:pPr>
          <w:r>
            <w:rPr>
              <w:rFonts w:eastAsia="Times New Roman"/>
            </w:rPr>
            <w:t xml:space="preserve">Dickson, J. M., </w:t>
          </w:r>
          <w:proofErr w:type="spellStart"/>
          <w:r>
            <w:rPr>
              <w:rFonts w:eastAsia="Times New Roman"/>
            </w:rPr>
            <w:t>Dudhill</w:t>
          </w:r>
          <w:proofErr w:type="spellEnd"/>
          <w:r>
            <w:rPr>
              <w:rFonts w:eastAsia="Times New Roman"/>
            </w:rPr>
            <w:t xml:space="preserve">, H., Shewan, J., Mason, S., </w:t>
          </w:r>
          <w:proofErr w:type="spellStart"/>
          <w:r>
            <w:rPr>
              <w:rFonts w:eastAsia="Times New Roman"/>
            </w:rPr>
            <w:t>Grünewald</w:t>
          </w:r>
          <w:proofErr w:type="spellEnd"/>
          <w:r>
            <w:rPr>
              <w:rFonts w:eastAsia="Times New Roman"/>
            </w:rPr>
            <w:t xml:space="preserve">, R. A., &amp; Reuber, M. (2017). Cross-sectional study of the hospital management of adult patients with a suspected seizure (EPIC2). </w:t>
          </w:r>
          <w:r>
            <w:rPr>
              <w:rFonts w:eastAsia="Times New Roman"/>
              <w:i/>
              <w:iCs/>
            </w:rPr>
            <w:t>BMJ Open</w:t>
          </w:r>
          <w:r>
            <w:rPr>
              <w:rFonts w:eastAsia="Times New Roman"/>
            </w:rPr>
            <w:t xml:space="preserve">, </w:t>
          </w:r>
          <w:r>
            <w:rPr>
              <w:rFonts w:eastAsia="Times New Roman"/>
              <w:i/>
              <w:iCs/>
            </w:rPr>
            <w:t>7</w:t>
          </w:r>
          <w:r>
            <w:rPr>
              <w:rFonts w:eastAsia="Times New Roman"/>
            </w:rPr>
            <w:t>(7), e015696. https://doi.org/10.1136/bmjopen-2016-015696</w:t>
          </w:r>
        </w:p>
        <w:p w14:paraId="2C32F3E6" w14:textId="77777777" w:rsidR="00EC7CE1" w:rsidRDefault="00EC7CE1">
          <w:pPr>
            <w:autoSpaceDE w:val="0"/>
            <w:autoSpaceDN w:val="0"/>
            <w:ind w:hanging="480"/>
            <w:divId w:val="480460289"/>
            <w:rPr>
              <w:rFonts w:eastAsia="Times New Roman"/>
            </w:rPr>
          </w:pPr>
          <w:r>
            <w:rPr>
              <w:rFonts w:eastAsia="Times New Roman"/>
            </w:rPr>
            <w:t>Diez, I., Ortiz-</w:t>
          </w:r>
          <w:proofErr w:type="spellStart"/>
          <w:r>
            <w:rPr>
              <w:rFonts w:eastAsia="Times New Roman"/>
            </w:rPr>
            <w:t>Terán</w:t>
          </w:r>
          <w:proofErr w:type="spellEnd"/>
          <w:r>
            <w:rPr>
              <w:rFonts w:eastAsia="Times New Roman"/>
            </w:rPr>
            <w:t xml:space="preserve">, L., Williams, B., </w:t>
          </w:r>
          <w:proofErr w:type="spellStart"/>
          <w:r>
            <w:rPr>
              <w:rFonts w:eastAsia="Times New Roman"/>
            </w:rPr>
            <w:t>Jalilianhasanpour</w:t>
          </w:r>
          <w:proofErr w:type="spellEnd"/>
          <w:r>
            <w:rPr>
              <w:rFonts w:eastAsia="Times New Roman"/>
            </w:rPr>
            <w:t xml:space="preserve">, R., Ospina, J. P., Dickerson, B. C., </w:t>
          </w:r>
          <w:proofErr w:type="spellStart"/>
          <w:r>
            <w:rPr>
              <w:rFonts w:eastAsia="Times New Roman"/>
            </w:rPr>
            <w:t>Keshavan</w:t>
          </w:r>
          <w:proofErr w:type="spellEnd"/>
          <w:r>
            <w:rPr>
              <w:rFonts w:eastAsia="Times New Roman"/>
            </w:rPr>
            <w:t xml:space="preserve">, M. S., LaFrance Jr, W. C., </w:t>
          </w:r>
          <w:proofErr w:type="spellStart"/>
          <w:r>
            <w:rPr>
              <w:rFonts w:eastAsia="Times New Roman"/>
            </w:rPr>
            <w:t>Sepulcre</w:t>
          </w:r>
          <w:proofErr w:type="spellEnd"/>
          <w:r>
            <w:rPr>
              <w:rFonts w:eastAsia="Times New Roman"/>
            </w:rPr>
            <w:t xml:space="preserve">, J., &amp; Perez, D. L. (2019). Corticolimbic fast-tracking: enhanced multimodal integration in functional neurological disorder. </w:t>
          </w:r>
          <w:r>
            <w:rPr>
              <w:rFonts w:eastAsia="Times New Roman"/>
              <w:i/>
              <w:iCs/>
            </w:rPr>
            <w:t>Journal of Neurology, Neurosurgery &amp;</w:t>
          </w:r>
          <w:proofErr w:type="spellStart"/>
          <w:r>
            <w:rPr>
              <w:rFonts w:eastAsia="Times New Roman"/>
              <w:i/>
              <w:iCs/>
            </w:rPr>
            <w:t>amp;Amp</w:t>
          </w:r>
          <w:proofErr w:type="spellEnd"/>
          <w:r>
            <w:rPr>
              <w:rFonts w:eastAsia="Times New Roman"/>
              <w:i/>
              <w:iCs/>
            </w:rPr>
            <w:t>; Psychiatry</w:t>
          </w:r>
          <w:r>
            <w:rPr>
              <w:rFonts w:eastAsia="Times New Roman"/>
            </w:rPr>
            <w:t xml:space="preserve">, </w:t>
          </w:r>
          <w:r>
            <w:rPr>
              <w:rFonts w:eastAsia="Times New Roman"/>
              <w:i/>
              <w:iCs/>
            </w:rPr>
            <w:t>90</w:t>
          </w:r>
          <w:r>
            <w:rPr>
              <w:rFonts w:eastAsia="Times New Roman"/>
            </w:rPr>
            <w:t>(8), 929. https://doi.org/10.1136/jnnp-2018-319657</w:t>
          </w:r>
        </w:p>
        <w:p w14:paraId="39C379F9" w14:textId="77777777" w:rsidR="00EC7CE1" w:rsidRDefault="00EC7CE1">
          <w:pPr>
            <w:autoSpaceDE w:val="0"/>
            <w:autoSpaceDN w:val="0"/>
            <w:ind w:hanging="480"/>
            <w:divId w:val="1140806471"/>
            <w:rPr>
              <w:rFonts w:eastAsia="Times New Roman"/>
            </w:rPr>
          </w:pPr>
          <w:proofErr w:type="spellStart"/>
          <w:r>
            <w:rPr>
              <w:rFonts w:eastAsia="Times New Roman"/>
            </w:rPr>
            <w:lastRenderedPageBreak/>
            <w:t>Dilorio</w:t>
          </w:r>
          <w:proofErr w:type="spellEnd"/>
          <w:r>
            <w:rPr>
              <w:rFonts w:eastAsia="Times New Roman"/>
            </w:rPr>
            <w:t xml:space="preserve">, C., &amp; </w:t>
          </w:r>
          <w:proofErr w:type="spellStart"/>
          <w:r>
            <w:rPr>
              <w:rFonts w:eastAsia="Times New Roman"/>
            </w:rPr>
            <w:t>Faherty</w:t>
          </w:r>
          <w:proofErr w:type="spellEnd"/>
          <w:r>
            <w:rPr>
              <w:rFonts w:eastAsia="Times New Roman"/>
            </w:rPr>
            <w:t xml:space="preserve">, B. (1994). Epilepsy self-management: Partial replication and extension. </w:t>
          </w:r>
          <w:r>
            <w:rPr>
              <w:rFonts w:eastAsia="Times New Roman"/>
              <w:i/>
              <w:iCs/>
            </w:rPr>
            <w:t>Research in Nursing &amp; Health</w:t>
          </w:r>
          <w:r>
            <w:rPr>
              <w:rFonts w:eastAsia="Times New Roman"/>
            </w:rPr>
            <w:t xml:space="preserve">, </w:t>
          </w:r>
          <w:r>
            <w:rPr>
              <w:rFonts w:eastAsia="Times New Roman"/>
              <w:i/>
              <w:iCs/>
            </w:rPr>
            <w:t>17</w:t>
          </w:r>
          <w:r>
            <w:rPr>
              <w:rFonts w:eastAsia="Times New Roman"/>
            </w:rPr>
            <w:t>(3), 167–174. https://doi.org/10.1002/NUR.4770170304</w:t>
          </w:r>
        </w:p>
        <w:p w14:paraId="1B2B20DF" w14:textId="77777777" w:rsidR="00EC7CE1" w:rsidRDefault="00EC7CE1">
          <w:pPr>
            <w:autoSpaceDE w:val="0"/>
            <w:autoSpaceDN w:val="0"/>
            <w:ind w:hanging="480"/>
            <w:divId w:val="1591235905"/>
            <w:rPr>
              <w:rFonts w:eastAsia="Times New Roman"/>
            </w:rPr>
          </w:pPr>
          <w:proofErr w:type="spellStart"/>
          <w:r>
            <w:rPr>
              <w:rFonts w:eastAsia="Times New Roman"/>
            </w:rPr>
            <w:t>Dilorio</w:t>
          </w:r>
          <w:proofErr w:type="spellEnd"/>
          <w:r>
            <w:rPr>
              <w:rFonts w:eastAsia="Times New Roman"/>
            </w:rPr>
            <w:t xml:space="preserve">, C., </w:t>
          </w:r>
          <w:proofErr w:type="spellStart"/>
          <w:r>
            <w:rPr>
              <w:rFonts w:eastAsia="Times New Roman"/>
            </w:rPr>
            <w:t>Faherty</w:t>
          </w:r>
          <w:proofErr w:type="spellEnd"/>
          <w:r>
            <w:rPr>
              <w:rFonts w:eastAsia="Times New Roman"/>
            </w:rPr>
            <w:t xml:space="preserve">, B., Manteuffel, B., </w:t>
          </w:r>
          <w:proofErr w:type="spellStart"/>
          <w:r>
            <w:rPr>
              <w:rFonts w:eastAsia="Times New Roman"/>
            </w:rPr>
            <w:t>Hoeffer</w:t>
          </w:r>
          <w:proofErr w:type="spellEnd"/>
          <w:r>
            <w:rPr>
              <w:rFonts w:eastAsia="Times New Roman"/>
            </w:rPr>
            <w:t xml:space="preserve">, B., &amp; Hilbert, G. A. (1992). Self-Efficacy and Social Support in Self-Management of Epilepsy. </w:t>
          </w:r>
          <w:r>
            <w:rPr>
              <w:rFonts w:eastAsia="Times New Roman"/>
              <w:i/>
              <w:iCs/>
            </w:rPr>
            <w:t>Western Journal of Nursing Research</w:t>
          </w:r>
          <w:r>
            <w:rPr>
              <w:rFonts w:eastAsia="Times New Roman"/>
            </w:rPr>
            <w:t xml:space="preserve">, </w:t>
          </w:r>
          <w:r>
            <w:rPr>
              <w:rFonts w:eastAsia="Times New Roman"/>
              <w:i/>
              <w:iCs/>
            </w:rPr>
            <w:t>14</w:t>
          </w:r>
          <w:r>
            <w:rPr>
              <w:rFonts w:eastAsia="Times New Roman"/>
            </w:rPr>
            <w:t>(3), 292–307. https://doi.org/10.1177/019394599201400303/ASSET/019394599201400303.FP.PNG_V03</w:t>
          </w:r>
        </w:p>
        <w:p w14:paraId="6098D590" w14:textId="77777777" w:rsidR="00EC7CE1" w:rsidRDefault="00EC7CE1">
          <w:pPr>
            <w:autoSpaceDE w:val="0"/>
            <w:autoSpaceDN w:val="0"/>
            <w:ind w:hanging="480"/>
            <w:divId w:val="841239815"/>
            <w:rPr>
              <w:rFonts w:eastAsia="Times New Roman"/>
            </w:rPr>
          </w:pPr>
          <w:proofErr w:type="spellStart"/>
          <w:r>
            <w:rPr>
              <w:rFonts w:eastAsia="Times New Roman"/>
            </w:rPr>
            <w:t>Dimaro</w:t>
          </w:r>
          <w:proofErr w:type="spellEnd"/>
          <w:r>
            <w:rPr>
              <w:rFonts w:eastAsia="Times New Roman"/>
            </w:rPr>
            <w:t xml:space="preserve">, L. V, Dawson, D. L., Roberts, N. A., Brown, I., Moghaddam, N. G., &amp; Reuber, M. (2014). Anxiety and avoidance in psychogenic nonepileptic seizures: The role of implicit and explicit anxiety. </w:t>
          </w:r>
          <w:r>
            <w:rPr>
              <w:rFonts w:eastAsia="Times New Roman"/>
              <w:i/>
              <w:iCs/>
            </w:rPr>
            <w:t xml:space="preserve">Epilepsy &amp; </w:t>
          </w:r>
          <w:proofErr w:type="spellStart"/>
          <w:r>
            <w:rPr>
              <w:rFonts w:eastAsia="Times New Roman"/>
              <w:i/>
              <w:iCs/>
            </w:rPr>
            <w:t>Behavior</w:t>
          </w:r>
          <w:proofErr w:type="spellEnd"/>
          <w:r>
            <w:rPr>
              <w:rFonts w:eastAsia="Times New Roman"/>
            </w:rPr>
            <w:t xml:space="preserve">, </w:t>
          </w:r>
          <w:r>
            <w:rPr>
              <w:rFonts w:eastAsia="Times New Roman"/>
              <w:i/>
              <w:iCs/>
            </w:rPr>
            <w:t>33</w:t>
          </w:r>
          <w:r>
            <w:rPr>
              <w:rFonts w:eastAsia="Times New Roman"/>
            </w:rPr>
            <w:t>, 77–86. https://doi.org/10.1016/j.yebeh.2014.02.016</w:t>
          </w:r>
        </w:p>
        <w:p w14:paraId="6245EB3F" w14:textId="77777777" w:rsidR="00EC7CE1" w:rsidRDefault="00EC7CE1">
          <w:pPr>
            <w:autoSpaceDE w:val="0"/>
            <w:autoSpaceDN w:val="0"/>
            <w:ind w:hanging="480"/>
            <w:divId w:val="343942435"/>
            <w:rPr>
              <w:rFonts w:eastAsia="Times New Roman"/>
            </w:rPr>
          </w:pPr>
          <w:proofErr w:type="spellStart"/>
          <w:r>
            <w:rPr>
              <w:rFonts w:eastAsia="Times New Roman"/>
            </w:rPr>
            <w:t>Dimaro</w:t>
          </w:r>
          <w:proofErr w:type="spellEnd"/>
          <w:r>
            <w:rPr>
              <w:rFonts w:eastAsia="Times New Roman"/>
            </w:rPr>
            <w:t xml:space="preserve">, L. V., Roberts, N. A., Moghaddam, N. G., Dawson, D. L., Brown, I., &amp; Reuber, M. (2015). Implicit and explicit self-esteem discrepancies in people with psychogenic nonepileptic seizures.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46</w:t>
          </w:r>
          <w:r>
            <w:rPr>
              <w:rFonts w:eastAsia="Times New Roman"/>
            </w:rPr>
            <w:t>, 109–117. https://doi.org/10.1016/J.YEBEH.2015.03.032</w:t>
          </w:r>
        </w:p>
        <w:p w14:paraId="2F5ECC58" w14:textId="77777777" w:rsidR="00EC7CE1" w:rsidRDefault="00EC7CE1">
          <w:pPr>
            <w:autoSpaceDE w:val="0"/>
            <w:autoSpaceDN w:val="0"/>
            <w:ind w:hanging="480"/>
            <w:divId w:val="841352860"/>
            <w:rPr>
              <w:rFonts w:eastAsia="Times New Roman"/>
            </w:rPr>
          </w:pPr>
          <w:r>
            <w:rPr>
              <w:rFonts w:eastAsia="Times New Roman"/>
            </w:rPr>
            <w:t xml:space="preserve">Ding, J. M., &amp; Kanaan, R. A. A. (2017). Conversion disorder: A systematic review of current terminology. </w:t>
          </w:r>
          <w:r>
            <w:rPr>
              <w:rFonts w:eastAsia="Times New Roman"/>
              <w:i/>
              <w:iCs/>
            </w:rPr>
            <w:t>General Hospital Psychiatry</w:t>
          </w:r>
          <w:r>
            <w:rPr>
              <w:rFonts w:eastAsia="Times New Roman"/>
            </w:rPr>
            <w:t xml:space="preserve">, </w:t>
          </w:r>
          <w:r>
            <w:rPr>
              <w:rFonts w:eastAsia="Times New Roman"/>
              <w:i/>
              <w:iCs/>
            </w:rPr>
            <w:t>45</w:t>
          </w:r>
          <w:r>
            <w:rPr>
              <w:rFonts w:eastAsia="Times New Roman"/>
            </w:rPr>
            <w:t>, 51–55. https://doi.org/10.1016/J.GENHOSPPSYCH.2016.12.009</w:t>
          </w:r>
        </w:p>
        <w:p w14:paraId="62D21A7E" w14:textId="77777777" w:rsidR="00EC7CE1" w:rsidRDefault="00EC7CE1">
          <w:pPr>
            <w:autoSpaceDE w:val="0"/>
            <w:autoSpaceDN w:val="0"/>
            <w:ind w:hanging="480"/>
            <w:divId w:val="700977780"/>
            <w:rPr>
              <w:rFonts w:eastAsia="Times New Roman"/>
            </w:rPr>
          </w:pPr>
          <w:r>
            <w:rPr>
              <w:rFonts w:eastAsia="Times New Roman"/>
            </w:rPr>
            <w:t xml:space="preserve">Dolezal, L., &amp; Lyons, B. (2017). Health-related shame: an affective determinant of health? </w:t>
          </w:r>
          <w:r>
            <w:rPr>
              <w:rFonts w:eastAsia="Times New Roman"/>
              <w:i/>
              <w:iCs/>
            </w:rPr>
            <w:t>Medical Humanities</w:t>
          </w:r>
          <w:r>
            <w:rPr>
              <w:rFonts w:eastAsia="Times New Roman"/>
            </w:rPr>
            <w:t xml:space="preserve">, </w:t>
          </w:r>
          <w:r>
            <w:rPr>
              <w:rFonts w:eastAsia="Times New Roman"/>
              <w:i/>
              <w:iCs/>
            </w:rPr>
            <w:t>43</w:t>
          </w:r>
          <w:r>
            <w:rPr>
              <w:rFonts w:eastAsia="Times New Roman"/>
            </w:rPr>
            <w:t>(4), 257–263. https://doi.org/10.1136/MEDHUM-2017-011186</w:t>
          </w:r>
        </w:p>
        <w:p w14:paraId="314F3B67" w14:textId="77777777" w:rsidR="00EC7CE1" w:rsidRDefault="00EC7CE1">
          <w:pPr>
            <w:autoSpaceDE w:val="0"/>
            <w:autoSpaceDN w:val="0"/>
            <w:ind w:hanging="480"/>
            <w:divId w:val="1746537145"/>
            <w:rPr>
              <w:rFonts w:eastAsia="Times New Roman"/>
            </w:rPr>
          </w:pPr>
          <w:proofErr w:type="spellStart"/>
          <w:r>
            <w:rPr>
              <w:rFonts w:eastAsia="Times New Roman"/>
            </w:rPr>
            <w:t>Drane</w:t>
          </w:r>
          <w:proofErr w:type="spellEnd"/>
          <w:r>
            <w:rPr>
              <w:rFonts w:eastAsia="Times New Roman"/>
            </w:rPr>
            <w:t xml:space="preserve">, D. L., </w:t>
          </w:r>
          <w:proofErr w:type="spellStart"/>
          <w:r>
            <w:rPr>
              <w:rFonts w:eastAsia="Times New Roman"/>
            </w:rPr>
            <w:t>Fani</w:t>
          </w:r>
          <w:proofErr w:type="spellEnd"/>
          <w:r>
            <w:rPr>
              <w:rFonts w:eastAsia="Times New Roman"/>
            </w:rPr>
            <w:t xml:space="preserve">, N., Hallett, M., Khalsa, S. S., Perez, D. L., &amp; Roberts, N. A. (2021). A framework for understanding the pathophysiology of functional neurological disorder. </w:t>
          </w:r>
          <w:r>
            <w:rPr>
              <w:rFonts w:eastAsia="Times New Roman"/>
              <w:i/>
              <w:iCs/>
            </w:rPr>
            <w:t>CNS Spectrums</w:t>
          </w:r>
          <w:r>
            <w:rPr>
              <w:rFonts w:eastAsia="Times New Roman"/>
            </w:rPr>
            <w:t xml:space="preserve">, </w:t>
          </w:r>
          <w:r>
            <w:rPr>
              <w:rFonts w:eastAsia="Times New Roman"/>
              <w:i/>
              <w:iCs/>
            </w:rPr>
            <w:t>26</w:t>
          </w:r>
          <w:r>
            <w:rPr>
              <w:rFonts w:eastAsia="Times New Roman"/>
            </w:rPr>
            <w:t>(6), 555–561. https://doi.org/10.1017/S1092852920001789</w:t>
          </w:r>
        </w:p>
        <w:p w14:paraId="47A699E9" w14:textId="77777777" w:rsidR="00EC7CE1" w:rsidRDefault="00EC7CE1">
          <w:pPr>
            <w:autoSpaceDE w:val="0"/>
            <w:autoSpaceDN w:val="0"/>
            <w:ind w:hanging="480"/>
            <w:divId w:val="1472402362"/>
            <w:rPr>
              <w:rFonts w:eastAsia="Times New Roman"/>
            </w:rPr>
          </w:pPr>
          <w:proofErr w:type="spellStart"/>
          <w:r>
            <w:rPr>
              <w:rFonts w:eastAsia="Times New Roman"/>
            </w:rPr>
            <w:t>Ducroizet</w:t>
          </w:r>
          <w:proofErr w:type="spellEnd"/>
          <w:r>
            <w:rPr>
              <w:rFonts w:eastAsia="Times New Roman"/>
            </w:rPr>
            <w:t xml:space="preserve">, A., </w:t>
          </w:r>
          <w:proofErr w:type="spellStart"/>
          <w:r>
            <w:rPr>
              <w:rFonts w:eastAsia="Times New Roman"/>
            </w:rPr>
            <w:t>Zimianti</w:t>
          </w:r>
          <w:proofErr w:type="spellEnd"/>
          <w:r>
            <w:rPr>
              <w:rFonts w:eastAsia="Times New Roman"/>
            </w:rPr>
            <w:t xml:space="preserve">, I., Golder, D., Hearne, K., Edwards, M., Nielsen, G., &amp; </w:t>
          </w:r>
          <w:proofErr w:type="spellStart"/>
          <w:r>
            <w:rPr>
              <w:rFonts w:eastAsia="Times New Roman"/>
            </w:rPr>
            <w:t>Coebergh</w:t>
          </w:r>
          <w:proofErr w:type="spellEnd"/>
          <w:r>
            <w:rPr>
              <w:rFonts w:eastAsia="Times New Roman"/>
            </w:rPr>
            <w:t xml:space="preserve">, J. (2023). Functional neurological disorder: Clinical manifestations and comorbidities; an online survey. </w:t>
          </w:r>
          <w:r>
            <w:rPr>
              <w:rFonts w:eastAsia="Times New Roman"/>
              <w:i/>
              <w:iCs/>
            </w:rPr>
            <w:t>Journal of Clinical Neuroscience</w:t>
          </w:r>
          <w:r>
            <w:rPr>
              <w:rFonts w:eastAsia="Times New Roman"/>
            </w:rPr>
            <w:t xml:space="preserve">, </w:t>
          </w:r>
          <w:r>
            <w:rPr>
              <w:rFonts w:eastAsia="Times New Roman"/>
              <w:i/>
              <w:iCs/>
            </w:rPr>
            <w:t>110</w:t>
          </w:r>
          <w:r>
            <w:rPr>
              <w:rFonts w:eastAsia="Times New Roman"/>
            </w:rPr>
            <w:t>, 116–125. https://doi.org/10.1016/J.JOCN.2023.02.014</w:t>
          </w:r>
        </w:p>
        <w:p w14:paraId="5D6B6206" w14:textId="77777777" w:rsidR="00EC7CE1" w:rsidRDefault="00EC7CE1">
          <w:pPr>
            <w:autoSpaceDE w:val="0"/>
            <w:autoSpaceDN w:val="0"/>
            <w:ind w:hanging="480"/>
            <w:divId w:val="1590188671"/>
            <w:rPr>
              <w:rFonts w:eastAsia="Times New Roman"/>
            </w:rPr>
          </w:pPr>
          <w:r>
            <w:rPr>
              <w:rFonts w:eastAsia="Times New Roman"/>
            </w:rPr>
            <w:t xml:space="preserve">Duncan, A. J., </w:t>
          </w:r>
          <w:proofErr w:type="spellStart"/>
          <w:r>
            <w:rPr>
              <w:rFonts w:eastAsia="Times New Roman"/>
            </w:rPr>
            <w:t>Peric</w:t>
          </w:r>
          <w:proofErr w:type="spellEnd"/>
          <w:r>
            <w:rPr>
              <w:rFonts w:eastAsia="Times New Roman"/>
            </w:rPr>
            <w:t xml:space="preserve">, I., Boston, R., &amp; Seneviratne, U. (2022). Predictive semiology of psychogenic non-epileptic seizures in an epilepsy monitoring unit. </w:t>
          </w:r>
          <w:r>
            <w:rPr>
              <w:rFonts w:eastAsia="Times New Roman"/>
              <w:i/>
              <w:iCs/>
            </w:rPr>
            <w:t>Journal of Neurology</w:t>
          </w:r>
          <w:r>
            <w:rPr>
              <w:rFonts w:eastAsia="Times New Roman"/>
            </w:rPr>
            <w:t xml:space="preserve">, </w:t>
          </w:r>
          <w:r>
            <w:rPr>
              <w:rFonts w:eastAsia="Times New Roman"/>
              <w:i/>
              <w:iCs/>
            </w:rPr>
            <w:t>269</w:t>
          </w:r>
          <w:r>
            <w:rPr>
              <w:rFonts w:eastAsia="Times New Roman"/>
            </w:rPr>
            <w:t>(4), 2172–2178. https://doi.org/10.1007/S00415-021-10805-1</w:t>
          </w:r>
        </w:p>
        <w:p w14:paraId="7B9C6CF9" w14:textId="77777777" w:rsidR="00EC7CE1" w:rsidRDefault="00EC7CE1">
          <w:pPr>
            <w:autoSpaceDE w:val="0"/>
            <w:autoSpaceDN w:val="0"/>
            <w:ind w:hanging="480"/>
            <w:divId w:val="1307737034"/>
            <w:rPr>
              <w:rFonts w:eastAsia="Times New Roman"/>
            </w:rPr>
          </w:pPr>
          <w:r>
            <w:rPr>
              <w:rFonts w:eastAsia="Times New Roman"/>
            </w:rPr>
            <w:lastRenderedPageBreak/>
            <w:t xml:space="preserve">Duncan, R., </w:t>
          </w:r>
          <w:proofErr w:type="spellStart"/>
          <w:r>
            <w:rPr>
              <w:rFonts w:eastAsia="Times New Roman"/>
            </w:rPr>
            <w:t>Razvi</w:t>
          </w:r>
          <w:proofErr w:type="spellEnd"/>
          <w:r>
            <w:rPr>
              <w:rFonts w:eastAsia="Times New Roman"/>
            </w:rPr>
            <w:t xml:space="preserve">, S., &amp; Mulhern, S. (2011). Newly presenting psychogenic nonepileptic seizures: incidence, population characteristics, and early outcome from a prospective audit of a first seizure clinic.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20</w:t>
          </w:r>
          <w:r>
            <w:rPr>
              <w:rFonts w:eastAsia="Times New Roman"/>
            </w:rPr>
            <w:t>(2), 308–311. https://doi.org/10.1016/J.YEBEH.2010.10.022</w:t>
          </w:r>
        </w:p>
        <w:p w14:paraId="3B0D82C5" w14:textId="77777777" w:rsidR="00EC7CE1" w:rsidRDefault="00EC7CE1">
          <w:pPr>
            <w:autoSpaceDE w:val="0"/>
            <w:autoSpaceDN w:val="0"/>
            <w:ind w:hanging="480"/>
            <w:divId w:val="658777167"/>
            <w:rPr>
              <w:rFonts w:eastAsia="Times New Roman"/>
            </w:rPr>
          </w:pPr>
          <w:proofErr w:type="spellStart"/>
          <w:r>
            <w:rPr>
              <w:rFonts w:eastAsia="Times New Roman"/>
            </w:rPr>
            <w:t>Dworetzky</w:t>
          </w:r>
          <w:proofErr w:type="spellEnd"/>
          <w:r>
            <w:rPr>
              <w:rFonts w:eastAsia="Times New Roman"/>
            </w:rPr>
            <w:t xml:space="preserve">, B. A., </w:t>
          </w:r>
          <w:proofErr w:type="spellStart"/>
          <w:r>
            <w:rPr>
              <w:rFonts w:eastAsia="Times New Roman"/>
            </w:rPr>
            <w:t>Weisholtz</w:t>
          </w:r>
          <w:proofErr w:type="spellEnd"/>
          <w:r>
            <w:rPr>
              <w:rFonts w:eastAsia="Times New Roman"/>
            </w:rPr>
            <w:t xml:space="preserve">, D. S., Perez, D. L., &amp; </w:t>
          </w:r>
          <w:proofErr w:type="spellStart"/>
          <w:r>
            <w:rPr>
              <w:rFonts w:eastAsia="Times New Roman"/>
            </w:rPr>
            <w:t>Baslet</w:t>
          </w:r>
          <w:proofErr w:type="spellEnd"/>
          <w:r>
            <w:rPr>
              <w:rFonts w:eastAsia="Times New Roman"/>
            </w:rPr>
            <w:t xml:space="preserve">, G. (2015). A clinically oriented perspective on psychogenic nonepileptic seizure-related emergencies. </w:t>
          </w:r>
          <w:r>
            <w:rPr>
              <w:rFonts w:eastAsia="Times New Roman"/>
              <w:i/>
              <w:iCs/>
            </w:rPr>
            <w:t>Clinical EEG and Neuroscience</w:t>
          </w:r>
          <w:r>
            <w:rPr>
              <w:rFonts w:eastAsia="Times New Roman"/>
            </w:rPr>
            <w:t xml:space="preserve">, </w:t>
          </w:r>
          <w:r>
            <w:rPr>
              <w:rFonts w:eastAsia="Times New Roman"/>
              <w:i/>
              <w:iCs/>
            </w:rPr>
            <w:t>46</w:t>
          </w:r>
          <w:r>
            <w:rPr>
              <w:rFonts w:eastAsia="Times New Roman"/>
            </w:rPr>
            <w:t>(1), 26–33. https://doi.org/10.1177/1550059414566880</w:t>
          </w:r>
        </w:p>
        <w:p w14:paraId="105E9237" w14:textId="77777777" w:rsidR="00EC7CE1" w:rsidRDefault="00EC7CE1">
          <w:pPr>
            <w:autoSpaceDE w:val="0"/>
            <w:autoSpaceDN w:val="0"/>
            <w:ind w:hanging="480"/>
            <w:divId w:val="2012828567"/>
            <w:rPr>
              <w:rFonts w:eastAsia="Times New Roman"/>
            </w:rPr>
          </w:pPr>
          <w:r>
            <w:rPr>
              <w:rFonts w:eastAsia="Times New Roman"/>
            </w:rPr>
            <w:t xml:space="preserve">Edwards, M. J., Adams, R. A., Brown, H., </w:t>
          </w:r>
          <w:proofErr w:type="spellStart"/>
          <w:r>
            <w:rPr>
              <w:rFonts w:eastAsia="Times New Roman"/>
            </w:rPr>
            <w:t>Pareés</w:t>
          </w:r>
          <w:proofErr w:type="spellEnd"/>
          <w:r>
            <w:rPr>
              <w:rFonts w:eastAsia="Times New Roman"/>
            </w:rPr>
            <w:t xml:space="preserve">, I., &amp; Friston, K. J. (2012). A Bayesian account of “hysteria.” </w:t>
          </w:r>
          <w:r>
            <w:rPr>
              <w:rFonts w:eastAsia="Times New Roman"/>
              <w:i/>
              <w:iCs/>
            </w:rPr>
            <w:t>Brain</w:t>
          </w:r>
          <w:r>
            <w:rPr>
              <w:rFonts w:eastAsia="Times New Roman"/>
            </w:rPr>
            <w:t xml:space="preserve">, </w:t>
          </w:r>
          <w:r>
            <w:rPr>
              <w:rFonts w:eastAsia="Times New Roman"/>
              <w:i/>
              <w:iCs/>
            </w:rPr>
            <w:t>135</w:t>
          </w:r>
          <w:r>
            <w:rPr>
              <w:rFonts w:eastAsia="Times New Roman"/>
            </w:rPr>
            <w:t>(Pt 11), 3495–3512. https://doi.org/10.1093/brain/aws129</w:t>
          </w:r>
        </w:p>
        <w:p w14:paraId="171C08DF" w14:textId="77777777" w:rsidR="00EC7CE1" w:rsidRDefault="00EC7CE1">
          <w:pPr>
            <w:autoSpaceDE w:val="0"/>
            <w:autoSpaceDN w:val="0"/>
            <w:ind w:hanging="480"/>
            <w:divId w:val="1849177187"/>
            <w:rPr>
              <w:rFonts w:eastAsia="Times New Roman"/>
            </w:rPr>
          </w:pPr>
          <w:r>
            <w:rPr>
              <w:rFonts w:eastAsia="Times New Roman"/>
            </w:rPr>
            <w:t xml:space="preserve">Edwards, M. J., </w:t>
          </w:r>
          <w:proofErr w:type="spellStart"/>
          <w:r>
            <w:rPr>
              <w:rFonts w:eastAsia="Times New Roman"/>
            </w:rPr>
            <w:t>Fotopoulou</w:t>
          </w:r>
          <w:proofErr w:type="spellEnd"/>
          <w:r>
            <w:rPr>
              <w:rFonts w:eastAsia="Times New Roman"/>
            </w:rPr>
            <w:t xml:space="preserve">, A., &amp; </w:t>
          </w:r>
          <w:proofErr w:type="spellStart"/>
          <w:r>
            <w:rPr>
              <w:rFonts w:eastAsia="Times New Roman"/>
            </w:rPr>
            <w:t>Pareés</w:t>
          </w:r>
          <w:proofErr w:type="spellEnd"/>
          <w:r>
            <w:rPr>
              <w:rFonts w:eastAsia="Times New Roman"/>
            </w:rPr>
            <w:t xml:space="preserve">, I. (2013). Neurobiology of functional (psychogenic) movement disorders. </w:t>
          </w:r>
          <w:r>
            <w:rPr>
              <w:rFonts w:eastAsia="Times New Roman"/>
              <w:i/>
              <w:iCs/>
            </w:rPr>
            <w:t>Current Opinion in Neurology</w:t>
          </w:r>
          <w:r>
            <w:rPr>
              <w:rFonts w:eastAsia="Times New Roman"/>
            </w:rPr>
            <w:t xml:space="preserve">, </w:t>
          </w:r>
          <w:r>
            <w:rPr>
              <w:rFonts w:eastAsia="Times New Roman"/>
              <w:i/>
              <w:iCs/>
            </w:rPr>
            <w:t>26</w:t>
          </w:r>
          <w:r>
            <w:rPr>
              <w:rFonts w:eastAsia="Times New Roman"/>
            </w:rPr>
            <w:t>(4), 442. https://doi.org/10.1097/WCO.0B013E3283633953</w:t>
          </w:r>
        </w:p>
        <w:p w14:paraId="298D1207" w14:textId="77777777" w:rsidR="00EC7CE1" w:rsidRDefault="00EC7CE1">
          <w:pPr>
            <w:autoSpaceDE w:val="0"/>
            <w:autoSpaceDN w:val="0"/>
            <w:ind w:hanging="480"/>
            <w:divId w:val="1456101443"/>
            <w:rPr>
              <w:rFonts w:eastAsia="Times New Roman"/>
            </w:rPr>
          </w:pPr>
          <w:r>
            <w:rPr>
              <w:rFonts w:eastAsia="Times New Roman"/>
            </w:rPr>
            <w:t xml:space="preserve">Edwards, M. J., Stone, J., &amp; Lang, A. E. (2014). From psychogenic movement disorder to functional movement disorder: it’s time to change the name. </w:t>
          </w:r>
          <w:r>
            <w:rPr>
              <w:rFonts w:eastAsia="Times New Roman"/>
              <w:i/>
              <w:iCs/>
            </w:rPr>
            <w:t>Movement Disorders : Official Journal of the Movement Disorder Society</w:t>
          </w:r>
          <w:r>
            <w:rPr>
              <w:rFonts w:eastAsia="Times New Roman"/>
            </w:rPr>
            <w:t xml:space="preserve">, </w:t>
          </w:r>
          <w:r>
            <w:rPr>
              <w:rFonts w:eastAsia="Times New Roman"/>
              <w:i/>
              <w:iCs/>
            </w:rPr>
            <w:t>29</w:t>
          </w:r>
          <w:r>
            <w:rPr>
              <w:rFonts w:eastAsia="Times New Roman"/>
            </w:rPr>
            <w:t>(7), 849–852. https://doi.org/10.1002/MDS.25562</w:t>
          </w:r>
        </w:p>
        <w:p w14:paraId="23F9672B" w14:textId="77777777" w:rsidR="00EC7CE1" w:rsidRDefault="00EC7CE1">
          <w:pPr>
            <w:autoSpaceDE w:val="0"/>
            <w:autoSpaceDN w:val="0"/>
            <w:ind w:hanging="480"/>
            <w:divId w:val="434709673"/>
            <w:rPr>
              <w:rFonts w:eastAsia="Times New Roman"/>
            </w:rPr>
          </w:pPr>
          <w:r>
            <w:rPr>
              <w:rFonts w:eastAsia="Times New Roman"/>
            </w:rPr>
            <w:t xml:space="preserve">Edwards, M. J., </w:t>
          </w:r>
          <w:proofErr w:type="spellStart"/>
          <w:r>
            <w:rPr>
              <w:rFonts w:eastAsia="Times New Roman"/>
            </w:rPr>
            <w:t>Yogarajah</w:t>
          </w:r>
          <w:proofErr w:type="spellEnd"/>
          <w:r>
            <w:rPr>
              <w:rFonts w:eastAsia="Times New Roman"/>
            </w:rPr>
            <w:t xml:space="preserve">, M., &amp; Stone, J. (2023). Why functional neurological disorder is not feigning or malingering. </w:t>
          </w:r>
          <w:r>
            <w:rPr>
              <w:rFonts w:eastAsia="Times New Roman"/>
              <w:i/>
              <w:iCs/>
            </w:rPr>
            <w:t>Nature Reviews Neurology 2023 19:4</w:t>
          </w:r>
          <w:r>
            <w:rPr>
              <w:rFonts w:eastAsia="Times New Roman"/>
            </w:rPr>
            <w:t xml:space="preserve">, </w:t>
          </w:r>
          <w:r>
            <w:rPr>
              <w:rFonts w:eastAsia="Times New Roman"/>
              <w:i/>
              <w:iCs/>
            </w:rPr>
            <w:t>19</w:t>
          </w:r>
          <w:r>
            <w:rPr>
              <w:rFonts w:eastAsia="Times New Roman"/>
            </w:rPr>
            <w:t>(4), 246–256. https://doi.org/10.1038/s41582-022-00765-z</w:t>
          </w:r>
        </w:p>
        <w:p w14:paraId="31F7A12F" w14:textId="77777777" w:rsidR="00EC7CE1" w:rsidRDefault="00EC7CE1">
          <w:pPr>
            <w:autoSpaceDE w:val="0"/>
            <w:autoSpaceDN w:val="0"/>
            <w:ind w:hanging="480"/>
            <w:divId w:val="218832971"/>
            <w:rPr>
              <w:rFonts w:eastAsia="Times New Roman"/>
            </w:rPr>
          </w:pPr>
          <w:r>
            <w:rPr>
              <w:rFonts w:eastAsia="Times New Roman"/>
            </w:rPr>
            <w:t xml:space="preserve">Edwards, T. M., Stern, A., Clarke, D. D., </w:t>
          </w:r>
          <w:proofErr w:type="spellStart"/>
          <w:r>
            <w:rPr>
              <w:rFonts w:eastAsia="Times New Roman"/>
            </w:rPr>
            <w:t>Ivbijaro</w:t>
          </w:r>
          <w:proofErr w:type="spellEnd"/>
          <w:r>
            <w:rPr>
              <w:rFonts w:eastAsia="Times New Roman"/>
            </w:rPr>
            <w:t xml:space="preserve">, G., &amp; </w:t>
          </w:r>
          <w:proofErr w:type="spellStart"/>
          <w:r>
            <w:rPr>
              <w:rFonts w:eastAsia="Times New Roman"/>
            </w:rPr>
            <w:t>Kasney</w:t>
          </w:r>
          <w:proofErr w:type="spellEnd"/>
          <w:r>
            <w:rPr>
              <w:rFonts w:eastAsia="Times New Roman"/>
            </w:rPr>
            <w:t xml:space="preserve">, L. M. (2010). The treatment of patients with medically unexplained symptoms in primary care: a review of the literature. </w:t>
          </w:r>
          <w:r>
            <w:rPr>
              <w:rFonts w:eastAsia="Times New Roman"/>
              <w:i/>
              <w:iCs/>
            </w:rPr>
            <w:t>Mental Health in Family Medicine</w:t>
          </w:r>
          <w:r>
            <w:rPr>
              <w:rFonts w:eastAsia="Times New Roman"/>
            </w:rPr>
            <w:t xml:space="preserve">, </w:t>
          </w:r>
          <w:r>
            <w:rPr>
              <w:rFonts w:eastAsia="Times New Roman"/>
              <w:i/>
              <w:iCs/>
            </w:rPr>
            <w:t>7</w:t>
          </w:r>
          <w:r>
            <w:rPr>
              <w:rFonts w:eastAsia="Times New Roman"/>
            </w:rPr>
            <w:t>(4), 209. /</w:t>
          </w:r>
          <w:proofErr w:type="spellStart"/>
          <w:r>
            <w:rPr>
              <w:rFonts w:eastAsia="Times New Roman"/>
            </w:rPr>
            <w:t>pmc</w:t>
          </w:r>
          <w:proofErr w:type="spellEnd"/>
          <w:r>
            <w:rPr>
              <w:rFonts w:eastAsia="Times New Roman"/>
            </w:rPr>
            <w:t>/articles/PMC3083260/</w:t>
          </w:r>
        </w:p>
        <w:p w14:paraId="03EF4346" w14:textId="77777777" w:rsidR="00EC7CE1" w:rsidRDefault="00EC7CE1">
          <w:pPr>
            <w:autoSpaceDE w:val="0"/>
            <w:autoSpaceDN w:val="0"/>
            <w:ind w:hanging="480"/>
            <w:divId w:val="1546408000"/>
            <w:rPr>
              <w:rFonts w:eastAsia="Times New Roman"/>
            </w:rPr>
          </w:pPr>
          <w:r>
            <w:rPr>
              <w:rFonts w:eastAsia="Times New Roman"/>
            </w:rPr>
            <w:t xml:space="preserve">Elliott, J. O., &amp; </w:t>
          </w:r>
          <w:proofErr w:type="spellStart"/>
          <w:r>
            <w:rPr>
              <w:rFonts w:eastAsia="Times New Roman"/>
            </w:rPr>
            <w:t>Charyton</w:t>
          </w:r>
          <w:proofErr w:type="spellEnd"/>
          <w:r>
            <w:rPr>
              <w:rFonts w:eastAsia="Times New Roman"/>
            </w:rPr>
            <w:t xml:space="preserve">, C. (2014). Biopsychosocial predictors of psychogenic non-epileptic seizures. </w:t>
          </w:r>
          <w:r>
            <w:rPr>
              <w:rFonts w:eastAsia="Times New Roman"/>
              <w:i/>
              <w:iCs/>
            </w:rPr>
            <w:t>Epilepsy Research</w:t>
          </w:r>
          <w:r>
            <w:rPr>
              <w:rFonts w:eastAsia="Times New Roman"/>
            </w:rPr>
            <w:t xml:space="preserve">, </w:t>
          </w:r>
          <w:r>
            <w:rPr>
              <w:rFonts w:eastAsia="Times New Roman"/>
              <w:i/>
              <w:iCs/>
            </w:rPr>
            <w:t>108</w:t>
          </w:r>
          <w:r>
            <w:rPr>
              <w:rFonts w:eastAsia="Times New Roman"/>
            </w:rPr>
            <w:t>(9), 1543–1553. https://doi.org/10.1016/J.EPLEPSYRES.2014.09.003</w:t>
          </w:r>
        </w:p>
        <w:p w14:paraId="0CF47494" w14:textId="77777777" w:rsidR="00EC7CE1" w:rsidRDefault="00EC7CE1">
          <w:pPr>
            <w:autoSpaceDE w:val="0"/>
            <w:autoSpaceDN w:val="0"/>
            <w:ind w:hanging="480"/>
            <w:divId w:val="1314984560"/>
            <w:rPr>
              <w:rFonts w:eastAsia="Times New Roman"/>
            </w:rPr>
          </w:pPr>
          <w:r>
            <w:rPr>
              <w:rFonts w:eastAsia="Times New Roman"/>
            </w:rPr>
            <w:t xml:space="preserve">Elliott, J. O., </w:t>
          </w:r>
          <w:proofErr w:type="spellStart"/>
          <w:r>
            <w:rPr>
              <w:rFonts w:eastAsia="Times New Roman"/>
            </w:rPr>
            <w:t>Charyton</w:t>
          </w:r>
          <w:proofErr w:type="spellEnd"/>
          <w:r>
            <w:rPr>
              <w:rFonts w:eastAsia="Times New Roman"/>
            </w:rPr>
            <w:t xml:space="preserve">, C., McAuley, J. W., &amp; </w:t>
          </w:r>
          <w:proofErr w:type="spellStart"/>
          <w:r>
            <w:rPr>
              <w:rFonts w:eastAsia="Times New Roman"/>
            </w:rPr>
            <w:t>Shneker</w:t>
          </w:r>
          <w:proofErr w:type="spellEnd"/>
          <w:r>
            <w:rPr>
              <w:rFonts w:eastAsia="Times New Roman"/>
            </w:rPr>
            <w:t xml:space="preserve">, B. F. (2011). The impact of marital status on epilepsy-related health concerns. </w:t>
          </w:r>
          <w:r>
            <w:rPr>
              <w:rFonts w:eastAsia="Times New Roman"/>
              <w:i/>
              <w:iCs/>
            </w:rPr>
            <w:t>Epilepsy Research</w:t>
          </w:r>
          <w:r>
            <w:rPr>
              <w:rFonts w:eastAsia="Times New Roman"/>
            </w:rPr>
            <w:t xml:space="preserve">, </w:t>
          </w:r>
          <w:r>
            <w:rPr>
              <w:rFonts w:eastAsia="Times New Roman"/>
              <w:i/>
              <w:iCs/>
            </w:rPr>
            <w:t>95</w:t>
          </w:r>
          <w:r>
            <w:rPr>
              <w:rFonts w:eastAsia="Times New Roman"/>
            </w:rPr>
            <w:t>(3), 200–206. https://doi.org/10.1016/J.EPLEPSYRES.2011.03.016</w:t>
          </w:r>
        </w:p>
        <w:p w14:paraId="19290252" w14:textId="77777777" w:rsidR="00EC7CE1" w:rsidRDefault="00EC7CE1">
          <w:pPr>
            <w:autoSpaceDE w:val="0"/>
            <w:autoSpaceDN w:val="0"/>
            <w:ind w:hanging="480"/>
            <w:divId w:val="1357730525"/>
            <w:rPr>
              <w:rFonts w:eastAsia="Times New Roman"/>
            </w:rPr>
          </w:pPr>
          <w:proofErr w:type="spellStart"/>
          <w:r>
            <w:rPr>
              <w:rFonts w:eastAsia="Times New Roman"/>
            </w:rPr>
            <w:t>Emmelkamp</w:t>
          </w:r>
          <w:proofErr w:type="spellEnd"/>
          <w:r>
            <w:rPr>
              <w:rFonts w:eastAsia="Times New Roman"/>
            </w:rPr>
            <w:t xml:space="preserve">, P. M., David, D., </w:t>
          </w:r>
          <w:proofErr w:type="spellStart"/>
          <w:r>
            <w:rPr>
              <w:rFonts w:eastAsia="Times New Roman"/>
            </w:rPr>
            <w:t>Beckers</w:t>
          </w:r>
          <w:proofErr w:type="spellEnd"/>
          <w:r>
            <w:rPr>
              <w:rFonts w:eastAsia="Times New Roman"/>
            </w:rPr>
            <w:t xml:space="preserve">, T., </w:t>
          </w:r>
          <w:proofErr w:type="spellStart"/>
          <w:r>
            <w:rPr>
              <w:rFonts w:eastAsia="Times New Roman"/>
            </w:rPr>
            <w:t>Muris</w:t>
          </w:r>
          <w:proofErr w:type="spellEnd"/>
          <w:r>
            <w:rPr>
              <w:rFonts w:eastAsia="Times New Roman"/>
            </w:rPr>
            <w:t xml:space="preserve">, P., </w:t>
          </w:r>
          <w:proofErr w:type="spellStart"/>
          <w:r>
            <w:rPr>
              <w:rFonts w:eastAsia="Times New Roman"/>
            </w:rPr>
            <w:t>Cuijpers</w:t>
          </w:r>
          <w:proofErr w:type="spellEnd"/>
          <w:r>
            <w:rPr>
              <w:rFonts w:eastAsia="Times New Roman"/>
            </w:rPr>
            <w:t xml:space="preserve">, P., Lutz, W., Andersson, G., Araya, R., </w:t>
          </w:r>
          <w:proofErr w:type="spellStart"/>
          <w:r>
            <w:rPr>
              <w:rFonts w:eastAsia="Times New Roman"/>
            </w:rPr>
            <w:t>Banos</w:t>
          </w:r>
          <w:proofErr w:type="spellEnd"/>
          <w:r>
            <w:rPr>
              <w:rFonts w:eastAsia="Times New Roman"/>
            </w:rPr>
            <w:t xml:space="preserve"> Rivera, R. M., </w:t>
          </w:r>
          <w:proofErr w:type="spellStart"/>
          <w:r>
            <w:rPr>
              <w:rFonts w:eastAsia="Times New Roman"/>
            </w:rPr>
            <w:t>Barkham</w:t>
          </w:r>
          <w:proofErr w:type="spellEnd"/>
          <w:r>
            <w:rPr>
              <w:rFonts w:eastAsia="Times New Roman"/>
            </w:rPr>
            <w:t xml:space="preserve">, M., </w:t>
          </w:r>
          <w:proofErr w:type="spellStart"/>
          <w:r>
            <w:rPr>
              <w:rFonts w:eastAsia="Times New Roman"/>
            </w:rPr>
            <w:t>Berking</w:t>
          </w:r>
          <w:proofErr w:type="spellEnd"/>
          <w:r>
            <w:rPr>
              <w:rFonts w:eastAsia="Times New Roman"/>
            </w:rPr>
            <w:t xml:space="preserve">, M., Berger, T., </w:t>
          </w:r>
          <w:proofErr w:type="spellStart"/>
          <w:r>
            <w:rPr>
              <w:rFonts w:eastAsia="Times New Roman"/>
            </w:rPr>
            <w:t>Botella</w:t>
          </w:r>
          <w:proofErr w:type="spellEnd"/>
          <w:r>
            <w:rPr>
              <w:rFonts w:eastAsia="Times New Roman"/>
            </w:rPr>
            <w:t xml:space="preserve">, C., </w:t>
          </w:r>
          <w:proofErr w:type="spellStart"/>
          <w:r>
            <w:rPr>
              <w:rFonts w:eastAsia="Times New Roman"/>
            </w:rPr>
            <w:t>Carlbring</w:t>
          </w:r>
          <w:proofErr w:type="spellEnd"/>
          <w:r>
            <w:rPr>
              <w:rFonts w:eastAsia="Times New Roman"/>
            </w:rPr>
            <w:t xml:space="preserve">, P., Colom, F., </w:t>
          </w:r>
          <w:proofErr w:type="spellStart"/>
          <w:r>
            <w:rPr>
              <w:rFonts w:eastAsia="Times New Roman"/>
            </w:rPr>
            <w:t>Essau</w:t>
          </w:r>
          <w:proofErr w:type="spellEnd"/>
          <w:r>
            <w:rPr>
              <w:rFonts w:eastAsia="Times New Roman"/>
            </w:rPr>
            <w:t xml:space="preserve">, C., </w:t>
          </w:r>
          <w:proofErr w:type="spellStart"/>
          <w:r>
            <w:rPr>
              <w:rFonts w:eastAsia="Times New Roman"/>
            </w:rPr>
            <w:t>Hermans</w:t>
          </w:r>
          <w:proofErr w:type="spellEnd"/>
          <w:r>
            <w:rPr>
              <w:rFonts w:eastAsia="Times New Roman"/>
            </w:rPr>
            <w:t xml:space="preserve">, D., Hofmann, S. G., </w:t>
          </w:r>
          <w:proofErr w:type="spellStart"/>
          <w:r>
            <w:rPr>
              <w:rFonts w:eastAsia="Times New Roman"/>
            </w:rPr>
            <w:lastRenderedPageBreak/>
            <w:t>Knappe</w:t>
          </w:r>
          <w:proofErr w:type="spellEnd"/>
          <w:r>
            <w:rPr>
              <w:rFonts w:eastAsia="Times New Roman"/>
            </w:rPr>
            <w:t xml:space="preserve">, S., … </w:t>
          </w:r>
          <w:proofErr w:type="spellStart"/>
          <w:r>
            <w:rPr>
              <w:rFonts w:eastAsia="Times New Roman"/>
            </w:rPr>
            <w:t>Vervliet</w:t>
          </w:r>
          <w:proofErr w:type="spellEnd"/>
          <w:r>
            <w:rPr>
              <w:rFonts w:eastAsia="Times New Roman"/>
            </w:rPr>
            <w:t xml:space="preserve">, B. (2014). Advancing psychotherapy and evidence-based psychological interventions. </w:t>
          </w:r>
          <w:r>
            <w:rPr>
              <w:rFonts w:eastAsia="Times New Roman"/>
              <w:i/>
              <w:iCs/>
            </w:rPr>
            <w:t>International Journal of Methods in Psychiatric Research</w:t>
          </w:r>
          <w:r>
            <w:rPr>
              <w:rFonts w:eastAsia="Times New Roman"/>
            </w:rPr>
            <w:t xml:space="preserve">, </w:t>
          </w:r>
          <w:r>
            <w:rPr>
              <w:rFonts w:eastAsia="Times New Roman"/>
              <w:i/>
              <w:iCs/>
            </w:rPr>
            <w:t xml:space="preserve">23 </w:t>
          </w:r>
          <w:proofErr w:type="spellStart"/>
          <w:r>
            <w:rPr>
              <w:rFonts w:eastAsia="Times New Roman"/>
              <w:i/>
              <w:iCs/>
            </w:rPr>
            <w:t>Suppl</w:t>
          </w:r>
          <w:proofErr w:type="spellEnd"/>
          <w:r>
            <w:rPr>
              <w:rFonts w:eastAsia="Times New Roman"/>
              <w:i/>
              <w:iCs/>
            </w:rPr>
            <w:t xml:space="preserve"> 1</w:t>
          </w:r>
          <w:r>
            <w:rPr>
              <w:rFonts w:eastAsia="Times New Roman"/>
            </w:rPr>
            <w:t>(</w:t>
          </w:r>
          <w:proofErr w:type="spellStart"/>
          <w:r>
            <w:rPr>
              <w:rFonts w:eastAsia="Times New Roman"/>
            </w:rPr>
            <w:t>Suppl</w:t>
          </w:r>
          <w:proofErr w:type="spellEnd"/>
          <w:r>
            <w:rPr>
              <w:rFonts w:eastAsia="Times New Roman"/>
            </w:rPr>
            <w:t xml:space="preserve"> 1), 58–91. https://doi.org/10.1002/mpr.1411</w:t>
          </w:r>
        </w:p>
        <w:p w14:paraId="554AD23D" w14:textId="77777777" w:rsidR="00EC7CE1" w:rsidRDefault="00EC7CE1">
          <w:pPr>
            <w:autoSpaceDE w:val="0"/>
            <w:autoSpaceDN w:val="0"/>
            <w:ind w:hanging="480"/>
            <w:divId w:val="183055862"/>
            <w:rPr>
              <w:rFonts w:eastAsia="Times New Roman"/>
            </w:rPr>
          </w:pPr>
          <w:r>
            <w:rPr>
              <w:rFonts w:eastAsia="Times New Roman"/>
            </w:rPr>
            <w:t xml:space="preserve">Engel, G. L. (1977). The Need for a New Medical Model: A Challenge for Biomedicine. </w:t>
          </w:r>
          <w:r>
            <w:rPr>
              <w:rFonts w:eastAsia="Times New Roman"/>
              <w:i/>
              <w:iCs/>
            </w:rPr>
            <w:t>Science</w:t>
          </w:r>
          <w:r>
            <w:rPr>
              <w:rFonts w:eastAsia="Times New Roman"/>
            </w:rPr>
            <w:t xml:space="preserve">, </w:t>
          </w:r>
          <w:r>
            <w:rPr>
              <w:rFonts w:eastAsia="Times New Roman"/>
              <w:i/>
              <w:iCs/>
            </w:rPr>
            <w:t>196</w:t>
          </w:r>
          <w:r>
            <w:rPr>
              <w:rFonts w:eastAsia="Times New Roman"/>
            </w:rPr>
            <w:t>(4286), 129–136. https://doi.org/10.1126/SCIENCE.847460</w:t>
          </w:r>
        </w:p>
        <w:p w14:paraId="32704ED2" w14:textId="77777777" w:rsidR="00EC7CE1" w:rsidRDefault="00EC7CE1">
          <w:pPr>
            <w:autoSpaceDE w:val="0"/>
            <w:autoSpaceDN w:val="0"/>
            <w:ind w:hanging="480"/>
            <w:divId w:val="1134525746"/>
            <w:rPr>
              <w:rFonts w:eastAsia="Times New Roman"/>
            </w:rPr>
          </w:pPr>
          <w:r>
            <w:rPr>
              <w:rFonts w:eastAsia="Times New Roman"/>
              <w:i/>
              <w:iCs/>
            </w:rPr>
            <w:t>English indices of deprivation 2015 - GOV.UK</w:t>
          </w:r>
          <w:r>
            <w:rPr>
              <w:rFonts w:eastAsia="Times New Roman"/>
            </w:rPr>
            <w:t>. (n.d.). Retrieved May 31, 2023, from https://www.gov.uk/government/statistics/english-indices-of-deprivation-2015</w:t>
          </w:r>
        </w:p>
        <w:p w14:paraId="198C8DE8" w14:textId="77777777" w:rsidR="00EC7CE1" w:rsidRDefault="00EC7CE1">
          <w:pPr>
            <w:autoSpaceDE w:val="0"/>
            <w:autoSpaceDN w:val="0"/>
            <w:ind w:hanging="480"/>
            <w:divId w:val="404841798"/>
            <w:rPr>
              <w:rFonts w:eastAsia="Times New Roman"/>
            </w:rPr>
          </w:pPr>
          <w:r>
            <w:rPr>
              <w:rFonts w:eastAsia="Times New Roman"/>
            </w:rPr>
            <w:t xml:space="preserve">Erickson, K., </w:t>
          </w:r>
          <w:proofErr w:type="spellStart"/>
          <w:r>
            <w:rPr>
              <w:rFonts w:eastAsia="Times New Roman"/>
            </w:rPr>
            <w:t>Drevets</w:t>
          </w:r>
          <w:proofErr w:type="spellEnd"/>
          <w:r>
            <w:rPr>
              <w:rFonts w:eastAsia="Times New Roman"/>
            </w:rPr>
            <w:t xml:space="preserve">, W. C., Clark, L., Cannon, D. M., Bain, E. E., Zarate, C. A., Charney, D. S., &amp; Sahakian, B. J. (2005). Mood-Congruent Bias in Affective Go/No-Go Performance of Unmedicated Patients With Major Depressive Disorder. </w:t>
          </w:r>
          <w:r>
            <w:rPr>
              <w:rFonts w:eastAsia="Times New Roman"/>
              <w:i/>
              <w:iCs/>
            </w:rPr>
            <w:t>American Journal of Psychiatry</w:t>
          </w:r>
          <w:r>
            <w:rPr>
              <w:rFonts w:eastAsia="Times New Roman"/>
            </w:rPr>
            <w:t xml:space="preserve">, </w:t>
          </w:r>
          <w:r>
            <w:rPr>
              <w:rFonts w:eastAsia="Times New Roman"/>
              <w:i/>
              <w:iCs/>
            </w:rPr>
            <w:t>162</w:t>
          </w:r>
          <w:r>
            <w:rPr>
              <w:rFonts w:eastAsia="Times New Roman"/>
            </w:rPr>
            <w:t>(11), 2171–2173. https://doi.org/10.1176/appi.ajp.162.11.2171</w:t>
          </w:r>
        </w:p>
        <w:p w14:paraId="402CB8ED" w14:textId="77777777" w:rsidR="00EC7CE1" w:rsidRDefault="00EC7CE1">
          <w:pPr>
            <w:autoSpaceDE w:val="0"/>
            <w:autoSpaceDN w:val="0"/>
            <w:ind w:hanging="480"/>
            <w:divId w:val="1122844491"/>
            <w:rPr>
              <w:rFonts w:eastAsia="Times New Roman"/>
            </w:rPr>
          </w:pPr>
          <w:proofErr w:type="spellStart"/>
          <w:r>
            <w:rPr>
              <w:rFonts w:eastAsia="Times New Roman"/>
            </w:rPr>
            <w:t>Ersche</w:t>
          </w:r>
          <w:proofErr w:type="spellEnd"/>
          <w:r>
            <w:rPr>
              <w:rFonts w:eastAsia="Times New Roman"/>
            </w:rPr>
            <w:t xml:space="preserve">, K. D., &amp; Sahakian, B. J. (2007). The Neuropsychology of Amphetamine and Opiate Dependence: Implications for Treatment. </w:t>
          </w:r>
          <w:r>
            <w:rPr>
              <w:rFonts w:eastAsia="Times New Roman"/>
              <w:i/>
              <w:iCs/>
            </w:rPr>
            <w:t>Neuropsychology Review</w:t>
          </w:r>
          <w:r>
            <w:rPr>
              <w:rFonts w:eastAsia="Times New Roman"/>
            </w:rPr>
            <w:t xml:space="preserve">, </w:t>
          </w:r>
          <w:r>
            <w:rPr>
              <w:rFonts w:eastAsia="Times New Roman"/>
              <w:i/>
              <w:iCs/>
            </w:rPr>
            <w:t>17</w:t>
          </w:r>
          <w:r>
            <w:rPr>
              <w:rFonts w:eastAsia="Times New Roman"/>
            </w:rPr>
            <w:t>(3), 317–336. https://doi.org/10.1007/s11065-007-9033-y</w:t>
          </w:r>
        </w:p>
        <w:p w14:paraId="0EBF260E" w14:textId="77777777" w:rsidR="00EC7CE1" w:rsidRDefault="00EC7CE1">
          <w:pPr>
            <w:autoSpaceDE w:val="0"/>
            <w:autoSpaceDN w:val="0"/>
            <w:ind w:hanging="480"/>
            <w:divId w:val="828710028"/>
            <w:rPr>
              <w:rFonts w:eastAsia="Times New Roman"/>
            </w:rPr>
          </w:pPr>
          <w:proofErr w:type="spellStart"/>
          <w:r>
            <w:rPr>
              <w:rFonts w:eastAsia="Times New Roman"/>
            </w:rPr>
            <w:t>Ertan</w:t>
          </w:r>
          <w:proofErr w:type="spellEnd"/>
          <w:r>
            <w:rPr>
              <w:rFonts w:eastAsia="Times New Roman"/>
            </w:rPr>
            <w:t xml:space="preserve">, D., </w:t>
          </w:r>
          <w:proofErr w:type="spellStart"/>
          <w:r>
            <w:rPr>
              <w:rFonts w:eastAsia="Times New Roman"/>
            </w:rPr>
            <w:t>Aybek</w:t>
          </w:r>
          <w:proofErr w:type="spellEnd"/>
          <w:r>
            <w:rPr>
              <w:rFonts w:eastAsia="Times New Roman"/>
            </w:rPr>
            <w:t xml:space="preserve">, S., LaFrance, W. C., </w:t>
          </w:r>
          <w:proofErr w:type="spellStart"/>
          <w:r>
            <w:rPr>
              <w:rFonts w:eastAsia="Times New Roman"/>
            </w:rPr>
            <w:t>Kanemoto</w:t>
          </w:r>
          <w:proofErr w:type="spellEnd"/>
          <w:r>
            <w:rPr>
              <w:rFonts w:eastAsia="Times New Roman"/>
            </w:rPr>
            <w:t xml:space="preserve">, K., </w:t>
          </w:r>
          <w:proofErr w:type="spellStart"/>
          <w:r>
            <w:rPr>
              <w:rFonts w:eastAsia="Times New Roman"/>
            </w:rPr>
            <w:t>Tarrada</w:t>
          </w:r>
          <w:proofErr w:type="spellEnd"/>
          <w:r>
            <w:rPr>
              <w:rFonts w:eastAsia="Times New Roman"/>
            </w:rPr>
            <w:t>, A., Maillard, L., El-</w:t>
          </w:r>
          <w:proofErr w:type="spellStart"/>
          <w:r>
            <w:rPr>
              <w:rFonts w:eastAsia="Times New Roman"/>
            </w:rPr>
            <w:t>Hage</w:t>
          </w:r>
          <w:proofErr w:type="spellEnd"/>
          <w:r>
            <w:rPr>
              <w:rFonts w:eastAsia="Times New Roman"/>
            </w:rPr>
            <w:t xml:space="preserve">, W., &amp; </w:t>
          </w:r>
          <w:proofErr w:type="spellStart"/>
          <w:r>
            <w:rPr>
              <w:rFonts w:eastAsia="Times New Roman"/>
            </w:rPr>
            <w:t>Hingray</w:t>
          </w:r>
          <w:proofErr w:type="spellEnd"/>
          <w:r>
            <w:rPr>
              <w:rFonts w:eastAsia="Times New Roman"/>
            </w:rPr>
            <w:t xml:space="preserve">, C. (2022). Functional (psychogenic non-epileptic/dissociative) seizures: why and how? </w:t>
          </w:r>
          <w:r>
            <w:rPr>
              <w:rFonts w:eastAsia="Times New Roman"/>
              <w:i/>
              <w:iCs/>
            </w:rPr>
            <w:t>Journal of Neurology, Neurosurgery, and Psychiatry</w:t>
          </w:r>
          <w:r>
            <w:rPr>
              <w:rFonts w:eastAsia="Times New Roman"/>
            </w:rPr>
            <w:t xml:space="preserve">, </w:t>
          </w:r>
          <w:r>
            <w:rPr>
              <w:rFonts w:eastAsia="Times New Roman"/>
              <w:i/>
              <w:iCs/>
            </w:rPr>
            <w:t>93</w:t>
          </w:r>
          <w:r>
            <w:rPr>
              <w:rFonts w:eastAsia="Times New Roman"/>
            </w:rPr>
            <w:t>(2), 144–157. https://doi.org/10.1136/JNNP-2021-326708</w:t>
          </w:r>
        </w:p>
        <w:p w14:paraId="5623A547" w14:textId="77777777" w:rsidR="00EC7CE1" w:rsidRDefault="00EC7CE1">
          <w:pPr>
            <w:autoSpaceDE w:val="0"/>
            <w:autoSpaceDN w:val="0"/>
            <w:ind w:hanging="480"/>
            <w:divId w:val="838692465"/>
            <w:rPr>
              <w:rFonts w:eastAsia="Times New Roman"/>
            </w:rPr>
          </w:pPr>
          <w:proofErr w:type="spellStart"/>
          <w:r>
            <w:rPr>
              <w:rFonts w:eastAsia="Times New Roman"/>
            </w:rPr>
            <w:t>Esch</w:t>
          </w:r>
          <w:proofErr w:type="spellEnd"/>
          <w:r>
            <w:rPr>
              <w:rFonts w:eastAsia="Times New Roman"/>
            </w:rPr>
            <w:t xml:space="preserve">, T. (2014). </w:t>
          </w:r>
          <w:r>
            <w:rPr>
              <w:rFonts w:eastAsia="Times New Roman"/>
              <w:i/>
              <w:iCs/>
            </w:rPr>
            <w:t>The Neurobiology of Meditation and Mindfulness</w:t>
          </w:r>
          <w:r>
            <w:rPr>
              <w:rFonts w:eastAsia="Times New Roman"/>
            </w:rPr>
            <w:t>. 153–173. https://doi.org/10.1007/978-3-319-01634-4_9</w:t>
          </w:r>
        </w:p>
        <w:p w14:paraId="3088657E" w14:textId="77777777" w:rsidR="00EC7CE1" w:rsidRDefault="00EC7CE1">
          <w:pPr>
            <w:autoSpaceDE w:val="0"/>
            <w:autoSpaceDN w:val="0"/>
            <w:ind w:hanging="480"/>
            <w:divId w:val="396438656"/>
            <w:rPr>
              <w:rFonts w:eastAsia="Times New Roman"/>
            </w:rPr>
          </w:pPr>
          <w:proofErr w:type="spellStart"/>
          <w:r>
            <w:rPr>
              <w:rFonts w:eastAsia="Times New Roman"/>
            </w:rPr>
            <w:t>Eslami</w:t>
          </w:r>
          <w:proofErr w:type="spellEnd"/>
          <w:r>
            <w:rPr>
              <w:rFonts w:eastAsia="Times New Roman"/>
            </w:rPr>
            <w:t xml:space="preserve">, A. A., </w:t>
          </w:r>
          <w:proofErr w:type="spellStart"/>
          <w:r>
            <w:rPr>
              <w:rFonts w:eastAsia="Times New Roman"/>
            </w:rPr>
            <w:t>Rabiei</w:t>
          </w:r>
          <w:proofErr w:type="spellEnd"/>
          <w:r>
            <w:rPr>
              <w:rFonts w:eastAsia="Times New Roman"/>
            </w:rPr>
            <w:t xml:space="preserve">, L., </w:t>
          </w:r>
          <w:proofErr w:type="spellStart"/>
          <w:r>
            <w:rPr>
              <w:rFonts w:eastAsia="Times New Roman"/>
            </w:rPr>
            <w:t>Afzali</w:t>
          </w:r>
          <w:proofErr w:type="spellEnd"/>
          <w:r>
            <w:rPr>
              <w:rFonts w:eastAsia="Times New Roman"/>
            </w:rPr>
            <w:t xml:space="preserve">, S. M., </w:t>
          </w:r>
          <w:proofErr w:type="spellStart"/>
          <w:r>
            <w:rPr>
              <w:rFonts w:eastAsia="Times New Roman"/>
            </w:rPr>
            <w:t>Hamidizadeh</w:t>
          </w:r>
          <w:proofErr w:type="spellEnd"/>
          <w:r>
            <w:rPr>
              <w:rFonts w:eastAsia="Times New Roman"/>
            </w:rPr>
            <w:t xml:space="preserve">, S., &amp; </w:t>
          </w:r>
          <w:proofErr w:type="spellStart"/>
          <w:r>
            <w:rPr>
              <w:rFonts w:eastAsia="Times New Roman"/>
            </w:rPr>
            <w:t>Masoudi</w:t>
          </w:r>
          <w:proofErr w:type="spellEnd"/>
          <w:r>
            <w:rPr>
              <w:rFonts w:eastAsia="Times New Roman"/>
            </w:rPr>
            <w:t xml:space="preserve">, R. (2016). The Effectiveness of Assertiveness Training on the Levels of Stress, Anxiety, and Depression of High School Students. </w:t>
          </w:r>
          <w:r>
            <w:rPr>
              <w:rFonts w:eastAsia="Times New Roman"/>
              <w:i/>
              <w:iCs/>
            </w:rPr>
            <w:t>Iranian Red Crescent Medical Journal</w:t>
          </w:r>
          <w:r>
            <w:rPr>
              <w:rFonts w:eastAsia="Times New Roman"/>
            </w:rPr>
            <w:t xml:space="preserve">, </w:t>
          </w:r>
          <w:r>
            <w:rPr>
              <w:rFonts w:eastAsia="Times New Roman"/>
              <w:i/>
              <w:iCs/>
            </w:rPr>
            <w:t>18</w:t>
          </w:r>
          <w:r>
            <w:rPr>
              <w:rFonts w:eastAsia="Times New Roman"/>
            </w:rPr>
            <w:t>(1), 1–10. https://doi.org/10.5812/IRCMJ.21096</w:t>
          </w:r>
        </w:p>
        <w:p w14:paraId="7BAA5E4C" w14:textId="77777777" w:rsidR="00EC7CE1" w:rsidRDefault="00EC7CE1">
          <w:pPr>
            <w:autoSpaceDE w:val="0"/>
            <w:autoSpaceDN w:val="0"/>
            <w:ind w:hanging="480"/>
            <w:divId w:val="1057439433"/>
            <w:rPr>
              <w:rFonts w:eastAsia="Times New Roman"/>
            </w:rPr>
          </w:pPr>
          <w:proofErr w:type="spellStart"/>
          <w:r>
            <w:rPr>
              <w:rFonts w:eastAsia="Times New Roman"/>
            </w:rPr>
            <w:t>Espay</w:t>
          </w:r>
          <w:proofErr w:type="spellEnd"/>
          <w:r>
            <w:rPr>
              <w:rFonts w:eastAsia="Times New Roman"/>
            </w:rPr>
            <w:t xml:space="preserve">, A. J., </w:t>
          </w:r>
          <w:proofErr w:type="spellStart"/>
          <w:r>
            <w:rPr>
              <w:rFonts w:eastAsia="Times New Roman"/>
            </w:rPr>
            <w:t>Aybek</w:t>
          </w:r>
          <w:proofErr w:type="spellEnd"/>
          <w:r>
            <w:rPr>
              <w:rFonts w:eastAsia="Times New Roman"/>
            </w:rPr>
            <w:t xml:space="preserve">, S., Carson, A., Edwards, M. J., Goldstein, L. H., Hallett, M., </w:t>
          </w:r>
          <w:proofErr w:type="spellStart"/>
          <w:r>
            <w:rPr>
              <w:rFonts w:eastAsia="Times New Roman"/>
            </w:rPr>
            <w:t>LaFaver</w:t>
          </w:r>
          <w:proofErr w:type="spellEnd"/>
          <w:r>
            <w:rPr>
              <w:rFonts w:eastAsia="Times New Roman"/>
            </w:rPr>
            <w:t xml:space="preserve">, K., LaFrance Jr., W. C., Lang, A. E., Nicholson, T., Nielsen, G., Reuber, M., </w:t>
          </w:r>
          <w:proofErr w:type="spellStart"/>
          <w:r>
            <w:rPr>
              <w:rFonts w:eastAsia="Times New Roman"/>
            </w:rPr>
            <w:t>Voon</w:t>
          </w:r>
          <w:proofErr w:type="spellEnd"/>
          <w:r>
            <w:rPr>
              <w:rFonts w:eastAsia="Times New Roman"/>
            </w:rPr>
            <w:t xml:space="preserve">, V., Stone, J., &amp; </w:t>
          </w:r>
          <w:proofErr w:type="spellStart"/>
          <w:r>
            <w:rPr>
              <w:rFonts w:eastAsia="Times New Roman"/>
            </w:rPr>
            <w:t>Morgante</w:t>
          </w:r>
          <w:proofErr w:type="spellEnd"/>
          <w:r>
            <w:rPr>
              <w:rFonts w:eastAsia="Times New Roman"/>
            </w:rPr>
            <w:t xml:space="preserve">, F. (2018). Current Concepts in Diagnosis and Treatment of Functional Neurological Disorders. </w:t>
          </w:r>
          <w:r>
            <w:rPr>
              <w:rFonts w:eastAsia="Times New Roman"/>
              <w:i/>
              <w:iCs/>
            </w:rPr>
            <w:t xml:space="preserve">JAMA </w:t>
          </w:r>
          <w:proofErr w:type="spellStart"/>
          <w:r>
            <w:rPr>
              <w:rFonts w:eastAsia="Times New Roman"/>
              <w:i/>
              <w:iCs/>
            </w:rPr>
            <w:t>Neurol</w:t>
          </w:r>
          <w:proofErr w:type="spellEnd"/>
          <w:r>
            <w:rPr>
              <w:rFonts w:eastAsia="Times New Roman"/>
            </w:rPr>
            <w:t xml:space="preserve">, </w:t>
          </w:r>
          <w:r>
            <w:rPr>
              <w:rFonts w:eastAsia="Times New Roman"/>
              <w:i/>
              <w:iCs/>
            </w:rPr>
            <w:t>75</w:t>
          </w:r>
          <w:r>
            <w:rPr>
              <w:rFonts w:eastAsia="Times New Roman"/>
            </w:rPr>
            <w:t>(9), 1132–1141. https://doi.org/10.1001/jamaneurol.2018.1264</w:t>
          </w:r>
        </w:p>
        <w:p w14:paraId="51F08D68" w14:textId="77777777" w:rsidR="00EC7CE1" w:rsidRDefault="00EC7CE1">
          <w:pPr>
            <w:autoSpaceDE w:val="0"/>
            <w:autoSpaceDN w:val="0"/>
            <w:ind w:hanging="480"/>
            <w:divId w:val="1269193153"/>
            <w:rPr>
              <w:rFonts w:eastAsia="Times New Roman"/>
            </w:rPr>
          </w:pPr>
          <w:proofErr w:type="spellStart"/>
          <w:r>
            <w:rPr>
              <w:rFonts w:eastAsia="Times New Roman"/>
            </w:rPr>
            <w:t>Espay</w:t>
          </w:r>
          <w:proofErr w:type="spellEnd"/>
          <w:r>
            <w:rPr>
              <w:rFonts w:eastAsia="Times New Roman"/>
            </w:rPr>
            <w:t xml:space="preserve">, A. J., Goldenhar, L. M., </w:t>
          </w:r>
          <w:proofErr w:type="spellStart"/>
          <w:r>
            <w:rPr>
              <w:rFonts w:eastAsia="Times New Roman"/>
            </w:rPr>
            <w:t>Voon</w:t>
          </w:r>
          <w:proofErr w:type="spellEnd"/>
          <w:r>
            <w:rPr>
              <w:rFonts w:eastAsia="Times New Roman"/>
            </w:rPr>
            <w:t xml:space="preserve">, V., </w:t>
          </w:r>
          <w:proofErr w:type="spellStart"/>
          <w:r>
            <w:rPr>
              <w:rFonts w:eastAsia="Times New Roman"/>
            </w:rPr>
            <w:t>Schrag</w:t>
          </w:r>
          <w:proofErr w:type="spellEnd"/>
          <w:r>
            <w:rPr>
              <w:rFonts w:eastAsia="Times New Roman"/>
            </w:rPr>
            <w:t xml:space="preserve">, A., Burton, N., &amp; Lang, A. E. (2009). Opinions and clinical practices related to diagnosing and managing patients with psychogenic movement disorders: An international survey of movement disorder </w:t>
          </w:r>
          <w:r>
            <w:rPr>
              <w:rFonts w:eastAsia="Times New Roman"/>
            </w:rPr>
            <w:lastRenderedPageBreak/>
            <w:t xml:space="preserve">society members. </w:t>
          </w:r>
          <w:r>
            <w:rPr>
              <w:rFonts w:eastAsia="Times New Roman"/>
              <w:i/>
              <w:iCs/>
            </w:rPr>
            <w:t>Movement Disorders : Official Journal of the Movement Disorder Society</w:t>
          </w:r>
          <w:r>
            <w:rPr>
              <w:rFonts w:eastAsia="Times New Roman"/>
            </w:rPr>
            <w:t xml:space="preserve">, </w:t>
          </w:r>
          <w:r>
            <w:rPr>
              <w:rFonts w:eastAsia="Times New Roman"/>
              <w:i/>
              <w:iCs/>
            </w:rPr>
            <w:t>24</w:t>
          </w:r>
          <w:r>
            <w:rPr>
              <w:rFonts w:eastAsia="Times New Roman"/>
            </w:rPr>
            <w:t>(9), 1366–1374. https://doi.org/10.1002/MDS.22618</w:t>
          </w:r>
        </w:p>
        <w:p w14:paraId="146DBC1B" w14:textId="77777777" w:rsidR="00EC7CE1" w:rsidRDefault="00EC7CE1">
          <w:pPr>
            <w:autoSpaceDE w:val="0"/>
            <w:autoSpaceDN w:val="0"/>
            <w:ind w:hanging="480"/>
            <w:divId w:val="1369333050"/>
            <w:rPr>
              <w:rFonts w:eastAsia="Times New Roman"/>
            </w:rPr>
          </w:pPr>
          <w:proofErr w:type="spellStart"/>
          <w:r>
            <w:rPr>
              <w:rFonts w:eastAsia="Times New Roman"/>
            </w:rPr>
            <w:t>Espay</w:t>
          </w:r>
          <w:proofErr w:type="spellEnd"/>
          <w:r>
            <w:rPr>
              <w:rFonts w:eastAsia="Times New Roman"/>
            </w:rPr>
            <w:t xml:space="preserve">, A. J., Maloney, T., </w:t>
          </w:r>
          <w:proofErr w:type="spellStart"/>
          <w:r>
            <w:rPr>
              <w:rFonts w:eastAsia="Times New Roman"/>
            </w:rPr>
            <w:t>Vannest</w:t>
          </w:r>
          <w:proofErr w:type="spellEnd"/>
          <w:r>
            <w:rPr>
              <w:rFonts w:eastAsia="Times New Roman"/>
            </w:rPr>
            <w:t xml:space="preserve">, J., Norris, M. M., </w:t>
          </w:r>
          <w:proofErr w:type="spellStart"/>
          <w:r>
            <w:rPr>
              <w:rFonts w:eastAsia="Times New Roman"/>
            </w:rPr>
            <w:t>Eliassen</w:t>
          </w:r>
          <w:proofErr w:type="spellEnd"/>
          <w:r>
            <w:rPr>
              <w:rFonts w:eastAsia="Times New Roman"/>
            </w:rPr>
            <w:t xml:space="preserve">, J. C., </w:t>
          </w:r>
          <w:proofErr w:type="spellStart"/>
          <w:r>
            <w:rPr>
              <w:rFonts w:eastAsia="Times New Roman"/>
            </w:rPr>
            <w:t>Neefus</w:t>
          </w:r>
          <w:proofErr w:type="spellEnd"/>
          <w:r>
            <w:rPr>
              <w:rFonts w:eastAsia="Times New Roman"/>
            </w:rPr>
            <w:t xml:space="preserve">, E., </w:t>
          </w:r>
          <w:proofErr w:type="spellStart"/>
          <w:r>
            <w:rPr>
              <w:rFonts w:eastAsia="Times New Roman"/>
            </w:rPr>
            <w:t>Allendorfer</w:t>
          </w:r>
          <w:proofErr w:type="spellEnd"/>
          <w:r>
            <w:rPr>
              <w:rFonts w:eastAsia="Times New Roman"/>
            </w:rPr>
            <w:t xml:space="preserve">, J. B., Chen, R., &amp; Szaflarski, J. P. (2018). Dysfunction in emotion processing underlies functional (psychogenic) dystonia. </w:t>
          </w:r>
          <w:r>
            <w:rPr>
              <w:rFonts w:eastAsia="Times New Roman"/>
              <w:i/>
              <w:iCs/>
            </w:rPr>
            <w:t>Movement Disorders : Official Journal of the Movement Disorder Society</w:t>
          </w:r>
          <w:r>
            <w:rPr>
              <w:rFonts w:eastAsia="Times New Roman"/>
            </w:rPr>
            <w:t xml:space="preserve">, </w:t>
          </w:r>
          <w:r>
            <w:rPr>
              <w:rFonts w:eastAsia="Times New Roman"/>
              <w:i/>
              <w:iCs/>
            </w:rPr>
            <w:t>33</w:t>
          </w:r>
          <w:r>
            <w:rPr>
              <w:rFonts w:eastAsia="Times New Roman"/>
            </w:rPr>
            <w:t>(1), 136. https://doi.org/10.1002/MDS.27217</w:t>
          </w:r>
        </w:p>
        <w:p w14:paraId="50D60BCF" w14:textId="77777777" w:rsidR="00EC7CE1" w:rsidRDefault="00EC7CE1">
          <w:pPr>
            <w:autoSpaceDE w:val="0"/>
            <w:autoSpaceDN w:val="0"/>
            <w:ind w:hanging="480"/>
            <w:divId w:val="441611837"/>
            <w:rPr>
              <w:rFonts w:eastAsia="Times New Roman"/>
            </w:rPr>
          </w:pPr>
          <w:proofErr w:type="spellStart"/>
          <w:r>
            <w:rPr>
              <w:rFonts w:eastAsia="Times New Roman"/>
            </w:rPr>
            <w:t>Estroff</w:t>
          </w:r>
          <w:proofErr w:type="spellEnd"/>
          <w:r>
            <w:rPr>
              <w:rFonts w:eastAsia="Times New Roman"/>
            </w:rPr>
            <w:t xml:space="preserve">, S. E., Penn, D. L., &amp; </w:t>
          </w:r>
          <w:proofErr w:type="spellStart"/>
          <w:r>
            <w:rPr>
              <w:rFonts w:eastAsia="Times New Roman"/>
            </w:rPr>
            <w:t>Toporek</w:t>
          </w:r>
          <w:proofErr w:type="spellEnd"/>
          <w:r>
            <w:rPr>
              <w:rFonts w:eastAsia="Times New Roman"/>
            </w:rPr>
            <w:t xml:space="preserve">, J. R. (2004). From stigma to discrimination: an analysis of community efforts to reduce the negative consequences of having a psychiatric disorder and label. </w:t>
          </w:r>
          <w:r>
            <w:rPr>
              <w:rFonts w:eastAsia="Times New Roman"/>
              <w:i/>
              <w:iCs/>
            </w:rPr>
            <w:t>Schizophrenia Bulletin</w:t>
          </w:r>
          <w:r>
            <w:rPr>
              <w:rFonts w:eastAsia="Times New Roman"/>
            </w:rPr>
            <w:t xml:space="preserve">, </w:t>
          </w:r>
          <w:r>
            <w:rPr>
              <w:rFonts w:eastAsia="Times New Roman"/>
              <w:i/>
              <w:iCs/>
            </w:rPr>
            <w:t>30</w:t>
          </w:r>
          <w:r>
            <w:rPr>
              <w:rFonts w:eastAsia="Times New Roman"/>
            </w:rPr>
            <w:t>(3), 493–509. https://doi.org/10.1093/OXFORDJOURNALS.SCHBUL.A007097</w:t>
          </w:r>
        </w:p>
        <w:p w14:paraId="3E8FE049" w14:textId="77777777" w:rsidR="00EC7CE1" w:rsidRDefault="00EC7CE1">
          <w:pPr>
            <w:autoSpaceDE w:val="0"/>
            <w:autoSpaceDN w:val="0"/>
            <w:ind w:hanging="480"/>
            <w:divId w:val="989092218"/>
            <w:rPr>
              <w:rFonts w:eastAsia="Times New Roman"/>
            </w:rPr>
          </w:pPr>
          <w:proofErr w:type="spellStart"/>
          <w:r>
            <w:rPr>
              <w:rFonts w:eastAsia="Times New Roman"/>
            </w:rPr>
            <w:t>Etkin</w:t>
          </w:r>
          <w:proofErr w:type="spellEnd"/>
          <w:r>
            <w:rPr>
              <w:rFonts w:eastAsia="Times New Roman"/>
            </w:rPr>
            <w:t xml:space="preserve">, A., </w:t>
          </w:r>
          <w:proofErr w:type="spellStart"/>
          <w:r>
            <w:rPr>
              <w:rFonts w:eastAsia="Times New Roman"/>
            </w:rPr>
            <w:t>Büchel</w:t>
          </w:r>
          <w:proofErr w:type="spellEnd"/>
          <w:r>
            <w:rPr>
              <w:rFonts w:eastAsia="Times New Roman"/>
            </w:rPr>
            <w:t xml:space="preserve">, C., &amp; Gross, J. J. (2015). The neural bases of emotion regulation. </w:t>
          </w:r>
          <w:r>
            <w:rPr>
              <w:rFonts w:eastAsia="Times New Roman"/>
              <w:i/>
              <w:iCs/>
            </w:rPr>
            <w:t>Nature Reviews. Neuroscience</w:t>
          </w:r>
          <w:r>
            <w:rPr>
              <w:rFonts w:eastAsia="Times New Roman"/>
            </w:rPr>
            <w:t xml:space="preserve">, </w:t>
          </w:r>
          <w:r>
            <w:rPr>
              <w:rFonts w:eastAsia="Times New Roman"/>
              <w:i/>
              <w:iCs/>
            </w:rPr>
            <w:t>16</w:t>
          </w:r>
          <w:r>
            <w:rPr>
              <w:rFonts w:eastAsia="Times New Roman"/>
            </w:rPr>
            <w:t>(11), 693–700. https://doi.org/10.1038/NRN4044</w:t>
          </w:r>
        </w:p>
        <w:p w14:paraId="309C336D" w14:textId="77777777" w:rsidR="00EC7CE1" w:rsidRDefault="00EC7CE1">
          <w:pPr>
            <w:autoSpaceDE w:val="0"/>
            <w:autoSpaceDN w:val="0"/>
            <w:ind w:hanging="480"/>
            <w:divId w:val="1113087569"/>
            <w:rPr>
              <w:rFonts w:eastAsia="Times New Roman"/>
            </w:rPr>
          </w:pPr>
          <w:proofErr w:type="spellStart"/>
          <w:r>
            <w:rPr>
              <w:rFonts w:eastAsia="Times New Roman"/>
            </w:rPr>
            <w:t>EuroQol</w:t>
          </w:r>
          <w:proofErr w:type="spellEnd"/>
          <w:r>
            <w:rPr>
              <w:rFonts w:eastAsia="Times New Roman"/>
            </w:rPr>
            <w:t xml:space="preserve">. (1990). </w:t>
          </w:r>
          <w:proofErr w:type="spellStart"/>
          <w:r>
            <w:rPr>
              <w:rFonts w:eastAsia="Times New Roman"/>
            </w:rPr>
            <w:t>EuroQol</w:t>
          </w:r>
          <w:proofErr w:type="spellEnd"/>
          <w:r>
            <w:rPr>
              <w:rFonts w:eastAsia="Times New Roman"/>
            </w:rPr>
            <w:t xml:space="preserve">--a new facility for the measurement of health-related quality of life. </w:t>
          </w:r>
          <w:r>
            <w:rPr>
              <w:rFonts w:eastAsia="Times New Roman"/>
              <w:i/>
              <w:iCs/>
            </w:rPr>
            <w:t>Health Policy</w:t>
          </w:r>
          <w:r>
            <w:rPr>
              <w:rFonts w:eastAsia="Times New Roman"/>
            </w:rPr>
            <w:t xml:space="preserve">, </w:t>
          </w:r>
          <w:r>
            <w:rPr>
              <w:rFonts w:eastAsia="Times New Roman"/>
              <w:i/>
              <w:iCs/>
            </w:rPr>
            <w:t>16</w:t>
          </w:r>
          <w:r>
            <w:rPr>
              <w:rFonts w:eastAsia="Times New Roman"/>
            </w:rPr>
            <w:t>(3), 199–208. https://doi.org/10.1016/0168-8510(90)90421-9</w:t>
          </w:r>
        </w:p>
        <w:p w14:paraId="736DAD71" w14:textId="77777777" w:rsidR="00EC7CE1" w:rsidRDefault="00EC7CE1">
          <w:pPr>
            <w:autoSpaceDE w:val="0"/>
            <w:autoSpaceDN w:val="0"/>
            <w:ind w:hanging="480"/>
            <w:divId w:val="1771732397"/>
            <w:rPr>
              <w:rFonts w:eastAsia="Times New Roman"/>
            </w:rPr>
          </w:pPr>
          <w:proofErr w:type="spellStart"/>
          <w:r>
            <w:rPr>
              <w:rFonts w:eastAsia="Times New Roman"/>
            </w:rPr>
            <w:t>Fahn</w:t>
          </w:r>
          <w:proofErr w:type="spellEnd"/>
          <w:r>
            <w:rPr>
              <w:rFonts w:eastAsia="Times New Roman"/>
            </w:rPr>
            <w:t xml:space="preserve">, S., &amp; Williams, D. T. (1988). Psychogenic dystonia. </w:t>
          </w:r>
          <w:r>
            <w:rPr>
              <w:rFonts w:eastAsia="Times New Roman"/>
              <w:i/>
              <w:iCs/>
            </w:rPr>
            <w:t xml:space="preserve">Adv </w:t>
          </w:r>
          <w:proofErr w:type="spellStart"/>
          <w:r>
            <w:rPr>
              <w:rFonts w:eastAsia="Times New Roman"/>
              <w:i/>
              <w:iCs/>
            </w:rPr>
            <w:t>Neurol</w:t>
          </w:r>
          <w:proofErr w:type="spellEnd"/>
          <w:r>
            <w:rPr>
              <w:rFonts w:eastAsia="Times New Roman"/>
            </w:rPr>
            <w:t xml:space="preserve">, </w:t>
          </w:r>
          <w:r>
            <w:rPr>
              <w:rFonts w:eastAsia="Times New Roman"/>
              <w:i/>
              <w:iCs/>
            </w:rPr>
            <w:t>50</w:t>
          </w:r>
          <w:r>
            <w:rPr>
              <w:rFonts w:eastAsia="Times New Roman"/>
            </w:rPr>
            <w:t>, 431–455.</w:t>
          </w:r>
        </w:p>
        <w:p w14:paraId="51A3C7E1" w14:textId="77777777" w:rsidR="00EC7CE1" w:rsidRDefault="00EC7CE1">
          <w:pPr>
            <w:autoSpaceDE w:val="0"/>
            <w:autoSpaceDN w:val="0"/>
            <w:ind w:hanging="480"/>
            <w:divId w:val="1962833902"/>
            <w:rPr>
              <w:rFonts w:eastAsia="Times New Roman"/>
            </w:rPr>
          </w:pPr>
          <w:proofErr w:type="spellStart"/>
          <w:r>
            <w:rPr>
              <w:rFonts w:eastAsia="Times New Roman"/>
            </w:rPr>
            <w:t>Falquez</w:t>
          </w:r>
          <w:proofErr w:type="spellEnd"/>
          <w:r>
            <w:rPr>
              <w:rFonts w:eastAsia="Times New Roman"/>
            </w:rPr>
            <w:t>, R., Lang, S., Dinu-</w:t>
          </w:r>
          <w:proofErr w:type="spellStart"/>
          <w:r>
            <w:rPr>
              <w:rFonts w:eastAsia="Times New Roman"/>
            </w:rPr>
            <w:t>Biringer</w:t>
          </w:r>
          <w:proofErr w:type="spellEnd"/>
          <w:r>
            <w:rPr>
              <w:rFonts w:eastAsia="Times New Roman"/>
            </w:rPr>
            <w:t xml:space="preserve">, R., </w:t>
          </w:r>
          <w:proofErr w:type="spellStart"/>
          <w:r>
            <w:rPr>
              <w:rFonts w:eastAsia="Times New Roman"/>
            </w:rPr>
            <w:t>Nees</w:t>
          </w:r>
          <w:proofErr w:type="spellEnd"/>
          <w:r>
            <w:rPr>
              <w:rFonts w:eastAsia="Times New Roman"/>
            </w:rPr>
            <w:t xml:space="preserve">, F., </w:t>
          </w:r>
          <w:proofErr w:type="spellStart"/>
          <w:r>
            <w:rPr>
              <w:rFonts w:eastAsia="Times New Roman"/>
            </w:rPr>
            <w:t>Arens</w:t>
          </w:r>
          <w:proofErr w:type="spellEnd"/>
          <w:r>
            <w:rPr>
              <w:rFonts w:eastAsia="Times New Roman"/>
            </w:rPr>
            <w:t xml:space="preserve">, E., </w:t>
          </w:r>
          <w:proofErr w:type="spellStart"/>
          <w:r>
            <w:rPr>
              <w:rFonts w:eastAsia="Times New Roman"/>
            </w:rPr>
            <w:t>Kotchoubey</w:t>
          </w:r>
          <w:proofErr w:type="spellEnd"/>
          <w:r>
            <w:rPr>
              <w:rFonts w:eastAsia="Times New Roman"/>
            </w:rPr>
            <w:t xml:space="preserve">, B., Berger, M., &amp; </w:t>
          </w:r>
          <w:proofErr w:type="spellStart"/>
          <w:r>
            <w:rPr>
              <w:rFonts w:eastAsia="Times New Roman"/>
            </w:rPr>
            <w:t>Barnow</w:t>
          </w:r>
          <w:proofErr w:type="spellEnd"/>
          <w:r>
            <w:rPr>
              <w:rFonts w:eastAsia="Times New Roman"/>
            </w:rPr>
            <w:t xml:space="preserve">, S. (2016). On the relationship between negative affective priming and prefrontal cognitive control mechanisms. </w:t>
          </w:r>
          <w:r>
            <w:rPr>
              <w:rFonts w:eastAsia="Times New Roman"/>
              <w:i/>
              <w:iCs/>
            </w:rPr>
            <w:t>Cognition and Emotion</w:t>
          </w:r>
          <w:r>
            <w:rPr>
              <w:rFonts w:eastAsia="Times New Roman"/>
            </w:rPr>
            <w:t xml:space="preserve">, </w:t>
          </w:r>
          <w:r>
            <w:rPr>
              <w:rFonts w:eastAsia="Times New Roman"/>
              <w:i/>
              <w:iCs/>
            </w:rPr>
            <w:t>30</w:t>
          </w:r>
          <w:r>
            <w:rPr>
              <w:rFonts w:eastAsia="Times New Roman"/>
            </w:rPr>
            <w:t>(2), 225–244. https://doi.org/10.1080/02699931.2014.994476</w:t>
          </w:r>
        </w:p>
        <w:p w14:paraId="1337D816" w14:textId="77777777" w:rsidR="00EC7CE1" w:rsidRDefault="00EC7CE1">
          <w:pPr>
            <w:autoSpaceDE w:val="0"/>
            <w:autoSpaceDN w:val="0"/>
            <w:ind w:hanging="480"/>
            <w:divId w:val="374426684"/>
            <w:rPr>
              <w:rFonts w:eastAsia="Times New Roman"/>
            </w:rPr>
          </w:pPr>
          <w:r>
            <w:rPr>
              <w:rFonts w:eastAsia="Times New Roman"/>
            </w:rPr>
            <w:t xml:space="preserve">Fan, J., &amp; Bond, T. (2019). Applying Rasch measurement in language assessment: </w:t>
          </w:r>
          <w:proofErr w:type="spellStart"/>
          <w:r>
            <w:rPr>
              <w:rFonts w:eastAsia="Times New Roman"/>
            </w:rPr>
            <w:t>Unidimensionality</w:t>
          </w:r>
          <w:proofErr w:type="spellEnd"/>
          <w:r>
            <w:rPr>
              <w:rFonts w:eastAsia="Times New Roman"/>
            </w:rPr>
            <w:t xml:space="preserve"> and local independence. In </w:t>
          </w:r>
          <w:r>
            <w:rPr>
              <w:rFonts w:eastAsia="Times New Roman"/>
              <w:i/>
              <w:iCs/>
            </w:rPr>
            <w:t>Quantitative Data Analysis for Language Assessment Volume I: Fundamental Techniques</w:t>
          </w:r>
          <w:r>
            <w:rPr>
              <w:rFonts w:eastAsia="Times New Roman"/>
            </w:rPr>
            <w:t xml:space="preserve"> (1st ed., pp. 83–102). Taylor and Francis. https://doi.org/10.4324/9781315187815-5/APPLYING-RASCH-MEASUREMENT-LANGUAGE-ASSESSMENT-JASON-FAN-TREVOR-BOND</w:t>
          </w:r>
        </w:p>
        <w:p w14:paraId="60697332" w14:textId="77777777" w:rsidR="00EC7CE1" w:rsidRDefault="00EC7CE1">
          <w:pPr>
            <w:autoSpaceDE w:val="0"/>
            <w:autoSpaceDN w:val="0"/>
            <w:ind w:hanging="480"/>
            <w:divId w:val="1142962136"/>
            <w:rPr>
              <w:rFonts w:eastAsia="Times New Roman"/>
            </w:rPr>
          </w:pPr>
          <w:r>
            <w:rPr>
              <w:rFonts w:eastAsia="Times New Roman"/>
            </w:rPr>
            <w:t xml:space="preserve">Fazio, R. H., Jackson, J. R., Dunton, B. C., Williams, C. J., &amp; Fazio, H. (1994). </w:t>
          </w:r>
          <w:r>
            <w:rPr>
              <w:rFonts w:eastAsia="Times New Roman"/>
              <w:i/>
              <w:iCs/>
            </w:rPr>
            <w:t>ATTITUDES AND SOCIAL COGNITION Variability in Automatic Activation as an Unobtrusive Measure of Racial Attitudes: A Bona Fide Pipeline?</w:t>
          </w:r>
        </w:p>
        <w:p w14:paraId="48752FA3" w14:textId="77777777" w:rsidR="00EC7CE1" w:rsidRDefault="00EC7CE1">
          <w:pPr>
            <w:autoSpaceDE w:val="0"/>
            <w:autoSpaceDN w:val="0"/>
            <w:ind w:hanging="480"/>
            <w:divId w:val="1992059061"/>
            <w:rPr>
              <w:rFonts w:eastAsia="Times New Roman"/>
            </w:rPr>
          </w:pPr>
          <w:r>
            <w:rPr>
              <w:rFonts w:eastAsia="Times New Roman"/>
            </w:rPr>
            <w:t xml:space="preserve">Fazio, R. H., </w:t>
          </w:r>
          <w:proofErr w:type="spellStart"/>
          <w:r>
            <w:rPr>
              <w:rFonts w:eastAsia="Times New Roman"/>
            </w:rPr>
            <w:t>Sanbonmatsu</w:t>
          </w:r>
          <w:proofErr w:type="spellEnd"/>
          <w:r>
            <w:rPr>
              <w:rFonts w:eastAsia="Times New Roman"/>
            </w:rPr>
            <w:t xml:space="preserve">, D. M., Powell, M. C., &amp; </w:t>
          </w:r>
          <w:proofErr w:type="spellStart"/>
          <w:r>
            <w:rPr>
              <w:rFonts w:eastAsia="Times New Roman"/>
            </w:rPr>
            <w:t>Kardes</w:t>
          </w:r>
          <w:proofErr w:type="spellEnd"/>
          <w:r>
            <w:rPr>
              <w:rFonts w:eastAsia="Times New Roman"/>
            </w:rPr>
            <w:t xml:space="preserve">, F. R. (1986). On the automatic activation of attitudes. </w:t>
          </w:r>
          <w:r>
            <w:rPr>
              <w:rFonts w:eastAsia="Times New Roman"/>
              <w:i/>
              <w:iCs/>
            </w:rPr>
            <w:t>Journal of Personality and Social Psychology</w:t>
          </w:r>
          <w:r>
            <w:rPr>
              <w:rFonts w:eastAsia="Times New Roman"/>
            </w:rPr>
            <w:t xml:space="preserve">, </w:t>
          </w:r>
          <w:r>
            <w:rPr>
              <w:rFonts w:eastAsia="Times New Roman"/>
              <w:i/>
              <w:iCs/>
            </w:rPr>
            <w:t>50</w:t>
          </w:r>
          <w:r>
            <w:rPr>
              <w:rFonts w:eastAsia="Times New Roman"/>
            </w:rPr>
            <w:t>(2), 229–238. https://doi.org/10.1037/0022-3514.50.2.229</w:t>
          </w:r>
        </w:p>
        <w:p w14:paraId="52B15E53" w14:textId="77777777" w:rsidR="00EC7CE1" w:rsidRDefault="00EC7CE1">
          <w:pPr>
            <w:autoSpaceDE w:val="0"/>
            <w:autoSpaceDN w:val="0"/>
            <w:ind w:hanging="480"/>
            <w:divId w:val="573398801"/>
            <w:rPr>
              <w:rFonts w:eastAsia="Times New Roman"/>
            </w:rPr>
          </w:pPr>
          <w:r>
            <w:rPr>
              <w:rFonts w:eastAsia="Times New Roman"/>
            </w:rPr>
            <w:lastRenderedPageBreak/>
            <w:t xml:space="preserve">Ferrari, S., Galeazzi, G. M., Mackinnon, A., &amp; </w:t>
          </w:r>
          <w:proofErr w:type="spellStart"/>
          <w:r>
            <w:rPr>
              <w:rFonts w:eastAsia="Times New Roman"/>
            </w:rPr>
            <w:t>Rigatelli</w:t>
          </w:r>
          <w:proofErr w:type="spellEnd"/>
          <w:r>
            <w:rPr>
              <w:rFonts w:eastAsia="Times New Roman"/>
            </w:rPr>
            <w:t xml:space="preserve">, M. (2008). Frequent attenders in primary care: impact of medical, psychiatric and psychosomatic diagnoses. </w:t>
          </w:r>
          <w:r>
            <w:rPr>
              <w:rFonts w:eastAsia="Times New Roman"/>
              <w:i/>
              <w:iCs/>
            </w:rPr>
            <w:t>Psychotherapy and Psychosomatics</w:t>
          </w:r>
          <w:r>
            <w:rPr>
              <w:rFonts w:eastAsia="Times New Roman"/>
            </w:rPr>
            <w:t xml:space="preserve">, </w:t>
          </w:r>
          <w:r>
            <w:rPr>
              <w:rFonts w:eastAsia="Times New Roman"/>
              <w:i/>
              <w:iCs/>
            </w:rPr>
            <w:t>77</w:t>
          </w:r>
          <w:r>
            <w:rPr>
              <w:rFonts w:eastAsia="Times New Roman"/>
            </w:rPr>
            <w:t>(5), 306–314. https://doi.org/10.1159/000142523</w:t>
          </w:r>
        </w:p>
        <w:p w14:paraId="797C7562" w14:textId="77777777" w:rsidR="00EC7CE1" w:rsidRDefault="00EC7CE1">
          <w:pPr>
            <w:autoSpaceDE w:val="0"/>
            <w:autoSpaceDN w:val="0"/>
            <w:ind w:hanging="480"/>
            <w:divId w:val="1145926261"/>
            <w:rPr>
              <w:rFonts w:eastAsia="Times New Roman"/>
            </w:rPr>
          </w:pPr>
          <w:proofErr w:type="spellStart"/>
          <w:r>
            <w:rPr>
              <w:rFonts w:eastAsia="Times New Roman"/>
            </w:rPr>
            <w:t>Ferri</w:t>
          </w:r>
          <w:proofErr w:type="spellEnd"/>
          <w:r>
            <w:rPr>
              <w:rFonts w:eastAsia="Times New Roman"/>
            </w:rPr>
            <w:t xml:space="preserve">, J., Schmidt, J., </w:t>
          </w:r>
          <w:proofErr w:type="spellStart"/>
          <w:r>
            <w:rPr>
              <w:rFonts w:eastAsia="Times New Roman"/>
            </w:rPr>
            <w:t>Hajcak</w:t>
          </w:r>
          <w:proofErr w:type="spellEnd"/>
          <w:r>
            <w:rPr>
              <w:rFonts w:eastAsia="Times New Roman"/>
            </w:rPr>
            <w:t xml:space="preserve">, G., &amp; </w:t>
          </w:r>
          <w:proofErr w:type="spellStart"/>
          <w:r>
            <w:rPr>
              <w:rFonts w:eastAsia="Times New Roman"/>
            </w:rPr>
            <w:t>Canli</w:t>
          </w:r>
          <w:proofErr w:type="spellEnd"/>
          <w:r>
            <w:rPr>
              <w:rFonts w:eastAsia="Times New Roman"/>
            </w:rPr>
            <w:t>, T. (2016). Emotion regulation and amygdala-</w:t>
          </w:r>
          <w:proofErr w:type="spellStart"/>
          <w:r>
            <w:rPr>
              <w:rFonts w:eastAsia="Times New Roman"/>
            </w:rPr>
            <w:t>precuneus</w:t>
          </w:r>
          <w:proofErr w:type="spellEnd"/>
          <w:r>
            <w:rPr>
              <w:rFonts w:eastAsia="Times New Roman"/>
            </w:rPr>
            <w:t xml:space="preserve"> connectivity: Focusing on attentional deployment. </w:t>
          </w:r>
          <w:r>
            <w:rPr>
              <w:rFonts w:eastAsia="Times New Roman"/>
              <w:i/>
              <w:iCs/>
            </w:rPr>
            <w:t xml:space="preserve">Cognitive, Affective &amp; </w:t>
          </w:r>
          <w:proofErr w:type="spellStart"/>
          <w:r>
            <w:rPr>
              <w:rFonts w:eastAsia="Times New Roman"/>
              <w:i/>
              <w:iCs/>
            </w:rPr>
            <w:t>Behavioral</w:t>
          </w:r>
          <w:proofErr w:type="spellEnd"/>
          <w:r>
            <w:rPr>
              <w:rFonts w:eastAsia="Times New Roman"/>
              <w:i/>
              <w:iCs/>
            </w:rPr>
            <w:t xml:space="preserve"> Neuroscience</w:t>
          </w:r>
          <w:r>
            <w:rPr>
              <w:rFonts w:eastAsia="Times New Roman"/>
            </w:rPr>
            <w:t xml:space="preserve">, </w:t>
          </w:r>
          <w:r>
            <w:rPr>
              <w:rFonts w:eastAsia="Times New Roman"/>
              <w:i/>
              <w:iCs/>
            </w:rPr>
            <w:t>16</w:t>
          </w:r>
          <w:r>
            <w:rPr>
              <w:rFonts w:eastAsia="Times New Roman"/>
            </w:rPr>
            <w:t>(6), 991–1002. https://doi.org/10.3758/S13415-016-0447-Y</w:t>
          </w:r>
        </w:p>
        <w:p w14:paraId="36B02BA2" w14:textId="77777777" w:rsidR="00EC7CE1" w:rsidRDefault="00EC7CE1">
          <w:pPr>
            <w:autoSpaceDE w:val="0"/>
            <w:autoSpaceDN w:val="0"/>
            <w:ind w:hanging="480"/>
            <w:divId w:val="677804175"/>
            <w:rPr>
              <w:rFonts w:eastAsia="Times New Roman"/>
            </w:rPr>
          </w:pPr>
          <w:r>
            <w:rPr>
              <w:rFonts w:eastAsia="Times New Roman"/>
            </w:rPr>
            <w:t xml:space="preserve">Fields, S. A., Lange, K., Ramos, A., </w:t>
          </w:r>
          <w:proofErr w:type="spellStart"/>
          <w:r>
            <w:rPr>
              <w:rFonts w:eastAsia="Times New Roman"/>
            </w:rPr>
            <w:t>Thamotharan</w:t>
          </w:r>
          <w:proofErr w:type="spellEnd"/>
          <w:r>
            <w:rPr>
              <w:rFonts w:eastAsia="Times New Roman"/>
            </w:rPr>
            <w:t xml:space="preserve">, S., &amp; </w:t>
          </w:r>
          <w:proofErr w:type="spellStart"/>
          <w:r>
            <w:rPr>
              <w:rFonts w:eastAsia="Times New Roman"/>
            </w:rPr>
            <w:t>Rassu</w:t>
          </w:r>
          <w:proofErr w:type="spellEnd"/>
          <w:r>
            <w:rPr>
              <w:rFonts w:eastAsia="Times New Roman"/>
            </w:rPr>
            <w:t xml:space="preserve">, F. (2014). The relationship between stress and delay discounting: A meta-analytic review. </w:t>
          </w:r>
          <w:r>
            <w:rPr>
              <w:rFonts w:eastAsia="Times New Roman"/>
              <w:i/>
              <w:iCs/>
            </w:rPr>
            <w:t>Behavioural Pharmacology</w:t>
          </w:r>
          <w:r>
            <w:rPr>
              <w:rFonts w:eastAsia="Times New Roman"/>
            </w:rPr>
            <w:t xml:space="preserve">, </w:t>
          </w:r>
          <w:r>
            <w:rPr>
              <w:rFonts w:eastAsia="Times New Roman"/>
              <w:i/>
              <w:iCs/>
            </w:rPr>
            <w:t>25</w:t>
          </w:r>
          <w:r>
            <w:rPr>
              <w:rFonts w:eastAsia="Times New Roman"/>
            </w:rPr>
            <w:t>(5–6), 434–444. https://doi.org/10.1097/FBP.0000000000000044</w:t>
          </w:r>
        </w:p>
        <w:p w14:paraId="1F86C995" w14:textId="77777777" w:rsidR="00EC7CE1" w:rsidRDefault="00EC7CE1">
          <w:pPr>
            <w:autoSpaceDE w:val="0"/>
            <w:autoSpaceDN w:val="0"/>
            <w:ind w:hanging="480"/>
            <w:divId w:val="562060859"/>
            <w:rPr>
              <w:rFonts w:eastAsia="Times New Roman"/>
            </w:rPr>
          </w:pPr>
          <w:proofErr w:type="spellStart"/>
          <w:r>
            <w:rPr>
              <w:rFonts w:eastAsia="Times New Roman"/>
            </w:rPr>
            <w:t>Fiess</w:t>
          </w:r>
          <w:proofErr w:type="spellEnd"/>
          <w:r>
            <w:rPr>
              <w:rFonts w:eastAsia="Times New Roman"/>
            </w:rPr>
            <w:t xml:space="preserve">, J., </w:t>
          </w:r>
          <w:proofErr w:type="spellStart"/>
          <w:r>
            <w:rPr>
              <w:rFonts w:eastAsia="Times New Roman"/>
            </w:rPr>
            <w:t>Rockstroh</w:t>
          </w:r>
          <w:proofErr w:type="spellEnd"/>
          <w:r>
            <w:rPr>
              <w:rFonts w:eastAsia="Times New Roman"/>
            </w:rPr>
            <w:t xml:space="preserve">, B., Schmidt, R., &amp; Steffen, A. (2015). Emotion regulation and functional neurological symptoms: Does emotion processing convert into sensorimotor activity? </w:t>
          </w:r>
          <w:r>
            <w:rPr>
              <w:rFonts w:eastAsia="Times New Roman"/>
              <w:i/>
              <w:iCs/>
            </w:rPr>
            <w:t>Journal of Psychosomatic Research</w:t>
          </w:r>
          <w:r>
            <w:rPr>
              <w:rFonts w:eastAsia="Times New Roman"/>
            </w:rPr>
            <w:t xml:space="preserve">, </w:t>
          </w:r>
          <w:r>
            <w:rPr>
              <w:rFonts w:eastAsia="Times New Roman"/>
              <w:i/>
              <w:iCs/>
            </w:rPr>
            <w:t>79</w:t>
          </w:r>
          <w:r>
            <w:rPr>
              <w:rFonts w:eastAsia="Times New Roman"/>
            </w:rPr>
            <w:t>(6), 477–483. https://doi.org/10.1016/J.JPSYCHORES.2015.10.009</w:t>
          </w:r>
        </w:p>
        <w:p w14:paraId="10F029E8" w14:textId="77777777" w:rsidR="00EC7CE1" w:rsidRDefault="00EC7CE1">
          <w:pPr>
            <w:autoSpaceDE w:val="0"/>
            <w:autoSpaceDN w:val="0"/>
            <w:ind w:hanging="480"/>
            <w:divId w:val="247085465"/>
            <w:rPr>
              <w:rFonts w:eastAsia="Times New Roman"/>
            </w:rPr>
          </w:pPr>
          <w:proofErr w:type="spellStart"/>
          <w:r>
            <w:rPr>
              <w:rFonts w:eastAsia="Times New Roman"/>
            </w:rPr>
            <w:t>Fiess</w:t>
          </w:r>
          <w:proofErr w:type="spellEnd"/>
          <w:r>
            <w:rPr>
              <w:rFonts w:eastAsia="Times New Roman"/>
            </w:rPr>
            <w:t xml:space="preserve">, J., </w:t>
          </w:r>
          <w:proofErr w:type="spellStart"/>
          <w:r>
            <w:rPr>
              <w:rFonts w:eastAsia="Times New Roman"/>
            </w:rPr>
            <w:t>Rockstroh</w:t>
          </w:r>
          <w:proofErr w:type="spellEnd"/>
          <w:r>
            <w:rPr>
              <w:rFonts w:eastAsia="Times New Roman"/>
            </w:rPr>
            <w:t xml:space="preserve">, B., Schmidt, R., </w:t>
          </w:r>
          <w:proofErr w:type="spellStart"/>
          <w:r>
            <w:rPr>
              <w:rFonts w:eastAsia="Times New Roman"/>
            </w:rPr>
            <w:t>Wienbruch</w:t>
          </w:r>
          <w:proofErr w:type="spellEnd"/>
          <w:r>
            <w:rPr>
              <w:rFonts w:eastAsia="Times New Roman"/>
            </w:rPr>
            <w:t xml:space="preserve">, C., &amp; Steffen, A. (2016). Functional neurological symptoms modulate processing of emotionally salient stimuli. </w:t>
          </w:r>
          <w:r>
            <w:rPr>
              <w:rFonts w:eastAsia="Times New Roman"/>
              <w:i/>
              <w:iCs/>
            </w:rPr>
            <w:t>Journal of Psychosomatic Research</w:t>
          </w:r>
          <w:r>
            <w:rPr>
              <w:rFonts w:eastAsia="Times New Roman"/>
            </w:rPr>
            <w:t xml:space="preserve">, </w:t>
          </w:r>
          <w:r>
            <w:rPr>
              <w:rFonts w:eastAsia="Times New Roman"/>
              <w:i/>
              <w:iCs/>
            </w:rPr>
            <w:t>91</w:t>
          </w:r>
          <w:r>
            <w:rPr>
              <w:rFonts w:eastAsia="Times New Roman"/>
            </w:rPr>
            <w:t>, 61–67. https://doi.org/10.1016/J.JPSYCHORES.2016.10.007</w:t>
          </w:r>
        </w:p>
        <w:p w14:paraId="68845569" w14:textId="77777777" w:rsidR="00EC7CE1" w:rsidRDefault="00EC7CE1">
          <w:pPr>
            <w:autoSpaceDE w:val="0"/>
            <w:autoSpaceDN w:val="0"/>
            <w:ind w:hanging="480"/>
            <w:divId w:val="989361540"/>
            <w:rPr>
              <w:rFonts w:eastAsia="Times New Roman"/>
            </w:rPr>
          </w:pPr>
          <w:r>
            <w:rPr>
              <w:rFonts w:eastAsia="Times New Roman"/>
            </w:rPr>
            <w:t xml:space="preserve">Finger, R. P., Fenwick, E., </w:t>
          </w:r>
          <w:proofErr w:type="spellStart"/>
          <w:r>
            <w:rPr>
              <w:rFonts w:eastAsia="Times New Roman"/>
            </w:rPr>
            <w:t>Pesudovs</w:t>
          </w:r>
          <w:proofErr w:type="spellEnd"/>
          <w:r>
            <w:rPr>
              <w:rFonts w:eastAsia="Times New Roman"/>
            </w:rPr>
            <w:t xml:space="preserve">, K., Marella, M., Lamoureux, E. L., &amp; </w:t>
          </w:r>
          <w:proofErr w:type="spellStart"/>
          <w:r>
            <w:rPr>
              <w:rFonts w:eastAsia="Times New Roman"/>
            </w:rPr>
            <w:t>Holz</w:t>
          </w:r>
          <w:proofErr w:type="spellEnd"/>
          <w:r>
            <w:rPr>
              <w:rFonts w:eastAsia="Times New Roman"/>
            </w:rPr>
            <w:t xml:space="preserve">, F. G. (2012). Rasch Analysis Reveals Problems with Multiplicative Scoring in the Macular Disease Quality of Life Questionnaire. </w:t>
          </w:r>
          <w:r>
            <w:rPr>
              <w:rFonts w:eastAsia="Times New Roman"/>
              <w:i/>
              <w:iCs/>
            </w:rPr>
            <w:t>Ophthalmology</w:t>
          </w:r>
          <w:r>
            <w:rPr>
              <w:rFonts w:eastAsia="Times New Roman"/>
            </w:rPr>
            <w:t xml:space="preserve">, </w:t>
          </w:r>
          <w:r>
            <w:rPr>
              <w:rFonts w:eastAsia="Times New Roman"/>
              <w:i/>
              <w:iCs/>
            </w:rPr>
            <w:t>119</w:t>
          </w:r>
          <w:r>
            <w:rPr>
              <w:rFonts w:eastAsia="Times New Roman"/>
            </w:rPr>
            <w:t>(11), 2351–2357. https://doi.org/10.1016/J.OPHTHA.2012.05.031</w:t>
          </w:r>
        </w:p>
        <w:p w14:paraId="37CD9CD3" w14:textId="77777777" w:rsidR="00EC7CE1" w:rsidRDefault="00EC7CE1">
          <w:pPr>
            <w:autoSpaceDE w:val="0"/>
            <w:autoSpaceDN w:val="0"/>
            <w:ind w:hanging="480"/>
            <w:divId w:val="13114254"/>
            <w:rPr>
              <w:rFonts w:eastAsia="Times New Roman"/>
            </w:rPr>
          </w:pPr>
          <w:r>
            <w:rPr>
              <w:rFonts w:eastAsia="Times New Roman"/>
            </w:rPr>
            <w:t xml:space="preserve">Finkelstein, S. A., </w:t>
          </w:r>
          <w:proofErr w:type="spellStart"/>
          <w:r>
            <w:rPr>
              <w:rFonts w:eastAsia="Times New Roman"/>
            </w:rPr>
            <w:t>Cortel</w:t>
          </w:r>
          <w:proofErr w:type="spellEnd"/>
          <w:r>
            <w:rPr>
              <w:rFonts w:eastAsia="Times New Roman"/>
            </w:rPr>
            <w:t xml:space="preserve">-LeBlanc, M. A., </w:t>
          </w:r>
          <w:proofErr w:type="spellStart"/>
          <w:r>
            <w:rPr>
              <w:rFonts w:eastAsia="Times New Roman"/>
            </w:rPr>
            <w:t>Cortel</w:t>
          </w:r>
          <w:proofErr w:type="spellEnd"/>
          <w:r>
            <w:rPr>
              <w:rFonts w:eastAsia="Times New Roman"/>
            </w:rPr>
            <w:t xml:space="preserve">-LeBlanc, A., &amp; Stone, J. (2021). Functional neurological disorder in the emergency department. </w:t>
          </w:r>
          <w:r>
            <w:rPr>
              <w:rFonts w:eastAsia="Times New Roman"/>
              <w:i/>
              <w:iCs/>
            </w:rPr>
            <w:t>Academic Emergency Medicine</w:t>
          </w:r>
          <w:r>
            <w:rPr>
              <w:rFonts w:eastAsia="Times New Roman"/>
            </w:rPr>
            <w:t xml:space="preserve">, </w:t>
          </w:r>
          <w:r>
            <w:rPr>
              <w:rFonts w:eastAsia="Times New Roman"/>
              <w:i/>
              <w:iCs/>
            </w:rPr>
            <w:t>28</w:t>
          </w:r>
          <w:r>
            <w:rPr>
              <w:rFonts w:eastAsia="Times New Roman"/>
            </w:rPr>
            <w:t>(6), 685–696. https://doi.org/10.1111/ACEM.14263</w:t>
          </w:r>
        </w:p>
        <w:p w14:paraId="660611E8" w14:textId="77777777" w:rsidR="00EC7CE1" w:rsidRDefault="00EC7CE1">
          <w:pPr>
            <w:autoSpaceDE w:val="0"/>
            <w:autoSpaceDN w:val="0"/>
            <w:ind w:hanging="480"/>
            <w:divId w:val="818500936"/>
            <w:rPr>
              <w:rFonts w:eastAsia="Times New Roman"/>
            </w:rPr>
          </w:pPr>
          <w:r>
            <w:rPr>
              <w:rFonts w:eastAsia="Times New Roman"/>
            </w:rPr>
            <w:t xml:space="preserve">Fisher, W. P. J. (2007). Rating Scale Instrument Quality Criteria. In </w:t>
          </w:r>
          <w:r>
            <w:rPr>
              <w:rFonts w:eastAsia="Times New Roman"/>
              <w:i/>
              <w:iCs/>
            </w:rPr>
            <w:t>Rasch Measurement Transactions</w:t>
          </w:r>
          <w:r>
            <w:rPr>
              <w:rFonts w:eastAsia="Times New Roman"/>
            </w:rPr>
            <w:t xml:space="preserve"> (Vol. 21, Issue 1, pp. 1095–1095). https://www.rasch.org/rmt/rmt211m.htm</w:t>
          </w:r>
        </w:p>
        <w:p w14:paraId="11E9E785" w14:textId="77777777" w:rsidR="00EC7CE1" w:rsidRDefault="00EC7CE1">
          <w:pPr>
            <w:autoSpaceDE w:val="0"/>
            <w:autoSpaceDN w:val="0"/>
            <w:ind w:hanging="480"/>
            <w:divId w:val="1567573616"/>
            <w:rPr>
              <w:rFonts w:eastAsia="Times New Roman"/>
            </w:rPr>
          </w:pPr>
          <w:proofErr w:type="spellStart"/>
          <w:r>
            <w:rPr>
              <w:rFonts w:eastAsia="Times New Roman"/>
            </w:rPr>
            <w:t>Fitzsimmon</w:t>
          </w:r>
          <w:proofErr w:type="spellEnd"/>
          <w:r>
            <w:rPr>
              <w:rFonts w:eastAsia="Times New Roman"/>
            </w:rPr>
            <w:t xml:space="preserve">, S., Page, L., &amp; Aram, J. (2017). 3 Non-epileptic seizures in the emergency department: an audit. </w:t>
          </w:r>
          <w:r>
            <w:rPr>
              <w:rFonts w:eastAsia="Times New Roman"/>
              <w:i/>
              <w:iCs/>
            </w:rPr>
            <w:t>Journal of Neurology, Neurosurgery &amp;amp; Psychiatry</w:t>
          </w:r>
          <w:r>
            <w:rPr>
              <w:rFonts w:eastAsia="Times New Roman"/>
            </w:rPr>
            <w:t xml:space="preserve">, </w:t>
          </w:r>
          <w:r>
            <w:rPr>
              <w:rFonts w:eastAsia="Times New Roman"/>
              <w:i/>
              <w:iCs/>
            </w:rPr>
            <w:t>88</w:t>
          </w:r>
          <w:r>
            <w:rPr>
              <w:rFonts w:eastAsia="Times New Roman"/>
            </w:rPr>
            <w:t>(8), A28–A29. https://doi.org/10.1136/jnnp-2017-BNPA.63</w:t>
          </w:r>
        </w:p>
        <w:p w14:paraId="5563A4EB" w14:textId="77777777" w:rsidR="00EC7CE1" w:rsidRDefault="00EC7CE1">
          <w:pPr>
            <w:autoSpaceDE w:val="0"/>
            <w:autoSpaceDN w:val="0"/>
            <w:ind w:hanging="480"/>
            <w:divId w:val="1628586794"/>
            <w:rPr>
              <w:rFonts w:eastAsia="Times New Roman"/>
            </w:rPr>
          </w:pPr>
          <w:proofErr w:type="spellStart"/>
          <w:r>
            <w:rPr>
              <w:rFonts w:eastAsia="Times New Roman"/>
            </w:rPr>
            <w:lastRenderedPageBreak/>
            <w:t>Fobian</w:t>
          </w:r>
          <w:proofErr w:type="spellEnd"/>
          <w:r>
            <w:rPr>
              <w:rFonts w:eastAsia="Times New Roman"/>
            </w:rPr>
            <w:t xml:space="preserve">, A. D., &amp; Elliott, L. (2019). A review of functional neurological symptom disorder </w:t>
          </w:r>
          <w:proofErr w:type="spellStart"/>
          <w:r>
            <w:rPr>
              <w:rFonts w:eastAsia="Times New Roman"/>
            </w:rPr>
            <w:t>etiology</w:t>
          </w:r>
          <w:proofErr w:type="spellEnd"/>
          <w:r>
            <w:rPr>
              <w:rFonts w:eastAsia="Times New Roman"/>
            </w:rPr>
            <w:t xml:space="preserve"> and the integrated etiological summary model. </w:t>
          </w:r>
          <w:r>
            <w:rPr>
              <w:rFonts w:eastAsia="Times New Roman"/>
              <w:i/>
              <w:iCs/>
            </w:rPr>
            <w:t>Journal of Psychiatry &amp; Neuroscience : JPN</w:t>
          </w:r>
          <w:r>
            <w:rPr>
              <w:rFonts w:eastAsia="Times New Roman"/>
            </w:rPr>
            <w:t xml:space="preserve">, </w:t>
          </w:r>
          <w:r>
            <w:rPr>
              <w:rFonts w:eastAsia="Times New Roman"/>
              <w:i/>
              <w:iCs/>
            </w:rPr>
            <w:t>44</w:t>
          </w:r>
          <w:r>
            <w:rPr>
              <w:rFonts w:eastAsia="Times New Roman"/>
            </w:rPr>
            <w:t>(1), 8. https://doi.org/10.1503/JPN.170190</w:t>
          </w:r>
        </w:p>
        <w:p w14:paraId="6ABAAFC6" w14:textId="77777777" w:rsidR="00EC7CE1" w:rsidRDefault="00EC7CE1">
          <w:pPr>
            <w:autoSpaceDE w:val="0"/>
            <w:autoSpaceDN w:val="0"/>
            <w:ind w:hanging="480"/>
            <w:divId w:val="729958012"/>
            <w:rPr>
              <w:rFonts w:eastAsia="Times New Roman"/>
            </w:rPr>
          </w:pPr>
          <w:r>
            <w:rPr>
              <w:rFonts w:eastAsia="Times New Roman"/>
            </w:rPr>
            <w:t xml:space="preserve">Folkman, S., &amp; Lazarus, R. S. (1985). If It Changes It Must Be a Process. Study of Emotion and Coping During Three Stages of a College Examination. </w:t>
          </w:r>
          <w:r>
            <w:rPr>
              <w:rFonts w:eastAsia="Times New Roman"/>
              <w:i/>
              <w:iCs/>
            </w:rPr>
            <w:t>Journal of Personality and Social Psychology</w:t>
          </w:r>
          <w:r>
            <w:rPr>
              <w:rFonts w:eastAsia="Times New Roman"/>
            </w:rPr>
            <w:t xml:space="preserve">, </w:t>
          </w:r>
          <w:r>
            <w:rPr>
              <w:rFonts w:eastAsia="Times New Roman"/>
              <w:i/>
              <w:iCs/>
            </w:rPr>
            <w:t>48</w:t>
          </w:r>
          <w:r>
            <w:rPr>
              <w:rFonts w:eastAsia="Times New Roman"/>
            </w:rPr>
            <w:t>(1), 150–170. https://doi.org/10.1037/0022-3514.48.1.150</w:t>
          </w:r>
        </w:p>
        <w:p w14:paraId="16F6280F" w14:textId="77777777" w:rsidR="00EC7CE1" w:rsidRDefault="00EC7CE1">
          <w:pPr>
            <w:autoSpaceDE w:val="0"/>
            <w:autoSpaceDN w:val="0"/>
            <w:ind w:hanging="480"/>
            <w:divId w:val="472336412"/>
            <w:rPr>
              <w:rFonts w:eastAsia="Times New Roman"/>
            </w:rPr>
          </w:pPr>
          <w:r>
            <w:rPr>
              <w:rFonts w:eastAsia="Times New Roman"/>
            </w:rPr>
            <w:t xml:space="preserve">Fox, E., Russo, R., Bowles, R., &amp; Dutton, K. (2001). Do Threatening Stimuli Draw or Hold Visual Attention in Subclinical Anxiety? </w:t>
          </w:r>
          <w:r>
            <w:rPr>
              <w:rFonts w:eastAsia="Times New Roman"/>
              <w:i/>
              <w:iCs/>
            </w:rPr>
            <w:t>Journal of Experimental Psychology. General</w:t>
          </w:r>
          <w:r>
            <w:rPr>
              <w:rFonts w:eastAsia="Times New Roman"/>
            </w:rPr>
            <w:t xml:space="preserve">, </w:t>
          </w:r>
          <w:r>
            <w:rPr>
              <w:rFonts w:eastAsia="Times New Roman"/>
              <w:i/>
              <w:iCs/>
            </w:rPr>
            <w:t>130</w:t>
          </w:r>
          <w:r>
            <w:rPr>
              <w:rFonts w:eastAsia="Times New Roman"/>
            </w:rPr>
            <w:t>(4), 681. https://doi.org/10.1037/0096-3445.130.4.681</w:t>
          </w:r>
        </w:p>
        <w:p w14:paraId="7C6B74DA" w14:textId="77777777" w:rsidR="00EC7CE1" w:rsidRDefault="00EC7CE1">
          <w:pPr>
            <w:autoSpaceDE w:val="0"/>
            <w:autoSpaceDN w:val="0"/>
            <w:ind w:hanging="480"/>
            <w:divId w:val="1850022707"/>
            <w:rPr>
              <w:rFonts w:eastAsia="Times New Roman"/>
            </w:rPr>
          </w:pPr>
          <w:r>
            <w:rPr>
              <w:rFonts w:eastAsia="Times New Roman"/>
            </w:rPr>
            <w:t xml:space="preserve">Frank, L., Lenderking, W. R., Howard, K., &amp; Cantillon, M. (2011). Patient self-report for evaluating mild cognitive impairment and prodromal Alzheimer’s disease. </w:t>
          </w:r>
          <w:r>
            <w:rPr>
              <w:rFonts w:eastAsia="Times New Roman"/>
              <w:i/>
              <w:iCs/>
            </w:rPr>
            <w:t>Alzheimer’s Research &amp; Therapy</w:t>
          </w:r>
          <w:r>
            <w:rPr>
              <w:rFonts w:eastAsia="Times New Roman"/>
            </w:rPr>
            <w:t xml:space="preserve">, </w:t>
          </w:r>
          <w:r>
            <w:rPr>
              <w:rFonts w:eastAsia="Times New Roman"/>
              <w:i/>
              <w:iCs/>
            </w:rPr>
            <w:t>3</w:t>
          </w:r>
          <w:r>
            <w:rPr>
              <w:rFonts w:eastAsia="Times New Roman"/>
            </w:rPr>
            <w:t>(6), 35. https://doi.org/10.1186/alzrt97</w:t>
          </w:r>
        </w:p>
        <w:p w14:paraId="416ED23F" w14:textId="77777777" w:rsidR="00EC7CE1" w:rsidRDefault="00EC7CE1">
          <w:pPr>
            <w:autoSpaceDE w:val="0"/>
            <w:autoSpaceDN w:val="0"/>
            <w:ind w:hanging="480"/>
            <w:divId w:val="139201107"/>
            <w:rPr>
              <w:rFonts w:eastAsia="Times New Roman"/>
            </w:rPr>
          </w:pPr>
          <w:proofErr w:type="spellStart"/>
          <w:r>
            <w:rPr>
              <w:rFonts w:eastAsia="Times New Roman"/>
            </w:rPr>
            <w:t>Freeston</w:t>
          </w:r>
          <w:proofErr w:type="spellEnd"/>
          <w:r>
            <w:rPr>
              <w:rFonts w:eastAsia="Times New Roman"/>
            </w:rPr>
            <w:t xml:space="preserve">, M. H., </w:t>
          </w:r>
          <w:proofErr w:type="spellStart"/>
          <w:r>
            <w:rPr>
              <w:rFonts w:eastAsia="Times New Roman"/>
            </w:rPr>
            <w:t>Rhéaume</w:t>
          </w:r>
          <w:proofErr w:type="spellEnd"/>
          <w:r>
            <w:rPr>
              <w:rFonts w:eastAsia="Times New Roman"/>
            </w:rPr>
            <w:t xml:space="preserve">, J., </w:t>
          </w:r>
          <w:proofErr w:type="spellStart"/>
          <w:r>
            <w:rPr>
              <w:rFonts w:eastAsia="Times New Roman"/>
            </w:rPr>
            <w:t>Letarte</w:t>
          </w:r>
          <w:proofErr w:type="spellEnd"/>
          <w:r>
            <w:rPr>
              <w:rFonts w:eastAsia="Times New Roman"/>
            </w:rPr>
            <w:t xml:space="preserve">, H., Dugas, M. J., &amp; Ladouceur, R. (1994). Why do people worry? </w:t>
          </w:r>
          <w:r>
            <w:rPr>
              <w:rFonts w:eastAsia="Times New Roman"/>
              <w:i/>
              <w:iCs/>
            </w:rPr>
            <w:t>Personality and Individual Differences</w:t>
          </w:r>
          <w:r>
            <w:rPr>
              <w:rFonts w:eastAsia="Times New Roman"/>
            </w:rPr>
            <w:t xml:space="preserve">, </w:t>
          </w:r>
          <w:r>
            <w:rPr>
              <w:rFonts w:eastAsia="Times New Roman"/>
              <w:i/>
              <w:iCs/>
            </w:rPr>
            <w:t>17</w:t>
          </w:r>
          <w:r>
            <w:rPr>
              <w:rFonts w:eastAsia="Times New Roman"/>
            </w:rPr>
            <w:t>(6), 791–802. https://doi.org/10.1016/0191-8869(94)90048-5</w:t>
          </w:r>
        </w:p>
        <w:p w14:paraId="538488E3" w14:textId="77777777" w:rsidR="00EC7CE1" w:rsidRDefault="00EC7CE1">
          <w:pPr>
            <w:autoSpaceDE w:val="0"/>
            <w:autoSpaceDN w:val="0"/>
            <w:ind w:hanging="480"/>
            <w:divId w:val="377901327"/>
            <w:rPr>
              <w:rFonts w:eastAsia="Times New Roman"/>
            </w:rPr>
          </w:pPr>
          <w:r>
            <w:rPr>
              <w:rFonts w:eastAsia="Times New Roman"/>
            </w:rPr>
            <w:t xml:space="preserve">Frings, C., </w:t>
          </w:r>
          <w:proofErr w:type="spellStart"/>
          <w:r>
            <w:rPr>
              <w:rFonts w:eastAsia="Times New Roman"/>
            </w:rPr>
            <w:t>Wentura</w:t>
          </w:r>
          <w:proofErr w:type="spellEnd"/>
          <w:r>
            <w:rPr>
              <w:rFonts w:eastAsia="Times New Roman"/>
            </w:rPr>
            <w:t xml:space="preserve">, D., &amp; Holtz, M. (2007). </w:t>
          </w:r>
          <w:proofErr w:type="spellStart"/>
          <w:r>
            <w:rPr>
              <w:rFonts w:eastAsia="Times New Roman"/>
            </w:rPr>
            <w:t>Dysphorics</w:t>
          </w:r>
          <w:proofErr w:type="spellEnd"/>
          <w:r>
            <w:rPr>
              <w:rFonts w:eastAsia="Times New Roman"/>
            </w:rPr>
            <w:t xml:space="preserve"> cannot ignore unpleasant information. </w:t>
          </w:r>
          <w:r>
            <w:rPr>
              <w:rFonts w:eastAsia="Times New Roman"/>
              <w:i/>
              <w:iCs/>
            </w:rPr>
            <w:t>Cognition &amp; Emotion</w:t>
          </w:r>
          <w:r>
            <w:rPr>
              <w:rFonts w:eastAsia="Times New Roman"/>
            </w:rPr>
            <w:t xml:space="preserve">, </w:t>
          </w:r>
          <w:r>
            <w:rPr>
              <w:rFonts w:eastAsia="Times New Roman"/>
              <w:i/>
              <w:iCs/>
            </w:rPr>
            <w:t>21</w:t>
          </w:r>
          <w:r>
            <w:rPr>
              <w:rFonts w:eastAsia="Times New Roman"/>
            </w:rPr>
            <w:t>(7), 1525–1534. https://doi.org/10.1080/02699930601054042</w:t>
          </w:r>
        </w:p>
        <w:p w14:paraId="1E8449AE" w14:textId="77777777" w:rsidR="00EC7CE1" w:rsidRDefault="00EC7CE1">
          <w:pPr>
            <w:autoSpaceDE w:val="0"/>
            <w:autoSpaceDN w:val="0"/>
            <w:ind w:hanging="480"/>
            <w:divId w:val="1136607637"/>
            <w:rPr>
              <w:rFonts w:eastAsia="Times New Roman"/>
            </w:rPr>
          </w:pPr>
          <w:r>
            <w:rPr>
              <w:rFonts w:eastAsia="Times New Roman"/>
            </w:rPr>
            <w:t xml:space="preserve">Frost, R., &amp; McNaughton, N. (2017). The neural basis of delay discounting: A review and preliminary model. </w:t>
          </w:r>
          <w:r>
            <w:rPr>
              <w:rFonts w:eastAsia="Times New Roman"/>
              <w:i/>
              <w:iCs/>
            </w:rPr>
            <w:t xml:space="preserve">Neuroscience &amp; </w:t>
          </w:r>
          <w:proofErr w:type="spellStart"/>
          <w:r>
            <w:rPr>
              <w:rFonts w:eastAsia="Times New Roman"/>
              <w:i/>
              <w:iCs/>
            </w:rPr>
            <w:t>Biobehavioral</w:t>
          </w:r>
          <w:proofErr w:type="spellEnd"/>
          <w:r>
            <w:rPr>
              <w:rFonts w:eastAsia="Times New Roman"/>
              <w:i/>
              <w:iCs/>
            </w:rPr>
            <w:t xml:space="preserve"> Reviews</w:t>
          </w:r>
          <w:r>
            <w:rPr>
              <w:rFonts w:eastAsia="Times New Roman"/>
            </w:rPr>
            <w:t xml:space="preserve">, </w:t>
          </w:r>
          <w:r>
            <w:rPr>
              <w:rFonts w:eastAsia="Times New Roman"/>
              <w:i/>
              <w:iCs/>
            </w:rPr>
            <w:t>79</w:t>
          </w:r>
          <w:r>
            <w:rPr>
              <w:rFonts w:eastAsia="Times New Roman"/>
            </w:rPr>
            <w:t>, 48–65. https://doi.org/10.1016/J.NEUBIOREV.2017.04.022</w:t>
          </w:r>
        </w:p>
        <w:p w14:paraId="540B4A30" w14:textId="77777777" w:rsidR="00EC7CE1" w:rsidRDefault="00EC7CE1">
          <w:pPr>
            <w:autoSpaceDE w:val="0"/>
            <w:autoSpaceDN w:val="0"/>
            <w:ind w:hanging="480"/>
            <w:divId w:val="2112582775"/>
            <w:rPr>
              <w:rFonts w:eastAsia="Times New Roman"/>
            </w:rPr>
          </w:pPr>
          <w:r>
            <w:rPr>
              <w:rFonts w:eastAsia="Times New Roman"/>
            </w:rPr>
            <w:t xml:space="preserve">Gallagher, P., Meldrum, S., </w:t>
          </w:r>
          <w:proofErr w:type="spellStart"/>
          <w:r>
            <w:rPr>
              <w:rFonts w:eastAsia="Times New Roman"/>
            </w:rPr>
            <w:t>Copstick</w:t>
          </w:r>
          <w:proofErr w:type="spellEnd"/>
          <w:r>
            <w:rPr>
              <w:rFonts w:eastAsia="Times New Roman"/>
            </w:rPr>
            <w:t xml:space="preserve">, S., </w:t>
          </w:r>
          <w:proofErr w:type="spellStart"/>
          <w:r>
            <w:rPr>
              <w:rFonts w:eastAsia="Times New Roman"/>
            </w:rPr>
            <w:t>Burnel</w:t>
          </w:r>
          <w:proofErr w:type="spellEnd"/>
          <w:r>
            <w:rPr>
              <w:rFonts w:eastAsia="Times New Roman"/>
            </w:rPr>
            <w:t xml:space="preserve">, A., Matthews, A., Brown, M., Walker, S., Shah, P., &amp; </w:t>
          </w:r>
          <w:proofErr w:type="spellStart"/>
          <w:r>
            <w:rPr>
              <w:rFonts w:eastAsia="Times New Roman"/>
            </w:rPr>
            <w:t>Razvi</w:t>
          </w:r>
          <w:proofErr w:type="spellEnd"/>
          <w:r>
            <w:rPr>
              <w:rFonts w:eastAsia="Times New Roman"/>
            </w:rPr>
            <w:t xml:space="preserve">, S. (2013). MEDICALLY UNEXPLAINED NEUROLOGICAL SYMPTOMS ON AN ACUTE NEUROLOGY WARD: HEALTHCARE RESOURCE UTILISATION. </w:t>
          </w:r>
          <w:r>
            <w:rPr>
              <w:rFonts w:eastAsia="Times New Roman"/>
              <w:i/>
              <w:iCs/>
            </w:rPr>
            <w:t>Journal of Neurology, Neurosurgery &amp;</w:t>
          </w:r>
          <w:proofErr w:type="spellStart"/>
          <w:r>
            <w:rPr>
              <w:rFonts w:eastAsia="Times New Roman"/>
              <w:i/>
              <w:iCs/>
            </w:rPr>
            <w:t>amp;Amp</w:t>
          </w:r>
          <w:proofErr w:type="spellEnd"/>
          <w:r>
            <w:rPr>
              <w:rFonts w:eastAsia="Times New Roman"/>
              <w:i/>
              <w:iCs/>
            </w:rPr>
            <w:t>; Psychiatry</w:t>
          </w:r>
          <w:r>
            <w:rPr>
              <w:rFonts w:eastAsia="Times New Roman"/>
            </w:rPr>
            <w:t xml:space="preserve">, </w:t>
          </w:r>
          <w:r>
            <w:rPr>
              <w:rFonts w:eastAsia="Times New Roman"/>
              <w:i/>
              <w:iCs/>
            </w:rPr>
            <w:t>84</w:t>
          </w:r>
          <w:r>
            <w:rPr>
              <w:rFonts w:eastAsia="Times New Roman"/>
            </w:rPr>
            <w:t>(11), e2. https://doi.org/10.1136/jnnp-2013-306573.56</w:t>
          </w:r>
        </w:p>
        <w:p w14:paraId="5029F332" w14:textId="77777777" w:rsidR="00EC7CE1" w:rsidRDefault="00EC7CE1">
          <w:pPr>
            <w:autoSpaceDE w:val="0"/>
            <w:autoSpaceDN w:val="0"/>
            <w:ind w:hanging="480"/>
            <w:divId w:val="922839823"/>
            <w:rPr>
              <w:rFonts w:eastAsia="Times New Roman"/>
            </w:rPr>
          </w:pPr>
          <w:r>
            <w:rPr>
              <w:rFonts w:eastAsia="Times New Roman"/>
            </w:rPr>
            <w:t xml:space="preserve">Galli, S., Tatu, L., </w:t>
          </w:r>
          <w:proofErr w:type="spellStart"/>
          <w:r>
            <w:rPr>
              <w:rFonts w:eastAsia="Times New Roman"/>
            </w:rPr>
            <w:t>Bogousslavsky</w:t>
          </w:r>
          <w:proofErr w:type="spellEnd"/>
          <w:r>
            <w:rPr>
              <w:rFonts w:eastAsia="Times New Roman"/>
            </w:rPr>
            <w:t xml:space="preserve">, J., &amp; </w:t>
          </w:r>
          <w:proofErr w:type="spellStart"/>
          <w:r>
            <w:rPr>
              <w:rFonts w:eastAsia="Times New Roman"/>
            </w:rPr>
            <w:t>Aybek</w:t>
          </w:r>
          <w:proofErr w:type="spellEnd"/>
          <w:r>
            <w:rPr>
              <w:rFonts w:eastAsia="Times New Roman"/>
            </w:rPr>
            <w:t xml:space="preserve">, S. (2018). Conversion, Factitious Disorder and Malingering: A Distinct Pattern or a Continuum? </w:t>
          </w:r>
          <w:r>
            <w:rPr>
              <w:rFonts w:eastAsia="Times New Roman"/>
              <w:i/>
              <w:iCs/>
            </w:rPr>
            <w:t>Frontiers of Neurology and Neuroscience</w:t>
          </w:r>
          <w:r>
            <w:rPr>
              <w:rFonts w:eastAsia="Times New Roman"/>
            </w:rPr>
            <w:t xml:space="preserve">, </w:t>
          </w:r>
          <w:r>
            <w:rPr>
              <w:rFonts w:eastAsia="Times New Roman"/>
              <w:i/>
              <w:iCs/>
            </w:rPr>
            <w:t>42</w:t>
          </w:r>
          <w:r>
            <w:rPr>
              <w:rFonts w:eastAsia="Times New Roman"/>
            </w:rPr>
            <w:t>, 72–80. https://doi.org/10.1159/000475699</w:t>
          </w:r>
        </w:p>
        <w:p w14:paraId="7463A43F" w14:textId="77777777" w:rsidR="00EC7CE1" w:rsidRDefault="00EC7CE1">
          <w:pPr>
            <w:autoSpaceDE w:val="0"/>
            <w:autoSpaceDN w:val="0"/>
            <w:ind w:hanging="480"/>
            <w:divId w:val="1056198335"/>
            <w:rPr>
              <w:rFonts w:eastAsia="Times New Roman"/>
            </w:rPr>
          </w:pPr>
          <w:proofErr w:type="spellStart"/>
          <w:r>
            <w:rPr>
              <w:rFonts w:eastAsia="Times New Roman"/>
            </w:rPr>
            <w:t>Gargon</w:t>
          </w:r>
          <w:proofErr w:type="spellEnd"/>
          <w:r>
            <w:rPr>
              <w:rFonts w:eastAsia="Times New Roman"/>
            </w:rPr>
            <w:t xml:space="preserve">, E. (2016). The COMET (Core Outcome Measures in Effectiveness Trials) Initiative. </w:t>
          </w:r>
          <w:proofErr w:type="spellStart"/>
          <w:r>
            <w:rPr>
              <w:rFonts w:eastAsia="Times New Roman"/>
              <w:i/>
              <w:iCs/>
            </w:rPr>
            <w:t>Maturitas</w:t>
          </w:r>
          <w:proofErr w:type="spellEnd"/>
          <w:r>
            <w:rPr>
              <w:rFonts w:eastAsia="Times New Roman"/>
            </w:rPr>
            <w:t xml:space="preserve">, </w:t>
          </w:r>
          <w:r>
            <w:rPr>
              <w:rFonts w:eastAsia="Times New Roman"/>
              <w:i/>
              <w:iCs/>
            </w:rPr>
            <w:t>91</w:t>
          </w:r>
          <w:r>
            <w:rPr>
              <w:rFonts w:eastAsia="Times New Roman"/>
            </w:rPr>
            <w:t>, 91–92. https://doi.org/10.1016/j.maturitas.2016.06.007</w:t>
          </w:r>
        </w:p>
        <w:p w14:paraId="2DA0F1FC" w14:textId="77777777" w:rsidR="00EC7CE1" w:rsidRDefault="00EC7CE1">
          <w:pPr>
            <w:autoSpaceDE w:val="0"/>
            <w:autoSpaceDN w:val="0"/>
            <w:ind w:hanging="480"/>
            <w:divId w:val="238295322"/>
            <w:rPr>
              <w:rFonts w:eastAsia="Times New Roman"/>
            </w:rPr>
          </w:pPr>
          <w:proofErr w:type="spellStart"/>
          <w:r>
            <w:rPr>
              <w:rFonts w:eastAsia="Times New Roman"/>
            </w:rPr>
            <w:t>Gargon</w:t>
          </w:r>
          <w:proofErr w:type="spellEnd"/>
          <w:r>
            <w:rPr>
              <w:rFonts w:eastAsia="Times New Roman"/>
            </w:rPr>
            <w:t xml:space="preserve">, E., </w:t>
          </w:r>
          <w:proofErr w:type="spellStart"/>
          <w:r>
            <w:rPr>
              <w:rFonts w:eastAsia="Times New Roman"/>
            </w:rPr>
            <w:t>Gorst</w:t>
          </w:r>
          <w:proofErr w:type="spellEnd"/>
          <w:r>
            <w:rPr>
              <w:rFonts w:eastAsia="Times New Roman"/>
            </w:rPr>
            <w:t xml:space="preserve">, S. L., </w:t>
          </w:r>
          <w:proofErr w:type="spellStart"/>
          <w:r>
            <w:rPr>
              <w:rFonts w:eastAsia="Times New Roman"/>
            </w:rPr>
            <w:t>Matvienko</w:t>
          </w:r>
          <w:proofErr w:type="spellEnd"/>
          <w:r>
            <w:rPr>
              <w:rFonts w:eastAsia="Times New Roman"/>
            </w:rPr>
            <w:t xml:space="preserve">-Sikar, K., &amp; Williamson, P. R. (2021). Choosing important health outcomes for comparative effectiveness research: 6th annual </w:t>
          </w:r>
          <w:r>
            <w:rPr>
              <w:rFonts w:eastAsia="Times New Roman"/>
            </w:rPr>
            <w:lastRenderedPageBreak/>
            <w:t xml:space="preserve">update to a systematic review of core outcome sets for research. </w:t>
          </w:r>
          <w:r>
            <w:rPr>
              <w:rFonts w:eastAsia="Times New Roman"/>
              <w:i/>
              <w:iCs/>
            </w:rPr>
            <w:t>PLOS ONE</w:t>
          </w:r>
          <w:r>
            <w:rPr>
              <w:rFonts w:eastAsia="Times New Roman"/>
            </w:rPr>
            <w:t xml:space="preserve">, </w:t>
          </w:r>
          <w:r>
            <w:rPr>
              <w:rFonts w:eastAsia="Times New Roman"/>
              <w:i/>
              <w:iCs/>
            </w:rPr>
            <w:t>16</w:t>
          </w:r>
          <w:r>
            <w:rPr>
              <w:rFonts w:eastAsia="Times New Roman"/>
            </w:rPr>
            <w:t>(1), e0244878. https://doi.org/10.1371/JOURNAL.PONE.0244878</w:t>
          </w:r>
        </w:p>
        <w:p w14:paraId="12701602" w14:textId="77777777" w:rsidR="00EC7CE1" w:rsidRDefault="00EC7CE1">
          <w:pPr>
            <w:autoSpaceDE w:val="0"/>
            <w:autoSpaceDN w:val="0"/>
            <w:ind w:hanging="480"/>
            <w:divId w:val="486284458"/>
            <w:rPr>
              <w:rFonts w:eastAsia="Times New Roman"/>
            </w:rPr>
          </w:pPr>
          <w:r>
            <w:rPr>
              <w:rFonts w:eastAsia="Times New Roman"/>
            </w:rPr>
            <w:t xml:space="preserve">Gasparini, S., </w:t>
          </w:r>
          <w:proofErr w:type="spellStart"/>
          <w:r>
            <w:rPr>
              <w:rFonts w:eastAsia="Times New Roman"/>
            </w:rPr>
            <w:t>Beghi</w:t>
          </w:r>
          <w:proofErr w:type="spellEnd"/>
          <w:r>
            <w:rPr>
              <w:rFonts w:eastAsia="Times New Roman"/>
            </w:rPr>
            <w:t xml:space="preserve">, E., </w:t>
          </w:r>
          <w:proofErr w:type="spellStart"/>
          <w:r>
            <w:rPr>
              <w:rFonts w:eastAsia="Times New Roman"/>
            </w:rPr>
            <w:t>Ferlazzo</w:t>
          </w:r>
          <w:proofErr w:type="spellEnd"/>
          <w:r>
            <w:rPr>
              <w:rFonts w:eastAsia="Times New Roman"/>
            </w:rPr>
            <w:t xml:space="preserve">, E., </w:t>
          </w:r>
          <w:proofErr w:type="spellStart"/>
          <w:r>
            <w:rPr>
              <w:rFonts w:eastAsia="Times New Roman"/>
            </w:rPr>
            <w:t>Beghi</w:t>
          </w:r>
          <w:proofErr w:type="spellEnd"/>
          <w:r>
            <w:rPr>
              <w:rFonts w:eastAsia="Times New Roman"/>
            </w:rPr>
            <w:t xml:space="preserve">, M., </w:t>
          </w:r>
          <w:proofErr w:type="spellStart"/>
          <w:r>
            <w:rPr>
              <w:rFonts w:eastAsia="Times New Roman"/>
            </w:rPr>
            <w:t>Belcastro</w:t>
          </w:r>
          <w:proofErr w:type="spellEnd"/>
          <w:r>
            <w:rPr>
              <w:rFonts w:eastAsia="Times New Roman"/>
            </w:rPr>
            <w:t xml:space="preserve">, V., Biermann, K. P., Bottini, G., </w:t>
          </w:r>
          <w:proofErr w:type="spellStart"/>
          <w:r>
            <w:rPr>
              <w:rFonts w:eastAsia="Times New Roman"/>
            </w:rPr>
            <w:t>Capovilla</w:t>
          </w:r>
          <w:proofErr w:type="spellEnd"/>
          <w:r>
            <w:rPr>
              <w:rFonts w:eastAsia="Times New Roman"/>
            </w:rPr>
            <w:t xml:space="preserve">, G., </w:t>
          </w:r>
          <w:proofErr w:type="spellStart"/>
          <w:r>
            <w:rPr>
              <w:rFonts w:eastAsia="Times New Roman"/>
            </w:rPr>
            <w:t>Cervellione</w:t>
          </w:r>
          <w:proofErr w:type="spellEnd"/>
          <w:r>
            <w:rPr>
              <w:rFonts w:eastAsia="Times New Roman"/>
            </w:rPr>
            <w:t xml:space="preserve">, R. A., </w:t>
          </w:r>
          <w:proofErr w:type="spellStart"/>
          <w:r>
            <w:rPr>
              <w:rFonts w:eastAsia="Times New Roman"/>
            </w:rPr>
            <w:t>Cianci</w:t>
          </w:r>
          <w:proofErr w:type="spellEnd"/>
          <w:r>
            <w:rPr>
              <w:rFonts w:eastAsia="Times New Roman"/>
            </w:rPr>
            <w:t xml:space="preserve">, V., Coppola, G., </w:t>
          </w:r>
          <w:proofErr w:type="spellStart"/>
          <w:r>
            <w:rPr>
              <w:rFonts w:eastAsia="Times New Roman"/>
            </w:rPr>
            <w:t>Cornaggia</w:t>
          </w:r>
          <w:proofErr w:type="spellEnd"/>
          <w:r>
            <w:rPr>
              <w:rFonts w:eastAsia="Times New Roman"/>
            </w:rPr>
            <w:t xml:space="preserve">, C. M., De Fazio, P., De </w:t>
          </w:r>
          <w:proofErr w:type="spellStart"/>
          <w:r>
            <w:rPr>
              <w:rFonts w:eastAsia="Times New Roman"/>
            </w:rPr>
            <w:t>Masi</w:t>
          </w:r>
          <w:proofErr w:type="spellEnd"/>
          <w:r>
            <w:rPr>
              <w:rFonts w:eastAsia="Times New Roman"/>
            </w:rPr>
            <w:t xml:space="preserve">, S., De </w:t>
          </w:r>
          <w:proofErr w:type="spellStart"/>
          <w:r>
            <w:rPr>
              <w:rFonts w:eastAsia="Times New Roman"/>
            </w:rPr>
            <w:t>Sarro</w:t>
          </w:r>
          <w:proofErr w:type="spellEnd"/>
          <w:r>
            <w:rPr>
              <w:rFonts w:eastAsia="Times New Roman"/>
            </w:rPr>
            <w:t xml:space="preserve">, G., Elia, M., </w:t>
          </w:r>
          <w:proofErr w:type="spellStart"/>
          <w:r>
            <w:rPr>
              <w:rFonts w:eastAsia="Times New Roman"/>
            </w:rPr>
            <w:t>Erba</w:t>
          </w:r>
          <w:proofErr w:type="spellEnd"/>
          <w:r>
            <w:rPr>
              <w:rFonts w:eastAsia="Times New Roman"/>
            </w:rPr>
            <w:t xml:space="preserve">, G., Fusco, L., Gambardella, A., … </w:t>
          </w:r>
          <w:proofErr w:type="spellStart"/>
          <w:r>
            <w:rPr>
              <w:rFonts w:eastAsia="Times New Roman"/>
            </w:rPr>
            <w:t>Aguglia</w:t>
          </w:r>
          <w:proofErr w:type="spellEnd"/>
          <w:r>
            <w:rPr>
              <w:rFonts w:eastAsia="Times New Roman"/>
            </w:rPr>
            <w:t xml:space="preserve">, U. (2019). Management of psychogenic non-epileptic seizures: a multidisciplinary approach. </w:t>
          </w:r>
          <w:r>
            <w:rPr>
              <w:rFonts w:eastAsia="Times New Roman"/>
              <w:i/>
              <w:iCs/>
            </w:rPr>
            <w:t>European Journal of Neurology</w:t>
          </w:r>
          <w:r>
            <w:rPr>
              <w:rFonts w:eastAsia="Times New Roman"/>
            </w:rPr>
            <w:t xml:space="preserve">, </w:t>
          </w:r>
          <w:r>
            <w:rPr>
              <w:rFonts w:eastAsia="Times New Roman"/>
              <w:i/>
              <w:iCs/>
            </w:rPr>
            <w:t>26</w:t>
          </w:r>
          <w:r>
            <w:rPr>
              <w:rFonts w:eastAsia="Times New Roman"/>
            </w:rPr>
            <w:t>(2), 205-e15. https://doi.org/10.1111/ENE.13818</w:t>
          </w:r>
        </w:p>
        <w:p w14:paraId="71090CD0" w14:textId="77777777" w:rsidR="00EC7CE1" w:rsidRDefault="00EC7CE1">
          <w:pPr>
            <w:autoSpaceDE w:val="0"/>
            <w:autoSpaceDN w:val="0"/>
            <w:ind w:hanging="480"/>
            <w:divId w:val="728259881"/>
            <w:rPr>
              <w:rFonts w:eastAsia="Times New Roman"/>
            </w:rPr>
          </w:pPr>
          <w:proofErr w:type="spellStart"/>
          <w:r>
            <w:rPr>
              <w:rFonts w:eastAsia="Times New Roman"/>
            </w:rPr>
            <w:t>Gelauff</w:t>
          </w:r>
          <w:proofErr w:type="spellEnd"/>
          <w:r>
            <w:rPr>
              <w:rFonts w:eastAsia="Times New Roman"/>
            </w:rPr>
            <w:t xml:space="preserve">, J., &amp; Stone, J. (2016). Prognosis of functional neurologic disorders. </w:t>
          </w:r>
          <w:proofErr w:type="spellStart"/>
          <w:r>
            <w:rPr>
              <w:rFonts w:eastAsia="Times New Roman"/>
              <w:i/>
              <w:iCs/>
            </w:rPr>
            <w:t>Handb</w:t>
          </w:r>
          <w:proofErr w:type="spellEnd"/>
          <w:r>
            <w:rPr>
              <w:rFonts w:eastAsia="Times New Roman"/>
              <w:i/>
              <w:iCs/>
            </w:rPr>
            <w:t xml:space="preserve"> Clin </w:t>
          </w:r>
          <w:proofErr w:type="spellStart"/>
          <w:r>
            <w:rPr>
              <w:rFonts w:eastAsia="Times New Roman"/>
              <w:i/>
              <w:iCs/>
            </w:rPr>
            <w:t>Neurol</w:t>
          </w:r>
          <w:proofErr w:type="spellEnd"/>
          <w:r>
            <w:rPr>
              <w:rFonts w:eastAsia="Times New Roman"/>
            </w:rPr>
            <w:t xml:space="preserve">, </w:t>
          </w:r>
          <w:r>
            <w:rPr>
              <w:rFonts w:eastAsia="Times New Roman"/>
              <w:i/>
              <w:iCs/>
            </w:rPr>
            <w:t>139</w:t>
          </w:r>
          <w:r>
            <w:rPr>
              <w:rFonts w:eastAsia="Times New Roman"/>
            </w:rPr>
            <w:t>, 523–541. https://doi.org/10.1016/b978-0-12-801772-2.00043-6</w:t>
          </w:r>
        </w:p>
        <w:p w14:paraId="033D6959" w14:textId="77777777" w:rsidR="00EC7CE1" w:rsidRDefault="00EC7CE1">
          <w:pPr>
            <w:autoSpaceDE w:val="0"/>
            <w:autoSpaceDN w:val="0"/>
            <w:ind w:hanging="480"/>
            <w:divId w:val="64190196"/>
            <w:rPr>
              <w:rFonts w:eastAsia="Times New Roman"/>
            </w:rPr>
          </w:pPr>
          <w:proofErr w:type="spellStart"/>
          <w:r>
            <w:rPr>
              <w:rFonts w:eastAsia="Times New Roman"/>
            </w:rPr>
            <w:t>Gelauff</w:t>
          </w:r>
          <w:proofErr w:type="spellEnd"/>
          <w:r>
            <w:rPr>
              <w:rFonts w:eastAsia="Times New Roman"/>
            </w:rPr>
            <w:t xml:space="preserve">, J., Stone, J., Edwards, M., &amp; Carson, A. (2014). The prognosis of functional (psychogenic) motor symptoms: a systematic review. </w:t>
          </w:r>
          <w:r>
            <w:rPr>
              <w:rFonts w:eastAsia="Times New Roman"/>
              <w:i/>
              <w:iCs/>
            </w:rPr>
            <w:t>Journal of Neurology, Neurosurgery, and Psychiatry</w:t>
          </w:r>
          <w:r>
            <w:rPr>
              <w:rFonts w:eastAsia="Times New Roman"/>
            </w:rPr>
            <w:t xml:space="preserve">, </w:t>
          </w:r>
          <w:r>
            <w:rPr>
              <w:rFonts w:eastAsia="Times New Roman"/>
              <w:i/>
              <w:iCs/>
            </w:rPr>
            <w:t>85</w:t>
          </w:r>
          <w:r>
            <w:rPr>
              <w:rFonts w:eastAsia="Times New Roman"/>
            </w:rPr>
            <w:t>(2), 220–226. https://doi.org/10.1136/JNNP-2013-305321</w:t>
          </w:r>
        </w:p>
        <w:p w14:paraId="65FF3074" w14:textId="77777777" w:rsidR="00EC7CE1" w:rsidRDefault="00EC7CE1">
          <w:pPr>
            <w:autoSpaceDE w:val="0"/>
            <w:autoSpaceDN w:val="0"/>
            <w:ind w:hanging="480"/>
            <w:divId w:val="514463372"/>
            <w:rPr>
              <w:rFonts w:eastAsia="Times New Roman"/>
            </w:rPr>
          </w:pPr>
          <w:r>
            <w:rPr>
              <w:rFonts w:eastAsia="Times New Roman"/>
            </w:rPr>
            <w:t xml:space="preserve">Gilbert, P. (2009). Introducing compassion-focused therapy. </w:t>
          </w:r>
          <w:r>
            <w:rPr>
              <w:rFonts w:eastAsia="Times New Roman"/>
              <w:i/>
              <w:iCs/>
            </w:rPr>
            <w:t>Advances in Psychiatric Treatment</w:t>
          </w:r>
          <w:r>
            <w:rPr>
              <w:rFonts w:eastAsia="Times New Roman"/>
            </w:rPr>
            <w:t xml:space="preserve">, </w:t>
          </w:r>
          <w:r>
            <w:rPr>
              <w:rFonts w:eastAsia="Times New Roman"/>
              <w:i/>
              <w:iCs/>
            </w:rPr>
            <w:t>15</w:t>
          </w:r>
          <w:r>
            <w:rPr>
              <w:rFonts w:eastAsia="Times New Roman"/>
            </w:rPr>
            <w:t>(3), 199–208. https://doi.org/10.1192/APT.BP.107.005264</w:t>
          </w:r>
        </w:p>
        <w:p w14:paraId="09F2CA08" w14:textId="77777777" w:rsidR="00EC7CE1" w:rsidRDefault="00EC7CE1">
          <w:pPr>
            <w:autoSpaceDE w:val="0"/>
            <w:autoSpaceDN w:val="0"/>
            <w:ind w:hanging="480"/>
            <w:divId w:val="412316124"/>
            <w:rPr>
              <w:rFonts w:eastAsia="Times New Roman"/>
            </w:rPr>
          </w:pPr>
          <w:r>
            <w:rPr>
              <w:rFonts w:eastAsia="Times New Roman"/>
            </w:rPr>
            <w:t xml:space="preserve">Gili, M., Luciano, J. V., Serrano, M. J., Jiménez, R., </w:t>
          </w:r>
          <w:proofErr w:type="spellStart"/>
          <w:r>
            <w:rPr>
              <w:rFonts w:eastAsia="Times New Roman"/>
            </w:rPr>
            <w:t>Bauza</w:t>
          </w:r>
          <w:proofErr w:type="spellEnd"/>
          <w:r>
            <w:rPr>
              <w:rFonts w:eastAsia="Times New Roman"/>
            </w:rPr>
            <w:t xml:space="preserve">, N., &amp; Roca, M. (2011). Mental disorders among frequent attenders in primary care: a comparison with routine attenders. </w:t>
          </w:r>
          <w:r>
            <w:rPr>
              <w:rFonts w:eastAsia="Times New Roman"/>
              <w:i/>
              <w:iCs/>
            </w:rPr>
            <w:t>The Journal of Nervous and Mental Disease</w:t>
          </w:r>
          <w:r>
            <w:rPr>
              <w:rFonts w:eastAsia="Times New Roman"/>
            </w:rPr>
            <w:t xml:space="preserve">, </w:t>
          </w:r>
          <w:r>
            <w:rPr>
              <w:rFonts w:eastAsia="Times New Roman"/>
              <w:i/>
              <w:iCs/>
            </w:rPr>
            <w:t>199</w:t>
          </w:r>
          <w:r>
            <w:rPr>
              <w:rFonts w:eastAsia="Times New Roman"/>
            </w:rPr>
            <w:t>(10), 744–749. https://doi.org/10.1097/NMD.0B013E31822FCD4D</w:t>
          </w:r>
        </w:p>
        <w:p w14:paraId="423D5100" w14:textId="77777777" w:rsidR="00EC7CE1" w:rsidRDefault="00EC7CE1">
          <w:pPr>
            <w:autoSpaceDE w:val="0"/>
            <w:autoSpaceDN w:val="0"/>
            <w:ind w:hanging="480"/>
            <w:divId w:val="1081027809"/>
            <w:rPr>
              <w:rFonts w:eastAsia="Times New Roman"/>
            </w:rPr>
          </w:pPr>
          <w:r>
            <w:rPr>
              <w:rFonts w:eastAsia="Times New Roman"/>
            </w:rPr>
            <w:t xml:space="preserve">Gilmour, G. S., Nielsen, G., Teodoro, T., </w:t>
          </w:r>
          <w:proofErr w:type="spellStart"/>
          <w:r>
            <w:rPr>
              <w:rFonts w:eastAsia="Times New Roman"/>
            </w:rPr>
            <w:t>Yogarajah</w:t>
          </w:r>
          <w:proofErr w:type="spellEnd"/>
          <w:r>
            <w:rPr>
              <w:rFonts w:eastAsia="Times New Roman"/>
            </w:rPr>
            <w:t xml:space="preserve">, M., </w:t>
          </w:r>
          <w:proofErr w:type="spellStart"/>
          <w:r>
            <w:rPr>
              <w:rFonts w:eastAsia="Times New Roman"/>
            </w:rPr>
            <w:t>Coebergh</w:t>
          </w:r>
          <w:proofErr w:type="spellEnd"/>
          <w:r>
            <w:rPr>
              <w:rFonts w:eastAsia="Times New Roman"/>
            </w:rPr>
            <w:t xml:space="preserve">, J. A., Dilley, M. D., Martino, D., &amp; Edwards, M. J. (2020). Management of functional neurological disorder. </w:t>
          </w:r>
          <w:r>
            <w:rPr>
              <w:rFonts w:eastAsia="Times New Roman"/>
              <w:i/>
              <w:iCs/>
            </w:rPr>
            <w:t>Journal of Neurology</w:t>
          </w:r>
          <w:r>
            <w:rPr>
              <w:rFonts w:eastAsia="Times New Roman"/>
            </w:rPr>
            <w:t xml:space="preserve">, </w:t>
          </w:r>
          <w:r>
            <w:rPr>
              <w:rFonts w:eastAsia="Times New Roman"/>
              <w:i/>
              <w:iCs/>
            </w:rPr>
            <w:t>267</w:t>
          </w:r>
          <w:r>
            <w:rPr>
              <w:rFonts w:eastAsia="Times New Roman"/>
            </w:rPr>
            <w:t>(7), 2164–2172. https://doi.org/10.1007/S00415-020-09772-W/FIGURES/1</w:t>
          </w:r>
        </w:p>
        <w:p w14:paraId="45593A67" w14:textId="77777777" w:rsidR="00EC7CE1" w:rsidRDefault="00EC7CE1">
          <w:pPr>
            <w:autoSpaceDE w:val="0"/>
            <w:autoSpaceDN w:val="0"/>
            <w:ind w:hanging="480"/>
            <w:divId w:val="1533881924"/>
            <w:rPr>
              <w:rFonts w:eastAsia="Times New Roman"/>
            </w:rPr>
          </w:pPr>
          <w:r>
            <w:rPr>
              <w:rFonts w:eastAsia="Times New Roman"/>
            </w:rPr>
            <w:t xml:space="preserve">Glaser, J., &amp; Banaji, M. R. (1999). When fair is foul and foul is fair: Reverse priming in automatic evaluation. </w:t>
          </w:r>
          <w:r>
            <w:rPr>
              <w:rFonts w:eastAsia="Times New Roman"/>
              <w:i/>
              <w:iCs/>
            </w:rPr>
            <w:t>Journal of Personality and Social Psychology</w:t>
          </w:r>
          <w:r>
            <w:rPr>
              <w:rFonts w:eastAsia="Times New Roman"/>
            </w:rPr>
            <w:t xml:space="preserve">, </w:t>
          </w:r>
          <w:r>
            <w:rPr>
              <w:rFonts w:eastAsia="Times New Roman"/>
              <w:i/>
              <w:iCs/>
            </w:rPr>
            <w:t>77</w:t>
          </w:r>
          <w:r>
            <w:rPr>
              <w:rFonts w:eastAsia="Times New Roman"/>
            </w:rPr>
            <w:t>(4), 669–687. https://doi.org/10.1037/0022-3514.77.4.669</w:t>
          </w:r>
        </w:p>
        <w:p w14:paraId="0B224D40" w14:textId="77777777" w:rsidR="00EC7CE1" w:rsidRDefault="00EC7CE1">
          <w:pPr>
            <w:autoSpaceDE w:val="0"/>
            <w:autoSpaceDN w:val="0"/>
            <w:ind w:hanging="480"/>
            <w:divId w:val="1884513823"/>
            <w:rPr>
              <w:rFonts w:eastAsia="Times New Roman"/>
            </w:rPr>
          </w:pPr>
          <w:proofErr w:type="spellStart"/>
          <w:r>
            <w:rPr>
              <w:rFonts w:eastAsia="Times New Roman"/>
            </w:rPr>
            <w:t>Goedendorp</w:t>
          </w:r>
          <w:proofErr w:type="spellEnd"/>
          <w:r>
            <w:rPr>
              <w:rFonts w:eastAsia="Times New Roman"/>
            </w:rPr>
            <w:t xml:space="preserve">, M. M., van der Werf, S. P., </w:t>
          </w:r>
          <w:proofErr w:type="spellStart"/>
          <w:r>
            <w:rPr>
              <w:rFonts w:eastAsia="Times New Roman"/>
            </w:rPr>
            <w:t>Bleijenberg</w:t>
          </w:r>
          <w:proofErr w:type="spellEnd"/>
          <w:r>
            <w:rPr>
              <w:rFonts w:eastAsia="Times New Roman"/>
            </w:rPr>
            <w:t xml:space="preserve">, G., </w:t>
          </w:r>
          <w:proofErr w:type="spellStart"/>
          <w:r>
            <w:rPr>
              <w:rFonts w:eastAsia="Times New Roman"/>
            </w:rPr>
            <w:t>Tummers</w:t>
          </w:r>
          <w:proofErr w:type="spellEnd"/>
          <w:r>
            <w:rPr>
              <w:rFonts w:eastAsia="Times New Roman"/>
            </w:rPr>
            <w:t xml:space="preserve">, M., &amp; Knoop, H. (2013). Does neuropsychological test performance predict outcome of cognitive </w:t>
          </w:r>
          <w:proofErr w:type="spellStart"/>
          <w:r>
            <w:rPr>
              <w:rFonts w:eastAsia="Times New Roman"/>
            </w:rPr>
            <w:t>behavior</w:t>
          </w:r>
          <w:proofErr w:type="spellEnd"/>
          <w:r>
            <w:rPr>
              <w:rFonts w:eastAsia="Times New Roman"/>
            </w:rPr>
            <w:t xml:space="preserve"> therapy for Chronic Fatigue Syndrome and what is the role of underperformance? </w:t>
          </w:r>
          <w:r>
            <w:rPr>
              <w:rFonts w:eastAsia="Times New Roman"/>
              <w:i/>
              <w:iCs/>
            </w:rPr>
            <w:t>Journal of Psychosomatic Research</w:t>
          </w:r>
          <w:r>
            <w:rPr>
              <w:rFonts w:eastAsia="Times New Roman"/>
            </w:rPr>
            <w:t xml:space="preserve">, </w:t>
          </w:r>
          <w:r>
            <w:rPr>
              <w:rFonts w:eastAsia="Times New Roman"/>
              <w:i/>
              <w:iCs/>
            </w:rPr>
            <w:t>75</w:t>
          </w:r>
          <w:r>
            <w:rPr>
              <w:rFonts w:eastAsia="Times New Roman"/>
            </w:rPr>
            <w:t>(3), 242–248. https://doi.org/https://doi.org/10.1016/j.jpsychores.2013.07.011</w:t>
          </w:r>
        </w:p>
        <w:p w14:paraId="3DFA3CD5" w14:textId="77777777" w:rsidR="00EC7CE1" w:rsidRDefault="00EC7CE1">
          <w:pPr>
            <w:autoSpaceDE w:val="0"/>
            <w:autoSpaceDN w:val="0"/>
            <w:ind w:hanging="480"/>
            <w:divId w:val="1602176513"/>
            <w:rPr>
              <w:rFonts w:eastAsia="Times New Roman"/>
            </w:rPr>
          </w:pPr>
          <w:proofErr w:type="spellStart"/>
          <w:r>
            <w:rPr>
              <w:rFonts w:eastAsia="Times New Roman"/>
            </w:rPr>
            <w:lastRenderedPageBreak/>
            <w:t>Goeleven</w:t>
          </w:r>
          <w:proofErr w:type="spellEnd"/>
          <w:r>
            <w:rPr>
              <w:rFonts w:eastAsia="Times New Roman"/>
            </w:rPr>
            <w:t xml:space="preserve">, E., De </w:t>
          </w:r>
          <w:proofErr w:type="spellStart"/>
          <w:r>
            <w:rPr>
              <w:rFonts w:eastAsia="Times New Roman"/>
            </w:rPr>
            <w:t>Raedt</w:t>
          </w:r>
          <w:proofErr w:type="spellEnd"/>
          <w:r>
            <w:rPr>
              <w:rFonts w:eastAsia="Times New Roman"/>
            </w:rPr>
            <w:t xml:space="preserve">, R., </w:t>
          </w:r>
          <w:proofErr w:type="spellStart"/>
          <w:r>
            <w:rPr>
              <w:rFonts w:eastAsia="Times New Roman"/>
            </w:rPr>
            <w:t>Baert</w:t>
          </w:r>
          <w:proofErr w:type="spellEnd"/>
          <w:r>
            <w:rPr>
              <w:rFonts w:eastAsia="Times New Roman"/>
            </w:rPr>
            <w:t xml:space="preserve">, S., &amp; </w:t>
          </w:r>
          <w:proofErr w:type="spellStart"/>
          <w:r>
            <w:rPr>
              <w:rFonts w:eastAsia="Times New Roman"/>
            </w:rPr>
            <w:t>Koster</w:t>
          </w:r>
          <w:proofErr w:type="spellEnd"/>
          <w:r>
            <w:rPr>
              <w:rFonts w:eastAsia="Times New Roman"/>
            </w:rPr>
            <w:t xml:space="preserve">, E. H. W. (2006). Deficient inhibition of emotional information in depression. </w:t>
          </w:r>
          <w:r>
            <w:rPr>
              <w:rFonts w:eastAsia="Times New Roman"/>
              <w:i/>
              <w:iCs/>
            </w:rPr>
            <w:t>Journal of Affective Disorders</w:t>
          </w:r>
          <w:r>
            <w:rPr>
              <w:rFonts w:eastAsia="Times New Roman"/>
            </w:rPr>
            <w:t xml:space="preserve">, </w:t>
          </w:r>
          <w:r>
            <w:rPr>
              <w:rFonts w:eastAsia="Times New Roman"/>
              <w:i/>
              <w:iCs/>
            </w:rPr>
            <w:t>93</w:t>
          </w:r>
          <w:r>
            <w:rPr>
              <w:rFonts w:eastAsia="Times New Roman"/>
            </w:rPr>
            <w:t>(1–3), 149–157. https://doi.org/10.1016/j.jad.2006.03.007</w:t>
          </w:r>
        </w:p>
        <w:p w14:paraId="43FC9424" w14:textId="77777777" w:rsidR="00EC7CE1" w:rsidRDefault="00EC7CE1">
          <w:pPr>
            <w:autoSpaceDE w:val="0"/>
            <w:autoSpaceDN w:val="0"/>
            <w:ind w:hanging="480"/>
            <w:divId w:val="1135220175"/>
            <w:rPr>
              <w:rFonts w:eastAsia="Times New Roman"/>
            </w:rPr>
          </w:pPr>
          <w:proofErr w:type="spellStart"/>
          <w:r>
            <w:rPr>
              <w:rFonts w:eastAsia="Times New Roman"/>
            </w:rPr>
            <w:t>Goeleven</w:t>
          </w:r>
          <w:proofErr w:type="spellEnd"/>
          <w:r>
            <w:rPr>
              <w:rFonts w:eastAsia="Times New Roman"/>
            </w:rPr>
            <w:t xml:space="preserve">, E., De </w:t>
          </w:r>
          <w:proofErr w:type="spellStart"/>
          <w:r>
            <w:rPr>
              <w:rFonts w:eastAsia="Times New Roman"/>
            </w:rPr>
            <w:t>Raedt</w:t>
          </w:r>
          <w:proofErr w:type="spellEnd"/>
          <w:r>
            <w:rPr>
              <w:rFonts w:eastAsia="Times New Roman"/>
            </w:rPr>
            <w:t xml:space="preserve">, R., </w:t>
          </w:r>
          <w:proofErr w:type="spellStart"/>
          <w:r>
            <w:rPr>
              <w:rFonts w:eastAsia="Times New Roman"/>
            </w:rPr>
            <w:t>Leyman</w:t>
          </w:r>
          <w:proofErr w:type="spellEnd"/>
          <w:r>
            <w:rPr>
              <w:rFonts w:eastAsia="Times New Roman"/>
            </w:rPr>
            <w:t xml:space="preserve">, L., &amp; </w:t>
          </w:r>
          <w:proofErr w:type="spellStart"/>
          <w:r>
            <w:rPr>
              <w:rFonts w:eastAsia="Times New Roman"/>
            </w:rPr>
            <w:t>Verschuere</w:t>
          </w:r>
          <w:proofErr w:type="spellEnd"/>
          <w:r>
            <w:rPr>
              <w:rFonts w:eastAsia="Times New Roman"/>
            </w:rPr>
            <w:t xml:space="preserve">, B. (2008). The Karolinska Directed Emotional Faces: A validation study. </w:t>
          </w:r>
          <w:r>
            <w:rPr>
              <w:rFonts w:eastAsia="Times New Roman"/>
              <w:i/>
              <w:iCs/>
            </w:rPr>
            <w:t>Cognition &amp; Emotion</w:t>
          </w:r>
          <w:r>
            <w:rPr>
              <w:rFonts w:eastAsia="Times New Roman"/>
            </w:rPr>
            <w:t xml:space="preserve">, </w:t>
          </w:r>
          <w:r>
            <w:rPr>
              <w:rFonts w:eastAsia="Times New Roman"/>
              <w:i/>
              <w:iCs/>
            </w:rPr>
            <w:t>22</w:t>
          </w:r>
          <w:r>
            <w:rPr>
              <w:rFonts w:eastAsia="Times New Roman"/>
            </w:rPr>
            <w:t>(6), 1094–1118. https://doi.org/10.1080/02699930701626582</w:t>
          </w:r>
        </w:p>
        <w:p w14:paraId="4BCBFDF9" w14:textId="77777777" w:rsidR="00EC7CE1" w:rsidRDefault="00EC7CE1">
          <w:pPr>
            <w:autoSpaceDE w:val="0"/>
            <w:autoSpaceDN w:val="0"/>
            <w:ind w:hanging="480"/>
            <w:divId w:val="1039015400"/>
            <w:rPr>
              <w:rFonts w:eastAsia="Times New Roman"/>
            </w:rPr>
          </w:pPr>
          <w:r>
            <w:rPr>
              <w:rFonts w:eastAsia="Times New Roman"/>
            </w:rPr>
            <w:t xml:space="preserve">Goldstein, L. H., Chalder, T., </w:t>
          </w:r>
          <w:proofErr w:type="spellStart"/>
          <w:r>
            <w:rPr>
              <w:rFonts w:eastAsia="Times New Roman"/>
            </w:rPr>
            <w:t>Chigwedere</w:t>
          </w:r>
          <w:proofErr w:type="spellEnd"/>
          <w:r>
            <w:rPr>
              <w:rFonts w:eastAsia="Times New Roman"/>
            </w:rPr>
            <w:t xml:space="preserve">, C., </w:t>
          </w:r>
          <w:proofErr w:type="spellStart"/>
          <w:r>
            <w:rPr>
              <w:rFonts w:eastAsia="Times New Roman"/>
            </w:rPr>
            <w:t>Khondoker</w:t>
          </w:r>
          <w:proofErr w:type="spellEnd"/>
          <w:r>
            <w:rPr>
              <w:rFonts w:eastAsia="Times New Roman"/>
            </w:rPr>
            <w:t>, M. R., Moriarty, J., Toone, B. K., &amp; Mellers, J. D. (2010). Cognitive-</w:t>
          </w:r>
          <w:proofErr w:type="spellStart"/>
          <w:r>
            <w:rPr>
              <w:rFonts w:eastAsia="Times New Roman"/>
            </w:rPr>
            <w:t>behavioral</w:t>
          </w:r>
          <w:proofErr w:type="spellEnd"/>
          <w:r>
            <w:rPr>
              <w:rFonts w:eastAsia="Times New Roman"/>
            </w:rPr>
            <w:t xml:space="preserve"> therapy for psychogenic nonepileptic seizures: a pilot RCT. </w:t>
          </w:r>
          <w:r>
            <w:rPr>
              <w:rFonts w:eastAsia="Times New Roman"/>
              <w:i/>
              <w:iCs/>
            </w:rPr>
            <w:t>Neurology</w:t>
          </w:r>
          <w:r>
            <w:rPr>
              <w:rFonts w:eastAsia="Times New Roman"/>
            </w:rPr>
            <w:t xml:space="preserve">, </w:t>
          </w:r>
          <w:r>
            <w:rPr>
              <w:rFonts w:eastAsia="Times New Roman"/>
              <w:i/>
              <w:iCs/>
            </w:rPr>
            <w:t>74</w:t>
          </w:r>
          <w:r>
            <w:rPr>
              <w:rFonts w:eastAsia="Times New Roman"/>
            </w:rPr>
            <w:t>(24), 1986–1994. https://doi.org/10.1212/WNL.0b013e3181e39658</w:t>
          </w:r>
        </w:p>
        <w:p w14:paraId="6BDB0B93" w14:textId="77777777" w:rsidR="00EC7CE1" w:rsidRDefault="00EC7CE1">
          <w:pPr>
            <w:autoSpaceDE w:val="0"/>
            <w:autoSpaceDN w:val="0"/>
            <w:ind w:hanging="480"/>
            <w:divId w:val="1799640353"/>
            <w:rPr>
              <w:rFonts w:eastAsia="Times New Roman"/>
            </w:rPr>
          </w:pPr>
          <w:r>
            <w:rPr>
              <w:rFonts w:eastAsia="Times New Roman"/>
            </w:rPr>
            <w:t xml:space="preserve">Goldstein, L. H., &amp; Mellers, J. D. (2006). Ictal symptoms of anxiety, avoidance behaviour, and dissociation in patients with dissociative seizures. </w:t>
          </w:r>
          <w:r>
            <w:rPr>
              <w:rFonts w:eastAsia="Times New Roman"/>
              <w:i/>
              <w:iCs/>
            </w:rPr>
            <w:t xml:space="preserve">J </w:t>
          </w:r>
          <w:proofErr w:type="spellStart"/>
          <w:r>
            <w:rPr>
              <w:rFonts w:eastAsia="Times New Roman"/>
              <w:i/>
              <w:iCs/>
            </w:rPr>
            <w:t>Neurol</w:t>
          </w:r>
          <w:proofErr w:type="spellEnd"/>
          <w:r>
            <w:rPr>
              <w:rFonts w:eastAsia="Times New Roman"/>
              <w:i/>
              <w:iCs/>
            </w:rPr>
            <w:t xml:space="preserve"> </w:t>
          </w:r>
          <w:proofErr w:type="spellStart"/>
          <w:r>
            <w:rPr>
              <w:rFonts w:eastAsia="Times New Roman"/>
              <w:i/>
              <w:iCs/>
            </w:rPr>
            <w:t>Neurosurg</w:t>
          </w:r>
          <w:proofErr w:type="spellEnd"/>
          <w:r>
            <w:rPr>
              <w:rFonts w:eastAsia="Times New Roman"/>
              <w:i/>
              <w:iCs/>
            </w:rPr>
            <w:t xml:space="preserve"> Psychiatry</w:t>
          </w:r>
          <w:r>
            <w:rPr>
              <w:rFonts w:eastAsia="Times New Roman"/>
            </w:rPr>
            <w:t xml:space="preserve">, </w:t>
          </w:r>
          <w:r>
            <w:rPr>
              <w:rFonts w:eastAsia="Times New Roman"/>
              <w:i/>
              <w:iCs/>
            </w:rPr>
            <w:t>77</w:t>
          </w:r>
          <w:r>
            <w:rPr>
              <w:rFonts w:eastAsia="Times New Roman"/>
            </w:rPr>
            <w:t>(5), 616–621. https://doi.org/10.1136/jnnp.2005.066878</w:t>
          </w:r>
        </w:p>
        <w:p w14:paraId="4D58099A" w14:textId="77777777" w:rsidR="00EC7CE1" w:rsidRDefault="00EC7CE1">
          <w:pPr>
            <w:autoSpaceDE w:val="0"/>
            <w:autoSpaceDN w:val="0"/>
            <w:ind w:hanging="480"/>
            <w:divId w:val="1674840794"/>
            <w:rPr>
              <w:rFonts w:eastAsia="Times New Roman"/>
            </w:rPr>
          </w:pPr>
          <w:r>
            <w:rPr>
              <w:rFonts w:eastAsia="Times New Roman"/>
            </w:rPr>
            <w:t xml:space="preserve">Goldstein, L. H., Robinson, E. J., Mellers, J. D. C., Stone, J., Carson, A., Reuber, M., Medford, N., </w:t>
          </w:r>
          <w:proofErr w:type="spellStart"/>
          <w:r>
            <w:rPr>
              <w:rFonts w:eastAsia="Times New Roman"/>
            </w:rPr>
            <w:t>McCrone</w:t>
          </w:r>
          <w:proofErr w:type="spellEnd"/>
          <w:r>
            <w:rPr>
              <w:rFonts w:eastAsia="Times New Roman"/>
            </w:rPr>
            <w:t xml:space="preserve">, P., Murray, J., Richardson, M. P., </w:t>
          </w:r>
          <w:proofErr w:type="spellStart"/>
          <w:r>
            <w:rPr>
              <w:rFonts w:eastAsia="Times New Roman"/>
            </w:rPr>
            <w:t>Pilecka</w:t>
          </w:r>
          <w:proofErr w:type="spellEnd"/>
          <w:r>
            <w:rPr>
              <w:rFonts w:eastAsia="Times New Roman"/>
            </w:rPr>
            <w:t xml:space="preserve">, I., Eastwood, C., Moore, M., </w:t>
          </w:r>
          <w:proofErr w:type="spellStart"/>
          <w:r>
            <w:rPr>
              <w:rFonts w:eastAsia="Times New Roman"/>
            </w:rPr>
            <w:t>Mosweu</w:t>
          </w:r>
          <w:proofErr w:type="spellEnd"/>
          <w:r>
            <w:rPr>
              <w:rFonts w:eastAsia="Times New Roman"/>
            </w:rPr>
            <w:t xml:space="preserve">, I., Perdue, I., Landau, S., Chalder, T., Abe, A. M., </w:t>
          </w:r>
          <w:proofErr w:type="spellStart"/>
          <w:r>
            <w:rPr>
              <w:rFonts w:eastAsia="Times New Roman"/>
            </w:rPr>
            <w:t>Adab</w:t>
          </w:r>
          <w:proofErr w:type="spellEnd"/>
          <w:r>
            <w:rPr>
              <w:rFonts w:eastAsia="Times New Roman"/>
            </w:rPr>
            <w:t xml:space="preserve">, N., … </w:t>
          </w:r>
          <w:proofErr w:type="spellStart"/>
          <w:r>
            <w:rPr>
              <w:rFonts w:eastAsia="Times New Roman"/>
            </w:rPr>
            <w:t>Yogarajah</w:t>
          </w:r>
          <w:proofErr w:type="spellEnd"/>
          <w:r>
            <w:rPr>
              <w:rFonts w:eastAsia="Times New Roman"/>
            </w:rPr>
            <w:t xml:space="preserve">, M. (2020a). Cognitive behavioural therapy for adults with dissociative seizures (CODES): a pragmatic, multicentre, randomised controlled trial. </w:t>
          </w:r>
          <w:r>
            <w:rPr>
              <w:rFonts w:eastAsia="Times New Roman"/>
              <w:i/>
              <w:iCs/>
            </w:rPr>
            <w:t>The Lancet. Psychiatry</w:t>
          </w:r>
          <w:r>
            <w:rPr>
              <w:rFonts w:eastAsia="Times New Roman"/>
            </w:rPr>
            <w:t xml:space="preserve">, </w:t>
          </w:r>
          <w:r>
            <w:rPr>
              <w:rFonts w:eastAsia="Times New Roman"/>
              <w:i/>
              <w:iCs/>
            </w:rPr>
            <w:t>7</w:t>
          </w:r>
          <w:r>
            <w:rPr>
              <w:rFonts w:eastAsia="Times New Roman"/>
            </w:rPr>
            <w:t>(6), 491–505. https://doi.org/10.1016/S2215-0366(20)30128-0</w:t>
          </w:r>
        </w:p>
        <w:p w14:paraId="457534E2" w14:textId="77777777" w:rsidR="00EC7CE1" w:rsidRDefault="00EC7CE1">
          <w:pPr>
            <w:autoSpaceDE w:val="0"/>
            <w:autoSpaceDN w:val="0"/>
            <w:ind w:hanging="480"/>
            <w:divId w:val="1771243279"/>
            <w:rPr>
              <w:rFonts w:eastAsia="Times New Roman"/>
            </w:rPr>
          </w:pPr>
          <w:r>
            <w:rPr>
              <w:rFonts w:eastAsia="Times New Roman"/>
            </w:rPr>
            <w:t xml:space="preserve">Goldstein, L. H., Robinson, E. J., Mellers, J. D. C., Stone, J., Carson, A., Reuber, M., Medford, N., </w:t>
          </w:r>
          <w:proofErr w:type="spellStart"/>
          <w:r>
            <w:rPr>
              <w:rFonts w:eastAsia="Times New Roman"/>
            </w:rPr>
            <w:t>Mccrone</w:t>
          </w:r>
          <w:proofErr w:type="spellEnd"/>
          <w:r>
            <w:rPr>
              <w:rFonts w:eastAsia="Times New Roman"/>
            </w:rPr>
            <w:t xml:space="preserve">, P., Murray, J., Richardson, M. P., </w:t>
          </w:r>
          <w:proofErr w:type="spellStart"/>
          <w:r>
            <w:rPr>
              <w:rFonts w:eastAsia="Times New Roman"/>
            </w:rPr>
            <w:t>Pilecka</w:t>
          </w:r>
          <w:proofErr w:type="spellEnd"/>
          <w:r>
            <w:rPr>
              <w:rFonts w:eastAsia="Times New Roman"/>
            </w:rPr>
            <w:t xml:space="preserve">, I., Eastwood, C., Moore, M., </w:t>
          </w:r>
          <w:proofErr w:type="spellStart"/>
          <w:r>
            <w:rPr>
              <w:rFonts w:eastAsia="Times New Roman"/>
            </w:rPr>
            <w:t>Mosweu</w:t>
          </w:r>
          <w:proofErr w:type="spellEnd"/>
          <w:r>
            <w:rPr>
              <w:rFonts w:eastAsia="Times New Roman"/>
            </w:rPr>
            <w:t xml:space="preserve">, I., Perdue, I., Landau, S., Chalder, T., Abe, A.-M., </w:t>
          </w:r>
          <w:proofErr w:type="spellStart"/>
          <w:r>
            <w:rPr>
              <w:rFonts w:eastAsia="Times New Roman"/>
            </w:rPr>
            <w:t>Adab</w:t>
          </w:r>
          <w:proofErr w:type="spellEnd"/>
          <w:r>
            <w:rPr>
              <w:rFonts w:eastAsia="Times New Roman"/>
            </w:rPr>
            <w:t xml:space="preserve">, N., … </w:t>
          </w:r>
          <w:proofErr w:type="spellStart"/>
          <w:r>
            <w:rPr>
              <w:rFonts w:eastAsia="Times New Roman"/>
            </w:rPr>
            <w:t>Yogarajah</w:t>
          </w:r>
          <w:proofErr w:type="spellEnd"/>
          <w:r>
            <w:rPr>
              <w:rFonts w:eastAsia="Times New Roman"/>
            </w:rPr>
            <w:t xml:space="preserve">, M. (2020b). Cognitive behavioural therapy for adults with dissociative seizures (CODES): a pragmatic, multicentre, randomised controlled trial. </w:t>
          </w:r>
          <w:r>
            <w:rPr>
              <w:rFonts w:eastAsia="Times New Roman"/>
              <w:i/>
              <w:iCs/>
            </w:rPr>
            <w:t>The Lancet Psychiatry</w:t>
          </w:r>
          <w:r>
            <w:rPr>
              <w:rFonts w:eastAsia="Times New Roman"/>
            </w:rPr>
            <w:t xml:space="preserve">, </w:t>
          </w:r>
          <w:r>
            <w:rPr>
              <w:rFonts w:eastAsia="Times New Roman"/>
              <w:i/>
              <w:iCs/>
            </w:rPr>
            <w:t>7</w:t>
          </w:r>
          <w:r>
            <w:rPr>
              <w:rFonts w:eastAsia="Times New Roman"/>
            </w:rPr>
            <w:t>(6), 491–505. https://doi.org/10.1016/s2215-0366(20)30128-0</w:t>
          </w:r>
        </w:p>
        <w:p w14:paraId="3C7A9712" w14:textId="77777777" w:rsidR="00EC7CE1" w:rsidRDefault="00EC7CE1">
          <w:pPr>
            <w:autoSpaceDE w:val="0"/>
            <w:autoSpaceDN w:val="0"/>
            <w:ind w:hanging="480"/>
            <w:divId w:val="1485853936"/>
            <w:rPr>
              <w:rFonts w:eastAsia="Times New Roman"/>
            </w:rPr>
          </w:pPr>
          <w:r>
            <w:rPr>
              <w:rFonts w:eastAsia="Times New Roman"/>
            </w:rPr>
            <w:t xml:space="preserve">Goldstein, L. H., Robinson, E. J., Reuber, M., Chalder, T., Callaghan, H., Eastwood, C., Landau, S., </w:t>
          </w:r>
          <w:proofErr w:type="spellStart"/>
          <w:r>
            <w:rPr>
              <w:rFonts w:eastAsia="Times New Roman"/>
            </w:rPr>
            <w:t>McCrone</w:t>
          </w:r>
          <w:proofErr w:type="spellEnd"/>
          <w:r>
            <w:rPr>
              <w:rFonts w:eastAsia="Times New Roman"/>
            </w:rPr>
            <w:t xml:space="preserve">, P., Medford, N., Mellers, J. D. C., Moore, M., </w:t>
          </w:r>
          <w:proofErr w:type="spellStart"/>
          <w:r>
            <w:rPr>
              <w:rFonts w:eastAsia="Times New Roman"/>
            </w:rPr>
            <w:t>Mosweu</w:t>
          </w:r>
          <w:proofErr w:type="spellEnd"/>
          <w:r>
            <w:rPr>
              <w:rFonts w:eastAsia="Times New Roman"/>
            </w:rPr>
            <w:t xml:space="preserve">, I., Murray, J., Perdue, I., </w:t>
          </w:r>
          <w:proofErr w:type="spellStart"/>
          <w:r>
            <w:rPr>
              <w:rFonts w:eastAsia="Times New Roman"/>
            </w:rPr>
            <w:t>Pilecka</w:t>
          </w:r>
          <w:proofErr w:type="spellEnd"/>
          <w:r>
            <w:rPr>
              <w:rFonts w:eastAsia="Times New Roman"/>
            </w:rPr>
            <w:t xml:space="preserve">, I., Richardson, M. P., Carson, A., Stone, J., Abe, A. M., … Wicks, L. (2019). Characteristics of 698 patients with dissociative seizures: A UK </w:t>
          </w:r>
          <w:proofErr w:type="spellStart"/>
          <w:r>
            <w:rPr>
              <w:rFonts w:eastAsia="Times New Roman"/>
            </w:rPr>
            <w:t>multicenter</w:t>
          </w:r>
          <w:proofErr w:type="spellEnd"/>
          <w:r>
            <w:rPr>
              <w:rFonts w:eastAsia="Times New Roman"/>
            </w:rPr>
            <w:t xml:space="preserve"> study. </w:t>
          </w:r>
          <w:proofErr w:type="spellStart"/>
          <w:r>
            <w:rPr>
              <w:rFonts w:eastAsia="Times New Roman"/>
              <w:i/>
              <w:iCs/>
            </w:rPr>
            <w:t>Epilepsia</w:t>
          </w:r>
          <w:proofErr w:type="spellEnd"/>
          <w:r>
            <w:rPr>
              <w:rFonts w:eastAsia="Times New Roman"/>
            </w:rPr>
            <w:t xml:space="preserve">, </w:t>
          </w:r>
          <w:r>
            <w:rPr>
              <w:rFonts w:eastAsia="Times New Roman"/>
              <w:i/>
              <w:iCs/>
            </w:rPr>
            <w:t>60</w:t>
          </w:r>
          <w:r>
            <w:rPr>
              <w:rFonts w:eastAsia="Times New Roman"/>
            </w:rPr>
            <w:t>(11), 2182–2193. https://doi.org/10.1111/EPI.16350</w:t>
          </w:r>
        </w:p>
        <w:p w14:paraId="460266A1" w14:textId="77777777" w:rsidR="00EC7CE1" w:rsidRDefault="00EC7CE1">
          <w:pPr>
            <w:autoSpaceDE w:val="0"/>
            <w:autoSpaceDN w:val="0"/>
            <w:ind w:hanging="480"/>
            <w:divId w:val="732773729"/>
            <w:rPr>
              <w:rFonts w:eastAsia="Times New Roman"/>
            </w:rPr>
          </w:pPr>
          <w:r>
            <w:rPr>
              <w:rFonts w:eastAsia="Times New Roman"/>
            </w:rPr>
            <w:lastRenderedPageBreak/>
            <w:t xml:space="preserve">Goldstein, L. H., </w:t>
          </w:r>
          <w:proofErr w:type="spellStart"/>
          <w:r>
            <w:rPr>
              <w:rFonts w:eastAsia="Times New Roman"/>
            </w:rPr>
            <w:t>Vitoratou</w:t>
          </w:r>
          <w:proofErr w:type="spellEnd"/>
          <w:r>
            <w:rPr>
              <w:rFonts w:eastAsia="Times New Roman"/>
            </w:rPr>
            <w:t xml:space="preserve">, S., Stone, J., Chalder, T., </w:t>
          </w:r>
          <w:proofErr w:type="spellStart"/>
          <w:r>
            <w:rPr>
              <w:rFonts w:eastAsia="Times New Roman"/>
            </w:rPr>
            <w:t>Baldellou</w:t>
          </w:r>
          <w:proofErr w:type="spellEnd"/>
          <w:r>
            <w:rPr>
              <w:rFonts w:eastAsia="Times New Roman"/>
            </w:rPr>
            <w:t xml:space="preserve"> Lopez, M., Carson, A., &amp; Reuber, M. (2023). Performance of the GAD-7 in adults with dissociative seizures. </w:t>
          </w:r>
          <w:r>
            <w:rPr>
              <w:rFonts w:eastAsia="Times New Roman"/>
              <w:i/>
              <w:iCs/>
            </w:rPr>
            <w:t>Seizure</w:t>
          </w:r>
          <w:r>
            <w:rPr>
              <w:rFonts w:eastAsia="Times New Roman"/>
            </w:rPr>
            <w:t xml:space="preserve">, </w:t>
          </w:r>
          <w:r>
            <w:rPr>
              <w:rFonts w:eastAsia="Times New Roman"/>
              <w:i/>
              <w:iCs/>
            </w:rPr>
            <w:t>104</w:t>
          </w:r>
          <w:r>
            <w:rPr>
              <w:rFonts w:eastAsia="Times New Roman"/>
            </w:rPr>
            <w:t>, 15–21. https://doi.org/10.1016/J.SEIZURE.2022.11.011</w:t>
          </w:r>
        </w:p>
        <w:p w14:paraId="65280734" w14:textId="77777777" w:rsidR="00EC7CE1" w:rsidRDefault="00EC7CE1">
          <w:pPr>
            <w:autoSpaceDE w:val="0"/>
            <w:autoSpaceDN w:val="0"/>
            <w:ind w:hanging="480"/>
            <w:divId w:val="1032268046"/>
            <w:rPr>
              <w:rFonts w:eastAsia="Times New Roman"/>
            </w:rPr>
          </w:pPr>
          <w:proofErr w:type="spellStart"/>
          <w:r>
            <w:rPr>
              <w:rFonts w:eastAsia="Times New Roman"/>
            </w:rPr>
            <w:t>Goverover</w:t>
          </w:r>
          <w:proofErr w:type="spellEnd"/>
          <w:r>
            <w:rPr>
              <w:rFonts w:eastAsia="Times New Roman"/>
            </w:rPr>
            <w:t xml:space="preserve">, Y., Kalmar, J., </w:t>
          </w:r>
          <w:proofErr w:type="spellStart"/>
          <w:r>
            <w:rPr>
              <w:rFonts w:eastAsia="Times New Roman"/>
            </w:rPr>
            <w:t>Gaudino</w:t>
          </w:r>
          <w:proofErr w:type="spellEnd"/>
          <w:r>
            <w:rPr>
              <w:rFonts w:eastAsia="Times New Roman"/>
            </w:rPr>
            <w:t xml:space="preserve">-Goering, E., Shawaryn, M., Moore, N. B., Halper, J., &amp; DeLuca, J. (2005). The Relation Between Subjective and Objective Measures of Everyday Life Activities in Persons With Multiple Sclerosis. </w:t>
          </w:r>
          <w:r>
            <w:rPr>
              <w:rFonts w:eastAsia="Times New Roman"/>
              <w:i/>
              <w:iCs/>
            </w:rPr>
            <w:t>Archives of Physical Medicine and Rehabilitation</w:t>
          </w:r>
          <w:r>
            <w:rPr>
              <w:rFonts w:eastAsia="Times New Roman"/>
            </w:rPr>
            <w:t xml:space="preserve">, </w:t>
          </w:r>
          <w:r>
            <w:rPr>
              <w:rFonts w:eastAsia="Times New Roman"/>
              <w:i/>
              <w:iCs/>
            </w:rPr>
            <w:t>86</w:t>
          </w:r>
          <w:r>
            <w:rPr>
              <w:rFonts w:eastAsia="Times New Roman"/>
            </w:rPr>
            <w:t>(12), 2303–2308. https://doi.org/https://doi.org/10.1016/j.apmr.2005.05.016</w:t>
          </w:r>
        </w:p>
        <w:p w14:paraId="4BA93221" w14:textId="77777777" w:rsidR="00EC7CE1" w:rsidRDefault="00EC7CE1">
          <w:pPr>
            <w:autoSpaceDE w:val="0"/>
            <w:autoSpaceDN w:val="0"/>
            <w:ind w:hanging="480"/>
            <w:divId w:val="496456727"/>
            <w:rPr>
              <w:rFonts w:eastAsia="Times New Roman"/>
            </w:rPr>
          </w:pPr>
          <w:r>
            <w:rPr>
              <w:rFonts w:eastAsia="Times New Roman"/>
            </w:rPr>
            <w:t xml:space="preserve">Graham, C. D., Stuart, S. R., O’Hara, D. J., &amp; Kemp, S. (2017). Using Acceptance and Commitment Therapy to Improve Outcomes in Functional Movement Disorders: A Case Study. </w:t>
          </w:r>
          <w:r>
            <w:rPr>
              <w:rFonts w:eastAsia="Times New Roman"/>
              <w:i/>
              <w:iCs/>
            </w:rPr>
            <w:t>Clinical Case Studies</w:t>
          </w:r>
          <w:r>
            <w:rPr>
              <w:rFonts w:eastAsia="Times New Roman"/>
            </w:rPr>
            <w:t xml:space="preserve">, </w:t>
          </w:r>
          <w:r>
            <w:rPr>
              <w:rFonts w:eastAsia="Times New Roman"/>
              <w:i/>
              <w:iCs/>
            </w:rPr>
            <w:t>16</w:t>
          </w:r>
          <w:r>
            <w:rPr>
              <w:rFonts w:eastAsia="Times New Roman"/>
            </w:rPr>
            <w:t>(5), 401–416. https://doi.org/10.1177/1534650117706544</w:t>
          </w:r>
        </w:p>
        <w:p w14:paraId="34F4E678" w14:textId="77777777" w:rsidR="00EC7CE1" w:rsidRDefault="00EC7CE1">
          <w:pPr>
            <w:autoSpaceDE w:val="0"/>
            <w:autoSpaceDN w:val="0"/>
            <w:ind w:hanging="480"/>
            <w:divId w:val="321011577"/>
            <w:rPr>
              <w:rFonts w:eastAsia="Times New Roman"/>
            </w:rPr>
          </w:pPr>
          <w:r>
            <w:rPr>
              <w:rFonts w:eastAsia="Times New Roman"/>
            </w:rPr>
            <w:t xml:space="preserve">Gratz, K. L., &amp; Roemer, L. (2004). Multidimensional Assessment of Emotion Regulation and Dysregulation: Development, Factor Structure, and Initial Validation of the Difficulties in Emotion Regulation Scale. </w:t>
          </w:r>
          <w:r>
            <w:rPr>
              <w:rFonts w:eastAsia="Times New Roman"/>
              <w:i/>
              <w:iCs/>
            </w:rPr>
            <w:t xml:space="preserve">Journal of Psychopathology and </w:t>
          </w:r>
          <w:proofErr w:type="spellStart"/>
          <w:r>
            <w:rPr>
              <w:rFonts w:eastAsia="Times New Roman"/>
              <w:i/>
              <w:iCs/>
            </w:rPr>
            <w:t>Behavioral</w:t>
          </w:r>
          <w:proofErr w:type="spellEnd"/>
          <w:r>
            <w:rPr>
              <w:rFonts w:eastAsia="Times New Roman"/>
              <w:i/>
              <w:iCs/>
            </w:rPr>
            <w:t xml:space="preserve"> Assessment</w:t>
          </w:r>
          <w:r>
            <w:rPr>
              <w:rFonts w:eastAsia="Times New Roman"/>
            </w:rPr>
            <w:t xml:space="preserve">, </w:t>
          </w:r>
          <w:r>
            <w:rPr>
              <w:rFonts w:eastAsia="Times New Roman"/>
              <w:i/>
              <w:iCs/>
            </w:rPr>
            <w:t>26</w:t>
          </w:r>
          <w:r>
            <w:rPr>
              <w:rFonts w:eastAsia="Times New Roman"/>
            </w:rPr>
            <w:t>(1), 41–54. https://doi.org/10.1023/b:joba.0000007455.08539.94</w:t>
          </w:r>
        </w:p>
        <w:p w14:paraId="323A5233" w14:textId="77777777" w:rsidR="00EC7CE1" w:rsidRDefault="00EC7CE1">
          <w:pPr>
            <w:autoSpaceDE w:val="0"/>
            <w:autoSpaceDN w:val="0"/>
            <w:ind w:hanging="480"/>
            <w:divId w:val="250703277"/>
            <w:rPr>
              <w:rFonts w:eastAsia="Times New Roman"/>
            </w:rPr>
          </w:pPr>
          <w:r>
            <w:rPr>
              <w:rFonts w:eastAsia="Times New Roman"/>
            </w:rPr>
            <w:t xml:space="preserve">Gray, C., </w:t>
          </w:r>
          <w:proofErr w:type="spellStart"/>
          <w:r>
            <w:rPr>
              <w:rFonts w:eastAsia="Times New Roman"/>
            </w:rPr>
            <w:t>Calderbank</w:t>
          </w:r>
          <w:proofErr w:type="spellEnd"/>
          <w:r>
            <w:rPr>
              <w:rFonts w:eastAsia="Times New Roman"/>
            </w:rPr>
            <w:t xml:space="preserve">, A., Adewusi, J., Hughes, R., &amp; Reuber, M. (2020). Symptoms of posttraumatic stress disorder in patients with functional neurological symptom disorder. </w:t>
          </w:r>
          <w:r>
            <w:rPr>
              <w:rFonts w:eastAsia="Times New Roman"/>
              <w:i/>
              <w:iCs/>
            </w:rPr>
            <w:t xml:space="preserve">J </w:t>
          </w:r>
          <w:proofErr w:type="spellStart"/>
          <w:r>
            <w:rPr>
              <w:rFonts w:eastAsia="Times New Roman"/>
              <w:i/>
              <w:iCs/>
            </w:rPr>
            <w:t>Psychosom</w:t>
          </w:r>
          <w:proofErr w:type="spellEnd"/>
          <w:r>
            <w:rPr>
              <w:rFonts w:eastAsia="Times New Roman"/>
              <w:i/>
              <w:iCs/>
            </w:rPr>
            <w:t xml:space="preserve"> Res</w:t>
          </w:r>
          <w:r>
            <w:rPr>
              <w:rFonts w:eastAsia="Times New Roman"/>
            </w:rPr>
            <w:t xml:space="preserve">, </w:t>
          </w:r>
          <w:r>
            <w:rPr>
              <w:rFonts w:eastAsia="Times New Roman"/>
              <w:i/>
              <w:iCs/>
            </w:rPr>
            <w:t>129</w:t>
          </w:r>
          <w:r>
            <w:rPr>
              <w:rFonts w:eastAsia="Times New Roman"/>
            </w:rPr>
            <w:t>, 109907. https://doi.org/10.1016/j.jpsychores.2019.109907</w:t>
          </w:r>
        </w:p>
        <w:p w14:paraId="027048BF" w14:textId="77777777" w:rsidR="00EC7CE1" w:rsidRDefault="00EC7CE1">
          <w:pPr>
            <w:autoSpaceDE w:val="0"/>
            <w:autoSpaceDN w:val="0"/>
            <w:ind w:hanging="480"/>
            <w:divId w:val="769662176"/>
            <w:rPr>
              <w:rFonts w:eastAsia="Times New Roman"/>
            </w:rPr>
          </w:pPr>
          <w:r>
            <w:rPr>
              <w:rFonts w:eastAsia="Times New Roman"/>
            </w:rPr>
            <w:t xml:space="preserve">Green, L., Fry, A. F., &amp; Myerson, J. (1994). Discounting of Delayed Rewards: A Life-Span                    Comparison. </w:t>
          </w:r>
          <w:r>
            <w:rPr>
              <w:rFonts w:eastAsia="Times New Roman"/>
              <w:i/>
              <w:iCs/>
            </w:rPr>
            <w:t>Https://Doi.Org/10.1111/j.1467-9280.1994.Tb00610.x</w:t>
          </w:r>
          <w:r>
            <w:rPr>
              <w:rFonts w:eastAsia="Times New Roman"/>
            </w:rPr>
            <w:t xml:space="preserve">, </w:t>
          </w:r>
          <w:r>
            <w:rPr>
              <w:rFonts w:eastAsia="Times New Roman"/>
              <w:i/>
              <w:iCs/>
            </w:rPr>
            <w:t>5</w:t>
          </w:r>
          <w:r>
            <w:rPr>
              <w:rFonts w:eastAsia="Times New Roman"/>
            </w:rPr>
            <w:t>(1), 33–36. https://doi.org/10.1111/J.1467-9280.1994.TB00610.X</w:t>
          </w:r>
        </w:p>
        <w:p w14:paraId="28A36F2D" w14:textId="77777777" w:rsidR="00EC7CE1" w:rsidRDefault="00EC7CE1">
          <w:pPr>
            <w:autoSpaceDE w:val="0"/>
            <w:autoSpaceDN w:val="0"/>
            <w:ind w:hanging="480"/>
            <w:divId w:val="1355886348"/>
            <w:rPr>
              <w:rFonts w:eastAsia="Times New Roman"/>
            </w:rPr>
          </w:pPr>
          <w:r>
            <w:rPr>
              <w:rFonts w:eastAsia="Times New Roman"/>
            </w:rPr>
            <w:t xml:space="preserve">Greenfield, G., Blair, M., Aylin, P. P., Saxena, S., Majeed, A., Hoffman, M., &amp; Bottle, A. (2020). Frequent attendances at emergency departments in England. </w:t>
          </w:r>
          <w:proofErr w:type="spellStart"/>
          <w:r>
            <w:rPr>
              <w:rFonts w:eastAsia="Times New Roman"/>
              <w:i/>
              <w:iCs/>
            </w:rPr>
            <w:t>Emerg</w:t>
          </w:r>
          <w:proofErr w:type="spellEnd"/>
          <w:r>
            <w:rPr>
              <w:rFonts w:eastAsia="Times New Roman"/>
              <w:i/>
              <w:iCs/>
            </w:rPr>
            <w:t xml:space="preserve"> Med J</w:t>
          </w:r>
          <w:r>
            <w:rPr>
              <w:rFonts w:eastAsia="Times New Roman"/>
            </w:rPr>
            <w:t xml:space="preserve">, </w:t>
          </w:r>
          <w:r>
            <w:rPr>
              <w:rFonts w:eastAsia="Times New Roman"/>
              <w:i/>
              <w:iCs/>
            </w:rPr>
            <w:t>37</w:t>
          </w:r>
          <w:r>
            <w:rPr>
              <w:rFonts w:eastAsia="Times New Roman"/>
            </w:rPr>
            <w:t>, 597–599. https://doi.org/10.1136/emermed-2018-208189</w:t>
          </w:r>
        </w:p>
        <w:p w14:paraId="20ECD623" w14:textId="77777777" w:rsidR="00EC7CE1" w:rsidRDefault="00EC7CE1">
          <w:pPr>
            <w:autoSpaceDE w:val="0"/>
            <w:autoSpaceDN w:val="0"/>
            <w:ind w:hanging="480"/>
            <w:divId w:val="1876042004"/>
            <w:rPr>
              <w:rFonts w:eastAsia="Times New Roman"/>
            </w:rPr>
          </w:pPr>
          <w:r>
            <w:rPr>
              <w:rFonts w:eastAsia="Times New Roman"/>
            </w:rPr>
            <w:t xml:space="preserve">Grimshaw, J., Campbell, M., Eccles, M., &amp; Steen, N. (2000). Experimental and quasi-experimental designs for evaluating guideline implementation strategies. </w:t>
          </w:r>
          <w:r>
            <w:rPr>
              <w:rFonts w:eastAsia="Times New Roman"/>
              <w:i/>
              <w:iCs/>
            </w:rPr>
            <w:t xml:space="preserve">Fam </w:t>
          </w:r>
          <w:proofErr w:type="spellStart"/>
          <w:r>
            <w:rPr>
              <w:rFonts w:eastAsia="Times New Roman"/>
              <w:i/>
              <w:iCs/>
            </w:rPr>
            <w:t>Pract</w:t>
          </w:r>
          <w:proofErr w:type="spellEnd"/>
          <w:r>
            <w:rPr>
              <w:rFonts w:eastAsia="Times New Roman"/>
            </w:rPr>
            <w:t xml:space="preserve">, </w:t>
          </w:r>
          <w:r>
            <w:rPr>
              <w:rFonts w:eastAsia="Times New Roman"/>
              <w:i/>
              <w:iCs/>
            </w:rPr>
            <w:t>17</w:t>
          </w:r>
          <w:r>
            <w:rPr>
              <w:rFonts w:eastAsia="Times New Roman"/>
            </w:rPr>
            <w:t>(SUPPL. 1), S16. https://doi.org/10.1093/fampra/17.suppl_1.s11</w:t>
          </w:r>
        </w:p>
        <w:p w14:paraId="38DFBD74" w14:textId="77777777" w:rsidR="00EC7CE1" w:rsidRDefault="00EC7CE1">
          <w:pPr>
            <w:autoSpaceDE w:val="0"/>
            <w:autoSpaceDN w:val="0"/>
            <w:ind w:hanging="480"/>
            <w:divId w:val="403068806"/>
            <w:rPr>
              <w:rFonts w:eastAsia="Times New Roman"/>
            </w:rPr>
          </w:pPr>
          <w:proofErr w:type="spellStart"/>
          <w:r>
            <w:rPr>
              <w:rFonts w:eastAsia="Times New Roman"/>
            </w:rPr>
            <w:t>Grippa</w:t>
          </w:r>
          <w:proofErr w:type="spellEnd"/>
          <w:r>
            <w:rPr>
              <w:rFonts w:eastAsia="Times New Roman"/>
            </w:rPr>
            <w:t xml:space="preserve">, E., </w:t>
          </w:r>
          <w:proofErr w:type="spellStart"/>
          <w:r>
            <w:rPr>
              <w:rFonts w:eastAsia="Times New Roman"/>
            </w:rPr>
            <w:t>Sellitto</w:t>
          </w:r>
          <w:proofErr w:type="spellEnd"/>
          <w:r>
            <w:rPr>
              <w:rFonts w:eastAsia="Times New Roman"/>
            </w:rPr>
            <w:t xml:space="preserve">, M., </w:t>
          </w:r>
          <w:proofErr w:type="spellStart"/>
          <w:r>
            <w:rPr>
              <w:rFonts w:eastAsia="Times New Roman"/>
            </w:rPr>
            <w:t>Scarpazza</w:t>
          </w:r>
          <w:proofErr w:type="spellEnd"/>
          <w:r>
            <w:rPr>
              <w:rFonts w:eastAsia="Times New Roman"/>
            </w:rPr>
            <w:t xml:space="preserve">, C., Mattioli, F., &amp; di Pellegrino, G. (2017). Multiple sclerosis reduces sensitivity to immediate reward during decision making. </w:t>
          </w:r>
          <w:proofErr w:type="spellStart"/>
          <w:r>
            <w:rPr>
              <w:rFonts w:eastAsia="Times New Roman"/>
              <w:i/>
              <w:iCs/>
            </w:rPr>
            <w:t>Behavioral</w:t>
          </w:r>
          <w:proofErr w:type="spellEnd"/>
          <w:r>
            <w:rPr>
              <w:rFonts w:eastAsia="Times New Roman"/>
              <w:i/>
              <w:iCs/>
            </w:rPr>
            <w:t xml:space="preserve"> Neuroscience</w:t>
          </w:r>
          <w:r>
            <w:rPr>
              <w:rFonts w:eastAsia="Times New Roman"/>
            </w:rPr>
            <w:t xml:space="preserve">, </w:t>
          </w:r>
          <w:r>
            <w:rPr>
              <w:rFonts w:eastAsia="Times New Roman"/>
              <w:i/>
              <w:iCs/>
            </w:rPr>
            <w:t>131</w:t>
          </w:r>
          <w:r>
            <w:rPr>
              <w:rFonts w:eastAsia="Times New Roman"/>
            </w:rPr>
            <w:t>(4), 325–336. https://doi.org/10.1037/BNE0000206</w:t>
          </w:r>
        </w:p>
        <w:p w14:paraId="7A73E294" w14:textId="77777777" w:rsidR="00EC7CE1" w:rsidRDefault="00EC7CE1">
          <w:pPr>
            <w:autoSpaceDE w:val="0"/>
            <w:autoSpaceDN w:val="0"/>
            <w:ind w:hanging="480"/>
            <w:divId w:val="1475636976"/>
            <w:rPr>
              <w:rFonts w:eastAsia="Times New Roman"/>
            </w:rPr>
          </w:pPr>
          <w:r>
            <w:rPr>
              <w:rFonts w:eastAsia="Times New Roman"/>
            </w:rPr>
            <w:lastRenderedPageBreak/>
            <w:t xml:space="preserve">Gross, J. J. (2002). Emotion regulation: affective, cognitive, and social consequences. </w:t>
          </w:r>
          <w:r>
            <w:rPr>
              <w:rFonts w:eastAsia="Times New Roman"/>
              <w:i/>
              <w:iCs/>
            </w:rPr>
            <w:t>Psychophysiology</w:t>
          </w:r>
          <w:r>
            <w:rPr>
              <w:rFonts w:eastAsia="Times New Roman"/>
            </w:rPr>
            <w:t xml:space="preserve">, </w:t>
          </w:r>
          <w:r>
            <w:rPr>
              <w:rFonts w:eastAsia="Times New Roman"/>
              <w:i/>
              <w:iCs/>
            </w:rPr>
            <w:t>39</w:t>
          </w:r>
          <w:r>
            <w:rPr>
              <w:rFonts w:eastAsia="Times New Roman"/>
            </w:rPr>
            <w:t>(3), 281–291. https://doi.org/10.1017/S0048577201393198</w:t>
          </w:r>
        </w:p>
        <w:p w14:paraId="4AC846FE" w14:textId="77777777" w:rsidR="00EC7CE1" w:rsidRDefault="00EC7CE1">
          <w:pPr>
            <w:autoSpaceDE w:val="0"/>
            <w:autoSpaceDN w:val="0"/>
            <w:ind w:hanging="480"/>
            <w:divId w:val="497307254"/>
            <w:rPr>
              <w:rFonts w:eastAsia="Times New Roman"/>
            </w:rPr>
          </w:pPr>
          <w:r>
            <w:rPr>
              <w:rFonts w:eastAsia="Times New Roman"/>
            </w:rPr>
            <w:t xml:space="preserve">Gupta, A., &amp; Lang, A. E. (2009). Psychogenic movement disorders. </w:t>
          </w:r>
          <w:r>
            <w:rPr>
              <w:rFonts w:eastAsia="Times New Roman"/>
              <w:i/>
              <w:iCs/>
            </w:rPr>
            <w:t>Current Opinion in Neurology</w:t>
          </w:r>
          <w:r>
            <w:rPr>
              <w:rFonts w:eastAsia="Times New Roman"/>
            </w:rPr>
            <w:t xml:space="preserve">, </w:t>
          </w:r>
          <w:r>
            <w:rPr>
              <w:rFonts w:eastAsia="Times New Roman"/>
              <w:i/>
              <w:iCs/>
            </w:rPr>
            <w:t>22</w:t>
          </w:r>
          <w:r>
            <w:rPr>
              <w:rFonts w:eastAsia="Times New Roman"/>
            </w:rPr>
            <w:t>(4), 430–436. https://doi.org/10.1097/WCO.0b013e32832dc169</w:t>
          </w:r>
        </w:p>
        <w:p w14:paraId="0058689A" w14:textId="77777777" w:rsidR="00EC7CE1" w:rsidRDefault="00EC7CE1">
          <w:pPr>
            <w:autoSpaceDE w:val="0"/>
            <w:autoSpaceDN w:val="0"/>
            <w:ind w:hanging="480"/>
            <w:divId w:val="443814485"/>
            <w:rPr>
              <w:rFonts w:eastAsia="Times New Roman"/>
            </w:rPr>
          </w:pPr>
          <w:proofErr w:type="spellStart"/>
          <w:r>
            <w:rPr>
              <w:rFonts w:eastAsia="Times New Roman"/>
            </w:rPr>
            <w:t>Gyurak</w:t>
          </w:r>
          <w:proofErr w:type="spellEnd"/>
          <w:r>
            <w:rPr>
              <w:rFonts w:eastAsia="Times New Roman"/>
            </w:rPr>
            <w:t xml:space="preserve">, A., Gross, J. J., &amp; </w:t>
          </w:r>
          <w:proofErr w:type="spellStart"/>
          <w:r>
            <w:rPr>
              <w:rFonts w:eastAsia="Times New Roman"/>
            </w:rPr>
            <w:t>Etkin</w:t>
          </w:r>
          <w:proofErr w:type="spellEnd"/>
          <w:r>
            <w:rPr>
              <w:rFonts w:eastAsia="Times New Roman"/>
            </w:rPr>
            <w:t xml:space="preserve">, A. (2011). Explicit and implicit emotion regulation: a dual-process framework. </w:t>
          </w:r>
          <w:r>
            <w:rPr>
              <w:rFonts w:eastAsia="Times New Roman"/>
              <w:i/>
              <w:iCs/>
            </w:rPr>
            <w:t>Cognition &amp; Emotion</w:t>
          </w:r>
          <w:r>
            <w:rPr>
              <w:rFonts w:eastAsia="Times New Roman"/>
            </w:rPr>
            <w:t xml:space="preserve">, </w:t>
          </w:r>
          <w:r>
            <w:rPr>
              <w:rFonts w:eastAsia="Times New Roman"/>
              <w:i/>
              <w:iCs/>
            </w:rPr>
            <w:t>25</w:t>
          </w:r>
          <w:r>
            <w:rPr>
              <w:rFonts w:eastAsia="Times New Roman"/>
            </w:rPr>
            <w:t>(3), 400–412. https://doi.org/10.1080/02699931.2010.544160</w:t>
          </w:r>
        </w:p>
        <w:p w14:paraId="5AB185C1" w14:textId="77777777" w:rsidR="00EC7CE1" w:rsidRDefault="00EC7CE1">
          <w:pPr>
            <w:autoSpaceDE w:val="0"/>
            <w:autoSpaceDN w:val="0"/>
            <w:ind w:hanging="480"/>
            <w:divId w:val="1529873960"/>
            <w:rPr>
              <w:rFonts w:eastAsia="Times New Roman"/>
            </w:rPr>
          </w:pPr>
          <w:proofErr w:type="spellStart"/>
          <w:r>
            <w:rPr>
              <w:rFonts w:eastAsia="Times New Roman"/>
            </w:rPr>
            <w:t>Haeffel</w:t>
          </w:r>
          <w:proofErr w:type="spellEnd"/>
          <w:r>
            <w:rPr>
              <w:rFonts w:eastAsia="Times New Roman"/>
            </w:rPr>
            <w:t xml:space="preserve">, G. J., &amp; Howard, G. S. (2010). Self-report: psychology’s four-letter word. </w:t>
          </w:r>
          <w:r>
            <w:rPr>
              <w:rFonts w:eastAsia="Times New Roman"/>
              <w:i/>
              <w:iCs/>
            </w:rPr>
            <w:t xml:space="preserve">Am J </w:t>
          </w:r>
          <w:proofErr w:type="spellStart"/>
          <w:r>
            <w:rPr>
              <w:rFonts w:eastAsia="Times New Roman"/>
              <w:i/>
              <w:iCs/>
            </w:rPr>
            <w:t>Psychol</w:t>
          </w:r>
          <w:proofErr w:type="spellEnd"/>
          <w:r>
            <w:rPr>
              <w:rFonts w:eastAsia="Times New Roman"/>
            </w:rPr>
            <w:t xml:space="preserve">, </w:t>
          </w:r>
          <w:r>
            <w:rPr>
              <w:rFonts w:eastAsia="Times New Roman"/>
              <w:i/>
              <w:iCs/>
            </w:rPr>
            <w:t>123</w:t>
          </w:r>
          <w:r>
            <w:rPr>
              <w:rFonts w:eastAsia="Times New Roman"/>
            </w:rPr>
            <w:t>(2), 181–188. https://doi.org/10.5406/amerjpsyc.123.2.0181</w:t>
          </w:r>
        </w:p>
        <w:p w14:paraId="67652497" w14:textId="77777777" w:rsidR="00EC7CE1" w:rsidRDefault="00EC7CE1">
          <w:pPr>
            <w:autoSpaceDE w:val="0"/>
            <w:autoSpaceDN w:val="0"/>
            <w:ind w:hanging="480"/>
            <w:divId w:val="966742430"/>
            <w:rPr>
              <w:rFonts w:eastAsia="Times New Roman"/>
            </w:rPr>
          </w:pPr>
          <w:r>
            <w:rPr>
              <w:rFonts w:eastAsia="Times New Roman"/>
            </w:rPr>
            <w:t xml:space="preserve">Hagger, M. S., &amp; Orbell, S. (2003). A meta-analytic review of the common-sense model of illness representations. </w:t>
          </w:r>
          <w:r>
            <w:rPr>
              <w:rFonts w:eastAsia="Times New Roman"/>
              <w:i/>
              <w:iCs/>
            </w:rPr>
            <w:t>Psychology &amp; Health</w:t>
          </w:r>
          <w:r>
            <w:rPr>
              <w:rFonts w:eastAsia="Times New Roman"/>
            </w:rPr>
            <w:t xml:space="preserve">, </w:t>
          </w:r>
          <w:r>
            <w:rPr>
              <w:rFonts w:eastAsia="Times New Roman"/>
              <w:i/>
              <w:iCs/>
            </w:rPr>
            <w:t>18</w:t>
          </w:r>
          <w:r>
            <w:rPr>
              <w:rFonts w:eastAsia="Times New Roman"/>
            </w:rPr>
            <w:t>(2), 141–184. https://doi.org/10.1080/088704403100081321</w:t>
          </w:r>
        </w:p>
        <w:p w14:paraId="2E39972A" w14:textId="77777777" w:rsidR="00EC7CE1" w:rsidRDefault="00EC7CE1">
          <w:pPr>
            <w:autoSpaceDE w:val="0"/>
            <w:autoSpaceDN w:val="0"/>
            <w:ind w:hanging="480"/>
            <w:divId w:val="822308840"/>
            <w:rPr>
              <w:rFonts w:eastAsia="Times New Roman"/>
            </w:rPr>
          </w:pPr>
          <w:r>
            <w:rPr>
              <w:rFonts w:eastAsia="Times New Roman"/>
            </w:rPr>
            <w:t xml:space="preserve">Hallett, M., </w:t>
          </w:r>
          <w:proofErr w:type="spellStart"/>
          <w:r>
            <w:rPr>
              <w:rFonts w:eastAsia="Times New Roman"/>
            </w:rPr>
            <w:t>Aybek</w:t>
          </w:r>
          <w:proofErr w:type="spellEnd"/>
          <w:r>
            <w:rPr>
              <w:rFonts w:eastAsia="Times New Roman"/>
            </w:rPr>
            <w:t xml:space="preserve">, S., </w:t>
          </w:r>
          <w:proofErr w:type="spellStart"/>
          <w:r>
            <w:rPr>
              <w:rFonts w:eastAsia="Times New Roman"/>
            </w:rPr>
            <w:t>Dworetzky</w:t>
          </w:r>
          <w:proofErr w:type="spellEnd"/>
          <w:r>
            <w:rPr>
              <w:rFonts w:eastAsia="Times New Roman"/>
            </w:rPr>
            <w:t xml:space="preserve">, B. A., McWhirter, L., </w:t>
          </w:r>
          <w:proofErr w:type="spellStart"/>
          <w:r>
            <w:rPr>
              <w:rFonts w:eastAsia="Times New Roman"/>
            </w:rPr>
            <w:t>Staab</w:t>
          </w:r>
          <w:proofErr w:type="spellEnd"/>
          <w:r>
            <w:rPr>
              <w:rFonts w:eastAsia="Times New Roman"/>
            </w:rPr>
            <w:t xml:space="preserve">, J. P., &amp; Stone, J. (2022). Functional neurological disorder: new subtypes and shared mechanisms. </w:t>
          </w:r>
          <w:r>
            <w:rPr>
              <w:rFonts w:eastAsia="Times New Roman"/>
              <w:i/>
              <w:iCs/>
            </w:rPr>
            <w:t>The Lancet. Neurology</w:t>
          </w:r>
          <w:r>
            <w:rPr>
              <w:rFonts w:eastAsia="Times New Roman"/>
            </w:rPr>
            <w:t xml:space="preserve">, </w:t>
          </w:r>
          <w:r>
            <w:rPr>
              <w:rFonts w:eastAsia="Times New Roman"/>
              <w:i/>
              <w:iCs/>
            </w:rPr>
            <w:t>21</w:t>
          </w:r>
          <w:r>
            <w:rPr>
              <w:rFonts w:eastAsia="Times New Roman"/>
            </w:rPr>
            <w:t>(6), 537–550. https://doi.org/10.1016/S1474-4422(21)00422-1</w:t>
          </w:r>
        </w:p>
        <w:p w14:paraId="7268E5B8" w14:textId="77777777" w:rsidR="00EC7CE1" w:rsidRDefault="00EC7CE1">
          <w:pPr>
            <w:autoSpaceDE w:val="0"/>
            <w:autoSpaceDN w:val="0"/>
            <w:ind w:hanging="480"/>
            <w:divId w:val="1349065648"/>
            <w:rPr>
              <w:rFonts w:eastAsia="Times New Roman"/>
            </w:rPr>
          </w:pPr>
          <w:proofErr w:type="spellStart"/>
          <w:r>
            <w:rPr>
              <w:rFonts w:eastAsia="Times New Roman"/>
            </w:rPr>
            <w:t>Hallion</w:t>
          </w:r>
          <w:proofErr w:type="spellEnd"/>
          <w:r>
            <w:rPr>
              <w:rFonts w:eastAsia="Times New Roman"/>
            </w:rPr>
            <w:t xml:space="preserve">, L. S., &amp; </w:t>
          </w:r>
          <w:proofErr w:type="spellStart"/>
          <w:r>
            <w:rPr>
              <w:rFonts w:eastAsia="Times New Roman"/>
            </w:rPr>
            <w:t>Ruscio</w:t>
          </w:r>
          <w:proofErr w:type="spellEnd"/>
          <w:r>
            <w:rPr>
              <w:rFonts w:eastAsia="Times New Roman"/>
            </w:rPr>
            <w:t xml:space="preserve">, A. M. (2011). A meta-analysis of the effect of cognitive bias modification on anxiety and depression. </w:t>
          </w:r>
          <w:r>
            <w:rPr>
              <w:rFonts w:eastAsia="Times New Roman"/>
              <w:i/>
              <w:iCs/>
            </w:rPr>
            <w:t>Psychological Bulletin</w:t>
          </w:r>
          <w:r>
            <w:rPr>
              <w:rFonts w:eastAsia="Times New Roman"/>
            </w:rPr>
            <w:t xml:space="preserve">, </w:t>
          </w:r>
          <w:r>
            <w:rPr>
              <w:rFonts w:eastAsia="Times New Roman"/>
              <w:i/>
              <w:iCs/>
            </w:rPr>
            <w:t>137</w:t>
          </w:r>
          <w:r>
            <w:rPr>
              <w:rFonts w:eastAsia="Times New Roman"/>
            </w:rPr>
            <w:t>(6), 940–958. https://doi.org/10.1037/A0024355</w:t>
          </w:r>
        </w:p>
        <w:p w14:paraId="3D41BE47" w14:textId="77777777" w:rsidR="00EC7CE1" w:rsidRDefault="00EC7CE1">
          <w:pPr>
            <w:autoSpaceDE w:val="0"/>
            <w:autoSpaceDN w:val="0"/>
            <w:ind w:hanging="480"/>
            <w:divId w:val="1378240899"/>
            <w:rPr>
              <w:rFonts w:eastAsia="Times New Roman"/>
            </w:rPr>
          </w:pPr>
          <w:proofErr w:type="spellStart"/>
          <w:r>
            <w:rPr>
              <w:rFonts w:eastAsia="Times New Roman"/>
            </w:rPr>
            <w:t>Hansagi</w:t>
          </w:r>
          <w:proofErr w:type="spellEnd"/>
          <w:r>
            <w:rPr>
              <w:rFonts w:eastAsia="Times New Roman"/>
            </w:rPr>
            <w:t xml:space="preserve">, H., Olsson, M., </w:t>
          </w:r>
          <w:proofErr w:type="spellStart"/>
          <w:r>
            <w:rPr>
              <w:rFonts w:eastAsia="Times New Roman"/>
            </w:rPr>
            <w:t>Sjöberg</w:t>
          </w:r>
          <w:proofErr w:type="spellEnd"/>
          <w:r>
            <w:rPr>
              <w:rFonts w:eastAsia="Times New Roman"/>
            </w:rPr>
            <w:t xml:space="preserve">, S., Tomson, Y., &amp; </w:t>
          </w:r>
          <w:proofErr w:type="spellStart"/>
          <w:r>
            <w:rPr>
              <w:rFonts w:eastAsia="Times New Roman"/>
            </w:rPr>
            <w:t>Göransson</w:t>
          </w:r>
          <w:proofErr w:type="spellEnd"/>
          <w:r>
            <w:rPr>
              <w:rFonts w:eastAsia="Times New Roman"/>
            </w:rPr>
            <w:t xml:space="preserve">, S. (2001). Frequent use of the hospital emergency department is indicative of high use of other health care services. </w:t>
          </w:r>
          <w:r>
            <w:rPr>
              <w:rFonts w:eastAsia="Times New Roman"/>
              <w:i/>
              <w:iCs/>
            </w:rPr>
            <w:t>Annals of Emergency Medicine</w:t>
          </w:r>
          <w:r>
            <w:rPr>
              <w:rFonts w:eastAsia="Times New Roman"/>
            </w:rPr>
            <w:t xml:space="preserve">, </w:t>
          </w:r>
          <w:r>
            <w:rPr>
              <w:rFonts w:eastAsia="Times New Roman"/>
              <w:i/>
              <w:iCs/>
            </w:rPr>
            <w:t>37</w:t>
          </w:r>
          <w:r>
            <w:rPr>
              <w:rFonts w:eastAsia="Times New Roman"/>
            </w:rPr>
            <w:t>(6), 561–567. https://doi.org/10.1067/MEM.2001.111762</w:t>
          </w:r>
        </w:p>
        <w:p w14:paraId="1E2D7C24" w14:textId="77777777" w:rsidR="00EC7CE1" w:rsidRDefault="00EC7CE1">
          <w:pPr>
            <w:autoSpaceDE w:val="0"/>
            <w:autoSpaceDN w:val="0"/>
            <w:ind w:hanging="480"/>
            <w:divId w:val="1329404480"/>
            <w:rPr>
              <w:rFonts w:eastAsia="Times New Roman"/>
            </w:rPr>
          </w:pPr>
          <w:r>
            <w:rPr>
              <w:rFonts w:eastAsia="Times New Roman"/>
            </w:rPr>
            <w:t xml:space="preserve">Harmer, C. J., O’Sullivan, U., Favaron, E., Massey-Chase, R., Ayres, R., Reinecke, A., Goodwin, G. M., &amp; Cowen, P. J. (2009). Effect of Acute Antidepressant Administration on Negative Affective Bias in Depressed Patients. </w:t>
          </w:r>
          <w:r>
            <w:rPr>
              <w:rFonts w:eastAsia="Times New Roman"/>
              <w:i/>
              <w:iCs/>
            </w:rPr>
            <w:t>American Journal of Psychiatry</w:t>
          </w:r>
          <w:r>
            <w:rPr>
              <w:rFonts w:eastAsia="Times New Roman"/>
            </w:rPr>
            <w:t xml:space="preserve">, </w:t>
          </w:r>
          <w:r>
            <w:rPr>
              <w:rFonts w:eastAsia="Times New Roman"/>
              <w:i/>
              <w:iCs/>
            </w:rPr>
            <w:t>166</w:t>
          </w:r>
          <w:r>
            <w:rPr>
              <w:rFonts w:eastAsia="Times New Roman"/>
            </w:rPr>
            <w:t>(10), 1178–1184. https://doi.org/10.1176/appi.ajp.2009.09020149</w:t>
          </w:r>
        </w:p>
        <w:p w14:paraId="52003C75" w14:textId="77777777" w:rsidR="00EC7CE1" w:rsidRDefault="00EC7CE1">
          <w:pPr>
            <w:autoSpaceDE w:val="0"/>
            <w:autoSpaceDN w:val="0"/>
            <w:ind w:hanging="480"/>
            <w:divId w:val="606930679"/>
            <w:rPr>
              <w:rFonts w:eastAsia="Times New Roman"/>
            </w:rPr>
          </w:pPr>
          <w:proofErr w:type="spellStart"/>
          <w:r>
            <w:rPr>
              <w:rFonts w:eastAsia="Times New Roman"/>
            </w:rPr>
            <w:t>Hassa</w:t>
          </w:r>
          <w:proofErr w:type="spellEnd"/>
          <w:r>
            <w:rPr>
              <w:rFonts w:eastAsia="Times New Roman"/>
            </w:rPr>
            <w:t xml:space="preserve">, T., Sebastian, A., Liepert, J., </w:t>
          </w:r>
          <w:proofErr w:type="spellStart"/>
          <w:r>
            <w:rPr>
              <w:rFonts w:eastAsia="Times New Roman"/>
            </w:rPr>
            <w:t>Weiller</w:t>
          </w:r>
          <w:proofErr w:type="spellEnd"/>
          <w:r>
            <w:rPr>
              <w:rFonts w:eastAsia="Times New Roman"/>
            </w:rPr>
            <w:t xml:space="preserve">, C., Schmidt, R., &amp; </w:t>
          </w:r>
          <w:proofErr w:type="spellStart"/>
          <w:r>
            <w:rPr>
              <w:rFonts w:eastAsia="Times New Roman"/>
            </w:rPr>
            <w:t>Tüscher</w:t>
          </w:r>
          <w:proofErr w:type="spellEnd"/>
          <w:r>
            <w:rPr>
              <w:rFonts w:eastAsia="Times New Roman"/>
            </w:rPr>
            <w:t xml:space="preserve">, O. (2017). Symptom-specific amygdala hyperactivity modulates motor control network in conversion disorder. </w:t>
          </w:r>
          <w:proofErr w:type="spellStart"/>
          <w:r>
            <w:rPr>
              <w:rFonts w:eastAsia="Times New Roman"/>
              <w:i/>
              <w:iCs/>
            </w:rPr>
            <w:t>NeuroImage</w:t>
          </w:r>
          <w:proofErr w:type="spellEnd"/>
          <w:r>
            <w:rPr>
              <w:rFonts w:eastAsia="Times New Roman"/>
              <w:i/>
              <w:iCs/>
            </w:rPr>
            <w:t> : Clinical</w:t>
          </w:r>
          <w:r>
            <w:rPr>
              <w:rFonts w:eastAsia="Times New Roman"/>
            </w:rPr>
            <w:t xml:space="preserve">, </w:t>
          </w:r>
          <w:r>
            <w:rPr>
              <w:rFonts w:eastAsia="Times New Roman"/>
              <w:i/>
              <w:iCs/>
            </w:rPr>
            <w:t>15</w:t>
          </w:r>
          <w:r>
            <w:rPr>
              <w:rFonts w:eastAsia="Times New Roman"/>
            </w:rPr>
            <w:t>, 143. https://doi.org/10.1016/J.NICL.2017.04.004</w:t>
          </w:r>
        </w:p>
        <w:p w14:paraId="6E1C2400" w14:textId="77777777" w:rsidR="00EC7CE1" w:rsidRDefault="00EC7CE1">
          <w:pPr>
            <w:autoSpaceDE w:val="0"/>
            <w:autoSpaceDN w:val="0"/>
            <w:ind w:hanging="480"/>
            <w:divId w:val="1171919395"/>
            <w:rPr>
              <w:rFonts w:eastAsia="Times New Roman"/>
            </w:rPr>
          </w:pPr>
          <w:r>
            <w:rPr>
              <w:rFonts w:eastAsia="Times New Roman"/>
            </w:rPr>
            <w:lastRenderedPageBreak/>
            <w:t xml:space="preserve">Hayes, S. C., &amp; Hofmann, S. G. (2017). The third wave of cognitive </w:t>
          </w:r>
          <w:proofErr w:type="spellStart"/>
          <w:r>
            <w:rPr>
              <w:rFonts w:eastAsia="Times New Roman"/>
            </w:rPr>
            <w:t>behavioral</w:t>
          </w:r>
          <w:proofErr w:type="spellEnd"/>
          <w:r>
            <w:rPr>
              <w:rFonts w:eastAsia="Times New Roman"/>
            </w:rPr>
            <w:t xml:space="preserve"> therapy and the rise of process-based care. </w:t>
          </w:r>
          <w:r>
            <w:rPr>
              <w:rFonts w:eastAsia="Times New Roman"/>
              <w:i/>
              <w:iCs/>
            </w:rPr>
            <w:t>World Psychiatry</w:t>
          </w:r>
          <w:r>
            <w:rPr>
              <w:rFonts w:eastAsia="Times New Roman"/>
            </w:rPr>
            <w:t xml:space="preserve">, </w:t>
          </w:r>
          <w:r>
            <w:rPr>
              <w:rFonts w:eastAsia="Times New Roman"/>
              <w:i/>
              <w:iCs/>
            </w:rPr>
            <w:t>16</w:t>
          </w:r>
          <w:r>
            <w:rPr>
              <w:rFonts w:eastAsia="Times New Roman"/>
            </w:rPr>
            <w:t>(3), 245–246. https://doi.org/10.1002/wps.20442</w:t>
          </w:r>
        </w:p>
        <w:p w14:paraId="489E097D" w14:textId="77777777" w:rsidR="00EC7CE1" w:rsidRDefault="00EC7CE1">
          <w:pPr>
            <w:autoSpaceDE w:val="0"/>
            <w:autoSpaceDN w:val="0"/>
            <w:ind w:hanging="480"/>
            <w:divId w:val="1515456338"/>
            <w:rPr>
              <w:rFonts w:eastAsia="Times New Roman"/>
            </w:rPr>
          </w:pPr>
          <w:r>
            <w:rPr>
              <w:rFonts w:eastAsia="Times New Roman"/>
            </w:rPr>
            <w:t xml:space="preserve">Hayton, J. C., Allen, D. G., &amp; Scarpello, V. (2004). Factor Retention Decisions in Exploratory Factor Analysis: a Tutorial on Parallel Analysis. </w:t>
          </w:r>
          <w:r>
            <w:rPr>
              <w:rFonts w:eastAsia="Times New Roman"/>
              <w:i/>
              <w:iCs/>
            </w:rPr>
            <w:t>Organizational Research Methods</w:t>
          </w:r>
          <w:r>
            <w:rPr>
              <w:rFonts w:eastAsia="Times New Roman"/>
            </w:rPr>
            <w:t xml:space="preserve">, </w:t>
          </w:r>
          <w:r>
            <w:rPr>
              <w:rFonts w:eastAsia="Times New Roman"/>
              <w:i/>
              <w:iCs/>
            </w:rPr>
            <w:t>7</w:t>
          </w:r>
          <w:r>
            <w:rPr>
              <w:rFonts w:eastAsia="Times New Roman"/>
            </w:rPr>
            <w:t>(2), 191–205. https://doi.org/10.1177/1094428104263675</w:t>
          </w:r>
        </w:p>
        <w:p w14:paraId="71DED30E" w14:textId="77777777" w:rsidR="00EC7CE1" w:rsidRDefault="00EC7CE1">
          <w:pPr>
            <w:autoSpaceDE w:val="0"/>
            <w:autoSpaceDN w:val="0"/>
            <w:ind w:hanging="480"/>
            <w:divId w:val="1640763128"/>
            <w:rPr>
              <w:rFonts w:eastAsia="Times New Roman"/>
            </w:rPr>
          </w:pPr>
          <w:r>
            <w:rPr>
              <w:rFonts w:eastAsia="Times New Roman"/>
            </w:rPr>
            <w:t xml:space="preserve">Helgeson, V. S., &amp; Fritz, H. L. (1998). A theory of unmitigated communion. </w:t>
          </w:r>
          <w:r>
            <w:rPr>
              <w:rFonts w:eastAsia="Times New Roman"/>
              <w:i/>
              <w:iCs/>
            </w:rPr>
            <w:t>Personality and Social Psychology Review</w:t>
          </w:r>
          <w:r>
            <w:rPr>
              <w:rFonts w:eastAsia="Times New Roman"/>
            </w:rPr>
            <w:t xml:space="preserve">, </w:t>
          </w:r>
          <w:r>
            <w:rPr>
              <w:rFonts w:eastAsia="Times New Roman"/>
              <w:i/>
              <w:iCs/>
            </w:rPr>
            <w:t>2</w:t>
          </w:r>
          <w:r>
            <w:rPr>
              <w:rFonts w:eastAsia="Times New Roman"/>
            </w:rPr>
            <w:t>(3), 173–183. https://doi.org/10.1207/s15327957pspr0203_2</w:t>
          </w:r>
        </w:p>
        <w:p w14:paraId="0C53A757" w14:textId="77777777" w:rsidR="00EC7CE1" w:rsidRDefault="00EC7CE1">
          <w:pPr>
            <w:autoSpaceDE w:val="0"/>
            <w:autoSpaceDN w:val="0"/>
            <w:ind w:hanging="480"/>
            <w:divId w:val="1068964898"/>
            <w:rPr>
              <w:rFonts w:eastAsia="Times New Roman"/>
            </w:rPr>
          </w:pPr>
          <w:r>
            <w:rPr>
              <w:rFonts w:eastAsia="Times New Roman"/>
            </w:rPr>
            <w:t xml:space="preserve">Helgeson, V. S., &amp; Fritz, H. L. (1999). Unmitigated Agency and Unmitigated Communion: Distinctions from Agency and Communion. </w:t>
          </w:r>
          <w:r>
            <w:rPr>
              <w:rFonts w:eastAsia="Times New Roman"/>
              <w:i/>
              <w:iCs/>
            </w:rPr>
            <w:t>Journal of Research in Personality</w:t>
          </w:r>
          <w:r>
            <w:rPr>
              <w:rFonts w:eastAsia="Times New Roman"/>
            </w:rPr>
            <w:t xml:space="preserve">, </w:t>
          </w:r>
          <w:r>
            <w:rPr>
              <w:rFonts w:eastAsia="Times New Roman"/>
              <w:i/>
              <w:iCs/>
            </w:rPr>
            <w:t>33</w:t>
          </w:r>
          <w:r>
            <w:rPr>
              <w:rFonts w:eastAsia="Times New Roman"/>
            </w:rPr>
            <w:t>(2), 131–158. https://doi.org/10.1006/JRPE.1999.2241</w:t>
          </w:r>
        </w:p>
        <w:p w14:paraId="004773C6" w14:textId="77777777" w:rsidR="00EC7CE1" w:rsidRDefault="00EC7CE1">
          <w:pPr>
            <w:autoSpaceDE w:val="0"/>
            <w:autoSpaceDN w:val="0"/>
            <w:ind w:hanging="480"/>
            <w:divId w:val="1243640853"/>
            <w:rPr>
              <w:rFonts w:eastAsia="Times New Roman"/>
            </w:rPr>
          </w:pPr>
          <w:r>
            <w:rPr>
              <w:rFonts w:eastAsia="Times New Roman"/>
            </w:rPr>
            <w:t xml:space="preserve">Hendrickson, K. L., &amp; Rasmussen, E. B. (2013). Effects of mindful eating training on delay and probability discounting for food and money in obese and healthy-weight individuals. </w:t>
          </w:r>
          <w:r>
            <w:rPr>
              <w:rFonts w:eastAsia="Times New Roman"/>
              <w:i/>
              <w:iCs/>
            </w:rPr>
            <w:t>Behaviour Research and Therapy</w:t>
          </w:r>
          <w:r>
            <w:rPr>
              <w:rFonts w:eastAsia="Times New Roman"/>
            </w:rPr>
            <w:t xml:space="preserve">, </w:t>
          </w:r>
          <w:r>
            <w:rPr>
              <w:rFonts w:eastAsia="Times New Roman"/>
              <w:i/>
              <w:iCs/>
            </w:rPr>
            <w:t>51</w:t>
          </w:r>
          <w:r>
            <w:rPr>
              <w:rFonts w:eastAsia="Times New Roman"/>
            </w:rPr>
            <w:t>(7), 399–409. https://doi.org/10.1016/j.brat.2013.04.002</w:t>
          </w:r>
        </w:p>
        <w:p w14:paraId="50312B20" w14:textId="77777777" w:rsidR="00EC7CE1" w:rsidRDefault="00EC7CE1">
          <w:pPr>
            <w:autoSpaceDE w:val="0"/>
            <w:autoSpaceDN w:val="0"/>
            <w:ind w:hanging="480"/>
            <w:divId w:val="1709333496"/>
            <w:rPr>
              <w:rFonts w:eastAsia="Times New Roman"/>
            </w:rPr>
          </w:pPr>
          <w:proofErr w:type="spellStart"/>
          <w:r>
            <w:rPr>
              <w:rFonts w:eastAsia="Times New Roman"/>
            </w:rPr>
            <w:t>Hermans</w:t>
          </w:r>
          <w:proofErr w:type="spellEnd"/>
          <w:r>
            <w:rPr>
              <w:rFonts w:eastAsia="Times New Roman"/>
            </w:rPr>
            <w:t xml:space="preserve">, D., De </w:t>
          </w:r>
          <w:proofErr w:type="spellStart"/>
          <w:r>
            <w:rPr>
              <w:rFonts w:eastAsia="Times New Roman"/>
            </w:rPr>
            <w:t>Houwer</w:t>
          </w:r>
          <w:proofErr w:type="spellEnd"/>
          <w:r>
            <w:rPr>
              <w:rFonts w:eastAsia="Times New Roman"/>
            </w:rPr>
            <w:t xml:space="preserve">, J., &amp; </w:t>
          </w:r>
          <w:proofErr w:type="spellStart"/>
          <w:r>
            <w:rPr>
              <w:rFonts w:eastAsia="Times New Roman"/>
            </w:rPr>
            <w:t>Eelen</w:t>
          </w:r>
          <w:proofErr w:type="spellEnd"/>
          <w:r>
            <w:rPr>
              <w:rFonts w:eastAsia="Times New Roman"/>
            </w:rPr>
            <w:t xml:space="preserve">, P. (2001). A time course analysis of the affective priming effect. </w:t>
          </w:r>
          <w:r>
            <w:rPr>
              <w:rFonts w:eastAsia="Times New Roman"/>
              <w:i/>
              <w:iCs/>
            </w:rPr>
            <w:t>Cognition and Emotion</w:t>
          </w:r>
          <w:r>
            <w:rPr>
              <w:rFonts w:eastAsia="Times New Roman"/>
            </w:rPr>
            <w:t xml:space="preserve">, </w:t>
          </w:r>
          <w:r>
            <w:rPr>
              <w:rFonts w:eastAsia="Times New Roman"/>
              <w:i/>
              <w:iCs/>
            </w:rPr>
            <w:t>15</w:t>
          </w:r>
          <w:r>
            <w:rPr>
              <w:rFonts w:eastAsia="Times New Roman"/>
            </w:rPr>
            <w:t>(2), 143–165. https://doi.org/10.1080/0269993004200033</w:t>
          </w:r>
        </w:p>
        <w:p w14:paraId="09504D50" w14:textId="77777777" w:rsidR="00EC7CE1" w:rsidRDefault="00EC7CE1">
          <w:pPr>
            <w:autoSpaceDE w:val="0"/>
            <w:autoSpaceDN w:val="0"/>
            <w:ind w:hanging="480"/>
            <w:divId w:val="1663073575"/>
            <w:rPr>
              <w:rFonts w:eastAsia="Times New Roman"/>
            </w:rPr>
          </w:pPr>
          <w:proofErr w:type="spellStart"/>
          <w:r>
            <w:rPr>
              <w:rFonts w:eastAsia="Times New Roman"/>
            </w:rPr>
            <w:t>Hermans</w:t>
          </w:r>
          <w:proofErr w:type="spellEnd"/>
          <w:r>
            <w:rPr>
              <w:rFonts w:eastAsia="Times New Roman"/>
            </w:rPr>
            <w:t xml:space="preserve">, D., </w:t>
          </w:r>
          <w:proofErr w:type="spellStart"/>
          <w:r>
            <w:rPr>
              <w:rFonts w:eastAsia="Times New Roman"/>
            </w:rPr>
            <w:t>Houwer</w:t>
          </w:r>
          <w:proofErr w:type="spellEnd"/>
          <w:r>
            <w:rPr>
              <w:rFonts w:eastAsia="Times New Roman"/>
            </w:rPr>
            <w:t xml:space="preserve">, J. De, &amp; </w:t>
          </w:r>
          <w:proofErr w:type="spellStart"/>
          <w:r>
            <w:rPr>
              <w:rFonts w:eastAsia="Times New Roman"/>
            </w:rPr>
            <w:t>Eelen</w:t>
          </w:r>
          <w:proofErr w:type="spellEnd"/>
          <w:r>
            <w:rPr>
              <w:rFonts w:eastAsia="Times New Roman"/>
            </w:rPr>
            <w:t xml:space="preserve">, P. (1994). The affective priming effect: Automatic activation of evaluative information in memory. </w:t>
          </w:r>
          <w:r>
            <w:rPr>
              <w:rFonts w:eastAsia="Times New Roman"/>
              <w:i/>
              <w:iCs/>
            </w:rPr>
            <w:t>Http://Dx.Doi.Org/10.1080/02699939408408957</w:t>
          </w:r>
          <w:r>
            <w:rPr>
              <w:rFonts w:eastAsia="Times New Roman"/>
            </w:rPr>
            <w:t xml:space="preserve">, </w:t>
          </w:r>
          <w:r>
            <w:rPr>
              <w:rFonts w:eastAsia="Times New Roman"/>
              <w:i/>
              <w:iCs/>
            </w:rPr>
            <w:t>8</w:t>
          </w:r>
          <w:r>
            <w:rPr>
              <w:rFonts w:eastAsia="Times New Roman"/>
            </w:rPr>
            <w:t>(6), 515–533. https://doi.org/10.1080/02699939408408957</w:t>
          </w:r>
        </w:p>
        <w:p w14:paraId="68B29A07" w14:textId="77777777" w:rsidR="00EC7CE1" w:rsidRDefault="00EC7CE1">
          <w:pPr>
            <w:autoSpaceDE w:val="0"/>
            <w:autoSpaceDN w:val="0"/>
            <w:ind w:hanging="480"/>
            <w:divId w:val="1630553516"/>
            <w:rPr>
              <w:rFonts w:eastAsia="Times New Roman"/>
            </w:rPr>
          </w:pPr>
          <w:r>
            <w:rPr>
              <w:rFonts w:eastAsia="Times New Roman"/>
            </w:rPr>
            <w:t xml:space="preserve">Herrero, H., </w:t>
          </w:r>
          <w:proofErr w:type="spellStart"/>
          <w:r>
            <w:rPr>
              <w:rFonts w:eastAsia="Times New Roman"/>
            </w:rPr>
            <w:t>Tarrada</w:t>
          </w:r>
          <w:proofErr w:type="spellEnd"/>
          <w:r>
            <w:rPr>
              <w:rFonts w:eastAsia="Times New Roman"/>
            </w:rPr>
            <w:t xml:space="preserve">, A., </w:t>
          </w:r>
          <w:proofErr w:type="spellStart"/>
          <w:r>
            <w:rPr>
              <w:rFonts w:eastAsia="Times New Roman"/>
            </w:rPr>
            <w:t>Haffen</w:t>
          </w:r>
          <w:proofErr w:type="spellEnd"/>
          <w:r>
            <w:rPr>
              <w:rFonts w:eastAsia="Times New Roman"/>
            </w:rPr>
            <w:t xml:space="preserve">, E., </w:t>
          </w:r>
          <w:proofErr w:type="spellStart"/>
          <w:r>
            <w:rPr>
              <w:rFonts w:eastAsia="Times New Roman"/>
            </w:rPr>
            <w:t>Mignot</w:t>
          </w:r>
          <w:proofErr w:type="spellEnd"/>
          <w:r>
            <w:rPr>
              <w:rFonts w:eastAsia="Times New Roman"/>
            </w:rPr>
            <w:t>, T., Sense, C., Schwan, R., El-</w:t>
          </w:r>
          <w:proofErr w:type="spellStart"/>
          <w:r>
            <w:rPr>
              <w:rFonts w:eastAsia="Times New Roman"/>
            </w:rPr>
            <w:t>Hage</w:t>
          </w:r>
          <w:proofErr w:type="spellEnd"/>
          <w:r>
            <w:rPr>
              <w:rFonts w:eastAsia="Times New Roman"/>
            </w:rPr>
            <w:t xml:space="preserve">, W., Maillard, L., &amp; </w:t>
          </w:r>
          <w:proofErr w:type="spellStart"/>
          <w:r>
            <w:rPr>
              <w:rFonts w:eastAsia="Times New Roman"/>
            </w:rPr>
            <w:t>Hingray</w:t>
          </w:r>
          <w:proofErr w:type="spellEnd"/>
          <w:r>
            <w:rPr>
              <w:rFonts w:eastAsia="Times New Roman"/>
            </w:rPr>
            <w:t xml:space="preserve">, C. (2020). Skin conductance response and emotional response in women with psychogenic non-epileptic seizures. </w:t>
          </w:r>
          <w:r>
            <w:rPr>
              <w:rFonts w:eastAsia="Times New Roman"/>
              <w:i/>
              <w:iCs/>
            </w:rPr>
            <w:t>Seizure</w:t>
          </w:r>
          <w:r>
            <w:rPr>
              <w:rFonts w:eastAsia="Times New Roman"/>
            </w:rPr>
            <w:t xml:space="preserve">, </w:t>
          </w:r>
          <w:r>
            <w:rPr>
              <w:rFonts w:eastAsia="Times New Roman"/>
              <w:i/>
              <w:iCs/>
            </w:rPr>
            <w:t>81</w:t>
          </w:r>
          <w:r>
            <w:rPr>
              <w:rFonts w:eastAsia="Times New Roman"/>
            </w:rPr>
            <w:t>, 123–131. https://doi.org/https://doi.org/10.1016/j.seizure.2020.07.028</w:t>
          </w:r>
        </w:p>
        <w:p w14:paraId="26CBDF94" w14:textId="77777777" w:rsidR="00EC7CE1" w:rsidRDefault="00EC7CE1">
          <w:pPr>
            <w:autoSpaceDE w:val="0"/>
            <w:autoSpaceDN w:val="0"/>
            <w:ind w:hanging="480"/>
            <w:divId w:val="2123648649"/>
            <w:rPr>
              <w:rFonts w:eastAsia="Times New Roman"/>
            </w:rPr>
          </w:pPr>
          <w:r>
            <w:rPr>
              <w:rFonts w:eastAsia="Times New Roman"/>
            </w:rPr>
            <w:t xml:space="preserve">Herring, D. R., White, K. R., </w:t>
          </w:r>
          <w:proofErr w:type="spellStart"/>
          <w:r>
            <w:rPr>
              <w:rFonts w:eastAsia="Times New Roman"/>
            </w:rPr>
            <w:t>Jabeen</w:t>
          </w:r>
          <w:proofErr w:type="spellEnd"/>
          <w:r>
            <w:rPr>
              <w:rFonts w:eastAsia="Times New Roman"/>
            </w:rPr>
            <w:t xml:space="preserve">, L. N., </w:t>
          </w:r>
          <w:proofErr w:type="spellStart"/>
          <w:r>
            <w:rPr>
              <w:rFonts w:eastAsia="Times New Roman"/>
            </w:rPr>
            <w:t>Hinojos</w:t>
          </w:r>
          <w:proofErr w:type="spellEnd"/>
          <w:r>
            <w:rPr>
              <w:rFonts w:eastAsia="Times New Roman"/>
            </w:rPr>
            <w:t xml:space="preserve">, M., Terrazas, G., Reyes, S. M., Taylor, J. H., &amp; Crites, S. L. (2013). On the automatic activation of attitudes: A quarter century of evaluative priming research. </w:t>
          </w:r>
          <w:r>
            <w:rPr>
              <w:rFonts w:eastAsia="Times New Roman"/>
              <w:i/>
              <w:iCs/>
            </w:rPr>
            <w:t>Psychological Bulletin.</w:t>
          </w:r>
          <w:r>
            <w:rPr>
              <w:rFonts w:eastAsia="Times New Roman"/>
            </w:rPr>
            <w:t xml:space="preserve">, </w:t>
          </w:r>
          <w:r>
            <w:rPr>
              <w:rFonts w:eastAsia="Times New Roman"/>
              <w:i/>
              <w:iCs/>
            </w:rPr>
            <w:t>139</w:t>
          </w:r>
          <w:r>
            <w:rPr>
              <w:rFonts w:eastAsia="Times New Roman"/>
            </w:rPr>
            <w:t xml:space="preserve">(5), 1062–1089. https://doi.org/10.1037/a0031309 </w:t>
          </w:r>
          <w:proofErr w:type="spellStart"/>
          <w:r>
            <w:rPr>
              <w:rFonts w:eastAsia="Times New Roman"/>
            </w:rPr>
            <w:t>info:doi</w:t>
          </w:r>
          <w:proofErr w:type="spellEnd"/>
          <w:r>
            <w:rPr>
              <w:rFonts w:eastAsia="Times New Roman"/>
            </w:rPr>
            <w:t>/10.1037/a0031309</w:t>
          </w:r>
        </w:p>
        <w:p w14:paraId="764CECDB" w14:textId="77777777" w:rsidR="00EC7CE1" w:rsidRDefault="00EC7CE1">
          <w:pPr>
            <w:autoSpaceDE w:val="0"/>
            <w:autoSpaceDN w:val="0"/>
            <w:ind w:hanging="480"/>
            <w:divId w:val="2109039950"/>
            <w:rPr>
              <w:rFonts w:eastAsia="Times New Roman"/>
            </w:rPr>
          </w:pPr>
          <w:r>
            <w:rPr>
              <w:rFonts w:eastAsia="Times New Roman"/>
            </w:rPr>
            <w:t xml:space="preserve">Hinson, V. K., </w:t>
          </w:r>
          <w:proofErr w:type="spellStart"/>
          <w:r>
            <w:rPr>
              <w:rFonts w:eastAsia="Times New Roman"/>
            </w:rPr>
            <w:t>Cubo</w:t>
          </w:r>
          <w:proofErr w:type="spellEnd"/>
          <w:r>
            <w:rPr>
              <w:rFonts w:eastAsia="Times New Roman"/>
            </w:rPr>
            <w:t xml:space="preserve">, E., </w:t>
          </w:r>
          <w:proofErr w:type="spellStart"/>
          <w:r>
            <w:rPr>
              <w:rFonts w:eastAsia="Times New Roman"/>
            </w:rPr>
            <w:t>Comella</w:t>
          </w:r>
          <w:proofErr w:type="spellEnd"/>
          <w:r>
            <w:rPr>
              <w:rFonts w:eastAsia="Times New Roman"/>
            </w:rPr>
            <w:t xml:space="preserve">, C. L., Goetz, C. G., &amp; </w:t>
          </w:r>
          <w:proofErr w:type="spellStart"/>
          <w:r>
            <w:rPr>
              <w:rFonts w:eastAsia="Times New Roman"/>
            </w:rPr>
            <w:t>Leurgans</w:t>
          </w:r>
          <w:proofErr w:type="spellEnd"/>
          <w:r>
            <w:rPr>
              <w:rFonts w:eastAsia="Times New Roman"/>
            </w:rPr>
            <w:t xml:space="preserve">, S. (2005). Rating scale for psychogenic movement disorders: Scale development and </w:t>
          </w:r>
          <w:proofErr w:type="spellStart"/>
          <w:r>
            <w:rPr>
              <w:rFonts w:eastAsia="Times New Roman"/>
            </w:rPr>
            <w:t>clinimetric</w:t>
          </w:r>
          <w:proofErr w:type="spellEnd"/>
          <w:r>
            <w:rPr>
              <w:rFonts w:eastAsia="Times New Roman"/>
            </w:rPr>
            <w:t xml:space="preserve"> </w:t>
          </w:r>
          <w:r>
            <w:rPr>
              <w:rFonts w:eastAsia="Times New Roman"/>
            </w:rPr>
            <w:lastRenderedPageBreak/>
            <w:t xml:space="preserve">testing. </w:t>
          </w:r>
          <w:r>
            <w:rPr>
              <w:rFonts w:eastAsia="Times New Roman"/>
              <w:i/>
              <w:iCs/>
            </w:rPr>
            <w:t>Movement Disorders</w:t>
          </w:r>
          <w:r>
            <w:rPr>
              <w:rFonts w:eastAsia="Times New Roman"/>
            </w:rPr>
            <w:t xml:space="preserve">, </w:t>
          </w:r>
          <w:r>
            <w:rPr>
              <w:rFonts w:eastAsia="Times New Roman"/>
              <w:i/>
              <w:iCs/>
            </w:rPr>
            <w:t>20</w:t>
          </w:r>
          <w:r>
            <w:rPr>
              <w:rFonts w:eastAsia="Times New Roman"/>
            </w:rPr>
            <w:t>(12), 1592–1597. https://doi.org/10.1002/mds.20650</w:t>
          </w:r>
        </w:p>
        <w:p w14:paraId="00278154" w14:textId="77777777" w:rsidR="00EC7CE1" w:rsidRDefault="00EC7CE1">
          <w:pPr>
            <w:autoSpaceDE w:val="0"/>
            <w:autoSpaceDN w:val="0"/>
            <w:ind w:hanging="480"/>
            <w:divId w:val="387149197"/>
            <w:rPr>
              <w:rFonts w:eastAsia="Times New Roman"/>
            </w:rPr>
          </w:pPr>
          <w:proofErr w:type="spellStart"/>
          <w:r>
            <w:rPr>
              <w:rFonts w:eastAsia="Times New Roman"/>
            </w:rPr>
            <w:t>Hinz</w:t>
          </w:r>
          <w:proofErr w:type="spellEnd"/>
          <w:r>
            <w:rPr>
              <w:rFonts w:eastAsia="Times New Roman"/>
            </w:rPr>
            <w:t xml:space="preserve">, A., Ernst, J., </w:t>
          </w:r>
          <w:proofErr w:type="spellStart"/>
          <w:r>
            <w:rPr>
              <w:rFonts w:eastAsia="Times New Roman"/>
            </w:rPr>
            <w:t>Glaesmer</w:t>
          </w:r>
          <w:proofErr w:type="spellEnd"/>
          <w:r>
            <w:rPr>
              <w:rFonts w:eastAsia="Times New Roman"/>
            </w:rPr>
            <w:t xml:space="preserve">, H., </w:t>
          </w:r>
          <w:proofErr w:type="spellStart"/>
          <w:r>
            <w:rPr>
              <w:rFonts w:eastAsia="Times New Roman"/>
            </w:rPr>
            <w:t>Brähler</w:t>
          </w:r>
          <w:proofErr w:type="spellEnd"/>
          <w:r>
            <w:rPr>
              <w:rFonts w:eastAsia="Times New Roman"/>
            </w:rPr>
            <w:t xml:space="preserve">, E., Rauscher, F. G., </w:t>
          </w:r>
          <w:proofErr w:type="spellStart"/>
          <w:r>
            <w:rPr>
              <w:rFonts w:eastAsia="Times New Roman"/>
            </w:rPr>
            <w:t>Petrowski</w:t>
          </w:r>
          <w:proofErr w:type="spellEnd"/>
          <w:r>
            <w:rPr>
              <w:rFonts w:eastAsia="Times New Roman"/>
            </w:rPr>
            <w:t xml:space="preserve">, K., &amp; </w:t>
          </w:r>
          <w:proofErr w:type="spellStart"/>
          <w:r>
            <w:rPr>
              <w:rFonts w:eastAsia="Times New Roman"/>
            </w:rPr>
            <w:t>Kocalevent</w:t>
          </w:r>
          <w:proofErr w:type="spellEnd"/>
          <w:r>
            <w:rPr>
              <w:rFonts w:eastAsia="Times New Roman"/>
            </w:rPr>
            <w:t xml:space="preserve">, R. D. (2017). Frequency of somatic symptoms in the general population: Normative values for the Patient Health Questionnaire-15 (PHQ-15). </w:t>
          </w:r>
          <w:r>
            <w:rPr>
              <w:rFonts w:eastAsia="Times New Roman"/>
              <w:i/>
              <w:iCs/>
            </w:rPr>
            <w:t xml:space="preserve">J </w:t>
          </w:r>
          <w:proofErr w:type="spellStart"/>
          <w:r>
            <w:rPr>
              <w:rFonts w:eastAsia="Times New Roman"/>
              <w:i/>
              <w:iCs/>
            </w:rPr>
            <w:t>Psychosom</w:t>
          </w:r>
          <w:proofErr w:type="spellEnd"/>
          <w:r>
            <w:rPr>
              <w:rFonts w:eastAsia="Times New Roman"/>
              <w:i/>
              <w:iCs/>
            </w:rPr>
            <w:t xml:space="preserve"> Res</w:t>
          </w:r>
          <w:r>
            <w:rPr>
              <w:rFonts w:eastAsia="Times New Roman"/>
            </w:rPr>
            <w:t xml:space="preserve">, </w:t>
          </w:r>
          <w:r>
            <w:rPr>
              <w:rFonts w:eastAsia="Times New Roman"/>
              <w:i/>
              <w:iCs/>
            </w:rPr>
            <w:t>96</w:t>
          </w:r>
          <w:r>
            <w:rPr>
              <w:rFonts w:eastAsia="Times New Roman"/>
            </w:rPr>
            <w:t>, 27–31. https://doi.org/10.1016/j.jpsychores.2016.12.017</w:t>
          </w:r>
        </w:p>
        <w:p w14:paraId="0699190F" w14:textId="77777777" w:rsidR="00EC7CE1" w:rsidRDefault="00EC7CE1">
          <w:pPr>
            <w:autoSpaceDE w:val="0"/>
            <w:autoSpaceDN w:val="0"/>
            <w:ind w:hanging="480"/>
            <w:divId w:val="1582639224"/>
            <w:rPr>
              <w:rFonts w:eastAsia="Times New Roman"/>
            </w:rPr>
          </w:pPr>
          <w:r>
            <w:rPr>
              <w:rFonts w:eastAsia="Times New Roman"/>
            </w:rPr>
            <w:t xml:space="preserve">Hobart, J., &amp; Cano, S. (2009). Improving the evaluation of therapeutic interventions in multiple sclerosis: the role of new psychometric methods. </w:t>
          </w:r>
          <w:r>
            <w:rPr>
              <w:rFonts w:eastAsia="Times New Roman"/>
              <w:i/>
              <w:iCs/>
            </w:rPr>
            <w:t>Health Technology Assessment</w:t>
          </w:r>
          <w:r>
            <w:rPr>
              <w:rFonts w:eastAsia="Times New Roman"/>
            </w:rPr>
            <w:t xml:space="preserve">, </w:t>
          </w:r>
          <w:r>
            <w:rPr>
              <w:rFonts w:eastAsia="Times New Roman"/>
              <w:i/>
              <w:iCs/>
            </w:rPr>
            <w:t>13</w:t>
          </w:r>
          <w:r>
            <w:rPr>
              <w:rFonts w:eastAsia="Times New Roman"/>
            </w:rPr>
            <w:t>(12), 1–200. https://doi.org/10.3310/HTA13120</w:t>
          </w:r>
        </w:p>
        <w:p w14:paraId="3A630801" w14:textId="77777777" w:rsidR="00EC7CE1" w:rsidRDefault="00EC7CE1">
          <w:pPr>
            <w:autoSpaceDE w:val="0"/>
            <w:autoSpaceDN w:val="0"/>
            <w:ind w:hanging="480"/>
            <w:divId w:val="427971027"/>
            <w:rPr>
              <w:rFonts w:eastAsia="Times New Roman"/>
            </w:rPr>
          </w:pPr>
          <w:r>
            <w:rPr>
              <w:rFonts w:eastAsia="Times New Roman"/>
            </w:rPr>
            <w:t>Holt-</w:t>
          </w:r>
          <w:proofErr w:type="spellStart"/>
          <w:r>
            <w:rPr>
              <w:rFonts w:eastAsia="Times New Roman"/>
            </w:rPr>
            <w:t>Lunstad</w:t>
          </w:r>
          <w:proofErr w:type="spellEnd"/>
          <w:r>
            <w:rPr>
              <w:rFonts w:eastAsia="Times New Roman"/>
            </w:rPr>
            <w:t xml:space="preserve">, J., &amp; </w:t>
          </w:r>
          <w:proofErr w:type="spellStart"/>
          <w:r>
            <w:rPr>
              <w:rFonts w:eastAsia="Times New Roman"/>
            </w:rPr>
            <w:t>Lefler</w:t>
          </w:r>
          <w:proofErr w:type="spellEnd"/>
          <w:r>
            <w:rPr>
              <w:rFonts w:eastAsia="Times New Roman"/>
            </w:rPr>
            <w:t xml:space="preserve">, M. (2020). Social Integration. </w:t>
          </w:r>
          <w:proofErr w:type="spellStart"/>
          <w:r>
            <w:rPr>
              <w:rFonts w:eastAsia="Times New Roman"/>
              <w:i/>
              <w:iCs/>
            </w:rPr>
            <w:t>Encyclopedia</w:t>
          </w:r>
          <w:proofErr w:type="spellEnd"/>
          <w:r>
            <w:rPr>
              <w:rFonts w:eastAsia="Times New Roman"/>
              <w:i/>
              <w:iCs/>
            </w:rPr>
            <w:t xml:space="preserve"> of Gerontology and Population Aging</w:t>
          </w:r>
          <w:r>
            <w:rPr>
              <w:rFonts w:eastAsia="Times New Roman"/>
            </w:rPr>
            <w:t>, 1–11. https://doi.org/10.1007/978-3-319-69892-2_646-2</w:t>
          </w:r>
        </w:p>
        <w:p w14:paraId="0436CF04" w14:textId="77777777" w:rsidR="00EC7CE1" w:rsidRDefault="00EC7CE1">
          <w:pPr>
            <w:autoSpaceDE w:val="0"/>
            <w:autoSpaceDN w:val="0"/>
            <w:ind w:hanging="480"/>
            <w:divId w:val="930816250"/>
            <w:rPr>
              <w:rFonts w:eastAsia="Times New Roman"/>
            </w:rPr>
          </w:pPr>
          <w:r>
            <w:rPr>
              <w:rFonts w:eastAsia="Times New Roman"/>
            </w:rPr>
            <w:t xml:space="preserve">Horn, J. L. (1965). A rationale and test for the number of factors in factor analysis. </w:t>
          </w:r>
          <w:r>
            <w:rPr>
              <w:rFonts w:eastAsia="Times New Roman"/>
              <w:i/>
              <w:iCs/>
            </w:rPr>
            <w:t>Psychometrika</w:t>
          </w:r>
          <w:r>
            <w:rPr>
              <w:rFonts w:eastAsia="Times New Roman"/>
            </w:rPr>
            <w:t xml:space="preserve">, </w:t>
          </w:r>
          <w:r>
            <w:rPr>
              <w:rFonts w:eastAsia="Times New Roman"/>
              <w:i/>
              <w:iCs/>
            </w:rPr>
            <w:t>30</w:t>
          </w:r>
          <w:r>
            <w:rPr>
              <w:rFonts w:eastAsia="Times New Roman"/>
            </w:rPr>
            <w:t>(2), 179–185. https://doi.org/10.1007/BF02289447</w:t>
          </w:r>
        </w:p>
        <w:p w14:paraId="45B08613" w14:textId="77777777" w:rsidR="00EC7CE1" w:rsidRDefault="00EC7CE1">
          <w:pPr>
            <w:autoSpaceDE w:val="0"/>
            <w:autoSpaceDN w:val="0"/>
            <w:ind w:hanging="480"/>
            <w:divId w:val="719132522"/>
            <w:rPr>
              <w:rFonts w:eastAsia="Times New Roman"/>
            </w:rPr>
          </w:pPr>
          <w:r>
            <w:rPr>
              <w:rFonts w:eastAsia="Times New Roman"/>
            </w:rPr>
            <w:t xml:space="preserve">Hu, L. T., &amp; </w:t>
          </w:r>
          <w:proofErr w:type="spellStart"/>
          <w:r>
            <w:rPr>
              <w:rFonts w:eastAsia="Times New Roman"/>
            </w:rPr>
            <w:t>Bentler</w:t>
          </w:r>
          <w:proofErr w:type="spellEnd"/>
          <w:r>
            <w:rPr>
              <w:rFonts w:eastAsia="Times New Roman"/>
            </w:rPr>
            <w:t xml:space="preserve">, P. M. (2009). </w:t>
          </w:r>
          <w:proofErr w:type="spellStart"/>
          <w:r>
            <w:rPr>
              <w:rFonts w:eastAsia="Times New Roman"/>
            </w:rPr>
            <w:t>Cutoff</w:t>
          </w:r>
          <w:proofErr w:type="spellEnd"/>
          <w:r>
            <w:rPr>
              <w:rFonts w:eastAsia="Times New Roman"/>
            </w:rPr>
            <w:t xml:space="preserve"> criteria for fit indexes in covariance structure analysis: Conventional criteria versus new alternatives. </w:t>
          </w:r>
          <w:r>
            <w:rPr>
              <w:rFonts w:eastAsia="Times New Roman"/>
              <w:i/>
              <w:iCs/>
            </w:rPr>
            <w:t>Https://Doi.Org/10.1080/10705519909540118</w:t>
          </w:r>
          <w:r>
            <w:rPr>
              <w:rFonts w:eastAsia="Times New Roman"/>
            </w:rPr>
            <w:t xml:space="preserve">, </w:t>
          </w:r>
          <w:r>
            <w:rPr>
              <w:rFonts w:eastAsia="Times New Roman"/>
              <w:i/>
              <w:iCs/>
            </w:rPr>
            <w:t>6</w:t>
          </w:r>
          <w:r>
            <w:rPr>
              <w:rFonts w:eastAsia="Times New Roman"/>
            </w:rPr>
            <w:t>(1), 1–55. https://doi.org/10.1080/10705519909540118</w:t>
          </w:r>
        </w:p>
        <w:p w14:paraId="20145488" w14:textId="77777777" w:rsidR="00EC7CE1" w:rsidRDefault="00EC7CE1">
          <w:pPr>
            <w:autoSpaceDE w:val="0"/>
            <w:autoSpaceDN w:val="0"/>
            <w:ind w:hanging="480"/>
            <w:divId w:val="1588807961"/>
            <w:rPr>
              <w:rFonts w:eastAsia="Times New Roman"/>
            </w:rPr>
          </w:pPr>
          <w:proofErr w:type="spellStart"/>
          <w:r>
            <w:rPr>
              <w:rFonts w:eastAsia="Times New Roman"/>
            </w:rPr>
            <w:t>Hubschmid</w:t>
          </w:r>
          <w:proofErr w:type="spellEnd"/>
          <w:r>
            <w:rPr>
              <w:rFonts w:eastAsia="Times New Roman"/>
            </w:rPr>
            <w:t xml:space="preserve">, M., </w:t>
          </w:r>
          <w:proofErr w:type="spellStart"/>
          <w:r>
            <w:rPr>
              <w:rFonts w:eastAsia="Times New Roman"/>
            </w:rPr>
            <w:t>Aybek</w:t>
          </w:r>
          <w:proofErr w:type="spellEnd"/>
          <w:r>
            <w:rPr>
              <w:rFonts w:eastAsia="Times New Roman"/>
            </w:rPr>
            <w:t xml:space="preserve">, S., </w:t>
          </w:r>
          <w:proofErr w:type="spellStart"/>
          <w:r>
            <w:rPr>
              <w:rFonts w:eastAsia="Times New Roman"/>
            </w:rPr>
            <w:t>Maccaferri</w:t>
          </w:r>
          <w:proofErr w:type="spellEnd"/>
          <w:r>
            <w:rPr>
              <w:rFonts w:eastAsia="Times New Roman"/>
            </w:rPr>
            <w:t xml:space="preserve">, G. E., </w:t>
          </w:r>
          <w:proofErr w:type="spellStart"/>
          <w:r>
            <w:rPr>
              <w:rFonts w:eastAsia="Times New Roman"/>
            </w:rPr>
            <w:t>Chocron</w:t>
          </w:r>
          <w:proofErr w:type="spellEnd"/>
          <w:r>
            <w:rPr>
              <w:rFonts w:eastAsia="Times New Roman"/>
            </w:rPr>
            <w:t xml:space="preserve">, O., </w:t>
          </w:r>
          <w:proofErr w:type="spellStart"/>
          <w:r>
            <w:rPr>
              <w:rFonts w:eastAsia="Times New Roman"/>
            </w:rPr>
            <w:t>Gholamrezaee</w:t>
          </w:r>
          <w:proofErr w:type="spellEnd"/>
          <w:r>
            <w:rPr>
              <w:rFonts w:eastAsia="Times New Roman"/>
            </w:rPr>
            <w:t xml:space="preserve">, M. M., Rossetti, A. O., </w:t>
          </w:r>
          <w:proofErr w:type="spellStart"/>
          <w:r>
            <w:rPr>
              <w:rFonts w:eastAsia="Times New Roman"/>
            </w:rPr>
            <w:t>Vingerhoets</w:t>
          </w:r>
          <w:proofErr w:type="spellEnd"/>
          <w:r>
            <w:rPr>
              <w:rFonts w:eastAsia="Times New Roman"/>
            </w:rPr>
            <w:t xml:space="preserve">, F., &amp; </w:t>
          </w:r>
          <w:proofErr w:type="spellStart"/>
          <w:r>
            <w:rPr>
              <w:rFonts w:eastAsia="Times New Roman"/>
            </w:rPr>
            <w:t>Berney</w:t>
          </w:r>
          <w:proofErr w:type="spellEnd"/>
          <w:r>
            <w:rPr>
              <w:rFonts w:eastAsia="Times New Roman"/>
            </w:rPr>
            <w:t xml:space="preserve">, A. (2015). Efficacy of brief interdisciplinary psychotherapeutic intervention for motor conversion disorder and nonepileptic attacks. </w:t>
          </w:r>
          <w:r>
            <w:rPr>
              <w:rFonts w:eastAsia="Times New Roman"/>
              <w:i/>
              <w:iCs/>
            </w:rPr>
            <w:t>General Hospital Psychiatry</w:t>
          </w:r>
          <w:r>
            <w:rPr>
              <w:rFonts w:eastAsia="Times New Roman"/>
            </w:rPr>
            <w:t xml:space="preserve">, </w:t>
          </w:r>
          <w:r>
            <w:rPr>
              <w:rFonts w:eastAsia="Times New Roman"/>
              <w:i/>
              <w:iCs/>
            </w:rPr>
            <w:t>37</w:t>
          </w:r>
          <w:r>
            <w:rPr>
              <w:rFonts w:eastAsia="Times New Roman"/>
            </w:rPr>
            <w:t>(5), 448–455. https://doi.org/10.1016/J.GENHOSPPSYCH.2015.05.007</w:t>
          </w:r>
        </w:p>
        <w:p w14:paraId="46FB9FC6" w14:textId="77777777" w:rsidR="00EC7CE1" w:rsidRDefault="00EC7CE1">
          <w:pPr>
            <w:autoSpaceDE w:val="0"/>
            <w:autoSpaceDN w:val="0"/>
            <w:ind w:hanging="480"/>
            <w:divId w:val="1652556123"/>
            <w:rPr>
              <w:rFonts w:eastAsia="Times New Roman"/>
            </w:rPr>
          </w:pPr>
          <w:proofErr w:type="spellStart"/>
          <w:r>
            <w:rPr>
              <w:rFonts w:eastAsia="Times New Roman"/>
            </w:rPr>
            <w:t>Hudon</w:t>
          </w:r>
          <w:proofErr w:type="spellEnd"/>
          <w:r>
            <w:rPr>
              <w:rFonts w:eastAsia="Times New Roman"/>
            </w:rPr>
            <w:t xml:space="preserve">, C., Chouinard, M. C., Lambert, M., Dufour, I., &amp; Krieg, C. (2016). Effectiveness of case management interventions for frequent users of healthcare services: a scoping review. </w:t>
          </w:r>
          <w:r>
            <w:rPr>
              <w:rFonts w:eastAsia="Times New Roman"/>
              <w:i/>
              <w:iCs/>
            </w:rPr>
            <w:t>BMJ Open</w:t>
          </w:r>
          <w:r>
            <w:rPr>
              <w:rFonts w:eastAsia="Times New Roman"/>
            </w:rPr>
            <w:t xml:space="preserve">, </w:t>
          </w:r>
          <w:r>
            <w:rPr>
              <w:rFonts w:eastAsia="Times New Roman"/>
              <w:i/>
              <w:iCs/>
            </w:rPr>
            <w:t>6</w:t>
          </w:r>
          <w:r>
            <w:rPr>
              <w:rFonts w:eastAsia="Times New Roman"/>
            </w:rPr>
            <w:t>(9). https://doi.org/10.1136/BMJOPEN-2016-012353</w:t>
          </w:r>
        </w:p>
        <w:p w14:paraId="3E2D5BE0" w14:textId="77777777" w:rsidR="00EC7CE1" w:rsidRDefault="00EC7CE1">
          <w:pPr>
            <w:autoSpaceDE w:val="0"/>
            <w:autoSpaceDN w:val="0"/>
            <w:ind w:hanging="480"/>
            <w:divId w:val="29455326"/>
            <w:rPr>
              <w:rFonts w:eastAsia="Times New Roman"/>
            </w:rPr>
          </w:pPr>
          <w:r>
            <w:rPr>
              <w:rFonts w:eastAsia="Times New Roman"/>
            </w:rPr>
            <w:t xml:space="preserve">Hudson, J., Fielding, S., &amp; Ramsay, C. R. (2019). Methodology and reporting characteristics of studies using interrupted time series design in healthcare. </w:t>
          </w:r>
          <w:r>
            <w:rPr>
              <w:rFonts w:eastAsia="Times New Roman"/>
              <w:i/>
              <w:iCs/>
            </w:rPr>
            <w:t>BMC Medical Research Methodology</w:t>
          </w:r>
          <w:r>
            <w:rPr>
              <w:rFonts w:eastAsia="Times New Roman"/>
            </w:rPr>
            <w:t xml:space="preserve">, </w:t>
          </w:r>
          <w:r>
            <w:rPr>
              <w:rFonts w:eastAsia="Times New Roman"/>
              <w:i/>
              <w:iCs/>
            </w:rPr>
            <w:t>19</w:t>
          </w:r>
          <w:r>
            <w:rPr>
              <w:rFonts w:eastAsia="Times New Roman"/>
            </w:rPr>
            <w:t>(1), 1–7. https://doi.org/10.1186/S12874-019-0777-X/TABLES/5</w:t>
          </w:r>
        </w:p>
        <w:p w14:paraId="6D2A7E42" w14:textId="77777777" w:rsidR="00EC7CE1" w:rsidRDefault="00EC7CE1">
          <w:pPr>
            <w:autoSpaceDE w:val="0"/>
            <w:autoSpaceDN w:val="0"/>
            <w:ind w:hanging="480"/>
            <w:divId w:val="627977467"/>
            <w:rPr>
              <w:rFonts w:eastAsia="Times New Roman"/>
            </w:rPr>
          </w:pPr>
          <w:r>
            <w:rPr>
              <w:rFonts w:eastAsia="Times New Roman"/>
            </w:rPr>
            <w:t xml:space="preserve">Hughes-Gooding, T., Dickson, J. M., O’Keeffe, C., &amp; Mason, S. M. (2020). A data linkage study of suspected seizures in the urgent and emergency care system in the UK. </w:t>
          </w:r>
          <w:r>
            <w:rPr>
              <w:rFonts w:eastAsia="Times New Roman"/>
              <w:i/>
              <w:iCs/>
            </w:rPr>
            <w:t>Emergency Medicine Journal : EMJ</w:t>
          </w:r>
          <w:r>
            <w:rPr>
              <w:rFonts w:eastAsia="Times New Roman"/>
            </w:rPr>
            <w:t xml:space="preserve">, </w:t>
          </w:r>
          <w:r>
            <w:rPr>
              <w:rFonts w:eastAsia="Times New Roman"/>
              <w:i/>
              <w:iCs/>
            </w:rPr>
            <w:t>37</w:t>
          </w:r>
          <w:r>
            <w:rPr>
              <w:rFonts w:eastAsia="Times New Roman"/>
            </w:rPr>
            <w:t>(10), 605. https://doi.org/10.1136/EMERMED-2019-208820</w:t>
          </w:r>
        </w:p>
        <w:p w14:paraId="123A9AAC" w14:textId="77777777" w:rsidR="00EC7CE1" w:rsidRDefault="00EC7CE1">
          <w:pPr>
            <w:autoSpaceDE w:val="0"/>
            <w:autoSpaceDN w:val="0"/>
            <w:ind w:hanging="480"/>
            <w:divId w:val="552084056"/>
            <w:rPr>
              <w:rFonts w:eastAsia="Times New Roman"/>
            </w:rPr>
          </w:pPr>
          <w:r>
            <w:rPr>
              <w:rFonts w:eastAsia="Times New Roman"/>
              <w:i/>
              <w:iCs/>
            </w:rPr>
            <w:lastRenderedPageBreak/>
            <w:t>IBM SPSS Statistics for Windows,</w:t>
          </w:r>
          <w:r>
            <w:rPr>
              <w:rFonts w:eastAsia="Times New Roman"/>
            </w:rPr>
            <w:t xml:space="preserve"> (27.0). (2020). IBM Corp.</w:t>
          </w:r>
        </w:p>
        <w:p w14:paraId="6D4C7327" w14:textId="77777777" w:rsidR="00EC7CE1" w:rsidRDefault="00EC7CE1">
          <w:pPr>
            <w:autoSpaceDE w:val="0"/>
            <w:autoSpaceDN w:val="0"/>
            <w:ind w:hanging="480"/>
            <w:divId w:val="709502214"/>
            <w:rPr>
              <w:rFonts w:eastAsia="Times New Roman"/>
            </w:rPr>
          </w:pPr>
          <w:r>
            <w:rPr>
              <w:rFonts w:eastAsia="Times New Roman"/>
            </w:rPr>
            <w:t xml:space="preserve">Ijaz, T., Nasir, A., Sarfraz, N., &amp; Ijaz, S. (2017). Psychometric properties of Conversion Disorder Scale- Revised (CDS) for children. </w:t>
          </w:r>
          <w:r>
            <w:rPr>
              <w:rFonts w:eastAsia="Times New Roman"/>
              <w:i/>
              <w:iCs/>
            </w:rPr>
            <w:t>J Pak Med Assoc</w:t>
          </w:r>
          <w:r>
            <w:rPr>
              <w:rFonts w:eastAsia="Times New Roman"/>
            </w:rPr>
            <w:t xml:space="preserve">, </w:t>
          </w:r>
          <w:r>
            <w:rPr>
              <w:rFonts w:eastAsia="Times New Roman"/>
              <w:i/>
              <w:iCs/>
            </w:rPr>
            <w:t>67</w:t>
          </w:r>
          <w:r>
            <w:rPr>
              <w:rFonts w:eastAsia="Times New Roman"/>
            </w:rPr>
            <w:t>(5), 725–730.</w:t>
          </w:r>
        </w:p>
        <w:p w14:paraId="28EA81A0" w14:textId="77777777" w:rsidR="00EC7CE1" w:rsidRDefault="00EC7CE1">
          <w:pPr>
            <w:autoSpaceDE w:val="0"/>
            <w:autoSpaceDN w:val="0"/>
            <w:ind w:hanging="480"/>
            <w:divId w:val="1698656576"/>
            <w:rPr>
              <w:rFonts w:eastAsia="Times New Roman"/>
            </w:rPr>
          </w:pPr>
          <w:r>
            <w:rPr>
              <w:rFonts w:eastAsia="Times New Roman"/>
            </w:rPr>
            <w:t xml:space="preserve">Jackson, J. N. S., &amp; Mackillop, J. (2016a). Attention-Deficit/Hyperactivity Disorder and Monetary Delay Discounting: A Meta-Analysis of Case-Control Studies. </w:t>
          </w:r>
          <w:r>
            <w:rPr>
              <w:rFonts w:eastAsia="Times New Roman"/>
              <w:i/>
              <w:iCs/>
            </w:rPr>
            <w:t>Biological Psychiatry : Cognitive Neuroscience and Neuroimaging</w:t>
          </w:r>
          <w:r>
            <w:rPr>
              <w:rFonts w:eastAsia="Times New Roman"/>
            </w:rPr>
            <w:t xml:space="preserve">, </w:t>
          </w:r>
          <w:r>
            <w:rPr>
              <w:rFonts w:eastAsia="Times New Roman"/>
              <w:i/>
              <w:iCs/>
            </w:rPr>
            <w:t>1</w:t>
          </w:r>
          <w:r>
            <w:rPr>
              <w:rFonts w:eastAsia="Times New Roman"/>
            </w:rPr>
            <w:t>(4), 316. https://doi.org/10.1016/J.BPSC.2016.01.007</w:t>
          </w:r>
        </w:p>
        <w:p w14:paraId="477BA4AD" w14:textId="77777777" w:rsidR="00EC7CE1" w:rsidRDefault="00EC7CE1">
          <w:pPr>
            <w:autoSpaceDE w:val="0"/>
            <w:autoSpaceDN w:val="0"/>
            <w:ind w:hanging="480"/>
            <w:divId w:val="1604263203"/>
            <w:rPr>
              <w:rFonts w:eastAsia="Times New Roman"/>
            </w:rPr>
          </w:pPr>
          <w:r>
            <w:rPr>
              <w:rFonts w:eastAsia="Times New Roman"/>
            </w:rPr>
            <w:t xml:space="preserve">Jackson, J. N. S., &amp; Mackillop, J. (2016b). Attention-Deficit/Hyperactivity Disorder and Monetary Delay Discounting: A Meta-Analysis of Case-Control Studies. </w:t>
          </w:r>
          <w:r>
            <w:rPr>
              <w:rFonts w:eastAsia="Times New Roman"/>
              <w:i/>
              <w:iCs/>
            </w:rPr>
            <w:t>Biological Psychiatry: Cognitive Neuroscience and Neuroimaging</w:t>
          </w:r>
          <w:r>
            <w:rPr>
              <w:rFonts w:eastAsia="Times New Roman"/>
            </w:rPr>
            <w:t xml:space="preserve">, </w:t>
          </w:r>
          <w:r>
            <w:rPr>
              <w:rFonts w:eastAsia="Times New Roman"/>
              <w:i/>
              <w:iCs/>
            </w:rPr>
            <w:t>1</w:t>
          </w:r>
          <w:r>
            <w:rPr>
              <w:rFonts w:eastAsia="Times New Roman"/>
            </w:rPr>
            <w:t>(4), 316–325. https://doi.org/10.1016/J.BPSC.2016.01.007</w:t>
          </w:r>
        </w:p>
        <w:p w14:paraId="6D695A9C" w14:textId="77777777" w:rsidR="00EC7CE1" w:rsidRDefault="00EC7CE1">
          <w:pPr>
            <w:autoSpaceDE w:val="0"/>
            <w:autoSpaceDN w:val="0"/>
            <w:ind w:hanging="480"/>
            <w:divId w:val="1595236609"/>
            <w:rPr>
              <w:rFonts w:eastAsia="Times New Roman"/>
            </w:rPr>
          </w:pPr>
          <w:r>
            <w:rPr>
              <w:rFonts w:eastAsia="Times New Roman"/>
            </w:rPr>
            <w:t xml:space="preserve">Jacob, A. E., </w:t>
          </w:r>
          <w:proofErr w:type="spellStart"/>
          <w:r>
            <w:rPr>
              <w:rFonts w:eastAsia="Times New Roman"/>
            </w:rPr>
            <w:t>Kaelin</w:t>
          </w:r>
          <w:proofErr w:type="spellEnd"/>
          <w:r>
            <w:rPr>
              <w:rFonts w:eastAsia="Times New Roman"/>
            </w:rPr>
            <w:t xml:space="preserve">, D. L., Roach, A. R., Ziegler, C. H., &amp; </w:t>
          </w:r>
          <w:proofErr w:type="spellStart"/>
          <w:r>
            <w:rPr>
              <w:rFonts w:eastAsia="Times New Roman"/>
            </w:rPr>
            <w:t>LaFaver</w:t>
          </w:r>
          <w:proofErr w:type="spellEnd"/>
          <w:r>
            <w:rPr>
              <w:rFonts w:eastAsia="Times New Roman"/>
            </w:rPr>
            <w:t>, K. (2018). Motor Retraining (</w:t>
          </w:r>
          <w:proofErr w:type="spellStart"/>
          <w:r>
            <w:rPr>
              <w:rFonts w:eastAsia="Times New Roman"/>
            </w:rPr>
            <w:t>MoRe</w:t>
          </w:r>
          <w:proofErr w:type="spellEnd"/>
          <w:r>
            <w:rPr>
              <w:rFonts w:eastAsia="Times New Roman"/>
            </w:rPr>
            <w:t xml:space="preserve">) for Functional Movement Disorders: Outcomes From a 1-Week Multidisciplinary Rehabilitation Program. </w:t>
          </w:r>
          <w:r>
            <w:rPr>
              <w:rFonts w:eastAsia="Times New Roman"/>
              <w:i/>
              <w:iCs/>
            </w:rPr>
            <w:t>PM and R</w:t>
          </w:r>
          <w:r>
            <w:rPr>
              <w:rFonts w:eastAsia="Times New Roman"/>
            </w:rPr>
            <w:t xml:space="preserve">, </w:t>
          </w:r>
          <w:r>
            <w:rPr>
              <w:rFonts w:eastAsia="Times New Roman"/>
              <w:i/>
              <w:iCs/>
            </w:rPr>
            <w:t>10</w:t>
          </w:r>
          <w:r>
            <w:rPr>
              <w:rFonts w:eastAsia="Times New Roman"/>
            </w:rPr>
            <w:t>(11), 1164–1172. https://doi.org/10.1016/j.pmrj.2018.05.011</w:t>
          </w:r>
        </w:p>
        <w:p w14:paraId="7DC603BC" w14:textId="77777777" w:rsidR="00EC7CE1" w:rsidRDefault="00EC7CE1">
          <w:pPr>
            <w:autoSpaceDE w:val="0"/>
            <w:autoSpaceDN w:val="0"/>
            <w:ind w:hanging="480"/>
            <w:divId w:val="315839222"/>
            <w:rPr>
              <w:rFonts w:eastAsia="Times New Roman"/>
            </w:rPr>
          </w:pPr>
          <w:proofErr w:type="spellStart"/>
          <w:r>
            <w:rPr>
              <w:rFonts w:eastAsia="Times New Roman"/>
            </w:rPr>
            <w:t>Jalilianhasanpour</w:t>
          </w:r>
          <w:proofErr w:type="spellEnd"/>
          <w:r>
            <w:rPr>
              <w:rFonts w:eastAsia="Times New Roman"/>
            </w:rPr>
            <w:t xml:space="preserve">, R., Ospina, J. P., Williams, B., Mello, J., MacLean, J., Ranford, J., </w:t>
          </w:r>
          <w:proofErr w:type="spellStart"/>
          <w:r>
            <w:rPr>
              <w:rFonts w:eastAsia="Times New Roman"/>
            </w:rPr>
            <w:t>Fricchione</w:t>
          </w:r>
          <w:proofErr w:type="spellEnd"/>
          <w:r>
            <w:rPr>
              <w:rFonts w:eastAsia="Times New Roman"/>
            </w:rPr>
            <w:t xml:space="preserve">, G. L., LaFrance, W. C., &amp; Perez, D. L. (2019). Secure Attachment and Depression Predict 6-Month Outcome in Motor Functional Neurological Disorders: A Prospective Pilot Study. </w:t>
          </w:r>
          <w:r>
            <w:rPr>
              <w:rFonts w:eastAsia="Times New Roman"/>
              <w:i/>
              <w:iCs/>
            </w:rPr>
            <w:t>Psychosomatics</w:t>
          </w:r>
          <w:r>
            <w:rPr>
              <w:rFonts w:eastAsia="Times New Roman"/>
            </w:rPr>
            <w:t xml:space="preserve">, </w:t>
          </w:r>
          <w:r>
            <w:rPr>
              <w:rFonts w:eastAsia="Times New Roman"/>
              <w:i/>
              <w:iCs/>
            </w:rPr>
            <w:t>60</w:t>
          </w:r>
          <w:r>
            <w:rPr>
              <w:rFonts w:eastAsia="Times New Roman"/>
            </w:rPr>
            <w:t>(4), 365–375. https://doi.org/10.1016/J.PSYM.2018.08.004</w:t>
          </w:r>
        </w:p>
        <w:p w14:paraId="308A473F" w14:textId="77777777" w:rsidR="00EC7CE1" w:rsidRDefault="00EC7CE1">
          <w:pPr>
            <w:autoSpaceDE w:val="0"/>
            <w:autoSpaceDN w:val="0"/>
            <w:ind w:hanging="480"/>
            <w:divId w:val="1098721744"/>
            <w:rPr>
              <w:rFonts w:eastAsia="Times New Roman"/>
            </w:rPr>
          </w:pPr>
          <w:proofErr w:type="spellStart"/>
          <w:r>
            <w:rPr>
              <w:rFonts w:eastAsia="Times New Roman"/>
            </w:rPr>
            <w:t>Jalilianhasanpour</w:t>
          </w:r>
          <w:proofErr w:type="spellEnd"/>
          <w:r>
            <w:rPr>
              <w:rFonts w:eastAsia="Times New Roman"/>
            </w:rPr>
            <w:t xml:space="preserve">, R., Williams, B., Gilman, I., Burke, M. J., Glass, S., </w:t>
          </w:r>
          <w:proofErr w:type="spellStart"/>
          <w:r>
            <w:rPr>
              <w:rFonts w:eastAsia="Times New Roman"/>
            </w:rPr>
            <w:t>Fricchione</w:t>
          </w:r>
          <w:proofErr w:type="spellEnd"/>
          <w:r>
            <w:rPr>
              <w:rFonts w:eastAsia="Times New Roman"/>
            </w:rPr>
            <w:t xml:space="preserve">, G. L., </w:t>
          </w:r>
          <w:proofErr w:type="spellStart"/>
          <w:r>
            <w:rPr>
              <w:rFonts w:eastAsia="Times New Roman"/>
            </w:rPr>
            <w:t>Keshavan</w:t>
          </w:r>
          <w:proofErr w:type="spellEnd"/>
          <w:r>
            <w:rPr>
              <w:rFonts w:eastAsia="Times New Roman"/>
            </w:rPr>
            <w:t xml:space="preserve">, M. S., LaFrance Jr., W. C., &amp; Perez, D. L. (2018). Resilience linked to personality dimensions, alexithymia and affective symptoms in motor functional neurological disorders. </w:t>
          </w:r>
          <w:r>
            <w:rPr>
              <w:rFonts w:eastAsia="Times New Roman"/>
              <w:i/>
              <w:iCs/>
            </w:rPr>
            <w:t xml:space="preserve">J </w:t>
          </w:r>
          <w:proofErr w:type="spellStart"/>
          <w:r>
            <w:rPr>
              <w:rFonts w:eastAsia="Times New Roman"/>
              <w:i/>
              <w:iCs/>
            </w:rPr>
            <w:t>Psychosom</w:t>
          </w:r>
          <w:proofErr w:type="spellEnd"/>
          <w:r>
            <w:rPr>
              <w:rFonts w:eastAsia="Times New Roman"/>
              <w:i/>
              <w:iCs/>
            </w:rPr>
            <w:t xml:space="preserve"> Res</w:t>
          </w:r>
          <w:r>
            <w:rPr>
              <w:rFonts w:eastAsia="Times New Roman"/>
            </w:rPr>
            <w:t xml:space="preserve">, </w:t>
          </w:r>
          <w:r>
            <w:rPr>
              <w:rFonts w:eastAsia="Times New Roman"/>
              <w:i/>
              <w:iCs/>
            </w:rPr>
            <w:t>107</w:t>
          </w:r>
          <w:r>
            <w:rPr>
              <w:rFonts w:eastAsia="Times New Roman"/>
            </w:rPr>
            <w:t>, 55–61. https://doi.org/10.1016/j.jpsychores.2018.02.005</w:t>
          </w:r>
        </w:p>
        <w:p w14:paraId="43DC10C8" w14:textId="77777777" w:rsidR="00EC7CE1" w:rsidRDefault="00EC7CE1">
          <w:pPr>
            <w:autoSpaceDE w:val="0"/>
            <w:autoSpaceDN w:val="0"/>
            <w:ind w:hanging="480"/>
            <w:divId w:val="782773543"/>
            <w:rPr>
              <w:rFonts w:eastAsia="Times New Roman"/>
            </w:rPr>
          </w:pPr>
          <w:proofErr w:type="spellStart"/>
          <w:r>
            <w:rPr>
              <w:rFonts w:eastAsia="Times New Roman"/>
            </w:rPr>
            <w:t>Jennum</w:t>
          </w:r>
          <w:proofErr w:type="spellEnd"/>
          <w:r>
            <w:rPr>
              <w:rFonts w:eastAsia="Times New Roman"/>
            </w:rPr>
            <w:t xml:space="preserve">, P., Ibsen, R., &amp; </w:t>
          </w:r>
          <w:proofErr w:type="spellStart"/>
          <w:r>
            <w:rPr>
              <w:rFonts w:eastAsia="Times New Roman"/>
            </w:rPr>
            <w:t>Kjellberg</w:t>
          </w:r>
          <w:proofErr w:type="spellEnd"/>
          <w:r>
            <w:rPr>
              <w:rFonts w:eastAsia="Times New Roman"/>
            </w:rPr>
            <w:t xml:space="preserve">, J. (2019). Morbidity and mortality of nonepileptic seizures (NES): A controlled national study.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96</w:t>
          </w:r>
          <w:r>
            <w:rPr>
              <w:rFonts w:eastAsia="Times New Roman"/>
            </w:rPr>
            <w:t>, 229–233. https://doi.org/10.1016/J.YEBEH.2019.03.016</w:t>
          </w:r>
        </w:p>
        <w:p w14:paraId="6C7C9AC6" w14:textId="77777777" w:rsidR="00EC7CE1" w:rsidRDefault="00EC7CE1">
          <w:pPr>
            <w:autoSpaceDE w:val="0"/>
            <w:autoSpaceDN w:val="0"/>
            <w:ind w:hanging="480"/>
            <w:divId w:val="1162770044"/>
            <w:rPr>
              <w:rFonts w:eastAsia="Times New Roman"/>
            </w:rPr>
          </w:pPr>
          <w:proofErr w:type="spellStart"/>
          <w:r>
            <w:rPr>
              <w:rFonts w:eastAsia="Times New Roman"/>
            </w:rPr>
            <w:t>Jimura</w:t>
          </w:r>
          <w:proofErr w:type="spellEnd"/>
          <w:r>
            <w:rPr>
              <w:rFonts w:eastAsia="Times New Roman"/>
            </w:rPr>
            <w:t xml:space="preserve">, K., </w:t>
          </w:r>
          <w:proofErr w:type="spellStart"/>
          <w:r>
            <w:rPr>
              <w:rFonts w:eastAsia="Times New Roman"/>
            </w:rPr>
            <w:t>Chushak</w:t>
          </w:r>
          <w:proofErr w:type="spellEnd"/>
          <w:r>
            <w:rPr>
              <w:rFonts w:eastAsia="Times New Roman"/>
            </w:rPr>
            <w:t xml:space="preserve">, M. S., &amp; Braver, T. S. (2013). Impulsivity and Self-Control during Intertemporal Decision Making Linked to the Neural Dynamics of Reward Value Representation. </w:t>
          </w:r>
          <w:r>
            <w:rPr>
              <w:rFonts w:eastAsia="Times New Roman"/>
              <w:i/>
              <w:iCs/>
            </w:rPr>
            <w:t>The Journal of Neuroscience</w:t>
          </w:r>
          <w:r>
            <w:rPr>
              <w:rFonts w:eastAsia="Times New Roman"/>
            </w:rPr>
            <w:t xml:space="preserve">, </w:t>
          </w:r>
          <w:r>
            <w:rPr>
              <w:rFonts w:eastAsia="Times New Roman"/>
              <w:i/>
              <w:iCs/>
            </w:rPr>
            <w:t>33</w:t>
          </w:r>
          <w:r>
            <w:rPr>
              <w:rFonts w:eastAsia="Times New Roman"/>
            </w:rPr>
            <w:t>(1), 344. https://doi.org/10.1523/JNEUROSCI.0919-12.2013</w:t>
          </w:r>
        </w:p>
        <w:p w14:paraId="034AA122" w14:textId="77777777" w:rsidR="00EC7CE1" w:rsidRDefault="00EC7CE1">
          <w:pPr>
            <w:autoSpaceDE w:val="0"/>
            <w:autoSpaceDN w:val="0"/>
            <w:ind w:hanging="480"/>
            <w:divId w:val="285046240"/>
            <w:rPr>
              <w:rFonts w:eastAsia="Times New Roman"/>
            </w:rPr>
          </w:pPr>
          <w:r>
            <w:rPr>
              <w:rFonts w:eastAsia="Times New Roman"/>
            </w:rPr>
            <w:t xml:space="preserve">Johansson, P., Hall, L., </w:t>
          </w:r>
          <w:proofErr w:type="spellStart"/>
          <w:r>
            <w:rPr>
              <w:rFonts w:eastAsia="Times New Roman"/>
            </w:rPr>
            <w:t>Sikström</w:t>
          </w:r>
          <w:proofErr w:type="spellEnd"/>
          <w:r>
            <w:rPr>
              <w:rFonts w:eastAsia="Times New Roman"/>
            </w:rPr>
            <w:t xml:space="preserve">, S., </w:t>
          </w:r>
          <w:proofErr w:type="spellStart"/>
          <w:r>
            <w:rPr>
              <w:rFonts w:eastAsia="Times New Roman"/>
            </w:rPr>
            <w:t>Tärning</w:t>
          </w:r>
          <w:proofErr w:type="spellEnd"/>
          <w:r>
            <w:rPr>
              <w:rFonts w:eastAsia="Times New Roman"/>
            </w:rPr>
            <w:t xml:space="preserve">, B., &amp; Lind, A. (2006). How something can be said about telling more than we can know: on choice blindness and </w:t>
          </w:r>
          <w:r>
            <w:rPr>
              <w:rFonts w:eastAsia="Times New Roman"/>
            </w:rPr>
            <w:lastRenderedPageBreak/>
            <w:t xml:space="preserve">introspection. </w:t>
          </w:r>
          <w:r>
            <w:rPr>
              <w:rFonts w:eastAsia="Times New Roman"/>
              <w:i/>
              <w:iCs/>
            </w:rPr>
            <w:t xml:space="preserve">Conscious </w:t>
          </w:r>
          <w:proofErr w:type="spellStart"/>
          <w:r>
            <w:rPr>
              <w:rFonts w:eastAsia="Times New Roman"/>
              <w:i/>
              <w:iCs/>
            </w:rPr>
            <w:t>Cogn</w:t>
          </w:r>
          <w:proofErr w:type="spellEnd"/>
          <w:r>
            <w:rPr>
              <w:rFonts w:eastAsia="Times New Roman"/>
            </w:rPr>
            <w:t xml:space="preserve">, </w:t>
          </w:r>
          <w:r>
            <w:rPr>
              <w:rFonts w:eastAsia="Times New Roman"/>
              <w:i/>
              <w:iCs/>
            </w:rPr>
            <w:t>15</w:t>
          </w:r>
          <w:r>
            <w:rPr>
              <w:rFonts w:eastAsia="Times New Roman"/>
            </w:rPr>
            <w:t>(4), 673–692; discussion 693-9. https://doi.org/10.1016/j.concog.2006.09.004</w:t>
          </w:r>
        </w:p>
        <w:p w14:paraId="61144AEC" w14:textId="77777777" w:rsidR="00EC7CE1" w:rsidRDefault="00EC7CE1">
          <w:pPr>
            <w:autoSpaceDE w:val="0"/>
            <w:autoSpaceDN w:val="0"/>
            <w:ind w:hanging="480"/>
            <w:divId w:val="936140348"/>
            <w:rPr>
              <w:rFonts w:eastAsia="Times New Roman"/>
            </w:rPr>
          </w:pPr>
          <w:r>
            <w:rPr>
              <w:rFonts w:eastAsia="Times New Roman"/>
            </w:rPr>
            <w:t xml:space="preserve">Jones, A. T., O’Connell, N. K., &amp; David, A. S. (2020). Epidemiology of functional stroke mimic patients: a systematic review and meta-analysis. </w:t>
          </w:r>
          <w:r>
            <w:rPr>
              <w:rFonts w:eastAsia="Times New Roman"/>
              <w:i/>
              <w:iCs/>
            </w:rPr>
            <w:t>European Journal of Neurology</w:t>
          </w:r>
          <w:r>
            <w:rPr>
              <w:rFonts w:eastAsia="Times New Roman"/>
            </w:rPr>
            <w:t xml:space="preserve">, </w:t>
          </w:r>
          <w:r>
            <w:rPr>
              <w:rFonts w:eastAsia="Times New Roman"/>
              <w:i/>
              <w:iCs/>
            </w:rPr>
            <w:t>27</w:t>
          </w:r>
          <w:r>
            <w:rPr>
              <w:rFonts w:eastAsia="Times New Roman"/>
            </w:rPr>
            <w:t>(1), 18–26. https://doi.org/10.1111/ENE.14069</w:t>
          </w:r>
        </w:p>
        <w:p w14:paraId="628B3B11" w14:textId="77777777" w:rsidR="00EC7CE1" w:rsidRDefault="00EC7CE1">
          <w:pPr>
            <w:autoSpaceDE w:val="0"/>
            <w:autoSpaceDN w:val="0"/>
            <w:ind w:hanging="480"/>
            <w:divId w:val="917982431"/>
            <w:rPr>
              <w:rFonts w:eastAsia="Times New Roman"/>
            </w:rPr>
          </w:pPr>
          <w:proofErr w:type="spellStart"/>
          <w:r>
            <w:rPr>
              <w:rFonts w:eastAsia="Times New Roman"/>
            </w:rPr>
            <w:t>Joormann</w:t>
          </w:r>
          <w:proofErr w:type="spellEnd"/>
          <w:r>
            <w:rPr>
              <w:rFonts w:eastAsia="Times New Roman"/>
            </w:rPr>
            <w:t xml:space="preserve">, J. (2004). Attentional bias in dysphoria: The role of inhibitory processes. </w:t>
          </w:r>
          <w:r>
            <w:rPr>
              <w:rFonts w:eastAsia="Times New Roman"/>
              <w:i/>
              <w:iCs/>
            </w:rPr>
            <w:t>Cognition &amp; Emotion</w:t>
          </w:r>
          <w:r>
            <w:rPr>
              <w:rFonts w:eastAsia="Times New Roman"/>
            </w:rPr>
            <w:t xml:space="preserve">, </w:t>
          </w:r>
          <w:r>
            <w:rPr>
              <w:rFonts w:eastAsia="Times New Roman"/>
              <w:i/>
              <w:iCs/>
            </w:rPr>
            <w:t>18</w:t>
          </w:r>
          <w:r>
            <w:rPr>
              <w:rFonts w:eastAsia="Times New Roman"/>
            </w:rPr>
            <w:t>(1), 125–147. https://doi.org/10.1080/02699930244000480</w:t>
          </w:r>
        </w:p>
        <w:p w14:paraId="1265EB46" w14:textId="77777777" w:rsidR="00EC7CE1" w:rsidRDefault="00EC7CE1">
          <w:pPr>
            <w:autoSpaceDE w:val="0"/>
            <w:autoSpaceDN w:val="0"/>
            <w:ind w:hanging="480"/>
            <w:divId w:val="565146475"/>
            <w:rPr>
              <w:rFonts w:eastAsia="Times New Roman"/>
            </w:rPr>
          </w:pPr>
          <w:proofErr w:type="spellStart"/>
          <w:r>
            <w:rPr>
              <w:rFonts w:eastAsia="Times New Roman"/>
            </w:rPr>
            <w:t>Joormann</w:t>
          </w:r>
          <w:proofErr w:type="spellEnd"/>
          <w:r>
            <w:rPr>
              <w:rFonts w:eastAsia="Times New Roman"/>
            </w:rPr>
            <w:t xml:space="preserve">, J. (2010). Cognitive inhibition and emotion regulation in depression. </w:t>
          </w:r>
          <w:r>
            <w:rPr>
              <w:rFonts w:eastAsia="Times New Roman"/>
              <w:i/>
              <w:iCs/>
            </w:rPr>
            <w:t>Current Directions in Psychological Science</w:t>
          </w:r>
          <w:r>
            <w:rPr>
              <w:rFonts w:eastAsia="Times New Roman"/>
            </w:rPr>
            <w:t xml:space="preserve">, </w:t>
          </w:r>
          <w:r>
            <w:rPr>
              <w:rFonts w:eastAsia="Times New Roman"/>
              <w:i/>
              <w:iCs/>
            </w:rPr>
            <w:t>19</w:t>
          </w:r>
          <w:r>
            <w:rPr>
              <w:rFonts w:eastAsia="Times New Roman"/>
            </w:rPr>
            <w:t>(3), 161–166. https://doi.org/10.1177/0963721410370293</w:t>
          </w:r>
        </w:p>
        <w:p w14:paraId="6AFF85B6" w14:textId="77777777" w:rsidR="00EC7CE1" w:rsidRDefault="00EC7CE1">
          <w:pPr>
            <w:autoSpaceDE w:val="0"/>
            <w:autoSpaceDN w:val="0"/>
            <w:ind w:hanging="480"/>
            <w:divId w:val="218446328"/>
            <w:rPr>
              <w:rFonts w:eastAsia="Times New Roman"/>
            </w:rPr>
          </w:pPr>
          <w:proofErr w:type="spellStart"/>
          <w:r>
            <w:rPr>
              <w:rFonts w:eastAsia="Times New Roman"/>
            </w:rPr>
            <w:t>Jungilligens</w:t>
          </w:r>
          <w:proofErr w:type="spellEnd"/>
          <w:r>
            <w:rPr>
              <w:rFonts w:eastAsia="Times New Roman"/>
            </w:rPr>
            <w:t xml:space="preserve">, J., Michaelis, R., &amp; </w:t>
          </w:r>
          <w:proofErr w:type="spellStart"/>
          <w:r>
            <w:rPr>
              <w:rFonts w:eastAsia="Times New Roman"/>
            </w:rPr>
            <w:t>Popkirov</w:t>
          </w:r>
          <w:proofErr w:type="spellEnd"/>
          <w:r>
            <w:rPr>
              <w:rFonts w:eastAsia="Times New Roman"/>
            </w:rPr>
            <w:t xml:space="preserve">, S. (2021). Original research: Misdiagnosis of prolonged psychogenic non-epileptic seizures as status epilepticus: epidemiology and associated risks. </w:t>
          </w:r>
          <w:r>
            <w:rPr>
              <w:rFonts w:eastAsia="Times New Roman"/>
              <w:i/>
              <w:iCs/>
            </w:rPr>
            <w:t>Journal of Neurology, Neurosurgery, and Psychiatry</w:t>
          </w:r>
          <w:r>
            <w:rPr>
              <w:rFonts w:eastAsia="Times New Roman"/>
            </w:rPr>
            <w:t xml:space="preserve">, </w:t>
          </w:r>
          <w:r>
            <w:rPr>
              <w:rFonts w:eastAsia="Times New Roman"/>
              <w:i/>
              <w:iCs/>
            </w:rPr>
            <w:t>92</w:t>
          </w:r>
          <w:r>
            <w:rPr>
              <w:rFonts w:eastAsia="Times New Roman"/>
            </w:rPr>
            <w:t>(12), 1341. https://doi.org/10.1136/JNNP-2021-326443</w:t>
          </w:r>
        </w:p>
        <w:p w14:paraId="67B99A8A" w14:textId="77777777" w:rsidR="00EC7CE1" w:rsidRDefault="00EC7CE1">
          <w:pPr>
            <w:autoSpaceDE w:val="0"/>
            <w:autoSpaceDN w:val="0"/>
            <w:ind w:hanging="480"/>
            <w:divId w:val="1927615200"/>
            <w:rPr>
              <w:rFonts w:eastAsia="Times New Roman"/>
            </w:rPr>
          </w:pPr>
          <w:r>
            <w:rPr>
              <w:rFonts w:eastAsia="Times New Roman"/>
            </w:rPr>
            <w:t xml:space="preserve">Kabat-Zinn, J. (2003). Mindfulness-based interventions in context: Past, present, and future. </w:t>
          </w:r>
          <w:r>
            <w:rPr>
              <w:rFonts w:eastAsia="Times New Roman"/>
              <w:i/>
              <w:iCs/>
            </w:rPr>
            <w:t>Clinical Psychology: Science and Practice</w:t>
          </w:r>
          <w:r>
            <w:rPr>
              <w:rFonts w:eastAsia="Times New Roman"/>
            </w:rPr>
            <w:t xml:space="preserve">, </w:t>
          </w:r>
          <w:r>
            <w:rPr>
              <w:rFonts w:eastAsia="Times New Roman"/>
              <w:i/>
              <w:iCs/>
            </w:rPr>
            <w:t>10</w:t>
          </w:r>
          <w:r>
            <w:rPr>
              <w:rFonts w:eastAsia="Times New Roman"/>
            </w:rPr>
            <w:t>(2), 144–156. https://doi.org/10.1093/CLIPSY.BPG016</w:t>
          </w:r>
        </w:p>
        <w:p w14:paraId="566A910C" w14:textId="77777777" w:rsidR="00EC7CE1" w:rsidRDefault="00EC7CE1">
          <w:pPr>
            <w:autoSpaceDE w:val="0"/>
            <w:autoSpaceDN w:val="0"/>
            <w:ind w:hanging="480"/>
            <w:divId w:val="885600946"/>
            <w:rPr>
              <w:rFonts w:eastAsia="Times New Roman"/>
            </w:rPr>
          </w:pPr>
          <w:r>
            <w:rPr>
              <w:rFonts w:eastAsia="Times New Roman"/>
            </w:rPr>
            <w:t xml:space="preserve">Kaggwa, M. M., </w:t>
          </w:r>
          <w:proofErr w:type="spellStart"/>
          <w:r>
            <w:rPr>
              <w:rFonts w:eastAsia="Times New Roman"/>
            </w:rPr>
            <w:t>Najjuka</w:t>
          </w:r>
          <w:proofErr w:type="spellEnd"/>
          <w:r>
            <w:rPr>
              <w:rFonts w:eastAsia="Times New Roman"/>
            </w:rPr>
            <w:t xml:space="preserve">, S. M., Mamun, M. A., Griffiths, M. D., </w:t>
          </w:r>
          <w:proofErr w:type="spellStart"/>
          <w:r>
            <w:rPr>
              <w:rFonts w:eastAsia="Times New Roman"/>
            </w:rPr>
            <w:t>Nyemara</w:t>
          </w:r>
          <w:proofErr w:type="spellEnd"/>
          <w:r>
            <w:rPr>
              <w:rFonts w:eastAsia="Times New Roman"/>
            </w:rPr>
            <w:t xml:space="preserve">, N., &amp; </w:t>
          </w:r>
          <w:proofErr w:type="spellStart"/>
          <w:r>
            <w:rPr>
              <w:rFonts w:eastAsia="Times New Roman"/>
            </w:rPr>
            <w:t>Ashaba</w:t>
          </w:r>
          <w:proofErr w:type="spellEnd"/>
          <w:r>
            <w:rPr>
              <w:rFonts w:eastAsia="Times New Roman"/>
            </w:rPr>
            <w:t xml:space="preserve">, S. (2023). Involvement and burden of informal caregivers of patients with mental illness: the mediating role of affiliated stigma. </w:t>
          </w:r>
          <w:r>
            <w:rPr>
              <w:rFonts w:eastAsia="Times New Roman"/>
              <w:i/>
              <w:iCs/>
            </w:rPr>
            <w:t>BMC Psychiatry</w:t>
          </w:r>
          <w:r>
            <w:rPr>
              <w:rFonts w:eastAsia="Times New Roman"/>
            </w:rPr>
            <w:t xml:space="preserve">, </w:t>
          </w:r>
          <w:r>
            <w:rPr>
              <w:rFonts w:eastAsia="Times New Roman"/>
              <w:i/>
              <w:iCs/>
            </w:rPr>
            <w:t>23</w:t>
          </w:r>
          <w:r>
            <w:rPr>
              <w:rFonts w:eastAsia="Times New Roman"/>
            </w:rPr>
            <w:t>(1), 1–9. https://doi.org/10.1186/S12888-023-04553-X/TABLES/4</w:t>
          </w:r>
        </w:p>
        <w:p w14:paraId="514B6F4C" w14:textId="77777777" w:rsidR="00EC7CE1" w:rsidRDefault="00EC7CE1">
          <w:pPr>
            <w:autoSpaceDE w:val="0"/>
            <w:autoSpaceDN w:val="0"/>
            <w:ind w:hanging="480"/>
            <w:divId w:val="1813136028"/>
            <w:rPr>
              <w:rFonts w:eastAsia="Times New Roman"/>
            </w:rPr>
          </w:pPr>
          <w:r>
            <w:rPr>
              <w:rFonts w:eastAsia="Times New Roman"/>
            </w:rPr>
            <w:t xml:space="preserve">Kaiser, H. F. (1960). The application of electronic computers to factor analysis. </w:t>
          </w:r>
          <w:r>
            <w:rPr>
              <w:rFonts w:eastAsia="Times New Roman"/>
              <w:i/>
              <w:iCs/>
            </w:rPr>
            <w:t>Educational and Psychological Measurement</w:t>
          </w:r>
          <w:r>
            <w:rPr>
              <w:rFonts w:eastAsia="Times New Roman"/>
            </w:rPr>
            <w:t xml:space="preserve">, </w:t>
          </w:r>
          <w:r>
            <w:rPr>
              <w:rFonts w:eastAsia="Times New Roman"/>
              <w:i/>
              <w:iCs/>
            </w:rPr>
            <w:t>20</w:t>
          </w:r>
          <w:r>
            <w:rPr>
              <w:rFonts w:eastAsia="Times New Roman"/>
            </w:rPr>
            <w:t>, 141–151. https://doi.org/10.1177/001316446002000116</w:t>
          </w:r>
        </w:p>
        <w:p w14:paraId="55F98CB3" w14:textId="77777777" w:rsidR="00EC7CE1" w:rsidRDefault="00EC7CE1">
          <w:pPr>
            <w:autoSpaceDE w:val="0"/>
            <w:autoSpaceDN w:val="0"/>
            <w:ind w:hanging="480"/>
            <w:divId w:val="2046252226"/>
            <w:rPr>
              <w:rFonts w:eastAsia="Times New Roman"/>
            </w:rPr>
          </w:pPr>
          <w:r>
            <w:rPr>
              <w:rFonts w:eastAsia="Times New Roman"/>
            </w:rPr>
            <w:t xml:space="preserve">Kaiser, H. F. (1970). A second generation little jiffy. </w:t>
          </w:r>
          <w:r>
            <w:rPr>
              <w:rFonts w:eastAsia="Times New Roman"/>
              <w:i/>
              <w:iCs/>
            </w:rPr>
            <w:t>Psychometrika</w:t>
          </w:r>
          <w:r>
            <w:rPr>
              <w:rFonts w:eastAsia="Times New Roman"/>
            </w:rPr>
            <w:t xml:space="preserve">, </w:t>
          </w:r>
          <w:r>
            <w:rPr>
              <w:rFonts w:eastAsia="Times New Roman"/>
              <w:i/>
              <w:iCs/>
            </w:rPr>
            <w:t>35</w:t>
          </w:r>
          <w:r>
            <w:rPr>
              <w:rFonts w:eastAsia="Times New Roman"/>
            </w:rPr>
            <w:t>(4), 401–415. https://doi.org/10.1007/BF02291817</w:t>
          </w:r>
        </w:p>
        <w:p w14:paraId="6197A3EA" w14:textId="77777777" w:rsidR="00EC7CE1" w:rsidRDefault="00EC7CE1">
          <w:pPr>
            <w:autoSpaceDE w:val="0"/>
            <w:autoSpaceDN w:val="0"/>
            <w:ind w:hanging="480"/>
            <w:divId w:val="675575848"/>
            <w:rPr>
              <w:rFonts w:eastAsia="Times New Roman"/>
            </w:rPr>
          </w:pPr>
          <w:r>
            <w:rPr>
              <w:rFonts w:eastAsia="Times New Roman"/>
            </w:rPr>
            <w:t xml:space="preserve">Kanaan, R. A., Carson, A., </w:t>
          </w:r>
          <w:proofErr w:type="spellStart"/>
          <w:r>
            <w:rPr>
              <w:rFonts w:eastAsia="Times New Roman"/>
            </w:rPr>
            <w:t>Wessely</w:t>
          </w:r>
          <w:proofErr w:type="spellEnd"/>
          <w:r>
            <w:rPr>
              <w:rFonts w:eastAsia="Times New Roman"/>
            </w:rPr>
            <w:t xml:space="preserve">, S. C., Nicholson, T. R., </w:t>
          </w:r>
          <w:proofErr w:type="spellStart"/>
          <w:r>
            <w:rPr>
              <w:rFonts w:eastAsia="Times New Roman"/>
            </w:rPr>
            <w:t>Aybek</w:t>
          </w:r>
          <w:proofErr w:type="spellEnd"/>
          <w:r>
            <w:rPr>
              <w:rFonts w:eastAsia="Times New Roman"/>
            </w:rPr>
            <w:t xml:space="preserve">, S., &amp; David, A. S. (2010). What’s so special about conversion disorder? A problem and a proposal for diagnostic classification. In </w:t>
          </w:r>
          <w:r>
            <w:rPr>
              <w:rFonts w:eastAsia="Times New Roman"/>
              <w:i/>
              <w:iCs/>
            </w:rPr>
            <w:t>Br J Psychiatry</w:t>
          </w:r>
          <w:r>
            <w:rPr>
              <w:rFonts w:eastAsia="Times New Roman"/>
            </w:rPr>
            <w:t xml:space="preserve"> (Vol. 196, Issue 6, pp. 427–428). https://doi.org/10.1192/bjp.bp.109.073981</w:t>
          </w:r>
        </w:p>
        <w:p w14:paraId="11782FA3" w14:textId="77777777" w:rsidR="00EC7CE1" w:rsidRDefault="00EC7CE1">
          <w:pPr>
            <w:autoSpaceDE w:val="0"/>
            <w:autoSpaceDN w:val="0"/>
            <w:ind w:hanging="480"/>
            <w:divId w:val="1031302108"/>
            <w:rPr>
              <w:rFonts w:eastAsia="Times New Roman"/>
            </w:rPr>
          </w:pPr>
          <w:proofErr w:type="spellStart"/>
          <w:r>
            <w:rPr>
              <w:rFonts w:eastAsia="Times New Roman"/>
            </w:rPr>
            <w:t>Karakis</w:t>
          </w:r>
          <w:proofErr w:type="spellEnd"/>
          <w:r>
            <w:rPr>
              <w:rFonts w:eastAsia="Times New Roman"/>
            </w:rPr>
            <w:t xml:space="preserve">, I., </w:t>
          </w:r>
          <w:proofErr w:type="spellStart"/>
          <w:r>
            <w:rPr>
              <w:rFonts w:eastAsia="Times New Roman"/>
            </w:rPr>
            <w:t>Janocko</w:t>
          </w:r>
          <w:proofErr w:type="spellEnd"/>
          <w:r>
            <w:rPr>
              <w:rFonts w:eastAsia="Times New Roman"/>
            </w:rPr>
            <w:t xml:space="preserve">, N. J., Morton, M. L., Groover, O., Teagarden, D. L., Villarreal, H. K., Loring, D. W., &amp; </w:t>
          </w:r>
          <w:proofErr w:type="spellStart"/>
          <w:r>
            <w:rPr>
              <w:rFonts w:eastAsia="Times New Roman"/>
            </w:rPr>
            <w:t>Drane</w:t>
          </w:r>
          <w:proofErr w:type="spellEnd"/>
          <w:r>
            <w:rPr>
              <w:rFonts w:eastAsia="Times New Roman"/>
            </w:rPr>
            <w:t xml:space="preserve">, D. L. (2020). Stigma in psychogenic nonepileptic </w:t>
          </w:r>
          <w:r>
            <w:rPr>
              <w:rFonts w:eastAsia="Times New Roman"/>
            </w:rPr>
            <w:lastRenderedPageBreak/>
            <w:t xml:space="preserve">seizures.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111</w:t>
          </w:r>
          <w:r>
            <w:rPr>
              <w:rFonts w:eastAsia="Times New Roman"/>
            </w:rPr>
            <w:t>. https://doi.org/10.1016/J.YEBEH.2020.107269</w:t>
          </w:r>
        </w:p>
        <w:p w14:paraId="4AC83BB5" w14:textId="77777777" w:rsidR="00EC7CE1" w:rsidRDefault="00EC7CE1">
          <w:pPr>
            <w:autoSpaceDE w:val="0"/>
            <w:autoSpaceDN w:val="0"/>
            <w:ind w:hanging="480"/>
            <w:divId w:val="2021614242"/>
            <w:rPr>
              <w:rFonts w:eastAsia="Times New Roman"/>
            </w:rPr>
          </w:pPr>
          <w:r>
            <w:rPr>
              <w:rFonts w:eastAsia="Times New Roman"/>
            </w:rPr>
            <w:t xml:space="preserve">Kemp, S., </w:t>
          </w:r>
          <w:proofErr w:type="spellStart"/>
          <w:r>
            <w:rPr>
              <w:rFonts w:eastAsia="Times New Roman"/>
            </w:rPr>
            <w:t>Kapur</w:t>
          </w:r>
          <w:proofErr w:type="spellEnd"/>
          <w:r>
            <w:rPr>
              <w:rFonts w:eastAsia="Times New Roman"/>
            </w:rPr>
            <w:t xml:space="preserve">, N., Graham, C. D., &amp; Reuber, M. (2022). Functional Cognitive Disorder: Differential Diagnosis of Common Clinical Presentations. </w:t>
          </w:r>
          <w:r>
            <w:rPr>
              <w:rFonts w:eastAsia="Times New Roman"/>
              <w:i/>
              <w:iCs/>
            </w:rPr>
            <w:t>Archives of Clinical Neuropsychology : The Official Journal of the National Academy of Neuropsychologists</w:t>
          </w:r>
          <w:r>
            <w:rPr>
              <w:rFonts w:eastAsia="Times New Roman"/>
            </w:rPr>
            <w:t xml:space="preserve">, </w:t>
          </w:r>
          <w:r>
            <w:rPr>
              <w:rFonts w:eastAsia="Times New Roman"/>
              <w:i/>
              <w:iCs/>
            </w:rPr>
            <w:t>37</w:t>
          </w:r>
          <w:r>
            <w:rPr>
              <w:rFonts w:eastAsia="Times New Roman"/>
            </w:rPr>
            <w:t>(6), 1158–1176. https://doi.org/10.1093/ARCLIN/ACAC020</w:t>
          </w:r>
        </w:p>
        <w:p w14:paraId="7EA77122" w14:textId="77777777" w:rsidR="00EC7CE1" w:rsidRDefault="00EC7CE1">
          <w:pPr>
            <w:autoSpaceDE w:val="0"/>
            <w:autoSpaceDN w:val="0"/>
            <w:ind w:hanging="480"/>
            <w:divId w:val="124936591"/>
            <w:rPr>
              <w:rFonts w:eastAsia="Times New Roman"/>
            </w:rPr>
          </w:pPr>
          <w:proofErr w:type="spellStart"/>
          <w:r>
            <w:rPr>
              <w:rFonts w:eastAsia="Times New Roman"/>
            </w:rPr>
            <w:t>Keynejad</w:t>
          </w:r>
          <w:proofErr w:type="spellEnd"/>
          <w:r>
            <w:rPr>
              <w:rFonts w:eastAsia="Times New Roman"/>
            </w:rPr>
            <w:t xml:space="preserve">, R. C., </w:t>
          </w:r>
          <w:proofErr w:type="spellStart"/>
          <w:r>
            <w:rPr>
              <w:rFonts w:eastAsia="Times New Roman"/>
            </w:rPr>
            <w:t>Fenby</w:t>
          </w:r>
          <w:proofErr w:type="spellEnd"/>
          <w:r>
            <w:rPr>
              <w:rFonts w:eastAsia="Times New Roman"/>
            </w:rPr>
            <w:t xml:space="preserve">, E., Pick, S., Moss-Morris, R., Hirsch, C., Chalder, T., Hughes, A. M., &amp; Nicholson, T. R. (2020). Attentional Processing and Interpretative Bias in Functional Neurological Disorder. </w:t>
          </w:r>
          <w:r>
            <w:rPr>
              <w:rFonts w:eastAsia="Times New Roman"/>
              <w:i/>
              <w:iCs/>
            </w:rPr>
            <w:t>Psychosomatic Medicine</w:t>
          </w:r>
          <w:r>
            <w:rPr>
              <w:rFonts w:eastAsia="Times New Roman"/>
            </w:rPr>
            <w:t xml:space="preserve">, </w:t>
          </w:r>
          <w:r>
            <w:rPr>
              <w:rFonts w:eastAsia="Times New Roman"/>
              <w:i/>
              <w:iCs/>
            </w:rPr>
            <w:t>82</w:t>
          </w:r>
          <w:r>
            <w:rPr>
              <w:rFonts w:eastAsia="Times New Roman"/>
            </w:rPr>
            <w:t>(6), 586–592. https://doi.org/10.1097/PSY.0000000000000821</w:t>
          </w:r>
        </w:p>
        <w:p w14:paraId="78AC1225" w14:textId="77777777" w:rsidR="00EC7CE1" w:rsidRDefault="00EC7CE1">
          <w:pPr>
            <w:autoSpaceDE w:val="0"/>
            <w:autoSpaceDN w:val="0"/>
            <w:ind w:hanging="480"/>
            <w:divId w:val="1227716816"/>
            <w:rPr>
              <w:rFonts w:eastAsia="Times New Roman"/>
            </w:rPr>
          </w:pPr>
          <w:proofErr w:type="spellStart"/>
          <w:r>
            <w:rPr>
              <w:rFonts w:eastAsia="Times New Roman"/>
            </w:rPr>
            <w:t>Keynejad</w:t>
          </w:r>
          <w:proofErr w:type="spellEnd"/>
          <w:r>
            <w:rPr>
              <w:rFonts w:eastAsia="Times New Roman"/>
            </w:rPr>
            <w:t xml:space="preserve">, R. C., </w:t>
          </w:r>
          <w:proofErr w:type="spellStart"/>
          <w:r>
            <w:rPr>
              <w:rFonts w:eastAsia="Times New Roman"/>
            </w:rPr>
            <w:t>Frodl</w:t>
          </w:r>
          <w:proofErr w:type="spellEnd"/>
          <w:r>
            <w:rPr>
              <w:rFonts w:eastAsia="Times New Roman"/>
            </w:rPr>
            <w:t xml:space="preserve">, T., Kanaan, R., </w:t>
          </w:r>
          <w:proofErr w:type="spellStart"/>
          <w:r>
            <w:rPr>
              <w:rFonts w:eastAsia="Times New Roman"/>
            </w:rPr>
            <w:t>Pariante</w:t>
          </w:r>
          <w:proofErr w:type="spellEnd"/>
          <w:r>
            <w:rPr>
              <w:rFonts w:eastAsia="Times New Roman"/>
            </w:rPr>
            <w:t xml:space="preserve">, C., Reuber, M., &amp; Nicholson, T. R. (2019). Stress and functional neurological disorders: mechanistic insights. </w:t>
          </w:r>
          <w:r>
            <w:rPr>
              <w:rFonts w:eastAsia="Times New Roman"/>
              <w:i/>
              <w:iCs/>
            </w:rPr>
            <w:t>Journal of Neurology, Neurosurgery &amp; Psychiatry</w:t>
          </w:r>
          <w:r>
            <w:rPr>
              <w:rFonts w:eastAsia="Times New Roman"/>
            </w:rPr>
            <w:t xml:space="preserve">, </w:t>
          </w:r>
          <w:r>
            <w:rPr>
              <w:rFonts w:eastAsia="Times New Roman"/>
              <w:i/>
              <w:iCs/>
            </w:rPr>
            <w:t>90</w:t>
          </w:r>
          <w:r>
            <w:rPr>
              <w:rFonts w:eastAsia="Times New Roman"/>
            </w:rPr>
            <w:t>(7), 813–821. https://doi.org/10.1136/JNNP-2018-318297</w:t>
          </w:r>
        </w:p>
        <w:p w14:paraId="7C410BC0" w14:textId="77777777" w:rsidR="00EC7CE1" w:rsidRDefault="00EC7CE1">
          <w:pPr>
            <w:autoSpaceDE w:val="0"/>
            <w:autoSpaceDN w:val="0"/>
            <w:ind w:hanging="480"/>
            <w:divId w:val="1870606736"/>
            <w:rPr>
              <w:rFonts w:eastAsia="Times New Roman"/>
            </w:rPr>
          </w:pPr>
          <w:proofErr w:type="spellStart"/>
          <w:r>
            <w:rPr>
              <w:rFonts w:eastAsia="Times New Roman"/>
            </w:rPr>
            <w:t>Kienle</w:t>
          </w:r>
          <w:proofErr w:type="spellEnd"/>
          <w:r>
            <w:rPr>
              <w:rFonts w:eastAsia="Times New Roman"/>
            </w:rPr>
            <w:t xml:space="preserve">, J., </w:t>
          </w:r>
          <w:proofErr w:type="spellStart"/>
          <w:r>
            <w:rPr>
              <w:rFonts w:eastAsia="Times New Roman"/>
            </w:rPr>
            <w:t>Rockstroh</w:t>
          </w:r>
          <w:proofErr w:type="spellEnd"/>
          <w:r>
            <w:rPr>
              <w:rFonts w:eastAsia="Times New Roman"/>
            </w:rPr>
            <w:t xml:space="preserve">, B., </w:t>
          </w:r>
          <w:proofErr w:type="spellStart"/>
          <w:r>
            <w:rPr>
              <w:rFonts w:eastAsia="Times New Roman"/>
            </w:rPr>
            <w:t>Fiess</w:t>
          </w:r>
          <w:proofErr w:type="spellEnd"/>
          <w:r>
            <w:rPr>
              <w:rFonts w:eastAsia="Times New Roman"/>
            </w:rPr>
            <w:t xml:space="preserve">, J., Schmidt, R., Popov, T., &amp; Steffen-Klatt, A. (2018). Variation of functional neurological symptoms and emotion regulation with time. </w:t>
          </w:r>
          <w:r>
            <w:rPr>
              <w:rFonts w:eastAsia="Times New Roman"/>
              <w:i/>
              <w:iCs/>
            </w:rPr>
            <w:t>Frontiers in Psychiatry</w:t>
          </w:r>
          <w:r>
            <w:rPr>
              <w:rFonts w:eastAsia="Times New Roman"/>
            </w:rPr>
            <w:t xml:space="preserve">, </w:t>
          </w:r>
          <w:r>
            <w:rPr>
              <w:rFonts w:eastAsia="Times New Roman"/>
              <w:i/>
              <w:iCs/>
            </w:rPr>
            <w:t>9</w:t>
          </w:r>
          <w:r>
            <w:rPr>
              <w:rFonts w:eastAsia="Times New Roman"/>
            </w:rPr>
            <w:t>(FEB), 35. https://doi.org/10.3389/FPSYT.2018.00035/FULL</w:t>
          </w:r>
        </w:p>
        <w:p w14:paraId="666CBDC2" w14:textId="77777777" w:rsidR="00EC7CE1" w:rsidRDefault="00EC7CE1">
          <w:pPr>
            <w:autoSpaceDE w:val="0"/>
            <w:autoSpaceDN w:val="0"/>
            <w:ind w:hanging="480"/>
            <w:divId w:val="61297126"/>
            <w:rPr>
              <w:rFonts w:eastAsia="Times New Roman"/>
            </w:rPr>
          </w:pPr>
          <w:r>
            <w:rPr>
              <w:rFonts w:eastAsia="Times New Roman"/>
            </w:rPr>
            <w:t xml:space="preserve">Kirby, K. N. (1997). Bidding on the Future: Evidence Against Normative Discounting of Delayed Rewards. </w:t>
          </w:r>
          <w:r>
            <w:rPr>
              <w:rFonts w:eastAsia="Times New Roman"/>
              <w:i/>
              <w:iCs/>
            </w:rPr>
            <w:t>Journal of Experimental Psychology: General</w:t>
          </w:r>
          <w:r>
            <w:rPr>
              <w:rFonts w:eastAsia="Times New Roman"/>
            </w:rPr>
            <w:t xml:space="preserve">, </w:t>
          </w:r>
          <w:r>
            <w:rPr>
              <w:rFonts w:eastAsia="Times New Roman"/>
              <w:i/>
              <w:iCs/>
            </w:rPr>
            <w:t>126</w:t>
          </w:r>
          <w:r>
            <w:rPr>
              <w:rFonts w:eastAsia="Times New Roman"/>
            </w:rPr>
            <w:t>(1), 54–70. https://doi.org/10.1037/0096-3445.126.1.54</w:t>
          </w:r>
        </w:p>
        <w:p w14:paraId="74B8A2CD" w14:textId="77777777" w:rsidR="00EC7CE1" w:rsidRDefault="00EC7CE1">
          <w:pPr>
            <w:autoSpaceDE w:val="0"/>
            <w:autoSpaceDN w:val="0"/>
            <w:ind w:hanging="480"/>
            <w:divId w:val="1994530476"/>
            <w:rPr>
              <w:rFonts w:eastAsia="Times New Roman"/>
            </w:rPr>
          </w:pPr>
          <w:r>
            <w:rPr>
              <w:rFonts w:eastAsia="Times New Roman"/>
            </w:rPr>
            <w:t xml:space="preserve">Kirby, K. N., &amp; </w:t>
          </w:r>
          <w:proofErr w:type="spellStart"/>
          <w:r>
            <w:rPr>
              <w:rFonts w:eastAsia="Times New Roman"/>
            </w:rPr>
            <w:t>Maraković</w:t>
          </w:r>
          <w:proofErr w:type="spellEnd"/>
          <w:r>
            <w:rPr>
              <w:rFonts w:eastAsia="Times New Roman"/>
            </w:rPr>
            <w:t xml:space="preserve">, N. N. (1995). </w:t>
          </w:r>
          <w:proofErr w:type="spellStart"/>
          <w:r>
            <w:rPr>
              <w:rFonts w:eastAsia="Times New Roman"/>
            </w:rPr>
            <w:t>Modeling</w:t>
          </w:r>
          <w:proofErr w:type="spellEnd"/>
          <w:r>
            <w:rPr>
              <w:rFonts w:eastAsia="Times New Roman"/>
            </w:rPr>
            <w:t xml:space="preserve"> myopic decisions: Evidence for hyperbolic delay-discounting within subjects and amounts. </w:t>
          </w:r>
          <w:r>
            <w:rPr>
              <w:rFonts w:eastAsia="Times New Roman"/>
              <w:i/>
              <w:iCs/>
            </w:rPr>
            <w:t xml:space="preserve">Organizational </w:t>
          </w:r>
          <w:proofErr w:type="spellStart"/>
          <w:r>
            <w:rPr>
              <w:rFonts w:eastAsia="Times New Roman"/>
              <w:i/>
              <w:iCs/>
            </w:rPr>
            <w:t>Behavior</w:t>
          </w:r>
          <w:proofErr w:type="spellEnd"/>
          <w:r>
            <w:rPr>
              <w:rFonts w:eastAsia="Times New Roman"/>
              <w:i/>
              <w:iCs/>
            </w:rPr>
            <w:t xml:space="preserve"> and Human Decision Processes</w:t>
          </w:r>
          <w:r>
            <w:rPr>
              <w:rFonts w:eastAsia="Times New Roman"/>
            </w:rPr>
            <w:t xml:space="preserve">, </w:t>
          </w:r>
          <w:r>
            <w:rPr>
              <w:rFonts w:eastAsia="Times New Roman"/>
              <w:i/>
              <w:iCs/>
            </w:rPr>
            <w:t>64</w:t>
          </w:r>
          <w:r>
            <w:rPr>
              <w:rFonts w:eastAsia="Times New Roman"/>
            </w:rPr>
            <w:t>(1), 22–30. https://doi.org/10.1006/OBHD.1995.1086</w:t>
          </w:r>
        </w:p>
        <w:p w14:paraId="6A4A7ED1" w14:textId="77777777" w:rsidR="00EC7CE1" w:rsidRDefault="00EC7CE1">
          <w:pPr>
            <w:autoSpaceDE w:val="0"/>
            <w:autoSpaceDN w:val="0"/>
            <w:ind w:hanging="480"/>
            <w:divId w:val="744958798"/>
            <w:rPr>
              <w:rFonts w:eastAsia="Times New Roman"/>
            </w:rPr>
          </w:pPr>
          <w:r>
            <w:rPr>
              <w:rFonts w:eastAsia="Times New Roman"/>
            </w:rPr>
            <w:t xml:space="preserve">Kirby, K. N., &amp; </w:t>
          </w:r>
          <w:proofErr w:type="spellStart"/>
          <w:r>
            <w:rPr>
              <w:rFonts w:eastAsia="Times New Roman"/>
            </w:rPr>
            <w:t>Maraković</w:t>
          </w:r>
          <w:proofErr w:type="spellEnd"/>
          <w:r>
            <w:rPr>
              <w:rFonts w:eastAsia="Times New Roman"/>
            </w:rPr>
            <w:t xml:space="preserve">, N. N. (1996). Delay-discounting probabilistic rewards: Rates decrease as amounts increase. </w:t>
          </w:r>
          <w:r>
            <w:rPr>
              <w:rFonts w:eastAsia="Times New Roman"/>
              <w:i/>
              <w:iCs/>
            </w:rPr>
            <w:t>Psychonomic Bulletin and Review</w:t>
          </w:r>
          <w:r>
            <w:rPr>
              <w:rFonts w:eastAsia="Times New Roman"/>
            </w:rPr>
            <w:t xml:space="preserve">, </w:t>
          </w:r>
          <w:r>
            <w:rPr>
              <w:rFonts w:eastAsia="Times New Roman"/>
              <w:i/>
              <w:iCs/>
            </w:rPr>
            <w:t>3</w:t>
          </w:r>
          <w:r>
            <w:rPr>
              <w:rFonts w:eastAsia="Times New Roman"/>
            </w:rPr>
            <w:t>(1), 100–104. https://doi.org/10.3758/BF03210748</w:t>
          </w:r>
        </w:p>
        <w:p w14:paraId="46F00AF1" w14:textId="77777777" w:rsidR="00EC7CE1" w:rsidRDefault="00EC7CE1">
          <w:pPr>
            <w:autoSpaceDE w:val="0"/>
            <w:autoSpaceDN w:val="0"/>
            <w:ind w:hanging="480"/>
            <w:divId w:val="1925796615"/>
            <w:rPr>
              <w:rFonts w:eastAsia="Times New Roman"/>
            </w:rPr>
          </w:pPr>
          <w:proofErr w:type="spellStart"/>
          <w:r>
            <w:rPr>
              <w:rFonts w:eastAsia="Times New Roman"/>
            </w:rPr>
            <w:t>Klauer</w:t>
          </w:r>
          <w:proofErr w:type="spellEnd"/>
          <w:r>
            <w:rPr>
              <w:rFonts w:eastAsia="Times New Roman"/>
            </w:rPr>
            <w:t xml:space="preserve">, K. C., </w:t>
          </w:r>
          <w:proofErr w:type="spellStart"/>
          <w:r>
            <w:rPr>
              <w:rFonts w:eastAsia="Times New Roman"/>
            </w:rPr>
            <w:t>Musch</w:t>
          </w:r>
          <w:proofErr w:type="spellEnd"/>
          <w:r>
            <w:rPr>
              <w:rFonts w:eastAsia="Times New Roman"/>
            </w:rPr>
            <w:t xml:space="preserve">, J., </w:t>
          </w:r>
          <w:proofErr w:type="spellStart"/>
          <w:r>
            <w:rPr>
              <w:rFonts w:eastAsia="Times New Roman"/>
            </w:rPr>
            <w:t>Musch</w:t>
          </w:r>
          <w:proofErr w:type="spellEnd"/>
          <w:r>
            <w:rPr>
              <w:rFonts w:eastAsia="Times New Roman"/>
            </w:rPr>
            <w:t xml:space="preserve">, J., &amp; </w:t>
          </w:r>
          <w:proofErr w:type="spellStart"/>
          <w:r>
            <w:rPr>
              <w:rFonts w:eastAsia="Times New Roman"/>
            </w:rPr>
            <w:t>Klauer</w:t>
          </w:r>
          <w:proofErr w:type="spellEnd"/>
          <w:r>
            <w:rPr>
              <w:rFonts w:eastAsia="Times New Roman"/>
            </w:rPr>
            <w:t xml:space="preserve">, K. C. (2003). </w:t>
          </w:r>
          <w:r>
            <w:rPr>
              <w:rFonts w:eastAsia="Times New Roman"/>
              <w:i/>
              <w:iCs/>
            </w:rPr>
            <w:t>Affective priming: Findings and theories</w:t>
          </w:r>
          <w:r>
            <w:rPr>
              <w:rFonts w:eastAsia="Times New Roman"/>
            </w:rPr>
            <w:t>. https://philpapers.org/rec/KLAAPF</w:t>
          </w:r>
        </w:p>
        <w:p w14:paraId="01E0926D" w14:textId="77777777" w:rsidR="00EC7CE1" w:rsidRDefault="00EC7CE1">
          <w:pPr>
            <w:autoSpaceDE w:val="0"/>
            <w:autoSpaceDN w:val="0"/>
            <w:ind w:hanging="480"/>
            <w:divId w:val="1228616329"/>
            <w:rPr>
              <w:rFonts w:eastAsia="Times New Roman"/>
            </w:rPr>
          </w:pPr>
          <w:proofErr w:type="spellStart"/>
          <w:r>
            <w:rPr>
              <w:rFonts w:eastAsia="Times New Roman"/>
            </w:rPr>
            <w:t>Kleim</w:t>
          </w:r>
          <w:proofErr w:type="spellEnd"/>
          <w:r>
            <w:rPr>
              <w:rFonts w:eastAsia="Times New Roman"/>
            </w:rPr>
            <w:t xml:space="preserve">, B., </w:t>
          </w:r>
          <w:proofErr w:type="spellStart"/>
          <w:r>
            <w:rPr>
              <w:rFonts w:eastAsia="Times New Roman"/>
            </w:rPr>
            <w:t>Vauth</w:t>
          </w:r>
          <w:proofErr w:type="spellEnd"/>
          <w:r>
            <w:rPr>
              <w:rFonts w:eastAsia="Times New Roman"/>
            </w:rPr>
            <w:t xml:space="preserve">, R., Adam, G., Stieglitz, R. D., Hayward, P., &amp; Corrigan, P. (2008). Perceived stigma predicts low self-efficacy and poor coping in schizophrenia. </w:t>
          </w:r>
          <w:r>
            <w:rPr>
              <w:rFonts w:eastAsia="Times New Roman"/>
              <w:i/>
              <w:iCs/>
            </w:rPr>
            <w:lastRenderedPageBreak/>
            <w:t>Journal of Mental Health</w:t>
          </w:r>
          <w:r>
            <w:rPr>
              <w:rFonts w:eastAsia="Times New Roman"/>
            </w:rPr>
            <w:t xml:space="preserve">, </w:t>
          </w:r>
          <w:r>
            <w:rPr>
              <w:rFonts w:eastAsia="Times New Roman"/>
              <w:i/>
              <w:iCs/>
            </w:rPr>
            <w:t>17</w:t>
          </w:r>
          <w:r>
            <w:rPr>
              <w:rFonts w:eastAsia="Times New Roman"/>
            </w:rPr>
            <w:t>(5), 482–491. https://doi.org/10.1080/09638230701506283</w:t>
          </w:r>
        </w:p>
        <w:p w14:paraId="1F5E0F08" w14:textId="77777777" w:rsidR="00EC7CE1" w:rsidRDefault="00EC7CE1">
          <w:pPr>
            <w:autoSpaceDE w:val="0"/>
            <w:autoSpaceDN w:val="0"/>
            <w:ind w:hanging="480"/>
            <w:divId w:val="1126462950"/>
            <w:rPr>
              <w:rFonts w:eastAsia="Times New Roman"/>
            </w:rPr>
          </w:pPr>
          <w:proofErr w:type="spellStart"/>
          <w:r>
            <w:rPr>
              <w:rFonts w:eastAsia="Times New Roman"/>
            </w:rPr>
            <w:t>Kleinstäuber</w:t>
          </w:r>
          <w:proofErr w:type="spellEnd"/>
          <w:r>
            <w:rPr>
              <w:rFonts w:eastAsia="Times New Roman"/>
            </w:rPr>
            <w:t xml:space="preserve">, M., Gottschalk, J., </w:t>
          </w:r>
          <w:proofErr w:type="spellStart"/>
          <w:r>
            <w:rPr>
              <w:rFonts w:eastAsia="Times New Roman"/>
            </w:rPr>
            <w:t>Berking</w:t>
          </w:r>
          <w:proofErr w:type="spellEnd"/>
          <w:r>
            <w:rPr>
              <w:rFonts w:eastAsia="Times New Roman"/>
            </w:rPr>
            <w:t xml:space="preserve">, M., Rau, J., &amp; </w:t>
          </w:r>
          <w:proofErr w:type="spellStart"/>
          <w:r>
            <w:rPr>
              <w:rFonts w:eastAsia="Times New Roman"/>
            </w:rPr>
            <w:t>Rief</w:t>
          </w:r>
          <w:proofErr w:type="spellEnd"/>
          <w:r>
            <w:rPr>
              <w:rFonts w:eastAsia="Times New Roman"/>
            </w:rPr>
            <w:t xml:space="preserve">, W. (2016). Enriching Cognitive </w:t>
          </w:r>
          <w:proofErr w:type="spellStart"/>
          <w:r>
            <w:rPr>
              <w:rFonts w:eastAsia="Times New Roman"/>
            </w:rPr>
            <w:t>Behavior</w:t>
          </w:r>
          <w:proofErr w:type="spellEnd"/>
          <w:r>
            <w:rPr>
              <w:rFonts w:eastAsia="Times New Roman"/>
            </w:rPr>
            <w:t xml:space="preserve"> Therapy with Emotion Regulation Training for Patients with Multiple Medically Unexplained Symptoms (ENCERT): Design and implementation of a </w:t>
          </w:r>
          <w:proofErr w:type="spellStart"/>
          <w:r>
            <w:rPr>
              <w:rFonts w:eastAsia="Times New Roman"/>
            </w:rPr>
            <w:t>multicenter</w:t>
          </w:r>
          <w:proofErr w:type="spellEnd"/>
          <w:r>
            <w:rPr>
              <w:rFonts w:eastAsia="Times New Roman"/>
            </w:rPr>
            <w:t xml:space="preserve">, randomized, active-controlled trial. </w:t>
          </w:r>
          <w:r>
            <w:rPr>
              <w:rFonts w:eastAsia="Times New Roman"/>
              <w:i/>
              <w:iCs/>
            </w:rPr>
            <w:t>Contemporary Clinical Trials</w:t>
          </w:r>
          <w:r>
            <w:rPr>
              <w:rFonts w:eastAsia="Times New Roman"/>
            </w:rPr>
            <w:t xml:space="preserve">, </w:t>
          </w:r>
          <w:r>
            <w:rPr>
              <w:rFonts w:eastAsia="Times New Roman"/>
              <w:i/>
              <w:iCs/>
            </w:rPr>
            <w:t>47</w:t>
          </w:r>
          <w:r>
            <w:rPr>
              <w:rFonts w:eastAsia="Times New Roman"/>
            </w:rPr>
            <w:t>, 54–63. https://doi.org/10.1016/J.CCT.2015.12.003</w:t>
          </w:r>
        </w:p>
        <w:p w14:paraId="7673588F" w14:textId="77777777" w:rsidR="00EC7CE1" w:rsidRDefault="00EC7CE1">
          <w:pPr>
            <w:autoSpaceDE w:val="0"/>
            <w:autoSpaceDN w:val="0"/>
            <w:ind w:hanging="480"/>
            <w:divId w:val="325667562"/>
            <w:rPr>
              <w:rFonts w:eastAsia="Times New Roman"/>
            </w:rPr>
          </w:pPr>
          <w:proofErr w:type="spellStart"/>
          <w:r>
            <w:rPr>
              <w:rFonts w:eastAsia="Times New Roman"/>
            </w:rPr>
            <w:t>Kobau</w:t>
          </w:r>
          <w:proofErr w:type="spellEnd"/>
          <w:r>
            <w:rPr>
              <w:rFonts w:eastAsia="Times New Roman"/>
            </w:rPr>
            <w:t xml:space="preserve">, R., &amp; </w:t>
          </w:r>
          <w:proofErr w:type="spellStart"/>
          <w:r>
            <w:rPr>
              <w:rFonts w:eastAsia="Times New Roman"/>
            </w:rPr>
            <w:t>Dilorio</w:t>
          </w:r>
          <w:proofErr w:type="spellEnd"/>
          <w:r>
            <w:rPr>
              <w:rFonts w:eastAsia="Times New Roman"/>
            </w:rPr>
            <w:t xml:space="preserve">, C. (2003). Epilepsy self-management: A comparison of self-efficacy and outcome expectancy for medication adherence and lifestyle </w:t>
          </w:r>
          <w:proofErr w:type="spellStart"/>
          <w:r>
            <w:rPr>
              <w:rFonts w:eastAsia="Times New Roman"/>
            </w:rPr>
            <w:t>behaviors</w:t>
          </w:r>
          <w:proofErr w:type="spellEnd"/>
          <w:r>
            <w:rPr>
              <w:rFonts w:eastAsia="Times New Roman"/>
            </w:rPr>
            <w:t xml:space="preserve"> among people with epilepsy. </w:t>
          </w:r>
          <w:r>
            <w:rPr>
              <w:rFonts w:eastAsia="Times New Roman"/>
              <w:i/>
              <w:iCs/>
            </w:rPr>
            <w:t xml:space="preserve">Epilepsy and </w:t>
          </w:r>
          <w:proofErr w:type="spellStart"/>
          <w:r>
            <w:rPr>
              <w:rFonts w:eastAsia="Times New Roman"/>
              <w:i/>
              <w:iCs/>
            </w:rPr>
            <w:t>Behavior</w:t>
          </w:r>
          <w:proofErr w:type="spellEnd"/>
          <w:r>
            <w:rPr>
              <w:rFonts w:eastAsia="Times New Roman"/>
            </w:rPr>
            <w:t xml:space="preserve">, </w:t>
          </w:r>
          <w:r>
            <w:rPr>
              <w:rFonts w:eastAsia="Times New Roman"/>
              <w:i/>
              <w:iCs/>
            </w:rPr>
            <w:t>4</w:t>
          </w:r>
          <w:r>
            <w:rPr>
              <w:rFonts w:eastAsia="Times New Roman"/>
            </w:rPr>
            <w:t>(3), 217–225. https://doi.org/10.1016/S1525-5050(03)00057-X</w:t>
          </w:r>
        </w:p>
        <w:p w14:paraId="42194EB3" w14:textId="77777777" w:rsidR="00EC7CE1" w:rsidRDefault="00EC7CE1">
          <w:pPr>
            <w:autoSpaceDE w:val="0"/>
            <w:autoSpaceDN w:val="0"/>
            <w:ind w:hanging="480"/>
            <w:divId w:val="133304866"/>
            <w:rPr>
              <w:rFonts w:eastAsia="Times New Roman"/>
            </w:rPr>
          </w:pPr>
          <w:r>
            <w:rPr>
              <w:rFonts w:eastAsia="Times New Roman"/>
            </w:rPr>
            <w:t xml:space="preserve">Koerts, J., </w:t>
          </w:r>
          <w:proofErr w:type="spellStart"/>
          <w:r>
            <w:rPr>
              <w:rFonts w:eastAsia="Times New Roman"/>
            </w:rPr>
            <w:t>Tucha</w:t>
          </w:r>
          <w:proofErr w:type="spellEnd"/>
          <w:r>
            <w:rPr>
              <w:rFonts w:eastAsia="Times New Roman"/>
            </w:rPr>
            <w:t xml:space="preserve">, L., </w:t>
          </w:r>
          <w:proofErr w:type="spellStart"/>
          <w:r>
            <w:rPr>
              <w:rFonts w:eastAsia="Times New Roman"/>
            </w:rPr>
            <w:t>Leenders</w:t>
          </w:r>
          <w:proofErr w:type="spellEnd"/>
          <w:r>
            <w:rPr>
              <w:rFonts w:eastAsia="Times New Roman"/>
            </w:rPr>
            <w:t xml:space="preserve">, K. L., van </w:t>
          </w:r>
          <w:proofErr w:type="spellStart"/>
          <w:r>
            <w:rPr>
              <w:rFonts w:eastAsia="Times New Roman"/>
            </w:rPr>
            <w:t>Beilen</w:t>
          </w:r>
          <w:proofErr w:type="spellEnd"/>
          <w:r>
            <w:rPr>
              <w:rFonts w:eastAsia="Times New Roman"/>
            </w:rPr>
            <w:t xml:space="preserve">, M., Brouwer, W. H., &amp; </w:t>
          </w:r>
          <w:proofErr w:type="spellStart"/>
          <w:r>
            <w:rPr>
              <w:rFonts w:eastAsia="Times New Roman"/>
            </w:rPr>
            <w:t>Tucha</w:t>
          </w:r>
          <w:proofErr w:type="spellEnd"/>
          <w:r>
            <w:rPr>
              <w:rFonts w:eastAsia="Times New Roman"/>
            </w:rPr>
            <w:t xml:space="preserve">, O. (2011). Subjective and objective assessment of executive functions in Parkinson’s disease. </w:t>
          </w:r>
          <w:r>
            <w:rPr>
              <w:rFonts w:eastAsia="Times New Roman"/>
              <w:i/>
              <w:iCs/>
            </w:rPr>
            <w:t xml:space="preserve">J </w:t>
          </w:r>
          <w:proofErr w:type="spellStart"/>
          <w:r>
            <w:rPr>
              <w:rFonts w:eastAsia="Times New Roman"/>
              <w:i/>
              <w:iCs/>
            </w:rPr>
            <w:t>Neurol</w:t>
          </w:r>
          <w:proofErr w:type="spellEnd"/>
          <w:r>
            <w:rPr>
              <w:rFonts w:eastAsia="Times New Roman"/>
              <w:i/>
              <w:iCs/>
            </w:rPr>
            <w:t xml:space="preserve"> Sci</w:t>
          </w:r>
          <w:r>
            <w:rPr>
              <w:rFonts w:eastAsia="Times New Roman"/>
            </w:rPr>
            <w:t xml:space="preserve">, </w:t>
          </w:r>
          <w:r>
            <w:rPr>
              <w:rFonts w:eastAsia="Times New Roman"/>
              <w:i/>
              <w:iCs/>
            </w:rPr>
            <w:t>310</w:t>
          </w:r>
          <w:r>
            <w:rPr>
              <w:rFonts w:eastAsia="Times New Roman"/>
            </w:rPr>
            <w:t>(1–2), 172–175. https://doi.org/10.1016/j.jns.2011.07.009</w:t>
          </w:r>
        </w:p>
        <w:p w14:paraId="5FED0078" w14:textId="77777777" w:rsidR="00EC7CE1" w:rsidRDefault="00EC7CE1">
          <w:pPr>
            <w:autoSpaceDE w:val="0"/>
            <w:autoSpaceDN w:val="0"/>
            <w:ind w:hanging="480"/>
            <w:divId w:val="781339106"/>
            <w:rPr>
              <w:rFonts w:eastAsia="Times New Roman"/>
            </w:rPr>
          </w:pPr>
          <w:proofErr w:type="spellStart"/>
          <w:r>
            <w:rPr>
              <w:rFonts w:eastAsia="Times New Roman"/>
            </w:rPr>
            <w:t>Koff</w:t>
          </w:r>
          <w:proofErr w:type="spellEnd"/>
          <w:r>
            <w:rPr>
              <w:rFonts w:eastAsia="Times New Roman"/>
            </w:rPr>
            <w:t xml:space="preserve">, E., &amp; Lucas, M. (2011). Mood moderates the relationship between impulsiveness and delay discounting. </w:t>
          </w:r>
          <w:r>
            <w:rPr>
              <w:rFonts w:eastAsia="Times New Roman"/>
              <w:i/>
              <w:iCs/>
            </w:rPr>
            <w:t>Personality and Individual Differences</w:t>
          </w:r>
          <w:r>
            <w:rPr>
              <w:rFonts w:eastAsia="Times New Roman"/>
            </w:rPr>
            <w:t xml:space="preserve">, </w:t>
          </w:r>
          <w:r>
            <w:rPr>
              <w:rFonts w:eastAsia="Times New Roman"/>
              <w:i/>
              <w:iCs/>
            </w:rPr>
            <w:t>50</w:t>
          </w:r>
          <w:r>
            <w:rPr>
              <w:rFonts w:eastAsia="Times New Roman"/>
            </w:rPr>
            <w:t>(7), 1018–1022. https://doi.org/10.1016/J.PAID.2011.01.016</w:t>
          </w:r>
        </w:p>
        <w:p w14:paraId="2237D476" w14:textId="77777777" w:rsidR="00EC7CE1" w:rsidRDefault="00EC7CE1">
          <w:pPr>
            <w:autoSpaceDE w:val="0"/>
            <w:autoSpaceDN w:val="0"/>
            <w:ind w:hanging="480"/>
            <w:divId w:val="304697515"/>
            <w:rPr>
              <w:rFonts w:eastAsia="Times New Roman"/>
            </w:rPr>
          </w:pPr>
          <w:proofErr w:type="spellStart"/>
          <w:r>
            <w:rPr>
              <w:rFonts w:eastAsia="Times New Roman"/>
            </w:rPr>
            <w:t>Konnopka</w:t>
          </w:r>
          <w:proofErr w:type="spellEnd"/>
          <w:r>
            <w:rPr>
              <w:rFonts w:eastAsia="Times New Roman"/>
            </w:rPr>
            <w:t xml:space="preserve">, A., </w:t>
          </w:r>
          <w:proofErr w:type="spellStart"/>
          <w:r>
            <w:rPr>
              <w:rFonts w:eastAsia="Times New Roman"/>
            </w:rPr>
            <w:t>Schaefert</w:t>
          </w:r>
          <w:proofErr w:type="spellEnd"/>
          <w:r>
            <w:rPr>
              <w:rFonts w:eastAsia="Times New Roman"/>
            </w:rPr>
            <w:t xml:space="preserve">, R., Heinrich, S., Kaufmann, C., </w:t>
          </w:r>
          <w:proofErr w:type="spellStart"/>
          <w:r>
            <w:rPr>
              <w:rFonts w:eastAsia="Times New Roman"/>
            </w:rPr>
            <w:t>Luppa</w:t>
          </w:r>
          <w:proofErr w:type="spellEnd"/>
          <w:r>
            <w:rPr>
              <w:rFonts w:eastAsia="Times New Roman"/>
            </w:rPr>
            <w:t xml:space="preserve">, M., Herzog, W., &amp; </w:t>
          </w:r>
          <w:proofErr w:type="spellStart"/>
          <w:r>
            <w:rPr>
              <w:rFonts w:eastAsia="Times New Roman"/>
            </w:rPr>
            <w:t>Knig</w:t>
          </w:r>
          <w:proofErr w:type="spellEnd"/>
          <w:r>
            <w:rPr>
              <w:rFonts w:eastAsia="Times New Roman"/>
            </w:rPr>
            <w:t xml:space="preserve">, H. H. (2012). Economics of medically unexplained symptoms: a systematic review of the literature. </w:t>
          </w:r>
          <w:r>
            <w:rPr>
              <w:rFonts w:eastAsia="Times New Roman"/>
              <w:i/>
              <w:iCs/>
            </w:rPr>
            <w:t>Psychotherapy and Psychosomatics</w:t>
          </w:r>
          <w:r>
            <w:rPr>
              <w:rFonts w:eastAsia="Times New Roman"/>
            </w:rPr>
            <w:t xml:space="preserve">, </w:t>
          </w:r>
          <w:r>
            <w:rPr>
              <w:rFonts w:eastAsia="Times New Roman"/>
              <w:i/>
              <w:iCs/>
            </w:rPr>
            <w:t>81</w:t>
          </w:r>
          <w:r>
            <w:rPr>
              <w:rFonts w:eastAsia="Times New Roman"/>
            </w:rPr>
            <w:t>(5), 265–275. https://doi.org/10.1159/000337349</w:t>
          </w:r>
        </w:p>
        <w:p w14:paraId="52DE76AD" w14:textId="77777777" w:rsidR="00EC7CE1" w:rsidRDefault="00EC7CE1">
          <w:pPr>
            <w:autoSpaceDE w:val="0"/>
            <w:autoSpaceDN w:val="0"/>
            <w:ind w:hanging="480"/>
            <w:divId w:val="1188711424"/>
            <w:rPr>
              <w:rFonts w:eastAsia="Times New Roman"/>
            </w:rPr>
          </w:pPr>
          <w:proofErr w:type="spellStart"/>
          <w:r>
            <w:rPr>
              <w:rFonts w:eastAsia="Times New Roman"/>
            </w:rPr>
            <w:t>Kontopantelis</w:t>
          </w:r>
          <w:proofErr w:type="spellEnd"/>
          <w:r>
            <w:rPr>
              <w:rFonts w:eastAsia="Times New Roman"/>
            </w:rPr>
            <w:t xml:space="preserve">, E., Doran, T., </w:t>
          </w:r>
          <w:proofErr w:type="spellStart"/>
          <w:r>
            <w:rPr>
              <w:rFonts w:eastAsia="Times New Roman"/>
            </w:rPr>
            <w:t>Springate</w:t>
          </w:r>
          <w:proofErr w:type="spellEnd"/>
          <w:r>
            <w:rPr>
              <w:rFonts w:eastAsia="Times New Roman"/>
            </w:rPr>
            <w:t xml:space="preserve">, D. A., Buchan, I., &amp; Reeves, D. (2015). Regression based quasi-experimental approach when randomisation is not an option: interrupted time series analysis. </w:t>
          </w:r>
          <w:r>
            <w:rPr>
              <w:rFonts w:eastAsia="Times New Roman"/>
              <w:i/>
              <w:iCs/>
            </w:rPr>
            <w:t>BMJ (Clinical Research Ed.)</w:t>
          </w:r>
          <w:r>
            <w:rPr>
              <w:rFonts w:eastAsia="Times New Roman"/>
            </w:rPr>
            <w:t xml:space="preserve">, </w:t>
          </w:r>
          <w:r>
            <w:rPr>
              <w:rFonts w:eastAsia="Times New Roman"/>
              <w:i/>
              <w:iCs/>
            </w:rPr>
            <w:t>350</w:t>
          </w:r>
          <w:r>
            <w:rPr>
              <w:rFonts w:eastAsia="Times New Roman"/>
            </w:rPr>
            <w:t>. https://doi.org/10.1136/BMJ.H2750</w:t>
          </w:r>
        </w:p>
        <w:p w14:paraId="3B7BB373" w14:textId="77777777" w:rsidR="00EC7CE1" w:rsidRDefault="00EC7CE1">
          <w:pPr>
            <w:autoSpaceDE w:val="0"/>
            <w:autoSpaceDN w:val="0"/>
            <w:ind w:hanging="480"/>
            <w:divId w:val="1161657888"/>
            <w:rPr>
              <w:rFonts w:eastAsia="Times New Roman"/>
            </w:rPr>
          </w:pPr>
          <w:proofErr w:type="spellStart"/>
          <w:r>
            <w:rPr>
              <w:rFonts w:eastAsia="Times New Roman"/>
            </w:rPr>
            <w:t>Koppehele-Gossel</w:t>
          </w:r>
          <w:proofErr w:type="spellEnd"/>
          <w:r>
            <w:rPr>
              <w:rFonts w:eastAsia="Times New Roman"/>
            </w:rPr>
            <w:t xml:space="preserve">, J., Hoffmann, L., </w:t>
          </w:r>
          <w:proofErr w:type="spellStart"/>
          <w:r>
            <w:rPr>
              <w:rFonts w:eastAsia="Times New Roman"/>
            </w:rPr>
            <w:t>Banse</w:t>
          </w:r>
          <w:proofErr w:type="spellEnd"/>
          <w:r>
            <w:rPr>
              <w:rFonts w:eastAsia="Times New Roman"/>
            </w:rPr>
            <w:t xml:space="preserve">, R., &amp; Gawronski, B. (2020). Evaluative priming as an implicit measure of evaluation: An examination of outlier-treatments for evaluative priming scores. </w:t>
          </w:r>
          <w:r>
            <w:rPr>
              <w:rFonts w:eastAsia="Times New Roman"/>
              <w:i/>
              <w:iCs/>
            </w:rPr>
            <w:t>Journal of Experimental Social Psychology</w:t>
          </w:r>
          <w:r>
            <w:rPr>
              <w:rFonts w:eastAsia="Times New Roman"/>
            </w:rPr>
            <w:t xml:space="preserve">, </w:t>
          </w:r>
          <w:r>
            <w:rPr>
              <w:rFonts w:eastAsia="Times New Roman"/>
              <w:i/>
              <w:iCs/>
            </w:rPr>
            <w:t>87</w:t>
          </w:r>
          <w:r>
            <w:rPr>
              <w:rFonts w:eastAsia="Times New Roman"/>
            </w:rPr>
            <w:t>, 103905. https://doi.org/10.1016/J.JESP.2019.103905</w:t>
          </w:r>
        </w:p>
        <w:p w14:paraId="13A00C23" w14:textId="77777777" w:rsidR="00EC7CE1" w:rsidRDefault="00EC7CE1">
          <w:pPr>
            <w:autoSpaceDE w:val="0"/>
            <w:autoSpaceDN w:val="0"/>
            <w:ind w:hanging="480"/>
            <w:divId w:val="979312429"/>
            <w:rPr>
              <w:rFonts w:eastAsia="Times New Roman"/>
            </w:rPr>
          </w:pPr>
          <w:proofErr w:type="spellStart"/>
          <w:r>
            <w:rPr>
              <w:rFonts w:eastAsia="Times New Roman"/>
            </w:rPr>
            <w:t>Koreki</w:t>
          </w:r>
          <w:proofErr w:type="spellEnd"/>
          <w:r>
            <w:rPr>
              <w:rFonts w:eastAsia="Times New Roman"/>
            </w:rPr>
            <w:t xml:space="preserve">, A., </w:t>
          </w:r>
          <w:proofErr w:type="spellStart"/>
          <w:r>
            <w:rPr>
              <w:rFonts w:eastAsia="Times New Roman"/>
            </w:rPr>
            <w:t>Garfkinel</w:t>
          </w:r>
          <w:proofErr w:type="spellEnd"/>
          <w:r>
            <w:rPr>
              <w:rFonts w:eastAsia="Times New Roman"/>
            </w:rPr>
            <w:t xml:space="preserve">, S. N., </w:t>
          </w:r>
          <w:proofErr w:type="spellStart"/>
          <w:r>
            <w:rPr>
              <w:rFonts w:eastAsia="Times New Roman"/>
            </w:rPr>
            <w:t>Mula</w:t>
          </w:r>
          <w:proofErr w:type="spellEnd"/>
          <w:r>
            <w:rPr>
              <w:rFonts w:eastAsia="Times New Roman"/>
            </w:rPr>
            <w:t xml:space="preserve">, M., Agrawal, N., Cope, S., </w:t>
          </w:r>
          <w:proofErr w:type="spellStart"/>
          <w:r>
            <w:rPr>
              <w:rFonts w:eastAsia="Times New Roman"/>
            </w:rPr>
            <w:t>Eilon</w:t>
          </w:r>
          <w:proofErr w:type="spellEnd"/>
          <w:r>
            <w:rPr>
              <w:rFonts w:eastAsia="Times New Roman"/>
            </w:rPr>
            <w:t xml:space="preserve">, T., Gould Van </w:t>
          </w:r>
          <w:proofErr w:type="spellStart"/>
          <w:r>
            <w:rPr>
              <w:rFonts w:eastAsia="Times New Roman"/>
            </w:rPr>
            <w:t>Praag</w:t>
          </w:r>
          <w:proofErr w:type="spellEnd"/>
          <w:r>
            <w:rPr>
              <w:rFonts w:eastAsia="Times New Roman"/>
            </w:rPr>
            <w:t xml:space="preserve">, C., Critchley, H. D., Edwards, M., &amp; </w:t>
          </w:r>
          <w:proofErr w:type="spellStart"/>
          <w:r>
            <w:rPr>
              <w:rFonts w:eastAsia="Times New Roman"/>
            </w:rPr>
            <w:t>Yogarajah</w:t>
          </w:r>
          <w:proofErr w:type="spellEnd"/>
          <w:r>
            <w:rPr>
              <w:rFonts w:eastAsia="Times New Roman"/>
            </w:rPr>
            <w:t xml:space="preserve">, M. (2020). Trait and state interoceptive abnormalities are associated with dissociation and seizure </w:t>
          </w:r>
          <w:r>
            <w:rPr>
              <w:rFonts w:eastAsia="Times New Roman"/>
            </w:rPr>
            <w:lastRenderedPageBreak/>
            <w:t xml:space="preserve">frequency in patients with functional seizures. </w:t>
          </w:r>
          <w:proofErr w:type="spellStart"/>
          <w:r>
            <w:rPr>
              <w:rFonts w:eastAsia="Times New Roman"/>
              <w:i/>
              <w:iCs/>
            </w:rPr>
            <w:t>Epilepsia</w:t>
          </w:r>
          <w:proofErr w:type="spellEnd"/>
          <w:r>
            <w:rPr>
              <w:rFonts w:eastAsia="Times New Roman"/>
            </w:rPr>
            <w:t xml:space="preserve">, </w:t>
          </w:r>
          <w:r>
            <w:rPr>
              <w:rFonts w:eastAsia="Times New Roman"/>
              <w:i/>
              <w:iCs/>
            </w:rPr>
            <w:t>61</w:t>
          </w:r>
          <w:r>
            <w:rPr>
              <w:rFonts w:eastAsia="Times New Roman"/>
            </w:rPr>
            <w:t>(6), 1156–1165. https://doi.org/10.1111/epi.16532</w:t>
          </w:r>
        </w:p>
        <w:p w14:paraId="7DFE4785" w14:textId="77777777" w:rsidR="00EC7CE1" w:rsidRDefault="00EC7CE1">
          <w:pPr>
            <w:autoSpaceDE w:val="0"/>
            <w:autoSpaceDN w:val="0"/>
            <w:ind w:hanging="480"/>
            <w:divId w:val="628434087"/>
            <w:rPr>
              <w:rFonts w:eastAsia="Times New Roman"/>
            </w:rPr>
          </w:pPr>
          <w:proofErr w:type="spellStart"/>
          <w:r>
            <w:rPr>
              <w:rFonts w:eastAsia="Times New Roman"/>
            </w:rPr>
            <w:t>Kotwas</w:t>
          </w:r>
          <w:proofErr w:type="spellEnd"/>
          <w:r>
            <w:rPr>
              <w:rFonts w:eastAsia="Times New Roman"/>
            </w:rPr>
            <w:t xml:space="preserve">, I., McGonigal, A., </w:t>
          </w:r>
          <w:proofErr w:type="spellStart"/>
          <w:r>
            <w:rPr>
              <w:rFonts w:eastAsia="Times New Roman"/>
            </w:rPr>
            <w:t>Trebuchon</w:t>
          </w:r>
          <w:proofErr w:type="spellEnd"/>
          <w:r>
            <w:rPr>
              <w:rFonts w:eastAsia="Times New Roman"/>
            </w:rPr>
            <w:t>, A., Bastien-</w:t>
          </w:r>
          <w:proofErr w:type="spellStart"/>
          <w:r>
            <w:rPr>
              <w:rFonts w:eastAsia="Times New Roman"/>
            </w:rPr>
            <w:t>Toniazzo</w:t>
          </w:r>
          <w:proofErr w:type="spellEnd"/>
          <w:r>
            <w:rPr>
              <w:rFonts w:eastAsia="Times New Roman"/>
            </w:rPr>
            <w:t xml:space="preserve">, M., Nagai, Y., </w:t>
          </w:r>
          <w:proofErr w:type="spellStart"/>
          <w:r>
            <w:rPr>
              <w:rFonts w:eastAsia="Times New Roman"/>
            </w:rPr>
            <w:t>Bartolomei</w:t>
          </w:r>
          <w:proofErr w:type="spellEnd"/>
          <w:r>
            <w:rPr>
              <w:rFonts w:eastAsia="Times New Roman"/>
            </w:rPr>
            <w:t xml:space="preserve">, F., &amp; </w:t>
          </w:r>
          <w:proofErr w:type="spellStart"/>
          <w:r>
            <w:rPr>
              <w:rFonts w:eastAsia="Times New Roman"/>
            </w:rPr>
            <w:t>Micoulaud</w:t>
          </w:r>
          <w:proofErr w:type="spellEnd"/>
          <w:r>
            <w:rPr>
              <w:rFonts w:eastAsia="Times New Roman"/>
            </w:rPr>
            <w:t xml:space="preserve">-Franchi, J. A. (2016). Self-control of epileptic seizures by nonpharmacological strategies. </w:t>
          </w:r>
          <w:r>
            <w:rPr>
              <w:rFonts w:eastAsia="Times New Roman"/>
              <w:i/>
              <w:iCs/>
            </w:rPr>
            <w:t xml:space="preserve">Epilepsy &amp; </w:t>
          </w:r>
          <w:proofErr w:type="spellStart"/>
          <w:r>
            <w:rPr>
              <w:rFonts w:eastAsia="Times New Roman"/>
              <w:i/>
              <w:iCs/>
            </w:rPr>
            <w:t>Behavior</w:t>
          </w:r>
          <w:proofErr w:type="spellEnd"/>
          <w:r>
            <w:rPr>
              <w:rFonts w:eastAsia="Times New Roman"/>
            </w:rPr>
            <w:t xml:space="preserve">, </w:t>
          </w:r>
          <w:r>
            <w:rPr>
              <w:rFonts w:eastAsia="Times New Roman"/>
              <w:i/>
              <w:iCs/>
            </w:rPr>
            <w:t>55</w:t>
          </w:r>
          <w:r>
            <w:rPr>
              <w:rFonts w:eastAsia="Times New Roman"/>
            </w:rPr>
            <w:t>, 157–164. https://doi.org/10.1016/J.YEBEH.2015.12.023</w:t>
          </w:r>
        </w:p>
        <w:p w14:paraId="1F0AAAFC" w14:textId="77777777" w:rsidR="00EC7CE1" w:rsidRDefault="00EC7CE1">
          <w:pPr>
            <w:autoSpaceDE w:val="0"/>
            <w:autoSpaceDN w:val="0"/>
            <w:ind w:hanging="480"/>
            <w:divId w:val="534736935"/>
            <w:rPr>
              <w:rFonts w:eastAsia="Times New Roman"/>
            </w:rPr>
          </w:pPr>
          <w:proofErr w:type="spellStart"/>
          <w:r>
            <w:rPr>
              <w:rFonts w:eastAsia="Times New Roman"/>
            </w:rPr>
            <w:t>Kotwas</w:t>
          </w:r>
          <w:proofErr w:type="spellEnd"/>
          <w:r>
            <w:rPr>
              <w:rFonts w:eastAsia="Times New Roman"/>
            </w:rPr>
            <w:t xml:space="preserve">, I., </w:t>
          </w:r>
          <w:proofErr w:type="spellStart"/>
          <w:r>
            <w:rPr>
              <w:rFonts w:eastAsia="Times New Roman"/>
            </w:rPr>
            <w:t>Micoulaud</w:t>
          </w:r>
          <w:proofErr w:type="spellEnd"/>
          <w:r>
            <w:rPr>
              <w:rFonts w:eastAsia="Times New Roman"/>
            </w:rPr>
            <w:t xml:space="preserve">-Franchi, J. A., </w:t>
          </w:r>
          <w:proofErr w:type="spellStart"/>
          <w:r>
            <w:rPr>
              <w:rFonts w:eastAsia="Times New Roman"/>
            </w:rPr>
            <w:t>Khalfa</w:t>
          </w:r>
          <w:proofErr w:type="spellEnd"/>
          <w:r>
            <w:rPr>
              <w:rFonts w:eastAsia="Times New Roman"/>
            </w:rPr>
            <w:t>, S., McGonigal, A., Bastien-</w:t>
          </w:r>
          <w:proofErr w:type="spellStart"/>
          <w:r>
            <w:rPr>
              <w:rFonts w:eastAsia="Times New Roman"/>
            </w:rPr>
            <w:t>Toniazzo</w:t>
          </w:r>
          <w:proofErr w:type="spellEnd"/>
          <w:r>
            <w:rPr>
              <w:rFonts w:eastAsia="Times New Roman"/>
            </w:rPr>
            <w:t xml:space="preserve">, M., &amp; </w:t>
          </w:r>
          <w:proofErr w:type="spellStart"/>
          <w:r>
            <w:rPr>
              <w:rFonts w:eastAsia="Times New Roman"/>
            </w:rPr>
            <w:t>Bartolomei</w:t>
          </w:r>
          <w:proofErr w:type="spellEnd"/>
          <w:r>
            <w:rPr>
              <w:rFonts w:eastAsia="Times New Roman"/>
            </w:rPr>
            <w:t xml:space="preserve">, F. (2019). Subjective and physiological response to emotions in temporal lobe epilepsy and psychogenic non-epileptic seizures. </w:t>
          </w:r>
          <w:r>
            <w:rPr>
              <w:rFonts w:eastAsia="Times New Roman"/>
              <w:i/>
              <w:iCs/>
            </w:rPr>
            <w:t xml:space="preserve">J Affect </w:t>
          </w:r>
          <w:proofErr w:type="spellStart"/>
          <w:r>
            <w:rPr>
              <w:rFonts w:eastAsia="Times New Roman"/>
              <w:i/>
              <w:iCs/>
            </w:rPr>
            <w:t>Disord</w:t>
          </w:r>
          <w:proofErr w:type="spellEnd"/>
          <w:r>
            <w:rPr>
              <w:rFonts w:eastAsia="Times New Roman"/>
            </w:rPr>
            <w:t xml:space="preserve">, </w:t>
          </w:r>
          <w:r>
            <w:rPr>
              <w:rFonts w:eastAsia="Times New Roman"/>
              <w:i/>
              <w:iCs/>
            </w:rPr>
            <w:t>244</w:t>
          </w:r>
          <w:r>
            <w:rPr>
              <w:rFonts w:eastAsia="Times New Roman"/>
            </w:rPr>
            <w:t>, 46–53. https://doi.org/10.1016/j.jad.2018.10.004</w:t>
          </w:r>
        </w:p>
        <w:p w14:paraId="774E4E26" w14:textId="77777777" w:rsidR="00EC7CE1" w:rsidRDefault="00EC7CE1">
          <w:pPr>
            <w:autoSpaceDE w:val="0"/>
            <w:autoSpaceDN w:val="0"/>
            <w:ind w:hanging="480"/>
            <w:divId w:val="733048383"/>
            <w:rPr>
              <w:rFonts w:eastAsia="Times New Roman"/>
            </w:rPr>
          </w:pPr>
          <w:proofErr w:type="spellStart"/>
          <w:r>
            <w:rPr>
              <w:rFonts w:eastAsia="Times New Roman"/>
            </w:rPr>
            <w:t>Kozlowska</w:t>
          </w:r>
          <w:proofErr w:type="spellEnd"/>
          <w:r>
            <w:rPr>
              <w:rFonts w:eastAsia="Times New Roman"/>
            </w:rPr>
            <w:t xml:space="preserve">, K., Brown, K. J., Palmer, D. M., &amp; Williams, L. M. (2013). Specific biases for identifying facial expression of emotion in children and adolescents with conversion disorders. </w:t>
          </w:r>
          <w:r>
            <w:rPr>
              <w:rFonts w:eastAsia="Times New Roman"/>
              <w:i/>
              <w:iCs/>
            </w:rPr>
            <w:t>Psychosomatic Medicine</w:t>
          </w:r>
          <w:r>
            <w:rPr>
              <w:rFonts w:eastAsia="Times New Roman"/>
            </w:rPr>
            <w:t xml:space="preserve">, </w:t>
          </w:r>
          <w:r>
            <w:rPr>
              <w:rFonts w:eastAsia="Times New Roman"/>
              <w:i/>
              <w:iCs/>
            </w:rPr>
            <w:t>75</w:t>
          </w:r>
          <w:r>
            <w:rPr>
              <w:rFonts w:eastAsia="Times New Roman"/>
            </w:rPr>
            <w:t>(3), 272–280. https://doi.org/10.1097/PSY.0B013E318286BE43</w:t>
          </w:r>
        </w:p>
        <w:p w14:paraId="12190862" w14:textId="77777777" w:rsidR="00EC7CE1" w:rsidRDefault="00EC7CE1">
          <w:pPr>
            <w:autoSpaceDE w:val="0"/>
            <w:autoSpaceDN w:val="0"/>
            <w:ind w:hanging="480"/>
            <w:divId w:val="347680079"/>
            <w:rPr>
              <w:rFonts w:eastAsia="Times New Roman"/>
            </w:rPr>
          </w:pPr>
          <w:r>
            <w:rPr>
              <w:rFonts w:eastAsia="Times New Roman"/>
            </w:rPr>
            <w:t xml:space="preserve">Kramer, G., Dominguez-Vega, Z. T., </w:t>
          </w:r>
          <w:proofErr w:type="spellStart"/>
          <w:r>
            <w:rPr>
              <w:rFonts w:eastAsia="Times New Roman"/>
            </w:rPr>
            <w:t>Laarhoven</w:t>
          </w:r>
          <w:proofErr w:type="spellEnd"/>
          <w:r>
            <w:rPr>
              <w:rFonts w:eastAsia="Times New Roman"/>
            </w:rPr>
            <w:t xml:space="preserve">, H. S. A., Brandsma, R., Smit, M., van der </w:t>
          </w:r>
          <w:proofErr w:type="spellStart"/>
          <w:r>
            <w:rPr>
              <w:rFonts w:eastAsia="Times New Roman"/>
            </w:rPr>
            <w:t>Stouwe</w:t>
          </w:r>
          <w:proofErr w:type="spellEnd"/>
          <w:r>
            <w:rPr>
              <w:rFonts w:eastAsia="Times New Roman"/>
            </w:rPr>
            <w:t xml:space="preserve">, A. M. M., </w:t>
          </w:r>
          <w:proofErr w:type="spellStart"/>
          <w:r>
            <w:rPr>
              <w:rFonts w:eastAsia="Times New Roman"/>
            </w:rPr>
            <w:t>Elting</w:t>
          </w:r>
          <w:proofErr w:type="spellEnd"/>
          <w:r>
            <w:rPr>
              <w:rFonts w:eastAsia="Times New Roman"/>
            </w:rPr>
            <w:t xml:space="preserve">, J. W. J., </w:t>
          </w:r>
          <w:proofErr w:type="spellStart"/>
          <w:r>
            <w:rPr>
              <w:rFonts w:eastAsia="Times New Roman"/>
            </w:rPr>
            <w:t>Maurits</w:t>
          </w:r>
          <w:proofErr w:type="spellEnd"/>
          <w:r>
            <w:rPr>
              <w:rFonts w:eastAsia="Times New Roman"/>
            </w:rPr>
            <w:t xml:space="preserve">, N. M., </w:t>
          </w:r>
          <w:proofErr w:type="spellStart"/>
          <w:r>
            <w:rPr>
              <w:rFonts w:eastAsia="Times New Roman"/>
            </w:rPr>
            <w:t>Rosmalen</w:t>
          </w:r>
          <w:proofErr w:type="spellEnd"/>
          <w:r>
            <w:rPr>
              <w:rFonts w:eastAsia="Times New Roman"/>
            </w:rPr>
            <w:t xml:space="preserve">, J. G. M., &amp; </w:t>
          </w:r>
          <w:proofErr w:type="spellStart"/>
          <w:r>
            <w:rPr>
              <w:rFonts w:eastAsia="Times New Roman"/>
            </w:rPr>
            <w:t>Tijssen</w:t>
          </w:r>
          <w:proofErr w:type="spellEnd"/>
          <w:r>
            <w:rPr>
              <w:rFonts w:eastAsia="Times New Roman"/>
            </w:rPr>
            <w:t xml:space="preserve">, M. A. J. (2019). Similar association between objective and subjective symptoms in functional and organic tremor. </w:t>
          </w:r>
          <w:r>
            <w:rPr>
              <w:rFonts w:eastAsia="Times New Roman"/>
              <w:i/>
              <w:iCs/>
            </w:rPr>
            <w:t>Parkinsonism &amp; Related Disorders</w:t>
          </w:r>
          <w:r>
            <w:rPr>
              <w:rFonts w:eastAsia="Times New Roman"/>
            </w:rPr>
            <w:t xml:space="preserve">, </w:t>
          </w:r>
          <w:r>
            <w:rPr>
              <w:rFonts w:eastAsia="Times New Roman"/>
              <w:i/>
              <w:iCs/>
            </w:rPr>
            <w:t>64</w:t>
          </w:r>
          <w:r>
            <w:rPr>
              <w:rFonts w:eastAsia="Times New Roman"/>
            </w:rPr>
            <w:t>, 2–7. https://doi.org/10.1016/j.parkreldis.2019.05.026</w:t>
          </w:r>
        </w:p>
        <w:p w14:paraId="656365C0" w14:textId="77777777" w:rsidR="00EC7CE1" w:rsidRDefault="00EC7CE1">
          <w:pPr>
            <w:autoSpaceDE w:val="0"/>
            <w:autoSpaceDN w:val="0"/>
            <w:ind w:hanging="480"/>
            <w:divId w:val="919369264"/>
            <w:rPr>
              <w:rFonts w:eastAsia="Times New Roman"/>
            </w:rPr>
          </w:pPr>
          <w:proofErr w:type="spellStart"/>
          <w:r>
            <w:rPr>
              <w:rFonts w:eastAsia="Times New Roman"/>
            </w:rPr>
            <w:t>Kranick</w:t>
          </w:r>
          <w:proofErr w:type="spellEnd"/>
          <w:r>
            <w:rPr>
              <w:rFonts w:eastAsia="Times New Roman"/>
            </w:rPr>
            <w:t xml:space="preserve">, S. M., </w:t>
          </w:r>
          <w:proofErr w:type="spellStart"/>
          <w:r>
            <w:rPr>
              <w:rFonts w:eastAsia="Times New Roman"/>
            </w:rPr>
            <w:t>Gorrindo</w:t>
          </w:r>
          <w:proofErr w:type="spellEnd"/>
          <w:r>
            <w:rPr>
              <w:rFonts w:eastAsia="Times New Roman"/>
            </w:rPr>
            <w:t xml:space="preserve">, T., &amp; Hallett, M. (2011). Psychogenic Movement Disorders and Motor Conversion: A Roadmap for Collaboration Between Neurology and Psychiatry. </w:t>
          </w:r>
          <w:r>
            <w:rPr>
              <w:rFonts w:eastAsia="Times New Roman"/>
              <w:i/>
              <w:iCs/>
            </w:rPr>
            <w:t>Psychosomatics</w:t>
          </w:r>
          <w:r>
            <w:rPr>
              <w:rFonts w:eastAsia="Times New Roman"/>
            </w:rPr>
            <w:t xml:space="preserve">, </w:t>
          </w:r>
          <w:r>
            <w:rPr>
              <w:rFonts w:eastAsia="Times New Roman"/>
              <w:i/>
              <w:iCs/>
            </w:rPr>
            <w:t>52</w:t>
          </w:r>
          <w:r>
            <w:rPr>
              <w:rFonts w:eastAsia="Times New Roman"/>
            </w:rPr>
            <w:t>(2), 109–116. https://doi.org/10.1016/J.PSYM.2010.12.017</w:t>
          </w:r>
        </w:p>
        <w:p w14:paraId="314361E6" w14:textId="77777777" w:rsidR="00EC7CE1" w:rsidRDefault="00EC7CE1">
          <w:pPr>
            <w:autoSpaceDE w:val="0"/>
            <w:autoSpaceDN w:val="0"/>
            <w:ind w:hanging="480"/>
            <w:divId w:val="1154300658"/>
            <w:rPr>
              <w:rFonts w:eastAsia="Times New Roman"/>
            </w:rPr>
          </w:pPr>
          <w:r>
            <w:rPr>
              <w:rFonts w:eastAsia="Times New Roman"/>
            </w:rPr>
            <w:t xml:space="preserve">Krieg, C., </w:t>
          </w:r>
          <w:proofErr w:type="spellStart"/>
          <w:r>
            <w:rPr>
              <w:rFonts w:eastAsia="Times New Roman"/>
            </w:rPr>
            <w:t>Hudon</w:t>
          </w:r>
          <w:proofErr w:type="spellEnd"/>
          <w:r>
            <w:rPr>
              <w:rFonts w:eastAsia="Times New Roman"/>
            </w:rPr>
            <w:t xml:space="preserve">, C., Chouinard, M. C., &amp; Dufour, I. (2016). Individual predictors of frequent emergency department use: a scoping review. </w:t>
          </w:r>
          <w:r>
            <w:rPr>
              <w:rFonts w:eastAsia="Times New Roman"/>
              <w:i/>
              <w:iCs/>
            </w:rPr>
            <w:t>BMC Health Services Research</w:t>
          </w:r>
          <w:r>
            <w:rPr>
              <w:rFonts w:eastAsia="Times New Roman"/>
            </w:rPr>
            <w:t xml:space="preserve">, </w:t>
          </w:r>
          <w:r>
            <w:rPr>
              <w:rFonts w:eastAsia="Times New Roman"/>
              <w:i/>
              <w:iCs/>
            </w:rPr>
            <w:t>16</w:t>
          </w:r>
          <w:r>
            <w:rPr>
              <w:rFonts w:eastAsia="Times New Roman"/>
            </w:rPr>
            <w:t>(1). https://doi.org/10.1186/S12913-016-1852-1</w:t>
          </w:r>
        </w:p>
        <w:p w14:paraId="010F84A8" w14:textId="77777777" w:rsidR="00EC7CE1" w:rsidRDefault="00EC7CE1">
          <w:pPr>
            <w:autoSpaceDE w:val="0"/>
            <w:autoSpaceDN w:val="0"/>
            <w:ind w:hanging="480"/>
            <w:divId w:val="2133207125"/>
            <w:rPr>
              <w:rFonts w:eastAsia="Times New Roman"/>
            </w:rPr>
          </w:pPr>
          <w:r>
            <w:rPr>
              <w:rFonts w:eastAsia="Times New Roman"/>
            </w:rPr>
            <w:t xml:space="preserve">Kroenke, K. (2007). Efficacy of treatment for somatoform disorders: a review of randomized controlled trials. </w:t>
          </w:r>
          <w:r>
            <w:rPr>
              <w:rFonts w:eastAsia="Times New Roman"/>
              <w:i/>
              <w:iCs/>
            </w:rPr>
            <w:t>Psychosomatic Medicine</w:t>
          </w:r>
          <w:r>
            <w:rPr>
              <w:rFonts w:eastAsia="Times New Roman"/>
            </w:rPr>
            <w:t xml:space="preserve">, </w:t>
          </w:r>
          <w:r>
            <w:rPr>
              <w:rFonts w:eastAsia="Times New Roman"/>
              <w:i/>
              <w:iCs/>
            </w:rPr>
            <w:t>69</w:t>
          </w:r>
          <w:r>
            <w:rPr>
              <w:rFonts w:eastAsia="Times New Roman"/>
            </w:rPr>
            <w:t>(9), 881–888. https://doi.org/10.1097/PSY.0B013E31815B00C4</w:t>
          </w:r>
        </w:p>
        <w:p w14:paraId="4B60DB2D" w14:textId="77777777" w:rsidR="00EC7CE1" w:rsidRDefault="00EC7CE1">
          <w:pPr>
            <w:autoSpaceDE w:val="0"/>
            <w:autoSpaceDN w:val="0"/>
            <w:ind w:hanging="480"/>
            <w:divId w:val="1678846635"/>
            <w:rPr>
              <w:rFonts w:eastAsia="Times New Roman"/>
            </w:rPr>
          </w:pPr>
          <w:r>
            <w:rPr>
              <w:rFonts w:eastAsia="Times New Roman"/>
            </w:rPr>
            <w:t xml:space="preserve">Kroenke, K., Spitzer, R. L., &amp; Williams, J. B. (2001a). The PHQ-9: validity of a brief depression severity measure. </w:t>
          </w:r>
          <w:r>
            <w:rPr>
              <w:rFonts w:eastAsia="Times New Roman"/>
              <w:i/>
              <w:iCs/>
            </w:rPr>
            <w:t>J Gen Intern Med</w:t>
          </w:r>
          <w:r>
            <w:rPr>
              <w:rFonts w:eastAsia="Times New Roman"/>
            </w:rPr>
            <w:t xml:space="preserve">, </w:t>
          </w:r>
          <w:r>
            <w:rPr>
              <w:rFonts w:eastAsia="Times New Roman"/>
              <w:i/>
              <w:iCs/>
            </w:rPr>
            <w:t>16</w:t>
          </w:r>
          <w:r>
            <w:rPr>
              <w:rFonts w:eastAsia="Times New Roman"/>
            </w:rPr>
            <w:t>(9), 606–613. https://doi.org/10.1046/j.1525-1497.2001.016009606.x</w:t>
          </w:r>
        </w:p>
        <w:p w14:paraId="5DC52563" w14:textId="77777777" w:rsidR="00EC7CE1" w:rsidRDefault="00EC7CE1">
          <w:pPr>
            <w:autoSpaceDE w:val="0"/>
            <w:autoSpaceDN w:val="0"/>
            <w:ind w:hanging="480"/>
            <w:divId w:val="1713528965"/>
            <w:rPr>
              <w:rFonts w:eastAsia="Times New Roman"/>
            </w:rPr>
          </w:pPr>
          <w:r>
            <w:rPr>
              <w:rFonts w:eastAsia="Times New Roman"/>
            </w:rPr>
            <w:lastRenderedPageBreak/>
            <w:t xml:space="preserve">Kroenke, K., Spitzer, R. L., &amp; Williams, J. B. (2001b). The PHQ-9: validity of a brief depression severity measure. </w:t>
          </w:r>
          <w:r>
            <w:rPr>
              <w:rFonts w:eastAsia="Times New Roman"/>
              <w:i/>
              <w:iCs/>
            </w:rPr>
            <w:t>J Gen Intern Med</w:t>
          </w:r>
          <w:r>
            <w:rPr>
              <w:rFonts w:eastAsia="Times New Roman"/>
            </w:rPr>
            <w:t xml:space="preserve">, </w:t>
          </w:r>
          <w:r>
            <w:rPr>
              <w:rFonts w:eastAsia="Times New Roman"/>
              <w:i/>
              <w:iCs/>
            </w:rPr>
            <w:t>16</w:t>
          </w:r>
          <w:r>
            <w:rPr>
              <w:rFonts w:eastAsia="Times New Roman"/>
            </w:rPr>
            <w:t>(9), 606–613. https://doi.org/10.1046/j.1525-1497.2001.016009606.x</w:t>
          </w:r>
        </w:p>
        <w:p w14:paraId="6F383CAD" w14:textId="77777777" w:rsidR="00EC7CE1" w:rsidRDefault="00EC7CE1">
          <w:pPr>
            <w:autoSpaceDE w:val="0"/>
            <w:autoSpaceDN w:val="0"/>
            <w:ind w:hanging="480"/>
            <w:divId w:val="27800355"/>
            <w:rPr>
              <w:rFonts w:eastAsia="Times New Roman"/>
            </w:rPr>
          </w:pPr>
          <w:r>
            <w:rPr>
              <w:rFonts w:eastAsia="Times New Roman"/>
            </w:rPr>
            <w:t xml:space="preserve">Kroenke, K., Spitzer, R. L., &amp; Williams, J. B. (2002). The PHQ-15: validity of a new measure for evaluating the severity of somatic symptoms. </w:t>
          </w:r>
          <w:proofErr w:type="spellStart"/>
          <w:r>
            <w:rPr>
              <w:rFonts w:eastAsia="Times New Roman"/>
              <w:i/>
              <w:iCs/>
            </w:rPr>
            <w:t>Psychosom</w:t>
          </w:r>
          <w:proofErr w:type="spellEnd"/>
          <w:r>
            <w:rPr>
              <w:rFonts w:eastAsia="Times New Roman"/>
              <w:i/>
              <w:iCs/>
            </w:rPr>
            <w:t xml:space="preserve"> Med</w:t>
          </w:r>
          <w:r>
            <w:rPr>
              <w:rFonts w:eastAsia="Times New Roman"/>
            </w:rPr>
            <w:t xml:space="preserve">, </w:t>
          </w:r>
          <w:r>
            <w:rPr>
              <w:rFonts w:eastAsia="Times New Roman"/>
              <w:i/>
              <w:iCs/>
            </w:rPr>
            <w:t>64</w:t>
          </w:r>
          <w:r>
            <w:rPr>
              <w:rFonts w:eastAsia="Times New Roman"/>
            </w:rPr>
            <w:t>(2), 258–266. https://doi.org/10.1097/00006842-200203000-00008</w:t>
          </w:r>
        </w:p>
        <w:p w14:paraId="5B7CA066" w14:textId="77777777" w:rsidR="00EC7CE1" w:rsidRDefault="00EC7CE1">
          <w:pPr>
            <w:autoSpaceDE w:val="0"/>
            <w:autoSpaceDN w:val="0"/>
            <w:ind w:hanging="480"/>
            <w:divId w:val="1618026164"/>
            <w:rPr>
              <w:rFonts w:eastAsia="Times New Roman"/>
            </w:rPr>
          </w:pPr>
          <w:r>
            <w:rPr>
              <w:rFonts w:eastAsia="Times New Roman"/>
            </w:rPr>
            <w:t xml:space="preserve">Kroenke, K., Spitzer, R. L., Williams, J. B. W., &amp; </w:t>
          </w:r>
          <w:proofErr w:type="spellStart"/>
          <w:r>
            <w:rPr>
              <w:rFonts w:eastAsia="Times New Roman"/>
            </w:rPr>
            <w:t>Löwe</w:t>
          </w:r>
          <w:proofErr w:type="spellEnd"/>
          <w:r>
            <w:rPr>
              <w:rFonts w:eastAsia="Times New Roman"/>
            </w:rPr>
            <w:t xml:space="preserve">, B. (2010a). The Patient Health Questionnaire Somatic, Anxiety, and Depressive Symptom Scales: a systematic review. </w:t>
          </w:r>
          <w:r>
            <w:rPr>
              <w:rFonts w:eastAsia="Times New Roman"/>
              <w:i/>
              <w:iCs/>
            </w:rPr>
            <w:t>General Hospital Psychiatry</w:t>
          </w:r>
          <w:r>
            <w:rPr>
              <w:rFonts w:eastAsia="Times New Roman"/>
            </w:rPr>
            <w:t xml:space="preserve">, </w:t>
          </w:r>
          <w:r>
            <w:rPr>
              <w:rFonts w:eastAsia="Times New Roman"/>
              <w:i/>
              <w:iCs/>
            </w:rPr>
            <w:t>32</w:t>
          </w:r>
          <w:r>
            <w:rPr>
              <w:rFonts w:eastAsia="Times New Roman"/>
            </w:rPr>
            <w:t>(4), 345–359. https://doi.org/https://doi.org/10.1016/j.genhosppsych.2010.03.006</w:t>
          </w:r>
        </w:p>
        <w:p w14:paraId="57224417" w14:textId="77777777" w:rsidR="00EC7CE1" w:rsidRDefault="00EC7CE1">
          <w:pPr>
            <w:autoSpaceDE w:val="0"/>
            <w:autoSpaceDN w:val="0"/>
            <w:ind w:hanging="480"/>
            <w:divId w:val="1763836334"/>
            <w:rPr>
              <w:rFonts w:eastAsia="Times New Roman"/>
            </w:rPr>
          </w:pPr>
          <w:r>
            <w:rPr>
              <w:rFonts w:eastAsia="Times New Roman"/>
            </w:rPr>
            <w:t xml:space="preserve">Kroenke, K., Spitzer, R. L., Williams, J. B. W., &amp; </w:t>
          </w:r>
          <w:proofErr w:type="spellStart"/>
          <w:r>
            <w:rPr>
              <w:rFonts w:eastAsia="Times New Roman"/>
            </w:rPr>
            <w:t>Löwe</w:t>
          </w:r>
          <w:proofErr w:type="spellEnd"/>
          <w:r>
            <w:rPr>
              <w:rFonts w:eastAsia="Times New Roman"/>
            </w:rPr>
            <w:t xml:space="preserve">, B. (2010b). The Patient Health Questionnaire Somatic, Anxiety, and Depressive Symptom Scales: a systematic review. </w:t>
          </w:r>
          <w:r>
            <w:rPr>
              <w:rFonts w:eastAsia="Times New Roman"/>
              <w:i/>
              <w:iCs/>
            </w:rPr>
            <w:t>General Hospital Psychiatry</w:t>
          </w:r>
          <w:r>
            <w:rPr>
              <w:rFonts w:eastAsia="Times New Roman"/>
            </w:rPr>
            <w:t xml:space="preserve">, </w:t>
          </w:r>
          <w:r>
            <w:rPr>
              <w:rFonts w:eastAsia="Times New Roman"/>
              <w:i/>
              <w:iCs/>
            </w:rPr>
            <w:t>32</w:t>
          </w:r>
          <w:r>
            <w:rPr>
              <w:rFonts w:eastAsia="Times New Roman"/>
            </w:rPr>
            <w:t>(4), 345–359. https://doi.org/https://doi.org/10.1016/j.genhosppsych.2010.03.006</w:t>
          </w:r>
        </w:p>
        <w:p w14:paraId="589B1ACB" w14:textId="77777777" w:rsidR="00EC7CE1" w:rsidRDefault="00EC7CE1">
          <w:pPr>
            <w:autoSpaceDE w:val="0"/>
            <w:autoSpaceDN w:val="0"/>
            <w:ind w:hanging="480"/>
            <w:divId w:val="1703166655"/>
            <w:rPr>
              <w:rFonts w:eastAsia="Times New Roman"/>
            </w:rPr>
          </w:pPr>
          <w:r>
            <w:rPr>
              <w:rFonts w:eastAsia="Times New Roman"/>
            </w:rPr>
            <w:t xml:space="preserve">Lackner, R. J., &amp; Fresco, D. M. (2016). Interaction effect of brooding rumination and interoceptive awareness on depression and anxiety symptoms. </w:t>
          </w:r>
          <w:r>
            <w:rPr>
              <w:rFonts w:eastAsia="Times New Roman"/>
              <w:i/>
              <w:iCs/>
            </w:rPr>
            <w:t>Behaviour Research and Therapy</w:t>
          </w:r>
          <w:r>
            <w:rPr>
              <w:rFonts w:eastAsia="Times New Roman"/>
            </w:rPr>
            <w:t xml:space="preserve">, </w:t>
          </w:r>
          <w:r>
            <w:rPr>
              <w:rFonts w:eastAsia="Times New Roman"/>
              <w:i/>
              <w:iCs/>
            </w:rPr>
            <w:t>85</w:t>
          </w:r>
          <w:r>
            <w:rPr>
              <w:rFonts w:eastAsia="Times New Roman"/>
            </w:rPr>
            <w:t>, 43–52. https://doi.org/10.1016/J.BRAT.2016.08.007</w:t>
          </w:r>
        </w:p>
        <w:p w14:paraId="515FC1ED" w14:textId="77777777" w:rsidR="00EC7CE1" w:rsidRDefault="00EC7CE1">
          <w:pPr>
            <w:autoSpaceDE w:val="0"/>
            <w:autoSpaceDN w:val="0"/>
            <w:ind w:hanging="480"/>
            <w:divId w:val="833182416"/>
            <w:rPr>
              <w:rFonts w:eastAsia="Times New Roman"/>
            </w:rPr>
          </w:pPr>
          <w:r>
            <w:rPr>
              <w:rFonts w:eastAsia="Times New Roman"/>
            </w:rPr>
            <w:t xml:space="preserve">LaFrance Jr, W. C., &amp; Friedman, J. H. (2009). Cognitive </w:t>
          </w:r>
          <w:proofErr w:type="spellStart"/>
          <w:r>
            <w:rPr>
              <w:rFonts w:eastAsia="Times New Roman"/>
            </w:rPr>
            <w:t>behavioral</w:t>
          </w:r>
          <w:proofErr w:type="spellEnd"/>
          <w:r>
            <w:rPr>
              <w:rFonts w:eastAsia="Times New Roman"/>
            </w:rPr>
            <w:t xml:space="preserve"> therapy for psychogenic movement disorder. </w:t>
          </w:r>
          <w:r>
            <w:rPr>
              <w:rFonts w:eastAsia="Times New Roman"/>
              <w:i/>
              <w:iCs/>
            </w:rPr>
            <w:t>Movement Disorders</w:t>
          </w:r>
          <w:r>
            <w:rPr>
              <w:rFonts w:eastAsia="Times New Roman"/>
            </w:rPr>
            <w:t xml:space="preserve">, </w:t>
          </w:r>
          <w:r>
            <w:rPr>
              <w:rFonts w:eastAsia="Times New Roman"/>
              <w:i/>
              <w:iCs/>
            </w:rPr>
            <w:t>24</w:t>
          </w:r>
          <w:r>
            <w:rPr>
              <w:rFonts w:eastAsia="Times New Roman"/>
            </w:rPr>
            <w:t>(12), 1856–1857. https://doi.org/10.1002/mds.22683</w:t>
          </w:r>
        </w:p>
        <w:p w14:paraId="619F7551" w14:textId="77777777" w:rsidR="00EC7CE1" w:rsidRDefault="00EC7CE1">
          <w:pPr>
            <w:autoSpaceDE w:val="0"/>
            <w:autoSpaceDN w:val="0"/>
            <w:ind w:hanging="480"/>
            <w:divId w:val="1949041891"/>
            <w:rPr>
              <w:rFonts w:eastAsia="Times New Roman"/>
            </w:rPr>
          </w:pPr>
          <w:r>
            <w:rPr>
              <w:rFonts w:eastAsia="Times New Roman"/>
            </w:rPr>
            <w:t xml:space="preserve">LaFrance, W. C., Baird, G. L., Barry, J. J., Blum, A. S., Webb, A. F., </w:t>
          </w:r>
          <w:proofErr w:type="spellStart"/>
          <w:r>
            <w:rPr>
              <w:rFonts w:eastAsia="Times New Roman"/>
            </w:rPr>
            <w:t>Keitner</w:t>
          </w:r>
          <w:proofErr w:type="spellEnd"/>
          <w:r>
            <w:rPr>
              <w:rFonts w:eastAsia="Times New Roman"/>
            </w:rPr>
            <w:t xml:space="preserve">, G. I., Machan, J. T., Miller, I., &amp; Szaflarski, J. P. (2014). </w:t>
          </w:r>
          <w:proofErr w:type="spellStart"/>
          <w:r>
            <w:rPr>
              <w:rFonts w:eastAsia="Times New Roman"/>
            </w:rPr>
            <w:t>Multicenter</w:t>
          </w:r>
          <w:proofErr w:type="spellEnd"/>
          <w:r>
            <w:rPr>
              <w:rFonts w:eastAsia="Times New Roman"/>
            </w:rPr>
            <w:t xml:space="preserve"> Pilot Treatment Trial for Psychogenic Nonepileptic Seizures: A Randomized Clinical Trial. </w:t>
          </w:r>
          <w:r>
            <w:rPr>
              <w:rFonts w:eastAsia="Times New Roman"/>
              <w:i/>
              <w:iCs/>
            </w:rPr>
            <w:t>JAMA Psychiatry</w:t>
          </w:r>
          <w:r>
            <w:rPr>
              <w:rFonts w:eastAsia="Times New Roman"/>
            </w:rPr>
            <w:t xml:space="preserve">, </w:t>
          </w:r>
          <w:r>
            <w:rPr>
              <w:rFonts w:eastAsia="Times New Roman"/>
              <w:i/>
              <w:iCs/>
            </w:rPr>
            <w:t>71</w:t>
          </w:r>
          <w:r>
            <w:rPr>
              <w:rFonts w:eastAsia="Times New Roman"/>
            </w:rPr>
            <w:t>(9), 997–1005. https://doi.org/10.1001/JAMAPSYCHIATRY.2014.817</w:t>
          </w:r>
        </w:p>
        <w:p w14:paraId="3D64848F" w14:textId="77777777" w:rsidR="00EC7CE1" w:rsidRDefault="00EC7CE1">
          <w:pPr>
            <w:autoSpaceDE w:val="0"/>
            <w:autoSpaceDN w:val="0"/>
            <w:ind w:hanging="480"/>
            <w:divId w:val="1996520923"/>
            <w:rPr>
              <w:rFonts w:eastAsia="Times New Roman"/>
            </w:rPr>
          </w:pPr>
          <w:r>
            <w:rPr>
              <w:rFonts w:eastAsia="Times New Roman"/>
            </w:rPr>
            <w:t xml:space="preserve">Lafrance, W. C., Baker, G. A., Duncan, R., Goldstein, L. H., &amp; Reuber, M. (2013). Minimum requirements for the diagnosis of psychogenic nonepileptic seizures: A staged approach. </w:t>
          </w:r>
          <w:proofErr w:type="spellStart"/>
          <w:r>
            <w:rPr>
              <w:rFonts w:eastAsia="Times New Roman"/>
              <w:i/>
              <w:iCs/>
            </w:rPr>
            <w:t>Epilepsia</w:t>
          </w:r>
          <w:proofErr w:type="spellEnd"/>
          <w:r>
            <w:rPr>
              <w:rFonts w:eastAsia="Times New Roman"/>
            </w:rPr>
            <w:t xml:space="preserve">, </w:t>
          </w:r>
          <w:r>
            <w:rPr>
              <w:rFonts w:eastAsia="Times New Roman"/>
              <w:i/>
              <w:iCs/>
            </w:rPr>
            <w:t>54</w:t>
          </w:r>
          <w:r>
            <w:rPr>
              <w:rFonts w:eastAsia="Times New Roman"/>
            </w:rPr>
            <w:t>(11), 2005–2018. https://doi.org/10.1111/epi.12356</w:t>
          </w:r>
        </w:p>
        <w:p w14:paraId="543E3D83" w14:textId="77777777" w:rsidR="00EC7CE1" w:rsidRDefault="00EC7CE1">
          <w:pPr>
            <w:autoSpaceDE w:val="0"/>
            <w:autoSpaceDN w:val="0"/>
            <w:ind w:hanging="480"/>
            <w:divId w:val="1814520399"/>
            <w:rPr>
              <w:rFonts w:eastAsia="Times New Roman"/>
            </w:rPr>
          </w:pPr>
          <w:r>
            <w:rPr>
              <w:rFonts w:eastAsia="Times New Roman"/>
            </w:rPr>
            <w:t xml:space="preserve">Lange, A. J., </w:t>
          </w:r>
          <w:proofErr w:type="spellStart"/>
          <w:r>
            <w:rPr>
              <w:rFonts w:eastAsia="Times New Roman"/>
            </w:rPr>
            <w:t>Rimm</w:t>
          </w:r>
          <w:proofErr w:type="spellEnd"/>
          <w:r>
            <w:rPr>
              <w:rFonts w:eastAsia="Times New Roman"/>
            </w:rPr>
            <w:t>, D. C., &amp; Loxley, J. (1975). Cognitive-</w:t>
          </w:r>
          <w:proofErr w:type="spellStart"/>
          <w:r>
            <w:rPr>
              <w:rFonts w:eastAsia="Times New Roman"/>
            </w:rPr>
            <w:t>Behavioral</w:t>
          </w:r>
          <w:proofErr w:type="spellEnd"/>
          <w:r>
            <w:rPr>
              <w:rFonts w:eastAsia="Times New Roman"/>
            </w:rPr>
            <w:t xml:space="preserve"> Assertion Training Procedures. </w:t>
          </w:r>
          <w:r>
            <w:rPr>
              <w:rFonts w:eastAsia="Times New Roman"/>
              <w:i/>
              <w:iCs/>
            </w:rPr>
            <w:t xml:space="preserve">The </w:t>
          </w:r>
          <w:proofErr w:type="spellStart"/>
          <w:r>
            <w:rPr>
              <w:rFonts w:eastAsia="Times New Roman"/>
              <w:i/>
              <w:iCs/>
            </w:rPr>
            <w:t>Counseling</w:t>
          </w:r>
          <w:proofErr w:type="spellEnd"/>
          <w:r>
            <w:rPr>
              <w:rFonts w:eastAsia="Times New Roman"/>
              <w:i/>
              <w:iCs/>
            </w:rPr>
            <w:t xml:space="preserve"> Psychologist</w:t>
          </w:r>
          <w:r>
            <w:rPr>
              <w:rFonts w:eastAsia="Times New Roman"/>
            </w:rPr>
            <w:t xml:space="preserve">, </w:t>
          </w:r>
          <w:r>
            <w:rPr>
              <w:rFonts w:eastAsia="Times New Roman"/>
              <w:i/>
              <w:iCs/>
            </w:rPr>
            <w:t>5</w:t>
          </w:r>
          <w:r>
            <w:rPr>
              <w:rFonts w:eastAsia="Times New Roman"/>
            </w:rPr>
            <w:t>(4), 37–41. https://doi.org/10.1177/001100007500500406/ASSET/001100007500500406.FP.PNG_V03</w:t>
          </w:r>
        </w:p>
        <w:p w14:paraId="72CAA314" w14:textId="77777777" w:rsidR="00EC7CE1" w:rsidRDefault="00EC7CE1">
          <w:pPr>
            <w:autoSpaceDE w:val="0"/>
            <w:autoSpaceDN w:val="0"/>
            <w:ind w:hanging="480"/>
            <w:divId w:val="258677986"/>
            <w:rPr>
              <w:rFonts w:eastAsia="Times New Roman"/>
            </w:rPr>
          </w:pPr>
          <w:proofErr w:type="spellStart"/>
          <w:r>
            <w:rPr>
              <w:rFonts w:eastAsia="Times New Roman"/>
            </w:rPr>
            <w:lastRenderedPageBreak/>
            <w:t>Latreille</w:t>
          </w:r>
          <w:proofErr w:type="spellEnd"/>
          <w:r>
            <w:rPr>
              <w:rFonts w:eastAsia="Times New Roman"/>
            </w:rPr>
            <w:t xml:space="preserve">, V., </w:t>
          </w:r>
          <w:proofErr w:type="spellStart"/>
          <w:r>
            <w:rPr>
              <w:rFonts w:eastAsia="Times New Roman"/>
            </w:rPr>
            <w:t>Dworetzky</w:t>
          </w:r>
          <w:proofErr w:type="spellEnd"/>
          <w:r>
            <w:rPr>
              <w:rFonts w:eastAsia="Times New Roman"/>
            </w:rPr>
            <w:t xml:space="preserve">, B. A., </w:t>
          </w:r>
          <w:proofErr w:type="spellStart"/>
          <w:r>
            <w:rPr>
              <w:rFonts w:eastAsia="Times New Roman"/>
            </w:rPr>
            <w:t>Baslet</w:t>
          </w:r>
          <w:proofErr w:type="spellEnd"/>
          <w:r>
            <w:rPr>
              <w:rFonts w:eastAsia="Times New Roman"/>
            </w:rPr>
            <w:t xml:space="preserve">, G., &amp; Pavlova, M. (2019). Sleep disturbances in patients with psychogenic non-epileptic seizures: Is it all subjective? A prospective pilot study of sleep-wake patterns. </w:t>
          </w:r>
          <w:r>
            <w:rPr>
              <w:rFonts w:eastAsia="Times New Roman"/>
              <w:i/>
              <w:iCs/>
            </w:rPr>
            <w:t>Seizure</w:t>
          </w:r>
          <w:r>
            <w:rPr>
              <w:rFonts w:eastAsia="Times New Roman"/>
            </w:rPr>
            <w:t xml:space="preserve">, </w:t>
          </w:r>
          <w:r>
            <w:rPr>
              <w:rFonts w:eastAsia="Times New Roman"/>
              <w:i/>
              <w:iCs/>
            </w:rPr>
            <w:t>65</w:t>
          </w:r>
          <w:r>
            <w:rPr>
              <w:rFonts w:eastAsia="Times New Roman"/>
            </w:rPr>
            <w:t>, 124–128. https://doi.org/10.1016/j.seizure.2019.01.016</w:t>
          </w:r>
        </w:p>
        <w:p w14:paraId="62DF23F5" w14:textId="77777777" w:rsidR="00EC7CE1" w:rsidRDefault="00EC7CE1">
          <w:pPr>
            <w:autoSpaceDE w:val="0"/>
            <w:autoSpaceDN w:val="0"/>
            <w:ind w:hanging="480"/>
            <w:divId w:val="710226515"/>
            <w:rPr>
              <w:rFonts w:eastAsia="Times New Roman"/>
            </w:rPr>
          </w:pPr>
          <w:r>
            <w:rPr>
              <w:rFonts w:eastAsia="Times New Roman"/>
            </w:rPr>
            <w:t xml:space="preserve">Lawrence, K. A., Allen, J. S., &amp; </w:t>
          </w:r>
          <w:proofErr w:type="spellStart"/>
          <w:r>
            <w:rPr>
              <w:rFonts w:eastAsia="Times New Roman"/>
            </w:rPr>
            <w:t>Chanen</w:t>
          </w:r>
          <w:proofErr w:type="spellEnd"/>
          <w:r>
            <w:rPr>
              <w:rFonts w:eastAsia="Times New Roman"/>
            </w:rPr>
            <w:t xml:space="preserve">, A. M. (2010). Impulsivity in borderline personality disorder: reward-based decision-making and its relationship to emotional distress. </w:t>
          </w:r>
          <w:r>
            <w:rPr>
              <w:rFonts w:eastAsia="Times New Roman"/>
              <w:i/>
              <w:iCs/>
            </w:rPr>
            <w:t>Journal of Personality Disorders</w:t>
          </w:r>
          <w:r>
            <w:rPr>
              <w:rFonts w:eastAsia="Times New Roman"/>
            </w:rPr>
            <w:t xml:space="preserve">, </w:t>
          </w:r>
          <w:r>
            <w:rPr>
              <w:rFonts w:eastAsia="Times New Roman"/>
              <w:i/>
              <w:iCs/>
            </w:rPr>
            <w:t>24</w:t>
          </w:r>
          <w:r>
            <w:rPr>
              <w:rFonts w:eastAsia="Times New Roman"/>
            </w:rPr>
            <w:t>(6), 785–799. https://doi.org/10.1521/PEDI.2010.24.6.785</w:t>
          </w:r>
        </w:p>
        <w:p w14:paraId="25736B36" w14:textId="77777777" w:rsidR="00EC7CE1" w:rsidRDefault="00EC7CE1">
          <w:pPr>
            <w:autoSpaceDE w:val="0"/>
            <w:autoSpaceDN w:val="0"/>
            <w:ind w:hanging="480"/>
            <w:divId w:val="954092083"/>
            <w:rPr>
              <w:rFonts w:eastAsia="Times New Roman"/>
            </w:rPr>
          </w:pPr>
          <w:r>
            <w:rPr>
              <w:rFonts w:eastAsia="Times New Roman"/>
            </w:rPr>
            <w:t xml:space="preserve">Layard, R., &amp; Clark, D. M. (2015). Why More Psychological Therapy Would Cost Nothing. </w:t>
          </w:r>
          <w:r>
            <w:rPr>
              <w:rFonts w:eastAsia="Times New Roman"/>
              <w:i/>
              <w:iCs/>
            </w:rPr>
            <w:t>Frontiers in Psychology</w:t>
          </w:r>
          <w:r>
            <w:rPr>
              <w:rFonts w:eastAsia="Times New Roman"/>
            </w:rPr>
            <w:t xml:space="preserve">, </w:t>
          </w:r>
          <w:r>
            <w:rPr>
              <w:rFonts w:eastAsia="Times New Roman"/>
              <w:i/>
              <w:iCs/>
            </w:rPr>
            <w:t>6</w:t>
          </w:r>
          <w:r>
            <w:rPr>
              <w:rFonts w:eastAsia="Times New Roman"/>
            </w:rPr>
            <w:t>, 1713. https://doi.org/10.3389/fpsyg.2015.01713</w:t>
          </w:r>
        </w:p>
        <w:p w14:paraId="57E4BE19" w14:textId="77777777" w:rsidR="00EC7CE1" w:rsidRDefault="00EC7CE1">
          <w:pPr>
            <w:autoSpaceDE w:val="0"/>
            <w:autoSpaceDN w:val="0"/>
            <w:ind w:hanging="480"/>
            <w:divId w:val="432701430"/>
            <w:rPr>
              <w:rFonts w:eastAsia="Times New Roman"/>
            </w:rPr>
          </w:pPr>
          <w:r>
            <w:rPr>
              <w:rFonts w:eastAsia="Times New Roman"/>
            </w:rPr>
            <w:t xml:space="preserve">Lee, M. K., &amp; Oh, J. (2020). Health-Related Quality of Life in Older Adults: Its Association with Health Literacy, Self-Efficacy, Social Support, and Health-Promoting </w:t>
          </w:r>
          <w:proofErr w:type="spellStart"/>
          <w:r>
            <w:rPr>
              <w:rFonts w:eastAsia="Times New Roman"/>
            </w:rPr>
            <w:t>Behavior</w:t>
          </w:r>
          <w:proofErr w:type="spellEnd"/>
          <w:r>
            <w:rPr>
              <w:rFonts w:eastAsia="Times New Roman"/>
            </w:rPr>
            <w:t xml:space="preserve">. </w:t>
          </w:r>
          <w:r>
            <w:rPr>
              <w:rFonts w:eastAsia="Times New Roman"/>
              <w:i/>
              <w:iCs/>
            </w:rPr>
            <w:t>Healthcare 2020, Vol. 8, Page 407</w:t>
          </w:r>
          <w:r>
            <w:rPr>
              <w:rFonts w:eastAsia="Times New Roman"/>
            </w:rPr>
            <w:t xml:space="preserve">, </w:t>
          </w:r>
          <w:r>
            <w:rPr>
              <w:rFonts w:eastAsia="Times New Roman"/>
              <w:i/>
              <w:iCs/>
            </w:rPr>
            <w:t>8</w:t>
          </w:r>
          <w:r>
            <w:rPr>
              <w:rFonts w:eastAsia="Times New Roman"/>
            </w:rPr>
            <w:t>(4), 407. https://doi.org/10.3390/HEALTHCARE8040407</w:t>
          </w:r>
        </w:p>
        <w:p w14:paraId="7D5DA9DB" w14:textId="77777777" w:rsidR="00EC7CE1" w:rsidRDefault="00EC7CE1">
          <w:pPr>
            <w:autoSpaceDE w:val="0"/>
            <w:autoSpaceDN w:val="0"/>
            <w:ind w:hanging="480"/>
            <w:divId w:val="797139925"/>
            <w:rPr>
              <w:rFonts w:eastAsia="Times New Roman"/>
            </w:rPr>
          </w:pPr>
          <w:proofErr w:type="spellStart"/>
          <w:r>
            <w:rPr>
              <w:rFonts w:eastAsia="Times New Roman"/>
            </w:rPr>
            <w:t>Leising</w:t>
          </w:r>
          <w:proofErr w:type="spellEnd"/>
          <w:r>
            <w:rPr>
              <w:rFonts w:eastAsia="Times New Roman"/>
            </w:rPr>
            <w:t xml:space="preserve">, D., Grande, T., &amp; Faber, R. (2009). The Toronto Alexithymia Scale (TAS-20): A measure of general psychological distress. </w:t>
          </w:r>
          <w:r>
            <w:rPr>
              <w:rFonts w:eastAsia="Times New Roman"/>
              <w:i/>
              <w:iCs/>
            </w:rPr>
            <w:t>Journal of Research in Personality</w:t>
          </w:r>
          <w:r>
            <w:rPr>
              <w:rFonts w:eastAsia="Times New Roman"/>
            </w:rPr>
            <w:t xml:space="preserve">, </w:t>
          </w:r>
          <w:r>
            <w:rPr>
              <w:rFonts w:eastAsia="Times New Roman"/>
              <w:i/>
              <w:iCs/>
            </w:rPr>
            <w:t>43</w:t>
          </w:r>
          <w:r>
            <w:rPr>
              <w:rFonts w:eastAsia="Times New Roman"/>
            </w:rPr>
            <w:t>(4), 707–710. https://doi.org/10.1016/J.JRP.2009.03.009</w:t>
          </w:r>
        </w:p>
        <w:p w14:paraId="0D4A4287" w14:textId="77777777" w:rsidR="00EC7CE1" w:rsidRDefault="00EC7CE1">
          <w:pPr>
            <w:autoSpaceDE w:val="0"/>
            <w:autoSpaceDN w:val="0"/>
            <w:ind w:hanging="480"/>
            <w:divId w:val="397557739"/>
            <w:rPr>
              <w:rFonts w:eastAsia="Times New Roman"/>
            </w:rPr>
          </w:pPr>
          <w:proofErr w:type="spellStart"/>
          <w:r>
            <w:rPr>
              <w:rFonts w:eastAsia="Times New Roman"/>
            </w:rPr>
            <w:t>Lemoult</w:t>
          </w:r>
          <w:proofErr w:type="spellEnd"/>
          <w:r>
            <w:rPr>
              <w:rFonts w:eastAsia="Times New Roman"/>
            </w:rPr>
            <w:t xml:space="preserve">, J., &amp; </w:t>
          </w:r>
          <w:proofErr w:type="spellStart"/>
          <w:r>
            <w:rPr>
              <w:rFonts w:eastAsia="Times New Roman"/>
            </w:rPr>
            <w:t>Gotlib</w:t>
          </w:r>
          <w:proofErr w:type="spellEnd"/>
          <w:r>
            <w:rPr>
              <w:rFonts w:eastAsia="Times New Roman"/>
            </w:rPr>
            <w:t xml:space="preserve">, I. H. (2018). </w:t>
          </w:r>
          <w:r>
            <w:rPr>
              <w:rFonts w:eastAsia="Times New Roman"/>
              <w:i/>
              <w:iCs/>
            </w:rPr>
            <w:t xml:space="preserve">Depression: A cognitive perspective </w:t>
          </w:r>
          <w:r>
            <w:rPr>
              <w:rFonts w:ascii="Segoe UI Symbol" w:eastAsia="Times New Roman" w:hAnsi="Segoe UI Symbol" w:cs="Segoe UI Symbol"/>
              <w:i/>
              <w:iCs/>
            </w:rPr>
            <w:t>☆</w:t>
          </w:r>
          <w:r>
            <w:rPr>
              <w:rFonts w:eastAsia="Times New Roman"/>
            </w:rPr>
            <w:t>. https://doi.org/10.1016/j.cpr.2018.06.008</w:t>
          </w:r>
        </w:p>
        <w:p w14:paraId="74E6F434" w14:textId="77777777" w:rsidR="00EC7CE1" w:rsidRDefault="00EC7CE1">
          <w:pPr>
            <w:autoSpaceDE w:val="0"/>
            <w:autoSpaceDN w:val="0"/>
            <w:ind w:hanging="480"/>
            <w:divId w:val="1109548377"/>
            <w:rPr>
              <w:rFonts w:eastAsia="Times New Roman"/>
            </w:rPr>
          </w:pPr>
          <w:proofErr w:type="spellStart"/>
          <w:r>
            <w:rPr>
              <w:rFonts w:eastAsia="Times New Roman"/>
            </w:rPr>
            <w:t>Lempert</w:t>
          </w:r>
          <w:proofErr w:type="spellEnd"/>
          <w:r>
            <w:rPr>
              <w:rFonts w:eastAsia="Times New Roman"/>
            </w:rPr>
            <w:t xml:space="preserve">, K. M., </w:t>
          </w:r>
          <w:proofErr w:type="spellStart"/>
          <w:r>
            <w:rPr>
              <w:rFonts w:eastAsia="Times New Roman"/>
            </w:rPr>
            <w:t>Porcelli</w:t>
          </w:r>
          <w:proofErr w:type="spellEnd"/>
          <w:r>
            <w:rPr>
              <w:rFonts w:eastAsia="Times New Roman"/>
            </w:rPr>
            <w:t xml:space="preserve">, A. J., Delgado, M. R., &amp; </w:t>
          </w:r>
          <w:proofErr w:type="spellStart"/>
          <w:r>
            <w:rPr>
              <w:rFonts w:eastAsia="Times New Roman"/>
            </w:rPr>
            <w:t>Tricomi</w:t>
          </w:r>
          <w:proofErr w:type="spellEnd"/>
          <w:r>
            <w:rPr>
              <w:rFonts w:eastAsia="Times New Roman"/>
            </w:rPr>
            <w:t xml:space="preserve">, E. (2012). Individual Differences in Delay Discounting Under Acute Stress: The Role of Trait Perceived Stress. </w:t>
          </w:r>
          <w:r>
            <w:rPr>
              <w:rFonts w:eastAsia="Times New Roman"/>
              <w:i/>
              <w:iCs/>
            </w:rPr>
            <w:t>Frontiers in Psychology</w:t>
          </w:r>
          <w:r>
            <w:rPr>
              <w:rFonts w:eastAsia="Times New Roman"/>
            </w:rPr>
            <w:t xml:space="preserve">, </w:t>
          </w:r>
          <w:r>
            <w:rPr>
              <w:rFonts w:eastAsia="Times New Roman"/>
              <w:i/>
              <w:iCs/>
            </w:rPr>
            <w:t>3</w:t>
          </w:r>
          <w:r>
            <w:rPr>
              <w:rFonts w:eastAsia="Times New Roman"/>
            </w:rPr>
            <w:t>. https://doi.org/10.3389/fpsyg.2012.00251</w:t>
          </w:r>
        </w:p>
        <w:p w14:paraId="5B3373D0" w14:textId="77777777" w:rsidR="00EC7CE1" w:rsidRDefault="00EC7CE1">
          <w:pPr>
            <w:autoSpaceDE w:val="0"/>
            <w:autoSpaceDN w:val="0"/>
            <w:ind w:hanging="480"/>
            <w:divId w:val="1263882200"/>
            <w:rPr>
              <w:rFonts w:eastAsia="Times New Roman"/>
            </w:rPr>
          </w:pPr>
          <w:r>
            <w:rPr>
              <w:rFonts w:eastAsia="Times New Roman"/>
            </w:rPr>
            <w:t xml:space="preserve">Leventhal, H., </w:t>
          </w:r>
          <w:proofErr w:type="spellStart"/>
          <w:r>
            <w:rPr>
              <w:rFonts w:eastAsia="Times New Roman"/>
            </w:rPr>
            <w:t>Nerenz</w:t>
          </w:r>
          <w:proofErr w:type="spellEnd"/>
          <w:r>
            <w:rPr>
              <w:rFonts w:eastAsia="Times New Roman"/>
            </w:rPr>
            <w:t xml:space="preserve">, D. R., &amp; Steele, D. J. (1984).  Illness representation and coping with health threats. . In S. E. T. A. Baum &amp; J. E. Singer (Ed.), </w:t>
          </w:r>
          <w:r>
            <w:rPr>
              <w:rFonts w:eastAsia="Times New Roman"/>
              <w:i/>
              <w:iCs/>
            </w:rPr>
            <w:t>Handbook of Psychology and Health</w:t>
          </w:r>
          <w:r>
            <w:rPr>
              <w:rFonts w:eastAsia="Times New Roman"/>
            </w:rPr>
            <w:t xml:space="preserve"> (pp. 219–252). Lawrence Erlbaum Associates.</w:t>
          </w:r>
        </w:p>
        <w:p w14:paraId="5FEED564" w14:textId="77777777" w:rsidR="00EC7CE1" w:rsidRDefault="00EC7CE1">
          <w:pPr>
            <w:autoSpaceDE w:val="0"/>
            <w:autoSpaceDN w:val="0"/>
            <w:ind w:hanging="480"/>
            <w:divId w:val="800656474"/>
            <w:rPr>
              <w:rFonts w:eastAsia="Times New Roman"/>
            </w:rPr>
          </w:pPr>
          <w:r>
            <w:rPr>
              <w:rFonts w:eastAsia="Times New Roman"/>
            </w:rPr>
            <w:t xml:space="preserve">Lewis, J., </w:t>
          </w:r>
          <w:proofErr w:type="spellStart"/>
          <w:r>
            <w:rPr>
              <w:rFonts w:eastAsia="Times New Roman"/>
            </w:rPr>
            <w:t>Weich</w:t>
          </w:r>
          <w:proofErr w:type="spellEnd"/>
          <w:r>
            <w:rPr>
              <w:rFonts w:eastAsia="Times New Roman"/>
            </w:rPr>
            <w:t xml:space="preserve">, S., O’Keeffe, C., Stone, T., Hulin, J., Bell, N., Doyle, M., </w:t>
          </w:r>
          <w:proofErr w:type="spellStart"/>
          <w:r>
            <w:rPr>
              <w:rFonts w:eastAsia="Times New Roman"/>
            </w:rPr>
            <w:t>Lucock</w:t>
          </w:r>
          <w:proofErr w:type="spellEnd"/>
          <w:r>
            <w:rPr>
              <w:rFonts w:eastAsia="Times New Roman"/>
            </w:rPr>
            <w:t xml:space="preserve">, M., &amp; Mason, S. (2023). Use of urgent, emergency and acute care by mental health service users: A record-level cohort study. </w:t>
          </w:r>
          <w:r>
            <w:rPr>
              <w:rFonts w:eastAsia="Times New Roman"/>
              <w:i/>
              <w:iCs/>
            </w:rPr>
            <w:t>PLOS ONE</w:t>
          </w:r>
          <w:r>
            <w:rPr>
              <w:rFonts w:eastAsia="Times New Roman"/>
            </w:rPr>
            <w:t xml:space="preserve">, </w:t>
          </w:r>
          <w:r>
            <w:rPr>
              <w:rFonts w:eastAsia="Times New Roman"/>
              <w:i/>
              <w:iCs/>
            </w:rPr>
            <w:t>18</w:t>
          </w:r>
          <w:r>
            <w:rPr>
              <w:rFonts w:eastAsia="Times New Roman"/>
            </w:rPr>
            <w:t>(2), e0281667. https://doi.org/10.1371/JOURNAL.PONE.0281667</w:t>
          </w:r>
        </w:p>
        <w:p w14:paraId="687D4D92" w14:textId="77777777" w:rsidR="00EC7CE1" w:rsidRDefault="00EC7CE1">
          <w:pPr>
            <w:autoSpaceDE w:val="0"/>
            <w:autoSpaceDN w:val="0"/>
            <w:ind w:hanging="480"/>
            <w:divId w:val="1621915643"/>
            <w:rPr>
              <w:rFonts w:eastAsia="Times New Roman"/>
            </w:rPr>
          </w:pPr>
          <w:r>
            <w:rPr>
              <w:rFonts w:eastAsia="Times New Roman"/>
              <w:i/>
              <w:iCs/>
            </w:rPr>
            <w:t>Lifespan Integration, Connecting Ego States through Time - Lifespan Integration</w:t>
          </w:r>
          <w:r>
            <w:rPr>
              <w:rFonts w:eastAsia="Times New Roman"/>
            </w:rPr>
            <w:t xml:space="preserve">. (n.d.). Retrieved June 10, 2023, from </w:t>
          </w:r>
          <w:r>
            <w:rPr>
              <w:rFonts w:eastAsia="Times New Roman"/>
            </w:rPr>
            <w:lastRenderedPageBreak/>
            <w:t>https://lifespanintegration.com/product/lifespan-integration-connecting-ego-states-through-time/</w:t>
          </w:r>
        </w:p>
        <w:p w14:paraId="2A15B7A0" w14:textId="77777777" w:rsidR="00EC7CE1" w:rsidRDefault="00EC7CE1">
          <w:pPr>
            <w:autoSpaceDE w:val="0"/>
            <w:autoSpaceDN w:val="0"/>
            <w:ind w:hanging="480"/>
            <w:divId w:val="315694611"/>
            <w:rPr>
              <w:rFonts w:eastAsia="Times New Roman"/>
            </w:rPr>
          </w:pPr>
          <w:r>
            <w:rPr>
              <w:rFonts w:eastAsia="Times New Roman"/>
            </w:rPr>
            <w:t xml:space="preserve">Lin, A., &amp; </w:t>
          </w:r>
          <w:proofErr w:type="spellStart"/>
          <w:r>
            <w:rPr>
              <w:rFonts w:eastAsia="Times New Roman"/>
            </w:rPr>
            <w:t>Espay</w:t>
          </w:r>
          <w:proofErr w:type="spellEnd"/>
          <w:r>
            <w:rPr>
              <w:rFonts w:eastAsia="Times New Roman"/>
            </w:rPr>
            <w:t xml:space="preserve">, A. J. (2021). Remote delivery of cognitive </w:t>
          </w:r>
          <w:proofErr w:type="spellStart"/>
          <w:r>
            <w:rPr>
              <w:rFonts w:eastAsia="Times New Roman"/>
            </w:rPr>
            <w:t>behavioral</w:t>
          </w:r>
          <w:proofErr w:type="spellEnd"/>
          <w:r>
            <w:rPr>
              <w:rFonts w:eastAsia="Times New Roman"/>
            </w:rPr>
            <w:t xml:space="preserve"> therapy to patients with functional neurological disorders: Promise and challenges. </w:t>
          </w:r>
          <w:r>
            <w:rPr>
              <w:rFonts w:eastAsia="Times New Roman"/>
              <w:i/>
              <w:iCs/>
            </w:rPr>
            <w:t xml:space="preserve">Epilepsy &amp; </w:t>
          </w:r>
          <w:proofErr w:type="spellStart"/>
          <w:r>
            <w:rPr>
              <w:rFonts w:eastAsia="Times New Roman"/>
              <w:i/>
              <w:iCs/>
            </w:rPr>
            <w:t>Behavior</w:t>
          </w:r>
          <w:proofErr w:type="spellEnd"/>
          <w:r>
            <w:rPr>
              <w:rFonts w:eastAsia="Times New Roman"/>
              <w:i/>
              <w:iCs/>
            </w:rPr>
            <w:t xml:space="preserve"> Reports</w:t>
          </w:r>
          <w:r>
            <w:rPr>
              <w:rFonts w:eastAsia="Times New Roman"/>
            </w:rPr>
            <w:t xml:space="preserve">, </w:t>
          </w:r>
          <w:r>
            <w:rPr>
              <w:rFonts w:eastAsia="Times New Roman"/>
              <w:i/>
              <w:iCs/>
            </w:rPr>
            <w:t>16</w:t>
          </w:r>
          <w:r>
            <w:rPr>
              <w:rFonts w:eastAsia="Times New Roman"/>
            </w:rPr>
            <w:t>. https://doi.org/10.1016/J.EBR.2021.100469</w:t>
          </w:r>
        </w:p>
        <w:p w14:paraId="1E3249F2" w14:textId="77777777" w:rsidR="00EC7CE1" w:rsidRDefault="00EC7CE1">
          <w:pPr>
            <w:autoSpaceDE w:val="0"/>
            <w:autoSpaceDN w:val="0"/>
            <w:ind w:hanging="480"/>
            <w:divId w:val="1223834705"/>
            <w:rPr>
              <w:rFonts w:eastAsia="Times New Roman"/>
            </w:rPr>
          </w:pPr>
          <w:r>
            <w:rPr>
              <w:rFonts w:eastAsia="Times New Roman"/>
            </w:rPr>
            <w:t xml:space="preserve">Linacre, J. (2019). </w:t>
          </w:r>
          <w:proofErr w:type="spellStart"/>
          <w:r>
            <w:rPr>
              <w:rFonts w:eastAsia="Times New Roman"/>
              <w:i/>
              <w:iCs/>
            </w:rPr>
            <w:t>Winsteps</w:t>
          </w:r>
          <w:proofErr w:type="spellEnd"/>
          <w:r>
            <w:rPr>
              <w:rFonts w:eastAsia="Times New Roman"/>
              <w:i/>
              <w:iCs/>
            </w:rPr>
            <w:t>® Rasch measurement computer program User’s Guide</w:t>
          </w:r>
          <w:r>
            <w:rPr>
              <w:rFonts w:eastAsia="Times New Roman"/>
            </w:rPr>
            <w:t>. Winsteps.com.</w:t>
          </w:r>
        </w:p>
        <w:p w14:paraId="0A4B9412" w14:textId="77777777" w:rsidR="00EC7CE1" w:rsidRDefault="00EC7CE1">
          <w:pPr>
            <w:autoSpaceDE w:val="0"/>
            <w:autoSpaceDN w:val="0"/>
            <w:ind w:hanging="480"/>
            <w:divId w:val="382410316"/>
            <w:rPr>
              <w:rFonts w:eastAsia="Times New Roman"/>
            </w:rPr>
          </w:pPr>
          <w:r>
            <w:rPr>
              <w:rFonts w:eastAsia="Times New Roman"/>
            </w:rPr>
            <w:t xml:space="preserve">Linacre, J. M. (2002). Optimizing Rating Scale Category Effectiveness. </w:t>
          </w:r>
          <w:r>
            <w:rPr>
              <w:rFonts w:eastAsia="Times New Roman"/>
              <w:i/>
              <w:iCs/>
            </w:rPr>
            <w:t>Journal of Applied Measurement</w:t>
          </w:r>
          <w:r>
            <w:rPr>
              <w:rFonts w:eastAsia="Times New Roman"/>
            </w:rPr>
            <w:t xml:space="preserve">, </w:t>
          </w:r>
          <w:r>
            <w:rPr>
              <w:rFonts w:eastAsia="Times New Roman"/>
              <w:i/>
              <w:iCs/>
            </w:rPr>
            <w:t>3</w:t>
          </w:r>
          <w:r>
            <w:rPr>
              <w:rFonts w:eastAsia="Times New Roman"/>
            </w:rPr>
            <w:t>(1), 85–106.</w:t>
          </w:r>
        </w:p>
        <w:p w14:paraId="107C3123" w14:textId="77777777" w:rsidR="00EC7CE1" w:rsidRDefault="00EC7CE1">
          <w:pPr>
            <w:autoSpaceDE w:val="0"/>
            <w:autoSpaceDN w:val="0"/>
            <w:ind w:hanging="480"/>
            <w:divId w:val="1223718446"/>
            <w:rPr>
              <w:rFonts w:eastAsia="Times New Roman"/>
            </w:rPr>
          </w:pPr>
          <w:r>
            <w:rPr>
              <w:rFonts w:eastAsia="Times New Roman"/>
            </w:rPr>
            <w:t xml:space="preserve">Linacre, J. M. (2022). </w:t>
          </w:r>
          <w:proofErr w:type="spellStart"/>
          <w:r>
            <w:rPr>
              <w:rFonts w:eastAsia="Times New Roman"/>
              <w:i/>
              <w:iCs/>
            </w:rPr>
            <w:t>Winsteps</w:t>
          </w:r>
          <w:proofErr w:type="spellEnd"/>
          <w:r>
            <w:rPr>
              <w:rFonts w:eastAsia="Times New Roman"/>
              <w:i/>
              <w:iCs/>
            </w:rPr>
            <w:t>® Rasch measurement computer program</w:t>
          </w:r>
          <w:r>
            <w:rPr>
              <w:rFonts w:eastAsia="Times New Roman"/>
            </w:rPr>
            <w:t xml:space="preserve"> ((Version 5.2.3)). Winsteps.com.</w:t>
          </w:r>
        </w:p>
        <w:p w14:paraId="0775C0D8" w14:textId="77777777" w:rsidR="00EC7CE1" w:rsidRDefault="00EC7CE1">
          <w:pPr>
            <w:autoSpaceDE w:val="0"/>
            <w:autoSpaceDN w:val="0"/>
            <w:ind w:hanging="480"/>
            <w:divId w:val="1527865314"/>
            <w:rPr>
              <w:rFonts w:eastAsia="Times New Roman"/>
            </w:rPr>
          </w:pPr>
          <w:r>
            <w:rPr>
              <w:rFonts w:eastAsia="Times New Roman"/>
            </w:rPr>
            <w:t xml:space="preserve">Link, B. G., &amp; Phelan, J. C. (2001). Conceptualizing stigma. </w:t>
          </w:r>
          <w:r>
            <w:rPr>
              <w:rFonts w:eastAsia="Times New Roman"/>
              <w:i/>
              <w:iCs/>
            </w:rPr>
            <w:t>Annual Review of Sociology</w:t>
          </w:r>
          <w:r>
            <w:rPr>
              <w:rFonts w:eastAsia="Times New Roman"/>
            </w:rPr>
            <w:t xml:space="preserve">, </w:t>
          </w:r>
          <w:r>
            <w:rPr>
              <w:rFonts w:eastAsia="Times New Roman"/>
              <w:i/>
              <w:iCs/>
            </w:rPr>
            <w:t>27</w:t>
          </w:r>
          <w:r>
            <w:rPr>
              <w:rFonts w:eastAsia="Times New Roman"/>
            </w:rPr>
            <w:t>, 363–385. https://doi.org/10.1146/ANNUREV.SOC.27.1.363</w:t>
          </w:r>
        </w:p>
        <w:p w14:paraId="4B73C9A1" w14:textId="77777777" w:rsidR="00EC7CE1" w:rsidRDefault="00EC7CE1">
          <w:pPr>
            <w:autoSpaceDE w:val="0"/>
            <w:autoSpaceDN w:val="0"/>
            <w:ind w:hanging="480"/>
            <w:divId w:val="2115392474"/>
            <w:rPr>
              <w:rFonts w:eastAsia="Times New Roman"/>
            </w:rPr>
          </w:pPr>
          <w:r>
            <w:rPr>
              <w:rFonts w:eastAsia="Times New Roman"/>
            </w:rPr>
            <w:t xml:space="preserve">Liu, L., Feng, T., Chen, J., &amp; Li, H. (2013). The Value of Emotion: How Does Episodic Prospection Modulate Delay Discounting? </w:t>
          </w:r>
          <w:r>
            <w:rPr>
              <w:rFonts w:eastAsia="Times New Roman"/>
              <w:i/>
              <w:iCs/>
            </w:rPr>
            <w:t>PLOS ONE</w:t>
          </w:r>
          <w:r>
            <w:rPr>
              <w:rFonts w:eastAsia="Times New Roman"/>
            </w:rPr>
            <w:t xml:space="preserve">, </w:t>
          </w:r>
          <w:r>
            <w:rPr>
              <w:rFonts w:eastAsia="Times New Roman"/>
              <w:i/>
              <w:iCs/>
            </w:rPr>
            <w:t>8</w:t>
          </w:r>
          <w:r>
            <w:rPr>
              <w:rFonts w:eastAsia="Times New Roman"/>
            </w:rPr>
            <w:t>(11), e81717. https://doi.org/10.1371/JOURNAL.PONE.0081717</w:t>
          </w:r>
        </w:p>
        <w:p w14:paraId="340AF0F1" w14:textId="77777777" w:rsidR="00EC7CE1" w:rsidRDefault="00EC7CE1">
          <w:pPr>
            <w:autoSpaceDE w:val="0"/>
            <w:autoSpaceDN w:val="0"/>
            <w:ind w:hanging="480"/>
            <w:divId w:val="86974043"/>
            <w:rPr>
              <w:rFonts w:eastAsia="Times New Roman"/>
            </w:rPr>
          </w:pPr>
          <w:r>
            <w:rPr>
              <w:rFonts w:eastAsia="Times New Roman"/>
            </w:rPr>
            <w:t xml:space="preserve">Lloyd-Rees, J. (2018). Supporting Frequent attenders to reduce their visits to an emergency department. </w:t>
          </w:r>
          <w:r>
            <w:rPr>
              <w:rFonts w:eastAsia="Times New Roman"/>
              <w:i/>
              <w:iCs/>
            </w:rPr>
            <w:t>Emergency Nurse</w:t>
          </w:r>
          <w:r>
            <w:rPr>
              <w:rFonts w:eastAsia="Times New Roman"/>
            </w:rPr>
            <w:t xml:space="preserve">, </w:t>
          </w:r>
          <w:r>
            <w:rPr>
              <w:rFonts w:eastAsia="Times New Roman"/>
              <w:i/>
              <w:iCs/>
            </w:rPr>
            <w:t>27</w:t>
          </w:r>
          <w:r>
            <w:rPr>
              <w:rFonts w:eastAsia="Times New Roman"/>
            </w:rPr>
            <w:t>(1). https://doi.org/10.7748/EN.2018.E1853</w:t>
          </w:r>
        </w:p>
        <w:p w14:paraId="22CA2405" w14:textId="77777777" w:rsidR="00EC7CE1" w:rsidRDefault="00EC7CE1">
          <w:pPr>
            <w:autoSpaceDE w:val="0"/>
            <w:autoSpaceDN w:val="0"/>
            <w:ind w:hanging="480"/>
            <w:divId w:val="411851479"/>
            <w:rPr>
              <w:rFonts w:eastAsia="Times New Roman"/>
            </w:rPr>
          </w:pPr>
          <w:r>
            <w:rPr>
              <w:rFonts w:eastAsia="Times New Roman"/>
            </w:rPr>
            <w:t xml:space="preserve">Looper, K. J., &amp; </w:t>
          </w:r>
          <w:proofErr w:type="spellStart"/>
          <w:r>
            <w:rPr>
              <w:rFonts w:eastAsia="Times New Roman"/>
            </w:rPr>
            <w:t>Kirmayer</w:t>
          </w:r>
          <w:proofErr w:type="spellEnd"/>
          <w:r>
            <w:rPr>
              <w:rFonts w:eastAsia="Times New Roman"/>
            </w:rPr>
            <w:t xml:space="preserve">, L. J. (2004). Perceived stigma in functional somatic syndromes and comparable medical conditions. </w:t>
          </w:r>
          <w:r>
            <w:rPr>
              <w:rFonts w:eastAsia="Times New Roman"/>
              <w:i/>
              <w:iCs/>
            </w:rPr>
            <w:t>Journal of Psychosomatic Research</w:t>
          </w:r>
          <w:r>
            <w:rPr>
              <w:rFonts w:eastAsia="Times New Roman"/>
            </w:rPr>
            <w:t xml:space="preserve">, </w:t>
          </w:r>
          <w:r>
            <w:rPr>
              <w:rFonts w:eastAsia="Times New Roman"/>
              <w:i/>
              <w:iCs/>
            </w:rPr>
            <w:t>57</w:t>
          </w:r>
          <w:r>
            <w:rPr>
              <w:rFonts w:eastAsia="Times New Roman"/>
            </w:rPr>
            <w:t>(4), 373–378. https://doi.org/10.1016/j.jpsychores.2004.03.005</w:t>
          </w:r>
        </w:p>
        <w:p w14:paraId="3FD49ED2" w14:textId="77777777" w:rsidR="00EC7CE1" w:rsidRDefault="00EC7CE1">
          <w:pPr>
            <w:autoSpaceDE w:val="0"/>
            <w:autoSpaceDN w:val="0"/>
            <w:ind w:hanging="480"/>
            <w:divId w:val="393627208"/>
            <w:rPr>
              <w:rFonts w:eastAsia="Times New Roman"/>
            </w:rPr>
          </w:pPr>
          <w:r>
            <w:rPr>
              <w:rFonts w:eastAsia="Times New Roman"/>
            </w:rPr>
            <w:t xml:space="preserve">López-Pérez, B., &amp; </w:t>
          </w:r>
          <w:proofErr w:type="spellStart"/>
          <w:r>
            <w:rPr>
              <w:rFonts w:eastAsia="Times New Roman"/>
            </w:rPr>
            <w:t>Ambrona</w:t>
          </w:r>
          <w:proofErr w:type="spellEnd"/>
          <w:r>
            <w:rPr>
              <w:rFonts w:eastAsia="Times New Roman"/>
            </w:rPr>
            <w:t xml:space="preserve">, T. (2015). The role of cognitive emotion regulation on the vicarious emotional response. </w:t>
          </w:r>
          <w:r>
            <w:rPr>
              <w:rFonts w:eastAsia="Times New Roman"/>
              <w:i/>
              <w:iCs/>
            </w:rPr>
            <w:t>Motivation and Emotion</w:t>
          </w:r>
          <w:r>
            <w:rPr>
              <w:rFonts w:eastAsia="Times New Roman"/>
            </w:rPr>
            <w:t xml:space="preserve">, </w:t>
          </w:r>
          <w:r>
            <w:rPr>
              <w:rFonts w:eastAsia="Times New Roman"/>
              <w:i/>
              <w:iCs/>
            </w:rPr>
            <w:t>39</w:t>
          </w:r>
          <w:r>
            <w:rPr>
              <w:rFonts w:eastAsia="Times New Roman"/>
            </w:rPr>
            <w:t>(2), 299–308. https://doi.org/10.1007/S11031-014-9452-Z</w:t>
          </w:r>
        </w:p>
        <w:p w14:paraId="5ADDB14F" w14:textId="77777777" w:rsidR="00EC7CE1" w:rsidRDefault="00EC7CE1">
          <w:pPr>
            <w:autoSpaceDE w:val="0"/>
            <w:autoSpaceDN w:val="0"/>
            <w:ind w:hanging="480"/>
            <w:divId w:val="1619754013"/>
            <w:rPr>
              <w:rFonts w:eastAsia="Times New Roman"/>
            </w:rPr>
          </w:pPr>
          <w:r>
            <w:rPr>
              <w:rFonts w:eastAsia="Times New Roman"/>
            </w:rPr>
            <w:t xml:space="preserve">Lorenzo-Seva, U. (2021). SOLOMON: a method for splitting a sample into equivalent subsamples in factor analysis. </w:t>
          </w:r>
          <w:proofErr w:type="spellStart"/>
          <w:r>
            <w:rPr>
              <w:rFonts w:eastAsia="Times New Roman"/>
              <w:i/>
              <w:iCs/>
            </w:rPr>
            <w:t>Behavior</w:t>
          </w:r>
          <w:proofErr w:type="spellEnd"/>
          <w:r>
            <w:rPr>
              <w:rFonts w:eastAsia="Times New Roman"/>
              <w:i/>
              <w:iCs/>
            </w:rPr>
            <w:t xml:space="preserve"> Research Methods</w:t>
          </w:r>
          <w:r>
            <w:rPr>
              <w:rFonts w:eastAsia="Times New Roman"/>
            </w:rPr>
            <w:t xml:space="preserve">, </w:t>
          </w:r>
          <w:r>
            <w:rPr>
              <w:rFonts w:eastAsia="Times New Roman"/>
              <w:i/>
              <w:iCs/>
            </w:rPr>
            <w:t>1</w:t>
          </w:r>
          <w:r>
            <w:rPr>
              <w:rFonts w:eastAsia="Times New Roman"/>
            </w:rPr>
            <w:t>, 1–13. https://doi.org/10.3758/S13428-021-01750-Y/TABLES/4</w:t>
          </w:r>
        </w:p>
        <w:p w14:paraId="05E8076F" w14:textId="77777777" w:rsidR="00EC7CE1" w:rsidRDefault="00EC7CE1">
          <w:pPr>
            <w:autoSpaceDE w:val="0"/>
            <w:autoSpaceDN w:val="0"/>
            <w:ind w:hanging="480"/>
            <w:divId w:val="31537546"/>
            <w:rPr>
              <w:rFonts w:eastAsia="Times New Roman"/>
            </w:rPr>
          </w:pPr>
          <w:r>
            <w:rPr>
              <w:rFonts w:eastAsia="Times New Roman"/>
            </w:rPr>
            <w:t xml:space="preserve">Lovell, D. M., Williams, J. M. G., &amp; Hill, A. B. (1997). Selective processing of shape-related words in women with eating disorders, and those who have recovered. </w:t>
          </w:r>
          <w:r>
            <w:rPr>
              <w:rFonts w:eastAsia="Times New Roman"/>
              <w:i/>
              <w:iCs/>
            </w:rPr>
            <w:t>British Journal of Clinical Psychology</w:t>
          </w:r>
          <w:r>
            <w:rPr>
              <w:rFonts w:eastAsia="Times New Roman"/>
            </w:rPr>
            <w:t xml:space="preserve">, </w:t>
          </w:r>
          <w:r>
            <w:rPr>
              <w:rFonts w:eastAsia="Times New Roman"/>
              <w:i/>
              <w:iCs/>
            </w:rPr>
            <w:t>36</w:t>
          </w:r>
          <w:r>
            <w:rPr>
              <w:rFonts w:eastAsia="Times New Roman"/>
            </w:rPr>
            <w:t>(3), 421–432. https://doi.org/10.1111/j.2044-8260.1997.tb01249.x</w:t>
          </w:r>
        </w:p>
        <w:p w14:paraId="3171D7BC" w14:textId="77777777" w:rsidR="00EC7CE1" w:rsidRDefault="00EC7CE1">
          <w:pPr>
            <w:autoSpaceDE w:val="0"/>
            <w:autoSpaceDN w:val="0"/>
            <w:ind w:hanging="480"/>
            <w:divId w:val="1965885391"/>
            <w:rPr>
              <w:rFonts w:eastAsia="Times New Roman"/>
            </w:rPr>
          </w:pPr>
          <w:r>
            <w:rPr>
              <w:rFonts w:eastAsia="Times New Roman"/>
            </w:rPr>
            <w:t xml:space="preserve">Ludwig, L., </w:t>
          </w:r>
          <w:proofErr w:type="spellStart"/>
          <w:r>
            <w:rPr>
              <w:rFonts w:eastAsia="Times New Roman"/>
            </w:rPr>
            <w:t>Pasman</w:t>
          </w:r>
          <w:proofErr w:type="spellEnd"/>
          <w:r>
            <w:rPr>
              <w:rFonts w:eastAsia="Times New Roman"/>
            </w:rPr>
            <w:t xml:space="preserve">, J. A., Nicholson, T., </w:t>
          </w:r>
          <w:proofErr w:type="spellStart"/>
          <w:r>
            <w:rPr>
              <w:rFonts w:eastAsia="Times New Roman"/>
            </w:rPr>
            <w:t>Aybek</w:t>
          </w:r>
          <w:proofErr w:type="spellEnd"/>
          <w:r>
            <w:rPr>
              <w:rFonts w:eastAsia="Times New Roman"/>
            </w:rPr>
            <w:t xml:space="preserve">, S., David, A. S., Tuck, S., Kanaan, R. A., </w:t>
          </w:r>
          <w:proofErr w:type="spellStart"/>
          <w:r>
            <w:rPr>
              <w:rFonts w:eastAsia="Times New Roman"/>
            </w:rPr>
            <w:t>Roelofs</w:t>
          </w:r>
          <w:proofErr w:type="spellEnd"/>
          <w:r>
            <w:rPr>
              <w:rFonts w:eastAsia="Times New Roman"/>
            </w:rPr>
            <w:t xml:space="preserve">, K., Carson, A., &amp; Stone, J. (2018). Stressful life events and </w:t>
          </w:r>
          <w:r>
            <w:rPr>
              <w:rFonts w:eastAsia="Times New Roman"/>
            </w:rPr>
            <w:lastRenderedPageBreak/>
            <w:t xml:space="preserve">maltreatment in conversion (functional neurological) disorder: systematic review and meta-analysis of case-control studies. </w:t>
          </w:r>
          <w:r>
            <w:rPr>
              <w:rFonts w:eastAsia="Times New Roman"/>
              <w:i/>
              <w:iCs/>
            </w:rPr>
            <w:t>The Lancet Psychiatry</w:t>
          </w:r>
          <w:r>
            <w:rPr>
              <w:rFonts w:eastAsia="Times New Roman"/>
            </w:rPr>
            <w:t xml:space="preserve">, </w:t>
          </w:r>
          <w:r>
            <w:rPr>
              <w:rFonts w:eastAsia="Times New Roman"/>
              <w:i/>
              <w:iCs/>
            </w:rPr>
            <w:t>5</w:t>
          </w:r>
          <w:r>
            <w:rPr>
              <w:rFonts w:eastAsia="Times New Roman"/>
            </w:rPr>
            <w:t>(4), 307–320. https://doi.org/10.1016/s2215-0366(18)30051-8</w:t>
          </w:r>
        </w:p>
        <w:p w14:paraId="776E19CA" w14:textId="77777777" w:rsidR="00EC7CE1" w:rsidRDefault="00EC7CE1">
          <w:pPr>
            <w:autoSpaceDE w:val="0"/>
            <w:autoSpaceDN w:val="0"/>
            <w:ind w:hanging="480"/>
            <w:divId w:val="519591210"/>
            <w:rPr>
              <w:rFonts w:eastAsia="Times New Roman"/>
            </w:rPr>
          </w:pPr>
          <w:r>
            <w:rPr>
              <w:rFonts w:eastAsia="Times New Roman"/>
            </w:rPr>
            <w:t xml:space="preserve">Lundgren, T., Dahl, J. A., &amp; Hayes, S. C. (2008). Evaluation of mediators of change in the treatment of epilepsy with acceptance and commitment therapy. </w:t>
          </w:r>
          <w:r>
            <w:rPr>
              <w:rFonts w:eastAsia="Times New Roman"/>
              <w:i/>
              <w:iCs/>
            </w:rPr>
            <w:t xml:space="preserve">Journal of </w:t>
          </w:r>
          <w:proofErr w:type="spellStart"/>
          <w:r>
            <w:rPr>
              <w:rFonts w:eastAsia="Times New Roman"/>
              <w:i/>
              <w:iCs/>
            </w:rPr>
            <w:t>Behavioral</w:t>
          </w:r>
          <w:proofErr w:type="spellEnd"/>
          <w:r>
            <w:rPr>
              <w:rFonts w:eastAsia="Times New Roman"/>
              <w:i/>
              <w:iCs/>
            </w:rPr>
            <w:t xml:space="preserve"> Medicine</w:t>
          </w:r>
          <w:r>
            <w:rPr>
              <w:rFonts w:eastAsia="Times New Roman"/>
            </w:rPr>
            <w:t xml:space="preserve">, </w:t>
          </w:r>
          <w:r>
            <w:rPr>
              <w:rFonts w:eastAsia="Times New Roman"/>
              <w:i/>
              <w:iCs/>
            </w:rPr>
            <w:t>31</w:t>
          </w:r>
          <w:r>
            <w:rPr>
              <w:rFonts w:eastAsia="Times New Roman"/>
            </w:rPr>
            <w:t>(3), 225–235. https://doi.org/10.1007/S10865-008-9151-X/TABLES/4</w:t>
          </w:r>
        </w:p>
        <w:p w14:paraId="55E05A0F" w14:textId="77777777" w:rsidR="00EC7CE1" w:rsidRDefault="00EC7CE1">
          <w:pPr>
            <w:autoSpaceDE w:val="0"/>
            <w:autoSpaceDN w:val="0"/>
            <w:ind w:hanging="480"/>
            <w:divId w:val="1036539151"/>
            <w:rPr>
              <w:rFonts w:eastAsia="Times New Roman"/>
            </w:rPr>
          </w:pPr>
          <w:r>
            <w:rPr>
              <w:rFonts w:eastAsia="Times New Roman"/>
            </w:rPr>
            <w:t xml:space="preserve">Lundqvist, D., </w:t>
          </w:r>
          <w:proofErr w:type="spellStart"/>
          <w:r>
            <w:rPr>
              <w:rFonts w:eastAsia="Times New Roman"/>
            </w:rPr>
            <w:t>Flykt</w:t>
          </w:r>
          <w:proofErr w:type="spellEnd"/>
          <w:r>
            <w:rPr>
              <w:rFonts w:eastAsia="Times New Roman"/>
            </w:rPr>
            <w:t xml:space="preserve">, A., &amp; </w:t>
          </w:r>
          <w:proofErr w:type="spellStart"/>
          <w:r>
            <w:rPr>
              <w:rFonts w:eastAsia="Times New Roman"/>
            </w:rPr>
            <w:t>Ohman</w:t>
          </w:r>
          <w:proofErr w:type="spellEnd"/>
          <w:r>
            <w:rPr>
              <w:rFonts w:eastAsia="Times New Roman"/>
            </w:rPr>
            <w:t xml:space="preserve">, A. (1998). Karolinska Directed Emotional Faces. In </w:t>
          </w:r>
          <w:r>
            <w:rPr>
              <w:rFonts w:eastAsia="Times New Roman"/>
              <w:i/>
              <w:iCs/>
            </w:rPr>
            <w:t>Karolinska Directed Emotional Faces</w:t>
          </w:r>
          <w:r>
            <w:rPr>
              <w:rFonts w:eastAsia="Times New Roman"/>
            </w:rPr>
            <w:t>. https://psycnet.apa.org/doiLanding?doi=10.1037%2Ft27732-000</w:t>
          </w:r>
        </w:p>
        <w:p w14:paraId="1AEBDF12" w14:textId="77777777" w:rsidR="00EC7CE1" w:rsidRDefault="00EC7CE1">
          <w:pPr>
            <w:autoSpaceDE w:val="0"/>
            <w:autoSpaceDN w:val="0"/>
            <w:ind w:hanging="480"/>
            <w:divId w:val="1300570601"/>
            <w:rPr>
              <w:rFonts w:eastAsia="Times New Roman"/>
            </w:rPr>
          </w:pPr>
          <w:proofErr w:type="spellStart"/>
          <w:r>
            <w:rPr>
              <w:rFonts w:eastAsia="Times New Roman"/>
            </w:rPr>
            <w:t>Luszczynska</w:t>
          </w:r>
          <w:proofErr w:type="spellEnd"/>
          <w:r>
            <w:rPr>
              <w:rFonts w:eastAsia="Times New Roman"/>
            </w:rPr>
            <w:t xml:space="preserve">, A., Sarkar, Y., &amp; Knoll, N. (2007). Received social support, self-efficacy, and finding benefits in disease as predictors of physical functioning and adherence to antiretroviral therapy. </w:t>
          </w:r>
          <w:r>
            <w:rPr>
              <w:rFonts w:eastAsia="Times New Roman"/>
              <w:i/>
              <w:iCs/>
            </w:rPr>
            <w:t xml:space="preserve">Patient Education and </w:t>
          </w:r>
          <w:proofErr w:type="spellStart"/>
          <w:r>
            <w:rPr>
              <w:rFonts w:eastAsia="Times New Roman"/>
              <w:i/>
              <w:iCs/>
            </w:rPr>
            <w:t>Counseling</w:t>
          </w:r>
          <w:proofErr w:type="spellEnd"/>
          <w:r>
            <w:rPr>
              <w:rFonts w:eastAsia="Times New Roman"/>
            </w:rPr>
            <w:t xml:space="preserve">, </w:t>
          </w:r>
          <w:r>
            <w:rPr>
              <w:rFonts w:eastAsia="Times New Roman"/>
              <w:i/>
              <w:iCs/>
            </w:rPr>
            <w:t>66</w:t>
          </w:r>
          <w:r>
            <w:rPr>
              <w:rFonts w:eastAsia="Times New Roman"/>
            </w:rPr>
            <w:t>(1), 37–42. https://doi.org/10.1016/J.PEC.2006.10.002</w:t>
          </w:r>
        </w:p>
        <w:p w14:paraId="65D98569" w14:textId="77777777" w:rsidR="00EC7CE1" w:rsidRDefault="00EC7CE1">
          <w:pPr>
            <w:autoSpaceDE w:val="0"/>
            <w:autoSpaceDN w:val="0"/>
            <w:ind w:hanging="480"/>
            <w:divId w:val="159349791"/>
            <w:rPr>
              <w:rFonts w:eastAsia="Times New Roman"/>
            </w:rPr>
          </w:pPr>
          <w:proofErr w:type="spellStart"/>
          <w:r>
            <w:rPr>
              <w:rFonts w:eastAsia="Times New Roman"/>
            </w:rPr>
            <w:t>Macduffie</w:t>
          </w:r>
          <w:proofErr w:type="spellEnd"/>
          <w:r>
            <w:rPr>
              <w:rFonts w:eastAsia="Times New Roman"/>
            </w:rPr>
            <w:t xml:space="preserve">, K. E., Grubbs, L., Best, T., Laroche, S., </w:t>
          </w:r>
          <w:proofErr w:type="spellStart"/>
          <w:r>
            <w:rPr>
              <w:rFonts w:eastAsia="Times New Roman"/>
            </w:rPr>
            <w:t>Mildon</w:t>
          </w:r>
          <w:proofErr w:type="spellEnd"/>
          <w:r>
            <w:rPr>
              <w:rFonts w:eastAsia="Times New Roman"/>
            </w:rPr>
            <w:t xml:space="preserve">, B., Myers, L., Stafford, E., &amp; </w:t>
          </w:r>
          <w:proofErr w:type="spellStart"/>
          <w:r>
            <w:rPr>
              <w:rFonts w:eastAsia="Times New Roman"/>
            </w:rPr>
            <w:t>Rommelfanger</w:t>
          </w:r>
          <w:proofErr w:type="spellEnd"/>
          <w:r>
            <w:rPr>
              <w:rFonts w:eastAsia="Times New Roman"/>
            </w:rPr>
            <w:t xml:space="preserve">, K. S. (2020). Stigma and functional neurological disorder: a research agenda targeting the clinical encounter. </w:t>
          </w:r>
          <w:r>
            <w:rPr>
              <w:rFonts w:eastAsia="Times New Roman"/>
              <w:i/>
              <w:iCs/>
            </w:rPr>
            <w:t>CNS Spectrums</w:t>
          </w:r>
          <w:r>
            <w:rPr>
              <w:rFonts w:eastAsia="Times New Roman"/>
            </w:rPr>
            <w:t xml:space="preserve">, </w:t>
          </w:r>
          <w:r>
            <w:rPr>
              <w:rFonts w:eastAsia="Times New Roman"/>
              <w:i/>
              <w:iCs/>
            </w:rPr>
            <w:t>26</w:t>
          </w:r>
          <w:r>
            <w:rPr>
              <w:rFonts w:eastAsia="Times New Roman"/>
            </w:rPr>
            <w:t>(6), 587–592. https://doi.org/10.1017/S1092852920002084</w:t>
          </w:r>
        </w:p>
        <w:p w14:paraId="64DFFF1C" w14:textId="77777777" w:rsidR="00EC7CE1" w:rsidRDefault="00EC7CE1">
          <w:pPr>
            <w:autoSpaceDE w:val="0"/>
            <w:autoSpaceDN w:val="0"/>
            <w:ind w:hanging="480"/>
            <w:divId w:val="1607273107"/>
            <w:rPr>
              <w:rFonts w:eastAsia="Times New Roman"/>
            </w:rPr>
          </w:pPr>
          <w:proofErr w:type="spellStart"/>
          <w:r>
            <w:rPr>
              <w:rFonts w:eastAsia="Times New Roman"/>
            </w:rPr>
            <w:t>Macerollo</w:t>
          </w:r>
          <w:proofErr w:type="spellEnd"/>
          <w:r>
            <w:rPr>
              <w:rFonts w:eastAsia="Times New Roman"/>
            </w:rPr>
            <w:t xml:space="preserve">, A., Chen, J. C., </w:t>
          </w:r>
          <w:proofErr w:type="spellStart"/>
          <w:r>
            <w:rPr>
              <w:rFonts w:eastAsia="Times New Roman"/>
            </w:rPr>
            <w:t>Parés</w:t>
          </w:r>
          <w:proofErr w:type="spellEnd"/>
          <w:r>
            <w:rPr>
              <w:rFonts w:eastAsia="Times New Roman"/>
            </w:rPr>
            <w:t xml:space="preserve">, I., </w:t>
          </w:r>
          <w:proofErr w:type="spellStart"/>
          <w:r>
            <w:rPr>
              <w:rFonts w:eastAsia="Times New Roman"/>
            </w:rPr>
            <w:t>Kassavetis</w:t>
          </w:r>
          <w:proofErr w:type="spellEnd"/>
          <w:r>
            <w:rPr>
              <w:rFonts w:eastAsia="Times New Roman"/>
            </w:rPr>
            <w:t xml:space="preserve">, P., </w:t>
          </w:r>
          <w:proofErr w:type="spellStart"/>
          <w:r>
            <w:rPr>
              <w:rFonts w:eastAsia="Times New Roman"/>
            </w:rPr>
            <w:t>Kilner</w:t>
          </w:r>
          <w:proofErr w:type="spellEnd"/>
          <w:r>
            <w:rPr>
              <w:rFonts w:eastAsia="Times New Roman"/>
            </w:rPr>
            <w:t xml:space="preserve">, J. M., &amp; Edwards, M. J. (2015). Sensory Attenuation Assessed by Sensory Evoked Potentials in Functional Movement Disorders. </w:t>
          </w:r>
          <w:r>
            <w:rPr>
              <w:rFonts w:eastAsia="Times New Roman"/>
              <w:i/>
              <w:iCs/>
            </w:rPr>
            <w:t>PLOS ONE</w:t>
          </w:r>
          <w:r>
            <w:rPr>
              <w:rFonts w:eastAsia="Times New Roman"/>
            </w:rPr>
            <w:t xml:space="preserve">, </w:t>
          </w:r>
          <w:r>
            <w:rPr>
              <w:rFonts w:eastAsia="Times New Roman"/>
              <w:i/>
              <w:iCs/>
            </w:rPr>
            <w:t>10</w:t>
          </w:r>
          <w:r>
            <w:rPr>
              <w:rFonts w:eastAsia="Times New Roman"/>
            </w:rPr>
            <w:t>(6), e0129507. https://doi.org/10.1371/JOURNAL.PONE.0129507</w:t>
          </w:r>
        </w:p>
        <w:p w14:paraId="004AB994" w14:textId="77777777" w:rsidR="00EC7CE1" w:rsidRDefault="00EC7CE1">
          <w:pPr>
            <w:autoSpaceDE w:val="0"/>
            <w:autoSpaceDN w:val="0"/>
            <w:ind w:hanging="480"/>
            <w:divId w:val="1007292678"/>
            <w:rPr>
              <w:rFonts w:eastAsia="Times New Roman"/>
            </w:rPr>
          </w:pPr>
          <w:r>
            <w:rPr>
              <w:rFonts w:eastAsia="Times New Roman"/>
            </w:rPr>
            <w:t xml:space="preserve">Mackay, M., </w:t>
          </w:r>
          <w:proofErr w:type="spellStart"/>
          <w:r>
            <w:rPr>
              <w:rFonts w:eastAsia="Times New Roman"/>
            </w:rPr>
            <w:t>Mahlaba</w:t>
          </w:r>
          <w:proofErr w:type="spellEnd"/>
          <w:r>
            <w:rPr>
              <w:rFonts w:eastAsia="Times New Roman"/>
            </w:rPr>
            <w:t xml:space="preserve">, H., </w:t>
          </w:r>
          <w:proofErr w:type="spellStart"/>
          <w:r>
            <w:rPr>
              <w:rFonts w:eastAsia="Times New Roman"/>
            </w:rPr>
            <w:t>Gavillet</w:t>
          </w:r>
          <w:proofErr w:type="spellEnd"/>
          <w:r>
            <w:rPr>
              <w:rFonts w:eastAsia="Times New Roman"/>
            </w:rPr>
            <w:t xml:space="preserve">, E., &amp; Whittaker, R. G. (2017). Seizure self-prediction: Myth or missed opportunity? </w:t>
          </w:r>
          <w:r>
            <w:rPr>
              <w:rFonts w:eastAsia="Times New Roman"/>
              <w:i/>
              <w:iCs/>
            </w:rPr>
            <w:t>Seizure</w:t>
          </w:r>
          <w:r>
            <w:rPr>
              <w:rFonts w:eastAsia="Times New Roman"/>
            </w:rPr>
            <w:t xml:space="preserve">, </w:t>
          </w:r>
          <w:r>
            <w:rPr>
              <w:rFonts w:eastAsia="Times New Roman"/>
              <w:i/>
              <w:iCs/>
            </w:rPr>
            <w:t>51</w:t>
          </w:r>
          <w:r>
            <w:rPr>
              <w:rFonts w:eastAsia="Times New Roman"/>
            </w:rPr>
            <w:t>, 180–185. https://doi.org/10.1016/J.SEIZURE.2017.08.011</w:t>
          </w:r>
        </w:p>
        <w:p w14:paraId="4DBE2587" w14:textId="77777777" w:rsidR="00EC7CE1" w:rsidRDefault="00EC7CE1">
          <w:pPr>
            <w:autoSpaceDE w:val="0"/>
            <w:autoSpaceDN w:val="0"/>
            <w:ind w:hanging="480"/>
            <w:divId w:val="857236538"/>
            <w:rPr>
              <w:rFonts w:eastAsia="Times New Roman"/>
            </w:rPr>
          </w:pPr>
          <w:r>
            <w:rPr>
              <w:rFonts w:eastAsia="Times New Roman"/>
            </w:rPr>
            <w:t xml:space="preserve">MacLeod, C., &amp; Mathews, A. (2012). Cognitive bias modification approaches to anxiety. </w:t>
          </w:r>
          <w:r>
            <w:rPr>
              <w:rFonts w:eastAsia="Times New Roman"/>
              <w:i/>
              <w:iCs/>
            </w:rPr>
            <w:t>Annual Review of Clinical Psychology</w:t>
          </w:r>
          <w:r>
            <w:rPr>
              <w:rFonts w:eastAsia="Times New Roman"/>
            </w:rPr>
            <w:t xml:space="preserve">, </w:t>
          </w:r>
          <w:r>
            <w:rPr>
              <w:rFonts w:eastAsia="Times New Roman"/>
              <w:i/>
              <w:iCs/>
            </w:rPr>
            <w:t>8</w:t>
          </w:r>
          <w:r>
            <w:rPr>
              <w:rFonts w:eastAsia="Times New Roman"/>
            </w:rPr>
            <w:t>, 189–217. https://doi.org/10.1146/ANNUREV-CLINPSY-032511-143052</w:t>
          </w:r>
        </w:p>
        <w:p w14:paraId="12B27FD1" w14:textId="77777777" w:rsidR="00EC7CE1" w:rsidRDefault="00EC7CE1">
          <w:pPr>
            <w:autoSpaceDE w:val="0"/>
            <w:autoSpaceDN w:val="0"/>
            <w:ind w:hanging="480"/>
            <w:divId w:val="705253465"/>
            <w:rPr>
              <w:rFonts w:eastAsia="Times New Roman"/>
            </w:rPr>
          </w:pPr>
          <w:r>
            <w:rPr>
              <w:rFonts w:eastAsia="Times New Roman"/>
            </w:rPr>
            <w:t xml:space="preserve">Mahoney, A. E. J., &amp; McEvoy, P. M. (2012). A Transdiagnostic Examination of Intolerance of Uncertainty Across Anxiety and Depressive Disorders. </w:t>
          </w:r>
          <w:r>
            <w:rPr>
              <w:rFonts w:eastAsia="Times New Roman"/>
              <w:i/>
              <w:iCs/>
            </w:rPr>
            <w:t>Http://Dx.Doi.Org/10.1080/16506073.2011.622130</w:t>
          </w:r>
          <w:r>
            <w:rPr>
              <w:rFonts w:eastAsia="Times New Roman"/>
            </w:rPr>
            <w:t xml:space="preserve">, </w:t>
          </w:r>
          <w:r>
            <w:rPr>
              <w:rFonts w:eastAsia="Times New Roman"/>
              <w:i/>
              <w:iCs/>
            </w:rPr>
            <w:t>41</w:t>
          </w:r>
          <w:r>
            <w:rPr>
              <w:rFonts w:eastAsia="Times New Roman"/>
            </w:rPr>
            <w:t>(3), 212–222. https://doi.org/10.1080/16506073.2011.622130</w:t>
          </w:r>
        </w:p>
        <w:p w14:paraId="64DE39A2" w14:textId="77777777" w:rsidR="00EC7CE1" w:rsidRDefault="00EC7CE1">
          <w:pPr>
            <w:autoSpaceDE w:val="0"/>
            <w:autoSpaceDN w:val="0"/>
            <w:ind w:hanging="480"/>
            <w:divId w:val="17242762"/>
            <w:rPr>
              <w:rFonts w:eastAsia="Times New Roman"/>
            </w:rPr>
          </w:pPr>
          <w:r>
            <w:rPr>
              <w:rFonts w:eastAsia="Times New Roman"/>
            </w:rPr>
            <w:lastRenderedPageBreak/>
            <w:t xml:space="preserve">Major, B., &amp; O’Brien, L. T. (2005). The social psychology of stigma. </w:t>
          </w:r>
          <w:r>
            <w:rPr>
              <w:rFonts w:eastAsia="Times New Roman"/>
              <w:i/>
              <w:iCs/>
            </w:rPr>
            <w:t>Annual Review of Psychology</w:t>
          </w:r>
          <w:r>
            <w:rPr>
              <w:rFonts w:eastAsia="Times New Roman"/>
            </w:rPr>
            <w:t xml:space="preserve">, </w:t>
          </w:r>
          <w:r>
            <w:rPr>
              <w:rFonts w:eastAsia="Times New Roman"/>
              <w:i/>
              <w:iCs/>
            </w:rPr>
            <w:t>56</w:t>
          </w:r>
          <w:r>
            <w:rPr>
              <w:rFonts w:eastAsia="Times New Roman"/>
            </w:rPr>
            <w:t>, 393–421. https://doi.org/10.1146/ANNUREV.PSYCH.56.091103.070137</w:t>
          </w:r>
        </w:p>
        <w:p w14:paraId="3C55EB58" w14:textId="77777777" w:rsidR="00EC7CE1" w:rsidRDefault="00EC7CE1">
          <w:pPr>
            <w:autoSpaceDE w:val="0"/>
            <w:autoSpaceDN w:val="0"/>
            <w:ind w:hanging="480"/>
            <w:divId w:val="713696974"/>
            <w:rPr>
              <w:rFonts w:eastAsia="Times New Roman"/>
            </w:rPr>
          </w:pPr>
          <w:proofErr w:type="spellStart"/>
          <w:r>
            <w:rPr>
              <w:rFonts w:eastAsia="Times New Roman"/>
            </w:rPr>
            <w:t>Malesza</w:t>
          </w:r>
          <w:proofErr w:type="spellEnd"/>
          <w:r>
            <w:rPr>
              <w:rFonts w:eastAsia="Times New Roman"/>
            </w:rPr>
            <w:t xml:space="preserve">, M. (2019a). Relationship between emotion regulation, negative affect, gender and delay discounting. </w:t>
          </w:r>
          <w:r>
            <w:rPr>
              <w:rFonts w:eastAsia="Times New Roman"/>
              <w:i/>
              <w:iCs/>
            </w:rPr>
            <w:t>Current Psychology : Research &amp; Reviews.</w:t>
          </w:r>
        </w:p>
        <w:p w14:paraId="47327399" w14:textId="77777777" w:rsidR="00EC7CE1" w:rsidRDefault="00EC7CE1">
          <w:pPr>
            <w:autoSpaceDE w:val="0"/>
            <w:autoSpaceDN w:val="0"/>
            <w:ind w:hanging="480"/>
            <w:divId w:val="888226695"/>
            <w:rPr>
              <w:rFonts w:eastAsia="Times New Roman"/>
            </w:rPr>
          </w:pPr>
          <w:proofErr w:type="spellStart"/>
          <w:r>
            <w:rPr>
              <w:rFonts w:eastAsia="Times New Roman"/>
            </w:rPr>
            <w:t>Malesza</w:t>
          </w:r>
          <w:proofErr w:type="spellEnd"/>
          <w:r>
            <w:rPr>
              <w:rFonts w:eastAsia="Times New Roman"/>
            </w:rPr>
            <w:t xml:space="preserve">, M. (2019b). Stress and delay discounting: The mediating role of difficulties in emotion regulation. </w:t>
          </w:r>
          <w:r>
            <w:rPr>
              <w:rFonts w:eastAsia="Times New Roman"/>
              <w:i/>
              <w:iCs/>
            </w:rPr>
            <w:t>Personality and Individual Differences</w:t>
          </w:r>
          <w:r>
            <w:rPr>
              <w:rFonts w:eastAsia="Times New Roman"/>
            </w:rPr>
            <w:t xml:space="preserve">, </w:t>
          </w:r>
          <w:r>
            <w:rPr>
              <w:rFonts w:eastAsia="Times New Roman"/>
              <w:i/>
              <w:iCs/>
            </w:rPr>
            <w:t>144</w:t>
          </w:r>
          <w:r>
            <w:rPr>
              <w:rFonts w:eastAsia="Times New Roman"/>
            </w:rPr>
            <w:t>, 56–60. https://doi.org/10.1016/j.paid.2019.02.035</w:t>
          </w:r>
        </w:p>
        <w:p w14:paraId="75898C3F" w14:textId="77777777" w:rsidR="00EC7CE1" w:rsidRDefault="00EC7CE1">
          <w:pPr>
            <w:autoSpaceDE w:val="0"/>
            <w:autoSpaceDN w:val="0"/>
            <w:ind w:hanging="480"/>
            <w:divId w:val="998727986"/>
            <w:rPr>
              <w:rFonts w:eastAsia="Times New Roman"/>
            </w:rPr>
          </w:pPr>
          <w:r>
            <w:rPr>
              <w:rFonts w:eastAsia="Times New Roman"/>
            </w:rPr>
            <w:t xml:space="preserve">Marcus, D. K., Gurley, J. R., </w:t>
          </w:r>
          <w:proofErr w:type="spellStart"/>
          <w:r>
            <w:rPr>
              <w:rFonts w:eastAsia="Times New Roman"/>
            </w:rPr>
            <w:t>Marchi</w:t>
          </w:r>
          <w:proofErr w:type="spellEnd"/>
          <w:r>
            <w:rPr>
              <w:rFonts w:eastAsia="Times New Roman"/>
            </w:rPr>
            <w:t xml:space="preserve">, M. M., &amp; Bauer, C. (2007). Cognitive and perceptual variables in hypochondriasis and health anxiety: a systematic review. </w:t>
          </w:r>
          <w:r>
            <w:rPr>
              <w:rFonts w:eastAsia="Times New Roman"/>
              <w:i/>
              <w:iCs/>
            </w:rPr>
            <w:t xml:space="preserve">Clin </w:t>
          </w:r>
          <w:proofErr w:type="spellStart"/>
          <w:r>
            <w:rPr>
              <w:rFonts w:eastAsia="Times New Roman"/>
              <w:i/>
              <w:iCs/>
            </w:rPr>
            <w:t>Psychol</w:t>
          </w:r>
          <w:proofErr w:type="spellEnd"/>
          <w:r>
            <w:rPr>
              <w:rFonts w:eastAsia="Times New Roman"/>
              <w:i/>
              <w:iCs/>
            </w:rPr>
            <w:t xml:space="preserve"> Rev</w:t>
          </w:r>
          <w:r>
            <w:rPr>
              <w:rFonts w:eastAsia="Times New Roman"/>
            </w:rPr>
            <w:t xml:space="preserve">, </w:t>
          </w:r>
          <w:r>
            <w:rPr>
              <w:rFonts w:eastAsia="Times New Roman"/>
              <w:i/>
              <w:iCs/>
            </w:rPr>
            <w:t>27</w:t>
          </w:r>
          <w:r>
            <w:rPr>
              <w:rFonts w:eastAsia="Times New Roman"/>
            </w:rPr>
            <w:t>(2), 127–139. https://doi.org/10.1016/j.cpr.2006.09.003</w:t>
          </w:r>
        </w:p>
        <w:p w14:paraId="38D63AA8" w14:textId="77777777" w:rsidR="00EC7CE1" w:rsidRDefault="00EC7CE1">
          <w:pPr>
            <w:autoSpaceDE w:val="0"/>
            <w:autoSpaceDN w:val="0"/>
            <w:ind w:hanging="480"/>
            <w:divId w:val="1757359205"/>
            <w:rPr>
              <w:rFonts w:eastAsia="Times New Roman"/>
            </w:rPr>
          </w:pPr>
          <w:proofErr w:type="spellStart"/>
          <w:r>
            <w:rPr>
              <w:rFonts w:eastAsia="Times New Roman"/>
            </w:rPr>
            <w:t>Martlew</w:t>
          </w:r>
          <w:proofErr w:type="spellEnd"/>
          <w:r>
            <w:rPr>
              <w:rFonts w:eastAsia="Times New Roman"/>
            </w:rPr>
            <w:t xml:space="preserve">, J., Pulman, J., &amp; Marson, A. G. (2014). Psychological and behavioural treatments for adults with non-epileptic attack disorder. </w:t>
          </w:r>
          <w:r>
            <w:rPr>
              <w:rFonts w:eastAsia="Times New Roman"/>
              <w:i/>
              <w:iCs/>
            </w:rPr>
            <w:t>The Cochrane Database of Systematic Reviews</w:t>
          </w:r>
          <w:r>
            <w:rPr>
              <w:rFonts w:eastAsia="Times New Roman"/>
            </w:rPr>
            <w:t xml:space="preserve">, </w:t>
          </w:r>
          <w:r>
            <w:rPr>
              <w:rFonts w:eastAsia="Times New Roman"/>
              <w:i/>
              <w:iCs/>
            </w:rPr>
            <w:t>2014</w:t>
          </w:r>
          <w:r>
            <w:rPr>
              <w:rFonts w:eastAsia="Times New Roman"/>
            </w:rPr>
            <w:t>(2). https://doi.org/10.1002/14651858.CD006370.PUB2</w:t>
          </w:r>
        </w:p>
        <w:p w14:paraId="0D951CEB" w14:textId="77777777" w:rsidR="00EC7CE1" w:rsidRDefault="00EC7CE1">
          <w:pPr>
            <w:autoSpaceDE w:val="0"/>
            <w:autoSpaceDN w:val="0"/>
            <w:ind w:hanging="480"/>
            <w:divId w:val="874388891"/>
            <w:rPr>
              <w:rFonts w:eastAsia="Times New Roman"/>
            </w:rPr>
          </w:pPr>
          <w:r>
            <w:rPr>
              <w:rFonts w:eastAsia="Times New Roman"/>
            </w:rPr>
            <w:t xml:space="preserve">Mason, S., Stone, T., Jacques, R., Lewis, J., Simpson, R., </w:t>
          </w:r>
          <w:proofErr w:type="spellStart"/>
          <w:r>
            <w:rPr>
              <w:rFonts w:eastAsia="Times New Roman"/>
            </w:rPr>
            <w:t>Kuczawski</w:t>
          </w:r>
          <w:proofErr w:type="spellEnd"/>
          <w:r>
            <w:rPr>
              <w:rFonts w:eastAsia="Times New Roman"/>
            </w:rPr>
            <w:t xml:space="preserve">, M., &amp; Franklin, M. (2022). Creating a Real-World Linked Research Platform for </w:t>
          </w:r>
          <w:proofErr w:type="spellStart"/>
          <w:r>
            <w:rPr>
              <w:rFonts w:eastAsia="Times New Roman"/>
            </w:rPr>
            <w:t>Analyzing</w:t>
          </w:r>
          <w:proofErr w:type="spellEnd"/>
          <w:r>
            <w:rPr>
              <w:rFonts w:eastAsia="Times New Roman"/>
            </w:rPr>
            <w:t xml:space="preserve"> the Urgent and Emergency Care System. </w:t>
          </w:r>
          <w:r>
            <w:rPr>
              <w:rFonts w:eastAsia="Times New Roman"/>
              <w:i/>
              <w:iCs/>
            </w:rPr>
            <w:t>Medical Decision Making</w:t>
          </w:r>
          <w:r>
            <w:rPr>
              <w:rFonts w:eastAsia="Times New Roman"/>
            </w:rPr>
            <w:t xml:space="preserve">, </w:t>
          </w:r>
          <w:r>
            <w:rPr>
              <w:rFonts w:eastAsia="Times New Roman"/>
              <w:i/>
              <w:iCs/>
            </w:rPr>
            <w:t>42</w:t>
          </w:r>
          <w:r>
            <w:rPr>
              <w:rFonts w:eastAsia="Times New Roman"/>
            </w:rPr>
            <w:t>(8), 999–1009. https://doi.org/10.1177/0272989X221098699/FORMAT/EPUB</w:t>
          </w:r>
        </w:p>
        <w:p w14:paraId="2C832DB4" w14:textId="77777777" w:rsidR="00EC7CE1" w:rsidRDefault="00EC7CE1">
          <w:pPr>
            <w:autoSpaceDE w:val="0"/>
            <w:autoSpaceDN w:val="0"/>
            <w:ind w:hanging="480"/>
            <w:divId w:val="1339699171"/>
            <w:rPr>
              <w:rFonts w:eastAsia="Times New Roman"/>
            </w:rPr>
          </w:pPr>
          <w:r>
            <w:rPr>
              <w:rFonts w:eastAsia="Times New Roman"/>
            </w:rPr>
            <w:t xml:space="preserve">Masters, G. N. (1982). A </w:t>
          </w:r>
          <w:proofErr w:type="spellStart"/>
          <w:r>
            <w:rPr>
              <w:rFonts w:eastAsia="Times New Roman"/>
            </w:rPr>
            <w:t>rasch</w:t>
          </w:r>
          <w:proofErr w:type="spellEnd"/>
          <w:r>
            <w:rPr>
              <w:rFonts w:eastAsia="Times New Roman"/>
            </w:rPr>
            <w:t xml:space="preserve"> model for partial credit scoring. </w:t>
          </w:r>
          <w:r>
            <w:rPr>
              <w:rFonts w:eastAsia="Times New Roman"/>
              <w:i/>
              <w:iCs/>
            </w:rPr>
            <w:t>Psychometrika</w:t>
          </w:r>
          <w:r>
            <w:rPr>
              <w:rFonts w:eastAsia="Times New Roman"/>
            </w:rPr>
            <w:t xml:space="preserve">, </w:t>
          </w:r>
          <w:r>
            <w:rPr>
              <w:rFonts w:eastAsia="Times New Roman"/>
              <w:i/>
              <w:iCs/>
            </w:rPr>
            <w:t>47</w:t>
          </w:r>
          <w:r>
            <w:rPr>
              <w:rFonts w:eastAsia="Times New Roman"/>
            </w:rPr>
            <w:t>(2), 149–174. https://doi.org/10.1007/BF02296272/METRICS</w:t>
          </w:r>
        </w:p>
        <w:p w14:paraId="3F7D0D0F" w14:textId="77777777" w:rsidR="00EC7CE1" w:rsidRDefault="00EC7CE1">
          <w:pPr>
            <w:autoSpaceDE w:val="0"/>
            <w:autoSpaceDN w:val="0"/>
            <w:ind w:hanging="480"/>
            <w:divId w:val="1009067415"/>
            <w:rPr>
              <w:rFonts w:eastAsia="Times New Roman"/>
            </w:rPr>
          </w:pPr>
          <w:r>
            <w:rPr>
              <w:rFonts w:eastAsia="Times New Roman"/>
            </w:rPr>
            <w:t xml:space="preserve">Mathews, A., &amp; Macleod, C. (2005). Cognitive Vulnerability to Emotional Disorders. </w:t>
          </w:r>
          <w:r>
            <w:rPr>
              <w:rFonts w:eastAsia="Times New Roman"/>
              <w:i/>
              <w:iCs/>
            </w:rPr>
            <w:t>Annual Review of Clinical Psychology</w:t>
          </w:r>
          <w:r>
            <w:rPr>
              <w:rFonts w:eastAsia="Times New Roman"/>
            </w:rPr>
            <w:t xml:space="preserve">, </w:t>
          </w:r>
          <w:r>
            <w:rPr>
              <w:rFonts w:eastAsia="Times New Roman"/>
              <w:i/>
              <w:iCs/>
            </w:rPr>
            <w:t>1</w:t>
          </w:r>
          <w:r>
            <w:rPr>
              <w:rFonts w:eastAsia="Times New Roman"/>
            </w:rPr>
            <w:t>(1), 167–195. https://doi.org/10.1146/annurev.clinpsy.1.102803.143916</w:t>
          </w:r>
        </w:p>
        <w:p w14:paraId="3B6ADAE8" w14:textId="77777777" w:rsidR="00EC7CE1" w:rsidRDefault="00EC7CE1">
          <w:pPr>
            <w:autoSpaceDE w:val="0"/>
            <w:autoSpaceDN w:val="0"/>
            <w:ind w:hanging="480"/>
            <w:divId w:val="904948159"/>
            <w:rPr>
              <w:rFonts w:eastAsia="Times New Roman"/>
            </w:rPr>
          </w:pPr>
          <w:r>
            <w:rPr>
              <w:rFonts w:eastAsia="Times New Roman"/>
            </w:rPr>
            <w:t xml:space="preserve">Maurer, C. W., </w:t>
          </w:r>
          <w:proofErr w:type="spellStart"/>
          <w:r>
            <w:rPr>
              <w:rFonts w:eastAsia="Times New Roman"/>
            </w:rPr>
            <w:t>LaFaver</w:t>
          </w:r>
          <w:proofErr w:type="spellEnd"/>
          <w:r>
            <w:rPr>
              <w:rFonts w:eastAsia="Times New Roman"/>
            </w:rPr>
            <w:t xml:space="preserve">, K., </w:t>
          </w:r>
          <w:proofErr w:type="spellStart"/>
          <w:r>
            <w:rPr>
              <w:rFonts w:eastAsia="Times New Roman"/>
            </w:rPr>
            <w:t>Ameli</w:t>
          </w:r>
          <w:proofErr w:type="spellEnd"/>
          <w:r>
            <w:rPr>
              <w:rFonts w:eastAsia="Times New Roman"/>
            </w:rPr>
            <w:t xml:space="preserve">, R., Epstein, S. A., Hallett, M., &amp; Horovitz, S. G. (2016). Impaired self-agency in functional movement disorders: A resting-state fMRI study. </w:t>
          </w:r>
          <w:r>
            <w:rPr>
              <w:rFonts w:eastAsia="Times New Roman"/>
              <w:i/>
              <w:iCs/>
            </w:rPr>
            <w:t>Neurology</w:t>
          </w:r>
          <w:r>
            <w:rPr>
              <w:rFonts w:eastAsia="Times New Roman"/>
            </w:rPr>
            <w:t xml:space="preserve">, </w:t>
          </w:r>
          <w:r>
            <w:rPr>
              <w:rFonts w:eastAsia="Times New Roman"/>
              <w:i/>
              <w:iCs/>
            </w:rPr>
            <w:t>87</w:t>
          </w:r>
          <w:r>
            <w:rPr>
              <w:rFonts w:eastAsia="Times New Roman"/>
            </w:rPr>
            <w:t>(6), 564. https://doi.org/10.1212/WNL.0000000000002940</w:t>
          </w:r>
        </w:p>
        <w:p w14:paraId="0D5CC3B0" w14:textId="77777777" w:rsidR="00EC7CE1" w:rsidRDefault="00EC7CE1">
          <w:pPr>
            <w:autoSpaceDE w:val="0"/>
            <w:autoSpaceDN w:val="0"/>
            <w:ind w:hanging="480"/>
            <w:divId w:val="1825706132"/>
            <w:rPr>
              <w:rFonts w:eastAsia="Times New Roman"/>
            </w:rPr>
          </w:pPr>
          <w:r>
            <w:rPr>
              <w:rFonts w:eastAsia="Times New Roman"/>
            </w:rPr>
            <w:t xml:space="preserve">Maurer, C. W., </w:t>
          </w:r>
          <w:proofErr w:type="spellStart"/>
          <w:r>
            <w:rPr>
              <w:rFonts w:eastAsia="Times New Roman"/>
            </w:rPr>
            <w:t>LaFaver</w:t>
          </w:r>
          <w:proofErr w:type="spellEnd"/>
          <w:r>
            <w:rPr>
              <w:rFonts w:eastAsia="Times New Roman"/>
            </w:rPr>
            <w:t xml:space="preserve">, K., </w:t>
          </w:r>
          <w:proofErr w:type="spellStart"/>
          <w:r>
            <w:rPr>
              <w:rFonts w:eastAsia="Times New Roman"/>
            </w:rPr>
            <w:t>Ameli</w:t>
          </w:r>
          <w:proofErr w:type="spellEnd"/>
          <w:r>
            <w:rPr>
              <w:rFonts w:eastAsia="Times New Roman"/>
            </w:rPr>
            <w:t xml:space="preserve">, R., Toledo, R., &amp; Hallett, M. (2015). A biological measure of stress levels in patients with functional movement disorders. </w:t>
          </w:r>
          <w:r>
            <w:rPr>
              <w:rFonts w:eastAsia="Times New Roman"/>
              <w:i/>
              <w:iCs/>
            </w:rPr>
            <w:t>Parkinsonism &amp; Related Disorders</w:t>
          </w:r>
          <w:r>
            <w:rPr>
              <w:rFonts w:eastAsia="Times New Roman"/>
            </w:rPr>
            <w:t xml:space="preserve">, </w:t>
          </w:r>
          <w:r>
            <w:rPr>
              <w:rFonts w:eastAsia="Times New Roman"/>
              <w:i/>
              <w:iCs/>
            </w:rPr>
            <w:t>21</w:t>
          </w:r>
          <w:r>
            <w:rPr>
              <w:rFonts w:eastAsia="Times New Roman"/>
            </w:rPr>
            <w:t>(9), 1072–1075. https://doi.org/10.1016/j.parkreldis.2015.06.017</w:t>
          </w:r>
        </w:p>
        <w:p w14:paraId="3ACBDC67" w14:textId="77777777" w:rsidR="00EC7CE1" w:rsidRDefault="00EC7CE1">
          <w:pPr>
            <w:autoSpaceDE w:val="0"/>
            <w:autoSpaceDN w:val="0"/>
            <w:ind w:hanging="480"/>
            <w:divId w:val="41711939"/>
            <w:rPr>
              <w:rFonts w:eastAsia="Times New Roman"/>
            </w:rPr>
          </w:pPr>
          <w:r>
            <w:rPr>
              <w:rFonts w:eastAsia="Times New Roman"/>
            </w:rPr>
            <w:t xml:space="preserve">Mayor, R., Howlett, S., </w:t>
          </w:r>
          <w:proofErr w:type="spellStart"/>
          <w:r>
            <w:rPr>
              <w:rFonts w:eastAsia="Times New Roman"/>
            </w:rPr>
            <w:t>Grünewald</w:t>
          </w:r>
          <w:proofErr w:type="spellEnd"/>
          <w:r>
            <w:rPr>
              <w:rFonts w:eastAsia="Times New Roman"/>
            </w:rPr>
            <w:t xml:space="preserve">, R., &amp; Reuber, M. (2010). Long-term outcome of brief augmented psychodynamic interpersonal therapy for psychogenic </w:t>
          </w:r>
          <w:r>
            <w:rPr>
              <w:rFonts w:eastAsia="Times New Roman"/>
            </w:rPr>
            <w:lastRenderedPageBreak/>
            <w:t xml:space="preserve">nonepileptic seizures: seizure control and health care utilization. </w:t>
          </w:r>
          <w:proofErr w:type="spellStart"/>
          <w:r>
            <w:rPr>
              <w:rFonts w:eastAsia="Times New Roman"/>
              <w:i/>
              <w:iCs/>
            </w:rPr>
            <w:t>Epilepsia</w:t>
          </w:r>
          <w:proofErr w:type="spellEnd"/>
          <w:r>
            <w:rPr>
              <w:rFonts w:eastAsia="Times New Roman"/>
            </w:rPr>
            <w:t xml:space="preserve">, </w:t>
          </w:r>
          <w:r>
            <w:rPr>
              <w:rFonts w:eastAsia="Times New Roman"/>
              <w:i/>
              <w:iCs/>
            </w:rPr>
            <w:t>51</w:t>
          </w:r>
          <w:r>
            <w:rPr>
              <w:rFonts w:eastAsia="Times New Roman"/>
            </w:rPr>
            <w:t>(7), 1169–1176. https://doi.org/10.1111/j.1528-1167.2010.02656.x</w:t>
          </w:r>
        </w:p>
        <w:p w14:paraId="39D32E5D" w14:textId="77777777" w:rsidR="00EC7CE1" w:rsidRDefault="00EC7CE1">
          <w:pPr>
            <w:autoSpaceDE w:val="0"/>
            <w:autoSpaceDN w:val="0"/>
            <w:ind w:hanging="480"/>
            <w:divId w:val="1051418508"/>
            <w:rPr>
              <w:rFonts w:eastAsia="Times New Roman"/>
            </w:rPr>
          </w:pPr>
          <w:r>
            <w:rPr>
              <w:rFonts w:eastAsia="Times New Roman"/>
            </w:rPr>
            <w:t xml:space="preserve">McCormack, R., Moriarty, J., Mellers, J. D., </w:t>
          </w:r>
          <w:proofErr w:type="spellStart"/>
          <w:r>
            <w:rPr>
              <w:rFonts w:eastAsia="Times New Roman"/>
            </w:rPr>
            <w:t>Shotbolt</w:t>
          </w:r>
          <w:proofErr w:type="spellEnd"/>
          <w:r>
            <w:rPr>
              <w:rFonts w:eastAsia="Times New Roman"/>
            </w:rPr>
            <w:t xml:space="preserve">, P., </w:t>
          </w:r>
          <w:proofErr w:type="spellStart"/>
          <w:r>
            <w:rPr>
              <w:rFonts w:eastAsia="Times New Roman"/>
            </w:rPr>
            <w:t>Pastena</w:t>
          </w:r>
          <w:proofErr w:type="spellEnd"/>
          <w:r>
            <w:rPr>
              <w:rFonts w:eastAsia="Times New Roman"/>
            </w:rPr>
            <w:t xml:space="preserve">, R., </w:t>
          </w:r>
          <w:proofErr w:type="spellStart"/>
          <w:r>
            <w:rPr>
              <w:rFonts w:eastAsia="Times New Roman"/>
            </w:rPr>
            <w:t>Landes</w:t>
          </w:r>
          <w:proofErr w:type="spellEnd"/>
          <w:r>
            <w:rPr>
              <w:rFonts w:eastAsia="Times New Roman"/>
            </w:rPr>
            <w:t xml:space="preserve">, N., Goldstein, L., </w:t>
          </w:r>
          <w:proofErr w:type="spellStart"/>
          <w:r>
            <w:rPr>
              <w:rFonts w:eastAsia="Times New Roman"/>
            </w:rPr>
            <w:t>Fleminger</w:t>
          </w:r>
          <w:proofErr w:type="spellEnd"/>
          <w:r>
            <w:rPr>
              <w:rFonts w:eastAsia="Times New Roman"/>
            </w:rPr>
            <w:t xml:space="preserve">, S., &amp; David, A. S. (2014). Specialist inpatient treatment for severe motor conversion disorder: a retrospective comparative study. </w:t>
          </w:r>
          <w:r>
            <w:rPr>
              <w:rFonts w:eastAsia="Times New Roman"/>
              <w:i/>
              <w:iCs/>
            </w:rPr>
            <w:t>Journal of Neurology, Neurosurgery &amp; Psychiatry</w:t>
          </w:r>
          <w:r>
            <w:rPr>
              <w:rFonts w:eastAsia="Times New Roman"/>
            </w:rPr>
            <w:t xml:space="preserve">, </w:t>
          </w:r>
          <w:r>
            <w:rPr>
              <w:rFonts w:eastAsia="Times New Roman"/>
              <w:i/>
              <w:iCs/>
            </w:rPr>
            <w:t>85</w:t>
          </w:r>
          <w:r>
            <w:rPr>
              <w:rFonts w:eastAsia="Times New Roman"/>
            </w:rPr>
            <w:t>(8), 895–900. https://doi.org/10.1136/JNNP-2013-305716</w:t>
          </w:r>
        </w:p>
        <w:p w14:paraId="75A6828B" w14:textId="77777777" w:rsidR="00EC7CE1" w:rsidRDefault="00EC7CE1">
          <w:pPr>
            <w:autoSpaceDE w:val="0"/>
            <w:autoSpaceDN w:val="0"/>
            <w:ind w:hanging="480"/>
            <w:divId w:val="590158937"/>
            <w:rPr>
              <w:rFonts w:eastAsia="Times New Roman"/>
            </w:rPr>
          </w:pPr>
          <w:r>
            <w:rPr>
              <w:rFonts w:eastAsia="Times New Roman"/>
            </w:rPr>
            <w:t xml:space="preserve">McEvoy, P. M., &amp; Mahoney, A. E. J. (2012). To Be Sure, To Be Sure: Intolerance of Uncertainty Mediates Symptoms of Various Anxiety Disorders and Depression. </w:t>
          </w:r>
          <w:proofErr w:type="spellStart"/>
          <w:r>
            <w:rPr>
              <w:rFonts w:eastAsia="Times New Roman"/>
              <w:i/>
              <w:iCs/>
            </w:rPr>
            <w:t>Behavior</w:t>
          </w:r>
          <w:proofErr w:type="spellEnd"/>
          <w:r>
            <w:rPr>
              <w:rFonts w:eastAsia="Times New Roman"/>
              <w:i/>
              <w:iCs/>
            </w:rPr>
            <w:t xml:space="preserve"> Therapy</w:t>
          </w:r>
          <w:r>
            <w:rPr>
              <w:rFonts w:eastAsia="Times New Roman"/>
            </w:rPr>
            <w:t xml:space="preserve">, </w:t>
          </w:r>
          <w:r>
            <w:rPr>
              <w:rFonts w:eastAsia="Times New Roman"/>
              <w:i/>
              <w:iCs/>
            </w:rPr>
            <w:t>43</w:t>
          </w:r>
          <w:r>
            <w:rPr>
              <w:rFonts w:eastAsia="Times New Roman"/>
            </w:rPr>
            <w:t>(3), 533–545. https://doi.org/10.1016/J.BETH.2011.02.007</w:t>
          </w:r>
        </w:p>
        <w:p w14:paraId="0FEB09C2" w14:textId="77777777" w:rsidR="00EC7CE1" w:rsidRDefault="00EC7CE1">
          <w:pPr>
            <w:autoSpaceDE w:val="0"/>
            <w:autoSpaceDN w:val="0"/>
            <w:ind w:hanging="480"/>
            <w:divId w:val="32579650"/>
            <w:rPr>
              <w:rFonts w:eastAsia="Times New Roman"/>
            </w:rPr>
          </w:pPr>
          <w:proofErr w:type="spellStart"/>
          <w:r>
            <w:rPr>
              <w:rFonts w:eastAsia="Times New Roman"/>
            </w:rPr>
            <w:t>Merkler</w:t>
          </w:r>
          <w:proofErr w:type="spellEnd"/>
          <w:r>
            <w:rPr>
              <w:rFonts w:eastAsia="Times New Roman"/>
            </w:rPr>
            <w:t xml:space="preserve">, A. E., Parikh, N. S., Chaudhry, S., Chait, A., Allen, N. C., Navi, B. B., &amp; Kamel, H. (2016). Hospital revisit rate after a diagnosis of conversion disorder. </w:t>
          </w:r>
          <w:r>
            <w:rPr>
              <w:rFonts w:eastAsia="Times New Roman"/>
              <w:i/>
              <w:iCs/>
            </w:rPr>
            <w:t xml:space="preserve">J </w:t>
          </w:r>
          <w:proofErr w:type="spellStart"/>
          <w:r>
            <w:rPr>
              <w:rFonts w:eastAsia="Times New Roman"/>
              <w:i/>
              <w:iCs/>
            </w:rPr>
            <w:t>Neurol</w:t>
          </w:r>
          <w:proofErr w:type="spellEnd"/>
          <w:r>
            <w:rPr>
              <w:rFonts w:eastAsia="Times New Roman"/>
              <w:i/>
              <w:iCs/>
            </w:rPr>
            <w:t xml:space="preserve"> </w:t>
          </w:r>
          <w:proofErr w:type="spellStart"/>
          <w:r>
            <w:rPr>
              <w:rFonts w:eastAsia="Times New Roman"/>
              <w:i/>
              <w:iCs/>
            </w:rPr>
            <w:t>Neurosurg</w:t>
          </w:r>
          <w:proofErr w:type="spellEnd"/>
          <w:r>
            <w:rPr>
              <w:rFonts w:eastAsia="Times New Roman"/>
              <w:i/>
              <w:iCs/>
            </w:rPr>
            <w:t xml:space="preserve"> Psychiatry</w:t>
          </w:r>
          <w:r>
            <w:rPr>
              <w:rFonts w:eastAsia="Times New Roman"/>
            </w:rPr>
            <w:t xml:space="preserve">, </w:t>
          </w:r>
          <w:r>
            <w:rPr>
              <w:rFonts w:eastAsia="Times New Roman"/>
              <w:i/>
              <w:iCs/>
            </w:rPr>
            <w:t>87</w:t>
          </w:r>
          <w:r>
            <w:rPr>
              <w:rFonts w:eastAsia="Times New Roman"/>
            </w:rPr>
            <w:t>(4), 363–366. https://doi.org/10.1136/jnnp-2014-310181</w:t>
          </w:r>
        </w:p>
        <w:p w14:paraId="46E2034F" w14:textId="77777777" w:rsidR="00EC7CE1" w:rsidRDefault="00EC7CE1">
          <w:pPr>
            <w:autoSpaceDE w:val="0"/>
            <w:autoSpaceDN w:val="0"/>
            <w:ind w:hanging="480"/>
            <w:divId w:val="601304053"/>
            <w:rPr>
              <w:rFonts w:eastAsia="Times New Roman"/>
            </w:rPr>
          </w:pPr>
          <w:r>
            <w:rPr>
              <w:rFonts w:eastAsia="Times New Roman"/>
            </w:rPr>
            <w:t xml:space="preserve">Mezouar, N., </w:t>
          </w:r>
          <w:proofErr w:type="spellStart"/>
          <w:r>
            <w:rPr>
              <w:rFonts w:eastAsia="Times New Roman"/>
            </w:rPr>
            <w:t>Demeret</w:t>
          </w:r>
          <w:proofErr w:type="spellEnd"/>
          <w:r>
            <w:rPr>
              <w:rFonts w:eastAsia="Times New Roman"/>
            </w:rPr>
            <w:t xml:space="preserve">, S., </w:t>
          </w:r>
          <w:proofErr w:type="spellStart"/>
          <w:r>
            <w:rPr>
              <w:rFonts w:eastAsia="Times New Roman"/>
            </w:rPr>
            <w:t>Rotge</w:t>
          </w:r>
          <w:proofErr w:type="spellEnd"/>
          <w:r>
            <w:rPr>
              <w:rFonts w:eastAsia="Times New Roman"/>
            </w:rPr>
            <w:t xml:space="preserve">, J. Y., Dupont, S., &amp; Navarro, V. (2021). Psychogenic non-epileptic seizure-status in patients admitted to the intensive care unit. </w:t>
          </w:r>
          <w:r>
            <w:rPr>
              <w:rFonts w:eastAsia="Times New Roman"/>
              <w:i/>
              <w:iCs/>
            </w:rPr>
            <w:t>European Journal of Neurology</w:t>
          </w:r>
          <w:r>
            <w:rPr>
              <w:rFonts w:eastAsia="Times New Roman"/>
            </w:rPr>
            <w:t xml:space="preserve">, </w:t>
          </w:r>
          <w:r>
            <w:rPr>
              <w:rFonts w:eastAsia="Times New Roman"/>
              <w:i/>
              <w:iCs/>
            </w:rPr>
            <w:t>28</w:t>
          </w:r>
          <w:r>
            <w:rPr>
              <w:rFonts w:eastAsia="Times New Roman"/>
            </w:rPr>
            <w:t>(8), 2775–2779. https://doi.org/10.1111/ENE.14941</w:t>
          </w:r>
        </w:p>
        <w:p w14:paraId="67A5D180" w14:textId="77777777" w:rsidR="00EC7CE1" w:rsidRDefault="00EC7CE1">
          <w:pPr>
            <w:autoSpaceDE w:val="0"/>
            <w:autoSpaceDN w:val="0"/>
            <w:ind w:hanging="480"/>
            <w:divId w:val="1498226973"/>
            <w:rPr>
              <w:rFonts w:eastAsia="Times New Roman"/>
            </w:rPr>
          </w:pPr>
          <w:r>
            <w:rPr>
              <w:rFonts w:eastAsia="Times New Roman"/>
            </w:rPr>
            <w:t xml:space="preserve">Michaelis, R., Meyer, S., Reuber, M., &amp; </w:t>
          </w:r>
          <w:proofErr w:type="spellStart"/>
          <w:r>
            <w:rPr>
              <w:rFonts w:eastAsia="Times New Roman"/>
            </w:rPr>
            <w:t>Schöne</w:t>
          </w:r>
          <w:proofErr w:type="spellEnd"/>
          <w:r>
            <w:rPr>
              <w:rFonts w:eastAsia="Times New Roman"/>
            </w:rPr>
            <w:t xml:space="preserve">, C. (2019). Development of a patient-reported outcome measure for psychotherapeutic interventions in people with seizures: A mixed methods study.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99</w:t>
          </w:r>
          <w:r>
            <w:rPr>
              <w:rFonts w:eastAsia="Times New Roman"/>
            </w:rPr>
            <w:t>, 106464. https://doi.org/10.1016/j.yebeh.2019.106464</w:t>
          </w:r>
        </w:p>
        <w:p w14:paraId="5F63199A" w14:textId="77777777" w:rsidR="00EC7CE1" w:rsidRDefault="00EC7CE1">
          <w:pPr>
            <w:autoSpaceDE w:val="0"/>
            <w:autoSpaceDN w:val="0"/>
            <w:ind w:hanging="480"/>
            <w:divId w:val="1973558146"/>
            <w:rPr>
              <w:rFonts w:eastAsia="Times New Roman"/>
            </w:rPr>
          </w:pPr>
          <w:r>
            <w:rPr>
              <w:rFonts w:eastAsia="Times New Roman"/>
            </w:rPr>
            <w:t xml:space="preserve">Michaelis, R., </w:t>
          </w:r>
          <w:proofErr w:type="spellStart"/>
          <w:r>
            <w:rPr>
              <w:rFonts w:eastAsia="Times New Roman"/>
            </w:rPr>
            <w:t>Niedermann</w:t>
          </w:r>
          <w:proofErr w:type="spellEnd"/>
          <w:r>
            <w:rPr>
              <w:rFonts w:eastAsia="Times New Roman"/>
            </w:rPr>
            <w:t xml:space="preserve">, C., &amp; Berger, B. (2017). How Can We Enhance the Sense of Self-Efficacy in Epilepsy Individual Responses from 2 Qualitative Case Reports. </w:t>
          </w:r>
          <w:r>
            <w:rPr>
              <w:rFonts w:eastAsia="Times New Roman"/>
              <w:i/>
              <w:iCs/>
            </w:rPr>
            <w:t>Complement Med Res</w:t>
          </w:r>
          <w:r>
            <w:rPr>
              <w:rFonts w:eastAsia="Times New Roman"/>
            </w:rPr>
            <w:t xml:space="preserve">, </w:t>
          </w:r>
          <w:r>
            <w:rPr>
              <w:rFonts w:eastAsia="Times New Roman"/>
              <w:i/>
              <w:iCs/>
            </w:rPr>
            <w:t>24</w:t>
          </w:r>
          <w:r>
            <w:rPr>
              <w:rFonts w:eastAsia="Times New Roman"/>
            </w:rPr>
            <w:t>(4), 215–224. https://doi.org/10.1159/000468986</w:t>
          </w:r>
        </w:p>
        <w:p w14:paraId="77DA1DAE" w14:textId="77777777" w:rsidR="00EC7CE1" w:rsidRDefault="00EC7CE1">
          <w:pPr>
            <w:autoSpaceDE w:val="0"/>
            <w:autoSpaceDN w:val="0"/>
            <w:ind w:hanging="480"/>
            <w:divId w:val="1268080119"/>
            <w:rPr>
              <w:rFonts w:eastAsia="Times New Roman"/>
            </w:rPr>
          </w:pPr>
          <w:r>
            <w:rPr>
              <w:rFonts w:eastAsia="Times New Roman"/>
            </w:rPr>
            <w:t xml:space="preserve">Michaelis, R., </w:t>
          </w:r>
          <w:proofErr w:type="spellStart"/>
          <w:r>
            <w:rPr>
              <w:rFonts w:eastAsia="Times New Roman"/>
            </w:rPr>
            <w:t>Niedermann</w:t>
          </w:r>
          <w:proofErr w:type="spellEnd"/>
          <w:r>
            <w:rPr>
              <w:rFonts w:eastAsia="Times New Roman"/>
            </w:rPr>
            <w:t xml:space="preserve">, C., Reuber, M., </w:t>
          </w:r>
          <w:proofErr w:type="spellStart"/>
          <w:r>
            <w:rPr>
              <w:rFonts w:eastAsia="Times New Roman"/>
            </w:rPr>
            <w:t>Kuthe</w:t>
          </w:r>
          <w:proofErr w:type="spellEnd"/>
          <w:r>
            <w:rPr>
              <w:rFonts w:eastAsia="Times New Roman"/>
            </w:rPr>
            <w:t xml:space="preserve">, M., &amp; Berger, B. (2018). “Seizures have become a means of somehow learning things about myself” - A qualitative study of the development of self-efficacy and mastery during a psychotherapeutic intervention for people with epilepsy.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84</w:t>
          </w:r>
          <w:r>
            <w:rPr>
              <w:rFonts w:eastAsia="Times New Roman"/>
            </w:rPr>
            <w:t>, 152–161. https://doi.org/10.1016/J.YEBEH.2018.04.019</w:t>
          </w:r>
        </w:p>
        <w:p w14:paraId="05B19C44" w14:textId="77777777" w:rsidR="00EC7CE1" w:rsidRDefault="00EC7CE1">
          <w:pPr>
            <w:autoSpaceDE w:val="0"/>
            <w:autoSpaceDN w:val="0"/>
            <w:ind w:hanging="480"/>
            <w:divId w:val="1779830960"/>
            <w:rPr>
              <w:rFonts w:eastAsia="Times New Roman"/>
            </w:rPr>
          </w:pPr>
          <w:r>
            <w:rPr>
              <w:rFonts w:eastAsia="Times New Roman"/>
            </w:rPr>
            <w:t xml:space="preserve">Michaelis, R., Tang, V., Wagner, J. L., Modi, A. C., LaFrance Jr., W. C., Goldstein, L. H., Lundgren, T., &amp; Reuber, M. (2017). Psychological treatments for people with epilepsy. </w:t>
          </w:r>
          <w:r>
            <w:rPr>
              <w:rFonts w:eastAsia="Times New Roman"/>
              <w:i/>
              <w:iCs/>
            </w:rPr>
            <w:t xml:space="preserve">Cochrane Database </w:t>
          </w:r>
          <w:proofErr w:type="spellStart"/>
          <w:r>
            <w:rPr>
              <w:rFonts w:eastAsia="Times New Roman"/>
              <w:i/>
              <w:iCs/>
            </w:rPr>
            <w:t>Syst</w:t>
          </w:r>
          <w:proofErr w:type="spellEnd"/>
          <w:r>
            <w:rPr>
              <w:rFonts w:eastAsia="Times New Roman"/>
              <w:i/>
              <w:iCs/>
            </w:rPr>
            <w:t xml:space="preserve"> Rev</w:t>
          </w:r>
          <w:r>
            <w:rPr>
              <w:rFonts w:eastAsia="Times New Roman"/>
            </w:rPr>
            <w:t xml:space="preserve">, </w:t>
          </w:r>
          <w:r>
            <w:rPr>
              <w:rFonts w:eastAsia="Times New Roman"/>
              <w:i/>
              <w:iCs/>
            </w:rPr>
            <w:t>10</w:t>
          </w:r>
          <w:r>
            <w:rPr>
              <w:rFonts w:eastAsia="Times New Roman"/>
            </w:rPr>
            <w:t>(10), Cd012081. https://doi.org/10.1002/14651858.CD012081.pub2</w:t>
          </w:r>
        </w:p>
        <w:p w14:paraId="09C4A084" w14:textId="77777777" w:rsidR="00EC7CE1" w:rsidRDefault="00EC7CE1">
          <w:pPr>
            <w:autoSpaceDE w:val="0"/>
            <w:autoSpaceDN w:val="0"/>
            <w:ind w:hanging="480"/>
            <w:divId w:val="770247568"/>
            <w:rPr>
              <w:rFonts w:eastAsia="Times New Roman"/>
            </w:rPr>
          </w:pPr>
          <w:r>
            <w:rPr>
              <w:rFonts w:eastAsia="Times New Roman"/>
            </w:rPr>
            <w:lastRenderedPageBreak/>
            <w:t xml:space="preserve">Milano, B. A., </w:t>
          </w:r>
          <w:proofErr w:type="spellStart"/>
          <w:r>
            <w:rPr>
              <w:rFonts w:eastAsia="Times New Roman"/>
            </w:rPr>
            <w:t>Moutoussis</w:t>
          </w:r>
          <w:proofErr w:type="spellEnd"/>
          <w:r>
            <w:rPr>
              <w:rFonts w:eastAsia="Times New Roman"/>
            </w:rPr>
            <w:t xml:space="preserve">, M., &amp; </w:t>
          </w:r>
          <w:proofErr w:type="spellStart"/>
          <w:r>
            <w:rPr>
              <w:rFonts w:eastAsia="Times New Roman"/>
            </w:rPr>
            <w:t>Convertino</w:t>
          </w:r>
          <w:proofErr w:type="spellEnd"/>
          <w:r>
            <w:rPr>
              <w:rFonts w:eastAsia="Times New Roman"/>
            </w:rPr>
            <w:t xml:space="preserve">, L. (2023). The neurobiology of functional neurological disorders characterised by impaired awareness. </w:t>
          </w:r>
          <w:r>
            <w:rPr>
              <w:rFonts w:eastAsia="Times New Roman"/>
              <w:i/>
              <w:iCs/>
            </w:rPr>
            <w:t>Frontiers in Psychiatry</w:t>
          </w:r>
          <w:r>
            <w:rPr>
              <w:rFonts w:eastAsia="Times New Roman"/>
            </w:rPr>
            <w:t xml:space="preserve">, </w:t>
          </w:r>
          <w:r>
            <w:rPr>
              <w:rFonts w:eastAsia="Times New Roman"/>
              <w:i/>
              <w:iCs/>
            </w:rPr>
            <w:t>14</w:t>
          </w:r>
          <w:r>
            <w:rPr>
              <w:rFonts w:eastAsia="Times New Roman"/>
            </w:rPr>
            <w:t>. https://doi.org/10.3389/FPSYT.2023.1122865</w:t>
          </w:r>
        </w:p>
        <w:p w14:paraId="574EAA30" w14:textId="77777777" w:rsidR="00EC7CE1" w:rsidRDefault="00EC7CE1">
          <w:pPr>
            <w:autoSpaceDE w:val="0"/>
            <w:autoSpaceDN w:val="0"/>
            <w:ind w:hanging="480"/>
            <w:divId w:val="393897002"/>
            <w:rPr>
              <w:rFonts w:eastAsia="Times New Roman"/>
            </w:rPr>
          </w:pPr>
          <w:r>
            <w:rPr>
              <w:rFonts w:eastAsia="Times New Roman"/>
            </w:rPr>
            <w:t xml:space="preserve">Moe, J., Kirkland, S. W., </w:t>
          </w:r>
          <w:proofErr w:type="spellStart"/>
          <w:r>
            <w:rPr>
              <w:rFonts w:eastAsia="Times New Roman"/>
            </w:rPr>
            <w:t>Rawe</w:t>
          </w:r>
          <w:proofErr w:type="spellEnd"/>
          <w:r>
            <w:rPr>
              <w:rFonts w:eastAsia="Times New Roman"/>
            </w:rPr>
            <w:t xml:space="preserve">, E., Ospina, M. B., </w:t>
          </w:r>
          <w:proofErr w:type="spellStart"/>
          <w:r>
            <w:rPr>
              <w:rFonts w:eastAsia="Times New Roman"/>
            </w:rPr>
            <w:t>Vandermeer</w:t>
          </w:r>
          <w:proofErr w:type="spellEnd"/>
          <w:r>
            <w:rPr>
              <w:rFonts w:eastAsia="Times New Roman"/>
            </w:rPr>
            <w:t xml:space="preserve">, B., Campbell, S., &amp; Rowe, B. H. (2017). Effectiveness of Interventions to Decrease Emergency Department Visits by Adult Frequent Users: A Systematic Review. </w:t>
          </w:r>
          <w:r>
            <w:rPr>
              <w:rFonts w:eastAsia="Times New Roman"/>
              <w:i/>
              <w:iCs/>
            </w:rPr>
            <w:t>Academic Emergency Medicine : Official Journal of the Society for Academic Emergency Medicine</w:t>
          </w:r>
          <w:r>
            <w:rPr>
              <w:rFonts w:eastAsia="Times New Roman"/>
            </w:rPr>
            <w:t xml:space="preserve">, </w:t>
          </w:r>
          <w:r>
            <w:rPr>
              <w:rFonts w:eastAsia="Times New Roman"/>
              <w:i/>
              <w:iCs/>
            </w:rPr>
            <w:t>24</w:t>
          </w:r>
          <w:r>
            <w:rPr>
              <w:rFonts w:eastAsia="Times New Roman"/>
            </w:rPr>
            <w:t>(1), 40–52. https://doi.org/10.1111/ACEM.13060</w:t>
          </w:r>
        </w:p>
        <w:p w14:paraId="7FE3E327" w14:textId="77777777" w:rsidR="00EC7CE1" w:rsidRDefault="00EC7CE1">
          <w:pPr>
            <w:autoSpaceDE w:val="0"/>
            <w:autoSpaceDN w:val="0"/>
            <w:ind w:hanging="480"/>
            <w:divId w:val="1473134908"/>
            <w:rPr>
              <w:rFonts w:eastAsia="Times New Roman"/>
            </w:rPr>
          </w:pPr>
          <w:r>
            <w:rPr>
              <w:rFonts w:eastAsia="Times New Roman"/>
            </w:rPr>
            <w:t xml:space="preserve">Moeller, J. J., Kurniawan, J., </w:t>
          </w:r>
          <w:proofErr w:type="spellStart"/>
          <w:r>
            <w:rPr>
              <w:rFonts w:eastAsia="Times New Roman"/>
            </w:rPr>
            <w:t>Gubitz</w:t>
          </w:r>
          <w:proofErr w:type="spellEnd"/>
          <w:r>
            <w:rPr>
              <w:rFonts w:eastAsia="Times New Roman"/>
            </w:rPr>
            <w:t xml:space="preserve">, G. J., Ross, J. A., &amp; </w:t>
          </w:r>
          <w:proofErr w:type="spellStart"/>
          <w:r>
            <w:rPr>
              <w:rFonts w:eastAsia="Times New Roman"/>
            </w:rPr>
            <w:t>Bhan</w:t>
          </w:r>
          <w:proofErr w:type="spellEnd"/>
          <w:r>
            <w:rPr>
              <w:rFonts w:eastAsia="Times New Roman"/>
            </w:rPr>
            <w:t xml:space="preserve">, V. (2008). Diagnostic accuracy of neurological problems in the emergency department. </w:t>
          </w:r>
          <w:r>
            <w:rPr>
              <w:rFonts w:eastAsia="Times New Roman"/>
              <w:i/>
              <w:iCs/>
            </w:rPr>
            <w:t xml:space="preserve">The Canadian Journal of Neurological Sciences. Le Journal </w:t>
          </w:r>
          <w:proofErr w:type="spellStart"/>
          <w:r>
            <w:rPr>
              <w:rFonts w:eastAsia="Times New Roman"/>
              <w:i/>
              <w:iCs/>
            </w:rPr>
            <w:t>Canadien</w:t>
          </w:r>
          <w:proofErr w:type="spellEnd"/>
          <w:r>
            <w:rPr>
              <w:rFonts w:eastAsia="Times New Roman"/>
              <w:i/>
              <w:iCs/>
            </w:rPr>
            <w:t xml:space="preserve"> Des Sciences </w:t>
          </w:r>
          <w:proofErr w:type="spellStart"/>
          <w:r>
            <w:rPr>
              <w:rFonts w:eastAsia="Times New Roman"/>
              <w:i/>
              <w:iCs/>
            </w:rPr>
            <w:t>Neurologiques</w:t>
          </w:r>
          <w:proofErr w:type="spellEnd"/>
          <w:r>
            <w:rPr>
              <w:rFonts w:eastAsia="Times New Roman"/>
            </w:rPr>
            <w:t xml:space="preserve">, </w:t>
          </w:r>
          <w:r>
            <w:rPr>
              <w:rFonts w:eastAsia="Times New Roman"/>
              <w:i/>
              <w:iCs/>
            </w:rPr>
            <w:t>35</w:t>
          </w:r>
          <w:r>
            <w:rPr>
              <w:rFonts w:eastAsia="Times New Roman"/>
            </w:rPr>
            <w:t>(3), 335–341. https://doi.org/10.1017/S0317167100008921</w:t>
          </w:r>
        </w:p>
        <w:p w14:paraId="648E48B3" w14:textId="77777777" w:rsidR="00EC7CE1" w:rsidRDefault="00EC7CE1">
          <w:pPr>
            <w:autoSpaceDE w:val="0"/>
            <w:autoSpaceDN w:val="0"/>
            <w:ind w:hanging="480"/>
            <w:divId w:val="663358817"/>
            <w:rPr>
              <w:rFonts w:eastAsia="Times New Roman"/>
            </w:rPr>
          </w:pPr>
          <w:proofErr w:type="spellStart"/>
          <w:r>
            <w:rPr>
              <w:rFonts w:eastAsia="Times New Roman"/>
            </w:rPr>
            <w:t>Moene</w:t>
          </w:r>
          <w:proofErr w:type="spellEnd"/>
          <w:r>
            <w:rPr>
              <w:rFonts w:eastAsia="Times New Roman"/>
            </w:rPr>
            <w:t xml:space="preserve">, F. C., </w:t>
          </w:r>
          <w:proofErr w:type="spellStart"/>
          <w:r>
            <w:rPr>
              <w:rFonts w:eastAsia="Times New Roman"/>
            </w:rPr>
            <w:t>Spinhoven</w:t>
          </w:r>
          <w:proofErr w:type="spellEnd"/>
          <w:r>
            <w:rPr>
              <w:rFonts w:eastAsia="Times New Roman"/>
            </w:rPr>
            <w:t xml:space="preserve">, P., </w:t>
          </w:r>
          <w:proofErr w:type="spellStart"/>
          <w:r>
            <w:rPr>
              <w:rFonts w:eastAsia="Times New Roman"/>
            </w:rPr>
            <w:t>Hoogduin</w:t>
          </w:r>
          <w:proofErr w:type="spellEnd"/>
          <w:r>
            <w:rPr>
              <w:rFonts w:eastAsia="Times New Roman"/>
            </w:rPr>
            <w:t xml:space="preserve">, K. A. L., &amp; Van Dyck, R. (2002). A randomised controlled clinical trial on the additional effect of hypnosis in a comprehensive treatment programme for in-patients with conversion disorder of the motor type. </w:t>
          </w:r>
          <w:r>
            <w:rPr>
              <w:rFonts w:eastAsia="Times New Roman"/>
              <w:i/>
              <w:iCs/>
            </w:rPr>
            <w:t>Psychotherapy and Psychosomatics</w:t>
          </w:r>
          <w:r>
            <w:rPr>
              <w:rFonts w:eastAsia="Times New Roman"/>
            </w:rPr>
            <w:t xml:space="preserve">, </w:t>
          </w:r>
          <w:r>
            <w:rPr>
              <w:rFonts w:eastAsia="Times New Roman"/>
              <w:i/>
              <w:iCs/>
            </w:rPr>
            <w:t>71</w:t>
          </w:r>
          <w:r>
            <w:rPr>
              <w:rFonts w:eastAsia="Times New Roman"/>
            </w:rPr>
            <w:t>(2), 66–76. https://doi.org/10.1159/000049348</w:t>
          </w:r>
        </w:p>
        <w:p w14:paraId="4187ECD8" w14:textId="77777777" w:rsidR="00EC7CE1" w:rsidRDefault="00EC7CE1">
          <w:pPr>
            <w:autoSpaceDE w:val="0"/>
            <w:autoSpaceDN w:val="0"/>
            <w:ind w:hanging="480"/>
            <w:divId w:val="1275597809"/>
            <w:rPr>
              <w:rFonts w:eastAsia="Times New Roman"/>
            </w:rPr>
          </w:pPr>
          <w:r>
            <w:rPr>
              <w:rFonts w:eastAsia="Times New Roman"/>
            </w:rPr>
            <w:t xml:space="preserve">Mohr, D. C., Classen, C., &amp; Barrera, M. (2004). The relationship between social support, depression and treatment for depression in people with multiple sclerosis. </w:t>
          </w:r>
          <w:r>
            <w:rPr>
              <w:rFonts w:eastAsia="Times New Roman"/>
              <w:i/>
              <w:iCs/>
            </w:rPr>
            <w:t>Psychological Medicine</w:t>
          </w:r>
          <w:r>
            <w:rPr>
              <w:rFonts w:eastAsia="Times New Roman"/>
            </w:rPr>
            <w:t xml:space="preserve">, </w:t>
          </w:r>
          <w:r>
            <w:rPr>
              <w:rFonts w:eastAsia="Times New Roman"/>
              <w:i/>
              <w:iCs/>
            </w:rPr>
            <w:t>34</w:t>
          </w:r>
          <w:r>
            <w:rPr>
              <w:rFonts w:eastAsia="Times New Roman"/>
            </w:rPr>
            <w:t>(3), 533–541. https://doi.org/10.1017/S0033291703001235</w:t>
          </w:r>
        </w:p>
        <w:p w14:paraId="1695F0F0" w14:textId="77777777" w:rsidR="00EC7CE1" w:rsidRDefault="00EC7CE1">
          <w:pPr>
            <w:autoSpaceDE w:val="0"/>
            <w:autoSpaceDN w:val="0"/>
            <w:ind w:hanging="480"/>
            <w:divId w:val="318652703"/>
            <w:rPr>
              <w:rFonts w:eastAsia="Times New Roman"/>
            </w:rPr>
          </w:pPr>
          <w:proofErr w:type="spellStart"/>
          <w:r>
            <w:rPr>
              <w:rFonts w:eastAsia="Times New Roman"/>
            </w:rPr>
            <w:t>Mokkink</w:t>
          </w:r>
          <w:proofErr w:type="spellEnd"/>
          <w:r>
            <w:rPr>
              <w:rFonts w:eastAsia="Times New Roman"/>
            </w:rPr>
            <w:t xml:space="preserve">, L. B., </w:t>
          </w:r>
          <w:proofErr w:type="spellStart"/>
          <w:r>
            <w:rPr>
              <w:rFonts w:eastAsia="Times New Roman"/>
            </w:rPr>
            <w:t>Terwee</w:t>
          </w:r>
          <w:proofErr w:type="spellEnd"/>
          <w:r>
            <w:rPr>
              <w:rFonts w:eastAsia="Times New Roman"/>
            </w:rPr>
            <w:t xml:space="preserve">, C. B., Patrick, D. L., Alonso, J., Stratford, P. W., </w:t>
          </w:r>
          <w:proofErr w:type="spellStart"/>
          <w:r>
            <w:rPr>
              <w:rFonts w:eastAsia="Times New Roman"/>
            </w:rPr>
            <w:t>Knol</w:t>
          </w:r>
          <w:proofErr w:type="spellEnd"/>
          <w:r>
            <w:rPr>
              <w:rFonts w:eastAsia="Times New Roman"/>
            </w:rPr>
            <w:t xml:space="preserve">, D. L., </w:t>
          </w:r>
          <w:proofErr w:type="spellStart"/>
          <w:r>
            <w:rPr>
              <w:rFonts w:eastAsia="Times New Roman"/>
            </w:rPr>
            <w:t>Bouter</w:t>
          </w:r>
          <w:proofErr w:type="spellEnd"/>
          <w:r>
            <w:rPr>
              <w:rFonts w:eastAsia="Times New Roman"/>
            </w:rPr>
            <w:t xml:space="preserve">, L. M., &amp; de Vet, H. C. W. (2010). The COSMIN study reached international consensus on taxonomy, terminology, and definitions of measurement properties for health-related patient-reported outcomes. </w:t>
          </w:r>
          <w:r>
            <w:rPr>
              <w:rFonts w:eastAsia="Times New Roman"/>
              <w:i/>
              <w:iCs/>
            </w:rPr>
            <w:t>Journal of Clinical Epidemiology</w:t>
          </w:r>
          <w:r>
            <w:rPr>
              <w:rFonts w:eastAsia="Times New Roman"/>
            </w:rPr>
            <w:t xml:space="preserve">, </w:t>
          </w:r>
          <w:r>
            <w:rPr>
              <w:rFonts w:eastAsia="Times New Roman"/>
              <w:i/>
              <w:iCs/>
            </w:rPr>
            <w:t>63</w:t>
          </w:r>
          <w:r>
            <w:rPr>
              <w:rFonts w:eastAsia="Times New Roman"/>
            </w:rPr>
            <w:t>(7), 737–745. https://doi.org/10.1016/j.jclinepi.2010.02.006</w:t>
          </w:r>
        </w:p>
        <w:p w14:paraId="1148F232" w14:textId="77777777" w:rsidR="00EC7CE1" w:rsidRDefault="00EC7CE1">
          <w:pPr>
            <w:autoSpaceDE w:val="0"/>
            <w:autoSpaceDN w:val="0"/>
            <w:ind w:hanging="480"/>
            <w:divId w:val="1465734597"/>
            <w:rPr>
              <w:rFonts w:eastAsia="Times New Roman"/>
            </w:rPr>
          </w:pPr>
          <w:proofErr w:type="spellStart"/>
          <w:r>
            <w:rPr>
              <w:rFonts w:eastAsia="Times New Roman"/>
            </w:rPr>
            <w:t>Molero</w:t>
          </w:r>
          <w:proofErr w:type="spellEnd"/>
          <w:r>
            <w:rPr>
              <w:rFonts w:eastAsia="Times New Roman"/>
            </w:rPr>
            <w:t xml:space="preserve">-Mateo, P., &amp; Molina-Rueda, F. (2023). Physiotherapy for patients with functional movement disorder: a systematic review. </w:t>
          </w:r>
          <w:proofErr w:type="spellStart"/>
          <w:r>
            <w:rPr>
              <w:rFonts w:eastAsia="Times New Roman"/>
              <w:i/>
              <w:iCs/>
            </w:rPr>
            <w:t>Neurologia</w:t>
          </w:r>
          <w:proofErr w:type="spellEnd"/>
          <w:r>
            <w:rPr>
              <w:rFonts w:eastAsia="Times New Roman"/>
            </w:rPr>
            <w:t>. https://doi.org/10.1016/j.nrleng.2022.01.008</w:t>
          </w:r>
        </w:p>
        <w:p w14:paraId="368014D2" w14:textId="77777777" w:rsidR="00EC7CE1" w:rsidRDefault="00EC7CE1">
          <w:pPr>
            <w:autoSpaceDE w:val="0"/>
            <w:autoSpaceDN w:val="0"/>
            <w:ind w:hanging="480"/>
            <w:divId w:val="121846713"/>
            <w:rPr>
              <w:rFonts w:eastAsia="Times New Roman"/>
            </w:rPr>
          </w:pPr>
          <w:r>
            <w:rPr>
              <w:rFonts w:eastAsia="Times New Roman"/>
            </w:rPr>
            <w:t xml:space="preserve">Mondal, A., Das, S., Sankar Mandal, U., &amp; Nath, S. (2020). Relationship between Perceived Social Support and Severity of Symptoms in Persons with Somatoform Disorder. </w:t>
          </w:r>
          <w:r>
            <w:rPr>
              <w:rFonts w:eastAsia="Times New Roman"/>
              <w:i/>
              <w:iCs/>
            </w:rPr>
            <w:t>Jemds.Com Original Research Article J. Evolution Med. Dent. Sci</w:t>
          </w:r>
          <w:r>
            <w:rPr>
              <w:rFonts w:eastAsia="Times New Roman"/>
            </w:rPr>
            <w:t xml:space="preserve">, </w:t>
          </w:r>
          <w:r>
            <w:rPr>
              <w:rFonts w:eastAsia="Times New Roman"/>
              <w:i/>
              <w:iCs/>
            </w:rPr>
            <w:t>9</w:t>
          </w:r>
          <w:r>
            <w:rPr>
              <w:rFonts w:eastAsia="Times New Roman"/>
            </w:rPr>
            <w:t>, 2020. https://doi.org/10.14260/jemds/2020/73</w:t>
          </w:r>
        </w:p>
        <w:p w14:paraId="6AABA004" w14:textId="77777777" w:rsidR="00EC7CE1" w:rsidRDefault="00EC7CE1">
          <w:pPr>
            <w:autoSpaceDE w:val="0"/>
            <w:autoSpaceDN w:val="0"/>
            <w:ind w:hanging="480"/>
            <w:divId w:val="993071451"/>
            <w:rPr>
              <w:rFonts w:eastAsia="Times New Roman"/>
            </w:rPr>
          </w:pPr>
          <w:r>
            <w:rPr>
              <w:rFonts w:eastAsia="Times New Roman"/>
            </w:rPr>
            <w:lastRenderedPageBreak/>
            <w:t xml:space="preserve">Morley, C., Unwin, M., Peterson, G. M., </w:t>
          </w:r>
          <w:proofErr w:type="spellStart"/>
          <w:r>
            <w:rPr>
              <w:rFonts w:eastAsia="Times New Roman"/>
            </w:rPr>
            <w:t>Stankovich</w:t>
          </w:r>
          <w:proofErr w:type="spellEnd"/>
          <w:r>
            <w:rPr>
              <w:rFonts w:eastAsia="Times New Roman"/>
            </w:rPr>
            <w:t xml:space="preserve">, J., &amp; Kinsman, L. (2018). Emergency department crowding: A systematic review of causes, consequences and solutions.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13</w:t>
          </w:r>
          <w:r>
            <w:rPr>
              <w:rFonts w:eastAsia="Times New Roman"/>
            </w:rPr>
            <w:t>(8). https://doi.org/10.1371/JOURNAL.PONE.0203316</w:t>
          </w:r>
        </w:p>
        <w:p w14:paraId="5526B097" w14:textId="77777777" w:rsidR="00EC7CE1" w:rsidRDefault="00EC7CE1">
          <w:pPr>
            <w:autoSpaceDE w:val="0"/>
            <w:autoSpaceDN w:val="0"/>
            <w:ind w:hanging="480"/>
            <w:divId w:val="1253783389"/>
            <w:rPr>
              <w:rFonts w:eastAsia="Times New Roman"/>
            </w:rPr>
          </w:pPr>
          <w:r>
            <w:rPr>
              <w:rFonts w:eastAsia="Times New Roman"/>
            </w:rPr>
            <w:t xml:space="preserve">Morris, R. L., Soh, S. E., Hill, K. D., Buchbinder, R., </w:t>
          </w:r>
          <w:proofErr w:type="spellStart"/>
          <w:r>
            <w:rPr>
              <w:rFonts w:eastAsia="Times New Roman"/>
            </w:rPr>
            <w:t>Lowthian</w:t>
          </w:r>
          <w:proofErr w:type="spellEnd"/>
          <w:r>
            <w:rPr>
              <w:rFonts w:eastAsia="Times New Roman"/>
            </w:rPr>
            <w:t xml:space="preserve">, J. A., Redfern, J., </w:t>
          </w:r>
          <w:proofErr w:type="spellStart"/>
          <w:r>
            <w:rPr>
              <w:rFonts w:eastAsia="Times New Roman"/>
            </w:rPr>
            <w:t>Etherton</w:t>
          </w:r>
          <w:proofErr w:type="spellEnd"/>
          <w:r>
            <w:rPr>
              <w:rFonts w:eastAsia="Times New Roman"/>
            </w:rPr>
            <w:t xml:space="preserve">-Beer, C. D., Hill, A. M., Osborne, R. H., </w:t>
          </w:r>
          <w:proofErr w:type="spellStart"/>
          <w:r>
            <w:rPr>
              <w:rFonts w:eastAsia="Times New Roman"/>
            </w:rPr>
            <w:t>Arendts</w:t>
          </w:r>
          <w:proofErr w:type="spellEnd"/>
          <w:r>
            <w:rPr>
              <w:rFonts w:eastAsia="Times New Roman"/>
            </w:rPr>
            <w:t xml:space="preserve">, G., &amp; Barker, A. L. (2017). Measurement properties of the Health Literacy Questionnaire (HLQ) among older adults who present to the emergency department after a fall: A Rasch analysis. </w:t>
          </w:r>
          <w:r>
            <w:rPr>
              <w:rFonts w:eastAsia="Times New Roman"/>
              <w:i/>
              <w:iCs/>
            </w:rPr>
            <w:t>BMC Health Services Research</w:t>
          </w:r>
          <w:r>
            <w:rPr>
              <w:rFonts w:eastAsia="Times New Roman"/>
            </w:rPr>
            <w:t xml:space="preserve">, </w:t>
          </w:r>
          <w:r>
            <w:rPr>
              <w:rFonts w:eastAsia="Times New Roman"/>
              <w:i/>
              <w:iCs/>
            </w:rPr>
            <w:t>17</w:t>
          </w:r>
          <w:r>
            <w:rPr>
              <w:rFonts w:eastAsia="Times New Roman"/>
            </w:rPr>
            <w:t>(1), 1–11. https://doi.org/10.1186/S12913-017-2520-9/FIGURES/2</w:t>
          </w:r>
        </w:p>
        <w:p w14:paraId="4851635A" w14:textId="77777777" w:rsidR="00EC7CE1" w:rsidRDefault="00EC7CE1">
          <w:pPr>
            <w:autoSpaceDE w:val="0"/>
            <w:autoSpaceDN w:val="0"/>
            <w:ind w:hanging="480"/>
            <w:divId w:val="279066349"/>
            <w:rPr>
              <w:rFonts w:eastAsia="Times New Roman"/>
            </w:rPr>
          </w:pPr>
          <w:r>
            <w:rPr>
              <w:rFonts w:eastAsia="Times New Roman"/>
            </w:rPr>
            <w:t xml:space="preserve">Moss-Morris, R., Weinman, J., Petrie, K., Horne, R., Cameron, L., &amp; Buick, D. (2010). The Revised Illness Perception Questionnaire (IPQ-R). </w:t>
          </w:r>
          <w:r>
            <w:rPr>
              <w:rFonts w:eastAsia="Times New Roman"/>
              <w:i/>
              <w:iCs/>
            </w:rPr>
            <w:t>Https://Doi.Org/10.1080/08870440290001494</w:t>
          </w:r>
          <w:r>
            <w:rPr>
              <w:rFonts w:eastAsia="Times New Roman"/>
            </w:rPr>
            <w:t xml:space="preserve">, </w:t>
          </w:r>
          <w:r>
            <w:rPr>
              <w:rFonts w:eastAsia="Times New Roman"/>
              <w:i/>
              <w:iCs/>
            </w:rPr>
            <w:t>17</w:t>
          </w:r>
          <w:r>
            <w:rPr>
              <w:rFonts w:eastAsia="Times New Roman"/>
            </w:rPr>
            <w:t>(1), 1–16. https://doi.org/10.1080/08870440290001494</w:t>
          </w:r>
        </w:p>
        <w:p w14:paraId="755D4D02" w14:textId="77777777" w:rsidR="00EC7CE1" w:rsidRDefault="00EC7CE1">
          <w:pPr>
            <w:autoSpaceDE w:val="0"/>
            <w:autoSpaceDN w:val="0"/>
            <w:ind w:hanging="480"/>
            <w:divId w:val="855850484"/>
            <w:rPr>
              <w:rFonts w:eastAsia="Times New Roman"/>
            </w:rPr>
          </w:pPr>
          <w:proofErr w:type="spellStart"/>
          <w:r>
            <w:rPr>
              <w:rFonts w:eastAsia="Times New Roman"/>
            </w:rPr>
            <w:t>Motl</w:t>
          </w:r>
          <w:proofErr w:type="spellEnd"/>
          <w:r>
            <w:rPr>
              <w:rFonts w:eastAsia="Times New Roman"/>
            </w:rPr>
            <w:t xml:space="preserve">, R. W., &amp; Snook, E. M. (2008). Physical Activity, Self-Efficacy, and Quality of Life in Multiple Sclerosis. </w:t>
          </w:r>
          <w:r>
            <w:rPr>
              <w:rFonts w:eastAsia="Times New Roman"/>
              <w:i/>
              <w:iCs/>
            </w:rPr>
            <w:t xml:space="preserve">Annals of </w:t>
          </w:r>
          <w:proofErr w:type="spellStart"/>
          <w:r>
            <w:rPr>
              <w:rFonts w:eastAsia="Times New Roman"/>
              <w:i/>
              <w:iCs/>
            </w:rPr>
            <w:t>Behavioral</w:t>
          </w:r>
          <w:proofErr w:type="spellEnd"/>
          <w:r>
            <w:rPr>
              <w:rFonts w:eastAsia="Times New Roman"/>
              <w:i/>
              <w:iCs/>
            </w:rPr>
            <w:t xml:space="preserve"> Medicine</w:t>
          </w:r>
          <w:r>
            <w:rPr>
              <w:rFonts w:eastAsia="Times New Roman"/>
            </w:rPr>
            <w:t xml:space="preserve">, </w:t>
          </w:r>
          <w:r>
            <w:rPr>
              <w:rFonts w:eastAsia="Times New Roman"/>
              <w:i/>
              <w:iCs/>
            </w:rPr>
            <w:t>35</w:t>
          </w:r>
          <w:r>
            <w:rPr>
              <w:rFonts w:eastAsia="Times New Roman"/>
            </w:rPr>
            <w:t>(1), 111–115. https://doi.org/10.1007/S12160-007-9006-7</w:t>
          </w:r>
        </w:p>
        <w:p w14:paraId="17603359" w14:textId="77777777" w:rsidR="00EC7CE1" w:rsidRDefault="00EC7CE1">
          <w:pPr>
            <w:autoSpaceDE w:val="0"/>
            <w:autoSpaceDN w:val="0"/>
            <w:ind w:hanging="480"/>
            <w:divId w:val="1089154162"/>
            <w:rPr>
              <w:rFonts w:eastAsia="Times New Roman"/>
            </w:rPr>
          </w:pPr>
          <w:r>
            <w:rPr>
              <w:rFonts w:eastAsia="Times New Roman"/>
            </w:rPr>
            <w:t xml:space="preserve">Mousavi, A., &amp; Cui, Y. (2020). The Effect of Person Misfit on Item Parameter Estimation and Classification Accuracy: A Simulation Study. </w:t>
          </w:r>
          <w:r>
            <w:rPr>
              <w:rFonts w:eastAsia="Times New Roman"/>
              <w:i/>
              <w:iCs/>
            </w:rPr>
            <w:t>Education Sciences 2020, Vol. 10, Page 324</w:t>
          </w:r>
          <w:r>
            <w:rPr>
              <w:rFonts w:eastAsia="Times New Roman"/>
            </w:rPr>
            <w:t xml:space="preserve">, </w:t>
          </w:r>
          <w:r>
            <w:rPr>
              <w:rFonts w:eastAsia="Times New Roman"/>
              <w:i/>
              <w:iCs/>
            </w:rPr>
            <w:t>10</w:t>
          </w:r>
          <w:r>
            <w:rPr>
              <w:rFonts w:eastAsia="Times New Roman"/>
            </w:rPr>
            <w:t>(11), 324. https://doi.org/10.3390/EDUCSCI10110324</w:t>
          </w:r>
        </w:p>
        <w:p w14:paraId="609EAD47" w14:textId="77777777" w:rsidR="00EC7CE1" w:rsidRDefault="00EC7CE1">
          <w:pPr>
            <w:autoSpaceDE w:val="0"/>
            <w:autoSpaceDN w:val="0"/>
            <w:ind w:hanging="480"/>
            <w:divId w:val="701134447"/>
            <w:rPr>
              <w:rFonts w:eastAsia="Times New Roman"/>
            </w:rPr>
          </w:pPr>
          <w:proofErr w:type="spellStart"/>
          <w:r>
            <w:rPr>
              <w:rFonts w:eastAsia="Times New Roman"/>
            </w:rPr>
            <w:t>Mukuria</w:t>
          </w:r>
          <w:proofErr w:type="spellEnd"/>
          <w:r>
            <w:rPr>
              <w:rFonts w:eastAsia="Times New Roman"/>
            </w:rPr>
            <w:t xml:space="preserve">, C., Brazier, J., </w:t>
          </w:r>
          <w:proofErr w:type="spellStart"/>
          <w:r>
            <w:rPr>
              <w:rFonts w:eastAsia="Times New Roman"/>
            </w:rPr>
            <w:t>Barkham</w:t>
          </w:r>
          <w:proofErr w:type="spellEnd"/>
          <w:r>
            <w:rPr>
              <w:rFonts w:eastAsia="Times New Roman"/>
            </w:rPr>
            <w:t xml:space="preserve">, M., Connell, J., Hardy, G., Hutten, R., Saxon, D., Dent-Brown, K., &amp; Parry, G. (2013). Cost-effectiveness of an improving access to psychological therapies service. </w:t>
          </w:r>
          <w:r>
            <w:rPr>
              <w:rFonts w:eastAsia="Times New Roman"/>
              <w:i/>
              <w:iCs/>
            </w:rPr>
            <w:t>Br J Psychiatry</w:t>
          </w:r>
          <w:r>
            <w:rPr>
              <w:rFonts w:eastAsia="Times New Roman"/>
            </w:rPr>
            <w:t xml:space="preserve">, </w:t>
          </w:r>
          <w:r>
            <w:rPr>
              <w:rFonts w:eastAsia="Times New Roman"/>
              <w:i/>
              <w:iCs/>
            </w:rPr>
            <w:t>202</w:t>
          </w:r>
          <w:r>
            <w:rPr>
              <w:rFonts w:eastAsia="Times New Roman"/>
            </w:rPr>
            <w:t>(3), 220–227. https://doi.org/10.1192/bjp.bp.111.107888</w:t>
          </w:r>
        </w:p>
        <w:p w14:paraId="426A75BA" w14:textId="77777777" w:rsidR="00EC7CE1" w:rsidRDefault="00EC7CE1">
          <w:pPr>
            <w:autoSpaceDE w:val="0"/>
            <w:autoSpaceDN w:val="0"/>
            <w:ind w:hanging="480"/>
            <w:divId w:val="436830143"/>
            <w:rPr>
              <w:rFonts w:eastAsia="Times New Roman"/>
            </w:rPr>
          </w:pPr>
          <w:r>
            <w:rPr>
              <w:rFonts w:eastAsia="Times New Roman"/>
            </w:rPr>
            <w:t xml:space="preserve">Mundt, J. C., Marks, I. M., Shear, M. K., &amp; </w:t>
          </w:r>
          <w:proofErr w:type="spellStart"/>
          <w:r>
            <w:rPr>
              <w:rFonts w:eastAsia="Times New Roman"/>
            </w:rPr>
            <w:t>Greist</w:t>
          </w:r>
          <w:proofErr w:type="spellEnd"/>
          <w:r>
            <w:rPr>
              <w:rFonts w:eastAsia="Times New Roman"/>
            </w:rPr>
            <w:t xml:space="preserve">, J. H. (2002). The Work and Social Adjustment Scale: a simple measure of impairment in functioning. </w:t>
          </w:r>
          <w:r>
            <w:rPr>
              <w:rFonts w:eastAsia="Times New Roman"/>
              <w:i/>
              <w:iCs/>
            </w:rPr>
            <w:t>Br J Psychiatry</w:t>
          </w:r>
          <w:r>
            <w:rPr>
              <w:rFonts w:eastAsia="Times New Roman"/>
            </w:rPr>
            <w:t xml:space="preserve">, </w:t>
          </w:r>
          <w:r>
            <w:rPr>
              <w:rFonts w:eastAsia="Times New Roman"/>
              <w:i/>
              <w:iCs/>
            </w:rPr>
            <w:t>180</w:t>
          </w:r>
          <w:r>
            <w:rPr>
              <w:rFonts w:eastAsia="Times New Roman"/>
            </w:rPr>
            <w:t>, 461–464. https://doi.org/10.1192/bjp.180.5.461</w:t>
          </w:r>
        </w:p>
        <w:p w14:paraId="093340DB" w14:textId="77777777" w:rsidR="00EC7CE1" w:rsidRDefault="00EC7CE1">
          <w:pPr>
            <w:autoSpaceDE w:val="0"/>
            <w:autoSpaceDN w:val="0"/>
            <w:ind w:hanging="480"/>
            <w:divId w:val="1880051316"/>
            <w:rPr>
              <w:rFonts w:eastAsia="Times New Roman"/>
            </w:rPr>
          </w:pPr>
          <w:r>
            <w:rPr>
              <w:rFonts w:eastAsia="Times New Roman"/>
            </w:rPr>
            <w:t xml:space="preserve">Murphy, F. C., Sahakian, B. J., </w:t>
          </w:r>
          <w:proofErr w:type="spellStart"/>
          <w:r>
            <w:rPr>
              <w:rFonts w:eastAsia="Times New Roman"/>
            </w:rPr>
            <w:t>Rubinsztein</w:t>
          </w:r>
          <w:proofErr w:type="spellEnd"/>
          <w:r>
            <w:rPr>
              <w:rFonts w:eastAsia="Times New Roman"/>
            </w:rPr>
            <w:t xml:space="preserve">, J. S., Michael, A., Rogers, R. D., Robbins, T. W., &amp; Paykel, E. S. (1999). Emotional bias and inhibitory control processes in  mania and depression. </w:t>
          </w:r>
          <w:r>
            <w:rPr>
              <w:rFonts w:eastAsia="Times New Roman"/>
              <w:i/>
              <w:iCs/>
            </w:rPr>
            <w:t>Psychological Medicine</w:t>
          </w:r>
          <w:r>
            <w:rPr>
              <w:rFonts w:eastAsia="Times New Roman"/>
            </w:rPr>
            <w:t xml:space="preserve">, </w:t>
          </w:r>
          <w:r>
            <w:rPr>
              <w:rFonts w:eastAsia="Times New Roman"/>
              <w:i/>
              <w:iCs/>
            </w:rPr>
            <w:t>29</w:t>
          </w:r>
          <w:r>
            <w:rPr>
              <w:rFonts w:eastAsia="Times New Roman"/>
            </w:rPr>
            <w:t>(6), 1307–1321. https://doi.org/10.1017/s0033291799001233</w:t>
          </w:r>
        </w:p>
        <w:p w14:paraId="0E4BD4B3" w14:textId="77777777" w:rsidR="00EC7CE1" w:rsidRDefault="00EC7CE1">
          <w:pPr>
            <w:autoSpaceDE w:val="0"/>
            <w:autoSpaceDN w:val="0"/>
            <w:ind w:hanging="480"/>
            <w:divId w:val="1306549395"/>
            <w:rPr>
              <w:rFonts w:eastAsia="Times New Roman"/>
            </w:rPr>
          </w:pPr>
          <w:r>
            <w:rPr>
              <w:rFonts w:eastAsia="Times New Roman"/>
            </w:rPr>
            <w:lastRenderedPageBreak/>
            <w:t xml:space="preserve">Murphy, S. T., Monahan, J. L., &amp; Zajonc, R. B. (1995). Additivity of nonconscious affect: combined effects of priming and exposure. </w:t>
          </w:r>
          <w:r>
            <w:rPr>
              <w:rFonts w:eastAsia="Times New Roman"/>
              <w:i/>
              <w:iCs/>
            </w:rPr>
            <w:t>Journal of Personality and Social Psychology</w:t>
          </w:r>
          <w:r>
            <w:rPr>
              <w:rFonts w:eastAsia="Times New Roman"/>
            </w:rPr>
            <w:t xml:space="preserve">, </w:t>
          </w:r>
          <w:r>
            <w:rPr>
              <w:rFonts w:eastAsia="Times New Roman"/>
              <w:i/>
              <w:iCs/>
            </w:rPr>
            <w:t>69</w:t>
          </w:r>
          <w:r>
            <w:rPr>
              <w:rFonts w:eastAsia="Times New Roman"/>
            </w:rPr>
            <w:t>(4), 589–602. https://doi.org/10.1037//0022-3514.69.4.589</w:t>
          </w:r>
        </w:p>
        <w:p w14:paraId="0E2B80EA" w14:textId="77777777" w:rsidR="00EC7CE1" w:rsidRDefault="00EC7CE1">
          <w:pPr>
            <w:autoSpaceDE w:val="0"/>
            <w:autoSpaceDN w:val="0"/>
            <w:ind w:hanging="480"/>
            <w:divId w:val="700206899"/>
            <w:rPr>
              <w:rFonts w:eastAsia="Times New Roman"/>
            </w:rPr>
          </w:pPr>
          <w:r>
            <w:rPr>
              <w:rFonts w:eastAsia="Times New Roman"/>
            </w:rPr>
            <w:t xml:space="preserve">Murphy, S. T., &amp; Zajonc, R. B. (1993). Affect, Cognition, and Awareness: Affective Priming With Optimal and Suboptimal Stimulus Exposures. </w:t>
          </w:r>
          <w:r>
            <w:rPr>
              <w:rFonts w:eastAsia="Times New Roman"/>
              <w:i/>
              <w:iCs/>
            </w:rPr>
            <w:t>Journal of Personality and Social Psychology</w:t>
          </w:r>
          <w:r>
            <w:rPr>
              <w:rFonts w:eastAsia="Times New Roman"/>
            </w:rPr>
            <w:t xml:space="preserve">, </w:t>
          </w:r>
          <w:r>
            <w:rPr>
              <w:rFonts w:eastAsia="Times New Roman"/>
              <w:i/>
              <w:iCs/>
            </w:rPr>
            <w:t>64</w:t>
          </w:r>
          <w:r>
            <w:rPr>
              <w:rFonts w:eastAsia="Times New Roman"/>
            </w:rPr>
            <w:t>(5), 723–739. https://doi.org/10.1037/0022-3514.64.5.723</w:t>
          </w:r>
        </w:p>
        <w:p w14:paraId="35FD5917" w14:textId="77777777" w:rsidR="00EC7CE1" w:rsidRDefault="00EC7CE1">
          <w:pPr>
            <w:autoSpaceDE w:val="0"/>
            <w:autoSpaceDN w:val="0"/>
            <w:ind w:hanging="480"/>
            <w:divId w:val="1885943639"/>
            <w:rPr>
              <w:rFonts w:eastAsia="Times New Roman"/>
            </w:rPr>
          </w:pPr>
          <w:r>
            <w:rPr>
              <w:rFonts w:eastAsia="Times New Roman"/>
            </w:rPr>
            <w:t xml:space="preserve">Myers, L., Gray, C., Roberts, N., Levita, L., &amp; Reuber, M. (2022). Shame in the treatment of patients with psychogenic nonepileptic seizures: The elephant in the room. </w:t>
          </w:r>
          <w:r>
            <w:rPr>
              <w:rFonts w:eastAsia="Times New Roman"/>
              <w:i/>
              <w:iCs/>
            </w:rPr>
            <w:t>Seizure</w:t>
          </w:r>
          <w:r>
            <w:rPr>
              <w:rFonts w:eastAsia="Times New Roman"/>
            </w:rPr>
            <w:t xml:space="preserve">, </w:t>
          </w:r>
          <w:r>
            <w:rPr>
              <w:rFonts w:eastAsia="Times New Roman"/>
              <w:i/>
              <w:iCs/>
            </w:rPr>
            <w:t>94</w:t>
          </w:r>
          <w:r>
            <w:rPr>
              <w:rFonts w:eastAsia="Times New Roman"/>
            </w:rPr>
            <w:t>, 176–182. https://doi.org/10.1016/J.SEIZURE.2021.10.018</w:t>
          </w:r>
        </w:p>
        <w:p w14:paraId="534F9727" w14:textId="77777777" w:rsidR="00EC7CE1" w:rsidRDefault="00EC7CE1">
          <w:pPr>
            <w:autoSpaceDE w:val="0"/>
            <w:autoSpaceDN w:val="0"/>
            <w:ind w:hanging="480"/>
            <w:divId w:val="771897510"/>
            <w:rPr>
              <w:rFonts w:eastAsia="Times New Roman"/>
            </w:rPr>
          </w:pPr>
          <w:r>
            <w:rPr>
              <w:rFonts w:eastAsia="Times New Roman"/>
            </w:rPr>
            <w:t xml:space="preserve">Myers, L., </w:t>
          </w:r>
          <w:proofErr w:type="spellStart"/>
          <w:r>
            <w:rPr>
              <w:rFonts w:eastAsia="Times New Roman"/>
            </w:rPr>
            <w:t>Sarudiansky</w:t>
          </w:r>
          <w:proofErr w:type="spellEnd"/>
          <w:r>
            <w:rPr>
              <w:rFonts w:eastAsia="Times New Roman"/>
            </w:rPr>
            <w:t xml:space="preserve">, M., </w:t>
          </w:r>
          <w:proofErr w:type="spellStart"/>
          <w:r>
            <w:rPr>
              <w:rFonts w:eastAsia="Times New Roman"/>
            </w:rPr>
            <w:t>Korman</w:t>
          </w:r>
          <w:proofErr w:type="spellEnd"/>
          <w:r>
            <w:rPr>
              <w:rFonts w:eastAsia="Times New Roman"/>
            </w:rPr>
            <w:t xml:space="preserve">, G., &amp; </w:t>
          </w:r>
          <w:proofErr w:type="spellStart"/>
          <w:r>
            <w:rPr>
              <w:rFonts w:eastAsia="Times New Roman"/>
            </w:rPr>
            <w:t>Baslet</w:t>
          </w:r>
          <w:proofErr w:type="spellEnd"/>
          <w:r>
            <w:rPr>
              <w:rFonts w:eastAsia="Times New Roman"/>
            </w:rPr>
            <w:t xml:space="preserve">, G. (2021). Using evidence-based psychotherapy to tailor treatment for patients with functional neurological disorders. </w:t>
          </w:r>
          <w:r>
            <w:rPr>
              <w:rFonts w:eastAsia="Times New Roman"/>
              <w:i/>
              <w:iCs/>
            </w:rPr>
            <w:t xml:space="preserve">Epilepsy &amp; </w:t>
          </w:r>
          <w:proofErr w:type="spellStart"/>
          <w:r>
            <w:rPr>
              <w:rFonts w:eastAsia="Times New Roman"/>
              <w:i/>
              <w:iCs/>
            </w:rPr>
            <w:t>Behavior</w:t>
          </w:r>
          <w:proofErr w:type="spellEnd"/>
          <w:r>
            <w:rPr>
              <w:rFonts w:eastAsia="Times New Roman"/>
              <w:i/>
              <w:iCs/>
            </w:rPr>
            <w:t xml:space="preserve"> Reports</w:t>
          </w:r>
          <w:r>
            <w:rPr>
              <w:rFonts w:eastAsia="Times New Roman"/>
            </w:rPr>
            <w:t xml:space="preserve">, </w:t>
          </w:r>
          <w:r>
            <w:rPr>
              <w:rFonts w:eastAsia="Times New Roman"/>
              <w:i/>
              <w:iCs/>
            </w:rPr>
            <w:t>16</w:t>
          </w:r>
          <w:r>
            <w:rPr>
              <w:rFonts w:eastAsia="Times New Roman"/>
            </w:rPr>
            <w:t>, 100478. https://doi.org/10.1016/J.EBR.2021.100478</w:t>
          </w:r>
        </w:p>
        <w:p w14:paraId="2F669E2B" w14:textId="77777777" w:rsidR="00EC7CE1" w:rsidRDefault="00EC7CE1">
          <w:pPr>
            <w:autoSpaceDE w:val="0"/>
            <w:autoSpaceDN w:val="0"/>
            <w:ind w:hanging="480"/>
            <w:divId w:val="1139153898"/>
            <w:rPr>
              <w:rFonts w:eastAsia="Times New Roman"/>
            </w:rPr>
          </w:pPr>
          <w:proofErr w:type="spellStart"/>
          <w:r>
            <w:rPr>
              <w:rFonts w:eastAsia="Times New Roman"/>
            </w:rPr>
            <w:t>Nahab</w:t>
          </w:r>
          <w:proofErr w:type="spellEnd"/>
          <w:r>
            <w:rPr>
              <w:rFonts w:eastAsia="Times New Roman"/>
            </w:rPr>
            <w:t xml:space="preserve">, F. B., Kundu, P., Maurer, C., Shen, Q., &amp; Hallett, M. (2017). Impaired sense of agency in functional movement disorders: An fMRI study.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12</w:t>
          </w:r>
          <w:r>
            <w:rPr>
              <w:rFonts w:eastAsia="Times New Roman"/>
            </w:rPr>
            <w:t>(4). https://doi.org/10.1371/JOURNAL.PONE.0172502</w:t>
          </w:r>
        </w:p>
        <w:p w14:paraId="0ECE99C9" w14:textId="77777777" w:rsidR="00EC7CE1" w:rsidRDefault="00EC7CE1">
          <w:pPr>
            <w:autoSpaceDE w:val="0"/>
            <w:autoSpaceDN w:val="0"/>
            <w:ind w:hanging="480"/>
            <w:divId w:val="1654528960"/>
            <w:rPr>
              <w:rFonts w:eastAsia="Times New Roman"/>
            </w:rPr>
          </w:pPr>
          <w:r>
            <w:rPr>
              <w:rFonts w:eastAsia="Times New Roman"/>
            </w:rPr>
            <w:t xml:space="preserve">Naing, N. N. (2000). Easy Way to Learn Standardization : Direct and Indirect Methods. </w:t>
          </w:r>
          <w:r>
            <w:rPr>
              <w:rFonts w:eastAsia="Times New Roman"/>
              <w:i/>
              <w:iCs/>
            </w:rPr>
            <w:t>The Malaysian Journal of Medical Sciences : MJMS</w:t>
          </w:r>
          <w:r>
            <w:rPr>
              <w:rFonts w:eastAsia="Times New Roman"/>
            </w:rPr>
            <w:t xml:space="preserve">, </w:t>
          </w:r>
          <w:r>
            <w:rPr>
              <w:rFonts w:eastAsia="Times New Roman"/>
              <w:i/>
              <w:iCs/>
            </w:rPr>
            <w:t>7</w:t>
          </w:r>
          <w:r>
            <w:rPr>
              <w:rFonts w:eastAsia="Times New Roman"/>
            </w:rPr>
            <w:t>(1), 10. /</w:t>
          </w:r>
          <w:proofErr w:type="spellStart"/>
          <w:r>
            <w:rPr>
              <w:rFonts w:eastAsia="Times New Roman"/>
            </w:rPr>
            <w:t>pmc</w:t>
          </w:r>
          <w:proofErr w:type="spellEnd"/>
          <w:r>
            <w:rPr>
              <w:rFonts w:eastAsia="Times New Roman"/>
            </w:rPr>
            <w:t>/articles/PMC3406211/</w:t>
          </w:r>
        </w:p>
        <w:p w14:paraId="26EE7668" w14:textId="77777777" w:rsidR="00EC7CE1" w:rsidRDefault="00EC7CE1">
          <w:pPr>
            <w:autoSpaceDE w:val="0"/>
            <w:autoSpaceDN w:val="0"/>
            <w:ind w:hanging="480"/>
            <w:divId w:val="536545198"/>
            <w:rPr>
              <w:rFonts w:eastAsia="Times New Roman"/>
            </w:rPr>
          </w:pPr>
          <w:r>
            <w:rPr>
              <w:rFonts w:eastAsia="Times New Roman"/>
            </w:rPr>
            <w:t xml:space="preserve">Newton, A., </w:t>
          </w:r>
          <w:proofErr w:type="spellStart"/>
          <w:r>
            <w:rPr>
              <w:rFonts w:eastAsia="Times New Roman"/>
            </w:rPr>
            <w:t>Sarker</w:t>
          </w:r>
          <w:proofErr w:type="spellEnd"/>
          <w:r>
            <w:rPr>
              <w:rFonts w:eastAsia="Times New Roman"/>
            </w:rPr>
            <w:t xml:space="preserve">, S. J., Parfitt, A., Henderson, K., Jaye, P., &amp; Drake, N. (2011). Individual care plans can reduce hospital admission rate for patients who frequently attend the emergency department. </w:t>
          </w:r>
          <w:r>
            <w:rPr>
              <w:rFonts w:eastAsia="Times New Roman"/>
              <w:i/>
              <w:iCs/>
            </w:rPr>
            <w:t>Emergency Medicine Journal : EMJ</w:t>
          </w:r>
          <w:r>
            <w:rPr>
              <w:rFonts w:eastAsia="Times New Roman"/>
            </w:rPr>
            <w:t xml:space="preserve">, </w:t>
          </w:r>
          <w:r>
            <w:rPr>
              <w:rFonts w:eastAsia="Times New Roman"/>
              <w:i/>
              <w:iCs/>
            </w:rPr>
            <w:t>28</w:t>
          </w:r>
          <w:r>
            <w:rPr>
              <w:rFonts w:eastAsia="Times New Roman"/>
            </w:rPr>
            <w:t>(8), 654–657. https://doi.org/10.1136/EMJ.2009.085704</w:t>
          </w:r>
        </w:p>
        <w:p w14:paraId="25414B13" w14:textId="77777777" w:rsidR="00EC7CE1" w:rsidRDefault="00EC7CE1">
          <w:pPr>
            <w:autoSpaceDE w:val="0"/>
            <w:autoSpaceDN w:val="0"/>
            <w:ind w:hanging="480"/>
            <w:divId w:val="371227054"/>
            <w:rPr>
              <w:rFonts w:eastAsia="Times New Roman"/>
            </w:rPr>
          </w:pPr>
          <w:r>
            <w:rPr>
              <w:rFonts w:eastAsia="Times New Roman"/>
              <w:i/>
              <w:iCs/>
            </w:rPr>
            <w:t>NHS England » High Intensity Use programme</w:t>
          </w:r>
          <w:r>
            <w:rPr>
              <w:rFonts w:eastAsia="Times New Roman"/>
            </w:rPr>
            <w:t>. (n.d.). Retrieved June 7, 2023, from https://www.england.nhs.uk/high-intensity-use-programme/</w:t>
          </w:r>
        </w:p>
        <w:p w14:paraId="54E9E2D4" w14:textId="77777777" w:rsidR="00EC7CE1" w:rsidRDefault="00EC7CE1">
          <w:pPr>
            <w:autoSpaceDE w:val="0"/>
            <w:autoSpaceDN w:val="0"/>
            <w:ind w:hanging="480"/>
            <w:divId w:val="910582970"/>
            <w:rPr>
              <w:rFonts w:eastAsia="Times New Roman"/>
            </w:rPr>
          </w:pPr>
          <w:r>
            <w:rPr>
              <w:rFonts w:eastAsia="Times New Roman"/>
              <w:i/>
              <w:iCs/>
            </w:rPr>
            <w:t>NHS England » Next steps in increasing capacity and operational resilience in urgent and emergency care ahead of winter</w:t>
          </w:r>
          <w:r>
            <w:rPr>
              <w:rFonts w:eastAsia="Times New Roman"/>
            </w:rPr>
            <w:t>. (n.d.). Retrieved June 7, 2023, from https://www.england.nhs.uk/long-read/next-steps-in-increasing-capacity-and-operational-resilience-in-urgent-and-emergency-care-ahead-of-winter/</w:t>
          </w:r>
        </w:p>
        <w:p w14:paraId="2BAFD16F" w14:textId="77777777" w:rsidR="00EC7CE1" w:rsidRDefault="00EC7CE1">
          <w:pPr>
            <w:autoSpaceDE w:val="0"/>
            <w:autoSpaceDN w:val="0"/>
            <w:ind w:hanging="480"/>
            <w:divId w:val="1552771231"/>
            <w:rPr>
              <w:rFonts w:eastAsia="Times New Roman"/>
            </w:rPr>
          </w:pPr>
          <w:r>
            <w:rPr>
              <w:rFonts w:eastAsia="Times New Roman"/>
              <w:i/>
              <w:iCs/>
            </w:rPr>
            <w:t>NHS England » Technical guidance for refreshing NHS Plans 2018/19 annex A: Commissioning for Quality and Innovation (CQUIN) indicator specification 2017-2019</w:t>
          </w:r>
          <w:r>
            <w:rPr>
              <w:rFonts w:eastAsia="Times New Roman"/>
            </w:rPr>
            <w:t>. (n.d.). Retrieved June 7, 2023, from https://www.england.nhs.uk/publication/cquin-indicator-specification/</w:t>
          </w:r>
        </w:p>
        <w:p w14:paraId="130250D1" w14:textId="77777777" w:rsidR="00EC7CE1" w:rsidRDefault="00EC7CE1">
          <w:pPr>
            <w:autoSpaceDE w:val="0"/>
            <w:autoSpaceDN w:val="0"/>
            <w:ind w:hanging="480"/>
            <w:divId w:val="1044066412"/>
            <w:rPr>
              <w:rFonts w:eastAsia="Times New Roman"/>
            </w:rPr>
          </w:pPr>
          <w:r>
            <w:rPr>
              <w:rFonts w:eastAsia="Times New Roman"/>
            </w:rPr>
            <w:lastRenderedPageBreak/>
            <w:t xml:space="preserve">Nicholson, T. R., Carson, A., Edwards, M. J., Goldstein, L. H., Hallett, M., </w:t>
          </w:r>
          <w:proofErr w:type="spellStart"/>
          <w:r>
            <w:rPr>
              <w:rFonts w:eastAsia="Times New Roman"/>
            </w:rPr>
            <w:t>Mildon</w:t>
          </w:r>
          <w:proofErr w:type="spellEnd"/>
          <w:r>
            <w:rPr>
              <w:rFonts w:eastAsia="Times New Roman"/>
            </w:rPr>
            <w:t xml:space="preserve">, B., Nielsen, G., Nicholson, C., Perez, D. L., Pick, S., &amp; Stone, J. (2020). Outcome Measures for Functional Neurological Disorder: A Review of the Theoretical Complexities. </w:t>
          </w:r>
          <w:r>
            <w:rPr>
              <w:rFonts w:eastAsia="Times New Roman"/>
              <w:i/>
              <w:iCs/>
            </w:rPr>
            <w:t xml:space="preserve">J Neuropsychiatry Clin </w:t>
          </w:r>
          <w:proofErr w:type="spellStart"/>
          <w:r>
            <w:rPr>
              <w:rFonts w:eastAsia="Times New Roman"/>
              <w:i/>
              <w:iCs/>
            </w:rPr>
            <w:t>Neurosci</w:t>
          </w:r>
          <w:proofErr w:type="spellEnd"/>
          <w:r>
            <w:rPr>
              <w:rFonts w:eastAsia="Times New Roman"/>
            </w:rPr>
            <w:t xml:space="preserve">, </w:t>
          </w:r>
          <w:r>
            <w:rPr>
              <w:rFonts w:eastAsia="Times New Roman"/>
              <w:i/>
              <w:iCs/>
            </w:rPr>
            <w:t>32</w:t>
          </w:r>
          <w:r>
            <w:rPr>
              <w:rFonts w:eastAsia="Times New Roman"/>
            </w:rPr>
            <w:t>(1), 33–42. https://doi.org/10.1176/appi.neuropsych.19060128</w:t>
          </w:r>
        </w:p>
        <w:p w14:paraId="5AE30BF6" w14:textId="77777777" w:rsidR="00EC7CE1" w:rsidRDefault="00EC7CE1">
          <w:pPr>
            <w:autoSpaceDE w:val="0"/>
            <w:autoSpaceDN w:val="0"/>
            <w:ind w:hanging="480"/>
            <w:divId w:val="692220531"/>
            <w:rPr>
              <w:rFonts w:eastAsia="Times New Roman"/>
            </w:rPr>
          </w:pPr>
          <w:r>
            <w:rPr>
              <w:rFonts w:eastAsia="Times New Roman"/>
            </w:rPr>
            <w:t xml:space="preserve">Nielsen, G., Ricciardi, L., Demartini, B., Hunter, R., Joyce, E., &amp; Edwards, M. J. (2015). Outcomes of a 5-day physiotherapy programme for functional (psychogenic) motor disorders. </w:t>
          </w:r>
          <w:r>
            <w:rPr>
              <w:rFonts w:eastAsia="Times New Roman"/>
              <w:i/>
              <w:iCs/>
            </w:rPr>
            <w:t>Journal of Neurology</w:t>
          </w:r>
          <w:r>
            <w:rPr>
              <w:rFonts w:eastAsia="Times New Roman"/>
            </w:rPr>
            <w:t xml:space="preserve">, </w:t>
          </w:r>
          <w:r>
            <w:rPr>
              <w:rFonts w:eastAsia="Times New Roman"/>
              <w:i/>
              <w:iCs/>
            </w:rPr>
            <w:t>262</w:t>
          </w:r>
          <w:r>
            <w:rPr>
              <w:rFonts w:eastAsia="Times New Roman"/>
            </w:rPr>
            <w:t>(3), 674–681. https://doi.org/10.1007/s00415-014-7631-1</w:t>
          </w:r>
        </w:p>
        <w:p w14:paraId="534EB262" w14:textId="77777777" w:rsidR="00EC7CE1" w:rsidRDefault="00EC7CE1">
          <w:pPr>
            <w:autoSpaceDE w:val="0"/>
            <w:autoSpaceDN w:val="0"/>
            <w:ind w:hanging="480"/>
            <w:divId w:val="1378822150"/>
            <w:rPr>
              <w:rFonts w:eastAsia="Times New Roman"/>
            </w:rPr>
          </w:pPr>
          <w:r>
            <w:rPr>
              <w:rFonts w:eastAsia="Times New Roman"/>
            </w:rPr>
            <w:t xml:space="preserve">Nielsen, G., Ricciardi, L., </w:t>
          </w:r>
          <w:proofErr w:type="spellStart"/>
          <w:r>
            <w:rPr>
              <w:rFonts w:eastAsia="Times New Roman"/>
            </w:rPr>
            <w:t>Meppelink</w:t>
          </w:r>
          <w:proofErr w:type="spellEnd"/>
          <w:r>
            <w:rPr>
              <w:rFonts w:eastAsia="Times New Roman"/>
            </w:rPr>
            <w:t xml:space="preserve">, A. M., Holt, K., Teodoro, T., &amp; Edwards, M. (2017). A Simplified Version of the Psychogenic Movement Disorders Rating Scale: The Simplified Functional Movement Disorders Rating Scale (S-FMDRS). </w:t>
          </w:r>
          <w:r>
            <w:rPr>
              <w:rFonts w:eastAsia="Times New Roman"/>
              <w:i/>
              <w:iCs/>
            </w:rPr>
            <w:t>Movement Disorders Clinical Practice</w:t>
          </w:r>
          <w:r>
            <w:rPr>
              <w:rFonts w:eastAsia="Times New Roman"/>
            </w:rPr>
            <w:t xml:space="preserve">, </w:t>
          </w:r>
          <w:r>
            <w:rPr>
              <w:rFonts w:eastAsia="Times New Roman"/>
              <w:i/>
              <w:iCs/>
            </w:rPr>
            <w:t>4</w:t>
          </w:r>
          <w:r>
            <w:rPr>
              <w:rFonts w:eastAsia="Times New Roman"/>
            </w:rPr>
            <w:t>(5), 710–716. https://doi.org/10.1002/mdc3.12475</w:t>
          </w:r>
        </w:p>
        <w:p w14:paraId="0D1E4786" w14:textId="77777777" w:rsidR="00EC7CE1" w:rsidRDefault="00EC7CE1">
          <w:pPr>
            <w:autoSpaceDE w:val="0"/>
            <w:autoSpaceDN w:val="0"/>
            <w:ind w:hanging="480"/>
            <w:divId w:val="236137613"/>
            <w:rPr>
              <w:rFonts w:eastAsia="Times New Roman"/>
            </w:rPr>
          </w:pPr>
          <w:r>
            <w:rPr>
              <w:rFonts w:eastAsia="Times New Roman"/>
            </w:rPr>
            <w:t xml:space="preserve">Nielsen, G., Stone, J., &amp; Edwards, M. J. (2013). Physiotherapy for functional (psychogenic) motor symptoms: a systematic review. </w:t>
          </w:r>
          <w:r>
            <w:rPr>
              <w:rFonts w:eastAsia="Times New Roman"/>
              <w:i/>
              <w:iCs/>
            </w:rPr>
            <w:t xml:space="preserve">J </w:t>
          </w:r>
          <w:proofErr w:type="spellStart"/>
          <w:r>
            <w:rPr>
              <w:rFonts w:eastAsia="Times New Roman"/>
              <w:i/>
              <w:iCs/>
            </w:rPr>
            <w:t>Psychosom</w:t>
          </w:r>
          <w:proofErr w:type="spellEnd"/>
          <w:r>
            <w:rPr>
              <w:rFonts w:eastAsia="Times New Roman"/>
              <w:i/>
              <w:iCs/>
            </w:rPr>
            <w:t xml:space="preserve"> Res</w:t>
          </w:r>
          <w:r>
            <w:rPr>
              <w:rFonts w:eastAsia="Times New Roman"/>
            </w:rPr>
            <w:t xml:space="preserve">, </w:t>
          </w:r>
          <w:r>
            <w:rPr>
              <w:rFonts w:eastAsia="Times New Roman"/>
              <w:i/>
              <w:iCs/>
            </w:rPr>
            <w:t>75</w:t>
          </w:r>
          <w:r>
            <w:rPr>
              <w:rFonts w:eastAsia="Times New Roman"/>
            </w:rPr>
            <w:t>(2), 93–102. https://doi.org/10.1016/j.jpsychores.2013.05.006</w:t>
          </w:r>
        </w:p>
        <w:p w14:paraId="5DAAA510" w14:textId="77777777" w:rsidR="00EC7CE1" w:rsidRDefault="00EC7CE1">
          <w:pPr>
            <w:autoSpaceDE w:val="0"/>
            <w:autoSpaceDN w:val="0"/>
            <w:ind w:hanging="480"/>
            <w:divId w:val="910041802"/>
            <w:rPr>
              <w:rFonts w:eastAsia="Times New Roman"/>
            </w:rPr>
          </w:pPr>
          <w:r>
            <w:rPr>
              <w:rFonts w:eastAsia="Times New Roman"/>
            </w:rPr>
            <w:t xml:space="preserve">Nielsen, G., Stone, J., Matthews, A., Brown, M., Sparkes, C., Farmer, R., Masterton, L., Duncan, L., Winters, A., </w:t>
          </w:r>
          <w:proofErr w:type="spellStart"/>
          <w:r>
            <w:rPr>
              <w:rFonts w:eastAsia="Times New Roman"/>
            </w:rPr>
            <w:t>Daniell</w:t>
          </w:r>
          <w:proofErr w:type="spellEnd"/>
          <w:r>
            <w:rPr>
              <w:rFonts w:eastAsia="Times New Roman"/>
            </w:rPr>
            <w:t xml:space="preserve">, L., Lumsden, C., Carson, A., David, A. S., &amp; Edwards, M. (2015). Physiotherapy for functional motor disorders: a consensus recommendation. </w:t>
          </w:r>
          <w:r>
            <w:rPr>
              <w:rFonts w:eastAsia="Times New Roman"/>
              <w:i/>
              <w:iCs/>
            </w:rPr>
            <w:t>Journal of Neurology, Neurosurgery, and Psychiatry</w:t>
          </w:r>
          <w:r>
            <w:rPr>
              <w:rFonts w:eastAsia="Times New Roman"/>
            </w:rPr>
            <w:t xml:space="preserve">, </w:t>
          </w:r>
          <w:r>
            <w:rPr>
              <w:rFonts w:eastAsia="Times New Roman"/>
              <w:i/>
              <w:iCs/>
            </w:rPr>
            <w:t>86</w:t>
          </w:r>
          <w:r>
            <w:rPr>
              <w:rFonts w:eastAsia="Times New Roman"/>
            </w:rPr>
            <w:t>(10), 1113–1119. https://doi.org/10.1136/JNNP-2014-309255</w:t>
          </w:r>
        </w:p>
        <w:p w14:paraId="768B384B" w14:textId="77777777" w:rsidR="00EC7CE1" w:rsidRDefault="00EC7CE1">
          <w:pPr>
            <w:autoSpaceDE w:val="0"/>
            <w:autoSpaceDN w:val="0"/>
            <w:ind w:hanging="480"/>
            <w:divId w:val="723602821"/>
            <w:rPr>
              <w:rFonts w:eastAsia="Times New Roman"/>
            </w:rPr>
          </w:pPr>
          <w:proofErr w:type="spellStart"/>
          <w:r>
            <w:rPr>
              <w:rFonts w:eastAsia="Times New Roman"/>
            </w:rPr>
            <w:t>Nigg</w:t>
          </w:r>
          <w:proofErr w:type="spellEnd"/>
          <w:r>
            <w:rPr>
              <w:rFonts w:eastAsia="Times New Roman"/>
            </w:rPr>
            <w:t xml:space="preserve">, J. T. (2017). Annual Research Review: On the relations among self-regulation, self-control, executive functioning, effortful control, cognitive control, impulsivity, risk-taking, and inhibition for developmental psychopathology. </w:t>
          </w:r>
          <w:r>
            <w:rPr>
              <w:rFonts w:eastAsia="Times New Roman"/>
              <w:i/>
              <w:iCs/>
            </w:rPr>
            <w:t>Journal of Child Psychology and Psychiatry, and Allied Disciplines</w:t>
          </w:r>
          <w:r>
            <w:rPr>
              <w:rFonts w:eastAsia="Times New Roman"/>
            </w:rPr>
            <w:t xml:space="preserve">, </w:t>
          </w:r>
          <w:r>
            <w:rPr>
              <w:rFonts w:eastAsia="Times New Roman"/>
              <w:i/>
              <w:iCs/>
            </w:rPr>
            <w:t>58</w:t>
          </w:r>
          <w:r>
            <w:rPr>
              <w:rFonts w:eastAsia="Times New Roman"/>
            </w:rPr>
            <w:t>(4), 361. https://doi.org/10.1111/JCPP.12675</w:t>
          </w:r>
        </w:p>
        <w:p w14:paraId="55FB7B26" w14:textId="77777777" w:rsidR="00EC7CE1" w:rsidRDefault="00EC7CE1">
          <w:pPr>
            <w:autoSpaceDE w:val="0"/>
            <w:autoSpaceDN w:val="0"/>
            <w:ind w:hanging="480"/>
            <w:divId w:val="156309596"/>
            <w:rPr>
              <w:rFonts w:eastAsia="Times New Roman"/>
            </w:rPr>
          </w:pPr>
          <w:proofErr w:type="spellStart"/>
          <w:r>
            <w:rPr>
              <w:rFonts w:eastAsia="Times New Roman"/>
            </w:rPr>
            <w:t>Nightscales</w:t>
          </w:r>
          <w:proofErr w:type="spellEnd"/>
          <w:r>
            <w:rPr>
              <w:rFonts w:eastAsia="Times New Roman"/>
            </w:rPr>
            <w:t xml:space="preserve">, R., McCartney, L., </w:t>
          </w:r>
          <w:proofErr w:type="spellStart"/>
          <w:r>
            <w:rPr>
              <w:rFonts w:eastAsia="Times New Roman"/>
            </w:rPr>
            <w:t>Auvrez</w:t>
          </w:r>
          <w:proofErr w:type="spellEnd"/>
          <w:r>
            <w:rPr>
              <w:rFonts w:eastAsia="Times New Roman"/>
            </w:rPr>
            <w:t xml:space="preserve">, C., Tao, G., Barnard, S., Malpas, C. B., </w:t>
          </w:r>
          <w:proofErr w:type="spellStart"/>
          <w:r>
            <w:rPr>
              <w:rFonts w:eastAsia="Times New Roman"/>
            </w:rPr>
            <w:t>Perucca</w:t>
          </w:r>
          <w:proofErr w:type="spellEnd"/>
          <w:r>
            <w:rPr>
              <w:rFonts w:eastAsia="Times New Roman"/>
            </w:rPr>
            <w:t xml:space="preserve">, P., McIntosh, A., Chen, Z., </w:t>
          </w:r>
          <w:proofErr w:type="spellStart"/>
          <w:r>
            <w:rPr>
              <w:rFonts w:eastAsia="Times New Roman"/>
            </w:rPr>
            <w:t>Sivathamboo</w:t>
          </w:r>
          <w:proofErr w:type="spellEnd"/>
          <w:r>
            <w:rPr>
              <w:rFonts w:eastAsia="Times New Roman"/>
            </w:rPr>
            <w:t xml:space="preserve">, S., </w:t>
          </w:r>
          <w:proofErr w:type="spellStart"/>
          <w:r>
            <w:rPr>
              <w:rFonts w:eastAsia="Times New Roman"/>
            </w:rPr>
            <w:t>Ignatiadis</w:t>
          </w:r>
          <w:proofErr w:type="spellEnd"/>
          <w:r>
            <w:rPr>
              <w:rFonts w:eastAsia="Times New Roman"/>
            </w:rPr>
            <w:t xml:space="preserve">, S., Jones, S., Adams, S., Cook, M. J., Kwan, P., </w:t>
          </w:r>
          <w:proofErr w:type="spellStart"/>
          <w:r>
            <w:rPr>
              <w:rFonts w:eastAsia="Times New Roman"/>
            </w:rPr>
            <w:t>Velakoulis</w:t>
          </w:r>
          <w:proofErr w:type="spellEnd"/>
          <w:r>
            <w:rPr>
              <w:rFonts w:eastAsia="Times New Roman"/>
            </w:rPr>
            <w:t xml:space="preserve">, D., D’Souza, W., </w:t>
          </w:r>
          <w:proofErr w:type="spellStart"/>
          <w:r>
            <w:rPr>
              <w:rFonts w:eastAsia="Times New Roman"/>
            </w:rPr>
            <w:t>Berkovic</w:t>
          </w:r>
          <w:proofErr w:type="spellEnd"/>
          <w:r>
            <w:rPr>
              <w:rFonts w:eastAsia="Times New Roman"/>
            </w:rPr>
            <w:t xml:space="preserve">, S. F., &amp; O’Brien, T. J. (2020). Mortality in patients with psychogenic nonepileptic seizures. </w:t>
          </w:r>
          <w:r>
            <w:rPr>
              <w:rFonts w:eastAsia="Times New Roman"/>
              <w:i/>
              <w:iCs/>
            </w:rPr>
            <w:t>Neurology</w:t>
          </w:r>
          <w:r>
            <w:rPr>
              <w:rFonts w:eastAsia="Times New Roman"/>
            </w:rPr>
            <w:t xml:space="preserve">, </w:t>
          </w:r>
          <w:r>
            <w:rPr>
              <w:rFonts w:eastAsia="Times New Roman"/>
              <w:i/>
              <w:iCs/>
            </w:rPr>
            <w:t>95</w:t>
          </w:r>
          <w:r>
            <w:rPr>
              <w:rFonts w:eastAsia="Times New Roman"/>
            </w:rPr>
            <w:t>(6), E643–E652. https://doi.org/10.1212/WNL.0000000000009855</w:t>
          </w:r>
        </w:p>
        <w:p w14:paraId="2BB03BD8" w14:textId="77777777" w:rsidR="00EC7CE1" w:rsidRDefault="00EC7CE1">
          <w:pPr>
            <w:autoSpaceDE w:val="0"/>
            <w:autoSpaceDN w:val="0"/>
            <w:ind w:hanging="480"/>
            <w:divId w:val="157622640"/>
            <w:rPr>
              <w:rFonts w:eastAsia="Times New Roman"/>
            </w:rPr>
          </w:pPr>
          <w:r>
            <w:rPr>
              <w:rFonts w:eastAsia="Times New Roman"/>
            </w:rPr>
            <w:t xml:space="preserve">Norton, J., David, M., De </w:t>
          </w:r>
          <w:proofErr w:type="spellStart"/>
          <w:r>
            <w:rPr>
              <w:rFonts w:eastAsia="Times New Roman"/>
            </w:rPr>
            <w:t>Roquefeuil</w:t>
          </w:r>
          <w:proofErr w:type="spellEnd"/>
          <w:r>
            <w:rPr>
              <w:rFonts w:eastAsia="Times New Roman"/>
            </w:rPr>
            <w:t xml:space="preserve">, G., Boulenger, J. P., Car, J., Ritchie, K., &amp; Mann, A. (2012). Frequent attendance in family practice and common mental disorders </w:t>
          </w:r>
          <w:r>
            <w:rPr>
              <w:rFonts w:eastAsia="Times New Roman"/>
            </w:rPr>
            <w:lastRenderedPageBreak/>
            <w:t xml:space="preserve">in an open access health care system. </w:t>
          </w:r>
          <w:r>
            <w:rPr>
              <w:rFonts w:eastAsia="Times New Roman"/>
              <w:i/>
              <w:iCs/>
            </w:rPr>
            <w:t>Journal of Psychosomatic Research</w:t>
          </w:r>
          <w:r>
            <w:rPr>
              <w:rFonts w:eastAsia="Times New Roman"/>
            </w:rPr>
            <w:t xml:space="preserve">, </w:t>
          </w:r>
          <w:r>
            <w:rPr>
              <w:rFonts w:eastAsia="Times New Roman"/>
              <w:i/>
              <w:iCs/>
            </w:rPr>
            <w:t>72</w:t>
          </w:r>
          <w:r>
            <w:rPr>
              <w:rFonts w:eastAsia="Times New Roman"/>
            </w:rPr>
            <w:t>(6), 413–418. https://doi.org/10.1016/J.JPSYCHORES.2012.02.010</w:t>
          </w:r>
        </w:p>
        <w:p w14:paraId="22F49B8C" w14:textId="77777777" w:rsidR="00EC7CE1" w:rsidRDefault="00EC7CE1">
          <w:pPr>
            <w:autoSpaceDE w:val="0"/>
            <w:autoSpaceDN w:val="0"/>
            <w:ind w:hanging="480"/>
            <w:divId w:val="1698854047"/>
            <w:rPr>
              <w:rFonts w:eastAsia="Times New Roman"/>
            </w:rPr>
          </w:pPr>
          <w:r>
            <w:rPr>
              <w:rFonts w:eastAsia="Times New Roman"/>
            </w:rPr>
            <w:t xml:space="preserve">Novakova, B., Harris, P. R., &amp; Reuber, M. (2017). Diurnal patterns and relationships between physiological and self-reported stress in patients with epilepsy and psychogenic non-epileptic seizures.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70</w:t>
          </w:r>
          <w:r>
            <w:rPr>
              <w:rFonts w:eastAsia="Times New Roman"/>
            </w:rPr>
            <w:t>(Pt A), 204–211. https://doi.org/10.1016/j.yebeh.2017.03.006</w:t>
          </w:r>
        </w:p>
        <w:p w14:paraId="1D0007AD" w14:textId="77777777" w:rsidR="00EC7CE1" w:rsidRDefault="00EC7CE1">
          <w:pPr>
            <w:autoSpaceDE w:val="0"/>
            <w:autoSpaceDN w:val="0"/>
            <w:ind w:hanging="480"/>
            <w:divId w:val="589235894"/>
            <w:rPr>
              <w:rFonts w:eastAsia="Times New Roman"/>
            </w:rPr>
          </w:pPr>
          <w:r>
            <w:rPr>
              <w:rFonts w:eastAsia="Times New Roman"/>
            </w:rPr>
            <w:t xml:space="preserve">Novakova, B., Howlett, S., Baker, R., &amp; Reuber, M. (2015). Emotion processing and psychogenic non-epileptic seizures: A cross-sectional comparison of patients and healthy controls. </w:t>
          </w:r>
          <w:r>
            <w:rPr>
              <w:rFonts w:eastAsia="Times New Roman"/>
              <w:i/>
              <w:iCs/>
            </w:rPr>
            <w:t>Seizure</w:t>
          </w:r>
          <w:r>
            <w:rPr>
              <w:rFonts w:eastAsia="Times New Roman"/>
            </w:rPr>
            <w:t xml:space="preserve">, </w:t>
          </w:r>
          <w:r>
            <w:rPr>
              <w:rFonts w:eastAsia="Times New Roman"/>
              <w:i/>
              <w:iCs/>
            </w:rPr>
            <w:t>29</w:t>
          </w:r>
          <w:r>
            <w:rPr>
              <w:rFonts w:eastAsia="Times New Roman"/>
            </w:rPr>
            <w:t>, 4–10. https://doi.org/10.1016/j.seizure.2015.03.007</w:t>
          </w:r>
        </w:p>
        <w:p w14:paraId="25334C12" w14:textId="77777777" w:rsidR="00EC7CE1" w:rsidRDefault="00EC7CE1">
          <w:pPr>
            <w:autoSpaceDE w:val="0"/>
            <w:autoSpaceDN w:val="0"/>
            <w:ind w:hanging="480"/>
            <w:divId w:val="2089955677"/>
            <w:rPr>
              <w:rFonts w:eastAsia="Times New Roman"/>
            </w:rPr>
          </w:pPr>
          <w:r>
            <w:rPr>
              <w:rFonts w:eastAsia="Times New Roman"/>
            </w:rPr>
            <w:t xml:space="preserve">O’Connell, N., Watson, G., Grey, C., </w:t>
          </w:r>
          <w:proofErr w:type="spellStart"/>
          <w:r>
            <w:rPr>
              <w:rFonts w:eastAsia="Times New Roman"/>
            </w:rPr>
            <w:t>Pastena</w:t>
          </w:r>
          <w:proofErr w:type="spellEnd"/>
          <w:r>
            <w:rPr>
              <w:rFonts w:eastAsia="Times New Roman"/>
            </w:rPr>
            <w:t xml:space="preserve">, R., McKeown, K., &amp; David, A. S. (2019). Outpatient CBT for Motor Functional Neurological Disorder and Other Neuropsychiatric Conditions: A Retrospective Case Comparison. </w:t>
          </w:r>
          <w:r>
            <w:rPr>
              <w:rFonts w:eastAsia="Times New Roman"/>
              <w:i/>
              <w:iCs/>
            </w:rPr>
            <w:t>The Journal of Neuropsychiatry and Clinical Neurosciences</w:t>
          </w:r>
          <w:r>
            <w:rPr>
              <w:rFonts w:eastAsia="Times New Roman"/>
            </w:rPr>
            <w:t xml:space="preserve">, </w:t>
          </w:r>
          <w:r>
            <w:rPr>
              <w:rFonts w:eastAsia="Times New Roman"/>
              <w:i/>
              <w:iCs/>
            </w:rPr>
            <w:t>32</w:t>
          </w:r>
          <w:r>
            <w:rPr>
              <w:rFonts w:eastAsia="Times New Roman"/>
            </w:rPr>
            <w:t>(1), 58–66. https://doi.org/10.1176/appi.neuropsych.19030067</w:t>
          </w:r>
        </w:p>
        <w:p w14:paraId="3BFA084F" w14:textId="77777777" w:rsidR="00EC7CE1" w:rsidRDefault="00EC7CE1">
          <w:pPr>
            <w:autoSpaceDE w:val="0"/>
            <w:autoSpaceDN w:val="0"/>
            <w:ind w:hanging="480"/>
            <w:divId w:val="1695380621"/>
            <w:rPr>
              <w:rFonts w:eastAsia="Times New Roman"/>
            </w:rPr>
          </w:pPr>
          <w:proofErr w:type="spellStart"/>
          <w:r>
            <w:rPr>
              <w:rFonts w:eastAsia="Times New Roman"/>
            </w:rPr>
            <w:t>O’connell</w:t>
          </w:r>
          <w:proofErr w:type="spellEnd"/>
          <w:r>
            <w:rPr>
              <w:rFonts w:eastAsia="Times New Roman"/>
            </w:rPr>
            <w:t xml:space="preserve">, N., Watson, G., Grey, C., </w:t>
          </w:r>
          <w:proofErr w:type="spellStart"/>
          <w:r>
            <w:rPr>
              <w:rFonts w:eastAsia="Times New Roman"/>
            </w:rPr>
            <w:t>Pastena</w:t>
          </w:r>
          <w:proofErr w:type="spellEnd"/>
          <w:r>
            <w:rPr>
              <w:rFonts w:eastAsia="Times New Roman"/>
            </w:rPr>
            <w:t xml:space="preserve">, R., McKeown, K., &amp; David, A. S. (2020). Outpatient </w:t>
          </w:r>
          <w:proofErr w:type="spellStart"/>
          <w:r>
            <w:rPr>
              <w:rFonts w:eastAsia="Times New Roman"/>
            </w:rPr>
            <w:t>cbt</w:t>
          </w:r>
          <w:proofErr w:type="spellEnd"/>
          <w:r>
            <w:rPr>
              <w:rFonts w:eastAsia="Times New Roman"/>
            </w:rPr>
            <w:t xml:space="preserve"> for motor functional neurological disorder and other neuropsychiatric conditions: A retrospective case comparison. </w:t>
          </w:r>
          <w:r>
            <w:rPr>
              <w:rFonts w:eastAsia="Times New Roman"/>
              <w:i/>
              <w:iCs/>
            </w:rPr>
            <w:t>Journal of Neuropsychiatry and Clinical Neurosciences</w:t>
          </w:r>
          <w:r>
            <w:rPr>
              <w:rFonts w:eastAsia="Times New Roman"/>
            </w:rPr>
            <w:t xml:space="preserve">, </w:t>
          </w:r>
          <w:r>
            <w:rPr>
              <w:rFonts w:eastAsia="Times New Roman"/>
              <w:i/>
              <w:iCs/>
            </w:rPr>
            <w:t>32</w:t>
          </w:r>
          <w:r>
            <w:rPr>
              <w:rFonts w:eastAsia="Times New Roman"/>
            </w:rPr>
            <w:t>(1), 58–66. https://doi.org/10.1176/APPI.NEUROPSYCH.19030067/ASSET/IMAGES/LARGE/APPI.NEUROPSYCH.19030067F1.JPEG</w:t>
          </w:r>
        </w:p>
        <w:p w14:paraId="021D9A44" w14:textId="77777777" w:rsidR="00EC7CE1" w:rsidRDefault="00EC7CE1">
          <w:pPr>
            <w:autoSpaceDE w:val="0"/>
            <w:autoSpaceDN w:val="0"/>
            <w:ind w:hanging="480"/>
            <w:divId w:val="47654474"/>
            <w:rPr>
              <w:rFonts w:eastAsia="Times New Roman"/>
            </w:rPr>
          </w:pPr>
          <w:r>
            <w:rPr>
              <w:rFonts w:eastAsia="Times New Roman"/>
            </w:rPr>
            <w:t xml:space="preserve">Ogden, P., Fisher, J., Del </w:t>
          </w:r>
          <w:proofErr w:type="spellStart"/>
          <w:r>
            <w:rPr>
              <w:rFonts w:eastAsia="Times New Roman"/>
            </w:rPr>
            <w:t>Hierro</w:t>
          </w:r>
          <w:proofErr w:type="spellEnd"/>
          <w:r>
            <w:rPr>
              <w:rFonts w:eastAsia="Times New Roman"/>
            </w:rPr>
            <w:t xml:space="preserve">, D., &amp; Del </w:t>
          </w:r>
          <w:proofErr w:type="spellStart"/>
          <w:r>
            <w:rPr>
              <w:rFonts w:eastAsia="Times New Roman"/>
            </w:rPr>
            <w:t>Hierro</w:t>
          </w:r>
          <w:proofErr w:type="spellEnd"/>
          <w:r>
            <w:rPr>
              <w:rFonts w:eastAsia="Times New Roman"/>
            </w:rPr>
            <w:t xml:space="preserve">, A. (n.d.). </w:t>
          </w:r>
          <w:r>
            <w:rPr>
              <w:rFonts w:eastAsia="Times New Roman"/>
              <w:i/>
              <w:iCs/>
            </w:rPr>
            <w:t>Sensorimotor psychotherapy : interventions for trauma and attachment</w:t>
          </w:r>
          <w:r>
            <w:rPr>
              <w:rFonts w:eastAsia="Times New Roman"/>
            </w:rPr>
            <w:t>. 824.</w:t>
          </w:r>
        </w:p>
        <w:p w14:paraId="44B3D4D5" w14:textId="77777777" w:rsidR="00EC7CE1" w:rsidRDefault="00EC7CE1">
          <w:pPr>
            <w:autoSpaceDE w:val="0"/>
            <w:autoSpaceDN w:val="0"/>
            <w:ind w:hanging="480"/>
            <w:divId w:val="1921015853"/>
            <w:rPr>
              <w:rFonts w:eastAsia="Times New Roman"/>
            </w:rPr>
          </w:pPr>
          <w:r>
            <w:rPr>
              <w:rFonts w:eastAsia="Times New Roman"/>
              <w:i/>
              <w:iCs/>
            </w:rPr>
            <w:t>Optimum clinical pathway for adults: Functional Neurological Disorder National Neurosciences Advisory Group (NNAG)</w:t>
          </w:r>
          <w:r>
            <w:rPr>
              <w:rFonts w:eastAsia="Times New Roman"/>
            </w:rPr>
            <w:t>. (2023). www.nnag.org.uk/optimum-clinical-pathways</w:t>
          </w:r>
        </w:p>
        <w:p w14:paraId="41F8B6B7" w14:textId="77777777" w:rsidR="00EC7CE1" w:rsidRDefault="00EC7CE1">
          <w:pPr>
            <w:autoSpaceDE w:val="0"/>
            <w:autoSpaceDN w:val="0"/>
            <w:ind w:hanging="480"/>
            <w:divId w:val="974454835"/>
            <w:rPr>
              <w:rFonts w:eastAsia="Times New Roman"/>
            </w:rPr>
          </w:pPr>
          <w:r>
            <w:rPr>
              <w:rFonts w:eastAsia="Times New Roman"/>
            </w:rPr>
            <w:t xml:space="preserve">Ospina, J. P., </w:t>
          </w:r>
          <w:proofErr w:type="spellStart"/>
          <w:r>
            <w:rPr>
              <w:rFonts w:eastAsia="Times New Roman"/>
            </w:rPr>
            <w:t>Jalilianhasanpour</w:t>
          </w:r>
          <w:proofErr w:type="spellEnd"/>
          <w:r>
            <w:rPr>
              <w:rFonts w:eastAsia="Times New Roman"/>
            </w:rPr>
            <w:t xml:space="preserve">, R., &amp; Perez, D. L. (2019). The role of the anterior and midcingulate cortex in the neurobiology of functional neurologic disorder. </w:t>
          </w:r>
          <w:proofErr w:type="spellStart"/>
          <w:r>
            <w:rPr>
              <w:rFonts w:eastAsia="Times New Roman"/>
              <w:i/>
              <w:iCs/>
            </w:rPr>
            <w:t>Handb</w:t>
          </w:r>
          <w:proofErr w:type="spellEnd"/>
          <w:r>
            <w:rPr>
              <w:rFonts w:eastAsia="Times New Roman"/>
              <w:i/>
              <w:iCs/>
            </w:rPr>
            <w:t xml:space="preserve"> Clin </w:t>
          </w:r>
          <w:proofErr w:type="spellStart"/>
          <w:r>
            <w:rPr>
              <w:rFonts w:eastAsia="Times New Roman"/>
              <w:i/>
              <w:iCs/>
            </w:rPr>
            <w:t>Neurol</w:t>
          </w:r>
          <w:proofErr w:type="spellEnd"/>
          <w:r>
            <w:rPr>
              <w:rFonts w:eastAsia="Times New Roman"/>
            </w:rPr>
            <w:t xml:space="preserve">, </w:t>
          </w:r>
          <w:r>
            <w:rPr>
              <w:rFonts w:eastAsia="Times New Roman"/>
              <w:i/>
              <w:iCs/>
            </w:rPr>
            <w:t>166</w:t>
          </w:r>
          <w:r>
            <w:rPr>
              <w:rFonts w:eastAsia="Times New Roman"/>
            </w:rPr>
            <w:t>, 267–279. https://doi.org/10.1016/b978-0-444-64196-0.00014-5</w:t>
          </w:r>
        </w:p>
        <w:p w14:paraId="7D8651F5" w14:textId="77777777" w:rsidR="00EC7CE1" w:rsidRDefault="00EC7CE1">
          <w:pPr>
            <w:autoSpaceDE w:val="0"/>
            <w:autoSpaceDN w:val="0"/>
            <w:ind w:hanging="480"/>
            <w:divId w:val="433282700"/>
            <w:rPr>
              <w:rFonts w:eastAsia="Times New Roman"/>
            </w:rPr>
          </w:pPr>
          <w:r>
            <w:rPr>
              <w:rFonts w:eastAsia="Times New Roman"/>
            </w:rPr>
            <w:t xml:space="preserve">Ospina, J. P., Larson, A. G., </w:t>
          </w:r>
          <w:proofErr w:type="spellStart"/>
          <w:r>
            <w:rPr>
              <w:rFonts w:eastAsia="Times New Roman"/>
            </w:rPr>
            <w:t>Jalilianhasanpour</w:t>
          </w:r>
          <w:proofErr w:type="spellEnd"/>
          <w:r>
            <w:rPr>
              <w:rFonts w:eastAsia="Times New Roman"/>
            </w:rPr>
            <w:t xml:space="preserve">, R., Williams, B., Diez, I., </w:t>
          </w:r>
          <w:proofErr w:type="spellStart"/>
          <w:r>
            <w:rPr>
              <w:rFonts w:eastAsia="Times New Roman"/>
            </w:rPr>
            <w:t>Dhand</w:t>
          </w:r>
          <w:proofErr w:type="spellEnd"/>
          <w:r>
            <w:rPr>
              <w:rFonts w:eastAsia="Times New Roman"/>
            </w:rPr>
            <w:t xml:space="preserve">, A., Dickerson, B. C., &amp; Perez, D. L. (2019). Individual differences in social network size linked to nucleus </w:t>
          </w:r>
          <w:proofErr w:type="spellStart"/>
          <w:r>
            <w:rPr>
              <w:rFonts w:eastAsia="Times New Roman"/>
            </w:rPr>
            <w:t>accumbens</w:t>
          </w:r>
          <w:proofErr w:type="spellEnd"/>
          <w:r>
            <w:rPr>
              <w:rFonts w:eastAsia="Times New Roman"/>
            </w:rPr>
            <w:t xml:space="preserve"> and hippocampal volumes in functional neurological disorder: A pilot study. </w:t>
          </w:r>
          <w:r>
            <w:rPr>
              <w:rFonts w:eastAsia="Times New Roman"/>
              <w:i/>
              <w:iCs/>
            </w:rPr>
            <w:t>Journal of Affective Disorders</w:t>
          </w:r>
          <w:r>
            <w:rPr>
              <w:rFonts w:eastAsia="Times New Roman"/>
            </w:rPr>
            <w:t xml:space="preserve">, </w:t>
          </w:r>
          <w:r>
            <w:rPr>
              <w:rFonts w:eastAsia="Times New Roman"/>
              <w:i/>
              <w:iCs/>
            </w:rPr>
            <w:t>258</w:t>
          </w:r>
          <w:r>
            <w:rPr>
              <w:rFonts w:eastAsia="Times New Roman"/>
            </w:rPr>
            <w:t>, 50–54. https://doi.org/10.1016/j.jad.2019.07.061</w:t>
          </w:r>
        </w:p>
        <w:p w14:paraId="25032F26" w14:textId="77777777" w:rsidR="00EC7CE1" w:rsidRDefault="00EC7CE1">
          <w:pPr>
            <w:autoSpaceDE w:val="0"/>
            <w:autoSpaceDN w:val="0"/>
            <w:ind w:hanging="480"/>
            <w:divId w:val="937372371"/>
            <w:rPr>
              <w:rFonts w:eastAsia="Times New Roman"/>
            </w:rPr>
          </w:pPr>
          <w:proofErr w:type="spellStart"/>
          <w:r>
            <w:rPr>
              <w:rFonts w:eastAsia="Times New Roman"/>
            </w:rPr>
            <w:lastRenderedPageBreak/>
            <w:t>Ozbay</w:t>
          </w:r>
          <w:proofErr w:type="spellEnd"/>
          <w:r>
            <w:rPr>
              <w:rFonts w:eastAsia="Times New Roman"/>
            </w:rPr>
            <w:t xml:space="preserve">, F., Johnson, D. C., </w:t>
          </w:r>
          <w:proofErr w:type="spellStart"/>
          <w:r>
            <w:rPr>
              <w:rFonts w:eastAsia="Times New Roman"/>
            </w:rPr>
            <w:t>Dimoulas</w:t>
          </w:r>
          <w:proofErr w:type="spellEnd"/>
          <w:r>
            <w:rPr>
              <w:rFonts w:eastAsia="Times New Roman"/>
            </w:rPr>
            <w:t xml:space="preserve">, E., C.A. Morgan, I., Charney, D., &amp; Southwick, S. (2007). Social Support and Resilience to Stress: From Neurobiology to Clinical Practice. </w:t>
          </w:r>
          <w:r>
            <w:rPr>
              <w:rFonts w:eastAsia="Times New Roman"/>
              <w:i/>
              <w:iCs/>
            </w:rPr>
            <w:t>Psychiatry (</w:t>
          </w:r>
          <w:proofErr w:type="spellStart"/>
          <w:r>
            <w:rPr>
              <w:rFonts w:eastAsia="Times New Roman"/>
              <w:i/>
              <w:iCs/>
            </w:rPr>
            <w:t>Edgmont</w:t>
          </w:r>
          <w:proofErr w:type="spellEnd"/>
          <w:r>
            <w:rPr>
              <w:rFonts w:eastAsia="Times New Roman"/>
              <w:i/>
              <w:iCs/>
            </w:rPr>
            <w:t>)</w:t>
          </w:r>
          <w:r>
            <w:rPr>
              <w:rFonts w:eastAsia="Times New Roman"/>
            </w:rPr>
            <w:t xml:space="preserve">, </w:t>
          </w:r>
          <w:r>
            <w:rPr>
              <w:rFonts w:eastAsia="Times New Roman"/>
              <w:i/>
              <w:iCs/>
            </w:rPr>
            <w:t>4</w:t>
          </w:r>
          <w:r>
            <w:rPr>
              <w:rFonts w:eastAsia="Times New Roman"/>
            </w:rPr>
            <w:t>(5), 35. /</w:t>
          </w:r>
          <w:proofErr w:type="spellStart"/>
          <w:r>
            <w:rPr>
              <w:rFonts w:eastAsia="Times New Roman"/>
            </w:rPr>
            <w:t>pmc</w:t>
          </w:r>
          <w:proofErr w:type="spellEnd"/>
          <w:r>
            <w:rPr>
              <w:rFonts w:eastAsia="Times New Roman"/>
            </w:rPr>
            <w:t>/articles/PMC2921311/</w:t>
          </w:r>
        </w:p>
        <w:p w14:paraId="0634841F" w14:textId="77777777" w:rsidR="00EC7CE1" w:rsidRDefault="00EC7CE1">
          <w:pPr>
            <w:autoSpaceDE w:val="0"/>
            <w:autoSpaceDN w:val="0"/>
            <w:ind w:hanging="480"/>
            <w:divId w:val="1878733447"/>
            <w:rPr>
              <w:rFonts w:eastAsia="Times New Roman"/>
            </w:rPr>
          </w:pPr>
          <w:r>
            <w:rPr>
              <w:rFonts w:eastAsia="Times New Roman"/>
            </w:rPr>
            <w:t xml:space="preserve">Page, L. A., &amp; </w:t>
          </w:r>
          <w:proofErr w:type="spellStart"/>
          <w:r>
            <w:rPr>
              <w:rFonts w:eastAsia="Times New Roman"/>
            </w:rPr>
            <w:t>Wessely</w:t>
          </w:r>
          <w:proofErr w:type="spellEnd"/>
          <w:r>
            <w:rPr>
              <w:rFonts w:eastAsia="Times New Roman"/>
            </w:rPr>
            <w:t xml:space="preserve">, S. (2003). Medically unexplained symptoms: exacerbating factors in the doctor-patient encounter. </w:t>
          </w:r>
          <w:r>
            <w:rPr>
              <w:rFonts w:eastAsia="Times New Roman"/>
              <w:i/>
              <w:iCs/>
            </w:rPr>
            <w:t>J R Soc Med</w:t>
          </w:r>
          <w:r>
            <w:rPr>
              <w:rFonts w:eastAsia="Times New Roman"/>
            </w:rPr>
            <w:t xml:space="preserve">, </w:t>
          </w:r>
          <w:r>
            <w:rPr>
              <w:rFonts w:eastAsia="Times New Roman"/>
              <w:i/>
              <w:iCs/>
            </w:rPr>
            <w:t>96</w:t>
          </w:r>
          <w:r>
            <w:rPr>
              <w:rFonts w:eastAsia="Times New Roman"/>
            </w:rPr>
            <w:t>(5), 223–227. https://doi.org/10.1258/jrsm.96.5.223</w:t>
          </w:r>
        </w:p>
        <w:p w14:paraId="27BD5F65" w14:textId="77777777" w:rsidR="00EC7CE1" w:rsidRDefault="00EC7CE1">
          <w:pPr>
            <w:autoSpaceDE w:val="0"/>
            <w:autoSpaceDN w:val="0"/>
            <w:ind w:hanging="480"/>
            <w:divId w:val="1944341304"/>
            <w:rPr>
              <w:rFonts w:eastAsia="Times New Roman"/>
            </w:rPr>
          </w:pPr>
          <w:proofErr w:type="spellStart"/>
          <w:r>
            <w:rPr>
              <w:rFonts w:eastAsia="Times New Roman"/>
            </w:rPr>
            <w:t>Pareés</w:t>
          </w:r>
          <w:proofErr w:type="spellEnd"/>
          <w:r>
            <w:rPr>
              <w:rFonts w:eastAsia="Times New Roman"/>
            </w:rPr>
            <w:t xml:space="preserve">, I., </w:t>
          </w:r>
          <w:proofErr w:type="spellStart"/>
          <w:r>
            <w:rPr>
              <w:rFonts w:eastAsia="Times New Roman"/>
            </w:rPr>
            <w:t>Saifee</w:t>
          </w:r>
          <w:proofErr w:type="spellEnd"/>
          <w:r>
            <w:rPr>
              <w:rFonts w:eastAsia="Times New Roman"/>
            </w:rPr>
            <w:t xml:space="preserve">, T. A., </w:t>
          </w:r>
          <w:proofErr w:type="spellStart"/>
          <w:r>
            <w:rPr>
              <w:rFonts w:eastAsia="Times New Roman"/>
            </w:rPr>
            <w:t>Kassavetis</w:t>
          </w:r>
          <w:proofErr w:type="spellEnd"/>
          <w:r>
            <w:rPr>
              <w:rFonts w:eastAsia="Times New Roman"/>
            </w:rPr>
            <w:t xml:space="preserve">, P., </w:t>
          </w:r>
          <w:proofErr w:type="spellStart"/>
          <w:r>
            <w:rPr>
              <w:rFonts w:eastAsia="Times New Roman"/>
            </w:rPr>
            <w:t>Kojovic</w:t>
          </w:r>
          <w:proofErr w:type="spellEnd"/>
          <w:r>
            <w:rPr>
              <w:rFonts w:eastAsia="Times New Roman"/>
            </w:rPr>
            <w:t>, M., Rubio-</w:t>
          </w:r>
          <w:proofErr w:type="spellStart"/>
          <w:r>
            <w:rPr>
              <w:rFonts w:eastAsia="Times New Roman"/>
            </w:rPr>
            <w:t>Agusti</w:t>
          </w:r>
          <w:proofErr w:type="spellEnd"/>
          <w:r>
            <w:rPr>
              <w:rFonts w:eastAsia="Times New Roman"/>
            </w:rPr>
            <w:t xml:space="preserve">, I., Rothwell, J. C., Bhatia, K. P., &amp; Edwards, M. J. (2012). Believing is perceiving: mismatch between self-report and actigraphy in psychogenic tremor. </w:t>
          </w:r>
          <w:r>
            <w:rPr>
              <w:rFonts w:eastAsia="Times New Roman"/>
              <w:i/>
              <w:iCs/>
            </w:rPr>
            <w:t>Brain</w:t>
          </w:r>
          <w:r>
            <w:rPr>
              <w:rFonts w:eastAsia="Times New Roman"/>
            </w:rPr>
            <w:t xml:space="preserve">, </w:t>
          </w:r>
          <w:r>
            <w:rPr>
              <w:rFonts w:eastAsia="Times New Roman"/>
              <w:i/>
              <w:iCs/>
            </w:rPr>
            <w:t>135</w:t>
          </w:r>
          <w:r>
            <w:rPr>
              <w:rFonts w:eastAsia="Times New Roman"/>
            </w:rPr>
            <w:t>(Pt 1), 117–123. https://doi.org/10.1093/brain/awr292</w:t>
          </w:r>
        </w:p>
        <w:p w14:paraId="27018022" w14:textId="77777777" w:rsidR="00EC7CE1" w:rsidRDefault="00EC7CE1">
          <w:pPr>
            <w:autoSpaceDE w:val="0"/>
            <w:autoSpaceDN w:val="0"/>
            <w:ind w:hanging="480"/>
            <w:divId w:val="1411998854"/>
            <w:rPr>
              <w:rFonts w:eastAsia="Times New Roman"/>
            </w:rPr>
          </w:pPr>
          <w:r>
            <w:rPr>
              <w:rFonts w:eastAsia="Times New Roman"/>
            </w:rPr>
            <w:t xml:space="preserve">Patron, V. G., </w:t>
          </w:r>
          <w:proofErr w:type="spellStart"/>
          <w:r>
            <w:rPr>
              <w:rFonts w:eastAsia="Times New Roman"/>
            </w:rPr>
            <w:t>Rustomji</w:t>
          </w:r>
          <w:proofErr w:type="spellEnd"/>
          <w:r>
            <w:rPr>
              <w:rFonts w:eastAsia="Times New Roman"/>
            </w:rPr>
            <w:t xml:space="preserve">, Y., Yip, C., &amp; Jenkins, L. M. (2022). Psychiatric Comorbidities in Functional Neurologic Symptom Disorder. </w:t>
          </w:r>
          <w:r>
            <w:rPr>
              <w:rFonts w:eastAsia="Times New Roman"/>
              <w:i/>
              <w:iCs/>
            </w:rPr>
            <w:t>Practical Neurology (Fort Washington, Pa.)</w:t>
          </w:r>
          <w:r>
            <w:rPr>
              <w:rFonts w:eastAsia="Times New Roman"/>
            </w:rPr>
            <w:t xml:space="preserve">, </w:t>
          </w:r>
          <w:r>
            <w:rPr>
              <w:rFonts w:eastAsia="Times New Roman"/>
              <w:i/>
              <w:iCs/>
            </w:rPr>
            <w:t>21</w:t>
          </w:r>
          <w:r>
            <w:rPr>
              <w:rFonts w:eastAsia="Times New Roman"/>
            </w:rPr>
            <w:t>(3), 71. /</w:t>
          </w:r>
          <w:proofErr w:type="spellStart"/>
          <w:r>
            <w:rPr>
              <w:rFonts w:eastAsia="Times New Roman"/>
            </w:rPr>
            <w:t>pmc</w:t>
          </w:r>
          <w:proofErr w:type="spellEnd"/>
          <w:r>
            <w:rPr>
              <w:rFonts w:eastAsia="Times New Roman"/>
            </w:rPr>
            <w:t>/articles/PMC9836030/</w:t>
          </w:r>
        </w:p>
        <w:p w14:paraId="7F9D550A" w14:textId="77777777" w:rsidR="00EC7CE1" w:rsidRDefault="00EC7CE1">
          <w:pPr>
            <w:autoSpaceDE w:val="0"/>
            <w:autoSpaceDN w:val="0"/>
            <w:ind w:hanging="480"/>
            <w:divId w:val="320811185"/>
            <w:rPr>
              <w:rFonts w:eastAsia="Times New Roman"/>
            </w:rPr>
          </w:pPr>
          <w:proofErr w:type="spellStart"/>
          <w:r>
            <w:rPr>
              <w:rFonts w:eastAsia="Times New Roman"/>
            </w:rPr>
            <w:t>Paulhus</w:t>
          </w:r>
          <w:proofErr w:type="spellEnd"/>
          <w:r>
            <w:rPr>
              <w:rFonts w:eastAsia="Times New Roman"/>
            </w:rPr>
            <w:t xml:space="preserve">, D. L., &amp; </w:t>
          </w:r>
          <w:proofErr w:type="spellStart"/>
          <w:r>
            <w:rPr>
              <w:rFonts w:eastAsia="Times New Roman"/>
            </w:rPr>
            <w:t>Vazire</w:t>
          </w:r>
          <w:proofErr w:type="spellEnd"/>
          <w:r>
            <w:rPr>
              <w:rFonts w:eastAsia="Times New Roman"/>
            </w:rPr>
            <w:t xml:space="preserve">, S. (2007). The Self-Report Method. In </w:t>
          </w:r>
          <w:r>
            <w:rPr>
              <w:rFonts w:eastAsia="Times New Roman"/>
              <w:i/>
              <w:iCs/>
            </w:rPr>
            <w:t xml:space="preserve">Handbook of research methods in personality psychology </w:t>
          </w:r>
          <w:r>
            <w:rPr>
              <w:rFonts w:eastAsia="Times New Roman"/>
            </w:rPr>
            <w:t>. The Guilford Press.</w:t>
          </w:r>
        </w:p>
        <w:p w14:paraId="51D465C8" w14:textId="77777777" w:rsidR="00EC7CE1" w:rsidRDefault="00EC7CE1">
          <w:pPr>
            <w:autoSpaceDE w:val="0"/>
            <w:autoSpaceDN w:val="0"/>
            <w:ind w:hanging="480"/>
            <w:divId w:val="303581901"/>
            <w:rPr>
              <w:rFonts w:eastAsia="Times New Roman"/>
            </w:rPr>
          </w:pPr>
          <w:proofErr w:type="spellStart"/>
          <w:r>
            <w:rPr>
              <w:rFonts w:eastAsia="Times New Roman"/>
            </w:rPr>
            <w:t>Pennisi</w:t>
          </w:r>
          <w:proofErr w:type="spellEnd"/>
          <w:r>
            <w:rPr>
              <w:rFonts w:eastAsia="Times New Roman"/>
            </w:rPr>
            <w:t xml:space="preserve">, P., </w:t>
          </w:r>
          <w:proofErr w:type="spellStart"/>
          <w:r>
            <w:rPr>
              <w:rFonts w:eastAsia="Times New Roman"/>
            </w:rPr>
            <w:t>Salehinejad</w:t>
          </w:r>
          <w:proofErr w:type="spellEnd"/>
          <w:r>
            <w:rPr>
              <w:rFonts w:eastAsia="Times New Roman"/>
            </w:rPr>
            <w:t xml:space="preserve">, M. A., Corso, A. M., Merlo, E. M., </w:t>
          </w:r>
          <w:proofErr w:type="spellStart"/>
          <w:r>
            <w:rPr>
              <w:rFonts w:eastAsia="Times New Roman"/>
            </w:rPr>
            <w:t>Avenanti</w:t>
          </w:r>
          <w:proofErr w:type="spellEnd"/>
          <w:r>
            <w:rPr>
              <w:rFonts w:eastAsia="Times New Roman"/>
            </w:rPr>
            <w:t xml:space="preserve">, A., &amp; Vicario, C. M. (2023). Delay discounting in Parkinson’s disease: A systematic review and meta-analysis. </w:t>
          </w:r>
          <w:r>
            <w:rPr>
              <w:rFonts w:eastAsia="Times New Roman"/>
              <w:i/>
              <w:iCs/>
            </w:rPr>
            <w:t>Behavioural Brain Research</w:t>
          </w:r>
          <w:r>
            <w:rPr>
              <w:rFonts w:eastAsia="Times New Roman"/>
            </w:rPr>
            <w:t xml:space="preserve">, </w:t>
          </w:r>
          <w:r>
            <w:rPr>
              <w:rFonts w:eastAsia="Times New Roman"/>
              <w:i/>
              <w:iCs/>
            </w:rPr>
            <w:t>436</w:t>
          </w:r>
          <w:r>
            <w:rPr>
              <w:rFonts w:eastAsia="Times New Roman"/>
            </w:rPr>
            <w:t>, 114101. https://doi.org/10.1016/J.BBR.2022.114101</w:t>
          </w:r>
        </w:p>
        <w:p w14:paraId="5C517AF4" w14:textId="77777777" w:rsidR="00EC7CE1" w:rsidRDefault="00EC7CE1">
          <w:pPr>
            <w:autoSpaceDE w:val="0"/>
            <w:autoSpaceDN w:val="0"/>
            <w:ind w:hanging="480"/>
            <w:divId w:val="954216750"/>
            <w:rPr>
              <w:rFonts w:eastAsia="Times New Roman"/>
            </w:rPr>
          </w:pPr>
          <w:r>
            <w:rPr>
              <w:rFonts w:eastAsia="Times New Roman"/>
            </w:rPr>
            <w:t xml:space="preserve">Perez, D. L. (2020). The CODES trial for dissociative seizures: a landmark study and inflection point. </w:t>
          </w:r>
          <w:r>
            <w:rPr>
              <w:rFonts w:eastAsia="Times New Roman"/>
              <w:i/>
              <w:iCs/>
            </w:rPr>
            <w:t>The Lancet Psychiatry</w:t>
          </w:r>
          <w:r>
            <w:rPr>
              <w:rFonts w:eastAsia="Times New Roman"/>
            </w:rPr>
            <w:t xml:space="preserve">, </w:t>
          </w:r>
          <w:r>
            <w:rPr>
              <w:rFonts w:eastAsia="Times New Roman"/>
              <w:i/>
              <w:iCs/>
            </w:rPr>
            <w:t>7</w:t>
          </w:r>
          <w:r>
            <w:rPr>
              <w:rFonts w:eastAsia="Times New Roman"/>
            </w:rPr>
            <w:t>(6), 464–465. https://doi.org/10.1016/s2215-0366(20)30143-7</w:t>
          </w:r>
        </w:p>
        <w:p w14:paraId="3CE6BF8D" w14:textId="77777777" w:rsidR="00EC7CE1" w:rsidRDefault="00EC7CE1">
          <w:pPr>
            <w:autoSpaceDE w:val="0"/>
            <w:autoSpaceDN w:val="0"/>
            <w:ind w:hanging="480"/>
            <w:divId w:val="930896325"/>
            <w:rPr>
              <w:rFonts w:eastAsia="Times New Roman"/>
            </w:rPr>
          </w:pPr>
          <w:r>
            <w:rPr>
              <w:rFonts w:eastAsia="Times New Roman"/>
            </w:rPr>
            <w:t xml:space="preserve">Perez, D. L., Edwards, M. J., Nielsen, G., </w:t>
          </w:r>
          <w:proofErr w:type="spellStart"/>
          <w:r>
            <w:rPr>
              <w:rFonts w:eastAsia="Times New Roman"/>
            </w:rPr>
            <w:t>Kozlowska</w:t>
          </w:r>
          <w:proofErr w:type="spellEnd"/>
          <w:r>
            <w:rPr>
              <w:rFonts w:eastAsia="Times New Roman"/>
            </w:rPr>
            <w:t xml:space="preserve">, K., Hallett, M., &amp; Curt Lafrance, W. (2021). Decade of progress in motor functional neurological disorder: continuing the momentum. </w:t>
          </w:r>
          <w:r>
            <w:rPr>
              <w:rFonts w:eastAsia="Times New Roman"/>
              <w:i/>
              <w:iCs/>
            </w:rPr>
            <w:t>Journal of Neurology, Neurosurgery &amp; Psychiatry</w:t>
          </w:r>
          <w:r>
            <w:rPr>
              <w:rFonts w:eastAsia="Times New Roman"/>
            </w:rPr>
            <w:t xml:space="preserve">, </w:t>
          </w:r>
          <w:r>
            <w:rPr>
              <w:rFonts w:eastAsia="Times New Roman"/>
              <w:i/>
              <w:iCs/>
            </w:rPr>
            <w:t>92</w:t>
          </w:r>
          <w:r>
            <w:rPr>
              <w:rFonts w:eastAsia="Times New Roman"/>
            </w:rPr>
            <w:t>(6), 668–677. https://doi.org/10.1136/JNNP-2020-323953</w:t>
          </w:r>
        </w:p>
        <w:p w14:paraId="7B4F670D" w14:textId="77777777" w:rsidR="00EC7CE1" w:rsidRDefault="00EC7CE1">
          <w:pPr>
            <w:autoSpaceDE w:val="0"/>
            <w:autoSpaceDN w:val="0"/>
            <w:ind w:hanging="480"/>
            <w:divId w:val="153689732"/>
            <w:rPr>
              <w:rFonts w:eastAsia="Times New Roman"/>
            </w:rPr>
          </w:pPr>
          <w:r>
            <w:rPr>
              <w:rFonts w:eastAsia="Times New Roman"/>
            </w:rPr>
            <w:t xml:space="preserve">Perez, D. L., &amp; LaFrance Jr., W. C. (2016). Nonepileptic seizures: an updated review. </w:t>
          </w:r>
          <w:r>
            <w:rPr>
              <w:rFonts w:eastAsia="Times New Roman"/>
              <w:i/>
              <w:iCs/>
            </w:rPr>
            <w:t>CNS Spectrums</w:t>
          </w:r>
          <w:r>
            <w:rPr>
              <w:rFonts w:eastAsia="Times New Roman"/>
            </w:rPr>
            <w:t xml:space="preserve">, </w:t>
          </w:r>
          <w:r>
            <w:rPr>
              <w:rFonts w:eastAsia="Times New Roman"/>
              <w:i/>
              <w:iCs/>
            </w:rPr>
            <w:t>21</w:t>
          </w:r>
          <w:r>
            <w:rPr>
              <w:rFonts w:eastAsia="Times New Roman"/>
            </w:rPr>
            <w:t>(3), 239–246. https://doi.org/10.1017/S109285291600002X</w:t>
          </w:r>
        </w:p>
        <w:p w14:paraId="30314DF7" w14:textId="77777777" w:rsidR="00EC7CE1" w:rsidRDefault="00EC7CE1">
          <w:pPr>
            <w:autoSpaceDE w:val="0"/>
            <w:autoSpaceDN w:val="0"/>
            <w:ind w:hanging="480"/>
            <w:divId w:val="940260100"/>
            <w:rPr>
              <w:rFonts w:eastAsia="Times New Roman"/>
            </w:rPr>
          </w:pPr>
          <w:r>
            <w:rPr>
              <w:rFonts w:eastAsia="Times New Roman"/>
            </w:rPr>
            <w:t xml:space="preserve">Perez, D. L., Matin, N., Barsky, A., </w:t>
          </w:r>
          <w:proofErr w:type="spellStart"/>
          <w:r>
            <w:rPr>
              <w:rFonts w:eastAsia="Times New Roman"/>
            </w:rPr>
            <w:t>Costumero</w:t>
          </w:r>
          <w:proofErr w:type="spellEnd"/>
          <w:r>
            <w:rPr>
              <w:rFonts w:eastAsia="Times New Roman"/>
            </w:rPr>
            <w:t xml:space="preserve">-Ramos, V., </w:t>
          </w:r>
          <w:proofErr w:type="spellStart"/>
          <w:r>
            <w:rPr>
              <w:rFonts w:eastAsia="Times New Roman"/>
            </w:rPr>
            <w:t>Makaretz</w:t>
          </w:r>
          <w:proofErr w:type="spellEnd"/>
          <w:r>
            <w:rPr>
              <w:rFonts w:eastAsia="Times New Roman"/>
            </w:rPr>
            <w:t xml:space="preserve">, S. J., Young, S. S., </w:t>
          </w:r>
          <w:proofErr w:type="spellStart"/>
          <w:r>
            <w:rPr>
              <w:rFonts w:eastAsia="Times New Roman"/>
            </w:rPr>
            <w:t>Sepulcre</w:t>
          </w:r>
          <w:proofErr w:type="spellEnd"/>
          <w:r>
            <w:rPr>
              <w:rFonts w:eastAsia="Times New Roman"/>
            </w:rPr>
            <w:t xml:space="preserve">, J., LaFrance Jr., W. C., </w:t>
          </w:r>
          <w:proofErr w:type="spellStart"/>
          <w:r>
            <w:rPr>
              <w:rFonts w:eastAsia="Times New Roman"/>
            </w:rPr>
            <w:t>Keshavan</w:t>
          </w:r>
          <w:proofErr w:type="spellEnd"/>
          <w:r>
            <w:rPr>
              <w:rFonts w:eastAsia="Times New Roman"/>
            </w:rPr>
            <w:t xml:space="preserve">, M. S., &amp; Dickerson, B. C. (2017). Cingulo-insular structural alterations associated with psychogenic symptoms, childhood abuse and PTSD in functional neurological disorders. </w:t>
          </w:r>
          <w:r>
            <w:rPr>
              <w:rFonts w:eastAsia="Times New Roman"/>
              <w:i/>
              <w:iCs/>
            </w:rPr>
            <w:t xml:space="preserve">J </w:t>
          </w:r>
          <w:proofErr w:type="spellStart"/>
          <w:r>
            <w:rPr>
              <w:rFonts w:eastAsia="Times New Roman"/>
              <w:i/>
              <w:iCs/>
            </w:rPr>
            <w:t>Neurol</w:t>
          </w:r>
          <w:proofErr w:type="spellEnd"/>
          <w:r>
            <w:rPr>
              <w:rFonts w:eastAsia="Times New Roman"/>
              <w:i/>
              <w:iCs/>
            </w:rPr>
            <w:t xml:space="preserve"> </w:t>
          </w:r>
          <w:proofErr w:type="spellStart"/>
          <w:r>
            <w:rPr>
              <w:rFonts w:eastAsia="Times New Roman"/>
              <w:i/>
              <w:iCs/>
            </w:rPr>
            <w:t>Neurosurg</w:t>
          </w:r>
          <w:proofErr w:type="spellEnd"/>
          <w:r>
            <w:rPr>
              <w:rFonts w:eastAsia="Times New Roman"/>
              <w:i/>
              <w:iCs/>
            </w:rPr>
            <w:t xml:space="preserve"> Psychiatry</w:t>
          </w:r>
          <w:r>
            <w:rPr>
              <w:rFonts w:eastAsia="Times New Roman"/>
            </w:rPr>
            <w:t xml:space="preserve">, </w:t>
          </w:r>
          <w:r>
            <w:rPr>
              <w:rFonts w:eastAsia="Times New Roman"/>
              <w:i/>
              <w:iCs/>
            </w:rPr>
            <w:t>88</w:t>
          </w:r>
          <w:r>
            <w:rPr>
              <w:rFonts w:eastAsia="Times New Roman"/>
            </w:rPr>
            <w:t>(6), 491–497. https://doi.org/10.1136/jnnp-2016-314998</w:t>
          </w:r>
        </w:p>
        <w:p w14:paraId="6E88DA77" w14:textId="77777777" w:rsidR="00EC7CE1" w:rsidRDefault="00EC7CE1">
          <w:pPr>
            <w:autoSpaceDE w:val="0"/>
            <w:autoSpaceDN w:val="0"/>
            <w:ind w:hanging="480"/>
            <w:divId w:val="824862664"/>
            <w:rPr>
              <w:rFonts w:eastAsia="Times New Roman"/>
            </w:rPr>
          </w:pPr>
          <w:r>
            <w:rPr>
              <w:rFonts w:eastAsia="Times New Roman"/>
            </w:rPr>
            <w:lastRenderedPageBreak/>
            <w:t xml:space="preserve">Perez, D. L., Matin, N., Williams, B., Tanev, K., Makris, N., LaFrance Jr., W. C., &amp; Dickerson, B. C. (2018). Cortical thickness alterations linked to somatoform and psychological dissociation in functional neurological disorders. </w:t>
          </w:r>
          <w:r>
            <w:rPr>
              <w:rFonts w:eastAsia="Times New Roman"/>
              <w:i/>
              <w:iCs/>
            </w:rPr>
            <w:t>Human Brain Mapping</w:t>
          </w:r>
          <w:r>
            <w:rPr>
              <w:rFonts w:eastAsia="Times New Roman"/>
            </w:rPr>
            <w:t xml:space="preserve">, </w:t>
          </w:r>
          <w:r>
            <w:rPr>
              <w:rFonts w:eastAsia="Times New Roman"/>
              <w:i/>
              <w:iCs/>
            </w:rPr>
            <w:t>39</w:t>
          </w:r>
          <w:r>
            <w:rPr>
              <w:rFonts w:eastAsia="Times New Roman"/>
            </w:rPr>
            <w:t>(1), 428–439. https://doi.org/10.1002/hbm.23853</w:t>
          </w:r>
        </w:p>
        <w:p w14:paraId="1331E9FD" w14:textId="77777777" w:rsidR="00EC7CE1" w:rsidRDefault="00EC7CE1">
          <w:pPr>
            <w:autoSpaceDE w:val="0"/>
            <w:autoSpaceDN w:val="0"/>
            <w:ind w:hanging="480"/>
            <w:divId w:val="104735013"/>
            <w:rPr>
              <w:rFonts w:eastAsia="Times New Roman"/>
            </w:rPr>
          </w:pPr>
          <w:r>
            <w:rPr>
              <w:rFonts w:eastAsia="Times New Roman"/>
            </w:rPr>
            <w:t xml:space="preserve">Perez, D. L., Williams, B., Matin, N., Curt Lafrance, W., </w:t>
          </w:r>
          <w:proofErr w:type="spellStart"/>
          <w:r>
            <w:rPr>
              <w:rFonts w:eastAsia="Times New Roman"/>
            </w:rPr>
            <w:t>Costumero</w:t>
          </w:r>
          <w:proofErr w:type="spellEnd"/>
          <w:r>
            <w:rPr>
              <w:rFonts w:eastAsia="Times New Roman"/>
            </w:rPr>
            <w:t xml:space="preserve">-Ramos, V., </w:t>
          </w:r>
          <w:proofErr w:type="spellStart"/>
          <w:r>
            <w:rPr>
              <w:rFonts w:eastAsia="Times New Roman"/>
            </w:rPr>
            <w:t>Fricchione</w:t>
          </w:r>
          <w:proofErr w:type="spellEnd"/>
          <w:r>
            <w:rPr>
              <w:rFonts w:eastAsia="Times New Roman"/>
            </w:rPr>
            <w:t xml:space="preserve">, G. L., </w:t>
          </w:r>
          <w:proofErr w:type="spellStart"/>
          <w:r>
            <w:rPr>
              <w:rFonts w:eastAsia="Times New Roman"/>
            </w:rPr>
            <w:t>Sepulcre</w:t>
          </w:r>
          <w:proofErr w:type="spellEnd"/>
          <w:r>
            <w:rPr>
              <w:rFonts w:eastAsia="Times New Roman"/>
            </w:rPr>
            <w:t xml:space="preserve">, J., </w:t>
          </w:r>
          <w:proofErr w:type="spellStart"/>
          <w:r>
            <w:rPr>
              <w:rFonts w:eastAsia="Times New Roman"/>
            </w:rPr>
            <w:t>Keshavan</w:t>
          </w:r>
          <w:proofErr w:type="spellEnd"/>
          <w:r>
            <w:rPr>
              <w:rFonts w:eastAsia="Times New Roman"/>
            </w:rPr>
            <w:t xml:space="preserve">, M. S., &amp; Dickerson, B. C. (2017). Corticolimbic structural alterations linked to health status and trait anxiety in functional neurological disorder. </w:t>
          </w:r>
          <w:r>
            <w:rPr>
              <w:rFonts w:eastAsia="Times New Roman"/>
              <w:i/>
              <w:iCs/>
            </w:rPr>
            <w:t>Journal of Neurology, Neurosurgery, and Psychiatry</w:t>
          </w:r>
          <w:r>
            <w:rPr>
              <w:rFonts w:eastAsia="Times New Roman"/>
            </w:rPr>
            <w:t xml:space="preserve">, </w:t>
          </w:r>
          <w:r>
            <w:rPr>
              <w:rFonts w:eastAsia="Times New Roman"/>
              <w:i/>
              <w:iCs/>
            </w:rPr>
            <w:t>88</w:t>
          </w:r>
          <w:r>
            <w:rPr>
              <w:rFonts w:eastAsia="Times New Roman"/>
            </w:rPr>
            <w:t>(12), 1052–1059. https://doi.org/10.1136/JNNP-2017-316359</w:t>
          </w:r>
        </w:p>
        <w:p w14:paraId="7CEA51F8" w14:textId="77777777" w:rsidR="00EC7CE1" w:rsidRDefault="00EC7CE1">
          <w:pPr>
            <w:autoSpaceDE w:val="0"/>
            <w:autoSpaceDN w:val="0"/>
            <w:ind w:hanging="480"/>
            <w:divId w:val="632366778"/>
            <w:rPr>
              <w:rFonts w:eastAsia="Times New Roman"/>
            </w:rPr>
          </w:pPr>
          <w:proofErr w:type="spellStart"/>
          <w:r>
            <w:rPr>
              <w:rFonts w:eastAsia="Times New Roman"/>
            </w:rPr>
            <w:t>Petrochilos</w:t>
          </w:r>
          <w:proofErr w:type="spellEnd"/>
          <w:r>
            <w:rPr>
              <w:rFonts w:eastAsia="Times New Roman"/>
            </w:rPr>
            <w:t xml:space="preserve">, P., </w:t>
          </w:r>
          <w:proofErr w:type="spellStart"/>
          <w:r>
            <w:rPr>
              <w:rFonts w:eastAsia="Times New Roman"/>
            </w:rPr>
            <w:t>Elmalem</w:t>
          </w:r>
          <w:proofErr w:type="spellEnd"/>
          <w:r>
            <w:rPr>
              <w:rFonts w:eastAsia="Times New Roman"/>
            </w:rPr>
            <w:t xml:space="preserve">, M. S., Patel, D., </w:t>
          </w:r>
          <w:proofErr w:type="spellStart"/>
          <w:r>
            <w:rPr>
              <w:rFonts w:eastAsia="Times New Roman"/>
            </w:rPr>
            <w:t>Louissaint</w:t>
          </w:r>
          <w:proofErr w:type="spellEnd"/>
          <w:r>
            <w:rPr>
              <w:rFonts w:eastAsia="Times New Roman"/>
            </w:rPr>
            <w:t xml:space="preserve">, H., Hayward, K., </w:t>
          </w:r>
          <w:proofErr w:type="spellStart"/>
          <w:r>
            <w:rPr>
              <w:rFonts w:eastAsia="Times New Roman"/>
            </w:rPr>
            <w:t>Ranu</w:t>
          </w:r>
          <w:proofErr w:type="spellEnd"/>
          <w:r>
            <w:rPr>
              <w:rFonts w:eastAsia="Times New Roman"/>
            </w:rPr>
            <w:t xml:space="preserve">, J., &amp; </w:t>
          </w:r>
          <w:proofErr w:type="spellStart"/>
          <w:r>
            <w:rPr>
              <w:rFonts w:eastAsia="Times New Roman"/>
            </w:rPr>
            <w:t>Selai</w:t>
          </w:r>
          <w:proofErr w:type="spellEnd"/>
          <w:r>
            <w:rPr>
              <w:rFonts w:eastAsia="Times New Roman"/>
            </w:rPr>
            <w:t xml:space="preserve">, C. (2020). Outcomes of a 5-week individualised MDT outpatient (day-patient) treatment programme for functional neurological symptom disorder (FNSD). </w:t>
          </w:r>
          <w:r>
            <w:rPr>
              <w:rFonts w:eastAsia="Times New Roman"/>
              <w:i/>
              <w:iCs/>
            </w:rPr>
            <w:t>Journal of Neurology</w:t>
          </w:r>
          <w:r>
            <w:rPr>
              <w:rFonts w:eastAsia="Times New Roman"/>
            </w:rPr>
            <w:t xml:space="preserve">, </w:t>
          </w:r>
          <w:r>
            <w:rPr>
              <w:rFonts w:eastAsia="Times New Roman"/>
              <w:i/>
              <w:iCs/>
            </w:rPr>
            <w:t>267</w:t>
          </w:r>
          <w:r>
            <w:rPr>
              <w:rFonts w:eastAsia="Times New Roman"/>
            </w:rPr>
            <w:t>(9), 2655–2666. https://doi.org/10.1007/S00415-020-09874-5/FIGURES/2</w:t>
          </w:r>
        </w:p>
        <w:p w14:paraId="445786BD" w14:textId="77777777" w:rsidR="00EC7CE1" w:rsidRDefault="00EC7CE1">
          <w:pPr>
            <w:autoSpaceDE w:val="0"/>
            <w:autoSpaceDN w:val="0"/>
            <w:ind w:hanging="480"/>
            <w:divId w:val="1353996175"/>
            <w:rPr>
              <w:rFonts w:eastAsia="Times New Roman"/>
            </w:rPr>
          </w:pPr>
          <w:r>
            <w:rPr>
              <w:rFonts w:eastAsia="Times New Roman"/>
            </w:rPr>
            <w:t xml:space="preserve">Phillips, W. J., Hine, D. W., &amp; </w:t>
          </w:r>
          <w:proofErr w:type="spellStart"/>
          <w:r>
            <w:rPr>
              <w:rFonts w:eastAsia="Times New Roman"/>
            </w:rPr>
            <w:t>Thorsteinsson</w:t>
          </w:r>
          <w:proofErr w:type="spellEnd"/>
          <w:r>
            <w:rPr>
              <w:rFonts w:eastAsia="Times New Roman"/>
            </w:rPr>
            <w:t xml:space="preserve">, E. B. (2010). Implicit cognition and depression: A meta-analysis. </w:t>
          </w:r>
          <w:r>
            <w:rPr>
              <w:rFonts w:eastAsia="Times New Roman"/>
              <w:i/>
              <w:iCs/>
            </w:rPr>
            <w:t>Clinical Psychology Review</w:t>
          </w:r>
          <w:r>
            <w:rPr>
              <w:rFonts w:eastAsia="Times New Roman"/>
            </w:rPr>
            <w:t xml:space="preserve">, </w:t>
          </w:r>
          <w:r>
            <w:rPr>
              <w:rFonts w:eastAsia="Times New Roman"/>
              <w:i/>
              <w:iCs/>
            </w:rPr>
            <w:t>30</w:t>
          </w:r>
          <w:r>
            <w:rPr>
              <w:rFonts w:eastAsia="Times New Roman"/>
            </w:rPr>
            <w:t>(6), 691–709. https://doi.org/10.1016/J.CPR.2010.05.002</w:t>
          </w:r>
        </w:p>
        <w:p w14:paraId="6CD8CD02" w14:textId="77777777" w:rsidR="00EC7CE1" w:rsidRDefault="00EC7CE1">
          <w:pPr>
            <w:autoSpaceDE w:val="0"/>
            <w:autoSpaceDN w:val="0"/>
            <w:ind w:hanging="480"/>
            <w:divId w:val="751195379"/>
            <w:rPr>
              <w:rFonts w:eastAsia="Times New Roman"/>
            </w:rPr>
          </w:pPr>
          <w:r>
            <w:rPr>
              <w:rFonts w:eastAsia="Times New Roman"/>
            </w:rPr>
            <w:t xml:space="preserve">Pick, S., Anderson, D., </w:t>
          </w:r>
          <w:proofErr w:type="spellStart"/>
          <w:r>
            <w:rPr>
              <w:rFonts w:eastAsia="Times New Roman"/>
            </w:rPr>
            <w:t>Asadi-Pooya</w:t>
          </w:r>
          <w:proofErr w:type="spellEnd"/>
          <w:r>
            <w:rPr>
              <w:rFonts w:eastAsia="Times New Roman"/>
            </w:rPr>
            <w:t xml:space="preserve">, A., </w:t>
          </w:r>
          <w:proofErr w:type="spellStart"/>
          <w:r>
            <w:rPr>
              <w:rFonts w:eastAsia="Times New Roman"/>
            </w:rPr>
            <w:t>Aybek</w:t>
          </w:r>
          <w:proofErr w:type="spellEnd"/>
          <w:r>
            <w:rPr>
              <w:rFonts w:eastAsia="Times New Roman"/>
            </w:rPr>
            <w:t xml:space="preserve">, S., </w:t>
          </w:r>
          <w:proofErr w:type="spellStart"/>
          <w:r>
            <w:rPr>
              <w:rFonts w:eastAsia="Times New Roman"/>
            </w:rPr>
            <w:t>Baslet</w:t>
          </w:r>
          <w:proofErr w:type="spellEnd"/>
          <w:r>
            <w:rPr>
              <w:rFonts w:eastAsia="Times New Roman"/>
            </w:rPr>
            <w:t xml:space="preserve">, G., </w:t>
          </w:r>
          <w:proofErr w:type="spellStart"/>
          <w:r>
            <w:rPr>
              <w:rFonts w:eastAsia="Times New Roman"/>
            </w:rPr>
            <w:t>Bloem</w:t>
          </w:r>
          <w:proofErr w:type="spellEnd"/>
          <w:r>
            <w:rPr>
              <w:rFonts w:eastAsia="Times New Roman"/>
            </w:rPr>
            <w:t>, B., Bradley-</w:t>
          </w:r>
          <w:proofErr w:type="spellStart"/>
          <w:r>
            <w:rPr>
              <w:rFonts w:eastAsia="Times New Roman"/>
            </w:rPr>
            <w:t>Westguard</w:t>
          </w:r>
          <w:proofErr w:type="spellEnd"/>
          <w:r>
            <w:rPr>
              <w:rFonts w:eastAsia="Times New Roman"/>
            </w:rPr>
            <w:t xml:space="preserve">, Brown, R., Brown, R. A.-O., Carson, A. A.-O., Chalder, T. A.-O., </w:t>
          </w:r>
          <w:proofErr w:type="spellStart"/>
          <w:r>
            <w:rPr>
              <w:rFonts w:eastAsia="Times New Roman"/>
            </w:rPr>
            <w:t>Damianova</w:t>
          </w:r>
          <w:proofErr w:type="spellEnd"/>
          <w:r>
            <w:rPr>
              <w:rFonts w:eastAsia="Times New Roman"/>
            </w:rPr>
            <w:t xml:space="preserve">, M., David, A. A.-O. X., Edwards, M. A.-O., Epstein, S. A., </w:t>
          </w:r>
          <w:proofErr w:type="spellStart"/>
          <w:r>
            <w:rPr>
              <w:rFonts w:eastAsia="Times New Roman"/>
            </w:rPr>
            <w:t>Espay</w:t>
          </w:r>
          <w:proofErr w:type="spellEnd"/>
          <w:r>
            <w:rPr>
              <w:rFonts w:eastAsia="Times New Roman"/>
            </w:rPr>
            <w:t xml:space="preserve">, A. A.-O. X., </w:t>
          </w:r>
          <w:proofErr w:type="spellStart"/>
          <w:r>
            <w:rPr>
              <w:rFonts w:eastAsia="Times New Roman"/>
            </w:rPr>
            <w:t>Garcin</w:t>
          </w:r>
          <w:proofErr w:type="spellEnd"/>
          <w:r>
            <w:rPr>
              <w:rFonts w:eastAsia="Times New Roman"/>
            </w:rPr>
            <w:t xml:space="preserve">, B. A.-O., Goldstein, L. A.-O., Hallett, M. A.-O., … Psychiatry, J. N. N. (2020). </w:t>
          </w:r>
          <w:r>
            <w:rPr>
              <w:rFonts w:eastAsia="Times New Roman"/>
              <w:i/>
              <w:iCs/>
            </w:rPr>
            <w:t>Outcome measurement in functional neurological disorder: a systematic review and recommendations. LID - jnnp-2019-322180 [</w:t>
          </w:r>
          <w:proofErr w:type="spellStart"/>
          <w:r>
            <w:rPr>
              <w:rFonts w:eastAsia="Times New Roman"/>
              <w:i/>
              <w:iCs/>
            </w:rPr>
            <w:t>pii</w:t>
          </w:r>
          <w:proofErr w:type="spellEnd"/>
          <w:r>
            <w:rPr>
              <w:rFonts w:eastAsia="Times New Roman"/>
              <w:i/>
              <w:iCs/>
            </w:rPr>
            <w:t>] LID - 10.1136/jnnp-2019-322180 [</w:t>
          </w:r>
          <w:proofErr w:type="spellStart"/>
          <w:r>
            <w:rPr>
              <w:rFonts w:eastAsia="Times New Roman"/>
              <w:i/>
              <w:iCs/>
            </w:rPr>
            <w:t>doi</w:t>
          </w:r>
          <w:proofErr w:type="spellEnd"/>
          <w:r>
            <w:rPr>
              <w:rFonts w:eastAsia="Times New Roman"/>
              <w:i/>
              <w:iCs/>
            </w:rPr>
            <w:t>]</w:t>
          </w:r>
          <w:r>
            <w:rPr>
              <w:rFonts w:eastAsia="Times New Roman"/>
            </w:rPr>
            <w:t xml:space="preserve">. </w:t>
          </w:r>
          <w:r>
            <w:rPr>
              <w:rFonts w:eastAsia="Times New Roman"/>
              <w:i/>
              <w:iCs/>
            </w:rPr>
            <w:t>1468-330X (Electronic)</w:t>
          </w:r>
          <w:r>
            <w:rPr>
              <w:rFonts w:eastAsia="Times New Roman"/>
            </w:rPr>
            <w:t>.</w:t>
          </w:r>
        </w:p>
        <w:p w14:paraId="543DC973" w14:textId="77777777" w:rsidR="00EC7CE1" w:rsidRDefault="00EC7CE1">
          <w:pPr>
            <w:autoSpaceDE w:val="0"/>
            <w:autoSpaceDN w:val="0"/>
            <w:ind w:hanging="480"/>
            <w:divId w:val="136532871"/>
            <w:rPr>
              <w:rFonts w:eastAsia="Times New Roman"/>
            </w:rPr>
          </w:pPr>
          <w:r>
            <w:rPr>
              <w:rFonts w:eastAsia="Times New Roman"/>
            </w:rPr>
            <w:t xml:space="preserve">Pick, S., Goldstein, L. H., Perez, D. L., &amp; Nicholson, T. R. (2019). Emotional processing in functional neurological disorder: a review, biopsychosocial model and research agenda. </w:t>
          </w:r>
          <w:r>
            <w:rPr>
              <w:rFonts w:eastAsia="Times New Roman"/>
              <w:i/>
              <w:iCs/>
            </w:rPr>
            <w:t>Journal of Neurology, Neurosurgery &amp;</w:t>
          </w:r>
          <w:proofErr w:type="spellStart"/>
          <w:r>
            <w:rPr>
              <w:rFonts w:eastAsia="Times New Roman"/>
              <w:i/>
              <w:iCs/>
            </w:rPr>
            <w:t>amp;Amp</w:t>
          </w:r>
          <w:proofErr w:type="spellEnd"/>
          <w:r>
            <w:rPr>
              <w:rFonts w:eastAsia="Times New Roman"/>
              <w:i/>
              <w:iCs/>
            </w:rPr>
            <w:t>; Psychiatry</w:t>
          </w:r>
          <w:r>
            <w:rPr>
              <w:rFonts w:eastAsia="Times New Roman"/>
            </w:rPr>
            <w:t xml:space="preserve">, </w:t>
          </w:r>
          <w:r>
            <w:rPr>
              <w:rFonts w:eastAsia="Times New Roman"/>
              <w:i/>
              <w:iCs/>
            </w:rPr>
            <w:t>90</w:t>
          </w:r>
          <w:r>
            <w:rPr>
              <w:rFonts w:eastAsia="Times New Roman"/>
            </w:rPr>
            <w:t>(6), 704. https://doi.org/10.1136/jnnp-2018-319201</w:t>
          </w:r>
        </w:p>
        <w:p w14:paraId="61662734" w14:textId="77777777" w:rsidR="00EC7CE1" w:rsidRDefault="00EC7CE1">
          <w:pPr>
            <w:autoSpaceDE w:val="0"/>
            <w:autoSpaceDN w:val="0"/>
            <w:ind w:hanging="480"/>
            <w:divId w:val="1932885198"/>
            <w:rPr>
              <w:rFonts w:eastAsia="Times New Roman"/>
            </w:rPr>
          </w:pPr>
          <w:r>
            <w:rPr>
              <w:rFonts w:eastAsia="Times New Roman"/>
            </w:rPr>
            <w:t xml:space="preserve">Pick, S., Mellers, J. D. C., &amp; Goldstein, L. H. (2018a). Autonomic and subjective responsivity to emotional images in people with dissociative seizures. </w:t>
          </w:r>
          <w:r>
            <w:rPr>
              <w:rFonts w:eastAsia="Times New Roman"/>
              <w:i/>
              <w:iCs/>
            </w:rPr>
            <w:t xml:space="preserve">J </w:t>
          </w:r>
          <w:proofErr w:type="spellStart"/>
          <w:r>
            <w:rPr>
              <w:rFonts w:eastAsia="Times New Roman"/>
              <w:i/>
              <w:iCs/>
            </w:rPr>
            <w:t>Neuropsychol</w:t>
          </w:r>
          <w:proofErr w:type="spellEnd"/>
          <w:r>
            <w:rPr>
              <w:rFonts w:eastAsia="Times New Roman"/>
            </w:rPr>
            <w:t xml:space="preserve">, </w:t>
          </w:r>
          <w:r>
            <w:rPr>
              <w:rFonts w:eastAsia="Times New Roman"/>
              <w:i/>
              <w:iCs/>
            </w:rPr>
            <w:t>12</w:t>
          </w:r>
          <w:r>
            <w:rPr>
              <w:rFonts w:eastAsia="Times New Roman"/>
            </w:rPr>
            <w:t>(2), 341–355. https://doi.org/10.1111/jnp.12144</w:t>
          </w:r>
        </w:p>
        <w:p w14:paraId="26FADB58" w14:textId="77777777" w:rsidR="00EC7CE1" w:rsidRDefault="00EC7CE1">
          <w:pPr>
            <w:autoSpaceDE w:val="0"/>
            <w:autoSpaceDN w:val="0"/>
            <w:ind w:hanging="480"/>
            <w:divId w:val="414013832"/>
            <w:rPr>
              <w:rFonts w:eastAsia="Times New Roman"/>
            </w:rPr>
          </w:pPr>
          <w:r>
            <w:rPr>
              <w:rFonts w:eastAsia="Times New Roman"/>
            </w:rPr>
            <w:t xml:space="preserve">Pick, S., Mellers, J. D. C., &amp; Goldstein, L. H. (2018b). Implicit attentional bias for facial emotion in dissociative seizures: Additional evidence.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80</w:t>
          </w:r>
          <w:r>
            <w:rPr>
              <w:rFonts w:eastAsia="Times New Roman"/>
            </w:rPr>
            <w:t>, 296–302. https://doi.org/10.1016/j.yebeh.2018.01.004</w:t>
          </w:r>
        </w:p>
        <w:p w14:paraId="00BD9690" w14:textId="77777777" w:rsidR="00EC7CE1" w:rsidRDefault="00EC7CE1">
          <w:pPr>
            <w:autoSpaceDE w:val="0"/>
            <w:autoSpaceDN w:val="0"/>
            <w:ind w:hanging="480"/>
            <w:divId w:val="1638415076"/>
            <w:rPr>
              <w:rFonts w:eastAsia="Times New Roman"/>
            </w:rPr>
          </w:pPr>
          <w:r>
            <w:rPr>
              <w:rFonts w:eastAsia="Times New Roman"/>
            </w:rPr>
            <w:lastRenderedPageBreak/>
            <w:t xml:space="preserve">Pick, S., Mellers, J. D., &amp; Goldstein, L. H. (2016). Emotion and dissociative seizures: A phenomenological analysis of patients’ perspectives.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56</w:t>
          </w:r>
          <w:r>
            <w:rPr>
              <w:rFonts w:eastAsia="Times New Roman"/>
            </w:rPr>
            <w:t>, 5–14. https://doi.org/10.1016/j.yebeh.2015.12.010</w:t>
          </w:r>
        </w:p>
        <w:p w14:paraId="0445D2C1" w14:textId="77777777" w:rsidR="00EC7CE1" w:rsidRDefault="00EC7CE1">
          <w:pPr>
            <w:autoSpaceDE w:val="0"/>
            <w:autoSpaceDN w:val="0"/>
            <w:ind w:hanging="480"/>
            <w:divId w:val="1226182711"/>
            <w:rPr>
              <w:rFonts w:eastAsia="Times New Roman"/>
            </w:rPr>
          </w:pPr>
          <w:r>
            <w:rPr>
              <w:rFonts w:eastAsia="Times New Roman"/>
            </w:rPr>
            <w:t>Pick, S., Rojas-</w:t>
          </w:r>
          <w:proofErr w:type="spellStart"/>
          <w:r>
            <w:rPr>
              <w:rFonts w:eastAsia="Times New Roman"/>
            </w:rPr>
            <w:t>Aguiluz</w:t>
          </w:r>
          <w:proofErr w:type="spellEnd"/>
          <w:r>
            <w:rPr>
              <w:rFonts w:eastAsia="Times New Roman"/>
            </w:rPr>
            <w:t xml:space="preserve">, M., Butler, M., </w:t>
          </w:r>
          <w:proofErr w:type="spellStart"/>
          <w:r>
            <w:rPr>
              <w:rFonts w:eastAsia="Times New Roman"/>
            </w:rPr>
            <w:t>Mulrenan</w:t>
          </w:r>
          <w:proofErr w:type="spellEnd"/>
          <w:r>
            <w:rPr>
              <w:rFonts w:eastAsia="Times New Roman"/>
            </w:rPr>
            <w:t xml:space="preserve">, H., Nicholson, T. R., &amp; Goldstein, L. H. (2020). Dissociation and interoception in functional neurological disorder. </w:t>
          </w:r>
          <w:r>
            <w:rPr>
              <w:rFonts w:eastAsia="Times New Roman"/>
              <w:i/>
              <w:iCs/>
            </w:rPr>
            <w:t>Cognitive Neuropsychiatry</w:t>
          </w:r>
          <w:r>
            <w:rPr>
              <w:rFonts w:eastAsia="Times New Roman"/>
            </w:rPr>
            <w:t>, 294–311. https://doi.org/10.1080/13546805.2020.1791061/SUPPL_FILE/PCNP_A_1791061_SM9898.DOCX</w:t>
          </w:r>
        </w:p>
        <w:p w14:paraId="05B2F1B0" w14:textId="77777777" w:rsidR="00EC7CE1" w:rsidRDefault="00EC7CE1">
          <w:pPr>
            <w:autoSpaceDE w:val="0"/>
            <w:autoSpaceDN w:val="0"/>
            <w:ind w:hanging="480"/>
            <w:divId w:val="176620135"/>
            <w:rPr>
              <w:rFonts w:eastAsia="Times New Roman"/>
            </w:rPr>
          </w:pPr>
          <w:proofErr w:type="spellStart"/>
          <w:r>
            <w:rPr>
              <w:rFonts w:eastAsia="Times New Roman"/>
            </w:rPr>
            <w:t>Pollatos</w:t>
          </w:r>
          <w:proofErr w:type="spellEnd"/>
          <w:r>
            <w:rPr>
              <w:rFonts w:eastAsia="Times New Roman"/>
            </w:rPr>
            <w:t xml:space="preserve">, O., Herbert, B. M., </w:t>
          </w:r>
          <w:proofErr w:type="spellStart"/>
          <w:r>
            <w:rPr>
              <w:rFonts w:eastAsia="Times New Roman"/>
            </w:rPr>
            <w:t>Wankner</w:t>
          </w:r>
          <w:proofErr w:type="spellEnd"/>
          <w:r>
            <w:rPr>
              <w:rFonts w:eastAsia="Times New Roman"/>
            </w:rPr>
            <w:t xml:space="preserve">, S., </w:t>
          </w:r>
          <w:proofErr w:type="spellStart"/>
          <w:r>
            <w:rPr>
              <w:rFonts w:eastAsia="Times New Roman"/>
            </w:rPr>
            <w:t>Dietel</w:t>
          </w:r>
          <w:proofErr w:type="spellEnd"/>
          <w:r>
            <w:rPr>
              <w:rFonts w:eastAsia="Times New Roman"/>
            </w:rPr>
            <w:t xml:space="preserve">, A., </w:t>
          </w:r>
          <w:proofErr w:type="spellStart"/>
          <w:r>
            <w:rPr>
              <w:rFonts w:eastAsia="Times New Roman"/>
            </w:rPr>
            <w:t>Wachsmuth</w:t>
          </w:r>
          <w:proofErr w:type="spellEnd"/>
          <w:r>
            <w:rPr>
              <w:rFonts w:eastAsia="Times New Roman"/>
            </w:rPr>
            <w:t xml:space="preserve">, C., Henningsen, P., &amp; Sack, M. (2011). Autonomic imbalance is associated with reduced facial recognition in somatoform disorders. </w:t>
          </w:r>
          <w:r>
            <w:rPr>
              <w:rFonts w:eastAsia="Times New Roman"/>
              <w:i/>
              <w:iCs/>
            </w:rPr>
            <w:t xml:space="preserve">J </w:t>
          </w:r>
          <w:proofErr w:type="spellStart"/>
          <w:r>
            <w:rPr>
              <w:rFonts w:eastAsia="Times New Roman"/>
              <w:i/>
              <w:iCs/>
            </w:rPr>
            <w:t>Psychosom</w:t>
          </w:r>
          <w:proofErr w:type="spellEnd"/>
          <w:r>
            <w:rPr>
              <w:rFonts w:eastAsia="Times New Roman"/>
              <w:i/>
              <w:iCs/>
            </w:rPr>
            <w:t xml:space="preserve"> Res</w:t>
          </w:r>
          <w:r>
            <w:rPr>
              <w:rFonts w:eastAsia="Times New Roman"/>
            </w:rPr>
            <w:t xml:space="preserve">, </w:t>
          </w:r>
          <w:r>
            <w:rPr>
              <w:rFonts w:eastAsia="Times New Roman"/>
              <w:i/>
              <w:iCs/>
            </w:rPr>
            <w:t>71</w:t>
          </w:r>
          <w:r>
            <w:rPr>
              <w:rFonts w:eastAsia="Times New Roman"/>
            </w:rPr>
            <w:t>(4), 232–239. https://doi.org/10.1016/j.jpsychores.2011.03.012</w:t>
          </w:r>
        </w:p>
        <w:p w14:paraId="3CEE950F" w14:textId="77777777" w:rsidR="00EC7CE1" w:rsidRDefault="00EC7CE1">
          <w:pPr>
            <w:autoSpaceDE w:val="0"/>
            <w:autoSpaceDN w:val="0"/>
            <w:ind w:hanging="480"/>
            <w:divId w:val="551161612"/>
            <w:rPr>
              <w:rFonts w:eastAsia="Times New Roman"/>
            </w:rPr>
          </w:pPr>
          <w:proofErr w:type="spellStart"/>
          <w:r>
            <w:rPr>
              <w:rFonts w:eastAsia="Times New Roman"/>
            </w:rPr>
            <w:t>Ponnusamy</w:t>
          </w:r>
          <w:proofErr w:type="spellEnd"/>
          <w:r>
            <w:rPr>
              <w:rFonts w:eastAsia="Times New Roman"/>
            </w:rPr>
            <w:t xml:space="preserve">, A., Marques, J. L. B., &amp; Reuber, M. (2011). Heart rate variability measures as biomarkers in patients with psychogenic nonepileptic seizures: Potential and limitations. </w:t>
          </w:r>
          <w:r>
            <w:rPr>
              <w:rFonts w:eastAsia="Times New Roman"/>
              <w:i/>
              <w:iCs/>
            </w:rPr>
            <w:t xml:space="preserve">Epilepsy &amp; </w:t>
          </w:r>
          <w:proofErr w:type="spellStart"/>
          <w:r>
            <w:rPr>
              <w:rFonts w:eastAsia="Times New Roman"/>
              <w:i/>
              <w:iCs/>
            </w:rPr>
            <w:t>Behavior</w:t>
          </w:r>
          <w:proofErr w:type="spellEnd"/>
          <w:r>
            <w:rPr>
              <w:rFonts w:eastAsia="Times New Roman"/>
            </w:rPr>
            <w:t xml:space="preserve">, </w:t>
          </w:r>
          <w:r>
            <w:rPr>
              <w:rFonts w:eastAsia="Times New Roman"/>
              <w:i/>
              <w:iCs/>
            </w:rPr>
            <w:t>22</w:t>
          </w:r>
          <w:r>
            <w:rPr>
              <w:rFonts w:eastAsia="Times New Roman"/>
            </w:rPr>
            <w:t>(4), 685–691. https://doi.org/10.1016/j.yebeh.2011.08.020</w:t>
          </w:r>
        </w:p>
        <w:p w14:paraId="27D929C8" w14:textId="77777777" w:rsidR="00EC7CE1" w:rsidRDefault="00EC7CE1">
          <w:pPr>
            <w:autoSpaceDE w:val="0"/>
            <w:autoSpaceDN w:val="0"/>
            <w:ind w:hanging="480"/>
            <w:divId w:val="1373581088"/>
            <w:rPr>
              <w:rFonts w:eastAsia="Times New Roman"/>
            </w:rPr>
          </w:pPr>
          <w:proofErr w:type="spellStart"/>
          <w:r>
            <w:rPr>
              <w:rFonts w:eastAsia="Times New Roman"/>
            </w:rPr>
            <w:t>Ponnusamy</w:t>
          </w:r>
          <w:proofErr w:type="spellEnd"/>
          <w:r>
            <w:rPr>
              <w:rFonts w:eastAsia="Times New Roman"/>
            </w:rPr>
            <w:t xml:space="preserve">, A., Marques, J. L. B., &amp; Reuber, M. (2012). Comparison of heart rate variability parameters during complex partial seizures and psychogenic nonepileptic seizures. </w:t>
          </w:r>
          <w:proofErr w:type="spellStart"/>
          <w:r>
            <w:rPr>
              <w:rFonts w:eastAsia="Times New Roman"/>
              <w:i/>
              <w:iCs/>
            </w:rPr>
            <w:t>Epilepsia</w:t>
          </w:r>
          <w:proofErr w:type="spellEnd"/>
          <w:r>
            <w:rPr>
              <w:rFonts w:eastAsia="Times New Roman"/>
            </w:rPr>
            <w:t xml:space="preserve">, </w:t>
          </w:r>
          <w:r>
            <w:rPr>
              <w:rFonts w:eastAsia="Times New Roman"/>
              <w:i/>
              <w:iCs/>
            </w:rPr>
            <w:t>53</w:t>
          </w:r>
          <w:r>
            <w:rPr>
              <w:rFonts w:eastAsia="Times New Roman"/>
            </w:rPr>
            <w:t>(8), 1314–1321. https://doi.org/10.1111/j.1528-1167.2012.03518.x</w:t>
          </w:r>
        </w:p>
        <w:p w14:paraId="5124B10D" w14:textId="77777777" w:rsidR="00EC7CE1" w:rsidRDefault="00EC7CE1">
          <w:pPr>
            <w:autoSpaceDE w:val="0"/>
            <w:autoSpaceDN w:val="0"/>
            <w:ind w:hanging="480"/>
            <w:divId w:val="1839465978"/>
            <w:rPr>
              <w:rFonts w:eastAsia="Times New Roman"/>
            </w:rPr>
          </w:pPr>
          <w:proofErr w:type="spellStart"/>
          <w:r>
            <w:rPr>
              <w:rFonts w:eastAsia="Times New Roman"/>
            </w:rPr>
            <w:t>Popkirov</w:t>
          </w:r>
          <w:proofErr w:type="spellEnd"/>
          <w:r>
            <w:rPr>
              <w:rFonts w:eastAsia="Times New Roman"/>
            </w:rPr>
            <w:t xml:space="preserve">, S., </w:t>
          </w:r>
          <w:proofErr w:type="spellStart"/>
          <w:r>
            <w:rPr>
              <w:rFonts w:eastAsia="Times New Roman"/>
            </w:rPr>
            <w:t>Asadi-Pooya</w:t>
          </w:r>
          <w:proofErr w:type="spellEnd"/>
          <w:r>
            <w:rPr>
              <w:rFonts w:eastAsia="Times New Roman"/>
            </w:rPr>
            <w:t xml:space="preserve">, A. A., Duncan, R., </w:t>
          </w:r>
          <w:proofErr w:type="spellStart"/>
          <w:r>
            <w:rPr>
              <w:rFonts w:eastAsia="Times New Roman"/>
            </w:rPr>
            <w:t>Gigineishvili</w:t>
          </w:r>
          <w:proofErr w:type="spellEnd"/>
          <w:r>
            <w:rPr>
              <w:rFonts w:eastAsia="Times New Roman"/>
            </w:rPr>
            <w:t xml:space="preserve">, D., </w:t>
          </w:r>
          <w:proofErr w:type="spellStart"/>
          <w:r>
            <w:rPr>
              <w:rFonts w:eastAsia="Times New Roman"/>
            </w:rPr>
            <w:t>Hingray</w:t>
          </w:r>
          <w:proofErr w:type="spellEnd"/>
          <w:r>
            <w:rPr>
              <w:rFonts w:eastAsia="Times New Roman"/>
            </w:rPr>
            <w:t xml:space="preserve">, C., Miguel </w:t>
          </w:r>
          <w:proofErr w:type="spellStart"/>
          <w:r>
            <w:rPr>
              <w:rFonts w:eastAsia="Times New Roman"/>
            </w:rPr>
            <w:t>Kanner</w:t>
          </w:r>
          <w:proofErr w:type="spellEnd"/>
          <w:r>
            <w:rPr>
              <w:rFonts w:eastAsia="Times New Roman"/>
            </w:rPr>
            <w:t xml:space="preserve">, A., LaFrance, W. C., Pretorius, C., &amp; Reuber, M. (2019). The aetiology of psychogenic non-epileptic seizures: risk factors and comorbidities. </w:t>
          </w:r>
          <w:r>
            <w:rPr>
              <w:rFonts w:eastAsia="Times New Roman"/>
              <w:i/>
              <w:iCs/>
            </w:rPr>
            <w:t>Epileptic Disorders</w:t>
          </w:r>
          <w:r>
            <w:rPr>
              <w:rFonts w:eastAsia="Times New Roman"/>
            </w:rPr>
            <w:t xml:space="preserve">, </w:t>
          </w:r>
          <w:r>
            <w:rPr>
              <w:rFonts w:eastAsia="Times New Roman"/>
              <w:i/>
              <w:iCs/>
            </w:rPr>
            <w:t>21</w:t>
          </w:r>
          <w:r>
            <w:rPr>
              <w:rFonts w:eastAsia="Times New Roman"/>
            </w:rPr>
            <w:t>(6), 529–547. https://doi.org/10.1684/EPD.2019.1107</w:t>
          </w:r>
        </w:p>
        <w:p w14:paraId="07A91FEF" w14:textId="77777777" w:rsidR="00EC7CE1" w:rsidRDefault="00EC7CE1">
          <w:pPr>
            <w:autoSpaceDE w:val="0"/>
            <w:autoSpaceDN w:val="0"/>
            <w:ind w:hanging="480"/>
            <w:divId w:val="1079207256"/>
            <w:rPr>
              <w:rFonts w:eastAsia="Times New Roman"/>
            </w:rPr>
          </w:pPr>
          <w:proofErr w:type="spellStart"/>
          <w:r>
            <w:rPr>
              <w:rFonts w:eastAsia="Times New Roman"/>
            </w:rPr>
            <w:t>Popkirov</w:t>
          </w:r>
          <w:proofErr w:type="spellEnd"/>
          <w:r>
            <w:rPr>
              <w:rFonts w:eastAsia="Times New Roman"/>
            </w:rPr>
            <w:t xml:space="preserve">, S., Stone, J., &amp; Buchan, A. M. (2020). Functional Neurological Disorder: A Common and Treatable Stroke Mimic. </w:t>
          </w:r>
          <w:r>
            <w:rPr>
              <w:rFonts w:eastAsia="Times New Roman"/>
              <w:i/>
              <w:iCs/>
            </w:rPr>
            <w:t>Stroke</w:t>
          </w:r>
          <w:r>
            <w:rPr>
              <w:rFonts w:eastAsia="Times New Roman"/>
            </w:rPr>
            <w:t xml:space="preserve">, </w:t>
          </w:r>
          <w:r>
            <w:rPr>
              <w:rFonts w:eastAsia="Times New Roman"/>
              <w:i/>
              <w:iCs/>
            </w:rPr>
            <w:t>51</w:t>
          </w:r>
          <w:r>
            <w:rPr>
              <w:rFonts w:eastAsia="Times New Roman"/>
            </w:rPr>
            <w:t>(5), 1629–1635. https://doi.org/10.1161/STROKEAHA.120.029076</w:t>
          </w:r>
        </w:p>
        <w:p w14:paraId="7E3ACFFD" w14:textId="77777777" w:rsidR="00EC7CE1" w:rsidRDefault="00EC7CE1">
          <w:pPr>
            <w:autoSpaceDE w:val="0"/>
            <w:autoSpaceDN w:val="0"/>
            <w:ind w:hanging="480"/>
            <w:divId w:val="22872132"/>
            <w:rPr>
              <w:rFonts w:eastAsia="Times New Roman"/>
            </w:rPr>
          </w:pPr>
          <w:proofErr w:type="spellStart"/>
          <w:r>
            <w:rPr>
              <w:rFonts w:eastAsia="Times New Roman"/>
            </w:rPr>
            <w:t>Pouretemad</w:t>
          </w:r>
          <w:proofErr w:type="spellEnd"/>
          <w:r>
            <w:rPr>
              <w:rFonts w:eastAsia="Times New Roman"/>
            </w:rPr>
            <w:t xml:space="preserve">, H. R., Thompson, P. J., &amp; Fenwick, P. B. (1998). Impaired sensorimotor gating in patients with non-epileptic seizures. </w:t>
          </w:r>
          <w:r>
            <w:rPr>
              <w:rFonts w:eastAsia="Times New Roman"/>
              <w:i/>
              <w:iCs/>
            </w:rPr>
            <w:t>Epilepsy Res</w:t>
          </w:r>
          <w:r>
            <w:rPr>
              <w:rFonts w:eastAsia="Times New Roman"/>
            </w:rPr>
            <w:t xml:space="preserve">, </w:t>
          </w:r>
          <w:r>
            <w:rPr>
              <w:rFonts w:eastAsia="Times New Roman"/>
              <w:i/>
              <w:iCs/>
            </w:rPr>
            <w:t>31</w:t>
          </w:r>
          <w:r>
            <w:rPr>
              <w:rFonts w:eastAsia="Times New Roman"/>
            </w:rPr>
            <w:t>(1), 1–12. https://doi.org/10.1016/s0920-1211(98)00014-x</w:t>
          </w:r>
        </w:p>
        <w:p w14:paraId="314A17A5" w14:textId="77777777" w:rsidR="00EC7CE1" w:rsidRDefault="00EC7CE1">
          <w:pPr>
            <w:autoSpaceDE w:val="0"/>
            <w:autoSpaceDN w:val="0"/>
            <w:ind w:hanging="480"/>
            <w:divId w:val="693119414"/>
            <w:rPr>
              <w:rFonts w:eastAsia="Times New Roman"/>
            </w:rPr>
          </w:pPr>
          <w:r>
            <w:rPr>
              <w:rFonts w:eastAsia="Times New Roman"/>
            </w:rPr>
            <w:t xml:space="preserve">Pretorius, C. (2016). Barriers and facilitators to reaching a diagnosis of PNES from the patients’ perspective: Preliminary findings. </w:t>
          </w:r>
          <w:r>
            <w:rPr>
              <w:rFonts w:eastAsia="Times New Roman"/>
              <w:i/>
              <w:iCs/>
            </w:rPr>
            <w:t>Seizure</w:t>
          </w:r>
          <w:r>
            <w:rPr>
              <w:rFonts w:eastAsia="Times New Roman"/>
            </w:rPr>
            <w:t xml:space="preserve">, </w:t>
          </w:r>
          <w:r>
            <w:rPr>
              <w:rFonts w:eastAsia="Times New Roman"/>
              <w:i/>
              <w:iCs/>
            </w:rPr>
            <w:t>38</w:t>
          </w:r>
          <w:r>
            <w:rPr>
              <w:rFonts w:eastAsia="Times New Roman"/>
            </w:rPr>
            <w:t>, 1–6. https://doi.org/10.1016/J.SEIZURE.2016.03.007</w:t>
          </w:r>
        </w:p>
        <w:p w14:paraId="0279DCCD" w14:textId="77777777" w:rsidR="00EC7CE1" w:rsidRDefault="00EC7CE1">
          <w:pPr>
            <w:autoSpaceDE w:val="0"/>
            <w:autoSpaceDN w:val="0"/>
            <w:ind w:hanging="480"/>
            <w:divId w:val="1339382265"/>
            <w:rPr>
              <w:rFonts w:eastAsia="Times New Roman"/>
            </w:rPr>
          </w:pPr>
          <w:r>
            <w:rPr>
              <w:rFonts w:eastAsia="Times New Roman"/>
            </w:rPr>
            <w:lastRenderedPageBreak/>
            <w:t xml:space="preserve">Pretorius, C., &amp; Sparrow, M. (2015). Life after being diagnosed with psychogenic non-epileptic seizures (PNES): A South African perspective. </w:t>
          </w:r>
          <w:r>
            <w:rPr>
              <w:rFonts w:eastAsia="Times New Roman"/>
              <w:i/>
              <w:iCs/>
            </w:rPr>
            <w:t>Seizure</w:t>
          </w:r>
          <w:r>
            <w:rPr>
              <w:rFonts w:eastAsia="Times New Roman"/>
            </w:rPr>
            <w:t xml:space="preserve">, </w:t>
          </w:r>
          <w:r>
            <w:rPr>
              <w:rFonts w:eastAsia="Times New Roman"/>
              <w:i/>
              <w:iCs/>
            </w:rPr>
            <w:t>30</w:t>
          </w:r>
          <w:r>
            <w:rPr>
              <w:rFonts w:eastAsia="Times New Roman"/>
            </w:rPr>
            <w:t>, 32–41. https://doi.org/10.1016/J.SEIZURE.2015.05.008</w:t>
          </w:r>
        </w:p>
        <w:p w14:paraId="18185F5E" w14:textId="77777777" w:rsidR="00EC7CE1" w:rsidRDefault="00EC7CE1">
          <w:pPr>
            <w:autoSpaceDE w:val="0"/>
            <w:autoSpaceDN w:val="0"/>
            <w:ind w:hanging="480"/>
            <w:divId w:val="1346904266"/>
            <w:rPr>
              <w:rFonts w:eastAsia="Times New Roman"/>
            </w:rPr>
          </w:pPr>
          <w:r>
            <w:rPr>
              <w:rFonts w:eastAsia="Times New Roman"/>
            </w:rPr>
            <w:t xml:space="preserve">Priebe, S., Omer, S., </w:t>
          </w:r>
          <w:proofErr w:type="spellStart"/>
          <w:r>
            <w:rPr>
              <w:rFonts w:eastAsia="Times New Roman"/>
            </w:rPr>
            <w:t>Giacco</w:t>
          </w:r>
          <w:proofErr w:type="spellEnd"/>
          <w:r>
            <w:rPr>
              <w:rFonts w:eastAsia="Times New Roman"/>
            </w:rPr>
            <w:t xml:space="preserve">, D., &amp; Slade, M. (2014). Resource-oriented therapeutic models in psychiatry: conceptual review. </w:t>
          </w:r>
          <w:r>
            <w:rPr>
              <w:rFonts w:eastAsia="Times New Roman"/>
              <w:i/>
              <w:iCs/>
            </w:rPr>
            <w:t>The British Journal of Psychiatry</w:t>
          </w:r>
          <w:r>
            <w:rPr>
              <w:rFonts w:eastAsia="Times New Roman"/>
            </w:rPr>
            <w:t xml:space="preserve">, </w:t>
          </w:r>
          <w:r>
            <w:rPr>
              <w:rFonts w:eastAsia="Times New Roman"/>
              <w:i/>
              <w:iCs/>
            </w:rPr>
            <w:t>204</w:t>
          </w:r>
          <w:r>
            <w:rPr>
              <w:rFonts w:eastAsia="Times New Roman"/>
            </w:rPr>
            <w:t>(4), 256–261. https://doi.org/10.1192/BJP.BP.113.135038</w:t>
          </w:r>
        </w:p>
        <w:p w14:paraId="7A0F6A25" w14:textId="77777777" w:rsidR="00EC7CE1" w:rsidRDefault="00EC7CE1">
          <w:pPr>
            <w:autoSpaceDE w:val="0"/>
            <w:autoSpaceDN w:val="0"/>
            <w:ind w:hanging="480"/>
            <w:divId w:val="141120825"/>
            <w:rPr>
              <w:rFonts w:eastAsia="Times New Roman"/>
            </w:rPr>
          </w:pPr>
          <w:proofErr w:type="spellStart"/>
          <w:r>
            <w:rPr>
              <w:rFonts w:eastAsia="Times New Roman"/>
            </w:rPr>
            <w:t>Prüfer</w:t>
          </w:r>
          <w:proofErr w:type="spellEnd"/>
          <w:r>
            <w:rPr>
              <w:rFonts w:eastAsia="Times New Roman"/>
            </w:rPr>
            <w:t xml:space="preserve">, F., </w:t>
          </w:r>
          <w:proofErr w:type="spellStart"/>
          <w:r>
            <w:rPr>
              <w:rFonts w:eastAsia="Times New Roman"/>
            </w:rPr>
            <w:t>Joos</w:t>
          </w:r>
          <w:proofErr w:type="spellEnd"/>
          <w:r>
            <w:rPr>
              <w:rFonts w:eastAsia="Times New Roman"/>
            </w:rPr>
            <w:t xml:space="preserve">, S., &amp; </w:t>
          </w:r>
          <w:proofErr w:type="spellStart"/>
          <w:r>
            <w:rPr>
              <w:rFonts w:eastAsia="Times New Roman"/>
            </w:rPr>
            <w:t>Miksch</w:t>
          </w:r>
          <w:proofErr w:type="spellEnd"/>
          <w:r>
            <w:rPr>
              <w:rFonts w:eastAsia="Times New Roman"/>
            </w:rPr>
            <w:t xml:space="preserve">, A. (2013). What Do Resource-Oriented Approaches Mean to General Practitioners and How Can They Be Facilitated in Primary Care? A Qualitative Study. </w:t>
          </w:r>
          <w:r>
            <w:rPr>
              <w:rFonts w:eastAsia="Times New Roman"/>
              <w:i/>
              <w:iCs/>
            </w:rPr>
            <w:t>Evidence-Based Complementary and Alternative Medicine : ECAM</w:t>
          </w:r>
          <w:r>
            <w:rPr>
              <w:rFonts w:eastAsia="Times New Roman"/>
            </w:rPr>
            <w:t xml:space="preserve">, </w:t>
          </w:r>
          <w:r>
            <w:rPr>
              <w:rFonts w:eastAsia="Times New Roman"/>
              <w:i/>
              <w:iCs/>
            </w:rPr>
            <w:t>2013</w:t>
          </w:r>
          <w:r>
            <w:rPr>
              <w:rFonts w:eastAsia="Times New Roman"/>
            </w:rPr>
            <w:t>. https://doi.org/10.1155/2013/187641</w:t>
          </w:r>
        </w:p>
        <w:p w14:paraId="3C680BD9" w14:textId="77777777" w:rsidR="00EC7CE1" w:rsidRDefault="00EC7CE1">
          <w:pPr>
            <w:autoSpaceDE w:val="0"/>
            <w:autoSpaceDN w:val="0"/>
            <w:ind w:hanging="480"/>
            <w:divId w:val="122623903"/>
            <w:rPr>
              <w:rFonts w:eastAsia="Times New Roman"/>
            </w:rPr>
          </w:pPr>
          <w:r>
            <w:rPr>
              <w:rFonts w:eastAsia="Times New Roman"/>
            </w:rPr>
            <w:t xml:space="preserve">Pun, P., Frater, J., Broughton, M., Dob, R., &amp; Lehn, A. (2020). Psychological Profiles and Clinical Clusters of Patients Diagnosed With Functional Neurological Disorder. </w:t>
          </w:r>
          <w:r>
            <w:rPr>
              <w:rFonts w:eastAsia="Times New Roman"/>
              <w:i/>
              <w:iCs/>
            </w:rPr>
            <w:t>Frontiers in Neurology</w:t>
          </w:r>
          <w:r>
            <w:rPr>
              <w:rFonts w:eastAsia="Times New Roman"/>
            </w:rPr>
            <w:t xml:space="preserve">, </w:t>
          </w:r>
          <w:r>
            <w:rPr>
              <w:rFonts w:eastAsia="Times New Roman"/>
              <w:i/>
              <w:iCs/>
            </w:rPr>
            <w:t>11</w:t>
          </w:r>
          <w:r>
            <w:rPr>
              <w:rFonts w:eastAsia="Times New Roman"/>
            </w:rPr>
            <w:t>, 1222. https://doi.org/10.3389/FNEUR.2020.580267/BIBTEX</w:t>
          </w:r>
        </w:p>
        <w:p w14:paraId="7E9B47CA" w14:textId="77777777" w:rsidR="00EC7CE1" w:rsidRDefault="00EC7CE1">
          <w:pPr>
            <w:autoSpaceDE w:val="0"/>
            <w:autoSpaceDN w:val="0"/>
            <w:ind w:hanging="480"/>
            <w:divId w:val="1021856474"/>
            <w:rPr>
              <w:rFonts w:eastAsia="Times New Roman"/>
            </w:rPr>
          </w:pPr>
          <w:r>
            <w:rPr>
              <w:rFonts w:eastAsia="Times New Roman"/>
            </w:rPr>
            <w:t xml:space="preserve">Ramsay, C. R., </w:t>
          </w:r>
          <w:proofErr w:type="spellStart"/>
          <w:r>
            <w:rPr>
              <w:rFonts w:eastAsia="Times New Roman"/>
            </w:rPr>
            <w:t>Matowe</w:t>
          </w:r>
          <w:proofErr w:type="spellEnd"/>
          <w:r>
            <w:rPr>
              <w:rFonts w:eastAsia="Times New Roman"/>
            </w:rPr>
            <w:t xml:space="preserve">, L., </w:t>
          </w:r>
          <w:proofErr w:type="spellStart"/>
          <w:r>
            <w:rPr>
              <w:rFonts w:eastAsia="Times New Roman"/>
            </w:rPr>
            <w:t>Grilli</w:t>
          </w:r>
          <w:proofErr w:type="spellEnd"/>
          <w:r>
            <w:rPr>
              <w:rFonts w:eastAsia="Times New Roman"/>
            </w:rPr>
            <w:t xml:space="preserve">, R., Grimshaw, J. M., &amp; Thomas, R. E. (2003). Interrupted time series designs in health technology assessment: lessons from two systematic reviews of behaviour change strategies. </w:t>
          </w:r>
          <w:r>
            <w:rPr>
              <w:rFonts w:eastAsia="Times New Roman"/>
              <w:i/>
              <w:iCs/>
            </w:rPr>
            <w:t xml:space="preserve">Int J </w:t>
          </w:r>
          <w:proofErr w:type="spellStart"/>
          <w:r>
            <w:rPr>
              <w:rFonts w:eastAsia="Times New Roman"/>
              <w:i/>
              <w:iCs/>
            </w:rPr>
            <w:t>Technol</w:t>
          </w:r>
          <w:proofErr w:type="spellEnd"/>
          <w:r>
            <w:rPr>
              <w:rFonts w:eastAsia="Times New Roman"/>
              <w:i/>
              <w:iCs/>
            </w:rPr>
            <w:t xml:space="preserve"> Assess Health Care</w:t>
          </w:r>
          <w:r>
            <w:rPr>
              <w:rFonts w:eastAsia="Times New Roman"/>
            </w:rPr>
            <w:t xml:space="preserve">, </w:t>
          </w:r>
          <w:r>
            <w:rPr>
              <w:rFonts w:eastAsia="Times New Roman"/>
              <w:i/>
              <w:iCs/>
            </w:rPr>
            <w:t>19</w:t>
          </w:r>
          <w:r>
            <w:rPr>
              <w:rFonts w:eastAsia="Times New Roman"/>
            </w:rPr>
            <w:t>(4), 613–623. https://doi.org/10.1017/s0266462303000576</w:t>
          </w:r>
        </w:p>
        <w:p w14:paraId="261E06EC" w14:textId="77777777" w:rsidR="00EC7CE1" w:rsidRDefault="00EC7CE1">
          <w:pPr>
            <w:autoSpaceDE w:val="0"/>
            <w:autoSpaceDN w:val="0"/>
            <w:ind w:hanging="480"/>
            <w:divId w:val="841430184"/>
            <w:rPr>
              <w:rFonts w:eastAsia="Times New Roman"/>
            </w:rPr>
          </w:pPr>
          <w:r>
            <w:rPr>
              <w:rFonts w:eastAsia="Times New Roman"/>
            </w:rPr>
            <w:t xml:space="preserve">Rasch, G. (1960). </w:t>
          </w:r>
          <w:r>
            <w:rPr>
              <w:rFonts w:eastAsia="Times New Roman"/>
              <w:i/>
              <w:iCs/>
            </w:rPr>
            <w:t>Probabilistic model for some intelligence and achievement tests</w:t>
          </w:r>
          <w:r>
            <w:rPr>
              <w:rFonts w:eastAsia="Times New Roman"/>
            </w:rPr>
            <w:t>. Danish Institute for Educational Research.</w:t>
          </w:r>
        </w:p>
        <w:p w14:paraId="68FC4CFF" w14:textId="77777777" w:rsidR="00EC7CE1" w:rsidRDefault="00EC7CE1">
          <w:pPr>
            <w:autoSpaceDE w:val="0"/>
            <w:autoSpaceDN w:val="0"/>
            <w:ind w:hanging="480"/>
            <w:divId w:val="455950692"/>
            <w:rPr>
              <w:rFonts w:eastAsia="Times New Roman"/>
            </w:rPr>
          </w:pPr>
          <w:r>
            <w:rPr>
              <w:rFonts w:eastAsia="Times New Roman"/>
            </w:rPr>
            <w:t xml:space="preserve">Rasch, G. (Georg). (1993). </w:t>
          </w:r>
          <w:r>
            <w:rPr>
              <w:rFonts w:eastAsia="Times New Roman"/>
              <w:i/>
              <w:iCs/>
            </w:rPr>
            <w:t>Probabilistic Models for Some Intelligence and Attainment Tests.</w:t>
          </w:r>
          <w:r>
            <w:rPr>
              <w:rFonts w:eastAsia="Times New Roman"/>
            </w:rPr>
            <w:t xml:space="preserve"> 199.</w:t>
          </w:r>
        </w:p>
        <w:p w14:paraId="3222B47F" w14:textId="77777777" w:rsidR="00EC7CE1" w:rsidRDefault="00EC7CE1">
          <w:pPr>
            <w:autoSpaceDE w:val="0"/>
            <w:autoSpaceDN w:val="0"/>
            <w:ind w:hanging="480"/>
            <w:divId w:val="1181968039"/>
            <w:rPr>
              <w:rFonts w:eastAsia="Times New Roman"/>
            </w:rPr>
          </w:pPr>
          <w:r>
            <w:rPr>
              <w:rFonts w:eastAsia="Times New Roman"/>
            </w:rPr>
            <w:t xml:space="preserve">Rawlings, G. H., Brown, I., Stone, B., &amp; Reuber, M. (2017). Written accounts of living with psychogenic nonepileptic seizures: A thematic analysis. </w:t>
          </w:r>
          <w:r>
            <w:rPr>
              <w:rFonts w:eastAsia="Times New Roman"/>
              <w:i/>
              <w:iCs/>
            </w:rPr>
            <w:t>Seizure: European Journal of Epilepsy</w:t>
          </w:r>
          <w:r>
            <w:rPr>
              <w:rFonts w:eastAsia="Times New Roman"/>
            </w:rPr>
            <w:t xml:space="preserve">, </w:t>
          </w:r>
          <w:r>
            <w:rPr>
              <w:rFonts w:eastAsia="Times New Roman"/>
              <w:i/>
              <w:iCs/>
            </w:rPr>
            <w:t>50</w:t>
          </w:r>
          <w:r>
            <w:rPr>
              <w:rFonts w:eastAsia="Times New Roman"/>
            </w:rPr>
            <w:t>, 83–91. https://doi.org/10.1016/j.seizure.2017.06.006</w:t>
          </w:r>
        </w:p>
        <w:p w14:paraId="78732827" w14:textId="77777777" w:rsidR="00EC7CE1" w:rsidRDefault="00EC7CE1">
          <w:pPr>
            <w:autoSpaceDE w:val="0"/>
            <w:autoSpaceDN w:val="0"/>
            <w:ind w:hanging="480"/>
            <w:divId w:val="969045603"/>
            <w:rPr>
              <w:rFonts w:eastAsia="Times New Roman"/>
            </w:rPr>
          </w:pPr>
          <w:r>
            <w:rPr>
              <w:rFonts w:eastAsia="Times New Roman"/>
            </w:rPr>
            <w:t xml:space="preserve">Reddy, L. F., Lee, J., Davis, M. C., </w:t>
          </w:r>
          <w:proofErr w:type="spellStart"/>
          <w:r>
            <w:rPr>
              <w:rFonts w:eastAsia="Times New Roman"/>
            </w:rPr>
            <w:t>Altshuler</w:t>
          </w:r>
          <w:proofErr w:type="spellEnd"/>
          <w:r>
            <w:rPr>
              <w:rFonts w:eastAsia="Times New Roman"/>
            </w:rPr>
            <w:t xml:space="preserve">, L., </w:t>
          </w:r>
          <w:proofErr w:type="spellStart"/>
          <w:r>
            <w:rPr>
              <w:rFonts w:eastAsia="Times New Roman"/>
            </w:rPr>
            <w:t>Glahn</w:t>
          </w:r>
          <w:proofErr w:type="spellEnd"/>
          <w:r>
            <w:rPr>
              <w:rFonts w:eastAsia="Times New Roman"/>
            </w:rPr>
            <w:t xml:space="preserve">, D. C., </w:t>
          </w:r>
          <w:proofErr w:type="spellStart"/>
          <w:r>
            <w:rPr>
              <w:rFonts w:eastAsia="Times New Roman"/>
            </w:rPr>
            <w:t>Miklowitz</w:t>
          </w:r>
          <w:proofErr w:type="spellEnd"/>
          <w:r>
            <w:rPr>
              <w:rFonts w:eastAsia="Times New Roman"/>
            </w:rPr>
            <w:t xml:space="preserve">, D. J., &amp; Green, M. F. (2013). Impulsivity and Risk Taking in Bipolar Disorder and Schizophrenia. </w:t>
          </w:r>
          <w:r>
            <w:rPr>
              <w:rFonts w:eastAsia="Times New Roman"/>
              <w:i/>
              <w:iCs/>
            </w:rPr>
            <w:t>Neuropsychopharmacology 2014 39:2</w:t>
          </w:r>
          <w:r>
            <w:rPr>
              <w:rFonts w:eastAsia="Times New Roman"/>
            </w:rPr>
            <w:t xml:space="preserve">, </w:t>
          </w:r>
          <w:r>
            <w:rPr>
              <w:rFonts w:eastAsia="Times New Roman"/>
              <w:i/>
              <w:iCs/>
            </w:rPr>
            <w:t>39</w:t>
          </w:r>
          <w:r>
            <w:rPr>
              <w:rFonts w:eastAsia="Times New Roman"/>
            </w:rPr>
            <w:t>(2), 456–463. https://doi.org/10.1038/npp.2013.218</w:t>
          </w:r>
        </w:p>
        <w:p w14:paraId="74D84CF6" w14:textId="77777777" w:rsidR="00EC7CE1" w:rsidRDefault="00EC7CE1">
          <w:pPr>
            <w:autoSpaceDE w:val="0"/>
            <w:autoSpaceDN w:val="0"/>
            <w:ind w:hanging="480"/>
            <w:divId w:val="1509910095"/>
            <w:rPr>
              <w:rFonts w:eastAsia="Times New Roman"/>
            </w:rPr>
          </w:pPr>
          <w:r>
            <w:rPr>
              <w:rFonts w:eastAsia="Times New Roman"/>
            </w:rPr>
            <w:t xml:space="preserve">Reid, S., </w:t>
          </w:r>
          <w:proofErr w:type="spellStart"/>
          <w:r>
            <w:rPr>
              <w:rFonts w:eastAsia="Times New Roman"/>
            </w:rPr>
            <w:t>Wessely</w:t>
          </w:r>
          <w:proofErr w:type="spellEnd"/>
          <w:r>
            <w:rPr>
              <w:rFonts w:eastAsia="Times New Roman"/>
            </w:rPr>
            <w:t xml:space="preserve">, S., Crayford, T., &amp; </w:t>
          </w:r>
          <w:proofErr w:type="spellStart"/>
          <w:r>
            <w:rPr>
              <w:rFonts w:eastAsia="Times New Roman"/>
            </w:rPr>
            <w:t>Hotopf</w:t>
          </w:r>
          <w:proofErr w:type="spellEnd"/>
          <w:r>
            <w:rPr>
              <w:rFonts w:eastAsia="Times New Roman"/>
            </w:rPr>
            <w:t xml:space="preserve">, M. (2002a). Frequent attenders with medically unexplained symptoms: service use and costs in secondary care. </w:t>
          </w:r>
          <w:r>
            <w:rPr>
              <w:rFonts w:eastAsia="Times New Roman"/>
              <w:i/>
              <w:iCs/>
            </w:rPr>
            <w:t>Br J Psychiatry</w:t>
          </w:r>
          <w:r>
            <w:rPr>
              <w:rFonts w:eastAsia="Times New Roman"/>
            </w:rPr>
            <w:t xml:space="preserve">, </w:t>
          </w:r>
          <w:r>
            <w:rPr>
              <w:rFonts w:eastAsia="Times New Roman"/>
              <w:i/>
              <w:iCs/>
            </w:rPr>
            <w:t>180</w:t>
          </w:r>
          <w:r>
            <w:rPr>
              <w:rFonts w:eastAsia="Times New Roman"/>
            </w:rPr>
            <w:t>, 248–253. https://doi.org/10.1192/bjp.180.3.248</w:t>
          </w:r>
        </w:p>
        <w:p w14:paraId="290D6FAE" w14:textId="77777777" w:rsidR="00EC7CE1" w:rsidRDefault="00EC7CE1">
          <w:pPr>
            <w:autoSpaceDE w:val="0"/>
            <w:autoSpaceDN w:val="0"/>
            <w:ind w:hanging="480"/>
            <w:divId w:val="62291425"/>
            <w:rPr>
              <w:rFonts w:eastAsia="Times New Roman"/>
            </w:rPr>
          </w:pPr>
          <w:r>
            <w:rPr>
              <w:rFonts w:eastAsia="Times New Roman"/>
            </w:rPr>
            <w:t xml:space="preserve">Reid, S., </w:t>
          </w:r>
          <w:proofErr w:type="spellStart"/>
          <w:r>
            <w:rPr>
              <w:rFonts w:eastAsia="Times New Roman"/>
            </w:rPr>
            <w:t>Wessely</w:t>
          </w:r>
          <w:proofErr w:type="spellEnd"/>
          <w:r>
            <w:rPr>
              <w:rFonts w:eastAsia="Times New Roman"/>
            </w:rPr>
            <w:t xml:space="preserve">, S., Crayford, T., &amp; </w:t>
          </w:r>
          <w:proofErr w:type="spellStart"/>
          <w:r>
            <w:rPr>
              <w:rFonts w:eastAsia="Times New Roman"/>
            </w:rPr>
            <w:t>Hotopf</w:t>
          </w:r>
          <w:proofErr w:type="spellEnd"/>
          <w:r>
            <w:rPr>
              <w:rFonts w:eastAsia="Times New Roman"/>
            </w:rPr>
            <w:t xml:space="preserve">, M. (2002b). Frequent attenders with medically unexplained symptoms: service use and costs in secondary care. </w:t>
          </w:r>
          <w:r>
            <w:rPr>
              <w:rFonts w:eastAsia="Times New Roman"/>
              <w:i/>
              <w:iCs/>
            </w:rPr>
            <w:t xml:space="preserve">The </w:t>
          </w:r>
          <w:r>
            <w:rPr>
              <w:rFonts w:eastAsia="Times New Roman"/>
              <w:i/>
              <w:iCs/>
            </w:rPr>
            <w:lastRenderedPageBreak/>
            <w:t>British Journal of Psychiatry</w:t>
          </w:r>
          <w:r>
            <w:rPr>
              <w:rFonts w:eastAsia="Times New Roman"/>
            </w:rPr>
            <w:t xml:space="preserve">, </w:t>
          </w:r>
          <w:r>
            <w:rPr>
              <w:rFonts w:eastAsia="Times New Roman"/>
              <w:i/>
              <w:iCs/>
            </w:rPr>
            <w:t>180</w:t>
          </w:r>
          <w:r>
            <w:rPr>
              <w:rFonts w:eastAsia="Times New Roman"/>
            </w:rPr>
            <w:t>(3), 248–253. https://doi.org/10.1192/BJP.180.3.248</w:t>
          </w:r>
        </w:p>
        <w:p w14:paraId="038238DC" w14:textId="77777777" w:rsidR="00EC7CE1" w:rsidRDefault="00EC7CE1">
          <w:pPr>
            <w:autoSpaceDE w:val="0"/>
            <w:autoSpaceDN w:val="0"/>
            <w:ind w:hanging="480"/>
            <w:divId w:val="1531801367"/>
            <w:rPr>
              <w:rFonts w:eastAsia="Times New Roman"/>
            </w:rPr>
          </w:pPr>
          <w:r>
            <w:rPr>
              <w:rFonts w:eastAsia="Times New Roman"/>
            </w:rPr>
            <w:t xml:space="preserve">Reuber, M. (2009). The </w:t>
          </w:r>
          <w:proofErr w:type="spellStart"/>
          <w:r>
            <w:rPr>
              <w:rFonts w:eastAsia="Times New Roman"/>
            </w:rPr>
            <w:t>Etiology</w:t>
          </w:r>
          <w:proofErr w:type="spellEnd"/>
          <w:r>
            <w:rPr>
              <w:rFonts w:eastAsia="Times New Roman"/>
            </w:rPr>
            <w:t xml:space="preserve"> of Psychogenic Non-Epileptic Seizures: Toward a Biopsychosocial Model. </w:t>
          </w:r>
          <w:r>
            <w:rPr>
              <w:rFonts w:eastAsia="Times New Roman"/>
              <w:i/>
              <w:iCs/>
            </w:rPr>
            <w:t>Neurologic Clinics</w:t>
          </w:r>
          <w:r>
            <w:rPr>
              <w:rFonts w:eastAsia="Times New Roman"/>
            </w:rPr>
            <w:t xml:space="preserve">, </w:t>
          </w:r>
          <w:r>
            <w:rPr>
              <w:rFonts w:eastAsia="Times New Roman"/>
              <w:i/>
              <w:iCs/>
            </w:rPr>
            <w:t>27</w:t>
          </w:r>
          <w:r>
            <w:rPr>
              <w:rFonts w:eastAsia="Times New Roman"/>
            </w:rPr>
            <w:t>(4), 909–924. https://doi.org/10.1016/j.ncl.2009.06.004</w:t>
          </w:r>
        </w:p>
        <w:p w14:paraId="35CC10D0" w14:textId="77777777" w:rsidR="00EC7CE1" w:rsidRDefault="00EC7CE1">
          <w:pPr>
            <w:autoSpaceDE w:val="0"/>
            <w:autoSpaceDN w:val="0"/>
            <w:ind w:hanging="480"/>
            <w:divId w:val="2084713634"/>
            <w:rPr>
              <w:rFonts w:eastAsia="Times New Roman"/>
            </w:rPr>
          </w:pPr>
          <w:r>
            <w:rPr>
              <w:rFonts w:eastAsia="Times New Roman"/>
            </w:rPr>
            <w:t xml:space="preserve">Reuber, M., Baker, G. A., Gill, R., Smith, D. F., &amp; Chadwick, D. W. (2004). Failure to recognize psychogenic nonepileptic seizures may cause death. </w:t>
          </w:r>
          <w:r>
            <w:rPr>
              <w:rFonts w:eastAsia="Times New Roman"/>
              <w:i/>
              <w:iCs/>
            </w:rPr>
            <w:t>Neurology</w:t>
          </w:r>
          <w:r>
            <w:rPr>
              <w:rFonts w:eastAsia="Times New Roman"/>
            </w:rPr>
            <w:t xml:space="preserve">, </w:t>
          </w:r>
          <w:r>
            <w:rPr>
              <w:rFonts w:eastAsia="Times New Roman"/>
              <w:i/>
              <w:iCs/>
            </w:rPr>
            <w:t>62</w:t>
          </w:r>
          <w:r>
            <w:rPr>
              <w:rFonts w:eastAsia="Times New Roman"/>
            </w:rPr>
            <w:t>(5), 834–835. https://doi.org/10.1212/01.wnl.0000113755.11398.90</w:t>
          </w:r>
        </w:p>
        <w:p w14:paraId="70ADBA93" w14:textId="77777777" w:rsidR="00EC7CE1" w:rsidRDefault="00EC7CE1">
          <w:pPr>
            <w:autoSpaceDE w:val="0"/>
            <w:autoSpaceDN w:val="0"/>
            <w:ind w:hanging="480"/>
            <w:divId w:val="863862440"/>
            <w:rPr>
              <w:rFonts w:eastAsia="Times New Roman"/>
            </w:rPr>
          </w:pPr>
          <w:r>
            <w:rPr>
              <w:rFonts w:eastAsia="Times New Roman"/>
            </w:rPr>
            <w:t xml:space="preserve">Reuber, M., &amp; Brown, R. J. (2017). Understanding psychogenic nonepileptic seizures—Phenomenology, semiology and the Integrative Cognitive Model. </w:t>
          </w:r>
          <w:r>
            <w:rPr>
              <w:rFonts w:eastAsia="Times New Roman"/>
              <w:i/>
              <w:iCs/>
            </w:rPr>
            <w:t>Seizure</w:t>
          </w:r>
          <w:r>
            <w:rPr>
              <w:rFonts w:eastAsia="Times New Roman"/>
            </w:rPr>
            <w:t xml:space="preserve">, </w:t>
          </w:r>
          <w:r>
            <w:rPr>
              <w:rFonts w:eastAsia="Times New Roman"/>
              <w:i/>
              <w:iCs/>
            </w:rPr>
            <w:t>44</w:t>
          </w:r>
          <w:r>
            <w:rPr>
              <w:rFonts w:eastAsia="Times New Roman"/>
            </w:rPr>
            <w:t>, 199–205. https://doi.org/10.1016/J.SEIZURE.2016.10.029</w:t>
          </w:r>
        </w:p>
        <w:p w14:paraId="53DB9063" w14:textId="77777777" w:rsidR="00EC7CE1" w:rsidRDefault="00EC7CE1">
          <w:pPr>
            <w:autoSpaceDE w:val="0"/>
            <w:autoSpaceDN w:val="0"/>
            <w:ind w:hanging="480"/>
            <w:divId w:val="854879126"/>
            <w:rPr>
              <w:rFonts w:eastAsia="Times New Roman"/>
            </w:rPr>
          </w:pPr>
          <w:r>
            <w:rPr>
              <w:rFonts w:eastAsia="Times New Roman"/>
            </w:rPr>
            <w:t xml:space="preserve">Reuber, M., </w:t>
          </w:r>
          <w:proofErr w:type="spellStart"/>
          <w:r>
            <w:rPr>
              <w:rFonts w:eastAsia="Times New Roman"/>
            </w:rPr>
            <w:t>Burness</w:t>
          </w:r>
          <w:proofErr w:type="spellEnd"/>
          <w:r>
            <w:rPr>
              <w:rFonts w:eastAsia="Times New Roman"/>
            </w:rPr>
            <w:t xml:space="preserve">, C., Howlett, S., Brazier, J., &amp; </w:t>
          </w:r>
          <w:proofErr w:type="spellStart"/>
          <w:r>
            <w:rPr>
              <w:rFonts w:eastAsia="Times New Roman"/>
            </w:rPr>
            <w:t>Grünewald</w:t>
          </w:r>
          <w:proofErr w:type="spellEnd"/>
          <w:r>
            <w:rPr>
              <w:rFonts w:eastAsia="Times New Roman"/>
            </w:rPr>
            <w:t xml:space="preserve">, R. (2007). Tailored psychotherapy for patients with functional neurological symptoms: a pilot study. </w:t>
          </w:r>
          <w:r>
            <w:rPr>
              <w:rFonts w:eastAsia="Times New Roman"/>
              <w:i/>
              <w:iCs/>
            </w:rPr>
            <w:t xml:space="preserve">J </w:t>
          </w:r>
          <w:proofErr w:type="spellStart"/>
          <w:r>
            <w:rPr>
              <w:rFonts w:eastAsia="Times New Roman"/>
              <w:i/>
              <w:iCs/>
            </w:rPr>
            <w:t>Psychosom</w:t>
          </w:r>
          <w:proofErr w:type="spellEnd"/>
          <w:r>
            <w:rPr>
              <w:rFonts w:eastAsia="Times New Roman"/>
              <w:i/>
              <w:iCs/>
            </w:rPr>
            <w:t xml:space="preserve"> Res</w:t>
          </w:r>
          <w:r>
            <w:rPr>
              <w:rFonts w:eastAsia="Times New Roman"/>
            </w:rPr>
            <w:t xml:space="preserve">, </w:t>
          </w:r>
          <w:r>
            <w:rPr>
              <w:rFonts w:eastAsia="Times New Roman"/>
              <w:i/>
              <w:iCs/>
            </w:rPr>
            <w:t>63</w:t>
          </w:r>
          <w:r>
            <w:rPr>
              <w:rFonts w:eastAsia="Times New Roman"/>
            </w:rPr>
            <w:t>(6), 625–632. https://doi.org/10.1016/j.jpsychores.2007.06.013</w:t>
          </w:r>
        </w:p>
        <w:p w14:paraId="293F10E4" w14:textId="77777777" w:rsidR="00EC7CE1" w:rsidRDefault="00EC7CE1">
          <w:pPr>
            <w:autoSpaceDE w:val="0"/>
            <w:autoSpaceDN w:val="0"/>
            <w:ind w:hanging="480"/>
            <w:divId w:val="2089232162"/>
            <w:rPr>
              <w:rFonts w:eastAsia="Times New Roman"/>
            </w:rPr>
          </w:pPr>
          <w:r>
            <w:rPr>
              <w:rFonts w:eastAsia="Times New Roman"/>
            </w:rPr>
            <w:t xml:space="preserve">Reuber, M., Howlett, S., Khan, A., &amp; </w:t>
          </w:r>
          <w:proofErr w:type="spellStart"/>
          <w:r>
            <w:rPr>
              <w:rFonts w:eastAsia="Times New Roman"/>
            </w:rPr>
            <w:t>Grünewald</w:t>
          </w:r>
          <w:proofErr w:type="spellEnd"/>
          <w:r>
            <w:rPr>
              <w:rFonts w:eastAsia="Times New Roman"/>
            </w:rPr>
            <w:t xml:space="preserve">, R. (2007). Non-Epileptic Seizures and Other Functional Neurological Symptoms: Predisposing, Precipitating, and Perpetuating Factors. </w:t>
          </w:r>
          <w:r>
            <w:rPr>
              <w:rFonts w:eastAsia="Times New Roman"/>
              <w:i/>
              <w:iCs/>
            </w:rPr>
            <w:t>Psychosomatics</w:t>
          </w:r>
          <w:r>
            <w:rPr>
              <w:rFonts w:eastAsia="Times New Roman"/>
            </w:rPr>
            <w:t xml:space="preserve">, </w:t>
          </w:r>
          <w:r>
            <w:rPr>
              <w:rFonts w:eastAsia="Times New Roman"/>
              <w:i/>
              <w:iCs/>
            </w:rPr>
            <w:t>48</w:t>
          </w:r>
          <w:r>
            <w:rPr>
              <w:rFonts w:eastAsia="Times New Roman"/>
            </w:rPr>
            <w:t>, 230–238. https://doi.org/10.1176/appi.psy.48.3.230</w:t>
          </w:r>
        </w:p>
        <w:p w14:paraId="7377B605" w14:textId="77777777" w:rsidR="00EC7CE1" w:rsidRDefault="00EC7CE1">
          <w:pPr>
            <w:autoSpaceDE w:val="0"/>
            <w:autoSpaceDN w:val="0"/>
            <w:ind w:hanging="480"/>
            <w:divId w:val="1549874490"/>
            <w:rPr>
              <w:rFonts w:eastAsia="Times New Roman"/>
            </w:rPr>
          </w:pPr>
          <w:r>
            <w:rPr>
              <w:rFonts w:eastAsia="Times New Roman"/>
            </w:rPr>
            <w:t xml:space="preserve">Reuber, M., &amp; Mayor, R. (2012). Recent progress in the understanding and treatment of nonepileptic seizures. </w:t>
          </w:r>
          <w:proofErr w:type="spellStart"/>
          <w:r>
            <w:rPr>
              <w:rFonts w:eastAsia="Times New Roman"/>
              <w:i/>
              <w:iCs/>
            </w:rPr>
            <w:t>Curr</w:t>
          </w:r>
          <w:proofErr w:type="spellEnd"/>
          <w:r>
            <w:rPr>
              <w:rFonts w:eastAsia="Times New Roman"/>
              <w:i/>
              <w:iCs/>
            </w:rPr>
            <w:t xml:space="preserve"> </w:t>
          </w:r>
          <w:proofErr w:type="spellStart"/>
          <w:r>
            <w:rPr>
              <w:rFonts w:eastAsia="Times New Roman"/>
              <w:i/>
              <w:iCs/>
            </w:rPr>
            <w:t>Opin</w:t>
          </w:r>
          <w:proofErr w:type="spellEnd"/>
          <w:r>
            <w:rPr>
              <w:rFonts w:eastAsia="Times New Roman"/>
              <w:i/>
              <w:iCs/>
            </w:rPr>
            <w:t xml:space="preserve"> Psychiatry</w:t>
          </w:r>
          <w:r>
            <w:rPr>
              <w:rFonts w:eastAsia="Times New Roman"/>
            </w:rPr>
            <w:t xml:space="preserve">, </w:t>
          </w:r>
          <w:r>
            <w:rPr>
              <w:rFonts w:eastAsia="Times New Roman"/>
              <w:i/>
              <w:iCs/>
            </w:rPr>
            <w:t>25</w:t>
          </w:r>
          <w:r>
            <w:rPr>
              <w:rFonts w:eastAsia="Times New Roman"/>
            </w:rPr>
            <w:t>(3), 244–250. https://doi.org/10.1097/YCO.0b013e3283523db6</w:t>
          </w:r>
        </w:p>
        <w:p w14:paraId="528ECAB0" w14:textId="77777777" w:rsidR="00EC7CE1" w:rsidRDefault="00EC7CE1">
          <w:pPr>
            <w:autoSpaceDE w:val="0"/>
            <w:autoSpaceDN w:val="0"/>
            <w:ind w:hanging="480"/>
            <w:divId w:val="230845978"/>
            <w:rPr>
              <w:rFonts w:eastAsia="Times New Roman"/>
            </w:rPr>
          </w:pPr>
          <w:r>
            <w:rPr>
              <w:rFonts w:eastAsia="Times New Roman"/>
            </w:rPr>
            <w:t xml:space="preserve">Reuber, M., </w:t>
          </w:r>
          <w:proofErr w:type="spellStart"/>
          <w:r>
            <w:rPr>
              <w:rFonts w:eastAsia="Times New Roman"/>
            </w:rPr>
            <w:t>Pukrop</w:t>
          </w:r>
          <w:proofErr w:type="spellEnd"/>
          <w:r>
            <w:rPr>
              <w:rFonts w:eastAsia="Times New Roman"/>
            </w:rPr>
            <w:t xml:space="preserve">, R., Bauer, J., </w:t>
          </w:r>
          <w:proofErr w:type="spellStart"/>
          <w:r>
            <w:rPr>
              <w:rFonts w:eastAsia="Times New Roman"/>
            </w:rPr>
            <w:t>Helmstaedter</w:t>
          </w:r>
          <w:proofErr w:type="spellEnd"/>
          <w:r>
            <w:rPr>
              <w:rFonts w:eastAsia="Times New Roman"/>
            </w:rPr>
            <w:t xml:space="preserve">, C., </w:t>
          </w:r>
          <w:proofErr w:type="spellStart"/>
          <w:r>
            <w:rPr>
              <w:rFonts w:eastAsia="Times New Roman"/>
            </w:rPr>
            <w:t>Tessendorf</w:t>
          </w:r>
          <w:proofErr w:type="spellEnd"/>
          <w:r>
            <w:rPr>
              <w:rFonts w:eastAsia="Times New Roman"/>
            </w:rPr>
            <w:t xml:space="preserve">, N., &amp; </w:t>
          </w:r>
          <w:proofErr w:type="spellStart"/>
          <w:r>
            <w:rPr>
              <w:rFonts w:eastAsia="Times New Roman"/>
            </w:rPr>
            <w:t>Elger</w:t>
          </w:r>
          <w:proofErr w:type="spellEnd"/>
          <w:r>
            <w:rPr>
              <w:rFonts w:eastAsia="Times New Roman"/>
            </w:rPr>
            <w:t xml:space="preserve">, C. E. (2003). Outcome in psychogenic nonepileptic seizures: 1 to 10-year follow-up in 164 patients. </w:t>
          </w:r>
          <w:r>
            <w:rPr>
              <w:rFonts w:eastAsia="Times New Roman"/>
              <w:i/>
              <w:iCs/>
            </w:rPr>
            <w:t>Annals of Neurology</w:t>
          </w:r>
          <w:r>
            <w:rPr>
              <w:rFonts w:eastAsia="Times New Roman"/>
            </w:rPr>
            <w:t xml:space="preserve">, </w:t>
          </w:r>
          <w:r>
            <w:rPr>
              <w:rFonts w:eastAsia="Times New Roman"/>
              <w:i/>
              <w:iCs/>
            </w:rPr>
            <w:t>53</w:t>
          </w:r>
          <w:r>
            <w:rPr>
              <w:rFonts w:eastAsia="Times New Roman"/>
            </w:rPr>
            <w:t>(3), 305–311. https://doi.org/10.1002/ana.3000</w:t>
          </w:r>
        </w:p>
        <w:p w14:paraId="4B0298EE" w14:textId="77777777" w:rsidR="00EC7CE1" w:rsidRDefault="00EC7CE1">
          <w:pPr>
            <w:autoSpaceDE w:val="0"/>
            <w:autoSpaceDN w:val="0"/>
            <w:ind w:hanging="480"/>
            <w:divId w:val="281234978"/>
            <w:rPr>
              <w:rFonts w:eastAsia="Times New Roman"/>
            </w:rPr>
          </w:pPr>
          <w:r>
            <w:rPr>
              <w:rFonts w:eastAsia="Times New Roman"/>
            </w:rPr>
            <w:t xml:space="preserve">Reuber, M., </w:t>
          </w:r>
          <w:proofErr w:type="spellStart"/>
          <w:r>
            <w:rPr>
              <w:rFonts w:eastAsia="Times New Roman"/>
            </w:rPr>
            <w:t>Pukrop</w:t>
          </w:r>
          <w:proofErr w:type="spellEnd"/>
          <w:r>
            <w:rPr>
              <w:rFonts w:eastAsia="Times New Roman"/>
            </w:rPr>
            <w:t xml:space="preserve">, R., Mitchell, A. J., Bauer, J., &amp; </w:t>
          </w:r>
          <w:proofErr w:type="spellStart"/>
          <w:r>
            <w:rPr>
              <w:rFonts w:eastAsia="Times New Roman"/>
            </w:rPr>
            <w:t>Elger</w:t>
          </w:r>
          <w:proofErr w:type="spellEnd"/>
          <w:r>
            <w:rPr>
              <w:rFonts w:eastAsia="Times New Roman"/>
            </w:rPr>
            <w:t xml:space="preserve">, C. E. (2003). Clinical significance of recurrent psychogenic nonepileptic seizure status. </w:t>
          </w:r>
          <w:r>
            <w:rPr>
              <w:rFonts w:eastAsia="Times New Roman"/>
              <w:i/>
              <w:iCs/>
            </w:rPr>
            <w:t>Journal of Neurology</w:t>
          </w:r>
          <w:r>
            <w:rPr>
              <w:rFonts w:eastAsia="Times New Roman"/>
            </w:rPr>
            <w:t xml:space="preserve">, </w:t>
          </w:r>
          <w:r>
            <w:rPr>
              <w:rFonts w:eastAsia="Times New Roman"/>
              <w:i/>
              <w:iCs/>
            </w:rPr>
            <w:t>250</w:t>
          </w:r>
          <w:r>
            <w:rPr>
              <w:rFonts w:eastAsia="Times New Roman"/>
            </w:rPr>
            <w:t>(11), 1355–1362. https://doi.org/10.1007/S00415-003-0224-Z</w:t>
          </w:r>
        </w:p>
        <w:p w14:paraId="3DB1B7E1" w14:textId="77777777" w:rsidR="00EC7CE1" w:rsidRDefault="00EC7CE1">
          <w:pPr>
            <w:autoSpaceDE w:val="0"/>
            <w:autoSpaceDN w:val="0"/>
            <w:ind w:hanging="480"/>
            <w:divId w:val="2060740108"/>
            <w:rPr>
              <w:rFonts w:eastAsia="Times New Roman"/>
            </w:rPr>
          </w:pPr>
          <w:r>
            <w:rPr>
              <w:rFonts w:eastAsia="Times New Roman"/>
            </w:rPr>
            <w:t xml:space="preserve">Reuber, M., Roberts, N. A., Levita, L., Gray, C., &amp; Myers, L. (2022). Shame in patients with psychogenic nonepileptic seizure: A narrative review. </w:t>
          </w:r>
          <w:r>
            <w:rPr>
              <w:rFonts w:eastAsia="Times New Roman"/>
              <w:i/>
              <w:iCs/>
            </w:rPr>
            <w:t>Seizure: European Journal of Epilepsy</w:t>
          </w:r>
          <w:r>
            <w:rPr>
              <w:rFonts w:eastAsia="Times New Roman"/>
            </w:rPr>
            <w:t xml:space="preserve">, </w:t>
          </w:r>
          <w:r>
            <w:rPr>
              <w:rFonts w:eastAsia="Times New Roman"/>
              <w:i/>
              <w:iCs/>
            </w:rPr>
            <w:t>94</w:t>
          </w:r>
          <w:r>
            <w:rPr>
              <w:rFonts w:eastAsia="Times New Roman"/>
            </w:rPr>
            <w:t>, 165–175. https://doi.org/10.1016/j.seizure.2021.10.017</w:t>
          </w:r>
        </w:p>
        <w:p w14:paraId="65E80F46" w14:textId="77777777" w:rsidR="00EC7CE1" w:rsidRDefault="00EC7CE1">
          <w:pPr>
            <w:autoSpaceDE w:val="0"/>
            <w:autoSpaceDN w:val="0"/>
            <w:ind w:hanging="480"/>
            <w:divId w:val="200556286"/>
            <w:rPr>
              <w:rFonts w:eastAsia="Times New Roman"/>
            </w:rPr>
          </w:pPr>
          <w:r>
            <w:rPr>
              <w:rFonts w:eastAsia="Times New Roman"/>
            </w:rPr>
            <w:t xml:space="preserve">Ricciardi, L., Demartini, B., </w:t>
          </w:r>
          <w:proofErr w:type="spellStart"/>
          <w:r>
            <w:rPr>
              <w:rFonts w:eastAsia="Times New Roman"/>
            </w:rPr>
            <w:t>Crucianelli</w:t>
          </w:r>
          <w:proofErr w:type="spellEnd"/>
          <w:r>
            <w:rPr>
              <w:rFonts w:eastAsia="Times New Roman"/>
            </w:rPr>
            <w:t xml:space="preserve">, L., </w:t>
          </w:r>
          <w:proofErr w:type="spellStart"/>
          <w:r>
            <w:rPr>
              <w:rFonts w:eastAsia="Times New Roman"/>
            </w:rPr>
            <w:t>Krahé</w:t>
          </w:r>
          <w:proofErr w:type="spellEnd"/>
          <w:r>
            <w:rPr>
              <w:rFonts w:eastAsia="Times New Roman"/>
            </w:rPr>
            <w:t xml:space="preserve">, C., Edwards, M. J., &amp; </w:t>
          </w:r>
          <w:proofErr w:type="spellStart"/>
          <w:r>
            <w:rPr>
              <w:rFonts w:eastAsia="Times New Roman"/>
            </w:rPr>
            <w:t>Fotopoulou</w:t>
          </w:r>
          <w:proofErr w:type="spellEnd"/>
          <w:r>
            <w:rPr>
              <w:rFonts w:eastAsia="Times New Roman"/>
            </w:rPr>
            <w:t xml:space="preserve">, A. (2016). Interoceptive awareness in patients with functional neurological </w:t>
          </w:r>
          <w:r>
            <w:rPr>
              <w:rFonts w:eastAsia="Times New Roman"/>
            </w:rPr>
            <w:lastRenderedPageBreak/>
            <w:t xml:space="preserve">symptoms. </w:t>
          </w:r>
          <w:proofErr w:type="spellStart"/>
          <w:r>
            <w:rPr>
              <w:rFonts w:eastAsia="Times New Roman"/>
              <w:i/>
              <w:iCs/>
            </w:rPr>
            <w:t>Biol</w:t>
          </w:r>
          <w:proofErr w:type="spellEnd"/>
          <w:r>
            <w:rPr>
              <w:rFonts w:eastAsia="Times New Roman"/>
              <w:i/>
              <w:iCs/>
            </w:rPr>
            <w:t xml:space="preserve"> </w:t>
          </w:r>
          <w:proofErr w:type="spellStart"/>
          <w:r>
            <w:rPr>
              <w:rFonts w:eastAsia="Times New Roman"/>
              <w:i/>
              <w:iCs/>
            </w:rPr>
            <w:t>Psychol</w:t>
          </w:r>
          <w:proofErr w:type="spellEnd"/>
          <w:r>
            <w:rPr>
              <w:rFonts w:eastAsia="Times New Roman"/>
            </w:rPr>
            <w:t xml:space="preserve">, </w:t>
          </w:r>
          <w:r>
            <w:rPr>
              <w:rFonts w:eastAsia="Times New Roman"/>
              <w:i/>
              <w:iCs/>
            </w:rPr>
            <w:t>113</w:t>
          </w:r>
          <w:r>
            <w:rPr>
              <w:rFonts w:eastAsia="Times New Roman"/>
            </w:rPr>
            <w:t>, 68–74. https://doi.org/10.1016/j.biopsycho.2015.10.009</w:t>
          </w:r>
        </w:p>
        <w:p w14:paraId="129ED6C9" w14:textId="77777777" w:rsidR="00EC7CE1" w:rsidRDefault="00EC7CE1">
          <w:pPr>
            <w:autoSpaceDE w:val="0"/>
            <w:autoSpaceDN w:val="0"/>
            <w:ind w:hanging="480"/>
            <w:divId w:val="975839799"/>
            <w:rPr>
              <w:rFonts w:eastAsia="Times New Roman"/>
            </w:rPr>
          </w:pPr>
          <w:r>
            <w:rPr>
              <w:rFonts w:eastAsia="Times New Roman"/>
            </w:rPr>
            <w:t xml:space="preserve">Ricciardi, L., Demartini, B., </w:t>
          </w:r>
          <w:proofErr w:type="spellStart"/>
          <w:r>
            <w:rPr>
              <w:rFonts w:eastAsia="Times New Roman"/>
            </w:rPr>
            <w:t>Fotopoulou</w:t>
          </w:r>
          <w:proofErr w:type="spellEnd"/>
          <w:r>
            <w:rPr>
              <w:rFonts w:eastAsia="Times New Roman"/>
            </w:rPr>
            <w:t xml:space="preserve">, A., &amp; Edwards, M. J. (2015). Alexithymia in neurological disease: A review. </w:t>
          </w:r>
          <w:r>
            <w:rPr>
              <w:rFonts w:eastAsia="Times New Roman"/>
              <w:i/>
              <w:iCs/>
            </w:rPr>
            <w:t>Journal of Neuropsychiatry and Clinical Neurosciences</w:t>
          </w:r>
          <w:r>
            <w:rPr>
              <w:rFonts w:eastAsia="Times New Roman"/>
            </w:rPr>
            <w:t xml:space="preserve">, </w:t>
          </w:r>
          <w:r>
            <w:rPr>
              <w:rFonts w:eastAsia="Times New Roman"/>
              <w:i/>
              <w:iCs/>
            </w:rPr>
            <w:t>27</w:t>
          </w:r>
          <w:r>
            <w:rPr>
              <w:rFonts w:eastAsia="Times New Roman"/>
            </w:rPr>
            <w:t>(3), 179–187. https://doi.org/10.1176/APPI.NEUROPSYCH.14070169/SUPPL_FILE/APPI.NEUROPSYCH.14070169.DS001.PDF</w:t>
          </w:r>
        </w:p>
        <w:p w14:paraId="72A29523" w14:textId="77777777" w:rsidR="00EC7CE1" w:rsidRDefault="00EC7CE1">
          <w:pPr>
            <w:autoSpaceDE w:val="0"/>
            <w:autoSpaceDN w:val="0"/>
            <w:ind w:hanging="480"/>
            <w:divId w:val="727461342"/>
            <w:rPr>
              <w:rFonts w:eastAsia="Times New Roman"/>
            </w:rPr>
          </w:pPr>
          <w:r>
            <w:rPr>
              <w:rFonts w:eastAsia="Times New Roman"/>
            </w:rPr>
            <w:t xml:space="preserve">Ricciardi, L., &amp; Edwards, M. J. (2014). Treatment of functional (psychogenic) movement disorders. </w:t>
          </w:r>
          <w:r>
            <w:rPr>
              <w:rFonts w:eastAsia="Times New Roman"/>
              <w:i/>
              <w:iCs/>
            </w:rPr>
            <w:t xml:space="preserve">Neurotherapeutics : The Journal of the American Society for Experimental </w:t>
          </w:r>
          <w:proofErr w:type="spellStart"/>
          <w:r>
            <w:rPr>
              <w:rFonts w:eastAsia="Times New Roman"/>
              <w:i/>
              <w:iCs/>
            </w:rPr>
            <w:t>NeuroTherapeutics</w:t>
          </w:r>
          <w:proofErr w:type="spellEnd"/>
          <w:r>
            <w:rPr>
              <w:rFonts w:eastAsia="Times New Roman"/>
            </w:rPr>
            <w:t xml:space="preserve">, </w:t>
          </w:r>
          <w:r>
            <w:rPr>
              <w:rFonts w:eastAsia="Times New Roman"/>
              <w:i/>
              <w:iCs/>
            </w:rPr>
            <w:t>11</w:t>
          </w:r>
          <w:r>
            <w:rPr>
              <w:rFonts w:eastAsia="Times New Roman"/>
            </w:rPr>
            <w:t>(1), 201–207. https://doi.org/10.1007/S13311-013-0246-X</w:t>
          </w:r>
        </w:p>
        <w:p w14:paraId="624061CA" w14:textId="77777777" w:rsidR="00EC7CE1" w:rsidRDefault="00EC7CE1">
          <w:pPr>
            <w:autoSpaceDE w:val="0"/>
            <w:autoSpaceDN w:val="0"/>
            <w:ind w:hanging="480"/>
            <w:divId w:val="1150905250"/>
            <w:rPr>
              <w:rFonts w:eastAsia="Times New Roman"/>
            </w:rPr>
          </w:pPr>
          <w:r>
            <w:rPr>
              <w:rFonts w:eastAsia="Times New Roman"/>
            </w:rPr>
            <w:t xml:space="preserve">Richardson, M., </w:t>
          </w:r>
          <w:proofErr w:type="spellStart"/>
          <w:r>
            <w:rPr>
              <w:rFonts w:eastAsia="Times New Roman"/>
            </w:rPr>
            <w:t>Isbister</w:t>
          </w:r>
          <w:proofErr w:type="spellEnd"/>
          <w:r>
            <w:rPr>
              <w:rFonts w:eastAsia="Times New Roman"/>
            </w:rPr>
            <w:t xml:space="preserve">, G., &amp; Nicholson, B. (2018). A Novel Treatment Protocol (Nocebo Hypothesis Cognitive Behavioural Therapy; NH-CBT) for Functional Neurological Symptom Disorder/Conversion Disorder: A Retrospective Consecutive Case Series. </w:t>
          </w:r>
          <w:r>
            <w:rPr>
              <w:rFonts w:eastAsia="Times New Roman"/>
              <w:i/>
              <w:iCs/>
            </w:rPr>
            <w:t>Behavioural and Cognitive Psychotherapy</w:t>
          </w:r>
          <w:r>
            <w:rPr>
              <w:rFonts w:eastAsia="Times New Roman"/>
            </w:rPr>
            <w:t xml:space="preserve">, </w:t>
          </w:r>
          <w:r>
            <w:rPr>
              <w:rFonts w:eastAsia="Times New Roman"/>
              <w:i/>
              <w:iCs/>
            </w:rPr>
            <w:t>46</w:t>
          </w:r>
          <w:r>
            <w:rPr>
              <w:rFonts w:eastAsia="Times New Roman"/>
            </w:rPr>
            <w:t>(4), 497–503. https://doi.org/10.1017/S1352465817000832</w:t>
          </w:r>
        </w:p>
        <w:p w14:paraId="5AF468CF" w14:textId="77777777" w:rsidR="00EC7CE1" w:rsidRDefault="00EC7CE1">
          <w:pPr>
            <w:autoSpaceDE w:val="0"/>
            <w:autoSpaceDN w:val="0"/>
            <w:ind w:hanging="480"/>
            <w:divId w:val="1485588323"/>
            <w:rPr>
              <w:rFonts w:eastAsia="Times New Roman"/>
            </w:rPr>
          </w:pPr>
          <w:proofErr w:type="spellStart"/>
          <w:r>
            <w:rPr>
              <w:rFonts w:eastAsia="Times New Roman"/>
            </w:rPr>
            <w:t>Rief</w:t>
          </w:r>
          <w:proofErr w:type="spellEnd"/>
          <w:r>
            <w:rPr>
              <w:rFonts w:eastAsia="Times New Roman"/>
            </w:rPr>
            <w:t xml:space="preserve">, W., &amp; Broadbent, E. (2007). Explaining medically unexplained symptoms-models and mechanisms. </w:t>
          </w:r>
          <w:r>
            <w:rPr>
              <w:rFonts w:eastAsia="Times New Roman"/>
              <w:i/>
              <w:iCs/>
            </w:rPr>
            <w:t xml:space="preserve">Clin </w:t>
          </w:r>
          <w:proofErr w:type="spellStart"/>
          <w:r>
            <w:rPr>
              <w:rFonts w:eastAsia="Times New Roman"/>
              <w:i/>
              <w:iCs/>
            </w:rPr>
            <w:t>Psychol</w:t>
          </w:r>
          <w:proofErr w:type="spellEnd"/>
          <w:r>
            <w:rPr>
              <w:rFonts w:eastAsia="Times New Roman"/>
              <w:i/>
              <w:iCs/>
            </w:rPr>
            <w:t xml:space="preserve"> Rev</w:t>
          </w:r>
          <w:r>
            <w:rPr>
              <w:rFonts w:eastAsia="Times New Roman"/>
            </w:rPr>
            <w:t xml:space="preserve">, </w:t>
          </w:r>
          <w:r>
            <w:rPr>
              <w:rFonts w:eastAsia="Times New Roman"/>
              <w:i/>
              <w:iCs/>
            </w:rPr>
            <w:t>27</w:t>
          </w:r>
          <w:r>
            <w:rPr>
              <w:rFonts w:eastAsia="Times New Roman"/>
            </w:rPr>
            <w:t>(7), 821–841. https://doi.org/10.1016/j.cpr.2007.07.005</w:t>
          </w:r>
        </w:p>
        <w:p w14:paraId="6D65B2A6" w14:textId="77777777" w:rsidR="00EC7CE1" w:rsidRDefault="00EC7CE1">
          <w:pPr>
            <w:autoSpaceDE w:val="0"/>
            <w:autoSpaceDN w:val="0"/>
            <w:ind w:hanging="480"/>
            <w:divId w:val="895900027"/>
            <w:rPr>
              <w:rFonts w:eastAsia="Times New Roman"/>
            </w:rPr>
          </w:pPr>
          <w:proofErr w:type="spellStart"/>
          <w:r>
            <w:rPr>
              <w:rFonts w:eastAsia="Times New Roman"/>
            </w:rPr>
            <w:t>Rief</w:t>
          </w:r>
          <w:proofErr w:type="spellEnd"/>
          <w:r>
            <w:rPr>
              <w:rFonts w:eastAsia="Times New Roman"/>
            </w:rPr>
            <w:t xml:space="preserve">, W., &amp; Martin, A. (2014). How to use the new DSM-5 somatic symptom disorder diagnosis in research and practice: a critical evaluation and a proposal for modifications. </w:t>
          </w:r>
          <w:proofErr w:type="spellStart"/>
          <w:r>
            <w:rPr>
              <w:rFonts w:eastAsia="Times New Roman"/>
              <w:i/>
              <w:iCs/>
            </w:rPr>
            <w:t>Annu</w:t>
          </w:r>
          <w:proofErr w:type="spellEnd"/>
          <w:r>
            <w:rPr>
              <w:rFonts w:eastAsia="Times New Roman"/>
              <w:i/>
              <w:iCs/>
            </w:rPr>
            <w:t xml:space="preserve"> Rev Clin </w:t>
          </w:r>
          <w:proofErr w:type="spellStart"/>
          <w:r>
            <w:rPr>
              <w:rFonts w:eastAsia="Times New Roman"/>
              <w:i/>
              <w:iCs/>
            </w:rPr>
            <w:t>Psychol</w:t>
          </w:r>
          <w:proofErr w:type="spellEnd"/>
          <w:r>
            <w:rPr>
              <w:rFonts w:eastAsia="Times New Roman"/>
            </w:rPr>
            <w:t xml:space="preserve">, </w:t>
          </w:r>
          <w:r>
            <w:rPr>
              <w:rFonts w:eastAsia="Times New Roman"/>
              <w:i/>
              <w:iCs/>
            </w:rPr>
            <w:t>10</w:t>
          </w:r>
          <w:r>
            <w:rPr>
              <w:rFonts w:eastAsia="Times New Roman"/>
            </w:rPr>
            <w:t>, 339–367. https://doi.org/10.1146/annurev-clinpsy-032813-153745</w:t>
          </w:r>
        </w:p>
        <w:p w14:paraId="71838842" w14:textId="77777777" w:rsidR="00EC7CE1" w:rsidRDefault="00EC7CE1">
          <w:pPr>
            <w:autoSpaceDE w:val="0"/>
            <w:autoSpaceDN w:val="0"/>
            <w:ind w:hanging="480"/>
            <w:divId w:val="1890218327"/>
            <w:rPr>
              <w:rFonts w:eastAsia="Times New Roman"/>
            </w:rPr>
          </w:pPr>
          <w:r>
            <w:rPr>
              <w:rFonts w:eastAsia="Times New Roman"/>
            </w:rPr>
            <w:t xml:space="preserve">Roberts, N. A., Burleson, M. H., Weber, D. J., Larson, A., Sergeant, K., Devine, M. J., </w:t>
          </w:r>
          <w:proofErr w:type="spellStart"/>
          <w:r>
            <w:rPr>
              <w:rFonts w:eastAsia="Times New Roman"/>
            </w:rPr>
            <w:t>Vincelette</w:t>
          </w:r>
          <w:proofErr w:type="spellEnd"/>
          <w:r>
            <w:rPr>
              <w:rFonts w:eastAsia="Times New Roman"/>
            </w:rPr>
            <w:t xml:space="preserve">, T. M., &amp; Wang, N. C. (2012). Emotion in psychogenic nonepileptic seizures: responses to affective pictures.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24</w:t>
          </w:r>
          <w:r>
            <w:rPr>
              <w:rFonts w:eastAsia="Times New Roman"/>
            </w:rPr>
            <w:t>(1), 107–115. https://doi.org/10.1016/j.yebeh.2012.03.018</w:t>
          </w:r>
        </w:p>
        <w:p w14:paraId="5E0F32DA" w14:textId="77777777" w:rsidR="00EC7CE1" w:rsidRDefault="00EC7CE1">
          <w:pPr>
            <w:autoSpaceDE w:val="0"/>
            <w:autoSpaceDN w:val="0"/>
            <w:ind w:hanging="480"/>
            <w:divId w:val="1100681474"/>
            <w:rPr>
              <w:rFonts w:eastAsia="Times New Roman"/>
            </w:rPr>
          </w:pPr>
          <w:r>
            <w:rPr>
              <w:rFonts w:eastAsia="Times New Roman"/>
            </w:rPr>
            <w:t xml:space="preserve">Roberts Ph.D., Mary H. Burleson Ph.D., </w:t>
          </w:r>
          <w:proofErr w:type="spellStart"/>
          <w:r>
            <w:rPr>
              <w:rFonts w:eastAsia="Times New Roman"/>
            </w:rPr>
            <w:t>Dhannia</w:t>
          </w:r>
          <w:proofErr w:type="spellEnd"/>
          <w:r>
            <w:rPr>
              <w:rFonts w:eastAsia="Times New Roman"/>
            </w:rPr>
            <w:t xml:space="preserve"> L. Torres Ph.D., David K. Parkhurst M.S., Robin Garrett Psy.D., Lauren B. Mitchell B.A., Cayla J. Duncan M.S., Mallory </w:t>
          </w:r>
          <w:proofErr w:type="spellStart"/>
          <w:r>
            <w:rPr>
              <w:rFonts w:eastAsia="Times New Roman"/>
            </w:rPr>
            <w:t>Mintert</w:t>
          </w:r>
          <w:proofErr w:type="spellEnd"/>
          <w:r>
            <w:rPr>
              <w:rFonts w:eastAsia="Times New Roman"/>
            </w:rPr>
            <w:t xml:space="preserve"> M.S., &amp; Norman C. Wang M.D. (2020). Emotional Reactivity as a Vulnerability for Psychogenic Nonepileptic Seizures? Responses While Reliving Specific Emotions. </w:t>
          </w:r>
          <w:r>
            <w:rPr>
              <w:rFonts w:eastAsia="Times New Roman"/>
              <w:i/>
              <w:iCs/>
            </w:rPr>
            <w:t>The Journal of Neuropsychiatry and Clinical Neurosciences</w:t>
          </w:r>
          <w:r>
            <w:rPr>
              <w:rFonts w:eastAsia="Times New Roman"/>
            </w:rPr>
            <w:t xml:space="preserve">, </w:t>
          </w:r>
          <w:r>
            <w:rPr>
              <w:rFonts w:eastAsia="Times New Roman"/>
              <w:i/>
              <w:iCs/>
            </w:rPr>
            <w:t>32</w:t>
          </w:r>
          <w:r>
            <w:rPr>
              <w:rFonts w:eastAsia="Times New Roman"/>
            </w:rPr>
            <w:t>(1), 95–100. https://doi.org/10.1176/appi.neuropsych.19040084</w:t>
          </w:r>
        </w:p>
        <w:p w14:paraId="081EBE2C" w14:textId="77777777" w:rsidR="00EC7CE1" w:rsidRDefault="00EC7CE1">
          <w:pPr>
            <w:autoSpaceDE w:val="0"/>
            <w:autoSpaceDN w:val="0"/>
            <w:ind w:hanging="480"/>
            <w:divId w:val="184750753"/>
            <w:rPr>
              <w:rFonts w:eastAsia="Times New Roman"/>
            </w:rPr>
          </w:pPr>
          <w:r>
            <w:rPr>
              <w:rFonts w:eastAsia="Times New Roman"/>
            </w:rPr>
            <w:lastRenderedPageBreak/>
            <w:t xml:space="preserve">Robinson, R. (1993). Cost-effectiveness analysis. </w:t>
          </w:r>
          <w:r>
            <w:rPr>
              <w:rFonts w:eastAsia="Times New Roman"/>
              <w:i/>
              <w:iCs/>
            </w:rPr>
            <w:t>British Medical Journal</w:t>
          </w:r>
          <w:r>
            <w:rPr>
              <w:rFonts w:eastAsia="Times New Roman"/>
            </w:rPr>
            <w:t xml:space="preserve">, </w:t>
          </w:r>
          <w:r>
            <w:rPr>
              <w:rFonts w:eastAsia="Times New Roman"/>
              <w:i/>
              <w:iCs/>
            </w:rPr>
            <w:t>307</w:t>
          </w:r>
          <w:r>
            <w:rPr>
              <w:rFonts w:eastAsia="Times New Roman"/>
            </w:rPr>
            <w:t>(6907), 793–795. https://doi.org/10.1136/BMJ.307.6907.793</w:t>
          </w:r>
        </w:p>
        <w:p w14:paraId="1E7263D2" w14:textId="77777777" w:rsidR="00EC7CE1" w:rsidRDefault="00EC7CE1">
          <w:pPr>
            <w:autoSpaceDE w:val="0"/>
            <w:autoSpaceDN w:val="0"/>
            <w:ind w:hanging="480"/>
            <w:divId w:val="670644681"/>
            <w:rPr>
              <w:rFonts w:eastAsia="Times New Roman"/>
            </w:rPr>
          </w:pPr>
          <w:r>
            <w:rPr>
              <w:rFonts w:eastAsia="Times New Roman"/>
            </w:rPr>
            <w:t xml:space="preserve">Robson, C., Myers, L., Pretorius, C., Lian, O. S., &amp; Reuber, M. (2018). Health related quality of life of people with non-epileptic seizures: The role of socio-demographic characteristics and stigma. </w:t>
          </w:r>
          <w:r>
            <w:rPr>
              <w:rFonts w:eastAsia="Times New Roman"/>
              <w:i/>
              <w:iCs/>
            </w:rPr>
            <w:t>Seizure</w:t>
          </w:r>
          <w:r>
            <w:rPr>
              <w:rFonts w:eastAsia="Times New Roman"/>
            </w:rPr>
            <w:t xml:space="preserve">, </w:t>
          </w:r>
          <w:r>
            <w:rPr>
              <w:rFonts w:eastAsia="Times New Roman"/>
              <w:i/>
              <w:iCs/>
            </w:rPr>
            <w:t>55</w:t>
          </w:r>
          <w:r>
            <w:rPr>
              <w:rFonts w:eastAsia="Times New Roman"/>
            </w:rPr>
            <w:t>, 93–99. https://doi.org/10.1016/J.SEIZURE.2018.01.001</w:t>
          </w:r>
        </w:p>
        <w:p w14:paraId="256C2DDB" w14:textId="77777777" w:rsidR="00EC7CE1" w:rsidRDefault="00EC7CE1">
          <w:pPr>
            <w:autoSpaceDE w:val="0"/>
            <w:autoSpaceDN w:val="0"/>
            <w:ind w:hanging="480"/>
            <w:divId w:val="1676302541"/>
            <w:rPr>
              <w:rFonts w:eastAsia="Times New Roman"/>
            </w:rPr>
          </w:pPr>
          <w:proofErr w:type="spellStart"/>
          <w:r>
            <w:rPr>
              <w:rFonts w:eastAsia="Times New Roman"/>
            </w:rPr>
            <w:t>Roelofs</w:t>
          </w:r>
          <w:proofErr w:type="spellEnd"/>
          <w:r>
            <w:rPr>
              <w:rFonts w:eastAsia="Times New Roman"/>
            </w:rPr>
            <w:t xml:space="preserve">, J. J., Teodoro, T., &amp; Edwards, M. J. (2019). Neuroimaging in Functional Movement Disorders. </w:t>
          </w:r>
          <w:r>
            <w:rPr>
              <w:rFonts w:eastAsia="Times New Roman"/>
              <w:i/>
              <w:iCs/>
            </w:rPr>
            <w:t>Current Neurology and Neuroscience Reports</w:t>
          </w:r>
          <w:r>
            <w:rPr>
              <w:rFonts w:eastAsia="Times New Roman"/>
            </w:rPr>
            <w:t xml:space="preserve">, </w:t>
          </w:r>
          <w:r>
            <w:rPr>
              <w:rFonts w:eastAsia="Times New Roman"/>
              <w:i/>
              <w:iCs/>
            </w:rPr>
            <w:t>19</w:t>
          </w:r>
          <w:r>
            <w:rPr>
              <w:rFonts w:eastAsia="Times New Roman"/>
            </w:rPr>
            <w:t>(3), 12. https://doi.org/10.1007/s11910-019-0926-y</w:t>
          </w:r>
        </w:p>
        <w:p w14:paraId="4227F7BC" w14:textId="77777777" w:rsidR="00EC7CE1" w:rsidRDefault="00EC7CE1">
          <w:pPr>
            <w:autoSpaceDE w:val="0"/>
            <w:autoSpaceDN w:val="0"/>
            <w:ind w:hanging="480"/>
            <w:divId w:val="1275166189"/>
            <w:rPr>
              <w:rFonts w:eastAsia="Times New Roman"/>
            </w:rPr>
          </w:pPr>
          <w:proofErr w:type="spellStart"/>
          <w:r>
            <w:rPr>
              <w:rFonts w:eastAsia="Times New Roman"/>
            </w:rPr>
            <w:t>Roelofs</w:t>
          </w:r>
          <w:proofErr w:type="spellEnd"/>
          <w:r>
            <w:rPr>
              <w:rFonts w:eastAsia="Times New Roman"/>
            </w:rPr>
            <w:t xml:space="preserve">, K., &amp; </w:t>
          </w:r>
          <w:proofErr w:type="spellStart"/>
          <w:r>
            <w:rPr>
              <w:rFonts w:eastAsia="Times New Roman"/>
            </w:rPr>
            <w:t>Pasman</w:t>
          </w:r>
          <w:proofErr w:type="spellEnd"/>
          <w:r>
            <w:rPr>
              <w:rFonts w:eastAsia="Times New Roman"/>
            </w:rPr>
            <w:t xml:space="preserve">, J. (2016). Stress, childhood trauma, and cognitive functions in functional neurologic disorders. </w:t>
          </w:r>
          <w:proofErr w:type="spellStart"/>
          <w:r>
            <w:rPr>
              <w:rFonts w:eastAsia="Times New Roman"/>
              <w:i/>
              <w:iCs/>
            </w:rPr>
            <w:t>Handb</w:t>
          </w:r>
          <w:proofErr w:type="spellEnd"/>
          <w:r>
            <w:rPr>
              <w:rFonts w:eastAsia="Times New Roman"/>
              <w:i/>
              <w:iCs/>
            </w:rPr>
            <w:t xml:space="preserve"> Clin </w:t>
          </w:r>
          <w:proofErr w:type="spellStart"/>
          <w:r>
            <w:rPr>
              <w:rFonts w:eastAsia="Times New Roman"/>
              <w:i/>
              <w:iCs/>
            </w:rPr>
            <w:t>Neurol</w:t>
          </w:r>
          <w:proofErr w:type="spellEnd"/>
          <w:r>
            <w:rPr>
              <w:rFonts w:eastAsia="Times New Roman"/>
            </w:rPr>
            <w:t xml:space="preserve">, </w:t>
          </w:r>
          <w:r>
            <w:rPr>
              <w:rFonts w:eastAsia="Times New Roman"/>
              <w:i/>
              <w:iCs/>
            </w:rPr>
            <w:t>139</w:t>
          </w:r>
          <w:r>
            <w:rPr>
              <w:rFonts w:eastAsia="Times New Roman"/>
            </w:rPr>
            <w:t>, 139–155. https://doi.org/10.1016/b978-0-12-801772-2.00013-8</w:t>
          </w:r>
        </w:p>
        <w:p w14:paraId="1257C496" w14:textId="77777777" w:rsidR="00EC7CE1" w:rsidRDefault="00EC7CE1">
          <w:pPr>
            <w:autoSpaceDE w:val="0"/>
            <w:autoSpaceDN w:val="0"/>
            <w:ind w:hanging="480"/>
            <w:divId w:val="765882328"/>
            <w:rPr>
              <w:rFonts w:eastAsia="Times New Roman"/>
            </w:rPr>
          </w:pPr>
          <w:proofErr w:type="spellStart"/>
          <w:r>
            <w:rPr>
              <w:rFonts w:eastAsia="Times New Roman"/>
            </w:rPr>
            <w:t>Rommelfanger</w:t>
          </w:r>
          <w:proofErr w:type="spellEnd"/>
          <w:r>
            <w:rPr>
              <w:rFonts w:eastAsia="Times New Roman"/>
            </w:rPr>
            <w:t xml:space="preserve">, K. S., Factor, S. A., LaRoche, S., Rosen, P., Young, R., &amp; Rapaport, M. H. (2017). Disentangling stigma from functional neurological disorders: Conference report and roadmap for the future. </w:t>
          </w:r>
          <w:r>
            <w:rPr>
              <w:rFonts w:eastAsia="Times New Roman"/>
              <w:i/>
              <w:iCs/>
            </w:rPr>
            <w:t>Frontiers in Neurology</w:t>
          </w:r>
          <w:r>
            <w:rPr>
              <w:rFonts w:eastAsia="Times New Roman"/>
            </w:rPr>
            <w:t xml:space="preserve">, </w:t>
          </w:r>
          <w:r>
            <w:rPr>
              <w:rFonts w:eastAsia="Times New Roman"/>
              <w:i/>
              <w:iCs/>
            </w:rPr>
            <w:t>8</w:t>
          </w:r>
          <w:r>
            <w:rPr>
              <w:rFonts w:eastAsia="Times New Roman"/>
            </w:rPr>
            <w:t>(MAR), 106. https://doi.org/10.3389/FNEUR.2017.00106/BIBTEX</w:t>
          </w:r>
        </w:p>
        <w:p w14:paraId="4C1D6770" w14:textId="77777777" w:rsidR="00EC7CE1" w:rsidRDefault="00EC7CE1">
          <w:pPr>
            <w:autoSpaceDE w:val="0"/>
            <w:autoSpaceDN w:val="0"/>
            <w:ind w:hanging="480"/>
            <w:divId w:val="1731657919"/>
            <w:rPr>
              <w:rFonts w:eastAsia="Times New Roman"/>
            </w:rPr>
          </w:pPr>
          <w:r>
            <w:rPr>
              <w:rFonts w:eastAsia="Times New Roman"/>
            </w:rPr>
            <w:t xml:space="preserve">Rothschild, Babette. (2000). </w:t>
          </w:r>
          <w:r>
            <w:rPr>
              <w:rFonts w:eastAsia="Times New Roman"/>
              <w:i/>
              <w:iCs/>
            </w:rPr>
            <w:t>The body remembers</w:t>
          </w:r>
          <w:r>
            <w:rPr>
              <w:rFonts w:eastAsia="Times New Roman"/>
            </w:rPr>
            <w:t>.</w:t>
          </w:r>
        </w:p>
        <w:p w14:paraId="1F160F54" w14:textId="77777777" w:rsidR="00EC7CE1" w:rsidRDefault="00EC7CE1">
          <w:pPr>
            <w:autoSpaceDE w:val="0"/>
            <w:autoSpaceDN w:val="0"/>
            <w:ind w:hanging="480"/>
            <w:divId w:val="372194072"/>
            <w:rPr>
              <w:rFonts w:eastAsia="Times New Roman"/>
            </w:rPr>
          </w:pPr>
          <w:r>
            <w:rPr>
              <w:rFonts w:eastAsia="Times New Roman"/>
            </w:rPr>
            <w:t xml:space="preserve">Royal College of Emergency Medicine. (2017). </w:t>
          </w:r>
          <w:r>
            <w:rPr>
              <w:rFonts w:eastAsia="Times New Roman"/>
              <w:i/>
              <w:iCs/>
            </w:rPr>
            <w:t>Frequent Attenders in the Emergency Department.</w:t>
          </w:r>
          <w:r>
            <w:rPr>
              <w:rFonts w:eastAsia="Times New Roman"/>
            </w:rPr>
            <w:t xml:space="preserve"> https://rcem.ac.uk/wp-content/uploads/2021/10/Frequent_Attenders_in_the_ED_Aug2017.pdf</w:t>
          </w:r>
        </w:p>
        <w:p w14:paraId="2C56C29D" w14:textId="77777777" w:rsidR="00EC7CE1" w:rsidRDefault="00EC7CE1">
          <w:pPr>
            <w:autoSpaceDE w:val="0"/>
            <w:autoSpaceDN w:val="0"/>
            <w:ind w:hanging="480"/>
            <w:divId w:val="369035995"/>
            <w:rPr>
              <w:rFonts w:eastAsia="Times New Roman"/>
            </w:rPr>
          </w:pPr>
          <w:r>
            <w:rPr>
              <w:rFonts w:eastAsia="Times New Roman"/>
            </w:rPr>
            <w:t xml:space="preserve">RStudio Team. (2019). </w:t>
          </w:r>
          <w:r>
            <w:rPr>
              <w:rFonts w:eastAsia="Times New Roman"/>
              <w:i/>
              <w:iCs/>
            </w:rPr>
            <w:t>RStudio: Integrated Development for R</w:t>
          </w:r>
          <w:r>
            <w:rPr>
              <w:rFonts w:eastAsia="Times New Roman"/>
            </w:rPr>
            <w:t xml:space="preserve"> (3.6). RStudio, Inc. http://www.rstudio.com/</w:t>
          </w:r>
        </w:p>
        <w:p w14:paraId="1774C440" w14:textId="77777777" w:rsidR="00EC7CE1" w:rsidRDefault="00EC7CE1">
          <w:pPr>
            <w:autoSpaceDE w:val="0"/>
            <w:autoSpaceDN w:val="0"/>
            <w:ind w:hanging="480"/>
            <w:divId w:val="63308812"/>
            <w:rPr>
              <w:rFonts w:eastAsia="Times New Roman"/>
            </w:rPr>
          </w:pPr>
          <w:r>
            <w:rPr>
              <w:rFonts w:eastAsia="Times New Roman"/>
            </w:rPr>
            <w:t xml:space="preserve">Rubin, D. B. (2009). </w:t>
          </w:r>
          <w:r>
            <w:rPr>
              <w:rFonts w:eastAsia="Times New Roman"/>
              <w:i/>
              <w:iCs/>
            </w:rPr>
            <w:t>Multiple Imputation for Nonresponse in Surveys</w:t>
          </w:r>
          <w:r>
            <w:rPr>
              <w:rFonts w:eastAsia="Times New Roman"/>
            </w:rPr>
            <w:t>. Wiley.</w:t>
          </w:r>
        </w:p>
        <w:p w14:paraId="75997C1A" w14:textId="77777777" w:rsidR="00EC7CE1" w:rsidRDefault="00EC7CE1">
          <w:pPr>
            <w:autoSpaceDE w:val="0"/>
            <w:autoSpaceDN w:val="0"/>
            <w:ind w:hanging="480"/>
            <w:divId w:val="1251233315"/>
            <w:rPr>
              <w:rFonts w:eastAsia="Times New Roman"/>
            </w:rPr>
          </w:pPr>
          <w:r>
            <w:rPr>
              <w:rFonts w:eastAsia="Times New Roman"/>
            </w:rPr>
            <w:t xml:space="preserve">Rueda, A. D., Lau, K. M., Saito, N., Harvey, D., </w:t>
          </w:r>
          <w:proofErr w:type="spellStart"/>
          <w:r>
            <w:rPr>
              <w:rFonts w:eastAsia="Times New Roman"/>
            </w:rPr>
            <w:t>Risacher</w:t>
          </w:r>
          <w:proofErr w:type="spellEnd"/>
          <w:r>
            <w:rPr>
              <w:rFonts w:eastAsia="Times New Roman"/>
            </w:rPr>
            <w:t xml:space="preserve">, S. L., </w:t>
          </w:r>
          <w:proofErr w:type="spellStart"/>
          <w:r>
            <w:rPr>
              <w:rFonts w:eastAsia="Times New Roman"/>
            </w:rPr>
            <w:t>Aisen</w:t>
          </w:r>
          <w:proofErr w:type="spellEnd"/>
          <w:r>
            <w:rPr>
              <w:rFonts w:eastAsia="Times New Roman"/>
            </w:rPr>
            <w:t xml:space="preserve">, P. S., Petersen, R. C., </w:t>
          </w:r>
          <w:proofErr w:type="spellStart"/>
          <w:r>
            <w:rPr>
              <w:rFonts w:eastAsia="Times New Roman"/>
            </w:rPr>
            <w:t>Saykin</w:t>
          </w:r>
          <w:proofErr w:type="spellEnd"/>
          <w:r>
            <w:rPr>
              <w:rFonts w:eastAsia="Times New Roman"/>
            </w:rPr>
            <w:t xml:space="preserve">, A. J., &amp; Farias, S. T. (2015). Self-rated and informant-rated everyday function in comparison to objective markers of Alzheimer’s disease. </w:t>
          </w:r>
          <w:proofErr w:type="spellStart"/>
          <w:r>
            <w:rPr>
              <w:rFonts w:eastAsia="Times New Roman"/>
              <w:i/>
              <w:iCs/>
            </w:rPr>
            <w:t>Alzheimers</w:t>
          </w:r>
          <w:proofErr w:type="spellEnd"/>
          <w:r>
            <w:rPr>
              <w:rFonts w:eastAsia="Times New Roman"/>
              <w:i/>
              <w:iCs/>
            </w:rPr>
            <w:t xml:space="preserve"> Dement</w:t>
          </w:r>
          <w:r>
            <w:rPr>
              <w:rFonts w:eastAsia="Times New Roman"/>
            </w:rPr>
            <w:t xml:space="preserve">, </w:t>
          </w:r>
          <w:r>
            <w:rPr>
              <w:rFonts w:eastAsia="Times New Roman"/>
              <w:i/>
              <w:iCs/>
            </w:rPr>
            <w:t>11</w:t>
          </w:r>
          <w:r>
            <w:rPr>
              <w:rFonts w:eastAsia="Times New Roman"/>
            </w:rPr>
            <w:t>(9), 1080–1089. https://doi.org/10.1016/j.jalz.2014.09.002</w:t>
          </w:r>
        </w:p>
        <w:p w14:paraId="1C3ADBC5" w14:textId="77777777" w:rsidR="00EC7CE1" w:rsidRDefault="00EC7CE1">
          <w:pPr>
            <w:autoSpaceDE w:val="0"/>
            <w:autoSpaceDN w:val="0"/>
            <w:ind w:hanging="480"/>
            <w:divId w:val="696851873"/>
            <w:rPr>
              <w:rFonts w:eastAsia="Times New Roman"/>
            </w:rPr>
          </w:pPr>
          <w:r>
            <w:rPr>
              <w:rFonts w:eastAsia="Times New Roman"/>
            </w:rPr>
            <w:t xml:space="preserve">Russell, L., Butler, L., Lovegrove, C., Owens, C., Roberts, L., Yates, P., Carrick, R., Amoako, A., &amp; Price, C. (2022). Developing a multidisciplinary pathway for functional neurological disorders in a UK National Health Service: The Exeter model. </w:t>
          </w:r>
          <w:r>
            <w:rPr>
              <w:rFonts w:eastAsia="Times New Roman"/>
              <w:i/>
              <w:iCs/>
            </w:rPr>
            <w:t>Advances in Clinical Neuroscience &amp; Rehabilitation</w:t>
          </w:r>
          <w:r>
            <w:rPr>
              <w:rFonts w:eastAsia="Times New Roman"/>
            </w:rPr>
            <w:t>. https://doi.org/10.47795/KAZJ3546</w:t>
          </w:r>
        </w:p>
        <w:p w14:paraId="190DE4D1" w14:textId="77777777" w:rsidR="00EC7CE1" w:rsidRDefault="00EC7CE1">
          <w:pPr>
            <w:autoSpaceDE w:val="0"/>
            <w:autoSpaceDN w:val="0"/>
            <w:ind w:hanging="480"/>
            <w:divId w:val="1049643391"/>
            <w:rPr>
              <w:rFonts w:eastAsia="Times New Roman"/>
            </w:rPr>
          </w:pPr>
          <w:r>
            <w:rPr>
              <w:rFonts w:eastAsia="Times New Roman"/>
            </w:rPr>
            <w:t xml:space="preserve">Saini, P., McIntyre, J., Corcoran, R., </w:t>
          </w:r>
          <w:proofErr w:type="spellStart"/>
          <w:r>
            <w:rPr>
              <w:rFonts w:eastAsia="Times New Roman"/>
            </w:rPr>
            <w:t>Daras</w:t>
          </w:r>
          <w:proofErr w:type="spellEnd"/>
          <w:r>
            <w:rPr>
              <w:rFonts w:eastAsia="Times New Roman"/>
            </w:rPr>
            <w:t xml:space="preserve">, K., </w:t>
          </w:r>
          <w:proofErr w:type="spellStart"/>
          <w:r>
            <w:rPr>
              <w:rFonts w:eastAsia="Times New Roman"/>
            </w:rPr>
            <w:t>Giebel</w:t>
          </w:r>
          <w:proofErr w:type="spellEnd"/>
          <w:r>
            <w:rPr>
              <w:rFonts w:eastAsia="Times New Roman"/>
            </w:rPr>
            <w:t xml:space="preserve">, C., Fuller, E., Shelton, J., Wilson, T., Comerford, T., Nathan, R., &amp; </w:t>
          </w:r>
          <w:proofErr w:type="spellStart"/>
          <w:r>
            <w:rPr>
              <w:rFonts w:eastAsia="Times New Roman"/>
            </w:rPr>
            <w:t>Gabbay</w:t>
          </w:r>
          <w:proofErr w:type="spellEnd"/>
          <w:r>
            <w:rPr>
              <w:rFonts w:eastAsia="Times New Roman"/>
            </w:rPr>
            <w:t xml:space="preserve">, M. (2020). Predictors of </w:t>
          </w:r>
          <w:r>
            <w:rPr>
              <w:rFonts w:eastAsia="Times New Roman"/>
            </w:rPr>
            <w:lastRenderedPageBreak/>
            <w:t xml:space="preserve">emergency department and GP use among patients with mental health conditions: a public health survey. </w:t>
          </w:r>
          <w:r>
            <w:rPr>
              <w:rFonts w:eastAsia="Times New Roman"/>
              <w:i/>
              <w:iCs/>
            </w:rPr>
            <w:t>The British Journal of General Practice</w:t>
          </w:r>
          <w:r>
            <w:rPr>
              <w:rFonts w:eastAsia="Times New Roman"/>
            </w:rPr>
            <w:t xml:space="preserve">, </w:t>
          </w:r>
          <w:r>
            <w:rPr>
              <w:rFonts w:eastAsia="Times New Roman"/>
              <w:i/>
              <w:iCs/>
            </w:rPr>
            <w:t>70</w:t>
          </w:r>
          <w:r>
            <w:rPr>
              <w:rFonts w:eastAsia="Times New Roman"/>
            </w:rPr>
            <w:t>(690), e1. https://doi.org/10.3399/BJGP19X707093</w:t>
          </w:r>
        </w:p>
        <w:p w14:paraId="450FEE02" w14:textId="77777777" w:rsidR="00EC7CE1" w:rsidRDefault="00EC7CE1">
          <w:pPr>
            <w:autoSpaceDE w:val="0"/>
            <w:autoSpaceDN w:val="0"/>
            <w:ind w:hanging="480"/>
            <w:divId w:val="983043183"/>
            <w:rPr>
              <w:rFonts w:eastAsia="Times New Roman"/>
            </w:rPr>
          </w:pPr>
          <w:r>
            <w:rPr>
              <w:rFonts w:eastAsia="Times New Roman"/>
            </w:rPr>
            <w:t>Salters-</w:t>
          </w:r>
          <w:proofErr w:type="spellStart"/>
          <w:r>
            <w:rPr>
              <w:rFonts w:eastAsia="Times New Roman"/>
            </w:rPr>
            <w:t>Pedneault</w:t>
          </w:r>
          <w:proofErr w:type="spellEnd"/>
          <w:r>
            <w:rPr>
              <w:rFonts w:eastAsia="Times New Roman"/>
            </w:rPr>
            <w:t xml:space="preserve">, K., Roemer, L., </w:t>
          </w:r>
          <w:proofErr w:type="spellStart"/>
          <w:r>
            <w:rPr>
              <w:rFonts w:eastAsia="Times New Roman"/>
            </w:rPr>
            <w:t>Tull</w:t>
          </w:r>
          <w:proofErr w:type="spellEnd"/>
          <w:r>
            <w:rPr>
              <w:rFonts w:eastAsia="Times New Roman"/>
            </w:rPr>
            <w:t xml:space="preserve">, M. T., Rucker, L., &amp; </w:t>
          </w:r>
          <w:proofErr w:type="spellStart"/>
          <w:r>
            <w:rPr>
              <w:rFonts w:eastAsia="Times New Roman"/>
            </w:rPr>
            <w:t>Mennin</w:t>
          </w:r>
          <w:proofErr w:type="spellEnd"/>
          <w:r>
            <w:rPr>
              <w:rFonts w:eastAsia="Times New Roman"/>
            </w:rPr>
            <w:t xml:space="preserve">, D. S. (2006). Evidence of Broad Deficits in Emotion Regulation Associated with Chronic Worry and Generalized Anxiety Disorder. </w:t>
          </w:r>
          <w:r>
            <w:rPr>
              <w:rFonts w:eastAsia="Times New Roman"/>
              <w:i/>
              <w:iCs/>
            </w:rPr>
            <w:t>Cognitive Therapy and Research</w:t>
          </w:r>
          <w:r>
            <w:rPr>
              <w:rFonts w:eastAsia="Times New Roman"/>
            </w:rPr>
            <w:t xml:space="preserve">, </w:t>
          </w:r>
          <w:r>
            <w:rPr>
              <w:rFonts w:eastAsia="Times New Roman"/>
              <w:i/>
              <w:iCs/>
            </w:rPr>
            <w:t>30</w:t>
          </w:r>
          <w:r>
            <w:rPr>
              <w:rFonts w:eastAsia="Times New Roman"/>
            </w:rPr>
            <w:t>(4), 469–480. https://doi.org/10.1007/s10608-006-9055-4</w:t>
          </w:r>
        </w:p>
        <w:p w14:paraId="0F2A9287" w14:textId="77777777" w:rsidR="00EC7CE1" w:rsidRDefault="00EC7CE1">
          <w:pPr>
            <w:autoSpaceDE w:val="0"/>
            <w:autoSpaceDN w:val="0"/>
            <w:ind w:hanging="480"/>
            <w:divId w:val="30493578"/>
            <w:rPr>
              <w:rFonts w:eastAsia="Times New Roman"/>
            </w:rPr>
          </w:pPr>
          <w:proofErr w:type="spellStart"/>
          <w:r>
            <w:rPr>
              <w:rFonts w:eastAsia="Times New Roman"/>
            </w:rPr>
            <w:t>Şar</w:t>
          </w:r>
          <w:proofErr w:type="spellEnd"/>
          <w:r>
            <w:rPr>
              <w:rFonts w:eastAsia="Times New Roman"/>
            </w:rPr>
            <w:t xml:space="preserve">, V., </w:t>
          </w:r>
          <w:proofErr w:type="spellStart"/>
          <w:r>
            <w:rPr>
              <w:rFonts w:eastAsia="Times New Roman"/>
            </w:rPr>
            <w:t>Akyüz</w:t>
          </w:r>
          <w:proofErr w:type="spellEnd"/>
          <w:r>
            <w:rPr>
              <w:rFonts w:eastAsia="Times New Roman"/>
            </w:rPr>
            <w:t xml:space="preserve">, G., </w:t>
          </w:r>
          <w:proofErr w:type="spellStart"/>
          <w:r>
            <w:rPr>
              <w:rFonts w:eastAsia="Times New Roman"/>
            </w:rPr>
            <w:t>Kundakçı</w:t>
          </w:r>
          <w:proofErr w:type="spellEnd"/>
          <w:r>
            <w:rPr>
              <w:rFonts w:eastAsia="Times New Roman"/>
            </w:rPr>
            <w:t xml:space="preserve">, T., </w:t>
          </w:r>
          <w:proofErr w:type="spellStart"/>
          <w:r>
            <w:rPr>
              <w:rFonts w:eastAsia="Times New Roman"/>
            </w:rPr>
            <w:t>Kızıltan</w:t>
          </w:r>
          <w:proofErr w:type="spellEnd"/>
          <w:r>
            <w:rPr>
              <w:rFonts w:eastAsia="Times New Roman"/>
            </w:rPr>
            <w:t xml:space="preserve">, E., &amp; </w:t>
          </w:r>
          <w:proofErr w:type="spellStart"/>
          <w:r>
            <w:rPr>
              <w:rFonts w:eastAsia="Times New Roman"/>
            </w:rPr>
            <w:t>Doğan</w:t>
          </w:r>
          <w:proofErr w:type="spellEnd"/>
          <w:r>
            <w:rPr>
              <w:rFonts w:eastAsia="Times New Roman"/>
            </w:rPr>
            <w:t xml:space="preserve">, O. (2004). Childhood Trauma, Dissociation, and Psychiatric Comorbidity in Patients With Conversion Disorder. </w:t>
          </w:r>
          <w:r>
            <w:rPr>
              <w:rFonts w:eastAsia="Times New Roman"/>
              <w:i/>
              <w:iCs/>
            </w:rPr>
            <w:t>American Journal of Psychiatry</w:t>
          </w:r>
          <w:r>
            <w:rPr>
              <w:rFonts w:eastAsia="Times New Roman"/>
            </w:rPr>
            <w:t xml:space="preserve">, </w:t>
          </w:r>
          <w:r>
            <w:rPr>
              <w:rFonts w:eastAsia="Times New Roman"/>
              <w:i/>
              <w:iCs/>
            </w:rPr>
            <w:t>161</w:t>
          </w:r>
          <w:r>
            <w:rPr>
              <w:rFonts w:eastAsia="Times New Roman"/>
            </w:rPr>
            <w:t>(12), 2271–2276. https://doi.org/10.1176/ajp.161.12.2271</w:t>
          </w:r>
        </w:p>
        <w:p w14:paraId="6F4409AD" w14:textId="77777777" w:rsidR="00EC7CE1" w:rsidRDefault="00EC7CE1">
          <w:pPr>
            <w:autoSpaceDE w:val="0"/>
            <w:autoSpaceDN w:val="0"/>
            <w:ind w:hanging="480"/>
            <w:divId w:val="472136980"/>
            <w:rPr>
              <w:rFonts w:eastAsia="Times New Roman"/>
            </w:rPr>
          </w:pPr>
          <w:r>
            <w:rPr>
              <w:rFonts w:eastAsia="Times New Roman"/>
            </w:rPr>
            <w:t xml:space="preserve">Sarah Purdy, A. (2010). </w:t>
          </w:r>
          <w:r>
            <w:rPr>
              <w:rFonts w:eastAsia="Times New Roman"/>
              <w:i/>
              <w:iCs/>
            </w:rPr>
            <w:t>Avoiding hospital admissions: What does the research evidence say? The King’s Fund, December 2010</w:t>
          </w:r>
          <w:r>
            <w:rPr>
              <w:rFonts w:eastAsia="Times New Roman"/>
            </w:rPr>
            <w:t>. 1–28. https://www.kingsfund.org.uk/publications/avoiding-hospital-admissions</w:t>
          </w:r>
        </w:p>
        <w:p w14:paraId="20341A60" w14:textId="77777777" w:rsidR="00EC7CE1" w:rsidRDefault="00EC7CE1">
          <w:pPr>
            <w:autoSpaceDE w:val="0"/>
            <w:autoSpaceDN w:val="0"/>
            <w:ind w:hanging="480"/>
            <w:divId w:val="1180893392"/>
            <w:rPr>
              <w:rFonts w:eastAsia="Times New Roman"/>
            </w:rPr>
          </w:pPr>
          <w:r>
            <w:rPr>
              <w:rFonts w:eastAsia="Times New Roman"/>
            </w:rPr>
            <w:t xml:space="preserve">Sarfraz, N., &amp; Ijaz, T. (2014). Development of conversion disorder scale for children. </w:t>
          </w:r>
          <w:r>
            <w:rPr>
              <w:rFonts w:eastAsia="Times New Roman"/>
              <w:i/>
              <w:iCs/>
            </w:rPr>
            <w:t>Journal of Behavioural Sciences</w:t>
          </w:r>
          <w:r>
            <w:rPr>
              <w:rFonts w:eastAsia="Times New Roman"/>
            </w:rPr>
            <w:t xml:space="preserve">, </w:t>
          </w:r>
          <w:r>
            <w:rPr>
              <w:rFonts w:eastAsia="Times New Roman"/>
              <w:i/>
              <w:iCs/>
            </w:rPr>
            <w:t>24</w:t>
          </w:r>
          <w:r>
            <w:rPr>
              <w:rFonts w:eastAsia="Times New Roman"/>
            </w:rPr>
            <w:t>, 12.</w:t>
          </w:r>
        </w:p>
        <w:p w14:paraId="09E49757" w14:textId="77777777" w:rsidR="00EC7CE1" w:rsidRDefault="00EC7CE1">
          <w:pPr>
            <w:autoSpaceDE w:val="0"/>
            <w:autoSpaceDN w:val="0"/>
            <w:ind w:hanging="480"/>
            <w:divId w:val="917598202"/>
            <w:rPr>
              <w:rFonts w:eastAsia="Times New Roman"/>
            </w:rPr>
          </w:pPr>
          <w:proofErr w:type="spellStart"/>
          <w:r>
            <w:rPr>
              <w:rFonts w:eastAsia="Times New Roman"/>
            </w:rPr>
            <w:t>Scantlebury</w:t>
          </w:r>
          <w:proofErr w:type="spellEnd"/>
          <w:r>
            <w:rPr>
              <w:rFonts w:eastAsia="Times New Roman"/>
            </w:rPr>
            <w:t xml:space="preserve">, R., </w:t>
          </w:r>
          <w:proofErr w:type="spellStart"/>
          <w:r>
            <w:rPr>
              <w:rFonts w:eastAsia="Times New Roman"/>
            </w:rPr>
            <w:t>Durbaba</w:t>
          </w:r>
          <w:proofErr w:type="spellEnd"/>
          <w:r>
            <w:rPr>
              <w:rFonts w:eastAsia="Times New Roman"/>
            </w:rPr>
            <w:t xml:space="preserve">, S., Sidhu, K., Ashworth, M., Rowlands, G., &amp; Schofield, P. (2015). Socioeconomic deprivation and accident and emergency attendances: cross-sectional analysis of general practices in England. </w:t>
          </w:r>
          <w:r>
            <w:rPr>
              <w:rFonts w:eastAsia="Times New Roman"/>
              <w:i/>
              <w:iCs/>
            </w:rPr>
            <w:t>The British Journal of General Practice</w:t>
          </w:r>
          <w:r>
            <w:rPr>
              <w:rFonts w:eastAsia="Times New Roman"/>
            </w:rPr>
            <w:t xml:space="preserve">, </w:t>
          </w:r>
          <w:r>
            <w:rPr>
              <w:rFonts w:eastAsia="Times New Roman"/>
              <w:i/>
              <w:iCs/>
            </w:rPr>
            <w:t>65</w:t>
          </w:r>
          <w:r>
            <w:rPr>
              <w:rFonts w:eastAsia="Times New Roman"/>
            </w:rPr>
            <w:t>(639), e649. https://doi.org/10.3399/BJGP15X686893</w:t>
          </w:r>
        </w:p>
        <w:p w14:paraId="218E9C81" w14:textId="77777777" w:rsidR="00EC7CE1" w:rsidRDefault="00EC7CE1">
          <w:pPr>
            <w:autoSpaceDE w:val="0"/>
            <w:autoSpaceDN w:val="0"/>
            <w:ind w:hanging="480"/>
            <w:divId w:val="1986396806"/>
            <w:rPr>
              <w:rFonts w:eastAsia="Times New Roman"/>
            </w:rPr>
          </w:pPr>
          <w:r>
            <w:rPr>
              <w:rFonts w:eastAsia="Times New Roman"/>
            </w:rPr>
            <w:t xml:space="preserve">Schaefer, M., </w:t>
          </w:r>
          <w:proofErr w:type="spellStart"/>
          <w:r>
            <w:rPr>
              <w:rFonts w:eastAsia="Times New Roman"/>
            </w:rPr>
            <w:t>Egloff</w:t>
          </w:r>
          <w:proofErr w:type="spellEnd"/>
          <w:r>
            <w:rPr>
              <w:rFonts w:eastAsia="Times New Roman"/>
            </w:rPr>
            <w:t xml:space="preserve">, B., Gerlach, A. L., &amp; </w:t>
          </w:r>
          <w:proofErr w:type="spellStart"/>
          <w:r>
            <w:rPr>
              <w:rFonts w:eastAsia="Times New Roman"/>
            </w:rPr>
            <w:t>Witthöft</w:t>
          </w:r>
          <w:proofErr w:type="spellEnd"/>
          <w:r>
            <w:rPr>
              <w:rFonts w:eastAsia="Times New Roman"/>
            </w:rPr>
            <w:t xml:space="preserve">, M. (2014). Improving heartbeat perception in patients with medically unexplained symptoms reduces symptom distress. </w:t>
          </w:r>
          <w:r>
            <w:rPr>
              <w:rFonts w:eastAsia="Times New Roman"/>
              <w:i/>
              <w:iCs/>
            </w:rPr>
            <w:t>Biological Psychology</w:t>
          </w:r>
          <w:r>
            <w:rPr>
              <w:rFonts w:eastAsia="Times New Roman"/>
            </w:rPr>
            <w:t xml:space="preserve">, </w:t>
          </w:r>
          <w:r>
            <w:rPr>
              <w:rFonts w:eastAsia="Times New Roman"/>
              <w:i/>
              <w:iCs/>
            </w:rPr>
            <w:t>101</w:t>
          </w:r>
          <w:r>
            <w:rPr>
              <w:rFonts w:eastAsia="Times New Roman"/>
            </w:rPr>
            <w:t>, 69–76. https://doi.org/https://doi.org/10.1016/j.biopsycho.2014.05.012</w:t>
          </w:r>
        </w:p>
        <w:p w14:paraId="7716C7AB" w14:textId="77777777" w:rsidR="00EC7CE1" w:rsidRDefault="00EC7CE1">
          <w:pPr>
            <w:autoSpaceDE w:val="0"/>
            <w:autoSpaceDN w:val="0"/>
            <w:ind w:hanging="480"/>
            <w:divId w:val="1564019956"/>
            <w:rPr>
              <w:rFonts w:eastAsia="Times New Roman"/>
            </w:rPr>
          </w:pPr>
          <w:r>
            <w:rPr>
              <w:rFonts w:eastAsia="Times New Roman"/>
            </w:rPr>
            <w:t xml:space="preserve">Schaffer, A. L., Dobbins, T. A., &amp; Pearson, S. A. (2021). Interrupted time series analysis using autoregressive integrated moving average (ARIMA) models: a guide for evaluating large-scale health interventions. </w:t>
          </w:r>
          <w:r>
            <w:rPr>
              <w:rFonts w:eastAsia="Times New Roman"/>
              <w:i/>
              <w:iCs/>
            </w:rPr>
            <w:t>BMC Medical Research Methodology</w:t>
          </w:r>
          <w:r>
            <w:rPr>
              <w:rFonts w:eastAsia="Times New Roman"/>
            </w:rPr>
            <w:t xml:space="preserve">, </w:t>
          </w:r>
          <w:r>
            <w:rPr>
              <w:rFonts w:eastAsia="Times New Roman"/>
              <w:i/>
              <w:iCs/>
            </w:rPr>
            <w:t>21</w:t>
          </w:r>
          <w:r>
            <w:rPr>
              <w:rFonts w:eastAsia="Times New Roman"/>
            </w:rPr>
            <w:t>(1), 1–12. https://doi.org/10.1186/S12874-021-01235-8/FIGURES/5</w:t>
          </w:r>
        </w:p>
        <w:p w14:paraId="3FF6DDE9" w14:textId="77777777" w:rsidR="00EC7CE1" w:rsidRDefault="00EC7CE1">
          <w:pPr>
            <w:autoSpaceDE w:val="0"/>
            <w:autoSpaceDN w:val="0"/>
            <w:ind w:hanging="480"/>
            <w:divId w:val="1884823260"/>
            <w:rPr>
              <w:rFonts w:eastAsia="Times New Roman"/>
            </w:rPr>
          </w:pPr>
          <w:r>
            <w:rPr>
              <w:rFonts w:eastAsia="Times New Roman"/>
            </w:rPr>
            <w:t xml:space="preserve">Schreiber, L. R. N., Grant, J. E., &amp; </w:t>
          </w:r>
          <w:proofErr w:type="spellStart"/>
          <w:r>
            <w:rPr>
              <w:rFonts w:eastAsia="Times New Roman"/>
            </w:rPr>
            <w:t>Odlaug</w:t>
          </w:r>
          <w:proofErr w:type="spellEnd"/>
          <w:r>
            <w:rPr>
              <w:rFonts w:eastAsia="Times New Roman"/>
            </w:rPr>
            <w:t xml:space="preserve">, B. L. (2012). Emotion regulation and impulsivity in young adults. </w:t>
          </w:r>
          <w:r>
            <w:rPr>
              <w:rFonts w:eastAsia="Times New Roman"/>
              <w:i/>
              <w:iCs/>
            </w:rPr>
            <w:t>Journal of Psychiatric Research</w:t>
          </w:r>
          <w:r>
            <w:rPr>
              <w:rFonts w:eastAsia="Times New Roman"/>
            </w:rPr>
            <w:t xml:space="preserve">, </w:t>
          </w:r>
          <w:r>
            <w:rPr>
              <w:rFonts w:eastAsia="Times New Roman"/>
              <w:i/>
              <w:iCs/>
            </w:rPr>
            <w:t>46</w:t>
          </w:r>
          <w:r>
            <w:rPr>
              <w:rFonts w:eastAsia="Times New Roman"/>
            </w:rPr>
            <w:t>(5), 651–658. https://doi.org/10.1016/j.jpsychires.2012.02.005</w:t>
          </w:r>
        </w:p>
        <w:p w14:paraId="7CAC17F8" w14:textId="77777777" w:rsidR="00EC7CE1" w:rsidRDefault="00EC7CE1">
          <w:pPr>
            <w:autoSpaceDE w:val="0"/>
            <w:autoSpaceDN w:val="0"/>
            <w:ind w:hanging="480"/>
            <w:divId w:val="2125686733"/>
            <w:rPr>
              <w:rFonts w:eastAsia="Times New Roman"/>
            </w:rPr>
          </w:pPr>
          <w:r>
            <w:rPr>
              <w:rFonts w:eastAsia="Times New Roman"/>
            </w:rPr>
            <w:t xml:space="preserve">Schulz, A., &amp; </w:t>
          </w:r>
          <w:proofErr w:type="spellStart"/>
          <w:r>
            <w:rPr>
              <w:rFonts w:eastAsia="Times New Roman"/>
            </w:rPr>
            <w:t>Vögele</w:t>
          </w:r>
          <w:proofErr w:type="spellEnd"/>
          <w:r>
            <w:rPr>
              <w:rFonts w:eastAsia="Times New Roman"/>
            </w:rPr>
            <w:t xml:space="preserve">, C. (2015). Interoception and stress. </w:t>
          </w:r>
          <w:r>
            <w:rPr>
              <w:rFonts w:eastAsia="Times New Roman"/>
              <w:i/>
              <w:iCs/>
            </w:rPr>
            <w:t>Frontiers in Psychology</w:t>
          </w:r>
          <w:r>
            <w:rPr>
              <w:rFonts w:eastAsia="Times New Roman"/>
            </w:rPr>
            <w:t xml:space="preserve">, </w:t>
          </w:r>
          <w:r>
            <w:rPr>
              <w:rFonts w:eastAsia="Times New Roman"/>
              <w:i/>
              <w:iCs/>
            </w:rPr>
            <w:t>6</w:t>
          </w:r>
          <w:r>
            <w:rPr>
              <w:rFonts w:eastAsia="Times New Roman"/>
            </w:rPr>
            <w:t>, 993. https://doi.org/10.3389/FPSYG.2015.00993</w:t>
          </w:r>
        </w:p>
        <w:p w14:paraId="71208D9C" w14:textId="77777777" w:rsidR="00EC7CE1" w:rsidRDefault="00EC7CE1">
          <w:pPr>
            <w:autoSpaceDE w:val="0"/>
            <w:autoSpaceDN w:val="0"/>
            <w:ind w:hanging="480"/>
            <w:divId w:val="1355690164"/>
            <w:rPr>
              <w:rFonts w:eastAsia="Times New Roman"/>
            </w:rPr>
          </w:pPr>
          <w:r>
            <w:rPr>
              <w:rFonts w:eastAsia="Times New Roman"/>
            </w:rPr>
            <w:lastRenderedPageBreak/>
            <w:t xml:space="preserve">Schwarzer, R., &amp; Fuchs, R. (1996). </w:t>
          </w:r>
          <w:r>
            <w:rPr>
              <w:rFonts w:eastAsia="Times New Roman"/>
              <w:i/>
              <w:iCs/>
            </w:rPr>
            <w:t>Self-efficacy and health behaviours.</w:t>
          </w:r>
          <w:r>
            <w:rPr>
              <w:rFonts w:eastAsia="Times New Roman"/>
            </w:rPr>
            <w:t xml:space="preserve"> https://doi.org/10.4324/9781315800820-10</w:t>
          </w:r>
        </w:p>
        <w:p w14:paraId="08E59814" w14:textId="77777777" w:rsidR="00EC7CE1" w:rsidRDefault="00EC7CE1">
          <w:pPr>
            <w:autoSpaceDE w:val="0"/>
            <w:autoSpaceDN w:val="0"/>
            <w:ind w:hanging="480"/>
            <w:divId w:val="208614093"/>
            <w:rPr>
              <w:rFonts w:eastAsia="Times New Roman"/>
            </w:rPr>
          </w:pPr>
          <w:r>
            <w:rPr>
              <w:rFonts w:eastAsia="Times New Roman"/>
            </w:rPr>
            <w:t xml:space="preserve">Schwarzer, R., &amp; </w:t>
          </w:r>
          <w:proofErr w:type="spellStart"/>
          <w:r>
            <w:rPr>
              <w:rFonts w:eastAsia="Times New Roman"/>
            </w:rPr>
            <w:t>Luszczynska</w:t>
          </w:r>
          <w:proofErr w:type="spellEnd"/>
          <w:r>
            <w:rPr>
              <w:rFonts w:eastAsia="Times New Roman"/>
            </w:rPr>
            <w:t xml:space="preserve">, A. (2003). </w:t>
          </w:r>
          <w:r>
            <w:rPr>
              <w:rFonts w:eastAsia="Times New Roman"/>
              <w:i/>
              <w:iCs/>
            </w:rPr>
            <w:t xml:space="preserve">Self-Efficacy and Health </w:t>
          </w:r>
          <w:proofErr w:type="spellStart"/>
          <w:r>
            <w:rPr>
              <w:rFonts w:eastAsia="Times New Roman"/>
              <w:i/>
              <w:iCs/>
            </w:rPr>
            <w:t>Behavior</w:t>
          </w:r>
          <w:proofErr w:type="spellEnd"/>
          <w:r>
            <w:rPr>
              <w:rFonts w:eastAsia="Times New Roman"/>
              <w:i/>
              <w:iCs/>
            </w:rPr>
            <w:t xml:space="preserve"> Theories</w:t>
          </w:r>
          <w:r>
            <w:rPr>
              <w:rFonts w:eastAsia="Times New Roman"/>
            </w:rPr>
            <w:t>.</w:t>
          </w:r>
        </w:p>
        <w:p w14:paraId="6B07FB39" w14:textId="77777777" w:rsidR="00EC7CE1" w:rsidRDefault="00EC7CE1">
          <w:pPr>
            <w:autoSpaceDE w:val="0"/>
            <w:autoSpaceDN w:val="0"/>
            <w:ind w:hanging="480"/>
            <w:divId w:val="1998074573"/>
            <w:rPr>
              <w:rFonts w:eastAsia="Times New Roman"/>
            </w:rPr>
          </w:pPr>
          <w:proofErr w:type="spellStart"/>
          <w:r>
            <w:rPr>
              <w:rFonts w:eastAsia="Times New Roman"/>
            </w:rPr>
            <w:t>Seligowski</w:t>
          </w:r>
          <w:proofErr w:type="spellEnd"/>
          <w:r>
            <w:rPr>
              <w:rFonts w:eastAsia="Times New Roman"/>
            </w:rPr>
            <w:t xml:space="preserve">, A. V., Lee, D. J., Bardeen, J. R., &amp; Orcutt, H. K. (2014). Emotion Regulation and Posttraumatic Stress Symptoms: A Meta-Analysis. </w:t>
          </w:r>
          <w:r>
            <w:rPr>
              <w:rFonts w:eastAsia="Times New Roman"/>
              <w:i/>
              <w:iCs/>
            </w:rPr>
            <w:t>Http://Dx.Doi.Org/10.1080/16506073.2014.980753</w:t>
          </w:r>
          <w:r>
            <w:rPr>
              <w:rFonts w:eastAsia="Times New Roman"/>
            </w:rPr>
            <w:t xml:space="preserve">, </w:t>
          </w:r>
          <w:r>
            <w:rPr>
              <w:rFonts w:eastAsia="Times New Roman"/>
              <w:i/>
              <w:iCs/>
            </w:rPr>
            <w:t>44</w:t>
          </w:r>
          <w:r>
            <w:rPr>
              <w:rFonts w:eastAsia="Times New Roman"/>
            </w:rPr>
            <w:t>(2), 87–102. https://doi.org/10.1080/16506073.2014.980753</w:t>
          </w:r>
        </w:p>
        <w:p w14:paraId="2C3DB03F" w14:textId="77777777" w:rsidR="00EC7CE1" w:rsidRDefault="00EC7CE1">
          <w:pPr>
            <w:autoSpaceDE w:val="0"/>
            <w:autoSpaceDN w:val="0"/>
            <w:ind w:hanging="480"/>
            <w:divId w:val="2131823811"/>
            <w:rPr>
              <w:rFonts w:eastAsia="Times New Roman"/>
            </w:rPr>
          </w:pPr>
          <w:r>
            <w:rPr>
              <w:rFonts w:eastAsia="Times New Roman"/>
            </w:rPr>
            <w:t xml:space="preserve">Seneviratne, U., Low, Z. M., Low, Z. X., Hehir, A., </w:t>
          </w:r>
          <w:proofErr w:type="spellStart"/>
          <w:r>
            <w:rPr>
              <w:rFonts w:eastAsia="Times New Roman"/>
            </w:rPr>
            <w:t>Paramaswaran</w:t>
          </w:r>
          <w:proofErr w:type="spellEnd"/>
          <w:r>
            <w:rPr>
              <w:rFonts w:eastAsia="Times New Roman"/>
            </w:rPr>
            <w:t xml:space="preserve">, S., </w:t>
          </w:r>
          <w:proofErr w:type="spellStart"/>
          <w:r>
            <w:rPr>
              <w:rFonts w:eastAsia="Times New Roman"/>
            </w:rPr>
            <w:t>Foong</w:t>
          </w:r>
          <w:proofErr w:type="spellEnd"/>
          <w:r>
            <w:rPr>
              <w:rFonts w:eastAsia="Times New Roman"/>
            </w:rPr>
            <w:t xml:space="preserve">, M., Ma, H., &amp; Phan, T. G. (2019). Medical health care utilization cost of patients presenting with psychogenic nonepileptic seizures. </w:t>
          </w:r>
          <w:proofErr w:type="spellStart"/>
          <w:r>
            <w:rPr>
              <w:rFonts w:eastAsia="Times New Roman"/>
              <w:i/>
              <w:iCs/>
            </w:rPr>
            <w:t>Epilepsia</w:t>
          </w:r>
          <w:proofErr w:type="spellEnd"/>
          <w:r>
            <w:rPr>
              <w:rFonts w:eastAsia="Times New Roman"/>
            </w:rPr>
            <w:t xml:space="preserve">, </w:t>
          </w:r>
          <w:r>
            <w:rPr>
              <w:rFonts w:eastAsia="Times New Roman"/>
              <w:i/>
              <w:iCs/>
            </w:rPr>
            <w:t>60</w:t>
          </w:r>
          <w:r>
            <w:rPr>
              <w:rFonts w:eastAsia="Times New Roman"/>
            </w:rPr>
            <w:t>(2), 349–357. https://doi.org/10.1111/EPI.14625</w:t>
          </w:r>
        </w:p>
        <w:p w14:paraId="559F2226" w14:textId="77777777" w:rsidR="00EC7CE1" w:rsidRDefault="00EC7CE1">
          <w:pPr>
            <w:autoSpaceDE w:val="0"/>
            <w:autoSpaceDN w:val="0"/>
            <w:ind w:hanging="480"/>
            <w:divId w:val="707755978"/>
            <w:rPr>
              <w:rFonts w:eastAsia="Times New Roman"/>
            </w:rPr>
          </w:pPr>
          <w:proofErr w:type="spellStart"/>
          <w:r>
            <w:rPr>
              <w:rFonts w:eastAsia="Times New Roman"/>
            </w:rPr>
            <w:t>Shahwan</w:t>
          </w:r>
          <w:proofErr w:type="spellEnd"/>
          <w:r>
            <w:rPr>
              <w:rFonts w:eastAsia="Times New Roman"/>
            </w:rPr>
            <w:t xml:space="preserve">, S., Goh, C. M. J., Tan, G. T. H., Ong, W. J., Chong, S. A., &amp; Subramaniam, M. (2022). Strategies to Reduce Mental Illness Stigma: Perspectives of People with Lived Experience and Caregivers. </w:t>
          </w:r>
          <w:r>
            <w:rPr>
              <w:rFonts w:eastAsia="Times New Roman"/>
              <w:i/>
              <w:iCs/>
            </w:rPr>
            <w:t>International Journal of Environmental Research and Public Health</w:t>
          </w:r>
          <w:r>
            <w:rPr>
              <w:rFonts w:eastAsia="Times New Roman"/>
            </w:rPr>
            <w:t xml:space="preserve">, </w:t>
          </w:r>
          <w:r>
            <w:rPr>
              <w:rFonts w:eastAsia="Times New Roman"/>
              <w:i/>
              <w:iCs/>
            </w:rPr>
            <w:t>19</w:t>
          </w:r>
          <w:r>
            <w:rPr>
              <w:rFonts w:eastAsia="Times New Roman"/>
            </w:rPr>
            <w:t>(3). https://doi.org/10.3390/IJERPH19031632</w:t>
          </w:r>
        </w:p>
        <w:p w14:paraId="54EDEDA9" w14:textId="77777777" w:rsidR="00EC7CE1" w:rsidRDefault="00EC7CE1">
          <w:pPr>
            <w:autoSpaceDE w:val="0"/>
            <w:autoSpaceDN w:val="0"/>
            <w:ind w:hanging="480"/>
            <w:divId w:val="525675108"/>
            <w:rPr>
              <w:rFonts w:eastAsia="Times New Roman"/>
            </w:rPr>
          </w:pPr>
          <w:r>
            <w:rPr>
              <w:rFonts w:eastAsia="Times New Roman"/>
            </w:rPr>
            <w:t xml:space="preserve">Sharpe, M., Walker, J., Williams, C., Stone, J., Cavanagh, J., Murray, G., Butcher, I., Duncan, R., Smith, S., &amp; Carson, A. (2011). Guided self-help for functional (psychogenic) symptoms: A randomized controlled efficacy trial. </w:t>
          </w:r>
          <w:r>
            <w:rPr>
              <w:rFonts w:eastAsia="Times New Roman"/>
              <w:i/>
              <w:iCs/>
            </w:rPr>
            <w:t>Neurology</w:t>
          </w:r>
          <w:r>
            <w:rPr>
              <w:rFonts w:eastAsia="Times New Roman"/>
            </w:rPr>
            <w:t xml:space="preserve">, </w:t>
          </w:r>
          <w:r>
            <w:rPr>
              <w:rFonts w:eastAsia="Times New Roman"/>
              <w:i/>
              <w:iCs/>
            </w:rPr>
            <w:t>77</w:t>
          </w:r>
          <w:r>
            <w:rPr>
              <w:rFonts w:eastAsia="Times New Roman"/>
            </w:rPr>
            <w:t>(6), 564. https://doi.org/10.1212/WNL.0B013E318228C0C7</w:t>
          </w:r>
        </w:p>
        <w:p w14:paraId="46C34EC6" w14:textId="77777777" w:rsidR="00EC7CE1" w:rsidRDefault="00EC7CE1">
          <w:pPr>
            <w:autoSpaceDE w:val="0"/>
            <w:autoSpaceDN w:val="0"/>
            <w:ind w:hanging="480"/>
            <w:divId w:val="1569614922"/>
            <w:rPr>
              <w:rFonts w:eastAsia="Times New Roman"/>
            </w:rPr>
          </w:pPr>
          <w:r>
            <w:rPr>
              <w:rFonts w:eastAsia="Times New Roman"/>
            </w:rPr>
            <w:t xml:space="preserve">Shih, M. (2004). Positive Stigma: Examining Resilience and Empowerment in Overcoming Stigma. </w:t>
          </w:r>
          <w:r>
            <w:rPr>
              <w:rFonts w:eastAsia="Times New Roman"/>
              <w:i/>
              <w:iCs/>
            </w:rPr>
            <w:t>Http://Dx.Doi.Org/10.1177/0002716203260099</w:t>
          </w:r>
          <w:r>
            <w:rPr>
              <w:rFonts w:eastAsia="Times New Roman"/>
            </w:rPr>
            <w:t xml:space="preserve">, </w:t>
          </w:r>
          <w:r>
            <w:rPr>
              <w:rFonts w:eastAsia="Times New Roman"/>
              <w:i/>
              <w:iCs/>
            </w:rPr>
            <w:t>591</w:t>
          </w:r>
          <w:r>
            <w:rPr>
              <w:rFonts w:eastAsia="Times New Roman"/>
            </w:rPr>
            <w:t>, 175–185. https://doi.org/10.1177/0002716203260099</w:t>
          </w:r>
        </w:p>
        <w:p w14:paraId="4DB1EEBA" w14:textId="77777777" w:rsidR="00EC7CE1" w:rsidRDefault="00EC7CE1">
          <w:pPr>
            <w:autoSpaceDE w:val="0"/>
            <w:autoSpaceDN w:val="0"/>
            <w:ind w:hanging="480"/>
            <w:divId w:val="1837957785"/>
            <w:rPr>
              <w:rFonts w:eastAsia="Times New Roman"/>
            </w:rPr>
          </w:pPr>
          <w:r>
            <w:rPr>
              <w:rFonts w:eastAsia="Times New Roman"/>
            </w:rPr>
            <w:t xml:space="preserve">Shulman, L. M., </w:t>
          </w:r>
          <w:proofErr w:type="spellStart"/>
          <w:r>
            <w:rPr>
              <w:rFonts w:eastAsia="Times New Roman"/>
            </w:rPr>
            <w:t>Pretzer-Aboff</w:t>
          </w:r>
          <w:proofErr w:type="spellEnd"/>
          <w:r>
            <w:rPr>
              <w:rFonts w:eastAsia="Times New Roman"/>
            </w:rPr>
            <w:t>, I., Anderson, K. E., Stevenson, R., Vaughan, C. G., Gruber-</w:t>
          </w:r>
          <w:proofErr w:type="spellStart"/>
          <w:r>
            <w:rPr>
              <w:rFonts w:eastAsia="Times New Roman"/>
            </w:rPr>
            <w:t>Baldini</w:t>
          </w:r>
          <w:proofErr w:type="spellEnd"/>
          <w:r>
            <w:rPr>
              <w:rFonts w:eastAsia="Times New Roman"/>
            </w:rPr>
            <w:t xml:space="preserve">, A. L., Reich, S. G., &amp; Weiner, W. J. (2006). Subjective report versus objective measurement of activities of daily living in Parkinson’s disease. </w:t>
          </w:r>
          <w:r>
            <w:rPr>
              <w:rFonts w:eastAsia="Times New Roman"/>
              <w:i/>
              <w:iCs/>
            </w:rPr>
            <w:t>Movement Disorders</w:t>
          </w:r>
          <w:r>
            <w:rPr>
              <w:rFonts w:eastAsia="Times New Roman"/>
            </w:rPr>
            <w:t xml:space="preserve">, </w:t>
          </w:r>
          <w:r>
            <w:rPr>
              <w:rFonts w:eastAsia="Times New Roman"/>
              <w:i/>
              <w:iCs/>
            </w:rPr>
            <w:t>21</w:t>
          </w:r>
          <w:r>
            <w:rPr>
              <w:rFonts w:eastAsia="Times New Roman"/>
            </w:rPr>
            <w:t>(6), 794–799. https://doi.org/10.1002/mds.20803</w:t>
          </w:r>
        </w:p>
        <w:p w14:paraId="3E202585" w14:textId="77777777" w:rsidR="00EC7CE1" w:rsidRDefault="00EC7CE1">
          <w:pPr>
            <w:autoSpaceDE w:val="0"/>
            <w:autoSpaceDN w:val="0"/>
            <w:ind w:hanging="480"/>
            <w:divId w:val="1019314029"/>
            <w:rPr>
              <w:rFonts w:eastAsia="Times New Roman"/>
            </w:rPr>
          </w:pPr>
          <w:r>
            <w:rPr>
              <w:rFonts w:eastAsia="Times New Roman"/>
            </w:rPr>
            <w:t xml:space="preserve">Smit, J. H. (1998). Confirmatory factor analysis of the General Self-Efficacy Scale. </w:t>
          </w:r>
          <w:r>
            <w:rPr>
              <w:rFonts w:eastAsia="Times New Roman"/>
              <w:i/>
              <w:iCs/>
            </w:rPr>
            <w:t>Article in Behaviour Research and Therapy</w:t>
          </w:r>
          <w:r>
            <w:rPr>
              <w:rFonts w:eastAsia="Times New Roman"/>
            </w:rPr>
            <w:t>. https://doi.org/10.1016/S0005-7967(98)00025-4</w:t>
          </w:r>
        </w:p>
        <w:p w14:paraId="724C31E2" w14:textId="77777777" w:rsidR="00EC7CE1" w:rsidRDefault="00EC7CE1">
          <w:pPr>
            <w:autoSpaceDE w:val="0"/>
            <w:autoSpaceDN w:val="0"/>
            <w:ind w:hanging="480"/>
            <w:divId w:val="808673554"/>
            <w:rPr>
              <w:rFonts w:eastAsia="Times New Roman"/>
            </w:rPr>
          </w:pPr>
          <w:r>
            <w:rPr>
              <w:rFonts w:eastAsia="Times New Roman"/>
            </w:rPr>
            <w:t xml:space="preserve">Smith, R. M., </w:t>
          </w:r>
          <w:proofErr w:type="spellStart"/>
          <w:r>
            <w:rPr>
              <w:rFonts w:eastAsia="Times New Roman"/>
            </w:rPr>
            <w:t>Schumacker</w:t>
          </w:r>
          <w:proofErr w:type="spellEnd"/>
          <w:r>
            <w:rPr>
              <w:rFonts w:eastAsia="Times New Roman"/>
            </w:rPr>
            <w:t xml:space="preserve">, R., &amp; Bush, M. (1998). Using item mean squares to evaluate fit to the Rasch model. </w:t>
          </w:r>
          <w:r>
            <w:rPr>
              <w:rFonts w:eastAsia="Times New Roman"/>
              <w:i/>
              <w:iCs/>
            </w:rPr>
            <w:t>Journal of Outcome Measurement</w:t>
          </w:r>
          <w:r>
            <w:rPr>
              <w:rFonts w:eastAsia="Times New Roman"/>
            </w:rPr>
            <w:t>.</w:t>
          </w:r>
        </w:p>
        <w:p w14:paraId="7022B1BF" w14:textId="77777777" w:rsidR="00EC7CE1" w:rsidRDefault="00EC7CE1">
          <w:pPr>
            <w:autoSpaceDE w:val="0"/>
            <w:autoSpaceDN w:val="0"/>
            <w:ind w:hanging="480"/>
            <w:divId w:val="152837748"/>
            <w:rPr>
              <w:rFonts w:eastAsia="Times New Roman"/>
            </w:rPr>
          </w:pPr>
          <w:r>
            <w:rPr>
              <w:rFonts w:eastAsia="Times New Roman"/>
            </w:rPr>
            <w:t xml:space="preserve">Smith, R., </w:t>
          </w:r>
          <w:proofErr w:type="spellStart"/>
          <w:r>
            <w:rPr>
              <w:rFonts w:eastAsia="Times New Roman"/>
            </w:rPr>
            <w:t>Rossetto</w:t>
          </w:r>
          <w:proofErr w:type="spellEnd"/>
          <w:r>
            <w:rPr>
              <w:rFonts w:eastAsia="Times New Roman"/>
            </w:rPr>
            <w:t xml:space="preserve">, K., &amp; Peterson, B. L. (2008). A meta-analysis of disclosure of one’s HIV-positive status, stigma and social support. </w:t>
          </w:r>
          <w:r>
            <w:rPr>
              <w:rFonts w:eastAsia="Times New Roman"/>
              <w:i/>
              <w:iCs/>
            </w:rPr>
            <w:t>AIDS Care</w:t>
          </w:r>
          <w:r>
            <w:rPr>
              <w:rFonts w:eastAsia="Times New Roman"/>
            </w:rPr>
            <w:t xml:space="preserve">, </w:t>
          </w:r>
          <w:r>
            <w:rPr>
              <w:rFonts w:eastAsia="Times New Roman"/>
              <w:i/>
              <w:iCs/>
            </w:rPr>
            <w:t>20</w:t>
          </w:r>
          <w:r>
            <w:rPr>
              <w:rFonts w:eastAsia="Times New Roman"/>
            </w:rPr>
            <w:t>(10), 1266–1275. https://doi.org/10.1080/09540120801926977</w:t>
          </w:r>
        </w:p>
        <w:p w14:paraId="7E09D5F5" w14:textId="77777777" w:rsidR="00EC7CE1" w:rsidRDefault="00EC7CE1">
          <w:pPr>
            <w:autoSpaceDE w:val="0"/>
            <w:autoSpaceDN w:val="0"/>
            <w:ind w:hanging="480"/>
            <w:divId w:val="1561019758"/>
            <w:rPr>
              <w:rFonts w:eastAsia="Times New Roman"/>
            </w:rPr>
          </w:pPr>
          <w:r>
            <w:rPr>
              <w:rFonts w:eastAsia="Times New Roman"/>
            </w:rPr>
            <w:lastRenderedPageBreak/>
            <w:t xml:space="preserve">Smits, F. T., Brouwer, H. J., </w:t>
          </w:r>
          <w:proofErr w:type="spellStart"/>
          <w:r>
            <w:rPr>
              <w:rFonts w:eastAsia="Times New Roman"/>
            </w:rPr>
            <w:t>Zwinderman</w:t>
          </w:r>
          <w:proofErr w:type="spellEnd"/>
          <w:r>
            <w:rPr>
              <w:rFonts w:eastAsia="Times New Roman"/>
            </w:rPr>
            <w:t xml:space="preserve">, A. H., </w:t>
          </w:r>
          <w:proofErr w:type="spellStart"/>
          <w:r>
            <w:rPr>
              <w:rFonts w:eastAsia="Times New Roman"/>
            </w:rPr>
            <w:t>Mohrs</w:t>
          </w:r>
          <w:proofErr w:type="spellEnd"/>
          <w:r>
            <w:rPr>
              <w:rFonts w:eastAsia="Times New Roman"/>
            </w:rPr>
            <w:t xml:space="preserve">, J., </w:t>
          </w:r>
          <w:proofErr w:type="spellStart"/>
          <w:r>
            <w:rPr>
              <w:rFonts w:eastAsia="Times New Roman"/>
            </w:rPr>
            <w:t>Schene</w:t>
          </w:r>
          <w:proofErr w:type="spellEnd"/>
          <w:r>
            <w:rPr>
              <w:rFonts w:eastAsia="Times New Roman"/>
            </w:rPr>
            <w:t xml:space="preserve">, A. H., van </w:t>
          </w:r>
          <w:proofErr w:type="spellStart"/>
          <w:r>
            <w:rPr>
              <w:rFonts w:eastAsia="Times New Roman"/>
            </w:rPr>
            <w:t>Weert</w:t>
          </w:r>
          <w:proofErr w:type="spellEnd"/>
          <w:r>
            <w:rPr>
              <w:rFonts w:eastAsia="Times New Roman"/>
            </w:rPr>
            <w:t xml:space="preserve">, H. C. P. M., &amp; </w:t>
          </w:r>
          <w:proofErr w:type="spellStart"/>
          <w:r>
            <w:rPr>
              <w:rFonts w:eastAsia="Times New Roman"/>
            </w:rPr>
            <w:t>ter</w:t>
          </w:r>
          <w:proofErr w:type="spellEnd"/>
          <w:r>
            <w:rPr>
              <w:rFonts w:eastAsia="Times New Roman"/>
            </w:rPr>
            <w:t xml:space="preserve"> Riet, G. (2014). Why do they keep coming back? Psychosocial </w:t>
          </w:r>
          <w:proofErr w:type="spellStart"/>
          <w:r>
            <w:rPr>
              <w:rFonts w:eastAsia="Times New Roman"/>
            </w:rPr>
            <w:t>etiology</w:t>
          </w:r>
          <w:proofErr w:type="spellEnd"/>
          <w:r>
            <w:rPr>
              <w:rFonts w:eastAsia="Times New Roman"/>
            </w:rPr>
            <w:t xml:space="preserve"> of persistence of frequent attendance in primary care: a prospective cohort study. </w:t>
          </w:r>
          <w:r>
            <w:rPr>
              <w:rFonts w:eastAsia="Times New Roman"/>
              <w:i/>
              <w:iCs/>
            </w:rPr>
            <w:t>Journal of Psychosomatic Research</w:t>
          </w:r>
          <w:r>
            <w:rPr>
              <w:rFonts w:eastAsia="Times New Roman"/>
            </w:rPr>
            <w:t xml:space="preserve">, </w:t>
          </w:r>
          <w:r>
            <w:rPr>
              <w:rFonts w:eastAsia="Times New Roman"/>
              <w:i/>
              <w:iCs/>
            </w:rPr>
            <w:t>77</w:t>
          </w:r>
          <w:r>
            <w:rPr>
              <w:rFonts w:eastAsia="Times New Roman"/>
            </w:rPr>
            <w:t>(6), 492–503. https://doi.org/10.1016/J.JPSYCHORES.2014.08.003</w:t>
          </w:r>
        </w:p>
        <w:p w14:paraId="5A6215A8" w14:textId="77777777" w:rsidR="00EC7CE1" w:rsidRDefault="00EC7CE1">
          <w:pPr>
            <w:autoSpaceDE w:val="0"/>
            <w:autoSpaceDN w:val="0"/>
            <w:ind w:hanging="480"/>
            <w:divId w:val="692414811"/>
            <w:rPr>
              <w:rFonts w:eastAsia="Times New Roman"/>
            </w:rPr>
          </w:pPr>
          <w:r>
            <w:rPr>
              <w:rFonts w:eastAsia="Times New Roman"/>
            </w:rPr>
            <w:t xml:space="preserve">Sojka, P., </w:t>
          </w:r>
          <w:proofErr w:type="spellStart"/>
          <w:r>
            <w:rPr>
              <w:rFonts w:eastAsia="Times New Roman"/>
            </w:rPr>
            <w:t>Bareš</w:t>
          </w:r>
          <w:proofErr w:type="spellEnd"/>
          <w:r>
            <w:rPr>
              <w:rFonts w:eastAsia="Times New Roman"/>
            </w:rPr>
            <w:t xml:space="preserve">, M., </w:t>
          </w:r>
          <w:proofErr w:type="spellStart"/>
          <w:r>
            <w:rPr>
              <w:rFonts w:eastAsia="Times New Roman"/>
            </w:rPr>
            <w:t>Kašpárek</w:t>
          </w:r>
          <w:proofErr w:type="spellEnd"/>
          <w:r>
            <w:rPr>
              <w:rFonts w:eastAsia="Times New Roman"/>
            </w:rPr>
            <w:t xml:space="preserve">, T., &amp; </w:t>
          </w:r>
          <w:proofErr w:type="spellStart"/>
          <w:r>
            <w:rPr>
              <w:rFonts w:eastAsia="Times New Roman"/>
            </w:rPr>
            <w:t>Světlák</w:t>
          </w:r>
          <w:proofErr w:type="spellEnd"/>
          <w:r>
            <w:rPr>
              <w:rFonts w:eastAsia="Times New Roman"/>
            </w:rPr>
            <w:t xml:space="preserve">, M. (2018). Processing of Emotion in Functional Neurological Disorder. </w:t>
          </w:r>
          <w:r>
            <w:rPr>
              <w:rFonts w:eastAsia="Times New Roman"/>
              <w:i/>
              <w:iCs/>
            </w:rPr>
            <w:t>Frontiers in Psychiatry</w:t>
          </w:r>
          <w:r>
            <w:rPr>
              <w:rFonts w:eastAsia="Times New Roman"/>
            </w:rPr>
            <w:t xml:space="preserve">, </w:t>
          </w:r>
          <w:r>
            <w:rPr>
              <w:rFonts w:eastAsia="Times New Roman"/>
              <w:i/>
              <w:iCs/>
            </w:rPr>
            <w:t>9</w:t>
          </w:r>
          <w:r>
            <w:rPr>
              <w:rFonts w:eastAsia="Times New Roman"/>
            </w:rPr>
            <w:t>, 479. https://doi.org/10.3389/fpsyt.2018.00479</w:t>
          </w:r>
        </w:p>
        <w:p w14:paraId="7FE5BF65" w14:textId="77777777" w:rsidR="00EC7CE1" w:rsidRDefault="00EC7CE1">
          <w:pPr>
            <w:autoSpaceDE w:val="0"/>
            <w:autoSpaceDN w:val="0"/>
            <w:ind w:hanging="480"/>
            <w:divId w:val="1757239724"/>
            <w:rPr>
              <w:rFonts w:eastAsia="Times New Roman"/>
            </w:rPr>
          </w:pPr>
          <w:r>
            <w:rPr>
              <w:rFonts w:eastAsia="Times New Roman"/>
            </w:rPr>
            <w:t xml:space="preserve">Sojka, P., </w:t>
          </w:r>
          <w:proofErr w:type="spellStart"/>
          <w:r>
            <w:rPr>
              <w:rFonts w:eastAsia="Times New Roman"/>
            </w:rPr>
            <w:t>Lošák</w:t>
          </w:r>
          <w:proofErr w:type="spellEnd"/>
          <w:r>
            <w:rPr>
              <w:rFonts w:eastAsia="Times New Roman"/>
            </w:rPr>
            <w:t xml:space="preserve">, J., </w:t>
          </w:r>
          <w:proofErr w:type="spellStart"/>
          <w:r>
            <w:rPr>
              <w:rFonts w:eastAsia="Times New Roman"/>
            </w:rPr>
            <w:t>Lamoš</w:t>
          </w:r>
          <w:proofErr w:type="spellEnd"/>
          <w:r>
            <w:rPr>
              <w:rFonts w:eastAsia="Times New Roman"/>
            </w:rPr>
            <w:t xml:space="preserve">, M., </w:t>
          </w:r>
          <w:proofErr w:type="spellStart"/>
          <w:r>
            <w:rPr>
              <w:rFonts w:eastAsia="Times New Roman"/>
            </w:rPr>
            <w:t>Bareš</w:t>
          </w:r>
          <w:proofErr w:type="spellEnd"/>
          <w:r>
            <w:rPr>
              <w:rFonts w:eastAsia="Times New Roman"/>
            </w:rPr>
            <w:t xml:space="preserve">, M., </w:t>
          </w:r>
          <w:proofErr w:type="spellStart"/>
          <w:r>
            <w:rPr>
              <w:rFonts w:eastAsia="Times New Roman"/>
            </w:rPr>
            <w:t>Kašpárek</w:t>
          </w:r>
          <w:proofErr w:type="spellEnd"/>
          <w:r>
            <w:rPr>
              <w:rFonts w:eastAsia="Times New Roman"/>
            </w:rPr>
            <w:t xml:space="preserve">, T., </w:t>
          </w:r>
          <w:proofErr w:type="spellStart"/>
          <w:r>
            <w:rPr>
              <w:rFonts w:eastAsia="Times New Roman"/>
            </w:rPr>
            <w:t>Brázdil</w:t>
          </w:r>
          <w:proofErr w:type="spellEnd"/>
          <w:r>
            <w:rPr>
              <w:rFonts w:eastAsia="Times New Roman"/>
            </w:rPr>
            <w:t xml:space="preserve">, M., </w:t>
          </w:r>
          <w:proofErr w:type="spellStart"/>
          <w:r>
            <w:rPr>
              <w:rFonts w:eastAsia="Times New Roman"/>
            </w:rPr>
            <w:t>Baláž</w:t>
          </w:r>
          <w:proofErr w:type="spellEnd"/>
          <w:r>
            <w:rPr>
              <w:rFonts w:eastAsia="Times New Roman"/>
            </w:rPr>
            <w:t xml:space="preserve">, M., </w:t>
          </w:r>
          <w:proofErr w:type="spellStart"/>
          <w:r>
            <w:rPr>
              <w:rFonts w:eastAsia="Times New Roman"/>
            </w:rPr>
            <w:t>Světlák</w:t>
          </w:r>
          <w:proofErr w:type="spellEnd"/>
          <w:r>
            <w:rPr>
              <w:rFonts w:eastAsia="Times New Roman"/>
            </w:rPr>
            <w:t xml:space="preserve">, M., </w:t>
          </w:r>
          <w:proofErr w:type="spellStart"/>
          <w:r>
            <w:rPr>
              <w:rFonts w:eastAsia="Times New Roman"/>
            </w:rPr>
            <w:t>Kočvarová</w:t>
          </w:r>
          <w:proofErr w:type="spellEnd"/>
          <w:r>
            <w:rPr>
              <w:rFonts w:eastAsia="Times New Roman"/>
            </w:rPr>
            <w:t xml:space="preserve">, J., &amp; </w:t>
          </w:r>
          <w:proofErr w:type="spellStart"/>
          <w:r>
            <w:rPr>
              <w:rFonts w:eastAsia="Times New Roman"/>
            </w:rPr>
            <w:t>Fialová</w:t>
          </w:r>
          <w:proofErr w:type="spellEnd"/>
          <w:r>
            <w:rPr>
              <w:rFonts w:eastAsia="Times New Roman"/>
            </w:rPr>
            <w:t xml:space="preserve">, J. (2019). Processing of Emotions in Functional Movement Disorder: An Exploratory fMRI Study. </w:t>
          </w:r>
          <w:r>
            <w:rPr>
              <w:rFonts w:eastAsia="Times New Roman"/>
              <w:i/>
              <w:iCs/>
            </w:rPr>
            <w:t>Frontiers in Neurology</w:t>
          </w:r>
          <w:r>
            <w:rPr>
              <w:rFonts w:eastAsia="Times New Roman"/>
            </w:rPr>
            <w:t xml:space="preserve">, </w:t>
          </w:r>
          <w:r>
            <w:rPr>
              <w:rFonts w:eastAsia="Times New Roman"/>
              <w:i/>
              <w:iCs/>
            </w:rPr>
            <w:t>10</w:t>
          </w:r>
          <w:r>
            <w:rPr>
              <w:rFonts w:eastAsia="Times New Roman"/>
            </w:rPr>
            <w:t>. https://doi.org/10.3389/fneur.2019.00861</w:t>
          </w:r>
        </w:p>
        <w:p w14:paraId="2BEC7F14" w14:textId="77777777" w:rsidR="00EC7CE1" w:rsidRDefault="00EC7CE1">
          <w:pPr>
            <w:autoSpaceDE w:val="0"/>
            <w:autoSpaceDN w:val="0"/>
            <w:ind w:hanging="480"/>
            <w:divId w:val="728766906"/>
            <w:rPr>
              <w:rFonts w:eastAsia="Times New Roman"/>
            </w:rPr>
          </w:pPr>
          <w:proofErr w:type="spellStart"/>
          <w:r>
            <w:rPr>
              <w:rFonts w:eastAsia="Times New Roman"/>
            </w:rPr>
            <w:t>Soril</w:t>
          </w:r>
          <w:proofErr w:type="spellEnd"/>
          <w:r>
            <w:rPr>
              <w:rFonts w:eastAsia="Times New Roman"/>
            </w:rPr>
            <w:t xml:space="preserve">, L. J. J., Leggett, L. E., Lorenzetti, D. L., Noseworthy, T. W., &amp; Clement, F. M. (2015). Reducing Frequent Visits to the Emergency Department: A Systematic Review of Interventions. </w:t>
          </w:r>
          <w:r>
            <w:rPr>
              <w:rFonts w:eastAsia="Times New Roman"/>
              <w:i/>
              <w:iCs/>
            </w:rPr>
            <w:t>PLOS ONE</w:t>
          </w:r>
          <w:r>
            <w:rPr>
              <w:rFonts w:eastAsia="Times New Roman"/>
            </w:rPr>
            <w:t xml:space="preserve">, </w:t>
          </w:r>
          <w:r>
            <w:rPr>
              <w:rFonts w:eastAsia="Times New Roman"/>
              <w:i/>
              <w:iCs/>
            </w:rPr>
            <w:t>10</w:t>
          </w:r>
          <w:r>
            <w:rPr>
              <w:rFonts w:eastAsia="Times New Roman"/>
            </w:rPr>
            <w:t>(4), e0123660. https://doi.org/10.1371/JOURNAL.PONE.0123660</w:t>
          </w:r>
        </w:p>
        <w:p w14:paraId="2AD3DFA2" w14:textId="77777777" w:rsidR="00EC7CE1" w:rsidRDefault="00EC7CE1">
          <w:pPr>
            <w:autoSpaceDE w:val="0"/>
            <w:autoSpaceDN w:val="0"/>
            <w:ind w:hanging="480"/>
            <w:divId w:val="105271815"/>
            <w:rPr>
              <w:rFonts w:eastAsia="Times New Roman"/>
            </w:rPr>
          </w:pPr>
          <w:r>
            <w:rPr>
              <w:rFonts w:eastAsia="Times New Roman"/>
            </w:rPr>
            <w:t xml:space="preserve">Speed, B. C., Goldstein, B. L., &amp; </w:t>
          </w:r>
          <w:proofErr w:type="spellStart"/>
          <w:r>
            <w:rPr>
              <w:rFonts w:eastAsia="Times New Roman"/>
            </w:rPr>
            <w:t>Goldfried</w:t>
          </w:r>
          <w:proofErr w:type="spellEnd"/>
          <w:r>
            <w:rPr>
              <w:rFonts w:eastAsia="Times New Roman"/>
            </w:rPr>
            <w:t xml:space="preserve">, M. R. (2017). </w:t>
          </w:r>
          <w:r>
            <w:rPr>
              <w:rFonts w:eastAsia="Times New Roman"/>
              <w:i/>
              <w:iCs/>
            </w:rPr>
            <w:t>Assertiveness Training: A Forgotten Evidence-Based Treatment</w:t>
          </w:r>
          <w:r>
            <w:rPr>
              <w:rFonts w:eastAsia="Times New Roman"/>
            </w:rPr>
            <w:t>. https://doi.org/10.1111/cpsp.12216</w:t>
          </w:r>
        </w:p>
        <w:p w14:paraId="1D371AA0" w14:textId="77777777" w:rsidR="00EC7CE1" w:rsidRDefault="00EC7CE1">
          <w:pPr>
            <w:autoSpaceDE w:val="0"/>
            <w:autoSpaceDN w:val="0"/>
            <w:ind w:hanging="480"/>
            <w:divId w:val="1761025726"/>
            <w:rPr>
              <w:rFonts w:eastAsia="Times New Roman"/>
            </w:rPr>
          </w:pPr>
          <w:r>
            <w:rPr>
              <w:rFonts w:eastAsia="Times New Roman"/>
            </w:rPr>
            <w:t xml:space="preserve">Spitzer, R. L., Kroenke, K., Williams, J. B. W., &amp; </w:t>
          </w:r>
          <w:proofErr w:type="spellStart"/>
          <w:r>
            <w:rPr>
              <w:rFonts w:eastAsia="Times New Roman"/>
            </w:rPr>
            <w:t>Löwe</w:t>
          </w:r>
          <w:proofErr w:type="spellEnd"/>
          <w:r>
            <w:rPr>
              <w:rFonts w:eastAsia="Times New Roman"/>
            </w:rPr>
            <w:t xml:space="preserve">, B. (2006). A Brief Measure for Assessing Generalized Anxiety Disorder: The GAD-7. </w:t>
          </w:r>
          <w:r>
            <w:rPr>
              <w:rFonts w:eastAsia="Times New Roman"/>
              <w:i/>
              <w:iCs/>
            </w:rPr>
            <w:t>Archives of Internal Medicine</w:t>
          </w:r>
          <w:r>
            <w:rPr>
              <w:rFonts w:eastAsia="Times New Roman"/>
            </w:rPr>
            <w:t xml:space="preserve">, </w:t>
          </w:r>
          <w:r>
            <w:rPr>
              <w:rFonts w:eastAsia="Times New Roman"/>
              <w:i/>
              <w:iCs/>
            </w:rPr>
            <w:t>166</w:t>
          </w:r>
          <w:r>
            <w:rPr>
              <w:rFonts w:eastAsia="Times New Roman"/>
            </w:rPr>
            <w:t>(10), 1092–1097. https://doi.org/10.1001/archinte.166.10.1092</w:t>
          </w:r>
        </w:p>
        <w:p w14:paraId="66053E9E" w14:textId="77777777" w:rsidR="00EC7CE1" w:rsidRDefault="00EC7CE1">
          <w:pPr>
            <w:autoSpaceDE w:val="0"/>
            <w:autoSpaceDN w:val="0"/>
            <w:ind w:hanging="480"/>
            <w:divId w:val="2011831011"/>
            <w:rPr>
              <w:rFonts w:eastAsia="Times New Roman"/>
            </w:rPr>
          </w:pPr>
          <w:proofErr w:type="spellStart"/>
          <w:r>
            <w:rPr>
              <w:rFonts w:eastAsia="Times New Roman"/>
            </w:rPr>
            <w:t>Spruyt</w:t>
          </w:r>
          <w:proofErr w:type="spellEnd"/>
          <w:r>
            <w:rPr>
              <w:rFonts w:eastAsia="Times New Roman"/>
            </w:rPr>
            <w:t xml:space="preserve">, A., </w:t>
          </w:r>
          <w:proofErr w:type="spellStart"/>
          <w:r>
            <w:rPr>
              <w:rFonts w:eastAsia="Times New Roman"/>
            </w:rPr>
            <w:t>Hermans</w:t>
          </w:r>
          <w:proofErr w:type="spellEnd"/>
          <w:r>
            <w:rPr>
              <w:rFonts w:eastAsia="Times New Roman"/>
            </w:rPr>
            <w:t xml:space="preserve">, D., </w:t>
          </w:r>
          <w:proofErr w:type="spellStart"/>
          <w:r>
            <w:rPr>
              <w:rFonts w:eastAsia="Times New Roman"/>
            </w:rPr>
            <w:t>Houwer</w:t>
          </w:r>
          <w:proofErr w:type="spellEnd"/>
          <w:r>
            <w:rPr>
              <w:rFonts w:eastAsia="Times New Roman"/>
            </w:rPr>
            <w:t xml:space="preserve">, J. De, </w:t>
          </w:r>
          <w:proofErr w:type="spellStart"/>
          <w:r>
            <w:rPr>
              <w:rFonts w:eastAsia="Times New Roman"/>
            </w:rPr>
            <w:t>Vandromme</w:t>
          </w:r>
          <w:proofErr w:type="spellEnd"/>
          <w:r>
            <w:rPr>
              <w:rFonts w:eastAsia="Times New Roman"/>
            </w:rPr>
            <w:t xml:space="preserve">, H., &amp; </w:t>
          </w:r>
          <w:proofErr w:type="spellStart"/>
          <w:r>
            <w:rPr>
              <w:rFonts w:eastAsia="Times New Roman"/>
            </w:rPr>
            <w:t>Eelen</w:t>
          </w:r>
          <w:proofErr w:type="spellEnd"/>
          <w:r>
            <w:rPr>
              <w:rFonts w:eastAsia="Times New Roman"/>
            </w:rPr>
            <w:t xml:space="preserve">, P. (2007). On the nature of the affective priming effect: Effects of stimulus onset asynchrony and congruency proportion in naming and evaluative categorization. </w:t>
          </w:r>
          <w:r>
            <w:rPr>
              <w:rFonts w:eastAsia="Times New Roman"/>
              <w:i/>
              <w:iCs/>
            </w:rPr>
            <w:t>Memory &amp; Cognition</w:t>
          </w:r>
          <w:r>
            <w:rPr>
              <w:rFonts w:eastAsia="Times New Roman"/>
            </w:rPr>
            <w:t xml:space="preserve">, </w:t>
          </w:r>
          <w:r>
            <w:rPr>
              <w:rFonts w:eastAsia="Times New Roman"/>
              <w:i/>
              <w:iCs/>
            </w:rPr>
            <w:t>35</w:t>
          </w:r>
          <w:r>
            <w:rPr>
              <w:rFonts w:eastAsia="Times New Roman"/>
            </w:rPr>
            <w:t>(1), 95–106. https://doi.org/10.3758/bf03195946</w:t>
          </w:r>
        </w:p>
        <w:p w14:paraId="72403313" w14:textId="77777777" w:rsidR="00EC7CE1" w:rsidRDefault="00EC7CE1">
          <w:pPr>
            <w:autoSpaceDE w:val="0"/>
            <w:autoSpaceDN w:val="0"/>
            <w:ind w:hanging="480"/>
            <w:divId w:val="56711117"/>
            <w:rPr>
              <w:rFonts w:eastAsia="Times New Roman"/>
            </w:rPr>
          </w:pPr>
          <w:r>
            <w:rPr>
              <w:rFonts w:eastAsia="Times New Roman"/>
            </w:rPr>
            <w:t xml:space="preserve">Stanger, C., Ryan, S. R., Fu, H., </w:t>
          </w:r>
          <w:proofErr w:type="spellStart"/>
          <w:r>
            <w:rPr>
              <w:rFonts w:eastAsia="Times New Roman"/>
            </w:rPr>
            <w:t>Landes</w:t>
          </w:r>
          <w:proofErr w:type="spellEnd"/>
          <w:r>
            <w:rPr>
              <w:rFonts w:eastAsia="Times New Roman"/>
            </w:rPr>
            <w:t xml:space="preserve">, R. D., Jones, B. A., Bickel, W. K., &amp; </w:t>
          </w:r>
          <w:proofErr w:type="spellStart"/>
          <w:r>
            <w:rPr>
              <w:rFonts w:eastAsia="Times New Roman"/>
            </w:rPr>
            <w:t>Budney</w:t>
          </w:r>
          <w:proofErr w:type="spellEnd"/>
          <w:r>
            <w:rPr>
              <w:rFonts w:eastAsia="Times New Roman"/>
            </w:rPr>
            <w:t xml:space="preserve">, A. J. (2012). Delay discounting predicts adolescent substance abuse treatment outcome. </w:t>
          </w:r>
          <w:r>
            <w:rPr>
              <w:rFonts w:eastAsia="Times New Roman"/>
              <w:i/>
              <w:iCs/>
            </w:rPr>
            <w:t>Experimental and Clinical Psychopharmacology</w:t>
          </w:r>
          <w:r>
            <w:rPr>
              <w:rFonts w:eastAsia="Times New Roman"/>
            </w:rPr>
            <w:t xml:space="preserve">, </w:t>
          </w:r>
          <w:r>
            <w:rPr>
              <w:rFonts w:eastAsia="Times New Roman"/>
              <w:i/>
              <w:iCs/>
            </w:rPr>
            <w:t>20</w:t>
          </w:r>
          <w:r>
            <w:rPr>
              <w:rFonts w:eastAsia="Times New Roman"/>
            </w:rPr>
            <w:t>(3), 205–212. https://doi.org/10.1037/A0026543</w:t>
          </w:r>
        </w:p>
        <w:p w14:paraId="23F44D86" w14:textId="77777777" w:rsidR="00EC7CE1" w:rsidRDefault="00EC7CE1">
          <w:pPr>
            <w:autoSpaceDE w:val="0"/>
            <w:autoSpaceDN w:val="0"/>
            <w:ind w:hanging="480"/>
            <w:divId w:val="1987510710"/>
            <w:rPr>
              <w:rFonts w:eastAsia="Times New Roman"/>
            </w:rPr>
          </w:pPr>
          <w:r>
            <w:rPr>
              <w:rFonts w:eastAsia="Times New Roman"/>
            </w:rPr>
            <w:t xml:space="preserve">Steffen-Klatt, A., </w:t>
          </w:r>
          <w:proofErr w:type="spellStart"/>
          <w:r>
            <w:rPr>
              <w:rFonts w:eastAsia="Times New Roman"/>
            </w:rPr>
            <w:t>Fiess</w:t>
          </w:r>
          <w:proofErr w:type="spellEnd"/>
          <w:r>
            <w:rPr>
              <w:rFonts w:eastAsia="Times New Roman"/>
            </w:rPr>
            <w:t xml:space="preserve">, J., </w:t>
          </w:r>
          <w:proofErr w:type="spellStart"/>
          <w:r>
            <w:rPr>
              <w:rFonts w:eastAsia="Times New Roman"/>
            </w:rPr>
            <w:t>Beckh</w:t>
          </w:r>
          <w:proofErr w:type="spellEnd"/>
          <w:r>
            <w:rPr>
              <w:rFonts w:eastAsia="Times New Roman"/>
            </w:rPr>
            <w:t xml:space="preserve">, J., Schmidt, R., &amp; </w:t>
          </w:r>
          <w:proofErr w:type="spellStart"/>
          <w:r>
            <w:rPr>
              <w:rFonts w:eastAsia="Times New Roman"/>
            </w:rPr>
            <w:t>Rockstroh</w:t>
          </w:r>
          <w:proofErr w:type="spellEnd"/>
          <w:r>
            <w:rPr>
              <w:rFonts w:eastAsia="Times New Roman"/>
            </w:rPr>
            <w:t xml:space="preserve">, B. (2019). The impact of adverse childhood experience on symptom severity in patients with functional neurological symptom disorder (FNSD). </w:t>
          </w:r>
          <w:r>
            <w:rPr>
              <w:rFonts w:eastAsia="Times New Roman"/>
              <w:i/>
              <w:iCs/>
            </w:rPr>
            <w:t>Mental Health &amp; Prevention</w:t>
          </w:r>
          <w:r>
            <w:rPr>
              <w:rFonts w:eastAsia="Times New Roman"/>
            </w:rPr>
            <w:t xml:space="preserve">, </w:t>
          </w:r>
          <w:r>
            <w:rPr>
              <w:rFonts w:eastAsia="Times New Roman"/>
              <w:i/>
              <w:iCs/>
            </w:rPr>
            <w:t>13</w:t>
          </w:r>
          <w:r>
            <w:rPr>
              <w:rFonts w:eastAsia="Times New Roman"/>
            </w:rPr>
            <w:t>, 169–175. https://doi.org/10.1016/J.MHP.2018.09.004</w:t>
          </w:r>
        </w:p>
        <w:p w14:paraId="6E4EDDA0" w14:textId="77777777" w:rsidR="00EC7CE1" w:rsidRDefault="00EC7CE1">
          <w:pPr>
            <w:autoSpaceDE w:val="0"/>
            <w:autoSpaceDN w:val="0"/>
            <w:ind w:hanging="480"/>
            <w:divId w:val="785926976"/>
            <w:rPr>
              <w:rFonts w:eastAsia="Times New Roman"/>
            </w:rPr>
          </w:pPr>
          <w:r>
            <w:rPr>
              <w:rFonts w:eastAsia="Times New Roman"/>
            </w:rPr>
            <w:lastRenderedPageBreak/>
            <w:t xml:space="preserve">Stephen, C. D., Fung, V., Lungu, C. I., &amp; </w:t>
          </w:r>
          <w:proofErr w:type="spellStart"/>
          <w:r>
            <w:rPr>
              <w:rFonts w:eastAsia="Times New Roman"/>
            </w:rPr>
            <w:t>Espay</w:t>
          </w:r>
          <w:proofErr w:type="spellEnd"/>
          <w:r>
            <w:rPr>
              <w:rFonts w:eastAsia="Times New Roman"/>
            </w:rPr>
            <w:t xml:space="preserve">, A. J. (2021). Assessment of Emergency Department and Inpatient Use and Costs in Adult and </w:t>
          </w:r>
          <w:proofErr w:type="spellStart"/>
          <w:r>
            <w:rPr>
              <w:rFonts w:eastAsia="Times New Roman"/>
            </w:rPr>
            <w:t>Pediatric</w:t>
          </w:r>
          <w:proofErr w:type="spellEnd"/>
          <w:r>
            <w:rPr>
              <w:rFonts w:eastAsia="Times New Roman"/>
            </w:rPr>
            <w:t xml:space="preserve"> Functional Neurological Disorders. </w:t>
          </w:r>
          <w:r>
            <w:rPr>
              <w:rFonts w:eastAsia="Times New Roman"/>
              <w:i/>
              <w:iCs/>
            </w:rPr>
            <w:t>JAMA Neurology</w:t>
          </w:r>
          <w:r>
            <w:rPr>
              <w:rFonts w:eastAsia="Times New Roman"/>
            </w:rPr>
            <w:t xml:space="preserve">, </w:t>
          </w:r>
          <w:r>
            <w:rPr>
              <w:rFonts w:eastAsia="Times New Roman"/>
              <w:i/>
              <w:iCs/>
            </w:rPr>
            <w:t>78</w:t>
          </w:r>
          <w:r>
            <w:rPr>
              <w:rFonts w:eastAsia="Times New Roman"/>
            </w:rPr>
            <w:t>(1), 88–101. https://doi.org/10.1001/jamaneurol.2020.3753</w:t>
          </w:r>
        </w:p>
        <w:p w14:paraId="62993C0F" w14:textId="77777777" w:rsidR="00EC7CE1" w:rsidRDefault="00EC7CE1">
          <w:pPr>
            <w:autoSpaceDE w:val="0"/>
            <w:autoSpaceDN w:val="0"/>
            <w:ind w:hanging="480"/>
            <w:divId w:val="39673965"/>
            <w:rPr>
              <w:rFonts w:eastAsia="Times New Roman"/>
            </w:rPr>
          </w:pPr>
          <w:r>
            <w:rPr>
              <w:rFonts w:eastAsia="Times New Roman"/>
            </w:rPr>
            <w:t xml:space="preserve">Stephen, C., Fung, V., Lungu, C., &amp; </w:t>
          </w:r>
          <w:proofErr w:type="spellStart"/>
          <w:r>
            <w:rPr>
              <w:rFonts w:eastAsia="Times New Roman"/>
            </w:rPr>
            <w:t>Espay</w:t>
          </w:r>
          <w:proofErr w:type="spellEnd"/>
          <w:r>
            <w:rPr>
              <w:rFonts w:eastAsia="Times New Roman"/>
            </w:rPr>
            <w:t xml:space="preserve">, A. (2021). Healthcare utilization and inpatient/emergency department costs in adult and </w:t>
          </w:r>
          <w:proofErr w:type="spellStart"/>
          <w:r>
            <w:rPr>
              <w:rFonts w:eastAsia="Times New Roman"/>
            </w:rPr>
            <w:t>pediatric</w:t>
          </w:r>
          <w:proofErr w:type="spellEnd"/>
          <w:r>
            <w:rPr>
              <w:rFonts w:eastAsia="Times New Roman"/>
            </w:rPr>
            <w:t xml:space="preserve"> functional neurological disorders (1584). </w:t>
          </w:r>
          <w:r>
            <w:rPr>
              <w:rFonts w:eastAsia="Times New Roman"/>
              <w:i/>
              <w:iCs/>
            </w:rPr>
            <w:t>Neurology</w:t>
          </w:r>
          <w:r>
            <w:rPr>
              <w:rFonts w:eastAsia="Times New Roman"/>
            </w:rPr>
            <w:t xml:space="preserve">, </w:t>
          </w:r>
          <w:r>
            <w:rPr>
              <w:rFonts w:eastAsia="Times New Roman"/>
              <w:i/>
              <w:iCs/>
            </w:rPr>
            <w:t>96</w:t>
          </w:r>
          <w:r>
            <w:rPr>
              <w:rFonts w:eastAsia="Times New Roman"/>
            </w:rPr>
            <w:t>(15 Supplement).</w:t>
          </w:r>
        </w:p>
        <w:p w14:paraId="2BA1EBE2" w14:textId="77777777" w:rsidR="00EC7CE1" w:rsidRDefault="00EC7CE1">
          <w:pPr>
            <w:autoSpaceDE w:val="0"/>
            <w:autoSpaceDN w:val="0"/>
            <w:ind w:hanging="480"/>
            <w:divId w:val="1738477192"/>
            <w:rPr>
              <w:rFonts w:eastAsia="Times New Roman"/>
            </w:rPr>
          </w:pPr>
          <w:r>
            <w:rPr>
              <w:rFonts w:eastAsia="Times New Roman"/>
            </w:rPr>
            <w:t xml:space="preserve">Stone, J. (2016). Functional neurological disorders: the neurological assessment as treatment. </w:t>
          </w:r>
          <w:r>
            <w:rPr>
              <w:rFonts w:eastAsia="Times New Roman"/>
              <w:i/>
              <w:iCs/>
            </w:rPr>
            <w:t>Practical Neurology</w:t>
          </w:r>
          <w:r>
            <w:rPr>
              <w:rFonts w:eastAsia="Times New Roman"/>
            </w:rPr>
            <w:t xml:space="preserve">, </w:t>
          </w:r>
          <w:r>
            <w:rPr>
              <w:rFonts w:eastAsia="Times New Roman"/>
              <w:i/>
              <w:iCs/>
            </w:rPr>
            <w:t>16</w:t>
          </w:r>
          <w:r>
            <w:rPr>
              <w:rFonts w:eastAsia="Times New Roman"/>
            </w:rPr>
            <w:t>(1), 7–17. https://doi.org/10.1136/PRACTNEUROL-2015-001241</w:t>
          </w:r>
        </w:p>
        <w:p w14:paraId="7DE30E2C" w14:textId="77777777" w:rsidR="00EC7CE1" w:rsidRDefault="00EC7CE1">
          <w:pPr>
            <w:autoSpaceDE w:val="0"/>
            <w:autoSpaceDN w:val="0"/>
            <w:ind w:hanging="480"/>
            <w:divId w:val="230775228"/>
            <w:rPr>
              <w:rFonts w:eastAsia="Times New Roman"/>
            </w:rPr>
          </w:pPr>
          <w:r>
            <w:rPr>
              <w:rFonts w:eastAsia="Times New Roman"/>
            </w:rPr>
            <w:t xml:space="preserve">Stone, J., Burton, C., &amp; Carson, A. (2020). Recognising and explaining functional neurological disorder. </w:t>
          </w:r>
          <w:r>
            <w:rPr>
              <w:rFonts w:eastAsia="Times New Roman"/>
              <w:i/>
              <w:iCs/>
            </w:rPr>
            <w:t>BMJ</w:t>
          </w:r>
          <w:r>
            <w:rPr>
              <w:rFonts w:eastAsia="Times New Roman"/>
            </w:rPr>
            <w:t xml:space="preserve">, </w:t>
          </w:r>
          <w:r>
            <w:rPr>
              <w:rFonts w:eastAsia="Times New Roman"/>
              <w:i/>
              <w:iCs/>
            </w:rPr>
            <w:t>371</w:t>
          </w:r>
          <w:r>
            <w:rPr>
              <w:rFonts w:eastAsia="Times New Roman"/>
            </w:rPr>
            <w:t>. https://doi.org/10.1136/BMJ.M3745</w:t>
          </w:r>
        </w:p>
        <w:p w14:paraId="0AA39C5B" w14:textId="77777777" w:rsidR="00EC7CE1" w:rsidRDefault="00EC7CE1">
          <w:pPr>
            <w:autoSpaceDE w:val="0"/>
            <w:autoSpaceDN w:val="0"/>
            <w:ind w:hanging="480"/>
            <w:divId w:val="836459601"/>
            <w:rPr>
              <w:rFonts w:eastAsia="Times New Roman"/>
            </w:rPr>
          </w:pPr>
          <w:r>
            <w:rPr>
              <w:rFonts w:eastAsia="Times New Roman"/>
            </w:rPr>
            <w:t xml:space="preserve">Stone, J., &amp; Carson, A. (2015). Functional neurologic disorders. </w:t>
          </w:r>
          <w:r>
            <w:rPr>
              <w:rFonts w:eastAsia="Times New Roman"/>
              <w:i/>
              <w:iCs/>
            </w:rPr>
            <w:t>Continuum (Minneapolis, Minn.)</w:t>
          </w:r>
          <w:r>
            <w:rPr>
              <w:rFonts w:eastAsia="Times New Roman"/>
            </w:rPr>
            <w:t xml:space="preserve">, </w:t>
          </w:r>
          <w:r>
            <w:rPr>
              <w:rFonts w:eastAsia="Times New Roman"/>
              <w:i/>
              <w:iCs/>
            </w:rPr>
            <w:t>21</w:t>
          </w:r>
          <w:r>
            <w:rPr>
              <w:rFonts w:eastAsia="Times New Roman"/>
            </w:rPr>
            <w:t xml:space="preserve">(3 </w:t>
          </w:r>
          <w:proofErr w:type="spellStart"/>
          <w:r>
            <w:rPr>
              <w:rFonts w:eastAsia="Times New Roman"/>
            </w:rPr>
            <w:t>Behavioral</w:t>
          </w:r>
          <w:proofErr w:type="spellEnd"/>
          <w:r>
            <w:rPr>
              <w:rFonts w:eastAsia="Times New Roman"/>
            </w:rPr>
            <w:t xml:space="preserve"> Neurology and Neuropsychiatry), 818–837. https://doi.org/10.1212/01.CON.0000466669.02477.45</w:t>
          </w:r>
        </w:p>
        <w:p w14:paraId="41B217F7" w14:textId="77777777" w:rsidR="00EC7CE1" w:rsidRDefault="00EC7CE1">
          <w:pPr>
            <w:autoSpaceDE w:val="0"/>
            <w:autoSpaceDN w:val="0"/>
            <w:ind w:hanging="480"/>
            <w:divId w:val="1015840002"/>
            <w:rPr>
              <w:rFonts w:eastAsia="Times New Roman"/>
            </w:rPr>
          </w:pPr>
          <w:r>
            <w:rPr>
              <w:rFonts w:eastAsia="Times New Roman"/>
            </w:rPr>
            <w:t xml:space="preserve">Stone, J., Carson, A., Duncan, R., Coleman, R., Roberts, R., </w:t>
          </w:r>
          <w:proofErr w:type="spellStart"/>
          <w:r>
            <w:rPr>
              <w:rFonts w:eastAsia="Times New Roman"/>
            </w:rPr>
            <w:t>Warlow</w:t>
          </w:r>
          <w:proofErr w:type="spellEnd"/>
          <w:r>
            <w:rPr>
              <w:rFonts w:eastAsia="Times New Roman"/>
            </w:rPr>
            <w:t xml:space="preserve">, C., Hibberd, C., Murray, G., Cull, R., Pelosi, A., Cavanagh, J., Matthews, K., </w:t>
          </w:r>
          <w:proofErr w:type="spellStart"/>
          <w:r>
            <w:rPr>
              <w:rFonts w:eastAsia="Times New Roman"/>
            </w:rPr>
            <w:t>Goldbeck</w:t>
          </w:r>
          <w:proofErr w:type="spellEnd"/>
          <w:r>
            <w:rPr>
              <w:rFonts w:eastAsia="Times New Roman"/>
            </w:rPr>
            <w:t xml:space="preserve">, R., Smyth, R., Walker, J., </w:t>
          </w:r>
          <w:proofErr w:type="spellStart"/>
          <w:r>
            <w:rPr>
              <w:rFonts w:eastAsia="Times New Roman"/>
            </w:rPr>
            <w:t>MacMahon</w:t>
          </w:r>
          <w:proofErr w:type="spellEnd"/>
          <w:r>
            <w:rPr>
              <w:rFonts w:eastAsia="Times New Roman"/>
            </w:rPr>
            <w:t xml:space="preserve">, A. D., &amp; Sharpe, M. (2009). Symptoms “unexplained by organic disease” in 1144 new neurology out-patients: how often does the diagnosis change at follow-up? </w:t>
          </w:r>
          <w:r>
            <w:rPr>
              <w:rFonts w:eastAsia="Times New Roman"/>
              <w:i/>
              <w:iCs/>
            </w:rPr>
            <w:t>Brain : A Journal of Neurology</w:t>
          </w:r>
          <w:r>
            <w:rPr>
              <w:rFonts w:eastAsia="Times New Roman"/>
            </w:rPr>
            <w:t xml:space="preserve">, </w:t>
          </w:r>
          <w:r>
            <w:rPr>
              <w:rFonts w:eastAsia="Times New Roman"/>
              <w:i/>
              <w:iCs/>
            </w:rPr>
            <w:t>132</w:t>
          </w:r>
          <w:r>
            <w:rPr>
              <w:rFonts w:eastAsia="Times New Roman"/>
            </w:rPr>
            <w:t>(Pt 10), 2878–2888. https://doi.org/10.1093/BRAIN/AWP220</w:t>
          </w:r>
        </w:p>
        <w:p w14:paraId="684E2E74" w14:textId="77777777" w:rsidR="00EC7CE1" w:rsidRDefault="00EC7CE1">
          <w:pPr>
            <w:autoSpaceDE w:val="0"/>
            <w:autoSpaceDN w:val="0"/>
            <w:ind w:hanging="480"/>
            <w:divId w:val="1637881169"/>
            <w:rPr>
              <w:rFonts w:eastAsia="Times New Roman"/>
            </w:rPr>
          </w:pPr>
          <w:r>
            <w:rPr>
              <w:rFonts w:eastAsia="Times New Roman"/>
            </w:rPr>
            <w:t xml:space="preserve">Stone, J., Carson, A., Duncan, R., Roberts, R., </w:t>
          </w:r>
          <w:proofErr w:type="spellStart"/>
          <w:r>
            <w:rPr>
              <w:rFonts w:eastAsia="Times New Roman"/>
            </w:rPr>
            <w:t>Warlow</w:t>
          </w:r>
          <w:proofErr w:type="spellEnd"/>
          <w:r>
            <w:rPr>
              <w:rFonts w:eastAsia="Times New Roman"/>
            </w:rPr>
            <w:t xml:space="preserve">, C., Hibberd, C., Coleman, R., Cull, R., Murray, G., Pelosi, A., Cavanagh, J., Matthews, K., </w:t>
          </w:r>
          <w:proofErr w:type="spellStart"/>
          <w:r>
            <w:rPr>
              <w:rFonts w:eastAsia="Times New Roman"/>
            </w:rPr>
            <w:t>Goldbeck</w:t>
          </w:r>
          <w:proofErr w:type="spellEnd"/>
          <w:r>
            <w:rPr>
              <w:rFonts w:eastAsia="Times New Roman"/>
            </w:rPr>
            <w:t xml:space="preserve">, R., Smyth, R., Walker, J., &amp; Sharpe, M. (2010). Who is referred to neurology clinics?--the diagnoses made in 3781 new patients. </w:t>
          </w:r>
          <w:r>
            <w:rPr>
              <w:rFonts w:eastAsia="Times New Roman"/>
              <w:i/>
              <w:iCs/>
            </w:rPr>
            <w:t xml:space="preserve">Clin </w:t>
          </w:r>
          <w:proofErr w:type="spellStart"/>
          <w:r>
            <w:rPr>
              <w:rFonts w:eastAsia="Times New Roman"/>
              <w:i/>
              <w:iCs/>
            </w:rPr>
            <w:t>Neurol</w:t>
          </w:r>
          <w:proofErr w:type="spellEnd"/>
          <w:r>
            <w:rPr>
              <w:rFonts w:eastAsia="Times New Roman"/>
              <w:i/>
              <w:iCs/>
            </w:rPr>
            <w:t xml:space="preserve"> </w:t>
          </w:r>
          <w:proofErr w:type="spellStart"/>
          <w:r>
            <w:rPr>
              <w:rFonts w:eastAsia="Times New Roman"/>
              <w:i/>
              <w:iCs/>
            </w:rPr>
            <w:t>Neurosurg</w:t>
          </w:r>
          <w:proofErr w:type="spellEnd"/>
          <w:r>
            <w:rPr>
              <w:rFonts w:eastAsia="Times New Roman"/>
            </w:rPr>
            <w:t xml:space="preserve">, </w:t>
          </w:r>
          <w:r>
            <w:rPr>
              <w:rFonts w:eastAsia="Times New Roman"/>
              <w:i/>
              <w:iCs/>
            </w:rPr>
            <w:t>112</w:t>
          </w:r>
          <w:r>
            <w:rPr>
              <w:rFonts w:eastAsia="Times New Roman"/>
            </w:rPr>
            <w:t>(9), 747–751. https://doi.org/10.1016/j.clineuro.2010.05.011</w:t>
          </w:r>
        </w:p>
        <w:p w14:paraId="1A58FC2C" w14:textId="77777777" w:rsidR="00EC7CE1" w:rsidRDefault="00EC7CE1">
          <w:pPr>
            <w:autoSpaceDE w:val="0"/>
            <w:autoSpaceDN w:val="0"/>
            <w:ind w:hanging="480"/>
            <w:divId w:val="1360207476"/>
            <w:rPr>
              <w:rFonts w:eastAsia="Times New Roman"/>
            </w:rPr>
          </w:pPr>
          <w:r>
            <w:rPr>
              <w:rFonts w:eastAsia="Times New Roman"/>
            </w:rPr>
            <w:t xml:space="preserve">Stone, J., LaFrance, W. C., Brown, R., Spiegel, D., Levenson, J. L., &amp; Sharpe, M. (2011). Conversion Disorder: Current problems and potential solutions for DSM-5. </w:t>
          </w:r>
          <w:r>
            <w:rPr>
              <w:rFonts w:eastAsia="Times New Roman"/>
              <w:i/>
              <w:iCs/>
            </w:rPr>
            <w:t>Journal of Psychosomatic Research</w:t>
          </w:r>
          <w:r>
            <w:rPr>
              <w:rFonts w:eastAsia="Times New Roman"/>
            </w:rPr>
            <w:t xml:space="preserve">, </w:t>
          </w:r>
          <w:r>
            <w:rPr>
              <w:rFonts w:eastAsia="Times New Roman"/>
              <w:i/>
              <w:iCs/>
            </w:rPr>
            <w:t>71</w:t>
          </w:r>
          <w:r>
            <w:rPr>
              <w:rFonts w:eastAsia="Times New Roman"/>
            </w:rPr>
            <w:t>(6), 369–376. https://doi.org/https://doi.org/10.1016/j.jpsychores.2011.07.005</w:t>
          </w:r>
        </w:p>
        <w:p w14:paraId="62CEEA44" w14:textId="77777777" w:rsidR="00EC7CE1" w:rsidRDefault="00EC7CE1">
          <w:pPr>
            <w:autoSpaceDE w:val="0"/>
            <w:autoSpaceDN w:val="0"/>
            <w:ind w:hanging="480"/>
            <w:divId w:val="1642032469"/>
            <w:rPr>
              <w:rFonts w:eastAsia="Times New Roman"/>
            </w:rPr>
          </w:pPr>
          <w:r>
            <w:rPr>
              <w:rFonts w:eastAsia="Times New Roman"/>
            </w:rPr>
            <w:t xml:space="preserve">Stone, J., Smyth, R., Carson, A., Lewis, S., Prescott, R., </w:t>
          </w:r>
          <w:proofErr w:type="spellStart"/>
          <w:r>
            <w:rPr>
              <w:rFonts w:eastAsia="Times New Roman"/>
            </w:rPr>
            <w:t>Warlow</w:t>
          </w:r>
          <w:proofErr w:type="spellEnd"/>
          <w:r>
            <w:rPr>
              <w:rFonts w:eastAsia="Times New Roman"/>
            </w:rPr>
            <w:t xml:space="preserve">, C., &amp; Sharpe, M. (2005). Systematic review of misdiagnosis of conversion symptoms and “hysteria.” </w:t>
          </w:r>
          <w:r>
            <w:rPr>
              <w:rFonts w:eastAsia="Times New Roman"/>
              <w:i/>
              <w:iCs/>
            </w:rPr>
            <w:t>BMJ : British Medical Journal</w:t>
          </w:r>
          <w:r>
            <w:rPr>
              <w:rFonts w:eastAsia="Times New Roman"/>
            </w:rPr>
            <w:t xml:space="preserve">, </w:t>
          </w:r>
          <w:r>
            <w:rPr>
              <w:rFonts w:eastAsia="Times New Roman"/>
              <w:i/>
              <w:iCs/>
            </w:rPr>
            <w:t>331</w:t>
          </w:r>
          <w:r>
            <w:rPr>
              <w:rFonts w:eastAsia="Times New Roman"/>
            </w:rPr>
            <w:t>(7523), 989. https://doi.org/10.1136/BMJ.38628.466898.55</w:t>
          </w:r>
        </w:p>
        <w:p w14:paraId="36FE1B14" w14:textId="77777777" w:rsidR="00EC7CE1" w:rsidRDefault="00EC7CE1">
          <w:pPr>
            <w:autoSpaceDE w:val="0"/>
            <w:autoSpaceDN w:val="0"/>
            <w:ind w:hanging="480"/>
            <w:divId w:val="2037807060"/>
            <w:rPr>
              <w:rFonts w:eastAsia="Times New Roman"/>
            </w:rPr>
          </w:pPr>
          <w:r>
            <w:rPr>
              <w:rFonts w:eastAsia="Times New Roman"/>
            </w:rPr>
            <w:lastRenderedPageBreak/>
            <w:t xml:space="preserve">Stone, J., Wojcik, W., </w:t>
          </w:r>
          <w:proofErr w:type="spellStart"/>
          <w:r>
            <w:rPr>
              <w:rFonts w:eastAsia="Times New Roman"/>
            </w:rPr>
            <w:t>Durrance</w:t>
          </w:r>
          <w:proofErr w:type="spellEnd"/>
          <w:r>
            <w:rPr>
              <w:rFonts w:eastAsia="Times New Roman"/>
            </w:rPr>
            <w:t xml:space="preserve">, D., Carson, A., Lewis, S., </w:t>
          </w:r>
          <w:proofErr w:type="spellStart"/>
          <w:r>
            <w:rPr>
              <w:rFonts w:eastAsia="Times New Roman"/>
            </w:rPr>
            <w:t>MacKenzie</w:t>
          </w:r>
          <w:proofErr w:type="spellEnd"/>
          <w:r>
            <w:rPr>
              <w:rFonts w:eastAsia="Times New Roman"/>
            </w:rPr>
            <w:t xml:space="preserve">, L., </w:t>
          </w:r>
          <w:proofErr w:type="spellStart"/>
          <w:r>
            <w:rPr>
              <w:rFonts w:eastAsia="Times New Roman"/>
            </w:rPr>
            <w:t>Warlow</w:t>
          </w:r>
          <w:proofErr w:type="spellEnd"/>
          <w:r>
            <w:rPr>
              <w:rFonts w:eastAsia="Times New Roman"/>
            </w:rPr>
            <w:t xml:space="preserve">, C. P., &amp; Sharpe, M. (2002). What should we say to patients with symptoms unexplained by disease? The “number needed to offend.” </w:t>
          </w:r>
          <w:r>
            <w:rPr>
              <w:rFonts w:eastAsia="Times New Roman"/>
              <w:i/>
              <w:iCs/>
            </w:rPr>
            <w:t>BMJ (Clinical Research Ed.)</w:t>
          </w:r>
          <w:r>
            <w:rPr>
              <w:rFonts w:eastAsia="Times New Roman"/>
            </w:rPr>
            <w:t xml:space="preserve">, </w:t>
          </w:r>
          <w:r>
            <w:rPr>
              <w:rFonts w:eastAsia="Times New Roman"/>
              <w:i/>
              <w:iCs/>
            </w:rPr>
            <w:t>325</w:t>
          </w:r>
          <w:r>
            <w:rPr>
              <w:rFonts w:eastAsia="Times New Roman"/>
            </w:rPr>
            <w:t>(7378), 1449–1450. https://doi.org/10.1136/BMJ.325.7378.1449</w:t>
          </w:r>
        </w:p>
        <w:p w14:paraId="4D61A914" w14:textId="77777777" w:rsidR="00EC7CE1" w:rsidRDefault="00EC7CE1">
          <w:pPr>
            <w:autoSpaceDE w:val="0"/>
            <w:autoSpaceDN w:val="0"/>
            <w:ind w:hanging="480"/>
            <w:divId w:val="681666821"/>
            <w:rPr>
              <w:rFonts w:eastAsia="Times New Roman"/>
            </w:rPr>
          </w:pPr>
          <w:proofErr w:type="spellStart"/>
          <w:r>
            <w:rPr>
              <w:rFonts w:eastAsia="Times New Roman"/>
            </w:rPr>
            <w:t>Streiner</w:t>
          </w:r>
          <w:proofErr w:type="spellEnd"/>
          <w:r>
            <w:rPr>
              <w:rFonts w:eastAsia="Times New Roman"/>
            </w:rPr>
            <w:t xml:space="preserve">, D., Norman, G., &amp; Cairney, J. (2015). </w:t>
          </w:r>
          <w:r>
            <w:rPr>
              <w:rFonts w:eastAsia="Times New Roman"/>
              <w:i/>
              <w:iCs/>
            </w:rPr>
            <w:t>Health measurement scales: a practical guide to their development and use</w:t>
          </w:r>
          <w:r>
            <w:rPr>
              <w:rFonts w:eastAsia="Times New Roman"/>
            </w:rPr>
            <w:t>. https://books.google.com/books?hl=en&amp;lr=&amp;id=JH3OBAAAQBAJ&amp;oi=fnd&amp;pg=PP1&amp;dq=.+Health+Measurement+Scales:+A+practical+guide+to+their+development+and+use.Oxford+University+Press,+2015doi:10.1093/med/9780199685219.001.0001.&amp;ots=tk4Euk9Ial&amp;sig=-k_JYXSq5y6i4m_fbp64Em2Dy-4</w:t>
          </w:r>
        </w:p>
        <w:p w14:paraId="36A043CD" w14:textId="77777777" w:rsidR="00EC7CE1" w:rsidRDefault="00EC7CE1">
          <w:pPr>
            <w:autoSpaceDE w:val="0"/>
            <w:autoSpaceDN w:val="0"/>
            <w:ind w:hanging="480"/>
            <w:divId w:val="494028585"/>
            <w:rPr>
              <w:rFonts w:eastAsia="Times New Roman"/>
            </w:rPr>
          </w:pPr>
          <w:r>
            <w:rPr>
              <w:rFonts w:eastAsia="Times New Roman"/>
            </w:rPr>
            <w:t xml:space="preserve">Stuart, H. (2016). Reducing the stigma of mental illness. </w:t>
          </w:r>
          <w:r>
            <w:rPr>
              <w:rFonts w:eastAsia="Times New Roman"/>
              <w:i/>
              <w:iCs/>
            </w:rPr>
            <w:t>Global Mental Health</w:t>
          </w:r>
          <w:r>
            <w:rPr>
              <w:rFonts w:eastAsia="Times New Roman"/>
            </w:rPr>
            <w:t xml:space="preserve">, </w:t>
          </w:r>
          <w:r>
            <w:rPr>
              <w:rFonts w:eastAsia="Times New Roman"/>
              <w:i/>
              <w:iCs/>
            </w:rPr>
            <w:t>3</w:t>
          </w:r>
          <w:r>
            <w:rPr>
              <w:rFonts w:eastAsia="Times New Roman"/>
            </w:rPr>
            <w:t>, e17. https://doi.org/10.1017/GMH.2016.11</w:t>
          </w:r>
        </w:p>
        <w:p w14:paraId="3D55D9A7" w14:textId="77777777" w:rsidR="00EC7CE1" w:rsidRDefault="00EC7CE1">
          <w:pPr>
            <w:autoSpaceDE w:val="0"/>
            <w:autoSpaceDN w:val="0"/>
            <w:ind w:hanging="480"/>
            <w:divId w:val="431509671"/>
            <w:rPr>
              <w:rFonts w:eastAsia="Times New Roman"/>
            </w:rPr>
          </w:pPr>
          <w:r>
            <w:rPr>
              <w:rFonts w:eastAsia="Times New Roman"/>
            </w:rPr>
            <w:t xml:space="preserve">Subic-Wrana, C., </w:t>
          </w:r>
          <w:proofErr w:type="spellStart"/>
          <w:r>
            <w:rPr>
              <w:rFonts w:eastAsia="Times New Roman"/>
            </w:rPr>
            <w:t>Beutel</w:t>
          </w:r>
          <w:proofErr w:type="spellEnd"/>
          <w:r>
            <w:rPr>
              <w:rFonts w:eastAsia="Times New Roman"/>
            </w:rPr>
            <w:t xml:space="preserve">, M. E., </w:t>
          </w:r>
          <w:proofErr w:type="spellStart"/>
          <w:r>
            <w:rPr>
              <w:rFonts w:eastAsia="Times New Roman"/>
            </w:rPr>
            <w:t>Brähler</w:t>
          </w:r>
          <w:proofErr w:type="spellEnd"/>
          <w:r>
            <w:rPr>
              <w:rFonts w:eastAsia="Times New Roman"/>
            </w:rPr>
            <w:t xml:space="preserve">, E., </w:t>
          </w:r>
          <w:proofErr w:type="spellStart"/>
          <w:r>
            <w:rPr>
              <w:rFonts w:eastAsia="Times New Roman"/>
            </w:rPr>
            <w:t>Stöbel</w:t>
          </w:r>
          <w:proofErr w:type="spellEnd"/>
          <w:r>
            <w:rPr>
              <w:rFonts w:eastAsia="Times New Roman"/>
            </w:rPr>
            <w:t xml:space="preserve">-Richter, Y., </w:t>
          </w:r>
          <w:proofErr w:type="spellStart"/>
          <w:r>
            <w:rPr>
              <w:rFonts w:eastAsia="Times New Roman"/>
            </w:rPr>
            <w:t>Knebel</w:t>
          </w:r>
          <w:proofErr w:type="spellEnd"/>
          <w:r>
            <w:rPr>
              <w:rFonts w:eastAsia="Times New Roman"/>
            </w:rPr>
            <w:t xml:space="preserve">, A., Lane, R. D., &amp; </w:t>
          </w:r>
          <w:proofErr w:type="spellStart"/>
          <w:r>
            <w:rPr>
              <w:rFonts w:eastAsia="Times New Roman"/>
            </w:rPr>
            <w:t>Wiltink</w:t>
          </w:r>
          <w:proofErr w:type="spellEnd"/>
          <w:r>
            <w:rPr>
              <w:rFonts w:eastAsia="Times New Roman"/>
            </w:rPr>
            <w:t xml:space="preserve">, J. (2014). How is emotional awareness related to emotion regulation strategies and self-reported negative affect in the general population?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9</w:t>
          </w:r>
          <w:r>
            <w:rPr>
              <w:rFonts w:eastAsia="Times New Roman"/>
            </w:rPr>
            <w:t>(3). https://doi.org/10.1371/JOURNAL.PONE.0091846</w:t>
          </w:r>
        </w:p>
        <w:p w14:paraId="218BAEC4" w14:textId="77777777" w:rsidR="00EC7CE1" w:rsidRDefault="00EC7CE1">
          <w:pPr>
            <w:autoSpaceDE w:val="0"/>
            <w:autoSpaceDN w:val="0"/>
            <w:ind w:hanging="480"/>
            <w:divId w:val="611862412"/>
            <w:rPr>
              <w:rFonts w:eastAsia="Times New Roman"/>
            </w:rPr>
          </w:pPr>
          <w:proofErr w:type="spellStart"/>
          <w:r>
            <w:rPr>
              <w:rFonts w:eastAsia="Times New Roman"/>
            </w:rPr>
            <w:t>Suurmeijer</w:t>
          </w:r>
          <w:proofErr w:type="spellEnd"/>
          <w:r>
            <w:rPr>
              <w:rFonts w:eastAsia="Times New Roman"/>
            </w:rPr>
            <w:t xml:space="preserve">, T. P. B. M., </w:t>
          </w:r>
          <w:proofErr w:type="spellStart"/>
          <w:r>
            <w:rPr>
              <w:rFonts w:eastAsia="Times New Roman"/>
            </w:rPr>
            <w:t>Reuvekamp</w:t>
          </w:r>
          <w:proofErr w:type="spellEnd"/>
          <w:r>
            <w:rPr>
              <w:rFonts w:eastAsia="Times New Roman"/>
            </w:rPr>
            <w:t xml:space="preserve">, M. F., &amp; </w:t>
          </w:r>
          <w:proofErr w:type="spellStart"/>
          <w:r>
            <w:rPr>
              <w:rFonts w:eastAsia="Times New Roman"/>
            </w:rPr>
            <w:t>Aldenkamp</w:t>
          </w:r>
          <w:proofErr w:type="spellEnd"/>
          <w:r>
            <w:rPr>
              <w:rFonts w:eastAsia="Times New Roman"/>
            </w:rPr>
            <w:t xml:space="preserve">, B. P. (2001). Social functioning, psychological functioning, and quality of life in epilepsy. </w:t>
          </w:r>
          <w:proofErr w:type="spellStart"/>
          <w:r>
            <w:rPr>
              <w:rFonts w:eastAsia="Times New Roman"/>
              <w:i/>
              <w:iCs/>
            </w:rPr>
            <w:t>Epilepsia</w:t>
          </w:r>
          <w:proofErr w:type="spellEnd"/>
          <w:r>
            <w:rPr>
              <w:rFonts w:eastAsia="Times New Roman"/>
            </w:rPr>
            <w:t xml:space="preserve">, </w:t>
          </w:r>
          <w:r>
            <w:rPr>
              <w:rFonts w:eastAsia="Times New Roman"/>
              <w:i/>
              <w:iCs/>
            </w:rPr>
            <w:t>42</w:t>
          </w:r>
          <w:r>
            <w:rPr>
              <w:rFonts w:eastAsia="Times New Roman"/>
            </w:rPr>
            <w:t>(9), 1160–1168. https://doi.org/10.1046/J.1528-1157.2001.37000.X</w:t>
          </w:r>
        </w:p>
        <w:p w14:paraId="06BC598B" w14:textId="77777777" w:rsidR="00EC7CE1" w:rsidRDefault="00EC7CE1">
          <w:pPr>
            <w:autoSpaceDE w:val="0"/>
            <w:autoSpaceDN w:val="0"/>
            <w:ind w:hanging="480"/>
            <w:divId w:val="1634599436"/>
            <w:rPr>
              <w:rFonts w:eastAsia="Times New Roman"/>
            </w:rPr>
          </w:pPr>
          <w:r>
            <w:rPr>
              <w:rFonts w:eastAsia="Times New Roman"/>
            </w:rPr>
            <w:t xml:space="preserve">Szaflarski, J. P., </w:t>
          </w:r>
          <w:proofErr w:type="spellStart"/>
          <w:r>
            <w:rPr>
              <w:rFonts w:eastAsia="Times New Roman"/>
            </w:rPr>
            <w:t>Allendorfer</w:t>
          </w:r>
          <w:proofErr w:type="spellEnd"/>
          <w:r>
            <w:rPr>
              <w:rFonts w:eastAsia="Times New Roman"/>
            </w:rPr>
            <w:t xml:space="preserve">, J. B., </w:t>
          </w:r>
          <w:proofErr w:type="spellStart"/>
          <w:r>
            <w:rPr>
              <w:rFonts w:eastAsia="Times New Roman"/>
            </w:rPr>
            <w:t>Nenert</w:t>
          </w:r>
          <w:proofErr w:type="spellEnd"/>
          <w:r>
            <w:rPr>
              <w:rFonts w:eastAsia="Times New Roman"/>
            </w:rPr>
            <w:t xml:space="preserve">, R., LaFrance Jr., W. C., </w:t>
          </w:r>
          <w:proofErr w:type="spellStart"/>
          <w:r>
            <w:rPr>
              <w:rFonts w:eastAsia="Times New Roman"/>
            </w:rPr>
            <w:t>Barkan</w:t>
          </w:r>
          <w:proofErr w:type="spellEnd"/>
          <w:r>
            <w:rPr>
              <w:rFonts w:eastAsia="Times New Roman"/>
            </w:rPr>
            <w:t xml:space="preserve">, H. I., </w:t>
          </w:r>
          <w:proofErr w:type="spellStart"/>
          <w:r>
            <w:rPr>
              <w:rFonts w:eastAsia="Times New Roman"/>
            </w:rPr>
            <w:t>DeWolfe</w:t>
          </w:r>
          <w:proofErr w:type="spellEnd"/>
          <w:r>
            <w:rPr>
              <w:rFonts w:eastAsia="Times New Roman"/>
            </w:rPr>
            <w:t xml:space="preserve">, J., Pati, S., Thomas, A. E., &amp; Ver </w:t>
          </w:r>
          <w:proofErr w:type="spellStart"/>
          <w:r>
            <w:rPr>
              <w:rFonts w:eastAsia="Times New Roman"/>
            </w:rPr>
            <w:t>Hoef</w:t>
          </w:r>
          <w:proofErr w:type="spellEnd"/>
          <w:r>
            <w:rPr>
              <w:rFonts w:eastAsia="Times New Roman"/>
            </w:rPr>
            <w:t xml:space="preserve">, L. (2018). Facial emotion processing in patients with seizure disorders.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79</w:t>
          </w:r>
          <w:r>
            <w:rPr>
              <w:rFonts w:eastAsia="Times New Roman"/>
            </w:rPr>
            <w:t>, 193–204. https://doi.org/10.1016/j.yebeh.2017.12.004</w:t>
          </w:r>
        </w:p>
        <w:p w14:paraId="02C3CFCA" w14:textId="77777777" w:rsidR="00EC7CE1" w:rsidRDefault="00EC7CE1">
          <w:pPr>
            <w:autoSpaceDE w:val="0"/>
            <w:autoSpaceDN w:val="0"/>
            <w:ind w:hanging="480"/>
            <w:divId w:val="469983369"/>
            <w:rPr>
              <w:rFonts w:eastAsia="Times New Roman"/>
            </w:rPr>
          </w:pPr>
          <w:r>
            <w:rPr>
              <w:rFonts w:eastAsia="Times New Roman"/>
            </w:rPr>
            <w:t xml:space="preserve">Szaflarski, J. P., </w:t>
          </w:r>
          <w:proofErr w:type="spellStart"/>
          <w:r>
            <w:rPr>
              <w:rFonts w:eastAsia="Times New Roman"/>
            </w:rPr>
            <w:t>Ficker</w:t>
          </w:r>
          <w:proofErr w:type="spellEnd"/>
          <w:r>
            <w:rPr>
              <w:rFonts w:eastAsia="Times New Roman"/>
            </w:rPr>
            <w:t xml:space="preserve">, D. M., Cahill, W. T., &amp; </w:t>
          </w:r>
          <w:proofErr w:type="spellStart"/>
          <w:r>
            <w:rPr>
              <w:rFonts w:eastAsia="Times New Roman"/>
            </w:rPr>
            <w:t>Privitera</w:t>
          </w:r>
          <w:proofErr w:type="spellEnd"/>
          <w:r>
            <w:rPr>
              <w:rFonts w:eastAsia="Times New Roman"/>
            </w:rPr>
            <w:t xml:space="preserve">, M. D. (2000). Four-year incidence of psychogenic nonepileptic seizures in adults in </w:t>
          </w:r>
          <w:proofErr w:type="spellStart"/>
          <w:r>
            <w:rPr>
              <w:rFonts w:eastAsia="Times New Roman"/>
            </w:rPr>
            <w:t>hamilton</w:t>
          </w:r>
          <w:proofErr w:type="spellEnd"/>
          <w:r>
            <w:rPr>
              <w:rFonts w:eastAsia="Times New Roman"/>
            </w:rPr>
            <w:t xml:space="preserve"> county, OH. </w:t>
          </w:r>
          <w:r>
            <w:rPr>
              <w:rFonts w:eastAsia="Times New Roman"/>
              <w:i/>
              <w:iCs/>
            </w:rPr>
            <w:t>Neurology</w:t>
          </w:r>
          <w:r>
            <w:rPr>
              <w:rFonts w:eastAsia="Times New Roman"/>
            </w:rPr>
            <w:t xml:space="preserve">, </w:t>
          </w:r>
          <w:r>
            <w:rPr>
              <w:rFonts w:eastAsia="Times New Roman"/>
              <w:i/>
              <w:iCs/>
            </w:rPr>
            <w:t>55</w:t>
          </w:r>
          <w:r>
            <w:rPr>
              <w:rFonts w:eastAsia="Times New Roman"/>
            </w:rPr>
            <w:t>(10), 1561–1563. https://doi.org/10.1212/WNL.55.10.1561</w:t>
          </w:r>
        </w:p>
        <w:p w14:paraId="2D0724E4" w14:textId="77777777" w:rsidR="00EC7CE1" w:rsidRDefault="00EC7CE1">
          <w:pPr>
            <w:autoSpaceDE w:val="0"/>
            <w:autoSpaceDN w:val="0"/>
            <w:ind w:hanging="480"/>
            <w:divId w:val="2089158064"/>
            <w:rPr>
              <w:rFonts w:eastAsia="Times New Roman"/>
            </w:rPr>
          </w:pPr>
          <w:r>
            <w:rPr>
              <w:rFonts w:eastAsia="Times New Roman"/>
            </w:rPr>
            <w:t xml:space="preserve">Szaflarski, J. P., &amp; LaFrance, W. C. (2018). Psychogenic Nonepileptic Seizures (PNES) as a network disorder - Evidence from neuroimaging of functional (psychogenic) neurological disorders. </w:t>
          </w:r>
          <w:r>
            <w:rPr>
              <w:rFonts w:eastAsia="Times New Roman"/>
              <w:i/>
              <w:iCs/>
            </w:rPr>
            <w:t>Epilepsy Currents</w:t>
          </w:r>
          <w:r>
            <w:rPr>
              <w:rFonts w:eastAsia="Times New Roman"/>
            </w:rPr>
            <w:t xml:space="preserve">, </w:t>
          </w:r>
          <w:r>
            <w:rPr>
              <w:rFonts w:eastAsia="Times New Roman"/>
              <w:i/>
              <w:iCs/>
            </w:rPr>
            <w:t>18</w:t>
          </w:r>
          <w:r>
            <w:rPr>
              <w:rFonts w:eastAsia="Times New Roman"/>
            </w:rPr>
            <w:t>(4), 211–216. https://doi.org/10.5698/1535-7597.18.4.211/ASSET/IMAGES/LARGE/10.5698_1535-7597.18.4.211-FIG1.JPEG</w:t>
          </w:r>
        </w:p>
        <w:p w14:paraId="061F14A1" w14:textId="77777777" w:rsidR="00EC7CE1" w:rsidRDefault="00EC7CE1">
          <w:pPr>
            <w:autoSpaceDE w:val="0"/>
            <w:autoSpaceDN w:val="0"/>
            <w:ind w:hanging="480"/>
            <w:divId w:val="1010984189"/>
            <w:rPr>
              <w:rFonts w:eastAsia="Times New Roman"/>
            </w:rPr>
          </w:pPr>
          <w:proofErr w:type="spellStart"/>
          <w:r>
            <w:rPr>
              <w:rFonts w:eastAsia="Times New Roman"/>
            </w:rPr>
            <w:lastRenderedPageBreak/>
            <w:t>Tannemaat</w:t>
          </w:r>
          <w:proofErr w:type="spellEnd"/>
          <w:r>
            <w:rPr>
              <w:rFonts w:eastAsia="Times New Roman"/>
            </w:rPr>
            <w:t xml:space="preserve">, M. R., Van Niekerk, J., </w:t>
          </w:r>
          <w:proofErr w:type="spellStart"/>
          <w:r>
            <w:rPr>
              <w:rFonts w:eastAsia="Times New Roman"/>
            </w:rPr>
            <w:t>Reijntjes</w:t>
          </w:r>
          <w:proofErr w:type="spellEnd"/>
          <w:r>
            <w:rPr>
              <w:rFonts w:eastAsia="Times New Roman"/>
            </w:rPr>
            <w:t xml:space="preserve">, R. H., Thijs, R. D., Sutton, R., &amp; Van Dijk, J. G. (2013). The semiology of tilt-induced psychogenic </w:t>
          </w:r>
          <w:proofErr w:type="spellStart"/>
          <w:r>
            <w:rPr>
              <w:rFonts w:eastAsia="Times New Roman"/>
            </w:rPr>
            <w:t>pseudosyncope</w:t>
          </w:r>
          <w:proofErr w:type="spellEnd"/>
          <w:r>
            <w:rPr>
              <w:rFonts w:eastAsia="Times New Roman"/>
            </w:rPr>
            <w:t xml:space="preserve">. </w:t>
          </w:r>
          <w:r>
            <w:rPr>
              <w:rFonts w:eastAsia="Times New Roman"/>
              <w:i/>
              <w:iCs/>
            </w:rPr>
            <w:t>Neurology</w:t>
          </w:r>
          <w:r>
            <w:rPr>
              <w:rFonts w:eastAsia="Times New Roman"/>
            </w:rPr>
            <w:t xml:space="preserve">, </w:t>
          </w:r>
          <w:r>
            <w:rPr>
              <w:rFonts w:eastAsia="Times New Roman"/>
              <w:i/>
              <w:iCs/>
            </w:rPr>
            <w:t>81</w:t>
          </w:r>
          <w:r>
            <w:rPr>
              <w:rFonts w:eastAsia="Times New Roman"/>
            </w:rPr>
            <w:t>(8), 752. https://doi.org/10.1212/WNL.0B013E3182A1AA88</w:t>
          </w:r>
        </w:p>
        <w:p w14:paraId="716707C7" w14:textId="77777777" w:rsidR="00EC7CE1" w:rsidRDefault="00EC7CE1">
          <w:pPr>
            <w:autoSpaceDE w:val="0"/>
            <w:autoSpaceDN w:val="0"/>
            <w:ind w:hanging="480"/>
            <w:divId w:val="1832283322"/>
            <w:rPr>
              <w:rFonts w:eastAsia="Times New Roman"/>
            </w:rPr>
          </w:pPr>
          <w:r>
            <w:rPr>
              <w:rFonts w:eastAsia="Times New Roman"/>
            </w:rPr>
            <w:t xml:space="preserve">Tennant, A., McKenna, S. P., &amp; </w:t>
          </w:r>
          <w:proofErr w:type="spellStart"/>
          <w:r>
            <w:rPr>
              <w:rFonts w:eastAsia="Times New Roman"/>
            </w:rPr>
            <w:t>Hagell</w:t>
          </w:r>
          <w:proofErr w:type="spellEnd"/>
          <w:r>
            <w:rPr>
              <w:rFonts w:eastAsia="Times New Roman"/>
            </w:rPr>
            <w:t xml:space="preserve">, P. (2004). Application of Rasch Analysis in the Development and Application of Quality of Life Instruments. </w:t>
          </w:r>
          <w:r>
            <w:rPr>
              <w:rFonts w:eastAsia="Times New Roman"/>
              <w:i/>
              <w:iCs/>
            </w:rPr>
            <w:t>Value in Health</w:t>
          </w:r>
          <w:r>
            <w:rPr>
              <w:rFonts w:eastAsia="Times New Roman"/>
            </w:rPr>
            <w:t xml:space="preserve">, </w:t>
          </w:r>
          <w:r>
            <w:rPr>
              <w:rFonts w:eastAsia="Times New Roman"/>
              <w:i/>
              <w:iCs/>
            </w:rPr>
            <w:t>7</w:t>
          </w:r>
          <w:r>
            <w:rPr>
              <w:rFonts w:eastAsia="Times New Roman"/>
            </w:rPr>
            <w:t>, S22–S26. https://doi.org/10.1111/j.1524-4733.2004.7s106.x</w:t>
          </w:r>
        </w:p>
        <w:p w14:paraId="18A24C57" w14:textId="77777777" w:rsidR="00EC7CE1" w:rsidRDefault="00EC7CE1">
          <w:pPr>
            <w:autoSpaceDE w:val="0"/>
            <w:autoSpaceDN w:val="0"/>
            <w:ind w:hanging="480"/>
            <w:divId w:val="1441336411"/>
            <w:rPr>
              <w:rFonts w:eastAsia="Times New Roman"/>
            </w:rPr>
          </w:pPr>
          <w:r>
            <w:rPr>
              <w:rFonts w:eastAsia="Times New Roman"/>
            </w:rPr>
            <w:t xml:space="preserve">Tennant, A., Research, P. C.-A. C. &amp;, &amp; 2007, undefined. (2007). The Rasch measurement model in rheumatology: what is it and why use it? When should it be applied, and what should one look for in a Rasch paper? </w:t>
          </w:r>
          <w:r>
            <w:rPr>
              <w:rFonts w:eastAsia="Times New Roman"/>
              <w:i/>
              <w:iCs/>
            </w:rPr>
            <w:t>Spoergeskemaer.Dk</w:t>
          </w:r>
          <w:r>
            <w:rPr>
              <w:rFonts w:eastAsia="Times New Roman"/>
            </w:rPr>
            <w:t xml:space="preserve">, </w:t>
          </w:r>
          <w:r>
            <w:rPr>
              <w:rFonts w:eastAsia="Times New Roman"/>
              <w:i/>
              <w:iCs/>
            </w:rPr>
            <w:t>57</w:t>
          </w:r>
          <w:r>
            <w:rPr>
              <w:rFonts w:eastAsia="Times New Roman"/>
            </w:rPr>
            <w:t>(8), 1358–1362. https://doi.org/10.1002/art.23108</w:t>
          </w:r>
        </w:p>
        <w:p w14:paraId="25576093" w14:textId="77777777" w:rsidR="00EC7CE1" w:rsidRDefault="00EC7CE1">
          <w:pPr>
            <w:autoSpaceDE w:val="0"/>
            <w:autoSpaceDN w:val="0"/>
            <w:ind w:hanging="480"/>
            <w:divId w:val="242641931"/>
            <w:rPr>
              <w:rFonts w:eastAsia="Times New Roman"/>
            </w:rPr>
          </w:pPr>
          <w:proofErr w:type="spellStart"/>
          <w:r>
            <w:rPr>
              <w:rFonts w:eastAsia="Times New Roman"/>
            </w:rPr>
            <w:t>Tenny</w:t>
          </w:r>
          <w:proofErr w:type="spellEnd"/>
          <w:r>
            <w:rPr>
              <w:rFonts w:eastAsia="Times New Roman"/>
            </w:rPr>
            <w:t xml:space="preserve">, S., Brannan, J. M., &amp; Brannan, G. D. (2022). </w:t>
          </w:r>
          <w:r>
            <w:rPr>
              <w:rFonts w:eastAsia="Times New Roman"/>
              <w:i/>
              <w:iCs/>
            </w:rPr>
            <w:t>Qualitative Study</w:t>
          </w:r>
          <w:r>
            <w:rPr>
              <w:rFonts w:eastAsia="Times New Roman"/>
            </w:rPr>
            <w:t>. https://www.ncbi.nlm.nih.gov/books/NBK470395/</w:t>
          </w:r>
        </w:p>
        <w:p w14:paraId="2420BF5F" w14:textId="77777777" w:rsidR="00EC7CE1" w:rsidRDefault="00EC7CE1">
          <w:pPr>
            <w:autoSpaceDE w:val="0"/>
            <w:autoSpaceDN w:val="0"/>
            <w:ind w:hanging="480"/>
            <w:divId w:val="21514553"/>
            <w:rPr>
              <w:rFonts w:eastAsia="Times New Roman"/>
            </w:rPr>
          </w:pPr>
          <w:r>
            <w:rPr>
              <w:rFonts w:eastAsia="Times New Roman"/>
            </w:rPr>
            <w:t xml:space="preserve">Testa, S. M., Krauss, G. L., Lesser, R. P., &amp; Brandt, J. (2012). Stressful life event appraisal and coping in patients with psychogenic seizures and those with epilepsy. </w:t>
          </w:r>
          <w:r>
            <w:rPr>
              <w:rFonts w:eastAsia="Times New Roman"/>
              <w:i/>
              <w:iCs/>
            </w:rPr>
            <w:t>Seizure</w:t>
          </w:r>
          <w:r>
            <w:rPr>
              <w:rFonts w:eastAsia="Times New Roman"/>
            </w:rPr>
            <w:t xml:space="preserve">, </w:t>
          </w:r>
          <w:r>
            <w:rPr>
              <w:rFonts w:eastAsia="Times New Roman"/>
              <w:i/>
              <w:iCs/>
            </w:rPr>
            <w:t>21</w:t>
          </w:r>
          <w:r>
            <w:rPr>
              <w:rFonts w:eastAsia="Times New Roman"/>
            </w:rPr>
            <w:t>(4), 282–287. https://doi.org/10.1016/j.seizure.2012.02.002</w:t>
          </w:r>
        </w:p>
        <w:p w14:paraId="175A5C6E" w14:textId="77777777" w:rsidR="00EC7CE1" w:rsidRDefault="00EC7CE1">
          <w:pPr>
            <w:autoSpaceDE w:val="0"/>
            <w:autoSpaceDN w:val="0"/>
            <w:ind w:hanging="480"/>
            <w:divId w:val="841706511"/>
            <w:rPr>
              <w:rFonts w:eastAsia="Times New Roman"/>
            </w:rPr>
          </w:pPr>
          <w:proofErr w:type="spellStart"/>
          <w:r>
            <w:rPr>
              <w:rFonts w:eastAsia="Times New Roman"/>
            </w:rPr>
            <w:t>Thoits</w:t>
          </w:r>
          <w:proofErr w:type="spellEnd"/>
          <w:r>
            <w:rPr>
              <w:rFonts w:eastAsia="Times New Roman"/>
            </w:rPr>
            <w:t xml:space="preserve">, P. A. (2011). Mechanisms linking social ties and support to physical and mental health. </w:t>
          </w:r>
          <w:r>
            <w:rPr>
              <w:rFonts w:eastAsia="Times New Roman"/>
              <w:i/>
              <w:iCs/>
            </w:rPr>
            <w:t xml:space="preserve">Journal of Health and Social </w:t>
          </w:r>
          <w:proofErr w:type="spellStart"/>
          <w:r>
            <w:rPr>
              <w:rFonts w:eastAsia="Times New Roman"/>
              <w:i/>
              <w:iCs/>
            </w:rPr>
            <w:t>Behavior</w:t>
          </w:r>
          <w:proofErr w:type="spellEnd"/>
          <w:r>
            <w:rPr>
              <w:rFonts w:eastAsia="Times New Roman"/>
            </w:rPr>
            <w:t xml:space="preserve">, </w:t>
          </w:r>
          <w:r>
            <w:rPr>
              <w:rFonts w:eastAsia="Times New Roman"/>
              <w:i/>
              <w:iCs/>
            </w:rPr>
            <w:t>52</w:t>
          </w:r>
          <w:r>
            <w:rPr>
              <w:rFonts w:eastAsia="Times New Roman"/>
            </w:rPr>
            <w:t>(2), 145–161. https://doi.org/10.1177/0022146510395592</w:t>
          </w:r>
        </w:p>
        <w:p w14:paraId="0098B54B" w14:textId="77777777" w:rsidR="00EC7CE1" w:rsidRDefault="00EC7CE1">
          <w:pPr>
            <w:autoSpaceDE w:val="0"/>
            <w:autoSpaceDN w:val="0"/>
            <w:ind w:hanging="480"/>
            <w:divId w:val="807090607"/>
            <w:rPr>
              <w:rFonts w:eastAsia="Times New Roman"/>
            </w:rPr>
          </w:pPr>
          <w:r>
            <w:rPr>
              <w:rFonts w:eastAsia="Times New Roman"/>
            </w:rPr>
            <w:t xml:space="preserve">Tice, D. M., </w:t>
          </w:r>
          <w:proofErr w:type="spellStart"/>
          <w:r>
            <w:rPr>
              <w:rFonts w:eastAsia="Times New Roman"/>
            </w:rPr>
            <w:t>Bratslavsky</w:t>
          </w:r>
          <w:proofErr w:type="spellEnd"/>
          <w:r>
            <w:rPr>
              <w:rFonts w:eastAsia="Times New Roman"/>
            </w:rPr>
            <w:t xml:space="preserve">, E., &amp; Baumeister, R. F. (2001). Emotional distress regulation takes precedence over impulse control: If you feel bad, do it! </w:t>
          </w:r>
          <w:r>
            <w:rPr>
              <w:rFonts w:eastAsia="Times New Roman"/>
              <w:i/>
              <w:iCs/>
            </w:rPr>
            <w:t>Journal of Personality and Social Psychology</w:t>
          </w:r>
          <w:r>
            <w:rPr>
              <w:rFonts w:eastAsia="Times New Roman"/>
            </w:rPr>
            <w:t xml:space="preserve">, </w:t>
          </w:r>
          <w:r>
            <w:rPr>
              <w:rFonts w:eastAsia="Times New Roman"/>
              <w:i/>
              <w:iCs/>
            </w:rPr>
            <w:t>80</w:t>
          </w:r>
          <w:r>
            <w:rPr>
              <w:rFonts w:eastAsia="Times New Roman"/>
            </w:rPr>
            <w:t>(1), 53–67. https://doi.org/10.1037/0022-3514.80.1.53</w:t>
          </w:r>
        </w:p>
        <w:p w14:paraId="7D6F9CBD" w14:textId="77777777" w:rsidR="00EC7CE1" w:rsidRDefault="00EC7CE1">
          <w:pPr>
            <w:autoSpaceDE w:val="0"/>
            <w:autoSpaceDN w:val="0"/>
            <w:ind w:hanging="480"/>
            <w:divId w:val="95254346"/>
            <w:rPr>
              <w:rFonts w:eastAsia="Times New Roman"/>
            </w:rPr>
          </w:pPr>
          <w:r>
            <w:rPr>
              <w:rFonts w:eastAsia="Times New Roman"/>
            </w:rPr>
            <w:t xml:space="preserve">Tong, X., Chen, J., Park, S. P., Wang, X., Wang, C., </w:t>
          </w:r>
          <w:proofErr w:type="spellStart"/>
          <w:r>
            <w:rPr>
              <w:rFonts w:eastAsia="Times New Roman"/>
            </w:rPr>
            <w:t>Su</w:t>
          </w:r>
          <w:proofErr w:type="spellEnd"/>
          <w:r>
            <w:rPr>
              <w:rFonts w:eastAsia="Times New Roman"/>
            </w:rPr>
            <w:t xml:space="preserve">, M., &amp; Zhou, D. (2016). Social support for people with epilepsy in China.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64</w:t>
          </w:r>
          <w:r>
            <w:rPr>
              <w:rFonts w:eastAsia="Times New Roman"/>
            </w:rPr>
            <w:t>(Pt A), 224–232. https://doi.org/10.1016/J.YEBEH.2016.08.010</w:t>
          </w:r>
        </w:p>
        <w:p w14:paraId="3DDCFC17" w14:textId="77777777" w:rsidR="00EC7CE1" w:rsidRDefault="00EC7CE1">
          <w:pPr>
            <w:autoSpaceDE w:val="0"/>
            <w:autoSpaceDN w:val="0"/>
            <w:ind w:hanging="480"/>
            <w:divId w:val="1893075605"/>
            <w:rPr>
              <w:rFonts w:eastAsia="Times New Roman"/>
            </w:rPr>
          </w:pPr>
          <w:proofErr w:type="spellStart"/>
          <w:r>
            <w:rPr>
              <w:rFonts w:eastAsia="Times New Roman"/>
            </w:rPr>
            <w:t>Tripepi</w:t>
          </w:r>
          <w:proofErr w:type="spellEnd"/>
          <w:r>
            <w:rPr>
              <w:rFonts w:eastAsia="Times New Roman"/>
            </w:rPr>
            <w:t xml:space="preserve">, G., Jager, K. J., Dekker, F. W., &amp; Zoccali, C. (2010). Stratification for Confounding – Part 2: Direct and Indirect Standardization. </w:t>
          </w:r>
          <w:r>
            <w:rPr>
              <w:rFonts w:eastAsia="Times New Roman"/>
              <w:i/>
              <w:iCs/>
            </w:rPr>
            <w:t>Nephron Clinical Practice</w:t>
          </w:r>
          <w:r>
            <w:rPr>
              <w:rFonts w:eastAsia="Times New Roman"/>
            </w:rPr>
            <w:t xml:space="preserve">, </w:t>
          </w:r>
          <w:r>
            <w:rPr>
              <w:rFonts w:eastAsia="Times New Roman"/>
              <w:i/>
              <w:iCs/>
            </w:rPr>
            <w:t>116</w:t>
          </w:r>
          <w:r>
            <w:rPr>
              <w:rFonts w:eastAsia="Times New Roman"/>
            </w:rPr>
            <w:t>(4), c322–c325. https://doi.org/10.1159/000319591</w:t>
          </w:r>
        </w:p>
        <w:p w14:paraId="61BFE647" w14:textId="77777777" w:rsidR="00EC7CE1" w:rsidRDefault="00EC7CE1">
          <w:pPr>
            <w:autoSpaceDE w:val="0"/>
            <w:autoSpaceDN w:val="0"/>
            <w:ind w:hanging="480"/>
            <w:divId w:val="229728312"/>
            <w:rPr>
              <w:rFonts w:eastAsia="Times New Roman"/>
            </w:rPr>
          </w:pPr>
          <w:proofErr w:type="spellStart"/>
          <w:r>
            <w:rPr>
              <w:rFonts w:eastAsia="Times New Roman"/>
            </w:rPr>
            <w:t>Tsanas</w:t>
          </w:r>
          <w:proofErr w:type="spellEnd"/>
          <w:r>
            <w:rPr>
              <w:rFonts w:eastAsia="Times New Roman"/>
            </w:rPr>
            <w:t xml:space="preserve">, A., Saunders, K. E. A., </w:t>
          </w:r>
          <w:proofErr w:type="spellStart"/>
          <w:r>
            <w:rPr>
              <w:rFonts w:eastAsia="Times New Roman"/>
            </w:rPr>
            <w:t>Bilderbeck</w:t>
          </w:r>
          <w:proofErr w:type="spellEnd"/>
          <w:r>
            <w:rPr>
              <w:rFonts w:eastAsia="Times New Roman"/>
            </w:rPr>
            <w:t xml:space="preserve">, A. C., </w:t>
          </w:r>
          <w:proofErr w:type="spellStart"/>
          <w:r>
            <w:rPr>
              <w:rFonts w:eastAsia="Times New Roman"/>
            </w:rPr>
            <w:t>Palmius</w:t>
          </w:r>
          <w:proofErr w:type="spellEnd"/>
          <w:r>
            <w:rPr>
              <w:rFonts w:eastAsia="Times New Roman"/>
            </w:rPr>
            <w:t xml:space="preserve">, N., </w:t>
          </w:r>
          <w:proofErr w:type="spellStart"/>
          <w:r>
            <w:rPr>
              <w:rFonts w:eastAsia="Times New Roman"/>
            </w:rPr>
            <w:t>Osipov</w:t>
          </w:r>
          <w:proofErr w:type="spellEnd"/>
          <w:r>
            <w:rPr>
              <w:rFonts w:eastAsia="Times New Roman"/>
            </w:rPr>
            <w:t xml:space="preserve">, M., Clifford, G. D., Goodwin, G. Μ., &amp; De Vos, M. (2016). Daily longitudinal self-monitoring of mood variability in bipolar disorder and borderline personality disorder. </w:t>
          </w:r>
          <w:r>
            <w:rPr>
              <w:rFonts w:eastAsia="Times New Roman"/>
              <w:i/>
              <w:iCs/>
            </w:rPr>
            <w:t>Journal of Affective Disorders.</w:t>
          </w:r>
          <w:r>
            <w:rPr>
              <w:rFonts w:eastAsia="Times New Roman"/>
            </w:rPr>
            <w:t xml:space="preserve">, </w:t>
          </w:r>
          <w:r>
            <w:rPr>
              <w:rFonts w:eastAsia="Times New Roman"/>
              <w:i/>
              <w:iCs/>
            </w:rPr>
            <w:t>205</w:t>
          </w:r>
          <w:r>
            <w:rPr>
              <w:rFonts w:eastAsia="Times New Roman"/>
            </w:rPr>
            <w:t xml:space="preserve">, 225–233. https://doi.org/10.1016/j.jad.2016.06.065 </w:t>
          </w:r>
          <w:proofErr w:type="spellStart"/>
          <w:r>
            <w:rPr>
              <w:rFonts w:eastAsia="Times New Roman"/>
            </w:rPr>
            <w:t>info:doi</w:t>
          </w:r>
          <w:proofErr w:type="spellEnd"/>
          <w:r>
            <w:rPr>
              <w:rFonts w:eastAsia="Times New Roman"/>
            </w:rPr>
            <w:t>/10.1016/j.jad.2016.06.065</w:t>
          </w:r>
        </w:p>
        <w:p w14:paraId="19F22F86" w14:textId="77777777" w:rsidR="00EC7CE1" w:rsidRDefault="00EC7CE1">
          <w:pPr>
            <w:autoSpaceDE w:val="0"/>
            <w:autoSpaceDN w:val="0"/>
            <w:ind w:hanging="480"/>
            <w:divId w:val="2026862469"/>
            <w:rPr>
              <w:rFonts w:eastAsia="Times New Roman"/>
            </w:rPr>
          </w:pPr>
          <w:proofErr w:type="spellStart"/>
          <w:r>
            <w:rPr>
              <w:rFonts w:eastAsia="Times New Roman"/>
            </w:rPr>
            <w:lastRenderedPageBreak/>
            <w:t>Tsui</w:t>
          </w:r>
          <w:proofErr w:type="spellEnd"/>
          <w:r>
            <w:rPr>
              <w:rFonts w:eastAsia="Times New Roman"/>
            </w:rPr>
            <w:t xml:space="preserve">, P., </w:t>
          </w:r>
          <w:proofErr w:type="spellStart"/>
          <w:r>
            <w:rPr>
              <w:rFonts w:eastAsia="Times New Roman"/>
            </w:rPr>
            <w:t>Deptula</w:t>
          </w:r>
          <w:proofErr w:type="spellEnd"/>
          <w:r>
            <w:rPr>
              <w:rFonts w:eastAsia="Times New Roman"/>
            </w:rPr>
            <w:t xml:space="preserve">, A., &amp; Yuan, D. Y. (2017). Conversion Disorder, Functional Neurological Symptom Disorder, and Chronic Pain: Comorbidity, Assessment, and Treatment. </w:t>
          </w:r>
          <w:r>
            <w:rPr>
              <w:rFonts w:eastAsia="Times New Roman"/>
              <w:i/>
              <w:iCs/>
            </w:rPr>
            <w:t>Current Pain and Headache Reports</w:t>
          </w:r>
          <w:r>
            <w:rPr>
              <w:rFonts w:eastAsia="Times New Roman"/>
            </w:rPr>
            <w:t xml:space="preserve">, </w:t>
          </w:r>
          <w:r>
            <w:rPr>
              <w:rFonts w:eastAsia="Times New Roman"/>
              <w:i/>
              <w:iCs/>
            </w:rPr>
            <w:t>21</w:t>
          </w:r>
          <w:r>
            <w:rPr>
              <w:rFonts w:eastAsia="Times New Roman"/>
            </w:rPr>
            <w:t>(6), 1–10. https://doi.org/10.1007/S11916-017-0627-7/TABLES/1</w:t>
          </w:r>
        </w:p>
        <w:p w14:paraId="7B15F993" w14:textId="77777777" w:rsidR="00EC7CE1" w:rsidRDefault="00EC7CE1">
          <w:pPr>
            <w:autoSpaceDE w:val="0"/>
            <w:autoSpaceDN w:val="0"/>
            <w:ind w:hanging="480"/>
            <w:divId w:val="1269772021"/>
            <w:rPr>
              <w:rFonts w:eastAsia="Times New Roman"/>
            </w:rPr>
          </w:pPr>
          <w:r>
            <w:rPr>
              <w:rFonts w:eastAsia="Times New Roman"/>
            </w:rPr>
            <w:t>Turner, J., Knowles, E., Simpson, R., Sampson, F., Dixon, S., Long, J., Bell-</w:t>
          </w:r>
          <w:proofErr w:type="spellStart"/>
          <w:r>
            <w:rPr>
              <w:rFonts w:eastAsia="Times New Roman"/>
            </w:rPr>
            <w:t>Gorrod</w:t>
          </w:r>
          <w:proofErr w:type="spellEnd"/>
          <w:r>
            <w:rPr>
              <w:rFonts w:eastAsia="Times New Roman"/>
            </w:rPr>
            <w:t xml:space="preserve">, H., Jacques, R., </w:t>
          </w:r>
          <w:proofErr w:type="spellStart"/>
          <w:r>
            <w:rPr>
              <w:rFonts w:eastAsia="Times New Roman"/>
            </w:rPr>
            <w:t>Coster</w:t>
          </w:r>
          <w:proofErr w:type="spellEnd"/>
          <w:r>
            <w:rPr>
              <w:rFonts w:eastAsia="Times New Roman"/>
            </w:rPr>
            <w:t xml:space="preserve">, J., Yang, H., Nicholl, J., Bath, P., Fall, D., &amp; Stone, T. (2021). </w:t>
          </w:r>
          <w:r>
            <w:rPr>
              <w:rFonts w:eastAsia="Times New Roman"/>
              <w:i/>
              <w:iCs/>
            </w:rPr>
            <w:t>Characteristics of the NHS 111 Online and telephone populations</w:t>
          </w:r>
          <w:r>
            <w:rPr>
              <w:rFonts w:eastAsia="Times New Roman"/>
            </w:rPr>
            <w:t>. https://www.ncbi.nlm.nih.gov/books/NBK575175/</w:t>
          </w:r>
        </w:p>
        <w:p w14:paraId="15146AB3" w14:textId="77777777" w:rsidR="00EC7CE1" w:rsidRDefault="00EC7CE1">
          <w:pPr>
            <w:autoSpaceDE w:val="0"/>
            <w:autoSpaceDN w:val="0"/>
            <w:ind w:hanging="480"/>
            <w:divId w:val="195777415"/>
            <w:rPr>
              <w:rFonts w:eastAsia="Times New Roman"/>
            </w:rPr>
          </w:pPr>
          <w:r>
            <w:rPr>
              <w:rFonts w:eastAsia="Times New Roman"/>
            </w:rPr>
            <w:t xml:space="preserve">Uchino, B. N. (2006). Social Support and Health: A Review of Physiological Processes Potentially Underlying Links to Disease Outcomes. </w:t>
          </w:r>
          <w:r>
            <w:rPr>
              <w:rFonts w:eastAsia="Times New Roman"/>
              <w:i/>
              <w:iCs/>
            </w:rPr>
            <w:t xml:space="preserve">Journal of </w:t>
          </w:r>
          <w:proofErr w:type="spellStart"/>
          <w:r>
            <w:rPr>
              <w:rFonts w:eastAsia="Times New Roman"/>
              <w:i/>
              <w:iCs/>
            </w:rPr>
            <w:t>Behavioral</w:t>
          </w:r>
          <w:proofErr w:type="spellEnd"/>
          <w:r>
            <w:rPr>
              <w:rFonts w:eastAsia="Times New Roman"/>
              <w:i/>
              <w:iCs/>
            </w:rPr>
            <w:t xml:space="preserve"> Medicine</w:t>
          </w:r>
          <w:r>
            <w:rPr>
              <w:rFonts w:eastAsia="Times New Roman"/>
            </w:rPr>
            <w:t xml:space="preserve">, </w:t>
          </w:r>
          <w:r>
            <w:rPr>
              <w:rFonts w:eastAsia="Times New Roman"/>
              <w:i/>
              <w:iCs/>
            </w:rPr>
            <w:t>29</w:t>
          </w:r>
          <w:r>
            <w:rPr>
              <w:rFonts w:eastAsia="Times New Roman"/>
            </w:rPr>
            <w:t>(4). https://doi.org/10.1007/s10865-006-9056-5</w:t>
          </w:r>
        </w:p>
        <w:p w14:paraId="4B4E16E4" w14:textId="77777777" w:rsidR="00EC7CE1" w:rsidRDefault="00EC7CE1">
          <w:pPr>
            <w:autoSpaceDE w:val="0"/>
            <w:autoSpaceDN w:val="0"/>
            <w:ind w:hanging="480"/>
            <w:divId w:val="306058497"/>
            <w:rPr>
              <w:rFonts w:eastAsia="Times New Roman"/>
            </w:rPr>
          </w:pPr>
          <w:r>
            <w:rPr>
              <w:rFonts w:eastAsia="Times New Roman"/>
            </w:rPr>
            <w:t xml:space="preserve">University of Sheffield. (n.d.). </w:t>
          </w:r>
          <w:r>
            <w:rPr>
              <w:rFonts w:eastAsia="Times New Roman"/>
              <w:i/>
              <w:iCs/>
            </w:rPr>
            <w:t>CURE Projects: ScHARR</w:t>
          </w:r>
          <w:r>
            <w:rPr>
              <w:rFonts w:eastAsia="Times New Roman"/>
            </w:rPr>
            <w:t>. https://www.sheffield.ac.uk/scharr/research/centres/cure/projects</w:t>
          </w:r>
        </w:p>
        <w:p w14:paraId="0DD0F5B5" w14:textId="77777777" w:rsidR="00EC7CE1" w:rsidRDefault="00EC7CE1">
          <w:pPr>
            <w:autoSpaceDE w:val="0"/>
            <w:autoSpaceDN w:val="0"/>
            <w:ind w:hanging="480"/>
            <w:divId w:val="1499999585"/>
            <w:rPr>
              <w:rFonts w:eastAsia="Times New Roman"/>
            </w:rPr>
          </w:pPr>
          <w:proofErr w:type="spellStart"/>
          <w:r>
            <w:rPr>
              <w:rFonts w:eastAsia="Times New Roman"/>
            </w:rPr>
            <w:t>Vago</w:t>
          </w:r>
          <w:proofErr w:type="spellEnd"/>
          <w:r>
            <w:rPr>
              <w:rFonts w:eastAsia="Times New Roman"/>
            </w:rPr>
            <w:t xml:space="preserve">, &amp; </w:t>
          </w:r>
          <w:proofErr w:type="spellStart"/>
          <w:r>
            <w:rPr>
              <w:rFonts w:eastAsia="Times New Roman"/>
            </w:rPr>
            <w:t>Silbersweig</w:t>
          </w:r>
          <w:proofErr w:type="spellEnd"/>
          <w:r>
            <w:rPr>
              <w:rFonts w:eastAsia="Times New Roman"/>
            </w:rPr>
            <w:t xml:space="preserve">. (2012). Self-awareness, self-regulation, and self-transcendence (S-ART): a framework for understanding the neurobiological mechanisms of mindfulness. </w:t>
          </w:r>
          <w:r>
            <w:rPr>
              <w:rFonts w:eastAsia="Times New Roman"/>
              <w:i/>
              <w:iCs/>
            </w:rPr>
            <w:t>Frontiers in Human Neuroscience</w:t>
          </w:r>
          <w:r>
            <w:rPr>
              <w:rFonts w:eastAsia="Times New Roman"/>
            </w:rPr>
            <w:t xml:space="preserve">, </w:t>
          </w:r>
          <w:r>
            <w:rPr>
              <w:rFonts w:eastAsia="Times New Roman"/>
              <w:i/>
              <w:iCs/>
            </w:rPr>
            <w:t>6</w:t>
          </w:r>
          <w:r>
            <w:rPr>
              <w:rFonts w:eastAsia="Times New Roman"/>
            </w:rPr>
            <w:t>(OCTOBER 2012). https://doi.org/10.3389/FNHUM.2012.00296</w:t>
          </w:r>
        </w:p>
        <w:p w14:paraId="246EE22B" w14:textId="77777777" w:rsidR="00EC7CE1" w:rsidRDefault="00EC7CE1">
          <w:pPr>
            <w:autoSpaceDE w:val="0"/>
            <w:autoSpaceDN w:val="0"/>
            <w:ind w:hanging="480"/>
            <w:divId w:val="21326398"/>
            <w:rPr>
              <w:rFonts w:eastAsia="Times New Roman"/>
            </w:rPr>
          </w:pPr>
          <w:r>
            <w:rPr>
              <w:rFonts w:eastAsia="Times New Roman"/>
            </w:rPr>
            <w:t xml:space="preserve">Vaidya-Mathur, U., Myers, L., Laban-Grant, O., </w:t>
          </w:r>
          <w:proofErr w:type="spellStart"/>
          <w:r>
            <w:rPr>
              <w:rFonts w:eastAsia="Times New Roman"/>
            </w:rPr>
            <w:t>Lancman</w:t>
          </w:r>
          <w:proofErr w:type="spellEnd"/>
          <w:r>
            <w:rPr>
              <w:rFonts w:eastAsia="Times New Roman"/>
            </w:rPr>
            <w:t xml:space="preserve">, M., </w:t>
          </w:r>
          <w:proofErr w:type="spellStart"/>
          <w:r>
            <w:rPr>
              <w:rFonts w:eastAsia="Times New Roman"/>
            </w:rPr>
            <w:t>Lancman</w:t>
          </w:r>
          <w:proofErr w:type="spellEnd"/>
          <w:r>
            <w:rPr>
              <w:rFonts w:eastAsia="Times New Roman"/>
            </w:rPr>
            <w:t xml:space="preserve">, M., &amp; Jones, J. (2016). Socialization characteristics in patients with psychogenic nonepileptic seizures (PNES).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56</w:t>
          </w:r>
          <w:r>
            <w:rPr>
              <w:rFonts w:eastAsia="Times New Roman"/>
            </w:rPr>
            <w:t>, 59–65. https://doi.org/10.1016/J.YEBEH.2015.12.032</w:t>
          </w:r>
        </w:p>
        <w:p w14:paraId="4CE7550D" w14:textId="77777777" w:rsidR="00EC7CE1" w:rsidRDefault="00EC7CE1">
          <w:pPr>
            <w:autoSpaceDE w:val="0"/>
            <w:autoSpaceDN w:val="0"/>
            <w:ind w:hanging="480"/>
            <w:divId w:val="2045401519"/>
            <w:rPr>
              <w:rFonts w:eastAsia="Times New Roman"/>
            </w:rPr>
          </w:pPr>
          <w:proofErr w:type="spellStart"/>
          <w:r>
            <w:rPr>
              <w:rFonts w:eastAsia="Times New Roman"/>
            </w:rPr>
            <w:t>Valderas</w:t>
          </w:r>
          <w:proofErr w:type="spellEnd"/>
          <w:r>
            <w:rPr>
              <w:rFonts w:eastAsia="Times New Roman"/>
            </w:rPr>
            <w:t xml:space="preserve">, J. M., </w:t>
          </w:r>
          <w:proofErr w:type="spellStart"/>
          <w:r>
            <w:rPr>
              <w:rFonts w:eastAsia="Times New Roman"/>
            </w:rPr>
            <w:t>Kotzeva</w:t>
          </w:r>
          <w:proofErr w:type="spellEnd"/>
          <w:r>
            <w:rPr>
              <w:rFonts w:eastAsia="Times New Roman"/>
            </w:rPr>
            <w:t xml:space="preserve">, A., </w:t>
          </w:r>
          <w:proofErr w:type="spellStart"/>
          <w:r>
            <w:rPr>
              <w:rFonts w:eastAsia="Times New Roman"/>
            </w:rPr>
            <w:t>Espallargues</w:t>
          </w:r>
          <w:proofErr w:type="spellEnd"/>
          <w:r>
            <w:rPr>
              <w:rFonts w:eastAsia="Times New Roman"/>
            </w:rPr>
            <w:t xml:space="preserve">, M., </w:t>
          </w:r>
          <w:proofErr w:type="spellStart"/>
          <w:r>
            <w:rPr>
              <w:rFonts w:eastAsia="Times New Roman"/>
            </w:rPr>
            <w:t>Guyatt</w:t>
          </w:r>
          <w:proofErr w:type="spellEnd"/>
          <w:r>
            <w:rPr>
              <w:rFonts w:eastAsia="Times New Roman"/>
            </w:rPr>
            <w:t xml:space="preserve">, G., </w:t>
          </w:r>
          <w:proofErr w:type="spellStart"/>
          <w:r>
            <w:rPr>
              <w:rFonts w:eastAsia="Times New Roman"/>
            </w:rPr>
            <w:t>Ferrans</w:t>
          </w:r>
          <w:proofErr w:type="spellEnd"/>
          <w:r>
            <w:rPr>
              <w:rFonts w:eastAsia="Times New Roman"/>
            </w:rPr>
            <w:t xml:space="preserve">, C. E., Halyard, M. Y., </w:t>
          </w:r>
          <w:proofErr w:type="spellStart"/>
          <w:r>
            <w:rPr>
              <w:rFonts w:eastAsia="Times New Roman"/>
            </w:rPr>
            <w:t>Revicki</w:t>
          </w:r>
          <w:proofErr w:type="spellEnd"/>
          <w:r>
            <w:rPr>
              <w:rFonts w:eastAsia="Times New Roman"/>
            </w:rPr>
            <w:t xml:space="preserve">, D. A., Symonds, T., Parada, A., &amp; Alonso, J. (2008). The impact of measuring patient-reported outcomes in clinical practice: a systematic review of the literature. </w:t>
          </w:r>
          <w:r>
            <w:rPr>
              <w:rFonts w:eastAsia="Times New Roman"/>
              <w:i/>
              <w:iCs/>
            </w:rPr>
            <w:t>Quality of Life Research : An International Journal of Quality of Life Aspects of Treatment, Care and Rehabilitation</w:t>
          </w:r>
          <w:r>
            <w:rPr>
              <w:rFonts w:eastAsia="Times New Roman"/>
            </w:rPr>
            <w:t xml:space="preserve">, </w:t>
          </w:r>
          <w:r>
            <w:rPr>
              <w:rFonts w:eastAsia="Times New Roman"/>
              <w:i/>
              <w:iCs/>
            </w:rPr>
            <w:t>17</w:t>
          </w:r>
          <w:r>
            <w:rPr>
              <w:rFonts w:eastAsia="Times New Roman"/>
            </w:rPr>
            <w:t>(2), 179–193. https://doi.org/10.1007/S11136-007-9295-0</w:t>
          </w:r>
        </w:p>
        <w:p w14:paraId="61B6ADDC" w14:textId="77777777" w:rsidR="00EC7CE1" w:rsidRDefault="00EC7CE1">
          <w:pPr>
            <w:autoSpaceDE w:val="0"/>
            <w:autoSpaceDN w:val="0"/>
            <w:ind w:hanging="480"/>
            <w:divId w:val="818691894"/>
            <w:rPr>
              <w:rFonts w:eastAsia="Times New Roman"/>
            </w:rPr>
          </w:pPr>
          <w:r>
            <w:rPr>
              <w:rFonts w:eastAsia="Times New Roman"/>
            </w:rPr>
            <w:t xml:space="preserve">van </w:t>
          </w:r>
          <w:proofErr w:type="spellStart"/>
          <w:r>
            <w:rPr>
              <w:rFonts w:eastAsia="Times New Roman"/>
            </w:rPr>
            <w:t>Buuren</w:t>
          </w:r>
          <w:proofErr w:type="spellEnd"/>
          <w:r>
            <w:rPr>
              <w:rFonts w:eastAsia="Times New Roman"/>
            </w:rPr>
            <w:t xml:space="preserve">, S. (2007). Multiple imputation of discrete and continuous data by fully conditional specification. </w:t>
          </w:r>
          <w:r>
            <w:rPr>
              <w:rFonts w:eastAsia="Times New Roman"/>
              <w:i/>
              <w:iCs/>
            </w:rPr>
            <w:t>Statistical Methods in Medical Research</w:t>
          </w:r>
          <w:r>
            <w:rPr>
              <w:rFonts w:eastAsia="Times New Roman"/>
            </w:rPr>
            <w:t xml:space="preserve">, </w:t>
          </w:r>
          <w:r>
            <w:rPr>
              <w:rFonts w:eastAsia="Times New Roman"/>
              <w:i/>
              <w:iCs/>
            </w:rPr>
            <w:t>16</w:t>
          </w:r>
          <w:r>
            <w:rPr>
              <w:rFonts w:eastAsia="Times New Roman"/>
            </w:rPr>
            <w:t>, 219–242. https://doi.org/10.1177/0962280206074463</w:t>
          </w:r>
        </w:p>
        <w:p w14:paraId="3838BE78" w14:textId="77777777" w:rsidR="00EC7CE1" w:rsidRDefault="00EC7CE1">
          <w:pPr>
            <w:autoSpaceDE w:val="0"/>
            <w:autoSpaceDN w:val="0"/>
            <w:ind w:hanging="480"/>
            <w:divId w:val="140510706"/>
            <w:rPr>
              <w:rFonts w:eastAsia="Times New Roman"/>
            </w:rPr>
          </w:pPr>
          <w:r>
            <w:rPr>
              <w:rFonts w:eastAsia="Times New Roman"/>
            </w:rPr>
            <w:t xml:space="preserve">van </w:t>
          </w:r>
          <w:proofErr w:type="spellStart"/>
          <w:r>
            <w:rPr>
              <w:rFonts w:eastAsia="Times New Roman"/>
            </w:rPr>
            <w:t>Buuren</w:t>
          </w:r>
          <w:proofErr w:type="spellEnd"/>
          <w:r>
            <w:rPr>
              <w:rFonts w:eastAsia="Times New Roman"/>
            </w:rPr>
            <w:t xml:space="preserve">, S., &amp; </w:t>
          </w:r>
          <w:proofErr w:type="spellStart"/>
          <w:r>
            <w:rPr>
              <w:rFonts w:eastAsia="Times New Roman"/>
            </w:rPr>
            <w:t>Groothuis-Oudshoorn</w:t>
          </w:r>
          <w:proofErr w:type="spellEnd"/>
          <w:r>
            <w:rPr>
              <w:rFonts w:eastAsia="Times New Roman"/>
            </w:rPr>
            <w:t xml:space="preserve">, K. (2011). mice: Multivariate Imputation by Chained Equations in R. </w:t>
          </w:r>
          <w:r>
            <w:rPr>
              <w:rFonts w:eastAsia="Times New Roman"/>
              <w:i/>
              <w:iCs/>
            </w:rPr>
            <w:t>Journal of Statistical Software</w:t>
          </w:r>
          <w:r>
            <w:rPr>
              <w:rFonts w:eastAsia="Times New Roman"/>
            </w:rPr>
            <w:t xml:space="preserve">, </w:t>
          </w:r>
          <w:r>
            <w:rPr>
              <w:rFonts w:eastAsia="Times New Roman"/>
              <w:i/>
              <w:iCs/>
            </w:rPr>
            <w:t>45</w:t>
          </w:r>
          <w:r>
            <w:rPr>
              <w:rFonts w:eastAsia="Times New Roman"/>
            </w:rPr>
            <w:t>(3), 1–67. https://doi.org/10.18637/JSS.V045.I03</w:t>
          </w:r>
        </w:p>
        <w:p w14:paraId="73EFCA7F" w14:textId="77777777" w:rsidR="00EC7CE1" w:rsidRDefault="00EC7CE1">
          <w:pPr>
            <w:autoSpaceDE w:val="0"/>
            <w:autoSpaceDN w:val="0"/>
            <w:ind w:hanging="480"/>
            <w:divId w:val="794636856"/>
            <w:rPr>
              <w:rFonts w:eastAsia="Times New Roman"/>
            </w:rPr>
          </w:pPr>
          <w:r>
            <w:rPr>
              <w:rFonts w:eastAsia="Times New Roman"/>
            </w:rPr>
            <w:lastRenderedPageBreak/>
            <w:t xml:space="preserve">van der </w:t>
          </w:r>
          <w:proofErr w:type="spellStart"/>
          <w:r>
            <w:rPr>
              <w:rFonts w:eastAsia="Times New Roman"/>
            </w:rPr>
            <w:t>Hiele</w:t>
          </w:r>
          <w:proofErr w:type="spellEnd"/>
          <w:r>
            <w:rPr>
              <w:rFonts w:eastAsia="Times New Roman"/>
            </w:rPr>
            <w:t xml:space="preserve">, K., </w:t>
          </w:r>
          <w:proofErr w:type="spellStart"/>
          <w:r>
            <w:rPr>
              <w:rFonts w:eastAsia="Times New Roman"/>
            </w:rPr>
            <w:t>Spliethoff-Kamminga</w:t>
          </w:r>
          <w:proofErr w:type="spellEnd"/>
          <w:r>
            <w:rPr>
              <w:rFonts w:eastAsia="Times New Roman"/>
            </w:rPr>
            <w:t xml:space="preserve">, N. G., </w:t>
          </w:r>
          <w:proofErr w:type="spellStart"/>
          <w:r>
            <w:rPr>
              <w:rFonts w:eastAsia="Times New Roman"/>
            </w:rPr>
            <w:t>Ruimschotel</w:t>
          </w:r>
          <w:proofErr w:type="spellEnd"/>
          <w:r>
            <w:rPr>
              <w:rFonts w:eastAsia="Times New Roman"/>
            </w:rPr>
            <w:t xml:space="preserve">, R. P., </w:t>
          </w:r>
          <w:proofErr w:type="spellStart"/>
          <w:r>
            <w:rPr>
              <w:rFonts w:eastAsia="Times New Roman"/>
            </w:rPr>
            <w:t>Middelkoop</w:t>
          </w:r>
          <w:proofErr w:type="spellEnd"/>
          <w:r>
            <w:rPr>
              <w:rFonts w:eastAsia="Times New Roman"/>
            </w:rPr>
            <w:t xml:space="preserve">, H. A., &amp; Visser, L. H. (2012). The relationship between self-reported executive performance and psychological characteristics in multiple sclerosis. </w:t>
          </w:r>
          <w:proofErr w:type="spellStart"/>
          <w:r>
            <w:rPr>
              <w:rFonts w:eastAsia="Times New Roman"/>
              <w:i/>
              <w:iCs/>
            </w:rPr>
            <w:t>Eur</w:t>
          </w:r>
          <w:proofErr w:type="spellEnd"/>
          <w:r>
            <w:rPr>
              <w:rFonts w:eastAsia="Times New Roman"/>
              <w:i/>
              <w:iCs/>
            </w:rPr>
            <w:t xml:space="preserve"> J </w:t>
          </w:r>
          <w:proofErr w:type="spellStart"/>
          <w:r>
            <w:rPr>
              <w:rFonts w:eastAsia="Times New Roman"/>
              <w:i/>
              <w:iCs/>
            </w:rPr>
            <w:t>Neurol</w:t>
          </w:r>
          <w:proofErr w:type="spellEnd"/>
          <w:r>
            <w:rPr>
              <w:rFonts w:eastAsia="Times New Roman"/>
            </w:rPr>
            <w:t xml:space="preserve">, </w:t>
          </w:r>
          <w:r>
            <w:rPr>
              <w:rFonts w:eastAsia="Times New Roman"/>
              <w:i/>
              <w:iCs/>
            </w:rPr>
            <w:t>19</w:t>
          </w:r>
          <w:r>
            <w:rPr>
              <w:rFonts w:eastAsia="Times New Roman"/>
            </w:rPr>
            <w:t>(4), 562–569. https://doi.org/10.1111/j.1468-1331.2011.03538.x</w:t>
          </w:r>
        </w:p>
        <w:p w14:paraId="51386039" w14:textId="77777777" w:rsidR="00EC7CE1" w:rsidRDefault="00EC7CE1">
          <w:pPr>
            <w:autoSpaceDE w:val="0"/>
            <w:autoSpaceDN w:val="0"/>
            <w:ind w:hanging="480"/>
            <w:divId w:val="372121268"/>
            <w:rPr>
              <w:rFonts w:eastAsia="Times New Roman"/>
            </w:rPr>
          </w:pPr>
          <w:r>
            <w:rPr>
              <w:rFonts w:eastAsia="Times New Roman"/>
            </w:rPr>
            <w:t xml:space="preserve">van Reenen M, &amp; Janssen, B. (2015). </w:t>
          </w:r>
          <w:r>
            <w:rPr>
              <w:rFonts w:eastAsia="Times New Roman"/>
              <w:i/>
              <w:iCs/>
            </w:rPr>
            <w:t>EQ-5D-5L User Guide, Basic Information on how to use the EQ-5D-5L instrument.: Vol. 2.1</w:t>
          </w:r>
          <w:r>
            <w:rPr>
              <w:rFonts w:eastAsia="Times New Roman"/>
            </w:rPr>
            <w:t xml:space="preserve">. </w:t>
          </w:r>
          <w:proofErr w:type="spellStart"/>
          <w:r>
            <w:rPr>
              <w:rFonts w:eastAsia="Times New Roman"/>
            </w:rPr>
            <w:t>EuroQol</w:t>
          </w:r>
          <w:proofErr w:type="spellEnd"/>
          <w:r>
            <w:rPr>
              <w:rFonts w:eastAsia="Times New Roman"/>
            </w:rPr>
            <w:t xml:space="preserve"> Research Foundation.</w:t>
          </w:r>
        </w:p>
        <w:p w14:paraId="7AD04EBC" w14:textId="77777777" w:rsidR="00EC7CE1" w:rsidRDefault="00EC7CE1">
          <w:pPr>
            <w:autoSpaceDE w:val="0"/>
            <w:autoSpaceDN w:val="0"/>
            <w:ind w:hanging="480"/>
            <w:divId w:val="2087457511"/>
            <w:rPr>
              <w:rFonts w:eastAsia="Times New Roman"/>
            </w:rPr>
          </w:pPr>
          <w:proofErr w:type="spellStart"/>
          <w:r>
            <w:rPr>
              <w:rFonts w:eastAsia="Times New Roman"/>
            </w:rPr>
            <w:t>Vedsted</w:t>
          </w:r>
          <w:proofErr w:type="spellEnd"/>
          <w:r>
            <w:rPr>
              <w:rFonts w:eastAsia="Times New Roman"/>
            </w:rPr>
            <w:t xml:space="preserve">, P., &amp; Christensen, M. B. (2005). Frequent attenders in general practice care: A literature review with special reference to methodological considerations. </w:t>
          </w:r>
          <w:r>
            <w:rPr>
              <w:rFonts w:eastAsia="Times New Roman"/>
              <w:i/>
              <w:iCs/>
            </w:rPr>
            <w:t>Public Health</w:t>
          </w:r>
          <w:r>
            <w:rPr>
              <w:rFonts w:eastAsia="Times New Roman"/>
            </w:rPr>
            <w:t xml:space="preserve">, </w:t>
          </w:r>
          <w:r>
            <w:rPr>
              <w:rFonts w:eastAsia="Times New Roman"/>
              <w:i/>
              <w:iCs/>
            </w:rPr>
            <w:t>119</w:t>
          </w:r>
          <w:r>
            <w:rPr>
              <w:rFonts w:eastAsia="Times New Roman"/>
            </w:rPr>
            <w:t>(2), 118–137. https://doi.org/10.1016/j.puhe.2004.03.007</w:t>
          </w:r>
        </w:p>
        <w:p w14:paraId="24696EF2" w14:textId="77777777" w:rsidR="00EC7CE1" w:rsidRDefault="00EC7CE1">
          <w:pPr>
            <w:autoSpaceDE w:val="0"/>
            <w:autoSpaceDN w:val="0"/>
            <w:ind w:hanging="480"/>
            <w:divId w:val="676928889"/>
            <w:rPr>
              <w:rFonts w:eastAsia="Times New Roman"/>
            </w:rPr>
          </w:pPr>
          <w:r>
            <w:rPr>
              <w:rFonts w:eastAsia="Times New Roman"/>
            </w:rPr>
            <w:t xml:space="preserve">Vijay, K. G., </w:t>
          </w:r>
          <w:proofErr w:type="spellStart"/>
          <w:r>
            <w:rPr>
              <w:rFonts w:eastAsia="Times New Roman"/>
            </w:rPr>
            <w:t>Avasthi</w:t>
          </w:r>
          <w:proofErr w:type="spellEnd"/>
          <w:r>
            <w:rPr>
              <w:rFonts w:eastAsia="Times New Roman"/>
            </w:rPr>
            <w:t xml:space="preserve">, A., &amp; Grover, S. (2014). A study of worry and functional somatic symptoms in generalized anxiety disorder. </w:t>
          </w:r>
          <w:r>
            <w:rPr>
              <w:rFonts w:eastAsia="Times New Roman"/>
              <w:i/>
              <w:iCs/>
            </w:rPr>
            <w:t>Asian Journal of Psychiatry</w:t>
          </w:r>
          <w:r>
            <w:rPr>
              <w:rFonts w:eastAsia="Times New Roman"/>
            </w:rPr>
            <w:t xml:space="preserve">, </w:t>
          </w:r>
          <w:r>
            <w:rPr>
              <w:rFonts w:eastAsia="Times New Roman"/>
              <w:i/>
              <w:iCs/>
            </w:rPr>
            <w:t>11</w:t>
          </w:r>
          <w:r>
            <w:rPr>
              <w:rFonts w:eastAsia="Times New Roman"/>
            </w:rPr>
            <w:t>, 50–52. https://doi.org/10.1016/j.ajp.2014.05.011</w:t>
          </w:r>
        </w:p>
        <w:p w14:paraId="7BD1FC13" w14:textId="77777777" w:rsidR="00EC7CE1" w:rsidRDefault="00EC7CE1">
          <w:pPr>
            <w:autoSpaceDE w:val="0"/>
            <w:autoSpaceDN w:val="0"/>
            <w:ind w:hanging="480"/>
            <w:divId w:val="947472842"/>
            <w:rPr>
              <w:rFonts w:eastAsia="Times New Roman"/>
            </w:rPr>
          </w:pPr>
          <w:proofErr w:type="spellStart"/>
          <w:r>
            <w:rPr>
              <w:rFonts w:eastAsia="Times New Roman"/>
            </w:rPr>
            <w:t>Villagrán</w:t>
          </w:r>
          <w:proofErr w:type="spellEnd"/>
          <w:r>
            <w:rPr>
              <w:rFonts w:eastAsia="Times New Roman"/>
            </w:rPr>
            <w:t xml:space="preserve">, A., </w:t>
          </w:r>
          <w:proofErr w:type="spellStart"/>
          <w:r>
            <w:rPr>
              <w:rFonts w:eastAsia="Times New Roman"/>
            </w:rPr>
            <w:t>Eldøen</w:t>
          </w:r>
          <w:proofErr w:type="spellEnd"/>
          <w:r>
            <w:rPr>
              <w:rFonts w:eastAsia="Times New Roman"/>
            </w:rPr>
            <w:t xml:space="preserve">, G., Duncan, R., </w:t>
          </w:r>
          <w:proofErr w:type="spellStart"/>
          <w:r>
            <w:rPr>
              <w:rFonts w:eastAsia="Times New Roman"/>
            </w:rPr>
            <w:t>Modalsli</w:t>
          </w:r>
          <w:proofErr w:type="spellEnd"/>
          <w:r>
            <w:rPr>
              <w:rFonts w:eastAsia="Times New Roman"/>
            </w:rPr>
            <w:t xml:space="preserve"> </w:t>
          </w:r>
          <w:proofErr w:type="spellStart"/>
          <w:r>
            <w:rPr>
              <w:rFonts w:eastAsia="Times New Roman"/>
            </w:rPr>
            <w:t>Aaberg</w:t>
          </w:r>
          <w:proofErr w:type="spellEnd"/>
          <w:r>
            <w:rPr>
              <w:rFonts w:eastAsia="Times New Roman"/>
            </w:rPr>
            <w:t xml:space="preserve">, K., </w:t>
          </w:r>
          <w:proofErr w:type="spellStart"/>
          <w:r>
            <w:rPr>
              <w:rFonts w:eastAsia="Times New Roman"/>
            </w:rPr>
            <w:t>Hofoss</w:t>
          </w:r>
          <w:proofErr w:type="spellEnd"/>
          <w:r>
            <w:rPr>
              <w:rFonts w:eastAsia="Times New Roman"/>
            </w:rPr>
            <w:t xml:space="preserve">, D., &amp; Ingvar </w:t>
          </w:r>
          <w:proofErr w:type="spellStart"/>
          <w:r>
            <w:rPr>
              <w:rFonts w:eastAsia="Times New Roman"/>
            </w:rPr>
            <w:t>Lossius</w:t>
          </w:r>
          <w:proofErr w:type="spellEnd"/>
          <w:r>
            <w:rPr>
              <w:rFonts w:eastAsia="Times New Roman"/>
            </w:rPr>
            <w:t xml:space="preserve">, M. (2021). </w:t>
          </w:r>
          <w:r>
            <w:rPr>
              <w:rFonts w:eastAsia="Times New Roman"/>
              <w:i/>
              <w:iCs/>
            </w:rPr>
            <w:t>Incidence and prevalence of psychogenic nonepileptic seizures in a Norwegian county: A 10-year population-based study</w:t>
          </w:r>
          <w:r>
            <w:rPr>
              <w:rFonts w:eastAsia="Times New Roman"/>
            </w:rPr>
            <w:t>. https://doi.org/10.1111/epi.16949</w:t>
          </w:r>
        </w:p>
        <w:p w14:paraId="41C04DA7" w14:textId="77777777" w:rsidR="00EC7CE1" w:rsidRDefault="00EC7CE1">
          <w:pPr>
            <w:autoSpaceDE w:val="0"/>
            <w:autoSpaceDN w:val="0"/>
            <w:ind w:hanging="480"/>
            <w:divId w:val="2063361313"/>
            <w:rPr>
              <w:rFonts w:eastAsia="Times New Roman"/>
            </w:rPr>
          </w:pPr>
          <w:r>
            <w:rPr>
              <w:rFonts w:eastAsia="Times New Roman"/>
            </w:rPr>
            <w:t xml:space="preserve">Visser, L. H., &amp; van der </w:t>
          </w:r>
          <w:proofErr w:type="spellStart"/>
          <w:r>
            <w:rPr>
              <w:rFonts w:eastAsia="Times New Roman"/>
            </w:rPr>
            <w:t>Hiele</w:t>
          </w:r>
          <w:proofErr w:type="spellEnd"/>
          <w:r>
            <w:rPr>
              <w:rFonts w:eastAsia="Times New Roman"/>
            </w:rPr>
            <w:t xml:space="preserve">, K. (2014). Self-reports of executive functioning in multiple sclerosis: to trust or not to trust. </w:t>
          </w:r>
          <w:proofErr w:type="spellStart"/>
          <w:r>
            <w:rPr>
              <w:rFonts w:eastAsia="Times New Roman"/>
              <w:i/>
              <w:iCs/>
            </w:rPr>
            <w:t>Neurodegener</w:t>
          </w:r>
          <w:proofErr w:type="spellEnd"/>
          <w:r>
            <w:rPr>
              <w:rFonts w:eastAsia="Times New Roman"/>
              <w:i/>
              <w:iCs/>
            </w:rPr>
            <w:t xml:space="preserve"> Dis </w:t>
          </w:r>
          <w:proofErr w:type="spellStart"/>
          <w:r>
            <w:rPr>
              <w:rFonts w:eastAsia="Times New Roman"/>
              <w:i/>
              <w:iCs/>
            </w:rPr>
            <w:t>Manag</w:t>
          </w:r>
          <w:proofErr w:type="spellEnd"/>
          <w:r>
            <w:rPr>
              <w:rFonts w:eastAsia="Times New Roman"/>
            </w:rPr>
            <w:t xml:space="preserve">, </w:t>
          </w:r>
          <w:r>
            <w:rPr>
              <w:rFonts w:eastAsia="Times New Roman"/>
              <w:i/>
              <w:iCs/>
            </w:rPr>
            <w:t>4</w:t>
          </w:r>
          <w:r>
            <w:rPr>
              <w:rFonts w:eastAsia="Times New Roman"/>
            </w:rPr>
            <w:t>(2), 109–111. https://doi.org/10.2217/nmt.14.15</w:t>
          </w:r>
        </w:p>
        <w:p w14:paraId="096FD71D" w14:textId="77777777" w:rsidR="00EC7CE1" w:rsidRDefault="00EC7CE1">
          <w:pPr>
            <w:autoSpaceDE w:val="0"/>
            <w:autoSpaceDN w:val="0"/>
            <w:ind w:hanging="480"/>
            <w:divId w:val="1319648510"/>
            <w:rPr>
              <w:rFonts w:eastAsia="Times New Roman"/>
            </w:rPr>
          </w:pPr>
          <w:proofErr w:type="spellStart"/>
          <w:r>
            <w:rPr>
              <w:rFonts w:eastAsia="Times New Roman"/>
            </w:rPr>
            <w:t>Voon</w:t>
          </w:r>
          <w:proofErr w:type="spellEnd"/>
          <w:r>
            <w:rPr>
              <w:rFonts w:eastAsia="Times New Roman"/>
            </w:rPr>
            <w:t xml:space="preserve">, V., </w:t>
          </w:r>
          <w:proofErr w:type="spellStart"/>
          <w:r>
            <w:rPr>
              <w:rFonts w:eastAsia="Times New Roman"/>
            </w:rPr>
            <w:t>Brezing</w:t>
          </w:r>
          <w:proofErr w:type="spellEnd"/>
          <w:r>
            <w:rPr>
              <w:rFonts w:eastAsia="Times New Roman"/>
            </w:rPr>
            <w:t xml:space="preserve">, C., </w:t>
          </w:r>
          <w:proofErr w:type="spellStart"/>
          <w:r>
            <w:rPr>
              <w:rFonts w:eastAsia="Times New Roman"/>
            </w:rPr>
            <w:t>Gallea</w:t>
          </w:r>
          <w:proofErr w:type="spellEnd"/>
          <w:r>
            <w:rPr>
              <w:rFonts w:eastAsia="Times New Roman"/>
            </w:rPr>
            <w:t xml:space="preserve">, C., </w:t>
          </w:r>
          <w:proofErr w:type="spellStart"/>
          <w:r>
            <w:rPr>
              <w:rFonts w:eastAsia="Times New Roman"/>
            </w:rPr>
            <w:t>Ameli</w:t>
          </w:r>
          <w:proofErr w:type="spellEnd"/>
          <w:r>
            <w:rPr>
              <w:rFonts w:eastAsia="Times New Roman"/>
            </w:rPr>
            <w:t xml:space="preserve">, R., </w:t>
          </w:r>
          <w:proofErr w:type="spellStart"/>
          <w:r>
            <w:rPr>
              <w:rFonts w:eastAsia="Times New Roman"/>
            </w:rPr>
            <w:t>Roelofs</w:t>
          </w:r>
          <w:proofErr w:type="spellEnd"/>
          <w:r>
            <w:rPr>
              <w:rFonts w:eastAsia="Times New Roman"/>
            </w:rPr>
            <w:t xml:space="preserve">, K., Lafrance, W. C., &amp; Hallett, M. (2010). Emotional stimuli and motor conversion disorder. </w:t>
          </w:r>
          <w:r>
            <w:rPr>
              <w:rFonts w:eastAsia="Times New Roman"/>
              <w:i/>
              <w:iCs/>
            </w:rPr>
            <w:t>Brain</w:t>
          </w:r>
          <w:r>
            <w:rPr>
              <w:rFonts w:eastAsia="Times New Roman"/>
            </w:rPr>
            <w:t xml:space="preserve">, </w:t>
          </w:r>
          <w:r>
            <w:rPr>
              <w:rFonts w:eastAsia="Times New Roman"/>
              <w:i/>
              <w:iCs/>
            </w:rPr>
            <w:t>133</w:t>
          </w:r>
          <w:r>
            <w:rPr>
              <w:rFonts w:eastAsia="Times New Roman"/>
            </w:rPr>
            <w:t>(5), 1526–1536. https://doi.org/10.1093/brain/awq054</w:t>
          </w:r>
        </w:p>
        <w:p w14:paraId="229C260A" w14:textId="77777777" w:rsidR="00EC7CE1" w:rsidRDefault="00EC7CE1">
          <w:pPr>
            <w:autoSpaceDE w:val="0"/>
            <w:autoSpaceDN w:val="0"/>
            <w:ind w:hanging="480"/>
            <w:divId w:val="1897667601"/>
            <w:rPr>
              <w:rFonts w:eastAsia="Times New Roman"/>
            </w:rPr>
          </w:pPr>
          <w:proofErr w:type="spellStart"/>
          <w:r>
            <w:rPr>
              <w:rFonts w:eastAsia="Times New Roman"/>
            </w:rPr>
            <w:t>Voon</w:t>
          </w:r>
          <w:proofErr w:type="spellEnd"/>
          <w:r>
            <w:rPr>
              <w:rFonts w:eastAsia="Times New Roman"/>
            </w:rPr>
            <w:t xml:space="preserve">, V., </w:t>
          </w:r>
          <w:proofErr w:type="spellStart"/>
          <w:r>
            <w:rPr>
              <w:rFonts w:eastAsia="Times New Roman"/>
            </w:rPr>
            <w:t>Cavanna</w:t>
          </w:r>
          <w:proofErr w:type="spellEnd"/>
          <w:r>
            <w:rPr>
              <w:rFonts w:eastAsia="Times New Roman"/>
            </w:rPr>
            <w:t xml:space="preserve">, A. E., Coburn, K., Sampson, S., Reeve, A., &amp; Curt Lafrance, W. (2016). Functional neuroanatomy and neurophysiology of functional neurological disorders (Conversion disorder). </w:t>
          </w:r>
          <w:r>
            <w:rPr>
              <w:rFonts w:eastAsia="Times New Roman"/>
              <w:i/>
              <w:iCs/>
            </w:rPr>
            <w:t>Journal of Neuropsychiatry and Clinical Neurosciences</w:t>
          </w:r>
          <w:r>
            <w:rPr>
              <w:rFonts w:eastAsia="Times New Roman"/>
            </w:rPr>
            <w:t xml:space="preserve">, </w:t>
          </w:r>
          <w:r>
            <w:rPr>
              <w:rFonts w:eastAsia="Times New Roman"/>
              <w:i/>
              <w:iCs/>
            </w:rPr>
            <w:t>28</w:t>
          </w:r>
          <w:r>
            <w:rPr>
              <w:rFonts w:eastAsia="Times New Roman"/>
            </w:rPr>
            <w:t>(3), 168–190. https://doi.org/10.1176/APPI.NEUROPSYCH.14090217/ASSET/IMAGES/LARGE/APPI.NEUROPSYCH.14090217F2.JPEG</w:t>
          </w:r>
        </w:p>
        <w:p w14:paraId="5B6C1171" w14:textId="77777777" w:rsidR="00EC7CE1" w:rsidRDefault="00EC7CE1">
          <w:pPr>
            <w:autoSpaceDE w:val="0"/>
            <w:autoSpaceDN w:val="0"/>
            <w:ind w:hanging="480"/>
            <w:divId w:val="1048215104"/>
            <w:rPr>
              <w:rFonts w:eastAsia="Times New Roman"/>
            </w:rPr>
          </w:pPr>
          <w:r>
            <w:rPr>
              <w:rFonts w:eastAsia="Times New Roman"/>
            </w:rPr>
            <w:t xml:space="preserve">Walker, E. R., </w:t>
          </w:r>
          <w:proofErr w:type="spellStart"/>
          <w:r>
            <w:rPr>
              <w:rFonts w:eastAsia="Times New Roman"/>
            </w:rPr>
            <w:t>Bamps</w:t>
          </w:r>
          <w:proofErr w:type="spellEnd"/>
          <w:r>
            <w:rPr>
              <w:rFonts w:eastAsia="Times New Roman"/>
            </w:rPr>
            <w:t xml:space="preserve">, Y., Burdett, A., Rothkopf, J., &amp; </w:t>
          </w:r>
          <w:proofErr w:type="spellStart"/>
          <w:r>
            <w:rPr>
              <w:rFonts w:eastAsia="Times New Roman"/>
            </w:rPr>
            <w:t>DiIorio</w:t>
          </w:r>
          <w:proofErr w:type="spellEnd"/>
          <w:r>
            <w:rPr>
              <w:rFonts w:eastAsia="Times New Roman"/>
            </w:rPr>
            <w:t xml:space="preserve">, C. (2012). Social support for self-management </w:t>
          </w:r>
          <w:proofErr w:type="spellStart"/>
          <w:r>
            <w:rPr>
              <w:rFonts w:eastAsia="Times New Roman"/>
            </w:rPr>
            <w:t>behaviors</w:t>
          </w:r>
          <w:proofErr w:type="spellEnd"/>
          <w:r>
            <w:rPr>
              <w:rFonts w:eastAsia="Times New Roman"/>
            </w:rPr>
            <w:t xml:space="preserve"> among people with epilepsy: a content analysis of the </w:t>
          </w:r>
          <w:proofErr w:type="spellStart"/>
          <w:r>
            <w:rPr>
              <w:rFonts w:eastAsia="Times New Roman"/>
            </w:rPr>
            <w:t>WebEase</w:t>
          </w:r>
          <w:proofErr w:type="spellEnd"/>
          <w:r>
            <w:rPr>
              <w:rFonts w:eastAsia="Times New Roman"/>
            </w:rPr>
            <w:t xml:space="preserve"> program. </w:t>
          </w:r>
          <w:r>
            <w:rPr>
              <w:rFonts w:eastAsia="Times New Roman"/>
              <w:i/>
              <w:iCs/>
            </w:rPr>
            <w:t xml:space="preserve">Epilepsy &amp; </w:t>
          </w:r>
          <w:proofErr w:type="spellStart"/>
          <w:r>
            <w:rPr>
              <w:rFonts w:eastAsia="Times New Roman"/>
              <w:i/>
              <w:iCs/>
            </w:rPr>
            <w:t>Behavior</w:t>
          </w:r>
          <w:proofErr w:type="spellEnd"/>
          <w:r>
            <w:rPr>
              <w:rFonts w:eastAsia="Times New Roman"/>
              <w:i/>
              <w:iCs/>
            </w:rPr>
            <w:t> : E&amp;B</w:t>
          </w:r>
          <w:r>
            <w:rPr>
              <w:rFonts w:eastAsia="Times New Roman"/>
            </w:rPr>
            <w:t xml:space="preserve">, </w:t>
          </w:r>
          <w:r>
            <w:rPr>
              <w:rFonts w:eastAsia="Times New Roman"/>
              <w:i/>
              <w:iCs/>
            </w:rPr>
            <w:t>23</w:t>
          </w:r>
          <w:r>
            <w:rPr>
              <w:rFonts w:eastAsia="Times New Roman"/>
            </w:rPr>
            <w:t>(3), 285–290. https://doi.org/10.1016/J.YEBEH.2012.01.006</w:t>
          </w:r>
        </w:p>
        <w:p w14:paraId="5BE604A6" w14:textId="77777777" w:rsidR="00EC7CE1" w:rsidRDefault="00EC7CE1">
          <w:pPr>
            <w:autoSpaceDE w:val="0"/>
            <w:autoSpaceDN w:val="0"/>
            <w:ind w:hanging="480"/>
            <w:divId w:val="295985534"/>
            <w:rPr>
              <w:rFonts w:eastAsia="Times New Roman"/>
            </w:rPr>
          </w:pPr>
          <w:r>
            <w:rPr>
              <w:rFonts w:eastAsia="Times New Roman"/>
            </w:rPr>
            <w:t xml:space="preserve">Walker, M. C., Howard, R. S., Smith, S. J., Miller, D. H., </w:t>
          </w:r>
          <w:proofErr w:type="spellStart"/>
          <w:r>
            <w:rPr>
              <w:rFonts w:eastAsia="Times New Roman"/>
            </w:rPr>
            <w:t>Shorvon</w:t>
          </w:r>
          <w:proofErr w:type="spellEnd"/>
          <w:r>
            <w:rPr>
              <w:rFonts w:eastAsia="Times New Roman"/>
            </w:rPr>
            <w:t xml:space="preserve">, S. D., &amp; Hirsch, N. P. (1996). Diagnosis and treatment of status epilepticus on a neurological </w:t>
          </w:r>
          <w:r>
            <w:rPr>
              <w:rFonts w:eastAsia="Times New Roman"/>
            </w:rPr>
            <w:lastRenderedPageBreak/>
            <w:t xml:space="preserve">intensive care unit. </w:t>
          </w:r>
          <w:r>
            <w:rPr>
              <w:rFonts w:eastAsia="Times New Roman"/>
              <w:i/>
              <w:iCs/>
            </w:rPr>
            <w:t>QJM : Monthly Journal of the Association of Physicians</w:t>
          </w:r>
          <w:r>
            <w:rPr>
              <w:rFonts w:eastAsia="Times New Roman"/>
            </w:rPr>
            <w:t xml:space="preserve">, </w:t>
          </w:r>
          <w:r>
            <w:rPr>
              <w:rFonts w:eastAsia="Times New Roman"/>
              <w:i/>
              <w:iCs/>
            </w:rPr>
            <w:t>89</w:t>
          </w:r>
          <w:r>
            <w:rPr>
              <w:rFonts w:eastAsia="Times New Roman"/>
            </w:rPr>
            <w:t>(12), 913–920. https://doi.org/10.1093/QJMED/89.12.913</w:t>
          </w:r>
        </w:p>
        <w:p w14:paraId="224D4406" w14:textId="77777777" w:rsidR="00EC7CE1" w:rsidRDefault="00EC7CE1">
          <w:pPr>
            <w:autoSpaceDE w:val="0"/>
            <w:autoSpaceDN w:val="0"/>
            <w:ind w:hanging="480"/>
            <w:divId w:val="1013721728"/>
            <w:rPr>
              <w:rFonts w:eastAsia="Times New Roman"/>
            </w:rPr>
          </w:pPr>
          <w:r>
            <w:rPr>
              <w:rFonts w:eastAsia="Times New Roman"/>
            </w:rPr>
            <w:t xml:space="preserve">Walther, K., </w:t>
          </w:r>
          <w:proofErr w:type="spellStart"/>
          <w:r>
            <w:rPr>
              <w:rFonts w:eastAsia="Times New Roman"/>
            </w:rPr>
            <w:t>Volbers</w:t>
          </w:r>
          <w:proofErr w:type="spellEnd"/>
          <w:r>
            <w:rPr>
              <w:rFonts w:eastAsia="Times New Roman"/>
            </w:rPr>
            <w:t xml:space="preserve">, B., Erdmann, L., </w:t>
          </w:r>
          <w:proofErr w:type="spellStart"/>
          <w:r>
            <w:rPr>
              <w:rFonts w:eastAsia="Times New Roman"/>
            </w:rPr>
            <w:t>Kurzbuch</w:t>
          </w:r>
          <w:proofErr w:type="spellEnd"/>
          <w:r>
            <w:rPr>
              <w:rFonts w:eastAsia="Times New Roman"/>
            </w:rPr>
            <w:t xml:space="preserve">, K., Lang, J. D., Mueller, T. M., </w:t>
          </w:r>
          <w:proofErr w:type="spellStart"/>
          <w:r>
            <w:rPr>
              <w:rFonts w:eastAsia="Times New Roman"/>
            </w:rPr>
            <w:t>Reindl</w:t>
          </w:r>
          <w:proofErr w:type="spellEnd"/>
          <w:r>
            <w:rPr>
              <w:rFonts w:eastAsia="Times New Roman"/>
            </w:rPr>
            <w:t xml:space="preserve">, C., Schwarz, M., Schwab, S., &amp; Hamer, H. M. (2020). Psychosocial long-term outcome in patients with psychogenic non-epileptic seizures. </w:t>
          </w:r>
          <w:r>
            <w:rPr>
              <w:rFonts w:eastAsia="Times New Roman"/>
              <w:i/>
              <w:iCs/>
            </w:rPr>
            <w:t>Seizure</w:t>
          </w:r>
          <w:r>
            <w:rPr>
              <w:rFonts w:eastAsia="Times New Roman"/>
            </w:rPr>
            <w:t xml:space="preserve">, </w:t>
          </w:r>
          <w:r>
            <w:rPr>
              <w:rFonts w:eastAsia="Times New Roman"/>
              <w:i/>
              <w:iCs/>
            </w:rPr>
            <w:t>83</w:t>
          </w:r>
          <w:r>
            <w:rPr>
              <w:rFonts w:eastAsia="Times New Roman"/>
            </w:rPr>
            <w:t>, 187–192. https://doi.org/10.1016/J.SEIZURE.2020.09.014</w:t>
          </w:r>
        </w:p>
        <w:p w14:paraId="09376D5B" w14:textId="77777777" w:rsidR="00EC7CE1" w:rsidRDefault="00EC7CE1">
          <w:pPr>
            <w:autoSpaceDE w:val="0"/>
            <w:autoSpaceDN w:val="0"/>
            <w:ind w:hanging="480"/>
            <w:divId w:val="381367652"/>
            <w:rPr>
              <w:rFonts w:eastAsia="Times New Roman"/>
            </w:rPr>
          </w:pPr>
          <w:proofErr w:type="spellStart"/>
          <w:r>
            <w:rPr>
              <w:rFonts w:eastAsia="Times New Roman"/>
            </w:rPr>
            <w:t>Walzl</w:t>
          </w:r>
          <w:proofErr w:type="spellEnd"/>
          <w:r>
            <w:rPr>
              <w:rFonts w:eastAsia="Times New Roman"/>
            </w:rPr>
            <w:t xml:space="preserve">, D., Solomon, A. J., &amp; Stone, J. (2022). Functional neurological disorder and multiple sclerosis: a systematic review of misdiagnosis and clinical overlap. </w:t>
          </w:r>
          <w:r>
            <w:rPr>
              <w:rFonts w:eastAsia="Times New Roman"/>
              <w:i/>
              <w:iCs/>
            </w:rPr>
            <w:t>Journal of Neurology</w:t>
          </w:r>
          <w:r>
            <w:rPr>
              <w:rFonts w:eastAsia="Times New Roman"/>
            </w:rPr>
            <w:t xml:space="preserve">, </w:t>
          </w:r>
          <w:r>
            <w:rPr>
              <w:rFonts w:eastAsia="Times New Roman"/>
              <w:i/>
              <w:iCs/>
            </w:rPr>
            <w:t>269</w:t>
          </w:r>
          <w:r>
            <w:rPr>
              <w:rFonts w:eastAsia="Times New Roman"/>
            </w:rPr>
            <w:t>(2), 654–663. https://doi.org/10.1007/S00415-021-10436-6/TABLES/3</w:t>
          </w:r>
        </w:p>
        <w:p w14:paraId="2E6AE100" w14:textId="77777777" w:rsidR="00EC7CE1" w:rsidRDefault="00EC7CE1">
          <w:pPr>
            <w:autoSpaceDE w:val="0"/>
            <w:autoSpaceDN w:val="0"/>
            <w:ind w:hanging="480"/>
            <w:divId w:val="1438476418"/>
            <w:rPr>
              <w:rFonts w:eastAsia="Times New Roman"/>
            </w:rPr>
          </w:pPr>
          <w:r>
            <w:rPr>
              <w:rFonts w:eastAsia="Times New Roman"/>
            </w:rPr>
            <w:t xml:space="preserve">Wang, W., Sun, X., Wong, A. C. N., &amp; So, S. H. </w:t>
          </w:r>
          <w:proofErr w:type="spellStart"/>
          <w:r>
            <w:rPr>
              <w:rFonts w:eastAsia="Times New Roman"/>
            </w:rPr>
            <w:t>wai</w:t>
          </w:r>
          <w:proofErr w:type="spellEnd"/>
          <w:r>
            <w:rPr>
              <w:rFonts w:eastAsia="Times New Roman"/>
            </w:rPr>
            <w:t xml:space="preserve">. (2023). Selective processing in attention and memory in schizophrenia: A meta-analysis of the negative priming effect. </w:t>
          </w:r>
          <w:r>
            <w:rPr>
              <w:rFonts w:eastAsia="Times New Roman"/>
              <w:i/>
              <w:iCs/>
            </w:rPr>
            <w:t>Journal of Psychiatric Research</w:t>
          </w:r>
          <w:r>
            <w:rPr>
              <w:rFonts w:eastAsia="Times New Roman"/>
            </w:rPr>
            <w:t xml:space="preserve">, </w:t>
          </w:r>
          <w:r>
            <w:rPr>
              <w:rFonts w:eastAsia="Times New Roman"/>
              <w:i/>
              <w:iCs/>
            </w:rPr>
            <w:t>161</w:t>
          </w:r>
          <w:r>
            <w:rPr>
              <w:rFonts w:eastAsia="Times New Roman"/>
            </w:rPr>
            <w:t>, 112–122. https://doi.org/10.1016/J.JPSYCHIRES.2023.02.041</w:t>
          </w:r>
        </w:p>
        <w:p w14:paraId="55468588" w14:textId="77777777" w:rsidR="00EC7CE1" w:rsidRDefault="00EC7CE1">
          <w:pPr>
            <w:autoSpaceDE w:val="0"/>
            <w:autoSpaceDN w:val="0"/>
            <w:ind w:hanging="480"/>
            <w:divId w:val="1646080688"/>
            <w:rPr>
              <w:rFonts w:eastAsia="Times New Roman"/>
            </w:rPr>
          </w:pPr>
          <w:proofErr w:type="spellStart"/>
          <w:r>
            <w:rPr>
              <w:rFonts w:eastAsia="Times New Roman"/>
            </w:rPr>
            <w:t>Wardrope</w:t>
          </w:r>
          <w:proofErr w:type="spellEnd"/>
          <w:r>
            <w:rPr>
              <w:rFonts w:eastAsia="Times New Roman"/>
            </w:rPr>
            <w:t xml:space="preserve">, A., </w:t>
          </w:r>
          <w:proofErr w:type="spellStart"/>
          <w:r>
            <w:rPr>
              <w:rFonts w:eastAsia="Times New Roman"/>
            </w:rPr>
            <w:t>Dworetzky</w:t>
          </w:r>
          <w:proofErr w:type="spellEnd"/>
          <w:r>
            <w:rPr>
              <w:rFonts w:eastAsia="Times New Roman"/>
            </w:rPr>
            <w:t xml:space="preserve">, B. A., Barkley, G. L., </w:t>
          </w:r>
          <w:proofErr w:type="spellStart"/>
          <w:r>
            <w:rPr>
              <w:rFonts w:eastAsia="Times New Roman"/>
            </w:rPr>
            <w:t>Baslet</w:t>
          </w:r>
          <w:proofErr w:type="spellEnd"/>
          <w:r>
            <w:rPr>
              <w:rFonts w:eastAsia="Times New Roman"/>
            </w:rPr>
            <w:t xml:space="preserve">, G., </w:t>
          </w:r>
          <w:proofErr w:type="spellStart"/>
          <w:r>
            <w:rPr>
              <w:rFonts w:eastAsia="Times New Roman"/>
            </w:rPr>
            <w:t>Buchhalter</w:t>
          </w:r>
          <w:proofErr w:type="spellEnd"/>
          <w:r>
            <w:rPr>
              <w:rFonts w:eastAsia="Times New Roman"/>
            </w:rPr>
            <w:t xml:space="preserve">, J., Doss, J., Goldstein, L. H., Perez, D. L., Riker, E., Roberts, N. A., Stone, J., </w:t>
          </w:r>
          <w:proofErr w:type="spellStart"/>
          <w:r>
            <w:rPr>
              <w:rFonts w:eastAsia="Times New Roman"/>
            </w:rPr>
            <w:t>Tolchin</w:t>
          </w:r>
          <w:proofErr w:type="spellEnd"/>
          <w:r>
            <w:rPr>
              <w:rFonts w:eastAsia="Times New Roman"/>
            </w:rPr>
            <w:t xml:space="preserve">, B., &amp; Reuber, M. (2021). How to do things with words Two seminars on the naming of functional (psychogenic, non-epileptic, dissociative, conversion, …) seizures. </w:t>
          </w:r>
          <w:r>
            <w:rPr>
              <w:rFonts w:eastAsia="Times New Roman"/>
              <w:i/>
              <w:iCs/>
            </w:rPr>
            <w:t>Seizure</w:t>
          </w:r>
          <w:r>
            <w:rPr>
              <w:rFonts w:eastAsia="Times New Roman"/>
            </w:rPr>
            <w:t xml:space="preserve">, </w:t>
          </w:r>
          <w:r>
            <w:rPr>
              <w:rFonts w:eastAsia="Times New Roman"/>
              <w:i/>
              <w:iCs/>
            </w:rPr>
            <w:t>93</w:t>
          </w:r>
          <w:r>
            <w:rPr>
              <w:rFonts w:eastAsia="Times New Roman"/>
            </w:rPr>
            <w:t>. https://www.fndsociety.org/fnd-education/dec3-webinar-material.</w:t>
          </w:r>
        </w:p>
        <w:p w14:paraId="0D7D85A8" w14:textId="77777777" w:rsidR="00EC7CE1" w:rsidRDefault="00EC7CE1">
          <w:pPr>
            <w:autoSpaceDE w:val="0"/>
            <w:autoSpaceDN w:val="0"/>
            <w:ind w:hanging="480"/>
            <w:divId w:val="389691770"/>
            <w:rPr>
              <w:rFonts w:eastAsia="Times New Roman"/>
            </w:rPr>
          </w:pPr>
          <w:r>
            <w:rPr>
              <w:rFonts w:eastAsia="Times New Roman"/>
            </w:rPr>
            <w:t xml:space="preserve">Watkins, M. W. (2018). Exploratory Factor Analysis: A Guide to Best Practice. </w:t>
          </w:r>
          <w:r>
            <w:rPr>
              <w:rFonts w:eastAsia="Times New Roman"/>
              <w:i/>
              <w:iCs/>
            </w:rPr>
            <w:t>Https://Doi.Org/10.1177/0095798418771807</w:t>
          </w:r>
          <w:r>
            <w:rPr>
              <w:rFonts w:eastAsia="Times New Roman"/>
            </w:rPr>
            <w:t xml:space="preserve">, </w:t>
          </w:r>
          <w:r>
            <w:rPr>
              <w:rFonts w:eastAsia="Times New Roman"/>
              <w:i/>
              <w:iCs/>
            </w:rPr>
            <w:t>44</w:t>
          </w:r>
          <w:r>
            <w:rPr>
              <w:rFonts w:eastAsia="Times New Roman"/>
            </w:rPr>
            <w:t>(3), 219–246. https://doi.org/10.1177/0095798418771807</w:t>
          </w:r>
        </w:p>
        <w:p w14:paraId="237D29F1" w14:textId="77777777" w:rsidR="00EC7CE1" w:rsidRDefault="00EC7CE1">
          <w:pPr>
            <w:autoSpaceDE w:val="0"/>
            <w:autoSpaceDN w:val="0"/>
            <w:ind w:hanging="480"/>
            <w:divId w:val="308174569"/>
            <w:rPr>
              <w:rFonts w:eastAsia="Times New Roman"/>
            </w:rPr>
          </w:pPr>
          <w:proofErr w:type="spellStart"/>
          <w:r>
            <w:rPr>
              <w:rFonts w:eastAsia="Times New Roman"/>
            </w:rPr>
            <w:t>Weinsztok</w:t>
          </w:r>
          <w:proofErr w:type="spellEnd"/>
          <w:r>
            <w:rPr>
              <w:rFonts w:eastAsia="Times New Roman"/>
            </w:rPr>
            <w:t xml:space="preserve">, S., Brassard, S., </w:t>
          </w:r>
          <w:proofErr w:type="spellStart"/>
          <w:r>
            <w:rPr>
              <w:rFonts w:eastAsia="Times New Roman"/>
            </w:rPr>
            <w:t>Balodis</w:t>
          </w:r>
          <w:proofErr w:type="spellEnd"/>
          <w:r>
            <w:rPr>
              <w:rFonts w:eastAsia="Times New Roman"/>
            </w:rPr>
            <w:t xml:space="preserve">, I., Martin, L. E., &amp; </w:t>
          </w:r>
          <w:proofErr w:type="spellStart"/>
          <w:r>
            <w:rPr>
              <w:rFonts w:eastAsia="Times New Roman"/>
            </w:rPr>
            <w:t>Amlung</w:t>
          </w:r>
          <w:proofErr w:type="spellEnd"/>
          <w:r>
            <w:rPr>
              <w:rFonts w:eastAsia="Times New Roman"/>
            </w:rPr>
            <w:t xml:space="preserve">, M. (2021). Delay Discounting in Established and Proposed </w:t>
          </w:r>
          <w:proofErr w:type="spellStart"/>
          <w:r>
            <w:rPr>
              <w:rFonts w:eastAsia="Times New Roman"/>
            </w:rPr>
            <w:t>Behavioral</w:t>
          </w:r>
          <w:proofErr w:type="spellEnd"/>
          <w:r>
            <w:rPr>
              <w:rFonts w:eastAsia="Times New Roman"/>
            </w:rPr>
            <w:t xml:space="preserve"> Addictions: A Systematic Review and Meta-Analysis. </w:t>
          </w:r>
          <w:r>
            <w:rPr>
              <w:rFonts w:eastAsia="Times New Roman"/>
              <w:i/>
              <w:iCs/>
            </w:rPr>
            <w:t xml:space="preserve">Frontiers in </w:t>
          </w:r>
          <w:proofErr w:type="spellStart"/>
          <w:r>
            <w:rPr>
              <w:rFonts w:eastAsia="Times New Roman"/>
              <w:i/>
              <w:iCs/>
            </w:rPr>
            <w:t>Behavioral</w:t>
          </w:r>
          <w:proofErr w:type="spellEnd"/>
          <w:r>
            <w:rPr>
              <w:rFonts w:eastAsia="Times New Roman"/>
              <w:i/>
              <w:iCs/>
            </w:rPr>
            <w:t xml:space="preserve"> Neuroscience</w:t>
          </w:r>
          <w:r>
            <w:rPr>
              <w:rFonts w:eastAsia="Times New Roman"/>
            </w:rPr>
            <w:t xml:space="preserve">, </w:t>
          </w:r>
          <w:r>
            <w:rPr>
              <w:rFonts w:eastAsia="Times New Roman"/>
              <w:i/>
              <w:iCs/>
            </w:rPr>
            <w:t>15</w:t>
          </w:r>
          <w:r>
            <w:rPr>
              <w:rFonts w:eastAsia="Times New Roman"/>
            </w:rPr>
            <w:t>, 786358. https://doi.org/10.3389/FNBEH.2021.786358/BIBTEX</w:t>
          </w:r>
        </w:p>
        <w:p w14:paraId="13BEC6F7" w14:textId="77777777" w:rsidR="00EC7CE1" w:rsidRDefault="00EC7CE1">
          <w:pPr>
            <w:autoSpaceDE w:val="0"/>
            <w:autoSpaceDN w:val="0"/>
            <w:ind w:hanging="480"/>
            <w:divId w:val="724064441"/>
            <w:rPr>
              <w:rFonts w:eastAsia="Times New Roman"/>
            </w:rPr>
          </w:pPr>
          <w:proofErr w:type="spellStart"/>
          <w:r>
            <w:rPr>
              <w:rFonts w:eastAsia="Times New Roman"/>
            </w:rPr>
            <w:t>Wentura</w:t>
          </w:r>
          <w:proofErr w:type="spellEnd"/>
          <w:r>
            <w:rPr>
              <w:rFonts w:eastAsia="Times New Roman"/>
            </w:rPr>
            <w:t xml:space="preserve">, D. (1999). Activation and Inhibition of Affective Information: for Negative Priming in the Evaluation Task. </w:t>
          </w:r>
          <w:r>
            <w:rPr>
              <w:rFonts w:eastAsia="Times New Roman"/>
              <w:i/>
              <w:iCs/>
            </w:rPr>
            <w:t>Cognition &amp; Emotion</w:t>
          </w:r>
          <w:r>
            <w:rPr>
              <w:rFonts w:eastAsia="Times New Roman"/>
            </w:rPr>
            <w:t xml:space="preserve">, </w:t>
          </w:r>
          <w:r>
            <w:rPr>
              <w:rFonts w:eastAsia="Times New Roman"/>
              <w:i/>
              <w:iCs/>
            </w:rPr>
            <w:t>13</w:t>
          </w:r>
          <w:r>
            <w:rPr>
              <w:rFonts w:eastAsia="Times New Roman"/>
            </w:rPr>
            <w:t>(1), 65–91. https://doi.org/10.1080/026999399379375</w:t>
          </w:r>
        </w:p>
        <w:p w14:paraId="18E39EFD" w14:textId="77777777" w:rsidR="00EC7CE1" w:rsidRDefault="00EC7CE1">
          <w:pPr>
            <w:autoSpaceDE w:val="0"/>
            <w:autoSpaceDN w:val="0"/>
            <w:ind w:hanging="480"/>
            <w:divId w:val="1426875477"/>
            <w:rPr>
              <w:rFonts w:eastAsia="Times New Roman"/>
            </w:rPr>
          </w:pPr>
          <w:r>
            <w:rPr>
              <w:rFonts w:eastAsia="Times New Roman"/>
            </w:rPr>
            <w:t xml:space="preserve">Whitehead, K., </w:t>
          </w:r>
          <w:proofErr w:type="spellStart"/>
          <w:r>
            <w:rPr>
              <w:rFonts w:eastAsia="Times New Roman"/>
            </w:rPr>
            <w:t>Kandler</w:t>
          </w:r>
          <w:proofErr w:type="spellEnd"/>
          <w:r>
            <w:rPr>
              <w:rFonts w:eastAsia="Times New Roman"/>
            </w:rPr>
            <w:t xml:space="preserve">, R., &amp; Reuber, M. (2013). Patients’ and neurologists’ perception of epilepsy and psychogenic nonepileptic seizures. </w:t>
          </w:r>
          <w:proofErr w:type="spellStart"/>
          <w:r>
            <w:rPr>
              <w:rFonts w:eastAsia="Times New Roman"/>
              <w:i/>
              <w:iCs/>
            </w:rPr>
            <w:t>Epilepsia</w:t>
          </w:r>
          <w:proofErr w:type="spellEnd"/>
          <w:r>
            <w:rPr>
              <w:rFonts w:eastAsia="Times New Roman"/>
            </w:rPr>
            <w:t xml:space="preserve">, </w:t>
          </w:r>
          <w:r>
            <w:rPr>
              <w:rFonts w:eastAsia="Times New Roman"/>
              <w:i/>
              <w:iCs/>
            </w:rPr>
            <w:t>54</w:t>
          </w:r>
          <w:r>
            <w:rPr>
              <w:rFonts w:eastAsia="Times New Roman"/>
            </w:rPr>
            <w:t>(4), 708–717. https://doi.org/10.1111/EPI.12087</w:t>
          </w:r>
        </w:p>
        <w:p w14:paraId="6F571EA8" w14:textId="77777777" w:rsidR="00EC7CE1" w:rsidRDefault="00EC7CE1">
          <w:pPr>
            <w:autoSpaceDE w:val="0"/>
            <w:autoSpaceDN w:val="0"/>
            <w:ind w:hanging="480"/>
            <w:divId w:val="1053698572"/>
            <w:rPr>
              <w:rFonts w:eastAsia="Times New Roman"/>
            </w:rPr>
          </w:pPr>
          <w:r>
            <w:rPr>
              <w:rFonts w:eastAsia="Times New Roman"/>
            </w:rPr>
            <w:lastRenderedPageBreak/>
            <w:t xml:space="preserve">Whitehead, S. J., &amp; Ali, S. (2010). Health outcomes in economic evaluation: the QALY and utilities. </w:t>
          </w:r>
          <w:r>
            <w:rPr>
              <w:rFonts w:eastAsia="Times New Roman"/>
              <w:i/>
              <w:iCs/>
            </w:rPr>
            <w:t>British Medical Bulletin</w:t>
          </w:r>
          <w:r>
            <w:rPr>
              <w:rFonts w:eastAsia="Times New Roman"/>
            </w:rPr>
            <w:t xml:space="preserve">, </w:t>
          </w:r>
          <w:r>
            <w:rPr>
              <w:rFonts w:eastAsia="Times New Roman"/>
              <w:i/>
              <w:iCs/>
            </w:rPr>
            <w:t>96</w:t>
          </w:r>
          <w:r>
            <w:rPr>
              <w:rFonts w:eastAsia="Times New Roman"/>
            </w:rPr>
            <w:t>(1), 5–21. https://doi.org/10.1093/BMB/LDQ033</w:t>
          </w:r>
        </w:p>
        <w:p w14:paraId="7C400F8F" w14:textId="77777777" w:rsidR="00EC7CE1" w:rsidRDefault="00EC7CE1">
          <w:pPr>
            <w:autoSpaceDE w:val="0"/>
            <w:autoSpaceDN w:val="0"/>
            <w:ind w:hanging="480"/>
            <w:divId w:val="747271994"/>
            <w:rPr>
              <w:rFonts w:eastAsia="Times New Roman"/>
            </w:rPr>
          </w:pPr>
          <w:r>
            <w:rPr>
              <w:rFonts w:eastAsia="Times New Roman"/>
            </w:rPr>
            <w:t xml:space="preserve">Whitehead, W. E., Drescher, V. M., Heiman, P., &amp; Blackwell, B. (1977). Relation of heart rate control to heartbeat perception. </w:t>
          </w:r>
          <w:r>
            <w:rPr>
              <w:rFonts w:eastAsia="Times New Roman"/>
              <w:i/>
              <w:iCs/>
            </w:rPr>
            <w:t>Biofeedback and Self-Regulation</w:t>
          </w:r>
          <w:r>
            <w:rPr>
              <w:rFonts w:eastAsia="Times New Roman"/>
            </w:rPr>
            <w:t xml:space="preserve">, </w:t>
          </w:r>
          <w:r>
            <w:rPr>
              <w:rFonts w:eastAsia="Times New Roman"/>
              <w:i/>
              <w:iCs/>
            </w:rPr>
            <w:t>2</w:t>
          </w:r>
          <w:r>
            <w:rPr>
              <w:rFonts w:eastAsia="Times New Roman"/>
            </w:rPr>
            <w:t>(4), 371–392. https://doi.org/10.1007/BF00998623/METRICS</w:t>
          </w:r>
        </w:p>
        <w:p w14:paraId="40A1DCF5" w14:textId="77777777" w:rsidR="00EC7CE1" w:rsidRDefault="00EC7CE1">
          <w:pPr>
            <w:autoSpaceDE w:val="0"/>
            <w:autoSpaceDN w:val="0"/>
            <w:ind w:hanging="480"/>
            <w:divId w:val="96408336"/>
            <w:rPr>
              <w:rFonts w:eastAsia="Times New Roman"/>
            </w:rPr>
          </w:pPr>
          <w:r>
            <w:rPr>
              <w:rFonts w:eastAsia="Times New Roman"/>
            </w:rPr>
            <w:t xml:space="preserve">Whiteside, S. P., &amp; </w:t>
          </w:r>
          <w:proofErr w:type="spellStart"/>
          <w:r>
            <w:rPr>
              <w:rFonts w:eastAsia="Times New Roman"/>
            </w:rPr>
            <w:t>Lynam</w:t>
          </w:r>
          <w:proofErr w:type="spellEnd"/>
          <w:r>
            <w:rPr>
              <w:rFonts w:eastAsia="Times New Roman"/>
            </w:rPr>
            <w:t xml:space="preserve">, D. R. (2001). The Five Factor Model and impulsivity: using a structural model of personality to understand impulsivity. </w:t>
          </w:r>
          <w:r>
            <w:rPr>
              <w:rFonts w:eastAsia="Times New Roman"/>
              <w:i/>
              <w:iCs/>
            </w:rPr>
            <w:t>Personality and Individual Differences</w:t>
          </w:r>
          <w:r>
            <w:rPr>
              <w:rFonts w:eastAsia="Times New Roman"/>
            </w:rPr>
            <w:t xml:space="preserve">, </w:t>
          </w:r>
          <w:r>
            <w:rPr>
              <w:rFonts w:eastAsia="Times New Roman"/>
              <w:i/>
              <w:iCs/>
            </w:rPr>
            <w:t>30</w:t>
          </w:r>
          <w:r>
            <w:rPr>
              <w:rFonts w:eastAsia="Times New Roman"/>
            </w:rPr>
            <w:t>(4), 669–689. https://doi.org/10.1016/S0191-8869(00)00064-7</w:t>
          </w:r>
        </w:p>
        <w:p w14:paraId="1CA66E29" w14:textId="77777777" w:rsidR="00EC7CE1" w:rsidRDefault="00EC7CE1">
          <w:pPr>
            <w:autoSpaceDE w:val="0"/>
            <w:autoSpaceDN w:val="0"/>
            <w:ind w:hanging="480"/>
            <w:divId w:val="1546329826"/>
            <w:rPr>
              <w:rFonts w:eastAsia="Times New Roman"/>
            </w:rPr>
          </w:pPr>
          <w:r>
            <w:rPr>
              <w:rFonts w:eastAsia="Times New Roman"/>
            </w:rPr>
            <w:t xml:space="preserve">Whitfield, A., Walsh, S., Levita, L., &amp; Reuber, M. (2020). Catastrophising and repetitive negative thinking tendencies in patients with psychogenic non-epileptic seizures or epilepsy. </w:t>
          </w:r>
          <w:r>
            <w:rPr>
              <w:rFonts w:eastAsia="Times New Roman"/>
              <w:i/>
              <w:iCs/>
            </w:rPr>
            <w:t>Seizure</w:t>
          </w:r>
          <w:r>
            <w:rPr>
              <w:rFonts w:eastAsia="Times New Roman"/>
            </w:rPr>
            <w:t xml:space="preserve">, </w:t>
          </w:r>
          <w:r>
            <w:rPr>
              <w:rFonts w:eastAsia="Times New Roman"/>
              <w:i/>
              <w:iCs/>
            </w:rPr>
            <w:t>83</w:t>
          </w:r>
          <w:r>
            <w:rPr>
              <w:rFonts w:eastAsia="Times New Roman"/>
            </w:rPr>
            <w:t>, 57–62. https://doi.org/10.1016/J.SEIZURE.2020.09.034</w:t>
          </w:r>
        </w:p>
        <w:p w14:paraId="37DCD57D" w14:textId="77777777" w:rsidR="00EC7CE1" w:rsidRDefault="00EC7CE1">
          <w:pPr>
            <w:autoSpaceDE w:val="0"/>
            <w:autoSpaceDN w:val="0"/>
            <w:ind w:hanging="480"/>
            <w:divId w:val="1692029113"/>
            <w:rPr>
              <w:rFonts w:eastAsia="Times New Roman"/>
            </w:rPr>
          </w:pPr>
          <w:proofErr w:type="spellStart"/>
          <w:r>
            <w:rPr>
              <w:rFonts w:eastAsia="Times New Roman"/>
            </w:rPr>
            <w:t>Whynes</w:t>
          </w:r>
          <w:proofErr w:type="spellEnd"/>
          <w:r>
            <w:rPr>
              <w:rFonts w:eastAsia="Times New Roman"/>
            </w:rPr>
            <w:t xml:space="preserve">, D. K. (2008). Correspondence between EQ-5D health state classifications and EQ VAS scores. </w:t>
          </w:r>
          <w:r>
            <w:rPr>
              <w:rFonts w:eastAsia="Times New Roman"/>
              <w:i/>
              <w:iCs/>
            </w:rPr>
            <w:t>Health Qual Life Outcomes</w:t>
          </w:r>
          <w:r>
            <w:rPr>
              <w:rFonts w:eastAsia="Times New Roman"/>
            </w:rPr>
            <w:t xml:space="preserve">, </w:t>
          </w:r>
          <w:r>
            <w:rPr>
              <w:rFonts w:eastAsia="Times New Roman"/>
              <w:i/>
              <w:iCs/>
            </w:rPr>
            <w:t>6</w:t>
          </w:r>
          <w:r>
            <w:rPr>
              <w:rFonts w:eastAsia="Times New Roman"/>
            </w:rPr>
            <w:t>, 94. https://doi.org/10.1186/1477-7525-6-94</w:t>
          </w:r>
        </w:p>
        <w:p w14:paraId="2DF6F7E6" w14:textId="77777777" w:rsidR="00EC7CE1" w:rsidRDefault="00EC7CE1">
          <w:pPr>
            <w:autoSpaceDE w:val="0"/>
            <w:autoSpaceDN w:val="0"/>
            <w:ind w:hanging="480"/>
            <w:divId w:val="1881287241"/>
            <w:rPr>
              <w:rFonts w:eastAsia="Times New Roman"/>
            </w:rPr>
          </w:pPr>
          <w:r>
            <w:rPr>
              <w:rFonts w:eastAsia="Times New Roman"/>
            </w:rPr>
            <w:t xml:space="preserve">Williams, B., </w:t>
          </w:r>
          <w:proofErr w:type="spellStart"/>
          <w:r>
            <w:rPr>
              <w:rFonts w:eastAsia="Times New Roman"/>
            </w:rPr>
            <w:t>Jalilianhasanpour</w:t>
          </w:r>
          <w:proofErr w:type="spellEnd"/>
          <w:r>
            <w:rPr>
              <w:rFonts w:eastAsia="Times New Roman"/>
            </w:rPr>
            <w:t xml:space="preserve">, R., Matin, N., </w:t>
          </w:r>
          <w:proofErr w:type="spellStart"/>
          <w:r>
            <w:rPr>
              <w:rFonts w:eastAsia="Times New Roman"/>
            </w:rPr>
            <w:t>Fricchione</w:t>
          </w:r>
          <w:proofErr w:type="spellEnd"/>
          <w:r>
            <w:rPr>
              <w:rFonts w:eastAsia="Times New Roman"/>
            </w:rPr>
            <w:t xml:space="preserve">, G. L., </w:t>
          </w:r>
          <w:proofErr w:type="spellStart"/>
          <w:r>
            <w:rPr>
              <w:rFonts w:eastAsia="Times New Roman"/>
            </w:rPr>
            <w:t>Sepulcre</w:t>
          </w:r>
          <w:proofErr w:type="spellEnd"/>
          <w:r>
            <w:rPr>
              <w:rFonts w:eastAsia="Times New Roman"/>
            </w:rPr>
            <w:t xml:space="preserve">, J., </w:t>
          </w:r>
          <w:proofErr w:type="spellStart"/>
          <w:r>
            <w:rPr>
              <w:rFonts w:eastAsia="Times New Roman"/>
            </w:rPr>
            <w:t>Keshavan</w:t>
          </w:r>
          <w:proofErr w:type="spellEnd"/>
          <w:r>
            <w:rPr>
              <w:rFonts w:eastAsia="Times New Roman"/>
            </w:rPr>
            <w:t xml:space="preserve">, M. S., LaFrance Jr., W. C., Dickerson, B. C., &amp; Perez, D. L. (2018). Individual differences in corticolimbic structural profiles linked to insecure attachment and coping styles in motor functional neurological disorders. </w:t>
          </w:r>
          <w:r>
            <w:rPr>
              <w:rFonts w:eastAsia="Times New Roman"/>
              <w:i/>
              <w:iCs/>
            </w:rPr>
            <w:t xml:space="preserve">J </w:t>
          </w:r>
          <w:proofErr w:type="spellStart"/>
          <w:r>
            <w:rPr>
              <w:rFonts w:eastAsia="Times New Roman"/>
              <w:i/>
              <w:iCs/>
            </w:rPr>
            <w:t>Psychiatr</w:t>
          </w:r>
          <w:proofErr w:type="spellEnd"/>
          <w:r>
            <w:rPr>
              <w:rFonts w:eastAsia="Times New Roman"/>
              <w:i/>
              <w:iCs/>
            </w:rPr>
            <w:t xml:space="preserve"> Res</w:t>
          </w:r>
          <w:r>
            <w:rPr>
              <w:rFonts w:eastAsia="Times New Roman"/>
            </w:rPr>
            <w:t xml:space="preserve">, </w:t>
          </w:r>
          <w:r>
            <w:rPr>
              <w:rFonts w:eastAsia="Times New Roman"/>
              <w:i/>
              <w:iCs/>
            </w:rPr>
            <w:t>102</w:t>
          </w:r>
          <w:r>
            <w:rPr>
              <w:rFonts w:eastAsia="Times New Roman"/>
            </w:rPr>
            <w:t>, 230–237. https://doi.org/10.1016/j.jpsychires.2018.04.006</w:t>
          </w:r>
        </w:p>
        <w:p w14:paraId="76910413" w14:textId="77777777" w:rsidR="00EC7CE1" w:rsidRDefault="00EC7CE1">
          <w:pPr>
            <w:autoSpaceDE w:val="0"/>
            <w:autoSpaceDN w:val="0"/>
            <w:ind w:hanging="480"/>
            <w:divId w:val="994452793"/>
            <w:rPr>
              <w:rFonts w:eastAsia="Times New Roman"/>
            </w:rPr>
          </w:pPr>
          <w:r>
            <w:rPr>
              <w:rFonts w:eastAsia="Times New Roman"/>
            </w:rPr>
            <w:t xml:space="preserve">Williams, D. T., Ford, B., &amp; </w:t>
          </w:r>
          <w:proofErr w:type="spellStart"/>
          <w:r>
            <w:rPr>
              <w:rFonts w:eastAsia="Times New Roman"/>
            </w:rPr>
            <w:t>Fahn</w:t>
          </w:r>
          <w:proofErr w:type="spellEnd"/>
          <w:r>
            <w:rPr>
              <w:rFonts w:eastAsia="Times New Roman"/>
            </w:rPr>
            <w:t xml:space="preserve">, S. (1995). Phenomenology and psychopathology related to psychogenic movement disorders. </w:t>
          </w:r>
          <w:r>
            <w:rPr>
              <w:rFonts w:eastAsia="Times New Roman"/>
              <w:i/>
              <w:iCs/>
            </w:rPr>
            <w:t xml:space="preserve">Adv </w:t>
          </w:r>
          <w:proofErr w:type="spellStart"/>
          <w:r>
            <w:rPr>
              <w:rFonts w:eastAsia="Times New Roman"/>
              <w:i/>
              <w:iCs/>
            </w:rPr>
            <w:t>Neurol</w:t>
          </w:r>
          <w:proofErr w:type="spellEnd"/>
          <w:r>
            <w:rPr>
              <w:rFonts w:eastAsia="Times New Roman"/>
            </w:rPr>
            <w:t xml:space="preserve">, </w:t>
          </w:r>
          <w:r>
            <w:rPr>
              <w:rFonts w:eastAsia="Times New Roman"/>
              <w:i/>
              <w:iCs/>
            </w:rPr>
            <w:t>65</w:t>
          </w:r>
          <w:r>
            <w:rPr>
              <w:rFonts w:eastAsia="Times New Roman"/>
            </w:rPr>
            <w:t>, 231–257.</w:t>
          </w:r>
        </w:p>
        <w:p w14:paraId="34563EB8" w14:textId="77777777" w:rsidR="00EC7CE1" w:rsidRDefault="00EC7CE1">
          <w:pPr>
            <w:autoSpaceDE w:val="0"/>
            <w:autoSpaceDN w:val="0"/>
            <w:ind w:hanging="480"/>
            <w:divId w:val="115880613"/>
            <w:rPr>
              <w:rFonts w:eastAsia="Times New Roman"/>
            </w:rPr>
          </w:pPr>
          <w:r>
            <w:rPr>
              <w:rFonts w:eastAsia="Times New Roman"/>
            </w:rPr>
            <w:t xml:space="preserve">Williams, D. T., </w:t>
          </w:r>
          <w:proofErr w:type="spellStart"/>
          <w:r>
            <w:rPr>
              <w:rFonts w:eastAsia="Times New Roman"/>
            </w:rPr>
            <w:t>Lafaver</w:t>
          </w:r>
          <w:proofErr w:type="spellEnd"/>
          <w:r>
            <w:rPr>
              <w:rFonts w:eastAsia="Times New Roman"/>
            </w:rPr>
            <w:t xml:space="preserve">, K., Carson, A., &amp; </w:t>
          </w:r>
          <w:proofErr w:type="spellStart"/>
          <w:r>
            <w:rPr>
              <w:rFonts w:eastAsia="Times New Roman"/>
            </w:rPr>
            <w:t>Fahn</w:t>
          </w:r>
          <w:proofErr w:type="spellEnd"/>
          <w:r>
            <w:rPr>
              <w:rFonts w:eastAsia="Times New Roman"/>
            </w:rPr>
            <w:t xml:space="preserve">, S. (2016). Inpatient treatment for functional neurologic disorders. </w:t>
          </w:r>
          <w:r>
            <w:rPr>
              <w:rFonts w:eastAsia="Times New Roman"/>
              <w:i/>
              <w:iCs/>
            </w:rPr>
            <w:t>Handbook of Clinical Neurology</w:t>
          </w:r>
          <w:r>
            <w:rPr>
              <w:rFonts w:eastAsia="Times New Roman"/>
            </w:rPr>
            <w:t xml:space="preserve">, </w:t>
          </w:r>
          <w:r>
            <w:rPr>
              <w:rFonts w:eastAsia="Times New Roman"/>
              <w:i/>
              <w:iCs/>
            </w:rPr>
            <w:t>139</w:t>
          </w:r>
          <w:r>
            <w:rPr>
              <w:rFonts w:eastAsia="Times New Roman"/>
            </w:rPr>
            <w:t>, 631–641. https://doi.org/10.1016/B978-0-12-801772-2.00051-5</w:t>
          </w:r>
        </w:p>
        <w:p w14:paraId="6BB0EF62" w14:textId="77777777" w:rsidR="00EC7CE1" w:rsidRDefault="00EC7CE1">
          <w:pPr>
            <w:autoSpaceDE w:val="0"/>
            <w:autoSpaceDN w:val="0"/>
            <w:ind w:hanging="480"/>
            <w:divId w:val="1823689426"/>
            <w:rPr>
              <w:rFonts w:eastAsia="Times New Roman"/>
            </w:rPr>
          </w:pPr>
          <w:r>
            <w:rPr>
              <w:rFonts w:eastAsia="Times New Roman"/>
            </w:rPr>
            <w:t xml:space="preserve">Williams, E. R. L., Guthrie, E., </w:t>
          </w:r>
          <w:proofErr w:type="spellStart"/>
          <w:r>
            <w:rPr>
              <w:rFonts w:eastAsia="Times New Roman"/>
            </w:rPr>
            <w:t>Mackway</w:t>
          </w:r>
          <w:proofErr w:type="spellEnd"/>
          <w:r>
            <w:rPr>
              <w:rFonts w:eastAsia="Times New Roman"/>
            </w:rPr>
            <w:t xml:space="preserve">-Jones, K., James, M., </w:t>
          </w:r>
          <w:proofErr w:type="spellStart"/>
          <w:r>
            <w:rPr>
              <w:rFonts w:eastAsia="Times New Roman"/>
            </w:rPr>
            <w:t>Tomenson</w:t>
          </w:r>
          <w:proofErr w:type="spellEnd"/>
          <w:r>
            <w:rPr>
              <w:rFonts w:eastAsia="Times New Roman"/>
            </w:rPr>
            <w:t xml:space="preserve">, B., Eastham, J., &amp; McNally, D. (2001). Psychiatric status, somatisation, and health care utilization of frequent attenders at the emergency department: a comparison with routine attenders. </w:t>
          </w:r>
          <w:r>
            <w:rPr>
              <w:rFonts w:eastAsia="Times New Roman"/>
              <w:i/>
              <w:iCs/>
            </w:rPr>
            <w:t>Journal of Psychosomatic Research</w:t>
          </w:r>
          <w:r>
            <w:rPr>
              <w:rFonts w:eastAsia="Times New Roman"/>
            </w:rPr>
            <w:t xml:space="preserve">, </w:t>
          </w:r>
          <w:r>
            <w:rPr>
              <w:rFonts w:eastAsia="Times New Roman"/>
              <w:i/>
              <w:iCs/>
            </w:rPr>
            <w:t>50</w:t>
          </w:r>
          <w:r>
            <w:rPr>
              <w:rFonts w:eastAsia="Times New Roman"/>
            </w:rPr>
            <w:t>(3), 161–167. https://doi.org/10.1016/S0022-3999(00)00228-2</w:t>
          </w:r>
        </w:p>
        <w:p w14:paraId="7DDC7AEF" w14:textId="77777777" w:rsidR="00EC7CE1" w:rsidRDefault="00EC7CE1">
          <w:pPr>
            <w:autoSpaceDE w:val="0"/>
            <w:autoSpaceDN w:val="0"/>
            <w:ind w:hanging="480"/>
            <w:divId w:val="2113896434"/>
            <w:rPr>
              <w:rFonts w:eastAsia="Times New Roman"/>
            </w:rPr>
          </w:pPr>
          <w:r>
            <w:rPr>
              <w:rFonts w:eastAsia="Times New Roman"/>
            </w:rPr>
            <w:t xml:space="preserve">Williams, I. A., Howlett, S., Levita, L., &amp; Reuber, M. (2018). Changes in Emotion Processing following Brief Augmented Psychodynamic Interpersonal Therapy for </w:t>
          </w:r>
          <w:r>
            <w:rPr>
              <w:rFonts w:eastAsia="Times New Roman"/>
            </w:rPr>
            <w:lastRenderedPageBreak/>
            <w:t xml:space="preserve">Functional Neurological Symptoms. </w:t>
          </w:r>
          <w:r>
            <w:rPr>
              <w:rFonts w:eastAsia="Times New Roman"/>
              <w:i/>
              <w:iCs/>
            </w:rPr>
            <w:t>Behavioural and Cognitive Psychotherapy</w:t>
          </w:r>
          <w:r>
            <w:rPr>
              <w:rFonts w:eastAsia="Times New Roman"/>
            </w:rPr>
            <w:t xml:space="preserve">, </w:t>
          </w:r>
          <w:r>
            <w:rPr>
              <w:rFonts w:eastAsia="Times New Roman"/>
              <w:i/>
              <w:iCs/>
            </w:rPr>
            <w:t>46</w:t>
          </w:r>
          <w:r>
            <w:rPr>
              <w:rFonts w:eastAsia="Times New Roman"/>
            </w:rPr>
            <w:t>(3), 350–366. https://doi.org/10.1017/s1352465817000807</w:t>
          </w:r>
        </w:p>
        <w:p w14:paraId="0E65183D" w14:textId="77777777" w:rsidR="00EC7CE1" w:rsidRDefault="00EC7CE1">
          <w:pPr>
            <w:autoSpaceDE w:val="0"/>
            <w:autoSpaceDN w:val="0"/>
            <w:ind w:hanging="480"/>
            <w:divId w:val="477772655"/>
            <w:rPr>
              <w:rFonts w:eastAsia="Times New Roman"/>
            </w:rPr>
          </w:pPr>
          <w:r>
            <w:rPr>
              <w:rFonts w:eastAsia="Times New Roman"/>
            </w:rPr>
            <w:t xml:space="preserve">Williams, I. A., Levita, L., &amp; Reuber, M. (2018). Emotion dysregulation in patients with psychogenic nonepileptic seizures: A systematic review based on the extended process model. </w:t>
          </w:r>
          <w:r>
            <w:rPr>
              <w:rFonts w:eastAsia="Times New Roman"/>
              <w:i/>
              <w:iCs/>
            </w:rPr>
            <w:t xml:space="preserve">Epilepsy </w:t>
          </w:r>
          <w:proofErr w:type="spellStart"/>
          <w:r>
            <w:rPr>
              <w:rFonts w:eastAsia="Times New Roman"/>
              <w:i/>
              <w:iCs/>
            </w:rPr>
            <w:t>Behav</w:t>
          </w:r>
          <w:proofErr w:type="spellEnd"/>
          <w:r>
            <w:rPr>
              <w:rFonts w:eastAsia="Times New Roman"/>
            </w:rPr>
            <w:t xml:space="preserve">, </w:t>
          </w:r>
          <w:r>
            <w:rPr>
              <w:rFonts w:eastAsia="Times New Roman"/>
              <w:i/>
              <w:iCs/>
            </w:rPr>
            <w:t>86</w:t>
          </w:r>
          <w:r>
            <w:rPr>
              <w:rFonts w:eastAsia="Times New Roman"/>
            </w:rPr>
            <w:t>, 37–48. https://doi.org/10.1016/j.yebeh.2018.06.049</w:t>
          </w:r>
        </w:p>
        <w:p w14:paraId="575FA7E9" w14:textId="77777777" w:rsidR="00EC7CE1" w:rsidRDefault="00EC7CE1">
          <w:pPr>
            <w:autoSpaceDE w:val="0"/>
            <w:autoSpaceDN w:val="0"/>
            <w:ind w:hanging="480"/>
            <w:divId w:val="616105027"/>
            <w:rPr>
              <w:rFonts w:eastAsia="Times New Roman"/>
            </w:rPr>
          </w:pPr>
          <w:r>
            <w:rPr>
              <w:rFonts w:eastAsia="Times New Roman"/>
            </w:rPr>
            <w:t xml:space="preserve">Williams, I. A., Reuber, M., &amp; Levita, L. (2021). Interoception and stress in patients with Functional Neurological Symptom Disorder. </w:t>
          </w:r>
          <w:r>
            <w:rPr>
              <w:rFonts w:eastAsia="Times New Roman"/>
              <w:i/>
              <w:iCs/>
            </w:rPr>
            <w:t>Cognitive Neuropsychiatry</w:t>
          </w:r>
          <w:r>
            <w:rPr>
              <w:rFonts w:eastAsia="Times New Roman"/>
            </w:rPr>
            <w:t xml:space="preserve">, </w:t>
          </w:r>
          <w:r>
            <w:rPr>
              <w:rFonts w:eastAsia="Times New Roman"/>
              <w:i/>
              <w:iCs/>
            </w:rPr>
            <w:t>26</w:t>
          </w:r>
          <w:r>
            <w:rPr>
              <w:rFonts w:eastAsia="Times New Roman"/>
            </w:rPr>
            <w:t>(2), 75–94. https://doi.org/10.1080/13546805.2020.1865895</w:t>
          </w:r>
        </w:p>
        <w:p w14:paraId="0BB987FD" w14:textId="77777777" w:rsidR="00EC7CE1" w:rsidRDefault="00EC7CE1">
          <w:pPr>
            <w:autoSpaceDE w:val="0"/>
            <w:autoSpaceDN w:val="0"/>
            <w:ind w:hanging="480"/>
            <w:divId w:val="2060393373"/>
            <w:rPr>
              <w:rFonts w:eastAsia="Times New Roman"/>
            </w:rPr>
          </w:pPr>
          <w:r>
            <w:rPr>
              <w:rFonts w:eastAsia="Times New Roman"/>
            </w:rPr>
            <w:t xml:space="preserve">Wills, T. A., &amp; Shinar, O. (2015). Measuring Perceived and Received Social Support. </w:t>
          </w:r>
          <w:r>
            <w:rPr>
              <w:rFonts w:eastAsia="Times New Roman"/>
              <w:i/>
              <w:iCs/>
            </w:rPr>
            <w:t>Social Support Measurement and Intervention</w:t>
          </w:r>
          <w:r>
            <w:rPr>
              <w:rFonts w:eastAsia="Times New Roman"/>
            </w:rPr>
            <w:t>, 86–135. https://doi.org/10.1093/MED:PSYCH/9780195126709.003.0004</w:t>
          </w:r>
        </w:p>
        <w:p w14:paraId="67A2AF6D" w14:textId="77777777" w:rsidR="00EC7CE1" w:rsidRDefault="00EC7CE1">
          <w:pPr>
            <w:autoSpaceDE w:val="0"/>
            <w:autoSpaceDN w:val="0"/>
            <w:ind w:hanging="480"/>
            <w:divId w:val="1861316021"/>
            <w:rPr>
              <w:rFonts w:eastAsia="Times New Roman"/>
            </w:rPr>
          </w:pPr>
          <w:r>
            <w:rPr>
              <w:rFonts w:eastAsia="Times New Roman"/>
            </w:rPr>
            <w:t xml:space="preserve">World Health Organisation (WHO). (2019). </w:t>
          </w:r>
          <w:r>
            <w:rPr>
              <w:rFonts w:eastAsia="Times New Roman"/>
              <w:i/>
              <w:iCs/>
            </w:rPr>
            <w:t>International Classification of Diseases, Eleventh Revision (ICD-11)</w:t>
          </w:r>
          <w:r>
            <w:rPr>
              <w:rFonts w:eastAsia="Times New Roman"/>
            </w:rPr>
            <w:t>. https://icd.who.int/browse11.</w:t>
          </w:r>
        </w:p>
        <w:p w14:paraId="6730E37A" w14:textId="77777777" w:rsidR="00EC7CE1" w:rsidRDefault="00EC7CE1">
          <w:pPr>
            <w:autoSpaceDE w:val="0"/>
            <w:autoSpaceDN w:val="0"/>
            <w:ind w:hanging="480"/>
            <w:divId w:val="1628046664"/>
            <w:rPr>
              <w:rFonts w:eastAsia="Times New Roman"/>
            </w:rPr>
          </w:pPr>
          <w:r>
            <w:rPr>
              <w:rFonts w:eastAsia="Times New Roman"/>
            </w:rPr>
            <w:t xml:space="preserve">Worthington, R. L., &amp; Whittaker, T. A. (2006). </w:t>
          </w:r>
          <w:r>
            <w:rPr>
              <w:rFonts w:eastAsia="Times New Roman"/>
              <w:i/>
              <w:iCs/>
            </w:rPr>
            <w:t>Scale Development Research A Content Analysis and Recommendations for Best Practices</w:t>
          </w:r>
          <w:r>
            <w:rPr>
              <w:rFonts w:eastAsia="Times New Roman"/>
            </w:rPr>
            <w:t>. https://doi.org/10.1177/0011000006288127</w:t>
          </w:r>
        </w:p>
        <w:p w14:paraId="5993BB53" w14:textId="77777777" w:rsidR="00EC7CE1" w:rsidRDefault="00EC7CE1">
          <w:pPr>
            <w:autoSpaceDE w:val="0"/>
            <w:autoSpaceDN w:val="0"/>
            <w:ind w:hanging="480"/>
            <w:divId w:val="516583811"/>
            <w:rPr>
              <w:rFonts w:eastAsia="Times New Roman"/>
            </w:rPr>
          </w:pPr>
          <w:r>
            <w:rPr>
              <w:rFonts w:eastAsia="Times New Roman"/>
            </w:rPr>
            <w:t xml:space="preserve">Worthy, D. A., Byrne, K. A., &amp; Fields, S. (2014). Effects of emotion on prospection during decision-making. </w:t>
          </w:r>
          <w:r>
            <w:rPr>
              <w:rFonts w:eastAsia="Times New Roman"/>
              <w:i/>
              <w:iCs/>
            </w:rPr>
            <w:t>Frontiers in Psychology</w:t>
          </w:r>
          <w:r>
            <w:rPr>
              <w:rFonts w:eastAsia="Times New Roman"/>
            </w:rPr>
            <w:t xml:space="preserve">, </w:t>
          </w:r>
          <w:r>
            <w:rPr>
              <w:rFonts w:eastAsia="Times New Roman"/>
              <w:i/>
              <w:iCs/>
            </w:rPr>
            <w:t>5</w:t>
          </w:r>
          <w:r>
            <w:rPr>
              <w:rFonts w:eastAsia="Times New Roman"/>
            </w:rPr>
            <w:t>(JUN), 591. https://doi.org/10.3389/FPSYG.2014.00591/BIBTEX</w:t>
          </w:r>
        </w:p>
        <w:p w14:paraId="13865099" w14:textId="77777777" w:rsidR="00EC7CE1" w:rsidRDefault="00EC7CE1">
          <w:pPr>
            <w:autoSpaceDE w:val="0"/>
            <w:autoSpaceDN w:val="0"/>
            <w:ind w:hanging="480"/>
            <w:divId w:val="1648390621"/>
            <w:rPr>
              <w:rFonts w:eastAsia="Times New Roman"/>
            </w:rPr>
          </w:pPr>
          <w:r>
            <w:rPr>
              <w:rFonts w:eastAsia="Times New Roman"/>
            </w:rPr>
            <w:t xml:space="preserve">Wright, B. D., &amp; Masters, G. N. (1982). </w:t>
          </w:r>
          <w:r>
            <w:rPr>
              <w:rFonts w:eastAsia="Times New Roman"/>
              <w:i/>
              <w:iCs/>
            </w:rPr>
            <w:t>Rating scale analysis: Rasch measurement. Chicago: Mesa Press.</w:t>
          </w:r>
        </w:p>
        <w:p w14:paraId="22CEB136" w14:textId="77777777" w:rsidR="00EC7CE1" w:rsidRDefault="00EC7CE1">
          <w:pPr>
            <w:autoSpaceDE w:val="0"/>
            <w:autoSpaceDN w:val="0"/>
            <w:ind w:hanging="480"/>
            <w:divId w:val="1519388914"/>
            <w:rPr>
              <w:rFonts w:eastAsia="Times New Roman"/>
            </w:rPr>
          </w:pPr>
          <w:r>
            <w:rPr>
              <w:rFonts w:eastAsia="Times New Roman"/>
            </w:rPr>
            <w:t xml:space="preserve">Wright, B. D., &amp; Mesa, M. H. S. (1979). </w:t>
          </w:r>
          <w:r>
            <w:rPr>
              <w:rFonts w:eastAsia="Times New Roman"/>
              <w:i/>
              <w:iCs/>
            </w:rPr>
            <w:t>Best test design</w:t>
          </w:r>
          <w:r>
            <w:rPr>
              <w:rFonts w:eastAsia="Times New Roman"/>
            </w:rPr>
            <w:t>. https://research.acer.edu.au/measurement/1/</w:t>
          </w:r>
        </w:p>
        <w:p w14:paraId="6E711DDC" w14:textId="77777777" w:rsidR="00EC7CE1" w:rsidRDefault="00EC7CE1">
          <w:pPr>
            <w:autoSpaceDE w:val="0"/>
            <w:autoSpaceDN w:val="0"/>
            <w:ind w:hanging="480"/>
            <w:divId w:val="1032219891"/>
            <w:rPr>
              <w:rFonts w:eastAsia="Times New Roman"/>
            </w:rPr>
          </w:pPr>
          <w:r>
            <w:rPr>
              <w:rFonts w:eastAsia="Times New Roman"/>
            </w:rPr>
            <w:t xml:space="preserve">Wright, B., &amp; Linacre, J. (1994). Reasonable mean-square fit values. </w:t>
          </w:r>
          <w:r>
            <w:rPr>
              <w:rFonts w:eastAsia="Times New Roman"/>
              <w:i/>
              <w:iCs/>
            </w:rPr>
            <w:t>Rasch Measurement Transaction</w:t>
          </w:r>
          <w:r>
            <w:rPr>
              <w:rFonts w:eastAsia="Times New Roman"/>
            </w:rPr>
            <w:t xml:space="preserve">, </w:t>
          </w:r>
          <w:r>
            <w:rPr>
              <w:rFonts w:eastAsia="Times New Roman"/>
              <w:i/>
              <w:iCs/>
            </w:rPr>
            <w:t>8</w:t>
          </w:r>
          <w:r>
            <w:rPr>
              <w:rFonts w:eastAsia="Times New Roman"/>
            </w:rPr>
            <w:t>, 370–371.</w:t>
          </w:r>
        </w:p>
        <w:p w14:paraId="04937870" w14:textId="77777777" w:rsidR="00EC7CE1" w:rsidRDefault="00EC7CE1">
          <w:pPr>
            <w:autoSpaceDE w:val="0"/>
            <w:autoSpaceDN w:val="0"/>
            <w:ind w:hanging="480"/>
            <w:divId w:val="1133838359"/>
            <w:rPr>
              <w:rFonts w:eastAsia="Times New Roman"/>
            </w:rPr>
          </w:pPr>
          <w:r>
            <w:rPr>
              <w:rFonts w:eastAsia="Times New Roman"/>
            </w:rPr>
            <w:t xml:space="preserve">Wright, B., &amp; Stone, M. (1979). Best test design. </w:t>
          </w:r>
          <w:r>
            <w:rPr>
              <w:rFonts w:eastAsia="Times New Roman"/>
              <w:i/>
              <w:iCs/>
            </w:rPr>
            <w:t>Measurement and Statistics</w:t>
          </w:r>
          <w:r>
            <w:rPr>
              <w:rFonts w:eastAsia="Times New Roman"/>
            </w:rPr>
            <w:t>. https://research.acer.edu.au/measurement/1</w:t>
          </w:r>
        </w:p>
        <w:p w14:paraId="28800960" w14:textId="77777777" w:rsidR="00EC7CE1" w:rsidRDefault="00EC7CE1">
          <w:pPr>
            <w:autoSpaceDE w:val="0"/>
            <w:autoSpaceDN w:val="0"/>
            <w:ind w:hanging="480"/>
            <w:divId w:val="2039769330"/>
            <w:rPr>
              <w:rFonts w:eastAsia="Times New Roman"/>
            </w:rPr>
          </w:pPr>
          <w:r>
            <w:rPr>
              <w:rFonts w:eastAsia="Times New Roman"/>
            </w:rPr>
            <w:t xml:space="preserve">Zahra, D., Qureshi, A., Henley, W., Taylor, R., Quinn, C., Pooler, J., Hardy, G., Newbold, A., &amp; Byng, R. (2014). The work and social adjustment scale: reliability, sensitivity and value. </w:t>
          </w:r>
          <w:r>
            <w:rPr>
              <w:rFonts w:eastAsia="Times New Roman"/>
              <w:i/>
              <w:iCs/>
            </w:rPr>
            <w:t>International Journal of Psychiatry in Clinical Practice</w:t>
          </w:r>
          <w:r>
            <w:rPr>
              <w:rFonts w:eastAsia="Times New Roman"/>
            </w:rPr>
            <w:t xml:space="preserve">, </w:t>
          </w:r>
          <w:r>
            <w:rPr>
              <w:rFonts w:eastAsia="Times New Roman"/>
              <w:i/>
              <w:iCs/>
            </w:rPr>
            <w:t>18</w:t>
          </w:r>
          <w:r>
            <w:rPr>
              <w:rFonts w:eastAsia="Times New Roman"/>
            </w:rPr>
            <w:t>(2), 131–138. https://doi.org/10.3109/13651501.2014.894072</w:t>
          </w:r>
        </w:p>
        <w:p w14:paraId="52F4738D" w14:textId="77777777" w:rsidR="00EC7CE1" w:rsidRDefault="00EC7CE1">
          <w:pPr>
            <w:autoSpaceDE w:val="0"/>
            <w:autoSpaceDN w:val="0"/>
            <w:ind w:hanging="480"/>
            <w:divId w:val="621310055"/>
            <w:rPr>
              <w:rFonts w:eastAsia="Times New Roman"/>
            </w:rPr>
          </w:pPr>
          <w:proofErr w:type="spellStart"/>
          <w:r>
            <w:rPr>
              <w:rFonts w:eastAsia="Times New Roman"/>
            </w:rPr>
            <w:t>Zeintl</w:t>
          </w:r>
          <w:proofErr w:type="spellEnd"/>
          <w:r>
            <w:rPr>
              <w:rFonts w:eastAsia="Times New Roman"/>
            </w:rPr>
            <w:t xml:space="preserve">, M., </w:t>
          </w:r>
          <w:proofErr w:type="spellStart"/>
          <w:r>
            <w:rPr>
              <w:rFonts w:eastAsia="Times New Roman"/>
            </w:rPr>
            <w:t>Kliegel</w:t>
          </w:r>
          <w:proofErr w:type="spellEnd"/>
          <w:r>
            <w:rPr>
              <w:rFonts w:eastAsia="Times New Roman"/>
            </w:rPr>
            <w:t xml:space="preserve">, M., </w:t>
          </w:r>
          <w:proofErr w:type="spellStart"/>
          <w:r>
            <w:rPr>
              <w:rFonts w:eastAsia="Times New Roman"/>
            </w:rPr>
            <w:t>Rast</w:t>
          </w:r>
          <w:proofErr w:type="spellEnd"/>
          <w:r>
            <w:rPr>
              <w:rFonts w:eastAsia="Times New Roman"/>
            </w:rPr>
            <w:t xml:space="preserve">, P., &amp; </w:t>
          </w:r>
          <w:proofErr w:type="spellStart"/>
          <w:r>
            <w:rPr>
              <w:rFonts w:eastAsia="Times New Roman"/>
            </w:rPr>
            <w:t>Zimprich</w:t>
          </w:r>
          <w:proofErr w:type="spellEnd"/>
          <w:r>
            <w:rPr>
              <w:rFonts w:eastAsia="Times New Roman"/>
            </w:rPr>
            <w:t xml:space="preserve">, D. (2006). Prospective Memory Complaints Can Be Predicted by Prospective Memory Performance in Older </w:t>
          </w:r>
          <w:r>
            <w:rPr>
              <w:rFonts w:eastAsia="Times New Roman"/>
            </w:rPr>
            <w:lastRenderedPageBreak/>
            <w:t xml:space="preserve">Adults. </w:t>
          </w:r>
          <w:r>
            <w:rPr>
              <w:rFonts w:eastAsia="Times New Roman"/>
              <w:i/>
              <w:iCs/>
            </w:rPr>
            <w:t>Dementia and Geriatric Cognitive Disorders</w:t>
          </w:r>
          <w:r>
            <w:rPr>
              <w:rFonts w:eastAsia="Times New Roman"/>
            </w:rPr>
            <w:t xml:space="preserve">, </w:t>
          </w:r>
          <w:r>
            <w:rPr>
              <w:rFonts w:eastAsia="Times New Roman"/>
              <w:i/>
              <w:iCs/>
            </w:rPr>
            <w:t>22</w:t>
          </w:r>
          <w:r>
            <w:rPr>
              <w:rFonts w:eastAsia="Times New Roman"/>
            </w:rPr>
            <w:t>(3), 209–215. https://doi.org/10.1159/000094915</w:t>
          </w:r>
        </w:p>
        <w:p w14:paraId="0701D399" w14:textId="77777777" w:rsidR="00EC7CE1" w:rsidRDefault="00EC7CE1">
          <w:pPr>
            <w:autoSpaceDE w:val="0"/>
            <w:autoSpaceDN w:val="0"/>
            <w:ind w:hanging="480"/>
            <w:divId w:val="1467356723"/>
            <w:rPr>
              <w:rFonts w:eastAsia="Times New Roman"/>
            </w:rPr>
          </w:pPr>
          <w:r>
            <w:rPr>
              <w:rFonts w:eastAsia="Times New Roman"/>
            </w:rPr>
            <w:t xml:space="preserve">Zhang, L., </w:t>
          </w:r>
          <w:proofErr w:type="spellStart"/>
          <w:r>
            <w:rPr>
              <w:rFonts w:eastAsia="Times New Roman"/>
            </w:rPr>
            <w:t>Beghi</w:t>
          </w:r>
          <w:proofErr w:type="spellEnd"/>
          <w:r>
            <w:rPr>
              <w:rFonts w:eastAsia="Times New Roman"/>
            </w:rPr>
            <w:t xml:space="preserve">, E., Tomson, T., </w:t>
          </w:r>
          <w:proofErr w:type="spellStart"/>
          <w:r>
            <w:rPr>
              <w:rFonts w:eastAsia="Times New Roman"/>
            </w:rPr>
            <w:t>Beghi</w:t>
          </w:r>
          <w:proofErr w:type="spellEnd"/>
          <w:r>
            <w:rPr>
              <w:rFonts w:eastAsia="Times New Roman"/>
            </w:rPr>
            <w:t xml:space="preserve">, M., </w:t>
          </w:r>
          <w:proofErr w:type="spellStart"/>
          <w:r>
            <w:rPr>
              <w:rFonts w:eastAsia="Times New Roman"/>
            </w:rPr>
            <w:t>Erba</w:t>
          </w:r>
          <w:proofErr w:type="spellEnd"/>
          <w:r>
            <w:rPr>
              <w:rFonts w:eastAsia="Times New Roman"/>
            </w:rPr>
            <w:t xml:space="preserve">, G., &amp; Chang, Z. (2022). Mortality in patients with psychogenic non-epileptic seizures a population-based cohort study. </w:t>
          </w:r>
          <w:r>
            <w:rPr>
              <w:rFonts w:eastAsia="Times New Roman"/>
              <w:i/>
              <w:iCs/>
            </w:rPr>
            <w:t>Journal of Neurology, Neurosurgery, and Psychiatry</w:t>
          </w:r>
          <w:r>
            <w:rPr>
              <w:rFonts w:eastAsia="Times New Roman"/>
            </w:rPr>
            <w:t xml:space="preserve">, </w:t>
          </w:r>
          <w:r>
            <w:rPr>
              <w:rFonts w:eastAsia="Times New Roman"/>
              <w:i/>
              <w:iCs/>
            </w:rPr>
            <w:t>93</w:t>
          </w:r>
          <w:r>
            <w:rPr>
              <w:rFonts w:eastAsia="Times New Roman"/>
            </w:rPr>
            <w:t>(4). https://doi.org/10.1136/JNNP-2021-328035</w:t>
          </w:r>
        </w:p>
        <w:p w14:paraId="01E7B523" w14:textId="6C1F5338" w:rsidR="007E0ABC" w:rsidRDefault="00EC7CE1">
          <w:r>
            <w:rPr>
              <w:rFonts w:eastAsia="Times New Roman"/>
            </w:rPr>
            <w:t> </w:t>
          </w:r>
        </w:p>
      </w:sdtContent>
    </w:sdt>
    <w:p w14:paraId="2A99F3BC" w14:textId="77777777" w:rsidR="007E0ABC" w:rsidRDefault="007E0ABC">
      <w:pPr>
        <w:spacing w:line="240" w:lineRule="auto"/>
        <w:jc w:val="left"/>
      </w:pPr>
      <w:r>
        <w:br w:type="page"/>
      </w:r>
    </w:p>
    <w:p w14:paraId="0CE56FF0" w14:textId="77777777" w:rsidR="007E0ABC" w:rsidRDefault="007E0ABC" w:rsidP="007F6A0A">
      <w:pPr>
        <w:pStyle w:val="Heading2"/>
      </w:pPr>
      <w:r>
        <w:lastRenderedPageBreak/>
        <w:t xml:space="preserve">Appendices </w:t>
      </w:r>
    </w:p>
    <w:p w14:paraId="5903F904" w14:textId="77777777" w:rsidR="007E0ABC" w:rsidRDefault="007E0ABC">
      <w:r>
        <w:t>Appendix A – Included Study Measures</w:t>
      </w:r>
    </w:p>
    <w:p w14:paraId="0874FC74" w14:textId="77777777" w:rsidR="007E0ABC" w:rsidRDefault="007E0ABC" w:rsidP="007E0ABC">
      <w:pPr>
        <w:pStyle w:val="ListParagraph"/>
        <w:numPr>
          <w:ilvl w:val="0"/>
          <w:numId w:val="101"/>
        </w:numPr>
        <w:spacing w:line="240" w:lineRule="auto"/>
        <w:jc w:val="left"/>
      </w:pPr>
      <w:r>
        <w:t>Symptom Characterisation questionnaire - EASE</w:t>
      </w:r>
    </w:p>
    <w:p w14:paraId="0B059422" w14:textId="77777777" w:rsidR="007E0ABC" w:rsidRDefault="007E0ABC" w:rsidP="007E0ABC">
      <w:pPr>
        <w:pStyle w:val="ListParagraph"/>
        <w:numPr>
          <w:ilvl w:val="0"/>
          <w:numId w:val="101"/>
        </w:numPr>
        <w:spacing w:line="240" w:lineRule="auto"/>
        <w:jc w:val="left"/>
      </w:pPr>
      <w:r>
        <w:t>GAD-7</w:t>
      </w:r>
    </w:p>
    <w:p w14:paraId="70109359" w14:textId="77777777" w:rsidR="007E0ABC" w:rsidRDefault="007E0ABC" w:rsidP="007E0ABC">
      <w:pPr>
        <w:pStyle w:val="ListParagraph"/>
        <w:numPr>
          <w:ilvl w:val="0"/>
          <w:numId w:val="101"/>
        </w:numPr>
        <w:spacing w:line="240" w:lineRule="auto"/>
        <w:jc w:val="left"/>
      </w:pPr>
      <w:r>
        <w:t>PHQ-9</w:t>
      </w:r>
    </w:p>
    <w:p w14:paraId="46F1A39C" w14:textId="77777777" w:rsidR="007E0ABC" w:rsidRDefault="007E0ABC" w:rsidP="007E0ABC">
      <w:pPr>
        <w:pStyle w:val="ListParagraph"/>
        <w:numPr>
          <w:ilvl w:val="0"/>
          <w:numId w:val="101"/>
        </w:numPr>
        <w:spacing w:line="240" w:lineRule="auto"/>
        <w:jc w:val="left"/>
      </w:pPr>
      <w:r>
        <w:t>PHQ-15</w:t>
      </w:r>
    </w:p>
    <w:p w14:paraId="3F1E6F43" w14:textId="77777777" w:rsidR="007E0ABC" w:rsidRDefault="007E0ABC" w:rsidP="007E0ABC">
      <w:pPr>
        <w:pStyle w:val="ListParagraph"/>
        <w:numPr>
          <w:ilvl w:val="0"/>
          <w:numId w:val="101"/>
        </w:numPr>
        <w:spacing w:line="240" w:lineRule="auto"/>
        <w:jc w:val="left"/>
      </w:pPr>
      <w:r>
        <w:t>PCL-5</w:t>
      </w:r>
    </w:p>
    <w:p w14:paraId="0D9F4425" w14:textId="77777777" w:rsidR="007E0ABC" w:rsidRDefault="007E0ABC" w:rsidP="007E0ABC">
      <w:pPr>
        <w:pStyle w:val="ListParagraph"/>
        <w:numPr>
          <w:ilvl w:val="0"/>
          <w:numId w:val="101"/>
        </w:numPr>
        <w:spacing w:line="240" w:lineRule="auto"/>
        <w:jc w:val="left"/>
      </w:pPr>
      <w:r>
        <w:t>WSAS</w:t>
      </w:r>
    </w:p>
    <w:p w14:paraId="3205FB03" w14:textId="77777777" w:rsidR="007E0ABC" w:rsidRDefault="007E0ABC" w:rsidP="007E0ABC">
      <w:pPr>
        <w:pStyle w:val="ListParagraph"/>
        <w:numPr>
          <w:ilvl w:val="0"/>
          <w:numId w:val="101"/>
        </w:numPr>
        <w:spacing w:line="240" w:lineRule="auto"/>
        <w:jc w:val="left"/>
      </w:pPr>
      <w:r>
        <w:t>EQ-5D-3L</w:t>
      </w:r>
    </w:p>
    <w:p w14:paraId="2A7B6514" w14:textId="77777777" w:rsidR="007E0ABC" w:rsidRDefault="007E0ABC" w:rsidP="007E0ABC">
      <w:pPr>
        <w:pStyle w:val="ListParagraph"/>
        <w:numPr>
          <w:ilvl w:val="0"/>
          <w:numId w:val="101"/>
        </w:numPr>
        <w:spacing w:line="240" w:lineRule="auto"/>
        <w:jc w:val="left"/>
      </w:pPr>
      <w:r>
        <w:t>UCS</w:t>
      </w:r>
    </w:p>
    <w:p w14:paraId="5AE17293" w14:textId="77777777" w:rsidR="007E0ABC" w:rsidRDefault="007E0ABC" w:rsidP="007E0ABC">
      <w:pPr>
        <w:pStyle w:val="ListParagraph"/>
        <w:numPr>
          <w:ilvl w:val="0"/>
          <w:numId w:val="101"/>
        </w:numPr>
        <w:spacing w:line="240" w:lineRule="auto"/>
        <w:jc w:val="left"/>
      </w:pPr>
      <w:r>
        <w:t>Mood Zoom</w:t>
      </w:r>
    </w:p>
    <w:p w14:paraId="15F56817" w14:textId="77777777" w:rsidR="007E0ABC" w:rsidRDefault="007E0ABC" w:rsidP="007E0ABC">
      <w:pPr>
        <w:pStyle w:val="ListParagraph"/>
        <w:numPr>
          <w:ilvl w:val="0"/>
          <w:numId w:val="101"/>
        </w:numPr>
        <w:spacing w:line="240" w:lineRule="auto"/>
        <w:jc w:val="left"/>
      </w:pPr>
      <w:r>
        <w:t>DERS</w:t>
      </w:r>
    </w:p>
    <w:p w14:paraId="02A70969" w14:textId="77777777" w:rsidR="007E0ABC" w:rsidRDefault="007E0ABC" w:rsidP="003726B6">
      <w:pPr>
        <w:pStyle w:val="ListParagraph"/>
        <w:ind w:left="1080"/>
      </w:pPr>
    </w:p>
    <w:p w14:paraId="5D20A675" w14:textId="77777777" w:rsidR="007E0ABC" w:rsidRDefault="007E0ABC" w:rsidP="003726B6">
      <w:r>
        <w:t>Appendix B – EASE Questionnaire</w:t>
      </w:r>
    </w:p>
    <w:p w14:paraId="489EC1E1" w14:textId="77777777" w:rsidR="007E0ABC" w:rsidRDefault="007E0ABC" w:rsidP="007E0ABC">
      <w:pPr>
        <w:pStyle w:val="ListParagraph"/>
        <w:numPr>
          <w:ilvl w:val="0"/>
          <w:numId w:val="102"/>
        </w:numPr>
        <w:spacing w:line="240" w:lineRule="auto"/>
        <w:jc w:val="left"/>
      </w:pPr>
      <w:r>
        <w:t>Original German EASE questionnaire</w:t>
      </w:r>
    </w:p>
    <w:p w14:paraId="0D80AA62" w14:textId="77777777" w:rsidR="007E0ABC" w:rsidRDefault="007E0ABC" w:rsidP="007E0ABC">
      <w:pPr>
        <w:pStyle w:val="ListParagraph"/>
        <w:numPr>
          <w:ilvl w:val="0"/>
          <w:numId w:val="102"/>
        </w:numPr>
        <w:spacing w:line="240" w:lineRule="auto"/>
        <w:jc w:val="left"/>
      </w:pPr>
      <w:r>
        <w:t>Original EASE-F questionnaire</w:t>
      </w:r>
    </w:p>
    <w:p w14:paraId="1C153CAF" w14:textId="77777777" w:rsidR="007E0ABC" w:rsidRDefault="007E0ABC" w:rsidP="007E0ABC">
      <w:pPr>
        <w:pStyle w:val="ListParagraph"/>
        <w:numPr>
          <w:ilvl w:val="0"/>
          <w:numId w:val="102"/>
        </w:numPr>
        <w:spacing w:line="240" w:lineRule="auto"/>
        <w:jc w:val="left"/>
      </w:pPr>
      <w:r>
        <w:t>EASE Interim Scoring Instructions</w:t>
      </w:r>
    </w:p>
    <w:p w14:paraId="75C5B932" w14:textId="77777777" w:rsidR="007E0ABC" w:rsidRDefault="007E0ABC" w:rsidP="003726B6"/>
    <w:p w14:paraId="3D5EB923" w14:textId="77777777" w:rsidR="007E0ABC" w:rsidRDefault="007E0ABC" w:rsidP="003726B6">
      <w:r>
        <w:t>Appendix C – EASE Study -  Supplementary Data</w:t>
      </w:r>
    </w:p>
    <w:p w14:paraId="75F144DC" w14:textId="77777777" w:rsidR="007E0ABC" w:rsidRDefault="007E0ABC" w:rsidP="007E0ABC">
      <w:pPr>
        <w:pStyle w:val="ListParagraph"/>
        <w:numPr>
          <w:ilvl w:val="0"/>
          <w:numId w:val="104"/>
        </w:numPr>
        <w:spacing w:line="240" w:lineRule="auto"/>
        <w:jc w:val="left"/>
      </w:pPr>
      <w:r w:rsidRPr="00E36B1E">
        <w:t xml:space="preserve">Table </w:t>
      </w:r>
      <w:r>
        <w:t>26</w:t>
      </w:r>
      <w:r w:rsidRPr="00E36B1E">
        <w:t>.</w:t>
      </w:r>
      <w:r>
        <w:t xml:space="preserve"> </w:t>
      </w:r>
      <w:r w:rsidRPr="00E36B1E">
        <w:t>Summary of patient symptom data from consultant referral letters</w:t>
      </w:r>
    </w:p>
    <w:p w14:paraId="43EBA142" w14:textId="77777777" w:rsidR="007E0ABC" w:rsidRDefault="007E0ABC" w:rsidP="007E0ABC">
      <w:pPr>
        <w:pStyle w:val="ListParagraph"/>
        <w:numPr>
          <w:ilvl w:val="0"/>
          <w:numId w:val="104"/>
        </w:numPr>
        <w:spacing w:line="240" w:lineRule="auto"/>
        <w:jc w:val="left"/>
      </w:pPr>
      <w:r>
        <w:t>Table 27. Floor and ceiling effects in the EASE-F</w:t>
      </w:r>
    </w:p>
    <w:p w14:paraId="41964C33" w14:textId="4F0D4C28" w:rsidR="007E0ABC" w:rsidRDefault="007E0ABC" w:rsidP="007E0ABC">
      <w:pPr>
        <w:pStyle w:val="ListParagraph"/>
        <w:numPr>
          <w:ilvl w:val="0"/>
          <w:numId w:val="104"/>
        </w:numPr>
        <w:spacing w:line="240" w:lineRule="auto"/>
        <w:jc w:val="left"/>
      </w:pPr>
      <w:r>
        <w:t>Figure 1</w:t>
      </w:r>
      <w:r w:rsidR="00774F59">
        <w:t>5</w:t>
      </w:r>
      <w:r>
        <w:t>. EASE-F Scree plot analysis</w:t>
      </w:r>
    </w:p>
    <w:p w14:paraId="3DF61798" w14:textId="77777777" w:rsidR="007E0ABC" w:rsidRPr="000629A4" w:rsidRDefault="007E0ABC" w:rsidP="007E0ABC">
      <w:pPr>
        <w:pStyle w:val="ListParagraph"/>
        <w:numPr>
          <w:ilvl w:val="0"/>
          <w:numId w:val="104"/>
        </w:numPr>
        <w:spacing w:line="240" w:lineRule="auto"/>
        <w:jc w:val="left"/>
      </w:pPr>
      <w:r w:rsidRPr="000629A4">
        <w:t xml:space="preserve">Table </w:t>
      </w:r>
      <w:r>
        <w:t>29</w:t>
      </w:r>
      <w:r w:rsidRPr="000629A4">
        <w:t>. Horn’s Parallel Analysis for factor retention</w:t>
      </w:r>
    </w:p>
    <w:p w14:paraId="24F3FE9B" w14:textId="77777777" w:rsidR="007E0ABC" w:rsidRDefault="007E0ABC" w:rsidP="007E0ABC">
      <w:pPr>
        <w:pStyle w:val="ListParagraph"/>
        <w:numPr>
          <w:ilvl w:val="0"/>
          <w:numId w:val="104"/>
        </w:numPr>
        <w:spacing w:line="240" w:lineRule="auto"/>
        <w:jc w:val="left"/>
      </w:pPr>
      <w:r>
        <w:t>Tables 30A-G. Item Distributions for Factor models</w:t>
      </w:r>
    </w:p>
    <w:p w14:paraId="3F7B58B9" w14:textId="77777777" w:rsidR="007E0ABC" w:rsidRDefault="007E0ABC" w:rsidP="007E0ABC">
      <w:pPr>
        <w:pStyle w:val="ListParagraph"/>
        <w:numPr>
          <w:ilvl w:val="0"/>
          <w:numId w:val="104"/>
        </w:numPr>
        <w:spacing w:line="240" w:lineRule="auto"/>
        <w:jc w:val="left"/>
      </w:pPr>
      <w:r>
        <w:t>Table 31.Scale intercorrelations for 4-factor model</w:t>
      </w:r>
    </w:p>
    <w:p w14:paraId="7A0797EE" w14:textId="77777777" w:rsidR="007E0ABC" w:rsidRDefault="007E0ABC" w:rsidP="007E0ABC">
      <w:pPr>
        <w:pStyle w:val="ListParagraph"/>
        <w:numPr>
          <w:ilvl w:val="0"/>
          <w:numId w:val="104"/>
        </w:numPr>
        <w:spacing w:line="240" w:lineRule="auto"/>
        <w:jc w:val="left"/>
      </w:pPr>
      <w:r>
        <w:t xml:space="preserve">Table 32. Item factor loadings in the 4-factor EASE-F model </w:t>
      </w:r>
    </w:p>
    <w:p w14:paraId="105C86CA" w14:textId="77777777" w:rsidR="007E0ABC" w:rsidRDefault="007E0ABC" w:rsidP="007E0ABC">
      <w:pPr>
        <w:pStyle w:val="ListParagraph"/>
        <w:numPr>
          <w:ilvl w:val="0"/>
          <w:numId w:val="104"/>
        </w:numPr>
        <w:spacing w:line="240" w:lineRule="auto"/>
        <w:jc w:val="left"/>
      </w:pPr>
      <w:r>
        <w:t>Table 33. Goodness of fit for adjusted EASE-F models</w:t>
      </w:r>
    </w:p>
    <w:p w14:paraId="48ABBAA4" w14:textId="77777777" w:rsidR="007E0ABC" w:rsidRDefault="007E0ABC" w:rsidP="00BC22A2"/>
    <w:p w14:paraId="7F23F573" w14:textId="77777777" w:rsidR="007E0ABC" w:rsidRDefault="007E0ABC" w:rsidP="00BD6250">
      <w:r>
        <w:t xml:space="preserve">Appendix D – EASE Iterative Process of scale </w:t>
      </w:r>
      <w:r w:rsidRPr="00BC22A2">
        <w:t xml:space="preserve">refinement </w:t>
      </w:r>
    </w:p>
    <w:p w14:paraId="218C2EBF" w14:textId="77777777" w:rsidR="007E0ABC" w:rsidRDefault="007E0ABC" w:rsidP="007E0ABC">
      <w:pPr>
        <w:pStyle w:val="ListParagraph"/>
        <w:numPr>
          <w:ilvl w:val="0"/>
          <w:numId w:val="105"/>
        </w:numPr>
        <w:spacing w:line="240" w:lineRule="auto"/>
        <w:jc w:val="left"/>
      </w:pPr>
      <w:r>
        <w:t>Table 34A-H. Self-efficacy Scale</w:t>
      </w:r>
    </w:p>
    <w:p w14:paraId="19EA1381" w14:textId="77777777" w:rsidR="007E0ABC" w:rsidRDefault="007E0ABC" w:rsidP="007E0ABC">
      <w:pPr>
        <w:pStyle w:val="ListParagraph"/>
        <w:numPr>
          <w:ilvl w:val="0"/>
          <w:numId w:val="105"/>
        </w:numPr>
        <w:spacing w:line="240" w:lineRule="auto"/>
        <w:jc w:val="left"/>
      </w:pPr>
      <w:r>
        <w:t>Table 35A-H Self-awareness Scale</w:t>
      </w:r>
    </w:p>
    <w:p w14:paraId="43FB0598" w14:textId="77777777" w:rsidR="007E0ABC" w:rsidRDefault="007E0ABC" w:rsidP="007E0ABC">
      <w:pPr>
        <w:pStyle w:val="ListParagraph"/>
        <w:numPr>
          <w:ilvl w:val="0"/>
          <w:numId w:val="105"/>
        </w:numPr>
        <w:spacing w:line="240" w:lineRule="auto"/>
        <w:jc w:val="left"/>
      </w:pPr>
      <w:r>
        <w:t xml:space="preserve">Table 36A-H Social Support Scale </w:t>
      </w:r>
    </w:p>
    <w:p w14:paraId="101267DF" w14:textId="77777777" w:rsidR="007E0ABC" w:rsidRDefault="007E0ABC" w:rsidP="007E0ABC">
      <w:pPr>
        <w:pStyle w:val="ListParagraph"/>
        <w:numPr>
          <w:ilvl w:val="0"/>
          <w:numId w:val="105"/>
        </w:numPr>
        <w:spacing w:line="240" w:lineRule="auto"/>
        <w:jc w:val="left"/>
      </w:pPr>
      <w:r>
        <w:t>Table 37A-H Illness Burden Scale</w:t>
      </w:r>
    </w:p>
    <w:p w14:paraId="2D278CB6" w14:textId="77777777" w:rsidR="007E0ABC" w:rsidRDefault="007E0ABC" w:rsidP="000B2985"/>
    <w:p w14:paraId="614DEC85" w14:textId="77777777" w:rsidR="007E0ABC" w:rsidRDefault="007E0ABC" w:rsidP="000B2985">
      <w:r>
        <w:t>Appendix E – Emergency Care Use Study Supplementary Data</w:t>
      </w:r>
    </w:p>
    <w:p w14:paraId="05779252" w14:textId="77777777" w:rsidR="007E0ABC" w:rsidRDefault="007E0ABC" w:rsidP="007E0ABC">
      <w:pPr>
        <w:pStyle w:val="ListParagraph"/>
        <w:numPr>
          <w:ilvl w:val="0"/>
          <w:numId w:val="196"/>
        </w:numPr>
        <w:spacing w:line="240" w:lineRule="auto"/>
        <w:jc w:val="left"/>
      </w:pPr>
      <w:r>
        <w:t>Table 38 - Age and sex-stratified</w:t>
      </w:r>
      <w:r w:rsidRPr="007F3D83">
        <w:t xml:space="preserve"> crude rates</w:t>
      </w:r>
      <w:r>
        <w:t>/</w:t>
      </w:r>
      <w:r w:rsidRPr="007F3D83">
        <w:t xml:space="preserve"> proportions for the FNSD </w:t>
      </w:r>
      <w:r>
        <w:t>cohort</w:t>
      </w:r>
    </w:p>
    <w:p w14:paraId="57350BC2" w14:textId="77777777" w:rsidR="007E0ABC" w:rsidRDefault="007E0ABC" w:rsidP="007E0ABC">
      <w:pPr>
        <w:pStyle w:val="ListParagraph"/>
        <w:numPr>
          <w:ilvl w:val="0"/>
          <w:numId w:val="196"/>
        </w:numPr>
        <w:spacing w:line="240" w:lineRule="auto"/>
        <w:jc w:val="left"/>
      </w:pPr>
      <w:r>
        <w:t>Table 39 - Age and sex-stratified</w:t>
      </w:r>
      <w:r w:rsidRPr="007F3D83">
        <w:t xml:space="preserve"> crude rates</w:t>
      </w:r>
      <w:r>
        <w:t>/</w:t>
      </w:r>
      <w:r w:rsidRPr="007F3D83">
        <w:t xml:space="preserve"> proportions for the general population</w:t>
      </w:r>
    </w:p>
    <w:p w14:paraId="2911059E" w14:textId="77777777" w:rsidR="007E0ABC" w:rsidRDefault="007E0ABC" w:rsidP="00A202DE"/>
    <w:p w14:paraId="0D1146B5" w14:textId="77777777" w:rsidR="007E0ABC" w:rsidRDefault="007E0ABC" w:rsidP="000B2985">
      <w:r>
        <w:t>Appendix F - Affective Cognition Study -  Supplementary Data</w:t>
      </w:r>
    </w:p>
    <w:p w14:paraId="6AD24C18" w14:textId="77777777" w:rsidR="007E0ABC" w:rsidRDefault="007E0ABC" w:rsidP="007E0ABC">
      <w:pPr>
        <w:pStyle w:val="ListParagraph"/>
        <w:numPr>
          <w:ilvl w:val="0"/>
          <w:numId w:val="163"/>
        </w:numPr>
        <w:spacing w:line="240" w:lineRule="auto"/>
        <w:jc w:val="left"/>
      </w:pPr>
      <w:r>
        <w:t xml:space="preserve">Table 40 - Accuracies and RTs of each NAP task condition </w:t>
      </w:r>
    </w:p>
    <w:p w14:paraId="20BE135B" w14:textId="77777777" w:rsidR="007E0ABC" w:rsidRDefault="007E0ABC" w:rsidP="007E0ABC">
      <w:pPr>
        <w:pStyle w:val="ListParagraph"/>
        <w:numPr>
          <w:ilvl w:val="0"/>
          <w:numId w:val="163"/>
        </w:numPr>
        <w:spacing w:line="240" w:lineRule="auto"/>
        <w:jc w:val="left"/>
      </w:pPr>
      <w:r>
        <w:t>Table 41 - Correlation Matrix – FNSD</w:t>
      </w:r>
    </w:p>
    <w:p w14:paraId="36F94D6C" w14:textId="77777777" w:rsidR="007E0ABC" w:rsidRDefault="007E0ABC" w:rsidP="007E0ABC">
      <w:pPr>
        <w:pStyle w:val="ListParagraph"/>
        <w:numPr>
          <w:ilvl w:val="0"/>
          <w:numId w:val="163"/>
        </w:numPr>
        <w:spacing w:line="240" w:lineRule="auto"/>
        <w:jc w:val="left"/>
      </w:pPr>
      <w:r>
        <w:t>Table 42 – Correlation Matrix - HC</w:t>
      </w:r>
    </w:p>
    <w:p w14:paraId="151BE707" w14:textId="77777777" w:rsidR="007E0ABC" w:rsidRPr="00BC22A2" w:rsidRDefault="007E0ABC" w:rsidP="00757A42"/>
    <w:p w14:paraId="6A7AB342" w14:textId="77777777" w:rsidR="007E0ABC" w:rsidRDefault="007E0ABC">
      <w:r>
        <w:t>Appendix G – Literature Review Supplementary Measures</w:t>
      </w:r>
    </w:p>
    <w:p w14:paraId="003BE244" w14:textId="77777777" w:rsidR="007E0ABC" w:rsidRDefault="007E0ABC" w:rsidP="007E0ABC">
      <w:pPr>
        <w:pStyle w:val="ListParagraph"/>
        <w:numPr>
          <w:ilvl w:val="0"/>
          <w:numId w:val="229"/>
        </w:numPr>
        <w:spacing w:line="240" w:lineRule="auto"/>
        <w:jc w:val="left"/>
      </w:pPr>
      <w:r>
        <w:t>Table 43 - Summary of studies identified in the literature search</w:t>
      </w:r>
    </w:p>
    <w:p w14:paraId="146404C7" w14:textId="77777777" w:rsidR="007E0ABC" w:rsidRDefault="007E0ABC" w:rsidP="007E0ABC">
      <w:pPr>
        <w:pStyle w:val="ListParagraph"/>
        <w:numPr>
          <w:ilvl w:val="0"/>
          <w:numId w:val="229"/>
        </w:numPr>
        <w:spacing w:line="240" w:lineRule="auto"/>
        <w:jc w:val="left"/>
      </w:pPr>
      <w:r>
        <w:t>Table 44 – Quality assessment of reviewed studies</w:t>
      </w:r>
    </w:p>
    <w:p w14:paraId="5C17F101" w14:textId="77777777" w:rsidR="007E0ABC" w:rsidRDefault="007E0ABC" w:rsidP="007E0ABC">
      <w:pPr>
        <w:pStyle w:val="ListParagraph"/>
        <w:numPr>
          <w:ilvl w:val="0"/>
          <w:numId w:val="229"/>
        </w:numPr>
        <w:spacing w:line="240" w:lineRule="auto"/>
        <w:jc w:val="left"/>
      </w:pPr>
      <w:r>
        <w:t>Table 45 – Categorisation of reviewed studies and collective subjective and objective measures utilised in the studies.</w:t>
      </w:r>
    </w:p>
    <w:p w14:paraId="1D8589BD" w14:textId="77777777" w:rsidR="007E0ABC" w:rsidRDefault="007E0ABC" w:rsidP="007E0ABC">
      <w:pPr>
        <w:pStyle w:val="ListParagraph"/>
        <w:numPr>
          <w:ilvl w:val="0"/>
          <w:numId w:val="229"/>
        </w:numPr>
        <w:spacing w:line="240" w:lineRule="auto"/>
        <w:jc w:val="left"/>
      </w:pPr>
      <w:r>
        <w:t>Table 46. Correlations between self-report scores and objective measures reported in the included studies</w:t>
      </w:r>
    </w:p>
    <w:p w14:paraId="4C7728D3" w14:textId="77777777" w:rsidR="007F6A0A" w:rsidRDefault="007F6A0A">
      <w:pPr>
        <w:spacing w:line="240" w:lineRule="auto"/>
        <w:jc w:val="left"/>
        <w:rPr>
          <w:rFonts w:ascii="Avenir Book" w:hAnsi="Avenir Book"/>
          <w:iCs/>
          <w:color w:val="5A5A5A" w:themeColor="text1" w:themeTint="A5"/>
          <w:spacing w:val="15"/>
          <w:sz w:val="28"/>
          <w:szCs w:val="28"/>
        </w:rPr>
      </w:pPr>
      <w:r>
        <w:rPr>
          <w:rFonts w:ascii="Avenir Book" w:hAnsi="Avenir Book"/>
          <w:iCs/>
          <w:sz w:val="28"/>
          <w:szCs w:val="28"/>
        </w:rPr>
        <w:br w:type="page"/>
      </w:r>
    </w:p>
    <w:p w14:paraId="2701E390" w14:textId="22204EAE" w:rsidR="007E0ABC" w:rsidRDefault="007E0ABC" w:rsidP="00C260F1">
      <w:pPr>
        <w:pStyle w:val="Subtitle"/>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w:t>
      </w:r>
      <w:r>
        <w:rPr>
          <w:rFonts w:ascii="Avenir Book" w:hAnsi="Avenir Book"/>
          <w:iCs/>
          <w:sz w:val="28"/>
          <w:szCs w:val="28"/>
        </w:rPr>
        <w:t>(1)</w:t>
      </w:r>
      <w:r w:rsidRPr="00C260F1">
        <w:rPr>
          <w:rFonts w:ascii="Avenir Book" w:hAnsi="Avenir Book"/>
          <w:iCs/>
          <w:sz w:val="28"/>
          <w:szCs w:val="28"/>
        </w:rPr>
        <w:t xml:space="preserve"> </w:t>
      </w:r>
      <w:r>
        <w:rPr>
          <w:rFonts w:ascii="Avenir Book" w:hAnsi="Avenir Book"/>
          <w:iCs/>
          <w:sz w:val="28"/>
          <w:szCs w:val="28"/>
        </w:rPr>
        <w:t>Symptom Characterisation Questionnaire – EASE Study</w:t>
      </w:r>
    </w:p>
    <w:p w14:paraId="0E83E53B" w14:textId="77777777" w:rsidR="007E0ABC" w:rsidRDefault="007E0ABC" w:rsidP="00313627"/>
    <w:p w14:paraId="74FDBAB5" w14:textId="77777777" w:rsidR="007E0ABC" w:rsidRPr="00E41640" w:rsidRDefault="007E0ABC" w:rsidP="00F65A7E">
      <w:pPr>
        <w:rPr>
          <w:rFonts w:eastAsia="DengXian" w:cs="Arial"/>
          <w:b/>
          <w:bCs/>
          <w:sz w:val="28"/>
          <w:szCs w:val="28"/>
        </w:rPr>
      </w:pPr>
      <w:r w:rsidRPr="00CF2B90">
        <w:rPr>
          <w:rFonts w:eastAsia="DengXian" w:cs="Arial"/>
          <w:b/>
          <w:bCs/>
          <w:sz w:val="28"/>
          <w:szCs w:val="28"/>
        </w:rPr>
        <w:t xml:space="preserve">Patient </w:t>
      </w:r>
      <w:r>
        <w:rPr>
          <w:rFonts w:eastAsia="DengXian" w:cs="Arial"/>
          <w:b/>
          <w:bCs/>
          <w:sz w:val="28"/>
          <w:szCs w:val="28"/>
        </w:rPr>
        <w:t xml:space="preserve">Symptom Characterisation </w:t>
      </w:r>
      <w:r w:rsidRPr="00CF2B90">
        <w:rPr>
          <w:rFonts w:eastAsia="DengXian" w:cs="Arial"/>
          <w:b/>
          <w:bCs/>
          <w:sz w:val="28"/>
          <w:szCs w:val="28"/>
        </w:rPr>
        <w:t>Questionnaire</w:t>
      </w:r>
    </w:p>
    <w:p w14:paraId="44F0AD63" w14:textId="77777777" w:rsidR="007E0ABC" w:rsidRDefault="007E0ABC" w:rsidP="00F65A7E">
      <w:pPr>
        <w:spacing w:line="358" w:lineRule="auto"/>
        <w:rPr>
          <w:i/>
          <w:iCs/>
          <w:sz w:val="23"/>
          <w:szCs w:val="23"/>
        </w:rPr>
      </w:pPr>
      <w:r w:rsidRPr="00F93245">
        <w:rPr>
          <w:i/>
          <w:iCs/>
          <w:sz w:val="23"/>
          <w:szCs w:val="23"/>
        </w:rPr>
        <w:t xml:space="preserve">Please answer the following questions about yourself. The information you are giving us will be treated as confidential. </w:t>
      </w:r>
    </w:p>
    <w:p w14:paraId="60387DB6" w14:textId="77777777" w:rsidR="007E0ABC" w:rsidRPr="00F93245" w:rsidRDefault="007E0ABC" w:rsidP="00F65A7E">
      <w:pPr>
        <w:spacing w:line="358" w:lineRule="auto"/>
        <w:rPr>
          <w:rFonts w:eastAsia="DengXian" w:cs="Arial"/>
          <w:szCs w:val="20"/>
        </w:rPr>
      </w:pPr>
    </w:p>
    <w:p w14:paraId="723BABA5" w14:textId="77777777" w:rsidR="007E0ABC" w:rsidRPr="00F93245" w:rsidRDefault="007E0ABC" w:rsidP="007E0ABC">
      <w:pPr>
        <w:numPr>
          <w:ilvl w:val="0"/>
          <w:numId w:val="232"/>
        </w:numPr>
        <w:spacing w:after="160"/>
        <w:contextualSpacing/>
        <w:jc w:val="left"/>
        <w:rPr>
          <w:rFonts w:eastAsia="DengXian" w:cs="Arial"/>
        </w:rPr>
      </w:pPr>
      <w:r w:rsidRPr="00F93245">
        <w:rPr>
          <w:rFonts w:eastAsia="DengXian" w:cs="Arial"/>
        </w:rPr>
        <w:t xml:space="preserve">Full name: </w:t>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rPr>
        <w:t xml:space="preserve"> </w:t>
      </w:r>
    </w:p>
    <w:p w14:paraId="7634D4CB" w14:textId="77777777" w:rsidR="007E0ABC" w:rsidRPr="00F93245" w:rsidRDefault="007E0ABC" w:rsidP="00F65A7E">
      <w:pPr>
        <w:rPr>
          <w:rFonts w:eastAsia="DengXian" w:cs="Arial"/>
          <w:u w:val="single"/>
        </w:rPr>
      </w:pPr>
      <w:r w:rsidRPr="00F93245">
        <w:rPr>
          <w:rFonts w:eastAsia="DengXian" w:cs="Arial"/>
        </w:rPr>
        <w:t xml:space="preserve">          </w:t>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p>
    <w:p w14:paraId="63D479B0" w14:textId="77777777" w:rsidR="007E0ABC" w:rsidRPr="00F93245" w:rsidRDefault="007E0ABC" w:rsidP="00B71153">
      <w:pPr>
        <w:rPr>
          <w:rFonts w:eastAsia="DengXian" w:cs="Arial"/>
        </w:rPr>
      </w:pPr>
    </w:p>
    <w:p w14:paraId="694D3E36" w14:textId="77777777" w:rsidR="007E0ABC" w:rsidRDefault="007E0ABC" w:rsidP="007E0ABC">
      <w:pPr>
        <w:numPr>
          <w:ilvl w:val="0"/>
          <w:numId w:val="232"/>
        </w:numPr>
        <w:spacing w:after="160" w:line="276" w:lineRule="auto"/>
        <w:contextualSpacing/>
        <w:rPr>
          <w:rFonts w:eastAsia="DengXian" w:cs="Arial"/>
        </w:rPr>
      </w:pPr>
      <w:r>
        <w:rPr>
          <w:rFonts w:eastAsia="DengXian" w:cs="Arial"/>
        </w:rPr>
        <w:t>Please indicate any</w:t>
      </w:r>
      <w:r w:rsidRPr="00F93245">
        <w:rPr>
          <w:rFonts w:eastAsia="DengXian" w:cs="Arial"/>
        </w:rPr>
        <w:t xml:space="preserve"> functional neurological symptom</w:t>
      </w:r>
      <w:r>
        <w:rPr>
          <w:rFonts w:eastAsia="DengXian" w:cs="Arial"/>
        </w:rPr>
        <w:t xml:space="preserve"> you currently experience ?</w:t>
      </w:r>
      <w:r w:rsidRPr="00F93245">
        <w:rPr>
          <w:rFonts w:eastAsia="DengXian" w:cs="Arial"/>
        </w:rPr>
        <w:t xml:space="preserve"> </w:t>
      </w:r>
    </w:p>
    <w:p w14:paraId="53587F53" w14:textId="77777777" w:rsidR="007E0ABC" w:rsidRDefault="007E0ABC" w:rsidP="00E977B1">
      <w:pPr>
        <w:spacing w:after="160" w:line="276" w:lineRule="auto"/>
        <w:contextualSpacing/>
        <w:rPr>
          <w:rFonts w:eastAsia="DengXian" w:cs="Arial"/>
        </w:rPr>
      </w:pPr>
    </w:p>
    <w:tbl>
      <w:tblPr>
        <w:tblStyle w:val="TableGrid1"/>
        <w:tblW w:w="8359" w:type="dxa"/>
        <w:jc w:val="center"/>
        <w:tblLook w:val="04A0" w:firstRow="1" w:lastRow="0" w:firstColumn="1" w:lastColumn="0" w:noHBand="0" w:noVBand="1"/>
      </w:tblPr>
      <w:tblGrid>
        <w:gridCol w:w="4957"/>
        <w:gridCol w:w="1559"/>
        <w:gridCol w:w="1843"/>
      </w:tblGrid>
      <w:tr w:rsidR="007E0ABC" w:rsidRPr="00F93245" w14:paraId="1CB63DF7" w14:textId="77777777" w:rsidTr="00E37B7E">
        <w:trPr>
          <w:trHeight w:val="405"/>
          <w:jc w:val="center"/>
        </w:trPr>
        <w:tc>
          <w:tcPr>
            <w:tcW w:w="4957" w:type="dxa"/>
            <w:vAlign w:val="center"/>
          </w:tcPr>
          <w:p w14:paraId="0519679A" w14:textId="77777777" w:rsidR="007E0ABC" w:rsidRPr="00E47FC9" w:rsidRDefault="007E0ABC" w:rsidP="00E37B7E">
            <w:pPr>
              <w:rPr>
                <w:b/>
                <w:bCs/>
              </w:rPr>
            </w:pPr>
            <w:r w:rsidRPr="00E47FC9">
              <w:rPr>
                <w:b/>
                <w:bCs/>
              </w:rPr>
              <w:t>Symptoms</w:t>
            </w:r>
          </w:p>
        </w:tc>
        <w:tc>
          <w:tcPr>
            <w:tcW w:w="1559" w:type="dxa"/>
            <w:vAlign w:val="center"/>
          </w:tcPr>
          <w:p w14:paraId="3AA82742" w14:textId="77777777" w:rsidR="007E0ABC" w:rsidRPr="00E47FC9" w:rsidRDefault="007E0ABC" w:rsidP="00E37B7E">
            <w:pPr>
              <w:jc w:val="center"/>
              <w:rPr>
                <w:b/>
                <w:bCs/>
              </w:rPr>
            </w:pPr>
            <w:r>
              <w:rPr>
                <w:b/>
                <w:bCs/>
              </w:rPr>
              <w:t xml:space="preserve">Symptom present </w:t>
            </w:r>
            <w:r w:rsidRPr="00E37B7E">
              <w:rPr>
                <w:i/>
                <w:iCs/>
              </w:rPr>
              <w:t>(please tick)</w:t>
            </w:r>
          </w:p>
        </w:tc>
        <w:tc>
          <w:tcPr>
            <w:tcW w:w="1843" w:type="dxa"/>
            <w:vAlign w:val="center"/>
          </w:tcPr>
          <w:p w14:paraId="5FF6DE2D" w14:textId="77777777" w:rsidR="007E0ABC" w:rsidRPr="00E47FC9" w:rsidRDefault="007E0ABC" w:rsidP="00E37B7E">
            <w:pPr>
              <w:jc w:val="center"/>
              <w:rPr>
                <w:b/>
                <w:bCs/>
              </w:rPr>
            </w:pPr>
            <w:r>
              <w:rPr>
                <w:b/>
                <w:bCs/>
              </w:rPr>
              <w:t xml:space="preserve">Duration of symptom </w:t>
            </w:r>
            <w:r w:rsidRPr="00E37B7E">
              <w:rPr>
                <w:i/>
                <w:iCs/>
              </w:rPr>
              <w:t>(years and months)</w:t>
            </w:r>
          </w:p>
        </w:tc>
      </w:tr>
      <w:tr w:rsidR="007E0ABC" w:rsidRPr="00F93245" w14:paraId="2E3FDDDB" w14:textId="77777777" w:rsidTr="00E37B7E">
        <w:trPr>
          <w:trHeight w:val="521"/>
          <w:jc w:val="center"/>
        </w:trPr>
        <w:tc>
          <w:tcPr>
            <w:tcW w:w="4957" w:type="dxa"/>
          </w:tcPr>
          <w:p w14:paraId="1673E980" w14:textId="77777777" w:rsidR="007E0ABC" w:rsidRPr="00F93245" w:rsidRDefault="007E0ABC" w:rsidP="00A62A34">
            <w:r>
              <w:t>Weakness or paralysis</w:t>
            </w:r>
          </w:p>
        </w:tc>
        <w:tc>
          <w:tcPr>
            <w:tcW w:w="1559" w:type="dxa"/>
          </w:tcPr>
          <w:p w14:paraId="77D192E3" w14:textId="77777777" w:rsidR="007E0ABC" w:rsidRPr="00F93245" w:rsidRDefault="007E0ABC" w:rsidP="00A62A34"/>
        </w:tc>
        <w:tc>
          <w:tcPr>
            <w:tcW w:w="1843" w:type="dxa"/>
          </w:tcPr>
          <w:p w14:paraId="3DFD01EE" w14:textId="77777777" w:rsidR="007E0ABC" w:rsidRPr="00F93245" w:rsidRDefault="007E0ABC" w:rsidP="00A62A34"/>
        </w:tc>
      </w:tr>
      <w:tr w:rsidR="007E0ABC" w:rsidRPr="00F93245" w14:paraId="6D5A8696" w14:textId="77777777" w:rsidTr="00E37B7E">
        <w:trPr>
          <w:trHeight w:val="436"/>
          <w:jc w:val="center"/>
        </w:trPr>
        <w:tc>
          <w:tcPr>
            <w:tcW w:w="4957" w:type="dxa"/>
            <w:vAlign w:val="center"/>
          </w:tcPr>
          <w:p w14:paraId="632EDE97" w14:textId="77777777" w:rsidR="007E0ABC" w:rsidRPr="00F93245" w:rsidRDefault="007E0ABC" w:rsidP="00A62A34">
            <w:pPr>
              <w:spacing w:line="276" w:lineRule="auto"/>
            </w:pPr>
            <w:r>
              <w:t xml:space="preserve">Abnormal movements, </w:t>
            </w:r>
            <w:r w:rsidRPr="00422547">
              <w:rPr>
                <w:rFonts w:eastAsia="Times New Roman"/>
                <w:i/>
                <w:iCs/>
                <w:color w:val="333333"/>
              </w:rPr>
              <w:t>(e.g., tremor, dystonic movement, myoclonus, gait disorder)</w:t>
            </w:r>
          </w:p>
        </w:tc>
        <w:tc>
          <w:tcPr>
            <w:tcW w:w="1559" w:type="dxa"/>
          </w:tcPr>
          <w:p w14:paraId="181E445D" w14:textId="77777777" w:rsidR="007E0ABC" w:rsidRPr="00F93245" w:rsidRDefault="007E0ABC" w:rsidP="00A62A34"/>
        </w:tc>
        <w:tc>
          <w:tcPr>
            <w:tcW w:w="1843" w:type="dxa"/>
          </w:tcPr>
          <w:p w14:paraId="5C3160C7" w14:textId="77777777" w:rsidR="007E0ABC" w:rsidRPr="00F93245" w:rsidRDefault="007E0ABC" w:rsidP="00A62A34"/>
        </w:tc>
      </w:tr>
      <w:tr w:rsidR="007E0ABC" w:rsidRPr="00F93245" w14:paraId="30642327" w14:textId="77777777" w:rsidTr="00E37B7E">
        <w:trPr>
          <w:trHeight w:val="413"/>
          <w:jc w:val="center"/>
        </w:trPr>
        <w:tc>
          <w:tcPr>
            <w:tcW w:w="4957" w:type="dxa"/>
            <w:vAlign w:val="center"/>
          </w:tcPr>
          <w:p w14:paraId="44EA0F98" w14:textId="77777777" w:rsidR="007E0ABC" w:rsidRPr="00F93245" w:rsidRDefault="007E0ABC" w:rsidP="00A62A34">
            <w:pPr>
              <w:spacing w:line="276" w:lineRule="auto"/>
            </w:pPr>
            <w:r>
              <w:t>Swallowing symptoms</w:t>
            </w:r>
          </w:p>
        </w:tc>
        <w:tc>
          <w:tcPr>
            <w:tcW w:w="1559" w:type="dxa"/>
          </w:tcPr>
          <w:p w14:paraId="626511A9" w14:textId="77777777" w:rsidR="007E0ABC" w:rsidRPr="00F93245" w:rsidRDefault="007E0ABC" w:rsidP="00A62A34"/>
        </w:tc>
        <w:tc>
          <w:tcPr>
            <w:tcW w:w="1843" w:type="dxa"/>
          </w:tcPr>
          <w:p w14:paraId="5A635942" w14:textId="77777777" w:rsidR="007E0ABC" w:rsidRPr="00F93245" w:rsidRDefault="007E0ABC" w:rsidP="00A62A34"/>
        </w:tc>
      </w:tr>
      <w:tr w:rsidR="007E0ABC" w:rsidRPr="00F93245" w14:paraId="653128C4" w14:textId="77777777" w:rsidTr="00E37B7E">
        <w:trPr>
          <w:trHeight w:val="405"/>
          <w:jc w:val="center"/>
        </w:trPr>
        <w:tc>
          <w:tcPr>
            <w:tcW w:w="4957" w:type="dxa"/>
            <w:vAlign w:val="center"/>
          </w:tcPr>
          <w:p w14:paraId="0CA55168" w14:textId="77777777" w:rsidR="007E0ABC" w:rsidRPr="00F93245" w:rsidRDefault="007E0ABC" w:rsidP="00A62A34">
            <w:pPr>
              <w:spacing w:line="276" w:lineRule="auto"/>
            </w:pPr>
            <w:r>
              <w:t xml:space="preserve">Speech symptoms </w:t>
            </w:r>
            <w:r w:rsidRPr="00422547">
              <w:rPr>
                <w:rFonts w:eastAsia="Times New Roman"/>
                <w:i/>
                <w:iCs/>
                <w:color w:val="333333"/>
              </w:rPr>
              <w:t>(e.g., dysphonia, slurred speech)</w:t>
            </w:r>
          </w:p>
        </w:tc>
        <w:tc>
          <w:tcPr>
            <w:tcW w:w="1559" w:type="dxa"/>
          </w:tcPr>
          <w:p w14:paraId="3D30CC23" w14:textId="77777777" w:rsidR="007E0ABC" w:rsidRPr="00F93245" w:rsidRDefault="007E0ABC" w:rsidP="00A62A34"/>
        </w:tc>
        <w:tc>
          <w:tcPr>
            <w:tcW w:w="1843" w:type="dxa"/>
          </w:tcPr>
          <w:p w14:paraId="14142DE3" w14:textId="77777777" w:rsidR="007E0ABC" w:rsidRPr="00F93245" w:rsidRDefault="007E0ABC" w:rsidP="00A62A34"/>
        </w:tc>
      </w:tr>
      <w:tr w:rsidR="007E0ABC" w:rsidRPr="00F93245" w14:paraId="659FA1CA" w14:textId="77777777" w:rsidTr="00E37B7E">
        <w:trPr>
          <w:trHeight w:val="405"/>
          <w:jc w:val="center"/>
        </w:trPr>
        <w:tc>
          <w:tcPr>
            <w:tcW w:w="4957" w:type="dxa"/>
            <w:vAlign w:val="center"/>
          </w:tcPr>
          <w:p w14:paraId="29F5D619" w14:textId="77777777" w:rsidR="007E0ABC" w:rsidRDefault="007E0ABC" w:rsidP="00A62A34">
            <w:pPr>
              <w:spacing w:line="276" w:lineRule="auto"/>
            </w:pPr>
            <w:r>
              <w:t>Attacks or seizures</w:t>
            </w:r>
          </w:p>
        </w:tc>
        <w:tc>
          <w:tcPr>
            <w:tcW w:w="1559" w:type="dxa"/>
          </w:tcPr>
          <w:p w14:paraId="57235054" w14:textId="77777777" w:rsidR="007E0ABC" w:rsidRPr="00F93245" w:rsidRDefault="007E0ABC" w:rsidP="00A62A34"/>
        </w:tc>
        <w:tc>
          <w:tcPr>
            <w:tcW w:w="1843" w:type="dxa"/>
          </w:tcPr>
          <w:p w14:paraId="00CD78CB" w14:textId="77777777" w:rsidR="007E0ABC" w:rsidRPr="00F93245" w:rsidRDefault="007E0ABC" w:rsidP="00A62A34"/>
        </w:tc>
      </w:tr>
      <w:tr w:rsidR="007E0ABC" w:rsidRPr="00F93245" w14:paraId="367580F9" w14:textId="77777777" w:rsidTr="00E37B7E">
        <w:trPr>
          <w:trHeight w:val="405"/>
          <w:jc w:val="center"/>
        </w:trPr>
        <w:tc>
          <w:tcPr>
            <w:tcW w:w="4957" w:type="dxa"/>
            <w:vAlign w:val="center"/>
          </w:tcPr>
          <w:p w14:paraId="380EBC5E" w14:textId="77777777" w:rsidR="007E0ABC" w:rsidRDefault="007E0ABC" w:rsidP="00A62A34">
            <w:pPr>
              <w:spacing w:line="276" w:lineRule="auto"/>
            </w:pPr>
            <w:r>
              <w:t>Sensory loss</w:t>
            </w:r>
          </w:p>
        </w:tc>
        <w:tc>
          <w:tcPr>
            <w:tcW w:w="1559" w:type="dxa"/>
          </w:tcPr>
          <w:p w14:paraId="285D3C5D" w14:textId="77777777" w:rsidR="007E0ABC" w:rsidRPr="00F93245" w:rsidRDefault="007E0ABC" w:rsidP="00A62A34"/>
        </w:tc>
        <w:tc>
          <w:tcPr>
            <w:tcW w:w="1843" w:type="dxa"/>
          </w:tcPr>
          <w:p w14:paraId="1BE189F0" w14:textId="77777777" w:rsidR="007E0ABC" w:rsidRPr="00F93245" w:rsidRDefault="007E0ABC" w:rsidP="00A62A34"/>
        </w:tc>
      </w:tr>
      <w:tr w:rsidR="007E0ABC" w:rsidRPr="00F93245" w14:paraId="0B8434CE" w14:textId="77777777" w:rsidTr="00E37B7E">
        <w:trPr>
          <w:trHeight w:val="830"/>
          <w:jc w:val="center"/>
        </w:trPr>
        <w:tc>
          <w:tcPr>
            <w:tcW w:w="4957" w:type="dxa"/>
            <w:vAlign w:val="center"/>
          </w:tcPr>
          <w:p w14:paraId="54E1A08E" w14:textId="77777777" w:rsidR="007E0ABC" w:rsidRDefault="007E0ABC" w:rsidP="00A62A34">
            <w:pPr>
              <w:spacing w:line="276" w:lineRule="auto"/>
            </w:pPr>
            <w:r>
              <w:t xml:space="preserve">Special sensory symptom </w:t>
            </w:r>
            <w:r w:rsidRPr="00422547">
              <w:rPr>
                <w:rFonts w:eastAsia="Times New Roman"/>
                <w:i/>
                <w:iCs/>
                <w:color w:val="333333"/>
              </w:rPr>
              <w:t>(e.g., visual, olfactory, or hearing disturbance)</w:t>
            </w:r>
          </w:p>
        </w:tc>
        <w:tc>
          <w:tcPr>
            <w:tcW w:w="1559" w:type="dxa"/>
          </w:tcPr>
          <w:p w14:paraId="6ED94817" w14:textId="77777777" w:rsidR="007E0ABC" w:rsidRPr="00F93245" w:rsidRDefault="007E0ABC" w:rsidP="00A62A34"/>
        </w:tc>
        <w:tc>
          <w:tcPr>
            <w:tcW w:w="1843" w:type="dxa"/>
          </w:tcPr>
          <w:p w14:paraId="20AF98C3" w14:textId="77777777" w:rsidR="007E0ABC" w:rsidRPr="00F93245" w:rsidRDefault="007E0ABC" w:rsidP="00A62A34"/>
        </w:tc>
      </w:tr>
      <w:tr w:rsidR="007E0ABC" w:rsidRPr="00F93245" w14:paraId="2EABA102" w14:textId="77777777" w:rsidTr="00E37B7E">
        <w:trPr>
          <w:trHeight w:val="559"/>
          <w:jc w:val="center"/>
        </w:trPr>
        <w:tc>
          <w:tcPr>
            <w:tcW w:w="4957" w:type="dxa"/>
            <w:vAlign w:val="center"/>
          </w:tcPr>
          <w:p w14:paraId="69EA6CA5" w14:textId="77777777" w:rsidR="007E0ABC" w:rsidRDefault="007E0ABC" w:rsidP="00A62A34">
            <w:pPr>
              <w:spacing w:line="276" w:lineRule="auto"/>
            </w:pPr>
            <w:r>
              <w:t xml:space="preserve">Other </w:t>
            </w:r>
            <w:r w:rsidRPr="00E37B7E">
              <w:rPr>
                <w:i/>
                <w:iCs/>
              </w:rPr>
              <w:t>(please specify):</w:t>
            </w:r>
          </w:p>
        </w:tc>
        <w:tc>
          <w:tcPr>
            <w:tcW w:w="1559" w:type="dxa"/>
          </w:tcPr>
          <w:p w14:paraId="6156DD6A" w14:textId="77777777" w:rsidR="007E0ABC" w:rsidRPr="00F93245" w:rsidRDefault="007E0ABC" w:rsidP="00A62A34"/>
        </w:tc>
        <w:tc>
          <w:tcPr>
            <w:tcW w:w="1843" w:type="dxa"/>
          </w:tcPr>
          <w:p w14:paraId="5C7925CA" w14:textId="77777777" w:rsidR="007E0ABC" w:rsidRPr="00F93245" w:rsidRDefault="007E0ABC" w:rsidP="00A62A34"/>
        </w:tc>
      </w:tr>
    </w:tbl>
    <w:p w14:paraId="094C8F6A" w14:textId="77777777" w:rsidR="007E0ABC" w:rsidRPr="00F93245" w:rsidRDefault="007E0ABC" w:rsidP="00B71153">
      <w:pPr>
        <w:spacing w:after="160" w:line="276" w:lineRule="auto"/>
        <w:ind w:left="142"/>
        <w:contextualSpacing/>
        <w:rPr>
          <w:rFonts w:eastAsia="DengXian" w:cs="Arial"/>
        </w:rPr>
      </w:pPr>
    </w:p>
    <w:p w14:paraId="59268623" w14:textId="77777777" w:rsidR="007E0ABC" w:rsidRDefault="007E0ABC" w:rsidP="007E0ABC">
      <w:pPr>
        <w:pStyle w:val="ListParagraph"/>
        <w:numPr>
          <w:ilvl w:val="0"/>
          <w:numId w:val="232"/>
        </w:numPr>
        <w:spacing w:line="276" w:lineRule="auto"/>
        <w:rPr>
          <w:rFonts w:eastAsia="DengXian" w:cs="Arial"/>
        </w:rPr>
      </w:pPr>
      <w:r>
        <w:rPr>
          <w:rFonts w:eastAsia="DengXian" w:cs="Arial"/>
        </w:rPr>
        <w:t>Please indicate the most to least prominent symptoms</w:t>
      </w:r>
      <w:r w:rsidRPr="00B71153">
        <w:rPr>
          <w:rFonts w:eastAsia="DengXian" w:cs="Arial"/>
        </w:rPr>
        <w:t xml:space="preserve"> below</w:t>
      </w:r>
      <w:r>
        <w:rPr>
          <w:rFonts w:eastAsia="DengXian" w:cs="Arial"/>
        </w:rPr>
        <w:t xml:space="preserve"> by entering chronological numbers in the box</w:t>
      </w:r>
    </w:p>
    <w:p w14:paraId="35F4C222" w14:textId="77777777" w:rsidR="007E0ABC" w:rsidRDefault="007E0ABC" w:rsidP="00802E7D">
      <w:pPr>
        <w:pStyle w:val="ListParagraph"/>
        <w:spacing w:line="276" w:lineRule="auto"/>
        <w:ind w:left="502"/>
        <w:rPr>
          <w:rFonts w:eastAsia="DengXian" w:cs="Arial"/>
        </w:rPr>
      </w:pPr>
    </w:p>
    <w:p w14:paraId="09C86EE4" w14:textId="77777777" w:rsidR="007E0ABC" w:rsidRDefault="007E0ABC" w:rsidP="00F1101E">
      <w:pPr>
        <w:pStyle w:val="ListParagraph"/>
        <w:spacing w:line="276" w:lineRule="auto"/>
        <w:ind w:left="862"/>
        <w:rPr>
          <w:rFonts w:eastAsia="DengXian" w:cs="Arial"/>
        </w:rPr>
      </w:pPr>
      <w:r>
        <w:rPr>
          <w:rFonts w:eastAsia="DengXian" w:cs="Arial"/>
        </w:rPr>
        <w:t>1 - most prominent, 2… 3 …4 … 5 - least prominent</w:t>
      </w:r>
    </w:p>
    <w:p w14:paraId="6952E0D1" w14:textId="77777777" w:rsidR="007E0ABC" w:rsidRDefault="007E0ABC" w:rsidP="00F1101E">
      <w:pPr>
        <w:pStyle w:val="ListParagraph"/>
        <w:spacing w:line="276" w:lineRule="auto"/>
        <w:ind w:left="862"/>
        <w:rPr>
          <w:rFonts w:eastAsia="DengXian" w:cs="Arial"/>
        </w:rPr>
      </w:pPr>
    </w:p>
    <w:tbl>
      <w:tblPr>
        <w:tblStyle w:val="TableGrid1"/>
        <w:tblW w:w="6605" w:type="dxa"/>
        <w:jc w:val="center"/>
        <w:tblLook w:val="04A0" w:firstRow="1" w:lastRow="0" w:firstColumn="1" w:lastColumn="0" w:noHBand="0" w:noVBand="1"/>
      </w:tblPr>
      <w:tblGrid>
        <w:gridCol w:w="5953"/>
        <w:gridCol w:w="652"/>
      </w:tblGrid>
      <w:tr w:rsidR="007E0ABC" w:rsidRPr="00F93245" w14:paraId="65BAA2FC" w14:textId="77777777" w:rsidTr="00A62A34">
        <w:trPr>
          <w:trHeight w:val="405"/>
          <w:jc w:val="center"/>
        </w:trPr>
        <w:tc>
          <w:tcPr>
            <w:tcW w:w="5953" w:type="dxa"/>
          </w:tcPr>
          <w:p w14:paraId="2B879069" w14:textId="77777777" w:rsidR="007E0ABC" w:rsidRPr="00F93245" w:rsidRDefault="007E0ABC" w:rsidP="00E37B7E">
            <w:r>
              <w:t>Weakness or paralysis</w:t>
            </w:r>
          </w:p>
        </w:tc>
        <w:tc>
          <w:tcPr>
            <w:tcW w:w="652" w:type="dxa"/>
          </w:tcPr>
          <w:p w14:paraId="0ABBE7DC" w14:textId="77777777" w:rsidR="007E0ABC" w:rsidRPr="00F93245" w:rsidRDefault="007E0ABC" w:rsidP="00E37B7E"/>
        </w:tc>
      </w:tr>
      <w:tr w:rsidR="007E0ABC" w:rsidRPr="00F93245" w14:paraId="00787DA9" w14:textId="77777777" w:rsidTr="00A62A34">
        <w:trPr>
          <w:trHeight w:val="436"/>
          <w:jc w:val="center"/>
        </w:trPr>
        <w:tc>
          <w:tcPr>
            <w:tcW w:w="5953" w:type="dxa"/>
            <w:vAlign w:val="center"/>
          </w:tcPr>
          <w:p w14:paraId="440B8300" w14:textId="77777777" w:rsidR="007E0ABC" w:rsidRPr="00F93245" w:rsidRDefault="007E0ABC" w:rsidP="00E37B7E">
            <w:pPr>
              <w:spacing w:line="276" w:lineRule="auto"/>
            </w:pPr>
            <w:r>
              <w:t xml:space="preserve">Abnormal movements, </w:t>
            </w:r>
            <w:r w:rsidRPr="00422547">
              <w:rPr>
                <w:rFonts w:eastAsia="Times New Roman"/>
                <w:i/>
                <w:iCs/>
                <w:color w:val="333333"/>
              </w:rPr>
              <w:t>(e.g., tremor</w:t>
            </w:r>
            <w:r>
              <w:rPr>
                <w:rFonts w:eastAsia="Times New Roman"/>
                <w:i/>
                <w:iCs/>
                <w:color w:val="333333"/>
              </w:rPr>
              <w:t xml:space="preserve"> involuntary movements</w:t>
            </w:r>
            <w:r w:rsidRPr="00422547">
              <w:rPr>
                <w:rFonts w:eastAsia="Times New Roman"/>
                <w:i/>
                <w:iCs/>
                <w:color w:val="333333"/>
              </w:rPr>
              <w:t>, gait disorder)</w:t>
            </w:r>
          </w:p>
        </w:tc>
        <w:tc>
          <w:tcPr>
            <w:tcW w:w="652" w:type="dxa"/>
          </w:tcPr>
          <w:p w14:paraId="08AD6E98" w14:textId="77777777" w:rsidR="007E0ABC" w:rsidRPr="00F93245" w:rsidRDefault="007E0ABC" w:rsidP="00E37B7E"/>
        </w:tc>
      </w:tr>
      <w:tr w:rsidR="007E0ABC" w:rsidRPr="00F93245" w14:paraId="65DABDA8" w14:textId="77777777" w:rsidTr="00A62A34">
        <w:trPr>
          <w:trHeight w:val="413"/>
          <w:jc w:val="center"/>
        </w:trPr>
        <w:tc>
          <w:tcPr>
            <w:tcW w:w="5953" w:type="dxa"/>
            <w:vAlign w:val="center"/>
          </w:tcPr>
          <w:p w14:paraId="297977F7" w14:textId="77777777" w:rsidR="007E0ABC" w:rsidRPr="00F93245" w:rsidRDefault="007E0ABC" w:rsidP="00E37B7E">
            <w:pPr>
              <w:spacing w:line="276" w:lineRule="auto"/>
            </w:pPr>
            <w:r>
              <w:t>Swallowing symptoms</w:t>
            </w:r>
          </w:p>
        </w:tc>
        <w:tc>
          <w:tcPr>
            <w:tcW w:w="652" w:type="dxa"/>
          </w:tcPr>
          <w:p w14:paraId="33FC01B8" w14:textId="77777777" w:rsidR="007E0ABC" w:rsidRPr="00F93245" w:rsidRDefault="007E0ABC" w:rsidP="00E37B7E"/>
        </w:tc>
      </w:tr>
      <w:tr w:rsidR="007E0ABC" w:rsidRPr="00F93245" w14:paraId="5EE72B8A" w14:textId="77777777" w:rsidTr="00A62A34">
        <w:trPr>
          <w:trHeight w:val="405"/>
          <w:jc w:val="center"/>
        </w:trPr>
        <w:tc>
          <w:tcPr>
            <w:tcW w:w="5953" w:type="dxa"/>
            <w:vAlign w:val="center"/>
          </w:tcPr>
          <w:p w14:paraId="13AAB502" w14:textId="77777777" w:rsidR="007E0ABC" w:rsidRPr="00F93245" w:rsidRDefault="007E0ABC" w:rsidP="00E37B7E">
            <w:pPr>
              <w:spacing w:line="276" w:lineRule="auto"/>
            </w:pPr>
            <w:r>
              <w:lastRenderedPageBreak/>
              <w:t xml:space="preserve">Speech symptoms </w:t>
            </w:r>
            <w:r w:rsidRPr="00422547">
              <w:rPr>
                <w:rFonts w:eastAsia="Times New Roman"/>
                <w:i/>
                <w:iCs/>
                <w:color w:val="333333"/>
              </w:rPr>
              <w:t>(e.g., dysphonia, slurred speech)</w:t>
            </w:r>
          </w:p>
        </w:tc>
        <w:tc>
          <w:tcPr>
            <w:tcW w:w="652" w:type="dxa"/>
          </w:tcPr>
          <w:p w14:paraId="16EEB6CA" w14:textId="77777777" w:rsidR="007E0ABC" w:rsidRPr="00F93245" w:rsidRDefault="007E0ABC" w:rsidP="00E37B7E"/>
        </w:tc>
      </w:tr>
      <w:tr w:rsidR="007E0ABC" w:rsidRPr="00F93245" w14:paraId="702705DC" w14:textId="77777777" w:rsidTr="00A62A34">
        <w:trPr>
          <w:trHeight w:val="405"/>
          <w:jc w:val="center"/>
        </w:trPr>
        <w:tc>
          <w:tcPr>
            <w:tcW w:w="5953" w:type="dxa"/>
            <w:vAlign w:val="center"/>
          </w:tcPr>
          <w:p w14:paraId="657E23E6" w14:textId="77777777" w:rsidR="007E0ABC" w:rsidRDefault="007E0ABC" w:rsidP="00E37B7E">
            <w:pPr>
              <w:spacing w:line="276" w:lineRule="auto"/>
            </w:pPr>
            <w:r>
              <w:t>Attacks or seizures</w:t>
            </w:r>
          </w:p>
        </w:tc>
        <w:tc>
          <w:tcPr>
            <w:tcW w:w="652" w:type="dxa"/>
          </w:tcPr>
          <w:p w14:paraId="3334156F" w14:textId="77777777" w:rsidR="007E0ABC" w:rsidRPr="00F93245" w:rsidRDefault="007E0ABC" w:rsidP="00E37B7E"/>
        </w:tc>
      </w:tr>
      <w:tr w:rsidR="007E0ABC" w:rsidRPr="00F93245" w14:paraId="15A50E3C" w14:textId="77777777" w:rsidTr="00A62A34">
        <w:trPr>
          <w:trHeight w:val="405"/>
          <w:jc w:val="center"/>
        </w:trPr>
        <w:tc>
          <w:tcPr>
            <w:tcW w:w="5953" w:type="dxa"/>
            <w:vAlign w:val="center"/>
          </w:tcPr>
          <w:p w14:paraId="2418AE27" w14:textId="77777777" w:rsidR="007E0ABC" w:rsidRDefault="007E0ABC" w:rsidP="00E37B7E">
            <w:pPr>
              <w:spacing w:line="276" w:lineRule="auto"/>
            </w:pPr>
            <w:r>
              <w:t>Anaesthesia or sensory loss</w:t>
            </w:r>
          </w:p>
        </w:tc>
        <w:tc>
          <w:tcPr>
            <w:tcW w:w="652" w:type="dxa"/>
          </w:tcPr>
          <w:p w14:paraId="61DDD0ED" w14:textId="77777777" w:rsidR="007E0ABC" w:rsidRPr="00F93245" w:rsidRDefault="007E0ABC" w:rsidP="00E37B7E"/>
        </w:tc>
      </w:tr>
      <w:tr w:rsidR="007E0ABC" w:rsidRPr="00F93245" w14:paraId="069468AF" w14:textId="77777777" w:rsidTr="00A62A34">
        <w:trPr>
          <w:trHeight w:val="405"/>
          <w:jc w:val="center"/>
        </w:trPr>
        <w:tc>
          <w:tcPr>
            <w:tcW w:w="5953" w:type="dxa"/>
            <w:vAlign w:val="center"/>
          </w:tcPr>
          <w:p w14:paraId="781FCA1E" w14:textId="77777777" w:rsidR="007E0ABC" w:rsidRDefault="007E0ABC" w:rsidP="00E37B7E">
            <w:pPr>
              <w:spacing w:line="276" w:lineRule="auto"/>
            </w:pPr>
            <w:r>
              <w:t xml:space="preserve">Special sensory symptom </w:t>
            </w:r>
            <w:r w:rsidRPr="00422547">
              <w:rPr>
                <w:rFonts w:eastAsia="Times New Roman"/>
                <w:i/>
                <w:iCs/>
                <w:color w:val="333333"/>
              </w:rPr>
              <w:t>(e.g., visual, olfactory, or hearing disturbance)</w:t>
            </w:r>
          </w:p>
        </w:tc>
        <w:tc>
          <w:tcPr>
            <w:tcW w:w="652" w:type="dxa"/>
          </w:tcPr>
          <w:p w14:paraId="7699D52F" w14:textId="77777777" w:rsidR="007E0ABC" w:rsidRPr="00F93245" w:rsidRDefault="007E0ABC" w:rsidP="00E37B7E"/>
        </w:tc>
      </w:tr>
      <w:tr w:rsidR="007E0ABC" w:rsidRPr="00F93245" w14:paraId="4E273125" w14:textId="77777777" w:rsidTr="00931050">
        <w:trPr>
          <w:trHeight w:val="405"/>
          <w:jc w:val="center"/>
        </w:trPr>
        <w:tc>
          <w:tcPr>
            <w:tcW w:w="5953" w:type="dxa"/>
          </w:tcPr>
          <w:p w14:paraId="0680B7C0" w14:textId="77777777" w:rsidR="007E0ABC" w:rsidRPr="00F93245" w:rsidRDefault="007E0ABC" w:rsidP="00E37B7E">
            <w:r>
              <w:t>Other (</w:t>
            </w:r>
            <w:r w:rsidRPr="00E37B7E">
              <w:rPr>
                <w:i/>
                <w:iCs/>
              </w:rPr>
              <w:t>please specify):</w:t>
            </w:r>
          </w:p>
        </w:tc>
        <w:tc>
          <w:tcPr>
            <w:tcW w:w="652" w:type="dxa"/>
          </w:tcPr>
          <w:p w14:paraId="131600BE" w14:textId="77777777" w:rsidR="007E0ABC" w:rsidRPr="00F93245" w:rsidRDefault="007E0ABC" w:rsidP="00E37B7E"/>
        </w:tc>
      </w:tr>
    </w:tbl>
    <w:p w14:paraId="50953427" w14:textId="77777777" w:rsidR="007E0ABC" w:rsidRDefault="007E0ABC" w:rsidP="00E37B7E">
      <w:pPr>
        <w:contextualSpacing/>
        <w:rPr>
          <w:rFonts w:eastAsia="DengXian" w:cs="Arial"/>
        </w:rPr>
      </w:pPr>
    </w:p>
    <w:p w14:paraId="06FEA299" w14:textId="77777777" w:rsidR="007E0ABC" w:rsidRDefault="007E0ABC" w:rsidP="007E0ABC">
      <w:pPr>
        <w:numPr>
          <w:ilvl w:val="0"/>
          <w:numId w:val="232"/>
        </w:numPr>
        <w:contextualSpacing/>
        <w:rPr>
          <w:rFonts w:eastAsia="DengXian" w:cs="Arial"/>
        </w:rPr>
      </w:pPr>
      <w:r w:rsidRPr="004F4C35">
        <w:rPr>
          <w:rFonts w:eastAsia="DengXian" w:cs="Arial"/>
        </w:rPr>
        <w:t>Do</w:t>
      </w:r>
      <w:r>
        <w:rPr>
          <w:rFonts w:eastAsia="DengXian" w:cs="Arial"/>
        </w:rPr>
        <w:t xml:space="preserve"> you experience any additional psychological problems (e.g. anxiety, depression, personality disorder) alongside your functional neurological symptoms?  If yes, please specify.</w:t>
      </w:r>
    </w:p>
    <w:p w14:paraId="71B086AB" w14:textId="77777777" w:rsidR="007E0ABC" w:rsidRDefault="007E0ABC" w:rsidP="00E37B7E">
      <w:pPr>
        <w:ind w:left="142"/>
        <w:contextualSpacing/>
        <w:rPr>
          <w:sz w:val="23"/>
          <w:szCs w:val="23"/>
        </w:rPr>
      </w:pPr>
      <w:r>
        <w:rPr>
          <w:sz w:val="23"/>
          <w:szCs w:val="23"/>
        </w:rPr>
        <w:t>__________________________________________________________________________________________________________________________________________________________</w:t>
      </w:r>
    </w:p>
    <w:p w14:paraId="1C2B4C14" w14:textId="77777777" w:rsidR="007E0ABC" w:rsidRDefault="007E0ABC" w:rsidP="00E37B7E">
      <w:pPr>
        <w:ind w:left="142"/>
        <w:contextualSpacing/>
        <w:rPr>
          <w:rFonts w:eastAsia="DengXian" w:cs="Arial"/>
        </w:rPr>
      </w:pPr>
    </w:p>
    <w:p w14:paraId="44125BC7" w14:textId="77777777" w:rsidR="007E0ABC" w:rsidRPr="00D030B9" w:rsidRDefault="007E0ABC" w:rsidP="007E0ABC">
      <w:pPr>
        <w:numPr>
          <w:ilvl w:val="0"/>
          <w:numId w:val="232"/>
        </w:numPr>
        <w:contextualSpacing/>
        <w:rPr>
          <w:rFonts w:eastAsia="DengXian" w:cs="Arial"/>
        </w:rPr>
      </w:pPr>
      <w:r w:rsidRPr="004F4C35">
        <w:rPr>
          <w:rFonts w:eastAsia="DengXian" w:cs="Arial"/>
        </w:rPr>
        <w:t xml:space="preserve">Do </w:t>
      </w:r>
      <w:r w:rsidRPr="00D030B9">
        <w:rPr>
          <w:rFonts w:eastAsia="DengXian" w:cs="Arial"/>
        </w:rPr>
        <w:t>you experience any additional physical problems (e.g. injury or trauma to limb) alongside your functional neurological symptoms?  If yes, please specify.</w:t>
      </w:r>
    </w:p>
    <w:p w14:paraId="0F57CA32" w14:textId="77777777" w:rsidR="007E0ABC" w:rsidRDefault="007E0ABC" w:rsidP="00D030B9">
      <w:pPr>
        <w:ind w:left="142"/>
        <w:contextualSpacing/>
        <w:rPr>
          <w:rFonts w:eastAsia="DengXian" w:cs="Arial"/>
        </w:rPr>
      </w:pPr>
      <w:r>
        <w:rPr>
          <w:sz w:val="23"/>
          <w:szCs w:val="23"/>
        </w:rPr>
        <w:t>__________________________________________________________________________  __________________________________________________________________________</w:t>
      </w:r>
    </w:p>
    <w:p w14:paraId="35F49F08" w14:textId="77777777" w:rsidR="007E0ABC" w:rsidRPr="008473B3" w:rsidRDefault="007E0ABC" w:rsidP="008473B3">
      <w:pPr>
        <w:ind w:left="502"/>
        <w:contextualSpacing/>
        <w:rPr>
          <w:rFonts w:eastAsia="DengXian" w:cs="Arial"/>
        </w:rPr>
      </w:pPr>
    </w:p>
    <w:p w14:paraId="0485B899" w14:textId="77777777" w:rsidR="007E0ABC" w:rsidRPr="00F93245" w:rsidRDefault="007E0ABC" w:rsidP="007E0ABC">
      <w:pPr>
        <w:numPr>
          <w:ilvl w:val="0"/>
          <w:numId w:val="232"/>
        </w:numPr>
        <w:contextualSpacing/>
        <w:rPr>
          <w:rFonts w:eastAsia="DengXian" w:cs="Arial"/>
        </w:rPr>
      </w:pPr>
      <w:r w:rsidRPr="00F93245">
        <w:rPr>
          <w:rFonts w:eastAsia="DengXian" w:cs="Arial"/>
        </w:rPr>
        <w:t>a) Do you experience non-epileptic attacks (also known as dissociative seizures/psychogenic non-epileptic seizures) (please tick)?</w:t>
      </w:r>
    </w:p>
    <w:p w14:paraId="19076C06" w14:textId="77777777" w:rsidR="007E0ABC" w:rsidRPr="00F93245" w:rsidRDefault="007E0ABC" w:rsidP="00F65A7E">
      <w:pPr>
        <w:rPr>
          <w:rFonts w:eastAsia="DengXian" w:cs="Arial"/>
        </w:rPr>
      </w:pPr>
    </w:p>
    <w:p w14:paraId="4CC7DCA0" w14:textId="77777777" w:rsidR="007E0ABC" w:rsidRPr="00F93245" w:rsidRDefault="007E0ABC" w:rsidP="00F65A7E">
      <w:pPr>
        <w:ind w:left="2160"/>
        <w:rPr>
          <w:rFonts w:eastAsia="DengXian" w:cs="Arial"/>
        </w:rPr>
      </w:pPr>
      <w:r w:rsidRPr="00F93245">
        <w:rPr>
          <w:rFonts w:eastAsia="DengXian" w:cs="Arial"/>
          <w:noProof/>
          <w:lang w:eastAsia="en-GB"/>
        </w:rPr>
        <mc:AlternateContent>
          <mc:Choice Requires="wps">
            <w:drawing>
              <wp:anchor distT="0" distB="0" distL="114300" distR="114300" simplePos="0" relativeHeight="251694080" behindDoc="0" locked="0" layoutInCell="1" allowOverlap="1" wp14:anchorId="1E0EB424" wp14:editId="71FFC92B">
                <wp:simplePos x="0" y="0"/>
                <wp:positionH relativeFrom="column">
                  <wp:posOffset>2457450</wp:posOffset>
                </wp:positionH>
                <wp:positionV relativeFrom="paragraph">
                  <wp:posOffset>9525</wp:posOffset>
                </wp:positionV>
                <wp:extent cx="209550" cy="209550"/>
                <wp:effectExtent l="0" t="0" r="19050" b="19050"/>
                <wp:wrapNone/>
                <wp:docPr id="209413524" name="Rectangle 209413524"/>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B8C0" id="Rectangle 209413524" o:spid="_x0000_s1026" style="position:absolute;margin-left:193.5pt;margin-top:.75pt;width:16.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" filled="f" strokecolor="windowText"/>
            </w:pict>
          </mc:Fallback>
        </mc:AlternateContent>
      </w:r>
      <w:r w:rsidRPr="00F93245">
        <w:rPr>
          <w:rFonts w:eastAsia="DengXian" w:cs="Arial"/>
          <w:noProof/>
          <w:lang w:eastAsia="en-GB"/>
        </w:rPr>
        <mc:AlternateContent>
          <mc:Choice Requires="wps">
            <w:drawing>
              <wp:anchor distT="0" distB="0" distL="114300" distR="114300" simplePos="0" relativeHeight="251695104" behindDoc="0" locked="0" layoutInCell="1" allowOverlap="1" wp14:anchorId="640F9E96" wp14:editId="7CD55F38">
                <wp:simplePos x="0" y="0"/>
                <wp:positionH relativeFrom="column">
                  <wp:posOffset>1038225</wp:posOffset>
                </wp:positionH>
                <wp:positionV relativeFrom="paragraph">
                  <wp:posOffset>5715</wp:posOffset>
                </wp:positionV>
                <wp:extent cx="209550" cy="209550"/>
                <wp:effectExtent l="0" t="0" r="19050" b="19050"/>
                <wp:wrapNone/>
                <wp:docPr id="1185460761" name="Rectangle 1185460761"/>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187BE" id="Rectangle 1185460761" o:spid="_x0000_s1026" style="position:absolute;margin-left:81.75pt;margin-top:.45pt;width:16.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" filled="f" strokecolor="windowText"/>
            </w:pict>
          </mc:Fallback>
        </mc:AlternateContent>
      </w:r>
      <w:r w:rsidRPr="00F93245">
        <w:rPr>
          <w:rFonts w:eastAsia="DengXian" w:cs="Arial"/>
        </w:rPr>
        <w:t>YES</w:t>
      </w:r>
      <w:r w:rsidRPr="00F93245">
        <w:rPr>
          <w:rFonts w:eastAsia="DengXian" w:cs="Arial"/>
        </w:rPr>
        <w:tab/>
      </w:r>
      <w:r w:rsidRPr="00F93245">
        <w:rPr>
          <w:rFonts w:eastAsia="DengXian" w:cs="Arial"/>
        </w:rPr>
        <w:tab/>
      </w:r>
      <w:r w:rsidRPr="00F93245">
        <w:rPr>
          <w:rFonts w:eastAsia="DengXian" w:cs="Arial"/>
        </w:rPr>
        <w:tab/>
        <w:t>NO</w:t>
      </w:r>
    </w:p>
    <w:p w14:paraId="2A67B3AD" w14:textId="77777777" w:rsidR="007E0ABC" w:rsidRPr="00F93245" w:rsidRDefault="007E0ABC" w:rsidP="00F65A7E">
      <w:pPr>
        <w:rPr>
          <w:rFonts w:eastAsia="DengXian" w:cs="Arial"/>
        </w:rPr>
      </w:pPr>
    </w:p>
    <w:p w14:paraId="6764CD9C" w14:textId="77777777" w:rsidR="007E0ABC" w:rsidRPr="00F93245" w:rsidRDefault="007E0ABC" w:rsidP="00F65A7E">
      <w:pPr>
        <w:rPr>
          <w:rFonts w:eastAsia="DengXian" w:cs="Arial"/>
        </w:rPr>
      </w:pPr>
    </w:p>
    <w:p w14:paraId="2130CABE" w14:textId="77777777" w:rsidR="007E0ABC" w:rsidRPr="00F93245" w:rsidRDefault="007E0ABC" w:rsidP="00F65A7E">
      <w:pPr>
        <w:rPr>
          <w:rFonts w:eastAsia="DengXian" w:cs="Arial"/>
        </w:rPr>
      </w:pPr>
      <w:r w:rsidRPr="00F93245">
        <w:rPr>
          <w:rFonts w:eastAsia="DengXian" w:cs="Arial"/>
        </w:rPr>
        <w:t xml:space="preserve">b) If the answer is ‘yes’, how many have you had </w:t>
      </w:r>
      <w:r w:rsidRPr="00F93245">
        <w:rPr>
          <w:rFonts w:eastAsia="DengXian" w:cs="Arial"/>
          <w:b/>
          <w:bCs/>
        </w:rPr>
        <w:t>in the last month</w:t>
      </w:r>
      <w:r w:rsidRPr="00F93245">
        <w:rPr>
          <w:rFonts w:eastAsia="DengXian" w:cs="Arial"/>
        </w:rPr>
        <w:t>?</w:t>
      </w:r>
    </w:p>
    <w:p w14:paraId="67DE922B" w14:textId="77777777" w:rsidR="007E0ABC" w:rsidRPr="00F93245" w:rsidRDefault="007E0ABC" w:rsidP="00F65A7E">
      <w:pPr>
        <w:rPr>
          <w:rFonts w:eastAsia="DengXian" w:cs="Arial"/>
        </w:rPr>
      </w:pPr>
    </w:p>
    <w:p w14:paraId="609A6FD5" w14:textId="77777777" w:rsidR="007E0ABC" w:rsidRDefault="007E0ABC" w:rsidP="00F65A7E">
      <w:pPr>
        <w:rPr>
          <w:rFonts w:eastAsia="DengXian" w:cs="Arial"/>
          <w:u w:val="single"/>
        </w:rPr>
      </w:pPr>
      <w:r>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p>
    <w:p w14:paraId="1FC13405" w14:textId="77777777" w:rsidR="007E0ABC" w:rsidRPr="00F93245" w:rsidRDefault="007E0ABC" w:rsidP="00F65A7E">
      <w:pPr>
        <w:rPr>
          <w:rFonts w:eastAsia="DengXian" w:cs="Arial"/>
          <w:u w:val="single"/>
        </w:rPr>
      </w:pPr>
    </w:p>
    <w:p w14:paraId="51F55E09" w14:textId="77777777" w:rsidR="007E0ABC" w:rsidRPr="00F93245" w:rsidRDefault="007E0ABC" w:rsidP="007E0ABC">
      <w:pPr>
        <w:numPr>
          <w:ilvl w:val="0"/>
          <w:numId w:val="232"/>
        </w:numPr>
        <w:contextualSpacing/>
        <w:rPr>
          <w:rFonts w:eastAsia="DengXian" w:cs="Arial"/>
        </w:rPr>
      </w:pPr>
      <w:r w:rsidRPr="00F93245">
        <w:rPr>
          <w:rFonts w:eastAsia="DengXian" w:cs="Arial"/>
        </w:rPr>
        <w:t>Do you ever experience any of the following as part of your functional neurologi</w:t>
      </w:r>
      <w:r>
        <w:rPr>
          <w:rFonts w:eastAsia="DengXian" w:cs="Arial"/>
        </w:rPr>
        <w:t>c</w:t>
      </w:r>
      <w:r w:rsidRPr="00F93245">
        <w:rPr>
          <w:rFonts w:eastAsia="DengXian" w:cs="Arial"/>
        </w:rPr>
        <w:t>al symptoms(s) (please tick)?</w:t>
      </w:r>
    </w:p>
    <w:p w14:paraId="4D255E47" w14:textId="77777777" w:rsidR="007E0ABC" w:rsidRPr="00F93245" w:rsidRDefault="007E0ABC" w:rsidP="00F65A7E">
      <w:pPr>
        <w:rPr>
          <w:rFonts w:eastAsia="DengXian" w:cs="Arial"/>
        </w:rPr>
      </w:pPr>
    </w:p>
    <w:tbl>
      <w:tblPr>
        <w:tblStyle w:val="TableGrid1"/>
        <w:tblW w:w="7257" w:type="dxa"/>
        <w:jc w:val="center"/>
        <w:tblLook w:val="04A0" w:firstRow="1" w:lastRow="0" w:firstColumn="1" w:lastColumn="0" w:noHBand="0" w:noVBand="1"/>
      </w:tblPr>
      <w:tblGrid>
        <w:gridCol w:w="5953"/>
        <w:gridCol w:w="652"/>
        <w:gridCol w:w="652"/>
      </w:tblGrid>
      <w:tr w:rsidR="007E0ABC" w:rsidRPr="00F93245" w14:paraId="3D865F05" w14:textId="77777777" w:rsidTr="00A62A34">
        <w:trPr>
          <w:trHeight w:val="405"/>
          <w:jc w:val="center"/>
        </w:trPr>
        <w:tc>
          <w:tcPr>
            <w:tcW w:w="5953" w:type="dxa"/>
          </w:tcPr>
          <w:p w14:paraId="2D9EAFEC" w14:textId="77777777" w:rsidR="007E0ABC" w:rsidRPr="00F93245" w:rsidRDefault="007E0ABC" w:rsidP="00A62A34"/>
        </w:tc>
        <w:tc>
          <w:tcPr>
            <w:tcW w:w="652" w:type="dxa"/>
          </w:tcPr>
          <w:p w14:paraId="3BCFBA51" w14:textId="77777777" w:rsidR="007E0ABC" w:rsidRPr="00F93245" w:rsidRDefault="007E0ABC" w:rsidP="00A62A34">
            <w:r w:rsidRPr="00F93245">
              <w:t>YES</w:t>
            </w:r>
          </w:p>
        </w:tc>
        <w:tc>
          <w:tcPr>
            <w:tcW w:w="652" w:type="dxa"/>
          </w:tcPr>
          <w:p w14:paraId="2B2B7724" w14:textId="77777777" w:rsidR="007E0ABC" w:rsidRPr="00F93245" w:rsidRDefault="007E0ABC" w:rsidP="00A62A34">
            <w:r w:rsidRPr="00F93245">
              <w:t>NO</w:t>
            </w:r>
          </w:p>
        </w:tc>
      </w:tr>
      <w:tr w:rsidR="007E0ABC" w:rsidRPr="00F93245" w14:paraId="657D5F15" w14:textId="77777777" w:rsidTr="00A62A34">
        <w:trPr>
          <w:trHeight w:val="850"/>
          <w:jc w:val="center"/>
        </w:trPr>
        <w:tc>
          <w:tcPr>
            <w:tcW w:w="5953" w:type="dxa"/>
            <w:vAlign w:val="center"/>
          </w:tcPr>
          <w:p w14:paraId="66F80C78" w14:textId="77777777" w:rsidR="007E0ABC" w:rsidRPr="00F93245" w:rsidRDefault="007E0ABC" w:rsidP="00A62A34">
            <w:pPr>
              <w:spacing w:line="276" w:lineRule="auto"/>
            </w:pPr>
            <w:r w:rsidRPr="00F93245">
              <w:t>I have spells during which I black out/lose consciousness completely.</w:t>
            </w:r>
          </w:p>
        </w:tc>
        <w:tc>
          <w:tcPr>
            <w:tcW w:w="652" w:type="dxa"/>
          </w:tcPr>
          <w:p w14:paraId="550346A3" w14:textId="77777777" w:rsidR="007E0ABC" w:rsidRPr="00F93245" w:rsidRDefault="007E0ABC" w:rsidP="00A62A34"/>
        </w:tc>
        <w:tc>
          <w:tcPr>
            <w:tcW w:w="652" w:type="dxa"/>
          </w:tcPr>
          <w:p w14:paraId="79B9BC65" w14:textId="77777777" w:rsidR="007E0ABC" w:rsidRPr="00F93245" w:rsidRDefault="007E0ABC" w:rsidP="00A62A34"/>
        </w:tc>
      </w:tr>
      <w:tr w:rsidR="007E0ABC" w:rsidRPr="00F93245" w14:paraId="43E877DF" w14:textId="77777777" w:rsidTr="00A62A34">
        <w:trPr>
          <w:trHeight w:val="850"/>
          <w:jc w:val="center"/>
        </w:trPr>
        <w:tc>
          <w:tcPr>
            <w:tcW w:w="5953" w:type="dxa"/>
            <w:vAlign w:val="center"/>
          </w:tcPr>
          <w:p w14:paraId="15B59427" w14:textId="77777777" w:rsidR="007E0ABC" w:rsidRPr="00F93245" w:rsidRDefault="007E0ABC" w:rsidP="00A62A34">
            <w:pPr>
              <w:spacing w:line="276" w:lineRule="auto"/>
            </w:pPr>
            <w:r w:rsidRPr="00F93245">
              <w:t>I have spells during which I am aware of what is going on, but I am unable to respond to other people.</w:t>
            </w:r>
          </w:p>
        </w:tc>
        <w:tc>
          <w:tcPr>
            <w:tcW w:w="652" w:type="dxa"/>
          </w:tcPr>
          <w:p w14:paraId="720168BE" w14:textId="77777777" w:rsidR="007E0ABC" w:rsidRPr="00F93245" w:rsidRDefault="007E0ABC" w:rsidP="00A62A34"/>
        </w:tc>
        <w:tc>
          <w:tcPr>
            <w:tcW w:w="652" w:type="dxa"/>
          </w:tcPr>
          <w:p w14:paraId="3B1C334A" w14:textId="77777777" w:rsidR="007E0ABC" w:rsidRPr="00F93245" w:rsidRDefault="007E0ABC" w:rsidP="00A62A34"/>
        </w:tc>
      </w:tr>
      <w:tr w:rsidR="007E0ABC" w:rsidRPr="00F93245" w14:paraId="522B2A78" w14:textId="77777777" w:rsidTr="00A62A34">
        <w:trPr>
          <w:trHeight w:val="850"/>
          <w:jc w:val="center"/>
        </w:trPr>
        <w:tc>
          <w:tcPr>
            <w:tcW w:w="5953" w:type="dxa"/>
            <w:vAlign w:val="center"/>
          </w:tcPr>
          <w:p w14:paraId="484B859F" w14:textId="77777777" w:rsidR="007E0ABC" w:rsidRPr="00F93245" w:rsidRDefault="007E0ABC" w:rsidP="00A62A34">
            <w:pPr>
              <w:spacing w:line="276" w:lineRule="auto"/>
            </w:pPr>
            <w:r w:rsidRPr="00F93245">
              <w:t>I have spells during which I can perform actions, but I am not aware of what I am doing.</w:t>
            </w:r>
          </w:p>
        </w:tc>
        <w:tc>
          <w:tcPr>
            <w:tcW w:w="652" w:type="dxa"/>
          </w:tcPr>
          <w:p w14:paraId="1451F5E9" w14:textId="77777777" w:rsidR="007E0ABC" w:rsidRPr="00F93245" w:rsidRDefault="007E0ABC" w:rsidP="00A62A34"/>
        </w:tc>
        <w:tc>
          <w:tcPr>
            <w:tcW w:w="652" w:type="dxa"/>
          </w:tcPr>
          <w:p w14:paraId="2753BA9F" w14:textId="77777777" w:rsidR="007E0ABC" w:rsidRPr="00F93245" w:rsidRDefault="007E0ABC" w:rsidP="00A62A34"/>
        </w:tc>
      </w:tr>
    </w:tbl>
    <w:p w14:paraId="5D092D16" w14:textId="77777777" w:rsidR="007E0ABC" w:rsidRDefault="007E0ABC" w:rsidP="00C009A5">
      <w:pPr>
        <w:ind w:left="142"/>
        <w:contextualSpacing/>
        <w:rPr>
          <w:rFonts w:eastAsia="DengXian" w:cs="Arial"/>
        </w:rPr>
      </w:pPr>
    </w:p>
    <w:p w14:paraId="4413899F" w14:textId="77777777" w:rsidR="007E0ABC" w:rsidRPr="00C009A5" w:rsidRDefault="007E0ABC" w:rsidP="007E0ABC">
      <w:pPr>
        <w:pStyle w:val="ListParagraph"/>
        <w:numPr>
          <w:ilvl w:val="0"/>
          <w:numId w:val="233"/>
        </w:numPr>
        <w:spacing w:line="240" w:lineRule="auto"/>
        <w:rPr>
          <w:rFonts w:eastAsia="DengXian" w:cs="Arial"/>
        </w:rPr>
      </w:pPr>
      <w:r w:rsidRPr="00C009A5">
        <w:rPr>
          <w:rFonts w:eastAsia="DengXian" w:cs="Arial"/>
        </w:rPr>
        <w:t>a) Are you currently taking any medication (please tick)?</w:t>
      </w:r>
    </w:p>
    <w:p w14:paraId="3C93706E" w14:textId="77777777" w:rsidR="007E0ABC" w:rsidRPr="00F93245" w:rsidRDefault="007E0ABC" w:rsidP="00F65A7E">
      <w:pPr>
        <w:rPr>
          <w:rFonts w:eastAsia="DengXian" w:cs="Arial"/>
        </w:rPr>
      </w:pPr>
    </w:p>
    <w:p w14:paraId="7F4CF35D" w14:textId="77777777" w:rsidR="007E0ABC" w:rsidRPr="00F93245" w:rsidRDefault="007E0ABC" w:rsidP="00F65A7E">
      <w:pPr>
        <w:ind w:left="2160"/>
        <w:rPr>
          <w:rFonts w:eastAsia="DengXian" w:cs="Arial"/>
        </w:rPr>
      </w:pPr>
      <w:r w:rsidRPr="00F93245">
        <w:rPr>
          <w:rFonts w:eastAsia="DengXian" w:cs="Arial"/>
          <w:noProof/>
          <w:lang w:eastAsia="en-GB"/>
        </w:rPr>
        <mc:AlternateContent>
          <mc:Choice Requires="wps">
            <w:drawing>
              <wp:anchor distT="0" distB="0" distL="114300" distR="114300" simplePos="0" relativeHeight="251696128" behindDoc="0" locked="0" layoutInCell="1" allowOverlap="1" wp14:anchorId="344F4700" wp14:editId="20B2D710">
                <wp:simplePos x="0" y="0"/>
                <wp:positionH relativeFrom="column">
                  <wp:posOffset>2457450</wp:posOffset>
                </wp:positionH>
                <wp:positionV relativeFrom="paragraph">
                  <wp:posOffset>9525</wp:posOffset>
                </wp:positionV>
                <wp:extent cx="209550" cy="209550"/>
                <wp:effectExtent l="0" t="0" r="19050" b="19050"/>
                <wp:wrapNone/>
                <wp:docPr id="1273456159" name="Rectangle 1273456159"/>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E92F3" id="Rectangle 1273456159" o:spid="_x0000_s1026" style="position:absolute;margin-left:193.5pt;margin-top:.75pt;width:16.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" filled="f" strokecolor="windowText"/>
            </w:pict>
          </mc:Fallback>
        </mc:AlternateContent>
      </w:r>
      <w:r w:rsidRPr="00F93245">
        <w:rPr>
          <w:rFonts w:eastAsia="DengXian" w:cs="Arial"/>
          <w:noProof/>
          <w:lang w:eastAsia="en-GB"/>
        </w:rPr>
        <mc:AlternateContent>
          <mc:Choice Requires="wps">
            <w:drawing>
              <wp:anchor distT="0" distB="0" distL="114300" distR="114300" simplePos="0" relativeHeight="251697152" behindDoc="0" locked="0" layoutInCell="1" allowOverlap="1" wp14:anchorId="6AC8B17D" wp14:editId="07F15410">
                <wp:simplePos x="0" y="0"/>
                <wp:positionH relativeFrom="column">
                  <wp:posOffset>1038225</wp:posOffset>
                </wp:positionH>
                <wp:positionV relativeFrom="paragraph">
                  <wp:posOffset>5715</wp:posOffset>
                </wp:positionV>
                <wp:extent cx="209550" cy="209550"/>
                <wp:effectExtent l="0" t="0" r="19050" b="19050"/>
                <wp:wrapNone/>
                <wp:docPr id="1434863895" name="Rectangle 1434863895"/>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24834" id="Rectangle 1434863895" o:spid="_x0000_s1026" style="position:absolute;margin-left:81.75pt;margin-top:.45pt;width:16.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" filled="f" strokecolor="windowText"/>
            </w:pict>
          </mc:Fallback>
        </mc:AlternateContent>
      </w:r>
      <w:r w:rsidRPr="00F93245">
        <w:rPr>
          <w:rFonts w:eastAsia="DengXian" w:cs="Arial"/>
        </w:rPr>
        <w:t>YES</w:t>
      </w:r>
      <w:r w:rsidRPr="00F93245">
        <w:rPr>
          <w:rFonts w:eastAsia="DengXian" w:cs="Arial"/>
        </w:rPr>
        <w:tab/>
      </w:r>
      <w:r w:rsidRPr="00F93245">
        <w:rPr>
          <w:rFonts w:eastAsia="DengXian" w:cs="Arial"/>
        </w:rPr>
        <w:tab/>
      </w:r>
      <w:r w:rsidRPr="00F93245">
        <w:rPr>
          <w:rFonts w:eastAsia="DengXian" w:cs="Arial"/>
        </w:rPr>
        <w:tab/>
        <w:t>NO</w:t>
      </w:r>
    </w:p>
    <w:p w14:paraId="46213AF5" w14:textId="77777777" w:rsidR="007E0ABC" w:rsidRPr="00F93245" w:rsidRDefault="007E0ABC" w:rsidP="00F65A7E">
      <w:pPr>
        <w:rPr>
          <w:rFonts w:eastAsia="DengXian" w:cs="Arial"/>
        </w:rPr>
      </w:pPr>
    </w:p>
    <w:p w14:paraId="03DFB2BB" w14:textId="77777777" w:rsidR="007E0ABC" w:rsidRPr="00F93245" w:rsidRDefault="007E0ABC" w:rsidP="00F65A7E">
      <w:pPr>
        <w:rPr>
          <w:rFonts w:eastAsia="DengXian" w:cs="Arial"/>
        </w:rPr>
      </w:pPr>
    </w:p>
    <w:p w14:paraId="37D86EB9" w14:textId="77777777" w:rsidR="007E0ABC" w:rsidRPr="00F93245" w:rsidRDefault="007E0ABC" w:rsidP="00F65A7E">
      <w:pPr>
        <w:rPr>
          <w:rFonts w:eastAsia="DengXian" w:cs="Arial"/>
        </w:rPr>
      </w:pPr>
      <w:r w:rsidRPr="00F93245">
        <w:rPr>
          <w:rFonts w:eastAsia="DengXian" w:cs="Arial"/>
        </w:rPr>
        <w:t>b) If yes, please list your medication below:</w:t>
      </w:r>
    </w:p>
    <w:p w14:paraId="051C914B" w14:textId="77777777" w:rsidR="007E0ABC" w:rsidRPr="00F93245" w:rsidRDefault="007E0ABC" w:rsidP="00F65A7E">
      <w:pPr>
        <w:rPr>
          <w:rFonts w:eastAsia="DengXian" w:cs="Arial"/>
        </w:rPr>
      </w:pPr>
    </w:p>
    <w:p w14:paraId="33FE94CE" w14:textId="77777777" w:rsidR="007E0ABC" w:rsidRPr="00F93245" w:rsidRDefault="007E0ABC" w:rsidP="00F65A7E">
      <w:pPr>
        <w:spacing w:line="480" w:lineRule="auto"/>
        <w:rPr>
          <w:rFonts w:eastAsia="DengXian" w:cs="Arial"/>
          <w:u w:val="single"/>
        </w:rPr>
      </w:pP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p>
    <w:p w14:paraId="489F8345" w14:textId="77777777" w:rsidR="007E0ABC" w:rsidRPr="00F93245" w:rsidRDefault="007E0ABC" w:rsidP="00F65A7E">
      <w:pPr>
        <w:spacing w:line="480" w:lineRule="auto"/>
        <w:rPr>
          <w:rFonts w:eastAsia="DengXian" w:cs="Arial"/>
          <w:u w:val="single"/>
        </w:rPr>
      </w:pP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p>
    <w:p w14:paraId="2A7BBF24" w14:textId="77777777" w:rsidR="007E0ABC" w:rsidRPr="00F93245" w:rsidRDefault="007E0ABC" w:rsidP="00F65A7E">
      <w:pPr>
        <w:spacing w:line="480" w:lineRule="auto"/>
        <w:rPr>
          <w:rFonts w:eastAsia="DengXian" w:cs="Arial"/>
          <w:u w:val="single"/>
        </w:rPr>
      </w:pP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r w:rsidRPr="00F93245">
        <w:rPr>
          <w:rFonts w:eastAsia="DengXian" w:cs="Arial"/>
          <w:u w:val="single"/>
        </w:rPr>
        <w:tab/>
      </w:r>
    </w:p>
    <w:p w14:paraId="68609015" w14:textId="77777777" w:rsidR="007E0ABC" w:rsidRPr="00F93245" w:rsidRDefault="007E0ABC" w:rsidP="00F65A7E">
      <w:pPr>
        <w:rPr>
          <w:rFonts w:eastAsia="DengXian" w:cs="Arial"/>
        </w:rPr>
      </w:pPr>
    </w:p>
    <w:p w14:paraId="5B8464D2" w14:textId="77777777" w:rsidR="007E0ABC" w:rsidRPr="00F93245" w:rsidRDefault="007E0ABC" w:rsidP="007E0ABC">
      <w:pPr>
        <w:numPr>
          <w:ilvl w:val="0"/>
          <w:numId w:val="233"/>
        </w:numPr>
        <w:spacing w:line="240" w:lineRule="auto"/>
        <w:contextualSpacing/>
        <w:rPr>
          <w:rFonts w:eastAsia="DengXian" w:cs="Arial"/>
        </w:rPr>
      </w:pPr>
      <w:r w:rsidRPr="00F93245">
        <w:rPr>
          <w:rFonts w:eastAsia="DengXian" w:cs="Arial"/>
        </w:rPr>
        <w:t>Have you received or are receiving any form of psychological treatment (please tick)?</w:t>
      </w:r>
    </w:p>
    <w:p w14:paraId="011CBB69" w14:textId="77777777" w:rsidR="007E0ABC" w:rsidRPr="00F93245" w:rsidRDefault="007E0ABC" w:rsidP="00F65A7E">
      <w:pPr>
        <w:rPr>
          <w:rFonts w:eastAsia="DengXian" w:cs="Arial"/>
        </w:rPr>
      </w:pPr>
    </w:p>
    <w:p w14:paraId="464E6CEE" w14:textId="77777777" w:rsidR="007E0ABC" w:rsidRPr="00F93245" w:rsidRDefault="007E0ABC" w:rsidP="00F65A7E">
      <w:pPr>
        <w:ind w:left="2160"/>
        <w:rPr>
          <w:rFonts w:eastAsia="DengXian" w:cs="Arial"/>
        </w:rPr>
      </w:pPr>
      <w:r w:rsidRPr="00F93245">
        <w:rPr>
          <w:rFonts w:eastAsia="DengXian" w:cs="Arial"/>
          <w:noProof/>
          <w:lang w:eastAsia="en-GB"/>
        </w:rPr>
        <mc:AlternateContent>
          <mc:Choice Requires="wps">
            <w:drawing>
              <wp:anchor distT="0" distB="0" distL="114300" distR="114300" simplePos="0" relativeHeight="251698176" behindDoc="0" locked="0" layoutInCell="1" allowOverlap="1" wp14:anchorId="3B6E2F10" wp14:editId="503295B8">
                <wp:simplePos x="0" y="0"/>
                <wp:positionH relativeFrom="column">
                  <wp:posOffset>2457450</wp:posOffset>
                </wp:positionH>
                <wp:positionV relativeFrom="paragraph">
                  <wp:posOffset>9525</wp:posOffset>
                </wp:positionV>
                <wp:extent cx="209550" cy="2095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ECF8" id="Rectangle 64" o:spid="_x0000_s1026" style="position:absolute;margin-left:193.5pt;margin-top:.75pt;width:16.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" filled="f" strokecolor="windowText"/>
            </w:pict>
          </mc:Fallback>
        </mc:AlternateContent>
      </w:r>
      <w:r w:rsidRPr="00F93245">
        <w:rPr>
          <w:rFonts w:eastAsia="DengXian" w:cs="Arial"/>
          <w:noProof/>
          <w:lang w:eastAsia="en-GB"/>
        </w:rPr>
        <mc:AlternateContent>
          <mc:Choice Requires="wps">
            <w:drawing>
              <wp:anchor distT="0" distB="0" distL="114300" distR="114300" simplePos="0" relativeHeight="251699200" behindDoc="0" locked="0" layoutInCell="1" allowOverlap="1" wp14:anchorId="45BE4829" wp14:editId="3FA69E9E">
                <wp:simplePos x="0" y="0"/>
                <wp:positionH relativeFrom="column">
                  <wp:posOffset>1038225</wp:posOffset>
                </wp:positionH>
                <wp:positionV relativeFrom="paragraph">
                  <wp:posOffset>5715</wp:posOffset>
                </wp:positionV>
                <wp:extent cx="209550" cy="2095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0404A" id="Rectangle 65" o:spid="_x0000_s1026" style="position:absolute;margin-left:81.75pt;margin-top:.45pt;width:16.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" filled="f" strokecolor="windowText"/>
            </w:pict>
          </mc:Fallback>
        </mc:AlternateContent>
      </w:r>
      <w:r w:rsidRPr="00F93245">
        <w:rPr>
          <w:rFonts w:eastAsia="DengXian" w:cs="Arial"/>
        </w:rPr>
        <w:t>YES</w:t>
      </w:r>
      <w:r w:rsidRPr="00F93245">
        <w:rPr>
          <w:rFonts w:eastAsia="DengXian" w:cs="Arial"/>
        </w:rPr>
        <w:tab/>
      </w:r>
      <w:r w:rsidRPr="00F93245">
        <w:rPr>
          <w:rFonts w:eastAsia="DengXian" w:cs="Arial"/>
        </w:rPr>
        <w:tab/>
      </w:r>
      <w:r w:rsidRPr="00F93245">
        <w:rPr>
          <w:rFonts w:eastAsia="DengXian" w:cs="Arial"/>
        </w:rPr>
        <w:tab/>
        <w:t>NO</w:t>
      </w:r>
    </w:p>
    <w:p w14:paraId="49B5D2BC" w14:textId="77777777" w:rsidR="007E0ABC" w:rsidRPr="00F93245" w:rsidRDefault="007E0ABC" w:rsidP="00F65A7E">
      <w:pPr>
        <w:ind w:left="2160"/>
        <w:rPr>
          <w:rFonts w:eastAsia="DengXian" w:cs="Arial"/>
        </w:rPr>
      </w:pPr>
    </w:p>
    <w:p w14:paraId="5F62474B" w14:textId="77777777" w:rsidR="007E0ABC" w:rsidRPr="00F93245" w:rsidRDefault="007E0ABC" w:rsidP="00F65A7E">
      <w:pPr>
        <w:rPr>
          <w:rFonts w:eastAsia="DengXian" w:cs="Arial"/>
        </w:rPr>
      </w:pPr>
    </w:p>
    <w:p w14:paraId="5855EFA5" w14:textId="77777777" w:rsidR="007E0ABC" w:rsidRPr="00F93245" w:rsidRDefault="007E0ABC" w:rsidP="00F65A7E">
      <w:pPr>
        <w:rPr>
          <w:rFonts w:eastAsia="DengXian" w:cs="Arial"/>
        </w:rPr>
      </w:pPr>
    </w:p>
    <w:p w14:paraId="73D78041" w14:textId="77777777" w:rsidR="007E0ABC" w:rsidRPr="00F93245" w:rsidRDefault="007E0ABC" w:rsidP="00F65A7E">
      <w:pPr>
        <w:ind w:left="502"/>
        <w:contextualSpacing/>
        <w:rPr>
          <w:rFonts w:eastAsia="DengXian" w:cs="Arial"/>
        </w:rPr>
      </w:pPr>
    </w:p>
    <w:p w14:paraId="2D602C5C" w14:textId="77777777" w:rsidR="007E0ABC" w:rsidRPr="00F93245" w:rsidRDefault="007E0ABC" w:rsidP="00F65A7E">
      <w:pPr>
        <w:jc w:val="center"/>
        <w:rPr>
          <w:rFonts w:eastAsia="DengXian" w:cs="Arial"/>
          <w:szCs w:val="20"/>
        </w:rPr>
      </w:pPr>
      <w:r w:rsidRPr="00F93245">
        <w:rPr>
          <w:b/>
          <w:bCs/>
          <w:sz w:val="28"/>
          <w:szCs w:val="28"/>
        </w:rPr>
        <w:t xml:space="preserve">Thank you for completing this </w:t>
      </w:r>
      <w:r>
        <w:rPr>
          <w:b/>
          <w:bCs/>
          <w:sz w:val="28"/>
          <w:szCs w:val="28"/>
        </w:rPr>
        <w:t>symptom characterisation</w:t>
      </w:r>
      <w:r w:rsidRPr="00F93245">
        <w:rPr>
          <w:b/>
          <w:bCs/>
          <w:sz w:val="28"/>
          <w:szCs w:val="28"/>
        </w:rPr>
        <w:t xml:space="preserve"> questionnaire. </w:t>
      </w:r>
    </w:p>
    <w:p w14:paraId="5D928AE1" w14:textId="77777777" w:rsidR="007E0ABC" w:rsidRDefault="007E0ABC" w:rsidP="00313627"/>
    <w:p w14:paraId="59E6C230" w14:textId="77777777" w:rsidR="007E0ABC" w:rsidRDefault="007E0ABC" w:rsidP="00313627"/>
    <w:p w14:paraId="04B48D39" w14:textId="77777777" w:rsidR="007E0ABC" w:rsidRDefault="007E0ABC" w:rsidP="00313627"/>
    <w:p w14:paraId="1D9A78C2" w14:textId="77777777" w:rsidR="007E0ABC" w:rsidRPr="00014351" w:rsidRDefault="007E0ABC" w:rsidP="00014351">
      <w:pPr>
        <w:rPr>
          <w:lang w:eastAsia="en-GB"/>
        </w:rPr>
      </w:pPr>
    </w:p>
    <w:p w14:paraId="00F1837C" w14:textId="126608A9" w:rsidR="007E0ABC" w:rsidRPr="007F6A0A" w:rsidRDefault="007E0ABC" w:rsidP="007F6A0A">
      <w:pPr>
        <w:rPr>
          <w:rFonts w:eastAsia="Georgia" w:cs="Georgia"/>
          <w:iCs/>
          <w:color w:val="666666"/>
          <w:sz w:val="28"/>
          <w:szCs w:val="28"/>
          <w:lang w:eastAsia="en-GB"/>
        </w:rPr>
      </w:pPr>
      <w:r>
        <w:rPr>
          <w:i/>
          <w:iCs/>
          <w:sz w:val="28"/>
          <w:szCs w:val="28"/>
        </w:rPr>
        <w:br w:type="page"/>
      </w: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w:t>
      </w:r>
      <w:r>
        <w:rPr>
          <w:rFonts w:ascii="Avenir Book" w:hAnsi="Avenir Book"/>
          <w:iCs/>
          <w:sz w:val="28"/>
          <w:szCs w:val="28"/>
        </w:rPr>
        <w:t>(2)</w:t>
      </w:r>
      <w:r w:rsidRPr="00C260F1">
        <w:rPr>
          <w:rFonts w:ascii="Avenir Book" w:hAnsi="Avenir Book"/>
          <w:iCs/>
          <w:sz w:val="28"/>
          <w:szCs w:val="28"/>
        </w:rPr>
        <w:t xml:space="preserve"> GAD-7 Questionnaire</w:t>
      </w:r>
    </w:p>
    <w:p w14:paraId="4C4DDBC7" w14:textId="77777777" w:rsidR="007E0ABC" w:rsidRDefault="007E0ABC" w:rsidP="00B2525D">
      <w:pPr>
        <w:rPr>
          <w:i/>
          <w:sz w:val="18"/>
          <w:szCs w:val="18"/>
        </w:rPr>
      </w:pPr>
    </w:p>
    <w:p w14:paraId="61F52FD1" w14:textId="77777777" w:rsidR="007E0ABC" w:rsidRDefault="007E0ABC" w:rsidP="00B2525D">
      <w:pPr>
        <w:pBdr>
          <w:bottom w:val="single" w:sz="12" w:space="1" w:color="000000"/>
        </w:pBdr>
        <w:jc w:val="center"/>
        <w:rPr>
          <w:rFonts w:eastAsia="Arial" w:cs="Arial"/>
          <w:b/>
          <w:sz w:val="40"/>
          <w:szCs w:val="40"/>
        </w:rPr>
      </w:pPr>
      <w:r>
        <w:rPr>
          <w:rFonts w:eastAsia="Arial" w:cs="Arial"/>
          <w:b/>
          <w:sz w:val="40"/>
          <w:szCs w:val="40"/>
        </w:rPr>
        <w:t>GAD-7</w:t>
      </w:r>
    </w:p>
    <w:p w14:paraId="16385805" w14:textId="77777777" w:rsidR="007E0ABC" w:rsidRDefault="007E0ABC" w:rsidP="00B2525D">
      <w:pPr>
        <w:jc w:val="center"/>
        <w:rPr>
          <w:rFonts w:eastAsia="Arial" w:cs="Arial"/>
        </w:rPr>
      </w:pPr>
    </w:p>
    <w:p w14:paraId="0A956B4C" w14:textId="77777777" w:rsidR="007E0ABC" w:rsidRDefault="007E0ABC" w:rsidP="00B2525D">
      <w:pPr>
        <w:jc w:val="center"/>
        <w:rPr>
          <w:rFonts w:eastAsia="Arial" w:cs="Arial"/>
        </w:rPr>
      </w:pPr>
      <w:r>
        <w:rPr>
          <w:rFonts w:eastAsia="Arial" w:cs="Arial"/>
        </w:rPr>
        <w:t>Over the last two weeks, how often have you been bothered by the following problems?</w:t>
      </w:r>
    </w:p>
    <w:p w14:paraId="2141EDEC" w14:textId="77777777" w:rsidR="007E0ABC" w:rsidRDefault="007E0ABC" w:rsidP="00B2525D">
      <w:pPr>
        <w:rPr>
          <w:rFonts w:eastAsia="Arial" w:cs="Arial"/>
        </w:rPr>
      </w:pPr>
    </w:p>
    <w:tbl>
      <w:tblPr>
        <w:tblW w:w="9016" w:type="dxa"/>
        <w:tblBorders>
          <w:top w:val="single" w:sz="4" w:space="0" w:color="C9C9C9"/>
          <w:left w:val="single" w:sz="4" w:space="0" w:color="000000"/>
          <w:bottom w:val="single" w:sz="4" w:space="0" w:color="C9C9C9"/>
          <w:right w:val="single" w:sz="4" w:space="0" w:color="000000"/>
          <w:insideH w:val="single" w:sz="4" w:space="0" w:color="C9C9C9"/>
          <w:insideV w:val="single" w:sz="4" w:space="0" w:color="C9C9C9"/>
        </w:tblBorders>
        <w:tblLayout w:type="fixed"/>
        <w:tblLook w:val="04A0" w:firstRow="1" w:lastRow="0" w:firstColumn="1" w:lastColumn="0" w:noHBand="0" w:noVBand="1"/>
      </w:tblPr>
      <w:tblGrid>
        <w:gridCol w:w="549"/>
        <w:gridCol w:w="4124"/>
        <w:gridCol w:w="1085"/>
        <w:gridCol w:w="1086"/>
        <w:gridCol w:w="1086"/>
        <w:gridCol w:w="1086"/>
      </w:tblGrid>
      <w:tr w:rsidR="007E0ABC" w14:paraId="672A5A5F" w14:textId="77777777" w:rsidTr="003C4FF0">
        <w:trPr>
          <w:trHeight w:val="850"/>
        </w:trPr>
        <w:tc>
          <w:tcPr>
            <w:tcW w:w="549" w:type="dxa"/>
          </w:tcPr>
          <w:p w14:paraId="795129C2" w14:textId="77777777" w:rsidR="007E0ABC" w:rsidRDefault="007E0ABC" w:rsidP="003C4FF0">
            <w:pPr>
              <w:jc w:val="center"/>
              <w:rPr>
                <w:rFonts w:eastAsia="Arial" w:cs="Arial"/>
              </w:rPr>
            </w:pPr>
          </w:p>
        </w:tc>
        <w:tc>
          <w:tcPr>
            <w:tcW w:w="4124" w:type="dxa"/>
            <w:vAlign w:val="center"/>
          </w:tcPr>
          <w:p w14:paraId="39BBEC11" w14:textId="77777777" w:rsidR="007E0ABC" w:rsidRDefault="007E0ABC" w:rsidP="003C4FF0">
            <w:pPr>
              <w:rPr>
                <w:rFonts w:eastAsia="Arial" w:cs="Arial"/>
              </w:rPr>
            </w:pPr>
          </w:p>
        </w:tc>
        <w:tc>
          <w:tcPr>
            <w:tcW w:w="1085" w:type="dxa"/>
            <w:vAlign w:val="center"/>
          </w:tcPr>
          <w:p w14:paraId="795C13ED" w14:textId="77777777" w:rsidR="007E0ABC" w:rsidRDefault="007E0ABC" w:rsidP="003C4FF0">
            <w:pPr>
              <w:jc w:val="center"/>
              <w:rPr>
                <w:rFonts w:eastAsia="Arial" w:cs="Arial"/>
              </w:rPr>
            </w:pPr>
            <w:r>
              <w:rPr>
                <w:rFonts w:eastAsia="Arial" w:cs="Arial"/>
              </w:rPr>
              <w:t>Not at all</w:t>
            </w:r>
          </w:p>
        </w:tc>
        <w:tc>
          <w:tcPr>
            <w:tcW w:w="1086" w:type="dxa"/>
            <w:vAlign w:val="center"/>
          </w:tcPr>
          <w:p w14:paraId="5C755D70" w14:textId="77777777" w:rsidR="007E0ABC" w:rsidRDefault="007E0ABC" w:rsidP="003C4FF0">
            <w:pPr>
              <w:jc w:val="center"/>
              <w:rPr>
                <w:rFonts w:eastAsia="Arial" w:cs="Arial"/>
              </w:rPr>
            </w:pPr>
            <w:r>
              <w:rPr>
                <w:rFonts w:eastAsia="Arial" w:cs="Arial"/>
              </w:rPr>
              <w:t>Several days</w:t>
            </w:r>
          </w:p>
        </w:tc>
        <w:tc>
          <w:tcPr>
            <w:tcW w:w="1086" w:type="dxa"/>
            <w:vAlign w:val="center"/>
          </w:tcPr>
          <w:p w14:paraId="1D8E72B9" w14:textId="77777777" w:rsidR="007E0ABC" w:rsidRDefault="007E0ABC" w:rsidP="003C4FF0">
            <w:pPr>
              <w:jc w:val="center"/>
              <w:rPr>
                <w:rFonts w:eastAsia="Arial" w:cs="Arial"/>
              </w:rPr>
            </w:pPr>
            <w:r>
              <w:rPr>
                <w:rFonts w:eastAsia="Arial" w:cs="Arial"/>
              </w:rPr>
              <w:t>More than half the days</w:t>
            </w:r>
          </w:p>
        </w:tc>
        <w:tc>
          <w:tcPr>
            <w:tcW w:w="1086" w:type="dxa"/>
            <w:vAlign w:val="center"/>
          </w:tcPr>
          <w:p w14:paraId="7CD3DF4C" w14:textId="77777777" w:rsidR="007E0ABC" w:rsidRDefault="007E0ABC" w:rsidP="003C4FF0">
            <w:pPr>
              <w:jc w:val="center"/>
              <w:rPr>
                <w:rFonts w:eastAsia="Arial" w:cs="Arial"/>
              </w:rPr>
            </w:pPr>
            <w:r>
              <w:rPr>
                <w:rFonts w:eastAsia="Arial" w:cs="Arial"/>
              </w:rPr>
              <w:t>Nearly every day</w:t>
            </w:r>
          </w:p>
        </w:tc>
      </w:tr>
      <w:tr w:rsidR="007E0ABC" w14:paraId="6D0F6B63" w14:textId="77777777" w:rsidTr="003C4FF0">
        <w:trPr>
          <w:trHeight w:val="850"/>
        </w:trPr>
        <w:tc>
          <w:tcPr>
            <w:tcW w:w="549" w:type="dxa"/>
          </w:tcPr>
          <w:p w14:paraId="5ED9E0C7" w14:textId="77777777" w:rsidR="007E0ABC" w:rsidRDefault="007E0ABC" w:rsidP="003C4FF0">
            <w:pPr>
              <w:jc w:val="center"/>
              <w:rPr>
                <w:rFonts w:eastAsia="Arial" w:cs="Arial"/>
              </w:rPr>
            </w:pPr>
            <w:r>
              <w:rPr>
                <w:rFonts w:eastAsia="Arial" w:cs="Arial"/>
              </w:rPr>
              <w:t>1</w:t>
            </w:r>
          </w:p>
        </w:tc>
        <w:tc>
          <w:tcPr>
            <w:tcW w:w="4124" w:type="dxa"/>
            <w:vAlign w:val="center"/>
          </w:tcPr>
          <w:p w14:paraId="67910C34" w14:textId="77777777" w:rsidR="007E0ABC" w:rsidRDefault="007E0ABC" w:rsidP="003C4FF0">
            <w:pPr>
              <w:rPr>
                <w:rFonts w:eastAsia="Arial" w:cs="Arial"/>
              </w:rPr>
            </w:pPr>
            <w:r>
              <w:rPr>
                <w:rFonts w:eastAsia="Arial" w:cs="Arial"/>
              </w:rPr>
              <w:t>Feeling nervous, anxious or on edge</w:t>
            </w:r>
          </w:p>
        </w:tc>
        <w:tc>
          <w:tcPr>
            <w:tcW w:w="1085" w:type="dxa"/>
            <w:vAlign w:val="center"/>
          </w:tcPr>
          <w:p w14:paraId="428E25E5" w14:textId="77777777" w:rsidR="007E0ABC" w:rsidRDefault="007E0ABC" w:rsidP="003C4FF0">
            <w:pPr>
              <w:jc w:val="center"/>
              <w:rPr>
                <w:rFonts w:eastAsia="Arial" w:cs="Arial"/>
              </w:rPr>
            </w:pPr>
          </w:p>
        </w:tc>
        <w:tc>
          <w:tcPr>
            <w:tcW w:w="1086" w:type="dxa"/>
            <w:vAlign w:val="center"/>
          </w:tcPr>
          <w:p w14:paraId="62509775" w14:textId="77777777" w:rsidR="007E0ABC" w:rsidRDefault="007E0ABC" w:rsidP="003C4FF0">
            <w:pPr>
              <w:jc w:val="center"/>
              <w:rPr>
                <w:rFonts w:eastAsia="Arial" w:cs="Arial"/>
              </w:rPr>
            </w:pPr>
          </w:p>
        </w:tc>
        <w:tc>
          <w:tcPr>
            <w:tcW w:w="1086" w:type="dxa"/>
            <w:vAlign w:val="center"/>
          </w:tcPr>
          <w:p w14:paraId="48CF5877" w14:textId="77777777" w:rsidR="007E0ABC" w:rsidRDefault="007E0ABC" w:rsidP="003C4FF0">
            <w:pPr>
              <w:jc w:val="center"/>
              <w:rPr>
                <w:rFonts w:eastAsia="Arial" w:cs="Arial"/>
              </w:rPr>
            </w:pPr>
          </w:p>
        </w:tc>
        <w:tc>
          <w:tcPr>
            <w:tcW w:w="1086" w:type="dxa"/>
            <w:vAlign w:val="center"/>
          </w:tcPr>
          <w:p w14:paraId="5581BBD3" w14:textId="77777777" w:rsidR="007E0ABC" w:rsidRDefault="007E0ABC" w:rsidP="003C4FF0">
            <w:pPr>
              <w:jc w:val="center"/>
              <w:rPr>
                <w:rFonts w:eastAsia="Arial" w:cs="Arial"/>
              </w:rPr>
            </w:pPr>
          </w:p>
        </w:tc>
      </w:tr>
      <w:tr w:rsidR="007E0ABC" w14:paraId="4A1F328E" w14:textId="77777777" w:rsidTr="003C4FF0">
        <w:trPr>
          <w:trHeight w:val="850"/>
        </w:trPr>
        <w:tc>
          <w:tcPr>
            <w:tcW w:w="549" w:type="dxa"/>
          </w:tcPr>
          <w:p w14:paraId="039797B9" w14:textId="77777777" w:rsidR="007E0ABC" w:rsidRDefault="007E0ABC" w:rsidP="003C4FF0">
            <w:pPr>
              <w:jc w:val="center"/>
              <w:rPr>
                <w:rFonts w:eastAsia="Arial" w:cs="Arial"/>
              </w:rPr>
            </w:pPr>
            <w:r>
              <w:rPr>
                <w:rFonts w:eastAsia="Arial" w:cs="Arial"/>
              </w:rPr>
              <w:t>2</w:t>
            </w:r>
          </w:p>
        </w:tc>
        <w:tc>
          <w:tcPr>
            <w:tcW w:w="4124" w:type="dxa"/>
            <w:vAlign w:val="center"/>
          </w:tcPr>
          <w:p w14:paraId="69A45744" w14:textId="77777777" w:rsidR="007E0ABC" w:rsidRDefault="007E0ABC" w:rsidP="003C4FF0">
            <w:pPr>
              <w:rPr>
                <w:rFonts w:eastAsia="Arial" w:cs="Arial"/>
              </w:rPr>
            </w:pPr>
            <w:r>
              <w:rPr>
                <w:rFonts w:eastAsia="Arial" w:cs="Arial"/>
              </w:rPr>
              <w:t>Not being able to stop or control worrying</w:t>
            </w:r>
          </w:p>
        </w:tc>
        <w:tc>
          <w:tcPr>
            <w:tcW w:w="1085" w:type="dxa"/>
            <w:vAlign w:val="center"/>
          </w:tcPr>
          <w:p w14:paraId="60B4BB58" w14:textId="77777777" w:rsidR="007E0ABC" w:rsidRDefault="007E0ABC" w:rsidP="003C4FF0">
            <w:pPr>
              <w:jc w:val="center"/>
              <w:rPr>
                <w:rFonts w:eastAsia="Arial" w:cs="Arial"/>
              </w:rPr>
            </w:pPr>
          </w:p>
        </w:tc>
        <w:tc>
          <w:tcPr>
            <w:tcW w:w="1086" w:type="dxa"/>
            <w:vAlign w:val="center"/>
          </w:tcPr>
          <w:p w14:paraId="1084118A" w14:textId="77777777" w:rsidR="007E0ABC" w:rsidRDefault="007E0ABC" w:rsidP="003C4FF0">
            <w:pPr>
              <w:jc w:val="center"/>
              <w:rPr>
                <w:rFonts w:eastAsia="Arial" w:cs="Arial"/>
              </w:rPr>
            </w:pPr>
          </w:p>
        </w:tc>
        <w:tc>
          <w:tcPr>
            <w:tcW w:w="1086" w:type="dxa"/>
            <w:vAlign w:val="center"/>
          </w:tcPr>
          <w:p w14:paraId="35A18432" w14:textId="77777777" w:rsidR="007E0ABC" w:rsidRDefault="007E0ABC" w:rsidP="003C4FF0">
            <w:pPr>
              <w:jc w:val="center"/>
              <w:rPr>
                <w:rFonts w:eastAsia="Arial" w:cs="Arial"/>
              </w:rPr>
            </w:pPr>
          </w:p>
        </w:tc>
        <w:tc>
          <w:tcPr>
            <w:tcW w:w="1086" w:type="dxa"/>
            <w:vAlign w:val="center"/>
          </w:tcPr>
          <w:p w14:paraId="10593A53" w14:textId="77777777" w:rsidR="007E0ABC" w:rsidRDefault="007E0ABC" w:rsidP="003C4FF0">
            <w:pPr>
              <w:jc w:val="center"/>
              <w:rPr>
                <w:rFonts w:eastAsia="Arial" w:cs="Arial"/>
              </w:rPr>
            </w:pPr>
          </w:p>
        </w:tc>
      </w:tr>
      <w:tr w:rsidR="007E0ABC" w14:paraId="240990C5" w14:textId="77777777" w:rsidTr="003C4FF0">
        <w:trPr>
          <w:trHeight w:val="850"/>
        </w:trPr>
        <w:tc>
          <w:tcPr>
            <w:tcW w:w="549" w:type="dxa"/>
          </w:tcPr>
          <w:p w14:paraId="29E35877" w14:textId="77777777" w:rsidR="007E0ABC" w:rsidRDefault="007E0ABC" w:rsidP="003C4FF0">
            <w:pPr>
              <w:jc w:val="center"/>
              <w:rPr>
                <w:rFonts w:eastAsia="Arial" w:cs="Arial"/>
              </w:rPr>
            </w:pPr>
            <w:r>
              <w:rPr>
                <w:rFonts w:eastAsia="Arial" w:cs="Arial"/>
              </w:rPr>
              <w:t>3</w:t>
            </w:r>
          </w:p>
        </w:tc>
        <w:tc>
          <w:tcPr>
            <w:tcW w:w="4124" w:type="dxa"/>
            <w:vAlign w:val="center"/>
          </w:tcPr>
          <w:p w14:paraId="11C58FC5" w14:textId="77777777" w:rsidR="007E0ABC" w:rsidRDefault="007E0ABC" w:rsidP="003C4FF0">
            <w:pPr>
              <w:rPr>
                <w:rFonts w:eastAsia="Arial" w:cs="Arial"/>
              </w:rPr>
            </w:pPr>
            <w:r>
              <w:rPr>
                <w:rFonts w:eastAsia="Arial" w:cs="Arial"/>
              </w:rPr>
              <w:t>Worrying too much about different things</w:t>
            </w:r>
          </w:p>
        </w:tc>
        <w:tc>
          <w:tcPr>
            <w:tcW w:w="1085" w:type="dxa"/>
            <w:vAlign w:val="center"/>
          </w:tcPr>
          <w:p w14:paraId="6329376E" w14:textId="77777777" w:rsidR="007E0ABC" w:rsidRDefault="007E0ABC" w:rsidP="003C4FF0">
            <w:pPr>
              <w:jc w:val="center"/>
              <w:rPr>
                <w:rFonts w:eastAsia="Arial" w:cs="Arial"/>
              </w:rPr>
            </w:pPr>
          </w:p>
        </w:tc>
        <w:tc>
          <w:tcPr>
            <w:tcW w:w="1086" w:type="dxa"/>
            <w:vAlign w:val="center"/>
          </w:tcPr>
          <w:p w14:paraId="3F406003" w14:textId="77777777" w:rsidR="007E0ABC" w:rsidRDefault="007E0ABC" w:rsidP="003C4FF0">
            <w:pPr>
              <w:jc w:val="center"/>
              <w:rPr>
                <w:rFonts w:eastAsia="Arial" w:cs="Arial"/>
              </w:rPr>
            </w:pPr>
          </w:p>
        </w:tc>
        <w:tc>
          <w:tcPr>
            <w:tcW w:w="1086" w:type="dxa"/>
            <w:vAlign w:val="center"/>
          </w:tcPr>
          <w:p w14:paraId="23B01FE5" w14:textId="77777777" w:rsidR="007E0ABC" w:rsidRDefault="007E0ABC" w:rsidP="003C4FF0">
            <w:pPr>
              <w:jc w:val="center"/>
              <w:rPr>
                <w:rFonts w:eastAsia="Arial" w:cs="Arial"/>
              </w:rPr>
            </w:pPr>
          </w:p>
        </w:tc>
        <w:tc>
          <w:tcPr>
            <w:tcW w:w="1086" w:type="dxa"/>
            <w:vAlign w:val="center"/>
          </w:tcPr>
          <w:p w14:paraId="36C44EA3" w14:textId="77777777" w:rsidR="007E0ABC" w:rsidRDefault="007E0ABC" w:rsidP="003C4FF0">
            <w:pPr>
              <w:jc w:val="center"/>
              <w:rPr>
                <w:rFonts w:eastAsia="Arial" w:cs="Arial"/>
              </w:rPr>
            </w:pPr>
          </w:p>
        </w:tc>
      </w:tr>
      <w:tr w:rsidR="007E0ABC" w14:paraId="75269A2A" w14:textId="77777777" w:rsidTr="003C4FF0">
        <w:trPr>
          <w:trHeight w:val="850"/>
        </w:trPr>
        <w:tc>
          <w:tcPr>
            <w:tcW w:w="549" w:type="dxa"/>
          </w:tcPr>
          <w:p w14:paraId="1E0388F8" w14:textId="77777777" w:rsidR="007E0ABC" w:rsidRDefault="007E0ABC" w:rsidP="003C4FF0">
            <w:pPr>
              <w:jc w:val="center"/>
              <w:rPr>
                <w:rFonts w:eastAsia="Arial" w:cs="Arial"/>
              </w:rPr>
            </w:pPr>
            <w:r>
              <w:rPr>
                <w:rFonts w:eastAsia="Arial" w:cs="Arial"/>
              </w:rPr>
              <w:t>4</w:t>
            </w:r>
          </w:p>
        </w:tc>
        <w:tc>
          <w:tcPr>
            <w:tcW w:w="4124" w:type="dxa"/>
            <w:vAlign w:val="center"/>
          </w:tcPr>
          <w:p w14:paraId="08AA5CCD" w14:textId="77777777" w:rsidR="007E0ABC" w:rsidRDefault="007E0ABC" w:rsidP="003C4FF0">
            <w:pPr>
              <w:rPr>
                <w:rFonts w:eastAsia="Arial" w:cs="Arial"/>
              </w:rPr>
            </w:pPr>
            <w:r>
              <w:rPr>
                <w:rFonts w:eastAsia="Arial" w:cs="Arial"/>
              </w:rPr>
              <w:t>Trouble relaxing</w:t>
            </w:r>
          </w:p>
        </w:tc>
        <w:tc>
          <w:tcPr>
            <w:tcW w:w="1085" w:type="dxa"/>
            <w:vAlign w:val="center"/>
          </w:tcPr>
          <w:p w14:paraId="0AB6DBA0" w14:textId="77777777" w:rsidR="007E0ABC" w:rsidRDefault="007E0ABC" w:rsidP="003C4FF0">
            <w:pPr>
              <w:jc w:val="center"/>
              <w:rPr>
                <w:rFonts w:eastAsia="Arial" w:cs="Arial"/>
              </w:rPr>
            </w:pPr>
          </w:p>
        </w:tc>
        <w:tc>
          <w:tcPr>
            <w:tcW w:w="1086" w:type="dxa"/>
            <w:vAlign w:val="center"/>
          </w:tcPr>
          <w:p w14:paraId="2414309D" w14:textId="77777777" w:rsidR="007E0ABC" w:rsidRDefault="007E0ABC" w:rsidP="003C4FF0">
            <w:pPr>
              <w:jc w:val="center"/>
              <w:rPr>
                <w:rFonts w:eastAsia="Arial" w:cs="Arial"/>
              </w:rPr>
            </w:pPr>
          </w:p>
        </w:tc>
        <w:tc>
          <w:tcPr>
            <w:tcW w:w="1086" w:type="dxa"/>
            <w:vAlign w:val="center"/>
          </w:tcPr>
          <w:p w14:paraId="3599C64F" w14:textId="77777777" w:rsidR="007E0ABC" w:rsidRDefault="007E0ABC" w:rsidP="003C4FF0">
            <w:pPr>
              <w:jc w:val="center"/>
              <w:rPr>
                <w:rFonts w:eastAsia="Arial" w:cs="Arial"/>
              </w:rPr>
            </w:pPr>
          </w:p>
        </w:tc>
        <w:tc>
          <w:tcPr>
            <w:tcW w:w="1086" w:type="dxa"/>
            <w:vAlign w:val="center"/>
          </w:tcPr>
          <w:p w14:paraId="6759A548" w14:textId="77777777" w:rsidR="007E0ABC" w:rsidRDefault="007E0ABC" w:rsidP="003C4FF0">
            <w:pPr>
              <w:jc w:val="center"/>
              <w:rPr>
                <w:rFonts w:eastAsia="Arial" w:cs="Arial"/>
              </w:rPr>
            </w:pPr>
          </w:p>
        </w:tc>
      </w:tr>
      <w:tr w:rsidR="007E0ABC" w14:paraId="3834F5ED" w14:textId="77777777" w:rsidTr="003C4FF0">
        <w:trPr>
          <w:trHeight w:val="850"/>
        </w:trPr>
        <w:tc>
          <w:tcPr>
            <w:tcW w:w="549" w:type="dxa"/>
          </w:tcPr>
          <w:p w14:paraId="64F52362" w14:textId="77777777" w:rsidR="007E0ABC" w:rsidRDefault="007E0ABC" w:rsidP="003C4FF0">
            <w:pPr>
              <w:jc w:val="center"/>
              <w:rPr>
                <w:rFonts w:eastAsia="Arial" w:cs="Arial"/>
              </w:rPr>
            </w:pPr>
            <w:r>
              <w:rPr>
                <w:rFonts w:eastAsia="Arial" w:cs="Arial"/>
              </w:rPr>
              <w:t>5</w:t>
            </w:r>
          </w:p>
        </w:tc>
        <w:tc>
          <w:tcPr>
            <w:tcW w:w="4124" w:type="dxa"/>
            <w:vAlign w:val="center"/>
          </w:tcPr>
          <w:p w14:paraId="2B5B569F" w14:textId="77777777" w:rsidR="007E0ABC" w:rsidRDefault="007E0ABC" w:rsidP="003C4FF0">
            <w:pPr>
              <w:rPr>
                <w:rFonts w:eastAsia="Arial" w:cs="Arial"/>
              </w:rPr>
            </w:pPr>
            <w:r>
              <w:rPr>
                <w:rFonts w:eastAsia="Arial" w:cs="Arial"/>
              </w:rPr>
              <w:t>Being so restless that it is hard to sit still</w:t>
            </w:r>
          </w:p>
        </w:tc>
        <w:tc>
          <w:tcPr>
            <w:tcW w:w="1085" w:type="dxa"/>
            <w:vAlign w:val="center"/>
          </w:tcPr>
          <w:p w14:paraId="6A16DA71" w14:textId="77777777" w:rsidR="007E0ABC" w:rsidRDefault="007E0ABC" w:rsidP="003C4FF0">
            <w:pPr>
              <w:jc w:val="center"/>
              <w:rPr>
                <w:rFonts w:eastAsia="Arial" w:cs="Arial"/>
              </w:rPr>
            </w:pPr>
          </w:p>
        </w:tc>
        <w:tc>
          <w:tcPr>
            <w:tcW w:w="1086" w:type="dxa"/>
            <w:vAlign w:val="center"/>
          </w:tcPr>
          <w:p w14:paraId="09C7023D" w14:textId="77777777" w:rsidR="007E0ABC" w:rsidRDefault="007E0ABC" w:rsidP="003C4FF0">
            <w:pPr>
              <w:jc w:val="center"/>
              <w:rPr>
                <w:rFonts w:eastAsia="Arial" w:cs="Arial"/>
              </w:rPr>
            </w:pPr>
          </w:p>
        </w:tc>
        <w:tc>
          <w:tcPr>
            <w:tcW w:w="1086" w:type="dxa"/>
            <w:vAlign w:val="center"/>
          </w:tcPr>
          <w:p w14:paraId="32AD81D4" w14:textId="77777777" w:rsidR="007E0ABC" w:rsidRDefault="007E0ABC" w:rsidP="003C4FF0">
            <w:pPr>
              <w:jc w:val="center"/>
              <w:rPr>
                <w:rFonts w:eastAsia="Arial" w:cs="Arial"/>
              </w:rPr>
            </w:pPr>
          </w:p>
        </w:tc>
        <w:tc>
          <w:tcPr>
            <w:tcW w:w="1086" w:type="dxa"/>
            <w:vAlign w:val="center"/>
          </w:tcPr>
          <w:p w14:paraId="455A672D" w14:textId="77777777" w:rsidR="007E0ABC" w:rsidRDefault="007E0ABC" w:rsidP="003C4FF0">
            <w:pPr>
              <w:jc w:val="center"/>
              <w:rPr>
                <w:rFonts w:eastAsia="Arial" w:cs="Arial"/>
              </w:rPr>
            </w:pPr>
          </w:p>
        </w:tc>
      </w:tr>
      <w:tr w:rsidR="007E0ABC" w14:paraId="10FB84BD" w14:textId="77777777" w:rsidTr="003C4FF0">
        <w:trPr>
          <w:trHeight w:val="850"/>
        </w:trPr>
        <w:tc>
          <w:tcPr>
            <w:tcW w:w="549" w:type="dxa"/>
          </w:tcPr>
          <w:p w14:paraId="62CB5100" w14:textId="77777777" w:rsidR="007E0ABC" w:rsidRDefault="007E0ABC" w:rsidP="003C4FF0">
            <w:pPr>
              <w:jc w:val="center"/>
              <w:rPr>
                <w:rFonts w:eastAsia="Arial" w:cs="Arial"/>
              </w:rPr>
            </w:pPr>
            <w:r>
              <w:rPr>
                <w:rFonts w:eastAsia="Arial" w:cs="Arial"/>
              </w:rPr>
              <w:t>6</w:t>
            </w:r>
          </w:p>
        </w:tc>
        <w:tc>
          <w:tcPr>
            <w:tcW w:w="4124" w:type="dxa"/>
            <w:vAlign w:val="center"/>
          </w:tcPr>
          <w:p w14:paraId="2CEF46EA" w14:textId="77777777" w:rsidR="007E0ABC" w:rsidRDefault="007E0ABC" w:rsidP="003C4FF0">
            <w:pPr>
              <w:rPr>
                <w:rFonts w:eastAsia="Arial" w:cs="Arial"/>
              </w:rPr>
            </w:pPr>
            <w:r>
              <w:rPr>
                <w:rFonts w:eastAsia="Arial" w:cs="Arial"/>
              </w:rPr>
              <w:t>Becoming easily annoyed or irritable</w:t>
            </w:r>
          </w:p>
        </w:tc>
        <w:tc>
          <w:tcPr>
            <w:tcW w:w="1085" w:type="dxa"/>
            <w:vAlign w:val="center"/>
          </w:tcPr>
          <w:p w14:paraId="728057A5" w14:textId="77777777" w:rsidR="007E0ABC" w:rsidRDefault="007E0ABC" w:rsidP="003C4FF0">
            <w:pPr>
              <w:jc w:val="center"/>
              <w:rPr>
                <w:rFonts w:eastAsia="Arial" w:cs="Arial"/>
              </w:rPr>
            </w:pPr>
          </w:p>
        </w:tc>
        <w:tc>
          <w:tcPr>
            <w:tcW w:w="1086" w:type="dxa"/>
            <w:vAlign w:val="center"/>
          </w:tcPr>
          <w:p w14:paraId="40AF5093" w14:textId="77777777" w:rsidR="007E0ABC" w:rsidRDefault="007E0ABC" w:rsidP="003C4FF0">
            <w:pPr>
              <w:jc w:val="center"/>
              <w:rPr>
                <w:rFonts w:eastAsia="Arial" w:cs="Arial"/>
              </w:rPr>
            </w:pPr>
          </w:p>
        </w:tc>
        <w:tc>
          <w:tcPr>
            <w:tcW w:w="1086" w:type="dxa"/>
            <w:vAlign w:val="center"/>
          </w:tcPr>
          <w:p w14:paraId="20B2E627" w14:textId="77777777" w:rsidR="007E0ABC" w:rsidRDefault="007E0ABC" w:rsidP="003C4FF0">
            <w:pPr>
              <w:jc w:val="center"/>
              <w:rPr>
                <w:rFonts w:eastAsia="Arial" w:cs="Arial"/>
              </w:rPr>
            </w:pPr>
          </w:p>
        </w:tc>
        <w:tc>
          <w:tcPr>
            <w:tcW w:w="1086" w:type="dxa"/>
            <w:vAlign w:val="center"/>
          </w:tcPr>
          <w:p w14:paraId="0A343C57" w14:textId="77777777" w:rsidR="007E0ABC" w:rsidRDefault="007E0ABC" w:rsidP="003C4FF0">
            <w:pPr>
              <w:jc w:val="center"/>
              <w:rPr>
                <w:rFonts w:eastAsia="Arial" w:cs="Arial"/>
              </w:rPr>
            </w:pPr>
          </w:p>
        </w:tc>
      </w:tr>
      <w:tr w:rsidR="007E0ABC" w14:paraId="43D2B997" w14:textId="77777777" w:rsidTr="003C4FF0">
        <w:trPr>
          <w:trHeight w:val="850"/>
        </w:trPr>
        <w:tc>
          <w:tcPr>
            <w:tcW w:w="549" w:type="dxa"/>
          </w:tcPr>
          <w:p w14:paraId="1C2003CE" w14:textId="77777777" w:rsidR="007E0ABC" w:rsidRDefault="007E0ABC" w:rsidP="003C4FF0">
            <w:pPr>
              <w:jc w:val="center"/>
              <w:rPr>
                <w:rFonts w:eastAsia="Arial" w:cs="Arial"/>
              </w:rPr>
            </w:pPr>
            <w:r>
              <w:rPr>
                <w:rFonts w:eastAsia="Arial" w:cs="Arial"/>
              </w:rPr>
              <w:t>7</w:t>
            </w:r>
          </w:p>
        </w:tc>
        <w:tc>
          <w:tcPr>
            <w:tcW w:w="4124" w:type="dxa"/>
            <w:vAlign w:val="center"/>
          </w:tcPr>
          <w:p w14:paraId="133EB1B5" w14:textId="77777777" w:rsidR="007E0ABC" w:rsidRDefault="007E0ABC" w:rsidP="003C4FF0">
            <w:pPr>
              <w:rPr>
                <w:rFonts w:eastAsia="Arial" w:cs="Arial"/>
              </w:rPr>
            </w:pPr>
            <w:r>
              <w:rPr>
                <w:rFonts w:eastAsia="Arial" w:cs="Arial"/>
              </w:rPr>
              <w:t>Feeling afraid as if something awful might happen</w:t>
            </w:r>
          </w:p>
        </w:tc>
        <w:tc>
          <w:tcPr>
            <w:tcW w:w="1085" w:type="dxa"/>
            <w:vAlign w:val="center"/>
          </w:tcPr>
          <w:p w14:paraId="6734253F" w14:textId="77777777" w:rsidR="007E0ABC" w:rsidRDefault="007E0ABC" w:rsidP="003C4FF0">
            <w:pPr>
              <w:jc w:val="center"/>
              <w:rPr>
                <w:rFonts w:eastAsia="Arial" w:cs="Arial"/>
              </w:rPr>
            </w:pPr>
          </w:p>
        </w:tc>
        <w:tc>
          <w:tcPr>
            <w:tcW w:w="1086" w:type="dxa"/>
            <w:vAlign w:val="center"/>
          </w:tcPr>
          <w:p w14:paraId="5685E071" w14:textId="77777777" w:rsidR="007E0ABC" w:rsidRDefault="007E0ABC" w:rsidP="003C4FF0">
            <w:pPr>
              <w:jc w:val="center"/>
              <w:rPr>
                <w:rFonts w:eastAsia="Arial" w:cs="Arial"/>
              </w:rPr>
            </w:pPr>
          </w:p>
        </w:tc>
        <w:tc>
          <w:tcPr>
            <w:tcW w:w="1086" w:type="dxa"/>
            <w:vAlign w:val="center"/>
          </w:tcPr>
          <w:p w14:paraId="690020DF" w14:textId="77777777" w:rsidR="007E0ABC" w:rsidRDefault="007E0ABC" w:rsidP="003C4FF0">
            <w:pPr>
              <w:jc w:val="center"/>
              <w:rPr>
                <w:rFonts w:eastAsia="Arial" w:cs="Arial"/>
              </w:rPr>
            </w:pPr>
          </w:p>
        </w:tc>
        <w:tc>
          <w:tcPr>
            <w:tcW w:w="1086" w:type="dxa"/>
            <w:vAlign w:val="center"/>
          </w:tcPr>
          <w:p w14:paraId="44F9F256" w14:textId="77777777" w:rsidR="007E0ABC" w:rsidRDefault="007E0ABC" w:rsidP="003C4FF0">
            <w:pPr>
              <w:jc w:val="center"/>
              <w:rPr>
                <w:rFonts w:eastAsia="Arial" w:cs="Arial"/>
              </w:rPr>
            </w:pPr>
          </w:p>
        </w:tc>
      </w:tr>
    </w:tbl>
    <w:p w14:paraId="0626A25C" w14:textId="77777777" w:rsidR="007E0ABC" w:rsidRDefault="007E0ABC" w:rsidP="00B2525D"/>
    <w:p w14:paraId="132F685C" w14:textId="77777777" w:rsidR="007E0ABC" w:rsidRDefault="007E0ABC" w:rsidP="00B2525D">
      <w:pPr>
        <w:rPr>
          <w:rFonts w:eastAsia="Arial" w:cs="Arial"/>
          <w:b/>
          <w:sz w:val="40"/>
          <w:szCs w:val="40"/>
        </w:rPr>
      </w:pPr>
      <w:r>
        <w:br w:type="page"/>
      </w:r>
    </w:p>
    <w:p w14:paraId="1CC34919" w14:textId="77777777" w:rsidR="007E0ABC" w:rsidRDefault="007E0ABC" w:rsidP="00C260F1">
      <w:pPr>
        <w:pStyle w:val="Subtitle"/>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 </w:t>
      </w:r>
      <w:r>
        <w:rPr>
          <w:rFonts w:ascii="Avenir Book" w:hAnsi="Avenir Book"/>
          <w:iCs/>
          <w:sz w:val="28"/>
          <w:szCs w:val="28"/>
        </w:rPr>
        <w:t>(3) PHQ</w:t>
      </w:r>
      <w:r w:rsidRPr="00C260F1">
        <w:rPr>
          <w:rFonts w:ascii="Avenir Book" w:hAnsi="Avenir Book"/>
          <w:iCs/>
          <w:sz w:val="28"/>
          <w:szCs w:val="28"/>
        </w:rPr>
        <w:t>-</w:t>
      </w:r>
      <w:r>
        <w:rPr>
          <w:rFonts w:ascii="Avenir Book" w:hAnsi="Avenir Book"/>
          <w:iCs/>
          <w:sz w:val="28"/>
          <w:szCs w:val="28"/>
        </w:rPr>
        <w:t>9</w:t>
      </w:r>
      <w:r w:rsidRPr="00C260F1">
        <w:rPr>
          <w:rFonts w:ascii="Avenir Book" w:hAnsi="Avenir Book"/>
          <w:iCs/>
          <w:sz w:val="28"/>
          <w:szCs w:val="28"/>
        </w:rPr>
        <w:t xml:space="preserve"> Questionnaire</w:t>
      </w:r>
    </w:p>
    <w:p w14:paraId="0AD7F5FD" w14:textId="77777777" w:rsidR="007E0ABC" w:rsidRPr="00C260F1" w:rsidRDefault="007E0ABC" w:rsidP="00C260F1">
      <w:pPr>
        <w:rPr>
          <w:lang w:eastAsia="en-GB"/>
        </w:rPr>
      </w:pPr>
    </w:p>
    <w:p w14:paraId="1A049D57" w14:textId="77777777" w:rsidR="007E0ABC" w:rsidRDefault="007E0ABC" w:rsidP="00B2525D">
      <w:pPr>
        <w:pBdr>
          <w:bottom w:val="single" w:sz="12" w:space="1" w:color="000000"/>
        </w:pBdr>
        <w:jc w:val="center"/>
        <w:rPr>
          <w:rFonts w:eastAsia="Arial" w:cs="Arial"/>
          <w:b/>
          <w:sz w:val="40"/>
          <w:szCs w:val="40"/>
        </w:rPr>
      </w:pPr>
      <w:r>
        <w:rPr>
          <w:rFonts w:eastAsia="Arial" w:cs="Arial"/>
          <w:b/>
          <w:sz w:val="40"/>
          <w:szCs w:val="40"/>
        </w:rPr>
        <w:t>Patient Health Questionnaire – 9 (PHQ-9)</w:t>
      </w:r>
    </w:p>
    <w:p w14:paraId="3E14CF73" w14:textId="77777777" w:rsidR="007E0ABC" w:rsidRDefault="007E0ABC" w:rsidP="00B2525D">
      <w:pPr>
        <w:rPr>
          <w:rFonts w:eastAsia="Arial" w:cs="Arial"/>
        </w:rPr>
      </w:pPr>
      <w:r>
        <w:rPr>
          <w:rFonts w:eastAsia="Arial" w:cs="Arial"/>
        </w:rPr>
        <w:t xml:space="preserve">Over the </w:t>
      </w:r>
      <w:r>
        <w:rPr>
          <w:rFonts w:eastAsia="Arial" w:cs="Arial"/>
          <w:u w:val="single"/>
        </w:rPr>
        <w:t>last two weeks</w:t>
      </w:r>
      <w:r>
        <w:rPr>
          <w:rFonts w:eastAsia="Arial" w:cs="Arial"/>
        </w:rPr>
        <w:t>, how often have you been bothered by any of the following problems?</w:t>
      </w:r>
    </w:p>
    <w:p w14:paraId="3F673523" w14:textId="77777777" w:rsidR="007E0ABC" w:rsidRDefault="007E0ABC" w:rsidP="00B2525D">
      <w:pPr>
        <w:rPr>
          <w:rFonts w:eastAsia="Arial" w:cs="Arial"/>
        </w:rPr>
      </w:pPr>
    </w:p>
    <w:tbl>
      <w:tblPr>
        <w:tblW w:w="9639" w:type="dxa"/>
        <w:tblInd w:w="-289" w:type="dxa"/>
        <w:tblBorders>
          <w:top w:val="single" w:sz="4" w:space="0" w:color="C9C9C9"/>
          <w:left w:val="single" w:sz="4" w:space="0" w:color="000000"/>
          <w:bottom w:val="single" w:sz="4" w:space="0" w:color="C9C9C9"/>
          <w:right w:val="single" w:sz="4" w:space="0" w:color="000000"/>
          <w:insideH w:val="single" w:sz="4" w:space="0" w:color="C9C9C9"/>
          <w:insideV w:val="single" w:sz="4" w:space="0" w:color="C9C9C9"/>
        </w:tblBorders>
        <w:tblLayout w:type="fixed"/>
        <w:tblLook w:val="04A0" w:firstRow="1" w:lastRow="0" w:firstColumn="1" w:lastColumn="0" w:noHBand="0" w:noVBand="1"/>
      </w:tblPr>
      <w:tblGrid>
        <w:gridCol w:w="568"/>
        <w:gridCol w:w="4960"/>
        <w:gridCol w:w="1027"/>
        <w:gridCol w:w="1028"/>
        <w:gridCol w:w="1028"/>
        <w:gridCol w:w="1028"/>
      </w:tblGrid>
      <w:tr w:rsidR="007E0ABC" w14:paraId="54871BBA" w14:textId="77777777" w:rsidTr="003C4FF0">
        <w:trPr>
          <w:trHeight w:val="1238"/>
        </w:trPr>
        <w:tc>
          <w:tcPr>
            <w:tcW w:w="568" w:type="dxa"/>
          </w:tcPr>
          <w:p w14:paraId="756E48B1" w14:textId="77777777" w:rsidR="007E0ABC" w:rsidRDefault="007E0ABC" w:rsidP="003C4FF0">
            <w:pPr>
              <w:jc w:val="center"/>
              <w:rPr>
                <w:rFonts w:eastAsia="Arial" w:cs="Arial"/>
              </w:rPr>
            </w:pPr>
          </w:p>
        </w:tc>
        <w:tc>
          <w:tcPr>
            <w:tcW w:w="4961" w:type="dxa"/>
          </w:tcPr>
          <w:p w14:paraId="22E7AB5C" w14:textId="77777777" w:rsidR="007E0ABC" w:rsidRDefault="007E0ABC" w:rsidP="003C4FF0">
            <w:pPr>
              <w:jc w:val="center"/>
              <w:rPr>
                <w:rFonts w:eastAsia="Arial" w:cs="Arial"/>
              </w:rPr>
            </w:pPr>
          </w:p>
        </w:tc>
        <w:tc>
          <w:tcPr>
            <w:tcW w:w="1027" w:type="dxa"/>
            <w:vAlign w:val="center"/>
          </w:tcPr>
          <w:p w14:paraId="2CA5A20B" w14:textId="77777777" w:rsidR="007E0ABC" w:rsidRDefault="007E0ABC" w:rsidP="003C4FF0">
            <w:pPr>
              <w:jc w:val="center"/>
              <w:rPr>
                <w:rFonts w:eastAsia="Arial" w:cs="Arial"/>
              </w:rPr>
            </w:pPr>
            <w:r>
              <w:rPr>
                <w:rFonts w:eastAsia="Arial" w:cs="Arial"/>
              </w:rPr>
              <w:t>Not at all</w:t>
            </w:r>
          </w:p>
        </w:tc>
        <w:tc>
          <w:tcPr>
            <w:tcW w:w="1028" w:type="dxa"/>
            <w:vAlign w:val="center"/>
          </w:tcPr>
          <w:p w14:paraId="69464D9F" w14:textId="77777777" w:rsidR="007E0ABC" w:rsidRDefault="007E0ABC" w:rsidP="003C4FF0">
            <w:pPr>
              <w:jc w:val="center"/>
              <w:rPr>
                <w:rFonts w:eastAsia="Arial" w:cs="Arial"/>
              </w:rPr>
            </w:pPr>
            <w:r>
              <w:rPr>
                <w:rFonts w:eastAsia="Arial" w:cs="Arial"/>
              </w:rPr>
              <w:t>Several days</w:t>
            </w:r>
          </w:p>
        </w:tc>
        <w:tc>
          <w:tcPr>
            <w:tcW w:w="1028" w:type="dxa"/>
            <w:vAlign w:val="center"/>
          </w:tcPr>
          <w:p w14:paraId="491CAD7E" w14:textId="77777777" w:rsidR="007E0ABC" w:rsidRDefault="007E0ABC" w:rsidP="003C4FF0">
            <w:pPr>
              <w:jc w:val="center"/>
              <w:rPr>
                <w:rFonts w:eastAsia="Arial" w:cs="Arial"/>
              </w:rPr>
            </w:pPr>
            <w:r>
              <w:rPr>
                <w:rFonts w:eastAsia="Arial" w:cs="Arial"/>
              </w:rPr>
              <w:t>More than half the days</w:t>
            </w:r>
          </w:p>
        </w:tc>
        <w:tc>
          <w:tcPr>
            <w:tcW w:w="1028" w:type="dxa"/>
            <w:vAlign w:val="center"/>
          </w:tcPr>
          <w:p w14:paraId="6C38A7B8" w14:textId="77777777" w:rsidR="007E0ABC" w:rsidRDefault="007E0ABC" w:rsidP="003C4FF0">
            <w:pPr>
              <w:jc w:val="center"/>
              <w:rPr>
                <w:rFonts w:eastAsia="Arial" w:cs="Arial"/>
              </w:rPr>
            </w:pPr>
            <w:r>
              <w:rPr>
                <w:rFonts w:eastAsia="Arial" w:cs="Arial"/>
              </w:rPr>
              <w:t>Nearly every day</w:t>
            </w:r>
          </w:p>
        </w:tc>
      </w:tr>
      <w:tr w:rsidR="007E0ABC" w14:paraId="283759C4" w14:textId="77777777" w:rsidTr="003C4FF0">
        <w:trPr>
          <w:trHeight w:val="824"/>
        </w:trPr>
        <w:tc>
          <w:tcPr>
            <w:tcW w:w="568" w:type="dxa"/>
            <w:vAlign w:val="center"/>
          </w:tcPr>
          <w:p w14:paraId="5E3F9F56" w14:textId="77777777" w:rsidR="007E0ABC" w:rsidRDefault="007E0ABC" w:rsidP="003C4FF0">
            <w:pPr>
              <w:rPr>
                <w:rFonts w:eastAsia="Arial" w:cs="Arial"/>
              </w:rPr>
            </w:pPr>
            <w:r>
              <w:rPr>
                <w:rFonts w:eastAsia="Arial" w:cs="Arial"/>
              </w:rPr>
              <w:t>1</w:t>
            </w:r>
          </w:p>
        </w:tc>
        <w:tc>
          <w:tcPr>
            <w:tcW w:w="4961" w:type="dxa"/>
            <w:vAlign w:val="center"/>
          </w:tcPr>
          <w:p w14:paraId="49D08E3E" w14:textId="77777777" w:rsidR="007E0ABC" w:rsidRDefault="007E0ABC" w:rsidP="003C4FF0">
            <w:pPr>
              <w:rPr>
                <w:rFonts w:eastAsia="Arial" w:cs="Arial"/>
              </w:rPr>
            </w:pPr>
            <w:r>
              <w:rPr>
                <w:rFonts w:eastAsia="Arial" w:cs="Arial"/>
              </w:rPr>
              <w:t>Little interest of pleasure in doing things</w:t>
            </w:r>
          </w:p>
        </w:tc>
        <w:tc>
          <w:tcPr>
            <w:tcW w:w="1027" w:type="dxa"/>
          </w:tcPr>
          <w:p w14:paraId="60EDBEDB" w14:textId="77777777" w:rsidR="007E0ABC" w:rsidRDefault="007E0ABC" w:rsidP="003C4FF0">
            <w:pPr>
              <w:jc w:val="center"/>
              <w:rPr>
                <w:rFonts w:eastAsia="Arial" w:cs="Arial"/>
              </w:rPr>
            </w:pPr>
          </w:p>
        </w:tc>
        <w:tc>
          <w:tcPr>
            <w:tcW w:w="1028" w:type="dxa"/>
            <w:vAlign w:val="center"/>
          </w:tcPr>
          <w:p w14:paraId="1BBFCBB3" w14:textId="77777777" w:rsidR="007E0ABC" w:rsidRDefault="007E0ABC" w:rsidP="003C4FF0">
            <w:pPr>
              <w:jc w:val="center"/>
              <w:rPr>
                <w:rFonts w:eastAsia="Arial" w:cs="Arial"/>
              </w:rPr>
            </w:pPr>
          </w:p>
        </w:tc>
        <w:tc>
          <w:tcPr>
            <w:tcW w:w="1028" w:type="dxa"/>
            <w:vAlign w:val="center"/>
          </w:tcPr>
          <w:p w14:paraId="27F65A56" w14:textId="77777777" w:rsidR="007E0ABC" w:rsidRDefault="007E0ABC" w:rsidP="003C4FF0">
            <w:pPr>
              <w:jc w:val="center"/>
              <w:rPr>
                <w:rFonts w:eastAsia="Arial" w:cs="Arial"/>
              </w:rPr>
            </w:pPr>
          </w:p>
        </w:tc>
        <w:tc>
          <w:tcPr>
            <w:tcW w:w="1028" w:type="dxa"/>
            <w:vAlign w:val="center"/>
          </w:tcPr>
          <w:p w14:paraId="30F45395" w14:textId="77777777" w:rsidR="007E0ABC" w:rsidRDefault="007E0ABC" w:rsidP="003C4FF0">
            <w:pPr>
              <w:jc w:val="center"/>
              <w:rPr>
                <w:rFonts w:eastAsia="Arial" w:cs="Arial"/>
              </w:rPr>
            </w:pPr>
          </w:p>
        </w:tc>
      </w:tr>
      <w:tr w:rsidR="007E0ABC" w14:paraId="383EC059" w14:textId="77777777" w:rsidTr="003C4FF0">
        <w:trPr>
          <w:trHeight w:val="824"/>
        </w:trPr>
        <w:tc>
          <w:tcPr>
            <w:tcW w:w="568" w:type="dxa"/>
            <w:vAlign w:val="center"/>
          </w:tcPr>
          <w:p w14:paraId="6E7B777C" w14:textId="77777777" w:rsidR="007E0ABC" w:rsidRDefault="007E0ABC" w:rsidP="003C4FF0">
            <w:pPr>
              <w:rPr>
                <w:rFonts w:eastAsia="Arial" w:cs="Arial"/>
              </w:rPr>
            </w:pPr>
            <w:r>
              <w:rPr>
                <w:rFonts w:eastAsia="Arial" w:cs="Arial"/>
              </w:rPr>
              <w:t>2</w:t>
            </w:r>
          </w:p>
        </w:tc>
        <w:tc>
          <w:tcPr>
            <w:tcW w:w="4961" w:type="dxa"/>
            <w:vAlign w:val="center"/>
          </w:tcPr>
          <w:p w14:paraId="11A3D499" w14:textId="77777777" w:rsidR="007E0ABC" w:rsidRDefault="007E0ABC" w:rsidP="003C4FF0">
            <w:pPr>
              <w:rPr>
                <w:rFonts w:eastAsia="Arial" w:cs="Arial"/>
              </w:rPr>
            </w:pPr>
            <w:r>
              <w:rPr>
                <w:rFonts w:eastAsia="Arial" w:cs="Arial"/>
              </w:rPr>
              <w:t>Feeling down, depressed or hopeless</w:t>
            </w:r>
          </w:p>
        </w:tc>
        <w:tc>
          <w:tcPr>
            <w:tcW w:w="1027" w:type="dxa"/>
          </w:tcPr>
          <w:p w14:paraId="551FB17F" w14:textId="77777777" w:rsidR="007E0ABC" w:rsidRDefault="007E0ABC" w:rsidP="003C4FF0">
            <w:pPr>
              <w:jc w:val="center"/>
              <w:rPr>
                <w:rFonts w:eastAsia="Arial" w:cs="Arial"/>
              </w:rPr>
            </w:pPr>
          </w:p>
        </w:tc>
        <w:tc>
          <w:tcPr>
            <w:tcW w:w="1028" w:type="dxa"/>
            <w:vAlign w:val="center"/>
          </w:tcPr>
          <w:p w14:paraId="3BE92CA7" w14:textId="77777777" w:rsidR="007E0ABC" w:rsidRDefault="007E0ABC" w:rsidP="003C4FF0">
            <w:pPr>
              <w:jc w:val="center"/>
              <w:rPr>
                <w:rFonts w:eastAsia="Arial" w:cs="Arial"/>
              </w:rPr>
            </w:pPr>
          </w:p>
        </w:tc>
        <w:tc>
          <w:tcPr>
            <w:tcW w:w="1028" w:type="dxa"/>
            <w:vAlign w:val="center"/>
          </w:tcPr>
          <w:p w14:paraId="7B62E27F" w14:textId="77777777" w:rsidR="007E0ABC" w:rsidRDefault="007E0ABC" w:rsidP="003C4FF0">
            <w:pPr>
              <w:jc w:val="center"/>
              <w:rPr>
                <w:rFonts w:eastAsia="Arial" w:cs="Arial"/>
              </w:rPr>
            </w:pPr>
          </w:p>
        </w:tc>
        <w:tc>
          <w:tcPr>
            <w:tcW w:w="1028" w:type="dxa"/>
            <w:vAlign w:val="center"/>
          </w:tcPr>
          <w:p w14:paraId="1B982E8E" w14:textId="77777777" w:rsidR="007E0ABC" w:rsidRDefault="007E0ABC" w:rsidP="003C4FF0">
            <w:pPr>
              <w:jc w:val="center"/>
              <w:rPr>
                <w:rFonts w:eastAsia="Arial" w:cs="Arial"/>
              </w:rPr>
            </w:pPr>
          </w:p>
        </w:tc>
      </w:tr>
      <w:tr w:rsidR="007E0ABC" w14:paraId="38367008" w14:textId="77777777" w:rsidTr="003C4FF0">
        <w:trPr>
          <w:trHeight w:val="824"/>
        </w:trPr>
        <w:tc>
          <w:tcPr>
            <w:tcW w:w="568" w:type="dxa"/>
            <w:vAlign w:val="center"/>
          </w:tcPr>
          <w:p w14:paraId="5A65EA1A" w14:textId="77777777" w:rsidR="007E0ABC" w:rsidRDefault="007E0ABC" w:rsidP="003C4FF0">
            <w:pPr>
              <w:rPr>
                <w:rFonts w:eastAsia="Arial" w:cs="Arial"/>
              </w:rPr>
            </w:pPr>
            <w:r>
              <w:rPr>
                <w:rFonts w:eastAsia="Arial" w:cs="Arial"/>
              </w:rPr>
              <w:t>3</w:t>
            </w:r>
          </w:p>
        </w:tc>
        <w:tc>
          <w:tcPr>
            <w:tcW w:w="4961" w:type="dxa"/>
            <w:vAlign w:val="center"/>
          </w:tcPr>
          <w:p w14:paraId="12D2C422" w14:textId="77777777" w:rsidR="007E0ABC" w:rsidRDefault="007E0ABC" w:rsidP="003C4FF0">
            <w:pPr>
              <w:rPr>
                <w:rFonts w:eastAsia="Arial" w:cs="Arial"/>
              </w:rPr>
            </w:pPr>
            <w:r>
              <w:rPr>
                <w:rFonts w:eastAsia="Arial" w:cs="Arial"/>
              </w:rPr>
              <w:t>Trouble falling or staying asleep, or sleeping too much</w:t>
            </w:r>
          </w:p>
        </w:tc>
        <w:tc>
          <w:tcPr>
            <w:tcW w:w="1027" w:type="dxa"/>
          </w:tcPr>
          <w:p w14:paraId="3ABB1A47" w14:textId="77777777" w:rsidR="007E0ABC" w:rsidRDefault="007E0ABC" w:rsidP="003C4FF0">
            <w:pPr>
              <w:jc w:val="center"/>
              <w:rPr>
                <w:rFonts w:eastAsia="Arial" w:cs="Arial"/>
              </w:rPr>
            </w:pPr>
          </w:p>
        </w:tc>
        <w:tc>
          <w:tcPr>
            <w:tcW w:w="1028" w:type="dxa"/>
            <w:vAlign w:val="center"/>
          </w:tcPr>
          <w:p w14:paraId="36EBEC09" w14:textId="77777777" w:rsidR="007E0ABC" w:rsidRDefault="007E0ABC" w:rsidP="003C4FF0">
            <w:pPr>
              <w:jc w:val="center"/>
              <w:rPr>
                <w:rFonts w:eastAsia="Arial" w:cs="Arial"/>
              </w:rPr>
            </w:pPr>
          </w:p>
        </w:tc>
        <w:tc>
          <w:tcPr>
            <w:tcW w:w="1028" w:type="dxa"/>
            <w:vAlign w:val="center"/>
          </w:tcPr>
          <w:p w14:paraId="13CAF1BC" w14:textId="77777777" w:rsidR="007E0ABC" w:rsidRDefault="007E0ABC" w:rsidP="003C4FF0">
            <w:pPr>
              <w:jc w:val="center"/>
              <w:rPr>
                <w:rFonts w:eastAsia="Arial" w:cs="Arial"/>
              </w:rPr>
            </w:pPr>
          </w:p>
        </w:tc>
        <w:tc>
          <w:tcPr>
            <w:tcW w:w="1028" w:type="dxa"/>
            <w:vAlign w:val="center"/>
          </w:tcPr>
          <w:p w14:paraId="6BA87251" w14:textId="77777777" w:rsidR="007E0ABC" w:rsidRDefault="007E0ABC" w:rsidP="003C4FF0">
            <w:pPr>
              <w:jc w:val="center"/>
              <w:rPr>
                <w:rFonts w:eastAsia="Arial" w:cs="Arial"/>
              </w:rPr>
            </w:pPr>
          </w:p>
        </w:tc>
      </w:tr>
      <w:tr w:rsidR="007E0ABC" w14:paraId="146EA9FD" w14:textId="77777777" w:rsidTr="003C4FF0">
        <w:trPr>
          <w:trHeight w:val="824"/>
        </w:trPr>
        <w:tc>
          <w:tcPr>
            <w:tcW w:w="568" w:type="dxa"/>
            <w:vAlign w:val="center"/>
          </w:tcPr>
          <w:p w14:paraId="1B74BE3F" w14:textId="77777777" w:rsidR="007E0ABC" w:rsidRDefault="007E0ABC" w:rsidP="003C4FF0">
            <w:pPr>
              <w:rPr>
                <w:rFonts w:eastAsia="Arial" w:cs="Arial"/>
              </w:rPr>
            </w:pPr>
            <w:r>
              <w:rPr>
                <w:rFonts w:eastAsia="Arial" w:cs="Arial"/>
              </w:rPr>
              <w:t>4</w:t>
            </w:r>
          </w:p>
        </w:tc>
        <w:tc>
          <w:tcPr>
            <w:tcW w:w="4961" w:type="dxa"/>
            <w:vAlign w:val="center"/>
          </w:tcPr>
          <w:p w14:paraId="68B33A78" w14:textId="77777777" w:rsidR="007E0ABC" w:rsidRDefault="007E0ABC" w:rsidP="003C4FF0">
            <w:pPr>
              <w:rPr>
                <w:rFonts w:eastAsia="Arial" w:cs="Arial"/>
              </w:rPr>
            </w:pPr>
            <w:r>
              <w:rPr>
                <w:rFonts w:eastAsia="Arial" w:cs="Arial"/>
              </w:rPr>
              <w:t>Feeling tired or having little energy</w:t>
            </w:r>
          </w:p>
        </w:tc>
        <w:tc>
          <w:tcPr>
            <w:tcW w:w="1027" w:type="dxa"/>
          </w:tcPr>
          <w:p w14:paraId="3ED707A7" w14:textId="77777777" w:rsidR="007E0ABC" w:rsidRDefault="007E0ABC" w:rsidP="003C4FF0">
            <w:pPr>
              <w:jc w:val="center"/>
              <w:rPr>
                <w:rFonts w:eastAsia="Arial" w:cs="Arial"/>
              </w:rPr>
            </w:pPr>
          </w:p>
        </w:tc>
        <w:tc>
          <w:tcPr>
            <w:tcW w:w="1028" w:type="dxa"/>
            <w:vAlign w:val="center"/>
          </w:tcPr>
          <w:p w14:paraId="5A4D6762" w14:textId="77777777" w:rsidR="007E0ABC" w:rsidRDefault="007E0ABC" w:rsidP="003C4FF0">
            <w:pPr>
              <w:jc w:val="center"/>
              <w:rPr>
                <w:rFonts w:eastAsia="Arial" w:cs="Arial"/>
              </w:rPr>
            </w:pPr>
          </w:p>
        </w:tc>
        <w:tc>
          <w:tcPr>
            <w:tcW w:w="1028" w:type="dxa"/>
            <w:vAlign w:val="center"/>
          </w:tcPr>
          <w:p w14:paraId="66841302" w14:textId="77777777" w:rsidR="007E0ABC" w:rsidRDefault="007E0ABC" w:rsidP="003C4FF0">
            <w:pPr>
              <w:jc w:val="center"/>
              <w:rPr>
                <w:rFonts w:eastAsia="Arial" w:cs="Arial"/>
              </w:rPr>
            </w:pPr>
          </w:p>
        </w:tc>
        <w:tc>
          <w:tcPr>
            <w:tcW w:w="1028" w:type="dxa"/>
            <w:vAlign w:val="center"/>
          </w:tcPr>
          <w:p w14:paraId="73DA2FF4" w14:textId="77777777" w:rsidR="007E0ABC" w:rsidRDefault="007E0ABC" w:rsidP="003C4FF0">
            <w:pPr>
              <w:jc w:val="center"/>
              <w:rPr>
                <w:rFonts w:eastAsia="Arial" w:cs="Arial"/>
              </w:rPr>
            </w:pPr>
          </w:p>
        </w:tc>
      </w:tr>
      <w:tr w:rsidR="007E0ABC" w14:paraId="35AD69F9" w14:textId="77777777" w:rsidTr="003C4FF0">
        <w:trPr>
          <w:trHeight w:val="824"/>
        </w:trPr>
        <w:tc>
          <w:tcPr>
            <w:tcW w:w="568" w:type="dxa"/>
            <w:vAlign w:val="center"/>
          </w:tcPr>
          <w:p w14:paraId="747C1C9C" w14:textId="77777777" w:rsidR="007E0ABC" w:rsidRDefault="007E0ABC" w:rsidP="003C4FF0">
            <w:pPr>
              <w:rPr>
                <w:rFonts w:eastAsia="Arial" w:cs="Arial"/>
              </w:rPr>
            </w:pPr>
            <w:r>
              <w:rPr>
                <w:rFonts w:eastAsia="Arial" w:cs="Arial"/>
              </w:rPr>
              <w:t>5</w:t>
            </w:r>
          </w:p>
        </w:tc>
        <w:tc>
          <w:tcPr>
            <w:tcW w:w="4961" w:type="dxa"/>
            <w:vAlign w:val="center"/>
          </w:tcPr>
          <w:p w14:paraId="5862745F" w14:textId="77777777" w:rsidR="007E0ABC" w:rsidRDefault="007E0ABC" w:rsidP="003C4FF0">
            <w:pPr>
              <w:rPr>
                <w:rFonts w:eastAsia="Arial" w:cs="Arial"/>
              </w:rPr>
            </w:pPr>
            <w:r>
              <w:rPr>
                <w:rFonts w:eastAsia="Arial" w:cs="Arial"/>
              </w:rPr>
              <w:t>Poor appetite or overeating</w:t>
            </w:r>
          </w:p>
        </w:tc>
        <w:tc>
          <w:tcPr>
            <w:tcW w:w="1027" w:type="dxa"/>
          </w:tcPr>
          <w:p w14:paraId="54174956" w14:textId="77777777" w:rsidR="007E0ABC" w:rsidRDefault="007E0ABC" w:rsidP="003C4FF0">
            <w:pPr>
              <w:jc w:val="center"/>
              <w:rPr>
                <w:rFonts w:eastAsia="Arial" w:cs="Arial"/>
              </w:rPr>
            </w:pPr>
          </w:p>
        </w:tc>
        <w:tc>
          <w:tcPr>
            <w:tcW w:w="1028" w:type="dxa"/>
            <w:vAlign w:val="center"/>
          </w:tcPr>
          <w:p w14:paraId="1C654681" w14:textId="77777777" w:rsidR="007E0ABC" w:rsidRDefault="007E0ABC" w:rsidP="003C4FF0">
            <w:pPr>
              <w:jc w:val="center"/>
              <w:rPr>
                <w:rFonts w:eastAsia="Arial" w:cs="Arial"/>
              </w:rPr>
            </w:pPr>
          </w:p>
        </w:tc>
        <w:tc>
          <w:tcPr>
            <w:tcW w:w="1028" w:type="dxa"/>
            <w:vAlign w:val="center"/>
          </w:tcPr>
          <w:p w14:paraId="744E89AB" w14:textId="77777777" w:rsidR="007E0ABC" w:rsidRDefault="007E0ABC" w:rsidP="003C4FF0">
            <w:pPr>
              <w:jc w:val="center"/>
              <w:rPr>
                <w:rFonts w:eastAsia="Arial" w:cs="Arial"/>
              </w:rPr>
            </w:pPr>
          </w:p>
        </w:tc>
        <w:tc>
          <w:tcPr>
            <w:tcW w:w="1028" w:type="dxa"/>
            <w:vAlign w:val="center"/>
          </w:tcPr>
          <w:p w14:paraId="040457EA" w14:textId="77777777" w:rsidR="007E0ABC" w:rsidRDefault="007E0ABC" w:rsidP="003C4FF0">
            <w:pPr>
              <w:jc w:val="center"/>
              <w:rPr>
                <w:rFonts w:eastAsia="Arial" w:cs="Arial"/>
              </w:rPr>
            </w:pPr>
          </w:p>
        </w:tc>
      </w:tr>
      <w:tr w:rsidR="007E0ABC" w14:paraId="6832D7CF" w14:textId="77777777" w:rsidTr="003C4FF0">
        <w:trPr>
          <w:trHeight w:val="1104"/>
        </w:trPr>
        <w:tc>
          <w:tcPr>
            <w:tcW w:w="568" w:type="dxa"/>
            <w:vAlign w:val="center"/>
          </w:tcPr>
          <w:p w14:paraId="58C7579D" w14:textId="77777777" w:rsidR="007E0ABC" w:rsidRDefault="007E0ABC" w:rsidP="003C4FF0">
            <w:pPr>
              <w:rPr>
                <w:rFonts w:eastAsia="Arial" w:cs="Arial"/>
              </w:rPr>
            </w:pPr>
            <w:r>
              <w:rPr>
                <w:rFonts w:eastAsia="Arial" w:cs="Arial"/>
              </w:rPr>
              <w:t>6</w:t>
            </w:r>
          </w:p>
        </w:tc>
        <w:tc>
          <w:tcPr>
            <w:tcW w:w="4961" w:type="dxa"/>
            <w:vAlign w:val="center"/>
          </w:tcPr>
          <w:p w14:paraId="7278F9EC" w14:textId="77777777" w:rsidR="007E0ABC" w:rsidRDefault="007E0ABC" w:rsidP="003C4FF0">
            <w:pPr>
              <w:rPr>
                <w:rFonts w:eastAsia="Arial" w:cs="Arial"/>
              </w:rPr>
            </w:pPr>
            <w:r>
              <w:rPr>
                <w:rFonts w:eastAsia="Arial" w:cs="Arial"/>
              </w:rPr>
              <w:t>Feeling bad about yourself – or that you are a failure or have let yourself or your family down</w:t>
            </w:r>
          </w:p>
        </w:tc>
        <w:tc>
          <w:tcPr>
            <w:tcW w:w="1027" w:type="dxa"/>
          </w:tcPr>
          <w:p w14:paraId="2618D569" w14:textId="77777777" w:rsidR="007E0ABC" w:rsidRDefault="007E0ABC" w:rsidP="003C4FF0">
            <w:pPr>
              <w:jc w:val="center"/>
              <w:rPr>
                <w:rFonts w:eastAsia="Arial" w:cs="Arial"/>
              </w:rPr>
            </w:pPr>
          </w:p>
        </w:tc>
        <w:tc>
          <w:tcPr>
            <w:tcW w:w="1028" w:type="dxa"/>
            <w:vAlign w:val="center"/>
          </w:tcPr>
          <w:p w14:paraId="21BFEE98" w14:textId="77777777" w:rsidR="007E0ABC" w:rsidRDefault="007E0ABC" w:rsidP="003C4FF0">
            <w:pPr>
              <w:jc w:val="center"/>
              <w:rPr>
                <w:rFonts w:eastAsia="Arial" w:cs="Arial"/>
              </w:rPr>
            </w:pPr>
          </w:p>
        </w:tc>
        <w:tc>
          <w:tcPr>
            <w:tcW w:w="1028" w:type="dxa"/>
            <w:vAlign w:val="center"/>
          </w:tcPr>
          <w:p w14:paraId="5B3101B4" w14:textId="77777777" w:rsidR="007E0ABC" w:rsidRDefault="007E0ABC" w:rsidP="003C4FF0">
            <w:pPr>
              <w:jc w:val="center"/>
              <w:rPr>
                <w:rFonts w:eastAsia="Arial" w:cs="Arial"/>
              </w:rPr>
            </w:pPr>
          </w:p>
        </w:tc>
        <w:tc>
          <w:tcPr>
            <w:tcW w:w="1028" w:type="dxa"/>
            <w:vAlign w:val="center"/>
          </w:tcPr>
          <w:p w14:paraId="021B30FC" w14:textId="77777777" w:rsidR="007E0ABC" w:rsidRDefault="007E0ABC" w:rsidP="003C4FF0">
            <w:pPr>
              <w:jc w:val="center"/>
              <w:rPr>
                <w:rFonts w:eastAsia="Arial" w:cs="Arial"/>
              </w:rPr>
            </w:pPr>
          </w:p>
        </w:tc>
      </w:tr>
      <w:tr w:rsidR="007E0ABC" w14:paraId="5A3806CF" w14:textId="77777777" w:rsidTr="003C4FF0">
        <w:trPr>
          <w:trHeight w:val="1443"/>
        </w:trPr>
        <w:tc>
          <w:tcPr>
            <w:tcW w:w="568" w:type="dxa"/>
            <w:vAlign w:val="center"/>
          </w:tcPr>
          <w:p w14:paraId="018E1D1C" w14:textId="77777777" w:rsidR="007E0ABC" w:rsidRDefault="007E0ABC" w:rsidP="003C4FF0">
            <w:pPr>
              <w:rPr>
                <w:rFonts w:eastAsia="Arial" w:cs="Arial"/>
              </w:rPr>
            </w:pPr>
            <w:r>
              <w:rPr>
                <w:rFonts w:eastAsia="Arial" w:cs="Arial"/>
              </w:rPr>
              <w:t>7</w:t>
            </w:r>
          </w:p>
        </w:tc>
        <w:tc>
          <w:tcPr>
            <w:tcW w:w="4961" w:type="dxa"/>
            <w:vAlign w:val="center"/>
          </w:tcPr>
          <w:p w14:paraId="43FF7DC9" w14:textId="77777777" w:rsidR="007E0ABC" w:rsidRDefault="007E0ABC" w:rsidP="003C4FF0">
            <w:pPr>
              <w:rPr>
                <w:rFonts w:eastAsia="Arial" w:cs="Arial"/>
              </w:rPr>
            </w:pPr>
            <w:r>
              <w:rPr>
                <w:rFonts w:eastAsia="Arial" w:cs="Arial"/>
              </w:rPr>
              <w:t>Trouble concentrating on things, such as reading the newspaper or watching television</w:t>
            </w:r>
          </w:p>
        </w:tc>
        <w:tc>
          <w:tcPr>
            <w:tcW w:w="1027" w:type="dxa"/>
          </w:tcPr>
          <w:p w14:paraId="3B894DDB" w14:textId="77777777" w:rsidR="007E0ABC" w:rsidRDefault="007E0ABC" w:rsidP="003C4FF0">
            <w:pPr>
              <w:jc w:val="center"/>
              <w:rPr>
                <w:rFonts w:eastAsia="Arial" w:cs="Arial"/>
              </w:rPr>
            </w:pPr>
          </w:p>
        </w:tc>
        <w:tc>
          <w:tcPr>
            <w:tcW w:w="1028" w:type="dxa"/>
            <w:vAlign w:val="center"/>
          </w:tcPr>
          <w:p w14:paraId="1D7C9497" w14:textId="77777777" w:rsidR="007E0ABC" w:rsidRDefault="007E0ABC" w:rsidP="003C4FF0">
            <w:pPr>
              <w:jc w:val="center"/>
              <w:rPr>
                <w:rFonts w:eastAsia="Arial" w:cs="Arial"/>
              </w:rPr>
            </w:pPr>
          </w:p>
        </w:tc>
        <w:tc>
          <w:tcPr>
            <w:tcW w:w="1028" w:type="dxa"/>
            <w:vAlign w:val="center"/>
          </w:tcPr>
          <w:p w14:paraId="4F5D2A04" w14:textId="77777777" w:rsidR="007E0ABC" w:rsidRDefault="007E0ABC" w:rsidP="003C4FF0">
            <w:pPr>
              <w:jc w:val="center"/>
              <w:rPr>
                <w:rFonts w:eastAsia="Arial" w:cs="Arial"/>
              </w:rPr>
            </w:pPr>
          </w:p>
        </w:tc>
        <w:tc>
          <w:tcPr>
            <w:tcW w:w="1028" w:type="dxa"/>
            <w:vAlign w:val="center"/>
          </w:tcPr>
          <w:p w14:paraId="4421A808" w14:textId="77777777" w:rsidR="007E0ABC" w:rsidRDefault="007E0ABC" w:rsidP="003C4FF0">
            <w:pPr>
              <w:jc w:val="center"/>
              <w:rPr>
                <w:rFonts w:eastAsia="Arial" w:cs="Arial"/>
              </w:rPr>
            </w:pPr>
          </w:p>
        </w:tc>
      </w:tr>
      <w:tr w:rsidR="007E0ABC" w14:paraId="7C0D2E60" w14:textId="77777777" w:rsidTr="003C4FF0">
        <w:trPr>
          <w:trHeight w:val="1690"/>
        </w:trPr>
        <w:tc>
          <w:tcPr>
            <w:tcW w:w="568" w:type="dxa"/>
            <w:vAlign w:val="center"/>
          </w:tcPr>
          <w:p w14:paraId="326A0D1D" w14:textId="77777777" w:rsidR="007E0ABC" w:rsidRDefault="007E0ABC" w:rsidP="003C4FF0">
            <w:pPr>
              <w:rPr>
                <w:rFonts w:eastAsia="Arial" w:cs="Arial"/>
              </w:rPr>
            </w:pPr>
            <w:r>
              <w:rPr>
                <w:rFonts w:eastAsia="Arial" w:cs="Arial"/>
              </w:rPr>
              <w:t>8</w:t>
            </w:r>
          </w:p>
        </w:tc>
        <w:tc>
          <w:tcPr>
            <w:tcW w:w="4961" w:type="dxa"/>
            <w:vAlign w:val="center"/>
          </w:tcPr>
          <w:p w14:paraId="2985EA2D" w14:textId="77777777" w:rsidR="007E0ABC" w:rsidRDefault="007E0ABC" w:rsidP="003C4FF0">
            <w:pPr>
              <w:rPr>
                <w:rFonts w:eastAsia="Arial" w:cs="Arial"/>
              </w:rPr>
            </w:pPr>
            <w:r>
              <w:rPr>
                <w:rFonts w:eastAsia="Arial" w:cs="Arial"/>
              </w:rPr>
              <w:t>Moving or speaking so slowly that other people could have noticed? Or the opposite – being so fidgety or restless that you have been moving around a lot more than usual</w:t>
            </w:r>
          </w:p>
        </w:tc>
        <w:tc>
          <w:tcPr>
            <w:tcW w:w="1027" w:type="dxa"/>
          </w:tcPr>
          <w:p w14:paraId="1175959F" w14:textId="77777777" w:rsidR="007E0ABC" w:rsidRDefault="007E0ABC" w:rsidP="003C4FF0">
            <w:pPr>
              <w:jc w:val="center"/>
              <w:rPr>
                <w:rFonts w:eastAsia="Arial" w:cs="Arial"/>
              </w:rPr>
            </w:pPr>
          </w:p>
        </w:tc>
        <w:tc>
          <w:tcPr>
            <w:tcW w:w="1028" w:type="dxa"/>
            <w:vAlign w:val="center"/>
          </w:tcPr>
          <w:p w14:paraId="66F99CFF" w14:textId="77777777" w:rsidR="007E0ABC" w:rsidRDefault="007E0ABC" w:rsidP="003C4FF0">
            <w:pPr>
              <w:jc w:val="center"/>
              <w:rPr>
                <w:rFonts w:eastAsia="Arial" w:cs="Arial"/>
              </w:rPr>
            </w:pPr>
          </w:p>
        </w:tc>
        <w:tc>
          <w:tcPr>
            <w:tcW w:w="1028" w:type="dxa"/>
            <w:vAlign w:val="center"/>
          </w:tcPr>
          <w:p w14:paraId="1108D13C" w14:textId="77777777" w:rsidR="007E0ABC" w:rsidRDefault="007E0ABC" w:rsidP="003C4FF0">
            <w:pPr>
              <w:jc w:val="center"/>
              <w:rPr>
                <w:rFonts w:eastAsia="Arial" w:cs="Arial"/>
              </w:rPr>
            </w:pPr>
          </w:p>
        </w:tc>
        <w:tc>
          <w:tcPr>
            <w:tcW w:w="1028" w:type="dxa"/>
            <w:vAlign w:val="center"/>
          </w:tcPr>
          <w:p w14:paraId="1A4FA22C" w14:textId="77777777" w:rsidR="007E0ABC" w:rsidRDefault="007E0ABC" w:rsidP="003C4FF0">
            <w:pPr>
              <w:jc w:val="center"/>
              <w:rPr>
                <w:rFonts w:eastAsia="Arial" w:cs="Arial"/>
              </w:rPr>
            </w:pPr>
          </w:p>
        </w:tc>
      </w:tr>
      <w:tr w:rsidR="007E0ABC" w14:paraId="5189B8E2" w14:textId="77777777" w:rsidTr="003C4FF0">
        <w:trPr>
          <w:trHeight w:val="1104"/>
        </w:trPr>
        <w:tc>
          <w:tcPr>
            <w:tcW w:w="568" w:type="dxa"/>
            <w:vAlign w:val="center"/>
          </w:tcPr>
          <w:p w14:paraId="20B90227" w14:textId="77777777" w:rsidR="007E0ABC" w:rsidRDefault="007E0ABC" w:rsidP="003C4FF0">
            <w:pPr>
              <w:rPr>
                <w:rFonts w:eastAsia="Arial" w:cs="Arial"/>
              </w:rPr>
            </w:pPr>
            <w:r>
              <w:rPr>
                <w:rFonts w:eastAsia="Arial" w:cs="Arial"/>
              </w:rPr>
              <w:lastRenderedPageBreak/>
              <w:t>9</w:t>
            </w:r>
          </w:p>
        </w:tc>
        <w:tc>
          <w:tcPr>
            <w:tcW w:w="4961" w:type="dxa"/>
            <w:vAlign w:val="center"/>
          </w:tcPr>
          <w:p w14:paraId="74944D95" w14:textId="77777777" w:rsidR="007E0ABC" w:rsidRDefault="007E0ABC" w:rsidP="003C4FF0">
            <w:pPr>
              <w:rPr>
                <w:rFonts w:eastAsia="Arial" w:cs="Arial"/>
              </w:rPr>
            </w:pPr>
            <w:r>
              <w:rPr>
                <w:rFonts w:eastAsia="Arial" w:cs="Arial"/>
              </w:rPr>
              <w:t>Thoughts that you would be better off dead or hurting yourself in some way</w:t>
            </w:r>
          </w:p>
        </w:tc>
        <w:tc>
          <w:tcPr>
            <w:tcW w:w="1027" w:type="dxa"/>
          </w:tcPr>
          <w:p w14:paraId="78714EE7" w14:textId="77777777" w:rsidR="007E0ABC" w:rsidRDefault="007E0ABC" w:rsidP="003C4FF0">
            <w:pPr>
              <w:jc w:val="center"/>
              <w:rPr>
                <w:rFonts w:eastAsia="Arial" w:cs="Arial"/>
              </w:rPr>
            </w:pPr>
          </w:p>
        </w:tc>
        <w:tc>
          <w:tcPr>
            <w:tcW w:w="1028" w:type="dxa"/>
            <w:vAlign w:val="center"/>
          </w:tcPr>
          <w:p w14:paraId="2DECE4D6" w14:textId="77777777" w:rsidR="007E0ABC" w:rsidRDefault="007E0ABC" w:rsidP="003C4FF0">
            <w:pPr>
              <w:jc w:val="center"/>
              <w:rPr>
                <w:rFonts w:eastAsia="Arial" w:cs="Arial"/>
              </w:rPr>
            </w:pPr>
          </w:p>
        </w:tc>
        <w:tc>
          <w:tcPr>
            <w:tcW w:w="1028" w:type="dxa"/>
            <w:vAlign w:val="center"/>
          </w:tcPr>
          <w:p w14:paraId="7413B563" w14:textId="77777777" w:rsidR="007E0ABC" w:rsidRDefault="007E0ABC" w:rsidP="003C4FF0">
            <w:pPr>
              <w:jc w:val="center"/>
              <w:rPr>
                <w:rFonts w:eastAsia="Arial" w:cs="Arial"/>
              </w:rPr>
            </w:pPr>
          </w:p>
        </w:tc>
        <w:tc>
          <w:tcPr>
            <w:tcW w:w="1028" w:type="dxa"/>
            <w:vAlign w:val="center"/>
          </w:tcPr>
          <w:p w14:paraId="33229A64" w14:textId="77777777" w:rsidR="007E0ABC" w:rsidRDefault="007E0ABC" w:rsidP="003C4FF0">
            <w:pPr>
              <w:jc w:val="center"/>
              <w:rPr>
                <w:rFonts w:eastAsia="Arial" w:cs="Arial"/>
              </w:rPr>
            </w:pPr>
          </w:p>
        </w:tc>
      </w:tr>
    </w:tbl>
    <w:p w14:paraId="2B8685AD" w14:textId="77777777" w:rsidR="007E0ABC" w:rsidRDefault="007E0ABC" w:rsidP="00B2525D">
      <w:pPr>
        <w:rPr>
          <w:rFonts w:eastAsia="Arial" w:cs="Arial"/>
          <w:b/>
          <w:sz w:val="40"/>
          <w:szCs w:val="40"/>
        </w:rPr>
      </w:pPr>
      <w:r>
        <w:br w:type="page"/>
      </w:r>
    </w:p>
    <w:p w14:paraId="62C313F0" w14:textId="77777777" w:rsidR="007E0ABC" w:rsidRPr="005F3B35" w:rsidRDefault="007E0ABC" w:rsidP="005F3B35">
      <w:pPr>
        <w:pStyle w:val="Subtitle"/>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 </w:t>
      </w:r>
      <w:r>
        <w:rPr>
          <w:rFonts w:ascii="Avenir Book" w:hAnsi="Avenir Book"/>
          <w:iCs/>
          <w:sz w:val="28"/>
          <w:szCs w:val="28"/>
        </w:rPr>
        <w:t>(4) PHQ-15</w:t>
      </w:r>
      <w:r w:rsidRPr="00C260F1">
        <w:rPr>
          <w:rFonts w:ascii="Avenir Book" w:hAnsi="Avenir Book"/>
          <w:iCs/>
          <w:sz w:val="28"/>
          <w:szCs w:val="28"/>
        </w:rPr>
        <w:t xml:space="preserve"> Questionnaire</w:t>
      </w:r>
    </w:p>
    <w:p w14:paraId="70E0D313" w14:textId="77777777" w:rsidR="007E0ABC" w:rsidRDefault="007E0ABC" w:rsidP="00B2525D">
      <w:pPr>
        <w:pBdr>
          <w:bottom w:val="single" w:sz="12" w:space="1" w:color="000000"/>
        </w:pBdr>
        <w:jc w:val="center"/>
        <w:rPr>
          <w:rFonts w:eastAsia="Arial" w:cs="Arial"/>
          <w:b/>
          <w:sz w:val="40"/>
          <w:szCs w:val="40"/>
        </w:rPr>
      </w:pPr>
      <w:r>
        <w:rPr>
          <w:rFonts w:eastAsia="Arial" w:cs="Arial"/>
          <w:b/>
          <w:sz w:val="40"/>
          <w:szCs w:val="40"/>
        </w:rPr>
        <w:t>Patient Questionnaire – 15 (PHQ-15)</w:t>
      </w:r>
    </w:p>
    <w:p w14:paraId="7C0E6786" w14:textId="77777777" w:rsidR="007E0ABC" w:rsidRDefault="007E0ABC" w:rsidP="00B2525D">
      <w:pPr>
        <w:jc w:val="center"/>
        <w:rPr>
          <w:rFonts w:eastAsia="Arial" w:cs="Arial"/>
        </w:rPr>
      </w:pPr>
    </w:p>
    <w:p w14:paraId="4FA687F9" w14:textId="77777777" w:rsidR="007E0ABC" w:rsidRDefault="007E0ABC" w:rsidP="00B2525D">
      <w:pPr>
        <w:jc w:val="center"/>
        <w:rPr>
          <w:rFonts w:eastAsia="Arial" w:cs="Arial"/>
        </w:rPr>
      </w:pPr>
      <w:r>
        <w:rPr>
          <w:rFonts w:eastAsia="Arial" w:cs="Arial"/>
        </w:rPr>
        <w:t>During the past 4 weeks, how much have you been bothered by any of the following problems? Please tick as appropriate.</w:t>
      </w:r>
    </w:p>
    <w:p w14:paraId="42BB44E2" w14:textId="77777777" w:rsidR="007E0ABC" w:rsidRDefault="007E0ABC" w:rsidP="00B2525D">
      <w:pPr>
        <w:rPr>
          <w:rFonts w:eastAsia="Arial" w:cs="Arial"/>
        </w:rPr>
      </w:pPr>
    </w:p>
    <w:tbl>
      <w:tblPr>
        <w:tblW w:w="9639" w:type="dxa"/>
        <w:tblInd w:w="-289" w:type="dxa"/>
        <w:tblBorders>
          <w:top w:val="single" w:sz="4" w:space="0" w:color="C9C9C9"/>
          <w:left w:val="single" w:sz="4" w:space="0" w:color="000000"/>
          <w:bottom w:val="single" w:sz="4" w:space="0" w:color="C9C9C9"/>
          <w:right w:val="single" w:sz="4" w:space="0" w:color="000000"/>
          <w:insideH w:val="single" w:sz="4" w:space="0" w:color="C9C9C9"/>
          <w:insideV w:val="single" w:sz="4" w:space="0" w:color="C9C9C9"/>
        </w:tblBorders>
        <w:tblLayout w:type="fixed"/>
        <w:tblLook w:val="04A0" w:firstRow="1" w:lastRow="0" w:firstColumn="1" w:lastColumn="0" w:noHBand="0" w:noVBand="1"/>
      </w:tblPr>
      <w:tblGrid>
        <w:gridCol w:w="568"/>
        <w:gridCol w:w="5385"/>
        <w:gridCol w:w="1228"/>
        <w:gridCol w:w="1229"/>
        <w:gridCol w:w="1229"/>
      </w:tblGrid>
      <w:tr w:rsidR="007E0ABC" w14:paraId="0CC11CCC" w14:textId="77777777" w:rsidTr="003C4FF0">
        <w:trPr>
          <w:trHeight w:val="1238"/>
        </w:trPr>
        <w:tc>
          <w:tcPr>
            <w:tcW w:w="568" w:type="dxa"/>
          </w:tcPr>
          <w:p w14:paraId="254E5B62" w14:textId="77777777" w:rsidR="007E0ABC" w:rsidRDefault="007E0ABC" w:rsidP="003C4FF0">
            <w:pPr>
              <w:jc w:val="center"/>
              <w:rPr>
                <w:rFonts w:eastAsia="Arial" w:cs="Arial"/>
              </w:rPr>
            </w:pPr>
          </w:p>
        </w:tc>
        <w:tc>
          <w:tcPr>
            <w:tcW w:w="5386" w:type="dxa"/>
            <w:vAlign w:val="center"/>
          </w:tcPr>
          <w:p w14:paraId="4A148ACE" w14:textId="77777777" w:rsidR="007E0ABC" w:rsidRDefault="007E0ABC" w:rsidP="003C4FF0">
            <w:pPr>
              <w:rPr>
                <w:rFonts w:eastAsia="Arial" w:cs="Arial"/>
              </w:rPr>
            </w:pPr>
          </w:p>
        </w:tc>
        <w:tc>
          <w:tcPr>
            <w:tcW w:w="1228" w:type="dxa"/>
            <w:vAlign w:val="center"/>
          </w:tcPr>
          <w:p w14:paraId="111DD043" w14:textId="77777777" w:rsidR="007E0ABC" w:rsidRDefault="007E0ABC" w:rsidP="003C4FF0">
            <w:pPr>
              <w:jc w:val="center"/>
              <w:rPr>
                <w:rFonts w:eastAsia="Arial" w:cs="Arial"/>
              </w:rPr>
            </w:pPr>
            <w:r>
              <w:rPr>
                <w:rFonts w:eastAsia="Arial" w:cs="Arial"/>
              </w:rPr>
              <w:t>Not bothered at all</w:t>
            </w:r>
          </w:p>
        </w:tc>
        <w:tc>
          <w:tcPr>
            <w:tcW w:w="1229" w:type="dxa"/>
            <w:vAlign w:val="center"/>
          </w:tcPr>
          <w:p w14:paraId="3FCB627F" w14:textId="77777777" w:rsidR="007E0ABC" w:rsidRDefault="007E0ABC" w:rsidP="003C4FF0">
            <w:pPr>
              <w:jc w:val="center"/>
              <w:rPr>
                <w:rFonts w:eastAsia="Arial" w:cs="Arial"/>
              </w:rPr>
            </w:pPr>
            <w:r>
              <w:rPr>
                <w:rFonts w:eastAsia="Arial" w:cs="Arial"/>
              </w:rPr>
              <w:t>Bothered a little</w:t>
            </w:r>
          </w:p>
        </w:tc>
        <w:tc>
          <w:tcPr>
            <w:tcW w:w="1229" w:type="dxa"/>
            <w:vAlign w:val="center"/>
          </w:tcPr>
          <w:p w14:paraId="788E78E7" w14:textId="77777777" w:rsidR="007E0ABC" w:rsidRDefault="007E0ABC" w:rsidP="003C4FF0">
            <w:pPr>
              <w:jc w:val="center"/>
              <w:rPr>
                <w:rFonts w:eastAsia="Arial" w:cs="Arial"/>
              </w:rPr>
            </w:pPr>
            <w:r>
              <w:rPr>
                <w:rFonts w:eastAsia="Arial" w:cs="Arial"/>
              </w:rPr>
              <w:t>Bothered a lot</w:t>
            </w:r>
          </w:p>
        </w:tc>
      </w:tr>
      <w:tr w:rsidR="007E0ABC" w14:paraId="7FC60FF8" w14:textId="77777777" w:rsidTr="003C4FF0">
        <w:trPr>
          <w:trHeight w:val="567"/>
        </w:trPr>
        <w:tc>
          <w:tcPr>
            <w:tcW w:w="568" w:type="dxa"/>
            <w:vAlign w:val="center"/>
          </w:tcPr>
          <w:p w14:paraId="677A80B8" w14:textId="77777777" w:rsidR="007E0ABC" w:rsidRDefault="007E0ABC" w:rsidP="003C4FF0">
            <w:pPr>
              <w:rPr>
                <w:rFonts w:eastAsia="Arial" w:cs="Arial"/>
              </w:rPr>
            </w:pPr>
            <w:r>
              <w:rPr>
                <w:rFonts w:eastAsia="Arial" w:cs="Arial"/>
              </w:rPr>
              <w:t>1</w:t>
            </w:r>
          </w:p>
        </w:tc>
        <w:tc>
          <w:tcPr>
            <w:tcW w:w="5386" w:type="dxa"/>
            <w:vAlign w:val="center"/>
          </w:tcPr>
          <w:p w14:paraId="61A8FF0A" w14:textId="77777777" w:rsidR="007E0ABC" w:rsidRDefault="007E0ABC" w:rsidP="003C4FF0">
            <w:pPr>
              <w:rPr>
                <w:rFonts w:eastAsia="Arial" w:cs="Arial"/>
              </w:rPr>
            </w:pPr>
            <w:r>
              <w:rPr>
                <w:rFonts w:eastAsia="Arial" w:cs="Arial"/>
              </w:rPr>
              <w:t>Stomach pain</w:t>
            </w:r>
          </w:p>
        </w:tc>
        <w:tc>
          <w:tcPr>
            <w:tcW w:w="1228" w:type="dxa"/>
            <w:vAlign w:val="center"/>
          </w:tcPr>
          <w:p w14:paraId="2B4D0790" w14:textId="77777777" w:rsidR="007E0ABC" w:rsidRDefault="007E0ABC" w:rsidP="003C4FF0">
            <w:pPr>
              <w:jc w:val="center"/>
              <w:rPr>
                <w:rFonts w:eastAsia="Arial" w:cs="Arial"/>
              </w:rPr>
            </w:pPr>
          </w:p>
        </w:tc>
        <w:tc>
          <w:tcPr>
            <w:tcW w:w="1229" w:type="dxa"/>
            <w:vAlign w:val="center"/>
          </w:tcPr>
          <w:p w14:paraId="4527EC7D" w14:textId="77777777" w:rsidR="007E0ABC" w:rsidRDefault="007E0ABC" w:rsidP="003C4FF0">
            <w:pPr>
              <w:jc w:val="center"/>
              <w:rPr>
                <w:rFonts w:eastAsia="Arial" w:cs="Arial"/>
              </w:rPr>
            </w:pPr>
          </w:p>
        </w:tc>
        <w:tc>
          <w:tcPr>
            <w:tcW w:w="1229" w:type="dxa"/>
            <w:vAlign w:val="center"/>
          </w:tcPr>
          <w:p w14:paraId="27A854B3" w14:textId="77777777" w:rsidR="007E0ABC" w:rsidRDefault="007E0ABC" w:rsidP="003C4FF0">
            <w:pPr>
              <w:jc w:val="center"/>
              <w:rPr>
                <w:rFonts w:eastAsia="Arial" w:cs="Arial"/>
              </w:rPr>
            </w:pPr>
          </w:p>
        </w:tc>
      </w:tr>
      <w:tr w:rsidR="007E0ABC" w14:paraId="728FD1B0" w14:textId="77777777" w:rsidTr="003C4FF0">
        <w:trPr>
          <w:trHeight w:val="567"/>
        </w:trPr>
        <w:tc>
          <w:tcPr>
            <w:tcW w:w="568" w:type="dxa"/>
            <w:vAlign w:val="center"/>
          </w:tcPr>
          <w:p w14:paraId="6C5F9F18" w14:textId="77777777" w:rsidR="007E0ABC" w:rsidRDefault="007E0ABC" w:rsidP="003C4FF0">
            <w:pPr>
              <w:rPr>
                <w:rFonts w:eastAsia="Arial" w:cs="Arial"/>
              </w:rPr>
            </w:pPr>
            <w:r>
              <w:rPr>
                <w:rFonts w:eastAsia="Arial" w:cs="Arial"/>
              </w:rPr>
              <w:t>2</w:t>
            </w:r>
          </w:p>
        </w:tc>
        <w:tc>
          <w:tcPr>
            <w:tcW w:w="5386" w:type="dxa"/>
            <w:vAlign w:val="center"/>
          </w:tcPr>
          <w:p w14:paraId="2B673B41" w14:textId="77777777" w:rsidR="007E0ABC" w:rsidRDefault="007E0ABC" w:rsidP="003C4FF0">
            <w:pPr>
              <w:rPr>
                <w:rFonts w:eastAsia="Arial" w:cs="Arial"/>
              </w:rPr>
            </w:pPr>
            <w:r>
              <w:rPr>
                <w:rFonts w:eastAsia="Arial" w:cs="Arial"/>
              </w:rPr>
              <w:t>Back pain</w:t>
            </w:r>
          </w:p>
        </w:tc>
        <w:tc>
          <w:tcPr>
            <w:tcW w:w="1228" w:type="dxa"/>
            <w:vAlign w:val="center"/>
          </w:tcPr>
          <w:p w14:paraId="3258F6DE" w14:textId="77777777" w:rsidR="007E0ABC" w:rsidRDefault="007E0ABC" w:rsidP="003C4FF0">
            <w:pPr>
              <w:jc w:val="center"/>
              <w:rPr>
                <w:rFonts w:eastAsia="Arial" w:cs="Arial"/>
              </w:rPr>
            </w:pPr>
          </w:p>
        </w:tc>
        <w:tc>
          <w:tcPr>
            <w:tcW w:w="1229" w:type="dxa"/>
            <w:vAlign w:val="center"/>
          </w:tcPr>
          <w:p w14:paraId="1A037CB7" w14:textId="77777777" w:rsidR="007E0ABC" w:rsidRDefault="007E0ABC" w:rsidP="003C4FF0">
            <w:pPr>
              <w:jc w:val="center"/>
              <w:rPr>
                <w:rFonts w:eastAsia="Arial" w:cs="Arial"/>
              </w:rPr>
            </w:pPr>
          </w:p>
        </w:tc>
        <w:tc>
          <w:tcPr>
            <w:tcW w:w="1229" w:type="dxa"/>
            <w:vAlign w:val="center"/>
          </w:tcPr>
          <w:p w14:paraId="12D438B2" w14:textId="77777777" w:rsidR="007E0ABC" w:rsidRDefault="007E0ABC" w:rsidP="003C4FF0">
            <w:pPr>
              <w:jc w:val="center"/>
              <w:rPr>
                <w:rFonts w:eastAsia="Arial" w:cs="Arial"/>
              </w:rPr>
            </w:pPr>
          </w:p>
        </w:tc>
      </w:tr>
      <w:tr w:rsidR="007E0ABC" w14:paraId="75720FCC" w14:textId="77777777" w:rsidTr="003C4FF0">
        <w:trPr>
          <w:trHeight w:val="567"/>
        </w:trPr>
        <w:tc>
          <w:tcPr>
            <w:tcW w:w="568" w:type="dxa"/>
            <w:vAlign w:val="center"/>
          </w:tcPr>
          <w:p w14:paraId="126C42A7" w14:textId="77777777" w:rsidR="007E0ABC" w:rsidRDefault="007E0ABC" w:rsidP="003C4FF0">
            <w:pPr>
              <w:rPr>
                <w:rFonts w:eastAsia="Arial" w:cs="Arial"/>
              </w:rPr>
            </w:pPr>
            <w:r>
              <w:rPr>
                <w:rFonts w:eastAsia="Arial" w:cs="Arial"/>
              </w:rPr>
              <w:t>3</w:t>
            </w:r>
          </w:p>
        </w:tc>
        <w:tc>
          <w:tcPr>
            <w:tcW w:w="5386" w:type="dxa"/>
            <w:vAlign w:val="center"/>
          </w:tcPr>
          <w:p w14:paraId="5E45C1EE" w14:textId="77777777" w:rsidR="007E0ABC" w:rsidRDefault="007E0ABC" w:rsidP="003C4FF0">
            <w:pPr>
              <w:rPr>
                <w:rFonts w:eastAsia="Arial" w:cs="Arial"/>
              </w:rPr>
            </w:pPr>
            <w:r>
              <w:rPr>
                <w:rFonts w:eastAsia="Arial" w:cs="Arial"/>
              </w:rPr>
              <w:t>Pain in your arms, legs or joints (knees, hips etc)</w:t>
            </w:r>
          </w:p>
        </w:tc>
        <w:tc>
          <w:tcPr>
            <w:tcW w:w="1228" w:type="dxa"/>
            <w:vAlign w:val="center"/>
          </w:tcPr>
          <w:p w14:paraId="352DA951" w14:textId="77777777" w:rsidR="007E0ABC" w:rsidRDefault="007E0ABC" w:rsidP="003C4FF0">
            <w:pPr>
              <w:jc w:val="center"/>
              <w:rPr>
                <w:rFonts w:eastAsia="Arial" w:cs="Arial"/>
              </w:rPr>
            </w:pPr>
          </w:p>
        </w:tc>
        <w:tc>
          <w:tcPr>
            <w:tcW w:w="1229" w:type="dxa"/>
            <w:vAlign w:val="center"/>
          </w:tcPr>
          <w:p w14:paraId="33C56ACF" w14:textId="77777777" w:rsidR="007E0ABC" w:rsidRDefault="007E0ABC" w:rsidP="003C4FF0">
            <w:pPr>
              <w:jc w:val="center"/>
              <w:rPr>
                <w:rFonts w:eastAsia="Arial" w:cs="Arial"/>
              </w:rPr>
            </w:pPr>
          </w:p>
        </w:tc>
        <w:tc>
          <w:tcPr>
            <w:tcW w:w="1229" w:type="dxa"/>
            <w:vAlign w:val="center"/>
          </w:tcPr>
          <w:p w14:paraId="379F4DA2" w14:textId="77777777" w:rsidR="007E0ABC" w:rsidRDefault="007E0ABC" w:rsidP="003C4FF0">
            <w:pPr>
              <w:jc w:val="center"/>
              <w:rPr>
                <w:rFonts w:eastAsia="Arial" w:cs="Arial"/>
              </w:rPr>
            </w:pPr>
          </w:p>
        </w:tc>
      </w:tr>
      <w:tr w:rsidR="007E0ABC" w14:paraId="545AF4E2" w14:textId="77777777" w:rsidTr="003C4FF0">
        <w:trPr>
          <w:trHeight w:val="567"/>
        </w:trPr>
        <w:tc>
          <w:tcPr>
            <w:tcW w:w="568" w:type="dxa"/>
            <w:vAlign w:val="center"/>
          </w:tcPr>
          <w:p w14:paraId="33D4FE0B" w14:textId="77777777" w:rsidR="007E0ABC" w:rsidRDefault="007E0ABC" w:rsidP="003C4FF0">
            <w:pPr>
              <w:rPr>
                <w:rFonts w:eastAsia="Arial" w:cs="Arial"/>
              </w:rPr>
            </w:pPr>
            <w:r>
              <w:rPr>
                <w:rFonts w:eastAsia="Arial" w:cs="Arial"/>
              </w:rPr>
              <w:t>4</w:t>
            </w:r>
          </w:p>
        </w:tc>
        <w:tc>
          <w:tcPr>
            <w:tcW w:w="5386" w:type="dxa"/>
            <w:vAlign w:val="center"/>
          </w:tcPr>
          <w:p w14:paraId="0D22CC6F" w14:textId="77777777" w:rsidR="007E0ABC" w:rsidRDefault="007E0ABC" w:rsidP="003C4FF0">
            <w:pPr>
              <w:rPr>
                <w:rFonts w:eastAsia="Arial" w:cs="Arial"/>
              </w:rPr>
            </w:pPr>
            <w:r>
              <w:rPr>
                <w:rFonts w:eastAsia="Arial" w:cs="Arial"/>
              </w:rPr>
              <w:t>Menstrual cramps (women only)</w:t>
            </w:r>
          </w:p>
        </w:tc>
        <w:tc>
          <w:tcPr>
            <w:tcW w:w="1228" w:type="dxa"/>
            <w:vAlign w:val="center"/>
          </w:tcPr>
          <w:p w14:paraId="0B096909" w14:textId="77777777" w:rsidR="007E0ABC" w:rsidRDefault="007E0ABC" w:rsidP="003C4FF0">
            <w:pPr>
              <w:jc w:val="center"/>
              <w:rPr>
                <w:rFonts w:eastAsia="Arial" w:cs="Arial"/>
              </w:rPr>
            </w:pPr>
          </w:p>
        </w:tc>
        <w:tc>
          <w:tcPr>
            <w:tcW w:w="1229" w:type="dxa"/>
            <w:vAlign w:val="center"/>
          </w:tcPr>
          <w:p w14:paraId="030F4648" w14:textId="77777777" w:rsidR="007E0ABC" w:rsidRDefault="007E0ABC" w:rsidP="003C4FF0">
            <w:pPr>
              <w:jc w:val="center"/>
              <w:rPr>
                <w:rFonts w:eastAsia="Arial" w:cs="Arial"/>
              </w:rPr>
            </w:pPr>
          </w:p>
        </w:tc>
        <w:tc>
          <w:tcPr>
            <w:tcW w:w="1229" w:type="dxa"/>
            <w:vAlign w:val="center"/>
          </w:tcPr>
          <w:p w14:paraId="7C07DA9F" w14:textId="77777777" w:rsidR="007E0ABC" w:rsidRDefault="007E0ABC" w:rsidP="003C4FF0">
            <w:pPr>
              <w:jc w:val="center"/>
              <w:rPr>
                <w:rFonts w:eastAsia="Arial" w:cs="Arial"/>
              </w:rPr>
            </w:pPr>
          </w:p>
        </w:tc>
      </w:tr>
      <w:tr w:rsidR="007E0ABC" w14:paraId="7F09666D" w14:textId="77777777" w:rsidTr="003C4FF0">
        <w:trPr>
          <w:trHeight w:val="567"/>
        </w:trPr>
        <w:tc>
          <w:tcPr>
            <w:tcW w:w="568" w:type="dxa"/>
            <w:vAlign w:val="center"/>
          </w:tcPr>
          <w:p w14:paraId="40715AE4" w14:textId="77777777" w:rsidR="007E0ABC" w:rsidRDefault="007E0ABC" w:rsidP="003C4FF0">
            <w:pPr>
              <w:rPr>
                <w:rFonts w:eastAsia="Arial" w:cs="Arial"/>
              </w:rPr>
            </w:pPr>
            <w:r>
              <w:rPr>
                <w:rFonts w:eastAsia="Arial" w:cs="Arial"/>
              </w:rPr>
              <w:t>5</w:t>
            </w:r>
          </w:p>
        </w:tc>
        <w:tc>
          <w:tcPr>
            <w:tcW w:w="5386" w:type="dxa"/>
            <w:vAlign w:val="center"/>
          </w:tcPr>
          <w:p w14:paraId="57B8C008" w14:textId="77777777" w:rsidR="007E0ABC" w:rsidRDefault="007E0ABC" w:rsidP="003C4FF0">
            <w:pPr>
              <w:rPr>
                <w:rFonts w:eastAsia="Arial" w:cs="Arial"/>
              </w:rPr>
            </w:pPr>
            <w:r>
              <w:rPr>
                <w:rFonts w:eastAsia="Arial" w:cs="Arial"/>
              </w:rPr>
              <w:t>Headaches</w:t>
            </w:r>
          </w:p>
        </w:tc>
        <w:tc>
          <w:tcPr>
            <w:tcW w:w="1228" w:type="dxa"/>
            <w:vAlign w:val="center"/>
          </w:tcPr>
          <w:p w14:paraId="65ABDFA0" w14:textId="77777777" w:rsidR="007E0ABC" w:rsidRDefault="007E0ABC" w:rsidP="003C4FF0">
            <w:pPr>
              <w:jc w:val="center"/>
              <w:rPr>
                <w:rFonts w:eastAsia="Arial" w:cs="Arial"/>
              </w:rPr>
            </w:pPr>
          </w:p>
        </w:tc>
        <w:tc>
          <w:tcPr>
            <w:tcW w:w="1229" w:type="dxa"/>
            <w:vAlign w:val="center"/>
          </w:tcPr>
          <w:p w14:paraId="0DAEEC79" w14:textId="77777777" w:rsidR="007E0ABC" w:rsidRDefault="007E0ABC" w:rsidP="003C4FF0">
            <w:pPr>
              <w:jc w:val="center"/>
              <w:rPr>
                <w:rFonts w:eastAsia="Arial" w:cs="Arial"/>
              </w:rPr>
            </w:pPr>
          </w:p>
        </w:tc>
        <w:tc>
          <w:tcPr>
            <w:tcW w:w="1229" w:type="dxa"/>
            <w:vAlign w:val="center"/>
          </w:tcPr>
          <w:p w14:paraId="0AB28E4A" w14:textId="77777777" w:rsidR="007E0ABC" w:rsidRDefault="007E0ABC" w:rsidP="003C4FF0">
            <w:pPr>
              <w:jc w:val="center"/>
              <w:rPr>
                <w:rFonts w:eastAsia="Arial" w:cs="Arial"/>
              </w:rPr>
            </w:pPr>
          </w:p>
        </w:tc>
      </w:tr>
      <w:tr w:rsidR="007E0ABC" w14:paraId="0A08B50F" w14:textId="77777777" w:rsidTr="003C4FF0">
        <w:trPr>
          <w:trHeight w:val="567"/>
        </w:trPr>
        <w:tc>
          <w:tcPr>
            <w:tcW w:w="568" w:type="dxa"/>
            <w:vAlign w:val="center"/>
          </w:tcPr>
          <w:p w14:paraId="26AB509F" w14:textId="77777777" w:rsidR="007E0ABC" w:rsidRDefault="007E0ABC" w:rsidP="003C4FF0">
            <w:pPr>
              <w:rPr>
                <w:rFonts w:eastAsia="Arial" w:cs="Arial"/>
              </w:rPr>
            </w:pPr>
            <w:r>
              <w:rPr>
                <w:rFonts w:eastAsia="Arial" w:cs="Arial"/>
              </w:rPr>
              <w:t>6</w:t>
            </w:r>
          </w:p>
        </w:tc>
        <w:tc>
          <w:tcPr>
            <w:tcW w:w="5386" w:type="dxa"/>
            <w:vAlign w:val="center"/>
          </w:tcPr>
          <w:p w14:paraId="1540A254" w14:textId="77777777" w:rsidR="007E0ABC" w:rsidRDefault="007E0ABC" w:rsidP="003C4FF0">
            <w:pPr>
              <w:rPr>
                <w:rFonts w:eastAsia="Arial" w:cs="Arial"/>
              </w:rPr>
            </w:pPr>
            <w:r>
              <w:rPr>
                <w:rFonts w:eastAsia="Arial" w:cs="Arial"/>
              </w:rPr>
              <w:t>Chest pains</w:t>
            </w:r>
          </w:p>
        </w:tc>
        <w:tc>
          <w:tcPr>
            <w:tcW w:w="1228" w:type="dxa"/>
            <w:vAlign w:val="center"/>
          </w:tcPr>
          <w:p w14:paraId="6BA03DB0" w14:textId="77777777" w:rsidR="007E0ABC" w:rsidRDefault="007E0ABC" w:rsidP="003C4FF0">
            <w:pPr>
              <w:jc w:val="center"/>
              <w:rPr>
                <w:rFonts w:eastAsia="Arial" w:cs="Arial"/>
              </w:rPr>
            </w:pPr>
          </w:p>
        </w:tc>
        <w:tc>
          <w:tcPr>
            <w:tcW w:w="1229" w:type="dxa"/>
            <w:vAlign w:val="center"/>
          </w:tcPr>
          <w:p w14:paraId="7D6B8C95" w14:textId="77777777" w:rsidR="007E0ABC" w:rsidRDefault="007E0ABC" w:rsidP="003C4FF0">
            <w:pPr>
              <w:jc w:val="center"/>
              <w:rPr>
                <w:rFonts w:eastAsia="Arial" w:cs="Arial"/>
              </w:rPr>
            </w:pPr>
          </w:p>
        </w:tc>
        <w:tc>
          <w:tcPr>
            <w:tcW w:w="1229" w:type="dxa"/>
            <w:vAlign w:val="center"/>
          </w:tcPr>
          <w:p w14:paraId="21FD35E1" w14:textId="77777777" w:rsidR="007E0ABC" w:rsidRDefault="007E0ABC" w:rsidP="003C4FF0">
            <w:pPr>
              <w:jc w:val="center"/>
              <w:rPr>
                <w:rFonts w:eastAsia="Arial" w:cs="Arial"/>
              </w:rPr>
            </w:pPr>
          </w:p>
        </w:tc>
      </w:tr>
      <w:tr w:rsidR="007E0ABC" w14:paraId="3E2E9424" w14:textId="77777777" w:rsidTr="003C4FF0">
        <w:trPr>
          <w:trHeight w:val="567"/>
        </w:trPr>
        <w:tc>
          <w:tcPr>
            <w:tcW w:w="568" w:type="dxa"/>
            <w:vAlign w:val="center"/>
          </w:tcPr>
          <w:p w14:paraId="0B16BC65" w14:textId="77777777" w:rsidR="007E0ABC" w:rsidRDefault="007E0ABC" w:rsidP="003C4FF0">
            <w:pPr>
              <w:rPr>
                <w:rFonts w:eastAsia="Arial" w:cs="Arial"/>
              </w:rPr>
            </w:pPr>
            <w:r>
              <w:rPr>
                <w:rFonts w:eastAsia="Arial" w:cs="Arial"/>
              </w:rPr>
              <w:t>7</w:t>
            </w:r>
          </w:p>
        </w:tc>
        <w:tc>
          <w:tcPr>
            <w:tcW w:w="5386" w:type="dxa"/>
            <w:vAlign w:val="center"/>
          </w:tcPr>
          <w:p w14:paraId="02462E29" w14:textId="77777777" w:rsidR="007E0ABC" w:rsidRDefault="007E0ABC" w:rsidP="003C4FF0">
            <w:pPr>
              <w:rPr>
                <w:rFonts w:eastAsia="Arial" w:cs="Arial"/>
              </w:rPr>
            </w:pPr>
            <w:r>
              <w:rPr>
                <w:rFonts w:eastAsia="Arial" w:cs="Arial"/>
              </w:rPr>
              <w:t>Dizziness</w:t>
            </w:r>
          </w:p>
        </w:tc>
        <w:tc>
          <w:tcPr>
            <w:tcW w:w="1228" w:type="dxa"/>
            <w:vAlign w:val="center"/>
          </w:tcPr>
          <w:p w14:paraId="59658899" w14:textId="77777777" w:rsidR="007E0ABC" w:rsidRDefault="007E0ABC" w:rsidP="003C4FF0">
            <w:pPr>
              <w:jc w:val="center"/>
              <w:rPr>
                <w:rFonts w:eastAsia="Arial" w:cs="Arial"/>
              </w:rPr>
            </w:pPr>
          </w:p>
        </w:tc>
        <w:tc>
          <w:tcPr>
            <w:tcW w:w="1229" w:type="dxa"/>
            <w:vAlign w:val="center"/>
          </w:tcPr>
          <w:p w14:paraId="27364E25" w14:textId="77777777" w:rsidR="007E0ABC" w:rsidRDefault="007E0ABC" w:rsidP="003C4FF0">
            <w:pPr>
              <w:jc w:val="center"/>
              <w:rPr>
                <w:rFonts w:eastAsia="Arial" w:cs="Arial"/>
              </w:rPr>
            </w:pPr>
          </w:p>
        </w:tc>
        <w:tc>
          <w:tcPr>
            <w:tcW w:w="1229" w:type="dxa"/>
            <w:vAlign w:val="center"/>
          </w:tcPr>
          <w:p w14:paraId="6960B5E2" w14:textId="77777777" w:rsidR="007E0ABC" w:rsidRDefault="007E0ABC" w:rsidP="003C4FF0">
            <w:pPr>
              <w:jc w:val="center"/>
              <w:rPr>
                <w:rFonts w:eastAsia="Arial" w:cs="Arial"/>
              </w:rPr>
            </w:pPr>
          </w:p>
        </w:tc>
      </w:tr>
      <w:tr w:rsidR="007E0ABC" w14:paraId="68421FD9" w14:textId="77777777" w:rsidTr="003C4FF0">
        <w:trPr>
          <w:trHeight w:val="567"/>
        </w:trPr>
        <w:tc>
          <w:tcPr>
            <w:tcW w:w="568" w:type="dxa"/>
            <w:vAlign w:val="center"/>
          </w:tcPr>
          <w:p w14:paraId="1BF5F848" w14:textId="77777777" w:rsidR="007E0ABC" w:rsidRDefault="007E0ABC" w:rsidP="003C4FF0">
            <w:pPr>
              <w:rPr>
                <w:rFonts w:eastAsia="Arial" w:cs="Arial"/>
              </w:rPr>
            </w:pPr>
            <w:r>
              <w:rPr>
                <w:rFonts w:eastAsia="Arial" w:cs="Arial"/>
              </w:rPr>
              <w:t>8</w:t>
            </w:r>
          </w:p>
        </w:tc>
        <w:tc>
          <w:tcPr>
            <w:tcW w:w="5386" w:type="dxa"/>
            <w:vAlign w:val="center"/>
          </w:tcPr>
          <w:p w14:paraId="46429568" w14:textId="77777777" w:rsidR="007E0ABC" w:rsidRDefault="007E0ABC" w:rsidP="003C4FF0">
            <w:pPr>
              <w:rPr>
                <w:rFonts w:eastAsia="Arial" w:cs="Arial"/>
              </w:rPr>
            </w:pPr>
            <w:r>
              <w:rPr>
                <w:rFonts w:eastAsia="Arial" w:cs="Arial"/>
              </w:rPr>
              <w:t>Fainting spells</w:t>
            </w:r>
          </w:p>
        </w:tc>
        <w:tc>
          <w:tcPr>
            <w:tcW w:w="1228" w:type="dxa"/>
            <w:vAlign w:val="center"/>
          </w:tcPr>
          <w:p w14:paraId="036A99EA" w14:textId="77777777" w:rsidR="007E0ABC" w:rsidRDefault="007E0ABC" w:rsidP="003C4FF0">
            <w:pPr>
              <w:jc w:val="center"/>
              <w:rPr>
                <w:rFonts w:eastAsia="Arial" w:cs="Arial"/>
              </w:rPr>
            </w:pPr>
          </w:p>
        </w:tc>
        <w:tc>
          <w:tcPr>
            <w:tcW w:w="1229" w:type="dxa"/>
            <w:vAlign w:val="center"/>
          </w:tcPr>
          <w:p w14:paraId="2B9F6566" w14:textId="77777777" w:rsidR="007E0ABC" w:rsidRDefault="007E0ABC" w:rsidP="003C4FF0">
            <w:pPr>
              <w:jc w:val="center"/>
              <w:rPr>
                <w:rFonts w:eastAsia="Arial" w:cs="Arial"/>
              </w:rPr>
            </w:pPr>
          </w:p>
        </w:tc>
        <w:tc>
          <w:tcPr>
            <w:tcW w:w="1229" w:type="dxa"/>
            <w:vAlign w:val="center"/>
          </w:tcPr>
          <w:p w14:paraId="1D01C729" w14:textId="77777777" w:rsidR="007E0ABC" w:rsidRDefault="007E0ABC" w:rsidP="003C4FF0">
            <w:pPr>
              <w:jc w:val="center"/>
              <w:rPr>
                <w:rFonts w:eastAsia="Arial" w:cs="Arial"/>
              </w:rPr>
            </w:pPr>
          </w:p>
        </w:tc>
      </w:tr>
      <w:tr w:rsidR="007E0ABC" w14:paraId="12916544" w14:textId="77777777" w:rsidTr="003C4FF0">
        <w:trPr>
          <w:trHeight w:val="567"/>
        </w:trPr>
        <w:tc>
          <w:tcPr>
            <w:tcW w:w="568" w:type="dxa"/>
            <w:vAlign w:val="center"/>
          </w:tcPr>
          <w:p w14:paraId="4BCCAB43" w14:textId="77777777" w:rsidR="007E0ABC" w:rsidRDefault="007E0ABC" w:rsidP="003C4FF0">
            <w:pPr>
              <w:rPr>
                <w:rFonts w:eastAsia="Arial" w:cs="Arial"/>
              </w:rPr>
            </w:pPr>
            <w:r>
              <w:rPr>
                <w:rFonts w:eastAsia="Arial" w:cs="Arial"/>
              </w:rPr>
              <w:t>9</w:t>
            </w:r>
          </w:p>
        </w:tc>
        <w:tc>
          <w:tcPr>
            <w:tcW w:w="5386" w:type="dxa"/>
            <w:vAlign w:val="center"/>
          </w:tcPr>
          <w:p w14:paraId="05D3049B" w14:textId="77777777" w:rsidR="007E0ABC" w:rsidRDefault="007E0ABC" w:rsidP="003C4FF0">
            <w:pPr>
              <w:rPr>
                <w:rFonts w:eastAsia="Arial" w:cs="Arial"/>
              </w:rPr>
            </w:pPr>
            <w:r>
              <w:rPr>
                <w:rFonts w:eastAsia="Arial" w:cs="Arial"/>
              </w:rPr>
              <w:t>Feeling your heart pound or race</w:t>
            </w:r>
          </w:p>
        </w:tc>
        <w:tc>
          <w:tcPr>
            <w:tcW w:w="1228" w:type="dxa"/>
            <w:vAlign w:val="center"/>
          </w:tcPr>
          <w:p w14:paraId="0B646AEE" w14:textId="77777777" w:rsidR="007E0ABC" w:rsidRDefault="007E0ABC" w:rsidP="003C4FF0">
            <w:pPr>
              <w:jc w:val="center"/>
              <w:rPr>
                <w:rFonts w:eastAsia="Arial" w:cs="Arial"/>
              </w:rPr>
            </w:pPr>
          </w:p>
        </w:tc>
        <w:tc>
          <w:tcPr>
            <w:tcW w:w="1229" w:type="dxa"/>
            <w:vAlign w:val="center"/>
          </w:tcPr>
          <w:p w14:paraId="2666DDEA" w14:textId="77777777" w:rsidR="007E0ABC" w:rsidRDefault="007E0ABC" w:rsidP="003C4FF0">
            <w:pPr>
              <w:jc w:val="center"/>
              <w:rPr>
                <w:rFonts w:eastAsia="Arial" w:cs="Arial"/>
              </w:rPr>
            </w:pPr>
          </w:p>
        </w:tc>
        <w:tc>
          <w:tcPr>
            <w:tcW w:w="1229" w:type="dxa"/>
            <w:vAlign w:val="center"/>
          </w:tcPr>
          <w:p w14:paraId="535C2F5A" w14:textId="77777777" w:rsidR="007E0ABC" w:rsidRDefault="007E0ABC" w:rsidP="003C4FF0">
            <w:pPr>
              <w:jc w:val="center"/>
              <w:rPr>
                <w:rFonts w:eastAsia="Arial" w:cs="Arial"/>
              </w:rPr>
            </w:pPr>
          </w:p>
        </w:tc>
      </w:tr>
      <w:tr w:rsidR="007E0ABC" w14:paraId="3A599D90" w14:textId="77777777" w:rsidTr="003C4FF0">
        <w:trPr>
          <w:trHeight w:val="567"/>
        </w:trPr>
        <w:tc>
          <w:tcPr>
            <w:tcW w:w="568" w:type="dxa"/>
            <w:vAlign w:val="center"/>
          </w:tcPr>
          <w:p w14:paraId="6EE6A5CF" w14:textId="77777777" w:rsidR="007E0ABC" w:rsidRDefault="007E0ABC" w:rsidP="003C4FF0">
            <w:pPr>
              <w:rPr>
                <w:rFonts w:eastAsia="Arial" w:cs="Arial"/>
              </w:rPr>
            </w:pPr>
            <w:r>
              <w:rPr>
                <w:rFonts w:eastAsia="Arial" w:cs="Arial"/>
              </w:rPr>
              <w:t>10</w:t>
            </w:r>
          </w:p>
        </w:tc>
        <w:tc>
          <w:tcPr>
            <w:tcW w:w="5386" w:type="dxa"/>
            <w:vAlign w:val="center"/>
          </w:tcPr>
          <w:p w14:paraId="2173FAAD" w14:textId="77777777" w:rsidR="007E0ABC" w:rsidRDefault="007E0ABC" w:rsidP="003C4FF0">
            <w:pPr>
              <w:rPr>
                <w:rFonts w:eastAsia="Arial" w:cs="Arial"/>
              </w:rPr>
            </w:pPr>
            <w:r>
              <w:rPr>
                <w:rFonts w:eastAsia="Arial" w:cs="Arial"/>
              </w:rPr>
              <w:t>Shortness of breath</w:t>
            </w:r>
          </w:p>
        </w:tc>
        <w:tc>
          <w:tcPr>
            <w:tcW w:w="1228" w:type="dxa"/>
            <w:vAlign w:val="center"/>
          </w:tcPr>
          <w:p w14:paraId="796477B7" w14:textId="77777777" w:rsidR="007E0ABC" w:rsidRDefault="007E0ABC" w:rsidP="003C4FF0">
            <w:pPr>
              <w:jc w:val="center"/>
              <w:rPr>
                <w:rFonts w:eastAsia="Arial" w:cs="Arial"/>
              </w:rPr>
            </w:pPr>
          </w:p>
        </w:tc>
        <w:tc>
          <w:tcPr>
            <w:tcW w:w="1229" w:type="dxa"/>
            <w:vAlign w:val="center"/>
          </w:tcPr>
          <w:p w14:paraId="1E51A284" w14:textId="77777777" w:rsidR="007E0ABC" w:rsidRDefault="007E0ABC" w:rsidP="003C4FF0">
            <w:pPr>
              <w:jc w:val="center"/>
              <w:rPr>
                <w:rFonts w:eastAsia="Arial" w:cs="Arial"/>
              </w:rPr>
            </w:pPr>
          </w:p>
        </w:tc>
        <w:tc>
          <w:tcPr>
            <w:tcW w:w="1229" w:type="dxa"/>
            <w:vAlign w:val="center"/>
          </w:tcPr>
          <w:p w14:paraId="3CD45F52" w14:textId="77777777" w:rsidR="007E0ABC" w:rsidRDefault="007E0ABC" w:rsidP="003C4FF0">
            <w:pPr>
              <w:jc w:val="center"/>
              <w:rPr>
                <w:rFonts w:eastAsia="Arial" w:cs="Arial"/>
              </w:rPr>
            </w:pPr>
          </w:p>
        </w:tc>
      </w:tr>
      <w:tr w:rsidR="007E0ABC" w14:paraId="66CD4B5A" w14:textId="77777777" w:rsidTr="003C4FF0">
        <w:trPr>
          <w:trHeight w:val="567"/>
        </w:trPr>
        <w:tc>
          <w:tcPr>
            <w:tcW w:w="568" w:type="dxa"/>
            <w:vAlign w:val="center"/>
          </w:tcPr>
          <w:p w14:paraId="1AFE6FD0" w14:textId="77777777" w:rsidR="007E0ABC" w:rsidRDefault="007E0ABC" w:rsidP="003C4FF0">
            <w:pPr>
              <w:rPr>
                <w:rFonts w:eastAsia="Arial" w:cs="Arial"/>
              </w:rPr>
            </w:pPr>
            <w:r>
              <w:rPr>
                <w:rFonts w:eastAsia="Arial" w:cs="Arial"/>
              </w:rPr>
              <w:t>11</w:t>
            </w:r>
          </w:p>
        </w:tc>
        <w:tc>
          <w:tcPr>
            <w:tcW w:w="5386" w:type="dxa"/>
            <w:vAlign w:val="center"/>
          </w:tcPr>
          <w:p w14:paraId="2E143184" w14:textId="77777777" w:rsidR="007E0ABC" w:rsidRDefault="007E0ABC" w:rsidP="003C4FF0">
            <w:pPr>
              <w:rPr>
                <w:rFonts w:eastAsia="Arial" w:cs="Arial"/>
              </w:rPr>
            </w:pPr>
            <w:r>
              <w:rPr>
                <w:rFonts w:eastAsia="Arial" w:cs="Arial"/>
              </w:rPr>
              <w:t>Pain or problems during sexual intercourse</w:t>
            </w:r>
          </w:p>
        </w:tc>
        <w:tc>
          <w:tcPr>
            <w:tcW w:w="1228" w:type="dxa"/>
            <w:vAlign w:val="center"/>
          </w:tcPr>
          <w:p w14:paraId="57BC5C35" w14:textId="77777777" w:rsidR="007E0ABC" w:rsidRDefault="007E0ABC" w:rsidP="003C4FF0">
            <w:pPr>
              <w:jc w:val="center"/>
              <w:rPr>
                <w:rFonts w:eastAsia="Arial" w:cs="Arial"/>
              </w:rPr>
            </w:pPr>
          </w:p>
        </w:tc>
        <w:tc>
          <w:tcPr>
            <w:tcW w:w="1229" w:type="dxa"/>
            <w:vAlign w:val="center"/>
          </w:tcPr>
          <w:p w14:paraId="702A537D" w14:textId="77777777" w:rsidR="007E0ABC" w:rsidRDefault="007E0ABC" w:rsidP="003C4FF0">
            <w:pPr>
              <w:jc w:val="center"/>
              <w:rPr>
                <w:rFonts w:eastAsia="Arial" w:cs="Arial"/>
              </w:rPr>
            </w:pPr>
          </w:p>
        </w:tc>
        <w:tc>
          <w:tcPr>
            <w:tcW w:w="1229" w:type="dxa"/>
            <w:vAlign w:val="center"/>
          </w:tcPr>
          <w:p w14:paraId="22D1D461" w14:textId="77777777" w:rsidR="007E0ABC" w:rsidRDefault="007E0ABC" w:rsidP="003C4FF0">
            <w:pPr>
              <w:jc w:val="center"/>
              <w:rPr>
                <w:rFonts w:eastAsia="Arial" w:cs="Arial"/>
              </w:rPr>
            </w:pPr>
          </w:p>
        </w:tc>
      </w:tr>
      <w:tr w:rsidR="007E0ABC" w14:paraId="365AAFFF" w14:textId="77777777" w:rsidTr="003C4FF0">
        <w:trPr>
          <w:trHeight w:val="567"/>
        </w:trPr>
        <w:tc>
          <w:tcPr>
            <w:tcW w:w="568" w:type="dxa"/>
            <w:vAlign w:val="center"/>
          </w:tcPr>
          <w:p w14:paraId="6CD0ABC9" w14:textId="77777777" w:rsidR="007E0ABC" w:rsidRDefault="007E0ABC" w:rsidP="003C4FF0">
            <w:pPr>
              <w:rPr>
                <w:rFonts w:eastAsia="Arial" w:cs="Arial"/>
              </w:rPr>
            </w:pPr>
            <w:r>
              <w:rPr>
                <w:rFonts w:eastAsia="Arial" w:cs="Arial"/>
              </w:rPr>
              <w:t>12</w:t>
            </w:r>
          </w:p>
        </w:tc>
        <w:tc>
          <w:tcPr>
            <w:tcW w:w="5386" w:type="dxa"/>
            <w:vAlign w:val="center"/>
          </w:tcPr>
          <w:p w14:paraId="1C5B3409" w14:textId="77777777" w:rsidR="007E0ABC" w:rsidRDefault="007E0ABC" w:rsidP="003C4FF0">
            <w:pPr>
              <w:rPr>
                <w:rFonts w:eastAsia="Arial" w:cs="Arial"/>
              </w:rPr>
            </w:pPr>
            <w:r>
              <w:rPr>
                <w:rFonts w:eastAsia="Arial" w:cs="Arial"/>
              </w:rPr>
              <w:t>Constipation, loose bowels or diarrhoea</w:t>
            </w:r>
          </w:p>
        </w:tc>
        <w:tc>
          <w:tcPr>
            <w:tcW w:w="1228" w:type="dxa"/>
            <w:vAlign w:val="center"/>
          </w:tcPr>
          <w:p w14:paraId="71E7F40A" w14:textId="77777777" w:rsidR="007E0ABC" w:rsidRDefault="007E0ABC" w:rsidP="003C4FF0">
            <w:pPr>
              <w:jc w:val="center"/>
              <w:rPr>
                <w:rFonts w:eastAsia="Arial" w:cs="Arial"/>
              </w:rPr>
            </w:pPr>
          </w:p>
        </w:tc>
        <w:tc>
          <w:tcPr>
            <w:tcW w:w="1229" w:type="dxa"/>
            <w:vAlign w:val="center"/>
          </w:tcPr>
          <w:p w14:paraId="6A8A1B5E" w14:textId="77777777" w:rsidR="007E0ABC" w:rsidRDefault="007E0ABC" w:rsidP="003C4FF0">
            <w:pPr>
              <w:jc w:val="center"/>
              <w:rPr>
                <w:rFonts w:eastAsia="Arial" w:cs="Arial"/>
              </w:rPr>
            </w:pPr>
          </w:p>
        </w:tc>
        <w:tc>
          <w:tcPr>
            <w:tcW w:w="1229" w:type="dxa"/>
            <w:vAlign w:val="center"/>
          </w:tcPr>
          <w:p w14:paraId="4F48C92D" w14:textId="77777777" w:rsidR="007E0ABC" w:rsidRDefault="007E0ABC" w:rsidP="003C4FF0">
            <w:pPr>
              <w:jc w:val="center"/>
              <w:rPr>
                <w:rFonts w:eastAsia="Arial" w:cs="Arial"/>
              </w:rPr>
            </w:pPr>
          </w:p>
        </w:tc>
      </w:tr>
      <w:tr w:rsidR="007E0ABC" w14:paraId="31ABC8B4" w14:textId="77777777" w:rsidTr="003C4FF0">
        <w:trPr>
          <w:trHeight w:val="567"/>
        </w:trPr>
        <w:tc>
          <w:tcPr>
            <w:tcW w:w="568" w:type="dxa"/>
            <w:vAlign w:val="center"/>
          </w:tcPr>
          <w:p w14:paraId="501E8BA6" w14:textId="77777777" w:rsidR="007E0ABC" w:rsidRDefault="007E0ABC" w:rsidP="003C4FF0">
            <w:pPr>
              <w:rPr>
                <w:rFonts w:eastAsia="Arial" w:cs="Arial"/>
              </w:rPr>
            </w:pPr>
            <w:r>
              <w:rPr>
                <w:rFonts w:eastAsia="Arial" w:cs="Arial"/>
              </w:rPr>
              <w:t>13</w:t>
            </w:r>
          </w:p>
        </w:tc>
        <w:tc>
          <w:tcPr>
            <w:tcW w:w="5386" w:type="dxa"/>
            <w:vAlign w:val="center"/>
          </w:tcPr>
          <w:p w14:paraId="3EE03A1E" w14:textId="77777777" w:rsidR="007E0ABC" w:rsidRDefault="007E0ABC" w:rsidP="003C4FF0">
            <w:pPr>
              <w:rPr>
                <w:rFonts w:eastAsia="Arial" w:cs="Arial"/>
              </w:rPr>
            </w:pPr>
            <w:r>
              <w:rPr>
                <w:rFonts w:eastAsia="Arial" w:cs="Arial"/>
              </w:rPr>
              <w:t>Nausea, gas or indigestion</w:t>
            </w:r>
          </w:p>
        </w:tc>
        <w:tc>
          <w:tcPr>
            <w:tcW w:w="1228" w:type="dxa"/>
            <w:vAlign w:val="center"/>
          </w:tcPr>
          <w:p w14:paraId="3B22706F" w14:textId="77777777" w:rsidR="007E0ABC" w:rsidRDefault="007E0ABC" w:rsidP="003C4FF0">
            <w:pPr>
              <w:jc w:val="center"/>
              <w:rPr>
                <w:rFonts w:eastAsia="Arial" w:cs="Arial"/>
              </w:rPr>
            </w:pPr>
          </w:p>
        </w:tc>
        <w:tc>
          <w:tcPr>
            <w:tcW w:w="1229" w:type="dxa"/>
            <w:vAlign w:val="center"/>
          </w:tcPr>
          <w:p w14:paraId="33401C81" w14:textId="77777777" w:rsidR="007E0ABC" w:rsidRDefault="007E0ABC" w:rsidP="003C4FF0">
            <w:pPr>
              <w:jc w:val="center"/>
              <w:rPr>
                <w:rFonts w:eastAsia="Arial" w:cs="Arial"/>
              </w:rPr>
            </w:pPr>
          </w:p>
        </w:tc>
        <w:tc>
          <w:tcPr>
            <w:tcW w:w="1229" w:type="dxa"/>
            <w:vAlign w:val="center"/>
          </w:tcPr>
          <w:p w14:paraId="3D9253F6" w14:textId="77777777" w:rsidR="007E0ABC" w:rsidRDefault="007E0ABC" w:rsidP="003C4FF0">
            <w:pPr>
              <w:jc w:val="center"/>
              <w:rPr>
                <w:rFonts w:eastAsia="Arial" w:cs="Arial"/>
              </w:rPr>
            </w:pPr>
          </w:p>
        </w:tc>
      </w:tr>
      <w:tr w:rsidR="007E0ABC" w14:paraId="5B6C7618" w14:textId="77777777" w:rsidTr="003C4FF0">
        <w:trPr>
          <w:trHeight w:val="567"/>
        </w:trPr>
        <w:tc>
          <w:tcPr>
            <w:tcW w:w="568" w:type="dxa"/>
            <w:vAlign w:val="center"/>
          </w:tcPr>
          <w:p w14:paraId="263F6E0B" w14:textId="77777777" w:rsidR="007E0ABC" w:rsidRDefault="007E0ABC" w:rsidP="003C4FF0">
            <w:pPr>
              <w:rPr>
                <w:rFonts w:eastAsia="Arial" w:cs="Arial"/>
              </w:rPr>
            </w:pPr>
            <w:r>
              <w:rPr>
                <w:rFonts w:eastAsia="Arial" w:cs="Arial"/>
              </w:rPr>
              <w:t>14</w:t>
            </w:r>
          </w:p>
        </w:tc>
        <w:tc>
          <w:tcPr>
            <w:tcW w:w="5386" w:type="dxa"/>
            <w:vAlign w:val="center"/>
          </w:tcPr>
          <w:p w14:paraId="6A6D6EDD" w14:textId="77777777" w:rsidR="007E0ABC" w:rsidRDefault="007E0ABC" w:rsidP="003C4FF0">
            <w:pPr>
              <w:rPr>
                <w:rFonts w:eastAsia="Arial" w:cs="Arial"/>
              </w:rPr>
            </w:pPr>
            <w:r>
              <w:rPr>
                <w:rFonts w:eastAsia="Arial" w:cs="Arial"/>
              </w:rPr>
              <w:t>Feeling tired or having little energy</w:t>
            </w:r>
          </w:p>
        </w:tc>
        <w:tc>
          <w:tcPr>
            <w:tcW w:w="1228" w:type="dxa"/>
            <w:vAlign w:val="center"/>
          </w:tcPr>
          <w:p w14:paraId="03431072" w14:textId="77777777" w:rsidR="007E0ABC" w:rsidRDefault="007E0ABC" w:rsidP="003C4FF0">
            <w:pPr>
              <w:jc w:val="center"/>
              <w:rPr>
                <w:rFonts w:eastAsia="Arial" w:cs="Arial"/>
              </w:rPr>
            </w:pPr>
          </w:p>
        </w:tc>
        <w:tc>
          <w:tcPr>
            <w:tcW w:w="1229" w:type="dxa"/>
            <w:vAlign w:val="center"/>
          </w:tcPr>
          <w:p w14:paraId="3EDA9811" w14:textId="77777777" w:rsidR="007E0ABC" w:rsidRDefault="007E0ABC" w:rsidP="003C4FF0">
            <w:pPr>
              <w:jc w:val="center"/>
              <w:rPr>
                <w:rFonts w:eastAsia="Arial" w:cs="Arial"/>
              </w:rPr>
            </w:pPr>
          </w:p>
        </w:tc>
        <w:tc>
          <w:tcPr>
            <w:tcW w:w="1229" w:type="dxa"/>
            <w:vAlign w:val="center"/>
          </w:tcPr>
          <w:p w14:paraId="630895EC" w14:textId="77777777" w:rsidR="007E0ABC" w:rsidRDefault="007E0ABC" w:rsidP="003C4FF0">
            <w:pPr>
              <w:jc w:val="center"/>
              <w:rPr>
                <w:rFonts w:eastAsia="Arial" w:cs="Arial"/>
              </w:rPr>
            </w:pPr>
          </w:p>
        </w:tc>
      </w:tr>
      <w:tr w:rsidR="007E0ABC" w14:paraId="3AFA2BA9" w14:textId="77777777" w:rsidTr="003C4FF0">
        <w:trPr>
          <w:trHeight w:val="567"/>
        </w:trPr>
        <w:tc>
          <w:tcPr>
            <w:tcW w:w="568" w:type="dxa"/>
            <w:vAlign w:val="center"/>
          </w:tcPr>
          <w:p w14:paraId="6AFB5E1E" w14:textId="77777777" w:rsidR="007E0ABC" w:rsidRDefault="007E0ABC" w:rsidP="003C4FF0">
            <w:pPr>
              <w:rPr>
                <w:rFonts w:eastAsia="Arial" w:cs="Arial"/>
              </w:rPr>
            </w:pPr>
            <w:r>
              <w:rPr>
                <w:rFonts w:eastAsia="Arial" w:cs="Arial"/>
              </w:rPr>
              <w:t>15</w:t>
            </w:r>
          </w:p>
        </w:tc>
        <w:tc>
          <w:tcPr>
            <w:tcW w:w="5386" w:type="dxa"/>
            <w:vAlign w:val="center"/>
          </w:tcPr>
          <w:p w14:paraId="48569837" w14:textId="77777777" w:rsidR="007E0ABC" w:rsidRDefault="007E0ABC" w:rsidP="003C4FF0">
            <w:pPr>
              <w:rPr>
                <w:rFonts w:eastAsia="Arial" w:cs="Arial"/>
              </w:rPr>
            </w:pPr>
            <w:r>
              <w:rPr>
                <w:rFonts w:eastAsia="Arial" w:cs="Arial"/>
              </w:rPr>
              <w:t>Trouble sleeping</w:t>
            </w:r>
          </w:p>
        </w:tc>
        <w:tc>
          <w:tcPr>
            <w:tcW w:w="1228" w:type="dxa"/>
            <w:vAlign w:val="center"/>
          </w:tcPr>
          <w:p w14:paraId="3D1A3E70" w14:textId="77777777" w:rsidR="007E0ABC" w:rsidRDefault="007E0ABC" w:rsidP="003C4FF0">
            <w:pPr>
              <w:jc w:val="center"/>
              <w:rPr>
                <w:rFonts w:eastAsia="Arial" w:cs="Arial"/>
              </w:rPr>
            </w:pPr>
          </w:p>
        </w:tc>
        <w:tc>
          <w:tcPr>
            <w:tcW w:w="1229" w:type="dxa"/>
            <w:vAlign w:val="center"/>
          </w:tcPr>
          <w:p w14:paraId="32DA1AF7" w14:textId="77777777" w:rsidR="007E0ABC" w:rsidRDefault="007E0ABC" w:rsidP="003C4FF0">
            <w:pPr>
              <w:jc w:val="center"/>
              <w:rPr>
                <w:rFonts w:eastAsia="Arial" w:cs="Arial"/>
              </w:rPr>
            </w:pPr>
          </w:p>
        </w:tc>
        <w:tc>
          <w:tcPr>
            <w:tcW w:w="1229" w:type="dxa"/>
            <w:vAlign w:val="center"/>
          </w:tcPr>
          <w:p w14:paraId="74494C1F" w14:textId="77777777" w:rsidR="007E0ABC" w:rsidRDefault="007E0ABC" w:rsidP="003C4FF0">
            <w:pPr>
              <w:jc w:val="center"/>
              <w:rPr>
                <w:rFonts w:eastAsia="Arial" w:cs="Arial"/>
              </w:rPr>
            </w:pPr>
          </w:p>
        </w:tc>
      </w:tr>
    </w:tbl>
    <w:p w14:paraId="2A69C98A" w14:textId="77777777" w:rsidR="007E0ABC" w:rsidRDefault="007E0ABC" w:rsidP="00B2525D"/>
    <w:p w14:paraId="498B4FEB" w14:textId="6F670559" w:rsidR="007E0ABC" w:rsidRPr="007F6A0A" w:rsidRDefault="007E0ABC" w:rsidP="007F6A0A">
      <w:pPr>
        <w:rPr>
          <w:rFonts w:eastAsia="Arial" w:cs="Arial"/>
          <w:b/>
          <w:sz w:val="40"/>
          <w:szCs w:val="40"/>
        </w:rPr>
      </w:pPr>
      <w:r>
        <w:br w:type="page"/>
      </w: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 </w:t>
      </w:r>
      <w:r>
        <w:rPr>
          <w:rFonts w:ascii="Avenir Book" w:hAnsi="Avenir Book"/>
          <w:iCs/>
          <w:sz w:val="28"/>
          <w:szCs w:val="28"/>
        </w:rPr>
        <w:t>(5) PCL-5</w:t>
      </w:r>
      <w:r w:rsidRPr="00C260F1">
        <w:rPr>
          <w:rFonts w:ascii="Avenir Book" w:hAnsi="Avenir Book"/>
          <w:iCs/>
          <w:sz w:val="28"/>
          <w:szCs w:val="28"/>
        </w:rPr>
        <w:t xml:space="preserve"> Questionnaire</w:t>
      </w:r>
    </w:p>
    <w:p w14:paraId="0085D17A" w14:textId="77777777" w:rsidR="007E0ABC" w:rsidRDefault="007E0ABC" w:rsidP="00C260F1">
      <w:pPr>
        <w:jc w:val="center"/>
        <w:rPr>
          <w:rFonts w:eastAsia="Calibri" w:cs="Calibri"/>
          <w:b/>
          <w:color w:val="000000"/>
          <w:sz w:val="27"/>
          <w:szCs w:val="27"/>
        </w:rPr>
      </w:pPr>
      <w:r>
        <w:rPr>
          <w:rFonts w:eastAsia="Calibri" w:cs="Calibri"/>
          <w:b/>
          <w:color w:val="000000"/>
          <w:sz w:val="32"/>
          <w:szCs w:val="32"/>
        </w:rPr>
        <w:t>PTSD Checklist for DSM-5 (PCL-5)</w:t>
      </w:r>
    </w:p>
    <w:p w14:paraId="28C1E666" w14:textId="77777777" w:rsidR="007E0ABC" w:rsidRPr="00B2525D" w:rsidRDefault="007E0ABC" w:rsidP="00B2525D">
      <w:pPr>
        <w:jc w:val="center"/>
        <w:rPr>
          <w:rFonts w:eastAsia="Calibri" w:cs="Calibri"/>
          <w:b/>
          <w:color w:val="000000"/>
          <w:sz w:val="27"/>
          <w:szCs w:val="27"/>
        </w:rPr>
      </w:pPr>
    </w:p>
    <w:p w14:paraId="31B0AFEC" w14:textId="77777777" w:rsidR="007E0ABC" w:rsidRDefault="007E0ABC" w:rsidP="001B6A38">
      <w:pPr>
        <w:pBdr>
          <w:top w:val="nil"/>
          <w:left w:val="nil"/>
          <w:bottom w:val="nil"/>
          <w:right w:val="nil"/>
          <w:between w:val="nil"/>
        </w:pBdr>
        <w:rPr>
          <w:rFonts w:eastAsia="Calibri" w:cs="Calibri"/>
          <w:color w:val="000000"/>
        </w:rPr>
      </w:pPr>
      <w:r>
        <w:rPr>
          <w:rFonts w:eastAsia="Calibri" w:cs="Calibri"/>
          <w:b/>
          <w:color w:val="000000"/>
          <w:szCs w:val="22"/>
        </w:rPr>
        <w:t xml:space="preserve">Instructions: </w:t>
      </w:r>
      <w:r>
        <w:rPr>
          <w:rFonts w:eastAsia="Calibri" w:cs="Calibri"/>
          <w:color w:val="000000"/>
          <w:szCs w:val="22"/>
        </w:rPr>
        <w:t xml:space="preserve">Below is a list of problems that people sometimes have in response to a very stressful experience. Please read each problem carefully and then circle one of the numbers to the right to indicate how much you have been bothered by that problem in the past month. </w:t>
      </w:r>
    </w:p>
    <w:p w14:paraId="6259C00B" w14:textId="77777777" w:rsidR="007E0ABC" w:rsidRDefault="007E0ABC" w:rsidP="001B6A38">
      <w:pPr>
        <w:rPr>
          <w:rFonts w:eastAsia="Calibri" w:cs="Calibri"/>
          <w:b/>
          <w:color w:val="000000"/>
          <w:sz w:val="18"/>
          <w:szCs w:val="18"/>
        </w:rPr>
      </w:pPr>
    </w:p>
    <w:tbl>
      <w:tblPr>
        <w:tblW w:w="971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
        <w:gridCol w:w="2913"/>
        <w:gridCol w:w="1263"/>
        <w:gridCol w:w="1263"/>
        <w:gridCol w:w="1263"/>
        <w:gridCol w:w="1263"/>
        <w:gridCol w:w="1101"/>
      </w:tblGrid>
      <w:tr w:rsidR="007E0ABC" w14:paraId="00EED006" w14:textId="77777777" w:rsidTr="003C4FF0">
        <w:tc>
          <w:tcPr>
            <w:tcW w:w="646" w:type="dxa"/>
            <w:shd w:val="clear" w:color="auto" w:fill="auto"/>
          </w:tcPr>
          <w:p w14:paraId="28295D3F" w14:textId="77777777" w:rsidR="007E0ABC" w:rsidRDefault="007E0ABC" w:rsidP="003C4FF0">
            <w:pPr>
              <w:rPr>
                <w:rFonts w:eastAsia="Calibri" w:cs="Calibri"/>
                <w:b/>
                <w:color w:val="000000"/>
                <w:sz w:val="18"/>
                <w:szCs w:val="18"/>
              </w:rPr>
            </w:pPr>
            <w:r>
              <w:rPr>
                <w:rFonts w:eastAsia="Calibri" w:cs="Calibri"/>
                <w:b/>
                <w:color w:val="000000"/>
                <w:sz w:val="18"/>
                <w:szCs w:val="18"/>
              </w:rPr>
              <w:t>No.</w:t>
            </w:r>
          </w:p>
        </w:tc>
        <w:tc>
          <w:tcPr>
            <w:tcW w:w="2913" w:type="dxa"/>
            <w:shd w:val="clear" w:color="auto" w:fill="auto"/>
          </w:tcPr>
          <w:p w14:paraId="55EB039D"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Response</w:t>
            </w:r>
          </w:p>
        </w:tc>
        <w:tc>
          <w:tcPr>
            <w:tcW w:w="1263" w:type="dxa"/>
            <w:shd w:val="clear" w:color="auto" w:fill="auto"/>
          </w:tcPr>
          <w:p w14:paraId="33F6940C"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Not at all</w:t>
            </w:r>
          </w:p>
          <w:p w14:paraId="159A6D6C"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(0)</w:t>
            </w:r>
          </w:p>
        </w:tc>
        <w:tc>
          <w:tcPr>
            <w:tcW w:w="1263" w:type="dxa"/>
            <w:shd w:val="clear" w:color="auto" w:fill="auto"/>
          </w:tcPr>
          <w:p w14:paraId="606492A3"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A little bit</w:t>
            </w:r>
          </w:p>
          <w:p w14:paraId="0D5A5F38"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(1)</w:t>
            </w:r>
          </w:p>
        </w:tc>
        <w:tc>
          <w:tcPr>
            <w:tcW w:w="1263" w:type="dxa"/>
            <w:shd w:val="clear" w:color="auto" w:fill="auto"/>
          </w:tcPr>
          <w:p w14:paraId="5F039F50"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Moderately</w:t>
            </w:r>
          </w:p>
          <w:p w14:paraId="2903B434"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(2)</w:t>
            </w:r>
          </w:p>
        </w:tc>
        <w:tc>
          <w:tcPr>
            <w:tcW w:w="1263" w:type="dxa"/>
            <w:shd w:val="clear" w:color="auto" w:fill="auto"/>
          </w:tcPr>
          <w:p w14:paraId="0E24F733"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Quite a bit</w:t>
            </w:r>
          </w:p>
          <w:p w14:paraId="3B2C1DDE"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(3)</w:t>
            </w:r>
          </w:p>
        </w:tc>
        <w:tc>
          <w:tcPr>
            <w:tcW w:w="1101" w:type="dxa"/>
            <w:shd w:val="clear" w:color="auto" w:fill="auto"/>
          </w:tcPr>
          <w:p w14:paraId="2682AC49"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Extremely</w:t>
            </w:r>
          </w:p>
          <w:p w14:paraId="7E182FCD" w14:textId="77777777" w:rsidR="007E0ABC" w:rsidRDefault="007E0ABC" w:rsidP="003C4FF0">
            <w:pPr>
              <w:jc w:val="center"/>
              <w:rPr>
                <w:rFonts w:eastAsia="Calibri" w:cs="Calibri"/>
                <w:b/>
                <w:color w:val="000000"/>
                <w:sz w:val="18"/>
                <w:szCs w:val="18"/>
              </w:rPr>
            </w:pPr>
            <w:r>
              <w:rPr>
                <w:rFonts w:eastAsia="Calibri" w:cs="Calibri"/>
                <w:b/>
                <w:color w:val="000000"/>
                <w:sz w:val="18"/>
                <w:szCs w:val="18"/>
              </w:rPr>
              <w:t>(4)</w:t>
            </w:r>
          </w:p>
        </w:tc>
      </w:tr>
      <w:tr w:rsidR="007E0ABC" w14:paraId="59295A52" w14:textId="77777777" w:rsidTr="003C4FF0">
        <w:tc>
          <w:tcPr>
            <w:tcW w:w="646" w:type="dxa"/>
            <w:shd w:val="clear" w:color="auto" w:fill="auto"/>
          </w:tcPr>
          <w:p w14:paraId="64AF3617" w14:textId="77777777" w:rsidR="007E0ABC" w:rsidRDefault="007E0ABC" w:rsidP="003C4FF0">
            <w:pPr>
              <w:rPr>
                <w:rFonts w:eastAsia="Calibri" w:cs="Calibri"/>
                <w:b/>
                <w:color w:val="000000"/>
                <w:sz w:val="18"/>
                <w:szCs w:val="18"/>
              </w:rPr>
            </w:pPr>
            <w:r>
              <w:rPr>
                <w:rFonts w:eastAsia="Calibri" w:cs="Calibri"/>
                <w:b/>
                <w:color w:val="000000"/>
                <w:sz w:val="18"/>
                <w:szCs w:val="18"/>
              </w:rPr>
              <w:t>1.</w:t>
            </w:r>
          </w:p>
        </w:tc>
        <w:tc>
          <w:tcPr>
            <w:tcW w:w="2913" w:type="dxa"/>
            <w:shd w:val="clear" w:color="auto" w:fill="auto"/>
          </w:tcPr>
          <w:p w14:paraId="30BB0E3D" w14:textId="77777777" w:rsidR="007E0ABC" w:rsidRDefault="007E0ABC" w:rsidP="003C4FF0">
            <w:pPr>
              <w:spacing w:line="276" w:lineRule="auto"/>
              <w:rPr>
                <w:rFonts w:eastAsia="Calibri" w:cs="Calibri"/>
                <w:color w:val="000000"/>
                <w:szCs w:val="20"/>
              </w:rPr>
            </w:pPr>
            <w:r>
              <w:rPr>
                <w:rFonts w:eastAsia="Calibri" w:cs="Calibri"/>
                <w:color w:val="000000"/>
                <w:szCs w:val="20"/>
              </w:rPr>
              <w:t>Repeated, disturbing, and unwanted memories of the stressful experience?</w:t>
            </w:r>
          </w:p>
        </w:tc>
        <w:tc>
          <w:tcPr>
            <w:tcW w:w="1263" w:type="dxa"/>
            <w:shd w:val="clear" w:color="auto" w:fill="auto"/>
          </w:tcPr>
          <w:p w14:paraId="131DFF19" w14:textId="77777777" w:rsidR="007E0ABC" w:rsidRDefault="007E0ABC" w:rsidP="003C4FF0">
            <w:pPr>
              <w:rPr>
                <w:rFonts w:eastAsia="Calibri" w:cs="Calibri"/>
                <w:b/>
                <w:color w:val="000000"/>
                <w:sz w:val="18"/>
                <w:szCs w:val="18"/>
              </w:rPr>
            </w:pPr>
          </w:p>
        </w:tc>
        <w:tc>
          <w:tcPr>
            <w:tcW w:w="1263" w:type="dxa"/>
            <w:shd w:val="clear" w:color="auto" w:fill="auto"/>
          </w:tcPr>
          <w:p w14:paraId="00D019C2" w14:textId="77777777" w:rsidR="007E0ABC" w:rsidRDefault="007E0ABC" w:rsidP="003C4FF0">
            <w:pPr>
              <w:rPr>
                <w:rFonts w:eastAsia="Calibri" w:cs="Calibri"/>
                <w:b/>
                <w:color w:val="000000"/>
                <w:sz w:val="18"/>
                <w:szCs w:val="18"/>
              </w:rPr>
            </w:pPr>
          </w:p>
        </w:tc>
        <w:tc>
          <w:tcPr>
            <w:tcW w:w="1263" w:type="dxa"/>
            <w:shd w:val="clear" w:color="auto" w:fill="auto"/>
          </w:tcPr>
          <w:p w14:paraId="4A78D961" w14:textId="77777777" w:rsidR="007E0ABC" w:rsidRDefault="007E0ABC" w:rsidP="003C4FF0">
            <w:pPr>
              <w:rPr>
                <w:rFonts w:eastAsia="Calibri" w:cs="Calibri"/>
                <w:b/>
                <w:color w:val="000000"/>
                <w:sz w:val="18"/>
                <w:szCs w:val="18"/>
              </w:rPr>
            </w:pPr>
          </w:p>
        </w:tc>
        <w:tc>
          <w:tcPr>
            <w:tcW w:w="1263" w:type="dxa"/>
            <w:shd w:val="clear" w:color="auto" w:fill="auto"/>
          </w:tcPr>
          <w:p w14:paraId="19383708" w14:textId="77777777" w:rsidR="007E0ABC" w:rsidRDefault="007E0ABC" w:rsidP="003C4FF0">
            <w:pPr>
              <w:rPr>
                <w:rFonts w:eastAsia="Calibri" w:cs="Calibri"/>
                <w:b/>
                <w:color w:val="000000"/>
                <w:sz w:val="18"/>
                <w:szCs w:val="18"/>
              </w:rPr>
            </w:pPr>
          </w:p>
        </w:tc>
        <w:tc>
          <w:tcPr>
            <w:tcW w:w="1101" w:type="dxa"/>
            <w:shd w:val="clear" w:color="auto" w:fill="auto"/>
          </w:tcPr>
          <w:p w14:paraId="1CA3F637" w14:textId="77777777" w:rsidR="007E0ABC" w:rsidRDefault="007E0ABC" w:rsidP="003C4FF0">
            <w:pPr>
              <w:rPr>
                <w:rFonts w:eastAsia="Calibri" w:cs="Calibri"/>
                <w:b/>
                <w:color w:val="000000"/>
                <w:sz w:val="18"/>
                <w:szCs w:val="18"/>
              </w:rPr>
            </w:pPr>
          </w:p>
        </w:tc>
      </w:tr>
      <w:tr w:rsidR="007E0ABC" w14:paraId="0E5023D6" w14:textId="77777777" w:rsidTr="003C4FF0">
        <w:tc>
          <w:tcPr>
            <w:tcW w:w="646" w:type="dxa"/>
            <w:shd w:val="clear" w:color="auto" w:fill="auto"/>
          </w:tcPr>
          <w:p w14:paraId="227ADA6D" w14:textId="77777777" w:rsidR="007E0ABC" w:rsidRDefault="007E0ABC" w:rsidP="003C4FF0">
            <w:pPr>
              <w:rPr>
                <w:rFonts w:eastAsia="Calibri" w:cs="Calibri"/>
                <w:b/>
                <w:color w:val="000000"/>
                <w:sz w:val="18"/>
                <w:szCs w:val="18"/>
              </w:rPr>
            </w:pPr>
            <w:r>
              <w:rPr>
                <w:rFonts w:eastAsia="Calibri" w:cs="Calibri"/>
                <w:b/>
                <w:color w:val="000000"/>
                <w:sz w:val="18"/>
                <w:szCs w:val="18"/>
              </w:rPr>
              <w:t>2.</w:t>
            </w:r>
          </w:p>
          <w:p w14:paraId="5E1A4AE2" w14:textId="77777777" w:rsidR="007E0ABC" w:rsidRDefault="007E0ABC" w:rsidP="003C4FF0">
            <w:pPr>
              <w:rPr>
                <w:rFonts w:eastAsia="Calibri" w:cs="Calibri"/>
                <w:b/>
                <w:color w:val="000000"/>
                <w:sz w:val="18"/>
                <w:szCs w:val="18"/>
              </w:rPr>
            </w:pPr>
          </w:p>
        </w:tc>
        <w:tc>
          <w:tcPr>
            <w:tcW w:w="2913" w:type="dxa"/>
            <w:shd w:val="clear" w:color="auto" w:fill="auto"/>
          </w:tcPr>
          <w:p w14:paraId="31B79E4A" w14:textId="77777777" w:rsidR="007E0ABC" w:rsidRDefault="007E0ABC" w:rsidP="003C4FF0">
            <w:pPr>
              <w:spacing w:line="276" w:lineRule="auto"/>
              <w:rPr>
                <w:rFonts w:eastAsia="Calibri" w:cs="Calibri"/>
                <w:color w:val="000000"/>
                <w:szCs w:val="20"/>
              </w:rPr>
            </w:pPr>
            <w:r>
              <w:rPr>
                <w:rFonts w:eastAsia="Calibri" w:cs="Calibri"/>
                <w:color w:val="000000"/>
                <w:szCs w:val="20"/>
              </w:rPr>
              <w:t>Repeated, disturbing dreams of the stressful experience?</w:t>
            </w:r>
          </w:p>
        </w:tc>
        <w:tc>
          <w:tcPr>
            <w:tcW w:w="1263" w:type="dxa"/>
            <w:shd w:val="clear" w:color="auto" w:fill="auto"/>
          </w:tcPr>
          <w:p w14:paraId="6C403CB8" w14:textId="77777777" w:rsidR="007E0ABC" w:rsidRDefault="007E0ABC" w:rsidP="003C4FF0">
            <w:pPr>
              <w:rPr>
                <w:rFonts w:eastAsia="Calibri" w:cs="Calibri"/>
                <w:b/>
                <w:color w:val="000000"/>
                <w:sz w:val="18"/>
                <w:szCs w:val="18"/>
              </w:rPr>
            </w:pPr>
          </w:p>
        </w:tc>
        <w:tc>
          <w:tcPr>
            <w:tcW w:w="1263" w:type="dxa"/>
            <w:shd w:val="clear" w:color="auto" w:fill="auto"/>
          </w:tcPr>
          <w:p w14:paraId="776655C0" w14:textId="77777777" w:rsidR="007E0ABC" w:rsidRDefault="007E0ABC" w:rsidP="003C4FF0">
            <w:pPr>
              <w:rPr>
                <w:rFonts w:eastAsia="Calibri" w:cs="Calibri"/>
                <w:b/>
                <w:color w:val="000000"/>
                <w:sz w:val="18"/>
                <w:szCs w:val="18"/>
              </w:rPr>
            </w:pPr>
          </w:p>
        </w:tc>
        <w:tc>
          <w:tcPr>
            <w:tcW w:w="1263" w:type="dxa"/>
            <w:shd w:val="clear" w:color="auto" w:fill="auto"/>
          </w:tcPr>
          <w:p w14:paraId="2BF4B125" w14:textId="77777777" w:rsidR="007E0ABC" w:rsidRDefault="007E0ABC" w:rsidP="003C4FF0">
            <w:pPr>
              <w:rPr>
                <w:rFonts w:eastAsia="Calibri" w:cs="Calibri"/>
                <w:b/>
                <w:color w:val="000000"/>
                <w:sz w:val="18"/>
                <w:szCs w:val="18"/>
              </w:rPr>
            </w:pPr>
          </w:p>
        </w:tc>
        <w:tc>
          <w:tcPr>
            <w:tcW w:w="1263" w:type="dxa"/>
            <w:shd w:val="clear" w:color="auto" w:fill="auto"/>
          </w:tcPr>
          <w:p w14:paraId="653C9ECC" w14:textId="77777777" w:rsidR="007E0ABC" w:rsidRDefault="007E0ABC" w:rsidP="003C4FF0">
            <w:pPr>
              <w:rPr>
                <w:rFonts w:eastAsia="Calibri" w:cs="Calibri"/>
                <w:b/>
                <w:color w:val="000000"/>
                <w:sz w:val="18"/>
                <w:szCs w:val="18"/>
              </w:rPr>
            </w:pPr>
          </w:p>
        </w:tc>
        <w:tc>
          <w:tcPr>
            <w:tcW w:w="1101" w:type="dxa"/>
            <w:shd w:val="clear" w:color="auto" w:fill="auto"/>
          </w:tcPr>
          <w:p w14:paraId="61A4E773" w14:textId="77777777" w:rsidR="007E0ABC" w:rsidRDefault="007E0ABC" w:rsidP="003C4FF0">
            <w:pPr>
              <w:rPr>
                <w:rFonts w:eastAsia="Calibri" w:cs="Calibri"/>
                <w:b/>
                <w:color w:val="000000"/>
                <w:sz w:val="18"/>
                <w:szCs w:val="18"/>
              </w:rPr>
            </w:pPr>
          </w:p>
        </w:tc>
      </w:tr>
      <w:tr w:rsidR="007E0ABC" w14:paraId="2C5FD945" w14:textId="77777777" w:rsidTr="003C4FF0">
        <w:tc>
          <w:tcPr>
            <w:tcW w:w="646" w:type="dxa"/>
            <w:shd w:val="clear" w:color="auto" w:fill="auto"/>
          </w:tcPr>
          <w:p w14:paraId="337B824A" w14:textId="77777777" w:rsidR="007E0ABC" w:rsidRDefault="007E0ABC" w:rsidP="003C4FF0">
            <w:pPr>
              <w:rPr>
                <w:rFonts w:eastAsia="Calibri" w:cs="Calibri"/>
                <w:b/>
                <w:color w:val="000000"/>
                <w:sz w:val="18"/>
                <w:szCs w:val="18"/>
              </w:rPr>
            </w:pPr>
            <w:r>
              <w:rPr>
                <w:rFonts w:eastAsia="Calibri" w:cs="Calibri"/>
                <w:b/>
                <w:color w:val="000000"/>
                <w:sz w:val="18"/>
                <w:szCs w:val="18"/>
              </w:rPr>
              <w:t>3.</w:t>
            </w:r>
          </w:p>
          <w:p w14:paraId="2442178B" w14:textId="77777777" w:rsidR="007E0ABC" w:rsidRDefault="007E0ABC" w:rsidP="003C4FF0">
            <w:pPr>
              <w:rPr>
                <w:rFonts w:eastAsia="Calibri" w:cs="Calibri"/>
                <w:b/>
                <w:color w:val="000000"/>
                <w:sz w:val="18"/>
                <w:szCs w:val="18"/>
              </w:rPr>
            </w:pPr>
          </w:p>
        </w:tc>
        <w:tc>
          <w:tcPr>
            <w:tcW w:w="2913" w:type="dxa"/>
            <w:shd w:val="clear" w:color="auto" w:fill="auto"/>
          </w:tcPr>
          <w:p w14:paraId="168DEDFD" w14:textId="77777777" w:rsidR="007E0ABC" w:rsidRDefault="007E0ABC" w:rsidP="003C4FF0">
            <w:pPr>
              <w:spacing w:line="276" w:lineRule="auto"/>
              <w:rPr>
                <w:rFonts w:eastAsia="Calibri" w:cs="Calibri"/>
                <w:color w:val="000000"/>
                <w:szCs w:val="20"/>
              </w:rPr>
            </w:pPr>
            <w:r>
              <w:rPr>
                <w:rFonts w:eastAsia="Calibri" w:cs="Calibri"/>
                <w:color w:val="000000"/>
                <w:szCs w:val="20"/>
              </w:rPr>
              <w:t>Suddenly feeling or acting as if the stressful experience were actually happening again (as if you were actually back there reliving it)?</w:t>
            </w:r>
          </w:p>
        </w:tc>
        <w:tc>
          <w:tcPr>
            <w:tcW w:w="1263" w:type="dxa"/>
            <w:shd w:val="clear" w:color="auto" w:fill="auto"/>
          </w:tcPr>
          <w:p w14:paraId="5DEFC91E" w14:textId="77777777" w:rsidR="007E0ABC" w:rsidRDefault="007E0ABC" w:rsidP="003C4FF0">
            <w:pPr>
              <w:rPr>
                <w:rFonts w:eastAsia="Calibri" w:cs="Calibri"/>
                <w:b/>
                <w:color w:val="000000"/>
                <w:sz w:val="18"/>
                <w:szCs w:val="18"/>
              </w:rPr>
            </w:pPr>
          </w:p>
        </w:tc>
        <w:tc>
          <w:tcPr>
            <w:tcW w:w="1263" w:type="dxa"/>
            <w:shd w:val="clear" w:color="auto" w:fill="auto"/>
          </w:tcPr>
          <w:p w14:paraId="5303654E" w14:textId="77777777" w:rsidR="007E0ABC" w:rsidRDefault="007E0ABC" w:rsidP="003C4FF0">
            <w:pPr>
              <w:rPr>
                <w:rFonts w:eastAsia="Calibri" w:cs="Calibri"/>
                <w:b/>
                <w:color w:val="000000"/>
                <w:sz w:val="18"/>
                <w:szCs w:val="18"/>
              </w:rPr>
            </w:pPr>
          </w:p>
        </w:tc>
        <w:tc>
          <w:tcPr>
            <w:tcW w:w="1263" w:type="dxa"/>
            <w:shd w:val="clear" w:color="auto" w:fill="auto"/>
          </w:tcPr>
          <w:p w14:paraId="44524045" w14:textId="77777777" w:rsidR="007E0ABC" w:rsidRDefault="007E0ABC" w:rsidP="003C4FF0">
            <w:pPr>
              <w:rPr>
                <w:rFonts w:eastAsia="Calibri" w:cs="Calibri"/>
                <w:b/>
                <w:color w:val="000000"/>
                <w:sz w:val="18"/>
                <w:szCs w:val="18"/>
              </w:rPr>
            </w:pPr>
          </w:p>
        </w:tc>
        <w:tc>
          <w:tcPr>
            <w:tcW w:w="1263" w:type="dxa"/>
            <w:shd w:val="clear" w:color="auto" w:fill="auto"/>
          </w:tcPr>
          <w:p w14:paraId="2278763A" w14:textId="77777777" w:rsidR="007E0ABC" w:rsidRDefault="007E0ABC" w:rsidP="003C4FF0">
            <w:pPr>
              <w:rPr>
                <w:rFonts w:eastAsia="Calibri" w:cs="Calibri"/>
                <w:b/>
                <w:color w:val="000000"/>
                <w:sz w:val="18"/>
                <w:szCs w:val="18"/>
              </w:rPr>
            </w:pPr>
          </w:p>
        </w:tc>
        <w:tc>
          <w:tcPr>
            <w:tcW w:w="1101" w:type="dxa"/>
            <w:shd w:val="clear" w:color="auto" w:fill="auto"/>
          </w:tcPr>
          <w:p w14:paraId="025C5CC6" w14:textId="77777777" w:rsidR="007E0ABC" w:rsidRDefault="007E0ABC" w:rsidP="003C4FF0">
            <w:pPr>
              <w:rPr>
                <w:rFonts w:eastAsia="Calibri" w:cs="Calibri"/>
                <w:b/>
                <w:color w:val="000000"/>
                <w:sz w:val="18"/>
                <w:szCs w:val="18"/>
              </w:rPr>
            </w:pPr>
          </w:p>
        </w:tc>
      </w:tr>
      <w:tr w:rsidR="007E0ABC" w14:paraId="72540F19" w14:textId="77777777" w:rsidTr="003C4FF0">
        <w:tc>
          <w:tcPr>
            <w:tcW w:w="646" w:type="dxa"/>
            <w:shd w:val="clear" w:color="auto" w:fill="auto"/>
          </w:tcPr>
          <w:p w14:paraId="741EEE87" w14:textId="77777777" w:rsidR="007E0ABC" w:rsidRDefault="007E0ABC" w:rsidP="003C4FF0">
            <w:pPr>
              <w:rPr>
                <w:rFonts w:eastAsia="Calibri" w:cs="Calibri"/>
                <w:b/>
                <w:color w:val="000000"/>
                <w:sz w:val="18"/>
                <w:szCs w:val="18"/>
              </w:rPr>
            </w:pPr>
            <w:r>
              <w:rPr>
                <w:rFonts w:eastAsia="Calibri" w:cs="Calibri"/>
                <w:b/>
                <w:color w:val="000000"/>
                <w:sz w:val="18"/>
                <w:szCs w:val="18"/>
              </w:rPr>
              <w:t>4.</w:t>
            </w:r>
          </w:p>
          <w:p w14:paraId="61B1A64E" w14:textId="77777777" w:rsidR="007E0ABC" w:rsidRDefault="007E0ABC" w:rsidP="003C4FF0">
            <w:pPr>
              <w:rPr>
                <w:rFonts w:eastAsia="Calibri" w:cs="Calibri"/>
                <w:b/>
                <w:color w:val="000000"/>
                <w:sz w:val="18"/>
                <w:szCs w:val="18"/>
              </w:rPr>
            </w:pPr>
          </w:p>
        </w:tc>
        <w:tc>
          <w:tcPr>
            <w:tcW w:w="2913" w:type="dxa"/>
            <w:shd w:val="clear" w:color="auto" w:fill="auto"/>
          </w:tcPr>
          <w:p w14:paraId="7745E283" w14:textId="77777777" w:rsidR="007E0ABC" w:rsidRDefault="007E0ABC" w:rsidP="003C4FF0">
            <w:pPr>
              <w:spacing w:line="276" w:lineRule="auto"/>
              <w:rPr>
                <w:rFonts w:eastAsia="Calibri" w:cs="Calibri"/>
                <w:color w:val="000000"/>
                <w:szCs w:val="20"/>
              </w:rPr>
            </w:pPr>
            <w:r>
              <w:rPr>
                <w:rFonts w:eastAsia="Calibri" w:cs="Calibri"/>
                <w:color w:val="000000"/>
                <w:szCs w:val="20"/>
              </w:rPr>
              <w:t>Feeling very upset when something reminded you of</w:t>
            </w:r>
          </w:p>
          <w:p w14:paraId="4F0FB62C" w14:textId="77777777" w:rsidR="007E0ABC" w:rsidRDefault="007E0ABC" w:rsidP="003C4FF0">
            <w:pPr>
              <w:spacing w:line="276" w:lineRule="auto"/>
              <w:rPr>
                <w:rFonts w:eastAsia="Calibri" w:cs="Calibri"/>
                <w:color w:val="000000"/>
                <w:szCs w:val="20"/>
              </w:rPr>
            </w:pPr>
            <w:r>
              <w:rPr>
                <w:rFonts w:eastAsia="Calibri" w:cs="Calibri"/>
                <w:color w:val="000000"/>
                <w:szCs w:val="20"/>
              </w:rPr>
              <w:t>the stressful experience?</w:t>
            </w:r>
          </w:p>
        </w:tc>
        <w:tc>
          <w:tcPr>
            <w:tcW w:w="1263" w:type="dxa"/>
            <w:shd w:val="clear" w:color="auto" w:fill="auto"/>
          </w:tcPr>
          <w:p w14:paraId="28CC961E" w14:textId="77777777" w:rsidR="007E0ABC" w:rsidRDefault="007E0ABC" w:rsidP="003C4FF0">
            <w:pPr>
              <w:rPr>
                <w:rFonts w:eastAsia="Calibri" w:cs="Calibri"/>
                <w:b/>
                <w:color w:val="000000"/>
                <w:sz w:val="18"/>
                <w:szCs w:val="18"/>
              </w:rPr>
            </w:pPr>
          </w:p>
        </w:tc>
        <w:tc>
          <w:tcPr>
            <w:tcW w:w="1263" w:type="dxa"/>
            <w:shd w:val="clear" w:color="auto" w:fill="auto"/>
          </w:tcPr>
          <w:p w14:paraId="4BA7D876" w14:textId="77777777" w:rsidR="007E0ABC" w:rsidRDefault="007E0ABC" w:rsidP="003C4FF0">
            <w:pPr>
              <w:rPr>
                <w:rFonts w:eastAsia="Calibri" w:cs="Calibri"/>
                <w:b/>
                <w:color w:val="000000"/>
                <w:sz w:val="18"/>
                <w:szCs w:val="18"/>
              </w:rPr>
            </w:pPr>
          </w:p>
        </w:tc>
        <w:tc>
          <w:tcPr>
            <w:tcW w:w="1263" w:type="dxa"/>
            <w:shd w:val="clear" w:color="auto" w:fill="auto"/>
          </w:tcPr>
          <w:p w14:paraId="0127FF5D" w14:textId="77777777" w:rsidR="007E0ABC" w:rsidRDefault="007E0ABC" w:rsidP="003C4FF0">
            <w:pPr>
              <w:rPr>
                <w:rFonts w:eastAsia="Calibri" w:cs="Calibri"/>
                <w:b/>
                <w:color w:val="000000"/>
                <w:sz w:val="18"/>
                <w:szCs w:val="18"/>
              </w:rPr>
            </w:pPr>
          </w:p>
        </w:tc>
        <w:tc>
          <w:tcPr>
            <w:tcW w:w="1263" w:type="dxa"/>
            <w:shd w:val="clear" w:color="auto" w:fill="auto"/>
          </w:tcPr>
          <w:p w14:paraId="767C33C0" w14:textId="77777777" w:rsidR="007E0ABC" w:rsidRDefault="007E0ABC" w:rsidP="003C4FF0">
            <w:pPr>
              <w:rPr>
                <w:rFonts w:eastAsia="Calibri" w:cs="Calibri"/>
                <w:b/>
                <w:color w:val="000000"/>
                <w:sz w:val="18"/>
                <w:szCs w:val="18"/>
              </w:rPr>
            </w:pPr>
          </w:p>
        </w:tc>
        <w:tc>
          <w:tcPr>
            <w:tcW w:w="1101" w:type="dxa"/>
            <w:shd w:val="clear" w:color="auto" w:fill="auto"/>
          </w:tcPr>
          <w:p w14:paraId="15DA49F6" w14:textId="77777777" w:rsidR="007E0ABC" w:rsidRDefault="007E0ABC" w:rsidP="003C4FF0">
            <w:pPr>
              <w:rPr>
                <w:rFonts w:eastAsia="Calibri" w:cs="Calibri"/>
                <w:b/>
                <w:color w:val="000000"/>
                <w:sz w:val="18"/>
                <w:szCs w:val="18"/>
              </w:rPr>
            </w:pPr>
          </w:p>
        </w:tc>
      </w:tr>
      <w:tr w:rsidR="007E0ABC" w14:paraId="4DF3E22C" w14:textId="77777777" w:rsidTr="003C4FF0">
        <w:tc>
          <w:tcPr>
            <w:tcW w:w="646" w:type="dxa"/>
            <w:shd w:val="clear" w:color="auto" w:fill="auto"/>
          </w:tcPr>
          <w:p w14:paraId="1DD41CC8" w14:textId="77777777" w:rsidR="007E0ABC" w:rsidRDefault="007E0ABC" w:rsidP="003C4FF0">
            <w:pPr>
              <w:rPr>
                <w:rFonts w:eastAsia="Calibri" w:cs="Calibri"/>
                <w:b/>
                <w:color w:val="000000"/>
                <w:sz w:val="18"/>
                <w:szCs w:val="18"/>
              </w:rPr>
            </w:pPr>
            <w:r>
              <w:rPr>
                <w:rFonts w:eastAsia="Calibri" w:cs="Calibri"/>
                <w:b/>
                <w:color w:val="000000"/>
                <w:sz w:val="18"/>
                <w:szCs w:val="18"/>
              </w:rPr>
              <w:t>5.</w:t>
            </w:r>
          </w:p>
          <w:p w14:paraId="6D60F14E" w14:textId="77777777" w:rsidR="007E0ABC" w:rsidRDefault="007E0ABC" w:rsidP="003C4FF0">
            <w:pPr>
              <w:rPr>
                <w:rFonts w:eastAsia="Calibri" w:cs="Calibri"/>
                <w:b/>
                <w:color w:val="000000"/>
                <w:sz w:val="18"/>
                <w:szCs w:val="18"/>
              </w:rPr>
            </w:pPr>
          </w:p>
        </w:tc>
        <w:tc>
          <w:tcPr>
            <w:tcW w:w="2913" w:type="dxa"/>
            <w:shd w:val="clear" w:color="auto" w:fill="auto"/>
          </w:tcPr>
          <w:p w14:paraId="3B163692" w14:textId="77777777" w:rsidR="007E0ABC" w:rsidRDefault="007E0ABC" w:rsidP="003C4FF0">
            <w:pPr>
              <w:spacing w:line="276" w:lineRule="auto"/>
              <w:rPr>
                <w:rFonts w:eastAsia="Calibri" w:cs="Calibri"/>
                <w:color w:val="000000"/>
                <w:szCs w:val="20"/>
              </w:rPr>
            </w:pPr>
            <w:r>
              <w:rPr>
                <w:rFonts w:eastAsia="Calibri" w:cs="Calibri"/>
                <w:color w:val="000000"/>
                <w:szCs w:val="20"/>
              </w:rPr>
              <w:t>Having strong physical reactions when something reminded you of the stressful experience (for example, heart pounding, trouble breathing, or sweating)?</w:t>
            </w:r>
          </w:p>
        </w:tc>
        <w:tc>
          <w:tcPr>
            <w:tcW w:w="1263" w:type="dxa"/>
            <w:shd w:val="clear" w:color="auto" w:fill="auto"/>
          </w:tcPr>
          <w:p w14:paraId="5E3854FB" w14:textId="77777777" w:rsidR="007E0ABC" w:rsidRDefault="007E0ABC" w:rsidP="003C4FF0">
            <w:pPr>
              <w:rPr>
                <w:rFonts w:eastAsia="Calibri" w:cs="Calibri"/>
                <w:b/>
                <w:color w:val="000000"/>
                <w:sz w:val="18"/>
                <w:szCs w:val="18"/>
              </w:rPr>
            </w:pPr>
          </w:p>
        </w:tc>
        <w:tc>
          <w:tcPr>
            <w:tcW w:w="1263" w:type="dxa"/>
            <w:shd w:val="clear" w:color="auto" w:fill="auto"/>
          </w:tcPr>
          <w:p w14:paraId="32210823" w14:textId="77777777" w:rsidR="007E0ABC" w:rsidRDefault="007E0ABC" w:rsidP="003C4FF0">
            <w:pPr>
              <w:rPr>
                <w:rFonts w:eastAsia="Calibri" w:cs="Calibri"/>
                <w:b/>
                <w:color w:val="000000"/>
                <w:sz w:val="18"/>
                <w:szCs w:val="18"/>
              </w:rPr>
            </w:pPr>
          </w:p>
        </w:tc>
        <w:tc>
          <w:tcPr>
            <w:tcW w:w="1263" w:type="dxa"/>
            <w:shd w:val="clear" w:color="auto" w:fill="auto"/>
          </w:tcPr>
          <w:p w14:paraId="3841F038" w14:textId="77777777" w:rsidR="007E0ABC" w:rsidRDefault="007E0ABC" w:rsidP="003C4FF0">
            <w:pPr>
              <w:rPr>
                <w:rFonts w:eastAsia="Calibri" w:cs="Calibri"/>
                <w:b/>
                <w:color w:val="000000"/>
                <w:sz w:val="18"/>
                <w:szCs w:val="18"/>
              </w:rPr>
            </w:pPr>
          </w:p>
        </w:tc>
        <w:tc>
          <w:tcPr>
            <w:tcW w:w="1263" w:type="dxa"/>
            <w:shd w:val="clear" w:color="auto" w:fill="auto"/>
          </w:tcPr>
          <w:p w14:paraId="54A97573" w14:textId="77777777" w:rsidR="007E0ABC" w:rsidRDefault="007E0ABC" w:rsidP="003C4FF0">
            <w:pPr>
              <w:rPr>
                <w:rFonts w:eastAsia="Calibri" w:cs="Calibri"/>
                <w:b/>
                <w:color w:val="000000"/>
                <w:sz w:val="18"/>
                <w:szCs w:val="18"/>
              </w:rPr>
            </w:pPr>
          </w:p>
        </w:tc>
        <w:tc>
          <w:tcPr>
            <w:tcW w:w="1101" w:type="dxa"/>
            <w:shd w:val="clear" w:color="auto" w:fill="auto"/>
          </w:tcPr>
          <w:p w14:paraId="040BA635" w14:textId="77777777" w:rsidR="007E0ABC" w:rsidRDefault="007E0ABC" w:rsidP="003C4FF0">
            <w:pPr>
              <w:rPr>
                <w:rFonts w:eastAsia="Calibri" w:cs="Calibri"/>
                <w:b/>
                <w:color w:val="000000"/>
                <w:sz w:val="18"/>
                <w:szCs w:val="18"/>
              </w:rPr>
            </w:pPr>
          </w:p>
        </w:tc>
      </w:tr>
      <w:tr w:rsidR="007E0ABC" w14:paraId="4F725BDC" w14:textId="77777777" w:rsidTr="003C4FF0">
        <w:tc>
          <w:tcPr>
            <w:tcW w:w="646" w:type="dxa"/>
            <w:shd w:val="clear" w:color="auto" w:fill="auto"/>
          </w:tcPr>
          <w:p w14:paraId="20387E30" w14:textId="77777777" w:rsidR="007E0ABC" w:rsidRDefault="007E0ABC" w:rsidP="003C4FF0">
            <w:pPr>
              <w:rPr>
                <w:rFonts w:eastAsia="Calibri" w:cs="Calibri"/>
                <w:b/>
                <w:color w:val="000000"/>
                <w:sz w:val="18"/>
                <w:szCs w:val="18"/>
              </w:rPr>
            </w:pPr>
            <w:r>
              <w:rPr>
                <w:rFonts w:eastAsia="Calibri" w:cs="Calibri"/>
                <w:b/>
                <w:color w:val="000000"/>
                <w:sz w:val="18"/>
                <w:szCs w:val="18"/>
              </w:rPr>
              <w:t>6.</w:t>
            </w:r>
          </w:p>
          <w:p w14:paraId="324DC6DD" w14:textId="77777777" w:rsidR="007E0ABC" w:rsidRDefault="007E0ABC" w:rsidP="003C4FF0">
            <w:pPr>
              <w:rPr>
                <w:rFonts w:eastAsia="Calibri" w:cs="Calibri"/>
                <w:b/>
                <w:color w:val="000000"/>
                <w:sz w:val="18"/>
                <w:szCs w:val="18"/>
              </w:rPr>
            </w:pPr>
          </w:p>
        </w:tc>
        <w:tc>
          <w:tcPr>
            <w:tcW w:w="2913" w:type="dxa"/>
            <w:shd w:val="clear" w:color="auto" w:fill="auto"/>
          </w:tcPr>
          <w:p w14:paraId="6CD2D470" w14:textId="77777777" w:rsidR="007E0ABC" w:rsidRDefault="007E0ABC" w:rsidP="003C4FF0">
            <w:pPr>
              <w:spacing w:line="276" w:lineRule="auto"/>
              <w:rPr>
                <w:rFonts w:eastAsia="Calibri" w:cs="Calibri"/>
                <w:color w:val="000000"/>
                <w:szCs w:val="20"/>
              </w:rPr>
            </w:pPr>
            <w:r>
              <w:rPr>
                <w:rFonts w:eastAsia="Calibri" w:cs="Calibri"/>
                <w:color w:val="000000"/>
                <w:szCs w:val="20"/>
              </w:rPr>
              <w:t>Avoiding memories, thoughts, or feelings related to the stressful experience?</w:t>
            </w:r>
          </w:p>
        </w:tc>
        <w:tc>
          <w:tcPr>
            <w:tcW w:w="1263" w:type="dxa"/>
            <w:shd w:val="clear" w:color="auto" w:fill="auto"/>
          </w:tcPr>
          <w:p w14:paraId="6F2CC9D1" w14:textId="77777777" w:rsidR="007E0ABC" w:rsidRDefault="007E0ABC" w:rsidP="003C4FF0">
            <w:pPr>
              <w:rPr>
                <w:rFonts w:eastAsia="Calibri" w:cs="Calibri"/>
                <w:b/>
                <w:color w:val="000000"/>
                <w:sz w:val="18"/>
                <w:szCs w:val="18"/>
              </w:rPr>
            </w:pPr>
          </w:p>
        </w:tc>
        <w:tc>
          <w:tcPr>
            <w:tcW w:w="1263" w:type="dxa"/>
            <w:shd w:val="clear" w:color="auto" w:fill="auto"/>
          </w:tcPr>
          <w:p w14:paraId="24473DF4" w14:textId="77777777" w:rsidR="007E0ABC" w:rsidRDefault="007E0ABC" w:rsidP="003C4FF0">
            <w:pPr>
              <w:rPr>
                <w:rFonts w:eastAsia="Calibri" w:cs="Calibri"/>
                <w:b/>
                <w:color w:val="000000"/>
                <w:sz w:val="18"/>
                <w:szCs w:val="18"/>
              </w:rPr>
            </w:pPr>
          </w:p>
        </w:tc>
        <w:tc>
          <w:tcPr>
            <w:tcW w:w="1263" w:type="dxa"/>
            <w:shd w:val="clear" w:color="auto" w:fill="auto"/>
          </w:tcPr>
          <w:p w14:paraId="5C208A30" w14:textId="77777777" w:rsidR="007E0ABC" w:rsidRDefault="007E0ABC" w:rsidP="003C4FF0">
            <w:pPr>
              <w:rPr>
                <w:rFonts w:eastAsia="Calibri" w:cs="Calibri"/>
                <w:b/>
                <w:color w:val="000000"/>
                <w:sz w:val="18"/>
                <w:szCs w:val="18"/>
              </w:rPr>
            </w:pPr>
          </w:p>
        </w:tc>
        <w:tc>
          <w:tcPr>
            <w:tcW w:w="1263" w:type="dxa"/>
            <w:shd w:val="clear" w:color="auto" w:fill="auto"/>
          </w:tcPr>
          <w:p w14:paraId="67623764" w14:textId="77777777" w:rsidR="007E0ABC" w:rsidRDefault="007E0ABC" w:rsidP="003C4FF0">
            <w:pPr>
              <w:rPr>
                <w:rFonts w:eastAsia="Calibri" w:cs="Calibri"/>
                <w:b/>
                <w:color w:val="000000"/>
                <w:sz w:val="18"/>
                <w:szCs w:val="18"/>
              </w:rPr>
            </w:pPr>
          </w:p>
        </w:tc>
        <w:tc>
          <w:tcPr>
            <w:tcW w:w="1101" w:type="dxa"/>
            <w:shd w:val="clear" w:color="auto" w:fill="auto"/>
          </w:tcPr>
          <w:p w14:paraId="3DF3DD02" w14:textId="77777777" w:rsidR="007E0ABC" w:rsidRDefault="007E0ABC" w:rsidP="003C4FF0">
            <w:pPr>
              <w:rPr>
                <w:rFonts w:eastAsia="Calibri" w:cs="Calibri"/>
                <w:b/>
                <w:color w:val="000000"/>
                <w:sz w:val="18"/>
                <w:szCs w:val="18"/>
              </w:rPr>
            </w:pPr>
          </w:p>
        </w:tc>
      </w:tr>
      <w:tr w:rsidR="007E0ABC" w14:paraId="13F898A9" w14:textId="77777777" w:rsidTr="003C4FF0">
        <w:tc>
          <w:tcPr>
            <w:tcW w:w="646" w:type="dxa"/>
            <w:shd w:val="clear" w:color="auto" w:fill="auto"/>
          </w:tcPr>
          <w:p w14:paraId="713AE15C" w14:textId="77777777" w:rsidR="007E0ABC" w:rsidRDefault="007E0ABC" w:rsidP="003C4FF0">
            <w:pPr>
              <w:rPr>
                <w:rFonts w:eastAsia="Calibri" w:cs="Calibri"/>
                <w:b/>
                <w:color w:val="000000"/>
                <w:sz w:val="18"/>
                <w:szCs w:val="18"/>
              </w:rPr>
            </w:pPr>
            <w:r>
              <w:rPr>
                <w:rFonts w:eastAsia="Calibri" w:cs="Calibri"/>
                <w:b/>
                <w:color w:val="000000"/>
                <w:sz w:val="18"/>
                <w:szCs w:val="18"/>
              </w:rPr>
              <w:t>7.</w:t>
            </w:r>
          </w:p>
          <w:p w14:paraId="7AE46979" w14:textId="77777777" w:rsidR="007E0ABC" w:rsidRDefault="007E0ABC" w:rsidP="003C4FF0">
            <w:pPr>
              <w:rPr>
                <w:rFonts w:eastAsia="Calibri" w:cs="Calibri"/>
                <w:b/>
                <w:color w:val="000000"/>
                <w:sz w:val="18"/>
                <w:szCs w:val="18"/>
              </w:rPr>
            </w:pPr>
          </w:p>
        </w:tc>
        <w:tc>
          <w:tcPr>
            <w:tcW w:w="2913" w:type="dxa"/>
            <w:shd w:val="clear" w:color="auto" w:fill="auto"/>
          </w:tcPr>
          <w:p w14:paraId="27AF4C42"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Avoiding external reminders of the stressful </w:t>
            </w:r>
            <w:r>
              <w:rPr>
                <w:rFonts w:eastAsia="Calibri" w:cs="Calibri"/>
                <w:color w:val="000000"/>
                <w:szCs w:val="20"/>
              </w:rPr>
              <w:lastRenderedPageBreak/>
              <w:t>experience (for example, people, places, conversations, activities, objects or situations)?</w:t>
            </w:r>
          </w:p>
        </w:tc>
        <w:tc>
          <w:tcPr>
            <w:tcW w:w="1263" w:type="dxa"/>
            <w:shd w:val="clear" w:color="auto" w:fill="auto"/>
          </w:tcPr>
          <w:p w14:paraId="0B0D38DA" w14:textId="77777777" w:rsidR="007E0ABC" w:rsidRDefault="007E0ABC" w:rsidP="003C4FF0">
            <w:pPr>
              <w:rPr>
                <w:rFonts w:eastAsia="Calibri" w:cs="Calibri"/>
                <w:b/>
                <w:color w:val="000000"/>
                <w:sz w:val="18"/>
                <w:szCs w:val="18"/>
              </w:rPr>
            </w:pPr>
          </w:p>
        </w:tc>
        <w:tc>
          <w:tcPr>
            <w:tcW w:w="1263" w:type="dxa"/>
            <w:shd w:val="clear" w:color="auto" w:fill="auto"/>
          </w:tcPr>
          <w:p w14:paraId="154AB181" w14:textId="77777777" w:rsidR="007E0ABC" w:rsidRDefault="007E0ABC" w:rsidP="003C4FF0">
            <w:pPr>
              <w:rPr>
                <w:rFonts w:eastAsia="Calibri" w:cs="Calibri"/>
                <w:b/>
                <w:color w:val="000000"/>
                <w:sz w:val="18"/>
                <w:szCs w:val="18"/>
              </w:rPr>
            </w:pPr>
          </w:p>
        </w:tc>
        <w:tc>
          <w:tcPr>
            <w:tcW w:w="1263" w:type="dxa"/>
            <w:shd w:val="clear" w:color="auto" w:fill="auto"/>
          </w:tcPr>
          <w:p w14:paraId="6D885F14" w14:textId="77777777" w:rsidR="007E0ABC" w:rsidRDefault="007E0ABC" w:rsidP="003C4FF0">
            <w:pPr>
              <w:rPr>
                <w:rFonts w:eastAsia="Calibri" w:cs="Calibri"/>
                <w:b/>
                <w:color w:val="000000"/>
                <w:sz w:val="18"/>
                <w:szCs w:val="18"/>
              </w:rPr>
            </w:pPr>
          </w:p>
        </w:tc>
        <w:tc>
          <w:tcPr>
            <w:tcW w:w="1263" w:type="dxa"/>
            <w:shd w:val="clear" w:color="auto" w:fill="auto"/>
          </w:tcPr>
          <w:p w14:paraId="23B46B78" w14:textId="77777777" w:rsidR="007E0ABC" w:rsidRDefault="007E0ABC" w:rsidP="003C4FF0">
            <w:pPr>
              <w:rPr>
                <w:rFonts w:eastAsia="Calibri" w:cs="Calibri"/>
                <w:b/>
                <w:color w:val="000000"/>
                <w:sz w:val="18"/>
                <w:szCs w:val="18"/>
              </w:rPr>
            </w:pPr>
          </w:p>
        </w:tc>
        <w:tc>
          <w:tcPr>
            <w:tcW w:w="1101" w:type="dxa"/>
            <w:shd w:val="clear" w:color="auto" w:fill="auto"/>
          </w:tcPr>
          <w:p w14:paraId="5B8B8EF8" w14:textId="77777777" w:rsidR="007E0ABC" w:rsidRDefault="007E0ABC" w:rsidP="003C4FF0">
            <w:pPr>
              <w:rPr>
                <w:rFonts w:eastAsia="Calibri" w:cs="Calibri"/>
                <w:b/>
                <w:color w:val="000000"/>
                <w:sz w:val="18"/>
                <w:szCs w:val="18"/>
              </w:rPr>
            </w:pPr>
          </w:p>
        </w:tc>
      </w:tr>
      <w:tr w:rsidR="007E0ABC" w14:paraId="6FD3D271" w14:textId="77777777" w:rsidTr="003C4FF0">
        <w:tc>
          <w:tcPr>
            <w:tcW w:w="646" w:type="dxa"/>
            <w:shd w:val="clear" w:color="auto" w:fill="auto"/>
          </w:tcPr>
          <w:p w14:paraId="430559B2" w14:textId="77777777" w:rsidR="007E0ABC" w:rsidRDefault="007E0ABC" w:rsidP="003C4FF0">
            <w:pPr>
              <w:rPr>
                <w:rFonts w:eastAsia="Calibri" w:cs="Calibri"/>
                <w:b/>
                <w:color w:val="000000"/>
                <w:sz w:val="18"/>
                <w:szCs w:val="18"/>
              </w:rPr>
            </w:pPr>
            <w:r>
              <w:rPr>
                <w:rFonts w:eastAsia="Calibri" w:cs="Calibri"/>
                <w:b/>
                <w:color w:val="000000"/>
                <w:sz w:val="18"/>
                <w:szCs w:val="18"/>
              </w:rPr>
              <w:t>8.</w:t>
            </w:r>
          </w:p>
          <w:p w14:paraId="3F4ED463" w14:textId="77777777" w:rsidR="007E0ABC" w:rsidRDefault="007E0ABC" w:rsidP="003C4FF0">
            <w:pPr>
              <w:rPr>
                <w:rFonts w:eastAsia="Calibri" w:cs="Calibri"/>
                <w:b/>
                <w:color w:val="000000"/>
                <w:sz w:val="18"/>
                <w:szCs w:val="18"/>
              </w:rPr>
            </w:pPr>
          </w:p>
        </w:tc>
        <w:tc>
          <w:tcPr>
            <w:tcW w:w="2913" w:type="dxa"/>
            <w:shd w:val="clear" w:color="auto" w:fill="auto"/>
          </w:tcPr>
          <w:p w14:paraId="4E36A1D2" w14:textId="77777777" w:rsidR="007E0ABC" w:rsidRDefault="007E0ABC" w:rsidP="003C4FF0">
            <w:pPr>
              <w:spacing w:line="276" w:lineRule="auto"/>
              <w:rPr>
                <w:rFonts w:eastAsia="Calibri" w:cs="Calibri"/>
                <w:color w:val="000000"/>
                <w:szCs w:val="20"/>
              </w:rPr>
            </w:pPr>
            <w:r>
              <w:rPr>
                <w:rFonts w:eastAsia="Calibri" w:cs="Calibri"/>
                <w:color w:val="000000"/>
                <w:szCs w:val="20"/>
              </w:rPr>
              <w:t>Trouble remembering important parts of the stressful experience?</w:t>
            </w:r>
          </w:p>
        </w:tc>
        <w:tc>
          <w:tcPr>
            <w:tcW w:w="1263" w:type="dxa"/>
            <w:shd w:val="clear" w:color="auto" w:fill="auto"/>
          </w:tcPr>
          <w:p w14:paraId="20EAD68C" w14:textId="77777777" w:rsidR="007E0ABC" w:rsidRDefault="007E0ABC" w:rsidP="003C4FF0">
            <w:pPr>
              <w:rPr>
                <w:rFonts w:eastAsia="Calibri" w:cs="Calibri"/>
                <w:b/>
                <w:color w:val="000000"/>
                <w:sz w:val="18"/>
                <w:szCs w:val="18"/>
              </w:rPr>
            </w:pPr>
          </w:p>
        </w:tc>
        <w:tc>
          <w:tcPr>
            <w:tcW w:w="1263" w:type="dxa"/>
            <w:shd w:val="clear" w:color="auto" w:fill="auto"/>
          </w:tcPr>
          <w:p w14:paraId="6C3589DB" w14:textId="77777777" w:rsidR="007E0ABC" w:rsidRDefault="007E0ABC" w:rsidP="003C4FF0">
            <w:pPr>
              <w:rPr>
                <w:rFonts w:eastAsia="Calibri" w:cs="Calibri"/>
                <w:b/>
                <w:color w:val="000000"/>
                <w:sz w:val="18"/>
                <w:szCs w:val="18"/>
              </w:rPr>
            </w:pPr>
          </w:p>
        </w:tc>
        <w:tc>
          <w:tcPr>
            <w:tcW w:w="1263" w:type="dxa"/>
            <w:shd w:val="clear" w:color="auto" w:fill="auto"/>
          </w:tcPr>
          <w:p w14:paraId="5CF67DF5" w14:textId="77777777" w:rsidR="007E0ABC" w:rsidRDefault="007E0ABC" w:rsidP="003C4FF0">
            <w:pPr>
              <w:rPr>
                <w:rFonts w:eastAsia="Calibri" w:cs="Calibri"/>
                <w:b/>
                <w:color w:val="000000"/>
                <w:sz w:val="18"/>
                <w:szCs w:val="18"/>
              </w:rPr>
            </w:pPr>
          </w:p>
        </w:tc>
        <w:tc>
          <w:tcPr>
            <w:tcW w:w="1263" w:type="dxa"/>
            <w:shd w:val="clear" w:color="auto" w:fill="auto"/>
          </w:tcPr>
          <w:p w14:paraId="774B1351" w14:textId="77777777" w:rsidR="007E0ABC" w:rsidRDefault="007E0ABC" w:rsidP="003C4FF0">
            <w:pPr>
              <w:rPr>
                <w:rFonts w:eastAsia="Calibri" w:cs="Calibri"/>
                <w:b/>
                <w:color w:val="000000"/>
                <w:sz w:val="18"/>
                <w:szCs w:val="18"/>
              </w:rPr>
            </w:pPr>
          </w:p>
        </w:tc>
        <w:tc>
          <w:tcPr>
            <w:tcW w:w="1101" w:type="dxa"/>
            <w:shd w:val="clear" w:color="auto" w:fill="auto"/>
          </w:tcPr>
          <w:p w14:paraId="1630F92C" w14:textId="77777777" w:rsidR="007E0ABC" w:rsidRDefault="007E0ABC" w:rsidP="003C4FF0">
            <w:pPr>
              <w:rPr>
                <w:rFonts w:eastAsia="Calibri" w:cs="Calibri"/>
                <w:b/>
                <w:color w:val="000000"/>
                <w:sz w:val="18"/>
                <w:szCs w:val="18"/>
              </w:rPr>
            </w:pPr>
          </w:p>
        </w:tc>
      </w:tr>
      <w:tr w:rsidR="007E0ABC" w14:paraId="6CE14E6C" w14:textId="77777777" w:rsidTr="003C4FF0">
        <w:tc>
          <w:tcPr>
            <w:tcW w:w="646" w:type="dxa"/>
            <w:shd w:val="clear" w:color="auto" w:fill="auto"/>
          </w:tcPr>
          <w:p w14:paraId="2C3D2181" w14:textId="77777777" w:rsidR="007E0ABC" w:rsidRDefault="007E0ABC" w:rsidP="003C4FF0">
            <w:pPr>
              <w:rPr>
                <w:rFonts w:eastAsia="Calibri" w:cs="Calibri"/>
                <w:b/>
                <w:color w:val="000000"/>
                <w:sz w:val="18"/>
                <w:szCs w:val="18"/>
              </w:rPr>
            </w:pPr>
            <w:r>
              <w:rPr>
                <w:rFonts w:eastAsia="Calibri" w:cs="Calibri"/>
                <w:b/>
                <w:color w:val="000000"/>
                <w:sz w:val="18"/>
                <w:szCs w:val="18"/>
              </w:rPr>
              <w:t>9.</w:t>
            </w:r>
          </w:p>
        </w:tc>
        <w:tc>
          <w:tcPr>
            <w:tcW w:w="2913" w:type="dxa"/>
            <w:shd w:val="clear" w:color="auto" w:fill="auto"/>
          </w:tcPr>
          <w:p w14:paraId="403B0D6E" w14:textId="77777777" w:rsidR="007E0ABC" w:rsidRDefault="007E0ABC" w:rsidP="003C4FF0">
            <w:pPr>
              <w:spacing w:line="276" w:lineRule="auto"/>
              <w:rPr>
                <w:rFonts w:eastAsia="Calibri" w:cs="Calibri"/>
                <w:color w:val="000000"/>
                <w:szCs w:val="20"/>
              </w:rPr>
            </w:pPr>
            <w:r>
              <w:rPr>
                <w:rFonts w:eastAsia="Calibri" w:cs="Calibri"/>
                <w:color w:val="000000"/>
                <w:szCs w:val="20"/>
              </w:rPr>
              <w:t>Having strong negative beliefs about yourself, other people, or the world (for example, having thoughts such as: I am bad, there is something seriously wrong with me,</w:t>
            </w:r>
            <w:r>
              <w:rPr>
                <w:rFonts w:eastAsia="Calibri" w:cs="Calibri"/>
                <w:color w:val="000000"/>
                <w:szCs w:val="20"/>
              </w:rPr>
              <w:br/>
              <w:t xml:space="preserve">no one can be trusted, the world is completely dangerous)? </w:t>
            </w:r>
          </w:p>
        </w:tc>
        <w:tc>
          <w:tcPr>
            <w:tcW w:w="1263" w:type="dxa"/>
            <w:shd w:val="clear" w:color="auto" w:fill="auto"/>
          </w:tcPr>
          <w:p w14:paraId="347F1E50" w14:textId="77777777" w:rsidR="007E0ABC" w:rsidRDefault="007E0ABC" w:rsidP="003C4FF0">
            <w:pPr>
              <w:rPr>
                <w:rFonts w:eastAsia="Calibri" w:cs="Calibri"/>
                <w:b/>
                <w:color w:val="000000"/>
                <w:sz w:val="18"/>
                <w:szCs w:val="18"/>
              </w:rPr>
            </w:pPr>
          </w:p>
        </w:tc>
        <w:tc>
          <w:tcPr>
            <w:tcW w:w="1263" w:type="dxa"/>
            <w:shd w:val="clear" w:color="auto" w:fill="auto"/>
          </w:tcPr>
          <w:p w14:paraId="0BBAA561" w14:textId="77777777" w:rsidR="007E0ABC" w:rsidRDefault="007E0ABC" w:rsidP="003C4FF0">
            <w:pPr>
              <w:rPr>
                <w:rFonts w:eastAsia="Calibri" w:cs="Calibri"/>
                <w:b/>
                <w:color w:val="000000"/>
                <w:sz w:val="18"/>
                <w:szCs w:val="18"/>
              </w:rPr>
            </w:pPr>
          </w:p>
        </w:tc>
        <w:tc>
          <w:tcPr>
            <w:tcW w:w="1263" w:type="dxa"/>
            <w:shd w:val="clear" w:color="auto" w:fill="auto"/>
          </w:tcPr>
          <w:p w14:paraId="12672434" w14:textId="77777777" w:rsidR="007E0ABC" w:rsidRDefault="007E0ABC" w:rsidP="003C4FF0">
            <w:pPr>
              <w:rPr>
                <w:rFonts w:eastAsia="Calibri" w:cs="Calibri"/>
                <w:b/>
                <w:color w:val="000000"/>
                <w:sz w:val="18"/>
                <w:szCs w:val="18"/>
              </w:rPr>
            </w:pPr>
          </w:p>
        </w:tc>
        <w:tc>
          <w:tcPr>
            <w:tcW w:w="1263" w:type="dxa"/>
            <w:shd w:val="clear" w:color="auto" w:fill="auto"/>
          </w:tcPr>
          <w:p w14:paraId="19E48794" w14:textId="77777777" w:rsidR="007E0ABC" w:rsidRDefault="007E0ABC" w:rsidP="003C4FF0">
            <w:pPr>
              <w:rPr>
                <w:rFonts w:eastAsia="Calibri" w:cs="Calibri"/>
                <w:b/>
                <w:color w:val="000000"/>
                <w:sz w:val="18"/>
                <w:szCs w:val="18"/>
              </w:rPr>
            </w:pPr>
          </w:p>
        </w:tc>
        <w:tc>
          <w:tcPr>
            <w:tcW w:w="1101" w:type="dxa"/>
            <w:shd w:val="clear" w:color="auto" w:fill="auto"/>
          </w:tcPr>
          <w:p w14:paraId="6F320471" w14:textId="77777777" w:rsidR="007E0ABC" w:rsidRDefault="007E0ABC" w:rsidP="003C4FF0">
            <w:pPr>
              <w:rPr>
                <w:rFonts w:eastAsia="Calibri" w:cs="Calibri"/>
                <w:b/>
                <w:color w:val="000000"/>
                <w:sz w:val="18"/>
                <w:szCs w:val="18"/>
              </w:rPr>
            </w:pPr>
          </w:p>
        </w:tc>
      </w:tr>
      <w:tr w:rsidR="007E0ABC" w14:paraId="4564E996" w14:textId="77777777" w:rsidTr="003C4FF0">
        <w:tc>
          <w:tcPr>
            <w:tcW w:w="646" w:type="dxa"/>
            <w:shd w:val="clear" w:color="auto" w:fill="auto"/>
          </w:tcPr>
          <w:p w14:paraId="1A8A6A51" w14:textId="77777777" w:rsidR="007E0ABC" w:rsidRDefault="007E0ABC" w:rsidP="003C4FF0">
            <w:pPr>
              <w:rPr>
                <w:rFonts w:eastAsia="Calibri" w:cs="Calibri"/>
                <w:b/>
                <w:color w:val="000000"/>
                <w:sz w:val="18"/>
                <w:szCs w:val="18"/>
              </w:rPr>
            </w:pPr>
            <w:r>
              <w:rPr>
                <w:rFonts w:eastAsia="Calibri" w:cs="Calibri"/>
                <w:b/>
                <w:color w:val="000000"/>
                <w:sz w:val="18"/>
                <w:szCs w:val="18"/>
              </w:rPr>
              <w:t xml:space="preserve">10. </w:t>
            </w:r>
          </w:p>
        </w:tc>
        <w:tc>
          <w:tcPr>
            <w:tcW w:w="2913" w:type="dxa"/>
            <w:shd w:val="clear" w:color="auto" w:fill="auto"/>
          </w:tcPr>
          <w:p w14:paraId="4B1D5A40" w14:textId="77777777" w:rsidR="007E0ABC" w:rsidRDefault="007E0ABC" w:rsidP="003C4FF0">
            <w:pPr>
              <w:spacing w:line="276" w:lineRule="auto"/>
              <w:rPr>
                <w:rFonts w:eastAsia="Calibri" w:cs="Calibri"/>
                <w:color w:val="000000"/>
                <w:szCs w:val="20"/>
              </w:rPr>
            </w:pPr>
            <w:r>
              <w:rPr>
                <w:rFonts w:eastAsia="Calibri" w:cs="Calibri"/>
                <w:color w:val="000000"/>
                <w:szCs w:val="20"/>
              </w:rPr>
              <w:t>Blaming yourself or someone else for the stressful experience or what happened after it?</w:t>
            </w:r>
          </w:p>
        </w:tc>
        <w:tc>
          <w:tcPr>
            <w:tcW w:w="1263" w:type="dxa"/>
            <w:shd w:val="clear" w:color="auto" w:fill="auto"/>
          </w:tcPr>
          <w:p w14:paraId="401C2543" w14:textId="77777777" w:rsidR="007E0ABC" w:rsidRDefault="007E0ABC" w:rsidP="003C4FF0">
            <w:pPr>
              <w:rPr>
                <w:rFonts w:eastAsia="Calibri" w:cs="Calibri"/>
                <w:b/>
                <w:color w:val="000000"/>
                <w:sz w:val="18"/>
                <w:szCs w:val="18"/>
              </w:rPr>
            </w:pPr>
          </w:p>
        </w:tc>
        <w:tc>
          <w:tcPr>
            <w:tcW w:w="1263" w:type="dxa"/>
            <w:shd w:val="clear" w:color="auto" w:fill="auto"/>
          </w:tcPr>
          <w:p w14:paraId="12CE5748" w14:textId="77777777" w:rsidR="007E0ABC" w:rsidRDefault="007E0ABC" w:rsidP="003C4FF0">
            <w:pPr>
              <w:rPr>
                <w:rFonts w:eastAsia="Calibri" w:cs="Calibri"/>
                <w:b/>
                <w:color w:val="000000"/>
                <w:sz w:val="18"/>
                <w:szCs w:val="18"/>
              </w:rPr>
            </w:pPr>
          </w:p>
        </w:tc>
        <w:tc>
          <w:tcPr>
            <w:tcW w:w="1263" w:type="dxa"/>
            <w:shd w:val="clear" w:color="auto" w:fill="auto"/>
          </w:tcPr>
          <w:p w14:paraId="10F713C4" w14:textId="77777777" w:rsidR="007E0ABC" w:rsidRDefault="007E0ABC" w:rsidP="003C4FF0">
            <w:pPr>
              <w:rPr>
                <w:rFonts w:eastAsia="Calibri" w:cs="Calibri"/>
                <w:b/>
                <w:color w:val="000000"/>
                <w:sz w:val="18"/>
                <w:szCs w:val="18"/>
              </w:rPr>
            </w:pPr>
          </w:p>
        </w:tc>
        <w:tc>
          <w:tcPr>
            <w:tcW w:w="1263" w:type="dxa"/>
            <w:shd w:val="clear" w:color="auto" w:fill="auto"/>
          </w:tcPr>
          <w:p w14:paraId="71BDF8ED" w14:textId="77777777" w:rsidR="007E0ABC" w:rsidRDefault="007E0ABC" w:rsidP="003C4FF0">
            <w:pPr>
              <w:rPr>
                <w:rFonts w:eastAsia="Calibri" w:cs="Calibri"/>
                <w:b/>
                <w:color w:val="000000"/>
                <w:sz w:val="18"/>
                <w:szCs w:val="18"/>
              </w:rPr>
            </w:pPr>
          </w:p>
        </w:tc>
        <w:tc>
          <w:tcPr>
            <w:tcW w:w="1101" w:type="dxa"/>
            <w:shd w:val="clear" w:color="auto" w:fill="auto"/>
          </w:tcPr>
          <w:p w14:paraId="20039B2E" w14:textId="77777777" w:rsidR="007E0ABC" w:rsidRDefault="007E0ABC" w:rsidP="003C4FF0">
            <w:pPr>
              <w:rPr>
                <w:rFonts w:eastAsia="Calibri" w:cs="Calibri"/>
                <w:b/>
                <w:color w:val="000000"/>
                <w:sz w:val="18"/>
                <w:szCs w:val="18"/>
              </w:rPr>
            </w:pPr>
          </w:p>
        </w:tc>
      </w:tr>
      <w:tr w:rsidR="007E0ABC" w14:paraId="70DD6324" w14:textId="77777777" w:rsidTr="003C4FF0">
        <w:tc>
          <w:tcPr>
            <w:tcW w:w="646" w:type="dxa"/>
            <w:shd w:val="clear" w:color="auto" w:fill="auto"/>
          </w:tcPr>
          <w:p w14:paraId="4B61E9F8" w14:textId="77777777" w:rsidR="007E0ABC" w:rsidRDefault="007E0ABC" w:rsidP="003C4FF0">
            <w:pPr>
              <w:rPr>
                <w:rFonts w:eastAsia="Calibri" w:cs="Calibri"/>
                <w:b/>
                <w:color w:val="000000"/>
                <w:sz w:val="18"/>
                <w:szCs w:val="18"/>
              </w:rPr>
            </w:pPr>
            <w:r>
              <w:rPr>
                <w:rFonts w:eastAsia="Calibri" w:cs="Calibri"/>
                <w:b/>
                <w:color w:val="000000"/>
                <w:sz w:val="18"/>
                <w:szCs w:val="18"/>
              </w:rPr>
              <w:t xml:space="preserve">11. </w:t>
            </w:r>
          </w:p>
        </w:tc>
        <w:tc>
          <w:tcPr>
            <w:tcW w:w="2913" w:type="dxa"/>
            <w:shd w:val="clear" w:color="auto" w:fill="auto"/>
          </w:tcPr>
          <w:p w14:paraId="0659BE11" w14:textId="77777777" w:rsidR="007E0ABC" w:rsidRDefault="007E0ABC" w:rsidP="003C4FF0">
            <w:pPr>
              <w:spacing w:line="276" w:lineRule="auto"/>
              <w:rPr>
                <w:rFonts w:eastAsia="Calibri" w:cs="Calibri"/>
                <w:color w:val="000000"/>
                <w:szCs w:val="20"/>
              </w:rPr>
            </w:pPr>
            <w:r>
              <w:rPr>
                <w:rFonts w:eastAsia="Calibri" w:cs="Calibri"/>
                <w:color w:val="000000"/>
                <w:szCs w:val="20"/>
              </w:rPr>
              <w:t>Having strong negative feelings such as fear, horror, anger, guilt, or shame?</w:t>
            </w:r>
          </w:p>
        </w:tc>
        <w:tc>
          <w:tcPr>
            <w:tcW w:w="1263" w:type="dxa"/>
            <w:shd w:val="clear" w:color="auto" w:fill="auto"/>
          </w:tcPr>
          <w:p w14:paraId="3BDD4607" w14:textId="77777777" w:rsidR="007E0ABC" w:rsidRDefault="007E0ABC" w:rsidP="003C4FF0">
            <w:pPr>
              <w:rPr>
                <w:rFonts w:eastAsia="Calibri" w:cs="Calibri"/>
                <w:b/>
                <w:color w:val="000000"/>
                <w:sz w:val="18"/>
                <w:szCs w:val="18"/>
              </w:rPr>
            </w:pPr>
          </w:p>
        </w:tc>
        <w:tc>
          <w:tcPr>
            <w:tcW w:w="1263" w:type="dxa"/>
            <w:shd w:val="clear" w:color="auto" w:fill="auto"/>
          </w:tcPr>
          <w:p w14:paraId="32D448B2" w14:textId="77777777" w:rsidR="007E0ABC" w:rsidRDefault="007E0ABC" w:rsidP="003C4FF0">
            <w:pPr>
              <w:rPr>
                <w:rFonts w:eastAsia="Calibri" w:cs="Calibri"/>
                <w:b/>
                <w:color w:val="000000"/>
                <w:sz w:val="18"/>
                <w:szCs w:val="18"/>
              </w:rPr>
            </w:pPr>
          </w:p>
        </w:tc>
        <w:tc>
          <w:tcPr>
            <w:tcW w:w="1263" w:type="dxa"/>
            <w:shd w:val="clear" w:color="auto" w:fill="auto"/>
          </w:tcPr>
          <w:p w14:paraId="14F59974" w14:textId="77777777" w:rsidR="007E0ABC" w:rsidRDefault="007E0ABC" w:rsidP="003C4FF0">
            <w:pPr>
              <w:rPr>
                <w:rFonts w:eastAsia="Calibri" w:cs="Calibri"/>
                <w:b/>
                <w:color w:val="000000"/>
                <w:sz w:val="18"/>
                <w:szCs w:val="18"/>
              </w:rPr>
            </w:pPr>
          </w:p>
        </w:tc>
        <w:tc>
          <w:tcPr>
            <w:tcW w:w="1263" w:type="dxa"/>
            <w:shd w:val="clear" w:color="auto" w:fill="auto"/>
          </w:tcPr>
          <w:p w14:paraId="2D0CA0E1" w14:textId="77777777" w:rsidR="007E0ABC" w:rsidRDefault="007E0ABC" w:rsidP="003C4FF0">
            <w:pPr>
              <w:rPr>
                <w:rFonts w:eastAsia="Calibri" w:cs="Calibri"/>
                <w:b/>
                <w:color w:val="000000"/>
                <w:sz w:val="18"/>
                <w:szCs w:val="18"/>
              </w:rPr>
            </w:pPr>
          </w:p>
        </w:tc>
        <w:tc>
          <w:tcPr>
            <w:tcW w:w="1101" w:type="dxa"/>
            <w:shd w:val="clear" w:color="auto" w:fill="auto"/>
          </w:tcPr>
          <w:p w14:paraId="588491E2" w14:textId="77777777" w:rsidR="007E0ABC" w:rsidRDefault="007E0ABC" w:rsidP="003C4FF0">
            <w:pPr>
              <w:rPr>
                <w:rFonts w:eastAsia="Calibri" w:cs="Calibri"/>
                <w:b/>
                <w:color w:val="000000"/>
                <w:sz w:val="18"/>
                <w:szCs w:val="18"/>
              </w:rPr>
            </w:pPr>
          </w:p>
        </w:tc>
      </w:tr>
      <w:tr w:rsidR="007E0ABC" w14:paraId="26DBA4F2" w14:textId="77777777" w:rsidTr="003C4FF0">
        <w:tc>
          <w:tcPr>
            <w:tcW w:w="646" w:type="dxa"/>
            <w:shd w:val="clear" w:color="auto" w:fill="auto"/>
          </w:tcPr>
          <w:p w14:paraId="78314653" w14:textId="77777777" w:rsidR="007E0ABC" w:rsidRDefault="007E0ABC" w:rsidP="003C4FF0">
            <w:pPr>
              <w:rPr>
                <w:rFonts w:eastAsia="Calibri" w:cs="Calibri"/>
                <w:b/>
                <w:color w:val="000000"/>
                <w:sz w:val="18"/>
                <w:szCs w:val="18"/>
              </w:rPr>
            </w:pPr>
            <w:r>
              <w:rPr>
                <w:rFonts w:eastAsia="Calibri" w:cs="Calibri"/>
                <w:b/>
                <w:color w:val="000000"/>
                <w:sz w:val="18"/>
                <w:szCs w:val="18"/>
              </w:rPr>
              <w:t>12.</w:t>
            </w:r>
          </w:p>
        </w:tc>
        <w:tc>
          <w:tcPr>
            <w:tcW w:w="2913" w:type="dxa"/>
            <w:shd w:val="clear" w:color="auto" w:fill="auto"/>
          </w:tcPr>
          <w:p w14:paraId="1563CDE0"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Loss of interest in activities that you used to enjoy? </w:t>
            </w:r>
          </w:p>
          <w:p w14:paraId="30DDB742" w14:textId="77777777" w:rsidR="007E0ABC" w:rsidRDefault="007E0ABC" w:rsidP="003C4FF0">
            <w:pPr>
              <w:spacing w:line="276" w:lineRule="auto"/>
              <w:rPr>
                <w:rFonts w:eastAsia="Calibri" w:cs="Calibri"/>
                <w:color w:val="000000"/>
                <w:szCs w:val="20"/>
              </w:rPr>
            </w:pPr>
          </w:p>
        </w:tc>
        <w:tc>
          <w:tcPr>
            <w:tcW w:w="1263" w:type="dxa"/>
            <w:shd w:val="clear" w:color="auto" w:fill="auto"/>
          </w:tcPr>
          <w:p w14:paraId="44CC313F" w14:textId="77777777" w:rsidR="007E0ABC" w:rsidRDefault="007E0ABC" w:rsidP="003C4FF0">
            <w:pPr>
              <w:rPr>
                <w:rFonts w:eastAsia="Calibri" w:cs="Calibri"/>
                <w:b/>
                <w:color w:val="000000"/>
                <w:sz w:val="18"/>
                <w:szCs w:val="18"/>
              </w:rPr>
            </w:pPr>
          </w:p>
        </w:tc>
        <w:tc>
          <w:tcPr>
            <w:tcW w:w="1263" w:type="dxa"/>
            <w:shd w:val="clear" w:color="auto" w:fill="auto"/>
          </w:tcPr>
          <w:p w14:paraId="688A28A8" w14:textId="77777777" w:rsidR="007E0ABC" w:rsidRDefault="007E0ABC" w:rsidP="003C4FF0">
            <w:pPr>
              <w:rPr>
                <w:rFonts w:eastAsia="Calibri" w:cs="Calibri"/>
                <w:b/>
                <w:color w:val="000000"/>
                <w:sz w:val="18"/>
                <w:szCs w:val="18"/>
              </w:rPr>
            </w:pPr>
          </w:p>
        </w:tc>
        <w:tc>
          <w:tcPr>
            <w:tcW w:w="1263" w:type="dxa"/>
            <w:shd w:val="clear" w:color="auto" w:fill="auto"/>
          </w:tcPr>
          <w:p w14:paraId="1746AF04" w14:textId="77777777" w:rsidR="007E0ABC" w:rsidRDefault="007E0ABC" w:rsidP="003C4FF0">
            <w:pPr>
              <w:rPr>
                <w:rFonts w:eastAsia="Calibri" w:cs="Calibri"/>
                <w:b/>
                <w:color w:val="000000"/>
                <w:sz w:val="18"/>
                <w:szCs w:val="18"/>
              </w:rPr>
            </w:pPr>
          </w:p>
        </w:tc>
        <w:tc>
          <w:tcPr>
            <w:tcW w:w="1263" w:type="dxa"/>
            <w:shd w:val="clear" w:color="auto" w:fill="auto"/>
          </w:tcPr>
          <w:p w14:paraId="0DB4FB35" w14:textId="77777777" w:rsidR="007E0ABC" w:rsidRDefault="007E0ABC" w:rsidP="003C4FF0">
            <w:pPr>
              <w:rPr>
                <w:rFonts w:eastAsia="Calibri" w:cs="Calibri"/>
                <w:b/>
                <w:color w:val="000000"/>
                <w:sz w:val="18"/>
                <w:szCs w:val="18"/>
              </w:rPr>
            </w:pPr>
          </w:p>
        </w:tc>
        <w:tc>
          <w:tcPr>
            <w:tcW w:w="1101" w:type="dxa"/>
            <w:shd w:val="clear" w:color="auto" w:fill="auto"/>
          </w:tcPr>
          <w:p w14:paraId="7315D00E" w14:textId="77777777" w:rsidR="007E0ABC" w:rsidRDefault="007E0ABC" w:rsidP="003C4FF0">
            <w:pPr>
              <w:rPr>
                <w:rFonts w:eastAsia="Calibri" w:cs="Calibri"/>
                <w:b/>
                <w:color w:val="000000"/>
                <w:sz w:val="18"/>
                <w:szCs w:val="18"/>
              </w:rPr>
            </w:pPr>
          </w:p>
        </w:tc>
      </w:tr>
      <w:tr w:rsidR="007E0ABC" w14:paraId="3A0AB281" w14:textId="77777777" w:rsidTr="003C4FF0">
        <w:tc>
          <w:tcPr>
            <w:tcW w:w="646" w:type="dxa"/>
            <w:shd w:val="clear" w:color="auto" w:fill="auto"/>
          </w:tcPr>
          <w:p w14:paraId="53539521" w14:textId="77777777" w:rsidR="007E0ABC" w:rsidRDefault="007E0ABC" w:rsidP="003C4FF0">
            <w:pPr>
              <w:rPr>
                <w:rFonts w:eastAsia="Calibri" w:cs="Calibri"/>
                <w:b/>
                <w:color w:val="000000"/>
                <w:sz w:val="18"/>
                <w:szCs w:val="18"/>
              </w:rPr>
            </w:pPr>
            <w:r>
              <w:rPr>
                <w:rFonts w:eastAsia="Calibri" w:cs="Calibri"/>
                <w:b/>
                <w:color w:val="000000"/>
                <w:sz w:val="18"/>
                <w:szCs w:val="18"/>
              </w:rPr>
              <w:t>13.</w:t>
            </w:r>
          </w:p>
        </w:tc>
        <w:tc>
          <w:tcPr>
            <w:tcW w:w="2913" w:type="dxa"/>
            <w:shd w:val="clear" w:color="auto" w:fill="auto"/>
          </w:tcPr>
          <w:p w14:paraId="488CFC30"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Feeling distant or cut off from other people? </w:t>
            </w:r>
          </w:p>
        </w:tc>
        <w:tc>
          <w:tcPr>
            <w:tcW w:w="1263" w:type="dxa"/>
            <w:shd w:val="clear" w:color="auto" w:fill="auto"/>
          </w:tcPr>
          <w:p w14:paraId="63B3982C" w14:textId="77777777" w:rsidR="007E0ABC" w:rsidRDefault="007E0ABC" w:rsidP="003C4FF0">
            <w:pPr>
              <w:rPr>
                <w:rFonts w:eastAsia="Calibri" w:cs="Calibri"/>
                <w:b/>
                <w:color w:val="000000"/>
                <w:sz w:val="18"/>
                <w:szCs w:val="18"/>
              </w:rPr>
            </w:pPr>
          </w:p>
        </w:tc>
        <w:tc>
          <w:tcPr>
            <w:tcW w:w="1263" w:type="dxa"/>
            <w:shd w:val="clear" w:color="auto" w:fill="auto"/>
          </w:tcPr>
          <w:p w14:paraId="7BE1CEE9" w14:textId="77777777" w:rsidR="007E0ABC" w:rsidRDefault="007E0ABC" w:rsidP="003C4FF0">
            <w:pPr>
              <w:rPr>
                <w:rFonts w:eastAsia="Calibri" w:cs="Calibri"/>
                <w:b/>
                <w:color w:val="000000"/>
                <w:sz w:val="18"/>
                <w:szCs w:val="18"/>
              </w:rPr>
            </w:pPr>
          </w:p>
        </w:tc>
        <w:tc>
          <w:tcPr>
            <w:tcW w:w="1263" w:type="dxa"/>
            <w:shd w:val="clear" w:color="auto" w:fill="auto"/>
          </w:tcPr>
          <w:p w14:paraId="20CBB54F" w14:textId="77777777" w:rsidR="007E0ABC" w:rsidRDefault="007E0ABC" w:rsidP="003C4FF0">
            <w:pPr>
              <w:rPr>
                <w:rFonts w:eastAsia="Calibri" w:cs="Calibri"/>
                <w:b/>
                <w:color w:val="000000"/>
                <w:sz w:val="18"/>
                <w:szCs w:val="18"/>
              </w:rPr>
            </w:pPr>
          </w:p>
        </w:tc>
        <w:tc>
          <w:tcPr>
            <w:tcW w:w="1263" w:type="dxa"/>
            <w:shd w:val="clear" w:color="auto" w:fill="auto"/>
          </w:tcPr>
          <w:p w14:paraId="41F76A7F" w14:textId="77777777" w:rsidR="007E0ABC" w:rsidRDefault="007E0ABC" w:rsidP="003C4FF0">
            <w:pPr>
              <w:rPr>
                <w:rFonts w:eastAsia="Calibri" w:cs="Calibri"/>
                <w:b/>
                <w:color w:val="000000"/>
                <w:sz w:val="18"/>
                <w:szCs w:val="18"/>
              </w:rPr>
            </w:pPr>
          </w:p>
        </w:tc>
        <w:tc>
          <w:tcPr>
            <w:tcW w:w="1101" w:type="dxa"/>
            <w:shd w:val="clear" w:color="auto" w:fill="auto"/>
          </w:tcPr>
          <w:p w14:paraId="4BBD58F6" w14:textId="77777777" w:rsidR="007E0ABC" w:rsidRDefault="007E0ABC" w:rsidP="003C4FF0">
            <w:pPr>
              <w:rPr>
                <w:rFonts w:eastAsia="Calibri" w:cs="Calibri"/>
                <w:b/>
                <w:color w:val="000000"/>
                <w:sz w:val="18"/>
                <w:szCs w:val="18"/>
              </w:rPr>
            </w:pPr>
          </w:p>
        </w:tc>
      </w:tr>
      <w:tr w:rsidR="007E0ABC" w14:paraId="5DE164B8" w14:textId="77777777" w:rsidTr="003C4FF0">
        <w:tc>
          <w:tcPr>
            <w:tcW w:w="646" w:type="dxa"/>
            <w:shd w:val="clear" w:color="auto" w:fill="auto"/>
          </w:tcPr>
          <w:p w14:paraId="476ED03C" w14:textId="77777777" w:rsidR="007E0ABC" w:rsidRDefault="007E0ABC" w:rsidP="003C4FF0">
            <w:pPr>
              <w:rPr>
                <w:rFonts w:eastAsia="Calibri" w:cs="Calibri"/>
                <w:b/>
                <w:color w:val="000000"/>
                <w:sz w:val="18"/>
                <w:szCs w:val="18"/>
              </w:rPr>
            </w:pPr>
            <w:r>
              <w:rPr>
                <w:rFonts w:eastAsia="Calibri" w:cs="Calibri"/>
                <w:b/>
                <w:color w:val="000000"/>
                <w:sz w:val="18"/>
                <w:szCs w:val="18"/>
              </w:rPr>
              <w:t>14.</w:t>
            </w:r>
          </w:p>
        </w:tc>
        <w:tc>
          <w:tcPr>
            <w:tcW w:w="2913" w:type="dxa"/>
            <w:shd w:val="clear" w:color="auto" w:fill="auto"/>
          </w:tcPr>
          <w:p w14:paraId="013771AE"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Trouble experiencing positive feelings (for example, being unable to feel happiness or have loving feelings for people close to you)? </w:t>
            </w:r>
          </w:p>
        </w:tc>
        <w:tc>
          <w:tcPr>
            <w:tcW w:w="1263" w:type="dxa"/>
            <w:shd w:val="clear" w:color="auto" w:fill="auto"/>
          </w:tcPr>
          <w:p w14:paraId="4710D88F" w14:textId="77777777" w:rsidR="007E0ABC" w:rsidRDefault="007E0ABC" w:rsidP="003C4FF0">
            <w:pPr>
              <w:rPr>
                <w:rFonts w:eastAsia="Calibri" w:cs="Calibri"/>
                <w:b/>
                <w:color w:val="000000"/>
                <w:sz w:val="18"/>
                <w:szCs w:val="18"/>
              </w:rPr>
            </w:pPr>
          </w:p>
        </w:tc>
        <w:tc>
          <w:tcPr>
            <w:tcW w:w="1263" w:type="dxa"/>
            <w:shd w:val="clear" w:color="auto" w:fill="auto"/>
          </w:tcPr>
          <w:p w14:paraId="6C50B034" w14:textId="77777777" w:rsidR="007E0ABC" w:rsidRDefault="007E0ABC" w:rsidP="003C4FF0">
            <w:pPr>
              <w:rPr>
                <w:rFonts w:eastAsia="Calibri" w:cs="Calibri"/>
                <w:b/>
                <w:color w:val="000000"/>
                <w:sz w:val="18"/>
                <w:szCs w:val="18"/>
              </w:rPr>
            </w:pPr>
          </w:p>
        </w:tc>
        <w:tc>
          <w:tcPr>
            <w:tcW w:w="1263" w:type="dxa"/>
            <w:shd w:val="clear" w:color="auto" w:fill="auto"/>
          </w:tcPr>
          <w:p w14:paraId="6E84A06A" w14:textId="77777777" w:rsidR="007E0ABC" w:rsidRDefault="007E0ABC" w:rsidP="003C4FF0">
            <w:pPr>
              <w:rPr>
                <w:rFonts w:eastAsia="Calibri" w:cs="Calibri"/>
                <w:b/>
                <w:color w:val="000000"/>
                <w:sz w:val="18"/>
                <w:szCs w:val="18"/>
              </w:rPr>
            </w:pPr>
          </w:p>
        </w:tc>
        <w:tc>
          <w:tcPr>
            <w:tcW w:w="1263" w:type="dxa"/>
            <w:shd w:val="clear" w:color="auto" w:fill="auto"/>
          </w:tcPr>
          <w:p w14:paraId="710B0781" w14:textId="77777777" w:rsidR="007E0ABC" w:rsidRDefault="007E0ABC" w:rsidP="003C4FF0">
            <w:pPr>
              <w:rPr>
                <w:rFonts w:eastAsia="Calibri" w:cs="Calibri"/>
                <w:b/>
                <w:color w:val="000000"/>
                <w:sz w:val="18"/>
                <w:szCs w:val="18"/>
              </w:rPr>
            </w:pPr>
          </w:p>
        </w:tc>
        <w:tc>
          <w:tcPr>
            <w:tcW w:w="1101" w:type="dxa"/>
            <w:shd w:val="clear" w:color="auto" w:fill="auto"/>
          </w:tcPr>
          <w:p w14:paraId="4F2BC996" w14:textId="77777777" w:rsidR="007E0ABC" w:rsidRDefault="007E0ABC" w:rsidP="003C4FF0">
            <w:pPr>
              <w:rPr>
                <w:rFonts w:eastAsia="Calibri" w:cs="Calibri"/>
                <w:b/>
                <w:color w:val="000000"/>
                <w:sz w:val="18"/>
                <w:szCs w:val="18"/>
              </w:rPr>
            </w:pPr>
          </w:p>
        </w:tc>
      </w:tr>
      <w:tr w:rsidR="007E0ABC" w14:paraId="6019D384" w14:textId="77777777" w:rsidTr="003C4FF0">
        <w:tc>
          <w:tcPr>
            <w:tcW w:w="646" w:type="dxa"/>
            <w:shd w:val="clear" w:color="auto" w:fill="auto"/>
          </w:tcPr>
          <w:p w14:paraId="2AE1CFE5" w14:textId="77777777" w:rsidR="007E0ABC" w:rsidRDefault="007E0ABC" w:rsidP="003C4FF0">
            <w:pPr>
              <w:rPr>
                <w:rFonts w:eastAsia="Calibri" w:cs="Calibri"/>
                <w:b/>
                <w:color w:val="000000"/>
                <w:sz w:val="18"/>
                <w:szCs w:val="18"/>
              </w:rPr>
            </w:pPr>
            <w:r>
              <w:rPr>
                <w:rFonts w:eastAsia="Calibri" w:cs="Calibri"/>
                <w:b/>
                <w:color w:val="000000"/>
                <w:sz w:val="18"/>
                <w:szCs w:val="18"/>
              </w:rPr>
              <w:t>15.</w:t>
            </w:r>
          </w:p>
        </w:tc>
        <w:tc>
          <w:tcPr>
            <w:tcW w:w="2913" w:type="dxa"/>
            <w:shd w:val="clear" w:color="auto" w:fill="auto"/>
          </w:tcPr>
          <w:p w14:paraId="33F150FE"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Irritable behaviour, angry outbursts, or acting aggressively? </w:t>
            </w:r>
          </w:p>
          <w:p w14:paraId="4BBD0115" w14:textId="77777777" w:rsidR="007E0ABC" w:rsidRDefault="007E0ABC" w:rsidP="003C4FF0">
            <w:pPr>
              <w:spacing w:line="276" w:lineRule="auto"/>
              <w:rPr>
                <w:rFonts w:eastAsia="Calibri" w:cs="Calibri"/>
                <w:color w:val="000000"/>
                <w:szCs w:val="20"/>
              </w:rPr>
            </w:pPr>
          </w:p>
        </w:tc>
        <w:tc>
          <w:tcPr>
            <w:tcW w:w="1263" w:type="dxa"/>
            <w:shd w:val="clear" w:color="auto" w:fill="auto"/>
          </w:tcPr>
          <w:p w14:paraId="2CDF502E" w14:textId="77777777" w:rsidR="007E0ABC" w:rsidRDefault="007E0ABC" w:rsidP="003C4FF0">
            <w:pPr>
              <w:rPr>
                <w:rFonts w:eastAsia="Calibri" w:cs="Calibri"/>
                <w:b/>
                <w:color w:val="000000"/>
                <w:sz w:val="18"/>
                <w:szCs w:val="18"/>
              </w:rPr>
            </w:pPr>
          </w:p>
        </w:tc>
        <w:tc>
          <w:tcPr>
            <w:tcW w:w="1263" w:type="dxa"/>
            <w:shd w:val="clear" w:color="auto" w:fill="auto"/>
          </w:tcPr>
          <w:p w14:paraId="0E13CE7A" w14:textId="77777777" w:rsidR="007E0ABC" w:rsidRDefault="007E0ABC" w:rsidP="003C4FF0">
            <w:pPr>
              <w:rPr>
                <w:rFonts w:eastAsia="Calibri" w:cs="Calibri"/>
                <w:b/>
                <w:color w:val="000000"/>
                <w:sz w:val="18"/>
                <w:szCs w:val="18"/>
              </w:rPr>
            </w:pPr>
          </w:p>
        </w:tc>
        <w:tc>
          <w:tcPr>
            <w:tcW w:w="1263" w:type="dxa"/>
            <w:shd w:val="clear" w:color="auto" w:fill="auto"/>
          </w:tcPr>
          <w:p w14:paraId="28E4E907" w14:textId="77777777" w:rsidR="007E0ABC" w:rsidRDefault="007E0ABC" w:rsidP="003C4FF0">
            <w:pPr>
              <w:rPr>
                <w:rFonts w:eastAsia="Calibri" w:cs="Calibri"/>
                <w:b/>
                <w:color w:val="000000"/>
                <w:sz w:val="18"/>
                <w:szCs w:val="18"/>
              </w:rPr>
            </w:pPr>
          </w:p>
        </w:tc>
        <w:tc>
          <w:tcPr>
            <w:tcW w:w="1263" w:type="dxa"/>
            <w:shd w:val="clear" w:color="auto" w:fill="auto"/>
          </w:tcPr>
          <w:p w14:paraId="70CC68B0" w14:textId="77777777" w:rsidR="007E0ABC" w:rsidRDefault="007E0ABC" w:rsidP="003C4FF0">
            <w:pPr>
              <w:rPr>
                <w:rFonts w:eastAsia="Calibri" w:cs="Calibri"/>
                <w:b/>
                <w:color w:val="000000"/>
                <w:sz w:val="18"/>
                <w:szCs w:val="18"/>
              </w:rPr>
            </w:pPr>
          </w:p>
        </w:tc>
        <w:tc>
          <w:tcPr>
            <w:tcW w:w="1101" w:type="dxa"/>
            <w:shd w:val="clear" w:color="auto" w:fill="auto"/>
          </w:tcPr>
          <w:p w14:paraId="6CD91C26" w14:textId="77777777" w:rsidR="007E0ABC" w:rsidRDefault="007E0ABC" w:rsidP="003C4FF0">
            <w:pPr>
              <w:rPr>
                <w:rFonts w:eastAsia="Calibri" w:cs="Calibri"/>
                <w:b/>
                <w:color w:val="000000"/>
                <w:sz w:val="18"/>
                <w:szCs w:val="18"/>
              </w:rPr>
            </w:pPr>
          </w:p>
        </w:tc>
      </w:tr>
      <w:tr w:rsidR="007E0ABC" w14:paraId="169514FD" w14:textId="77777777" w:rsidTr="003C4FF0">
        <w:tc>
          <w:tcPr>
            <w:tcW w:w="646" w:type="dxa"/>
            <w:shd w:val="clear" w:color="auto" w:fill="auto"/>
          </w:tcPr>
          <w:p w14:paraId="59D45694" w14:textId="77777777" w:rsidR="007E0ABC" w:rsidRDefault="007E0ABC" w:rsidP="003C4FF0">
            <w:pPr>
              <w:rPr>
                <w:rFonts w:eastAsia="Calibri" w:cs="Calibri"/>
                <w:b/>
                <w:color w:val="000000"/>
                <w:sz w:val="18"/>
                <w:szCs w:val="18"/>
              </w:rPr>
            </w:pPr>
            <w:r>
              <w:rPr>
                <w:rFonts w:eastAsia="Calibri" w:cs="Calibri"/>
                <w:b/>
                <w:color w:val="000000"/>
                <w:sz w:val="18"/>
                <w:szCs w:val="18"/>
              </w:rPr>
              <w:lastRenderedPageBreak/>
              <w:t>16.</w:t>
            </w:r>
          </w:p>
        </w:tc>
        <w:tc>
          <w:tcPr>
            <w:tcW w:w="2913" w:type="dxa"/>
            <w:shd w:val="clear" w:color="auto" w:fill="auto"/>
          </w:tcPr>
          <w:p w14:paraId="420A4D9F" w14:textId="77777777" w:rsidR="007E0ABC" w:rsidRDefault="007E0ABC" w:rsidP="003C4FF0">
            <w:pPr>
              <w:spacing w:line="276" w:lineRule="auto"/>
              <w:rPr>
                <w:rFonts w:eastAsia="Calibri" w:cs="Calibri"/>
                <w:color w:val="000000"/>
                <w:szCs w:val="20"/>
              </w:rPr>
            </w:pPr>
            <w:r>
              <w:rPr>
                <w:rFonts w:eastAsia="Calibri" w:cs="Calibri"/>
                <w:color w:val="000000"/>
                <w:szCs w:val="20"/>
              </w:rPr>
              <w:t>Taking too many risks or doing things that could cause you harm?</w:t>
            </w:r>
          </w:p>
        </w:tc>
        <w:tc>
          <w:tcPr>
            <w:tcW w:w="1263" w:type="dxa"/>
            <w:shd w:val="clear" w:color="auto" w:fill="auto"/>
          </w:tcPr>
          <w:p w14:paraId="2050AF25" w14:textId="77777777" w:rsidR="007E0ABC" w:rsidRDefault="007E0ABC" w:rsidP="003C4FF0">
            <w:pPr>
              <w:rPr>
                <w:rFonts w:eastAsia="Calibri" w:cs="Calibri"/>
                <w:b/>
                <w:color w:val="000000"/>
                <w:sz w:val="18"/>
                <w:szCs w:val="18"/>
              </w:rPr>
            </w:pPr>
          </w:p>
        </w:tc>
        <w:tc>
          <w:tcPr>
            <w:tcW w:w="1263" w:type="dxa"/>
            <w:shd w:val="clear" w:color="auto" w:fill="auto"/>
          </w:tcPr>
          <w:p w14:paraId="525BE4E0" w14:textId="77777777" w:rsidR="007E0ABC" w:rsidRDefault="007E0ABC" w:rsidP="003C4FF0">
            <w:pPr>
              <w:rPr>
                <w:rFonts w:eastAsia="Calibri" w:cs="Calibri"/>
                <w:b/>
                <w:color w:val="000000"/>
                <w:sz w:val="18"/>
                <w:szCs w:val="18"/>
              </w:rPr>
            </w:pPr>
          </w:p>
        </w:tc>
        <w:tc>
          <w:tcPr>
            <w:tcW w:w="1263" w:type="dxa"/>
            <w:shd w:val="clear" w:color="auto" w:fill="auto"/>
          </w:tcPr>
          <w:p w14:paraId="2A683553" w14:textId="77777777" w:rsidR="007E0ABC" w:rsidRDefault="007E0ABC" w:rsidP="003C4FF0">
            <w:pPr>
              <w:rPr>
                <w:rFonts w:eastAsia="Calibri" w:cs="Calibri"/>
                <w:b/>
                <w:color w:val="000000"/>
                <w:sz w:val="18"/>
                <w:szCs w:val="18"/>
              </w:rPr>
            </w:pPr>
          </w:p>
        </w:tc>
        <w:tc>
          <w:tcPr>
            <w:tcW w:w="1263" w:type="dxa"/>
            <w:shd w:val="clear" w:color="auto" w:fill="auto"/>
          </w:tcPr>
          <w:p w14:paraId="7AD283B8" w14:textId="77777777" w:rsidR="007E0ABC" w:rsidRDefault="007E0ABC" w:rsidP="003C4FF0">
            <w:pPr>
              <w:rPr>
                <w:rFonts w:eastAsia="Calibri" w:cs="Calibri"/>
                <w:b/>
                <w:color w:val="000000"/>
                <w:sz w:val="18"/>
                <w:szCs w:val="18"/>
              </w:rPr>
            </w:pPr>
          </w:p>
        </w:tc>
        <w:tc>
          <w:tcPr>
            <w:tcW w:w="1101" w:type="dxa"/>
            <w:shd w:val="clear" w:color="auto" w:fill="auto"/>
          </w:tcPr>
          <w:p w14:paraId="7914307D" w14:textId="77777777" w:rsidR="007E0ABC" w:rsidRDefault="007E0ABC" w:rsidP="003C4FF0">
            <w:pPr>
              <w:rPr>
                <w:rFonts w:eastAsia="Calibri" w:cs="Calibri"/>
                <w:b/>
                <w:color w:val="000000"/>
                <w:sz w:val="18"/>
                <w:szCs w:val="18"/>
              </w:rPr>
            </w:pPr>
          </w:p>
        </w:tc>
      </w:tr>
      <w:tr w:rsidR="007E0ABC" w14:paraId="38B54038" w14:textId="77777777" w:rsidTr="003C4FF0">
        <w:tc>
          <w:tcPr>
            <w:tcW w:w="646" w:type="dxa"/>
            <w:shd w:val="clear" w:color="auto" w:fill="auto"/>
          </w:tcPr>
          <w:p w14:paraId="7052DED6" w14:textId="77777777" w:rsidR="007E0ABC" w:rsidRDefault="007E0ABC" w:rsidP="003C4FF0">
            <w:pPr>
              <w:rPr>
                <w:rFonts w:eastAsia="Calibri" w:cs="Calibri"/>
                <w:b/>
                <w:color w:val="000000"/>
                <w:sz w:val="18"/>
                <w:szCs w:val="18"/>
              </w:rPr>
            </w:pPr>
            <w:r>
              <w:rPr>
                <w:rFonts w:eastAsia="Calibri" w:cs="Calibri"/>
                <w:b/>
                <w:color w:val="000000"/>
                <w:sz w:val="18"/>
                <w:szCs w:val="18"/>
              </w:rPr>
              <w:t>17.</w:t>
            </w:r>
          </w:p>
        </w:tc>
        <w:tc>
          <w:tcPr>
            <w:tcW w:w="2913" w:type="dxa"/>
            <w:shd w:val="clear" w:color="auto" w:fill="auto"/>
          </w:tcPr>
          <w:p w14:paraId="363BA909"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Being “super alert” or watchful or on guard? </w:t>
            </w:r>
          </w:p>
        </w:tc>
        <w:tc>
          <w:tcPr>
            <w:tcW w:w="1263" w:type="dxa"/>
            <w:shd w:val="clear" w:color="auto" w:fill="auto"/>
          </w:tcPr>
          <w:p w14:paraId="29D08A53" w14:textId="77777777" w:rsidR="007E0ABC" w:rsidRDefault="007E0ABC" w:rsidP="003C4FF0">
            <w:pPr>
              <w:rPr>
                <w:rFonts w:eastAsia="Calibri" w:cs="Calibri"/>
                <w:b/>
                <w:color w:val="000000"/>
                <w:sz w:val="18"/>
                <w:szCs w:val="18"/>
              </w:rPr>
            </w:pPr>
          </w:p>
        </w:tc>
        <w:tc>
          <w:tcPr>
            <w:tcW w:w="1263" w:type="dxa"/>
            <w:shd w:val="clear" w:color="auto" w:fill="auto"/>
          </w:tcPr>
          <w:p w14:paraId="405753A4" w14:textId="77777777" w:rsidR="007E0ABC" w:rsidRDefault="007E0ABC" w:rsidP="003C4FF0">
            <w:pPr>
              <w:rPr>
                <w:rFonts w:eastAsia="Calibri" w:cs="Calibri"/>
                <w:b/>
                <w:color w:val="000000"/>
                <w:sz w:val="18"/>
                <w:szCs w:val="18"/>
              </w:rPr>
            </w:pPr>
          </w:p>
        </w:tc>
        <w:tc>
          <w:tcPr>
            <w:tcW w:w="1263" w:type="dxa"/>
            <w:shd w:val="clear" w:color="auto" w:fill="auto"/>
          </w:tcPr>
          <w:p w14:paraId="71308AF9" w14:textId="77777777" w:rsidR="007E0ABC" w:rsidRDefault="007E0ABC" w:rsidP="003C4FF0">
            <w:pPr>
              <w:rPr>
                <w:rFonts w:eastAsia="Calibri" w:cs="Calibri"/>
                <w:b/>
                <w:color w:val="000000"/>
                <w:sz w:val="18"/>
                <w:szCs w:val="18"/>
              </w:rPr>
            </w:pPr>
          </w:p>
        </w:tc>
        <w:tc>
          <w:tcPr>
            <w:tcW w:w="1263" w:type="dxa"/>
            <w:shd w:val="clear" w:color="auto" w:fill="auto"/>
          </w:tcPr>
          <w:p w14:paraId="6E506ED6" w14:textId="77777777" w:rsidR="007E0ABC" w:rsidRDefault="007E0ABC" w:rsidP="003C4FF0">
            <w:pPr>
              <w:rPr>
                <w:rFonts w:eastAsia="Calibri" w:cs="Calibri"/>
                <w:b/>
                <w:color w:val="000000"/>
                <w:sz w:val="18"/>
                <w:szCs w:val="18"/>
              </w:rPr>
            </w:pPr>
          </w:p>
        </w:tc>
        <w:tc>
          <w:tcPr>
            <w:tcW w:w="1101" w:type="dxa"/>
            <w:shd w:val="clear" w:color="auto" w:fill="auto"/>
          </w:tcPr>
          <w:p w14:paraId="1EB8F5AA" w14:textId="77777777" w:rsidR="007E0ABC" w:rsidRDefault="007E0ABC" w:rsidP="003C4FF0">
            <w:pPr>
              <w:rPr>
                <w:rFonts w:eastAsia="Calibri" w:cs="Calibri"/>
                <w:b/>
                <w:color w:val="000000"/>
                <w:sz w:val="18"/>
                <w:szCs w:val="18"/>
              </w:rPr>
            </w:pPr>
          </w:p>
        </w:tc>
      </w:tr>
      <w:tr w:rsidR="007E0ABC" w14:paraId="442FB5A9" w14:textId="77777777" w:rsidTr="003C4FF0">
        <w:tc>
          <w:tcPr>
            <w:tcW w:w="646" w:type="dxa"/>
            <w:shd w:val="clear" w:color="auto" w:fill="auto"/>
          </w:tcPr>
          <w:p w14:paraId="1C6D666F" w14:textId="77777777" w:rsidR="007E0ABC" w:rsidRDefault="007E0ABC" w:rsidP="003C4FF0">
            <w:pPr>
              <w:rPr>
                <w:rFonts w:eastAsia="Calibri" w:cs="Calibri"/>
                <w:b/>
                <w:color w:val="000000"/>
                <w:sz w:val="18"/>
                <w:szCs w:val="18"/>
              </w:rPr>
            </w:pPr>
            <w:r>
              <w:rPr>
                <w:rFonts w:eastAsia="Calibri" w:cs="Calibri"/>
                <w:b/>
                <w:color w:val="000000"/>
                <w:sz w:val="18"/>
                <w:szCs w:val="18"/>
              </w:rPr>
              <w:t>18.</w:t>
            </w:r>
          </w:p>
        </w:tc>
        <w:tc>
          <w:tcPr>
            <w:tcW w:w="2913" w:type="dxa"/>
            <w:shd w:val="clear" w:color="auto" w:fill="auto"/>
          </w:tcPr>
          <w:p w14:paraId="2BFF6BBE"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Feeling jumpy or easily startled? </w:t>
            </w:r>
          </w:p>
        </w:tc>
        <w:tc>
          <w:tcPr>
            <w:tcW w:w="1263" w:type="dxa"/>
            <w:shd w:val="clear" w:color="auto" w:fill="auto"/>
          </w:tcPr>
          <w:p w14:paraId="00D53371" w14:textId="77777777" w:rsidR="007E0ABC" w:rsidRDefault="007E0ABC" w:rsidP="003C4FF0">
            <w:pPr>
              <w:rPr>
                <w:rFonts w:eastAsia="Calibri" w:cs="Calibri"/>
                <w:b/>
                <w:color w:val="000000"/>
                <w:sz w:val="18"/>
                <w:szCs w:val="18"/>
              </w:rPr>
            </w:pPr>
          </w:p>
        </w:tc>
        <w:tc>
          <w:tcPr>
            <w:tcW w:w="1263" w:type="dxa"/>
            <w:shd w:val="clear" w:color="auto" w:fill="auto"/>
          </w:tcPr>
          <w:p w14:paraId="0E231A3F" w14:textId="77777777" w:rsidR="007E0ABC" w:rsidRDefault="007E0ABC" w:rsidP="003C4FF0">
            <w:pPr>
              <w:rPr>
                <w:rFonts w:eastAsia="Calibri" w:cs="Calibri"/>
                <w:b/>
                <w:color w:val="000000"/>
                <w:sz w:val="18"/>
                <w:szCs w:val="18"/>
              </w:rPr>
            </w:pPr>
          </w:p>
        </w:tc>
        <w:tc>
          <w:tcPr>
            <w:tcW w:w="1263" w:type="dxa"/>
            <w:shd w:val="clear" w:color="auto" w:fill="auto"/>
          </w:tcPr>
          <w:p w14:paraId="73B28C18" w14:textId="77777777" w:rsidR="007E0ABC" w:rsidRDefault="007E0ABC" w:rsidP="003C4FF0">
            <w:pPr>
              <w:rPr>
                <w:rFonts w:eastAsia="Calibri" w:cs="Calibri"/>
                <w:b/>
                <w:color w:val="000000"/>
                <w:sz w:val="18"/>
                <w:szCs w:val="18"/>
              </w:rPr>
            </w:pPr>
          </w:p>
        </w:tc>
        <w:tc>
          <w:tcPr>
            <w:tcW w:w="1263" w:type="dxa"/>
            <w:shd w:val="clear" w:color="auto" w:fill="auto"/>
          </w:tcPr>
          <w:p w14:paraId="23B57CAE" w14:textId="77777777" w:rsidR="007E0ABC" w:rsidRDefault="007E0ABC" w:rsidP="003C4FF0">
            <w:pPr>
              <w:rPr>
                <w:rFonts w:eastAsia="Calibri" w:cs="Calibri"/>
                <w:b/>
                <w:color w:val="000000"/>
                <w:sz w:val="18"/>
                <w:szCs w:val="18"/>
              </w:rPr>
            </w:pPr>
          </w:p>
        </w:tc>
        <w:tc>
          <w:tcPr>
            <w:tcW w:w="1101" w:type="dxa"/>
            <w:shd w:val="clear" w:color="auto" w:fill="auto"/>
          </w:tcPr>
          <w:p w14:paraId="047CD623" w14:textId="77777777" w:rsidR="007E0ABC" w:rsidRDefault="007E0ABC" w:rsidP="003C4FF0">
            <w:pPr>
              <w:rPr>
                <w:rFonts w:eastAsia="Calibri" w:cs="Calibri"/>
                <w:b/>
                <w:color w:val="000000"/>
                <w:sz w:val="18"/>
                <w:szCs w:val="18"/>
              </w:rPr>
            </w:pPr>
          </w:p>
        </w:tc>
      </w:tr>
      <w:tr w:rsidR="007E0ABC" w14:paraId="46A5CFAA" w14:textId="77777777" w:rsidTr="003C4FF0">
        <w:tc>
          <w:tcPr>
            <w:tcW w:w="646" w:type="dxa"/>
            <w:shd w:val="clear" w:color="auto" w:fill="auto"/>
          </w:tcPr>
          <w:p w14:paraId="7558F007" w14:textId="77777777" w:rsidR="007E0ABC" w:rsidRDefault="007E0ABC" w:rsidP="003C4FF0">
            <w:pPr>
              <w:rPr>
                <w:rFonts w:eastAsia="Calibri" w:cs="Calibri"/>
                <w:b/>
                <w:color w:val="000000"/>
                <w:sz w:val="18"/>
                <w:szCs w:val="18"/>
              </w:rPr>
            </w:pPr>
            <w:r>
              <w:rPr>
                <w:rFonts w:eastAsia="Calibri" w:cs="Calibri"/>
                <w:b/>
                <w:color w:val="000000"/>
                <w:sz w:val="18"/>
                <w:szCs w:val="18"/>
              </w:rPr>
              <w:t>19.</w:t>
            </w:r>
          </w:p>
        </w:tc>
        <w:tc>
          <w:tcPr>
            <w:tcW w:w="2913" w:type="dxa"/>
            <w:shd w:val="clear" w:color="auto" w:fill="auto"/>
          </w:tcPr>
          <w:p w14:paraId="6FFD425D"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Having difficulty concentrating? </w:t>
            </w:r>
          </w:p>
        </w:tc>
        <w:tc>
          <w:tcPr>
            <w:tcW w:w="1263" w:type="dxa"/>
            <w:shd w:val="clear" w:color="auto" w:fill="auto"/>
          </w:tcPr>
          <w:p w14:paraId="61E7D382" w14:textId="77777777" w:rsidR="007E0ABC" w:rsidRDefault="007E0ABC" w:rsidP="003C4FF0">
            <w:pPr>
              <w:rPr>
                <w:rFonts w:eastAsia="Calibri" w:cs="Calibri"/>
                <w:b/>
                <w:color w:val="000000"/>
                <w:sz w:val="18"/>
                <w:szCs w:val="18"/>
              </w:rPr>
            </w:pPr>
          </w:p>
        </w:tc>
        <w:tc>
          <w:tcPr>
            <w:tcW w:w="1263" w:type="dxa"/>
            <w:shd w:val="clear" w:color="auto" w:fill="auto"/>
          </w:tcPr>
          <w:p w14:paraId="15AA0775" w14:textId="77777777" w:rsidR="007E0ABC" w:rsidRDefault="007E0ABC" w:rsidP="003C4FF0">
            <w:pPr>
              <w:rPr>
                <w:rFonts w:eastAsia="Calibri" w:cs="Calibri"/>
                <w:b/>
                <w:color w:val="000000"/>
                <w:sz w:val="18"/>
                <w:szCs w:val="18"/>
              </w:rPr>
            </w:pPr>
          </w:p>
        </w:tc>
        <w:tc>
          <w:tcPr>
            <w:tcW w:w="1263" w:type="dxa"/>
            <w:shd w:val="clear" w:color="auto" w:fill="auto"/>
          </w:tcPr>
          <w:p w14:paraId="36ECD631" w14:textId="77777777" w:rsidR="007E0ABC" w:rsidRDefault="007E0ABC" w:rsidP="003C4FF0">
            <w:pPr>
              <w:rPr>
                <w:rFonts w:eastAsia="Calibri" w:cs="Calibri"/>
                <w:b/>
                <w:color w:val="000000"/>
                <w:sz w:val="18"/>
                <w:szCs w:val="18"/>
              </w:rPr>
            </w:pPr>
          </w:p>
        </w:tc>
        <w:tc>
          <w:tcPr>
            <w:tcW w:w="1263" w:type="dxa"/>
            <w:shd w:val="clear" w:color="auto" w:fill="auto"/>
          </w:tcPr>
          <w:p w14:paraId="36E1E29A" w14:textId="77777777" w:rsidR="007E0ABC" w:rsidRDefault="007E0ABC" w:rsidP="003C4FF0">
            <w:pPr>
              <w:rPr>
                <w:rFonts w:eastAsia="Calibri" w:cs="Calibri"/>
                <w:b/>
                <w:color w:val="000000"/>
                <w:sz w:val="18"/>
                <w:szCs w:val="18"/>
              </w:rPr>
            </w:pPr>
          </w:p>
        </w:tc>
        <w:tc>
          <w:tcPr>
            <w:tcW w:w="1101" w:type="dxa"/>
            <w:shd w:val="clear" w:color="auto" w:fill="auto"/>
          </w:tcPr>
          <w:p w14:paraId="12BF0EC1" w14:textId="77777777" w:rsidR="007E0ABC" w:rsidRDefault="007E0ABC" w:rsidP="003C4FF0">
            <w:pPr>
              <w:rPr>
                <w:rFonts w:eastAsia="Calibri" w:cs="Calibri"/>
                <w:b/>
                <w:color w:val="000000"/>
                <w:sz w:val="18"/>
                <w:szCs w:val="18"/>
              </w:rPr>
            </w:pPr>
          </w:p>
        </w:tc>
      </w:tr>
      <w:tr w:rsidR="007E0ABC" w14:paraId="3640C209" w14:textId="77777777" w:rsidTr="003C4FF0">
        <w:tc>
          <w:tcPr>
            <w:tcW w:w="646" w:type="dxa"/>
            <w:shd w:val="clear" w:color="auto" w:fill="auto"/>
          </w:tcPr>
          <w:p w14:paraId="621C8685" w14:textId="77777777" w:rsidR="007E0ABC" w:rsidRDefault="007E0ABC" w:rsidP="003C4FF0">
            <w:pPr>
              <w:rPr>
                <w:rFonts w:eastAsia="Calibri" w:cs="Calibri"/>
                <w:b/>
                <w:color w:val="000000"/>
                <w:sz w:val="18"/>
                <w:szCs w:val="18"/>
              </w:rPr>
            </w:pPr>
            <w:r>
              <w:rPr>
                <w:rFonts w:eastAsia="Calibri" w:cs="Calibri"/>
                <w:b/>
                <w:color w:val="000000"/>
                <w:sz w:val="18"/>
                <w:szCs w:val="18"/>
              </w:rPr>
              <w:t>20.</w:t>
            </w:r>
          </w:p>
        </w:tc>
        <w:tc>
          <w:tcPr>
            <w:tcW w:w="2913" w:type="dxa"/>
            <w:shd w:val="clear" w:color="auto" w:fill="auto"/>
          </w:tcPr>
          <w:p w14:paraId="7B618D61" w14:textId="77777777" w:rsidR="007E0ABC" w:rsidRDefault="007E0ABC" w:rsidP="003C4FF0">
            <w:pPr>
              <w:spacing w:line="276" w:lineRule="auto"/>
              <w:rPr>
                <w:rFonts w:eastAsia="Calibri" w:cs="Calibri"/>
                <w:color w:val="000000"/>
                <w:szCs w:val="20"/>
              </w:rPr>
            </w:pPr>
            <w:r>
              <w:rPr>
                <w:rFonts w:eastAsia="Calibri" w:cs="Calibri"/>
                <w:color w:val="000000"/>
                <w:szCs w:val="20"/>
              </w:rPr>
              <w:t xml:space="preserve">Trouble falling or staying asleep? </w:t>
            </w:r>
          </w:p>
        </w:tc>
        <w:tc>
          <w:tcPr>
            <w:tcW w:w="1263" w:type="dxa"/>
            <w:shd w:val="clear" w:color="auto" w:fill="auto"/>
          </w:tcPr>
          <w:p w14:paraId="6879C61C" w14:textId="77777777" w:rsidR="007E0ABC" w:rsidRDefault="007E0ABC" w:rsidP="003C4FF0">
            <w:pPr>
              <w:rPr>
                <w:rFonts w:eastAsia="Calibri" w:cs="Calibri"/>
                <w:b/>
                <w:color w:val="000000"/>
                <w:sz w:val="18"/>
                <w:szCs w:val="18"/>
              </w:rPr>
            </w:pPr>
          </w:p>
        </w:tc>
        <w:tc>
          <w:tcPr>
            <w:tcW w:w="1263" w:type="dxa"/>
            <w:shd w:val="clear" w:color="auto" w:fill="auto"/>
          </w:tcPr>
          <w:p w14:paraId="22B21463" w14:textId="77777777" w:rsidR="007E0ABC" w:rsidRDefault="007E0ABC" w:rsidP="003C4FF0">
            <w:pPr>
              <w:rPr>
                <w:rFonts w:eastAsia="Calibri" w:cs="Calibri"/>
                <w:b/>
                <w:color w:val="000000"/>
                <w:sz w:val="18"/>
                <w:szCs w:val="18"/>
              </w:rPr>
            </w:pPr>
          </w:p>
        </w:tc>
        <w:tc>
          <w:tcPr>
            <w:tcW w:w="1263" w:type="dxa"/>
            <w:shd w:val="clear" w:color="auto" w:fill="auto"/>
          </w:tcPr>
          <w:p w14:paraId="24C4E93E" w14:textId="77777777" w:rsidR="007E0ABC" w:rsidRDefault="007E0ABC" w:rsidP="003C4FF0">
            <w:pPr>
              <w:rPr>
                <w:rFonts w:eastAsia="Calibri" w:cs="Calibri"/>
                <w:b/>
                <w:color w:val="000000"/>
                <w:sz w:val="18"/>
                <w:szCs w:val="18"/>
              </w:rPr>
            </w:pPr>
          </w:p>
        </w:tc>
        <w:tc>
          <w:tcPr>
            <w:tcW w:w="1263" w:type="dxa"/>
            <w:shd w:val="clear" w:color="auto" w:fill="auto"/>
          </w:tcPr>
          <w:p w14:paraId="3134A9BE" w14:textId="77777777" w:rsidR="007E0ABC" w:rsidRDefault="007E0ABC" w:rsidP="003C4FF0">
            <w:pPr>
              <w:rPr>
                <w:rFonts w:eastAsia="Calibri" w:cs="Calibri"/>
                <w:b/>
                <w:color w:val="000000"/>
                <w:sz w:val="18"/>
                <w:szCs w:val="18"/>
              </w:rPr>
            </w:pPr>
          </w:p>
        </w:tc>
        <w:tc>
          <w:tcPr>
            <w:tcW w:w="1101" w:type="dxa"/>
            <w:shd w:val="clear" w:color="auto" w:fill="auto"/>
          </w:tcPr>
          <w:p w14:paraId="4C60BD08" w14:textId="77777777" w:rsidR="007E0ABC" w:rsidRDefault="007E0ABC" w:rsidP="003C4FF0">
            <w:pPr>
              <w:rPr>
                <w:rFonts w:eastAsia="Calibri" w:cs="Calibri"/>
                <w:b/>
                <w:color w:val="000000"/>
                <w:sz w:val="18"/>
                <w:szCs w:val="18"/>
              </w:rPr>
            </w:pPr>
          </w:p>
        </w:tc>
      </w:tr>
    </w:tbl>
    <w:p w14:paraId="6D609CD9" w14:textId="77777777" w:rsidR="007E0ABC" w:rsidRDefault="007E0ABC" w:rsidP="001B6A38">
      <w:pPr>
        <w:rPr>
          <w:rFonts w:eastAsia="Calibri" w:cs="Calibri"/>
          <w:color w:val="000000"/>
        </w:rPr>
      </w:pPr>
    </w:p>
    <w:p w14:paraId="2E6E18E9" w14:textId="77777777" w:rsidR="007E0ABC" w:rsidRDefault="007E0ABC" w:rsidP="001B6A38">
      <w:pPr>
        <w:rPr>
          <w:rFonts w:eastAsia="Calibri" w:cs="Calibri"/>
          <w:color w:val="000000"/>
        </w:rPr>
      </w:pPr>
    </w:p>
    <w:p w14:paraId="50BE61A9" w14:textId="77777777" w:rsidR="007E0ABC" w:rsidRDefault="007E0ABC" w:rsidP="001B6A38">
      <w:pPr>
        <w:rPr>
          <w:rFonts w:eastAsia="Calibri" w:cs="Calibri"/>
          <w:sz w:val="21"/>
          <w:szCs w:val="21"/>
        </w:rPr>
      </w:pPr>
      <w:r>
        <w:rPr>
          <w:rFonts w:eastAsia="Calibri" w:cs="Calibri"/>
          <w:b/>
          <w:szCs w:val="20"/>
        </w:rPr>
        <w:t xml:space="preserve">Version date: </w:t>
      </w:r>
      <w:r>
        <w:rPr>
          <w:rFonts w:eastAsia="Calibri" w:cs="Calibri"/>
          <w:szCs w:val="20"/>
        </w:rPr>
        <w:t xml:space="preserve">11 April 2018 </w:t>
      </w:r>
    </w:p>
    <w:p w14:paraId="32B56105" w14:textId="77777777" w:rsidR="007E0ABC" w:rsidRDefault="007E0ABC" w:rsidP="001B6A38">
      <w:pPr>
        <w:spacing w:after="160" w:line="259" w:lineRule="auto"/>
        <w:rPr>
          <w:b/>
        </w:rPr>
      </w:pPr>
      <w:r>
        <w:br w:type="page"/>
      </w:r>
    </w:p>
    <w:p w14:paraId="7357C15F" w14:textId="77777777" w:rsidR="007E0ABC" w:rsidRPr="003C697B" w:rsidRDefault="007E0ABC" w:rsidP="003C697B">
      <w:pPr>
        <w:pStyle w:val="Subtitle"/>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 </w:t>
      </w:r>
      <w:r>
        <w:rPr>
          <w:rFonts w:ascii="Avenir Book" w:hAnsi="Avenir Book"/>
          <w:iCs/>
          <w:sz w:val="28"/>
          <w:szCs w:val="28"/>
        </w:rPr>
        <w:t>(6) WSAS</w:t>
      </w:r>
      <w:r w:rsidRPr="00C260F1">
        <w:rPr>
          <w:rFonts w:ascii="Avenir Book" w:hAnsi="Avenir Book"/>
          <w:iCs/>
          <w:sz w:val="28"/>
          <w:szCs w:val="28"/>
        </w:rPr>
        <w:t xml:space="preserve"> Questionnaire</w:t>
      </w:r>
    </w:p>
    <w:p w14:paraId="08A2616F" w14:textId="77777777" w:rsidR="007E0ABC" w:rsidRDefault="007E0ABC" w:rsidP="001B6A38">
      <w:pPr>
        <w:jc w:val="center"/>
        <w:rPr>
          <w:b/>
          <w:sz w:val="32"/>
          <w:szCs w:val="32"/>
        </w:rPr>
      </w:pPr>
      <w:r>
        <w:rPr>
          <w:b/>
          <w:sz w:val="32"/>
          <w:szCs w:val="32"/>
        </w:rPr>
        <w:t>The Work and Social Adjustment Scale (WSAS)</w:t>
      </w:r>
    </w:p>
    <w:p w14:paraId="5880A5FB" w14:textId="77777777" w:rsidR="007E0ABC" w:rsidRDefault="007E0ABC" w:rsidP="001B6A38">
      <w:pPr>
        <w:jc w:val="center"/>
        <w:rPr>
          <w:b/>
          <w:u w:val="single"/>
        </w:rPr>
      </w:pPr>
      <w:r>
        <w:rPr>
          <w:noProof/>
        </w:rPr>
        <mc:AlternateContent>
          <mc:Choice Requires="wps">
            <w:drawing>
              <wp:anchor distT="4294967295" distB="4294967295" distL="114300" distR="114300" simplePos="0" relativeHeight="251680768" behindDoc="0" locked="0" layoutInCell="1" hidden="0" allowOverlap="1" wp14:anchorId="374C37BD" wp14:editId="60C0A03F">
                <wp:simplePos x="0" y="0"/>
                <wp:positionH relativeFrom="column">
                  <wp:posOffset>254000</wp:posOffset>
                </wp:positionH>
                <wp:positionV relativeFrom="paragraph">
                  <wp:posOffset>55896</wp:posOffset>
                </wp:positionV>
                <wp:extent cx="5486400" cy="12700"/>
                <wp:effectExtent l="0" t="0" r="0" b="0"/>
                <wp:wrapNone/>
                <wp:docPr id="526" name="Straight Arrow Connector 526"/>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DFAC4A8" id="Straight Arrow Connector 526" o:spid="_x0000_s1026" type="#_x0000_t32" style="position:absolute;margin-left:20pt;margin-top:4.4pt;width:6in;height:1pt;z-index:251680768;visibility:visible;mso-wrap-style:square;mso-wrap-distance-left:9pt;mso-wrap-distance-top:.gmm;mso-wrap-distance-right:9pt;mso-wrap-distance-bottom:.gmm;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"/>
            </w:pict>
          </mc:Fallback>
        </mc:AlternateContent>
      </w:r>
    </w:p>
    <w:p w14:paraId="5A6C7309" w14:textId="77777777" w:rsidR="007E0ABC" w:rsidRDefault="007E0ABC" w:rsidP="001B6A38">
      <w:r>
        <w:t xml:space="preserve">People’s problems sometimes affect their ability to do certain day-to-day tasks in their lives. To rate your problems look at each section and determine on the scale provided how much your problem impairs your ability to carry out the activity. This assessment is not intended to be a diagnosis. If you are concerned about your results in any way, please speak with a qualified health professional. </w:t>
      </w:r>
    </w:p>
    <w:p w14:paraId="0D860CD8" w14:textId="77777777" w:rsidR="007E0ABC" w:rsidRDefault="007E0ABC" w:rsidP="001B6A38">
      <w:pPr>
        <w:rPr>
          <w:b/>
        </w:rPr>
      </w:pPr>
    </w:p>
    <w:p w14:paraId="6AA77583" w14:textId="77777777" w:rsidR="007E0ABC" w:rsidRDefault="007E0ABC" w:rsidP="001B6A38">
      <w:r>
        <w:rPr>
          <w:b/>
        </w:rPr>
        <w:t xml:space="preserve">If you’re retired or choose not to have a job for reasons unrelated to your problems, tick here </w:t>
      </w:r>
      <w:r>
        <w:rPr>
          <w:noProof/>
        </w:rPr>
        <w:drawing>
          <wp:anchor distT="0" distB="58293" distL="126492" distR="123825" simplePos="0" relativeHeight="251681792" behindDoc="0" locked="0" layoutInCell="1" hidden="0" allowOverlap="1" wp14:anchorId="4CB35AD2" wp14:editId="58D0767D">
            <wp:simplePos x="0" y="0"/>
            <wp:positionH relativeFrom="column">
              <wp:posOffset>5593842</wp:posOffset>
            </wp:positionH>
            <wp:positionV relativeFrom="paragraph">
              <wp:posOffset>-5079</wp:posOffset>
            </wp:positionV>
            <wp:extent cx="142240" cy="142875"/>
            <wp:effectExtent l="0" t="0" r="0" b="0"/>
            <wp:wrapNone/>
            <wp:docPr id="5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142240" cy="142875"/>
                    </a:xfrm>
                    <a:prstGeom prst="rect">
                      <a:avLst/>
                    </a:prstGeom>
                    <a:ln/>
                  </pic:spPr>
                </pic:pic>
              </a:graphicData>
            </a:graphic>
          </wp:anchor>
        </w:drawing>
      </w:r>
    </w:p>
    <w:p w14:paraId="35540186" w14:textId="77777777" w:rsidR="007E0ABC" w:rsidRDefault="007E0ABC" w:rsidP="001B6A38"/>
    <w:p w14:paraId="72CB50D6" w14:textId="77777777" w:rsidR="007E0ABC" w:rsidRDefault="007E0ABC" w:rsidP="001B6A38">
      <w:r>
        <w:rPr>
          <w:b/>
        </w:rPr>
        <w:t xml:space="preserve">       0              1               2                  3                 4                 5                6                7                8</w:t>
      </w:r>
      <w:r>
        <w:t xml:space="preserve"> </w:t>
      </w:r>
      <w:r>
        <w:br/>
        <w:t>Not at all                    Slightly                        Definitely                   Markedly                 Very severely</w:t>
      </w:r>
    </w:p>
    <w:p w14:paraId="7CE915CD" w14:textId="77777777" w:rsidR="007E0ABC" w:rsidRDefault="007E0ABC" w:rsidP="001B6A38"/>
    <w:p w14:paraId="14F6679D" w14:textId="77777777" w:rsidR="007E0ABC" w:rsidRDefault="007E0ABC" w:rsidP="001B6A38"/>
    <w:p w14:paraId="4BF1BB8A" w14:textId="77777777" w:rsidR="007E0ABC" w:rsidRDefault="007E0ABC" w:rsidP="001B6A38">
      <w:r>
        <w:rPr>
          <w:b/>
        </w:rPr>
        <w:t>1</w:t>
      </w:r>
      <w:r>
        <w:t xml:space="preserve">. Because of my [problem] my </w:t>
      </w:r>
      <w:r>
        <w:rPr>
          <w:b/>
        </w:rPr>
        <w:t>ability to work</w:t>
      </w:r>
      <w:r>
        <w:t xml:space="preserve"> is impaired. 0 means ‘not at all </w:t>
      </w:r>
      <w:r>
        <w:br/>
        <w:t xml:space="preserve">impaired’ and ‘8’ means very severely impaired to the point I can’t work. </w:t>
      </w:r>
      <w:r>
        <w:rPr>
          <w:noProof/>
        </w:rPr>
        <mc:AlternateContent>
          <mc:Choice Requires="wps">
            <w:drawing>
              <wp:anchor distT="0" distB="0" distL="114300" distR="114300" simplePos="0" relativeHeight="251682816" behindDoc="0" locked="0" layoutInCell="1" hidden="0" allowOverlap="1" wp14:anchorId="56872F91" wp14:editId="505E7EF0">
                <wp:simplePos x="0" y="0"/>
                <wp:positionH relativeFrom="column">
                  <wp:posOffset>5384800</wp:posOffset>
                </wp:positionH>
                <wp:positionV relativeFrom="paragraph">
                  <wp:posOffset>0</wp:posOffset>
                </wp:positionV>
                <wp:extent cx="885825" cy="433705"/>
                <wp:effectExtent l="0" t="0" r="0" b="0"/>
                <wp:wrapNone/>
                <wp:docPr id="533" name="Rectangle 533"/>
                <wp:cNvGraphicFramePr/>
                <a:graphic xmlns:a="http://schemas.openxmlformats.org/drawingml/2006/main">
                  <a:graphicData uri="http://schemas.microsoft.com/office/word/2010/wordprocessingShape">
                    <wps:wsp>
                      <wps:cNvSpPr/>
                      <wps:spPr>
                        <a:xfrm>
                          <a:off x="4907850" y="3567910"/>
                          <a:ext cx="876300" cy="424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367FDC" w14:textId="77777777" w:rsidR="007E0ABC" w:rsidRDefault="007E0ABC" w:rsidP="001B6A38">
                            <w:pPr>
                              <w:textDirection w:val="btLr"/>
                            </w:pPr>
                          </w:p>
                        </w:txbxContent>
                      </wps:txbx>
                      <wps:bodyPr spcFirstLastPara="1" wrap="square" lIns="91425" tIns="45700" rIns="91425" bIns="45700" anchor="t" anchorCtr="0">
                        <a:noAutofit/>
                      </wps:bodyPr>
                    </wps:wsp>
                  </a:graphicData>
                </a:graphic>
              </wp:anchor>
            </w:drawing>
          </mc:Choice>
          <mc:Fallback>
            <w:pict>
              <v:rect w14:anchorId="56872F91" id="Rectangle 533" o:spid="_x0000_s1048" style="position:absolute;left:0;text-align:left;margin-left:424pt;margin-top:0;width:69.75pt;height:34.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">
                <v:stroke startarrowwidth="narrow" startarrowlength="short" endarrowwidth="narrow" endarrowlength="short"/>
                <v:textbox inset="2.53958mm,1.2694mm,2.53958mm,1.2694mm">
                  <w:txbxContent>
                    <w:p w14:paraId="06367FDC" w14:textId="77777777" w:rsidR="007E0ABC" w:rsidRDefault="007E0ABC" w:rsidP="001B6A38">
                      <w:pPr>
                        <w:textDirection w:val="btLr"/>
                      </w:pPr>
                    </w:p>
                  </w:txbxContent>
                </v:textbox>
              </v:rect>
            </w:pict>
          </mc:Fallback>
        </mc:AlternateContent>
      </w:r>
    </w:p>
    <w:p w14:paraId="13B47E3E" w14:textId="77777777" w:rsidR="007E0ABC" w:rsidRDefault="007E0ABC" w:rsidP="001B6A38"/>
    <w:p w14:paraId="0E5BD396" w14:textId="77777777" w:rsidR="007E0ABC" w:rsidRDefault="007E0ABC" w:rsidP="001B6A38">
      <w:r>
        <w:rPr>
          <w:b/>
        </w:rPr>
        <w:t>2.</w:t>
      </w:r>
      <w:r>
        <w:t xml:space="preserve"> Because of my [problem] my </w:t>
      </w:r>
      <w:r>
        <w:rPr>
          <w:b/>
        </w:rPr>
        <w:t>home management</w:t>
      </w:r>
      <w:r>
        <w:t xml:space="preserve"> (cleaning, tidying, shopping, </w:t>
      </w:r>
      <w:r>
        <w:br/>
        <w:t xml:space="preserve">cooking, looking after home or children, paying bills) is impaired. </w:t>
      </w:r>
      <w:r>
        <w:rPr>
          <w:noProof/>
        </w:rPr>
        <mc:AlternateContent>
          <mc:Choice Requires="wps">
            <w:drawing>
              <wp:anchor distT="0" distB="0" distL="114300" distR="114300" simplePos="0" relativeHeight="251683840" behindDoc="0" locked="0" layoutInCell="1" hidden="0" allowOverlap="1" wp14:anchorId="6A64E342" wp14:editId="54389BBF">
                <wp:simplePos x="0" y="0"/>
                <wp:positionH relativeFrom="column">
                  <wp:posOffset>5397500</wp:posOffset>
                </wp:positionH>
                <wp:positionV relativeFrom="paragraph">
                  <wp:posOffset>12700</wp:posOffset>
                </wp:positionV>
                <wp:extent cx="885825" cy="433705"/>
                <wp:effectExtent l="0" t="0" r="0" b="0"/>
                <wp:wrapNone/>
                <wp:docPr id="522" name="Rectangle 522"/>
                <wp:cNvGraphicFramePr/>
                <a:graphic xmlns:a="http://schemas.openxmlformats.org/drawingml/2006/main">
                  <a:graphicData uri="http://schemas.microsoft.com/office/word/2010/wordprocessingShape">
                    <wps:wsp>
                      <wps:cNvSpPr/>
                      <wps:spPr>
                        <a:xfrm>
                          <a:off x="4907850" y="3567910"/>
                          <a:ext cx="876300" cy="424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EFB8BF" w14:textId="77777777" w:rsidR="007E0ABC" w:rsidRDefault="007E0ABC" w:rsidP="001B6A38">
                            <w:pPr>
                              <w:textDirection w:val="btLr"/>
                            </w:pPr>
                          </w:p>
                        </w:txbxContent>
                      </wps:txbx>
                      <wps:bodyPr spcFirstLastPara="1" wrap="square" lIns="91425" tIns="45700" rIns="91425" bIns="45700" anchor="t" anchorCtr="0">
                        <a:noAutofit/>
                      </wps:bodyPr>
                    </wps:wsp>
                  </a:graphicData>
                </a:graphic>
              </wp:anchor>
            </w:drawing>
          </mc:Choice>
          <mc:Fallback>
            <w:pict>
              <v:rect w14:anchorId="6A64E342" id="Rectangle 522" o:spid="_x0000_s1049" style="position:absolute;left:0;text-align:left;margin-left:425pt;margin-top:1pt;width:69.75pt;height:34.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">
                <v:stroke startarrowwidth="narrow" startarrowlength="short" endarrowwidth="narrow" endarrowlength="short"/>
                <v:textbox inset="2.53958mm,1.2694mm,2.53958mm,1.2694mm">
                  <w:txbxContent>
                    <w:p w14:paraId="1EEFB8BF" w14:textId="77777777" w:rsidR="007E0ABC" w:rsidRDefault="007E0ABC" w:rsidP="001B6A38">
                      <w:pPr>
                        <w:textDirection w:val="btLr"/>
                      </w:pPr>
                    </w:p>
                  </w:txbxContent>
                </v:textbox>
              </v:rect>
            </w:pict>
          </mc:Fallback>
        </mc:AlternateContent>
      </w:r>
    </w:p>
    <w:p w14:paraId="73D0EAC5" w14:textId="77777777" w:rsidR="007E0ABC" w:rsidRDefault="007E0ABC" w:rsidP="001B6A38">
      <w:r>
        <w:rPr>
          <w:noProof/>
        </w:rPr>
        <mc:AlternateContent>
          <mc:Choice Requires="wps">
            <w:drawing>
              <wp:anchor distT="0" distB="0" distL="114300" distR="114300" simplePos="0" relativeHeight="251684864" behindDoc="0" locked="0" layoutInCell="1" hidden="0" allowOverlap="1" wp14:anchorId="35DC757E" wp14:editId="1ABBD112">
                <wp:simplePos x="0" y="0"/>
                <wp:positionH relativeFrom="column">
                  <wp:posOffset>5397500</wp:posOffset>
                </wp:positionH>
                <wp:positionV relativeFrom="paragraph">
                  <wp:posOffset>266700</wp:posOffset>
                </wp:positionV>
                <wp:extent cx="885825" cy="433705"/>
                <wp:effectExtent l="0" t="0" r="0" b="0"/>
                <wp:wrapNone/>
                <wp:docPr id="528" name="Rectangle 528"/>
                <wp:cNvGraphicFramePr/>
                <a:graphic xmlns:a="http://schemas.openxmlformats.org/drawingml/2006/main">
                  <a:graphicData uri="http://schemas.microsoft.com/office/word/2010/wordprocessingShape">
                    <wps:wsp>
                      <wps:cNvSpPr/>
                      <wps:spPr>
                        <a:xfrm>
                          <a:off x="4907850" y="3567910"/>
                          <a:ext cx="876300" cy="424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268706" w14:textId="77777777" w:rsidR="007E0ABC" w:rsidRDefault="007E0ABC" w:rsidP="001B6A38">
                            <w:pPr>
                              <w:textDirection w:val="btLr"/>
                            </w:pPr>
                          </w:p>
                        </w:txbxContent>
                      </wps:txbx>
                      <wps:bodyPr spcFirstLastPara="1" wrap="square" lIns="91425" tIns="45700" rIns="91425" bIns="45700" anchor="t" anchorCtr="0">
                        <a:noAutofit/>
                      </wps:bodyPr>
                    </wps:wsp>
                  </a:graphicData>
                </a:graphic>
              </wp:anchor>
            </w:drawing>
          </mc:Choice>
          <mc:Fallback>
            <w:pict>
              <v:rect w14:anchorId="35DC757E" id="Rectangle 528" o:spid="_x0000_s1050" style="position:absolute;left:0;text-align:left;margin-left:425pt;margin-top:21pt;width:69.75pt;height:34.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">
                <v:stroke startarrowwidth="narrow" startarrowlength="short" endarrowwidth="narrow" endarrowlength="short"/>
                <v:textbox inset="2.53958mm,1.2694mm,2.53958mm,1.2694mm">
                  <w:txbxContent>
                    <w:p w14:paraId="2C268706" w14:textId="77777777" w:rsidR="007E0ABC" w:rsidRDefault="007E0ABC" w:rsidP="001B6A38">
                      <w:pPr>
                        <w:textDirection w:val="btLr"/>
                      </w:pPr>
                    </w:p>
                  </w:txbxContent>
                </v:textbox>
              </v:rect>
            </w:pict>
          </mc:Fallback>
        </mc:AlternateContent>
      </w:r>
    </w:p>
    <w:p w14:paraId="30CB7A22" w14:textId="77777777" w:rsidR="007E0ABC" w:rsidRDefault="007E0ABC" w:rsidP="001B6A38">
      <w:r>
        <w:rPr>
          <w:b/>
        </w:rPr>
        <w:t>3.</w:t>
      </w:r>
      <w:r>
        <w:t xml:space="preserve"> Because of my [problem] my </w:t>
      </w:r>
      <w:r>
        <w:rPr>
          <w:b/>
        </w:rPr>
        <w:t>social leisure activities</w:t>
      </w:r>
      <w:r>
        <w:t xml:space="preserve"> (with other people e.g. </w:t>
      </w:r>
      <w:r>
        <w:br/>
        <w:t xml:space="preserve">parties bars, clubs, outings, visits, dating, home entertaining) is impaired. </w:t>
      </w:r>
    </w:p>
    <w:p w14:paraId="091939DB" w14:textId="77777777" w:rsidR="007E0ABC" w:rsidRDefault="007E0ABC" w:rsidP="001B6A38">
      <w:r>
        <w:rPr>
          <w:noProof/>
        </w:rPr>
        <mc:AlternateContent>
          <mc:Choice Requires="wps">
            <w:drawing>
              <wp:anchor distT="0" distB="0" distL="114300" distR="114300" simplePos="0" relativeHeight="251685888" behindDoc="0" locked="0" layoutInCell="1" hidden="0" allowOverlap="1" wp14:anchorId="029B6813" wp14:editId="32505B7C">
                <wp:simplePos x="0" y="0"/>
                <wp:positionH relativeFrom="column">
                  <wp:posOffset>5397500</wp:posOffset>
                </wp:positionH>
                <wp:positionV relativeFrom="paragraph">
                  <wp:posOffset>292100</wp:posOffset>
                </wp:positionV>
                <wp:extent cx="885825" cy="433705"/>
                <wp:effectExtent l="0" t="0" r="0" b="0"/>
                <wp:wrapNone/>
                <wp:docPr id="513" name="Rectangle 513"/>
                <wp:cNvGraphicFramePr/>
                <a:graphic xmlns:a="http://schemas.openxmlformats.org/drawingml/2006/main">
                  <a:graphicData uri="http://schemas.microsoft.com/office/word/2010/wordprocessingShape">
                    <wps:wsp>
                      <wps:cNvSpPr/>
                      <wps:spPr>
                        <a:xfrm>
                          <a:off x="4907850" y="3567910"/>
                          <a:ext cx="876300" cy="424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9A7CFA" w14:textId="77777777" w:rsidR="007E0ABC" w:rsidRDefault="007E0ABC" w:rsidP="001B6A38">
                            <w:pPr>
                              <w:textDirection w:val="btLr"/>
                            </w:pPr>
                          </w:p>
                        </w:txbxContent>
                      </wps:txbx>
                      <wps:bodyPr spcFirstLastPara="1" wrap="square" lIns="91425" tIns="45700" rIns="91425" bIns="45700" anchor="t" anchorCtr="0">
                        <a:noAutofit/>
                      </wps:bodyPr>
                    </wps:wsp>
                  </a:graphicData>
                </a:graphic>
              </wp:anchor>
            </w:drawing>
          </mc:Choice>
          <mc:Fallback>
            <w:pict>
              <v:rect w14:anchorId="029B6813" id="Rectangle 513" o:spid="_x0000_s1051" style="position:absolute;left:0;text-align:left;margin-left:425pt;margin-top:23pt;width:69.75pt;height:34.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">
                <v:stroke startarrowwidth="narrow" startarrowlength="short" endarrowwidth="narrow" endarrowlength="short"/>
                <v:textbox inset="2.53958mm,1.2694mm,2.53958mm,1.2694mm">
                  <w:txbxContent>
                    <w:p w14:paraId="4A9A7CFA" w14:textId="77777777" w:rsidR="007E0ABC" w:rsidRDefault="007E0ABC" w:rsidP="001B6A38">
                      <w:pPr>
                        <w:textDirection w:val="btLr"/>
                      </w:pPr>
                    </w:p>
                  </w:txbxContent>
                </v:textbox>
              </v:rect>
            </w:pict>
          </mc:Fallback>
        </mc:AlternateContent>
      </w:r>
    </w:p>
    <w:p w14:paraId="27CD2F52" w14:textId="77777777" w:rsidR="007E0ABC" w:rsidRDefault="007E0ABC" w:rsidP="001B6A38">
      <w:r>
        <w:rPr>
          <w:b/>
        </w:rPr>
        <w:t>4.</w:t>
      </w:r>
      <w:r>
        <w:t xml:space="preserve"> Because of my [problem], my </w:t>
      </w:r>
      <w:r>
        <w:rPr>
          <w:b/>
        </w:rPr>
        <w:t>private leisure activities</w:t>
      </w:r>
      <w:r>
        <w:t xml:space="preserve"> (done alone, such as</w:t>
      </w:r>
      <w:r>
        <w:br/>
        <w:t xml:space="preserve">reading, gardening, collecting, sewing, walking alone) is impaired. </w:t>
      </w:r>
    </w:p>
    <w:p w14:paraId="059D2F70" w14:textId="77777777" w:rsidR="007E0ABC" w:rsidRDefault="007E0ABC" w:rsidP="001B6A38">
      <w:r>
        <w:rPr>
          <w:noProof/>
        </w:rPr>
        <mc:AlternateContent>
          <mc:Choice Requires="wps">
            <w:drawing>
              <wp:anchor distT="0" distB="0" distL="114300" distR="114300" simplePos="0" relativeHeight="251686912" behindDoc="0" locked="0" layoutInCell="1" hidden="0" allowOverlap="1" wp14:anchorId="1D13ED66" wp14:editId="4FD26383">
                <wp:simplePos x="0" y="0"/>
                <wp:positionH relativeFrom="column">
                  <wp:posOffset>5397500</wp:posOffset>
                </wp:positionH>
                <wp:positionV relativeFrom="paragraph">
                  <wp:posOffset>292100</wp:posOffset>
                </wp:positionV>
                <wp:extent cx="885825" cy="433705"/>
                <wp:effectExtent l="0" t="0" r="0" b="0"/>
                <wp:wrapNone/>
                <wp:docPr id="518" name="Rectangle 518"/>
                <wp:cNvGraphicFramePr/>
                <a:graphic xmlns:a="http://schemas.openxmlformats.org/drawingml/2006/main">
                  <a:graphicData uri="http://schemas.microsoft.com/office/word/2010/wordprocessingShape">
                    <wps:wsp>
                      <wps:cNvSpPr/>
                      <wps:spPr>
                        <a:xfrm>
                          <a:off x="4907850" y="3567910"/>
                          <a:ext cx="876300" cy="424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CE54F3" w14:textId="77777777" w:rsidR="007E0ABC" w:rsidRDefault="007E0ABC" w:rsidP="001B6A38">
                            <w:pPr>
                              <w:textDirection w:val="btLr"/>
                            </w:pPr>
                          </w:p>
                        </w:txbxContent>
                      </wps:txbx>
                      <wps:bodyPr spcFirstLastPara="1" wrap="square" lIns="91425" tIns="45700" rIns="91425" bIns="45700" anchor="t" anchorCtr="0">
                        <a:noAutofit/>
                      </wps:bodyPr>
                    </wps:wsp>
                  </a:graphicData>
                </a:graphic>
              </wp:anchor>
            </w:drawing>
          </mc:Choice>
          <mc:Fallback>
            <w:pict>
              <v:rect w14:anchorId="1D13ED66" id="Rectangle 518" o:spid="_x0000_s1052" style="position:absolute;left:0;text-align:left;margin-left:425pt;margin-top:23pt;width:69.75pt;height:34.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">
                <v:stroke startarrowwidth="narrow" startarrowlength="short" endarrowwidth="narrow" endarrowlength="short"/>
                <v:textbox inset="2.53958mm,1.2694mm,2.53958mm,1.2694mm">
                  <w:txbxContent>
                    <w:p w14:paraId="18CE54F3" w14:textId="77777777" w:rsidR="007E0ABC" w:rsidRDefault="007E0ABC" w:rsidP="001B6A38">
                      <w:pPr>
                        <w:textDirection w:val="btLr"/>
                      </w:pPr>
                    </w:p>
                  </w:txbxContent>
                </v:textbox>
              </v:rect>
            </w:pict>
          </mc:Fallback>
        </mc:AlternateContent>
      </w:r>
    </w:p>
    <w:p w14:paraId="7A319C92" w14:textId="77777777" w:rsidR="007E0ABC" w:rsidRDefault="007E0ABC" w:rsidP="001B6A38">
      <w:r>
        <w:rPr>
          <w:b/>
        </w:rPr>
        <w:t>5.</w:t>
      </w:r>
      <w:r>
        <w:t xml:space="preserve"> Because of my [problem], my ability to form and maintain </w:t>
      </w:r>
      <w:r>
        <w:rPr>
          <w:b/>
        </w:rPr>
        <w:t>close relationships</w:t>
      </w:r>
      <w:r>
        <w:br/>
        <w:t xml:space="preserve">with others, including those I live with, is impaired. </w:t>
      </w:r>
    </w:p>
    <w:p w14:paraId="7DB96F57" w14:textId="19E5D451" w:rsidR="007E0ABC" w:rsidRPr="007F6A0A" w:rsidRDefault="007E0ABC" w:rsidP="007F6A0A">
      <w:pPr>
        <w:pStyle w:val="Subtitle"/>
        <w:jc w:val="center"/>
        <w:rPr>
          <w:rFonts w:ascii="Avenir Book" w:hAnsi="Avenir Book"/>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 </w:t>
      </w:r>
      <w:r>
        <w:rPr>
          <w:rFonts w:ascii="Avenir Book" w:hAnsi="Avenir Book"/>
          <w:iCs/>
          <w:sz w:val="28"/>
          <w:szCs w:val="28"/>
        </w:rPr>
        <w:t xml:space="preserve">(7) EQ-5D-3L </w:t>
      </w:r>
      <w:r w:rsidRPr="00C260F1">
        <w:rPr>
          <w:rFonts w:ascii="Avenir Book" w:hAnsi="Avenir Book"/>
          <w:iCs/>
          <w:sz w:val="28"/>
          <w:szCs w:val="28"/>
        </w:rPr>
        <w:t>Questionnaire</w:t>
      </w:r>
    </w:p>
    <w:p w14:paraId="4DF1565D" w14:textId="77777777" w:rsidR="007E0ABC" w:rsidRDefault="007E0ABC" w:rsidP="001B6A38">
      <w:pPr>
        <w:pBdr>
          <w:top w:val="nil"/>
          <w:left w:val="nil"/>
          <w:bottom w:val="nil"/>
          <w:right w:val="nil"/>
          <w:between w:val="nil"/>
        </w:pBdr>
        <w:jc w:val="center"/>
        <w:rPr>
          <w:rFonts w:eastAsia="Arial" w:cs="Arial"/>
          <w:b/>
          <w:color w:val="000000"/>
          <w:sz w:val="36"/>
          <w:szCs w:val="36"/>
        </w:rPr>
      </w:pPr>
      <w:proofErr w:type="spellStart"/>
      <w:r>
        <w:rPr>
          <w:rFonts w:eastAsia="Arial" w:cs="Arial"/>
          <w:b/>
          <w:color w:val="000000"/>
          <w:sz w:val="36"/>
          <w:szCs w:val="36"/>
        </w:rPr>
        <w:t>EuroQol</w:t>
      </w:r>
      <w:proofErr w:type="spellEnd"/>
      <w:r>
        <w:rPr>
          <w:rFonts w:eastAsia="Arial" w:cs="Arial"/>
          <w:b/>
          <w:color w:val="000000"/>
          <w:sz w:val="36"/>
          <w:szCs w:val="36"/>
        </w:rPr>
        <w:t xml:space="preserve"> (EQ-5D 3L)</w:t>
      </w:r>
    </w:p>
    <w:p w14:paraId="3E8B0E12" w14:textId="77777777" w:rsidR="007E0ABC" w:rsidRDefault="007E0ABC" w:rsidP="001B6A38">
      <w:pPr>
        <w:jc w:val="center"/>
        <w:rPr>
          <w:b/>
          <w:u w:val="single"/>
        </w:rPr>
      </w:pPr>
      <w:r>
        <w:rPr>
          <w:noProof/>
        </w:rPr>
        <mc:AlternateContent>
          <mc:Choice Requires="wps">
            <w:drawing>
              <wp:anchor distT="4294967295" distB="4294967295" distL="114300" distR="114300" simplePos="0" relativeHeight="251687936" behindDoc="0" locked="0" layoutInCell="1" hidden="0" allowOverlap="1" wp14:anchorId="7CE10B14" wp14:editId="55406CA9">
                <wp:simplePos x="0" y="0"/>
                <wp:positionH relativeFrom="column">
                  <wp:posOffset>254000</wp:posOffset>
                </wp:positionH>
                <wp:positionV relativeFrom="paragraph">
                  <wp:posOffset>55896</wp:posOffset>
                </wp:positionV>
                <wp:extent cx="5486400" cy="12700"/>
                <wp:effectExtent l="0" t="0" r="0" b="0"/>
                <wp:wrapNone/>
                <wp:docPr id="520" name="Straight Arrow Connector 520"/>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0061961" id="Straight Arrow Connector 520" o:spid="_x0000_s1026" type="#_x0000_t32" style="position:absolute;margin-left:20pt;margin-top:4.4pt;width:6in;height:1pt;z-index:251687936;visibility:visible;mso-wrap-style:square;mso-wrap-distance-left:9pt;mso-wrap-distance-top:.gmm;mso-wrap-distance-right:9pt;mso-wrap-distance-bottom:.gmm;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"/>
            </w:pict>
          </mc:Fallback>
        </mc:AlternateContent>
      </w:r>
    </w:p>
    <w:p w14:paraId="77A78BAC" w14:textId="77777777" w:rsidR="007E0ABC" w:rsidRDefault="007E0ABC" w:rsidP="001B6A38">
      <w:pPr>
        <w:pBdr>
          <w:top w:val="nil"/>
          <w:left w:val="nil"/>
          <w:bottom w:val="nil"/>
          <w:right w:val="nil"/>
          <w:between w:val="nil"/>
        </w:pBdr>
        <w:jc w:val="center"/>
        <w:rPr>
          <w:rFonts w:eastAsia="Arial" w:cs="Arial"/>
          <w:color w:val="000000"/>
          <w:szCs w:val="20"/>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7995"/>
        <w:gridCol w:w="1031"/>
      </w:tblGrid>
      <w:tr w:rsidR="007E0ABC" w14:paraId="115C533E" w14:textId="77777777" w:rsidTr="003C4FF0">
        <w:tc>
          <w:tcPr>
            <w:tcW w:w="9026" w:type="dxa"/>
            <w:gridSpan w:val="2"/>
          </w:tcPr>
          <w:p w14:paraId="71A63C18" w14:textId="77777777" w:rsidR="007E0ABC" w:rsidRDefault="007E0ABC" w:rsidP="003C4FF0">
            <w:pPr>
              <w:spacing w:line="312" w:lineRule="auto"/>
              <w:rPr>
                <w:rFonts w:eastAsia="Arial" w:cs="Arial"/>
                <w:color w:val="000000"/>
              </w:rPr>
            </w:pPr>
            <w:r>
              <w:rPr>
                <w:rFonts w:eastAsia="Arial" w:cs="Arial"/>
                <w:color w:val="000000"/>
              </w:rPr>
              <w:t>Under each heading, please tick the ONE box that best describes your health TODAY.</w:t>
            </w:r>
          </w:p>
        </w:tc>
      </w:tr>
      <w:tr w:rsidR="007E0ABC" w14:paraId="7E440E3E" w14:textId="77777777" w:rsidTr="003C4FF0">
        <w:tc>
          <w:tcPr>
            <w:tcW w:w="7995" w:type="dxa"/>
          </w:tcPr>
          <w:p w14:paraId="1DF22201" w14:textId="77777777" w:rsidR="007E0ABC" w:rsidRDefault="007E0ABC" w:rsidP="003C4FF0">
            <w:pPr>
              <w:spacing w:line="312" w:lineRule="auto"/>
              <w:rPr>
                <w:rFonts w:eastAsia="Arial" w:cs="Arial"/>
              </w:rPr>
            </w:pPr>
          </w:p>
        </w:tc>
        <w:tc>
          <w:tcPr>
            <w:tcW w:w="1031" w:type="dxa"/>
          </w:tcPr>
          <w:p w14:paraId="6D0F47D8" w14:textId="77777777" w:rsidR="007E0ABC" w:rsidRDefault="007E0ABC" w:rsidP="003C4FF0">
            <w:pPr>
              <w:spacing w:line="312" w:lineRule="auto"/>
              <w:rPr>
                <w:rFonts w:eastAsia="Arial" w:cs="Arial"/>
              </w:rPr>
            </w:pPr>
          </w:p>
        </w:tc>
      </w:tr>
      <w:tr w:rsidR="007E0ABC" w14:paraId="2E030B82" w14:textId="77777777" w:rsidTr="003C4FF0">
        <w:tc>
          <w:tcPr>
            <w:tcW w:w="7995" w:type="dxa"/>
          </w:tcPr>
          <w:p w14:paraId="13E36C91" w14:textId="77777777" w:rsidR="007E0ABC" w:rsidRDefault="007E0ABC" w:rsidP="003C4FF0">
            <w:pPr>
              <w:spacing w:after="120" w:line="312" w:lineRule="auto"/>
              <w:rPr>
                <w:rFonts w:eastAsia="Arial" w:cs="Arial"/>
                <w:b/>
                <w:color w:val="000000"/>
              </w:rPr>
            </w:pPr>
            <w:r>
              <w:rPr>
                <w:rFonts w:eastAsia="Arial" w:cs="Arial"/>
                <w:b/>
                <w:color w:val="000000"/>
              </w:rPr>
              <w:t>MOBILITY</w:t>
            </w:r>
          </w:p>
        </w:tc>
        <w:tc>
          <w:tcPr>
            <w:tcW w:w="1031" w:type="dxa"/>
          </w:tcPr>
          <w:p w14:paraId="16C8BCE3" w14:textId="77777777" w:rsidR="007E0ABC" w:rsidRDefault="007E0ABC" w:rsidP="003C4FF0">
            <w:pPr>
              <w:spacing w:line="312" w:lineRule="auto"/>
              <w:rPr>
                <w:rFonts w:eastAsia="Arial" w:cs="Arial"/>
              </w:rPr>
            </w:pPr>
          </w:p>
        </w:tc>
      </w:tr>
      <w:tr w:rsidR="007E0ABC" w14:paraId="700F3BC9" w14:textId="77777777" w:rsidTr="003C4FF0">
        <w:tc>
          <w:tcPr>
            <w:tcW w:w="7995" w:type="dxa"/>
          </w:tcPr>
          <w:p w14:paraId="45DD5929" w14:textId="77777777" w:rsidR="007E0ABC" w:rsidRDefault="007E0ABC" w:rsidP="003C4FF0">
            <w:pPr>
              <w:spacing w:after="120" w:line="312" w:lineRule="auto"/>
              <w:rPr>
                <w:rFonts w:eastAsia="Arial" w:cs="Arial"/>
                <w:color w:val="000000"/>
              </w:rPr>
            </w:pPr>
            <w:r>
              <w:rPr>
                <w:rFonts w:eastAsia="Arial" w:cs="Arial"/>
                <w:color w:val="000000"/>
              </w:rPr>
              <w:t>I have no problems in walking about</w:t>
            </w:r>
          </w:p>
        </w:tc>
        <w:tc>
          <w:tcPr>
            <w:tcW w:w="1031" w:type="dxa"/>
            <w:vAlign w:val="bottom"/>
          </w:tcPr>
          <w:p w14:paraId="57B2590D"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44B70A62" w14:textId="77777777" w:rsidTr="003C4FF0">
        <w:tc>
          <w:tcPr>
            <w:tcW w:w="7995" w:type="dxa"/>
          </w:tcPr>
          <w:p w14:paraId="137575B9" w14:textId="77777777" w:rsidR="007E0ABC" w:rsidRDefault="007E0ABC" w:rsidP="003C4FF0">
            <w:pPr>
              <w:spacing w:after="120" w:line="312" w:lineRule="auto"/>
              <w:rPr>
                <w:rFonts w:eastAsia="Arial" w:cs="Arial"/>
                <w:color w:val="000000"/>
              </w:rPr>
            </w:pPr>
            <w:r>
              <w:rPr>
                <w:rFonts w:eastAsia="Arial" w:cs="Arial"/>
                <w:color w:val="000000"/>
              </w:rPr>
              <w:t>I have some problems in walking about</w:t>
            </w:r>
          </w:p>
        </w:tc>
        <w:tc>
          <w:tcPr>
            <w:tcW w:w="1031" w:type="dxa"/>
            <w:vAlign w:val="bottom"/>
          </w:tcPr>
          <w:p w14:paraId="1C31FCAC"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5EC1055E" w14:textId="77777777" w:rsidTr="003C4FF0">
        <w:tc>
          <w:tcPr>
            <w:tcW w:w="7995" w:type="dxa"/>
          </w:tcPr>
          <w:p w14:paraId="3D161869" w14:textId="77777777" w:rsidR="007E0ABC" w:rsidRDefault="007E0ABC" w:rsidP="003C4FF0">
            <w:pPr>
              <w:spacing w:after="120" w:line="312" w:lineRule="auto"/>
              <w:rPr>
                <w:rFonts w:eastAsia="Arial" w:cs="Arial"/>
                <w:color w:val="000000"/>
              </w:rPr>
            </w:pPr>
            <w:r>
              <w:rPr>
                <w:rFonts w:eastAsia="Arial" w:cs="Arial"/>
                <w:color w:val="000000"/>
              </w:rPr>
              <w:t>I am confined to bed</w:t>
            </w:r>
          </w:p>
        </w:tc>
        <w:tc>
          <w:tcPr>
            <w:tcW w:w="1031" w:type="dxa"/>
            <w:vAlign w:val="bottom"/>
          </w:tcPr>
          <w:p w14:paraId="13B34093"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1520C663" w14:textId="77777777" w:rsidTr="003C4FF0">
        <w:tc>
          <w:tcPr>
            <w:tcW w:w="7995" w:type="dxa"/>
          </w:tcPr>
          <w:p w14:paraId="2DF7C94E" w14:textId="77777777" w:rsidR="007E0ABC" w:rsidRDefault="007E0ABC" w:rsidP="003C4FF0">
            <w:pPr>
              <w:spacing w:line="312" w:lineRule="auto"/>
              <w:rPr>
                <w:rFonts w:eastAsia="Arial" w:cs="Arial"/>
                <w:sz w:val="12"/>
                <w:szCs w:val="12"/>
              </w:rPr>
            </w:pPr>
          </w:p>
        </w:tc>
        <w:tc>
          <w:tcPr>
            <w:tcW w:w="1031" w:type="dxa"/>
            <w:vAlign w:val="bottom"/>
          </w:tcPr>
          <w:p w14:paraId="15F28D3B" w14:textId="77777777" w:rsidR="007E0ABC" w:rsidRDefault="007E0ABC" w:rsidP="003C4FF0">
            <w:pPr>
              <w:spacing w:line="312" w:lineRule="auto"/>
              <w:rPr>
                <w:rFonts w:eastAsia="Arial" w:cs="Arial"/>
                <w:sz w:val="12"/>
                <w:szCs w:val="12"/>
              </w:rPr>
            </w:pPr>
          </w:p>
        </w:tc>
      </w:tr>
      <w:tr w:rsidR="007E0ABC" w14:paraId="2AC06DD8" w14:textId="77777777" w:rsidTr="003C4FF0">
        <w:tc>
          <w:tcPr>
            <w:tcW w:w="7995" w:type="dxa"/>
          </w:tcPr>
          <w:p w14:paraId="25676F0D" w14:textId="77777777" w:rsidR="007E0ABC" w:rsidRDefault="007E0ABC" w:rsidP="003C4FF0">
            <w:pPr>
              <w:spacing w:after="120" w:line="312" w:lineRule="auto"/>
              <w:rPr>
                <w:rFonts w:eastAsia="Arial" w:cs="Arial"/>
                <w:b/>
                <w:color w:val="000000"/>
              </w:rPr>
            </w:pPr>
            <w:r>
              <w:rPr>
                <w:rFonts w:eastAsia="Arial" w:cs="Arial"/>
                <w:b/>
                <w:color w:val="000000"/>
              </w:rPr>
              <w:t>SELF-CARE</w:t>
            </w:r>
          </w:p>
        </w:tc>
        <w:tc>
          <w:tcPr>
            <w:tcW w:w="1031" w:type="dxa"/>
            <w:vAlign w:val="bottom"/>
          </w:tcPr>
          <w:p w14:paraId="0C1C0A36" w14:textId="77777777" w:rsidR="007E0ABC" w:rsidRDefault="007E0ABC" w:rsidP="003C4FF0">
            <w:pPr>
              <w:spacing w:line="312" w:lineRule="auto"/>
              <w:rPr>
                <w:rFonts w:eastAsia="Arial" w:cs="Arial"/>
              </w:rPr>
            </w:pPr>
          </w:p>
        </w:tc>
      </w:tr>
      <w:tr w:rsidR="007E0ABC" w14:paraId="2CED3F19" w14:textId="77777777" w:rsidTr="003C4FF0">
        <w:tc>
          <w:tcPr>
            <w:tcW w:w="7995" w:type="dxa"/>
          </w:tcPr>
          <w:p w14:paraId="3342C219" w14:textId="77777777" w:rsidR="007E0ABC" w:rsidRDefault="007E0ABC" w:rsidP="003C4FF0">
            <w:pPr>
              <w:spacing w:after="120" w:line="312" w:lineRule="auto"/>
              <w:rPr>
                <w:rFonts w:eastAsia="Arial" w:cs="Arial"/>
                <w:color w:val="000000"/>
              </w:rPr>
            </w:pPr>
            <w:r>
              <w:rPr>
                <w:rFonts w:eastAsia="Arial" w:cs="Arial"/>
                <w:color w:val="000000"/>
              </w:rPr>
              <w:t>I have no problems with self-care</w:t>
            </w:r>
          </w:p>
        </w:tc>
        <w:tc>
          <w:tcPr>
            <w:tcW w:w="1031" w:type="dxa"/>
            <w:vAlign w:val="bottom"/>
          </w:tcPr>
          <w:p w14:paraId="231D0FA0"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4D88B122" w14:textId="77777777" w:rsidTr="003C4FF0">
        <w:tc>
          <w:tcPr>
            <w:tcW w:w="7995" w:type="dxa"/>
          </w:tcPr>
          <w:p w14:paraId="249A70FC" w14:textId="77777777" w:rsidR="007E0ABC" w:rsidRDefault="007E0ABC" w:rsidP="003C4FF0">
            <w:pPr>
              <w:spacing w:after="120" w:line="312" w:lineRule="auto"/>
              <w:rPr>
                <w:rFonts w:eastAsia="Arial" w:cs="Arial"/>
                <w:color w:val="000000"/>
              </w:rPr>
            </w:pPr>
            <w:r>
              <w:rPr>
                <w:rFonts w:eastAsia="Arial" w:cs="Arial"/>
                <w:color w:val="000000"/>
              </w:rPr>
              <w:t>I have some problems washing or dressing myself</w:t>
            </w:r>
          </w:p>
        </w:tc>
        <w:tc>
          <w:tcPr>
            <w:tcW w:w="1031" w:type="dxa"/>
            <w:vAlign w:val="bottom"/>
          </w:tcPr>
          <w:p w14:paraId="53ED3149"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0F77D627" w14:textId="77777777" w:rsidTr="003C4FF0">
        <w:tc>
          <w:tcPr>
            <w:tcW w:w="7995" w:type="dxa"/>
          </w:tcPr>
          <w:p w14:paraId="1000499C" w14:textId="77777777" w:rsidR="007E0ABC" w:rsidRDefault="007E0ABC" w:rsidP="003C4FF0">
            <w:pPr>
              <w:spacing w:after="120" w:line="312" w:lineRule="auto"/>
              <w:rPr>
                <w:rFonts w:eastAsia="Arial" w:cs="Arial"/>
                <w:color w:val="000000"/>
              </w:rPr>
            </w:pPr>
            <w:r>
              <w:rPr>
                <w:rFonts w:eastAsia="Arial" w:cs="Arial"/>
                <w:color w:val="000000"/>
              </w:rPr>
              <w:t>I am unable to wash or dress myself</w:t>
            </w:r>
          </w:p>
        </w:tc>
        <w:tc>
          <w:tcPr>
            <w:tcW w:w="1031" w:type="dxa"/>
            <w:vAlign w:val="bottom"/>
          </w:tcPr>
          <w:p w14:paraId="76149A7E"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0FD2C55E" w14:textId="77777777" w:rsidTr="003C4FF0">
        <w:tc>
          <w:tcPr>
            <w:tcW w:w="7995" w:type="dxa"/>
          </w:tcPr>
          <w:p w14:paraId="035F4BBF" w14:textId="77777777" w:rsidR="007E0ABC" w:rsidRDefault="007E0ABC" w:rsidP="003C4FF0">
            <w:pPr>
              <w:spacing w:line="312" w:lineRule="auto"/>
              <w:rPr>
                <w:rFonts w:eastAsia="Arial" w:cs="Arial"/>
                <w:sz w:val="12"/>
                <w:szCs w:val="12"/>
              </w:rPr>
            </w:pPr>
          </w:p>
        </w:tc>
        <w:tc>
          <w:tcPr>
            <w:tcW w:w="1031" w:type="dxa"/>
            <w:vAlign w:val="bottom"/>
          </w:tcPr>
          <w:p w14:paraId="79E98CFD" w14:textId="77777777" w:rsidR="007E0ABC" w:rsidRDefault="007E0ABC" w:rsidP="003C4FF0">
            <w:pPr>
              <w:spacing w:line="312" w:lineRule="auto"/>
              <w:rPr>
                <w:rFonts w:eastAsia="Arial" w:cs="Arial"/>
                <w:sz w:val="12"/>
                <w:szCs w:val="12"/>
              </w:rPr>
            </w:pPr>
          </w:p>
        </w:tc>
      </w:tr>
      <w:tr w:rsidR="007E0ABC" w14:paraId="43440A08" w14:textId="77777777" w:rsidTr="003C4FF0">
        <w:tc>
          <w:tcPr>
            <w:tcW w:w="7995" w:type="dxa"/>
          </w:tcPr>
          <w:p w14:paraId="23EA5994" w14:textId="77777777" w:rsidR="007E0ABC" w:rsidRDefault="007E0ABC" w:rsidP="003C4FF0">
            <w:pPr>
              <w:spacing w:after="120" w:line="312" w:lineRule="auto"/>
              <w:rPr>
                <w:rFonts w:eastAsia="Arial" w:cs="Arial"/>
                <w:b/>
                <w:color w:val="000000"/>
              </w:rPr>
            </w:pPr>
            <w:r>
              <w:rPr>
                <w:rFonts w:eastAsia="Arial" w:cs="Arial"/>
                <w:b/>
                <w:color w:val="000000"/>
              </w:rPr>
              <w:t xml:space="preserve">USUAL ACTIVITIES </w:t>
            </w:r>
            <w:r>
              <w:rPr>
                <w:rFonts w:eastAsia="Arial" w:cs="Arial"/>
                <w:i/>
                <w:color w:val="000000"/>
              </w:rPr>
              <w:t>(e.g. work, study, housework, family or leisure activities)</w:t>
            </w:r>
          </w:p>
        </w:tc>
        <w:tc>
          <w:tcPr>
            <w:tcW w:w="1031" w:type="dxa"/>
            <w:vAlign w:val="bottom"/>
          </w:tcPr>
          <w:p w14:paraId="707B3F9B" w14:textId="77777777" w:rsidR="007E0ABC" w:rsidRDefault="007E0ABC" w:rsidP="003C4FF0">
            <w:pPr>
              <w:spacing w:line="312" w:lineRule="auto"/>
              <w:rPr>
                <w:rFonts w:eastAsia="Arial" w:cs="Arial"/>
              </w:rPr>
            </w:pPr>
          </w:p>
        </w:tc>
      </w:tr>
      <w:tr w:rsidR="007E0ABC" w14:paraId="694E1C54" w14:textId="77777777" w:rsidTr="003C4FF0">
        <w:tc>
          <w:tcPr>
            <w:tcW w:w="7995" w:type="dxa"/>
          </w:tcPr>
          <w:p w14:paraId="24419DF7" w14:textId="77777777" w:rsidR="007E0ABC" w:rsidRDefault="007E0ABC" w:rsidP="003C4FF0">
            <w:pPr>
              <w:spacing w:after="120" w:line="312" w:lineRule="auto"/>
              <w:rPr>
                <w:rFonts w:eastAsia="Arial" w:cs="Arial"/>
                <w:color w:val="000000"/>
              </w:rPr>
            </w:pPr>
            <w:r>
              <w:rPr>
                <w:rFonts w:eastAsia="Arial" w:cs="Arial"/>
                <w:color w:val="000000"/>
              </w:rPr>
              <w:t>I have no problems with performing my usual activities</w:t>
            </w:r>
          </w:p>
        </w:tc>
        <w:tc>
          <w:tcPr>
            <w:tcW w:w="1031" w:type="dxa"/>
            <w:vAlign w:val="bottom"/>
          </w:tcPr>
          <w:p w14:paraId="0455C408"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15D674DD" w14:textId="77777777" w:rsidTr="003C4FF0">
        <w:tc>
          <w:tcPr>
            <w:tcW w:w="7995" w:type="dxa"/>
          </w:tcPr>
          <w:p w14:paraId="74A1AFE8" w14:textId="77777777" w:rsidR="007E0ABC" w:rsidRDefault="007E0ABC" w:rsidP="003C4FF0">
            <w:pPr>
              <w:spacing w:after="120" w:line="312" w:lineRule="auto"/>
              <w:rPr>
                <w:rFonts w:eastAsia="Arial" w:cs="Arial"/>
                <w:color w:val="000000"/>
              </w:rPr>
            </w:pPr>
            <w:r>
              <w:rPr>
                <w:rFonts w:eastAsia="Arial" w:cs="Arial"/>
                <w:color w:val="000000"/>
              </w:rPr>
              <w:t>I have some problems with performing my usual activities</w:t>
            </w:r>
          </w:p>
        </w:tc>
        <w:tc>
          <w:tcPr>
            <w:tcW w:w="1031" w:type="dxa"/>
            <w:vAlign w:val="bottom"/>
          </w:tcPr>
          <w:p w14:paraId="79E65EF9"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287B79ED" w14:textId="77777777" w:rsidTr="003C4FF0">
        <w:tc>
          <w:tcPr>
            <w:tcW w:w="7995" w:type="dxa"/>
          </w:tcPr>
          <w:p w14:paraId="5F4E063E" w14:textId="77777777" w:rsidR="007E0ABC" w:rsidRDefault="007E0ABC" w:rsidP="003C4FF0">
            <w:pPr>
              <w:spacing w:after="120" w:line="312" w:lineRule="auto"/>
              <w:rPr>
                <w:rFonts w:eastAsia="Arial" w:cs="Arial"/>
                <w:color w:val="000000"/>
              </w:rPr>
            </w:pPr>
            <w:r>
              <w:rPr>
                <w:rFonts w:eastAsia="Arial" w:cs="Arial"/>
                <w:color w:val="000000"/>
              </w:rPr>
              <w:t>I am unable to perform my usual activities</w:t>
            </w:r>
          </w:p>
        </w:tc>
        <w:tc>
          <w:tcPr>
            <w:tcW w:w="1031" w:type="dxa"/>
            <w:vAlign w:val="bottom"/>
          </w:tcPr>
          <w:p w14:paraId="4F526F0F"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1E6F2DF4" w14:textId="77777777" w:rsidTr="003C4FF0">
        <w:tc>
          <w:tcPr>
            <w:tcW w:w="7995" w:type="dxa"/>
          </w:tcPr>
          <w:p w14:paraId="24014D05" w14:textId="77777777" w:rsidR="007E0ABC" w:rsidRDefault="007E0ABC" w:rsidP="003C4FF0">
            <w:pPr>
              <w:spacing w:line="312" w:lineRule="auto"/>
              <w:rPr>
                <w:rFonts w:eastAsia="Arial" w:cs="Arial"/>
                <w:sz w:val="12"/>
                <w:szCs w:val="12"/>
              </w:rPr>
            </w:pPr>
          </w:p>
        </w:tc>
        <w:tc>
          <w:tcPr>
            <w:tcW w:w="1031" w:type="dxa"/>
            <w:vAlign w:val="bottom"/>
          </w:tcPr>
          <w:p w14:paraId="60F47D13" w14:textId="77777777" w:rsidR="007E0ABC" w:rsidRDefault="007E0ABC" w:rsidP="003C4FF0">
            <w:pPr>
              <w:spacing w:line="312" w:lineRule="auto"/>
              <w:rPr>
                <w:rFonts w:eastAsia="Arial" w:cs="Arial"/>
                <w:sz w:val="12"/>
                <w:szCs w:val="12"/>
              </w:rPr>
            </w:pPr>
          </w:p>
        </w:tc>
      </w:tr>
      <w:tr w:rsidR="007E0ABC" w14:paraId="230F5796" w14:textId="77777777" w:rsidTr="003C4FF0">
        <w:tc>
          <w:tcPr>
            <w:tcW w:w="7995" w:type="dxa"/>
          </w:tcPr>
          <w:p w14:paraId="2A429A45" w14:textId="77777777" w:rsidR="007E0ABC" w:rsidRDefault="007E0ABC" w:rsidP="003C4FF0">
            <w:pPr>
              <w:spacing w:after="120" w:line="312" w:lineRule="auto"/>
              <w:rPr>
                <w:rFonts w:eastAsia="Arial" w:cs="Arial"/>
                <w:b/>
                <w:color w:val="000000"/>
              </w:rPr>
            </w:pPr>
            <w:r>
              <w:rPr>
                <w:rFonts w:eastAsia="Arial" w:cs="Arial"/>
                <w:b/>
                <w:color w:val="000000"/>
              </w:rPr>
              <w:t>PAIN / DISCOMFORT</w:t>
            </w:r>
          </w:p>
        </w:tc>
        <w:tc>
          <w:tcPr>
            <w:tcW w:w="1031" w:type="dxa"/>
            <w:vAlign w:val="bottom"/>
          </w:tcPr>
          <w:p w14:paraId="58251E7C" w14:textId="77777777" w:rsidR="007E0ABC" w:rsidRDefault="007E0ABC" w:rsidP="003C4FF0">
            <w:pPr>
              <w:spacing w:line="312" w:lineRule="auto"/>
              <w:rPr>
                <w:rFonts w:eastAsia="Arial" w:cs="Arial"/>
              </w:rPr>
            </w:pPr>
          </w:p>
        </w:tc>
      </w:tr>
      <w:tr w:rsidR="007E0ABC" w14:paraId="119F8356" w14:textId="77777777" w:rsidTr="003C4FF0">
        <w:tc>
          <w:tcPr>
            <w:tcW w:w="7995" w:type="dxa"/>
          </w:tcPr>
          <w:p w14:paraId="1E9FD57C" w14:textId="77777777" w:rsidR="007E0ABC" w:rsidRDefault="007E0ABC" w:rsidP="003C4FF0">
            <w:pPr>
              <w:spacing w:after="120" w:line="312" w:lineRule="auto"/>
              <w:rPr>
                <w:rFonts w:eastAsia="Arial" w:cs="Arial"/>
                <w:color w:val="000000"/>
              </w:rPr>
            </w:pPr>
            <w:r>
              <w:rPr>
                <w:rFonts w:eastAsia="Arial" w:cs="Arial"/>
                <w:color w:val="000000"/>
              </w:rPr>
              <w:t>I have no pain or discomfort</w:t>
            </w:r>
          </w:p>
        </w:tc>
        <w:tc>
          <w:tcPr>
            <w:tcW w:w="1031" w:type="dxa"/>
            <w:vAlign w:val="bottom"/>
          </w:tcPr>
          <w:p w14:paraId="74CDAE2A"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5A24C7F9" w14:textId="77777777" w:rsidTr="003C4FF0">
        <w:tc>
          <w:tcPr>
            <w:tcW w:w="7995" w:type="dxa"/>
          </w:tcPr>
          <w:p w14:paraId="2F7E3A4F" w14:textId="77777777" w:rsidR="007E0ABC" w:rsidRDefault="007E0ABC" w:rsidP="003C4FF0">
            <w:pPr>
              <w:spacing w:after="120" w:line="312" w:lineRule="auto"/>
              <w:rPr>
                <w:rFonts w:eastAsia="Arial" w:cs="Arial"/>
                <w:color w:val="000000"/>
              </w:rPr>
            </w:pPr>
            <w:r>
              <w:rPr>
                <w:rFonts w:eastAsia="Arial" w:cs="Arial"/>
                <w:color w:val="000000"/>
              </w:rPr>
              <w:t>I have moderate pain or discomfort</w:t>
            </w:r>
          </w:p>
        </w:tc>
        <w:tc>
          <w:tcPr>
            <w:tcW w:w="1031" w:type="dxa"/>
            <w:vAlign w:val="bottom"/>
          </w:tcPr>
          <w:p w14:paraId="188FA7CB"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4CEB50A1" w14:textId="77777777" w:rsidTr="003C4FF0">
        <w:tc>
          <w:tcPr>
            <w:tcW w:w="7995" w:type="dxa"/>
          </w:tcPr>
          <w:p w14:paraId="50188242" w14:textId="77777777" w:rsidR="007E0ABC" w:rsidRDefault="007E0ABC" w:rsidP="003C4FF0">
            <w:pPr>
              <w:spacing w:after="120" w:line="312" w:lineRule="auto"/>
              <w:rPr>
                <w:rFonts w:eastAsia="Arial" w:cs="Arial"/>
                <w:color w:val="000000"/>
              </w:rPr>
            </w:pPr>
            <w:r>
              <w:rPr>
                <w:rFonts w:eastAsia="Arial" w:cs="Arial"/>
                <w:color w:val="000000"/>
              </w:rPr>
              <w:t>I have extreme pain or discomfort</w:t>
            </w:r>
          </w:p>
        </w:tc>
        <w:tc>
          <w:tcPr>
            <w:tcW w:w="1031" w:type="dxa"/>
            <w:vAlign w:val="bottom"/>
          </w:tcPr>
          <w:p w14:paraId="5749FFE8"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6CE7932D" w14:textId="77777777" w:rsidTr="003C4FF0">
        <w:tc>
          <w:tcPr>
            <w:tcW w:w="7995" w:type="dxa"/>
          </w:tcPr>
          <w:p w14:paraId="7A811929" w14:textId="77777777" w:rsidR="007E0ABC" w:rsidRDefault="007E0ABC" w:rsidP="003C4FF0">
            <w:pPr>
              <w:spacing w:line="312" w:lineRule="auto"/>
              <w:rPr>
                <w:rFonts w:eastAsia="Arial" w:cs="Arial"/>
                <w:sz w:val="12"/>
                <w:szCs w:val="12"/>
              </w:rPr>
            </w:pPr>
          </w:p>
        </w:tc>
        <w:tc>
          <w:tcPr>
            <w:tcW w:w="1031" w:type="dxa"/>
            <w:vAlign w:val="bottom"/>
          </w:tcPr>
          <w:p w14:paraId="45AF3095" w14:textId="77777777" w:rsidR="007E0ABC" w:rsidRDefault="007E0ABC" w:rsidP="003C4FF0">
            <w:pPr>
              <w:spacing w:line="312" w:lineRule="auto"/>
              <w:rPr>
                <w:rFonts w:eastAsia="Arial" w:cs="Arial"/>
                <w:sz w:val="12"/>
                <w:szCs w:val="12"/>
              </w:rPr>
            </w:pPr>
          </w:p>
        </w:tc>
      </w:tr>
      <w:tr w:rsidR="007E0ABC" w14:paraId="629DB3FC" w14:textId="77777777" w:rsidTr="003C4FF0">
        <w:tc>
          <w:tcPr>
            <w:tcW w:w="7995" w:type="dxa"/>
          </w:tcPr>
          <w:p w14:paraId="0B061764" w14:textId="77777777" w:rsidR="007E0ABC" w:rsidRDefault="007E0ABC" w:rsidP="003C4FF0">
            <w:pPr>
              <w:spacing w:after="120" w:line="312" w:lineRule="auto"/>
              <w:rPr>
                <w:rFonts w:eastAsia="Arial" w:cs="Arial"/>
                <w:b/>
                <w:color w:val="000000"/>
              </w:rPr>
            </w:pPr>
            <w:r>
              <w:rPr>
                <w:rFonts w:eastAsia="Arial" w:cs="Arial"/>
                <w:b/>
                <w:color w:val="000000"/>
              </w:rPr>
              <w:t>ANXIETY / DEPRESSION</w:t>
            </w:r>
          </w:p>
        </w:tc>
        <w:tc>
          <w:tcPr>
            <w:tcW w:w="1031" w:type="dxa"/>
            <w:vAlign w:val="bottom"/>
          </w:tcPr>
          <w:p w14:paraId="03BC1C7E" w14:textId="77777777" w:rsidR="007E0ABC" w:rsidRDefault="007E0ABC" w:rsidP="003C4FF0">
            <w:pPr>
              <w:spacing w:line="312" w:lineRule="auto"/>
              <w:rPr>
                <w:rFonts w:eastAsia="Arial" w:cs="Arial"/>
              </w:rPr>
            </w:pPr>
          </w:p>
        </w:tc>
      </w:tr>
      <w:tr w:rsidR="007E0ABC" w14:paraId="02388DF7" w14:textId="77777777" w:rsidTr="003C4FF0">
        <w:tc>
          <w:tcPr>
            <w:tcW w:w="7995" w:type="dxa"/>
          </w:tcPr>
          <w:p w14:paraId="570EBCD0" w14:textId="77777777" w:rsidR="007E0ABC" w:rsidRDefault="007E0ABC" w:rsidP="003C4FF0">
            <w:pPr>
              <w:spacing w:after="120" w:line="312" w:lineRule="auto"/>
              <w:rPr>
                <w:rFonts w:eastAsia="Arial" w:cs="Arial"/>
                <w:color w:val="000000"/>
              </w:rPr>
            </w:pPr>
            <w:r>
              <w:rPr>
                <w:rFonts w:eastAsia="Arial" w:cs="Arial"/>
                <w:color w:val="000000"/>
              </w:rPr>
              <w:lastRenderedPageBreak/>
              <w:t>I am not anxious or depressed</w:t>
            </w:r>
          </w:p>
        </w:tc>
        <w:tc>
          <w:tcPr>
            <w:tcW w:w="1031" w:type="dxa"/>
            <w:vAlign w:val="bottom"/>
          </w:tcPr>
          <w:p w14:paraId="6B6E5179"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356C8D0D" w14:textId="77777777" w:rsidTr="003C4FF0">
        <w:tc>
          <w:tcPr>
            <w:tcW w:w="7995" w:type="dxa"/>
          </w:tcPr>
          <w:p w14:paraId="4EAAEBB6" w14:textId="77777777" w:rsidR="007E0ABC" w:rsidRDefault="007E0ABC" w:rsidP="003C4FF0">
            <w:pPr>
              <w:spacing w:after="120" w:line="312" w:lineRule="auto"/>
              <w:rPr>
                <w:rFonts w:eastAsia="Arial" w:cs="Arial"/>
                <w:color w:val="000000"/>
              </w:rPr>
            </w:pPr>
            <w:r>
              <w:rPr>
                <w:rFonts w:eastAsia="Arial" w:cs="Arial"/>
                <w:color w:val="000000"/>
              </w:rPr>
              <w:t>I am moderately anxious or depressed</w:t>
            </w:r>
          </w:p>
        </w:tc>
        <w:tc>
          <w:tcPr>
            <w:tcW w:w="1031" w:type="dxa"/>
            <w:vAlign w:val="bottom"/>
          </w:tcPr>
          <w:p w14:paraId="0E217AB1" w14:textId="77777777" w:rsidR="007E0ABC" w:rsidRDefault="007E0ABC" w:rsidP="003C4FF0">
            <w:pPr>
              <w:spacing w:line="312" w:lineRule="auto"/>
              <w:rPr>
                <w:rFonts w:eastAsia="Arial" w:cs="Arial"/>
              </w:rPr>
            </w:pPr>
            <w:r>
              <w:rPr>
                <w:rFonts w:ascii="Segoe UI Symbol" w:eastAsia="Wingdings" w:hAnsi="Segoe UI Symbol" w:cs="Segoe UI Symbol"/>
                <w:sz w:val="32"/>
                <w:szCs w:val="32"/>
              </w:rPr>
              <w:t>❑</w:t>
            </w:r>
          </w:p>
        </w:tc>
      </w:tr>
      <w:tr w:rsidR="007E0ABC" w14:paraId="6F95C1EE" w14:textId="77777777" w:rsidTr="003C4FF0">
        <w:tc>
          <w:tcPr>
            <w:tcW w:w="7995" w:type="dxa"/>
          </w:tcPr>
          <w:p w14:paraId="206C00C5" w14:textId="77777777" w:rsidR="007E0ABC" w:rsidRDefault="007E0ABC" w:rsidP="003C4FF0">
            <w:pPr>
              <w:spacing w:after="120" w:line="312" w:lineRule="auto"/>
              <w:rPr>
                <w:rFonts w:eastAsia="Arial" w:cs="Arial"/>
                <w:color w:val="000000"/>
              </w:rPr>
            </w:pPr>
            <w:r>
              <w:rPr>
                <w:rFonts w:eastAsia="Arial" w:cs="Arial"/>
                <w:color w:val="000000"/>
              </w:rPr>
              <w:t>I am extremely anxious or depressed</w:t>
            </w:r>
          </w:p>
        </w:tc>
        <w:tc>
          <w:tcPr>
            <w:tcW w:w="1031" w:type="dxa"/>
            <w:vAlign w:val="bottom"/>
          </w:tcPr>
          <w:p w14:paraId="6A663F42" w14:textId="77777777" w:rsidR="007E0ABC" w:rsidRDefault="007E0ABC" w:rsidP="003C4FF0">
            <w:pPr>
              <w:spacing w:line="312" w:lineRule="auto"/>
              <w:rPr>
                <w:rFonts w:eastAsia="Arial" w:cs="Arial"/>
                <w:sz w:val="32"/>
                <w:szCs w:val="32"/>
              </w:rPr>
            </w:pPr>
            <w:r>
              <w:rPr>
                <w:rFonts w:ascii="Segoe UI Symbol" w:eastAsia="Wingdings" w:hAnsi="Segoe UI Symbol" w:cs="Segoe UI Symbol"/>
                <w:sz w:val="32"/>
                <w:szCs w:val="32"/>
              </w:rPr>
              <w:t>❑</w:t>
            </w:r>
          </w:p>
        </w:tc>
      </w:tr>
    </w:tbl>
    <w:p w14:paraId="5F3DCA6F" w14:textId="77777777" w:rsidR="007E0ABC" w:rsidRDefault="007E0ABC" w:rsidP="001B6A38">
      <w:pPr>
        <w:tabs>
          <w:tab w:val="right" w:pos="7371"/>
        </w:tabs>
        <w:spacing w:line="312" w:lineRule="auto"/>
        <w:rPr>
          <w:rFonts w:eastAsia="Arial" w:cs="Arial"/>
          <w:sz w:val="26"/>
          <w:szCs w:val="26"/>
        </w:rPr>
      </w:pPr>
    </w:p>
    <w:p w14:paraId="608BF1A5" w14:textId="77777777" w:rsidR="007E0ABC" w:rsidRDefault="007E0ABC" w:rsidP="001B6A38">
      <w:pPr>
        <w:tabs>
          <w:tab w:val="right" w:pos="7371"/>
        </w:tabs>
        <w:spacing w:line="312" w:lineRule="auto"/>
        <w:rPr>
          <w:rFonts w:eastAsia="Arial" w:cs="Arial"/>
          <w:sz w:val="26"/>
          <w:szCs w:val="26"/>
        </w:rPr>
      </w:pPr>
    </w:p>
    <w:p w14:paraId="73C2214D" w14:textId="77777777" w:rsidR="007E0ABC" w:rsidRDefault="007E0ABC" w:rsidP="001B6A38">
      <w:pPr>
        <w:tabs>
          <w:tab w:val="right" w:pos="7371"/>
        </w:tabs>
        <w:spacing w:line="312" w:lineRule="auto"/>
        <w:rPr>
          <w:rFonts w:eastAsia="Arial" w:cs="Arial"/>
          <w:sz w:val="26"/>
          <w:szCs w:val="26"/>
        </w:rPr>
      </w:pPr>
    </w:p>
    <w:p w14:paraId="7984896B" w14:textId="77777777" w:rsidR="007E0ABC" w:rsidRDefault="007E0ABC" w:rsidP="001B6A38">
      <w:pPr>
        <w:tabs>
          <w:tab w:val="right" w:pos="7371"/>
        </w:tabs>
        <w:spacing w:line="312" w:lineRule="auto"/>
        <w:rPr>
          <w:rFonts w:eastAsia="Arial" w:cs="Arial"/>
          <w:sz w:val="26"/>
          <w:szCs w:val="26"/>
        </w:rPr>
      </w:pPr>
    </w:p>
    <w:p w14:paraId="6C98D736" w14:textId="77777777" w:rsidR="007E0ABC" w:rsidRDefault="007E0ABC" w:rsidP="001B6A38">
      <w:pPr>
        <w:rPr>
          <w:rFonts w:eastAsia="Arial" w:cs="Arial"/>
        </w:rPr>
      </w:pPr>
    </w:p>
    <w:p w14:paraId="3E8530DF" w14:textId="77777777" w:rsidR="007E0ABC" w:rsidRDefault="007E0ABC" w:rsidP="001B6A38"/>
    <w:p w14:paraId="16B0B767" w14:textId="77777777" w:rsidR="007E0ABC" w:rsidRDefault="007E0ABC" w:rsidP="001B6A38"/>
    <w:p w14:paraId="14789C79" w14:textId="77777777" w:rsidR="007E0ABC" w:rsidRDefault="007E0ABC" w:rsidP="001B6A38"/>
    <w:p w14:paraId="72178E51" w14:textId="77777777" w:rsidR="007E0ABC" w:rsidRDefault="007E0ABC" w:rsidP="001B6A38"/>
    <w:tbl>
      <w:tblPr>
        <w:tblW w:w="8364" w:type="dxa"/>
        <w:tblBorders>
          <w:top w:val="nil"/>
          <w:left w:val="nil"/>
          <w:bottom w:val="nil"/>
          <w:right w:val="nil"/>
          <w:insideH w:val="nil"/>
          <w:insideV w:val="nil"/>
        </w:tblBorders>
        <w:tblLayout w:type="fixed"/>
        <w:tblLook w:val="0400" w:firstRow="0" w:lastRow="0" w:firstColumn="0" w:lastColumn="0" w:noHBand="0" w:noVBand="1"/>
      </w:tblPr>
      <w:tblGrid>
        <w:gridCol w:w="8364"/>
      </w:tblGrid>
      <w:tr w:rsidR="007E0ABC" w14:paraId="18F8455F" w14:textId="77777777" w:rsidTr="003C4FF0">
        <w:tc>
          <w:tcPr>
            <w:tcW w:w="8364" w:type="dxa"/>
          </w:tcPr>
          <w:p w14:paraId="0CBBBAC1" w14:textId="77777777" w:rsidR="007E0ABC" w:rsidRDefault="007E0ABC" w:rsidP="007E0ABC">
            <w:pPr>
              <w:numPr>
                <w:ilvl w:val="0"/>
                <w:numId w:val="134"/>
              </w:numPr>
              <w:pBdr>
                <w:top w:val="nil"/>
                <w:left w:val="nil"/>
                <w:bottom w:val="nil"/>
                <w:right w:val="nil"/>
                <w:between w:val="nil"/>
              </w:pBdr>
              <w:spacing w:after="240" w:line="312" w:lineRule="auto"/>
              <w:jc w:val="left"/>
              <w:rPr>
                <w:rFonts w:eastAsia="Arial" w:cs="Arial"/>
                <w:color w:val="000000"/>
              </w:rPr>
            </w:pPr>
            <w:bookmarkStart w:id="194" w:name="_heading=h.tyjcwt" w:colFirst="0" w:colLast="0"/>
            <w:bookmarkEnd w:id="194"/>
            <w:r>
              <w:rPr>
                <w:rFonts w:eastAsia="Arial" w:cs="Arial"/>
                <w:color w:val="000000"/>
              </w:rPr>
              <w:t>We would like to know how good or bad your health is TODAY.</w:t>
            </w:r>
          </w:p>
        </w:tc>
      </w:tr>
      <w:tr w:rsidR="007E0ABC" w14:paraId="58962A91" w14:textId="77777777" w:rsidTr="003C4FF0">
        <w:tc>
          <w:tcPr>
            <w:tcW w:w="8364" w:type="dxa"/>
          </w:tcPr>
          <w:p w14:paraId="078A1D64" w14:textId="77777777" w:rsidR="007E0ABC" w:rsidRDefault="007E0ABC" w:rsidP="007E0ABC">
            <w:pPr>
              <w:numPr>
                <w:ilvl w:val="0"/>
                <w:numId w:val="134"/>
              </w:numPr>
              <w:pBdr>
                <w:top w:val="nil"/>
                <w:left w:val="nil"/>
                <w:bottom w:val="nil"/>
                <w:right w:val="nil"/>
                <w:between w:val="nil"/>
              </w:pBdr>
              <w:spacing w:after="240" w:line="312" w:lineRule="auto"/>
              <w:jc w:val="left"/>
              <w:rPr>
                <w:rFonts w:eastAsia="Arial" w:cs="Arial"/>
                <w:color w:val="000000"/>
              </w:rPr>
            </w:pPr>
            <w:r>
              <w:rPr>
                <w:rFonts w:eastAsia="Arial" w:cs="Arial"/>
                <w:color w:val="000000"/>
              </w:rPr>
              <w:t>This scale is numbered from 0 to 100.</w:t>
            </w:r>
          </w:p>
        </w:tc>
      </w:tr>
      <w:tr w:rsidR="007E0ABC" w14:paraId="5B26A564" w14:textId="77777777" w:rsidTr="003C4FF0">
        <w:tc>
          <w:tcPr>
            <w:tcW w:w="8364" w:type="dxa"/>
          </w:tcPr>
          <w:p w14:paraId="13EBE115" w14:textId="77777777" w:rsidR="007E0ABC" w:rsidRDefault="007E0ABC" w:rsidP="007E0ABC">
            <w:pPr>
              <w:numPr>
                <w:ilvl w:val="0"/>
                <w:numId w:val="134"/>
              </w:numPr>
              <w:pBdr>
                <w:top w:val="nil"/>
                <w:left w:val="nil"/>
                <w:bottom w:val="nil"/>
                <w:right w:val="nil"/>
                <w:between w:val="nil"/>
              </w:pBdr>
              <w:spacing w:after="240" w:line="312" w:lineRule="auto"/>
              <w:jc w:val="left"/>
              <w:rPr>
                <w:rFonts w:eastAsia="Arial" w:cs="Arial"/>
                <w:color w:val="000000"/>
              </w:rPr>
            </w:pPr>
            <w:r>
              <w:rPr>
                <w:rFonts w:eastAsia="Arial" w:cs="Arial"/>
                <w:color w:val="000000"/>
              </w:rPr>
              <w:t xml:space="preserve">100 means the </w:t>
            </w:r>
            <w:r>
              <w:rPr>
                <w:rFonts w:eastAsia="Arial" w:cs="Arial"/>
                <w:color w:val="000000"/>
                <w:u w:val="single"/>
              </w:rPr>
              <w:t>best</w:t>
            </w:r>
            <w:r>
              <w:rPr>
                <w:rFonts w:eastAsia="Arial" w:cs="Arial"/>
                <w:color w:val="000000"/>
              </w:rPr>
              <w:t xml:space="preserve"> health you can imagine.</w:t>
            </w:r>
            <w:r>
              <w:rPr>
                <w:rFonts w:eastAsia="Arial" w:cs="Arial"/>
                <w:color w:val="000000"/>
              </w:rPr>
              <w:br/>
              <w:t xml:space="preserve">0 means the </w:t>
            </w:r>
            <w:r>
              <w:rPr>
                <w:rFonts w:eastAsia="Arial" w:cs="Arial"/>
                <w:color w:val="000000"/>
                <w:u w:val="single"/>
              </w:rPr>
              <w:t>worst</w:t>
            </w:r>
            <w:r>
              <w:rPr>
                <w:rFonts w:eastAsia="Arial" w:cs="Arial"/>
                <w:color w:val="000000"/>
              </w:rPr>
              <w:t xml:space="preserve"> health you can imagine.</w:t>
            </w:r>
          </w:p>
        </w:tc>
      </w:tr>
      <w:tr w:rsidR="007E0ABC" w14:paraId="4933B8C5" w14:textId="77777777" w:rsidTr="003C4FF0">
        <w:tc>
          <w:tcPr>
            <w:tcW w:w="8364" w:type="dxa"/>
          </w:tcPr>
          <w:p w14:paraId="74A3C118" w14:textId="77777777" w:rsidR="007E0ABC" w:rsidRDefault="007E0ABC" w:rsidP="007E0ABC">
            <w:pPr>
              <w:numPr>
                <w:ilvl w:val="0"/>
                <w:numId w:val="134"/>
              </w:numPr>
              <w:pBdr>
                <w:top w:val="nil"/>
                <w:left w:val="nil"/>
                <w:bottom w:val="nil"/>
                <w:right w:val="nil"/>
                <w:between w:val="nil"/>
              </w:pBdr>
              <w:spacing w:after="240" w:line="312" w:lineRule="auto"/>
              <w:jc w:val="left"/>
              <w:rPr>
                <w:rFonts w:eastAsia="Arial" w:cs="Arial"/>
                <w:color w:val="000000"/>
              </w:rPr>
            </w:pPr>
            <w:r>
              <w:rPr>
                <w:rFonts w:eastAsia="Arial" w:cs="Arial"/>
                <w:color w:val="000000"/>
              </w:rPr>
              <w:t>Please mark an X on the scale to indicate how your health is TODAY.</w:t>
            </w:r>
          </w:p>
        </w:tc>
      </w:tr>
      <w:tr w:rsidR="007E0ABC" w14:paraId="324836E3" w14:textId="77777777" w:rsidTr="003C4FF0">
        <w:tc>
          <w:tcPr>
            <w:tcW w:w="8364" w:type="dxa"/>
          </w:tcPr>
          <w:p w14:paraId="60442B91" w14:textId="77777777" w:rsidR="007E0ABC" w:rsidRDefault="007E0ABC" w:rsidP="007E0ABC">
            <w:pPr>
              <w:numPr>
                <w:ilvl w:val="0"/>
                <w:numId w:val="134"/>
              </w:numPr>
              <w:pBdr>
                <w:top w:val="nil"/>
                <w:left w:val="nil"/>
                <w:bottom w:val="nil"/>
                <w:right w:val="nil"/>
                <w:between w:val="nil"/>
              </w:pBdr>
              <w:spacing w:after="240" w:line="312" w:lineRule="auto"/>
              <w:jc w:val="left"/>
              <w:rPr>
                <w:rFonts w:eastAsia="Arial" w:cs="Arial"/>
                <w:color w:val="000000"/>
              </w:rPr>
            </w:pPr>
            <w:r>
              <w:rPr>
                <w:rFonts w:eastAsia="Arial" w:cs="Arial"/>
                <w:color w:val="000000"/>
              </w:rPr>
              <w:t>Now, write the number you marked on the scale in the box below.</w:t>
            </w:r>
          </w:p>
        </w:tc>
      </w:tr>
    </w:tbl>
    <w:p w14:paraId="176E7ACF" w14:textId="77777777" w:rsidR="007E0ABC" w:rsidRDefault="007E0ABC" w:rsidP="001B6A38">
      <w:r>
        <w:rPr>
          <w:noProof/>
        </w:rPr>
        <mc:AlternateContent>
          <mc:Choice Requires="wpg">
            <w:drawing>
              <wp:anchor distT="0" distB="0" distL="114300" distR="114300" simplePos="0" relativeHeight="251688960" behindDoc="0" locked="0" layoutInCell="1" hidden="0" allowOverlap="1" wp14:anchorId="363A37AF" wp14:editId="23956198">
                <wp:simplePos x="0" y="0"/>
                <wp:positionH relativeFrom="rightMargin">
                  <wp:posOffset>-895984</wp:posOffset>
                </wp:positionH>
                <wp:positionV relativeFrom="topMargin">
                  <wp:posOffset>1444625</wp:posOffset>
                </wp:positionV>
                <wp:extent cx="1408430" cy="7461250"/>
                <wp:effectExtent l="0" t="0" r="0" b="0"/>
                <wp:wrapNone/>
                <wp:docPr id="530" name="Group 530"/>
                <wp:cNvGraphicFramePr/>
                <a:graphic xmlns:a="http://schemas.openxmlformats.org/drawingml/2006/main">
                  <a:graphicData uri="http://schemas.microsoft.com/office/word/2010/wordprocessingGroup">
                    <wpg:wgp>
                      <wpg:cNvGrpSpPr/>
                      <wpg:grpSpPr>
                        <a:xfrm>
                          <a:off x="0" y="0"/>
                          <a:ext cx="1408430" cy="7461250"/>
                          <a:chOff x="4641785" y="49375"/>
                          <a:chExt cx="1408425" cy="7461250"/>
                        </a:xfrm>
                      </wpg:grpSpPr>
                      <wpg:grpSp>
                        <wpg:cNvPr id="57" name="Group 57"/>
                        <wpg:cNvGrpSpPr/>
                        <wpg:grpSpPr>
                          <a:xfrm>
                            <a:off x="4641785" y="49375"/>
                            <a:ext cx="1408425" cy="7461250"/>
                            <a:chOff x="0" y="0"/>
                            <a:chExt cx="1408425" cy="7461250"/>
                          </a:xfrm>
                        </wpg:grpSpPr>
                        <wps:wsp>
                          <wps:cNvPr id="58" name="Rectangle 58"/>
                          <wps:cNvSpPr/>
                          <wps:spPr>
                            <a:xfrm>
                              <a:off x="0" y="0"/>
                              <a:ext cx="1408425" cy="7461250"/>
                            </a:xfrm>
                            <a:prstGeom prst="rect">
                              <a:avLst/>
                            </a:prstGeom>
                            <a:noFill/>
                            <a:ln>
                              <a:noFill/>
                            </a:ln>
                          </wps:spPr>
                          <wps:txbx>
                            <w:txbxContent>
                              <w:p w14:paraId="4189ACD1" w14:textId="77777777" w:rsidR="007E0ABC" w:rsidRDefault="007E0ABC" w:rsidP="001B6A38">
                                <w:pPr>
                                  <w:textDirection w:val="btLr"/>
                                </w:pPr>
                              </w:p>
                            </w:txbxContent>
                          </wps:txbx>
                          <wps:bodyPr spcFirstLastPara="1" wrap="square" lIns="91425" tIns="91425" rIns="91425" bIns="91425" anchor="ctr" anchorCtr="0">
                            <a:noAutofit/>
                          </wps:bodyPr>
                        </wps:wsp>
                        <wps:wsp>
                          <wps:cNvPr id="59" name="Rectangle 59"/>
                          <wps:cNvSpPr/>
                          <wps:spPr>
                            <a:xfrm>
                              <a:off x="1121881" y="6541143"/>
                              <a:ext cx="155680" cy="160701"/>
                            </a:xfrm>
                            <a:prstGeom prst="rect">
                              <a:avLst/>
                            </a:prstGeom>
                            <a:noFill/>
                            <a:ln>
                              <a:noFill/>
                            </a:ln>
                          </wps:spPr>
                          <wps:txbx>
                            <w:txbxContent>
                              <w:p w14:paraId="77E50244" w14:textId="77777777" w:rsidR="007E0ABC" w:rsidRDefault="007E0ABC" w:rsidP="001B6A38">
                                <w:pPr>
                                  <w:textDirection w:val="btLr"/>
                                </w:pPr>
                                <w:r>
                                  <w:rPr>
                                    <w:rFonts w:eastAsia="Calibri" w:cs="Calibri"/>
                                    <w:color w:val="000000"/>
                                  </w:rPr>
                                  <w:t>10</w:t>
                                </w:r>
                              </w:p>
                            </w:txbxContent>
                          </wps:txbx>
                          <wps:bodyPr spcFirstLastPara="1" wrap="square" lIns="88900" tIns="38100" rIns="88900" bIns="38100" anchor="t" anchorCtr="0">
                            <a:noAutofit/>
                          </wps:bodyPr>
                        </wps:wsp>
                        <wps:wsp>
                          <wps:cNvPr id="60" name="Rectangle 60"/>
                          <wps:cNvSpPr/>
                          <wps:spPr>
                            <a:xfrm>
                              <a:off x="1156799" y="7260448"/>
                              <a:ext cx="78140" cy="160601"/>
                            </a:xfrm>
                            <a:prstGeom prst="rect">
                              <a:avLst/>
                            </a:prstGeom>
                            <a:noFill/>
                            <a:ln>
                              <a:noFill/>
                            </a:ln>
                          </wps:spPr>
                          <wps:txbx>
                            <w:txbxContent>
                              <w:p w14:paraId="1566AAA7" w14:textId="77777777" w:rsidR="007E0ABC" w:rsidRDefault="007E0ABC" w:rsidP="001B6A38">
                                <w:pPr>
                                  <w:textDirection w:val="btLr"/>
                                </w:pPr>
                                <w:r>
                                  <w:rPr>
                                    <w:rFonts w:eastAsia="Calibri" w:cs="Calibri"/>
                                    <w:color w:val="000000"/>
                                  </w:rPr>
                                  <w:t>0</w:t>
                                </w:r>
                              </w:p>
                            </w:txbxContent>
                          </wps:txbx>
                          <wps:bodyPr spcFirstLastPara="1" wrap="square" lIns="88900" tIns="38100" rIns="88900" bIns="38100" anchor="t" anchorCtr="0">
                            <a:noAutofit/>
                          </wps:bodyPr>
                        </wps:wsp>
                        <wps:wsp>
                          <wps:cNvPr id="61" name="Rectangle 61"/>
                          <wps:cNvSpPr/>
                          <wps:spPr>
                            <a:xfrm>
                              <a:off x="1121881" y="5821439"/>
                              <a:ext cx="155680" cy="160701"/>
                            </a:xfrm>
                            <a:prstGeom prst="rect">
                              <a:avLst/>
                            </a:prstGeom>
                            <a:noFill/>
                            <a:ln>
                              <a:noFill/>
                            </a:ln>
                          </wps:spPr>
                          <wps:txbx>
                            <w:txbxContent>
                              <w:p w14:paraId="042C5ED4" w14:textId="77777777" w:rsidR="007E0ABC" w:rsidRDefault="007E0ABC" w:rsidP="001B6A38">
                                <w:pPr>
                                  <w:textDirection w:val="btLr"/>
                                </w:pPr>
                                <w:r>
                                  <w:rPr>
                                    <w:rFonts w:eastAsia="Calibri" w:cs="Calibri"/>
                                    <w:color w:val="000000"/>
                                  </w:rPr>
                                  <w:t>20</w:t>
                                </w:r>
                              </w:p>
                            </w:txbxContent>
                          </wps:txbx>
                          <wps:bodyPr spcFirstLastPara="1" wrap="square" lIns="88900" tIns="38100" rIns="88900" bIns="38100" anchor="t" anchorCtr="0">
                            <a:noAutofit/>
                          </wps:bodyPr>
                        </wps:wsp>
                        <wps:wsp>
                          <wps:cNvPr id="62" name="Rectangle 62"/>
                          <wps:cNvSpPr/>
                          <wps:spPr>
                            <a:xfrm>
                              <a:off x="1121881" y="5102234"/>
                              <a:ext cx="155680" cy="160601"/>
                            </a:xfrm>
                            <a:prstGeom prst="rect">
                              <a:avLst/>
                            </a:prstGeom>
                            <a:noFill/>
                            <a:ln>
                              <a:noFill/>
                            </a:ln>
                          </wps:spPr>
                          <wps:txbx>
                            <w:txbxContent>
                              <w:p w14:paraId="3D8702A1" w14:textId="77777777" w:rsidR="007E0ABC" w:rsidRDefault="007E0ABC" w:rsidP="001B6A38">
                                <w:pPr>
                                  <w:textDirection w:val="btLr"/>
                                </w:pPr>
                                <w:r>
                                  <w:rPr>
                                    <w:rFonts w:eastAsia="Calibri" w:cs="Calibri"/>
                                    <w:color w:val="000000"/>
                                  </w:rPr>
                                  <w:t>30</w:t>
                                </w:r>
                              </w:p>
                            </w:txbxContent>
                          </wps:txbx>
                          <wps:bodyPr spcFirstLastPara="1" wrap="square" lIns="88900" tIns="38100" rIns="88900" bIns="38100" anchor="t" anchorCtr="0">
                            <a:noAutofit/>
                          </wps:bodyPr>
                        </wps:wsp>
                        <wps:wsp>
                          <wps:cNvPr id="63" name="Rectangle 63"/>
                          <wps:cNvSpPr/>
                          <wps:spPr>
                            <a:xfrm>
                              <a:off x="1121881" y="4383529"/>
                              <a:ext cx="155680" cy="160701"/>
                            </a:xfrm>
                            <a:prstGeom prst="rect">
                              <a:avLst/>
                            </a:prstGeom>
                            <a:noFill/>
                            <a:ln>
                              <a:noFill/>
                            </a:ln>
                          </wps:spPr>
                          <wps:txbx>
                            <w:txbxContent>
                              <w:p w14:paraId="6BE885AA" w14:textId="77777777" w:rsidR="007E0ABC" w:rsidRDefault="007E0ABC" w:rsidP="001B6A38">
                                <w:pPr>
                                  <w:textDirection w:val="btLr"/>
                                </w:pPr>
                                <w:r>
                                  <w:rPr>
                                    <w:rFonts w:eastAsia="Calibri" w:cs="Calibri"/>
                                    <w:color w:val="000000"/>
                                  </w:rPr>
                                  <w:t>40</w:t>
                                </w:r>
                              </w:p>
                            </w:txbxContent>
                          </wps:txbx>
                          <wps:bodyPr spcFirstLastPara="1" wrap="square" lIns="88900" tIns="38100" rIns="88900" bIns="38100" anchor="t" anchorCtr="0">
                            <a:noAutofit/>
                          </wps:bodyPr>
                        </wps:wsp>
                        <wps:wsp>
                          <wps:cNvPr id="448" name="Rectangle 448"/>
                          <wps:cNvSpPr/>
                          <wps:spPr>
                            <a:xfrm>
                              <a:off x="1121881" y="3663624"/>
                              <a:ext cx="155680" cy="160701"/>
                            </a:xfrm>
                            <a:prstGeom prst="rect">
                              <a:avLst/>
                            </a:prstGeom>
                            <a:noFill/>
                            <a:ln>
                              <a:noFill/>
                            </a:ln>
                          </wps:spPr>
                          <wps:txbx>
                            <w:txbxContent>
                              <w:p w14:paraId="4803893E" w14:textId="77777777" w:rsidR="007E0ABC" w:rsidRDefault="007E0ABC" w:rsidP="001B6A38">
                                <w:pPr>
                                  <w:textDirection w:val="btLr"/>
                                </w:pPr>
                                <w:r>
                                  <w:rPr>
                                    <w:rFonts w:eastAsia="Calibri" w:cs="Calibri"/>
                                    <w:color w:val="000000"/>
                                  </w:rPr>
                                  <w:t>50</w:t>
                                </w:r>
                              </w:p>
                            </w:txbxContent>
                          </wps:txbx>
                          <wps:bodyPr spcFirstLastPara="1" wrap="square" lIns="88900" tIns="38100" rIns="88900" bIns="38100" anchor="t" anchorCtr="0">
                            <a:noAutofit/>
                          </wps:bodyPr>
                        </wps:wsp>
                        <wps:wsp>
                          <wps:cNvPr id="449" name="Rectangle 449"/>
                          <wps:cNvSpPr/>
                          <wps:spPr>
                            <a:xfrm>
                              <a:off x="1121881" y="2943719"/>
                              <a:ext cx="155680" cy="160701"/>
                            </a:xfrm>
                            <a:prstGeom prst="rect">
                              <a:avLst/>
                            </a:prstGeom>
                            <a:noFill/>
                            <a:ln>
                              <a:noFill/>
                            </a:ln>
                          </wps:spPr>
                          <wps:txbx>
                            <w:txbxContent>
                              <w:p w14:paraId="1835D44C" w14:textId="77777777" w:rsidR="007E0ABC" w:rsidRDefault="007E0ABC" w:rsidP="001B6A38">
                                <w:pPr>
                                  <w:textDirection w:val="btLr"/>
                                </w:pPr>
                                <w:r>
                                  <w:rPr>
                                    <w:rFonts w:eastAsia="Calibri" w:cs="Calibri"/>
                                    <w:color w:val="000000"/>
                                  </w:rPr>
                                  <w:t>60</w:t>
                                </w:r>
                              </w:p>
                            </w:txbxContent>
                          </wps:txbx>
                          <wps:bodyPr spcFirstLastPara="1" wrap="square" lIns="88900" tIns="38100" rIns="88900" bIns="38100" anchor="t" anchorCtr="0">
                            <a:noAutofit/>
                          </wps:bodyPr>
                        </wps:wsp>
                        <wps:wsp>
                          <wps:cNvPr id="450" name="Rectangle 450"/>
                          <wps:cNvSpPr/>
                          <wps:spPr>
                            <a:xfrm>
                              <a:off x="1121881" y="1504510"/>
                              <a:ext cx="155680" cy="160701"/>
                            </a:xfrm>
                            <a:prstGeom prst="rect">
                              <a:avLst/>
                            </a:prstGeom>
                            <a:noFill/>
                            <a:ln>
                              <a:noFill/>
                            </a:ln>
                          </wps:spPr>
                          <wps:txbx>
                            <w:txbxContent>
                              <w:p w14:paraId="74C7ECB8" w14:textId="77777777" w:rsidR="007E0ABC" w:rsidRDefault="007E0ABC" w:rsidP="001B6A38">
                                <w:pPr>
                                  <w:textDirection w:val="btLr"/>
                                </w:pPr>
                                <w:r>
                                  <w:rPr>
                                    <w:rFonts w:eastAsia="Calibri" w:cs="Calibri"/>
                                    <w:color w:val="000000"/>
                                  </w:rPr>
                                  <w:t>80</w:t>
                                </w:r>
                              </w:p>
                            </w:txbxContent>
                          </wps:txbx>
                          <wps:bodyPr spcFirstLastPara="1" wrap="square" lIns="88900" tIns="38100" rIns="88900" bIns="38100" anchor="t" anchorCtr="0">
                            <a:noAutofit/>
                          </wps:bodyPr>
                        </wps:wsp>
                        <wps:wsp>
                          <wps:cNvPr id="451" name="Rectangle 451"/>
                          <wps:cNvSpPr/>
                          <wps:spPr>
                            <a:xfrm>
                              <a:off x="1121881" y="2224414"/>
                              <a:ext cx="155680" cy="160701"/>
                            </a:xfrm>
                            <a:prstGeom prst="rect">
                              <a:avLst/>
                            </a:prstGeom>
                            <a:noFill/>
                            <a:ln>
                              <a:noFill/>
                            </a:ln>
                          </wps:spPr>
                          <wps:txbx>
                            <w:txbxContent>
                              <w:p w14:paraId="59B0551D" w14:textId="77777777" w:rsidR="007E0ABC" w:rsidRDefault="007E0ABC" w:rsidP="001B6A38">
                                <w:pPr>
                                  <w:textDirection w:val="btLr"/>
                                </w:pPr>
                                <w:r>
                                  <w:rPr>
                                    <w:rFonts w:eastAsia="Calibri" w:cs="Calibri"/>
                                    <w:color w:val="000000"/>
                                  </w:rPr>
                                  <w:t>70</w:t>
                                </w:r>
                              </w:p>
                            </w:txbxContent>
                          </wps:txbx>
                          <wps:bodyPr spcFirstLastPara="1" wrap="square" lIns="88900" tIns="38100" rIns="88900" bIns="38100" anchor="t" anchorCtr="0">
                            <a:noAutofit/>
                          </wps:bodyPr>
                        </wps:wsp>
                        <wps:wsp>
                          <wps:cNvPr id="452" name="Rectangle 452"/>
                          <wps:cNvSpPr/>
                          <wps:spPr>
                            <a:xfrm>
                              <a:off x="1121881" y="785205"/>
                              <a:ext cx="155680" cy="160701"/>
                            </a:xfrm>
                            <a:prstGeom prst="rect">
                              <a:avLst/>
                            </a:prstGeom>
                            <a:noFill/>
                            <a:ln>
                              <a:noFill/>
                            </a:ln>
                          </wps:spPr>
                          <wps:txbx>
                            <w:txbxContent>
                              <w:p w14:paraId="02BDBE44" w14:textId="77777777" w:rsidR="007E0ABC" w:rsidRDefault="007E0ABC" w:rsidP="001B6A38">
                                <w:pPr>
                                  <w:textDirection w:val="btLr"/>
                                </w:pPr>
                                <w:r>
                                  <w:rPr>
                                    <w:rFonts w:eastAsia="Calibri" w:cs="Calibri"/>
                                    <w:color w:val="000000"/>
                                  </w:rPr>
                                  <w:t>90</w:t>
                                </w:r>
                              </w:p>
                            </w:txbxContent>
                          </wps:txbx>
                          <wps:bodyPr spcFirstLastPara="1" wrap="square" lIns="88900" tIns="38100" rIns="88900" bIns="38100" anchor="t" anchorCtr="0">
                            <a:noAutofit/>
                          </wps:bodyPr>
                        </wps:wsp>
                        <wps:wsp>
                          <wps:cNvPr id="453" name="Rectangle 453"/>
                          <wps:cNvSpPr/>
                          <wps:spPr>
                            <a:xfrm>
                              <a:off x="1086363" y="65300"/>
                              <a:ext cx="233821" cy="160701"/>
                            </a:xfrm>
                            <a:prstGeom prst="rect">
                              <a:avLst/>
                            </a:prstGeom>
                            <a:noFill/>
                            <a:ln>
                              <a:noFill/>
                            </a:ln>
                          </wps:spPr>
                          <wps:txbx>
                            <w:txbxContent>
                              <w:p w14:paraId="57E40838" w14:textId="77777777" w:rsidR="007E0ABC" w:rsidRDefault="007E0ABC" w:rsidP="001B6A38">
                                <w:pPr>
                                  <w:textDirection w:val="btLr"/>
                                </w:pPr>
                                <w:r>
                                  <w:rPr>
                                    <w:rFonts w:eastAsia="Calibri" w:cs="Calibri"/>
                                    <w:color w:val="000000"/>
                                  </w:rPr>
                                  <w:t>100</w:t>
                                </w:r>
                              </w:p>
                            </w:txbxContent>
                          </wps:txbx>
                          <wps:bodyPr spcFirstLastPara="1" wrap="square" lIns="88900" tIns="38100" rIns="88900" bIns="38100" anchor="t" anchorCtr="0">
                            <a:noAutofit/>
                          </wps:bodyPr>
                        </wps:wsp>
                        <wps:wsp>
                          <wps:cNvPr id="454" name="Rectangle 454"/>
                          <wps:cNvSpPr/>
                          <wps:spPr>
                            <a:xfrm>
                              <a:off x="1156899" y="6901346"/>
                              <a:ext cx="78140" cy="160701"/>
                            </a:xfrm>
                            <a:prstGeom prst="rect">
                              <a:avLst/>
                            </a:prstGeom>
                            <a:noFill/>
                            <a:ln>
                              <a:noFill/>
                            </a:ln>
                          </wps:spPr>
                          <wps:txbx>
                            <w:txbxContent>
                              <w:p w14:paraId="6DDD6024" w14:textId="77777777" w:rsidR="007E0ABC" w:rsidRDefault="007E0ABC" w:rsidP="001B6A38">
                                <w:pPr>
                                  <w:textDirection w:val="btLr"/>
                                </w:pPr>
                                <w:r>
                                  <w:rPr>
                                    <w:rFonts w:eastAsia="Calibri" w:cs="Calibri"/>
                                    <w:color w:val="000000"/>
                                  </w:rPr>
                                  <w:t>5</w:t>
                                </w:r>
                              </w:p>
                            </w:txbxContent>
                          </wps:txbx>
                          <wps:bodyPr spcFirstLastPara="1" wrap="square" lIns="88900" tIns="38100" rIns="88900" bIns="38100" anchor="t" anchorCtr="0">
                            <a:noAutofit/>
                          </wps:bodyPr>
                        </wps:wsp>
                        <wps:wsp>
                          <wps:cNvPr id="455" name="Rectangle 455"/>
                          <wps:cNvSpPr/>
                          <wps:spPr>
                            <a:xfrm>
                              <a:off x="1121881" y="6181441"/>
                              <a:ext cx="155680" cy="160601"/>
                            </a:xfrm>
                            <a:prstGeom prst="rect">
                              <a:avLst/>
                            </a:prstGeom>
                            <a:noFill/>
                            <a:ln>
                              <a:noFill/>
                            </a:ln>
                          </wps:spPr>
                          <wps:txbx>
                            <w:txbxContent>
                              <w:p w14:paraId="79BD6337" w14:textId="77777777" w:rsidR="007E0ABC" w:rsidRDefault="007E0ABC" w:rsidP="001B6A38">
                                <w:pPr>
                                  <w:textDirection w:val="btLr"/>
                                </w:pPr>
                                <w:r>
                                  <w:rPr>
                                    <w:rFonts w:eastAsia="Calibri" w:cs="Calibri"/>
                                    <w:color w:val="000000"/>
                                  </w:rPr>
                                  <w:t>15</w:t>
                                </w:r>
                              </w:p>
                            </w:txbxContent>
                          </wps:txbx>
                          <wps:bodyPr spcFirstLastPara="1" wrap="square" lIns="88900" tIns="38100" rIns="88900" bIns="38100" anchor="t" anchorCtr="0">
                            <a:noAutofit/>
                          </wps:bodyPr>
                        </wps:wsp>
                        <wps:wsp>
                          <wps:cNvPr id="456" name="Rectangle 456"/>
                          <wps:cNvSpPr/>
                          <wps:spPr>
                            <a:xfrm>
                              <a:off x="1121881" y="5461536"/>
                              <a:ext cx="155680" cy="160601"/>
                            </a:xfrm>
                            <a:prstGeom prst="rect">
                              <a:avLst/>
                            </a:prstGeom>
                            <a:noFill/>
                            <a:ln>
                              <a:noFill/>
                            </a:ln>
                          </wps:spPr>
                          <wps:txbx>
                            <w:txbxContent>
                              <w:p w14:paraId="5F6FAAE2" w14:textId="77777777" w:rsidR="007E0ABC" w:rsidRDefault="007E0ABC" w:rsidP="001B6A38">
                                <w:pPr>
                                  <w:textDirection w:val="btLr"/>
                                </w:pPr>
                                <w:r>
                                  <w:rPr>
                                    <w:rFonts w:eastAsia="Calibri" w:cs="Calibri"/>
                                    <w:color w:val="000000"/>
                                  </w:rPr>
                                  <w:t>25</w:t>
                                </w:r>
                              </w:p>
                            </w:txbxContent>
                          </wps:txbx>
                          <wps:bodyPr spcFirstLastPara="1" wrap="square" lIns="88900" tIns="38100" rIns="88900" bIns="38100" anchor="t" anchorCtr="0">
                            <a:noAutofit/>
                          </wps:bodyPr>
                        </wps:wsp>
                        <wps:wsp>
                          <wps:cNvPr id="457" name="Rectangle 457"/>
                          <wps:cNvSpPr/>
                          <wps:spPr>
                            <a:xfrm>
                              <a:off x="1121881" y="4742831"/>
                              <a:ext cx="155680" cy="160701"/>
                            </a:xfrm>
                            <a:prstGeom prst="rect">
                              <a:avLst/>
                            </a:prstGeom>
                            <a:noFill/>
                            <a:ln>
                              <a:noFill/>
                            </a:ln>
                          </wps:spPr>
                          <wps:txbx>
                            <w:txbxContent>
                              <w:p w14:paraId="22BDBEFB" w14:textId="77777777" w:rsidR="007E0ABC" w:rsidRDefault="007E0ABC" w:rsidP="001B6A38">
                                <w:pPr>
                                  <w:textDirection w:val="btLr"/>
                                </w:pPr>
                                <w:r>
                                  <w:rPr>
                                    <w:rFonts w:eastAsia="Calibri" w:cs="Calibri"/>
                                    <w:color w:val="000000"/>
                                  </w:rPr>
                                  <w:t>35</w:t>
                                </w:r>
                              </w:p>
                            </w:txbxContent>
                          </wps:txbx>
                          <wps:bodyPr spcFirstLastPara="1" wrap="square" lIns="88900" tIns="38100" rIns="88900" bIns="38100" anchor="t" anchorCtr="0">
                            <a:noAutofit/>
                          </wps:bodyPr>
                        </wps:wsp>
                        <wps:wsp>
                          <wps:cNvPr id="458" name="Rectangle 458"/>
                          <wps:cNvSpPr/>
                          <wps:spPr>
                            <a:xfrm>
                              <a:off x="1121881" y="4023626"/>
                              <a:ext cx="155680" cy="160601"/>
                            </a:xfrm>
                            <a:prstGeom prst="rect">
                              <a:avLst/>
                            </a:prstGeom>
                            <a:noFill/>
                            <a:ln>
                              <a:noFill/>
                            </a:ln>
                          </wps:spPr>
                          <wps:txbx>
                            <w:txbxContent>
                              <w:p w14:paraId="12D81FB5" w14:textId="77777777" w:rsidR="007E0ABC" w:rsidRDefault="007E0ABC" w:rsidP="001B6A38">
                                <w:pPr>
                                  <w:textDirection w:val="btLr"/>
                                </w:pPr>
                                <w:r>
                                  <w:rPr>
                                    <w:rFonts w:eastAsia="Calibri" w:cs="Calibri"/>
                                    <w:color w:val="000000"/>
                                  </w:rPr>
                                  <w:t>45</w:t>
                                </w:r>
                              </w:p>
                            </w:txbxContent>
                          </wps:txbx>
                          <wps:bodyPr spcFirstLastPara="1" wrap="square" lIns="88900" tIns="38100" rIns="88900" bIns="38100" anchor="t" anchorCtr="0">
                            <a:noAutofit/>
                          </wps:bodyPr>
                        </wps:wsp>
                        <wps:wsp>
                          <wps:cNvPr id="459" name="Rectangle 459"/>
                          <wps:cNvSpPr/>
                          <wps:spPr>
                            <a:xfrm>
                              <a:off x="1121881" y="3303722"/>
                              <a:ext cx="155680" cy="160601"/>
                            </a:xfrm>
                            <a:prstGeom prst="rect">
                              <a:avLst/>
                            </a:prstGeom>
                            <a:noFill/>
                            <a:ln>
                              <a:noFill/>
                            </a:ln>
                          </wps:spPr>
                          <wps:txbx>
                            <w:txbxContent>
                              <w:p w14:paraId="5E921A2C" w14:textId="77777777" w:rsidR="007E0ABC" w:rsidRDefault="007E0ABC" w:rsidP="001B6A38">
                                <w:pPr>
                                  <w:textDirection w:val="btLr"/>
                                </w:pPr>
                                <w:r>
                                  <w:rPr>
                                    <w:rFonts w:eastAsia="Calibri" w:cs="Calibri"/>
                                    <w:color w:val="000000"/>
                                  </w:rPr>
                                  <w:t>55</w:t>
                                </w:r>
                              </w:p>
                            </w:txbxContent>
                          </wps:txbx>
                          <wps:bodyPr spcFirstLastPara="1" wrap="square" lIns="88900" tIns="38100" rIns="88900" bIns="38100" anchor="t" anchorCtr="0">
                            <a:noAutofit/>
                          </wps:bodyPr>
                        </wps:wsp>
                        <wps:wsp>
                          <wps:cNvPr id="460" name="Rectangle 460"/>
                          <wps:cNvSpPr/>
                          <wps:spPr>
                            <a:xfrm>
                              <a:off x="1121881" y="1864512"/>
                              <a:ext cx="155680" cy="160601"/>
                            </a:xfrm>
                            <a:prstGeom prst="rect">
                              <a:avLst/>
                            </a:prstGeom>
                            <a:noFill/>
                            <a:ln>
                              <a:noFill/>
                            </a:ln>
                          </wps:spPr>
                          <wps:txbx>
                            <w:txbxContent>
                              <w:p w14:paraId="59551707" w14:textId="77777777" w:rsidR="007E0ABC" w:rsidRDefault="007E0ABC" w:rsidP="001B6A38">
                                <w:pPr>
                                  <w:textDirection w:val="btLr"/>
                                </w:pPr>
                                <w:r>
                                  <w:rPr>
                                    <w:rFonts w:eastAsia="Calibri" w:cs="Calibri"/>
                                    <w:color w:val="000000"/>
                                  </w:rPr>
                                  <w:t>75</w:t>
                                </w:r>
                              </w:p>
                            </w:txbxContent>
                          </wps:txbx>
                          <wps:bodyPr spcFirstLastPara="1" wrap="square" lIns="88900" tIns="38100" rIns="88900" bIns="38100" anchor="t" anchorCtr="0">
                            <a:noAutofit/>
                          </wps:bodyPr>
                        </wps:wsp>
                        <wps:wsp>
                          <wps:cNvPr id="461" name="Rectangle 461"/>
                          <wps:cNvSpPr/>
                          <wps:spPr>
                            <a:xfrm>
                              <a:off x="1121881" y="2584417"/>
                              <a:ext cx="155680" cy="160601"/>
                            </a:xfrm>
                            <a:prstGeom prst="rect">
                              <a:avLst/>
                            </a:prstGeom>
                            <a:noFill/>
                            <a:ln>
                              <a:noFill/>
                            </a:ln>
                          </wps:spPr>
                          <wps:txbx>
                            <w:txbxContent>
                              <w:p w14:paraId="20B10046" w14:textId="77777777" w:rsidR="007E0ABC" w:rsidRDefault="007E0ABC" w:rsidP="001B6A38">
                                <w:pPr>
                                  <w:textDirection w:val="btLr"/>
                                </w:pPr>
                                <w:r>
                                  <w:rPr>
                                    <w:rFonts w:eastAsia="Calibri" w:cs="Calibri"/>
                                    <w:color w:val="000000"/>
                                  </w:rPr>
                                  <w:t>65</w:t>
                                </w:r>
                              </w:p>
                            </w:txbxContent>
                          </wps:txbx>
                          <wps:bodyPr spcFirstLastPara="1" wrap="square" lIns="88900" tIns="38100" rIns="88900" bIns="38100" anchor="t" anchorCtr="0">
                            <a:noAutofit/>
                          </wps:bodyPr>
                        </wps:wsp>
                        <wps:wsp>
                          <wps:cNvPr id="462" name="Rectangle 462"/>
                          <wps:cNvSpPr/>
                          <wps:spPr>
                            <a:xfrm>
                              <a:off x="1121881" y="1144607"/>
                              <a:ext cx="155680" cy="160601"/>
                            </a:xfrm>
                            <a:prstGeom prst="rect">
                              <a:avLst/>
                            </a:prstGeom>
                            <a:noFill/>
                            <a:ln>
                              <a:noFill/>
                            </a:ln>
                          </wps:spPr>
                          <wps:txbx>
                            <w:txbxContent>
                              <w:p w14:paraId="3C16C18E" w14:textId="77777777" w:rsidR="007E0ABC" w:rsidRDefault="007E0ABC" w:rsidP="001B6A38">
                                <w:pPr>
                                  <w:textDirection w:val="btLr"/>
                                </w:pPr>
                                <w:r>
                                  <w:rPr>
                                    <w:rFonts w:eastAsia="Calibri" w:cs="Calibri"/>
                                    <w:color w:val="000000"/>
                                  </w:rPr>
                                  <w:t>85</w:t>
                                </w:r>
                              </w:p>
                            </w:txbxContent>
                          </wps:txbx>
                          <wps:bodyPr spcFirstLastPara="1" wrap="square" lIns="88900" tIns="38100" rIns="88900" bIns="38100" anchor="t" anchorCtr="0">
                            <a:noAutofit/>
                          </wps:bodyPr>
                        </wps:wsp>
                        <wps:wsp>
                          <wps:cNvPr id="463" name="Rectangle 463"/>
                          <wps:cNvSpPr/>
                          <wps:spPr>
                            <a:xfrm>
                              <a:off x="1121881" y="425302"/>
                              <a:ext cx="155680" cy="160601"/>
                            </a:xfrm>
                            <a:prstGeom prst="rect">
                              <a:avLst/>
                            </a:prstGeom>
                            <a:noFill/>
                            <a:ln>
                              <a:noFill/>
                            </a:ln>
                          </wps:spPr>
                          <wps:txbx>
                            <w:txbxContent>
                              <w:p w14:paraId="02B21708" w14:textId="77777777" w:rsidR="007E0ABC" w:rsidRDefault="007E0ABC" w:rsidP="001B6A38">
                                <w:pPr>
                                  <w:textDirection w:val="btLr"/>
                                </w:pPr>
                                <w:r>
                                  <w:rPr>
                                    <w:rFonts w:eastAsia="Calibri" w:cs="Calibri"/>
                                    <w:color w:val="000000"/>
                                  </w:rPr>
                                  <w:t>95</w:t>
                                </w:r>
                              </w:p>
                            </w:txbxContent>
                          </wps:txbx>
                          <wps:bodyPr spcFirstLastPara="1" wrap="square" lIns="88900" tIns="38100" rIns="88900" bIns="38100" anchor="t" anchorCtr="0">
                            <a:noAutofit/>
                          </wps:bodyPr>
                        </wps:wsp>
                        <wps:wsp>
                          <wps:cNvPr id="464" name="Straight Arrow Connector 464"/>
                          <wps:cNvCnPr/>
                          <wps:spPr>
                            <a:xfrm rot="10800000" flipH="1">
                              <a:off x="652838" y="140299"/>
                              <a:ext cx="700" cy="7196348"/>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65" name="Straight Arrow Connector 465"/>
                          <wps:cNvCnPr/>
                          <wps:spPr>
                            <a:xfrm flipH="1">
                              <a:off x="436926" y="140300"/>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66" name="Straight Arrow Connector 466"/>
                          <wps:cNvCnPr/>
                          <wps:spPr>
                            <a:xfrm>
                              <a:off x="581701" y="1652011"/>
                              <a:ext cx="143574"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67" name="Straight Arrow Connector 467"/>
                          <wps:cNvCnPr/>
                          <wps:spPr>
                            <a:xfrm>
                              <a:off x="581701" y="1723811"/>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68" name="Straight Arrow Connector 468"/>
                          <wps:cNvCnPr/>
                          <wps:spPr>
                            <a:xfrm>
                              <a:off x="581701" y="1796212"/>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69" name="Straight Arrow Connector 469"/>
                          <wps:cNvCnPr/>
                          <wps:spPr>
                            <a:xfrm>
                              <a:off x="581701" y="1867312"/>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0" name="Straight Arrow Connector 470"/>
                          <wps:cNvCnPr/>
                          <wps:spPr>
                            <a:xfrm>
                              <a:off x="545582" y="1939712"/>
                              <a:ext cx="2159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1" name="Straight Arrow Connector 471"/>
                          <wps:cNvCnPr/>
                          <wps:spPr>
                            <a:xfrm>
                              <a:off x="581701" y="2012113"/>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2" name="Straight Arrow Connector 472"/>
                          <wps:cNvCnPr/>
                          <wps:spPr>
                            <a:xfrm>
                              <a:off x="581701" y="2083213"/>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3" name="Straight Arrow Connector 473"/>
                          <wps:cNvCnPr/>
                          <wps:spPr>
                            <a:xfrm>
                              <a:off x="581701" y="2155614"/>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4" name="Straight Arrow Connector 474"/>
                          <wps:cNvCnPr/>
                          <wps:spPr>
                            <a:xfrm>
                              <a:off x="581701" y="2227314"/>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5" name="Straight Arrow Connector 475"/>
                          <wps:cNvCnPr/>
                          <wps:spPr>
                            <a:xfrm>
                              <a:off x="580500" y="932706"/>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6" name="Straight Arrow Connector 476"/>
                          <wps:cNvCnPr/>
                          <wps:spPr>
                            <a:xfrm>
                              <a:off x="580500" y="1003806"/>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7" name="Straight Arrow Connector 477"/>
                          <wps:cNvCnPr/>
                          <wps:spPr>
                            <a:xfrm>
                              <a:off x="580500" y="1076207"/>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8" name="Straight Arrow Connector 478"/>
                          <wps:cNvCnPr/>
                          <wps:spPr>
                            <a:xfrm>
                              <a:off x="580500" y="1147907"/>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79" name="Straight Arrow Connector 479"/>
                          <wps:cNvCnPr/>
                          <wps:spPr>
                            <a:xfrm>
                              <a:off x="545582" y="1220308"/>
                              <a:ext cx="2146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0" name="Straight Arrow Connector 480"/>
                          <wps:cNvCnPr/>
                          <wps:spPr>
                            <a:xfrm>
                              <a:off x="580500" y="1292008"/>
                              <a:ext cx="144775"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1" name="Straight Arrow Connector 481"/>
                          <wps:cNvCnPr/>
                          <wps:spPr>
                            <a:xfrm>
                              <a:off x="580500" y="1363809"/>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2" name="Straight Arrow Connector 482"/>
                          <wps:cNvCnPr/>
                          <wps:spPr>
                            <a:xfrm>
                              <a:off x="580500" y="1436209"/>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3" name="Straight Arrow Connector 483"/>
                          <wps:cNvCnPr/>
                          <wps:spPr>
                            <a:xfrm>
                              <a:off x="580500" y="1507310"/>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4" name="Straight Arrow Connector 484"/>
                          <wps:cNvCnPr/>
                          <wps:spPr>
                            <a:xfrm>
                              <a:off x="580500" y="212701"/>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5" name="Straight Arrow Connector 485"/>
                          <wps:cNvCnPr/>
                          <wps:spPr>
                            <a:xfrm>
                              <a:off x="580500" y="284401"/>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6" name="Straight Arrow Connector 486"/>
                          <wps:cNvCnPr/>
                          <wps:spPr>
                            <a:xfrm>
                              <a:off x="580500" y="356802"/>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7" name="Straight Arrow Connector 487"/>
                          <wps:cNvCnPr/>
                          <wps:spPr>
                            <a:xfrm>
                              <a:off x="580500" y="428502"/>
                              <a:ext cx="144775"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8" name="Straight Arrow Connector 488"/>
                          <wps:cNvCnPr/>
                          <wps:spPr>
                            <a:xfrm>
                              <a:off x="545582" y="500303"/>
                              <a:ext cx="2146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9" name="Straight Arrow Connector 489"/>
                          <wps:cNvCnPr/>
                          <wps:spPr>
                            <a:xfrm>
                              <a:off x="580500" y="572703"/>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0" name="Straight Arrow Connector 490"/>
                          <wps:cNvCnPr/>
                          <wps:spPr>
                            <a:xfrm>
                              <a:off x="580500" y="643804"/>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1" name="Straight Arrow Connector 491"/>
                          <wps:cNvCnPr/>
                          <wps:spPr>
                            <a:xfrm>
                              <a:off x="580500" y="716204"/>
                              <a:ext cx="144775"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2" name="Straight Arrow Connector 492"/>
                          <wps:cNvCnPr/>
                          <wps:spPr>
                            <a:xfrm>
                              <a:off x="580500" y="788505"/>
                              <a:ext cx="144775"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3" name="Straight Arrow Connector 493"/>
                          <wps:cNvCnPr/>
                          <wps:spPr>
                            <a:xfrm>
                              <a:off x="581701" y="2372115"/>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4" name="Straight Arrow Connector 494"/>
                          <wps:cNvCnPr/>
                          <wps:spPr>
                            <a:xfrm>
                              <a:off x="581701" y="2443216"/>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5" name="Straight Arrow Connector 495"/>
                          <wps:cNvCnPr/>
                          <wps:spPr>
                            <a:xfrm>
                              <a:off x="581701" y="2515616"/>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6" name="Straight Arrow Connector 496"/>
                          <wps:cNvCnPr/>
                          <wps:spPr>
                            <a:xfrm>
                              <a:off x="581701" y="2587317"/>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7" name="Straight Arrow Connector 497"/>
                          <wps:cNvCnPr/>
                          <wps:spPr>
                            <a:xfrm>
                              <a:off x="545582" y="2659717"/>
                              <a:ext cx="2159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8" name="Straight Arrow Connector 498"/>
                          <wps:cNvCnPr/>
                          <wps:spPr>
                            <a:xfrm>
                              <a:off x="581701" y="2732118"/>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99" name="Straight Arrow Connector 499"/>
                          <wps:cNvCnPr/>
                          <wps:spPr>
                            <a:xfrm>
                              <a:off x="581701" y="2803218"/>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00" name="Straight Arrow Connector 500"/>
                          <wps:cNvCnPr/>
                          <wps:spPr>
                            <a:xfrm>
                              <a:off x="581701" y="2875619"/>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01" name="Straight Arrow Connector 501"/>
                          <wps:cNvCnPr/>
                          <wps:spPr>
                            <a:xfrm>
                              <a:off x="581701" y="2946719"/>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02" name="Straight Arrow Connector 502"/>
                          <wps:cNvCnPr/>
                          <wps:spPr>
                            <a:xfrm>
                              <a:off x="581701" y="3090820"/>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03" name="Straight Arrow Connector 503"/>
                          <wps:cNvCnPr/>
                          <wps:spPr>
                            <a:xfrm>
                              <a:off x="581701" y="3163221"/>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04" name="Straight Arrow Connector 504"/>
                          <wps:cNvCnPr/>
                          <wps:spPr>
                            <a:xfrm>
                              <a:off x="581701" y="3235621"/>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05" name="Straight Arrow Connector 505"/>
                          <wps:cNvCnPr/>
                          <wps:spPr>
                            <a:xfrm>
                              <a:off x="581701" y="3306722"/>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08" name="Straight Arrow Connector 508"/>
                          <wps:cNvCnPr/>
                          <wps:spPr>
                            <a:xfrm>
                              <a:off x="545582" y="3379122"/>
                              <a:ext cx="2159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11" name="Straight Arrow Connector 511"/>
                          <wps:cNvCnPr/>
                          <wps:spPr>
                            <a:xfrm>
                              <a:off x="581701" y="3450823"/>
                              <a:ext cx="143574"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16" name="Straight Arrow Connector 516"/>
                          <wps:cNvCnPr/>
                          <wps:spPr>
                            <a:xfrm>
                              <a:off x="581701" y="3523223"/>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25" name="Straight Arrow Connector 525"/>
                          <wps:cNvCnPr/>
                          <wps:spPr>
                            <a:xfrm>
                              <a:off x="581701" y="3595624"/>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39" name="Straight Arrow Connector 539"/>
                          <wps:cNvCnPr/>
                          <wps:spPr>
                            <a:xfrm>
                              <a:off x="581701" y="3666724"/>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0" name="Straight Arrow Connector 540"/>
                          <wps:cNvCnPr/>
                          <wps:spPr>
                            <a:xfrm>
                              <a:off x="581701" y="3811525"/>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1" name="Straight Arrow Connector 541"/>
                          <wps:cNvCnPr/>
                          <wps:spPr>
                            <a:xfrm>
                              <a:off x="581701" y="3882626"/>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2" name="Straight Arrow Connector 542"/>
                          <wps:cNvCnPr/>
                          <wps:spPr>
                            <a:xfrm>
                              <a:off x="581701" y="3955026"/>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3" name="Straight Arrow Connector 543"/>
                          <wps:cNvCnPr/>
                          <wps:spPr>
                            <a:xfrm>
                              <a:off x="581701" y="4026726"/>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4" name="Straight Arrow Connector 544"/>
                          <wps:cNvCnPr/>
                          <wps:spPr>
                            <a:xfrm>
                              <a:off x="545582" y="4099127"/>
                              <a:ext cx="2159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5" name="Straight Arrow Connector 545"/>
                          <wps:cNvCnPr/>
                          <wps:spPr>
                            <a:xfrm>
                              <a:off x="581701" y="4170227"/>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6" name="Straight Arrow Connector 546"/>
                          <wps:cNvCnPr/>
                          <wps:spPr>
                            <a:xfrm>
                              <a:off x="581701" y="4242628"/>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7" name="Straight Arrow Connector 547"/>
                          <wps:cNvCnPr/>
                          <wps:spPr>
                            <a:xfrm>
                              <a:off x="581701" y="4315028"/>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8" name="Straight Arrow Connector 548"/>
                          <wps:cNvCnPr/>
                          <wps:spPr>
                            <a:xfrm>
                              <a:off x="581701" y="4386729"/>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49" name="Straight Arrow Connector 549"/>
                          <wps:cNvCnPr/>
                          <wps:spPr>
                            <a:xfrm>
                              <a:off x="581701" y="4530230"/>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0" name="Straight Arrow Connector 550"/>
                          <wps:cNvCnPr/>
                          <wps:spPr>
                            <a:xfrm>
                              <a:off x="581701" y="4602630"/>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1" name="Straight Arrow Connector 551"/>
                          <wps:cNvCnPr/>
                          <wps:spPr>
                            <a:xfrm>
                              <a:off x="581701" y="4675031"/>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2" name="Straight Arrow Connector 552"/>
                          <wps:cNvCnPr/>
                          <wps:spPr>
                            <a:xfrm>
                              <a:off x="581701" y="4746131"/>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3" name="Straight Arrow Connector 553"/>
                          <wps:cNvCnPr/>
                          <wps:spPr>
                            <a:xfrm>
                              <a:off x="545582" y="4818532"/>
                              <a:ext cx="2159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4" name="Straight Arrow Connector 554"/>
                          <wps:cNvCnPr/>
                          <wps:spPr>
                            <a:xfrm>
                              <a:off x="581701" y="4890232"/>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5" name="Straight Arrow Connector 555"/>
                          <wps:cNvCnPr/>
                          <wps:spPr>
                            <a:xfrm>
                              <a:off x="581701" y="4962633"/>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6" name="Straight Arrow Connector 556"/>
                          <wps:cNvCnPr/>
                          <wps:spPr>
                            <a:xfrm>
                              <a:off x="581701" y="5035033"/>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7" name="Straight Arrow Connector 557"/>
                          <wps:cNvCnPr/>
                          <wps:spPr>
                            <a:xfrm>
                              <a:off x="581701" y="5106134"/>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8" name="Straight Arrow Connector 558"/>
                          <wps:cNvCnPr/>
                          <wps:spPr>
                            <a:xfrm>
                              <a:off x="581701" y="5250235"/>
                              <a:ext cx="143574"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59" name="Straight Arrow Connector 559"/>
                          <wps:cNvCnPr/>
                          <wps:spPr>
                            <a:xfrm>
                              <a:off x="581701" y="5322635"/>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0" name="Straight Arrow Connector 560"/>
                          <wps:cNvCnPr/>
                          <wps:spPr>
                            <a:xfrm>
                              <a:off x="581701" y="5395036"/>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1" name="Straight Arrow Connector 561"/>
                          <wps:cNvCnPr/>
                          <wps:spPr>
                            <a:xfrm>
                              <a:off x="581701" y="5466136"/>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2" name="Straight Arrow Connector 562"/>
                          <wps:cNvCnPr/>
                          <wps:spPr>
                            <a:xfrm>
                              <a:off x="545582" y="5538537"/>
                              <a:ext cx="2159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3" name="Straight Arrow Connector 563"/>
                          <wps:cNvCnPr/>
                          <wps:spPr>
                            <a:xfrm>
                              <a:off x="581701" y="5609637"/>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4" name="Straight Arrow Connector 564"/>
                          <wps:cNvCnPr/>
                          <wps:spPr>
                            <a:xfrm>
                              <a:off x="581701" y="5682038"/>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5" name="Straight Arrow Connector 565"/>
                          <wps:cNvCnPr/>
                          <wps:spPr>
                            <a:xfrm>
                              <a:off x="581701" y="5753738"/>
                              <a:ext cx="143574"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6" name="Straight Arrow Connector 566"/>
                          <wps:cNvCnPr/>
                          <wps:spPr>
                            <a:xfrm>
                              <a:off x="581701" y="5826139"/>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7" name="Straight Arrow Connector 567"/>
                          <wps:cNvCnPr/>
                          <wps:spPr>
                            <a:xfrm>
                              <a:off x="581701" y="5969640"/>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8" name="Straight Arrow Connector 568"/>
                          <wps:cNvCnPr/>
                          <wps:spPr>
                            <a:xfrm>
                              <a:off x="581701" y="6042040"/>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69" name="Straight Arrow Connector 569"/>
                          <wps:cNvCnPr/>
                          <wps:spPr>
                            <a:xfrm>
                              <a:off x="581701" y="6113740"/>
                              <a:ext cx="143574"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0" name="Straight Arrow Connector 570"/>
                          <wps:cNvCnPr/>
                          <wps:spPr>
                            <a:xfrm>
                              <a:off x="581701" y="6186141"/>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1" name="Straight Arrow Connector 571"/>
                          <wps:cNvCnPr/>
                          <wps:spPr>
                            <a:xfrm>
                              <a:off x="545582" y="6257941"/>
                              <a:ext cx="2159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2" name="Straight Arrow Connector 572"/>
                          <wps:cNvCnPr/>
                          <wps:spPr>
                            <a:xfrm>
                              <a:off x="581701" y="6329642"/>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3" name="Straight Arrow Connector 573"/>
                          <wps:cNvCnPr/>
                          <wps:spPr>
                            <a:xfrm>
                              <a:off x="581701" y="6402042"/>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4" name="Straight Arrow Connector 574"/>
                          <wps:cNvCnPr/>
                          <wps:spPr>
                            <a:xfrm>
                              <a:off x="581701" y="6473143"/>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5" name="Straight Arrow Connector 575"/>
                          <wps:cNvCnPr/>
                          <wps:spPr>
                            <a:xfrm>
                              <a:off x="581701" y="6545543"/>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6" name="Straight Arrow Connector 576"/>
                          <wps:cNvCnPr/>
                          <wps:spPr>
                            <a:xfrm>
                              <a:off x="581701" y="6689644"/>
                              <a:ext cx="143574"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7" name="Straight Arrow Connector 577"/>
                          <wps:cNvCnPr/>
                          <wps:spPr>
                            <a:xfrm>
                              <a:off x="581701" y="6762045"/>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8" name="Straight Arrow Connector 578"/>
                          <wps:cNvCnPr/>
                          <wps:spPr>
                            <a:xfrm>
                              <a:off x="581701" y="6833145"/>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79" name="Straight Arrow Connector 579"/>
                          <wps:cNvCnPr/>
                          <wps:spPr>
                            <a:xfrm>
                              <a:off x="581701" y="6905546"/>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0" name="Straight Arrow Connector 580"/>
                          <wps:cNvCnPr/>
                          <wps:spPr>
                            <a:xfrm>
                              <a:off x="545582" y="6977946"/>
                              <a:ext cx="215911"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1" name="Straight Arrow Connector 581"/>
                          <wps:cNvCnPr/>
                          <wps:spPr>
                            <a:xfrm>
                              <a:off x="581701" y="7049647"/>
                              <a:ext cx="143574"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2" name="Straight Arrow Connector 582"/>
                          <wps:cNvCnPr/>
                          <wps:spPr>
                            <a:xfrm>
                              <a:off x="581701" y="7121447"/>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3" name="Straight Arrow Connector 583"/>
                          <wps:cNvCnPr/>
                          <wps:spPr>
                            <a:xfrm>
                              <a:off x="581701" y="7193148"/>
                              <a:ext cx="143574" cy="7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4" name="Straight Arrow Connector 584"/>
                          <wps:cNvCnPr/>
                          <wps:spPr>
                            <a:xfrm>
                              <a:off x="581701" y="7265548"/>
                              <a:ext cx="143574"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5" name="Straight Arrow Connector 585"/>
                          <wps:cNvCnPr/>
                          <wps:spPr>
                            <a:xfrm flipH="1">
                              <a:off x="436926" y="860305"/>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6" name="Straight Arrow Connector 586"/>
                          <wps:cNvCnPr/>
                          <wps:spPr>
                            <a:xfrm flipH="1">
                              <a:off x="436926" y="1579710"/>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7" name="Straight Arrow Connector 587"/>
                          <wps:cNvCnPr/>
                          <wps:spPr>
                            <a:xfrm flipH="1">
                              <a:off x="436926" y="2299715"/>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8" name="Straight Arrow Connector 588"/>
                          <wps:cNvCnPr/>
                          <wps:spPr>
                            <a:xfrm flipH="1">
                              <a:off x="436926" y="3019120"/>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89" name="Straight Arrow Connector 589"/>
                          <wps:cNvCnPr/>
                          <wps:spPr>
                            <a:xfrm flipH="1">
                              <a:off x="436926" y="3739125"/>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90" name="Straight Arrow Connector 590"/>
                          <wps:cNvCnPr/>
                          <wps:spPr>
                            <a:xfrm flipH="1">
                              <a:off x="436926" y="4459129"/>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91" name="Straight Arrow Connector 591"/>
                          <wps:cNvCnPr/>
                          <wps:spPr>
                            <a:xfrm flipH="1">
                              <a:off x="436926" y="5178534"/>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92" name="Straight Arrow Connector 592"/>
                          <wps:cNvCnPr/>
                          <wps:spPr>
                            <a:xfrm flipH="1">
                              <a:off x="436926" y="5898539"/>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93" name="Straight Arrow Connector 593"/>
                          <wps:cNvCnPr/>
                          <wps:spPr>
                            <a:xfrm flipH="1">
                              <a:off x="436926" y="6617944"/>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94" name="Straight Arrow Connector 594"/>
                          <wps:cNvCnPr/>
                          <wps:spPr>
                            <a:xfrm flipH="1">
                              <a:off x="436926" y="7336649"/>
                              <a:ext cx="431923"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anchor>
            </w:drawing>
          </mc:Choice>
          <mc:Fallback>
            <w:pict>
              <v:group w14:anchorId="363A37AF" id="Group 530" o:spid="_x0000_s1053" style="position:absolute;left:0;text-align:left;margin-left:-70.55pt;margin-top:113.75pt;width:110.9pt;height:587.5pt;z-index:251688960;mso-position-horizontal-relative:right-margin-area;mso-position-vertical-relative:top-margin-area" coordorigin="46417,493" coordsize="14084,746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">
                <v:group id="Group 57" o:spid="_x0000_s1054" style="position:absolute;left:46417;top:493;width:14085;height:74613" coordsize="14084,74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rect id="Rectangle 58" o:spid="_x0000_s1055" style="position:absolute;width:14084;height:74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" filled="f" stroked="f">
                    <v:textbox inset="2.53958mm,2.53958mm,2.53958mm,2.53958mm">
                      <w:txbxContent>
                        <w:p w14:paraId="4189ACD1" w14:textId="77777777" w:rsidR="007E0ABC" w:rsidRDefault="007E0ABC" w:rsidP="001B6A38">
                          <w:pPr>
                            <w:textDirection w:val="btLr"/>
                          </w:pPr>
                        </w:p>
                      </w:txbxContent>
                    </v:textbox>
                  </v:rect>
                  <v:rect id="Rectangle 59" o:spid="_x0000_s1056" style="position:absolute;left:11218;top:65411;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" filled="f" stroked="f">
                    <v:textbox inset="7pt,3pt,7pt,3pt">
                      <w:txbxContent>
                        <w:p w14:paraId="77E50244" w14:textId="77777777" w:rsidR="007E0ABC" w:rsidRDefault="007E0ABC" w:rsidP="001B6A38">
                          <w:pPr>
                            <w:textDirection w:val="btLr"/>
                          </w:pPr>
                          <w:r>
                            <w:rPr>
                              <w:rFonts w:eastAsia="Calibri" w:cs="Calibri"/>
                              <w:color w:val="000000"/>
                            </w:rPr>
                            <w:t>10</w:t>
                          </w:r>
                        </w:p>
                      </w:txbxContent>
                    </v:textbox>
                  </v:rect>
                  <v:rect id="Rectangle 60" o:spid="_x0000_s1057" style="position:absolute;left:11567;top:72604;width:782;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" filled="f" stroked="f">
                    <v:textbox inset="7pt,3pt,7pt,3pt">
                      <w:txbxContent>
                        <w:p w14:paraId="1566AAA7" w14:textId="77777777" w:rsidR="007E0ABC" w:rsidRDefault="007E0ABC" w:rsidP="001B6A38">
                          <w:pPr>
                            <w:textDirection w:val="btLr"/>
                          </w:pPr>
                          <w:r>
                            <w:rPr>
                              <w:rFonts w:eastAsia="Calibri" w:cs="Calibri"/>
                              <w:color w:val="000000"/>
                            </w:rPr>
                            <w:t>0</w:t>
                          </w:r>
                        </w:p>
                      </w:txbxContent>
                    </v:textbox>
                  </v:rect>
                  <v:rect id="Rectangle 61" o:spid="_x0000_s1058" style="position:absolute;left:11218;top:58214;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" filled="f" stroked="f">
                    <v:textbox inset="7pt,3pt,7pt,3pt">
                      <w:txbxContent>
                        <w:p w14:paraId="042C5ED4" w14:textId="77777777" w:rsidR="007E0ABC" w:rsidRDefault="007E0ABC" w:rsidP="001B6A38">
                          <w:pPr>
                            <w:textDirection w:val="btLr"/>
                          </w:pPr>
                          <w:r>
                            <w:rPr>
                              <w:rFonts w:eastAsia="Calibri" w:cs="Calibri"/>
                              <w:color w:val="000000"/>
                            </w:rPr>
                            <w:t>20</w:t>
                          </w:r>
                        </w:p>
                      </w:txbxContent>
                    </v:textbox>
                  </v:rect>
                  <v:rect id="Rectangle 62" o:spid="_x0000_s1059" style="position:absolute;left:11218;top:51022;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" filled="f" stroked="f">
                    <v:textbox inset="7pt,3pt,7pt,3pt">
                      <w:txbxContent>
                        <w:p w14:paraId="3D8702A1" w14:textId="77777777" w:rsidR="007E0ABC" w:rsidRDefault="007E0ABC" w:rsidP="001B6A38">
                          <w:pPr>
                            <w:textDirection w:val="btLr"/>
                          </w:pPr>
                          <w:r>
                            <w:rPr>
                              <w:rFonts w:eastAsia="Calibri" w:cs="Calibri"/>
                              <w:color w:val="000000"/>
                            </w:rPr>
                            <w:t>30</w:t>
                          </w:r>
                        </w:p>
                      </w:txbxContent>
                    </v:textbox>
                  </v:rect>
                  <v:rect id="Rectangle 63" o:spid="_x0000_s1060" style="position:absolute;left:11218;top:43835;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" filled="f" stroked="f">
                    <v:textbox inset="7pt,3pt,7pt,3pt">
                      <w:txbxContent>
                        <w:p w14:paraId="6BE885AA" w14:textId="77777777" w:rsidR="007E0ABC" w:rsidRDefault="007E0ABC" w:rsidP="001B6A38">
                          <w:pPr>
                            <w:textDirection w:val="btLr"/>
                          </w:pPr>
                          <w:r>
                            <w:rPr>
                              <w:rFonts w:eastAsia="Calibri" w:cs="Calibri"/>
                              <w:color w:val="000000"/>
                            </w:rPr>
                            <w:t>40</w:t>
                          </w:r>
                        </w:p>
                      </w:txbxContent>
                    </v:textbox>
                  </v:rect>
                  <v:rect id="Rectangle 448" o:spid="_x0000_s1061" style="position:absolute;left:11218;top:36636;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" filled="f" stroked="f">
                    <v:textbox inset="7pt,3pt,7pt,3pt">
                      <w:txbxContent>
                        <w:p w14:paraId="4803893E" w14:textId="77777777" w:rsidR="007E0ABC" w:rsidRDefault="007E0ABC" w:rsidP="001B6A38">
                          <w:pPr>
                            <w:textDirection w:val="btLr"/>
                          </w:pPr>
                          <w:r>
                            <w:rPr>
                              <w:rFonts w:eastAsia="Calibri" w:cs="Calibri"/>
                              <w:color w:val="000000"/>
                            </w:rPr>
                            <w:t>50</w:t>
                          </w:r>
                        </w:p>
                      </w:txbxContent>
                    </v:textbox>
                  </v:rect>
                  <v:rect id="Rectangle 449" o:spid="_x0000_s1062" style="position:absolute;left:11218;top:29437;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" filled="f" stroked="f">
                    <v:textbox inset="7pt,3pt,7pt,3pt">
                      <w:txbxContent>
                        <w:p w14:paraId="1835D44C" w14:textId="77777777" w:rsidR="007E0ABC" w:rsidRDefault="007E0ABC" w:rsidP="001B6A38">
                          <w:pPr>
                            <w:textDirection w:val="btLr"/>
                          </w:pPr>
                          <w:r>
                            <w:rPr>
                              <w:rFonts w:eastAsia="Calibri" w:cs="Calibri"/>
                              <w:color w:val="000000"/>
                            </w:rPr>
                            <w:t>60</w:t>
                          </w:r>
                        </w:p>
                      </w:txbxContent>
                    </v:textbox>
                  </v:rect>
                  <v:rect id="Rectangle 450" o:spid="_x0000_s1063" style="position:absolute;left:11218;top:15045;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" filled="f" stroked="f">
                    <v:textbox inset="7pt,3pt,7pt,3pt">
                      <w:txbxContent>
                        <w:p w14:paraId="74C7ECB8" w14:textId="77777777" w:rsidR="007E0ABC" w:rsidRDefault="007E0ABC" w:rsidP="001B6A38">
                          <w:pPr>
                            <w:textDirection w:val="btLr"/>
                          </w:pPr>
                          <w:r>
                            <w:rPr>
                              <w:rFonts w:eastAsia="Calibri" w:cs="Calibri"/>
                              <w:color w:val="000000"/>
                            </w:rPr>
                            <w:t>80</w:t>
                          </w:r>
                        </w:p>
                      </w:txbxContent>
                    </v:textbox>
                  </v:rect>
                  <v:rect id="Rectangle 451" o:spid="_x0000_s1064" style="position:absolute;left:11218;top:22244;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" filled="f" stroked="f">
                    <v:textbox inset="7pt,3pt,7pt,3pt">
                      <w:txbxContent>
                        <w:p w14:paraId="59B0551D" w14:textId="77777777" w:rsidR="007E0ABC" w:rsidRDefault="007E0ABC" w:rsidP="001B6A38">
                          <w:pPr>
                            <w:textDirection w:val="btLr"/>
                          </w:pPr>
                          <w:r>
                            <w:rPr>
                              <w:rFonts w:eastAsia="Calibri" w:cs="Calibri"/>
                              <w:color w:val="000000"/>
                            </w:rPr>
                            <w:t>70</w:t>
                          </w:r>
                        </w:p>
                      </w:txbxContent>
                    </v:textbox>
                  </v:rect>
                  <v:rect id="Rectangle 452" o:spid="_x0000_s1065" style="position:absolute;left:11218;top:7852;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" filled="f" stroked="f">
                    <v:textbox inset="7pt,3pt,7pt,3pt">
                      <w:txbxContent>
                        <w:p w14:paraId="02BDBE44" w14:textId="77777777" w:rsidR="007E0ABC" w:rsidRDefault="007E0ABC" w:rsidP="001B6A38">
                          <w:pPr>
                            <w:textDirection w:val="btLr"/>
                          </w:pPr>
                          <w:r>
                            <w:rPr>
                              <w:rFonts w:eastAsia="Calibri" w:cs="Calibri"/>
                              <w:color w:val="000000"/>
                            </w:rPr>
                            <w:t>90</w:t>
                          </w:r>
                        </w:p>
                      </w:txbxContent>
                    </v:textbox>
                  </v:rect>
                  <v:rect id="Rectangle 453" o:spid="_x0000_s1066" style="position:absolute;left:10863;top:653;width:2338;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" filled="f" stroked="f">
                    <v:textbox inset="7pt,3pt,7pt,3pt">
                      <w:txbxContent>
                        <w:p w14:paraId="57E40838" w14:textId="77777777" w:rsidR="007E0ABC" w:rsidRDefault="007E0ABC" w:rsidP="001B6A38">
                          <w:pPr>
                            <w:textDirection w:val="btLr"/>
                          </w:pPr>
                          <w:r>
                            <w:rPr>
                              <w:rFonts w:eastAsia="Calibri" w:cs="Calibri"/>
                              <w:color w:val="000000"/>
                            </w:rPr>
                            <w:t>100</w:t>
                          </w:r>
                        </w:p>
                      </w:txbxContent>
                    </v:textbox>
                  </v:rect>
                  <v:rect id="Rectangle 454" o:spid="_x0000_s1067" style="position:absolute;left:11568;top:69013;width:782;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" filled="f" stroked="f">
                    <v:textbox inset="7pt,3pt,7pt,3pt">
                      <w:txbxContent>
                        <w:p w14:paraId="6DDD6024" w14:textId="77777777" w:rsidR="007E0ABC" w:rsidRDefault="007E0ABC" w:rsidP="001B6A38">
                          <w:pPr>
                            <w:textDirection w:val="btLr"/>
                          </w:pPr>
                          <w:r>
                            <w:rPr>
                              <w:rFonts w:eastAsia="Calibri" w:cs="Calibri"/>
                              <w:color w:val="000000"/>
                            </w:rPr>
                            <w:t>5</w:t>
                          </w:r>
                        </w:p>
                      </w:txbxContent>
                    </v:textbox>
                  </v:rect>
                  <v:rect id="Rectangle 455" o:spid="_x0000_s1068" style="position:absolute;left:11218;top:61814;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" filled="f" stroked="f">
                    <v:textbox inset="7pt,3pt,7pt,3pt">
                      <w:txbxContent>
                        <w:p w14:paraId="79BD6337" w14:textId="77777777" w:rsidR="007E0ABC" w:rsidRDefault="007E0ABC" w:rsidP="001B6A38">
                          <w:pPr>
                            <w:textDirection w:val="btLr"/>
                          </w:pPr>
                          <w:r>
                            <w:rPr>
                              <w:rFonts w:eastAsia="Calibri" w:cs="Calibri"/>
                              <w:color w:val="000000"/>
                            </w:rPr>
                            <w:t>15</w:t>
                          </w:r>
                        </w:p>
                      </w:txbxContent>
                    </v:textbox>
                  </v:rect>
                  <v:rect id="Rectangle 456" o:spid="_x0000_s1069" style="position:absolute;left:11218;top:54615;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" filled="f" stroked="f">
                    <v:textbox inset="7pt,3pt,7pt,3pt">
                      <w:txbxContent>
                        <w:p w14:paraId="5F6FAAE2" w14:textId="77777777" w:rsidR="007E0ABC" w:rsidRDefault="007E0ABC" w:rsidP="001B6A38">
                          <w:pPr>
                            <w:textDirection w:val="btLr"/>
                          </w:pPr>
                          <w:r>
                            <w:rPr>
                              <w:rFonts w:eastAsia="Calibri" w:cs="Calibri"/>
                              <w:color w:val="000000"/>
                            </w:rPr>
                            <w:t>25</w:t>
                          </w:r>
                        </w:p>
                      </w:txbxContent>
                    </v:textbox>
                  </v:rect>
                  <v:rect id="Rectangle 457" o:spid="_x0000_s1070" style="position:absolute;left:11218;top:47428;width:1557;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" filled="f" stroked="f">
                    <v:textbox inset="7pt,3pt,7pt,3pt">
                      <w:txbxContent>
                        <w:p w14:paraId="22BDBEFB" w14:textId="77777777" w:rsidR="007E0ABC" w:rsidRDefault="007E0ABC" w:rsidP="001B6A38">
                          <w:pPr>
                            <w:textDirection w:val="btLr"/>
                          </w:pPr>
                          <w:r>
                            <w:rPr>
                              <w:rFonts w:eastAsia="Calibri" w:cs="Calibri"/>
                              <w:color w:val="000000"/>
                            </w:rPr>
                            <w:t>35</w:t>
                          </w:r>
                        </w:p>
                      </w:txbxContent>
                    </v:textbox>
                  </v:rect>
                  <v:rect id="Rectangle 458" o:spid="_x0000_s1071" style="position:absolute;left:11218;top:40236;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" filled="f" stroked="f">
                    <v:textbox inset="7pt,3pt,7pt,3pt">
                      <w:txbxContent>
                        <w:p w14:paraId="12D81FB5" w14:textId="77777777" w:rsidR="007E0ABC" w:rsidRDefault="007E0ABC" w:rsidP="001B6A38">
                          <w:pPr>
                            <w:textDirection w:val="btLr"/>
                          </w:pPr>
                          <w:r>
                            <w:rPr>
                              <w:rFonts w:eastAsia="Calibri" w:cs="Calibri"/>
                              <w:color w:val="000000"/>
                            </w:rPr>
                            <w:t>45</w:t>
                          </w:r>
                        </w:p>
                      </w:txbxContent>
                    </v:textbox>
                  </v:rect>
                  <v:rect id="Rectangle 459" o:spid="_x0000_s1072" style="position:absolute;left:11218;top:33037;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" filled="f" stroked="f">
                    <v:textbox inset="7pt,3pt,7pt,3pt">
                      <w:txbxContent>
                        <w:p w14:paraId="5E921A2C" w14:textId="77777777" w:rsidR="007E0ABC" w:rsidRDefault="007E0ABC" w:rsidP="001B6A38">
                          <w:pPr>
                            <w:textDirection w:val="btLr"/>
                          </w:pPr>
                          <w:r>
                            <w:rPr>
                              <w:rFonts w:eastAsia="Calibri" w:cs="Calibri"/>
                              <w:color w:val="000000"/>
                            </w:rPr>
                            <w:t>55</w:t>
                          </w:r>
                        </w:p>
                      </w:txbxContent>
                    </v:textbox>
                  </v:rect>
                  <v:rect id="Rectangle 460" o:spid="_x0000_s1073" style="position:absolute;left:11218;top:18645;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" filled="f" stroked="f">
                    <v:textbox inset="7pt,3pt,7pt,3pt">
                      <w:txbxContent>
                        <w:p w14:paraId="59551707" w14:textId="77777777" w:rsidR="007E0ABC" w:rsidRDefault="007E0ABC" w:rsidP="001B6A38">
                          <w:pPr>
                            <w:textDirection w:val="btLr"/>
                          </w:pPr>
                          <w:r>
                            <w:rPr>
                              <w:rFonts w:eastAsia="Calibri" w:cs="Calibri"/>
                              <w:color w:val="000000"/>
                            </w:rPr>
                            <w:t>75</w:t>
                          </w:r>
                        </w:p>
                      </w:txbxContent>
                    </v:textbox>
                  </v:rect>
                  <v:rect id="Rectangle 461" o:spid="_x0000_s1074" style="position:absolute;left:11218;top:25844;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" filled="f" stroked="f">
                    <v:textbox inset="7pt,3pt,7pt,3pt">
                      <w:txbxContent>
                        <w:p w14:paraId="20B10046" w14:textId="77777777" w:rsidR="007E0ABC" w:rsidRDefault="007E0ABC" w:rsidP="001B6A38">
                          <w:pPr>
                            <w:textDirection w:val="btLr"/>
                          </w:pPr>
                          <w:r>
                            <w:rPr>
                              <w:rFonts w:eastAsia="Calibri" w:cs="Calibri"/>
                              <w:color w:val="000000"/>
                            </w:rPr>
                            <w:t>65</w:t>
                          </w:r>
                        </w:p>
                      </w:txbxContent>
                    </v:textbox>
                  </v:rect>
                  <v:rect id="Rectangle 462" o:spid="_x0000_s1075" style="position:absolute;left:11218;top:11446;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" filled="f" stroked="f">
                    <v:textbox inset="7pt,3pt,7pt,3pt">
                      <w:txbxContent>
                        <w:p w14:paraId="3C16C18E" w14:textId="77777777" w:rsidR="007E0ABC" w:rsidRDefault="007E0ABC" w:rsidP="001B6A38">
                          <w:pPr>
                            <w:textDirection w:val="btLr"/>
                          </w:pPr>
                          <w:r>
                            <w:rPr>
                              <w:rFonts w:eastAsia="Calibri" w:cs="Calibri"/>
                              <w:color w:val="000000"/>
                            </w:rPr>
                            <w:t>85</w:t>
                          </w:r>
                        </w:p>
                      </w:txbxContent>
                    </v:textbox>
                  </v:rect>
                  <v:rect id="Rectangle 463" o:spid="_x0000_s1076" style="position:absolute;left:11218;top:4253;width:1557;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" filled="f" stroked="f">
                    <v:textbox inset="7pt,3pt,7pt,3pt">
                      <w:txbxContent>
                        <w:p w14:paraId="02B21708" w14:textId="77777777" w:rsidR="007E0ABC" w:rsidRDefault="007E0ABC" w:rsidP="001B6A38">
                          <w:pPr>
                            <w:textDirection w:val="btLr"/>
                          </w:pPr>
                          <w:r>
                            <w:rPr>
                              <w:rFonts w:eastAsia="Calibri" w:cs="Calibri"/>
                              <w:color w:val="000000"/>
                            </w:rPr>
                            <w:t>95</w:t>
                          </w:r>
                        </w:p>
                      </w:txbxContent>
                    </v:textbox>
                  </v:rect>
                  <v:shape id="Straight Arrow Connector 464" o:spid="_x0000_s1077" type="#_x0000_t32" style="position:absolute;left:6528;top:1402;width:7;height:71964;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" filled="t" strokeweight="1pt">
                    <v:stroke startarrowwidth="narrow" startarrowlength="short" endarrowwidth="narrow" endarrowlength="short"/>
                  </v:shape>
                  <v:shape id="Straight Arrow Connector 465" o:spid="_x0000_s1078" type="#_x0000_t32" style="position:absolute;left:4369;top:1403;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" filled="t" strokeweight="1pt">
                    <v:stroke startarrowwidth="narrow" startarrowlength="short" endarrowwidth="narrow" endarrowlength="short"/>
                  </v:shape>
                  <v:shape id="Straight Arrow Connector 466" o:spid="_x0000_s1079" type="#_x0000_t32" style="position:absolute;left:5817;top:16520;width:143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" filled="t" strokeweight="1pt">
                    <v:stroke startarrowwidth="narrow" startarrowlength="short" endarrowwidth="narrow" endarrowlength="short"/>
                  </v:shape>
                  <v:shape id="Straight Arrow Connector 467" o:spid="_x0000_s1080" type="#_x0000_t32" style="position:absolute;left:5817;top:17238;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" filled="t" strokeweight="1pt">
                    <v:stroke startarrowwidth="narrow" startarrowlength="short" endarrowwidth="narrow" endarrowlength="short"/>
                  </v:shape>
                  <v:shape id="Straight Arrow Connector 468" o:spid="_x0000_s1081" type="#_x0000_t32" style="position:absolute;left:5817;top:1796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" filled="t" strokeweight="1pt">
                    <v:stroke startarrowwidth="narrow" startarrowlength="short" endarrowwidth="narrow" endarrowlength="short"/>
                  </v:shape>
                  <v:shape id="Straight Arrow Connector 469" o:spid="_x0000_s1082" type="#_x0000_t32" style="position:absolute;left:5817;top:18673;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" filled="t" strokeweight="1pt">
                    <v:stroke startarrowwidth="narrow" startarrowlength="short" endarrowwidth="narrow" endarrowlength="short"/>
                  </v:shape>
                  <v:shape id="Straight Arrow Connector 470" o:spid="_x0000_s1083" type="#_x0000_t32" style="position:absolute;left:5455;top:19397;width:21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" filled="t" strokeweight="1pt">
                    <v:stroke startarrowwidth="narrow" startarrowlength="short" endarrowwidth="narrow" endarrowlength="short"/>
                  </v:shape>
                  <v:shape id="Straight Arrow Connector 471" o:spid="_x0000_s1084" type="#_x0000_t32" style="position:absolute;left:5817;top:2012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" filled="t" strokeweight="1pt">
                    <v:stroke startarrowwidth="narrow" startarrowlength="short" endarrowwidth="narrow" endarrowlength="short"/>
                  </v:shape>
                  <v:shape id="Straight Arrow Connector 472" o:spid="_x0000_s1085" type="#_x0000_t32" style="position:absolute;left:5817;top:2083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" filled="t" strokeweight="1pt">
                    <v:stroke startarrowwidth="narrow" startarrowlength="short" endarrowwidth="narrow" endarrowlength="short"/>
                  </v:shape>
                  <v:shape id="Straight Arrow Connector 473" o:spid="_x0000_s1086" type="#_x0000_t32" style="position:absolute;left:5817;top:2155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" filled="t" strokeweight="1pt">
                    <v:stroke startarrowwidth="narrow" startarrowlength="short" endarrowwidth="narrow" endarrowlength="short"/>
                  </v:shape>
                  <v:shape id="Straight Arrow Connector 474" o:spid="_x0000_s1087" type="#_x0000_t32" style="position:absolute;left:5817;top:22273;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" filled="t" strokeweight="1pt">
                    <v:stroke startarrowwidth="narrow" startarrowlength="short" endarrowwidth="narrow" endarrowlength="short"/>
                  </v:shape>
                  <v:shape id="Straight Arrow Connector 475" o:spid="_x0000_s1088" type="#_x0000_t32" style="position:absolute;left:5805;top:9327;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" filled="t" strokeweight="1pt">
                    <v:stroke startarrowwidth="narrow" startarrowlength="short" endarrowwidth="narrow" endarrowlength="short"/>
                  </v:shape>
                  <v:shape id="Straight Arrow Connector 476" o:spid="_x0000_s1089" type="#_x0000_t32" style="position:absolute;left:5805;top:10038;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" filled="t" strokeweight="1pt">
                    <v:stroke startarrowwidth="narrow" startarrowlength="short" endarrowwidth="narrow" endarrowlength="short"/>
                  </v:shape>
                  <v:shape id="Straight Arrow Connector 477" o:spid="_x0000_s1090" type="#_x0000_t32" style="position:absolute;left:5805;top:10762;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" filled="t" strokeweight="1pt">
                    <v:stroke startarrowwidth="narrow" startarrowlength="short" endarrowwidth="narrow" endarrowlength="short"/>
                  </v:shape>
                  <v:shape id="Straight Arrow Connector 478" o:spid="_x0000_s1091" type="#_x0000_t32" style="position:absolute;left:5805;top:11479;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" filled="t" strokeweight="1pt">
                    <v:stroke startarrowwidth="narrow" startarrowlength="short" endarrowwidth="narrow" endarrowlength="short"/>
                  </v:shape>
                  <v:shape id="Straight Arrow Connector 479" o:spid="_x0000_s1092" type="#_x0000_t32" style="position:absolute;left:5455;top:12203;width:2146;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" filled="t" strokeweight="1pt">
                    <v:stroke startarrowwidth="narrow" startarrowlength="short" endarrowwidth="narrow" endarrowlength="short"/>
                  </v:shape>
                  <v:shape id="Straight Arrow Connector 480" o:spid="_x0000_s1093" type="#_x0000_t32" style="position:absolute;left:5805;top:12920;width:144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" filled="t" strokeweight="1pt">
                    <v:stroke startarrowwidth="narrow" startarrowlength="short" endarrowwidth="narrow" endarrowlength="short"/>
                  </v:shape>
                  <v:shape id="Straight Arrow Connector 481" o:spid="_x0000_s1094" type="#_x0000_t32" style="position:absolute;left:5805;top:13638;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" filled="t" strokeweight="1pt">
                    <v:stroke startarrowwidth="narrow" startarrowlength="short" endarrowwidth="narrow" endarrowlength="short"/>
                  </v:shape>
                  <v:shape id="Straight Arrow Connector 482" o:spid="_x0000_s1095" type="#_x0000_t32" style="position:absolute;left:5805;top:14362;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" filled="t" strokeweight="1pt">
                    <v:stroke startarrowwidth="narrow" startarrowlength="short" endarrowwidth="narrow" endarrowlength="short"/>
                  </v:shape>
                  <v:shape id="Straight Arrow Connector 483" o:spid="_x0000_s1096" type="#_x0000_t32" style="position:absolute;left:5805;top:15073;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" filled="t" strokeweight="1pt">
                    <v:stroke startarrowwidth="narrow" startarrowlength="short" endarrowwidth="narrow" endarrowlength="short"/>
                  </v:shape>
                  <v:shape id="Straight Arrow Connector 484" o:spid="_x0000_s1097" type="#_x0000_t32" style="position:absolute;left:5805;top:2127;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" filled="t" strokeweight="1pt">
                    <v:stroke startarrowwidth="narrow" startarrowlength="short" endarrowwidth="narrow" endarrowlength="short"/>
                  </v:shape>
                  <v:shape id="Straight Arrow Connector 485" o:spid="_x0000_s1098" type="#_x0000_t32" style="position:absolute;left:5805;top:2844;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" filled="t" strokeweight="1pt">
                    <v:stroke startarrowwidth="narrow" startarrowlength="short" endarrowwidth="narrow" endarrowlength="short"/>
                  </v:shape>
                  <v:shape id="Straight Arrow Connector 486" o:spid="_x0000_s1099" type="#_x0000_t32" style="position:absolute;left:5805;top:3568;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" filled="t" strokeweight="1pt">
                    <v:stroke startarrowwidth="narrow" startarrowlength="short" endarrowwidth="narrow" endarrowlength="short"/>
                  </v:shape>
                  <v:shape id="Straight Arrow Connector 487" o:spid="_x0000_s1100" type="#_x0000_t32" style="position:absolute;left:5805;top:4285;width:144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" filled="t" strokeweight="1pt">
                    <v:stroke startarrowwidth="narrow" startarrowlength="short" endarrowwidth="narrow" endarrowlength="short"/>
                  </v:shape>
                  <v:shape id="Straight Arrow Connector 488" o:spid="_x0000_s1101" type="#_x0000_t32" style="position:absolute;left:5455;top:5003;width:2146;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" filled="t" strokeweight="1pt">
                    <v:stroke startarrowwidth="narrow" startarrowlength="short" endarrowwidth="narrow" endarrowlength="short"/>
                  </v:shape>
                  <v:shape id="Straight Arrow Connector 489" o:spid="_x0000_s1102" type="#_x0000_t32" style="position:absolute;left:5805;top:5727;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" filled="t" strokeweight="1pt">
                    <v:stroke startarrowwidth="narrow" startarrowlength="short" endarrowwidth="narrow" endarrowlength="short"/>
                  </v:shape>
                  <v:shape id="Straight Arrow Connector 490" o:spid="_x0000_s1103" type="#_x0000_t32" style="position:absolute;left:5805;top:6438;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" filled="t" strokeweight="1pt">
                    <v:stroke startarrowwidth="narrow" startarrowlength="short" endarrowwidth="narrow" endarrowlength="short"/>
                  </v:shape>
                  <v:shape id="Straight Arrow Connector 491" o:spid="_x0000_s1104" type="#_x0000_t32" style="position:absolute;left:5805;top:7162;width:144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" filled="t" strokeweight="1pt">
                    <v:stroke startarrowwidth="narrow" startarrowlength="short" endarrowwidth="narrow" endarrowlength="short"/>
                  </v:shape>
                  <v:shape id="Straight Arrow Connector 492" o:spid="_x0000_s1105" type="#_x0000_t32" style="position:absolute;left:5805;top:7885;width:144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" filled="t" strokeweight="1pt">
                    <v:stroke startarrowwidth="narrow" startarrowlength="short" endarrowwidth="narrow" endarrowlength="short"/>
                  </v:shape>
                  <v:shape id="Straight Arrow Connector 493" o:spid="_x0000_s1106" type="#_x0000_t32" style="position:absolute;left:5817;top:2372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" filled="t" strokeweight="1pt">
                    <v:stroke startarrowwidth="narrow" startarrowlength="short" endarrowwidth="narrow" endarrowlength="short"/>
                  </v:shape>
                  <v:shape id="Straight Arrow Connector 494" o:spid="_x0000_s1107" type="#_x0000_t32" style="position:absolute;left:5817;top:2443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" filled="t" strokeweight="1pt">
                    <v:stroke startarrowwidth="narrow" startarrowlength="short" endarrowwidth="narrow" endarrowlength="short"/>
                  </v:shape>
                  <v:shape id="Straight Arrow Connector 495" o:spid="_x0000_s1108" type="#_x0000_t32" style="position:absolute;left:5817;top:2515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" filled="t" strokeweight="1pt">
                    <v:stroke startarrowwidth="narrow" startarrowlength="short" endarrowwidth="narrow" endarrowlength="short"/>
                  </v:shape>
                  <v:shape id="Straight Arrow Connector 496" o:spid="_x0000_s1109" type="#_x0000_t32" style="position:absolute;left:5817;top:25873;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" filled="t" strokeweight="1pt">
                    <v:stroke startarrowwidth="narrow" startarrowlength="short" endarrowwidth="narrow" endarrowlength="short"/>
                  </v:shape>
                  <v:shape id="Straight Arrow Connector 497" o:spid="_x0000_s1110" type="#_x0000_t32" style="position:absolute;left:5455;top:26597;width:21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" filled="t" strokeweight="1pt">
                    <v:stroke startarrowwidth="narrow" startarrowlength="short" endarrowwidth="narrow" endarrowlength="short"/>
                  </v:shape>
                  <v:shape id="Straight Arrow Connector 498" o:spid="_x0000_s1111" type="#_x0000_t32" style="position:absolute;left:5817;top:2732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" filled="t" strokeweight="1pt">
                    <v:stroke startarrowwidth="narrow" startarrowlength="short" endarrowwidth="narrow" endarrowlength="short"/>
                  </v:shape>
                  <v:shape id="Straight Arrow Connector 499" o:spid="_x0000_s1112" type="#_x0000_t32" style="position:absolute;left:5817;top:2803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" filled="t" strokeweight="1pt">
                    <v:stroke startarrowwidth="narrow" startarrowlength="short" endarrowwidth="narrow" endarrowlength="short"/>
                  </v:shape>
                  <v:shape id="Straight Arrow Connector 500" o:spid="_x0000_s1113" type="#_x0000_t32" style="position:absolute;left:5817;top:2875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" filled="t" strokeweight="1pt">
                    <v:stroke startarrowwidth="narrow" startarrowlength="short" endarrowwidth="narrow" endarrowlength="short"/>
                  </v:shape>
                  <v:shape id="Straight Arrow Connector 501" o:spid="_x0000_s1114" type="#_x0000_t32" style="position:absolute;left:5817;top:29467;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" filled="t" strokeweight="1pt">
                    <v:stroke startarrowwidth="narrow" startarrowlength="short" endarrowwidth="narrow" endarrowlength="short"/>
                  </v:shape>
                  <v:shape id="Straight Arrow Connector 502" o:spid="_x0000_s1115" type="#_x0000_t32" style="position:absolute;left:5817;top:30908;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" filled="t" strokeweight="1pt">
                    <v:stroke startarrowwidth="narrow" startarrowlength="short" endarrowwidth="narrow" endarrowlength="short"/>
                  </v:shape>
                  <v:shape id="Straight Arrow Connector 503" o:spid="_x0000_s1116" type="#_x0000_t32" style="position:absolute;left:5817;top:3163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" filled="t" strokeweight="1pt">
                    <v:stroke startarrowwidth="narrow" startarrowlength="short" endarrowwidth="narrow" endarrowlength="short"/>
                  </v:shape>
                  <v:shape id="Straight Arrow Connector 504" o:spid="_x0000_s1117" type="#_x0000_t32" style="position:absolute;left:5817;top:3235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" filled="t" strokeweight="1pt">
                    <v:stroke startarrowwidth="narrow" startarrowlength="short" endarrowwidth="narrow" endarrowlength="short"/>
                  </v:shape>
                  <v:shape id="Straight Arrow Connector 505" o:spid="_x0000_s1118" type="#_x0000_t32" style="position:absolute;left:5817;top:33067;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" filled="t" strokeweight="1pt">
                    <v:stroke startarrowwidth="narrow" startarrowlength="short" endarrowwidth="narrow" endarrowlength="short"/>
                  </v:shape>
                  <v:shape id="Straight Arrow Connector 508" o:spid="_x0000_s1119" type="#_x0000_t32" style="position:absolute;left:5455;top:33791;width:21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" filled="t" strokeweight="1pt">
                    <v:stroke startarrowwidth="narrow" startarrowlength="short" endarrowwidth="narrow" endarrowlength="short"/>
                  </v:shape>
                  <v:shape id="Straight Arrow Connector 511" o:spid="_x0000_s1120" type="#_x0000_t32" style="position:absolute;left:5817;top:34508;width:143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" filled="t" strokeweight="1pt">
                    <v:stroke startarrowwidth="narrow" startarrowlength="short" endarrowwidth="narrow" endarrowlength="short"/>
                  </v:shape>
                  <v:shape id="Straight Arrow Connector 516" o:spid="_x0000_s1121" type="#_x0000_t32" style="position:absolute;left:5817;top:3523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" filled="t" strokeweight="1pt">
                    <v:stroke startarrowwidth="narrow" startarrowlength="short" endarrowwidth="narrow" endarrowlength="short"/>
                  </v:shape>
                  <v:shape id="Straight Arrow Connector 525" o:spid="_x0000_s1122" type="#_x0000_t32" style="position:absolute;left:5817;top:3595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" filled="t" strokeweight="1pt">
                    <v:stroke startarrowwidth="narrow" startarrowlength="short" endarrowwidth="narrow" endarrowlength="short"/>
                  </v:shape>
                  <v:shape id="Straight Arrow Connector 539" o:spid="_x0000_s1123" type="#_x0000_t32" style="position:absolute;left:5817;top:36667;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" filled="t" strokeweight="1pt">
                    <v:stroke startarrowwidth="narrow" startarrowlength="short" endarrowwidth="narrow" endarrowlength="short"/>
                  </v:shape>
                  <v:shape id="Straight Arrow Connector 540" o:spid="_x0000_s1124" type="#_x0000_t32" style="position:absolute;left:5817;top:38115;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" filled="t" strokeweight="1pt">
                    <v:stroke startarrowwidth="narrow" startarrowlength="short" endarrowwidth="narrow" endarrowlength="short"/>
                  </v:shape>
                  <v:shape id="Straight Arrow Connector 541" o:spid="_x0000_s1125" type="#_x0000_t32" style="position:absolute;left:5817;top:3882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" filled="t" strokeweight="1pt">
                    <v:stroke startarrowwidth="narrow" startarrowlength="short" endarrowwidth="narrow" endarrowlength="short"/>
                  </v:shape>
                  <v:shape id="Straight Arrow Connector 542" o:spid="_x0000_s1126" type="#_x0000_t32" style="position:absolute;left:5817;top:3955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" filled="t" strokeweight="1pt">
                    <v:stroke startarrowwidth="narrow" startarrowlength="short" endarrowwidth="narrow" endarrowlength="short"/>
                  </v:shape>
                  <v:shape id="Straight Arrow Connector 543" o:spid="_x0000_s1127" type="#_x0000_t32" style="position:absolute;left:5817;top:40267;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" filled="t" strokeweight="1pt">
                    <v:stroke startarrowwidth="narrow" startarrowlength="short" endarrowwidth="narrow" endarrowlength="short"/>
                  </v:shape>
                  <v:shape id="Straight Arrow Connector 544" o:spid="_x0000_s1128" type="#_x0000_t32" style="position:absolute;left:5455;top:40991;width:21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" filled="t" strokeweight="1pt">
                    <v:stroke startarrowwidth="narrow" startarrowlength="short" endarrowwidth="narrow" endarrowlength="short"/>
                  </v:shape>
                  <v:shape id="Straight Arrow Connector 545" o:spid="_x0000_s1129" type="#_x0000_t32" style="position:absolute;left:5817;top:4170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" filled="t" strokeweight="1pt">
                    <v:stroke startarrowwidth="narrow" startarrowlength="short" endarrowwidth="narrow" endarrowlength="short"/>
                  </v:shape>
                  <v:shape id="Straight Arrow Connector 546" o:spid="_x0000_s1130" type="#_x0000_t32" style="position:absolute;left:5817;top:4242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" filled="t" strokeweight="1pt">
                    <v:stroke startarrowwidth="narrow" startarrowlength="short" endarrowwidth="narrow" endarrowlength="short"/>
                  </v:shape>
                  <v:shape id="Straight Arrow Connector 547" o:spid="_x0000_s1131" type="#_x0000_t32" style="position:absolute;left:5817;top:4315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" filled="t" strokeweight="1pt">
                    <v:stroke startarrowwidth="narrow" startarrowlength="short" endarrowwidth="narrow" endarrowlength="short"/>
                  </v:shape>
                  <v:shape id="Straight Arrow Connector 548" o:spid="_x0000_s1132" type="#_x0000_t32" style="position:absolute;left:5817;top:43867;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" filled="t" strokeweight="1pt">
                    <v:stroke startarrowwidth="narrow" startarrowlength="short" endarrowwidth="narrow" endarrowlength="short"/>
                  </v:shape>
                  <v:shape id="Straight Arrow Connector 549" o:spid="_x0000_s1133" type="#_x0000_t32" style="position:absolute;left:5817;top:4530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" filled="t" strokeweight="1pt">
                    <v:stroke startarrowwidth="narrow" startarrowlength="short" endarrowwidth="narrow" endarrowlength="short"/>
                  </v:shape>
                  <v:shape id="Straight Arrow Connector 550" o:spid="_x0000_s1134" type="#_x0000_t32" style="position:absolute;left:5817;top:4602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" filled="t" strokeweight="1pt">
                    <v:stroke startarrowwidth="narrow" startarrowlength="short" endarrowwidth="narrow" endarrowlength="short"/>
                  </v:shape>
                  <v:shape id="Straight Arrow Connector 551" o:spid="_x0000_s1135" type="#_x0000_t32" style="position:absolute;left:5817;top:4675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" filled="t" strokeweight="1pt">
                    <v:stroke startarrowwidth="narrow" startarrowlength="short" endarrowwidth="narrow" endarrowlength="short"/>
                  </v:shape>
                  <v:shape id="Straight Arrow Connector 552" o:spid="_x0000_s1136" type="#_x0000_t32" style="position:absolute;left:5817;top:4746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" filled="t" strokeweight="1pt">
                    <v:stroke startarrowwidth="narrow" startarrowlength="short" endarrowwidth="narrow" endarrowlength="short"/>
                  </v:shape>
                  <v:shape id="Straight Arrow Connector 553" o:spid="_x0000_s1137" type="#_x0000_t32" style="position:absolute;left:5455;top:48185;width:21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" filled="t" strokeweight="1pt">
                    <v:stroke startarrowwidth="narrow" startarrowlength="short" endarrowwidth="narrow" endarrowlength="short"/>
                  </v:shape>
                  <v:shape id="Straight Arrow Connector 554" o:spid="_x0000_s1138" type="#_x0000_t32" style="position:absolute;left:5817;top:48902;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" filled="t" strokeweight="1pt">
                    <v:stroke startarrowwidth="narrow" startarrowlength="short" endarrowwidth="narrow" endarrowlength="short"/>
                  </v:shape>
                  <v:shape id="Straight Arrow Connector 555" o:spid="_x0000_s1139" type="#_x0000_t32" style="position:absolute;left:5817;top:4962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" filled="t" strokeweight="1pt">
                    <v:stroke startarrowwidth="narrow" startarrowlength="short" endarrowwidth="narrow" endarrowlength="short"/>
                  </v:shape>
                  <v:shape id="Straight Arrow Connector 556" o:spid="_x0000_s1140" type="#_x0000_t32" style="position:absolute;left:5817;top:5035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" filled="t" strokeweight="1pt">
                    <v:stroke startarrowwidth="narrow" startarrowlength="short" endarrowwidth="narrow" endarrowlength="short"/>
                  </v:shape>
                  <v:shape id="Straight Arrow Connector 557" o:spid="_x0000_s1141" type="#_x0000_t32" style="position:absolute;left:5817;top:5106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" filled="t" strokeweight="1pt">
                    <v:stroke startarrowwidth="narrow" startarrowlength="short" endarrowwidth="narrow" endarrowlength="short"/>
                  </v:shape>
                  <v:shape id="Straight Arrow Connector 558" o:spid="_x0000_s1142" type="#_x0000_t32" style="position:absolute;left:5817;top:52502;width:143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" filled="t" strokeweight="1pt">
                    <v:stroke startarrowwidth="narrow" startarrowlength="short" endarrowwidth="narrow" endarrowlength="short"/>
                  </v:shape>
                  <v:shape id="Straight Arrow Connector 559" o:spid="_x0000_s1143" type="#_x0000_t32" style="position:absolute;left:5817;top:5322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" filled="t" strokeweight="1pt">
                    <v:stroke startarrowwidth="narrow" startarrowlength="short" endarrowwidth="narrow" endarrowlength="short"/>
                  </v:shape>
                  <v:shape id="Straight Arrow Connector 560" o:spid="_x0000_s1144" type="#_x0000_t32" style="position:absolute;left:5817;top:5395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" filled="t" strokeweight="1pt">
                    <v:stroke startarrowwidth="narrow" startarrowlength="short" endarrowwidth="narrow" endarrowlength="short"/>
                  </v:shape>
                  <v:shape id="Straight Arrow Connector 561" o:spid="_x0000_s1145" type="#_x0000_t32" style="position:absolute;left:5817;top:5466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" filled="t" strokeweight="1pt">
                    <v:stroke startarrowwidth="narrow" startarrowlength="short" endarrowwidth="narrow" endarrowlength="short"/>
                  </v:shape>
                  <v:shape id="Straight Arrow Connector 562" o:spid="_x0000_s1146" type="#_x0000_t32" style="position:absolute;left:5455;top:55385;width:21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" filled="t" strokeweight="1pt">
                    <v:stroke startarrowwidth="narrow" startarrowlength="short" endarrowwidth="narrow" endarrowlength="short"/>
                  </v:shape>
                  <v:shape id="Straight Arrow Connector 563" o:spid="_x0000_s1147" type="#_x0000_t32" style="position:absolute;left:5817;top:5609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" filled="t" strokeweight="1pt">
                    <v:stroke startarrowwidth="narrow" startarrowlength="short" endarrowwidth="narrow" endarrowlength="short"/>
                  </v:shape>
                  <v:shape id="Straight Arrow Connector 564" o:spid="_x0000_s1148" type="#_x0000_t32" style="position:absolute;left:5817;top:5682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" filled="t" strokeweight="1pt">
                    <v:stroke startarrowwidth="narrow" startarrowlength="short" endarrowwidth="narrow" endarrowlength="short"/>
                  </v:shape>
                  <v:shape id="Straight Arrow Connector 565" o:spid="_x0000_s1149" type="#_x0000_t32" style="position:absolute;left:5817;top:57537;width:143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" filled="t" strokeweight="1pt">
                    <v:stroke startarrowwidth="narrow" startarrowlength="short" endarrowwidth="narrow" endarrowlength="short"/>
                  </v:shape>
                  <v:shape id="Straight Arrow Connector 566" o:spid="_x0000_s1150" type="#_x0000_t32" style="position:absolute;left:5817;top:5826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" filled="t" strokeweight="1pt">
                    <v:stroke startarrowwidth="narrow" startarrowlength="short" endarrowwidth="narrow" endarrowlength="short"/>
                  </v:shape>
                  <v:shape id="Straight Arrow Connector 567" o:spid="_x0000_s1151" type="#_x0000_t32" style="position:absolute;left:5817;top:5969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" filled="t" strokeweight="1pt">
                    <v:stroke startarrowwidth="narrow" startarrowlength="short" endarrowwidth="narrow" endarrowlength="short"/>
                  </v:shape>
                  <v:shape id="Straight Arrow Connector 568" o:spid="_x0000_s1152" type="#_x0000_t32" style="position:absolute;left:5817;top:6042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" filled="t" strokeweight="1pt">
                    <v:stroke startarrowwidth="narrow" startarrowlength="short" endarrowwidth="narrow" endarrowlength="short"/>
                  </v:shape>
                  <v:shape id="Straight Arrow Connector 569" o:spid="_x0000_s1153" type="#_x0000_t32" style="position:absolute;left:5817;top:61137;width:143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" filled="t" strokeweight="1pt">
                    <v:stroke startarrowwidth="narrow" startarrowlength="short" endarrowwidth="narrow" endarrowlength="short"/>
                  </v:shape>
                  <v:shape id="Straight Arrow Connector 570" o:spid="_x0000_s1154" type="#_x0000_t32" style="position:absolute;left:5817;top:6186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" filled="t" strokeweight="1pt">
                    <v:stroke startarrowwidth="narrow" startarrowlength="short" endarrowwidth="narrow" endarrowlength="short"/>
                  </v:shape>
                  <v:shape id="Straight Arrow Connector 571" o:spid="_x0000_s1155" type="#_x0000_t32" style="position:absolute;left:5455;top:62579;width:21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" filled="t" strokeweight="1pt">
                    <v:stroke startarrowwidth="narrow" startarrowlength="short" endarrowwidth="narrow" endarrowlength="short"/>
                  </v:shape>
                  <v:shape id="Straight Arrow Connector 572" o:spid="_x0000_s1156" type="#_x0000_t32" style="position:absolute;left:5817;top:63296;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" filled="t" strokeweight="1pt">
                    <v:stroke startarrowwidth="narrow" startarrowlength="short" endarrowwidth="narrow" endarrowlength="short"/>
                  </v:shape>
                  <v:shape id="Straight Arrow Connector 573" o:spid="_x0000_s1157" type="#_x0000_t32" style="position:absolute;left:5817;top:6402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" filled="t" strokeweight="1pt">
                    <v:stroke startarrowwidth="narrow" startarrowlength="short" endarrowwidth="narrow" endarrowlength="short"/>
                  </v:shape>
                  <v:shape id="Straight Arrow Connector 574" o:spid="_x0000_s1158" type="#_x0000_t32" style="position:absolute;left:5817;top:6473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" filled="t" strokeweight="1pt">
                    <v:stroke startarrowwidth="narrow" startarrowlength="short" endarrowwidth="narrow" endarrowlength="short"/>
                  </v:shape>
                  <v:shape id="Straight Arrow Connector 575" o:spid="_x0000_s1159" type="#_x0000_t32" style="position:absolute;left:5817;top:65455;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" filled="t" strokeweight="1pt">
                    <v:stroke startarrowwidth="narrow" startarrowlength="short" endarrowwidth="narrow" endarrowlength="short"/>
                  </v:shape>
                  <v:shape id="Straight Arrow Connector 576" o:spid="_x0000_s1160" type="#_x0000_t32" style="position:absolute;left:5817;top:66896;width:143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" filled="t" strokeweight="1pt">
                    <v:stroke startarrowwidth="narrow" startarrowlength="short" endarrowwidth="narrow" endarrowlength="short"/>
                  </v:shape>
                  <v:shape id="Straight Arrow Connector 577" o:spid="_x0000_s1161" type="#_x0000_t32" style="position:absolute;left:5817;top:67620;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" filled="t" strokeweight="1pt">
                    <v:stroke startarrowwidth="narrow" startarrowlength="short" endarrowwidth="narrow" endarrowlength="short"/>
                  </v:shape>
                  <v:shape id="Straight Arrow Connector 578" o:spid="_x0000_s1162" type="#_x0000_t32" style="position:absolute;left:5817;top:68331;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" filled="t" strokeweight="1pt">
                    <v:stroke startarrowwidth="narrow" startarrowlength="short" endarrowwidth="narrow" endarrowlength="short"/>
                  </v:shape>
                  <v:shape id="Straight Arrow Connector 579" o:spid="_x0000_s1163" type="#_x0000_t32" style="position:absolute;left:5817;top:69055;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" filled="t" strokeweight="1pt">
                    <v:stroke startarrowwidth="narrow" startarrowlength="short" endarrowwidth="narrow" endarrowlength="short"/>
                  </v:shape>
                  <v:shape id="Straight Arrow Connector 580" o:spid="_x0000_s1164" type="#_x0000_t32" style="position:absolute;left:5455;top:69779;width:21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" filled="t" strokeweight="1pt">
                    <v:stroke startarrowwidth="narrow" startarrowlength="short" endarrowwidth="narrow" endarrowlength="short"/>
                  </v:shape>
                  <v:shape id="Straight Arrow Connector 581" o:spid="_x0000_s1165" type="#_x0000_t32" style="position:absolute;left:5817;top:70496;width:143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" filled="t" strokeweight="1pt">
                    <v:stroke startarrowwidth="narrow" startarrowlength="short" endarrowwidth="narrow" endarrowlength="short"/>
                  </v:shape>
                  <v:shape id="Straight Arrow Connector 582" o:spid="_x0000_s1166" type="#_x0000_t32" style="position:absolute;left:5817;top:71214;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" filled="t" strokeweight="1pt">
                    <v:stroke startarrowwidth="narrow" startarrowlength="short" endarrowwidth="narrow" endarrowlength="short"/>
                  </v:shape>
                  <v:shape id="Straight Arrow Connector 583" o:spid="_x0000_s1167" type="#_x0000_t32" style="position:absolute;left:5817;top:71931;width:143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" filled="t" strokeweight="1pt">
                    <v:stroke startarrowwidth="narrow" startarrowlength="short" endarrowwidth="narrow" endarrowlength="short"/>
                  </v:shape>
                  <v:shape id="Straight Arrow Connector 584" o:spid="_x0000_s1168" type="#_x0000_t32" style="position:absolute;left:5817;top:72655;width:143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" filled="t" strokeweight="1pt">
                    <v:stroke startarrowwidth="narrow" startarrowlength="short" endarrowwidth="narrow" endarrowlength="short"/>
                  </v:shape>
                  <v:shape id="Straight Arrow Connector 585" o:spid="_x0000_s1169" type="#_x0000_t32" style="position:absolute;left:4369;top:8603;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" filled="t" strokeweight="1pt">
                    <v:stroke startarrowwidth="narrow" startarrowlength="short" endarrowwidth="narrow" endarrowlength="short"/>
                  </v:shape>
                  <v:shape id="Straight Arrow Connector 586" o:spid="_x0000_s1170" type="#_x0000_t32" style="position:absolute;left:4369;top:15797;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" filled="t" strokeweight="1pt">
                    <v:stroke startarrowwidth="narrow" startarrowlength="short" endarrowwidth="narrow" endarrowlength="short"/>
                  </v:shape>
                  <v:shape id="Straight Arrow Connector 587" o:spid="_x0000_s1171" type="#_x0000_t32" style="position:absolute;left:4369;top:22997;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" filled="t" strokeweight="1pt">
                    <v:stroke startarrowwidth="narrow" startarrowlength="short" endarrowwidth="narrow" endarrowlength="short"/>
                  </v:shape>
                  <v:shape id="Straight Arrow Connector 588" o:spid="_x0000_s1172" type="#_x0000_t32" style="position:absolute;left:4369;top:30191;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" filled="t" strokeweight="1pt">
                    <v:stroke startarrowwidth="narrow" startarrowlength="short" endarrowwidth="narrow" endarrowlength="short"/>
                  </v:shape>
                  <v:shape id="Straight Arrow Connector 589" o:spid="_x0000_s1173" type="#_x0000_t32" style="position:absolute;left:4369;top:37391;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" filled="t" strokeweight="1pt">
                    <v:stroke startarrowwidth="narrow" startarrowlength="short" endarrowwidth="narrow" endarrowlength="short"/>
                  </v:shape>
                  <v:shape id="Straight Arrow Connector 590" o:spid="_x0000_s1174" type="#_x0000_t32" style="position:absolute;left:4369;top:44591;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" filled="t" strokeweight="1pt">
                    <v:stroke startarrowwidth="narrow" startarrowlength="short" endarrowwidth="narrow" endarrowlength="short"/>
                  </v:shape>
                  <v:shape id="Straight Arrow Connector 591" o:spid="_x0000_s1175" type="#_x0000_t32" style="position:absolute;left:4369;top:51785;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" filled="t" strokeweight="1pt">
                    <v:stroke startarrowwidth="narrow" startarrowlength="short" endarrowwidth="narrow" endarrowlength="short"/>
                  </v:shape>
                  <v:shape id="Straight Arrow Connector 592" o:spid="_x0000_s1176" type="#_x0000_t32" style="position:absolute;left:4369;top:58985;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" filled="t" strokeweight="1pt">
                    <v:stroke startarrowwidth="narrow" startarrowlength="short" endarrowwidth="narrow" endarrowlength="short"/>
                  </v:shape>
                  <v:shape id="Straight Arrow Connector 593" o:spid="_x0000_s1177" type="#_x0000_t32" style="position:absolute;left:4369;top:66179;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" filled="t" strokeweight="1pt">
                    <v:stroke startarrowwidth="narrow" startarrowlength="short" endarrowwidth="narrow" endarrowlength="short"/>
                  </v:shape>
                  <v:shape id="Straight Arrow Connector 594" o:spid="_x0000_s1178" type="#_x0000_t32" style="position:absolute;left:4369;top:73366;width:4319;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" filled="t" strokeweight="1pt">
                    <v:stroke startarrowwidth="narrow" startarrowlength="short" endarrowwidth="narrow" endarrowlength="short"/>
                  </v:shape>
                </v:group>
                <w10:wrap anchorx="margin" anchory="margin"/>
              </v:group>
            </w:pict>
          </mc:Fallback>
        </mc:AlternateContent>
      </w:r>
      <w:r>
        <w:br/>
      </w:r>
      <w:r>
        <w:rPr>
          <w:noProof/>
        </w:rPr>
        <mc:AlternateContent>
          <mc:Choice Requires="wps">
            <w:drawing>
              <wp:anchor distT="45720" distB="45720" distL="114300" distR="114300" simplePos="0" relativeHeight="251689984" behindDoc="0" locked="0" layoutInCell="1" hidden="0" allowOverlap="1" wp14:anchorId="5BD87108" wp14:editId="34CDC1A9">
                <wp:simplePos x="0" y="0"/>
                <wp:positionH relativeFrom="rightMargin">
                  <wp:posOffset>-856296</wp:posOffset>
                </wp:positionH>
                <wp:positionV relativeFrom="bottomMargin">
                  <wp:posOffset>-9350056</wp:posOffset>
                </wp:positionV>
                <wp:extent cx="1216533" cy="1024509"/>
                <wp:effectExtent l="0" t="0" r="0" b="0"/>
                <wp:wrapNone/>
                <wp:docPr id="595" name="Rectangle 595"/>
                <wp:cNvGraphicFramePr/>
                <a:graphic xmlns:a="http://schemas.openxmlformats.org/drawingml/2006/main">
                  <a:graphicData uri="http://schemas.microsoft.com/office/word/2010/wordprocessingShape">
                    <wps:wsp>
                      <wps:cNvSpPr/>
                      <wps:spPr>
                        <a:xfrm>
                          <a:off x="4742496" y="3272508"/>
                          <a:ext cx="1207008" cy="1014984"/>
                        </a:xfrm>
                        <a:prstGeom prst="rect">
                          <a:avLst/>
                        </a:prstGeom>
                        <a:noFill/>
                        <a:ln>
                          <a:noFill/>
                        </a:ln>
                      </wps:spPr>
                      <wps:txbx>
                        <w:txbxContent>
                          <w:p w14:paraId="3E4C7E9C" w14:textId="77777777" w:rsidR="007E0ABC" w:rsidRDefault="007E0ABC" w:rsidP="001B6A38">
                            <w:pPr>
                              <w:jc w:val="center"/>
                              <w:textDirection w:val="btLr"/>
                            </w:pPr>
                            <w:r>
                              <w:rPr>
                                <w:rFonts w:eastAsia="Arial" w:cs="Arial"/>
                                <w:color w:val="000000"/>
                              </w:rPr>
                              <w:t>The best health you can imagine</w:t>
                            </w:r>
                          </w:p>
                        </w:txbxContent>
                      </wps:txbx>
                      <wps:bodyPr spcFirstLastPara="1" wrap="square" lIns="91425" tIns="45700" rIns="91425" bIns="45700" anchor="b" anchorCtr="0">
                        <a:noAutofit/>
                      </wps:bodyPr>
                    </wps:wsp>
                  </a:graphicData>
                </a:graphic>
              </wp:anchor>
            </w:drawing>
          </mc:Choice>
          <mc:Fallback>
            <w:pict>
              <v:rect w14:anchorId="5BD87108" id="Rectangle 595" o:spid="_x0000_s1179" style="position:absolute;left:0;text-align:left;margin-left:-67.4pt;margin-top:-736.2pt;width:95.8pt;height:80.65pt;z-index:251689984;visibility:visible;mso-wrap-style:square;mso-wrap-distance-left:9pt;mso-wrap-distance-top:3.6pt;mso-wrap-distance-right:9pt;mso-wrap-distance-bottom:3.6pt;mso-position-horizontal:absolute;mso-position-horizontal-relative:right-margin-area;mso-position-vertical:absolute;mso-position-vertical-relative:bottom-margin-area;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" filled="f" stroked="f">
                <v:textbox inset="2.53958mm,1.2694mm,2.53958mm,1.2694mm">
                  <w:txbxContent>
                    <w:p w14:paraId="3E4C7E9C" w14:textId="77777777" w:rsidR="007E0ABC" w:rsidRDefault="007E0ABC" w:rsidP="001B6A38">
                      <w:pPr>
                        <w:jc w:val="center"/>
                        <w:textDirection w:val="btLr"/>
                      </w:pPr>
                      <w:r>
                        <w:rPr>
                          <w:rFonts w:eastAsia="Arial" w:cs="Arial"/>
                          <w:color w:val="000000"/>
                        </w:rPr>
                        <w:t>The best health you can imagine</w:t>
                      </w:r>
                    </w:p>
                  </w:txbxContent>
                </v:textbox>
                <w10:wrap anchorx="margin" anchory="margin"/>
              </v:rect>
            </w:pict>
          </mc:Fallback>
        </mc:AlternateContent>
      </w:r>
    </w:p>
    <w:p w14:paraId="046A1099" w14:textId="77777777" w:rsidR="007E0ABC" w:rsidRDefault="007E0ABC" w:rsidP="001B6A38">
      <w:pPr>
        <w:rPr>
          <w:rFonts w:eastAsia="Arial" w:cs="Arial"/>
          <w:sz w:val="26"/>
          <w:szCs w:val="26"/>
        </w:rPr>
      </w:pPr>
    </w:p>
    <w:p w14:paraId="740B764D" w14:textId="77777777" w:rsidR="007E0ABC" w:rsidRDefault="007E0ABC" w:rsidP="001B6A38">
      <w:pPr>
        <w:rPr>
          <w:rFonts w:eastAsia="Arial" w:cs="Arial"/>
          <w:sz w:val="26"/>
          <w:szCs w:val="26"/>
        </w:rPr>
      </w:pPr>
      <w:r>
        <w:rPr>
          <w:noProof/>
        </w:rPr>
        <mc:AlternateContent>
          <mc:Choice Requires="wps">
            <w:drawing>
              <wp:anchor distT="0" distB="0" distL="114300" distR="114300" simplePos="0" relativeHeight="251691008" behindDoc="0" locked="0" layoutInCell="1" hidden="0" allowOverlap="1" wp14:anchorId="405798CB" wp14:editId="548B4822">
                <wp:simplePos x="0" y="0"/>
                <wp:positionH relativeFrom="rightMargin">
                  <wp:posOffset>-2654616</wp:posOffset>
                </wp:positionH>
                <wp:positionV relativeFrom="bottomMargin">
                  <wp:posOffset>-4954735</wp:posOffset>
                </wp:positionV>
                <wp:extent cx="658749" cy="448437"/>
                <wp:effectExtent l="0" t="0" r="0" b="0"/>
                <wp:wrapNone/>
                <wp:docPr id="596" name="Rectangle 596"/>
                <wp:cNvGraphicFramePr/>
                <a:graphic xmlns:a="http://schemas.openxmlformats.org/drawingml/2006/main">
                  <a:graphicData uri="http://schemas.microsoft.com/office/word/2010/wordprocessingShape">
                    <wps:wsp>
                      <wps:cNvSpPr/>
                      <wps:spPr>
                        <a:xfrm>
                          <a:off x="5021388" y="3560544"/>
                          <a:ext cx="649224" cy="43891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C6DC1C" w14:textId="77777777" w:rsidR="007E0ABC" w:rsidRDefault="007E0ABC" w:rsidP="001B6A38">
                            <w:pPr>
                              <w:textDirection w:val="btLr"/>
                            </w:pPr>
                          </w:p>
                        </w:txbxContent>
                      </wps:txbx>
                      <wps:bodyPr spcFirstLastPara="1" wrap="square" lIns="91425" tIns="91425" rIns="91425" bIns="91425" anchor="ctr" anchorCtr="0">
                        <a:noAutofit/>
                      </wps:bodyPr>
                    </wps:wsp>
                  </a:graphicData>
                </a:graphic>
              </wp:anchor>
            </w:drawing>
          </mc:Choice>
          <mc:Fallback>
            <w:pict>
              <v:rect w14:anchorId="405798CB" id="Rectangle 596" o:spid="_x0000_s1180" style="position:absolute;left:0;text-align:left;margin-left:-209pt;margin-top:-390.15pt;width:51.85pt;height:35.3pt;z-index:251691008;visibility:visible;mso-wrap-style:square;mso-wrap-distance-left:9pt;mso-wrap-distance-top:0;mso-wrap-distance-right:9pt;mso-wrap-distance-bottom:0;mso-position-horizontal:absolute;mso-position-horizontal-relative:right-margin-area;mso-position-vertical:absolute;mso-position-vertical-relative:bottom-margin-area;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">
                <v:stroke startarrowwidth="narrow" startarrowlength="short" endarrowwidth="narrow" endarrowlength="short"/>
                <v:textbox inset="2.53958mm,2.53958mm,2.53958mm,2.53958mm">
                  <w:txbxContent>
                    <w:p w14:paraId="39C6DC1C" w14:textId="77777777" w:rsidR="007E0ABC" w:rsidRDefault="007E0ABC" w:rsidP="001B6A38">
                      <w:pPr>
                        <w:textDirection w:val="btLr"/>
                      </w:pPr>
                    </w:p>
                  </w:txbxContent>
                </v:textbox>
                <w10:wrap anchorx="margin" anchory="margin"/>
              </v:rect>
            </w:pict>
          </mc:Fallback>
        </mc:AlternateContent>
      </w:r>
    </w:p>
    <w:p w14:paraId="76C65511" w14:textId="77777777" w:rsidR="007E0ABC" w:rsidRDefault="007E0ABC" w:rsidP="001B6A38">
      <w:pPr>
        <w:rPr>
          <w:rFonts w:eastAsia="Arial" w:cs="Arial"/>
          <w:sz w:val="26"/>
          <w:szCs w:val="26"/>
        </w:rPr>
      </w:pPr>
      <w:r>
        <w:rPr>
          <w:noProof/>
        </w:rPr>
        <mc:AlternateContent>
          <mc:Choice Requires="wps">
            <w:drawing>
              <wp:anchor distT="45720" distB="45720" distL="114300" distR="114300" simplePos="0" relativeHeight="251692032" behindDoc="0" locked="0" layoutInCell="1" hidden="0" allowOverlap="1" wp14:anchorId="00569B4E" wp14:editId="7E5B3516">
                <wp:simplePos x="0" y="0"/>
                <wp:positionH relativeFrom="rightMargin">
                  <wp:posOffset>-5279071</wp:posOffset>
                </wp:positionH>
                <wp:positionV relativeFrom="bottomMargin">
                  <wp:posOffset>-4858701</wp:posOffset>
                </wp:positionV>
                <wp:extent cx="2630325" cy="400685"/>
                <wp:effectExtent l="0" t="0" r="0" b="0"/>
                <wp:wrapSquare wrapText="bothSides" distT="45720" distB="45720" distL="114300" distR="114300"/>
                <wp:docPr id="597" name="Rectangle 597"/>
                <wp:cNvGraphicFramePr/>
                <a:graphic xmlns:a="http://schemas.openxmlformats.org/drawingml/2006/main">
                  <a:graphicData uri="http://schemas.microsoft.com/office/word/2010/wordprocessingShape">
                    <wps:wsp>
                      <wps:cNvSpPr/>
                      <wps:spPr>
                        <a:xfrm>
                          <a:off x="4035600" y="3584420"/>
                          <a:ext cx="2620800" cy="391160"/>
                        </a:xfrm>
                        <a:prstGeom prst="rect">
                          <a:avLst/>
                        </a:prstGeom>
                        <a:solidFill>
                          <a:srgbClr val="FFFFFF"/>
                        </a:solidFill>
                        <a:ln>
                          <a:noFill/>
                        </a:ln>
                      </wps:spPr>
                      <wps:txbx>
                        <w:txbxContent>
                          <w:p w14:paraId="46FD5AA3" w14:textId="77777777" w:rsidR="007E0ABC" w:rsidRDefault="007E0ABC" w:rsidP="001B6A38">
                            <w:pPr>
                              <w:jc w:val="right"/>
                              <w:textDirection w:val="btLr"/>
                            </w:pPr>
                            <w:r>
                              <w:rPr>
                                <w:rFonts w:eastAsia="Arial" w:cs="Arial"/>
                                <w:color w:val="000000"/>
                              </w:rPr>
                              <w:t>YOUR HEALTH TODAY =</w:t>
                            </w:r>
                          </w:p>
                        </w:txbxContent>
                      </wps:txbx>
                      <wps:bodyPr spcFirstLastPara="1" wrap="square" lIns="91425" tIns="45700" rIns="91425" bIns="45700" anchor="t" anchorCtr="0">
                        <a:noAutofit/>
                      </wps:bodyPr>
                    </wps:wsp>
                  </a:graphicData>
                </a:graphic>
              </wp:anchor>
            </w:drawing>
          </mc:Choice>
          <mc:Fallback>
            <w:pict>
              <v:rect w14:anchorId="00569B4E" id="Rectangle 597" o:spid="_x0000_s1181" style="position:absolute;left:0;text-align:left;margin-left:-415.65pt;margin-top:-382.55pt;width:207.1pt;height:31.55pt;z-index:251692032;visibility:visible;mso-wrap-style:square;mso-wrap-distance-left:9pt;mso-wrap-distance-top:3.6pt;mso-wrap-distance-right:9pt;mso-wrap-distance-bottom:3.6pt;mso-position-horizontal:absolute;mso-position-horizontal-relative:right-margin-area;mso-position-vertical:absolute;mso-position-vertical-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" stroked="f">
                <v:textbox inset="2.53958mm,1.2694mm,2.53958mm,1.2694mm">
                  <w:txbxContent>
                    <w:p w14:paraId="46FD5AA3" w14:textId="77777777" w:rsidR="007E0ABC" w:rsidRDefault="007E0ABC" w:rsidP="001B6A38">
                      <w:pPr>
                        <w:jc w:val="right"/>
                        <w:textDirection w:val="btLr"/>
                      </w:pPr>
                      <w:r>
                        <w:rPr>
                          <w:rFonts w:eastAsia="Arial" w:cs="Arial"/>
                          <w:color w:val="000000"/>
                        </w:rPr>
                        <w:t>YOUR HEALTH TODAY =</w:t>
                      </w:r>
                    </w:p>
                  </w:txbxContent>
                </v:textbox>
                <w10:wrap type="square" anchorx="margin" anchory="margin"/>
              </v:rect>
            </w:pict>
          </mc:Fallback>
        </mc:AlternateContent>
      </w:r>
      <w:r>
        <w:rPr>
          <w:noProof/>
        </w:rPr>
        <mc:AlternateContent>
          <mc:Choice Requires="wps">
            <w:drawing>
              <wp:anchor distT="0" distB="0" distL="0" distR="0" simplePos="0" relativeHeight="251693056" behindDoc="0" locked="0" layoutInCell="1" hidden="0" allowOverlap="1" wp14:anchorId="685447D3" wp14:editId="0C108D0C">
                <wp:simplePos x="0" y="0"/>
                <wp:positionH relativeFrom="rightMargin">
                  <wp:posOffset>-841056</wp:posOffset>
                </wp:positionH>
                <wp:positionV relativeFrom="bottomMargin">
                  <wp:posOffset>-969961</wp:posOffset>
                </wp:positionV>
                <wp:extent cx="1198245" cy="978789"/>
                <wp:effectExtent l="0" t="0" r="0" b="0"/>
                <wp:wrapSquare wrapText="bothSides" distT="0" distB="0" distL="0" distR="0"/>
                <wp:docPr id="598" name="Rectangle 598"/>
                <wp:cNvGraphicFramePr/>
                <a:graphic xmlns:a="http://schemas.openxmlformats.org/drawingml/2006/main">
                  <a:graphicData uri="http://schemas.microsoft.com/office/word/2010/wordprocessingShape">
                    <wps:wsp>
                      <wps:cNvSpPr/>
                      <wps:spPr>
                        <a:xfrm>
                          <a:off x="4751640" y="3295368"/>
                          <a:ext cx="1188720" cy="969264"/>
                        </a:xfrm>
                        <a:prstGeom prst="rect">
                          <a:avLst/>
                        </a:prstGeom>
                        <a:solidFill>
                          <a:srgbClr val="FFFFFF"/>
                        </a:solidFill>
                        <a:ln>
                          <a:noFill/>
                        </a:ln>
                      </wps:spPr>
                      <wps:txbx>
                        <w:txbxContent>
                          <w:p w14:paraId="6D5F0CD1" w14:textId="77777777" w:rsidR="007E0ABC" w:rsidRDefault="007E0ABC" w:rsidP="001B6A38">
                            <w:pPr>
                              <w:jc w:val="center"/>
                              <w:textDirection w:val="btLr"/>
                            </w:pPr>
                            <w:r>
                              <w:rPr>
                                <w:rFonts w:eastAsia="Arial" w:cs="Arial"/>
                                <w:color w:val="000000"/>
                              </w:rPr>
                              <w:t>The worst health you can imagine</w:t>
                            </w:r>
                          </w:p>
                        </w:txbxContent>
                      </wps:txbx>
                      <wps:bodyPr spcFirstLastPara="1" wrap="square" lIns="91425" tIns="45700" rIns="91425" bIns="45700" anchor="t" anchorCtr="0">
                        <a:noAutofit/>
                      </wps:bodyPr>
                    </wps:wsp>
                  </a:graphicData>
                </a:graphic>
              </wp:anchor>
            </w:drawing>
          </mc:Choice>
          <mc:Fallback>
            <w:pict>
              <v:rect w14:anchorId="685447D3" id="Rectangle 598" o:spid="_x0000_s1182" style="position:absolute;left:0;text-align:left;margin-left:-66.2pt;margin-top:-76.35pt;width:94.35pt;height:77.05pt;z-index:251693056;visibility:visible;mso-wrap-style:square;mso-wrap-distance-left:0;mso-wrap-distance-top:0;mso-wrap-distance-right:0;mso-wrap-distance-bottom:0;mso-position-horizontal:absolute;mso-position-horizontal-relative:right-margin-area;mso-position-vertical:absolute;mso-position-vertical-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" stroked="f">
                <v:textbox inset="2.53958mm,1.2694mm,2.53958mm,1.2694mm">
                  <w:txbxContent>
                    <w:p w14:paraId="6D5F0CD1" w14:textId="77777777" w:rsidR="007E0ABC" w:rsidRDefault="007E0ABC" w:rsidP="001B6A38">
                      <w:pPr>
                        <w:jc w:val="center"/>
                        <w:textDirection w:val="btLr"/>
                      </w:pPr>
                      <w:r>
                        <w:rPr>
                          <w:rFonts w:eastAsia="Arial" w:cs="Arial"/>
                          <w:color w:val="000000"/>
                        </w:rPr>
                        <w:t>The worst health you can imagine</w:t>
                      </w:r>
                    </w:p>
                  </w:txbxContent>
                </v:textbox>
                <w10:wrap type="square" anchorx="margin" anchory="margin"/>
              </v:rect>
            </w:pict>
          </mc:Fallback>
        </mc:AlternateContent>
      </w:r>
    </w:p>
    <w:p w14:paraId="31BA5900" w14:textId="77777777" w:rsidR="007E0ABC" w:rsidRDefault="007E0ABC" w:rsidP="001B6A38">
      <w:pPr>
        <w:spacing w:after="160" w:line="259" w:lineRule="auto"/>
      </w:pPr>
    </w:p>
    <w:p w14:paraId="54F51729" w14:textId="77777777" w:rsidR="007E0ABC" w:rsidRDefault="007E0ABC" w:rsidP="001B6A38">
      <w:pPr>
        <w:spacing w:after="160" w:line="259" w:lineRule="auto"/>
        <w:rPr>
          <w:rFonts w:eastAsia="Calibri" w:cs="Calibri"/>
          <w:color w:val="1E4D78"/>
        </w:rPr>
      </w:pPr>
      <w:r>
        <w:br w:type="page"/>
      </w:r>
    </w:p>
    <w:p w14:paraId="598668A5" w14:textId="77777777" w:rsidR="007E0ABC" w:rsidRPr="001C2A50" w:rsidRDefault="007E0ABC" w:rsidP="001C2A50">
      <w:pPr>
        <w:pStyle w:val="Subtitle"/>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 </w:t>
      </w:r>
      <w:r>
        <w:rPr>
          <w:rFonts w:ascii="Avenir Book" w:hAnsi="Avenir Book"/>
          <w:iCs/>
          <w:sz w:val="28"/>
          <w:szCs w:val="28"/>
        </w:rPr>
        <w:t>(8) UCS</w:t>
      </w:r>
      <w:r w:rsidRPr="00C260F1">
        <w:rPr>
          <w:rFonts w:ascii="Avenir Book" w:hAnsi="Avenir Book"/>
          <w:iCs/>
          <w:sz w:val="28"/>
          <w:szCs w:val="28"/>
        </w:rPr>
        <w:t xml:space="preserve"> Questionnaire</w:t>
      </w:r>
    </w:p>
    <w:p w14:paraId="1469593C" w14:textId="77777777" w:rsidR="007E0ABC" w:rsidRPr="00C260F1" w:rsidRDefault="007E0ABC" w:rsidP="00F06B0E">
      <w:pPr>
        <w:jc w:val="center"/>
        <w:rPr>
          <w:b/>
          <w:sz w:val="32"/>
          <w:szCs w:val="32"/>
        </w:rPr>
      </w:pPr>
      <w:r w:rsidRPr="00C260F1">
        <w:rPr>
          <w:b/>
          <w:sz w:val="32"/>
          <w:szCs w:val="32"/>
        </w:rPr>
        <w:t>Unmitigated Communion Scale</w:t>
      </w:r>
    </w:p>
    <w:p w14:paraId="28911DBA" w14:textId="77777777" w:rsidR="007E0ABC" w:rsidRDefault="007E0ABC" w:rsidP="003367DC">
      <w:pPr>
        <w:rPr>
          <w:b/>
          <w:sz w:val="22"/>
          <w:szCs w:val="22"/>
        </w:rPr>
      </w:pPr>
    </w:p>
    <w:p w14:paraId="622E349F" w14:textId="77777777" w:rsidR="007E0ABC" w:rsidRPr="00C260F1" w:rsidRDefault="007E0ABC" w:rsidP="003367DC">
      <w:pPr>
        <w:rPr>
          <w:rFonts w:ascii="Avenir Heavy" w:hAnsi="Avenir Heavy"/>
          <w:b/>
          <w:bCs/>
          <w:sz w:val="22"/>
          <w:szCs w:val="22"/>
        </w:rPr>
      </w:pPr>
      <w:r w:rsidRPr="00C260F1">
        <w:rPr>
          <w:rFonts w:ascii="Avenir Heavy" w:hAnsi="Avenir Heavy"/>
          <w:b/>
          <w:bCs/>
          <w:sz w:val="22"/>
          <w:szCs w:val="22"/>
        </w:rPr>
        <w:t>Instructions:</w:t>
      </w:r>
    </w:p>
    <w:p w14:paraId="21A59F9D" w14:textId="77777777" w:rsidR="007E0ABC" w:rsidRPr="00C260F1" w:rsidRDefault="007E0ABC" w:rsidP="003367DC">
      <w:pPr>
        <w:rPr>
          <w:sz w:val="22"/>
          <w:szCs w:val="22"/>
        </w:rPr>
      </w:pPr>
      <w:r w:rsidRPr="00C260F1">
        <w:rPr>
          <w:sz w:val="22"/>
          <w:szCs w:val="22"/>
        </w:rPr>
        <w:t xml:space="preserve">Using the scale below, circle the number beside each statement that indicates the extent to which you agree or disagree.  </w:t>
      </w:r>
    </w:p>
    <w:p w14:paraId="69E91A6E" w14:textId="77777777" w:rsidR="007E0ABC" w:rsidRDefault="007E0ABC" w:rsidP="003367DC">
      <w:pPr>
        <w:rPr>
          <w:sz w:val="22"/>
          <w:szCs w:val="22"/>
        </w:rPr>
      </w:pPr>
      <w:r w:rsidRPr="00C260F1">
        <w:rPr>
          <w:sz w:val="22"/>
          <w:szCs w:val="22"/>
        </w:rPr>
        <w:t>Think of people close to you – friends or family in responding to each statement.</w:t>
      </w:r>
    </w:p>
    <w:p w14:paraId="2EA7EA58" w14:textId="77777777" w:rsidR="007E0ABC" w:rsidRPr="00C260F1" w:rsidRDefault="007E0ABC" w:rsidP="003367DC">
      <w:pPr>
        <w:rPr>
          <w:sz w:val="22"/>
          <w:szCs w:val="22"/>
        </w:rPr>
      </w:pPr>
    </w:p>
    <w:tbl>
      <w:tblPr>
        <w:tblStyle w:val="TableGrid"/>
        <w:tblW w:w="0" w:type="auto"/>
        <w:tblInd w:w="108" w:type="dxa"/>
        <w:tblLook w:val="04A0" w:firstRow="1" w:lastRow="0" w:firstColumn="1" w:lastColumn="0" w:noHBand="0" w:noVBand="1"/>
      </w:tblPr>
      <w:tblGrid>
        <w:gridCol w:w="407"/>
        <w:gridCol w:w="2751"/>
        <w:gridCol w:w="1154"/>
        <w:gridCol w:w="1154"/>
        <w:gridCol w:w="1151"/>
        <w:gridCol w:w="1136"/>
        <w:gridCol w:w="1149"/>
      </w:tblGrid>
      <w:tr w:rsidR="007E0ABC" w:rsidRPr="00C260F1" w14:paraId="16209255" w14:textId="77777777" w:rsidTr="009B41E1">
        <w:tc>
          <w:tcPr>
            <w:tcW w:w="407" w:type="dxa"/>
          </w:tcPr>
          <w:p w14:paraId="7AD5F986" w14:textId="77777777" w:rsidR="007E0ABC" w:rsidRPr="00C260F1" w:rsidRDefault="007E0ABC" w:rsidP="009B41E1">
            <w:pPr>
              <w:pStyle w:val="ListParagraph"/>
              <w:ind w:left="0"/>
              <w:rPr>
                <w:b/>
                <w:sz w:val="22"/>
                <w:szCs w:val="22"/>
              </w:rPr>
            </w:pPr>
          </w:p>
        </w:tc>
        <w:tc>
          <w:tcPr>
            <w:tcW w:w="2942" w:type="dxa"/>
          </w:tcPr>
          <w:p w14:paraId="7DD2756C" w14:textId="77777777" w:rsidR="007E0ABC" w:rsidRPr="00C260F1" w:rsidRDefault="007E0ABC" w:rsidP="009B41E1">
            <w:pPr>
              <w:pStyle w:val="ListParagraph"/>
              <w:ind w:left="0"/>
              <w:rPr>
                <w:b/>
                <w:sz w:val="22"/>
                <w:szCs w:val="22"/>
              </w:rPr>
            </w:pPr>
          </w:p>
        </w:tc>
        <w:tc>
          <w:tcPr>
            <w:tcW w:w="1157" w:type="dxa"/>
          </w:tcPr>
          <w:p w14:paraId="0DEFB83C" w14:textId="77777777" w:rsidR="007E0ABC" w:rsidRPr="00C260F1" w:rsidRDefault="007E0ABC" w:rsidP="009B41E1">
            <w:pPr>
              <w:pStyle w:val="ListParagraph"/>
              <w:ind w:left="0"/>
              <w:rPr>
                <w:rFonts w:ascii="Avenir Heavy" w:hAnsi="Avenir Heavy"/>
                <w:b/>
                <w:bCs/>
                <w:sz w:val="22"/>
                <w:szCs w:val="22"/>
              </w:rPr>
            </w:pPr>
            <w:r w:rsidRPr="00C260F1">
              <w:rPr>
                <w:rFonts w:ascii="Avenir Heavy" w:hAnsi="Avenir Heavy"/>
                <w:b/>
                <w:bCs/>
                <w:sz w:val="22"/>
                <w:szCs w:val="22"/>
              </w:rPr>
              <w:t>Strongly Disagree</w:t>
            </w:r>
          </w:p>
        </w:tc>
        <w:tc>
          <w:tcPr>
            <w:tcW w:w="1157" w:type="dxa"/>
          </w:tcPr>
          <w:p w14:paraId="407B7CFC" w14:textId="77777777" w:rsidR="007E0ABC" w:rsidRPr="00C260F1" w:rsidRDefault="007E0ABC" w:rsidP="009B41E1">
            <w:pPr>
              <w:pStyle w:val="ListParagraph"/>
              <w:ind w:left="0"/>
              <w:rPr>
                <w:rFonts w:ascii="Avenir Heavy" w:hAnsi="Avenir Heavy"/>
                <w:b/>
                <w:bCs/>
                <w:sz w:val="22"/>
                <w:szCs w:val="22"/>
              </w:rPr>
            </w:pPr>
            <w:r w:rsidRPr="00C260F1">
              <w:rPr>
                <w:rFonts w:ascii="Avenir Heavy" w:hAnsi="Avenir Heavy"/>
                <w:b/>
                <w:bCs/>
                <w:sz w:val="22"/>
                <w:szCs w:val="22"/>
              </w:rPr>
              <w:t>Slightly Disagree</w:t>
            </w:r>
          </w:p>
        </w:tc>
        <w:tc>
          <w:tcPr>
            <w:tcW w:w="1157" w:type="dxa"/>
          </w:tcPr>
          <w:p w14:paraId="5C76A94F" w14:textId="77777777" w:rsidR="007E0ABC" w:rsidRPr="00C260F1" w:rsidRDefault="007E0ABC" w:rsidP="009B41E1">
            <w:pPr>
              <w:pStyle w:val="ListParagraph"/>
              <w:ind w:left="0"/>
              <w:rPr>
                <w:rFonts w:ascii="Avenir Heavy" w:hAnsi="Avenir Heavy"/>
                <w:b/>
                <w:bCs/>
                <w:sz w:val="22"/>
                <w:szCs w:val="22"/>
              </w:rPr>
            </w:pPr>
            <w:r w:rsidRPr="00C260F1">
              <w:rPr>
                <w:rFonts w:ascii="Avenir Heavy" w:hAnsi="Avenir Heavy"/>
                <w:b/>
                <w:bCs/>
                <w:sz w:val="22"/>
                <w:szCs w:val="22"/>
              </w:rPr>
              <w:t>Neither agree nor disagree</w:t>
            </w:r>
          </w:p>
        </w:tc>
        <w:tc>
          <w:tcPr>
            <w:tcW w:w="1157" w:type="dxa"/>
          </w:tcPr>
          <w:p w14:paraId="4F4A2CC4" w14:textId="77777777" w:rsidR="007E0ABC" w:rsidRPr="00C260F1" w:rsidRDefault="007E0ABC" w:rsidP="009B41E1">
            <w:pPr>
              <w:pStyle w:val="ListParagraph"/>
              <w:ind w:left="0"/>
              <w:rPr>
                <w:rFonts w:ascii="Avenir Heavy" w:hAnsi="Avenir Heavy"/>
                <w:b/>
                <w:bCs/>
                <w:sz w:val="22"/>
                <w:szCs w:val="22"/>
              </w:rPr>
            </w:pPr>
            <w:r w:rsidRPr="00C260F1">
              <w:rPr>
                <w:rFonts w:ascii="Avenir Heavy" w:hAnsi="Avenir Heavy"/>
                <w:b/>
                <w:bCs/>
                <w:sz w:val="22"/>
                <w:szCs w:val="22"/>
              </w:rPr>
              <w:t>Slightly Agree</w:t>
            </w:r>
          </w:p>
        </w:tc>
        <w:tc>
          <w:tcPr>
            <w:tcW w:w="1157" w:type="dxa"/>
          </w:tcPr>
          <w:p w14:paraId="6BA438B6" w14:textId="77777777" w:rsidR="007E0ABC" w:rsidRPr="00C260F1" w:rsidRDefault="007E0ABC" w:rsidP="009B41E1">
            <w:pPr>
              <w:pStyle w:val="ListParagraph"/>
              <w:ind w:left="0"/>
              <w:rPr>
                <w:rFonts w:ascii="Avenir Heavy" w:hAnsi="Avenir Heavy"/>
                <w:b/>
                <w:bCs/>
                <w:sz w:val="22"/>
                <w:szCs w:val="22"/>
              </w:rPr>
            </w:pPr>
            <w:r w:rsidRPr="00C260F1">
              <w:rPr>
                <w:rFonts w:ascii="Avenir Heavy" w:hAnsi="Avenir Heavy"/>
                <w:b/>
                <w:bCs/>
                <w:sz w:val="22"/>
                <w:szCs w:val="22"/>
              </w:rPr>
              <w:t>Strongly Agree</w:t>
            </w:r>
          </w:p>
        </w:tc>
      </w:tr>
      <w:tr w:rsidR="007E0ABC" w:rsidRPr="00C260F1" w14:paraId="222F82FB" w14:textId="77777777" w:rsidTr="009B41E1">
        <w:tc>
          <w:tcPr>
            <w:tcW w:w="407" w:type="dxa"/>
          </w:tcPr>
          <w:p w14:paraId="7A9A963A" w14:textId="77777777" w:rsidR="007E0ABC" w:rsidRPr="00C260F1" w:rsidRDefault="007E0ABC" w:rsidP="009B41E1">
            <w:pPr>
              <w:pStyle w:val="ListParagraph"/>
              <w:ind w:left="0"/>
              <w:rPr>
                <w:b/>
                <w:sz w:val="22"/>
                <w:szCs w:val="22"/>
              </w:rPr>
            </w:pPr>
            <w:r w:rsidRPr="00C260F1">
              <w:rPr>
                <w:b/>
                <w:sz w:val="22"/>
                <w:szCs w:val="22"/>
              </w:rPr>
              <w:t>1.</w:t>
            </w:r>
          </w:p>
        </w:tc>
        <w:tc>
          <w:tcPr>
            <w:tcW w:w="2942" w:type="dxa"/>
          </w:tcPr>
          <w:p w14:paraId="178216A0" w14:textId="77777777" w:rsidR="007E0ABC" w:rsidRPr="00C260F1" w:rsidRDefault="007E0ABC" w:rsidP="009B41E1">
            <w:pPr>
              <w:pStyle w:val="ListParagraph"/>
              <w:ind w:left="0"/>
              <w:rPr>
                <w:sz w:val="22"/>
                <w:szCs w:val="22"/>
              </w:rPr>
            </w:pPr>
            <w:r w:rsidRPr="00C260F1">
              <w:rPr>
                <w:sz w:val="22"/>
                <w:szCs w:val="22"/>
              </w:rPr>
              <w:t>I always place the needs of others above my own</w:t>
            </w:r>
          </w:p>
        </w:tc>
        <w:tc>
          <w:tcPr>
            <w:tcW w:w="1157" w:type="dxa"/>
          </w:tcPr>
          <w:p w14:paraId="74AAACCC" w14:textId="77777777" w:rsidR="007E0ABC" w:rsidRPr="00C260F1" w:rsidRDefault="007E0ABC" w:rsidP="00D170E8">
            <w:pPr>
              <w:pStyle w:val="ListParagraph"/>
              <w:ind w:left="0"/>
              <w:jc w:val="center"/>
              <w:rPr>
                <w:b/>
                <w:sz w:val="22"/>
                <w:szCs w:val="22"/>
              </w:rPr>
            </w:pPr>
          </w:p>
          <w:p w14:paraId="52B4028C" w14:textId="77777777" w:rsidR="007E0ABC" w:rsidRPr="00C260F1" w:rsidRDefault="007E0ABC" w:rsidP="00D170E8">
            <w:pPr>
              <w:pStyle w:val="ListParagraph"/>
              <w:ind w:left="0"/>
              <w:jc w:val="center"/>
              <w:rPr>
                <w:b/>
                <w:sz w:val="22"/>
                <w:szCs w:val="22"/>
              </w:rPr>
            </w:pPr>
            <w:r w:rsidRPr="00C260F1">
              <w:rPr>
                <w:b/>
                <w:sz w:val="22"/>
                <w:szCs w:val="22"/>
              </w:rPr>
              <w:t>1</w:t>
            </w:r>
          </w:p>
          <w:p w14:paraId="5ED29930" w14:textId="77777777" w:rsidR="007E0ABC" w:rsidRPr="00C260F1" w:rsidRDefault="007E0ABC" w:rsidP="00D170E8">
            <w:pPr>
              <w:pStyle w:val="ListParagraph"/>
              <w:ind w:left="0"/>
              <w:jc w:val="center"/>
              <w:rPr>
                <w:b/>
                <w:sz w:val="22"/>
                <w:szCs w:val="22"/>
              </w:rPr>
            </w:pPr>
          </w:p>
        </w:tc>
        <w:tc>
          <w:tcPr>
            <w:tcW w:w="1157" w:type="dxa"/>
          </w:tcPr>
          <w:p w14:paraId="504BA898" w14:textId="77777777" w:rsidR="007E0ABC" w:rsidRPr="00C260F1" w:rsidRDefault="007E0ABC" w:rsidP="00D170E8">
            <w:pPr>
              <w:pStyle w:val="ListParagraph"/>
              <w:ind w:left="0"/>
              <w:jc w:val="center"/>
              <w:rPr>
                <w:b/>
                <w:sz w:val="22"/>
                <w:szCs w:val="22"/>
              </w:rPr>
            </w:pPr>
          </w:p>
          <w:p w14:paraId="018FA71D"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7F0AB97B" w14:textId="77777777" w:rsidR="007E0ABC" w:rsidRPr="00C260F1" w:rsidRDefault="007E0ABC" w:rsidP="00D170E8">
            <w:pPr>
              <w:pStyle w:val="ListParagraph"/>
              <w:ind w:left="0"/>
              <w:jc w:val="center"/>
              <w:rPr>
                <w:b/>
                <w:sz w:val="22"/>
                <w:szCs w:val="22"/>
              </w:rPr>
            </w:pPr>
          </w:p>
          <w:p w14:paraId="597A9B7E"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4FAC273C" w14:textId="77777777" w:rsidR="007E0ABC" w:rsidRPr="00C260F1" w:rsidRDefault="007E0ABC" w:rsidP="00D170E8">
            <w:pPr>
              <w:pStyle w:val="ListParagraph"/>
              <w:ind w:left="0"/>
              <w:jc w:val="center"/>
              <w:rPr>
                <w:b/>
                <w:sz w:val="22"/>
                <w:szCs w:val="22"/>
              </w:rPr>
            </w:pPr>
          </w:p>
          <w:p w14:paraId="1A6A094F"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70F3CD60" w14:textId="77777777" w:rsidR="007E0ABC" w:rsidRPr="00C260F1" w:rsidRDefault="007E0ABC" w:rsidP="00D170E8">
            <w:pPr>
              <w:pStyle w:val="ListParagraph"/>
              <w:ind w:left="0"/>
              <w:jc w:val="center"/>
              <w:rPr>
                <w:b/>
                <w:sz w:val="22"/>
                <w:szCs w:val="22"/>
              </w:rPr>
            </w:pPr>
          </w:p>
          <w:p w14:paraId="541AC61F" w14:textId="77777777" w:rsidR="007E0ABC" w:rsidRPr="00C260F1" w:rsidRDefault="007E0ABC" w:rsidP="00D170E8">
            <w:pPr>
              <w:pStyle w:val="ListParagraph"/>
              <w:ind w:left="0"/>
              <w:jc w:val="center"/>
              <w:rPr>
                <w:b/>
                <w:sz w:val="22"/>
                <w:szCs w:val="22"/>
              </w:rPr>
            </w:pPr>
            <w:r w:rsidRPr="00C260F1">
              <w:rPr>
                <w:b/>
                <w:sz w:val="22"/>
                <w:szCs w:val="22"/>
              </w:rPr>
              <w:t>5</w:t>
            </w:r>
          </w:p>
        </w:tc>
      </w:tr>
      <w:tr w:rsidR="007E0ABC" w:rsidRPr="00C260F1" w14:paraId="25C562D8" w14:textId="77777777" w:rsidTr="009B41E1">
        <w:tc>
          <w:tcPr>
            <w:tcW w:w="407" w:type="dxa"/>
          </w:tcPr>
          <w:p w14:paraId="13C0AA5B" w14:textId="77777777" w:rsidR="007E0ABC" w:rsidRPr="00C260F1" w:rsidRDefault="007E0ABC" w:rsidP="009B41E1">
            <w:pPr>
              <w:pStyle w:val="ListParagraph"/>
              <w:ind w:left="0"/>
              <w:rPr>
                <w:b/>
                <w:sz w:val="22"/>
                <w:szCs w:val="22"/>
              </w:rPr>
            </w:pPr>
            <w:r w:rsidRPr="00C260F1">
              <w:rPr>
                <w:b/>
                <w:sz w:val="22"/>
                <w:szCs w:val="22"/>
              </w:rPr>
              <w:t>2.</w:t>
            </w:r>
          </w:p>
        </w:tc>
        <w:tc>
          <w:tcPr>
            <w:tcW w:w="2942" w:type="dxa"/>
          </w:tcPr>
          <w:p w14:paraId="6154305C" w14:textId="77777777" w:rsidR="007E0ABC" w:rsidRPr="00C260F1" w:rsidRDefault="007E0ABC" w:rsidP="009B41E1">
            <w:pPr>
              <w:pStyle w:val="ListParagraph"/>
              <w:ind w:left="0"/>
              <w:rPr>
                <w:sz w:val="22"/>
                <w:szCs w:val="22"/>
              </w:rPr>
            </w:pPr>
            <w:r w:rsidRPr="00C260F1">
              <w:rPr>
                <w:sz w:val="22"/>
                <w:szCs w:val="22"/>
              </w:rPr>
              <w:t>I never find myself getting overly involved in others problems *</w:t>
            </w:r>
          </w:p>
        </w:tc>
        <w:tc>
          <w:tcPr>
            <w:tcW w:w="1157" w:type="dxa"/>
          </w:tcPr>
          <w:p w14:paraId="75D02850" w14:textId="77777777" w:rsidR="007E0ABC" w:rsidRPr="00C260F1" w:rsidRDefault="007E0ABC" w:rsidP="00D170E8">
            <w:pPr>
              <w:pStyle w:val="ListParagraph"/>
              <w:ind w:left="0"/>
              <w:jc w:val="center"/>
              <w:rPr>
                <w:b/>
                <w:sz w:val="22"/>
                <w:szCs w:val="22"/>
              </w:rPr>
            </w:pPr>
          </w:p>
          <w:p w14:paraId="4DA77EAC" w14:textId="77777777" w:rsidR="007E0ABC" w:rsidRPr="00C260F1" w:rsidRDefault="007E0ABC" w:rsidP="00D170E8">
            <w:pPr>
              <w:pStyle w:val="ListParagraph"/>
              <w:ind w:left="0"/>
              <w:jc w:val="center"/>
              <w:rPr>
                <w:b/>
                <w:sz w:val="22"/>
                <w:szCs w:val="22"/>
              </w:rPr>
            </w:pPr>
            <w:r w:rsidRPr="00C260F1">
              <w:rPr>
                <w:b/>
                <w:sz w:val="22"/>
                <w:szCs w:val="22"/>
              </w:rPr>
              <w:t>1</w:t>
            </w:r>
          </w:p>
        </w:tc>
        <w:tc>
          <w:tcPr>
            <w:tcW w:w="1157" w:type="dxa"/>
          </w:tcPr>
          <w:p w14:paraId="2DB35ED5" w14:textId="77777777" w:rsidR="007E0ABC" w:rsidRPr="00C260F1" w:rsidRDefault="007E0ABC" w:rsidP="00D170E8">
            <w:pPr>
              <w:pStyle w:val="ListParagraph"/>
              <w:ind w:left="0"/>
              <w:jc w:val="center"/>
              <w:rPr>
                <w:b/>
                <w:sz w:val="22"/>
                <w:szCs w:val="22"/>
              </w:rPr>
            </w:pPr>
          </w:p>
          <w:p w14:paraId="5549DCC1"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0DA6CDFB" w14:textId="77777777" w:rsidR="007E0ABC" w:rsidRPr="00C260F1" w:rsidRDefault="007E0ABC" w:rsidP="00D170E8">
            <w:pPr>
              <w:pStyle w:val="ListParagraph"/>
              <w:ind w:left="0"/>
              <w:jc w:val="center"/>
              <w:rPr>
                <w:b/>
                <w:sz w:val="22"/>
                <w:szCs w:val="22"/>
              </w:rPr>
            </w:pPr>
          </w:p>
          <w:p w14:paraId="5338BEF2"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43021C8F" w14:textId="77777777" w:rsidR="007E0ABC" w:rsidRPr="00C260F1" w:rsidRDefault="007E0ABC" w:rsidP="00D170E8">
            <w:pPr>
              <w:pStyle w:val="ListParagraph"/>
              <w:ind w:left="0"/>
              <w:jc w:val="center"/>
              <w:rPr>
                <w:b/>
                <w:sz w:val="22"/>
                <w:szCs w:val="22"/>
              </w:rPr>
            </w:pPr>
          </w:p>
          <w:p w14:paraId="430E8133"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1E7F66E8" w14:textId="77777777" w:rsidR="007E0ABC" w:rsidRPr="00C260F1" w:rsidRDefault="007E0ABC" w:rsidP="00D170E8">
            <w:pPr>
              <w:pStyle w:val="ListParagraph"/>
              <w:ind w:left="0"/>
              <w:jc w:val="center"/>
              <w:rPr>
                <w:b/>
                <w:sz w:val="22"/>
                <w:szCs w:val="22"/>
              </w:rPr>
            </w:pPr>
          </w:p>
          <w:p w14:paraId="189BA2E8" w14:textId="77777777" w:rsidR="007E0ABC" w:rsidRPr="00C260F1" w:rsidRDefault="007E0ABC" w:rsidP="00D170E8">
            <w:pPr>
              <w:pStyle w:val="ListParagraph"/>
              <w:ind w:left="0"/>
              <w:jc w:val="center"/>
              <w:rPr>
                <w:b/>
                <w:sz w:val="22"/>
                <w:szCs w:val="22"/>
              </w:rPr>
            </w:pPr>
            <w:r w:rsidRPr="00C260F1">
              <w:rPr>
                <w:b/>
                <w:sz w:val="22"/>
                <w:szCs w:val="22"/>
              </w:rPr>
              <w:t>5</w:t>
            </w:r>
          </w:p>
        </w:tc>
      </w:tr>
      <w:tr w:rsidR="007E0ABC" w:rsidRPr="00C260F1" w14:paraId="7A532E10" w14:textId="77777777" w:rsidTr="009B41E1">
        <w:tc>
          <w:tcPr>
            <w:tcW w:w="407" w:type="dxa"/>
          </w:tcPr>
          <w:p w14:paraId="206DB3AA" w14:textId="77777777" w:rsidR="007E0ABC" w:rsidRPr="00C260F1" w:rsidRDefault="007E0ABC" w:rsidP="009B41E1">
            <w:pPr>
              <w:pStyle w:val="ListParagraph"/>
              <w:ind w:left="0"/>
              <w:rPr>
                <w:b/>
                <w:sz w:val="22"/>
                <w:szCs w:val="22"/>
              </w:rPr>
            </w:pPr>
            <w:r w:rsidRPr="00C260F1">
              <w:rPr>
                <w:b/>
                <w:sz w:val="22"/>
                <w:szCs w:val="22"/>
              </w:rPr>
              <w:t>3.</w:t>
            </w:r>
          </w:p>
        </w:tc>
        <w:tc>
          <w:tcPr>
            <w:tcW w:w="2942" w:type="dxa"/>
          </w:tcPr>
          <w:p w14:paraId="2B924744" w14:textId="77777777" w:rsidR="007E0ABC" w:rsidRPr="00C260F1" w:rsidRDefault="007E0ABC" w:rsidP="009B41E1">
            <w:pPr>
              <w:pStyle w:val="ListParagraph"/>
              <w:ind w:left="0"/>
              <w:rPr>
                <w:sz w:val="22"/>
                <w:szCs w:val="22"/>
              </w:rPr>
            </w:pPr>
            <w:r w:rsidRPr="00C260F1">
              <w:rPr>
                <w:sz w:val="22"/>
                <w:szCs w:val="22"/>
              </w:rPr>
              <w:t>For me to be happy, I need others to be happy</w:t>
            </w:r>
          </w:p>
        </w:tc>
        <w:tc>
          <w:tcPr>
            <w:tcW w:w="1157" w:type="dxa"/>
          </w:tcPr>
          <w:p w14:paraId="25C4D29F" w14:textId="77777777" w:rsidR="007E0ABC" w:rsidRPr="00C260F1" w:rsidRDefault="007E0ABC" w:rsidP="00D170E8">
            <w:pPr>
              <w:pStyle w:val="ListParagraph"/>
              <w:ind w:left="0"/>
              <w:jc w:val="center"/>
              <w:rPr>
                <w:b/>
                <w:sz w:val="22"/>
                <w:szCs w:val="22"/>
              </w:rPr>
            </w:pPr>
          </w:p>
          <w:p w14:paraId="0AD0EC37" w14:textId="77777777" w:rsidR="007E0ABC" w:rsidRPr="00C260F1" w:rsidRDefault="007E0ABC" w:rsidP="00D170E8">
            <w:pPr>
              <w:pStyle w:val="ListParagraph"/>
              <w:ind w:left="0"/>
              <w:jc w:val="center"/>
              <w:rPr>
                <w:b/>
                <w:sz w:val="22"/>
                <w:szCs w:val="22"/>
              </w:rPr>
            </w:pPr>
            <w:r w:rsidRPr="00C260F1">
              <w:rPr>
                <w:b/>
                <w:sz w:val="22"/>
                <w:szCs w:val="22"/>
              </w:rPr>
              <w:t>1</w:t>
            </w:r>
          </w:p>
          <w:p w14:paraId="0C02B447" w14:textId="77777777" w:rsidR="007E0ABC" w:rsidRPr="00C260F1" w:rsidRDefault="007E0ABC" w:rsidP="00D170E8">
            <w:pPr>
              <w:pStyle w:val="ListParagraph"/>
              <w:ind w:left="0"/>
              <w:jc w:val="center"/>
              <w:rPr>
                <w:b/>
                <w:sz w:val="22"/>
                <w:szCs w:val="22"/>
              </w:rPr>
            </w:pPr>
          </w:p>
        </w:tc>
        <w:tc>
          <w:tcPr>
            <w:tcW w:w="1157" w:type="dxa"/>
          </w:tcPr>
          <w:p w14:paraId="5ECAC768" w14:textId="77777777" w:rsidR="007E0ABC" w:rsidRPr="00C260F1" w:rsidRDefault="007E0ABC" w:rsidP="00D170E8">
            <w:pPr>
              <w:pStyle w:val="ListParagraph"/>
              <w:ind w:left="0"/>
              <w:jc w:val="center"/>
              <w:rPr>
                <w:b/>
                <w:sz w:val="22"/>
                <w:szCs w:val="22"/>
              </w:rPr>
            </w:pPr>
          </w:p>
          <w:p w14:paraId="2450C2CA"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494D8956" w14:textId="77777777" w:rsidR="007E0ABC" w:rsidRPr="00C260F1" w:rsidRDefault="007E0ABC" w:rsidP="00D170E8">
            <w:pPr>
              <w:pStyle w:val="ListParagraph"/>
              <w:ind w:left="0"/>
              <w:jc w:val="center"/>
              <w:rPr>
                <w:b/>
                <w:sz w:val="22"/>
                <w:szCs w:val="22"/>
              </w:rPr>
            </w:pPr>
          </w:p>
          <w:p w14:paraId="3E9A8CCC"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4A183ECF" w14:textId="77777777" w:rsidR="007E0ABC" w:rsidRPr="00C260F1" w:rsidRDefault="007E0ABC" w:rsidP="00D170E8">
            <w:pPr>
              <w:pStyle w:val="ListParagraph"/>
              <w:ind w:left="0"/>
              <w:jc w:val="center"/>
              <w:rPr>
                <w:b/>
                <w:sz w:val="22"/>
                <w:szCs w:val="22"/>
              </w:rPr>
            </w:pPr>
          </w:p>
          <w:p w14:paraId="1F2E56BB"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4FC1FB01" w14:textId="77777777" w:rsidR="007E0ABC" w:rsidRPr="00C260F1" w:rsidRDefault="007E0ABC" w:rsidP="00D170E8">
            <w:pPr>
              <w:pStyle w:val="ListParagraph"/>
              <w:ind w:left="0"/>
              <w:jc w:val="center"/>
              <w:rPr>
                <w:b/>
                <w:sz w:val="22"/>
                <w:szCs w:val="22"/>
              </w:rPr>
            </w:pPr>
          </w:p>
          <w:p w14:paraId="5FC7429B" w14:textId="77777777" w:rsidR="007E0ABC" w:rsidRPr="00C260F1" w:rsidRDefault="007E0ABC" w:rsidP="00D170E8">
            <w:pPr>
              <w:pStyle w:val="ListParagraph"/>
              <w:ind w:left="0"/>
              <w:jc w:val="center"/>
              <w:rPr>
                <w:b/>
                <w:sz w:val="22"/>
                <w:szCs w:val="22"/>
              </w:rPr>
            </w:pPr>
            <w:r w:rsidRPr="00C260F1">
              <w:rPr>
                <w:b/>
                <w:sz w:val="22"/>
                <w:szCs w:val="22"/>
              </w:rPr>
              <w:t>5</w:t>
            </w:r>
          </w:p>
        </w:tc>
      </w:tr>
      <w:tr w:rsidR="007E0ABC" w:rsidRPr="00C260F1" w14:paraId="0025234C" w14:textId="77777777" w:rsidTr="009B41E1">
        <w:tc>
          <w:tcPr>
            <w:tcW w:w="407" w:type="dxa"/>
          </w:tcPr>
          <w:p w14:paraId="641B2262" w14:textId="77777777" w:rsidR="007E0ABC" w:rsidRPr="00C260F1" w:rsidRDefault="007E0ABC" w:rsidP="009B41E1">
            <w:pPr>
              <w:pStyle w:val="ListParagraph"/>
              <w:ind w:left="0"/>
              <w:rPr>
                <w:b/>
                <w:sz w:val="22"/>
                <w:szCs w:val="22"/>
              </w:rPr>
            </w:pPr>
            <w:r w:rsidRPr="00C260F1">
              <w:rPr>
                <w:b/>
                <w:sz w:val="22"/>
                <w:szCs w:val="22"/>
              </w:rPr>
              <w:t>4.</w:t>
            </w:r>
          </w:p>
        </w:tc>
        <w:tc>
          <w:tcPr>
            <w:tcW w:w="2942" w:type="dxa"/>
          </w:tcPr>
          <w:p w14:paraId="0002EC23" w14:textId="77777777" w:rsidR="007E0ABC" w:rsidRPr="00C260F1" w:rsidRDefault="007E0ABC" w:rsidP="009B41E1">
            <w:pPr>
              <w:pStyle w:val="ListParagraph"/>
              <w:ind w:left="0"/>
              <w:rPr>
                <w:sz w:val="22"/>
                <w:szCs w:val="22"/>
              </w:rPr>
            </w:pPr>
            <w:r w:rsidRPr="00C260F1">
              <w:rPr>
                <w:sz w:val="22"/>
                <w:szCs w:val="22"/>
              </w:rPr>
              <w:t>I worry about how other people get along without me when I am not there</w:t>
            </w:r>
          </w:p>
        </w:tc>
        <w:tc>
          <w:tcPr>
            <w:tcW w:w="1157" w:type="dxa"/>
          </w:tcPr>
          <w:p w14:paraId="0B29A8B9" w14:textId="77777777" w:rsidR="007E0ABC" w:rsidRPr="00C260F1" w:rsidRDefault="007E0ABC" w:rsidP="00D170E8">
            <w:pPr>
              <w:pStyle w:val="ListParagraph"/>
              <w:ind w:left="0"/>
              <w:jc w:val="center"/>
              <w:rPr>
                <w:b/>
                <w:sz w:val="22"/>
                <w:szCs w:val="22"/>
              </w:rPr>
            </w:pPr>
          </w:p>
          <w:p w14:paraId="583A88EA" w14:textId="77777777" w:rsidR="007E0ABC" w:rsidRPr="00C260F1" w:rsidRDefault="007E0ABC" w:rsidP="00D170E8">
            <w:pPr>
              <w:pStyle w:val="ListParagraph"/>
              <w:ind w:left="0"/>
              <w:jc w:val="center"/>
              <w:rPr>
                <w:b/>
                <w:sz w:val="22"/>
                <w:szCs w:val="22"/>
              </w:rPr>
            </w:pPr>
            <w:r w:rsidRPr="00C260F1">
              <w:rPr>
                <w:b/>
                <w:sz w:val="22"/>
                <w:szCs w:val="22"/>
              </w:rPr>
              <w:t>1</w:t>
            </w:r>
          </w:p>
        </w:tc>
        <w:tc>
          <w:tcPr>
            <w:tcW w:w="1157" w:type="dxa"/>
          </w:tcPr>
          <w:p w14:paraId="58A35A29" w14:textId="77777777" w:rsidR="007E0ABC" w:rsidRPr="00C260F1" w:rsidRDefault="007E0ABC" w:rsidP="00D170E8">
            <w:pPr>
              <w:pStyle w:val="ListParagraph"/>
              <w:ind w:left="0"/>
              <w:jc w:val="center"/>
              <w:rPr>
                <w:b/>
                <w:sz w:val="22"/>
                <w:szCs w:val="22"/>
              </w:rPr>
            </w:pPr>
          </w:p>
          <w:p w14:paraId="0DC6BFDF"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1CBB93D9" w14:textId="77777777" w:rsidR="007E0ABC" w:rsidRPr="00C260F1" w:rsidRDefault="007E0ABC" w:rsidP="00D170E8">
            <w:pPr>
              <w:pStyle w:val="ListParagraph"/>
              <w:ind w:left="0"/>
              <w:jc w:val="center"/>
              <w:rPr>
                <w:b/>
                <w:sz w:val="22"/>
                <w:szCs w:val="22"/>
              </w:rPr>
            </w:pPr>
          </w:p>
          <w:p w14:paraId="6323AA65"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6A4CD83B" w14:textId="77777777" w:rsidR="007E0ABC" w:rsidRPr="00C260F1" w:rsidRDefault="007E0ABC" w:rsidP="00D170E8">
            <w:pPr>
              <w:pStyle w:val="ListParagraph"/>
              <w:ind w:left="0"/>
              <w:jc w:val="center"/>
              <w:rPr>
                <w:b/>
                <w:sz w:val="22"/>
                <w:szCs w:val="22"/>
              </w:rPr>
            </w:pPr>
          </w:p>
          <w:p w14:paraId="21102CB9"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04906E28" w14:textId="77777777" w:rsidR="007E0ABC" w:rsidRPr="00C260F1" w:rsidRDefault="007E0ABC" w:rsidP="00D170E8">
            <w:pPr>
              <w:pStyle w:val="ListParagraph"/>
              <w:ind w:left="0"/>
              <w:jc w:val="center"/>
              <w:rPr>
                <w:b/>
                <w:sz w:val="22"/>
                <w:szCs w:val="22"/>
              </w:rPr>
            </w:pPr>
          </w:p>
          <w:p w14:paraId="33DEA9CE" w14:textId="77777777" w:rsidR="007E0ABC" w:rsidRPr="00C260F1" w:rsidRDefault="007E0ABC" w:rsidP="00D170E8">
            <w:pPr>
              <w:pStyle w:val="ListParagraph"/>
              <w:ind w:left="0"/>
              <w:jc w:val="center"/>
              <w:rPr>
                <w:b/>
                <w:sz w:val="22"/>
                <w:szCs w:val="22"/>
              </w:rPr>
            </w:pPr>
            <w:r w:rsidRPr="00C260F1">
              <w:rPr>
                <w:b/>
                <w:sz w:val="22"/>
                <w:szCs w:val="22"/>
              </w:rPr>
              <w:t>5</w:t>
            </w:r>
          </w:p>
        </w:tc>
      </w:tr>
      <w:tr w:rsidR="007E0ABC" w:rsidRPr="00C260F1" w14:paraId="0E158559" w14:textId="77777777" w:rsidTr="009B41E1">
        <w:tc>
          <w:tcPr>
            <w:tcW w:w="407" w:type="dxa"/>
          </w:tcPr>
          <w:p w14:paraId="2BC7DDD2" w14:textId="77777777" w:rsidR="007E0ABC" w:rsidRPr="00C260F1" w:rsidRDefault="007E0ABC" w:rsidP="009B41E1">
            <w:pPr>
              <w:pStyle w:val="ListParagraph"/>
              <w:ind w:left="0"/>
              <w:rPr>
                <w:b/>
                <w:sz w:val="22"/>
                <w:szCs w:val="22"/>
              </w:rPr>
            </w:pPr>
            <w:r w:rsidRPr="00C260F1">
              <w:rPr>
                <w:b/>
                <w:sz w:val="22"/>
                <w:szCs w:val="22"/>
              </w:rPr>
              <w:t>5.</w:t>
            </w:r>
          </w:p>
        </w:tc>
        <w:tc>
          <w:tcPr>
            <w:tcW w:w="2942" w:type="dxa"/>
          </w:tcPr>
          <w:p w14:paraId="2D959882" w14:textId="77777777" w:rsidR="007E0ABC" w:rsidRPr="00C260F1" w:rsidRDefault="007E0ABC" w:rsidP="009B41E1">
            <w:pPr>
              <w:pStyle w:val="ListParagraph"/>
              <w:ind w:left="0"/>
              <w:rPr>
                <w:sz w:val="22"/>
                <w:szCs w:val="22"/>
              </w:rPr>
            </w:pPr>
            <w:r w:rsidRPr="00C260F1">
              <w:rPr>
                <w:sz w:val="22"/>
                <w:szCs w:val="22"/>
              </w:rPr>
              <w:t>I have no trouble getting to sleep at night when other people are upset *</w:t>
            </w:r>
          </w:p>
        </w:tc>
        <w:tc>
          <w:tcPr>
            <w:tcW w:w="1157" w:type="dxa"/>
          </w:tcPr>
          <w:p w14:paraId="5F088592" w14:textId="77777777" w:rsidR="007E0ABC" w:rsidRPr="00C260F1" w:rsidRDefault="007E0ABC" w:rsidP="00D170E8">
            <w:pPr>
              <w:pStyle w:val="ListParagraph"/>
              <w:ind w:left="0"/>
              <w:jc w:val="center"/>
              <w:rPr>
                <w:b/>
                <w:sz w:val="22"/>
                <w:szCs w:val="22"/>
              </w:rPr>
            </w:pPr>
          </w:p>
          <w:p w14:paraId="64F923C7" w14:textId="77777777" w:rsidR="007E0ABC" w:rsidRPr="00C260F1" w:rsidRDefault="007E0ABC" w:rsidP="00D170E8">
            <w:pPr>
              <w:pStyle w:val="ListParagraph"/>
              <w:ind w:left="0"/>
              <w:jc w:val="center"/>
              <w:rPr>
                <w:b/>
                <w:sz w:val="22"/>
                <w:szCs w:val="22"/>
              </w:rPr>
            </w:pPr>
            <w:r w:rsidRPr="00C260F1">
              <w:rPr>
                <w:b/>
                <w:sz w:val="22"/>
                <w:szCs w:val="22"/>
              </w:rPr>
              <w:t>1</w:t>
            </w:r>
          </w:p>
        </w:tc>
        <w:tc>
          <w:tcPr>
            <w:tcW w:w="1157" w:type="dxa"/>
          </w:tcPr>
          <w:p w14:paraId="44DE7F28" w14:textId="77777777" w:rsidR="007E0ABC" w:rsidRPr="00C260F1" w:rsidRDefault="007E0ABC" w:rsidP="00D170E8">
            <w:pPr>
              <w:pStyle w:val="ListParagraph"/>
              <w:ind w:left="0"/>
              <w:jc w:val="center"/>
              <w:rPr>
                <w:b/>
                <w:sz w:val="22"/>
                <w:szCs w:val="22"/>
              </w:rPr>
            </w:pPr>
          </w:p>
          <w:p w14:paraId="26C0F0A8"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52DD2FAD" w14:textId="77777777" w:rsidR="007E0ABC" w:rsidRPr="00C260F1" w:rsidRDefault="007E0ABC" w:rsidP="00D170E8">
            <w:pPr>
              <w:pStyle w:val="ListParagraph"/>
              <w:ind w:left="0"/>
              <w:jc w:val="center"/>
              <w:rPr>
                <w:b/>
                <w:sz w:val="22"/>
                <w:szCs w:val="22"/>
              </w:rPr>
            </w:pPr>
          </w:p>
          <w:p w14:paraId="0A7AE71A"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28008F76" w14:textId="77777777" w:rsidR="007E0ABC" w:rsidRPr="00C260F1" w:rsidRDefault="007E0ABC" w:rsidP="00D170E8">
            <w:pPr>
              <w:pStyle w:val="ListParagraph"/>
              <w:ind w:left="0"/>
              <w:jc w:val="center"/>
              <w:rPr>
                <w:b/>
                <w:sz w:val="22"/>
                <w:szCs w:val="22"/>
              </w:rPr>
            </w:pPr>
          </w:p>
          <w:p w14:paraId="388C727E"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7F111054" w14:textId="77777777" w:rsidR="007E0ABC" w:rsidRPr="00C260F1" w:rsidRDefault="007E0ABC" w:rsidP="00D170E8">
            <w:pPr>
              <w:pStyle w:val="ListParagraph"/>
              <w:ind w:left="0"/>
              <w:jc w:val="center"/>
              <w:rPr>
                <w:b/>
                <w:sz w:val="22"/>
                <w:szCs w:val="22"/>
              </w:rPr>
            </w:pPr>
          </w:p>
          <w:p w14:paraId="4CAC6E6F" w14:textId="77777777" w:rsidR="007E0ABC" w:rsidRPr="00C260F1" w:rsidRDefault="007E0ABC" w:rsidP="00D170E8">
            <w:pPr>
              <w:pStyle w:val="ListParagraph"/>
              <w:ind w:left="0"/>
              <w:jc w:val="center"/>
              <w:rPr>
                <w:b/>
                <w:sz w:val="22"/>
                <w:szCs w:val="22"/>
              </w:rPr>
            </w:pPr>
            <w:r w:rsidRPr="00C260F1">
              <w:rPr>
                <w:b/>
                <w:sz w:val="22"/>
                <w:szCs w:val="22"/>
              </w:rPr>
              <w:t>5</w:t>
            </w:r>
          </w:p>
        </w:tc>
      </w:tr>
      <w:tr w:rsidR="007E0ABC" w:rsidRPr="00C260F1" w14:paraId="1A7B764F" w14:textId="77777777" w:rsidTr="009B41E1">
        <w:tc>
          <w:tcPr>
            <w:tcW w:w="407" w:type="dxa"/>
          </w:tcPr>
          <w:p w14:paraId="6AA965D2" w14:textId="77777777" w:rsidR="007E0ABC" w:rsidRPr="00C260F1" w:rsidRDefault="007E0ABC" w:rsidP="009B41E1">
            <w:pPr>
              <w:pStyle w:val="ListParagraph"/>
              <w:ind w:left="0"/>
              <w:rPr>
                <w:b/>
                <w:sz w:val="22"/>
                <w:szCs w:val="22"/>
              </w:rPr>
            </w:pPr>
            <w:r w:rsidRPr="00C260F1">
              <w:rPr>
                <w:b/>
                <w:sz w:val="22"/>
                <w:szCs w:val="22"/>
              </w:rPr>
              <w:t>6.</w:t>
            </w:r>
          </w:p>
        </w:tc>
        <w:tc>
          <w:tcPr>
            <w:tcW w:w="2942" w:type="dxa"/>
          </w:tcPr>
          <w:p w14:paraId="7FB415DB" w14:textId="77777777" w:rsidR="007E0ABC" w:rsidRPr="00C260F1" w:rsidRDefault="007E0ABC" w:rsidP="009B41E1">
            <w:pPr>
              <w:pStyle w:val="ListParagraph"/>
              <w:ind w:left="0"/>
              <w:rPr>
                <w:sz w:val="22"/>
                <w:szCs w:val="22"/>
              </w:rPr>
            </w:pPr>
            <w:r w:rsidRPr="00C260F1">
              <w:rPr>
                <w:sz w:val="22"/>
                <w:szCs w:val="22"/>
              </w:rPr>
              <w:t>It is impossible for me to satisfy my own needs when they interfere with the needs of others</w:t>
            </w:r>
          </w:p>
        </w:tc>
        <w:tc>
          <w:tcPr>
            <w:tcW w:w="1157" w:type="dxa"/>
          </w:tcPr>
          <w:p w14:paraId="3AB77A54" w14:textId="77777777" w:rsidR="007E0ABC" w:rsidRPr="00C260F1" w:rsidRDefault="007E0ABC" w:rsidP="00D170E8">
            <w:pPr>
              <w:pStyle w:val="ListParagraph"/>
              <w:ind w:left="0"/>
              <w:jc w:val="center"/>
              <w:rPr>
                <w:b/>
                <w:sz w:val="22"/>
                <w:szCs w:val="22"/>
              </w:rPr>
            </w:pPr>
          </w:p>
          <w:p w14:paraId="2BDCC774" w14:textId="77777777" w:rsidR="007E0ABC" w:rsidRPr="00C260F1" w:rsidRDefault="007E0ABC" w:rsidP="00D170E8">
            <w:pPr>
              <w:pStyle w:val="ListParagraph"/>
              <w:ind w:left="0"/>
              <w:jc w:val="center"/>
              <w:rPr>
                <w:b/>
                <w:sz w:val="22"/>
                <w:szCs w:val="22"/>
              </w:rPr>
            </w:pPr>
            <w:r w:rsidRPr="00C260F1">
              <w:rPr>
                <w:b/>
                <w:sz w:val="22"/>
                <w:szCs w:val="22"/>
              </w:rPr>
              <w:t>1</w:t>
            </w:r>
          </w:p>
        </w:tc>
        <w:tc>
          <w:tcPr>
            <w:tcW w:w="1157" w:type="dxa"/>
          </w:tcPr>
          <w:p w14:paraId="4FDC65F0" w14:textId="77777777" w:rsidR="007E0ABC" w:rsidRPr="00C260F1" w:rsidRDefault="007E0ABC" w:rsidP="00D170E8">
            <w:pPr>
              <w:pStyle w:val="ListParagraph"/>
              <w:ind w:left="0"/>
              <w:jc w:val="center"/>
              <w:rPr>
                <w:b/>
                <w:sz w:val="22"/>
                <w:szCs w:val="22"/>
              </w:rPr>
            </w:pPr>
          </w:p>
          <w:p w14:paraId="553F75E3"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7E9A6D29" w14:textId="77777777" w:rsidR="007E0ABC" w:rsidRPr="00C260F1" w:rsidRDefault="007E0ABC" w:rsidP="00D170E8">
            <w:pPr>
              <w:pStyle w:val="ListParagraph"/>
              <w:ind w:left="0"/>
              <w:jc w:val="center"/>
              <w:rPr>
                <w:b/>
                <w:sz w:val="22"/>
                <w:szCs w:val="22"/>
              </w:rPr>
            </w:pPr>
          </w:p>
          <w:p w14:paraId="055ACD16"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077A7CF8" w14:textId="77777777" w:rsidR="007E0ABC" w:rsidRPr="00C260F1" w:rsidRDefault="007E0ABC" w:rsidP="00D170E8">
            <w:pPr>
              <w:pStyle w:val="ListParagraph"/>
              <w:ind w:left="0"/>
              <w:jc w:val="center"/>
              <w:rPr>
                <w:b/>
                <w:sz w:val="22"/>
                <w:szCs w:val="22"/>
              </w:rPr>
            </w:pPr>
          </w:p>
          <w:p w14:paraId="0118DD83"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31F68C89" w14:textId="77777777" w:rsidR="007E0ABC" w:rsidRPr="00C260F1" w:rsidRDefault="007E0ABC" w:rsidP="00D170E8">
            <w:pPr>
              <w:pStyle w:val="ListParagraph"/>
              <w:ind w:left="0"/>
              <w:jc w:val="center"/>
              <w:rPr>
                <w:b/>
                <w:sz w:val="22"/>
                <w:szCs w:val="22"/>
              </w:rPr>
            </w:pPr>
          </w:p>
          <w:p w14:paraId="5A7A221C" w14:textId="77777777" w:rsidR="007E0ABC" w:rsidRPr="00C260F1" w:rsidRDefault="007E0ABC" w:rsidP="00D170E8">
            <w:pPr>
              <w:pStyle w:val="ListParagraph"/>
              <w:ind w:left="0"/>
              <w:jc w:val="center"/>
              <w:rPr>
                <w:b/>
                <w:sz w:val="22"/>
                <w:szCs w:val="22"/>
              </w:rPr>
            </w:pPr>
            <w:r w:rsidRPr="00C260F1">
              <w:rPr>
                <w:b/>
                <w:sz w:val="22"/>
                <w:szCs w:val="22"/>
              </w:rPr>
              <w:t>5</w:t>
            </w:r>
          </w:p>
        </w:tc>
      </w:tr>
      <w:tr w:rsidR="007E0ABC" w:rsidRPr="00C260F1" w14:paraId="1AC35B27" w14:textId="77777777" w:rsidTr="009B41E1">
        <w:tc>
          <w:tcPr>
            <w:tcW w:w="407" w:type="dxa"/>
          </w:tcPr>
          <w:p w14:paraId="0D7686AD" w14:textId="77777777" w:rsidR="007E0ABC" w:rsidRPr="00C260F1" w:rsidRDefault="007E0ABC" w:rsidP="009B41E1">
            <w:pPr>
              <w:pStyle w:val="ListParagraph"/>
              <w:ind w:left="0"/>
              <w:rPr>
                <w:b/>
                <w:sz w:val="22"/>
                <w:szCs w:val="22"/>
              </w:rPr>
            </w:pPr>
            <w:r w:rsidRPr="00C260F1">
              <w:rPr>
                <w:b/>
                <w:sz w:val="22"/>
                <w:szCs w:val="22"/>
              </w:rPr>
              <w:t>7.</w:t>
            </w:r>
          </w:p>
        </w:tc>
        <w:tc>
          <w:tcPr>
            <w:tcW w:w="2942" w:type="dxa"/>
          </w:tcPr>
          <w:p w14:paraId="17194363" w14:textId="77777777" w:rsidR="007E0ABC" w:rsidRPr="00C260F1" w:rsidRDefault="007E0ABC" w:rsidP="009B41E1">
            <w:pPr>
              <w:pStyle w:val="ListParagraph"/>
              <w:ind w:left="0"/>
              <w:rPr>
                <w:sz w:val="22"/>
                <w:szCs w:val="22"/>
              </w:rPr>
            </w:pPr>
            <w:r w:rsidRPr="00C260F1">
              <w:rPr>
                <w:sz w:val="22"/>
                <w:szCs w:val="22"/>
              </w:rPr>
              <w:t>I can’t say no when someone asks me for help</w:t>
            </w:r>
          </w:p>
        </w:tc>
        <w:tc>
          <w:tcPr>
            <w:tcW w:w="1157" w:type="dxa"/>
          </w:tcPr>
          <w:p w14:paraId="3F3AEAB5" w14:textId="77777777" w:rsidR="007E0ABC" w:rsidRPr="00C260F1" w:rsidRDefault="007E0ABC" w:rsidP="00D170E8">
            <w:pPr>
              <w:pStyle w:val="ListParagraph"/>
              <w:ind w:left="0"/>
              <w:jc w:val="center"/>
              <w:rPr>
                <w:b/>
                <w:sz w:val="22"/>
                <w:szCs w:val="22"/>
              </w:rPr>
            </w:pPr>
          </w:p>
          <w:p w14:paraId="524AEF01" w14:textId="77777777" w:rsidR="007E0ABC" w:rsidRPr="00C260F1" w:rsidRDefault="007E0ABC" w:rsidP="00D170E8">
            <w:pPr>
              <w:pStyle w:val="ListParagraph"/>
              <w:ind w:left="0"/>
              <w:jc w:val="center"/>
              <w:rPr>
                <w:b/>
                <w:sz w:val="22"/>
                <w:szCs w:val="22"/>
              </w:rPr>
            </w:pPr>
            <w:r w:rsidRPr="00C260F1">
              <w:rPr>
                <w:b/>
                <w:sz w:val="22"/>
                <w:szCs w:val="22"/>
              </w:rPr>
              <w:t>1</w:t>
            </w:r>
          </w:p>
          <w:p w14:paraId="1FBFDD9F" w14:textId="77777777" w:rsidR="007E0ABC" w:rsidRPr="00C260F1" w:rsidRDefault="007E0ABC" w:rsidP="00D170E8">
            <w:pPr>
              <w:pStyle w:val="ListParagraph"/>
              <w:ind w:left="0"/>
              <w:jc w:val="center"/>
              <w:rPr>
                <w:b/>
                <w:sz w:val="22"/>
                <w:szCs w:val="22"/>
              </w:rPr>
            </w:pPr>
          </w:p>
        </w:tc>
        <w:tc>
          <w:tcPr>
            <w:tcW w:w="1157" w:type="dxa"/>
          </w:tcPr>
          <w:p w14:paraId="1EA5D197" w14:textId="77777777" w:rsidR="007E0ABC" w:rsidRPr="00C260F1" w:rsidRDefault="007E0ABC" w:rsidP="00D170E8">
            <w:pPr>
              <w:pStyle w:val="ListParagraph"/>
              <w:ind w:left="0"/>
              <w:jc w:val="center"/>
              <w:rPr>
                <w:b/>
                <w:sz w:val="22"/>
                <w:szCs w:val="22"/>
              </w:rPr>
            </w:pPr>
          </w:p>
          <w:p w14:paraId="5A664381"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203887CD" w14:textId="77777777" w:rsidR="007E0ABC" w:rsidRPr="00C260F1" w:rsidRDefault="007E0ABC" w:rsidP="00D170E8">
            <w:pPr>
              <w:pStyle w:val="ListParagraph"/>
              <w:ind w:left="0"/>
              <w:jc w:val="center"/>
              <w:rPr>
                <w:b/>
                <w:sz w:val="22"/>
                <w:szCs w:val="22"/>
              </w:rPr>
            </w:pPr>
          </w:p>
          <w:p w14:paraId="33BE9871"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31EB0024" w14:textId="77777777" w:rsidR="007E0ABC" w:rsidRPr="00C260F1" w:rsidRDefault="007E0ABC" w:rsidP="00D170E8">
            <w:pPr>
              <w:pStyle w:val="ListParagraph"/>
              <w:ind w:left="0"/>
              <w:jc w:val="center"/>
              <w:rPr>
                <w:b/>
                <w:sz w:val="22"/>
                <w:szCs w:val="22"/>
              </w:rPr>
            </w:pPr>
          </w:p>
          <w:p w14:paraId="1F713DCC"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565C70FB" w14:textId="77777777" w:rsidR="007E0ABC" w:rsidRPr="00C260F1" w:rsidRDefault="007E0ABC" w:rsidP="00D170E8">
            <w:pPr>
              <w:pStyle w:val="ListParagraph"/>
              <w:ind w:left="0"/>
              <w:jc w:val="center"/>
              <w:rPr>
                <w:b/>
                <w:sz w:val="22"/>
                <w:szCs w:val="22"/>
              </w:rPr>
            </w:pPr>
          </w:p>
          <w:p w14:paraId="33673E07" w14:textId="77777777" w:rsidR="007E0ABC" w:rsidRPr="00C260F1" w:rsidRDefault="007E0ABC" w:rsidP="00D170E8">
            <w:pPr>
              <w:pStyle w:val="ListParagraph"/>
              <w:ind w:left="0"/>
              <w:jc w:val="center"/>
              <w:rPr>
                <w:b/>
                <w:sz w:val="22"/>
                <w:szCs w:val="22"/>
              </w:rPr>
            </w:pPr>
            <w:r w:rsidRPr="00C260F1">
              <w:rPr>
                <w:b/>
                <w:sz w:val="22"/>
                <w:szCs w:val="22"/>
              </w:rPr>
              <w:t>5</w:t>
            </w:r>
          </w:p>
        </w:tc>
      </w:tr>
      <w:tr w:rsidR="007E0ABC" w:rsidRPr="00C260F1" w14:paraId="3BA29838" w14:textId="77777777" w:rsidTr="009B41E1">
        <w:tc>
          <w:tcPr>
            <w:tcW w:w="407" w:type="dxa"/>
          </w:tcPr>
          <w:p w14:paraId="538C9B04" w14:textId="77777777" w:rsidR="007E0ABC" w:rsidRPr="00C260F1" w:rsidRDefault="007E0ABC" w:rsidP="009B41E1">
            <w:pPr>
              <w:pStyle w:val="ListParagraph"/>
              <w:ind w:left="0"/>
              <w:rPr>
                <w:b/>
                <w:sz w:val="22"/>
                <w:szCs w:val="22"/>
              </w:rPr>
            </w:pPr>
            <w:r w:rsidRPr="00C260F1">
              <w:rPr>
                <w:b/>
                <w:sz w:val="22"/>
                <w:szCs w:val="22"/>
              </w:rPr>
              <w:lastRenderedPageBreak/>
              <w:t>8.</w:t>
            </w:r>
          </w:p>
        </w:tc>
        <w:tc>
          <w:tcPr>
            <w:tcW w:w="2942" w:type="dxa"/>
          </w:tcPr>
          <w:p w14:paraId="5423DCF7" w14:textId="77777777" w:rsidR="007E0ABC" w:rsidRPr="00C260F1" w:rsidRDefault="007E0ABC" w:rsidP="009B41E1">
            <w:pPr>
              <w:rPr>
                <w:sz w:val="22"/>
                <w:szCs w:val="22"/>
              </w:rPr>
            </w:pPr>
            <w:r w:rsidRPr="00C260F1">
              <w:rPr>
                <w:sz w:val="22"/>
                <w:szCs w:val="22"/>
              </w:rPr>
              <w:t>Even when exhausted, I will always help other people.</w:t>
            </w:r>
          </w:p>
        </w:tc>
        <w:tc>
          <w:tcPr>
            <w:tcW w:w="1157" w:type="dxa"/>
          </w:tcPr>
          <w:p w14:paraId="7EE0DAE0" w14:textId="77777777" w:rsidR="007E0ABC" w:rsidRPr="00C260F1" w:rsidRDefault="007E0ABC" w:rsidP="00D170E8">
            <w:pPr>
              <w:pStyle w:val="ListParagraph"/>
              <w:ind w:left="0"/>
              <w:jc w:val="center"/>
              <w:rPr>
                <w:b/>
                <w:sz w:val="22"/>
                <w:szCs w:val="22"/>
              </w:rPr>
            </w:pPr>
          </w:p>
          <w:p w14:paraId="1339B9D7" w14:textId="77777777" w:rsidR="007E0ABC" w:rsidRPr="00C260F1" w:rsidRDefault="007E0ABC" w:rsidP="00D170E8">
            <w:pPr>
              <w:pStyle w:val="ListParagraph"/>
              <w:ind w:left="0"/>
              <w:jc w:val="center"/>
              <w:rPr>
                <w:b/>
                <w:sz w:val="22"/>
                <w:szCs w:val="22"/>
              </w:rPr>
            </w:pPr>
            <w:r w:rsidRPr="00C260F1">
              <w:rPr>
                <w:b/>
                <w:sz w:val="22"/>
                <w:szCs w:val="22"/>
              </w:rPr>
              <w:t>1</w:t>
            </w:r>
          </w:p>
          <w:p w14:paraId="289B2754" w14:textId="77777777" w:rsidR="007E0ABC" w:rsidRPr="00C260F1" w:rsidRDefault="007E0ABC" w:rsidP="00D170E8">
            <w:pPr>
              <w:pStyle w:val="ListParagraph"/>
              <w:ind w:left="0"/>
              <w:jc w:val="center"/>
              <w:rPr>
                <w:b/>
                <w:sz w:val="22"/>
                <w:szCs w:val="22"/>
              </w:rPr>
            </w:pPr>
          </w:p>
        </w:tc>
        <w:tc>
          <w:tcPr>
            <w:tcW w:w="1157" w:type="dxa"/>
          </w:tcPr>
          <w:p w14:paraId="63407A29" w14:textId="77777777" w:rsidR="007E0ABC" w:rsidRPr="00C260F1" w:rsidRDefault="007E0ABC" w:rsidP="00D170E8">
            <w:pPr>
              <w:pStyle w:val="ListParagraph"/>
              <w:ind w:left="0"/>
              <w:jc w:val="center"/>
              <w:rPr>
                <w:b/>
                <w:sz w:val="22"/>
                <w:szCs w:val="22"/>
              </w:rPr>
            </w:pPr>
          </w:p>
          <w:p w14:paraId="3B9B5D06"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524C78C2" w14:textId="77777777" w:rsidR="007E0ABC" w:rsidRPr="00C260F1" w:rsidRDefault="007E0ABC" w:rsidP="00D170E8">
            <w:pPr>
              <w:pStyle w:val="ListParagraph"/>
              <w:ind w:left="0"/>
              <w:jc w:val="center"/>
              <w:rPr>
                <w:b/>
                <w:sz w:val="22"/>
                <w:szCs w:val="22"/>
              </w:rPr>
            </w:pPr>
          </w:p>
          <w:p w14:paraId="5AC1928D"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4F201086" w14:textId="77777777" w:rsidR="007E0ABC" w:rsidRPr="00C260F1" w:rsidRDefault="007E0ABC" w:rsidP="00D170E8">
            <w:pPr>
              <w:pStyle w:val="ListParagraph"/>
              <w:ind w:left="0"/>
              <w:jc w:val="center"/>
              <w:rPr>
                <w:b/>
                <w:sz w:val="22"/>
                <w:szCs w:val="22"/>
              </w:rPr>
            </w:pPr>
          </w:p>
          <w:p w14:paraId="1C26D4B3"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18BA9FB6" w14:textId="77777777" w:rsidR="007E0ABC" w:rsidRPr="00C260F1" w:rsidRDefault="007E0ABC" w:rsidP="00D170E8">
            <w:pPr>
              <w:pStyle w:val="ListParagraph"/>
              <w:ind w:left="0"/>
              <w:jc w:val="center"/>
              <w:rPr>
                <w:b/>
                <w:sz w:val="22"/>
                <w:szCs w:val="22"/>
              </w:rPr>
            </w:pPr>
          </w:p>
          <w:p w14:paraId="4A8DC3F0" w14:textId="77777777" w:rsidR="007E0ABC" w:rsidRPr="00C260F1" w:rsidRDefault="007E0ABC" w:rsidP="00D170E8">
            <w:pPr>
              <w:pStyle w:val="ListParagraph"/>
              <w:ind w:left="0"/>
              <w:jc w:val="center"/>
              <w:rPr>
                <w:b/>
                <w:sz w:val="22"/>
                <w:szCs w:val="22"/>
              </w:rPr>
            </w:pPr>
            <w:r w:rsidRPr="00C260F1">
              <w:rPr>
                <w:b/>
                <w:sz w:val="22"/>
                <w:szCs w:val="22"/>
              </w:rPr>
              <w:t>5</w:t>
            </w:r>
          </w:p>
        </w:tc>
      </w:tr>
      <w:tr w:rsidR="007E0ABC" w:rsidRPr="00C260F1" w14:paraId="21895718" w14:textId="77777777" w:rsidTr="009B41E1">
        <w:tc>
          <w:tcPr>
            <w:tcW w:w="407" w:type="dxa"/>
          </w:tcPr>
          <w:p w14:paraId="67B66180" w14:textId="77777777" w:rsidR="007E0ABC" w:rsidRPr="00C260F1" w:rsidRDefault="007E0ABC" w:rsidP="009B41E1">
            <w:pPr>
              <w:pStyle w:val="ListParagraph"/>
              <w:ind w:left="0"/>
              <w:rPr>
                <w:b/>
                <w:sz w:val="22"/>
                <w:szCs w:val="22"/>
              </w:rPr>
            </w:pPr>
            <w:r w:rsidRPr="00C260F1">
              <w:rPr>
                <w:b/>
                <w:sz w:val="22"/>
                <w:szCs w:val="22"/>
              </w:rPr>
              <w:t>9.</w:t>
            </w:r>
          </w:p>
        </w:tc>
        <w:tc>
          <w:tcPr>
            <w:tcW w:w="2942" w:type="dxa"/>
          </w:tcPr>
          <w:p w14:paraId="5AC75E70" w14:textId="77777777" w:rsidR="007E0ABC" w:rsidRPr="00C260F1" w:rsidRDefault="007E0ABC" w:rsidP="009B41E1">
            <w:pPr>
              <w:rPr>
                <w:sz w:val="22"/>
                <w:szCs w:val="22"/>
              </w:rPr>
            </w:pPr>
            <w:r w:rsidRPr="00C260F1">
              <w:rPr>
                <w:sz w:val="22"/>
                <w:szCs w:val="22"/>
              </w:rPr>
              <w:t>I often worry about others’ problems</w:t>
            </w:r>
          </w:p>
        </w:tc>
        <w:tc>
          <w:tcPr>
            <w:tcW w:w="1157" w:type="dxa"/>
          </w:tcPr>
          <w:p w14:paraId="2D7EE0F4" w14:textId="77777777" w:rsidR="007E0ABC" w:rsidRPr="00C260F1" w:rsidRDefault="007E0ABC" w:rsidP="00D170E8">
            <w:pPr>
              <w:pStyle w:val="ListParagraph"/>
              <w:ind w:left="0"/>
              <w:jc w:val="center"/>
              <w:rPr>
                <w:b/>
                <w:sz w:val="22"/>
                <w:szCs w:val="22"/>
              </w:rPr>
            </w:pPr>
          </w:p>
          <w:p w14:paraId="7788CA8D" w14:textId="77777777" w:rsidR="007E0ABC" w:rsidRPr="00C260F1" w:rsidRDefault="007E0ABC" w:rsidP="00D170E8">
            <w:pPr>
              <w:pStyle w:val="ListParagraph"/>
              <w:ind w:left="0"/>
              <w:jc w:val="center"/>
              <w:rPr>
                <w:b/>
                <w:sz w:val="22"/>
                <w:szCs w:val="22"/>
              </w:rPr>
            </w:pPr>
            <w:r w:rsidRPr="00C260F1">
              <w:rPr>
                <w:b/>
                <w:sz w:val="22"/>
                <w:szCs w:val="22"/>
              </w:rPr>
              <w:t>1</w:t>
            </w:r>
          </w:p>
          <w:p w14:paraId="55CF823A" w14:textId="77777777" w:rsidR="007E0ABC" w:rsidRPr="00C260F1" w:rsidRDefault="007E0ABC" w:rsidP="00D170E8">
            <w:pPr>
              <w:pStyle w:val="ListParagraph"/>
              <w:ind w:left="0"/>
              <w:jc w:val="center"/>
              <w:rPr>
                <w:b/>
                <w:sz w:val="22"/>
                <w:szCs w:val="22"/>
              </w:rPr>
            </w:pPr>
          </w:p>
        </w:tc>
        <w:tc>
          <w:tcPr>
            <w:tcW w:w="1157" w:type="dxa"/>
          </w:tcPr>
          <w:p w14:paraId="14C3C06B" w14:textId="77777777" w:rsidR="007E0ABC" w:rsidRPr="00C260F1" w:rsidRDefault="007E0ABC" w:rsidP="00D170E8">
            <w:pPr>
              <w:pStyle w:val="ListParagraph"/>
              <w:ind w:left="0"/>
              <w:jc w:val="center"/>
              <w:rPr>
                <w:b/>
                <w:sz w:val="22"/>
                <w:szCs w:val="22"/>
              </w:rPr>
            </w:pPr>
          </w:p>
          <w:p w14:paraId="34B97814" w14:textId="77777777" w:rsidR="007E0ABC" w:rsidRPr="00C260F1" w:rsidRDefault="007E0ABC" w:rsidP="00D170E8">
            <w:pPr>
              <w:pStyle w:val="ListParagraph"/>
              <w:ind w:left="0"/>
              <w:jc w:val="center"/>
              <w:rPr>
                <w:b/>
                <w:sz w:val="22"/>
                <w:szCs w:val="22"/>
              </w:rPr>
            </w:pPr>
            <w:r w:rsidRPr="00C260F1">
              <w:rPr>
                <w:b/>
                <w:sz w:val="22"/>
                <w:szCs w:val="22"/>
              </w:rPr>
              <w:t>2</w:t>
            </w:r>
          </w:p>
        </w:tc>
        <w:tc>
          <w:tcPr>
            <w:tcW w:w="1157" w:type="dxa"/>
          </w:tcPr>
          <w:p w14:paraId="4A405B60" w14:textId="77777777" w:rsidR="007E0ABC" w:rsidRPr="00C260F1" w:rsidRDefault="007E0ABC" w:rsidP="00D170E8">
            <w:pPr>
              <w:pStyle w:val="ListParagraph"/>
              <w:ind w:left="0"/>
              <w:jc w:val="center"/>
              <w:rPr>
                <w:b/>
                <w:sz w:val="22"/>
                <w:szCs w:val="22"/>
              </w:rPr>
            </w:pPr>
          </w:p>
          <w:p w14:paraId="21FE4FFD" w14:textId="77777777" w:rsidR="007E0ABC" w:rsidRPr="00C260F1" w:rsidRDefault="007E0ABC" w:rsidP="00D170E8">
            <w:pPr>
              <w:pStyle w:val="ListParagraph"/>
              <w:ind w:left="0"/>
              <w:jc w:val="center"/>
              <w:rPr>
                <w:b/>
                <w:sz w:val="22"/>
                <w:szCs w:val="22"/>
              </w:rPr>
            </w:pPr>
            <w:r w:rsidRPr="00C260F1">
              <w:rPr>
                <w:b/>
                <w:sz w:val="22"/>
                <w:szCs w:val="22"/>
              </w:rPr>
              <w:t>3</w:t>
            </w:r>
          </w:p>
        </w:tc>
        <w:tc>
          <w:tcPr>
            <w:tcW w:w="1157" w:type="dxa"/>
          </w:tcPr>
          <w:p w14:paraId="344F55C8" w14:textId="77777777" w:rsidR="007E0ABC" w:rsidRPr="00C260F1" w:rsidRDefault="007E0ABC" w:rsidP="00D170E8">
            <w:pPr>
              <w:pStyle w:val="ListParagraph"/>
              <w:ind w:left="0"/>
              <w:jc w:val="center"/>
              <w:rPr>
                <w:b/>
                <w:sz w:val="22"/>
                <w:szCs w:val="22"/>
              </w:rPr>
            </w:pPr>
          </w:p>
          <w:p w14:paraId="629AAE53" w14:textId="77777777" w:rsidR="007E0ABC" w:rsidRPr="00C260F1" w:rsidRDefault="007E0ABC" w:rsidP="00D170E8">
            <w:pPr>
              <w:pStyle w:val="ListParagraph"/>
              <w:ind w:left="0"/>
              <w:jc w:val="center"/>
              <w:rPr>
                <w:b/>
                <w:sz w:val="22"/>
                <w:szCs w:val="22"/>
              </w:rPr>
            </w:pPr>
            <w:r w:rsidRPr="00C260F1">
              <w:rPr>
                <w:b/>
                <w:sz w:val="22"/>
                <w:szCs w:val="22"/>
              </w:rPr>
              <w:t>4</w:t>
            </w:r>
          </w:p>
        </w:tc>
        <w:tc>
          <w:tcPr>
            <w:tcW w:w="1157" w:type="dxa"/>
          </w:tcPr>
          <w:p w14:paraId="631E89BB" w14:textId="77777777" w:rsidR="007E0ABC" w:rsidRPr="00C260F1" w:rsidRDefault="007E0ABC" w:rsidP="00D170E8">
            <w:pPr>
              <w:pStyle w:val="ListParagraph"/>
              <w:ind w:left="0"/>
              <w:jc w:val="center"/>
              <w:rPr>
                <w:b/>
                <w:sz w:val="22"/>
                <w:szCs w:val="22"/>
              </w:rPr>
            </w:pPr>
          </w:p>
          <w:p w14:paraId="2596B423" w14:textId="77777777" w:rsidR="007E0ABC" w:rsidRPr="00C260F1" w:rsidRDefault="007E0ABC" w:rsidP="00D170E8">
            <w:pPr>
              <w:pStyle w:val="ListParagraph"/>
              <w:ind w:left="0"/>
              <w:jc w:val="center"/>
              <w:rPr>
                <w:b/>
                <w:sz w:val="22"/>
                <w:szCs w:val="22"/>
              </w:rPr>
            </w:pPr>
            <w:r w:rsidRPr="00C260F1">
              <w:rPr>
                <w:b/>
                <w:sz w:val="22"/>
                <w:szCs w:val="22"/>
              </w:rPr>
              <w:t>5</w:t>
            </w:r>
          </w:p>
        </w:tc>
      </w:tr>
    </w:tbl>
    <w:p w14:paraId="2CDEE5EC" w14:textId="77777777" w:rsidR="007E0ABC" w:rsidRPr="00C260F1" w:rsidRDefault="007E0ABC" w:rsidP="009B41E1">
      <w:pPr>
        <w:pStyle w:val="ListParagraph"/>
        <w:ind w:left="0"/>
        <w:rPr>
          <w:sz w:val="22"/>
          <w:szCs w:val="22"/>
        </w:rPr>
      </w:pPr>
    </w:p>
    <w:p w14:paraId="7E275D08" w14:textId="77777777" w:rsidR="007E0ABC" w:rsidRPr="00C260F1" w:rsidRDefault="007E0ABC" w:rsidP="00F06B0E">
      <w:pPr>
        <w:pStyle w:val="ListParagraph"/>
        <w:ind w:left="1080"/>
        <w:rPr>
          <w:sz w:val="22"/>
          <w:szCs w:val="22"/>
        </w:rPr>
      </w:pPr>
      <w:r w:rsidRPr="00C260F1">
        <w:rPr>
          <w:sz w:val="22"/>
          <w:szCs w:val="22"/>
        </w:rPr>
        <w:t xml:space="preserve"> *Items reverse scored.</w:t>
      </w:r>
    </w:p>
    <w:p w14:paraId="4728F4FE" w14:textId="77777777" w:rsidR="007E0ABC" w:rsidRDefault="007E0ABC">
      <w:pPr>
        <w:rPr>
          <w:rFonts w:asciiTheme="majorHAnsi" w:eastAsiaTheme="majorEastAsia" w:hAnsiTheme="majorHAnsi" w:cstheme="majorBidi"/>
          <w:b/>
          <w:color w:val="1F4D78" w:themeColor="accent1" w:themeShade="7F"/>
          <w:lang w:eastAsia="en-GB"/>
        </w:rPr>
      </w:pPr>
      <w:r>
        <w:rPr>
          <w:b/>
        </w:rPr>
        <w:br w:type="page"/>
      </w:r>
    </w:p>
    <w:p w14:paraId="094B7C22" w14:textId="77777777" w:rsidR="007E0ABC" w:rsidRPr="00BE678E" w:rsidRDefault="007E0ABC" w:rsidP="00BE678E">
      <w:pPr>
        <w:jc w:val="center"/>
        <w:rPr>
          <w:rFonts w:eastAsia="Georgia" w:cs="Georgia"/>
          <w:iCs/>
          <w:color w:val="666666"/>
          <w:sz w:val="28"/>
          <w:szCs w:val="28"/>
          <w:lang w:eastAsia="en-GB"/>
        </w:rPr>
      </w:pPr>
      <w:r w:rsidRPr="00BE678E">
        <w:rPr>
          <w:rFonts w:eastAsia="Georgia" w:cs="Georgia"/>
          <w:iCs/>
          <w:color w:val="666666"/>
          <w:sz w:val="28"/>
          <w:szCs w:val="28"/>
          <w:lang w:eastAsia="en-GB"/>
        </w:rPr>
        <w:lastRenderedPageBreak/>
        <w:t xml:space="preserve">Appendix A – Included Study Measures – (9) </w:t>
      </w:r>
      <w:r>
        <w:rPr>
          <w:rFonts w:eastAsia="Georgia" w:cs="Georgia"/>
          <w:iCs/>
          <w:color w:val="666666"/>
          <w:sz w:val="28"/>
          <w:szCs w:val="28"/>
          <w:lang w:eastAsia="en-GB"/>
        </w:rPr>
        <w:t>Mood Zoom</w:t>
      </w:r>
    </w:p>
    <w:p w14:paraId="2FE5DF3F" w14:textId="77777777" w:rsidR="007E0ABC" w:rsidRDefault="007E0ABC" w:rsidP="006908DD">
      <w:pPr>
        <w:pBdr>
          <w:bottom w:val="single" w:sz="12" w:space="1" w:color="auto"/>
        </w:pBdr>
        <w:jc w:val="center"/>
        <w:rPr>
          <w:rFonts w:cs="Arial"/>
          <w:b/>
          <w:sz w:val="40"/>
        </w:rPr>
      </w:pPr>
    </w:p>
    <w:p w14:paraId="20B244E3" w14:textId="77777777" w:rsidR="007E0ABC" w:rsidRPr="00436F11" w:rsidRDefault="007E0ABC" w:rsidP="006908DD">
      <w:pPr>
        <w:pBdr>
          <w:bottom w:val="single" w:sz="12" w:space="1" w:color="auto"/>
        </w:pBdr>
        <w:jc w:val="center"/>
        <w:rPr>
          <w:rFonts w:cs="Arial"/>
          <w:b/>
          <w:sz w:val="40"/>
        </w:rPr>
      </w:pPr>
      <w:r>
        <w:rPr>
          <w:rFonts w:cs="Arial"/>
          <w:b/>
          <w:sz w:val="40"/>
        </w:rPr>
        <w:t>Mood Zoom</w:t>
      </w:r>
    </w:p>
    <w:p w14:paraId="72097980" w14:textId="77777777" w:rsidR="007E0ABC" w:rsidRPr="00436F11" w:rsidRDefault="007E0ABC" w:rsidP="00436F11">
      <w:pPr>
        <w:jc w:val="center"/>
        <w:rPr>
          <w:rFonts w:cs="Arial"/>
        </w:rPr>
      </w:pPr>
    </w:p>
    <w:p w14:paraId="708716D0" w14:textId="77777777" w:rsidR="007E0ABC" w:rsidRPr="00436F11" w:rsidRDefault="007E0ABC" w:rsidP="00436F11">
      <w:pPr>
        <w:jc w:val="center"/>
        <w:rPr>
          <w:rFonts w:cs="Arial"/>
        </w:rPr>
      </w:pPr>
      <w:r>
        <w:rPr>
          <w:rFonts w:cs="Arial"/>
        </w:rPr>
        <w:t xml:space="preserve">On a scale of 0-6, (0 – not at all, 6 – very much), please rate to what extent the following words describe your CURRENT MOOD: </w:t>
      </w:r>
    </w:p>
    <w:p w14:paraId="09831863" w14:textId="77777777" w:rsidR="007E0ABC" w:rsidRDefault="007E0ABC">
      <w:pPr>
        <w:rPr>
          <w:rFonts w:cs="Arial"/>
        </w:rPr>
      </w:pPr>
    </w:p>
    <w:p w14:paraId="054B33F5" w14:textId="77777777" w:rsidR="007E0ABC" w:rsidRPr="00436F11" w:rsidRDefault="007E0ABC">
      <w:pPr>
        <w:rPr>
          <w:rFonts w:cs="Arial"/>
        </w:rPr>
      </w:pPr>
    </w:p>
    <w:tbl>
      <w:tblPr>
        <w:tblStyle w:val="PlainTable1"/>
        <w:tblW w:w="0" w:type="auto"/>
        <w:jc w:val="center"/>
        <w:tblLayout w:type="fixed"/>
        <w:tblLook w:val="04A0" w:firstRow="1" w:lastRow="0" w:firstColumn="1" w:lastColumn="0" w:noHBand="0" w:noVBand="1"/>
      </w:tblPr>
      <w:tblGrid>
        <w:gridCol w:w="1777"/>
        <w:gridCol w:w="836"/>
        <w:gridCol w:w="836"/>
        <w:gridCol w:w="837"/>
        <w:gridCol w:w="836"/>
        <w:gridCol w:w="837"/>
        <w:gridCol w:w="836"/>
        <w:gridCol w:w="837"/>
      </w:tblGrid>
      <w:tr w:rsidR="007E0ABC" w:rsidRPr="00436F11" w14:paraId="5FE76E93" w14:textId="77777777" w:rsidTr="007D5ADC">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3114F501" w14:textId="77777777" w:rsidR="007E0ABC" w:rsidRPr="00436F11" w:rsidRDefault="007E0ABC" w:rsidP="00436F11">
            <w:pPr>
              <w:rPr>
                <w:rFonts w:cs="Arial"/>
              </w:rPr>
            </w:pPr>
          </w:p>
        </w:tc>
        <w:tc>
          <w:tcPr>
            <w:tcW w:w="836" w:type="dxa"/>
            <w:vAlign w:val="center"/>
          </w:tcPr>
          <w:p w14:paraId="0C07E748" w14:textId="77777777" w:rsidR="007E0AB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i/>
                <w:iCs/>
              </w:rPr>
            </w:pPr>
            <w:r w:rsidRPr="007D5ADC">
              <w:rPr>
                <w:rFonts w:cs="Arial"/>
                <w:b w:val="0"/>
                <w:bCs w:val="0"/>
                <w:i/>
                <w:iCs/>
              </w:rPr>
              <w:t>Not at all</w:t>
            </w:r>
            <w:r>
              <w:rPr>
                <w:rFonts w:cs="Arial"/>
                <w:b w:val="0"/>
                <w:bCs w:val="0"/>
                <w:i/>
                <w:iCs/>
              </w:rPr>
              <w:t xml:space="preserve"> </w:t>
            </w:r>
          </w:p>
          <w:p w14:paraId="26406650" w14:textId="77777777" w:rsidR="007E0ABC" w:rsidRPr="007D5AD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b w:val="0"/>
                <w:bCs w:val="0"/>
                <w:i/>
                <w:iCs/>
              </w:rPr>
            </w:pPr>
            <w:r>
              <w:rPr>
                <w:rFonts w:cs="Arial"/>
                <w:b w:val="0"/>
                <w:bCs w:val="0"/>
                <w:i/>
                <w:iCs/>
              </w:rPr>
              <w:t>(0)</w:t>
            </w:r>
          </w:p>
        </w:tc>
        <w:tc>
          <w:tcPr>
            <w:tcW w:w="836" w:type="dxa"/>
            <w:vAlign w:val="center"/>
          </w:tcPr>
          <w:p w14:paraId="0FA1C489" w14:textId="77777777" w:rsidR="007E0ABC" w:rsidRPr="007D5AD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b w:val="0"/>
                <w:bCs w:val="0"/>
                <w:i/>
                <w:iCs/>
              </w:rPr>
            </w:pPr>
            <w:r>
              <w:rPr>
                <w:rFonts w:cs="Arial"/>
                <w:b w:val="0"/>
                <w:bCs w:val="0"/>
                <w:i/>
                <w:iCs/>
              </w:rPr>
              <w:t>(1)</w:t>
            </w:r>
          </w:p>
        </w:tc>
        <w:tc>
          <w:tcPr>
            <w:tcW w:w="837" w:type="dxa"/>
            <w:vAlign w:val="center"/>
          </w:tcPr>
          <w:p w14:paraId="4BFD7B75" w14:textId="77777777" w:rsidR="007E0ABC" w:rsidRPr="007D5AD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b w:val="0"/>
                <w:bCs w:val="0"/>
                <w:i/>
                <w:iCs/>
              </w:rPr>
            </w:pPr>
            <w:r>
              <w:rPr>
                <w:rFonts w:cs="Arial"/>
                <w:b w:val="0"/>
                <w:bCs w:val="0"/>
                <w:i/>
                <w:iCs/>
              </w:rPr>
              <w:t>(2)</w:t>
            </w:r>
          </w:p>
        </w:tc>
        <w:tc>
          <w:tcPr>
            <w:tcW w:w="836" w:type="dxa"/>
            <w:vAlign w:val="center"/>
          </w:tcPr>
          <w:p w14:paraId="5676207A" w14:textId="77777777" w:rsidR="007E0ABC" w:rsidRPr="007D5AD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b w:val="0"/>
                <w:bCs w:val="0"/>
                <w:i/>
                <w:iCs/>
              </w:rPr>
            </w:pPr>
            <w:r>
              <w:rPr>
                <w:rFonts w:cs="Arial"/>
                <w:b w:val="0"/>
                <w:bCs w:val="0"/>
                <w:i/>
                <w:iCs/>
              </w:rPr>
              <w:t>(3)</w:t>
            </w:r>
          </w:p>
        </w:tc>
        <w:tc>
          <w:tcPr>
            <w:tcW w:w="837" w:type="dxa"/>
            <w:vAlign w:val="center"/>
          </w:tcPr>
          <w:p w14:paraId="0CC8D485" w14:textId="77777777" w:rsidR="007E0ABC" w:rsidRPr="007D5AD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b w:val="0"/>
                <w:bCs w:val="0"/>
                <w:i/>
                <w:iCs/>
              </w:rPr>
            </w:pPr>
            <w:r>
              <w:rPr>
                <w:rFonts w:cs="Arial"/>
                <w:b w:val="0"/>
                <w:bCs w:val="0"/>
                <w:i/>
                <w:iCs/>
              </w:rPr>
              <w:t>(4)</w:t>
            </w:r>
          </w:p>
        </w:tc>
        <w:tc>
          <w:tcPr>
            <w:tcW w:w="836" w:type="dxa"/>
            <w:vAlign w:val="center"/>
          </w:tcPr>
          <w:p w14:paraId="0F8DB0E3" w14:textId="77777777" w:rsidR="007E0ABC" w:rsidRPr="007D5AD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b w:val="0"/>
                <w:bCs w:val="0"/>
                <w:i/>
                <w:iCs/>
              </w:rPr>
            </w:pPr>
            <w:r>
              <w:rPr>
                <w:rFonts w:cs="Arial"/>
                <w:b w:val="0"/>
                <w:bCs w:val="0"/>
                <w:i/>
                <w:iCs/>
              </w:rPr>
              <w:t>(5)</w:t>
            </w:r>
          </w:p>
        </w:tc>
        <w:tc>
          <w:tcPr>
            <w:tcW w:w="837" w:type="dxa"/>
            <w:vAlign w:val="center"/>
          </w:tcPr>
          <w:p w14:paraId="49C79B47" w14:textId="77777777" w:rsidR="007E0AB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i/>
                <w:iCs/>
              </w:rPr>
            </w:pPr>
            <w:r w:rsidRPr="007D5ADC">
              <w:rPr>
                <w:rFonts w:cs="Arial"/>
                <w:b w:val="0"/>
                <w:bCs w:val="0"/>
                <w:i/>
                <w:iCs/>
              </w:rPr>
              <w:t>Very much</w:t>
            </w:r>
          </w:p>
          <w:p w14:paraId="099CD015" w14:textId="77777777" w:rsidR="007E0ABC" w:rsidRPr="007D5ADC" w:rsidRDefault="007E0ABC" w:rsidP="007D5ADC">
            <w:pPr>
              <w:jc w:val="center"/>
              <w:cnfStyle w:val="100000000000" w:firstRow="1" w:lastRow="0" w:firstColumn="0" w:lastColumn="0" w:oddVBand="0" w:evenVBand="0" w:oddHBand="0" w:evenHBand="0" w:firstRowFirstColumn="0" w:firstRowLastColumn="0" w:lastRowFirstColumn="0" w:lastRowLastColumn="0"/>
              <w:rPr>
                <w:rFonts w:cs="Arial"/>
                <w:b w:val="0"/>
                <w:bCs w:val="0"/>
                <w:i/>
                <w:iCs/>
              </w:rPr>
            </w:pPr>
            <w:r>
              <w:rPr>
                <w:rFonts w:cs="Arial"/>
                <w:b w:val="0"/>
                <w:bCs w:val="0"/>
                <w:i/>
                <w:iCs/>
              </w:rPr>
              <w:t>(6)</w:t>
            </w:r>
          </w:p>
        </w:tc>
      </w:tr>
      <w:tr w:rsidR="007E0ABC" w:rsidRPr="00436F11" w14:paraId="7D9AFD90" w14:textId="77777777" w:rsidTr="007D5ADC">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4C89D90A" w14:textId="77777777" w:rsidR="007E0ABC" w:rsidRPr="00436F11" w:rsidRDefault="007E0ABC" w:rsidP="00436F11">
            <w:pPr>
              <w:rPr>
                <w:rFonts w:cs="Arial"/>
              </w:rPr>
            </w:pPr>
            <w:r>
              <w:rPr>
                <w:rFonts w:cs="Arial"/>
              </w:rPr>
              <w:t>Anxious</w:t>
            </w:r>
          </w:p>
        </w:tc>
        <w:tc>
          <w:tcPr>
            <w:tcW w:w="836" w:type="dxa"/>
            <w:vAlign w:val="center"/>
          </w:tcPr>
          <w:p w14:paraId="5F583417"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55D33FEE"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244864AE"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084B2B2D"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46C40728"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69537101"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41232DA6"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7E0ABC" w:rsidRPr="00436F11" w14:paraId="406AB669" w14:textId="77777777" w:rsidTr="007D5ADC">
        <w:trPr>
          <w:trHeight w:val="850"/>
          <w:jc w:val="center"/>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3DFE695C" w14:textId="77777777" w:rsidR="007E0ABC" w:rsidRPr="00436F11" w:rsidRDefault="007E0ABC" w:rsidP="00436F11">
            <w:pPr>
              <w:rPr>
                <w:rFonts w:cs="Arial"/>
              </w:rPr>
            </w:pPr>
            <w:r>
              <w:rPr>
                <w:rFonts w:cs="Arial"/>
              </w:rPr>
              <w:t>Elated</w:t>
            </w:r>
          </w:p>
        </w:tc>
        <w:tc>
          <w:tcPr>
            <w:tcW w:w="836" w:type="dxa"/>
            <w:vAlign w:val="center"/>
          </w:tcPr>
          <w:p w14:paraId="641CC590"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3ED408AB"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675D5C6A"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03AF359D"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73A8791C"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213B2667"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753D0160"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7E0ABC" w:rsidRPr="00436F11" w14:paraId="6720A0A7" w14:textId="77777777" w:rsidTr="007D5ADC">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58E4C1C5" w14:textId="77777777" w:rsidR="007E0ABC" w:rsidRPr="00436F11" w:rsidRDefault="007E0ABC" w:rsidP="00436F11">
            <w:pPr>
              <w:rPr>
                <w:rFonts w:cs="Arial"/>
              </w:rPr>
            </w:pPr>
            <w:r>
              <w:rPr>
                <w:rFonts w:cs="Arial"/>
              </w:rPr>
              <w:t>Sad</w:t>
            </w:r>
          </w:p>
        </w:tc>
        <w:tc>
          <w:tcPr>
            <w:tcW w:w="836" w:type="dxa"/>
            <w:vAlign w:val="center"/>
          </w:tcPr>
          <w:p w14:paraId="5AEA846C"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71E7059D"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46CF44D5"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18906F55"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780BBC15"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753B7846"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0581FF02"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7E0ABC" w:rsidRPr="00436F11" w14:paraId="24FFBCE8" w14:textId="77777777" w:rsidTr="007D5ADC">
        <w:trPr>
          <w:trHeight w:val="850"/>
          <w:jc w:val="center"/>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69C017F5" w14:textId="77777777" w:rsidR="007E0ABC" w:rsidRPr="00436F11" w:rsidRDefault="007E0ABC" w:rsidP="00436F11">
            <w:pPr>
              <w:rPr>
                <w:rFonts w:cs="Arial"/>
              </w:rPr>
            </w:pPr>
            <w:r>
              <w:rPr>
                <w:rFonts w:cs="Arial"/>
              </w:rPr>
              <w:t>Angry</w:t>
            </w:r>
          </w:p>
        </w:tc>
        <w:tc>
          <w:tcPr>
            <w:tcW w:w="836" w:type="dxa"/>
            <w:vAlign w:val="center"/>
          </w:tcPr>
          <w:p w14:paraId="0964046C"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5D0A64B8"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72C6DD9A"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52305953"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23DFB313"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57E5A549"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2002C301"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7E0ABC" w:rsidRPr="00436F11" w14:paraId="09522A7A" w14:textId="77777777" w:rsidTr="007D5ADC">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01FEC4F6" w14:textId="77777777" w:rsidR="007E0ABC" w:rsidRPr="00436F11" w:rsidRDefault="007E0ABC" w:rsidP="00436F11">
            <w:pPr>
              <w:rPr>
                <w:rFonts w:cs="Arial"/>
              </w:rPr>
            </w:pPr>
            <w:r>
              <w:rPr>
                <w:rFonts w:cs="Arial"/>
              </w:rPr>
              <w:t>Irritable</w:t>
            </w:r>
          </w:p>
        </w:tc>
        <w:tc>
          <w:tcPr>
            <w:tcW w:w="836" w:type="dxa"/>
            <w:vAlign w:val="center"/>
          </w:tcPr>
          <w:p w14:paraId="25D6B915"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39871873"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0EC1B8A4"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38D51C48"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62AAD28B"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6" w:type="dxa"/>
            <w:vAlign w:val="center"/>
          </w:tcPr>
          <w:p w14:paraId="4E5BF6E9"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837" w:type="dxa"/>
            <w:vAlign w:val="center"/>
          </w:tcPr>
          <w:p w14:paraId="391C2F5F" w14:textId="77777777" w:rsidR="007E0ABC" w:rsidRPr="00436F11" w:rsidRDefault="007E0ABC" w:rsidP="007D5ADC">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7E0ABC" w:rsidRPr="00436F11" w14:paraId="75554107" w14:textId="77777777" w:rsidTr="007D5ADC">
        <w:trPr>
          <w:trHeight w:val="850"/>
          <w:jc w:val="center"/>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3034516E" w14:textId="77777777" w:rsidR="007E0ABC" w:rsidRPr="00436F11" w:rsidRDefault="007E0ABC" w:rsidP="00436F11">
            <w:pPr>
              <w:rPr>
                <w:rFonts w:cs="Arial"/>
              </w:rPr>
            </w:pPr>
            <w:r>
              <w:rPr>
                <w:rFonts w:cs="Arial"/>
              </w:rPr>
              <w:t>Energetic</w:t>
            </w:r>
          </w:p>
        </w:tc>
        <w:tc>
          <w:tcPr>
            <w:tcW w:w="836" w:type="dxa"/>
            <w:vAlign w:val="center"/>
          </w:tcPr>
          <w:p w14:paraId="6224AAE5"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33BD0D67"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76B7E5B5"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07F440ED"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406B746D"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6" w:type="dxa"/>
            <w:vAlign w:val="center"/>
          </w:tcPr>
          <w:p w14:paraId="755E5981"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837" w:type="dxa"/>
            <w:vAlign w:val="center"/>
          </w:tcPr>
          <w:p w14:paraId="3F9C96E2" w14:textId="77777777" w:rsidR="007E0ABC" w:rsidRPr="00436F11" w:rsidRDefault="007E0ABC" w:rsidP="007D5ADC">
            <w:pPr>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62AC9D15" w14:textId="77777777" w:rsidR="007E0ABC" w:rsidRDefault="007E0ABC"/>
    <w:p w14:paraId="13130C11" w14:textId="77777777" w:rsidR="007E0ABC" w:rsidRDefault="007E0ABC"/>
    <w:p w14:paraId="5CC2AF0E" w14:textId="77777777" w:rsidR="007E0ABC" w:rsidRDefault="007E0ABC"/>
    <w:p w14:paraId="33C2A5D8" w14:textId="77777777" w:rsidR="007E0ABC" w:rsidRDefault="007E0ABC" w:rsidP="00BE678E">
      <w:pPr>
        <w:pStyle w:val="Subtitle"/>
        <w:jc w:val="center"/>
        <w:rPr>
          <w:rFonts w:ascii="Avenir Book" w:hAnsi="Avenir Book"/>
          <w:i/>
          <w:iCs/>
          <w:sz w:val="28"/>
          <w:szCs w:val="28"/>
        </w:rPr>
      </w:pPr>
    </w:p>
    <w:p w14:paraId="4D612FAD" w14:textId="77777777" w:rsidR="007E0ABC" w:rsidRDefault="007E0ABC">
      <w:pPr>
        <w:rPr>
          <w:rFonts w:eastAsia="Georgia" w:cs="Georgia"/>
          <w:iCs/>
          <w:color w:val="666666"/>
          <w:sz w:val="28"/>
          <w:szCs w:val="28"/>
          <w:lang w:eastAsia="en-GB"/>
        </w:rPr>
      </w:pPr>
      <w:r>
        <w:rPr>
          <w:i/>
          <w:iCs/>
          <w:sz w:val="28"/>
          <w:szCs w:val="28"/>
        </w:rPr>
        <w:br w:type="page"/>
      </w:r>
    </w:p>
    <w:p w14:paraId="246EE261" w14:textId="77777777" w:rsidR="007E0ABC" w:rsidRPr="001C2A50" w:rsidRDefault="007E0ABC" w:rsidP="00BE678E">
      <w:pPr>
        <w:pStyle w:val="Subtitle"/>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A</w:t>
      </w:r>
      <w:r w:rsidRPr="00C260F1">
        <w:rPr>
          <w:rFonts w:ascii="Avenir Book" w:hAnsi="Avenir Book"/>
          <w:iCs/>
          <w:sz w:val="28"/>
          <w:szCs w:val="28"/>
        </w:rPr>
        <w:t xml:space="preserve"> – Included Study Measures – </w:t>
      </w:r>
      <w:r>
        <w:rPr>
          <w:rFonts w:ascii="Avenir Book" w:hAnsi="Avenir Book"/>
          <w:iCs/>
          <w:sz w:val="28"/>
          <w:szCs w:val="28"/>
        </w:rPr>
        <w:t>(10) DERS</w:t>
      </w:r>
      <w:r w:rsidRPr="00C260F1">
        <w:rPr>
          <w:rFonts w:ascii="Avenir Book" w:hAnsi="Avenir Book"/>
          <w:iCs/>
          <w:sz w:val="28"/>
          <w:szCs w:val="28"/>
        </w:rPr>
        <w:t xml:space="preserve"> Questionnaire</w:t>
      </w:r>
    </w:p>
    <w:p w14:paraId="4CEF779B" w14:textId="77777777" w:rsidR="007E0ABC" w:rsidRPr="002A2819" w:rsidRDefault="007E0ABC" w:rsidP="00DE22F6">
      <w:pPr>
        <w:pBdr>
          <w:bottom w:val="single" w:sz="4" w:space="1" w:color="auto"/>
        </w:pBdr>
        <w:jc w:val="center"/>
        <w:rPr>
          <w:rFonts w:eastAsia="Times New Roman" w:cstheme="minorHAnsi"/>
          <w:b/>
          <w:bCs/>
          <w:sz w:val="36"/>
          <w:szCs w:val="36"/>
          <w:lang w:eastAsia="en-GB"/>
        </w:rPr>
      </w:pPr>
      <w:r w:rsidRPr="002A2819">
        <w:rPr>
          <w:rFonts w:eastAsia="Times New Roman" w:cstheme="minorHAnsi"/>
          <w:b/>
          <w:bCs/>
          <w:sz w:val="36"/>
          <w:szCs w:val="36"/>
          <w:lang w:eastAsia="en-GB"/>
        </w:rPr>
        <w:t>Difficulties in Emotion Regulation Scale (DERS)</w:t>
      </w:r>
    </w:p>
    <w:p w14:paraId="19CC6362" w14:textId="77777777" w:rsidR="007E0ABC" w:rsidRPr="002A2819" w:rsidRDefault="007E0ABC" w:rsidP="00DE22F6">
      <w:pPr>
        <w:rPr>
          <w:rFonts w:eastAsia="Times New Roman" w:cstheme="minorHAnsi"/>
          <w:sz w:val="22"/>
          <w:szCs w:val="22"/>
          <w:lang w:eastAsia="en-GB"/>
        </w:rPr>
      </w:pPr>
    </w:p>
    <w:p w14:paraId="510D538F"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Please indicate how often the following statements apply to you by writing the appropriate number from the scale below on the line beside each item. </w:t>
      </w:r>
    </w:p>
    <w:p w14:paraId="074B6E31" w14:textId="77777777" w:rsidR="007E0ABC" w:rsidRPr="002A2819" w:rsidRDefault="007E0ABC" w:rsidP="00DE22F6">
      <w:pPr>
        <w:jc w:val="center"/>
        <w:rPr>
          <w:rFonts w:eastAsia="Times New Roman" w:cstheme="minorHAnsi"/>
          <w:sz w:val="22"/>
          <w:szCs w:val="22"/>
          <w:lang w:eastAsia="en-GB"/>
        </w:rPr>
      </w:pPr>
      <w:r w:rsidRPr="002A2819">
        <w:rPr>
          <w:rFonts w:eastAsia="Times New Roman" w:cstheme="minorHAnsi"/>
          <w:sz w:val="22"/>
          <w:szCs w:val="22"/>
          <w:lang w:eastAsia="en-GB"/>
        </w:rPr>
        <w:t>1------------------------2---------------------------3---------------------------4---------------------------5</w:t>
      </w:r>
    </w:p>
    <w:p w14:paraId="73CF0E16" w14:textId="77777777" w:rsidR="007E0ABC" w:rsidRPr="002A2819" w:rsidRDefault="007E0ABC" w:rsidP="00DE22F6">
      <w:pPr>
        <w:jc w:val="center"/>
        <w:rPr>
          <w:rFonts w:eastAsia="Times New Roman" w:cstheme="minorHAnsi"/>
          <w:sz w:val="22"/>
          <w:szCs w:val="22"/>
          <w:lang w:eastAsia="en-GB"/>
        </w:rPr>
      </w:pPr>
      <w:r w:rsidRPr="002A2819">
        <w:rPr>
          <w:rFonts w:eastAsia="Times New Roman" w:cstheme="minorHAnsi"/>
          <w:sz w:val="22"/>
          <w:szCs w:val="22"/>
          <w:lang w:eastAsia="en-GB"/>
        </w:rPr>
        <w:t>almost never</w:t>
      </w:r>
      <w:r w:rsidRPr="002A2819">
        <w:rPr>
          <w:rFonts w:eastAsia="Times New Roman" w:cstheme="minorHAnsi"/>
          <w:sz w:val="22"/>
          <w:szCs w:val="22"/>
          <w:lang w:eastAsia="en-GB"/>
        </w:rPr>
        <w:tab/>
        <w:t xml:space="preserve">   sometimes</w:t>
      </w:r>
      <w:r w:rsidRPr="002A2819">
        <w:rPr>
          <w:rFonts w:eastAsia="Times New Roman" w:cstheme="minorHAnsi"/>
          <w:sz w:val="22"/>
          <w:szCs w:val="22"/>
          <w:lang w:eastAsia="en-GB"/>
        </w:rPr>
        <w:tab/>
        <w:t xml:space="preserve">      about half the time         most of the time      almost always</w:t>
      </w:r>
    </w:p>
    <w:p w14:paraId="695C5C59" w14:textId="77777777" w:rsidR="007E0ABC" w:rsidRPr="002A2819" w:rsidRDefault="007E0ABC" w:rsidP="001A15B4">
      <w:pPr>
        <w:rPr>
          <w:rFonts w:eastAsia="Times New Roman" w:cstheme="minorHAnsi"/>
          <w:sz w:val="22"/>
          <w:szCs w:val="22"/>
          <w:lang w:eastAsia="en-GB"/>
        </w:rPr>
      </w:pPr>
      <w:r w:rsidRPr="002A2819">
        <w:rPr>
          <w:rFonts w:eastAsia="Times New Roman" w:cstheme="minorHAnsi"/>
          <w:sz w:val="22"/>
          <w:szCs w:val="22"/>
          <w:lang w:eastAsia="en-GB"/>
        </w:rPr>
        <w:t xml:space="preserve">(0-10%) </w:t>
      </w:r>
      <w:r w:rsidRPr="002A2819">
        <w:rPr>
          <w:rFonts w:eastAsia="Times New Roman" w:cstheme="minorHAnsi"/>
          <w:sz w:val="22"/>
          <w:szCs w:val="22"/>
          <w:lang w:eastAsia="en-GB"/>
        </w:rPr>
        <w:tab/>
        <w:t xml:space="preserve">      (11-35%) </w:t>
      </w:r>
      <w:r w:rsidRPr="002A2819">
        <w:rPr>
          <w:rFonts w:eastAsia="Times New Roman" w:cstheme="minorHAnsi"/>
          <w:sz w:val="22"/>
          <w:szCs w:val="22"/>
          <w:lang w:eastAsia="en-GB"/>
        </w:rPr>
        <w:tab/>
        <w:t xml:space="preserve">                (36-65%)</w:t>
      </w:r>
      <w:r w:rsidRPr="002A2819">
        <w:rPr>
          <w:rFonts w:eastAsia="Times New Roman" w:cstheme="minorHAnsi"/>
          <w:sz w:val="22"/>
          <w:szCs w:val="22"/>
          <w:lang w:eastAsia="en-GB"/>
        </w:rPr>
        <w:tab/>
      </w:r>
      <w:r w:rsidRPr="002A2819">
        <w:rPr>
          <w:rFonts w:eastAsia="Times New Roman" w:cstheme="minorHAnsi"/>
          <w:sz w:val="22"/>
          <w:szCs w:val="22"/>
          <w:lang w:eastAsia="en-GB"/>
        </w:rPr>
        <w:tab/>
        <w:t xml:space="preserve"> (66-90%) </w:t>
      </w:r>
      <w:r w:rsidRPr="002A2819">
        <w:rPr>
          <w:rFonts w:eastAsia="Times New Roman" w:cstheme="minorHAnsi"/>
          <w:sz w:val="22"/>
          <w:szCs w:val="22"/>
          <w:lang w:eastAsia="en-GB"/>
        </w:rPr>
        <w:tab/>
      </w:r>
      <w:r w:rsidRPr="002A2819">
        <w:rPr>
          <w:rFonts w:eastAsia="Times New Roman" w:cstheme="minorHAnsi"/>
          <w:sz w:val="22"/>
          <w:szCs w:val="22"/>
          <w:lang w:eastAsia="en-GB"/>
        </w:rPr>
        <w:tab/>
        <w:t xml:space="preserve">(91-100%) </w:t>
      </w:r>
    </w:p>
    <w:p w14:paraId="174FB400" w14:textId="77777777" w:rsidR="007E0ABC" w:rsidRPr="002A2819" w:rsidRDefault="007E0ABC" w:rsidP="00DE22F6">
      <w:pPr>
        <w:jc w:val="center"/>
        <w:rPr>
          <w:rFonts w:eastAsia="Times New Roman" w:cstheme="minorHAnsi"/>
          <w:sz w:val="22"/>
          <w:szCs w:val="22"/>
          <w:lang w:eastAsia="en-GB"/>
        </w:rPr>
      </w:pPr>
    </w:p>
    <w:p w14:paraId="67B92C87"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 I am clear about my feelings. _____ </w:t>
      </w:r>
    </w:p>
    <w:p w14:paraId="45EE30A7"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2) I pay attention to how I feel. _____</w:t>
      </w:r>
    </w:p>
    <w:p w14:paraId="5DCD48F0"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3) I experience my emotions as overwhelming and out of control. _____ </w:t>
      </w:r>
    </w:p>
    <w:p w14:paraId="277409F6"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4) I have no idea how I am feeling. _____ </w:t>
      </w:r>
    </w:p>
    <w:p w14:paraId="29AEF5FD"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5) I have difficulty making sense out of my feelings. _____ </w:t>
      </w:r>
    </w:p>
    <w:p w14:paraId="381FB9A9"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6) I am attentive to my feelings. _____ </w:t>
      </w:r>
    </w:p>
    <w:p w14:paraId="34225E90"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7) I know exactly how I am feeling. _____ </w:t>
      </w:r>
    </w:p>
    <w:p w14:paraId="25928FCF"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8) I care about what I am feeling. _____ </w:t>
      </w:r>
    </w:p>
    <w:p w14:paraId="02A3B558"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9) I am confused about how I feel. _____ </w:t>
      </w:r>
    </w:p>
    <w:p w14:paraId="5D70ACD6"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10) When I’m upset, I acknowledge my emotions. _____ </w:t>
      </w:r>
    </w:p>
    <w:p w14:paraId="46A36C9B"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11) When I’m upset, I become angry with myself for feeling that way. _____ </w:t>
      </w:r>
    </w:p>
    <w:p w14:paraId="068A3F25"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12) When I’m upset, I become embarrassed for feeling that way. _____ </w:t>
      </w:r>
    </w:p>
    <w:p w14:paraId="00A510D6"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13) When I’m upset, I have difficulty getting work done. _____ </w:t>
      </w:r>
    </w:p>
    <w:p w14:paraId="5783A387"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14) When I’m upset, I become out of control. _____ </w:t>
      </w:r>
    </w:p>
    <w:p w14:paraId="70255E50"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15) When I’m upset, I believe that I will remain that way for a long time. _____ </w:t>
      </w:r>
    </w:p>
    <w:p w14:paraId="64A01A6C"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16) When I’m upset, I believe that I will end up feeling very depressed. _____ </w:t>
      </w:r>
    </w:p>
    <w:p w14:paraId="6D2288B5"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17) When I’m upset, I believe that my feelings are valid and important. _____ </w:t>
      </w:r>
    </w:p>
    <w:p w14:paraId="60E38209"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18) When I’m upset, I have difficulty focusing on other things. _____ </w:t>
      </w:r>
    </w:p>
    <w:p w14:paraId="13007DE5"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19) When I’m upset, I feel out of control. _____ </w:t>
      </w:r>
    </w:p>
    <w:p w14:paraId="14EA7FE1"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20) When I’m upset, I can still get things done. _____ </w:t>
      </w:r>
    </w:p>
    <w:p w14:paraId="03388B5F"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21) When I’m upset, I feel ashamed at myself for feeling that way. _____ </w:t>
      </w:r>
    </w:p>
    <w:p w14:paraId="2B476A91"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22) When I’m upset, I know that I can find a way to eventually feel better. _____ </w:t>
      </w:r>
    </w:p>
    <w:p w14:paraId="6DD01936"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23) When I’m upset, I feel like I am weak. _____ </w:t>
      </w:r>
    </w:p>
    <w:p w14:paraId="636429F8"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24) When I’m upset, I feel like I can remain in control of my </w:t>
      </w:r>
      <w:proofErr w:type="spellStart"/>
      <w:r w:rsidRPr="002A2819">
        <w:rPr>
          <w:rFonts w:eastAsia="Times New Roman" w:cstheme="minorHAnsi"/>
          <w:sz w:val="22"/>
          <w:szCs w:val="22"/>
          <w:lang w:eastAsia="en-GB"/>
        </w:rPr>
        <w:t>behaviors</w:t>
      </w:r>
      <w:proofErr w:type="spellEnd"/>
      <w:r w:rsidRPr="002A2819">
        <w:rPr>
          <w:rFonts w:eastAsia="Times New Roman" w:cstheme="minorHAnsi"/>
          <w:sz w:val="22"/>
          <w:szCs w:val="22"/>
          <w:lang w:eastAsia="en-GB"/>
        </w:rPr>
        <w:t xml:space="preserve">. _____ </w:t>
      </w:r>
    </w:p>
    <w:p w14:paraId="14AB0AF4"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25) When I’m upset, I feel guilty for feeling that way. _____ </w:t>
      </w:r>
    </w:p>
    <w:p w14:paraId="00CFEFC9"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lastRenderedPageBreak/>
        <w:t xml:space="preserve">26) When I’m upset, I have difficulty concentrating. _____ </w:t>
      </w:r>
    </w:p>
    <w:p w14:paraId="442EADE3"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27) When I’m upset, I have difficulty controlling my </w:t>
      </w:r>
      <w:proofErr w:type="spellStart"/>
      <w:r w:rsidRPr="002A2819">
        <w:rPr>
          <w:rFonts w:eastAsia="Times New Roman" w:cstheme="minorHAnsi"/>
          <w:sz w:val="22"/>
          <w:szCs w:val="22"/>
          <w:lang w:eastAsia="en-GB"/>
        </w:rPr>
        <w:t>behaviors</w:t>
      </w:r>
      <w:proofErr w:type="spellEnd"/>
      <w:r w:rsidRPr="002A2819">
        <w:rPr>
          <w:rFonts w:eastAsia="Times New Roman" w:cstheme="minorHAnsi"/>
          <w:sz w:val="22"/>
          <w:szCs w:val="22"/>
          <w:lang w:eastAsia="en-GB"/>
        </w:rPr>
        <w:t xml:space="preserve">. _____ </w:t>
      </w:r>
    </w:p>
    <w:p w14:paraId="4DD1BC53"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28) When I’m upset, I believe there is nothing I can do to make myself feel better. _____ </w:t>
      </w:r>
    </w:p>
    <w:p w14:paraId="02329FD0"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29) When I’m upset, I become irritated at myself for feeling that way. _____ </w:t>
      </w:r>
    </w:p>
    <w:p w14:paraId="6B299200"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30) When I’m upset, I start to feel very bad about myself. _____ </w:t>
      </w:r>
    </w:p>
    <w:p w14:paraId="34D306FC"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31) When I’m upset, I believe that wallowing in it is all I can do. _____ </w:t>
      </w:r>
    </w:p>
    <w:p w14:paraId="1EBFBB34"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32) When I’m upset, I lose control over my </w:t>
      </w:r>
      <w:proofErr w:type="spellStart"/>
      <w:r w:rsidRPr="002A2819">
        <w:rPr>
          <w:rFonts w:eastAsia="Times New Roman" w:cstheme="minorHAnsi"/>
          <w:sz w:val="22"/>
          <w:szCs w:val="22"/>
          <w:lang w:eastAsia="en-GB"/>
        </w:rPr>
        <w:t>behavior</w:t>
      </w:r>
      <w:proofErr w:type="spellEnd"/>
      <w:r w:rsidRPr="002A2819">
        <w:rPr>
          <w:rFonts w:eastAsia="Times New Roman" w:cstheme="minorHAnsi"/>
          <w:sz w:val="22"/>
          <w:szCs w:val="22"/>
          <w:lang w:eastAsia="en-GB"/>
        </w:rPr>
        <w:t xml:space="preserve">. _____ </w:t>
      </w:r>
    </w:p>
    <w:p w14:paraId="3C7D8292"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33) When I’m upset, I have difficulty thinking about anything else. _____ </w:t>
      </w:r>
    </w:p>
    <w:p w14:paraId="3606FC39"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34) When I’m upset I take time to figure out what I’m really feeling. _____ </w:t>
      </w:r>
    </w:p>
    <w:p w14:paraId="4506E0BC"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35) When I’m upset, it takes me a long time to feel better. _____ </w:t>
      </w:r>
    </w:p>
    <w:p w14:paraId="33E877D2"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36) When I’m upset, my emotions feel overwhelming. </w:t>
      </w:r>
    </w:p>
    <w:p w14:paraId="78497FDD"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Reverse-scored items (place a subtraction sign in front of them) are numbered 1, 2, 6, 7, 8, 10, 17, 20, 22, 24 and 34.</w:t>
      </w:r>
    </w:p>
    <w:p w14:paraId="36BB338D"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Calculate total score by adding everything up. </w:t>
      </w:r>
    </w:p>
    <w:p w14:paraId="46B58236"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Higher scores suggest greater problems with emotion regulation. </w:t>
      </w:r>
    </w:p>
    <w:p w14:paraId="3C51313A"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SUBSCALE SCORING**: </w:t>
      </w:r>
    </w:p>
    <w:p w14:paraId="11DA4F39" w14:textId="77777777" w:rsidR="007E0ABC" w:rsidRPr="002A2819" w:rsidRDefault="007E0ABC" w:rsidP="00DE22F6">
      <w:pPr>
        <w:rPr>
          <w:rFonts w:eastAsia="Times New Roman" w:cstheme="minorHAnsi"/>
          <w:sz w:val="22"/>
          <w:szCs w:val="22"/>
          <w:lang w:eastAsia="en-GB"/>
        </w:rPr>
      </w:pPr>
      <w:r w:rsidRPr="002A2819">
        <w:rPr>
          <w:rFonts w:eastAsia="Times New Roman" w:cstheme="minorHAnsi"/>
          <w:sz w:val="22"/>
          <w:szCs w:val="22"/>
          <w:lang w:eastAsia="en-GB"/>
        </w:rPr>
        <w:t xml:space="preserve">The measure yields a total score (SUM) as well as scores on six sub-scales: </w:t>
      </w:r>
    </w:p>
    <w:p w14:paraId="7F1DE651" w14:textId="77777777" w:rsidR="007E0ABC" w:rsidRPr="002A2819" w:rsidRDefault="007E0ABC" w:rsidP="007E0ABC">
      <w:pPr>
        <w:pStyle w:val="ListParagraph"/>
        <w:numPr>
          <w:ilvl w:val="0"/>
          <w:numId w:val="230"/>
        </w:numPr>
        <w:jc w:val="left"/>
        <w:rPr>
          <w:rFonts w:eastAsia="Times New Roman" w:cstheme="minorHAnsi"/>
          <w:sz w:val="22"/>
          <w:szCs w:val="22"/>
          <w:lang w:eastAsia="en-GB"/>
        </w:rPr>
      </w:pPr>
      <w:r w:rsidRPr="002A2819">
        <w:rPr>
          <w:rFonts w:eastAsia="Times New Roman" w:cstheme="minorHAnsi"/>
          <w:sz w:val="22"/>
          <w:szCs w:val="22"/>
          <w:lang w:eastAsia="en-GB"/>
        </w:rPr>
        <w:t xml:space="preserve">Nonacceptance of emotional responses (NONACCEPT): 11, 12, 21, 23, 25, 29 </w:t>
      </w:r>
    </w:p>
    <w:p w14:paraId="39199C80" w14:textId="77777777" w:rsidR="007E0ABC" w:rsidRPr="002A2819" w:rsidRDefault="007E0ABC" w:rsidP="007E0ABC">
      <w:pPr>
        <w:pStyle w:val="ListParagraph"/>
        <w:numPr>
          <w:ilvl w:val="0"/>
          <w:numId w:val="230"/>
        </w:numPr>
        <w:jc w:val="left"/>
        <w:rPr>
          <w:rFonts w:eastAsia="Times New Roman" w:cstheme="minorHAnsi"/>
          <w:sz w:val="22"/>
          <w:szCs w:val="22"/>
          <w:lang w:eastAsia="en-GB"/>
        </w:rPr>
      </w:pPr>
      <w:r w:rsidRPr="002A2819">
        <w:rPr>
          <w:rFonts w:eastAsia="Times New Roman" w:cstheme="minorHAnsi"/>
          <w:sz w:val="22"/>
          <w:szCs w:val="22"/>
          <w:lang w:eastAsia="en-GB"/>
        </w:rPr>
        <w:t xml:space="preserve">Difficulty engaging in Goal-directed </w:t>
      </w:r>
      <w:proofErr w:type="spellStart"/>
      <w:r w:rsidRPr="002A2819">
        <w:rPr>
          <w:rFonts w:eastAsia="Times New Roman" w:cstheme="minorHAnsi"/>
          <w:sz w:val="22"/>
          <w:szCs w:val="22"/>
          <w:lang w:eastAsia="en-GB"/>
        </w:rPr>
        <w:t>behavior</w:t>
      </w:r>
      <w:proofErr w:type="spellEnd"/>
      <w:r w:rsidRPr="002A2819">
        <w:rPr>
          <w:rFonts w:eastAsia="Times New Roman" w:cstheme="minorHAnsi"/>
          <w:sz w:val="22"/>
          <w:szCs w:val="22"/>
          <w:lang w:eastAsia="en-GB"/>
        </w:rPr>
        <w:t xml:space="preserve"> (GOALS): 13, 18, 20R, 26, 33 3. </w:t>
      </w:r>
    </w:p>
    <w:p w14:paraId="2695A3B5" w14:textId="77777777" w:rsidR="007E0ABC" w:rsidRPr="002A2819" w:rsidRDefault="007E0ABC" w:rsidP="007E0ABC">
      <w:pPr>
        <w:pStyle w:val="ListParagraph"/>
        <w:numPr>
          <w:ilvl w:val="0"/>
          <w:numId w:val="230"/>
        </w:numPr>
        <w:jc w:val="left"/>
        <w:rPr>
          <w:rFonts w:eastAsia="Times New Roman" w:cstheme="minorHAnsi"/>
          <w:sz w:val="22"/>
          <w:szCs w:val="22"/>
          <w:lang w:eastAsia="en-GB"/>
        </w:rPr>
      </w:pPr>
      <w:r w:rsidRPr="002A2819">
        <w:rPr>
          <w:rFonts w:eastAsia="Times New Roman" w:cstheme="minorHAnsi"/>
          <w:sz w:val="22"/>
          <w:szCs w:val="22"/>
          <w:lang w:eastAsia="en-GB"/>
        </w:rPr>
        <w:t xml:space="preserve">Impulse control difficulties (IMPULSE): 3, 14, 19, 24R, 27, 32 </w:t>
      </w:r>
    </w:p>
    <w:p w14:paraId="55B61BFD" w14:textId="77777777" w:rsidR="007E0ABC" w:rsidRPr="002A2819" w:rsidRDefault="007E0ABC" w:rsidP="007E0ABC">
      <w:pPr>
        <w:pStyle w:val="ListParagraph"/>
        <w:numPr>
          <w:ilvl w:val="0"/>
          <w:numId w:val="230"/>
        </w:numPr>
        <w:jc w:val="left"/>
        <w:rPr>
          <w:rFonts w:eastAsia="Times New Roman" w:cstheme="minorHAnsi"/>
          <w:sz w:val="22"/>
          <w:szCs w:val="22"/>
          <w:lang w:eastAsia="en-GB"/>
        </w:rPr>
      </w:pPr>
      <w:r w:rsidRPr="002A2819">
        <w:rPr>
          <w:rFonts w:eastAsia="Times New Roman" w:cstheme="minorHAnsi"/>
          <w:sz w:val="22"/>
          <w:szCs w:val="22"/>
          <w:lang w:eastAsia="en-GB"/>
        </w:rPr>
        <w:t>Lack of emotional awareness (AWARENESS): 2R, 6R, 8R, 10R, 17R, 34R</w:t>
      </w:r>
    </w:p>
    <w:p w14:paraId="465C8C75" w14:textId="77777777" w:rsidR="007E0ABC" w:rsidRPr="002A2819" w:rsidRDefault="007E0ABC" w:rsidP="007E0ABC">
      <w:pPr>
        <w:pStyle w:val="ListParagraph"/>
        <w:numPr>
          <w:ilvl w:val="0"/>
          <w:numId w:val="230"/>
        </w:numPr>
        <w:jc w:val="left"/>
        <w:rPr>
          <w:rFonts w:eastAsia="Times New Roman" w:cstheme="minorHAnsi"/>
          <w:sz w:val="22"/>
          <w:szCs w:val="22"/>
          <w:lang w:eastAsia="en-GB"/>
        </w:rPr>
      </w:pPr>
      <w:r w:rsidRPr="002A2819">
        <w:rPr>
          <w:rFonts w:eastAsia="Times New Roman" w:cstheme="minorHAnsi"/>
          <w:sz w:val="22"/>
          <w:szCs w:val="22"/>
          <w:lang w:eastAsia="en-GB"/>
        </w:rPr>
        <w:t>Limited access to emotion regulation strategies (STRATEGIES): 15, 16, 22R, 28, 30, 31, 35, 36</w:t>
      </w:r>
    </w:p>
    <w:p w14:paraId="67852C48" w14:textId="77777777" w:rsidR="007E0ABC" w:rsidRPr="002A2819" w:rsidRDefault="007E0ABC" w:rsidP="007E0ABC">
      <w:pPr>
        <w:pStyle w:val="ListParagraph"/>
        <w:numPr>
          <w:ilvl w:val="0"/>
          <w:numId w:val="230"/>
        </w:numPr>
        <w:jc w:val="left"/>
        <w:rPr>
          <w:rFonts w:eastAsia="Times New Roman" w:cstheme="minorHAnsi"/>
          <w:sz w:val="22"/>
          <w:szCs w:val="22"/>
          <w:lang w:eastAsia="en-GB"/>
        </w:rPr>
      </w:pPr>
      <w:r w:rsidRPr="002A2819">
        <w:rPr>
          <w:rFonts w:eastAsia="Times New Roman" w:cstheme="minorHAnsi"/>
          <w:sz w:val="22"/>
          <w:szCs w:val="22"/>
          <w:lang w:eastAsia="en-GB"/>
        </w:rPr>
        <w:t xml:space="preserve">Lack of emotional clarity (CLARITY): 1R, 4, 5, 7R, 9 Total score: sum of all subscales **”R” indicates reverse scored item </w:t>
      </w:r>
    </w:p>
    <w:p w14:paraId="7B00C6CE" w14:textId="77777777" w:rsidR="007E0ABC" w:rsidRPr="002A2819" w:rsidRDefault="007E0ABC" w:rsidP="005F3B35">
      <w:pPr>
        <w:rPr>
          <w:rFonts w:eastAsia="Times New Roman" w:cstheme="minorHAnsi"/>
          <w:sz w:val="22"/>
          <w:szCs w:val="22"/>
          <w:lang w:eastAsia="en-GB"/>
        </w:rPr>
      </w:pPr>
      <w:r w:rsidRPr="002A2819">
        <w:rPr>
          <w:rFonts w:eastAsia="Times New Roman" w:cstheme="minorHAnsi"/>
          <w:sz w:val="22"/>
          <w:szCs w:val="22"/>
          <w:lang w:eastAsia="en-GB"/>
        </w:rPr>
        <w:t xml:space="preserve">REFERENCE: Gratz, K. L. &amp; Roemer, L. (2004). Multidimensional assessment of emotion regulation and dysregulation: Development, factor structure, and initial validation of the Difficulties in Emotion Regulation Scale. Journal of Psychopathology and </w:t>
      </w:r>
      <w:proofErr w:type="spellStart"/>
      <w:r w:rsidRPr="002A2819">
        <w:rPr>
          <w:rFonts w:eastAsia="Times New Roman" w:cstheme="minorHAnsi"/>
          <w:sz w:val="22"/>
          <w:szCs w:val="22"/>
          <w:lang w:eastAsia="en-GB"/>
        </w:rPr>
        <w:t>Behavioral</w:t>
      </w:r>
      <w:proofErr w:type="spellEnd"/>
      <w:r w:rsidRPr="002A2819">
        <w:rPr>
          <w:rFonts w:eastAsia="Times New Roman" w:cstheme="minorHAnsi"/>
          <w:sz w:val="22"/>
          <w:szCs w:val="22"/>
          <w:lang w:eastAsia="en-GB"/>
        </w:rPr>
        <w:t xml:space="preserve"> Assessment, 26, 41-54.</w:t>
      </w:r>
    </w:p>
    <w:p w14:paraId="2F0A4F24" w14:textId="77777777" w:rsidR="002A2819" w:rsidRDefault="002A2819">
      <w:pPr>
        <w:spacing w:line="240" w:lineRule="auto"/>
        <w:jc w:val="left"/>
        <w:rPr>
          <w:b/>
          <w:sz w:val="28"/>
          <w:szCs w:val="28"/>
        </w:rPr>
      </w:pPr>
      <w:r>
        <w:rPr>
          <w:b/>
          <w:sz w:val="28"/>
          <w:szCs w:val="28"/>
        </w:rPr>
        <w:br w:type="page"/>
      </w:r>
    </w:p>
    <w:p w14:paraId="67D7C851" w14:textId="5C406FB5" w:rsidR="007E0ABC" w:rsidRDefault="007E0ABC" w:rsidP="001B6A38">
      <w:pPr>
        <w:pBdr>
          <w:bottom w:val="single" w:sz="12" w:space="1" w:color="000000"/>
        </w:pBdr>
        <w:jc w:val="center"/>
        <w:rPr>
          <w:b/>
          <w:sz w:val="28"/>
          <w:szCs w:val="28"/>
        </w:rPr>
      </w:pPr>
      <w:r>
        <w:rPr>
          <w:b/>
          <w:sz w:val="28"/>
          <w:szCs w:val="28"/>
        </w:rPr>
        <w:lastRenderedPageBreak/>
        <w:t>Original EASE questionnaire for Epileptic and Non-Epileptic Seizures</w:t>
      </w:r>
    </w:p>
    <w:tbl>
      <w:tblPr>
        <w:tblW w:w="9000" w:type="dxa"/>
        <w:tblBorders>
          <w:top w:val="nil"/>
          <w:left w:val="nil"/>
          <w:bottom w:val="nil"/>
          <w:right w:val="nil"/>
          <w:insideH w:val="nil"/>
          <w:insideV w:val="nil"/>
        </w:tblBorders>
        <w:tblLayout w:type="fixed"/>
        <w:tblLook w:val="0400" w:firstRow="0" w:lastRow="0" w:firstColumn="0" w:lastColumn="0" w:noHBand="0" w:noVBand="1"/>
      </w:tblPr>
      <w:tblGrid>
        <w:gridCol w:w="9000"/>
      </w:tblGrid>
      <w:tr w:rsidR="007E0ABC" w:rsidRPr="00C260F1" w14:paraId="39C6DC9D" w14:textId="77777777" w:rsidTr="003C4FF0">
        <w:tc>
          <w:tcPr>
            <w:tcW w:w="9000" w:type="dxa"/>
          </w:tcPr>
          <w:p w14:paraId="5C2CB273" w14:textId="77777777" w:rsidR="007E0ABC" w:rsidRPr="00C260F1" w:rsidRDefault="007E0ABC" w:rsidP="00C260F1">
            <w:pPr>
              <w:rPr>
                <w:rFonts w:ascii="Calibri" w:eastAsia="Calibri" w:hAnsi="Calibri" w:cs="Calibri"/>
                <w:b/>
                <w:sz w:val="18"/>
                <w:szCs w:val="18"/>
              </w:rPr>
            </w:pPr>
          </w:p>
        </w:tc>
      </w:tr>
      <w:tr w:rsidR="007E0ABC" w:rsidRPr="00C260F1" w14:paraId="0A13FA8E" w14:textId="77777777" w:rsidTr="003C4FF0">
        <w:trPr>
          <w:trHeight w:val="377"/>
        </w:trPr>
        <w:tc>
          <w:tcPr>
            <w:tcW w:w="9000" w:type="dxa"/>
          </w:tcPr>
          <w:p w14:paraId="1D0A5006"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t xml:space="preserve">1. I am usually able to manage my daily tasks. </w:t>
            </w:r>
          </w:p>
          <w:p w14:paraId="2FACB99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059A829"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5A94E47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1D0E8713"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51609A73"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0212109D" w14:textId="77777777" w:rsidR="007E0ABC" w:rsidRPr="00C260F1" w:rsidRDefault="007E0ABC" w:rsidP="00C260F1">
            <w:pPr>
              <w:rPr>
                <w:rFonts w:ascii="Calibri" w:eastAsia="Calibri" w:hAnsi="Calibri" w:cs="Calibri"/>
                <w:sz w:val="18"/>
                <w:szCs w:val="18"/>
              </w:rPr>
            </w:pPr>
          </w:p>
        </w:tc>
      </w:tr>
      <w:tr w:rsidR="007E0ABC" w:rsidRPr="00C260F1" w14:paraId="3C1D342F" w14:textId="77777777" w:rsidTr="003C4FF0">
        <w:tc>
          <w:tcPr>
            <w:tcW w:w="9000" w:type="dxa"/>
          </w:tcPr>
          <w:p w14:paraId="3B7FD0D0"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 xml:space="preserve">2. I can manage limitations related to my seizures in my daily life. </w:t>
            </w:r>
          </w:p>
          <w:p w14:paraId="317A8103"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43B4294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719F824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0F5675B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02EF2B6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2C61B9AF" w14:textId="77777777" w:rsidR="007E0ABC" w:rsidRPr="00C260F1" w:rsidRDefault="007E0ABC" w:rsidP="00C260F1">
            <w:pPr>
              <w:rPr>
                <w:rFonts w:ascii="Calibri" w:eastAsia="Calibri" w:hAnsi="Calibri" w:cs="Calibri"/>
                <w:sz w:val="18"/>
                <w:szCs w:val="18"/>
              </w:rPr>
            </w:pPr>
          </w:p>
        </w:tc>
      </w:tr>
      <w:tr w:rsidR="007E0ABC" w:rsidRPr="00C260F1" w14:paraId="4CDB9870" w14:textId="77777777" w:rsidTr="003C4FF0">
        <w:tc>
          <w:tcPr>
            <w:tcW w:w="9000" w:type="dxa"/>
          </w:tcPr>
          <w:p w14:paraId="4767D61A"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t xml:space="preserve">3. In difficult situations I can do something that helps me.  </w:t>
            </w:r>
          </w:p>
          <w:p w14:paraId="758D73E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4EA4DB5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25801BE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3EBC6C8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5D9D370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7356327B" w14:textId="77777777" w:rsidR="007E0ABC" w:rsidRPr="00C260F1" w:rsidRDefault="007E0ABC" w:rsidP="00C260F1">
            <w:pPr>
              <w:rPr>
                <w:rFonts w:ascii="Calibri" w:eastAsia="Calibri" w:hAnsi="Calibri" w:cs="Calibri"/>
                <w:color w:val="000000"/>
                <w:sz w:val="18"/>
                <w:szCs w:val="18"/>
              </w:rPr>
            </w:pPr>
          </w:p>
        </w:tc>
      </w:tr>
      <w:tr w:rsidR="007E0ABC" w:rsidRPr="00C260F1" w14:paraId="58392736" w14:textId="77777777" w:rsidTr="003C4FF0">
        <w:tc>
          <w:tcPr>
            <w:tcW w:w="9000" w:type="dxa"/>
          </w:tcPr>
          <w:p w14:paraId="1F73CEFD"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t xml:space="preserve">4. I talk openly about how I feel with people who are important to me. </w:t>
            </w:r>
          </w:p>
          <w:p w14:paraId="38D892A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77E18B5"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6B86B90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2A74791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5156287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715B5783" w14:textId="77777777" w:rsidR="007E0ABC" w:rsidRPr="00C260F1" w:rsidRDefault="007E0ABC" w:rsidP="00C260F1">
            <w:pPr>
              <w:rPr>
                <w:rFonts w:ascii="Calibri" w:eastAsia="Calibri" w:hAnsi="Calibri" w:cs="Calibri"/>
                <w:sz w:val="18"/>
                <w:szCs w:val="18"/>
              </w:rPr>
            </w:pPr>
          </w:p>
        </w:tc>
      </w:tr>
      <w:tr w:rsidR="007E0ABC" w:rsidRPr="00C260F1" w14:paraId="1FE8CEFB" w14:textId="77777777" w:rsidTr="003C4FF0">
        <w:tc>
          <w:tcPr>
            <w:tcW w:w="9000" w:type="dxa"/>
          </w:tcPr>
          <w:p w14:paraId="23A22EBE"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t xml:space="preserve">5. I am aware of my own needs and wishes. </w:t>
            </w:r>
          </w:p>
          <w:p w14:paraId="1FE7E69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E87331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43BEA35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038DE34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7553FE7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3257055C" w14:textId="77777777" w:rsidR="007E0ABC" w:rsidRPr="00C260F1" w:rsidRDefault="007E0ABC" w:rsidP="00C260F1">
            <w:pPr>
              <w:rPr>
                <w:rFonts w:ascii="Calibri" w:eastAsia="Calibri" w:hAnsi="Calibri" w:cs="Calibri"/>
                <w:sz w:val="18"/>
                <w:szCs w:val="18"/>
              </w:rPr>
            </w:pPr>
          </w:p>
          <w:p w14:paraId="4F756F51"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t xml:space="preserve">5.1. I am able to stand up firmly to others for my needs and wishes. </w:t>
            </w:r>
          </w:p>
          <w:p w14:paraId="673C488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0EB7FFB3"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43D92B8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7D67A80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0CA68B3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6C374898" w14:textId="77777777" w:rsidR="007E0ABC" w:rsidRPr="00C260F1" w:rsidRDefault="007E0ABC" w:rsidP="00C260F1">
            <w:pPr>
              <w:rPr>
                <w:rFonts w:ascii="Calibri" w:eastAsia="Calibri" w:hAnsi="Calibri" w:cs="Calibri"/>
                <w:sz w:val="18"/>
                <w:szCs w:val="18"/>
              </w:rPr>
            </w:pPr>
          </w:p>
        </w:tc>
      </w:tr>
      <w:tr w:rsidR="007E0ABC" w:rsidRPr="00C260F1" w14:paraId="295D8CA0" w14:textId="77777777" w:rsidTr="003C4FF0">
        <w:tc>
          <w:tcPr>
            <w:tcW w:w="9000" w:type="dxa"/>
          </w:tcPr>
          <w:p w14:paraId="41592C0E"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sz w:val="18"/>
                <w:szCs w:val="18"/>
              </w:rPr>
              <w:t xml:space="preserve">6. I talk openly about my seizures with people who are important to me. </w:t>
            </w:r>
          </w:p>
          <w:p w14:paraId="14FBE9C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F4374B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79E0937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3787703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61E9ACC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5C9709BD" w14:textId="77777777" w:rsidR="007E0ABC" w:rsidRPr="00C260F1" w:rsidRDefault="007E0ABC" w:rsidP="00C260F1">
            <w:pPr>
              <w:rPr>
                <w:rFonts w:ascii="Calibri" w:eastAsia="Calibri" w:hAnsi="Calibri" w:cs="Calibri"/>
                <w:sz w:val="18"/>
                <w:szCs w:val="18"/>
              </w:rPr>
            </w:pPr>
          </w:p>
        </w:tc>
      </w:tr>
      <w:tr w:rsidR="007E0ABC" w:rsidRPr="00C260F1" w14:paraId="7F642379" w14:textId="77777777" w:rsidTr="003C4FF0">
        <w:tc>
          <w:tcPr>
            <w:tcW w:w="9000" w:type="dxa"/>
          </w:tcPr>
          <w:p w14:paraId="04E89E5C"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lastRenderedPageBreak/>
              <w:t xml:space="preserve">7. I have informed people who I see regularly how to help me when I have a seizure. </w:t>
            </w:r>
          </w:p>
          <w:p w14:paraId="6B0FE6C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5C15DC8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4DB903E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DD8646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018FA97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tc>
      </w:tr>
      <w:tr w:rsidR="007E0ABC" w:rsidRPr="00C260F1" w14:paraId="6E2792DB" w14:textId="77777777" w:rsidTr="003C4FF0">
        <w:tc>
          <w:tcPr>
            <w:tcW w:w="9000" w:type="dxa"/>
          </w:tcPr>
          <w:p w14:paraId="3FB1C77A"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sz w:val="18"/>
                <w:szCs w:val="18"/>
              </w:rPr>
              <w:t>8. In some situations I am confused about how I feel. (R)</w:t>
            </w:r>
          </w:p>
          <w:p w14:paraId="223E75B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513640D3"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2961AE9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23741C85"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3876D43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41B8EB4C" w14:textId="77777777" w:rsidR="007E0ABC" w:rsidRPr="00C260F1" w:rsidRDefault="007E0ABC" w:rsidP="00C260F1">
            <w:pPr>
              <w:rPr>
                <w:rFonts w:ascii="Calibri" w:eastAsia="Calibri" w:hAnsi="Calibri" w:cs="Calibri"/>
                <w:sz w:val="18"/>
                <w:szCs w:val="18"/>
              </w:rPr>
            </w:pPr>
          </w:p>
        </w:tc>
      </w:tr>
      <w:tr w:rsidR="007E0ABC" w:rsidRPr="00C260F1" w14:paraId="020D0DD9" w14:textId="77777777" w:rsidTr="003C4FF0">
        <w:tc>
          <w:tcPr>
            <w:tcW w:w="9000" w:type="dxa"/>
          </w:tcPr>
          <w:p w14:paraId="7F39CA00"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sz w:val="18"/>
                <w:szCs w:val="18"/>
              </w:rPr>
              <w:t xml:space="preserve">9. I am able to express how I feel if it is important to me. </w:t>
            </w:r>
          </w:p>
          <w:p w14:paraId="6707584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FD3C7B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1AA1520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39D3D5B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0EBBAAA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508E66DD" w14:textId="77777777" w:rsidR="007E0ABC" w:rsidRPr="00C260F1" w:rsidRDefault="007E0ABC" w:rsidP="00C260F1">
            <w:pPr>
              <w:rPr>
                <w:rFonts w:ascii="Calibri" w:eastAsia="Calibri" w:hAnsi="Calibri" w:cs="Calibri"/>
                <w:sz w:val="18"/>
                <w:szCs w:val="18"/>
              </w:rPr>
            </w:pPr>
          </w:p>
        </w:tc>
      </w:tr>
      <w:tr w:rsidR="007E0ABC" w:rsidRPr="00C260F1" w14:paraId="59D5A034" w14:textId="77777777" w:rsidTr="003C4FF0">
        <w:tc>
          <w:tcPr>
            <w:tcW w:w="9000" w:type="dxa"/>
          </w:tcPr>
          <w:p w14:paraId="49D8DDFA"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sz w:val="18"/>
                <w:szCs w:val="18"/>
              </w:rPr>
              <w:t xml:space="preserve">10. I feel good about myself the way I am. </w:t>
            </w:r>
          </w:p>
          <w:p w14:paraId="1FC896B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D4BB61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0C964E2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7D40088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1C92FF6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4E5CD148" w14:textId="77777777" w:rsidR="007E0ABC" w:rsidRPr="00C260F1" w:rsidRDefault="007E0ABC" w:rsidP="00C260F1">
            <w:pPr>
              <w:rPr>
                <w:rFonts w:ascii="Calibri" w:eastAsia="Calibri" w:hAnsi="Calibri" w:cs="Calibri"/>
                <w:sz w:val="18"/>
                <w:szCs w:val="18"/>
              </w:rPr>
            </w:pPr>
          </w:p>
        </w:tc>
      </w:tr>
      <w:tr w:rsidR="007E0ABC" w:rsidRPr="00C260F1" w14:paraId="3B0355C1" w14:textId="77777777" w:rsidTr="003C4FF0">
        <w:tc>
          <w:tcPr>
            <w:tcW w:w="9000" w:type="dxa"/>
          </w:tcPr>
          <w:p w14:paraId="736FDE0D"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sz w:val="18"/>
                <w:szCs w:val="18"/>
              </w:rPr>
              <w:t>11. I bottle up my feelings. (R)</w:t>
            </w:r>
          </w:p>
          <w:p w14:paraId="25A69FE5"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0450E1B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2DF10FC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13F7831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196CC08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7C21E2B6" w14:textId="77777777" w:rsidR="007E0ABC" w:rsidRPr="00C260F1" w:rsidRDefault="007E0ABC" w:rsidP="00C260F1">
            <w:pPr>
              <w:rPr>
                <w:rFonts w:ascii="Calibri" w:eastAsia="Calibri" w:hAnsi="Calibri" w:cs="Calibri"/>
                <w:sz w:val="18"/>
                <w:szCs w:val="18"/>
              </w:rPr>
            </w:pPr>
          </w:p>
        </w:tc>
      </w:tr>
      <w:tr w:rsidR="007E0ABC" w:rsidRPr="00C260F1" w14:paraId="46E66DC0" w14:textId="77777777" w:rsidTr="003C4FF0">
        <w:tc>
          <w:tcPr>
            <w:tcW w:w="9000" w:type="dxa"/>
          </w:tcPr>
          <w:p w14:paraId="09FDADD9"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sz w:val="18"/>
                <w:szCs w:val="18"/>
              </w:rPr>
              <w:t>12. I worry about being a burden to others. (R)</w:t>
            </w:r>
          </w:p>
          <w:p w14:paraId="6403246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798D46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6D18F105"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70E32DD9"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5662C05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257A843B" w14:textId="77777777" w:rsidR="007E0ABC" w:rsidRPr="00C260F1" w:rsidRDefault="007E0ABC" w:rsidP="00C260F1">
            <w:pPr>
              <w:rPr>
                <w:rFonts w:ascii="Calibri" w:eastAsia="Calibri" w:hAnsi="Calibri" w:cs="Calibri"/>
                <w:sz w:val="18"/>
                <w:szCs w:val="18"/>
              </w:rPr>
            </w:pPr>
          </w:p>
          <w:p w14:paraId="682F9A1B"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t>12.1 I was like that even before my first seizure.</w:t>
            </w:r>
          </w:p>
          <w:p w14:paraId="0537F360"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More than now (100) </w:t>
            </w:r>
          </w:p>
          <w:p w14:paraId="4E805D20"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As much as now (66) </w:t>
            </w:r>
          </w:p>
          <w:p w14:paraId="2D8177C2"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Less than now (33) </w:t>
            </w:r>
          </w:p>
          <w:p w14:paraId="5ADC0CDD" w14:textId="77777777" w:rsidR="007E0ABC" w:rsidRPr="00C260F1" w:rsidRDefault="007E0ABC" w:rsidP="00C260F1">
            <w:pPr>
              <w:rPr>
                <w:rFonts w:ascii="Calibri" w:eastAsia="Calibri" w:hAnsi="Calibri" w:cs="Calibri"/>
                <w:sz w:val="18"/>
                <w:szCs w:val="18"/>
              </w:rPr>
            </w:pPr>
          </w:p>
        </w:tc>
      </w:tr>
      <w:tr w:rsidR="007E0ABC" w:rsidRPr="00C260F1" w14:paraId="071BAB69" w14:textId="77777777" w:rsidTr="003C4FF0">
        <w:tc>
          <w:tcPr>
            <w:tcW w:w="9000" w:type="dxa"/>
          </w:tcPr>
          <w:p w14:paraId="110D3512"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color w:val="000000"/>
                <w:sz w:val="18"/>
                <w:szCs w:val="18"/>
              </w:rPr>
              <w:t xml:space="preserve">13. </w:t>
            </w:r>
            <w:r w:rsidRPr="00C260F1">
              <w:rPr>
                <w:rFonts w:ascii="Calibri" w:eastAsia="Calibri" w:hAnsi="Calibri" w:cs="Calibri"/>
                <w:sz w:val="18"/>
                <w:szCs w:val="18"/>
              </w:rPr>
              <w:t xml:space="preserve">I am able to say “no” when others ask me to do things for them that I would rather not do. </w:t>
            </w:r>
          </w:p>
          <w:p w14:paraId="42B9B09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8B9059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1D17950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2CBCB8A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5F03F43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35BBF7BC" w14:textId="77777777" w:rsidR="007E0ABC" w:rsidRPr="00C260F1" w:rsidRDefault="007E0ABC" w:rsidP="00C260F1">
            <w:pPr>
              <w:rPr>
                <w:rFonts w:ascii="Calibri" w:eastAsia="Calibri" w:hAnsi="Calibri" w:cs="Calibri"/>
                <w:color w:val="000000"/>
                <w:sz w:val="18"/>
                <w:szCs w:val="18"/>
              </w:rPr>
            </w:pPr>
          </w:p>
        </w:tc>
      </w:tr>
      <w:tr w:rsidR="007E0ABC" w:rsidRPr="00C260F1" w14:paraId="03A271F0" w14:textId="77777777" w:rsidTr="003C4FF0">
        <w:tc>
          <w:tcPr>
            <w:tcW w:w="9000" w:type="dxa"/>
            <w:shd w:val="clear" w:color="auto" w:fill="auto"/>
          </w:tcPr>
          <w:p w14:paraId="4B8B92E4"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sz w:val="18"/>
                <w:szCs w:val="18"/>
              </w:rPr>
              <w:t>14. It is hard for me to ask others for help. (R)</w:t>
            </w:r>
          </w:p>
          <w:p w14:paraId="448F141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40017E7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lastRenderedPageBreak/>
              <w:t>I slightly agree (75)</w:t>
            </w:r>
          </w:p>
          <w:p w14:paraId="145E184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78D5AB89"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3822A7D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248EEEA7" w14:textId="77777777" w:rsidR="007E0ABC" w:rsidRPr="00C260F1" w:rsidRDefault="007E0ABC" w:rsidP="00C260F1">
            <w:pPr>
              <w:rPr>
                <w:rFonts w:ascii="Calibri" w:eastAsia="Calibri" w:hAnsi="Calibri" w:cs="Calibri"/>
                <w:sz w:val="18"/>
                <w:szCs w:val="18"/>
              </w:rPr>
            </w:pPr>
          </w:p>
          <w:p w14:paraId="1A6651F0"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t>14.1 I was like that even before my first seizure.</w:t>
            </w:r>
          </w:p>
          <w:p w14:paraId="626232C9"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More than now (100) </w:t>
            </w:r>
          </w:p>
          <w:p w14:paraId="6C43379C"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As much as now (66) </w:t>
            </w:r>
          </w:p>
          <w:p w14:paraId="69B95FC5"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Less than now (33) </w:t>
            </w:r>
          </w:p>
          <w:p w14:paraId="079BEB67" w14:textId="77777777" w:rsidR="007E0ABC" w:rsidRPr="00C260F1" w:rsidRDefault="007E0ABC" w:rsidP="00C260F1">
            <w:pPr>
              <w:rPr>
                <w:rFonts w:ascii="Calibri" w:eastAsia="Calibri" w:hAnsi="Calibri" w:cs="Calibri"/>
                <w:sz w:val="18"/>
                <w:szCs w:val="18"/>
              </w:rPr>
            </w:pPr>
          </w:p>
        </w:tc>
      </w:tr>
      <w:tr w:rsidR="007E0ABC" w:rsidRPr="00C260F1" w14:paraId="1D311351" w14:textId="77777777" w:rsidTr="003C4FF0">
        <w:tc>
          <w:tcPr>
            <w:tcW w:w="9000" w:type="dxa"/>
            <w:shd w:val="clear" w:color="auto" w:fill="auto"/>
          </w:tcPr>
          <w:p w14:paraId="09F9BB6A"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lastRenderedPageBreak/>
              <w:t>15. I avoid open arguments. (R)</w:t>
            </w:r>
          </w:p>
          <w:p w14:paraId="4C977FF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B14F1E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1D904C1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3C2B71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1FF6A67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545C735A" w14:textId="77777777" w:rsidR="007E0ABC" w:rsidRPr="00C260F1" w:rsidRDefault="007E0ABC" w:rsidP="00C260F1">
            <w:pPr>
              <w:rPr>
                <w:rFonts w:ascii="Calibri" w:eastAsia="Calibri" w:hAnsi="Calibri" w:cs="Calibri"/>
                <w:sz w:val="18"/>
                <w:szCs w:val="18"/>
              </w:rPr>
            </w:pPr>
          </w:p>
          <w:p w14:paraId="79C21AE9" w14:textId="77777777" w:rsidR="007E0ABC" w:rsidRPr="00C260F1" w:rsidRDefault="007E0ABC" w:rsidP="00C260F1">
            <w:pPr>
              <w:rPr>
                <w:rFonts w:ascii="Calibri" w:eastAsia="Calibri" w:hAnsi="Calibri" w:cs="Calibri"/>
                <w:sz w:val="18"/>
                <w:szCs w:val="18"/>
              </w:rPr>
            </w:pPr>
            <w:r w:rsidRPr="00C260F1">
              <w:rPr>
                <w:rFonts w:ascii="Calibri" w:eastAsia="Calibri" w:hAnsi="Calibri" w:cs="Calibri"/>
                <w:sz w:val="18"/>
                <w:szCs w:val="18"/>
              </w:rPr>
              <w:t>15.1 I was like that even before my first seizure.</w:t>
            </w:r>
          </w:p>
          <w:p w14:paraId="268F46F8"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More than now (100) </w:t>
            </w:r>
          </w:p>
          <w:p w14:paraId="61A26857"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As much as now (66) </w:t>
            </w:r>
          </w:p>
          <w:p w14:paraId="2E89C00D"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Less than now (33) </w:t>
            </w:r>
          </w:p>
          <w:p w14:paraId="75998285" w14:textId="77777777" w:rsidR="007E0ABC" w:rsidRPr="00C260F1" w:rsidRDefault="007E0ABC" w:rsidP="00C260F1">
            <w:pPr>
              <w:rPr>
                <w:rFonts w:ascii="Calibri" w:eastAsia="Calibri" w:hAnsi="Calibri" w:cs="Calibri"/>
                <w:sz w:val="18"/>
                <w:szCs w:val="18"/>
              </w:rPr>
            </w:pPr>
          </w:p>
        </w:tc>
      </w:tr>
      <w:tr w:rsidR="007E0ABC" w:rsidRPr="00C260F1" w14:paraId="1E1DCC78" w14:textId="77777777" w:rsidTr="003C4FF0">
        <w:tc>
          <w:tcPr>
            <w:tcW w:w="9000" w:type="dxa"/>
            <w:shd w:val="clear" w:color="auto" w:fill="auto"/>
          </w:tcPr>
          <w:p w14:paraId="7EBECC95"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16. It is easy for me openly to disagree with others if I have a different opinion. </w:t>
            </w:r>
          </w:p>
          <w:p w14:paraId="78BB7F3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4C0D44F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341B90A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2089E14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6493ABD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10336106" w14:textId="77777777" w:rsidR="007E0ABC" w:rsidRPr="00C260F1" w:rsidRDefault="007E0ABC" w:rsidP="00C260F1">
            <w:pPr>
              <w:rPr>
                <w:rFonts w:ascii="Calibri" w:eastAsia="Calibri" w:hAnsi="Calibri" w:cs="Calibri"/>
                <w:color w:val="000000"/>
                <w:sz w:val="18"/>
                <w:szCs w:val="18"/>
              </w:rPr>
            </w:pPr>
          </w:p>
        </w:tc>
      </w:tr>
      <w:tr w:rsidR="007E0ABC" w:rsidRPr="00C260F1" w14:paraId="724FC32D" w14:textId="77777777" w:rsidTr="003C4FF0">
        <w:tc>
          <w:tcPr>
            <w:tcW w:w="9000" w:type="dxa"/>
            <w:shd w:val="clear" w:color="auto" w:fill="auto"/>
          </w:tcPr>
          <w:p w14:paraId="7839CE4A"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17. I feel ashamed of my seizures. (R)</w:t>
            </w:r>
          </w:p>
          <w:p w14:paraId="5CABDDA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4863116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1B9E9B8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2EC1ED2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60B3B9D9"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69ED9B03" w14:textId="77777777" w:rsidR="007E0ABC" w:rsidRPr="00C260F1" w:rsidRDefault="007E0ABC" w:rsidP="00C260F1">
            <w:pPr>
              <w:ind w:left="720"/>
              <w:rPr>
                <w:rFonts w:ascii="Calibri" w:eastAsia="Calibri" w:hAnsi="Calibri" w:cs="Calibri"/>
                <w:i/>
                <w:color w:val="000000"/>
                <w:sz w:val="18"/>
                <w:szCs w:val="18"/>
              </w:rPr>
            </w:pPr>
          </w:p>
          <w:p w14:paraId="5B60B27B"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17.1 I easily felt ashamed before I ever had a seizure.</w:t>
            </w:r>
          </w:p>
          <w:p w14:paraId="27AC0435"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More than now (100) </w:t>
            </w:r>
          </w:p>
          <w:p w14:paraId="0D2A31D6"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As much as now (66) </w:t>
            </w:r>
          </w:p>
          <w:p w14:paraId="26C68448"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Less than now (33) </w:t>
            </w:r>
          </w:p>
          <w:p w14:paraId="28CD9812" w14:textId="77777777" w:rsidR="007E0ABC" w:rsidRPr="00C260F1" w:rsidRDefault="007E0ABC" w:rsidP="00C260F1">
            <w:pPr>
              <w:rPr>
                <w:rFonts w:ascii="Calibri" w:eastAsia="Calibri" w:hAnsi="Calibri" w:cs="Calibri"/>
                <w:color w:val="000000"/>
                <w:sz w:val="18"/>
                <w:szCs w:val="18"/>
              </w:rPr>
            </w:pPr>
          </w:p>
        </w:tc>
      </w:tr>
      <w:tr w:rsidR="007E0ABC" w:rsidRPr="00C260F1" w14:paraId="64025B3F" w14:textId="77777777" w:rsidTr="003C4FF0">
        <w:tc>
          <w:tcPr>
            <w:tcW w:w="9000" w:type="dxa"/>
            <w:shd w:val="clear" w:color="auto" w:fill="auto"/>
          </w:tcPr>
          <w:p w14:paraId="78FF90FA"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18. I am capable of achieving the things that I would like to achieve. </w:t>
            </w:r>
          </w:p>
          <w:p w14:paraId="7F69BBE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65B961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5298E6B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ED7BA7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45196C1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7B5416F9" w14:textId="77777777" w:rsidR="007E0ABC" w:rsidRPr="00C260F1" w:rsidRDefault="007E0ABC" w:rsidP="00C260F1">
            <w:pPr>
              <w:rPr>
                <w:rFonts w:ascii="Calibri" w:eastAsia="Calibri" w:hAnsi="Calibri" w:cs="Calibri"/>
                <w:color w:val="000000"/>
                <w:sz w:val="18"/>
                <w:szCs w:val="18"/>
              </w:rPr>
            </w:pPr>
          </w:p>
        </w:tc>
      </w:tr>
      <w:tr w:rsidR="007E0ABC" w:rsidRPr="00C260F1" w14:paraId="6791773D" w14:textId="77777777" w:rsidTr="003C4FF0">
        <w:tc>
          <w:tcPr>
            <w:tcW w:w="9000" w:type="dxa"/>
            <w:shd w:val="clear" w:color="auto" w:fill="auto"/>
          </w:tcPr>
          <w:p w14:paraId="4973656A"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19. I accept the things that I cannot change. </w:t>
            </w:r>
          </w:p>
          <w:p w14:paraId="6B06721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7152D8D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12562BF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0EE0831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5610AD5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58D7BD99" w14:textId="77777777" w:rsidR="007E0ABC" w:rsidRPr="00C260F1" w:rsidRDefault="007E0ABC" w:rsidP="00C260F1">
            <w:pPr>
              <w:rPr>
                <w:rFonts w:ascii="Calibri" w:eastAsia="Calibri" w:hAnsi="Calibri" w:cs="Calibri"/>
                <w:color w:val="000000"/>
                <w:sz w:val="18"/>
                <w:szCs w:val="18"/>
              </w:rPr>
            </w:pPr>
          </w:p>
        </w:tc>
      </w:tr>
      <w:tr w:rsidR="007E0ABC" w:rsidRPr="00C260F1" w14:paraId="0835B1D8" w14:textId="77777777" w:rsidTr="003C4FF0">
        <w:tc>
          <w:tcPr>
            <w:tcW w:w="9000" w:type="dxa"/>
            <w:shd w:val="clear" w:color="auto" w:fill="auto"/>
          </w:tcPr>
          <w:p w14:paraId="52984523"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lastRenderedPageBreak/>
              <w:t xml:space="preserve">20. I look after my well-being in daily life. </w:t>
            </w:r>
          </w:p>
          <w:p w14:paraId="36A131B9"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0FD5029"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70F9197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1F52217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2CDB10E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6B251223" w14:textId="77777777" w:rsidR="007E0ABC" w:rsidRPr="00C260F1" w:rsidRDefault="007E0ABC" w:rsidP="00C260F1">
            <w:pPr>
              <w:rPr>
                <w:rFonts w:ascii="Calibri" w:eastAsia="Calibri" w:hAnsi="Calibri" w:cs="Calibri"/>
                <w:color w:val="000000"/>
                <w:sz w:val="18"/>
                <w:szCs w:val="18"/>
              </w:rPr>
            </w:pPr>
          </w:p>
        </w:tc>
      </w:tr>
      <w:tr w:rsidR="007E0ABC" w:rsidRPr="00C260F1" w14:paraId="43629B69" w14:textId="77777777" w:rsidTr="003C4FF0">
        <w:tc>
          <w:tcPr>
            <w:tcW w:w="9000" w:type="dxa"/>
            <w:shd w:val="clear" w:color="auto" w:fill="auto"/>
          </w:tcPr>
          <w:p w14:paraId="0EF458F4"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21. I accept that I make mistakes once in a while.</w:t>
            </w:r>
          </w:p>
          <w:p w14:paraId="4F0545E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858ABA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1CBD161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1D05E2C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05D8AA8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6412E185" w14:textId="77777777" w:rsidR="007E0ABC" w:rsidRPr="00C260F1" w:rsidRDefault="007E0ABC" w:rsidP="00C260F1">
            <w:pPr>
              <w:rPr>
                <w:rFonts w:ascii="Calibri" w:eastAsia="Calibri" w:hAnsi="Calibri" w:cs="Calibri"/>
                <w:color w:val="000000"/>
                <w:sz w:val="18"/>
                <w:szCs w:val="18"/>
              </w:rPr>
            </w:pPr>
          </w:p>
        </w:tc>
      </w:tr>
      <w:tr w:rsidR="007E0ABC" w:rsidRPr="00C260F1" w14:paraId="594EEFB8" w14:textId="77777777" w:rsidTr="003C4FF0">
        <w:tc>
          <w:tcPr>
            <w:tcW w:w="9000" w:type="dxa"/>
            <w:shd w:val="clear" w:color="auto" w:fill="auto"/>
          </w:tcPr>
          <w:p w14:paraId="38F0DACB"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22. I feel well-prepared for future challenges. </w:t>
            </w:r>
          </w:p>
          <w:p w14:paraId="0B067AD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2A2219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70EFF8F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12E3A4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257D771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tc>
      </w:tr>
      <w:tr w:rsidR="007E0ABC" w:rsidRPr="00C260F1" w14:paraId="19609CBC" w14:textId="77777777" w:rsidTr="003C4FF0">
        <w:tc>
          <w:tcPr>
            <w:tcW w:w="9000" w:type="dxa"/>
            <w:shd w:val="clear" w:color="auto" w:fill="auto"/>
          </w:tcPr>
          <w:p w14:paraId="444F466D"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23. I am still troubled by things that happened to me in the past. (R)</w:t>
            </w:r>
          </w:p>
          <w:p w14:paraId="304DA29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2D63FA7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6F8B644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51926CC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7963F3A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0A87DE1C" w14:textId="77777777" w:rsidR="007E0ABC" w:rsidRPr="00C260F1" w:rsidRDefault="007E0ABC" w:rsidP="00C260F1">
            <w:pPr>
              <w:rPr>
                <w:rFonts w:ascii="Calibri" w:eastAsia="Calibri" w:hAnsi="Calibri" w:cs="Calibri"/>
                <w:color w:val="000000"/>
                <w:sz w:val="18"/>
                <w:szCs w:val="18"/>
              </w:rPr>
            </w:pPr>
          </w:p>
        </w:tc>
      </w:tr>
      <w:tr w:rsidR="007E0ABC" w:rsidRPr="00C260F1" w14:paraId="0F962583" w14:textId="77777777" w:rsidTr="003C4FF0">
        <w:tc>
          <w:tcPr>
            <w:tcW w:w="9000" w:type="dxa"/>
            <w:shd w:val="clear" w:color="auto" w:fill="auto"/>
          </w:tcPr>
          <w:p w14:paraId="2A69937E"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24. I am confident when I deal with people I don’t know. </w:t>
            </w:r>
          </w:p>
          <w:p w14:paraId="2F4C0F4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3F31413"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6F55EB5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E32BC5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0B70AED3"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7CEF9E3B" w14:textId="77777777" w:rsidR="007E0ABC" w:rsidRPr="00C260F1" w:rsidRDefault="007E0ABC" w:rsidP="00C260F1">
            <w:pPr>
              <w:rPr>
                <w:rFonts w:ascii="Calibri" w:eastAsia="Calibri" w:hAnsi="Calibri" w:cs="Calibri"/>
                <w:color w:val="000000"/>
                <w:sz w:val="18"/>
                <w:szCs w:val="18"/>
              </w:rPr>
            </w:pPr>
          </w:p>
        </w:tc>
      </w:tr>
      <w:tr w:rsidR="007E0ABC" w:rsidRPr="00C260F1" w14:paraId="570B8954" w14:textId="77777777" w:rsidTr="003C4FF0">
        <w:tc>
          <w:tcPr>
            <w:tcW w:w="9000" w:type="dxa"/>
            <w:shd w:val="clear" w:color="auto" w:fill="auto"/>
          </w:tcPr>
          <w:p w14:paraId="0E29D19C"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25. I find it easy to relax. </w:t>
            </w:r>
          </w:p>
          <w:p w14:paraId="755AF7E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3DE6506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47A6A13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5E844845"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13D5783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7F7217E4" w14:textId="77777777" w:rsidR="007E0ABC" w:rsidRPr="00C260F1" w:rsidRDefault="007E0ABC" w:rsidP="00C260F1">
            <w:pPr>
              <w:rPr>
                <w:rFonts w:ascii="Calibri" w:eastAsia="Calibri" w:hAnsi="Calibri" w:cs="Calibri"/>
                <w:color w:val="000000"/>
                <w:sz w:val="18"/>
                <w:szCs w:val="18"/>
              </w:rPr>
            </w:pPr>
          </w:p>
        </w:tc>
      </w:tr>
      <w:tr w:rsidR="007E0ABC" w:rsidRPr="00C260F1" w14:paraId="7042EB2F" w14:textId="77777777" w:rsidTr="003C4FF0">
        <w:tc>
          <w:tcPr>
            <w:tcW w:w="9000" w:type="dxa"/>
            <w:shd w:val="clear" w:color="auto" w:fill="auto"/>
          </w:tcPr>
          <w:p w14:paraId="70A02CF6" w14:textId="77777777" w:rsidR="007E0ABC" w:rsidRPr="00C260F1" w:rsidRDefault="007E0ABC" w:rsidP="00C260F1">
            <w:pPr>
              <w:rPr>
                <w:rFonts w:ascii="Calibri" w:eastAsia="Calibri" w:hAnsi="Calibri" w:cs="Calibri"/>
                <w:sz w:val="18"/>
                <w:szCs w:val="18"/>
                <w:vertAlign w:val="superscript"/>
              </w:rPr>
            </w:pPr>
            <w:r w:rsidRPr="00C260F1">
              <w:rPr>
                <w:rFonts w:ascii="Calibri" w:eastAsia="Calibri" w:hAnsi="Calibri" w:cs="Calibri"/>
                <w:sz w:val="18"/>
                <w:szCs w:val="18"/>
              </w:rPr>
              <w:t>26. I take on too much to the point of being exhausted. (R)</w:t>
            </w:r>
          </w:p>
          <w:p w14:paraId="4BE9C43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2194CB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7FA1076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5FA6157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0191893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4749AB71" w14:textId="77777777" w:rsidR="007E0ABC" w:rsidRPr="00C260F1" w:rsidRDefault="007E0ABC" w:rsidP="00C260F1">
            <w:pPr>
              <w:rPr>
                <w:rFonts w:ascii="Calibri" w:eastAsia="Calibri" w:hAnsi="Calibri" w:cs="Calibri"/>
                <w:color w:val="000000"/>
                <w:sz w:val="18"/>
                <w:szCs w:val="18"/>
              </w:rPr>
            </w:pPr>
          </w:p>
        </w:tc>
      </w:tr>
      <w:tr w:rsidR="007E0ABC" w:rsidRPr="00C260F1" w14:paraId="3D75934F" w14:textId="77777777" w:rsidTr="003C4FF0">
        <w:tc>
          <w:tcPr>
            <w:tcW w:w="9000" w:type="dxa"/>
            <w:shd w:val="clear" w:color="auto" w:fill="auto"/>
          </w:tcPr>
          <w:p w14:paraId="52456D46"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27. It is realistic that my ability to cope with my seizures will improve. </w:t>
            </w:r>
          </w:p>
          <w:p w14:paraId="4C7DF25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6C7D51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0B47B8F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59909AA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1B88C85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697B6243" w14:textId="77777777" w:rsidR="007E0ABC" w:rsidRPr="00C260F1" w:rsidRDefault="007E0ABC" w:rsidP="00C260F1">
            <w:pPr>
              <w:rPr>
                <w:rFonts w:ascii="Calibri" w:eastAsia="Calibri" w:hAnsi="Calibri" w:cs="Calibri"/>
                <w:color w:val="000000"/>
                <w:sz w:val="18"/>
                <w:szCs w:val="18"/>
              </w:rPr>
            </w:pPr>
          </w:p>
        </w:tc>
      </w:tr>
      <w:tr w:rsidR="007E0ABC" w:rsidRPr="00C260F1" w14:paraId="7DB9127D" w14:textId="77777777" w:rsidTr="003C4FF0">
        <w:tc>
          <w:tcPr>
            <w:tcW w:w="9000" w:type="dxa"/>
            <w:shd w:val="clear" w:color="auto" w:fill="auto"/>
          </w:tcPr>
          <w:p w14:paraId="62A117E9"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lastRenderedPageBreak/>
              <w:t xml:space="preserve">28. My seizures have changed my perspective on life. </w:t>
            </w:r>
          </w:p>
          <w:p w14:paraId="591F3A2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E06FBA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0CF2125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3DB54135"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6D93664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4AC8357E" w14:textId="77777777" w:rsidR="007E0ABC" w:rsidRPr="00C260F1" w:rsidRDefault="007E0ABC" w:rsidP="00C260F1">
            <w:pPr>
              <w:rPr>
                <w:rFonts w:ascii="Calibri" w:eastAsia="Calibri" w:hAnsi="Calibri" w:cs="Calibri"/>
                <w:color w:val="000000"/>
                <w:sz w:val="18"/>
                <w:szCs w:val="18"/>
              </w:rPr>
            </w:pPr>
          </w:p>
        </w:tc>
      </w:tr>
      <w:tr w:rsidR="007E0ABC" w:rsidRPr="00C260F1" w14:paraId="377C672D" w14:textId="77777777" w:rsidTr="003C4FF0">
        <w:tc>
          <w:tcPr>
            <w:tcW w:w="9000" w:type="dxa"/>
            <w:shd w:val="clear" w:color="auto" w:fill="auto"/>
          </w:tcPr>
          <w:p w14:paraId="40073EF2"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29. I believe that problems are also an opportunity to develop new skills in life. </w:t>
            </w:r>
          </w:p>
          <w:p w14:paraId="7106955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249D0D9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3820318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619CF2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672DF33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68D7BD0C" w14:textId="77777777" w:rsidR="007E0ABC" w:rsidRPr="00C260F1" w:rsidRDefault="007E0ABC" w:rsidP="00C260F1">
            <w:pPr>
              <w:rPr>
                <w:rFonts w:ascii="Calibri" w:eastAsia="Calibri" w:hAnsi="Calibri" w:cs="Calibri"/>
                <w:color w:val="000000"/>
                <w:sz w:val="18"/>
                <w:szCs w:val="18"/>
              </w:rPr>
            </w:pPr>
          </w:p>
        </w:tc>
      </w:tr>
      <w:tr w:rsidR="007E0ABC" w:rsidRPr="00C260F1" w14:paraId="619DA704" w14:textId="77777777" w:rsidTr="003C4FF0">
        <w:tc>
          <w:tcPr>
            <w:tcW w:w="9000" w:type="dxa"/>
            <w:shd w:val="clear" w:color="auto" w:fill="auto"/>
          </w:tcPr>
          <w:p w14:paraId="3A8EFFD1"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 xml:space="preserve">30. I am happy with the support that I receive. </w:t>
            </w:r>
          </w:p>
          <w:p w14:paraId="1AF8BFE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53E7E07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019BB26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D185D4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3ABF65A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5BAB9C72" w14:textId="77777777" w:rsidR="007E0ABC" w:rsidRPr="00C260F1" w:rsidRDefault="007E0ABC" w:rsidP="00C260F1">
            <w:pPr>
              <w:rPr>
                <w:rFonts w:ascii="Calibri" w:eastAsia="Calibri" w:hAnsi="Calibri" w:cs="Calibri"/>
                <w:color w:val="000000"/>
                <w:sz w:val="18"/>
                <w:szCs w:val="18"/>
              </w:rPr>
            </w:pPr>
          </w:p>
        </w:tc>
      </w:tr>
      <w:tr w:rsidR="007E0ABC" w:rsidRPr="00C260F1" w14:paraId="15CD1E45" w14:textId="77777777" w:rsidTr="003C4FF0">
        <w:tc>
          <w:tcPr>
            <w:tcW w:w="9000" w:type="dxa"/>
            <w:shd w:val="clear" w:color="auto" w:fill="auto"/>
          </w:tcPr>
          <w:p w14:paraId="781D29FA"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31. I am happy with the relationships that I have. </w:t>
            </w:r>
          </w:p>
          <w:p w14:paraId="11E060B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7EC3BD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6CC10A6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4BA484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39737A53"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1E289447" w14:textId="77777777" w:rsidR="007E0ABC" w:rsidRPr="00C260F1" w:rsidRDefault="007E0ABC" w:rsidP="00C260F1">
            <w:pPr>
              <w:rPr>
                <w:rFonts w:ascii="Calibri" w:eastAsia="Calibri" w:hAnsi="Calibri" w:cs="Calibri"/>
                <w:color w:val="000000"/>
                <w:sz w:val="18"/>
                <w:szCs w:val="18"/>
              </w:rPr>
            </w:pPr>
          </w:p>
        </w:tc>
      </w:tr>
      <w:tr w:rsidR="007E0ABC" w:rsidRPr="00C260F1" w14:paraId="0E3B9767" w14:textId="77777777" w:rsidTr="003C4FF0">
        <w:tc>
          <w:tcPr>
            <w:tcW w:w="9000" w:type="dxa"/>
            <w:shd w:val="clear" w:color="auto" w:fill="auto"/>
          </w:tcPr>
          <w:p w14:paraId="790EF290"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32. There are people who I trust. </w:t>
            </w:r>
          </w:p>
          <w:p w14:paraId="4D7C72A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3A48342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7F04DBA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786BBE07"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5866187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5FC4714E" w14:textId="77777777" w:rsidR="007E0ABC" w:rsidRPr="00C260F1" w:rsidRDefault="007E0ABC" w:rsidP="00C260F1">
            <w:pPr>
              <w:rPr>
                <w:rFonts w:ascii="Calibri" w:eastAsia="Calibri" w:hAnsi="Calibri" w:cs="Calibri"/>
                <w:color w:val="000000"/>
                <w:sz w:val="18"/>
                <w:szCs w:val="18"/>
              </w:rPr>
            </w:pPr>
          </w:p>
        </w:tc>
      </w:tr>
      <w:tr w:rsidR="007E0ABC" w:rsidRPr="00C260F1" w14:paraId="7F7374E6" w14:textId="77777777" w:rsidTr="003C4FF0">
        <w:tc>
          <w:tcPr>
            <w:tcW w:w="9000" w:type="dxa"/>
            <w:shd w:val="clear" w:color="auto" w:fill="auto"/>
          </w:tcPr>
          <w:p w14:paraId="1F2C0AA2"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33. I understand the causes of my seizure disorder. </w:t>
            </w:r>
          </w:p>
          <w:p w14:paraId="77A0B5E0"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6B6E481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00D05B9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54579E5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4061E5DE"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06BC436E" w14:textId="77777777" w:rsidR="007E0ABC" w:rsidRPr="00C260F1" w:rsidRDefault="007E0ABC" w:rsidP="00C260F1">
            <w:pPr>
              <w:rPr>
                <w:rFonts w:ascii="Calibri" w:eastAsia="Calibri" w:hAnsi="Calibri" w:cs="Calibri"/>
                <w:color w:val="000000"/>
                <w:sz w:val="18"/>
                <w:szCs w:val="18"/>
              </w:rPr>
            </w:pPr>
          </w:p>
        </w:tc>
      </w:tr>
      <w:tr w:rsidR="007E0ABC" w:rsidRPr="00C260F1" w14:paraId="1726C42C" w14:textId="77777777" w:rsidTr="003C4FF0">
        <w:tc>
          <w:tcPr>
            <w:tcW w:w="9000" w:type="dxa"/>
            <w:shd w:val="clear" w:color="auto" w:fill="auto"/>
          </w:tcPr>
          <w:p w14:paraId="0B58A6A0"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34. I experience exclusion and discrimination because of my seizures. (R)</w:t>
            </w:r>
          </w:p>
          <w:p w14:paraId="62FD0065"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1F050C58"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1FB743C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54B0829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128E850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0092B497" w14:textId="77777777" w:rsidR="007E0ABC" w:rsidRPr="00C260F1" w:rsidRDefault="007E0ABC" w:rsidP="00C260F1">
            <w:pPr>
              <w:rPr>
                <w:rFonts w:ascii="Calibri" w:eastAsia="Calibri" w:hAnsi="Calibri" w:cs="Calibri"/>
                <w:color w:val="000000"/>
                <w:sz w:val="18"/>
                <w:szCs w:val="18"/>
              </w:rPr>
            </w:pPr>
          </w:p>
        </w:tc>
      </w:tr>
      <w:tr w:rsidR="007E0ABC" w:rsidRPr="00C260F1" w14:paraId="75865131" w14:textId="77777777" w:rsidTr="003C4FF0">
        <w:tc>
          <w:tcPr>
            <w:tcW w:w="9000" w:type="dxa"/>
            <w:shd w:val="clear" w:color="auto" w:fill="auto"/>
          </w:tcPr>
          <w:p w14:paraId="4540921E"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35. I am content with what I have achieved in my life despite seizures. </w:t>
            </w:r>
          </w:p>
          <w:p w14:paraId="59326ED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7ED2F97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7EB9D98B"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3ADB9F0F"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1671DC24"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291714D1" w14:textId="77777777" w:rsidR="007E0ABC" w:rsidRPr="00C260F1" w:rsidRDefault="007E0ABC" w:rsidP="00C260F1">
            <w:pPr>
              <w:rPr>
                <w:rFonts w:ascii="Calibri" w:eastAsia="Calibri" w:hAnsi="Calibri" w:cs="Calibri"/>
                <w:color w:val="000000"/>
                <w:sz w:val="18"/>
                <w:szCs w:val="18"/>
              </w:rPr>
            </w:pPr>
          </w:p>
        </w:tc>
      </w:tr>
      <w:tr w:rsidR="007E0ABC" w:rsidRPr="00C260F1" w14:paraId="7F23B17B" w14:textId="77777777" w:rsidTr="003C4FF0">
        <w:tc>
          <w:tcPr>
            <w:tcW w:w="9000" w:type="dxa"/>
            <w:shd w:val="clear" w:color="auto" w:fill="auto"/>
          </w:tcPr>
          <w:p w14:paraId="3CE5B8A4"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lastRenderedPageBreak/>
              <w:t xml:space="preserve">36. I know what my seizures look like. </w:t>
            </w:r>
          </w:p>
          <w:p w14:paraId="53E93E86"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agree (100)</w:t>
            </w:r>
          </w:p>
          <w:p w14:paraId="36107771"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agree (75)</w:t>
            </w:r>
          </w:p>
          <w:p w14:paraId="30C2FEF2"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I neither agree nor disagree (50) </w:t>
            </w:r>
          </w:p>
          <w:p w14:paraId="43BB5C09"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slightly disagree (25)</w:t>
            </w:r>
          </w:p>
          <w:p w14:paraId="05C6A21C"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I strongly disagree (0)</w:t>
            </w:r>
          </w:p>
          <w:p w14:paraId="3045C1AC" w14:textId="77777777" w:rsidR="007E0ABC" w:rsidRPr="00C260F1" w:rsidRDefault="007E0ABC" w:rsidP="00C260F1">
            <w:pPr>
              <w:rPr>
                <w:rFonts w:ascii="Calibri" w:eastAsia="Calibri" w:hAnsi="Calibri" w:cs="Calibri"/>
                <w:color w:val="000000"/>
                <w:sz w:val="18"/>
                <w:szCs w:val="18"/>
              </w:rPr>
            </w:pPr>
          </w:p>
        </w:tc>
      </w:tr>
      <w:tr w:rsidR="007E0ABC" w:rsidRPr="00C260F1" w14:paraId="7523DB29" w14:textId="77777777" w:rsidTr="003C4FF0">
        <w:tc>
          <w:tcPr>
            <w:tcW w:w="9000" w:type="dxa"/>
            <w:shd w:val="clear" w:color="auto" w:fill="auto"/>
          </w:tcPr>
          <w:p w14:paraId="175CBF43"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37. I know at least one trigger for my seizures. </w:t>
            </w:r>
          </w:p>
          <w:p w14:paraId="5C221F51"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Yes (100) </w:t>
            </w:r>
          </w:p>
          <w:p w14:paraId="24184630"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No (0) </w:t>
            </w:r>
          </w:p>
          <w:p w14:paraId="52495828"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37.1 If yes: please describe your trigger/s:</w:t>
            </w:r>
          </w:p>
          <w:p w14:paraId="62C7E3A0"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37.2 If yes: I can avoid this trigger/these triggers in my daily life.</w:t>
            </w:r>
          </w:p>
          <w:p w14:paraId="29745CF3"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Yes (100) </w:t>
            </w:r>
          </w:p>
          <w:p w14:paraId="701E985D"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No (0) </w:t>
            </w:r>
          </w:p>
          <w:p w14:paraId="60C80991" w14:textId="77777777" w:rsidR="007E0ABC" w:rsidRPr="00C260F1" w:rsidRDefault="007E0ABC" w:rsidP="00C260F1">
            <w:pPr>
              <w:ind w:left="720"/>
              <w:rPr>
                <w:rFonts w:ascii="Calibri" w:eastAsia="Calibri" w:hAnsi="Calibri" w:cs="Calibri"/>
                <w:i/>
                <w:color w:val="000000"/>
                <w:sz w:val="18"/>
                <w:szCs w:val="18"/>
              </w:rPr>
            </w:pPr>
          </w:p>
        </w:tc>
      </w:tr>
      <w:tr w:rsidR="007E0ABC" w:rsidRPr="00C260F1" w14:paraId="196A3CBF" w14:textId="77777777" w:rsidTr="003C4FF0">
        <w:tc>
          <w:tcPr>
            <w:tcW w:w="9000" w:type="dxa"/>
            <w:shd w:val="clear" w:color="auto" w:fill="auto"/>
          </w:tcPr>
          <w:p w14:paraId="7B9BABC7"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38. I know how I can help myself to feel better after a seizure. </w:t>
            </w:r>
          </w:p>
          <w:p w14:paraId="1E19E31D"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Yes (100) </w:t>
            </w:r>
          </w:p>
          <w:p w14:paraId="622A7FB6"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No (0) </w:t>
            </w:r>
          </w:p>
          <w:p w14:paraId="13726174" w14:textId="77777777" w:rsidR="007E0ABC"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 xml:space="preserve">38.1 If yes: Please describe what helps you to feel better: </w:t>
            </w:r>
          </w:p>
          <w:p w14:paraId="26116E0B"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 xml:space="preserve">38.2 I am able to make use of this strategy/these strategies in my daily life. </w:t>
            </w:r>
          </w:p>
          <w:p w14:paraId="05B759BE"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Yes (100) </w:t>
            </w:r>
          </w:p>
          <w:p w14:paraId="65FA74E9"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No (0) </w:t>
            </w:r>
          </w:p>
          <w:p w14:paraId="5463F2E6" w14:textId="77777777" w:rsidR="007E0ABC" w:rsidRPr="00C260F1" w:rsidRDefault="007E0ABC" w:rsidP="00C260F1">
            <w:pPr>
              <w:rPr>
                <w:rFonts w:ascii="Calibri" w:eastAsia="Calibri" w:hAnsi="Calibri" w:cs="Calibri"/>
                <w:sz w:val="18"/>
                <w:szCs w:val="18"/>
              </w:rPr>
            </w:pPr>
          </w:p>
        </w:tc>
      </w:tr>
      <w:tr w:rsidR="007E0ABC" w:rsidRPr="00C260F1" w14:paraId="7C8F7424" w14:textId="77777777" w:rsidTr="003C4FF0">
        <w:tc>
          <w:tcPr>
            <w:tcW w:w="9000" w:type="dxa"/>
            <w:shd w:val="clear" w:color="auto" w:fill="auto"/>
          </w:tcPr>
          <w:p w14:paraId="1BA9210A" w14:textId="77777777" w:rsidR="007E0ABC" w:rsidRPr="00C260F1" w:rsidRDefault="007E0ABC" w:rsidP="00C260F1">
            <w:pPr>
              <w:rPr>
                <w:rFonts w:ascii="Calibri" w:eastAsia="Calibri" w:hAnsi="Calibri" w:cs="Calibri"/>
                <w:color w:val="000000"/>
                <w:sz w:val="18"/>
                <w:szCs w:val="18"/>
                <w:vertAlign w:val="superscript"/>
              </w:rPr>
            </w:pPr>
            <w:r w:rsidRPr="00C260F1">
              <w:rPr>
                <w:rFonts w:ascii="Calibri" w:eastAsia="Calibri" w:hAnsi="Calibri" w:cs="Calibri"/>
                <w:color w:val="000000"/>
                <w:sz w:val="18"/>
                <w:szCs w:val="18"/>
              </w:rPr>
              <w:t xml:space="preserve">39. I have at least one strategy that I use at the first sign of a seizure. </w:t>
            </w:r>
          </w:p>
          <w:p w14:paraId="42653235"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Yes (100) </w:t>
            </w:r>
          </w:p>
          <w:p w14:paraId="3F43F039"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No (0) </w:t>
            </w:r>
          </w:p>
          <w:p w14:paraId="2C6393CC"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39.1 If yes: Please describe what you do:</w:t>
            </w:r>
          </w:p>
          <w:p w14:paraId="0329D1D4"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39.2 If yes: I can shorten seizures by doing that.</w:t>
            </w:r>
          </w:p>
          <w:p w14:paraId="766367E3"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Yes (100)</w:t>
            </w:r>
          </w:p>
          <w:p w14:paraId="5E95604F"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No (0)</w:t>
            </w:r>
          </w:p>
          <w:p w14:paraId="239C9662"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39.3 If yes: I stop myself from losing consciousness by doing that.</w:t>
            </w:r>
          </w:p>
          <w:p w14:paraId="494205B8"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Yes (100) </w:t>
            </w:r>
          </w:p>
          <w:p w14:paraId="04E22EB3"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18"/>
              </w:rPr>
            </w:pPr>
            <w:r w:rsidRPr="00C260F1">
              <w:rPr>
                <w:rFonts w:ascii="Calibri" w:eastAsia="Calibri" w:hAnsi="Calibri" w:cs="Calibri"/>
                <w:i/>
                <w:color w:val="000000"/>
                <w:sz w:val="18"/>
                <w:szCs w:val="18"/>
              </w:rPr>
              <w:t xml:space="preserve">No (0) </w:t>
            </w:r>
          </w:p>
          <w:p w14:paraId="74264E1C" w14:textId="77777777" w:rsidR="007E0ABC" w:rsidRPr="00C260F1" w:rsidRDefault="007E0ABC" w:rsidP="00C260F1">
            <w:pPr>
              <w:rPr>
                <w:rFonts w:ascii="Calibri" w:eastAsia="Calibri" w:hAnsi="Calibri" w:cs="Calibri"/>
                <w:color w:val="000000"/>
                <w:sz w:val="18"/>
                <w:szCs w:val="18"/>
              </w:rPr>
            </w:pPr>
          </w:p>
        </w:tc>
      </w:tr>
      <w:tr w:rsidR="007E0ABC" w:rsidRPr="00C260F1" w14:paraId="4272987D" w14:textId="77777777" w:rsidTr="003C4FF0">
        <w:tc>
          <w:tcPr>
            <w:tcW w:w="9000" w:type="dxa"/>
          </w:tcPr>
          <w:p w14:paraId="26677F8B" w14:textId="77777777" w:rsidR="007E0ABC" w:rsidRPr="00C260F1" w:rsidRDefault="007E0ABC" w:rsidP="00C260F1">
            <w:pPr>
              <w:rPr>
                <w:rFonts w:ascii="Calibri" w:eastAsia="Calibri" w:hAnsi="Calibri" w:cs="Calibri"/>
                <w:color w:val="000000"/>
                <w:sz w:val="18"/>
                <w:szCs w:val="18"/>
              </w:rPr>
            </w:pPr>
            <w:r w:rsidRPr="00C260F1">
              <w:rPr>
                <w:rFonts w:ascii="Calibri" w:eastAsia="Calibri" w:hAnsi="Calibri" w:cs="Calibri"/>
                <w:color w:val="000000"/>
                <w:sz w:val="18"/>
                <w:szCs w:val="18"/>
              </w:rPr>
              <w:t>40. Please feel free to add any personal comments to this questionnaire:</w:t>
            </w:r>
          </w:p>
          <w:p w14:paraId="6B94B1B7" w14:textId="77777777" w:rsidR="007E0ABC" w:rsidRPr="00C260F1" w:rsidRDefault="007E0ABC" w:rsidP="00C260F1">
            <w:pPr>
              <w:rPr>
                <w:rFonts w:ascii="Calibri" w:eastAsia="Calibri" w:hAnsi="Calibri" w:cs="Calibri"/>
                <w:b/>
                <w:sz w:val="18"/>
                <w:szCs w:val="18"/>
              </w:rPr>
            </w:pPr>
          </w:p>
        </w:tc>
      </w:tr>
    </w:tbl>
    <w:p w14:paraId="4150D98A" w14:textId="77777777" w:rsidR="007E0ABC" w:rsidRDefault="007E0ABC" w:rsidP="001B6A38"/>
    <w:p w14:paraId="55B64CB6" w14:textId="77777777" w:rsidR="007E0ABC" w:rsidRDefault="007E0ABC" w:rsidP="001B6A38">
      <w:pPr>
        <w:pBdr>
          <w:bottom w:val="single" w:sz="12" w:space="1" w:color="000000"/>
        </w:pBdr>
        <w:jc w:val="center"/>
        <w:rPr>
          <w:b/>
          <w:sz w:val="28"/>
          <w:szCs w:val="28"/>
        </w:rPr>
      </w:pPr>
      <w:r>
        <w:br w:type="page"/>
      </w:r>
      <w:r>
        <w:rPr>
          <w:b/>
          <w:sz w:val="28"/>
          <w:szCs w:val="28"/>
        </w:rPr>
        <w:lastRenderedPageBreak/>
        <w:t>Modified EASE questionnaire for Functional Neurological Disorders</w:t>
      </w:r>
    </w:p>
    <w:p w14:paraId="4DA9CA31" w14:textId="77777777" w:rsidR="007E0ABC" w:rsidRDefault="007E0ABC" w:rsidP="001B6A38"/>
    <w:p w14:paraId="05BE9F1C" w14:textId="77777777" w:rsidR="007E0ABC" w:rsidRDefault="007E0ABC" w:rsidP="00C260F1">
      <w:pPr>
        <w:jc w:val="center"/>
        <w:rPr>
          <w:b/>
        </w:rPr>
      </w:pPr>
      <w:r>
        <w:rPr>
          <w:b/>
        </w:rPr>
        <w:t>This is a questionnaire for patients with Functional Neurological Symptom Disorder or Non-Epileptic Seizures.  Please answer the questions below with the above health problem in mind:</w:t>
      </w:r>
    </w:p>
    <w:p w14:paraId="7CEA9876" w14:textId="77777777" w:rsidR="007E0ABC" w:rsidRDefault="007E0ABC" w:rsidP="001B6A38"/>
    <w:tbl>
      <w:tblPr>
        <w:tblW w:w="9000" w:type="dxa"/>
        <w:tblBorders>
          <w:top w:val="single" w:sz="4" w:space="0" w:color="C9C9C9"/>
          <w:left w:val="nil"/>
          <w:bottom w:val="single" w:sz="4" w:space="0" w:color="C9C9C9"/>
          <w:right w:val="nil"/>
          <w:insideH w:val="single" w:sz="4" w:space="0" w:color="C9C9C9"/>
          <w:insideV w:val="nil"/>
        </w:tblBorders>
        <w:tblLayout w:type="fixed"/>
        <w:tblLook w:val="0400" w:firstRow="0" w:lastRow="0" w:firstColumn="0" w:lastColumn="0" w:noHBand="0" w:noVBand="1"/>
      </w:tblPr>
      <w:tblGrid>
        <w:gridCol w:w="9000"/>
      </w:tblGrid>
      <w:tr w:rsidR="007E0ABC" w:rsidRPr="00C260F1" w14:paraId="1F6880CE" w14:textId="77777777" w:rsidTr="003C4FF0">
        <w:trPr>
          <w:trHeight w:val="377"/>
        </w:trPr>
        <w:tc>
          <w:tcPr>
            <w:tcW w:w="9000" w:type="dxa"/>
          </w:tcPr>
          <w:p w14:paraId="4EE7D5E9"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t xml:space="preserve">1. In general I am able to manage my daily tasks. </w:t>
            </w:r>
          </w:p>
          <w:p w14:paraId="2F062CF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1AF84ACA"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4259E44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0D982B4D"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21C1EDD5" w14:textId="77777777" w:rsidR="007E0ABC" w:rsidRPr="00C260F1" w:rsidRDefault="007E0ABC" w:rsidP="007E0ABC">
            <w:pPr>
              <w:numPr>
                <w:ilvl w:val="0"/>
                <w:numId w:val="15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27CDDB73" w14:textId="77777777" w:rsidR="007E0ABC" w:rsidRPr="00C260F1" w:rsidRDefault="007E0ABC" w:rsidP="00C260F1">
            <w:pPr>
              <w:rPr>
                <w:rFonts w:ascii="Calibri" w:eastAsia="Calibri" w:hAnsi="Calibri" w:cs="Calibri"/>
                <w:sz w:val="18"/>
                <w:szCs w:val="22"/>
              </w:rPr>
            </w:pPr>
          </w:p>
        </w:tc>
      </w:tr>
      <w:tr w:rsidR="007E0ABC" w:rsidRPr="00C260F1" w14:paraId="5938886E" w14:textId="77777777" w:rsidTr="003C4FF0">
        <w:tc>
          <w:tcPr>
            <w:tcW w:w="9000" w:type="dxa"/>
          </w:tcPr>
          <w:p w14:paraId="072210E4"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 xml:space="preserve">2. I can manage limitations related to my illness in my daily life. </w:t>
            </w:r>
          </w:p>
          <w:p w14:paraId="40EEBB31" w14:textId="77777777" w:rsidR="007E0ABC" w:rsidRPr="00C260F1" w:rsidRDefault="007E0ABC" w:rsidP="007E0ABC">
            <w:pPr>
              <w:numPr>
                <w:ilvl w:val="0"/>
                <w:numId w:val="15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219021C4" w14:textId="77777777" w:rsidR="007E0ABC" w:rsidRPr="00C260F1" w:rsidRDefault="007E0ABC" w:rsidP="007E0ABC">
            <w:pPr>
              <w:numPr>
                <w:ilvl w:val="0"/>
                <w:numId w:val="15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316C2350" w14:textId="77777777" w:rsidR="007E0ABC" w:rsidRPr="00C260F1" w:rsidRDefault="007E0ABC" w:rsidP="007E0ABC">
            <w:pPr>
              <w:numPr>
                <w:ilvl w:val="0"/>
                <w:numId w:val="15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1C937600" w14:textId="77777777" w:rsidR="007E0ABC" w:rsidRPr="00C260F1" w:rsidRDefault="007E0ABC" w:rsidP="007E0ABC">
            <w:pPr>
              <w:numPr>
                <w:ilvl w:val="0"/>
                <w:numId w:val="15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6022B1D8" w14:textId="77777777" w:rsidR="007E0ABC" w:rsidRPr="00C260F1" w:rsidRDefault="007E0ABC" w:rsidP="007E0ABC">
            <w:pPr>
              <w:numPr>
                <w:ilvl w:val="0"/>
                <w:numId w:val="15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2E0D8F20" w14:textId="77777777" w:rsidR="007E0ABC" w:rsidRPr="00C260F1" w:rsidRDefault="007E0ABC" w:rsidP="00C260F1">
            <w:pPr>
              <w:rPr>
                <w:rFonts w:ascii="Calibri" w:eastAsia="Calibri" w:hAnsi="Calibri" w:cs="Calibri"/>
                <w:sz w:val="18"/>
                <w:szCs w:val="22"/>
              </w:rPr>
            </w:pPr>
          </w:p>
        </w:tc>
      </w:tr>
      <w:tr w:rsidR="007E0ABC" w:rsidRPr="00C260F1" w14:paraId="57FDF687" w14:textId="77777777" w:rsidTr="003C4FF0">
        <w:tc>
          <w:tcPr>
            <w:tcW w:w="9000" w:type="dxa"/>
          </w:tcPr>
          <w:p w14:paraId="68D6BA93"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t xml:space="preserve">3. In difficult situations I can do something that helps me.  </w:t>
            </w:r>
          </w:p>
          <w:p w14:paraId="10C098B5" w14:textId="77777777" w:rsidR="007E0ABC" w:rsidRPr="00C260F1" w:rsidRDefault="007E0ABC" w:rsidP="007E0ABC">
            <w:pPr>
              <w:numPr>
                <w:ilvl w:val="0"/>
                <w:numId w:val="15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47AF2288" w14:textId="77777777" w:rsidR="007E0ABC" w:rsidRPr="00C260F1" w:rsidRDefault="007E0ABC" w:rsidP="007E0ABC">
            <w:pPr>
              <w:numPr>
                <w:ilvl w:val="0"/>
                <w:numId w:val="15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24CC9FE3" w14:textId="77777777" w:rsidR="007E0ABC" w:rsidRPr="00C260F1" w:rsidRDefault="007E0ABC" w:rsidP="007E0ABC">
            <w:pPr>
              <w:numPr>
                <w:ilvl w:val="0"/>
                <w:numId w:val="15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591E9131" w14:textId="77777777" w:rsidR="007E0ABC" w:rsidRPr="00C260F1" w:rsidRDefault="007E0ABC" w:rsidP="007E0ABC">
            <w:pPr>
              <w:numPr>
                <w:ilvl w:val="0"/>
                <w:numId w:val="15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04B4FAD1" w14:textId="77777777" w:rsidR="007E0ABC" w:rsidRPr="00C260F1" w:rsidRDefault="007E0ABC" w:rsidP="007E0ABC">
            <w:pPr>
              <w:numPr>
                <w:ilvl w:val="0"/>
                <w:numId w:val="15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2E06DAA0" w14:textId="77777777" w:rsidR="007E0ABC" w:rsidRPr="00C260F1" w:rsidRDefault="007E0ABC" w:rsidP="00C260F1">
            <w:pPr>
              <w:rPr>
                <w:rFonts w:ascii="Calibri" w:eastAsia="Calibri" w:hAnsi="Calibri" w:cs="Calibri"/>
                <w:color w:val="000000"/>
                <w:sz w:val="18"/>
                <w:szCs w:val="22"/>
              </w:rPr>
            </w:pPr>
          </w:p>
        </w:tc>
      </w:tr>
      <w:tr w:rsidR="007E0ABC" w:rsidRPr="00C260F1" w14:paraId="742F2957" w14:textId="77777777" w:rsidTr="003C4FF0">
        <w:tc>
          <w:tcPr>
            <w:tcW w:w="9000" w:type="dxa"/>
          </w:tcPr>
          <w:p w14:paraId="44E7810B"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t xml:space="preserve">4. I talk openly about how I feel with people who are important to me. </w:t>
            </w:r>
          </w:p>
          <w:p w14:paraId="004E6156" w14:textId="77777777" w:rsidR="007E0ABC" w:rsidRPr="00C260F1" w:rsidRDefault="007E0ABC" w:rsidP="007E0ABC">
            <w:pPr>
              <w:numPr>
                <w:ilvl w:val="0"/>
                <w:numId w:val="14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59F8C7A7" w14:textId="77777777" w:rsidR="007E0ABC" w:rsidRPr="00C260F1" w:rsidRDefault="007E0ABC" w:rsidP="007E0ABC">
            <w:pPr>
              <w:numPr>
                <w:ilvl w:val="0"/>
                <w:numId w:val="14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38104057" w14:textId="77777777" w:rsidR="007E0ABC" w:rsidRPr="00C260F1" w:rsidRDefault="007E0ABC" w:rsidP="007E0ABC">
            <w:pPr>
              <w:numPr>
                <w:ilvl w:val="0"/>
                <w:numId w:val="14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62811655" w14:textId="77777777" w:rsidR="007E0ABC" w:rsidRPr="00C260F1" w:rsidRDefault="007E0ABC" w:rsidP="007E0ABC">
            <w:pPr>
              <w:numPr>
                <w:ilvl w:val="0"/>
                <w:numId w:val="14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0D4294B9" w14:textId="77777777" w:rsidR="007E0ABC" w:rsidRPr="00C260F1" w:rsidRDefault="007E0ABC" w:rsidP="007E0ABC">
            <w:pPr>
              <w:numPr>
                <w:ilvl w:val="0"/>
                <w:numId w:val="14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4E502884" w14:textId="77777777" w:rsidR="007E0ABC" w:rsidRPr="00C260F1" w:rsidRDefault="007E0ABC" w:rsidP="00C260F1">
            <w:pPr>
              <w:rPr>
                <w:rFonts w:ascii="Calibri" w:eastAsia="Calibri" w:hAnsi="Calibri" w:cs="Calibri"/>
                <w:sz w:val="18"/>
                <w:szCs w:val="22"/>
              </w:rPr>
            </w:pPr>
          </w:p>
        </w:tc>
      </w:tr>
      <w:tr w:rsidR="007E0ABC" w:rsidRPr="00C260F1" w14:paraId="15786725" w14:textId="77777777" w:rsidTr="003C4FF0">
        <w:tc>
          <w:tcPr>
            <w:tcW w:w="9000" w:type="dxa"/>
          </w:tcPr>
          <w:p w14:paraId="5051E331"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t xml:space="preserve">5. I am aware of my own needs and wishes. </w:t>
            </w:r>
          </w:p>
          <w:p w14:paraId="7085C0EA" w14:textId="77777777" w:rsidR="007E0ABC" w:rsidRPr="00C260F1" w:rsidRDefault="007E0ABC" w:rsidP="007E0ABC">
            <w:pPr>
              <w:numPr>
                <w:ilvl w:val="0"/>
                <w:numId w:val="14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5646C359" w14:textId="77777777" w:rsidR="007E0ABC" w:rsidRPr="00C260F1" w:rsidRDefault="007E0ABC" w:rsidP="007E0ABC">
            <w:pPr>
              <w:numPr>
                <w:ilvl w:val="0"/>
                <w:numId w:val="14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73C10E5D" w14:textId="77777777" w:rsidR="007E0ABC" w:rsidRPr="00C260F1" w:rsidRDefault="007E0ABC" w:rsidP="007E0ABC">
            <w:pPr>
              <w:numPr>
                <w:ilvl w:val="0"/>
                <w:numId w:val="14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5050E83E" w14:textId="77777777" w:rsidR="007E0ABC" w:rsidRPr="00C260F1" w:rsidRDefault="007E0ABC" w:rsidP="007E0ABC">
            <w:pPr>
              <w:numPr>
                <w:ilvl w:val="0"/>
                <w:numId w:val="14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4AEA6013" w14:textId="77777777" w:rsidR="007E0ABC" w:rsidRPr="00C260F1" w:rsidRDefault="007E0ABC" w:rsidP="007E0ABC">
            <w:pPr>
              <w:numPr>
                <w:ilvl w:val="0"/>
                <w:numId w:val="14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1C7492AB" w14:textId="77777777" w:rsidR="007E0ABC" w:rsidRPr="00C260F1" w:rsidRDefault="007E0ABC" w:rsidP="00C260F1">
            <w:pPr>
              <w:rPr>
                <w:rFonts w:ascii="Calibri" w:eastAsia="Calibri" w:hAnsi="Calibri" w:cs="Calibri"/>
                <w:sz w:val="18"/>
                <w:szCs w:val="22"/>
              </w:rPr>
            </w:pPr>
          </w:p>
          <w:p w14:paraId="3F2B74D3"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t xml:space="preserve">5.1. I am able to stand up firmly to others about my needs and wishes. </w:t>
            </w:r>
          </w:p>
          <w:p w14:paraId="012DA02B" w14:textId="77777777" w:rsidR="007E0ABC" w:rsidRPr="00C260F1" w:rsidRDefault="007E0ABC" w:rsidP="007E0ABC">
            <w:pPr>
              <w:numPr>
                <w:ilvl w:val="0"/>
                <w:numId w:val="14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4E66391C" w14:textId="77777777" w:rsidR="007E0ABC" w:rsidRPr="00C260F1" w:rsidRDefault="007E0ABC" w:rsidP="007E0ABC">
            <w:pPr>
              <w:numPr>
                <w:ilvl w:val="0"/>
                <w:numId w:val="14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42A9B673" w14:textId="77777777" w:rsidR="007E0ABC" w:rsidRPr="00C260F1" w:rsidRDefault="007E0ABC" w:rsidP="007E0ABC">
            <w:pPr>
              <w:numPr>
                <w:ilvl w:val="0"/>
                <w:numId w:val="14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03C91F77" w14:textId="77777777" w:rsidR="007E0ABC" w:rsidRPr="00C260F1" w:rsidRDefault="007E0ABC" w:rsidP="007E0ABC">
            <w:pPr>
              <w:numPr>
                <w:ilvl w:val="0"/>
                <w:numId w:val="14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55C8C8DC" w14:textId="77777777" w:rsidR="007E0ABC" w:rsidRPr="00C260F1" w:rsidRDefault="007E0ABC" w:rsidP="007E0ABC">
            <w:pPr>
              <w:numPr>
                <w:ilvl w:val="0"/>
                <w:numId w:val="14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12CE7558" w14:textId="77777777" w:rsidR="007E0ABC" w:rsidRPr="00C260F1" w:rsidRDefault="007E0ABC" w:rsidP="00C260F1">
            <w:pPr>
              <w:rPr>
                <w:rFonts w:ascii="Calibri" w:eastAsia="Calibri" w:hAnsi="Calibri" w:cs="Calibri"/>
                <w:sz w:val="18"/>
                <w:szCs w:val="22"/>
              </w:rPr>
            </w:pPr>
          </w:p>
        </w:tc>
      </w:tr>
      <w:tr w:rsidR="007E0ABC" w:rsidRPr="00C260F1" w14:paraId="06C144C7" w14:textId="77777777" w:rsidTr="003C4FF0">
        <w:tc>
          <w:tcPr>
            <w:tcW w:w="9000" w:type="dxa"/>
          </w:tcPr>
          <w:p w14:paraId="4719B66E"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sz w:val="18"/>
                <w:szCs w:val="22"/>
              </w:rPr>
              <w:t xml:space="preserve">6. I talk openly about my illness with people who are important to me. </w:t>
            </w:r>
          </w:p>
          <w:p w14:paraId="40787872" w14:textId="77777777" w:rsidR="007E0ABC" w:rsidRPr="00C260F1" w:rsidRDefault="007E0ABC" w:rsidP="007E0ABC">
            <w:pPr>
              <w:numPr>
                <w:ilvl w:val="0"/>
                <w:numId w:val="14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68B18920" w14:textId="77777777" w:rsidR="007E0ABC" w:rsidRPr="00C260F1" w:rsidRDefault="007E0ABC" w:rsidP="007E0ABC">
            <w:pPr>
              <w:numPr>
                <w:ilvl w:val="0"/>
                <w:numId w:val="14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lastRenderedPageBreak/>
              <w:t>I slightly agree (4)</w:t>
            </w:r>
          </w:p>
          <w:p w14:paraId="7DE6770C" w14:textId="77777777" w:rsidR="007E0ABC" w:rsidRPr="00C260F1" w:rsidRDefault="007E0ABC" w:rsidP="007E0ABC">
            <w:pPr>
              <w:numPr>
                <w:ilvl w:val="0"/>
                <w:numId w:val="14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0D72132E" w14:textId="77777777" w:rsidR="007E0ABC" w:rsidRPr="00C260F1" w:rsidRDefault="007E0ABC" w:rsidP="007E0ABC">
            <w:pPr>
              <w:numPr>
                <w:ilvl w:val="0"/>
                <w:numId w:val="14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6C567D16" w14:textId="77777777" w:rsidR="007E0ABC" w:rsidRPr="00C260F1" w:rsidRDefault="007E0ABC" w:rsidP="007E0ABC">
            <w:pPr>
              <w:numPr>
                <w:ilvl w:val="0"/>
                <w:numId w:val="14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4D09A9BB" w14:textId="77777777" w:rsidR="007E0ABC" w:rsidRPr="00C260F1" w:rsidRDefault="007E0ABC" w:rsidP="00C260F1">
            <w:pPr>
              <w:rPr>
                <w:rFonts w:ascii="Calibri" w:eastAsia="Calibri" w:hAnsi="Calibri" w:cs="Calibri"/>
                <w:sz w:val="18"/>
                <w:szCs w:val="22"/>
              </w:rPr>
            </w:pPr>
          </w:p>
        </w:tc>
      </w:tr>
      <w:tr w:rsidR="007E0ABC" w:rsidRPr="00C260F1" w14:paraId="0FEF0E45" w14:textId="77777777" w:rsidTr="003C4FF0">
        <w:tc>
          <w:tcPr>
            <w:tcW w:w="9000" w:type="dxa"/>
          </w:tcPr>
          <w:p w14:paraId="3F78319A"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lastRenderedPageBreak/>
              <w:t xml:space="preserve">7. I have informed people who I see regularly how to help me when I am struggling with my illness. </w:t>
            </w:r>
          </w:p>
          <w:p w14:paraId="0113BA57" w14:textId="77777777" w:rsidR="007E0ABC" w:rsidRPr="00C260F1" w:rsidRDefault="007E0ABC" w:rsidP="007E0ABC">
            <w:pPr>
              <w:numPr>
                <w:ilvl w:val="0"/>
                <w:numId w:val="14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6CE04377" w14:textId="77777777" w:rsidR="007E0ABC" w:rsidRPr="00C260F1" w:rsidRDefault="007E0ABC" w:rsidP="007E0ABC">
            <w:pPr>
              <w:numPr>
                <w:ilvl w:val="0"/>
                <w:numId w:val="14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72891E58" w14:textId="77777777" w:rsidR="007E0ABC" w:rsidRPr="00C260F1" w:rsidRDefault="007E0ABC" w:rsidP="007E0ABC">
            <w:pPr>
              <w:numPr>
                <w:ilvl w:val="0"/>
                <w:numId w:val="14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115E13ED" w14:textId="77777777" w:rsidR="007E0ABC" w:rsidRPr="00C260F1" w:rsidRDefault="007E0ABC" w:rsidP="007E0ABC">
            <w:pPr>
              <w:numPr>
                <w:ilvl w:val="0"/>
                <w:numId w:val="14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612F2B9C" w14:textId="77777777" w:rsidR="007E0ABC" w:rsidRPr="00C260F1" w:rsidRDefault="007E0ABC" w:rsidP="007E0ABC">
            <w:pPr>
              <w:numPr>
                <w:ilvl w:val="0"/>
                <w:numId w:val="14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69A8E892" w14:textId="77777777" w:rsidR="007E0ABC" w:rsidRPr="00C260F1" w:rsidRDefault="007E0ABC" w:rsidP="00C260F1">
            <w:pPr>
              <w:rPr>
                <w:rFonts w:ascii="Calibri" w:eastAsia="Calibri" w:hAnsi="Calibri" w:cs="Calibri"/>
                <w:sz w:val="18"/>
                <w:szCs w:val="22"/>
              </w:rPr>
            </w:pPr>
          </w:p>
        </w:tc>
      </w:tr>
      <w:tr w:rsidR="007E0ABC" w:rsidRPr="00C260F1" w14:paraId="542ADD32" w14:textId="77777777" w:rsidTr="003C4FF0">
        <w:tc>
          <w:tcPr>
            <w:tcW w:w="9000" w:type="dxa"/>
          </w:tcPr>
          <w:p w14:paraId="61032FC0"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sz w:val="18"/>
                <w:szCs w:val="22"/>
              </w:rPr>
              <w:t xml:space="preserve">8. In some situations I am confused about how I feel. </w:t>
            </w:r>
          </w:p>
          <w:p w14:paraId="524BCBEA" w14:textId="77777777" w:rsidR="007E0ABC" w:rsidRPr="00C260F1" w:rsidRDefault="007E0ABC" w:rsidP="007E0ABC">
            <w:pPr>
              <w:numPr>
                <w:ilvl w:val="0"/>
                <w:numId w:val="14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40DAB0D1" w14:textId="77777777" w:rsidR="007E0ABC" w:rsidRPr="00C260F1" w:rsidRDefault="007E0ABC" w:rsidP="007E0ABC">
            <w:pPr>
              <w:numPr>
                <w:ilvl w:val="0"/>
                <w:numId w:val="14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20BE0F7B" w14:textId="77777777" w:rsidR="007E0ABC" w:rsidRPr="00C260F1" w:rsidRDefault="007E0ABC" w:rsidP="007E0ABC">
            <w:pPr>
              <w:numPr>
                <w:ilvl w:val="0"/>
                <w:numId w:val="14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36649516" w14:textId="77777777" w:rsidR="007E0ABC" w:rsidRPr="00C260F1" w:rsidRDefault="007E0ABC" w:rsidP="007E0ABC">
            <w:pPr>
              <w:numPr>
                <w:ilvl w:val="0"/>
                <w:numId w:val="14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4BB837B2" w14:textId="77777777" w:rsidR="007E0ABC" w:rsidRPr="00C260F1" w:rsidRDefault="007E0ABC" w:rsidP="007E0ABC">
            <w:pPr>
              <w:numPr>
                <w:ilvl w:val="0"/>
                <w:numId w:val="14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753D852C" w14:textId="77777777" w:rsidR="007E0ABC" w:rsidRPr="00C260F1" w:rsidRDefault="007E0ABC" w:rsidP="00C260F1">
            <w:pPr>
              <w:rPr>
                <w:rFonts w:ascii="Calibri" w:eastAsia="Calibri" w:hAnsi="Calibri" w:cs="Calibri"/>
                <w:sz w:val="18"/>
                <w:szCs w:val="22"/>
              </w:rPr>
            </w:pPr>
          </w:p>
        </w:tc>
      </w:tr>
      <w:tr w:rsidR="007E0ABC" w:rsidRPr="00C260F1" w14:paraId="0477F8E3" w14:textId="77777777" w:rsidTr="003C4FF0">
        <w:tc>
          <w:tcPr>
            <w:tcW w:w="9000" w:type="dxa"/>
          </w:tcPr>
          <w:p w14:paraId="0B74BCE1"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sz w:val="18"/>
                <w:szCs w:val="22"/>
              </w:rPr>
              <w:t xml:space="preserve">9. I am able to express how I feel if it is important to me. </w:t>
            </w:r>
          </w:p>
          <w:p w14:paraId="187EC4EE" w14:textId="77777777" w:rsidR="007E0ABC" w:rsidRPr="00C260F1" w:rsidRDefault="007E0ABC" w:rsidP="007E0ABC">
            <w:pPr>
              <w:numPr>
                <w:ilvl w:val="0"/>
                <w:numId w:val="11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525592FC" w14:textId="77777777" w:rsidR="007E0ABC" w:rsidRPr="00C260F1" w:rsidRDefault="007E0ABC" w:rsidP="007E0ABC">
            <w:pPr>
              <w:numPr>
                <w:ilvl w:val="0"/>
                <w:numId w:val="11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37F4B40D" w14:textId="77777777" w:rsidR="007E0ABC" w:rsidRPr="00C260F1" w:rsidRDefault="007E0ABC" w:rsidP="007E0ABC">
            <w:pPr>
              <w:numPr>
                <w:ilvl w:val="0"/>
                <w:numId w:val="11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41AC1CC8" w14:textId="77777777" w:rsidR="007E0ABC" w:rsidRPr="00C260F1" w:rsidRDefault="007E0ABC" w:rsidP="007E0ABC">
            <w:pPr>
              <w:numPr>
                <w:ilvl w:val="0"/>
                <w:numId w:val="11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02D8F821" w14:textId="77777777" w:rsidR="007E0ABC" w:rsidRPr="00C260F1" w:rsidRDefault="007E0ABC" w:rsidP="007E0ABC">
            <w:pPr>
              <w:numPr>
                <w:ilvl w:val="0"/>
                <w:numId w:val="11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58B3CACD" w14:textId="77777777" w:rsidR="007E0ABC" w:rsidRPr="00C260F1" w:rsidRDefault="007E0ABC" w:rsidP="00C260F1">
            <w:pPr>
              <w:rPr>
                <w:rFonts w:ascii="Calibri" w:eastAsia="Calibri" w:hAnsi="Calibri" w:cs="Calibri"/>
                <w:sz w:val="18"/>
                <w:szCs w:val="22"/>
              </w:rPr>
            </w:pPr>
          </w:p>
        </w:tc>
      </w:tr>
      <w:tr w:rsidR="007E0ABC" w:rsidRPr="00C260F1" w14:paraId="655E0BCC" w14:textId="77777777" w:rsidTr="003C4FF0">
        <w:tc>
          <w:tcPr>
            <w:tcW w:w="9000" w:type="dxa"/>
          </w:tcPr>
          <w:p w14:paraId="0993E1DA"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sz w:val="18"/>
                <w:szCs w:val="22"/>
              </w:rPr>
              <w:t xml:space="preserve">10. I feel good about myself as I am. </w:t>
            </w:r>
          </w:p>
          <w:p w14:paraId="094C2351" w14:textId="77777777" w:rsidR="007E0ABC" w:rsidRPr="00C260F1" w:rsidRDefault="007E0ABC" w:rsidP="007E0ABC">
            <w:pPr>
              <w:numPr>
                <w:ilvl w:val="0"/>
                <w:numId w:val="12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48F399F7" w14:textId="77777777" w:rsidR="007E0ABC" w:rsidRPr="00C260F1" w:rsidRDefault="007E0ABC" w:rsidP="007E0ABC">
            <w:pPr>
              <w:numPr>
                <w:ilvl w:val="0"/>
                <w:numId w:val="12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446673C5" w14:textId="77777777" w:rsidR="007E0ABC" w:rsidRPr="00C260F1" w:rsidRDefault="007E0ABC" w:rsidP="007E0ABC">
            <w:pPr>
              <w:numPr>
                <w:ilvl w:val="0"/>
                <w:numId w:val="12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29741AA5" w14:textId="77777777" w:rsidR="007E0ABC" w:rsidRPr="00C260F1" w:rsidRDefault="007E0ABC" w:rsidP="007E0ABC">
            <w:pPr>
              <w:numPr>
                <w:ilvl w:val="0"/>
                <w:numId w:val="12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662EE9C1" w14:textId="77777777" w:rsidR="007E0ABC" w:rsidRPr="00C260F1" w:rsidRDefault="007E0ABC" w:rsidP="007E0ABC">
            <w:pPr>
              <w:numPr>
                <w:ilvl w:val="0"/>
                <w:numId w:val="12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30CA8BB2" w14:textId="77777777" w:rsidR="007E0ABC" w:rsidRPr="00C260F1" w:rsidRDefault="007E0ABC" w:rsidP="00C260F1">
            <w:pPr>
              <w:rPr>
                <w:rFonts w:ascii="Calibri" w:eastAsia="Calibri" w:hAnsi="Calibri" w:cs="Calibri"/>
                <w:sz w:val="18"/>
                <w:szCs w:val="22"/>
              </w:rPr>
            </w:pPr>
          </w:p>
        </w:tc>
      </w:tr>
      <w:tr w:rsidR="007E0ABC" w:rsidRPr="00C260F1" w14:paraId="7BB84AA8" w14:textId="77777777" w:rsidTr="003C4FF0">
        <w:tc>
          <w:tcPr>
            <w:tcW w:w="9000" w:type="dxa"/>
          </w:tcPr>
          <w:p w14:paraId="63F76CAB"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sz w:val="18"/>
                <w:szCs w:val="22"/>
              </w:rPr>
              <w:t xml:space="preserve">11. I bottle up my feelings. </w:t>
            </w:r>
          </w:p>
          <w:p w14:paraId="2610DAFA" w14:textId="77777777" w:rsidR="007E0ABC" w:rsidRPr="00C260F1" w:rsidRDefault="007E0ABC" w:rsidP="007E0ABC">
            <w:pPr>
              <w:numPr>
                <w:ilvl w:val="0"/>
                <w:numId w:val="12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6FAD7026" w14:textId="77777777" w:rsidR="007E0ABC" w:rsidRPr="00C260F1" w:rsidRDefault="007E0ABC" w:rsidP="007E0ABC">
            <w:pPr>
              <w:numPr>
                <w:ilvl w:val="0"/>
                <w:numId w:val="12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6BB45F02" w14:textId="77777777" w:rsidR="007E0ABC" w:rsidRPr="00C260F1" w:rsidRDefault="007E0ABC" w:rsidP="007E0ABC">
            <w:pPr>
              <w:numPr>
                <w:ilvl w:val="0"/>
                <w:numId w:val="12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01ADBDA7" w14:textId="77777777" w:rsidR="007E0ABC" w:rsidRPr="00C260F1" w:rsidRDefault="007E0ABC" w:rsidP="007E0ABC">
            <w:pPr>
              <w:numPr>
                <w:ilvl w:val="0"/>
                <w:numId w:val="12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01514EC4" w14:textId="77777777" w:rsidR="007E0ABC" w:rsidRPr="00C260F1" w:rsidRDefault="007E0ABC" w:rsidP="007E0ABC">
            <w:pPr>
              <w:numPr>
                <w:ilvl w:val="0"/>
                <w:numId w:val="12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2747774B" w14:textId="77777777" w:rsidR="007E0ABC" w:rsidRPr="00C260F1" w:rsidRDefault="007E0ABC" w:rsidP="00C260F1">
            <w:pPr>
              <w:rPr>
                <w:rFonts w:ascii="Calibri" w:eastAsia="Calibri" w:hAnsi="Calibri" w:cs="Calibri"/>
                <w:sz w:val="18"/>
                <w:szCs w:val="22"/>
              </w:rPr>
            </w:pPr>
          </w:p>
        </w:tc>
      </w:tr>
      <w:tr w:rsidR="007E0ABC" w:rsidRPr="00C260F1" w14:paraId="571C9F64" w14:textId="77777777" w:rsidTr="003C4FF0">
        <w:tc>
          <w:tcPr>
            <w:tcW w:w="9000" w:type="dxa"/>
          </w:tcPr>
          <w:p w14:paraId="68151AF5"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sz w:val="18"/>
                <w:szCs w:val="22"/>
              </w:rPr>
              <w:t xml:space="preserve">12. I worry about being a burden to others. </w:t>
            </w:r>
          </w:p>
          <w:p w14:paraId="0CB81E45" w14:textId="77777777" w:rsidR="007E0ABC" w:rsidRPr="00C260F1" w:rsidRDefault="007E0ABC" w:rsidP="007E0ABC">
            <w:pPr>
              <w:numPr>
                <w:ilvl w:val="0"/>
                <w:numId w:val="12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0E6DFAD0" w14:textId="77777777" w:rsidR="007E0ABC" w:rsidRPr="00C260F1" w:rsidRDefault="007E0ABC" w:rsidP="007E0ABC">
            <w:pPr>
              <w:numPr>
                <w:ilvl w:val="0"/>
                <w:numId w:val="12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2C3BA474" w14:textId="77777777" w:rsidR="007E0ABC" w:rsidRPr="00C260F1" w:rsidRDefault="007E0ABC" w:rsidP="007E0ABC">
            <w:pPr>
              <w:numPr>
                <w:ilvl w:val="0"/>
                <w:numId w:val="12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0720B409" w14:textId="77777777" w:rsidR="007E0ABC" w:rsidRPr="00C260F1" w:rsidRDefault="007E0ABC" w:rsidP="007E0ABC">
            <w:pPr>
              <w:numPr>
                <w:ilvl w:val="0"/>
                <w:numId w:val="12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0CA77219" w14:textId="77777777" w:rsidR="007E0ABC" w:rsidRPr="00C260F1" w:rsidRDefault="007E0ABC" w:rsidP="007E0ABC">
            <w:pPr>
              <w:numPr>
                <w:ilvl w:val="0"/>
                <w:numId w:val="12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0ED0DEBC" w14:textId="77777777" w:rsidR="007E0ABC" w:rsidRPr="00C260F1" w:rsidRDefault="007E0ABC" w:rsidP="00C260F1">
            <w:pPr>
              <w:rPr>
                <w:rFonts w:ascii="Calibri" w:eastAsia="Calibri" w:hAnsi="Calibri" w:cs="Calibri"/>
                <w:sz w:val="18"/>
                <w:szCs w:val="22"/>
              </w:rPr>
            </w:pPr>
          </w:p>
          <w:p w14:paraId="7DFD87DE"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t>12.1 I was like that even before my illness</w:t>
            </w:r>
          </w:p>
          <w:p w14:paraId="02524AFC"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More than now (3) </w:t>
            </w:r>
          </w:p>
          <w:p w14:paraId="2A13586D"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As much as now (2) </w:t>
            </w:r>
          </w:p>
          <w:p w14:paraId="43340DE3"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Less than now (1) </w:t>
            </w:r>
          </w:p>
          <w:p w14:paraId="3F05A876" w14:textId="77777777" w:rsidR="007E0ABC" w:rsidRPr="00C260F1" w:rsidRDefault="007E0ABC" w:rsidP="00C260F1">
            <w:pPr>
              <w:rPr>
                <w:rFonts w:ascii="Calibri" w:eastAsia="Calibri" w:hAnsi="Calibri" w:cs="Calibri"/>
                <w:sz w:val="18"/>
                <w:szCs w:val="22"/>
              </w:rPr>
            </w:pPr>
          </w:p>
        </w:tc>
      </w:tr>
      <w:tr w:rsidR="007E0ABC" w:rsidRPr="00C260F1" w14:paraId="2AC8F57B" w14:textId="77777777" w:rsidTr="003C4FF0">
        <w:tc>
          <w:tcPr>
            <w:tcW w:w="9000" w:type="dxa"/>
          </w:tcPr>
          <w:p w14:paraId="001BA815"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color w:val="000000"/>
                <w:sz w:val="18"/>
                <w:szCs w:val="22"/>
              </w:rPr>
              <w:t xml:space="preserve">13. </w:t>
            </w:r>
            <w:r w:rsidRPr="00C260F1">
              <w:rPr>
                <w:rFonts w:ascii="Calibri" w:eastAsia="Calibri" w:hAnsi="Calibri" w:cs="Calibri"/>
                <w:sz w:val="18"/>
                <w:szCs w:val="22"/>
              </w:rPr>
              <w:t xml:space="preserve">I am able to say “no” when others ask me to do things for them that I would rather not do. </w:t>
            </w:r>
          </w:p>
          <w:p w14:paraId="400BDE8F" w14:textId="77777777" w:rsidR="007E0ABC" w:rsidRPr="00C260F1" w:rsidRDefault="007E0ABC" w:rsidP="007E0ABC">
            <w:pPr>
              <w:numPr>
                <w:ilvl w:val="0"/>
                <w:numId w:val="10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2265DEE2" w14:textId="77777777" w:rsidR="007E0ABC" w:rsidRPr="00C260F1" w:rsidRDefault="007E0ABC" w:rsidP="007E0ABC">
            <w:pPr>
              <w:numPr>
                <w:ilvl w:val="0"/>
                <w:numId w:val="10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3924382D" w14:textId="77777777" w:rsidR="007E0ABC" w:rsidRPr="00C260F1" w:rsidRDefault="007E0ABC" w:rsidP="007E0ABC">
            <w:pPr>
              <w:numPr>
                <w:ilvl w:val="0"/>
                <w:numId w:val="10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lastRenderedPageBreak/>
              <w:t xml:space="preserve">I neither agree nor disagree (3) </w:t>
            </w:r>
          </w:p>
          <w:p w14:paraId="3D8BF967" w14:textId="77777777" w:rsidR="007E0ABC" w:rsidRPr="00C260F1" w:rsidRDefault="007E0ABC" w:rsidP="007E0ABC">
            <w:pPr>
              <w:numPr>
                <w:ilvl w:val="0"/>
                <w:numId w:val="10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3DEBC334" w14:textId="77777777" w:rsidR="007E0ABC" w:rsidRPr="00C260F1" w:rsidRDefault="007E0ABC" w:rsidP="007E0ABC">
            <w:pPr>
              <w:numPr>
                <w:ilvl w:val="0"/>
                <w:numId w:val="10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18AC731E" w14:textId="77777777" w:rsidR="007E0ABC" w:rsidRPr="00C260F1" w:rsidRDefault="007E0ABC" w:rsidP="00C260F1">
            <w:pPr>
              <w:rPr>
                <w:rFonts w:ascii="Calibri" w:eastAsia="Calibri" w:hAnsi="Calibri" w:cs="Calibri"/>
                <w:color w:val="000000"/>
                <w:sz w:val="18"/>
                <w:szCs w:val="22"/>
              </w:rPr>
            </w:pPr>
          </w:p>
        </w:tc>
      </w:tr>
      <w:tr w:rsidR="007E0ABC" w:rsidRPr="00C260F1" w14:paraId="0582B618" w14:textId="77777777" w:rsidTr="003C4FF0">
        <w:tc>
          <w:tcPr>
            <w:tcW w:w="9000" w:type="dxa"/>
            <w:shd w:val="clear" w:color="auto" w:fill="auto"/>
          </w:tcPr>
          <w:p w14:paraId="7A7E3045"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sz w:val="18"/>
                <w:szCs w:val="22"/>
              </w:rPr>
              <w:lastRenderedPageBreak/>
              <w:t xml:space="preserve">14. It is hard for me to ask others for help. </w:t>
            </w:r>
          </w:p>
          <w:p w14:paraId="560EB6EF"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0D8CD002"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6E14A6C1"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294E25A3"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3606AADE"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38D5D985" w14:textId="77777777" w:rsidR="007E0ABC" w:rsidRPr="00C260F1" w:rsidRDefault="007E0ABC" w:rsidP="00C260F1">
            <w:pPr>
              <w:rPr>
                <w:rFonts w:ascii="Calibri" w:eastAsia="Calibri" w:hAnsi="Calibri" w:cs="Calibri"/>
                <w:sz w:val="18"/>
                <w:szCs w:val="22"/>
              </w:rPr>
            </w:pPr>
          </w:p>
          <w:p w14:paraId="7F06991B"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t>14.1 I was like that even before my illness.</w:t>
            </w:r>
          </w:p>
          <w:p w14:paraId="3B2CA030"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More than now (3) </w:t>
            </w:r>
          </w:p>
          <w:p w14:paraId="3A0A232F"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As much as now (2) </w:t>
            </w:r>
          </w:p>
          <w:p w14:paraId="31F4A26F"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Less than now (1) </w:t>
            </w:r>
          </w:p>
          <w:p w14:paraId="1108466E" w14:textId="77777777" w:rsidR="007E0ABC" w:rsidRPr="00C260F1" w:rsidRDefault="007E0ABC" w:rsidP="00C260F1">
            <w:pPr>
              <w:rPr>
                <w:rFonts w:ascii="Calibri" w:eastAsia="Calibri" w:hAnsi="Calibri" w:cs="Calibri"/>
                <w:sz w:val="18"/>
                <w:szCs w:val="22"/>
              </w:rPr>
            </w:pPr>
          </w:p>
        </w:tc>
      </w:tr>
      <w:tr w:rsidR="007E0ABC" w:rsidRPr="00C260F1" w14:paraId="3DDB1FC3" w14:textId="77777777" w:rsidTr="003C4FF0">
        <w:tc>
          <w:tcPr>
            <w:tcW w:w="9000" w:type="dxa"/>
            <w:shd w:val="clear" w:color="auto" w:fill="auto"/>
          </w:tcPr>
          <w:p w14:paraId="029058D1"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15. I avoid open arguments. </w:t>
            </w:r>
          </w:p>
          <w:p w14:paraId="76ABEFD6"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3D1CE180"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1803C68A"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63E46A35"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4CCB576F"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2FE6118C" w14:textId="77777777" w:rsidR="007E0ABC" w:rsidRPr="00C260F1" w:rsidRDefault="007E0ABC" w:rsidP="00C260F1">
            <w:pPr>
              <w:rPr>
                <w:rFonts w:ascii="Calibri" w:eastAsia="Calibri" w:hAnsi="Calibri" w:cs="Calibri"/>
                <w:sz w:val="18"/>
                <w:szCs w:val="22"/>
              </w:rPr>
            </w:pPr>
          </w:p>
          <w:p w14:paraId="283BE1A2" w14:textId="77777777" w:rsidR="007E0ABC" w:rsidRPr="00C260F1" w:rsidRDefault="007E0ABC" w:rsidP="00C260F1">
            <w:pPr>
              <w:rPr>
                <w:rFonts w:ascii="Calibri" w:eastAsia="Calibri" w:hAnsi="Calibri" w:cs="Calibri"/>
                <w:sz w:val="18"/>
                <w:szCs w:val="22"/>
              </w:rPr>
            </w:pPr>
            <w:r w:rsidRPr="00C260F1">
              <w:rPr>
                <w:rFonts w:ascii="Calibri" w:eastAsia="Calibri" w:hAnsi="Calibri" w:cs="Calibri"/>
                <w:sz w:val="18"/>
                <w:szCs w:val="22"/>
              </w:rPr>
              <w:t>15.1 I was like that even before my illness.</w:t>
            </w:r>
          </w:p>
          <w:p w14:paraId="1C4BB90E"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More than now (3) </w:t>
            </w:r>
          </w:p>
          <w:p w14:paraId="20070037"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As much as now (2) </w:t>
            </w:r>
          </w:p>
          <w:p w14:paraId="47A00550"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Less than now (1) </w:t>
            </w:r>
          </w:p>
          <w:p w14:paraId="60F8A4E7" w14:textId="77777777" w:rsidR="007E0ABC" w:rsidRPr="00C260F1" w:rsidRDefault="007E0ABC" w:rsidP="00C260F1">
            <w:pPr>
              <w:rPr>
                <w:rFonts w:ascii="Calibri" w:eastAsia="Calibri" w:hAnsi="Calibri" w:cs="Calibri"/>
                <w:sz w:val="18"/>
                <w:szCs w:val="22"/>
              </w:rPr>
            </w:pPr>
          </w:p>
        </w:tc>
      </w:tr>
      <w:tr w:rsidR="007E0ABC" w:rsidRPr="00C260F1" w14:paraId="240E8574" w14:textId="77777777" w:rsidTr="003C4FF0">
        <w:tc>
          <w:tcPr>
            <w:tcW w:w="9000" w:type="dxa"/>
            <w:shd w:val="clear" w:color="auto" w:fill="auto"/>
          </w:tcPr>
          <w:p w14:paraId="1A5E609F"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16. It is easy for me openly to disagree with others if I have a different opinion. </w:t>
            </w:r>
          </w:p>
          <w:p w14:paraId="31AD7301" w14:textId="77777777" w:rsidR="007E0ABC" w:rsidRPr="00C260F1" w:rsidRDefault="007E0ABC" w:rsidP="007E0ABC">
            <w:pPr>
              <w:numPr>
                <w:ilvl w:val="0"/>
                <w:numId w:val="108"/>
              </w:numPr>
              <w:pBdr>
                <w:top w:val="nil"/>
                <w:left w:val="nil"/>
                <w:bottom w:val="nil"/>
                <w:right w:val="nil"/>
                <w:between w:val="nil"/>
              </w:pBdr>
              <w:spacing w:line="240" w:lineRule="auto"/>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6621AC87" w14:textId="77777777" w:rsidR="007E0ABC" w:rsidRPr="00C260F1" w:rsidRDefault="007E0ABC" w:rsidP="007E0ABC">
            <w:pPr>
              <w:numPr>
                <w:ilvl w:val="0"/>
                <w:numId w:val="108"/>
              </w:numPr>
              <w:pBdr>
                <w:top w:val="nil"/>
                <w:left w:val="nil"/>
                <w:bottom w:val="nil"/>
                <w:right w:val="nil"/>
                <w:between w:val="nil"/>
              </w:pBdr>
              <w:spacing w:line="240" w:lineRule="auto"/>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34E4959A" w14:textId="77777777" w:rsidR="007E0ABC" w:rsidRPr="00C260F1" w:rsidRDefault="007E0ABC" w:rsidP="007E0ABC">
            <w:pPr>
              <w:numPr>
                <w:ilvl w:val="0"/>
                <w:numId w:val="108"/>
              </w:numPr>
              <w:pBdr>
                <w:top w:val="nil"/>
                <w:left w:val="nil"/>
                <w:bottom w:val="nil"/>
                <w:right w:val="nil"/>
                <w:between w:val="nil"/>
              </w:pBdr>
              <w:spacing w:line="240" w:lineRule="auto"/>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404C17A0" w14:textId="77777777" w:rsidR="007E0ABC" w:rsidRPr="00C260F1" w:rsidRDefault="007E0ABC" w:rsidP="007E0ABC">
            <w:pPr>
              <w:numPr>
                <w:ilvl w:val="0"/>
                <w:numId w:val="108"/>
              </w:numPr>
              <w:pBdr>
                <w:top w:val="nil"/>
                <w:left w:val="nil"/>
                <w:bottom w:val="nil"/>
                <w:right w:val="nil"/>
                <w:between w:val="nil"/>
              </w:pBdr>
              <w:spacing w:line="240" w:lineRule="auto"/>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4233376E" w14:textId="77777777" w:rsidR="007E0ABC" w:rsidRPr="00C260F1" w:rsidRDefault="007E0ABC" w:rsidP="007E0ABC">
            <w:pPr>
              <w:numPr>
                <w:ilvl w:val="0"/>
                <w:numId w:val="108"/>
              </w:numPr>
              <w:pBdr>
                <w:top w:val="nil"/>
                <w:left w:val="nil"/>
                <w:bottom w:val="nil"/>
                <w:right w:val="nil"/>
                <w:between w:val="nil"/>
              </w:pBdr>
              <w:spacing w:line="240" w:lineRule="auto"/>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41E25CCA" w14:textId="77777777" w:rsidR="007E0ABC" w:rsidRPr="00C260F1" w:rsidRDefault="007E0ABC" w:rsidP="00C260F1">
            <w:pPr>
              <w:rPr>
                <w:rFonts w:ascii="Calibri" w:eastAsia="Calibri" w:hAnsi="Calibri" w:cs="Calibri"/>
                <w:color w:val="000000"/>
                <w:sz w:val="18"/>
                <w:szCs w:val="22"/>
              </w:rPr>
            </w:pPr>
          </w:p>
        </w:tc>
      </w:tr>
      <w:tr w:rsidR="007E0ABC" w:rsidRPr="00C260F1" w14:paraId="46F6DEAC" w14:textId="77777777" w:rsidTr="003C4FF0">
        <w:tc>
          <w:tcPr>
            <w:tcW w:w="9000" w:type="dxa"/>
            <w:shd w:val="clear" w:color="auto" w:fill="auto"/>
          </w:tcPr>
          <w:p w14:paraId="5C228556"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17. I feel ashamed of my illness. </w:t>
            </w:r>
          </w:p>
          <w:p w14:paraId="3362180C"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55415C19"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47771FD2"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400C94FB"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3DBC24EB" w14:textId="77777777" w:rsidR="007E0ABC"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75E12D00" w14:textId="77777777" w:rsidR="007E0ABC" w:rsidRPr="00C260F1" w:rsidRDefault="007E0ABC" w:rsidP="00C260F1">
            <w:pPr>
              <w:pBdr>
                <w:top w:val="nil"/>
                <w:left w:val="nil"/>
                <w:bottom w:val="nil"/>
                <w:right w:val="nil"/>
                <w:between w:val="nil"/>
              </w:pBdr>
              <w:ind w:left="720"/>
              <w:rPr>
                <w:rFonts w:ascii="Calibri" w:eastAsia="Calibri" w:hAnsi="Calibri" w:cs="Calibri"/>
                <w:i/>
                <w:color w:val="000000"/>
                <w:sz w:val="18"/>
                <w:szCs w:val="22"/>
              </w:rPr>
            </w:pPr>
          </w:p>
          <w:p w14:paraId="5A884CD6"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17.1 I easily felt ashamed before my illness.</w:t>
            </w:r>
          </w:p>
          <w:p w14:paraId="39F8A70D"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More than now (3) </w:t>
            </w:r>
          </w:p>
          <w:p w14:paraId="132D7A7D"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As much as now (2) </w:t>
            </w:r>
          </w:p>
          <w:p w14:paraId="52C0BBF1" w14:textId="77777777" w:rsidR="007E0ABC" w:rsidRPr="00C260F1" w:rsidRDefault="007E0ABC" w:rsidP="007E0ABC">
            <w:pPr>
              <w:numPr>
                <w:ilvl w:val="0"/>
                <w:numId w:val="15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Less than now (1) </w:t>
            </w:r>
          </w:p>
        </w:tc>
      </w:tr>
      <w:tr w:rsidR="007E0ABC" w:rsidRPr="00C260F1" w14:paraId="49199423" w14:textId="77777777" w:rsidTr="003C4FF0">
        <w:tc>
          <w:tcPr>
            <w:tcW w:w="9000" w:type="dxa"/>
            <w:shd w:val="clear" w:color="auto" w:fill="auto"/>
          </w:tcPr>
          <w:p w14:paraId="07C94953"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18. I am capable of achieving the things that I would like to achieve. </w:t>
            </w:r>
          </w:p>
          <w:p w14:paraId="500EAAA7" w14:textId="77777777" w:rsidR="007E0ABC" w:rsidRPr="00C260F1" w:rsidRDefault="007E0ABC" w:rsidP="007E0ABC">
            <w:pPr>
              <w:numPr>
                <w:ilvl w:val="0"/>
                <w:numId w:val="10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5DB596AB" w14:textId="77777777" w:rsidR="007E0ABC" w:rsidRPr="00C260F1" w:rsidRDefault="007E0ABC" w:rsidP="007E0ABC">
            <w:pPr>
              <w:numPr>
                <w:ilvl w:val="0"/>
                <w:numId w:val="10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1A61FB56" w14:textId="77777777" w:rsidR="007E0ABC" w:rsidRPr="00C260F1" w:rsidRDefault="007E0ABC" w:rsidP="007E0ABC">
            <w:pPr>
              <w:numPr>
                <w:ilvl w:val="0"/>
                <w:numId w:val="10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3BF3C438" w14:textId="77777777" w:rsidR="007E0ABC" w:rsidRPr="00C260F1" w:rsidRDefault="007E0ABC" w:rsidP="007E0ABC">
            <w:pPr>
              <w:numPr>
                <w:ilvl w:val="0"/>
                <w:numId w:val="10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11BB781B" w14:textId="77777777" w:rsidR="007E0ABC" w:rsidRDefault="007E0ABC" w:rsidP="007E0ABC">
            <w:pPr>
              <w:numPr>
                <w:ilvl w:val="0"/>
                <w:numId w:val="10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5FFB5C87" w14:textId="77777777" w:rsidR="007E0ABC" w:rsidRPr="00C260F1" w:rsidRDefault="007E0ABC" w:rsidP="007E0ABC">
            <w:pPr>
              <w:numPr>
                <w:ilvl w:val="0"/>
                <w:numId w:val="109"/>
              </w:numPr>
              <w:pBdr>
                <w:top w:val="nil"/>
                <w:left w:val="nil"/>
                <w:bottom w:val="nil"/>
                <w:right w:val="nil"/>
                <w:between w:val="nil"/>
              </w:pBdr>
              <w:spacing w:line="240" w:lineRule="auto"/>
              <w:jc w:val="left"/>
              <w:rPr>
                <w:rFonts w:ascii="Calibri" w:eastAsia="Calibri" w:hAnsi="Calibri" w:cs="Calibri"/>
                <w:i/>
                <w:color w:val="000000"/>
                <w:sz w:val="18"/>
                <w:szCs w:val="22"/>
              </w:rPr>
            </w:pPr>
          </w:p>
        </w:tc>
      </w:tr>
      <w:tr w:rsidR="007E0ABC" w:rsidRPr="00C260F1" w14:paraId="0CBB244E" w14:textId="77777777" w:rsidTr="003C4FF0">
        <w:tc>
          <w:tcPr>
            <w:tcW w:w="9000" w:type="dxa"/>
            <w:shd w:val="clear" w:color="auto" w:fill="auto"/>
          </w:tcPr>
          <w:p w14:paraId="7554EE89"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19. I accept the things that I cannot change. </w:t>
            </w:r>
          </w:p>
          <w:p w14:paraId="564FE638" w14:textId="77777777" w:rsidR="007E0ABC" w:rsidRPr="00C260F1" w:rsidRDefault="007E0ABC" w:rsidP="007E0ABC">
            <w:pPr>
              <w:numPr>
                <w:ilvl w:val="0"/>
                <w:numId w:val="11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523FD446" w14:textId="77777777" w:rsidR="007E0ABC" w:rsidRPr="00C260F1" w:rsidRDefault="007E0ABC" w:rsidP="007E0ABC">
            <w:pPr>
              <w:numPr>
                <w:ilvl w:val="0"/>
                <w:numId w:val="11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lastRenderedPageBreak/>
              <w:t>I slightly agree (4)</w:t>
            </w:r>
          </w:p>
          <w:p w14:paraId="75BF6AC7" w14:textId="77777777" w:rsidR="007E0ABC" w:rsidRPr="00C260F1" w:rsidRDefault="007E0ABC" w:rsidP="007E0ABC">
            <w:pPr>
              <w:numPr>
                <w:ilvl w:val="0"/>
                <w:numId w:val="11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4B703CF8" w14:textId="77777777" w:rsidR="007E0ABC" w:rsidRPr="00C260F1" w:rsidRDefault="007E0ABC" w:rsidP="007E0ABC">
            <w:pPr>
              <w:numPr>
                <w:ilvl w:val="0"/>
                <w:numId w:val="11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2BDFC67E" w14:textId="77777777" w:rsidR="007E0ABC" w:rsidRDefault="007E0ABC" w:rsidP="007E0ABC">
            <w:pPr>
              <w:numPr>
                <w:ilvl w:val="0"/>
                <w:numId w:val="11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42CEA5CB" w14:textId="77777777" w:rsidR="007E0ABC" w:rsidRPr="00C260F1" w:rsidRDefault="007E0ABC" w:rsidP="007E0ABC">
            <w:pPr>
              <w:numPr>
                <w:ilvl w:val="0"/>
                <w:numId w:val="111"/>
              </w:numPr>
              <w:pBdr>
                <w:top w:val="nil"/>
                <w:left w:val="nil"/>
                <w:bottom w:val="nil"/>
                <w:right w:val="nil"/>
                <w:between w:val="nil"/>
              </w:pBdr>
              <w:spacing w:line="240" w:lineRule="auto"/>
              <w:jc w:val="left"/>
              <w:rPr>
                <w:rFonts w:ascii="Calibri" w:eastAsia="Calibri" w:hAnsi="Calibri" w:cs="Calibri"/>
                <w:i/>
                <w:color w:val="000000"/>
                <w:sz w:val="18"/>
                <w:szCs w:val="22"/>
              </w:rPr>
            </w:pPr>
          </w:p>
        </w:tc>
      </w:tr>
      <w:tr w:rsidR="007E0ABC" w:rsidRPr="00C260F1" w14:paraId="4453E85F" w14:textId="77777777" w:rsidTr="003C4FF0">
        <w:tc>
          <w:tcPr>
            <w:tcW w:w="9000" w:type="dxa"/>
            <w:shd w:val="clear" w:color="auto" w:fill="auto"/>
          </w:tcPr>
          <w:p w14:paraId="026C89B9"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lastRenderedPageBreak/>
              <w:t xml:space="preserve">20. I look after my well-being in daily life. </w:t>
            </w:r>
          </w:p>
          <w:p w14:paraId="18EC3954" w14:textId="77777777" w:rsidR="007E0ABC" w:rsidRPr="00C260F1" w:rsidRDefault="007E0ABC" w:rsidP="007E0ABC">
            <w:pPr>
              <w:numPr>
                <w:ilvl w:val="0"/>
                <w:numId w:val="11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39600B0F" w14:textId="77777777" w:rsidR="007E0ABC" w:rsidRPr="00C260F1" w:rsidRDefault="007E0ABC" w:rsidP="007E0ABC">
            <w:pPr>
              <w:numPr>
                <w:ilvl w:val="0"/>
                <w:numId w:val="11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34950A21" w14:textId="77777777" w:rsidR="007E0ABC" w:rsidRPr="00C260F1" w:rsidRDefault="007E0ABC" w:rsidP="007E0ABC">
            <w:pPr>
              <w:numPr>
                <w:ilvl w:val="0"/>
                <w:numId w:val="11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54B258FF" w14:textId="77777777" w:rsidR="007E0ABC" w:rsidRPr="00C260F1" w:rsidRDefault="007E0ABC" w:rsidP="007E0ABC">
            <w:pPr>
              <w:numPr>
                <w:ilvl w:val="0"/>
                <w:numId w:val="11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590D13A4" w14:textId="77777777" w:rsidR="007E0ABC" w:rsidRPr="00C260F1" w:rsidRDefault="007E0ABC" w:rsidP="007E0ABC">
            <w:pPr>
              <w:numPr>
                <w:ilvl w:val="0"/>
                <w:numId w:val="11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65B74EB8" w14:textId="77777777" w:rsidR="007E0ABC" w:rsidRPr="00C260F1" w:rsidRDefault="007E0ABC" w:rsidP="00C260F1">
            <w:pPr>
              <w:rPr>
                <w:rFonts w:ascii="Calibri" w:eastAsia="Calibri" w:hAnsi="Calibri" w:cs="Calibri"/>
                <w:color w:val="000000"/>
                <w:sz w:val="18"/>
                <w:szCs w:val="22"/>
              </w:rPr>
            </w:pPr>
          </w:p>
        </w:tc>
      </w:tr>
      <w:tr w:rsidR="007E0ABC" w:rsidRPr="00C260F1" w14:paraId="515A60CA" w14:textId="77777777" w:rsidTr="003C4FF0">
        <w:tc>
          <w:tcPr>
            <w:tcW w:w="9000" w:type="dxa"/>
            <w:shd w:val="clear" w:color="auto" w:fill="auto"/>
          </w:tcPr>
          <w:p w14:paraId="62066432"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21. I accept that I make mistakes once in a while.</w:t>
            </w:r>
          </w:p>
          <w:p w14:paraId="2A3EAA48" w14:textId="77777777" w:rsidR="007E0ABC" w:rsidRPr="00C260F1" w:rsidRDefault="007E0ABC" w:rsidP="007E0ABC">
            <w:pPr>
              <w:numPr>
                <w:ilvl w:val="0"/>
                <w:numId w:val="11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41175703" w14:textId="77777777" w:rsidR="007E0ABC" w:rsidRPr="00C260F1" w:rsidRDefault="007E0ABC" w:rsidP="007E0ABC">
            <w:pPr>
              <w:numPr>
                <w:ilvl w:val="0"/>
                <w:numId w:val="11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3771D32D" w14:textId="77777777" w:rsidR="007E0ABC" w:rsidRPr="00C260F1" w:rsidRDefault="007E0ABC" w:rsidP="007E0ABC">
            <w:pPr>
              <w:numPr>
                <w:ilvl w:val="0"/>
                <w:numId w:val="11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24BF2AF5" w14:textId="77777777" w:rsidR="007E0ABC" w:rsidRPr="00C260F1" w:rsidRDefault="007E0ABC" w:rsidP="007E0ABC">
            <w:pPr>
              <w:numPr>
                <w:ilvl w:val="0"/>
                <w:numId w:val="11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54DFC907" w14:textId="77777777" w:rsidR="007E0ABC" w:rsidRPr="00C260F1" w:rsidRDefault="007E0ABC" w:rsidP="007E0ABC">
            <w:pPr>
              <w:numPr>
                <w:ilvl w:val="0"/>
                <w:numId w:val="11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282FEB16" w14:textId="77777777" w:rsidR="007E0ABC" w:rsidRPr="00C260F1" w:rsidRDefault="007E0ABC" w:rsidP="00C260F1">
            <w:pPr>
              <w:rPr>
                <w:rFonts w:ascii="Calibri" w:eastAsia="Calibri" w:hAnsi="Calibri" w:cs="Calibri"/>
                <w:color w:val="000000"/>
                <w:sz w:val="18"/>
                <w:szCs w:val="22"/>
              </w:rPr>
            </w:pPr>
          </w:p>
        </w:tc>
      </w:tr>
      <w:tr w:rsidR="007E0ABC" w:rsidRPr="00C260F1" w14:paraId="18D68B64" w14:textId="77777777" w:rsidTr="003C4FF0">
        <w:tc>
          <w:tcPr>
            <w:tcW w:w="9000" w:type="dxa"/>
            <w:shd w:val="clear" w:color="auto" w:fill="auto"/>
          </w:tcPr>
          <w:p w14:paraId="13400F42"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22. I feel well-prepared for future challenges. </w:t>
            </w:r>
          </w:p>
          <w:p w14:paraId="1B9623B5" w14:textId="77777777" w:rsidR="007E0ABC" w:rsidRPr="00C260F1" w:rsidRDefault="007E0ABC" w:rsidP="007E0ABC">
            <w:pPr>
              <w:numPr>
                <w:ilvl w:val="0"/>
                <w:numId w:val="11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69E48A3A" w14:textId="77777777" w:rsidR="007E0ABC" w:rsidRPr="00C260F1" w:rsidRDefault="007E0ABC" w:rsidP="007E0ABC">
            <w:pPr>
              <w:numPr>
                <w:ilvl w:val="0"/>
                <w:numId w:val="11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7F97CB1A" w14:textId="77777777" w:rsidR="007E0ABC" w:rsidRPr="00C260F1" w:rsidRDefault="007E0ABC" w:rsidP="007E0ABC">
            <w:pPr>
              <w:numPr>
                <w:ilvl w:val="0"/>
                <w:numId w:val="11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7D57A432" w14:textId="77777777" w:rsidR="007E0ABC" w:rsidRPr="00C260F1" w:rsidRDefault="007E0ABC" w:rsidP="007E0ABC">
            <w:pPr>
              <w:numPr>
                <w:ilvl w:val="0"/>
                <w:numId w:val="11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264306D4" w14:textId="77777777" w:rsidR="007E0ABC" w:rsidRPr="00C260F1" w:rsidRDefault="007E0ABC" w:rsidP="007E0ABC">
            <w:pPr>
              <w:numPr>
                <w:ilvl w:val="0"/>
                <w:numId w:val="11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7469C5CF" w14:textId="77777777" w:rsidR="007E0ABC" w:rsidRPr="00C260F1" w:rsidRDefault="007E0ABC" w:rsidP="00C260F1">
            <w:pPr>
              <w:rPr>
                <w:rFonts w:ascii="Calibri" w:eastAsia="Calibri" w:hAnsi="Calibri" w:cs="Calibri"/>
                <w:color w:val="000000"/>
                <w:sz w:val="18"/>
                <w:szCs w:val="22"/>
              </w:rPr>
            </w:pPr>
          </w:p>
        </w:tc>
      </w:tr>
      <w:tr w:rsidR="007E0ABC" w:rsidRPr="00C260F1" w14:paraId="7229D4BB" w14:textId="77777777" w:rsidTr="003C4FF0">
        <w:tc>
          <w:tcPr>
            <w:tcW w:w="9000" w:type="dxa"/>
            <w:shd w:val="clear" w:color="auto" w:fill="auto"/>
          </w:tcPr>
          <w:p w14:paraId="79AE3219"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23. I am still troubled by things that happened to me in the past. </w:t>
            </w:r>
          </w:p>
          <w:p w14:paraId="2AC4E0D2"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5DF195F4"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18129E4A"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1D4F3EE6"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042CB202" w14:textId="77777777" w:rsidR="007E0ABC" w:rsidRPr="00C260F1" w:rsidRDefault="007E0ABC" w:rsidP="007E0ABC">
            <w:pPr>
              <w:numPr>
                <w:ilvl w:val="0"/>
                <w:numId w:val="13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41B5AFE6" w14:textId="77777777" w:rsidR="007E0ABC" w:rsidRPr="00C260F1" w:rsidRDefault="007E0ABC" w:rsidP="00C260F1">
            <w:pPr>
              <w:rPr>
                <w:rFonts w:ascii="Calibri" w:eastAsia="Calibri" w:hAnsi="Calibri" w:cs="Calibri"/>
                <w:color w:val="000000"/>
                <w:sz w:val="18"/>
                <w:szCs w:val="22"/>
              </w:rPr>
            </w:pPr>
          </w:p>
        </w:tc>
      </w:tr>
      <w:tr w:rsidR="007E0ABC" w:rsidRPr="00C260F1" w14:paraId="28FF9823" w14:textId="77777777" w:rsidTr="003C4FF0">
        <w:tc>
          <w:tcPr>
            <w:tcW w:w="9000" w:type="dxa"/>
            <w:shd w:val="clear" w:color="auto" w:fill="auto"/>
          </w:tcPr>
          <w:p w14:paraId="49D30364"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24. I am confident when I deal with people I don’t know. </w:t>
            </w:r>
          </w:p>
          <w:p w14:paraId="3F35FE1A" w14:textId="77777777" w:rsidR="007E0ABC" w:rsidRPr="00C260F1" w:rsidRDefault="007E0ABC" w:rsidP="007E0ABC">
            <w:pPr>
              <w:numPr>
                <w:ilvl w:val="0"/>
                <w:numId w:val="13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1561FF11" w14:textId="77777777" w:rsidR="007E0ABC" w:rsidRPr="00C260F1" w:rsidRDefault="007E0ABC" w:rsidP="007E0ABC">
            <w:pPr>
              <w:numPr>
                <w:ilvl w:val="0"/>
                <w:numId w:val="13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6B82FDEC" w14:textId="77777777" w:rsidR="007E0ABC" w:rsidRPr="00C260F1" w:rsidRDefault="007E0ABC" w:rsidP="007E0ABC">
            <w:pPr>
              <w:numPr>
                <w:ilvl w:val="0"/>
                <w:numId w:val="13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1B544345" w14:textId="77777777" w:rsidR="007E0ABC" w:rsidRPr="00C260F1" w:rsidRDefault="007E0ABC" w:rsidP="007E0ABC">
            <w:pPr>
              <w:numPr>
                <w:ilvl w:val="0"/>
                <w:numId w:val="13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0AA55D5A" w14:textId="77777777" w:rsidR="007E0ABC" w:rsidRPr="00C260F1" w:rsidRDefault="007E0ABC" w:rsidP="007E0ABC">
            <w:pPr>
              <w:numPr>
                <w:ilvl w:val="0"/>
                <w:numId w:val="13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04FAEA6A" w14:textId="77777777" w:rsidR="007E0ABC" w:rsidRPr="00C260F1" w:rsidRDefault="007E0ABC" w:rsidP="00C260F1">
            <w:pPr>
              <w:rPr>
                <w:rFonts w:ascii="Calibri" w:eastAsia="Calibri" w:hAnsi="Calibri" w:cs="Calibri"/>
                <w:color w:val="000000"/>
                <w:sz w:val="18"/>
                <w:szCs w:val="22"/>
              </w:rPr>
            </w:pPr>
          </w:p>
        </w:tc>
      </w:tr>
      <w:tr w:rsidR="007E0ABC" w:rsidRPr="00C260F1" w14:paraId="395AA8D1" w14:textId="77777777" w:rsidTr="003C4FF0">
        <w:tc>
          <w:tcPr>
            <w:tcW w:w="9000" w:type="dxa"/>
            <w:shd w:val="clear" w:color="auto" w:fill="auto"/>
          </w:tcPr>
          <w:p w14:paraId="707C2FF5"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25. I find it easy to relax. </w:t>
            </w:r>
          </w:p>
          <w:p w14:paraId="6748C183" w14:textId="77777777" w:rsidR="007E0ABC" w:rsidRPr="00C260F1" w:rsidRDefault="007E0ABC" w:rsidP="007E0ABC">
            <w:pPr>
              <w:numPr>
                <w:ilvl w:val="0"/>
                <w:numId w:val="13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6D34B400" w14:textId="77777777" w:rsidR="007E0ABC" w:rsidRPr="00C260F1" w:rsidRDefault="007E0ABC" w:rsidP="007E0ABC">
            <w:pPr>
              <w:numPr>
                <w:ilvl w:val="0"/>
                <w:numId w:val="13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19EA560B" w14:textId="77777777" w:rsidR="007E0ABC" w:rsidRPr="00C260F1" w:rsidRDefault="007E0ABC" w:rsidP="007E0ABC">
            <w:pPr>
              <w:numPr>
                <w:ilvl w:val="0"/>
                <w:numId w:val="13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4DF3A928" w14:textId="77777777" w:rsidR="007E0ABC" w:rsidRPr="00C260F1" w:rsidRDefault="007E0ABC" w:rsidP="007E0ABC">
            <w:pPr>
              <w:numPr>
                <w:ilvl w:val="0"/>
                <w:numId w:val="13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17AD301C" w14:textId="77777777" w:rsidR="007E0ABC" w:rsidRPr="00C260F1" w:rsidRDefault="007E0ABC" w:rsidP="007E0ABC">
            <w:pPr>
              <w:numPr>
                <w:ilvl w:val="0"/>
                <w:numId w:val="13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6A1B6E12" w14:textId="77777777" w:rsidR="007E0ABC" w:rsidRPr="00C260F1" w:rsidRDefault="007E0ABC" w:rsidP="00C260F1">
            <w:pPr>
              <w:rPr>
                <w:rFonts w:ascii="Calibri" w:eastAsia="Calibri" w:hAnsi="Calibri" w:cs="Calibri"/>
                <w:color w:val="000000"/>
                <w:sz w:val="18"/>
                <w:szCs w:val="22"/>
              </w:rPr>
            </w:pPr>
          </w:p>
        </w:tc>
      </w:tr>
      <w:tr w:rsidR="007E0ABC" w:rsidRPr="00C260F1" w14:paraId="42DA19CA" w14:textId="77777777" w:rsidTr="003C4FF0">
        <w:tc>
          <w:tcPr>
            <w:tcW w:w="9000" w:type="dxa"/>
            <w:shd w:val="clear" w:color="auto" w:fill="auto"/>
          </w:tcPr>
          <w:p w14:paraId="660B3290" w14:textId="77777777" w:rsidR="007E0ABC" w:rsidRPr="00C260F1" w:rsidRDefault="007E0ABC" w:rsidP="00C260F1">
            <w:pPr>
              <w:rPr>
                <w:rFonts w:ascii="Calibri" w:eastAsia="Calibri" w:hAnsi="Calibri" w:cs="Calibri"/>
                <w:sz w:val="18"/>
                <w:szCs w:val="22"/>
                <w:vertAlign w:val="superscript"/>
              </w:rPr>
            </w:pPr>
            <w:r w:rsidRPr="00C260F1">
              <w:rPr>
                <w:rFonts w:ascii="Calibri" w:eastAsia="Calibri" w:hAnsi="Calibri" w:cs="Calibri"/>
                <w:sz w:val="18"/>
                <w:szCs w:val="22"/>
              </w:rPr>
              <w:t xml:space="preserve">26. I take on too much to the point of being exhausted. </w:t>
            </w:r>
          </w:p>
          <w:p w14:paraId="569FB9F1" w14:textId="77777777" w:rsidR="007E0ABC" w:rsidRPr="00C260F1" w:rsidRDefault="007E0ABC" w:rsidP="007E0ABC">
            <w:pPr>
              <w:numPr>
                <w:ilvl w:val="0"/>
                <w:numId w:val="12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48AD4783" w14:textId="77777777" w:rsidR="007E0ABC" w:rsidRPr="00C260F1" w:rsidRDefault="007E0ABC" w:rsidP="007E0ABC">
            <w:pPr>
              <w:numPr>
                <w:ilvl w:val="0"/>
                <w:numId w:val="12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3A9D5B2F" w14:textId="77777777" w:rsidR="007E0ABC" w:rsidRPr="00C260F1" w:rsidRDefault="007E0ABC" w:rsidP="007E0ABC">
            <w:pPr>
              <w:numPr>
                <w:ilvl w:val="0"/>
                <w:numId w:val="12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41BFF7CF" w14:textId="77777777" w:rsidR="007E0ABC" w:rsidRPr="00C260F1" w:rsidRDefault="007E0ABC" w:rsidP="007E0ABC">
            <w:pPr>
              <w:numPr>
                <w:ilvl w:val="0"/>
                <w:numId w:val="12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7C92A2F4" w14:textId="77777777" w:rsidR="007E0ABC" w:rsidRPr="00C260F1" w:rsidRDefault="007E0ABC" w:rsidP="007E0ABC">
            <w:pPr>
              <w:numPr>
                <w:ilvl w:val="0"/>
                <w:numId w:val="12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208253EB" w14:textId="77777777" w:rsidR="007E0ABC" w:rsidRPr="00C260F1" w:rsidRDefault="007E0ABC" w:rsidP="00C260F1">
            <w:pPr>
              <w:rPr>
                <w:rFonts w:ascii="Calibri" w:eastAsia="Calibri" w:hAnsi="Calibri" w:cs="Calibri"/>
                <w:color w:val="000000"/>
                <w:sz w:val="18"/>
                <w:szCs w:val="22"/>
              </w:rPr>
            </w:pPr>
          </w:p>
        </w:tc>
      </w:tr>
      <w:tr w:rsidR="007E0ABC" w:rsidRPr="00C260F1" w14:paraId="0A273C78" w14:textId="77777777" w:rsidTr="003C4FF0">
        <w:tc>
          <w:tcPr>
            <w:tcW w:w="9000" w:type="dxa"/>
            <w:shd w:val="clear" w:color="auto" w:fill="auto"/>
          </w:tcPr>
          <w:p w14:paraId="441C35CC"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27.I am confident that my ability to cope with my illness will improve. </w:t>
            </w:r>
          </w:p>
          <w:p w14:paraId="09489DAB" w14:textId="77777777" w:rsidR="007E0ABC" w:rsidRPr="00C260F1" w:rsidRDefault="007E0ABC" w:rsidP="007E0ABC">
            <w:pPr>
              <w:numPr>
                <w:ilvl w:val="0"/>
                <w:numId w:val="12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lastRenderedPageBreak/>
              <w:t>I strongly agree (5)</w:t>
            </w:r>
          </w:p>
          <w:p w14:paraId="41D55255" w14:textId="77777777" w:rsidR="007E0ABC" w:rsidRPr="00C260F1" w:rsidRDefault="007E0ABC" w:rsidP="007E0ABC">
            <w:pPr>
              <w:numPr>
                <w:ilvl w:val="0"/>
                <w:numId w:val="12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2FC45CF9" w14:textId="77777777" w:rsidR="007E0ABC" w:rsidRPr="00C260F1" w:rsidRDefault="007E0ABC" w:rsidP="007E0ABC">
            <w:pPr>
              <w:numPr>
                <w:ilvl w:val="0"/>
                <w:numId w:val="12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1B2F8AFC" w14:textId="77777777" w:rsidR="007E0ABC" w:rsidRPr="00C260F1" w:rsidRDefault="007E0ABC" w:rsidP="007E0ABC">
            <w:pPr>
              <w:numPr>
                <w:ilvl w:val="0"/>
                <w:numId w:val="12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09F3A6D0" w14:textId="77777777" w:rsidR="007E0ABC" w:rsidRPr="00C260F1" w:rsidRDefault="007E0ABC" w:rsidP="007E0ABC">
            <w:pPr>
              <w:numPr>
                <w:ilvl w:val="0"/>
                <w:numId w:val="124"/>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6353350E" w14:textId="77777777" w:rsidR="007E0ABC" w:rsidRPr="00C260F1" w:rsidRDefault="007E0ABC" w:rsidP="00C260F1">
            <w:pPr>
              <w:rPr>
                <w:rFonts w:ascii="Calibri" w:eastAsia="Calibri" w:hAnsi="Calibri" w:cs="Calibri"/>
                <w:color w:val="000000"/>
                <w:sz w:val="18"/>
                <w:szCs w:val="22"/>
              </w:rPr>
            </w:pPr>
          </w:p>
        </w:tc>
      </w:tr>
      <w:tr w:rsidR="007E0ABC" w:rsidRPr="00C260F1" w14:paraId="7E45B96D" w14:textId="77777777" w:rsidTr="003C4FF0">
        <w:tc>
          <w:tcPr>
            <w:tcW w:w="9000" w:type="dxa"/>
            <w:shd w:val="clear" w:color="auto" w:fill="auto"/>
          </w:tcPr>
          <w:p w14:paraId="1E478E07"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lastRenderedPageBreak/>
              <w:t xml:space="preserve">28. My illness has changed my perspective on life. </w:t>
            </w:r>
          </w:p>
          <w:p w14:paraId="3A20727E" w14:textId="77777777" w:rsidR="007E0ABC" w:rsidRPr="00C260F1" w:rsidRDefault="007E0ABC" w:rsidP="007E0ABC">
            <w:pPr>
              <w:numPr>
                <w:ilvl w:val="0"/>
                <w:numId w:val="12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09D51E59" w14:textId="77777777" w:rsidR="007E0ABC" w:rsidRPr="00C260F1" w:rsidRDefault="007E0ABC" w:rsidP="007E0ABC">
            <w:pPr>
              <w:numPr>
                <w:ilvl w:val="0"/>
                <w:numId w:val="12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4FF9F640" w14:textId="77777777" w:rsidR="007E0ABC" w:rsidRPr="00C260F1" w:rsidRDefault="007E0ABC" w:rsidP="007E0ABC">
            <w:pPr>
              <w:numPr>
                <w:ilvl w:val="0"/>
                <w:numId w:val="12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4368DEC0" w14:textId="77777777" w:rsidR="007E0ABC" w:rsidRPr="00C260F1" w:rsidRDefault="007E0ABC" w:rsidP="007E0ABC">
            <w:pPr>
              <w:numPr>
                <w:ilvl w:val="0"/>
                <w:numId w:val="12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29363C00" w14:textId="77777777" w:rsidR="007E0ABC" w:rsidRPr="00C260F1" w:rsidRDefault="007E0ABC" w:rsidP="007E0ABC">
            <w:pPr>
              <w:numPr>
                <w:ilvl w:val="0"/>
                <w:numId w:val="125"/>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20A89415" w14:textId="77777777" w:rsidR="007E0ABC" w:rsidRPr="00C260F1" w:rsidRDefault="007E0ABC" w:rsidP="00C260F1">
            <w:pPr>
              <w:rPr>
                <w:rFonts w:ascii="Calibri" w:eastAsia="Calibri" w:hAnsi="Calibri" w:cs="Calibri"/>
                <w:color w:val="000000"/>
                <w:sz w:val="18"/>
                <w:szCs w:val="22"/>
              </w:rPr>
            </w:pPr>
          </w:p>
        </w:tc>
      </w:tr>
      <w:tr w:rsidR="007E0ABC" w:rsidRPr="00C260F1" w14:paraId="7E343897" w14:textId="77777777" w:rsidTr="003C4FF0">
        <w:tc>
          <w:tcPr>
            <w:tcW w:w="9000" w:type="dxa"/>
            <w:shd w:val="clear" w:color="auto" w:fill="auto"/>
          </w:tcPr>
          <w:p w14:paraId="53E77598"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29. I believe that problems in life are also an opportunity to develop new skills. </w:t>
            </w:r>
          </w:p>
          <w:p w14:paraId="719730BE" w14:textId="77777777" w:rsidR="007E0ABC" w:rsidRPr="00C260F1" w:rsidRDefault="007E0ABC" w:rsidP="007E0ABC">
            <w:pPr>
              <w:numPr>
                <w:ilvl w:val="0"/>
                <w:numId w:val="12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5035D1C6" w14:textId="77777777" w:rsidR="007E0ABC" w:rsidRPr="00C260F1" w:rsidRDefault="007E0ABC" w:rsidP="007E0ABC">
            <w:pPr>
              <w:numPr>
                <w:ilvl w:val="0"/>
                <w:numId w:val="12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3BBD705F" w14:textId="77777777" w:rsidR="007E0ABC" w:rsidRPr="00C260F1" w:rsidRDefault="007E0ABC" w:rsidP="007E0ABC">
            <w:pPr>
              <w:numPr>
                <w:ilvl w:val="0"/>
                <w:numId w:val="12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6D8CC560" w14:textId="77777777" w:rsidR="007E0ABC" w:rsidRPr="00C260F1" w:rsidRDefault="007E0ABC" w:rsidP="007E0ABC">
            <w:pPr>
              <w:numPr>
                <w:ilvl w:val="0"/>
                <w:numId w:val="12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4C7CDE0C" w14:textId="77777777" w:rsidR="007E0ABC" w:rsidRPr="00C260F1" w:rsidRDefault="007E0ABC" w:rsidP="007E0ABC">
            <w:pPr>
              <w:numPr>
                <w:ilvl w:val="0"/>
                <w:numId w:val="126"/>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6D5F5B08" w14:textId="77777777" w:rsidR="007E0ABC" w:rsidRPr="00C260F1" w:rsidRDefault="007E0ABC" w:rsidP="00C260F1">
            <w:pPr>
              <w:rPr>
                <w:rFonts w:ascii="Calibri" w:eastAsia="Calibri" w:hAnsi="Calibri" w:cs="Calibri"/>
                <w:color w:val="000000"/>
                <w:sz w:val="18"/>
                <w:szCs w:val="22"/>
              </w:rPr>
            </w:pPr>
          </w:p>
        </w:tc>
      </w:tr>
      <w:tr w:rsidR="007E0ABC" w:rsidRPr="00C260F1" w14:paraId="296AB7DE" w14:textId="77777777" w:rsidTr="003C4FF0">
        <w:tc>
          <w:tcPr>
            <w:tcW w:w="9000" w:type="dxa"/>
            <w:shd w:val="clear" w:color="auto" w:fill="auto"/>
          </w:tcPr>
          <w:p w14:paraId="346BEE45"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 xml:space="preserve">30. I am happy with the support that I receive. </w:t>
            </w:r>
          </w:p>
          <w:p w14:paraId="2BA098D2" w14:textId="77777777" w:rsidR="007E0ABC" w:rsidRPr="00C260F1" w:rsidRDefault="007E0ABC" w:rsidP="007E0ABC">
            <w:pPr>
              <w:numPr>
                <w:ilvl w:val="0"/>
                <w:numId w:val="12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4B137C44" w14:textId="77777777" w:rsidR="007E0ABC" w:rsidRPr="00C260F1" w:rsidRDefault="007E0ABC" w:rsidP="007E0ABC">
            <w:pPr>
              <w:numPr>
                <w:ilvl w:val="0"/>
                <w:numId w:val="12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45931D96" w14:textId="77777777" w:rsidR="007E0ABC" w:rsidRPr="00C260F1" w:rsidRDefault="007E0ABC" w:rsidP="007E0ABC">
            <w:pPr>
              <w:numPr>
                <w:ilvl w:val="0"/>
                <w:numId w:val="12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37E2D803" w14:textId="77777777" w:rsidR="007E0ABC" w:rsidRPr="00C260F1" w:rsidRDefault="007E0ABC" w:rsidP="007E0ABC">
            <w:pPr>
              <w:numPr>
                <w:ilvl w:val="0"/>
                <w:numId w:val="12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1485C0BC" w14:textId="77777777" w:rsidR="007E0ABC" w:rsidRPr="00C260F1" w:rsidRDefault="007E0ABC" w:rsidP="007E0ABC">
            <w:pPr>
              <w:numPr>
                <w:ilvl w:val="0"/>
                <w:numId w:val="127"/>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6A3FB75F" w14:textId="77777777" w:rsidR="007E0ABC" w:rsidRPr="00C260F1" w:rsidRDefault="007E0ABC" w:rsidP="00C260F1">
            <w:pPr>
              <w:rPr>
                <w:rFonts w:ascii="Calibri" w:eastAsia="Calibri" w:hAnsi="Calibri" w:cs="Calibri"/>
                <w:color w:val="000000"/>
                <w:sz w:val="18"/>
                <w:szCs w:val="22"/>
              </w:rPr>
            </w:pPr>
          </w:p>
        </w:tc>
      </w:tr>
      <w:tr w:rsidR="007E0ABC" w:rsidRPr="00C260F1" w14:paraId="05E9C505" w14:textId="77777777" w:rsidTr="003C4FF0">
        <w:tc>
          <w:tcPr>
            <w:tcW w:w="9000" w:type="dxa"/>
            <w:shd w:val="clear" w:color="auto" w:fill="auto"/>
          </w:tcPr>
          <w:p w14:paraId="7E1C78E4"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31. I am happy with the relationships that I have. </w:t>
            </w:r>
          </w:p>
          <w:p w14:paraId="2556BA57" w14:textId="77777777" w:rsidR="007E0ABC" w:rsidRPr="00C260F1" w:rsidRDefault="007E0ABC" w:rsidP="007E0ABC">
            <w:pPr>
              <w:numPr>
                <w:ilvl w:val="0"/>
                <w:numId w:val="12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0B376AA9" w14:textId="77777777" w:rsidR="007E0ABC" w:rsidRPr="00C260F1" w:rsidRDefault="007E0ABC" w:rsidP="007E0ABC">
            <w:pPr>
              <w:numPr>
                <w:ilvl w:val="0"/>
                <w:numId w:val="12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68037AB5" w14:textId="77777777" w:rsidR="007E0ABC" w:rsidRPr="00C260F1" w:rsidRDefault="007E0ABC" w:rsidP="007E0ABC">
            <w:pPr>
              <w:numPr>
                <w:ilvl w:val="0"/>
                <w:numId w:val="12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68875D20" w14:textId="77777777" w:rsidR="007E0ABC" w:rsidRPr="00C260F1" w:rsidRDefault="007E0ABC" w:rsidP="007E0ABC">
            <w:pPr>
              <w:numPr>
                <w:ilvl w:val="0"/>
                <w:numId w:val="12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2C0C79A1" w14:textId="77777777" w:rsidR="007E0ABC" w:rsidRPr="00C260F1" w:rsidRDefault="007E0ABC" w:rsidP="007E0ABC">
            <w:pPr>
              <w:numPr>
                <w:ilvl w:val="0"/>
                <w:numId w:val="128"/>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75A2E9A1" w14:textId="77777777" w:rsidR="007E0ABC" w:rsidRPr="00C260F1" w:rsidRDefault="007E0ABC" w:rsidP="00C260F1">
            <w:pPr>
              <w:rPr>
                <w:rFonts w:ascii="Calibri" w:eastAsia="Calibri" w:hAnsi="Calibri" w:cs="Calibri"/>
                <w:color w:val="000000"/>
                <w:sz w:val="18"/>
                <w:szCs w:val="22"/>
              </w:rPr>
            </w:pPr>
          </w:p>
        </w:tc>
      </w:tr>
      <w:tr w:rsidR="007E0ABC" w:rsidRPr="00C260F1" w14:paraId="4854A61C" w14:textId="77777777" w:rsidTr="003C4FF0">
        <w:tc>
          <w:tcPr>
            <w:tcW w:w="9000" w:type="dxa"/>
            <w:shd w:val="clear" w:color="auto" w:fill="auto"/>
          </w:tcPr>
          <w:p w14:paraId="74380A49"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32. There are people who I trust. </w:t>
            </w:r>
            <w:r w:rsidRPr="00C260F1">
              <w:rPr>
                <w:rFonts w:ascii="Calibri" w:eastAsia="Calibri" w:hAnsi="Calibri" w:cs="Calibri"/>
                <w:color w:val="000000"/>
                <w:sz w:val="18"/>
                <w:szCs w:val="22"/>
                <w:vertAlign w:val="superscript"/>
              </w:rPr>
              <w:t>I</w:t>
            </w:r>
          </w:p>
          <w:p w14:paraId="24EF7893" w14:textId="77777777" w:rsidR="007E0ABC" w:rsidRPr="00C260F1" w:rsidRDefault="007E0ABC" w:rsidP="007E0ABC">
            <w:pPr>
              <w:numPr>
                <w:ilvl w:val="0"/>
                <w:numId w:val="12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11F1622B" w14:textId="77777777" w:rsidR="007E0ABC" w:rsidRPr="00C260F1" w:rsidRDefault="007E0ABC" w:rsidP="007E0ABC">
            <w:pPr>
              <w:numPr>
                <w:ilvl w:val="0"/>
                <w:numId w:val="12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744FB906" w14:textId="77777777" w:rsidR="007E0ABC" w:rsidRPr="00C260F1" w:rsidRDefault="007E0ABC" w:rsidP="007E0ABC">
            <w:pPr>
              <w:numPr>
                <w:ilvl w:val="0"/>
                <w:numId w:val="12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317A1E3B" w14:textId="77777777" w:rsidR="007E0ABC" w:rsidRPr="00C260F1" w:rsidRDefault="007E0ABC" w:rsidP="007E0ABC">
            <w:pPr>
              <w:numPr>
                <w:ilvl w:val="0"/>
                <w:numId w:val="12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34E68B6F" w14:textId="77777777" w:rsidR="007E0ABC" w:rsidRDefault="007E0ABC" w:rsidP="007E0ABC">
            <w:pPr>
              <w:numPr>
                <w:ilvl w:val="0"/>
                <w:numId w:val="129"/>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0B7FFE8A" w14:textId="77777777" w:rsidR="007E0ABC" w:rsidRPr="00C260F1" w:rsidRDefault="007E0ABC" w:rsidP="007E0ABC">
            <w:pPr>
              <w:numPr>
                <w:ilvl w:val="0"/>
                <w:numId w:val="129"/>
              </w:numPr>
              <w:pBdr>
                <w:top w:val="nil"/>
                <w:left w:val="nil"/>
                <w:bottom w:val="nil"/>
                <w:right w:val="nil"/>
                <w:between w:val="nil"/>
              </w:pBdr>
              <w:spacing w:line="240" w:lineRule="auto"/>
              <w:jc w:val="left"/>
              <w:rPr>
                <w:rFonts w:ascii="Calibri" w:eastAsia="Calibri" w:hAnsi="Calibri" w:cs="Calibri"/>
                <w:i/>
                <w:color w:val="000000"/>
                <w:sz w:val="18"/>
                <w:szCs w:val="22"/>
              </w:rPr>
            </w:pPr>
          </w:p>
        </w:tc>
      </w:tr>
      <w:tr w:rsidR="007E0ABC" w:rsidRPr="00C260F1" w14:paraId="63141C7B" w14:textId="77777777" w:rsidTr="003C4FF0">
        <w:tc>
          <w:tcPr>
            <w:tcW w:w="9000" w:type="dxa"/>
            <w:shd w:val="clear" w:color="auto" w:fill="auto"/>
          </w:tcPr>
          <w:p w14:paraId="72755FED"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33. I understand the causes of my illness. </w:t>
            </w:r>
          </w:p>
          <w:p w14:paraId="1BEE0C8C" w14:textId="77777777" w:rsidR="007E0ABC" w:rsidRPr="00C260F1" w:rsidRDefault="007E0ABC" w:rsidP="007E0ABC">
            <w:pPr>
              <w:numPr>
                <w:ilvl w:val="0"/>
                <w:numId w:val="14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16641DAB" w14:textId="77777777" w:rsidR="007E0ABC" w:rsidRPr="00C260F1" w:rsidRDefault="007E0ABC" w:rsidP="007E0ABC">
            <w:pPr>
              <w:numPr>
                <w:ilvl w:val="0"/>
                <w:numId w:val="14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19D2F58D" w14:textId="77777777" w:rsidR="007E0ABC" w:rsidRPr="00C260F1" w:rsidRDefault="007E0ABC" w:rsidP="007E0ABC">
            <w:pPr>
              <w:numPr>
                <w:ilvl w:val="0"/>
                <w:numId w:val="14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4D22E030" w14:textId="77777777" w:rsidR="007E0ABC" w:rsidRPr="00C260F1" w:rsidRDefault="007E0ABC" w:rsidP="007E0ABC">
            <w:pPr>
              <w:numPr>
                <w:ilvl w:val="0"/>
                <w:numId w:val="14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4DFF7398" w14:textId="77777777" w:rsidR="007E0ABC" w:rsidRPr="00C260F1" w:rsidRDefault="007E0ABC" w:rsidP="007E0ABC">
            <w:pPr>
              <w:numPr>
                <w:ilvl w:val="0"/>
                <w:numId w:val="143"/>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5C02661C" w14:textId="77777777" w:rsidR="007E0ABC" w:rsidRPr="00C260F1" w:rsidRDefault="007E0ABC" w:rsidP="00C260F1">
            <w:pPr>
              <w:rPr>
                <w:rFonts w:ascii="Calibri" w:eastAsia="Calibri" w:hAnsi="Calibri" w:cs="Calibri"/>
                <w:color w:val="000000"/>
                <w:sz w:val="18"/>
                <w:szCs w:val="22"/>
              </w:rPr>
            </w:pPr>
          </w:p>
        </w:tc>
      </w:tr>
      <w:tr w:rsidR="007E0ABC" w:rsidRPr="00C260F1" w14:paraId="2DECB1AE" w14:textId="77777777" w:rsidTr="003C4FF0">
        <w:tc>
          <w:tcPr>
            <w:tcW w:w="9000" w:type="dxa"/>
            <w:shd w:val="clear" w:color="auto" w:fill="auto"/>
          </w:tcPr>
          <w:p w14:paraId="1595927F"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34. I experience exclusion and discrimination because of my illness. </w:t>
            </w:r>
          </w:p>
          <w:p w14:paraId="2621D6A0" w14:textId="77777777" w:rsidR="007E0ABC" w:rsidRPr="00C260F1" w:rsidRDefault="007E0ABC" w:rsidP="007E0ABC">
            <w:pPr>
              <w:numPr>
                <w:ilvl w:val="0"/>
                <w:numId w:val="13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(1)</w:t>
            </w:r>
          </w:p>
          <w:p w14:paraId="7B336C59" w14:textId="77777777" w:rsidR="007E0ABC" w:rsidRPr="00C260F1" w:rsidRDefault="007E0ABC" w:rsidP="007E0ABC">
            <w:pPr>
              <w:numPr>
                <w:ilvl w:val="0"/>
                <w:numId w:val="13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(2)</w:t>
            </w:r>
          </w:p>
          <w:p w14:paraId="7ED08352" w14:textId="77777777" w:rsidR="007E0ABC" w:rsidRPr="00C260F1" w:rsidRDefault="007E0ABC" w:rsidP="007E0ABC">
            <w:pPr>
              <w:numPr>
                <w:ilvl w:val="0"/>
                <w:numId w:val="13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204ADDB2" w14:textId="77777777" w:rsidR="007E0ABC" w:rsidRPr="00C260F1" w:rsidRDefault="007E0ABC" w:rsidP="007E0ABC">
            <w:pPr>
              <w:numPr>
                <w:ilvl w:val="0"/>
                <w:numId w:val="13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(4)</w:t>
            </w:r>
          </w:p>
          <w:p w14:paraId="7327C7B5" w14:textId="77777777" w:rsidR="007E0ABC" w:rsidRPr="00C260F1" w:rsidRDefault="007E0ABC" w:rsidP="007E0ABC">
            <w:pPr>
              <w:numPr>
                <w:ilvl w:val="0"/>
                <w:numId w:val="130"/>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(5)</w:t>
            </w:r>
          </w:p>
          <w:p w14:paraId="582566FC" w14:textId="77777777" w:rsidR="007E0ABC" w:rsidRPr="00C260F1" w:rsidRDefault="007E0ABC" w:rsidP="00C260F1">
            <w:pPr>
              <w:rPr>
                <w:rFonts w:ascii="Calibri" w:eastAsia="Calibri" w:hAnsi="Calibri" w:cs="Calibri"/>
                <w:color w:val="000000"/>
                <w:sz w:val="18"/>
                <w:szCs w:val="22"/>
              </w:rPr>
            </w:pPr>
          </w:p>
        </w:tc>
      </w:tr>
      <w:tr w:rsidR="007E0ABC" w:rsidRPr="00C260F1" w14:paraId="5B835E96" w14:textId="77777777" w:rsidTr="003C4FF0">
        <w:tc>
          <w:tcPr>
            <w:tcW w:w="9000" w:type="dxa"/>
            <w:shd w:val="clear" w:color="auto" w:fill="auto"/>
          </w:tcPr>
          <w:p w14:paraId="6C693BC5"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lastRenderedPageBreak/>
              <w:t xml:space="preserve">35. I am content with what I have achieved in my life despite my illness. </w:t>
            </w:r>
          </w:p>
          <w:p w14:paraId="1C26F36C" w14:textId="77777777" w:rsidR="007E0ABC" w:rsidRPr="00C260F1" w:rsidRDefault="007E0ABC" w:rsidP="007E0ABC">
            <w:pPr>
              <w:numPr>
                <w:ilvl w:val="0"/>
                <w:numId w:val="14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1D553DA5" w14:textId="77777777" w:rsidR="007E0ABC" w:rsidRPr="00C260F1" w:rsidRDefault="007E0ABC" w:rsidP="007E0ABC">
            <w:pPr>
              <w:numPr>
                <w:ilvl w:val="0"/>
                <w:numId w:val="14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6A2A9A63" w14:textId="77777777" w:rsidR="007E0ABC" w:rsidRPr="00C260F1" w:rsidRDefault="007E0ABC" w:rsidP="007E0ABC">
            <w:pPr>
              <w:numPr>
                <w:ilvl w:val="0"/>
                <w:numId w:val="14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7F71B1AF" w14:textId="77777777" w:rsidR="007E0ABC" w:rsidRPr="00C260F1" w:rsidRDefault="007E0ABC" w:rsidP="007E0ABC">
            <w:pPr>
              <w:numPr>
                <w:ilvl w:val="0"/>
                <w:numId w:val="14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47BA9217" w14:textId="77777777" w:rsidR="007E0ABC" w:rsidRPr="00C260F1" w:rsidRDefault="007E0ABC" w:rsidP="007E0ABC">
            <w:pPr>
              <w:numPr>
                <w:ilvl w:val="0"/>
                <w:numId w:val="142"/>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tc>
      </w:tr>
      <w:tr w:rsidR="007E0ABC" w:rsidRPr="00C260F1" w14:paraId="7A679318" w14:textId="77777777" w:rsidTr="003C4FF0">
        <w:tc>
          <w:tcPr>
            <w:tcW w:w="9000" w:type="dxa"/>
            <w:shd w:val="clear" w:color="auto" w:fill="auto"/>
          </w:tcPr>
          <w:p w14:paraId="59D07F5A"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36. I know what the symptoms of my illness are. </w:t>
            </w:r>
          </w:p>
          <w:p w14:paraId="2EB277E3" w14:textId="77777777" w:rsidR="007E0ABC" w:rsidRPr="00C260F1" w:rsidRDefault="007E0ABC" w:rsidP="007E0ABC">
            <w:pPr>
              <w:numPr>
                <w:ilvl w:val="0"/>
                <w:numId w:val="14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agree (5)</w:t>
            </w:r>
          </w:p>
          <w:p w14:paraId="0FAE114A" w14:textId="77777777" w:rsidR="007E0ABC" w:rsidRPr="00C260F1" w:rsidRDefault="007E0ABC" w:rsidP="007E0ABC">
            <w:pPr>
              <w:numPr>
                <w:ilvl w:val="0"/>
                <w:numId w:val="14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agree (4)</w:t>
            </w:r>
          </w:p>
          <w:p w14:paraId="23DA04D9" w14:textId="77777777" w:rsidR="007E0ABC" w:rsidRPr="00C260F1" w:rsidRDefault="007E0ABC" w:rsidP="007E0ABC">
            <w:pPr>
              <w:numPr>
                <w:ilvl w:val="0"/>
                <w:numId w:val="14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I neither agree nor disagree (3) </w:t>
            </w:r>
          </w:p>
          <w:p w14:paraId="7DF8BED0" w14:textId="77777777" w:rsidR="007E0ABC" w:rsidRPr="00C260F1" w:rsidRDefault="007E0ABC" w:rsidP="007E0ABC">
            <w:pPr>
              <w:numPr>
                <w:ilvl w:val="0"/>
                <w:numId w:val="14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slightly disagree (2)</w:t>
            </w:r>
          </w:p>
          <w:p w14:paraId="4ABD246D" w14:textId="77777777" w:rsidR="007E0ABC" w:rsidRPr="00C260F1" w:rsidRDefault="007E0ABC" w:rsidP="007E0ABC">
            <w:pPr>
              <w:numPr>
                <w:ilvl w:val="0"/>
                <w:numId w:val="14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I strongly disagree (1)</w:t>
            </w:r>
          </w:p>
          <w:p w14:paraId="552B54F8" w14:textId="77777777" w:rsidR="007E0ABC" w:rsidRPr="00C260F1" w:rsidRDefault="007E0ABC" w:rsidP="00C260F1">
            <w:pPr>
              <w:rPr>
                <w:rFonts w:ascii="Calibri" w:eastAsia="Calibri" w:hAnsi="Calibri" w:cs="Calibri"/>
                <w:color w:val="000000"/>
                <w:sz w:val="18"/>
                <w:szCs w:val="22"/>
              </w:rPr>
            </w:pPr>
          </w:p>
        </w:tc>
      </w:tr>
      <w:tr w:rsidR="007E0ABC" w:rsidRPr="00C260F1" w14:paraId="11FBEC2A" w14:textId="77777777" w:rsidTr="003C4FF0">
        <w:tc>
          <w:tcPr>
            <w:tcW w:w="9000" w:type="dxa"/>
            <w:shd w:val="clear" w:color="auto" w:fill="auto"/>
          </w:tcPr>
          <w:p w14:paraId="7282FA39"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37. I know at least one trigger for the symptoms of my illness. </w:t>
            </w:r>
          </w:p>
          <w:p w14:paraId="25C65C50"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Yes (1) </w:t>
            </w:r>
          </w:p>
          <w:p w14:paraId="45D0296D"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No or not applicable, my illness does not vary (0) </w:t>
            </w:r>
          </w:p>
          <w:p w14:paraId="5DD2158F"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37.1 If yes: please describe your trigger/s:</w:t>
            </w:r>
          </w:p>
          <w:p w14:paraId="5F91FC6B"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37.2 If yes: I can avoid this trigger/these triggers in my daily life.</w:t>
            </w:r>
          </w:p>
          <w:p w14:paraId="7E8D7D2B"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Yes (1) </w:t>
            </w:r>
          </w:p>
          <w:p w14:paraId="1507D4D5"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No (0) </w:t>
            </w:r>
          </w:p>
          <w:p w14:paraId="687CACBE" w14:textId="77777777" w:rsidR="007E0ABC" w:rsidRPr="00C260F1" w:rsidRDefault="007E0ABC" w:rsidP="00C260F1">
            <w:pPr>
              <w:ind w:left="360"/>
              <w:rPr>
                <w:rFonts w:ascii="Calibri" w:eastAsia="Calibri" w:hAnsi="Calibri" w:cs="Calibri"/>
                <w:sz w:val="18"/>
                <w:szCs w:val="22"/>
              </w:rPr>
            </w:pPr>
          </w:p>
        </w:tc>
      </w:tr>
      <w:tr w:rsidR="007E0ABC" w:rsidRPr="00C260F1" w14:paraId="44401F61" w14:textId="77777777" w:rsidTr="003C4FF0">
        <w:tc>
          <w:tcPr>
            <w:tcW w:w="9000" w:type="dxa"/>
            <w:shd w:val="clear" w:color="auto" w:fill="auto"/>
          </w:tcPr>
          <w:p w14:paraId="089FB365"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38. I know how I can help myself to feel better after a flare up of my symptoms. </w:t>
            </w:r>
          </w:p>
          <w:p w14:paraId="71B1DCA4"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Yes (1) </w:t>
            </w:r>
          </w:p>
          <w:p w14:paraId="4F6A6D33"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No or not applicable, my illness does not vary (0) </w:t>
            </w:r>
          </w:p>
          <w:p w14:paraId="40EC0D7A"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 xml:space="preserve">38.1 If yes: Please describe what helps you to feel better: </w:t>
            </w:r>
          </w:p>
          <w:p w14:paraId="3ACDD3E4"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 xml:space="preserve">38.2 I am able to make use of this strategy/these strategies in my daily life. </w:t>
            </w:r>
          </w:p>
          <w:p w14:paraId="0546B21D"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Yes (1) </w:t>
            </w:r>
          </w:p>
          <w:p w14:paraId="042BC5AD"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No or not applicable, my illness does not vary (0) </w:t>
            </w:r>
          </w:p>
          <w:p w14:paraId="1E4B27BC" w14:textId="77777777" w:rsidR="007E0ABC" w:rsidRPr="00C260F1" w:rsidRDefault="007E0ABC" w:rsidP="00C260F1">
            <w:pPr>
              <w:rPr>
                <w:rFonts w:ascii="Calibri" w:eastAsia="Calibri" w:hAnsi="Calibri" w:cs="Calibri"/>
                <w:sz w:val="18"/>
                <w:szCs w:val="22"/>
              </w:rPr>
            </w:pPr>
          </w:p>
        </w:tc>
      </w:tr>
      <w:tr w:rsidR="007E0ABC" w:rsidRPr="00C260F1" w14:paraId="321E8850" w14:textId="77777777" w:rsidTr="003C4FF0">
        <w:tc>
          <w:tcPr>
            <w:tcW w:w="9000" w:type="dxa"/>
            <w:shd w:val="clear" w:color="auto" w:fill="auto"/>
          </w:tcPr>
          <w:p w14:paraId="6B009C09" w14:textId="77777777" w:rsidR="007E0ABC" w:rsidRPr="00C260F1" w:rsidRDefault="007E0ABC" w:rsidP="00C260F1">
            <w:pPr>
              <w:rPr>
                <w:rFonts w:ascii="Calibri" w:eastAsia="Calibri" w:hAnsi="Calibri" w:cs="Calibri"/>
                <w:color w:val="000000"/>
                <w:sz w:val="18"/>
                <w:szCs w:val="22"/>
                <w:vertAlign w:val="superscript"/>
              </w:rPr>
            </w:pPr>
            <w:r w:rsidRPr="00C260F1">
              <w:rPr>
                <w:rFonts w:ascii="Calibri" w:eastAsia="Calibri" w:hAnsi="Calibri" w:cs="Calibri"/>
                <w:color w:val="000000"/>
                <w:sz w:val="18"/>
                <w:szCs w:val="22"/>
              </w:rPr>
              <w:t xml:space="preserve">39. I have at least one strategy that I use at the first sign of my symptoms getting worse. </w:t>
            </w:r>
          </w:p>
          <w:p w14:paraId="116EF045"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Yes (1) </w:t>
            </w:r>
          </w:p>
          <w:p w14:paraId="6804493A"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No or not applicable, my illness does not vary (0) </w:t>
            </w:r>
          </w:p>
          <w:p w14:paraId="077A1ED3"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39.1 If yes: Please describe what you do:</w:t>
            </w:r>
          </w:p>
          <w:p w14:paraId="72FD3594"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39.2 If yes: I can reduce my symptoms by doing that.</w:t>
            </w:r>
          </w:p>
          <w:p w14:paraId="76FD600E"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Yes (1)</w:t>
            </w:r>
          </w:p>
          <w:p w14:paraId="715AEB80"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No or not applicable, my illness does not vary (0)</w:t>
            </w:r>
          </w:p>
          <w:p w14:paraId="4809756D" w14:textId="77777777" w:rsidR="007E0ABC" w:rsidRPr="00C260F1" w:rsidRDefault="007E0ABC" w:rsidP="00C260F1">
            <w:pPr>
              <w:rPr>
                <w:rFonts w:ascii="Calibri" w:eastAsia="Calibri" w:hAnsi="Calibri" w:cs="Calibri"/>
                <w:color w:val="000000"/>
                <w:sz w:val="18"/>
                <w:szCs w:val="22"/>
              </w:rPr>
            </w:pPr>
            <w:r w:rsidRPr="00C260F1">
              <w:rPr>
                <w:rFonts w:ascii="Calibri" w:eastAsia="Calibri" w:hAnsi="Calibri" w:cs="Calibri"/>
                <w:color w:val="000000"/>
                <w:sz w:val="18"/>
                <w:szCs w:val="22"/>
              </w:rPr>
              <w:t>39.3 If yes: I stop myself from losing consciousness by doing that.(if relevant)</w:t>
            </w:r>
          </w:p>
          <w:p w14:paraId="2DEAAE0A"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Yes (1) </w:t>
            </w:r>
          </w:p>
          <w:p w14:paraId="1F238E80" w14:textId="77777777" w:rsidR="007E0ABC" w:rsidRPr="00C260F1" w:rsidRDefault="007E0ABC" w:rsidP="007E0ABC">
            <w:pPr>
              <w:numPr>
                <w:ilvl w:val="0"/>
                <w:numId w:val="151"/>
              </w:numPr>
              <w:pBdr>
                <w:top w:val="nil"/>
                <w:left w:val="nil"/>
                <w:bottom w:val="nil"/>
                <w:right w:val="nil"/>
                <w:between w:val="nil"/>
              </w:pBdr>
              <w:spacing w:line="240" w:lineRule="auto"/>
              <w:jc w:val="left"/>
              <w:rPr>
                <w:rFonts w:ascii="Calibri" w:eastAsia="Calibri" w:hAnsi="Calibri" w:cs="Calibri"/>
                <w:i/>
                <w:color w:val="000000"/>
                <w:sz w:val="18"/>
                <w:szCs w:val="22"/>
              </w:rPr>
            </w:pPr>
            <w:r w:rsidRPr="00C260F1">
              <w:rPr>
                <w:rFonts w:ascii="Calibri" w:eastAsia="Calibri" w:hAnsi="Calibri" w:cs="Calibri"/>
                <w:i/>
                <w:color w:val="000000"/>
                <w:sz w:val="18"/>
                <w:szCs w:val="22"/>
              </w:rPr>
              <w:t xml:space="preserve">No or not applicable, my illness does not vary (0) </w:t>
            </w:r>
          </w:p>
        </w:tc>
      </w:tr>
      <w:tr w:rsidR="007E0ABC" w:rsidRPr="00C260F1" w14:paraId="7BD07E53" w14:textId="77777777" w:rsidTr="003C4FF0">
        <w:trPr>
          <w:trHeight w:val="509"/>
        </w:trPr>
        <w:tc>
          <w:tcPr>
            <w:tcW w:w="9000" w:type="dxa"/>
          </w:tcPr>
          <w:p w14:paraId="5860274C" w14:textId="77777777" w:rsidR="007E0ABC" w:rsidRPr="00C260F1" w:rsidRDefault="007E0ABC" w:rsidP="00C260F1">
            <w:pPr>
              <w:spacing w:after="160"/>
              <w:rPr>
                <w:rFonts w:ascii="Calibri" w:eastAsia="Calibri" w:hAnsi="Calibri" w:cs="Calibri"/>
                <w:color w:val="000000"/>
                <w:sz w:val="18"/>
                <w:szCs w:val="22"/>
              </w:rPr>
            </w:pPr>
            <w:r w:rsidRPr="00C260F1">
              <w:rPr>
                <w:rFonts w:ascii="Calibri" w:eastAsia="Calibri" w:hAnsi="Calibri" w:cs="Calibri"/>
                <w:color w:val="000000"/>
                <w:sz w:val="18"/>
                <w:szCs w:val="22"/>
              </w:rPr>
              <w:t>40. Please feel free to add any personal comments to this questionnaire:</w:t>
            </w:r>
          </w:p>
        </w:tc>
      </w:tr>
    </w:tbl>
    <w:p w14:paraId="088B2FB1" w14:textId="77777777" w:rsidR="007E0ABC" w:rsidRDefault="007E0ABC" w:rsidP="001B6A38">
      <w:pPr>
        <w:spacing w:after="160" w:line="259" w:lineRule="auto"/>
        <w:rPr>
          <w:b/>
          <w:sz w:val="28"/>
          <w:szCs w:val="28"/>
        </w:rPr>
      </w:pPr>
    </w:p>
    <w:p w14:paraId="5EB13E64" w14:textId="77777777" w:rsidR="007E0ABC" w:rsidRDefault="007E0ABC" w:rsidP="00C260F1">
      <w:pPr>
        <w:spacing w:after="160" w:line="259" w:lineRule="auto"/>
        <w:rPr>
          <w:b/>
          <w:sz w:val="28"/>
          <w:szCs w:val="28"/>
        </w:rPr>
      </w:pPr>
      <w:r>
        <w:br w:type="page"/>
      </w:r>
      <w:r>
        <w:rPr>
          <w:b/>
          <w:sz w:val="28"/>
          <w:szCs w:val="28"/>
        </w:rPr>
        <w:lastRenderedPageBreak/>
        <w:t>EASE Interim Scoring</w:t>
      </w:r>
    </w:p>
    <w:p w14:paraId="50B358CB" w14:textId="77777777" w:rsidR="007E0ABC" w:rsidRDefault="007E0ABC" w:rsidP="001B6A38">
      <w:r>
        <w:rPr>
          <w:b/>
        </w:rPr>
        <w:t>Scoring:</w:t>
      </w:r>
      <w:r>
        <w:t xml:space="preserve"> </w:t>
      </w:r>
    </w:p>
    <w:p w14:paraId="0B62551E" w14:textId="77777777" w:rsidR="007E0ABC" w:rsidRDefault="007E0ABC" w:rsidP="001B6A38">
      <w:r>
        <w:rPr>
          <w:u w:val="single"/>
        </w:rPr>
        <w:t>Total score:</w:t>
      </w:r>
      <w:r>
        <w:t xml:space="preserve"> Take the average of the items. </w:t>
      </w:r>
    </w:p>
    <w:p w14:paraId="56680C8E" w14:textId="77777777" w:rsidR="007E0ABC" w:rsidRDefault="007E0ABC" w:rsidP="001B6A38">
      <w:r>
        <w:rPr>
          <w:u w:val="single"/>
        </w:rPr>
        <w:t>Note:</w:t>
      </w:r>
      <w:r>
        <w:t xml:space="preserve"> Reverse-score items  8, 11, 12, 14, 15, 17, 23, 26, 34 (1+2+3+4+5+5.1+6+7+8R+9+10+11R+12R+13+14R+15R+16+17R+18+19+20+21+22+23R+24+25+26R+27+28+29+30+31+32+34R+35+36)/36</w:t>
      </w:r>
    </w:p>
    <w:p w14:paraId="70B68750" w14:textId="77777777" w:rsidR="007E0ABC" w:rsidRDefault="007E0ABC" w:rsidP="001B6A38">
      <w:r>
        <w:rPr>
          <w:u w:val="single"/>
        </w:rPr>
        <w:t>Seizure-related self-efficacy score:</w:t>
      </w:r>
      <w:r>
        <w:t xml:space="preserve"> Take the average of the items. (37+37.2+38+38.2+39+39.2+39.3)/7</w:t>
      </w:r>
    </w:p>
    <w:p w14:paraId="2571FF33" w14:textId="77777777" w:rsidR="007E0ABC" w:rsidRDefault="007E0ABC" w:rsidP="001B6A38">
      <w:r>
        <w:rPr>
          <w:u w:val="single"/>
        </w:rPr>
        <w:t>Change through seizures score:</w:t>
      </w:r>
      <w:r>
        <w:t xml:space="preserve"> Take the average of the items.</w:t>
      </w:r>
    </w:p>
    <w:p w14:paraId="21581A2D" w14:textId="77777777" w:rsidR="007E0ABC" w:rsidRDefault="007E0ABC" w:rsidP="001B6A38">
      <w:r>
        <w:t>(12.1+14.1+15.1+17.1+33)/5</w:t>
      </w:r>
    </w:p>
    <w:p w14:paraId="4BF0F13C" w14:textId="77777777" w:rsidR="007E0ABC" w:rsidRDefault="007E0ABC" w:rsidP="001B6A38"/>
    <w:p w14:paraId="7563702C" w14:textId="77777777" w:rsidR="007E0ABC" w:rsidRDefault="007E0ABC" w:rsidP="00757A42">
      <w:pPr>
        <w:pStyle w:val="Subtitle"/>
        <w:spacing w:after="0"/>
        <w:jc w:val="center"/>
        <w:rPr>
          <w:iCs/>
          <w:sz w:val="28"/>
          <w:szCs w:val="28"/>
        </w:rPr>
      </w:pPr>
      <w:r>
        <w:br w:type="page"/>
      </w:r>
    </w:p>
    <w:p w14:paraId="02D33EF9" w14:textId="77777777" w:rsidR="007E0ABC" w:rsidRPr="004E02C7" w:rsidRDefault="007E0ABC" w:rsidP="00C260F1">
      <w:pPr>
        <w:pStyle w:val="Subtitle"/>
        <w:spacing w:after="0"/>
        <w:jc w:val="center"/>
        <w:rPr>
          <w:rFonts w:ascii="Avenir Book" w:hAnsi="Avenir Book"/>
          <w:i/>
          <w:iCs/>
          <w:sz w:val="28"/>
          <w:szCs w:val="28"/>
        </w:rPr>
      </w:pPr>
      <w:r w:rsidRPr="004E02C7">
        <w:rPr>
          <w:rFonts w:ascii="Avenir Book" w:hAnsi="Avenir Book"/>
          <w:iCs/>
          <w:sz w:val="28"/>
          <w:szCs w:val="28"/>
        </w:rPr>
        <w:lastRenderedPageBreak/>
        <w:t xml:space="preserve">Appendix </w:t>
      </w:r>
      <w:r>
        <w:rPr>
          <w:rFonts w:ascii="Avenir Book" w:hAnsi="Avenir Book"/>
          <w:iCs/>
          <w:sz w:val="28"/>
          <w:szCs w:val="28"/>
        </w:rPr>
        <w:t>C</w:t>
      </w:r>
      <w:r w:rsidRPr="004E02C7">
        <w:rPr>
          <w:rFonts w:ascii="Avenir Book" w:hAnsi="Avenir Book"/>
          <w:iCs/>
          <w:sz w:val="28"/>
          <w:szCs w:val="28"/>
        </w:rPr>
        <w:t xml:space="preserve"> – EASE Supplementary Data</w:t>
      </w:r>
    </w:p>
    <w:p w14:paraId="7D239B03" w14:textId="77777777" w:rsidR="007E0ABC" w:rsidRDefault="007E0ABC" w:rsidP="00C260F1">
      <w:pPr>
        <w:rPr>
          <w:lang w:eastAsia="en-GB"/>
        </w:rPr>
      </w:pPr>
    </w:p>
    <w:p w14:paraId="59FECA03" w14:textId="77777777" w:rsidR="007E0ABC" w:rsidRDefault="007E0ABC" w:rsidP="00D91EB1">
      <w:pPr>
        <w:pStyle w:val="ListParagraph"/>
        <w:jc w:val="center"/>
        <w:rPr>
          <w:lang w:eastAsia="en-GB"/>
        </w:rPr>
      </w:pPr>
      <w:r w:rsidRPr="00E36B1E">
        <w:t xml:space="preserve">Table </w:t>
      </w:r>
      <w:r>
        <w:t>26</w:t>
      </w:r>
      <w:r w:rsidRPr="00E36B1E">
        <w:t>.</w:t>
      </w:r>
      <w:r>
        <w:t xml:space="preserve"> </w:t>
      </w:r>
      <w:r w:rsidRPr="00E36B1E">
        <w:t>Summary of patient symptom data from consultant referral letters</w:t>
      </w:r>
    </w:p>
    <w:p w14:paraId="1E98B2AD" w14:textId="77777777" w:rsidR="007E0ABC" w:rsidRDefault="007E0ABC" w:rsidP="00D91EB1">
      <w:pPr>
        <w:pStyle w:val="ListParagraph"/>
        <w:rPr>
          <w:lang w:eastAsia="en-GB"/>
        </w:rPr>
      </w:pPr>
    </w:p>
    <w:tbl>
      <w:tblPr>
        <w:tblStyle w:val="TableGridLight"/>
        <w:tblW w:w="0" w:type="auto"/>
        <w:jc w:val="center"/>
        <w:tblLook w:val="04A0" w:firstRow="1" w:lastRow="0" w:firstColumn="1" w:lastColumn="0" w:noHBand="0" w:noVBand="1"/>
      </w:tblPr>
      <w:tblGrid>
        <w:gridCol w:w="3397"/>
        <w:gridCol w:w="3006"/>
      </w:tblGrid>
      <w:tr w:rsidR="007E0ABC" w:rsidRPr="0090079B" w14:paraId="7986F173" w14:textId="77777777" w:rsidTr="00757A42">
        <w:trPr>
          <w:jc w:val="center"/>
        </w:trPr>
        <w:tc>
          <w:tcPr>
            <w:tcW w:w="3397" w:type="dxa"/>
          </w:tcPr>
          <w:p w14:paraId="630B6BAA" w14:textId="77777777" w:rsidR="007E0ABC" w:rsidRPr="00E36B1E" w:rsidRDefault="007E0ABC" w:rsidP="00AF2A65">
            <w:r w:rsidRPr="00E36B1E">
              <w:t>Symptom</w:t>
            </w:r>
          </w:p>
        </w:tc>
        <w:tc>
          <w:tcPr>
            <w:tcW w:w="3006" w:type="dxa"/>
          </w:tcPr>
          <w:p w14:paraId="482E4A46" w14:textId="77777777" w:rsidR="007E0ABC" w:rsidRPr="00E36B1E" w:rsidRDefault="007E0ABC" w:rsidP="00AF2A65">
            <w:r w:rsidRPr="00E36B1E">
              <w:t>n (%)</w:t>
            </w:r>
          </w:p>
          <w:p w14:paraId="32E44063" w14:textId="77777777" w:rsidR="007E0ABC" w:rsidRPr="00E36B1E" w:rsidRDefault="007E0ABC" w:rsidP="00AF2A65">
            <w:pPr>
              <w:rPr>
                <w:b/>
                <w:bCs/>
              </w:rPr>
            </w:pPr>
            <w:r w:rsidRPr="00E36B1E">
              <w:rPr>
                <w:b/>
                <w:bCs/>
              </w:rPr>
              <w:t>(</w:t>
            </w:r>
            <w:r w:rsidRPr="00E36B1E">
              <w:t>Overall n = 450)</w:t>
            </w:r>
          </w:p>
        </w:tc>
      </w:tr>
      <w:tr w:rsidR="007E0ABC" w:rsidRPr="0090079B" w14:paraId="3881BF16" w14:textId="77777777" w:rsidTr="00757A42">
        <w:trPr>
          <w:jc w:val="center"/>
        </w:trPr>
        <w:tc>
          <w:tcPr>
            <w:tcW w:w="3397" w:type="dxa"/>
          </w:tcPr>
          <w:p w14:paraId="48E9C0AA" w14:textId="77777777" w:rsidR="007E0ABC" w:rsidRPr="00E36B1E" w:rsidRDefault="007E0ABC" w:rsidP="00AF2A65">
            <w:r w:rsidRPr="00E36B1E">
              <w:t>Seizures (undefined)</w:t>
            </w:r>
          </w:p>
        </w:tc>
        <w:tc>
          <w:tcPr>
            <w:tcW w:w="3006" w:type="dxa"/>
          </w:tcPr>
          <w:p w14:paraId="4A910536" w14:textId="77777777" w:rsidR="007E0ABC" w:rsidRPr="0090079B" w:rsidRDefault="007E0ABC" w:rsidP="00AF2A65">
            <w:r w:rsidRPr="0090079B">
              <w:t>5</w:t>
            </w:r>
            <w:r>
              <w:t>3</w:t>
            </w:r>
            <w:r w:rsidRPr="0090079B">
              <w:t xml:space="preserve"> (</w:t>
            </w:r>
            <w:r>
              <w:t>11</w:t>
            </w:r>
            <w:r w:rsidRPr="0090079B">
              <w:t>.</w:t>
            </w:r>
            <w:r>
              <w:t>8</w:t>
            </w:r>
            <w:r w:rsidRPr="0090079B">
              <w:t>)</w:t>
            </w:r>
          </w:p>
        </w:tc>
      </w:tr>
      <w:tr w:rsidR="007E0ABC" w:rsidRPr="0090079B" w14:paraId="7EA656C2" w14:textId="77777777" w:rsidTr="00757A42">
        <w:trPr>
          <w:jc w:val="center"/>
        </w:trPr>
        <w:tc>
          <w:tcPr>
            <w:tcW w:w="3397" w:type="dxa"/>
          </w:tcPr>
          <w:p w14:paraId="648C79FE" w14:textId="77777777" w:rsidR="007E0ABC" w:rsidRPr="00E36B1E" w:rsidRDefault="007E0ABC" w:rsidP="00AF2A65">
            <w:r w:rsidRPr="00E36B1E">
              <w:t>Sensory symptom</w:t>
            </w:r>
          </w:p>
        </w:tc>
        <w:tc>
          <w:tcPr>
            <w:tcW w:w="3006" w:type="dxa"/>
          </w:tcPr>
          <w:p w14:paraId="7C30FEA7" w14:textId="77777777" w:rsidR="007E0ABC" w:rsidRPr="0090079B" w:rsidRDefault="007E0ABC" w:rsidP="00AF2A65">
            <w:r w:rsidRPr="0090079B">
              <w:t>5 (</w:t>
            </w:r>
            <w:r>
              <w:t>1.1</w:t>
            </w:r>
            <w:r w:rsidRPr="0090079B">
              <w:t>)</w:t>
            </w:r>
          </w:p>
        </w:tc>
      </w:tr>
      <w:tr w:rsidR="007E0ABC" w:rsidRPr="0090079B" w14:paraId="2CEA987C" w14:textId="77777777" w:rsidTr="00757A42">
        <w:trPr>
          <w:jc w:val="center"/>
        </w:trPr>
        <w:tc>
          <w:tcPr>
            <w:tcW w:w="3397" w:type="dxa"/>
          </w:tcPr>
          <w:p w14:paraId="4E5B47B0" w14:textId="77777777" w:rsidR="007E0ABC" w:rsidRPr="00E36B1E" w:rsidRDefault="007E0ABC" w:rsidP="00AF2A65">
            <w:r w:rsidRPr="00E36B1E">
              <w:t>Movement</w:t>
            </w:r>
          </w:p>
        </w:tc>
        <w:tc>
          <w:tcPr>
            <w:tcW w:w="3006" w:type="dxa"/>
          </w:tcPr>
          <w:p w14:paraId="1EDA047B" w14:textId="77777777" w:rsidR="007E0ABC" w:rsidRPr="0090079B" w:rsidRDefault="007E0ABC" w:rsidP="00AF2A65">
            <w:r w:rsidRPr="0090079B">
              <w:t>1</w:t>
            </w:r>
            <w:r>
              <w:t>1</w:t>
            </w:r>
            <w:r w:rsidRPr="0090079B">
              <w:t xml:space="preserve"> (</w:t>
            </w:r>
            <w:r>
              <w:t>2.4</w:t>
            </w:r>
            <w:r w:rsidRPr="0090079B">
              <w:t>)</w:t>
            </w:r>
          </w:p>
        </w:tc>
      </w:tr>
      <w:tr w:rsidR="007E0ABC" w:rsidRPr="0090079B" w14:paraId="121AE8B1" w14:textId="77777777" w:rsidTr="00757A42">
        <w:trPr>
          <w:jc w:val="center"/>
        </w:trPr>
        <w:tc>
          <w:tcPr>
            <w:tcW w:w="3397" w:type="dxa"/>
          </w:tcPr>
          <w:p w14:paraId="3EE8908F" w14:textId="77777777" w:rsidR="007E0ABC" w:rsidRPr="00E36B1E" w:rsidRDefault="007E0ABC" w:rsidP="00AF2A65">
            <w:r w:rsidRPr="00E36B1E">
              <w:t>Mixed symptom</w:t>
            </w:r>
          </w:p>
        </w:tc>
        <w:tc>
          <w:tcPr>
            <w:tcW w:w="3006" w:type="dxa"/>
          </w:tcPr>
          <w:p w14:paraId="7AFE8AAC" w14:textId="77777777" w:rsidR="007E0ABC" w:rsidRPr="0090079B" w:rsidRDefault="007E0ABC" w:rsidP="00AF2A65">
            <w:r w:rsidRPr="0090079B">
              <w:t>1</w:t>
            </w:r>
            <w:r>
              <w:t>5</w:t>
            </w:r>
            <w:r w:rsidRPr="0090079B">
              <w:t xml:space="preserve"> (</w:t>
            </w:r>
            <w:r>
              <w:t>3.3</w:t>
            </w:r>
            <w:r w:rsidRPr="0090079B">
              <w:t>)</w:t>
            </w:r>
          </w:p>
        </w:tc>
      </w:tr>
      <w:tr w:rsidR="007E0ABC" w:rsidRPr="0090079B" w14:paraId="2DD3B0EE" w14:textId="77777777" w:rsidTr="00757A42">
        <w:trPr>
          <w:jc w:val="center"/>
        </w:trPr>
        <w:tc>
          <w:tcPr>
            <w:tcW w:w="3397" w:type="dxa"/>
          </w:tcPr>
          <w:p w14:paraId="2D5D79B0" w14:textId="77777777" w:rsidR="007E0ABC" w:rsidRPr="00E36B1E" w:rsidRDefault="007E0ABC" w:rsidP="00AF2A65">
            <w:r w:rsidRPr="00E36B1E">
              <w:t>Paraesthesia</w:t>
            </w:r>
          </w:p>
        </w:tc>
        <w:tc>
          <w:tcPr>
            <w:tcW w:w="3006" w:type="dxa"/>
          </w:tcPr>
          <w:p w14:paraId="76120EEE" w14:textId="77777777" w:rsidR="007E0ABC" w:rsidRPr="0090079B" w:rsidRDefault="007E0ABC" w:rsidP="00AF2A65">
            <w:r w:rsidRPr="0090079B">
              <w:t>12 (</w:t>
            </w:r>
            <w:r>
              <w:t>2</w:t>
            </w:r>
            <w:r w:rsidRPr="0090079B">
              <w:t>.</w:t>
            </w:r>
            <w:r>
              <w:t>7</w:t>
            </w:r>
            <w:r w:rsidRPr="0090079B">
              <w:t>)</w:t>
            </w:r>
          </w:p>
        </w:tc>
      </w:tr>
      <w:tr w:rsidR="007E0ABC" w:rsidRPr="0090079B" w14:paraId="279F6E3B" w14:textId="77777777" w:rsidTr="00757A42">
        <w:trPr>
          <w:jc w:val="center"/>
        </w:trPr>
        <w:tc>
          <w:tcPr>
            <w:tcW w:w="3397" w:type="dxa"/>
          </w:tcPr>
          <w:p w14:paraId="2D3766AA" w14:textId="77777777" w:rsidR="007E0ABC" w:rsidRPr="00E36B1E" w:rsidRDefault="007E0ABC" w:rsidP="00AF2A65">
            <w:r w:rsidRPr="00E36B1E">
              <w:t>Speech symptoms</w:t>
            </w:r>
          </w:p>
        </w:tc>
        <w:tc>
          <w:tcPr>
            <w:tcW w:w="3006" w:type="dxa"/>
          </w:tcPr>
          <w:p w14:paraId="416A572F" w14:textId="77777777" w:rsidR="007E0ABC" w:rsidRPr="0090079B" w:rsidRDefault="007E0ABC" w:rsidP="00AF2A65">
            <w:r w:rsidRPr="0090079B">
              <w:t>7 (</w:t>
            </w:r>
            <w:r>
              <w:t>1.6</w:t>
            </w:r>
            <w:r w:rsidRPr="0090079B">
              <w:t>)</w:t>
            </w:r>
          </w:p>
        </w:tc>
      </w:tr>
      <w:tr w:rsidR="007E0ABC" w:rsidRPr="0090079B" w14:paraId="13BD9B52" w14:textId="77777777" w:rsidTr="00757A42">
        <w:trPr>
          <w:jc w:val="center"/>
        </w:trPr>
        <w:tc>
          <w:tcPr>
            <w:tcW w:w="3397" w:type="dxa"/>
            <w:vAlign w:val="center"/>
          </w:tcPr>
          <w:p w14:paraId="2A54A434" w14:textId="77777777" w:rsidR="007E0ABC" w:rsidRPr="00E36B1E" w:rsidRDefault="007E0ABC" w:rsidP="00AF2A65">
            <w:r w:rsidRPr="00E36B1E">
              <w:t>Weakness</w:t>
            </w:r>
          </w:p>
        </w:tc>
        <w:tc>
          <w:tcPr>
            <w:tcW w:w="3006" w:type="dxa"/>
          </w:tcPr>
          <w:p w14:paraId="0C2C1F68" w14:textId="77777777" w:rsidR="007E0ABC" w:rsidRPr="0090079B" w:rsidRDefault="007E0ABC" w:rsidP="00AF2A65">
            <w:r w:rsidRPr="0090079B">
              <w:t>23 (</w:t>
            </w:r>
            <w:r>
              <w:t>5.1)</w:t>
            </w:r>
          </w:p>
        </w:tc>
      </w:tr>
    </w:tbl>
    <w:p w14:paraId="6BFC57A7" w14:textId="77777777" w:rsidR="007E0ABC" w:rsidRDefault="007E0ABC" w:rsidP="00757A42">
      <w:pPr>
        <w:rPr>
          <w:lang w:eastAsia="en-GB"/>
        </w:rPr>
      </w:pPr>
    </w:p>
    <w:p w14:paraId="4ABB8AB8" w14:textId="77777777" w:rsidR="007E0ABC" w:rsidRPr="00757A42" w:rsidRDefault="007E0ABC" w:rsidP="007E0ABC">
      <w:pPr>
        <w:pStyle w:val="ListParagraph"/>
        <w:numPr>
          <w:ilvl w:val="0"/>
          <w:numId w:val="195"/>
        </w:numPr>
        <w:spacing w:line="240" w:lineRule="auto"/>
        <w:jc w:val="left"/>
        <w:rPr>
          <w:rFonts w:ascii="Avenir Heavy" w:hAnsi="Avenir Heavy"/>
          <w:b/>
          <w:bCs/>
        </w:rPr>
      </w:pPr>
      <w:r w:rsidRPr="00757A42">
        <w:rPr>
          <w:rFonts w:ascii="Avenir Heavy" w:hAnsi="Avenir Heavy"/>
          <w:b/>
          <w:bCs/>
        </w:rPr>
        <w:t>Table n. Floor and ceiling effects of the items in the EASE-F</w:t>
      </w:r>
    </w:p>
    <w:p w14:paraId="17C581CC" w14:textId="77777777" w:rsidR="007E0ABC" w:rsidRPr="00C260F1" w:rsidRDefault="007E0ABC" w:rsidP="00C260F1">
      <w:pPr>
        <w:rPr>
          <w:i/>
          <w:iCs/>
        </w:rPr>
      </w:pPr>
    </w:p>
    <w:tbl>
      <w:tblPr>
        <w:tblStyle w:val="TableGridLight"/>
        <w:tblW w:w="10276" w:type="dxa"/>
        <w:tblInd w:w="-500" w:type="dxa"/>
        <w:tblLayout w:type="fixed"/>
        <w:tblLook w:val="0000" w:firstRow="0" w:lastRow="0" w:firstColumn="0" w:lastColumn="0" w:noHBand="0" w:noVBand="0"/>
      </w:tblPr>
      <w:tblGrid>
        <w:gridCol w:w="731"/>
        <w:gridCol w:w="6143"/>
        <w:gridCol w:w="921"/>
        <w:gridCol w:w="922"/>
        <w:gridCol w:w="779"/>
        <w:gridCol w:w="780"/>
      </w:tblGrid>
      <w:tr w:rsidR="007E0ABC" w:rsidRPr="00E36B1E" w14:paraId="39469D1C" w14:textId="77777777" w:rsidTr="00C260F1">
        <w:trPr>
          <w:trHeight w:val="292"/>
        </w:trPr>
        <w:tc>
          <w:tcPr>
            <w:tcW w:w="731" w:type="dxa"/>
            <w:vMerge w:val="restart"/>
            <w:vAlign w:val="center"/>
          </w:tcPr>
          <w:p w14:paraId="0F11377E" w14:textId="77777777" w:rsidR="007E0ABC" w:rsidRPr="00E36B1E" w:rsidRDefault="007E0ABC" w:rsidP="00D75B62">
            <w:pPr>
              <w:spacing w:line="276" w:lineRule="auto"/>
              <w:rPr>
                <w:sz w:val="18"/>
                <w:szCs w:val="18"/>
              </w:rPr>
            </w:pPr>
            <w:r w:rsidRPr="00E36B1E">
              <w:rPr>
                <w:sz w:val="18"/>
                <w:szCs w:val="18"/>
              </w:rPr>
              <w:t>No.</w:t>
            </w:r>
          </w:p>
        </w:tc>
        <w:tc>
          <w:tcPr>
            <w:tcW w:w="6143" w:type="dxa"/>
            <w:vMerge w:val="restart"/>
            <w:vAlign w:val="center"/>
          </w:tcPr>
          <w:p w14:paraId="228AA216" w14:textId="77777777" w:rsidR="007E0ABC" w:rsidRPr="00E36B1E" w:rsidRDefault="007E0ABC" w:rsidP="00D75B62">
            <w:pPr>
              <w:spacing w:line="276" w:lineRule="auto"/>
              <w:rPr>
                <w:sz w:val="18"/>
                <w:szCs w:val="18"/>
              </w:rPr>
            </w:pPr>
            <w:r w:rsidRPr="00E36B1E">
              <w:rPr>
                <w:sz w:val="18"/>
                <w:szCs w:val="18"/>
              </w:rPr>
              <w:t>Items</w:t>
            </w:r>
          </w:p>
        </w:tc>
        <w:tc>
          <w:tcPr>
            <w:tcW w:w="1843" w:type="dxa"/>
            <w:gridSpan w:val="2"/>
          </w:tcPr>
          <w:p w14:paraId="3B78DA25" w14:textId="77777777" w:rsidR="007E0ABC" w:rsidRPr="00E36B1E" w:rsidRDefault="007E0ABC" w:rsidP="00D75B62">
            <w:pPr>
              <w:spacing w:line="276" w:lineRule="auto"/>
              <w:rPr>
                <w:sz w:val="18"/>
                <w:szCs w:val="18"/>
              </w:rPr>
            </w:pPr>
            <w:r w:rsidRPr="00E36B1E">
              <w:rPr>
                <w:sz w:val="18"/>
                <w:szCs w:val="18"/>
              </w:rPr>
              <w:t>Floor effect</w:t>
            </w:r>
          </w:p>
        </w:tc>
        <w:tc>
          <w:tcPr>
            <w:tcW w:w="1559" w:type="dxa"/>
            <w:gridSpan w:val="2"/>
          </w:tcPr>
          <w:p w14:paraId="2655811B" w14:textId="77777777" w:rsidR="007E0ABC" w:rsidRPr="00E36B1E" w:rsidRDefault="007E0ABC" w:rsidP="00D75B62">
            <w:pPr>
              <w:spacing w:line="276" w:lineRule="auto"/>
              <w:rPr>
                <w:sz w:val="18"/>
                <w:szCs w:val="18"/>
              </w:rPr>
            </w:pPr>
            <w:r w:rsidRPr="00E36B1E">
              <w:rPr>
                <w:sz w:val="18"/>
                <w:szCs w:val="18"/>
              </w:rPr>
              <w:t>Ceiling effect</w:t>
            </w:r>
          </w:p>
        </w:tc>
      </w:tr>
      <w:tr w:rsidR="007E0ABC" w:rsidRPr="00E36B1E" w14:paraId="42AEC854" w14:textId="77777777" w:rsidTr="00C260F1">
        <w:trPr>
          <w:trHeight w:val="71"/>
        </w:trPr>
        <w:tc>
          <w:tcPr>
            <w:tcW w:w="731" w:type="dxa"/>
            <w:vMerge/>
            <w:vAlign w:val="center"/>
          </w:tcPr>
          <w:p w14:paraId="65060CC4" w14:textId="77777777" w:rsidR="007E0ABC" w:rsidRPr="00E36B1E" w:rsidRDefault="007E0ABC" w:rsidP="00D75B62">
            <w:pPr>
              <w:spacing w:line="276" w:lineRule="auto"/>
              <w:rPr>
                <w:sz w:val="18"/>
                <w:szCs w:val="18"/>
              </w:rPr>
            </w:pPr>
          </w:p>
        </w:tc>
        <w:tc>
          <w:tcPr>
            <w:tcW w:w="6143" w:type="dxa"/>
            <w:vMerge/>
            <w:vAlign w:val="center"/>
          </w:tcPr>
          <w:p w14:paraId="3424B3FD" w14:textId="77777777" w:rsidR="007E0ABC" w:rsidRPr="00E36B1E" w:rsidRDefault="007E0ABC" w:rsidP="00D75B62">
            <w:pPr>
              <w:spacing w:line="276" w:lineRule="auto"/>
              <w:rPr>
                <w:sz w:val="18"/>
                <w:szCs w:val="18"/>
              </w:rPr>
            </w:pPr>
          </w:p>
        </w:tc>
        <w:tc>
          <w:tcPr>
            <w:tcW w:w="921" w:type="dxa"/>
          </w:tcPr>
          <w:p w14:paraId="7F19C341" w14:textId="77777777" w:rsidR="007E0ABC" w:rsidRPr="00E36B1E" w:rsidRDefault="007E0ABC" w:rsidP="00D75B62">
            <w:pPr>
              <w:spacing w:line="276" w:lineRule="auto"/>
              <w:rPr>
                <w:sz w:val="18"/>
                <w:szCs w:val="18"/>
              </w:rPr>
            </w:pPr>
            <w:r w:rsidRPr="00E36B1E">
              <w:rPr>
                <w:sz w:val="18"/>
                <w:szCs w:val="18"/>
              </w:rPr>
              <w:t>n</w:t>
            </w:r>
          </w:p>
        </w:tc>
        <w:tc>
          <w:tcPr>
            <w:tcW w:w="922" w:type="dxa"/>
          </w:tcPr>
          <w:p w14:paraId="1A64865B" w14:textId="77777777" w:rsidR="007E0ABC" w:rsidRPr="00E36B1E" w:rsidRDefault="007E0ABC" w:rsidP="00D75B62">
            <w:pPr>
              <w:spacing w:line="276" w:lineRule="auto"/>
              <w:rPr>
                <w:sz w:val="18"/>
                <w:szCs w:val="18"/>
              </w:rPr>
            </w:pPr>
            <w:r w:rsidRPr="00E36B1E">
              <w:rPr>
                <w:sz w:val="18"/>
                <w:szCs w:val="18"/>
              </w:rPr>
              <w:t>%</w:t>
            </w:r>
          </w:p>
        </w:tc>
        <w:tc>
          <w:tcPr>
            <w:tcW w:w="779" w:type="dxa"/>
          </w:tcPr>
          <w:p w14:paraId="1D8320B6" w14:textId="77777777" w:rsidR="007E0ABC" w:rsidRPr="00E36B1E" w:rsidRDefault="007E0ABC" w:rsidP="00D75B62">
            <w:pPr>
              <w:spacing w:line="276" w:lineRule="auto"/>
              <w:rPr>
                <w:sz w:val="18"/>
                <w:szCs w:val="18"/>
              </w:rPr>
            </w:pPr>
            <w:r w:rsidRPr="00E36B1E">
              <w:rPr>
                <w:sz w:val="18"/>
                <w:szCs w:val="18"/>
              </w:rPr>
              <w:t>n</w:t>
            </w:r>
          </w:p>
        </w:tc>
        <w:tc>
          <w:tcPr>
            <w:tcW w:w="780" w:type="dxa"/>
          </w:tcPr>
          <w:p w14:paraId="4A8A9CD1" w14:textId="77777777" w:rsidR="007E0ABC" w:rsidRPr="00E36B1E" w:rsidRDefault="007E0ABC" w:rsidP="00D75B62">
            <w:pPr>
              <w:spacing w:line="276" w:lineRule="auto"/>
              <w:rPr>
                <w:sz w:val="18"/>
                <w:szCs w:val="18"/>
              </w:rPr>
            </w:pPr>
            <w:r w:rsidRPr="00E36B1E">
              <w:rPr>
                <w:sz w:val="18"/>
                <w:szCs w:val="18"/>
              </w:rPr>
              <w:t>%</w:t>
            </w:r>
          </w:p>
        </w:tc>
      </w:tr>
      <w:tr w:rsidR="007E0ABC" w:rsidRPr="00E36B1E" w14:paraId="26403654" w14:textId="77777777" w:rsidTr="00D75B62">
        <w:tc>
          <w:tcPr>
            <w:tcW w:w="731" w:type="dxa"/>
          </w:tcPr>
          <w:p w14:paraId="46482684" w14:textId="77777777" w:rsidR="007E0ABC" w:rsidRPr="00E36B1E" w:rsidRDefault="007E0ABC" w:rsidP="00D75B62">
            <w:pPr>
              <w:spacing w:line="276" w:lineRule="auto"/>
              <w:rPr>
                <w:sz w:val="18"/>
                <w:szCs w:val="18"/>
              </w:rPr>
            </w:pPr>
            <w:r w:rsidRPr="00E36B1E">
              <w:rPr>
                <w:sz w:val="18"/>
                <w:szCs w:val="18"/>
              </w:rPr>
              <w:t>1</w:t>
            </w:r>
          </w:p>
        </w:tc>
        <w:tc>
          <w:tcPr>
            <w:tcW w:w="6143" w:type="dxa"/>
          </w:tcPr>
          <w:p w14:paraId="58FA7449" w14:textId="77777777" w:rsidR="007E0ABC" w:rsidRPr="00E36B1E" w:rsidRDefault="007E0ABC" w:rsidP="00D75B62">
            <w:pPr>
              <w:spacing w:line="276" w:lineRule="auto"/>
              <w:rPr>
                <w:sz w:val="18"/>
                <w:szCs w:val="18"/>
                <w:lang w:val="en-US"/>
              </w:rPr>
            </w:pPr>
            <w:r w:rsidRPr="00E36B1E">
              <w:rPr>
                <w:sz w:val="18"/>
                <w:szCs w:val="18"/>
                <w:lang w:val="en-US"/>
              </w:rPr>
              <w:t>In general I am able to manage my daily tasks</w:t>
            </w:r>
          </w:p>
        </w:tc>
        <w:tc>
          <w:tcPr>
            <w:tcW w:w="921" w:type="dxa"/>
          </w:tcPr>
          <w:p w14:paraId="1B4C08A9" w14:textId="77777777" w:rsidR="007E0ABC" w:rsidRPr="00E36B1E" w:rsidRDefault="007E0ABC" w:rsidP="00D75B62">
            <w:pPr>
              <w:spacing w:line="276" w:lineRule="auto"/>
              <w:rPr>
                <w:sz w:val="18"/>
                <w:szCs w:val="18"/>
                <w:lang w:val="en-US"/>
              </w:rPr>
            </w:pPr>
            <w:r w:rsidRPr="00E36B1E">
              <w:rPr>
                <w:sz w:val="18"/>
                <w:szCs w:val="18"/>
                <w:lang w:val="en-US"/>
              </w:rPr>
              <w:t>105</w:t>
            </w:r>
          </w:p>
        </w:tc>
        <w:tc>
          <w:tcPr>
            <w:tcW w:w="922" w:type="dxa"/>
          </w:tcPr>
          <w:p w14:paraId="4EF503B3" w14:textId="77777777" w:rsidR="007E0ABC" w:rsidRPr="00E36B1E" w:rsidRDefault="007E0ABC" w:rsidP="00D75B62">
            <w:pPr>
              <w:spacing w:line="276" w:lineRule="auto"/>
              <w:rPr>
                <w:sz w:val="18"/>
                <w:szCs w:val="18"/>
                <w:lang w:val="en-US"/>
              </w:rPr>
            </w:pPr>
            <w:r w:rsidRPr="00E36B1E">
              <w:rPr>
                <w:sz w:val="18"/>
                <w:szCs w:val="18"/>
                <w:lang w:val="en-US"/>
              </w:rPr>
              <w:t>23.3</w:t>
            </w:r>
          </w:p>
        </w:tc>
        <w:tc>
          <w:tcPr>
            <w:tcW w:w="779" w:type="dxa"/>
          </w:tcPr>
          <w:p w14:paraId="289BCEBC" w14:textId="77777777" w:rsidR="007E0ABC" w:rsidRPr="00E36B1E" w:rsidRDefault="007E0ABC" w:rsidP="00D75B62">
            <w:pPr>
              <w:spacing w:line="276" w:lineRule="auto"/>
              <w:rPr>
                <w:sz w:val="18"/>
                <w:szCs w:val="18"/>
                <w:lang w:val="en-US"/>
              </w:rPr>
            </w:pPr>
            <w:r w:rsidRPr="00E36B1E">
              <w:rPr>
                <w:sz w:val="18"/>
                <w:szCs w:val="18"/>
                <w:lang w:val="en-US"/>
              </w:rPr>
              <w:t>54</w:t>
            </w:r>
          </w:p>
        </w:tc>
        <w:tc>
          <w:tcPr>
            <w:tcW w:w="780" w:type="dxa"/>
          </w:tcPr>
          <w:p w14:paraId="7C56BA91" w14:textId="77777777" w:rsidR="007E0ABC" w:rsidRPr="00E36B1E" w:rsidRDefault="007E0ABC" w:rsidP="00D75B62">
            <w:pPr>
              <w:spacing w:line="276" w:lineRule="auto"/>
              <w:rPr>
                <w:sz w:val="18"/>
                <w:szCs w:val="18"/>
                <w:lang w:val="en-US"/>
              </w:rPr>
            </w:pPr>
            <w:r w:rsidRPr="00E36B1E">
              <w:rPr>
                <w:sz w:val="18"/>
                <w:szCs w:val="18"/>
                <w:lang w:val="en-US"/>
              </w:rPr>
              <w:t>12.0</w:t>
            </w:r>
          </w:p>
        </w:tc>
      </w:tr>
      <w:tr w:rsidR="007E0ABC" w:rsidRPr="00E36B1E" w14:paraId="06776986" w14:textId="77777777" w:rsidTr="00D75B62">
        <w:tc>
          <w:tcPr>
            <w:tcW w:w="731" w:type="dxa"/>
          </w:tcPr>
          <w:p w14:paraId="0870EC7E" w14:textId="77777777" w:rsidR="007E0ABC" w:rsidRPr="00E36B1E" w:rsidRDefault="007E0ABC" w:rsidP="00D75B62">
            <w:pPr>
              <w:spacing w:line="276" w:lineRule="auto"/>
              <w:rPr>
                <w:sz w:val="18"/>
                <w:szCs w:val="18"/>
              </w:rPr>
            </w:pPr>
            <w:r w:rsidRPr="00E36B1E">
              <w:rPr>
                <w:sz w:val="18"/>
                <w:szCs w:val="18"/>
              </w:rPr>
              <w:t>2</w:t>
            </w:r>
          </w:p>
        </w:tc>
        <w:tc>
          <w:tcPr>
            <w:tcW w:w="6143" w:type="dxa"/>
          </w:tcPr>
          <w:p w14:paraId="6F2D452F" w14:textId="77777777" w:rsidR="007E0ABC" w:rsidRPr="00E36B1E" w:rsidRDefault="007E0ABC" w:rsidP="00D75B62">
            <w:pPr>
              <w:spacing w:line="276" w:lineRule="auto"/>
              <w:rPr>
                <w:sz w:val="18"/>
                <w:szCs w:val="18"/>
                <w:lang w:val="en-US"/>
              </w:rPr>
            </w:pPr>
            <w:r w:rsidRPr="00E36B1E">
              <w:rPr>
                <w:sz w:val="18"/>
                <w:szCs w:val="18"/>
                <w:lang w:val="en-US"/>
              </w:rPr>
              <w:t>I can manage limitations related to my illness in my daily life.</w:t>
            </w:r>
          </w:p>
        </w:tc>
        <w:tc>
          <w:tcPr>
            <w:tcW w:w="921" w:type="dxa"/>
          </w:tcPr>
          <w:p w14:paraId="36C40ABF" w14:textId="77777777" w:rsidR="007E0ABC" w:rsidRPr="00E36B1E" w:rsidRDefault="007E0ABC" w:rsidP="00D75B62">
            <w:pPr>
              <w:spacing w:line="276" w:lineRule="auto"/>
              <w:rPr>
                <w:sz w:val="18"/>
                <w:szCs w:val="18"/>
                <w:lang w:val="en-US"/>
              </w:rPr>
            </w:pPr>
            <w:r w:rsidRPr="00E36B1E">
              <w:rPr>
                <w:sz w:val="18"/>
                <w:szCs w:val="18"/>
                <w:lang w:val="en-US"/>
              </w:rPr>
              <w:t>81</w:t>
            </w:r>
          </w:p>
        </w:tc>
        <w:tc>
          <w:tcPr>
            <w:tcW w:w="922" w:type="dxa"/>
          </w:tcPr>
          <w:p w14:paraId="19DCFFCE" w14:textId="77777777" w:rsidR="007E0ABC" w:rsidRPr="00E36B1E" w:rsidRDefault="007E0ABC" w:rsidP="00D75B62">
            <w:pPr>
              <w:spacing w:line="276" w:lineRule="auto"/>
              <w:rPr>
                <w:sz w:val="18"/>
                <w:szCs w:val="18"/>
                <w:lang w:val="en-US"/>
              </w:rPr>
            </w:pPr>
            <w:r w:rsidRPr="00E36B1E">
              <w:rPr>
                <w:sz w:val="18"/>
                <w:szCs w:val="18"/>
                <w:lang w:val="en-US"/>
              </w:rPr>
              <w:t>18.0</w:t>
            </w:r>
          </w:p>
        </w:tc>
        <w:tc>
          <w:tcPr>
            <w:tcW w:w="779" w:type="dxa"/>
          </w:tcPr>
          <w:p w14:paraId="4E4E4113" w14:textId="77777777" w:rsidR="007E0ABC" w:rsidRPr="00E36B1E" w:rsidRDefault="007E0ABC" w:rsidP="00D75B62">
            <w:pPr>
              <w:spacing w:line="276" w:lineRule="auto"/>
              <w:rPr>
                <w:sz w:val="18"/>
                <w:szCs w:val="18"/>
                <w:lang w:val="en-US"/>
              </w:rPr>
            </w:pPr>
            <w:r w:rsidRPr="00E36B1E">
              <w:rPr>
                <w:sz w:val="18"/>
                <w:szCs w:val="18"/>
                <w:lang w:val="en-US"/>
              </w:rPr>
              <w:t>43</w:t>
            </w:r>
          </w:p>
        </w:tc>
        <w:tc>
          <w:tcPr>
            <w:tcW w:w="780" w:type="dxa"/>
          </w:tcPr>
          <w:p w14:paraId="2B235B6F" w14:textId="77777777" w:rsidR="007E0ABC" w:rsidRPr="00E36B1E" w:rsidRDefault="007E0ABC" w:rsidP="00D75B62">
            <w:pPr>
              <w:spacing w:line="276" w:lineRule="auto"/>
              <w:rPr>
                <w:sz w:val="18"/>
                <w:szCs w:val="18"/>
                <w:lang w:val="en-US"/>
              </w:rPr>
            </w:pPr>
            <w:r w:rsidRPr="00E36B1E">
              <w:rPr>
                <w:sz w:val="18"/>
                <w:szCs w:val="18"/>
                <w:lang w:val="en-US"/>
              </w:rPr>
              <w:t>9.6</w:t>
            </w:r>
          </w:p>
        </w:tc>
      </w:tr>
      <w:tr w:rsidR="007E0ABC" w:rsidRPr="00E36B1E" w14:paraId="6E324360" w14:textId="77777777" w:rsidTr="00D75B62">
        <w:tc>
          <w:tcPr>
            <w:tcW w:w="731" w:type="dxa"/>
          </w:tcPr>
          <w:p w14:paraId="2E17F600" w14:textId="77777777" w:rsidR="007E0ABC" w:rsidRPr="00E36B1E" w:rsidRDefault="007E0ABC" w:rsidP="00D75B62">
            <w:pPr>
              <w:spacing w:line="276" w:lineRule="auto"/>
              <w:rPr>
                <w:sz w:val="18"/>
                <w:szCs w:val="18"/>
              </w:rPr>
            </w:pPr>
            <w:r w:rsidRPr="00E36B1E">
              <w:rPr>
                <w:sz w:val="18"/>
                <w:szCs w:val="18"/>
              </w:rPr>
              <w:t>3</w:t>
            </w:r>
          </w:p>
        </w:tc>
        <w:tc>
          <w:tcPr>
            <w:tcW w:w="6143" w:type="dxa"/>
          </w:tcPr>
          <w:p w14:paraId="684519F1" w14:textId="77777777" w:rsidR="007E0ABC" w:rsidRPr="00E36B1E" w:rsidRDefault="007E0ABC" w:rsidP="00D75B62">
            <w:pPr>
              <w:spacing w:line="276" w:lineRule="auto"/>
              <w:rPr>
                <w:sz w:val="18"/>
                <w:szCs w:val="18"/>
                <w:lang w:val="en-US"/>
              </w:rPr>
            </w:pPr>
            <w:r w:rsidRPr="00E36B1E">
              <w:rPr>
                <w:sz w:val="18"/>
                <w:szCs w:val="18"/>
                <w:lang w:val="en-US"/>
              </w:rPr>
              <w:t xml:space="preserve">In difficult situations, I can do something that helps me.  </w:t>
            </w:r>
          </w:p>
        </w:tc>
        <w:tc>
          <w:tcPr>
            <w:tcW w:w="921" w:type="dxa"/>
          </w:tcPr>
          <w:p w14:paraId="3E011861" w14:textId="77777777" w:rsidR="007E0ABC" w:rsidRPr="00E36B1E" w:rsidRDefault="007E0ABC" w:rsidP="00D75B62">
            <w:pPr>
              <w:spacing w:line="276" w:lineRule="auto"/>
              <w:rPr>
                <w:sz w:val="18"/>
                <w:szCs w:val="18"/>
                <w:lang w:val="en-US"/>
              </w:rPr>
            </w:pPr>
            <w:r w:rsidRPr="00E36B1E">
              <w:rPr>
                <w:sz w:val="18"/>
                <w:szCs w:val="18"/>
                <w:lang w:val="en-US"/>
              </w:rPr>
              <w:t>104</w:t>
            </w:r>
          </w:p>
        </w:tc>
        <w:tc>
          <w:tcPr>
            <w:tcW w:w="922" w:type="dxa"/>
          </w:tcPr>
          <w:p w14:paraId="4B11154F" w14:textId="77777777" w:rsidR="007E0ABC" w:rsidRPr="00E36B1E" w:rsidRDefault="007E0ABC" w:rsidP="00D75B62">
            <w:pPr>
              <w:spacing w:line="276" w:lineRule="auto"/>
              <w:rPr>
                <w:sz w:val="18"/>
                <w:szCs w:val="18"/>
                <w:lang w:val="en-US"/>
              </w:rPr>
            </w:pPr>
            <w:r w:rsidRPr="00E36B1E">
              <w:rPr>
                <w:sz w:val="18"/>
                <w:szCs w:val="18"/>
                <w:lang w:val="en-US"/>
              </w:rPr>
              <w:t>23.1</w:t>
            </w:r>
          </w:p>
        </w:tc>
        <w:tc>
          <w:tcPr>
            <w:tcW w:w="779" w:type="dxa"/>
          </w:tcPr>
          <w:p w14:paraId="696B49E5" w14:textId="77777777" w:rsidR="007E0ABC" w:rsidRPr="00E36B1E" w:rsidRDefault="007E0ABC" w:rsidP="00D75B62">
            <w:pPr>
              <w:spacing w:line="276" w:lineRule="auto"/>
              <w:rPr>
                <w:sz w:val="18"/>
                <w:szCs w:val="18"/>
                <w:lang w:val="en-US"/>
              </w:rPr>
            </w:pPr>
            <w:r w:rsidRPr="00E36B1E">
              <w:rPr>
                <w:sz w:val="18"/>
                <w:szCs w:val="18"/>
                <w:lang w:val="en-US"/>
              </w:rPr>
              <w:t>40</w:t>
            </w:r>
          </w:p>
        </w:tc>
        <w:tc>
          <w:tcPr>
            <w:tcW w:w="780" w:type="dxa"/>
          </w:tcPr>
          <w:p w14:paraId="53FEB9FF" w14:textId="77777777" w:rsidR="007E0ABC" w:rsidRPr="00E36B1E" w:rsidRDefault="007E0ABC" w:rsidP="00D75B62">
            <w:pPr>
              <w:spacing w:line="276" w:lineRule="auto"/>
              <w:rPr>
                <w:sz w:val="18"/>
                <w:szCs w:val="18"/>
                <w:lang w:val="en-US"/>
              </w:rPr>
            </w:pPr>
            <w:r w:rsidRPr="00E36B1E">
              <w:rPr>
                <w:sz w:val="18"/>
                <w:szCs w:val="18"/>
                <w:lang w:val="en-US"/>
              </w:rPr>
              <w:t>8.9</w:t>
            </w:r>
          </w:p>
        </w:tc>
      </w:tr>
      <w:tr w:rsidR="007E0ABC" w:rsidRPr="00E36B1E" w14:paraId="09962262" w14:textId="77777777" w:rsidTr="00D75B62">
        <w:tc>
          <w:tcPr>
            <w:tcW w:w="731" w:type="dxa"/>
          </w:tcPr>
          <w:p w14:paraId="194FAE9E" w14:textId="77777777" w:rsidR="007E0ABC" w:rsidRPr="00E36B1E" w:rsidRDefault="007E0ABC" w:rsidP="00D75B62">
            <w:pPr>
              <w:spacing w:line="276" w:lineRule="auto"/>
              <w:rPr>
                <w:sz w:val="18"/>
                <w:szCs w:val="18"/>
              </w:rPr>
            </w:pPr>
            <w:r w:rsidRPr="00E36B1E">
              <w:rPr>
                <w:sz w:val="18"/>
                <w:szCs w:val="18"/>
              </w:rPr>
              <w:t>4</w:t>
            </w:r>
          </w:p>
        </w:tc>
        <w:tc>
          <w:tcPr>
            <w:tcW w:w="6143" w:type="dxa"/>
          </w:tcPr>
          <w:p w14:paraId="20EA96E0" w14:textId="77777777" w:rsidR="007E0ABC" w:rsidRPr="00E36B1E" w:rsidRDefault="007E0ABC" w:rsidP="00D75B62">
            <w:pPr>
              <w:spacing w:line="276" w:lineRule="auto"/>
              <w:rPr>
                <w:sz w:val="18"/>
                <w:szCs w:val="18"/>
                <w:lang w:val="en-US"/>
              </w:rPr>
            </w:pPr>
            <w:r w:rsidRPr="00E36B1E">
              <w:rPr>
                <w:sz w:val="18"/>
                <w:szCs w:val="18"/>
                <w:lang w:val="en-US"/>
              </w:rPr>
              <w:t>I talk openly about how I feel with people who are important to me.</w:t>
            </w:r>
          </w:p>
        </w:tc>
        <w:tc>
          <w:tcPr>
            <w:tcW w:w="921" w:type="dxa"/>
          </w:tcPr>
          <w:p w14:paraId="62AAE10C" w14:textId="77777777" w:rsidR="007E0ABC" w:rsidRPr="00E36B1E" w:rsidRDefault="007E0ABC" w:rsidP="00D75B62">
            <w:pPr>
              <w:spacing w:line="276" w:lineRule="auto"/>
              <w:rPr>
                <w:sz w:val="18"/>
                <w:szCs w:val="18"/>
                <w:lang w:val="en-US"/>
              </w:rPr>
            </w:pPr>
            <w:r w:rsidRPr="00E36B1E">
              <w:rPr>
                <w:sz w:val="18"/>
                <w:szCs w:val="18"/>
                <w:lang w:val="en-US"/>
              </w:rPr>
              <w:t>126</w:t>
            </w:r>
          </w:p>
        </w:tc>
        <w:tc>
          <w:tcPr>
            <w:tcW w:w="922" w:type="dxa"/>
          </w:tcPr>
          <w:p w14:paraId="508862C0" w14:textId="77777777" w:rsidR="007E0ABC" w:rsidRPr="00E36B1E" w:rsidRDefault="007E0ABC" w:rsidP="00D75B62">
            <w:pPr>
              <w:spacing w:line="276" w:lineRule="auto"/>
              <w:rPr>
                <w:sz w:val="18"/>
                <w:szCs w:val="18"/>
                <w:lang w:val="en-US"/>
              </w:rPr>
            </w:pPr>
            <w:r w:rsidRPr="00E36B1E">
              <w:rPr>
                <w:sz w:val="18"/>
                <w:szCs w:val="18"/>
                <w:lang w:val="en-US"/>
              </w:rPr>
              <w:t>28.0</w:t>
            </w:r>
          </w:p>
        </w:tc>
        <w:tc>
          <w:tcPr>
            <w:tcW w:w="779" w:type="dxa"/>
          </w:tcPr>
          <w:p w14:paraId="1B412DFA" w14:textId="77777777" w:rsidR="007E0ABC" w:rsidRPr="00E36B1E" w:rsidRDefault="007E0ABC" w:rsidP="00D75B62">
            <w:pPr>
              <w:spacing w:line="276" w:lineRule="auto"/>
              <w:rPr>
                <w:sz w:val="18"/>
                <w:szCs w:val="18"/>
                <w:lang w:val="en-US"/>
              </w:rPr>
            </w:pPr>
            <w:r w:rsidRPr="00E36B1E">
              <w:rPr>
                <w:sz w:val="18"/>
                <w:szCs w:val="18"/>
                <w:lang w:val="en-US"/>
              </w:rPr>
              <w:t>124</w:t>
            </w:r>
          </w:p>
        </w:tc>
        <w:tc>
          <w:tcPr>
            <w:tcW w:w="780" w:type="dxa"/>
          </w:tcPr>
          <w:p w14:paraId="2E8D9B93" w14:textId="77777777" w:rsidR="007E0ABC" w:rsidRPr="00E36B1E" w:rsidRDefault="007E0ABC" w:rsidP="00D75B62">
            <w:pPr>
              <w:spacing w:line="276" w:lineRule="auto"/>
              <w:rPr>
                <w:sz w:val="18"/>
                <w:szCs w:val="18"/>
                <w:lang w:val="en-US"/>
              </w:rPr>
            </w:pPr>
            <w:r w:rsidRPr="00E36B1E">
              <w:rPr>
                <w:sz w:val="18"/>
                <w:szCs w:val="18"/>
                <w:lang w:val="en-US"/>
              </w:rPr>
              <w:t>27.6</w:t>
            </w:r>
          </w:p>
        </w:tc>
      </w:tr>
      <w:tr w:rsidR="007E0ABC" w:rsidRPr="00E36B1E" w14:paraId="4AD14DB8" w14:textId="77777777" w:rsidTr="00D75B62">
        <w:tc>
          <w:tcPr>
            <w:tcW w:w="731" w:type="dxa"/>
          </w:tcPr>
          <w:p w14:paraId="5FB1C41E" w14:textId="77777777" w:rsidR="007E0ABC" w:rsidRPr="00E36B1E" w:rsidRDefault="007E0ABC" w:rsidP="00D75B62">
            <w:pPr>
              <w:spacing w:line="276" w:lineRule="auto"/>
              <w:rPr>
                <w:sz w:val="18"/>
                <w:szCs w:val="18"/>
              </w:rPr>
            </w:pPr>
            <w:r w:rsidRPr="00E36B1E">
              <w:rPr>
                <w:sz w:val="18"/>
                <w:szCs w:val="18"/>
              </w:rPr>
              <w:t>5</w:t>
            </w:r>
          </w:p>
        </w:tc>
        <w:tc>
          <w:tcPr>
            <w:tcW w:w="6143" w:type="dxa"/>
          </w:tcPr>
          <w:p w14:paraId="41BDADC8" w14:textId="77777777" w:rsidR="007E0ABC" w:rsidRPr="00E36B1E" w:rsidRDefault="007E0ABC" w:rsidP="00D75B62">
            <w:pPr>
              <w:spacing w:line="276" w:lineRule="auto"/>
              <w:rPr>
                <w:sz w:val="18"/>
                <w:szCs w:val="18"/>
                <w:lang w:val="en-US"/>
              </w:rPr>
            </w:pPr>
            <w:r w:rsidRPr="00E36B1E">
              <w:rPr>
                <w:sz w:val="18"/>
                <w:szCs w:val="18"/>
                <w:lang w:val="en-US"/>
              </w:rPr>
              <w:t xml:space="preserve">I am aware of my own needs and wishes. </w:t>
            </w:r>
          </w:p>
        </w:tc>
        <w:tc>
          <w:tcPr>
            <w:tcW w:w="921" w:type="dxa"/>
          </w:tcPr>
          <w:p w14:paraId="24C0A74D" w14:textId="77777777" w:rsidR="007E0ABC" w:rsidRPr="00E36B1E" w:rsidRDefault="007E0ABC" w:rsidP="00D75B62">
            <w:pPr>
              <w:spacing w:line="276" w:lineRule="auto"/>
              <w:rPr>
                <w:sz w:val="18"/>
                <w:szCs w:val="18"/>
                <w:lang w:val="en-US"/>
              </w:rPr>
            </w:pPr>
            <w:r w:rsidRPr="00E36B1E">
              <w:rPr>
                <w:sz w:val="18"/>
                <w:szCs w:val="18"/>
                <w:lang w:val="en-US"/>
              </w:rPr>
              <w:t>26</w:t>
            </w:r>
          </w:p>
        </w:tc>
        <w:tc>
          <w:tcPr>
            <w:tcW w:w="922" w:type="dxa"/>
          </w:tcPr>
          <w:p w14:paraId="0DDF000E" w14:textId="77777777" w:rsidR="007E0ABC" w:rsidRPr="00E36B1E" w:rsidRDefault="007E0ABC" w:rsidP="00D75B62">
            <w:pPr>
              <w:spacing w:line="276" w:lineRule="auto"/>
              <w:rPr>
                <w:sz w:val="18"/>
                <w:szCs w:val="18"/>
                <w:lang w:val="en-US"/>
              </w:rPr>
            </w:pPr>
            <w:r w:rsidRPr="00E36B1E">
              <w:rPr>
                <w:sz w:val="18"/>
                <w:szCs w:val="18"/>
                <w:lang w:val="en-US"/>
              </w:rPr>
              <w:t>5.8</w:t>
            </w:r>
          </w:p>
        </w:tc>
        <w:tc>
          <w:tcPr>
            <w:tcW w:w="779" w:type="dxa"/>
          </w:tcPr>
          <w:p w14:paraId="3F11CCB6" w14:textId="77777777" w:rsidR="007E0ABC" w:rsidRPr="00E36B1E" w:rsidRDefault="007E0ABC" w:rsidP="00D75B62">
            <w:pPr>
              <w:spacing w:line="276" w:lineRule="auto"/>
              <w:rPr>
                <w:sz w:val="18"/>
                <w:szCs w:val="18"/>
                <w:lang w:val="en-US"/>
              </w:rPr>
            </w:pPr>
            <w:r w:rsidRPr="00E36B1E">
              <w:rPr>
                <w:sz w:val="18"/>
                <w:szCs w:val="18"/>
                <w:lang w:val="en-US"/>
              </w:rPr>
              <w:t>171</w:t>
            </w:r>
          </w:p>
        </w:tc>
        <w:tc>
          <w:tcPr>
            <w:tcW w:w="780" w:type="dxa"/>
          </w:tcPr>
          <w:p w14:paraId="28E741BA" w14:textId="77777777" w:rsidR="007E0ABC" w:rsidRPr="00E36B1E" w:rsidRDefault="007E0ABC" w:rsidP="00D75B62">
            <w:pPr>
              <w:spacing w:line="276" w:lineRule="auto"/>
              <w:rPr>
                <w:sz w:val="18"/>
                <w:szCs w:val="18"/>
                <w:lang w:val="en-US"/>
              </w:rPr>
            </w:pPr>
            <w:r w:rsidRPr="00E36B1E">
              <w:rPr>
                <w:sz w:val="18"/>
                <w:szCs w:val="18"/>
                <w:lang w:val="en-US"/>
              </w:rPr>
              <w:t>38.0</w:t>
            </w:r>
          </w:p>
        </w:tc>
      </w:tr>
      <w:tr w:rsidR="007E0ABC" w:rsidRPr="00E36B1E" w14:paraId="0772B9FC" w14:textId="77777777" w:rsidTr="00D75B62">
        <w:tc>
          <w:tcPr>
            <w:tcW w:w="731" w:type="dxa"/>
          </w:tcPr>
          <w:p w14:paraId="5A9F5AD1" w14:textId="77777777" w:rsidR="007E0ABC" w:rsidRPr="00E36B1E" w:rsidRDefault="007E0ABC" w:rsidP="00D75B62">
            <w:pPr>
              <w:spacing w:line="276" w:lineRule="auto"/>
              <w:rPr>
                <w:sz w:val="18"/>
                <w:szCs w:val="18"/>
              </w:rPr>
            </w:pPr>
            <w:r w:rsidRPr="00E36B1E">
              <w:rPr>
                <w:sz w:val="18"/>
                <w:szCs w:val="18"/>
              </w:rPr>
              <w:t>5.1</w:t>
            </w:r>
          </w:p>
        </w:tc>
        <w:tc>
          <w:tcPr>
            <w:tcW w:w="6143" w:type="dxa"/>
          </w:tcPr>
          <w:p w14:paraId="2E6BEF00" w14:textId="77777777" w:rsidR="007E0ABC" w:rsidRPr="00E36B1E" w:rsidRDefault="007E0ABC" w:rsidP="00D75B62">
            <w:pPr>
              <w:spacing w:line="276" w:lineRule="auto"/>
              <w:rPr>
                <w:sz w:val="18"/>
                <w:szCs w:val="18"/>
                <w:lang w:val="en-US"/>
              </w:rPr>
            </w:pPr>
            <w:r w:rsidRPr="00E36B1E">
              <w:rPr>
                <w:sz w:val="18"/>
                <w:szCs w:val="18"/>
                <w:lang w:val="en-US"/>
              </w:rPr>
              <w:t>I am able to stand up firmly to others about my needs and wishes.</w:t>
            </w:r>
          </w:p>
        </w:tc>
        <w:tc>
          <w:tcPr>
            <w:tcW w:w="921" w:type="dxa"/>
          </w:tcPr>
          <w:p w14:paraId="7DBC9C20" w14:textId="77777777" w:rsidR="007E0ABC" w:rsidRPr="00E36B1E" w:rsidRDefault="007E0ABC" w:rsidP="00D75B62">
            <w:pPr>
              <w:spacing w:line="276" w:lineRule="auto"/>
              <w:rPr>
                <w:sz w:val="18"/>
                <w:szCs w:val="18"/>
                <w:lang w:val="en-US"/>
              </w:rPr>
            </w:pPr>
            <w:r w:rsidRPr="00E36B1E">
              <w:rPr>
                <w:sz w:val="18"/>
                <w:szCs w:val="18"/>
                <w:lang w:val="en-US"/>
              </w:rPr>
              <w:t>107</w:t>
            </w:r>
          </w:p>
        </w:tc>
        <w:tc>
          <w:tcPr>
            <w:tcW w:w="922" w:type="dxa"/>
          </w:tcPr>
          <w:p w14:paraId="47BE829E" w14:textId="77777777" w:rsidR="007E0ABC" w:rsidRPr="00E36B1E" w:rsidRDefault="007E0ABC" w:rsidP="00D75B62">
            <w:pPr>
              <w:spacing w:line="276" w:lineRule="auto"/>
              <w:rPr>
                <w:sz w:val="18"/>
                <w:szCs w:val="18"/>
                <w:lang w:val="en-US"/>
              </w:rPr>
            </w:pPr>
            <w:r w:rsidRPr="00E36B1E">
              <w:rPr>
                <w:sz w:val="18"/>
                <w:szCs w:val="18"/>
                <w:lang w:val="en-US"/>
              </w:rPr>
              <w:t>23.8</w:t>
            </w:r>
          </w:p>
        </w:tc>
        <w:tc>
          <w:tcPr>
            <w:tcW w:w="779" w:type="dxa"/>
          </w:tcPr>
          <w:p w14:paraId="72A5BF23" w14:textId="77777777" w:rsidR="007E0ABC" w:rsidRPr="00E36B1E" w:rsidRDefault="007E0ABC" w:rsidP="00D75B62">
            <w:pPr>
              <w:spacing w:line="276" w:lineRule="auto"/>
              <w:rPr>
                <w:sz w:val="18"/>
                <w:szCs w:val="18"/>
                <w:lang w:val="en-US"/>
              </w:rPr>
            </w:pPr>
            <w:r w:rsidRPr="00E36B1E">
              <w:rPr>
                <w:sz w:val="18"/>
                <w:szCs w:val="18"/>
                <w:lang w:val="en-US"/>
              </w:rPr>
              <w:t>95</w:t>
            </w:r>
          </w:p>
        </w:tc>
        <w:tc>
          <w:tcPr>
            <w:tcW w:w="780" w:type="dxa"/>
          </w:tcPr>
          <w:p w14:paraId="5BA29674" w14:textId="77777777" w:rsidR="007E0ABC" w:rsidRPr="00E36B1E" w:rsidRDefault="007E0ABC" w:rsidP="00D75B62">
            <w:pPr>
              <w:spacing w:line="276" w:lineRule="auto"/>
              <w:rPr>
                <w:sz w:val="18"/>
                <w:szCs w:val="18"/>
                <w:lang w:val="en-US"/>
              </w:rPr>
            </w:pPr>
            <w:r w:rsidRPr="00E36B1E">
              <w:rPr>
                <w:sz w:val="18"/>
                <w:szCs w:val="18"/>
                <w:lang w:val="en-US"/>
              </w:rPr>
              <w:t>21.1</w:t>
            </w:r>
          </w:p>
        </w:tc>
      </w:tr>
      <w:tr w:rsidR="007E0ABC" w:rsidRPr="00E36B1E" w14:paraId="0E3DE400" w14:textId="77777777" w:rsidTr="00D75B62">
        <w:tc>
          <w:tcPr>
            <w:tcW w:w="731" w:type="dxa"/>
          </w:tcPr>
          <w:p w14:paraId="5755A3DB" w14:textId="77777777" w:rsidR="007E0ABC" w:rsidRPr="00E36B1E" w:rsidRDefault="007E0ABC" w:rsidP="00D75B62">
            <w:pPr>
              <w:spacing w:line="276" w:lineRule="auto"/>
              <w:rPr>
                <w:sz w:val="18"/>
                <w:szCs w:val="18"/>
              </w:rPr>
            </w:pPr>
            <w:r w:rsidRPr="00E36B1E">
              <w:rPr>
                <w:sz w:val="18"/>
                <w:szCs w:val="18"/>
              </w:rPr>
              <w:t>6</w:t>
            </w:r>
          </w:p>
        </w:tc>
        <w:tc>
          <w:tcPr>
            <w:tcW w:w="6143" w:type="dxa"/>
          </w:tcPr>
          <w:p w14:paraId="0B7BE1F4" w14:textId="77777777" w:rsidR="007E0ABC" w:rsidRPr="00E36B1E" w:rsidRDefault="007E0ABC" w:rsidP="00D75B62">
            <w:pPr>
              <w:spacing w:line="276" w:lineRule="auto"/>
              <w:rPr>
                <w:sz w:val="18"/>
                <w:szCs w:val="18"/>
                <w:lang w:val="en-US"/>
              </w:rPr>
            </w:pPr>
            <w:r w:rsidRPr="00E36B1E">
              <w:rPr>
                <w:sz w:val="18"/>
                <w:szCs w:val="18"/>
                <w:lang w:val="en-US"/>
              </w:rPr>
              <w:t>I talk openly about my illness with people who are important to me.</w:t>
            </w:r>
          </w:p>
        </w:tc>
        <w:tc>
          <w:tcPr>
            <w:tcW w:w="921" w:type="dxa"/>
          </w:tcPr>
          <w:p w14:paraId="2A97F581" w14:textId="77777777" w:rsidR="007E0ABC" w:rsidRPr="00E36B1E" w:rsidRDefault="007E0ABC" w:rsidP="00D75B62">
            <w:pPr>
              <w:spacing w:line="276" w:lineRule="auto"/>
              <w:rPr>
                <w:sz w:val="18"/>
                <w:szCs w:val="18"/>
                <w:lang w:val="en-US"/>
              </w:rPr>
            </w:pPr>
            <w:r w:rsidRPr="00E36B1E">
              <w:rPr>
                <w:sz w:val="18"/>
                <w:szCs w:val="18"/>
                <w:lang w:val="en-US"/>
              </w:rPr>
              <w:t>78</w:t>
            </w:r>
          </w:p>
        </w:tc>
        <w:tc>
          <w:tcPr>
            <w:tcW w:w="922" w:type="dxa"/>
          </w:tcPr>
          <w:p w14:paraId="22B2219E" w14:textId="77777777" w:rsidR="007E0ABC" w:rsidRPr="00E36B1E" w:rsidRDefault="007E0ABC" w:rsidP="00D75B62">
            <w:pPr>
              <w:spacing w:line="276" w:lineRule="auto"/>
              <w:rPr>
                <w:sz w:val="18"/>
                <w:szCs w:val="18"/>
                <w:lang w:val="en-US"/>
              </w:rPr>
            </w:pPr>
            <w:r w:rsidRPr="00E36B1E">
              <w:rPr>
                <w:sz w:val="18"/>
                <w:szCs w:val="18"/>
                <w:lang w:val="en-US"/>
              </w:rPr>
              <w:t>17.3</w:t>
            </w:r>
          </w:p>
        </w:tc>
        <w:tc>
          <w:tcPr>
            <w:tcW w:w="779" w:type="dxa"/>
          </w:tcPr>
          <w:p w14:paraId="26C07661" w14:textId="77777777" w:rsidR="007E0ABC" w:rsidRPr="00E36B1E" w:rsidRDefault="007E0ABC" w:rsidP="00D75B62">
            <w:pPr>
              <w:spacing w:line="276" w:lineRule="auto"/>
              <w:rPr>
                <w:sz w:val="18"/>
                <w:szCs w:val="18"/>
                <w:lang w:val="en-US"/>
              </w:rPr>
            </w:pPr>
            <w:r w:rsidRPr="00E36B1E">
              <w:rPr>
                <w:sz w:val="18"/>
                <w:szCs w:val="18"/>
                <w:lang w:val="en-US"/>
              </w:rPr>
              <w:t>144</w:t>
            </w:r>
          </w:p>
        </w:tc>
        <w:tc>
          <w:tcPr>
            <w:tcW w:w="780" w:type="dxa"/>
          </w:tcPr>
          <w:p w14:paraId="408A21C2" w14:textId="77777777" w:rsidR="007E0ABC" w:rsidRPr="00E36B1E" w:rsidRDefault="007E0ABC" w:rsidP="00D75B62">
            <w:pPr>
              <w:spacing w:line="276" w:lineRule="auto"/>
              <w:rPr>
                <w:sz w:val="18"/>
                <w:szCs w:val="18"/>
                <w:lang w:val="en-US"/>
              </w:rPr>
            </w:pPr>
            <w:r w:rsidRPr="00E36B1E">
              <w:rPr>
                <w:sz w:val="18"/>
                <w:szCs w:val="18"/>
                <w:lang w:val="en-US"/>
              </w:rPr>
              <w:t>32.0</w:t>
            </w:r>
          </w:p>
        </w:tc>
      </w:tr>
      <w:tr w:rsidR="007E0ABC" w:rsidRPr="00E36B1E" w14:paraId="7D6D093F" w14:textId="77777777" w:rsidTr="00D75B62">
        <w:tc>
          <w:tcPr>
            <w:tcW w:w="731" w:type="dxa"/>
          </w:tcPr>
          <w:p w14:paraId="77608347" w14:textId="77777777" w:rsidR="007E0ABC" w:rsidRPr="00E36B1E" w:rsidRDefault="007E0ABC" w:rsidP="00D75B62">
            <w:pPr>
              <w:spacing w:line="276" w:lineRule="auto"/>
              <w:rPr>
                <w:sz w:val="18"/>
                <w:szCs w:val="18"/>
              </w:rPr>
            </w:pPr>
            <w:r w:rsidRPr="00E36B1E">
              <w:rPr>
                <w:sz w:val="18"/>
                <w:szCs w:val="18"/>
              </w:rPr>
              <w:t>7</w:t>
            </w:r>
          </w:p>
        </w:tc>
        <w:tc>
          <w:tcPr>
            <w:tcW w:w="6143" w:type="dxa"/>
          </w:tcPr>
          <w:p w14:paraId="4C992C3C" w14:textId="77777777" w:rsidR="007E0ABC" w:rsidRPr="00E36B1E" w:rsidRDefault="007E0ABC" w:rsidP="00D75B62">
            <w:pPr>
              <w:spacing w:line="276" w:lineRule="auto"/>
              <w:rPr>
                <w:sz w:val="18"/>
                <w:szCs w:val="18"/>
                <w:lang w:val="en-US"/>
              </w:rPr>
            </w:pPr>
            <w:r w:rsidRPr="00E36B1E">
              <w:rPr>
                <w:sz w:val="18"/>
                <w:szCs w:val="18"/>
                <w:lang w:val="en-US"/>
              </w:rPr>
              <w:t>I have informed people who I see regularly how to help me when I am struggling with my illness.</w:t>
            </w:r>
          </w:p>
        </w:tc>
        <w:tc>
          <w:tcPr>
            <w:tcW w:w="921" w:type="dxa"/>
          </w:tcPr>
          <w:p w14:paraId="2B42D3F0" w14:textId="77777777" w:rsidR="007E0ABC" w:rsidRPr="00E36B1E" w:rsidRDefault="007E0ABC" w:rsidP="00D75B62">
            <w:pPr>
              <w:spacing w:line="276" w:lineRule="auto"/>
              <w:rPr>
                <w:sz w:val="18"/>
                <w:szCs w:val="18"/>
                <w:lang w:val="en-US"/>
              </w:rPr>
            </w:pPr>
            <w:r w:rsidRPr="00E36B1E">
              <w:rPr>
                <w:sz w:val="18"/>
                <w:szCs w:val="18"/>
                <w:lang w:val="en-US"/>
              </w:rPr>
              <w:t>84</w:t>
            </w:r>
          </w:p>
        </w:tc>
        <w:tc>
          <w:tcPr>
            <w:tcW w:w="922" w:type="dxa"/>
          </w:tcPr>
          <w:p w14:paraId="3DC9655F" w14:textId="77777777" w:rsidR="007E0ABC" w:rsidRPr="00E36B1E" w:rsidRDefault="007E0ABC" w:rsidP="00D75B62">
            <w:pPr>
              <w:spacing w:line="276" w:lineRule="auto"/>
              <w:rPr>
                <w:sz w:val="18"/>
                <w:szCs w:val="18"/>
                <w:lang w:val="en-US"/>
              </w:rPr>
            </w:pPr>
            <w:r w:rsidRPr="00E36B1E">
              <w:rPr>
                <w:sz w:val="18"/>
                <w:szCs w:val="18"/>
                <w:lang w:val="en-US"/>
              </w:rPr>
              <w:t>18.7</w:t>
            </w:r>
          </w:p>
        </w:tc>
        <w:tc>
          <w:tcPr>
            <w:tcW w:w="779" w:type="dxa"/>
          </w:tcPr>
          <w:p w14:paraId="7242B66A" w14:textId="77777777" w:rsidR="007E0ABC" w:rsidRPr="00E36B1E" w:rsidRDefault="007E0ABC" w:rsidP="00D75B62">
            <w:pPr>
              <w:spacing w:line="276" w:lineRule="auto"/>
              <w:rPr>
                <w:sz w:val="18"/>
                <w:szCs w:val="18"/>
                <w:lang w:val="en-US"/>
              </w:rPr>
            </w:pPr>
            <w:r w:rsidRPr="00E36B1E">
              <w:rPr>
                <w:sz w:val="18"/>
                <w:szCs w:val="18"/>
                <w:lang w:val="en-US"/>
              </w:rPr>
              <w:t>120</w:t>
            </w:r>
          </w:p>
        </w:tc>
        <w:tc>
          <w:tcPr>
            <w:tcW w:w="780" w:type="dxa"/>
          </w:tcPr>
          <w:p w14:paraId="045CF699" w14:textId="77777777" w:rsidR="007E0ABC" w:rsidRPr="00E36B1E" w:rsidRDefault="007E0ABC" w:rsidP="00D75B62">
            <w:pPr>
              <w:spacing w:line="276" w:lineRule="auto"/>
              <w:rPr>
                <w:sz w:val="18"/>
                <w:szCs w:val="18"/>
                <w:lang w:val="en-US"/>
              </w:rPr>
            </w:pPr>
            <w:r w:rsidRPr="00E36B1E">
              <w:rPr>
                <w:sz w:val="18"/>
                <w:szCs w:val="18"/>
                <w:lang w:val="en-US"/>
              </w:rPr>
              <w:t>26.7</w:t>
            </w:r>
          </w:p>
        </w:tc>
      </w:tr>
      <w:tr w:rsidR="007E0ABC" w:rsidRPr="00E36B1E" w14:paraId="2CCFBE66" w14:textId="77777777" w:rsidTr="00D75B62">
        <w:tc>
          <w:tcPr>
            <w:tcW w:w="731" w:type="dxa"/>
          </w:tcPr>
          <w:p w14:paraId="5B08A288" w14:textId="77777777" w:rsidR="007E0ABC" w:rsidRPr="00E36B1E" w:rsidRDefault="007E0ABC" w:rsidP="00D75B62">
            <w:pPr>
              <w:spacing w:line="276" w:lineRule="auto"/>
              <w:rPr>
                <w:sz w:val="18"/>
                <w:szCs w:val="18"/>
              </w:rPr>
            </w:pPr>
            <w:r w:rsidRPr="00E36B1E">
              <w:rPr>
                <w:sz w:val="18"/>
                <w:szCs w:val="18"/>
              </w:rPr>
              <w:t>8</w:t>
            </w:r>
          </w:p>
        </w:tc>
        <w:tc>
          <w:tcPr>
            <w:tcW w:w="6143" w:type="dxa"/>
          </w:tcPr>
          <w:p w14:paraId="755023EE" w14:textId="77777777" w:rsidR="007E0ABC" w:rsidRPr="00E36B1E" w:rsidRDefault="007E0ABC" w:rsidP="00D75B62">
            <w:pPr>
              <w:spacing w:line="276" w:lineRule="auto"/>
              <w:rPr>
                <w:sz w:val="18"/>
                <w:szCs w:val="18"/>
                <w:lang w:val="en-US"/>
              </w:rPr>
            </w:pPr>
            <w:r w:rsidRPr="00E36B1E">
              <w:rPr>
                <w:sz w:val="18"/>
                <w:szCs w:val="18"/>
                <w:lang w:val="en-US"/>
              </w:rPr>
              <w:t>In some situations, I am confused about how I feel.</w:t>
            </w:r>
          </w:p>
        </w:tc>
        <w:tc>
          <w:tcPr>
            <w:tcW w:w="921" w:type="dxa"/>
          </w:tcPr>
          <w:p w14:paraId="1E7F4A37" w14:textId="77777777" w:rsidR="007E0ABC" w:rsidRPr="00E36B1E" w:rsidRDefault="007E0ABC" w:rsidP="00D75B62">
            <w:pPr>
              <w:spacing w:line="276" w:lineRule="auto"/>
              <w:rPr>
                <w:sz w:val="18"/>
                <w:szCs w:val="18"/>
                <w:lang w:val="en-US"/>
              </w:rPr>
            </w:pPr>
            <w:r w:rsidRPr="00E36B1E">
              <w:rPr>
                <w:sz w:val="18"/>
                <w:szCs w:val="18"/>
                <w:lang w:val="en-US"/>
              </w:rPr>
              <w:t>211</w:t>
            </w:r>
          </w:p>
        </w:tc>
        <w:tc>
          <w:tcPr>
            <w:tcW w:w="922" w:type="dxa"/>
          </w:tcPr>
          <w:p w14:paraId="144ED110" w14:textId="77777777" w:rsidR="007E0ABC" w:rsidRPr="00E36B1E" w:rsidRDefault="007E0ABC" w:rsidP="00D75B62">
            <w:pPr>
              <w:spacing w:line="276" w:lineRule="auto"/>
              <w:rPr>
                <w:sz w:val="18"/>
                <w:szCs w:val="18"/>
                <w:lang w:val="en-US"/>
              </w:rPr>
            </w:pPr>
            <w:r w:rsidRPr="00E36B1E">
              <w:rPr>
                <w:sz w:val="18"/>
                <w:szCs w:val="18"/>
                <w:lang w:val="en-US"/>
              </w:rPr>
              <w:t>46.9</w:t>
            </w:r>
          </w:p>
        </w:tc>
        <w:tc>
          <w:tcPr>
            <w:tcW w:w="779" w:type="dxa"/>
          </w:tcPr>
          <w:p w14:paraId="2EB70551" w14:textId="77777777" w:rsidR="007E0ABC" w:rsidRPr="00E36B1E" w:rsidRDefault="007E0ABC" w:rsidP="00D75B62">
            <w:pPr>
              <w:spacing w:line="276" w:lineRule="auto"/>
              <w:rPr>
                <w:sz w:val="18"/>
                <w:szCs w:val="18"/>
                <w:lang w:val="en-US"/>
              </w:rPr>
            </w:pPr>
            <w:r w:rsidRPr="00E36B1E">
              <w:rPr>
                <w:sz w:val="18"/>
                <w:szCs w:val="18"/>
                <w:lang w:val="en-US"/>
              </w:rPr>
              <w:t>56</w:t>
            </w:r>
          </w:p>
        </w:tc>
        <w:tc>
          <w:tcPr>
            <w:tcW w:w="780" w:type="dxa"/>
          </w:tcPr>
          <w:p w14:paraId="3E53B83C" w14:textId="77777777" w:rsidR="007E0ABC" w:rsidRPr="00E36B1E" w:rsidRDefault="007E0ABC" w:rsidP="00D75B62">
            <w:pPr>
              <w:spacing w:line="276" w:lineRule="auto"/>
              <w:rPr>
                <w:sz w:val="18"/>
                <w:szCs w:val="18"/>
                <w:lang w:val="en-US"/>
              </w:rPr>
            </w:pPr>
            <w:r w:rsidRPr="00E36B1E">
              <w:rPr>
                <w:sz w:val="18"/>
                <w:szCs w:val="18"/>
                <w:lang w:val="en-US"/>
              </w:rPr>
              <w:t>12.4</w:t>
            </w:r>
          </w:p>
        </w:tc>
      </w:tr>
      <w:tr w:rsidR="007E0ABC" w:rsidRPr="00E36B1E" w14:paraId="510944D5" w14:textId="77777777" w:rsidTr="00D75B62">
        <w:tc>
          <w:tcPr>
            <w:tcW w:w="731" w:type="dxa"/>
          </w:tcPr>
          <w:p w14:paraId="38C81869" w14:textId="77777777" w:rsidR="007E0ABC" w:rsidRPr="00E36B1E" w:rsidRDefault="007E0ABC" w:rsidP="00D75B62">
            <w:pPr>
              <w:spacing w:line="276" w:lineRule="auto"/>
              <w:rPr>
                <w:sz w:val="18"/>
                <w:szCs w:val="18"/>
              </w:rPr>
            </w:pPr>
            <w:r w:rsidRPr="00E36B1E">
              <w:rPr>
                <w:sz w:val="18"/>
                <w:szCs w:val="18"/>
              </w:rPr>
              <w:t>9</w:t>
            </w:r>
          </w:p>
        </w:tc>
        <w:tc>
          <w:tcPr>
            <w:tcW w:w="6143" w:type="dxa"/>
          </w:tcPr>
          <w:p w14:paraId="6F5D4750" w14:textId="77777777" w:rsidR="007E0ABC" w:rsidRPr="00E36B1E" w:rsidRDefault="007E0ABC" w:rsidP="00D75B62">
            <w:pPr>
              <w:spacing w:line="276" w:lineRule="auto"/>
              <w:rPr>
                <w:sz w:val="18"/>
                <w:szCs w:val="18"/>
                <w:lang w:val="en-US"/>
              </w:rPr>
            </w:pPr>
            <w:r w:rsidRPr="00E36B1E">
              <w:rPr>
                <w:sz w:val="18"/>
                <w:szCs w:val="18"/>
                <w:lang w:val="en-US"/>
              </w:rPr>
              <w:t>I am able to express how I feel if it is important to me.</w:t>
            </w:r>
          </w:p>
        </w:tc>
        <w:tc>
          <w:tcPr>
            <w:tcW w:w="921" w:type="dxa"/>
          </w:tcPr>
          <w:p w14:paraId="6885B9BA" w14:textId="77777777" w:rsidR="007E0ABC" w:rsidRPr="00E36B1E" w:rsidRDefault="007E0ABC" w:rsidP="00D75B62">
            <w:pPr>
              <w:spacing w:line="276" w:lineRule="auto"/>
              <w:rPr>
                <w:sz w:val="18"/>
                <w:szCs w:val="18"/>
                <w:lang w:val="en-US"/>
              </w:rPr>
            </w:pPr>
            <w:r w:rsidRPr="00E36B1E">
              <w:rPr>
                <w:sz w:val="18"/>
                <w:szCs w:val="18"/>
                <w:lang w:val="en-US"/>
              </w:rPr>
              <w:t>64</w:t>
            </w:r>
          </w:p>
        </w:tc>
        <w:tc>
          <w:tcPr>
            <w:tcW w:w="922" w:type="dxa"/>
          </w:tcPr>
          <w:p w14:paraId="6D330389" w14:textId="77777777" w:rsidR="007E0ABC" w:rsidRPr="00E36B1E" w:rsidRDefault="007E0ABC" w:rsidP="00D75B62">
            <w:pPr>
              <w:spacing w:line="276" w:lineRule="auto"/>
              <w:rPr>
                <w:sz w:val="18"/>
                <w:szCs w:val="18"/>
                <w:lang w:val="en-US"/>
              </w:rPr>
            </w:pPr>
            <w:r w:rsidRPr="00E36B1E">
              <w:rPr>
                <w:sz w:val="18"/>
                <w:szCs w:val="18"/>
                <w:lang w:val="en-US"/>
              </w:rPr>
              <w:t>14.2</w:t>
            </w:r>
          </w:p>
        </w:tc>
        <w:tc>
          <w:tcPr>
            <w:tcW w:w="779" w:type="dxa"/>
          </w:tcPr>
          <w:p w14:paraId="591B9F58" w14:textId="77777777" w:rsidR="007E0ABC" w:rsidRPr="00E36B1E" w:rsidRDefault="007E0ABC" w:rsidP="00D75B62">
            <w:pPr>
              <w:spacing w:line="276" w:lineRule="auto"/>
              <w:rPr>
                <w:sz w:val="18"/>
                <w:szCs w:val="18"/>
                <w:lang w:val="en-US"/>
              </w:rPr>
            </w:pPr>
            <w:r w:rsidRPr="00E36B1E">
              <w:rPr>
                <w:sz w:val="18"/>
                <w:szCs w:val="18"/>
                <w:lang w:val="en-US"/>
              </w:rPr>
              <w:t>111</w:t>
            </w:r>
          </w:p>
        </w:tc>
        <w:tc>
          <w:tcPr>
            <w:tcW w:w="780" w:type="dxa"/>
          </w:tcPr>
          <w:p w14:paraId="13BCE77C" w14:textId="77777777" w:rsidR="007E0ABC" w:rsidRPr="00E36B1E" w:rsidRDefault="007E0ABC" w:rsidP="00D75B62">
            <w:pPr>
              <w:spacing w:line="276" w:lineRule="auto"/>
              <w:rPr>
                <w:sz w:val="18"/>
                <w:szCs w:val="18"/>
                <w:lang w:val="en-US"/>
              </w:rPr>
            </w:pPr>
            <w:r w:rsidRPr="00E36B1E">
              <w:rPr>
                <w:sz w:val="18"/>
                <w:szCs w:val="18"/>
                <w:lang w:val="en-US"/>
              </w:rPr>
              <w:t>24.7</w:t>
            </w:r>
          </w:p>
        </w:tc>
      </w:tr>
      <w:tr w:rsidR="007E0ABC" w:rsidRPr="00E36B1E" w14:paraId="4ABCCAA2" w14:textId="77777777" w:rsidTr="00D75B62">
        <w:tc>
          <w:tcPr>
            <w:tcW w:w="731" w:type="dxa"/>
          </w:tcPr>
          <w:p w14:paraId="6BA26F7A" w14:textId="77777777" w:rsidR="007E0ABC" w:rsidRPr="00E36B1E" w:rsidRDefault="007E0ABC" w:rsidP="00D75B62">
            <w:pPr>
              <w:spacing w:line="276" w:lineRule="auto"/>
              <w:rPr>
                <w:sz w:val="18"/>
                <w:szCs w:val="18"/>
              </w:rPr>
            </w:pPr>
            <w:r w:rsidRPr="00E36B1E">
              <w:rPr>
                <w:sz w:val="18"/>
                <w:szCs w:val="18"/>
              </w:rPr>
              <w:t>10</w:t>
            </w:r>
          </w:p>
        </w:tc>
        <w:tc>
          <w:tcPr>
            <w:tcW w:w="6143" w:type="dxa"/>
          </w:tcPr>
          <w:p w14:paraId="519B7BD4" w14:textId="77777777" w:rsidR="007E0ABC" w:rsidRPr="00E36B1E" w:rsidRDefault="007E0ABC" w:rsidP="00D75B62">
            <w:pPr>
              <w:spacing w:line="276" w:lineRule="auto"/>
              <w:rPr>
                <w:sz w:val="18"/>
                <w:szCs w:val="18"/>
                <w:lang w:val="en-US"/>
              </w:rPr>
            </w:pPr>
            <w:r w:rsidRPr="00E36B1E">
              <w:rPr>
                <w:sz w:val="18"/>
                <w:szCs w:val="18"/>
                <w:lang w:val="en-US"/>
              </w:rPr>
              <w:t>I feel good about myself as I am.</w:t>
            </w:r>
          </w:p>
        </w:tc>
        <w:tc>
          <w:tcPr>
            <w:tcW w:w="921" w:type="dxa"/>
          </w:tcPr>
          <w:p w14:paraId="54EA4C0E" w14:textId="77777777" w:rsidR="007E0ABC" w:rsidRPr="00E36B1E" w:rsidRDefault="007E0ABC" w:rsidP="00D75B62">
            <w:pPr>
              <w:spacing w:line="276" w:lineRule="auto"/>
              <w:rPr>
                <w:sz w:val="18"/>
                <w:szCs w:val="18"/>
                <w:lang w:val="en-US"/>
              </w:rPr>
            </w:pPr>
            <w:r w:rsidRPr="00E36B1E">
              <w:rPr>
                <w:sz w:val="18"/>
                <w:szCs w:val="18"/>
                <w:lang w:val="en-US"/>
              </w:rPr>
              <w:t>269</w:t>
            </w:r>
          </w:p>
        </w:tc>
        <w:tc>
          <w:tcPr>
            <w:tcW w:w="922" w:type="dxa"/>
          </w:tcPr>
          <w:p w14:paraId="3B749F56" w14:textId="77777777" w:rsidR="007E0ABC" w:rsidRPr="00E36B1E" w:rsidRDefault="007E0ABC" w:rsidP="00D75B62">
            <w:pPr>
              <w:spacing w:line="276" w:lineRule="auto"/>
              <w:rPr>
                <w:sz w:val="18"/>
                <w:szCs w:val="18"/>
                <w:lang w:val="en-US"/>
              </w:rPr>
            </w:pPr>
            <w:r w:rsidRPr="00E36B1E">
              <w:rPr>
                <w:sz w:val="18"/>
                <w:szCs w:val="18"/>
                <w:lang w:val="en-US"/>
              </w:rPr>
              <w:t>59.8</w:t>
            </w:r>
          </w:p>
        </w:tc>
        <w:tc>
          <w:tcPr>
            <w:tcW w:w="779" w:type="dxa"/>
          </w:tcPr>
          <w:p w14:paraId="04116F73" w14:textId="77777777" w:rsidR="007E0ABC" w:rsidRPr="00E36B1E" w:rsidRDefault="007E0ABC" w:rsidP="00D75B62">
            <w:pPr>
              <w:spacing w:line="276" w:lineRule="auto"/>
              <w:rPr>
                <w:sz w:val="18"/>
                <w:szCs w:val="18"/>
                <w:lang w:val="en-US"/>
              </w:rPr>
            </w:pPr>
            <w:r w:rsidRPr="00E36B1E">
              <w:rPr>
                <w:sz w:val="18"/>
                <w:szCs w:val="18"/>
                <w:lang w:val="en-US"/>
              </w:rPr>
              <w:t>22</w:t>
            </w:r>
          </w:p>
        </w:tc>
        <w:tc>
          <w:tcPr>
            <w:tcW w:w="780" w:type="dxa"/>
          </w:tcPr>
          <w:p w14:paraId="2BED5403" w14:textId="77777777" w:rsidR="007E0ABC" w:rsidRPr="00E36B1E" w:rsidRDefault="007E0ABC" w:rsidP="00D75B62">
            <w:pPr>
              <w:spacing w:line="276" w:lineRule="auto"/>
              <w:rPr>
                <w:sz w:val="18"/>
                <w:szCs w:val="18"/>
                <w:lang w:val="en-US"/>
              </w:rPr>
            </w:pPr>
            <w:r w:rsidRPr="00E36B1E">
              <w:rPr>
                <w:sz w:val="18"/>
                <w:szCs w:val="18"/>
                <w:lang w:val="en-US"/>
              </w:rPr>
              <w:t>4.9</w:t>
            </w:r>
          </w:p>
        </w:tc>
      </w:tr>
      <w:tr w:rsidR="007E0ABC" w:rsidRPr="00E36B1E" w14:paraId="33C20564" w14:textId="77777777" w:rsidTr="00D75B62">
        <w:tc>
          <w:tcPr>
            <w:tcW w:w="731" w:type="dxa"/>
          </w:tcPr>
          <w:p w14:paraId="47B696FF" w14:textId="77777777" w:rsidR="007E0ABC" w:rsidRPr="00E36B1E" w:rsidRDefault="007E0ABC" w:rsidP="00D75B62">
            <w:pPr>
              <w:spacing w:line="276" w:lineRule="auto"/>
              <w:rPr>
                <w:sz w:val="18"/>
                <w:szCs w:val="18"/>
              </w:rPr>
            </w:pPr>
            <w:r w:rsidRPr="00E36B1E">
              <w:rPr>
                <w:sz w:val="18"/>
                <w:szCs w:val="18"/>
              </w:rPr>
              <w:t>11</w:t>
            </w:r>
          </w:p>
        </w:tc>
        <w:tc>
          <w:tcPr>
            <w:tcW w:w="6143" w:type="dxa"/>
          </w:tcPr>
          <w:p w14:paraId="42CB8EED" w14:textId="77777777" w:rsidR="007E0ABC" w:rsidRPr="00E36B1E" w:rsidRDefault="007E0ABC" w:rsidP="00D75B62">
            <w:pPr>
              <w:spacing w:line="276" w:lineRule="auto"/>
              <w:rPr>
                <w:sz w:val="18"/>
                <w:szCs w:val="18"/>
                <w:lang w:val="en-US"/>
              </w:rPr>
            </w:pPr>
            <w:r w:rsidRPr="00E36B1E">
              <w:rPr>
                <w:sz w:val="18"/>
                <w:szCs w:val="18"/>
                <w:lang w:val="en-US"/>
              </w:rPr>
              <w:t>I bottle up feelings</w:t>
            </w:r>
          </w:p>
        </w:tc>
        <w:tc>
          <w:tcPr>
            <w:tcW w:w="921" w:type="dxa"/>
          </w:tcPr>
          <w:p w14:paraId="1636EF38" w14:textId="77777777" w:rsidR="007E0ABC" w:rsidRPr="00E36B1E" w:rsidRDefault="007E0ABC" w:rsidP="00D75B62">
            <w:pPr>
              <w:spacing w:line="276" w:lineRule="auto"/>
              <w:rPr>
                <w:sz w:val="18"/>
                <w:szCs w:val="18"/>
                <w:lang w:val="en-US"/>
              </w:rPr>
            </w:pPr>
            <w:r w:rsidRPr="00E36B1E">
              <w:rPr>
                <w:sz w:val="18"/>
                <w:szCs w:val="18"/>
                <w:lang w:val="en-US"/>
              </w:rPr>
              <w:t>214</w:t>
            </w:r>
          </w:p>
        </w:tc>
        <w:tc>
          <w:tcPr>
            <w:tcW w:w="922" w:type="dxa"/>
          </w:tcPr>
          <w:p w14:paraId="5483F802" w14:textId="77777777" w:rsidR="007E0ABC" w:rsidRPr="00E36B1E" w:rsidRDefault="007E0ABC" w:rsidP="00D75B62">
            <w:pPr>
              <w:spacing w:line="276" w:lineRule="auto"/>
              <w:rPr>
                <w:sz w:val="18"/>
                <w:szCs w:val="18"/>
                <w:lang w:val="en-US"/>
              </w:rPr>
            </w:pPr>
            <w:r w:rsidRPr="00E36B1E">
              <w:rPr>
                <w:sz w:val="18"/>
                <w:szCs w:val="18"/>
                <w:lang w:val="en-US"/>
              </w:rPr>
              <w:t>47.6</w:t>
            </w:r>
          </w:p>
        </w:tc>
        <w:tc>
          <w:tcPr>
            <w:tcW w:w="779" w:type="dxa"/>
          </w:tcPr>
          <w:p w14:paraId="65CE3533" w14:textId="77777777" w:rsidR="007E0ABC" w:rsidRPr="00E36B1E" w:rsidRDefault="007E0ABC" w:rsidP="00D75B62">
            <w:pPr>
              <w:spacing w:line="276" w:lineRule="auto"/>
              <w:rPr>
                <w:sz w:val="18"/>
                <w:szCs w:val="18"/>
                <w:lang w:val="en-US"/>
              </w:rPr>
            </w:pPr>
            <w:r w:rsidRPr="00E36B1E">
              <w:rPr>
                <w:sz w:val="18"/>
                <w:szCs w:val="18"/>
                <w:lang w:val="en-US"/>
              </w:rPr>
              <w:t>52</w:t>
            </w:r>
          </w:p>
        </w:tc>
        <w:tc>
          <w:tcPr>
            <w:tcW w:w="780" w:type="dxa"/>
          </w:tcPr>
          <w:p w14:paraId="32DBC284" w14:textId="77777777" w:rsidR="007E0ABC" w:rsidRPr="00E36B1E" w:rsidRDefault="007E0ABC" w:rsidP="00D75B62">
            <w:pPr>
              <w:spacing w:line="276" w:lineRule="auto"/>
              <w:rPr>
                <w:sz w:val="18"/>
                <w:szCs w:val="18"/>
                <w:lang w:val="en-US"/>
              </w:rPr>
            </w:pPr>
            <w:r w:rsidRPr="00E36B1E">
              <w:rPr>
                <w:sz w:val="18"/>
                <w:szCs w:val="18"/>
                <w:lang w:val="en-US"/>
              </w:rPr>
              <w:t>11.6</w:t>
            </w:r>
          </w:p>
        </w:tc>
      </w:tr>
      <w:tr w:rsidR="007E0ABC" w:rsidRPr="00E36B1E" w14:paraId="3CA1220D" w14:textId="77777777" w:rsidTr="00D75B62">
        <w:tc>
          <w:tcPr>
            <w:tcW w:w="731" w:type="dxa"/>
          </w:tcPr>
          <w:p w14:paraId="35559316" w14:textId="77777777" w:rsidR="007E0ABC" w:rsidRPr="00E36B1E" w:rsidRDefault="007E0ABC" w:rsidP="00D75B62">
            <w:pPr>
              <w:spacing w:line="276" w:lineRule="auto"/>
              <w:rPr>
                <w:sz w:val="18"/>
                <w:szCs w:val="18"/>
              </w:rPr>
            </w:pPr>
            <w:r w:rsidRPr="00E36B1E">
              <w:rPr>
                <w:sz w:val="18"/>
                <w:szCs w:val="18"/>
              </w:rPr>
              <w:t>12</w:t>
            </w:r>
          </w:p>
        </w:tc>
        <w:tc>
          <w:tcPr>
            <w:tcW w:w="6143" w:type="dxa"/>
          </w:tcPr>
          <w:p w14:paraId="2EF890F4" w14:textId="77777777" w:rsidR="007E0ABC" w:rsidRPr="00E36B1E" w:rsidRDefault="007E0ABC" w:rsidP="00D75B62">
            <w:pPr>
              <w:spacing w:line="276" w:lineRule="auto"/>
              <w:rPr>
                <w:sz w:val="18"/>
                <w:szCs w:val="18"/>
                <w:lang w:val="en-US"/>
              </w:rPr>
            </w:pPr>
            <w:r w:rsidRPr="00E36B1E">
              <w:rPr>
                <w:sz w:val="18"/>
                <w:szCs w:val="18"/>
                <w:lang w:val="en-US"/>
              </w:rPr>
              <w:t>I worry about being a burden to others.</w:t>
            </w:r>
          </w:p>
        </w:tc>
        <w:tc>
          <w:tcPr>
            <w:tcW w:w="921" w:type="dxa"/>
          </w:tcPr>
          <w:p w14:paraId="10DDB1F1" w14:textId="77777777" w:rsidR="007E0ABC" w:rsidRPr="00E36B1E" w:rsidRDefault="007E0ABC" w:rsidP="00D75B62">
            <w:pPr>
              <w:spacing w:line="276" w:lineRule="auto"/>
              <w:rPr>
                <w:sz w:val="18"/>
                <w:szCs w:val="18"/>
                <w:lang w:val="en-US"/>
              </w:rPr>
            </w:pPr>
            <w:r w:rsidRPr="00E36B1E">
              <w:rPr>
                <w:sz w:val="18"/>
                <w:szCs w:val="18"/>
                <w:lang w:val="en-US"/>
              </w:rPr>
              <w:t>295</w:t>
            </w:r>
          </w:p>
        </w:tc>
        <w:tc>
          <w:tcPr>
            <w:tcW w:w="922" w:type="dxa"/>
          </w:tcPr>
          <w:p w14:paraId="2400211A" w14:textId="77777777" w:rsidR="007E0ABC" w:rsidRPr="00E36B1E" w:rsidRDefault="007E0ABC" w:rsidP="00D75B62">
            <w:pPr>
              <w:spacing w:line="276" w:lineRule="auto"/>
              <w:rPr>
                <w:sz w:val="18"/>
                <w:szCs w:val="18"/>
                <w:lang w:val="en-US"/>
              </w:rPr>
            </w:pPr>
            <w:r w:rsidRPr="00E36B1E">
              <w:rPr>
                <w:sz w:val="18"/>
                <w:szCs w:val="18"/>
                <w:lang w:val="en-US"/>
              </w:rPr>
              <w:t>65.6</w:t>
            </w:r>
          </w:p>
        </w:tc>
        <w:tc>
          <w:tcPr>
            <w:tcW w:w="779" w:type="dxa"/>
          </w:tcPr>
          <w:p w14:paraId="34029EEA" w14:textId="77777777" w:rsidR="007E0ABC" w:rsidRPr="00E36B1E" w:rsidRDefault="007E0ABC" w:rsidP="00D75B62">
            <w:pPr>
              <w:spacing w:line="276" w:lineRule="auto"/>
              <w:rPr>
                <w:sz w:val="18"/>
                <w:szCs w:val="18"/>
                <w:lang w:val="en-US"/>
              </w:rPr>
            </w:pPr>
            <w:r w:rsidRPr="00E36B1E">
              <w:rPr>
                <w:sz w:val="18"/>
                <w:szCs w:val="18"/>
                <w:lang w:val="en-US"/>
              </w:rPr>
              <w:t>41</w:t>
            </w:r>
          </w:p>
        </w:tc>
        <w:tc>
          <w:tcPr>
            <w:tcW w:w="780" w:type="dxa"/>
          </w:tcPr>
          <w:p w14:paraId="639740E3" w14:textId="77777777" w:rsidR="007E0ABC" w:rsidRPr="00E36B1E" w:rsidRDefault="007E0ABC" w:rsidP="00D75B62">
            <w:pPr>
              <w:spacing w:line="276" w:lineRule="auto"/>
              <w:rPr>
                <w:sz w:val="18"/>
                <w:szCs w:val="18"/>
                <w:lang w:val="en-US"/>
              </w:rPr>
            </w:pPr>
            <w:r w:rsidRPr="00E36B1E">
              <w:rPr>
                <w:sz w:val="18"/>
                <w:szCs w:val="18"/>
                <w:lang w:val="en-US"/>
              </w:rPr>
              <w:t>9.1</w:t>
            </w:r>
          </w:p>
        </w:tc>
      </w:tr>
      <w:tr w:rsidR="007E0ABC" w:rsidRPr="00E36B1E" w14:paraId="599181F5" w14:textId="77777777" w:rsidTr="00D75B62">
        <w:tc>
          <w:tcPr>
            <w:tcW w:w="731" w:type="dxa"/>
          </w:tcPr>
          <w:p w14:paraId="0CA4218C" w14:textId="77777777" w:rsidR="007E0ABC" w:rsidRPr="00E36B1E" w:rsidRDefault="007E0ABC" w:rsidP="00D75B62">
            <w:pPr>
              <w:spacing w:line="276" w:lineRule="auto"/>
              <w:rPr>
                <w:sz w:val="18"/>
                <w:szCs w:val="18"/>
              </w:rPr>
            </w:pPr>
            <w:r w:rsidRPr="00E36B1E">
              <w:rPr>
                <w:sz w:val="18"/>
                <w:szCs w:val="18"/>
              </w:rPr>
              <w:t>13</w:t>
            </w:r>
          </w:p>
        </w:tc>
        <w:tc>
          <w:tcPr>
            <w:tcW w:w="6143" w:type="dxa"/>
          </w:tcPr>
          <w:p w14:paraId="0FA79CA7" w14:textId="77777777" w:rsidR="007E0ABC" w:rsidRPr="00E36B1E" w:rsidRDefault="007E0ABC" w:rsidP="00D75B62">
            <w:pPr>
              <w:spacing w:line="276" w:lineRule="auto"/>
              <w:rPr>
                <w:sz w:val="18"/>
                <w:szCs w:val="18"/>
                <w:lang w:val="en-US"/>
              </w:rPr>
            </w:pPr>
            <w:r w:rsidRPr="00E36B1E">
              <w:rPr>
                <w:sz w:val="18"/>
                <w:szCs w:val="18"/>
                <w:lang w:val="en-US"/>
              </w:rPr>
              <w:t>I am able to say “no” when others ask me to do things for them that I would rather not do.</w:t>
            </w:r>
          </w:p>
        </w:tc>
        <w:tc>
          <w:tcPr>
            <w:tcW w:w="921" w:type="dxa"/>
          </w:tcPr>
          <w:p w14:paraId="2C316D43" w14:textId="77777777" w:rsidR="007E0ABC" w:rsidRPr="00E36B1E" w:rsidRDefault="007E0ABC" w:rsidP="00D75B62">
            <w:pPr>
              <w:spacing w:line="276" w:lineRule="auto"/>
              <w:rPr>
                <w:sz w:val="18"/>
                <w:szCs w:val="18"/>
                <w:lang w:val="en-US"/>
              </w:rPr>
            </w:pPr>
            <w:r w:rsidRPr="00E36B1E">
              <w:rPr>
                <w:sz w:val="18"/>
                <w:szCs w:val="18"/>
                <w:lang w:val="en-US"/>
              </w:rPr>
              <w:t>103</w:t>
            </w:r>
          </w:p>
        </w:tc>
        <w:tc>
          <w:tcPr>
            <w:tcW w:w="922" w:type="dxa"/>
          </w:tcPr>
          <w:p w14:paraId="7F397ED3" w14:textId="77777777" w:rsidR="007E0ABC" w:rsidRPr="00E36B1E" w:rsidRDefault="007E0ABC" w:rsidP="00D75B62">
            <w:pPr>
              <w:spacing w:line="276" w:lineRule="auto"/>
              <w:rPr>
                <w:sz w:val="18"/>
                <w:szCs w:val="18"/>
                <w:lang w:val="en-US"/>
              </w:rPr>
            </w:pPr>
            <w:r w:rsidRPr="00E36B1E">
              <w:rPr>
                <w:sz w:val="18"/>
                <w:szCs w:val="18"/>
                <w:lang w:val="en-US"/>
              </w:rPr>
              <w:t>22.9</w:t>
            </w:r>
          </w:p>
        </w:tc>
        <w:tc>
          <w:tcPr>
            <w:tcW w:w="779" w:type="dxa"/>
          </w:tcPr>
          <w:p w14:paraId="5BC35C89" w14:textId="77777777" w:rsidR="007E0ABC" w:rsidRPr="00E36B1E" w:rsidRDefault="007E0ABC" w:rsidP="00D75B62">
            <w:pPr>
              <w:spacing w:line="276" w:lineRule="auto"/>
              <w:rPr>
                <w:sz w:val="18"/>
                <w:szCs w:val="18"/>
                <w:lang w:val="en-US"/>
              </w:rPr>
            </w:pPr>
            <w:r w:rsidRPr="00E36B1E">
              <w:rPr>
                <w:sz w:val="18"/>
                <w:szCs w:val="18"/>
                <w:lang w:val="en-US"/>
              </w:rPr>
              <w:t>96</w:t>
            </w:r>
          </w:p>
        </w:tc>
        <w:tc>
          <w:tcPr>
            <w:tcW w:w="780" w:type="dxa"/>
          </w:tcPr>
          <w:p w14:paraId="70C1E595" w14:textId="77777777" w:rsidR="007E0ABC" w:rsidRPr="00E36B1E" w:rsidRDefault="007E0ABC" w:rsidP="00D75B62">
            <w:pPr>
              <w:spacing w:line="276" w:lineRule="auto"/>
              <w:rPr>
                <w:sz w:val="18"/>
                <w:szCs w:val="18"/>
                <w:lang w:val="en-US"/>
              </w:rPr>
            </w:pPr>
            <w:r w:rsidRPr="00E36B1E">
              <w:rPr>
                <w:sz w:val="18"/>
                <w:szCs w:val="18"/>
                <w:lang w:val="en-US"/>
              </w:rPr>
              <w:t>21.3</w:t>
            </w:r>
          </w:p>
        </w:tc>
      </w:tr>
      <w:tr w:rsidR="007E0ABC" w:rsidRPr="00E36B1E" w14:paraId="26F05305" w14:textId="77777777" w:rsidTr="00D75B62">
        <w:tc>
          <w:tcPr>
            <w:tcW w:w="731" w:type="dxa"/>
          </w:tcPr>
          <w:p w14:paraId="3E338585" w14:textId="77777777" w:rsidR="007E0ABC" w:rsidRPr="00E36B1E" w:rsidRDefault="007E0ABC" w:rsidP="00D75B62">
            <w:pPr>
              <w:spacing w:line="276" w:lineRule="auto"/>
              <w:rPr>
                <w:sz w:val="18"/>
                <w:szCs w:val="18"/>
              </w:rPr>
            </w:pPr>
            <w:r w:rsidRPr="00E36B1E">
              <w:rPr>
                <w:sz w:val="18"/>
                <w:szCs w:val="18"/>
              </w:rPr>
              <w:t>14</w:t>
            </w:r>
          </w:p>
        </w:tc>
        <w:tc>
          <w:tcPr>
            <w:tcW w:w="6143" w:type="dxa"/>
          </w:tcPr>
          <w:p w14:paraId="59962046" w14:textId="77777777" w:rsidR="007E0ABC" w:rsidRPr="00E36B1E" w:rsidRDefault="007E0ABC" w:rsidP="00D75B62">
            <w:pPr>
              <w:spacing w:line="276" w:lineRule="auto"/>
              <w:rPr>
                <w:sz w:val="18"/>
                <w:szCs w:val="18"/>
                <w:lang w:val="en-US"/>
              </w:rPr>
            </w:pPr>
            <w:r w:rsidRPr="00E36B1E">
              <w:rPr>
                <w:sz w:val="18"/>
                <w:szCs w:val="18"/>
                <w:lang w:val="en-US"/>
              </w:rPr>
              <w:t>It is hard for me to ask others for help.</w:t>
            </w:r>
          </w:p>
        </w:tc>
        <w:tc>
          <w:tcPr>
            <w:tcW w:w="921" w:type="dxa"/>
          </w:tcPr>
          <w:p w14:paraId="6F60F8EA" w14:textId="77777777" w:rsidR="007E0ABC" w:rsidRPr="00E36B1E" w:rsidRDefault="007E0ABC" w:rsidP="00D75B62">
            <w:pPr>
              <w:spacing w:line="276" w:lineRule="auto"/>
              <w:rPr>
                <w:sz w:val="18"/>
                <w:szCs w:val="18"/>
                <w:lang w:val="en-US"/>
              </w:rPr>
            </w:pPr>
            <w:r w:rsidRPr="00E36B1E">
              <w:rPr>
                <w:sz w:val="18"/>
                <w:szCs w:val="18"/>
                <w:lang w:val="en-US"/>
              </w:rPr>
              <w:t>235</w:t>
            </w:r>
          </w:p>
        </w:tc>
        <w:tc>
          <w:tcPr>
            <w:tcW w:w="922" w:type="dxa"/>
          </w:tcPr>
          <w:p w14:paraId="763A20E4" w14:textId="77777777" w:rsidR="007E0ABC" w:rsidRPr="00E36B1E" w:rsidRDefault="007E0ABC" w:rsidP="00D75B62">
            <w:pPr>
              <w:spacing w:line="276" w:lineRule="auto"/>
              <w:rPr>
                <w:sz w:val="18"/>
                <w:szCs w:val="18"/>
                <w:lang w:val="en-US"/>
              </w:rPr>
            </w:pPr>
            <w:r w:rsidRPr="00E36B1E">
              <w:rPr>
                <w:sz w:val="18"/>
                <w:szCs w:val="18"/>
                <w:lang w:val="en-US"/>
              </w:rPr>
              <w:t>52.2</w:t>
            </w:r>
          </w:p>
        </w:tc>
        <w:tc>
          <w:tcPr>
            <w:tcW w:w="779" w:type="dxa"/>
          </w:tcPr>
          <w:p w14:paraId="2F0CBCA5" w14:textId="77777777" w:rsidR="007E0ABC" w:rsidRPr="00E36B1E" w:rsidRDefault="007E0ABC" w:rsidP="00D75B62">
            <w:pPr>
              <w:spacing w:line="276" w:lineRule="auto"/>
              <w:rPr>
                <w:sz w:val="18"/>
                <w:szCs w:val="18"/>
                <w:lang w:val="en-US"/>
              </w:rPr>
            </w:pPr>
            <w:r w:rsidRPr="00E36B1E">
              <w:rPr>
                <w:sz w:val="18"/>
                <w:szCs w:val="18"/>
                <w:lang w:val="en-US"/>
              </w:rPr>
              <w:t>33</w:t>
            </w:r>
          </w:p>
        </w:tc>
        <w:tc>
          <w:tcPr>
            <w:tcW w:w="780" w:type="dxa"/>
          </w:tcPr>
          <w:p w14:paraId="16ADDC7D" w14:textId="77777777" w:rsidR="007E0ABC" w:rsidRPr="00E36B1E" w:rsidRDefault="007E0ABC" w:rsidP="00D75B62">
            <w:pPr>
              <w:spacing w:line="276" w:lineRule="auto"/>
              <w:rPr>
                <w:sz w:val="18"/>
                <w:szCs w:val="18"/>
                <w:lang w:val="en-US"/>
              </w:rPr>
            </w:pPr>
            <w:r w:rsidRPr="00E36B1E">
              <w:rPr>
                <w:sz w:val="18"/>
                <w:szCs w:val="18"/>
                <w:lang w:val="en-US"/>
              </w:rPr>
              <w:t>7.3</w:t>
            </w:r>
          </w:p>
        </w:tc>
      </w:tr>
      <w:tr w:rsidR="007E0ABC" w:rsidRPr="00E36B1E" w14:paraId="3AC8A1F9" w14:textId="77777777" w:rsidTr="00D75B62">
        <w:tc>
          <w:tcPr>
            <w:tcW w:w="731" w:type="dxa"/>
          </w:tcPr>
          <w:p w14:paraId="6CADB5B7" w14:textId="77777777" w:rsidR="007E0ABC" w:rsidRPr="00E36B1E" w:rsidRDefault="007E0ABC" w:rsidP="00D75B62">
            <w:pPr>
              <w:spacing w:line="276" w:lineRule="auto"/>
              <w:rPr>
                <w:sz w:val="18"/>
                <w:szCs w:val="18"/>
              </w:rPr>
            </w:pPr>
            <w:r w:rsidRPr="00E36B1E">
              <w:rPr>
                <w:sz w:val="18"/>
                <w:szCs w:val="18"/>
              </w:rPr>
              <w:t>15</w:t>
            </w:r>
          </w:p>
        </w:tc>
        <w:tc>
          <w:tcPr>
            <w:tcW w:w="6143" w:type="dxa"/>
          </w:tcPr>
          <w:p w14:paraId="5F211195" w14:textId="77777777" w:rsidR="007E0ABC" w:rsidRPr="00E36B1E" w:rsidRDefault="007E0ABC" w:rsidP="00D75B62">
            <w:pPr>
              <w:spacing w:line="276" w:lineRule="auto"/>
              <w:rPr>
                <w:sz w:val="18"/>
                <w:szCs w:val="18"/>
                <w:lang w:val="en-US"/>
              </w:rPr>
            </w:pPr>
            <w:r w:rsidRPr="00E36B1E">
              <w:rPr>
                <w:sz w:val="18"/>
                <w:szCs w:val="18"/>
                <w:lang w:val="en-US"/>
              </w:rPr>
              <w:t>I avoid open arguments.</w:t>
            </w:r>
          </w:p>
        </w:tc>
        <w:tc>
          <w:tcPr>
            <w:tcW w:w="921" w:type="dxa"/>
          </w:tcPr>
          <w:p w14:paraId="12AC74BF" w14:textId="77777777" w:rsidR="007E0ABC" w:rsidRPr="00E36B1E" w:rsidRDefault="007E0ABC" w:rsidP="00D75B62">
            <w:pPr>
              <w:spacing w:line="276" w:lineRule="auto"/>
              <w:rPr>
                <w:sz w:val="18"/>
                <w:szCs w:val="18"/>
                <w:lang w:val="en-US"/>
              </w:rPr>
            </w:pPr>
            <w:r w:rsidRPr="00E36B1E">
              <w:rPr>
                <w:sz w:val="18"/>
                <w:szCs w:val="18"/>
                <w:lang w:val="en-US"/>
              </w:rPr>
              <w:t>184</w:t>
            </w:r>
          </w:p>
        </w:tc>
        <w:tc>
          <w:tcPr>
            <w:tcW w:w="922" w:type="dxa"/>
          </w:tcPr>
          <w:p w14:paraId="7D078146" w14:textId="77777777" w:rsidR="007E0ABC" w:rsidRPr="00E36B1E" w:rsidRDefault="007E0ABC" w:rsidP="00D75B62">
            <w:pPr>
              <w:spacing w:line="276" w:lineRule="auto"/>
              <w:rPr>
                <w:sz w:val="18"/>
                <w:szCs w:val="18"/>
                <w:lang w:val="en-US"/>
              </w:rPr>
            </w:pPr>
            <w:r w:rsidRPr="00E36B1E">
              <w:rPr>
                <w:sz w:val="18"/>
                <w:szCs w:val="18"/>
                <w:lang w:val="en-US"/>
              </w:rPr>
              <w:t>40.9</w:t>
            </w:r>
          </w:p>
        </w:tc>
        <w:tc>
          <w:tcPr>
            <w:tcW w:w="779" w:type="dxa"/>
          </w:tcPr>
          <w:p w14:paraId="23F75BFC" w14:textId="77777777" w:rsidR="007E0ABC" w:rsidRPr="00E36B1E" w:rsidRDefault="007E0ABC" w:rsidP="00D75B62">
            <w:pPr>
              <w:spacing w:line="276" w:lineRule="auto"/>
              <w:rPr>
                <w:sz w:val="18"/>
                <w:szCs w:val="18"/>
                <w:lang w:val="en-US"/>
              </w:rPr>
            </w:pPr>
            <w:r w:rsidRPr="00E36B1E">
              <w:rPr>
                <w:sz w:val="18"/>
                <w:szCs w:val="18"/>
                <w:lang w:val="en-US"/>
              </w:rPr>
              <w:t>50</w:t>
            </w:r>
          </w:p>
        </w:tc>
        <w:tc>
          <w:tcPr>
            <w:tcW w:w="780" w:type="dxa"/>
          </w:tcPr>
          <w:p w14:paraId="63908845" w14:textId="77777777" w:rsidR="007E0ABC" w:rsidRPr="00E36B1E" w:rsidRDefault="007E0ABC" w:rsidP="00D75B62">
            <w:pPr>
              <w:spacing w:line="276" w:lineRule="auto"/>
              <w:rPr>
                <w:sz w:val="18"/>
                <w:szCs w:val="18"/>
                <w:lang w:val="en-US"/>
              </w:rPr>
            </w:pPr>
            <w:r w:rsidRPr="00E36B1E">
              <w:rPr>
                <w:sz w:val="18"/>
                <w:szCs w:val="18"/>
                <w:lang w:val="en-US"/>
              </w:rPr>
              <w:t>11.1</w:t>
            </w:r>
          </w:p>
        </w:tc>
      </w:tr>
      <w:tr w:rsidR="007E0ABC" w:rsidRPr="00E36B1E" w14:paraId="29FD0C22" w14:textId="77777777" w:rsidTr="00D75B62">
        <w:tc>
          <w:tcPr>
            <w:tcW w:w="731" w:type="dxa"/>
          </w:tcPr>
          <w:p w14:paraId="3DFA9E4E" w14:textId="77777777" w:rsidR="007E0ABC" w:rsidRPr="00E36B1E" w:rsidRDefault="007E0ABC" w:rsidP="00D75B62">
            <w:pPr>
              <w:spacing w:line="276" w:lineRule="auto"/>
              <w:rPr>
                <w:sz w:val="18"/>
                <w:szCs w:val="18"/>
              </w:rPr>
            </w:pPr>
            <w:r w:rsidRPr="00E36B1E">
              <w:rPr>
                <w:sz w:val="18"/>
                <w:szCs w:val="18"/>
              </w:rPr>
              <w:t>16</w:t>
            </w:r>
          </w:p>
        </w:tc>
        <w:tc>
          <w:tcPr>
            <w:tcW w:w="6143" w:type="dxa"/>
          </w:tcPr>
          <w:p w14:paraId="5297EFCD" w14:textId="77777777" w:rsidR="007E0ABC" w:rsidRPr="00E36B1E" w:rsidRDefault="007E0ABC" w:rsidP="00D75B62">
            <w:pPr>
              <w:spacing w:line="276" w:lineRule="auto"/>
              <w:rPr>
                <w:sz w:val="18"/>
                <w:szCs w:val="18"/>
                <w:lang w:val="en-US"/>
              </w:rPr>
            </w:pPr>
            <w:r w:rsidRPr="00E36B1E">
              <w:rPr>
                <w:sz w:val="18"/>
                <w:szCs w:val="18"/>
                <w:lang w:val="en-US"/>
              </w:rPr>
              <w:t>It is easy for me openly to disagree with others if I have a different opinion.</w:t>
            </w:r>
          </w:p>
        </w:tc>
        <w:tc>
          <w:tcPr>
            <w:tcW w:w="921" w:type="dxa"/>
          </w:tcPr>
          <w:p w14:paraId="29D760AB" w14:textId="77777777" w:rsidR="007E0ABC" w:rsidRPr="00E36B1E" w:rsidRDefault="007E0ABC" w:rsidP="00D75B62">
            <w:pPr>
              <w:spacing w:line="276" w:lineRule="auto"/>
              <w:rPr>
                <w:sz w:val="18"/>
                <w:szCs w:val="18"/>
                <w:lang w:val="en-US"/>
              </w:rPr>
            </w:pPr>
            <w:r w:rsidRPr="00E36B1E">
              <w:rPr>
                <w:sz w:val="18"/>
                <w:szCs w:val="18"/>
                <w:lang w:val="en-US"/>
              </w:rPr>
              <w:t>76</w:t>
            </w:r>
          </w:p>
        </w:tc>
        <w:tc>
          <w:tcPr>
            <w:tcW w:w="922" w:type="dxa"/>
          </w:tcPr>
          <w:p w14:paraId="46A447C1" w14:textId="77777777" w:rsidR="007E0ABC" w:rsidRPr="00E36B1E" w:rsidRDefault="007E0ABC" w:rsidP="00D75B62">
            <w:pPr>
              <w:spacing w:line="276" w:lineRule="auto"/>
              <w:rPr>
                <w:sz w:val="18"/>
                <w:szCs w:val="18"/>
                <w:lang w:val="en-US"/>
              </w:rPr>
            </w:pPr>
            <w:r w:rsidRPr="00E36B1E">
              <w:rPr>
                <w:sz w:val="18"/>
                <w:szCs w:val="18"/>
                <w:lang w:val="en-US"/>
              </w:rPr>
              <w:t>16.9</w:t>
            </w:r>
          </w:p>
        </w:tc>
        <w:tc>
          <w:tcPr>
            <w:tcW w:w="779" w:type="dxa"/>
          </w:tcPr>
          <w:p w14:paraId="27618378" w14:textId="77777777" w:rsidR="007E0ABC" w:rsidRPr="00E36B1E" w:rsidRDefault="007E0ABC" w:rsidP="00D75B62">
            <w:pPr>
              <w:spacing w:line="276" w:lineRule="auto"/>
              <w:rPr>
                <w:sz w:val="18"/>
                <w:szCs w:val="18"/>
                <w:lang w:val="en-US"/>
              </w:rPr>
            </w:pPr>
            <w:r w:rsidRPr="00E36B1E">
              <w:rPr>
                <w:sz w:val="18"/>
                <w:szCs w:val="18"/>
                <w:lang w:val="en-US"/>
              </w:rPr>
              <w:t>1077</w:t>
            </w:r>
          </w:p>
        </w:tc>
        <w:tc>
          <w:tcPr>
            <w:tcW w:w="780" w:type="dxa"/>
          </w:tcPr>
          <w:p w14:paraId="62FD4997" w14:textId="77777777" w:rsidR="007E0ABC" w:rsidRPr="00E36B1E" w:rsidRDefault="007E0ABC" w:rsidP="00D75B62">
            <w:pPr>
              <w:spacing w:line="276" w:lineRule="auto"/>
              <w:rPr>
                <w:sz w:val="18"/>
                <w:szCs w:val="18"/>
                <w:lang w:val="en-US"/>
              </w:rPr>
            </w:pPr>
            <w:r w:rsidRPr="00E36B1E">
              <w:rPr>
                <w:sz w:val="18"/>
                <w:szCs w:val="18"/>
                <w:lang w:val="en-US"/>
              </w:rPr>
              <w:t>23.8</w:t>
            </w:r>
          </w:p>
        </w:tc>
      </w:tr>
      <w:tr w:rsidR="007E0ABC" w:rsidRPr="00E36B1E" w14:paraId="6C66ED7B" w14:textId="77777777" w:rsidTr="00D75B62">
        <w:tc>
          <w:tcPr>
            <w:tcW w:w="731" w:type="dxa"/>
          </w:tcPr>
          <w:p w14:paraId="6BC74BDE" w14:textId="77777777" w:rsidR="007E0ABC" w:rsidRPr="00E36B1E" w:rsidRDefault="007E0ABC" w:rsidP="00D75B62">
            <w:pPr>
              <w:spacing w:line="276" w:lineRule="auto"/>
              <w:rPr>
                <w:sz w:val="18"/>
                <w:szCs w:val="18"/>
              </w:rPr>
            </w:pPr>
            <w:r w:rsidRPr="00E36B1E">
              <w:rPr>
                <w:sz w:val="18"/>
                <w:szCs w:val="18"/>
              </w:rPr>
              <w:t>17</w:t>
            </w:r>
          </w:p>
        </w:tc>
        <w:tc>
          <w:tcPr>
            <w:tcW w:w="6143" w:type="dxa"/>
          </w:tcPr>
          <w:p w14:paraId="57B6637B" w14:textId="77777777" w:rsidR="007E0ABC" w:rsidRPr="00E36B1E" w:rsidRDefault="007E0ABC" w:rsidP="00D75B62">
            <w:pPr>
              <w:spacing w:line="276" w:lineRule="auto"/>
              <w:rPr>
                <w:sz w:val="18"/>
                <w:szCs w:val="18"/>
                <w:lang w:val="en-US"/>
              </w:rPr>
            </w:pPr>
            <w:r w:rsidRPr="00E36B1E">
              <w:rPr>
                <w:sz w:val="18"/>
                <w:szCs w:val="18"/>
                <w:lang w:val="en-US"/>
              </w:rPr>
              <w:t>I feel ashamed of my illness.</w:t>
            </w:r>
          </w:p>
        </w:tc>
        <w:tc>
          <w:tcPr>
            <w:tcW w:w="921" w:type="dxa"/>
          </w:tcPr>
          <w:p w14:paraId="0B134BD0" w14:textId="77777777" w:rsidR="007E0ABC" w:rsidRPr="00E36B1E" w:rsidRDefault="007E0ABC" w:rsidP="00D75B62">
            <w:pPr>
              <w:spacing w:line="276" w:lineRule="auto"/>
              <w:rPr>
                <w:sz w:val="18"/>
                <w:szCs w:val="18"/>
                <w:lang w:val="en-US"/>
              </w:rPr>
            </w:pPr>
            <w:r w:rsidRPr="00E36B1E">
              <w:rPr>
                <w:sz w:val="18"/>
                <w:szCs w:val="18"/>
                <w:lang w:val="en-US"/>
              </w:rPr>
              <w:t>193</w:t>
            </w:r>
          </w:p>
        </w:tc>
        <w:tc>
          <w:tcPr>
            <w:tcW w:w="922" w:type="dxa"/>
          </w:tcPr>
          <w:p w14:paraId="7E503423" w14:textId="77777777" w:rsidR="007E0ABC" w:rsidRPr="00E36B1E" w:rsidRDefault="007E0ABC" w:rsidP="00D75B62">
            <w:pPr>
              <w:spacing w:line="276" w:lineRule="auto"/>
              <w:rPr>
                <w:sz w:val="18"/>
                <w:szCs w:val="18"/>
                <w:lang w:val="en-US"/>
              </w:rPr>
            </w:pPr>
            <w:r w:rsidRPr="00E36B1E">
              <w:rPr>
                <w:sz w:val="18"/>
                <w:szCs w:val="18"/>
                <w:lang w:val="en-US"/>
              </w:rPr>
              <w:t>42.9</w:t>
            </w:r>
          </w:p>
        </w:tc>
        <w:tc>
          <w:tcPr>
            <w:tcW w:w="779" w:type="dxa"/>
          </w:tcPr>
          <w:p w14:paraId="65ED3127" w14:textId="77777777" w:rsidR="007E0ABC" w:rsidRPr="00E36B1E" w:rsidRDefault="007E0ABC" w:rsidP="00D75B62">
            <w:pPr>
              <w:spacing w:line="276" w:lineRule="auto"/>
              <w:rPr>
                <w:sz w:val="18"/>
                <w:szCs w:val="18"/>
                <w:lang w:val="en-US"/>
              </w:rPr>
            </w:pPr>
            <w:r w:rsidRPr="00E36B1E">
              <w:rPr>
                <w:sz w:val="18"/>
                <w:szCs w:val="18"/>
                <w:lang w:val="en-US"/>
              </w:rPr>
              <w:t>65</w:t>
            </w:r>
          </w:p>
        </w:tc>
        <w:tc>
          <w:tcPr>
            <w:tcW w:w="780" w:type="dxa"/>
          </w:tcPr>
          <w:p w14:paraId="57838A8B" w14:textId="77777777" w:rsidR="007E0ABC" w:rsidRPr="00E36B1E" w:rsidRDefault="007E0ABC" w:rsidP="00D75B62">
            <w:pPr>
              <w:spacing w:line="276" w:lineRule="auto"/>
              <w:rPr>
                <w:sz w:val="18"/>
                <w:szCs w:val="18"/>
                <w:lang w:val="en-US"/>
              </w:rPr>
            </w:pPr>
            <w:r w:rsidRPr="00E36B1E">
              <w:rPr>
                <w:sz w:val="18"/>
                <w:szCs w:val="18"/>
                <w:lang w:val="en-US"/>
              </w:rPr>
              <w:t>14.4</w:t>
            </w:r>
          </w:p>
        </w:tc>
      </w:tr>
      <w:tr w:rsidR="007E0ABC" w:rsidRPr="00E36B1E" w14:paraId="40E1D474" w14:textId="77777777" w:rsidTr="00D75B62">
        <w:tc>
          <w:tcPr>
            <w:tcW w:w="731" w:type="dxa"/>
          </w:tcPr>
          <w:p w14:paraId="43B1729B" w14:textId="77777777" w:rsidR="007E0ABC" w:rsidRPr="00E36B1E" w:rsidRDefault="007E0ABC" w:rsidP="00D75B62">
            <w:pPr>
              <w:spacing w:line="276" w:lineRule="auto"/>
              <w:rPr>
                <w:sz w:val="18"/>
                <w:szCs w:val="18"/>
              </w:rPr>
            </w:pPr>
            <w:r w:rsidRPr="00E36B1E">
              <w:rPr>
                <w:sz w:val="18"/>
                <w:szCs w:val="18"/>
              </w:rPr>
              <w:t>18</w:t>
            </w:r>
          </w:p>
        </w:tc>
        <w:tc>
          <w:tcPr>
            <w:tcW w:w="6143" w:type="dxa"/>
          </w:tcPr>
          <w:p w14:paraId="098685F2" w14:textId="77777777" w:rsidR="007E0ABC" w:rsidRPr="00E36B1E" w:rsidRDefault="007E0ABC" w:rsidP="00D75B62">
            <w:pPr>
              <w:spacing w:line="276" w:lineRule="auto"/>
              <w:rPr>
                <w:sz w:val="18"/>
                <w:szCs w:val="18"/>
                <w:lang w:val="en-US"/>
              </w:rPr>
            </w:pPr>
            <w:r w:rsidRPr="00E36B1E">
              <w:rPr>
                <w:sz w:val="18"/>
                <w:szCs w:val="18"/>
                <w:lang w:val="en-US"/>
              </w:rPr>
              <w:t>I am capable of achieving things I would like to achieve.</w:t>
            </w:r>
          </w:p>
        </w:tc>
        <w:tc>
          <w:tcPr>
            <w:tcW w:w="921" w:type="dxa"/>
          </w:tcPr>
          <w:p w14:paraId="08CD3C08" w14:textId="77777777" w:rsidR="007E0ABC" w:rsidRPr="00E36B1E" w:rsidRDefault="007E0ABC" w:rsidP="00D75B62">
            <w:pPr>
              <w:spacing w:line="276" w:lineRule="auto"/>
              <w:rPr>
                <w:sz w:val="18"/>
                <w:szCs w:val="18"/>
                <w:lang w:val="en-US"/>
              </w:rPr>
            </w:pPr>
            <w:r w:rsidRPr="00E36B1E">
              <w:rPr>
                <w:sz w:val="18"/>
                <w:szCs w:val="18"/>
                <w:lang w:val="en-US"/>
              </w:rPr>
              <w:t>180</w:t>
            </w:r>
          </w:p>
        </w:tc>
        <w:tc>
          <w:tcPr>
            <w:tcW w:w="922" w:type="dxa"/>
          </w:tcPr>
          <w:p w14:paraId="4484AB57" w14:textId="77777777" w:rsidR="007E0ABC" w:rsidRPr="00E36B1E" w:rsidRDefault="007E0ABC" w:rsidP="00D75B62">
            <w:pPr>
              <w:spacing w:line="276" w:lineRule="auto"/>
              <w:rPr>
                <w:sz w:val="18"/>
                <w:szCs w:val="18"/>
                <w:lang w:val="en-US"/>
              </w:rPr>
            </w:pPr>
            <w:r w:rsidRPr="00E36B1E">
              <w:rPr>
                <w:sz w:val="18"/>
                <w:szCs w:val="18"/>
                <w:lang w:val="en-US"/>
              </w:rPr>
              <w:t>40.0</w:t>
            </w:r>
          </w:p>
        </w:tc>
        <w:tc>
          <w:tcPr>
            <w:tcW w:w="779" w:type="dxa"/>
          </w:tcPr>
          <w:p w14:paraId="30ADF76E" w14:textId="77777777" w:rsidR="007E0ABC" w:rsidRPr="00E36B1E" w:rsidRDefault="007E0ABC" w:rsidP="00D75B62">
            <w:pPr>
              <w:spacing w:line="276" w:lineRule="auto"/>
              <w:rPr>
                <w:sz w:val="18"/>
                <w:szCs w:val="18"/>
                <w:lang w:val="en-US"/>
              </w:rPr>
            </w:pPr>
            <w:r w:rsidRPr="00E36B1E">
              <w:rPr>
                <w:sz w:val="18"/>
                <w:szCs w:val="18"/>
                <w:lang w:val="en-US"/>
              </w:rPr>
              <w:t>42</w:t>
            </w:r>
          </w:p>
        </w:tc>
        <w:tc>
          <w:tcPr>
            <w:tcW w:w="780" w:type="dxa"/>
          </w:tcPr>
          <w:p w14:paraId="1CFA1419" w14:textId="77777777" w:rsidR="007E0ABC" w:rsidRPr="00E36B1E" w:rsidRDefault="007E0ABC" w:rsidP="00D75B62">
            <w:pPr>
              <w:spacing w:line="276" w:lineRule="auto"/>
              <w:rPr>
                <w:sz w:val="18"/>
                <w:szCs w:val="18"/>
                <w:lang w:val="en-US"/>
              </w:rPr>
            </w:pPr>
            <w:r w:rsidRPr="00E36B1E">
              <w:rPr>
                <w:sz w:val="18"/>
                <w:szCs w:val="18"/>
                <w:lang w:val="en-US"/>
              </w:rPr>
              <w:t>9.3</w:t>
            </w:r>
          </w:p>
        </w:tc>
      </w:tr>
      <w:tr w:rsidR="007E0ABC" w:rsidRPr="00E36B1E" w14:paraId="7FB8CC73" w14:textId="77777777" w:rsidTr="00D75B62">
        <w:tc>
          <w:tcPr>
            <w:tcW w:w="731" w:type="dxa"/>
          </w:tcPr>
          <w:p w14:paraId="32A04A05" w14:textId="77777777" w:rsidR="007E0ABC" w:rsidRPr="00E36B1E" w:rsidRDefault="007E0ABC" w:rsidP="00D75B62">
            <w:pPr>
              <w:spacing w:line="276" w:lineRule="auto"/>
              <w:rPr>
                <w:sz w:val="18"/>
                <w:szCs w:val="18"/>
              </w:rPr>
            </w:pPr>
            <w:r w:rsidRPr="00E36B1E">
              <w:rPr>
                <w:sz w:val="18"/>
                <w:szCs w:val="18"/>
              </w:rPr>
              <w:t>19</w:t>
            </w:r>
          </w:p>
        </w:tc>
        <w:tc>
          <w:tcPr>
            <w:tcW w:w="6143" w:type="dxa"/>
          </w:tcPr>
          <w:p w14:paraId="4A448087" w14:textId="77777777" w:rsidR="007E0ABC" w:rsidRPr="00E36B1E" w:rsidRDefault="007E0ABC" w:rsidP="00D75B62">
            <w:pPr>
              <w:spacing w:line="276" w:lineRule="auto"/>
              <w:rPr>
                <w:sz w:val="18"/>
                <w:szCs w:val="18"/>
              </w:rPr>
            </w:pPr>
            <w:r w:rsidRPr="00E36B1E">
              <w:rPr>
                <w:sz w:val="18"/>
                <w:szCs w:val="18"/>
              </w:rPr>
              <w:t>I accept things I cannot change.</w:t>
            </w:r>
          </w:p>
        </w:tc>
        <w:tc>
          <w:tcPr>
            <w:tcW w:w="921" w:type="dxa"/>
          </w:tcPr>
          <w:p w14:paraId="4103854C" w14:textId="77777777" w:rsidR="007E0ABC" w:rsidRPr="00E36B1E" w:rsidRDefault="007E0ABC" w:rsidP="00D75B62">
            <w:pPr>
              <w:spacing w:line="276" w:lineRule="auto"/>
              <w:rPr>
                <w:sz w:val="18"/>
                <w:szCs w:val="18"/>
              </w:rPr>
            </w:pPr>
            <w:r w:rsidRPr="00E36B1E">
              <w:rPr>
                <w:sz w:val="18"/>
                <w:szCs w:val="18"/>
              </w:rPr>
              <w:t>88</w:t>
            </w:r>
          </w:p>
        </w:tc>
        <w:tc>
          <w:tcPr>
            <w:tcW w:w="922" w:type="dxa"/>
          </w:tcPr>
          <w:p w14:paraId="3F1D8EAC" w14:textId="77777777" w:rsidR="007E0ABC" w:rsidRPr="00E36B1E" w:rsidRDefault="007E0ABC" w:rsidP="00D75B62">
            <w:pPr>
              <w:spacing w:line="276" w:lineRule="auto"/>
              <w:rPr>
                <w:sz w:val="18"/>
                <w:szCs w:val="18"/>
              </w:rPr>
            </w:pPr>
            <w:r w:rsidRPr="00E36B1E">
              <w:rPr>
                <w:sz w:val="18"/>
                <w:szCs w:val="18"/>
              </w:rPr>
              <w:t>19.6</w:t>
            </w:r>
          </w:p>
        </w:tc>
        <w:tc>
          <w:tcPr>
            <w:tcW w:w="779" w:type="dxa"/>
          </w:tcPr>
          <w:p w14:paraId="6BF7430F" w14:textId="77777777" w:rsidR="007E0ABC" w:rsidRPr="00E36B1E" w:rsidRDefault="007E0ABC" w:rsidP="00D75B62">
            <w:pPr>
              <w:spacing w:line="276" w:lineRule="auto"/>
              <w:rPr>
                <w:sz w:val="18"/>
                <w:szCs w:val="18"/>
              </w:rPr>
            </w:pPr>
            <w:r w:rsidRPr="00E36B1E">
              <w:rPr>
                <w:sz w:val="18"/>
                <w:szCs w:val="18"/>
              </w:rPr>
              <w:t>72</w:t>
            </w:r>
          </w:p>
        </w:tc>
        <w:tc>
          <w:tcPr>
            <w:tcW w:w="780" w:type="dxa"/>
          </w:tcPr>
          <w:p w14:paraId="07D489D8" w14:textId="77777777" w:rsidR="007E0ABC" w:rsidRPr="00E36B1E" w:rsidRDefault="007E0ABC" w:rsidP="00D75B62">
            <w:pPr>
              <w:spacing w:line="276" w:lineRule="auto"/>
              <w:rPr>
                <w:sz w:val="18"/>
                <w:szCs w:val="18"/>
              </w:rPr>
            </w:pPr>
            <w:r w:rsidRPr="00E36B1E">
              <w:rPr>
                <w:sz w:val="18"/>
                <w:szCs w:val="18"/>
              </w:rPr>
              <w:t>16.0</w:t>
            </w:r>
          </w:p>
        </w:tc>
      </w:tr>
      <w:tr w:rsidR="007E0ABC" w:rsidRPr="00E36B1E" w14:paraId="00D61CFE" w14:textId="77777777" w:rsidTr="00D75B62">
        <w:tc>
          <w:tcPr>
            <w:tcW w:w="731" w:type="dxa"/>
          </w:tcPr>
          <w:p w14:paraId="6F8865B0" w14:textId="77777777" w:rsidR="007E0ABC" w:rsidRPr="00E36B1E" w:rsidRDefault="007E0ABC" w:rsidP="00D75B62">
            <w:pPr>
              <w:spacing w:line="276" w:lineRule="auto"/>
              <w:rPr>
                <w:sz w:val="18"/>
                <w:szCs w:val="18"/>
              </w:rPr>
            </w:pPr>
            <w:r w:rsidRPr="00E36B1E">
              <w:rPr>
                <w:sz w:val="18"/>
                <w:szCs w:val="18"/>
              </w:rPr>
              <w:t>20</w:t>
            </w:r>
          </w:p>
        </w:tc>
        <w:tc>
          <w:tcPr>
            <w:tcW w:w="6143" w:type="dxa"/>
          </w:tcPr>
          <w:p w14:paraId="5EB21256" w14:textId="77777777" w:rsidR="007E0ABC" w:rsidRPr="00E36B1E" w:rsidRDefault="007E0ABC" w:rsidP="00D75B62">
            <w:pPr>
              <w:spacing w:line="276" w:lineRule="auto"/>
              <w:rPr>
                <w:sz w:val="18"/>
                <w:szCs w:val="18"/>
              </w:rPr>
            </w:pPr>
            <w:r w:rsidRPr="00E36B1E">
              <w:rPr>
                <w:sz w:val="18"/>
                <w:szCs w:val="18"/>
              </w:rPr>
              <w:t>I look after my wellbeing in daily life.</w:t>
            </w:r>
          </w:p>
        </w:tc>
        <w:tc>
          <w:tcPr>
            <w:tcW w:w="921" w:type="dxa"/>
          </w:tcPr>
          <w:p w14:paraId="707661C1" w14:textId="77777777" w:rsidR="007E0ABC" w:rsidRPr="00E36B1E" w:rsidRDefault="007E0ABC" w:rsidP="00D75B62">
            <w:pPr>
              <w:spacing w:line="276" w:lineRule="auto"/>
              <w:rPr>
                <w:sz w:val="18"/>
                <w:szCs w:val="18"/>
              </w:rPr>
            </w:pPr>
            <w:r w:rsidRPr="00E36B1E">
              <w:rPr>
                <w:sz w:val="18"/>
                <w:szCs w:val="18"/>
              </w:rPr>
              <w:t>64</w:t>
            </w:r>
          </w:p>
        </w:tc>
        <w:tc>
          <w:tcPr>
            <w:tcW w:w="922" w:type="dxa"/>
          </w:tcPr>
          <w:p w14:paraId="08911444" w14:textId="77777777" w:rsidR="007E0ABC" w:rsidRPr="00E36B1E" w:rsidRDefault="007E0ABC" w:rsidP="00D75B62">
            <w:pPr>
              <w:spacing w:line="276" w:lineRule="auto"/>
              <w:rPr>
                <w:sz w:val="18"/>
                <w:szCs w:val="18"/>
              </w:rPr>
            </w:pPr>
            <w:r w:rsidRPr="00E36B1E">
              <w:rPr>
                <w:sz w:val="18"/>
                <w:szCs w:val="18"/>
              </w:rPr>
              <w:t>14.2</w:t>
            </w:r>
          </w:p>
        </w:tc>
        <w:tc>
          <w:tcPr>
            <w:tcW w:w="779" w:type="dxa"/>
          </w:tcPr>
          <w:p w14:paraId="40C31E97" w14:textId="77777777" w:rsidR="007E0ABC" w:rsidRPr="00E36B1E" w:rsidRDefault="007E0ABC" w:rsidP="00D75B62">
            <w:pPr>
              <w:spacing w:line="276" w:lineRule="auto"/>
              <w:rPr>
                <w:sz w:val="18"/>
                <w:szCs w:val="18"/>
              </w:rPr>
            </w:pPr>
            <w:r w:rsidRPr="00E36B1E">
              <w:rPr>
                <w:sz w:val="18"/>
                <w:szCs w:val="18"/>
              </w:rPr>
              <w:t>83</w:t>
            </w:r>
          </w:p>
        </w:tc>
        <w:tc>
          <w:tcPr>
            <w:tcW w:w="780" w:type="dxa"/>
          </w:tcPr>
          <w:p w14:paraId="18794EF0" w14:textId="77777777" w:rsidR="007E0ABC" w:rsidRPr="00E36B1E" w:rsidRDefault="007E0ABC" w:rsidP="00D75B62">
            <w:pPr>
              <w:spacing w:line="276" w:lineRule="auto"/>
              <w:rPr>
                <w:sz w:val="18"/>
                <w:szCs w:val="18"/>
              </w:rPr>
            </w:pPr>
            <w:r w:rsidRPr="00E36B1E">
              <w:rPr>
                <w:sz w:val="18"/>
                <w:szCs w:val="18"/>
              </w:rPr>
              <w:t>18.4</w:t>
            </w:r>
          </w:p>
        </w:tc>
      </w:tr>
      <w:tr w:rsidR="007E0ABC" w:rsidRPr="00E36B1E" w14:paraId="78B2C868" w14:textId="77777777" w:rsidTr="00D75B62">
        <w:tc>
          <w:tcPr>
            <w:tcW w:w="731" w:type="dxa"/>
          </w:tcPr>
          <w:p w14:paraId="3122DA8C" w14:textId="77777777" w:rsidR="007E0ABC" w:rsidRPr="00E36B1E" w:rsidRDefault="007E0ABC" w:rsidP="00D75B62">
            <w:pPr>
              <w:spacing w:line="276" w:lineRule="auto"/>
              <w:rPr>
                <w:sz w:val="18"/>
                <w:szCs w:val="18"/>
              </w:rPr>
            </w:pPr>
            <w:r w:rsidRPr="00E36B1E">
              <w:rPr>
                <w:sz w:val="18"/>
                <w:szCs w:val="18"/>
              </w:rPr>
              <w:t>21</w:t>
            </w:r>
          </w:p>
        </w:tc>
        <w:tc>
          <w:tcPr>
            <w:tcW w:w="6143" w:type="dxa"/>
          </w:tcPr>
          <w:p w14:paraId="2126EF06" w14:textId="77777777" w:rsidR="007E0ABC" w:rsidRPr="00E36B1E" w:rsidRDefault="007E0ABC" w:rsidP="00D75B62">
            <w:pPr>
              <w:spacing w:line="276" w:lineRule="auto"/>
              <w:rPr>
                <w:sz w:val="18"/>
                <w:szCs w:val="18"/>
              </w:rPr>
            </w:pPr>
            <w:r w:rsidRPr="00E36B1E">
              <w:rPr>
                <w:sz w:val="18"/>
                <w:szCs w:val="18"/>
              </w:rPr>
              <w:t>I accept that I make mistakes once in a while/”occasionally”.</w:t>
            </w:r>
          </w:p>
        </w:tc>
        <w:tc>
          <w:tcPr>
            <w:tcW w:w="921" w:type="dxa"/>
          </w:tcPr>
          <w:p w14:paraId="6DAC8711" w14:textId="77777777" w:rsidR="007E0ABC" w:rsidRPr="00E36B1E" w:rsidRDefault="007E0ABC" w:rsidP="00D75B62">
            <w:pPr>
              <w:spacing w:line="276" w:lineRule="auto"/>
              <w:rPr>
                <w:sz w:val="18"/>
                <w:szCs w:val="18"/>
              </w:rPr>
            </w:pPr>
            <w:r w:rsidRPr="00E36B1E">
              <w:rPr>
                <w:sz w:val="18"/>
                <w:szCs w:val="18"/>
              </w:rPr>
              <w:t>31</w:t>
            </w:r>
          </w:p>
        </w:tc>
        <w:tc>
          <w:tcPr>
            <w:tcW w:w="922" w:type="dxa"/>
          </w:tcPr>
          <w:p w14:paraId="0EC67D1E" w14:textId="77777777" w:rsidR="007E0ABC" w:rsidRPr="00E36B1E" w:rsidRDefault="007E0ABC" w:rsidP="00D75B62">
            <w:pPr>
              <w:spacing w:line="276" w:lineRule="auto"/>
              <w:rPr>
                <w:sz w:val="18"/>
                <w:szCs w:val="18"/>
              </w:rPr>
            </w:pPr>
            <w:r w:rsidRPr="00E36B1E">
              <w:rPr>
                <w:sz w:val="18"/>
                <w:szCs w:val="18"/>
              </w:rPr>
              <w:t>6.9</w:t>
            </w:r>
          </w:p>
        </w:tc>
        <w:tc>
          <w:tcPr>
            <w:tcW w:w="779" w:type="dxa"/>
          </w:tcPr>
          <w:p w14:paraId="6FBAB359" w14:textId="77777777" w:rsidR="007E0ABC" w:rsidRPr="00E36B1E" w:rsidRDefault="007E0ABC" w:rsidP="00D75B62">
            <w:pPr>
              <w:spacing w:line="276" w:lineRule="auto"/>
              <w:rPr>
                <w:sz w:val="18"/>
                <w:szCs w:val="18"/>
              </w:rPr>
            </w:pPr>
            <w:r w:rsidRPr="00E36B1E">
              <w:rPr>
                <w:sz w:val="18"/>
                <w:szCs w:val="18"/>
              </w:rPr>
              <w:t>221</w:t>
            </w:r>
          </w:p>
        </w:tc>
        <w:tc>
          <w:tcPr>
            <w:tcW w:w="780" w:type="dxa"/>
          </w:tcPr>
          <w:p w14:paraId="687F5A29" w14:textId="77777777" w:rsidR="007E0ABC" w:rsidRPr="00E36B1E" w:rsidRDefault="007E0ABC" w:rsidP="00D75B62">
            <w:pPr>
              <w:spacing w:line="276" w:lineRule="auto"/>
              <w:rPr>
                <w:sz w:val="18"/>
                <w:szCs w:val="18"/>
              </w:rPr>
            </w:pPr>
            <w:r w:rsidRPr="00E36B1E">
              <w:rPr>
                <w:sz w:val="18"/>
                <w:szCs w:val="18"/>
              </w:rPr>
              <w:t>49.1</w:t>
            </w:r>
          </w:p>
        </w:tc>
      </w:tr>
      <w:tr w:rsidR="007E0ABC" w:rsidRPr="00E36B1E" w14:paraId="1DE981B6" w14:textId="77777777" w:rsidTr="00D75B62">
        <w:tc>
          <w:tcPr>
            <w:tcW w:w="731" w:type="dxa"/>
          </w:tcPr>
          <w:p w14:paraId="7DBF4519" w14:textId="77777777" w:rsidR="007E0ABC" w:rsidRPr="00E36B1E" w:rsidRDefault="007E0ABC" w:rsidP="00D75B62">
            <w:pPr>
              <w:spacing w:line="276" w:lineRule="auto"/>
              <w:rPr>
                <w:sz w:val="18"/>
                <w:szCs w:val="18"/>
              </w:rPr>
            </w:pPr>
            <w:r w:rsidRPr="00E36B1E">
              <w:rPr>
                <w:sz w:val="18"/>
                <w:szCs w:val="18"/>
              </w:rPr>
              <w:t>22</w:t>
            </w:r>
          </w:p>
        </w:tc>
        <w:tc>
          <w:tcPr>
            <w:tcW w:w="6143" w:type="dxa"/>
          </w:tcPr>
          <w:p w14:paraId="2DCAD216" w14:textId="77777777" w:rsidR="007E0ABC" w:rsidRPr="00E36B1E" w:rsidRDefault="007E0ABC" w:rsidP="00D75B62">
            <w:pPr>
              <w:spacing w:line="276" w:lineRule="auto"/>
              <w:rPr>
                <w:sz w:val="18"/>
                <w:szCs w:val="18"/>
              </w:rPr>
            </w:pPr>
            <w:r w:rsidRPr="00E36B1E">
              <w:rPr>
                <w:sz w:val="18"/>
                <w:szCs w:val="18"/>
              </w:rPr>
              <w:t>I feel well prepared for future challenges.</w:t>
            </w:r>
          </w:p>
        </w:tc>
        <w:tc>
          <w:tcPr>
            <w:tcW w:w="921" w:type="dxa"/>
          </w:tcPr>
          <w:p w14:paraId="58EA4F29" w14:textId="77777777" w:rsidR="007E0ABC" w:rsidRPr="00E36B1E" w:rsidRDefault="007E0ABC" w:rsidP="00D75B62">
            <w:pPr>
              <w:spacing w:line="276" w:lineRule="auto"/>
              <w:rPr>
                <w:sz w:val="18"/>
                <w:szCs w:val="18"/>
              </w:rPr>
            </w:pPr>
            <w:r w:rsidRPr="00E36B1E">
              <w:rPr>
                <w:sz w:val="18"/>
                <w:szCs w:val="18"/>
              </w:rPr>
              <w:t>166</w:t>
            </w:r>
          </w:p>
        </w:tc>
        <w:tc>
          <w:tcPr>
            <w:tcW w:w="922" w:type="dxa"/>
          </w:tcPr>
          <w:p w14:paraId="2FEBC870" w14:textId="77777777" w:rsidR="007E0ABC" w:rsidRPr="00E36B1E" w:rsidRDefault="007E0ABC" w:rsidP="00D75B62">
            <w:pPr>
              <w:spacing w:line="276" w:lineRule="auto"/>
              <w:rPr>
                <w:sz w:val="18"/>
                <w:szCs w:val="18"/>
              </w:rPr>
            </w:pPr>
            <w:r w:rsidRPr="00E36B1E">
              <w:rPr>
                <w:sz w:val="18"/>
                <w:szCs w:val="18"/>
              </w:rPr>
              <w:t>36.9</w:t>
            </w:r>
          </w:p>
        </w:tc>
        <w:tc>
          <w:tcPr>
            <w:tcW w:w="779" w:type="dxa"/>
          </w:tcPr>
          <w:p w14:paraId="037543C9" w14:textId="77777777" w:rsidR="007E0ABC" w:rsidRPr="00E36B1E" w:rsidRDefault="007E0ABC" w:rsidP="00D75B62">
            <w:pPr>
              <w:spacing w:line="276" w:lineRule="auto"/>
              <w:rPr>
                <w:sz w:val="18"/>
                <w:szCs w:val="18"/>
              </w:rPr>
            </w:pPr>
            <w:r w:rsidRPr="00E36B1E">
              <w:rPr>
                <w:sz w:val="18"/>
                <w:szCs w:val="18"/>
              </w:rPr>
              <w:t>42</w:t>
            </w:r>
          </w:p>
        </w:tc>
        <w:tc>
          <w:tcPr>
            <w:tcW w:w="780" w:type="dxa"/>
          </w:tcPr>
          <w:p w14:paraId="44B63A5B" w14:textId="77777777" w:rsidR="007E0ABC" w:rsidRPr="00E36B1E" w:rsidRDefault="007E0ABC" w:rsidP="00D75B62">
            <w:pPr>
              <w:spacing w:line="276" w:lineRule="auto"/>
              <w:rPr>
                <w:sz w:val="18"/>
                <w:szCs w:val="18"/>
              </w:rPr>
            </w:pPr>
            <w:r w:rsidRPr="00E36B1E">
              <w:rPr>
                <w:sz w:val="18"/>
                <w:szCs w:val="18"/>
              </w:rPr>
              <w:t>9.3</w:t>
            </w:r>
          </w:p>
        </w:tc>
      </w:tr>
      <w:tr w:rsidR="007E0ABC" w:rsidRPr="00E36B1E" w14:paraId="0F6AFDCF" w14:textId="77777777" w:rsidTr="00D75B62">
        <w:tc>
          <w:tcPr>
            <w:tcW w:w="731" w:type="dxa"/>
          </w:tcPr>
          <w:p w14:paraId="2221F5FD" w14:textId="77777777" w:rsidR="007E0ABC" w:rsidRPr="00E36B1E" w:rsidRDefault="007E0ABC" w:rsidP="00D75B62">
            <w:pPr>
              <w:spacing w:line="276" w:lineRule="auto"/>
              <w:rPr>
                <w:sz w:val="18"/>
                <w:szCs w:val="18"/>
              </w:rPr>
            </w:pPr>
            <w:r w:rsidRPr="00E36B1E">
              <w:rPr>
                <w:sz w:val="18"/>
                <w:szCs w:val="18"/>
              </w:rPr>
              <w:t>23</w:t>
            </w:r>
          </w:p>
        </w:tc>
        <w:tc>
          <w:tcPr>
            <w:tcW w:w="6143" w:type="dxa"/>
          </w:tcPr>
          <w:p w14:paraId="0BE6C0B5" w14:textId="77777777" w:rsidR="007E0ABC" w:rsidRPr="00E36B1E" w:rsidRDefault="007E0ABC" w:rsidP="00D75B62">
            <w:pPr>
              <w:spacing w:line="276" w:lineRule="auto"/>
              <w:rPr>
                <w:sz w:val="18"/>
                <w:szCs w:val="18"/>
                <w:lang w:val="en-US"/>
              </w:rPr>
            </w:pPr>
            <w:r w:rsidRPr="00E36B1E">
              <w:rPr>
                <w:sz w:val="18"/>
                <w:szCs w:val="18"/>
                <w:lang w:val="en-US"/>
              </w:rPr>
              <w:t>I am still troubled by things that happened to me in the past.</w:t>
            </w:r>
          </w:p>
        </w:tc>
        <w:tc>
          <w:tcPr>
            <w:tcW w:w="921" w:type="dxa"/>
          </w:tcPr>
          <w:p w14:paraId="2E7B9268" w14:textId="77777777" w:rsidR="007E0ABC" w:rsidRPr="00E36B1E" w:rsidRDefault="007E0ABC" w:rsidP="00D75B62">
            <w:pPr>
              <w:spacing w:line="276" w:lineRule="auto"/>
              <w:rPr>
                <w:sz w:val="18"/>
                <w:szCs w:val="18"/>
                <w:lang w:val="en-US"/>
              </w:rPr>
            </w:pPr>
            <w:r w:rsidRPr="00E36B1E">
              <w:rPr>
                <w:sz w:val="18"/>
                <w:szCs w:val="18"/>
                <w:lang w:val="en-US"/>
              </w:rPr>
              <w:t>262</w:t>
            </w:r>
          </w:p>
        </w:tc>
        <w:tc>
          <w:tcPr>
            <w:tcW w:w="922" w:type="dxa"/>
          </w:tcPr>
          <w:p w14:paraId="55AC7187" w14:textId="77777777" w:rsidR="007E0ABC" w:rsidRPr="00E36B1E" w:rsidRDefault="007E0ABC" w:rsidP="00D75B62">
            <w:pPr>
              <w:spacing w:line="276" w:lineRule="auto"/>
              <w:rPr>
                <w:sz w:val="18"/>
                <w:szCs w:val="18"/>
                <w:lang w:val="en-US"/>
              </w:rPr>
            </w:pPr>
            <w:r w:rsidRPr="00E36B1E">
              <w:rPr>
                <w:sz w:val="18"/>
                <w:szCs w:val="18"/>
                <w:lang w:val="en-US"/>
              </w:rPr>
              <w:t>58.2</w:t>
            </w:r>
          </w:p>
        </w:tc>
        <w:tc>
          <w:tcPr>
            <w:tcW w:w="779" w:type="dxa"/>
          </w:tcPr>
          <w:p w14:paraId="538C2866" w14:textId="77777777" w:rsidR="007E0ABC" w:rsidRPr="00E36B1E" w:rsidRDefault="007E0ABC" w:rsidP="00D75B62">
            <w:pPr>
              <w:spacing w:line="276" w:lineRule="auto"/>
              <w:rPr>
                <w:sz w:val="18"/>
                <w:szCs w:val="18"/>
                <w:lang w:val="en-US"/>
              </w:rPr>
            </w:pPr>
            <w:r w:rsidRPr="00E36B1E">
              <w:rPr>
                <w:sz w:val="18"/>
                <w:szCs w:val="18"/>
                <w:lang w:val="en-US"/>
              </w:rPr>
              <w:t>48</w:t>
            </w:r>
          </w:p>
        </w:tc>
        <w:tc>
          <w:tcPr>
            <w:tcW w:w="780" w:type="dxa"/>
          </w:tcPr>
          <w:p w14:paraId="42F6C186" w14:textId="77777777" w:rsidR="007E0ABC" w:rsidRPr="00E36B1E" w:rsidRDefault="007E0ABC" w:rsidP="00D75B62">
            <w:pPr>
              <w:spacing w:line="276" w:lineRule="auto"/>
              <w:rPr>
                <w:sz w:val="18"/>
                <w:szCs w:val="18"/>
                <w:lang w:val="en-US"/>
              </w:rPr>
            </w:pPr>
            <w:r w:rsidRPr="00E36B1E">
              <w:rPr>
                <w:sz w:val="18"/>
                <w:szCs w:val="18"/>
                <w:lang w:val="en-US"/>
              </w:rPr>
              <w:t>10.7</w:t>
            </w:r>
          </w:p>
        </w:tc>
      </w:tr>
      <w:tr w:rsidR="007E0ABC" w:rsidRPr="00E36B1E" w14:paraId="0D918D64" w14:textId="77777777" w:rsidTr="00D75B62">
        <w:tc>
          <w:tcPr>
            <w:tcW w:w="731" w:type="dxa"/>
          </w:tcPr>
          <w:p w14:paraId="1697B6A8" w14:textId="77777777" w:rsidR="007E0ABC" w:rsidRPr="00E36B1E" w:rsidRDefault="007E0ABC" w:rsidP="00D75B62">
            <w:pPr>
              <w:spacing w:line="276" w:lineRule="auto"/>
              <w:rPr>
                <w:sz w:val="18"/>
                <w:szCs w:val="18"/>
              </w:rPr>
            </w:pPr>
            <w:r w:rsidRPr="00E36B1E">
              <w:rPr>
                <w:sz w:val="18"/>
                <w:szCs w:val="18"/>
              </w:rPr>
              <w:t>24</w:t>
            </w:r>
          </w:p>
        </w:tc>
        <w:tc>
          <w:tcPr>
            <w:tcW w:w="6143" w:type="dxa"/>
          </w:tcPr>
          <w:p w14:paraId="5547174F" w14:textId="77777777" w:rsidR="007E0ABC" w:rsidRPr="00E36B1E" w:rsidRDefault="007E0ABC" w:rsidP="00D75B62">
            <w:pPr>
              <w:spacing w:line="276" w:lineRule="auto"/>
              <w:rPr>
                <w:sz w:val="18"/>
                <w:szCs w:val="18"/>
                <w:lang w:val="en-US"/>
              </w:rPr>
            </w:pPr>
            <w:r w:rsidRPr="00E36B1E">
              <w:rPr>
                <w:sz w:val="18"/>
                <w:szCs w:val="18"/>
                <w:lang w:val="en-US"/>
              </w:rPr>
              <w:t>I am confident when I deal with people I do not know.</w:t>
            </w:r>
          </w:p>
        </w:tc>
        <w:tc>
          <w:tcPr>
            <w:tcW w:w="921" w:type="dxa"/>
          </w:tcPr>
          <w:p w14:paraId="23560818" w14:textId="77777777" w:rsidR="007E0ABC" w:rsidRPr="00E36B1E" w:rsidRDefault="007E0ABC" w:rsidP="00D75B62">
            <w:pPr>
              <w:spacing w:line="276" w:lineRule="auto"/>
              <w:rPr>
                <w:sz w:val="18"/>
                <w:szCs w:val="18"/>
                <w:lang w:val="en-US"/>
              </w:rPr>
            </w:pPr>
            <w:r w:rsidRPr="00E36B1E">
              <w:rPr>
                <w:sz w:val="18"/>
                <w:szCs w:val="18"/>
                <w:lang w:val="en-US"/>
              </w:rPr>
              <w:t>162</w:t>
            </w:r>
          </w:p>
        </w:tc>
        <w:tc>
          <w:tcPr>
            <w:tcW w:w="922" w:type="dxa"/>
          </w:tcPr>
          <w:p w14:paraId="368144C1" w14:textId="77777777" w:rsidR="007E0ABC" w:rsidRPr="00E36B1E" w:rsidRDefault="007E0ABC" w:rsidP="00D75B62">
            <w:pPr>
              <w:spacing w:line="276" w:lineRule="auto"/>
              <w:rPr>
                <w:sz w:val="18"/>
                <w:szCs w:val="18"/>
                <w:lang w:val="en-US"/>
              </w:rPr>
            </w:pPr>
            <w:r w:rsidRPr="00E36B1E">
              <w:rPr>
                <w:sz w:val="18"/>
                <w:szCs w:val="18"/>
                <w:lang w:val="en-US"/>
              </w:rPr>
              <w:t>36.0</w:t>
            </w:r>
          </w:p>
        </w:tc>
        <w:tc>
          <w:tcPr>
            <w:tcW w:w="779" w:type="dxa"/>
          </w:tcPr>
          <w:p w14:paraId="18377742" w14:textId="77777777" w:rsidR="007E0ABC" w:rsidRPr="00E36B1E" w:rsidRDefault="007E0ABC" w:rsidP="00D75B62">
            <w:pPr>
              <w:spacing w:line="276" w:lineRule="auto"/>
              <w:rPr>
                <w:sz w:val="18"/>
                <w:szCs w:val="18"/>
                <w:lang w:val="en-US"/>
              </w:rPr>
            </w:pPr>
            <w:r w:rsidRPr="00E36B1E">
              <w:rPr>
                <w:sz w:val="18"/>
                <w:szCs w:val="18"/>
                <w:lang w:val="en-US"/>
              </w:rPr>
              <w:t>65</w:t>
            </w:r>
          </w:p>
        </w:tc>
        <w:tc>
          <w:tcPr>
            <w:tcW w:w="780" w:type="dxa"/>
          </w:tcPr>
          <w:p w14:paraId="22E6DBF8" w14:textId="77777777" w:rsidR="007E0ABC" w:rsidRPr="00E36B1E" w:rsidRDefault="007E0ABC" w:rsidP="00D75B62">
            <w:pPr>
              <w:spacing w:line="276" w:lineRule="auto"/>
              <w:rPr>
                <w:sz w:val="18"/>
                <w:szCs w:val="18"/>
                <w:lang w:val="en-US"/>
              </w:rPr>
            </w:pPr>
            <w:r w:rsidRPr="00E36B1E">
              <w:rPr>
                <w:sz w:val="18"/>
                <w:szCs w:val="18"/>
                <w:lang w:val="en-US"/>
              </w:rPr>
              <w:t>14.4</w:t>
            </w:r>
          </w:p>
        </w:tc>
      </w:tr>
      <w:tr w:rsidR="007E0ABC" w:rsidRPr="00E36B1E" w14:paraId="6F30FFC6" w14:textId="77777777" w:rsidTr="00D75B62">
        <w:tc>
          <w:tcPr>
            <w:tcW w:w="731" w:type="dxa"/>
          </w:tcPr>
          <w:p w14:paraId="23E9F611" w14:textId="77777777" w:rsidR="007E0ABC" w:rsidRPr="00E36B1E" w:rsidRDefault="007E0ABC" w:rsidP="00D75B62">
            <w:pPr>
              <w:spacing w:line="276" w:lineRule="auto"/>
              <w:rPr>
                <w:sz w:val="18"/>
                <w:szCs w:val="18"/>
              </w:rPr>
            </w:pPr>
            <w:r w:rsidRPr="00E36B1E">
              <w:rPr>
                <w:sz w:val="18"/>
                <w:szCs w:val="18"/>
              </w:rPr>
              <w:t>25</w:t>
            </w:r>
          </w:p>
        </w:tc>
        <w:tc>
          <w:tcPr>
            <w:tcW w:w="6143" w:type="dxa"/>
          </w:tcPr>
          <w:p w14:paraId="6191C19E" w14:textId="77777777" w:rsidR="007E0ABC" w:rsidRPr="00E36B1E" w:rsidRDefault="007E0ABC" w:rsidP="00D75B62">
            <w:pPr>
              <w:spacing w:line="276" w:lineRule="auto"/>
              <w:rPr>
                <w:sz w:val="18"/>
                <w:szCs w:val="18"/>
                <w:lang w:val="en-US"/>
              </w:rPr>
            </w:pPr>
            <w:r w:rsidRPr="00E36B1E">
              <w:rPr>
                <w:sz w:val="18"/>
                <w:szCs w:val="18"/>
                <w:lang w:val="en-US"/>
              </w:rPr>
              <w:t>I find it easy to relax.</w:t>
            </w:r>
          </w:p>
        </w:tc>
        <w:tc>
          <w:tcPr>
            <w:tcW w:w="921" w:type="dxa"/>
          </w:tcPr>
          <w:p w14:paraId="2FBDA344" w14:textId="77777777" w:rsidR="007E0ABC" w:rsidRPr="00E36B1E" w:rsidRDefault="007E0ABC" w:rsidP="00D75B62">
            <w:pPr>
              <w:spacing w:line="276" w:lineRule="auto"/>
              <w:rPr>
                <w:sz w:val="18"/>
                <w:szCs w:val="18"/>
                <w:lang w:val="en-US"/>
              </w:rPr>
            </w:pPr>
            <w:r w:rsidRPr="00E36B1E">
              <w:rPr>
                <w:sz w:val="18"/>
                <w:szCs w:val="18"/>
                <w:lang w:val="en-US"/>
              </w:rPr>
              <w:t>225</w:t>
            </w:r>
          </w:p>
        </w:tc>
        <w:tc>
          <w:tcPr>
            <w:tcW w:w="922" w:type="dxa"/>
          </w:tcPr>
          <w:p w14:paraId="192D2B84" w14:textId="77777777" w:rsidR="007E0ABC" w:rsidRPr="00E36B1E" w:rsidRDefault="007E0ABC" w:rsidP="00D75B62">
            <w:pPr>
              <w:spacing w:line="276" w:lineRule="auto"/>
              <w:rPr>
                <w:sz w:val="18"/>
                <w:szCs w:val="18"/>
                <w:lang w:val="en-US"/>
              </w:rPr>
            </w:pPr>
            <w:r w:rsidRPr="00E36B1E">
              <w:rPr>
                <w:sz w:val="18"/>
                <w:szCs w:val="18"/>
                <w:lang w:val="en-US"/>
              </w:rPr>
              <w:t>50</w:t>
            </w:r>
          </w:p>
        </w:tc>
        <w:tc>
          <w:tcPr>
            <w:tcW w:w="779" w:type="dxa"/>
          </w:tcPr>
          <w:p w14:paraId="74EB2930" w14:textId="77777777" w:rsidR="007E0ABC" w:rsidRPr="00E36B1E" w:rsidRDefault="007E0ABC" w:rsidP="00D75B62">
            <w:pPr>
              <w:spacing w:line="276" w:lineRule="auto"/>
              <w:rPr>
                <w:sz w:val="18"/>
                <w:szCs w:val="18"/>
                <w:lang w:val="en-US"/>
              </w:rPr>
            </w:pPr>
            <w:r w:rsidRPr="00E36B1E">
              <w:rPr>
                <w:sz w:val="18"/>
                <w:szCs w:val="18"/>
                <w:lang w:val="en-US"/>
              </w:rPr>
              <w:t>29</w:t>
            </w:r>
          </w:p>
        </w:tc>
        <w:tc>
          <w:tcPr>
            <w:tcW w:w="780" w:type="dxa"/>
          </w:tcPr>
          <w:p w14:paraId="7C980627" w14:textId="77777777" w:rsidR="007E0ABC" w:rsidRPr="00E36B1E" w:rsidRDefault="007E0ABC" w:rsidP="00D75B62">
            <w:pPr>
              <w:spacing w:line="276" w:lineRule="auto"/>
              <w:rPr>
                <w:sz w:val="18"/>
                <w:szCs w:val="18"/>
                <w:lang w:val="en-US"/>
              </w:rPr>
            </w:pPr>
            <w:r w:rsidRPr="00E36B1E">
              <w:rPr>
                <w:sz w:val="18"/>
                <w:szCs w:val="18"/>
                <w:lang w:val="en-US"/>
              </w:rPr>
              <w:t>6.4</w:t>
            </w:r>
          </w:p>
        </w:tc>
      </w:tr>
      <w:tr w:rsidR="007E0ABC" w:rsidRPr="00E36B1E" w14:paraId="76849606" w14:textId="77777777" w:rsidTr="00D75B62">
        <w:tc>
          <w:tcPr>
            <w:tcW w:w="731" w:type="dxa"/>
          </w:tcPr>
          <w:p w14:paraId="45D147A4" w14:textId="77777777" w:rsidR="007E0ABC" w:rsidRPr="00E36B1E" w:rsidRDefault="007E0ABC" w:rsidP="00D75B62">
            <w:pPr>
              <w:spacing w:line="276" w:lineRule="auto"/>
              <w:rPr>
                <w:sz w:val="18"/>
                <w:szCs w:val="18"/>
              </w:rPr>
            </w:pPr>
            <w:r w:rsidRPr="00E36B1E">
              <w:rPr>
                <w:sz w:val="18"/>
                <w:szCs w:val="18"/>
              </w:rPr>
              <w:lastRenderedPageBreak/>
              <w:t>26</w:t>
            </w:r>
          </w:p>
        </w:tc>
        <w:tc>
          <w:tcPr>
            <w:tcW w:w="6143" w:type="dxa"/>
          </w:tcPr>
          <w:p w14:paraId="08B62A09" w14:textId="77777777" w:rsidR="007E0ABC" w:rsidRPr="00E36B1E" w:rsidRDefault="007E0ABC" w:rsidP="00D75B62">
            <w:pPr>
              <w:spacing w:line="276" w:lineRule="auto"/>
              <w:rPr>
                <w:sz w:val="18"/>
                <w:szCs w:val="18"/>
                <w:lang w:val="en-US"/>
              </w:rPr>
            </w:pPr>
            <w:r w:rsidRPr="00E36B1E">
              <w:rPr>
                <w:sz w:val="18"/>
                <w:szCs w:val="18"/>
                <w:lang w:val="en-US"/>
              </w:rPr>
              <w:t>I take on too much to the point of being exhausted.</w:t>
            </w:r>
          </w:p>
        </w:tc>
        <w:tc>
          <w:tcPr>
            <w:tcW w:w="921" w:type="dxa"/>
          </w:tcPr>
          <w:p w14:paraId="4F774B5F" w14:textId="77777777" w:rsidR="007E0ABC" w:rsidRPr="00E36B1E" w:rsidRDefault="007E0ABC" w:rsidP="00D75B62">
            <w:pPr>
              <w:spacing w:line="276" w:lineRule="auto"/>
              <w:rPr>
                <w:sz w:val="18"/>
                <w:szCs w:val="18"/>
                <w:lang w:val="en-US"/>
              </w:rPr>
            </w:pPr>
            <w:r w:rsidRPr="00E36B1E">
              <w:rPr>
                <w:sz w:val="18"/>
                <w:szCs w:val="18"/>
                <w:lang w:val="en-US"/>
              </w:rPr>
              <w:t>166</w:t>
            </w:r>
          </w:p>
        </w:tc>
        <w:tc>
          <w:tcPr>
            <w:tcW w:w="922" w:type="dxa"/>
          </w:tcPr>
          <w:p w14:paraId="2E936CE1" w14:textId="77777777" w:rsidR="007E0ABC" w:rsidRPr="00E36B1E" w:rsidRDefault="007E0ABC" w:rsidP="00D75B62">
            <w:pPr>
              <w:spacing w:line="276" w:lineRule="auto"/>
              <w:rPr>
                <w:sz w:val="18"/>
                <w:szCs w:val="18"/>
                <w:lang w:val="en-US"/>
              </w:rPr>
            </w:pPr>
            <w:r w:rsidRPr="00E36B1E">
              <w:rPr>
                <w:sz w:val="18"/>
                <w:szCs w:val="18"/>
                <w:lang w:val="en-US"/>
              </w:rPr>
              <w:t>36.9</w:t>
            </w:r>
          </w:p>
        </w:tc>
        <w:tc>
          <w:tcPr>
            <w:tcW w:w="779" w:type="dxa"/>
          </w:tcPr>
          <w:p w14:paraId="68C4C6C2" w14:textId="77777777" w:rsidR="007E0ABC" w:rsidRPr="00E36B1E" w:rsidRDefault="007E0ABC" w:rsidP="00D75B62">
            <w:pPr>
              <w:spacing w:line="276" w:lineRule="auto"/>
              <w:rPr>
                <w:sz w:val="18"/>
                <w:szCs w:val="18"/>
                <w:lang w:val="en-US"/>
              </w:rPr>
            </w:pPr>
            <w:r w:rsidRPr="00E36B1E">
              <w:rPr>
                <w:sz w:val="18"/>
                <w:szCs w:val="18"/>
                <w:lang w:val="en-US"/>
              </w:rPr>
              <w:t>41</w:t>
            </w:r>
          </w:p>
        </w:tc>
        <w:tc>
          <w:tcPr>
            <w:tcW w:w="780" w:type="dxa"/>
          </w:tcPr>
          <w:p w14:paraId="6009E434" w14:textId="77777777" w:rsidR="007E0ABC" w:rsidRPr="00E36B1E" w:rsidRDefault="007E0ABC" w:rsidP="00D75B62">
            <w:pPr>
              <w:spacing w:line="276" w:lineRule="auto"/>
              <w:rPr>
                <w:sz w:val="18"/>
                <w:szCs w:val="18"/>
                <w:lang w:val="en-US"/>
              </w:rPr>
            </w:pPr>
            <w:r w:rsidRPr="00E36B1E">
              <w:rPr>
                <w:sz w:val="18"/>
                <w:szCs w:val="18"/>
                <w:lang w:val="en-US"/>
              </w:rPr>
              <w:t>9.1</w:t>
            </w:r>
          </w:p>
        </w:tc>
      </w:tr>
      <w:tr w:rsidR="007E0ABC" w:rsidRPr="00E36B1E" w14:paraId="202D937B" w14:textId="77777777" w:rsidTr="00D75B62">
        <w:tc>
          <w:tcPr>
            <w:tcW w:w="731" w:type="dxa"/>
          </w:tcPr>
          <w:p w14:paraId="577C5D0A" w14:textId="77777777" w:rsidR="007E0ABC" w:rsidRPr="00E36B1E" w:rsidRDefault="007E0ABC" w:rsidP="00D75B62">
            <w:pPr>
              <w:spacing w:line="276" w:lineRule="auto"/>
              <w:rPr>
                <w:sz w:val="18"/>
                <w:szCs w:val="18"/>
              </w:rPr>
            </w:pPr>
            <w:r w:rsidRPr="00E36B1E">
              <w:rPr>
                <w:sz w:val="18"/>
                <w:szCs w:val="18"/>
              </w:rPr>
              <w:t>27</w:t>
            </w:r>
          </w:p>
        </w:tc>
        <w:tc>
          <w:tcPr>
            <w:tcW w:w="6143" w:type="dxa"/>
          </w:tcPr>
          <w:p w14:paraId="590A2205" w14:textId="77777777" w:rsidR="007E0ABC" w:rsidRPr="00E36B1E" w:rsidRDefault="007E0ABC" w:rsidP="00D75B62">
            <w:pPr>
              <w:spacing w:line="276" w:lineRule="auto"/>
              <w:rPr>
                <w:sz w:val="18"/>
                <w:szCs w:val="18"/>
                <w:lang w:val="en-US"/>
              </w:rPr>
            </w:pPr>
            <w:r w:rsidRPr="00E36B1E">
              <w:rPr>
                <w:sz w:val="18"/>
                <w:szCs w:val="18"/>
                <w:lang w:val="en-US"/>
              </w:rPr>
              <w:t xml:space="preserve">I am confident that my ability to cope with my illness will improve. </w:t>
            </w:r>
          </w:p>
        </w:tc>
        <w:tc>
          <w:tcPr>
            <w:tcW w:w="921" w:type="dxa"/>
          </w:tcPr>
          <w:p w14:paraId="74C80E67" w14:textId="77777777" w:rsidR="007E0ABC" w:rsidRPr="00E36B1E" w:rsidRDefault="007E0ABC" w:rsidP="00D75B62">
            <w:pPr>
              <w:spacing w:line="276" w:lineRule="auto"/>
              <w:rPr>
                <w:sz w:val="18"/>
                <w:szCs w:val="18"/>
                <w:lang w:val="en-US"/>
              </w:rPr>
            </w:pPr>
            <w:r w:rsidRPr="00E36B1E">
              <w:rPr>
                <w:sz w:val="18"/>
                <w:szCs w:val="18"/>
                <w:lang w:val="en-US"/>
              </w:rPr>
              <w:t>84</w:t>
            </w:r>
          </w:p>
        </w:tc>
        <w:tc>
          <w:tcPr>
            <w:tcW w:w="922" w:type="dxa"/>
          </w:tcPr>
          <w:p w14:paraId="39DD7789" w14:textId="77777777" w:rsidR="007E0ABC" w:rsidRPr="00E36B1E" w:rsidRDefault="007E0ABC" w:rsidP="00D75B62">
            <w:pPr>
              <w:spacing w:line="276" w:lineRule="auto"/>
              <w:rPr>
                <w:sz w:val="18"/>
                <w:szCs w:val="18"/>
                <w:lang w:val="en-US"/>
              </w:rPr>
            </w:pPr>
            <w:r w:rsidRPr="00E36B1E">
              <w:rPr>
                <w:sz w:val="18"/>
                <w:szCs w:val="18"/>
                <w:lang w:val="en-US"/>
              </w:rPr>
              <w:t>18.7</w:t>
            </w:r>
          </w:p>
        </w:tc>
        <w:tc>
          <w:tcPr>
            <w:tcW w:w="779" w:type="dxa"/>
          </w:tcPr>
          <w:p w14:paraId="003F8ED3" w14:textId="77777777" w:rsidR="007E0ABC" w:rsidRPr="00E36B1E" w:rsidRDefault="007E0ABC" w:rsidP="00D75B62">
            <w:pPr>
              <w:spacing w:line="276" w:lineRule="auto"/>
              <w:rPr>
                <w:sz w:val="18"/>
                <w:szCs w:val="18"/>
                <w:lang w:val="en-US"/>
              </w:rPr>
            </w:pPr>
            <w:r w:rsidRPr="00E36B1E">
              <w:rPr>
                <w:sz w:val="18"/>
                <w:szCs w:val="18"/>
                <w:lang w:val="en-US"/>
              </w:rPr>
              <w:t>52</w:t>
            </w:r>
          </w:p>
        </w:tc>
        <w:tc>
          <w:tcPr>
            <w:tcW w:w="780" w:type="dxa"/>
          </w:tcPr>
          <w:p w14:paraId="2156F624" w14:textId="77777777" w:rsidR="007E0ABC" w:rsidRPr="00E36B1E" w:rsidRDefault="007E0ABC" w:rsidP="00D75B62">
            <w:pPr>
              <w:spacing w:line="276" w:lineRule="auto"/>
              <w:rPr>
                <w:sz w:val="18"/>
                <w:szCs w:val="18"/>
                <w:lang w:val="en-US"/>
              </w:rPr>
            </w:pPr>
            <w:r w:rsidRPr="00E36B1E">
              <w:rPr>
                <w:sz w:val="18"/>
                <w:szCs w:val="18"/>
                <w:lang w:val="en-US"/>
              </w:rPr>
              <w:t>11.6</w:t>
            </w:r>
          </w:p>
        </w:tc>
      </w:tr>
      <w:tr w:rsidR="007E0ABC" w:rsidRPr="00E36B1E" w14:paraId="07739308" w14:textId="77777777" w:rsidTr="00D75B62">
        <w:tc>
          <w:tcPr>
            <w:tcW w:w="731" w:type="dxa"/>
          </w:tcPr>
          <w:p w14:paraId="0F7F93BA" w14:textId="77777777" w:rsidR="007E0ABC" w:rsidRPr="00E36B1E" w:rsidRDefault="007E0ABC" w:rsidP="00D75B62">
            <w:pPr>
              <w:spacing w:line="276" w:lineRule="auto"/>
              <w:rPr>
                <w:sz w:val="18"/>
                <w:szCs w:val="18"/>
              </w:rPr>
            </w:pPr>
            <w:r w:rsidRPr="00E36B1E">
              <w:rPr>
                <w:sz w:val="18"/>
                <w:szCs w:val="18"/>
              </w:rPr>
              <w:t>28</w:t>
            </w:r>
          </w:p>
        </w:tc>
        <w:tc>
          <w:tcPr>
            <w:tcW w:w="6143" w:type="dxa"/>
          </w:tcPr>
          <w:p w14:paraId="2C530955" w14:textId="77777777" w:rsidR="007E0ABC" w:rsidRPr="00E36B1E" w:rsidRDefault="007E0ABC" w:rsidP="00D75B62">
            <w:pPr>
              <w:spacing w:line="276" w:lineRule="auto"/>
              <w:rPr>
                <w:sz w:val="18"/>
                <w:szCs w:val="18"/>
                <w:lang w:val="en-US"/>
              </w:rPr>
            </w:pPr>
            <w:r w:rsidRPr="00E36B1E">
              <w:rPr>
                <w:sz w:val="18"/>
                <w:szCs w:val="18"/>
                <w:lang w:val="en-US"/>
              </w:rPr>
              <w:t>My illness has changed my perspective on life.</w:t>
            </w:r>
          </w:p>
        </w:tc>
        <w:tc>
          <w:tcPr>
            <w:tcW w:w="921" w:type="dxa"/>
          </w:tcPr>
          <w:p w14:paraId="0899D5A7" w14:textId="77777777" w:rsidR="007E0ABC" w:rsidRPr="00E36B1E" w:rsidRDefault="007E0ABC" w:rsidP="00D75B62">
            <w:pPr>
              <w:spacing w:line="276" w:lineRule="auto"/>
              <w:rPr>
                <w:sz w:val="18"/>
                <w:szCs w:val="18"/>
                <w:lang w:val="en-US"/>
              </w:rPr>
            </w:pPr>
            <w:r w:rsidRPr="00E36B1E">
              <w:rPr>
                <w:sz w:val="18"/>
                <w:szCs w:val="18"/>
                <w:lang w:val="en-US"/>
              </w:rPr>
              <w:t>20</w:t>
            </w:r>
          </w:p>
        </w:tc>
        <w:tc>
          <w:tcPr>
            <w:tcW w:w="922" w:type="dxa"/>
          </w:tcPr>
          <w:p w14:paraId="10A61DFF" w14:textId="77777777" w:rsidR="007E0ABC" w:rsidRPr="00E36B1E" w:rsidRDefault="007E0ABC" w:rsidP="00D75B62">
            <w:pPr>
              <w:spacing w:line="276" w:lineRule="auto"/>
              <w:rPr>
                <w:sz w:val="18"/>
                <w:szCs w:val="18"/>
                <w:lang w:val="en-US"/>
              </w:rPr>
            </w:pPr>
            <w:r w:rsidRPr="00E36B1E">
              <w:rPr>
                <w:sz w:val="18"/>
                <w:szCs w:val="18"/>
                <w:lang w:val="en-US"/>
              </w:rPr>
              <w:t>4.4</w:t>
            </w:r>
          </w:p>
        </w:tc>
        <w:tc>
          <w:tcPr>
            <w:tcW w:w="779" w:type="dxa"/>
          </w:tcPr>
          <w:p w14:paraId="4FD96733" w14:textId="77777777" w:rsidR="007E0ABC" w:rsidRPr="00E36B1E" w:rsidRDefault="007E0ABC" w:rsidP="00D75B62">
            <w:pPr>
              <w:spacing w:line="276" w:lineRule="auto"/>
              <w:rPr>
                <w:sz w:val="18"/>
                <w:szCs w:val="18"/>
                <w:lang w:val="en-US"/>
              </w:rPr>
            </w:pPr>
            <w:r w:rsidRPr="00E36B1E">
              <w:rPr>
                <w:sz w:val="18"/>
                <w:szCs w:val="18"/>
                <w:lang w:val="en-US"/>
              </w:rPr>
              <w:t>245</w:t>
            </w:r>
          </w:p>
        </w:tc>
        <w:tc>
          <w:tcPr>
            <w:tcW w:w="780" w:type="dxa"/>
          </w:tcPr>
          <w:p w14:paraId="6258E5C5" w14:textId="77777777" w:rsidR="007E0ABC" w:rsidRPr="00E36B1E" w:rsidRDefault="007E0ABC" w:rsidP="00D75B62">
            <w:pPr>
              <w:spacing w:line="276" w:lineRule="auto"/>
              <w:rPr>
                <w:sz w:val="18"/>
                <w:szCs w:val="18"/>
                <w:lang w:val="en-US"/>
              </w:rPr>
            </w:pPr>
            <w:r w:rsidRPr="00E36B1E">
              <w:rPr>
                <w:sz w:val="18"/>
                <w:szCs w:val="18"/>
                <w:lang w:val="en-US"/>
              </w:rPr>
              <w:t>54.4</w:t>
            </w:r>
          </w:p>
        </w:tc>
      </w:tr>
      <w:tr w:rsidR="007E0ABC" w:rsidRPr="00E36B1E" w14:paraId="3F1FC23F" w14:textId="77777777" w:rsidTr="00D75B62">
        <w:tc>
          <w:tcPr>
            <w:tcW w:w="731" w:type="dxa"/>
          </w:tcPr>
          <w:p w14:paraId="77DC52EC" w14:textId="77777777" w:rsidR="007E0ABC" w:rsidRPr="00E36B1E" w:rsidRDefault="007E0ABC" w:rsidP="00D75B62">
            <w:pPr>
              <w:spacing w:line="276" w:lineRule="auto"/>
              <w:rPr>
                <w:sz w:val="18"/>
                <w:szCs w:val="18"/>
              </w:rPr>
            </w:pPr>
            <w:r w:rsidRPr="00E36B1E">
              <w:rPr>
                <w:sz w:val="18"/>
                <w:szCs w:val="18"/>
              </w:rPr>
              <w:t>29</w:t>
            </w:r>
          </w:p>
        </w:tc>
        <w:tc>
          <w:tcPr>
            <w:tcW w:w="6143" w:type="dxa"/>
          </w:tcPr>
          <w:p w14:paraId="5A6630B4" w14:textId="77777777" w:rsidR="007E0ABC" w:rsidRPr="00E36B1E" w:rsidRDefault="007E0ABC" w:rsidP="00D75B62">
            <w:pPr>
              <w:spacing w:line="276" w:lineRule="auto"/>
              <w:rPr>
                <w:sz w:val="18"/>
                <w:szCs w:val="18"/>
                <w:lang w:val="en-US"/>
              </w:rPr>
            </w:pPr>
            <w:r w:rsidRPr="00E36B1E">
              <w:rPr>
                <w:sz w:val="18"/>
                <w:szCs w:val="18"/>
                <w:lang w:val="en-US"/>
              </w:rPr>
              <w:t>I believe that problems in life are also an opportunity to develop new skills.</w:t>
            </w:r>
          </w:p>
        </w:tc>
        <w:tc>
          <w:tcPr>
            <w:tcW w:w="921" w:type="dxa"/>
          </w:tcPr>
          <w:p w14:paraId="1D6744BB" w14:textId="77777777" w:rsidR="007E0ABC" w:rsidRPr="00E36B1E" w:rsidRDefault="007E0ABC" w:rsidP="00D75B62">
            <w:pPr>
              <w:spacing w:line="276" w:lineRule="auto"/>
              <w:rPr>
                <w:sz w:val="18"/>
                <w:szCs w:val="18"/>
                <w:lang w:val="en-US"/>
              </w:rPr>
            </w:pPr>
            <w:r w:rsidRPr="00E36B1E">
              <w:rPr>
                <w:sz w:val="18"/>
                <w:szCs w:val="18"/>
                <w:lang w:val="en-US"/>
              </w:rPr>
              <w:t>54</w:t>
            </w:r>
          </w:p>
        </w:tc>
        <w:tc>
          <w:tcPr>
            <w:tcW w:w="922" w:type="dxa"/>
          </w:tcPr>
          <w:p w14:paraId="1DC47D85" w14:textId="77777777" w:rsidR="007E0ABC" w:rsidRPr="00E36B1E" w:rsidRDefault="007E0ABC" w:rsidP="00D75B62">
            <w:pPr>
              <w:spacing w:line="276" w:lineRule="auto"/>
              <w:rPr>
                <w:sz w:val="18"/>
                <w:szCs w:val="18"/>
                <w:lang w:val="en-US"/>
              </w:rPr>
            </w:pPr>
            <w:r w:rsidRPr="00E36B1E">
              <w:rPr>
                <w:sz w:val="18"/>
                <w:szCs w:val="18"/>
                <w:lang w:val="en-US"/>
              </w:rPr>
              <w:t>12.0</w:t>
            </w:r>
          </w:p>
        </w:tc>
        <w:tc>
          <w:tcPr>
            <w:tcW w:w="779" w:type="dxa"/>
          </w:tcPr>
          <w:p w14:paraId="16102B04" w14:textId="77777777" w:rsidR="007E0ABC" w:rsidRPr="00E36B1E" w:rsidRDefault="007E0ABC" w:rsidP="00D75B62">
            <w:pPr>
              <w:spacing w:line="276" w:lineRule="auto"/>
              <w:rPr>
                <w:sz w:val="18"/>
                <w:szCs w:val="18"/>
                <w:lang w:val="en-US"/>
              </w:rPr>
            </w:pPr>
            <w:r w:rsidRPr="00E36B1E">
              <w:rPr>
                <w:sz w:val="18"/>
                <w:szCs w:val="18"/>
                <w:lang w:val="en-US"/>
              </w:rPr>
              <w:t>89</w:t>
            </w:r>
          </w:p>
        </w:tc>
        <w:tc>
          <w:tcPr>
            <w:tcW w:w="780" w:type="dxa"/>
          </w:tcPr>
          <w:p w14:paraId="054EE7D0" w14:textId="77777777" w:rsidR="007E0ABC" w:rsidRPr="00E36B1E" w:rsidRDefault="007E0ABC" w:rsidP="00D75B62">
            <w:pPr>
              <w:spacing w:line="276" w:lineRule="auto"/>
              <w:rPr>
                <w:sz w:val="18"/>
                <w:szCs w:val="18"/>
                <w:lang w:val="en-US"/>
              </w:rPr>
            </w:pPr>
            <w:r w:rsidRPr="00E36B1E">
              <w:rPr>
                <w:sz w:val="18"/>
                <w:szCs w:val="18"/>
                <w:lang w:val="en-US"/>
              </w:rPr>
              <w:t>19.8</w:t>
            </w:r>
          </w:p>
        </w:tc>
      </w:tr>
      <w:tr w:rsidR="007E0ABC" w:rsidRPr="00E36B1E" w14:paraId="16C08461" w14:textId="77777777" w:rsidTr="00D75B62">
        <w:tc>
          <w:tcPr>
            <w:tcW w:w="731" w:type="dxa"/>
          </w:tcPr>
          <w:p w14:paraId="406BC0C1" w14:textId="77777777" w:rsidR="007E0ABC" w:rsidRPr="00E36B1E" w:rsidRDefault="007E0ABC" w:rsidP="00D75B62">
            <w:pPr>
              <w:spacing w:line="276" w:lineRule="auto"/>
              <w:rPr>
                <w:sz w:val="18"/>
                <w:szCs w:val="18"/>
              </w:rPr>
            </w:pPr>
            <w:r w:rsidRPr="00E36B1E">
              <w:rPr>
                <w:sz w:val="18"/>
                <w:szCs w:val="18"/>
              </w:rPr>
              <w:t>30</w:t>
            </w:r>
          </w:p>
        </w:tc>
        <w:tc>
          <w:tcPr>
            <w:tcW w:w="6143" w:type="dxa"/>
          </w:tcPr>
          <w:p w14:paraId="00CE8C1A" w14:textId="77777777" w:rsidR="007E0ABC" w:rsidRPr="00E36B1E" w:rsidRDefault="007E0ABC" w:rsidP="00D75B62">
            <w:pPr>
              <w:spacing w:line="276" w:lineRule="auto"/>
              <w:rPr>
                <w:sz w:val="18"/>
                <w:szCs w:val="18"/>
                <w:lang w:val="en-US"/>
              </w:rPr>
            </w:pPr>
            <w:r w:rsidRPr="00E36B1E">
              <w:rPr>
                <w:sz w:val="18"/>
                <w:szCs w:val="18"/>
                <w:lang w:val="en-US"/>
              </w:rPr>
              <w:t>I am happy with the support that I receive.</w:t>
            </w:r>
          </w:p>
        </w:tc>
        <w:tc>
          <w:tcPr>
            <w:tcW w:w="921" w:type="dxa"/>
          </w:tcPr>
          <w:p w14:paraId="0EE168B6" w14:textId="77777777" w:rsidR="007E0ABC" w:rsidRPr="00E36B1E" w:rsidRDefault="007E0ABC" w:rsidP="00D75B62">
            <w:pPr>
              <w:spacing w:line="276" w:lineRule="auto"/>
              <w:rPr>
                <w:sz w:val="18"/>
                <w:szCs w:val="18"/>
                <w:lang w:val="en-US"/>
              </w:rPr>
            </w:pPr>
            <w:r w:rsidRPr="00E36B1E">
              <w:rPr>
                <w:sz w:val="18"/>
                <w:szCs w:val="18"/>
                <w:lang w:val="en-US"/>
              </w:rPr>
              <w:t>102</w:t>
            </w:r>
          </w:p>
        </w:tc>
        <w:tc>
          <w:tcPr>
            <w:tcW w:w="922" w:type="dxa"/>
          </w:tcPr>
          <w:p w14:paraId="787AC87C" w14:textId="77777777" w:rsidR="007E0ABC" w:rsidRPr="00E36B1E" w:rsidRDefault="007E0ABC" w:rsidP="00D75B62">
            <w:pPr>
              <w:spacing w:line="276" w:lineRule="auto"/>
              <w:rPr>
                <w:sz w:val="18"/>
                <w:szCs w:val="18"/>
                <w:lang w:val="en-US"/>
              </w:rPr>
            </w:pPr>
            <w:r w:rsidRPr="00E36B1E">
              <w:rPr>
                <w:sz w:val="18"/>
                <w:szCs w:val="18"/>
                <w:lang w:val="en-US"/>
              </w:rPr>
              <w:t>22.7</w:t>
            </w:r>
          </w:p>
        </w:tc>
        <w:tc>
          <w:tcPr>
            <w:tcW w:w="779" w:type="dxa"/>
          </w:tcPr>
          <w:p w14:paraId="196A357F" w14:textId="77777777" w:rsidR="007E0ABC" w:rsidRPr="00E36B1E" w:rsidRDefault="007E0ABC" w:rsidP="00D75B62">
            <w:pPr>
              <w:spacing w:line="276" w:lineRule="auto"/>
              <w:rPr>
                <w:sz w:val="18"/>
                <w:szCs w:val="18"/>
                <w:lang w:val="en-US"/>
              </w:rPr>
            </w:pPr>
            <w:r w:rsidRPr="00E36B1E">
              <w:rPr>
                <w:sz w:val="18"/>
                <w:szCs w:val="18"/>
                <w:lang w:val="en-US"/>
              </w:rPr>
              <w:t>88</w:t>
            </w:r>
          </w:p>
        </w:tc>
        <w:tc>
          <w:tcPr>
            <w:tcW w:w="780" w:type="dxa"/>
          </w:tcPr>
          <w:p w14:paraId="1A930F59" w14:textId="77777777" w:rsidR="007E0ABC" w:rsidRPr="00E36B1E" w:rsidRDefault="007E0ABC" w:rsidP="00D75B62">
            <w:pPr>
              <w:spacing w:line="276" w:lineRule="auto"/>
              <w:rPr>
                <w:sz w:val="18"/>
                <w:szCs w:val="18"/>
                <w:lang w:val="en-US"/>
              </w:rPr>
            </w:pPr>
            <w:r w:rsidRPr="00E36B1E">
              <w:rPr>
                <w:sz w:val="18"/>
                <w:szCs w:val="18"/>
                <w:lang w:val="en-US"/>
              </w:rPr>
              <w:t>19.6</w:t>
            </w:r>
          </w:p>
        </w:tc>
      </w:tr>
      <w:tr w:rsidR="007E0ABC" w:rsidRPr="00E36B1E" w14:paraId="5A7B838F" w14:textId="77777777" w:rsidTr="00D75B62">
        <w:tc>
          <w:tcPr>
            <w:tcW w:w="731" w:type="dxa"/>
          </w:tcPr>
          <w:p w14:paraId="72A335CE" w14:textId="77777777" w:rsidR="007E0ABC" w:rsidRPr="00E36B1E" w:rsidRDefault="007E0ABC" w:rsidP="00D75B62">
            <w:pPr>
              <w:spacing w:line="276" w:lineRule="auto"/>
              <w:rPr>
                <w:sz w:val="18"/>
                <w:szCs w:val="18"/>
              </w:rPr>
            </w:pPr>
            <w:r w:rsidRPr="00E36B1E">
              <w:rPr>
                <w:sz w:val="18"/>
                <w:szCs w:val="18"/>
              </w:rPr>
              <w:t>31</w:t>
            </w:r>
          </w:p>
        </w:tc>
        <w:tc>
          <w:tcPr>
            <w:tcW w:w="6143" w:type="dxa"/>
          </w:tcPr>
          <w:p w14:paraId="7A54255B" w14:textId="77777777" w:rsidR="007E0ABC" w:rsidRPr="00E36B1E" w:rsidRDefault="007E0ABC" w:rsidP="00D75B62">
            <w:pPr>
              <w:spacing w:line="276" w:lineRule="auto"/>
              <w:rPr>
                <w:sz w:val="18"/>
                <w:szCs w:val="18"/>
                <w:lang w:val="en-US"/>
              </w:rPr>
            </w:pPr>
            <w:r w:rsidRPr="00E36B1E">
              <w:rPr>
                <w:sz w:val="18"/>
                <w:szCs w:val="18"/>
                <w:lang w:val="en-US"/>
              </w:rPr>
              <w:t>I am happy with the relationships that I have.</w:t>
            </w:r>
          </w:p>
        </w:tc>
        <w:tc>
          <w:tcPr>
            <w:tcW w:w="921" w:type="dxa"/>
          </w:tcPr>
          <w:p w14:paraId="092A0847" w14:textId="77777777" w:rsidR="007E0ABC" w:rsidRPr="00E36B1E" w:rsidRDefault="007E0ABC" w:rsidP="00D75B62">
            <w:pPr>
              <w:spacing w:line="276" w:lineRule="auto"/>
              <w:rPr>
                <w:sz w:val="18"/>
                <w:szCs w:val="18"/>
                <w:lang w:val="en-US"/>
              </w:rPr>
            </w:pPr>
            <w:r w:rsidRPr="00E36B1E">
              <w:rPr>
                <w:sz w:val="18"/>
                <w:szCs w:val="18"/>
                <w:lang w:val="en-US"/>
              </w:rPr>
              <w:t>47</w:t>
            </w:r>
          </w:p>
        </w:tc>
        <w:tc>
          <w:tcPr>
            <w:tcW w:w="922" w:type="dxa"/>
          </w:tcPr>
          <w:p w14:paraId="2C8C34C8" w14:textId="77777777" w:rsidR="007E0ABC" w:rsidRPr="00E36B1E" w:rsidRDefault="007E0ABC" w:rsidP="00D75B62">
            <w:pPr>
              <w:spacing w:line="276" w:lineRule="auto"/>
              <w:rPr>
                <w:sz w:val="18"/>
                <w:szCs w:val="18"/>
                <w:lang w:val="en-US"/>
              </w:rPr>
            </w:pPr>
            <w:r w:rsidRPr="00E36B1E">
              <w:rPr>
                <w:sz w:val="18"/>
                <w:szCs w:val="18"/>
                <w:lang w:val="en-US"/>
              </w:rPr>
              <w:t>10.4</w:t>
            </w:r>
          </w:p>
        </w:tc>
        <w:tc>
          <w:tcPr>
            <w:tcW w:w="779" w:type="dxa"/>
          </w:tcPr>
          <w:p w14:paraId="19D19DD9" w14:textId="77777777" w:rsidR="007E0ABC" w:rsidRPr="00E36B1E" w:rsidRDefault="007E0ABC" w:rsidP="00D75B62">
            <w:pPr>
              <w:spacing w:line="276" w:lineRule="auto"/>
              <w:rPr>
                <w:sz w:val="18"/>
                <w:szCs w:val="18"/>
                <w:lang w:val="en-US"/>
              </w:rPr>
            </w:pPr>
            <w:r w:rsidRPr="00E36B1E">
              <w:rPr>
                <w:sz w:val="18"/>
                <w:szCs w:val="18"/>
                <w:lang w:val="en-US"/>
              </w:rPr>
              <w:t>206</w:t>
            </w:r>
          </w:p>
        </w:tc>
        <w:tc>
          <w:tcPr>
            <w:tcW w:w="780" w:type="dxa"/>
          </w:tcPr>
          <w:p w14:paraId="19A1425C" w14:textId="77777777" w:rsidR="007E0ABC" w:rsidRPr="00E36B1E" w:rsidRDefault="007E0ABC" w:rsidP="00D75B62">
            <w:pPr>
              <w:spacing w:line="276" w:lineRule="auto"/>
              <w:rPr>
                <w:sz w:val="18"/>
                <w:szCs w:val="18"/>
                <w:lang w:val="en-US"/>
              </w:rPr>
            </w:pPr>
            <w:r w:rsidRPr="00E36B1E">
              <w:rPr>
                <w:sz w:val="18"/>
                <w:szCs w:val="18"/>
                <w:lang w:val="en-US"/>
              </w:rPr>
              <w:t>45.8</w:t>
            </w:r>
          </w:p>
        </w:tc>
      </w:tr>
      <w:tr w:rsidR="007E0ABC" w:rsidRPr="00E36B1E" w14:paraId="361DF026" w14:textId="77777777" w:rsidTr="00D75B62">
        <w:tc>
          <w:tcPr>
            <w:tcW w:w="731" w:type="dxa"/>
          </w:tcPr>
          <w:p w14:paraId="4F72F15F" w14:textId="77777777" w:rsidR="007E0ABC" w:rsidRPr="00E36B1E" w:rsidRDefault="007E0ABC" w:rsidP="00D75B62">
            <w:pPr>
              <w:spacing w:line="276" w:lineRule="auto"/>
              <w:rPr>
                <w:sz w:val="18"/>
                <w:szCs w:val="18"/>
              </w:rPr>
            </w:pPr>
            <w:r w:rsidRPr="00E36B1E">
              <w:rPr>
                <w:sz w:val="18"/>
                <w:szCs w:val="18"/>
              </w:rPr>
              <w:t>32</w:t>
            </w:r>
          </w:p>
        </w:tc>
        <w:tc>
          <w:tcPr>
            <w:tcW w:w="6143" w:type="dxa"/>
          </w:tcPr>
          <w:p w14:paraId="07A29CFC" w14:textId="77777777" w:rsidR="007E0ABC" w:rsidRPr="00E36B1E" w:rsidRDefault="007E0ABC" w:rsidP="00D75B62">
            <w:pPr>
              <w:spacing w:line="276" w:lineRule="auto"/>
              <w:rPr>
                <w:sz w:val="18"/>
                <w:szCs w:val="18"/>
                <w:lang w:val="en-US"/>
              </w:rPr>
            </w:pPr>
            <w:r w:rsidRPr="00E36B1E">
              <w:rPr>
                <w:sz w:val="18"/>
                <w:szCs w:val="18"/>
                <w:lang w:val="en-US"/>
              </w:rPr>
              <w:t>There are people who I trust.</w:t>
            </w:r>
          </w:p>
        </w:tc>
        <w:tc>
          <w:tcPr>
            <w:tcW w:w="921" w:type="dxa"/>
          </w:tcPr>
          <w:p w14:paraId="046D305D" w14:textId="77777777" w:rsidR="007E0ABC" w:rsidRPr="00E36B1E" w:rsidRDefault="007E0ABC" w:rsidP="00D75B62">
            <w:pPr>
              <w:spacing w:line="276" w:lineRule="auto"/>
              <w:rPr>
                <w:sz w:val="18"/>
                <w:szCs w:val="18"/>
                <w:lang w:val="en-US"/>
              </w:rPr>
            </w:pPr>
            <w:r w:rsidRPr="00E36B1E">
              <w:rPr>
                <w:sz w:val="18"/>
                <w:szCs w:val="18"/>
                <w:lang w:val="en-US"/>
              </w:rPr>
              <w:t>39</w:t>
            </w:r>
          </w:p>
        </w:tc>
        <w:tc>
          <w:tcPr>
            <w:tcW w:w="922" w:type="dxa"/>
          </w:tcPr>
          <w:p w14:paraId="6BE517D4" w14:textId="77777777" w:rsidR="007E0ABC" w:rsidRPr="00E36B1E" w:rsidRDefault="007E0ABC" w:rsidP="00D75B62">
            <w:pPr>
              <w:spacing w:line="276" w:lineRule="auto"/>
              <w:rPr>
                <w:sz w:val="18"/>
                <w:szCs w:val="18"/>
                <w:lang w:val="en-US"/>
              </w:rPr>
            </w:pPr>
            <w:r w:rsidRPr="00E36B1E">
              <w:rPr>
                <w:sz w:val="18"/>
                <w:szCs w:val="18"/>
                <w:lang w:val="en-US"/>
              </w:rPr>
              <w:t>8.7</w:t>
            </w:r>
          </w:p>
        </w:tc>
        <w:tc>
          <w:tcPr>
            <w:tcW w:w="779" w:type="dxa"/>
          </w:tcPr>
          <w:p w14:paraId="4ED01B1F" w14:textId="77777777" w:rsidR="007E0ABC" w:rsidRPr="00E36B1E" w:rsidRDefault="007E0ABC" w:rsidP="00D75B62">
            <w:pPr>
              <w:spacing w:line="276" w:lineRule="auto"/>
              <w:rPr>
                <w:sz w:val="18"/>
                <w:szCs w:val="18"/>
                <w:lang w:val="en-US"/>
              </w:rPr>
            </w:pPr>
            <w:r w:rsidRPr="00E36B1E">
              <w:rPr>
                <w:sz w:val="18"/>
                <w:szCs w:val="18"/>
                <w:lang w:val="en-US"/>
              </w:rPr>
              <w:t>258</w:t>
            </w:r>
          </w:p>
        </w:tc>
        <w:tc>
          <w:tcPr>
            <w:tcW w:w="780" w:type="dxa"/>
          </w:tcPr>
          <w:p w14:paraId="20AD5EE3" w14:textId="77777777" w:rsidR="007E0ABC" w:rsidRPr="00E36B1E" w:rsidRDefault="007E0ABC" w:rsidP="00D75B62">
            <w:pPr>
              <w:spacing w:line="276" w:lineRule="auto"/>
              <w:rPr>
                <w:sz w:val="18"/>
                <w:szCs w:val="18"/>
                <w:lang w:val="en-US"/>
              </w:rPr>
            </w:pPr>
            <w:r w:rsidRPr="00E36B1E">
              <w:rPr>
                <w:sz w:val="18"/>
                <w:szCs w:val="18"/>
                <w:lang w:val="en-US"/>
              </w:rPr>
              <w:t>57.3</w:t>
            </w:r>
          </w:p>
        </w:tc>
      </w:tr>
      <w:tr w:rsidR="007E0ABC" w:rsidRPr="00E36B1E" w14:paraId="5344C55C" w14:textId="77777777" w:rsidTr="00D75B62">
        <w:tc>
          <w:tcPr>
            <w:tcW w:w="731" w:type="dxa"/>
          </w:tcPr>
          <w:p w14:paraId="3592B8CC" w14:textId="77777777" w:rsidR="007E0ABC" w:rsidRPr="00E36B1E" w:rsidRDefault="007E0ABC" w:rsidP="00D75B62">
            <w:pPr>
              <w:spacing w:line="276" w:lineRule="auto"/>
              <w:rPr>
                <w:sz w:val="18"/>
                <w:szCs w:val="18"/>
              </w:rPr>
            </w:pPr>
            <w:r w:rsidRPr="00E36B1E">
              <w:rPr>
                <w:sz w:val="18"/>
                <w:szCs w:val="18"/>
              </w:rPr>
              <w:t>33</w:t>
            </w:r>
          </w:p>
        </w:tc>
        <w:tc>
          <w:tcPr>
            <w:tcW w:w="6143" w:type="dxa"/>
          </w:tcPr>
          <w:p w14:paraId="58C83F87" w14:textId="77777777" w:rsidR="007E0ABC" w:rsidRPr="00E36B1E" w:rsidRDefault="007E0ABC" w:rsidP="00D75B62">
            <w:pPr>
              <w:spacing w:line="276" w:lineRule="auto"/>
              <w:rPr>
                <w:sz w:val="18"/>
                <w:szCs w:val="18"/>
                <w:lang w:val="en-US"/>
              </w:rPr>
            </w:pPr>
            <w:r w:rsidRPr="00E36B1E">
              <w:rPr>
                <w:sz w:val="18"/>
                <w:szCs w:val="18"/>
                <w:lang w:val="en-US"/>
              </w:rPr>
              <w:t>I understand the causes of my illness.</w:t>
            </w:r>
          </w:p>
        </w:tc>
        <w:tc>
          <w:tcPr>
            <w:tcW w:w="921" w:type="dxa"/>
          </w:tcPr>
          <w:p w14:paraId="1539FA95" w14:textId="77777777" w:rsidR="007E0ABC" w:rsidRPr="00E36B1E" w:rsidRDefault="007E0ABC" w:rsidP="00D75B62">
            <w:pPr>
              <w:spacing w:line="276" w:lineRule="auto"/>
              <w:rPr>
                <w:sz w:val="18"/>
                <w:szCs w:val="18"/>
                <w:lang w:val="en-US"/>
              </w:rPr>
            </w:pPr>
            <w:r w:rsidRPr="00E36B1E">
              <w:rPr>
                <w:sz w:val="18"/>
                <w:szCs w:val="18"/>
                <w:lang w:val="en-US"/>
              </w:rPr>
              <w:t>137</w:t>
            </w:r>
          </w:p>
        </w:tc>
        <w:tc>
          <w:tcPr>
            <w:tcW w:w="922" w:type="dxa"/>
          </w:tcPr>
          <w:p w14:paraId="6C4EE61E" w14:textId="77777777" w:rsidR="007E0ABC" w:rsidRPr="00E36B1E" w:rsidRDefault="007E0ABC" w:rsidP="00D75B62">
            <w:pPr>
              <w:spacing w:line="276" w:lineRule="auto"/>
              <w:rPr>
                <w:sz w:val="18"/>
                <w:szCs w:val="18"/>
                <w:lang w:val="en-US"/>
              </w:rPr>
            </w:pPr>
            <w:r w:rsidRPr="00E36B1E">
              <w:rPr>
                <w:sz w:val="18"/>
                <w:szCs w:val="18"/>
                <w:lang w:val="en-US"/>
              </w:rPr>
              <w:t>30.4</w:t>
            </w:r>
          </w:p>
        </w:tc>
        <w:tc>
          <w:tcPr>
            <w:tcW w:w="779" w:type="dxa"/>
          </w:tcPr>
          <w:p w14:paraId="29DEEB62" w14:textId="77777777" w:rsidR="007E0ABC" w:rsidRPr="00E36B1E" w:rsidRDefault="007E0ABC" w:rsidP="00D75B62">
            <w:pPr>
              <w:spacing w:line="276" w:lineRule="auto"/>
              <w:rPr>
                <w:sz w:val="18"/>
                <w:szCs w:val="18"/>
                <w:lang w:val="en-US"/>
              </w:rPr>
            </w:pPr>
            <w:r w:rsidRPr="00E36B1E">
              <w:rPr>
                <w:sz w:val="18"/>
                <w:szCs w:val="18"/>
                <w:lang w:val="en-US"/>
              </w:rPr>
              <w:t>69</w:t>
            </w:r>
          </w:p>
        </w:tc>
        <w:tc>
          <w:tcPr>
            <w:tcW w:w="780" w:type="dxa"/>
          </w:tcPr>
          <w:p w14:paraId="67F8EA63" w14:textId="77777777" w:rsidR="007E0ABC" w:rsidRPr="00E36B1E" w:rsidRDefault="007E0ABC" w:rsidP="00D75B62">
            <w:pPr>
              <w:spacing w:line="276" w:lineRule="auto"/>
              <w:rPr>
                <w:sz w:val="18"/>
                <w:szCs w:val="18"/>
                <w:lang w:val="en-US"/>
              </w:rPr>
            </w:pPr>
            <w:r w:rsidRPr="00E36B1E">
              <w:rPr>
                <w:sz w:val="18"/>
                <w:szCs w:val="18"/>
                <w:lang w:val="en-US"/>
              </w:rPr>
              <w:t>15.3</w:t>
            </w:r>
          </w:p>
        </w:tc>
      </w:tr>
      <w:tr w:rsidR="007E0ABC" w:rsidRPr="00E36B1E" w14:paraId="4D6F821B" w14:textId="77777777" w:rsidTr="00D75B62">
        <w:tc>
          <w:tcPr>
            <w:tcW w:w="731" w:type="dxa"/>
          </w:tcPr>
          <w:p w14:paraId="10543BC2" w14:textId="77777777" w:rsidR="007E0ABC" w:rsidRPr="00E36B1E" w:rsidRDefault="007E0ABC" w:rsidP="00D75B62">
            <w:pPr>
              <w:spacing w:line="276" w:lineRule="auto"/>
              <w:rPr>
                <w:sz w:val="18"/>
                <w:szCs w:val="18"/>
              </w:rPr>
            </w:pPr>
            <w:r w:rsidRPr="00E36B1E">
              <w:rPr>
                <w:sz w:val="18"/>
                <w:szCs w:val="18"/>
              </w:rPr>
              <w:t>34</w:t>
            </w:r>
          </w:p>
        </w:tc>
        <w:tc>
          <w:tcPr>
            <w:tcW w:w="6143" w:type="dxa"/>
          </w:tcPr>
          <w:p w14:paraId="0A853315" w14:textId="77777777" w:rsidR="007E0ABC" w:rsidRPr="00E36B1E" w:rsidRDefault="007E0ABC" w:rsidP="00D75B62">
            <w:pPr>
              <w:spacing w:line="276" w:lineRule="auto"/>
              <w:rPr>
                <w:sz w:val="18"/>
                <w:szCs w:val="18"/>
                <w:lang w:val="en-US"/>
              </w:rPr>
            </w:pPr>
            <w:r w:rsidRPr="00E36B1E">
              <w:rPr>
                <w:sz w:val="18"/>
                <w:szCs w:val="18"/>
                <w:lang w:val="en-US"/>
              </w:rPr>
              <w:t>I experience exclusion and discrimination because of my illness.</w:t>
            </w:r>
          </w:p>
        </w:tc>
        <w:tc>
          <w:tcPr>
            <w:tcW w:w="921" w:type="dxa"/>
          </w:tcPr>
          <w:p w14:paraId="3305698C" w14:textId="77777777" w:rsidR="007E0ABC" w:rsidRPr="00E36B1E" w:rsidRDefault="007E0ABC" w:rsidP="00D75B62">
            <w:pPr>
              <w:spacing w:line="276" w:lineRule="auto"/>
              <w:rPr>
                <w:sz w:val="18"/>
                <w:szCs w:val="18"/>
                <w:lang w:val="en-US"/>
              </w:rPr>
            </w:pPr>
            <w:r w:rsidRPr="00E36B1E">
              <w:rPr>
                <w:sz w:val="18"/>
                <w:szCs w:val="18"/>
                <w:lang w:val="en-US"/>
              </w:rPr>
              <w:t>88</w:t>
            </w:r>
          </w:p>
        </w:tc>
        <w:tc>
          <w:tcPr>
            <w:tcW w:w="922" w:type="dxa"/>
          </w:tcPr>
          <w:p w14:paraId="71AEED2F" w14:textId="77777777" w:rsidR="007E0ABC" w:rsidRPr="00E36B1E" w:rsidRDefault="007E0ABC" w:rsidP="00D75B62">
            <w:pPr>
              <w:spacing w:line="276" w:lineRule="auto"/>
              <w:rPr>
                <w:sz w:val="18"/>
                <w:szCs w:val="18"/>
                <w:lang w:val="en-US"/>
              </w:rPr>
            </w:pPr>
            <w:r w:rsidRPr="00E36B1E">
              <w:rPr>
                <w:sz w:val="18"/>
                <w:szCs w:val="18"/>
                <w:lang w:val="en-US"/>
              </w:rPr>
              <w:t>19.6</w:t>
            </w:r>
          </w:p>
        </w:tc>
        <w:tc>
          <w:tcPr>
            <w:tcW w:w="779" w:type="dxa"/>
          </w:tcPr>
          <w:p w14:paraId="5ECE0F4C" w14:textId="77777777" w:rsidR="007E0ABC" w:rsidRPr="00E36B1E" w:rsidRDefault="007E0ABC" w:rsidP="00D75B62">
            <w:pPr>
              <w:spacing w:line="276" w:lineRule="auto"/>
              <w:rPr>
                <w:sz w:val="18"/>
                <w:szCs w:val="18"/>
                <w:lang w:val="en-US"/>
              </w:rPr>
            </w:pPr>
            <w:r w:rsidRPr="00E36B1E">
              <w:rPr>
                <w:sz w:val="18"/>
                <w:szCs w:val="18"/>
                <w:lang w:val="en-US"/>
              </w:rPr>
              <w:t>85</w:t>
            </w:r>
          </w:p>
        </w:tc>
        <w:tc>
          <w:tcPr>
            <w:tcW w:w="780" w:type="dxa"/>
          </w:tcPr>
          <w:p w14:paraId="222DADC1" w14:textId="77777777" w:rsidR="007E0ABC" w:rsidRPr="00E36B1E" w:rsidRDefault="007E0ABC" w:rsidP="00D75B62">
            <w:pPr>
              <w:spacing w:line="276" w:lineRule="auto"/>
              <w:rPr>
                <w:sz w:val="18"/>
                <w:szCs w:val="18"/>
                <w:lang w:val="en-US"/>
              </w:rPr>
            </w:pPr>
            <w:r w:rsidRPr="00E36B1E">
              <w:rPr>
                <w:sz w:val="18"/>
                <w:szCs w:val="18"/>
                <w:lang w:val="en-US"/>
              </w:rPr>
              <w:t>18.9</w:t>
            </w:r>
          </w:p>
        </w:tc>
      </w:tr>
      <w:tr w:rsidR="007E0ABC" w:rsidRPr="00E36B1E" w14:paraId="51928B07" w14:textId="77777777" w:rsidTr="00D75B62">
        <w:tc>
          <w:tcPr>
            <w:tcW w:w="731" w:type="dxa"/>
          </w:tcPr>
          <w:p w14:paraId="49DF1A1A" w14:textId="77777777" w:rsidR="007E0ABC" w:rsidRPr="00E36B1E" w:rsidRDefault="007E0ABC" w:rsidP="00D75B62">
            <w:pPr>
              <w:spacing w:line="276" w:lineRule="auto"/>
              <w:rPr>
                <w:sz w:val="18"/>
                <w:szCs w:val="18"/>
              </w:rPr>
            </w:pPr>
            <w:r w:rsidRPr="00E36B1E">
              <w:rPr>
                <w:sz w:val="18"/>
                <w:szCs w:val="18"/>
              </w:rPr>
              <w:t>35</w:t>
            </w:r>
          </w:p>
        </w:tc>
        <w:tc>
          <w:tcPr>
            <w:tcW w:w="6143" w:type="dxa"/>
          </w:tcPr>
          <w:p w14:paraId="0EF93E8D" w14:textId="77777777" w:rsidR="007E0ABC" w:rsidRPr="00E36B1E" w:rsidRDefault="007E0ABC" w:rsidP="00D75B62">
            <w:pPr>
              <w:spacing w:line="276" w:lineRule="auto"/>
              <w:rPr>
                <w:sz w:val="18"/>
                <w:szCs w:val="18"/>
                <w:lang w:val="en-US"/>
              </w:rPr>
            </w:pPr>
            <w:r w:rsidRPr="00E36B1E">
              <w:rPr>
                <w:sz w:val="18"/>
                <w:szCs w:val="18"/>
                <w:lang w:val="en-US"/>
              </w:rPr>
              <w:t>I am content with what I have achieved in my life despite my illness.</w:t>
            </w:r>
          </w:p>
        </w:tc>
        <w:tc>
          <w:tcPr>
            <w:tcW w:w="921" w:type="dxa"/>
          </w:tcPr>
          <w:p w14:paraId="0AE1584E" w14:textId="77777777" w:rsidR="007E0ABC" w:rsidRPr="00E36B1E" w:rsidRDefault="007E0ABC" w:rsidP="00D75B62">
            <w:pPr>
              <w:spacing w:line="276" w:lineRule="auto"/>
              <w:rPr>
                <w:sz w:val="18"/>
                <w:szCs w:val="18"/>
                <w:lang w:val="en-US"/>
              </w:rPr>
            </w:pPr>
            <w:r w:rsidRPr="00E36B1E">
              <w:rPr>
                <w:sz w:val="18"/>
                <w:szCs w:val="18"/>
                <w:lang w:val="en-US"/>
              </w:rPr>
              <w:t>87</w:t>
            </w:r>
          </w:p>
        </w:tc>
        <w:tc>
          <w:tcPr>
            <w:tcW w:w="922" w:type="dxa"/>
          </w:tcPr>
          <w:p w14:paraId="02055AD7" w14:textId="77777777" w:rsidR="007E0ABC" w:rsidRPr="00E36B1E" w:rsidRDefault="007E0ABC" w:rsidP="00D75B62">
            <w:pPr>
              <w:spacing w:line="276" w:lineRule="auto"/>
              <w:rPr>
                <w:sz w:val="18"/>
                <w:szCs w:val="18"/>
                <w:lang w:val="en-US"/>
              </w:rPr>
            </w:pPr>
            <w:r w:rsidRPr="00E36B1E">
              <w:rPr>
                <w:sz w:val="18"/>
                <w:szCs w:val="18"/>
                <w:lang w:val="en-US"/>
              </w:rPr>
              <w:t>19.3</w:t>
            </w:r>
          </w:p>
        </w:tc>
        <w:tc>
          <w:tcPr>
            <w:tcW w:w="779" w:type="dxa"/>
          </w:tcPr>
          <w:p w14:paraId="227AADEB" w14:textId="77777777" w:rsidR="007E0ABC" w:rsidRPr="00E36B1E" w:rsidRDefault="007E0ABC" w:rsidP="00D75B62">
            <w:pPr>
              <w:spacing w:line="276" w:lineRule="auto"/>
              <w:rPr>
                <w:sz w:val="18"/>
                <w:szCs w:val="18"/>
                <w:lang w:val="en-US"/>
              </w:rPr>
            </w:pPr>
            <w:r w:rsidRPr="00E36B1E">
              <w:rPr>
                <w:sz w:val="18"/>
                <w:szCs w:val="18"/>
                <w:lang w:val="en-US"/>
              </w:rPr>
              <w:t>104</w:t>
            </w:r>
          </w:p>
        </w:tc>
        <w:tc>
          <w:tcPr>
            <w:tcW w:w="780" w:type="dxa"/>
          </w:tcPr>
          <w:p w14:paraId="576ED29C" w14:textId="77777777" w:rsidR="007E0ABC" w:rsidRPr="00E36B1E" w:rsidRDefault="007E0ABC" w:rsidP="00D75B62">
            <w:pPr>
              <w:spacing w:line="276" w:lineRule="auto"/>
              <w:rPr>
                <w:sz w:val="18"/>
                <w:szCs w:val="18"/>
                <w:lang w:val="en-US"/>
              </w:rPr>
            </w:pPr>
            <w:r w:rsidRPr="00E36B1E">
              <w:rPr>
                <w:sz w:val="18"/>
                <w:szCs w:val="18"/>
                <w:lang w:val="en-US"/>
              </w:rPr>
              <w:t>23.1</w:t>
            </w:r>
          </w:p>
        </w:tc>
      </w:tr>
      <w:tr w:rsidR="007E0ABC" w:rsidRPr="00E36B1E" w14:paraId="03F98DAB" w14:textId="77777777" w:rsidTr="00D75B62">
        <w:tc>
          <w:tcPr>
            <w:tcW w:w="731" w:type="dxa"/>
          </w:tcPr>
          <w:p w14:paraId="7DEC7C02" w14:textId="77777777" w:rsidR="007E0ABC" w:rsidRPr="00E36B1E" w:rsidRDefault="007E0ABC" w:rsidP="00D75B62">
            <w:pPr>
              <w:spacing w:line="276" w:lineRule="auto"/>
              <w:rPr>
                <w:sz w:val="18"/>
                <w:szCs w:val="18"/>
              </w:rPr>
            </w:pPr>
            <w:r w:rsidRPr="00E36B1E">
              <w:rPr>
                <w:sz w:val="18"/>
                <w:szCs w:val="18"/>
              </w:rPr>
              <w:t>36</w:t>
            </w:r>
          </w:p>
        </w:tc>
        <w:tc>
          <w:tcPr>
            <w:tcW w:w="6143" w:type="dxa"/>
          </w:tcPr>
          <w:p w14:paraId="745E4B37" w14:textId="77777777" w:rsidR="007E0ABC" w:rsidRPr="00E36B1E" w:rsidRDefault="007E0ABC" w:rsidP="00D75B62">
            <w:pPr>
              <w:spacing w:line="276" w:lineRule="auto"/>
              <w:rPr>
                <w:sz w:val="18"/>
                <w:szCs w:val="18"/>
              </w:rPr>
            </w:pPr>
            <w:r w:rsidRPr="00E36B1E">
              <w:rPr>
                <w:sz w:val="18"/>
                <w:szCs w:val="18"/>
              </w:rPr>
              <w:t>I know what my illness symptoms are.</w:t>
            </w:r>
          </w:p>
        </w:tc>
        <w:tc>
          <w:tcPr>
            <w:tcW w:w="921" w:type="dxa"/>
          </w:tcPr>
          <w:p w14:paraId="60786BCC" w14:textId="77777777" w:rsidR="007E0ABC" w:rsidRPr="00E36B1E" w:rsidRDefault="007E0ABC" w:rsidP="00D75B62">
            <w:pPr>
              <w:spacing w:line="276" w:lineRule="auto"/>
              <w:rPr>
                <w:sz w:val="18"/>
                <w:szCs w:val="18"/>
              </w:rPr>
            </w:pPr>
            <w:r w:rsidRPr="00E36B1E">
              <w:rPr>
                <w:sz w:val="18"/>
                <w:szCs w:val="18"/>
              </w:rPr>
              <w:t>45</w:t>
            </w:r>
          </w:p>
        </w:tc>
        <w:tc>
          <w:tcPr>
            <w:tcW w:w="922" w:type="dxa"/>
          </w:tcPr>
          <w:p w14:paraId="06CC63D4" w14:textId="77777777" w:rsidR="007E0ABC" w:rsidRPr="00E36B1E" w:rsidRDefault="007E0ABC" w:rsidP="00D75B62">
            <w:pPr>
              <w:spacing w:line="276" w:lineRule="auto"/>
              <w:rPr>
                <w:sz w:val="18"/>
                <w:szCs w:val="18"/>
              </w:rPr>
            </w:pPr>
            <w:r w:rsidRPr="00E36B1E">
              <w:rPr>
                <w:sz w:val="18"/>
                <w:szCs w:val="18"/>
              </w:rPr>
              <w:t>10.0</w:t>
            </w:r>
          </w:p>
        </w:tc>
        <w:tc>
          <w:tcPr>
            <w:tcW w:w="779" w:type="dxa"/>
          </w:tcPr>
          <w:p w14:paraId="6A1E7303" w14:textId="77777777" w:rsidR="007E0ABC" w:rsidRPr="00E36B1E" w:rsidRDefault="007E0ABC" w:rsidP="00D75B62">
            <w:pPr>
              <w:spacing w:line="276" w:lineRule="auto"/>
              <w:rPr>
                <w:sz w:val="18"/>
                <w:szCs w:val="18"/>
              </w:rPr>
            </w:pPr>
            <w:r w:rsidRPr="00E36B1E">
              <w:rPr>
                <w:sz w:val="18"/>
                <w:szCs w:val="18"/>
              </w:rPr>
              <w:t>160</w:t>
            </w:r>
          </w:p>
        </w:tc>
        <w:tc>
          <w:tcPr>
            <w:tcW w:w="780" w:type="dxa"/>
          </w:tcPr>
          <w:p w14:paraId="2D2F205E" w14:textId="77777777" w:rsidR="007E0ABC" w:rsidRPr="00E36B1E" w:rsidRDefault="007E0ABC" w:rsidP="00D75B62">
            <w:pPr>
              <w:spacing w:line="276" w:lineRule="auto"/>
              <w:rPr>
                <w:sz w:val="18"/>
                <w:szCs w:val="18"/>
              </w:rPr>
            </w:pPr>
            <w:r w:rsidRPr="00E36B1E">
              <w:rPr>
                <w:sz w:val="18"/>
                <w:szCs w:val="18"/>
              </w:rPr>
              <w:t>35.6</w:t>
            </w:r>
          </w:p>
        </w:tc>
      </w:tr>
    </w:tbl>
    <w:p w14:paraId="17BC9298" w14:textId="77777777" w:rsidR="007E0ABC" w:rsidRDefault="007E0ABC" w:rsidP="00C260F1">
      <w:pPr>
        <w:pStyle w:val="Subtitle"/>
        <w:spacing w:after="0"/>
        <w:jc w:val="center"/>
        <w:rPr>
          <w:rFonts w:ascii="Avenir Book" w:hAnsi="Avenir Book"/>
          <w:i/>
          <w:iCs/>
          <w:sz w:val="28"/>
          <w:szCs w:val="28"/>
        </w:rPr>
      </w:pPr>
    </w:p>
    <w:p w14:paraId="385090E9" w14:textId="77777777" w:rsidR="007E0ABC" w:rsidRDefault="007E0ABC">
      <w:pPr>
        <w:rPr>
          <w:rFonts w:eastAsia="Georgia" w:cs="Georgia"/>
          <w:iCs/>
          <w:color w:val="666666"/>
          <w:sz w:val="28"/>
          <w:szCs w:val="28"/>
          <w:lang w:eastAsia="en-GB"/>
        </w:rPr>
      </w:pPr>
      <w:r>
        <w:rPr>
          <w:i/>
          <w:iCs/>
          <w:sz w:val="28"/>
          <w:szCs w:val="28"/>
        </w:rPr>
        <w:br w:type="page"/>
      </w:r>
    </w:p>
    <w:p w14:paraId="05D3FD42" w14:textId="77777777" w:rsidR="007E0ABC" w:rsidRPr="00D91EB1" w:rsidRDefault="007E0ABC" w:rsidP="00D91EB1">
      <w:pPr>
        <w:pStyle w:val="Subtitle"/>
        <w:spacing w:after="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C</w:t>
      </w:r>
      <w:r w:rsidRPr="00C260F1">
        <w:rPr>
          <w:rFonts w:ascii="Avenir Book" w:hAnsi="Avenir Book"/>
          <w:iCs/>
          <w:sz w:val="28"/>
          <w:szCs w:val="28"/>
        </w:rPr>
        <w:t xml:space="preserve"> – EASE Supplementary </w:t>
      </w:r>
      <w:r>
        <w:rPr>
          <w:rFonts w:ascii="Avenir Book" w:hAnsi="Avenir Book"/>
          <w:iCs/>
          <w:sz w:val="28"/>
          <w:szCs w:val="28"/>
        </w:rPr>
        <w:t>Data</w:t>
      </w:r>
    </w:p>
    <w:p w14:paraId="30A792D0" w14:textId="51F244CE" w:rsidR="007E0ABC" w:rsidRDefault="007E0ABC" w:rsidP="00716FF2">
      <w:pPr>
        <w:jc w:val="center"/>
      </w:pPr>
      <w:r w:rsidRPr="00716FF2">
        <w:t xml:space="preserve">Figure </w:t>
      </w:r>
      <w:r>
        <w:t>1</w:t>
      </w:r>
      <w:r w:rsidR="00774F59">
        <w:t>5</w:t>
      </w:r>
      <w:r w:rsidRPr="00716FF2">
        <w:t>. EASE-F Scree plot analysis</w:t>
      </w:r>
    </w:p>
    <w:p w14:paraId="27B7F421" w14:textId="77777777" w:rsidR="007E0ABC" w:rsidRPr="00716FF2" w:rsidRDefault="007E0ABC" w:rsidP="00716FF2">
      <w:pPr>
        <w:jc w:val="center"/>
      </w:pPr>
    </w:p>
    <w:p w14:paraId="571D632A" w14:textId="77777777" w:rsidR="007E0ABC" w:rsidRDefault="007E0ABC" w:rsidP="000629A4">
      <w:pPr>
        <w:rPr>
          <w:rFonts w:ascii="Avenir Heavy" w:hAnsi="Avenir Heavy"/>
          <w:b/>
          <w:bCs/>
        </w:rPr>
      </w:pPr>
    </w:p>
    <w:p w14:paraId="1D721F8C" w14:textId="77777777" w:rsidR="007E0ABC" w:rsidRDefault="007E0ABC" w:rsidP="000629A4">
      <w:pPr>
        <w:rPr>
          <w:rFonts w:ascii="Avenir Heavy" w:hAnsi="Avenir Heavy"/>
          <w:b/>
          <w:bCs/>
        </w:rPr>
      </w:pPr>
      <w:r w:rsidRPr="00CA7F42">
        <w:rPr>
          <w:noProof/>
        </w:rPr>
        <w:drawing>
          <wp:inline distT="0" distB="0" distL="0" distR="0" wp14:anchorId="322B75CA" wp14:editId="48528207">
            <wp:extent cx="5410200" cy="31877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61"/>
                    <a:stretch>
                      <a:fillRect/>
                    </a:stretch>
                  </pic:blipFill>
                  <pic:spPr>
                    <a:xfrm>
                      <a:off x="0" y="0"/>
                      <a:ext cx="5410200" cy="3187700"/>
                    </a:xfrm>
                    <a:prstGeom prst="rect">
                      <a:avLst/>
                    </a:prstGeom>
                  </pic:spPr>
                </pic:pic>
              </a:graphicData>
            </a:graphic>
          </wp:inline>
        </w:drawing>
      </w:r>
    </w:p>
    <w:p w14:paraId="3E30F6CE" w14:textId="77777777" w:rsidR="007E0ABC" w:rsidRDefault="007E0ABC" w:rsidP="000629A4">
      <w:pPr>
        <w:rPr>
          <w:rFonts w:ascii="Avenir Heavy" w:hAnsi="Avenir Heavy"/>
          <w:b/>
          <w:bCs/>
        </w:rPr>
      </w:pPr>
    </w:p>
    <w:p w14:paraId="7BACB96A" w14:textId="77777777" w:rsidR="007E0ABC" w:rsidRDefault="007E0ABC" w:rsidP="007E0ABC">
      <w:pPr>
        <w:pStyle w:val="ListParagraph"/>
        <w:numPr>
          <w:ilvl w:val="0"/>
          <w:numId w:val="156"/>
        </w:numPr>
        <w:spacing w:line="240" w:lineRule="auto"/>
        <w:jc w:val="left"/>
        <w:rPr>
          <w:rFonts w:ascii="Avenir Heavy" w:hAnsi="Avenir Heavy"/>
          <w:b/>
          <w:bCs/>
        </w:rPr>
      </w:pPr>
      <w:r w:rsidRPr="000629A4">
        <w:rPr>
          <w:rFonts w:ascii="Avenir Heavy" w:hAnsi="Avenir Heavy"/>
          <w:b/>
          <w:bCs/>
        </w:rPr>
        <w:t>Table n. Horn’s Parallel Analysis for factor retention</w:t>
      </w:r>
    </w:p>
    <w:p w14:paraId="2C52013C" w14:textId="77777777" w:rsidR="007E0ABC" w:rsidRDefault="007E0ABC" w:rsidP="000629A4">
      <w:pPr>
        <w:pStyle w:val="ListParagraph"/>
        <w:rPr>
          <w:rFonts w:ascii="Avenir Heavy" w:hAnsi="Avenir Heavy"/>
          <w:b/>
          <w:bCs/>
        </w:rPr>
      </w:pPr>
    </w:p>
    <w:tbl>
      <w:tblPr>
        <w:tblStyle w:val="TableGridLight"/>
        <w:tblW w:w="0" w:type="auto"/>
        <w:jc w:val="center"/>
        <w:tblLook w:val="04A0" w:firstRow="1" w:lastRow="0" w:firstColumn="1" w:lastColumn="0" w:noHBand="0" w:noVBand="1"/>
      </w:tblPr>
      <w:tblGrid>
        <w:gridCol w:w="1271"/>
        <w:gridCol w:w="2410"/>
        <w:gridCol w:w="2126"/>
        <w:gridCol w:w="2059"/>
      </w:tblGrid>
      <w:tr w:rsidR="007E0ABC" w14:paraId="3143FFEF" w14:textId="77777777" w:rsidTr="000629A4">
        <w:trPr>
          <w:jc w:val="center"/>
        </w:trPr>
        <w:tc>
          <w:tcPr>
            <w:tcW w:w="1271" w:type="dxa"/>
          </w:tcPr>
          <w:p w14:paraId="610619A9" w14:textId="77777777" w:rsidR="007E0ABC" w:rsidRDefault="007E0ABC" w:rsidP="000629A4">
            <w:pPr>
              <w:pStyle w:val="ListParagraph"/>
              <w:ind w:left="0"/>
            </w:pPr>
            <w:r w:rsidRPr="0018681D">
              <w:rPr>
                <w:szCs w:val="20"/>
              </w:rPr>
              <w:t>Factor</w:t>
            </w:r>
          </w:p>
        </w:tc>
        <w:tc>
          <w:tcPr>
            <w:tcW w:w="2410" w:type="dxa"/>
          </w:tcPr>
          <w:p w14:paraId="42135172" w14:textId="77777777" w:rsidR="007E0ABC" w:rsidRDefault="007E0ABC" w:rsidP="000629A4">
            <w:pPr>
              <w:pStyle w:val="ListParagraph"/>
              <w:ind w:left="0"/>
            </w:pPr>
            <w:r>
              <w:t>Adjusted Eigenvalue</w:t>
            </w:r>
          </w:p>
        </w:tc>
        <w:tc>
          <w:tcPr>
            <w:tcW w:w="2126" w:type="dxa"/>
          </w:tcPr>
          <w:p w14:paraId="7A284F36" w14:textId="77777777" w:rsidR="007E0ABC" w:rsidRDefault="007E0ABC" w:rsidP="000629A4">
            <w:pPr>
              <w:pStyle w:val="ListParagraph"/>
              <w:ind w:left="0"/>
            </w:pPr>
            <w:r>
              <w:t>Unadjusted Eigenvalue</w:t>
            </w:r>
          </w:p>
        </w:tc>
        <w:tc>
          <w:tcPr>
            <w:tcW w:w="2059" w:type="dxa"/>
          </w:tcPr>
          <w:p w14:paraId="7773D1C9" w14:textId="77777777" w:rsidR="007E0ABC" w:rsidRDefault="007E0ABC" w:rsidP="000629A4">
            <w:pPr>
              <w:pStyle w:val="ListParagraph"/>
              <w:ind w:left="0"/>
            </w:pPr>
            <w:r>
              <w:t>Estimated Bias</w:t>
            </w:r>
          </w:p>
        </w:tc>
      </w:tr>
      <w:tr w:rsidR="007E0ABC" w14:paraId="5F311C7C" w14:textId="77777777" w:rsidTr="000629A4">
        <w:trPr>
          <w:jc w:val="center"/>
        </w:trPr>
        <w:tc>
          <w:tcPr>
            <w:tcW w:w="1271" w:type="dxa"/>
          </w:tcPr>
          <w:p w14:paraId="18BE4DAA" w14:textId="77777777" w:rsidR="007E0ABC" w:rsidRDefault="007E0ABC" w:rsidP="000629A4">
            <w:pPr>
              <w:pStyle w:val="ListParagraph"/>
              <w:ind w:left="0"/>
            </w:pPr>
            <w:r>
              <w:t>1</w:t>
            </w:r>
          </w:p>
        </w:tc>
        <w:tc>
          <w:tcPr>
            <w:tcW w:w="2410" w:type="dxa"/>
          </w:tcPr>
          <w:p w14:paraId="57B6446E" w14:textId="77777777" w:rsidR="007E0ABC" w:rsidRDefault="007E0ABC" w:rsidP="000629A4">
            <w:pPr>
              <w:pStyle w:val="ListParagraph"/>
              <w:ind w:left="0"/>
            </w:pPr>
            <w:r w:rsidRPr="0018681D">
              <w:rPr>
                <w:szCs w:val="20"/>
              </w:rPr>
              <w:t xml:space="preserve">7.217907    </w:t>
            </w:r>
          </w:p>
        </w:tc>
        <w:tc>
          <w:tcPr>
            <w:tcW w:w="2126" w:type="dxa"/>
          </w:tcPr>
          <w:p w14:paraId="066C095B" w14:textId="77777777" w:rsidR="007E0ABC" w:rsidRDefault="007E0ABC" w:rsidP="000629A4">
            <w:pPr>
              <w:pStyle w:val="ListParagraph"/>
              <w:ind w:left="0"/>
            </w:pPr>
            <w:r w:rsidRPr="0018681D">
              <w:rPr>
                <w:szCs w:val="20"/>
              </w:rPr>
              <w:t xml:space="preserve">8.259508      </w:t>
            </w:r>
          </w:p>
        </w:tc>
        <w:tc>
          <w:tcPr>
            <w:tcW w:w="2059" w:type="dxa"/>
          </w:tcPr>
          <w:p w14:paraId="79AF8FEB" w14:textId="77777777" w:rsidR="007E0ABC" w:rsidRDefault="007E0ABC" w:rsidP="000629A4">
            <w:pPr>
              <w:pStyle w:val="ListParagraph"/>
              <w:ind w:left="0"/>
            </w:pPr>
            <w:r w:rsidRPr="0018681D">
              <w:rPr>
                <w:szCs w:val="20"/>
              </w:rPr>
              <w:t>1.041600</w:t>
            </w:r>
          </w:p>
        </w:tc>
      </w:tr>
      <w:tr w:rsidR="007E0ABC" w14:paraId="1422DBD6" w14:textId="77777777" w:rsidTr="000629A4">
        <w:trPr>
          <w:jc w:val="center"/>
        </w:trPr>
        <w:tc>
          <w:tcPr>
            <w:tcW w:w="1271" w:type="dxa"/>
          </w:tcPr>
          <w:p w14:paraId="7A1EB376" w14:textId="77777777" w:rsidR="007E0ABC" w:rsidRDefault="007E0ABC" w:rsidP="000629A4">
            <w:pPr>
              <w:pStyle w:val="ListParagraph"/>
              <w:ind w:left="0"/>
            </w:pPr>
            <w:r>
              <w:t>2</w:t>
            </w:r>
          </w:p>
        </w:tc>
        <w:tc>
          <w:tcPr>
            <w:tcW w:w="2410" w:type="dxa"/>
          </w:tcPr>
          <w:p w14:paraId="06D79DB9" w14:textId="77777777" w:rsidR="007E0ABC" w:rsidRDefault="007E0ABC" w:rsidP="000629A4">
            <w:pPr>
              <w:pStyle w:val="ListParagraph"/>
              <w:ind w:left="0"/>
            </w:pPr>
            <w:r w:rsidRPr="0018681D">
              <w:rPr>
                <w:szCs w:val="20"/>
              </w:rPr>
              <w:t xml:space="preserve">1.023434    </w:t>
            </w:r>
          </w:p>
        </w:tc>
        <w:tc>
          <w:tcPr>
            <w:tcW w:w="2126" w:type="dxa"/>
          </w:tcPr>
          <w:p w14:paraId="18CA6C65" w14:textId="77777777" w:rsidR="007E0ABC" w:rsidRDefault="007E0ABC" w:rsidP="000629A4">
            <w:pPr>
              <w:pStyle w:val="ListParagraph"/>
              <w:ind w:left="0"/>
            </w:pPr>
            <w:r w:rsidRPr="0018681D">
              <w:rPr>
                <w:szCs w:val="20"/>
              </w:rPr>
              <w:t xml:space="preserve">1.951517      </w:t>
            </w:r>
          </w:p>
        </w:tc>
        <w:tc>
          <w:tcPr>
            <w:tcW w:w="2059" w:type="dxa"/>
          </w:tcPr>
          <w:p w14:paraId="28AD1C49" w14:textId="77777777" w:rsidR="007E0ABC" w:rsidRDefault="007E0ABC" w:rsidP="000629A4">
            <w:pPr>
              <w:pStyle w:val="ListParagraph"/>
              <w:ind w:left="0"/>
            </w:pPr>
            <w:r w:rsidRPr="0018681D">
              <w:rPr>
                <w:szCs w:val="20"/>
              </w:rPr>
              <w:t>0.928082</w:t>
            </w:r>
          </w:p>
        </w:tc>
      </w:tr>
      <w:tr w:rsidR="007E0ABC" w14:paraId="5FC5134B" w14:textId="77777777" w:rsidTr="000629A4">
        <w:trPr>
          <w:jc w:val="center"/>
        </w:trPr>
        <w:tc>
          <w:tcPr>
            <w:tcW w:w="1271" w:type="dxa"/>
          </w:tcPr>
          <w:p w14:paraId="185866E1" w14:textId="77777777" w:rsidR="007E0ABC" w:rsidRDefault="007E0ABC" w:rsidP="000629A4">
            <w:pPr>
              <w:pStyle w:val="ListParagraph"/>
              <w:ind w:left="0"/>
            </w:pPr>
            <w:r>
              <w:t>3</w:t>
            </w:r>
          </w:p>
        </w:tc>
        <w:tc>
          <w:tcPr>
            <w:tcW w:w="2410" w:type="dxa"/>
          </w:tcPr>
          <w:p w14:paraId="126F79D1" w14:textId="77777777" w:rsidR="007E0ABC" w:rsidRDefault="007E0ABC" w:rsidP="000629A4">
            <w:pPr>
              <w:pStyle w:val="ListParagraph"/>
              <w:ind w:left="0"/>
            </w:pPr>
            <w:r w:rsidRPr="0018681D">
              <w:rPr>
                <w:szCs w:val="20"/>
              </w:rPr>
              <w:t xml:space="preserve">1.018897    </w:t>
            </w:r>
          </w:p>
        </w:tc>
        <w:tc>
          <w:tcPr>
            <w:tcW w:w="2126" w:type="dxa"/>
          </w:tcPr>
          <w:p w14:paraId="59A1039E" w14:textId="77777777" w:rsidR="007E0ABC" w:rsidRDefault="007E0ABC" w:rsidP="000629A4">
            <w:pPr>
              <w:pStyle w:val="ListParagraph"/>
              <w:ind w:left="0"/>
            </w:pPr>
            <w:r w:rsidRPr="0018681D">
              <w:rPr>
                <w:szCs w:val="20"/>
              </w:rPr>
              <w:t xml:space="preserve">1.862194      </w:t>
            </w:r>
          </w:p>
        </w:tc>
        <w:tc>
          <w:tcPr>
            <w:tcW w:w="2059" w:type="dxa"/>
          </w:tcPr>
          <w:p w14:paraId="1114A330" w14:textId="77777777" w:rsidR="007E0ABC" w:rsidRPr="000629A4" w:rsidRDefault="007E0ABC" w:rsidP="000629A4">
            <w:pPr>
              <w:rPr>
                <w:szCs w:val="20"/>
              </w:rPr>
            </w:pPr>
            <w:r w:rsidRPr="000629A4">
              <w:rPr>
                <w:szCs w:val="20"/>
              </w:rPr>
              <w:t>0.843297</w:t>
            </w:r>
          </w:p>
        </w:tc>
      </w:tr>
      <w:tr w:rsidR="007E0ABC" w14:paraId="24729666" w14:textId="77777777" w:rsidTr="000629A4">
        <w:trPr>
          <w:jc w:val="center"/>
        </w:trPr>
        <w:tc>
          <w:tcPr>
            <w:tcW w:w="1271" w:type="dxa"/>
          </w:tcPr>
          <w:p w14:paraId="2682208E" w14:textId="77777777" w:rsidR="007E0ABC" w:rsidRDefault="007E0ABC" w:rsidP="000629A4">
            <w:pPr>
              <w:pStyle w:val="ListParagraph"/>
              <w:ind w:left="0"/>
            </w:pPr>
            <w:r>
              <w:t>4</w:t>
            </w:r>
          </w:p>
        </w:tc>
        <w:tc>
          <w:tcPr>
            <w:tcW w:w="2410" w:type="dxa"/>
          </w:tcPr>
          <w:p w14:paraId="6927A82C" w14:textId="77777777" w:rsidR="007E0ABC" w:rsidRDefault="007E0ABC" w:rsidP="000629A4">
            <w:pPr>
              <w:pStyle w:val="ListParagraph"/>
              <w:ind w:left="0"/>
            </w:pPr>
            <w:r w:rsidRPr="0018681D">
              <w:rPr>
                <w:szCs w:val="20"/>
              </w:rPr>
              <w:t xml:space="preserve">0.431669    </w:t>
            </w:r>
          </w:p>
        </w:tc>
        <w:tc>
          <w:tcPr>
            <w:tcW w:w="2126" w:type="dxa"/>
          </w:tcPr>
          <w:p w14:paraId="316B8FDB" w14:textId="77777777" w:rsidR="007E0ABC" w:rsidRDefault="007E0ABC" w:rsidP="000629A4">
            <w:pPr>
              <w:pStyle w:val="ListParagraph"/>
              <w:ind w:left="0"/>
            </w:pPr>
            <w:r w:rsidRPr="0018681D">
              <w:rPr>
                <w:szCs w:val="20"/>
              </w:rPr>
              <w:t xml:space="preserve">1.202844      </w:t>
            </w:r>
          </w:p>
        </w:tc>
        <w:tc>
          <w:tcPr>
            <w:tcW w:w="2059" w:type="dxa"/>
          </w:tcPr>
          <w:p w14:paraId="067A7F4E" w14:textId="77777777" w:rsidR="007E0ABC" w:rsidRDefault="007E0ABC" w:rsidP="000629A4">
            <w:pPr>
              <w:pStyle w:val="ListParagraph"/>
              <w:ind w:left="0"/>
            </w:pPr>
            <w:r w:rsidRPr="0018681D">
              <w:rPr>
                <w:szCs w:val="20"/>
              </w:rPr>
              <w:t>0.771174</w:t>
            </w:r>
          </w:p>
        </w:tc>
      </w:tr>
      <w:tr w:rsidR="007E0ABC" w14:paraId="7AD9E01B" w14:textId="77777777" w:rsidTr="000629A4">
        <w:trPr>
          <w:jc w:val="center"/>
        </w:trPr>
        <w:tc>
          <w:tcPr>
            <w:tcW w:w="1271" w:type="dxa"/>
          </w:tcPr>
          <w:p w14:paraId="5B009055" w14:textId="77777777" w:rsidR="007E0ABC" w:rsidRDefault="007E0ABC" w:rsidP="000629A4">
            <w:pPr>
              <w:pStyle w:val="ListParagraph"/>
              <w:ind w:left="0"/>
            </w:pPr>
            <w:r>
              <w:t>5</w:t>
            </w:r>
          </w:p>
        </w:tc>
        <w:tc>
          <w:tcPr>
            <w:tcW w:w="2410" w:type="dxa"/>
          </w:tcPr>
          <w:p w14:paraId="3FADFF72" w14:textId="77777777" w:rsidR="007E0ABC" w:rsidRDefault="007E0ABC" w:rsidP="000629A4">
            <w:pPr>
              <w:pStyle w:val="ListParagraph"/>
              <w:ind w:left="0"/>
            </w:pPr>
            <w:r w:rsidRPr="0018681D">
              <w:rPr>
                <w:szCs w:val="20"/>
              </w:rPr>
              <w:t xml:space="preserve">0.237509    </w:t>
            </w:r>
          </w:p>
        </w:tc>
        <w:tc>
          <w:tcPr>
            <w:tcW w:w="2126" w:type="dxa"/>
          </w:tcPr>
          <w:p w14:paraId="112D87D7" w14:textId="77777777" w:rsidR="007E0ABC" w:rsidRDefault="007E0ABC" w:rsidP="000629A4">
            <w:pPr>
              <w:pStyle w:val="ListParagraph"/>
              <w:ind w:left="0"/>
            </w:pPr>
            <w:r w:rsidRPr="0018681D">
              <w:rPr>
                <w:szCs w:val="20"/>
              </w:rPr>
              <w:t xml:space="preserve">0.944416      </w:t>
            </w:r>
          </w:p>
        </w:tc>
        <w:tc>
          <w:tcPr>
            <w:tcW w:w="2059" w:type="dxa"/>
          </w:tcPr>
          <w:p w14:paraId="1AC10B44" w14:textId="77777777" w:rsidR="007E0ABC" w:rsidRDefault="007E0ABC" w:rsidP="000629A4">
            <w:pPr>
              <w:pStyle w:val="ListParagraph"/>
              <w:ind w:left="0"/>
            </w:pPr>
            <w:r w:rsidRPr="0018681D">
              <w:rPr>
                <w:szCs w:val="20"/>
              </w:rPr>
              <w:t>0.706906</w:t>
            </w:r>
          </w:p>
        </w:tc>
      </w:tr>
      <w:tr w:rsidR="007E0ABC" w14:paraId="1E18A7A2" w14:textId="77777777" w:rsidTr="000629A4">
        <w:trPr>
          <w:jc w:val="center"/>
        </w:trPr>
        <w:tc>
          <w:tcPr>
            <w:tcW w:w="1271" w:type="dxa"/>
          </w:tcPr>
          <w:p w14:paraId="137752B0" w14:textId="77777777" w:rsidR="007E0ABC" w:rsidRDefault="007E0ABC" w:rsidP="000629A4">
            <w:pPr>
              <w:pStyle w:val="ListParagraph"/>
              <w:ind w:left="0"/>
            </w:pPr>
            <w:r>
              <w:t>6</w:t>
            </w:r>
          </w:p>
        </w:tc>
        <w:tc>
          <w:tcPr>
            <w:tcW w:w="2410" w:type="dxa"/>
          </w:tcPr>
          <w:p w14:paraId="63ABEC8C" w14:textId="77777777" w:rsidR="007E0ABC" w:rsidRDefault="007E0ABC" w:rsidP="000629A4">
            <w:pPr>
              <w:pStyle w:val="ListParagraph"/>
              <w:ind w:left="0"/>
            </w:pPr>
            <w:r w:rsidRPr="0018681D">
              <w:rPr>
                <w:szCs w:val="20"/>
              </w:rPr>
              <w:t xml:space="preserve">0.189615    </w:t>
            </w:r>
          </w:p>
        </w:tc>
        <w:tc>
          <w:tcPr>
            <w:tcW w:w="2126" w:type="dxa"/>
          </w:tcPr>
          <w:p w14:paraId="559EA30E" w14:textId="77777777" w:rsidR="007E0ABC" w:rsidRDefault="007E0ABC" w:rsidP="000629A4">
            <w:pPr>
              <w:pStyle w:val="ListParagraph"/>
              <w:ind w:left="0"/>
            </w:pPr>
            <w:r w:rsidRPr="0018681D">
              <w:rPr>
                <w:szCs w:val="20"/>
              </w:rPr>
              <w:t xml:space="preserve">0.838450      </w:t>
            </w:r>
          </w:p>
        </w:tc>
        <w:tc>
          <w:tcPr>
            <w:tcW w:w="2059" w:type="dxa"/>
          </w:tcPr>
          <w:p w14:paraId="41E23504" w14:textId="77777777" w:rsidR="007E0ABC" w:rsidRPr="000629A4" w:rsidRDefault="007E0ABC" w:rsidP="000629A4">
            <w:pPr>
              <w:rPr>
                <w:szCs w:val="20"/>
              </w:rPr>
            </w:pPr>
            <w:r w:rsidRPr="000629A4">
              <w:rPr>
                <w:szCs w:val="20"/>
              </w:rPr>
              <w:t>0.648834</w:t>
            </w:r>
          </w:p>
        </w:tc>
      </w:tr>
      <w:tr w:rsidR="007E0ABC" w14:paraId="2919C740" w14:textId="77777777" w:rsidTr="000629A4">
        <w:trPr>
          <w:jc w:val="center"/>
        </w:trPr>
        <w:tc>
          <w:tcPr>
            <w:tcW w:w="1271" w:type="dxa"/>
          </w:tcPr>
          <w:p w14:paraId="32E3A8C6" w14:textId="77777777" w:rsidR="007E0ABC" w:rsidRDefault="007E0ABC" w:rsidP="000629A4">
            <w:pPr>
              <w:pStyle w:val="ListParagraph"/>
              <w:ind w:left="0"/>
            </w:pPr>
            <w:r>
              <w:t>7</w:t>
            </w:r>
          </w:p>
        </w:tc>
        <w:tc>
          <w:tcPr>
            <w:tcW w:w="2410" w:type="dxa"/>
          </w:tcPr>
          <w:p w14:paraId="62CE933D" w14:textId="77777777" w:rsidR="007E0ABC" w:rsidRDefault="007E0ABC" w:rsidP="000629A4">
            <w:pPr>
              <w:pStyle w:val="ListParagraph"/>
              <w:ind w:left="0"/>
            </w:pPr>
            <w:r w:rsidRPr="0018681D">
              <w:rPr>
                <w:szCs w:val="20"/>
              </w:rPr>
              <w:t xml:space="preserve">0.133213    </w:t>
            </w:r>
          </w:p>
        </w:tc>
        <w:tc>
          <w:tcPr>
            <w:tcW w:w="2126" w:type="dxa"/>
          </w:tcPr>
          <w:p w14:paraId="29F366CD" w14:textId="77777777" w:rsidR="007E0ABC" w:rsidRDefault="007E0ABC" w:rsidP="000629A4">
            <w:pPr>
              <w:pStyle w:val="ListParagraph"/>
              <w:ind w:left="0"/>
            </w:pPr>
            <w:r w:rsidRPr="0018681D">
              <w:rPr>
                <w:szCs w:val="20"/>
              </w:rPr>
              <w:t xml:space="preserve">0.727334      </w:t>
            </w:r>
          </w:p>
        </w:tc>
        <w:tc>
          <w:tcPr>
            <w:tcW w:w="2059" w:type="dxa"/>
          </w:tcPr>
          <w:p w14:paraId="79BB7F91" w14:textId="77777777" w:rsidR="007E0ABC" w:rsidRDefault="007E0ABC" w:rsidP="000629A4">
            <w:pPr>
              <w:pStyle w:val="ListParagraph"/>
              <w:ind w:left="0"/>
            </w:pPr>
            <w:r w:rsidRPr="0018681D">
              <w:rPr>
                <w:szCs w:val="20"/>
              </w:rPr>
              <w:t>0.594120</w:t>
            </w:r>
          </w:p>
        </w:tc>
      </w:tr>
      <w:tr w:rsidR="007E0ABC" w14:paraId="772B83ED" w14:textId="77777777" w:rsidTr="000629A4">
        <w:trPr>
          <w:jc w:val="center"/>
        </w:trPr>
        <w:tc>
          <w:tcPr>
            <w:tcW w:w="1271" w:type="dxa"/>
          </w:tcPr>
          <w:p w14:paraId="5CFDB98A" w14:textId="77777777" w:rsidR="007E0ABC" w:rsidRDefault="007E0ABC" w:rsidP="000629A4">
            <w:pPr>
              <w:pStyle w:val="ListParagraph"/>
              <w:ind w:left="0"/>
            </w:pPr>
            <w:r>
              <w:t>8</w:t>
            </w:r>
          </w:p>
        </w:tc>
        <w:tc>
          <w:tcPr>
            <w:tcW w:w="2410" w:type="dxa"/>
          </w:tcPr>
          <w:p w14:paraId="0CC3D46E" w14:textId="77777777" w:rsidR="007E0ABC" w:rsidRDefault="007E0ABC" w:rsidP="000629A4">
            <w:pPr>
              <w:pStyle w:val="ListParagraph"/>
              <w:ind w:left="0"/>
            </w:pPr>
            <w:r w:rsidRPr="0018681D">
              <w:rPr>
                <w:szCs w:val="20"/>
              </w:rPr>
              <w:t xml:space="preserve">0.089230    </w:t>
            </w:r>
          </w:p>
        </w:tc>
        <w:tc>
          <w:tcPr>
            <w:tcW w:w="2126" w:type="dxa"/>
          </w:tcPr>
          <w:p w14:paraId="4FB925A6" w14:textId="77777777" w:rsidR="007E0ABC" w:rsidRDefault="007E0ABC" w:rsidP="000629A4">
            <w:pPr>
              <w:pStyle w:val="ListParagraph"/>
              <w:ind w:left="0"/>
            </w:pPr>
            <w:r w:rsidRPr="0018681D">
              <w:rPr>
                <w:szCs w:val="20"/>
              </w:rPr>
              <w:t xml:space="preserve">0.632274      </w:t>
            </w:r>
          </w:p>
        </w:tc>
        <w:tc>
          <w:tcPr>
            <w:tcW w:w="2059" w:type="dxa"/>
          </w:tcPr>
          <w:p w14:paraId="0CE63929" w14:textId="77777777" w:rsidR="007E0ABC" w:rsidRDefault="007E0ABC" w:rsidP="000629A4">
            <w:pPr>
              <w:pStyle w:val="ListParagraph"/>
              <w:ind w:left="0"/>
            </w:pPr>
            <w:r w:rsidRPr="0018681D">
              <w:rPr>
                <w:szCs w:val="20"/>
              </w:rPr>
              <w:t>0.543044</w:t>
            </w:r>
          </w:p>
        </w:tc>
      </w:tr>
      <w:tr w:rsidR="007E0ABC" w14:paraId="3FBCABBE" w14:textId="77777777" w:rsidTr="000629A4">
        <w:trPr>
          <w:jc w:val="center"/>
        </w:trPr>
        <w:tc>
          <w:tcPr>
            <w:tcW w:w="1271" w:type="dxa"/>
          </w:tcPr>
          <w:p w14:paraId="5B71177A" w14:textId="77777777" w:rsidR="007E0ABC" w:rsidRDefault="007E0ABC" w:rsidP="000629A4">
            <w:pPr>
              <w:pStyle w:val="ListParagraph"/>
              <w:ind w:left="0"/>
            </w:pPr>
            <w:r>
              <w:t>9</w:t>
            </w:r>
          </w:p>
        </w:tc>
        <w:tc>
          <w:tcPr>
            <w:tcW w:w="2410" w:type="dxa"/>
          </w:tcPr>
          <w:p w14:paraId="1C9E913E" w14:textId="77777777" w:rsidR="007E0ABC" w:rsidRDefault="007E0ABC" w:rsidP="000629A4">
            <w:pPr>
              <w:pStyle w:val="ListParagraph"/>
              <w:ind w:left="0"/>
            </w:pPr>
            <w:r w:rsidRPr="0018681D">
              <w:rPr>
                <w:szCs w:val="20"/>
              </w:rPr>
              <w:t xml:space="preserve">0.028068    </w:t>
            </w:r>
          </w:p>
        </w:tc>
        <w:tc>
          <w:tcPr>
            <w:tcW w:w="2126" w:type="dxa"/>
          </w:tcPr>
          <w:p w14:paraId="0A36BCE9" w14:textId="77777777" w:rsidR="007E0ABC" w:rsidRDefault="007E0ABC" w:rsidP="000629A4">
            <w:pPr>
              <w:pStyle w:val="ListParagraph"/>
              <w:ind w:left="0"/>
            </w:pPr>
            <w:r w:rsidRPr="0018681D">
              <w:rPr>
                <w:szCs w:val="20"/>
              </w:rPr>
              <w:t xml:space="preserve">0.522534      </w:t>
            </w:r>
          </w:p>
        </w:tc>
        <w:tc>
          <w:tcPr>
            <w:tcW w:w="2059" w:type="dxa"/>
          </w:tcPr>
          <w:p w14:paraId="70F9F1C3" w14:textId="77777777" w:rsidR="007E0ABC" w:rsidRDefault="007E0ABC" w:rsidP="000629A4">
            <w:pPr>
              <w:pStyle w:val="ListParagraph"/>
              <w:ind w:left="0"/>
            </w:pPr>
            <w:r w:rsidRPr="0018681D">
              <w:rPr>
                <w:szCs w:val="20"/>
              </w:rPr>
              <w:t>0.494465</w:t>
            </w:r>
          </w:p>
        </w:tc>
      </w:tr>
    </w:tbl>
    <w:p w14:paraId="44157310" w14:textId="77777777" w:rsidR="007E0ABC" w:rsidRPr="0018681D" w:rsidRDefault="007E0ABC" w:rsidP="000629A4">
      <w:pPr>
        <w:pStyle w:val="ListParagraph"/>
        <w:rPr>
          <w:szCs w:val="20"/>
        </w:rPr>
      </w:pPr>
    </w:p>
    <w:p w14:paraId="05EBFAE4" w14:textId="77777777" w:rsidR="007E0ABC" w:rsidRPr="000629A4" w:rsidRDefault="007E0ABC" w:rsidP="000629A4">
      <w:pPr>
        <w:rPr>
          <w:i/>
          <w:iCs/>
          <w:szCs w:val="20"/>
        </w:rPr>
      </w:pPr>
      <w:r w:rsidRPr="000629A4">
        <w:rPr>
          <w:i/>
          <w:iCs/>
        </w:rPr>
        <w:t xml:space="preserve">Note: 5000 iterations, using the mean estimate. </w:t>
      </w:r>
      <w:r w:rsidRPr="000629A4">
        <w:rPr>
          <w:i/>
          <w:iCs/>
          <w:szCs w:val="20"/>
        </w:rPr>
        <w:t>Adjusted eigenvalues &gt; 0 indicate dimensions to retain (9 factors retained)</w:t>
      </w:r>
      <w:r>
        <w:rPr>
          <w:i/>
          <w:iCs/>
          <w:szCs w:val="20"/>
        </w:rPr>
        <w:t>.</w:t>
      </w:r>
    </w:p>
    <w:p w14:paraId="22D3A508" w14:textId="4DF64626" w:rsidR="007E0ABC" w:rsidRPr="002A2819" w:rsidRDefault="007E0ABC" w:rsidP="002A2819">
      <w:pPr>
        <w:pStyle w:val="Subtitle"/>
        <w:spacing w:after="0"/>
        <w:jc w:val="center"/>
        <w:rPr>
          <w:rFonts w:ascii="Arial" w:eastAsia="Georgia" w:hAnsi="Arial" w:cs="Georgia"/>
          <w:iCs/>
          <w:color w:val="666666"/>
          <w:sz w:val="28"/>
          <w:szCs w:val="28"/>
          <w:lang w:eastAsia="en-GB"/>
        </w:rPr>
      </w:pPr>
      <w:r w:rsidRPr="00C260F1">
        <w:rPr>
          <w:rFonts w:ascii="Avenir Book" w:hAnsi="Avenir Book"/>
          <w:iCs/>
          <w:sz w:val="28"/>
          <w:szCs w:val="28"/>
        </w:rPr>
        <w:lastRenderedPageBreak/>
        <w:t xml:space="preserve">Appendix </w:t>
      </w:r>
      <w:r>
        <w:rPr>
          <w:rFonts w:ascii="Avenir Book" w:hAnsi="Avenir Book"/>
          <w:iCs/>
          <w:sz w:val="28"/>
          <w:szCs w:val="28"/>
        </w:rPr>
        <w:t>C</w:t>
      </w:r>
      <w:r w:rsidRPr="00C260F1">
        <w:rPr>
          <w:rFonts w:ascii="Avenir Book" w:hAnsi="Avenir Book"/>
          <w:iCs/>
          <w:sz w:val="28"/>
          <w:szCs w:val="28"/>
        </w:rPr>
        <w:t xml:space="preserve"> – EASE Supplementary </w:t>
      </w:r>
      <w:r>
        <w:rPr>
          <w:rFonts w:ascii="Avenir Book" w:hAnsi="Avenir Book"/>
          <w:iCs/>
          <w:sz w:val="28"/>
          <w:szCs w:val="28"/>
        </w:rPr>
        <w:t>Data</w:t>
      </w:r>
    </w:p>
    <w:p w14:paraId="2C6ED91B" w14:textId="77777777" w:rsidR="007E0ABC" w:rsidRDefault="007E0ABC" w:rsidP="0098395C">
      <w:pPr>
        <w:pStyle w:val="Subtitle"/>
        <w:spacing w:after="0"/>
        <w:ind w:left="720"/>
        <w:rPr>
          <w:rFonts w:ascii="Avenir Heavy" w:eastAsiaTheme="minorHAnsi" w:hAnsi="Avenir Heavy"/>
          <w:b/>
          <w:bCs/>
          <w:i/>
          <w:color w:val="auto"/>
          <w:sz w:val="20"/>
          <w:szCs w:val="24"/>
        </w:rPr>
      </w:pPr>
    </w:p>
    <w:p w14:paraId="338BB94D" w14:textId="77777777" w:rsidR="007E0ABC" w:rsidRDefault="007E0ABC" w:rsidP="00716FF2">
      <w:pPr>
        <w:jc w:val="center"/>
      </w:pPr>
      <w:r w:rsidRPr="00716FF2">
        <w:t xml:space="preserve">Tables </w:t>
      </w:r>
      <w:r>
        <w:t>30A-G</w:t>
      </w:r>
      <w:r w:rsidRPr="00716FF2">
        <w:t>. Item Distributions for Factor models</w:t>
      </w:r>
    </w:p>
    <w:p w14:paraId="363D352E" w14:textId="77777777" w:rsidR="007E0ABC" w:rsidRPr="004E02C7" w:rsidRDefault="007E0ABC" w:rsidP="007E0ABC">
      <w:pPr>
        <w:pStyle w:val="ListParagraph"/>
        <w:numPr>
          <w:ilvl w:val="0"/>
          <w:numId w:val="37"/>
        </w:numPr>
        <w:spacing w:line="240" w:lineRule="auto"/>
        <w:ind w:left="360"/>
        <w:jc w:val="left"/>
        <w:rPr>
          <w:sz w:val="18"/>
          <w:szCs w:val="18"/>
        </w:rPr>
      </w:pPr>
      <w:r w:rsidRPr="004E02C7">
        <w:rPr>
          <w:sz w:val="18"/>
          <w:szCs w:val="18"/>
        </w:rPr>
        <w:t xml:space="preserve">3 Factor: </w:t>
      </w:r>
    </w:p>
    <w:tbl>
      <w:tblPr>
        <w:tblStyle w:val="TableGrid"/>
        <w:tblW w:w="9923" w:type="dxa"/>
        <w:tblInd w:w="-5" w:type="dxa"/>
        <w:tblLook w:val="04A0" w:firstRow="1" w:lastRow="0" w:firstColumn="1" w:lastColumn="0" w:noHBand="0" w:noVBand="1"/>
      </w:tblPr>
      <w:tblGrid>
        <w:gridCol w:w="3307"/>
        <w:gridCol w:w="3308"/>
        <w:gridCol w:w="3308"/>
      </w:tblGrid>
      <w:tr w:rsidR="007E0ABC" w:rsidRPr="004E02C7" w14:paraId="54E79FAD" w14:textId="77777777" w:rsidTr="00D75B62">
        <w:trPr>
          <w:trHeight w:val="349"/>
        </w:trPr>
        <w:tc>
          <w:tcPr>
            <w:tcW w:w="3307" w:type="dxa"/>
          </w:tcPr>
          <w:p w14:paraId="652DED31" w14:textId="77777777" w:rsidR="007E0ABC" w:rsidRPr="004E02C7" w:rsidRDefault="007E0ABC" w:rsidP="00D75B62">
            <w:pPr>
              <w:pStyle w:val="ListParagraph"/>
              <w:ind w:left="0"/>
              <w:jc w:val="center"/>
              <w:rPr>
                <w:sz w:val="18"/>
                <w:szCs w:val="18"/>
              </w:rPr>
            </w:pPr>
            <w:r w:rsidRPr="004E02C7">
              <w:rPr>
                <w:sz w:val="18"/>
                <w:szCs w:val="18"/>
              </w:rPr>
              <w:t>Factor 1</w:t>
            </w:r>
          </w:p>
        </w:tc>
        <w:tc>
          <w:tcPr>
            <w:tcW w:w="3308" w:type="dxa"/>
          </w:tcPr>
          <w:p w14:paraId="2DF15595" w14:textId="77777777" w:rsidR="007E0ABC" w:rsidRPr="004E02C7" w:rsidRDefault="007E0ABC" w:rsidP="00D75B62">
            <w:pPr>
              <w:pStyle w:val="ListParagraph"/>
              <w:ind w:left="0"/>
              <w:jc w:val="center"/>
              <w:rPr>
                <w:sz w:val="18"/>
                <w:szCs w:val="18"/>
              </w:rPr>
            </w:pPr>
            <w:r w:rsidRPr="004E02C7">
              <w:rPr>
                <w:sz w:val="18"/>
                <w:szCs w:val="18"/>
              </w:rPr>
              <w:t>Factor 2</w:t>
            </w:r>
          </w:p>
        </w:tc>
        <w:tc>
          <w:tcPr>
            <w:tcW w:w="3308" w:type="dxa"/>
          </w:tcPr>
          <w:p w14:paraId="1E6CF45F" w14:textId="77777777" w:rsidR="007E0ABC" w:rsidRPr="004E02C7" w:rsidRDefault="007E0ABC" w:rsidP="00D75B62">
            <w:pPr>
              <w:pStyle w:val="ListParagraph"/>
              <w:ind w:left="0"/>
              <w:jc w:val="center"/>
              <w:rPr>
                <w:sz w:val="18"/>
                <w:szCs w:val="18"/>
              </w:rPr>
            </w:pPr>
            <w:r w:rsidRPr="004E02C7">
              <w:rPr>
                <w:sz w:val="18"/>
                <w:szCs w:val="18"/>
              </w:rPr>
              <w:t>Factor 3</w:t>
            </w:r>
          </w:p>
        </w:tc>
      </w:tr>
      <w:tr w:rsidR="007E0ABC" w:rsidRPr="004E02C7" w14:paraId="5E1228CF" w14:textId="77777777" w:rsidTr="00D75B62">
        <w:trPr>
          <w:trHeight w:val="425"/>
        </w:trPr>
        <w:tc>
          <w:tcPr>
            <w:tcW w:w="3307" w:type="dxa"/>
          </w:tcPr>
          <w:p w14:paraId="54E58E68" w14:textId="77777777" w:rsidR="007E0ABC" w:rsidRPr="004E02C7" w:rsidRDefault="007E0ABC" w:rsidP="00D75B62">
            <w:pPr>
              <w:pStyle w:val="ListParagraph"/>
              <w:ind w:left="0"/>
              <w:jc w:val="center"/>
              <w:rPr>
                <w:sz w:val="18"/>
                <w:szCs w:val="18"/>
              </w:rPr>
            </w:pPr>
            <w:r w:rsidRPr="004E02C7">
              <w:rPr>
                <w:sz w:val="18"/>
                <w:szCs w:val="18"/>
              </w:rPr>
              <w:t>4, 5, 5.1, 6, 7, 9, 13, 16, 30, 31, 32, 35, 36</w:t>
            </w:r>
          </w:p>
        </w:tc>
        <w:tc>
          <w:tcPr>
            <w:tcW w:w="3308" w:type="dxa"/>
          </w:tcPr>
          <w:p w14:paraId="05950E77" w14:textId="77777777" w:rsidR="007E0ABC" w:rsidRPr="004E02C7" w:rsidRDefault="007E0ABC" w:rsidP="00D75B62">
            <w:pPr>
              <w:pStyle w:val="ListParagraph"/>
              <w:ind w:left="0"/>
              <w:jc w:val="center"/>
              <w:rPr>
                <w:sz w:val="18"/>
                <w:szCs w:val="18"/>
              </w:rPr>
            </w:pPr>
            <w:r w:rsidRPr="004E02C7">
              <w:rPr>
                <w:sz w:val="18"/>
                <w:szCs w:val="18"/>
              </w:rPr>
              <w:t>8r, 11r, 12r, 14r, 17r, 23r, 26r</w:t>
            </w:r>
          </w:p>
        </w:tc>
        <w:tc>
          <w:tcPr>
            <w:tcW w:w="3308" w:type="dxa"/>
          </w:tcPr>
          <w:p w14:paraId="4258A72C" w14:textId="77777777" w:rsidR="007E0ABC" w:rsidRPr="004E02C7" w:rsidRDefault="007E0ABC" w:rsidP="00D75B62">
            <w:pPr>
              <w:pStyle w:val="ListParagraph"/>
              <w:ind w:left="0"/>
              <w:jc w:val="center"/>
              <w:rPr>
                <w:sz w:val="18"/>
                <w:szCs w:val="18"/>
              </w:rPr>
            </w:pPr>
            <w:r w:rsidRPr="004E02C7">
              <w:rPr>
                <w:sz w:val="18"/>
                <w:szCs w:val="18"/>
              </w:rPr>
              <w:t xml:space="preserve">1, 2, 3, 10, 18, 19, 20, 22, 24, 25, 27, 29 </w:t>
            </w:r>
          </w:p>
        </w:tc>
      </w:tr>
    </w:tbl>
    <w:p w14:paraId="79B487A1" w14:textId="77777777" w:rsidR="007E0ABC" w:rsidRPr="004E02C7" w:rsidRDefault="007E0ABC" w:rsidP="000629A4">
      <w:pPr>
        <w:rPr>
          <w:b/>
          <w:bCs/>
          <w:sz w:val="18"/>
          <w:szCs w:val="22"/>
        </w:rPr>
      </w:pPr>
      <w:r w:rsidRPr="004E02C7">
        <w:rPr>
          <w:sz w:val="18"/>
          <w:szCs w:val="22"/>
        </w:rPr>
        <w:t>Non-loading items: 15r, 21, 28, 33, 34r</w:t>
      </w:r>
    </w:p>
    <w:p w14:paraId="1DC4240D" w14:textId="77777777" w:rsidR="007E0ABC" w:rsidRPr="004E02C7" w:rsidRDefault="007E0ABC" w:rsidP="000629A4">
      <w:pPr>
        <w:rPr>
          <w:sz w:val="15"/>
          <w:szCs w:val="15"/>
        </w:rPr>
      </w:pPr>
    </w:p>
    <w:p w14:paraId="08A7C43E" w14:textId="77777777" w:rsidR="007E0ABC" w:rsidRPr="004E02C7" w:rsidRDefault="007E0ABC" w:rsidP="007E0ABC">
      <w:pPr>
        <w:pStyle w:val="ListParagraph"/>
        <w:numPr>
          <w:ilvl w:val="0"/>
          <w:numId w:val="37"/>
        </w:numPr>
        <w:spacing w:line="240" w:lineRule="auto"/>
        <w:ind w:left="360"/>
        <w:jc w:val="left"/>
        <w:rPr>
          <w:sz w:val="18"/>
          <w:szCs w:val="18"/>
        </w:rPr>
      </w:pPr>
      <w:r w:rsidRPr="004E02C7">
        <w:rPr>
          <w:sz w:val="18"/>
          <w:szCs w:val="18"/>
        </w:rPr>
        <w:t xml:space="preserve">4 Factor: </w:t>
      </w:r>
    </w:p>
    <w:tbl>
      <w:tblPr>
        <w:tblStyle w:val="TableGrid"/>
        <w:tblW w:w="9923" w:type="dxa"/>
        <w:tblInd w:w="-5" w:type="dxa"/>
        <w:tblLook w:val="04A0" w:firstRow="1" w:lastRow="0" w:firstColumn="1" w:lastColumn="0" w:noHBand="0" w:noVBand="1"/>
      </w:tblPr>
      <w:tblGrid>
        <w:gridCol w:w="2480"/>
        <w:gridCol w:w="2481"/>
        <w:gridCol w:w="2481"/>
        <w:gridCol w:w="2481"/>
      </w:tblGrid>
      <w:tr w:rsidR="007E0ABC" w:rsidRPr="004E02C7" w14:paraId="7491CFAE" w14:textId="77777777" w:rsidTr="00D75B62">
        <w:trPr>
          <w:trHeight w:val="349"/>
        </w:trPr>
        <w:tc>
          <w:tcPr>
            <w:tcW w:w="2480" w:type="dxa"/>
          </w:tcPr>
          <w:p w14:paraId="272036DF" w14:textId="77777777" w:rsidR="007E0ABC" w:rsidRPr="004E02C7" w:rsidRDefault="007E0ABC" w:rsidP="00D75B62">
            <w:pPr>
              <w:pStyle w:val="ListParagraph"/>
              <w:ind w:left="0"/>
              <w:jc w:val="center"/>
              <w:rPr>
                <w:sz w:val="18"/>
                <w:szCs w:val="18"/>
              </w:rPr>
            </w:pPr>
            <w:r w:rsidRPr="004E02C7">
              <w:rPr>
                <w:sz w:val="18"/>
                <w:szCs w:val="18"/>
              </w:rPr>
              <w:t>Factor 1</w:t>
            </w:r>
          </w:p>
        </w:tc>
        <w:tc>
          <w:tcPr>
            <w:tcW w:w="2481" w:type="dxa"/>
          </w:tcPr>
          <w:p w14:paraId="19E5D345" w14:textId="77777777" w:rsidR="007E0ABC" w:rsidRPr="004E02C7" w:rsidRDefault="007E0ABC" w:rsidP="00D75B62">
            <w:pPr>
              <w:pStyle w:val="ListParagraph"/>
              <w:ind w:left="0"/>
              <w:jc w:val="center"/>
              <w:rPr>
                <w:sz w:val="18"/>
                <w:szCs w:val="18"/>
              </w:rPr>
            </w:pPr>
            <w:r w:rsidRPr="004E02C7">
              <w:rPr>
                <w:sz w:val="18"/>
                <w:szCs w:val="18"/>
              </w:rPr>
              <w:t>Factor 2</w:t>
            </w:r>
          </w:p>
        </w:tc>
        <w:tc>
          <w:tcPr>
            <w:tcW w:w="2481" w:type="dxa"/>
          </w:tcPr>
          <w:p w14:paraId="20E6B1C5" w14:textId="77777777" w:rsidR="007E0ABC" w:rsidRPr="004E02C7" w:rsidRDefault="007E0ABC" w:rsidP="00D75B62">
            <w:pPr>
              <w:pStyle w:val="ListParagraph"/>
              <w:ind w:left="0"/>
              <w:jc w:val="center"/>
              <w:rPr>
                <w:sz w:val="18"/>
                <w:szCs w:val="18"/>
              </w:rPr>
            </w:pPr>
            <w:r w:rsidRPr="004E02C7">
              <w:rPr>
                <w:sz w:val="18"/>
                <w:szCs w:val="18"/>
              </w:rPr>
              <w:t>Factor 3</w:t>
            </w:r>
          </w:p>
        </w:tc>
        <w:tc>
          <w:tcPr>
            <w:tcW w:w="2481" w:type="dxa"/>
          </w:tcPr>
          <w:p w14:paraId="4D3E92C8" w14:textId="77777777" w:rsidR="007E0ABC" w:rsidRPr="004E02C7" w:rsidRDefault="007E0ABC" w:rsidP="00D75B62">
            <w:pPr>
              <w:pStyle w:val="ListParagraph"/>
              <w:ind w:left="0"/>
              <w:jc w:val="center"/>
              <w:rPr>
                <w:sz w:val="18"/>
                <w:szCs w:val="18"/>
              </w:rPr>
            </w:pPr>
            <w:r w:rsidRPr="004E02C7">
              <w:rPr>
                <w:sz w:val="18"/>
                <w:szCs w:val="18"/>
              </w:rPr>
              <w:t>Factor 4</w:t>
            </w:r>
          </w:p>
        </w:tc>
      </w:tr>
      <w:tr w:rsidR="007E0ABC" w:rsidRPr="004E02C7" w14:paraId="2AA1F9C8" w14:textId="77777777" w:rsidTr="00D75B62">
        <w:trPr>
          <w:trHeight w:val="425"/>
        </w:trPr>
        <w:tc>
          <w:tcPr>
            <w:tcW w:w="2480" w:type="dxa"/>
          </w:tcPr>
          <w:p w14:paraId="18D93BED" w14:textId="77777777" w:rsidR="007E0ABC" w:rsidRPr="004E02C7" w:rsidRDefault="007E0ABC" w:rsidP="00D75B62">
            <w:pPr>
              <w:pStyle w:val="ListParagraph"/>
              <w:ind w:left="0"/>
              <w:jc w:val="center"/>
              <w:rPr>
                <w:sz w:val="18"/>
                <w:szCs w:val="18"/>
              </w:rPr>
            </w:pPr>
            <w:r w:rsidRPr="004E02C7">
              <w:rPr>
                <w:sz w:val="18"/>
                <w:szCs w:val="18"/>
              </w:rPr>
              <w:t>1, 2, 3, 10, 18, 19, 20, 22, 25, 27, 29</w:t>
            </w:r>
          </w:p>
        </w:tc>
        <w:tc>
          <w:tcPr>
            <w:tcW w:w="2481" w:type="dxa"/>
          </w:tcPr>
          <w:p w14:paraId="60DCB45C" w14:textId="77777777" w:rsidR="007E0ABC" w:rsidRPr="004E02C7" w:rsidRDefault="007E0ABC" w:rsidP="00D75B62">
            <w:pPr>
              <w:pStyle w:val="ListParagraph"/>
              <w:ind w:left="0"/>
              <w:jc w:val="center"/>
              <w:rPr>
                <w:sz w:val="18"/>
                <w:szCs w:val="18"/>
              </w:rPr>
            </w:pPr>
            <w:r w:rsidRPr="004E02C7">
              <w:rPr>
                <w:sz w:val="18"/>
                <w:szCs w:val="18"/>
              </w:rPr>
              <w:t>4, 5, 5.1, 9, 13, 16, 24</w:t>
            </w:r>
          </w:p>
        </w:tc>
        <w:tc>
          <w:tcPr>
            <w:tcW w:w="2481" w:type="dxa"/>
          </w:tcPr>
          <w:p w14:paraId="0E000F48" w14:textId="77777777" w:rsidR="007E0ABC" w:rsidRPr="004E02C7" w:rsidRDefault="007E0ABC" w:rsidP="00D75B62">
            <w:pPr>
              <w:pStyle w:val="ListParagraph"/>
              <w:ind w:left="0"/>
              <w:jc w:val="center"/>
              <w:rPr>
                <w:sz w:val="18"/>
                <w:szCs w:val="18"/>
              </w:rPr>
            </w:pPr>
            <w:r w:rsidRPr="004E02C7">
              <w:rPr>
                <w:sz w:val="18"/>
                <w:szCs w:val="18"/>
              </w:rPr>
              <w:t>8r, 11r, 12r, 14r, 17r, 23r, 26r</w:t>
            </w:r>
          </w:p>
        </w:tc>
        <w:tc>
          <w:tcPr>
            <w:tcW w:w="2481" w:type="dxa"/>
          </w:tcPr>
          <w:p w14:paraId="3356F92D" w14:textId="77777777" w:rsidR="007E0ABC" w:rsidRPr="004E02C7" w:rsidRDefault="007E0ABC" w:rsidP="00D75B62">
            <w:pPr>
              <w:pStyle w:val="ListParagraph"/>
              <w:ind w:left="0"/>
              <w:jc w:val="center"/>
              <w:rPr>
                <w:sz w:val="18"/>
                <w:szCs w:val="18"/>
              </w:rPr>
            </w:pPr>
            <w:r w:rsidRPr="004E02C7">
              <w:rPr>
                <w:sz w:val="18"/>
                <w:szCs w:val="18"/>
              </w:rPr>
              <w:t>6, 7, 30, 31, 32</w:t>
            </w:r>
          </w:p>
        </w:tc>
      </w:tr>
    </w:tbl>
    <w:p w14:paraId="22F83D9B" w14:textId="77777777" w:rsidR="007E0ABC" w:rsidRPr="004E02C7" w:rsidRDefault="007E0ABC" w:rsidP="000629A4">
      <w:pPr>
        <w:rPr>
          <w:b/>
          <w:bCs/>
          <w:sz w:val="18"/>
          <w:szCs w:val="22"/>
        </w:rPr>
      </w:pPr>
      <w:r w:rsidRPr="004E02C7">
        <w:rPr>
          <w:sz w:val="18"/>
          <w:szCs w:val="22"/>
        </w:rPr>
        <w:t>Non-loading items: 15r, 21, 28, 33, 34r, 35, 36</w:t>
      </w:r>
    </w:p>
    <w:p w14:paraId="286035E2" w14:textId="77777777" w:rsidR="007E0ABC" w:rsidRPr="004E02C7" w:rsidRDefault="007E0ABC" w:rsidP="000629A4">
      <w:pPr>
        <w:rPr>
          <w:b/>
          <w:bCs/>
          <w:sz w:val="18"/>
          <w:szCs w:val="22"/>
        </w:rPr>
      </w:pPr>
    </w:p>
    <w:p w14:paraId="0DFFD906" w14:textId="77777777" w:rsidR="007E0ABC" w:rsidRPr="004E02C7" w:rsidRDefault="007E0ABC" w:rsidP="007E0ABC">
      <w:pPr>
        <w:pStyle w:val="ListParagraph"/>
        <w:numPr>
          <w:ilvl w:val="0"/>
          <w:numId w:val="37"/>
        </w:numPr>
        <w:spacing w:line="240" w:lineRule="auto"/>
        <w:ind w:left="360"/>
        <w:jc w:val="left"/>
        <w:rPr>
          <w:sz w:val="18"/>
          <w:szCs w:val="18"/>
        </w:rPr>
      </w:pPr>
      <w:r w:rsidRPr="004E02C7">
        <w:rPr>
          <w:sz w:val="18"/>
          <w:szCs w:val="18"/>
        </w:rPr>
        <w:t>5 Factor</w:t>
      </w:r>
    </w:p>
    <w:tbl>
      <w:tblPr>
        <w:tblStyle w:val="TableGrid"/>
        <w:tblW w:w="9923" w:type="dxa"/>
        <w:tblInd w:w="-5" w:type="dxa"/>
        <w:tblLook w:val="04A0" w:firstRow="1" w:lastRow="0" w:firstColumn="1" w:lastColumn="0" w:noHBand="0" w:noVBand="1"/>
      </w:tblPr>
      <w:tblGrid>
        <w:gridCol w:w="1984"/>
        <w:gridCol w:w="1985"/>
        <w:gridCol w:w="1984"/>
        <w:gridCol w:w="1985"/>
        <w:gridCol w:w="1985"/>
      </w:tblGrid>
      <w:tr w:rsidR="007E0ABC" w:rsidRPr="004E02C7" w14:paraId="14C365FC" w14:textId="77777777" w:rsidTr="00D75B62">
        <w:trPr>
          <w:trHeight w:val="349"/>
        </w:trPr>
        <w:tc>
          <w:tcPr>
            <w:tcW w:w="1984" w:type="dxa"/>
          </w:tcPr>
          <w:p w14:paraId="2B357E51" w14:textId="77777777" w:rsidR="007E0ABC" w:rsidRPr="004E02C7" w:rsidRDefault="007E0ABC" w:rsidP="00D75B62">
            <w:pPr>
              <w:pStyle w:val="ListParagraph"/>
              <w:ind w:left="0"/>
              <w:jc w:val="center"/>
              <w:rPr>
                <w:sz w:val="18"/>
                <w:szCs w:val="18"/>
              </w:rPr>
            </w:pPr>
            <w:r w:rsidRPr="004E02C7">
              <w:rPr>
                <w:sz w:val="18"/>
                <w:szCs w:val="18"/>
              </w:rPr>
              <w:t>Factor 1</w:t>
            </w:r>
          </w:p>
        </w:tc>
        <w:tc>
          <w:tcPr>
            <w:tcW w:w="1985" w:type="dxa"/>
          </w:tcPr>
          <w:p w14:paraId="3E3BB9AD" w14:textId="77777777" w:rsidR="007E0ABC" w:rsidRPr="004E02C7" w:rsidRDefault="007E0ABC" w:rsidP="00D75B62">
            <w:pPr>
              <w:pStyle w:val="ListParagraph"/>
              <w:ind w:left="0"/>
              <w:jc w:val="center"/>
              <w:rPr>
                <w:sz w:val="18"/>
                <w:szCs w:val="18"/>
              </w:rPr>
            </w:pPr>
            <w:r w:rsidRPr="004E02C7">
              <w:rPr>
                <w:sz w:val="18"/>
                <w:szCs w:val="18"/>
              </w:rPr>
              <w:t>Factor 2</w:t>
            </w:r>
          </w:p>
        </w:tc>
        <w:tc>
          <w:tcPr>
            <w:tcW w:w="1984" w:type="dxa"/>
          </w:tcPr>
          <w:p w14:paraId="144EE9EF" w14:textId="77777777" w:rsidR="007E0ABC" w:rsidRPr="004E02C7" w:rsidRDefault="007E0ABC" w:rsidP="00D75B62">
            <w:pPr>
              <w:pStyle w:val="ListParagraph"/>
              <w:ind w:left="0"/>
              <w:jc w:val="center"/>
              <w:rPr>
                <w:sz w:val="18"/>
                <w:szCs w:val="18"/>
              </w:rPr>
            </w:pPr>
            <w:r w:rsidRPr="004E02C7">
              <w:rPr>
                <w:sz w:val="18"/>
                <w:szCs w:val="18"/>
              </w:rPr>
              <w:t>Factor 3</w:t>
            </w:r>
          </w:p>
        </w:tc>
        <w:tc>
          <w:tcPr>
            <w:tcW w:w="1985" w:type="dxa"/>
          </w:tcPr>
          <w:p w14:paraId="32711F43" w14:textId="77777777" w:rsidR="007E0ABC" w:rsidRPr="004E02C7" w:rsidRDefault="007E0ABC" w:rsidP="00D75B62">
            <w:pPr>
              <w:pStyle w:val="ListParagraph"/>
              <w:ind w:left="0"/>
              <w:jc w:val="center"/>
              <w:rPr>
                <w:sz w:val="18"/>
                <w:szCs w:val="18"/>
              </w:rPr>
            </w:pPr>
            <w:r w:rsidRPr="004E02C7">
              <w:rPr>
                <w:sz w:val="18"/>
                <w:szCs w:val="18"/>
              </w:rPr>
              <w:t>Factor 4</w:t>
            </w:r>
          </w:p>
        </w:tc>
        <w:tc>
          <w:tcPr>
            <w:tcW w:w="1985" w:type="dxa"/>
          </w:tcPr>
          <w:p w14:paraId="38C911FA" w14:textId="77777777" w:rsidR="007E0ABC" w:rsidRPr="004E02C7" w:rsidRDefault="007E0ABC" w:rsidP="00D75B62">
            <w:pPr>
              <w:pStyle w:val="ListParagraph"/>
              <w:ind w:left="0"/>
              <w:jc w:val="center"/>
              <w:rPr>
                <w:sz w:val="18"/>
                <w:szCs w:val="18"/>
              </w:rPr>
            </w:pPr>
            <w:r w:rsidRPr="004E02C7">
              <w:rPr>
                <w:sz w:val="18"/>
                <w:szCs w:val="18"/>
              </w:rPr>
              <w:t>Factor 5</w:t>
            </w:r>
          </w:p>
        </w:tc>
      </w:tr>
      <w:tr w:rsidR="007E0ABC" w:rsidRPr="004E02C7" w14:paraId="10336D18" w14:textId="77777777" w:rsidTr="00D75B62">
        <w:trPr>
          <w:trHeight w:val="425"/>
        </w:trPr>
        <w:tc>
          <w:tcPr>
            <w:tcW w:w="1984" w:type="dxa"/>
          </w:tcPr>
          <w:p w14:paraId="272C36EF" w14:textId="77777777" w:rsidR="007E0ABC" w:rsidRPr="004E02C7" w:rsidRDefault="007E0ABC" w:rsidP="00D75B62">
            <w:pPr>
              <w:pStyle w:val="ListParagraph"/>
              <w:ind w:left="0"/>
              <w:jc w:val="center"/>
              <w:rPr>
                <w:sz w:val="18"/>
                <w:szCs w:val="18"/>
              </w:rPr>
            </w:pPr>
            <w:r w:rsidRPr="004E02C7">
              <w:rPr>
                <w:sz w:val="18"/>
                <w:szCs w:val="18"/>
              </w:rPr>
              <w:t>5.1, 9, 13, 15, 16</w:t>
            </w:r>
          </w:p>
        </w:tc>
        <w:tc>
          <w:tcPr>
            <w:tcW w:w="1985" w:type="dxa"/>
          </w:tcPr>
          <w:p w14:paraId="6644461D" w14:textId="77777777" w:rsidR="007E0ABC" w:rsidRPr="004E02C7" w:rsidRDefault="007E0ABC" w:rsidP="00D75B62">
            <w:pPr>
              <w:pStyle w:val="ListParagraph"/>
              <w:ind w:left="0"/>
              <w:jc w:val="center"/>
              <w:rPr>
                <w:sz w:val="18"/>
                <w:szCs w:val="18"/>
              </w:rPr>
            </w:pPr>
            <w:r w:rsidRPr="004E02C7">
              <w:rPr>
                <w:sz w:val="18"/>
                <w:szCs w:val="18"/>
              </w:rPr>
              <w:t>8r, 11r, 12r, 14r, 17r, 23r, 26r</w:t>
            </w:r>
          </w:p>
        </w:tc>
        <w:tc>
          <w:tcPr>
            <w:tcW w:w="1984" w:type="dxa"/>
          </w:tcPr>
          <w:p w14:paraId="6442B7D3" w14:textId="77777777" w:rsidR="007E0ABC" w:rsidRPr="004E02C7" w:rsidRDefault="007E0ABC" w:rsidP="00D75B62">
            <w:pPr>
              <w:pStyle w:val="ListParagraph"/>
              <w:ind w:left="0"/>
              <w:jc w:val="center"/>
              <w:rPr>
                <w:sz w:val="18"/>
                <w:szCs w:val="18"/>
              </w:rPr>
            </w:pPr>
            <w:r w:rsidRPr="004E02C7">
              <w:rPr>
                <w:sz w:val="18"/>
                <w:szCs w:val="18"/>
              </w:rPr>
              <w:t>1, 2, 3, 10, 18,19, 20, 22, 24, 25, 27 29</w:t>
            </w:r>
          </w:p>
        </w:tc>
        <w:tc>
          <w:tcPr>
            <w:tcW w:w="1985" w:type="dxa"/>
          </w:tcPr>
          <w:p w14:paraId="6E930C11" w14:textId="77777777" w:rsidR="007E0ABC" w:rsidRPr="004E02C7" w:rsidRDefault="007E0ABC" w:rsidP="00D75B62">
            <w:pPr>
              <w:pStyle w:val="ListParagraph"/>
              <w:ind w:left="0"/>
              <w:jc w:val="center"/>
              <w:rPr>
                <w:sz w:val="18"/>
                <w:szCs w:val="18"/>
              </w:rPr>
            </w:pPr>
            <w:r w:rsidRPr="004E02C7">
              <w:rPr>
                <w:sz w:val="18"/>
                <w:szCs w:val="18"/>
              </w:rPr>
              <w:t>4, 6, 7, 30, 31, 32</w:t>
            </w:r>
          </w:p>
        </w:tc>
        <w:tc>
          <w:tcPr>
            <w:tcW w:w="1985" w:type="dxa"/>
          </w:tcPr>
          <w:p w14:paraId="1A42D007" w14:textId="77777777" w:rsidR="007E0ABC" w:rsidRPr="004E02C7" w:rsidRDefault="007E0ABC" w:rsidP="00D75B62">
            <w:pPr>
              <w:pStyle w:val="ListParagraph"/>
              <w:ind w:left="0"/>
              <w:jc w:val="center"/>
              <w:rPr>
                <w:sz w:val="18"/>
                <w:szCs w:val="18"/>
              </w:rPr>
            </w:pPr>
            <w:r w:rsidRPr="004E02C7">
              <w:rPr>
                <w:sz w:val="18"/>
                <w:szCs w:val="18"/>
              </w:rPr>
              <w:t>28, 33, 36</w:t>
            </w:r>
          </w:p>
        </w:tc>
      </w:tr>
    </w:tbl>
    <w:p w14:paraId="1FECEF50" w14:textId="77777777" w:rsidR="007E0ABC" w:rsidRPr="004E02C7" w:rsidRDefault="007E0ABC" w:rsidP="000629A4">
      <w:pPr>
        <w:rPr>
          <w:b/>
          <w:bCs/>
          <w:sz w:val="18"/>
          <w:szCs w:val="22"/>
        </w:rPr>
      </w:pPr>
      <w:r w:rsidRPr="004E02C7">
        <w:rPr>
          <w:sz w:val="18"/>
          <w:szCs w:val="22"/>
        </w:rPr>
        <w:t>Non-loading items: 5, 21, 34r, 35</w:t>
      </w:r>
    </w:p>
    <w:p w14:paraId="5FA58F60" w14:textId="77777777" w:rsidR="007E0ABC" w:rsidRPr="004E02C7" w:rsidRDefault="007E0ABC" w:rsidP="000629A4">
      <w:pPr>
        <w:rPr>
          <w:b/>
          <w:bCs/>
          <w:sz w:val="18"/>
          <w:szCs w:val="22"/>
        </w:rPr>
      </w:pPr>
    </w:p>
    <w:p w14:paraId="6D7A425E" w14:textId="77777777" w:rsidR="007E0ABC" w:rsidRPr="004E02C7" w:rsidRDefault="007E0ABC" w:rsidP="007E0ABC">
      <w:pPr>
        <w:pStyle w:val="ListParagraph"/>
        <w:numPr>
          <w:ilvl w:val="0"/>
          <w:numId w:val="37"/>
        </w:numPr>
        <w:spacing w:line="240" w:lineRule="auto"/>
        <w:ind w:left="360"/>
        <w:jc w:val="left"/>
        <w:rPr>
          <w:sz w:val="18"/>
          <w:szCs w:val="18"/>
        </w:rPr>
      </w:pPr>
      <w:r w:rsidRPr="004E02C7">
        <w:rPr>
          <w:sz w:val="18"/>
          <w:szCs w:val="18"/>
        </w:rPr>
        <w:t>6 Factor:</w:t>
      </w:r>
    </w:p>
    <w:tbl>
      <w:tblPr>
        <w:tblStyle w:val="TableGrid"/>
        <w:tblW w:w="9923" w:type="dxa"/>
        <w:tblInd w:w="-5" w:type="dxa"/>
        <w:tblLook w:val="04A0" w:firstRow="1" w:lastRow="0" w:firstColumn="1" w:lastColumn="0" w:noHBand="0" w:noVBand="1"/>
      </w:tblPr>
      <w:tblGrid>
        <w:gridCol w:w="2249"/>
        <w:gridCol w:w="1969"/>
        <w:gridCol w:w="1426"/>
        <w:gridCol w:w="1426"/>
        <w:gridCol w:w="1426"/>
        <w:gridCol w:w="1427"/>
      </w:tblGrid>
      <w:tr w:rsidR="007E0ABC" w:rsidRPr="004E02C7" w14:paraId="056DA596" w14:textId="77777777" w:rsidTr="000629A4">
        <w:trPr>
          <w:trHeight w:val="349"/>
        </w:trPr>
        <w:tc>
          <w:tcPr>
            <w:tcW w:w="2249" w:type="dxa"/>
          </w:tcPr>
          <w:p w14:paraId="065110F4" w14:textId="77777777" w:rsidR="007E0ABC" w:rsidRPr="004E02C7" w:rsidRDefault="007E0ABC" w:rsidP="00D75B62">
            <w:pPr>
              <w:pStyle w:val="ListParagraph"/>
              <w:ind w:left="0"/>
              <w:jc w:val="center"/>
              <w:rPr>
                <w:sz w:val="18"/>
                <w:szCs w:val="18"/>
              </w:rPr>
            </w:pPr>
            <w:r w:rsidRPr="004E02C7">
              <w:rPr>
                <w:sz w:val="18"/>
                <w:szCs w:val="18"/>
              </w:rPr>
              <w:t>Factor 1</w:t>
            </w:r>
          </w:p>
        </w:tc>
        <w:tc>
          <w:tcPr>
            <w:tcW w:w="1969" w:type="dxa"/>
          </w:tcPr>
          <w:p w14:paraId="6F041D68" w14:textId="77777777" w:rsidR="007E0ABC" w:rsidRPr="004E02C7" w:rsidRDefault="007E0ABC" w:rsidP="00D75B62">
            <w:pPr>
              <w:pStyle w:val="ListParagraph"/>
              <w:ind w:left="0"/>
              <w:jc w:val="center"/>
              <w:rPr>
                <w:sz w:val="18"/>
                <w:szCs w:val="18"/>
              </w:rPr>
            </w:pPr>
            <w:r w:rsidRPr="004E02C7">
              <w:rPr>
                <w:sz w:val="18"/>
                <w:szCs w:val="18"/>
              </w:rPr>
              <w:t>Factor 2</w:t>
            </w:r>
          </w:p>
        </w:tc>
        <w:tc>
          <w:tcPr>
            <w:tcW w:w="1426" w:type="dxa"/>
          </w:tcPr>
          <w:p w14:paraId="0BE9048A" w14:textId="77777777" w:rsidR="007E0ABC" w:rsidRPr="004E02C7" w:rsidRDefault="007E0ABC" w:rsidP="00D75B62">
            <w:pPr>
              <w:pStyle w:val="ListParagraph"/>
              <w:ind w:left="0"/>
              <w:jc w:val="center"/>
              <w:rPr>
                <w:sz w:val="18"/>
                <w:szCs w:val="18"/>
              </w:rPr>
            </w:pPr>
            <w:r w:rsidRPr="004E02C7">
              <w:rPr>
                <w:sz w:val="18"/>
                <w:szCs w:val="18"/>
              </w:rPr>
              <w:t>Factor 3</w:t>
            </w:r>
          </w:p>
        </w:tc>
        <w:tc>
          <w:tcPr>
            <w:tcW w:w="1426" w:type="dxa"/>
          </w:tcPr>
          <w:p w14:paraId="055FC906" w14:textId="77777777" w:rsidR="007E0ABC" w:rsidRPr="004E02C7" w:rsidRDefault="007E0ABC" w:rsidP="00D75B62">
            <w:pPr>
              <w:pStyle w:val="ListParagraph"/>
              <w:ind w:left="0"/>
              <w:jc w:val="center"/>
              <w:rPr>
                <w:sz w:val="18"/>
                <w:szCs w:val="18"/>
              </w:rPr>
            </w:pPr>
            <w:r w:rsidRPr="004E02C7">
              <w:rPr>
                <w:sz w:val="18"/>
                <w:szCs w:val="18"/>
              </w:rPr>
              <w:t>Factor 4</w:t>
            </w:r>
          </w:p>
        </w:tc>
        <w:tc>
          <w:tcPr>
            <w:tcW w:w="1426" w:type="dxa"/>
          </w:tcPr>
          <w:p w14:paraId="46AFA912" w14:textId="77777777" w:rsidR="007E0ABC" w:rsidRPr="004E02C7" w:rsidRDefault="007E0ABC" w:rsidP="00D75B62">
            <w:pPr>
              <w:pStyle w:val="ListParagraph"/>
              <w:ind w:left="0"/>
              <w:jc w:val="center"/>
              <w:rPr>
                <w:sz w:val="18"/>
                <w:szCs w:val="18"/>
              </w:rPr>
            </w:pPr>
            <w:r w:rsidRPr="004E02C7">
              <w:rPr>
                <w:sz w:val="18"/>
                <w:szCs w:val="18"/>
              </w:rPr>
              <w:t>Factor 5</w:t>
            </w:r>
          </w:p>
        </w:tc>
        <w:tc>
          <w:tcPr>
            <w:tcW w:w="1427" w:type="dxa"/>
          </w:tcPr>
          <w:p w14:paraId="5BF5F2BA" w14:textId="77777777" w:rsidR="007E0ABC" w:rsidRPr="004E02C7" w:rsidRDefault="007E0ABC" w:rsidP="00D75B62">
            <w:pPr>
              <w:pStyle w:val="ListParagraph"/>
              <w:ind w:left="0"/>
              <w:jc w:val="center"/>
              <w:rPr>
                <w:sz w:val="18"/>
                <w:szCs w:val="18"/>
              </w:rPr>
            </w:pPr>
            <w:r w:rsidRPr="004E02C7">
              <w:rPr>
                <w:sz w:val="18"/>
                <w:szCs w:val="18"/>
              </w:rPr>
              <w:t>Factor 6</w:t>
            </w:r>
          </w:p>
        </w:tc>
      </w:tr>
      <w:tr w:rsidR="007E0ABC" w:rsidRPr="004E02C7" w14:paraId="46DC80F1" w14:textId="77777777" w:rsidTr="000629A4">
        <w:trPr>
          <w:trHeight w:val="425"/>
        </w:trPr>
        <w:tc>
          <w:tcPr>
            <w:tcW w:w="2249" w:type="dxa"/>
          </w:tcPr>
          <w:p w14:paraId="5A762111" w14:textId="77777777" w:rsidR="007E0ABC" w:rsidRPr="004E02C7" w:rsidRDefault="007E0ABC" w:rsidP="00D75B62">
            <w:pPr>
              <w:pStyle w:val="ListParagraph"/>
              <w:ind w:left="0"/>
              <w:jc w:val="center"/>
              <w:rPr>
                <w:sz w:val="18"/>
                <w:szCs w:val="18"/>
              </w:rPr>
            </w:pPr>
            <w:r w:rsidRPr="004E02C7">
              <w:rPr>
                <w:sz w:val="18"/>
                <w:szCs w:val="18"/>
              </w:rPr>
              <w:t>3, 10, 18, 19, 20, 22, 24, 25, 27, 29, 33, 35</w:t>
            </w:r>
          </w:p>
        </w:tc>
        <w:tc>
          <w:tcPr>
            <w:tcW w:w="1969" w:type="dxa"/>
          </w:tcPr>
          <w:p w14:paraId="00DF5E26" w14:textId="77777777" w:rsidR="007E0ABC" w:rsidRPr="004E02C7" w:rsidRDefault="007E0ABC" w:rsidP="00D75B62">
            <w:pPr>
              <w:pStyle w:val="ListParagraph"/>
              <w:ind w:left="0"/>
              <w:jc w:val="center"/>
              <w:rPr>
                <w:sz w:val="18"/>
                <w:szCs w:val="18"/>
              </w:rPr>
            </w:pPr>
            <w:r w:rsidRPr="004E02C7">
              <w:rPr>
                <w:sz w:val="18"/>
                <w:szCs w:val="18"/>
              </w:rPr>
              <w:t>8r, 11r, 12r, 14r, 17r, 23r, 26r</w:t>
            </w:r>
          </w:p>
        </w:tc>
        <w:tc>
          <w:tcPr>
            <w:tcW w:w="1426" w:type="dxa"/>
          </w:tcPr>
          <w:p w14:paraId="142B8A89" w14:textId="77777777" w:rsidR="007E0ABC" w:rsidRPr="004E02C7" w:rsidRDefault="007E0ABC" w:rsidP="00D75B62">
            <w:pPr>
              <w:pStyle w:val="ListParagraph"/>
              <w:ind w:left="0"/>
              <w:jc w:val="center"/>
              <w:rPr>
                <w:sz w:val="18"/>
                <w:szCs w:val="18"/>
              </w:rPr>
            </w:pPr>
            <w:r w:rsidRPr="004E02C7">
              <w:rPr>
                <w:sz w:val="18"/>
                <w:szCs w:val="18"/>
              </w:rPr>
              <w:t>1, 2, 28, 36</w:t>
            </w:r>
          </w:p>
        </w:tc>
        <w:tc>
          <w:tcPr>
            <w:tcW w:w="1426" w:type="dxa"/>
          </w:tcPr>
          <w:p w14:paraId="656E5C1F" w14:textId="77777777" w:rsidR="007E0ABC" w:rsidRPr="004E02C7" w:rsidRDefault="007E0ABC" w:rsidP="00D75B62">
            <w:pPr>
              <w:pStyle w:val="ListParagraph"/>
              <w:ind w:left="0"/>
              <w:jc w:val="center"/>
              <w:rPr>
                <w:sz w:val="18"/>
                <w:szCs w:val="18"/>
              </w:rPr>
            </w:pPr>
            <w:r w:rsidRPr="004E02C7">
              <w:rPr>
                <w:sz w:val="18"/>
                <w:szCs w:val="18"/>
              </w:rPr>
              <w:t>30, 31, 32</w:t>
            </w:r>
          </w:p>
        </w:tc>
        <w:tc>
          <w:tcPr>
            <w:tcW w:w="1426" w:type="dxa"/>
          </w:tcPr>
          <w:p w14:paraId="55D0F900" w14:textId="77777777" w:rsidR="007E0ABC" w:rsidRPr="004E02C7" w:rsidRDefault="007E0ABC" w:rsidP="00D75B62">
            <w:pPr>
              <w:pStyle w:val="ListParagraph"/>
              <w:ind w:left="0"/>
              <w:jc w:val="center"/>
              <w:rPr>
                <w:sz w:val="18"/>
                <w:szCs w:val="18"/>
              </w:rPr>
            </w:pPr>
            <w:r w:rsidRPr="004E02C7">
              <w:rPr>
                <w:sz w:val="18"/>
                <w:szCs w:val="18"/>
              </w:rPr>
              <w:t>5.1, 13, 15r, 16</w:t>
            </w:r>
          </w:p>
        </w:tc>
        <w:tc>
          <w:tcPr>
            <w:tcW w:w="1427" w:type="dxa"/>
          </w:tcPr>
          <w:p w14:paraId="4CED4E2A" w14:textId="77777777" w:rsidR="007E0ABC" w:rsidRPr="004E02C7" w:rsidRDefault="007E0ABC" w:rsidP="00D75B62">
            <w:pPr>
              <w:pStyle w:val="ListParagraph"/>
              <w:ind w:left="0"/>
              <w:jc w:val="center"/>
              <w:rPr>
                <w:sz w:val="18"/>
                <w:szCs w:val="18"/>
              </w:rPr>
            </w:pPr>
            <w:r w:rsidRPr="004E02C7">
              <w:rPr>
                <w:sz w:val="18"/>
                <w:szCs w:val="18"/>
              </w:rPr>
              <w:t>4, 5, 6, 7, 9</w:t>
            </w:r>
          </w:p>
        </w:tc>
      </w:tr>
    </w:tbl>
    <w:p w14:paraId="144B75AB" w14:textId="77777777" w:rsidR="007E0ABC" w:rsidRPr="004E02C7" w:rsidRDefault="007E0ABC" w:rsidP="000629A4">
      <w:pPr>
        <w:rPr>
          <w:b/>
          <w:bCs/>
          <w:sz w:val="18"/>
          <w:szCs w:val="22"/>
        </w:rPr>
      </w:pPr>
      <w:r w:rsidRPr="004E02C7">
        <w:rPr>
          <w:sz w:val="18"/>
          <w:szCs w:val="22"/>
        </w:rPr>
        <w:t>Non-loading items: 21, 34r</w:t>
      </w:r>
    </w:p>
    <w:p w14:paraId="2DEDEBFA" w14:textId="77777777" w:rsidR="007E0ABC" w:rsidRPr="004E02C7" w:rsidRDefault="007E0ABC" w:rsidP="000629A4">
      <w:pPr>
        <w:rPr>
          <w:b/>
          <w:bCs/>
          <w:sz w:val="18"/>
          <w:szCs w:val="22"/>
        </w:rPr>
      </w:pPr>
    </w:p>
    <w:p w14:paraId="1B829AE8" w14:textId="77777777" w:rsidR="007E0ABC" w:rsidRPr="004E02C7" w:rsidRDefault="007E0ABC" w:rsidP="007E0ABC">
      <w:pPr>
        <w:pStyle w:val="ListParagraph"/>
        <w:numPr>
          <w:ilvl w:val="0"/>
          <w:numId w:val="37"/>
        </w:numPr>
        <w:spacing w:line="240" w:lineRule="auto"/>
        <w:ind w:left="360"/>
        <w:jc w:val="left"/>
        <w:rPr>
          <w:sz w:val="18"/>
          <w:szCs w:val="18"/>
        </w:rPr>
      </w:pPr>
      <w:r w:rsidRPr="004E02C7">
        <w:rPr>
          <w:sz w:val="18"/>
          <w:szCs w:val="18"/>
        </w:rPr>
        <w:t>7 Factor:</w:t>
      </w:r>
    </w:p>
    <w:tbl>
      <w:tblPr>
        <w:tblStyle w:val="TableGrid"/>
        <w:tblW w:w="9923" w:type="dxa"/>
        <w:tblInd w:w="-5" w:type="dxa"/>
        <w:tblLook w:val="04A0" w:firstRow="1" w:lastRow="0" w:firstColumn="1" w:lastColumn="0" w:noHBand="0" w:noVBand="1"/>
      </w:tblPr>
      <w:tblGrid>
        <w:gridCol w:w="1982"/>
        <w:gridCol w:w="1763"/>
        <w:gridCol w:w="1235"/>
        <w:gridCol w:w="1236"/>
        <w:gridCol w:w="1235"/>
        <w:gridCol w:w="1236"/>
        <w:gridCol w:w="1236"/>
      </w:tblGrid>
      <w:tr w:rsidR="007E0ABC" w:rsidRPr="004E02C7" w14:paraId="324F0715" w14:textId="77777777" w:rsidTr="000629A4">
        <w:trPr>
          <w:trHeight w:val="349"/>
        </w:trPr>
        <w:tc>
          <w:tcPr>
            <w:tcW w:w="1982" w:type="dxa"/>
          </w:tcPr>
          <w:p w14:paraId="7C7D7BE3" w14:textId="77777777" w:rsidR="007E0ABC" w:rsidRPr="004E02C7" w:rsidRDefault="007E0ABC" w:rsidP="00D75B62">
            <w:pPr>
              <w:pStyle w:val="ListParagraph"/>
              <w:ind w:left="0"/>
              <w:jc w:val="center"/>
              <w:rPr>
                <w:sz w:val="18"/>
                <w:szCs w:val="18"/>
              </w:rPr>
            </w:pPr>
            <w:r w:rsidRPr="004E02C7">
              <w:rPr>
                <w:sz w:val="18"/>
                <w:szCs w:val="18"/>
              </w:rPr>
              <w:t>Factor 1</w:t>
            </w:r>
          </w:p>
        </w:tc>
        <w:tc>
          <w:tcPr>
            <w:tcW w:w="1763" w:type="dxa"/>
          </w:tcPr>
          <w:p w14:paraId="7506A9D9" w14:textId="77777777" w:rsidR="007E0ABC" w:rsidRPr="004E02C7" w:rsidRDefault="007E0ABC" w:rsidP="00D75B62">
            <w:pPr>
              <w:pStyle w:val="ListParagraph"/>
              <w:ind w:left="0"/>
              <w:jc w:val="center"/>
              <w:rPr>
                <w:sz w:val="18"/>
                <w:szCs w:val="18"/>
              </w:rPr>
            </w:pPr>
            <w:r w:rsidRPr="004E02C7">
              <w:rPr>
                <w:sz w:val="18"/>
                <w:szCs w:val="18"/>
              </w:rPr>
              <w:t>Factor 2</w:t>
            </w:r>
          </w:p>
        </w:tc>
        <w:tc>
          <w:tcPr>
            <w:tcW w:w="1235" w:type="dxa"/>
          </w:tcPr>
          <w:p w14:paraId="1BAEE9BD" w14:textId="77777777" w:rsidR="007E0ABC" w:rsidRPr="004E02C7" w:rsidRDefault="007E0ABC" w:rsidP="00D75B62">
            <w:pPr>
              <w:pStyle w:val="ListParagraph"/>
              <w:ind w:left="0"/>
              <w:jc w:val="center"/>
              <w:rPr>
                <w:sz w:val="18"/>
                <w:szCs w:val="18"/>
              </w:rPr>
            </w:pPr>
            <w:r w:rsidRPr="004E02C7">
              <w:rPr>
                <w:sz w:val="18"/>
                <w:szCs w:val="18"/>
              </w:rPr>
              <w:t>Factor 3</w:t>
            </w:r>
          </w:p>
        </w:tc>
        <w:tc>
          <w:tcPr>
            <w:tcW w:w="1236" w:type="dxa"/>
          </w:tcPr>
          <w:p w14:paraId="2049AD89" w14:textId="77777777" w:rsidR="007E0ABC" w:rsidRPr="004E02C7" w:rsidRDefault="007E0ABC" w:rsidP="00D75B62">
            <w:pPr>
              <w:pStyle w:val="ListParagraph"/>
              <w:ind w:left="0"/>
              <w:jc w:val="center"/>
              <w:rPr>
                <w:sz w:val="18"/>
                <w:szCs w:val="18"/>
              </w:rPr>
            </w:pPr>
            <w:r w:rsidRPr="004E02C7">
              <w:rPr>
                <w:sz w:val="18"/>
                <w:szCs w:val="18"/>
              </w:rPr>
              <w:t>Factor 4</w:t>
            </w:r>
          </w:p>
        </w:tc>
        <w:tc>
          <w:tcPr>
            <w:tcW w:w="1235" w:type="dxa"/>
          </w:tcPr>
          <w:p w14:paraId="45932B40" w14:textId="77777777" w:rsidR="007E0ABC" w:rsidRPr="004E02C7" w:rsidRDefault="007E0ABC" w:rsidP="00D75B62">
            <w:pPr>
              <w:pStyle w:val="ListParagraph"/>
              <w:ind w:left="0"/>
              <w:jc w:val="center"/>
              <w:rPr>
                <w:sz w:val="18"/>
                <w:szCs w:val="18"/>
              </w:rPr>
            </w:pPr>
            <w:r w:rsidRPr="004E02C7">
              <w:rPr>
                <w:sz w:val="18"/>
                <w:szCs w:val="18"/>
              </w:rPr>
              <w:t>Factor 5</w:t>
            </w:r>
          </w:p>
        </w:tc>
        <w:tc>
          <w:tcPr>
            <w:tcW w:w="1236" w:type="dxa"/>
          </w:tcPr>
          <w:p w14:paraId="39EEFEDB" w14:textId="77777777" w:rsidR="007E0ABC" w:rsidRPr="004E02C7" w:rsidRDefault="007E0ABC" w:rsidP="00D75B62">
            <w:pPr>
              <w:pStyle w:val="ListParagraph"/>
              <w:ind w:left="0"/>
              <w:jc w:val="center"/>
              <w:rPr>
                <w:sz w:val="18"/>
                <w:szCs w:val="18"/>
              </w:rPr>
            </w:pPr>
            <w:r w:rsidRPr="004E02C7">
              <w:rPr>
                <w:sz w:val="18"/>
                <w:szCs w:val="18"/>
              </w:rPr>
              <w:t>Factor 6</w:t>
            </w:r>
          </w:p>
        </w:tc>
        <w:tc>
          <w:tcPr>
            <w:tcW w:w="1236" w:type="dxa"/>
          </w:tcPr>
          <w:p w14:paraId="20B3F1C6" w14:textId="77777777" w:rsidR="007E0ABC" w:rsidRPr="004E02C7" w:rsidRDefault="007E0ABC" w:rsidP="00D75B62">
            <w:pPr>
              <w:pStyle w:val="ListParagraph"/>
              <w:ind w:left="0"/>
              <w:jc w:val="center"/>
              <w:rPr>
                <w:sz w:val="18"/>
                <w:szCs w:val="18"/>
              </w:rPr>
            </w:pPr>
            <w:r w:rsidRPr="004E02C7">
              <w:rPr>
                <w:sz w:val="18"/>
                <w:szCs w:val="18"/>
              </w:rPr>
              <w:t>Factor 7</w:t>
            </w:r>
          </w:p>
        </w:tc>
      </w:tr>
      <w:tr w:rsidR="007E0ABC" w:rsidRPr="004E02C7" w14:paraId="527CC1DB" w14:textId="77777777" w:rsidTr="000629A4">
        <w:trPr>
          <w:trHeight w:val="425"/>
        </w:trPr>
        <w:tc>
          <w:tcPr>
            <w:tcW w:w="1982" w:type="dxa"/>
          </w:tcPr>
          <w:p w14:paraId="1CCF756A" w14:textId="77777777" w:rsidR="007E0ABC" w:rsidRPr="004E02C7" w:rsidRDefault="007E0ABC" w:rsidP="00D75B62">
            <w:pPr>
              <w:pStyle w:val="ListParagraph"/>
              <w:ind w:left="0"/>
              <w:jc w:val="center"/>
              <w:rPr>
                <w:sz w:val="18"/>
                <w:szCs w:val="18"/>
              </w:rPr>
            </w:pPr>
            <w:r w:rsidRPr="004E02C7">
              <w:rPr>
                <w:sz w:val="18"/>
                <w:szCs w:val="18"/>
              </w:rPr>
              <w:t>3, 10, 18, 19, 20, 22, 24, 25, 27, 29</w:t>
            </w:r>
          </w:p>
        </w:tc>
        <w:tc>
          <w:tcPr>
            <w:tcW w:w="1763" w:type="dxa"/>
          </w:tcPr>
          <w:p w14:paraId="5DD8339B" w14:textId="77777777" w:rsidR="007E0ABC" w:rsidRPr="004E02C7" w:rsidRDefault="007E0ABC" w:rsidP="00D75B62">
            <w:pPr>
              <w:pStyle w:val="ListParagraph"/>
              <w:ind w:left="0"/>
              <w:jc w:val="center"/>
              <w:rPr>
                <w:sz w:val="18"/>
                <w:szCs w:val="18"/>
              </w:rPr>
            </w:pPr>
            <w:r w:rsidRPr="004E02C7">
              <w:rPr>
                <w:sz w:val="18"/>
                <w:szCs w:val="18"/>
              </w:rPr>
              <w:t>8r, 11r, 12r, 14r, 17r, 23r, 26r</w:t>
            </w:r>
          </w:p>
        </w:tc>
        <w:tc>
          <w:tcPr>
            <w:tcW w:w="1235" w:type="dxa"/>
          </w:tcPr>
          <w:p w14:paraId="4A40A1D1" w14:textId="77777777" w:rsidR="007E0ABC" w:rsidRPr="004E02C7" w:rsidRDefault="007E0ABC" w:rsidP="00D75B62">
            <w:pPr>
              <w:pStyle w:val="ListParagraph"/>
              <w:ind w:left="0"/>
              <w:jc w:val="center"/>
              <w:rPr>
                <w:sz w:val="18"/>
                <w:szCs w:val="18"/>
              </w:rPr>
            </w:pPr>
            <w:r w:rsidRPr="004E02C7">
              <w:rPr>
                <w:sz w:val="18"/>
                <w:szCs w:val="18"/>
              </w:rPr>
              <w:t>1, 2</w:t>
            </w:r>
          </w:p>
        </w:tc>
        <w:tc>
          <w:tcPr>
            <w:tcW w:w="1236" w:type="dxa"/>
          </w:tcPr>
          <w:p w14:paraId="2C8CA6F8" w14:textId="77777777" w:rsidR="007E0ABC" w:rsidRPr="004E02C7" w:rsidRDefault="007E0ABC" w:rsidP="00D75B62">
            <w:pPr>
              <w:pStyle w:val="ListParagraph"/>
              <w:ind w:left="0"/>
              <w:jc w:val="center"/>
              <w:rPr>
                <w:sz w:val="18"/>
                <w:szCs w:val="18"/>
              </w:rPr>
            </w:pPr>
            <w:r w:rsidRPr="004E02C7">
              <w:rPr>
                <w:sz w:val="18"/>
                <w:szCs w:val="18"/>
              </w:rPr>
              <w:t xml:space="preserve">7, 30, 31, 32, </w:t>
            </w:r>
          </w:p>
        </w:tc>
        <w:tc>
          <w:tcPr>
            <w:tcW w:w="1235" w:type="dxa"/>
          </w:tcPr>
          <w:p w14:paraId="2AEE3BFB" w14:textId="77777777" w:rsidR="007E0ABC" w:rsidRPr="004E02C7" w:rsidRDefault="007E0ABC" w:rsidP="00D75B62">
            <w:pPr>
              <w:pStyle w:val="ListParagraph"/>
              <w:ind w:left="0"/>
              <w:jc w:val="center"/>
              <w:rPr>
                <w:sz w:val="18"/>
                <w:szCs w:val="18"/>
              </w:rPr>
            </w:pPr>
            <w:r w:rsidRPr="004E02C7">
              <w:rPr>
                <w:sz w:val="18"/>
                <w:szCs w:val="18"/>
              </w:rPr>
              <w:t>33, 36</w:t>
            </w:r>
          </w:p>
        </w:tc>
        <w:tc>
          <w:tcPr>
            <w:tcW w:w="1236" w:type="dxa"/>
          </w:tcPr>
          <w:p w14:paraId="107FD564" w14:textId="77777777" w:rsidR="007E0ABC" w:rsidRPr="004E02C7" w:rsidRDefault="007E0ABC" w:rsidP="00D75B62">
            <w:pPr>
              <w:pStyle w:val="ListParagraph"/>
              <w:ind w:left="0"/>
              <w:jc w:val="center"/>
              <w:rPr>
                <w:sz w:val="18"/>
                <w:szCs w:val="18"/>
              </w:rPr>
            </w:pPr>
            <w:r w:rsidRPr="004E02C7">
              <w:rPr>
                <w:sz w:val="18"/>
                <w:szCs w:val="18"/>
              </w:rPr>
              <w:t>4, 5, 6, 9, 21</w:t>
            </w:r>
          </w:p>
        </w:tc>
        <w:tc>
          <w:tcPr>
            <w:tcW w:w="1236" w:type="dxa"/>
          </w:tcPr>
          <w:p w14:paraId="132A2291" w14:textId="77777777" w:rsidR="007E0ABC" w:rsidRPr="004E02C7" w:rsidRDefault="007E0ABC" w:rsidP="00D75B62">
            <w:pPr>
              <w:pStyle w:val="ListParagraph"/>
              <w:ind w:left="0"/>
              <w:jc w:val="center"/>
              <w:rPr>
                <w:sz w:val="18"/>
                <w:szCs w:val="18"/>
              </w:rPr>
            </w:pPr>
            <w:r w:rsidRPr="004E02C7">
              <w:rPr>
                <w:sz w:val="18"/>
                <w:szCs w:val="18"/>
              </w:rPr>
              <w:t>5.1, 13, 15r, 16</w:t>
            </w:r>
          </w:p>
        </w:tc>
      </w:tr>
    </w:tbl>
    <w:p w14:paraId="1725DCB5" w14:textId="77777777" w:rsidR="007E0ABC" w:rsidRPr="004E02C7" w:rsidRDefault="007E0ABC" w:rsidP="000629A4">
      <w:pPr>
        <w:rPr>
          <w:b/>
          <w:bCs/>
          <w:sz w:val="18"/>
          <w:szCs w:val="22"/>
        </w:rPr>
      </w:pPr>
      <w:r w:rsidRPr="004E02C7">
        <w:rPr>
          <w:sz w:val="18"/>
          <w:szCs w:val="22"/>
        </w:rPr>
        <w:t>Non-loading items: 28, 34r, 35</w:t>
      </w:r>
    </w:p>
    <w:p w14:paraId="2290BFAE" w14:textId="77777777" w:rsidR="007E0ABC" w:rsidRPr="004E02C7" w:rsidRDefault="007E0ABC" w:rsidP="000629A4">
      <w:pPr>
        <w:rPr>
          <w:b/>
          <w:bCs/>
          <w:sz w:val="18"/>
          <w:szCs w:val="22"/>
        </w:rPr>
      </w:pPr>
    </w:p>
    <w:p w14:paraId="26164B55" w14:textId="77777777" w:rsidR="007E0ABC" w:rsidRPr="004E02C7" w:rsidRDefault="007E0ABC" w:rsidP="007E0ABC">
      <w:pPr>
        <w:pStyle w:val="ListParagraph"/>
        <w:numPr>
          <w:ilvl w:val="0"/>
          <w:numId w:val="37"/>
        </w:numPr>
        <w:spacing w:line="240" w:lineRule="auto"/>
        <w:ind w:left="360"/>
        <w:jc w:val="left"/>
        <w:rPr>
          <w:sz w:val="18"/>
          <w:szCs w:val="18"/>
        </w:rPr>
      </w:pPr>
      <w:r w:rsidRPr="004E02C7">
        <w:rPr>
          <w:sz w:val="18"/>
          <w:szCs w:val="18"/>
        </w:rPr>
        <w:t xml:space="preserve">8 Factor: </w:t>
      </w:r>
    </w:p>
    <w:tbl>
      <w:tblPr>
        <w:tblStyle w:val="TableGrid"/>
        <w:tblW w:w="9923" w:type="dxa"/>
        <w:tblInd w:w="-5" w:type="dxa"/>
        <w:tblLayout w:type="fixed"/>
        <w:tblLook w:val="04A0" w:firstRow="1" w:lastRow="0" w:firstColumn="1" w:lastColumn="0" w:noHBand="0" w:noVBand="1"/>
      </w:tblPr>
      <w:tblGrid>
        <w:gridCol w:w="1408"/>
        <w:gridCol w:w="1711"/>
        <w:gridCol w:w="986"/>
        <w:gridCol w:w="987"/>
        <w:gridCol w:w="986"/>
        <w:gridCol w:w="987"/>
        <w:gridCol w:w="987"/>
        <w:gridCol w:w="1871"/>
      </w:tblGrid>
      <w:tr w:rsidR="007E0ABC" w:rsidRPr="004E02C7" w14:paraId="12C2D113" w14:textId="77777777" w:rsidTr="000629A4">
        <w:trPr>
          <w:trHeight w:val="349"/>
        </w:trPr>
        <w:tc>
          <w:tcPr>
            <w:tcW w:w="1408" w:type="dxa"/>
          </w:tcPr>
          <w:p w14:paraId="4054BC8B" w14:textId="77777777" w:rsidR="007E0ABC" w:rsidRPr="004E02C7" w:rsidRDefault="007E0ABC" w:rsidP="00D75B62">
            <w:pPr>
              <w:pStyle w:val="ListParagraph"/>
              <w:ind w:left="0"/>
              <w:jc w:val="center"/>
              <w:rPr>
                <w:sz w:val="18"/>
                <w:szCs w:val="18"/>
              </w:rPr>
            </w:pPr>
            <w:r w:rsidRPr="004E02C7">
              <w:rPr>
                <w:sz w:val="18"/>
                <w:szCs w:val="18"/>
              </w:rPr>
              <w:t>Factor 1</w:t>
            </w:r>
          </w:p>
        </w:tc>
        <w:tc>
          <w:tcPr>
            <w:tcW w:w="1711" w:type="dxa"/>
          </w:tcPr>
          <w:p w14:paraId="0DD1F0F9" w14:textId="77777777" w:rsidR="007E0ABC" w:rsidRPr="004E02C7" w:rsidRDefault="007E0ABC" w:rsidP="00D75B62">
            <w:pPr>
              <w:pStyle w:val="ListParagraph"/>
              <w:ind w:left="0"/>
              <w:jc w:val="center"/>
              <w:rPr>
                <w:sz w:val="18"/>
                <w:szCs w:val="18"/>
              </w:rPr>
            </w:pPr>
            <w:r w:rsidRPr="004E02C7">
              <w:rPr>
                <w:sz w:val="18"/>
                <w:szCs w:val="18"/>
              </w:rPr>
              <w:t>Factor 2</w:t>
            </w:r>
          </w:p>
        </w:tc>
        <w:tc>
          <w:tcPr>
            <w:tcW w:w="986" w:type="dxa"/>
          </w:tcPr>
          <w:p w14:paraId="4A163714" w14:textId="77777777" w:rsidR="007E0ABC" w:rsidRPr="004E02C7" w:rsidRDefault="007E0ABC" w:rsidP="00D75B62">
            <w:pPr>
              <w:pStyle w:val="ListParagraph"/>
              <w:ind w:left="0"/>
              <w:jc w:val="center"/>
              <w:rPr>
                <w:sz w:val="18"/>
                <w:szCs w:val="18"/>
              </w:rPr>
            </w:pPr>
            <w:r w:rsidRPr="004E02C7">
              <w:rPr>
                <w:sz w:val="18"/>
                <w:szCs w:val="18"/>
              </w:rPr>
              <w:t>Factor 3</w:t>
            </w:r>
          </w:p>
        </w:tc>
        <w:tc>
          <w:tcPr>
            <w:tcW w:w="987" w:type="dxa"/>
          </w:tcPr>
          <w:p w14:paraId="514BE410" w14:textId="77777777" w:rsidR="007E0ABC" w:rsidRPr="004E02C7" w:rsidRDefault="007E0ABC" w:rsidP="00D75B62">
            <w:pPr>
              <w:pStyle w:val="ListParagraph"/>
              <w:ind w:left="0"/>
              <w:jc w:val="center"/>
              <w:rPr>
                <w:sz w:val="18"/>
                <w:szCs w:val="18"/>
              </w:rPr>
            </w:pPr>
            <w:r w:rsidRPr="004E02C7">
              <w:rPr>
                <w:sz w:val="18"/>
                <w:szCs w:val="18"/>
              </w:rPr>
              <w:t>Factor 4</w:t>
            </w:r>
          </w:p>
        </w:tc>
        <w:tc>
          <w:tcPr>
            <w:tcW w:w="986" w:type="dxa"/>
          </w:tcPr>
          <w:p w14:paraId="677925EF" w14:textId="77777777" w:rsidR="007E0ABC" w:rsidRPr="004E02C7" w:rsidRDefault="007E0ABC" w:rsidP="00D75B62">
            <w:pPr>
              <w:pStyle w:val="ListParagraph"/>
              <w:ind w:left="0"/>
              <w:jc w:val="center"/>
              <w:rPr>
                <w:sz w:val="18"/>
                <w:szCs w:val="18"/>
              </w:rPr>
            </w:pPr>
            <w:r w:rsidRPr="004E02C7">
              <w:rPr>
                <w:sz w:val="18"/>
                <w:szCs w:val="18"/>
              </w:rPr>
              <w:t>Factor 5</w:t>
            </w:r>
          </w:p>
        </w:tc>
        <w:tc>
          <w:tcPr>
            <w:tcW w:w="987" w:type="dxa"/>
          </w:tcPr>
          <w:p w14:paraId="2DB11FC9" w14:textId="77777777" w:rsidR="007E0ABC" w:rsidRPr="004E02C7" w:rsidRDefault="007E0ABC" w:rsidP="00D75B62">
            <w:pPr>
              <w:pStyle w:val="ListParagraph"/>
              <w:ind w:left="0"/>
              <w:jc w:val="center"/>
              <w:rPr>
                <w:sz w:val="18"/>
                <w:szCs w:val="18"/>
              </w:rPr>
            </w:pPr>
            <w:r w:rsidRPr="004E02C7">
              <w:rPr>
                <w:sz w:val="18"/>
                <w:szCs w:val="18"/>
              </w:rPr>
              <w:t>Factor 6</w:t>
            </w:r>
          </w:p>
        </w:tc>
        <w:tc>
          <w:tcPr>
            <w:tcW w:w="987" w:type="dxa"/>
          </w:tcPr>
          <w:p w14:paraId="7F1D3350" w14:textId="77777777" w:rsidR="007E0ABC" w:rsidRPr="004E02C7" w:rsidRDefault="007E0ABC" w:rsidP="00D75B62">
            <w:pPr>
              <w:pStyle w:val="ListParagraph"/>
              <w:ind w:left="0"/>
              <w:jc w:val="center"/>
              <w:rPr>
                <w:sz w:val="18"/>
                <w:szCs w:val="18"/>
              </w:rPr>
            </w:pPr>
            <w:r w:rsidRPr="004E02C7">
              <w:rPr>
                <w:sz w:val="18"/>
                <w:szCs w:val="18"/>
              </w:rPr>
              <w:t>Factor 7</w:t>
            </w:r>
          </w:p>
        </w:tc>
        <w:tc>
          <w:tcPr>
            <w:tcW w:w="1871" w:type="dxa"/>
          </w:tcPr>
          <w:p w14:paraId="1E468757" w14:textId="77777777" w:rsidR="007E0ABC" w:rsidRPr="004E02C7" w:rsidRDefault="007E0ABC" w:rsidP="00D75B62">
            <w:pPr>
              <w:pStyle w:val="ListParagraph"/>
              <w:ind w:left="0"/>
              <w:jc w:val="center"/>
              <w:rPr>
                <w:sz w:val="18"/>
                <w:szCs w:val="18"/>
              </w:rPr>
            </w:pPr>
            <w:r w:rsidRPr="004E02C7">
              <w:rPr>
                <w:sz w:val="18"/>
                <w:szCs w:val="18"/>
              </w:rPr>
              <w:t>Factor 8</w:t>
            </w:r>
          </w:p>
        </w:tc>
      </w:tr>
      <w:tr w:rsidR="007E0ABC" w:rsidRPr="004E02C7" w14:paraId="294DF863" w14:textId="77777777" w:rsidTr="000629A4">
        <w:trPr>
          <w:trHeight w:val="425"/>
        </w:trPr>
        <w:tc>
          <w:tcPr>
            <w:tcW w:w="1408" w:type="dxa"/>
          </w:tcPr>
          <w:p w14:paraId="56DB8FC8" w14:textId="77777777" w:rsidR="007E0ABC" w:rsidRPr="004E02C7" w:rsidRDefault="007E0ABC" w:rsidP="00D75B62">
            <w:pPr>
              <w:pStyle w:val="ListParagraph"/>
              <w:ind w:left="0"/>
              <w:jc w:val="center"/>
              <w:rPr>
                <w:sz w:val="18"/>
                <w:szCs w:val="18"/>
              </w:rPr>
            </w:pPr>
            <w:r w:rsidRPr="004E02C7">
              <w:rPr>
                <w:sz w:val="18"/>
                <w:szCs w:val="18"/>
              </w:rPr>
              <w:t>5, 5.1, 9, 13</w:t>
            </w:r>
          </w:p>
        </w:tc>
        <w:tc>
          <w:tcPr>
            <w:tcW w:w="1711" w:type="dxa"/>
          </w:tcPr>
          <w:p w14:paraId="4027C93E" w14:textId="77777777" w:rsidR="007E0ABC" w:rsidRPr="004E02C7" w:rsidRDefault="007E0ABC" w:rsidP="00D75B62">
            <w:pPr>
              <w:pStyle w:val="ListParagraph"/>
              <w:ind w:left="0"/>
              <w:jc w:val="center"/>
              <w:rPr>
                <w:sz w:val="18"/>
                <w:szCs w:val="18"/>
              </w:rPr>
            </w:pPr>
            <w:r w:rsidRPr="004E02C7">
              <w:rPr>
                <w:sz w:val="18"/>
                <w:szCs w:val="18"/>
              </w:rPr>
              <w:t>8r, 11r, 12r, 14r, 17r, 23r, 26r</w:t>
            </w:r>
          </w:p>
        </w:tc>
        <w:tc>
          <w:tcPr>
            <w:tcW w:w="986" w:type="dxa"/>
          </w:tcPr>
          <w:p w14:paraId="51602457" w14:textId="77777777" w:rsidR="007E0ABC" w:rsidRPr="004E02C7" w:rsidRDefault="007E0ABC" w:rsidP="00D75B62">
            <w:pPr>
              <w:pStyle w:val="ListParagraph"/>
              <w:ind w:left="0"/>
              <w:jc w:val="center"/>
              <w:rPr>
                <w:sz w:val="18"/>
                <w:szCs w:val="18"/>
              </w:rPr>
            </w:pPr>
            <w:r w:rsidRPr="004E02C7">
              <w:rPr>
                <w:sz w:val="18"/>
                <w:szCs w:val="18"/>
              </w:rPr>
              <w:t>1,2</w:t>
            </w:r>
          </w:p>
        </w:tc>
        <w:tc>
          <w:tcPr>
            <w:tcW w:w="987" w:type="dxa"/>
          </w:tcPr>
          <w:p w14:paraId="705F0F1F" w14:textId="77777777" w:rsidR="007E0ABC" w:rsidRPr="004E02C7" w:rsidRDefault="007E0ABC" w:rsidP="00D75B62">
            <w:pPr>
              <w:pStyle w:val="ListParagraph"/>
              <w:ind w:left="0"/>
              <w:jc w:val="center"/>
              <w:rPr>
                <w:sz w:val="18"/>
                <w:szCs w:val="18"/>
              </w:rPr>
            </w:pPr>
            <w:r w:rsidRPr="004E02C7">
              <w:rPr>
                <w:sz w:val="18"/>
                <w:szCs w:val="18"/>
              </w:rPr>
              <w:t xml:space="preserve">30, 31, 32, </w:t>
            </w:r>
          </w:p>
        </w:tc>
        <w:tc>
          <w:tcPr>
            <w:tcW w:w="986" w:type="dxa"/>
          </w:tcPr>
          <w:p w14:paraId="09D3F939" w14:textId="77777777" w:rsidR="007E0ABC" w:rsidRPr="004E02C7" w:rsidRDefault="007E0ABC" w:rsidP="00D75B62">
            <w:pPr>
              <w:pStyle w:val="ListParagraph"/>
              <w:ind w:left="0"/>
              <w:jc w:val="center"/>
              <w:rPr>
                <w:sz w:val="18"/>
                <w:szCs w:val="18"/>
              </w:rPr>
            </w:pPr>
            <w:r w:rsidRPr="004E02C7">
              <w:rPr>
                <w:sz w:val="18"/>
                <w:szCs w:val="18"/>
              </w:rPr>
              <w:t>15r, 16</w:t>
            </w:r>
          </w:p>
        </w:tc>
        <w:tc>
          <w:tcPr>
            <w:tcW w:w="987" w:type="dxa"/>
          </w:tcPr>
          <w:p w14:paraId="240CB4FC" w14:textId="77777777" w:rsidR="007E0ABC" w:rsidRPr="004E02C7" w:rsidRDefault="007E0ABC" w:rsidP="00D75B62">
            <w:pPr>
              <w:pStyle w:val="ListParagraph"/>
              <w:ind w:left="0"/>
              <w:jc w:val="center"/>
              <w:rPr>
                <w:sz w:val="18"/>
                <w:szCs w:val="18"/>
              </w:rPr>
            </w:pPr>
            <w:r w:rsidRPr="004E02C7">
              <w:rPr>
                <w:sz w:val="18"/>
                <w:szCs w:val="18"/>
              </w:rPr>
              <w:t>6, 4, 7</w:t>
            </w:r>
          </w:p>
        </w:tc>
        <w:tc>
          <w:tcPr>
            <w:tcW w:w="987" w:type="dxa"/>
          </w:tcPr>
          <w:p w14:paraId="1687E0A5" w14:textId="77777777" w:rsidR="007E0ABC" w:rsidRPr="004E02C7" w:rsidRDefault="007E0ABC" w:rsidP="00D75B62">
            <w:pPr>
              <w:pStyle w:val="ListParagraph"/>
              <w:ind w:left="0"/>
              <w:jc w:val="center"/>
              <w:rPr>
                <w:sz w:val="18"/>
                <w:szCs w:val="18"/>
              </w:rPr>
            </w:pPr>
            <w:r w:rsidRPr="004E02C7">
              <w:rPr>
                <w:sz w:val="18"/>
                <w:szCs w:val="18"/>
              </w:rPr>
              <w:t>33, 36</w:t>
            </w:r>
          </w:p>
        </w:tc>
        <w:tc>
          <w:tcPr>
            <w:tcW w:w="1871" w:type="dxa"/>
          </w:tcPr>
          <w:p w14:paraId="75C1DD26" w14:textId="77777777" w:rsidR="007E0ABC" w:rsidRPr="004E02C7" w:rsidRDefault="007E0ABC" w:rsidP="00D75B62">
            <w:pPr>
              <w:pStyle w:val="ListParagraph"/>
              <w:ind w:left="0"/>
              <w:jc w:val="center"/>
              <w:rPr>
                <w:sz w:val="18"/>
                <w:szCs w:val="18"/>
              </w:rPr>
            </w:pPr>
            <w:r w:rsidRPr="004E02C7">
              <w:rPr>
                <w:sz w:val="18"/>
                <w:szCs w:val="18"/>
              </w:rPr>
              <w:t>3,10, 18, 19, 20, 22, 24, 25, 27, 29</w:t>
            </w:r>
          </w:p>
        </w:tc>
      </w:tr>
    </w:tbl>
    <w:p w14:paraId="2F3EB1ED" w14:textId="77777777" w:rsidR="007E0ABC" w:rsidRPr="004E02C7" w:rsidRDefault="007E0ABC" w:rsidP="000629A4">
      <w:pPr>
        <w:rPr>
          <w:b/>
          <w:bCs/>
          <w:sz w:val="18"/>
          <w:szCs w:val="22"/>
        </w:rPr>
      </w:pPr>
      <w:r w:rsidRPr="004E02C7">
        <w:rPr>
          <w:sz w:val="18"/>
          <w:szCs w:val="22"/>
        </w:rPr>
        <w:t>Non-loading items: 21, 28, 34r, 35.</w:t>
      </w:r>
    </w:p>
    <w:p w14:paraId="133CA146" w14:textId="77777777" w:rsidR="007E0ABC" w:rsidRPr="004E02C7" w:rsidRDefault="007E0ABC" w:rsidP="000629A4">
      <w:pPr>
        <w:rPr>
          <w:b/>
          <w:bCs/>
          <w:sz w:val="18"/>
          <w:szCs w:val="22"/>
        </w:rPr>
      </w:pPr>
    </w:p>
    <w:p w14:paraId="1803BB8C" w14:textId="77777777" w:rsidR="007E0ABC" w:rsidRPr="004E02C7" w:rsidRDefault="007E0ABC" w:rsidP="007E0ABC">
      <w:pPr>
        <w:pStyle w:val="ListParagraph"/>
        <w:numPr>
          <w:ilvl w:val="0"/>
          <w:numId w:val="37"/>
        </w:numPr>
        <w:spacing w:line="240" w:lineRule="auto"/>
        <w:ind w:left="360"/>
        <w:jc w:val="left"/>
        <w:rPr>
          <w:sz w:val="18"/>
          <w:szCs w:val="18"/>
        </w:rPr>
      </w:pPr>
      <w:r w:rsidRPr="004E02C7">
        <w:rPr>
          <w:sz w:val="18"/>
          <w:szCs w:val="18"/>
        </w:rPr>
        <w:t>9 Factor:</w:t>
      </w:r>
    </w:p>
    <w:tbl>
      <w:tblPr>
        <w:tblStyle w:val="TableGrid"/>
        <w:tblW w:w="9923" w:type="dxa"/>
        <w:tblInd w:w="-5" w:type="dxa"/>
        <w:tblLook w:val="04A0" w:firstRow="1" w:lastRow="0" w:firstColumn="1" w:lastColumn="0" w:noHBand="0" w:noVBand="1"/>
      </w:tblPr>
      <w:tblGrid>
        <w:gridCol w:w="993"/>
        <w:gridCol w:w="1701"/>
        <w:gridCol w:w="937"/>
        <w:gridCol w:w="937"/>
        <w:gridCol w:w="938"/>
        <w:gridCol w:w="937"/>
        <w:gridCol w:w="938"/>
        <w:gridCol w:w="1763"/>
        <w:gridCol w:w="779"/>
      </w:tblGrid>
      <w:tr w:rsidR="007E0ABC" w:rsidRPr="004E02C7" w14:paraId="2C7CFDFC" w14:textId="77777777" w:rsidTr="000629A4">
        <w:trPr>
          <w:trHeight w:val="349"/>
        </w:trPr>
        <w:tc>
          <w:tcPr>
            <w:tcW w:w="993" w:type="dxa"/>
          </w:tcPr>
          <w:p w14:paraId="623E976A" w14:textId="77777777" w:rsidR="007E0ABC" w:rsidRPr="004E02C7" w:rsidRDefault="007E0ABC" w:rsidP="00D75B62">
            <w:pPr>
              <w:pStyle w:val="ListParagraph"/>
              <w:ind w:left="0"/>
              <w:jc w:val="center"/>
              <w:rPr>
                <w:sz w:val="18"/>
                <w:szCs w:val="18"/>
              </w:rPr>
            </w:pPr>
            <w:r w:rsidRPr="004E02C7">
              <w:rPr>
                <w:sz w:val="18"/>
                <w:szCs w:val="18"/>
              </w:rPr>
              <w:t>Factor 1</w:t>
            </w:r>
          </w:p>
        </w:tc>
        <w:tc>
          <w:tcPr>
            <w:tcW w:w="1701" w:type="dxa"/>
          </w:tcPr>
          <w:p w14:paraId="1643A822" w14:textId="77777777" w:rsidR="007E0ABC" w:rsidRPr="004E02C7" w:rsidRDefault="007E0ABC" w:rsidP="00D75B62">
            <w:pPr>
              <w:pStyle w:val="ListParagraph"/>
              <w:ind w:left="0"/>
              <w:jc w:val="center"/>
              <w:rPr>
                <w:sz w:val="18"/>
                <w:szCs w:val="18"/>
              </w:rPr>
            </w:pPr>
            <w:r w:rsidRPr="004E02C7">
              <w:rPr>
                <w:sz w:val="18"/>
                <w:szCs w:val="18"/>
              </w:rPr>
              <w:t>Factor 2</w:t>
            </w:r>
          </w:p>
        </w:tc>
        <w:tc>
          <w:tcPr>
            <w:tcW w:w="937" w:type="dxa"/>
          </w:tcPr>
          <w:p w14:paraId="3C95E609" w14:textId="77777777" w:rsidR="007E0ABC" w:rsidRPr="004E02C7" w:rsidRDefault="007E0ABC" w:rsidP="00D75B62">
            <w:pPr>
              <w:pStyle w:val="ListParagraph"/>
              <w:ind w:left="0"/>
              <w:jc w:val="center"/>
              <w:rPr>
                <w:sz w:val="18"/>
                <w:szCs w:val="18"/>
              </w:rPr>
            </w:pPr>
            <w:r w:rsidRPr="004E02C7">
              <w:rPr>
                <w:sz w:val="18"/>
                <w:szCs w:val="18"/>
              </w:rPr>
              <w:t>Factor 3</w:t>
            </w:r>
          </w:p>
        </w:tc>
        <w:tc>
          <w:tcPr>
            <w:tcW w:w="937" w:type="dxa"/>
          </w:tcPr>
          <w:p w14:paraId="5DA6BE43" w14:textId="77777777" w:rsidR="007E0ABC" w:rsidRPr="004E02C7" w:rsidRDefault="007E0ABC" w:rsidP="00D75B62">
            <w:pPr>
              <w:pStyle w:val="ListParagraph"/>
              <w:ind w:left="0"/>
              <w:jc w:val="center"/>
              <w:rPr>
                <w:sz w:val="18"/>
                <w:szCs w:val="18"/>
              </w:rPr>
            </w:pPr>
            <w:r w:rsidRPr="004E02C7">
              <w:rPr>
                <w:sz w:val="18"/>
                <w:szCs w:val="18"/>
              </w:rPr>
              <w:t>Factor 4</w:t>
            </w:r>
          </w:p>
        </w:tc>
        <w:tc>
          <w:tcPr>
            <w:tcW w:w="938" w:type="dxa"/>
          </w:tcPr>
          <w:p w14:paraId="60DDE5C2" w14:textId="77777777" w:rsidR="007E0ABC" w:rsidRPr="004E02C7" w:rsidRDefault="007E0ABC" w:rsidP="00D75B62">
            <w:pPr>
              <w:pStyle w:val="ListParagraph"/>
              <w:ind w:left="0"/>
              <w:jc w:val="center"/>
              <w:rPr>
                <w:sz w:val="18"/>
                <w:szCs w:val="18"/>
              </w:rPr>
            </w:pPr>
            <w:r w:rsidRPr="004E02C7">
              <w:rPr>
                <w:sz w:val="18"/>
                <w:szCs w:val="18"/>
              </w:rPr>
              <w:t>Factor 5</w:t>
            </w:r>
          </w:p>
        </w:tc>
        <w:tc>
          <w:tcPr>
            <w:tcW w:w="937" w:type="dxa"/>
          </w:tcPr>
          <w:p w14:paraId="3BC42003" w14:textId="77777777" w:rsidR="007E0ABC" w:rsidRPr="004E02C7" w:rsidRDefault="007E0ABC" w:rsidP="00D75B62">
            <w:pPr>
              <w:pStyle w:val="ListParagraph"/>
              <w:ind w:left="0"/>
              <w:jc w:val="center"/>
              <w:rPr>
                <w:sz w:val="18"/>
                <w:szCs w:val="18"/>
              </w:rPr>
            </w:pPr>
            <w:r w:rsidRPr="004E02C7">
              <w:rPr>
                <w:sz w:val="18"/>
                <w:szCs w:val="18"/>
              </w:rPr>
              <w:t>Factor 6</w:t>
            </w:r>
          </w:p>
        </w:tc>
        <w:tc>
          <w:tcPr>
            <w:tcW w:w="938" w:type="dxa"/>
          </w:tcPr>
          <w:p w14:paraId="6E0CF970" w14:textId="77777777" w:rsidR="007E0ABC" w:rsidRPr="004E02C7" w:rsidRDefault="007E0ABC" w:rsidP="00D75B62">
            <w:pPr>
              <w:pStyle w:val="ListParagraph"/>
              <w:ind w:left="0"/>
              <w:jc w:val="center"/>
              <w:rPr>
                <w:sz w:val="18"/>
                <w:szCs w:val="18"/>
              </w:rPr>
            </w:pPr>
            <w:r w:rsidRPr="004E02C7">
              <w:rPr>
                <w:sz w:val="18"/>
                <w:szCs w:val="18"/>
              </w:rPr>
              <w:t>Factor 7</w:t>
            </w:r>
          </w:p>
        </w:tc>
        <w:tc>
          <w:tcPr>
            <w:tcW w:w="1763" w:type="dxa"/>
          </w:tcPr>
          <w:p w14:paraId="02CA428A" w14:textId="77777777" w:rsidR="007E0ABC" w:rsidRPr="004E02C7" w:rsidRDefault="007E0ABC" w:rsidP="00D75B62">
            <w:pPr>
              <w:pStyle w:val="ListParagraph"/>
              <w:ind w:left="0"/>
              <w:jc w:val="center"/>
              <w:rPr>
                <w:sz w:val="18"/>
                <w:szCs w:val="18"/>
              </w:rPr>
            </w:pPr>
            <w:r w:rsidRPr="004E02C7">
              <w:rPr>
                <w:sz w:val="18"/>
                <w:szCs w:val="18"/>
              </w:rPr>
              <w:t>Factor 8</w:t>
            </w:r>
          </w:p>
        </w:tc>
        <w:tc>
          <w:tcPr>
            <w:tcW w:w="779" w:type="dxa"/>
          </w:tcPr>
          <w:p w14:paraId="24675D8F" w14:textId="77777777" w:rsidR="007E0ABC" w:rsidRPr="004E02C7" w:rsidRDefault="007E0ABC" w:rsidP="00D75B62">
            <w:pPr>
              <w:pStyle w:val="ListParagraph"/>
              <w:ind w:left="0"/>
              <w:jc w:val="center"/>
              <w:rPr>
                <w:sz w:val="18"/>
                <w:szCs w:val="18"/>
              </w:rPr>
            </w:pPr>
            <w:r w:rsidRPr="004E02C7">
              <w:rPr>
                <w:sz w:val="18"/>
                <w:szCs w:val="18"/>
              </w:rPr>
              <w:t>Factor 9</w:t>
            </w:r>
          </w:p>
        </w:tc>
      </w:tr>
      <w:tr w:rsidR="007E0ABC" w:rsidRPr="004E02C7" w14:paraId="028AE0CE" w14:textId="77777777" w:rsidTr="000629A4">
        <w:trPr>
          <w:trHeight w:val="425"/>
        </w:trPr>
        <w:tc>
          <w:tcPr>
            <w:tcW w:w="993" w:type="dxa"/>
          </w:tcPr>
          <w:p w14:paraId="52287E85" w14:textId="77777777" w:rsidR="007E0ABC" w:rsidRPr="004E02C7" w:rsidRDefault="007E0ABC" w:rsidP="00D75B62">
            <w:pPr>
              <w:pStyle w:val="ListParagraph"/>
              <w:ind w:left="0"/>
              <w:jc w:val="center"/>
              <w:rPr>
                <w:sz w:val="18"/>
                <w:szCs w:val="18"/>
              </w:rPr>
            </w:pPr>
            <w:r w:rsidRPr="004E02C7">
              <w:rPr>
                <w:sz w:val="18"/>
                <w:szCs w:val="18"/>
              </w:rPr>
              <w:t>5, 5.1, 20</w:t>
            </w:r>
          </w:p>
        </w:tc>
        <w:tc>
          <w:tcPr>
            <w:tcW w:w="1701" w:type="dxa"/>
          </w:tcPr>
          <w:p w14:paraId="768A8337" w14:textId="77777777" w:rsidR="007E0ABC" w:rsidRPr="004E02C7" w:rsidRDefault="007E0ABC" w:rsidP="00D75B62">
            <w:pPr>
              <w:pStyle w:val="ListParagraph"/>
              <w:ind w:left="0"/>
              <w:jc w:val="center"/>
              <w:rPr>
                <w:sz w:val="18"/>
                <w:szCs w:val="18"/>
              </w:rPr>
            </w:pPr>
            <w:r w:rsidRPr="004E02C7">
              <w:rPr>
                <w:sz w:val="18"/>
                <w:szCs w:val="18"/>
              </w:rPr>
              <w:t>8r, 11r, 12r, 14r, 17r, 23r, 26r</w:t>
            </w:r>
          </w:p>
        </w:tc>
        <w:tc>
          <w:tcPr>
            <w:tcW w:w="937" w:type="dxa"/>
          </w:tcPr>
          <w:p w14:paraId="3AD8B916" w14:textId="77777777" w:rsidR="007E0ABC" w:rsidRPr="004E02C7" w:rsidRDefault="007E0ABC" w:rsidP="00D75B62">
            <w:pPr>
              <w:pStyle w:val="ListParagraph"/>
              <w:ind w:left="0"/>
              <w:jc w:val="center"/>
              <w:rPr>
                <w:sz w:val="18"/>
                <w:szCs w:val="18"/>
              </w:rPr>
            </w:pPr>
            <w:r w:rsidRPr="004E02C7">
              <w:rPr>
                <w:sz w:val="18"/>
                <w:szCs w:val="18"/>
              </w:rPr>
              <w:t>1, 2</w:t>
            </w:r>
          </w:p>
        </w:tc>
        <w:tc>
          <w:tcPr>
            <w:tcW w:w="937" w:type="dxa"/>
          </w:tcPr>
          <w:p w14:paraId="27414E3F" w14:textId="77777777" w:rsidR="007E0ABC" w:rsidRPr="004E02C7" w:rsidRDefault="007E0ABC" w:rsidP="00D75B62">
            <w:pPr>
              <w:pStyle w:val="ListParagraph"/>
              <w:ind w:left="0"/>
              <w:jc w:val="center"/>
              <w:rPr>
                <w:sz w:val="18"/>
                <w:szCs w:val="18"/>
              </w:rPr>
            </w:pPr>
            <w:r w:rsidRPr="004E02C7">
              <w:rPr>
                <w:sz w:val="18"/>
                <w:szCs w:val="18"/>
              </w:rPr>
              <w:t>30, 31, 32, 35</w:t>
            </w:r>
          </w:p>
        </w:tc>
        <w:tc>
          <w:tcPr>
            <w:tcW w:w="938" w:type="dxa"/>
          </w:tcPr>
          <w:p w14:paraId="0F6384C8" w14:textId="77777777" w:rsidR="007E0ABC" w:rsidRPr="004E02C7" w:rsidRDefault="007E0ABC" w:rsidP="00D75B62">
            <w:pPr>
              <w:pStyle w:val="ListParagraph"/>
              <w:ind w:left="0"/>
              <w:jc w:val="center"/>
              <w:rPr>
                <w:sz w:val="18"/>
                <w:szCs w:val="18"/>
              </w:rPr>
            </w:pPr>
            <w:r w:rsidRPr="004E02C7">
              <w:rPr>
                <w:sz w:val="18"/>
                <w:szCs w:val="18"/>
              </w:rPr>
              <w:t>33, 36</w:t>
            </w:r>
          </w:p>
        </w:tc>
        <w:tc>
          <w:tcPr>
            <w:tcW w:w="937" w:type="dxa"/>
          </w:tcPr>
          <w:p w14:paraId="77E9A17A" w14:textId="77777777" w:rsidR="007E0ABC" w:rsidRPr="004E02C7" w:rsidRDefault="007E0ABC" w:rsidP="00D75B62">
            <w:pPr>
              <w:pStyle w:val="ListParagraph"/>
              <w:ind w:left="0"/>
              <w:jc w:val="center"/>
              <w:rPr>
                <w:sz w:val="18"/>
                <w:szCs w:val="18"/>
              </w:rPr>
            </w:pPr>
            <w:r w:rsidRPr="004E02C7">
              <w:rPr>
                <w:sz w:val="18"/>
                <w:szCs w:val="18"/>
              </w:rPr>
              <w:t>4, 6, 7, 9</w:t>
            </w:r>
          </w:p>
        </w:tc>
        <w:tc>
          <w:tcPr>
            <w:tcW w:w="938" w:type="dxa"/>
          </w:tcPr>
          <w:p w14:paraId="58E4C7B2" w14:textId="77777777" w:rsidR="007E0ABC" w:rsidRPr="004E02C7" w:rsidRDefault="007E0ABC" w:rsidP="00D75B62">
            <w:pPr>
              <w:pStyle w:val="ListParagraph"/>
              <w:ind w:left="0"/>
              <w:jc w:val="center"/>
              <w:rPr>
                <w:sz w:val="18"/>
                <w:szCs w:val="18"/>
              </w:rPr>
            </w:pPr>
            <w:r w:rsidRPr="004E02C7">
              <w:rPr>
                <w:sz w:val="18"/>
                <w:szCs w:val="18"/>
              </w:rPr>
              <w:t>15r, 16</w:t>
            </w:r>
          </w:p>
        </w:tc>
        <w:tc>
          <w:tcPr>
            <w:tcW w:w="1763" w:type="dxa"/>
          </w:tcPr>
          <w:p w14:paraId="5BCDD39A" w14:textId="77777777" w:rsidR="007E0ABC" w:rsidRPr="004E02C7" w:rsidRDefault="007E0ABC" w:rsidP="00D75B62">
            <w:pPr>
              <w:pStyle w:val="ListParagraph"/>
              <w:ind w:left="0"/>
              <w:jc w:val="center"/>
              <w:rPr>
                <w:sz w:val="18"/>
                <w:szCs w:val="18"/>
              </w:rPr>
            </w:pPr>
            <w:r w:rsidRPr="004E02C7">
              <w:rPr>
                <w:sz w:val="18"/>
                <w:szCs w:val="18"/>
              </w:rPr>
              <w:t xml:space="preserve">3, 10, 18, 19, 22, 24, 25, 27, 28, 29, </w:t>
            </w:r>
          </w:p>
        </w:tc>
        <w:tc>
          <w:tcPr>
            <w:tcW w:w="779" w:type="dxa"/>
          </w:tcPr>
          <w:p w14:paraId="023B8FEB" w14:textId="77777777" w:rsidR="007E0ABC" w:rsidRPr="004E02C7" w:rsidRDefault="007E0ABC" w:rsidP="00D75B62">
            <w:pPr>
              <w:pStyle w:val="ListParagraph"/>
              <w:ind w:left="0"/>
              <w:jc w:val="center"/>
              <w:rPr>
                <w:sz w:val="18"/>
                <w:szCs w:val="18"/>
              </w:rPr>
            </w:pPr>
          </w:p>
          <w:p w14:paraId="420CDD19" w14:textId="77777777" w:rsidR="007E0ABC" w:rsidRPr="004E02C7" w:rsidRDefault="007E0ABC" w:rsidP="00D75B62">
            <w:pPr>
              <w:rPr>
                <w:sz w:val="18"/>
                <w:szCs w:val="18"/>
                <w:lang w:eastAsia="zh-CN"/>
              </w:rPr>
            </w:pPr>
            <w:r w:rsidRPr="004E02C7">
              <w:rPr>
                <w:sz w:val="18"/>
                <w:szCs w:val="18"/>
                <w:lang w:eastAsia="zh-CN"/>
              </w:rPr>
              <w:t>13</w:t>
            </w:r>
          </w:p>
        </w:tc>
      </w:tr>
    </w:tbl>
    <w:p w14:paraId="24DEE55A" w14:textId="77777777" w:rsidR="007E0ABC" w:rsidRDefault="007E0ABC" w:rsidP="000629A4">
      <w:pPr>
        <w:rPr>
          <w:sz w:val="18"/>
          <w:szCs w:val="22"/>
        </w:rPr>
      </w:pPr>
      <w:r w:rsidRPr="004E02C7">
        <w:rPr>
          <w:sz w:val="18"/>
          <w:szCs w:val="22"/>
        </w:rPr>
        <w:t>Non-loading items: 21, 25, 34r.</w:t>
      </w:r>
    </w:p>
    <w:p w14:paraId="437E0094" w14:textId="77777777" w:rsidR="007E0ABC" w:rsidRDefault="007E0ABC" w:rsidP="0098395C">
      <w:pPr>
        <w:pStyle w:val="Subtitle"/>
        <w:spacing w:after="0"/>
        <w:ind w:left="72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C</w:t>
      </w:r>
      <w:r w:rsidRPr="00C260F1">
        <w:rPr>
          <w:rFonts w:ascii="Avenir Book" w:hAnsi="Avenir Book"/>
          <w:iCs/>
          <w:sz w:val="28"/>
          <w:szCs w:val="28"/>
        </w:rPr>
        <w:t xml:space="preserve"> – EASE Supplementary </w:t>
      </w:r>
      <w:r>
        <w:rPr>
          <w:rFonts w:ascii="Avenir Book" w:hAnsi="Avenir Book"/>
          <w:iCs/>
          <w:sz w:val="28"/>
          <w:szCs w:val="28"/>
        </w:rPr>
        <w:t>Data</w:t>
      </w:r>
    </w:p>
    <w:p w14:paraId="53E8FD7D" w14:textId="77777777" w:rsidR="007E0ABC" w:rsidRPr="0098395C" w:rsidRDefault="007E0ABC" w:rsidP="0098395C">
      <w:pPr>
        <w:rPr>
          <w:lang w:eastAsia="en-GB"/>
        </w:rPr>
      </w:pPr>
    </w:p>
    <w:p w14:paraId="2C518871" w14:textId="77777777" w:rsidR="007E0ABC" w:rsidRPr="00716FF2" w:rsidRDefault="007E0ABC" w:rsidP="00716FF2">
      <w:pPr>
        <w:jc w:val="center"/>
      </w:pPr>
      <w:r w:rsidRPr="00716FF2">
        <w:t xml:space="preserve">Table </w:t>
      </w:r>
      <w:r>
        <w:t>31</w:t>
      </w:r>
      <w:r w:rsidRPr="00716FF2">
        <w:t>. Scale intercorrelations for 4-factor model</w:t>
      </w:r>
    </w:p>
    <w:p w14:paraId="4EEC1D55" w14:textId="77777777" w:rsidR="007E0ABC" w:rsidRDefault="007E0ABC" w:rsidP="00C260F1"/>
    <w:tbl>
      <w:tblPr>
        <w:tblStyle w:val="TableGridLight"/>
        <w:tblW w:w="5500" w:type="pct"/>
        <w:tblLayout w:type="fixed"/>
        <w:tblLook w:val="0000" w:firstRow="0" w:lastRow="0" w:firstColumn="0" w:lastColumn="0" w:noHBand="0" w:noVBand="0"/>
      </w:tblPr>
      <w:tblGrid>
        <w:gridCol w:w="1856"/>
        <w:gridCol w:w="1539"/>
        <w:gridCol w:w="1630"/>
        <w:gridCol w:w="1630"/>
        <w:gridCol w:w="1629"/>
        <w:gridCol w:w="1627"/>
      </w:tblGrid>
      <w:tr w:rsidR="007E0ABC" w:rsidRPr="000A796C" w14:paraId="1E639A96" w14:textId="77777777" w:rsidTr="00D75B62">
        <w:trPr>
          <w:trHeight w:val="372"/>
        </w:trPr>
        <w:tc>
          <w:tcPr>
            <w:tcW w:w="1712" w:type="pct"/>
            <w:gridSpan w:val="2"/>
            <w:vAlign w:val="center"/>
          </w:tcPr>
          <w:p w14:paraId="532E2E41" w14:textId="77777777" w:rsidR="007E0ABC" w:rsidRPr="000A796C" w:rsidRDefault="007E0ABC" w:rsidP="00D75B62">
            <w:pPr>
              <w:spacing w:line="276" w:lineRule="auto"/>
              <w:rPr>
                <w:b/>
                <w:bCs/>
                <w:i/>
                <w:iCs/>
              </w:rPr>
            </w:pPr>
          </w:p>
        </w:tc>
        <w:tc>
          <w:tcPr>
            <w:tcW w:w="822" w:type="pct"/>
            <w:vAlign w:val="center"/>
          </w:tcPr>
          <w:p w14:paraId="2DB14E6E" w14:textId="77777777" w:rsidR="007E0ABC" w:rsidRPr="000629A4" w:rsidRDefault="007E0ABC" w:rsidP="000629A4">
            <w:pPr>
              <w:spacing w:line="276" w:lineRule="auto"/>
              <w:jc w:val="center"/>
              <w:rPr>
                <w:u w:val="single"/>
              </w:rPr>
            </w:pPr>
            <w:r w:rsidRPr="000629A4">
              <w:rPr>
                <w:u w:val="single"/>
              </w:rPr>
              <w:t>Self-efficacy</w:t>
            </w:r>
          </w:p>
        </w:tc>
        <w:tc>
          <w:tcPr>
            <w:tcW w:w="822" w:type="pct"/>
            <w:vAlign w:val="center"/>
          </w:tcPr>
          <w:p w14:paraId="061A8B23" w14:textId="77777777" w:rsidR="007E0ABC" w:rsidRPr="000629A4" w:rsidRDefault="007E0ABC" w:rsidP="000629A4">
            <w:pPr>
              <w:spacing w:line="276" w:lineRule="auto"/>
              <w:jc w:val="center"/>
              <w:rPr>
                <w:u w:val="single"/>
              </w:rPr>
            </w:pPr>
            <w:r w:rsidRPr="000629A4">
              <w:rPr>
                <w:u w:val="single"/>
              </w:rPr>
              <w:t>Self-Awareness/</w:t>
            </w:r>
          </w:p>
          <w:p w14:paraId="43586188" w14:textId="77777777" w:rsidR="007E0ABC" w:rsidRPr="000629A4" w:rsidRDefault="007E0ABC" w:rsidP="000629A4">
            <w:pPr>
              <w:spacing w:line="276" w:lineRule="auto"/>
              <w:jc w:val="center"/>
              <w:rPr>
                <w:u w:val="single"/>
              </w:rPr>
            </w:pPr>
            <w:r w:rsidRPr="000629A4">
              <w:rPr>
                <w:u w:val="single"/>
              </w:rPr>
              <w:t>Assertiveness</w:t>
            </w:r>
          </w:p>
        </w:tc>
        <w:tc>
          <w:tcPr>
            <w:tcW w:w="822" w:type="pct"/>
            <w:vAlign w:val="center"/>
          </w:tcPr>
          <w:p w14:paraId="30A27181" w14:textId="77777777" w:rsidR="007E0ABC" w:rsidRPr="000629A4" w:rsidRDefault="007E0ABC" w:rsidP="000629A4">
            <w:pPr>
              <w:spacing w:line="276" w:lineRule="auto"/>
              <w:jc w:val="center"/>
              <w:rPr>
                <w:u w:val="single"/>
              </w:rPr>
            </w:pPr>
            <w:r w:rsidRPr="000629A4">
              <w:rPr>
                <w:u w:val="single"/>
              </w:rPr>
              <w:t>Illness Burden</w:t>
            </w:r>
          </w:p>
          <w:p w14:paraId="62E92632" w14:textId="77777777" w:rsidR="007E0ABC" w:rsidRPr="000629A4" w:rsidRDefault="007E0ABC" w:rsidP="000629A4">
            <w:pPr>
              <w:spacing w:line="276" w:lineRule="auto"/>
              <w:jc w:val="center"/>
              <w:rPr>
                <w:u w:val="single"/>
              </w:rPr>
            </w:pPr>
            <w:r w:rsidRPr="000629A4">
              <w:rPr>
                <w:u w:val="single"/>
              </w:rPr>
              <w:t>Shame</w:t>
            </w:r>
          </w:p>
        </w:tc>
        <w:tc>
          <w:tcPr>
            <w:tcW w:w="821" w:type="pct"/>
            <w:vAlign w:val="center"/>
          </w:tcPr>
          <w:p w14:paraId="256B3F2E" w14:textId="77777777" w:rsidR="007E0ABC" w:rsidRPr="000629A4" w:rsidRDefault="007E0ABC" w:rsidP="000629A4">
            <w:pPr>
              <w:spacing w:line="276" w:lineRule="auto"/>
              <w:jc w:val="center"/>
              <w:rPr>
                <w:u w:val="single"/>
              </w:rPr>
            </w:pPr>
            <w:r w:rsidRPr="000629A4">
              <w:rPr>
                <w:u w:val="single"/>
              </w:rPr>
              <w:t>Social Support</w:t>
            </w:r>
          </w:p>
        </w:tc>
      </w:tr>
      <w:tr w:rsidR="007E0ABC" w:rsidRPr="000A796C" w14:paraId="26028D85" w14:textId="77777777" w:rsidTr="00D75B62">
        <w:trPr>
          <w:trHeight w:val="958"/>
        </w:trPr>
        <w:tc>
          <w:tcPr>
            <w:tcW w:w="936" w:type="pct"/>
            <w:vAlign w:val="center"/>
          </w:tcPr>
          <w:p w14:paraId="6E2E1BEB" w14:textId="77777777" w:rsidR="007E0ABC" w:rsidRPr="000629A4" w:rsidRDefault="007E0ABC" w:rsidP="00D75B62">
            <w:pPr>
              <w:spacing w:line="276" w:lineRule="auto"/>
              <w:rPr>
                <w:u w:val="single"/>
              </w:rPr>
            </w:pPr>
            <w:r w:rsidRPr="000629A4">
              <w:rPr>
                <w:u w:val="single"/>
              </w:rPr>
              <w:t>Self-efficacy</w:t>
            </w:r>
          </w:p>
        </w:tc>
        <w:tc>
          <w:tcPr>
            <w:tcW w:w="776" w:type="pct"/>
            <w:vAlign w:val="center"/>
          </w:tcPr>
          <w:p w14:paraId="79F205BF" w14:textId="77777777" w:rsidR="007E0ABC" w:rsidRPr="000A796C" w:rsidRDefault="007E0ABC" w:rsidP="00D75B62">
            <w:pPr>
              <w:spacing w:line="276" w:lineRule="auto"/>
              <w:rPr>
                <w:i/>
                <w:iCs/>
              </w:rPr>
            </w:pPr>
            <w:r w:rsidRPr="000A796C">
              <w:rPr>
                <w:i/>
                <w:iCs/>
              </w:rPr>
              <w:t xml:space="preserve">Pearson’s </w:t>
            </w:r>
          </w:p>
          <w:p w14:paraId="54D3687F" w14:textId="77777777" w:rsidR="007E0ABC" w:rsidRPr="000A796C" w:rsidRDefault="007E0ABC" w:rsidP="00D75B62">
            <w:pPr>
              <w:spacing w:line="276" w:lineRule="auto"/>
              <w:rPr>
                <w:i/>
                <w:iCs/>
              </w:rPr>
            </w:pPr>
            <w:r w:rsidRPr="000A796C">
              <w:rPr>
                <w:i/>
                <w:iCs/>
              </w:rPr>
              <w:t>Sig. (2-tailed)</w:t>
            </w:r>
          </w:p>
        </w:tc>
        <w:tc>
          <w:tcPr>
            <w:tcW w:w="822" w:type="pct"/>
            <w:vAlign w:val="center"/>
          </w:tcPr>
          <w:p w14:paraId="4D5CB092" w14:textId="77777777" w:rsidR="007E0ABC" w:rsidRPr="000A796C" w:rsidRDefault="007E0ABC" w:rsidP="00D75B62">
            <w:pPr>
              <w:spacing w:line="276" w:lineRule="auto"/>
            </w:pPr>
            <w:r w:rsidRPr="000A796C">
              <w:t>1</w:t>
            </w:r>
          </w:p>
        </w:tc>
        <w:tc>
          <w:tcPr>
            <w:tcW w:w="822" w:type="pct"/>
            <w:vAlign w:val="center"/>
          </w:tcPr>
          <w:p w14:paraId="77EEA21C" w14:textId="77777777" w:rsidR="007E0ABC" w:rsidRPr="000A796C" w:rsidRDefault="007E0ABC" w:rsidP="00D75B62">
            <w:pPr>
              <w:spacing w:line="276" w:lineRule="auto"/>
            </w:pPr>
            <w:r w:rsidRPr="000A796C">
              <w:t>.570**</w:t>
            </w:r>
          </w:p>
          <w:p w14:paraId="18CDFA8B" w14:textId="77777777" w:rsidR="007E0ABC" w:rsidRPr="000A796C" w:rsidRDefault="007E0ABC" w:rsidP="00D75B62">
            <w:pPr>
              <w:spacing w:line="276" w:lineRule="auto"/>
            </w:pPr>
            <w:r w:rsidRPr="000A796C">
              <w:t>&lt;.001</w:t>
            </w:r>
          </w:p>
        </w:tc>
        <w:tc>
          <w:tcPr>
            <w:tcW w:w="822" w:type="pct"/>
            <w:vAlign w:val="center"/>
          </w:tcPr>
          <w:p w14:paraId="31116F67" w14:textId="77777777" w:rsidR="007E0ABC" w:rsidRPr="000A796C" w:rsidRDefault="007E0ABC" w:rsidP="00D75B62">
            <w:pPr>
              <w:spacing w:line="276" w:lineRule="auto"/>
            </w:pPr>
            <w:r w:rsidRPr="000A796C">
              <w:t>.376**</w:t>
            </w:r>
          </w:p>
          <w:p w14:paraId="04EB9225" w14:textId="77777777" w:rsidR="007E0ABC" w:rsidRPr="000A796C" w:rsidRDefault="007E0ABC" w:rsidP="00D75B62">
            <w:pPr>
              <w:spacing w:line="276" w:lineRule="auto"/>
            </w:pPr>
            <w:r w:rsidRPr="000A796C">
              <w:t>&lt;.001</w:t>
            </w:r>
          </w:p>
        </w:tc>
        <w:tc>
          <w:tcPr>
            <w:tcW w:w="821" w:type="pct"/>
            <w:vAlign w:val="center"/>
          </w:tcPr>
          <w:p w14:paraId="5C52531B" w14:textId="77777777" w:rsidR="007E0ABC" w:rsidRPr="000A796C" w:rsidRDefault="007E0ABC" w:rsidP="00D75B62">
            <w:pPr>
              <w:spacing w:line="276" w:lineRule="auto"/>
            </w:pPr>
            <w:r w:rsidRPr="000A796C">
              <w:t>.471**</w:t>
            </w:r>
          </w:p>
          <w:p w14:paraId="5D4B1F74" w14:textId="77777777" w:rsidR="007E0ABC" w:rsidRPr="000A796C" w:rsidRDefault="007E0ABC" w:rsidP="00D75B62">
            <w:pPr>
              <w:spacing w:line="276" w:lineRule="auto"/>
            </w:pPr>
            <w:r w:rsidRPr="000A796C">
              <w:t>&lt;.001</w:t>
            </w:r>
          </w:p>
        </w:tc>
      </w:tr>
      <w:tr w:rsidR="007E0ABC" w:rsidRPr="000A796C" w14:paraId="2CD9DE48" w14:textId="77777777" w:rsidTr="00D75B62">
        <w:trPr>
          <w:trHeight w:val="841"/>
        </w:trPr>
        <w:tc>
          <w:tcPr>
            <w:tcW w:w="936" w:type="pct"/>
            <w:vAlign w:val="center"/>
          </w:tcPr>
          <w:p w14:paraId="4AFBDBC4" w14:textId="77777777" w:rsidR="007E0ABC" w:rsidRPr="000629A4" w:rsidRDefault="007E0ABC" w:rsidP="00D75B62">
            <w:pPr>
              <w:spacing w:line="276" w:lineRule="auto"/>
              <w:rPr>
                <w:u w:val="single"/>
              </w:rPr>
            </w:pPr>
            <w:r w:rsidRPr="000629A4">
              <w:rPr>
                <w:u w:val="single"/>
              </w:rPr>
              <w:t>Self-Awareness/</w:t>
            </w:r>
          </w:p>
          <w:p w14:paraId="3B2ACDBD" w14:textId="77777777" w:rsidR="007E0ABC" w:rsidRPr="000629A4" w:rsidRDefault="007E0ABC" w:rsidP="00D75B62">
            <w:pPr>
              <w:spacing w:line="276" w:lineRule="auto"/>
              <w:rPr>
                <w:u w:val="single"/>
              </w:rPr>
            </w:pPr>
            <w:r w:rsidRPr="000629A4">
              <w:rPr>
                <w:u w:val="single"/>
              </w:rPr>
              <w:t>Assertiveness</w:t>
            </w:r>
          </w:p>
        </w:tc>
        <w:tc>
          <w:tcPr>
            <w:tcW w:w="776" w:type="pct"/>
            <w:vAlign w:val="center"/>
          </w:tcPr>
          <w:p w14:paraId="742395D6" w14:textId="77777777" w:rsidR="007E0ABC" w:rsidRPr="000A796C" w:rsidRDefault="007E0ABC" w:rsidP="00D75B62">
            <w:pPr>
              <w:spacing w:line="276" w:lineRule="auto"/>
              <w:rPr>
                <w:i/>
                <w:iCs/>
              </w:rPr>
            </w:pPr>
            <w:r w:rsidRPr="000A796C">
              <w:rPr>
                <w:i/>
                <w:iCs/>
              </w:rPr>
              <w:t>Pearson’s</w:t>
            </w:r>
          </w:p>
          <w:p w14:paraId="14382C34" w14:textId="77777777" w:rsidR="007E0ABC" w:rsidRPr="000A796C" w:rsidRDefault="007E0ABC" w:rsidP="00D75B62">
            <w:pPr>
              <w:spacing w:line="276" w:lineRule="auto"/>
              <w:rPr>
                <w:i/>
                <w:iCs/>
              </w:rPr>
            </w:pPr>
            <w:r w:rsidRPr="000A796C">
              <w:rPr>
                <w:i/>
                <w:iCs/>
              </w:rPr>
              <w:t>Sig. (2-tailed)</w:t>
            </w:r>
          </w:p>
        </w:tc>
        <w:tc>
          <w:tcPr>
            <w:tcW w:w="822" w:type="pct"/>
            <w:vAlign w:val="center"/>
          </w:tcPr>
          <w:p w14:paraId="4A048B4D" w14:textId="77777777" w:rsidR="007E0ABC" w:rsidRPr="000A796C" w:rsidRDefault="007E0ABC" w:rsidP="00D75B62">
            <w:pPr>
              <w:spacing w:line="276" w:lineRule="auto"/>
            </w:pPr>
            <w:r w:rsidRPr="000A796C">
              <w:t>-</w:t>
            </w:r>
          </w:p>
        </w:tc>
        <w:tc>
          <w:tcPr>
            <w:tcW w:w="822" w:type="pct"/>
            <w:vAlign w:val="center"/>
          </w:tcPr>
          <w:p w14:paraId="2B60DC98" w14:textId="77777777" w:rsidR="007E0ABC" w:rsidRPr="000A796C" w:rsidRDefault="007E0ABC" w:rsidP="00D75B62">
            <w:pPr>
              <w:spacing w:line="276" w:lineRule="auto"/>
            </w:pPr>
            <w:r w:rsidRPr="000A796C">
              <w:t>1</w:t>
            </w:r>
          </w:p>
        </w:tc>
        <w:tc>
          <w:tcPr>
            <w:tcW w:w="822" w:type="pct"/>
            <w:vAlign w:val="center"/>
          </w:tcPr>
          <w:p w14:paraId="3DFB81F8" w14:textId="77777777" w:rsidR="007E0ABC" w:rsidRPr="000A796C" w:rsidRDefault="007E0ABC" w:rsidP="00D75B62">
            <w:pPr>
              <w:spacing w:line="276" w:lineRule="auto"/>
            </w:pPr>
            <w:r w:rsidRPr="000A796C">
              <w:t>.419**</w:t>
            </w:r>
          </w:p>
          <w:p w14:paraId="74B5DD42" w14:textId="77777777" w:rsidR="007E0ABC" w:rsidRPr="000A796C" w:rsidRDefault="007E0ABC" w:rsidP="00D75B62">
            <w:pPr>
              <w:spacing w:line="276" w:lineRule="auto"/>
            </w:pPr>
            <w:r w:rsidRPr="000A796C">
              <w:t>&lt;.001</w:t>
            </w:r>
          </w:p>
        </w:tc>
        <w:tc>
          <w:tcPr>
            <w:tcW w:w="821" w:type="pct"/>
            <w:vAlign w:val="center"/>
          </w:tcPr>
          <w:p w14:paraId="7FF628D4" w14:textId="77777777" w:rsidR="007E0ABC" w:rsidRPr="000A796C" w:rsidRDefault="007E0ABC" w:rsidP="00D75B62">
            <w:pPr>
              <w:spacing w:line="276" w:lineRule="auto"/>
            </w:pPr>
            <w:r w:rsidRPr="000A796C">
              <w:t>.622**</w:t>
            </w:r>
          </w:p>
          <w:p w14:paraId="218956F6" w14:textId="77777777" w:rsidR="007E0ABC" w:rsidRPr="000A796C" w:rsidRDefault="007E0ABC" w:rsidP="00D75B62">
            <w:pPr>
              <w:spacing w:line="276" w:lineRule="auto"/>
            </w:pPr>
            <w:r w:rsidRPr="000A796C">
              <w:t>&lt;.001</w:t>
            </w:r>
          </w:p>
        </w:tc>
      </w:tr>
      <w:tr w:rsidR="007E0ABC" w:rsidRPr="000A796C" w14:paraId="44E1C8B2" w14:textId="77777777" w:rsidTr="00D75B62">
        <w:trPr>
          <w:trHeight w:val="843"/>
        </w:trPr>
        <w:tc>
          <w:tcPr>
            <w:tcW w:w="936" w:type="pct"/>
            <w:vAlign w:val="center"/>
          </w:tcPr>
          <w:p w14:paraId="3D312B80" w14:textId="77777777" w:rsidR="007E0ABC" w:rsidRPr="000629A4" w:rsidRDefault="007E0ABC" w:rsidP="00D75B62">
            <w:pPr>
              <w:spacing w:line="276" w:lineRule="auto"/>
              <w:rPr>
                <w:u w:val="single"/>
              </w:rPr>
            </w:pPr>
            <w:r w:rsidRPr="000629A4">
              <w:rPr>
                <w:u w:val="single"/>
              </w:rPr>
              <w:t>Illness Burden/Shame</w:t>
            </w:r>
          </w:p>
        </w:tc>
        <w:tc>
          <w:tcPr>
            <w:tcW w:w="776" w:type="pct"/>
            <w:vAlign w:val="center"/>
          </w:tcPr>
          <w:p w14:paraId="225EA1F2" w14:textId="77777777" w:rsidR="007E0ABC" w:rsidRPr="000A796C" w:rsidRDefault="007E0ABC" w:rsidP="00D75B62">
            <w:pPr>
              <w:spacing w:line="276" w:lineRule="auto"/>
              <w:rPr>
                <w:i/>
                <w:iCs/>
              </w:rPr>
            </w:pPr>
            <w:r w:rsidRPr="000A796C">
              <w:rPr>
                <w:i/>
                <w:iCs/>
              </w:rPr>
              <w:t xml:space="preserve">Pearson’s </w:t>
            </w:r>
          </w:p>
          <w:p w14:paraId="23778F97" w14:textId="77777777" w:rsidR="007E0ABC" w:rsidRPr="000A796C" w:rsidRDefault="007E0ABC" w:rsidP="00D75B62">
            <w:pPr>
              <w:spacing w:line="276" w:lineRule="auto"/>
              <w:rPr>
                <w:i/>
                <w:iCs/>
              </w:rPr>
            </w:pPr>
            <w:r w:rsidRPr="000A796C">
              <w:rPr>
                <w:i/>
                <w:iCs/>
              </w:rPr>
              <w:t>Sig. (2-tailed)</w:t>
            </w:r>
          </w:p>
        </w:tc>
        <w:tc>
          <w:tcPr>
            <w:tcW w:w="822" w:type="pct"/>
            <w:vAlign w:val="center"/>
          </w:tcPr>
          <w:p w14:paraId="3CCC630E" w14:textId="77777777" w:rsidR="007E0ABC" w:rsidRPr="000A796C" w:rsidRDefault="007E0ABC" w:rsidP="00D75B62">
            <w:pPr>
              <w:spacing w:line="276" w:lineRule="auto"/>
            </w:pPr>
            <w:r w:rsidRPr="000A796C">
              <w:t>-</w:t>
            </w:r>
          </w:p>
        </w:tc>
        <w:tc>
          <w:tcPr>
            <w:tcW w:w="822" w:type="pct"/>
            <w:vAlign w:val="center"/>
          </w:tcPr>
          <w:p w14:paraId="0800E9B4" w14:textId="77777777" w:rsidR="007E0ABC" w:rsidRPr="000A796C" w:rsidRDefault="007E0ABC" w:rsidP="00D75B62">
            <w:pPr>
              <w:spacing w:line="276" w:lineRule="auto"/>
            </w:pPr>
            <w:r w:rsidRPr="000A796C">
              <w:t>-</w:t>
            </w:r>
          </w:p>
        </w:tc>
        <w:tc>
          <w:tcPr>
            <w:tcW w:w="822" w:type="pct"/>
            <w:vAlign w:val="center"/>
          </w:tcPr>
          <w:p w14:paraId="26125B29" w14:textId="77777777" w:rsidR="007E0ABC" w:rsidRPr="000A796C" w:rsidRDefault="007E0ABC" w:rsidP="00D75B62">
            <w:pPr>
              <w:spacing w:line="276" w:lineRule="auto"/>
            </w:pPr>
            <w:r w:rsidRPr="000A796C">
              <w:t>1</w:t>
            </w:r>
          </w:p>
          <w:p w14:paraId="293FF349" w14:textId="77777777" w:rsidR="007E0ABC" w:rsidRPr="000A796C" w:rsidRDefault="007E0ABC" w:rsidP="00D75B62">
            <w:pPr>
              <w:spacing w:line="276" w:lineRule="auto"/>
            </w:pPr>
          </w:p>
        </w:tc>
        <w:tc>
          <w:tcPr>
            <w:tcW w:w="821" w:type="pct"/>
            <w:vAlign w:val="center"/>
          </w:tcPr>
          <w:p w14:paraId="156504A0" w14:textId="77777777" w:rsidR="007E0ABC" w:rsidRPr="000A796C" w:rsidRDefault="007E0ABC" w:rsidP="00D75B62">
            <w:pPr>
              <w:spacing w:line="276" w:lineRule="auto"/>
            </w:pPr>
            <w:r w:rsidRPr="000A796C">
              <w:t>.259**</w:t>
            </w:r>
          </w:p>
          <w:p w14:paraId="5F6F1E14" w14:textId="77777777" w:rsidR="007E0ABC" w:rsidRPr="000A796C" w:rsidRDefault="007E0ABC" w:rsidP="00D75B62">
            <w:pPr>
              <w:spacing w:line="276" w:lineRule="auto"/>
            </w:pPr>
            <w:r w:rsidRPr="000A796C">
              <w:t>&lt;.001</w:t>
            </w:r>
          </w:p>
        </w:tc>
      </w:tr>
      <w:tr w:rsidR="007E0ABC" w:rsidRPr="000A796C" w14:paraId="0EAB5CA0" w14:textId="77777777" w:rsidTr="00D75B62">
        <w:trPr>
          <w:trHeight w:val="844"/>
        </w:trPr>
        <w:tc>
          <w:tcPr>
            <w:tcW w:w="936" w:type="pct"/>
            <w:vAlign w:val="center"/>
          </w:tcPr>
          <w:p w14:paraId="24DD2FEE" w14:textId="77777777" w:rsidR="007E0ABC" w:rsidRPr="000629A4" w:rsidRDefault="007E0ABC" w:rsidP="00D75B62">
            <w:pPr>
              <w:spacing w:line="276" w:lineRule="auto"/>
              <w:rPr>
                <w:u w:val="single"/>
              </w:rPr>
            </w:pPr>
            <w:r w:rsidRPr="000629A4">
              <w:rPr>
                <w:u w:val="single"/>
              </w:rPr>
              <w:t>Social Support</w:t>
            </w:r>
          </w:p>
        </w:tc>
        <w:tc>
          <w:tcPr>
            <w:tcW w:w="776" w:type="pct"/>
            <w:vAlign w:val="center"/>
          </w:tcPr>
          <w:p w14:paraId="54847A14" w14:textId="77777777" w:rsidR="007E0ABC" w:rsidRPr="000A796C" w:rsidRDefault="007E0ABC" w:rsidP="00D75B62">
            <w:pPr>
              <w:spacing w:line="276" w:lineRule="auto"/>
              <w:rPr>
                <w:i/>
                <w:iCs/>
              </w:rPr>
            </w:pPr>
            <w:r w:rsidRPr="000A796C">
              <w:rPr>
                <w:i/>
                <w:iCs/>
              </w:rPr>
              <w:t xml:space="preserve">Pearson’s </w:t>
            </w:r>
          </w:p>
          <w:p w14:paraId="794C2914" w14:textId="77777777" w:rsidR="007E0ABC" w:rsidRPr="000A796C" w:rsidRDefault="007E0ABC" w:rsidP="00D75B62">
            <w:pPr>
              <w:spacing w:line="276" w:lineRule="auto"/>
              <w:rPr>
                <w:i/>
                <w:iCs/>
              </w:rPr>
            </w:pPr>
            <w:r w:rsidRPr="000A796C">
              <w:rPr>
                <w:i/>
                <w:iCs/>
              </w:rPr>
              <w:t>Sig. (2-tailed)</w:t>
            </w:r>
          </w:p>
        </w:tc>
        <w:tc>
          <w:tcPr>
            <w:tcW w:w="822" w:type="pct"/>
            <w:vAlign w:val="center"/>
          </w:tcPr>
          <w:p w14:paraId="79D0DFF8" w14:textId="77777777" w:rsidR="007E0ABC" w:rsidRPr="000A796C" w:rsidRDefault="007E0ABC" w:rsidP="00D75B62">
            <w:pPr>
              <w:spacing w:line="276" w:lineRule="auto"/>
            </w:pPr>
            <w:r w:rsidRPr="000A796C">
              <w:t>-</w:t>
            </w:r>
          </w:p>
        </w:tc>
        <w:tc>
          <w:tcPr>
            <w:tcW w:w="822" w:type="pct"/>
            <w:vAlign w:val="center"/>
          </w:tcPr>
          <w:p w14:paraId="5D2D2919" w14:textId="77777777" w:rsidR="007E0ABC" w:rsidRPr="000A796C" w:rsidRDefault="007E0ABC" w:rsidP="00D75B62">
            <w:pPr>
              <w:spacing w:line="276" w:lineRule="auto"/>
            </w:pPr>
            <w:r w:rsidRPr="000A796C">
              <w:t>-</w:t>
            </w:r>
          </w:p>
        </w:tc>
        <w:tc>
          <w:tcPr>
            <w:tcW w:w="822" w:type="pct"/>
            <w:vAlign w:val="center"/>
          </w:tcPr>
          <w:p w14:paraId="288E959A" w14:textId="77777777" w:rsidR="007E0ABC" w:rsidRPr="000A796C" w:rsidRDefault="007E0ABC" w:rsidP="00D75B62">
            <w:pPr>
              <w:spacing w:line="276" w:lineRule="auto"/>
            </w:pPr>
            <w:r w:rsidRPr="000A796C">
              <w:t>-</w:t>
            </w:r>
          </w:p>
        </w:tc>
        <w:tc>
          <w:tcPr>
            <w:tcW w:w="821" w:type="pct"/>
            <w:vAlign w:val="center"/>
          </w:tcPr>
          <w:p w14:paraId="010DEF8B" w14:textId="77777777" w:rsidR="007E0ABC" w:rsidRPr="000A796C" w:rsidRDefault="007E0ABC" w:rsidP="00D75B62">
            <w:pPr>
              <w:spacing w:line="276" w:lineRule="auto"/>
            </w:pPr>
            <w:r w:rsidRPr="000A796C">
              <w:t>1</w:t>
            </w:r>
          </w:p>
        </w:tc>
      </w:tr>
    </w:tbl>
    <w:p w14:paraId="5F0D1149" w14:textId="77777777" w:rsidR="007E0ABC" w:rsidRDefault="007E0ABC" w:rsidP="00C260F1"/>
    <w:p w14:paraId="135CF47A" w14:textId="77777777" w:rsidR="007E0ABC" w:rsidRDefault="007E0ABC" w:rsidP="004E02C7">
      <w:pPr>
        <w:spacing w:line="276" w:lineRule="auto"/>
      </w:pPr>
      <w:r w:rsidRPr="00D71D03">
        <w:t>Table n. EASE-F subscales intercorrelation matrix</w:t>
      </w:r>
    </w:p>
    <w:p w14:paraId="701BAB1C" w14:textId="77777777" w:rsidR="007E0ABC" w:rsidRPr="00D71D03" w:rsidRDefault="007E0ABC" w:rsidP="004E02C7">
      <w:pPr>
        <w:spacing w:line="276" w:lineRule="auto"/>
      </w:pPr>
    </w:p>
    <w:p w14:paraId="70803340" w14:textId="77777777" w:rsidR="007E0ABC" w:rsidRPr="00C94B28" w:rsidRDefault="007E0ABC" w:rsidP="004E02C7">
      <w:pPr>
        <w:rPr>
          <w:rFonts w:eastAsia="DengXian" w:cs="Arial"/>
        </w:rPr>
      </w:pPr>
      <w:r w:rsidRPr="00C94B28">
        <w:rPr>
          <w:rFonts w:eastAsia="DengXian" w:cs="Arial"/>
        </w:rPr>
        <w:t>**. Correlation is significant at the 0.01 level (2-tailed).</w:t>
      </w:r>
    </w:p>
    <w:p w14:paraId="013B159D" w14:textId="77777777" w:rsidR="007E0ABC" w:rsidRDefault="007E0ABC">
      <w:pPr>
        <w:rPr>
          <w:rFonts w:ascii="Avenir Heavy" w:hAnsi="Avenir Heavy"/>
          <w:b/>
          <w:bCs/>
        </w:rPr>
      </w:pPr>
    </w:p>
    <w:p w14:paraId="52B8E926" w14:textId="77777777" w:rsidR="007E0ABC" w:rsidRDefault="007E0ABC">
      <w:pPr>
        <w:rPr>
          <w:rFonts w:ascii="Avenir Heavy" w:hAnsi="Avenir Heavy"/>
          <w:b/>
          <w:bCs/>
        </w:rPr>
      </w:pPr>
      <w:r>
        <w:rPr>
          <w:rFonts w:ascii="Avenir Heavy" w:hAnsi="Avenir Heavy"/>
          <w:b/>
          <w:bCs/>
        </w:rPr>
        <w:br w:type="page"/>
      </w:r>
    </w:p>
    <w:p w14:paraId="1AD52ABA" w14:textId="77777777" w:rsidR="007E0ABC" w:rsidRDefault="007E0ABC" w:rsidP="0098395C">
      <w:pPr>
        <w:pStyle w:val="Subtitle"/>
        <w:spacing w:after="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C</w:t>
      </w:r>
      <w:r w:rsidRPr="00C260F1">
        <w:rPr>
          <w:rFonts w:ascii="Avenir Book" w:hAnsi="Avenir Book"/>
          <w:iCs/>
          <w:sz w:val="28"/>
          <w:szCs w:val="28"/>
        </w:rPr>
        <w:t xml:space="preserve"> – EASE Supplementary </w:t>
      </w:r>
      <w:r>
        <w:rPr>
          <w:rFonts w:ascii="Avenir Book" w:hAnsi="Avenir Book"/>
          <w:iCs/>
          <w:sz w:val="28"/>
          <w:szCs w:val="28"/>
        </w:rPr>
        <w:t>Data</w:t>
      </w:r>
    </w:p>
    <w:p w14:paraId="7ED4F14A" w14:textId="77777777" w:rsidR="007E0ABC" w:rsidRDefault="007E0ABC">
      <w:pPr>
        <w:rPr>
          <w:rFonts w:ascii="Avenir Heavy" w:hAnsi="Avenir Heavy"/>
          <w:b/>
          <w:bCs/>
        </w:rPr>
      </w:pPr>
    </w:p>
    <w:p w14:paraId="4A39AE46" w14:textId="77777777" w:rsidR="007E0ABC" w:rsidRPr="00716FF2" w:rsidRDefault="007E0ABC" w:rsidP="00716FF2">
      <w:pPr>
        <w:jc w:val="center"/>
      </w:pPr>
      <w:r w:rsidRPr="00716FF2">
        <w:t xml:space="preserve">Table </w:t>
      </w:r>
      <w:r>
        <w:t>32</w:t>
      </w:r>
      <w:r w:rsidRPr="00716FF2">
        <w:t xml:space="preserve">. Item factor loadings in the 4-factor EASE-F model </w:t>
      </w:r>
    </w:p>
    <w:p w14:paraId="21DFA027" w14:textId="77777777" w:rsidR="007E0ABC" w:rsidRDefault="007E0ABC" w:rsidP="000629A4"/>
    <w:tbl>
      <w:tblPr>
        <w:tblStyle w:val="TableGridLight"/>
        <w:tblW w:w="0" w:type="auto"/>
        <w:tblLayout w:type="fixed"/>
        <w:tblLook w:val="04A0" w:firstRow="1" w:lastRow="0" w:firstColumn="1" w:lastColumn="0" w:noHBand="0" w:noVBand="1"/>
      </w:tblPr>
      <w:tblGrid>
        <w:gridCol w:w="523"/>
        <w:gridCol w:w="4859"/>
        <w:gridCol w:w="637"/>
        <w:gridCol w:w="638"/>
        <w:gridCol w:w="638"/>
        <w:gridCol w:w="638"/>
        <w:gridCol w:w="1077"/>
      </w:tblGrid>
      <w:tr w:rsidR="007E0ABC" w:rsidRPr="000629A4" w14:paraId="51B6822B" w14:textId="77777777" w:rsidTr="000629A4">
        <w:trPr>
          <w:trHeight w:val="533"/>
        </w:trPr>
        <w:tc>
          <w:tcPr>
            <w:tcW w:w="523" w:type="dxa"/>
            <w:hideMark/>
          </w:tcPr>
          <w:p w14:paraId="1B0FC127" w14:textId="77777777" w:rsidR="007E0ABC" w:rsidRPr="000629A4" w:rsidRDefault="007E0ABC" w:rsidP="00D75B62">
            <w:pPr>
              <w:rPr>
                <w:rFonts w:ascii="Avenir Heavy" w:hAnsi="Avenir Heavy"/>
                <w:b/>
                <w:bCs/>
                <w:sz w:val="17"/>
                <w:szCs w:val="17"/>
              </w:rPr>
            </w:pPr>
            <w:r w:rsidRPr="000629A4">
              <w:rPr>
                <w:rFonts w:ascii="Avenir Heavy" w:hAnsi="Avenir Heavy" w:cs="Arial"/>
                <w:b/>
                <w:bCs/>
                <w:sz w:val="17"/>
                <w:szCs w:val="17"/>
              </w:rPr>
              <w:t>No.</w:t>
            </w:r>
          </w:p>
        </w:tc>
        <w:tc>
          <w:tcPr>
            <w:tcW w:w="4859" w:type="dxa"/>
          </w:tcPr>
          <w:p w14:paraId="4671A57F" w14:textId="77777777" w:rsidR="007E0ABC" w:rsidRPr="000629A4" w:rsidRDefault="007E0ABC" w:rsidP="00D75B62">
            <w:pPr>
              <w:rPr>
                <w:rFonts w:ascii="Avenir Heavy" w:hAnsi="Avenir Heavy"/>
                <w:b/>
                <w:bCs/>
                <w:sz w:val="17"/>
                <w:szCs w:val="17"/>
              </w:rPr>
            </w:pPr>
            <w:r w:rsidRPr="000629A4">
              <w:rPr>
                <w:rFonts w:ascii="Avenir Heavy" w:hAnsi="Avenir Heavy" w:cs="Arial"/>
                <w:b/>
                <w:bCs/>
                <w:sz w:val="17"/>
                <w:szCs w:val="17"/>
              </w:rPr>
              <w:t>Items</w:t>
            </w:r>
          </w:p>
        </w:tc>
        <w:tc>
          <w:tcPr>
            <w:tcW w:w="637" w:type="dxa"/>
            <w:hideMark/>
          </w:tcPr>
          <w:p w14:paraId="10E6D90C" w14:textId="77777777" w:rsidR="007E0ABC" w:rsidRPr="000629A4" w:rsidRDefault="007E0ABC" w:rsidP="00D75B62">
            <w:pPr>
              <w:rPr>
                <w:rFonts w:ascii="Avenir Heavy" w:hAnsi="Avenir Heavy"/>
                <w:sz w:val="17"/>
                <w:szCs w:val="17"/>
              </w:rPr>
            </w:pPr>
            <w:r w:rsidRPr="000629A4">
              <w:rPr>
                <w:rFonts w:ascii="Avenir Heavy" w:hAnsi="Avenir Heavy"/>
                <w:sz w:val="17"/>
                <w:szCs w:val="17"/>
              </w:rPr>
              <w:t>1</w:t>
            </w:r>
          </w:p>
        </w:tc>
        <w:tc>
          <w:tcPr>
            <w:tcW w:w="638" w:type="dxa"/>
          </w:tcPr>
          <w:p w14:paraId="03216805" w14:textId="77777777" w:rsidR="007E0ABC" w:rsidRPr="000629A4" w:rsidRDefault="007E0ABC" w:rsidP="00D75B62">
            <w:pPr>
              <w:rPr>
                <w:rFonts w:ascii="Avenir Heavy" w:hAnsi="Avenir Heavy"/>
                <w:sz w:val="17"/>
                <w:szCs w:val="17"/>
              </w:rPr>
            </w:pPr>
            <w:r w:rsidRPr="000629A4">
              <w:rPr>
                <w:rFonts w:ascii="Avenir Heavy" w:hAnsi="Avenir Heavy"/>
                <w:sz w:val="17"/>
                <w:szCs w:val="17"/>
              </w:rPr>
              <w:t>2</w:t>
            </w:r>
          </w:p>
        </w:tc>
        <w:tc>
          <w:tcPr>
            <w:tcW w:w="638" w:type="dxa"/>
          </w:tcPr>
          <w:p w14:paraId="33A0464F" w14:textId="77777777" w:rsidR="007E0ABC" w:rsidRPr="000629A4" w:rsidRDefault="007E0ABC" w:rsidP="00D75B62">
            <w:pPr>
              <w:rPr>
                <w:rFonts w:ascii="Avenir Heavy" w:hAnsi="Avenir Heavy"/>
                <w:sz w:val="17"/>
                <w:szCs w:val="17"/>
              </w:rPr>
            </w:pPr>
            <w:r w:rsidRPr="000629A4">
              <w:rPr>
                <w:rFonts w:ascii="Avenir Heavy" w:hAnsi="Avenir Heavy"/>
                <w:sz w:val="17"/>
                <w:szCs w:val="17"/>
              </w:rPr>
              <w:t>3</w:t>
            </w:r>
          </w:p>
        </w:tc>
        <w:tc>
          <w:tcPr>
            <w:tcW w:w="638" w:type="dxa"/>
          </w:tcPr>
          <w:p w14:paraId="26B60AE9" w14:textId="77777777" w:rsidR="007E0ABC" w:rsidRPr="000629A4" w:rsidRDefault="007E0ABC" w:rsidP="00D75B62">
            <w:pPr>
              <w:rPr>
                <w:rFonts w:ascii="Avenir Heavy" w:hAnsi="Avenir Heavy"/>
                <w:sz w:val="17"/>
                <w:szCs w:val="17"/>
              </w:rPr>
            </w:pPr>
            <w:r w:rsidRPr="000629A4">
              <w:rPr>
                <w:rFonts w:ascii="Avenir Heavy" w:hAnsi="Avenir Heavy"/>
                <w:sz w:val="17"/>
                <w:szCs w:val="17"/>
              </w:rPr>
              <w:t>4</w:t>
            </w:r>
          </w:p>
        </w:tc>
        <w:tc>
          <w:tcPr>
            <w:tcW w:w="1077" w:type="dxa"/>
          </w:tcPr>
          <w:p w14:paraId="30CD5EB1" w14:textId="77777777" w:rsidR="007E0ABC" w:rsidRPr="000629A4" w:rsidRDefault="007E0ABC" w:rsidP="00D75B62">
            <w:pPr>
              <w:rPr>
                <w:rFonts w:ascii="Avenir Heavy" w:hAnsi="Avenir Heavy"/>
                <w:b/>
                <w:bCs/>
                <w:sz w:val="16"/>
                <w:szCs w:val="16"/>
              </w:rPr>
            </w:pPr>
            <w:r w:rsidRPr="000629A4">
              <w:rPr>
                <w:rFonts w:ascii="Avenir Heavy" w:hAnsi="Avenir Heavy"/>
                <w:b/>
                <w:bCs/>
                <w:sz w:val="16"/>
                <w:szCs w:val="16"/>
              </w:rPr>
              <w:t>Uniqueness</w:t>
            </w:r>
          </w:p>
        </w:tc>
      </w:tr>
      <w:tr w:rsidR="007E0ABC" w:rsidRPr="000629A4" w14:paraId="464BEDC8" w14:textId="77777777" w:rsidTr="000629A4">
        <w:tc>
          <w:tcPr>
            <w:tcW w:w="523" w:type="dxa"/>
            <w:hideMark/>
          </w:tcPr>
          <w:p w14:paraId="61AC8B9A" w14:textId="77777777" w:rsidR="007E0ABC" w:rsidRPr="000629A4" w:rsidRDefault="007E0ABC" w:rsidP="00D75B62">
            <w:pPr>
              <w:rPr>
                <w:sz w:val="18"/>
                <w:szCs w:val="21"/>
              </w:rPr>
            </w:pPr>
            <w:r w:rsidRPr="000629A4">
              <w:rPr>
                <w:rFonts w:cs="Arial"/>
                <w:sz w:val="18"/>
                <w:szCs w:val="21"/>
              </w:rPr>
              <w:t>1</w:t>
            </w:r>
          </w:p>
        </w:tc>
        <w:tc>
          <w:tcPr>
            <w:tcW w:w="4859" w:type="dxa"/>
            <w:hideMark/>
          </w:tcPr>
          <w:p w14:paraId="337486EF" w14:textId="77777777" w:rsidR="007E0ABC" w:rsidRPr="000629A4" w:rsidRDefault="007E0ABC" w:rsidP="00D75B62">
            <w:pPr>
              <w:rPr>
                <w:sz w:val="16"/>
                <w:szCs w:val="20"/>
              </w:rPr>
            </w:pPr>
            <w:r w:rsidRPr="000629A4">
              <w:rPr>
                <w:rFonts w:cs="Arial"/>
                <w:sz w:val="16"/>
                <w:szCs w:val="20"/>
                <w:lang w:val="en-US"/>
              </w:rPr>
              <w:t>In general I am able to manage my daily tasks</w:t>
            </w:r>
          </w:p>
        </w:tc>
        <w:tc>
          <w:tcPr>
            <w:tcW w:w="637" w:type="dxa"/>
            <w:hideMark/>
          </w:tcPr>
          <w:p w14:paraId="18695F8F" w14:textId="77777777" w:rsidR="007E0ABC" w:rsidRPr="000629A4" w:rsidRDefault="007E0ABC" w:rsidP="00D75B62">
            <w:pPr>
              <w:rPr>
                <w:sz w:val="16"/>
                <w:szCs w:val="20"/>
              </w:rPr>
            </w:pPr>
            <w:r w:rsidRPr="000629A4">
              <w:rPr>
                <w:sz w:val="16"/>
                <w:szCs w:val="20"/>
              </w:rPr>
              <w:t>0.588</w:t>
            </w:r>
          </w:p>
        </w:tc>
        <w:tc>
          <w:tcPr>
            <w:tcW w:w="638" w:type="dxa"/>
            <w:hideMark/>
          </w:tcPr>
          <w:p w14:paraId="1D83B789" w14:textId="77777777" w:rsidR="007E0ABC" w:rsidRPr="000629A4" w:rsidRDefault="007E0ABC" w:rsidP="00D75B62">
            <w:pPr>
              <w:rPr>
                <w:sz w:val="16"/>
                <w:szCs w:val="20"/>
              </w:rPr>
            </w:pPr>
          </w:p>
        </w:tc>
        <w:tc>
          <w:tcPr>
            <w:tcW w:w="638" w:type="dxa"/>
            <w:hideMark/>
          </w:tcPr>
          <w:p w14:paraId="6124BA4A" w14:textId="77777777" w:rsidR="007E0ABC" w:rsidRPr="000629A4" w:rsidRDefault="007E0ABC" w:rsidP="00D75B62">
            <w:pPr>
              <w:rPr>
                <w:sz w:val="16"/>
                <w:szCs w:val="20"/>
              </w:rPr>
            </w:pPr>
          </w:p>
        </w:tc>
        <w:tc>
          <w:tcPr>
            <w:tcW w:w="638" w:type="dxa"/>
            <w:hideMark/>
          </w:tcPr>
          <w:p w14:paraId="590B9993" w14:textId="77777777" w:rsidR="007E0ABC" w:rsidRPr="000629A4" w:rsidRDefault="007E0ABC" w:rsidP="00D75B62">
            <w:pPr>
              <w:rPr>
                <w:sz w:val="16"/>
                <w:szCs w:val="20"/>
              </w:rPr>
            </w:pPr>
          </w:p>
        </w:tc>
        <w:tc>
          <w:tcPr>
            <w:tcW w:w="1077" w:type="dxa"/>
            <w:hideMark/>
          </w:tcPr>
          <w:p w14:paraId="2D0F7D70" w14:textId="77777777" w:rsidR="007E0ABC" w:rsidRPr="000629A4" w:rsidRDefault="007E0ABC" w:rsidP="00D75B62">
            <w:pPr>
              <w:rPr>
                <w:sz w:val="16"/>
                <w:szCs w:val="20"/>
              </w:rPr>
            </w:pPr>
            <w:r w:rsidRPr="000629A4">
              <w:rPr>
                <w:sz w:val="16"/>
                <w:szCs w:val="20"/>
              </w:rPr>
              <w:t>0.618</w:t>
            </w:r>
          </w:p>
        </w:tc>
      </w:tr>
      <w:tr w:rsidR="007E0ABC" w:rsidRPr="000629A4" w14:paraId="60768E96" w14:textId="77777777" w:rsidTr="000629A4">
        <w:tc>
          <w:tcPr>
            <w:tcW w:w="523" w:type="dxa"/>
            <w:hideMark/>
          </w:tcPr>
          <w:p w14:paraId="69EDDF0E" w14:textId="77777777" w:rsidR="007E0ABC" w:rsidRPr="000629A4" w:rsidRDefault="007E0ABC" w:rsidP="00D75B62">
            <w:pPr>
              <w:rPr>
                <w:sz w:val="18"/>
                <w:szCs w:val="21"/>
              </w:rPr>
            </w:pPr>
            <w:r w:rsidRPr="000629A4">
              <w:rPr>
                <w:rFonts w:cs="Arial"/>
                <w:sz w:val="18"/>
                <w:szCs w:val="21"/>
              </w:rPr>
              <w:t>2</w:t>
            </w:r>
          </w:p>
        </w:tc>
        <w:tc>
          <w:tcPr>
            <w:tcW w:w="4859" w:type="dxa"/>
            <w:hideMark/>
          </w:tcPr>
          <w:p w14:paraId="65930E46" w14:textId="77777777" w:rsidR="007E0ABC" w:rsidRPr="000629A4" w:rsidRDefault="007E0ABC" w:rsidP="00D75B62">
            <w:pPr>
              <w:rPr>
                <w:sz w:val="16"/>
                <w:szCs w:val="20"/>
              </w:rPr>
            </w:pPr>
            <w:r w:rsidRPr="000629A4">
              <w:rPr>
                <w:rFonts w:cs="Arial"/>
                <w:sz w:val="16"/>
                <w:szCs w:val="20"/>
                <w:lang w:val="en-US"/>
              </w:rPr>
              <w:t>I can manage limitations related to my illness in my daily life.</w:t>
            </w:r>
          </w:p>
        </w:tc>
        <w:tc>
          <w:tcPr>
            <w:tcW w:w="637" w:type="dxa"/>
            <w:hideMark/>
          </w:tcPr>
          <w:p w14:paraId="55978CBD" w14:textId="77777777" w:rsidR="007E0ABC" w:rsidRPr="000629A4" w:rsidRDefault="007E0ABC" w:rsidP="00D75B62">
            <w:pPr>
              <w:rPr>
                <w:sz w:val="16"/>
                <w:szCs w:val="20"/>
              </w:rPr>
            </w:pPr>
            <w:r w:rsidRPr="000629A4">
              <w:rPr>
                <w:sz w:val="16"/>
                <w:szCs w:val="20"/>
              </w:rPr>
              <w:t>0.590</w:t>
            </w:r>
          </w:p>
        </w:tc>
        <w:tc>
          <w:tcPr>
            <w:tcW w:w="638" w:type="dxa"/>
            <w:hideMark/>
          </w:tcPr>
          <w:p w14:paraId="31FF0B6C" w14:textId="77777777" w:rsidR="007E0ABC" w:rsidRPr="000629A4" w:rsidRDefault="007E0ABC" w:rsidP="00D75B62">
            <w:pPr>
              <w:rPr>
                <w:sz w:val="16"/>
                <w:szCs w:val="20"/>
              </w:rPr>
            </w:pPr>
            <w:r w:rsidRPr="000629A4">
              <w:rPr>
                <w:sz w:val="16"/>
                <w:szCs w:val="20"/>
              </w:rPr>
              <w:t> </w:t>
            </w:r>
          </w:p>
        </w:tc>
        <w:tc>
          <w:tcPr>
            <w:tcW w:w="638" w:type="dxa"/>
            <w:hideMark/>
          </w:tcPr>
          <w:p w14:paraId="20660321" w14:textId="77777777" w:rsidR="007E0ABC" w:rsidRPr="000629A4" w:rsidRDefault="007E0ABC" w:rsidP="00D75B62">
            <w:pPr>
              <w:rPr>
                <w:sz w:val="16"/>
                <w:szCs w:val="20"/>
              </w:rPr>
            </w:pPr>
            <w:r w:rsidRPr="000629A4">
              <w:rPr>
                <w:sz w:val="16"/>
                <w:szCs w:val="20"/>
              </w:rPr>
              <w:t> </w:t>
            </w:r>
          </w:p>
        </w:tc>
        <w:tc>
          <w:tcPr>
            <w:tcW w:w="638" w:type="dxa"/>
            <w:hideMark/>
          </w:tcPr>
          <w:p w14:paraId="0492DB1D" w14:textId="77777777" w:rsidR="007E0ABC" w:rsidRPr="000629A4" w:rsidRDefault="007E0ABC" w:rsidP="00D75B62">
            <w:pPr>
              <w:rPr>
                <w:sz w:val="16"/>
                <w:szCs w:val="20"/>
              </w:rPr>
            </w:pPr>
            <w:r w:rsidRPr="000629A4">
              <w:rPr>
                <w:sz w:val="16"/>
                <w:szCs w:val="20"/>
              </w:rPr>
              <w:t> </w:t>
            </w:r>
          </w:p>
        </w:tc>
        <w:tc>
          <w:tcPr>
            <w:tcW w:w="1077" w:type="dxa"/>
            <w:hideMark/>
          </w:tcPr>
          <w:p w14:paraId="10EC9E03" w14:textId="77777777" w:rsidR="007E0ABC" w:rsidRPr="000629A4" w:rsidRDefault="007E0ABC" w:rsidP="00D75B62">
            <w:pPr>
              <w:rPr>
                <w:sz w:val="16"/>
                <w:szCs w:val="20"/>
              </w:rPr>
            </w:pPr>
            <w:r w:rsidRPr="000629A4">
              <w:rPr>
                <w:sz w:val="16"/>
                <w:szCs w:val="20"/>
              </w:rPr>
              <w:t>0.651</w:t>
            </w:r>
          </w:p>
        </w:tc>
      </w:tr>
      <w:tr w:rsidR="007E0ABC" w:rsidRPr="000629A4" w14:paraId="25099787" w14:textId="77777777" w:rsidTr="000629A4">
        <w:tc>
          <w:tcPr>
            <w:tcW w:w="523" w:type="dxa"/>
            <w:hideMark/>
          </w:tcPr>
          <w:p w14:paraId="3F4904DB" w14:textId="77777777" w:rsidR="007E0ABC" w:rsidRPr="000629A4" w:rsidRDefault="007E0ABC" w:rsidP="00D75B62">
            <w:pPr>
              <w:rPr>
                <w:sz w:val="18"/>
                <w:szCs w:val="21"/>
              </w:rPr>
            </w:pPr>
            <w:r w:rsidRPr="000629A4">
              <w:rPr>
                <w:rFonts w:cs="Arial"/>
                <w:sz w:val="18"/>
                <w:szCs w:val="21"/>
              </w:rPr>
              <w:t>3</w:t>
            </w:r>
          </w:p>
        </w:tc>
        <w:tc>
          <w:tcPr>
            <w:tcW w:w="4859" w:type="dxa"/>
            <w:hideMark/>
          </w:tcPr>
          <w:p w14:paraId="6F4C22C4" w14:textId="77777777" w:rsidR="007E0ABC" w:rsidRPr="000629A4" w:rsidRDefault="007E0ABC" w:rsidP="00D75B62">
            <w:pPr>
              <w:rPr>
                <w:sz w:val="16"/>
                <w:szCs w:val="20"/>
              </w:rPr>
            </w:pPr>
            <w:r w:rsidRPr="000629A4">
              <w:rPr>
                <w:rFonts w:cs="Arial"/>
                <w:sz w:val="16"/>
                <w:szCs w:val="20"/>
                <w:lang w:val="en-US"/>
              </w:rPr>
              <w:t xml:space="preserve">In difficult situations, I can do something that helps me.  </w:t>
            </w:r>
          </w:p>
        </w:tc>
        <w:tc>
          <w:tcPr>
            <w:tcW w:w="637" w:type="dxa"/>
            <w:hideMark/>
          </w:tcPr>
          <w:p w14:paraId="56DEB7E8" w14:textId="77777777" w:rsidR="007E0ABC" w:rsidRPr="000629A4" w:rsidRDefault="007E0ABC" w:rsidP="00D75B62">
            <w:pPr>
              <w:rPr>
                <w:sz w:val="16"/>
                <w:szCs w:val="20"/>
              </w:rPr>
            </w:pPr>
            <w:r w:rsidRPr="000629A4">
              <w:rPr>
                <w:sz w:val="16"/>
                <w:szCs w:val="20"/>
              </w:rPr>
              <w:t>0.562</w:t>
            </w:r>
          </w:p>
        </w:tc>
        <w:tc>
          <w:tcPr>
            <w:tcW w:w="638" w:type="dxa"/>
            <w:hideMark/>
          </w:tcPr>
          <w:p w14:paraId="39421F1E" w14:textId="77777777" w:rsidR="007E0ABC" w:rsidRPr="000629A4" w:rsidRDefault="007E0ABC" w:rsidP="00D75B62">
            <w:pPr>
              <w:rPr>
                <w:sz w:val="16"/>
                <w:szCs w:val="20"/>
              </w:rPr>
            </w:pPr>
            <w:r w:rsidRPr="000629A4">
              <w:rPr>
                <w:sz w:val="16"/>
                <w:szCs w:val="20"/>
              </w:rPr>
              <w:t> </w:t>
            </w:r>
          </w:p>
        </w:tc>
        <w:tc>
          <w:tcPr>
            <w:tcW w:w="638" w:type="dxa"/>
            <w:hideMark/>
          </w:tcPr>
          <w:p w14:paraId="38B08197" w14:textId="77777777" w:rsidR="007E0ABC" w:rsidRPr="000629A4" w:rsidRDefault="007E0ABC" w:rsidP="00D75B62">
            <w:pPr>
              <w:rPr>
                <w:sz w:val="16"/>
                <w:szCs w:val="20"/>
              </w:rPr>
            </w:pPr>
            <w:r w:rsidRPr="000629A4">
              <w:rPr>
                <w:sz w:val="16"/>
                <w:szCs w:val="20"/>
              </w:rPr>
              <w:t> </w:t>
            </w:r>
          </w:p>
        </w:tc>
        <w:tc>
          <w:tcPr>
            <w:tcW w:w="638" w:type="dxa"/>
            <w:hideMark/>
          </w:tcPr>
          <w:p w14:paraId="66684077" w14:textId="77777777" w:rsidR="007E0ABC" w:rsidRPr="000629A4" w:rsidRDefault="007E0ABC" w:rsidP="00D75B62">
            <w:pPr>
              <w:rPr>
                <w:sz w:val="16"/>
                <w:szCs w:val="20"/>
              </w:rPr>
            </w:pPr>
            <w:r w:rsidRPr="000629A4">
              <w:rPr>
                <w:sz w:val="16"/>
                <w:szCs w:val="20"/>
              </w:rPr>
              <w:t> </w:t>
            </w:r>
          </w:p>
        </w:tc>
        <w:tc>
          <w:tcPr>
            <w:tcW w:w="1077" w:type="dxa"/>
            <w:hideMark/>
          </w:tcPr>
          <w:p w14:paraId="487E016D" w14:textId="77777777" w:rsidR="007E0ABC" w:rsidRPr="000629A4" w:rsidRDefault="007E0ABC" w:rsidP="00D75B62">
            <w:pPr>
              <w:rPr>
                <w:sz w:val="16"/>
                <w:szCs w:val="20"/>
              </w:rPr>
            </w:pPr>
            <w:r w:rsidRPr="000629A4">
              <w:rPr>
                <w:sz w:val="16"/>
                <w:szCs w:val="20"/>
              </w:rPr>
              <w:t>0.594</w:t>
            </w:r>
          </w:p>
        </w:tc>
      </w:tr>
      <w:tr w:rsidR="007E0ABC" w:rsidRPr="000629A4" w14:paraId="0895B3ED" w14:textId="77777777" w:rsidTr="000629A4">
        <w:tc>
          <w:tcPr>
            <w:tcW w:w="523" w:type="dxa"/>
            <w:hideMark/>
          </w:tcPr>
          <w:p w14:paraId="7C06E337" w14:textId="77777777" w:rsidR="007E0ABC" w:rsidRPr="000629A4" w:rsidRDefault="007E0ABC" w:rsidP="00D75B62">
            <w:pPr>
              <w:rPr>
                <w:sz w:val="18"/>
                <w:szCs w:val="21"/>
              </w:rPr>
            </w:pPr>
            <w:r w:rsidRPr="000629A4">
              <w:rPr>
                <w:rFonts w:cs="Arial"/>
                <w:sz w:val="18"/>
                <w:szCs w:val="21"/>
              </w:rPr>
              <w:t>4</w:t>
            </w:r>
          </w:p>
        </w:tc>
        <w:tc>
          <w:tcPr>
            <w:tcW w:w="4859" w:type="dxa"/>
            <w:hideMark/>
          </w:tcPr>
          <w:p w14:paraId="2F47B8A1" w14:textId="77777777" w:rsidR="007E0ABC" w:rsidRPr="000629A4" w:rsidRDefault="007E0ABC" w:rsidP="00D75B62">
            <w:pPr>
              <w:rPr>
                <w:sz w:val="16"/>
                <w:szCs w:val="20"/>
              </w:rPr>
            </w:pPr>
            <w:r w:rsidRPr="000629A4">
              <w:rPr>
                <w:rFonts w:cs="Arial"/>
                <w:sz w:val="16"/>
                <w:szCs w:val="20"/>
                <w:lang w:val="en-US"/>
              </w:rPr>
              <w:t>I talk openly about how I feel with people who are important to me.</w:t>
            </w:r>
          </w:p>
        </w:tc>
        <w:tc>
          <w:tcPr>
            <w:tcW w:w="637" w:type="dxa"/>
            <w:hideMark/>
          </w:tcPr>
          <w:p w14:paraId="6D82D7DF" w14:textId="77777777" w:rsidR="007E0ABC" w:rsidRPr="000629A4" w:rsidRDefault="007E0ABC" w:rsidP="00D75B62">
            <w:pPr>
              <w:rPr>
                <w:sz w:val="16"/>
                <w:szCs w:val="20"/>
              </w:rPr>
            </w:pPr>
            <w:r w:rsidRPr="000629A4">
              <w:rPr>
                <w:sz w:val="16"/>
                <w:szCs w:val="20"/>
              </w:rPr>
              <w:t> </w:t>
            </w:r>
          </w:p>
        </w:tc>
        <w:tc>
          <w:tcPr>
            <w:tcW w:w="638" w:type="dxa"/>
            <w:hideMark/>
          </w:tcPr>
          <w:p w14:paraId="4FA0689E" w14:textId="77777777" w:rsidR="007E0ABC" w:rsidRPr="000629A4" w:rsidRDefault="007E0ABC" w:rsidP="00D75B62">
            <w:pPr>
              <w:rPr>
                <w:sz w:val="16"/>
                <w:szCs w:val="20"/>
              </w:rPr>
            </w:pPr>
            <w:r w:rsidRPr="000629A4">
              <w:rPr>
                <w:sz w:val="16"/>
                <w:szCs w:val="20"/>
              </w:rPr>
              <w:t>0.401</w:t>
            </w:r>
          </w:p>
        </w:tc>
        <w:tc>
          <w:tcPr>
            <w:tcW w:w="638" w:type="dxa"/>
            <w:hideMark/>
          </w:tcPr>
          <w:p w14:paraId="57DA50BC" w14:textId="77777777" w:rsidR="007E0ABC" w:rsidRPr="000629A4" w:rsidRDefault="007E0ABC" w:rsidP="00D75B62">
            <w:pPr>
              <w:rPr>
                <w:sz w:val="16"/>
                <w:szCs w:val="20"/>
              </w:rPr>
            </w:pPr>
            <w:r w:rsidRPr="000629A4">
              <w:rPr>
                <w:sz w:val="16"/>
                <w:szCs w:val="20"/>
              </w:rPr>
              <w:t> </w:t>
            </w:r>
          </w:p>
        </w:tc>
        <w:tc>
          <w:tcPr>
            <w:tcW w:w="638" w:type="dxa"/>
            <w:hideMark/>
          </w:tcPr>
          <w:p w14:paraId="6D58263E" w14:textId="77777777" w:rsidR="007E0ABC" w:rsidRPr="000629A4" w:rsidRDefault="007E0ABC" w:rsidP="00D75B62">
            <w:pPr>
              <w:rPr>
                <w:sz w:val="16"/>
                <w:szCs w:val="20"/>
              </w:rPr>
            </w:pPr>
            <w:r w:rsidRPr="000629A4">
              <w:rPr>
                <w:sz w:val="16"/>
                <w:szCs w:val="20"/>
              </w:rPr>
              <w:t> </w:t>
            </w:r>
          </w:p>
        </w:tc>
        <w:tc>
          <w:tcPr>
            <w:tcW w:w="1077" w:type="dxa"/>
            <w:hideMark/>
          </w:tcPr>
          <w:p w14:paraId="69C01294" w14:textId="77777777" w:rsidR="007E0ABC" w:rsidRPr="000629A4" w:rsidRDefault="007E0ABC" w:rsidP="00D75B62">
            <w:pPr>
              <w:rPr>
                <w:sz w:val="16"/>
                <w:szCs w:val="20"/>
              </w:rPr>
            </w:pPr>
            <w:r w:rsidRPr="000629A4">
              <w:rPr>
                <w:sz w:val="16"/>
                <w:szCs w:val="20"/>
              </w:rPr>
              <w:t>0.577</w:t>
            </w:r>
          </w:p>
        </w:tc>
      </w:tr>
      <w:tr w:rsidR="007E0ABC" w:rsidRPr="000629A4" w14:paraId="50163875" w14:textId="77777777" w:rsidTr="000629A4">
        <w:tc>
          <w:tcPr>
            <w:tcW w:w="523" w:type="dxa"/>
            <w:hideMark/>
          </w:tcPr>
          <w:p w14:paraId="72243DBF" w14:textId="77777777" w:rsidR="007E0ABC" w:rsidRPr="000629A4" w:rsidRDefault="007E0ABC" w:rsidP="00D75B62">
            <w:pPr>
              <w:rPr>
                <w:sz w:val="18"/>
                <w:szCs w:val="21"/>
              </w:rPr>
            </w:pPr>
            <w:r w:rsidRPr="000629A4">
              <w:rPr>
                <w:rFonts w:cs="Arial"/>
                <w:sz w:val="18"/>
                <w:szCs w:val="21"/>
              </w:rPr>
              <w:t>5</w:t>
            </w:r>
          </w:p>
        </w:tc>
        <w:tc>
          <w:tcPr>
            <w:tcW w:w="4859" w:type="dxa"/>
            <w:hideMark/>
          </w:tcPr>
          <w:p w14:paraId="7361C07E" w14:textId="77777777" w:rsidR="007E0ABC" w:rsidRPr="000629A4" w:rsidRDefault="007E0ABC" w:rsidP="00D75B62">
            <w:pPr>
              <w:rPr>
                <w:sz w:val="16"/>
                <w:szCs w:val="20"/>
              </w:rPr>
            </w:pPr>
            <w:r w:rsidRPr="000629A4">
              <w:rPr>
                <w:rFonts w:cs="Arial"/>
                <w:sz w:val="16"/>
                <w:szCs w:val="20"/>
                <w:lang w:val="en-US"/>
              </w:rPr>
              <w:t xml:space="preserve">I am aware of my own needs and wishes. </w:t>
            </w:r>
          </w:p>
        </w:tc>
        <w:tc>
          <w:tcPr>
            <w:tcW w:w="637" w:type="dxa"/>
            <w:hideMark/>
          </w:tcPr>
          <w:p w14:paraId="0822A893" w14:textId="77777777" w:rsidR="007E0ABC" w:rsidRPr="000629A4" w:rsidRDefault="007E0ABC" w:rsidP="00D75B62">
            <w:pPr>
              <w:rPr>
                <w:sz w:val="16"/>
                <w:szCs w:val="20"/>
              </w:rPr>
            </w:pPr>
            <w:r w:rsidRPr="000629A4">
              <w:rPr>
                <w:sz w:val="16"/>
                <w:szCs w:val="20"/>
              </w:rPr>
              <w:t> </w:t>
            </w:r>
          </w:p>
        </w:tc>
        <w:tc>
          <w:tcPr>
            <w:tcW w:w="638" w:type="dxa"/>
            <w:hideMark/>
          </w:tcPr>
          <w:p w14:paraId="34A9BA30" w14:textId="77777777" w:rsidR="007E0ABC" w:rsidRPr="000629A4" w:rsidRDefault="007E0ABC" w:rsidP="00D75B62">
            <w:pPr>
              <w:rPr>
                <w:sz w:val="16"/>
                <w:szCs w:val="20"/>
              </w:rPr>
            </w:pPr>
            <w:r w:rsidRPr="000629A4">
              <w:rPr>
                <w:sz w:val="16"/>
                <w:szCs w:val="20"/>
              </w:rPr>
              <w:t>0.445</w:t>
            </w:r>
          </w:p>
        </w:tc>
        <w:tc>
          <w:tcPr>
            <w:tcW w:w="638" w:type="dxa"/>
            <w:hideMark/>
          </w:tcPr>
          <w:p w14:paraId="6E589269" w14:textId="77777777" w:rsidR="007E0ABC" w:rsidRPr="000629A4" w:rsidRDefault="007E0ABC" w:rsidP="00D75B62">
            <w:pPr>
              <w:rPr>
                <w:sz w:val="16"/>
                <w:szCs w:val="20"/>
              </w:rPr>
            </w:pPr>
            <w:r w:rsidRPr="000629A4">
              <w:rPr>
                <w:sz w:val="16"/>
                <w:szCs w:val="20"/>
              </w:rPr>
              <w:t> </w:t>
            </w:r>
          </w:p>
        </w:tc>
        <w:tc>
          <w:tcPr>
            <w:tcW w:w="638" w:type="dxa"/>
            <w:hideMark/>
          </w:tcPr>
          <w:p w14:paraId="56F5B137" w14:textId="77777777" w:rsidR="007E0ABC" w:rsidRPr="000629A4" w:rsidRDefault="007E0ABC" w:rsidP="00D75B62">
            <w:pPr>
              <w:rPr>
                <w:sz w:val="16"/>
                <w:szCs w:val="20"/>
              </w:rPr>
            </w:pPr>
            <w:r w:rsidRPr="000629A4">
              <w:rPr>
                <w:sz w:val="16"/>
                <w:szCs w:val="20"/>
              </w:rPr>
              <w:t> </w:t>
            </w:r>
          </w:p>
        </w:tc>
        <w:tc>
          <w:tcPr>
            <w:tcW w:w="1077" w:type="dxa"/>
            <w:hideMark/>
          </w:tcPr>
          <w:p w14:paraId="2A9C7A8D" w14:textId="77777777" w:rsidR="007E0ABC" w:rsidRPr="000629A4" w:rsidRDefault="007E0ABC" w:rsidP="00D75B62">
            <w:pPr>
              <w:rPr>
                <w:sz w:val="16"/>
                <w:szCs w:val="20"/>
              </w:rPr>
            </w:pPr>
            <w:r w:rsidRPr="000629A4">
              <w:rPr>
                <w:sz w:val="16"/>
                <w:szCs w:val="20"/>
              </w:rPr>
              <w:t>0.629</w:t>
            </w:r>
          </w:p>
        </w:tc>
      </w:tr>
      <w:tr w:rsidR="007E0ABC" w:rsidRPr="000629A4" w14:paraId="3CA866E6" w14:textId="77777777" w:rsidTr="000629A4">
        <w:tc>
          <w:tcPr>
            <w:tcW w:w="523" w:type="dxa"/>
            <w:hideMark/>
          </w:tcPr>
          <w:p w14:paraId="7F80B40C" w14:textId="77777777" w:rsidR="007E0ABC" w:rsidRPr="000629A4" w:rsidRDefault="007E0ABC" w:rsidP="00D75B62">
            <w:pPr>
              <w:rPr>
                <w:sz w:val="18"/>
                <w:szCs w:val="21"/>
              </w:rPr>
            </w:pPr>
            <w:r w:rsidRPr="000629A4">
              <w:rPr>
                <w:rFonts w:cs="Arial"/>
                <w:sz w:val="18"/>
                <w:szCs w:val="21"/>
              </w:rPr>
              <w:t>5.1</w:t>
            </w:r>
          </w:p>
        </w:tc>
        <w:tc>
          <w:tcPr>
            <w:tcW w:w="4859" w:type="dxa"/>
            <w:hideMark/>
          </w:tcPr>
          <w:p w14:paraId="07881E82" w14:textId="77777777" w:rsidR="007E0ABC" w:rsidRPr="000629A4" w:rsidRDefault="007E0ABC" w:rsidP="00D75B62">
            <w:pPr>
              <w:rPr>
                <w:sz w:val="16"/>
                <w:szCs w:val="20"/>
              </w:rPr>
            </w:pPr>
            <w:r w:rsidRPr="000629A4">
              <w:rPr>
                <w:rFonts w:cs="Arial"/>
                <w:sz w:val="16"/>
                <w:szCs w:val="20"/>
                <w:lang w:val="en-US"/>
              </w:rPr>
              <w:t>I am able to stand up firmly to others about my needs and wishes.</w:t>
            </w:r>
          </w:p>
        </w:tc>
        <w:tc>
          <w:tcPr>
            <w:tcW w:w="637" w:type="dxa"/>
            <w:hideMark/>
          </w:tcPr>
          <w:p w14:paraId="0C07154E" w14:textId="77777777" w:rsidR="007E0ABC" w:rsidRPr="000629A4" w:rsidRDefault="007E0ABC" w:rsidP="00D75B62">
            <w:pPr>
              <w:rPr>
                <w:sz w:val="16"/>
                <w:szCs w:val="20"/>
              </w:rPr>
            </w:pPr>
            <w:r w:rsidRPr="000629A4">
              <w:rPr>
                <w:sz w:val="16"/>
                <w:szCs w:val="20"/>
              </w:rPr>
              <w:t> </w:t>
            </w:r>
          </w:p>
        </w:tc>
        <w:tc>
          <w:tcPr>
            <w:tcW w:w="638" w:type="dxa"/>
            <w:hideMark/>
          </w:tcPr>
          <w:p w14:paraId="06C90E08" w14:textId="77777777" w:rsidR="007E0ABC" w:rsidRPr="000629A4" w:rsidRDefault="007E0ABC" w:rsidP="00D75B62">
            <w:pPr>
              <w:rPr>
                <w:sz w:val="16"/>
                <w:szCs w:val="20"/>
              </w:rPr>
            </w:pPr>
            <w:r w:rsidRPr="000629A4">
              <w:rPr>
                <w:sz w:val="16"/>
                <w:szCs w:val="20"/>
              </w:rPr>
              <w:t>0.589</w:t>
            </w:r>
          </w:p>
        </w:tc>
        <w:tc>
          <w:tcPr>
            <w:tcW w:w="638" w:type="dxa"/>
            <w:hideMark/>
          </w:tcPr>
          <w:p w14:paraId="6A2C0153" w14:textId="77777777" w:rsidR="007E0ABC" w:rsidRPr="000629A4" w:rsidRDefault="007E0ABC" w:rsidP="00D75B62">
            <w:pPr>
              <w:rPr>
                <w:sz w:val="16"/>
                <w:szCs w:val="20"/>
              </w:rPr>
            </w:pPr>
            <w:r w:rsidRPr="000629A4">
              <w:rPr>
                <w:sz w:val="16"/>
                <w:szCs w:val="20"/>
              </w:rPr>
              <w:t> </w:t>
            </w:r>
          </w:p>
        </w:tc>
        <w:tc>
          <w:tcPr>
            <w:tcW w:w="638" w:type="dxa"/>
            <w:hideMark/>
          </w:tcPr>
          <w:p w14:paraId="353BC4BD" w14:textId="77777777" w:rsidR="007E0ABC" w:rsidRPr="000629A4" w:rsidRDefault="007E0ABC" w:rsidP="00D75B62">
            <w:pPr>
              <w:rPr>
                <w:sz w:val="16"/>
                <w:szCs w:val="20"/>
              </w:rPr>
            </w:pPr>
            <w:r w:rsidRPr="000629A4">
              <w:rPr>
                <w:sz w:val="16"/>
                <w:szCs w:val="20"/>
              </w:rPr>
              <w:t> </w:t>
            </w:r>
          </w:p>
        </w:tc>
        <w:tc>
          <w:tcPr>
            <w:tcW w:w="1077" w:type="dxa"/>
            <w:hideMark/>
          </w:tcPr>
          <w:p w14:paraId="50F75C9A" w14:textId="77777777" w:rsidR="007E0ABC" w:rsidRPr="000629A4" w:rsidRDefault="007E0ABC" w:rsidP="00D75B62">
            <w:pPr>
              <w:rPr>
                <w:sz w:val="16"/>
                <w:szCs w:val="20"/>
              </w:rPr>
            </w:pPr>
            <w:r w:rsidRPr="000629A4">
              <w:rPr>
                <w:sz w:val="16"/>
                <w:szCs w:val="20"/>
              </w:rPr>
              <w:t>0.426</w:t>
            </w:r>
          </w:p>
        </w:tc>
      </w:tr>
      <w:tr w:rsidR="007E0ABC" w:rsidRPr="000629A4" w14:paraId="550EEA74" w14:textId="77777777" w:rsidTr="000629A4">
        <w:tc>
          <w:tcPr>
            <w:tcW w:w="523" w:type="dxa"/>
            <w:hideMark/>
          </w:tcPr>
          <w:p w14:paraId="23804F10" w14:textId="77777777" w:rsidR="007E0ABC" w:rsidRPr="000629A4" w:rsidRDefault="007E0ABC" w:rsidP="00D75B62">
            <w:pPr>
              <w:rPr>
                <w:sz w:val="18"/>
                <w:szCs w:val="21"/>
              </w:rPr>
            </w:pPr>
            <w:r w:rsidRPr="000629A4">
              <w:rPr>
                <w:rFonts w:cs="Arial"/>
                <w:sz w:val="18"/>
                <w:szCs w:val="21"/>
              </w:rPr>
              <w:t>6</w:t>
            </w:r>
          </w:p>
        </w:tc>
        <w:tc>
          <w:tcPr>
            <w:tcW w:w="4859" w:type="dxa"/>
            <w:hideMark/>
          </w:tcPr>
          <w:p w14:paraId="0C65D38F" w14:textId="77777777" w:rsidR="007E0ABC" w:rsidRPr="000629A4" w:rsidRDefault="007E0ABC" w:rsidP="00D75B62">
            <w:pPr>
              <w:rPr>
                <w:sz w:val="16"/>
                <w:szCs w:val="20"/>
              </w:rPr>
            </w:pPr>
            <w:r w:rsidRPr="000629A4">
              <w:rPr>
                <w:rFonts w:cs="Arial"/>
                <w:sz w:val="16"/>
                <w:szCs w:val="20"/>
                <w:lang w:val="en-US"/>
              </w:rPr>
              <w:t>I talk openly about my illness with people who are important to me.</w:t>
            </w:r>
          </w:p>
        </w:tc>
        <w:tc>
          <w:tcPr>
            <w:tcW w:w="637" w:type="dxa"/>
            <w:hideMark/>
          </w:tcPr>
          <w:p w14:paraId="3971D803" w14:textId="77777777" w:rsidR="007E0ABC" w:rsidRPr="000629A4" w:rsidRDefault="007E0ABC" w:rsidP="00D75B62">
            <w:pPr>
              <w:rPr>
                <w:sz w:val="16"/>
                <w:szCs w:val="20"/>
              </w:rPr>
            </w:pPr>
            <w:r w:rsidRPr="000629A4">
              <w:rPr>
                <w:sz w:val="16"/>
                <w:szCs w:val="20"/>
              </w:rPr>
              <w:t> </w:t>
            </w:r>
          </w:p>
        </w:tc>
        <w:tc>
          <w:tcPr>
            <w:tcW w:w="638" w:type="dxa"/>
            <w:hideMark/>
          </w:tcPr>
          <w:p w14:paraId="5F78B45E" w14:textId="77777777" w:rsidR="007E0ABC" w:rsidRPr="000629A4" w:rsidRDefault="007E0ABC" w:rsidP="00D75B62">
            <w:pPr>
              <w:rPr>
                <w:sz w:val="16"/>
                <w:szCs w:val="20"/>
              </w:rPr>
            </w:pPr>
            <w:r w:rsidRPr="000629A4">
              <w:rPr>
                <w:sz w:val="16"/>
                <w:szCs w:val="20"/>
              </w:rPr>
              <w:t>0.410</w:t>
            </w:r>
          </w:p>
        </w:tc>
        <w:tc>
          <w:tcPr>
            <w:tcW w:w="638" w:type="dxa"/>
            <w:hideMark/>
          </w:tcPr>
          <w:p w14:paraId="34AC6CB7" w14:textId="77777777" w:rsidR="007E0ABC" w:rsidRPr="000629A4" w:rsidRDefault="007E0ABC" w:rsidP="00D75B62">
            <w:pPr>
              <w:rPr>
                <w:sz w:val="16"/>
                <w:szCs w:val="20"/>
              </w:rPr>
            </w:pPr>
            <w:r w:rsidRPr="000629A4">
              <w:rPr>
                <w:sz w:val="16"/>
                <w:szCs w:val="20"/>
              </w:rPr>
              <w:t> </w:t>
            </w:r>
          </w:p>
        </w:tc>
        <w:tc>
          <w:tcPr>
            <w:tcW w:w="638" w:type="dxa"/>
            <w:hideMark/>
          </w:tcPr>
          <w:p w14:paraId="55D377E7" w14:textId="77777777" w:rsidR="007E0ABC" w:rsidRPr="000629A4" w:rsidRDefault="007E0ABC" w:rsidP="00D75B62">
            <w:pPr>
              <w:rPr>
                <w:sz w:val="16"/>
                <w:szCs w:val="20"/>
              </w:rPr>
            </w:pPr>
            <w:r w:rsidRPr="000629A4">
              <w:rPr>
                <w:sz w:val="16"/>
                <w:szCs w:val="20"/>
              </w:rPr>
              <w:t>0.442</w:t>
            </w:r>
          </w:p>
        </w:tc>
        <w:tc>
          <w:tcPr>
            <w:tcW w:w="1077" w:type="dxa"/>
            <w:hideMark/>
          </w:tcPr>
          <w:p w14:paraId="2CABC770" w14:textId="77777777" w:rsidR="007E0ABC" w:rsidRPr="000629A4" w:rsidRDefault="007E0ABC" w:rsidP="00D75B62">
            <w:pPr>
              <w:rPr>
                <w:sz w:val="16"/>
                <w:szCs w:val="20"/>
              </w:rPr>
            </w:pPr>
            <w:r w:rsidRPr="000629A4">
              <w:rPr>
                <w:sz w:val="16"/>
                <w:szCs w:val="20"/>
              </w:rPr>
              <w:t>0.456</w:t>
            </w:r>
          </w:p>
        </w:tc>
      </w:tr>
      <w:tr w:rsidR="007E0ABC" w:rsidRPr="000629A4" w14:paraId="0AE6409F" w14:textId="77777777" w:rsidTr="000629A4">
        <w:tc>
          <w:tcPr>
            <w:tcW w:w="523" w:type="dxa"/>
            <w:hideMark/>
          </w:tcPr>
          <w:p w14:paraId="38454B05" w14:textId="77777777" w:rsidR="007E0ABC" w:rsidRPr="000629A4" w:rsidRDefault="007E0ABC" w:rsidP="00D75B62">
            <w:pPr>
              <w:rPr>
                <w:sz w:val="18"/>
                <w:szCs w:val="21"/>
              </w:rPr>
            </w:pPr>
            <w:r w:rsidRPr="000629A4">
              <w:rPr>
                <w:rFonts w:cs="Arial"/>
                <w:sz w:val="18"/>
                <w:szCs w:val="21"/>
              </w:rPr>
              <w:t>7</w:t>
            </w:r>
          </w:p>
        </w:tc>
        <w:tc>
          <w:tcPr>
            <w:tcW w:w="4859" w:type="dxa"/>
            <w:hideMark/>
          </w:tcPr>
          <w:p w14:paraId="555BC15A" w14:textId="77777777" w:rsidR="007E0ABC" w:rsidRPr="000629A4" w:rsidRDefault="007E0ABC" w:rsidP="00D75B62">
            <w:pPr>
              <w:rPr>
                <w:sz w:val="16"/>
                <w:szCs w:val="20"/>
              </w:rPr>
            </w:pPr>
            <w:r w:rsidRPr="000629A4">
              <w:rPr>
                <w:rFonts w:cs="Arial"/>
                <w:sz w:val="16"/>
                <w:szCs w:val="20"/>
                <w:lang w:val="en-US"/>
              </w:rPr>
              <w:t>I have informed people who I see regularly how to help me when I am struggling with my illness.</w:t>
            </w:r>
          </w:p>
        </w:tc>
        <w:tc>
          <w:tcPr>
            <w:tcW w:w="637" w:type="dxa"/>
            <w:hideMark/>
          </w:tcPr>
          <w:p w14:paraId="3C157EED" w14:textId="77777777" w:rsidR="007E0ABC" w:rsidRPr="000629A4" w:rsidRDefault="007E0ABC" w:rsidP="00D75B62">
            <w:pPr>
              <w:rPr>
                <w:sz w:val="16"/>
                <w:szCs w:val="20"/>
              </w:rPr>
            </w:pPr>
            <w:r w:rsidRPr="000629A4">
              <w:rPr>
                <w:sz w:val="16"/>
                <w:szCs w:val="20"/>
              </w:rPr>
              <w:t> </w:t>
            </w:r>
          </w:p>
        </w:tc>
        <w:tc>
          <w:tcPr>
            <w:tcW w:w="638" w:type="dxa"/>
            <w:hideMark/>
          </w:tcPr>
          <w:p w14:paraId="1FB30CC9" w14:textId="77777777" w:rsidR="007E0ABC" w:rsidRPr="000629A4" w:rsidRDefault="007E0ABC" w:rsidP="00D75B62">
            <w:pPr>
              <w:rPr>
                <w:sz w:val="16"/>
                <w:szCs w:val="20"/>
              </w:rPr>
            </w:pPr>
            <w:r w:rsidRPr="000629A4">
              <w:rPr>
                <w:sz w:val="16"/>
                <w:szCs w:val="20"/>
              </w:rPr>
              <w:t> </w:t>
            </w:r>
          </w:p>
        </w:tc>
        <w:tc>
          <w:tcPr>
            <w:tcW w:w="638" w:type="dxa"/>
            <w:hideMark/>
          </w:tcPr>
          <w:p w14:paraId="32FE47D2" w14:textId="77777777" w:rsidR="007E0ABC" w:rsidRPr="000629A4" w:rsidRDefault="007E0ABC" w:rsidP="00D75B62">
            <w:pPr>
              <w:rPr>
                <w:sz w:val="16"/>
                <w:szCs w:val="20"/>
              </w:rPr>
            </w:pPr>
            <w:r w:rsidRPr="000629A4">
              <w:rPr>
                <w:sz w:val="16"/>
                <w:szCs w:val="20"/>
              </w:rPr>
              <w:t> </w:t>
            </w:r>
          </w:p>
        </w:tc>
        <w:tc>
          <w:tcPr>
            <w:tcW w:w="638" w:type="dxa"/>
            <w:hideMark/>
          </w:tcPr>
          <w:p w14:paraId="60162418" w14:textId="77777777" w:rsidR="007E0ABC" w:rsidRPr="000629A4" w:rsidRDefault="007E0ABC" w:rsidP="00D75B62">
            <w:pPr>
              <w:rPr>
                <w:sz w:val="16"/>
                <w:szCs w:val="20"/>
              </w:rPr>
            </w:pPr>
            <w:r w:rsidRPr="000629A4">
              <w:rPr>
                <w:sz w:val="16"/>
                <w:szCs w:val="20"/>
              </w:rPr>
              <w:t>0.447</w:t>
            </w:r>
          </w:p>
        </w:tc>
        <w:tc>
          <w:tcPr>
            <w:tcW w:w="1077" w:type="dxa"/>
            <w:hideMark/>
          </w:tcPr>
          <w:p w14:paraId="4C73A0A2" w14:textId="77777777" w:rsidR="007E0ABC" w:rsidRPr="000629A4" w:rsidRDefault="007E0ABC" w:rsidP="00D75B62">
            <w:pPr>
              <w:rPr>
                <w:sz w:val="16"/>
                <w:szCs w:val="20"/>
              </w:rPr>
            </w:pPr>
            <w:r w:rsidRPr="000629A4">
              <w:rPr>
                <w:sz w:val="16"/>
                <w:szCs w:val="20"/>
              </w:rPr>
              <w:t>0.636</w:t>
            </w:r>
          </w:p>
        </w:tc>
      </w:tr>
      <w:tr w:rsidR="007E0ABC" w:rsidRPr="000629A4" w14:paraId="639AE604" w14:textId="77777777" w:rsidTr="000629A4">
        <w:tc>
          <w:tcPr>
            <w:tcW w:w="523" w:type="dxa"/>
            <w:hideMark/>
          </w:tcPr>
          <w:p w14:paraId="3E49B81A" w14:textId="77777777" w:rsidR="007E0ABC" w:rsidRPr="000629A4" w:rsidRDefault="007E0ABC" w:rsidP="00D75B62">
            <w:pPr>
              <w:rPr>
                <w:sz w:val="18"/>
                <w:szCs w:val="21"/>
              </w:rPr>
            </w:pPr>
            <w:r w:rsidRPr="000629A4">
              <w:rPr>
                <w:rFonts w:cs="Arial"/>
                <w:sz w:val="18"/>
                <w:szCs w:val="21"/>
              </w:rPr>
              <w:t>8</w:t>
            </w:r>
          </w:p>
        </w:tc>
        <w:tc>
          <w:tcPr>
            <w:tcW w:w="4859" w:type="dxa"/>
            <w:hideMark/>
          </w:tcPr>
          <w:p w14:paraId="2D289AF5" w14:textId="77777777" w:rsidR="007E0ABC" w:rsidRPr="000629A4" w:rsidRDefault="007E0ABC" w:rsidP="00D75B62">
            <w:pPr>
              <w:rPr>
                <w:sz w:val="16"/>
                <w:szCs w:val="20"/>
              </w:rPr>
            </w:pPr>
            <w:r w:rsidRPr="000629A4">
              <w:rPr>
                <w:rFonts w:cs="Arial"/>
                <w:sz w:val="16"/>
                <w:szCs w:val="20"/>
                <w:lang w:val="en-US"/>
              </w:rPr>
              <w:t>In some situations, I am confused about how I feel.</w:t>
            </w:r>
          </w:p>
        </w:tc>
        <w:tc>
          <w:tcPr>
            <w:tcW w:w="637" w:type="dxa"/>
            <w:hideMark/>
          </w:tcPr>
          <w:p w14:paraId="09CD76DC" w14:textId="77777777" w:rsidR="007E0ABC" w:rsidRPr="000629A4" w:rsidRDefault="007E0ABC" w:rsidP="00D75B62">
            <w:pPr>
              <w:rPr>
                <w:sz w:val="16"/>
                <w:szCs w:val="20"/>
              </w:rPr>
            </w:pPr>
            <w:r w:rsidRPr="000629A4">
              <w:rPr>
                <w:sz w:val="16"/>
                <w:szCs w:val="20"/>
              </w:rPr>
              <w:t> </w:t>
            </w:r>
          </w:p>
        </w:tc>
        <w:tc>
          <w:tcPr>
            <w:tcW w:w="638" w:type="dxa"/>
            <w:hideMark/>
          </w:tcPr>
          <w:p w14:paraId="2A557ED6" w14:textId="77777777" w:rsidR="007E0ABC" w:rsidRPr="000629A4" w:rsidRDefault="007E0ABC" w:rsidP="00D75B62">
            <w:pPr>
              <w:rPr>
                <w:sz w:val="16"/>
                <w:szCs w:val="20"/>
              </w:rPr>
            </w:pPr>
            <w:r w:rsidRPr="000629A4">
              <w:rPr>
                <w:sz w:val="16"/>
                <w:szCs w:val="20"/>
              </w:rPr>
              <w:t> </w:t>
            </w:r>
          </w:p>
        </w:tc>
        <w:tc>
          <w:tcPr>
            <w:tcW w:w="638" w:type="dxa"/>
            <w:hideMark/>
          </w:tcPr>
          <w:p w14:paraId="2CEF91F7" w14:textId="77777777" w:rsidR="007E0ABC" w:rsidRPr="000629A4" w:rsidRDefault="007E0ABC" w:rsidP="00D75B62">
            <w:pPr>
              <w:rPr>
                <w:sz w:val="16"/>
                <w:szCs w:val="20"/>
              </w:rPr>
            </w:pPr>
            <w:r w:rsidRPr="000629A4">
              <w:rPr>
                <w:sz w:val="16"/>
                <w:szCs w:val="20"/>
              </w:rPr>
              <w:t>0.463</w:t>
            </w:r>
          </w:p>
        </w:tc>
        <w:tc>
          <w:tcPr>
            <w:tcW w:w="638" w:type="dxa"/>
            <w:hideMark/>
          </w:tcPr>
          <w:p w14:paraId="7DBF695F" w14:textId="77777777" w:rsidR="007E0ABC" w:rsidRPr="000629A4" w:rsidRDefault="007E0ABC" w:rsidP="00D75B62">
            <w:pPr>
              <w:rPr>
                <w:sz w:val="16"/>
                <w:szCs w:val="20"/>
              </w:rPr>
            </w:pPr>
            <w:r w:rsidRPr="000629A4">
              <w:rPr>
                <w:sz w:val="16"/>
                <w:szCs w:val="20"/>
              </w:rPr>
              <w:t> </w:t>
            </w:r>
          </w:p>
        </w:tc>
        <w:tc>
          <w:tcPr>
            <w:tcW w:w="1077" w:type="dxa"/>
            <w:hideMark/>
          </w:tcPr>
          <w:p w14:paraId="333A6E01" w14:textId="77777777" w:rsidR="007E0ABC" w:rsidRPr="000629A4" w:rsidRDefault="007E0ABC" w:rsidP="00D75B62">
            <w:pPr>
              <w:rPr>
                <w:sz w:val="16"/>
                <w:szCs w:val="20"/>
              </w:rPr>
            </w:pPr>
            <w:r w:rsidRPr="000629A4">
              <w:rPr>
                <w:sz w:val="16"/>
                <w:szCs w:val="20"/>
              </w:rPr>
              <w:t>0.766</w:t>
            </w:r>
          </w:p>
        </w:tc>
      </w:tr>
      <w:tr w:rsidR="007E0ABC" w:rsidRPr="000629A4" w14:paraId="198050E4" w14:textId="77777777" w:rsidTr="000629A4">
        <w:tc>
          <w:tcPr>
            <w:tcW w:w="523" w:type="dxa"/>
            <w:hideMark/>
          </w:tcPr>
          <w:p w14:paraId="4877167F" w14:textId="77777777" w:rsidR="007E0ABC" w:rsidRPr="000629A4" w:rsidRDefault="007E0ABC" w:rsidP="00D75B62">
            <w:pPr>
              <w:rPr>
                <w:sz w:val="18"/>
                <w:szCs w:val="21"/>
              </w:rPr>
            </w:pPr>
            <w:r w:rsidRPr="000629A4">
              <w:rPr>
                <w:rFonts w:cs="Arial"/>
                <w:sz w:val="18"/>
                <w:szCs w:val="21"/>
              </w:rPr>
              <w:t>9</w:t>
            </w:r>
          </w:p>
        </w:tc>
        <w:tc>
          <w:tcPr>
            <w:tcW w:w="4859" w:type="dxa"/>
            <w:hideMark/>
          </w:tcPr>
          <w:p w14:paraId="1BA6E752" w14:textId="77777777" w:rsidR="007E0ABC" w:rsidRPr="000629A4" w:rsidRDefault="007E0ABC" w:rsidP="00D75B62">
            <w:pPr>
              <w:rPr>
                <w:sz w:val="16"/>
                <w:szCs w:val="20"/>
              </w:rPr>
            </w:pPr>
            <w:r w:rsidRPr="000629A4">
              <w:rPr>
                <w:rFonts w:cs="Arial"/>
                <w:sz w:val="16"/>
                <w:szCs w:val="20"/>
                <w:lang w:val="en-US"/>
              </w:rPr>
              <w:t>I am able to express how I feel if it is important to me.</w:t>
            </w:r>
          </w:p>
        </w:tc>
        <w:tc>
          <w:tcPr>
            <w:tcW w:w="637" w:type="dxa"/>
            <w:hideMark/>
          </w:tcPr>
          <w:p w14:paraId="6D04FED1" w14:textId="77777777" w:rsidR="007E0ABC" w:rsidRPr="000629A4" w:rsidRDefault="007E0ABC" w:rsidP="00D75B62">
            <w:pPr>
              <w:rPr>
                <w:sz w:val="16"/>
                <w:szCs w:val="20"/>
              </w:rPr>
            </w:pPr>
            <w:r w:rsidRPr="000629A4">
              <w:rPr>
                <w:sz w:val="16"/>
                <w:szCs w:val="20"/>
              </w:rPr>
              <w:t> </w:t>
            </w:r>
          </w:p>
        </w:tc>
        <w:tc>
          <w:tcPr>
            <w:tcW w:w="638" w:type="dxa"/>
            <w:hideMark/>
          </w:tcPr>
          <w:p w14:paraId="73B08372" w14:textId="77777777" w:rsidR="007E0ABC" w:rsidRPr="000629A4" w:rsidRDefault="007E0ABC" w:rsidP="00D75B62">
            <w:pPr>
              <w:rPr>
                <w:sz w:val="16"/>
                <w:szCs w:val="20"/>
              </w:rPr>
            </w:pPr>
            <w:r w:rsidRPr="000629A4">
              <w:rPr>
                <w:sz w:val="16"/>
                <w:szCs w:val="20"/>
              </w:rPr>
              <w:t>0.546</w:t>
            </w:r>
          </w:p>
        </w:tc>
        <w:tc>
          <w:tcPr>
            <w:tcW w:w="638" w:type="dxa"/>
            <w:hideMark/>
          </w:tcPr>
          <w:p w14:paraId="55AF9F6E" w14:textId="77777777" w:rsidR="007E0ABC" w:rsidRPr="000629A4" w:rsidRDefault="007E0ABC" w:rsidP="00D75B62">
            <w:pPr>
              <w:rPr>
                <w:sz w:val="16"/>
                <w:szCs w:val="20"/>
              </w:rPr>
            </w:pPr>
            <w:r w:rsidRPr="000629A4">
              <w:rPr>
                <w:sz w:val="16"/>
                <w:szCs w:val="20"/>
              </w:rPr>
              <w:t> </w:t>
            </w:r>
          </w:p>
        </w:tc>
        <w:tc>
          <w:tcPr>
            <w:tcW w:w="638" w:type="dxa"/>
            <w:hideMark/>
          </w:tcPr>
          <w:p w14:paraId="4D8411E8" w14:textId="77777777" w:rsidR="007E0ABC" w:rsidRPr="000629A4" w:rsidRDefault="007E0ABC" w:rsidP="00D75B62">
            <w:pPr>
              <w:rPr>
                <w:sz w:val="16"/>
                <w:szCs w:val="20"/>
              </w:rPr>
            </w:pPr>
            <w:r w:rsidRPr="000629A4">
              <w:rPr>
                <w:sz w:val="16"/>
                <w:szCs w:val="20"/>
              </w:rPr>
              <w:t> </w:t>
            </w:r>
          </w:p>
        </w:tc>
        <w:tc>
          <w:tcPr>
            <w:tcW w:w="1077" w:type="dxa"/>
            <w:hideMark/>
          </w:tcPr>
          <w:p w14:paraId="5EAFCE0A" w14:textId="77777777" w:rsidR="007E0ABC" w:rsidRPr="000629A4" w:rsidRDefault="007E0ABC" w:rsidP="00D75B62">
            <w:pPr>
              <w:rPr>
                <w:sz w:val="16"/>
                <w:szCs w:val="20"/>
              </w:rPr>
            </w:pPr>
            <w:r w:rsidRPr="000629A4">
              <w:rPr>
                <w:sz w:val="16"/>
                <w:szCs w:val="20"/>
              </w:rPr>
              <w:t>0.482</w:t>
            </w:r>
          </w:p>
        </w:tc>
      </w:tr>
      <w:tr w:rsidR="007E0ABC" w:rsidRPr="000629A4" w14:paraId="39A0115B" w14:textId="77777777" w:rsidTr="000629A4">
        <w:tc>
          <w:tcPr>
            <w:tcW w:w="523" w:type="dxa"/>
            <w:hideMark/>
          </w:tcPr>
          <w:p w14:paraId="6AAC0CF2" w14:textId="77777777" w:rsidR="007E0ABC" w:rsidRPr="000629A4" w:rsidRDefault="007E0ABC" w:rsidP="00D75B62">
            <w:pPr>
              <w:rPr>
                <w:sz w:val="18"/>
                <w:szCs w:val="21"/>
              </w:rPr>
            </w:pPr>
            <w:r w:rsidRPr="000629A4">
              <w:rPr>
                <w:rFonts w:cs="Arial"/>
                <w:sz w:val="18"/>
                <w:szCs w:val="21"/>
              </w:rPr>
              <w:t>10</w:t>
            </w:r>
          </w:p>
        </w:tc>
        <w:tc>
          <w:tcPr>
            <w:tcW w:w="4859" w:type="dxa"/>
            <w:hideMark/>
          </w:tcPr>
          <w:p w14:paraId="6579A31D" w14:textId="77777777" w:rsidR="007E0ABC" w:rsidRPr="000629A4" w:rsidRDefault="007E0ABC" w:rsidP="00D75B62">
            <w:pPr>
              <w:rPr>
                <w:sz w:val="16"/>
                <w:szCs w:val="20"/>
              </w:rPr>
            </w:pPr>
            <w:r w:rsidRPr="000629A4">
              <w:rPr>
                <w:rFonts w:cs="Arial"/>
                <w:sz w:val="16"/>
                <w:szCs w:val="20"/>
                <w:lang w:val="en-US"/>
              </w:rPr>
              <w:t>I feel good about myself as I am.</w:t>
            </w:r>
          </w:p>
        </w:tc>
        <w:tc>
          <w:tcPr>
            <w:tcW w:w="637" w:type="dxa"/>
            <w:hideMark/>
          </w:tcPr>
          <w:p w14:paraId="06736B67" w14:textId="77777777" w:rsidR="007E0ABC" w:rsidRPr="000629A4" w:rsidRDefault="007E0ABC" w:rsidP="00D75B62">
            <w:pPr>
              <w:rPr>
                <w:sz w:val="16"/>
                <w:szCs w:val="20"/>
              </w:rPr>
            </w:pPr>
            <w:r w:rsidRPr="000629A4">
              <w:rPr>
                <w:sz w:val="16"/>
                <w:szCs w:val="20"/>
              </w:rPr>
              <w:t>0.585</w:t>
            </w:r>
          </w:p>
        </w:tc>
        <w:tc>
          <w:tcPr>
            <w:tcW w:w="638" w:type="dxa"/>
            <w:hideMark/>
          </w:tcPr>
          <w:p w14:paraId="14EBF60F" w14:textId="77777777" w:rsidR="007E0ABC" w:rsidRPr="000629A4" w:rsidRDefault="007E0ABC" w:rsidP="00D75B62">
            <w:pPr>
              <w:rPr>
                <w:sz w:val="16"/>
                <w:szCs w:val="20"/>
              </w:rPr>
            </w:pPr>
            <w:r w:rsidRPr="000629A4">
              <w:rPr>
                <w:sz w:val="16"/>
                <w:szCs w:val="20"/>
              </w:rPr>
              <w:t> </w:t>
            </w:r>
          </w:p>
        </w:tc>
        <w:tc>
          <w:tcPr>
            <w:tcW w:w="638" w:type="dxa"/>
            <w:hideMark/>
          </w:tcPr>
          <w:p w14:paraId="3B4B544C" w14:textId="77777777" w:rsidR="007E0ABC" w:rsidRPr="000629A4" w:rsidRDefault="007E0ABC" w:rsidP="00D75B62">
            <w:pPr>
              <w:rPr>
                <w:sz w:val="16"/>
                <w:szCs w:val="20"/>
              </w:rPr>
            </w:pPr>
            <w:r w:rsidRPr="000629A4">
              <w:rPr>
                <w:sz w:val="16"/>
                <w:szCs w:val="20"/>
              </w:rPr>
              <w:t> </w:t>
            </w:r>
          </w:p>
        </w:tc>
        <w:tc>
          <w:tcPr>
            <w:tcW w:w="638" w:type="dxa"/>
            <w:hideMark/>
          </w:tcPr>
          <w:p w14:paraId="53EDBFF3" w14:textId="77777777" w:rsidR="007E0ABC" w:rsidRPr="000629A4" w:rsidRDefault="007E0ABC" w:rsidP="00D75B62">
            <w:pPr>
              <w:rPr>
                <w:sz w:val="16"/>
                <w:szCs w:val="20"/>
              </w:rPr>
            </w:pPr>
            <w:r w:rsidRPr="000629A4">
              <w:rPr>
                <w:sz w:val="16"/>
                <w:szCs w:val="20"/>
              </w:rPr>
              <w:t> </w:t>
            </w:r>
          </w:p>
        </w:tc>
        <w:tc>
          <w:tcPr>
            <w:tcW w:w="1077" w:type="dxa"/>
            <w:hideMark/>
          </w:tcPr>
          <w:p w14:paraId="62E9AD09" w14:textId="77777777" w:rsidR="007E0ABC" w:rsidRPr="000629A4" w:rsidRDefault="007E0ABC" w:rsidP="00D75B62">
            <w:pPr>
              <w:rPr>
                <w:sz w:val="16"/>
                <w:szCs w:val="20"/>
              </w:rPr>
            </w:pPr>
            <w:r w:rsidRPr="000629A4">
              <w:rPr>
                <w:sz w:val="16"/>
                <w:szCs w:val="20"/>
              </w:rPr>
              <w:t>0.508</w:t>
            </w:r>
          </w:p>
        </w:tc>
      </w:tr>
      <w:tr w:rsidR="007E0ABC" w:rsidRPr="000629A4" w14:paraId="064E86A0" w14:textId="77777777" w:rsidTr="000629A4">
        <w:tc>
          <w:tcPr>
            <w:tcW w:w="523" w:type="dxa"/>
            <w:hideMark/>
          </w:tcPr>
          <w:p w14:paraId="4CC696CA" w14:textId="77777777" w:rsidR="007E0ABC" w:rsidRPr="000629A4" w:rsidRDefault="007E0ABC" w:rsidP="00D75B62">
            <w:pPr>
              <w:rPr>
                <w:sz w:val="18"/>
                <w:szCs w:val="21"/>
              </w:rPr>
            </w:pPr>
            <w:r w:rsidRPr="000629A4">
              <w:rPr>
                <w:rFonts w:cs="Arial"/>
                <w:sz w:val="18"/>
                <w:szCs w:val="21"/>
              </w:rPr>
              <w:t>11</w:t>
            </w:r>
          </w:p>
        </w:tc>
        <w:tc>
          <w:tcPr>
            <w:tcW w:w="4859" w:type="dxa"/>
            <w:hideMark/>
          </w:tcPr>
          <w:p w14:paraId="7993AF34" w14:textId="77777777" w:rsidR="007E0ABC" w:rsidRPr="000629A4" w:rsidRDefault="007E0ABC" w:rsidP="00D75B62">
            <w:pPr>
              <w:rPr>
                <w:sz w:val="16"/>
                <w:szCs w:val="20"/>
              </w:rPr>
            </w:pPr>
            <w:r w:rsidRPr="000629A4">
              <w:rPr>
                <w:rFonts w:cs="Arial"/>
                <w:sz w:val="16"/>
                <w:szCs w:val="20"/>
                <w:lang w:val="en-US"/>
              </w:rPr>
              <w:t>I bottle up feelings</w:t>
            </w:r>
          </w:p>
        </w:tc>
        <w:tc>
          <w:tcPr>
            <w:tcW w:w="637" w:type="dxa"/>
            <w:hideMark/>
          </w:tcPr>
          <w:p w14:paraId="31B54658" w14:textId="77777777" w:rsidR="007E0ABC" w:rsidRPr="000629A4" w:rsidRDefault="007E0ABC" w:rsidP="00D75B62">
            <w:pPr>
              <w:rPr>
                <w:sz w:val="16"/>
                <w:szCs w:val="20"/>
              </w:rPr>
            </w:pPr>
            <w:r w:rsidRPr="000629A4">
              <w:rPr>
                <w:sz w:val="16"/>
                <w:szCs w:val="20"/>
              </w:rPr>
              <w:t> </w:t>
            </w:r>
          </w:p>
        </w:tc>
        <w:tc>
          <w:tcPr>
            <w:tcW w:w="638" w:type="dxa"/>
            <w:hideMark/>
          </w:tcPr>
          <w:p w14:paraId="1258598A" w14:textId="77777777" w:rsidR="007E0ABC" w:rsidRPr="000629A4" w:rsidRDefault="007E0ABC" w:rsidP="00D75B62">
            <w:pPr>
              <w:rPr>
                <w:sz w:val="16"/>
                <w:szCs w:val="20"/>
              </w:rPr>
            </w:pPr>
            <w:r w:rsidRPr="000629A4">
              <w:rPr>
                <w:sz w:val="16"/>
                <w:szCs w:val="20"/>
              </w:rPr>
              <w:t> </w:t>
            </w:r>
          </w:p>
        </w:tc>
        <w:tc>
          <w:tcPr>
            <w:tcW w:w="638" w:type="dxa"/>
            <w:hideMark/>
          </w:tcPr>
          <w:p w14:paraId="626FC61E" w14:textId="77777777" w:rsidR="007E0ABC" w:rsidRPr="000629A4" w:rsidRDefault="007E0ABC" w:rsidP="00D75B62">
            <w:pPr>
              <w:rPr>
                <w:sz w:val="16"/>
                <w:szCs w:val="20"/>
              </w:rPr>
            </w:pPr>
            <w:r w:rsidRPr="000629A4">
              <w:rPr>
                <w:sz w:val="16"/>
                <w:szCs w:val="20"/>
              </w:rPr>
              <w:t>0.512</w:t>
            </w:r>
          </w:p>
        </w:tc>
        <w:tc>
          <w:tcPr>
            <w:tcW w:w="638" w:type="dxa"/>
            <w:hideMark/>
          </w:tcPr>
          <w:p w14:paraId="75105592" w14:textId="77777777" w:rsidR="007E0ABC" w:rsidRPr="000629A4" w:rsidRDefault="007E0ABC" w:rsidP="00D75B62">
            <w:pPr>
              <w:rPr>
                <w:sz w:val="16"/>
                <w:szCs w:val="20"/>
              </w:rPr>
            </w:pPr>
            <w:r w:rsidRPr="000629A4">
              <w:rPr>
                <w:sz w:val="16"/>
                <w:szCs w:val="20"/>
              </w:rPr>
              <w:t> </w:t>
            </w:r>
          </w:p>
        </w:tc>
        <w:tc>
          <w:tcPr>
            <w:tcW w:w="1077" w:type="dxa"/>
            <w:hideMark/>
          </w:tcPr>
          <w:p w14:paraId="0EAFB8BB" w14:textId="77777777" w:rsidR="007E0ABC" w:rsidRPr="000629A4" w:rsidRDefault="007E0ABC" w:rsidP="00D75B62">
            <w:pPr>
              <w:rPr>
                <w:sz w:val="16"/>
                <w:szCs w:val="20"/>
              </w:rPr>
            </w:pPr>
            <w:r w:rsidRPr="000629A4">
              <w:rPr>
                <w:sz w:val="16"/>
                <w:szCs w:val="20"/>
              </w:rPr>
              <w:t>0.665</w:t>
            </w:r>
          </w:p>
        </w:tc>
      </w:tr>
      <w:tr w:rsidR="007E0ABC" w:rsidRPr="000629A4" w14:paraId="40648C93" w14:textId="77777777" w:rsidTr="000629A4">
        <w:tc>
          <w:tcPr>
            <w:tcW w:w="523" w:type="dxa"/>
            <w:hideMark/>
          </w:tcPr>
          <w:p w14:paraId="0D8F4D71" w14:textId="77777777" w:rsidR="007E0ABC" w:rsidRPr="000629A4" w:rsidRDefault="007E0ABC" w:rsidP="00D75B62">
            <w:pPr>
              <w:rPr>
                <w:sz w:val="18"/>
                <w:szCs w:val="21"/>
              </w:rPr>
            </w:pPr>
            <w:r w:rsidRPr="000629A4">
              <w:rPr>
                <w:rFonts w:cs="Arial"/>
                <w:sz w:val="18"/>
                <w:szCs w:val="21"/>
              </w:rPr>
              <w:t>12</w:t>
            </w:r>
          </w:p>
        </w:tc>
        <w:tc>
          <w:tcPr>
            <w:tcW w:w="4859" w:type="dxa"/>
            <w:hideMark/>
          </w:tcPr>
          <w:p w14:paraId="4D9AAD0F" w14:textId="77777777" w:rsidR="007E0ABC" w:rsidRPr="000629A4" w:rsidRDefault="007E0ABC" w:rsidP="00D75B62">
            <w:pPr>
              <w:rPr>
                <w:sz w:val="16"/>
                <w:szCs w:val="20"/>
              </w:rPr>
            </w:pPr>
            <w:r w:rsidRPr="000629A4">
              <w:rPr>
                <w:rFonts w:cs="Arial"/>
                <w:sz w:val="16"/>
                <w:szCs w:val="20"/>
                <w:lang w:val="en-US"/>
              </w:rPr>
              <w:t>I worry about being a burden to others.</w:t>
            </w:r>
          </w:p>
        </w:tc>
        <w:tc>
          <w:tcPr>
            <w:tcW w:w="637" w:type="dxa"/>
            <w:hideMark/>
          </w:tcPr>
          <w:p w14:paraId="41EDFD74" w14:textId="77777777" w:rsidR="007E0ABC" w:rsidRPr="000629A4" w:rsidRDefault="007E0ABC" w:rsidP="00D75B62">
            <w:pPr>
              <w:rPr>
                <w:sz w:val="16"/>
                <w:szCs w:val="20"/>
              </w:rPr>
            </w:pPr>
            <w:r w:rsidRPr="000629A4">
              <w:rPr>
                <w:sz w:val="16"/>
                <w:szCs w:val="20"/>
              </w:rPr>
              <w:t> </w:t>
            </w:r>
          </w:p>
        </w:tc>
        <w:tc>
          <w:tcPr>
            <w:tcW w:w="638" w:type="dxa"/>
            <w:hideMark/>
          </w:tcPr>
          <w:p w14:paraId="62211F49" w14:textId="77777777" w:rsidR="007E0ABC" w:rsidRPr="000629A4" w:rsidRDefault="007E0ABC" w:rsidP="00D75B62">
            <w:pPr>
              <w:rPr>
                <w:sz w:val="16"/>
                <w:szCs w:val="20"/>
              </w:rPr>
            </w:pPr>
            <w:r w:rsidRPr="000629A4">
              <w:rPr>
                <w:sz w:val="16"/>
                <w:szCs w:val="20"/>
              </w:rPr>
              <w:t> </w:t>
            </w:r>
          </w:p>
        </w:tc>
        <w:tc>
          <w:tcPr>
            <w:tcW w:w="638" w:type="dxa"/>
            <w:hideMark/>
          </w:tcPr>
          <w:p w14:paraId="2BBA0CB0" w14:textId="77777777" w:rsidR="007E0ABC" w:rsidRPr="000629A4" w:rsidRDefault="007E0ABC" w:rsidP="00D75B62">
            <w:pPr>
              <w:rPr>
                <w:sz w:val="16"/>
                <w:szCs w:val="20"/>
              </w:rPr>
            </w:pPr>
            <w:r w:rsidRPr="000629A4">
              <w:rPr>
                <w:sz w:val="16"/>
                <w:szCs w:val="20"/>
              </w:rPr>
              <w:t>0.641</w:t>
            </w:r>
          </w:p>
        </w:tc>
        <w:tc>
          <w:tcPr>
            <w:tcW w:w="638" w:type="dxa"/>
            <w:hideMark/>
          </w:tcPr>
          <w:p w14:paraId="1B857543" w14:textId="77777777" w:rsidR="007E0ABC" w:rsidRPr="000629A4" w:rsidRDefault="007E0ABC" w:rsidP="00D75B62">
            <w:pPr>
              <w:rPr>
                <w:sz w:val="16"/>
                <w:szCs w:val="20"/>
              </w:rPr>
            </w:pPr>
            <w:r w:rsidRPr="000629A4">
              <w:rPr>
                <w:sz w:val="16"/>
                <w:szCs w:val="20"/>
              </w:rPr>
              <w:t> </w:t>
            </w:r>
          </w:p>
        </w:tc>
        <w:tc>
          <w:tcPr>
            <w:tcW w:w="1077" w:type="dxa"/>
            <w:hideMark/>
          </w:tcPr>
          <w:p w14:paraId="69F03D17" w14:textId="77777777" w:rsidR="007E0ABC" w:rsidRPr="000629A4" w:rsidRDefault="007E0ABC" w:rsidP="00D75B62">
            <w:pPr>
              <w:rPr>
                <w:sz w:val="16"/>
                <w:szCs w:val="20"/>
              </w:rPr>
            </w:pPr>
            <w:r w:rsidRPr="000629A4">
              <w:rPr>
                <w:sz w:val="16"/>
                <w:szCs w:val="20"/>
              </w:rPr>
              <w:t>0.549</w:t>
            </w:r>
          </w:p>
        </w:tc>
      </w:tr>
      <w:tr w:rsidR="007E0ABC" w:rsidRPr="000629A4" w14:paraId="761AFCB2" w14:textId="77777777" w:rsidTr="000629A4">
        <w:tc>
          <w:tcPr>
            <w:tcW w:w="523" w:type="dxa"/>
            <w:hideMark/>
          </w:tcPr>
          <w:p w14:paraId="6C71A87C" w14:textId="77777777" w:rsidR="007E0ABC" w:rsidRPr="000629A4" w:rsidRDefault="007E0ABC" w:rsidP="00D75B62">
            <w:pPr>
              <w:rPr>
                <w:sz w:val="18"/>
                <w:szCs w:val="21"/>
              </w:rPr>
            </w:pPr>
            <w:r w:rsidRPr="000629A4">
              <w:rPr>
                <w:rFonts w:cs="Arial"/>
                <w:sz w:val="18"/>
                <w:szCs w:val="21"/>
              </w:rPr>
              <w:t>13</w:t>
            </w:r>
          </w:p>
        </w:tc>
        <w:tc>
          <w:tcPr>
            <w:tcW w:w="4859" w:type="dxa"/>
            <w:hideMark/>
          </w:tcPr>
          <w:p w14:paraId="5F598904" w14:textId="77777777" w:rsidR="007E0ABC" w:rsidRPr="000629A4" w:rsidRDefault="007E0ABC" w:rsidP="00D75B62">
            <w:pPr>
              <w:rPr>
                <w:sz w:val="16"/>
                <w:szCs w:val="20"/>
              </w:rPr>
            </w:pPr>
            <w:r w:rsidRPr="000629A4">
              <w:rPr>
                <w:rFonts w:cs="Arial"/>
                <w:sz w:val="16"/>
                <w:szCs w:val="20"/>
                <w:lang w:val="en-US"/>
              </w:rPr>
              <w:t>I am able to say “no” when others ask me to do things for them that I would rather not do.</w:t>
            </w:r>
          </w:p>
        </w:tc>
        <w:tc>
          <w:tcPr>
            <w:tcW w:w="637" w:type="dxa"/>
            <w:hideMark/>
          </w:tcPr>
          <w:p w14:paraId="08EA54EB" w14:textId="77777777" w:rsidR="007E0ABC" w:rsidRPr="000629A4" w:rsidRDefault="007E0ABC" w:rsidP="00D75B62">
            <w:pPr>
              <w:rPr>
                <w:sz w:val="16"/>
                <w:szCs w:val="20"/>
              </w:rPr>
            </w:pPr>
            <w:r w:rsidRPr="000629A4">
              <w:rPr>
                <w:sz w:val="16"/>
                <w:szCs w:val="20"/>
              </w:rPr>
              <w:t> </w:t>
            </w:r>
          </w:p>
        </w:tc>
        <w:tc>
          <w:tcPr>
            <w:tcW w:w="638" w:type="dxa"/>
            <w:hideMark/>
          </w:tcPr>
          <w:p w14:paraId="20C87585" w14:textId="77777777" w:rsidR="007E0ABC" w:rsidRPr="000629A4" w:rsidRDefault="007E0ABC" w:rsidP="00D75B62">
            <w:pPr>
              <w:rPr>
                <w:sz w:val="16"/>
                <w:szCs w:val="20"/>
              </w:rPr>
            </w:pPr>
            <w:r w:rsidRPr="000629A4">
              <w:rPr>
                <w:sz w:val="16"/>
                <w:szCs w:val="20"/>
              </w:rPr>
              <w:t>0.440</w:t>
            </w:r>
          </w:p>
        </w:tc>
        <w:tc>
          <w:tcPr>
            <w:tcW w:w="638" w:type="dxa"/>
            <w:hideMark/>
          </w:tcPr>
          <w:p w14:paraId="455120FE" w14:textId="77777777" w:rsidR="007E0ABC" w:rsidRPr="000629A4" w:rsidRDefault="007E0ABC" w:rsidP="00D75B62">
            <w:pPr>
              <w:rPr>
                <w:sz w:val="16"/>
                <w:szCs w:val="20"/>
              </w:rPr>
            </w:pPr>
            <w:r w:rsidRPr="000629A4">
              <w:rPr>
                <w:sz w:val="16"/>
                <w:szCs w:val="20"/>
              </w:rPr>
              <w:t> </w:t>
            </w:r>
          </w:p>
        </w:tc>
        <w:tc>
          <w:tcPr>
            <w:tcW w:w="638" w:type="dxa"/>
            <w:hideMark/>
          </w:tcPr>
          <w:p w14:paraId="546B9A85" w14:textId="77777777" w:rsidR="007E0ABC" w:rsidRPr="000629A4" w:rsidRDefault="007E0ABC" w:rsidP="00D75B62">
            <w:pPr>
              <w:rPr>
                <w:sz w:val="16"/>
                <w:szCs w:val="20"/>
              </w:rPr>
            </w:pPr>
            <w:r w:rsidRPr="000629A4">
              <w:rPr>
                <w:sz w:val="16"/>
                <w:szCs w:val="20"/>
              </w:rPr>
              <w:t> </w:t>
            </w:r>
          </w:p>
        </w:tc>
        <w:tc>
          <w:tcPr>
            <w:tcW w:w="1077" w:type="dxa"/>
            <w:hideMark/>
          </w:tcPr>
          <w:p w14:paraId="3F13CFE3" w14:textId="77777777" w:rsidR="007E0ABC" w:rsidRPr="000629A4" w:rsidRDefault="007E0ABC" w:rsidP="00D75B62">
            <w:pPr>
              <w:rPr>
                <w:sz w:val="16"/>
                <w:szCs w:val="20"/>
              </w:rPr>
            </w:pPr>
            <w:r w:rsidRPr="000629A4">
              <w:rPr>
                <w:sz w:val="16"/>
                <w:szCs w:val="20"/>
              </w:rPr>
              <w:t>0.688</w:t>
            </w:r>
          </w:p>
        </w:tc>
      </w:tr>
      <w:tr w:rsidR="007E0ABC" w:rsidRPr="000629A4" w14:paraId="51125C3B" w14:textId="77777777" w:rsidTr="000629A4">
        <w:tc>
          <w:tcPr>
            <w:tcW w:w="523" w:type="dxa"/>
            <w:hideMark/>
          </w:tcPr>
          <w:p w14:paraId="045D3294" w14:textId="77777777" w:rsidR="007E0ABC" w:rsidRPr="000629A4" w:rsidRDefault="007E0ABC" w:rsidP="00D75B62">
            <w:pPr>
              <w:rPr>
                <w:sz w:val="18"/>
                <w:szCs w:val="21"/>
              </w:rPr>
            </w:pPr>
            <w:r w:rsidRPr="000629A4">
              <w:rPr>
                <w:rFonts w:cs="Arial"/>
                <w:sz w:val="18"/>
                <w:szCs w:val="21"/>
              </w:rPr>
              <w:t>14</w:t>
            </w:r>
          </w:p>
        </w:tc>
        <w:tc>
          <w:tcPr>
            <w:tcW w:w="4859" w:type="dxa"/>
            <w:hideMark/>
          </w:tcPr>
          <w:p w14:paraId="0669F943" w14:textId="77777777" w:rsidR="007E0ABC" w:rsidRPr="000629A4" w:rsidRDefault="007E0ABC" w:rsidP="00D75B62">
            <w:pPr>
              <w:rPr>
                <w:sz w:val="16"/>
                <w:szCs w:val="20"/>
              </w:rPr>
            </w:pPr>
            <w:r w:rsidRPr="000629A4">
              <w:rPr>
                <w:rFonts w:cs="Arial"/>
                <w:sz w:val="16"/>
                <w:szCs w:val="20"/>
                <w:lang w:val="en-US"/>
              </w:rPr>
              <w:t>It is hard for me to ask others for help.</w:t>
            </w:r>
          </w:p>
        </w:tc>
        <w:tc>
          <w:tcPr>
            <w:tcW w:w="637" w:type="dxa"/>
            <w:hideMark/>
          </w:tcPr>
          <w:p w14:paraId="2A8C3A3C" w14:textId="77777777" w:rsidR="007E0ABC" w:rsidRPr="000629A4" w:rsidRDefault="007E0ABC" w:rsidP="00D75B62">
            <w:pPr>
              <w:rPr>
                <w:sz w:val="16"/>
                <w:szCs w:val="20"/>
              </w:rPr>
            </w:pPr>
            <w:r w:rsidRPr="000629A4">
              <w:rPr>
                <w:sz w:val="16"/>
                <w:szCs w:val="20"/>
              </w:rPr>
              <w:t> </w:t>
            </w:r>
          </w:p>
        </w:tc>
        <w:tc>
          <w:tcPr>
            <w:tcW w:w="638" w:type="dxa"/>
            <w:hideMark/>
          </w:tcPr>
          <w:p w14:paraId="60A2E0CB" w14:textId="77777777" w:rsidR="007E0ABC" w:rsidRPr="000629A4" w:rsidRDefault="007E0ABC" w:rsidP="00D75B62">
            <w:pPr>
              <w:rPr>
                <w:sz w:val="16"/>
                <w:szCs w:val="20"/>
              </w:rPr>
            </w:pPr>
            <w:r w:rsidRPr="000629A4">
              <w:rPr>
                <w:sz w:val="16"/>
                <w:szCs w:val="20"/>
              </w:rPr>
              <w:t> </w:t>
            </w:r>
          </w:p>
        </w:tc>
        <w:tc>
          <w:tcPr>
            <w:tcW w:w="638" w:type="dxa"/>
            <w:hideMark/>
          </w:tcPr>
          <w:p w14:paraId="6396B325" w14:textId="77777777" w:rsidR="007E0ABC" w:rsidRPr="000629A4" w:rsidRDefault="007E0ABC" w:rsidP="00D75B62">
            <w:pPr>
              <w:rPr>
                <w:sz w:val="16"/>
                <w:szCs w:val="20"/>
              </w:rPr>
            </w:pPr>
            <w:r w:rsidRPr="000629A4">
              <w:rPr>
                <w:sz w:val="16"/>
                <w:szCs w:val="20"/>
              </w:rPr>
              <w:t>0.523</w:t>
            </w:r>
          </w:p>
        </w:tc>
        <w:tc>
          <w:tcPr>
            <w:tcW w:w="638" w:type="dxa"/>
            <w:hideMark/>
          </w:tcPr>
          <w:p w14:paraId="276385C2" w14:textId="77777777" w:rsidR="007E0ABC" w:rsidRPr="000629A4" w:rsidRDefault="007E0ABC" w:rsidP="00D75B62">
            <w:pPr>
              <w:rPr>
                <w:sz w:val="16"/>
                <w:szCs w:val="20"/>
              </w:rPr>
            </w:pPr>
            <w:r w:rsidRPr="000629A4">
              <w:rPr>
                <w:sz w:val="16"/>
                <w:szCs w:val="20"/>
              </w:rPr>
              <w:t> </w:t>
            </w:r>
          </w:p>
        </w:tc>
        <w:tc>
          <w:tcPr>
            <w:tcW w:w="1077" w:type="dxa"/>
            <w:hideMark/>
          </w:tcPr>
          <w:p w14:paraId="300F2BDC" w14:textId="77777777" w:rsidR="007E0ABC" w:rsidRPr="000629A4" w:rsidRDefault="007E0ABC" w:rsidP="00D75B62">
            <w:pPr>
              <w:rPr>
                <w:sz w:val="16"/>
                <w:szCs w:val="20"/>
              </w:rPr>
            </w:pPr>
            <w:r w:rsidRPr="000629A4">
              <w:rPr>
                <w:sz w:val="16"/>
                <w:szCs w:val="20"/>
              </w:rPr>
              <w:t>0.654</w:t>
            </w:r>
          </w:p>
        </w:tc>
      </w:tr>
      <w:tr w:rsidR="007E0ABC" w:rsidRPr="000629A4" w14:paraId="37254275" w14:textId="77777777" w:rsidTr="000629A4">
        <w:tc>
          <w:tcPr>
            <w:tcW w:w="523" w:type="dxa"/>
            <w:hideMark/>
          </w:tcPr>
          <w:p w14:paraId="48691DF2" w14:textId="77777777" w:rsidR="007E0ABC" w:rsidRPr="000629A4" w:rsidRDefault="007E0ABC" w:rsidP="00D75B62">
            <w:pPr>
              <w:rPr>
                <w:sz w:val="18"/>
                <w:szCs w:val="21"/>
              </w:rPr>
            </w:pPr>
            <w:r w:rsidRPr="000629A4">
              <w:rPr>
                <w:rFonts w:cs="Arial"/>
                <w:sz w:val="18"/>
                <w:szCs w:val="21"/>
              </w:rPr>
              <w:t>15</w:t>
            </w:r>
          </w:p>
        </w:tc>
        <w:tc>
          <w:tcPr>
            <w:tcW w:w="4859" w:type="dxa"/>
            <w:hideMark/>
          </w:tcPr>
          <w:p w14:paraId="03AEB6F1" w14:textId="77777777" w:rsidR="007E0ABC" w:rsidRPr="000629A4" w:rsidRDefault="007E0ABC" w:rsidP="00D75B62">
            <w:pPr>
              <w:rPr>
                <w:sz w:val="16"/>
                <w:szCs w:val="20"/>
              </w:rPr>
            </w:pPr>
            <w:r w:rsidRPr="000629A4">
              <w:rPr>
                <w:rFonts w:cs="Arial"/>
                <w:sz w:val="16"/>
                <w:szCs w:val="20"/>
                <w:lang w:val="en-US"/>
              </w:rPr>
              <w:t>I avoid open arguments.</w:t>
            </w:r>
          </w:p>
        </w:tc>
        <w:tc>
          <w:tcPr>
            <w:tcW w:w="637" w:type="dxa"/>
            <w:hideMark/>
          </w:tcPr>
          <w:p w14:paraId="60ACEFD9" w14:textId="77777777" w:rsidR="007E0ABC" w:rsidRPr="000629A4" w:rsidRDefault="007E0ABC" w:rsidP="00D75B62">
            <w:pPr>
              <w:rPr>
                <w:sz w:val="16"/>
                <w:szCs w:val="20"/>
              </w:rPr>
            </w:pPr>
            <w:r w:rsidRPr="000629A4">
              <w:rPr>
                <w:sz w:val="16"/>
                <w:szCs w:val="20"/>
              </w:rPr>
              <w:t> </w:t>
            </w:r>
          </w:p>
        </w:tc>
        <w:tc>
          <w:tcPr>
            <w:tcW w:w="638" w:type="dxa"/>
            <w:hideMark/>
          </w:tcPr>
          <w:p w14:paraId="657A4FCA" w14:textId="77777777" w:rsidR="007E0ABC" w:rsidRPr="000629A4" w:rsidRDefault="007E0ABC" w:rsidP="00D75B62">
            <w:pPr>
              <w:rPr>
                <w:sz w:val="16"/>
                <w:szCs w:val="20"/>
              </w:rPr>
            </w:pPr>
            <w:r w:rsidRPr="000629A4">
              <w:rPr>
                <w:sz w:val="16"/>
                <w:szCs w:val="20"/>
              </w:rPr>
              <w:t> </w:t>
            </w:r>
          </w:p>
        </w:tc>
        <w:tc>
          <w:tcPr>
            <w:tcW w:w="638" w:type="dxa"/>
            <w:hideMark/>
          </w:tcPr>
          <w:p w14:paraId="2053F12B" w14:textId="77777777" w:rsidR="007E0ABC" w:rsidRPr="000629A4" w:rsidRDefault="007E0ABC" w:rsidP="00D75B62">
            <w:pPr>
              <w:rPr>
                <w:sz w:val="16"/>
                <w:szCs w:val="20"/>
              </w:rPr>
            </w:pPr>
            <w:r w:rsidRPr="000629A4">
              <w:rPr>
                <w:sz w:val="16"/>
                <w:szCs w:val="20"/>
              </w:rPr>
              <w:t> </w:t>
            </w:r>
          </w:p>
        </w:tc>
        <w:tc>
          <w:tcPr>
            <w:tcW w:w="638" w:type="dxa"/>
            <w:hideMark/>
          </w:tcPr>
          <w:p w14:paraId="4F57D0F7" w14:textId="77777777" w:rsidR="007E0ABC" w:rsidRPr="000629A4" w:rsidRDefault="007E0ABC" w:rsidP="00D75B62">
            <w:pPr>
              <w:rPr>
                <w:sz w:val="16"/>
                <w:szCs w:val="20"/>
              </w:rPr>
            </w:pPr>
            <w:r w:rsidRPr="000629A4">
              <w:rPr>
                <w:sz w:val="16"/>
                <w:szCs w:val="20"/>
              </w:rPr>
              <w:t> </w:t>
            </w:r>
          </w:p>
        </w:tc>
        <w:tc>
          <w:tcPr>
            <w:tcW w:w="1077" w:type="dxa"/>
            <w:hideMark/>
          </w:tcPr>
          <w:p w14:paraId="76F88578" w14:textId="77777777" w:rsidR="007E0ABC" w:rsidRPr="000629A4" w:rsidRDefault="007E0ABC" w:rsidP="00D75B62">
            <w:pPr>
              <w:rPr>
                <w:sz w:val="16"/>
                <w:szCs w:val="20"/>
              </w:rPr>
            </w:pPr>
            <w:r w:rsidRPr="000629A4">
              <w:rPr>
                <w:sz w:val="16"/>
                <w:szCs w:val="20"/>
              </w:rPr>
              <w:t>0.917</w:t>
            </w:r>
          </w:p>
        </w:tc>
      </w:tr>
      <w:tr w:rsidR="007E0ABC" w:rsidRPr="000629A4" w14:paraId="19B82BCC" w14:textId="77777777" w:rsidTr="000629A4">
        <w:tc>
          <w:tcPr>
            <w:tcW w:w="523" w:type="dxa"/>
            <w:hideMark/>
          </w:tcPr>
          <w:p w14:paraId="2B7351B4" w14:textId="77777777" w:rsidR="007E0ABC" w:rsidRPr="000629A4" w:rsidRDefault="007E0ABC" w:rsidP="00D75B62">
            <w:pPr>
              <w:rPr>
                <w:sz w:val="18"/>
                <w:szCs w:val="21"/>
              </w:rPr>
            </w:pPr>
            <w:r w:rsidRPr="000629A4">
              <w:rPr>
                <w:rFonts w:cs="Arial"/>
                <w:sz w:val="18"/>
                <w:szCs w:val="21"/>
              </w:rPr>
              <w:t>16</w:t>
            </w:r>
          </w:p>
        </w:tc>
        <w:tc>
          <w:tcPr>
            <w:tcW w:w="4859" w:type="dxa"/>
            <w:hideMark/>
          </w:tcPr>
          <w:p w14:paraId="02124002" w14:textId="77777777" w:rsidR="007E0ABC" w:rsidRPr="000629A4" w:rsidRDefault="007E0ABC" w:rsidP="00D75B62">
            <w:pPr>
              <w:rPr>
                <w:sz w:val="16"/>
                <w:szCs w:val="20"/>
              </w:rPr>
            </w:pPr>
            <w:r w:rsidRPr="000629A4">
              <w:rPr>
                <w:rFonts w:cs="Arial"/>
                <w:sz w:val="16"/>
                <w:szCs w:val="20"/>
                <w:lang w:val="en-US"/>
              </w:rPr>
              <w:t>It is easy for me openly to disagree with others if I have a different opinion.</w:t>
            </w:r>
          </w:p>
        </w:tc>
        <w:tc>
          <w:tcPr>
            <w:tcW w:w="637" w:type="dxa"/>
            <w:hideMark/>
          </w:tcPr>
          <w:p w14:paraId="112E497F" w14:textId="77777777" w:rsidR="007E0ABC" w:rsidRPr="000629A4" w:rsidRDefault="007E0ABC" w:rsidP="00D75B62">
            <w:pPr>
              <w:rPr>
                <w:sz w:val="16"/>
                <w:szCs w:val="20"/>
              </w:rPr>
            </w:pPr>
            <w:r w:rsidRPr="000629A4">
              <w:rPr>
                <w:sz w:val="16"/>
                <w:szCs w:val="20"/>
              </w:rPr>
              <w:t> </w:t>
            </w:r>
          </w:p>
        </w:tc>
        <w:tc>
          <w:tcPr>
            <w:tcW w:w="638" w:type="dxa"/>
            <w:hideMark/>
          </w:tcPr>
          <w:p w14:paraId="37C64C87" w14:textId="77777777" w:rsidR="007E0ABC" w:rsidRPr="000629A4" w:rsidRDefault="007E0ABC" w:rsidP="00D75B62">
            <w:pPr>
              <w:rPr>
                <w:sz w:val="16"/>
                <w:szCs w:val="20"/>
              </w:rPr>
            </w:pPr>
            <w:r w:rsidRPr="000629A4">
              <w:rPr>
                <w:sz w:val="16"/>
                <w:szCs w:val="20"/>
              </w:rPr>
              <w:t>0.488</w:t>
            </w:r>
          </w:p>
        </w:tc>
        <w:tc>
          <w:tcPr>
            <w:tcW w:w="638" w:type="dxa"/>
            <w:hideMark/>
          </w:tcPr>
          <w:p w14:paraId="4D72BB26" w14:textId="77777777" w:rsidR="007E0ABC" w:rsidRPr="000629A4" w:rsidRDefault="007E0ABC" w:rsidP="00D75B62">
            <w:pPr>
              <w:rPr>
                <w:sz w:val="16"/>
                <w:szCs w:val="20"/>
              </w:rPr>
            </w:pPr>
            <w:r w:rsidRPr="000629A4">
              <w:rPr>
                <w:sz w:val="16"/>
                <w:szCs w:val="20"/>
              </w:rPr>
              <w:t> </w:t>
            </w:r>
          </w:p>
        </w:tc>
        <w:tc>
          <w:tcPr>
            <w:tcW w:w="638" w:type="dxa"/>
            <w:hideMark/>
          </w:tcPr>
          <w:p w14:paraId="45826E0E" w14:textId="77777777" w:rsidR="007E0ABC" w:rsidRPr="000629A4" w:rsidRDefault="007E0ABC" w:rsidP="00D75B62">
            <w:pPr>
              <w:rPr>
                <w:sz w:val="16"/>
                <w:szCs w:val="20"/>
              </w:rPr>
            </w:pPr>
            <w:r w:rsidRPr="000629A4">
              <w:rPr>
                <w:sz w:val="16"/>
                <w:szCs w:val="20"/>
              </w:rPr>
              <w:t> </w:t>
            </w:r>
          </w:p>
        </w:tc>
        <w:tc>
          <w:tcPr>
            <w:tcW w:w="1077" w:type="dxa"/>
            <w:hideMark/>
          </w:tcPr>
          <w:p w14:paraId="37C4F357" w14:textId="77777777" w:rsidR="007E0ABC" w:rsidRPr="000629A4" w:rsidRDefault="007E0ABC" w:rsidP="00D75B62">
            <w:pPr>
              <w:rPr>
                <w:sz w:val="16"/>
                <w:szCs w:val="20"/>
              </w:rPr>
            </w:pPr>
            <w:r w:rsidRPr="000629A4">
              <w:rPr>
                <w:sz w:val="16"/>
                <w:szCs w:val="20"/>
              </w:rPr>
              <w:t>0.675</w:t>
            </w:r>
          </w:p>
        </w:tc>
      </w:tr>
      <w:tr w:rsidR="007E0ABC" w:rsidRPr="000629A4" w14:paraId="44D7CE7B" w14:textId="77777777" w:rsidTr="000629A4">
        <w:tc>
          <w:tcPr>
            <w:tcW w:w="523" w:type="dxa"/>
            <w:hideMark/>
          </w:tcPr>
          <w:p w14:paraId="4974E6C2" w14:textId="77777777" w:rsidR="007E0ABC" w:rsidRPr="000629A4" w:rsidRDefault="007E0ABC" w:rsidP="00D75B62">
            <w:pPr>
              <w:rPr>
                <w:sz w:val="18"/>
                <w:szCs w:val="21"/>
              </w:rPr>
            </w:pPr>
            <w:r w:rsidRPr="000629A4">
              <w:rPr>
                <w:rFonts w:cs="Arial"/>
                <w:sz w:val="18"/>
                <w:szCs w:val="21"/>
              </w:rPr>
              <w:t>17</w:t>
            </w:r>
          </w:p>
        </w:tc>
        <w:tc>
          <w:tcPr>
            <w:tcW w:w="4859" w:type="dxa"/>
            <w:hideMark/>
          </w:tcPr>
          <w:p w14:paraId="24C57C6A" w14:textId="77777777" w:rsidR="007E0ABC" w:rsidRPr="000629A4" w:rsidRDefault="007E0ABC" w:rsidP="00D75B62">
            <w:pPr>
              <w:rPr>
                <w:sz w:val="16"/>
                <w:szCs w:val="20"/>
              </w:rPr>
            </w:pPr>
            <w:r w:rsidRPr="000629A4">
              <w:rPr>
                <w:rFonts w:cs="Arial"/>
                <w:sz w:val="16"/>
                <w:szCs w:val="20"/>
                <w:lang w:val="en-US"/>
              </w:rPr>
              <w:t>I feel ashamed of my illness.</w:t>
            </w:r>
          </w:p>
        </w:tc>
        <w:tc>
          <w:tcPr>
            <w:tcW w:w="637" w:type="dxa"/>
            <w:hideMark/>
          </w:tcPr>
          <w:p w14:paraId="4742C37A" w14:textId="77777777" w:rsidR="007E0ABC" w:rsidRPr="000629A4" w:rsidRDefault="007E0ABC" w:rsidP="00D75B62">
            <w:pPr>
              <w:rPr>
                <w:sz w:val="16"/>
                <w:szCs w:val="20"/>
              </w:rPr>
            </w:pPr>
            <w:r w:rsidRPr="000629A4">
              <w:rPr>
                <w:sz w:val="16"/>
                <w:szCs w:val="20"/>
              </w:rPr>
              <w:t> </w:t>
            </w:r>
          </w:p>
        </w:tc>
        <w:tc>
          <w:tcPr>
            <w:tcW w:w="638" w:type="dxa"/>
            <w:hideMark/>
          </w:tcPr>
          <w:p w14:paraId="6751F868" w14:textId="77777777" w:rsidR="007E0ABC" w:rsidRPr="000629A4" w:rsidRDefault="007E0ABC" w:rsidP="00D75B62">
            <w:pPr>
              <w:rPr>
                <w:sz w:val="16"/>
                <w:szCs w:val="20"/>
              </w:rPr>
            </w:pPr>
            <w:r w:rsidRPr="000629A4">
              <w:rPr>
                <w:sz w:val="16"/>
                <w:szCs w:val="20"/>
              </w:rPr>
              <w:t> </w:t>
            </w:r>
          </w:p>
        </w:tc>
        <w:tc>
          <w:tcPr>
            <w:tcW w:w="638" w:type="dxa"/>
            <w:hideMark/>
          </w:tcPr>
          <w:p w14:paraId="4EB3ACDC" w14:textId="77777777" w:rsidR="007E0ABC" w:rsidRPr="000629A4" w:rsidRDefault="007E0ABC" w:rsidP="00D75B62">
            <w:pPr>
              <w:rPr>
                <w:sz w:val="16"/>
                <w:szCs w:val="20"/>
              </w:rPr>
            </w:pPr>
            <w:r w:rsidRPr="000629A4">
              <w:rPr>
                <w:sz w:val="16"/>
                <w:szCs w:val="20"/>
              </w:rPr>
              <w:t>0.478</w:t>
            </w:r>
          </w:p>
        </w:tc>
        <w:tc>
          <w:tcPr>
            <w:tcW w:w="638" w:type="dxa"/>
            <w:hideMark/>
          </w:tcPr>
          <w:p w14:paraId="5DFB5028" w14:textId="77777777" w:rsidR="007E0ABC" w:rsidRPr="000629A4" w:rsidRDefault="007E0ABC" w:rsidP="00D75B62">
            <w:pPr>
              <w:rPr>
                <w:sz w:val="16"/>
                <w:szCs w:val="20"/>
              </w:rPr>
            </w:pPr>
            <w:r w:rsidRPr="000629A4">
              <w:rPr>
                <w:sz w:val="16"/>
                <w:szCs w:val="20"/>
              </w:rPr>
              <w:t> </w:t>
            </w:r>
          </w:p>
        </w:tc>
        <w:tc>
          <w:tcPr>
            <w:tcW w:w="1077" w:type="dxa"/>
            <w:hideMark/>
          </w:tcPr>
          <w:p w14:paraId="0D3EFF60" w14:textId="77777777" w:rsidR="007E0ABC" w:rsidRPr="000629A4" w:rsidRDefault="007E0ABC" w:rsidP="00D75B62">
            <w:pPr>
              <w:rPr>
                <w:sz w:val="16"/>
                <w:szCs w:val="20"/>
              </w:rPr>
            </w:pPr>
            <w:r w:rsidRPr="000629A4">
              <w:rPr>
                <w:sz w:val="16"/>
                <w:szCs w:val="20"/>
              </w:rPr>
              <w:t>0.617</w:t>
            </w:r>
          </w:p>
        </w:tc>
      </w:tr>
      <w:tr w:rsidR="007E0ABC" w:rsidRPr="000629A4" w14:paraId="6AB96903" w14:textId="77777777" w:rsidTr="000629A4">
        <w:tc>
          <w:tcPr>
            <w:tcW w:w="523" w:type="dxa"/>
            <w:hideMark/>
          </w:tcPr>
          <w:p w14:paraId="26191EE6" w14:textId="77777777" w:rsidR="007E0ABC" w:rsidRPr="000629A4" w:rsidRDefault="007E0ABC" w:rsidP="00D75B62">
            <w:pPr>
              <w:rPr>
                <w:sz w:val="18"/>
                <w:szCs w:val="21"/>
              </w:rPr>
            </w:pPr>
            <w:r w:rsidRPr="000629A4">
              <w:rPr>
                <w:rFonts w:cs="Arial"/>
                <w:sz w:val="18"/>
                <w:szCs w:val="21"/>
              </w:rPr>
              <w:t>18</w:t>
            </w:r>
          </w:p>
        </w:tc>
        <w:tc>
          <w:tcPr>
            <w:tcW w:w="4859" w:type="dxa"/>
            <w:hideMark/>
          </w:tcPr>
          <w:p w14:paraId="2CC32BB5" w14:textId="77777777" w:rsidR="007E0ABC" w:rsidRPr="000629A4" w:rsidRDefault="007E0ABC" w:rsidP="00D75B62">
            <w:pPr>
              <w:rPr>
                <w:sz w:val="16"/>
                <w:szCs w:val="20"/>
              </w:rPr>
            </w:pPr>
            <w:r w:rsidRPr="000629A4">
              <w:rPr>
                <w:rFonts w:cs="Arial"/>
                <w:sz w:val="16"/>
                <w:szCs w:val="20"/>
                <w:lang w:val="en-US"/>
              </w:rPr>
              <w:t>I am capable of achieving things I would like to achieve.</w:t>
            </w:r>
          </w:p>
        </w:tc>
        <w:tc>
          <w:tcPr>
            <w:tcW w:w="637" w:type="dxa"/>
            <w:hideMark/>
          </w:tcPr>
          <w:p w14:paraId="56708389" w14:textId="77777777" w:rsidR="007E0ABC" w:rsidRPr="000629A4" w:rsidRDefault="007E0ABC" w:rsidP="00D75B62">
            <w:pPr>
              <w:rPr>
                <w:sz w:val="16"/>
                <w:szCs w:val="20"/>
              </w:rPr>
            </w:pPr>
            <w:r w:rsidRPr="000629A4">
              <w:rPr>
                <w:sz w:val="16"/>
                <w:szCs w:val="20"/>
              </w:rPr>
              <w:t>0.702</w:t>
            </w:r>
          </w:p>
        </w:tc>
        <w:tc>
          <w:tcPr>
            <w:tcW w:w="638" w:type="dxa"/>
            <w:hideMark/>
          </w:tcPr>
          <w:p w14:paraId="3573153B" w14:textId="77777777" w:rsidR="007E0ABC" w:rsidRPr="000629A4" w:rsidRDefault="007E0ABC" w:rsidP="00D75B62">
            <w:pPr>
              <w:rPr>
                <w:sz w:val="16"/>
                <w:szCs w:val="20"/>
              </w:rPr>
            </w:pPr>
            <w:r w:rsidRPr="000629A4">
              <w:rPr>
                <w:sz w:val="16"/>
                <w:szCs w:val="20"/>
              </w:rPr>
              <w:t> </w:t>
            </w:r>
          </w:p>
        </w:tc>
        <w:tc>
          <w:tcPr>
            <w:tcW w:w="638" w:type="dxa"/>
            <w:hideMark/>
          </w:tcPr>
          <w:p w14:paraId="1B0258F2" w14:textId="77777777" w:rsidR="007E0ABC" w:rsidRPr="000629A4" w:rsidRDefault="007E0ABC" w:rsidP="00D75B62">
            <w:pPr>
              <w:rPr>
                <w:sz w:val="16"/>
                <w:szCs w:val="20"/>
              </w:rPr>
            </w:pPr>
            <w:r w:rsidRPr="000629A4">
              <w:rPr>
                <w:sz w:val="16"/>
                <w:szCs w:val="20"/>
              </w:rPr>
              <w:t> </w:t>
            </w:r>
          </w:p>
        </w:tc>
        <w:tc>
          <w:tcPr>
            <w:tcW w:w="638" w:type="dxa"/>
            <w:hideMark/>
          </w:tcPr>
          <w:p w14:paraId="441AED97" w14:textId="77777777" w:rsidR="007E0ABC" w:rsidRPr="000629A4" w:rsidRDefault="007E0ABC" w:rsidP="00D75B62">
            <w:pPr>
              <w:rPr>
                <w:sz w:val="16"/>
                <w:szCs w:val="20"/>
              </w:rPr>
            </w:pPr>
            <w:r w:rsidRPr="000629A4">
              <w:rPr>
                <w:sz w:val="16"/>
                <w:szCs w:val="20"/>
              </w:rPr>
              <w:t> </w:t>
            </w:r>
          </w:p>
        </w:tc>
        <w:tc>
          <w:tcPr>
            <w:tcW w:w="1077" w:type="dxa"/>
            <w:hideMark/>
          </w:tcPr>
          <w:p w14:paraId="5819A41A" w14:textId="77777777" w:rsidR="007E0ABC" w:rsidRPr="000629A4" w:rsidRDefault="007E0ABC" w:rsidP="00D75B62">
            <w:pPr>
              <w:rPr>
                <w:sz w:val="16"/>
                <w:szCs w:val="20"/>
              </w:rPr>
            </w:pPr>
            <w:r w:rsidRPr="000629A4">
              <w:rPr>
                <w:sz w:val="16"/>
                <w:szCs w:val="20"/>
              </w:rPr>
              <w:t>0.507</w:t>
            </w:r>
          </w:p>
        </w:tc>
      </w:tr>
      <w:tr w:rsidR="007E0ABC" w:rsidRPr="000629A4" w14:paraId="1B2DB9E1" w14:textId="77777777" w:rsidTr="000629A4">
        <w:tc>
          <w:tcPr>
            <w:tcW w:w="523" w:type="dxa"/>
            <w:hideMark/>
          </w:tcPr>
          <w:p w14:paraId="65FE83AF" w14:textId="77777777" w:rsidR="007E0ABC" w:rsidRPr="000629A4" w:rsidRDefault="007E0ABC" w:rsidP="00D75B62">
            <w:pPr>
              <w:rPr>
                <w:sz w:val="18"/>
                <w:szCs w:val="21"/>
              </w:rPr>
            </w:pPr>
            <w:r w:rsidRPr="000629A4">
              <w:rPr>
                <w:rFonts w:cs="Arial"/>
                <w:sz w:val="18"/>
                <w:szCs w:val="21"/>
              </w:rPr>
              <w:t>19</w:t>
            </w:r>
          </w:p>
        </w:tc>
        <w:tc>
          <w:tcPr>
            <w:tcW w:w="4859" w:type="dxa"/>
            <w:hideMark/>
          </w:tcPr>
          <w:p w14:paraId="700ECA7B" w14:textId="77777777" w:rsidR="007E0ABC" w:rsidRPr="000629A4" w:rsidRDefault="007E0ABC" w:rsidP="00D75B62">
            <w:pPr>
              <w:rPr>
                <w:sz w:val="16"/>
                <w:szCs w:val="20"/>
              </w:rPr>
            </w:pPr>
            <w:r w:rsidRPr="000629A4">
              <w:rPr>
                <w:rFonts w:cs="Arial"/>
                <w:sz w:val="16"/>
                <w:szCs w:val="20"/>
              </w:rPr>
              <w:t>I accept things I cannot change.</w:t>
            </w:r>
          </w:p>
        </w:tc>
        <w:tc>
          <w:tcPr>
            <w:tcW w:w="637" w:type="dxa"/>
            <w:hideMark/>
          </w:tcPr>
          <w:p w14:paraId="027ABED5" w14:textId="77777777" w:rsidR="007E0ABC" w:rsidRPr="000629A4" w:rsidRDefault="007E0ABC" w:rsidP="00D75B62">
            <w:pPr>
              <w:rPr>
                <w:sz w:val="16"/>
                <w:szCs w:val="20"/>
              </w:rPr>
            </w:pPr>
            <w:r w:rsidRPr="000629A4">
              <w:rPr>
                <w:sz w:val="16"/>
                <w:szCs w:val="20"/>
              </w:rPr>
              <w:t>0.413</w:t>
            </w:r>
          </w:p>
        </w:tc>
        <w:tc>
          <w:tcPr>
            <w:tcW w:w="638" w:type="dxa"/>
            <w:hideMark/>
          </w:tcPr>
          <w:p w14:paraId="39F7A574" w14:textId="77777777" w:rsidR="007E0ABC" w:rsidRPr="000629A4" w:rsidRDefault="007E0ABC" w:rsidP="00D75B62">
            <w:pPr>
              <w:rPr>
                <w:sz w:val="16"/>
                <w:szCs w:val="20"/>
              </w:rPr>
            </w:pPr>
            <w:r w:rsidRPr="000629A4">
              <w:rPr>
                <w:sz w:val="16"/>
                <w:szCs w:val="20"/>
              </w:rPr>
              <w:t> </w:t>
            </w:r>
          </w:p>
        </w:tc>
        <w:tc>
          <w:tcPr>
            <w:tcW w:w="638" w:type="dxa"/>
            <w:hideMark/>
          </w:tcPr>
          <w:p w14:paraId="6C933632" w14:textId="77777777" w:rsidR="007E0ABC" w:rsidRPr="000629A4" w:rsidRDefault="007E0ABC" w:rsidP="00D75B62">
            <w:pPr>
              <w:rPr>
                <w:sz w:val="16"/>
                <w:szCs w:val="20"/>
              </w:rPr>
            </w:pPr>
            <w:r w:rsidRPr="000629A4">
              <w:rPr>
                <w:sz w:val="16"/>
                <w:szCs w:val="20"/>
              </w:rPr>
              <w:t> </w:t>
            </w:r>
          </w:p>
        </w:tc>
        <w:tc>
          <w:tcPr>
            <w:tcW w:w="638" w:type="dxa"/>
            <w:hideMark/>
          </w:tcPr>
          <w:p w14:paraId="669311F3" w14:textId="77777777" w:rsidR="007E0ABC" w:rsidRPr="000629A4" w:rsidRDefault="007E0ABC" w:rsidP="00D75B62">
            <w:pPr>
              <w:rPr>
                <w:sz w:val="16"/>
                <w:szCs w:val="20"/>
              </w:rPr>
            </w:pPr>
            <w:r w:rsidRPr="000629A4">
              <w:rPr>
                <w:sz w:val="16"/>
                <w:szCs w:val="20"/>
              </w:rPr>
              <w:t> </w:t>
            </w:r>
          </w:p>
        </w:tc>
        <w:tc>
          <w:tcPr>
            <w:tcW w:w="1077" w:type="dxa"/>
            <w:hideMark/>
          </w:tcPr>
          <w:p w14:paraId="332485CC" w14:textId="77777777" w:rsidR="007E0ABC" w:rsidRPr="000629A4" w:rsidRDefault="007E0ABC" w:rsidP="00D75B62">
            <w:pPr>
              <w:rPr>
                <w:sz w:val="16"/>
                <w:szCs w:val="20"/>
              </w:rPr>
            </w:pPr>
            <w:r w:rsidRPr="000629A4">
              <w:rPr>
                <w:sz w:val="16"/>
                <w:szCs w:val="20"/>
              </w:rPr>
              <w:t>0.759</w:t>
            </w:r>
          </w:p>
        </w:tc>
      </w:tr>
      <w:tr w:rsidR="007E0ABC" w:rsidRPr="000629A4" w14:paraId="4D11FA78" w14:textId="77777777" w:rsidTr="000629A4">
        <w:tc>
          <w:tcPr>
            <w:tcW w:w="523" w:type="dxa"/>
            <w:hideMark/>
          </w:tcPr>
          <w:p w14:paraId="4440AD40" w14:textId="77777777" w:rsidR="007E0ABC" w:rsidRPr="000629A4" w:rsidRDefault="007E0ABC" w:rsidP="00D75B62">
            <w:pPr>
              <w:rPr>
                <w:sz w:val="18"/>
                <w:szCs w:val="21"/>
              </w:rPr>
            </w:pPr>
            <w:r w:rsidRPr="000629A4">
              <w:rPr>
                <w:rFonts w:cs="Arial"/>
                <w:sz w:val="18"/>
                <w:szCs w:val="21"/>
              </w:rPr>
              <w:t>20</w:t>
            </w:r>
          </w:p>
        </w:tc>
        <w:tc>
          <w:tcPr>
            <w:tcW w:w="4859" w:type="dxa"/>
            <w:hideMark/>
          </w:tcPr>
          <w:p w14:paraId="00435927" w14:textId="77777777" w:rsidR="007E0ABC" w:rsidRPr="000629A4" w:rsidRDefault="007E0ABC" w:rsidP="00D75B62">
            <w:pPr>
              <w:rPr>
                <w:sz w:val="16"/>
                <w:szCs w:val="20"/>
              </w:rPr>
            </w:pPr>
            <w:r w:rsidRPr="000629A4">
              <w:rPr>
                <w:rFonts w:cs="Arial"/>
                <w:sz w:val="16"/>
                <w:szCs w:val="20"/>
              </w:rPr>
              <w:t>I look after my wellbeing in daily life.</w:t>
            </w:r>
          </w:p>
        </w:tc>
        <w:tc>
          <w:tcPr>
            <w:tcW w:w="637" w:type="dxa"/>
            <w:hideMark/>
          </w:tcPr>
          <w:p w14:paraId="32BFEC09" w14:textId="77777777" w:rsidR="007E0ABC" w:rsidRPr="000629A4" w:rsidRDefault="007E0ABC" w:rsidP="00D75B62">
            <w:pPr>
              <w:rPr>
                <w:sz w:val="16"/>
                <w:szCs w:val="20"/>
              </w:rPr>
            </w:pPr>
            <w:r w:rsidRPr="000629A4">
              <w:rPr>
                <w:sz w:val="16"/>
                <w:szCs w:val="20"/>
              </w:rPr>
              <w:t>0.413</w:t>
            </w:r>
          </w:p>
        </w:tc>
        <w:tc>
          <w:tcPr>
            <w:tcW w:w="638" w:type="dxa"/>
            <w:hideMark/>
          </w:tcPr>
          <w:p w14:paraId="07CED7F6" w14:textId="77777777" w:rsidR="007E0ABC" w:rsidRPr="000629A4" w:rsidRDefault="007E0ABC" w:rsidP="00D75B62">
            <w:pPr>
              <w:rPr>
                <w:sz w:val="16"/>
                <w:szCs w:val="20"/>
              </w:rPr>
            </w:pPr>
            <w:r w:rsidRPr="000629A4">
              <w:rPr>
                <w:sz w:val="16"/>
                <w:szCs w:val="20"/>
              </w:rPr>
              <w:t> </w:t>
            </w:r>
          </w:p>
        </w:tc>
        <w:tc>
          <w:tcPr>
            <w:tcW w:w="638" w:type="dxa"/>
            <w:hideMark/>
          </w:tcPr>
          <w:p w14:paraId="253FAD32" w14:textId="77777777" w:rsidR="007E0ABC" w:rsidRPr="000629A4" w:rsidRDefault="007E0ABC" w:rsidP="00D75B62">
            <w:pPr>
              <w:rPr>
                <w:sz w:val="16"/>
                <w:szCs w:val="20"/>
              </w:rPr>
            </w:pPr>
            <w:r w:rsidRPr="000629A4">
              <w:rPr>
                <w:sz w:val="16"/>
                <w:szCs w:val="20"/>
              </w:rPr>
              <w:t> </w:t>
            </w:r>
          </w:p>
        </w:tc>
        <w:tc>
          <w:tcPr>
            <w:tcW w:w="638" w:type="dxa"/>
            <w:hideMark/>
          </w:tcPr>
          <w:p w14:paraId="16E40CD1" w14:textId="77777777" w:rsidR="007E0ABC" w:rsidRPr="000629A4" w:rsidRDefault="007E0ABC" w:rsidP="00D75B62">
            <w:pPr>
              <w:rPr>
                <w:sz w:val="16"/>
                <w:szCs w:val="20"/>
              </w:rPr>
            </w:pPr>
            <w:r w:rsidRPr="000629A4">
              <w:rPr>
                <w:sz w:val="16"/>
                <w:szCs w:val="20"/>
              </w:rPr>
              <w:t> </w:t>
            </w:r>
          </w:p>
        </w:tc>
        <w:tc>
          <w:tcPr>
            <w:tcW w:w="1077" w:type="dxa"/>
            <w:hideMark/>
          </w:tcPr>
          <w:p w14:paraId="45CC6380" w14:textId="77777777" w:rsidR="007E0ABC" w:rsidRPr="000629A4" w:rsidRDefault="007E0ABC" w:rsidP="00D75B62">
            <w:pPr>
              <w:rPr>
                <w:sz w:val="16"/>
                <w:szCs w:val="20"/>
              </w:rPr>
            </w:pPr>
            <w:r w:rsidRPr="000629A4">
              <w:rPr>
                <w:sz w:val="16"/>
                <w:szCs w:val="20"/>
              </w:rPr>
              <w:t>0.601</w:t>
            </w:r>
          </w:p>
        </w:tc>
      </w:tr>
      <w:tr w:rsidR="007E0ABC" w:rsidRPr="000629A4" w14:paraId="34766948" w14:textId="77777777" w:rsidTr="000629A4">
        <w:tc>
          <w:tcPr>
            <w:tcW w:w="523" w:type="dxa"/>
            <w:hideMark/>
          </w:tcPr>
          <w:p w14:paraId="45C2A6AF" w14:textId="77777777" w:rsidR="007E0ABC" w:rsidRPr="000629A4" w:rsidRDefault="007E0ABC" w:rsidP="00D75B62">
            <w:pPr>
              <w:rPr>
                <w:sz w:val="18"/>
                <w:szCs w:val="21"/>
              </w:rPr>
            </w:pPr>
            <w:r w:rsidRPr="000629A4">
              <w:rPr>
                <w:rFonts w:cs="Arial"/>
                <w:sz w:val="18"/>
                <w:szCs w:val="21"/>
              </w:rPr>
              <w:t>21</w:t>
            </w:r>
          </w:p>
        </w:tc>
        <w:tc>
          <w:tcPr>
            <w:tcW w:w="4859" w:type="dxa"/>
            <w:hideMark/>
          </w:tcPr>
          <w:p w14:paraId="5781604A" w14:textId="77777777" w:rsidR="007E0ABC" w:rsidRPr="000629A4" w:rsidRDefault="007E0ABC" w:rsidP="00D75B62">
            <w:pPr>
              <w:rPr>
                <w:sz w:val="16"/>
                <w:szCs w:val="20"/>
              </w:rPr>
            </w:pPr>
            <w:r w:rsidRPr="000629A4">
              <w:rPr>
                <w:rFonts w:cs="Arial"/>
                <w:sz w:val="16"/>
                <w:szCs w:val="20"/>
              </w:rPr>
              <w:t>I accept that I make mistakes once in a while/”occasionally”.</w:t>
            </w:r>
          </w:p>
        </w:tc>
        <w:tc>
          <w:tcPr>
            <w:tcW w:w="637" w:type="dxa"/>
            <w:hideMark/>
          </w:tcPr>
          <w:p w14:paraId="1957D31F" w14:textId="77777777" w:rsidR="007E0ABC" w:rsidRPr="000629A4" w:rsidRDefault="007E0ABC" w:rsidP="00D75B62">
            <w:pPr>
              <w:rPr>
                <w:sz w:val="16"/>
                <w:szCs w:val="20"/>
              </w:rPr>
            </w:pPr>
            <w:r w:rsidRPr="000629A4">
              <w:rPr>
                <w:sz w:val="16"/>
                <w:szCs w:val="20"/>
              </w:rPr>
              <w:t> </w:t>
            </w:r>
          </w:p>
        </w:tc>
        <w:tc>
          <w:tcPr>
            <w:tcW w:w="638" w:type="dxa"/>
            <w:hideMark/>
          </w:tcPr>
          <w:p w14:paraId="594B16BD" w14:textId="77777777" w:rsidR="007E0ABC" w:rsidRPr="000629A4" w:rsidRDefault="007E0ABC" w:rsidP="00D75B62">
            <w:pPr>
              <w:rPr>
                <w:sz w:val="16"/>
                <w:szCs w:val="20"/>
              </w:rPr>
            </w:pPr>
            <w:r w:rsidRPr="000629A4">
              <w:rPr>
                <w:sz w:val="16"/>
                <w:szCs w:val="20"/>
              </w:rPr>
              <w:t> </w:t>
            </w:r>
          </w:p>
        </w:tc>
        <w:tc>
          <w:tcPr>
            <w:tcW w:w="638" w:type="dxa"/>
            <w:hideMark/>
          </w:tcPr>
          <w:p w14:paraId="30B43FA1" w14:textId="77777777" w:rsidR="007E0ABC" w:rsidRPr="000629A4" w:rsidRDefault="007E0ABC" w:rsidP="00D75B62">
            <w:pPr>
              <w:rPr>
                <w:sz w:val="16"/>
                <w:szCs w:val="20"/>
              </w:rPr>
            </w:pPr>
            <w:r w:rsidRPr="000629A4">
              <w:rPr>
                <w:sz w:val="16"/>
                <w:szCs w:val="20"/>
              </w:rPr>
              <w:t> </w:t>
            </w:r>
          </w:p>
        </w:tc>
        <w:tc>
          <w:tcPr>
            <w:tcW w:w="638" w:type="dxa"/>
            <w:hideMark/>
          </w:tcPr>
          <w:p w14:paraId="0DF9DDB5" w14:textId="77777777" w:rsidR="007E0ABC" w:rsidRPr="000629A4" w:rsidRDefault="007E0ABC" w:rsidP="00D75B62">
            <w:pPr>
              <w:rPr>
                <w:sz w:val="16"/>
                <w:szCs w:val="20"/>
              </w:rPr>
            </w:pPr>
            <w:r w:rsidRPr="000629A4">
              <w:rPr>
                <w:sz w:val="16"/>
                <w:szCs w:val="20"/>
              </w:rPr>
              <w:t> </w:t>
            </w:r>
          </w:p>
        </w:tc>
        <w:tc>
          <w:tcPr>
            <w:tcW w:w="1077" w:type="dxa"/>
            <w:hideMark/>
          </w:tcPr>
          <w:p w14:paraId="45BB108A" w14:textId="77777777" w:rsidR="007E0ABC" w:rsidRPr="000629A4" w:rsidRDefault="007E0ABC" w:rsidP="00D75B62">
            <w:pPr>
              <w:rPr>
                <w:sz w:val="16"/>
                <w:szCs w:val="20"/>
              </w:rPr>
            </w:pPr>
            <w:r w:rsidRPr="000629A4">
              <w:rPr>
                <w:sz w:val="16"/>
                <w:szCs w:val="20"/>
              </w:rPr>
              <w:t>0.869</w:t>
            </w:r>
          </w:p>
        </w:tc>
      </w:tr>
      <w:tr w:rsidR="007E0ABC" w:rsidRPr="000629A4" w14:paraId="05AF2BBB" w14:textId="77777777" w:rsidTr="000629A4">
        <w:tc>
          <w:tcPr>
            <w:tcW w:w="523" w:type="dxa"/>
            <w:hideMark/>
          </w:tcPr>
          <w:p w14:paraId="3DB1BF41" w14:textId="77777777" w:rsidR="007E0ABC" w:rsidRPr="000629A4" w:rsidRDefault="007E0ABC" w:rsidP="00D75B62">
            <w:pPr>
              <w:rPr>
                <w:sz w:val="18"/>
                <w:szCs w:val="21"/>
              </w:rPr>
            </w:pPr>
            <w:r w:rsidRPr="000629A4">
              <w:rPr>
                <w:rFonts w:cs="Arial"/>
                <w:sz w:val="18"/>
                <w:szCs w:val="21"/>
              </w:rPr>
              <w:t>22</w:t>
            </w:r>
          </w:p>
        </w:tc>
        <w:tc>
          <w:tcPr>
            <w:tcW w:w="4859" w:type="dxa"/>
            <w:hideMark/>
          </w:tcPr>
          <w:p w14:paraId="6703011E" w14:textId="77777777" w:rsidR="007E0ABC" w:rsidRPr="000629A4" w:rsidRDefault="007E0ABC" w:rsidP="00D75B62">
            <w:pPr>
              <w:rPr>
                <w:sz w:val="16"/>
                <w:szCs w:val="20"/>
              </w:rPr>
            </w:pPr>
            <w:r w:rsidRPr="000629A4">
              <w:rPr>
                <w:rFonts w:cs="Arial"/>
                <w:sz w:val="16"/>
                <w:szCs w:val="20"/>
              </w:rPr>
              <w:t>I feel well prepared for future challenges.</w:t>
            </w:r>
          </w:p>
        </w:tc>
        <w:tc>
          <w:tcPr>
            <w:tcW w:w="637" w:type="dxa"/>
            <w:hideMark/>
          </w:tcPr>
          <w:p w14:paraId="794EDA4D" w14:textId="77777777" w:rsidR="007E0ABC" w:rsidRPr="000629A4" w:rsidRDefault="007E0ABC" w:rsidP="00D75B62">
            <w:pPr>
              <w:rPr>
                <w:sz w:val="16"/>
                <w:szCs w:val="20"/>
              </w:rPr>
            </w:pPr>
            <w:r w:rsidRPr="000629A4">
              <w:rPr>
                <w:sz w:val="16"/>
                <w:szCs w:val="20"/>
              </w:rPr>
              <w:t>0.611</w:t>
            </w:r>
          </w:p>
        </w:tc>
        <w:tc>
          <w:tcPr>
            <w:tcW w:w="638" w:type="dxa"/>
            <w:hideMark/>
          </w:tcPr>
          <w:p w14:paraId="6119A638" w14:textId="77777777" w:rsidR="007E0ABC" w:rsidRPr="000629A4" w:rsidRDefault="007E0ABC" w:rsidP="00D75B62">
            <w:pPr>
              <w:rPr>
                <w:sz w:val="16"/>
                <w:szCs w:val="20"/>
              </w:rPr>
            </w:pPr>
            <w:r w:rsidRPr="000629A4">
              <w:rPr>
                <w:sz w:val="16"/>
                <w:szCs w:val="20"/>
              </w:rPr>
              <w:t> </w:t>
            </w:r>
          </w:p>
        </w:tc>
        <w:tc>
          <w:tcPr>
            <w:tcW w:w="638" w:type="dxa"/>
            <w:hideMark/>
          </w:tcPr>
          <w:p w14:paraId="300AA210" w14:textId="77777777" w:rsidR="007E0ABC" w:rsidRPr="000629A4" w:rsidRDefault="007E0ABC" w:rsidP="00D75B62">
            <w:pPr>
              <w:rPr>
                <w:sz w:val="16"/>
                <w:szCs w:val="20"/>
              </w:rPr>
            </w:pPr>
            <w:r w:rsidRPr="000629A4">
              <w:rPr>
                <w:sz w:val="16"/>
                <w:szCs w:val="20"/>
              </w:rPr>
              <w:t> </w:t>
            </w:r>
          </w:p>
        </w:tc>
        <w:tc>
          <w:tcPr>
            <w:tcW w:w="638" w:type="dxa"/>
            <w:hideMark/>
          </w:tcPr>
          <w:p w14:paraId="22F812FC" w14:textId="77777777" w:rsidR="007E0ABC" w:rsidRPr="000629A4" w:rsidRDefault="007E0ABC" w:rsidP="00D75B62">
            <w:pPr>
              <w:rPr>
                <w:sz w:val="16"/>
                <w:szCs w:val="20"/>
              </w:rPr>
            </w:pPr>
            <w:r w:rsidRPr="000629A4">
              <w:rPr>
                <w:sz w:val="16"/>
                <w:szCs w:val="20"/>
              </w:rPr>
              <w:t> </w:t>
            </w:r>
          </w:p>
        </w:tc>
        <w:tc>
          <w:tcPr>
            <w:tcW w:w="1077" w:type="dxa"/>
            <w:hideMark/>
          </w:tcPr>
          <w:p w14:paraId="21FD18DA" w14:textId="77777777" w:rsidR="007E0ABC" w:rsidRPr="000629A4" w:rsidRDefault="007E0ABC" w:rsidP="00D75B62">
            <w:pPr>
              <w:rPr>
                <w:sz w:val="16"/>
                <w:szCs w:val="20"/>
              </w:rPr>
            </w:pPr>
            <w:r w:rsidRPr="000629A4">
              <w:rPr>
                <w:sz w:val="16"/>
                <w:szCs w:val="20"/>
              </w:rPr>
              <w:t>0.482</w:t>
            </w:r>
          </w:p>
        </w:tc>
      </w:tr>
      <w:tr w:rsidR="007E0ABC" w:rsidRPr="000629A4" w14:paraId="300D63DD" w14:textId="77777777" w:rsidTr="000629A4">
        <w:tc>
          <w:tcPr>
            <w:tcW w:w="523" w:type="dxa"/>
            <w:hideMark/>
          </w:tcPr>
          <w:p w14:paraId="2C2D51D1" w14:textId="77777777" w:rsidR="007E0ABC" w:rsidRPr="000629A4" w:rsidRDefault="007E0ABC" w:rsidP="00D75B62">
            <w:pPr>
              <w:rPr>
                <w:sz w:val="18"/>
                <w:szCs w:val="21"/>
              </w:rPr>
            </w:pPr>
            <w:r w:rsidRPr="000629A4">
              <w:rPr>
                <w:rFonts w:cs="Arial"/>
                <w:sz w:val="18"/>
                <w:szCs w:val="21"/>
              </w:rPr>
              <w:t>23</w:t>
            </w:r>
          </w:p>
        </w:tc>
        <w:tc>
          <w:tcPr>
            <w:tcW w:w="4859" w:type="dxa"/>
            <w:hideMark/>
          </w:tcPr>
          <w:p w14:paraId="61A89132" w14:textId="77777777" w:rsidR="007E0ABC" w:rsidRPr="000629A4" w:rsidRDefault="007E0ABC" w:rsidP="00D75B62">
            <w:pPr>
              <w:rPr>
                <w:sz w:val="16"/>
                <w:szCs w:val="20"/>
              </w:rPr>
            </w:pPr>
            <w:r w:rsidRPr="000629A4">
              <w:rPr>
                <w:rFonts w:cs="Arial"/>
                <w:sz w:val="16"/>
                <w:szCs w:val="20"/>
                <w:lang w:val="en-US"/>
              </w:rPr>
              <w:t>I am still troubled by things that happened to me in the past.</w:t>
            </w:r>
          </w:p>
        </w:tc>
        <w:tc>
          <w:tcPr>
            <w:tcW w:w="637" w:type="dxa"/>
            <w:hideMark/>
          </w:tcPr>
          <w:p w14:paraId="1AD715F1" w14:textId="77777777" w:rsidR="007E0ABC" w:rsidRPr="000629A4" w:rsidRDefault="007E0ABC" w:rsidP="00D75B62">
            <w:pPr>
              <w:rPr>
                <w:sz w:val="16"/>
                <w:szCs w:val="20"/>
              </w:rPr>
            </w:pPr>
            <w:r w:rsidRPr="000629A4">
              <w:rPr>
                <w:sz w:val="16"/>
                <w:szCs w:val="20"/>
              </w:rPr>
              <w:t> </w:t>
            </w:r>
          </w:p>
        </w:tc>
        <w:tc>
          <w:tcPr>
            <w:tcW w:w="638" w:type="dxa"/>
            <w:hideMark/>
          </w:tcPr>
          <w:p w14:paraId="48716BCF" w14:textId="77777777" w:rsidR="007E0ABC" w:rsidRPr="000629A4" w:rsidRDefault="007E0ABC" w:rsidP="00D75B62">
            <w:pPr>
              <w:rPr>
                <w:sz w:val="16"/>
                <w:szCs w:val="20"/>
              </w:rPr>
            </w:pPr>
            <w:r w:rsidRPr="000629A4">
              <w:rPr>
                <w:sz w:val="16"/>
                <w:szCs w:val="20"/>
              </w:rPr>
              <w:t> </w:t>
            </w:r>
          </w:p>
        </w:tc>
        <w:tc>
          <w:tcPr>
            <w:tcW w:w="638" w:type="dxa"/>
            <w:hideMark/>
          </w:tcPr>
          <w:p w14:paraId="4241B2F3" w14:textId="77777777" w:rsidR="007E0ABC" w:rsidRPr="000629A4" w:rsidRDefault="007E0ABC" w:rsidP="00D75B62">
            <w:pPr>
              <w:rPr>
                <w:sz w:val="16"/>
                <w:szCs w:val="20"/>
              </w:rPr>
            </w:pPr>
            <w:r w:rsidRPr="000629A4">
              <w:rPr>
                <w:sz w:val="16"/>
                <w:szCs w:val="20"/>
              </w:rPr>
              <w:t>0.632</w:t>
            </w:r>
          </w:p>
        </w:tc>
        <w:tc>
          <w:tcPr>
            <w:tcW w:w="638" w:type="dxa"/>
            <w:hideMark/>
          </w:tcPr>
          <w:p w14:paraId="6D7AEA71" w14:textId="77777777" w:rsidR="007E0ABC" w:rsidRPr="000629A4" w:rsidRDefault="007E0ABC" w:rsidP="00D75B62">
            <w:pPr>
              <w:rPr>
                <w:sz w:val="16"/>
                <w:szCs w:val="20"/>
              </w:rPr>
            </w:pPr>
            <w:r w:rsidRPr="000629A4">
              <w:rPr>
                <w:sz w:val="16"/>
                <w:szCs w:val="20"/>
              </w:rPr>
              <w:t> </w:t>
            </w:r>
          </w:p>
        </w:tc>
        <w:tc>
          <w:tcPr>
            <w:tcW w:w="1077" w:type="dxa"/>
            <w:hideMark/>
          </w:tcPr>
          <w:p w14:paraId="1F80ECE9" w14:textId="77777777" w:rsidR="007E0ABC" w:rsidRPr="000629A4" w:rsidRDefault="007E0ABC" w:rsidP="00D75B62">
            <w:pPr>
              <w:rPr>
                <w:sz w:val="16"/>
                <w:szCs w:val="20"/>
              </w:rPr>
            </w:pPr>
            <w:r w:rsidRPr="000629A4">
              <w:rPr>
                <w:sz w:val="16"/>
                <w:szCs w:val="20"/>
              </w:rPr>
              <w:t>0.579</w:t>
            </w:r>
          </w:p>
        </w:tc>
      </w:tr>
      <w:tr w:rsidR="007E0ABC" w:rsidRPr="000629A4" w14:paraId="5F6E4BA3" w14:textId="77777777" w:rsidTr="000629A4">
        <w:tc>
          <w:tcPr>
            <w:tcW w:w="523" w:type="dxa"/>
            <w:hideMark/>
          </w:tcPr>
          <w:p w14:paraId="0CBCD820" w14:textId="77777777" w:rsidR="007E0ABC" w:rsidRPr="000629A4" w:rsidRDefault="007E0ABC" w:rsidP="00D75B62">
            <w:pPr>
              <w:rPr>
                <w:sz w:val="18"/>
                <w:szCs w:val="21"/>
              </w:rPr>
            </w:pPr>
            <w:r w:rsidRPr="000629A4">
              <w:rPr>
                <w:rFonts w:cs="Arial"/>
                <w:sz w:val="18"/>
                <w:szCs w:val="21"/>
              </w:rPr>
              <w:t>24</w:t>
            </w:r>
          </w:p>
        </w:tc>
        <w:tc>
          <w:tcPr>
            <w:tcW w:w="4859" w:type="dxa"/>
            <w:hideMark/>
          </w:tcPr>
          <w:p w14:paraId="43BBF800" w14:textId="77777777" w:rsidR="007E0ABC" w:rsidRPr="000629A4" w:rsidRDefault="007E0ABC" w:rsidP="00D75B62">
            <w:pPr>
              <w:rPr>
                <w:sz w:val="16"/>
                <w:szCs w:val="20"/>
              </w:rPr>
            </w:pPr>
            <w:r w:rsidRPr="000629A4">
              <w:rPr>
                <w:rFonts w:cs="Arial"/>
                <w:sz w:val="16"/>
                <w:szCs w:val="20"/>
                <w:lang w:val="en-US"/>
              </w:rPr>
              <w:t>I am confident when I deal with people I do not know.</w:t>
            </w:r>
          </w:p>
        </w:tc>
        <w:tc>
          <w:tcPr>
            <w:tcW w:w="637" w:type="dxa"/>
            <w:hideMark/>
          </w:tcPr>
          <w:p w14:paraId="1D25F091" w14:textId="77777777" w:rsidR="007E0ABC" w:rsidRPr="000629A4" w:rsidRDefault="007E0ABC" w:rsidP="00D75B62">
            <w:pPr>
              <w:rPr>
                <w:sz w:val="16"/>
                <w:szCs w:val="20"/>
              </w:rPr>
            </w:pPr>
            <w:r w:rsidRPr="000629A4">
              <w:rPr>
                <w:sz w:val="16"/>
                <w:szCs w:val="20"/>
              </w:rPr>
              <w:t> </w:t>
            </w:r>
          </w:p>
        </w:tc>
        <w:tc>
          <w:tcPr>
            <w:tcW w:w="638" w:type="dxa"/>
            <w:hideMark/>
          </w:tcPr>
          <w:p w14:paraId="538AB8FA" w14:textId="77777777" w:rsidR="007E0ABC" w:rsidRPr="000629A4" w:rsidRDefault="007E0ABC" w:rsidP="00D75B62">
            <w:pPr>
              <w:rPr>
                <w:sz w:val="16"/>
                <w:szCs w:val="20"/>
              </w:rPr>
            </w:pPr>
            <w:r w:rsidRPr="000629A4">
              <w:rPr>
                <w:sz w:val="16"/>
                <w:szCs w:val="20"/>
              </w:rPr>
              <w:t>0.412</w:t>
            </w:r>
          </w:p>
        </w:tc>
        <w:tc>
          <w:tcPr>
            <w:tcW w:w="638" w:type="dxa"/>
            <w:hideMark/>
          </w:tcPr>
          <w:p w14:paraId="0BE7218B" w14:textId="77777777" w:rsidR="007E0ABC" w:rsidRPr="000629A4" w:rsidRDefault="007E0ABC" w:rsidP="00D75B62">
            <w:pPr>
              <w:rPr>
                <w:sz w:val="16"/>
                <w:szCs w:val="20"/>
              </w:rPr>
            </w:pPr>
            <w:r w:rsidRPr="000629A4">
              <w:rPr>
                <w:sz w:val="16"/>
                <w:szCs w:val="20"/>
              </w:rPr>
              <w:t> </w:t>
            </w:r>
          </w:p>
        </w:tc>
        <w:tc>
          <w:tcPr>
            <w:tcW w:w="638" w:type="dxa"/>
            <w:hideMark/>
          </w:tcPr>
          <w:p w14:paraId="3CFE995A" w14:textId="77777777" w:rsidR="007E0ABC" w:rsidRPr="000629A4" w:rsidRDefault="007E0ABC" w:rsidP="00D75B62">
            <w:pPr>
              <w:rPr>
                <w:sz w:val="16"/>
                <w:szCs w:val="20"/>
              </w:rPr>
            </w:pPr>
            <w:r w:rsidRPr="000629A4">
              <w:rPr>
                <w:sz w:val="16"/>
                <w:szCs w:val="20"/>
              </w:rPr>
              <w:t> </w:t>
            </w:r>
          </w:p>
        </w:tc>
        <w:tc>
          <w:tcPr>
            <w:tcW w:w="1077" w:type="dxa"/>
            <w:hideMark/>
          </w:tcPr>
          <w:p w14:paraId="0E4DF2F5" w14:textId="77777777" w:rsidR="007E0ABC" w:rsidRPr="000629A4" w:rsidRDefault="007E0ABC" w:rsidP="00D75B62">
            <w:pPr>
              <w:rPr>
                <w:sz w:val="16"/>
                <w:szCs w:val="20"/>
              </w:rPr>
            </w:pPr>
            <w:r w:rsidRPr="000629A4">
              <w:rPr>
                <w:sz w:val="16"/>
                <w:szCs w:val="20"/>
              </w:rPr>
              <w:t>0.632</w:t>
            </w:r>
          </w:p>
        </w:tc>
      </w:tr>
      <w:tr w:rsidR="007E0ABC" w:rsidRPr="000629A4" w14:paraId="12A6C1A4" w14:textId="77777777" w:rsidTr="000629A4">
        <w:tc>
          <w:tcPr>
            <w:tcW w:w="523" w:type="dxa"/>
            <w:hideMark/>
          </w:tcPr>
          <w:p w14:paraId="2558939E" w14:textId="77777777" w:rsidR="007E0ABC" w:rsidRPr="000629A4" w:rsidRDefault="007E0ABC" w:rsidP="00D75B62">
            <w:pPr>
              <w:rPr>
                <w:sz w:val="18"/>
                <w:szCs w:val="21"/>
              </w:rPr>
            </w:pPr>
            <w:r w:rsidRPr="000629A4">
              <w:rPr>
                <w:rFonts w:cs="Arial"/>
                <w:sz w:val="18"/>
                <w:szCs w:val="21"/>
              </w:rPr>
              <w:t>25</w:t>
            </w:r>
          </w:p>
        </w:tc>
        <w:tc>
          <w:tcPr>
            <w:tcW w:w="4859" w:type="dxa"/>
            <w:hideMark/>
          </w:tcPr>
          <w:p w14:paraId="5223E159" w14:textId="77777777" w:rsidR="007E0ABC" w:rsidRPr="000629A4" w:rsidRDefault="007E0ABC" w:rsidP="00D75B62">
            <w:pPr>
              <w:rPr>
                <w:sz w:val="16"/>
                <w:szCs w:val="20"/>
              </w:rPr>
            </w:pPr>
            <w:r w:rsidRPr="000629A4">
              <w:rPr>
                <w:rFonts w:cs="Arial"/>
                <w:sz w:val="16"/>
                <w:szCs w:val="20"/>
                <w:lang w:val="en-US"/>
              </w:rPr>
              <w:t>I find it easy to relax.</w:t>
            </w:r>
          </w:p>
        </w:tc>
        <w:tc>
          <w:tcPr>
            <w:tcW w:w="637" w:type="dxa"/>
            <w:hideMark/>
          </w:tcPr>
          <w:p w14:paraId="45890213" w14:textId="77777777" w:rsidR="007E0ABC" w:rsidRPr="000629A4" w:rsidRDefault="007E0ABC" w:rsidP="00D75B62">
            <w:pPr>
              <w:rPr>
                <w:sz w:val="16"/>
                <w:szCs w:val="20"/>
              </w:rPr>
            </w:pPr>
            <w:r w:rsidRPr="000629A4">
              <w:rPr>
                <w:sz w:val="16"/>
                <w:szCs w:val="20"/>
              </w:rPr>
              <w:t>0.434</w:t>
            </w:r>
          </w:p>
        </w:tc>
        <w:tc>
          <w:tcPr>
            <w:tcW w:w="638" w:type="dxa"/>
            <w:hideMark/>
          </w:tcPr>
          <w:p w14:paraId="34217E93" w14:textId="77777777" w:rsidR="007E0ABC" w:rsidRPr="000629A4" w:rsidRDefault="007E0ABC" w:rsidP="00D75B62">
            <w:pPr>
              <w:rPr>
                <w:sz w:val="16"/>
                <w:szCs w:val="20"/>
              </w:rPr>
            </w:pPr>
            <w:r w:rsidRPr="000629A4">
              <w:rPr>
                <w:sz w:val="16"/>
                <w:szCs w:val="20"/>
              </w:rPr>
              <w:t> </w:t>
            </w:r>
          </w:p>
        </w:tc>
        <w:tc>
          <w:tcPr>
            <w:tcW w:w="638" w:type="dxa"/>
            <w:hideMark/>
          </w:tcPr>
          <w:p w14:paraId="0401A7EB" w14:textId="77777777" w:rsidR="007E0ABC" w:rsidRPr="000629A4" w:rsidRDefault="007E0ABC" w:rsidP="00D75B62">
            <w:pPr>
              <w:rPr>
                <w:sz w:val="16"/>
                <w:szCs w:val="20"/>
              </w:rPr>
            </w:pPr>
            <w:r w:rsidRPr="000629A4">
              <w:rPr>
                <w:sz w:val="16"/>
                <w:szCs w:val="20"/>
              </w:rPr>
              <w:t> </w:t>
            </w:r>
          </w:p>
        </w:tc>
        <w:tc>
          <w:tcPr>
            <w:tcW w:w="638" w:type="dxa"/>
            <w:hideMark/>
          </w:tcPr>
          <w:p w14:paraId="4E93A608" w14:textId="77777777" w:rsidR="007E0ABC" w:rsidRPr="000629A4" w:rsidRDefault="007E0ABC" w:rsidP="00D75B62">
            <w:pPr>
              <w:rPr>
                <w:sz w:val="16"/>
                <w:szCs w:val="20"/>
              </w:rPr>
            </w:pPr>
            <w:r w:rsidRPr="000629A4">
              <w:rPr>
                <w:sz w:val="16"/>
                <w:szCs w:val="20"/>
              </w:rPr>
              <w:t> </w:t>
            </w:r>
          </w:p>
        </w:tc>
        <w:tc>
          <w:tcPr>
            <w:tcW w:w="1077" w:type="dxa"/>
            <w:hideMark/>
          </w:tcPr>
          <w:p w14:paraId="11555B93" w14:textId="77777777" w:rsidR="007E0ABC" w:rsidRPr="000629A4" w:rsidRDefault="007E0ABC" w:rsidP="00D75B62">
            <w:pPr>
              <w:rPr>
                <w:sz w:val="16"/>
                <w:szCs w:val="20"/>
              </w:rPr>
            </w:pPr>
            <w:r w:rsidRPr="000629A4">
              <w:rPr>
                <w:sz w:val="16"/>
                <w:szCs w:val="20"/>
              </w:rPr>
              <w:t>0.597</w:t>
            </w:r>
          </w:p>
        </w:tc>
      </w:tr>
      <w:tr w:rsidR="007E0ABC" w:rsidRPr="000629A4" w14:paraId="5993D52A" w14:textId="77777777" w:rsidTr="000629A4">
        <w:tc>
          <w:tcPr>
            <w:tcW w:w="523" w:type="dxa"/>
            <w:hideMark/>
          </w:tcPr>
          <w:p w14:paraId="225F5CA3" w14:textId="77777777" w:rsidR="007E0ABC" w:rsidRPr="000629A4" w:rsidRDefault="007E0ABC" w:rsidP="00D75B62">
            <w:pPr>
              <w:rPr>
                <w:sz w:val="18"/>
                <w:szCs w:val="21"/>
              </w:rPr>
            </w:pPr>
            <w:r w:rsidRPr="000629A4">
              <w:rPr>
                <w:rFonts w:cs="Arial"/>
                <w:sz w:val="18"/>
                <w:szCs w:val="21"/>
              </w:rPr>
              <w:t>26</w:t>
            </w:r>
          </w:p>
        </w:tc>
        <w:tc>
          <w:tcPr>
            <w:tcW w:w="4859" w:type="dxa"/>
            <w:hideMark/>
          </w:tcPr>
          <w:p w14:paraId="3F71AB90" w14:textId="77777777" w:rsidR="007E0ABC" w:rsidRPr="000629A4" w:rsidRDefault="007E0ABC" w:rsidP="00D75B62">
            <w:pPr>
              <w:rPr>
                <w:sz w:val="16"/>
                <w:szCs w:val="20"/>
              </w:rPr>
            </w:pPr>
            <w:r w:rsidRPr="000629A4">
              <w:rPr>
                <w:rFonts w:cs="Arial"/>
                <w:sz w:val="16"/>
                <w:szCs w:val="20"/>
                <w:lang w:val="en-US"/>
              </w:rPr>
              <w:t>I take on too much to the point of being exhausted.</w:t>
            </w:r>
          </w:p>
        </w:tc>
        <w:tc>
          <w:tcPr>
            <w:tcW w:w="637" w:type="dxa"/>
            <w:hideMark/>
          </w:tcPr>
          <w:p w14:paraId="06CF7EB2" w14:textId="77777777" w:rsidR="007E0ABC" w:rsidRPr="000629A4" w:rsidRDefault="007E0ABC" w:rsidP="00D75B62">
            <w:pPr>
              <w:rPr>
                <w:sz w:val="16"/>
                <w:szCs w:val="20"/>
              </w:rPr>
            </w:pPr>
            <w:r w:rsidRPr="000629A4">
              <w:rPr>
                <w:sz w:val="16"/>
                <w:szCs w:val="20"/>
              </w:rPr>
              <w:t> </w:t>
            </w:r>
          </w:p>
        </w:tc>
        <w:tc>
          <w:tcPr>
            <w:tcW w:w="638" w:type="dxa"/>
            <w:hideMark/>
          </w:tcPr>
          <w:p w14:paraId="613C1BCC" w14:textId="77777777" w:rsidR="007E0ABC" w:rsidRPr="000629A4" w:rsidRDefault="007E0ABC" w:rsidP="00D75B62">
            <w:pPr>
              <w:rPr>
                <w:sz w:val="16"/>
                <w:szCs w:val="20"/>
              </w:rPr>
            </w:pPr>
            <w:r w:rsidRPr="000629A4">
              <w:rPr>
                <w:sz w:val="16"/>
                <w:szCs w:val="20"/>
              </w:rPr>
              <w:t> </w:t>
            </w:r>
          </w:p>
        </w:tc>
        <w:tc>
          <w:tcPr>
            <w:tcW w:w="638" w:type="dxa"/>
            <w:hideMark/>
          </w:tcPr>
          <w:p w14:paraId="5A035698" w14:textId="77777777" w:rsidR="007E0ABC" w:rsidRPr="000629A4" w:rsidRDefault="007E0ABC" w:rsidP="00D75B62">
            <w:pPr>
              <w:rPr>
                <w:sz w:val="16"/>
                <w:szCs w:val="20"/>
              </w:rPr>
            </w:pPr>
            <w:r w:rsidRPr="000629A4">
              <w:rPr>
                <w:sz w:val="16"/>
                <w:szCs w:val="20"/>
              </w:rPr>
              <w:t>0.472</w:t>
            </w:r>
          </w:p>
        </w:tc>
        <w:tc>
          <w:tcPr>
            <w:tcW w:w="638" w:type="dxa"/>
            <w:hideMark/>
          </w:tcPr>
          <w:p w14:paraId="4D1DFE3A" w14:textId="77777777" w:rsidR="007E0ABC" w:rsidRPr="000629A4" w:rsidRDefault="007E0ABC" w:rsidP="00D75B62">
            <w:pPr>
              <w:rPr>
                <w:sz w:val="16"/>
                <w:szCs w:val="20"/>
              </w:rPr>
            </w:pPr>
            <w:r w:rsidRPr="000629A4">
              <w:rPr>
                <w:sz w:val="16"/>
                <w:szCs w:val="20"/>
              </w:rPr>
              <w:t> </w:t>
            </w:r>
          </w:p>
        </w:tc>
        <w:tc>
          <w:tcPr>
            <w:tcW w:w="1077" w:type="dxa"/>
            <w:hideMark/>
          </w:tcPr>
          <w:p w14:paraId="12AEDE53" w14:textId="77777777" w:rsidR="007E0ABC" w:rsidRPr="000629A4" w:rsidRDefault="007E0ABC" w:rsidP="00D75B62">
            <w:pPr>
              <w:rPr>
                <w:sz w:val="16"/>
                <w:szCs w:val="20"/>
              </w:rPr>
            </w:pPr>
            <w:r w:rsidRPr="000629A4">
              <w:rPr>
                <w:sz w:val="16"/>
                <w:szCs w:val="20"/>
              </w:rPr>
              <w:t>0.773</w:t>
            </w:r>
          </w:p>
        </w:tc>
      </w:tr>
      <w:tr w:rsidR="007E0ABC" w:rsidRPr="000629A4" w14:paraId="35F7A78B" w14:textId="77777777" w:rsidTr="000629A4">
        <w:tc>
          <w:tcPr>
            <w:tcW w:w="523" w:type="dxa"/>
            <w:hideMark/>
          </w:tcPr>
          <w:p w14:paraId="1765A33F" w14:textId="77777777" w:rsidR="007E0ABC" w:rsidRPr="000629A4" w:rsidRDefault="007E0ABC" w:rsidP="00D75B62">
            <w:pPr>
              <w:rPr>
                <w:sz w:val="18"/>
                <w:szCs w:val="21"/>
              </w:rPr>
            </w:pPr>
            <w:r w:rsidRPr="000629A4">
              <w:rPr>
                <w:rFonts w:cs="Arial"/>
                <w:sz w:val="18"/>
                <w:szCs w:val="21"/>
              </w:rPr>
              <w:t>27</w:t>
            </w:r>
          </w:p>
        </w:tc>
        <w:tc>
          <w:tcPr>
            <w:tcW w:w="4859" w:type="dxa"/>
            <w:hideMark/>
          </w:tcPr>
          <w:p w14:paraId="31346C73" w14:textId="77777777" w:rsidR="007E0ABC" w:rsidRPr="000629A4" w:rsidRDefault="007E0ABC" w:rsidP="00D75B62">
            <w:pPr>
              <w:rPr>
                <w:sz w:val="16"/>
                <w:szCs w:val="20"/>
              </w:rPr>
            </w:pPr>
            <w:r w:rsidRPr="000629A4">
              <w:rPr>
                <w:rFonts w:cs="Arial"/>
                <w:sz w:val="16"/>
                <w:szCs w:val="20"/>
                <w:lang w:val="en-US"/>
              </w:rPr>
              <w:t xml:space="preserve">I am confident that my ability to cope with my illness will improve. </w:t>
            </w:r>
          </w:p>
        </w:tc>
        <w:tc>
          <w:tcPr>
            <w:tcW w:w="637" w:type="dxa"/>
            <w:hideMark/>
          </w:tcPr>
          <w:p w14:paraId="433132F9" w14:textId="77777777" w:rsidR="007E0ABC" w:rsidRPr="000629A4" w:rsidRDefault="007E0ABC" w:rsidP="00D75B62">
            <w:pPr>
              <w:rPr>
                <w:sz w:val="16"/>
                <w:szCs w:val="20"/>
              </w:rPr>
            </w:pPr>
            <w:r w:rsidRPr="000629A4">
              <w:rPr>
                <w:sz w:val="16"/>
                <w:szCs w:val="20"/>
              </w:rPr>
              <w:t>0.640</w:t>
            </w:r>
          </w:p>
        </w:tc>
        <w:tc>
          <w:tcPr>
            <w:tcW w:w="638" w:type="dxa"/>
            <w:hideMark/>
          </w:tcPr>
          <w:p w14:paraId="517D40F7" w14:textId="77777777" w:rsidR="007E0ABC" w:rsidRPr="000629A4" w:rsidRDefault="007E0ABC" w:rsidP="00D75B62">
            <w:pPr>
              <w:rPr>
                <w:sz w:val="16"/>
                <w:szCs w:val="20"/>
              </w:rPr>
            </w:pPr>
            <w:r w:rsidRPr="000629A4">
              <w:rPr>
                <w:sz w:val="16"/>
                <w:szCs w:val="20"/>
              </w:rPr>
              <w:t> </w:t>
            </w:r>
          </w:p>
        </w:tc>
        <w:tc>
          <w:tcPr>
            <w:tcW w:w="638" w:type="dxa"/>
            <w:hideMark/>
          </w:tcPr>
          <w:p w14:paraId="4D321AA6" w14:textId="77777777" w:rsidR="007E0ABC" w:rsidRPr="000629A4" w:rsidRDefault="007E0ABC" w:rsidP="00D75B62">
            <w:pPr>
              <w:rPr>
                <w:sz w:val="16"/>
                <w:szCs w:val="20"/>
              </w:rPr>
            </w:pPr>
            <w:r w:rsidRPr="000629A4">
              <w:rPr>
                <w:sz w:val="16"/>
                <w:szCs w:val="20"/>
              </w:rPr>
              <w:t> </w:t>
            </w:r>
          </w:p>
        </w:tc>
        <w:tc>
          <w:tcPr>
            <w:tcW w:w="638" w:type="dxa"/>
            <w:hideMark/>
          </w:tcPr>
          <w:p w14:paraId="163520C2" w14:textId="77777777" w:rsidR="007E0ABC" w:rsidRPr="000629A4" w:rsidRDefault="007E0ABC" w:rsidP="00D75B62">
            <w:pPr>
              <w:rPr>
                <w:sz w:val="16"/>
                <w:szCs w:val="20"/>
              </w:rPr>
            </w:pPr>
            <w:r w:rsidRPr="000629A4">
              <w:rPr>
                <w:sz w:val="16"/>
                <w:szCs w:val="20"/>
              </w:rPr>
              <w:t> </w:t>
            </w:r>
          </w:p>
        </w:tc>
        <w:tc>
          <w:tcPr>
            <w:tcW w:w="1077" w:type="dxa"/>
            <w:hideMark/>
          </w:tcPr>
          <w:p w14:paraId="0F366CC6" w14:textId="77777777" w:rsidR="007E0ABC" w:rsidRPr="000629A4" w:rsidRDefault="007E0ABC" w:rsidP="00D75B62">
            <w:pPr>
              <w:rPr>
                <w:sz w:val="16"/>
                <w:szCs w:val="20"/>
              </w:rPr>
            </w:pPr>
            <w:r w:rsidRPr="000629A4">
              <w:rPr>
                <w:sz w:val="16"/>
                <w:szCs w:val="20"/>
              </w:rPr>
              <w:t>0.602</w:t>
            </w:r>
          </w:p>
        </w:tc>
      </w:tr>
      <w:tr w:rsidR="007E0ABC" w:rsidRPr="000629A4" w14:paraId="1C3AEEFD" w14:textId="77777777" w:rsidTr="000629A4">
        <w:tc>
          <w:tcPr>
            <w:tcW w:w="523" w:type="dxa"/>
            <w:hideMark/>
          </w:tcPr>
          <w:p w14:paraId="78E36180" w14:textId="77777777" w:rsidR="007E0ABC" w:rsidRPr="000629A4" w:rsidRDefault="007E0ABC" w:rsidP="00D75B62">
            <w:pPr>
              <w:rPr>
                <w:sz w:val="18"/>
                <w:szCs w:val="21"/>
              </w:rPr>
            </w:pPr>
            <w:r w:rsidRPr="000629A4">
              <w:rPr>
                <w:rFonts w:cs="Arial"/>
                <w:sz w:val="18"/>
                <w:szCs w:val="21"/>
              </w:rPr>
              <w:t>28</w:t>
            </w:r>
          </w:p>
        </w:tc>
        <w:tc>
          <w:tcPr>
            <w:tcW w:w="4859" w:type="dxa"/>
            <w:hideMark/>
          </w:tcPr>
          <w:p w14:paraId="46205BD1" w14:textId="77777777" w:rsidR="007E0ABC" w:rsidRPr="000629A4" w:rsidRDefault="007E0ABC" w:rsidP="00D75B62">
            <w:pPr>
              <w:rPr>
                <w:sz w:val="16"/>
                <w:szCs w:val="20"/>
              </w:rPr>
            </w:pPr>
            <w:r w:rsidRPr="000629A4">
              <w:rPr>
                <w:rFonts w:cs="Arial"/>
                <w:sz w:val="16"/>
                <w:szCs w:val="20"/>
                <w:lang w:val="en-US"/>
              </w:rPr>
              <w:t>My illness has changed my perspective on life.</w:t>
            </w:r>
          </w:p>
        </w:tc>
        <w:tc>
          <w:tcPr>
            <w:tcW w:w="637" w:type="dxa"/>
            <w:hideMark/>
          </w:tcPr>
          <w:p w14:paraId="626F458D" w14:textId="77777777" w:rsidR="007E0ABC" w:rsidRPr="000629A4" w:rsidRDefault="007E0ABC" w:rsidP="00D75B62">
            <w:pPr>
              <w:rPr>
                <w:sz w:val="16"/>
                <w:szCs w:val="20"/>
              </w:rPr>
            </w:pPr>
            <w:r w:rsidRPr="000629A4">
              <w:rPr>
                <w:sz w:val="16"/>
                <w:szCs w:val="20"/>
              </w:rPr>
              <w:t> </w:t>
            </w:r>
          </w:p>
        </w:tc>
        <w:tc>
          <w:tcPr>
            <w:tcW w:w="638" w:type="dxa"/>
            <w:hideMark/>
          </w:tcPr>
          <w:p w14:paraId="61CC3040" w14:textId="77777777" w:rsidR="007E0ABC" w:rsidRPr="000629A4" w:rsidRDefault="007E0ABC" w:rsidP="00D75B62">
            <w:pPr>
              <w:rPr>
                <w:sz w:val="16"/>
                <w:szCs w:val="20"/>
              </w:rPr>
            </w:pPr>
            <w:r w:rsidRPr="000629A4">
              <w:rPr>
                <w:sz w:val="16"/>
                <w:szCs w:val="20"/>
              </w:rPr>
              <w:t> 0.305</w:t>
            </w:r>
          </w:p>
        </w:tc>
        <w:tc>
          <w:tcPr>
            <w:tcW w:w="638" w:type="dxa"/>
            <w:hideMark/>
          </w:tcPr>
          <w:p w14:paraId="7163F504" w14:textId="77777777" w:rsidR="007E0ABC" w:rsidRPr="000629A4" w:rsidRDefault="007E0ABC" w:rsidP="00D75B62">
            <w:pPr>
              <w:rPr>
                <w:sz w:val="16"/>
                <w:szCs w:val="20"/>
              </w:rPr>
            </w:pPr>
            <w:r w:rsidRPr="000629A4">
              <w:rPr>
                <w:sz w:val="16"/>
                <w:szCs w:val="20"/>
              </w:rPr>
              <w:t> </w:t>
            </w:r>
          </w:p>
        </w:tc>
        <w:tc>
          <w:tcPr>
            <w:tcW w:w="638" w:type="dxa"/>
            <w:hideMark/>
          </w:tcPr>
          <w:p w14:paraId="22BB9EA1" w14:textId="77777777" w:rsidR="007E0ABC" w:rsidRPr="000629A4" w:rsidRDefault="007E0ABC" w:rsidP="00D75B62">
            <w:pPr>
              <w:rPr>
                <w:sz w:val="16"/>
                <w:szCs w:val="20"/>
              </w:rPr>
            </w:pPr>
            <w:r w:rsidRPr="000629A4">
              <w:rPr>
                <w:sz w:val="16"/>
                <w:szCs w:val="20"/>
              </w:rPr>
              <w:t> </w:t>
            </w:r>
          </w:p>
        </w:tc>
        <w:tc>
          <w:tcPr>
            <w:tcW w:w="1077" w:type="dxa"/>
            <w:hideMark/>
          </w:tcPr>
          <w:p w14:paraId="12C149DA" w14:textId="77777777" w:rsidR="007E0ABC" w:rsidRPr="000629A4" w:rsidRDefault="007E0ABC" w:rsidP="00D75B62">
            <w:pPr>
              <w:rPr>
                <w:sz w:val="16"/>
                <w:szCs w:val="20"/>
              </w:rPr>
            </w:pPr>
            <w:r w:rsidRPr="000629A4">
              <w:rPr>
                <w:sz w:val="16"/>
                <w:szCs w:val="20"/>
              </w:rPr>
              <w:t>0.896</w:t>
            </w:r>
          </w:p>
        </w:tc>
      </w:tr>
      <w:tr w:rsidR="007E0ABC" w:rsidRPr="000629A4" w14:paraId="38C49F12" w14:textId="77777777" w:rsidTr="000629A4">
        <w:tc>
          <w:tcPr>
            <w:tcW w:w="523" w:type="dxa"/>
            <w:hideMark/>
          </w:tcPr>
          <w:p w14:paraId="1BEF1BA1" w14:textId="77777777" w:rsidR="007E0ABC" w:rsidRPr="000629A4" w:rsidRDefault="007E0ABC" w:rsidP="00D75B62">
            <w:pPr>
              <w:rPr>
                <w:sz w:val="18"/>
                <w:szCs w:val="21"/>
              </w:rPr>
            </w:pPr>
            <w:r w:rsidRPr="000629A4">
              <w:rPr>
                <w:rFonts w:cs="Arial"/>
                <w:sz w:val="18"/>
                <w:szCs w:val="21"/>
              </w:rPr>
              <w:t>29</w:t>
            </w:r>
          </w:p>
        </w:tc>
        <w:tc>
          <w:tcPr>
            <w:tcW w:w="4859" w:type="dxa"/>
            <w:hideMark/>
          </w:tcPr>
          <w:p w14:paraId="3F03C069" w14:textId="77777777" w:rsidR="007E0ABC" w:rsidRPr="000629A4" w:rsidRDefault="007E0ABC" w:rsidP="00D75B62">
            <w:pPr>
              <w:rPr>
                <w:sz w:val="16"/>
                <w:szCs w:val="20"/>
              </w:rPr>
            </w:pPr>
            <w:r w:rsidRPr="000629A4">
              <w:rPr>
                <w:rFonts w:cs="Arial"/>
                <w:sz w:val="16"/>
                <w:szCs w:val="20"/>
                <w:lang w:val="en-US"/>
              </w:rPr>
              <w:t>I believe that problems in life are also an opportunity to develop new skills.</w:t>
            </w:r>
          </w:p>
        </w:tc>
        <w:tc>
          <w:tcPr>
            <w:tcW w:w="637" w:type="dxa"/>
            <w:hideMark/>
          </w:tcPr>
          <w:p w14:paraId="0DF95C95" w14:textId="77777777" w:rsidR="007E0ABC" w:rsidRPr="000629A4" w:rsidRDefault="007E0ABC" w:rsidP="00D75B62">
            <w:pPr>
              <w:rPr>
                <w:sz w:val="16"/>
                <w:szCs w:val="20"/>
              </w:rPr>
            </w:pPr>
            <w:r w:rsidRPr="000629A4">
              <w:rPr>
                <w:sz w:val="16"/>
                <w:szCs w:val="20"/>
              </w:rPr>
              <w:t>0.474</w:t>
            </w:r>
          </w:p>
        </w:tc>
        <w:tc>
          <w:tcPr>
            <w:tcW w:w="638" w:type="dxa"/>
            <w:hideMark/>
          </w:tcPr>
          <w:p w14:paraId="32616AD7" w14:textId="77777777" w:rsidR="007E0ABC" w:rsidRPr="000629A4" w:rsidRDefault="007E0ABC" w:rsidP="00D75B62">
            <w:pPr>
              <w:rPr>
                <w:sz w:val="16"/>
                <w:szCs w:val="20"/>
              </w:rPr>
            </w:pPr>
            <w:r w:rsidRPr="000629A4">
              <w:rPr>
                <w:sz w:val="16"/>
                <w:szCs w:val="20"/>
              </w:rPr>
              <w:t> </w:t>
            </w:r>
          </w:p>
        </w:tc>
        <w:tc>
          <w:tcPr>
            <w:tcW w:w="638" w:type="dxa"/>
            <w:hideMark/>
          </w:tcPr>
          <w:p w14:paraId="5E4C821C" w14:textId="77777777" w:rsidR="007E0ABC" w:rsidRPr="000629A4" w:rsidRDefault="007E0ABC" w:rsidP="00D75B62">
            <w:pPr>
              <w:rPr>
                <w:sz w:val="16"/>
                <w:szCs w:val="20"/>
              </w:rPr>
            </w:pPr>
            <w:r w:rsidRPr="000629A4">
              <w:rPr>
                <w:sz w:val="16"/>
                <w:szCs w:val="20"/>
              </w:rPr>
              <w:t> </w:t>
            </w:r>
          </w:p>
        </w:tc>
        <w:tc>
          <w:tcPr>
            <w:tcW w:w="638" w:type="dxa"/>
            <w:hideMark/>
          </w:tcPr>
          <w:p w14:paraId="38285B5E" w14:textId="77777777" w:rsidR="007E0ABC" w:rsidRPr="000629A4" w:rsidRDefault="007E0ABC" w:rsidP="00D75B62">
            <w:pPr>
              <w:rPr>
                <w:sz w:val="16"/>
                <w:szCs w:val="20"/>
              </w:rPr>
            </w:pPr>
            <w:r w:rsidRPr="000629A4">
              <w:rPr>
                <w:sz w:val="16"/>
                <w:szCs w:val="20"/>
              </w:rPr>
              <w:t> </w:t>
            </w:r>
          </w:p>
        </w:tc>
        <w:tc>
          <w:tcPr>
            <w:tcW w:w="1077" w:type="dxa"/>
            <w:hideMark/>
          </w:tcPr>
          <w:p w14:paraId="7F45EDE6" w14:textId="77777777" w:rsidR="007E0ABC" w:rsidRPr="000629A4" w:rsidRDefault="007E0ABC" w:rsidP="00D75B62">
            <w:pPr>
              <w:rPr>
                <w:sz w:val="16"/>
                <w:szCs w:val="20"/>
              </w:rPr>
            </w:pPr>
            <w:r w:rsidRPr="000629A4">
              <w:rPr>
                <w:sz w:val="16"/>
                <w:szCs w:val="20"/>
              </w:rPr>
              <w:t>0.714</w:t>
            </w:r>
          </w:p>
        </w:tc>
      </w:tr>
      <w:tr w:rsidR="007E0ABC" w:rsidRPr="000629A4" w14:paraId="10B40B68" w14:textId="77777777" w:rsidTr="000629A4">
        <w:tc>
          <w:tcPr>
            <w:tcW w:w="523" w:type="dxa"/>
            <w:hideMark/>
          </w:tcPr>
          <w:p w14:paraId="6A173B98" w14:textId="77777777" w:rsidR="007E0ABC" w:rsidRPr="000629A4" w:rsidRDefault="007E0ABC" w:rsidP="00D75B62">
            <w:pPr>
              <w:rPr>
                <w:sz w:val="18"/>
                <w:szCs w:val="21"/>
              </w:rPr>
            </w:pPr>
            <w:r w:rsidRPr="000629A4">
              <w:rPr>
                <w:rFonts w:cs="Arial"/>
                <w:sz w:val="18"/>
                <w:szCs w:val="21"/>
              </w:rPr>
              <w:t>30</w:t>
            </w:r>
          </w:p>
        </w:tc>
        <w:tc>
          <w:tcPr>
            <w:tcW w:w="4859" w:type="dxa"/>
            <w:hideMark/>
          </w:tcPr>
          <w:p w14:paraId="1856300E" w14:textId="77777777" w:rsidR="007E0ABC" w:rsidRPr="000629A4" w:rsidRDefault="007E0ABC" w:rsidP="00D75B62">
            <w:pPr>
              <w:rPr>
                <w:sz w:val="16"/>
                <w:szCs w:val="20"/>
              </w:rPr>
            </w:pPr>
            <w:r w:rsidRPr="000629A4">
              <w:rPr>
                <w:rFonts w:cs="Arial"/>
                <w:sz w:val="16"/>
                <w:szCs w:val="20"/>
                <w:lang w:val="en-US"/>
              </w:rPr>
              <w:t>I am happy with the support that I receive.</w:t>
            </w:r>
          </w:p>
        </w:tc>
        <w:tc>
          <w:tcPr>
            <w:tcW w:w="637" w:type="dxa"/>
            <w:hideMark/>
          </w:tcPr>
          <w:p w14:paraId="3D7E49E6" w14:textId="77777777" w:rsidR="007E0ABC" w:rsidRPr="000629A4" w:rsidRDefault="007E0ABC" w:rsidP="00D75B62">
            <w:pPr>
              <w:rPr>
                <w:sz w:val="16"/>
                <w:szCs w:val="20"/>
              </w:rPr>
            </w:pPr>
            <w:r w:rsidRPr="000629A4">
              <w:rPr>
                <w:sz w:val="16"/>
                <w:szCs w:val="20"/>
              </w:rPr>
              <w:t> </w:t>
            </w:r>
          </w:p>
        </w:tc>
        <w:tc>
          <w:tcPr>
            <w:tcW w:w="638" w:type="dxa"/>
            <w:hideMark/>
          </w:tcPr>
          <w:p w14:paraId="30E5DAF7" w14:textId="77777777" w:rsidR="007E0ABC" w:rsidRPr="000629A4" w:rsidRDefault="007E0ABC" w:rsidP="00D75B62">
            <w:pPr>
              <w:rPr>
                <w:sz w:val="16"/>
                <w:szCs w:val="20"/>
              </w:rPr>
            </w:pPr>
            <w:r w:rsidRPr="000629A4">
              <w:rPr>
                <w:sz w:val="16"/>
                <w:szCs w:val="20"/>
              </w:rPr>
              <w:t> </w:t>
            </w:r>
          </w:p>
        </w:tc>
        <w:tc>
          <w:tcPr>
            <w:tcW w:w="638" w:type="dxa"/>
            <w:hideMark/>
          </w:tcPr>
          <w:p w14:paraId="7D0E0A79" w14:textId="77777777" w:rsidR="007E0ABC" w:rsidRPr="000629A4" w:rsidRDefault="007E0ABC" w:rsidP="00D75B62">
            <w:pPr>
              <w:rPr>
                <w:sz w:val="16"/>
                <w:szCs w:val="20"/>
              </w:rPr>
            </w:pPr>
            <w:r w:rsidRPr="000629A4">
              <w:rPr>
                <w:sz w:val="16"/>
                <w:szCs w:val="20"/>
              </w:rPr>
              <w:t> </w:t>
            </w:r>
          </w:p>
        </w:tc>
        <w:tc>
          <w:tcPr>
            <w:tcW w:w="638" w:type="dxa"/>
            <w:hideMark/>
          </w:tcPr>
          <w:p w14:paraId="1EB4AE82" w14:textId="77777777" w:rsidR="007E0ABC" w:rsidRPr="000629A4" w:rsidRDefault="007E0ABC" w:rsidP="00D75B62">
            <w:pPr>
              <w:rPr>
                <w:sz w:val="16"/>
                <w:szCs w:val="20"/>
              </w:rPr>
            </w:pPr>
            <w:r w:rsidRPr="000629A4">
              <w:rPr>
                <w:sz w:val="16"/>
                <w:szCs w:val="20"/>
              </w:rPr>
              <w:t>0.406</w:t>
            </w:r>
          </w:p>
        </w:tc>
        <w:tc>
          <w:tcPr>
            <w:tcW w:w="1077" w:type="dxa"/>
            <w:hideMark/>
          </w:tcPr>
          <w:p w14:paraId="14977018" w14:textId="77777777" w:rsidR="007E0ABC" w:rsidRPr="000629A4" w:rsidRDefault="007E0ABC" w:rsidP="00D75B62">
            <w:pPr>
              <w:rPr>
                <w:sz w:val="16"/>
                <w:szCs w:val="20"/>
              </w:rPr>
            </w:pPr>
            <w:r w:rsidRPr="000629A4">
              <w:rPr>
                <w:sz w:val="16"/>
                <w:szCs w:val="20"/>
              </w:rPr>
              <w:t>0.630</w:t>
            </w:r>
          </w:p>
        </w:tc>
      </w:tr>
      <w:tr w:rsidR="007E0ABC" w:rsidRPr="000629A4" w14:paraId="5912C8D4" w14:textId="77777777" w:rsidTr="000629A4">
        <w:tc>
          <w:tcPr>
            <w:tcW w:w="523" w:type="dxa"/>
            <w:hideMark/>
          </w:tcPr>
          <w:p w14:paraId="66266195" w14:textId="77777777" w:rsidR="007E0ABC" w:rsidRPr="000629A4" w:rsidRDefault="007E0ABC" w:rsidP="00D75B62">
            <w:pPr>
              <w:rPr>
                <w:sz w:val="18"/>
                <w:szCs w:val="21"/>
              </w:rPr>
            </w:pPr>
            <w:r w:rsidRPr="000629A4">
              <w:rPr>
                <w:rFonts w:cs="Arial"/>
                <w:sz w:val="18"/>
                <w:szCs w:val="21"/>
              </w:rPr>
              <w:t>31</w:t>
            </w:r>
          </w:p>
        </w:tc>
        <w:tc>
          <w:tcPr>
            <w:tcW w:w="4859" w:type="dxa"/>
            <w:hideMark/>
          </w:tcPr>
          <w:p w14:paraId="697A71EF" w14:textId="77777777" w:rsidR="007E0ABC" w:rsidRPr="000629A4" w:rsidRDefault="007E0ABC" w:rsidP="00D75B62">
            <w:pPr>
              <w:rPr>
                <w:sz w:val="16"/>
                <w:szCs w:val="20"/>
              </w:rPr>
            </w:pPr>
            <w:r w:rsidRPr="000629A4">
              <w:rPr>
                <w:rFonts w:cs="Arial"/>
                <w:sz w:val="16"/>
                <w:szCs w:val="20"/>
                <w:lang w:val="en-US"/>
              </w:rPr>
              <w:t>I am happy with the relationships that I have.</w:t>
            </w:r>
          </w:p>
        </w:tc>
        <w:tc>
          <w:tcPr>
            <w:tcW w:w="637" w:type="dxa"/>
            <w:hideMark/>
          </w:tcPr>
          <w:p w14:paraId="1971D1BE" w14:textId="77777777" w:rsidR="007E0ABC" w:rsidRPr="000629A4" w:rsidRDefault="007E0ABC" w:rsidP="00D75B62">
            <w:pPr>
              <w:rPr>
                <w:sz w:val="16"/>
                <w:szCs w:val="20"/>
              </w:rPr>
            </w:pPr>
            <w:r w:rsidRPr="000629A4">
              <w:rPr>
                <w:sz w:val="16"/>
                <w:szCs w:val="20"/>
              </w:rPr>
              <w:t> </w:t>
            </w:r>
          </w:p>
        </w:tc>
        <w:tc>
          <w:tcPr>
            <w:tcW w:w="638" w:type="dxa"/>
            <w:hideMark/>
          </w:tcPr>
          <w:p w14:paraId="3E88196D" w14:textId="77777777" w:rsidR="007E0ABC" w:rsidRPr="000629A4" w:rsidRDefault="007E0ABC" w:rsidP="00D75B62">
            <w:pPr>
              <w:rPr>
                <w:sz w:val="16"/>
                <w:szCs w:val="20"/>
              </w:rPr>
            </w:pPr>
            <w:r w:rsidRPr="000629A4">
              <w:rPr>
                <w:sz w:val="16"/>
                <w:szCs w:val="20"/>
              </w:rPr>
              <w:t> </w:t>
            </w:r>
          </w:p>
        </w:tc>
        <w:tc>
          <w:tcPr>
            <w:tcW w:w="638" w:type="dxa"/>
            <w:hideMark/>
          </w:tcPr>
          <w:p w14:paraId="0644354E" w14:textId="77777777" w:rsidR="007E0ABC" w:rsidRPr="000629A4" w:rsidRDefault="007E0ABC" w:rsidP="00D75B62">
            <w:pPr>
              <w:rPr>
                <w:sz w:val="16"/>
                <w:szCs w:val="20"/>
              </w:rPr>
            </w:pPr>
            <w:r w:rsidRPr="000629A4">
              <w:rPr>
                <w:sz w:val="16"/>
                <w:szCs w:val="20"/>
              </w:rPr>
              <w:t> </w:t>
            </w:r>
          </w:p>
        </w:tc>
        <w:tc>
          <w:tcPr>
            <w:tcW w:w="638" w:type="dxa"/>
            <w:hideMark/>
          </w:tcPr>
          <w:p w14:paraId="01BDA87D" w14:textId="77777777" w:rsidR="007E0ABC" w:rsidRPr="000629A4" w:rsidRDefault="007E0ABC" w:rsidP="00D75B62">
            <w:pPr>
              <w:rPr>
                <w:sz w:val="16"/>
                <w:szCs w:val="20"/>
              </w:rPr>
            </w:pPr>
            <w:r w:rsidRPr="000629A4">
              <w:rPr>
                <w:sz w:val="16"/>
                <w:szCs w:val="20"/>
              </w:rPr>
              <w:t>0.692</w:t>
            </w:r>
          </w:p>
        </w:tc>
        <w:tc>
          <w:tcPr>
            <w:tcW w:w="1077" w:type="dxa"/>
            <w:hideMark/>
          </w:tcPr>
          <w:p w14:paraId="63F56AE5" w14:textId="77777777" w:rsidR="007E0ABC" w:rsidRPr="000629A4" w:rsidRDefault="007E0ABC" w:rsidP="00D75B62">
            <w:pPr>
              <w:rPr>
                <w:sz w:val="16"/>
                <w:szCs w:val="20"/>
              </w:rPr>
            </w:pPr>
            <w:r w:rsidRPr="000629A4">
              <w:rPr>
                <w:sz w:val="16"/>
                <w:szCs w:val="20"/>
              </w:rPr>
              <w:t>0.522</w:t>
            </w:r>
          </w:p>
        </w:tc>
      </w:tr>
      <w:tr w:rsidR="007E0ABC" w:rsidRPr="000629A4" w14:paraId="26FDBCD9" w14:textId="77777777" w:rsidTr="000629A4">
        <w:tc>
          <w:tcPr>
            <w:tcW w:w="523" w:type="dxa"/>
            <w:hideMark/>
          </w:tcPr>
          <w:p w14:paraId="40AF649A" w14:textId="77777777" w:rsidR="007E0ABC" w:rsidRPr="000629A4" w:rsidRDefault="007E0ABC" w:rsidP="00D75B62">
            <w:pPr>
              <w:rPr>
                <w:sz w:val="18"/>
                <w:szCs w:val="21"/>
              </w:rPr>
            </w:pPr>
            <w:r w:rsidRPr="000629A4">
              <w:rPr>
                <w:rFonts w:cs="Arial"/>
                <w:sz w:val="18"/>
                <w:szCs w:val="21"/>
              </w:rPr>
              <w:lastRenderedPageBreak/>
              <w:t>32</w:t>
            </w:r>
          </w:p>
        </w:tc>
        <w:tc>
          <w:tcPr>
            <w:tcW w:w="4859" w:type="dxa"/>
            <w:hideMark/>
          </w:tcPr>
          <w:p w14:paraId="23B33DE4" w14:textId="77777777" w:rsidR="007E0ABC" w:rsidRPr="000629A4" w:rsidRDefault="007E0ABC" w:rsidP="00D75B62">
            <w:pPr>
              <w:rPr>
                <w:sz w:val="16"/>
                <w:szCs w:val="20"/>
              </w:rPr>
            </w:pPr>
            <w:r w:rsidRPr="000629A4">
              <w:rPr>
                <w:rFonts w:cs="Arial"/>
                <w:sz w:val="16"/>
                <w:szCs w:val="20"/>
                <w:lang w:val="en-US"/>
              </w:rPr>
              <w:t>There are people who I trust.</w:t>
            </w:r>
          </w:p>
        </w:tc>
        <w:tc>
          <w:tcPr>
            <w:tcW w:w="637" w:type="dxa"/>
            <w:hideMark/>
          </w:tcPr>
          <w:p w14:paraId="2E5A146B" w14:textId="77777777" w:rsidR="007E0ABC" w:rsidRPr="000629A4" w:rsidRDefault="007E0ABC" w:rsidP="00D75B62">
            <w:pPr>
              <w:rPr>
                <w:sz w:val="16"/>
                <w:szCs w:val="20"/>
              </w:rPr>
            </w:pPr>
            <w:r w:rsidRPr="000629A4">
              <w:rPr>
                <w:sz w:val="16"/>
                <w:szCs w:val="20"/>
              </w:rPr>
              <w:t> </w:t>
            </w:r>
          </w:p>
        </w:tc>
        <w:tc>
          <w:tcPr>
            <w:tcW w:w="638" w:type="dxa"/>
            <w:hideMark/>
          </w:tcPr>
          <w:p w14:paraId="50CE1660" w14:textId="77777777" w:rsidR="007E0ABC" w:rsidRPr="000629A4" w:rsidRDefault="007E0ABC" w:rsidP="00D75B62">
            <w:pPr>
              <w:rPr>
                <w:sz w:val="16"/>
                <w:szCs w:val="20"/>
              </w:rPr>
            </w:pPr>
            <w:r w:rsidRPr="000629A4">
              <w:rPr>
                <w:sz w:val="16"/>
                <w:szCs w:val="20"/>
              </w:rPr>
              <w:t> </w:t>
            </w:r>
          </w:p>
        </w:tc>
        <w:tc>
          <w:tcPr>
            <w:tcW w:w="638" w:type="dxa"/>
            <w:hideMark/>
          </w:tcPr>
          <w:p w14:paraId="0D3D41FC" w14:textId="77777777" w:rsidR="007E0ABC" w:rsidRPr="000629A4" w:rsidRDefault="007E0ABC" w:rsidP="00D75B62">
            <w:pPr>
              <w:rPr>
                <w:sz w:val="16"/>
                <w:szCs w:val="20"/>
              </w:rPr>
            </w:pPr>
            <w:r w:rsidRPr="000629A4">
              <w:rPr>
                <w:sz w:val="16"/>
                <w:szCs w:val="20"/>
              </w:rPr>
              <w:t> </w:t>
            </w:r>
          </w:p>
        </w:tc>
        <w:tc>
          <w:tcPr>
            <w:tcW w:w="638" w:type="dxa"/>
            <w:hideMark/>
          </w:tcPr>
          <w:p w14:paraId="0219239D" w14:textId="77777777" w:rsidR="007E0ABC" w:rsidRPr="000629A4" w:rsidRDefault="007E0ABC" w:rsidP="00D75B62">
            <w:pPr>
              <w:rPr>
                <w:sz w:val="16"/>
                <w:szCs w:val="20"/>
              </w:rPr>
            </w:pPr>
            <w:r w:rsidRPr="000629A4">
              <w:rPr>
                <w:sz w:val="16"/>
                <w:szCs w:val="20"/>
              </w:rPr>
              <w:t>0.617</w:t>
            </w:r>
          </w:p>
        </w:tc>
        <w:tc>
          <w:tcPr>
            <w:tcW w:w="1077" w:type="dxa"/>
            <w:hideMark/>
          </w:tcPr>
          <w:p w14:paraId="1977E0F4" w14:textId="77777777" w:rsidR="007E0ABC" w:rsidRPr="000629A4" w:rsidRDefault="007E0ABC" w:rsidP="00D75B62">
            <w:pPr>
              <w:rPr>
                <w:sz w:val="16"/>
                <w:szCs w:val="20"/>
              </w:rPr>
            </w:pPr>
            <w:r w:rsidRPr="000629A4">
              <w:rPr>
                <w:sz w:val="16"/>
                <w:szCs w:val="20"/>
              </w:rPr>
              <w:t>0.591</w:t>
            </w:r>
          </w:p>
        </w:tc>
      </w:tr>
      <w:tr w:rsidR="007E0ABC" w:rsidRPr="000629A4" w14:paraId="29680A30" w14:textId="77777777" w:rsidTr="000629A4">
        <w:tc>
          <w:tcPr>
            <w:tcW w:w="523" w:type="dxa"/>
            <w:hideMark/>
          </w:tcPr>
          <w:p w14:paraId="6F4290E5" w14:textId="77777777" w:rsidR="007E0ABC" w:rsidRPr="000629A4" w:rsidRDefault="007E0ABC" w:rsidP="00D75B62">
            <w:pPr>
              <w:rPr>
                <w:sz w:val="18"/>
                <w:szCs w:val="21"/>
              </w:rPr>
            </w:pPr>
            <w:r w:rsidRPr="000629A4">
              <w:rPr>
                <w:rFonts w:cs="Arial"/>
                <w:sz w:val="18"/>
                <w:szCs w:val="21"/>
              </w:rPr>
              <w:t>33</w:t>
            </w:r>
          </w:p>
        </w:tc>
        <w:tc>
          <w:tcPr>
            <w:tcW w:w="4859" w:type="dxa"/>
            <w:hideMark/>
          </w:tcPr>
          <w:p w14:paraId="67BD86A4" w14:textId="77777777" w:rsidR="007E0ABC" w:rsidRPr="000629A4" w:rsidRDefault="007E0ABC" w:rsidP="00D75B62">
            <w:pPr>
              <w:rPr>
                <w:sz w:val="16"/>
                <w:szCs w:val="20"/>
              </w:rPr>
            </w:pPr>
            <w:r w:rsidRPr="000629A4">
              <w:rPr>
                <w:rFonts w:cs="Arial"/>
                <w:sz w:val="16"/>
                <w:szCs w:val="20"/>
                <w:lang w:val="en-US"/>
              </w:rPr>
              <w:t>I understand the causes of my illness.</w:t>
            </w:r>
          </w:p>
        </w:tc>
        <w:tc>
          <w:tcPr>
            <w:tcW w:w="637" w:type="dxa"/>
            <w:hideMark/>
          </w:tcPr>
          <w:p w14:paraId="6CE33FAE" w14:textId="77777777" w:rsidR="007E0ABC" w:rsidRPr="000629A4" w:rsidRDefault="007E0ABC" w:rsidP="00D75B62">
            <w:pPr>
              <w:rPr>
                <w:sz w:val="16"/>
                <w:szCs w:val="20"/>
              </w:rPr>
            </w:pPr>
            <w:r w:rsidRPr="000629A4">
              <w:rPr>
                <w:sz w:val="16"/>
                <w:szCs w:val="20"/>
              </w:rPr>
              <w:t> </w:t>
            </w:r>
          </w:p>
        </w:tc>
        <w:tc>
          <w:tcPr>
            <w:tcW w:w="638" w:type="dxa"/>
            <w:hideMark/>
          </w:tcPr>
          <w:p w14:paraId="650EEAF3" w14:textId="77777777" w:rsidR="007E0ABC" w:rsidRPr="000629A4" w:rsidRDefault="007E0ABC" w:rsidP="00D75B62">
            <w:pPr>
              <w:rPr>
                <w:sz w:val="16"/>
                <w:szCs w:val="20"/>
              </w:rPr>
            </w:pPr>
            <w:r w:rsidRPr="000629A4">
              <w:rPr>
                <w:sz w:val="16"/>
                <w:szCs w:val="20"/>
              </w:rPr>
              <w:t> </w:t>
            </w:r>
          </w:p>
        </w:tc>
        <w:tc>
          <w:tcPr>
            <w:tcW w:w="638" w:type="dxa"/>
            <w:hideMark/>
          </w:tcPr>
          <w:p w14:paraId="0858461F" w14:textId="77777777" w:rsidR="007E0ABC" w:rsidRPr="000629A4" w:rsidRDefault="007E0ABC" w:rsidP="00D75B62">
            <w:pPr>
              <w:rPr>
                <w:sz w:val="16"/>
                <w:szCs w:val="20"/>
              </w:rPr>
            </w:pPr>
            <w:r w:rsidRPr="000629A4">
              <w:rPr>
                <w:sz w:val="16"/>
                <w:szCs w:val="20"/>
              </w:rPr>
              <w:t> </w:t>
            </w:r>
          </w:p>
        </w:tc>
        <w:tc>
          <w:tcPr>
            <w:tcW w:w="638" w:type="dxa"/>
            <w:hideMark/>
          </w:tcPr>
          <w:p w14:paraId="3D86BE92" w14:textId="77777777" w:rsidR="007E0ABC" w:rsidRPr="000629A4" w:rsidRDefault="007E0ABC" w:rsidP="00D75B62">
            <w:pPr>
              <w:rPr>
                <w:sz w:val="16"/>
                <w:szCs w:val="20"/>
              </w:rPr>
            </w:pPr>
            <w:r w:rsidRPr="000629A4">
              <w:rPr>
                <w:sz w:val="16"/>
                <w:szCs w:val="20"/>
              </w:rPr>
              <w:t> </w:t>
            </w:r>
          </w:p>
        </w:tc>
        <w:tc>
          <w:tcPr>
            <w:tcW w:w="1077" w:type="dxa"/>
            <w:hideMark/>
          </w:tcPr>
          <w:p w14:paraId="7549C06D" w14:textId="77777777" w:rsidR="007E0ABC" w:rsidRPr="000629A4" w:rsidRDefault="007E0ABC" w:rsidP="00D75B62">
            <w:pPr>
              <w:rPr>
                <w:sz w:val="16"/>
                <w:szCs w:val="20"/>
              </w:rPr>
            </w:pPr>
            <w:r w:rsidRPr="000629A4">
              <w:rPr>
                <w:sz w:val="16"/>
                <w:szCs w:val="20"/>
              </w:rPr>
              <w:t>0.897</w:t>
            </w:r>
          </w:p>
        </w:tc>
      </w:tr>
      <w:tr w:rsidR="007E0ABC" w:rsidRPr="000629A4" w14:paraId="71EB4FC2" w14:textId="77777777" w:rsidTr="000629A4">
        <w:tc>
          <w:tcPr>
            <w:tcW w:w="523" w:type="dxa"/>
            <w:hideMark/>
          </w:tcPr>
          <w:p w14:paraId="175B9F31" w14:textId="77777777" w:rsidR="007E0ABC" w:rsidRPr="000629A4" w:rsidRDefault="007E0ABC" w:rsidP="00D75B62">
            <w:pPr>
              <w:rPr>
                <w:sz w:val="18"/>
                <w:szCs w:val="21"/>
              </w:rPr>
            </w:pPr>
            <w:r w:rsidRPr="000629A4">
              <w:rPr>
                <w:rFonts w:cs="Arial"/>
                <w:sz w:val="18"/>
                <w:szCs w:val="21"/>
              </w:rPr>
              <w:t>34</w:t>
            </w:r>
          </w:p>
        </w:tc>
        <w:tc>
          <w:tcPr>
            <w:tcW w:w="4859" w:type="dxa"/>
            <w:hideMark/>
          </w:tcPr>
          <w:p w14:paraId="30F6E6C8" w14:textId="77777777" w:rsidR="007E0ABC" w:rsidRPr="000629A4" w:rsidRDefault="007E0ABC" w:rsidP="00D75B62">
            <w:pPr>
              <w:rPr>
                <w:sz w:val="16"/>
                <w:szCs w:val="20"/>
              </w:rPr>
            </w:pPr>
            <w:r w:rsidRPr="000629A4">
              <w:rPr>
                <w:rFonts w:cs="Arial"/>
                <w:sz w:val="16"/>
                <w:szCs w:val="20"/>
                <w:lang w:val="en-US"/>
              </w:rPr>
              <w:t>I experience exclusion and discrimination because of my illness.</w:t>
            </w:r>
          </w:p>
        </w:tc>
        <w:tc>
          <w:tcPr>
            <w:tcW w:w="637" w:type="dxa"/>
            <w:hideMark/>
          </w:tcPr>
          <w:p w14:paraId="0B00412E" w14:textId="77777777" w:rsidR="007E0ABC" w:rsidRPr="000629A4" w:rsidRDefault="007E0ABC" w:rsidP="00D75B62">
            <w:pPr>
              <w:rPr>
                <w:sz w:val="16"/>
                <w:szCs w:val="20"/>
              </w:rPr>
            </w:pPr>
            <w:r w:rsidRPr="000629A4">
              <w:rPr>
                <w:sz w:val="16"/>
                <w:szCs w:val="20"/>
              </w:rPr>
              <w:t> </w:t>
            </w:r>
          </w:p>
        </w:tc>
        <w:tc>
          <w:tcPr>
            <w:tcW w:w="638" w:type="dxa"/>
            <w:hideMark/>
          </w:tcPr>
          <w:p w14:paraId="23D12FDE" w14:textId="77777777" w:rsidR="007E0ABC" w:rsidRPr="000629A4" w:rsidRDefault="007E0ABC" w:rsidP="00D75B62">
            <w:pPr>
              <w:rPr>
                <w:sz w:val="16"/>
                <w:szCs w:val="20"/>
              </w:rPr>
            </w:pPr>
            <w:r w:rsidRPr="000629A4">
              <w:rPr>
                <w:sz w:val="16"/>
                <w:szCs w:val="20"/>
              </w:rPr>
              <w:t> </w:t>
            </w:r>
          </w:p>
        </w:tc>
        <w:tc>
          <w:tcPr>
            <w:tcW w:w="638" w:type="dxa"/>
            <w:hideMark/>
          </w:tcPr>
          <w:p w14:paraId="2B262D4B" w14:textId="77777777" w:rsidR="007E0ABC" w:rsidRPr="000629A4" w:rsidRDefault="007E0ABC" w:rsidP="00D75B62">
            <w:pPr>
              <w:rPr>
                <w:sz w:val="16"/>
                <w:szCs w:val="20"/>
              </w:rPr>
            </w:pPr>
            <w:r w:rsidRPr="000629A4">
              <w:rPr>
                <w:sz w:val="16"/>
                <w:szCs w:val="20"/>
              </w:rPr>
              <w:t> 0.303</w:t>
            </w:r>
          </w:p>
        </w:tc>
        <w:tc>
          <w:tcPr>
            <w:tcW w:w="638" w:type="dxa"/>
            <w:hideMark/>
          </w:tcPr>
          <w:p w14:paraId="72A46152" w14:textId="77777777" w:rsidR="007E0ABC" w:rsidRPr="000629A4" w:rsidRDefault="007E0ABC" w:rsidP="00D75B62">
            <w:pPr>
              <w:rPr>
                <w:sz w:val="16"/>
                <w:szCs w:val="20"/>
              </w:rPr>
            </w:pPr>
            <w:r w:rsidRPr="000629A4">
              <w:rPr>
                <w:sz w:val="16"/>
                <w:szCs w:val="20"/>
              </w:rPr>
              <w:t> </w:t>
            </w:r>
          </w:p>
        </w:tc>
        <w:tc>
          <w:tcPr>
            <w:tcW w:w="1077" w:type="dxa"/>
            <w:hideMark/>
          </w:tcPr>
          <w:p w14:paraId="27368725" w14:textId="77777777" w:rsidR="007E0ABC" w:rsidRPr="000629A4" w:rsidRDefault="007E0ABC" w:rsidP="00D75B62">
            <w:pPr>
              <w:rPr>
                <w:sz w:val="16"/>
                <w:szCs w:val="20"/>
              </w:rPr>
            </w:pPr>
            <w:r w:rsidRPr="000629A4">
              <w:rPr>
                <w:sz w:val="16"/>
                <w:szCs w:val="20"/>
              </w:rPr>
              <w:t>0.807</w:t>
            </w:r>
          </w:p>
        </w:tc>
      </w:tr>
      <w:tr w:rsidR="007E0ABC" w:rsidRPr="000629A4" w14:paraId="75C9D05A" w14:textId="77777777" w:rsidTr="000629A4">
        <w:tc>
          <w:tcPr>
            <w:tcW w:w="523" w:type="dxa"/>
            <w:hideMark/>
          </w:tcPr>
          <w:p w14:paraId="6B5FC3F4" w14:textId="77777777" w:rsidR="007E0ABC" w:rsidRPr="000629A4" w:rsidRDefault="007E0ABC" w:rsidP="00D75B62">
            <w:pPr>
              <w:rPr>
                <w:sz w:val="18"/>
                <w:szCs w:val="21"/>
              </w:rPr>
            </w:pPr>
            <w:r w:rsidRPr="000629A4">
              <w:rPr>
                <w:rFonts w:cs="Arial"/>
                <w:sz w:val="18"/>
                <w:szCs w:val="21"/>
              </w:rPr>
              <w:t>35</w:t>
            </w:r>
          </w:p>
        </w:tc>
        <w:tc>
          <w:tcPr>
            <w:tcW w:w="4859" w:type="dxa"/>
            <w:hideMark/>
          </w:tcPr>
          <w:p w14:paraId="53ED58DB" w14:textId="77777777" w:rsidR="007E0ABC" w:rsidRPr="000629A4" w:rsidRDefault="007E0ABC" w:rsidP="00D75B62">
            <w:pPr>
              <w:rPr>
                <w:sz w:val="16"/>
                <w:szCs w:val="20"/>
              </w:rPr>
            </w:pPr>
            <w:r w:rsidRPr="000629A4">
              <w:rPr>
                <w:rFonts w:cs="Arial"/>
                <w:sz w:val="16"/>
                <w:szCs w:val="20"/>
                <w:lang w:val="en-US"/>
              </w:rPr>
              <w:t>I am content with what I have achieved in my life despite my illness.</w:t>
            </w:r>
          </w:p>
        </w:tc>
        <w:tc>
          <w:tcPr>
            <w:tcW w:w="637" w:type="dxa"/>
            <w:hideMark/>
          </w:tcPr>
          <w:p w14:paraId="5376B514" w14:textId="77777777" w:rsidR="007E0ABC" w:rsidRPr="000629A4" w:rsidRDefault="007E0ABC" w:rsidP="00D75B62">
            <w:pPr>
              <w:rPr>
                <w:sz w:val="16"/>
                <w:szCs w:val="20"/>
              </w:rPr>
            </w:pPr>
            <w:r w:rsidRPr="000629A4">
              <w:rPr>
                <w:sz w:val="16"/>
                <w:szCs w:val="20"/>
              </w:rPr>
              <w:t> </w:t>
            </w:r>
          </w:p>
        </w:tc>
        <w:tc>
          <w:tcPr>
            <w:tcW w:w="638" w:type="dxa"/>
            <w:hideMark/>
          </w:tcPr>
          <w:p w14:paraId="0C0DB336" w14:textId="77777777" w:rsidR="007E0ABC" w:rsidRPr="000629A4" w:rsidRDefault="007E0ABC" w:rsidP="00D75B62">
            <w:pPr>
              <w:rPr>
                <w:sz w:val="16"/>
                <w:szCs w:val="20"/>
              </w:rPr>
            </w:pPr>
            <w:r w:rsidRPr="000629A4">
              <w:rPr>
                <w:sz w:val="16"/>
                <w:szCs w:val="20"/>
              </w:rPr>
              <w:t> </w:t>
            </w:r>
          </w:p>
        </w:tc>
        <w:tc>
          <w:tcPr>
            <w:tcW w:w="638" w:type="dxa"/>
            <w:hideMark/>
          </w:tcPr>
          <w:p w14:paraId="04A0C429" w14:textId="77777777" w:rsidR="007E0ABC" w:rsidRPr="000629A4" w:rsidRDefault="007E0ABC" w:rsidP="00D75B62">
            <w:pPr>
              <w:rPr>
                <w:sz w:val="16"/>
                <w:szCs w:val="20"/>
              </w:rPr>
            </w:pPr>
            <w:r w:rsidRPr="000629A4">
              <w:rPr>
                <w:sz w:val="16"/>
                <w:szCs w:val="20"/>
              </w:rPr>
              <w:t> </w:t>
            </w:r>
          </w:p>
        </w:tc>
        <w:tc>
          <w:tcPr>
            <w:tcW w:w="638" w:type="dxa"/>
            <w:hideMark/>
          </w:tcPr>
          <w:p w14:paraId="26920C72" w14:textId="77777777" w:rsidR="007E0ABC" w:rsidRPr="000629A4" w:rsidRDefault="007E0ABC" w:rsidP="00D75B62">
            <w:pPr>
              <w:rPr>
                <w:sz w:val="16"/>
                <w:szCs w:val="20"/>
              </w:rPr>
            </w:pPr>
            <w:r w:rsidRPr="000629A4">
              <w:rPr>
                <w:sz w:val="16"/>
                <w:szCs w:val="20"/>
              </w:rPr>
              <w:t> </w:t>
            </w:r>
          </w:p>
        </w:tc>
        <w:tc>
          <w:tcPr>
            <w:tcW w:w="1077" w:type="dxa"/>
            <w:hideMark/>
          </w:tcPr>
          <w:p w14:paraId="4BF44A0E" w14:textId="77777777" w:rsidR="007E0ABC" w:rsidRPr="000629A4" w:rsidRDefault="007E0ABC" w:rsidP="00D75B62">
            <w:pPr>
              <w:rPr>
                <w:sz w:val="16"/>
                <w:szCs w:val="20"/>
              </w:rPr>
            </w:pPr>
            <w:r w:rsidRPr="000629A4">
              <w:rPr>
                <w:sz w:val="16"/>
                <w:szCs w:val="20"/>
              </w:rPr>
              <w:t>0.727</w:t>
            </w:r>
          </w:p>
        </w:tc>
      </w:tr>
      <w:tr w:rsidR="007E0ABC" w:rsidRPr="000629A4" w14:paraId="33F8A3F7" w14:textId="77777777" w:rsidTr="000629A4">
        <w:tc>
          <w:tcPr>
            <w:tcW w:w="523" w:type="dxa"/>
            <w:hideMark/>
          </w:tcPr>
          <w:p w14:paraId="5A4B01A8" w14:textId="77777777" w:rsidR="007E0ABC" w:rsidRPr="000629A4" w:rsidRDefault="007E0ABC" w:rsidP="00D75B62">
            <w:pPr>
              <w:rPr>
                <w:sz w:val="18"/>
                <w:szCs w:val="21"/>
              </w:rPr>
            </w:pPr>
            <w:r w:rsidRPr="000629A4">
              <w:rPr>
                <w:rFonts w:cs="Arial"/>
                <w:sz w:val="18"/>
                <w:szCs w:val="21"/>
              </w:rPr>
              <w:t>36</w:t>
            </w:r>
          </w:p>
        </w:tc>
        <w:tc>
          <w:tcPr>
            <w:tcW w:w="4859" w:type="dxa"/>
            <w:hideMark/>
          </w:tcPr>
          <w:p w14:paraId="0A8B78B4" w14:textId="77777777" w:rsidR="007E0ABC" w:rsidRPr="000629A4" w:rsidRDefault="007E0ABC" w:rsidP="00D75B62">
            <w:pPr>
              <w:rPr>
                <w:sz w:val="16"/>
                <w:szCs w:val="20"/>
              </w:rPr>
            </w:pPr>
            <w:r w:rsidRPr="000629A4">
              <w:rPr>
                <w:rFonts w:cs="Arial"/>
                <w:sz w:val="16"/>
                <w:szCs w:val="20"/>
              </w:rPr>
              <w:t>I know what my illness symptoms are.</w:t>
            </w:r>
          </w:p>
        </w:tc>
        <w:tc>
          <w:tcPr>
            <w:tcW w:w="637" w:type="dxa"/>
            <w:hideMark/>
          </w:tcPr>
          <w:p w14:paraId="23A24FBC" w14:textId="77777777" w:rsidR="007E0ABC" w:rsidRPr="000629A4" w:rsidRDefault="007E0ABC" w:rsidP="00D75B62">
            <w:pPr>
              <w:rPr>
                <w:sz w:val="16"/>
                <w:szCs w:val="20"/>
              </w:rPr>
            </w:pPr>
            <w:r w:rsidRPr="000629A4">
              <w:rPr>
                <w:sz w:val="16"/>
                <w:szCs w:val="20"/>
              </w:rPr>
              <w:t> </w:t>
            </w:r>
          </w:p>
        </w:tc>
        <w:tc>
          <w:tcPr>
            <w:tcW w:w="638" w:type="dxa"/>
            <w:hideMark/>
          </w:tcPr>
          <w:p w14:paraId="24D99792" w14:textId="77777777" w:rsidR="007E0ABC" w:rsidRPr="000629A4" w:rsidRDefault="007E0ABC" w:rsidP="00D75B62">
            <w:pPr>
              <w:rPr>
                <w:sz w:val="16"/>
                <w:szCs w:val="20"/>
              </w:rPr>
            </w:pPr>
            <w:r w:rsidRPr="000629A4">
              <w:rPr>
                <w:sz w:val="16"/>
                <w:szCs w:val="20"/>
              </w:rPr>
              <w:t> 0.337</w:t>
            </w:r>
          </w:p>
        </w:tc>
        <w:tc>
          <w:tcPr>
            <w:tcW w:w="638" w:type="dxa"/>
            <w:hideMark/>
          </w:tcPr>
          <w:p w14:paraId="4A987F53" w14:textId="77777777" w:rsidR="007E0ABC" w:rsidRPr="000629A4" w:rsidRDefault="007E0ABC" w:rsidP="00D75B62">
            <w:pPr>
              <w:rPr>
                <w:sz w:val="16"/>
                <w:szCs w:val="20"/>
              </w:rPr>
            </w:pPr>
            <w:r w:rsidRPr="000629A4">
              <w:rPr>
                <w:sz w:val="16"/>
                <w:szCs w:val="20"/>
              </w:rPr>
              <w:t> </w:t>
            </w:r>
          </w:p>
        </w:tc>
        <w:tc>
          <w:tcPr>
            <w:tcW w:w="638" w:type="dxa"/>
            <w:hideMark/>
          </w:tcPr>
          <w:p w14:paraId="57597156" w14:textId="77777777" w:rsidR="007E0ABC" w:rsidRPr="000629A4" w:rsidRDefault="007E0ABC" w:rsidP="00D75B62">
            <w:pPr>
              <w:rPr>
                <w:sz w:val="16"/>
                <w:szCs w:val="20"/>
              </w:rPr>
            </w:pPr>
            <w:r w:rsidRPr="000629A4">
              <w:rPr>
                <w:sz w:val="16"/>
                <w:szCs w:val="20"/>
              </w:rPr>
              <w:t> </w:t>
            </w:r>
          </w:p>
        </w:tc>
        <w:tc>
          <w:tcPr>
            <w:tcW w:w="1077" w:type="dxa"/>
            <w:hideMark/>
          </w:tcPr>
          <w:p w14:paraId="1D5DD672" w14:textId="77777777" w:rsidR="007E0ABC" w:rsidRPr="000629A4" w:rsidRDefault="007E0ABC" w:rsidP="00D75B62">
            <w:pPr>
              <w:rPr>
                <w:sz w:val="16"/>
                <w:szCs w:val="20"/>
              </w:rPr>
            </w:pPr>
            <w:r w:rsidRPr="000629A4">
              <w:rPr>
                <w:sz w:val="16"/>
                <w:szCs w:val="20"/>
              </w:rPr>
              <w:t>0.885</w:t>
            </w:r>
          </w:p>
        </w:tc>
      </w:tr>
    </w:tbl>
    <w:p w14:paraId="64B6F852" w14:textId="77777777" w:rsidR="007E0ABC" w:rsidRDefault="007E0ABC" w:rsidP="000629A4"/>
    <w:p w14:paraId="5A614777" w14:textId="77777777" w:rsidR="007E0ABC" w:rsidRDefault="007E0ABC" w:rsidP="0098395C">
      <w:pPr>
        <w:pStyle w:val="Subtitle"/>
        <w:spacing w:after="0"/>
        <w:jc w:val="center"/>
        <w:rPr>
          <w:rFonts w:ascii="Avenir Book" w:hAnsi="Avenir Book"/>
          <w:i/>
          <w:iCs/>
          <w:sz w:val="28"/>
          <w:szCs w:val="28"/>
        </w:rPr>
      </w:pPr>
      <w:r>
        <w:br w:type="page"/>
      </w:r>
      <w:r w:rsidRPr="00C260F1">
        <w:rPr>
          <w:rFonts w:ascii="Avenir Book" w:hAnsi="Avenir Book"/>
          <w:iCs/>
          <w:sz w:val="28"/>
          <w:szCs w:val="28"/>
        </w:rPr>
        <w:lastRenderedPageBreak/>
        <w:t xml:space="preserve">Appendix </w:t>
      </w:r>
      <w:r>
        <w:rPr>
          <w:rFonts w:ascii="Avenir Book" w:hAnsi="Avenir Book"/>
          <w:iCs/>
          <w:sz w:val="28"/>
          <w:szCs w:val="28"/>
        </w:rPr>
        <w:t>C</w:t>
      </w:r>
      <w:r w:rsidRPr="00C260F1">
        <w:rPr>
          <w:rFonts w:ascii="Avenir Book" w:hAnsi="Avenir Book"/>
          <w:iCs/>
          <w:sz w:val="28"/>
          <w:szCs w:val="28"/>
        </w:rPr>
        <w:t xml:space="preserve"> – EASE Supplementary </w:t>
      </w:r>
      <w:r>
        <w:rPr>
          <w:rFonts w:ascii="Avenir Book" w:hAnsi="Avenir Book"/>
          <w:iCs/>
          <w:sz w:val="28"/>
          <w:szCs w:val="28"/>
        </w:rPr>
        <w:t>Data</w:t>
      </w:r>
    </w:p>
    <w:p w14:paraId="60FF8CBA" w14:textId="77777777" w:rsidR="007E0ABC" w:rsidRDefault="007E0ABC"/>
    <w:p w14:paraId="46C69602" w14:textId="77777777" w:rsidR="007E0ABC" w:rsidRDefault="007E0ABC" w:rsidP="00716FF2">
      <w:pPr>
        <w:jc w:val="center"/>
      </w:pPr>
      <w:r w:rsidRPr="000629A4">
        <w:t xml:space="preserve">Table </w:t>
      </w:r>
      <w:r>
        <w:t>33</w:t>
      </w:r>
      <w:r w:rsidRPr="000629A4">
        <w:t>. Goodness of fit for adjusted EASE-F model</w:t>
      </w:r>
    </w:p>
    <w:p w14:paraId="4B75ADC8" w14:textId="77777777" w:rsidR="007E0ABC" w:rsidRDefault="007E0ABC" w:rsidP="004E02C7">
      <w:pPr>
        <w:rPr>
          <w:rFonts w:ascii="Avenir Heavy" w:hAnsi="Avenir Heavy"/>
          <w:b/>
          <w:bCs/>
        </w:rPr>
      </w:pPr>
    </w:p>
    <w:tbl>
      <w:tblPr>
        <w:tblStyle w:val="PlainTable1"/>
        <w:tblW w:w="9128" w:type="dxa"/>
        <w:tblLook w:val="04A0" w:firstRow="1" w:lastRow="0" w:firstColumn="1" w:lastColumn="0" w:noHBand="0" w:noVBand="1"/>
      </w:tblPr>
      <w:tblGrid>
        <w:gridCol w:w="1669"/>
        <w:gridCol w:w="853"/>
        <w:gridCol w:w="507"/>
        <w:gridCol w:w="785"/>
        <w:gridCol w:w="990"/>
        <w:gridCol w:w="1034"/>
        <w:gridCol w:w="848"/>
        <w:gridCol w:w="849"/>
        <w:gridCol w:w="771"/>
        <w:gridCol w:w="822"/>
      </w:tblGrid>
      <w:tr w:rsidR="007E0ABC" w:rsidRPr="004E02C7" w14:paraId="2DDD3111" w14:textId="77777777" w:rsidTr="00D75B62">
        <w:trPr>
          <w:gridAfter w:val="1"/>
          <w:cnfStyle w:val="100000000000" w:firstRow="1" w:lastRow="0" w:firstColumn="0" w:lastColumn="0" w:oddVBand="0" w:evenVBand="0" w:oddHBand="0" w:evenHBand="0" w:firstRowFirstColumn="0" w:firstRowLastColumn="0" w:lastRowFirstColumn="0" w:lastRowLastColumn="0"/>
          <w:wAfter w:w="839" w:type="dxa"/>
          <w:trHeight w:val="492"/>
        </w:trPr>
        <w:tc>
          <w:tcPr>
            <w:cnfStyle w:val="001000000000" w:firstRow="0" w:lastRow="0" w:firstColumn="1" w:lastColumn="0" w:oddVBand="0" w:evenVBand="0" w:oddHBand="0" w:evenHBand="0" w:firstRowFirstColumn="0" w:firstRowLastColumn="0" w:lastRowFirstColumn="0" w:lastRowLastColumn="0"/>
            <w:tcW w:w="1770" w:type="dxa"/>
            <w:vMerge w:val="restart"/>
            <w:vAlign w:val="center"/>
          </w:tcPr>
          <w:p w14:paraId="7C98B070"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Factor model</w:t>
            </w:r>
          </w:p>
        </w:tc>
        <w:tc>
          <w:tcPr>
            <w:tcW w:w="860" w:type="dxa"/>
            <w:vMerge w:val="restart"/>
            <w:vAlign w:val="center"/>
          </w:tcPr>
          <w:p w14:paraId="08B5B047" w14:textId="77777777" w:rsidR="007E0ABC" w:rsidRPr="004E02C7" w:rsidRDefault="007E0ABC" w:rsidP="00D75B62">
            <w:pPr>
              <w:jc w:val="center"/>
              <w:cnfStyle w:val="100000000000" w:firstRow="1" w:lastRow="0" w:firstColumn="0" w:lastColumn="0" w:oddVBand="0" w:evenVBand="0" w:oddHBand="0" w:evenHBand="0" w:firstRowFirstColumn="0" w:firstRowLastColumn="0" w:lastRowFirstColumn="0" w:lastRowLastColumn="0"/>
              <w:rPr>
                <w:rFonts w:ascii="Avenir Heavy" w:eastAsia="DengXian" w:hAnsi="Avenir Heavy" w:cs="Arial"/>
                <w:sz w:val="16"/>
                <w:szCs w:val="16"/>
                <w:vertAlign w:val="superscript"/>
              </w:rPr>
            </w:pPr>
            <w:r w:rsidRPr="004E02C7">
              <w:rPr>
                <w:rFonts w:ascii="Avenir Heavy" w:hAnsi="Avenir Heavy" w:cs="Arial"/>
                <w:sz w:val="16"/>
                <w:szCs w:val="16"/>
              </w:rPr>
              <w:t>X</w:t>
            </w:r>
            <w:r w:rsidRPr="004E02C7">
              <w:rPr>
                <w:rFonts w:ascii="Avenir Heavy" w:hAnsi="Avenir Heavy" w:cs="Arial"/>
                <w:sz w:val="16"/>
                <w:szCs w:val="16"/>
                <w:vertAlign w:val="superscript"/>
              </w:rPr>
              <w:t>2</w:t>
            </w:r>
          </w:p>
        </w:tc>
        <w:tc>
          <w:tcPr>
            <w:tcW w:w="510" w:type="dxa"/>
            <w:vMerge w:val="restart"/>
            <w:vAlign w:val="center"/>
          </w:tcPr>
          <w:p w14:paraId="3D38435F" w14:textId="77777777" w:rsidR="007E0ABC" w:rsidRPr="004E02C7" w:rsidRDefault="007E0ABC" w:rsidP="00D75B62">
            <w:pPr>
              <w:jc w:val="center"/>
              <w:cnfStyle w:val="100000000000" w:firstRow="1" w:lastRow="0" w:firstColumn="0" w:lastColumn="0" w:oddVBand="0" w:evenVBand="0" w:oddHBand="0" w:evenHBand="0" w:firstRowFirstColumn="0" w:firstRowLastColumn="0" w:lastRowFirstColumn="0" w:lastRowLastColumn="0"/>
              <w:rPr>
                <w:rFonts w:ascii="Avenir Heavy" w:eastAsia="DengXian" w:hAnsi="Avenir Heavy" w:cs="Arial"/>
                <w:sz w:val="16"/>
                <w:szCs w:val="16"/>
              </w:rPr>
            </w:pPr>
            <w:proofErr w:type="spellStart"/>
            <w:r w:rsidRPr="004E02C7">
              <w:rPr>
                <w:rFonts w:ascii="Avenir Heavy" w:eastAsia="DengXian" w:hAnsi="Avenir Heavy" w:cs="Arial"/>
                <w:sz w:val="16"/>
                <w:szCs w:val="16"/>
              </w:rPr>
              <w:t>df</w:t>
            </w:r>
            <w:proofErr w:type="spellEnd"/>
          </w:p>
        </w:tc>
        <w:tc>
          <w:tcPr>
            <w:tcW w:w="787" w:type="dxa"/>
            <w:vMerge w:val="restart"/>
            <w:vAlign w:val="center"/>
          </w:tcPr>
          <w:p w14:paraId="327D7A77" w14:textId="77777777" w:rsidR="007E0ABC" w:rsidRPr="004E02C7" w:rsidRDefault="007E0ABC" w:rsidP="00D75B62">
            <w:pPr>
              <w:jc w:val="center"/>
              <w:cnfStyle w:val="100000000000" w:firstRow="1" w:lastRow="0" w:firstColumn="0" w:lastColumn="0" w:oddVBand="0" w:evenVBand="0" w:oddHBand="0" w:evenHBand="0" w:firstRowFirstColumn="0" w:firstRowLastColumn="0" w:lastRowFirstColumn="0" w:lastRowLastColumn="0"/>
              <w:rPr>
                <w:rFonts w:ascii="Avenir Heavy" w:eastAsia="DengXian" w:hAnsi="Avenir Heavy" w:cs="Arial"/>
                <w:sz w:val="16"/>
                <w:szCs w:val="16"/>
              </w:rPr>
            </w:pPr>
            <w:r w:rsidRPr="004E02C7">
              <w:rPr>
                <w:rFonts w:ascii="Avenir Heavy" w:eastAsia="DengXian" w:hAnsi="Avenir Heavy" w:cs="Arial"/>
                <w:sz w:val="16"/>
                <w:szCs w:val="16"/>
              </w:rPr>
              <w:t>p-value (chi-square)</w:t>
            </w:r>
          </w:p>
        </w:tc>
        <w:tc>
          <w:tcPr>
            <w:tcW w:w="979" w:type="dxa"/>
            <w:vMerge w:val="restart"/>
            <w:vAlign w:val="center"/>
          </w:tcPr>
          <w:p w14:paraId="12CFF0BD" w14:textId="77777777" w:rsidR="007E0ABC" w:rsidRPr="004E02C7" w:rsidRDefault="007E0ABC" w:rsidP="00D75B62">
            <w:pPr>
              <w:jc w:val="center"/>
              <w:cnfStyle w:val="100000000000" w:firstRow="1" w:lastRow="0" w:firstColumn="0" w:lastColumn="0" w:oddVBand="0" w:evenVBand="0" w:oddHBand="0" w:evenHBand="0" w:firstRowFirstColumn="0" w:firstRowLastColumn="0" w:lastRowFirstColumn="0" w:lastRowLastColumn="0"/>
              <w:rPr>
                <w:rFonts w:ascii="Avenir Heavy" w:eastAsia="DengXian" w:hAnsi="Avenir Heavy" w:cs="Arial"/>
                <w:sz w:val="16"/>
                <w:szCs w:val="16"/>
              </w:rPr>
            </w:pPr>
            <w:r w:rsidRPr="004E02C7">
              <w:rPr>
                <w:rFonts w:ascii="Avenir Heavy" w:eastAsia="DengXian" w:hAnsi="Avenir Heavy" w:cs="Arial"/>
                <w:sz w:val="16"/>
                <w:szCs w:val="16"/>
              </w:rPr>
              <w:t>CFI</w:t>
            </w:r>
          </w:p>
        </w:tc>
        <w:tc>
          <w:tcPr>
            <w:tcW w:w="1040" w:type="dxa"/>
            <w:vMerge w:val="restart"/>
            <w:vAlign w:val="center"/>
          </w:tcPr>
          <w:p w14:paraId="4E533D67" w14:textId="77777777" w:rsidR="007E0ABC" w:rsidRPr="004E02C7" w:rsidRDefault="007E0ABC" w:rsidP="00D75B62">
            <w:pPr>
              <w:jc w:val="center"/>
              <w:cnfStyle w:val="100000000000" w:firstRow="1" w:lastRow="0" w:firstColumn="0" w:lastColumn="0" w:oddVBand="0" w:evenVBand="0" w:oddHBand="0" w:evenHBand="0" w:firstRowFirstColumn="0" w:firstRowLastColumn="0" w:lastRowFirstColumn="0" w:lastRowLastColumn="0"/>
              <w:rPr>
                <w:rFonts w:ascii="Avenir Heavy" w:eastAsia="DengXian" w:hAnsi="Avenir Heavy" w:cs="Arial"/>
                <w:sz w:val="16"/>
                <w:szCs w:val="16"/>
              </w:rPr>
            </w:pPr>
            <w:r w:rsidRPr="004E02C7">
              <w:rPr>
                <w:rFonts w:ascii="Avenir Heavy" w:eastAsia="DengXian" w:hAnsi="Avenir Heavy" w:cs="Arial"/>
                <w:sz w:val="16"/>
                <w:szCs w:val="16"/>
              </w:rPr>
              <w:t>TLI</w:t>
            </w:r>
          </w:p>
        </w:tc>
        <w:tc>
          <w:tcPr>
            <w:tcW w:w="789" w:type="dxa"/>
            <w:vMerge w:val="restart"/>
            <w:vAlign w:val="center"/>
          </w:tcPr>
          <w:p w14:paraId="6A6781D7" w14:textId="77777777" w:rsidR="007E0ABC" w:rsidRPr="004E02C7" w:rsidRDefault="007E0ABC" w:rsidP="00D75B62">
            <w:pPr>
              <w:jc w:val="center"/>
              <w:cnfStyle w:val="100000000000" w:firstRow="1" w:lastRow="0" w:firstColumn="0" w:lastColumn="0" w:oddVBand="0" w:evenVBand="0" w:oddHBand="0" w:evenHBand="0" w:firstRowFirstColumn="0" w:firstRowLastColumn="0" w:lastRowFirstColumn="0" w:lastRowLastColumn="0"/>
              <w:rPr>
                <w:rFonts w:ascii="Avenir Heavy" w:eastAsia="DengXian" w:hAnsi="Avenir Heavy" w:cs="Arial"/>
                <w:sz w:val="16"/>
                <w:szCs w:val="16"/>
              </w:rPr>
            </w:pPr>
            <w:r w:rsidRPr="004E02C7">
              <w:rPr>
                <w:rFonts w:ascii="Avenir Heavy" w:eastAsia="DengXian" w:hAnsi="Avenir Heavy" w:cs="Arial"/>
                <w:sz w:val="16"/>
                <w:szCs w:val="16"/>
              </w:rPr>
              <w:t>SRMR</w:t>
            </w:r>
          </w:p>
        </w:tc>
        <w:tc>
          <w:tcPr>
            <w:tcW w:w="849" w:type="dxa"/>
            <w:vMerge w:val="restart"/>
            <w:vAlign w:val="center"/>
          </w:tcPr>
          <w:p w14:paraId="1FED04C0" w14:textId="77777777" w:rsidR="007E0ABC" w:rsidRPr="004E02C7" w:rsidRDefault="007E0ABC" w:rsidP="00D75B62">
            <w:pPr>
              <w:jc w:val="center"/>
              <w:cnfStyle w:val="100000000000" w:firstRow="1" w:lastRow="0" w:firstColumn="0" w:lastColumn="0" w:oddVBand="0" w:evenVBand="0" w:oddHBand="0" w:evenHBand="0" w:firstRowFirstColumn="0" w:firstRowLastColumn="0" w:lastRowFirstColumn="0" w:lastRowLastColumn="0"/>
              <w:rPr>
                <w:rFonts w:ascii="Avenir Heavy" w:eastAsia="DengXian" w:hAnsi="Avenir Heavy" w:cs="Arial"/>
                <w:sz w:val="16"/>
                <w:szCs w:val="16"/>
              </w:rPr>
            </w:pPr>
            <w:r w:rsidRPr="004E02C7">
              <w:rPr>
                <w:rFonts w:ascii="Avenir Heavy" w:eastAsia="DengXian" w:hAnsi="Avenir Heavy" w:cs="Arial"/>
                <w:sz w:val="16"/>
                <w:szCs w:val="16"/>
              </w:rPr>
              <w:t>RMSEA</w:t>
            </w:r>
          </w:p>
        </w:tc>
        <w:tc>
          <w:tcPr>
            <w:tcW w:w="705" w:type="dxa"/>
            <w:vAlign w:val="center"/>
          </w:tcPr>
          <w:p w14:paraId="62DC05F3" w14:textId="77777777" w:rsidR="007E0ABC" w:rsidRPr="004E02C7" w:rsidRDefault="007E0ABC" w:rsidP="00D75B62">
            <w:pPr>
              <w:jc w:val="center"/>
              <w:cnfStyle w:val="100000000000" w:firstRow="1" w:lastRow="0" w:firstColumn="0" w:lastColumn="0" w:oddVBand="0" w:evenVBand="0" w:oddHBand="0" w:evenHBand="0" w:firstRowFirstColumn="0" w:firstRowLastColumn="0" w:lastRowFirstColumn="0" w:lastRowLastColumn="0"/>
              <w:rPr>
                <w:rFonts w:ascii="Avenir Heavy" w:eastAsia="DengXian" w:hAnsi="Avenir Heavy" w:cs="Arial"/>
                <w:sz w:val="16"/>
                <w:szCs w:val="16"/>
              </w:rPr>
            </w:pPr>
            <w:r w:rsidRPr="004E02C7">
              <w:rPr>
                <w:rFonts w:ascii="Avenir Heavy" w:eastAsia="DengXian" w:hAnsi="Avenir Heavy" w:cs="Arial"/>
                <w:sz w:val="16"/>
                <w:szCs w:val="16"/>
              </w:rPr>
              <w:t>RMSEA 90% CI</w:t>
            </w:r>
          </w:p>
        </w:tc>
      </w:tr>
      <w:tr w:rsidR="007E0ABC" w:rsidRPr="004E02C7" w14:paraId="2CAB463B" w14:textId="77777777" w:rsidTr="00D75B6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70" w:type="dxa"/>
            <w:vMerge/>
            <w:vAlign w:val="center"/>
          </w:tcPr>
          <w:p w14:paraId="19B02156" w14:textId="77777777" w:rsidR="007E0ABC" w:rsidRPr="004E02C7" w:rsidRDefault="007E0ABC" w:rsidP="00D75B62">
            <w:pPr>
              <w:jc w:val="center"/>
              <w:rPr>
                <w:rFonts w:ascii="Avenir Heavy" w:eastAsia="DengXian" w:hAnsi="Avenir Heavy" w:cs="Arial"/>
                <w:sz w:val="16"/>
                <w:szCs w:val="16"/>
              </w:rPr>
            </w:pPr>
          </w:p>
        </w:tc>
        <w:tc>
          <w:tcPr>
            <w:tcW w:w="860" w:type="dxa"/>
            <w:vMerge/>
            <w:vAlign w:val="center"/>
          </w:tcPr>
          <w:p w14:paraId="14FB90A6"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eastAsia="DengXian" w:hAnsi="Avenir Heavy" w:cs="Arial"/>
                <w:b/>
                <w:bCs/>
                <w:sz w:val="16"/>
                <w:szCs w:val="16"/>
              </w:rPr>
            </w:pPr>
          </w:p>
        </w:tc>
        <w:tc>
          <w:tcPr>
            <w:tcW w:w="510" w:type="dxa"/>
            <w:vMerge/>
            <w:vAlign w:val="center"/>
          </w:tcPr>
          <w:p w14:paraId="11E8F0D2"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eastAsia="DengXian" w:hAnsi="Avenir Heavy" w:cs="Arial"/>
                <w:b/>
                <w:bCs/>
                <w:sz w:val="16"/>
                <w:szCs w:val="16"/>
              </w:rPr>
            </w:pPr>
          </w:p>
        </w:tc>
        <w:tc>
          <w:tcPr>
            <w:tcW w:w="787" w:type="dxa"/>
            <w:vMerge/>
            <w:vAlign w:val="center"/>
          </w:tcPr>
          <w:p w14:paraId="306B6AD4"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eastAsia="DengXian" w:hAnsi="Avenir Heavy" w:cs="Arial"/>
                <w:b/>
                <w:bCs/>
                <w:sz w:val="16"/>
                <w:szCs w:val="16"/>
              </w:rPr>
            </w:pPr>
          </w:p>
        </w:tc>
        <w:tc>
          <w:tcPr>
            <w:tcW w:w="979" w:type="dxa"/>
            <w:vMerge/>
            <w:vAlign w:val="center"/>
          </w:tcPr>
          <w:p w14:paraId="23EE05E2"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eastAsia="DengXian" w:hAnsi="Avenir Heavy" w:cs="Arial"/>
                <w:b/>
                <w:bCs/>
                <w:sz w:val="16"/>
                <w:szCs w:val="16"/>
              </w:rPr>
            </w:pPr>
          </w:p>
        </w:tc>
        <w:tc>
          <w:tcPr>
            <w:tcW w:w="1040" w:type="dxa"/>
            <w:vMerge/>
            <w:vAlign w:val="center"/>
          </w:tcPr>
          <w:p w14:paraId="7D6471C9"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hAnsi="Avenir Heavy"/>
                <w:b/>
                <w:bCs/>
                <w:sz w:val="16"/>
                <w:szCs w:val="16"/>
              </w:rPr>
            </w:pPr>
          </w:p>
        </w:tc>
        <w:tc>
          <w:tcPr>
            <w:tcW w:w="789" w:type="dxa"/>
            <w:vMerge/>
            <w:vAlign w:val="center"/>
          </w:tcPr>
          <w:p w14:paraId="116E1F30"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eastAsia="DengXian" w:hAnsi="Avenir Heavy" w:cs="Arial"/>
                <w:b/>
                <w:bCs/>
                <w:sz w:val="16"/>
                <w:szCs w:val="16"/>
              </w:rPr>
            </w:pPr>
          </w:p>
        </w:tc>
        <w:tc>
          <w:tcPr>
            <w:tcW w:w="849" w:type="dxa"/>
            <w:vMerge/>
            <w:vAlign w:val="center"/>
          </w:tcPr>
          <w:p w14:paraId="48AF2EF5"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eastAsia="DengXian" w:hAnsi="Avenir Heavy" w:cs="Arial"/>
                <w:b/>
                <w:bCs/>
                <w:sz w:val="16"/>
                <w:szCs w:val="16"/>
              </w:rPr>
            </w:pPr>
          </w:p>
        </w:tc>
        <w:tc>
          <w:tcPr>
            <w:tcW w:w="705" w:type="dxa"/>
            <w:vAlign w:val="center"/>
          </w:tcPr>
          <w:p w14:paraId="03A94187"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eastAsia="DengXian" w:hAnsi="Avenir Heavy" w:cs="Arial"/>
                <w:b/>
                <w:bCs/>
                <w:sz w:val="16"/>
                <w:szCs w:val="16"/>
              </w:rPr>
            </w:pPr>
            <w:r w:rsidRPr="004E02C7">
              <w:rPr>
                <w:rFonts w:ascii="Avenir Heavy" w:eastAsia="DengXian" w:hAnsi="Avenir Heavy" w:cs="Arial"/>
                <w:b/>
                <w:bCs/>
                <w:sz w:val="16"/>
                <w:szCs w:val="16"/>
              </w:rPr>
              <w:t>Lower</w:t>
            </w:r>
          </w:p>
        </w:tc>
        <w:tc>
          <w:tcPr>
            <w:tcW w:w="839" w:type="dxa"/>
            <w:vAlign w:val="center"/>
          </w:tcPr>
          <w:p w14:paraId="0F438753"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ascii="Avenir Heavy" w:eastAsia="DengXian" w:hAnsi="Avenir Heavy" w:cs="Arial"/>
                <w:b/>
                <w:bCs/>
                <w:sz w:val="16"/>
                <w:szCs w:val="16"/>
              </w:rPr>
            </w:pPr>
            <w:r w:rsidRPr="004E02C7">
              <w:rPr>
                <w:rFonts w:ascii="Avenir Heavy" w:eastAsia="DengXian" w:hAnsi="Avenir Heavy" w:cs="Arial"/>
                <w:b/>
                <w:bCs/>
                <w:sz w:val="16"/>
                <w:szCs w:val="16"/>
              </w:rPr>
              <w:t>Upper</w:t>
            </w:r>
          </w:p>
        </w:tc>
      </w:tr>
      <w:tr w:rsidR="007E0ABC" w:rsidRPr="004E02C7" w14:paraId="179A8C20" w14:textId="77777777" w:rsidTr="00D75B62">
        <w:trPr>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41B21F6C" w14:textId="77777777" w:rsidR="007E0ABC" w:rsidRPr="004E02C7" w:rsidRDefault="007E0ABC" w:rsidP="00D75B62">
            <w:pPr>
              <w:jc w:val="center"/>
              <w:rPr>
                <w:rFonts w:ascii="Avenir Heavy" w:eastAsia="DengXian" w:hAnsi="Avenir Heavy" w:cs="Arial"/>
                <w:sz w:val="16"/>
                <w:szCs w:val="16"/>
              </w:rPr>
            </w:pPr>
          </w:p>
        </w:tc>
        <w:tc>
          <w:tcPr>
            <w:tcW w:w="860" w:type="dxa"/>
            <w:vAlign w:val="center"/>
          </w:tcPr>
          <w:p w14:paraId="696C51D7"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ascii="Avenir Heavy" w:eastAsia="DengXian" w:hAnsi="Avenir Heavy" w:cs="Arial"/>
                <w:b/>
                <w:bCs/>
                <w:sz w:val="16"/>
                <w:szCs w:val="16"/>
              </w:rPr>
            </w:pPr>
          </w:p>
        </w:tc>
        <w:tc>
          <w:tcPr>
            <w:tcW w:w="510" w:type="dxa"/>
            <w:vAlign w:val="center"/>
          </w:tcPr>
          <w:p w14:paraId="7B8C9C9D"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ascii="Avenir Heavy" w:eastAsia="DengXian" w:hAnsi="Avenir Heavy" w:cs="Arial"/>
                <w:b/>
                <w:bCs/>
                <w:sz w:val="16"/>
                <w:szCs w:val="16"/>
              </w:rPr>
            </w:pPr>
          </w:p>
        </w:tc>
        <w:tc>
          <w:tcPr>
            <w:tcW w:w="787" w:type="dxa"/>
            <w:vAlign w:val="center"/>
          </w:tcPr>
          <w:p w14:paraId="5C61285F"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ascii="Avenir Heavy" w:eastAsia="DengXian" w:hAnsi="Avenir Heavy" w:cs="Arial"/>
                <w:b/>
                <w:bCs/>
                <w:sz w:val="16"/>
                <w:szCs w:val="16"/>
              </w:rPr>
            </w:pPr>
          </w:p>
        </w:tc>
        <w:tc>
          <w:tcPr>
            <w:tcW w:w="979" w:type="dxa"/>
            <w:vAlign w:val="center"/>
          </w:tcPr>
          <w:p w14:paraId="1656AFBD" w14:textId="77777777" w:rsidR="007E0ABC" w:rsidRPr="004E02C7" w:rsidRDefault="007E0ABC" w:rsidP="00D75B62">
            <w:pPr>
              <w:cnfStyle w:val="000000000000" w:firstRow="0" w:lastRow="0" w:firstColumn="0" w:lastColumn="0" w:oddVBand="0" w:evenVBand="0" w:oddHBand="0" w:evenHBand="0" w:firstRowFirstColumn="0" w:firstRowLastColumn="0" w:lastRowFirstColumn="0" w:lastRowLastColumn="0"/>
              <w:rPr>
                <w:rFonts w:eastAsia="DengXian" w:cs="Arial"/>
                <w:i/>
                <w:iCs/>
                <w:sz w:val="16"/>
                <w:szCs w:val="16"/>
              </w:rPr>
            </w:pPr>
            <w:r w:rsidRPr="004E02C7">
              <w:rPr>
                <w:rFonts w:eastAsia="DengXian" w:cs="Arial"/>
                <w:i/>
                <w:iCs/>
                <w:sz w:val="16"/>
                <w:szCs w:val="16"/>
              </w:rPr>
              <w:t>&gt;0.90 – acceptable</w:t>
            </w:r>
          </w:p>
          <w:p w14:paraId="16A0965E" w14:textId="77777777" w:rsidR="007E0ABC" w:rsidRPr="004E02C7" w:rsidRDefault="007E0ABC" w:rsidP="00D75B62">
            <w:pPr>
              <w:cnfStyle w:val="000000000000" w:firstRow="0" w:lastRow="0" w:firstColumn="0" w:lastColumn="0" w:oddVBand="0" w:evenVBand="0" w:oddHBand="0" w:evenHBand="0" w:firstRowFirstColumn="0" w:firstRowLastColumn="0" w:lastRowFirstColumn="0" w:lastRowLastColumn="0"/>
              <w:rPr>
                <w:rFonts w:eastAsia="DengXian" w:cs="Arial"/>
                <w:i/>
                <w:iCs/>
                <w:sz w:val="16"/>
                <w:szCs w:val="16"/>
              </w:rPr>
            </w:pPr>
            <w:r w:rsidRPr="004E02C7">
              <w:rPr>
                <w:rFonts w:eastAsia="DengXian" w:cs="Arial"/>
                <w:i/>
                <w:iCs/>
                <w:sz w:val="16"/>
                <w:szCs w:val="16"/>
              </w:rPr>
              <w:t>&gt;0.95 – good</w:t>
            </w:r>
          </w:p>
        </w:tc>
        <w:tc>
          <w:tcPr>
            <w:tcW w:w="1040" w:type="dxa"/>
            <w:vAlign w:val="center"/>
          </w:tcPr>
          <w:p w14:paraId="29B54A2C" w14:textId="77777777" w:rsidR="007E0ABC" w:rsidRPr="004E02C7" w:rsidRDefault="007E0ABC" w:rsidP="00D75B62">
            <w:pPr>
              <w:cnfStyle w:val="000000000000" w:firstRow="0" w:lastRow="0" w:firstColumn="0" w:lastColumn="0" w:oddVBand="0" w:evenVBand="0" w:oddHBand="0" w:evenHBand="0" w:firstRowFirstColumn="0" w:firstRowLastColumn="0" w:lastRowFirstColumn="0" w:lastRowLastColumn="0"/>
              <w:rPr>
                <w:rFonts w:eastAsia="DengXian" w:cs="Arial"/>
                <w:i/>
                <w:iCs/>
                <w:sz w:val="16"/>
                <w:szCs w:val="16"/>
              </w:rPr>
            </w:pPr>
            <w:r w:rsidRPr="004E02C7">
              <w:rPr>
                <w:rFonts w:eastAsia="DengXian" w:cs="Arial"/>
                <w:i/>
                <w:iCs/>
                <w:sz w:val="16"/>
                <w:szCs w:val="16"/>
              </w:rPr>
              <w:t>&gt;0.90 – acceptable</w:t>
            </w:r>
          </w:p>
          <w:p w14:paraId="2AEB5267" w14:textId="77777777" w:rsidR="007E0ABC" w:rsidRPr="004E02C7" w:rsidRDefault="007E0ABC" w:rsidP="00D75B62">
            <w:pPr>
              <w:cnfStyle w:val="000000000000" w:firstRow="0" w:lastRow="0" w:firstColumn="0" w:lastColumn="0" w:oddVBand="0" w:evenVBand="0" w:oddHBand="0" w:evenHBand="0" w:firstRowFirstColumn="0" w:firstRowLastColumn="0" w:lastRowFirstColumn="0" w:lastRowLastColumn="0"/>
              <w:rPr>
                <w:rFonts w:eastAsia="DengXian" w:cs="Arial"/>
                <w:i/>
                <w:iCs/>
                <w:sz w:val="16"/>
                <w:szCs w:val="16"/>
              </w:rPr>
            </w:pPr>
            <w:r w:rsidRPr="004E02C7">
              <w:rPr>
                <w:rFonts w:eastAsia="DengXian" w:cs="Arial"/>
                <w:i/>
                <w:iCs/>
                <w:sz w:val="16"/>
                <w:szCs w:val="16"/>
              </w:rPr>
              <w:t>&gt;0.95 – good</w:t>
            </w:r>
          </w:p>
        </w:tc>
        <w:tc>
          <w:tcPr>
            <w:tcW w:w="789" w:type="dxa"/>
            <w:vAlign w:val="center"/>
          </w:tcPr>
          <w:p w14:paraId="20C4F9C9" w14:textId="77777777" w:rsidR="007E0ABC" w:rsidRPr="004E02C7" w:rsidRDefault="007E0ABC" w:rsidP="00D75B62">
            <w:pPr>
              <w:cnfStyle w:val="000000000000" w:firstRow="0" w:lastRow="0" w:firstColumn="0" w:lastColumn="0" w:oddVBand="0" w:evenVBand="0" w:oddHBand="0" w:evenHBand="0" w:firstRowFirstColumn="0" w:firstRowLastColumn="0" w:lastRowFirstColumn="0" w:lastRowLastColumn="0"/>
              <w:rPr>
                <w:rFonts w:eastAsia="DengXian" w:cs="Arial"/>
                <w:i/>
                <w:iCs/>
                <w:sz w:val="16"/>
                <w:szCs w:val="16"/>
              </w:rPr>
            </w:pPr>
            <w:r w:rsidRPr="004E02C7">
              <w:rPr>
                <w:rFonts w:eastAsia="DengXian" w:cs="Arial"/>
                <w:i/>
                <w:iCs/>
                <w:sz w:val="16"/>
                <w:szCs w:val="16"/>
              </w:rPr>
              <w:t>(&lt; 0.07 indicates good fit)</w:t>
            </w:r>
          </w:p>
        </w:tc>
        <w:tc>
          <w:tcPr>
            <w:tcW w:w="849" w:type="dxa"/>
            <w:vAlign w:val="center"/>
          </w:tcPr>
          <w:p w14:paraId="3FAF489F" w14:textId="77777777" w:rsidR="007E0ABC" w:rsidRPr="004E02C7" w:rsidRDefault="007E0ABC" w:rsidP="00D75B62">
            <w:pPr>
              <w:cnfStyle w:val="000000000000" w:firstRow="0" w:lastRow="0" w:firstColumn="0" w:lastColumn="0" w:oddVBand="0" w:evenVBand="0" w:oddHBand="0" w:evenHBand="0" w:firstRowFirstColumn="0" w:firstRowLastColumn="0" w:lastRowFirstColumn="0" w:lastRowLastColumn="0"/>
              <w:rPr>
                <w:rFonts w:eastAsia="DengXian" w:cs="Arial"/>
                <w:i/>
                <w:iCs/>
                <w:sz w:val="16"/>
                <w:szCs w:val="16"/>
              </w:rPr>
            </w:pPr>
            <w:r w:rsidRPr="004E02C7">
              <w:rPr>
                <w:rFonts w:eastAsia="DengXian" w:cs="Arial"/>
                <w:i/>
                <w:iCs/>
                <w:sz w:val="16"/>
                <w:szCs w:val="16"/>
              </w:rPr>
              <w:t>(&lt; 0.06 indicates good fit)</w:t>
            </w:r>
          </w:p>
        </w:tc>
        <w:tc>
          <w:tcPr>
            <w:tcW w:w="705" w:type="dxa"/>
            <w:vAlign w:val="center"/>
          </w:tcPr>
          <w:p w14:paraId="4281C2DE"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ascii="Avenir Heavy" w:eastAsia="DengXian" w:hAnsi="Avenir Heavy" w:cs="Arial"/>
                <w:b/>
                <w:bCs/>
                <w:sz w:val="16"/>
                <w:szCs w:val="16"/>
              </w:rPr>
            </w:pPr>
          </w:p>
        </w:tc>
        <w:tc>
          <w:tcPr>
            <w:tcW w:w="839" w:type="dxa"/>
            <w:vAlign w:val="center"/>
          </w:tcPr>
          <w:p w14:paraId="071DA6F4"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ascii="Avenir Heavy" w:eastAsia="DengXian" w:hAnsi="Avenir Heavy" w:cs="Arial"/>
                <w:b/>
                <w:bCs/>
                <w:sz w:val="16"/>
                <w:szCs w:val="16"/>
              </w:rPr>
            </w:pPr>
          </w:p>
        </w:tc>
      </w:tr>
      <w:tr w:rsidR="007E0ABC" w:rsidRPr="004E02C7" w14:paraId="4026F94F" w14:textId="77777777" w:rsidTr="00D75B6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1EFE64EB"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Original model</w:t>
            </w:r>
          </w:p>
        </w:tc>
        <w:tc>
          <w:tcPr>
            <w:tcW w:w="860" w:type="dxa"/>
            <w:vAlign w:val="center"/>
          </w:tcPr>
          <w:p w14:paraId="2072552D"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762.237</w:t>
            </w:r>
          </w:p>
        </w:tc>
        <w:tc>
          <w:tcPr>
            <w:tcW w:w="510" w:type="dxa"/>
            <w:vAlign w:val="center"/>
          </w:tcPr>
          <w:p w14:paraId="5D3A75F7"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399</w:t>
            </w:r>
          </w:p>
        </w:tc>
        <w:tc>
          <w:tcPr>
            <w:tcW w:w="787" w:type="dxa"/>
            <w:vAlign w:val="center"/>
          </w:tcPr>
          <w:p w14:paraId="26CC5DAC"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09325A44"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0.850</w:t>
            </w:r>
          </w:p>
        </w:tc>
        <w:tc>
          <w:tcPr>
            <w:tcW w:w="1040" w:type="dxa"/>
            <w:vAlign w:val="center"/>
          </w:tcPr>
          <w:p w14:paraId="6BBDA0D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0.836</w:t>
            </w:r>
          </w:p>
        </w:tc>
        <w:tc>
          <w:tcPr>
            <w:tcW w:w="789" w:type="dxa"/>
            <w:vAlign w:val="center"/>
          </w:tcPr>
          <w:p w14:paraId="64CF6204"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0.071</w:t>
            </w:r>
          </w:p>
        </w:tc>
        <w:tc>
          <w:tcPr>
            <w:tcW w:w="849" w:type="dxa"/>
            <w:vAlign w:val="center"/>
          </w:tcPr>
          <w:p w14:paraId="02F02978"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0.064</w:t>
            </w:r>
          </w:p>
        </w:tc>
        <w:tc>
          <w:tcPr>
            <w:tcW w:w="705" w:type="dxa"/>
            <w:vAlign w:val="center"/>
          </w:tcPr>
          <w:p w14:paraId="5273974A"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0.057</w:t>
            </w:r>
          </w:p>
        </w:tc>
        <w:tc>
          <w:tcPr>
            <w:tcW w:w="839" w:type="dxa"/>
            <w:vAlign w:val="center"/>
          </w:tcPr>
          <w:p w14:paraId="377FE2A7"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0.070</w:t>
            </w:r>
          </w:p>
        </w:tc>
      </w:tr>
      <w:tr w:rsidR="007E0ABC" w:rsidRPr="004E02C7" w14:paraId="669D38E1" w14:textId="77777777" w:rsidTr="00D75B62">
        <w:trPr>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323720F8"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Model 1 – EASE-F_1 ~~ EASE-F_2</w:t>
            </w:r>
          </w:p>
        </w:tc>
        <w:tc>
          <w:tcPr>
            <w:tcW w:w="860" w:type="dxa"/>
            <w:vAlign w:val="center"/>
          </w:tcPr>
          <w:p w14:paraId="07F898B3"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672.2</w:t>
            </w:r>
          </w:p>
        </w:tc>
        <w:tc>
          <w:tcPr>
            <w:tcW w:w="510" w:type="dxa"/>
            <w:vAlign w:val="center"/>
          </w:tcPr>
          <w:p w14:paraId="6706ACE5"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397</w:t>
            </w:r>
          </w:p>
        </w:tc>
        <w:tc>
          <w:tcPr>
            <w:tcW w:w="787" w:type="dxa"/>
            <w:vAlign w:val="center"/>
          </w:tcPr>
          <w:p w14:paraId="0623AAEE"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216128DB"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0.886</w:t>
            </w:r>
          </w:p>
        </w:tc>
        <w:tc>
          <w:tcPr>
            <w:tcW w:w="1040" w:type="dxa"/>
            <w:vAlign w:val="center"/>
          </w:tcPr>
          <w:p w14:paraId="27691C79"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0.875</w:t>
            </w:r>
          </w:p>
        </w:tc>
        <w:tc>
          <w:tcPr>
            <w:tcW w:w="789" w:type="dxa"/>
            <w:vAlign w:val="center"/>
          </w:tcPr>
          <w:p w14:paraId="0676094E"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0.068</w:t>
            </w:r>
          </w:p>
        </w:tc>
        <w:tc>
          <w:tcPr>
            <w:tcW w:w="849" w:type="dxa"/>
            <w:vAlign w:val="center"/>
          </w:tcPr>
          <w:p w14:paraId="794FA36A"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0.056</w:t>
            </w:r>
          </w:p>
        </w:tc>
        <w:tc>
          <w:tcPr>
            <w:tcW w:w="705" w:type="dxa"/>
            <w:vAlign w:val="center"/>
          </w:tcPr>
          <w:p w14:paraId="7F3D0E8B"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0.048</w:t>
            </w:r>
          </w:p>
        </w:tc>
        <w:tc>
          <w:tcPr>
            <w:tcW w:w="839" w:type="dxa"/>
            <w:vAlign w:val="center"/>
          </w:tcPr>
          <w:p w14:paraId="6463E035"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0.063</w:t>
            </w:r>
          </w:p>
        </w:tc>
      </w:tr>
      <w:tr w:rsidR="007E0ABC" w:rsidRPr="004E02C7" w14:paraId="71A987EF" w14:textId="77777777" w:rsidTr="00D75B6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389BF198"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Model 2 – item 1 dropped</w:t>
            </w:r>
          </w:p>
        </w:tc>
        <w:tc>
          <w:tcPr>
            <w:tcW w:w="860" w:type="dxa"/>
            <w:vAlign w:val="center"/>
          </w:tcPr>
          <w:p w14:paraId="51903699"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674.3</w:t>
            </w:r>
          </w:p>
        </w:tc>
        <w:tc>
          <w:tcPr>
            <w:tcW w:w="510" w:type="dxa"/>
            <w:vAlign w:val="center"/>
          </w:tcPr>
          <w:p w14:paraId="248B786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371</w:t>
            </w:r>
          </w:p>
        </w:tc>
        <w:tc>
          <w:tcPr>
            <w:tcW w:w="787" w:type="dxa"/>
            <w:vAlign w:val="center"/>
          </w:tcPr>
          <w:p w14:paraId="1595F13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34529102"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0.867</w:t>
            </w:r>
          </w:p>
        </w:tc>
        <w:tc>
          <w:tcPr>
            <w:tcW w:w="1040" w:type="dxa"/>
            <w:vAlign w:val="center"/>
          </w:tcPr>
          <w:p w14:paraId="5E91DA02"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0.855</w:t>
            </w:r>
          </w:p>
        </w:tc>
        <w:tc>
          <w:tcPr>
            <w:tcW w:w="789" w:type="dxa"/>
            <w:vAlign w:val="center"/>
          </w:tcPr>
          <w:p w14:paraId="1C65683A"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0.070</w:t>
            </w:r>
          </w:p>
        </w:tc>
        <w:tc>
          <w:tcPr>
            <w:tcW w:w="849" w:type="dxa"/>
            <w:vAlign w:val="center"/>
          </w:tcPr>
          <w:p w14:paraId="795C495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0.060</w:t>
            </w:r>
          </w:p>
        </w:tc>
        <w:tc>
          <w:tcPr>
            <w:tcW w:w="705" w:type="dxa"/>
            <w:vAlign w:val="center"/>
          </w:tcPr>
          <w:p w14:paraId="647596DE"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0.053</w:t>
            </w:r>
          </w:p>
        </w:tc>
        <w:tc>
          <w:tcPr>
            <w:tcW w:w="839" w:type="dxa"/>
            <w:vAlign w:val="center"/>
          </w:tcPr>
          <w:p w14:paraId="0E29B8F7"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0.067</w:t>
            </w:r>
          </w:p>
        </w:tc>
      </w:tr>
      <w:tr w:rsidR="007E0ABC" w:rsidRPr="004E02C7" w14:paraId="150F98F4" w14:textId="77777777" w:rsidTr="00D75B62">
        <w:trPr>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0FD0E279"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Model 2 – item 2 dropped</w:t>
            </w:r>
          </w:p>
        </w:tc>
        <w:tc>
          <w:tcPr>
            <w:tcW w:w="860" w:type="dxa"/>
            <w:vAlign w:val="center"/>
          </w:tcPr>
          <w:p w14:paraId="5B8CFF2B"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674.3</w:t>
            </w:r>
          </w:p>
        </w:tc>
        <w:tc>
          <w:tcPr>
            <w:tcW w:w="510" w:type="dxa"/>
            <w:vAlign w:val="center"/>
          </w:tcPr>
          <w:p w14:paraId="4B25EBD6"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371</w:t>
            </w:r>
          </w:p>
        </w:tc>
        <w:tc>
          <w:tcPr>
            <w:tcW w:w="787" w:type="dxa"/>
            <w:vAlign w:val="center"/>
          </w:tcPr>
          <w:p w14:paraId="08D55B12"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7C136B59"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0.867</w:t>
            </w:r>
          </w:p>
        </w:tc>
        <w:tc>
          <w:tcPr>
            <w:tcW w:w="1040" w:type="dxa"/>
            <w:vAlign w:val="center"/>
          </w:tcPr>
          <w:p w14:paraId="100A1CD0"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0.855</w:t>
            </w:r>
          </w:p>
        </w:tc>
        <w:tc>
          <w:tcPr>
            <w:tcW w:w="789" w:type="dxa"/>
            <w:vAlign w:val="center"/>
          </w:tcPr>
          <w:p w14:paraId="6F000531"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0.070</w:t>
            </w:r>
          </w:p>
        </w:tc>
        <w:tc>
          <w:tcPr>
            <w:tcW w:w="849" w:type="dxa"/>
            <w:vAlign w:val="center"/>
          </w:tcPr>
          <w:p w14:paraId="6ED41A64"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0.060</w:t>
            </w:r>
          </w:p>
        </w:tc>
        <w:tc>
          <w:tcPr>
            <w:tcW w:w="705" w:type="dxa"/>
            <w:vAlign w:val="center"/>
          </w:tcPr>
          <w:p w14:paraId="5A055641"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0.053</w:t>
            </w:r>
          </w:p>
        </w:tc>
        <w:tc>
          <w:tcPr>
            <w:tcW w:w="839" w:type="dxa"/>
            <w:vAlign w:val="center"/>
          </w:tcPr>
          <w:p w14:paraId="19CAD30F"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0.067</w:t>
            </w:r>
          </w:p>
        </w:tc>
      </w:tr>
      <w:tr w:rsidR="007E0ABC" w:rsidRPr="004E02C7" w14:paraId="7C1794E5" w14:textId="77777777" w:rsidTr="00D75B6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126B8C74"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Model 3 – EASE-F_31 ~~ EASE-F_32</w:t>
            </w:r>
          </w:p>
        </w:tc>
        <w:tc>
          <w:tcPr>
            <w:tcW w:w="860" w:type="dxa"/>
            <w:vAlign w:val="center"/>
          </w:tcPr>
          <w:p w14:paraId="42F8006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 xml:space="preserve">641.1 </w:t>
            </w:r>
          </w:p>
        </w:tc>
        <w:tc>
          <w:tcPr>
            <w:tcW w:w="510" w:type="dxa"/>
            <w:vAlign w:val="center"/>
          </w:tcPr>
          <w:p w14:paraId="3F335298"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370</w:t>
            </w:r>
          </w:p>
        </w:tc>
        <w:tc>
          <w:tcPr>
            <w:tcW w:w="787" w:type="dxa"/>
            <w:vAlign w:val="center"/>
          </w:tcPr>
          <w:p w14:paraId="2EF46464"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70BC1BA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0.881</w:t>
            </w:r>
          </w:p>
        </w:tc>
        <w:tc>
          <w:tcPr>
            <w:tcW w:w="1040" w:type="dxa"/>
            <w:vAlign w:val="center"/>
          </w:tcPr>
          <w:p w14:paraId="7B7CDE6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0.870</w:t>
            </w:r>
          </w:p>
        </w:tc>
        <w:tc>
          <w:tcPr>
            <w:tcW w:w="789" w:type="dxa"/>
            <w:vAlign w:val="center"/>
          </w:tcPr>
          <w:p w14:paraId="006C28DA"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 xml:space="preserve"> 0.069</w:t>
            </w:r>
          </w:p>
        </w:tc>
        <w:tc>
          <w:tcPr>
            <w:tcW w:w="849" w:type="dxa"/>
            <w:vAlign w:val="center"/>
          </w:tcPr>
          <w:p w14:paraId="5067DF2D"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0.057</w:t>
            </w:r>
          </w:p>
        </w:tc>
        <w:tc>
          <w:tcPr>
            <w:tcW w:w="705" w:type="dxa"/>
            <w:vAlign w:val="center"/>
          </w:tcPr>
          <w:p w14:paraId="3BE9B317"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0.050</w:t>
            </w:r>
          </w:p>
        </w:tc>
        <w:tc>
          <w:tcPr>
            <w:tcW w:w="839" w:type="dxa"/>
            <w:vAlign w:val="center"/>
          </w:tcPr>
          <w:p w14:paraId="0F885452"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0.064</w:t>
            </w:r>
          </w:p>
        </w:tc>
      </w:tr>
      <w:tr w:rsidR="007E0ABC" w:rsidRPr="004E02C7" w14:paraId="396F074E" w14:textId="77777777" w:rsidTr="00D75B62">
        <w:trPr>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2FB7FD7E"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 xml:space="preserve">Model 4 – item 1 &amp; 31 dropped </w:t>
            </w:r>
          </w:p>
        </w:tc>
        <w:tc>
          <w:tcPr>
            <w:tcW w:w="860" w:type="dxa"/>
            <w:vAlign w:val="center"/>
          </w:tcPr>
          <w:p w14:paraId="40849E9E"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 xml:space="preserve">596.9 </w:t>
            </w:r>
          </w:p>
        </w:tc>
        <w:tc>
          <w:tcPr>
            <w:tcW w:w="510" w:type="dxa"/>
            <w:vAlign w:val="center"/>
          </w:tcPr>
          <w:p w14:paraId="3AC5F70E"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344</w:t>
            </w:r>
          </w:p>
        </w:tc>
        <w:tc>
          <w:tcPr>
            <w:tcW w:w="787" w:type="dxa"/>
            <w:vAlign w:val="center"/>
          </w:tcPr>
          <w:p w14:paraId="57A39DE4"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3AED0A72"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0.884</w:t>
            </w:r>
          </w:p>
        </w:tc>
        <w:tc>
          <w:tcPr>
            <w:tcW w:w="1040" w:type="dxa"/>
            <w:vAlign w:val="center"/>
          </w:tcPr>
          <w:p w14:paraId="32B6905B"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0.872</w:t>
            </w:r>
          </w:p>
        </w:tc>
        <w:tc>
          <w:tcPr>
            <w:tcW w:w="789" w:type="dxa"/>
            <w:vAlign w:val="center"/>
          </w:tcPr>
          <w:p w14:paraId="20CCBDD7"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0.069</w:t>
            </w:r>
          </w:p>
        </w:tc>
        <w:tc>
          <w:tcPr>
            <w:tcW w:w="849" w:type="dxa"/>
            <w:vAlign w:val="center"/>
          </w:tcPr>
          <w:p w14:paraId="699B9F38"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0.057</w:t>
            </w:r>
          </w:p>
        </w:tc>
        <w:tc>
          <w:tcPr>
            <w:tcW w:w="705" w:type="dxa"/>
            <w:vAlign w:val="center"/>
          </w:tcPr>
          <w:p w14:paraId="12381771"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0.049</w:t>
            </w:r>
          </w:p>
        </w:tc>
        <w:tc>
          <w:tcPr>
            <w:tcW w:w="839" w:type="dxa"/>
            <w:vAlign w:val="center"/>
          </w:tcPr>
          <w:p w14:paraId="0CE7F357"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0.065</w:t>
            </w:r>
          </w:p>
        </w:tc>
      </w:tr>
      <w:tr w:rsidR="007E0ABC" w:rsidRPr="004E02C7" w14:paraId="25D50E77" w14:textId="77777777" w:rsidTr="00D75B6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737805BD"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 xml:space="preserve">Model 5 – item 1 &amp; 32 dropped </w:t>
            </w:r>
          </w:p>
        </w:tc>
        <w:tc>
          <w:tcPr>
            <w:tcW w:w="860" w:type="dxa"/>
            <w:vAlign w:val="center"/>
          </w:tcPr>
          <w:p w14:paraId="5E810BA9"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 xml:space="preserve">614.1 </w:t>
            </w:r>
          </w:p>
        </w:tc>
        <w:tc>
          <w:tcPr>
            <w:tcW w:w="510" w:type="dxa"/>
            <w:vAlign w:val="center"/>
          </w:tcPr>
          <w:p w14:paraId="17A930BB"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344</w:t>
            </w:r>
          </w:p>
        </w:tc>
        <w:tc>
          <w:tcPr>
            <w:tcW w:w="787" w:type="dxa"/>
            <w:vAlign w:val="center"/>
          </w:tcPr>
          <w:p w14:paraId="50BF43B5"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5495656C"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0.877</w:t>
            </w:r>
          </w:p>
        </w:tc>
        <w:tc>
          <w:tcPr>
            <w:tcW w:w="1040" w:type="dxa"/>
            <w:vAlign w:val="center"/>
          </w:tcPr>
          <w:p w14:paraId="0260C4F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0.865</w:t>
            </w:r>
          </w:p>
        </w:tc>
        <w:tc>
          <w:tcPr>
            <w:tcW w:w="789" w:type="dxa"/>
            <w:vAlign w:val="center"/>
          </w:tcPr>
          <w:p w14:paraId="557009D2"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0.069</w:t>
            </w:r>
          </w:p>
        </w:tc>
        <w:tc>
          <w:tcPr>
            <w:tcW w:w="849" w:type="dxa"/>
            <w:vAlign w:val="center"/>
          </w:tcPr>
          <w:p w14:paraId="4635A6F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0.059</w:t>
            </w:r>
          </w:p>
        </w:tc>
        <w:tc>
          <w:tcPr>
            <w:tcW w:w="705" w:type="dxa"/>
            <w:vAlign w:val="center"/>
          </w:tcPr>
          <w:p w14:paraId="13523A61"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0.051</w:t>
            </w:r>
          </w:p>
        </w:tc>
        <w:tc>
          <w:tcPr>
            <w:tcW w:w="839" w:type="dxa"/>
            <w:vAlign w:val="center"/>
          </w:tcPr>
          <w:p w14:paraId="54965203"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0.066</w:t>
            </w:r>
          </w:p>
        </w:tc>
      </w:tr>
      <w:tr w:rsidR="007E0ABC" w:rsidRPr="004E02C7" w14:paraId="356D05EE" w14:textId="77777777" w:rsidTr="00D75B62">
        <w:trPr>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7998A8BE"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Model 6 – Item 1 dropped</w:t>
            </w:r>
          </w:p>
          <w:p w14:paraId="708E8618"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 xml:space="preserve"> EASE-F_27 ~~ EASE-F_29</w:t>
            </w:r>
          </w:p>
        </w:tc>
        <w:tc>
          <w:tcPr>
            <w:tcW w:w="860" w:type="dxa"/>
            <w:vAlign w:val="center"/>
          </w:tcPr>
          <w:p w14:paraId="26BB3756"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654.9</w:t>
            </w:r>
          </w:p>
        </w:tc>
        <w:tc>
          <w:tcPr>
            <w:tcW w:w="510" w:type="dxa"/>
            <w:vAlign w:val="center"/>
          </w:tcPr>
          <w:p w14:paraId="7746B861"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370</w:t>
            </w:r>
          </w:p>
        </w:tc>
        <w:tc>
          <w:tcPr>
            <w:tcW w:w="787" w:type="dxa"/>
            <w:vAlign w:val="center"/>
          </w:tcPr>
          <w:p w14:paraId="6F1C4EC8"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2C073E13"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0.875</w:t>
            </w:r>
          </w:p>
        </w:tc>
        <w:tc>
          <w:tcPr>
            <w:tcW w:w="1040" w:type="dxa"/>
            <w:vAlign w:val="center"/>
          </w:tcPr>
          <w:p w14:paraId="2CE53CA4"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0.863</w:t>
            </w:r>
          </w:p>
        </w:tc>
        <w:tc>
          <w:tcPr>
            <w:tcW w:w="789" w:type="dxa"/>
            <w:vAlign w:val="center"/>
          </w:tcPr>
          <w:p w14:paraId="71541BF8"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0.069</w:t>
            </w:r>
          </w:p>
        </w:tc>
        <w:tc>
          <w:tcPr>
            <w:tcW w:w="849" w:type="dxa"/>
            <w:vAlign w:val="center"/>
          </w:tcPr>
          <w:p w14:paraId="42C1E25E"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0.059</w:t>
            </w:r>
          </w:p>
        </w:tc>
        <w:tc>
          <w:tcPr>
            <w:tcW w:w="705" w:type="dxa"/>
            <w:vAlign w:val="center"/>
          </w:tcPr>
          <w:p w14:paraId="231611EF"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0.051</w:t>
            </w:r>
          </w:p>
        </w:tc>
        <w:tc>
          <w:tcPr>
            <w:tcW w:w="839" w:type="dxa"/>
            <w:vAlign w:val="center"/>
          </w:tcPr>
          <w:p w14:paraId="20BAB2E0"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0.066</w:t>
            </w:r>
          </w:p>
        </w:tc>
      </w:tr>
      <w:tr w:rsidR="007E0ABC" w:rsidRPr="004E02C7" w14:paraId="17732678" w14:textId="77777777" w:rsidTr="00D75B6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32894B09"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Model 7 – Item 1 &amp; 27 dropped</w:t>
            </w:r>
          </w:p>
        </w:tc>
        <w:tc>
          <w:tcPr>
            <w:tcW w:w="860" w:type="dxa"/>
            <w:vAlign w:val="center"/>
          </w:tcPr>
          <w:p w14:paraId="58106E5C"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615.5</w:t>
            </w:r>
          </w:p>
        </w:tc>
        <w:tc>
          <w:tcPr>
            <w:tcW w:w="510" w:type="dxa"/>
            <w:vAlign w:val="center"/>
          </w:tcPr>
          <w:p w14:paraId="0966B450"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344</w:t>
            </w:r>
          </w:p>
        </w:tc>
        <w:tc>
          <w:tcPr>
            <w:tcW w:w="787" w:type="dxa"/>
            <w:vAlign w:val="center"/>
          </w:tcPr>
          <w:p w14:paraId="44202253"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1FD1AC03"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0.875</w:t>
            </w:r>
          </w:p>
        </w:tc>
        <w:tc>
          <w:tcPr>
            <w:tcW w:w="1040" w:type="dxa"/>
            <w:vAlign w:val="center"/>
          </w:tcPr>
          <w:p w14:paraId="49C0AB1B"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0.863</w:t>
            </w:r>
          </w:p>
        </w:tc>
        <w:tc>
          <w:tcPr>
            <w:tcW w:w="789" w:type="dxa"/>
            <w:vAlign w:val="center"/>
          </w:tcPr>
          <w:p w14:paraId="7F71179A"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0.069</w:t>
            </w:r>
          </w:p>
        </w:tc>
        <w:tc>
          <w:tcPr>
            <w:tcW w:w="849" w:type="dxa"/>
            <w:vAlign w:val="center"/>
          </w:tcPr>
          <w:p w14:paraId="30A36542"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0.059</w:t>
            </w:r>
          </w:p>
        </w:tc>
        <w:tc>
          <w:tcPr>
            <w:tcW w:w="705" w:type="dxa"/>
            <w:vAlign w:val="center"/>
          </w:tcPr>
          <w:p w14:paraId="077067A0"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0.052</w:t>
            </w:r>
          </w:p>
        </w:tc>
        <w:tc>
          <w:tcPr>
            <w:tcW w:w="839" w:type="dxa"/>
            <w:vAlign w:val="center"/>
          </w:tcPr>
          <w:p w14:paraId="7E442602" w14:textId="77777777" w:rsidR="007E0ABC" w:rsidRPr="004E02C7" w:rsidRDefault="007E0ABC" w:rsidP="00D75B62">
            <w:pPr>
              <w:jc w:val="center"/>
              <w:cnfStyle w:val="000000100000" w:firstRow="0" w:lastRow="0" w:firstColumn="0" w:lastColumn="0" w:oddVBand="0" w:evenVBand="0" w:oddHBand="1" w:evenHBand="0" w:firstRowFirstColumn="0" w:firstRowLastColumn="0" w:lastRowFirstColumn="0" w:lastRowLastColumn="0"/>
              <w:rPr>
                <w:rFonts w:eastAsia="DengXian" w:cs="Arial"/>
                <w:sz w:val="16"/>
                <w:szCs w:val="16"/>
              </w:rPr>
            </w:pPr>
            <w:r w:rsidRPr="004E02C7">
              <w:rPr>
                <w:rFonts w:eastAsia="DengXian" w:cs="Arial"/>
                <w:sz w:val="16"/>
                <w:szCs w:val="16"/>
              </w:rPr>
              <w:t>0.067</w:t>
            </w:r>
          </w:p>
        </w:tc>
      </w:tr>
      <w:tr w:rsidR="007E0ABC" w:rsidRPr="004E02C7" w14:paraId="47DD1620" w14:textId="77777777" w:rsidTr="00D75B62">
        <w:trPr>
          <w:trHeight w:val="555"/>
        </w:trPr>
        <w:tc>
          <w:tcPr>
            <w:cnfStyle w:val="001000000000" w:firstRow="0" w:lastRow="0" w:firstColumn="1" w:lastColumn="0" w:oddVBand="0" w:evenVBand="0" w:oddHBand="0" w:evenHBand="0" w:firstRowFirstColumn="0" w:firstRowLastColumn="0" w:lastRowFirstColumn="0" w:lastRowLastColumn="0"/>
            <w:tcW w:w="1770" w:type="dxa"/>
            <w:vAlign w:val="center"/>
          </w:tcPr>
          <w:p w14:paraId="37979A4B" w14:textId="77777777" w:rsidR="007E0ABC" w:rsidRPr="004E02C7" w:rsidRDefault="007E0ABC" w:rsidP="00D75B62">
            <w:pPr>
              <w:jc w:val="center"/>
              <w:rPr>
                <w:rFonts w:ascii="Avenir Heavy" w:eastAsia="DengXian" w:hAnsi="Avenir Heavy" w:cs="Arial"/>
                <w:sz w:val="16"/>
                <w:szCs w:val="16"/>
              </w:rPr>
            </w:pPr>
            <w:r w:rsidRPr="004E02C7">
              <w:rPr>
                <w:rFonts w:ascii="Avenir Heavy" w:eastAsia="DengXian" w:hAnsi="Avenir Heavy" w:cs="Arial"/>
                <w:sz w:val="16"/>
                <w:szCs w:val="16"/>
              </w:rPr>
              <w:t>Model 8 – Item 1 &amp; 29 dropped</w:t>
            </w:r>
          </w:p>
        </w:tc>
        <w:tc>
          <w:tcPr>
            <w:tcW w:w="860" w:type="dxa"/>
            <w:vAlign w:val="center"/>
          </w:tcPr>
          <w:p w14:paraId="4E06FAC6"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617.6</w:t>
            </w:r>
          </w:p>
        </w:tc>
        <w:tc>
          <w:tcPr>
            <w:tcW w:w="510" w:type="dxa"/>
            <w:vAlign w:val="center"/>
          </w:tcPr>
          <w:p w14:paraId="7CCF5B5D"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344</w:t>
            </w:r>
          </w:p>
        </w:tc>
        <w:tc>
          <w:tcPr>
            <w:tcW w:w="787" w:type="dxa"/>
            <w:vAlign w:val="center"/>
          </w:tcPr>
          <w:p w14:paraId="39F0EC08"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0.000</w:t>
            </w:r>
          </w:p>
        </w:tc>
        <w:tc>
          <w:tcPr>
            <w:tcW w:w="979" w:type="dxa"/>
            <w:vAlign w:val="center"/>
          </w:tcPr>
          <w:p w14:paraId="6A9BC273"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0.876</w:t>
            </w:r>
          </w:p>
        </w:tc>
        <w:tc>
          <w:tcPr>
            <w:tcW w:w="1040" w:type="dxa"/>
            <w:vAlign w:val="center"/>
          </w:tcPr>
          <w:p w14:paraId="747FA3EB"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0.864</w:t>
            </w:r>
          </w:p>
        </w:tc>
        <w:tc>
          <w:tcPr>
            <w:tcW w:w="789" w:type="dxa"/>
            <w:vAlign w:val="center"/>
          </w:tcPr>
          <w:p w14:paraId="5FC06F05"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0.070</w:t>
            </w:r>
          </w:p>
        </w:tc>
        <w:tc>
          <w:tcPr>
            <w:tcW w:w="849" w:type="dxa"/>
            <w:vAlign w:val="center"/>
          </w:tcPr>
          <w:p w14:paraId="74700E5F"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0.059</w:t>
            </w:r>
          </w:p>
        </w:tc>
        <w:tc>
          <w:tcPr>
            <w:tcW w:w="705" w:type="dxa"/>
            <w:vAlign w:val="center"/>
          </w:tcPr>
          <w:p w14:paraId="09E44083"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0.052</w:t>
            </w:r>
          </w:p>
        </w:tc>
        <w:tc>
          <w:tcPr>
            <w:tcW w:w="839" w:type="dxa"/>
            <w:vAlign w:val="center"/>
          </w:tcPr>
          <w:p w14:paraId="148B8795" w14:textId="77777777" w:rsidR="007E0ABC" w:rsidRPr="004E02C7" w:rsidRDefault="007E0ABC" w:rsidP="00D75B62">
            <w:pPr>
              <w:jc w:val="center"/>
              <w:cnfStyle w:val="000000000000" w:firstRow="0" w:lastRow="0" w:firstColumn="0" w:lastColumn="0" w:oddVBand="0" w:evenVBand="0" w:oddHBand="0" w:evenHBand="0" w:firstRowFirstColumn="0" w:firstRowLastColumn="0" w:lastRowFirstColumn="0" w:lastRowLastColumn="0"/>
              <w:rPr>
                <w:rFonts w:eastAsia="DengXian" w:cs="Arial"/>
                <w:sz w:val="16"/>
                <w:szCs w:val="16"/>
              </w:rPr>
            </w:pPr>
            <w:r w:rsidRPr="004E02C7">
              <w:rPr>
                <w:rFonts w:eastAsia="DengXian" w:cs="Arial"/>
                <w:sz w:val="16"/>
                <w:szCs w:val="16"/>
              </w:rPr>
              <w:t>0.067</w:t>
            </w:r>
          </w:p>
        </w:tc>
      </w:tr>
    </w:tbl>
    <w:p w14:paraId="07A6AFE8" w14:textId="77777777" w:rsidR="007E0ABC" w:rsidRPr="004E02C7" w:rsidRDefault="007E0ABC" w:rsidP="004E02C7">
      <w:pPr>
        <w:rPr>
          <w:rFonts w:ascii="Avenir Heavy" w:hAnsi="Avenir Heavy"/>
          <w:b/>
          <w:bCs/>
        </w:rPr>
      </w:pPr>
    </w:p>
    <w:p w14:paraId="20B70870" w14:textId="77777777" w:rsidR="007E0ABC" w:rsidRDefault="007E0ABC" w:rsidP="000629A4"/>
    <w:p w14:paraId="28CB6A29" w14:textId="77777777" w:rsidR="007E0ABC" w:rsidRPr="00C260F1" w:rsidRDefault="007E0ABC" w:rsidP="004E02C7">
      <w:pPr>
        <w:rPr>
          <w:lang w:eastAsia="en-GB"/>
        </w:rPr>
      </w:pPr>
    </w:p>
    <w:p w14:paraId="1EB46696" w14:textId="77777777" w:rsidR="007E0ABC" w:rsidRDefault="007E0ABC">
      <w:r>
        <w:br w:type="page"/>
      </w:r>
    </w:p>
    <w:p w14:paraId="09D04B1B" w14:textId="77777777" w:rsidR="007E0ABC" w:rsidRPr="00716FF2" w:rsidRDefault="007E0ABC" w:rsidP="00716FF2">
      <w:pPr>
        <w:pStyle w:val="Subtitle"/>
        <w:spacing w:after="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D</w:t>
      </w:r>
      <w:r w:rsidRPr="00C260F1">
        <w:rPr>
          <w:rFonts w:ascii="Avenir Book" w:hAnsi="Avenir Book"/>
          <w:iCs/>
          <w:sz w:val="28"/>
          <w:szCs w:val="28"/>
        </w:rPr>
        <w:t xml:space="preserve"> – </w:t>
      </w:r>
      <w:r w:rsidRPr="0098395C">
        <w:rPr>
          <w:rFonts w:ascii="Avenir Book" w:hAnsi="Avenir Book"/>
          <w:iCs/>
          <w:sz w:val="28"/>
          <w:szCs w:val="28"/>
        </w:rPr>
        <w:t xml:space="preserve">Iterative </w:t>
      </w:r>
      <w:r>
        <w:rPr>
          <w:rFonts w:ascii="Avenir Book" w:hAnsi="Avenir Book"/>
          <w:iCs/>
          <w:sz w:val="28"/>
          <w:szCs w:val="28"/>
        </w:rPr>
        <w:t>P</w:t>
      </w:r>
      <w:r w:rsidRPr="0098395C">
        <w:rPr>
          <w:rFonts w:ascii="Avenir Book" w:hAnsi="Avenir Book"/>
          <w:iCs/>
          <w:sz w:val="28"/>
          <w:szCs w:val="28"/>
        </w:rPr>
        <w:t xml:space="preserve">rocess of </w:t>
      </w:r>
      <w:r>
        <w:rPr>
          <w:rFonts w:ascii="Avenir Book" w:hAnsi="Avenir Book"/>
          <w:iCs/>
          <w:sz w:val="28"/>
          <w:szCs w:val="28"/>
        </w:rPr>
        <w:t>EASE-F Scale</w:t>
      </w:r>
      <w:r w:rsidRPr="0098395C">
        <w:rPr>
          <w:rFonts w:ascii="Avenir Book" w:hAnsi="Avenir Book"/>
          <w:iCs/>
          <w:sz w:val="28"/>
          <w:szCs w:val="28"/>
        </w:rPr>
        <w:t xml:space="preserve"> </w:t>
      </w:r>
      <w:r>
        <w:rPr>
          <w:rFonts w:ascii="Avenir Book" w:hAnsi="Avenir Book"/>
          <w:iCs/>
          <w:sz w:val="28"/>
          <w:szCs w:val="28"/>
        </w:rPr>
        <w:t>R</w:t>
      </w:r>
      <w:r w:rsidRPr="0098395C">
        <w:rPr>
          <w:rFonts w:ascii="Avenir Book" w:hAnsi="Avenir Book"/>
          <w:iCs/>
          <w:sz w:val="28"/>
          <w:szCs w:val="28"/>
        </w:rPr>
        <w:t>efinement</w:t>
      </w:r>
    </w:p>
    <w:p w14:paraId="16DE10A5" w14:textId="77777777" w:rsidR="007E0ABC" w:rsidRDefault="007E0ABC" w:rsidP="00716FF2">
      <w:pPr>
        <w:pStyle w:val="ListParagraph"/>
        <w:jc w:val="center"/>
        <w:rPr>
          <w:sz w:val="21"/>
          <w:szCs w:val="28"/>
        </w:rPr>
      </w:pPr>
      <w:r>
        <w:rPr>
          <w:sz w:val="21"/>
          <w:szCs w:val="28"/>
        </w:rPr>
        <w:t xml:space="preserve">Table 34. </w:t>
      </w:r>
      <w:r w:rsidRPr="00716FF2">
        <w:rPr>
          <w:sz w:val="21"/>
          <w:szCs w:val="28"/>
        </w:rPr>
        <w:t>Self-efficacy scale</w:t>
      </w:r>
    </w:p>
    <w:p w14:paraId="60314881" w14:textId="77777777" w:rsidR="007E0ABC" w:rsidRPr="00716FF2" w:rsidRDefault="007E0ABC" w:rsidP="00716FF2">
      <w:pPr>
        <w:pStyle w:val="ListParagraph"/>
        <w:jc w:val="center"/>
        <w:rPr>
          <w:sz w:val="21"/>
          <w:szCs w:val="28"/>
        </w:rPr>
      </w:pPr>
    </w:p>
    <w:p w14:paraId="5DB77067" w14:textId="77777777" w:rsidR="007E0ABC" w:rsidRPr="00BD6250" w:rsidRDefault="007E0ABC" w:rsidP="00716FF2">
      <w:pPr>
        <w:pStyle w:val="ListParagraph"/>
        <w:spacing w:after="160"/>
        <w:rPr>
          <w:szCs w:val="20"/>
          <w:u w:val="single"/>
        </w:rPr>
      </w:pPr>
      <w:proofErr w:type="spellStart"/>
      <w:r>
        <w:rPr>
          <w:szCs w:val="20"/>
          <w:u w:val="single"/>
        </w:rPr>
        <w:t>A.</w:t>
      </w:r>
      <w:r w:rsidRPr="0098395C">
        <w:rPr>
          <w:szCs w:val="20"/>
          <w:u w:val="single"/>
        </w:rPr>
        <w:t>Category</w:t>
      </w:r>
      <w:proofErr w:type="spellEnd"/>
      <w:r w:rsidRPr="0098395C">
        <w:rPr>
          <w:szCs w:val="20"/>
          <w:u w:val="single"/>
        </w:rPr>
        <w:t xml:space="preserve"> Functioning and Thresholds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541"/>
        <w:gridCol w:w="1134"/>
        <w:gridCol w:w="851"/>
        <w:gridCol w:w="999"/>
        <w:gridCol w:w="1095"/>
        <w:gridCol w:w="883"/>
        <w:gridCol w:w="632"/>
        <w:gridCol w:w="555"/>
        <w:gridCol w:w="1222"/>
      </w:tblGrid>
      <w:tr w:rsidR="007E0ABC" w:rsidRPr="0098395C" w14:paraId="7DF9BC7B" w14:textId="77777777" w:rsidTr="0098395C">
        <w:tc>
          <w:tcPr>
            <w:tcW w:w="1155" w:type="dxa"/>
          </w:tcPr>
          <w:p w14:paraId="615FFCB4"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Model</w:t>
            </w:r>
          </w:p>
        </w:tc>
        <w:tc>
          <w:tcPr>
            <w:tcW w:w="541" w:type="dxa"/>
          </w:tcPr>
          <w:p w14:paraId="3A6E64B3"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Cat label</w:t>
            </w:r>
          </w:p>
        </w:tc>
        <w:tc>
          <w:tcPr>
            <w:tcW w:w="1134" w:type="dxa"/>
          </w:tcPr>
          <w:p w14:paraId="381A02AA"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Cat Count (%)</w:t>
            </w:r>
          </w:p>
        </w:tc>
        <w:tc>
          <w:tcPr>
            <w:tcW w:w="851" w:type="dxa"/>
          </w:tcPr>
          <w:p w14:paraId="58E51337"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Av cat measure (</w:t>
            </w:r>
            <w:proofErr w:type="spellStart"/>
            <w:r w:rsidRPr="0098395C">
              <w:rPr>
                <w:rFonts w:ascii="Avenir Heavy" w:hAnsi="Avenir Heavy"/>
                <w:b/>
                <w:bCs/>
                <w:sz w:val="16"/>
                <w:szCs w:val="16"/>
              </w:rPr>
              <w:t>ob</w:t>
            </w:r>
            <w:proofErr w:type="spellEnd"/>
            <w:r w:rsidRPr="0098395C">
              <w:rPr>
                <w:rFonts w:ascii="Avenir Heavy" w:hAnsi="Avenir Heavy"/>
                <w:b/>
                <w:bCs/>
                <w:sz w:val="16"/>
                <w:szCs w:val="16"/>
              </w:rPr>
              <w:t>)</w:t>
            </w:r>
          </w:p>
        </w:tc>
        <w:tc>
          <w:tcPr>
            <w:tcW w:w="999" w:type="dxa"/>
          </w:tcPr>
          <w:p w14:paraId="671F0E8D"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Expected measure</w:t>
            </w:r>
          </w:p>
        </w:tc>
        <w:tc>
          <w:tcPr>
            <w:tcW w:w="1095" w:type="dxa"/>
          </w:tcPr>
          <w:p w14:paraId="2D7E34CE"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Infit/Outfit MNSQ</w:t>
            </w:r>
          </w:p>
        </w:tc>
        <w:tc>
          <w:tcPr>
            <w:tcW w:w="883" w:type="dxa"/>
          </w:tcPr>
          <w:p w14:paraId="5DBC86CB"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 xml:space="preserve">Andrich </w:t>
            </w:r>
          </w:p>
        </w:tc>
        <w:tc>
          <w:tcPr>
            <w:tcW w:w="632" w:type="dxa"/>
          </w:tcPr>
          <w:p w14:paraId="248C1049"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M-C</w:t>
            </w:r>
          </w:p>
        </w:tc>
        <w:tc>
          <w:tcPr>
            <w:tcW w:w="555" w:type="dxa"/>
          </w:tcPr>
          <w:p w14:paraId="2C5981A2"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C-M</w:t>
            </w:r>
          </w:p>
        </w:tc>
        <w:tc>
          <w:tcPr>
            <w:tcW w:w="1222" w:type="dxa"/>
          </w:tcPr>
          <w:p w14:paraId="00CEF7C7"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Comment/</w:t>
            </w:r>
          </w:p>
          <w:p w14:paraId="1F042B31"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decision</w:t>
            </w:r>
          </w:p>
        </w:tc>
      </w:tr>
      <w:tr w:rsidR="007E0ABC" w:rsidRPr="0098395C" w14:paraId="13F33A59" w14:textId="77777777" w:rsidTr="0098395C">
        <w:trPr>
          <w:trHeight w:val="298"/>
        </w:trPr>
        <w:tc>
          <w:tcPr>
            <w:tcW w:w="1155" w:type="dxa"/>
            <w:vMerge w:val="restart"/>
          </w:tcPr>
          <w:p w14:paraId="70C0C38A"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Original model</w:t>
            </w:r>
          </w:p>
        </w:tc>
        <w:tc>
          <w:tcPr>
            <w:tcW w:w="541" w:type="dxa"/>
          </w:tcPr>
          <w:p w14:paraId="2E1A6950" w14:textId="77777777" w:rsidR="007E0ABC" w:rsidRPr="0098395C" w:rsidRDefault="007E0ABC" w:rsidP="0098395C">
            <w:pPr>
              <w:rPr>
                <w:sz w:val="16"/>
                <w:szCs w:val="16"/>
              </w:rPr>
            </w:pPr>
            <w:r w:rsidRPr="0098395C">
              <w:rPr>
                <w:sz w:val="16"/>
                <w:szCs w:val="16"/>
              </w:rPr>
              <w:t>1</w:t>
            </w:r>
          </w:p>
        </w:tc>
        <w:tc>
          <w:tcPr>
            <w:tcW w:w="1134" w:type="dxa"/>
          </w:tcPr>
          <w:p w14:paraId="4646F65B" w14:textId="77777777" w:rsidR="007E0ABC" w:rsidRPr="0098395C" w:rsidRDefault="007E0ABC" w:rsidP="0098395C">
            <w:pPr>
              <w:rPr>
                <w:sz w:val="16"/>
                <w:szCs w:val="16"/>
              </w:rPr>
            </w:pPr>
            <w:r w:rsidRPr="0098395C">
              <w:rPr>
                <w:sz w:val="16"/>
                <w:szCs w:val="16"/>
              </w:rPr>
              <w:t>1420 (29)</w:t>
            </w:r>
          </w:p>
        </w:tc>
        <w:tc>
          <w:tcPr>
            <w:tcW w:w="851" w:type="dxa"/>
          </w:tcPr>
          <w:p w14:paraId="2B65E829" w14:textId="77777777" w:rsidR="007E0ABC" w:rsidRPr="0098395C" w:rsidRDefault="007E0ABC" w:rsidP="0098395C">
            <w:pPr>
              <w:tabs>
                <w:tab w:val="left" w:pos="975"/>
              </w:tabs>
              <w:rPr>
                <w:sz w:val="16"/>
                <w:szCs w:val="16"/>
              </w:rPr>
            </w:pPr>
            <w:r w:rsidRPr="0098395C">
              <w:rPr>
                <w:sz w:val="16"/>
                <w:szCs w:val="16"/>
              </w:rPr>
              <w:t>-1.22</w:t>
            </w:r>
          </w:p>
        </w:tc>
        <w:tc>
          <w:tcPr>
            <w:tcW w:w="999" w:type="dxa"/>
          </w:tcPr>
          <w:p w14:paraId="7F884455" w14:textId="77777777" w:rsidR="007E0ABC" w:rsidRPr="0098395C" w:rsidRDefault="007E0ABC" w:rsidP="0098395C">
            <w:pPr>
              <w:rPr>
                <w:sz w:val="16"/>
                <w:szCs w:val="16"/>
              </w:rPr>
            </w:pPr>
            <w:r w:rsidRPr="0098395C">
              <w:rPr>
                <w:sz w:val="16"/>
                <w:szCs w:val="16"/>
              </w:rPr>
              <w:t>-1.16</w:t>
            </w:r>
          </w:p>
        </w:tc>
        <w:tc>
          <w:tcPr>
            <w:tcW w:w="1095" w:type="dxa"/>
          </w:tcPr>
          <w:p w14:paraId="29B2701C" w14:textId="77777777" w:rsidR="007E0ABC" w:rsidRPr="0098395C" w:rsidRDefault="007E0ABC" w:rsidP="0098395C">
            <w:pPr>
              <w:rPr>
                <w:sz w:val="16"/>
                <w:szCs w:val="16"/>
              </w:rPr>
            </w:pPr>
            <w:r w:rsidRPr="0098395C">
              <w:rPr>
                <w:sz w:val="16"/>
                <w:szCs w:val="16"/>
              </w:rPr>
              <w:t>0.92/0.96</w:t>
            </w:r>
          </w:p>
        </w:tc>
        <w:tc>
          <w:tcPr>
            <w:tcW w:w="883" w:type="dxa"/>
          </w:tcPr>
          <w:p w14:paraId="3D83A622" w14:textId="77777777" w:rsidR="007E0ABC" w:rsidRPr="0098395C" w:rsidRDefault="007E0ABC" w:rsidP="0098395C">
            <w:pPr>
              <w:rPr>
                <w:sz w:val="16"/>
                <w:szCs w:val="16"/>
              </w:rPr>
            </w:pPr>
            <w:r w:rsidRPr="0098395C">
              <w:rPr>
                <w:sz w:val="16"/>
                <w:szCs w:val="16"/>
              </w:rPr>
              <w:t>-</w:t>
            </w:r>
          </w:p>
        </w:tc>
        <w:tc>
          <w:tcPr>
            <w:tcW w:w="632" w:type="dxa"/>
          </w:tcPr>
          <w:p w14:paraId="7E893685" w14:textId="77777777" w:rsidR="007E0ABC" w:rsidRPr="0098395C" w:rsidRDefault="007E0ABC" w:rsidP="0098395C">
            <w:pPr>
              <w:rPr>
                <w:sz w:val="16"/>
                <w:szCs w:val="16"/>
              </w:rPr>
            </w:pPr>
            <w:r w:rsidRPr="0098395C">
              <w:rPr>
                <w:sz w:val="16"/>
                <w:szCs w:val="16"/>
              </w:rPr>
              <w:t>81%</w:t>
            </w:r>
          </w:p>
        </w:tc>
        <w:tc>
          <w:tcPr>
            <w:tcW w:w="555" w:type="dxa"/>
          </w:tcPr>
          <w:p w14:paraId="70FD9A27" w14:textId="77777777" w:rsidR="007E0ABC" w:rsidRPr="0098395C" w:rsidRDefault="007E0ABC" w:rsidP="0098395C">
            <w:pPr>
              <w:rPr>
                <w:sz w:val="16"/>
                <w:szCs w:val="16"/>
              </w:rPr>
            </w:pPr>
            <w:r w:rsidRPr="0098395C">
              <w:rPr>
                <w:sz w:val="16"/>
                <w:szCs w:val="16"/>
              </w:rPr>
              <w:t>34%</w:t>
            </w:r>
          </w:p>
        </w:tc>
        <w:tc>
          <w:tcPr>
            <w:tcW w:w="1222" w:type="dxa"/>
            <w:vMerge w:val="restart"/>
          </w:tcPr>
          <w:p w14:paraId="4C0FC487" w14:textId="77777777" w:rsidR="007E0ABC" w:rsidRPr="0098395C" w:rsidRDefault="007E0ABC" w:rsidP="0098395C">
            <w:pPr>
              <w:rPr>
                <w:sz w:val="16"/>
                <w:szCs w:val="16"/>
              </w:rPr>
            </w:pPr>
            <w:r w:rsidRPr="0098395C">
              <w:rPr>
                <w:sz w:val="16"/>
                <w:szCs w:val="16"/>
              </w:rPr>
              <w:t>all guidelines satisfied except &gt;1.4 logit separation, and &gt;40% m-c/c-m</w:t>
            </w:r>
          </w:p>
        </w:tc>
      </w:tr>
      <w:tr w:rsidR="007E0ABC" w:rsidRPr="0098395C" w14:paraId="33CF4783" w14:textId="77777777" w:rsidTr="0098395C">
        <w:trPr>
          <w:trHeight w:val="298"/>
        </w:trPr>
        <w:tc>
          <w:tcPr>
            <w:tcW w:w="1155" w:type="dxa"/>
            <w:vMerge/>
          </w:tcPr>
          <w:p w14:paraId="751230DC" w14:textId="77777777" w:rsidR="007E0ABC" w:rsidRPr="0098395C" w:rsidRDefault="007E0ABC" w:rsidP="0098395C">
            <w:pPr>
              <w:widowControl w:val="0"/>
              <w:rPr>
                <w:rFonts w:ascii="Avenir Heavy" w:hAnsi="Avenir Heavy"/>
                <w:b/>
                <w:bCs/>
                <w:sz w:val="16"/>
                <w:szCs w:val="16"/>
              </w:rPr>
            </w:pPr>
          </w:p>
        </w:tc>
        <w:tc>
          <w:tcPr>
            <w:tcW w:w="541" w:type="dxa"/>
          </w:tcPr>
          <w:p w14:paraId="55E96188" w14:textId="77777777" w:rsidR="007E0ABC" w:rsidRPr="0098395C" w:rsidRDefault="007E0ABC" w:rsidP="0098395C">
            <w:pPr>
              <w:rPr>
                <w:sz w:val="16"/>
                <w:szCs w:val="16"/>
              </w:rPr>
            </w:pPr>
            <w:r w:rsidRPr="0098395C">
              <w:rPr>
                <w:sz w:val="16"/>
                <w:szCs w:val="16"/>
              </w:rPr>
              <w:t>2</w:t>
            </w:r>
          </w:p>
        </w:tc>
        <w:tc>
          <w:tcPr>
            <w:tcW w:w="1134" w:type="dxa"/>
          </w:tcPr>
          <w:p w14:paraId="754F70C0" w14:textId="77777777" w:rsidR="007E0ABC" w:rsidRPr="0098395C" w:rsidRDefault="007E0ABC" w:rsidP="0098395C">
            <w:pPr>
              <w:rPr>
                <w:sz w:val="16"/>
                <w:szCs w:val="16"/>
              </w:rPr>
            </w:pPr>
            <w:r w:rsidRPr="0098395C">
              <w:rPr>
                <w:sz w:val="16"/>
                <w:szCs w:val="16"/>
              </w:rPr>
              <w:t>1066 (22)</w:t>
            </w:r>
          </w:p>
        </w:tc>
        <w:tc>
          <w:tcPr>
            <w:tcW w:w="851" w:type="dxa"/>
          </w:tcPr>
          <w:p w14:paraId="03A5677F" w14:textId="77777777" w:rsidR="007E0ABC" w:rsidRPr="0098395C" w:rsidRDefault="007E0ABC" w:rsidP="0098395C">
            <w:pPr>
              <w:tabs>
                <w:tab w:val="left" w:pos="975"/>
              </w:tabs>
              <w:rPr>
                <w:sz w:val="16"/>
                <w:szCs w:val="16"/>
              </w:rPr>
            </w:pPr>
            <w:r w:rsidRPr="0098395C">
              <w:rPr>
                <w:sz w:val="16"/>
                <w:szCs w:val="16"/>
              </w:rPr>
              <w:t>-0.61</w:t>
            </w:r>
          </w:p>
        </w:tc>
        <w:tc>
          <w:tcPr>
            <w:tcW w:w="999" w:type="dxa"/>
          </w:tcPr>
          <w:p w14:paraId="7B801C6B" w14:textId="77777777" w:rsidR="007E0ABC" w:rsidRPr="0098395C" w:rsidRDefault="007E0ABC" w:rsidP="0098395C">
            <w:pPr>
              <w:rPr>
                <w:sz w:val="16"/>
                <w:szCs w:val="16"/>
              </w:rPr>
            </w:pPr>
            <w:r w:rsidRPr="0098395C">
              <w:rPr>
                <w:sz w:val="16"/>
                <w:szCs w:val="16"/>
              </w:rPr>
              <w:t>-0.70</w:t>
            </w:r>
          </w:p>
        </w:tc>
        <w:tc>
          <w:tcPr>
            <w:tcW w:w="1095" w:type="dxa"/>
          </w:tcPr>
          <w:p w14:paraId="7CCF384B" w14:textId="77777777" w:rsidR="007E0ABC" w:rsidRPr="0098395C" w:rsidRDefault="007E0ABC" w:rsidP="0098395C">
            <w:pPr>
              <w:rPr>
                <w:sz w:val="16"/>
                <w:szCs w:val="16"/>
              </w:rPr>
            </w:pPr>
            <w:r w:rsidRPr="0098395C">
              <w:rPr>
                <w:sz w:val="16"/>
                <w:szCs w:val="16"/>
              </w:rPr>
              <w:t>1.12/1.11</w:t>
            </w:r>
          </w:p>
        </w:tc>
        <w:tc>
          <w:tcPr>
            <w:tcW w:w="883" w:type="dxa"/>
          </w:tcPr>
          <w:p w14:paraId="34AF862A" w14:textId="77777777" w:rsidR="007E0ABC" w:rsidRPr="0098395C" w:rsidRDefault="007E0ABC" w:rsidP="0098395C">
            <w:pPr>
              <w:rPr>
                <w:sz w:val="16"/>
                <w:szCs w:val="16"/>
              </w:rPr>
            </w:pPr>
            <w:r w:rsidRPr="0098395C">
              <w:rPr>
                <w:sz w:val="16"/>
                <w:szCs w:val="16"/>
              </w:rPr>
              <w:t>-0.67</w:t>
            </w:r>
          </w:p>
        </w:tc>
        <w:tc>
          <w:tcPr>
            <w:tcW w:w="632" w:type="dxa"/>
          </w:tcPr>
          <w:p w14:paraId="4CBAC8E8" w14:textId="77777777" w:rsidR="007E0ABC" w:rsidRPr="0098395C" w:rsidRDefault="007E0ABC" w:rsidP="0098395C">
            <w:pPr>
              <w:rPr>
                <w:sz w:val="16"/>
                <w:szCs w:val="16"/>
              </w:rPr>
            </w:pPr>
            <w:r w:rsidRPr="0098395C">
              <w:rPr>
                <w:sz w:val="16"/>
                <w:szCs w:val="16"/>
              </w:rPr>
              <w:t>31%</w:t>
            </w:r>
          </w:p>
        </w:tc>
        <w:tc>
          <w:tcPr>
            <w:tcW w:w="555" w:type="dxa"/>
          </w:tcPr>
          <w:p w14:paraId="34BA4958" w14:textId="77777777" w:rsidR="007E0ABC" w:rsidRPr="0098395C" w:rsidRDefault="007E0ABC" w:rsidP="0098395C">
            <w:pPr>
              <w:rPr>
                <w:sz w:val="16"/>
                <w:szCs w:val="16"/>
              </w:rPr>
            </w:pPr>
            <w:r w:rsidRPr="0098395C">
              <w:rPr>
                <w:sz w:val="16"/>
                <w:szCs w:val="16"/>
              </w:rPr>
              <w:t>54%</w:t>
            </w:r>
          </w:p>
        </w:tc>
        <w:tc>
          <w:tcPr>
            <w:tcW w:w="1222" w:type="dxa"/>
            <w:vMerge/>
          </w:tcPr>
          <w:p w14:paraId="699C7F5F" w14:textId="77777777" w:rsidR="007E0ABC" w:rsidRPr="0098395C" w:rsidRDefault="007E0ABC" w:rsidP="0098395C">
            <w:pPr>
              <w:widowControl w:val="0"/>
              <w:rPr>
                <w:sz w:val="16"/>
                <w:szCs w:val="16"/>
              </w:rPr>
            </w:pPr>
          </w:p>
        </w:tc>
      </w:tr>
      <w:tr w:rsidR="007E0ABC" w:rsidRPr="0098395C" w14:paraId="01522140" w14:textId="77777777" w:rsidTr="0098395C">
        <w:trPr>
          <w:trHeight w:val="298"/>
        </w:trPr>
        <w:tc>
          <w:tcPr>
            <w:tcW w:w="1155" w:type="dxa"/>
            <w:vMerge/>
          </w:tcPr>
          <w:p w14:paraId="31F74AED" w14:textId="77777777" w:rsidR="007E0ABC" w:rsidRPr="0098395C" w:rsidRDefault="007E0ABC" w:rsidP="0098395C">
            <w:pPr>
              <w:widowControl w:val="0"/>
              <w:rPr>
                <w:rFonts w:ascii="Avenir Heavy" w:hAnsi="Avenir Heavy"/>
                <w:b/>
                <w:bCs/>
                <w:sz w:val="16"/>
                <w:szCs w:val="16"/>
              </w:rPr>
            </w:pPr>
          </w:p>
        </w:tc>
        <w:tc>
          <w:tcPr>
            <w:tcW w:w="541" w:type="dxa"/>
          </w:tcPr>
          <w:p w14:paraId="770233DF" w14:textId="77777777" w:rsidR="007E0ABC" w:rsidRPr="0098395C" w:rsidRDefault="007E0ABC" w:rsidP="0098395C">
            <w:pPr>
              <w:rPr>
                <w:sz w:val="16"/>
                <w:szCs w:val="16"/>
              </w:rPr>
            </w:pPr>
            <w:r w:rsidRPr="0098395C">
              <w:rPr>
                <w:sz w:val="16"/>
                <w:szCs w:val="16"/>
              </w:rPr>
              <w:t>3</w:t>
            </w:r>
          </w:p>
        </w:tc>
        <w:tc>
          <w:tcPr>
            <w:tcW w:w="1134" w:type="dxa"/>
          </w:tcPr>
          <w:p w14:paraId="2A8CE0AF" w14:textId="77777777" w:rsidR="007E0ABC" w:rsidRPr="0098395C" w:rsidRDefault="007E0ABC" w:rsidP="0098395C">
            <w:pPr>
              <w:rPr>
                <w:sz w:val="16"/>
                <w:szCs w:val="16"/>
              </w:rPr>
            </w:pPr>
            <w:r w:rsidRPr="0098395C">
              <w:rPr>
                <w:sz w:val="16"/>
                <w:szCs w:val="16"/>
              </w:rPr>
              <w:t>1000 (20)</w:t>
            </w:r>
          </w:p>
        </w:tc>
        <w:tc>
          <w:tcPr>
            <w:tcW w:w="851" w:type="dxa"/>
          </w:tcPr>
          <w:p w14:paraId="799457FC" w14:textId="77777777" w:rsidR="007E0ABC" w:rsidRPr="0098395C" w:rsidRDefault="007E0ABC" w:rsidP="0098395C">
            <w:pPr>
              <w:tabs>
                <w:tab w:val="left" w:pos="975"/>
              </w:tabs>
              <w:rPr>
                <w:sz w:val="16"/>
                <w:szCs w:val="16"/>
              </w:rPr>
            </w:pPr>
            <w:r w:rsidRPr="0098395C">
              <w:rPr>
                <w:sz w:val="16"/>
                <w:szCs w:val="16"/>
              </w:rPr>
              <w:t>-0.24</w:t>
            </w:r>
          </w:p>
        </w:tc>
        <w:tc>
          <w:tcPr>
            <w:tcW w:w="999" w:type="dxa"/>
          </w:tcPr>
          <w:p w14:paraId="4B006A83" w14:textId="77777777" w:rsidR="007E0ABC" w:rsidRPr="0098395C" w:rsidRDefault="007E0ABC" w:rsidP="0098395C">
            <w:pPr>
              <w:rPr>
                <w:sz w:val="16"/>
                <w:szCs w:val="16"/>
              </w:rPr>
            </w:pPr>
            <w:r w:rsidRPr="0098395C">
              <w:rPr>
                <w:sz w:val="16"/>
                <w:szCs w:val="16"/>
              </w:rPr>
              <w:t>-0.27</w:t>
            </w:r>
          </w:p>
        </w:tc>
        <w:tc>
          <w:tcPr>
            <w:tcW w:w="1095" w:type="dxa"/>
          </w:tcPr>
          <w:p w14:paraId="6A03091E" w14:textId="77777777" w:rsidR="007E0ABC" w:rsidRPr="0098395C" w:rsidRDefault="007E0ABC" w:rsidP="0098395C">
            <w:pPr>
              <w:rPr>
                <w:sz w:val="16"/>
                <w:szCs w:val="16"/>
              </w:rPr>
            </w:pPr>
            <w:r w:rsidRPr="0098395C">
              <w:rPr>
                <w:sz w:val="16"/>
                <w:szCs w:val="16"/>
              </w:rPr>
              <w:t>0.93/0.91</w:t>
            </w:r>
          </w:p>
        </w:tc>
        <w:tc>
          <w:tcPr>
            <w:tcW w:w="883" w:type="dxa"/>
          </w:tcPr>
          <w:p w14:paraId="1181A276" w14:textId="77777777" w:rsidR="007E0ABC" w:rsidRPr="0098395C" w:rsidRDefault="007E0ABC" w:rsidP="0098395C">
            <w:pPr>
              <w:rPr>
                <w:sz w:val="16"/>
                <w:szCs w:val="16"/>
              </w:rPr>
            </w:pPr>
            <w:r w:rsidRPr="0098395C">
              <w:rPr>
                <w:sz w:val="16"/>
                <w:szCs w:val="16"/>
              </w:rPr>
              <w:t>-0.42</w:t>
            </w:r>
          </w:p>
        </w:tc>
        <w:tc>
          <w:tcPr>
            <w:tcW w:w="632" w:type="dxa"/>
          </w:tcPr>
          <w:p w14:paraId="3542452F" w14:textId="77777777" w:rsidR="007E0ABC" w:rsidRPr="0098395C" w:rsidRDefault="007E0ABC" w:rsidP="0098395C">
            <w:pPr>
              <w:rPr>
                <w:sz w:val="16"/>
                <w:szCs w:val="16"/>
              </w:rPr>
            </w:pPr>
            <w:r w:rsidRPr="0098395C">
              <w:rPr>
                <w:sz w:val="16"/>
                <w:szCs w:val="16"/>
              </w:rPr>
              <w:t>30%</w:t>
            </w:r>
          </w:p>
        </w:tc>
        <w:tc>
          <w:tcPr>
            <w:tcW w:w="555" w:type="dxa"/>
          </w:tcPr>
          <w:p w14:paraId="4A64FE61" w14:textId="77777777" w:rsidR="007E0ABC" w:rsidRPr="0098395C" w:rsidRDefault="007E0ABC" w:rsidP="0098395C">
            <w:pPr>
              <w:rPr>
                <w:sz w:val="16"/>
                <w:szCs w:val="16"/>
              </w:rPr>
            </w:pPr>
            <w:r w:rsidRPr="0098395C">
              <w:rPr>
                <w:sz w:val="16"/>
                <w:szCs w:val="16"/>
              </w:rPr>
              <w:t>44%</w:t>
            </w:r>
          </w:p>
        </w:tc>
        <w:tc>
          <w:tcPr>
            <w:tcW w:w="1222" w:type="dxa"/>
            <w:vMerge/>
          </w:tcPr>
          <w:p w14:paraId="1F7FB511" w14:textId="77777777" w:rsidR="007E0ABC" w:rsidRPr="0098395C" w:rsidRDefault="007E0ABC" w:rsidP="0098395C">
            <w:pPr>
              <w:widowControl w:val="0"/>
              <w:rPr>
                <w:sz w:val="16"/>
                <w:szCs w:val="16"/>
              </w:rPr>
            </w:pPr>
          </w:p>
        </w:tc>
      </w:tr>
      <w:tr w:rsidR="007E0ABC" w:rsidRPr="0098395C" w14:paraId="00782492" w14:textId="77777777" w:rsidTr="0098395C">
        <w:trPr>
          <w:trHeight w:val="298"/>
        </w:trPr>
        <w:tc>
          <w:tcPr>
            <w:tcW w:w="1155" w:type="dxa"/>
            <w:vMerge/>
          </w:tcPr>
          <w:p w14:paraId="46D24015" w14:textId="77777777" w:rsidR="007E0ABC" w:rsidRPr="0098395C" w:rsidRDefault="007E0ABC" w:rsidP="0098395C">
            <w:pPr>
              <w:widowControl w:val="0"/>
              <w:rPr>
                <w:rFonts w:ascii="Avenir Heavy" w:hAnsi="Avenir Heavy"/>
                <w:b/>
                <w:bCs/>
                <w:sz w:val="16"/>
                <w:szCs w:val="16"/>
              </w:rPr>
            </w:pPr>
          </w:p>
        </w:tc>
        <w:tc>
          <w:tcPr>
            <w:tcW w:w="541" w:type="dxa"/>
          </w:tcPr>
          <w:p w14:paraId="0AF14970" w14:textId="77777777" w:rsidR="007E0ABC" w:rsidRPr="0098395C" w:rsidRDefault="007E0ABC" w:rsidP="0098395C">
            <w:pPr>
              <w:rPr>
                <w:sz w:val="16"/>
                <w:szCs w:val="16"/>
              </w:rPr>
            </w:pPr>
            <w:r w:rsidRPr="0098395C">
              <w:rPr>
                <w:sz w:val="16"/>
                <w:szCs w:val="16"/>
              </w:rPr>
              <w:t>4</w:t>
            </w:r>
          </w:p>
        </w:tc>
        <w:tc>
          <w:tcPr>
            <w:tcW w:w="1134" w:type="dxa"/>
          </w:tcPr>
          <w:p w14:paraId="659B0A87" w14:textId="77777777" w:rsidR="007E0ABC" w:rsidRPr="0098395C" w:rsidRDefault="007E0ABC" w:rsidP="0098395C">
            <w:pPr>
              <w:rPr>
                <w:sz w:val="16"/>
                <w:szCs w:val="16"/>
              </w:rPr>
            </w:pPr>
            <w:r w:rsidRPr="0098395C">
              <w:rPr>
                <w:sz w:val="16"/>
                <w:szCs w:val="16"/>
              </w:rPr>
              <w:t>896 (18)</w:t>
            </w:r>
          </w:p>
        </w:tc>
        <w:tc>
          <w:tcPr>
            <w:tcW w:w="851" w:type="dxa"/>
          </w:tcPr>
          <w:p w14:paraId="07EFC9C5" w14:textId="77777777" w:rsidR="007E0ABC" w:rsidRPr="0098395C" w:rsidRDefault="007E0ABC" w:rsidP="0098395C">
            <w:pPr>
              <w:tabs>
                <w:tab w:val="left" w:pos="975"/>
              </w:tabs>
              <w:rPr>
                <w:sz w:val="16"/>
                <w:szCs w:val="16"/>
              </w:rPr>
            </w:pPr>
            <w:r w:rsidRPr="0098395C">
              <w:rPr>
                <w:sz w:val="16"/>
                <w:szCs w:val="16"/>
              </w:rPr>
              <w:t>0.24</w:t>
            </w:r>
          </w:p>
        </w:tc>
        <w:tc>
          <w:tcPr>
            <w:tcW w:w="999" w:type="dxa"/>
          </w:tcPr>
          <w:p w14:paraId="151C2D30" w14:textId="77777777" w:rsidR="007E0ABC" w:rsidRPr="0098395C" w:rsidRDefault="007E0ABC" w:rsidP="0098395C">
            <w:pPr>
              <w:rPr>
                <w:sz w:val="16"/>
                <w:szCs w:val="16"/>
              </w:rPr>
            </w:pPr>
            <w:r w:rsidRPr="0098395C">
              <w:rPr>
                <w:sz w:val="16"/>
                <w:szCs w:val="16"/>
              </w:rPr>
              <w:t>0.22</w:t>
            </w:r>
          </w:p>
        </w:tc>
        <w:tc>
          <w:tcPr>
            <w:tcW w:w="1095" w:type="dxa"/>
          </w:tcPr>
          <w:p w14:paraId="74FE3AC3" w14:textId="77777777" w:rsidR="007E0ABC" w:rsidRPr="0098395C" w:rsidRDefault="007E0ABC" w:rsidP="0098395C">
            <w:pPr>
              <w:rPr>
                <w:sz w:val="16"/>
                <w:szCs w:val="16"/>
              </w:rPr>
            </w:pPr>
            <w:r w:rsidRPr="0098395C">
              <w:rPr>
                <w:sz w:val="16"/>
                <w:szCs w:val="16"/>
              </w:rPr>
              <w:t>0.96/0.92</w:t>
            </w:r>
          </w:p>
        </w:tc>
        <w:tc>
          <w:tcPr>
            <w:tcW w:w="883" w:type="dxa"/>
          </w:tcPr>
          <w:p w14:paraId="5821511C" w14:textId="77777777" w:rsidR="007E0ABC" w:rsidRPr="0098395C" w:rsidRDefault="007E0ABC" w:rsidP="0098395C">
            <w:pPr>
              <w:rPr>
                <w:sz w:val="16"/>
                <w:szCs w:val="16"/>
              </w:rPr>
            </w:pPr>
            <w:r w:rsidRPr="0098395C">
              <w:rPr>
                <w:sz w:val="16"/>
                <w:szCs w:val="16"/>
              </w:rPr>
              <w:t>0.08</w:t>
            </w:r>
          </w:p>
        </w:tc>
        <w:tc>
          <w:tcPr>
            <w:tcW w:w="632" w:type="dxa"/>
          </w:tcPr>
          <w:p w14:paraId="11318C32" w14:textId="77777777" w:rsidR="007E0ABC" w:rsidRPr="0098395C" w:rsidRDefault="007E0ABC" w:rsidP="0098395C">
            <w:pPr>
              <w:rPr>
                <w:sz w:val="16"/>
                <w:szCs w:val="16"/>
              </w:rPr>
            </w:pPr>
            <w:r w:rsidRPr="0098395C">
              <w:rPr>
                <w:sz w:val="16"/>
                <w:szCs w:val="16"/>
              </w:rPr>
              <w:t>39%</w:t>
            </w:r>
          </w:p>
        </w:tc>
        <w:tc>
          <w:tcPr>
            <w:tcW w:w="555" w:type="dxa"/>
          </w:tcPr>
          <w:p w14:paraId="34DC18A8" w14:textId="77777777" w:rsidR="007E0ABC" w:rsidRPr="0098395C" w:rsidRDefault="007E0ABC" w:rsidP="0098395C">
            <w:pPr>
              <w:rPr>
                <w:sz w:val="16"/>
                <w:szCs w:val="16"/>
              </w:rPr>
            </w:pPr>
            <w:r w:rsidRPr="0098395C">
              <w:rPr>
                <w:sz w:val="16"/>
                <w:szCs w:val="16"/>
              </w:rPr>
              <w:t>37%</w:t>
            </w:r>
          </w:p>
        </w:tc>
        <w:tc>
          <w:tcPr>
            <w:tcW w:w="1222" w:type="dxa"/>
            <w:vMerge/>
          </w:tcPr>
          <w:p w14:paraId="7AAAAB3C" w14:textId="77777777" w:rsidR="007E0ABC" w:rsidRPr="0098395C" w:rsidRDefault="007E0ABC" w:rsidP="0098395C">
            <w:pPr>
              <w:widowControl w:val="0"/>
              <w:rPr>
                <w:sz w:val="16"/>
                <w:szCs w:val="16"/>
              </w:rPr>
            </w:pPr>
          </w:p>
        </w:tc>
      </w:tr>
      <w:tr w:rsidR="007E0ABC" w:rsidRPr="0098395C" w14:paraId="24C1C349" w14:textId="77777777" w:rsidTr="0098395C">
        <w:trPr>
          <w:trHeight w:val="298"/>
        </w:trPr>
        <w:tc>
          <w:tcPr>
            <w:tcW w:w="1155" w:type="dxa"/>
            <w:vMerge/>
          </w:tcPr>
          <w:p w14:paraId="1C1FAD9D" w14:textId="77777777" w:rsidR="007E0ABC" w:rsidRPr="0098395C" w:rsidRDefault="007E0ABC" w:rsidP="0098395C">
            <w:pPr>
              <w:widowControl w:val="0"/>
              <w:rPr>
                <w:rFonts w:ascii="Avenir Heavy" w:hAnsi="Avenir Heavy"/>
                <w:b/>
                <w:bCs/>
                <w:sz w:val="16"/>
                <w:szCs w:val="16"/>
              </w:rPr>
            </w:pPr>
          </w:p>
        </w:tc>
        <w:tc>
          <w:tcPr>
            <w:tcW w:w="541" w:type="dxa"/>
          </w:tcPr>
          <w:p w14:paraId="065418D6" w14:textId="77777777" w:rsidR="007E0ABC" w:rsidRPr="0098395C" w:rsidRDefault="007E0ABC" w:rsidP="0098395C">
            <w:pPr>
              <w:rPr>
                <w:sz w:val="16"/>
                <w:szCs w:val="16"/>
              </w:rPr>
            </w:pPr>
            <w:r w:rsidRPr="0098395C">
              <w:rPr>
                <w:sz w:val="16"/>
                <w:szCs w:val="16"/>
              </w:rPr>
              <w:t>5</w:t>
            </w:r>
          </w:p>
        </w:tc>
        <w:tc>
          <w:tcPr>
            <w:tcW w:w="1134" w:type="dxa"/>
          </w:tcPr>
          <w:p w14:paraId="63497C94" w14:textId="77777777" w:rsidR="007E0ABC" w:rsidRPr="0098395C" w:rsidRDefault="007E0ABC" w:rsidP="0098395C">
            <w:pPr>
              <w:rPr>
                <w:sz w:val="16"/>
                <w:szCs w:val="16"/>
              </w:rPr>
            </w:pPr>
            <w:r w:rsidRPr="0098395C">
              <w:rPr>
                <w:sz w:val="16"/>
                <w:szCs w:val="16"/>
              </w:rPr>
              <w:t>568 (11)</w:t>
            </w:r>
          </w:p>
        </w:tc>
        <w:tc>
          <w:tcPr>
            <w:tcW w:w="851" w:type="dxa"/>
          </w:tcPr>
          <w:p w14:paraId="153D301E" w14:textId="77777777" w:rsidR="007E0ABC" w:rsidRPr="0098395C" w:rsidRDefault="007E0ABC" w:rsidP="0098395C">
            <w:pPr>
              <w:tabs>
                <w:tab w:val="left" w:pos="975"/>
              </w:tabs>
              <w:rPr>
                <w:sz w:val="16"/>
                <w:szCs w:val="16"/>
              </w:rPr>
            </w:pPr>
            <w:r w:rsidRPr="0098395C">
              <w:rPr>
                <w:sz w:val="16"/>
                <w:szCs w:val="16"/>
              </w:rPr>
              <w:t>0.83</w:t>
            </w:r>
          </w:p>
        </w:tc>
        <w:tc>
          <w:tcPr>
            <w:tcW w:w="999" w:type="dxa"/>
          </w:tcPr>
          <w:p w14:paraId="676BB1BB" w14:textId="77777777" w:rsidR="007E0ABC" w:rsidRPr="0098395C" w:rsidRDefault="007E0ABC" w:rsidP="0098395C">
            <w:pPr>
              <w:rPr>
                <w:sz w:val="16"/>
                <w:szCs w:val="16"/>
              </w:rPr>
            </w:pPr>
            <w:r w:rsidRPr="0098395C">
              <w:rPr>
                <w:sz w:val="16"/>
                <w:szCs w:val="16"/>
              </w:rPr>
              <w:t>0.92</w:t>
            </w:r>
          </w:p>
        </w:tc>
        <w:tc>
          <w:tcPr>
            <w:tcW w:w="1095" w:type="dxa"/>
          </w:tcPr>
          <w:p w14:paraId="298E5409" w14:textId="77777777" w:rsidR="007E0ABC" w:rsidRPr="0098395C" w:rsidRDefault="007E0ABC" w:rsidP="0098395C">
            <w:pPr>
              <w:rPr>
                <w:sz w:val="16"/>
                <w:szCs w:val="16"/>
              </w:rPr>
            </w:pPr>
            <w:r w:rsidRPr="0098395C">
              <w:rPr>
                <w:sz w:val="16"/>
                <w:szCs w:val="16"/>
              </w:rPr>
              <w:t>1.21/1.3</w:t>
            </w:r>
          </w:p>
        </w:tc>
        <w:tc>
          <w:tcPr>
            <w:tcW w:w="883" w:type="dxa"/>
          </w:tcPr>
          <w:p w14:paraId="543AB5D5" w14:textId="77777777" w:rsidR="007E0ABC" w:rsidRPr="0098395C" w:rsidRDefault="007E0ABC" w:rsidP="0098395C">
            <w:pPr>
              <w:rPr>
                <w:sz w:val="16"/>
                <w:szCs w:val="16"/>
              </w:rPr>
            </w:pPr>
            <w:r w:rsidRPr="0098395C">
              <w:rPr>
                <w:sz w:val="16"/>
                <w:szCs w:val="16"/>
              </w:rPr>
              <w:t>1.00</w:t>
            </w:r>
          </w:p>
        </w:tc>
        <w:tc>
          <w:tcPr>
            <w:tcW w:w="632" w:type="dxa"/>
          </w:tcPr>
          <w:p w14:paraId="6B5EA10A" w14:textId="77777777" w:rsidR="007E0ABC" w:rsidRPr="0098395C" w:rsidRDefault="007E0ABC" w:rsidP="0098395C">
            <w:pPr>
              <w:rPr>
                <w:sz w:val="16"/>
                <w:szCs w:val="16"/>
              </w:rPr>
            </w:pPr>
            <w:r w:rsidRPr="0098395C">
              <w:rPr>
                <w:sz w:val="16"/>
                <w:szCs w:val="16"/>
              </w:rPr>
              <w:t>70%</w:t>
            </w:r>
          </w:p>
        </w:tc>
        <w:tc>
          <w:tcPr>
            <w:tcW w:w="555" w:type="dxa"/>
          </w:tcPr>
          <w:p w14:paraId="2854F5B8" w14:textId="77777777" w:rsidR="007E0ABC" w:rsidRPr="0098395C" w:rsidRDefault="007E0ABC" w:rsidP="0098395C">
            <w:pPr>
              <w:rPr>
                <w:sz w:val="16"/>
                <w:szCs w:val="16"/>
              </w:rPr>
            </w:pPr>
            <w:r w:rsidRPr="0098395C">
              <w:rPr>
                <w:sz w:val="16"/>
                <w:szCs w:val="16"/>
              </w:rPr>
              <w:t>22%</w:t>
            </w:r>
          </w:p>
        </w:tc>
        <w:tc>
          <w:tcPr>
            <w:tcW w:w="1222" w:type="dxa"/>
            <w:vMerge/>
          </w:tcPr>
          <w:p w14:paraId="5E635BB3" w14:textId="77777777" w:rsidR="007E0ABC" w:rsidRPr="0098395C" w:rsidRDefault="007E0ABC" w:rsidP="0098395C">
            <w:pPr>
              <w:widowControl w:val="0"/>
              <w:rPr>
                <w:sz w:val="16"/>
                <w:szCs w:val="16"/>
              </w:rPr>
            </w:pPr>
          </w:p>
        </w:tc>
      </w:tr>
      <w:tr w:rsidR="007E0ABC" w:rsidRPr="0098395C" w14:paraId="08E3474F" w14:textId="77777777" w:rsidTr="0098395C">
        <w:trPr>
          <w:trHeight w:val="298"/>
        </w:trPr>
        <w:tc>
          <w:tcPr>
            <w:tcW w:w="1155" w:type="dxa"/>
            <w:vMerge w:val="restart"/>
          </w:tcPr>
          <w:p w14:paraId="386D9885"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M1a item 1 dropped)</w:t>
            </w:r>
          </w:p>
        </w:tc>
        <w:tc>
          <w:tcPr>
            <w:tcW w:w="541" w:type="dxa"/>
          </w:tcPr>
          <w:p w14:paraId="5F80E75A" w14:textId="77777777" w:rsidR="007E0ABC" w:rsidRPr="0098395C" w:rsidRDefault="007E0ABC" w:rsidP="0098395C">
            <w:pPr>
              <w:rPr>
                <w:sz w:val="16"/>
                <w:szCs w:val="16"/>
              </w:rPr>
            </w:pPr>
            <w:r w:rsidRPr="0098395C">
              <w:rPr>
                <w:sz w:val="16"/>
                <w:szCs w:val="16"/>
              </w:rPr>
              <w:t xml:space="preserve">1 </w:t>
            </w:r>
          </w:p>
        </w:tc>
        <w:tc>
          <w:tcPr>
            <w:tcW w:w="1134" w:type="dxa"/>
          </w:tcPr>
          <w:p w14:paraId="6F385B02" w14:textId="77777777" w:rsidR="007E0ABC" w:rsidRPr="0098395C" w:rsidRDefault="007E0ABC" w:rsidP="0098395C">
            <w:pPr>
              <w:rPr>
                <w:sz w:val="16"/>
                <w:szCs w:val="16"/>
              </w:rPr>
            </w:pPr>
            <w:r w:rsidRPr="0098395C">
              <w:rPr>
                <w:sz w:val="16"/>
                <w:szCs w:val="16"/>
              </w:rPr>
              <w:t>1315 (29%)</w:t>
            </w:r>
          </w:p>
        </w:tc>
        <w:tc>
          <w:tcPr>
            <w:tcW w:w="851" w:type="dxa"/>
          </w:tcPr>
          <w:p w14:paraId="60084A78" w14:textId="77777777" w:rsidR="007E0ABC" w:rsidRPr="0098395C" w:rsidRDefault="007E0ABC" w:rsidP="0098395C">
            <w:pPr>
              <w:tabs>
                <w:tab w:val="left" w:pos="975"/>
              </w:tabs>
              <w:rPr>
                <w:sz w:val="16"/>
                <w:szCs w:val="16"/>
              </w:rPr>
            </w:pPr>
            <w:r w:rsidRPr="0098395C">
              <w:rPr>
                <w:sz w:val="16"/>
                <w:szCs w:val="16"/>
              </w:rPr>
              <w:t>-1.29</w:t>
            </w:r>
          </w:p>
        </w:tc>
        <w:tc>
          <w:tcPr>
            <w:tcW w:w="999" w:type="dxa"/>
          </w:tcPr>
          <w:p w14:paraId="391DC96B" w14:textId="77777777" w:rsidR="007E0ABC" w:rsidRPr="0098395C" w:rsidRDefault="007E0ABC" w:rsidP="0098395C">
            <w:pPr>
              <w:rPr>
                <w:sz w:val="16"/>
                <w:szCs w:val="16"/>
              </w:rPr>
            </w:pPr>
            <w:r w:rsidRPr="0098395C">
              <w:rPr>
                <w:sz w:val="16"/>
                <w:szCs w:val="16"/>
              </w:rPr>
              <w:t>-1.22</w:t>
            </w:r>
          </w:p>
        </w:tc>
        <w:tc>
          <w:tcPr>
            <w:tcW w:w="1095" w:type="dxa"/>
          </w:tcPr>
          <w:p w14:paraId="46C4CFF5" w14:textId="77777777" w:rsidR="007E0ABC" w:rsidRPr="0098395C" w:rsidRDefault="007E0ABC" w:rsidP="0098395C">
            <w:pPr>
              <w:rPr>
                <w:sz w:val="16"/>
                <w:szCs w:val="16"/>
              </w:rPr>
            </w:pPr>
            <w:r w:rsidRPr="0098395C">
              <w:rPr>
                <w:sz w:val="16"/>
                <w:szCs w:val="16"/>
              </w:rPr>
              <w:t>0.90/0.93</w:t>
            </w:r>
          </w:p>
        </w:tc>
        <w:tc>
          <w:tcPr>
            <w:tcW w:w="883" w:type="dxa"/>
          </w:tcPr>
          <w:p w14:paraId="076ACBCA" w14:textId="77777777" w:rsidR="007E0ABC" w:rsidRPr="0098395C" w:rsidRDefault="007E0ABC" w:rsidP="0098395C">
            <w:pPr>
              <w:rPr>
                <w:sz w:val="16"/>
                <w:szCs w:val="16"/>
              </w:rPr>
            </w:pPr>
            <w:r w:rsidRPr="0098395C">
              <w:rPr>
                <w:sz w:val="16"/>
                <w:szCs w:val="16"/>
              </w:rPr>
              <w:t>-</w:t>
            </w:r>
          </w:p>
        </w:tc>
        <w:tc>
          <w:tcPr>
            <w:tcW w:w="632" w:type="dxa"/>
          </w:tcPr>
          <w:p w14:paraId="2718B96F" w14:textId="77777777" w:rsidR="007E0ABC" w:rsidRPr="0098395C" w:rsidRDefault="007E0ABC" w:rsidP="0098395C">
            <w:pPr>
              <w:rPr>
                <w:sz w:val="16"/>
                <w:szCs w:val="16"/>
              </w:rPr>
            </w:pPr>
            <w:r w:rsidRPr="0098395C">
              <w:rPr>
                <w:sz w:val="16"/>
                <w:szCs w:val="16"/>
              </w:rPr>
              <w:t>82%</w:t>
            </w:r>
          </w:p>
        </w:tc>
        <w:tc>
          <w:tcPr>
            <w:tcW w:w="555" w:type="dxa"/>
          </w:tcPr>
          <w:p w14:paraId="7A8EA1E0" w14:textId="77777777" w:rsidR="007E0ABC" w:rsidRPr="0098395C" w:rsidRDefault="007E0ABC" w:rsidP="0098395C">
            <w:pPr>
              <w:rPr>
                <w:sz w:val="16"/>
                <w:szCs w:val="16"/>
              </w:rPr>
            </w:pPr>
            <w:r w:rsidRPr="0098395C">
              <w:rPr>
                <w:sz w:val="16"/>
                <w:szCs w:val="16"/>
              </w:rPr>
              <w:t>34%</w:t>
            </w:r>
          </w:p>
        </w:tc>
        <w:tc>
          <w:tcPr>
            <w:tcW w:w="1222" w:type="dxa"/>
            <w:vMerge w:val="restart"/>
          </w:tcPr>
          <w:p w14:paraId="4CE50450" w14:textId="77777777" w:rsidR="007E0ABC" w:rsidRPr="0098395C" w:rsidRDefault="007E0ABC" w:rsidP="0098395C">
            <w:pPr>
              <w:rPr>
                <w:sz w:val="16"/>
                <w:szCs w:val="16"/>
              </w:rPr>
            </w:pPr>
            <w:r w:rsidRPr="0098395C">
              <w:rPr>
                <w:sz w:val="16"/>
                <w:szCs w:val="16"/>
              </w:rPr>
              <w:t>all guidelines satisfied except &gt;1.4 logit separation, and &gt;40% m-c/c-m</w:t>
            </w:r>
          </w:p>
        </w:tc>
      </w:tr>
      <w:tr w:rsidR="007E0ABC" w:rsidRPr="0098395C" w14:paraId="2DE8F3E2" w14:textId="77777777" w:rsidTr="0098395C">
        <w:trPr>
          <w:trHeight w:val="298"/>
        </w:trPr>
        <w:tc>
          <w:tcPr>
            <w:tcW w:w="1155" w:type="dxa"/>
            <w:vMerge/>
          </w:tcPr>
          <w:p w14:paraId="123357CD" w14:textId="77777777" w:rsidR="007E0ABC" w:rsidRPr="0098395C" w:rsidRDefault="007E0ABC" w:rsidP="0098395C">
            <w:pPr>
              <w:widowControl w:val="0"/>
              <w:rPr>
                <w:rFonts w:ascii="Avenir Heavy" w:hAnsi="Avenir Heavy"/>
                <w:b/>
                <w:bCs/>
                <w:sz w:val="16"/>
                <w:szCs w:val="16"/>
              </w:rPr>
            </w:pPr>
          </w:p>
        </w:tc>
        <w:tc>
          <w:tcPr>
            <w:tcW w:w="541" w:type="dxa"/>
          </w:tcPr>
          <w:p w14:paraId="56BC0C7E" w14:textId="77777777" w:rsidR="007E0ABC" w:rsidRPr="0098395C" w:rsidRDefault="007E0ABC" w:rsidP="0098395C">
            <w:pPr>
              <w:rPr>
                <w:sz w:val="16"/>
                <w:szCs w:val="16"/>
              </w:rPr>
            </w:pPr>
            <w:r w:rsidRPr="0098395C">
              <w:rPr>
                <w:sz w:val="16"/>
                <w:szCs w:val="16"/>
              </w:rPr>
              <w:t>2</w:t>
            </w:r>
          </w:p>
        </w:tc>
        <w:tc>
          <w:tcPr>
            <w:tcW w:w="1134" w:type="dxa"/>
          </w:tcPr>
          <w:p w14:paraId="07382062" w14:textId="77777777" w:rsidR="007E0ABC" w:rsidRPr="0098395C" w:rsidRDefault="007E0ABC" w:rsidP="0098395C">
            <w:pPr>
              <w:rPr>
                <w:sz w:val="16"/>
                <w:szCs w:val="16"/>
              </w:rPr>
            </w:pPr>
            <w:r w:rsidRPr="0098395C">
              <w:rPr>
                <w:sz w:val="16"/>
                <w:szCs w:val="16"/>
              </w:rPr>
              <w:t>937 (21%)</w:t>
            </w:r>
          </w:p>
        </w:tc>
        <w:tc>
          <w:tcPr>
            <w:tcW w:w="851" w:type="dxa"/>
          </w:tcPr>
          <w:p w14:paraId="0F3F0494" w14:textId="77777777" w:rsidR="007E0ABC" w:rsidRPr="0098395C" w:rsidRDefault="007E0ABC" w:rsidP="0098395C">
            <w:pPr>
              <w:tabs>
                <w:tab w:val="left" w:pos="975"/>
              </w:tabs>
              <w:rPr>
                <w:sz w:val="16"/>
                <w:szCs w:val="16"/>
              </w:rPr>
            </w:pPr>
            <w:r w:rsidRPr="0098395C">
              <w:rPr>
                <w:sz w:val="16"/>
                <w:szCs w:val="16"/>
              </w:rPr>
              <w:t>-0.64</w:t>
            </w:r>
          </w:p>
        </w:tc>
        <w:tc>
          <w:tcPr>
            <w:tcW w:w="999" w:type="dxa"/>
          </w:tcPr>
          <w:p w14:paraId="7F9F6559" w14:textId="77777777" w:rsidR="007E0ABC" w:rsidRPr="0098395C" w:rsidRDefault="007E0ABC" w:rsidP="0098395C">
            <w:pPr>
              <w:rPr>
                <w:sz w:val="16"/>
                <w:szCs w:val="16"/>
              </w:rPr>
            </w:pPr>
            <w:r w:rsidRPr="0098395C">
              <w:rPr>
                <w:sz w:val="16"/>
                <w:szCs w:val="16"/>
              </w:rPr>
              <w:t>-0.74</w:t>
            </w:r>
          </w:p>
        </w:tc>
        <w:tc>
          <w:tcPr>
            <w:tcW w:w="1095" w:type="dxa"/>
          </w:tcPr>
          <w:p w14:paraId="21000164" w14:textId="77777777" w:rsidR="007E0ABC" w:rsidRPr="0098395C" w:rsidRDefault="007E0ABC" w:rsidP="0098395C">
            <w:pPr>
              <w:rPr>
                <w:sz w:val="16"/>
                <w:szCs w:val="16"/>
              </w:rPr>
            </w:pPr>
            <w:r w:rsidRPr="0098395C">
              <w:rPr>
                <w:sz w:val="16"/>
                <w:szCs w:val="16"/>
              </w:rPr>
              <w:t>1.14/1.14</w:t>
            </w:r>
          </w:p>
        </w:tc>
        <w:tc>
          <w:tcPr>
            <w:tcW w:w="883" w:type="dxa"/>
          </w:tcPr>
          <w:p w14:paraId="18422F20" w14:textId="77777777" w:rsidR="007E0ABC" w:rsidRPr="0098395C" w:rsidRDefault="007E0ABC" w:rsidP="0098395C">
            <w:pPr>
              <w:rPr>
                <w:sz w:val="16"/>
                <w:szCs w:val="16"/>
              </w:rPr>
            </w:pPr>
            <w:r w:rsidRPr="0098395C">
              <w:rPr>
                <w:sz w:val="16"/>
                <w:szCs w:val="16"/>
              </w:rPr>
              <w:t>-0.67</w:t>
            </w:r>
          </w:p>
        </w:tc>
        <w:tc>
          <w:tcPr>
            <w:tcW w:w="632" w:type="dxa"/>
          </w:tcPr>
          <w:p w14:paraId="3E169147" w14:textId="77777777" w:rsidR="007E0ABC" w:rsidRPr="0098395C" w:rsidRDefault="007E0ABC" w:rsidP="0098395C">
            <w:pPr>
              <w:rPr>
                <w:sz w:val="16"/>
                <w:szCs w:val="16"/>
              </w:rPr>
            </w:pPr>
            <w:r w:rsidRPr="0098395C">
              <w:rPr>
                <w:sz w:val="16"/>
                <w:szCs w:val="16"/>
              </w:rPr>
              <w:t>29%</w:t>
            </w:r>
          </w:p>
        </w:tc>
        <w:tc>
          <w:tcPr>
            <w:tcW w:w="555" w:type="dxa"/>
          </w:tcPr>
          <w:p w14:paraId="02D0228B" w14:textId="77777777" w:rsidR="007E0ABC" w:rsidRPr="0098395C" w:rsidRDefault="007E0ABC" w:rsidP="0098395C">
            <w:pPr>
              <w:rPr>
                <w:sz w:val="16"/>
                <w:szCs w:val="16"/>
              </w:rPr>
            </w:pPr>
            <w:r w:rsidRPr="0098395C">
              <w:rPr>
                <w:sz w:val="16"/>
                <w:szCs w:val="16"/>
              </w:rPr>
              <w:t>53%</w:t>
            </w:r>
          </w:p>
        </w:tc>
        <w:tc>
          <w:tcPr>
            <w:tcW w:w="1222" w:type="dxa"/>
            <w:vMerge/>
          </w:tcPr>
          <w:p w14:paraId="05C9E87F" w14:textId="77777777" w:rsidR="007E0ABC" w:rsidRPr="0098395C" w:rsidRDefault="007E0ABC" w:rsidP="0098395C">
            <w:pPr>
              <w:widowControl w:val="0"/>
              <w:rPr>
                <w:sz w:val="16"/>
                <w:szCs w:val="16"/>
              </w:rPr>
            </w:pPr>
          </w:p>
        </w:tc>
      </w:tr>
      <w:tr w:rsidR="007E0ABC" w:rsidRPr="0098395C" w14:paraId="1EF339A3" w14:textId="77777777" w:rsidTr="0098395C">
        <w:trPr>
          <w:trHeight w:val="298"/>
        </w:trPr>
        <w:tc>
          <w:tcPr>
            <w:tcW w:w="1155" w:type="dxa"/>
            <w:vMerge/>
          </w:tcPr>
          <w:p w14:paraId="5CE0E1DC" w14:textId="77777777" w:rsidR="007E0ABC" w:rsidRPr="0098395C" w:rsidRDefault="007E0ABC" w:rsidP="0098395C">
            <w:pPr>
              <w:widowControl w:val="0"/>
              <w:rPr>
                <w:rFonts w:ascii="Avenir Heavy" w:hAnsi="Avenir Heavy"/>
                <w:b/>
                <w:bCs/>
                <w:sz w:val="16"/>
                <w:szCs w:val="16"/>
              </w:rPr>
            </w:pPr>
          </w:p>
        </w:tc>
        <w:tc>
          <w:tcPr>
            <w:tcW w:w="541" w:type="dxa"/>
          </w:tcPr>
          <w:p w14:paraId="3A458B6D" w14:textId="77777777" w:rsidR="007E0ABC" w:rsidRPr="0098395C" w:rsidRDefault="007E0ABC" w:rsidP="0098395C">
            <w:pPr>
              <w:rPr>
                <w:sz w:val="16"/>
                <w:szCs w:val="16"/>
              </w:rPr>
            </w:pPr>
            <w:r w:rsidRPr="0098395C">
              <w:rPr>
                <w:sz w:val="16"/>
                <w:szCs w:val="16"/>
              </w:rPr>
              <w:t>3</w:t>
            </w:r>
          </w:p>
        </w:tc>
        <w:tc>
          <w:tcPr>
            <w:tcW w:w="1134" w:type="dxa"/>
          </w:tcPr>
          <w:p w14:paraId="1902B64F" w14:textId="77777777" w:rsidR="007E0ABC" w:rsidRPr="0098395C" w:rsidRDefault="007E0ABC" w:rsidP="0098395C">
            <w:pPr>
              <w:rPr>
                <w:sz w:val="16"/>
                <w:szCs w:val="16"/>
              </w:rPr>
            </w:pPr>
            <w:r w:rsidRPr="0098395C">
              <w:rPr>
                <w:sz w:val="16"/>
                <w:szCs w:val="16"/>
              </w:rPr>
              <w:t>935 (21%)</w:t>
            </w:r>
          </w:p>
        </w:tc>
        <w:tc>
          <w:tcPr>
            <w:tcW w:w="851" w:type="dxa"/>
          </w:tcPr>
          <w:p w14:paraId="1818A2C8" w14:textId="77777777" w:rsidR="007E0ABC" w:rsidRPr="0098395C" w:rsidRDefault="007E0ABC" w:rsidP="0098395C">
            <w:pPr>
              <w:tabs>
                <w:tab w:val="left" w:pos="975"/>
              </w:tabs>
              <w:rPr>
                <w:sz w:val="16"/>
                <w:szCs w:val="16"/>
              </w:rPr>
            </w:pPr>
            <w:r w:rsidRPr="0098395C">
              <w:rPr>
                <w:sz w:val="16"/>
                <w:szCs w:val="16"/>
              </w:rPr>
              <w:t>-0.25</w:t>
            </w:r>
          </w:p>
        </w:tc>
        <w:tc>
          <w:tcPr>
            <w:tcW w:w="999" w:type="dxa"/>
          </w:tcPr>
          <w:p w14:paraId="0429A156" w14:textId="77777777" w:rsidR="007E0ABC" w:rsidRPr="0098395C" w:rsidRDefault="007E0ABC" w:rsidP="0098395C">
            <w:pPr>
              <w:rPr>
                <w:sz w:val="16"/>
                <w:szCs w:val="16"/>
              </w:rPr>
            </w:pPr>
            <w:r w:rsidRPr="0098395C">
              <w:rPr>
                <w:sz w:val="16"/>
                <w:szCs w:val="16"/>
              </w:rPr>
              <w:t>-0.28</w:t>
            </w:r>
          </w:p>
        </w:tc>
        <w:tc>
          <w:tcPr>
            <w:tcW w:w="1095" w:type="dxa"/>
          </w:tcPr>
          <w:p w14:paraId="4C1F0914" w14:textId="77777777" w:rsidR="007E0ABC" w:rsidRPr="0098395C" w:rsidRDefault="007E0ABC" w:rsidP="0098395C">
            <w:pPr>
              <w:rPr>
                <w:sz w:val="16"/>
                <w:szCs w:val="16"/>
              </w:rPr>
            </w:pPr>
            <w:r w:rsidRPr="0098395C">
              <w:rPr>
                <w:sz w:val="16"/>
                <w:szCs w:val="16"/>
              </w:rPr>
              <w:t>0.92/0.89</w:t>
            </w:r>
          </w:p>
        </w:tc>
        <w:tc>
          <w:tcPr>
            <w:tcW w:w="883" w:type="dxa"/>
          </w:tcPr>
          <w:p w14:paraId="5DAC1DE1" w14:textId="77777777" w:rsidR="007E0ABC" w:rsidRPr="0098395C" w:rsidRDefault="007E0ABC" w:rsidP="0098395C">
            <w:pPr>
              <w:rPr>
                <w:sz w:val="16"/>
                <w:szCs w:val="16"/>
              </w:rPr>
            </w:pPr>
            <w:r w:rsidRPr="0098395C">
              <w:rPr>
                <w:sz w:val="16"/>
                <w:szCs w:val="16"/>
              </w:rPr>
              <w:t>-0.50</w:t>
            </w:r>
          </w:p>
        </w:tc>
        <w:tc>
          <w:tcPr>
            <w:tcW w:w="632" w:type="dxa"/>
          </w:tcPr>
          <w:p w14:paraId="2F0323DF" w14:textId="77777777" w:rsidR="007E0ABC" w:rsidRPr="0098395C" w:rsidRDefault="007E0ABC" w:rsidP="0098395C">
            <w:pPr>
              <w:rPr>
                <w:sz w:val="16"/>
                <w:szCs w:val="16"/>
              </w:rPr>
            </w:pPr>
            <w:r w:rsidRPr="0098395C">
              <w:rPr>
                <w:sz w:val="16"/>
                <w:szCs w:val="16"/>
              </w:rPr>
              <w:t>31%</w:t>
            </w:r>
          </w:p>
        </w:tc>
        <w:tc>
          <w:tcPr>
            <w:tcW w:w="555" w:type="dxa"/>
          </w:tcPr>
          <w:p w14:paraId="2683E167" w14:textId="77777777" w:rsidR="007E0ABC" w:rsidRPr="0098395C" w:rsidRDefault="007E0ABC" w:rsidP="0098395C">
            <w:pPr>
              <w:rPr>
                <w:sz w:val="16"/>
                <w:szCs w:val="16"/>
              </w:rPr>
            </w:pPr>
            <w:r w:rsidRPr="0098395C">
              <w:rPr>
                <w:sz w:val="16"/>
                <w:szCs w:val="16"/>
              </w:rPr>
              <w:t>44%</w:t>
            </w:r>
          </w:p>
        </w:tc>
        <w:tc>
          <w:tcPr>
            <w:tcW w:w="1222" w:type="dxa"/>
            <w:vMerge/>
          </w:tcPr>
          <w:p w14:paraId="2C6AF985" w14:textId="77777777" w:rsidR="007E0ABC" w:rsidRPr="0098395C" w:rsidRDefault="007E0ABC" w:rsidP="0098395C">
            <w:pPr>
              <w:widowControl w:val="0"/>
              <w:rPr>
                <w:sz w:val="16"/>
                <w:szCs w:val="16"/>
              </w:rPr>
            </w:pPr>
          </w:p>
        </w:tc>
      </w:tr>
      <w:tr w:rsidR="007E0ABC" w:rsidRPr="0098395C" w14:paraId="6C363FD0" w14:textId="77777777" w:rsidTr="0098395C">
        <w:trPr>
          <w:trHeight w:val="298"/>
        </w:trPr>
        <w:tc>
          <w:tcPr>
            <w:tcW w:w="1155" w:type="dxa"/>
            <w:vMerge/>
          </w:tcPr>
          <w:p w14:paraId="73F6DF47" w14:textId="77777777" w:rsidR="007E0ABC" w:rsidRPr="0098395C" w:rsidRDefault="007E0ABC" w:rsidP="0098395C">
            <w:pPr>
              <w:widowControl w:val="0"/>
              <w:rPr>
                <w:rFonts w:ascii="Avenir Heavy" w:hAnsi="Avenir Heavy"/>
                <w:b/>
                <w:bCs/>
                <w:sz w:val="16"/>
                <w:szCs w:val="16"/>
              </w:rPr>
            </w:pPr>
          </w:p>
        </w:tc>
        <w:tc>
          <w:tcPr>
            <w:tcW w:w="541" w:type="dxa"/>
          </w:tcPr>
          <w:p w14:paraId="60E0A86B" w14:textId="77777777" w:rsidR="007E0ABC" w:rsidRPr="0098395C" w:rsidRDefault="007E0ABC" w:rsidP="0098395C">
            <w:pPr>
              <w:rPr>
                <w:sz w:val="16"/>
                <w:szCs w:val="16"/>
              </w:rPr>
            </w:pPr>
            <w:r w:rsidRPr="0098395C">
              <w:rPr>
                <w:sz w:val="16"/>
                <w:szCs w:val="16"/>
              </w:rPr>
              <w:t>4</w:t>
            </w:r>
          </w:p>
        </w:tc>
        <w:tc>
          <w:tcPr>
            <w:tcW w:w="1134" w:type="dxa"/>
          </w:tcPr>
          <w:p w14:paraId="25A9F401" w14:textId="77777777" w:rsidR="007E0ABC" w:rsidRPr="0098395C" w:rsidRDefault="007E0ABC" w:rsidP="0098395C">
            <w:pPr>
              <w:rPr>
                <w:sz w:val="16"/>
                <w:szCs w:val="16"/>
              </w:rPr>
            </w:pPr>
            <w:r w:rsidRPr="0098395C">
              <w:rPr>
                <w:sz w:val="16"/>
                <w:szCs w:val="16"/>
              </w:rPr>
              <w:t>799 (18%)</w:t>
            </w:r>
          </w:p>
        </w:tc>
        <w:tc>
          <w:tcPr>
            <w:tcW w:w="851" w:type="dxa"/>
          </w:tcPr>
          <w:p w14:paraId="040289C2" w14:textId="77777777" w:rsidR="007E0ABC" w:rsidRPr="0098395C" w:rsidRDefault="007E0ABC" w:rsidP="0098395C">
            <w:pPr>
              <w:tabs>
                <w:tab w:val="left" w:pos="975"/>
              </w:tabs>
              <w:rPr>
                <w:sz w:val="16"/>
                <w:szCs w:val="16"/>
              </w:rPr>
            </w:pPr>
            <w:r w:rsidRPr="0098395C">
              <w:rPr>
                <w:sz w:val="16"/>
                <w:szCs w:val="16"/>
              </w:rPr>
              <w:t>0.25</w:t>
            </w:r>
          </w:p>
        </w:tc>
        <w:tc>
          <w:tcPr>
            <w:tcW w:w="999" w:type="dxa"/>
          </w:tcPr>
          <w:p w14:paraId="706B7E36" w14:textId="77777777" w:rsidR="007E0ABC" w:rsidRPr="0098395C" w:rsidRDefault="007E0ABC" w:rsidP="0098395C">
            <w:pPr>
              <w:rPr>
                <w:sz w:val="16"/>
                <w:szCs w:val="16"/>
              </w:rPr>
            </w:pPr>
            <w:r w:rsidRPr="0098395C">
              <w:rPr>
                <w:sz w:val="16"/>
                <w:szCs w:val="16"/>
              </w:rPr>
              <w:t>0.24</w:t>
            </w:r>
          </w:p>
        </w:tc>
        <w:tc>
          <w:tcPr>
            <w:tcW w:w="1095" w:type="dxa"/>
          </w:tcPr>
          <w:p w14:paraId="66D5DA4C" w14:textId="77777777" w:rsidR="007E0ABC" w:rsidRPr="0098395C" w:rsidRDefault="007E0ABC" w:rsidP="0098395C">
            <w:pPr>
              <w:rPr>
                <w:sz w:val="16"/>
                <w:szCs w:val="16"/>
              </w:rPr>
            </w:pPr>
            <w:r w:rsidRPr="0098395C">
              <w:rPr>
                <w:sz w:val="16"/>
                <w:szCs w:val="16"/>
              </w:rPr>
              <w:t>0.97/0.95</w:t>
            </w:r>
          </w:p>
        </w:tc>
        <w:tc>
          <w:tcPr>
            <w:tcW w:w="883" w:type="dxa"/>
          </w:tcPr>
          <w:p w14:paraId="3524790A" w14:textId="77777777" w:rsidR="007E0ABC" w:rsidRPr="0098395C" w:rsidRDefault="007E0ABC" w:rsidP="0098395C">
            <w:pPr>
              <w:rPr>
                <w:sz w:val="16"/>
                <w:szCs w:val="16"/>
              </w:rPr>
            </w:pPr>
            <w:r w:rsidRPr="0098395C">
              <w:rPr>
                <w:sz w:val="16"/>
                <w:szCs w:val="16"/>
              </w:rPr>
              <w:t>0.13</w:t>
            </w:r>
          </w:p>
        </w:tc>
        <w:tc>
          <w:tcPr>
            <w:tcW w:w="632" w:type="dxa"/>
          </w:tcPr>
          <w:p w14:paraId="53444FE5" w14:textId="77777777" w:rsidR="007E0ABC" w:rsidRPr="0098395C" w:rsidRDefault="007E0ABC" w:rsidP="0098395C">
            <w:pPr>
              <w:rPr>
                <w:sz w:val="16"/>
                <w:szCs w:val="16"/>
              </w:rPr>
            </w:pPr>
            <w:r w:rsidRPr="0098395C">
              <w:rPr>
                <w:sz w:val="16"/>
                <w:szCs w:val="16"/>
              </w:rPr>
              <w:t>40%</w:t>
            </w:r>
          </w:p>
        </w:tc>
        <w:tc>
          <w:tcPr>
            <w:tcW w:w="555" w:type="dxa"/>
          </w:tcPr>
          <w:p w14:paraId="7EB9E72B" w14:textId="77777777" w:rsidR="007E0ABC" w:rsidRPr="0098395C" w:rsidRDefault="007E0ABC" w:rsidP="0098395C">
            <w:pPr>
              <w:rPr>
                <w:sz w:val="16"/>
                <w:szCs w:val="16"/>
              </w:rPr>
            </w:pPr>
            <w:r w:rsidRPr="0098395C">
              <w:rPr>
                <w:sz w:val="16"/>
                <w:szCs w:val="16"/>
              </w:rPr>
              <w:t>37%</w:t>
            </w:r>
          </w:p>
        </w:tc>
        <w:tc>
          <w:tcPr>
            <w:tcW w:w="1222" w:type="dxa"/>
            <w:vMerge/>
          </w:tcPr>
          <w:p w14:paraId="3CE65ACD" w14:textId="77777777" w:rsidR="007E0ABC" w:rsidRPr="0098395C" w:rsidRDefault="007E0ABC" w:rsidP="0098395C">
            <w:pPr>
              <w:widowControl w:val="0"/>
              <w:rPr>
                <w:sz w:val="16"/>
                <w:szCs w:val="16"/>
              </w:rPr>
            </w:pPr>
          </w:p>
        </w:tc>
      </w:tr>
      <w:tr w:rsidR="007E0ABC" w:rsidRPr="0098395C" w14:paraId="1E72E669" w14:textId="77777777" w:rsidTr="0098395C">
        <w:trPr>
          <w:trHeight w:val="298"/>
        </w:trPr>
        <w:tc>
          <w:tcPr>
            <w:tcW w:w="1155" w:type="dxa"/>
            <w:vMerge/>
          </w:tcPr>
          <w:p w14:paraId="783B0A7E" w14:textId="77777777" w:rsidR="007E0ABC" w:rsidRPr="0098395C" w:rsidRDefault="007E0ABC" w:rsidP="0098395C">
            <w:pPr>
              <w:widowControl w:val="0"/>
              <w:rPr>
                <w:rFonts w:ascii="Avenir Heavy" w:hAnsi="Avenir Heavy"/>
                <w:b/>
                <w:bCs/>
                <w:sz w:val="16"/>
                <w:szCs w:val="16"/>
              </w:rPr>
            </w:pPr>
          </w:p>
        </w:tc>
        <w:tc>
          <w:tcPr>
            <w:tcW w:w="541" w:type="dxa"/>
          </w:tcPr>
          <w:p w14:paraId="0C0E6E66" w14:textId="77777777" w:rsidR="007E0ABC" w:rsidRPr="0098395C" w:rsidRDefault="007E0ABC" w:rsidP="0098395C">
            <w:pPr>
              <w:rPr>
                <w:sz w:val="16"/>
                <w:szCs w:val="16"/>
              </w:rPr>
            </w:pPr>
            <w:r w:rsidRPr="0098395C">
              <w:rPr>
                <w:sz w:val="16"/>
                <w:szCs w:val="16"/>
              </w:rPr>
              <w:t>5</w:t>
            </w:r>
          </w:p>
        </w:tc>
        <w:tc>
          <w:tcPr>
            <w:tcW w:w="1134" w:type="dxa"/>
          </w:tcPr>
          <w:p w14:paraId="20AE04D1" w14:textId="77777777" w:rsidR="007E0ABC" w:rsidRPr="0098395C" w:rsidRDefault="007E0ABC" w:rsidP="0098395C">
            <w:pPr>
              <w:rPr>
                <w:sz w:val="16"/>
                <w:szCs w:val="16"/>
              </w:rPr>
            </w:pPr>
            <w:r w:rsidRPr="0098395C">
              <w:rPr>
                <w:sz w:val="16"/>
                <w:szCs w:val="16"/>
              </w:rPr>
              <w:t>514 (11%)</w:t>
            </w:r>
          </w:p>
        </w:tc>
        <w:tc>
          <w:tcPr>
            <w:tcW w:w="851" w:type="dxa"/>
          </w:tcPr>
          <w:p w14:paraId="4EFB7D86" w14:textId="77777777" w:rsidR="007E0ABC" w:rsidRPr="0098395C" w:rsidRDefault="007E0ABC" w:rsidP="0098395C">
            <w:pPr>
              <w:tabs>
                <w:tab w:val="left" w:pos="975"/>
              </w:tabs>
              <w:rPr>
                <w:sz w:val="16"/>
                <w:szCs w:val="16"/>
              </w:rPr>
            </w:pPr>
            <w:r w:rsidRPr="0098395C">
              <w:rPr>
                <w:sz w:val="16"/>
                <w:szCs w:val="16"/>
              </w:rPr>
              <w:t>0.94</w:t>
            </w:r>
          </w:p>
        </w:tc>
        <w:tc>
          <w:tcPr>
            <w:tcW w:w="999" w:type="dxa"/>
          </w:tcPr>
          <w:p w14:paraId="210B4EFB" w14:textId="77777777" w:rsidR="007E0ABC" w:rsidRPr="0098395C" w:rsidRDefault="007E0ABC" w:rsidP="0098395C">
            <w:pPr>
              <w:rPr>
                <w:sz w:val="16"/>
                <w:szCs w:val="16"/>
              </w:rPr>
            </w:pPr>
            <w:r w:rsidRPr="0098395C">
              <w:rPr>
                <w:sz w:val="16"/>
                <w:szCs w:val="16"/>
              </w:rPr>
              <w:t>0.94</w:t>
            </w:r>
          </w:p>
        </w:tc>
        <w:tc>
          <w:tcPr>
            <w:tcW w:w="1095" w:type="dxa"/>
          </w:tcPr>
          <w:p w14:paraId="49E1A9BB" w14:textId="77777777" w:rsidR="007E0ABC" w:rsidRPr="0098395C" w:rsidRDefault="007E0ABC" w:rsidP="0098395C">
            <w:pPr>
              <w:rPr>
                <w:sz w:val="16"/>
                <w:szCs w:val="16"/>
              </w:rPr>
            </w:pPr>
            <w:r w:rsidRPr="0098395C">
              <w:rPr>
                <w:sz w:val="16"/>
                <w:szCs w:val="16"/>
              </w:rPr>
              <w:t>1.23/1.32</w:t>
            </w:r>
          </w:p>
        </w:tc>
        <w:tc>
          <w:tcPr>
            <w:tcW w:w="883" w:type="dxa"/>
          </w:tcPr>
          <w:p w14:paraId="71394DC3" w14:textId="77777777" w:rsidR="007E0ABC" w:rsidRPr="0098395C" w:rsidRDefault="007E0ABC" w:rsidP="0098395C">
            <w:pPr>
              <w:rPr>
                <w:sz w:val="16"/>
                <w:szCs w:val="16"/>
              </w:rPr>
            </w:pPr>
            <w:r w:rsidRPr="0098395C">
              <w:rPr>
                <w:sz w:val="16"/>
                <w:szCs w:val="16"/>
              </w:rPr>
              <w:t>1.04</w:t>
            </w:r>
          </w:p>
        </w:tc>
        <w:tc>
          <w:tcPr>
            <w:tcW w:w="632" w:type="dxa"/>
          </w:tcPr>
          <w:p w14:paraId="3E692215" w14:textId="77777777" w:rsidR="007E0ABC" w:rsidRPr="0098395C" w:rsidRDefault="007E0ABC" w:rsidP="0098395C">
            <w:pPr>
              <w:rPr>
                <w:sz w:val="16"/>
                <w:szCs w:val="16"/>
              </w:rPr>
            </w:pPr>
            <w:r w:rsidRPr="0098395C">
              <w:rPr>
                <w:sz w:val="16"/>
                <w:szCs w:val="16"/>
              </w:rPr>
              <w:t>71%</w:t>
            </w:r>
          </w:p>
        </w:tc>
        <w:tc>
          <w:tcPr>
            <w:tcW w:w="555" w:type="dxa"/>
          </w:tcPr>
          <w:p w14:paraId="624D5D5D" w14:textId="77777777" w:rsidR="007E0ABC" w:rsidRPr="0098395C" w:rsidRDefault="007E0ABC" w:rsidP="0098395C">
            <w:pPr>
              <w:rPr>
                <w:sz w:val="16"/>
                <w:szCs w:val="16"/>
              </w:rPr>
            </w:pPr>
            <w:r w:rsidRPr="0098395C">
              <w:rPr>
                <w:sz w:val="16"/>
                <w:szCs w:val="16"/>
              </w:rPr>
              <w:t>25%</w:t>
            </w:r>
          </w:p>
        </w:tc>
        <w:tc>
          <w:tcPr>
            <w:tcW w:w="1222" w:type="dxa"/>
            <w:vMerge/>
          </w:tcPr>
          <w:p w14:paraId="4D039B8A" w14:textId="77777777" w:rsidR="007E0ABC" w:rsidRPr="0098395C" w:rsidRDefault="007E0ABC" w:rsidP="0098395C">
            <w:pPr>
              <w:widowControl w:val="0"/>
              <w:rPr>
                <w:sz w:val="16"/>
                <w:szCs w:val="16"/>
              </w:rPr>
            </w:pPr>
          </w:p>
        </w:tc>
      </w:tr>
      <w:tr w:rsidR="007E0ABC" w:rsidRPr="0098395C" w14:paraId="2EA97703" w14:textId="77777777" w:rsidTr="0098395C">
        <w:trPr>
          <w:trHeight w:val="284"/>
        </w:trPr>
        <w:tc>
          <w:tcPr>
            <w:tcW w:w="1155" w:type="dxa"/>
            <w:vMerge w:val="restart"/>
          </w:tcPr>
          <w:p w14:paraId="38FE057D"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M1 – Collapsed categories 2&amp;3, 4&amp;5</w:t>
            </w:r>
          </w:p>
        </w:tc>
        <w:tc>
          <w:tcPr>
            <w:tcW w:w="541" w:type="dxa"/>
          </w:tcPr>
          <w:p w14:paraId="042560DC" w14:textId="77777777" w:rsidR="007E0ABC" w:rsidRPr="0098395C" w:rsidRDefault="007E0ABC" w:rsidP="0098395C">
            <w:pPr>
              <w:rPr>
                <w:sz w:val="16"/>
                <w:szCs w:val="16"/>
              </w:rPr>
            </w:pPr>
            <w:r w:rsidRPr="0098395C">
              <w:rPr>
                <w:sz w:val="16"/>
                <w:szCs w:val="16"/>
              </w:rPr>
              <w:t>1</w:t>
            </w:r>
          </w:p>
        </w:tc>
        <w:tc>
          <w:tcPr>
            <w:tcW w:w="1134" w:type="dxa"/>
          </w:tcPr>
          <w:p w14:paraId="2901803C" w14:textId="77777777" w:rsidR="007E0ABC" w:rsidRPr="0098395C" w:rsidRDefault="007E0ABC" w:rsidP="0098395C">
            <w:pPr>
              <w:rPr>
                <w:sz w:val="16"/>
                <w:szCs w:val="16"/>
              </w:rPr>
            </w:pPr>
            <w:r w:rsidRPr="0098395C">
              <w:rPr>
                <w:sz w:val="16"/>
                <w:szCs w:val="16"/>
              </w:rPr>
              <w:t>1420 (29%)</w:t>
            </w:r>
          </w:p>
        </w:tc>
        <w:tc>
          <w:tcPr>
            <w:tcW w:w="851" w:type="dxa"/>
          </w:tcPr>
          <w:p w14:paraId="39A14CFF" w14:textId="77777777" w:rsidR="007E0ABC" w:rsidRPr="0098395C" w:rsidRDefault="007E0ABC" w:rsidP="0098395C">
            <w:pPr>
              <w:rPr>
                <w:sz w:val="16"/>
                <w:szCs w:val="16"/>
              </w:rPr>
            </w:pPr>
            <w:r w:rsidRPr="0098395C">
              <w:rPr>
                <w:sz w:val="16"/>
                <w:szCs w:val="16"/>
              </w:rPr>
              <w:t>-1.36</w:t>
            </w:r>
          </w:p>
        </w:tc>
        <w:tc>
          <w:tcPr>
            <w:tcW w:w="999" w:type="dxa"/>
          </w:tcPr>
          <w:p w14:paraId="7C13AC3F" w14:textId="77777777" w:rsidR="007E0ABC" w:rsidRPr="0098395C" w:rsidRDefault="007E0ABC" w:rsidP="0098395C">
            <w:pPr>
              <w:rPr>
                <w:sz w:val="16"/>
                <w:szCs w:val="16"/>
              </w:rPr>
            </w:pPr>
            <w:r w:rsidRPr="0098395C">
              <w:rPr>
                <w:sz w:val="16"/>
                <w:szCs w:val="16"/>
              </w:rPr>
              <w:t>-1.30</w:t>
            </w:r>
          </w:p>
        </w:tc>
        <w:tc>
          <w:tcPr>
            <w:tcW w:w="1095" w:type="dxa"/>
          </w:tcPr>
          <w:p w14:paraId="19C3F662" w14:textId="77777777" w:rsidR="007E0ABC" w:rsidRPr="0098395C" w:rsidRDefault="007E0ABC" w:rsidP="0098395C">
            <w:pPr>
              <w:rPr>
                <w:sz w:val="16"/>
                <w:szCs w:val="16"/>
              </w:rPr>
            </w:pPr>
            <w:r w:rsidRPr="0098395C">
              <w:rPr>
                <w:sz w:val="16"/>
                <w:szCs w:val="16"/>
              </w:rPr>
              <w:t>0.95/0.97</w:t>
            </w:r>
          </w:p>
        </w:tc>
        <w:tc>
          <w:tcPr>
            <w:tcW w:w="883" w:type="dxa"/>
          </w:tcPr>
          <w:p w14:paraId="0DCFCD12" w14:textId="77777777" w:rsidR="007E0ABC" w:rsidRPr="0098395C" w:rsidRDefault="007E0ABC" w:rsidP="0098395C">
            <w:pPr>
              <w:rPr>
                <w:sz w:val="16"/>
                <w:szCs w:val="16"/>
              </w:rPr>
            </w:pPr>
            <w:r w:rsidRPr="0098395C">
              <w:rPr>
                <w:sz w:val="16"/>
                <w:szCs w:val="16"/>
              </w:rPr>
              <w:t>-</w:t>
            </w:r>
          </w:p>
        </w:tc>
        <w:tc>
          <w:tcPr>
            <w:tcW w:w="632" w:type="dxa"/>
          </w:tcPr>
          <w:p w14:paraId="77FAD93E" w14:textId="77777777" w:rsidR="007E0ABC" w:rsidRPr="0098395C" w:rsidRDefault="007E0ABC" w:rsidP="0098395C">
            <w:pPr>
              <w:rPr>
                <w:sz w:val="16"/>
                <w:szCs w:val="16"/>
              </w:rPr>
            </w:pPr>
            <w:r w:rsidRPr="0098395C">
              <w:rPr>
                <w:sz w:val="16"/>
                <w:szCs w:val="16"/>
              </w:rPr>
              <w:t>76%</w:t>
            </w:r>
          </w:p>
        </w:tc>
        <w:tc>
          <w:tcPr>
            <w:tcW w:w="555" w:type="dxa"/>
          </w:tcPr>
          <w:p w14:paraId="6D6D1815" w14:textId="77777777" w:rsidR="007E0ABC" w:rsidRPr="0098395C" w:rsidRDefault="007E0ABC" w:rsidP="0098395C">
            <w:pPr>
              <w:rPr>
                <w:sz w:val="16"/>
                <w:szCs w:val="16"/>
              </w:rPr>
            </w:pPr>
            <w:r w:rsidRPr="0098395C">
              <w:rPr>
                <w:sz w:val="16"/>
                <w:szCs w:val="16"/>
              </w:rPr>
              <w:t>52%</w:t>
            </w:r>
          </w:p>
        </w:tc>
        <w:tc>
          <w:tcPr>
            <w:tcW w:w="1222" w:type="dxa"/>
            <w:vMerge w:val="restart"/>
          </w:tcPr>
          <w:p w14:paraId="0D41C183" w14:textId="77777777" w:rsidR="007E0ABC" w:rsidRPr="0098395C" w:rsidRDefault="007E0ABC" w:rsidP="0098395C">
            <w:pPr>
              <w:rPr>
                <w:sz w:val="16"/>
                <w:szCs w:val="16"/>
              </w:rPr>
            </w:pPr>
            <w:r w:rsidRPr="0098395C">
              <w:rPr>
                <w:sz w:val="16"/>
                <w:szCs w:val="16"/>
              </w:rPr>
              <w:t>all guidelines satisfied.</w:t>
            </w:r>
          </w:p>
        </w:tc>
      </w:tr>
      <w:tr w:rsidR="007E0ABC" w:rsidRPr="0098395C" w14:paraId="5CB007A8" w14:textId="77777777" w:rsidTr="0098395C">
        <w:trPr>
          <w:trHeight w:val="285"/>
        </w:trPr>
        <w:tc>
          <w:tcPr>
            <w:tcW w:w="1155" w:type="dxa"/>
            <w:vMerge/>
          </w:tcPr>
          <w:p w14:paraId="36477F50" w14:textId="77777777" w:rsidR="007E0ABC" w:rsidRPr="0098395C" w:rsidRDefault="007E0ABC" w:rsidP="0098395C">
            <w:pPr>
              <w:widowControl w:val="0"/>
              <w:rPr>
                <w:rFonts w:ascii="Avenir Heavy" w:hAnsi="Avenir Heavy"/>
                <w:b/>
                <w:bCs/>
                <w:sz w:val="16"/>
                <w:szCs w:val="16"/>
              </w:rPr>
            </w:pPr>
          </w:p>
        </w:tc>
        <w:tc>
          <w:tcPr>
            <w:tcW w:w="541" w:type="dxa"/>
          </w:tcPr>
          <w:p w14:paraId="6FEBF601" w14:textId="77777777" w:rsidR="007E0ABC" w:rsidRPr="0098395C" w:rsidRDefault="007E0ABC" w:rsidP="0098395C">
            <w:pPr>
              <w:rPr>
                <w:sz w:val="16"/>
                <w:szCs w:val="16"/>
              </w:rPr>
            </w:pPr>
            <w:r w:rsidRPr="0098395C">
              <w:rPr>
                <w:sz w:val="16"/>
                <w:szCs w:val="16"/>
              </w:rPr>
              <w:t>2</w:t>
            </w:r>
          </w:p>
        </w:tc>
        <w:tc>
          <w:tcPr>
            <w:tcW w:w="1134" w:type="dxa"/>
          </w:tcPr>
          <w:p w14:paraId="4A496B51" w14:textId="77777777" w:rsidR="007E0ABC" w:rsidRPr="0098395C" w:rsidRDefault="007E0ABC" w:rsidP="0098395C">
            <w:pPr>
              <w:rPr>
                <w:sz w:val="16"/>
                <w:szCs w:val="16"/>
              </w:rPr>
            </w:pPr>
            <w:r w:rsidRPr="0098395C">
              <w:rPr>
                <w:sz w:val="16"/>
                <w:szCs w:val="16"/>
              </w:rPr>
              <w:t>2066 (42%)</w:t>
            </w:r>
          </w:p>
        </w:tc>
        <w:tc>
          <w:tcPr>
            <w:tcW w:w="851" w:type="dxa"/>
          </w:tcPr>
          <w:p w14:paraId="7DA6CC14" w14:textId="77777777" w:rsidR="007E0ABC" w:rsidRPr="0098395C" w:rsidRDefault="007E0ABC" w:rsidP="0098395C">
            <w:pPr>
              <w:rPr>
                <w:sz w:val="16"/>
                <w:szCs w:val="16"/>
              </w:rPr>
            </w:pPr>
            <w:r w:rsidRPr="0098395C">
              <w:rPr>
                <w:sz w:val="16"/>
                <w:szCs w:val="16"/>
              </w:rPr>
              <w:t>0.04</w:t>
            </w:r>
          </w:p>
        </w:tc>
        <w:tc>
          <w:tcPr>
            <w:tcW w:w="999" w:type="dxa"/>
          </w:tcPr>
          <w:p w14:paraId="02F00A50" w14:textId="77777777" w:rsidR="007E0ABC" w:rsidRPr="0098395C" w:rsidRDefault="007E0ABC" w:rsidP="0098395C">
            <w:pPr>
              <w:rPr>
                <w:sz w:val="16"/>
                <w:szCs w:val="16"/>
              </w:rPr>
            </w:pPr>
            <w:r w:rsidRPr="0098395C">
              <w:rPr>
                <w:sz w:val="16"/>
                <w:szCs w:val="16"/>
              </w:rPr>
              <w:t>-0.04</w:t>
            </w:r>
          </w:p>
        </w:tc>
        <w:tc>
          <w:tcPr>
            <w:tcW w:w="1095" w:type="dxa"/>
          </w:tcPr>
          <w:p w14:paraId="4DC85A08" w14:textId="77777777" w:rsidR="007E0ABC" w:rsidRPr="0098395C" w:rsidRDefault="007E0ABC" w:rsidP="0098395C">
            <w:pPr>
              <w:rPr>
                <w:sz w:val="16"/>
                <w:szCs w:val="16"/>
              </w:rPr>
            </w:pPr>
            <w:r w:rsidRPr="0098395C">
              <w:rPr>
                <w:sz w:val="16"/>
                <w:szCs w:val="16"/>
              </w:rPr>
              <w:t>0.95/1.00</w:t>
            </w:r>
          </w:p>
        </w:tc>
        <w:tc>
          <w:tcPr>
            <w:tcW w:w="883" w:type="dxa"/>
          </w:tcPr>
          <w:p w14:paraId="1A32BCE1" w14:textId="77777777" w:rsidR="007E0ABC" w:rsidRPr="0098395C" w:rsidRDefault="007E0ABC" w:rsidP="0098395C">
            <w:pPr>
              <w:rPr>
                <w:sz w:val="16"/>
                <w:szCs w:val="16"/>
              </w:rPr>
            </w:pPr>
            <w:r w:rsidRPr="0098395C">
              <w:rPr>
                <w:sz w:val="16"/>
                <w:szCs w:val="16"/>
              </w:rPr>
              <w:t>-1.07</w:t>
            </w:r>
          </w:p>
        </w:tc>
        <w:tc>
          <w:tcPr>
            <w:tcW w:w="632" w:type="dxa"/>
          </w:tcPr>
          <w:p w14:paraId="2784B14C" w14:textId="77777777" w:rsidR="007E0ABC" w:rsidRPr="0098395C" w:rsidRDefault="007E0ABC" w:rsidP="0098395C">
            <w:pPr>
              <w:rPr>
                <w:sz w:val="16"/>
                <w:szCs w:val="16"/>
              </w:rPr>
            </w:pPr>
            <w:r w:rsidRPr="0098395C">
              <w:rPr>
                <w:sz w:val="16"/>
                <w:szCs w:val="16"/>
              </w:rPr>
              <w:t>55%</w:t>
            </w:r>
          </w:p>
        </w:tc>
        <w:tc>
          <w:tcPr>
            <w:tcW w:w="555" w:type="dxa"/>
          </w:tcPr>
          <w:p w14:paraId="289274DF" w14:textId="77777777" w:rsidR="007E0ABC" w:rsidRPr="0098395C" w:rsidRDefault="007E0ABC" w:rsidP="0098395C">
            <w:pPr>
              <w:rPr>
                <w:sz w:val="16"/>
                <w:szCs w:val="16"/>
              </w:rPr>
            </w:pPr>
            <w:r w:rsidRPr="0098395C">
              <w:rPr>
                <w:sz w:val="16"/>
                <w:szCs w:val="16"/>
              </w:rPr>
              <w:t>79%</w:t>
            </w:r>
          </w:p>
        </w:tc>
        <w:tc>
          <w:tcPr>
            <w:tcW w:w="1222" w:type="dxa"/>
            <w:vMerge/>
          </w:tcPr>
          <w:p w14:paraId="159A54B3" w14:textId="77777777" w:rsidR="007E0ABC" w:rsidRPr="0098395C" w:rsidRDefault="007E0ABC" w:rsidP="0098395C">
            <w:pPr>
              <w:widowControl w:val="0"/>
              <w:rPr>
                <w:sz w:val="16"/>
                <w:szCs w:val="16"/>
              </w:rPr>
            </w:pPr>
          </w:p>
        </w:tc>
      </w:tr>
      <w:tr w:rsidR="007E0ABC" w:rsidRPr="0098395C" w14:paraId="5FDA48F0" w14:textId="77777777" w:rsidTr="0098395C">
        <w:trPr>
          <w:trHeight w:val="285"/>
        </w:trPr>
        <w:tc>
          <w:tcPr>
            <w:tcW w:w="1155" w:type="dxa"/>
            <w:vMerge/>
          </w:tcPr>
          <w:p w14:paraId="68228D73" w14:textId="77777777" w:rsidR="007E0ABC" w:rsidRPr="0098395C" w:rsidRDefault="007E0ABC" w:rsidP="0098395C">
            <w:pPr>
              <w:widowControl w:val="0"/>
              <w:rPr>
                <w:rFonts w:ascii="Avenir Heavy" w:hAnsi="Avenir Heavy"/>
                <w:b/>
                <w:bCs/>
                <w:sz w:val="16"/>
                <w:szCs w:val="16"/>
              </w:rPr>
            </w:pPr>
          </w:p>
        </w:tc>
        <w:tc>
          <w:tcPr>
            <w:tcW w:w="541" w:type="dxa"/>
          </w:tcPr>
          <w:p w14:paraId="10995151" w14:textId="77777777" w:rsidR="007E0ABC" w:rsidRPr="0098395C" w:rsidRDefault="007E0ABC" w:rsidP="0098395C">
            <w:pPr>
              <w:rPr>
                <w:sz w:val="16"/>
                <w:szCs w:val="16"/>
              </w:rPr>
            </w:pPr>
            <w:r w:rsidRPr="0098395C">
              <w:rPr>
                <w:sz w:val="16"/>
                <w:szCs w:val="16"/>
              </w:rPr>
              <w:t>3</w:t>
            </w:r>
          </w:p>
        </w:tc>
        <w:tc>
          <w:tcPr>
            <w:tcW w:w="1134" w:type="dxa"/>
          </w:tcPr>
          <w:p w14:paraId="64D1506A" w14:textId="77777777" w:rsidR="007E0ABC" w:rsidRPr="0098395C" w:rsidRDefault="007E0ABC" w:rsidP="0098395C">
            <w:pPr>
              <w:rPr>
                <w:sz w:val="16"/>
                <w:szCs w:val="16"/>
              </w:rPr>
            </w:pPr>
            <w:r w:rsidRPr="0098395C">
              <w:rPr>
                <w:sz w:val="16"/>
                <w:szCs w:val="16"/>
              </w:rPr>
              <w:t>1464 (30%)</w:t>
            </w:r>
          </w:p>
        </w:tc>
        <w:tc>
          <w:tcPr>
            <w:tcW w:w="851" w:type="dxa"/>
          </w:tcPr>
          <w:p w14:paraId="4D06D0FE" w14:textId="77777777" w:rsidR="007E0ABC" w:rsidRPr="0098395C" w:rsidRDefault="007E0ABC" w:rsidP="0098395C">
            <w:pPr>
              <w:rPr>
                <w:sz w:val="16"/>
                <w:szCs w:val="16"/>
              </w:rPr>
            </w:pPr>
            <w:r w:rsidRPr="0098395C">
              <w:rPr>
                <w:sz w:val="16"/>
                <w:szCs w:val="16"/>
              </w:rPr>
              <w:t>1.40</w:t>
            </w:r>
          </w:p>
        </w:tc>
        <w:tc>
          <w:tcPr>
            <w:tcW w:w="999" w:type="dxa"/>
          </w:tcPr>
          <w:p w14:paraId="198C7BFD" w14:textId="77777777" w:rsidR="007E0ABC" w:rsidRPr="0098395C" w:rsidRDefault="007E0ABC" w:rsidP="0098395C">
            <w:pPr>
              <w:rPr>
                <w:sz w:val="16"/>
                <w:szCs w:val="16"/>
              </w:rPr>
            </w:pPr>
            <w:r w:rsidRPr="0098395C">
              <w:rPr>
                <w:sz w:val="16"/>
                <w:szCs w:val="16"/>
              </w:rPr>
              <w:t>1.46</w:t>
            </w:r>
          </w:p>
        </w:tc>
        <w:tc>
          <w:tcPr>
            <w:tcW w:w="1095" w:type="dxa"/>
          </w:tcPr>
          <w:p w14:paraId="3D7D58F9" w14:textId="77777777" w:rsidR="007E0ABC" w:rsidRPr="0098395C" w:rsidRDefault="007E0ABC" w:rsidP="0098395C">
            <w:pPr>
              <w:rPr>
                <w:sz w:val="16"/>
                <w:szCs w:val="16"/>
              </w:rPr>
            </w:pPr>
            <w:r w:rsidRPr="0098395C">
              <w:rPr>
                <w:sz w:val="16"/>
                <w:szCs w:val="16"/>
              </w:rPr>
              <w:t>1.07/1.08</w:t>
            </w:r>
          </w:p>
        </w:tc>
        <w:tc>
          <w:tcPr>
            <w:tcW w:w="883" w:type="dxa"/>
          </w:tcPr>
          <w:p w14:paraId="0CCB2DEA" w14:textId="77777777" w:rsidR="007E0ABC" w:rsidRPr="0098395C" w:rsidRDefault="007E0ABC" w:rsidP="0098395C">
            <w:pPr>
              <w:rPr>
                <w:sz w:val="16"/>
                <w:szCs w:val="16"/>
              </w:rPr>
            </w:pPr>
            <w:r w:rsidRPr="0098395C">
              <w:rPr>
                <w:sz w:val="16"/>
                <w:szCs w:val="16"/>
              </w:rPr>
              <w:t>1.07</w:t>
            </w:r>
          </w:p>
        </w:tc>
        <w:tc>
          <w:tcPr>
            <w:tcW w:w="632" w:type="dxa"/>
          </w:tcPr>
          <w:p w14:paraId="69AD1B3C" w14:textId="77777777" w:rsidR="007E0ABC" w:rsidRPr="0098395C" w:rsidRDefault="007E0ABC" w:rsidP="0098395C">
            <w:pPr>
              <w:rPr>
                <w:sz w:val="16"/>
                <w:szCs w:val="16"/>
              </w:rPr>
            </w:pPr>
            <w:r w:rsidRPr="0098395C">
              <w:rPr>
                <w:sz w:val="16"/>
                <w:szCs w:val="16"/>
              </w:rPr>
              <w:t>73%</w:t>
            </w:r>
          </w:p>
        </w:tc>
        <w:tc>
          <w:tcPr>
            <w:tcW w:w="555" w:type="dxa"/>
          </w:tcPr>
          <w:p w14:paraId="30FAB39A" w14:textId="77777777" w:rsidR="007E0ABC" w:rsidRPr="0098395C" w:rsidRDefault="007E0ABC" w:rsidP="0098395C">
            <w:pPr>
              <w:rPr>
                <w:sz w:val="16"/>
                <w:szCs w:val="16"/>
              </w:rPr>
            </w:pPr>
            <w:r w:rsidRPr="0098395C">
              <w:rPr>
                <w:sz w:val="16"/>
                <w:szCs w:val="16"/>
              </w:rPr>
              <w:t>48%</w:t>
            </w:r>
          </w:p>
        </w:tc>
        <w:tc>
          <w:tcPr>
            <w:tcW w:w="1222" w:type="dxa"/>
            <w:vMerge/>
          </w:tcPr>
          <w:p w14:paraId="1CC8D684" w14:textId="77777777" w:rsidR="007E0ABC" w:rsidRPr="0098395C" w:rsidRDefault="007E0ABC" w:rsidP="0098395C">
            <w:pPr>
              <w:widowControl w:val="0"/>
              <w:rPr>
                <w:sz w:val="16"/>
                <w:szCs w:val="16"/>
              </w:rPr>
            </w:pPr>
          </w:p>
        </w:tc>
      </w:tr>
      <w:tr w:rsidR="007E0ABC" w:rsidRPr="0098395C" w14:paraId="4255EAED" w14:textId="77777777" w:rsidTr="0098395C">
        <w:trPr>
          <w:trHeight w:val="284"/>
        </w:trPr>
        <w:tc>
          <w:tcPr>
            <w:tcW w:w="1155" w:type="dxa"/>
            <w:vMerge w:val="restart"/>
          </w:tcPr>
          <w:p w14:paraId="542D07DD"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M2 -misfitting persons removed</w:t>
            </w:r>
          </w:p>
        </w:tc>
        <w:tc>
          <w:tcPr>
            <w:tcW w:w="541" w:type="dxa"/>
          </w:tcPr>
          <w:p w14:paraId="5E93799B" w14:textId="77777777" w:rsidR="007E0ABC" w:rsidRPr="0098395C" w:rsidRDefault="007E0ABC" w:rsidP="0098395C">
            <w:pPr>
              <w:rPr>
                <w:sz w:val="16"/>
                <w:szCs w:val="16"/>
              </w:rPr>
            </w:pPr>
            <w:r w:rsidRPr="0098395C">
              <w:rPr>
                <w:sz w:val="16"/>
                <w:szCs w:val="16"/>
              </w:rPr>
              <w:t>1</w:t>
            </w:r>
          </w:p>
        </w:tc>
        <w:tc>
          <w:tcPr>
            <w:tcW w:w="1134" w:type="dxa"/>
          </w:tcPr>
          <w:p w14:paraId="5AAD24B8" w14:textId="77777777" w:rsidR="007E0ABC" w:rsidRPr="0098395C" w:rsidRDefault="007E0ABC" w:rsidP="0098395C">
            <w:pPr>
              <w:rPr>
                <w:sz w:val="16"/>
                <w:szCs w:val="16"/>
              </w:rPr>
            </w:pPr>
            <w:r w:rsidRPr="0098395C">
              <w:rPr>
                <w:sz w:val="16"/>
                <w:szCs w:val="16"/>
              </w:rPr>
              <w:t>1094 (29%)</w:t>
            </w:r>
          </w:p>
        </w:tc>
        <w:tc>
          <w:tcPr>
            <w:tcW w:w="851" w:type="dxa"/>
          </w:tcPr>
          <w:p w14:paraId="3F6698E3" w14:textId="77777777" w:rsidR="007E0ABC" w:rsidRPr="0098395C" w:rsidRDefault="007E0ABC" w:rsidP="0098395C">
            <w:pPr>
              <w:rPr>
                <w:sz w:val="16"/>
                <w:szCs w:val="16"/>
              </w:rPr>
            </w:pPr>
            <w:r w:rsidRPr="0098395C">
              <w:rPr>
                <w:sz w:val="16"/>
                <w:szCs w:val="16"/>
              </w:rPr>
              <w:t>-1.61</w:t>
            </w:r>
          </w:p>
        </w:tc>
        <w:tc>
          <w:tcPr>
            <w:tcW w:w="999" w:type="dxa"/>
          </w:tcPr>
          <w:p w14:paraId="5E040179" w14:textId="77777777" w:rsidR="007E0ABC" w:rsidRPr="0098395C" w:rsidRDefault="007E0ABC" w:rsidP="0098395C">
            <w:pPr>
              <w:rPr>
                <w:sz w:val="16"/>
                <w:szCs w:val="16"/>
              </w:rPr>
            </w:pPr>
            <w:r w:rsidRPr="0098395C">
              <w:rPr>
                <w:sz w:val="16"/>
                <w:szCs w:val="16"/>
              </w:rPr>
              <w:t>-1.55</w:t>
            </w:r>
          </w:p>
        </w:tc>
        <w:tc>
          <w:tcPr>
            <w:tcW w:w="1095" w:type="dxa"/>
          </w:tcPr>
          <w:p w14:paraId="5AB963F6" w14:textId="77777777" w:rsidR="007E0ABC" w:rsidRPr="0098395C" w:rsidRDefault="007E0ABC" w:rsidP="0098395C">
            <w:pPr>
              <w:rPr>
                <w:sz w:val="16"/>
                <w:szCs w:val="16"/>
              </w:rPr>
            </w:pPr>
            <w:r w:rsidRPr="0098395C">
              <w:rPr>
                <w:sz w:val="16"/>
                <w:szCs w:val="16"/>
              </w:rPr>
              <w:t>0.93/0.92</w:t>
            </w:r>
          </w:p>
        </w:tc>
        <w:tc>
          <w:tcPr>
            <w:tcW w:w="883" w:type="dxa"/>
          </w:tcPr>
          <w:p w14:paraId="153CA884" w14:textId="77777777" w:rsidR="007E0ABC" w:rsidRPr="0098395C" w:rsidRDefault="007E0ABC" w:rsidP="0098395C">
            <w:pPr>
              <w:rPr>
                <w:sz w:val="16"/>
                <w:szCs w:val="16"/>
              </w:rPr>
            </w:pPr>
            <w:r w:rsidRPr="0098395C">
              <w:rPr>
                <w:sz w:val="16"/>
                <w:szCs w:val="16"/>
              </w:rPr>
              <w:t>-</w:t>
            </w:r>
          </w:p>
        </w:tc>
        <w:tc>
          <w:tcPr>
            <w:tcW w:w="632" w:type="dxa"/>
          </w:tcPr>
          <w:p w14:paraId="531982C1" w14:textId="77777777" w:rsidR="007E0ABC" w:rsidRPr="0098395C" w:rsidRDefault="007E0ABC" w:rsidP="0098395C">
            <w:pPr>
              <w:rPr>
                <w:sz w:val="16"/>
                <w:szCs w:val="16"/>
              </w:rPr>
            </w:pPr>
            <w:r w:rsidRPr="0098395C">
              <w:rPr>
                <w:sz w:val="16"/>
                <w:szCs w:val="16"/>
              </w:rPr>
              <w:t>76%</w:t>
            </w:r>
          </w:p>
        </w:tc>
        <w:tc>
          <w:tcPr>
            <w:tcW w:w="555" w:type="dxa"/>
          </w:tcPr>
          <w:p w14:paraId="14BA05CD" w14:textId="77777777" w:rsidR="007E0ABC" w:rsidRPr="0098395C" w:rsidRDefault="007E0ABC" w:rsidP="0098395C">
            <w:pPr>
              <w:rPr>
                <w:sz w:val="16"/>
                <w:szCs w:val="16"/>
              </w:rPr>
            </w:pPr>
            <w:r w:rsidRPr="0098395C">
              <w:rPr>
                <w:sz w:val="16"/>
                <w:szCs w:val="16"/>
              </w:rPr>
              <w:t>57%</w:t>
            </w:r>
          </w:p>
        </w:tc>
        <w:tc>
          <w:tcPr>
            <w:tcW w:w="1222" w:type="dxa"/>
            <w:vMerge w:val="restart"/>
          </w:tcPr>
          <w:p w14:paraId="3F7D3B3A" w14:textId="77777777" w:rsidR="007E0ABC" w:rsidRPr="0098395C" w:rsidRDefault="007E0ABC" w:rsidP="0098395C">
            <w:pPr>
              <w:rPr>
                <w:sz w:val="16"/>
                <w:szCs w:val="16"/>
              </w:rPr>
            </w:pPr>
            <w:r w:rsidRPr="0098395C">
              <w:rPr>
                <w:sz w:val="16"/>
                <w:szCs w:val="16"/>
              </w:rPr>
              <w:t>all guidelines satisfied.</w:t>
            </w:r>
          </w:p>
        </w:tc>
      </w:tr>
      <w:tr w:rsidR="007E0ABC" w:rsidRPr="0098395C" w14:paraId="3D1B0B5F" w14:textId="77777777" w:rsidTr="0098395C">
        <w:trPr>
          <w:trHeight w:val="285"/>
        </w:trPr>
        <w:tc>
          <w:tcPr>
            <w:tcW w:w="1155" w:type="dxa"/>
            <w:vMerge/>
          </w:tcPr>
          <w:p w14:paraId="75224B2E" w14:textId="77777777" w:rsidR="007E0ABC" w:rsidRPr="0098395C" w:rsidRDefault="007E0ABC" w:rsidP="0098395C">
            <w:pPr>
              <w:widowControl w:val="0"/>
              <w:rPr>
                <w:rFonts w:ascii="Avenir Heavy" w:hAnsi="Avenir Heavy"/>
                <w:b/>
                <w:bCs/>
                <w:sz w:val="16"/>
                <w:szCs w:val="16"/>
              </w:rPr>
            </w:pPr>
          </w:p>
        </w:tc>
        <w:tc>
          <w:tcPr>
            <w:tcW w:w="541" w:type="dxa"/>
          </w:tcPr>
          <w:p w14:paraId="3FAB0FAF" w14:textId="77777777" w:rsidR="007E0ABC" w:rsidRPr="0098395C" w:rsidRDefault="007E0ABC" w:rsidP="0098395C">
            <w:pPr>
              <w:rPr>
                <w:sz w:val="16"/>
                <w:szCs w:val="16"/>
              </w:rPr>
            </w:pPr>
            <w:r w:rsidRPr="0098395C">
              <w:rPr>
                <w:sz w:val="16"/>
                <w:szCs w:val="16"/>
              </w:rPr>
              <w:t>2</w:t>
            </w:r>
          </w:p>
        </w:tc>
        <w:tc>
          <w:tcPr>
            <w:tcW w:w="1134" w:type="dxa"/>
          </w:tcPr>
          <w:p w14:paraId="20857CAD" w14:textId="77777777" w:rsidR="007E0ABC" w:rsidRPr="0098395C" w:rsidRDefault="007E0ABC" w:rsidP="0098395C">
            <w:pPr>
              <w:rPr>
                <w:sz w:val="16"/>
                <w:szCs w:val="16"/>
              </w:rPr>
            </w:pPr>
            <w:r w:rsidRPr="0098395C">
              <w:rPr>
                <w:sz w:val="16"/>
                <w:szCs w:val="16"/>
              </w:rPr>
              <w:t>1569 (41%)</w:t>
            </w:r>
          </w:p>
        </w:tc>
        <w:tc>
          <w:tcPr>
            <w:tcW w:w="851" w:type="dxa"/>
          </w:tcPr>
          <w:p w14:paraId="3C0CB2FE" w14:textId="77777777" w:rsidR="007E0ABC" w:rsidRPr="0098395C" w:rsidRDefault="007E0ABC" w:rsidP="0098395C">
            <w:pPr>
              <w:rPr>
                <w:sz w:val="16"/>
                <w:szCs w:val="16"/>
              </w:rPr>
            </w:pPr>
            <w:r w:rsidRPr="0098395C">
              <w:rPr>
                <w:sz w:val="16"/>
                <w:szCs w:val="16"/>
              </w:rPr>
              <w:t>0.04</w:t>
            </w:r>
          </w:p>
        </w:tc>
        <w:tc>
          <w:tcPr>
            <w:tcW w:w="999" w:type="dxa"/>
          </w:tcPr>
          <w:p w14:paraId="4E3B9250" w14:textId="77777777" w:rsidR="007E0ABC" w:rsidRPr="0098395C" w:rsidRDefault="007E0ABC" w:rsidP="0098395C">
            <w:pPr>
              <w:rPr>
                <w:sz w:val="16"/>
                <w:szCs w:val="16"/>
              </w:rPr>
            </w:pPr>
            <w:r w:rsidRPr="0098395C">
              <w:rPr>
                <w:sz w:val="16"/>
                <w:szCs w:val="16"/>
              </w:rPr>
              <w:t>-0.04</w:t>
            </w:r>
          </w:p>
        </w:tc>
        <w:tc>
          <w:tcPr>
            <w:tcW w:w="1095" w:type="dxa"/>
          </w:tcPr>
          <w:p w14:paraId="5E68F14F" w14:textId="77777777" w:rsidR="007E0ABC" w:rsidRPr="0098395C" w:rsidRDefault="007E0ABC" w:rsidP="0098395C">
            <w:pPr>
              <w:rPr>
                <w:sz w:val="16"/>
                <w:szCs w:val="16"/>
              </w:rPr>
            </w:pPr>
            <w:r w:rsidRPr="0098395C">
              <w:rPr>
                <w:sz w:val="16"/>
                <w:szCs w:val="16"/>
              </w:rPr>
              <w:t>1.01/1.11</w:t>
            </w:r>
          </w:p>
        </w:tc>
        <w:tc>
          <w:tcPr>
            <w:tcW w:w="883" w:type="dxa"/>
          </w:tcPr>
          <w:p w14:paraId="7AFE5344" w14:textId="77777777" w:rsidR="007E0ABC" w:rsidRPr="0098395C" w:rsidRDefault="007E0ABC" w:rsidP="0098395C">
            <w:pPr>
              <w:rPr>
                <w:sz w:val="16"/>
                <w:szCs w:val="16"/>
              </w:rPr>
            </w:pPr>
            <w:r w:rsidRPr="0098395C">
              <w:rPr>
                <w:sz w:val="16"/>
                <w:szCs w:val="16"/>
              </w:rPr>
              <w:t>-1.19</w:t>
            </w:r>
          </w:p>
        </w:tc>
        <w:tc>
          <w:tcPr>
            <w:tcW w:w="632" w:type="dxa"/>
          </w:tcPr>
          <w:p w14:paraId="09CD434E" w14:textId="77777777" w:rsidR="007E0ABC" w:rsidRPr="0098395C" w:rsidRDefault="007E0ABC" w:rsidP="0098395C">
            <w:pPr>
              <w:rPr>
                <w:sz w:val="16"/>
                <w:szCs w:val="16"/>
              </w:rPr>
            </w:pPr>
            <w:r w:rsidRPr="0098395C">
              <w:rPr>
                <w:sz w:val="16"/>
                <w:szCs w:val="16"/>
              </w:rPr>
              <w:t>56%</w:t>
            </w:r>
          </w:p>
        </w:tc>
        <w:tc>
          <w:tcPr>
            <w:tcW w:w="555" w:type="dxa"/>
          </w:tcPr>
          <w:p w14:paraId="229BB485" w14:textId="77777777" w:rsidR="007E0ABC" w:rsidRPr="0098395C" w:rsidRDefault="007E0ABC" w:rsidP="0098395C">
            <w:pPr>
              <w:rPr>
                <w:sz w:val="16"/>
                <w:szCs w:val="16"/>
              </w:rPr>
            </w:pPr>
            <w:r w:rsidRPr="0098395C">
              <w:rPr>
                <w:sz w:val="16"/>
                <w:szCs w:val="16"/>
              </w:rPr>
              <w:t>75%</w:t>
            </w:r>
          </w:p>
        </w:tc>
        <w:tc>
          <w:tcPr>
            <w:tcW w:w="1222" w:type="dxa"/>
            <w:vMerge/>
          </w:tcPr>
          <w:p w14:paraId="4A691A19" w14:textId="77777777" w:rsidR="007E0ABC" w:rsidRPr="0098395C" w:rsidRDefault="007E0ABC" w:rsidP="0098395C">
            <w:pPr>
              <w:widowControl w:val="0"/>
              <w:rPr>
                <w:sz w:val="16"/>
                <w:szCs w:val="16"/>
              </w:rPr>
            </w:pPr>
          </w:p>
        </w:tc>
      </w:tr>
      <w:tr w:rsidR="007E0ABC" w:rsidRPr="0098395C" w14:paraId="2926B086" w14:textId="77777777" w:rsidTr="0098395C">
        <w:trPr>
          <w:trHeight w:val="285"/>
        </w:trPr>
        <w:tc>
          <w:tcPr>
            <w:tcW w:w="1155" w:type="dxa"/>
            <w:vMerge/>
          </w:tcPr>
          <w:p w14:paraId="519010A1" w14:textId="77777777" w:rsidR="007E0ABC" w:rsidRPr="0098395C" w:rsidRDefault="007E0ABC" w:rsidP="0098395C">
            <w:pPr>
              <w:widowControl w:val="0"/>
              <w:rPr>
                <w:rFonts w:ascii="Avenir Heavy" w:hAnsi="Avenir Heavy"/>
                <w:b/>
                <w:bCs/>
                <w:sz w:val="16"/>
                <w:szCs w:val="16"/>
              </w:rPr>
            </w:pPr>
          </w:p>
        </w:tc>
        <w:tc>
          <w:tcPr>
            <w:tcW w:w="541" w:type="dxa"/>
          </w:tcPr>
          <w:p w14:paraId="1EDAD784" w14:textId="77777777" w:rsidR="007E0ABC" w:rsidRPr="0098395C" w:rsidRDefault="007E0ABC" w:rsidP="0098395C">
            <w:pPr>
              <w:rPr>
                <w:sz w:val="16"/>
                <w:szCs w:val="16"/>
              </w:rPr>
            </w:pPr>
            <w:r w:rsidRPr="0098395C">
              <w:rPr>
                <w:sz w:val="16"/>
                <w:szCs w:val="16"/>
              </w:rPr>
              <w:t>3</w:t>
            </w:r>
          </w:p>
        </w:tc>
        <w:tc>
          <w:tcPr>
            <w:tcW w:w="1134" w:type="dxa"/>
          </w:tcPr>
          <w:p w14:paraId="4C8AB36D" w14:textId="77777777" w:rsidR="007E0ABC" w:rsidRPr="0098395C" w:rsidRDefault="007E0ABC" w:rsidP="0098395C">
            <w:pPr>
              <w:rPr>
                <w:sz w:val="16"/>
                <w:szCs w:val="16"/>
              </w:rPr>
            </w:pPr>
            <w:r w:rsidRPr="0098395C">
              <w:rPr>
                <w:sz w:val="16"/>
                <w:szCs w:val="16"/>
              </w:rPr>
              <w:t>1157 (30%)</w:t>
            </w:r>
          </w:p>
        </w:tc>
        <w:tc>
          <w:tcPr>
            <w:tcW w:w="851" w:type="dxa"/>
          </w:tcPr>
          <w:p w14:paraId="00123997" w14:textId="77777777" w:rsidR="007E0ABC" w:rsidRPr="0098395C" w:rsidRDefault="007E0ABC" w:rsidP="0098395C">
            <w:pPr>
              <w:rPr>
                <w:sz w:val="16"/>
                <w:szCs w:val="16"/>
              </w:rPr>
            </w:pPr>
            <w:r w:rsidRPr="0098395C">
              <w:rPr>
                <w:sz w:val="16"/>
                <w:szCs w:val="16"/>
              </w:rPr>
              <w:t>1.66</w:t>
            </w:r>
          </w:p>
        </w:tc>
        <w:tc>
          <w:tcPr>
            <w:tcW w:w="999" w:type="dxa"/>
          </w:tcPr>
          <w:p w14:paraId="5637F2ED" w14:textId="77777777" w:rsidR="007E0ABC" w:rsidRPr="0098395C" w:rsidRDefault="007E0ABC" w:rsidP="0098395C">
            <w:pPr>
              <w:rPr>
                <w:sz w:val="16"/>
                <w:szCs w:val="16"/>
              </w:rPr>
            </w:pPr>
            <w:r w:rsidRPr="0098395C">
              <w:rPr>
                <w:sz w:val="16"/>
                <w:szCs w:val="16"/>
              </w:rPr>
              <w:t>1.72</w:t>
            </w:r>
          </w:p>
        </w:tc>
        <w:tc>
          <w:tcPr>
            <w:tcW w:w="1095" w:type="dxa"/>
          </w:tcPr>
          <w:p w14:paraId="3B6F5A39" w14:textId="77777777" w:rsidR="007E0ABC" w:rsidRPr="0098395C" w:rsidRDefault="007E0ABC" w:rsidP="0098395C">
            <w:pPr>
              <w:rPr>
                <w:sz w:val="16"/>
                <w:szCs w:val="16"/>
              </w:rPr>
            </w:pPr>
            <w:r w:rsidRPr="0098395C">
              <w:rPr>
                <w:sz w:val="16"/>
                <w:szCs w:val="16"/>
              </w:rPr>
              <w:t>1.04/1.04</w:t>
            </w:r>
          </w:p>
        </w:tc>
        <w:tc>
          <w:tcPr>
            <w:tcW w:w="883" w:type="dxa"/>
          </w:tcPr>
          <w:p w14:paraId="39E501F1" w14:textId="77777777" w:rsidR="007E0ABC" w:rsidRPr="0098395C" w:rsidRDefault="007E0ABC" w:rsidP="0098395C">
            <w:pPr>
              <w:rPr>
                <w:sz w:val="16"/>
                <w:szCs w:val="16"/>
              </w:rPr>
            </w:pPr>
            <w:r w:rsidRPr="0098395C">
              <w:rPr>
                <w:sz w:val="16"/>
                <w:szCs w:val="16"/>
              </w:rPr>
              <w:t>1.19</w:t>
            </w:r>
          </w:p>
        </w:tc>
        <w:tc>
          <w:tcPr>
            <w:tcW w:w="632" w:type="dxa"/>
          </w:tcPr>
          <w:p w14:paraId="21884E19" w14:textId="77777777" w:rsidR="007E0ABC" w:rsidRPr="0098395C" w:rsidRDefault="007E0ABC" w:rsidP="0098395C">
            <w:pPr>
              <w:rPr>
                <w:sz w:val="16"/>
                <w:szCs w:val="16"/>
              </w:rPr>
            </w:pPr>
            <w:r w:rsidRPr="0098395C">
              <w:rPr>
                <w:sz w:val="16"/>
                <w:szCs w:val="16"/>
              </w:rPr>
              <w:t>73%</w:t>
            </w:r>
          </w:p>
        </w:tc>
        <w:tc>
          <w:tcPr>
            <w:tcW w:w="555" w:type="dxa"/>
          </w:tcPr>
          <w:p w14:paraId="0528DCDE" w14:textId="77777777" w:rsidR="007E0ABC" w:rsidRPr="0098395C" w:rsidRDefault="007E0ABC" w:rsidP="0098395C">
            <w:pPr>
              <w:rPr>
                <w:sz w:val="16"/>
                <w:szCs w:val="16"/>
              </w:rPr>
            </w:pPr>
            <w:r w:rsidRPr="0098395C">
              <w:rPr>
                <w:sz w:val="16"/>
                <w:szCs w:val="16"/>
              </w:rPr>
              <w:t>55%</w:t>
            </w:r>
          </w:p>
        </w:tc>
        <w:tc>
          <w:tcPr>
            <w:tcW w:w="1222" w:type="dxa"/>
            <w:vMerge/>
          </w:tcPr>
          <w:p w14:paraId="0BADE494" w14:textId="77777777" w:rsidR="007E0ABC" w:rsidRPr="0098395C" w:rsidRDefault="007E0ABC" w:rsidP="0098395C">
            <w:pPr>
              <w:widowControl w:val="0"/>
              <w:rPr>
                <w:sz w:val="16"/>
                <w:szCs w:val="16"/>
              </w:rPr>
            </w:pPr>
          </w:p>
        </w:tc>
      </w:tr>
      <w:tr w:rsidR="007E0ABC" w:rsidRPr="0098395C" w14:paraId="41507388" w14:textId="77777777" w:rsidTr="0098395C">
        <w:tc>
          <w:tcPr>
            <w:tcW w:w="1155" w:type="dxa"/>
            <w:vMerge w:val="restart"/>
          </w:tcPr>
          <w:p w14:paraId="4C4EC558" w14:textId="77777777" w:rsidR="007E0ABC" w:rsidRPr="0098395C" w:rsidRDefault="007E0ABC" w:rsidP="0098395C">
            <w:pPr>
              <w:rPr>
                <w:rFonts w:ascii="Avenir Heavy" w:hAnsi="Avenir Heavy"/>
                <w:b/>
                <w:bCs/>
                <w:sz w:val="16"/>
                <w:szCs w:val="16"/>
              </w:rPr>
            </w:pPr>
            <w:r w:rsidRPr="0098395C">
              <w:rPr>
                <w:rFonts w:ascii="Avenir Heavy" w:hAnsi="Avenir Heavy"/>
                <w:b/>
                <w:bCs/>
                <w:sz w:val="16"/>
                <w:szCs w:val="16"/>
              </w:rPr>
              <w:t>M3 - item 19 removed</w:t>
            </w:r>
          </w:p>
        </w:tc>
        <w:tc>
          <w:tcPr>
            <w:tcW w:w="541" w:type="dxa"/>
          </w:tcPr>
          <w:p w14:paraId="04F59172" w14:textId="77777777" w:rsidR="007E0ABC" w:rsidRPr="0098395C" w:rsidRDefault="007E0ABC" w:rsidP="0098395C">
            <w:pPr>
              <w:rPr>
                <w:sz w:val="16"/>
                <w:szCs w:val="16"/>
              </w:rPr>
            </w:pPr>
            <w:r w:rsidRPr="0098395C">
              <w:rPr>
                <w:sz w:val="16"/>
                <w:szCs w:val="16"/>
              </w:rPr>
              <w:t>1</w:t>
            </w:r>
          </w:p>
        </w:tc>
        <w:tc>
          <w:tcPr>
            <w:tcW w:w="1134" w:type="dxa"/>
          </w:tcPr>
          <w:p w14:paraId="5BD97909" w14:textId="77777777" w:rsidR="007E0ABC" w:rsidRPr="0098395C" w:rsidRDefault="007E0ABC" w:rsidP="0098395C">
            <w:pPr>
              <w:rPr>
                <w:sz w:val="16"/>
                <w:szCs w:val="16"/>
              </w:rPr>
            </w:pPr>
            <w:r w:rsidRPr="0098395C">
              <w:rPr>
                <w:sz w:val="16"/>
                <w:szCs w:val="16"/>
              </w:rPr>
              <w:t>1022 (30%)</w:t>
            </w:r>
          </w:p>
        </w:tc>
        <w:tc>
          <w:tcPr>
            <w:tcW w:w="851" w:type="dxa"/>
          </w:tcPr>
          <w:p w14:paraId="41053812" w14:textId="77777777" w:rsidR="007E0ABC" w:rsidRPr="0098395C" w:rsidRDefault="007E0ABC" w:rsidP="0098395C">
            <w:pPr>
              <w:rPr>
                <w:sz w:val="16"/>
                <w:szCs w:val="16"/>
              </w:rPr>
            </w:pPr>
            <w:r w:rsidRPr="0098395C">
              <w:rPr>
                <w:sz w:val="16"/>
                <w:szCs w:val="16"/>
              </w:rPr>
              <w:t>-1.74</w:t>
            </w:r>
          </w:p>
        </w:tc>
        <w:tc>
          <w:tcPr>
            <w:tcW w:w="999" w:type="dxa"/>
          </w:tcPr>
          <w:p w14:paraId="0044D04D" w14:textId="77777777" w:rsidR="007E0ABC" w:rsidRPr="0098395C" w:rsidRDefault="007E0ABC" w:rsidP="0098395C">
            <w:pPr>
              <w:rPr>
                <w:sz w:val="16"/>
                <w:szCs w:val="16"/>
              </w:rPr>
            </w:pPr>
            <w:r w:rsidRPr="0098395C">
              <w:rPr>
                <w:sz w:val="16"/>
                <w:szCs w:val="16"/>
              </w:rPr>
              <w:t>-1.68</w:t>
            </w:r>
          </w:p>
        </w:tc>
        <w:tc>
          <w:tcPr>
            <w:tcW w:w="1095" w:type="dxa"/>
          </w:tcPr>
          <w:p w14:paraId="6AF7D191" w14:textId="77777777" w:rsidR="007E0ABC" w:rsidRPr="0098395C" w:rsidRDefault="007E0ABC" w:rsidP="0098395C">
            <w:pPr>
              <w:rPr>
                <w:sz w:val="16"/>
                <w:szCs w:val="16"/>
              </w:rPr>
            </w:pPr>
            <w:r w:rsidRPr="0098395C">
              <w:rPr>
                <w:sz w:val="16"/>
                <w:szCs w:val="16"/>
              </w:rPr>
              <w:t>0.92/0.91</w:t>
            </w:r>
          </w:p>
        </w:tc>
        <w:tc>
          <w:tcPr>
            <w:tcW w:w="883" w:type="dxa"/>
          </w:tcPr>
          <w:p w14:paraId="402F9F57" w14:textId="77777777" w:rsidR="007E0ABC" w:rsidRPr="0098395C" w:rsidRDefault="007E0ABC" w:rsidP="0098395C">
            <w:pPr>
              <w:rPr>
                <w:sz w:val="16"/>
                <w:szCs w:val="16"/>
              </w:rPr>
            </w:pPr>
            <w:r w:rsidRPr="0098395C">
              <w:rPr>
                <w:sz w:val="16"/>
                <w:szCs w:val="16"/>
              </w:rPr>
              <w:t>-</w:t>
            </w:r>
          </w:p>
        </w:tc>
        <w:tc>
          <w:tcPr>
            <w:tcW w:w="632" w:type="dxa"/>
          </w:tcPr>
          <w:p w14:paraId="7E00919C" w14:textId="77777777" w:rsidR="007E0ABC" w:rsidRPr="0098395C" w:rsidRDefault="007E0ABC" w:rsidP="0098395C">
            <w:pPr>
              <w:rPr>
                <w:sz w:val="16"/>
                <w:szCs w:val="16"/>
              </w:rPr>
            </w:pPr>
            <w:r w:rsidRPr="0098395C">
              <w:rPr>
                <w:sz w:val="16"/>
                <w:szCs w:val="16"/>
              </w:rPr>
              <w:t>74%</w:t>
            </w:r>
          </w:p>
        </w:tc>
        <w:tc>
          <w:tcPr>
            <w:tcW w:w="555" w:type="dxa"/>
          </w:tcPr>
          <w:p w14:paraId="76DF1909" w14:textId="77777777" w:rsidR="007E0ABC" w:rsidRPr="0098395C" w:rsidRDefault="007E0ABC" w:rsidP="0098395C">
            <w:pPr>
              <w:rPr>
                <w:sz w:val="16"/>
                <w:szCs w:val="16"/>
              </w:rPr>
            </w:pPr>
            <w:r w:rsidRPr="0098395C">
              <w:rPr>
                <w:sz w:val="16"/>
                <w:szCs w:val="16"/>
              </w:rPr>
              <w:t>60%</w:t>
            </w:r>
          </w:p>
        </w:tc>
        <w:tc>
          <w:tcPr>
            <w:tcW w:w="1222" w:type="dxa"/>
            <w:vMerge w:val="restart"/>
          </w:tcPr>
          <w:p w14:paraId="67D068C6" w14:textId="77777777" w:rsidR="007E0ABC" w:rsidRPr="0098395C" w:rsidRDefault="007E0ABC" w:rsidP="0098395C">
            <w:pPr>
              <w:rPr>
                <w:sz w:val="16"/>
                <w:szCs w:val="16"/>
              </w:rPr>
            </w:pPr>
            <w:r w:rsidRPr="0098395C">
              <w:rPr>
                <w:sz w:val="16"/>
                <w:szCs w:val="16"/>
              </w:rPr>
              <w:t>all guidelines satisfied.</w:t>
            </w:r>
          </w:p>
        </w:tc>
      </w:tr>
      <w:tr w:rsidR="007E0ABC" w:rsidRPr="0098395C" w14:paraId="2C3EBFD4" w14:textId="77777777" w:rsidTr="0098395C">
        <w:tc>
          <w:tcPr>
            <w:tcW w:w="1155" w:type="dxa"/>
            <w:vMerge/>
          </w:tcPr>
          <w:p w14:paraId="466D0F0F" w14:textId="77777777" w:rsidR="007E0ABC" w:rsidRPr="0098395C" w:rsidRDefault="007E0ABC" w:rsidP="0098395C">
            <w:pPr>
              <w:widowControl w:val="0"/>
              <w:rPr>
                <w:sz w:val="16"/>
                <w:szCs w:val="16"/>
              </w:rPr>
            </w:pPr>
          </w:p>
        </w:tc>
        <w:tc>
          <w:tcPr>
            <w:tcW w:w="541" w:type="dxa"/>
          </w:tcPr>
          <w:p w14:paraId="60E78671" w14:textId="77777777" w:rsidR="007E0ABC" w:rsidRPr="0098395C" w:rsidRDefault="007E0ABC" w:rsidP="0098395C">
            <w:pPr>
              <w:rPr>
                <w:sz w:val="16"/>
                <w:szCs w:val="16"/>
              </w:rPr>
            </w:pPr>
            <w:r w:rsidRPr="0098395C">
              <w:rPr>
                <w:sz w:val="16"/>
                <w:szCs w:val="16"/>
              </w:rPr>
              <w:t>2</w:t>
            </w:r>
          </w:p>
        </w:tc>
        <w:tc>
          <w:tcPr>
            <w:tcW w:w="1134" w:type="dxa"/>
          </w:tcPr>
          <w:p w14:paraId="2D1D8EA5" w14:textId="77777777" w:rsidR="007E0ABC" w:rsidRPr="0098395C" w:rsidRDefault="007E0ABC" w:rsidP="0098395C">
            <w:pPr>
              <w:rPr>
                <w:sz w:val="16"/>
                <w:szCs w:val="16"/>
              </w:rPr>
            </w:pPr>
            <w:r w:rsidRPr="0098395C">
              <w:rPr>
                <w:sz w:val="16"/>
                <w:szCs w:val="16"/>
              </w:rPr>
              <w:t>1407 (41%)</w:t>
            </w:r>
          </w:p>
        </w:tc>
        <w:tc>
          <w:tcPr>
            <w:tcW w:w="851" w:type="dxa"/>
          </w:tcPr>
          <w:p w14:paraId="61F61180" w14:textId="77777777" w:rsidR="007E0ABC" w:rsidRPr="0098395C" w:rsidRDefault="007E0ABC" w:rsidP="0098395C">
            <w:pPr>
              <w:rPr>
                <w:sz w:val="16"/>
                <w:szCs w:val="16"/>
              </w:rPr>
            </w:pPr>
            <w:r w:rsidRPr="0098395C">
              <w:rPr>
                <w:sz w:val="16"/>
                <w:szCs w:val="16"/>
              </w:rPr>
              <w:t>0.01</w:t>
            </w:r>
          </w:p>
        </w:tc>
        <w:tc>
          <w:tcPr>
            <w:tcW w:w="999" w:type="dxa"/>
          </w:tcPr>
          <w:p w14:paraId="380A593B" w14:textId="77777777" w:rsidR="007E0ABC" w:rsidRPr="0098395C" w:rsidRDefault="007E0ABC" w:rsidP="0098395C">
            <w:pPr>
              <w:rPr>
                <w:sz w:val="16"/>
                <w:szCs w:val="16"/>
              </w:rPr>
            </w:pPr>
            <w:r w:rsidRPr="0098395C">
              <w:rPr>
                <w:sz w:val="16"/>
                <w:szCs w:val="16"/>
              </w:rPr>
              <w:t>-0.06</w:t>
            </w:r>
          </w:p>
        </w:tc>
        <w:tc>
          <w:tcPr>
            <w:tcW w:w="1095" w:type="dxa"/>
          </w:tcPr>
          <w:p w14:paraId="000DFE56" w14:textId="77777777" w:rsidR="007E0ABC" w:rsidRPr="0098395C" w:rsidRDefault="007E0ABC" w:rsidP="0098395C">
            <w:pPr>
              <w:rPr>
                <w:sz w:val="16"/>
                <w:szCs w:val="16"/>
              </w:rPr>
            </w:pPr>
            <w:r w:rsidRPr="0098395C">
              <w:rPr>
                <w:sz w:val="16"/>
                <w:szCs w:val="16"/>
              </w:rPr>
              <w:t>1.03/1.16</w:t>
            </w:r>
          </w:p>
        </w:tc>
        <w:tc>
          <w:tcPr>
            <w:tcW w:w="883" w:type="dxa"/>
          </w:tcPr>
          <w:p w14:paraId="33E2CAD0" w14:textId="77777777" w:rsidR="007E0ABC" w:rsidRPr="0098395C" w:rsidRDefault="007E0ABC" w:rsidP="0098395C">
            <w:pPr>
              <w:rPr>
                <w:sz w:val="16"/>
                <w:szCs w:val="16"/>
              </w:rPr>
            </w:pPr>
            <w:r w:rsidRPr="0098395C">
              <w:rPr>
                <w:sz w:val="16"/>
                <w:szCs w:val="16"/>
              </w:rPr>
              <w:t>-1.26</w:t>
            </w:r>
          </w:p>
        </w:tc>
        <w:tc>
          <w:tcPr>
            <w:tcW w:w="632" w:type="dxa"/>
          </w:tcPr>
          <w:p w14:paraId="1E8B4F6E" w14:textId="77777777" w:rsidR="007E0ABC" w:rsidRPr="0098395C" w:rsidRDefault="007E0ABC" w:rsidP="0098395C">
            <w:pPr>
              <w:rPr>
                <w:sz w:val="16"/>
                <w:szCs w:val="16"/>
              </w:rPr>
            </w:pPr>
            <w:r w:rsidRPr="0098395C">
              <w:rPr>
                <w:sz w:val="16"/>
                <w:szCs w:val="16"/>
              </w:rPr>
              <w:t>57%</w:t>
            </w:r>
          </w:p>
        </w:tc>
        <w:tc>
          <w:tcPr>
            <w:tcW w:w="555" w:type="dxa"/>
          </w:tcPr>
          <w:p w14:paraId="6172E31C" w14:textId="77777777" w:rsidR="007E0ABC" w:rsidRPr="0098395C" w:rsidRDefault="007E0ABC" w:rsidP="0098395C">
            <w:pPr>
              <w:rPr>
                <w:sz w:val="16"/>
                <w:szCs w:val="16"/>
              </w:rPr>
            </w:pPr>
            <w:r w:rsidRPr="0098395C">
              <w:rPr>
                <w:sz w:val="16"/>
                <w:szCs w:val="16"/>
              </w:rPr>
              <w:t>74%</w:t>
            </w:r>
          </w:p>
        </w:tc>
        <w:tc>
          <w:tcPr>
            <w:tcW w:w="1222" w:type="dxa"/>
            <w:vMerge/>
          </w:tcPr>
          <w:p w14:paraId="0F7F9333" w14:textId="77777777" w:rsidR="007E0ABC" w:rsidRPr="0098395C" w:rsidRDefault="007E0ABC" w:rsidP="0098395C">
            <w:pPr>
              <w:widowControl w:val="0"/>
              <w:rPr>
                <w:sz w:val="16"/>
                <w:szCs w:val="16"/>
              </w:rPr>
            </w:pPr>
          </w:p>
        </w:tc>
      </w:tr>
      <w:tr w:rsidR="007E0ABC" w:rsidRPr="0098395C" w14:paraId="5300AFFC" w14:textId="77777777" w:rsidTr="0098395C">
        <w:tc>
          <w:tcPr>
            <w:tcW w:w="1155" w:type="dxa"/>
            <w:vMerge/>
          </w:tcPr>
          <w:p w14:paraId="7E51F99C" w14:textId="77777777" w:rsidR="007E0ABC" w:rsidRPr="0098395C" w:rsidRDefault="007E0ABC" w:rsidP="0098395C">
            <w:pPr>
              <w:widowControl w:val="0"/>
              <w:rPr>
                <w:sz w:val="16"/>
                <w:szCs w:val="16"/>
              </w:rPr>
            </w:pPr>
          </w:p>
        </w:tc>
        <w:tc>
          <w:tcPr>
            <w:tcW w:w="541" w:type="dxa"/>
          </w:tcPr>
          <w:p w14:paraId="29E1CE75" w14:textId="77777777" w:rsidR="007E0ABC" w:rsidRPr="0098395C" w:rsidRDefault="007E0ABC" w:rsidP="0098395C">
            <w:pPr>
              <w:rPr>
                <w:sz w:val="16"/>
                <w:szCs w:val="16"/>
              </w:rPr>
            </w:pPr>
            <w:r w:rsidRPr="0098395C">
              <w:rPr>
                <w:sz w:val="16"/>
                <w:szCs w:val="16"/>
              </w:rPr>
              <w:t>3</w:t>
            </w:r>
          </w:p>
        </w:tc>
        <w:tc>
          <w:tcPr>
            <w:tcW w:w="1134" w:type="dxa"/>
          </w:tcPr>
          <w:p w14:paraId="56BA30D9" w14:textId="77777777" w:rsidR="007E0ABC" w:rsidRPr="0098395C" w:rsidRDefault="007E0ABC" w:rsidP="0098395C">
            <w:pPr>
              <w:rPr>
                <w:sz w:val="16"/>
                <w:szCs w:val="16"/>
              </w:rPr>
            </w:pPr>
            <w:r w:rsidRPr="0098395C">
              <w:rPr>
                <w:sz w:val="16"/>
                <w:szCs w:val="16"/>
              </w:rPr>
              <w:t>1009 (29%)</w:t>
            </w:r>
          </w:p>
        </w:tc>
        <w:tc>
          <w:tcPr>
            <w:tcW w:w="851" w:type="dxa"/>
          </w:tcPr>
          <w:p w14:paraId="3FF0E693" w14:textId="77777777" w:rsidR="007E0ABC" w:rsidRPr="0098395C" w:rsidRDefault="007E0ABC" w:rsidP="0098395C">
            <w:pPr>
              <w:rPr>
                <w:sz w:val="16"/>
                <w:szCs w:val="16"/>
              </w:rPr>
            </w:pPr>
            <w:r w:rsidRPr="0098395C">
              <w:rPr>
                <w:sz w:val="16"/>
                <w:szCs w:val="16"/>
              </w:rPr>
              <w:t>1.73</w:t>
            </w:r>
          </w:p>
        </w:tc>
        <w:tc>
          <w:tcPr>
            <w:tcW w:w="999" w:type="dxa"/>
          </w:tcPr>
          <w:p w14:paraId="17CA64E7" w14:textId="77777777" w:rsidR="007E0ABC" w:rsidRPr="0098395C" w:rsidRDefault="007E0ABC" w:rsidP="0098395C">
            <w:pPr>
              <w:rPr>
                <w:sz w:val="16"/>
                <w:szCs w:val="16"/>
              </w:rPr>
            </w:pPr>
            <w:r w:rsidRPr="0098395C">
              <w:rPr>
                <w:sz w:val="16"/>
                <w:szCs w:val="16"/>
              </w:rPr>
              <w:t>1.79</w:t>
            </w:r>
          </w:p>
        </w:tc>
        <w:tc>
          <w:tcPr>
            <w:tcW w:w="1095" w:type="dxa"/>
          </w:tcPr>
          <w:p w14:paraId="4A8DC10B" w14:textId="77777777" w:rsidR="007E0ABC" w:rsidRPr="0098395C" w:rsidRDefault="007E0ABC" w:rsidP="0098395C">
            <w:pPr>
              <w:rPr>
                <w:sz w:val="16"/>
                <w:szCs w:val="16"/>
              </w:rPr>
            </w:pPr>
            <w:r w:rsidRPr="0098395C">
              <w:rPr>
                <w:sz w:val="16"/>
                <w:szCs w:val="16"/>
              </w:rPr>
              <w:t>1.73/1.79</w:t>
            </w:r>
          </w:p>
        </w:tc>
        <w:tc>
          <w:tcPr>
            <w:tcW w:w="883" w:type="dxa"/>
          </w:tcPr>
          <w:p w14:paraId="3B3395A5" w14:textId="77777777" w:rsidR="007E0ABC" w:rsidRPr="0098395C" w:rsidRDefault="007E0ABC" w:rsidP="0098395C">
            <w:pPr>
              <w:rPr>
                <w:sz w:val="16"/>
                <w:szCs w:val="16"/>
              </w:rPr>
            </w:pPr>
            <w:r w:rsidRPr="0098395C">
              <w:rPr>
                <w:sz w:val="16"/>
                <w:szCs w:val="16"/>
              </w:rPr>
              <w:t>1.26</w:t>
            </w:r>
          </w:p>
        </w:tc>
        <w:tc>
          <w:tcPr>
            <w:tcW w:w="632" w:type="dxa"/>
          </w:tcPr>
          <w:p w14:paraId="45009BD4" w14:textId="77777777" w:rsidR="007E0ABC" w:rsidRPr="0098395C" w:rsidRDefault="007E0ABC" w:rsidP="0098395C">
            <w:pPr>
              <w:rPr>
                <w:sz w:val="16"/>
                <w:szCs w:val="16"/>
              </w:rPr>
            </w:pPr>
            <w:r w:rsidRPr="0098395C">
              <w:rPr>
                <w:sz w:val="16"/>
                <w:szCs w:val="16"/>
              </w:rPr>
              <w:t>73%</w:t>
            </w:r>
          </w:p>
        </w:tc>
        <w:tc>
          <w:tcPr>
            <w:tcW w:w="555" w:type="dxa"/>
          </w:tcPr>
          <w:p w14:paraId="4366F965" w14:textId="77777777" w:rsidR="007E0ABC" w:rsidRPr="0098395C" w:rsidRDefault="007E0ABC" w:rsidP="0098395C">
            <w:pPr>
              <w:rPr>
                <w:sz w:val="16"/>
                <w:szCs w:val="16"/>
              </w:rPr>
            </w:pPr>
            <w:r w:rsidRPr="0098395C">
              <w:rPr>
                <w:sz w:val="16"/>
                <w:szCs w:val="16"/>
              </w:rPr>
              <w:t>54%</w:t>
            </w:r>
          </w:p>
        </w:tc>
        <w:tc>
          <w:tcPr>
            <w:tcW w:w="1222" w:type="dxa"/>
            <w:vMerge/>
          </w:tcPr>
          <w:p w14:paraId="607A6850" w14:textId="77777777" w:rsidR="007E0ABC" w:rsidRPr="0098395C" w:rsidRDefault="007E0ABC" w:rsidP="0098395C">
            <w:pPr>
              <w:widowControl w:val="0"/>
              <w:rPr>
                <w:sz w:val="16"/>
                <w:szCs w:val="16"/>
              </w:rPr>
            </w:pPr>
          </w:p>
        </w:tc>
      </w:tr>
    </w:tbl>
    <w:p w14:paraId="5C6C381A" w14:textId="77777777" w:rsidR="007E0ABC" w:rsidRPr="0098395C" w:rsidRDefault="007E0ABC" w:rsidP="0098395C">
      <w:pPr>
        <w:rPr>
          <w:b/>
          <w:color w:val="2F5496"/>
          <w:szCs w:val="20"/>
          <w:u w:val="single"/>
        </w:rPr>
      </w:pPr>
    </w:p>
    <w:p w14:paraId="3EB12A51" w14:textId="77777777" w:rsidR="007E0ABC" w:rsidRPr="0098395C" w:rsidRDefault="007E0ABC" w:rsidP="007E0ABC">
      <w:pPr>
        <w:pStyle w:val="ListParagraph"/>
        <w:numPr>
          <w:ilvl w:val="0"/>
          <w:numId w:val="162"/>
        </w:numPr>
        <w:spacing w:after="160" w:line="259" w:lineRule="auto"/>
        <w:rPr>
          <w:szCs w:val="20"/>
          <w:u w:val="single"/>
        </w:rPr>
      </w:pPr>
      <w:r>
        <w:rPr>
          <w:szCs w:val="20"/>
          <w:u w:val="single"/>
        </w:rPr>
        <w:t xml:space="preserve">Table n. </w:t>
      </w:r>
      <w:r w:rsidRPr="0098395C">
        <w:rPr>
          <w:szCs w:val="20"/>
          <w:u w:val="single"/>
        </w:rPr>
        <w:t>Global Statistics/Overall fit</w:t>
      </w:r>
    </w:p>
    <w:p w14:paraId="2DB13C58" w14:textId="77777777" w:rsidR="007E0ABC" w:rsidRPr="0098395C" w:rsidRDefault="007E0ABC" w:rsidP="0098395C">
      <w:pPr>
        <w:rPr>
          <w:szCs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1465"/>
        <w:gridCol w:w="1465"/>
        <w:gridCol w:w="1466"/>
        <w:gridCol w:w="1465"/>
        <w:gridCol w:w="1466"/>
      </w:tblGrid>
      <w:tr w:rsidR="007E0ABC" w:rsidRPr="00EE4757" w14:paraId="629D01FB" w14:textId="77777777" w:rsidTr="00BD6250">
        <w:tc>
          <w:tcPr>
            <w:tcW w:w="1740" w:type="dxa"/>
            <w:vAlign w:val="center"/>
          </w:tcPr>
          <w:p w14:paraId="0364CA6C" w14:textId="77777777" w:rsidR="007E0ABC" w:rsidRPr="00EE4757" w:rsidRDefault="007E0ABC" w:rsidP="00BD6250">
            <w:pPr>
              <w:spacing w:line="276" w:lineRule="auto"/>
              <w:jc w:val="center"/>
              <w:rPr>
                <w:rFonts w:ascii="Avenir Heavy" w:hAnsi="Avenir Heavy"/>
                <w:b/>
                <w:bCs/>
                <w:sz w:val="18"/>
                <w:szCs w:val="18"/>
              </w:rPr>
            </w:pPr>
            <w:r w:rsidRPr="00EE4757">
              <w:rPr>
                <w:rFonts w:ascii="Avenir Heavy" w:hAnsi="Avenir Heavy"/>
                <w:b/>
                <w:bCs/>
                <w:sz w:val="18"/>
                <w:szCs w:val="18"/>
              </w:rPr>
              <w:t>Model:</w:t>
            </w:r>
          </w:p>
        </w:tc>
        <w:tc>
          <w:tcPr>
            <w:tcW w:w="1465" w:type="dxa"/>
            <w:vAlign w:val="center"/>
          </w:tcPr>
          <w:p w14:paraId="4CB64B87" w14:textId="77777777" w:rsidR="007E0ABC" w:rsidRPr="00EE4757" w:rsidRDefault="007E0ABC" w:rsidP="00BD6250">
            <w:pPr>
              <w:spacing w:line="276" w:lineRule="auto"/>
              <w:jc w:val="center"/>
              <w:rPr>
                <w:rFonts w:ascii="Avenir Heavy" w:hAnsi="Avenir Heavy"/>
                <w:b/>
                <w:bCs/>
                <w:sz w:val="18"/>
                <w:szCs w:val="18"/>
              </w:rPr>
            </w:pPr>
            <w:r w:rsidRPr="00EE4757">
              <w:rPr>
                <w:rFonts w:ascii="Avenir Heavy" w:hAnsi="Avenir Heavy"/>
                <w:b/>
                <w:bCs/>
                <w:sz w:val="18"/>
                <w:szCs w:val="18"/>
              </w:rPr>
              <w:t>Original model</w:t>
            </w:r>
          </w:p>
        </w:tc>
        <w:tc>
          <w:tcPr>
            <w:tcW w:w="1465" w:type="dxa"/>
            <w:vAlign w:val="center"/>
          </w:tcPr>
          <w:p w14:paraId="087C6006" w14:textId="77777777" w:rsidR="007E0ABC" w:rsidRPr="00EE4757" w:rsidRDefault="007E0ABC" w:rsidP="00BD6250">
            <w:pPr>
              <w:spacing w:line="276" w:lineRule="auto"/>
              <w:jc w:val="center"/>
              <w:rPr>
                <w:rFonts w:ascii="Avenir Heavy" w:hAnsi="Avenir Heavy"/>
                <w:b/>
                <w:bCs/>
                <w:sz w:val="18"/>
                <w:szCs w:val="18"/>
              </w:rPr>
            </w:pPr>
            <w:r w:rsidRPr="00EE4757">
              <w:rPr>
                <w:rFonts w:ascii="Avenir Heavy" w:hAnsi="Avenir Heavy"/>
                <w:b/>
                <w:bCs/>
                <w:sz w:val="18"/>
                <w:szCs w:val="18"/>
              </w:rPr>
              <w:t>M1a - Item 1 dropped)</w:t>
            </w:r>
          </w:p>
        </w:tc>
        <w:tc>
          <w:tcPr>
            <w:tcW w:w="1466" w:type="dxa"/>
            <w:vAlign w:val="center"/>
          </w:tcPr>
          <w:p w14:paraId="267C81D3" w14:textId="77777777" w:rsidR="007E0ABC" w:rsidRPr="00EE4757" w:rsidRDefault="007E0ABC" w:rsidP="00BD6250">
            <w:pPr>
              <w:spacing w:line="276" w:lineRule="auto"/>
              <w:jc w:val="center"/>
              <w:rPr>
                <w:rFonts w:ascii="Avenir Heavy" w:hAnsi="Avenir Heavy"/>
                <w:b/>
                <w:bCs/>
                <w:sz w:val="18"/>
                <w:szCs w:val="18"/>
              </w:rPr>
            </w:pPr>
            <w:r w:rsidRPr="00EE4757">
              <w:rPr>
                <w:rFonts w:ascii="Avenir Heavy" w:hAnsi="Avenir Heavy"/>
                <w:b/>
                <w:bCs/>
                <w:sz w:val="18"/>
                <w:szCs w:val="18"/>
              </w:rPr>
              <w:t>M1 – Collapsed categories 2&amp;3, 4&amp;5</w:t>
            </w:r>
          </w:p>
        </w:tc>
        <w:tc>
          <w:tcPr>
            <w:tcW w:w="1465" w:type="dxa"/>
            <w:vAlign w:val="center"/>
          </w:tcPr>
          <w:p w14:paraId="118D459C" w14:textId="77777777" w:rsidR="007E0ABC" w:rsidRPr="00EE4757" w:rsidRDefault="007E0ABC" w:rsidP="00BD6250">
            <w:pPr>
              <w:spacing w:line="276" w:lineRule="auto"/>
              <w:jc w:val="center"/>
              <w:rPr>
                <w:rFonts w:ascii="Avenir Heavy" w:hAnsi="Avenir Heavy"/>
                <w:b/>
                <w:bCs/>
                <w:sz w:val="18"/>
                <w:szCs w:val="18"/>
              </w:rPr>
            </w:pPr>
            <w:r w:rsidRPr="00EE4757">
              <w:rPr>
                <w:rFonts w:ascii="Avenir Heavy" w:hAnsi="Avenir Heavy"/>
                <w:b/>
                <w:bCs/>
                <w:sz w:val="18"/>
                <w:szCs w:val="18"/>
              </w:rPr>
              <w:t>M2 - misfitting persons removed</w:t>
            </w:r>
          </w:p>
        </w:tc>
        <w:tc>
          <w:tcPr>
            <w:tcW w:w="1466" w:type="dxa"/>
            <w:vAlign w:val="center"/>
          </w:tcPr>
          <w:p w14:paraId="73B42FDC" w14:textId="77777777" w:rsidR="007E0ABC" w:rsidRPr="00EE4757" w:rsidRDefault="007E0ABC" w:rsidP="00BD6250">
            <w:pPr>
              <w:spacing w:line="276" w:lineRule="auto"/>
              <w:jc w:val="center"/>
              <w:rPr>
                <w:rFonts w:ascii="Avenir Heavy" w:hAnsi="Avenir Heavy"/>
                <w:b/>
                <w:bCs/>
                <w:sz w:val="18"/>
                <w:szCs w:val="18"/>
              </w:rPr>
            </w:pPr>
            <w:r w:rsidRPr="00EE4757">
              <w:rPr>
                <w:rFonts w:ascii="Avenir Heavy" w:hAnsi="Avenir Heavy"/>
                <w:b/>
                <w:bCs/>
                <w:sz w:val="18"/>
                <w:szCs w:val="18"/>
              </w:rPr>
              <w:t>M3 - item 19 removed</w:t>
            </w:r>
          </w:p>
        </w:tc>
      </w:tr>
      <w:tr w:rsidR="007E0ABC" w:rsidRPr="00EE4757" w14:paraId="0B082B32" w14:textId="77777777" w:rsidTr="00BD6250">
        <w:trPr>
          <w:trHeight w:val="220"/>
        </w:trPr>
        <w:tc>
          <w:tcPr>
            <w:tcW w:w="1740" w:type="dxa"/>
          </w:tcPr>
          <w:p w14:paraId="3C61EC26" w14:textId="77777777" w:rsidR="007E0ABC" w:rsidRPr="00EE4757" w:rsidRDefault="007E0ABC" w:rsidP="00BD6250">
            <w:pPr>
              <w:spacing w:line="276" w:lineRule="auto"/>
              <w:rPr>
                <w:i/>
                <w:sz w:val="18"/>
                <w:szCs w:val="18"/>
              </w:rPr>
            </w:pPr>
            <w:r w:rsidRPr="00EE4757">
              <w:rPr>
                <w:i/>
                <w:sz w:val="18"/>
                <w:szCs w:val="18"/>
              </w:rPr>
              <w:t>Chi-square</w:t>
            </w:r>
          </w:p>
          <w:p w14:paraId="13AD5236" w14:textId="77777777" w:rsidR="007E0ABC" w:rsidRPr="00EE4757" w:rsidRDefault="007E0ABC" w:rsidP="00BD6250">
            <w:pPr>
              <w:spacing w:line="276" w:lineRule="auto"/>
              <w:rPr>
                <w:i/>
                <w:sz w:val="18"/>
                <w:szCs w:val="18"/>
              </w:rPr>
            </w:pPr>
            <w:r w:rsidRPr="00EE4757">
              <w:rPr>
                <w:i/>
                <w:sz w:val="18"/>
                <w:szCs w:val="18"/>
              </w:rPr>
              <w:t xml:space="preserve"> (</w:t>
            </w:r>
            <w:proofErr w:type="spellStart"/>
            <w:r w:rsidRPr="00EE4757">
              <w:rPr>
                <w:i/>
                <w:sz w:val="18"/>
                <w:szCs w:val="18"/>
              </w:rPr>
              <w:t>df</w:t>
            </w:r>
            <w:proofErr w:type="spellEnd"/>
            <w:r w:rsidRPr="00EE4757">
              <w:rPr>
                <w:i/>
                <w:sz w:val="18"/>
                <w:szCs w:val="18"/>
              </w:rPr>
              <w:t>)</w:t>
            </w:r>
          </w:p>
          <w:p w14:paraId="7B37A460" w14:textId="77777777" w:rsidR="007E0ABC" w:rsidRPr="00EE4757" w:rsidRDefault="007E0ABC" w:rsidP="00BD6250">
            <w:pPr>
              <w:spacing w:line="276" w:lineRule="auto"/>
              <w:rPr>
                <w:i/>
                <w:sz w:val="18"/>
                <w:szCs w:val="18"/>
              </w:rPr>
            </w:pPr>
            <w:r w:rsidRPr="00EE4757">
              <w:rPr>
                <w:i/>
                <w:sz w:val="18"/>
                <w:szCs w:val="18"/>
              </w:rPr>
              <w:t>p-value</w:t>
            </w:r>
          </w:p>
        </w:tc>
        <w:tc>
          <w:tcPr>
            <w:tcW w:w="1465" w:type="dxa"/>
          </w:tcPr>
          <w:p w14:paraId="20A9F103" w14:textId="77777777" w:rsidR="007E0ABC" w:rsidRPr="00EE4757" w:rsidRDefault="007E0ABC" w:rsidP="00BD6250">
            <w:pPr>
              <w:spacing w:line="276" w:lineRule="auto"/>
              <w:rPr>
                <w:sz w:val="18"/>
                <w:szCs w:val="18"/>
              </w:rPr>
            </w:pPr>
            <w:r w:rsidRPr="00EE4757">
              <w:rPr>
                <w:sz w:val="18"/>
                <w:szCs w:val="18"/>
              </w:rPr>
              <w:t>12353.7</w:t>
            </w:r>
          </w:p>
          <w:p w14:paraId="328FB690" w14:textId="77777777" w:rsidR="007E0ABC" w:rsidRPr="00EE4757" w:rsidRDefault="007E0ABC" w:rsidP="00BD6250">
            <w:pPr>
              <w:spacing w:line="276" w:lineRule="auto"/>
              <w:rPr>
                <w:sz w:val="18"/>
                <w:szCs w:val="18"/>
              </w:rPr>
            </w:pPr>
            <w:r w:rsidRPr="00EE4757">
              <w:rPr>
                <w:sz w:val="18"/>
                <w:szCs w:val="18"/>
              </w:rPr>
              <w:t>4893</w:t>
            </w:r>
          </w:p>
          <w:p w14:paraId="4E5B8E2D" w14:textId="77777777" w:rsidR="007E0ABC" w:rsidRPr="00EE4757" w:rsidRDefault="007E0ABC" w:rsidP="00BD6250">
            <w:pPr>
              <w:spacing w:line="276" w:lineRule="auto"/>
              <w:rPr>
                <w:sz w:val="18"/>
                <w:szCs w:val="18"/>
              </w:rPr>
            </w:pPr>
            <w:r w:rsidRPr="00EE4757">
              <w:rPr>
                <w:sz w:val="18"/>
                <w:szCs w:val="18"/>
              </w:rPr>
              <w:t>0.000</w:t>
            </w:r>
          </w:p>
        </w:tc>
        <w:tc>
          <w:tcPr>
            <w:tcW w:w="1465" w:type="dxa"/>
          </w:tcPr>
          <w:p w14:paraId="296A225A" w14:textId="77777777" w:rsidR="007E0ABC" w:rsidRPr="00EE4757" w:rsidRDefault="007E0ABC" w:rsidP="00BD6250">
            <w:pPr>
              <w:spacing w:line="276" w:lineRule="auto"/>
              <w:rPr>
                <w:sz w:val="18"/>
                <w:szCs w:val="18"/>
              </w:rPr>
            </w:pPr>
            <w:r w:rsidRPr="00EE4757">
              <w:rPr>
                <w:sz w:val="18"/>
                <w:szCs w:val="18"/>
              </w:rPr>
              <w:t>11062.9</w:t>
            </w:r>
          </w:p>
          <w:p w14:paraId="67B48D8A" w14:textId="77777777" w:rsidR="007E0ABC" w:rsidRPr="00EE4757" w:rsidRDefault="007E0ABC" w:rsidP="00BD6250">
            <w:pPr>
              <w:spacing w:line="276" w:lineRule="auto"/>
              <w:rPr>
                <w:sz w:val="18"/>
                <w:szCs w:val="18"/>
              </w:rPr>
            </w:pPr>
            <w:r w:rsidRPr="00EE4757">
              <w:rPr>
                <w:sz w:val="18"/>
                <w:szCs w:val="18"/>
              </w:rPr>
              <w:t>4460</w:t>
            </w:r>
          </w:p>
          <w:p w14:paraId="14A6E5D7" w14:textId="77777777" w:rsidR="007E0ABC" w:rsidRPr="00EE4757" w:rsidRDefault="007E0ABC" w:rsidP="00BD6250">
            <w:pPr>
              <w:spacing w:line="276" w:lineRule="auto"/>
              <w:rPr>
                <w:sz w:val="18"/>
                <w:szCs w:val="18"/>
              </w:rPr>
            </w:pPr>
            <w:r w:rsidRPr="00EE4757">
              <w:rPr>
                <w:sz w:val="18"/>
                <w:szCs w:val="18"/>
              </w:rPr>
              <w:t>0.00</w:t>
            </w:r>
          </w:p>
        </w:tc>
        <w:tc>
          <w:tcPr>
            <w:tcW w:w="1466" w:type="dxa"/>
          </w:tcPr>
          <w:p w14:paraId="61CC2280" w14:textId="77777777" w:rsidR="007E0ABC" w:rsidRPr="00EE4757" w:rsidRDefault="007E0ABC" w:rsidP="00BD6250">
            <w:pPr>
              <w:spacing w:line="276" w:lineRule="auto"/>
              <w:rPr>
                <w:sz w:val="18"/>
                <w:szCs w:val="18"/>
              </w:rPr>
            </w:pPr>
            <w:r w:rsidRPr="00EE4757">
              <w:rPr>
                <w:sz w:val="18"/>
                <w:szCs w:val="18"/>
              </w:rPr>
              <w:t>7629.3</w:t>
            </w:r>
          </w:p>
          <w:p w14:paraId="6F546795" w14:textId="77777777" w:rsidR="007E0ABC" w:rsidRPr="00EE4757" w:rsidRDefault="007E0ABC" w:rsidP="00BD6250">
            <w:pPr>
              <w:spacing w:line="276" w:lineRule="auto"/>
              <w:rPr>
                <w:sz w:val="18"/>
                <w:szCs w:val="18"/>
              </w:rPr>
            </w:pPr>
            <w:r w:rsidRPr="00EE4757">
              <w:rPr>
                <w:sz w:val="18"/>
                <w:szCs w:val="18"/>
              </w:rPr>
              <w:t>4807</w:t>
            </w:r>
          </w:p>
          <w:p w14:paraId="1416AC3A" w14:textId="77777777" w:rsidR="007E0ABC" w:rsidRPr="00EE4757" w:rsidRDefault="007E0ABC" w:rsidP="00BD6250">
            <w:pPr>
              <w:spacing w:line="276" w:lineRule="auto"/>
              <w:rPr>
                <w:sz w:val="18"/>
                <w:szCs w:val="18"/>
              </w:rPr>
            </w:pPr>
            <w:r w:rsidRPr="00EE4757">
              <w:rPr>
                <w:sz w:val="18"/>
                <w:szCs w:val="18"/>
              </w:rPr>
              <w:t>0.000</w:t>
            </w:r>
          </w:p>
        </w:tc>
        <w:tc>
          <w:tcPr>
            <w:tcW w:w="1465" w:type="dxa"/>
          </w:tcPr>
          <w:p w14:paraId="44D9F287" w14:textId="77777777" w:rsidR="007E0ABC" w:rsidRPr="00EE4757" w:rsidRDefault="007E0ABC" w:rsidP="00BD6250">
            <w:pPr>
              <w:spacing w:line="276" w:lineRule="auto"/>
              <w:rPr>
                <w:sz w:val="18"/>
                <w:szCs w:val="18"/>
              </w:rPr>
            </w:pPr>
            <w:r w:rsidRPr="00EE4757">
              <w:rPr>
                <w:sz w:val="18"/>
                <w:szCs w:val="18"/>
              </w:rPr>
              <w:t>5535.8</w:t>
            </w:r>
          </w:p>
          <w:p w14:paraId="783A0D7D" w14:textId="77777777" w:rsidR="007E0ABC" w:rsidRPr="00EE4757" w:rsidRDefault="007E0ABC" w:rsidP="00BD6250">
            <w:pPr>
              <w:spacing w:line="276" w:lineRule="auto"/>
              <w:rPr>
                <w:sz w:val="18"/>
                <w:szCs w:val="18"/>
              </w:rPr>
            </w:pPr>
            <w:r w:rsidRPr="00EE4757">
              <w:rPr>
                <w:sz w:val="18"/>
                <w:szCs w:val="18"/>
              </w:rPr>
              <w:t>3670</w:t>
            </w:r>
          </w:p>
          <w:p w14:paraId="66247C8E" w14:textId="77777777" w:rsidR="007E0ABC" w:rsidRPr="00EE4757" w:rsidRDefault="007E0ABC" w:rsidP="00BD6250">
            <w:pPr>
              <w:spacing w:line="276" w:lineRule="auto"/>
              <w:rPr>
                <w:sz w:val="18"/>
                <w:szCs w:val="18"/>
              </w:rPr>
            </w:pPr>
            <w:r w:rsidRPr="00EE4757">
              <w:rPr>
                <w:sz w:val="18"/>
                <w:szCs w:val="18"/>
              </w:rPr>
              <w:t>0.00</w:t>
            </w:r>
          </w:p>
        </w:tc>
        <w:tc>
          <w:tcPr>
            <w:tcW w:w="1466" w:type="dxa"/>
          </w:tcPr>
          <w:p w14:paraId="20CB2F13" w14:textId="77777777" w:rsidR="007E0ABC" w:rsidRPr="00EE4757" w:rsidRDefault="007E0ABC" w:rsidP="00BD6250">
            <w:pPr>
              <w:spacing w:line="276" w:lineRule="auto"/>
              <w:rPr>
                <w:sz w:val="18"/>
                <w:szCs w:val="18"/>
              </w:rPr>
            </w:pPr>
            <w:r w:rsidRPr="00EE4757">
              <w:rPr>
                <w:sz w:val="18"/>
                <w:szCs w:val="18"/>
              </w:rPr>
              <w:t>4821.9</w:t>
            </w:r>
          </w:p>
          <w:p w14:paraId="2DD9BD6D" w14:textId="77777777" w:rsidR="007E0ABC" w:rsidRPr="00EE4757" w:rsidRDefault="007E0ABC" w:rsidP="00BD6250">
            <w:pPr>
              <w:spacing w:line="276" w:lineRule="auto"/>
              <w:rPr>
                <w:sz w:val="18"/>
                <w:szCs w:val="18"/>
              </w:rPr>
            </w:pPr>
            <w:r w:rsidRPr="00EE4757">
              <w:rPr>
                <w:sz w:val="18"/>
                <w:szCs w:val="18"/>
              </w:rPr>
              <w:t>3267</w:t>
            </w:r>
          </w:p>
          <w:p w14:paraId="1544CA0E" w14:textId="77777777" w:rsidR="007E0ABC" w:rsidRPr="00EE4757" w:rsidRDefault="007E0ABC" w:rsidP="00BD6250">
            <w:pPr>
              <w:spacing w:line="276" w:lineRule="auto"/>
              <w:rPr>
                <w:sz w:val="18"/>
                <w:szCs w:val="18"/>
              </w:rPr>
            </w:pPr>
            <w:r w:rsidRPr="00EE4757">
              <w:rPr>
                <w:sz w:val="18"/>
                <w:szCs w:val="18"/>
              </w:rPr>
              <w:t>0.000</w:t>
            </w:r>
          </w:p>
        </w:tc>
      </w:tr>
      <w:tr w:rsidR="007E0ABC" w:rsidRPr="00EE4757" w14:paraId="4AC5DD76" w14:textId="77777777" w:rsidTr="00BD6250">
        <w:trPr>
          <w:trHeight w:val="220"/>
        </w:trPr>
        <w:tc>
          <w:tcPr>
            <w:tcW w:w="1740" w:type="dxa"/>
          </w:tcPr>
          <w:p w14:paraId="536DC1CE" w14:textId="77777777" w:rsidR="007E0ABC" w:rsidRPr="00EE4757" w:rsidRDefault="007E0ABC" w:rsidP="00BD6250">
            <w:pPr>
              <w:spacing w:line="276" w:lineRule="auto"/>
              <w:rPr>
                <w:i/>
                <w:sz w:val="18"/>
                <w:szCs w:val="18"/>
              </w:rPr>
            </w:pPr>
            <w:r w:rsidRPr="00EE4757">
              <w:rPr>
                <w:i/>
                <w:sz w:val="18"/>
                <w:szCs w:val="18"/>
              </w:rPr>
              <w:t>INFIT MNSQ</w:t>
            </w:r>
          </w:p>
        </w:tc>
        <w:tc>
          <w:tcPr>
            <w:tcW w:w="1465" w:type="dxa"/>
          </w:tcPr>
          <w:p w14:paraId="34B0CEDC" w14:textId="77777777" w:rsidR="007E0ABC" w:rsidRPr="00EE4757" w:rsidRDefault="007E0ABC" w:rsidP="00BD6250">
            <w:pPr>
              <w:spacing w:line="276" w:lineRule="auto"/>
              <w:rPr>
                <w:sz w:val="18"/>
                <w:szCs w:val="18"/>
              </w:rPr>
            </w:pPr>
            <w:r w:rsidRPr="00EE4757">
              <w:rPr>
                <w:sz w:val="18"/>
                <w:szCs w:val="18"/>
              </w:rPr>
              <w:t>1.04</w:t>
            </w:r>
          </w:p>
        </w:tc>
        <w:tc>
          <w:tcPr>
            <w:tcW w:w="1465" w:type="dxa"/>
          </w:tcPr>
          <w:p w14:paraId="7DFC8B49" w14:textId="77777777" w:rsidR="007E0ABC" w:rsidRPr="00EE4757" w:rsidRDefault="007E0ABC" w:rsidP="00BD6250">
            <w:pPr>
              <w:spacing w:line="276" w:lineRule="auto"/>
              <w:rPr>
                <w:sz w:val="18"/>
                <w:szCs w:val="18"/>
              </w:rPr>
            </w:pPr>
            <w:r w:rsidRPr="00EE4757">
              <w:rPr>
                <w:sz w:val="18"/>
                <w:szCs w:val="18"/>
              </w:rPr>
              <w:t>1.02</w:t>
            </w:r>
          </w:p>
        </w:tc>
        <w:tc>
          <w:tcPr>
            <w:tcW w:w="1466" w:type="dxa"/>
          </w:tcPr>
          <w:p w14:paraId="5C7866A7" w14:textId="77777777" w:rsidR="007E0ABC" w:rsidRPr="00EE4757" w:rsidRDefault="007E0ABC" w:rsidP="00BD6250">
            <w:pPr>
              <w:spacing w:line="276" w:lineRule="auto"/>
              <w:rPr>
                <w:sz w:val="18"/>
                <w:szCs w:val="18"/>
              </w:rPr>
            </w:pPr>
            <w:r w:rsidRPr="00EE4757">
              <w:rPr>
                <w:sz w:val="18"/>
                <w:szCs w:val="18"/>
              </w:rPr>
              <w:t>1.00</w:t>
            </w:r>
          </w:p>
        </w:tc>
        <w:tc>
          <w:tcPr>
            <w:tcW w:w="1465" w:type="dxa"/>
          </w:tcPr>
          <w:p w14:paraId="12070DAE" w14:textId="77777777" w:rsidR="007E0ABC" w:rsidRPr="00EE4757" w:rsidRDefault="007E0ABC" w:rsidP="00BD6250">
            <w:pPr>
              <w:spacing w:line="276" w:lineRule="auto"/>
              <w:rPr>
                <w:sz w:val="18"/>
                <w:szCs w:val="18"/>
              </w:rPr>
            </w:pPr>
            <w:r w:rsidRPr="00EE4757">
              <w:rPr>
                <w:sz w:val="18"/>
                <w:szCs w:val="18"/>
              </w:rPr>
              <w:t>0.99</w:t>
            </w:r>
          </w:p>
        </w:tc>
        <w:tc>
          <w:tcPr>
            <w:tcW w:w="1466" w:type="dxa"/>
          </w:tcPr>
          <w:p w14:paraId="33A48D1A" w14:textId="77777777" w:rsidR="007E0ABC" w:rsidRPr="00EE4757" w:rsidRDefault="007E0ABC" w:rsidP="00BD6250">
            <w:pPr>
              <w:spacing w:line="276" w:lineRule="auto"/>
              <w:rPr>
                <w:sz w:val="18"/>
                <w:szCs w:val="18"/>
              </w:rPr>
            </w:pPr>
            <w:r w:rsidRPr="00EE4757">
              <w:rPr>
                <w:sz w:val="18"/>
                <w:szCs w:val="18"/>
              </w:rPr>
              <w:t>0.99</w:t>
            </w:r>
          </w:p>
        </w:tc>
      </w:tr>
      <w:tr w:rsidR="007E0ABC" w:rsidRPr="00EE4757" w14:paraId="71603FEC" w14:textId="77777777" w:rsidTr="00BD6250">
        <w:trPr>
          <w:trHeight w:val="220"/>
        </w:trPr>
        <w:tc>
          <w:tcPr>
            <w:tcW w:w="1740" w:type="dxa"/>
          </w:tcPr>
          <w:p w14:paraId="23CDC87E" w14:textId="77777777" w:rsidR="007E0ABC" w:rsidRPr="00EE4757" w:rsidRDefault="007E0ABC" w:rsidP="00BD6250">
            <w:pPr>
              <w:spacing w:line="276" w:lineRule="auto"/>
              <w:rPr>
                <w:i/>
                <w:sz w:val="18"/>
                <w:szCs w:val="18"/>
              </w:rPr>
            </w:pPr>
            <w:r w:rsidRPr="00EE4757">
              <w:rPr>
                <w:i/>
                <w:sz w:val="18"/>
                <w:szCs w:val="18"/>
              </w:rPr>
              <w:t>INFIT ZSTD</w:t>
            </w:r>
          </w:p>
        </w:tc>
        <w:tc>
          <w:tcPr>
            <w:tcW w:w="1465" w:type="dxa"/>
          </w:tcPr>
          <w:p w14:paraId="28914E56" w14:textId="77777777" w:rsidR="007E0ABC" w:rsidRPr="00EE4757" w:rsidRDefault="007E0ABC" w:rsidP="00BD6250">
            <w:pPr>
              <w:spacing w:line="276" w:lineRule="auto"/>
              <w:rPr>
                <w:sz w:val="18"/>
                <w:szCs w:val="18"/>
              </w:rPr>
            </w:pPr>
            <w:r w:rsidRPr="00EE4757">
              <w:rPr>
                <w:sz w:val="18"/>
                <w:szCs w:val="18"/>
              </w:rPr>
              <w:t>-.05</w:t>
            </w:r>
          </w:p>
        </w:tc>
        <w:tc>
          <w:tcPr>
            <w:tcW w:w="1465" w:type="dxa"/>
          </w:tcPr>
          <w:p w14:paraId="6976F46F" w14:textId="77777777" w:rsidR="007E0ABC" w:rsidRPr="00EE4757" w:rsidRDefault="007E0ABC" w:rsidP="00BD6250">
            <w:pPr>
              <w:spacing w:line="276" w:lineRule="auto"/>
              <w:rPr>
                <w:sz w:val="18"/>
                <w:szCs w:val="18"/>
              </w:rPr>
            </w:pPr>
            <w:r w:rsidRPr="00EE4757">
              <w:rPr>
                <w:sz w:val="18"/>
                <w:szCs w:val="18"/>
              </w:rPr>
              <w:t>0.21</w:t>
            </w:r>
          </w:p>
        </w:tc>
        <w:tc>
          <w:tcPr>
            <w:tcW w:w="1466" w:type="dxa"/>
          </w:tcPr>
          <w:p w14:paraId="138C3333" w14:textId="77777777" w:rsidR="007E0ABC" w:rsidRPr="00EE4757" w:rsidRDefault="007E0ABC" w:rsidP="00BD6250">
            <w:pPr>
              <w:spacing w:line="276" w:lineRule="auto"/>
              <w:rPr>
                <w:sz w:val="18"/>
                <w:szCs w:val="18"/>
              </w:rPr>
            </w:pPr>
            <w:r w:rsidRPr="00EE4757">
              <w:rPr>
                <w:sz w:val="18"/>
                <w:szCs w:val="18"/>
              </w:rPr>
              <w:t>-0.07</w:t>
            </w:r>
          </w:p>
        </w:tc>
        <w:tc>
          <w:tcPr>
            <w:tcW w:w="1465" w:type="dxa"/>
          </w:tcPr>
          <w:p w14:paraId="0494DC16" w14:textId="77777777" w:rsidR="007E0ABC" w:rsidRPr="00EE4757" w:rsidRDefault="007E0ABC" w:rsidP="00BD6250">
            <w:pPr>
              <w:spacing w:line="276" w:lineRule="auto"/>
              <w:rPr>
                <w:sz w:val="18"/>
                <w:szCs w:val="18"/>
              </w:rPr>
            </w:pPr>
            <w:r w:rsidRPr="00EE4757">
              <w:rPr>
                <w:sz w:val="18"/>
                <w:szCs w:val="18"/>
              </w:rPr>
              <w:t>-0.16</w:t>
            </w:r>
          </w:p>
        </w:tc>
        <w:tc>
          <w:tcPr>
            <w:tcW w:w="1466" w:type="dxa"/>
          </w:tcPr>
          <w:p w14:paraId="5DCBE014" w14:textId="77777777" w:rsidR="007E0ABC" w:rsidRPr="00EE4757" w:rsidRDefault="007E0ABC" w:rsidP="00BD6250">
            <w:pPr>
              <w:spacing w:line="276" w:lineRule="auto"/>
              <w:rPr>
                <w:sz w:val="18"/>
                <w:szCs w:val="18"/>
              </w:rPr>
            </w:pPr>
            <w:r w:rsidRPr="00EE4757">
              <w:rPr>
                <w:sz w:val="18"/>
                <w:szCs w:val="18"/>
              </w:rPr>
              <w:t>-0.18</w:t>
            </w:r>
          </w:p>
        </w:tc>
      </w:tr>
      <w:tr w:rsidR="007E0ABC" w:rsidRPr="00EE4757" w14:paraId="2FECEC88" w14:textId="77777777" w:rsidTr="00BD6250">
        <w:trPr>
          <w:trHeight w:val="220"/>
        </w:trPr>
        <w:tc>
          <w:tcPr>
            <w:tcW w:w="1740" w:type="dxa"/>
          </w:tcPr>
          <w:p w14:paraId="148126B7" w14:textId="77777777" w:rsidR="007E0ABC" w:rsidRPr="00EE4757" w:rsidRDefault="007E0ABC" w:rsidP="00BD6250">
            <w:pPr>
              <w:spacing w:line="276" w:lineRule="auto"/>
              <w:rPr>
                <w:i/>
                <w:sz w:val="18"/>
                <w:szCs w:val="18"/>
              </w:rPr>
            </w:pPr>
            <w:r w:rsidRPr="00EE4757">
              <w:rPr>
                <w:i/>
                <w:sz w:val="18"/>
                <w:szCs w:val="18"/>
              </w:rPr>
              <w:lastRenderedPageBreak/>
              <w:t>OUTFIT MNSQ</w:t>
            </w:r>
          </w:p>
        </w:tc>
        <w:tc>
          <w:tcPr>
            <w:tcW w:w="1465" w:type="dxa"/>
          </w:tcPr>
          <w:p w14:paraId="39B6F633" w14:textId="77777777" w:rsidR="007E0ABC" w:rsidRPr="00EE4757" w:rsidRDefault="007E0ABC" w:rsidP="00BD6250">
            <w:pPr>
              <w:spacing w:line="276" w:lineRule="auto"/>
              <w:rPr>
                <w:sz w:val="18"/>
                <w:szCs w:val="18"/>
              </w:rPr>
            </w:pPr>
            <w:r w:rsidRPr="00EE4757">
              <w:rPr>
                <w:sz w:val="18"/>
                <w:szCs w:val="18"/>
              </w:rPr>
              <w:t>1.03</w:t>
            </w:r>
          </w:p>
        </w:tc>
        <w:tc>
          <w:tcPr>
            <w:tcW w:w="1465" w:type="dxa"/>
          </w:tcPr>
          <w:p w14:paraId="3B0FD373" w14:textId="77777777" w:rsidR="007E0ABC" w:rsidRPr="00EE4757" w:rsidRDefault="007E0ABC" w:rsidP="00BD6250">
            <w:pPr>
              <w:spacing w:line="276" w:lineRule="auto"/>
              <w:rPr>
                <w:sz w:val="18"/>
                <w:szCs w:val="18"/>
              </w:rPr>
            </w:pPr>
            <w:r w:rsidRPr="00EE4757">
              <w:rPr>
                <w:sz w:val="18"/>
                <w:szCs w:val="18"/>
              </w:rPr>
              <w:t>1.03</w:t>
            </w:r>
          </w:p>
        </w:tc>
        <w:tc>
          <w:tcPr>
            <w:tcW w:w="1466" w:type="dxa"/>
          </w:tcPr>
          <w:p w14:paraId="692FC335" w14:textId="77777777" w:rsidR="007E0ABC" w:rsidRPr="00EE4757" w:rsidRDefault="007E0ABC" w:rsidP="00BD6250">
            <w:pPr>
              <w:spacing w:line="276" w:lineRule="auto"/>
              <w:rPr>
                <w:sz w:val="18"/>
                <w:szCs w:val="18"/>
              </w:rPr>
            </w:pPr>
            <w:r w:rsidRPr="00EE4757">
              <w:rPr>
                <w:sz w:val="18"/>
                <w:szCs w:val="18"/>
              </w:rPr>
              <w:t>1.02</w:t>
            </w:r>
          </w:p>
        </w:tc>
        <w:tc>
          <w:tcPr>
            <w:tcW w:w="1465" w:type="dxa"/>
          </w:tcPr>
          <w:p w14:paraId="6860BFB0" w14:textId="77777777" w:rsidR="007E0ABC" w:rsidRPr="00EE4757" w:rsidRDefault="007E0ABC" w:rsidP="00BD6250">
            <w:pPr>
              <w:spacing w:line="276" w:lineRule="auto"/>
              <w:rPr>
                <w:sz w:val="18"/>
                <w:szCs w:val="18"/>
              </w:rPr>
            </w:pPr>
            <w:r w:rsidRPr="00EE4757">
              <w:rPr>
                <w:sz w:val="18"/>
                <w:szCs w:val="18"/>
              </w:rPr>
              <w:t>1.02</w:t>
            </w:r>
          </w:p>
        </w:tc>
        <w:tc>
          <w:tcPr>
            <w:tcW w:w="1466" w:type="dxa"/>
          </w:tcPr>
          <w:p w14:paraId="62A6B14E" w14:textId="77777777" w:rsidR="007E0ABC" w:rsidRPr="00EE4757" w:rsidRDefault="007E0ABC" w:rsidP="00BD6250">
            <w:pPr>
              <w:spacing w:line="276" w:lineRule="auto"/>
              <w:rPr>
                <w:sz w:val="18"/>
                <w:szCs w:val="18"/>
              </w:rPr>
            </w:pPr>
            <w:r w:rsidRPr="00EE4757">
              <w:rPr>
                <w:sz w:val="18"/>
                <w:szCs w:val="18"/>
              </w:rPr>
              <w:t>1.03</w:t>
            </w:r>
          </w:p>
        </w:tc>
      </w:tr>
      <w:tr w:rsidR="007E0ABC" w:rsidRPr="00EE4757" w14:paraId="1113ED59" w14:textId="77777777" w:rsidTr="00BD6250">
        <w:trPr>
          <w:trHeight w:val="220"/>
        </w:trPr>
        <w:tc>
          <w:tcPr>
            <w:tcW w:w="1740" w:type="dxa"/>
          </w:tcPr>
          <w:p w14:paraId="2F3AE62A" w14:textId="77777777" w:rsidR="007E0ABC" w:rsidRPr="00EE4757" w:rsidRDefault="007E0ABC" w:rsidP="00BD6250">
            <w:pPr>
              <w:spacing w:line="276" w:lineRule="auto"/>
              <w:rPr>
                <w:i/>
                <w:sz w:val="18"/>
                <w:szCs w:val="18"/>
              </w:rPr>
            </w:pPr>
            <w:r w:rsidRPr="00EE4757">
              <w:rPr>
                <w:i/>
                <w:sz w:val="18"/>
                <w:szCs w:val="18"/>
              </w:rPr>
              <w:t>OUTFIT ZSTD</w:t>
            </w:r>
          </w:p>
        </w:tc>
        <w:tc>
          <w:tcPr>
            <w:tcW w:w="1465" w:type="dxa"/>
          </w:tcPr>
          <w:p w14:paraId="019C9B0D" w14:textId="77777777" w:rsidR="007E0ABC" w:rsidRPr="00EE4757" w:rsidRDefault="007E0ABC" w:rsidP="00BD6250">
            <w:pPr>
              <w:spacing w:line="276" w:lineRule="auto"/>
              <w:rPr>
                <w:sz w:val="18"/>
                <w:szCs w:val="18"/>
              </w:rPr>
            </w:pPr>
            <w:r w:rsidRPr="00EE4757">
              <w:rPr>
                <w:sz w:val="18"/>
                <w:szCs w:val="18"/>
              </w:rPr>
              <w:t>-.04</w:t>
            </w:r>
          </w:p>
        </w:tc>
        <w:tc>
          <w:tcPr>
            <w:tcW w:w="1465" w:type="dxa"/>
          </w:tcPr>
          <w:p w14:paraId="6FF4E144" w14:textId="77777777" w:rsidR="007E0ABC" w:rsidRPr="00EE4757" w:rsidRDefault="007E0ABC" w:rsidP="00BD6250">
            <w:pPr>
              <w:spacing w:line="276" w:lineRule="auto"/>
              <w:rPr>
                <w:sz w:val="18"/>
                <w:szCs w:val="18"/>
              </w:rPr>
            </w:pPr>
            <w:r w:rsidRPr="00EE4757">
              <w:rPr>
                <w:sz w:val="18"/>
                <w:szCs w:val="18"/>
              </w:rPr>
              <w:t>0.36</w:t>
            </w:r>
          </w:p>
        </w:tc>
        <w:tc>
          <w:tcPr>
            <w:tcW w:w="1466" w:type="dxa"/>
          </w:tcPr>
          <w:p w14:paraId="2072D99A" w14:textId="77777777" w:rsidR="007E0ABC" w:rsidRPr="00EE4757" w:rsidRDefault="007E0ABC" w:rsidP="00BD6250">
            <w:pPr>
              <w:spacing w:line="276" w:lineRule="auto"/>
              <w:rPr>
                <w:sz w:val="18"/>
                <w:szCs w:val="18"/>
              </w:rPr>
            </w:pPr>
            <w:r w:rsidRPr="00EE4757">
              <w:rPr>
                <w:sz w:val="18"/>
                <w:szCs w:val="18"/>
              </w:rPr>
              <w:t>0.19</w:t>
            </w:r>
          </w:p>
        </w:tc>
        <w:tc>
          <w:tcPr>
            <w:tcW w:w="1465" w:type="dxa"/>
          </w:tcPr>
          <w:p w14:paraId="7112BD89" w14:textId="77777777" w:rsidR="007E0ABC" w:rsidRPr="00EE4757" w:rsidRDefault="007E0ABC" w:rsidP="00BD6250">
            <w:pPr>
              <w:spacing w:line="276" w:lineRule="auto"/>
              <w:rPr>
                <w:sz w:val="18"/>
                <w:szCs w:val="18"/>
              </w:rPr>
            </w:pPr>
            <w:r w:rsidRPr="00EE4757">
              <w:rPr>
                <w:sz w:val="18"/>
                <w:szCs w:val="18"/>
              </w:rPr>
              <w:t>0.18</w:t>
            </w:r>
          </w:p>
        </w:tc>
        <w:tc>
          <w:tcPr>
            <w:tcW w:w="1466" w:type="dxa"/>
          </w:tcPr>
          <w:p w14:paraId="76FE33BE" w14:textId="77777777" w:rsidR="007E0ABC" w:rsidRPr="00EE4757" w:rsidRDefault="007E0ABC" w:rsidP="00BD6250">
            <w:pPr>
              <w:spacing w:line="276" w:lineRule="auto"/>
              <w:rPr>
                <w:sz w:val="18"/>
                <w:szCs w:val="18"/>
              </w:rPr>
            </w:pPr>
            <w:r w:rsidRPr="00EE4757">
              <w:rPr>
                <w:sz w:val="18"/>
                <w:szCs w:val="18"/>
              </w:rPr>
              <w:t>0.27</w:t>
            </w:r>
          </w:p>
        </w:tc>
      </w:tr>
    </w:tbl>
    <w:p w14:paraId="44852368" w14:textId="77777777" w:rsidR="007E0ABC" w:rsidRPr="0098395C" w:rsidRDefault="007E0ABC" w:rsidP="0098395C">
      <w:pPr>
        <w:rPr>
          <w:szCs w:val="20"/>
        </w:rPr>
      </w:pPr>
    </w:p>
    <w:p w14:paraId="4ABBBB2D" w14:textId="77777777" w:rsidR="007E0ABC" w:rsidRDefault="007E0ABC" w:rsidP="00BD6250">
      <w:pPr>
        <w:pStyle w:val="ListParagraph"/>
        <w:rPr>
          <w:szCs w:val="20"/>
        </w:rPr>
      </w:pPr>
    </w:p>
    <w:p w14:paraId="1F088DC8" w14:textId="77777777" w:rsidR="007E0ABC" w:rsidRPr="00BD6250" w:rsidRDefault="007E0ABC" w:rsidP="007E0ABC">
      <w:pPr>
        <w:pStyle w:val="ListParagraph"/>
        <w:numPr>
          <w:ilvl w:val="0"/>
          <w:numId w:val="162"/>
        </w:numPr>
        <w:spacing w:line="240" w:lineRule="auto"/>
        <w:jc w:val="left"/>
        <w:rPr>
          <w:szCs w:val="20"/>
        </w:rPr>
      </w:pPr>
      <w:r>
        <w:rPr>
          <w:szCs w:val="20"/>
        </w:rPr>
        <w:t>Table n.</w:t>
      </w:r>
      <w:r w:rsidRPr="00BD6250">
        <w:rPr>
          <w:szCs w:val="20"/>
        </w:rPr>
        <w:t xml:space="preserve"> Item fit and person fit</w:t>
      </w:r>
    </w:p>
    <w:p w14:paraId="263402BB" w14:textId="77777777" w:rsidR="007E0ABC" w:rsidRPr="0098395C" w:rsidRDefault="007E0ABC" w:rsidP="0098395C">
      <w:pPr>
        <w:rPr>
          <w:szCs w:val="20"/>
          <w:u w:val="singl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4"/>
        <w:gridCol w:w="1087"/>
        <w:gridCol w:w="1625"/>
        <w:gridCol w:w="2910"/>
        <w:gridCol w:w="2587"/>
      </w:tblGrid>
      <w:tr w:rsidR="007E0ABC" w:rsidRPr="00EE4757" w14:paraId="1CBE8594" w14:textId="77777777" w:rsidTr="00D75B62">
        <w:tc>
          <w:tcPr>
            <w:tcW w:w="1284" w:type="dxa"/>
          </w:tcPr>
          <w:p w14:paraId="345987F1" w14:textId="77777777" w:rsidR="007E0ABC" w:rsidRPr="00EE4757" w:rsidRDefault="007E0ABC" w:rsidP="00EE4757">
            <w:pPr>
              <w:jc w:val="center"/>
              <w:rPr>
                <w:rFonts w:ascii="Avenir Heavy" w:hAnsi="Avenir Heavy"/>
                <w:b/>
                <w:bCs/>
                <w:sz w:val="18"/>
                <w:szCs w:val="18"/>
                <w:u w:val="single"/>
              </w:rPr>
            </w:pPr>
            <w:r w:rsidRPr="00EE4757">
              <w:rPr>
                <w:rFonts w:ascii="Avenir Heavy" w:hAnsi="Avenir Heavy"/>
                <w:b/>
                <w:bCs/>
                <w:sz w:val="18"/>
                <w:szCs w:val="18"/>
              </w:rPr>
              <w:t>Model</w:t>
            </w:r>
          </w:p>
        </w:tc>
        <w:tc>
          <w:tcPr>
            <w:tcW w:w="1087" w:type="dxa"/>
          </w:tcPr>
          <w:p w14:paraId="69C0F161" w14:textId="77777777" w:rsidR="007E0ABC" w:rsidRPr="00EE4757" w:rsidRDefault="007E0ABC" w:rsidP="00EE4757">
            <w:pPr>
              <w:jc w:val="center"/>
              <w:rPr>
                <w:rFonts w:ascii="Avenir Heavy" w:hAnsi="Avenir Heavy"/>
                <w:b/>
                <w:bCs/>
                <w:sz w:val="18"/>
                <w:szCs w:val="18"/>
              </w:rPr>
            </w:pPr>
            <w:r w:rsidRPr="00EE4757">
              <w:rPr>
                <w:rFonts w:ascii="Avenir Heavy" w:hAnsi="Avenir Heavy"/>
                <w:b/>
                <w:bCs/>
                <w:sz w:val="18"/>
                <w:szCs w:val="18"/>
              </w:rPr>
              <w:t>Statistic</w:t>
            </w:r>
          </w:p>
        </w:tc>
        <w:tc>
          <w:tcPr>
            <w:tcW w:w="1625" w:type="dxa"/>
          </w:tcPr>
          <w:p w14:paraId="29F9055C" w14:textId="77777777" w:rsidR="007E0ABC" w:rsidRPr="00EE4757" w:rsidRDefault="007E0ABC" w:rsidP="00EE4757">
            <w:pPr>
              <w:jc w:val="center"/>
              <w:rPr>
                <w:rFonts w:ascii="Avenir Heavy" w:hAnsi="Avenir Heavy"/>
                <w:b/>
                <w:bCs/>
                <w:sz w:val="18"/>
                <w:szCs w:val="18"/>
              </w:rPr>
            </w:pPr>
            <w:r w:rsidRPr="00EE4757">
              <w:rPr>
                <w:rFonts w:ascii="Avenir Heavy" w:hAnsi="Avenir Heavy"/>
                <w:b/>
                <w:bCs/>
                <w:sz w:val="18"/>
                <w:szCs w:val="18"/>
              </w:rPr>
              <w:t>Flagged items/persons</w:t>
            </w:r>
          </w:p>
        </w:tc>
        <w:tc>
          <w:tcPr>
            <w:tcW w:w="2910" w:type="dxa"/>
          </w:tcPr>
          <w:p w14:paraId="514F5C35" w14:textId="77777777" w:rsidR="007E0ABC" w:rsidRPr="00EE4757" w:rsidRDefault="007E0ABC" w:rsidP="00EE4757">
            <w:pPr>
              <w:jc w:val="center"/>
              <w:rPr>
                <w:rFonts w:ascii="Avenir Heavy" w:hAnsi="Avenir Heavy"/>
                <w:b/>
                <w:bCs/>
                <w:sz w:val="18"/>
                <w:szCs w:val="18"/>
              </w:rPr>
            </w:pPr>
            <w:r w:rsidRPr="00EE4757">
              <w:rPr>
                <w:rFonts w:ascii="Avenir Heavy" w:hAnsi="Avenir Heavy"/>
                <w:b/>
                <w:bCs/>
                <w:sz w:val="18"/>
                <w:szCs w:val="18"/>
              </w:rPr>
              <w:t>Infit/Outfit ZSTD</w:t>
            </w:r>
          </w:p>
        </w:tc>
        <w:tc>
          <w:tcPr>
            <w:tcW w:w="2587" w:type="dxa"/>
          </w:tcPr>
          <w:p w14:paraId="6C914986" w14:textId="77777777" w:rsidR="007E0ABC" w:rsidRPr="00EE4757" w:rsidRDefault="007E0ABC" w:rsidP="00EE4757">
            <w:pPr>
              <w:jc w:val="center"/>
              <w:rPr>
                <w:rFonts w:ascii="Avenir Heavy" w:hAnsi="Avenir Heavy"/>
                <w:b/>
                <w:bCs/>
                <w:sz w:val="18"/>
                <w:szCs w:val="18"/>
              </w:rPr>
            </w:pPr>
            <w:r w:rsidRPr="00EE4757">
              <w:rPr>
                <w:rFonts w:ascii="Avenir Heavy" w:hAnsi="Avenir Heavy"/>
                <w:b/>
                <w:bCs/>
                <w:sz w:val="18"/>
                <w:szCs w:val="18"/>
              </w:rPr>
              <w:t>Comment/Decision</w:t>
            </w:r>
          </w:p>
        </w:tc>
      </w:tr>
      <w:tr w:rsidR="007E0ABC" w:rsidRPr="00EE4757" w14:paraId="16EA4576" w14:textId="77777777" w:rsidTr="00D75B62">
        <w:tc>
          <w:tcPr>
            <w:tcW w:w="1284" w:type="dxa"/>
            <w:vMerge w:val="restart"/>
          </w:tcPr>
          <w:p w14:paraId="541747D2" w14:textId="77777777" w:rsidR="007E0ABC" w:rsidRPr="00EE4757" w:rsidRDefault="007E0ABC" w:rsidP="00D75B62">
            <w:pPr>
              <w:rPr>
                <w:i/>
                <w:sz w:val="18"/>
                <w:szCs w:val="18"/>
                <w:u w:val="single"/>
              </w:rPr>
            </w:pPr>
            <w:r w:rsidRPr="00EE4757">
              <w:rPr>
                <w:i/>
                <w:sz w:val="18"/>
                <w:szCs w:val="18"/>
              </w:rPr>
              <w:t>Original model</w:t>
            </w:r>
          </w:p>
        </w:tc>
        <w:tc>
          <w:tcPr>
            <w:tcW w:w="1087" w:type="dxa"/>
          </w:tcPr>
          <w:p w14:paraId="1C2B20F4" w14:textId="77777777" w:rsidR="007E0ABC" w:rsidRPr="00EE4757" w:rsidRDefault="007E0ABC" w:rsidP="00D75B62">
            <w:pPr>
              <w:rPr>
                <w:sz w:val="18"/>
                <w:szCs w:val="18"/>
                <w:u w:val="single"/>
              </w:rPr>
            </w:pPr>
            <w:r w:rsidRPr="00EE4757">
              <w:rPr>
                <w:i/>
                <w:sz w:val="18"/>
                <w:szCs w:val="18"/>
              </w:rPr>
              <w:t>Item fit</w:t>
            </w:r>
          </w:p>
        </w:tc>
        <w:tc>
          <w:tcPr>
            <w:tcW w:w="1625" w:type="dxa"/>
          </w:tcPr>
          <w:p w14:paraId="3D9BE611" w14:textId="77777777" w:rsidR="007E0ABC" w:rsidRPr="00EE4757" w:rsidRDefault="007E0ABC" w:rsidP="00D75B62">
            <w:pPr>
              <w:jc w:val="center"/>
              <w:rPr>
                <w:sz w:val="18"/>
                <w:szCs w:val="18"/>
              </w:rPr>
            </w:pPr>
            <w:r w:rsidRPr="00EE4757">
              <w:rPr>
                <w:sz w:val="18"/>
                <w:szCs w:val="18"/>
              </w:rPr>
              <w:t>1</w:t>
            </w:r>
          </w:p>
        </w:tc>
        <w:tc>
          <w:tcPr>
            <w:tcW w:w="2910" w:type="dxa"/>
          </w:tcPr>
          <w:p w14:paraId="20D5E136" w14:textId="77777777" w:rsidR="007E0ABC" w:rsidRPr="00EE4757" w:rsidRDefault="007E0ABC" w:rsidP="00D75B62">
            <w:pPr>
              <w:jc w:val="center"/>
              <w:rPr>
                <w:sz w:val="18"/>
                <w:szCs w:val="18"/>
              </w:rPr>
            </w:pPr>
            <w:r w:rsidRPr="00EE4757">
              <w:rPr>
                <w:sz w:val="18"/>
                <w:szCs w:val="18"/>
              </w:rPr>
              <w:t>3.46/4.38</w:t>
            </w:r>
          </w:p>
        </w:tc>
        <w:tc>
          <w:tcPr>
            <w:tcW w:w="2587" w:type="dxa"/>
          </w:tcPr>
          <w:p w14:paraId="482D8F96" w14:textId="77777777" w:rsidR="007E0ABC" w:rsidRPr="00EE4757" w:rsidRDefault="007E0ABC" w:rsidP="00D75B62">
            <w:pPr>
              <w:jc w:val="center"/>
              <w:rPr>
                <w:sz w:val="18"/>
                <w:szCs w:val="18"/>
              </w:rPr>
            </w:pPr>
            <w:r w:rsidRPr="00EE4757">
              <w:rPr>
                <w:sz w:val="18"/>
                <w:szCs w:val="18"/>
              </w:rPr>
              <w:t>Supports mod indices and theoretical discussion - drop item 1</w:t>
            </w:r>
          </w:p>
        </w:tc>
      </w:tr>
      <w:tr w:rsidR="007E0ABC" w:rsidRPr="00EE4757" w14:paraId="08CB4BC3" w14:textId="77777777" w:rsidTr="00D75B62">
        <w:tc>
          <w:tcPr>
            <w:tcW w:w="1284" w:type="dxa"/>
            <w:vMerge/>
          </w:tcPr>
          <w:p w14:paraId="34777CC9" w14:textId="77777777" w:rsidR="007E0ABC" w:rsidRPr="00EE4757" w:rsidRDefault="007E0ABC" w:rsidP="00D75B62">
            <w:pPr>
              <w:widowControl w:val="0"/>
              <w:spacing w:line="276" w:lineRule="auto"/>
              <w:rPr>
                <w:sz w:val="18"/>
                <w:szCs w:val="18"/>
              </w:rPr>
            </w:pPr>
          </w:p>
        </w:tc>
        <w:tc>
          <w:tcPr>
            <w:tcW w:w="1087" w:type="dxa"/>
          </w:tcPr>
          <w:p w14:paraId="66FAF858" w14:textId="77777777" w:rsidR="007E0ABC" w:rsidRPr="00EE4757" w:rsidRDefault="007E0ABC" w:rsidP="00D75B62">
            <w:pPr>
              <w:rPr>
                <w:i/>
                <w:sz w:val="18"/>
                <w:szCs w:val="18"/>
              </w:rPr>
            </w:pPr>
            <w:r w:rsidRPr="00EE4757">
              <w:rPr>
                <w:i/>
                <w:sz w:val="18"/>
                <w:szCs w:val="18"/>
              </w:rPr>
              <w:t>Item fit</w:t>
            </w:r>
          </w:p>
        </w:tc>
        <w:tc>
          <w:tcPr>
            <w:tcW w:w="1625" w:type="dxa"/>
          </w:tcPr>
          <w:p w14:paraId="45163331" w14:textId="77777777" w:rsidR="007E0ABC" w:rsidRPr="00EE4757" w:rsidRDefault="007E0ABC" w:rsidP="00D75B62">
            <w:pPr>
              <w:jc w:val="center"/>
              <w:rPr>
                <w:sz w:val="18"/>
                <w:szCs w:val="18"/>
              </w:rPr>
            </w:pPr>
            <w:r w:rsidRPr="00EE4757">
              <w:rPr>
                <w:sz w:val="18"/>
                <w:szCs w:val="18"/>
              </w:rPr>
              <w:t>19</w:t>
            </w:r>
          </w:p>
        </w:tc>
        <w:tc>
          <w:tcPr>
            <w:tcW w:w="2910" w:type="dxa"/>
          </w:tcPr>
          <w:p w14:paraId="7FB6B5DD" w14:textId="77777777" w:rsidR="007E0ABC" w:rsidRPr="00EE4757" w:rsidRDefault="007E0ABC" w:rsidP="00D75B62">
            <w:pPr>
              <w:jc w:val="center"/>
              <w:rPr>
                <w:sz w:val="18"/>
                <w:szCs w:val="18"/>
              </w:rPr>
            </w:pPr>
            <w:r w:rsidRPr="00EE4757">
              <w:rPr>
                <w:sz w:val="18"/>
                <w:szCs w:val="18"/>
              </w:rPr>
              <w:t>2.11/2.71</w:t>
            </w:r>
          </w:p>
        </w:tc>
        <w:tc>
          <w:tcPr>
            <w:tcW w:w="2587" w:type="dxa"/>
          </w:tcPr>
          <w:p w14:paraId="1F6BE20A" w14:textId="77777777" w:rsidR="007E0ABC" w:rsidRPr="00EE4757" w:rsidRDefault="007E0ABC" w:rsidP="00D75B62">
            <w:pPr>
              <w:jc w:val="center"/>
              <w:rPr>
                <w:sz w:val="18"/>
                <w:szCs w:val="18"/>
              </w:rPr>
            </w:pPr>
            <w:r w:rsidRPr="00EE4757">
              <w:rPr>
                <w:sz w:val="18"/>
                <w:szCs w:val="18"/>
              </w:rPr>
              <w:t>Flag item 19</w:t>
            </w:r>
          </w:p>
        </w:tc>
      </w:tr>
      <w:tr w:rsidR="007E0ABC" w:rsidRPr="00EE4757" w14:paraId="71BCDD37" w14:textId="77777777" w:rsidTr="00D75B62">
        <w:tc>
          <w:tcPr>
            <w:tcW w:w="1284" w:type="dxa"/>
            <w:vMerge/>
          </w:tcPr>
          <w:p w14:paraId="7A263F2B" w14:textId="77777777" w:rsidR="007E0ABC" w:rsidRPr="00EE4757" w:rsidRDefault="007E0ABC" w:rsidP="00D75B62">
            <w:pPr>
              <w:widowControl w:val="0"/>
              <w:spacing w:line="276" w:lineRule="auto"/>
              <w:rPr>
                <w:sz w:val="18"/>
                <w:szCs w:val="18"/>
              </w:rPr>
            </w:pPr>
          </w:p>
        </w:tc>
        <w:tc>
          <w:tcPr>
            <w:tcW w:w="1087" w:type="dxa"/>
          </w:tcPr>
          <w:p w14:paraId="285251D4" w14:textId="77777777" w:rsidR="007E0ABC" w:rsidRPr="00EE4757" w:rsidRDefault="007E0ABC" w:rsidP="00D75B62">
            <w:pPr>
              <w:rPr>
                <w:i/>
                <w:sz w:val="18"/>
                <w:szCs w:val="18"/>
              </w:rPr>
            </w:pPr>
            <w:r w:rsidRPr="00EE4757">
              <w:rPr>
                <w:i/>
                <w:sz w:val="18"/>
                <w:szCs w:val="18"/>
              </w:rPr>
              <w:t>Item fit</w:t>
            </w:r>
          </w:p>
        </w:tc>
        <w:tc>
          <w:tcPr>
            <w:tcW w:w="1625" w:type="dxa"/>
          </w:tcPr>
          <w:p w14:paraId="7919F992" w14:textId="77777777" w:rsidR="007E0ABC" w:rsidRPr="00EE4757" w:rsidRDefault="007E0ABC" w:rsidP="00D75B62">
            <w:pPr>
              <w:jc w:val="center"/>
              <w:rPr>
                <w:sz w:val="18"/>
                <w:szCs w:val="18"/>
              </w:rPr>
            </w:pPr>
            <w:r w:rsidRPr="00EE4757">
              <w:rPr>
                <w:sz w:val="18"/>
                <w:szCs w:val="18"/>
              </w:rPr>
              <w:t>27</w:t>
            </w:r>
          </w:p>
        </w:tc>
        <w:tc>
          <w:tcPr>
            <w:tcW w:w="2910" w:type="dxa"/>
          </w:tcPr>
          <w:p w14:paraId="748841C8" w14:textId="77777777" w:rsidR="007E0ABC" w:rsidRPr="00EE4757" w:rsidRDefault="007E0ABC" w:rsidP="00D75B62">
            <w:pPr>
              <w:jc w:val="center"/>
              <w:rPr>
                <w:sz w:val="18"/>
                <w:szCs w:val="18"/>
              </w:rPr>
            </w:pPr>
            <w:r w:rsidRPr="00EE4757">
              <w:rPr>
                <w:sz w:val="18"/>
                <w:szCs w:val="18"/>
              </w:rPr>
              <w:t>-2.37/-1.94</w:t>
            </w:r>
          </w:p>
        </w:tc>
        <w:tc>
          <w:tcPr>
            <w:tcW w:w="2587" w:type="dxa"/>
          </w:tcPr>
          <w:p w14:paraId="2A509DA7" w14:textId="77777777" w:rsidR="007E0ABC" w:rsidRPr="00EE4757" w:rsidRDefault="007E0ABC" w:rsidP="00D75B62">
            <w:pPr>
              <w:jc w:val="center"/>
              <w:rPr>
                <w:sz w:val="18"/>
                <w:szCs w:val="18"/>
              </w:rPr>
            </w:pPr>
            <w:r w:rsidRPr="00EE4757">
              <w:rPr>
                <w:sz w:val="18"/>
                <w:szCs w:val="18"/>
              </w:rPr>
              <w:t xml:space="preserve">Highlight item 27, also flagged in mod indices – </w:t>
            </w:r>
            <w:proofErr w:type="spellStart"/>
            <w:r w:rsidRPr="00EE4757">
              <w:rPr>
                <w:sz w:val="18"/>
                <w:szCs w:val="18"/>
              </w:rPr>
              <w:t>nb</w:t>
            </w:r>
            <w:proofErr w:type="spellEnd"/>
            <w:r w:rsidRPr="00EE4757">
              <w:rPr>
                <w:sz w:val="18"/>
                <w:szCs w:val="18"/>
              </w:rPr>
              <w:t xml:space="preserve"> categories, local independence</w:t>
            </w:r>
          </w:p>
        </w:tc>
      </w:tr>
      <w:tr w:rsidR="007E0ABC" w:rsidRPr="00EE4757" w14:paraId="64CC5B8C" w14:textId="77777777" w:rsidTr="00D75B62">
        <w:trPr>
          <w:trHeight w:val="200"/>
        </w:trPr>
        <w:tc>
          <w:tcPr>
            <w:tcW w:w="1284" w:type="dxa"/>
            <w:vMerge w:val="restart"/>
          </w:tcPr>
          <w:p w14:paraId="757F871B" w14:textId="77777777" w:rsidR="007E0ABC" w:rsidRPr="00EE4757" w:rsidRDefault="007E0ABC" w:rsidP="00D75B62">
            <w:pPr>
              <w:rPr>
                <w:i/>
                <w:sz w:val="18"/>
                <w:szCs w:val="18"/>
              </w:rPr>
            </w:pPr>
            <w:r w:rsidRPr="00EE4757">
              <w:rPr>
                <w:i/>
                <w:sz w:val="18"/>
                <w:szCs w:val="18"/>
              </w:rPr>
              <w:t>M1a - Item 1 dropped</w:t>
            </w:r>
          </w:p>
        </w:tc>
        <w:tc>
          <w:tcPr>
            <w:tcW w:w="1087" w:type="dxa"/>
          </w:tcPr>
          <w:p w14:paraId="386F0807" w14:textId="77777777" w:rsidR="007E0ABC" w:rsidRPr="00EE4757" w:rsidRDefault="007E0ABC" w:rsidP="00D75B62">
            <w:pPr>
              <w:rPr>
                <w:i/>
                <w:sz w:val="18"/>
                <w:szCs w:val="18"/>
              </w:rPr>
            </w:pPr>
            <w:r w:rsidRPr="00EE4757">
              <w:rPr>
                <w:i/>
                <w:sz w:val="18"/>
                <w:szCs w:val="18"/>
              </w:rPr>
              <w:t>Item fit</w:t>
            </w:r>
          </w:p>
        </w:tc>
        <w:tc>
          <w:tcPr>
            <w:tcW w:w="1625" w:type="dxa"/>
          </w:tcPr>
          <w:p w14:paraId="1693B9B4" w14:textId="77777777" w:rsidR="007E0ABC" w:rsidRPr="00EE4757" w:rsidRDefault="007E0ABC" w:rsidP="00D75B62">
            <w:pPr>
              <w:jc w:val="center"/>
              <w:rPr>
                <w:sz w:val="18"/>
                <w:szCs w:val="18"/>
              </w:rPr>
            </w:pPr>
            <w:r w:rsidRPr="00EE4757">
              <w:rPr>
                <w:sz w:val="18"/>
                <w:szCs w:val="18"/>
              </w:rPr>
              <w:t>19</w:t>
            </w:r>
          </w:p>
        </w:tc>
        <w:tc>
          <w:tcPr>
            <w:tcW w:w="2910" w:type="dxa"/>
          </w:tcPr>
          <w:p w14:paraId="3C47FAF8" w14:textId="77777777" w:rsidR="007E0ABC" w:rsidRPr="00EE4757" w:rsidRDefault="007E0ABC" w:rsidP="00D75B62">
            <w:pPr>
              <w:jc w:val="center"/>
              <w:rPr>
                <w:sz w:val="18"/>
                <w:szCs w:val="18"/>
              </w:rPr>
            </w:pPr>
            <w:r w:rsidRPr="00EE4757">
              <w:rPr>
                <w:sz w:val="18"/>
                <w:szCs w:val="18"/>
              </w:rPr>
              <w:t>2.95/3.46</w:t>
            </w:r>
          </w:p>
        </w:tc>
        <w:tc>
          <w:tcPr>
            <w:tcW w:w="2587" w:type="dxa"/>
          </w:tcPr>
          <w:p w14:paraId="3073C7FF" w14:textId="77777777" w:rsidR="007E0ABC" w:rsidRPr="00EE4757" w:rsidRDefault="007E0ABC" w:rsidP="00D75B62">
            <w:pPr>
              <w:jc w:val="center"/>
              <w:rPr>
                <w:sz w:val="18"/>
                <w:szCs w:val="18"/>
              </w:rPr>
            </w:pPr>
            <w:r w:rsidRPr="00EE4757">
              <w:rPr>
                <w:sz w:val="18"/>
                <w:szCs w:val="18"/>
              </w:rPr>
              <w:t>Flag item 19</w:t>
            </w:r>
          </w:p>
        </w:tc>
      </w:tr>
      <w:tr w:rsidR="007E0ABC" w:rsidRPr="00EE4757" w14:paraId="4791D750" w14:textId="77777777" w:rsidTr="00D75B62">
        <w:trPr>
          <w:trHeight w:val="200"/>
        </w:trPr>
        <w:tc>
          <w:tcPr>
            <w:tcW w:w="1284" w:type="dxa"/>
            <w:vMerge/>
          </w:tcPr>
          <w:p w14:paraId="0EE108DE" w14:textId="77777777" w:rsidR="007E0ABC" w:rsidRPr="00EE4757" w:rsidRDefault="007E0ABC" w:rsidP="00D75B62">
            <w:pPr>
              <w:rPr>
                <w:i/>
                <w:sz w:val="18"/>
                <w:szCs w:val="18"/>
              </w:rPr>
            </w:pPr>
          </w:p>
        </w:tc>
        <w:tc>
          <w:tcPr>
            <w:tcW w:w="1087" w:type="dxa"/>
          </w:tcPr>
          <w:p w14:paraId="6A1DDB8D" w14:textId="77777777" w:rsidR="007E0ABC" w:rsidRPr="00EE4757" w:rsidRDefault="007E0ABC" w:rsidP="00D75B62">
            <w:pPr>
              <w:rPr>
                <w:i/>
                <w:sz w:val="18"/>
                <w:szCs w:val="18"/>
              </w:rPr>
            </w:pPr>
          </w:p>
        </w:tc>
        <w:tc>
          <w:tcPr>
            <w:tcW w:w="1625" w:type="dxa"/>
          </w:tcPr>
          <w:p w14:paraId="167CA530" w14:textId="77777777" w:rsidR="007E0ABC" w:rsidRPr="00EE4757" w:rsidRDefault="007E0ABC" w:rsidP="00D75B62">
            <w:pPr>
              <w:jc w:val="center"/>
              <w:rPr>
                <w:sz w:val="18"/>
                <w:szCs w:val="18"/>
              </w:rPr>
            </w:pPr>
            <w:r w:rsidRPr="00EE4757">
              <w:rPr>
                <w:sz w:val="18"/>
                <w:szCs w:val="18"/>
              </w:rPr>
              <w:t>2</w:t>
            </w:r>
          </w:p>
        </w:tc>
        <w:tc>
          <w:tcPr>
            <w:tcW w:w="2910" w:type="dxa"/>
          </w:tcPr>
          <w:p w14:paraId="46D9EAAB" w14:textId="77777777" w:rsidR="007E0ABC" w:rsidRPr="00EE4757" w:rsidRDefault="007E0ABC" w:rsidP="00D75B62">
            <w:pPr>
              <w:jc w:val="center"/>
              <w:rPr>
                <w:sz w:val="18"/>
                <w:szCs w:val="18"/>
              </w:rPr>
            </w:pPr>
            <w:r w:rsidRPr="00EE4757">
              <w:rPr>
                <w:sz w:val="18"/>
                <w:szCs w:val="18"/>
              </w:rPr>
              <w:t>1.96/2.83</w:t>
            </w:r>
          </w:p>
        </w:tc>
        <w:tc>
          <w:tcPr>
            <w:tcW w:w="2587" w:type="dxa"/>
          </w:tcPr>
          <w:p w14:paraId="310C7FDC" w14:textId="77777777" w:rsidR="007E0ABC" w:rsidRPr="00EE4757" w:rsidRDefault="007E0ABC" w:rsidP="00D75B62">
            <w:pPr>
              <w:jc w:val="center"/>
              <w:rPr>
                <w:sz w:val="18"/>
                <w:szCs w:val="18"/>
              </w:rPr>
            </w:pPr>
            <w:r w:rsidRPr="00EE4757">
              <w:rPr>
                <w:sz w:val="18"/>
                <w:szCs w:val="18"/>
              </w:rPr>
              <w:t>Slightly elevated ZSTDs - highlight for future problems</w:t>
            </w:r>
          </w:p>
        </w:tc>
      </w:tr>
      <w:tr w:rsidR="007E0ABC" w:rsidRPr="00EE4757" w14:paraId="48ACCC7A" w14:textId="77777777" w:rsidTr="00D75B62">
        <w:tc>
          <w:tcPr>
            <w:tcW w:w="1284" w:type="dxa"/>
          </w:tcPr>
          <w:p w14:paraId="40FE0156" w14:textId="77777777" w:rsidR="007E0ABC" w:rsidRPr="00EE4757" w:rsidRDefault="007E0ABC" w:rsidP="00D75B62">
            <w:pPr>
              <w:rPr>
                <w:i/>
                <w:sz w:val="18"/>
                <w:szCs w:val="18"/>
              </w:rPr>
            </w:pPr>
            <w:r w:rsidRPr="00EE4757">
              <w:rPr>
                <w:i/>
                <w:sz w:val="18"/>
                <w:szCs w:val="18"/>
              </w:rPr>
              <w:t>M1 – Collapsed categories 2&amp;3, 4&amp;5</w:t>
            </w:r>
          </w:p>
        </w:tc>
        <w:tc>
          <w:tcPr>
            <w:tcW w:w="1087" w:type="dxa"/>
          </w:tcPr>
          <w:p w14:paraId="6B8621F2" w14:textId="77777777" w:rsidR="007E0ABC" w:rsidRPr="00EE4757" w:rsidRDefault="007E0ABC" w:rsidP="00D75B62">
            <w:pPr>
              <w:rPr>
                <w:i/>
                <w:sz w:val="18"/>
                <w:szCs w:val="18"/>
              </w:rPr>
            </w:pPr>
            <w:r w:rsidRPr="00EE4757">
              <w:rPr>
                <w:i/>
                <w:sz w:val="18"/>
                <w:szCs w:val="18"/>
              </w:rPr>
              <w:t>Item fit</w:t>
            </w:r>
          </w:p>
        </w:tc>
        <w:tc>
          <w:tcPr>
            <w:tcW w:w="1625" w:type="dxa"/>
          </w:tcPr>
          <w:p w14:paraId="13D13BB9" w14:textId="77777777" w:rsidR="007E0ABC" w:rsidRPr="00EE4757" w:rsidRDefault="007E0ABC" w:rsidP="00D75B62">
            <w:pPr>
              <w:jc w:val="center"/>
              <w:rPr>
                <w:sz w:val="18"/>
                <w:szCs w:val="18"/>
              </w:rPr>
            </w:pPr>
            <w:r w:rsidRPr="00EE4757">
              <w:rPr>
                <w:sz w:val="18"/>
                <w:szCs w:val="18"/>
              </w:rPr>
              <w:t>19</w:t>
            </w:r>
          </w:p>
        </w:tc>
        <w:tc>
          <w:tcPr>
            <w:tcW w:w="2910" w:type="dxa"/>
          </w:tcPr>
          <w:p w14:paraId="5CECF6F5" w14:textId="77777777" w:rsidR="007E0ABC" w:rsidRPr="00EE4757" w:rsidRDefault="007E0ABC" w:rsidP="00D75B62">
            <w:pPr>
              <w:jc w:val="center"/>
              <w:rPr>
                <w:sz w:val="18"/>
                <w:szCs w:val="18"/>
              </w:rPr>
            </w:pPr>
            <w:r w:rsidRPr="00EE4757">
              <w:rPr>
                <w:sz w:val="18"/>
                <w:szCs w:val="18"/>
              </w:rPr>
              <w:t>2.40/2.71</w:t>
            </w:r>
          </w:p>
        </w:tc>
        <w:tc>
          <w:tcPr>
            <w:tcW w:w="2587" w:type="dxa"/>
          </w:tcPr>
          <w:p w14:paraId="09CAEB2D" w14:textId="77777777" w:rsidR="007E0ABC" w:rsidRPr="00EE4757" w:rsidRDefault="007E0ABC" w:rsidP="00D75B62">
            <w:pPr>
              <w:jc w:val="center"/>
              <w:rPr>
                <w:sz w:val="18"/>
                <w:szCs w:val="18"/>
              </w:rPr>
            </w:pPr>
            <w:r w:rsidRPr="00EE4757">
              <w:rPr>
                <w:sz w:val="18"/>
                <w:szCs w:val="18"/>
              </w:rPr>
              <w:t>Slightly elevated ZSTDs - highlight for future problems</w:t>
            </w:r>
          </w:p>
        </w:tc>
      </w:tr>
      <w:tr w:rsidR="007E0ABC" w:rsidRPr="00EE4757" w14:paraId="49D727AC" w14:textId="77777777" w:rsidTr="00D75B62">
        <w:tc>
          <w:tcPr>
            <w:tcW w:w="1284" w:type="dxa"/>
          </w:tcPr>
          <w:p w14:paraId="282D47D4" w14:textId="77777777" w:rsidR="007E0ABC" w:rsidRPr="00EE4757" w:rsidRDefault="007E0ABC" w:rsidP="00D75B62">
            <w:pPr>
              <w:rPr>
                <w:i/>
                <w:sz w:val="18"/>
                <w:szCs w:val="18"/>
              </w:rPr>
            </w:pPr>
            <w:r w:rsidRPr="00EE4757">
              <w:rPr>
                <w:i/>
                <w:sz w:val="18"/>
                <w:szCs w:val="18"/>
              </w:rPr>
              <w:t>M2 - misfitting persons removed</w:t>
            </w:r>
          </w:p>
        </w:tc>
        <w:tc>
          <w:tcPr>
            <w:tcW w:w="1087" w:type="dxa"/>
          </w:tcPr>
          <w:p w14:paraId="6C294BE2" w14:textId="77777777" w:rsidR="007E0ABC" w:rsidRPr="00EE4757" w:rsidRDefault="007E0ABC" w:rsidP="00D75B62">
            <w:pPr>
              <w:rPr>
                <w:i/>
                <w:sz w:val="18"/>
                <w:szCs w:val="18"/>
              </w:rPr>
            </w:pPr>
            <w:r w:rsidRPr="00EE4757">
              <w:rPr>
                <w:i/>
                <w:sz w:val="18"/>
                <w:szCs w:val="18"/>
              </w:rPr>
              <w:t>Item fit</w:t>
            </w:r>
          </w:p>
        </w:tc>
        <w:tc>
          <w:tcPr>
            <w:tcW w:w="1625" w:type="dxa"/>
          </w:tcPr>
          <w:p w14:paraId="0750FBF7" w14:textId="77777777" w:rsidR="007E0ABC" w:rsidRPr="00EE4757" w:rsidRDefault="007E0ABC" w:rsidP="00D75B62">
            <w:pPr>
              <w:jc w:val="center"/>
              <w:rPr>
                <w:sz w:val="18"/>
                <w:szCs w:val="18"/>
              </w:rPr>
            </w:pPr>
            <w:r w:rsidRPr="00EE4757">
              <w:rPr>
                <w:sz w:val="18"/>
                <w:szCs w:val="18"/>
              </w:rPr>
              <w:t>29</w:t>
            </w:r>
          </w:p>
        </w:tc>
        <w:tc>
          <w:tcPr>
            <w:tcW w:w="2910" w:type="dxa"/>
          </w:tcPr>
          <w:p w14:paraId="48DEE4B5" w14:textId="77777777" w:rsidR="007E0ABC" w:rsidRPr="00EE4757" w:rsidRDefault="007E0ABC" w:rsidP="00D75B62">
            <w:pPr>
              <w:jc w:val="center"/>
              <w:rPr>
                <w:sz w:val="18"/>
                <w:szCs w:val="18"/>
              </w:rPr>
            </w:pPr>
            <w:r w:rsidRPr="00EE4757">
              <w:rPr>
                <w:sz w:val="18"/>
                <w:szCs w:val="18"/>
              </w:rPr>
              <w:t>-0.6/2.53</w:t>
            </w:r>
          </w:p>
        </w:tc>
        <w:tc>
          <w:tcPr>
            <w:tcW w:w="2587" w:type="dxa"/>
          </w:tcPr>
          <w:p w14:paraId="29F8D384" w14:textId="77777777" w:rsidR="007E0ABC" w:rsidRPr="00EE4757" w:rsidRDefault="007E0ABC" w:rsidP="00D75B62">
            <w:pPr>
              <w:jc w:val="center"/>
              <w:rPr>
                <w:sz w:val="18"/>
                <w:szCs w:val="18"/>
              </w:rPr>
            </w:pPr>
            <w:r w:rsidRPr="00EE4757">
              <w:rPr>
                <w:sz w:val="18"/>
                <w:szCs w:val="18"/>
              </w:rPr>
              <w:t>Slightly elevated ZSTDs - highlight for future problem</w:t>
            </w:r>
          </w:p>
        </w:tc>
      </w:tr>
      <w:tr w:rsidR="007E0ABC" w:rsidRPr="00EE4757" w14:paraId="60A14FCC" w14:textId="77777777" w:rsidTr="00D75B62">
        <w:tc>
          <w:tcPr>
            <w:tcW w:w="1284" w:type="dxa"/>
          </w:tcPr>
          <w:p w14:paraId="5E19DE94" w14:textId="77777777" w:rsidR="007E0ABC" w:rsidRPr="00EE4757" w:rsidRDefault="007E0ABC" w:rsidP="00D75B62">
            <w:pPr>
              <w:rPr>
                <w:i/>
                <w:sz w:val="18"/>
                <w:szCs w:val="18"/>
              </w:rPr>
            </w:pPr>
            <w:r w:rsidRPr="00EE4757">
              <w:rPr>
                <w:i/>
                <w:sz w:val="18"/>
                <w:szCs w:val="18"/>
              </w:rPr>
              <w:t>M3 - item 19 removed</w:t>
            </w:r>
          </w:p>
        </w:tc>
        <w:tc>
          <w:tcPr>
            <w:tcW w:w="1087" w:type="dxa"/>
          </w:tcPr>
          <w:p w14:paraId="217CBF97" w14:textId="77777777" w:rsidR="007E0ABC" w:rsidRPr="00EE4757" w:rsidRDefault="007E0ABC" w:rsidP="00D75B62">
            <w:pPr>
              <w:rPr>
                <w:i/>
                <w:sz w:val="18"/>
                <w:szCs w:val="18"/>
              </w:rPr>
            </w:pPr>
            <w:r w:rsidRPr="00EE4757">
              <w:rPr>
                <w:i/>
                <w:sz w:val="18"/>
                <w:szCs w:val="18"/>
              </w:rPr>
              <w:t>Item fit</w:t>
            </w:r>
          </w:p>
        </w:tc>
        <w:tc>
          <w:tcPr>
            <w:tcW w:w="1625" w:type="dxa"/>
          </w:tcPr>
          <w:p w14:paraId="49CEC5F1" w14:textId="77777777" w:rsidR="007E0ABC" w:rsidRPr="00EE4757" w:rsidRDefault="007E0ABC" w:rsidP="00D75B62">
            <w:pPr>
              <w:jc w:val="center"/>
              <w:rPr>
                <w:sz w:val="18"/>
                <w:szCs w:val="18"/>
              </w:rPr>
            </w:pPr>
            <w:r w:rsidRPr="00EE4757">
              <w:rPr>
                <w:sz w:val="18"/>
                <w:szCs w:val="18"/>
              </w:rPr>
              <w:t>29</w:t>
            </w:r>
          </w:p>
        </w:tc>
        <w:tc>
          <w:tcPr>
            <w:tcW w:w="2910" w:type="dxa"/>
          </w:tcPr>
          <w:p w14:paraId="1C8C9056" w14:textId="77777777" w:rsidR="007E0ABC" w:rsidRPr="00EE4757" w:rsidRDefault="007E0ABC" w:rsidP="00D75B62">
            <w:pPr>
              <w:jc w:val="center"/>
              <w:rPr>
                <w:sz w:val="18"/>
                <w:szCs w:val="18"/>
              </w:rPr>
            </w:pPr>
            <w:r w:rsidRPr="00EE4757">
              <w:rPr>
                <w:sz w:val="18"/>
                <w:szCs w:val="18"/>
              </w:rPr>
              <w:t>0.08/3.10</w:t>
            </w:r>
          </w:p>
        </w:tc>
        <w:tc>
          <w:tcPr>
            <w:tcW w:w="2587" w:type="dxa"/>
          </w:tcPr>
          <w:p w14:paraId="5789E84A" w14:textId="77777777" w:rsidR="007E0ABC" w:rsidRPr="00EE4757" w:rsidRDefault="007E0ABC" w:rsidP="00D75B62">
            <w:pPr>
              <w:jc w:val="center"/>
              <w:rPr>
                <w:sz w:val="18"/>
                <w:szCs w:val="18"/>
              </w:rPr>
            </w:pPr>
          </w:p>
        </w:tc>
      </w:tr>
    </w:tbl>
    <w:p w14:paraId="277F3B0C" w14:textId="77777777" w:rsidR="007E0ABC" w:rsidRPr="0098395C" w:rsidRDefault="007E0ABC" w:rsidP="0098395C">
      <w:pPr>
        <w:rPr>
          <w:szCs w:val="20"/>
          <w:u w:val="single"/>
        </w:rPr>
      </w:pPr>
    </w:p>
    <w:p w14:paraId="57091173" w14:textId="77777777" w:rsidR="007E0ABC" w:rsidRDefault="007E0ABC" w:rsidP="007E0ABC">
      <w:pPr>
        <w:pStyle w:val="ListParagraph"/>
        <w:numPr>
          <w:ilvl w:val="0"/>
          <w:numId w:val="162"/>
        </w:numPr>
        <w:spacing w:line="240" w:lineRule="auto"/>
        <w:jc w:val="left"/>
        <w:rPr>
          <w:bCs/>
          <w:szCs w:val="20"/>
        </w:rPr>
      </w:pPr>
      <w:r w:rsidRPr="00BD6250">
        <w:rPr>
          <w:bCs/>
          <w:szCs w:val="20"/>
        </w:rPr>
        <w:t xml:space="preserve">Misfitting persons:  </w:t>
      </w:r>
    </w:p>
    <w:p w14:paraId="11EF5DAB" w14:textId="77777777" w:rsidR="007E0ABC" w:rsidRPr="00BD6250" w:rsidRDefault="007E0ABC" w:rsidP="00BD6250">
      <w:pPr>
        <w:pStyle w:val="ListParagraph"/>
        <w:rPr>
          <w:bCs/>
          <w:szCs w:val="20"/>
        </w:rPr>
      </w:pPr>
    </w:p>
    <w:p w14:paraId="26E92A63" w14:textId="77777777" w:rsidR="007E0ABC" w:rsidRDefault="007E0ABC" w:rsidP="00EE4757">
      <w:pPr>
        <w:spacing w:line="276" w:lineRule="auto"/>
        <w:rPr>
          <w:szCs w:val="20"/>
        </w:rPr>
      </w:pPr>
      <w:r w:rsidRPr="00EE4757">
        <w:rPr>
          <w:b/>
          <w:szCs w:val="20"/>
        </w:rPr>
        <w:t>Original Model:</w:t>
      </w:r>
      <w:r>
        <w:rPr>
          <w:bCs/>
          <w:szCs w:val="20"/>
        </w:rPr>
        <w:t xml:space="preserve"> </w:t>
      </w:r>
      <w:r w:rsidRPr="00BD6250">
        <w:rPr>
          <w:szCs w:val="20"/>
        </w:rPr>
        <w:t>Infit MNSQ &gt;1.6: N = 55 persons</w:t>
      </w:r>
    </w:p>
    <w:p w14:paraId="5A0BD375" w14:textId="77777777" w:rsidR="007E0ABC" w:rsidRPr="00BD6250" w:rsidRDefault="007E0ABC" w:rsidP="00EE4757">
      <w:pPr>
        <w:spacing w:line="276" w:lineRule="auto"/>
        <w:rPr>
          <w:szCs w:val="20"/>
        </w:rPr>
      </w:pPr>
      <w:r w:rsidRPr="00BD6250">
        <w:rPr>
          <w:szCs w:val="20"/>
        </w:rPr>
        <w:t>Infit MNSQ &lt; 0.4: N = 30 persons</w:t>
      </w:r>
    </w:p>
    <w:p w14:paraId="12BC11E3" w14:textId="77777777" w:rsidR="007E0ABC" w:rsidRPr="00EE4757" w:rsidRDefault="007E0ABC" w:rsidP="00EE4757">
      <w:pPr>
        <w:spacing w:line="276" w:lineRule="auto"/>
        <w:rPr>
          <w:szCs w:val="20"/>
        </w:rPr>
      </w:pPr>
      <w:r w:rsidRPr="0098395C">
        <w:rPr>
          <w:b/>
          <w:szCs w:val="20"/>
        </w:rPr>
        <w:t>M1</w:t>
      </w:r>
      <w:r w:rsidRPr="00EE4757">
        <w:rPr>
          <w:b/>
          <w:szCs w:val="20"/>
        </w:rPr>
        <w:t xml:space="preserve">:  </w:t>
      </w:r>
      <w:r w:rsidRPr="00EE4757">
        <w:rPr>
          <w:szCs w:val="20"/>
        </w:rPr>
        <w:t>Infit MNSQ &gt;1.6: N = 43 persons</w:t>
      </w:r>
    </w:p>
    <w:p w14:paraId="5406F7E6" w14:textId="77777777" w:rsidR="007E0ABC" w:rsidRPr="00EE4757" w:rsidRDefault="007E0ABC" w:rsidP="00EE4757">
      <w:pPr>
        <w:spacing w:line="276" w:lineRule="auto"/>
        <w:rPr>
          <w:szCs w:val="20"/>
        </w:rPr>
      </w:pPr>
      <w:r w:rsidRPr="00EE4757">
        <w:rPr>
          <w:szCs w:val="20"/>
        </w:rPr>
        <w:t>Infit MNSQ &lt; 0.4: N = 20 persons</w:t>
      </w:r>
    </w:p>
    <w:p w14:paraId="2A610281" w14:textId="77777777" w:rsidR="007E0ABC" w:rsidRPr="00EE4757" w:rsidRDefault="007E0ABC" w:rsidP="00EE4757">
      <w:pPr>
        <w:spacing w:line="276" w:lineRule="auto"/>
        <w:rPr>
          <w:b/>
          <w:szCs w:val="20"/>
        </w:rPr>
      </w:pPr>
      <w:r w:rsidRPr="00EE4757">
        <w:rPr>
          <w:b/>
          <w:szCs w:val="20"/>
        </w:rPr>
        <w:t xml:space="preserve">M2: </w:t>
      </w:r>
      <w:r w:rsidRPr="00EE4757">
        <w:rPr>
          <w:szCs w:val="20"/>
        </w:rPr>
        <w:t>Infit MNSQ &gt;1.6: N = 15 persons</w:t>
      </w:r>
    </w:p>
    <w:p w14:paraId="66A9E16F" w14:textId="77777777" w:rsidR="007E0ABC" w:rsidRPr="00EE4757" w:rsidRDefault="007E0ABC" w:rsidP="00EE4757">
      <w:pPr>
        <w:spacing w:line="276" w:lineRule="auto"/>
        <w:rPr>
          <w:szCs w:val="20"/>
        </w:rPr>
      </w:pPr>
      <w:r w:rsidRPr="00EE4757">
        <w:rPr>
          <w:szCs w:val="20"/>
        </w:rPr>
        <w:t>Infit MNSQ &lt; 0.4: N = 2 persons</w:t>
      </w:r>
    </w:p>
    <w:p w14:paraId="1E3A3F9C" w14:textId="77777777" w:rsidR="007E0ABC" w:rsidRPr="00EE4757" w:rsidRDefault="007E0ABC" w:rsidP="00EE4757">
      <w:pPr>
        <w:spacing w:line="276" w:lineRule="auto"/>
        <w:rPr>
          <w:b/>
          <w:szCs w:val="20"/>
        </w:rPr>
      </w:pPr>
      <w:r w:rsidRPr="00EE4757">
        <w:rPr>
          <w:b/>
          <w:szCs w:val="20"/>
        </w:rPr>
        <w:t xml:space="preserve">M3: </w:t>
      </w:r>
      <w:r w:rsidRPr="00EE4757">
        <w:rPr>
          <w:szCs w:val="20"/>
        </w:rPr>
        <w:t>Infit MNSQ &gt;1.6: N =  13 persons</w:t>
      </w:r>
    </w:p>
    <w:p w14:paraId="3BA706CF" w14:textId="77777777" w:rsidR="007E0ABC" w:rsidRPr="00EE4757" w:rsidRDefault="007E0ABC" w:rsidP="00EE4757">
      <w:pPr>
        <w:spacing w:line="276" w:lineRule="auto"/>
        <w:rPr>
          <w:szCs w:val="20"/>
        </w:rPr>
      </w:pPr>
      <w:r w:rsidRPr="00EE4757">
        <w:rPr>
          <w:szCs w:val="20"/>
        </w:rPr>
        <w:t>Infit MNSQ &lt; 0.4: N = 0 persons</w:t>
      </w:r>
    </w:p>
    <w:p w14:paraId="11BD0373" w14:textId="77777777" w:rsidR="007E0ABC" w:rsidRPr="00EE4757" w:rsidRDefault="007E0ABC" w:rsidP="007E0ABC">
      <w:pPr>
        <w:pStyle w:val="ListParagraph"/>
        <w:numPr>
          <w:ilvl w:val="0"/>
          <w:numId w:val="162"/>
        </w:numPr>
        <w:spacing w:before="240" w:after="240" w:line="240" w:lineRule="auto"/>
        <w:jc w:val="left"/>
        <w:rPr>
          <w:color w:val="000000"/>
          <w:szCs w:val="20"/>
        </w:rPr>
      </w:pPr>
      <w:r>
        <w:rPr>
          <w:rFonts w:eastAsia="Century Gothic" w:cs="Century Gothic"/>
          <w:color w:val="000000"/>
          <w:szCs w:val="20"/>
        </w:rPr>
        <w:t xml:space="preserve">Table n. </w:t>
      </w:r>
      <w:r w:rsidRPr="00EE4757">
        <w:rPr>
          <w:rFonts w:eastAsia="Century Gothic" w:cs="Century Gothic"/>
          <w:color w:val="000000"/>
          <w:szCs w:val="20"/>
        </w:rPr>
        <w:t>Uni-dimensionality</w:t>
      </w:r>
    </w:p>
    <w:tbl>
      <w:tblPr>
        <w:tblW w:w="9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134"/>
        <w:gridCol w:w="1134"/>
        <w:gridCol w:w="1134"/>
        <w:gridCol w:w="1134"/>
        <w:gridCol w:w="1134"/>
        <w:gridCol w:w="2353"/>
      </w:tblGrid>
      <w:tr w:rsidR="007E0ABC" w:rsidRPr="00EE4757" w14:paraId="1A8A3BB0" w14:textId="77777777" w:rsidTr="00EE4757">
        <w:trPr>
          <w:trHeight w:val="790"/>
        </w:trPr>
        <w:tc>
          <w:tcPr>
            <w:tcW w:w="1418" w:type="dxa"/>
          </w:tcPr>
          <w:p w14:paraId="1B3A1ADC" w14:textId="77777777" w:rsidR="007E0ABC" w:rsidRPr="00EE4757" w:rsidRDefault="007E0ABC" w:rsidP="00D75B62">
            <w:pPr>
              <w:rPr>
                <w:bCs/>
                <w:sz w:val="18"/>
                <w:szCs w:val="18"/>
                <w:u w:val="single"/>
              </w:rPr>
            </w:pPr>
            <w:r w:rsidRPr="00EE4757">
              <w:rPr>
                <w:bCs/>
                <w:sz w:val="18"/>
                <w:szCs w:val="18"/>
              </w:rPr>
              <w:lastRenderedPageBreak/>
              <w:t>Model</w:t>
            </w:r>
          </w:p>
        </w:tc>
        <w:tc>
          <w:tcPr>
            <w:tcW w:w="1134" w:type="dxa"/>
          </w:tcPr>
          <w:p w14:paraId="1F2539B9" w14:textId="77777777" w:rsidR="007E0ABC" w:rsidRPr="00EE4757" w:rsidRDefault="007E0ABC" w:rsidP="00D75B62">
            <w:pPr>
              <w:rPr>
                <w:bCs/>
                <w:sz w:val="18"/>
                <w:szCs w:val="18"/>
              </w:rPr>
            </w:pPr>
            <w:r w:rsidRPr="00EE4757">
              <w:rPr>
                <w:bCs/>
                <w:sz w:val="18"/>
                <w:szCs w:val="18"/>
              </w:rPr>
              <w:t>Variance explained by model</w:t>
            </w:r>
          </w:p>
        </w:tc>
        <w:tc>
          <w:tcPr>
            <w:tcW w:w="1134" w:type="dxa"/>
          </w:tcPr>
          <w:p w14:paraId="722432D7" w14:textId="77777777" w:rsidR="007E0ABC" w:rsidRPr="00EE4757" w:rsidRDefault="007E0ABC" w:rsidP="00D75B62">
            <w:pPr>
              <w:rPr>
                <w:bCs/>
                <w:sz w:val="18"/>
                <w:szCs w:val="18"/>
              </w:rPr>
            </w:pPr>
            <w:r w:rsidRPr="00EE4757">
              <w:rPr>
                <w:bCs/>
                <w:sz w:val="18"/>
                <w:szCs w:val="18"/>
              </w:rPr>
              <w:t>1</w:t>
            </w:r>
            <w:r w:rsidRPr="00EE4757">
              <w:rPr>
                <w:bCs/>
                <w:sz w:val="18"/>
                <w:szCs w:val="18"/>
                <w:vertAlign w:val="superscript"/>
              </w:rPr>
              <w:t>st</w:t>
            </w:r>
            <w:r w:rsidRPr="00EE4757">
              <w:rPr>
                <w:bCs/>
                <w:sz w:val="18"/>
                <w:szCs w:val="18"/>
              </w:rPr>
              <w:t xml:space="preserve"> contrast eigenvalue</w:t>
            </w:r>
          </w:p>
        </w:tc>
        <w:tc>
          <w:tcPr>
            <w:tcW w:w="1134" w:type="dxa"/>
          </w:tcPr>
          <w:p w14:paraId="71BF4AA1" w14:textId="77777777" w:rsidR="007E0ABC" w:rsidRPr="00EE4757" w:rsidRDefault="007E0ABC" w:rsidP="00D75B62">
            <w:pPr>
              <w:rPr>
                <w:bCs/>
                <w:sz w:val="18"/>
                <w:szCs w:val="18"/>
              </w:rPr>
            </w:pPr>
            <w:r w:rsidRPr="00EE4757">
              <w:rPr>
                <w:bCs/>
                <w:sz w:val="18"/>
                <w:szCs w:val="18"/>
              </w:rPr>
              <w:t>1</w:t>
            </w:r>
            <w:r w:rsidRPr="00EE4757">
              <w:rPr>
                <w:bCs/>
                <w:sz w:val="18"/>
                <w:szCs w:val="18"/>
                <w:vertAlign w:val="superscript"/>
              </w:rPr>
              <w:t>st</w:t>
            </w:r>
            <w:r w:rsidRPr="00EE4757">
              <w:rPr>
                <w:bCs/>
                <w:sz w:val="18"/>
                <w:szCs w:val="18"/>
              </w:rPr>
              <w:t xml:space="preserve"> contrast variance</w:t>
            </w:r>
          </w:p>
        </w:tc>
        <w:tc>
          <w:tcPr>
            <w:tcW w:w="1134" w:type="dxa"/>
          </w:tcPr>
          <w:p w14:paraId="529EEB50" w14:textId="77777777" w:rsidR="007E0ABC" w:rsidRPr="00EE4757" w:rsidRDefault="007E0ABC" w:rsidP="00D75B62">
            <w:pPr>
              <w:rPr>
                <w:bCs/>
                <w:sz w:val="18"/>
                <w:szCs w:val="18"/>
              </w:rPr>
            </w:pPr>
            <w:r w:rsidRPr="00EE4757">
              <w:rPr>
                <w:bCs/>
                <w:sz w:val="18"/>
                <w:szCs w:val="18"/>
              </w:rPr>
              <w:t>2nd contrast eigenvalue</w:t>
            </w:r>
          </w:p>
        </w:tc>
        <w:tc>
          <w:tcPr>
            <w:tcW w:w="1134" w:type="dxa"/>
          </w:tcPr>
          <w:p w14:paraId="35B63A66" w14:textId="77777777" w:rsidR="007E0ABC" w:rsidRPr="00EE4757" w:rsidRDefault="007E0ABC" w:rsidP="00D75B62">
            <w:pPr>
              <w:rPr>
                <w:bCs/>
                <w:sz w:val="18"/>
                <w:szCs w:val="18"/>
              </w:rPr>
            </w:pPr>
            <w:r w:rsidRPr="00EE4757">
              <w:rPr>
                <w:bCs/>
                <w:sz w:val="18"/>
                <w:szCs w:val="18"/>
              </w:rPr>
              <w:t>2</w:t>
            </w:r>
            <w:r w:rsidRPr="00EE4757">
              <w:rPr>
                <w:bCs/>
                <w:sz w:val="18"/>
                <w:szCs w:val="18"/>
                <w:vertAlign w:val="superscript"/>
              </w:rPr>
              <w:t>nd</w:t>
            </w:r>
            <w:r w:rsidRPr="00EE4757">
              <w:rPr>
                <w:bCs/>
                <w:sz w:val="18"/>
                <w:szCs w:val="18"/>
              </w:rPr>
              <w:t xml:space="preserve"> contrast variance</w:t>
            </w:r>
          </w:p>
        </w:tc>
        <w:tc>
          <w:tcPr>
            <w:tcW w:w="2353" w:type="dxa"/>
          </w:tcPr>
          <w:p w14:paraId="2AEB28D5" w14:textId="77777777" w:rsidR="007E0ABC" w:rsidRPr="00EE4757" w:rsidRDefault="007E0ABC" w:rsidP="00D75B62">
            <w:pPr>
              <w:rPr>
                <w:bCs/>
                <w:sz w:val="18"/>
                <w:szCs w:val="18"/>
              </w:rPr>
            </w:pPr>
            <w:r w:rsidRPr="00EE4757">
              <w:rPr>
                <w:bCs/>
                <w:sz w:val="18"/>
                <w:szCs w:val="18"/>
              </w:rPr>
              <w:t>Comment/decision</w:t>
            </w:r>
          </w:p>
        </w:tc>
      </w:tr>
      <w:tr w:rsidR="007E0ABC" w:rsidRPr="00EE4757" w14:paraId="2BBA87F4" w14:textId="77777777" w:rsidTr="00EE4757">
        <w:tc>
          <w:tcPr>
            <w:tcW w:w="1418" w:type="dxa"/>
          </w:tcPr>
          <w:p w14:paraId="44208D47" w14:textId="77777777" w:rsidR="007E0ABC" w:rsidRPr="00EE4757" w:rsidRDefault="007E0ABC" w:rsidP="00D75B62">
            <w:pPr>
              <w:rPr>
                <w:sz w:val="18"/>
                <w:szCs w:val="18"/>
                <w:u w:val="single"/>
              </w:rPr>
            </w:pPr>
            <w:r w:rsidRPr="00EE4757">
              <w:rPr>
                <w:i/>
                <w:sz w:val="18"/>
                <w:szCs w:val="18"/>
              </w:rPr>
              <w:t>Original model</w:t>
            </w:r>
          </w:p>
        </w:tc>
        <w:tc>
          <w:tcPr>
            <w:tcW w:w="1134" w:type="dxa"/>
          </w:tcPr>
          <w:p w14:paraId="2FD8BB6E" w14:textId="77777777" w:rsidR="007E0ABC" w:rsidRPr="00EE4757" w:rsidRDefault="007E0ABC" w:rsidP="00D75B62">
            <w:pPr>
              <w:rPr>
                <w:i/>
                <w:sz w:val="18"/>
                <w:szCs w:val="18"/>
              </w:rPr>
            </w:pPr>
            <w:r w:rsidRPr="00EE4757">
              <w:rPr>
                <w:i/>
                <w:sz w:val="18"/>
                <w:szCs w:val="18"/>
              </w:rPr>
              <w:t>47.3%</w:t>
            </w:r>
          </w:p>
        </w:tc>
        <w:tc>
          <w:tcPr>
            <w:tcW w:w="1134" w:type="dxa"/>
          </w:tcPr>
          <w:p w14:paraId="289B2E40" w14:textId="77777777" w:rsidR="007E0ABC" w:rsidRPr="00EE4757" w:rsidRDefault="007E0ABC" w:rsidP="00D75B62">
            <w:pPr>
              <w:jc w:val="center"/>
              <w:rPr>
                <w:sz w:val="18"/>
                <w:szCs w:val="18"/>
              </w:rPr>
            </w:pPr>
            <w:r w:rsidRPr="00EE4757">
              <w:rPr>
                <w:sz w:val="18"/>
                <w:szCs w:val="18"/>
              </w:rPr>
              <w:t xml:space="preserve"> 1.9</w:t>
            </w:r>
          </w:p>
        </w:tc>
        <w:tc>
          <w:tcPr>
            <w:tcW w:w="1134" w:type="dxa"/>
          </w:tcPr>
          <w:p w14:paraId="644A0512" w14:textId="77777777" w:rsidR="007E0ABC" w:rsidRPr="00EE4757" w:rsidRDefault="007E0ABC" w:rsidP="00D75B62">
            <w:pPr>
              <w:jc w:val="center"/>
              <w:rPr>
                <w:sz w:val="18"/>
                <w:szCs w:val="18"/>
              </w:rPr>
            </w:pPr>
            <w:r w:rsidRPr="00EE4757">
              <w:rPr>
                <w:sz w:val="18"/>
                <w:szCs w:val="18"/>
              </w:rPr>
              <w:t>8.9%</w:t>
            </w:r>
          </w:p>
        </w:tc>
        <w:tc>
          <w:tcPr>
            <w:tcW w:w="1134" w:type="dxa"/>
          </w:tcPr>
          <w:p w14:paraId="06B169BF" w14:textId="77777777" w:rsidR="007E0ABC" w:rsidRPr="00EE4757" w:rsidRDefault="007E0ABC" w:rsidP="00D75B62">
            <w:pPr>
              <w:jc w:val="center"/>
              <w:rPr>
                <w:sz w:val="18"/>
                <w:szCs w:val="18"/>
              </w:rPr>
            </w:pPr>
            <w:r w:rsidRPr="00EE4757">
              <w:rPr>
                <w:sz w:val="18"/>
                <w:szCs w:val="18"/>
              </w:rPr>
              <w:t>1.5</w:t>
            </w:r>
          </w:p>
        </w:tc>
        <w:tc>
          <w:tcPr>
            <w:tcW w:w="1134" w:type="dxa"/>
          </w:tcPr>
          <w:p w14:paraId="5F326E92" w14:textId="77777777" w:rsidR="007E0ABC" w:rsidRPr="00EE4757" w:rsidRDefault="007E0ABC" w:rsidP="00D75B62">
            <w:pPr>
              <w:jc w:val="center"/>
              <w:rPr>
                <w:sz w:val="18"/>
                <w:szCs w:val="18"/>
              </w:rPr>
            </w:pPr>
            <w:r w:rsidRPr="00EE4757">
              <w:rPr>
                <w:sz w:val="18"/>
                <w:szCs w:val="18"/>
              </w:rPr>
              <w:t>7.2%</w:t>
            </w:r>
          </w:p>
        </w:tc>
        <w:tc>
          <w:tcPr>
            <w:tcW w:w="2353" w:type="dxa"/>
          </w:tcPr>
          <w:p w14:paraId="2CC8BAFF" w14:textId="77777777" w:rsidR="007E0ABC" w:rsidRPr="00EE4757" w:rsidRDefault="007E0ABC" w:rsidP="00D75B62">
            <w:pPr>
              <w:jc w:val="center"/>
              <w:rPr>
                <w:sz w:val="18"/>
                <w:szCs w:val="18"/>
              </w:rPr>
            </w:pPr>
            <w:r w:rsidRPr="00EE4757">
              <w:rPr>
                <w:sz w:val="18"/>
                <w:szCs w:val="18"/>
              </w:rPr>
              <w:t>Scale is unidimensional. 2</w:t>
            </w:r>
            <w:r w:rsidRPr="00EE4757">
              <w:rPr>
                <w:sz w:val="18"/>
                <w:szCs w:val="18"/>
                <w:vertAlign w:val="superscript"/>
              </w:rPr>
              <w:t>nd</w:t>
            </w:r>
            <w:r w:rsidRPr="00EE4757">
              <w:rPr>
                <w:sz w:val="18"/>
                <w:szCs w:val="18"/>
              </w:rPr>
              <w:t xml:space="preserve"> dimension interpreted as random noise</w:t>
            </w:r>
          </w:p>
        </w:tc>
      </w:tr>
      <w:tr w:rsidR="007E0ABC" w:rsidRPr="00EE4757" w14:paraId="79761EB7" w14:textId="77777777" w:rsidTr="00EE4757">
        <w:tc>
          <w:tcPr>
            <w:tcW w:w="1418" w:type="dxa"/>
          </w:tcPr>
          <w:p w14:paraId="2DFE61C6" w14:textId="77777777" w:rsidR="007E0ABC" w:rsidRPr="00EE4757" w:rsidRDefault="007E0ABC" w:rsidP="00D75B62">
            <w:pPr>
              <w:rPr>
                <w:i/>
                <w:sz w:val="18"/>
                <w:szCs w:val="18"/>
              </w:rPr>
            </w:pPr>
            <w:r w:rsidRPr="00EE4757">
              <w:rPr>
                <w:i/>
                <w:sz w:val="18"/>
                <w:szCs w:val="18"/>
              </w:rPr>
              <w:t>M1a - Item 1 dropped</w:t>
            </w:r>
          </w:p>
        </w:tc>
        <w:tc>
          <w:tcPr>
            <w:tcW w:w="1134" w:type="dxa"/>
          </w:tcPr>
          <w:p w14:paraId="12F9C35F" w14:textId="77777777" w:rsidR="007E0ABC" w:rsidRPr="00EE4757" w:rsidRDefault="007E0ABC" w:rsidP="00D75B62">
            <w:pPr>
              <w:rPr>
                <w:i/>
                <w:sz w:val="18"/>
                <w:szCs w:val="18"/>
              </w:rPr>
            </w:pPr>
            <w:r w:rsidRPr="00EE4757">
              <w:rPr>
                <w:i/>
                <w:sz w:val="18"/>
                <w:szCs w:val="18"/>
              </w:rPr>
              <w:t>49.2%</w:t>
            </w:r>
          </w:p>
        </w:tc>
        <w:tc>
          <w:tcPr>
            <w:tcW w:w="1134" w:type="dxa"/>
          </w:tcPr>
          <w:p w14:paraId="12C8D035" w14:textId="77777777" w:rsidR="007E0ABC" w:rsidRPr="00EE4757" w:rsidRDefault="007E0ABC" w:rsidP="00D75B62">
            <w:pPr>
              <w:jc w:val="center"/>
              <w:rPr>
                <w:sz w:val="18"/>
                <w:szCs w:val="18"/>
              </w:rPr>
            </w:pPr>
            <w:r w:rsidRPr="00EE4757">
              <w:rPr>
                <w:sz w:val="18"/>
                <w:szCs w:val="18"/>
              </w:rPr>
              <w:t>1.5</w:t>
            </w:r>
          </w:p>
        </w:tc>
        <w:tc>
          <w:tcPr>
            <w:tcW w:w="1134" w:type="dxa"/>
          </w:tcPr>
          <w:p w14:paraId="3CE839AD" w14:textId="77777777" w:rsidR="007E0ABC" w:rsidRPr="00EE4757" w:rsidRDefault="007E0ABC" w:rsidP="00D75B62">
            <w:pPr>
              <w:jc w:val="center"/>
              <w:rPr>
                <w:sz w:val="18"/>
                <w:szCs w:val="18"/>
              </w:rPr>
            </w:pPr>
            <w:r w:rsidRPr="00EE4757">
              <w:rPr>
                <w:sz w:val="18"/>
                <w:szCs w:val="18"/>
              </w:rPr>
              <w:t>7.7%</w:t>
            </w:r>
          </w:p>
        </w:tc>
        <w:tc>
          <w:tcPr>
            <w:tcW w:w="1134" w:type="dxa"/>
          </w:tcPr>
          <w:p w14:paraId="33F97312" w14:textId="77777777" w:rsidR="007E0ABC" w:rsidRPr="00EE4757" w:rsidRDefault="007E0ABC" w:rsidP="00D75B62">
            <w:pPr>
              <w:jc w:val="center"/>
              <w:rPr>
                <w:sz w:val="18"/>
                <w:szCs w:val="18"/>
              </w:rPr>
            </w:pPr>
            <w:r w:rsidRPr="00EE4757">
              <w:rPr>
                <w:sz w:val="18"/>
                <w:szCs w:val="18"/>
              </w:rPr>
              <w:t>1.4</w:t>
            </w:r>
          </w:p>
        </w:tc>
        <w:tc>
          <w:tcPr>
            <w:tcW w:w="1134" w:type="dxa"/>
          </w:tcPr>
          <w:p w14:paraId="03C04F7C" w14:textId="77777777" w:rsidR="007E0ABC" w:rsidRPr="00EE4757" w:rsidRDefault="007E0ABC" w:rsidP="00D75B62">
            <w:pPr>
              <w:jc w:val="center"/>
              <w:rPr>
                <w:sz w:val="18"/>
                <w:szCs w:val="18"/>
              </w:rPr>
            </w:pPr>
            <w:r w:rsidRPr="00EE4757">
              <w:rPr>
                <w:sz w:val="18"/>
                <w:szCs w:val="18"/>
              </w:rPr>
              <w:t>7.3%</w:t>
            </w:r>
          </w:p>
        </w:tc>
        <w:tc>
          <w:tcPr>
            <w:tcW w:w="2353" w:type="dxa"/>
          </w:tcPr>
          <w:p w14:paraId="03B608A4" w14:textId="77777777" w:rsidR="007E0ABC" w:rsidRPr="00EE4757" w:rsidRDefault="007E0ABC" w:rsidP="00D75B62">
            <w:pPr>
              <w:jc w:val="center"/>
              <w:rPr>
                <w:sz w:val="18"/>
                <w:szCs w:val="18"/>
              </w:rPr>
            </w:pPr>
            <w:r w:rsidRPr="00EE4757">
              <w:rPr>
                <w:sz w:val="18"/>
                <w:szCs w:val="18"/>
              </w:rPr>
              <w:t>Scale is unidimensional. 2</w:t>
            </w:r>
            <w:r w:rsidRPr="00EE4757">
              <w:rPr>
                <w:sz w:val="18"/>
                <w:szCs w:val="18"/>
                <w:vertAlign w:val="superscript"/>
              </w:rPr>
              <w:t>nd</w:t>
            </w:r>
            <w:r w:rsidRPr="00EE4757">
              <w:rPr>
                <w:sz w:val="18"/>
                <w:szCs w:val="18"/>
              </w:rPr>
              <w:t xml:space="preserve"> dimension interpreted as random noise</w:t>
            </w:r>
          </w:p>
        </w:tc>
      </w:tr>
      <w:tr w:rsidR="007E0ABC" w:rsidRPr="00EE4757" w14:paraId="65190AE9" w14:textId="77777777" w:rsidTr="00EE4757">
        <w:tc>
          <w:tcPr>
            <w:tcW w:w="1418" w:type="dxa"/>
          </w:tcPr>
          <w:p w14:paraId="438559F3" w14:textId="77777777" w:rsidR="007E0ABC" w:rsidRPr="00EE4757" w:rsidRDefault="007E0ABC" w:rsidP="00D75B62">
            <w:pPr>
              <w:rPr>
                <w:i/>
                <w:sz w:val="18"/>
                <w:szCs w:val="18"/>
              </w:rPr>
            </w:pPr>
            <w:r w:rsidRPr="00EE4757">
              <w:rPr>
                <w:i/>
                <w:sz w:val="18"/>
                <w:szCs w:val="18"/>
              </w:rPr>
              <w:t>M1 – Collapsed categories 2&amp;3, 4&amp;5</w:t>
            </w:r>
          </w:p>
        </w:tc>
        <w:tc>
          <w:tcPr>
            <w:tcW w:w="1134" w:type="dxa"/>
          </w:tcPr>
          <w:p w14:paraId="6DD8A8B3" w14:textId="77777777" w:rsidR="007E0ABC" w:rsidRPr="00EE4757" w:rsidRDefault="007E0ABC" w:rsidP="00D75B62">
            <w:pPr>
              <w:rPr>
                <w:i/>
                <w:sz w:val="18"/>
                <w:szCs w:val="18"/>
              </w:rPr>
            </w:pPr>
            <w:r w:rsidRPr="00EE4757">
              <w:rPr>
                <w:i/>
                <w:sz w:val="18"/>
                <w:szCs w:val="18"/>
              </w:rPr>
              <w:t>44.5%</w:t>
            </w:r>
          </w:p>
        </w:tc>
        <w:tc>
          <w:tcPr>
            <w:tcW w:w="1134" w:type="dxa"/>
          </w:tcPr>
          <w:p w14:paraId="2BCCCAAC" w14:textId="77777777" w:rsidR="007E0ABC" w:rsidRPr="00EE4757" w:rsidRDefault="007E0ABC" w:rsidP="00D75B62">
            <w:pPr>
              <w:jc w:val="center"/>
              <w:rPr>
                <w:sz w:val="18"/>
                <w:szCs w:val="18"/>
              </w:rPr>
            </w:pPr>
            <w:r w:rsidRPr="00EE4757">
              <w:rPr>
                <w:sz w:val="18"/>
                <w:szCs w:val="18"/>
              </w:rPr>
              <w:t>1.7</w:t>
            </w:r>
          </w:p>
        </w:tc>
        <w:tc>
          <w:tcPr>
            <w:tcW w:w="1134" w:type="dxa"/>
          </w:tcPr>
          <w:p w14:paraId="6A87F4D6" w14:textId="77777777" w:rsidR="007E0ABC" w:rsidRPr="00EE4757" w:rsidRDefault="007E0ABC" w:rsidP="00D75B62">
            <w:pPr>
              <w:jc w:val="center"/>
              <w:rPr>
                <w:sz w:val="18"/>
                <w:szCs w:val="18"/>
              </w:rPr>
            </w:pPr>
            <w:r w:rsidRPr="00EE4757">
              <w:rPr>
                <w:sz w:val="18"/>
                <w:szCs w:val="18"/>
              </w:rPr>
              <w:t>8.5%</w:t>
            </w:r>
          </w:p>
        </w:tc>
        <w:tc>
          <w:tcPr>
            <w:tcW w:w="1134" w:type="dxa"/>
          </w:tcPr>
          <w:p w14:paraId="7CC89319" w14:textId="77777777" w:rsidR="007E0ABC" w:rsidRPr="00EE4757" w:rsidRDefault="007E0ABC" w:rsidP="00D75B62">
            <w:pPr>
              <w:jc w:val="center"/>
              <w:rPr>
                <w:sz w:val="18"/>
                <w:szCs w:val="18"/>
              </w:rPr>
            </w:pPr>
            <w:r w:rsidRPr="00EE4757">
              <w:rPr>
                <w:sz w:val="18"/>
                <w:szCs w:val="18"/>
              </w:rPr>
              <w:t xml:space="preserve">1.5 </w:t>
            </w:r>
          </w:p>
        </w:tc>
        <w:tc>
          <w:tcPr>
            <w:tcW w:w="1134" w:type="dxa"/>
          </w:tcPr>
          <w:p w14:paraId="35C032B9" w14:textId="77777777" w:rsidR="007E0ABC" w:rsidRPr="00EE4757" w:rsidRDefault="007E0ABC" w:rsidP="00D75B62">
            <w:pPr>
              <w:jc w:val="center"/>
              <w:rPr>
                <w:sz w:val="18"/>
                <w:szCs w:val="18"/>
              </w:rPr>
            </w:pPr>
            <w:r w:rsidRPr="00EE4757">
              <w:rPr>
                <w:sz w:val="18"/>
                <w:szCs w:val="18"/>
              </w:rPr>
              <w:t>7.4%</w:t>
            </w:r>
          </w:p>
        </w:tc>
        <w:tc>
          <w:tcPr>
            <w:tcW w:w="2353" w:type="dxa"/>
          </w:tcPr>
          <w:p w14:paraId="2966BACD" w14:textId="77777777" w:rsidR="007E0ABC" w:rsidRPr="00EE4757" w:rsidRDefault="007E0ABC" w:rsidP="00D75B62">
            <w:pPr>
              <w:jc w:val="center"/>
              <w:rPr>
                <w:sz w:val="18"/>
                <w:szCs w:val="18"/>
              </w:rPr>
            </w:pPr>
            <w:r w:rsidRPr="00EE4757">
              <w:rPr>
                <w:sz w:val="18"/>
                <w:szCs w:val="18"/>
              </w:rPr>
              <w:t>Scale is unidimensional. 2</w:t>
            </w:r>
            <w:r w:rsidRPr="00EE4757">
              <w:rPr>
                <w:sz w:val="18"/>
                <w:szCs w:val="18"/>
                <w:vertAlign w:val="superscript"/>
              </w:rPr>
              <w:t>nd</w:t>
            </w:r>
            <w:r w:rsidRPr="00EE4757">
              <w:rPr>
                <w:sz w:val="18"/>
                <w:szCs w:val="18"/>
              </w:rPr>
              <w:t xml:space="preserve"> dimension interpreted as random noise</w:t>
            </w:r>
          </w:p>
        </w:tc>
      </w:tr>
      <w:tr w:rsidR="007E0ABC" w:rsidRPr="00EE4757" w14:paraId="4649CD46" w14:textId="77777777" w:rsidTr="00EE4757">
        <w:tc>
          <w:tcPr>
            <w:tcW w:w="1418" w:type="dxa"/>
          </w:tcPr>
          <w:p w14:paraId="0CC46E94" w14:textId="77777777" w:rsidR="007E0ABC" w:rsidRPr="00EE4757" w:rsidRDefault="007E0ABC" w:rsidP="00D75B62">
            <w:pPr>
              <w:rPr>
                <w:i/>
                <w:sz w:val="18"/>
                <w:szCs w:val="18"/>
              </w:rPr>
            </w:pPr>
            <w:r w:rsidRPr="00EE4757">
              <w:rPr>
                <w:i/>
                <w:sz w:val="18"/>
                <w:szCs w:val="18"/>
              </w:rPr>
              <w:t>M2 - misfitting persons removed</w:t>
            </w:r>
          </w:p>
        </w:tc>
        <w:tc>
          <w:tcPr>
            <w:tcW w:w="1134" w:type="dxa"/>
          </w:tcPr>
          <w:p w14:paraId="66D2E6C0" w14:textId="77777777" w:rsidR="007E0ABC" w:rsidRPr="00EE4757" w:rsidRDefault="007E0ABC" w:rsidP="00D75B62">
            <w:pPr>
              <w:rPr>
                <w:i/>
                <w:sz w:val="18"/>
                <w:szCs w:val="18"/>
              </w:rPr>
            </w:pPr>
            <w:r w:rsidRPr="00EE4757">
              <w:rPr>
                <w:i/>
                <w:sz w:val="18"/>
                <w:szCs w:val="18"/>
              </w:rPr>
              <w:t>50.4%</w:t>
            </w:r>
          </w:p>
        </w:tc>
        <w:tc>
          <w:tcPr>
            <w:tcW w:w="1134" w:type="dxa"/>
          </w:tcPr>
          <w:p w14:paraId="43EB3C6D" w14:textId="77777777" w:rsidR="007E0ABC" w:rsidRPr="00EE4757" w:rsidRDefault="007E0ABC" w:rsidP="00D75B62">
            <w:pPr>
              <w:jc w:val="center"/>
              <w:rPr>
                <w:sz w:val="18"/>
                <w:szCs w:val="18"/>
              </w:rPr>
            </w:pPr>
            <w:r w:rsidRPr="00EE4757">
              <w:rPr>
                <w:sz w:val="18"/>
                <w:szCs w:val="18"/>
              </w:rPr>
              <w:t>1.4</w:t>
            </w:r>
          </w:p>
        </w:tc>
        <w:tc>
          <w:tcPr>
            <w:tcW w:w="1134" w:type="dxa"/>
          </w:tcPr>
          <w:p w14:paraId="3279F1EC" w14:textId="77777777" w:rsidR="007E0ABC" w:rsidRPr="00EE4757" w:rsidRDefault="007E0ABC" w:rsidP="00D75B62">
            <w:pPr>
              <w:jc w:val="center"/>
              <w:rPr>
                <w:sz w:val="18"/>
                <w:szCs w:val="18"/>
              </w:rPr>
            </w:pPr>
            <w:r w:rsidRPr="00EE4757">
              <w:rPr>
                <w:sz w:val="18"/>
                <w:szCs w:val="18"/>
              </w:rPr>
              <w:t>7.3%</w:t>
            </w:r>
          </w:p>
        </w:tc>
        <w:tc>
          <w:tcPr>
            <w:tcW w:w="1134" w:type="dxa"/>
          </w:tcPr>
          <w:p w14:paraId="0B42B9CA" w14:textId="77777777" w:rsidR="007E0ABC" w:rsidRPr="00EE4757" w:rsidRDefault="007E0ABC" w:rsidP="00D75B62">
            <w:pPr>
              <w:jc w:val="center"/>
              <w:rPr>
                <w:sz w:val="18"/>
                <w:szCs w:val="18"/>
              </w:rPr>
            </w:pPr>
            <w:r w:rsidRPr="00EE4757">
              <w:rPr>
                <w:sz w:val="18"/>
                <w:szCs w:val="18"/>
              </w:rPr>
              <w:t>1.3</w:t>
            </w:r>
          </w:p>
        </w:tc>
        <w:tc>
          <w:tcPr>
            <w:tcW w:w="1134" w:type="dxa"/>
          </w:tcPr>
          <w:p w14:paraId="19DE1FB3" w14:textId="77777777" w:rsidR="007E0ABC" w:rsidRPr="00EE4757" w:rsidRDefault="007E0ABC" w:rsidP="00D75B62">
            <w:pPr>
              <w:jc w:val="center"/>
              <w:rPr>
                <w:sz w:val="18"/>
                <w:szCs w:val="18"/>
              </w:rPr>
            </w:pPr>
            <w:r w:rsidRPr="00EE4757">
              <w:rPr>
                <w:sz w:val="18"/>
                <w:szCs w:val="18"/>
              </w:rPr>
              <w:t>6.5%</w:t>
            </w:r>
          </w:p>
        </w:tc>
        <w:tc>
          <w:tcPr>
            <w:tcW w:w="2353" w:type="dxa"/>
          </w:tcPr>
          <w:p w14:paraId="7972DB08" w14:textId="77777777" w:rsidR="007E0ABC" w:rsidRPr="00EE4757" w:rsidRDefault="007E0ABC" w:rsidP="00D75B62">
            <w:pPr>
              <w:jc w:val="center"/>
              <w:rPr>
                <w:sz w:val="18"/>
                <w:szCs w:val="18"/>
              </w:rPr>
            </w:pPr>
            <w:r w:rsidRPr="00EE4757">
              <w:rPr>
                <w:sz w:val="18"/>
                <w:szCs w:val="18"/>
              </w:rPr>
              <w:t>Scale is unidimensional. 2</w:t>
            </w:r>
            <w:r w:rsidRPr="00EE4757">
              <w:rPr>
                <w:sz w:val="18"/>
                <w:szCs w:val="18"/>
                <w:vertAlign w:val="superscript"/>
              </w:rPr>
              <w:t>nd</w:t>
            </w:r>
            <w:r w:rsidRPr="00EE4757">
              <w:rPr>
                <w:sz w:val="18"/>
                <w:szCs w:val="18"/>
              </w:rPr>
              <w:t xml:space="preserve"> dimension interpreted as random noise</w:t>
            </w:r>
          </w:p>
        </w:tc>
      </w:tr>
      <w:tr w:rsidR="007E0ABC" w:rsidRPr="00EE4757" w14:paraId="5A49A1CD" w14:textId="77777777" w:rsidTr="00EE4757">
        <w:tc>
          <w:tcPr>
            <w:tcW w:w="1418" w:type="dxa"/>
          </w:tcPr>
          <w:p w14:paraId="1854CA94" w14:textId="77777777" w:rsidR="007E0ABC" w:rsidRPr="00EE4757" w:rsidRDefault="007E0ABC" w:rsidP="00D75B62">
            <w:pPr>
              <w:rPr>
                <w:i/>
                <w:sz w:val="18"/>
                <w:szCs w:val="18"/>
              </w:rPr>
            </w:pPr>
            <w:r w:rsidRPr="00EE4757">
              <w:rPr>
                <w:i/>
                <w:sz w:val="18"/>
                <w:szCs w:val="18"/>
              </w:rPr>
              <w:t>M3 - item 19 removed</w:t>
            </w:r>
          </w:p>
        </w:tc>
        <w:tc>
          <w:tcPr>
            <w:tcW w:w="1134" w:type="dxa"/>
          </w:tcPr>
          <w:p w14:paraId="07EC4292" w14:textId="77777777" w:rsidR="007E0ABC" w:rsidRPr="00EE4757" w:rsidRDefault="007E0ABC" w:rsidP="00D75B62">
            <w:pPr>
              <w:rPr>
                <w:i/>
                <w:sz w:val="18"/>
                <w:szCs w:val="18"/>
              </w:rPr>
            </w:pPr>
            <w:r w:rsidRPr="00EE4757">
              <w:rPr>
                <w:i/>
                <w:sz w:val="18"/>
                <w:szCs w:val="18"/>
              </w:rPr>
              <w:t>51.2%</w:t>
            </w:r>
          </w:p>
        </w:tc>
        <w:tc>
          <w:tcPr>
            <w:tcW w:w="1134" w:type="dxa"/>
          </w:tcPr>
          <w:p w14:paraId="0DC2945D" w14:textId="77777777" w:rsidR="007E0ABC" w:rsidRPr="00EE4757" w:rsidRDefault="007E0ABC" w:rsidP="00D75B62">
            <w:pPr>
              <w:jc w:val="center"/>
              <w:rPr>
                <w:sz w:val="18"/>
                <w:szCs w:val="18"/>
              </w:rPr>
            </w:pPr>
            <w:r w:rsidRPr="00EE4757">
              <w:rPr>
                <w:sz w:val="18"/>
                <w:szCs w:val="18"/>
              </w:rPr>
              <w:t>1.4</w:t>
            </w:r>
          </w:p>
        </w:tc>
        <w:tc>
          <w:tcPr>
            <w:tcW w:w="1134" w:type="dxa"/>
          </w:tcPr>
          <w:p w14:paraId="7CC26589" w14:textId="77777777" w:rsidR="007E0ABC" w:rsidRPr="00EE4757" w:rsidRDefault="007E0ABC" w:rsidP="00D75B62">
            <w:pPr>
              <w:jc w:val="center"/>
              <w:rPr>
                <w:sz w:val="18"/>
                <w:szCs w:val="18"/>
              </w:rPr>
            </w:pPr>
            <w:r w:rsidRPr="00EE4757">
              <w:rPr>
                <w:sz w:val="18"/>
                <w:szCs w:val="18"/>
              </w:rPr>
              <w:t>7.9%</w:t>
            </w:r>
          </w:p>
        </w:tc>
        <w:tc>
          <w:tcPr>
            <w:tcW w:w="1134" w:type="dxa"/>
          </w:tcPr>
          <w:p w14:paraId="48BE29FC" w14:textId="77777777" w:rsidR="007E0ABC" w:rsidRPr="00EE4757" w:rsidRDefault="007E0ABC" w:rsidP="00D75B62">
            <w:pPr>
              <w:jc w:val="center"/>
              <w:rPr>
                <w:sz w:val="18"/>
                <w:szCs w:val="18"/>
              </w:rPr>
            </w:pPr>
            <w:r w:rsidRPr="00EE4757">
              <w:rPr>
                <w:sz w:val="18"/>
                <w:szCs w:val="18"/>
              </w:rPr>
              <w:t>1.3</w:t>
            </w:r>
          </w:p>
        </w:tc>
        <w:tc>
          <w:tcPr>
            <w:tcW w:w="1134" w:type="dxa"/>
          </w:tcPr>
          <w:p w14:paraId="425D9412" w14:textId="77777777" w:rsidR="007E0ABC" w:rsidRPr="00EE4757" w:rsidRDefault="007E0ABC" w:rsidP="00D75B62">
            <w:pPr>
              <w:jc w:val="center"/>
              <w:rPr>
                <w:sz w:val="18"/>
                <w:szCs w:val="18"/>
              </w:rPr>
            </w:pPr>
            <w:r w:rsidRPr="00EE4757">
              <w:rPr>
                <w:sz w:val="18"/>
                <w:szCs w:val="18"/>
              </w:rPr>
              <w:t>6.8%</w:t>
            </w:r>
          </w:p>
        </w:tc>
        <w:tc>
          <w:tcPr>
            <w:tcW w:w="2353" w:type="dxa"/>
          </w:tcPr>
          <w:p w14:paraId="1B06431E" w14:textId="77777777" w:rsidR="007E0ABC" w:rsidRPr="00EE4757" w:rsidRDefault="007E0ABC" w:rsidP="00D75B62">
            <w:pPr>
              <w:jc w:val="center"/>
              <w:rPr>
                <w:sz w:val="18"/>
                <w:szCs w:val="18"/>
              </w:rPr>
            </w:pPr>
            <w:r w:rsidRPr="00EE4757">
              <w:rPr>
                <w:sz w:val="18"/>
                <w:szCs w:val="18"/>
              </w:rPr>
              <w:t>Scale is unidimensional. 2</w:t>
            </w:r>
            <w:r w:rsidRPr="00EE4757">
              <w:rPr>
                <w:sz w:val="18"/>
                <w:szCs w:val="18"/>
                <w:vertAlign w:val="superscript"/>
              </w:rPr>
              <w:t>nd</w:t>
            </w:r>
            <w:r w:rsidRPr="00EE4757">
              <w:rPr>
                <w:sz w:val="18"/>
                <w:szCs w:val="18"/>
              </w:rPr>
              <w:t xml:space="preserve"> dimension interpreted as random noise</w:t>
            </w:r>
          </w:p>
        </w:tc>
      </w:tr>
    </w:tbl>
    <w:p w14:paraId="55D10F63" w14:textId="77777777" w:rsidR="007E0ABC" w:rsidRPr="0098395C" w:rsidRDefault="007E0ABC" w:rsidP="0098395C">
      <w:pPr>
        <w:rPr>
          <w:szCs w:val="20"/>
        </w:rPr>
      </w:pPr>
    </w:p>
    <w:p w14:paraId="5048219B" w14:textId="77777777" w:rsidR="007E0ABC" w:rsidRPr="0098395C" w:rsidRDefault="007E0ABC" w:rsidP="007E0ABC">
      <w:pPr>
        <w:numPr>
          <w:ilvl w:val="0"/>
          <w:numId w:val="162"/>
        </w:numPr>
        <w:pBdr>
          <w:top w:val="nil"/>
          <w:left w:val="nil"/>
          <w:bottom w:val="nil"/>
          <w:right w:val="nil"/>
          <w:between w:val="nil"/>
        </w:pBdr>
        <w:spacing w:after="160" w:line="259" w:lineRule="auto"/>
        <w:rPr>
          <w:color w:val="000000"/>
          <w:szCs w:val="20"/>
        </w:rPr>
      </w:pPr>
      <w:r w:rsidRPr="0098395C">
        <w:rPr>
          <w:rFonts w:eastAsia="Century Gothic" w:cs="Century Gothic"/>
          <w:color w:val="000000"/>
          <w:szCs w:val="20"/>
        </w:rPr>
        <w:t>Local independence</w:t>
      </w:r>
    </w:p>
    <w:tbl>
      <w:tblPr>
        <w:tblW w:w="7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2096"/>
      </w:tblGrid>
      <w:tr w:rsidR="007E0ABC" w:rsidRPr="00EE4757" w14:paraId="0799B11B" w14:textId="77777777" w:rsidTr="00D75B62">
        <w:tc>
          <w:tcPr>
            <w:tcW w:w="2263" w:type="dxa"/>
          </w:tcPr>
          <w:p w14:paraId="7A3E0C93" w14:textId="77777777" w:rsidR="007E0ABC" w:rsidRPr="00EE4757" w:rsidRDefault="007E0ABC" w:rsidP="00D75B62">
            <w:pPr>
              <w:rPr>
                <w:b/>
                <w:sz w:val="18"/>
                <w:szCs w:val="18"/>
              </w:rPr>
            </w:pPr>
            <w:r w:rsidRPr="00EE4757">
              <w:rPr>
                <w:b/>
                <w:sz w:val="18"/>
                <w:szCs w:val="18"/>
              </w:rPr>
              <w:t>Model</w:t>
            </w:r>
          </w:p>
        </w:tc>
        <w:tc>
          <w:tcPr>
            <w:tcW w:w="1536" w:type="dxa"/>
          </w:tcPr>
          <w:p w14:paraId="3975585E" w14:textId="77777777" w:rsidR="007E0ABC" w:rsidRPr="00EE4757" w:rsidRDefault="007E0ABC" w:rsidP="00D75B62">
            <w:pPr>
              <w:rPr>
                <w:b/>
                <w:sz w:val="18"/>
                <w:szCs w:val="18"/>
              </w:rPr>
            </w:pPr>
            <w:r w:rsidRPr="00EE4757">
              <w:rPr>
                <w:b/>
                <w:sz w:val="18"/>
                <w:szCs w:val="18"/>
              </w:rPr>
              <w:t>Residual correlation range</w:t>
            </w:r>
          </w:p>
        </w:tc>
        <w:tc>
          <w:tcPr>
            <w:tcW w:w="1770" w:type="dxa"/>
          </w:tcPr>
          <w:p w14:paraId="65CBD674" w14:textId="77777777" w:rsidR="007E0ABC" w:rsidRPr="00EE4757" w:rsidRDefault="007E0ABC" w:rsidP="00D75B62">
            <w:pPr>
              <w:rPr>
                <w:b/>
                <w:sz w:val="18"/>
                <w:szCs w:val="18"/>
              </w:rPr>
            </w:pPr>
            <w:r w:rsidRPr="00EE4757">
              <w:rPr>
                <w:b/>
                <w:sz w:val="18"/>
                <w:szCs w:val="18"/>
              </w:rPr>
              <w:t>Flagged item pairs</w:t>
            </w:r>
          </w:p>
        </w:tc>
        <w:tc>
          <w:tcPr>
            <w:tcW w:w="2096" w:type="dxa"/>
          </w:tcPr>
          <w:p w14:paraId="57EF04D8" w14:textId="77777777" w:rsidR="007E0ABC" w:rsidRPr="00EE4757" w:rsidRDefault="007E0ABC" w:rsidP="00D75B62">
            <w:pPr>
              <w:rPr>
                <w:b/>
                <w:sz w:val="18"/>
                <w:szCs w:val="18"/>
              </w:rPr>
            </w:pPr>
            <w:r w:rsidRPr="00EE4757">
              <w:rPr>
                <w:b/>
                <w:sz w:val="18"/>
                <w:szCs w:val="18"/>
              </w:rPr>
              <w:t>Comment/decision</w:t>
            </w:r>
          </w:p>
        </w:tc>
      </w:tr>
      <w:tr w:rsidR="007E0ABC" w:rsidRPr="00EE4757" w14:paraId="076D3828" w14:textId="77777777" w:rsidTr="00D75B62">
        <w:tc>
          <w:tcPr>
            <w:tcW w:w="2263" w:type="dxa"/>
          </w:tcPr>
          <w:p w14:paraId="2E2C1C18" w14:textId="77777777" w:rsidR="007E0ABC" w:rsidRPr="00EE4757" w:rsidRDefault="007E0ABC" w:rsidP="00D75B62">
            <w:pPr>
              <w:rPr>
                <w:i/>
                <w:sz w:val="18"/>
                <w:szCs w:val="18"/>
              </w:rPr>
            </w:pPr>
            <w:r w:rsidRPr="00EE4757">
              <w:rPr>
                <w:i/>
                <w:sz w:val="18"/>
                <w:szCs w:val="18"/>
              </w:rPr>
              <w:t>Original model</w:t>
            </w:r>
          </w:p>
        </w:tc>
        <w:tc>
          <w:tcPr>
            <w:tcW w:w="1536" w:type="dxa"/>
          </w:tcPr>
          <w:p w14:paraId="6D3EA2E7" w14:textId="77777777" w:rsidR="007E0ABC" w:rsidRPr="00EE4757" w:rsidRDefault="007E0ABC" w:rsidP="00D75B62">
            <w:pPr>
              <w:rPr>
                <w:sz w:val="18"/>
                <w:szCs w:val="18"/>
              </w:rPr>
            </w:pPr>
            <w:r w:rsidRPr="00EE4757">
              <w:rPr>
                <w:sz w:val="18"/>
                <w:szCs w:val="18"/>
              </w:rPr>
              <w:t>-.14 – 0.38</w:t>
            </w:r>
          </w:p>
        </w:tc>
        <w:tc>
          <w:tcPr>
            <w:tcW w:w="1770" w:type="dxa"/>
          </w:tcPr>
          <w:p w14:paraId="16FC5E1F" w14:textId="77777777" w:rsidR="007E0ABC" w:rsidRPr="00EE4757" w:rsidRDefault="007E0ABC" w:rsidP="00D75B62">
            <w:pPr>
              <w:rPr>
                <w:sz w:val="18"/>
                <w:szCs w:val="18"/>
              </w:rPr>
            </w:pPr>
            <w:r w:rsidRPr="00EE4757">
              <w:rPr>
                <w:sz w:val="18"/>
                <w:szCs w:val="18"/>
              </w:rPr>
              <w:t>Item 1 &amp; 2, Item 27 &amp; 29</w:t>
            </w:r>
          </w:p>
        </w:tc>
        <w:tc>
          <w:tcPr>
            <w:tcW w:w="2096" w:type="dxa"/>
          </w:tcPr>
          <w:p w14:paraId="6AB39BCF" w14:textId="77777777" w:rsidR="007E0ABC" w:rsidRPr="00EE4757" w:rsidRDefault="007E0ABC" w:rsidP="00D75B62">
            <w:pPr>
              <w:rPr>
                <w:sz w:val="18"/>
                <w:szCs w:val="18"/>
              </w:rPr>
            </w:pPr>
            <w:r w:rsidRPr="00EE4757">
              <w:rPr>
                <w:sz w:val="18"/>
                <w:szCs w:val="18"/>
              </w:rPr>
              <w:t>Supports decisions to drop either item 1 or 2, flag items 27/29</w:t>
            </w:r>
          </w:p>
        </w:tc>
      </w:tr>
      <w:tr w:rsidR="007E0ABC" w:rsidRPr="00EE4757" w14:paraId="6DFB1493" w14:textId="77777777" w:rsidTr="00D75B62">
        <w:tc>
          <w:tcPr>
            <w:tcW w:w="2263" w:type="dxa"/>
          </w:tcPr>
          <w:p w14:paraId="041015DA" w14:textId="77777777" w:rsidR="007E0ABC" w:rsidRPr="00EE4757" w:rsidRDefault="007E0ABC" w:rsidP="00D75B62">
            <w:pPr>
              <w:rPr>
                <w:i/>
                <w:sz w:val="18"/>
                <w:szCs w:val="18"/>
              </w:rPr>
            </w:pPr>
            <w:r w:rsidRPr="00EE4757">
              <w:rPr>
                <w:i/>
                <w:sz w:val="18"/>
                <w:szCs w:val="18"/>
              </w:rPr>
              <w:t>M1a - Item 1 dropped</w:t>
            </w:r>
          </w:p>
        </w:tc>
        <w:tc>
          <w:tcPr>
            <w:tcW w:w="1536" w:type="dxa"/>
          </w:tcPr>
          <w:p w14:paraId="7822EBF6" w14:textId="77777777" w:rsidR="007E0ABC" w:rsidRPr="00EE4757" w:rsidRDefault="007E0ABC" w:rsidP="00D75B62">
            <w:pPr>
              <w:rPr>
                <w:sz w:val="18"/>
                <w:szCs w:val="18"/>
              </w:rPr>
            </w:pPr>
            <w:r w:rsidRPr="00EE4757">
              <w:rPr>
                <w:sz w:val="18"/>
                <w:szCs w:val="18"/>
              </w:rPr>
              <w:t>-0.12 - -0.28</w:t>
            </w:r>
          </w:p>
        </w:tc>
        <w:tc>
          <w:tcPr>
            <w:tcW w:w="1770" w:type="dxa"/>
          </w:tcPr>
          <w:p w14:paraId="6EC33D2B" w14:textId="77777777" w:rsidR="007E0ABC" w:rsidRPr="00EE4757" w:rsidRDefault="007E0ABC" w:rsidP="00D75B62">
            <w:pPr>
              <w:rPr>
                <w:sz w:val="18"/>
                <w:szCs w:val="18"/>
              </w:rPr>
            </w:pPr>
            <w:r w:rsidRPr="00EE4757">
              <w:rPr>
                <w:sz w:val="18"/>
                <w:szCs w:val="18"/>
              </w:rPr>
              <w:t>none</w:t>
            </w:r>
          </w:p>
        </w:tc>
        <w:tc>
          <w:tcPr>
            <w:tcW w:w="2096" w:type="dxa"/>
          </w:tcPr>
          <w:p w14:paraId="530E7DC0" w14:textId="77777777" w:rsidR="007E0ABC" w:rsidRPr="00EE4757" w:rsidRDefault="007E0ABC" w:rsidP="00D75B62">
            <w:pPr>
              <w:rPr>
                <w:sz w:val="18"/>
                <w:szCs w:val="18"/>
              </w:rPr>
            </w:pPr>
          </w:p>
        </w:tc>
      </w:tr>
      <w:tr w:rsidR="007E0ABC" w:rsidRPr="00EE4757" w14:paraId="7D363E3B" w14:textId="77777777" w:rsidTr="00D75B62">
        <w:tc>
          <w:tcPr>
            <w:tcW w:w="2263" w:type="dxa"/>
          </w:tcPr>
          <w:p w14:paraId="545145D6" w14:textId="77777777" w:rsidR="007E0ABC" w:rsidRPr="00EE4757" w:rsidRDefault="007E0ABC" w:rsidP="00D75B62">
            <w:pPr>
              <w:rPr>
                <w:i/>
                <w:sz w:val="18"/>
                <w:szCs w:val="18"/>
              </w:rPr>
            </w:pPr>
            <w:r w:rsidRPr="00EE4757">
              <w:rPr>
                <w:i/>
                <w:sz w:val="18"/>
                <w:szCs w:val="18"/>
              </w:rPr>
              <w:t>M1 – Collapsed categories 2&amp;3, 4&amp;5</w:t>
            </w:r>
          </w:p>
        </w:tc>
        <w:tc>
          <w:tcPr>
            <w:tcW w:w="1536" w:type="dxa"/>
          </w:tcPr>
          <w:p w14:paraId="4CF0F517" w14:textId="77777777" w:rsidR="007E0ABC" w:rsidRPr="00EE4757" w:rsidRDefault="007E0ABC" w:rsidP="00D75B62">
            <w:pPr>
              <w:rPr>
                <w:sz w:val="18"/>
                <w:szCs w:val="18"/>
              </w:rPr>
            </w:pPr>
            <w:r w:rsidRPr="00EE4757">
              <w:rPr>
                <w:sz w:val="18"/>
                <w:szCs w:val="18"/>
              </w:rPr>
              <w:t>-.14 – 0.28</w:t>
            </w:r>
          </w:p>
        </w:tc>
        <w:tc>
          <w:tcPr>
            <w:tcW w:w="1770" w:type="dxa"/>
          </w:tcPr>
          <w:p w14:paraId="52F73EBC" w14:textId="77777777" w:rsidR="007E0ABC" w:rsidRPr="00EE4757" w:rsidRDefault="007E0ABC" w:rsidP="00D75B62">
            <w:pPr>
              <w:rPr>
                <w:sz w:val="18"/>
                <w:szCs w:val="18"/>
              </w:rPr>
            </w:pPr>
            <w:r w:rsidRPr="00EE4757">
              <w:rPr>
                <w:sz w:val="18"/>
                <w:szCs w:val="18"/>
              </w:rPr>
              <w:t>Item 1 &amp; 2</w:t>
            </w:r>
          </w:p>
        </w:tc>
        <w:tc>
          <w:tcPr>
            <w:tcW w:w="2096" w:type="dxa"/>
          </w:tcPr>
          <w:p w14:paraId="722E81CB" w14:textId="77777777" w:rsidR="007E0ABC" w:rsidRPr="00EE4757" w:rsidRDefault="007E0ABC" w:rsidP="00D75B62">
            <w:pPr>
              <w:rPr>
                <w:sz w:val="18"/>
                <w:szCs w:val="18"/>
              </w:rPr>
            </w:pPr>
            <w:r w:rsidRPr="00EE4757">
              <w:rPr>
                <w:sz w:val="18"/>
                <w:szCs w:val="18"/>
              </w:rPr>
              <w:t xml:space="preserve">1&amp;2 correlated at 0.28 (low dependency). Highlight for any future problems </w:t>
            </w:r>
          </w:p>
        </w:tc>
      </w:tr>
      <w:tr w:rsidR="007E0ABC" w:rsidRPr="00EE4757" w14:paraId="0086E28E" w14:textId="77777777" w:rsidTr="00D75B62">
        <w:tc>
          <w:tcPr>
            <w:tcW w:w="2263" w:type="dxa"/>
          </w:tcPr>
          <w:p w14:paraId="24FE5672" w14:textId="77777777" w:rsidR="007E0ABC" w:rsidRPr="00EE4757" w:rsidRDefault="007E0ABC" w:rsidP="00D75B62">
            <w:pPr>
              <w:rPr>
                <w:i/>
                <w:sz w:val="18"/>
                <w:szCs w:val="18"/>
              </w:rPr>
            </w:pPr>
            <w:r w:rsidRPr="00EE4757">
              <w:rPr>
                <w:i/>
                <w:sz w:val="18"/>
                <w:szCs w:val="18"/>
              </w:rPr>
              <w:t>M2 - misfitting persons removed</w:t>
            </w:r>
          </w:p>
        </w:tc>
        <w:tc>
          <w:tcPr>
            <w:tcW w:w="1536" w:type="dxa"/>
          </w:tcPr>
          <w:p w14:paraId="4C471460" w14:textId="77777777" w:rsidR="007E0ABC" w:rsidRPr="00EE4757" w:rsidRDefault="007E0ABC" w:rsidP="00D75B62">
            <w:pPr>
              <w:rPr>
                <w:sz w:val="18"/>
                <w:szCs w:val="18"/>
              </w:rPr>
            </w:pPr>
            <w:r w:rsidRPr="00EE4757">
              <w:rPr>
                <w:sz w:val="18"/>
                <w:szCs w:val="18"/>
              </w:rPr>
              <w:t>-0.13 - -0.20</w:t>
            </w:r>
          </w:p>
        </w:tc>
        <w:tc>
          <w:tcPr>
            <w:tcW w:w="1770" w:type="dxa"/>
          </w:tcPr>
          <w:p w14:paraId="5DE59338" w14:textId="77777777" w:rsidR="007E0ABC" w:rsidRPr="00EE4757" w:rsidRDefault="007E0ABC" w:rsidP="00D75B62">
            <w:pPr>
              <w:rPr>
                <w:sz w:val="18"/>
                <w:szCs w:val="18"/>
              </w:rPr>
            </w:pPr>
          </w:p>
        </w:tc>
        <w:tc>
          <w:tcPr>
            <w:tcW w:w="2096" w:type="dxa"/>
          </w:tcPr>
          <w:p w14:paraId="4B4DBE35" w14:textId="77777777" w:rsidR="007E0ABC" w:rsidRPr="00EE4757" w:rsidRDefault="007E0ABC" w:rsidP="00D75B62">
            <w:pPr>
              <w:rPr>
                <w:sz w:val="18"/>
                <w:szCs w:val="18"/>
              </w:rPr>
            </w:pPr>
            <w:r w:rsidRPr="00EE4757">
              <w:rPr>
                <w:sz w:val="18"/>
                <w:szCs w:val="18"/>
              </w:rPr>
              <w:t xml:space="preserve"> </w:t>
            </w:r>
          </w:p>
        </w:tc>
      </w:tr>
      <w:tr w:rsidR="007E0ABC" w:rsidRPr="00EE4757" w14:paraId="5F3156B2" w14:textId="77777777" w:rsidTr="00D75B62">
        <w:tc>
          <w:tcPr>
            <w:tcW w:w="2263" w:type="dxa"/>
          </w:tcPr>
          <w:p w14:paraId="51AE1942" w14:textId="77777777" w:rsidR="007E0ABC" w:rsidRPr="00EE4757" w:rsidRDefault="007E0ABC" w:rsidP="00D75B62">
            <w:pPr>
              <w:rPr>
                <w:i/>
                <w:sz w:val="18"/>
                <w:szCs w:val="18"/>
              </w:rPr>
            </w:pPr>
            <w:r w:rsidRPr="00EE4757">
              <w:rPr>
                <w:i/>
                <w:sz w:val="18"/>
                <w:szCs w:val="18"/>
              </w:rPr>
              <w:t>M3 - item 19 removed</w:t>
            </w:r>
          </w:p>
        </w:tc>
        <w:tc>
          <w:tcPr>
            <w:tcW w:w="1536" w:type="dxa"/>
          </w:tcPr>
          <w:p w14:paraId="1F0BD13F" w14:textId="77777777" w:rsidR="007E0ABC" w:rsidRPr="00EE4757" w:rsidRDefault="007E0ABC" w:rsidP="00D75B62">
            <w:pPr>
              <w:rPr>
                <w:sz w:val="18"/>
                <w:szCs w:val="18"/>
              </w:rPr>
            </w:pPr>
            <w:r w:rsidRPr="00EE4757">
              <w:rPr>
                <w:sz w:val="18"/>
                <w:szCs w:val="18"/>
              </w:rPr>
              <w:t>-0.12 - -0.21</w:t>
            </w:r>
          </w:p>
        </w:tc>
        <w:tc>
          <w:tcPr>
            <w:tcW w:w="1770" w:type="dxa"/>
          </w:tcPr>
          <w:p w14:paraId="23671BC8" w14:textId="77777777" w:rsidR="007E0ABC" w:rsidRPr="00EE4757" w:rsidRDefault="007E0ABC" w:rsidP="00D75B62">
            <w:pPr>
              <w:rPr>
                <w:sz w:val="18"/>
                <w:szCs w:val="18"/>
              </w:rPr>
            </w:pPr>
          </w:p>
        </w:tc>
        <w:tc>
          <w:tcPr>
            <w:tcW w:w="2096" w:type="dxa"/>
          </w:tcPr>
          <w:p w14:paraId="45A17C7B" w14:textId="77777777" w:rsidR="007E0ABC" w:rsidRPr="00EE4757" w:rsidRDefault="007E0ABC" w:rsidP="00D75B62">
            <w:pPr>
              <w:rPr>
                <w:sz w:val="18"/>
                <w:szCs w:val="18"/>
              </w:rPr>
            </w:pPr>
          </w:p>
        </w:tc>
      </w:tr>
    </w:tbl>
    <w:p w14:paraId="02D7C69B" w14:textId="77777777" w:rsidR="007E0ABC" w:rsidRPr="0098395C" w:rsidRDefault="007E0ABC" w:rsidP="0098395C">
      <w:pPr>
        <w:rPr>
          <w:szCs w:val="20"/>
        </w:rPr>
      </w:pPr>
    </w:p>
    <w:p w14:paraId="2AEAD6EA" w14:textId="77777777" w:rsidR="007E0ABC" w:rsidRPr="0098395C" w:rsidRDefault="007E0ABC" w:rsidP="0098395C">
      <w:pPr>
        <w:rPr>
          <w:szCs w:val="20"/>
        </w:rPr>
      </w:pPr>
    </w:p>
    <w:p w14:paraId="0E43A81A" w14:textId="77777777" w:rsidR="007E0ABC" w:rsidRPr="0098395C" w:rsidRDefault="007E0ABC" w:rsidP="007E0ABC">
      <w:pPr>
        <w:numPr>
          <w:ilvl w:val="0"/>
          <w:numId w:val="162"/>
        </w:numPr>
        <w:pBdr>
          <w:top w:val="nil"/>
          <w:left w:val="nil"/>
          <w:bottom w:val="nil"/>
          <w:right w:val="nil"/>
          <w:between w:val="nil"/>
        </w:pBdr>
        <w:spacing w:after="160" w:line="259" w:lineRule="auto"/>
        <w:rPr>
          <w:color w:val="000000"/>
          <w:szCs w:val="20"/>
        </w:rPr>
      </w:pPr>
      <w:r w:rsidRPr="0098395C">
        <w:rPr>
          <w:rFonts w:eastAsia="Century Gothic" w:cs="Century Gothic"/>
          <w:color w:val="000000"/>
          <w:szCs w:val="20"/>
        </w:rPr>
        <w:t>Reliability (reliability of persons/items)</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1671"/>
        <w:gridCol w:w="1770"/>
      </w:tblGrid>
      <w:tr w:rsidR="007E0ABC" w:rsidRPr="0098395C" w14:paraId="105C3B6C" w14:textId="77777777" w:rsidTr="00D75B62">
        <w:tc>
          <w:tcPr>
            <w:tcW w:w="2263" w:type="dxa"/>
          </w:tcPr>
          <w:p w14:paraId="5494B6CD" w14:textId="77777777" w:rsidR="007E0ABC" w:rsidRPr="0098395C" w:rsidRDefault="007E0ABC" w:rsidP="00D75B62">
            <w:pPr>
              <w:rPr>
                <w:szCs w:val="20"/>
              </w:rPr>
            </w:pPr>
          </w:p>
        </w:tc>
        <w:tc>
          <w:tcPr>
            <w:tcW w:w="3306" w:type="dxa"/>
            <w:gridSpan w:val="2"/>
          </w:tcPr>
          <w:p w14:paraId="6835A9A4" w14:textId="77777777" w:rsidR="007E0ABC" w:rsidRPr="0098395C" w:rsidRDefault="007E0ABC" w:rsidP="00D75B62">
            <w:pPr>
              <w:rPr>
                <w:b/>
                <w:szCs w:val="20"/>
              </w:rPr>
            </w:pPr>
            <w:r w:rsidRPr="0098395C">
              <w:rPr>
                <w:b/>
                <w:szCs w:val="20"/>
              </w:rPr>
              <w:t>Person</w:t>
            </w:r>
          </w:p>
        </w:tc>
        <w:tc>
          <w:tcPr>
            <w:tcW w:w="3441" w:type="dxa"/>
            <w:gridSpan w:val="2"/>
          </w:tcPr>
          <w:p w14:paraId="6DB9EA3E" w14:textId="77777777" w:rsidR="007E0ABC" w:rsidRPr="0098395C" w:rsidRDefault="007E0ABC" w:rsidP="00D75B62">
            <w:pPr>
              <w:rPr>
                <w:b/>
                <w:szCs w:val="20"/>
              </w:rPr>
            </w:pPr>
            <w:r w:rsidRPr="0098395C">
              <w:rPr>
                <w:b/>
                <w:szCs w:val="20"/>
              </w:rPr>
              <w:t>Item</w:t>
            </w:r>
          </w:p>
        </w:tc>
      </w:tr>
      <w:tr w:rsidR="007E0ABC" w:rsidRPr="0098395C" w14:paraId="481642BB" w14:textId="77777777" w:rsidTr="00D75B62">
        <w:tc>
          <w:tcPr>
            <w:tcW w:w="2263" w:type="dxa"/>
          </w:tcPr>
          <w:p w14:paraId="3D604B1E" w14:textId="77777777" w:rsidR="007E0ABC" w:rsidRPr="0098395C" w:rsidRDefault="007E0ABC" w:rsidP="00D75B62">
            <w:pPr>
              <w:rPr>
                <w:b/>
                <w:szCs w:val="20"/>
              </w:rPr>
            </w:pPr>
            <w:r w:rsidRPr="0098395C">
              <w:rPr>
                <w:b/>
                <w:szCs w:val="20"/>
              </w:rPr>
              <w:t>Model</w:t>
            </w:r>
          </w:p>
        </w:tc>
        <w:tc>
          <w:tcPr>
            <w:tcW w:w="1536" w:type="dxa"/>
          </w:tcPr>
          <w:p w14:paraId="322E902C" w14:textId="77777777" w:rsidR="007E0ABC" w:rsidRPr="0098395C" w:rsidRDefault="007E0ABC" w:rsidP="00D75B62">
            <w:pPr>
              <w:rPr>
                <w:szCs w:val="20"/>
              </w:rPr>
            </w:pPr>
            <w:r w:rsidRPr="0098395C">
              <w:rPr>
                <w:szCs w:val="20"/>
              </w:rPr>
              <w:t>Reliability</w:t>
            </w:r>
          </w:p>
        </w:tc>
        <w:tc>
          <w:tcPr>
            <w:tcW w:w="1770" w:type="dxa"/>
          </w:tcPr>
          <w:p w14:paraId="3F5DAC65" w14:textId="77777777" w:rsidR="007E0ABC" w:rsidRPr="0098395C" w:rsidRDefault="007E0ABC" w:rsidP="00D75B62">
            <w:pPr>
              <w:rPr>
                <w:szCs w:val="20"/>
              </w:rPr>
            </w:pPr>
            <w:r w:rsidRPr="0098395C">
              <w:rPr>
                <w:szCs w:val="20"/>
              </w:rPr>
              <w:t>Separation index</w:t>
            </w:r>
          </w:p>
        </w:tc>
        <w:tc>
          <w:tcPr>
            <w:tcW w:w="1671" w:type="dxa"/>
          </w:tcPr>
          <w:p w14:paraId="07AB7251" w14:textId="77777777" w:rsidR="007E0ABC" w:rsidRPr="0098395C" w:rsidRDefault="007E0ABC" w:rsidP="00D75B62">
            <w:pPr>
              <w:rPr>
                <w:szCs w:val="20"/>
              </w:rPr>
            </w:pPr>
            <w:r w:rsidRPr="0098395C">
              <w:rPr>
                <w:szCs w:val="20"/>
              </w:rPr>
              <w:t>Reliability</w:t>
            </w:r>
          </w:p>
        </w:tc>
        <w:tc>
          <w:tcPr>
            <w:tcW w:w="1770" w:type="dxa"/>
          </w:tcPr>
          <w:p w14:paraId="574D35D0" w14:textId="77777777" w:rsidR="007E0ABC" w:rsidRPr="0098395C" w:rsidRDefault="007E0ABC" w:rsidP="00D75B62">
            <w:pPr>
              <w:rPr>
                <w:szCs w:val="20"/>
              </w:rPr>
            </w:pPr>
            <w:r w:rsidRPr="0098395C">
              <w:rPr>
                <w:szCs w:val="20"/>
              </w:rPr>
              <w:t>Separation index</w:t>
            </w:r>
          </w:p>
        </w:tc>
      </w:tr>
      <w:tr w:rsidR="007E0ABC" w:rsidRPr="0098395C" w14:paraId="67BDD0BC" w14:textId="77777777" w:rsidTr="00D75B62">
        <w:tc>
          <w:tcPr>
            <w:tcW w:w="2263" w:type="dxa"/>
          </w:tcPr>
          <w:p w14:paraId="190AD56E" w14:textId="77777777" w:rsidR="007E0ABC" w:rsidRPr="0098395C" w:rsidRDefault="007E0ABC" w:rsidP="00D75B62">
            <w:pPr>
              <w:rPr>
                <w:i/>
                <w:szCs w:val="20"/>
              </w:rPr>
            </w:pPr>
            <w:r w:rsidRPr="0098395C">
              <w:rPr>
                <w:i/>
                <w:szCs w:val="20"/>
              </w:rPr>
              <w:lastRenderedPageBreak/>
              <w:t>Original model</w:t>
            </w:r>
          </w:p>
        </w:tc>
        <w:tc>
          <w:tcPr>
            <w:tcW w:w="1536" w:type="dxa"/>
          </w:tcPr>
          <w:p w14:paraId="4FAA9A1A" w14:textId="77777777" w:rsidR="007E0ABC" w:rsidRPr="0098395C" w:rsidRDefault="007E0ABC" w:rsidP="00D75B62">
            <w:pPr>
              <w:rPr>
                <w:szCs w:val="20"/>
              </w:rPr>
            </w:pPr>
            <w:r w:rsidRPr="0098395C">
              <w:rPr>
                <w:szCs w:val="20"/>
              </w:rPr>
              <w:t>0.81</w:t>
            </w:r>
          </w:p>
        </w:tc>
        <w:tc>
          <w:tcPr>
            <w:tcW w:w="1770" w:type="dxa"/>
          </w:tcPr>
          <w:p w14:paraId="5EE6B9AD" w14:textId="77777777" w:rsidR="007E0ABC" w:rsidRPr="0098395C" w:rsidRDefault="007E0ABC" w:rsidP="00D75B62">
            <w:pPr>
              <w:rPr>
                <w:szCs w:val="20"/>
              </w:rPr>
            </w:pPr>
            <w:r w:rsidRPr="0098395C">
              <w:rPr>
                <w:szCs w:val="20"/>
              </w:rPr>
              <w:t>2.1</w:t>
            </w:r>
          </w:p>
        </w:tc>
        <w:tc>
          <w:tcPr>
            <w:tcW w:w="1671" w:type="dxa"/>
          </w:tcPr>
          <w:p w14:paraId="546E00B5" w14:textId="77777777" w:rsidR="007E0ABC" w:rsidRPr="0098395C" w:rsidRDefault="007E0ABC" w:rsidP="00D75B62">
            <w:pPr>
              <w:rPr>
                <w:szCs w:val="20"/>
              </w:rPr>
            </w:pPr>
            <w:r w:rsidRPr="0098395C">
              <w:rPr>
                <w:szCs w:val="20"/>
              </w:rPr>
              <w:t>0.99</w:t>
            </w:r>
          </w:p>
        </w:tc>
        <w:tc>
          <w:tcPr>
            <w:tcW w:w="1770" w:type="dxa"/>
          </w:tcPr>
          <w:p w14:paraId="1B1DF7F2" w14:textId="77777777" w:rsidR="007E0ABC" w:rsidRPr="0098395C" w:rsidRDefault="007E0ABC" w:rsidP="00D75B62">
            <w:pPr>
              <w:rPr>
                <w:szCs w:val="20"/>
              </w:rPr>
            </w:pPr>
            <w:r w:rsidRPr="0098395C">
              <w:rPr>
                <w:szCs w:val="20"/>
              </w:rPr>
              <w:t>9.29</w:t>
            </w:r>
          </w:p>
        </w:tc>
      </w:tr>
      <w:tr w:rsidR="007E0ABC" w:rsidRPr="0098395C" w14:paraId="0AAB6170" w14:textId="77777777" w:rsidTr="00D75B62">
        <w:tc>
          <w:tcPr>
            <w:tcW w:w="2263" w:type="dxa"/>
          </w:tcPr>
          <w:p w14:paraId="77FDA39F" w14:textId="77777777" w:rsidR="007E0ABC" w:rsidRPr="0098395C" w:rsidRDefault="007E0ABC" w:rsidP="00D75B62">
            <w:pPr>
              <w:rPr>
                <w:i/>
                <w:szCs w:val="20"/>
              </w:rPr>
            </w:pPr>
            <w:r w:rsidRPr="0098395C">
              <w:rPr>
                <w:i/>
                <w:szCs w:val="20"/>
              </w:rPr>
              <w:t>M1a item 1 dropped)</w:t>
            </w:r>
          </w:p>
        </w:tc>
        <w:tc>
          <w:tcPr>
            <w:tcW w:w="1536" w:type="dxa"/>
          </w:tcPr>
          <w:p w14:paraId="587AF71B" w14:textId="77777777" w:rsidR="007E0ABC" w:rsidRPr="0098395C" w:rsidRDefault="007E0ABC" w:rsidP="00D75B62">
            <w:pPr>
              <w:rPr>
                <w:szCs w:val="20"/>
              </w:rPr>
            </w:pPr>
            <w:r w:rsidRPr="0098395C">
              <w:rPr>
                <w:szCs w:val="20"/>
              </w:rPr>
              <w:t>0.81</w:t>
            </w:r>
          </w:p>
        </w:tc>
        <w:tc>
          <w:tcPr>
            <w:tcW w:w="1770" w:type="dxa"/>
          </w:tcPr>
          <w:p w14:paraId="0066B9D4" w14:textId="77777777" w:rsidR="007E0ABC" w:rsidRPr="0098395C" w:rsidRDefault="007E0ABC" w:rsidP="00D75B62">
            <w:pPr>
              <w:rPr>
                <w:szCs w:val="20"/>
              </w:rPr>
            </w:pPr>
            <w:r w:rsidRPr="0098395C">
              <w:rPr>
                <w:szCs w:val="20"/>
              </w:rPr>
              <w:t>2.07</w:t>
            </w:r>
          </w:p>
        </w:tc>
        <w:tc>
          <w:tcPr>
            <w:tcW w:w="1671" w:type="dxa"/>
          </w:tcPr>
          <w:p w14:paraId="7FF3A685" w14:textId="77777777" w:rsidR="007E0ABC" w:rsidRPr="0098395C" w:rsidRDefault="007E0ABC" w:rsidP="00D75B62">
            <w:pPr>
              <w:rPr>
                <w:szCs w:val="20"/>
              </w:rPr>
            </w:pPr>
            <w:r w:rsidRPr="0098395C">
              <w:rPr>
                <w:szCs w:val="20"/>
              </w:rPr>
              <w:t>0.99</w:t>
            </w:r>
          </w:p>
        </w:tc>
        <w:tc>
          <w:tcPr>
            <w:tcW w:w="1770" w:type="dxa"/>
          </w:tcPr>
          <w:p w14:paraId="41483879" w14:textId="77777777" w:rsidR="007E0ABC" w:rsidRPr="0098395C" w:rsidRDefault="007E0ABC" w:rsidP="00D75B62">
            <w:pPr>
              <w:rPr>
                <w:szCs w:val="20"/>
              </w:rPr>
            </w:pPr>
            <w:r w:rsidRPr="0098395C">
              <w:rPr>
                <w:szCs w:val="20"/>
              </w:rPr>
              <w:t>9.80</w:t>
            </w:r>
          </w:p>
        </w:tc>
      </w:tr>
      <w:tr w:rsidR="007E0ABC" w:rsidRPr="0098395C" w14:paraId="07ACE38F" w14:textId="77777777" w:rsidTr="00D75B62">
        <w:tc>
          <w:tcPr>
            <w:tcW w:w="2263" w:type="dxa"/>
          </w:tcPr>
          <w:p w14:paraId="6BC5B33E" w14:textId="77777777" w:rsidR="007E0ABC" w:rsidRPr="0098395C" w:rsidRDefault="007E0ABC" w:rsidP="00D75B62">
            <w:pPr>
              <w:rPr>
                <w:i/>
                <w:szCs w:val="20"/>
              </w:rPr>
            </w:pPr>
            <w:r w:rsidRPr="0098395C">
              <w:rPr>
                <w:i/>
                <w:szCs w:val="20"/>
              </w:rPr>
              <w:t>M1 – Collapsed categories 2&amp;3, 4&amp;5</w:t>
            </w:r>
          </w:p>
        </w:tc>
        <w:tc>
          <w:tcPr>
            <w:tcW w:w="1536" w:type="dxa"/>
          </w:tcPr>
          <w:p w14:paraId="1A7A3C26" w14:textId="77777777" w:rsidR="007E0ABC" w:rsidRPr="0098395C" w:rsidRDefault="007E0ABC" w:rsidP="00D75B62">
            <w:pPr>
              <w:rPr>
                <w:szCs w:val="20"/>
              </w:rPr>
            </w:pPr>
            <w:r w:rsidRPr="0098395C">
              <w:rPr>
                <w:szCs w:val="20"/>
              </w:rPr>
              <w:t>0.81</w:t>
            </w:r>
          </w:p>
        </w:tc>
        <w:tc>
          <w:tcPr>
            <w:tcW w:w="1770" w:type="dxa"/>
          </w:tcPr>
          <w:p w14:paraId="5E624390" w14:textId="77777777" w:rsidR="007E0ABC" w:rsidRPr="0098395C" w:rsidRDefault="007E0ABC" w:rsidP="00D75B62">
            <w:pPr>
              <w:rPr>
                <w:szCs w:val="20"/>
              </w:rPr>
            </w:pPr>
            <w:r w:rsidRPr="0098395C">
              <w:rPr>
                <w:szCs w:val="20"/>
              </w:rPr>
              <w:t>2.09</w:t>
            </w:r>
          </w:p>
        </w:tc>
        <w:tc>
          <w:tcPr>
            <w:tcW w:w="1671" w:type="dxa"/>
          </w:tcPr>
          <w:p w14:paraId="7AC6C945" w14:textId="77777777" w:rsidR="007E0ABC" w:rsidRPr="0098395C" w:rsidRDefault="007E0ABC" w:rsidP="00D75B62">
            <w:pPr>
              <w:rPr>
                <w:szCs w:val="20"/>
              </w:rPr>
            </w:pPr>
            <w:r w:rsidRPr="0098395C">
              <w:rPr>
                <w:szCs w:val="20"/>
              </w:rPr>
              <w:t>0.99</w:t>
            </w:r>
          </w:p>
        </w:tc>
        <w:tc>
          <w:tcPr>
            <w:tcW w:w="1770" w:type="dxa"/>
          </w:tcPr>
          <w:p w14:paraId="372453BA" w14:textId="77777777" w:rsidR="007E0ABC" w:rsidRPr="0098395C" w:rsidRDefault="007E0ABC" w:rsidP="00D75B62">
            <w:pPr>
              <w:rPr>
                <w:szCs w:val="20"/>
              </w:rPr>
            </w:pPr>
            <w:r w:rsidRPr="0098395C">
              <w:rPr>
                <w:szCs w:val="20"/>
              </w:rPr>
              <w:t>9.02</w:t>
            </w:r>
          </w:p>
        </w:tc>
      </w:tr>
      <w:tr w:rsidR="007E0ABC" w:rsidRPr="0098395C" w14:paraId="5601A8DB" w14:textId="77777777" w:rsidTr="00D75B62">
        <w:tc>
          <w:tcPr>
            <w:tcW w:w="2263" w:type="dxa"/>
          </w:tcPr>
          <w:p w14:paraId="0EA2A863" w14:textId="77777777" w:rsidR="007E0ABC" w:rsidRPr="0098395C" w:rsidRDefault="007E0ABC" w:rsidP="00D75B62">
            <w:pPr>
              <w:rPr>
                <w:i/>
                <w:szCs w:val="20"/>
              </w:rPr>
            </w:pPr>
            <w:r w:rsidRPr="0098395C">
              <w:rPr>
                <w:i/>
                <w:szCs w:val="20"/>
              </w:rPr>
              <w:t>M2 - misfitting persons removed</w:t>
            </w:r>
          </w:p>
        </w:tc>
        <w:tc>
          <w:tcPr>
            <w:tcW w:w="1536" w:type="dxa"/>
          </w:tcPr>
          <w:p w14:paraId="1122A3BA" w14:textId="77777777" w:rsidR="007E0ABC" w:rsidRPr="0098395C" w:rsidRDefault="007E0ABC" w:rsidP="00D75B62">
            <w:pPr>
              <w:rPr>
                <w:szCs w:val="20"/>
              </w:rPr>
            </w:pPr>
            <w:r w:rsidRPr="0098395C">
              <w:rPr>
                <w:szCs w:val="20"/>
              </w:rPr>
              <w:t>0.83</w:t>
            </w:r>
          </w:p>
        </w:tc>
        <w:tc>
          <w:tcPr>
            <w:tcW w:w="1770" w:type="dxa"/>
          </w:tcPr>
          <w:p w14:paraId="78EFCE2A" w14:textId="77777777" w:rsidR="007E0ABC" w:rsidRPr="0098395C" w:rsidRDefault="007E0ABC" w:rsidP="00D75B62">
            <w:pPr>
              <w:rPr>
                <w:szCs w:val="20"/>
              </w:rPr>
            </w:pPr>
            <w:r w:rsidRPr="0098395C">
              <w:rPr>
                <w:szCs w:val="20"/>
              </w:rPr>
              <w:t>2.18</w:t>
            </w:r>
          </w:p>
        </w:tc>
        <w:tc>
          <w:tcPr>
            <w:tcW w:w="1671" w:type="dxa"/>
          </w:tcPr>
          <w:p w14:paraId="22C518EC" w14:textId="77777777" w:rsidR="007E0ABC" w:rsidRPr="0098395C" w:rsidRDefault="007E0ABC" w:rsidP="00D75B62">
            <w:pPr>
              <w:rPr>
                <w:szCs w:val="20"/>
              </w:rPr>
            </w:pPr>
            <w:r w:rsidRPr="0098395C">
              <w:rPr>
                <w:szCs w:val="20"/>
              </w:rPr>
              <w:t>0.99</w:t>
            </w:r>
          </w:p>
        </w:tc>
        <w:tc>
          <w:tcPr>
            <w:tcW w:w="1770" w:type="dxa"/>
          </w:tcPr>
          <w:p w14:paraId="7E59CC5B" w14:textId="77777777" w:rsidR="007E0ABC" w:rsidRPr="0098395C" w:rsidRDefault="007E0ABC" w:rsidP="00D75B62">
            <w:pPr>
              <w:rPr>
                <w:szCs w:val="20"/>
              </w:rPr>
            </w:pPr>
            <w:r w:rsidRPr="0098395C">
              <w:rPr>
                <w:szCs w:val="20"/>
              </w:rPr>
              <w:t>9.43</w:t>
            </w:r>
          </w:p>
        </w:tc>
      </w:tr>
      <w:tr w:rsidR="007E0ABC" w:rsidRPr="0098395C" w14:paraId="7DF7B79A" w14:textId="77777777" w:rsidTr="00D75B62">
        <w:trPr>
          <w:trHeight w:val="718"/>
        </w:trPr>
        <w:tc>
          <w:tcPr>
            <w:tcW w:w="2263" w:type="dxa"/>
          </w:tcPr>
          <w:p w14:paraId="18B7C5AF" w14:textId="77777777" w:rsidR="007E0ABC" w:rsidRPr="0098395C" w:rsidRDefault="007E0ABC" w:rsidP="00D75B62">
            <w:pPr>
              <w:rPr>
                <w:i/>
                <w:szCs w:val="20"/>
              </w:rPr>
            </w:pPr>
            <w:r w:rsidRPr="0098395C">
              <w:rPr>
                <w:i/>
                <w:szCs w:val="20"/>
              </w:rPr>
              <w:t>M3 - item 19 removed</w:t>
            </w:r>
          </w:p>
        </w:tc>
        <w:tc>
          <w:tcPr>
            <w:tcW w:w="1536" w:type="dxa"/>
          </w:tcPr>
          <w:p w14:paraId="5D27822B" w14:textId="77777777" w:rsidR="007E0ABC" w:rsidRPr="0098395C" w:rsidRDefault="007E0ABC" w:rsidP="00D75B62">
            <w:pPr>
              <w:rPr>
                <w:szCs w:val="20"/>
              </w:rPr>
            </w:pPr>
            <w:r w:rsidRPr="0098395C">
              <w:rPr>
                <w:szCs w:val="20"/>
              </w:rPr>
              <w:t>0.82</w:t>
            </w:r>
          </w:p>
        </w:tc>
        <w:tc>
          <w:tcPr>
            <w:tcW w:w="1770" w:type="dxa"/>
          </w:tcPr>
          <w:p w14:paraId="4FB9A348" w14:textId="77777777" w:rsidR="007E0ABC" w:rsidRPr="0098395C" w:rsidRDefault="007E0ABC" w:rsidP="00D75B62">
            <w:pPr>
              <w:rPr>
                <w:szCs w:val="20"/>
              </w:rPr>
            </w:pPr>
            <w:r w:rsidRPr="0098395C">
              <w:rPr>
                <w:szCs w:val="20"/>
              </w:rPr>
              <w:t>2.14</w:t>
            </w:r>
          </w:p>
        </w:tc>
        <w:tc>
          <w:tcPr>
            <w:tcW w:w="1671" w:type="dxa"/>
          </w:tcPr>
          <w:p w14:paraId="1FB9DE12" w14:textId="77777777" w:rsidR="007E0ABC" w:rsidRPr="0098395C" w:rsidRDefault="007E0ABC" w:rsidP="00D75B62">
            <w:pPr>
              <w:rPr>
                <w:szCs w:val="20"/>
              </w:rPr>
            </w:pPr>
            <w:r w:rsidRPr="0098395C">
              <w:rPr>
                <w:szCs w:val="20"/>
              </w:rPr>
              <w:t>0.99</w:t>
            </w:r>
          </w:p>
        </w:tc>
        <w:tc>
          <w:tcPr>
            <w:tcW w:w="1770" w:type="dxa"/>
          </w:tcPr>
          <w:p w14:paraId="38891502" w14:textId="77777777" w:rsidR="007E0ABC" w:rsidRPr="0098395C" w:rsidRDefault="007E0ABC" w:rsidP="00D75B62">
            <w:pPr>
              <w:rPr>
                <w:szCs w:val="20"/>
              </w:rPr>
            </w:pPr>
            <w:r w:rsidRPr="0098395C">
              <w:rPr>
                <w:szCs w:val="20"/>
              </w:rPr>
              <w:t>9.93</w:t>
            </w:r>
          </w:p>
        </w:tc>
      </w:tr>
    </w:tbl>
    <w:p w14:paraId="234B92E5" w14:textId="77777777" w:rsidR="007E0ABC" w:rsidRPr="0098395C" w:rsidRDefault="007E0ABC" w:rsidP="0098395C">
      <w:pPr>
        <w:rPr>
          <w:szCs w:val="20"/>
        </w:rPr>
      </w:pPr>
    </w:p>
    <w:p w14:paraId="254F3016" w14:textId="77777777" w:rsidR="007E0ABC" w:rsidRPr="00461BB1" w:rsidRDefault="007E0ABC" w:rsidP="007E0ABC">
      <w:pPr>
        <w:numPr>
          <w:ilvl w:val="0"/>
          <w:numId w:val="162"/>
        </w:numPr>
        <w:pBdr>
          <w:top w:val="nil"/>
          <w:left w:val="nil"/>
          <w:bottom w:val="nil"/>
          <w:right w:val="nil"/>
          <w:between w:val="nil"/>
        </w:pBdr>
        <w:spacing w:after="160" w:line="259" w:lineRule="auto"/>
        <w:rPr>
          <w:color w:val="000000"/>
          <w:szCs w:val="20"/>
        </w:rPr>
      </w:pPr>
      <w:r w:rsidRPr="0098395C">
        <w:rPr>
          <w:rFonts w:eastAsia="Century Gothic" w:cs="Century Gothic"/>
          <w:color w:val="000000"/>
          <w:szCs w:val="20"/>
        </w:rPr>
        <w:t xml:space="preserve">Construct validity </w:t>
      </w: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1125"/>
        <w:gridCol w:w="1320"/>
        <w:gridCol w:w="1185"/>
        <w:gridCol w:w="1080"/>
        <w:gridCol w:w="1485"/>
        <w:gridCol w:w="36"/>
        <w:gridCol w:w="2079"/>
      </w:tblGrid>
      <w:tr w:rsidR="007E0ABC" w:rsidRPr="00EE4757" w14:paraId="723BAC18" w14:textId="77777777" w:rsidTr="00EE4757">
        <w:tc>
          <w:tcPr>
            <w:tcW w:w="1140" w:type="dxa"/>
          </w:tcPr>
          <w:p w14:paraId="69F48E1D" w14:textId="77777777" w:rsidR="007E0ABC" w:rsidRPr="00EE4757" w:rsidRDefault="007E0ABC" w:rsidP="00D75B62">
            <w:pPr>
              <w:rPr>
                <w:bCs/>
                <w:sz w:val="18"/>
                <w:szCs w:val="18"/>
              </w:rPr>
            </w:pPr>
          </w:p>
        </w:tc>
        <w:tc>
          <w:tcPr>
            <w:tcW w:w="1125" w:type="dxa"/>
          </w:tcPr>
          <w:p w14:paraId="65FCCB5F" w14:textId="77777777" w:rsidR="007E0ABC" w:rsidRPr="00EE4757" w:rsidRDefault="007E0ABC" w:rsidP="00D75B62">
            <w:pPr>
              <w:rPr>
                <w:bCs/>
                <w:sz w:val="18"/>
                <w:szCs w:val="18"/>
              </w:rPr>
            </w:pPr>
            <w:r w:rsidRPr="00EE4757">
              <w:rPr>
                <w:bCs/>
                <w:sz w:val="18"/>
                <w:szCs w:val="18"/>
              </w:rPr>
              <w:t>Spread of persons (logits)</w:t>
            </w:r>
          </w:p>
        </w:tc>
        <w:tc>
          <w:tcPr>
            <w:tcW w:w="1320" w:type="dxa"/>
          </w:tcPr>
          <w:p w14:paraId="2E12D760" w14:textId="77777777" w:rsidR="007E0ABC" w:rsidRPr="00EE4757" w:rsidRDefault="007E0ABC" w:rsidP="00D75B62">
            <w:pPr>
              <w:rPr>
                <w:bCs/>
                <w:sz w:val="18"/>
                <w:szCs w:val="18"/>
              </w:rPr>
            </w:pPr>
            <w:r w:rsidRPr="00EE4757">
              <w:rPr>
                <w:bCs/>
                <w:sz w:val="18"/>
                <w:szCs w:val="18"/>
              </w:rPr>
              <w:t>‘Ruler’/Spread of items (logits)</w:t>
            </w:r>
          </w:p>
        </w:tc>
        <w:tc>
          <w:tcPr>
            <w:tcW w:w="1185" w:type="dxa"/>
          </w:tcPr>
          <w:p w14:paraId="23DD4BE1" w14:textId="77777777" w:rsidR="007E0ABC" w:rsidRPr="00EE4757" w:rsidRDefault="007E0ABC" w:rsidP="00D75B62">
            <w:pPr>
              <w:rPr>
                <w:bCs/>
                <w:sz w:val="18"/>
                <w:szCs w:val="18"/>
              </w:rPr>
            </w:pPr>
            <w:r w:rsidRPr="00EE4757">
              <w:rPr>
                <w:bCs/>
                <w:sz w:val="18"/>
                <w:szCs w:val="18"/>
              </w:rPr>
              <w:t>Overlapping items</w:t>
            </w:r>
          </w:p>
        </w:tc>
        <w:tc>
          <w:tcPr>
            <w:tcW w:w="1080" w:type="dxa"/>
          </w:tcPr>
          <w:p w14:paraId="7BB4AD95" w14:textId="77777777" w:rsidR="007E0ABC" w:rsidRPr="00EE4757" w:rsidRDefault="007E0ABC" w:rsidP="00D75B62">
            <w:pPr>
              <w:rPr>
                <w:bCs/>
                <w:sz w:val="18"/>
                <w:szCs w:val="18"/>
              </w:rPr>
            </w:pPr>
            <w:r w:rsidRPr="00EE4757">
              <w:rPr>
                <w:bCs/>
                <w:sz w:val="18"/>
                <w:szCs w:val="18"/>
              </w:rPr>
              <w:t>Item gaps</w:t>
            </w:r>
          </w:p>
        </w:tc>
        <w:tc>
          <w:tcPr>
            <w:tcW w:w="1521" w:type="dxa"/>
            <w:gridSpan w:val="2"/>
          </w:tcPr>
          <w:p w14:paraId="5D742BD5" w14:textId="77777777" w:rsidR="007E0ABC" w:rsidRPr="00EE4757" w:rsidRDefault="007E0ABC" w:rsidP="00D75B62">
            <w:pPr>
              <w:rPr>
                <w:bCs/>
                <w:sz w:val="18"/>
                <w:szCs w:val="18"/>
              </w:rPr>
            </w:pPr>
            <w:r w:rsidRPr="00EE4757">
              <w:rPr>
                <w:bCs/>
                <w:sz w:val="18"/>
                <w:szCs w:val="18"/>
              </w:rPr>
              <w:t>Question order</w:t>
            </w:r>
          </w:p>
        </w:tc>
        <w:tc>
          <w:tcPr>
            <w:tcW w:w="2079" w:type="dxa"/>
          </w:tcPr>
          <w:p w14:paraId="4CC26A36" w14:textId="77777777" w:rsidR="007E0ABC" w:rsidRPr="00EE4757" w:rsidRDefault="007E0ABC" w:rsidP="00D75B62">
            <w:pPr>
              <w:rPr>
                <w:bCs/>
                <w:sz w:val="18"/>
                <w:szCs w:val="18"/>
              </w:rPr>
            </w:pPr>
            <w:r w:rsidRPr="00EE4757">
              <w:rPr>
                <w:bCs/>
                <w:sz w:val="18"/>
                <w:szCs w:val="18"/>
              </w:rPr>
              <w:t>Recommendations/</w:t>
            </w:r>
          </w:p>
          <w:p w14:paraId="59717FAB" w14:textId="77777777" w:rsidR="007E0ABC" w:rsidRPr="00EE4757" w:rsidRDefault="007E0ABC" w:rsidP="00D75B62">
            <w:pPr>
              <w:rPr>
                <w:bCs/>
                <w:sz w:val="18"/>
                <w:szCs w:val="18"/>
              </w:rPr>
            </w:pPr>
            <w:r w:rsidRPr="00EE4757">
              <w:rPr>
                <w:bCs/>
                <w:sz w:val="18"/>
                <w:szCs w:val="18"/>
              </w:rPr>
              <w:t>comments</w:t>
            </w:r>
          </w:p>
        </w:tc>
      </w:tr>
      <w:tr w:rsidR="007E0ABC" w:rsidRPr="00EE4757" w14:paraId="75D27892" w14:textId="77777777" w:rsidTr="00D75B62">
        <w:tc>
          <w:tcPr>
            <w:tcW w:w="1140" w:type="dxa"/>
          </w:tcPr>
          <w:p w14:paraId="764600EA" w14:textId="77777777" w:rsidR="007E0ABC" w:rsidRPr="00EE4757" w:rsidRDefault="007E0ABC" w:rsidP="00D75B62">
            <w:pPr>
              <w:rPr>
                <w:bCs/>
                <w:sz w:val="18"/>
                <w:szCs w:val="18"/>
              </w:rPr>
            </w:pPr>
            <w:r w:rsidRPr="00EE4757">
              <w:rPr>
                <w:bCs/>
                <w:sz w:val="18"/>
                <w:szCs w:val="18"/>
              </w:rPr>
              <w:t>Original</w:t>
            </w:r>
          </w:p>
        </w:tc>
        <w:tc>
          <w:tcPr>
            <w:tcW w:w="1125" w:type="dxa"/>
          </w:tcPr>
          <w:p w14:paraId="769DF5EF" w14:textId="77777777" w:rsidR="007E0ABC" w:rsidRPr="00EE4757" w:rsidRDefault="007E0ABC" w:rsidP="00D75B62">
            <w:pPr>
              <w:rPr>
                <w:bCs/>
                <w:sz w:val="18"/>
                <w:szCs w:val="18"/>
              </w:rPr>
            </w:pPr>
          </w:p>
        </w:tc>
        <w:tc>
          <w:tcPr>
            <w:tcW w:w="1320" w:type="dxa"/>
          </w:tcPr>
          <w:p w14:paraId="24F0C571" w14:textId="77777777" w:rsidR="007E0ABC" w:rsidRPr="00EE4757" w:rsidRDefault="007E0ABC" w:rsidP="00D75B62">
            <w:pPr>
              <w:rPr>
                <w:bCs/>
                <w:sz w:val="18"/>
                <w:szCs w:val="18"/>
              </w:rPr>
            </w:pPr>
          </w:p>
        </w:tc>
        <w:tc>
          <w:tcPr>
            <w:tcW w:w="1185" w:type="dxa"/>
          </w:tcPr>
          <w:p w14:paraId="43D33E04" w14:textId="77777777" w:rsidR="007E0ABC" w:rsidRPr="00EE4757" w:rsidRDefault="007E0ABC" w:rsidP="00D75B62">
            <w:pPr>
              <w:rPr>
                <w:bCs/>
                <w:sz w:val="18"/>
                <w:szCs w:val="18"/>
              </w:rPr>
            </w:pPr>
            <w:r w:rsidRPr="00EE4757">
              <w:rPr>
                <w:bCs/>
                <w:sz w:val="18"/>
                <w:szCs w:val="18"/>
              </w:rPr>
              <w:t>1/3, 19/2/27</w:t>
            </w:r>
          </w:p>
        </w:tc>
        <w:tc>
          <w:tcPr>
            <w:tcW w:w="1080" w:type="dxa"/>
          </w:tcPr>
          <w:p w14:paraId="19FF019D" w14:textId="77777777" w:rsidR="007E0ABC" w:rsidRPr="00EE4757" w:rsidRDefault="007E0ABC" w:rsidP="00D75B62">
            <w:pPr>
              <w:rPr>
                <w:bCs/>
                <w:sz w:val="18"/>
                <w:szCs w:val="18"/>
              </w:rPr>
            </w:pPr>
          </w:p>
        </w:tc>
        <w:tc>
          <w:tcPr>
            <w:tcW w:w="1485" w:type="dxa"/>
          </w:tcPr>
          <w:p w14:paraId="66ED9590" w14:textId="77777777" w:rsidR="007E0ABC" w:rsidRPr="00EE4757" w:rsidRDefault="007E0ABC" w:rsidP="00D75B62">
            <w:pPr>
              <w:rPr>
                <w:bCs/>
                <w:sz w:val="18"/>
                <w:szCs w:val="18"/>
              </w:rPr>
            </w:pPr>
            <w:r w:rsidRPr="00EE4757">
              <w:rPr>
                <w:bCs/>
                <w:sz w:val="18"/>
                <w:szCs w:val="18"/>
              </w:rPr>
              <w:t>10-25-18-22-1/3-19/2/27-20-29</w:t>
            </w:r>
          </w:p>
        </w:tc>
        <w:tc>
          <w:tcPr>
            <w:tcW w:w="2115" w:type="dxa"/>
            <w:gridSpan w:val="2"/>
          </w:tcPr>
          <w:p w14:paraId="438F91A0" w14:textId="77777777" w:rsidR="007E0ABC" w:rsidRPr="00EE4757" w:rsidRDefault="007E0ABC" w:rsidP="00D75B62">
            <w:pPr>
              <w:rPr>
                <w:bCs/>
                <w:sz w:val="18"/>
                <w:szCs w:val="18"/>
              </w:rPr>
            </w:pPr>
          </w:p>
        </w:tc>
      </w:tr>
      <w:tr w:rsidR="007E0ABC" w:rsidRPr="00EE4757" w14:paraId="30A23EB8" w14:textId="77777777" w:rsidTr="00D75B62">
        <w:tc>
          <w:tcPr>
            <w:tcW w:w="1140" w:type="dxa"/>
          </w:tcPr>
          <w:p w14:paraId="266863E4" w14:textId="77777777" w:rsidR="007E0ABC" w:rsidRPr="00EE4757" w:rsidRDefault="007E0ABC" w:rsidP="00D75B62">
            <w:pPr>
              <w:rPr>
                <w:bCs/>
                <w:sz w:val="18"/>
                <w:szCs w:val="18"/>
              </w:rPr>
            </w:pPr>
            <w:r w:rsidRPr="00EE4757">
              <w:rPr>
                <w:bCs/>
                <w:i/>
                <w:sz w:val="18"/>
                <w:szCs w:val="18"/>
              </w:rPr>
              <w:t>M1a - Item 1 dropped</w:t>
            </w:r>
          </w:p>
        </w:tc>
        <w:tc>
          <w:tcPr>
            <w:tcW w:w="1125" w:type="dxa"/>
          </w:tcPr>
          <w:p w14:paraId="0DCCD635" w14:textId="77777777" w:rsidR="007E0ABC" w:rsidRPr="00EE4757" w:rsidRDefault="007E0ABC" w:rsidP="00D75B62">
            <w:pPr>
              <w:rPr>
                <w:bCs/>
                <w:sz w:val="18"/>
                <w:szCs w:val="18"/>
              </w:rPr>
            </w:pPr>
            <w:r w:rsidRPr="00EE4757">
              <w:rPr>
                <w:bCs/>
                <w:sz w:val="18"/>
                <w:szCs w:val="18"/>
              </w:rPr>
              <w:t>+3.2 to -3</w:t>
            </w:r>
          </w:p>
        </w:tc>
        <w:tc>
          <w:tcPr>
            <w:tcW w:w="1320" w:type="dxa"/>
          </w:tcPr>
          <w:p w14:paraId="06426176" w14:textId="77777777" w:rsidR="007E0ABC" w:rsidRPr="00EE4757" w:rsidRDefault="007E0ABC" w:rsidP="00D75B62">
            <w:pPr>
              <w:rPr>
                <w:bCs/>
                <w:sz w:val="18"/>
                <w:szCs w:val="18"/>
              </w:rPr>
            </w:pPr>
            <w:r w:rsidRPr="00EE4757">
              <w:rPr>
                <w:bCs/>
                <w:sz w:val="18"/>
                <w:szCs w:val="18"/>
              </w:rPr>
              <w:t>0.9 to -0.9</w:t>
            </w:r>
          </w:p>
        </w:tc>
        <w:tc>
          <w:tcPr>
            <w:tcW w:w="1185" w:type="dxa"/>
          </w:tcPr>
          <w:p w14:paraId="3BA193CE" w14:textId="77777777" w:rsidR="007E0ABC" w:rsidRPr="00EE4757" w:rsidRDefault="007E0ABC" w:rsidP="00D75B62">
            <w:pPr>
              <w:rPr>
                <w:bCs/>
                <w:sz w:val="18"/>
                <w:szCs w:val="18"/>
              </w:rPr>
            </w:pPr>
            <w:r w:rsidRPr="00EE4757">
              <w:rPr>
                <w:bCs/>
                <w:sz w:val="18"/>
                <w:szCs w:val="18"/>
              </w:rPr>
              <w:t>19/27</w:t>
            </w:r>
          </w:p>
        </w:tc>
        <w:tc>
          <w:tcPr>
            <w:tcW w:w="1080" w:type="dxa"/>
          </w:tcPr>
          <w:p w14:paraId="40B0188F" w14:textId="77777777" w:rsidR="007E0ABC" w:rsidRPr="00EE4757" w:rsidRDefault="007E0ABC" w:rsidP="00D75B62">
            <w:pPr>
              <w:rPr>
                <w:bCs/>
                <w:sz w:val="18"/>
                <w:szCs w:val="18"/>
              </w:rPr>
            </w:pPr>
            <w:r>
              <w:rPr>
                <w:bCs/>
                <w:sz w:val="18"/>
                <w:szCs w:val="18"/>
              </w:rPr>
              <w:t>N</w:t>
            </w:r>
            <w:r w:rsidRPr="00EE4757">
              <w:rPr>
                <w:bCs/>
                <w:sz w:val="18"/>
                <w:szCs w:val="18"/>
              </w:rPr>
              <w:t>o significant gaps, extension of ruler needed</w:t>
            </w:r>
          </w:p>
        </w:tc>
        <w:tc>
          <w:tcPr>
            <w:tcW w:w="1485" w:type="dxa"/>
          </w:tcPr>
          <w:p w14:paraId="3EAAEDCE" w14:textId="77777777" w:rsidR="007E0ABC" w:rsidRPr="00EE4757" w:rsidRDefault="007E0ABC" w:rsidP="00D75B62">
            <w:pPr>
              <w:rPr>
                <w:bCs/>
                <w:sz w:val="18"/>
                <w:szCs w:val="18"/>
              </w:rPr>
            </w:pPr>
            <w:r w:rsidRPr="00EE4757">
              <w:rPr>
                <w:bCs/>
                <w:sz w:val="18"/>
                <w:szCs w:val="18"/>
              </w:rPr>
              <w:t>10-25-18-22-3-2-19/27-20-29</w:t>
            </w:r>
          </w:p>
        </w:tc>
        <w:tc>
          <w:tcPr>
            <w:tcW w:w="2115" w:type="dxa"/>
            <w:gridSpan w:val="2"/>
          </w:tcPr>
          <w:p w14:paraId="3E71D918" w14:textId="77777777" w:rsidR="007E0ABC" w:rsidRPr="00EE4757" w:rsidRDefault="007E0ABC" w:rsidP="00D75B62">
            <w:pPr>
              <w:rPr>
                <w:bCs/>
                <w:sz w:val="18"/>
                <w:szCs w:val="18"/>
              </w:rPr>
            </w:pPr>
            <w:r w:rsidRPr="00EE4757">
              <w:rPr>
                <w:bCs/>
                <w:sz w:val="18"/>
                <w:szCs w:val="18"/>
              </w:rPr>
              <w:t>Remove item 19</w:t>
            </w:r>
          </w:p>
        </w:tc>
      </w:tr>
      <w:tr w:rsidR="007E0ABC" w:rsidRPr="00EE4757" w14:paraId="675F8136" w14:textId="77777777" w:rsidTr="00D75B62">
        <w:tc>
          <w:tcPr>
            <w:tcW w:w="1140" w:type="dxa"/>
          </w:tcPr>
          <w:p w14:paraId="5B4CD9E1" w14:textId="77777777" w:rsidR="007E0ABC" w:rsidRPr="00EE4757" w:rsidRDefault="007E0ABC" w:rsidP="00D75B62">
            <w:pPr>
              <w:rPr>
                <w:bCs/>
                <w:sz w:val="18"/>
                <w:szCs w:val="18"/>
              </w:rPr>
            </w:pPr>
            <w:r w:rsidRPr="00EE4757">
              <w:rPr>
                <w:bCs/>
                <w:i/>
                <w:sz w:val="18"/>
                <w:szCs w:val="18"/>
              </w:rPr>
              <w:t>M1 – Collapsed categories 2&amp;3, 4&amp;5</w:t>
            </w:r>
          </w:p>
        </w:tc>
        <w:tc>
          <w:tcPr>
            <w:tcW w:w="1125" w:type="dxa"/>
          </w:tcPr>
          <w:p w14:paraId="2E4F800E" w14:textId="77777777" w:rsidR="007E0ABC" w:rsidRPr="00EE4757" w:rsidRDefault="007E0ABC" w:rsidP="00D75B62">
            <w:pPr>
              <w:rPr>
                <w:bCs/>
                <w:sz w:val="18"/>
                <w:szCs w:val="18"/>
              </w:rPr>
            </w:pPr>
            <w:r w:rsidRPr="00EE4757">
              <w:rPr>
                <w:bCs/>
                <w:sz w:val="18"/>
                <w:szCs w:val="18"/>
              </w:rPr>
              <w:t>4 to -4</w:t>
            </w:r>
          </w:p>
        </w:tc>
        <w:tc>
          <w:tcPr>
            <w:tcW w:w="1320" w:type="dxa"/>
          </w:tcPr>
          <w:p w14:paraId="3AF06178" w14:textId="77777777" w:rsidR="007E0ABC" w:rsidRPr="00EE4757" w:rsidRDefault="007E0ABC" w:rsidP="00D75B62">
            <w:pPr>
              <w:rPr>
                <w:bCs/>
                <w:sz w:val="18"/>
                <w:szCs w:val="18"/>
              </w:rPr>
            </w:pPr>
            <w:r w:rsidRPr="00EE4757">
              <w:rPr>
                <w:bCs/>
                <w:sz w:val="18"/>
                <w:szCs w:val="18"/>
              </w:rPr>
              <w:t>1.7 to ~ -0.9</w:t>
            </w:r>
          </w:p>
        </w:tc>
        <w:tc>
          <w:tcPr>
            <w:tcW w:w="1185" w:type="dxa"/>
          </w:tcPr>
          <w:p w14:paraId="32D7FDE7" w14:textId="77777777" w:rsidR="007E0ABC" w:rsidRPr="00EE4757" w:rsidRDefault="007E0ABC" w:rsidP="00D75B62">
            <w:pPr>
              <w:rPr>
                <w:bCs/>
                <w:sz w:val="18"/>
                <w:szCs w:val="18"/>
              </w:rPr>
            </w:pPr>
            <w:r w:rsidRPr="00EE4757">
              <w:rPr>
                <w:bCs/>
                <w:sz w:val="18"/>
                <w:szCs w:val="18"/>
              </w:rPr>
              <w:t>1/ 3, 19/2/</w:t>
            </w:r>
          </w:p>
        </w:tc>
        <w:tc>
          <w:tcPr>
            <w:tcW w:w="1080" w:type="dxa"/>
          </w:tcPr>
          <w:p w14:paraId="2334616F" w14:textId="77777777" w:rsidR="007E0ABC" w:rsidRPr="00EE4757" w:rsidRDefault="007E0ABC" w:rsidP="00D75B62">
            <w:pPr>
              <w:rPr>
                <w:bCs/>
                <w:sz w:val="18"/>
                <w:szCs w:val="18"/>
              </w:rPr>
            </w:pPr>
            <w:r w:rsidRPr="00EE4757">
              <w:rPr>
                <w:bCs/>
                <w:sz w:val="18"/>
                <w:szCs w:val="18"/>
              </w:rPr>
              <w:t xml:space="preserve">Between 22 and 1 </w:t>
            </w:r>
          </w:p>
        </w:tc>
        <w:tc>
          <w:tcPr>
            <w:tcW w:w="1485" w:type="dxa"/>
          </w:tcPr>
          <w:p w14:paraId="2B8AA2FC" w14:textId="77777777" w:rsidR="007E0ABC" w:rsidRPr="00EE4757" w:rsidRDefault="007E0ABC" w:rsidP="00D75B62">
            <w:pPr>
              <w:rPr>
                <w:bCs/>
                <w:sz w:val="18"/>
                <w:szCs w:val="18"/>
              </w:rPr>
            </w:pPr>
            <w:r w:rsidRPr="00EE4757">
              <w:rPr>
                <w:bCs/>
                <w:sz w:val="18"/>
                <w:szCs w:val="18"/>
              </w:rPr>
              <w:t>10-25-18 -22-1/3-27-19/2-20-29</w:t>
            </w:r>
          </w:p>
        </w:tc>
        <w:tc>
          <w:tcPr>
            <w:tcW w:w="2115" w:type="dxa"/>
            <w:gridSpan w:val="2"/>
          </w:tcPr>
          <w:p w14:paraId="009B7837" w14:textId="77777777" w:rsidR="007E0ABC" w:rsidRPr="00EE4757" w:rsidRDefault="007E0ABC" w:rsidP="00D75B62">
            <w:pPr>
              <w:rPr>
                <w:bCs/>
                <w:sz w:val="18"/>
                <w:szCs w:val="18"/>
              </w:rPr>
            </w:pPr>
            <w:r w:rsidRPr="00EE4757">
              <w:rPr>
                <w:bCs/>
                <w:sz w:val="18"/>
                <w:szCs w:val="18"/>
              </w:rPr>
              <w:t>Drop/reword item 1 or 3, and 19 or  2 or 27. More difficult and easier items needed to expand scope of items.</w:t>
            </w:r>
          </w:p>
        </w:tc>
      </w:tr>
      <w:tr w:rsidR="007E0ABC" w:rsidRPr="00EE4757" w14:paraId="1FE4E040" w14:textId="77777777" w:rsidTr="00D75B62">
        <w:tc>
          <w:tcPr>
            <w:tcW w:w="1140" w:type="dxa"/>
          </w:tcPr>
          <w:p w14:paraId="55ECED67" w14:textId="77777777" w:rsidR="007E0ABC" w:rsidRPr="00EE4757" w:rsidRDefault="007E0ABC" w:rsidP="00D75B62">
            <w:pPr>
              <w:rPr>
                <w:bCs/>
                <w:i/>
                <w:sz w:val="18"/>
                <w:szCs w:val="18"/>
              </w:rPr>
            </w:pPr>
            <w:r w:rsidRPr="00EE4757">
              <w:rPr>
                <w:bCs/>
                <w:i/>
                <w:sz w:val="18"/>
                <w:szCs w:val="18"/>
              </w:rPr>
              <w:t>M2 - misfitting persons removed</w:t>
            </w:r>
          </w:p>
        </w:tc>
        <w:tc>
          <w:tcPr>
            <w:tcW w:w="1125" w:type="dxa"/>
          </w:tcPr>
          <w:p w14:paraId="7D5C663A" w14:textId="77777777" w:rsidR="007E0ABC" w:rsidRPr="00EE4757" w:rsidRDefault="007E0ABC" w:rsidP="00D75B62">
            <w:pPr>
              <w:rPr>
                <w:bCs/>
                <w:sz w:val="18"/>
                <w:szCs w:val="18"/>
              </w:rPr>
            </w:pPr>
            <w:r w:rsidRPr="00EE4757">
              <w:rPr>
                <w:bCs/>
                <w:sz w:val="18"/>
                <w:szCs w:val="18"/>
              </w:rPr>
              <w:t>4 to -4</w:t>
            </w:r>
          </w:p>
        </w:tc>
        <w:tc>
          <w:tcPr>
            <w:tcW w:w="1320" w:type="dxa"/>
          </w:tcPr>
          <w:p w14:paraId="5CCAA8CB" w14:textId="77777777" w:rsidR="007E0ABC" w:rsidRPr="00EE4757" w:rsidRDefault="007E0ABC" w:rsidP="00D75B62">
            <w:pPr>
              <w:rPr>
                <w:bCs/>
                <w:sz w:val="18"/>
                <w:szCs w:val="18"/>
              </w:rPr>
            </w:pPr>
            <w:r w:rsidRPr="00EE4757">
              <w:rPr>
                <w:bCs/>
                <w:sz w:val="18"/>
                <w:szCs w:val="18"/>
              </w:rPr>
              <w:t xml:space="preserve">1.9 to ~ -1.2 </w:t>
            </w:r>
          </w:p>
        </w:tc>
        <w:tc>
          <w:tcPr>
            <w:tcW w:w="1185" w:type="dxa"/>
          </w:tcPr>
          <w:p w14:paraId="65BA58F9" w14:textId="77777777" w:rsidR="007E0ABC" w:rsidRPr="00EE4757" w:rsidRDefault="007E0ABC" w:rsidP="00D75B62">
            <w:pPr>
              <w:rPr>
                <w:bCs/>
                <w:sz w:val="18"/>
                <w:szCs w:val="18"/>
              </w:rPr>
            </w:pPr>
            <w:r w:rsidRPr="00EE4757">
              <w:rPr>
                <w:bCs/>
                <w:sz w:val="18"/>
                <w:szCs w:val="18"/>
              </w:rPr>
              <w:t>2/19</w:t>
            </w:r>
          </w:p>
        </w:tc>
        <w:tc>
          <w:tcPr>
            <w:tcW w:w="1080" w:type="dxa"/>
          </w:tcPr>
          <w:p w14:paraId="38F43182" w14:textId="77777777" w:rsidR="007E0ABC" w:rsidRPr="00EE4757" w:rsidRDefault="007E0ABC" w:rsidP="00D75B62">
            <w:pPr>
              <w:rPr>
                <w:bCs/>
                <w:sz w:val="18"/>
                <w:szCs w:val="18"/>
              </w:rPr>
            </w:pPr>
            <w:r w:rsidRPr="00EE4757">
              <w:rPr>
                <w:bCs/>
                <w:sz w:val="18"/>
                <w:szCs w:val="18"/>
              </w:rPr>
              <w:t>Between 25 and 18, between 22 and 3</w:t>
            </w:r>
          </w:p>
        </w:tc>
        <w:tc>
          <w:tcPr>
            <w:tcW w:w="1485" w:type="dxa"/>
          </w:tcPr>
          <w:p w14:paraId="0B1C1508" w14:textId="77777777" w:rsidR="007E0ABC" w:rsidRPr="00EE4757" w:rsidRDefault="007E0ABC" w:rsidP="00D75B62">
            <w:pPr>
              <w:rPr>
                <w:bCs/>
                <w:sz w:val="18"/>
                <w:szCs w:val="18"/>
              </w:rPr>
            </w:pPr>
            <w:r w:rsidRPr="00EE4757">
              <w:rPr>
                <w:bCs/>
                <w:sz w:val="18"/>
                <w:szCs w:val="18"/>
              </w:rPr>
              <w:t>10-25-18-22-3-27-19/2-20-29</w:t>
            </w:r>
          </w:p>
        </w:tc>
        <w:tc>
          <w:tcPr>
            <w:tcW w:w="2115" w:type="dxa"/>
            <w:gridSpan w:val="2"/>
          </w:tcPr>
          <w:p w14:paraId="4F5F8E5A" w14:textId="77777777" w:rsidR="007E0ABC" w:rsidRPr="00EE4757" w:rsidRDefault="007E0ABC" w:rsidP="00D75B62">
            <w:pPr>
              <w:rPr>
                <w:bCs/>
                <w:sz w:val="18"/>
                <w:szCs w:val="18"/>
              </w:rPr>
            </w:pPr>
            <w:r w:rsidRPr="00EE4757">
              <w:rPr>
                <w:bCs/>
                <w:sz w:val="18"/>
                <w:szCs w:val="18"/>
              </w:rPr>
              <w:t>fill the gaps, drop 19 or 2</w:t>
            </w:r>
          </w:p>
        </w:tc>
      </w:tr>
      <w:tr w:rsidR="007E0ABC" w:rsidRPr="00EE4757" w14:paraId="5BB4E7BD" w14:textId="77777777" w:rsidTr="00D75B62">
        <w:tc>
          <w:tcPr>
            <w:tcW w:w="1140" w:type="dxa"/>
          </w:tcPr>
          <w:p w14:paraId="2A7BAAA7" w14:textId="77777777" w:rsidR="007E0ABC" w:rsidRPr="00EE4757" w:rsidRDefault="007E0ABC" w:rsidP="00D75B62">
            <w:pPr>
              <w:rPr>
                <w:bCs/>
                <w:i/>
                <w:sz w:val="18"/>
                <w:szCs w:val="18"/>
              </w:rPr>
            </w:pPr>
            <w:r w:rsidRPr="00EE4757">
              <w:rPr>
                <w:bCs/>
                <w:i/>
                <w:sz w:val="18"/>
                <w:szCs w:val="18"/>
              </w:rPr>
              <w:t>M3 - item 19 removed</w:t>
            </w:r>
          </w:p>
        </w:tc>
        <w:tc>
          <w:tcPr>
            <w:tcW w:w="1125" w:type="dxa"/>
          </w:tcPr>
          <w:p w14:paraId="654E935F" w14:textId="77777777" w:rsidR="007E0ABC" w:rsidRPr="00EE4757" w:rsidRDefault="007E0ABC" w:rsidP="00D75B62">
            <w:pPr>
              <w:rPr>
                <w:bCs/>
                <w:sz w:val="18"/>
                <w:szCs w:val="18"/>
              </w:rPr>
            </w:pPr>
            <w:r w:rsidRPr="00EE4757">
              <w:rPr>
                <w:bCs/>
                <w:sz w:val="18"/>
                <w:szCs w:val="18"/>
              </w:rPr>
              <w:t>4 to -4</w:t>
            </w:r>
          </w:p>
        </w:tc>
        <w:tc>
          <w:tcPr>
            <w:tcW w:w="1320" w:type="dxa"/>
          </w:tcPr>
          <w:p w14:paraId="12788106" w14:textId="77777777" w:rsidR="007E0ABC" w:rsidRPr="00EE4757" w:rsidRDefault="007E0ABC" w:rsidP="00D75B62">
            <w:pPr>
              <w:rPr>
                <w:bCs/>
                <w:sz w:val="18"/>
                <w:szCs w:val="18"/>
              </w:rPr>
            </w:pPr>
            <w:r w:rsidRPr="00EE4757">
              <w:rPr>
                <w:bCs/>
                <w:sz w:val="18"/>
                <w:szCs w:val="18"/>
              </w:rPr>
              <w:t xml:space="preserve">1.9 to ~ -1.2 </w:t>
            </w:r>
          </w:p>
        </w:tc>
        <w:tc>
          <w:tcPr>
            <w:tcW w:w="1185" w:type="dxa"/>
          </w:tcPr>
          <w:p w14:paraId="33FA9108" w14:textId="77777777" w:rsidR="007E0ABC" w:rsidRPr="00EE4757" w:rsidRDefault="007E0ABC" w:rsidP="00D75B62">
            <w:pPr>
              <w:rPr>
                <w:bCs/>
                <w:sz w:val="18"/>
                <w:szCs w:val="18"/>
              </w:rPr>
            </w:pPr>
            <w:r w:rsidRPr="00EE4757">
              <w:rPr>
                <w:bCs/>
                <w:sz w:val="18"/>
                <w:szCs w:val="18"/>
              </w:rPr>
              <w:t>none</w:t>
            </w:r>
          </w:p>
        </w:tc>
        <w:tc>
          <w:tcPr>
            <w:tcW w:w="1080" w:type="dxa"/>
          </w:tcPr>
          <w:p w14:paraId="2E9AAF2F" w14:textId="77777777" w:rsidR="007E0ABC" w:rsidRPr="00EE4757" w:rsidRDefault="007E0ABC" w:rsidP="00D75B62">
            <w:pPr>
              <w:rPr>
                <w:bCs/>
                <w:sz w:val="18"/>
                <w:szCs w:val="18"/>
              </w:rPr>
            </w:pPr>
            <w:r w:rsidRPr="00EE4757">
              <w:rPr>
                <w:bCs/>
                <w:sz w:val="18"/>
                <w:szCs w:val="18"/>
              </w:rPr>
              <w:t>Between 25 and 18, between 22 and 3</w:t>
            </w:r>
          </w:p>
        </w:tc>
        <w:tc>
          <w:tcPr>
            <w:tcW w:w="1485" w:type="dxa"/>
          </w:tcPr>
          <w:p w14:paraId="7F3F584A" w14:textId="77777777" w:rsidR="007E0ABC" w:rsidRPr="00EE4757" w:rsidRDefault="007E0ABC" w:rsidP="00D75B62">
            <w:pPr>
              <w:rPr>
                <w:bCs/>
                <w:sz w:val="18"/>
                <w:szCs w:val="18"/>
              </w:rPr>
            </w:pPr>
          </w:p>
        </w:tc>
        <w:tc>
          <w:tcPr>
            <w:tcW w:w="2115" w:type="dxa"/>
            <w:gridSpan w:val="2"/>
          </w:tcPr>
          <w:p w14:paraId="3C2B1441" w14:textId="77777777" w:rsidR="007E0ABC" w:rsidRPr="00EE4757" w:rsidRDefault="007E0ABC" w:rsidP="00D75B62">
            <w:pPr>
              <w:rPr>
                <w:bCs/>
                <w:sz w:val="18"/>
                <w:szCs w:val="18"/>
              </w:rPr>
            </w:pPr>
            <w:r w:rsidRPr="00EE4757">
              <w:rPr>
                <w:bCs/>
                <w:sz w:val="18"/>
                <w:szCs w:val="18"/>
              </w:rPr>
              <w:t>fill gaps, stretch ruler</w:t>
            </w:r>
          </w:p>
        </w:tc>
      </w:tr>
    </w:tbl>
    <w:p w14:paraId="462B2D9A" w14:textId="77777777" w:rsidR="007E0ABC" w:rsidRPr="0098395C" w:rsidRDefault="007E0ABC" w:rsidP="0098395C">
      <w:pPr>
        <w:rPr>
          <w:szCs w:val="20"/>
        </w:rPr>
      </w:pPr>
    </w:p>
    <w:p w14:paraId="01815506" w14:textId="77777777" w:rsidR="007E0ABC" w:rsidRPr="0098395C" w:rsidRDefault="007E0ABC" w:rsidP="0098395C">
      <w:pPr>
        <w:rPr>
          <w:szCs w:val="20"/>
        </w:rPr>
      </w:pPr>
    </w:p>
    <w:p w14:paraId="0AD11CEC" w14:textId="64D28471" w:rsidR="007E0ABC" w:rsidRDefault="007E0ABC" w:rsidP="002A2819">
      <w:pPr>
        <w:rPr>
          <w:rFonts w:ascii="Avenir Book" w:hAnsi="Avenir Book"/>
          <w:i/>
          <w:iCs/>
          <w:sz w:val="28"/>
          <w:szCs w:val="28"/>
        </w:rPr>
      </w:pPr>
      <w:r>
        <w:rPr>
          <w:szCs w:val="20"/>
        </w:rPr>
        <w:br w:type="page"/>
      </w:r>
      <w:r w:rsidRPr="00C260F1">
        <w:rPr>
          <w:rFonts w:ascii="Avenir Book" w:hAnsi="Avenir Book"/>
          <w:iCs/>
          <w:sz w:val="28"/>
          <w:szCs w:val="28"/>
        </w:rPr>
        <w:lastRenderedPageBreak/>
        <w:t xml:space="preserve">Appendix </w:t>
      </w:r>
      <w:r>
        <w:rPr>
          <w:rFonts w:ascii="Avenir Book" w:hAnsi="Avenir Book"/>
          <w:iCs/>
          <w:sz w:val="28"/>
          <w:szCs w:val="28"/>
        </w:rPr>
        <w:t>D</w:t>
      </w:r>
      <w:r w:rsidRPr="00C260F1">
        <w:rPr>
          <w:rFonts w:ascii="Avenir Book" w:hAnsi="Avenir Book"/>
          <w:iCs/>
          <w:sz w:val="28"/>
          <w:szCs w:val="28"/>
        </w:rPr>
        <w:t xml:space="preserve"> – </w:t>
      </w:r>
      <w:r w:rsidRPr="0098395C">
        <w:rPr>
          <w:rFonts w:ascii="Avenir Book" w:hAnsi="Avenir Book"/>
          <w:iCs/>
          <w:sz w:val="28"/>
          <w:szCs w:val="28"/>
        </w:rPr>
        <w:t xml:space="preserve">Iterative </w:t>
      </w:r>
      <w:r>
        <w:rPr>
          <w:rFonts w:ascii="Avenir Book" w:hAnsi="Avenir Book"/>
          <w:iCs/>
          <w:sz w:val="28"/>
          <w:szCs w:val="28"/>
        </w:rPr>
        <w:t>P</w:t>
      </w:r>
      <w:r w:rsidRPr="0098395C">
        <w:rPr>
          <w:rFonts w:ascii="Avenir Book" w:hAnsi="Avenir Book"/>
          <w:iCs/>
          <w:sz w:val="28"/>
          <w:szCs w:val="28"/>
        </w:rPr>
        <w:t xml:space="preserve">rocess of </w:t>
      </w:r>
      <w:r>
        <w:rPr>
          <w:rFonts w:ascii="Avenir Book" w:hAnsi="Avenir Book"/>
          <w:iCs/>
          <w:sz w:val="28"/>
          <w:szCs w:val="28"/>
        </w:rPr>
        <w:t>EASE-F Scale</w:t>
      </w:r>
      <w:r w:rsidRPr="0098395C">
        <w:rPr>
          <w:rFonts w:ascii="Avenir Book" w:hAnsi="Avenir Book"/>
          <w:iCs/>
          <w:sz w:val="28"/>
          <w:szCs w:val="28"/>
        </w:rPr>
        <w:t xml:space="preserve"> </w:t>
      </w:r>
      <w:r>
        <w:rPr>
          <w:rFonts w:ascii="Avenir Book" w:hAnsi="Avenir Book"/>
          <w:iCs/>
          <w:sz w:val="28"/>
          <w:szCs w:val="28"/>
        </w:rPr>
        <w:t>R</w:t>
      </w:r>
      <w:r w:rsidRPr="0098395C">
        <w:rPr>
          <w:rFonts w:ascii="Avenir Book" w:hAnsi="Avenir Book"/>
          <w:iCs/>
          <w:sz w:val="28"/>
          <w:szCs w:val="28"/>
        </w:rPr>
        <w:t>efinement</w:t>
      </w:r>
    </w:p>
    <w:p w14:paraId="134F3785" w14:textId="77777777" w:rsidR="007E0ABC" w:rsidRDefault="007E0ABC" w:rsidP="000B2985"/>
    <w:p w14:paraId="61119C1E" w14:textId="77777777" w:rsidR="007E0ABC" w:rsidRPr="00716FF2" w:rsidRDefault="007E0ABC" w:rsidP="00716FF2">
      <w:pPr>
        <w:pStyle w:val="ListParagraph"/>
        <w:jc w:val="center"/>
        <w:rPr>
          <w:sz w:val="21"/>
          <w:szCs w:val="28"/>
        </w:rPr>
      </w:pPr>
      <w:r>
        <w:rPr>
          <w:sz w:val="21"/>
          <w:szCs w:val="28"/>
        </w:rPr>
        <w:t xml:space="preserve">Table 35. </w:t>
      </w:r>
      <w:r w:rsidRPr="00716FF2">
        <w:rPr>
          <w:sz w:val="21"/>
          <w:szCs w:val="28"/>
        </w:rPr>
        <w:t>Self-awareness/Assertiveness Scale</w:t>
      </w:r>
    </w:p>
    <w:p w14:paraId="7B9F0A94" w14:textId="77777777" w:rsidR="007E0ABC" w:rsidRDefault="007E0ABC">
      <w:pPr>
        <w:rPr>
          <w:b/>
          <w:color w:val="2F5496"/>
          <w:sz w:val="28"/>
          <w:szCs w:val="28"/>
          <w:u w:val="single"/>
        </w:rPr>
      </w:pPr>
    </w:p>
    <w:p w14:paraId="1F65CE3F" w14:textId="77777777" w:rsidR="007E0ABC" w:rsidRPr="00BD6250" w:rsidRDefault="007E0ABC" w:rsidP="007E0ABC">
      <w:pPr>
        <w:pStyle w:val="ListParagraph"/>
        <w:numPr>
          <w:ilvl w:val="0"/>
          <w:numId w:val="200"/>
        </w:numPr>
        <w:spacing w:after="160"/>
        <w:rPr>
          <w:szCs w:val="20"/>
          <w:u w:val="single"/>
        </w:rPr>
      </w:pPr>
      <w:r>
        <w:rPr>
          <w:szCs w:val="20"/>
          <w:u w:val="single"/>
        </w:rPr>
        <w:t xml:space="preserve">Table n. </w:t>
      </w:r>
      <w:r w:rsidRPr="0098395C">
        <w:rPr>
          <w:szCs w:val="20"/>
          <w:u w:val="single"/>
        </w:rPr>
        <w:t>Category Functioning and Thresholds</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651"/>
        <w:gridCol w:w="838"/>
        <w:gridCol w:w="976"/>
        <w:gridCol w:w="1057"/>
        <w:gridCol w:w="1098"/>
        <w:gridCol w:w="899"/>
        <w:gridCol w:w="555"/>
        <w:gridCol w:w="555"/>
        <w:gridCol w:w="1262"/>
      </w:tblGrid>
      <w:tr w:rsidR="007E0ABC" w14:paraId="551A34C7" w14:textId="77777777">
        <w:tc>
          <w:tcPr>
            <w:tcW w:w="1119" w:type="dxa"/>
          </w:tcPr>
          <w:p w14:paraId="1FA611BE" w14:textId="77777777" w:rsidR="007E0ABC" w:rsidRDefault="007E0ABC">
            <w:pPr>
              <w:rPr>
                <w:b/>
                <w:sz w:val="18"/>
                <w:szCs w:val="18"/>
              </w:rPr>
            </w:pPr>
            <w:r>
              <w:rPr>
                <w:b/>
                <w:sz w:val="18"/>
                <w:szCs w:val="18"/>
              </w:rPr>
              <w:t>Model</w:t>
            </w:r>
          </w:p>
        </w:tc>
        <w:tc>
          <w:tcPr>
            <w:tcW w:w="651" w:type="dxa"/>
          </w:tcPr>
          <w:p w14:paraId="41036B1C" w14:textId="77777777" w:rsidR="007E0ABC" w:rsidRDefault="007E0ABC">
            <w:pPr>
              <w:rPr>
                <w:sz w:val="18"/>
                <w:szCs w:val="18"/>
              </w:rPr>
            </w:pPr>
            <w:r>
              <w:rPr>
                <w:sz w:val="18"/>
                <w:szCs w:val="18"/>
              </w:rPr>
              <w:t>Cat label</w:t>
            </w:r>
          </w:p>
        </w:tc>
        <w:tc>
          <w:tcPr>
            <w:tcW w:w="838" w:type="dxa"/>
          </w:tcPr>
          <w:p w14:paraId="3B30D6C8" w14:textId="77777777" w:rsidR="007E0ABC" w:rsidRDefault="007E0ABC">
            <w:pPr>
              <w:rPr>
                <w:sz w:val="18"/>
                <w:szCs w:val="18"/>
              </w:rPr>
            </w:pPr>
            <w:r>
              <w:rPr>
                <w:sz w:val="18"/>
                <w:szCs w:val="18"/>
              </w:rPr>
              <w:t>Cat Count (%)</w:t>
            </w:r>
          </w:p>
        </w:tc>
        <w:tc>
          <w:tcPr>
            <w:tcW w:w="976" w:type="dxa"/>
          </w:tcPr>
          <w:p w14:paraId="5BAC86AE" w14:textId="77777777" w:rsidR="007E0ABC" w:rsidRDefault="007E0ABC">
            <w:pPr>
              <w:rPr>
                <w:sz w:val="18"/>
                <w:szCs w:val="18"/>
              </w:rPr>
            </w:pPr>
            <w:r>
              <w:rPr>
                <w:sz w:val="18"/>
                <w:szCs w:val="18"/>
              </w:rPr>
              <w:t>Av cat measure (</w:t>
            </w:r>
            <w:proofErr w:type="spellStart"/>
            <w:r>
              <w:rPr>
                <w:sz w:val="18"/>
                <w:szCs w:val="18"/>
              </w:rPr>
              <w:t>ob</w:t>
            </w:r>
            <w:proofErr w:type="spellEnd"/>
            <w:r>
              <w:rPr>
                <w:sz w:val="18"/>
                <w:szCs w:val="18"/>
              </w:rPr>
              <w:t>)</w:t>
            </w:r>
          </w:p>
        </w:tc>
        <w:tc>
          <w:tcPr>
            <w:tcW w:w="1057" w:type="dxa"/>
          </w:tcPr>
          <w:p w14:paraId="04B79AC1" w14:textId="77777777" w:rsidR="007E0ABC" w:rsidRDefault="007E0ABC">
            <w:pPr>
              <w:rPr>
                <w:sz w:val="18"/>
                <w:szCs w:val="18"/>
              </w:rPr>
            </w:pPr>
            <w:r>
              <w:rPr>
                <w:sz w:val="18"/>
                <w:szCs w:val="18"/>
              </w:rPr>
              <w:t>Expected measure</w:t>
            </w:r>
          </w:p>
        </w:tc>
        <w:tc>
          <w:tcPr>
            <w:tcW w:w="1098" w:type="dxa"/>
          </w:tcPr>
          <w:p w14:paraId="12B893EA" w14:textId="77777777" w:rsidR="007E0ABC" w:rsidRDefault="007E0ABC">
            <w:pPr>
              <w:rPr>
                <w:sz w:val="18"/>
                <w:szCs w:val="18"/>
              </w:rPr>
            </w:pPr>
            <w:r>
              <w:rPr>
                <w:sz w:val="18"/>
                <w:szCs w:val="18"/>
              </w:rPr>
              <w:t>Infit/Outfit MNSQ</w:t>
            </w:r>
          </w:p>
        </w:tc>
        <w:tc>
          <w:tcPr>
            <w:tcW w:w="899" w:type="dxa"/>
          </w:tcPr>
          <w:p w14:paraId="4E0F3B85" w14:textId="77777777" w:rsidR="007E0ABC" w:rsidRDefault="007E0ABC">
            <w:pPr>
              <w:rPr>
                <w:sz w:val="18"/>
                <w:szCs w:val="18"/>
              </w:rPr>
            </w:pPr>
            <w:r>
              <w:rPr>
                <w:sz w:val="18"/>
                <w:szCs w:val="18"/>
              </w:rPr>
              <w:t xml:space="preserve">Andrich </w:t>
            </w:r>
          </w:p>
        </w:tc>
        <w:tc>
          <w:tcPr>
            <w:tcW w:w="555" w:type="dxa"/>
          </w:tcPr>
          <w:p w14:paraId="396B2A0B" w14:textId="77777777" w:rsidR="007E0ABC" w:rsidRDefault="007E0ABC">
            <w:pPr>
              <w:rPr>
                <w:sz w:val="18"/>
                <w:szCs w:val="18"/>
              </w:rPr>
            </w:pPr>
            <w:r>
              <w:rPr>
                <w:sz w:val="18"/>
                <w:szCs w:val="18"/>
              </w:rPr>
              <w:t>M-C</w:t>
            </w:r>
          </w:p>
        </w:tc>
        <w:tc>
          <w:tcPr>
            <w:tcW w:w="555" w:type="dxa"/>
          </w:tcPr>
          <w:p w14:paraId="5F38C1D5" w14:textId="77777777" w:rsidR="007E0ABC" w:rsidRDefault="007E0ABC">
            <w:pPr>
              <w:rPr>
                <w:sz w:val="18"/>
                <w:szCs w:val="18"/>
              </w:rPr>
            </w:pPr>
            <w:r>
              <w:rPr>
                <w:sz w:val="18"/>
                <w:szCs w:val="18"/>
              </w:rPr>
              <w:t>C-M</w:t>
            </w:r>
          </w:p>
        </w:tc>
        <w:tc>
          <w:tcPr>
            <w:tcW w:w="1262" w:type="dxa"/>
          </w:tcPr>
          <w:p w14:paraId="1F71006B" w14:textId="77777777" w:rsidR="007E0ABC" w:rsidRDefault="007E0ABC">
            <w:pPr>
              <w:rPr>
                <w:sz w:val="18"/>
                <w:szCs w:val="18"/>
              </w:rPr>
            </w:pPr>
            <w:r>
              <w:rPr>
                <w:sz w:val="18"/>
                <w:szCs w:val="18"/>
              </w:rPr>
              <w:t>Comment/</w:t>
            </w:r>
          </w:p>
          <w:p w14:paraId="4D29BBE6" w14:textId="77777777" w:rsidR="007E0ABC" w:rsidRDefault="007E0ABC">
            <w:pPr>
              <w:rPr>
                <w:sz w:val="18"/>
                <w:szCs w:val="18"/>
              </w:rPr>
            </w:pPr>
            <w:r>
              <w:rPr>
                <w:sz w:val="18"/>
                <w:szCs w:val="18"/>
              </w:rPr>
              <w:t>decision</w:t>
            </w:r>
          </w:p>
        </w:tc>
      </w:tr>
      <w:tr w:rsidR="007E0ABC" w14:paraId="59A442C3" w14:textId="77777777">
        <w:tc>
          <w:tcPr>
            <w:tcW w:w="1119" w:type="dxa"/>
            <w:vMerge w:val="restart"/>
          </w:tcPr>
          <w:p w14:paraId="6967A868" w14:textId="77777777" w:rsidR="007E0ABC" w:rsidRDefault="007E0ABC">
            <w:pPr>
              <w:rPr>
                <w:b/>
                <w:i/>
                <w:sz w:val="18"/>
                <w:szCs w:val="18"/>
              </w:rPr>
            </w:pPr>
            <w:r>
              <w:rPr>
                <w:b/>
                <w:i/>
                <w:sz w:val="18"/>
                <w:szCs w:val="18"/>
              </w:rPr>
              <w:t>Original model</w:t>
            </w:r>
          </w:p>
        </w:tc>
        <w:tc>
          <w:tcPr>
            <w:tcW w:w="651" w:type="dxa"/>
          </w:tcPr>
          <w:p w14:paraId="48B4901F" w14:textId="77777777" w:rsidR="007E0ABC" w:rsidRDefault="007E0ABC">
            <w:pPr>
              <w:rPr>
                <w:sz w:val="18"/>
                <w:szCs w:val="18"/>
              </w:rPr>
            </w:pPr>
            <w:r>
              <w:rPr>
                <w:sz w:val="18"/>
                <w:szCs w:val="18"/>
              </w:rPr>
              <w:t>1</w:t>
            </w:r>
          </w:p>
        </w:tc>
        <w:tc>
          <w:tcPr>
            <w:tcW w:w="838" w:type="dxa"/>
          </w:tcPr>
          <w:p w14:paraId="5209D625" w14:textId="77777777" w:rsidR="007E0ABC" w:rsidRDefault="007E0ABC">
            <w:pPr>
              <w:rPr>
                <w:sz w:val="18"/>
                <w:szCs w:val="18"/>
              </w:rPr>
            </w:pPr>
            <w:r>
              <w:rPr>
                <w:sz w:val="18"/>
                <w:szCs w:val="18"/>
              </w:rPr>
              <w:t>664 (21)</w:t>
            </w:r>
          </w:p>
        </w:tc>
        <w:tc>
          <w:tcPr>
            <w:tcW w:w="976" w:type="dxa"/>
          </w:tcPr>
          <w:p w14:paraId="5E691DF6" w14:textId="77777777" w:rsidR="007E0ABC" w:rsidRDefault="007E0ABC">
            <w:pPr>
              <w:tabs>
                <w:tab w:val="left" w:pos="975"/>
              </w:tabs>
              <w:rPr>
                <w:sz w:val="18"/>
                <w:szCs w:val="18"/>
              </w:rPr>
            </w:pPr>
            <w:r>
              <w:rPr>
                <w:sz w:val="18"/>
                <w:szCs w:val="18"/>
              </w:rPr>
              <w:t>-0.81</w:t>
            </w:r>
          </w:p>
        </w:tc>
        <w:tc>
          <w:tcPr>
            <w:tcW w:w="1057" w:type="dxa"/>
          </w:tcPr>
          <w:p w14:paraId="01AF3C04" w14:textId="77777777" w:rsidR="007E0ABC" w:rsidRDefault="007E0ABC">
            <w:pPr>
              <w:rPr>
                <w:sz w:val="18"/>
                <w:szCs w:val="18"/>
              </w:rPr>
            </w:pPr>
            <w:r>
              <w:rPr>
                <w:sz w:val="18"/>
                <w:szCs w:val="18"/>
              </w:rPr>
              <w:t>-0.80</w:t>
            </w:r>
          </w:p>
        </w:tc>
        <w:tc>
          <w:tcPr>
            <w:tcW w:w="1098" w:type="dxa"/>
          </w:tcPr>
          <w:p w14:paraId="3A9E0A2B" w14:textId="77777777" w:rsidR="007E0ABC" w:rsidRDefault="007E0ABC">
            <w:pPr>
              <w:rPr>
                <w:sz w:val="18"/>
                <w:szCs w:val="18"/>
              </w:rPr>
            </w:pPr>
            <w:r>
              <w:rPr>
                <w:sz w:val="18"/>
                <w:szCs w:val="18"/>
              </w:rPr>
              <w:t>1.03/1.10</w:t>
            </w:r>
          </w:p>
        </w:tc>
        <w:tc>
          <w:tcPr>
            <w:tcW w:w="899" w:type="dxa"/>
          </w:tcPr>
          <w:p w14:paraId="5BF8ED9C" w14:textId="77777777" w:rsidR="007E0ABC" w:rsidRDefault="007E0ABC">
            <w:pPr>
              <w:rPr>
                <w:sz w:val="18"/>
                <w:szCs w:val="18"/>
              </w:rPr>
            </w:pPr>
            <w:r>
              <w:rPr>
                <w:sz w:val="18"/>
                <w:szCs w:val="18"/>
              </w:rPr>
              <w:t>-</w:t>
            </w:r>
          </w:p>
        </w:tc>
        <w:tc>
          <w:tcPr>
            <w:tcW w:w="555" w:type="dxa"/>
          </w:tcPr>
          <w:p w14:paraId="77C07048" w14:textId="77777777" w:rsidR="007E0ABC" w:rsidRDefault="007E0ABC">
            <w:pPr>
              <w:rPr>
                <w:sz w:val="18"/>
                <w:szCs w:val="18"/>
              </w:rPr>
            </w:pPr>
            <w:r>
              <w:rPr>
                <w:sz w:val="18"/>
                <w:szCs w:val="18"/>
              </w:rPr>
              <w:t>80%</w:t>
            </w:r>
          </w:p>
        </w:tc>
        <w:tc>
          <w:tcPr>
            <w:tcW w:w="555" w:type="dxa"/>
          </w:tcPr>
          <w:p w14:paraId="2CA0689A" w14:textId="77777777" w:rsidR="007E0ABC" w:rsidRDefault="007E0ABC">
            <w:pPr>
              <w:rPr>
                <w:sz w:val="18"/>
                <w:szCs w:val="18"/>
              </w:rPr>
            </w:pPr>
            <w:r>
              <w:rPr>
                <w:sz w:val="18"/>
                <w:szCs w:val="18"/>
              </w:rPr>
              <w:t>21%</w:t>
            </w:r>
          </w:p>
        </w:tc>
        <w:tc>
          <w:tcPr>
            <w:tcW w:w="1262" w:type="dxa"/>
            <w:vMerge w:val="restart"/>
          </w:tcPr>
          <w:p w14:paraId="20D9ABE5" w14:textId="77777777" w:rsidR="007E0ABC" w:rsidRDefault="007E0ABC">
            <w:pPr>
              <w:rPr>
                <w:sz w:val="18"/>
                <w:szCs w:val="18"/>
              </w:rPr>
            </w:pPr>
            <w:r>
              <w:rPr>
                <w:sz w:val="18"/>
                <w:szCs w:val="18"/>
              </w:rPr>
              <w:t>Category thresholds &lt;0.4 logits apart, indistinct peaks – consider collapsing</w:t>
            </w:r>
          </w:p>
        </w:tc>
      </w:tr>
      <w:tr w:rsidR="007E0ABC" w14:paraId="29BAA902" w14:textId="77777777">
        <w:tc>
          <w:tcPr>
            <w:tcW w:w="1119" w:type="dxa"/>
            <w:vMerge/>
          </w:tcPr>
          <w:p w14:paraId="0DA21320" w14:textId="77777777" w:rsidR="007E0ABC" w:rsidRDefault="007E0ABC">
            <w:pPr>
              <w:widowControl w:val="0"/>
              <w:spacing w:line="276" w:lineRule="auto"/>
              <w:rPr>
                <w:sz w:val="18"/>
                <w:szCs w:val="18"/>
              </w:rPr>
            </w:pPr>
          </w:p>
        </w:tc>
        <w:tc>
          <w:tcPr>
            <w:tcW w:w="651" w:type="dxa"/>
          </w:tcPr>
          <w:p w14:paraId="1DC475C3" w14:textId="77777777" w:rsidR="007E0ABC" w:rsidRDefault="007E0ABC">
            <w:pPr>
              <w:rPr>
                <w:sz w:val="18"/>
                <w:szCs w:val="18"/>
              </w:rPr>
            </w:pPr>
            <w:r>
              <w:rPr>
                <w:sz w:val="18"/>
                <w:szCs w:val="18"/>
              </w:rPr>
              <w:t>2</w:t>
            </w:r>
          </w:p>
        </w:tc>
        <w:tc>
          <w:tcPr>
            <w:tcW w:w="838" w:type="dxa"/>
          </w:tcPr>
          <w:p w14:paraId="14E68A17" w14:textId="77777777" w:rsidR="007E0ABC" w:rsidRDefault="007E0ABC">
            <w:pPr>
              <w:rPr>
                <w:sz w:val="18"/>
                <w:szCs w:val="18"/>
              </w:rPr>
            </w:pPr>
            <w:r>
              <w:rPr>
                <w:sz w:val="18"/>
                <w:szCs w:val="18"/>
              </w:rPr>
              <w:t>548 (17)</w:t>
            </w:r>
          </w:p>
        </w:tc>
        <w:tc>
          <w:tcPr>
            <w:tcW w:w="976" w:type="dxa"/>
          </w:tcPr>
          <w:p w14:paraId="6B4C5C6F" w14:textId="77777777" w:rsidR="007E0ABC" w:rsidRDefault="007E0ABC">
            <w:pPr>
              <w:tabs>
                <w:tab w:val="left" w:pos="975"/>
              </w:tabs>
              <w:rPr>
                <w:sz w:val="18"/>
                <w:szCs w:val="18"/>
              </w:rPr>
            </w:pPr>
            <w:r>
              <w:rPr>
                <w:sz w:val="18"/>
                <w:szCs w:val="18"/>
              </w:rPr>
              <w:t>-0.37</w:t>
            </w:r>
          </w:p>
        </w:tc>
        <w:tc>
          <w:tcPr>
            <w:tcW w:w="1057" w:type="dxa"/>
          </w:tcPr>
          <w:p w14:paraId="6B83047C" w14:textId="77777777" w:rsidR="007E0ABC" w:rsidRDefault="007E0ABC">
            <w:pPr>
              <w:rPr>
                <w:sz w:val="18"/>
                <w:szCs w:val="18"/>
              </w:rPr>
            </w:pPr>
            <w:r>
              <w:rPr>
                <w:sz w:val="18"/>
                <w:szCs w:val="18"/>
              </w:rPr>
              <w:t>-0.40</w:t>
            </w:r>
          </w:p>
        </w:tc>
        <w:tc>
          <w:tcPr>
            <w:tcW w:w="1098" w:type="dxa"/>
          </w:tcPr>
          <w:p w14:paraId="1C4FF41F" w14:textId="77777777" w:rsidR="007E0ABC" w:rsidRDefault="007E0ABC">
            <w:pPr>
              <w:rPr>
                <w:sz w:val="18"/>
                <w:szCs w:val="18"/>
              </w:rPr>
            </w:pPr>
            <w:r>
              <w:rPr>
                <w:sz w:val="18"/>
                <w:szCs w:val="18"/>
              </w:rPr>
              <w:t>0.96/0.91</w:t>
            </w:r>
          </w:p>
        </w:tc>
        <w:tc>
          <w:tcPr>
            <w:tcW w:w="899" w:type="dxa"/>
          </w:tcPr>
          <w:p w14:paraId="42551278" w14:textId="77777777" w:rsidR="007E0ABC" w:rsidRDefault="007E0ABC">
            <w:pPr>
              <w:rPr>
                <w:sz w:val="18"/>
                <w:szCs w:val="18"/>
              </w:rPr>
            </w:pPr>
            <w:r>
              <w:rPr>
                <w:sz w:val="18"/>
                <w:szCs w:val="18"/>
              </w:rPr>
              <w:t>-0.42</w:t>
            </w:r>
          </w:p>
        </w:tc>
        <w:tc>
          <w:tcPr>
            <w:tcW w:w="555" w:type="dxa"/>
          </w:tcPr>
          <w:p w14:paraId="54B24AD4" w14:textId="77777777" w:rsidR="007E0ABC" w:rsidRDefault="007E0ABC">
            <w:pPr>
              <w:rPr>
                <w:sz w:val="18"/>
                <w:szCs w:val="18"/>
              </w:rPr>
            </w:pPr>
            <w:r>
              <w:rPr>
                <w:sz w:val="18"/>
                <w:szCs w:val="18"/>
              </w:rPr>
              <w:t>30%</w:t>
            </w:r>
          </w:p>
        </w:tc>
        <w:tc>
          <w:tcPr>
            <w:tcW w:w="555" w:type="dxa"/>
          </w:tcPr>
          <w:p w14:paraId="56ED7A8F" w14:textId="77777777" w:rsidR="007E0ABC" w:rsidRDefault="007E0ABC">
            <w:pPr>
              <w:rPr>
                <w:sz w:val="18"/>
                <w:szCs w:val="18"/>
              </w:rPr>
            </w:pPr>
            <w:r>
              <w:rPr>
                <w:sz w:val="18"/>
                <w:szCs w:val="18"/>
              </w:rPr>
              <w:t>46%</w:t>
            </w:r>
          </w:p>
        </w:tc>
        <w:tc>
          <w:tcPr>
            <w:tcW w:w="1262" w:type="dxa"/>
            <w:vMerge/>
          </w:tcPr>
          <w:p w14:paraId="6F83AE17" w14:textId="77777777" w:rsidR="007E0ABC" w:rsidRDefault="007E0ABC">
            <w:pPr>
              <w:widowControl w:val="0"/>
              <w:spacing w:line="276" w:lineRule="auto"/>
              <w:rPr>
                <w:sz w:val="18"/>
                <w:szCs w:val="18"/>
              </w:rPr>
            </w:pPr>
          </w:p>
        </w:tc>
      </w:tr>
      <w:tr w:rsidR="007E0ABC" w14:paraId="39447DCD" w14:textId="77777777">
        <w:tc>
          <w:tcPr>
            <w:tcW w:w="1119" w:type="dxa"/>
            <w:vMerge/>
          </w:tcPr>
          <w:p w14:paraId="78F286EB" w14:textId="77777777" w:rsidR="007E0ABC" w:rsidRDefault="007E0ABC">
            <w:pPr>
              <w:widowControl w:val="0"/>
              <w:spacing w:line="276" w:lineRule="auto"/>
              <w:rPr>
                <w:sz w:val="18"/>
                <w:szCs w:val="18"/>
              </w:rPr>
            </w:pPr>
          </w:p>
        </w:tc>
        <w:tc>
          <w:tcPr>
            <w:tcW w:w="651" w:type="dxa"/>
          </w:tcPr>
          <w:p w14:paraId="0B2ED35F" w14:textId="77777777" w:rsidR="007E0ABC" w:rsidRDefault="007E0ABC">
            <w:pPr>
              <w:rPr>
                <w:sz w:val="18"/>
                <w:szCs w:val="18"/>
              </w:rPr>
            </w:pPr>
            <w:r>
              <w:rPr>
                <w:sz w:val="18"/>
                <w:szCs w:val="18"/>
              </w:rPr>
              <w:t>3</w:t>
            </w:r>
          </w:p>
        </w:tc>
        <w:tc>
          <w:tcPr>
            <w:tcW w:w="838" w:type="dxa"/>
          </w:tcPr>
          <w:p w14:paraId="1E6F8981" w14:textId="77777777" w:rsidR="007E0ABC" w:rsidRDefault="007E0ABC">
            <w:pPr>
              <w:rPr>
                <w:sz w:val="18"/>
                <w:szCs w:val="18"/>
              </w:rPr>
            </w:pPr>
            <w:r>
              <w:rPr>
                <w:sz w:val="18"/>
                <w:szCs w:val="18"/>
              </w:rPr>
              <w:t>524 (17)</w:t>
            </w:r>
          </w:p>
        </w:tc>
        <w:tc>
          <w:tcPr>
            <w:tcW w:w="976" w:type="dxa"/>
          </w:tcPr>
          <w:p w14:paraId="37FAD0DD" w14:textId="77777777" w:rsidR="007E0ABC" w:rsidRDefault="007E0ABC">
            <w:pPr>
              <w:tabs>
                <w:tab w:val="left" w:pos="975"/>
              </w:tabs>
              <w:rPr>
                <w:sz w:val="18"/>
                <w:szCs w:val="18"/>
              </w:rPr>
            </w:pPr>
            <w:r>
              <w:rPr>
                <w:sz w:val="18"/>
                <w:szCs w:val="18"/>
              </w:rPr>
              <w:t>0.01</w:t>
            </w:r>
          </w:p>
        </w:tc>
        <w:tc>
          <w:tcPr>
            <w:tcW w:w="1057" w:type="dxa"/>
          </w:tcPr>
          <w:p w14:paraId="2C2B6E33" w14:textId="77777777" w:rsidR="007E0ABC" w:rsidRDefault="007E0ABC">
            <w:pPr>
              <w:rPr>
                <w:sz w:val="18"/>
                <w:szCs w:val="18"/>
              </w:rPr>
            </w:pPr>
            <w:r>
              <w:rPr>
                <w:sz w:val="18"/>
                <w:szCs w:val="18"/>
              </w:rPr>
              <w:t>-0.03</w:t>
            </w:r>
          </w:p>
        </w:tc>
        <w:tc>
          <w:tcPr>
            <w:tcW w:w="1098" w:type="dxa"/>
          </w:tcPr>
          <w:p w14:paraId="192F720C" w14:textId="77777777" w:rsidR="007E0ABC" w:rsidRDefault="007E0ABC">
            <w:pPr>
              <w:rPr>
                <w:sz w:val="18"/>
                <w:szCs w:val="18"/>
              </w:rPr>
            </w:pPr>
            <w:r>
              <w:rPr>
                <w:sz w:val="18"/>
                <w:szCs w:val="18"/>
              </w:rPr>
              <w:t>0.93/0.90</w:t>
            </w:r>
          </w:p>
        </w:tc>
        <w:tc>
          <w:tcPr>
            <w:tcW w:w="899" w:type="dxa"/>
          </w:tcPr>
          <w:p w14:paraId="4C36EFD4" w14:textId="77777777" w:rsidR="007E0ABC" w:rsidRDefault="007E0ABC">
            <w:pPr>
              <w:rPr>
                <w:sz w:val="18"/>
                <w:szCs w:val="18"/>
              </w:rPr>
            </w:pPr>
            <w:r>
              <w:rPr>
                <w:sz w:val="18"/>
                <w:szCs w:val="18"/>
              </w:rPr>
              <w:t>-0.17</w:t>
            </w:r>
          </w:p>
        </w:tc>
        <w:tc>
          <w:tcPr>
            <w:tcW w:w="555" w:type="dxa"/>
          </w:tcPr>
          <w:p w14:paraId="729B7E11" w14:textId="77777777" w:rsidR="007E0ABC" w:rsidRDefault="007E0ABC">
            <w:pPr>
              <w:rPr>
                <w:sz w:val="18"/>
                <w:szCs w:val="18"/>
              </w:rPr>
            </w:pPr>
            <w:r>
              <w:rPr>
                <w:sz w:val="18"/>
                <w:szCs w:val="18"/>
              </w:rPr>
              <w:t>27%</w:t>
            </w:r>
          </w:p>
        </w:tc>
        <w:tc>
          <w:tcPr>
            <w:tcW w:w="555" w:type="dxa"/>
          </w:tcPr>
          <w:p w14:paraId="52403B26" w14:textId="77777777" w:rsidR="007E0ABC" w:rsidRDefault="007E0ABC">
            <w:pPr>
              <w:rPr>
                <w:sz w:val="18"/>
                <w:szCs w:val="18"/>
              </w:rPr>
            </w:pPr>
            <w:r>
              <w:rPr>
                <w:sz w:val="18"/>
                <w:szCs w:val="18"/>
              </w:rPr>
              <w:t>48%</w:t>
            </w:r>
          </w:p>
        </w:tc>
        <w:tc>
          <w:tcPr>
            <w:tcW w:w="1262" w:type="dxa"/>
            <w:vMerge/>
          </w:tcPr>
          <w:p w14:paraId="052A0D14" w14:textId="77777777" w:rsidR="007E0ABC" w:rsidRDefault="007E0ABC">
            <w:pPr>
              <w:widowControl w:val="0"/>
              <w:spacing w:line="276" w:lineRule="auto"/>
              <w:rPr>
                <w:sz w:val="18"/>
                <w:szCs w:val="18"/>
              </w:rPr>
            </w:pPr>
          </w:p>
        </w:tc>
      </w:tr>
      <w:tr w:rsidR="007E0ABC" w14:paraId="1E536D47" w14:textId="77777777">
        <w:tc>
          <w:tcPr>
            <w:tcW w:w="1119" w:type="dxa"/>
            <w:vMerge/>
          </w:tcPr>
          <w:p w14:paraId="139AEA88" w14:textId="77777777" w:rsidR="007E0ABC" w:rsidRDefault="007E0ABC">
            <w:pPr>
              <w:widowControl w:val="0"/>
              <w:spacing w:line="276" w:lineRule="auto"/>
              <w:rPr>
                <w:sz w:val="18"/>
                <w:szCs w:val="18"/>
              </w:rPr>
            </w:pPr>
          </w:p>
        </w:tc>
        <w:tc>
          <w:tcPr>
            <w:tcW w:w="651" w:type="dxa"/>
          </w:tcPr>
          <w:p w14:paraId="39241AB4" w14:textId="77777777" w:rsidR="007E0ABC" w:rsidRDefault="007E0ABC">
            <w:pPr>
              <w:rPr>
                <w:sz w:val="18"/>
                <w:szCs w:val="18"/>
              </w:rPr>
            </w:pPr>
            <w:r>
              <w:rPr>
                <w:sz w:val="18"/>
                <w:szCs w:val="18"/>
              </w:rPr>
              <w:t>4</w:t>
            </w:r>
          </w:p>
        </w:tc>
        <w:tc>
          <w:tcPr>
            <w:tcW w:w="838" w:type="dxa"/>
          </w:tcPr>
          <w:p w14:paraId="3921472E" w14:textId="77777777" w:rsidR="007E0ABC" w:rsidRDefault="007E0ABC">
            <w:pPr>
              <w:rPr>
                <w:sz w:val="18"/>
                <w:szCs w:val="18"/>
              </w:rPr>
            </w:pPr>
            <w:r>
              <w:rPr>
                <w:sz w:val="18"/>
                <w:szCs w:val="18"/>
              </w:rPr>
              <w:t>645 (20)</w:t>
            </w:r>
          </w:p>
        </w:tc>
        <w:tc>
          <w:tcPr>
            <w:tcW w:w="976" w:type="dxa"/>
          </w:tcPr>
          <w:p w14:paraId="4CB476BE" w14:textId="77777777" w:rsidR="007E0ABC" w:rsidRDefault="007E0ABC">
            <w:pPr>
              <w:tabs>
                <w:tab w:val="left" w:pos="975"/>
              </w:tabs>
              <w:rPr>
                <w:sz w:val="18"/>
                <w:szCs w:val="18"/>
              </w:rPr>
            </w:pPr>
            <w:r>
              <w:rPr>
                <w:sz w:val="18"/>
                <w:szCs w:val="18"/>
              </w:rPr>
              <w:t>0.34</w:t>
            </w:r>
          </w:p>
        </w:tc>
        <w:tc>
          <w:tcPr>
            <w:tcW w:w="1057" w:type="dxa"/>
          </w:tcPr>
          <w:p w14:paraId="423C385B" w14:textId="77777777" w:rsidR="007E0ABC" w:rsidRDefault="007E0ABC">
            <w:pPr>
              <w:rPr>
                <w:sz w:val="18"/>
                <w:szCs w:val="18"/>
              </w:rPr>
            </w:pPr>
            <w:r>
              <w:rPr>
                <w:sz w:val="18"/>
                <w:szCs w:val="18"/>
              </w:rPr>
              <w:t>0.41</w:t>
            </w:r>
          </w:p>
        </w:tc>
        <w:tc>
          <w:tcPr>
            <w:tcW w:w="1098" w:type="dxa"/>
          </w:tcPr>
          <w:p w14:paraId="1B4AD307" w14:textId="77777777" w:rsidR="007E0ABC" w:rsidRDefault="007E0ABC">
            <w:pPr>
              <w:rPr>
                <w:sz w:val="18"/>
                <w:szCs w:val="18"/>
              </w:rPr>
            </w:pPr>
            <w:r>
              <w:rPr>
                <w:sz w:val="18"/>
                <w:szCs w:val="18"/>
              </w:rPr>
              <w:t>1.07/1.02</w:t>
            </w:r>
          </w:p>
        </w:tc>
        <w:tc>
          <w:tcPr>
            <w:tcW w:w="899" w:type="dxa"/>
          </w:tcPr>
          <w:p w14:paraId="208E7076" w14:textId="77777777" w:rsidR="007E0ABC" w:rsidRDefault="007E0ABC">
            <w:pPr>
              <w:rPr>
                <w:sz w:val="18"/>
                <w:szCs w:val="18"/>
              </w:rPr>
            </w:pPr>
            <w:r>
              <w:rPr>
                <w:sz w:val="18"/>
                <w:szCs w:val="18"/>
              </w:rPr>
              <w:t>-0.03</w:t>
            </w:r>
          </w:p>
        </w:tc>
        <w:tc>
          <w:tcPr>
            <w:tcW w:w="555" w:type="dxa"/>
          </w:tcPr>
          <w:p w14:paraId="137D2C32" w14:textId="77777777" w:rsidR="007E0ABC" w:rsidRDefault="007E0ABC">
            <w:pPr>
              <w:rPr>
                <w:sz w:val="18"/>
                <w:szCs w:val="18"/>
              </w:rPr>
            </w:pPr>
            <w:r>
              <w:rPr>
                <w:sz w:val="18"/>
                <w:szCs w:val="18"/>
              </w:rPr>
              <w:t>34%</w:t>
            </w:r>
          </w:p>
        </w:tc>
        <w:tc>
          <w:tcPr>
            <w:tcW w:w="555" w:type="dxa"/>
          </w:tcPr>
          <w:p w14:paraId="44153F06" w14:textId="77777777" w:rsidR="007E0ABC" w:rsidRDefault="007E0ABC">
            <w:pPr>
              <w:rPr>
                <w:sz w:val="18"/>
                <w:szCs w:val="18"/>
              </w:rPr>
            </w:pPr>
            <w:r>
              <w:rPr>
                <w:sz w:val="18"/>
                <w:szCs w:val="18"/>
              </w:rPr>
              <w:t>41%</w:t>
            </w:r>
          </w:p>
        </w:tc>
        <w:tc>
          <w:tcPr>
            <w:tcW w:w="1262" w:type="dxa"/>
            <w:vMerge/>
          </w:tcPr>
          <w:p w14:paraId="7E1FA03E" w14:textId="77777777" w:rsidR="007E0ABC" w:rsidRDefault="007E0ABC">
            <w:pPr>
              <w:widowControl w:val="0"/>
              <w:spacing w:line="276" w:lineRule="auto"/>
              <w:rPr>
                <w:sz w:val="18"/>
                <w:szCs w:val="18"/>
              </w:rPr>
            </w:pPr>
          </w:p>
        </w:tc>
      </w:tr>
      <w:tr w:rsidR="007E0ABC" w14:paraId="583DA815" w14:textId="77777777">
        <w:trPr>
          <w:trHeight w:val="63"/>
        </w:trPr>
        <w:tc>
          <w:tcPr>
            <w:tcW w:w="1119" w:type="dxa"/>
            <w:vMerge/>
          </w:tcPr>
          <w:p w14:paraId="0193EEED" w14:textId="77777777" w:rsidR="007E0ABC" w:rsidRDefault="007E0ABC">
            <w:pPr>
              <w:widowControl w:val="0"/>
              <w:spacing w:line="276" w:lineRule="auto"/>
              <w:rPr>
                <w:sz w:val="18"/>
                <w:szCs w:val="18"/>
              </w:rPr>
            </w:pPr>
          </w:p>
        </w:tc>
        <w:tc>
          <w:tcPr>
            <w:tcW w:w="651" w:type="dxa"/>
          </w:tcPr>
          <w:p w14:paraId="23419B11" w14:textId="77777777" w:rsidR="007E0ABC" w:rsidRDefault="007E0ABC">
            <w:pPr>
              <w:rPr>
                <w:sz w:val="18"/>
                <w:szCs w:val="18"/>
              </w:rPr>
            </w:pPr>
            <w:r>
              <w:rPr>
                <w:sz w:val="18"/>
                <w:szCs w:val="18"/>
              </w:rPr>
              <w:t>5</w:t>
            </w:r>
          </w:p>
        </w:tc>
        <w:tc>
          <w:tcPr>
            <w:tcW w:w="838" w:type="dxa"/>
          </w:tcPr>
          <w:p w14:paraId="26E6B205" w14:textId="77777777" w:rsidR="007E0ABC" w:rsidRDefault="007E0ABC">
            <w:pPr>
              <w:rPr>
                <w:sz w:val="18"/>
                <w:szCs w:val="18"/>
              </w:rPr>
            </w:pPr>
            <w:r>
              <w:rPr>
                <w:sz w:val="18"/>
                <w:szCs w:val="18"/>
              </w:rPr>
              <w:t>769 (24)</w:t>
            </w:r>
          </w:p>
        </w:tc>
        <w:tc>
          <w:tcPr>
            <w:tcW w:w="976" w:type="dxa"/>
          </w:tcPr>
          <w:p w14:paraId="7B483CCC" w14:textId="77777777" w:rsidR="007E0ABC" w:rsidRDefault="007E0ABC">
            <w:pPr>
              <w:tabs>
                <w:tab w:val="left" w:pos="975"/>
              </w:tabs>
              <w:rPr>
                <w:sz w:val="18"/>
                <w:szCs w:val="18"/>
              </w:rPr>
            </w:pPr>
            <w:r>
              <w:rPr>
                <w:sz w:val="18"/>
                <w:szCs w:val="18"/>
              </w:rPr>
              <w:t>1.08</w:t>
            </w:r>
          </w:p>
        </w:tc>
        <w:tc>
          <w:tcPr>
            <w:tcW w:w="1057" w:type="dxa"/>
          </w:tcPr>
          <w:p w14:paraId="1D51518A" w14:textId="77777777" w:rsidR="007E0ABC" w:rsidRDefault="007E0ABC">
            <w:pPr>
              <w:rPr>
                <w:sz w:val="18"/>
                <w:szCs w:val="18"/>
              </w:rPr>
            </w:pPr>
            <w:r>
              <w:rPr>
                <w:sz w:val="18"/>
                <w:szCs w:val="18"/>
              </w:rPr>
              <w:t>1.06</w:t>
            </w:r>
          </w:p>
        </w:tc>
        <w:tc>
          <w:tcPr>
            <w:tcW w:w="1098" w:type="dxa"/>
          </w:tcPr>
          <w:p w14:paraId="53B1DAE5" w14:textId="77777777" w:rsidR="007E0ABC" w:rsidRDefault="007E0ABC">
            <w:pPr>
              <w:rPr>
                <w:sz w:val="18"/>
                <w:szCs w:val="18"/>
              </w:rPr>
            </w:pPr>
            <w:r>
              <w:rPr>
                <w:sz w:val="18"/>
                <w:szCs w:val="18"/>
              </w:rPr>
              <w:t>1.03/1.06</w:t>
            </w:r>
          </w:p>
        </w:tc>
        <w:tc>
          <w:tcPr>
            <w:tcW w:w="899" w:type="dxa"/>
          </w:tcPr>
          <w:p w14:paraId="69277322" w14:textId="77777777" w:rsidR="007E0ABC" w:rsidRDefault="007E0ABC">
            <w:pPr>
              <w:rPr>
                <w:sz w:val="18"/>
                <w:szCs w:val="18"/>
              </w:rPr>
            </w:pPr>
            <w:r>
              <w:rPr>
                <w:sz w:val="18"/>
                <w:szCs w:val="18"/>
              </w:rPr>
              <w:t>0.62</w:t>
            </w:r>
          </w:p>
        </w:tc>
        <w:tc>
          <w:tcPr>
            <w:tcW w:w="555" w:type="dxa"/>
          </w:tcPr>
          <w:p w14:paraId="2978C76E" w14:textId="77777777" w:rsidR="007E0ABC" w:rsidRDefault="007E0ABC">
            <w:pPr>
              <w:rPr>
                <w:sz w:val="18"/>
                <w:szCs w:val="18"/>
              </w:rPr>
            </w:pPr>
            <w:r>
              <w:rPr>
                <w:sz w:val="18"/>
                <w:szCs w:val="18"/>
              </w:rPr>
              <w:t>80%</w:t>
            </w:r>
          </w:p>
        </w:tc>
        <w:tc>
          <w:tcPr>
            <w:tcW w:w="555" w:type="dxa"/>
          </w:tcPr>
          <w:p w14:paraId="198785E7" w14:textId="77777777" w:rsidR="007E0ABC" w:rsidRDefault="007E0ABC">
            <w:pPr>
              <w:rPr>
                <w:sz w:val="18"/>
                <w:szCs w:val="18"/>
              </w:rPr>
            </w:pPr>
            <w:r>
              <w:rPr>
                <w:sz w:val="18"/>
                <w:szCs w:val="18"/>
              </w:rPr>
              <w:t>37%</w:t>
            </w:r>
          </w:p>
        </w:tc>
        <w:tc>
          <w:tcPr>
            <w:tcW w:w="1262" w:type="dxa"/>
            <w:vMerge/>
          </w:tcPr>
          <w:p w14:paraId="7F28B892" w14:textId="77777777" w:rsidR="007E0ABC" w:rsidRDefault="007E0ABC">
            <w:pPr>
              <w:widowControl w:val="0"/>
              <w:spacing w:line="276" w:lineRule="auto"/>
              <w:rPr>
                <w:sz w:val="18"/>
                <w:szCs w:val="18"/>
              </w:rPr>
            </w:pPr>
          </w:p>
        </w:tc>
      </w:tr>
      <w:tr w:rsidR="007E0ABC" w14:paraId="088A5501" w14:textId="77777777">
        <w:trPr>
          <w:trHeight w:val="180"/>
        </w:trPr>
        <w:tc>
          <w:tcPr>
            <w:tcW w:w="1119" w:type="dxa"/>
            <w:vMerge w:val="restart"/>
          </w:tcPr>
          <w:p w14:paraId="50660EF6" w14:textId="77777777" w:rsidR="007E0ABC" w:rsidRDefault="007E0ABC">
            <w:pPr>
              <w:widowControl w:val="0"/>
              <w:spacing w:line="276" w:lineRule="auto"/>
              <w:rPr>
                <w:sz w:val="18"/>
                <w:szCs w:val="18"/>
              </w:rPr>
            </w:pPr>
            <w:r>
              <w:rPr>
                <w:sz w:val="18"/>
                <w:szCs w:val="18"/>
              </w:rPr>
              <w:t>M1 - Collapse categories 1&amp;2 and 3&amp;4</w:t>
            </w:r>
          </w:p>
        </w:tc>
        <w:tc>
          <w:tcPr>
            <w:tcW w:w="651" w:type="dxa"/>
          </w:tcPr>
          <w:p w14:paraId="7658CB54" w14:textId="77777777" w:rsidR="007E0ABC" w:rsidRDefault="007E0ABC">
            <w:pPr>
              <w:rPr>
                <w:sz w:val="18"/>
                <w:szCs w:val="18"/>
              </w:rPr>
            </w:pPr>
            <w:r>
              <w:rPr>
                <w:sz w:val="18"/>
                <w:szCs w:val="18"/>
              </w:rPr>
              <w:t>1</w:t>
            </w:r>
          </w:p>
        </w:tc>
        <w:tc>
          <w:tcPr>
            <w:tcW w:w="838" w:type="dxa"/>
          </w:tcPr>
          <w:p w14:paraId="477D5F29" w14:textId="77777777" w:rsidR="007E0ABC" w:rsidRDefault="007E0ABC">
            <w:pPr>
              <w:rPr>
                <w:sz w:val="18"/>
                <w:szCs w:val="18"/>
              </w:rPr>
            </w:pPr>
            <w:r>
              <w:rPr>
                <w:sz w:val="18"/>
                <w:szCs w:val="18"/>
              </w:rPr>
              <w:t>1212 (38%)</w:t>
            </w:r>
          </w:p>
        </w:tc>
        <w:tc>
          <w:tcPr>
            <w:tcW w:w="976" w:type="dxa"/>
          </w:tcPr>
          <w:p w14:paraId="2FB8754C" w14:textId="77777777" w:rsidR="007E0ABC" w:rsidRDefault="007E0ABC">
            <w:pPr>
              <w:tabs>
                <w:tab w:val="left" w:pos="975"/>
              </w:tabs>
              <w:rPr>
                <w:sz w:val="18"/>
                <w:szCs w:val="18"/>
              </w:rPr>
            </w:pPr>
            <w:r>
              <w:rPr>
                <w:sz w:val="18"/>
                <w:szCs w:val="18"/>
              </w:rPr>
              <w:t>-1.50</w:t>
            </w:r>
          </w:p>
        </w:tc>
        <w:tc>
          <w:tcPr>
            <w:tcW w:w="1057" w:type="dxa"/>
          </w:tcPr>
          <w:p w14:paraId="5278B070" w14:textId="77777777" w:rsidR="007E0ABC" w:rsidRDefault="007E0ABC">
            <w:pPr>
              <w:rPr>
                <w:sz w:val="18"/>
                <w:szCs w:val="18"/>
              </w:rPr>
            </w:pPr>
            <w:r>
              <w:rPr>
                <w:sz w:val="18"/>
                <w:szCs w:val="18"/>
              </w:rPr>
              <w:t>-1.50</w:t>
            </w:r>
          </w:p>
        </w:tc>
        <w:tc>
          <w:tcPr>
            <w:tcW w:w="1098" w:type="dxa"/>
          </w:tcPr>
          <w:p w14:paraId="7B158BA1" w14:textId="77777777" w:rsidR="007E0ABC" w:rsidRDefault="007E0ABC">
            <w:pPr>
              <w:rPr>
                <w:sz w:val="18"/>
                <w:szCs w:val="18"/>
              </w:rPr>
            </w:pPr>
            <w:r>
              <w:rPr>
                <w:sz w:val="18"/>
                <w:szCs w:val="18"/>
              </w:rPr>
              <w:t>1.03/1.03</w:t>
            </w:r>
          </w:p>
        </w:tc>
        <w:tc>
          <w:tcPr>
            <w:tcW w:w="899" w:type="dxa"/>
          </w:tcPr>
          <w:p w14:paraId="049AA29E" w14:textId="77777777" w:rsidR="007E0ABC" w:rsidRDefault="007E0ABC">
            <w:pPr>
              <w:rPr>
                <w:sz w:val="18"/>
                <w:szCs w:val="18"/>
              </w:rPr>
            </w:pPr>
            <w:r>
              <w:rPr>
                <w:sz w:val="18"/>
                <w:szCs w:val="18"/>
              </w:rPr>
              <w:t>-</w:t>
            </w:r>
          </w:p>
        </w:tc>
        <w:tc>
          <w:tcPr>
            <w:tcW w:w="555" w:type="dxa"/>
          </w:tcPr>
          <w:p w14:paraId="3B5D3614" w14:textId="77777777" w:rsidR="007E0ABC" w:rsidRDefault="007E0ABC">
            <w:pPr>
              <w:rPr>
                <w:sz w:val="18"/>
                <w:szCs w:val="18"/>
              </w:rPr>
            </w:pPr>
            <w:r>
              <w:rPr>
                <w:sz w:val="18"/>
                <w:szCs w:val="18"/>
              </w:rPr>
              <w:t>73%</w:t>
            </w:r>
          </w:p>
        </w:tc>
        <w:tc>
          <w:tcPr>
            <w:tcW w:w="555" w:type="dxa"/>
          </w:tcPr>
          <w:p w14:paraId="01F07D54" w14:textId="77777777" w:rsidR="007E0ABC" w:rsidRDefault="007E0ABC">
            <w:pPr>
              <w:rPr>
                <w:sz w:val="18"/>
                <w:szCs w:val="18"/>
              </w:rPr>
            </w:pPr>
            <w:r>
              <w:rPr>
                <w:sz w:val="18"/>
                <w:szCs w:val="18"/>
              </w:rPr>
              <w:t>62%</w:t>
            </w:r>
          </w:p>
        </w:tc>
        <w:tc>
          <w:tcPr>
            <w:tcW w:w="1262" w:type="dxa"/>
            <w:vMerge w:val="restart"/>
          </w:tcPr>
          <w:p w14:paraId="0204ADC0" w14:textId="77777777" w:rsidR="007E0ABC" w:rsidRDefault="007E0ABC">
            <w:pPr>
              <w:widowControl w:val="0"/>
              <w:spacing w:line="276" w:lineRule="auto"/>
              <w:rPr>
                <w:sz w:val="18"/>
                <w:szCs w:val="18"/>
              </w:rPr>
            </w:pPr>
            <w:r>
              <w:rPr>
                <w:sz w:val="18"/>
                <w:szCs w:val="18"/>
              </w:rPr>
              <w:t>All satisfied</w:t>
            </w:r>
          </w:p>
        </w:tc>
      </w:tr>
      <w:tr w:rsidR="007E0ABC" w14:paraId="43C49629" w14:textId="77777777">
        <w:trPr>
          <w:trHeight w:val="180"/>
        </w:trPr>
        <w:tc>
          <w:tcPr>
            <w:tcW w:w="1119" w:type="dxa"/>
            <w:vMerge/>
          </w:tcPr>
          <w:p w14:paraId="3DEBBEF5" w14:textId="77777777" w:rsidR="007E0ABC" w:rsidRDefault="007E0ABC">
            <w:pPr>
              <w:widowControl w:val="0"/>
              <w:rPr>
                <w:sz w:val="18"/>
                <w:szCs w:val="18"/>
              </w:rPr>
            </w:pPr>
          </w:p>
        </w:tc>
        <w:tc>
          <w:tcPr>
            <w:tcW w:w="651" w:type="dxa"/>
          </w:tcPr>
          <w:p w14:paraId="180986AE" w14:textId="77777777" w:rsidR="007E0ABC" w:rsidRDefault="007E0ABC">
            <w:pPr>
              <w:rPr>
                <w:sz w:val="18"/>
                <w:szCs w:val="18"/>
              </w:rPr>
            </w:pPr>
            <w:r>
              <w:rPr>
                <w:sz w:val="18"/>
                <w:szCs w:val="18"/>
              </w:rPr>
              <w:t>2</w:t>
            </w:r>
          </w:p>
        </w:tc>
        <w:tc>
          <w:tcPr>
            <w:tcW w:w="838" w:type="dxa"/>
          </w:tcPr>
          <w:p w14:paraId="40808206" w14:textId="77777777" w:rsidR="007E0ABC" w:rsidRDefault="007E0ABC">
            <w:pPr>
              <w:rPr>
                <w:sz w:val="18"/>
                <w:szCs w:val="18"/>
              </w:rPr>
            </w:pPr>
            <w:r>
              <w:rPr>
                <w:sz w:val="18"/>
                <w:szCs w:val="18"/>
              </w:rPr>
              <w:t>1169 (37%)</w:t>
            </w:r>
          </w:p>
        </w:tc>
        <w:tc>
          <w:tcPr>
            <w:tcW w:w="976" w:type="dxa"/>
          </w:tcPr>
          <w:p w14:paraId="1D08FE97" w14:textId="77777777" w:rsidR="007E0ABC" w:rsidRDefault="007E0ABC">
            <w:pPr>
              <w:tabs>
                <w:tab w:val="left" w:pos="975"/>
              </w:tabs>
              <w:rPr>
                <w:sz w:val="18"/>
                <w:szCs w:val="18"/>
              </w:rPr>
            </w:pPr>
            <w:r>
              <w:rPr>
                <w:sz w:val="18"/>
                <w:szCs w:val="18"/>
              </w:rPr>
              <w:t>-0.28</w:t>
            </w:r>
          </w:p>
        </w:tc>
        <w:tc>
          <w:tcPr>
            <w:tcW w:w="1057" w:type="dxa"/>
          </w:tcPr>
          <w:p w14:paraId="7D1BBB99" w14:textId="77777777" w:rsidR="007E0ABC" w:rsidRDefault="007E0ABC">
            <w:pPr>
              <w:rPr>
                <w:sz w:val="18"/>
                <w:szCs w:val="18"/>
              </w:rPr>
            </w:pPr>
            <w:r>
              <w:rPr>
                <w:sz w:val="18"/>
                <w:szCs w:val="18"/>
              </w:rPr>
              <w:t>-0.27</w:t>
            </w:r>
          </w:p>
        </w:tc>
        <w:tc>
          <w:tcPr>
            <w:tcW w:w="1098" w:type="dxa"/>
          </w:tcPr>
          <w:p w14:paraId="2BF8C722" w14:textId="77777777" w:rsidR="007E0ABC" w:rsidRDefault="007E0ABC">
            <w:pPr>
              <w:rPr>
                <w:sz w:val="18"/>
                <w:szCs w:val="18"/>
              </w:rPr>
            </w:pPr>
            <w:r>
              <w:rPr>
                <w:sz w:val="18"/>
                <w:szCs w:val="18"/>
              </w:rPr>
              <w:t>0.93/0.89</w:t>
            </w:r>
          </w:p>
        </w:tc>
        <w:tc>
          <w:tcPr>
            <w:tcW w:w="899" w:type="dxa"/>
          </w:tcPr>
          <w:p w14:paraId="01FC2238" w14:textId="77777777" w:rsidR="007E0ABC" w:rsidRDefault="007E0ABC">
            <w:pPr>
              <w:rPr>
                <w:sz w:val="18"/>
                <w:szCs w:val="18"/>
              </w:rPr>
            </w:pPr>
            <w:r>
              <w:rPr>
                <w:sz w:val="18"/>
                <w:szCs w:val="18"/>
              </w:rPr>
              <w:t>-0.97</w:t>
            </w:r>
          </w:p>
        </w:tc>
        <w:tc>
          <w:tcPr>
            <w:tcW w:w="555" w:type="dxa"/>
          </w:tcPr>
          <w:p w14:paraId="40B98108" w14:textId="77777777" w:rsidR="007E0ABC" w:rsidRDefault="007E0ABC">
            <w:pPr>
              <w:rPr>
                <w:sz w:val="18"/>
                <w:szCs w:val="18"/>
              </w:rPr>
            </w:pPr>
            <w:r>
              <w:rPr>
                <w:sz w:val="18"/>
                <w:szCs w:val="18"/>
              </w:rPr>
              <w:t>54%</w:t>
            </w:r>
          </w:p>
        </w:tc>
        <w:tc>
          <w:tcPr>
            <w:tcW w:w="555" w:type="dxa"/>
          </w:tcPr>
          <w:p w14:paraId="2797DCB6" w14:textId="77777777" w:rsidR="007E0ABC" w:rsidRDefault="007E0ABC">
            <w:pPr>
              <w:rPr>
                <w:sz w:val="18"/>
                <w:szCs w:val="18"/>
              </w:rPr>
            </w:pPr>
            <w:r>
              <w:rPr>
                <w:sz w:val="18"/>
                <w:szCs w:val="18"/>
              </w:rPr>
              <w:t>72%</w:t>
            </w:r>
          </w:p>
        </w:tc>
        <w:tc>
          <w:tcPr>
            <w:tcW w:w="1262" w:type="dxa"/>
            <w:vMerge/>
          </w:tcPr>
          <w:p w14:paraId="07FB0391" w14:textId="77777777" w:rsidR="007E0ABC" w:rsidRDefault="007E0ABC">
            <w:pPr>
              <w:widowControl w:val="0"/>
              <w:rPr>
                <w:sz w:val="18"/>
                <w:szCs w:val="18"/>
              </w:rPr>
            </w:pPr>
          </w:p>
        </w:tc>
      </w:tr>
      <w:tr w:rsidR="007E0ABC" w14:paraId="6C9715A8" w14:textId="77777777">
        <w:trPr>
          <w:trHeight w:val="180"/>
        </w:trPr>
        <w:tc>
          <w:tcPr>
            <w:tcW w:w="1119" w:type="dxa"/>
            <w:vMerge/>
          </w:tcPr>
          <w:p w14:paraId="67C17D7B" w14:textId="77777777" w:rsidR="007E0ABC" w:rsidRDefault="007E0ABC">
            <w:pPr>
              <w:widowControl w:val="0"/>
              <w:rPr>
                <w:sz w:val="18"/>
                <w:szCs w:val="18"/>
              </w:rPr>
            </w:pPr>
          </w:p>
        </w:tc>
        <w:tc>
          <w:tcPr>
            <w:tcW w:w="651" w:type="dxa"/>
          </w:tcPr>
          <w:p w14:paraId="04F7C8AE" w14:textId="77777777" w:rsidR="007E0ABC" w:rsidRDefault="007E0ABC">
            <w:pPr>
              <w:rPr>
                <w:sz w:val="18"/>
                <w:szCs w:val="18"/>
              </w:rPr>
            </w:pPr>
            <w:r>
              <w:rPr>
                <w:sz w:val="18"/>
                <w:szCs w:val="18"/>
              </w:rPr>
              <w:t>3</w:t>
            </w:r>
          </w:p>
        </w:tc>
        <w:tc>
          <w:tcPr>
            <w:tcW w:w="838" w:type="dxa"/>
          </w:tcPr>
          <w:p w14:paraId="30DA6B64" w14:textId="77777777" w:rsidR="007E0ABC" w:rsidRDefault="007E0ABC">
            <w:pPr>
              <w:rPr>
                <w:sz w:val="18"/>
                <w:szCs w:val="18"/>
              </w:rPr>
            </w:pPr>
            <w:r>
              <w:rPr>
                <w:sz w:val="18"/>
                <w:szCs w:val="18"/>
              </w:rPr>
              <w:t>769 (24%)</w:t>
            </w:r>
          </w:p>
        </w:tc>
        <w:tc>
          <w:tcPr>
            <w:tcW w:w="976" w:type="dxa"/>
          </w:tcPr>
          <w:p w14:paraId="4656AD4D" w14:textId="77777777" w:rsidR="007E0ABC" w:rsidRDefault="007E0ABC">
            <w:pPr>
              <w:tabs>
                <w:tab w:val="left" w:pos="975"/>
              </w:tabs>
              <w:rPr>
                <w:sz w:val="18"/>
                <w:szCs w:val="18"/>
              </w:rPr>
            </w:pPr>
            <w:r>
              <w:rPr>
                <w:sz w:val="18"/>
                <w:szCs w:val="18"/>
              </w:rPr>
              <w:t>1.25</w:t>
            </w:r>
          </w:p>
        </w:tc>
        <w:tc>
          <w:tcPr>
            <w:tcW w:w="1057" w:type="dxa"/>
          </w:tcPr>
          <w:p w14:paraId="064331E0" w14:textId="77777777" w:rsidR="007E0ABC" w:rsidRDefault="007E0ABC">
            <w:pPr>
              <w:rPr>
                <w:sz w:val="18"/>
                <w:szCs w:val="18"/>
              </w:rPr>
            </w:pPr>
            <w:r>
              <w:rPr>
                <w:sz w:val="18"/>
                <w:szCs w:val="18"/>
              </w:rPr>
              <w:t>1.24</w:t>
            </w:r>
          </w:p>
        </w:tc>
        <w:tc>
          <w:tcPr>
            <w:tcW w:w="1098" w:type="dxa"/>
          </w:tcPr>
          <w:p w14:paraId="5ADD1C1D" w14:textId="77777777" w:rsidR="007E0ABC" w:rsidRDefault="007E0ABC">
            <w:pPr>
              <w:rPr>
                <w:sz w:val="18"/>
                <w:szCs w:val="18"/>
              </w:rPr>
            </w:pPr>
            <w:r>
              <w:rPr>
                <w:sz w:val="18"/>
                <w:szCs w:val="18"/>
              </w:rPr>
              <w:t>1.03/1.06</w:t>
            </w:r>
          </w:p>
        </w:tc>
        <w:tc>
          <w:tcPr>
            <w:tcW w:w="899" w:type="dxa"/>
          </w:tcPr>
          <w:p w14:paraId="6F8C7826" w14:textId="77777777" w:rsidR="007E0ABC" w:rsidRDefault="007E0ABC">
            <w:pPr>
              <w:rPr>
                <w:sz w:val="18"/>
                <w:szCs w:val="18"/>
              </w:rPr>
            </w:pPr>
            <w:r>
              <w:rPr>
                <w:sz w:val="18"/>
                <w:szCs w:val="18"/>
              </w:rPr>
              <w:t>0.97</w:t>
            </w:r>
          </w:p>
        </w:tc>
        <w:tc>
          <w:tcPr>
            <w:tcW w:w="555" w:type="dxa"/>
          </w:tcPr>
          <w:p w14:paraId="7AEA2E0E" w14:textId="77777777" w:rsidR="007E0ABC" w:rsidRDefault="007E0ABC">
            <w:pPr>
              <w:rPr>
                <w:sz w:val="18"/>
                <w:szCs w:val="18"/>
              </w:rPr>
            </w:pPr>
            <w:r>
              <w:rPr>
                <w:sz w:val="18"/>
                <w:szCs w:val="18"/>
              </w:rPr>
              <w:t>77%</w:t>
            </w:r>
          </w:p>
        </w:tc>
        <w:tc>
          <w:tcPr>
            <w:tcW w:w="555" w:type="dxa"/>
          </w:tcPr>
          <w:p w14:paraId="04F5D0CA" w14:textId="77777777" w:rsidR="007E0ABC" w:rsidRDefault="007E0ABC">
            <w:pPr>
              <w:rPr>
                <w:sz w:val="18"/>
                <w:szCs w:val="18"/>
              </w:rPr>
            </w:pPr>
            <w:r>
              <w:rPr>
                <w:sz w:val="18"/>
                <w:szCs w:val="18"/>
              </w:rPr>
              <w:t>53%</w:t>
            </w:r>
          </w:p>
        </w:tc>
        <w:tc>
          <w:tcPr>
            <w:tcW w:w="1262" w:type="dxa"/>
            <w:vMerge/>
          </w:tcPr>
          <w:p w14:paraId="6557990B" w14:textId="77777777" w:rsidR="007E0ABC" w:rsidRDefault="007E0ABC">
            <w:pPr>
              <w:widowControl w:val="0"/>
              <w:rPr>
                <w:sz w:val="18"/>
                <w:szCs w:val="18"/>
              </w:rPr>
            </w:pPr>
          </w:p>
        </w:tc>
      </w:tr>
      <w:tr w:rsidR="007E0ABC" w14:paraId="7119490A" w14:textId="77777777">
        <w:trPr>
          <w:trHeight w:val="180"/>
        </w:trPr>
        <w:tc>
          <w:tcPr>
            <w:tcW w:w="1119" w:type="dxa"/>
            <w:vMerge w:val="restart"/>
          </w:tcPr>
          <w:p w14:paraId="7B26C5FD" w14:textId="77777777" w:rsidR="007E0ABC" w:rsidRDefault="007E0ABC">
            <w:pPr>
              <w:widowControl w:val="0"/>
              <w:rPr>
                <w:sz w:val="18"/>
                <w:szCs w:val="18"/>
              </w:rPr>
            </w:pPr>
            <w:r>
              <w:rPr>
                <w:sz w:val="18"/>
                <w:szCs w:val="18"/>
              </w:rPr>
              <w:t>M2 - Misfitting persons removed</w:t>
            </w:r>
          </w:p>
        </w:tc>
        <w:tc>
          <w:tcPr>
            <w:tcW w:w="651" w:type="dxa"/>
          </w:tcPr>
          <w:p w14:paraId="198673C6" w14:textId="77777777" w:rsidR="007E0ABC" w:rsidRDefault="007E0ABC">
            <w:pPr>
              <w:rPr>
                <w:sz w:val="18"/>
                <w:szCs w:val="18"/>
              </w:rPr>
            </w:pPr>
            <w:r>
              <w:rPr>
                <w:sz w:val="18"/>
                <w:szCs w:val="18"/>
              </w:rPr>
              <w:t>1</w:t>
            </w:r>
          </w:p>
        </w:tc>
        <w:tc>
          <w:tcPr>
            <w:tcW w:w="838" w:type="dxa"/>
          </w:tcPr>
          <w:p w14:paraId="561425F4" w14:textId="77777777" w:rsidR="007E0ABC" w:rsidRDefault="007E0ABC">
            <w:pPr>
              <w:rPr>
                <w:sz w:val="18"/>
                <w:szCs w:val="18"/>
              </w:rPr>
            </w:pPr>
            <w:r>
              <w:rPr>
                <w:sz w:val="18"/>
                <w:szCs w:val="18"/>
              </w:rPr>
              <w:t>921 (38)</w:t>
            </w:r>
          </w:p>
        </w:tc>
        <w:tc>
          <w:tcPr>
            <w:tcW w:w="976" w:type="dxa"/>
          </w:tcPr>
          <w:p w14:paraId="5E00F63A" w14:textId="77777777" w:rsidR="007E0ABC" w:rsidRDefault="007E0ABC">
            <w:pPr>
              <w:tabs>
                <w:tab w:val="left" w:pos="975"/>
              </w:tabs>
              <w:rPr>
                <w:sz w:val="18"/>
                <w:szCs w:val="18"/>
              </w:rPr>
            </w:pPr>
            <w:r>
              <w:rPr>
                <w:sz w:val="18"/>
                <w:szCs w:val="18"/>
              </w:rPr>
              <w:t>-1.77</w:t>
            </w:r>
          </w:p>
        </w:tc>
        <w:tc>
          <w:tcPr>
            <w:tcW w:w="1057" w:type="dxa"/>
          </w:tcPr>
          <w:p w14:paraId="65F3012F" w14:textId="77777777" w:rsidR="007E0ABC" w:rsidRDefault="007E0ABC">
            <w:pPr>
              <w:rPr>
                <w:sz w:val="18"/>
                <w:szCs w:val="18"/>
              </w:rPr>
            </w:pPr>
            <w:r>
              <w:rPr>
                <w:sz w:val="18"/>
                <w:szCs w:val="18"/>
              </w:rPr>
              <w:t>-1.76</w:t>
            </w:r>
          </w:p>
        </w:tc>
        <w:tc>
          <w:tcPr>
            <w:tcW w:w="1098" w:type="dxa"/>
          </w:tcPr>
          <w:p w14:paraId="36815A6A" w14:textId="77777777" w:rsidR="007E0ABC" w:rsidRDefault="007E0ABC">
            <w:pPr>
              <w:rPr>
                <w:sz w:val="18"/>
                <w:szCs w:val="18"/>
              </w:rPr>
            </w:pPr>
            <w:r>
              <w:rPr>
                <w:sz w:val="18"/>
                <w:szCs w:val="18"/>
              </w:rPr>
              <w:t>0.97/0.96</w:t>
            </w:r>
          </w:p>
        </w:tc>
        <w:tc>
          <w:tcPr>
            <w:tcW w:w="899" w:type="dxa"/>
          </w:tcPr>
          <w:p w14:paraId="1B767565" w14:textId="77777777" w:rsidR="007E0ABC" w:rsidRDefault="007E0ABC">
            <w:pPr>
              <w:rPr>
                <w:sz w:val="18"/>
                <w:szCs w:val="18"/>
              </w:rPr>
            </w:pPr>
            <w:r>
              <w:rPr>
                <w:sz w:val="18"/>
                <w:szCs w:val="18"/>
              </w:rPr>
              <w:t>-</w:t>
            </w:r>
          </w:p>
        </w:tc>
        <w:tc>
          <w:tcPr>
            <w:tcW w:w="555" w:type="dxa"/>
          </w:tcPr>
          <w:p w14:paraId="2A8251D9" w14:textId="77777777" w:rsidR="007E0ABC" w:rsidRDefault="007E0ABC">
            <w:pPr>
              <w:rPr>
                <w:sz w:val="18"/>
                <w:szCs w:val="18"/>
              </w:rPr>
            </w:pPr>
            <w:r>
              <w:rPr>
                <w:sz w:val="18"/>
                <w:szCs w:val="18"/>
              </w:rPr>
              <w:t>73%</w:t>
            </w:r>
          </w:p>
        </w:tc>
        <w:tc>
          <w:tcPr>
            <w:tcW w:w="555" w:type="dxa"/>
          </w:tcPr>
          <w:p w14:paraId="648AC779" w14:textId="77777777" w:rsidR="007E0ABC" w:rsidRDefault="007E0ABC">
            <w:pPr>
              <w:rPr>
                <w:sz w:val="18"/>
                <w:szCs w:val="18"/>
              </w:rPr>
            </w:pPr>
            <w:r>
              <w:rPr>
                <w:sz w:val="18"/>
                <w:szCs w:val="18"/>
              </w:rPr>
              <w:t>64%</w:t>
            </w:r>
          </w:p>
        </w:tc>
        <w:tc>
          <w:tcPr>
            <w:tcW w:w="1262" w:type="dxa"/>
            <w:vMerge w:val="restart"/>
          </w:tcPr>
          <w:p w14:paraId="3B135E66" w14:textId="77777777" w:rsidR="007E0ABC" w:rsidRDefault="007E0ABC">
            <w:pPr>
              <w:widowControl w:val="0"/>
              <w:rPr>
                <w:sz w:val="18"/>
                <w:szCs w:val="18"/>
              </w:rPr>
            </w:pPr>
            <w:r>
              <w:rPr>
                <w:sz w:val="18"/>
                <w:szCs w:val="18"/>
              </w:rPr>
              <w:t>All satisfied</w:t>
            </w:r>
          </w:p>
        </w:tc>
      </w:tr>
      <w:tr w:rsidR="007E0ABC" w14:paraId="6351F3D3" w14:textId="77777777">
        <w:trPr>
          <w:trHeight w:val="180"/>
        </w:trPr>
        <w:tc>
          <w:tcPr>
            <w:tcW w:w="1119" w:type="dxa"/>
            <w:vMerge/>
          </w:tcPr>
          <w:p w14:paraId="72140A9A" w14:textId="77777777" w:rsidR="007E0ABC" w:rsidRDefault="007E0ABC">
            <w:pPr>
              <w:widowControl w:val="0"/>
              <w:rPr>
                <w:sz w:val="18"/>
                <w:szCs w:val="18"/>
              </w:rPr>
            </w:pPr>
          </w:p>
        </w:tc>
        <w:tc>
          <w:tcPr>
            <w:tcW w:w="651" w:type="dxa"/>
          </w:tcPr>
          <w:p w14:paraId="05E7AD76" w14:textId="77777777" w:rsidR="007E0ABC" w:rsidRDefault="007E0ABC">
            <w:pPr>
              <w:rPr>
                <w:sz w:val="18"/>
                <w:szCs w:val="18"/>
              </w:rPr>
            </w:pPr>
            <w:r>
              <w:rPr>
                <w:sz w:val="18"/>
                <w:szCs w:val="18"/>
              </w:rPr>
              <w:t>2</w:t>
            </w:r>
          </w:p>
        </w:tc>
        <w:tc>
          <w:tcPr>
            <w:tcW w:w="838" w:type="dxa"/>
          </w:tcPr>
          <w:p w14:paraId="23F6308E" w14:textId="77777777" w:rsidR="007E0ABC" w:rsidRDefault="007E0ABC">
            <w:pPr>
              <w:rPr>
                <w:sz w:val="18"/>
                <w:szCs w:val="18"/>
              </w:rPr>
            </w:pPr>
            <w:r>
              <w:rPr>
                <w:sz w:val="18"/>
                <w:szCs w:val="18"/>
              </w:rPr>
              <w:t>929 (38)</w:t>
            </w:r>
          </w:p>
        </w:tc>
        <w:tc>
          <w:tcPr>
            <w:tcW w:w="976" w:type="dxa"/>
          </w:tcPr>
          <w:p w14:paraId="36B18344" w14:textId="77777777" w:rsidR="007E0ABC" w:rsidRDefault="007E0ABC">
            <w:pPr>
              <w:tabs>
                <w:tab w:val="left" w:pos="975"/>
              </w:tabs>
              <w:rPr>
                <w:sz w:val="18"/>
                <w:szCs w:val="18"/>
              </w:rPr>
            </w:pPr>
            <w:r>
              <w:rPr>
                <w:sz w:val="18"/>
                <w:szCs w:val="18"/>
              </w:rPr>
              <w:t>-0.31</w:t>
            </w:r>
          </w:p>
        </w:tc>
        <w:tc>
          <w:tcPr>
            <w:tcW w:w="1057" w:type="dxa"/>
          </w:tcPr>
          <w:p w14:paraId="53058CB6" w14:textId="77777777" w:rsidR="007E0ABC" w:rsidRDefault="007E0ABC">
            <w:pPr>
              <w:rPr>
                <w:sz w:val="18"/>
                <w:szCs w:val="18"/>
              </w:rPr>
            </w:pPr>
            <w:r>
              <w:rPr>
                <w:sz w:val="18"/>
                <w:szCs w:val="18"/>
              </w:rPr>
              <w:t>-0.33</w:t>
            </w:r>
          </w:p>
        </w:tc>
        <w:tc>
          <w:tcPr>
            <w:tcW w:w="1098" w:type="dxa"/>
          </w:tcPr>
          <w:p w14:paraId="16F40720" w14:textId="77777777" w:rsidR="007E0ABC" w:rsidRDefault="007E0ABC">
            <w:pPr>
              <w:rPr>
                <w:sz w:val="18"/>
                <w:szCs w:val="18"/>
              </w:rPr>
            </w:pPr>
            <w:r>
              <w:rPr>
                <w:sz w:val="18"/>
                <w:szCs w:val="18"/>
              </w:rPr>
              <w:t>0.99/0.97</w:t>
            </w:r>
          </w:p>
        </w:tc>
        <w:tc>
          <w:tcPr>
            <w:tcW w:w="899" w:type="dxa"/>
          </w:tcPr>
          <w:p w14:paraId="2AC20468" w14:textId="77777777" w:rsidR="007E0ABC" w:rsidRDefault="007E0ABC">
            <w:pPr>
              <w:rPr>
                <w:sz w:val="18"/>
                <w:szCs w:val="18"/>
              </w:rPr>
            </w:pPr>
            <w:r>
              <w:rPr>
                <w:sz w:val="18"/>
                <w:szCs w:val="18"/>
              </w:rPr>
              <w:t>-1.18</w:t>
            </w:r>
          </w:p>
        </w:tc>
        <w:tc>
          <w:tcPr>
            <w:tcW w:w="555" w:type="dxa"/>
          </w:tcPr>
          <w:p w14:paraId="702FE2F1" w14:textId="77777777" w:rsidR="007E0ABC" w:rsidRDefault="007E0ABC">
            <w:pPr>
              <w:rPr>
                <w:sz w:val="18"/>
                <w:szCs w:val="18"/>
              </w:rPr>
            </w:pPr>
            <w:r>
              <w:rPr>
                <w:sz w:val="18"/>
                <w:szCs w:val="18"/>
              </w:rPr>
              <w:t>56%</w:t>
            </w:r>
          </w:p>
        </w:tc>
        <w:tc>
          <w:tcPr>
            <w:tcW w:w="555" w:type="dxa"/>
          </w:tcPr>
          <w:p w14:paraId="78223D98" w14:textId="77777777" w:rsidR="007E0ABC" w:rsidRDefault="007E0ABC">
            <w:pPr>
              <w:rPr>
                <w:sz w:val="18"/>
                <w:szCs w:val="18"/>
              </w:rPr>
            </w:pPr>
            <w:r>
              <w:rPr>
                <w:sz w:val="18"/>
                <w:szCs w:val="18"/>
              </w:rPr>
              <w:t>71%</w:t>
            </w:r>
          </w:p>
        </w:tc>
        <w:tc>
          <w:tcPr>
            <w:tcW w:w="1262" w:type="dxa"/>
            <w:vMerge/>
          </w:tcPr>
          <w:p w14:paraId="54A1EEC6" w14:textId="77777777" w:rsidR="007E0ABC" w:rsidRDefault="007E0ABC">
            <w:pPr>
              <w:widowControl w:val="0"/>
              <w:rPr>
                <w:sz w:val="18"/>
                <w:szCs w:val="18"/>
              </w:rPr>
            </w:pPr>
          </w:p>
        </w:tc>
      </w:tr>
      <w:tr w:rsidR="007E0ABC" w14:paraId="69835A31" w14:textId="77777777">
        <w:trPr>
          <w:trHeight w:val="180"/>
        </w:trPr>
        <w:tc>
          <w:tcPr>
            <w:tcW w:w="1119" w:type="dxa"/>
            <w:vMerge/>
          </w:tcPr>
          <w:p w14:paraId="5A03D3F2" w14:textId="77777777" w:rsidR="007E0ABC" w:rsidRDefault="007E0ABC">
            <w:pPr>
              <w:widowControl w:val="0"/>
              <w:rPr>
                <w:sz w:val="18"/>
                <w:szCs w:val="18"/>
              </w:rPr>
            </w:pPr>
          </w:p>
        </w:tc>
        <w:tc>
          <w:tcPr>
            <w:tcW w:w="651" w:type="dxa"/>
          </w:tcPr>
          <w:p w14:paraId="5FE6D323" w14:textId="77777777" w:rsidR="007E0ABC" w:rsidRDefault="007E0ABC">
            <w:pPr>
              <w:rPr>
                <w:sz w:val="18"/>
                <w:szCs w:val="18"/>
              </w:rPr>
            </w:pPr>
            <w:r>
              <w:rPr>
                <w:sz w:val="18"/>
                <w:szCs w:val="18"/>
              </w:rPr>
              <w:t>3</w:t>
            </w:r>
          </w:p>
        </w:tc>
        <w:tc>
          <w:tcPr>
            <w:tcW w:w="838" w:type="dxa"/>
          </w:tcPr>
          <w:p w14:paraId="353ED8F5" w14:textId="77777777" w:rsidR="007E0ABC" w:rsidRDefault="007E0ABC">
            <w:pPr>
              <w:rPr>
                <w:sz w:val="18"/>
                <w:szCs w:val="18"/>
              </w:rPr>
            </w:pPr>
            <w:r>
              <w:rPr>
                <w:sz w:val="18"/>
                <w:szCs w:val="18"/>
              </w:rPr>
              <w:t>565 (23)</w:t>
            </w:r>
          </w:p>
        </w:tc>
        <w:tc>
          <w:tcPr>
            <w:tcW w:w="976" w:type="dxa"/>
          </w:tcPr>
          <w:p w14:paraId="4715F06B" w14:textId="77777777" w:rsidR="007E0ABC" w:rsidRDefault="007E0ABC">
            <w:pPr>
              <w:tabs>
                <w:tab w:val="left" w:pos="975"/>
              </w:tabs>
              <w:rPr>
                <w:sz w:val="18"/>
                <w:szCs w:val="18"/>
              </w:rPr>
            </w:pPr>
            <w:r>
              <w:rPr>
                <w:sz w:val="18"/>
                <w:szCs w:val="18"/>
              </w:rPr>
              <w:t>1.51</w:t>
            </w:r>
          </w:p>
        </w:tc>
        <w:tc>
          <w:tcPr>
            <w:tcW w:w="1057" w:type="dxa"/>
          </w:tcPr>
          <w:p w14:paraId="2FB5024D" w14:textId="77777777" w:rsidR="007E0ABC" w:rsidRDefault="007E0ABC">
            <w:pPr>
              <w:rPr>
                <w:sz w:val="18"/>
                <w:szCs w:val="18"/>
              </w:rPr>
            </w:pPr>
            <w:r>
              <w:rPr>
                <w:sz w:val="18"/>
                <w:szCs w:val="18"/>
              </w:rPr>
              <w:t>1.52</w:t>
            </w:r>
          </w:p>
        </w:tc>
        <w:tc>
          <w:tcPr>
            <w:tcW w:w="1098" w:type="dxa"/>
          </w:tcPr>
          <w:p w14:paraId="4E261E1C" w14:textId="77777777" w:rsidR="007E0ABC" w:rsidRDefault="007E0ABC">
            <w:pPr>
              <w:rPr>
                <w:sz w:val="18"/>
                <w:szCs w:val="18"/>
              </w:rPr>
            </w:pPr>
            <w:r>
              <w:rPr>
                <w:sz w:val="18"/>
                <w:szCs w:val="18"/>
              </w:rPr>
              <w:t>1.04/1.05</w:t>
            </w:r>
          </w:p>
        </w:tc>
        <w:tc>
          <w:tcPr>
            <w:tcW w:w="899" w:type="dxa"/>
          </w:tcPr>
          <w:p w14:paraId="275E05B8" w14:textId="77777777" w:rsidR="007E0ABC" w:rsidRDefault="007E0ABC">
            <w:pPr>
              <w:rPr>
                <w:sz w:val="18"/>
                <w:szCs w:val="18"/>
              </w:rPr>
            </w:pPr>
            <w:r>
              <w:rPr>
                <w:sz w:val="18"/>
                <w:szCs w:val="18"/>
              </w:rPr>
              <w:t>1.18</w:t>
            </w:r>
          </w:p>
        </w:tc>
        <w:tc>
          <w:tcPr>
            <w:tcW w:w="555" w:type="dxa"/>
          </w:tcPr>
          <w:p w14:paraId="5D0E2CBF" w14:textId="77777777" w:rsidR="007E0ABC" w:rsidRDefault="007E0ABC">
            <w:pPr>
              <w:rPr>
                <w:sz w:val="18"/>
                <w:szCs w:val="18"/>
              </w:rPr>
            </w:pPr>
            <w:r>
              <w:rPr>
                <w:sz w:val="18"/>
                <w:szCs w:val="18"/>
              </w:rPr>
              <w:t>77%</w:t>
            </w:r>
          </w:p>
        </w:tc>
        <w:tc>
          <w:tcPr>
            <w:tcW w:w="555" w:type="dxa"/>
          </w:tcPr>
          <w:p w14:paraId="03D7917A" w14:textId="77777777" w:rsidR="007E0ABC" w:rsidRDefault="007E0ABC">
            <w:pPr>
              <w:rPr>
                <w:sz w:val="18"/>
                <w:szCs w:val="18"/>
              </w:rPr>
            </w:pPr>
            <w:r>
              <w:rPr>
                <w:sz w:val="18"/>
                <w:szCs w:val="18"/>
              </w:rPr>
              <w:t>54%</w:t>
            </w:r>
          </w:p>
        </w:tc>
        <w:tc>
          <w:tcPr>
            <w:tcW w:w="1262" w:type="dxa"/>
            <w:vMerge/>
          </w:tcPr>
          <w:p w14:paraId="7FF4B2FC" w14:textId="77777777" w:rsidR="007E0ABC" w:rsidRDefault="007E0ABC">
            <w:pPr>
              <w:widowControl w:val="0"/>
              <w:rPr>
                <w:sz w:val="18"/>
                <w:szCs w:val="18"/>
              </w:rPr>
            </w:pPr>
          </w:p>
        </w:tc>
      </w:tr>
    </w:tbl>
    <w:p w14:paraId="6F27F253" w14:textId="77777777" w:rsidR="007E0ABC" w:rsidRDefault="007E0ABC">
      <w:pPr>
        <w:pBdr>
          <w:top w:val="nil"/>
          <w:left w:val="nil"/>
          <w:bottom w:val="nil"/>
          <w:right w:val="nil"/>
          <w:between w:val="nil"/>
        </w:pBdr>
        <w:spacing w:after="160" w:line="259" w:lineRule="auto"/>
        <w:ind w:left="720"/>
        <w:rPr>
          <w:sz w:val="22"/>
          <w:szCs w:val="22"/>
        </w:rPr>
      </w:pPr>
    </w:p>
    <w:p w14:paraId="6A8842E6" w14:textId="77777777" w:rsidR="007E0ABC" w:rsidRPr="00461BB1" w:rsidRDefault="007E0ABC" w:rsidP="007E0ABC">
      <w:pPr>
        <w:pStyle w:val="ListParagraph"/>
        <w:numPr>
          <w:ilvl w:val="0"/>
          <w:numId w:val="200"/>
        </w:numPr>
        <w:spacing w:after="160" w:line="259" w:lineRule="auto"/>
        <w:rPr>
          <w:szCs w:val="20"/>
          <w:u w:val="single"/>
        </w:rPr>
      </w:pPr>
      <w:r w:rsidRPr="00461BB1">
        <w:rPr>
          <w:szCs w:val="20"/>
          <w:u w:val="single"/>
        </w:rPr>
        <w:t>Table n. Global Statistics/Overall fit</w:t>
      </w:r>
    </w:p>
    <w:p w14:paraId="087B6F5D" w14:textId="77777777" w:rsidR="007E0ABC" w:rsidRDefault="007E0ABC"/>
    <w:tbl>
      <w:tblPr>
        <w:tblW w:w="6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2041"/>
      </w:tblGrid>
      <w:tr w:rsidR="007E0ABC" w14:paraId="69B4AAE4" w14:textId="77777777">
        <w:tc>
          <w:tcPr>
            <w:tcW w:w="1555" w:type="dxa"/>
          </w:tcPr>
          <w:p w14:paraId="026BF54A" w14:textId="77777777" w:rsidR="007E0ABC" w:rsidRDefault="007E0ABC">
            <w:pPr>
              <w:rPr>
                <w:b/>
                <w:sz w:val="18"/>
                <w:szCs w:val="18"/>
              </w:rPr>
            </w:pPr>
            <w:r>
              <w:rPr>
                <w:b/>
                <w:sz w:val="18"/>
                <w:szCs w:val="18"/>
              </w:rPr>
              <w:t>Model</w:t>
            </w:r>
          </w:p>
        </w:tc>
        <w:tc>
          <w:tcPr>
            <w:tcW w:w="1559" w:type="dxa"/>
          </w:tcPr>
          <w:p w14:paraId="02ADDBB2" w14:textId="77777777" w:rsidR="007E0ABC" w:rsidRDefault="007E0ABC">
            <w:pPr>
              <w:rPr>
                <w:b/>
                <w:sz w:val="18"/>
                <w:szCs w:val="18"/>
              </w:rPr>
            </w:pPr>
            <w:r>
              <w:rPr>
                <w:b/>
                <w:sz w:val="18"/>
                <w:szCs w:val="18"/>
              </w:rPr>
              <w:t>Statistic</w:t>
            </w:r>
          </w:p>
        </w:tc>
        <w:tc>
          <w:tcPr>
            <w:tcW w:w="1559" w:type="dxa"/>
          </w:tcPr>
          <w:p w14:paraId="62D1FDE7" w14:textId="77777777" w:rsidR="007E0ABC" w:rsidRDefault="007E0ABC">
            <w:pPr>
              <w:rPr>
                <w:sz w:val="18"/>
                <w:szCs w:val="18"/>
              </w:rPr>
            </w:pPr>
          </w:p>
        </w:tc>
        <w:tc>
          <w:tcPr>
            <w:tcW w:w="2041" w:type="dxa"/>
          </w:tcPr>
          <w:p w14:paraId="2D066746" w14:textId="77777777" w:rsidR="007E0ABC" w:rsidRDefault="007E0ABC">
            <w:pPr>
              <w:rPr>
                <w:b/>
                <w:sz w:val="18"/>
                <w:szCs w:val="18"/>
              </w:rPr>
            </w:pPr>
            <w:r>
              <w:rPr>
                <w:b/>
                <w:sz w:val="18"/>
                <w:szCs w:val="18"/>
              </w:rPr>
              <w:t>Summary/decision</w:t>
            </w:r>
          </w:p>
        </w:tc>
      </w:tr>
      <w:tr w:rsidR="007E0ABC" w14:paraId="5E7D1BAF" w14:textId="77777777">
        <w:trPr>
          <w:trHeight w:val="180"/>
        </w:trPr>
        <w:tc>
          <w:tcPr>
            <w:tcW w:w="1555" w:type="dxa"/>
            <w:vMerge w:val="restart"/>
          </w:tcPr>
          <w:p w14:paraId="530CCB16" w14:textId="77777777" w:rsidR="007E0ABC" w:rsidRDefault="007E0ABC">
            <w:pPr>
              <w:rPr>
                <w:i/>
                <w:sz w:val="18"/>
                <w:szCs w:val="18"/>
              </w:rPr>
            </w:pPr>
            <w:r>
              <w:rPr>
                <w:i/>
                <w:sz w:val="18"/>
                <w:szCs w:val="18"/>
              </w:rPr>
              <w:t>Original model</w:t>
            </w:r>
          </w:p>
        </w:tc>
        <w:tc>
          <w:tcPr>
            <w:tcW w:w="1559" w:type="dxa"/>
          </w:tcPr>
          <w:p w14:paraId="2CD7F82A" w14:textId="77777777" w:rsidR="007E0ABC" w:rsidRDefault="007E0ABC">
            <w:pPr>
              <w:rPr>
                <w:i/>
                <w:sz w:val="18"/>
                <w:szCs w:val="18"/>
              </w:rPr>
            </w:pPr>
            <w:r>
              <w:rPr>
                <w:i/>
                <w:sz w:val="18"/>
                <w:szCs w:val="18"/>
              </w:rPr>
              <w:t xml:space="preserve">Chi-square </w:t>
            </w:r>
          </w:p>
          <w:p w14:paraId="74582FAF" w14:textId="77777777" w:rsidR="007E0ABC" w:rsidRDefault="007E0ABC">
            <w:pPr>
              <w:rPr>
                <w:i/>
                <w:sz w:val="18"/>
                <w:szCs w:val="18"/>
              </w:rPr>
            </w:pPr>
            <w:r>
              <w:rPr>
                <w:i/>
                <w:sz w:val="18"/>
                <w:szCs w:val="18"/>
              </w:rPr>
              <w:t>(</w:t>
            </w:r>
            <w:proofErr w:type="spellStart"/>
            <w:r>
              <w:rPr>
                <w:i/>
                <w:sz w:val="18"/>
                <w:szCs w:val="18"/>
              </w:rPr>
              <w:t>df</w:t>
            </w:r>
            <w:proofErr w:type="spellEnd"/>
            <w:r>
              <w:rPr>
                <w:i/>
                <w:sz w:val="18"/>
                <w:szCs w:val="18"/>
              </w:rPr>
              <w:t>)</w:t>
            </w:r>
          </w:p>
          <w:p w14:paraId="762A30E6" w14:textId="77777777" w:rsidR="007E0ABC" w:rsidRDefault="007E0ABC">
            <w:pPr>
              <w:rPr>
                <w:i/>
                <w:sz w:val="18"/>
                <w:szCs w:val="18"/>
              </w:rPr>
            </w:pPr>
            <w:r>
              <w:rPr>
                <w:i/>
                <w:sz w:val="18"/>
                <w:szCs w:val="18"/>
              </w:rPr>
              <w:t>p-value</w:t>
            </w:r>
          </w:p>
        </w:tc>
        <w:tc>
          <w:tcPr>
            <w:tcW w:w="1559" w:type="dxa"/>
          </w:tcPr>
          <w:p w14:paraId="4BA2F026" w14:textId="77777777" w:rsidR="007E0ABC" w:rsidRDefault="007E0ABC">
            <w:pPr>
              <w:rPr>
                <w:sz w:val="18"/>
                <w:szCs w:val="18"/>
              </w:rPr>
            </w:pPr>
            <w:r>
              <w:rPr>
                <w:sz w:val="18"/>
                <w:szCs w:val="18"/>
              </w:rPr>
              <w:t>7856.8</w:t>
            </w:r>
          </w:p>
          <w:p w14:paraId="44E3C0BD" w14:textId="77777777" w:rsidR="007E0ABC" w:rsidRDefault="007E0ABC">
            <w:pPr>
              <w:rPr>
                <w:sz w:val="18"/>
                <w:szCs w:val="18"/>
              </w:rPr>
            </w:pPr>
            <w:r>
              <w:rPr>
                <w:sz w:val="18"/>
                <w:szCs w:val="18"/>
              </w:rPr>
              <w:t>3064</w:t>
            </w:r>
          </w:p>
          <w:p w14:paraId="7065F1D1" w14:textId="77777777" w:rsidR="007E0ABC" w:rsidRDefault="007E0ABC">
            <w:pPr>
              <w:rPr>
                <w:sz w:val="18"/>
                <w:szCs w:val="18"/>
              </w:rPr>
            </w:pPr>
            <w:r>
              <w:rPr>
                <w:sz w:val="18"/>
                <w:szCs w:val="18"/>
              </w:rPr>
              <w:t>0.000</w:t>
            </w:r>
          </w:p>
        </w:tc>
        <w:tc>
          <w:tcPr>
            <w:tcW w:w="2041" w:type="dxa"/>
            <w:vMerge w:val="restart"/>
          </w:tcPr>
          <w:p w14:paraId="11FAD2FE" w14:textId="77777777" w:rsidR="007E0ABC" w:rsidRDefault="007E0ABC">
            <w:pPr>
              <w:rPr>
                <w:sz w:val="18"/>
                <w:szCs w:val="18"/>
              </w:rPr>
            </w:pPr>
          </w:p>
        </w:tc>
      </w:tr>
      <w:tr w:rsidR="007E0ABC" w14:paraId="61C1F86F" w14:textId="77777777">
        <w:trPr>
          <w:trHeight w:val="180"/>
        </w:trPr>
        <w:tc>
          <w:tcPr>
            <w:tcW w:w="1555" w:type="dxa"/>
            <w:vMerge/>
          </w:tcPr>
          <w:p w14:paraId="009BF85F" w14:textId="77777777" w:rsidR="007E0ABC" w:rsidRDefault="007E0ABC">
            <w:pPr>
              <w:widowControl w:val="0"/>
              <w:spacing w:line="276" w:lineRule="auto"/>
            </w:pPr>
          </w:p>
        </w:tc>
        <w:tc>
          <w:tcPr>
            <w:tcW w:w="1559" w:type="dxa"/>
          </w:tcPr>
          <w:p w14:paraId="7A940849" w14:textId="77777777" w:rsidR="007E0ABC" w:rsidRDefault="007E0ABC">
            <w:pPr>
              <w:rPr>
                <w:i/>
                <w:sz w:val="18"/>
                <w:szCs w:val="18"/>
              </w:rPr>
            </w:pPr>
            <w:r>
              <w:rPr>
                <w:i/>
                <w:sz w:val="18"/>
                <w:szCs w:val="18"/>
              </w:rPr>
              <w:t>INFIT MNSQ</w:t>
            </w:r>
          </w:p>
        </w:tc>
        <w:tc>
          <w:tcPr>
            <w:tcW w:w="1559" w:type="dxa"/>
          </w:tcPr>
          <w:p w14:paraId="1C0EC612" w14:textId="77777777" w:rsidR="007E0ABC" w:rsidRDefault="007E0ABC">
            <w:pPr>
              <w:rPr>
                <w:sz w:val="18"/>
                <w:szCs w:val="18"/>
              </w:rPr>
            </w:pPr>
            <w:r>
              <w:rPr>
                <w:sz w:val="18"/>
                <w:szCs w:val="18"/>
              </w:rPr>
              <w:t>1.02</w:t>
            </w:r>
          </w:p>
        </w:tc>
        <w:tc>
          <w:tcPr>
            <w:tcW w:w="2041" w:type="dxa"/>
            <w:vMerge/>
          </w:tcPr>
          <w:p w14:paraId="7DD14E9E" w14:textId="77777777" w:rsidR="007E0ABC" w:rsidRDefault="007E0ABC">
            <w:pPr>
              <w:rPr>
                <w:sz w:val="18"/>
                <w:szCs w:val="18"/>
              </w:rPr>
            </w:pPr>
          </w:p>
        </w:tc>
      </w:tr>
      <w:tr w:rsidR="007E0ABC" w14:paraId="4F072041" w14:textId="77777777">
        <w:trPr>
          <w:trHeight w:val="180"/>
        </w:trPr>
        <w:tc>
          <w:tcPr>
            <w:tcW w:w="1555" w:type="dxa"/>
            <w:vMerge/>
          </w:tcPr>
          <w:p w14:paraId="6964B009" w14:textId="77777777" w:rsidR="007E0ABC" w:rsidRDefault="007E0ABC">
            <w:pPr>
              <w:widowControl w:val="0"/>
              <w:spacing w:line="276" w:lineRule="auto"/>
            </w:pPr>
          </w:p>
        </w:tc>
        <w:tc>
          <w:tcPr>
            <w:tcW w:w="1559" w:type="dxa"/>
          </w:tcPr>
          <w:p w14:paraId="56C230D2" w14:textId="77777777" w:rsidR="007E0ABC" w:rsidRDefault="007E0ABC">
            <w:pPr>
              <w:rPr>
                <w:i/>
                <w:sz w:val="18"/>
                <w:szCs w:val="18"/>
              </w:rPr>
            </w:pPr>
            <w:r>
              <w:rPr>
                <w:i/>
                <w:sz w:val="18"/>
                <w:szCs w:val="18"/>
              </w:rPr>
              <w:t>INFIT ZSTD</w:t>
            </w:r>
          </w:p>
        </w:tc>
        <w:tc>
          <w:tcPr>
            <w:tcW w:w="1559" w:type="dxa"/>
          </w:tcPr>
          <w:p w14:paraId="72D7C32D" w14:textId="77777777" w:rsidR="007E0ABC" w:rsidRDefault="007E0ABC">
            <w:pPr>
              <w:rPr>
                <w:sz w:val="18"/>
                <w:szCs w:val="18"/>
              </w:rPr>
            </w:pPr>
            <w:r>
              <w:rPr>
                <w:sz w:val="18"/>
                <w:szCs w:val="18"/>
              </w:rPr>
              <w:t>0.05</w:t>
            </w:r>
          </w:p>
        </w:tc>
        <w:tc>
          <w:tcPr>
            <w:tcW w:w="2041" w:type="dxa"/>
            <w:vMerge/>
          </w:tcPr>
          <w:p w14:paraId="5A677BD9" w14:textId="77777777" w:rsidR="007E0ABC" w:rsidRDefault="007E0ABC">
            <w:pPr>
              <w:rPr>
                <w:sz w:val="18"/>
                <w:szCs w:val="18"/>
              </w:rPr>
            </w:pPr>
          </w:p>
        </w:tc>
      </w:tr>
      <w:tr w:rsidR="007E0ABC" w14:paraId="4EE6BE09" w14:textId="77777777">
        <w:trPr>
          <w:trHeight w:val="180"/>
        </w:trPr>
        <w:tc>
          <w:tcPr>
            <w:tcW w:w="1555" w:type="dxa"/>
            <w:vMerge/>
          </w:tcPr>
          <w:p w14:paraId="5F6D3115" w14:textId="77777777" w:rsidR="007E0ABC" w:rsidRDefault="007E0ABC">
            <w:pPr>
              <w:widowControl w:val="0"/>
              <w:spacing w:line="276" w:lineRule="auto"/>
            </w:pPr>
          </w:p>
        </w:tc>
        <w:tc>
          <w:tcPr>
            <w:tcW w:w="1559" w:type="dxa"/>
          </w:tcPr>
          <w:p w14:paraId="7B00D9CD" w14:textId="77777777" w:rsidR="007E0ABC" w:rsidRDefault="007E0ABC">
            <w:pPr>
              <w:rPr>
                <w:i/>
                <w:sz w:val="18"/>
                <w:szCs w:val="18"/>
              </w:rPr>
            </w:pPr>
            <w:r>
              <w:rPr>
                <w:i/>
                <w:sz w:val="18"/>
                <w:szCs w:val="18"/>
              </w:rPr>
              <w:t>OUTFIT MNSQ</w:t>
            </w:r>
          </w:p>
        </w:tc>
        <w:tc>
          <w:tcPr>
            <w:tcW w:w="1559" w:type="dxa"/>
          </w:tcPr>
          <w:p w14:paraId="6AB0923E" w14:textId="77777777" w:rsidR="007E0ABC" w:rsidRDefault="007E0ABC">
            <w:pPr>
              <w:rPr>
                <w:sz w:val="18"/>
                <w:szCs w:val="18"/>
              </w:rPr>
            </w:pPr>
            <w:r>
              <w:rPr>
                <w:sz w:val="18"/>
                <w:szCs w:val="18"/>
              </w:rPr>
              <w:t>1.02</w:t>
            </w:r>
          </w:p>
        </w:tc>
        <w:tc>
          <w:tcPr>
            <w:tcW w:w="2041" w:type="dxa"/>
            <w:vMerge/>
          </w:tcPr>
          <w:p w14:paraId="12E74FA2" w14:textId="77777777" w:rsidR="007E0ABC" w:rsidRDefault="007E0ABC">
            <w:pPr>
              <w:rPr>
                <w:sz w:val="18"/>
                <w:szCs w:val="18"/>
              </w:rPr>
            </w:pPr>
          </w:p>
        </w:tc>
      </w:tr>
      <w:tr w:rsidR="007E0ABC" w14:paraId="046063E9" w14:textId="77777777">
        <w:trPr>
          <w:trHeight w:val="180"/>
        </w:trPr>
        <w:tc>
          <w:tcPr>
            <w:tcW w:w="1555" w:type="dxa"/>
            <w:vMerge/>
          </w:tcPr>
          <w:p w14:paraId="0515445A" w14:textId="77777777" w:rsidR="007E0ABC" w:rsidRDefault="007E0ABC">
            <w:pPr>
              <w:widowControl w:val="0"/>
              <w:spacing w:line="276" w:lineRule="auto"/>
            </w:pPr>
          </w:p>
        </w:tc>
        <w:tc>
          <w:tcPr>
            <w:tcW w:w="1559" w:type="dxa"/>
          </w:tcPr>
          <w:p w14:paraId="1BEBE573" w14:textId="77777777" w:rsidR="007E0ABC" w:rsidRDefault="007E0ABC">
            <w:pPr>
              <w:rPr>
                <w:i/>
                <w:sz w:val="18"/>
                <w:szCs w:val="18"/>
              </w:rPr>
            </w:pPr>
            <w:r>
              <w:rPr>
                <w:i/>
                <w:sz w:val="18"/>
                <w:szCs w:val="18"/>
              </w:rPr>
              <w:t>OUTFIT ZSTD</w:t>
            </w:r>
          </w:p>
        </w:tc>
        <w:tc>
          <w:tcPr>
            <w:tcW w:w="1559" w:type="dxa"/>
          </w:tcPr>
          <w:p w14:paraId="43CE1B75" w14:textId="77777777" w:rsidR="007E0ABC" w:rsidRDefault="007E0ABC">
            <w:pPr>
              <w:rPr>
                <w:sz w:val="18"/>
                <w:szCs w:val="18"/>
              </w:rPr>
            </w:pPr>
            <w:r>
              <w:rPr>
                <w:sz w:val="18"/>
                <w:szCs w:val="18"/>
              </w:rPr>
              <w:t>0.04</w:t>
            </w:r>
          </w:p>
        </w:tc>
        <w:tc>
          <w:tcPr>
            <w:tcW w:w="2041" w:type="dxa"/>
            <w:vMerge/>
          </w:tcPr>
          <w:p w14:paraId="55003790" w14:textId="77777777" w:rsidR="007E0ABC" w:rsidRDefault="007E0ABC">
            <w:pPr>
              <w:rPr>
                <w:sz w:val="18"/>
                <w:szCs w:val="18"/>
              </w:rPr>
            </w:pPr>
          </w:p>
        </w:tc>
      </w:tr>
      <w:tr w:rsidR="007E0ABC" w14:paraId="4C332F22" w14:textId="77777777">
        <w:trPr>
          <w:trHeight w:val="220"/>
        </w:trPr>
        <w:tc>
          <w:tcPr>
            <w:tcW w:w="1555" w:type="dxa"/>
            <w:vMerge w:val="restart"/>
          </w:tcPr>
          <w:p w14:paraId="00E597E6" w14:textId="77777777" w:rsidR="007E0ABC" w:rsidRDefault="007E0ABC">
            <w:pPr>
              <w:widowControl w:val="0"/>
              <w:spacing w:line="276" w:lineRule="auto"/>
            </w:pPr>
            <w:r>
              <w:rPr>
                <w:sz w:val="18"/>
                <w:szCs w:val="18"/>
              </w:rPr>
              <w:t>M1 - Collapse categories 1&amp;2 and 3&amp;4</w:t>
            </w:r>
          </w:p>
        </w:tc>
        <w:tc>
          <w:tcPr>
            <w:tcW w:w="1559" w:type="dxa"/>
          </w:tcPr>
          <w:p w14:paraId="0300F327" w14:textId="77777777" w:rsidR="007E0ABC" w:rsidRDefault="007E0ABC">
            <w:pPr>
              <w:rPr>
                <w:i/>
                <w:sz w:val="18"/>
                <w:szCs w:val="18"/>
              </w:rPr>
            </w:pPr>
            <w:r>
              <w:rPr>
                <w:i/>
                <w:sz w:val="18"/>
                <w:szCs w:val="18"/>
              </w:rPr>
              <w:t>Chi-square</w:t>
            </w:r>
          </w:p>
          <w:p w14:paraId="567CD32B" w14:textId="77777777" w:rsidR="007E0ABC" w:rsidRDefault="007E0ABC">
            <w:pPr>
              <w:rPr>
                <w:i/>
                <w:sz w:val="18"/>
                <w:szCs w:val="18"/>
              </w:rPr>
            </w:pPr>
            <w:r>
              <w:rPr>
                <w:i/>
                <w:sz w:val="18"/>
                <w:szCs w:val="18"/>
              </w:rPr>
              <w:t xml:space="preserve"> (</w:t>
            </w:r>
            <w:proofErr w:type="spellStart"/>
            <w:r>
              <w:rPr>
                <w:i/>
                <w:sz w:val="18"/>
                <w:szCs w:val="18"/>
              </w:rPr>
              <w:t>df</w:t>
            </w:r>
            <w:proofErr w:type="spellEnd"/>
            <w:r>
              <w:rPr>
                <w:i/>
                <w:sz w:val="18"/>
                <w:szCs w:val="18"/>
              </w:rPr>
              <w:t>)</w:t>
            </w:r>
          </w:p>
          <w:p w14:paraId="0DBE0036" w14:textId="77777777" w:rsidR="007E0ABC" w:rsidRDefault="007E0ABC">
            <w:pPr>
              <w:rPr>
                <w:i/>
                <w:sz w:val="18"/>
                <w:szCs w:val="18"/>
              </w:rPr>
            </w:pPr>
            <w:r>
              <w:rPr>
                <w:i/>
                <w:sz w:val="18"/>
                <w:szCs w:val="18"/>
              </w:rPr>
              <w:t>p-value</w:t>
            </w:r>
          </w:p>
        </w:tc>
        <w:tc>
          <w:tcPr>
            <w:tcW w:w="1559" w:type="dxa"/>
          </w:tcPr>
          <w:p w14:paraId="4D1ACBD7" w14:textId="77777777" w:rsidR="007E0ABC" w:rsidRDefault="007E0ABC">
            <w:pPr>
              <w:rPr>
                <w:sz w:val="18"/>
                <w:szCs w:val="18"/>
              </w:rPr>
            </w:pPr>
            <w:r>
              <w:rPr>
                <w:sz w:val="18"/>
                <w:szCs w:val="18"/>
              </w:rPr>
              <w:t>4654.6</w:t>
            </w:r>
          </w:p>
          <w:p w14:paraId="180AE81A" w14:textId="77777777" w:rsidR="007E0ABC" w:rsidRDefault="007E0ABC">
            <w:pPr>
              <w:rPr>
                <w:sz w:val="18"/>
                <w:szCs w:val="18"/>
              </w:rPr>
            </w:pPr>
            <w:r>
              <w:rPr>
                <w:sz w:val="18"/>
                <w:szCs w:val="18"/>
              </w:rPr>
              <w:t>2968</w:t>
            </w:r>
          </w:p>
          <w:p w14:paraId="7576DD9F" w14:textId="77777777" w:rsidR="007E0ABC" w:rsidRDefault="007E0ABC">
            <w:pPr>
              <w:rPr>
                <w:sz w:val="18"/>
                <w:szCs w:val="18"/>
              </w:rPr>
            </w:pPr>
            <w:r>
              <w:rPr>
                <w:sz w:val="18"/>
                <w:szCs w:val="18"/>
              </w:rPr>
              <w:t>0.000</w:t>
            </w:r>
          </w:p>
        </w:tc>
        <w:tc>
          <w:tcPr>
            <w:tcW w:w="2041" w:type="dxa"/>
            <w:vMerge w:val="restart"/>
          </w:tcPr>
          <w:p w14:paraId="6C211518" w14:textId="77777777" w:rsidR="007E0ABC" w:rsidRDefault="007E0ABC">
            <w:pPr>
              <w:rPr>
                <w:sz w:val="18"/>
                <w:szCs w:val="18"/>
              </w:rPr>
            </w:pPr>
          </w:p>
        </w:tc>
      </w:tr>
      <w:tr w:rsidR="007E0ABC" w14:paraId="1ED51955" w14:textId="77777777">
        <w:trPr>
          <w:trHeight w:val="220"/>
        </w:trPr>
        <w:tc>
          <w:tcPr>
            <w:tcW w:w="1555" w:type="dxa"/>
            <w:vMerge/>
          </w:tcPr>
          <w:p w14:paraId="62A3F71A" w14:textId="77777777" w:rsidR="007E0ABC" w:rsidRDefault="007E0ABC">
            <w:pPr>
              <w:widowControl w:val="0"/>
            </w:pPr>
          </w:p>
        </w:tc>
        <w:tc>
          <w:tcPr>
            <w:tcW w:w="1559" w:type="dxa"/>
          </w:tcPr>
          <w:p w14:paraId="474B92C9" w14:textId="77777777" w:rsidR="007E0ABC" w:rsidRDefault="007E0ABC">
            <w:pPr>
              <w:rPr>
                <w:i/>
                <w:sz w:val="18"/>
                <w:szCs w:val="18"/>
              </w:rPr>
            </w:pPr>
            <w:r>
              <w:rPr>
                <w:i/>
                <w:sz w:val="18"/>
                <w:szCs w:val="18"/>
              </w:rPr>
              <w:t>INFIT MNSQ</w:t>
            </w:r>
          </w:p>
        </w:tc>
        <w:tc>
          <w:tcPr>
            <w:tcW w:w="1559" w:type="dxa"/>
          </w:tcPr>
          <w:p w14:paraId="394B09E7" w14:textId="77777777" w:rsidR="007E0ABC" w:rsidRDefault="007E0ABC">
            <w:pPr>
              <w:rPr>
                <w:sz w:val="18"/>
                <w:szCs w:val="18"/>
              </w:rPr>
            </w:pPr>
            <w:r>
              <w:rPr>
                <w:sz w:val="18"/>
                <w:szCs w:val="18"/>
              </w:rPr>
              <w:t>1.01</w:t>
            </w:r>
          </w:p>
        </w:tc>
        <w:tc>
          <w:tcPr>
            <w:tcW w:w="2041" w:type="dxa"/>
            <w:vMerge/>
          </w:tcPr>
          <w:p w14:paraId="0EC7B771" w14:textId="77777777" w:rsidR="007E0ABC" w:rsidRDefault="007E0ABC">
            <w:pPr>
              <w:rPr>
                <w:sz w:val="18"/>
                <w:szCs w:val="18"/>
              </w:rPr>
            </w:pPr>
          </w:p>
        </w:tc>
      </w:tr>
      <w:tr w:rsidR="007E0ABC" w14:paraId="5B0415FC" w14:textId="77777777">
        <w:trPr>
          <w:trHeight w:val="220"/>
        </w:trPr>
        <w:tc>
          <w:tcPr>
            <w:tcW w:w="1555" w:type="dxa"/>
            <w:vMerge/>
          </w:tcPr>
          <w:p w14:paraId="70399CF4" w14:textId="77777777" w:rsidR="007E0ABC" w:rsidRDefault="007E0ABC">
            <w:pPr>
              <w:widowControl w:val="0"/>
            </w:pPr>
          </w:p>
        </w:tc>
        <w:tc>
          <w:tcPr>
            <w:tcW w:w="1559" w:type="dxa"/>
          </w:tcPr>
          <w:p w14:paraId="6D473CFE" w14:textId="77777777" w:rsidR="007E0ABC" w:rsidRDefault="007E0ABC">
            <w:pPr>
              <w:rPr>
                <w:i/>
                <w:sz w:val="18"/>
                <w:szCs w:val="18"/>
              </w:rPr>
            </w:pPr>
            <w:r>
              <w:rPr>
                <w:i/>
                <w:sz w:val="18"/>
                <w:szCs w:val="18"/>
              </w:rPr>
              <w:t>INFIT ZSTD</w:t>
            </w:r>
          </w:p>
        </w:tc>
        <w:tc>
          <w:tcPr>
            <w:tcW w:w="1559" w:type="dxa"/>
          </w:tcPr>
          <w:p w14:paraId="60FBBBF5" w14:textId="77777777" w:rsidR="007E0ABC" w:rsidRDefault="007E0ABC">
            <w:pPr>
              <w:rPr>
                <w:sz w:val="18"/>
                <w:szCs w:val="18"/>
              </w:rPr>
            </w:pPr>
            <w:r>
              <w:rPr>
                <w:sz w:val="18"/>
                <w:szCs w:val="18"/>
              </w:rPr>
              <w:t>-0.10</w:t>
            </w:r>
          </w:p>
        </w:tc>
        <w:tc>
          <w:tcPr>
            <w:tcW w:w="2041" w:type="dxa"/>
            <w:vMerge/>
          </w:tcPr>
          <w:p w14:paraId="34667E32" w14:textId="77777777" w:rsidR="007E0ABC" w:rsidRDefault="007E0ABC">
            <w:pPr>
              <w:rPr>
                <w:sz w:val="18"/>
                <w:szCs w:val="18"/>
              </w:rPr>
            </w:pPr>
          </w:p>
        </w:tc>
      </w:tr>
      <w:tr w:rsidR="007E0ABC" w14:paraId="092480F2" w14:textId="77777777">
        <w:trPr>
          <w:trHeight w:val="220"/>
        </w:trPr>
        <w:tc>
          <w:tcPr>
            <w:tcW w:w="1555" w:type="dxa"/>
            <w:vMerge/>
          </w:tcPr>
          <w:p w14:paraId="46CC4BDF" w14:textId="77777777" w:rsidR="007E0ABC" w:rsidRDefault="007E0ABC">
            <w:pPr>
              <w:widowControl w:val="0"/>
            </w:pPr>
          </w:p>
        </w:tc>
        <w:tc>
          <w:tcPr>
            <w:tcW w:w="1559" w:type="dxa"/>
          </w:tcPr>
          <w:p w14:paraId="2687965C" w14:textId="77777777" w:rsidR="007E0ABC" w:rsidRDefault="007E0ABC">
            <w:pPr>
              <w:rPr>
                <w:i/>
                <w:sz w:val="18"/>
                <w:szCs w:val="18"/>
              </w:rPr>
            </w:pPr>
            <w:r>
              <w:rPr>
                <w:i/>
                <w:sz w:val="18"/>
                <w:szCs w:val="18"/>
              </w:rPr>
              <w:t>OUTFIT MNSQ</w:t>
            </w:r>
          </w:p>
        </w:tc>
        <w:tc>
          <w:tcPr>
            <w:tcW w:w="1559" w:type="dxa"/>
          </w:tcPr>
          <w:p w14:paraId="3AA013ED" w14:textId="77777777" w:rsidR="007E0ABC" w:rsidRDefault="007E0ABC">
            <w:pPr>
              <w:rPr>
                <w:sz w:val="18"/>
                <w:szCs w:val="18"/>
              </w:rPr>
            </w:pPr>
            <w:r>
              <w:rPr>
                <w:sz w:val="18"/>
                <w:szCs w:val="18"/>
              </w:rPr>
              <w:t>1.00</w:t>
            </w:r>
          </w:p>
        </w:tc>
        <w:tc>
          <w:tcPr>
            <w:tcW w:w="2041" w:type="dxa"/>
            <w:vMerge/>
          </w:tcPr>
          <w:p w14:paraId="2A293009" w14:textId="77777777" w:rsidR="007E0ABC" w:rsidRDefault="007E0ABC">
            <w:pPr>
              <w:rPr>
                <w:sz w:val="18"/>
                <w:szCs w:val="18"/>
              </w:rPr>
            </w:pPr>
          </w:p>
        </w:tc>
      </w:tr>
      <w:tr w:rsidR="007E0ABC" w14:paraId="3EF05897" w14:textId="77777777">
        <w:trPr>
          <w:trHeight w:val="220"/>
        </w:trPr>
        <w:tc>
          <w:tcPr>
            <w:tcW w:w="1555" w:type="dxa"/>
            <w:vMerge/>
          </w:tcPr>
          <w:p w14:paraId="587375D1" w14:textId="77777777" w:rsidR="007E0ABC" w:rsidRDefault="007E0ABC">
            <w:pPr>
              <w:widowControl w:val="0"/>
            </w:pPr>
          </w:p>
        </w:tc>
        <w:tc>
          <w:tcPr>
            <w:tcW w:w="1559" w:type="dxa"/>
          </w:tcPr>
          <w:p w14:paraId="607BABB7" w14:textId="77777777" w:rsidR="007E0ABC" w:rsidRDefault="007E0ABC">
            <w:pPr>
              <w:rPr>
                <w:i/>
                <w:sz w:val="18"/>
                <w:szCs w:val="18"/>
              </w:rPr>
            </w:pPr>
            <w:r>
              <w:rPr>
                <w:i/>
                <w:sz w:val="18"/>
                <w:szCs w:val="18"/>
              </w:rPr>
              <w:t>OUTFIT ZSTD</w:t>
            </w:r>
          </w:p>
        </w:tc>
        <w:tc>
          <w:tcPr>
            <w:tcW w:w="1559" w:type="dxa"/>
          </w:tcPr>
          <w:p w14:paraId="03776EB1" w14:textId="77777777" w:rsidR="007E0ABC" w:rsidRDefault="007E0ABC">
            <w:pPr>
              <w:rPr>
                <w:sz w:val="18"/>
                <w:szCs w:val="18"/>
              </w:rPr>
            </w:pPr>
            <w:r>
              <w:rPr>
                <w:sz w:val="18"/>
                <w:szCs w:val="18"/>
              </w:rPr>
              <w:t>-0.35</w:t>
            </w:r>
          </w:p>
        </w:tc>
        <w:tc>
          <w:tcPr>
            <w:tcW w:w="2041" w:type="dxa"/>
            <w:vMerge/>
          </w:tcPr>
          <w:p w14:paraId="17DE1C4C" w14:textId="77777777" w:rsidR="007E0ABC" w:rsidRDefault="007E0ABC">
            <w:pPr>
              <w:rPr>
                <w:sz w:val="18"/>
                <w:szCs w:val="18"/>
              </w:rPr>
            </w:pPr>
          </w:p>
        </w:tc>
      </w:tr>
      <w:tr w:rsidR="007E0ABC" w14:paraId="5D2062DC" w14:textId="77777777">
        <w:trPr>
          <w:trHeight w:val="220"/>
        </w:trPr>
        <w:tc>
          <w:tcPr>
            <w:tcW w:w="1555" w:type="dxa"/>
            <w:vMerge w:val="restart"/>
          </w:tcPr>
          <w:p w14:paraId="25836F8D" w14:textId="77777777" w:rsidR="007E0ABC" w:rsidRDefault="007E0ABC">
            <w:pPr>
              <w:widowControl w:val="0"/>
            </w:pPr>
            <w:r>
              <w:rPr>
                <w:sz w:val="18"/>
                <w:szCs w:val="18"/>
              </w:rPr>
              <w:t>M2 - Misfitting persons removed</w:t>
            </w:r>
          </w:p>
        </w:tc>
        <w:tc>
          <w:tcPr>
            <w:tcW w:w="1559" w:type="dxa"/>
          </w:tcPr>
          <w:p w14:paraId="3E5B2DC5" w14:textId="77777777" w:rsidR="007E0ABC" w:rsidRDefault="007E0ABC">
            <w:pPr>
              <w:rPr>
                <w:i/>
                <w:sz w:val="18"/>
                <w:szCs w:val="18"/>
              </w:rPr>
            </w:pPr>
            <w:r>
              <w:rPr>
                <w:i/>
                <w:sz w:val="18"/>
                <w:szCs w:val="18"/>
              </w:rPr>
              <w:t>Chi-square</w:t>
            </w:r>
          </w:p>
          <w:p w14:paraId="4AF7A539" w14:textId="77777777" w:rsidR="007E0ABC" w:rsidRDefault="007E0ABC">
            <w:pPr>
              <w:rPr>
                <w:i/>
                <w:sz w:val="18"/>
                <w:szCs w:val="18"/>
              </w:rPr>
            </w:pPr>
            <w:r>
              <w:rPr>
                <w:i/>
                <w:sz w:val="18"/>
                <w:szCs w:val="18"/>
              </w:rPr>
              <w:t xml:space="preserve"> (</w:t>
            </w:r>
            <w:proofErr w:type="spellStart"/>
            <w:r>
              <w:rPr>
                <w:i/>
                <w:sz w:val="18"/>
                <w:szCs w:val="18"/>
              </w:rPr>
              <w:t>df</w:t>
            </w:r>
            <w:proofErr w:type="spellEnd"/>
            <w:r>
              <w:rPr>
                <w:i/>
                <w:sz w:val="18"/>
                <w:szCs w:val="18"/>
              </w:rPr>
              <w:t>)</w:t>
            </w:r>
          </w:p>
          <w:p w14:paraId="198A6090" w14:textId="77777777" w:rsidR="007E0ABC" w:rsidRDefault="007E0ABC">
            <w:pPr>
              <w:rPr>
                <w:i/>
                <w:sz w:val="18"/>
                <w:szCs w:val="18"/>
              </w:rPr>
            </w:pPr>
            <w:r>
              <w:rPr>
                <w:i/>
                <w:sz w:val="18"/>
                <w:szCs w:val="18"/>
              </w:rPr>
              <w:t>p-value</w:t>
            </w:r>
          </w:p>
        </w:tc>
        <w:tc>
          <w:tcPr>
            <w:tcW w:w="1559" w:type="dxa"/>
          </w:tcPr>
          <w:p w14:paraId="6CA73A85" w14:textId="77777777" w:rsidR="007E0ABC" w:rsidRDefault="007E0ABC">
            <w:pPr>
              <w:rPr>
                <w:sz w:val="18"/>
                <w:szCs w:val="18"/>
              </w:rPr>
            </w:pPr>
            <w:r>
              <w:rPr>
                <w:sz w:val="18"/>
                <w:szCs w:val="18"/>
              </w:rPr>
              <w:t>3356.9</w:t>
            </w:r>
          </w:p>
          <w:p w14:paraId="667CE1B9" w14:textId="77777777" w:rsidR="007E0ABC" w:rsidRDefault="007E0ABC">
            <w:pPr>
              <w:rPr>
                <w:sz w:val="18"/>
                <w:szCs w:val="18"/>
              </w:rPr>
            </w:pPr>
            <w:r>
              <w:rPr>
                <w:sz w:val="18"/>
                <w:szCs w:val="18"/>
              </w:rPr>
              <w:t>2254</w:t>
            </w:r>
          </w:p>
          <w:p w14:paraId="5FEC5524" w14:textId="77777777" w:rsidR="007E0ABC" w:rsidRDefault="007E0ABC">
            <w:pPr>
              <w:rPr>
                <w:sz w:val="18"/>
                <w:szCs w:val="18"/>
              </w:rPr>
            </w:pPr>
            <w:r>
              <w:rPr>
                <w:sz w:val="18"/>
                <w:szCs w:val="18"/>
              </w:rPr>
              <w:t>0.00</w:t>
            </w:r>
          </w:p>
        </w:tc>
        <w:tc>
          <w:tcPr>
            <w:tcW w:w="2041" w:type="dxa"/>
            <w:vMerge w:val="restart"/>
          </w:tcPr>
          <w:p w14:paraId="088B253E" w14:textId="77777777" w:rsidR="007E0ABC" w:rsidRDefault="007E0ABC">
            <w:pPr>
              <w:rPr>
                <w:sz w:val="18"/>
                <w:szCs w:val="18"/>
              </w:rPr>
            </w:pPr>
          </w:p>
        </w:tc>
      </w:tr>
      <w:tr w:rsidR="007E0ABC" w14:paraId="073620E8" w14:textId="77777777">
        <w:trPr>
          <w:trHeight w:val="220"/>
        </w:trPr>
        <w:tc>
          <w:tcPr>
            <w:tcW w:w="1555" w:type="dxa"/>
            <w:vMerge/>
          </w:tcPr>
          <w:p w14:paraId="3E7D79A0" w14:textId="77777777" w:rsidR="007E0ABC" w:rsidRDefault="007E0ABC">
            <w:pPr>
              <w:widowControl w:val="0"/>
            </w:pPr>
          </w:p>
        </w:tc>
        <w:tc>
          <w:tcPr>
            <w:tcW w:w="1559" w:type="dxa"/>
          </w:tcPr>
          <w:p w14:paraId="6EAFB195" w14:textId="77777777" w:rsidR="007E0ABC" w:rsidRDefault="007E0ABC">
            <w:pPr>
              <w:rPr>
                <w:i/>
                <w:sz w:val="18"/>
                <w:szCs w:val="18"/>
              </w:rPr>
            </w:pPr>
            <w:r>
              <w:rPr>
                <w:i/>
                <w:sz w:val="18"/>
                <w:szCs w:val="18"/>
              </w:rPr>
              <w:t>INFIT MNSQ</w:t>
            </w:r>
          </w:p>
        </w:tc>
        <w:tc>
          <w:tcPr>
            <w:tcW w:w="1559" w:type="dxa"/>
          </w:tcPr>
          <w:p w14:paraId="653CA5C0" w14:textId="77777777" w:rsidR="007E0ABC" w:rsidRDefault="007E0ABC">
            <w:pPr>
              <w:rPr>
                <w:sz w:val="18"/>
                <w:szCs w:val="18"/>
              </w:rPr>
            </w:pPr>
            <w:r>
              <w:rPr>
                <w:sz w:val="18"/>
                <w:szCs w:val="18"/>
              </w:rPr>
              <w:t>1.00</w:t>
            </w:r>
          </w:p>
        </w:tc>
        <w:tc>
          <w:tcPr>
            <w:tcW w:w="2041" w:type="dxa"/>
            <w:vMerge/>
          </w:tcPr>
          <w:p w14:paraId="62AFA412" w14:textId="77777777" w:rsidR="007E0ABC" w:rsidRDefault="007E0ABC">
            <w:pPr>
              <w:rPr>
                <w:sz w:val="18"/>
                <w:szCs w:val="18"/>
              </w:rPr>
            </w:pPr>
          </w:p>
        </w:tc>
      </w:tr>
      <w:tr w:rsidR="007E0ABC" w14:paraId="67F8FF26" w14:textId="77777777">
        <w:trPr>
          <w:trHeight w:val="220"/>
        </w:trPr>
        <w:tc>
          <w:tcPr>
            <w:tcW w:w="1555" w:type="dxa"/>
            <w:vMerge/>
          </w:tcPr>
          <w:p w14:paraId="42991A01" w14:textId="77777777" w:rsidR="007E0ABC" w:rsidRDefault="007E0ABC">
            <w:pPr>
              <w:widowControl w:val="0"/>
            </w:pPr>
          </w:p>
        </w:tc>
        <w:tc>
          <w:tcPr>
            <w:tcW w:w="1559" w:type="dxa"/>
          </w:tcPr>
          <w:p w14:paraId="06877B46" w14:textId="77777777" w:rsidR="007E0ABC" w:rsidRDefault="007E0ABC">
            <w:pPr>
              <w:rPr>
                <w:i/>
                <w:sz w:val="18"/>
                <w:szCs w:val="18"/>
              </w:rPr>
            </w:pPr>
            <w:r>
              <w:rPr>
                <w:i/>
                <w:sz w:val="18"/>
                <w:szCs w:val="18"/>
              </w:rPr>
              <w:t>INFIT ZSTD</w:t>
            </w:r>
          </w:p>
        </w:tc>
        <w:tc>
          <w:tcPr>
            <w:tcW w:w="1559" w:type="dxa"/>
          </w:tcPr>
          <w:p w14:paraId="1690D6EB" w14:textId="77777777" w:rsidR="007E0ABC" w:rsidRDefault="007E0ABC">
            <w:pPr>
              <w:rPr>
                <w:sz w:val="18"/>
                <w:szCs w:val="18"/>
              </w:rPr>
            </w:pPr>
            <w:r>
              <w:rPr>
                <w:sz w:val="18"/>
                <w:szCs w:val="18"/>
              </w:rPr>
              <w:t>-0.16</w:t>
            </w:r>
          </w:p>
        </w:tc>
        <w:tc>
          <w:tcPr>
            <w:tcW w:w="2041" w:type="dxa"/>
            <w:vMerge/>
          </w:tcPr>
          <w:p w14:paraId="4D91A879" w14:textId="77777777" w:rsidR="007E0ABC" w:rsidRDefault="007E0ABC">
            <w:pPr>
              <w:rPr>
                <w:sz w:val="18"/>
                <w:szCs w:val="18"/>
              </w:rPr>
            </w:pPr>
          </w:p>
        </w:tc>
      </w:tr>
      <w:tr w:rsidR="007E0ABC" w14:paraId="5597D468" w14:textId="77777777">
        <w:trPr>
          <w:trHeight w:val="220"/>
        </w:trPr>
        <w:tc>
          <w:tcPr>
            <w:tcW w:w="1555" w:type="dxa"/>
            <w:vMerge/>
          </w:tcPr>
          <w:p w14:paraId="566142CC" w14:textId="77777777" w:rsidR="007E0ABC" w:rsidRDefault="007E0ABC">
            <w:pPr>
              <w:widowControl w:val="0"/>
            </w:pPr>
          </w:p>
        </w:tc>
        <w:tc>
          <w:tcPr>
            <w:tcW w:w="1559" w:type="dxa"/>
          </w:tcPr>
          <w:p w14:paraId="6C4C7ED2" w14:textId="77777777" w:rsidR="007E0ABC" w:rsidRDefault="007E0ABC">
            <w:pPr>
              <w:rPr>
                <w:i/>
                <w:sz w:val="18"/>
                <w:szCs w:val="18"/>
              </w:rPr>
            </w:pPr>
            <w:r>
              <w:rPr>
                <w:i/>
                <w:sz w:val="18"/>
                <w:szCs w:val="18"/>
              </w:rPr>
              <w:t>OUTFIT MNSQ</w:t>
            </w:r>
          </w:p>
        </w:tc>
        <w:tc>
          <w:tcPr>
            <w:tcW w:w="1559" w:type="dxa"/>
          </w:tcPr>
          <w:p w14:paraId="4DAA4203" w14:textId="77777777" w:rsidR="007E0ABC" w:rsidRDefault="007E0ABC">
            <w:pPr>
              <w:rPr>
                <w:sz w:val="18"/>
                <w:szCs w:val="18"/>
              </w:rPr>
            </w:pPr>
            <w:r>
              <w:rPr>
                <w:sz w:val="18"/>
                <w:szCs w:val="18"/>
              </w:rPr>
              <w:t>0.99</w:t>
            </w:r>
          </w:p>
        </w:tc>
        <w:tc>
          <w:tcPr>
            <w:tcW w:w="2041" w:type="dxa"/>
            <w:vMerge/>
          </w:tcPr>
          <w:p w14:paraId="17B35385" w14:textId="77777777" w:rsidR="007E0ABC" w:rsidRDefault="007E0ABC">
            <w:pPr>
              <w:rPr>
                <w:sz w:val="18"/>
                <w:szCs w:val="18"/>
              </w:rPr>
            </w:pPr>
          </w:p>
        </w:tc>
      </w:tr>
      <w:tr w:rsidR="007E0ABC" w14:paraId="6D3A6F6F" w14:textId="77777777">
        <w:trPr>
          <w:trHeight w:val="220"/>
        </w:trPr>
        <w:tc>
          <w:tcPr>
            <w:tcW w:w="1555" w:type="dxa"/>
            <w:vMerge/>
          </w:tcPr>
          <w:p w14:paraId="3CBC715F" w14:textId="77777777" w:rsidR="007E0ABC" w:rsidRDefault="007E0ABC">
            <w:pPr>
              <w:widowControl w:val="0"/>
            </w:pPr>
          </w:p>
        </w:tc>
        <w:tc>
          <w:tcPr>
            <w:tcW w:w="1559" w:type="dxa"/>
          </w:tcPr>
          <w:p w14:paraId="24563051" w14:textId="77777777" w:rsidR="007E0ABC" w:rsidRDefault="007E0ABC">
            <w:pPr>
              <w:rPr>
                <w:i/>
                <w:sz w:val="18"/>
                <w:szCs w:val="18"/>
              </w:rPr>
            </w:pPr>
            <w:r>
              <w:rPr>
                <w:i/>
                <w:sz w:val="18"/>
                <w:szCs w:val="18"/>
              </w:rPr>
              <w:t>OUTFIT ZSTD</w:t>
            </w:r>
          </w:p>
        </w:tc>
        <w:tc>
          <w:tcPr>
            <w:tcW w:w="1559" w:type="dxa"/>
          </w:tcPr>
          <w:p w14:paraId="19884EFF" w14:textId="77777777" w:rsidR="007E0ABC" w:rsidRDefault="007E0ABC">
            <w:pPr>
              <w:rPr>
                <w:sz w:val="18"/>
                <w:szCs w:val="18"/>
              </w:rPr>
            </w:pPr>
            <w:r>
              <w:rPr>
                <w:sz w:val="18"/>
                <w:szCs w:val="18"/>
              </w:rPr>
              <w:t>-0.42</w:t>
            </w:r>
          </w:p>
        </w:tc>
        <w:tc>
          <w:tcPr>
            <w:tcW w:w="2041" w:type="dxa"/>
            <w:vMerge/>
          </w:tcPr>
          <w:p w14:paraId="1D4B4FA0" w14:textId="77777777" w:rsidR="007E0ABC" w:rsidRDefault="007E0ABC">
            <w:pPr>
              <w:rPr>
                <w:sz w:val="18"/>
                <w:szCs w:val="18"/>
              </w:rPr>
            </w:pPr>
          </w:p>
        </w:tc>
      </w:tr>
    </w:tbl>
    <w:p w14:paraId="75D1EC02" w14:textId="77777777" w:rsidR="007E0ABC" w:rsidRPr="00461BB1" w:rsidRDefault="007E0ABC" w:rsidP="00461BB1">
      <w:pPr>
        <w:pStyle w:val="ListParagraph"/>
        <w:rPr>
          <w:szCs w:val="20"/>
        </w:rPr>
      </w:pPr>
    </w:p>
    <w:p w14:paraId="1157FE24" w14:textId="77777777" w:rsidR="007E0ABC" w:rsidRPr="00461BB1" w:rsidRDefault="007E0ABC" w:rsidP="007E0ABC">
      <w:pPr>
        <w:pStyle w:val="ListParagraph"/>
        <w:numPr>
          <w:ilvl w:val="0"/>
          <w:numId w:val="200"/>
        </w:numPr>
        <w:spacing w:line="240" w:lineRule="auto"/>
        <w:jc w:val="left"/>
        <w:rPr>
          <w:szCs w:val="20"/>
        </w:rPr>
      </w:pPr>
      <w:r w:rsidRPr="00461BB1">
        <w:rPr>
          <w:szCs w:val="20"/>
        </w:rPr>
        <w:t>Table n. Item fit and person fit</w:t>
      </w:r>
    </w:p>
    <w:p w14:paraId="77BD76D4" w14:textId="77777777" w:rsidR="007E0ABC" w:rsidRDefault="007E0ABC">
      <w:pPr>
        <w:rPr>
          <w:u w:val="singl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4"/>
        <w:gridCol w:w="1087"/>
        <w:gridCol w:w="1625"/>
        <w:gridCol w:w="1455"/>
        <w:gridCol w:w="1455"/>
        <w:gridCol w:w="2587"/>
      </w:tblGrid>
      <w:tr w:rsidR="007E0ABC" w14:paraId="324A21F4" w14:textId="77777777">
        <w:tc>
          <w:tcPr>
            <w:tcW w:w="1284" w:type="dxa"/>
          </w:tcPr>
          <w:p w14:paraId="3A84955B" w14:textId="77777777" w:rsidR="007E0ABC" w:rsidRDefault="007E0ABC">
            <w:pPr>
              <w:rPr>
                <w:b/>
                <w:u w:val="single"/>
              </w:rPr>
            </w:pPr>
            <w:r>
              <w:rPr>
                <w:b/>
              </w:rPr>
              <w:t>Model</w:t>
            </w:r>
          </w:p>
        </w:tc>
        <w:tc>
          <w:tcPr>
            <w:tcW w:w="1087" w:type="dxa"/>
          </w:tcPr>
          <w:p w14:paraId="0B62A518" w14:textId="77777777" w:rsidR="007E0ABC" w:rsidRDefault="007E0ABC">
            <w:pPr>
              <w:rPr>
                <w:b/>
              </w:rPr>
            </w:pPr>
            <w:r>
              <w:rPr>
                <w:b/>
              </w:rPr>
              <w:t>Statistic</w:t>
            </w:r>
          </w:p>
        </w:tc>
        <w:tc>
          <w:tcPr>
            <w:tcW w:w="1625" w:type="dxa"/>
          </w:tcPr>
          <w:p w14:paraId="626445CF" w14:textId="77777777" w:rsidR="007E0ABC" w:rsidRDefault="007E0ABC">
            <w:pPr>
              <w:rPr>
                <w:b/>
              </w:rPr>
            </w:pPr>
            <w:r>
              <w:rPr>
                <w:b/>
              </w:rPr>
              <w:t>Flagged items/persons</w:t>
            </w:r>
          </w:p>
        </w:tc>
        <w:tc>
          <w:tcPr>
            <w:tcW w:w="1455" w:type="dxa"/>
          </w:tcPr>
          <w:p w14:paraId="3BD709F7" w14:textId="77777777" w:rsidR="007E0ABC" w:rsidRDefault="007E0ABC">
            <w:pPr>
              <w:rPr>
                <w:b/>
              </w:rPr>
            </w:pPr>
            <w:r>
              <w:rPr>
                <w:b/>
              </w:rPr>
              <w:t>Infit/ ZSTD</w:t>
            </w:r>
          </w:p>
        </w:tc>
        <w:tc>
          <w:tcPr>
            <w:tcW w:w="1455" w:type="dxa"/>
          </w:tcPr>
          <w:p w14:paraId="43A6148F" w14:textId="77777777" w:rsidR="007E0ABC" w:rsidRDefault="007E0ABC">
            <w:pPr>
              <w:rPr>
                <w:b/>
              </w:rPr>
            </w:pPr>
            <w:r>
              <w:rPr>
                <w:b/>
              </w:rPr>
              <w:t>Outfit/ZSTD</w:t>
            </w:r>
          </w:p>
        </w:tc>
        <w:tc>
          <w:tcPr>
            <w:tcW w:w="2587" w:type="dxa"/>
          </w:tcPr>
          <w:p w14:paraId="556F84E5" w14:textId="77777777" w:rsidR="007E0ABC" w:rsidRDefault="007E0ABC">
            <w:pPr>
              <w:rPr>
                <w:b/>
              </w:rPr>
            </w:pPr>
            <w:r>
              <w:rPr>
                <w:b/>
              </w:rPr>
              <w:t>Comment/Decision</w:t>
            </w:r>
          </w:p>
        </w:tc>
      </w:tr>
      <w:tr w:rsidR="007E0ABC" w14:paraId="14FB8912" w14:textId="77777777">
        <w:tc>
          <w:tcPr>
            <w:tcW w:w="1284" w:type="dxa"/>
            <w:vMerge w:val="restart"/>
          </w:tcPr>
          <w:p w14:paraId="61056288" w14:textId="77777777" w:rsidR="007E0ABC" w:rsidRDefault="007E0ABC">
            <w:pPr>
              <w:rPr>
                <w:b/>
                <w:u w:val="single"/>
              </w:rPr>
            </w:pPr>
            <w:r>
              <w:rPr>
                <w:b/>
                <w:i/>
              </w:rPr>
              <w:t xml:space="preserve"> Original model</w:t>
            </w:r>
          </w:p>
        </w:tc>
        <w:tc>
          <w:tcPr>
            <w:tcW w:w="1087" w:type="dxa"/>
          </w:tcPr>
          <w:p w14:paraId="26A1F3E5" w14:textId="77777777" w:rsidR="007E0ABC" w:rsidRDefault="007E0ABC">
            <w:pPr>
              <w:rPr>
                <w:u w:val="single"/>
              </w:rPr>
            </w:pPr>
            <w:r>
              <w:rPr>
                <w:i/>
              </w:rPr>
              <w:t>Item fit</w:t>
            </w:r>
          </w:p>
        </w:tc>
        <w:tc>
          <w:tcPr>
            <w:tcW w:w="1625" w:type="dxa"/>
          </w:tcPr>
          <w:p w14:paraId="2E164EAA" w14:textId="77777777" w:rsidR="007E0ABC" w:rsidRDefault="007E0ABC">
            <w:pPr>
              <w:jc w:val="center"/>
            </w:pPr>
            <w:r>
              <w:t>24</w:t>
            </w:r>
          </w:p>
        </w:tc>
        <w:tc>
          <w:tcPr>
            <w:tcW w:w="1455" w:type="dxa"/>
          </w:tcPr>
          <w:p w14:paraId="28D4AB9F" w14:textId="77777777" w:rsidR="007E0ABC" w:rsidRDefault="007E0ABC">
            <w:pPr>
              <w:jc w:val="center"/>
            </w:pPr>
            <w:r>
              <w:t>1.33/4.53</w:t>
            </w:r>
          </w:p>
        </w:tc>
        <w:tc>
          <w:tcPr>
            <w:tcW w:w="1455" w:type="dxa"/>
          </w:tcPr>
          <w:p w14:paraId="01C8C0C4" w14:textId="77777777" w:rsidR="007E0ABC" w:rsidRDefault="007E0ABC">
            <w:pPr>
              <w:jc w:val="center"/>
            </w:pPr>
            <w:r>
              <w:t>1.37/4.14</w:t>
            </w:r>
          </w:p>
        </w:tc>
        <w:tc>
          <w:tcPr>
            <w:tcW w:w="2587" w:type="dxa"/>
          </w:tcPr>
          <w:p w14:paraId="0D97D60E" w14:textId="77777777" w:rsidR="007E0ABC" w:rsidRDefault="007E0ABC">
            <w:pPr>
              <w:jc w:val="center"/>
              <w:rPr>
                <w:sz w:val="18"/>
                <w:szCs w:val="18"/>
              </w:rPr>
            </w:pPr>
            <w:r>
              <w:rPr>
                <w:sz w:val="18"/>
                <w:szCs w:val="18"/>
              </w:rPr>
              <w:t>Flag all for other issues</w:t>
            </w:r>
          </w:p>
        </w:tc>
      </w:tr>
      <w:tr w:rsidR="007E0ABC" w14:paraId="46FDF68D" w14:textId="77777777">
        <w:tc>
          <w:tcPr>
            <w:tcW w:w="1284" w:type="dxa"/>
            <w:vMerge/>
          </w:tcPr>
          <w:p w14:paraId="10C62194" w14:textId="77777777" w:rsidR="007E0ABC" w:rsidRDefault="007E0ABC">
            <w:pPr>
              <w:rPr>
                <w:b/>
                <w:i/>
              </w:rPr>
            </w:pPr>
          </w:p>
        </w:tc>
        <w:tc>
          <w:tcPr>
            <w:tcW w:w="1087" w:type="dxa"/>
          </w:tcPr>
          <w:p w14:paraId="1C02DA6C" w14:textId="77777777" w:rsidR="007E0ABC" w:rsidRDefault="007E0ABC">
            <w:pPr>
              <w:rPr>
                <w:i/>
              </w:rPr>
            </w:pPr>
          </w:p>
        </w:tc>
        <w:tc>
          <w:tcPr>
            <w:tcW w:w="1625" w:type="dxa"/>
          </w:tcPr>
          <w:p w14:paraId="348228CB" w14:textId="77777777" w:rsidR="007E0ABC" w:rsidRDefault="007E0ABC">
            <w:pPr>
              <w:jc w:val="center"/>
            </w:pPr>
          </w:p>
        </w:tc>
        <w:tc>
          <w:tcPr>
            <w:tcW w:w="1455" w:type="dxa"/>
          </w:tcPr>
          <w:p w14:paraId="0063B922" w14:textId="77777777" w:rsidR="007E0ABC" w:rsidRDefault="007E0ABC">
            <w:pPr>
              <w:jc w:val="center"/>
            </w:pPr>
          </w:p>
        </w:tc>
        <w:tc>
          <w:tcPr>
            <w:tcW w:w="1455" w:type="dxa"/>
          </w:tcPr>
          <w:p w14:paraId="0CC20879" w14:textId="77777777" w:rsidR="007E0ABC" w:rsidRDefault="007E0ABC">
            <w:pPr>
              <w:jc w:val="center"/>
            </w:pPr>
          </w:p>
        </w:tc>
        <w:tc>
          <w:tcPr>
            <w:tcW w:w="2587" w:type="dxa"/>
          </w:tcPr>
          <w:p w14:paraId="0ACBC980" w14:textId="77777777" w:rsidR="007E0ABC" w:rsidRDefault="007E0ABC">
            <w:pPr>
              <w:jc w:val="center"/>
              <w:rPr>
                <w:sz w:val="18"/>
                <w:szCs w:val="18"/>
              </w:rPr>
            </w:pPr>
          </w:p>
        </w:tc>
      </w:tr>
      <w:tr w:rsidR="007E0ABC" w14:paraId="3A7298AB" w14:textId="77777777">
        <w:tc>
          <w:tcPr>
            <w:tcW w:w="1284" w:type="dxa"/>
            <w:vMerge/>
          </w:tcPr>
          <w:p w14:paraId="17E85F9C" w14:textId="77777777" w:rsidR="007E0ABC" w:rsidRDefault="007E0ABC">
            <w:pPr>
              <w:widowControl w:val="0"/>
              <w:spacing w:line="276" w:lineRule="auto"/>
              <w:rPr>
                <w:sz w:val="18"/>
                <w:szCs w:val="18"/>
              </w:rPr>
            </w:pPr>
          </w:p>
        </w:tc>
        <w:tc>
          <w:tcPr>
            <w:tcW w:w="1087" w:type="dxa"/>
          </w:tcPr>
          <w:p w14:paraId="48A8B532" w14:textId="77777777" w:rsidR="007E0ABC" w:rsidRDefault="007E0ABC">
            <w:pPr>
              <w:rPr>
                <w:i/>
              </w:rPr>
            </w:pPr>
            <w:r>
              <w:rPr>
                <w:i/>
              </w:rPr>
              <w:t>Item fit</w:t>
            </w:r>
          </w:p>
        </w:tc>
        <w:tc>
          <w:tcPr>
            <w:tcW w:w="1625" w:type="dxa"/>
          </w:tcPr>
          <w:p w14:paraId="0B3C0A9F" w14:textId="77777777" w:rsidR="007E0ABC" w:rsidRDefault="007E0ABC">
            <w:pPr>
              <w:jc w:val="center"/>
            </w:pPr>
            <w:r>
              <w:t>4</w:t>
            </w:r>
          </w:p>
        </w:tc>
        <w:tc>
          <w:tcPr>
            <w:tcW w:w="1455" w:type="dxa"/>
          </w:tcPr>
          <w:p w14:paraId="197025DE" w14:textId="77777777" w:rsidR="007E0ABC" w:rsidRDefault="007E0ABC">
            <w:pPr>
              <w:jc w:val="center"/>
            </w:pPr>
            <w:r>
              <w:t>1.28/4.15</w:t>
            </w:r>
          </w:p>
        </w:tc>
        <w:tc>
          <w:tcPr>
            <w:tcW w:w="1455" w:type="dxa"/>
          </w:tcPr>
          <w:p w14:paraId="7E6980A6" w14:textId="77777777" w:rsidR="007E0ABC" w:rsidRDefault="007E0ABC">
            <w:pPr>
              <w:jc w:val="center"/>
            </w:pPr>
            <w:r>
              <w:t>1.23/2.82</w:t>
            </w:r>
          </w:p>
        </w:tc>
        <w:tc>
          <w:tcPr>
            <w:tcW w:w="2587" w:type="dxa"/>
          </w:tcPr>
          <w:p w14:paraId="307959B1" w14:textId="77777777" w:rsidR="007E0ABC" w:rsidRDefault="007E0ABC">
            <w:pPr>
              <w:jc w:val="center"/>
              <w:rPr>
                <w:sz w:val="18"/>
                <w:szCs w:val="18"/>
              </w:rPr>
            </w:pPr>
          </w:p>
        </w:tc>
      </w:tr>
      <w:tr w:rsidR="007E0ABC" w14:paraId="75FA7694" w14:textId="77777777">
        <w:tc>
          <w:tcPr>
            <w:tcW w:w="1284" w:type="dxa"/>
            <w:vMerge/>
          </w:tcPr>
          <w:p w14:paraId="5957A8E4" w14:textId="77777777" w:rsidR="007E0ABC" w:rsidRDefault="007E0ABC">
            <w:pPr>
              <w:widowControl w:val="0"/>
              <w:spacing w:line="276" w:lineRule="auto"/>
              <w:rPr>
                <w:sz w:val="18"/>
                <w:szCs w:val="18"/>
              </w:rPr>
            </w:pPr>
          </w:p>
        </w:tc>
        <w:tc>
          <w:tcPr>
            <w:tcW w:w="1087" w:type="dxa"/>
          </w:tcPr>
          <w:p w14:paraId="12F72BB1" w14:textId="77777777" w:rsidR="007E0ABC" w:rsidRDefault="007E0ABC">
            <w:pPr>
              <w:rPr>
                <w:i/>
              </w:rPr>
            </w:pPr>
            <w:r>
              <w:rPr>
                <w:i/>
              </w:rPr>
              <w:t>Item fit</w:t>
            </w:r>
          </w:p>
        </w:tc>
        <w:tc>
          <w:tcPr>
            <w:tcW w:w="1625" w:type="dxa"/>
          </w:tcPr>
          <w:p w14:paraId="2F53D841" w14:textId="77777777" w:rsidR="007E0ABC" w:rsidRDefault="007E0ABC">
            <w:pPr>
              <w:jc w:val="center"/>
            </w:pPr>
            <w:r>
              <w:t>9</w:t>
            </w:r>
          </w:p>
        </w:tc>
        <w:tc>
          <w:tcPr>
            <w:tcW w:w="1455" w:type="dxa"/>
          </w:tcPr>
          <w:p w14:paraId="3E9BFCDF" w14:textId="77777777" w:rsidR="007E0ABC" w:rsidRDefault="007E0ABC">
            <w:pPr>
              <w:jc w:val="center"/>
            </w:pPr>
            <w:r>
              <w:t>0.73/-4/86</w:t>
            </w:r>
          </w:p>
        </w:tc>
        <w:tc>
          <w:tcPr>
            <w:tcW w:w="1455" w:type="dxa"/>
          </w:tcPr>
          <w:p w14:paraId="0140C6E4" w14:textId="77777777" w:rsidR="007E0ABC" w:rsidRDefault="007E0ABC">
            <w:pPr>
              <w:jc w:val="center"/>
            </w:pPr>
            <w:r>
              <w:t>0.73/-3.85</w:t>
            </w:r>
          </w:p>
        </w:tc>
        <w:tc>
          <w:tcPr>
            <w:tcW w:w="2587" w:type="dxa"/>
          </w:tcPr>
          <w:p w14:paraId="2D1ABE12" w14:textId="77777777" w:rsidR="007E0ABC" w:rsidRDefault="007E0ABC">
            <w:pPr>
              <w:jc w:val="center"/>
              <w:rPr>
                <w:sz w:val="18"/>
                <w:szCs w:val="18"/>
              </w:rPr>
            </w:pPr>
          </w:p>
        </w:tc>
      </w:tr>
      <w:tr w:rsidR="007E0ABC" w14:paraId="744389D9" w14:textId="77777777">
        <w:tc>
          <w:tcPr>
            <w:tcW w:w="1284" w:type="dxa"/>
          </w:tcPr>
          <w:p w14:paraId="24A40065" w14:textId="77777777" w:rsidR="007E0ABC" w:rsidRDefault="007E0ABC">
            <w:pPr>
              <w:rPr>
                <w:b/>
                <w:u w:val="single"/>
              </w:rPr>
            </w:pPr>
          </w:p>
        </w:tc>
        <w:tc>
          <w:tcPr>
            <w:tcW w:w="1087" w:type="dxa"/>
          </w:tcPr>
          <w:p w14:paraId="42AFDEDC" w14:textId="77777777" w:rsidR="007E0ABC" w:rsidRDefault="007E0ABC">
            <w:pPr>
              <w:rPr>
                <w:i/>
              </w:rPr>
            </w:pPr>
            <w:r>
              <w:rPr>
                <w:i/>
              </w:rPr>
              <w:t>Item fit</w:t>
            </w:r>
          </w:p>
        </w:tc>
        <w:tc>
          <w:tcPr>
            <w:tcW w:w="1625" w:type="dxa"/>
          </w:tcPr>
          <w:p w14:paraId="7005724A" w14:textId="77777777" w:rsidR="007E0ABC" w:rsidRDefault="007E0ABC">
            <w:pPr>
              <w:jc w:val="center"/>
            </w:pPr>
            <w:r>
              <w:t>5.1</w:t>
            </w:r>
          </w:p>
        </w:tc>
        <w:tc>
          <w:tcPr>
            <w:tcW w:w="1455" w:type="dxa"/>
          </w:tcPr>
          <w:p w14:paraId="1BFE6EF4" w14:textId="77777777" w:rsidR="007E0ABC" w:rsidRDefault="007E0ABC">
            <w:pPr>
              <w:jc w:val="center"/>
            </w:pPr>
            <w:r>
              <w:t>0.72/-4.95</w:t>
            </w:r>
          </w:p>
        </w:tc>
        <w:tc>
          <w:tcPr>
            <w:tcW w:w="1455" w:type="dxa"/>
          </w:tcPr>
          <w:p w14:paraId="0AF35A0A" w14:textId="77777777" w:rsidR="007E0ABC" w:rsidRDefault="007E0ABC">
            <w:pPr>
              <w:jc w:val="center"/>
            </w:pPr>
            <w:r>
              <w:t>0.70/-4.49</w:t>
            </w:r>
          </w:p>
        </w:tc>
        <w:tc>
          <w:tcPr>
            <w:tcW w:w="2587" w:type="dxa"/>
          </w:tcPr>
          <w:p w14:paraId="34D1EB7A" w14:textId="77777777" w:rsidR="007E0ABC" w:rsidRDefault="007E0ABC">
            <w:pPr>
              <w:jc w:val="center"/>
              <w:rPr>
                <w:sz w:val="18"/>
                <w:szCs w:val="18"/>
              </w:rPr>
            </w:pPr>
          </w:p>
        </w:tc>
      </w:tr>
      <w:tr w:rsidR="007E0ABC" w14:paraId="71BC4DA9" w14:textId="77777777">
        <w:trPr>
          <w:trHeight w:val="220"/>
        </w:trPr>
        <w:tc>
          <w:tcPr>
            <w:tcW w:w="1284" w:type="dxa"/>
            <w:vMerge w:val="restart"/>
          </w:tcPr>
          <w:p w14:paraId="5E0C4490" w14:textId="77777777" w:rsidR="007E0ABC" w:rsidRDefault="007E0ABC">
            <w:pPr>
              <w:widowControl w:val="0"/>
              <w:spacing w:line="276" w:lineRule="auto"/>
              <w:rPr>
                <w:b/>
                <w:u w:val="single"/>
              </w:rPr>
            </w:pPr>
            <w:r>
              <w:rPr>
                <w:sz w:val="18"/>
                <w:szCs w:val="18"/>
              </w:rPr>
              <w:t>M1 - Collapse categories 1&amp;2 and 3&amp;4</w:t>
            </w:r>
          </w:p>
        </w:tc>
        <w:tc>
          <w:tcPr>
            <w:tcW w:w="1087" w:type="dxa"/>
          </w:tcPr>
          <w:p w14:paraId="17AF3689" w14:textId="77777777" w:rsidR="007E0ABC" w:rsidRDefault="007E0ABC">
            <w:pPr>
              <w:rPr>
                <w:i/>
              </w:rPr>
            </w:pPr>
            <w:r>
              <w:rPr>
                <w:i/>
              </w:rPr>
              <w:t>Item fit</w:t>
            </w:r>
          </w:p>
        </w:tc>
        <w:tc>
          <w:tcPr>
            <w:tcW w:w="1625" w:type="dxa"/>
          </w:tcPr>
          <w:p w14:paraId="37CBE0AA" w14:textId="77777777" w:rsidR="007E0ABC" w:rsidRDefault="007E0ABC">
            <w:pPr>
              <w:jc w:val="center"/>
            </w:pPr>
            <w:r>
              <w:t>24</w:t>
            </w:r>
          </w:p>
        </w:tc>
        <w:tc>
          <w:tcPr>
            <w:tcW w:w="1455" w:type="dxa"/>
          </w:tcPr>
          <w:p w14:paraId="2376AAC2" w14:textId="77777777" w:rsidR="007E0ABC" w:rsidRDefault="007E0ABC">
            <w:pPr>
              <w:jc w:val="center"/>
            </w:pPr>
            <w:r>
              <w:t>1.30/4.01</w:t>
            </w:r>
          </w:p>
        </w:tc>
        <w:tc>
          <w:tcPr>
            <w:tcW w:w="1455" w:type="dxa"/>
          </w:tcPr>
          <w:p w14:paraId="1A819584" w14:textId="77777777" w:rsidR="007E0ABC" w:rsidRDefault="007E0ABC">
            <w:pPr>
              <w:jc w:val="center"/>
            </w:pPr>
            <w:r>
              <w:t>1.31/3.20</w:t>
            </w:r>
          </w:p>
        </w:tc>
        <w:tc>
          <w:tcPr>
            <w:tcW w:w="2587" w:type="dxa"/>
          </w:tcPr>
          <w:p w14:paraId="7851B5E7" w14:textId="77777777" w:rsidR="007E0ABC" w:rsidRDefault="007E0ABC">
            <w:pPr>
              <w:jc w:val="center"/>
              <w:rPr>
                <w:sz w:val="18"/>
                <w:szCs w:val="18"/>
              </w:rPr>
            </w:pPr>
            <w:r>
              <w:rPr>
                <w:sz w:val="18"/>
                <w:szCs w:val="18"/>
              </w:rPr>
              <w:t>Highlight for any other problems</w:t>
            </w:r>
          </w:p>
        </w:tc>
      </w:tr>
      <w:tr w:rsidR="007E0ABC" w14:paraId="31D055F9" w14:textId="77777777">
        <w:trPr>
          <w:trHeight w:val="220"/>
        </w:trPr>
        <w:tc>
          <w:tcPr>
            <w:tcW w:w="1284" w:type="dxa"/>
            <w:vMerge/>
          </w:tcPr>
          <w:p w14:paraId="5FFC3837" w14:textId="77777777" w:rsidR="007E0ABC" w:rsidRDefault="007E0ABC">
            <w:pPr>
              <w:rPr>
                <w:b/>
                <w:u w:val="single"/>
              </w:rPr>
            </w:pPr>
          </w:p>
        </w:tc>
        <w:tc>
          <w:tcPr>
            <w:tcW w:w="1087" w:type="dxa"/>
          </w:tcPr>
          <w:p w14:paraId="6A057E81" w14:textId="77777777" w:rsidR="007E0ABC" w:rsidRDefault="007E0ABC">
            <w:pPr>
              <w:rPr>
                <w:i/>
              </w:rPr>
            </w:pPr>
            <w:r>
              <w:rPr>
                <w:i/>
              </w:rPr>
              <w:t>Item fit</w:t>
            </w:r>
          </w:p>
        </w:tc>
        <w:tc>
          <w:tcPr>
            <w:tcW w:w="1625" w:type="dxa"/>
          </w:tcPr>
          <w:p w14:paraId="6FD3039C" w14:textId="77777777" w:rsidR="007E0ABC" w:rsidRDefault="007E0ABC">
            <w:pPr>
              <w:jc w:val="center"/>
            </w:pPr>
            <w:r>
              <w:t>4</w:t>
            </w:r>
          </w:p>
        </w:tc>
        <w:tc>
          <w:tcPr>
            <w:tcW w:w="1455" w:type="dxa"/>
          </w:tcPr>
          <w:p w14:paraId="0D3E7554" w14:textId="77777777" w:rsidR="007E0ABC" w:rsidRDefault="007E0ABC">
            <w:pPr>
              <w:jc w:val="center"/>
            </w:pPr>
            <w:r>
              <w:t>1.23/3.45</w:t>
            </w:r>
          </w:p>
        </w:tc>
        <w:tc>
          <w:tcPr>
            <w:tcW w:w="1455" w:type="dxa"/>
          </w:tcPr>
          <w:p w14:paraId="3027E285" w14:textId="77777777" w:rsidR="007E0ABC" w:rsidRDefault="007E0ABC">
            <w:pPr>
              <w:jc w:val="center"/>
            </w:pPr>
            <w:r>
              <w:t>1.19/2.49</w:t>
            </w:r>
          </w:p>
        </w:tc>
        <w:tc>
          <w:tcPr>
            <w:tcW w:w="2587" w:type="dxa"/>
          </w:tcPr>
          <w:p w14:paraId="0529DB57" w14:textId="77777777" w:rsidR="007E0ABC" w:rsidRDefault="007E0ABC">
            <w:pPr>
              <w:jc w:val="center"/>
              <w:rPr>
                <w:sz w:val="18"/>
                <w:szCs w:val="18"/>
              </w:rPr>
            </w:pPr>
          </w:p>
        </w:tc>
      </w:tr>
      <w:tr w:rsidR="007E0ABC" w14:paraId="415C79DE" w14:textId="77777777" w:rsidTr="00640EF9">
        <w:trPr>
          <w:trHeight w:val="553"/>
        </w:trPr>
        <w:tc>
          <w:tcPr>
            <w:tcW w:w="1284" w:type="dxa"/>
            <w:vMerge/>
          </w:tcPr>
          <w:p w14:paraId="207F023B" w14:textId="77777777" w:rsidR="007E0ABC" w:rsidRDefault="007E0ABC">
            <w:pPr>
              <w:rPr>
                <w:b/>
                <w:u w:val="single"/>
              </w:rPr>
            </w:pPr>
          </w:p>
        </w:tc>
        <w:tc>
          <w:tcPr>
            <w:tcW w:w="1087" w:type="dxa"/>
            <w:vAlign w:val="center"/>
          </w:tcPr>
          <w:p w14:paraId="438563EE" w14:textId="77777777" w:rsidR="007E0ABC" w:rsidRDefault="007E0ABC" w:rsidP="00640EF9">
            <w:pPr>
              <w:jc w:val="center"/>
              <w:rPr>
                <w:i/>
              </w:rPr>
            </w:pPr>
            <w:r>
              <w:rPr>
                <w:i/>
              </w:rPr>
              <w:t>Item fit</w:t>
            </w:r>
          </w:p>
        </w:tc>
        <w:tc>
          <w:tcPr>
            <w:tcW w:w="1625" w:type="dxa"/>
            <w:vAlign w:val="center"/>
          </w:tcPr>
          <w:p w14:paraId="6F577AC6" w14:textId="77777777" w:rsidR="007E0ABC" w:rsidRDefault="007E0ABC" w:rsidP="00640EF9">
            <w:pPr>
              <w:jc w:val="center"/>
            </w:pPr>
            <w:r>
              <w:t>13</w:t>
            </w:r>
          </w:p>
        </w:tc>
        <w:tc>
          <w:tcPr>
            <w:tcW w:w="1455" w:type="dxa"/>
            <w:vAlign w:val="center"/>
          </w:tcPr>
          <w:p w14:paraId="0A0DEB8E" w14:textId="77777777" w:rsidR="007E0ABC" w:rsidRDefault="007E0ABC" w:rsidP="00640EF9">
            <w:pPr>
              <w:jc w:val="center"/>
            </w:pPr>
            <w:r>
              <w:t>1.13/2.01</w:t>
            </w:r>
          </w:p>
        </w:tc>
        <w:tc>
          <w:tcPr>
            <w:tcW w:w="1455" w:type="dxa"/>
            <w:vAlign w:val="center"/>
          </w:tcPr>
          <w:p w14:paraId="5312502C" w14:textId="77777777" w:rsidR="007E0ABC" w:rsidRDefault="007E0ABC" w:rsidP="00640EF9">
            <w:pPr>
              <w:jc w:val="center"/>
            </w:pPr>
            <w:r>
              <w:t>1.17/2.24</w:t>
            </w:r>
          </w:p>
        </w:tc>
        <w:tc>
          <w:tcPr>
            <w:tcW w:w="2587" w:type="dxa"/>
            <w:vAlign w:val="center"/>
          </w:tcPr>
          <w:p w14:paraId="009A7A8F" w14:textId="77777777" w:rsidR="007E0ABC" w:rsidRDefault="007E0ABC" w:rsidP="00640EF9">
            <w:pPr>
              <w:jc w:val="center"/>
              <w:rPr>
                <w:sz w:val="18"/>
                <w:szCs w:val="18"/>
              </w:rPr>
            </w:pPr>
          </w:p>
        </w:tc>
      </w:tr>
      <w:tr w:rsidR="007E0ABC" w14:paraId="66065C6B" w14:textId="77777777">
        <w:trPr>
          <w:trHeight w:val="220"/>
        </w:trPr>
        <w:tc>
          <w:tcPr>
            <w:tcW w:w="1284" w:type="dxa"/>
            <w:vMerge w:val="restart"/>
          </w:tcPr>
          <w:p w14:paraId="13BC2327" w14:textId="77777777" w:rsidR="007E0ABC" w:rsidRDefault="007E0ABC">
            <w:pPr>
              <w:widowControl w:val="0"/>
              <w:rPr>
                <w:b/>
                <w:u w:val="single"/>
              </w:rPr>
            </w:pPr>
            <w:r>
              <w:rPr>
                <w:sz w:val="18"/>
                <w:szCs w:val="18"/>
              </w:rPr>
              <w:t>M2 - Misfitting persons removed</w:t>
            </w:r>
          </w:p>
        </w:tc>
        <w:tc>
          <w:tcPr>
            <w:tcW w:w="1087" w:type="dxa"/>
          </w:tcPr>
          <w:p w14:paraId="339D4485" w14:textId="77777777" w:rsidR="007E0ABC" w:rsidRDefault="007E0ABC">
            <w:pPr>
              <w:rPr>
                <w:i/>
              </w:rPr>
            </w:pPr>
            <w:r>
              <w:rPr>
                <w:i/>
              </w:rPr>
              <w:t>Item fit</w:t>
            </w:r>
          </w:p>
        </w:tc>
        <w:tc>
          <w:tcPr>
            <w:tcW w:w="1625" w:type="dxa"/>
          </w:tcPr>
          <w:p w14:paraId="335A6262" w14:textId="77777777" w:rsidR="007E0ABC" w:rsidRDefault="007E0ABC">
            <w:pPr>
              <w:jc w:val="center"/>
            </w:pPr>
            <w:r>
              <w:t>24</w:t>
            </w:r>
          </w:p>
        </w:tc>
        <w:tc>
          <w:tcPr>
            <w:tcW w:w="1455" w:type="dxa"/>
          </w:tcPr>
          <w:p w14:paraId="2D7D08B1" w14:textId="77777777" w:rsidR="007E0ABC" w:rsidRDefault="007E0ABC">
            <w:pPr>
              <w:jc w:val="center"/>
            </w:pPr>
            <w:r>
              <w:t>1.25/2.88</w:t>
            </w:r>
          </w:p>
        </w:tc>
        <w:tc>
          <w:tcPr>
            <w:tcW w:w="1455" w:type="dxa"/>
          </w:tcPr>
          <w:p w14:paraId="30C345E5" w14:textId="77777777" w:rsidR="007E0ABC" w:rsidRDefault="007E0ABC">
            <w:pPr>
              <w:jc w:val="center"/>
            </w:pPr>
            <w:r>
              <w:t>1.33/2.80</w:t>
            </w:r>
          </w:p>
        </w:tc>
        <w:tc>
          <w:tcPr>
            <w:tcW w:w="2587" w:type="dxa"/>
          </w:tcPr>
          <w:p w14:paraId="4E5D22A1" w14:textId="77777777" w:rsidR="007E0ABC" w:rsidRDefault="007E0ABC">
            <w:pPr>
              <w:jc w:val="center"/>
              <w:rPr>
                <w:sz w:val="18"/>
                <w:szCs w:val="18"/>
              </w:rPr>
            </w:pPr>
            <w:r>
              <w:rPr>
                <w:sz w:val="18"/>
                <w:szCs w:val="18"/>
              </w:rPr>
              <w:t>elevated ZSTD</w:t>
            </w:r>
          </w:p>
        </w:tc>
      </w:tr>
      <w:tr w:rsidR="007E0ABC" w14:paraId="7517F7FD" w14:textId="77777777">
        <w:trPr>
          <w:trHeight w:val="220"/>
        </w:trPr>
        <w:tc>
          <w:tcPr>
            <w:tcW w:w="1284" w:type="dxa"/>
            <w:vMerge/>
          </w:tcPr>
          <w:p w14:paraId="1D145E39" w14:textId="77777777" w:rsidR="007E0ABC" w:rsidRDefault="007E0ABC">
            <w:pPr>
              <w:rPr>
                <w:b/>
                <w:u w:val="single"/>
              </w:rPr>
            </w:pPr>
          </w:p>
        </w:tc>
        <w:tc>
          <w:tcPr>
            <w:tcW w:w="1087" w:type="dxa"/>
          </w:tcPr>
          <w:p w14:paraId="316F7305" w14:textId="77777777" w:rsidR="007E0ABC" w:rsidRDefault="007E0ABC">
            <w:pPr>
              <w:rPr>
                <w:i/>
              </w:rPr>
            </w:pPr>
            <w:r>
              <w:rPr>
                <w:i/>
              </w:rPr>
              <w:t>Item fit</w:t>
            </w:r>
          </w:p>
        </w:tc>
        <w:tc>
          <w:tcPr>
            <w:tcW w:w="1625" w:type="dxa"/>
          </w:tcPr>
          <w:p w14:paraId="1B9C5724" w14:textId="77777777" w:rsidR="007E0ABC" w:rsidRDefault="007E0ABC">
            <w:pPr>
              <w:jc w:val="center"/>
            </w:pPr>
            <w:r>
              <w:t>4</w:t>
            </w:r>
          </w:p>
        </w:tc>
        <w:tc>
          <w:tcPr>
            <w:tcW w:w="1455" w:type="dxa"/>
          </w:tcPr>
          <w:p w14:paraId="57C7CF20" w14:textId="77777777" w:rsidR="007E0ABC" w:rsidRDefault="007E0ABC">
            <w:pPr>
              <w:jc w:val="center"/>
            </w:pPr>
            <w:r>
              <w:t>1.26/3.37</w:t>
            </w:r>
          </w:p>
        </w:tc>
        <w:tc>
          <w:tcPr>
            <w:tcW w:w="1455" w:type="dxa"/>
          </w:tcPr>
          <w:p w14:paraId="2761F0AB" w14:textId="77777777" w:rsidR="007E0ABC" w:rsidRDefault="007E0ABC">
            <w:pPr>
              <w:jc w:val="center"/>
            </w:pPr>
            <w:r>
              <w:t>1.20/2.33</w:t>
            </w:r>
          </w:p>
        </w:tc>
        <w:tc>
          <w:tcPr>
            <w:tcW w:w="2587" w:type="dxa"/>
          </w:tcPr>
          <w:p w14:paraId="735A9521" w14:textId="77777777" w:rsidR="007E0ABC" w:rsidRDefault="007E0ABC">
            <w:pPr>
              <w:jc w:val="center"/>
              <w:rPr>
                <w:sz w:val="18"/>
                <w:szCs w:val="18"/>
              </w:rPr>
            </w:pPr>
          </w:p>
        </w:tc>
      </w:tr>
      <w:tr w:rsidR="007E0ABC" w14:paraId="341A8FA7" w14:textId="77777777">
        <w:trPr>
          <w:trHeight w:val="220"/>
        </w:trPr>
        <w:tc>
          <w:tcPr>
            <w:tcW w:w="1284" w:type="dxa"/>
            <w:vMerge/>
          </w:tcPr>
          <w:p w14:paraId="33919F6B" w14:textId="77777777" w:rsidR="007E0ABC" w:rsidRDefault="007E0ABC">
            <w:pPr>
              <w:rPr>
                <w:b/>
                <w:u w:val="single"/>
              </w:rPr>
            </w:pPr>
          </w:p>
        </w:tc>
        <w:tc>
          <w:tcPr>
            <w:tcW w:w="1087" w:type="dxa"/>
          </w:tcPr>
          <w:p w14:paraId="749DA51C" w14:textId="77777777" w:rsidR="007E0ABC" w:rsidRDefault="007E0ABC">
            <w:pPr>
              <w:rPr>
                <w:i/>
              </w:rPr>
            </w:pPr>
            <w:r>
              <w:rPr>
                <w:i/>
              </w:rPr>
              <w:t>Item fit</w:t>
            </w:r>
          </w:p>
        </w:tc>
        <w:tc>
          <w:tcPr>
            <w:tcW w:w="1625" w:type="dxa"/>
          </w:tcPr>
          <w:p w14:paraId="5ED409D2" w14:textId="77777777" w:rsidR="007E0ABC" w:rsidRDefault="007E0ABC">
            <w:pPr>
              <w:jc w:val="center"/>
            </w:pPr>
            <w:r>
              <w:t>5.1</w:t>
            </w:r>
          </w:p>
        </w:tc>
        <w:tc>
          <w:tcPr>
            <w:tcW w:w="1455" w:type="dxa"/>
          </w:tcPr>
          <w:p w14:paraId="0789B7CD" w14:textId="77777777" w:rsidR="007E0ABC" w:rsidRDefault="007E0ABC">
            <w:pPr>
              <w:jc w:val="center"/>
            </w:pPr>
            <w:r>
              <w:t>0.76/-3.85</w:t>
            </w:r>
          </w:p>
        </w:tc>
        <w:tc>
          <w:tcPr>
            <w:tcW w:w="1455" w:type="dxa"/>
          </w:tcPr>
          <w:p w14:paraId="495CE646" w14:textId="77777777" w:rsidR="007E0ABC" w:rsidRDefault="007E0ABC">
            <w:pPr>
              <w:jc w:val="center"/>
            </w:pPr>
            <w:r>
              <w:t>0.71/-3.80</w:t>
            </w:r>
          </w:p>
        </w:tc>
        <w:tc>
          <w:tcPr>
            <w:tcW w:w="2587" w:type="dxa"/>
          </w:tcPr>
          <w:p w14:paraId="0BFAEB1E" w14:textId="77777777" w:rsidR="007E0ABC" w:rsidRDefault="007E0ABC">
            <w:pPr>
              <w:jc w:val="center"/>
              <w:rPr>
                <w:sz w:val="18"/>
                <w:szCs w:val="18"/>
              </w:rPr>
            </w:pPr>
          </w:p>
        </w:tc>
      </w:tr>
      <w:tr w:rsidR="007E0ABC" w14:paraId="31D3DFCA" w14:textId="77777777">
        <w:trPr>
          <w:trHeight w:val="220"/>
        </w:trPr>
        <w:tc>
          <w:tcPr>
            <w:tcW w:w="1284" w:type="dxa"/>
            <w:vMerge/>
          </w:tcPr>
          <w:p w14:paraId="7A05C485" w14:textId="77777777" w:rsidR="007E0ABC" w:rsidRDefault="007E0ABC">
            <w:pPr>
              <w:rPr>
                <w:b/>
                <w:u w:val="single"/>
              </w:rPr>
            </w:pPr>
          </w:p>
        </w:tc>
        <w:tc>
          <w:tcPr>
            <w:tcW w:w="1087" w:type="dxa"/>
          </w:tcPr>
          <w:p w14:paraId="4A510DC3" w14:textId="77777777" w:rsidR="007E0ABC" w:rsidRDefault="007E0ABC">
            <w:pPr>
              <w:rPr>
                <w:i/>
              </w:rPr>
            </w:pPr>
            <w:r>
              <w:rPr>
                <w:i/>
              </w:rPr>
              <w:t>Item fit</w:t>
            </w:r>
          </w:p>
        </w:tc>
        <w:tc>
          <w:tcPr>
            <w:tcW w:w="1625" w:type="dxa"/>
          </w:tcPr>
          <w:p w14:paraId="2289DDF7" w14:textId="77777777" w:rsidR="007E0ABC" w:rsidRDefault="007E0ABC">
            <w:pPr>
              <w:jc w:val="center"/>
            </w:pPr>
            <w:r>
              <w:t>9</w:t>
            </w:r>
          </w:p>
        </w:tc>
        <w:tc>
          <w:tcPr>
            <w:tcW w:w="1455" w:type="dxa"/>
          </w:tcPr>
          <w:p w14:paraId="1E150454" w14:textId="77777777" w:rsidR="007E0ABC" w:rsidRDefault="007E0ABC">
            <w:pPr>
              <w:jc w:val="center"/>
            </w:pPr>
            <w:r>
              <w:t>0.70/-4.55</w:t>
            </w:r>
          </w:p>
        </w:tc>
        <w:tc>
          <w:tcPr>
            <w:tcW w:w="1455" w:type="dxa"/>
          </w:tcPr>
          <w:p w14:paraId="2753DBD1" w14:textId="77777777" w:rsidR="007E0ABC" w:rsidRDefault="007E0ABC">
            <w:pPr>
              <w:jc w:val="center"/>
            </w:pPr>
            <w:r>
              <w:t>0.67/-4.49</w:t>
            </w:r>
          </w:p>
        </w:tc>
        <w:tc>
          <w:tcPr>
            <w:tcW w:w="2587" w:type="dxa"/>
          </w:tcPr>
          <w:p w14:paraId="57249779" w14:textId="77777777" w:rsidR="007E0ABC" w:rsidRDefault="007E0ABC">
            <w:pPr>
              <w:jc w:val="center"/>
              <w:rPr>
                <w:sz w:val="18"/>
                <w:szCs w:val="18"/>
              </w:rPr>
            </w:pPr>
          </w:p>
        </w:tc>
      </w:tr>
    </w:tbl>
    <w:p w14:paraId="283D1244" w14:textId="77777777" w:rsidR="007E0ABC" w:rsidRDefault="007E0ABC"/>
    <w:p w14:paraId="49F271ED" w14:textId="77777777" w:rsidR="007E0ABC" w:rsidRDefault="007E0ABC"/>
    <w:p w14:paraId="750965EA" w14:textId="77777777" w:rsidR="007E0ABC" w:rsidRDefault="007E0ABC" w:rsidP="007E0ABC">
      <w:pPr>
        <w:pStyle w:val="ListParagraph"/>
        <w:numPr>
          <w:ilvl w:val="0"/>
          <w:numId w:val="200"/>
        </w:numPr>
        <w:spacing w:line="240" w:lineRule="auto"/>
        <w:jc w:val="left"/>
        <w:rPr>
          <w:bCs/>
          <w:szCs w:val="20"/>
        </w:rPr>
      </w:pPr>
      <w:r w:rsidRPr="00461BB1">
        <w:rPr>
          <w:bCs/>
          <w:szCs w:val="20"/>
        </w:rPr>
        <w:t xml:space="preserve">Misfitting persons:  </w:t>
      </w:r>
    </w:p>
    <w:p w14:paraId="0497B387" w14:textId="77777777" w:rsidR="007E0ABC" w:rsidRPr="00461BB1" w:rsidRDefault="007E0ABC" w:rsidP="00461BB1">
      <w:pPr>
        <w:rPr>
          <w:bCs/>
          <w:szCs w:val="20"/>
        </w:rPr>
      </w:pPr>
    </w:p>
    <w:p w14:paraId="4ACEFCB6" w14:textId="77777777" w:rsidR="007E0ABC" w:rsidRDefault="007E0ABC" w:rsidP="00461BB1">
      <w:pPr>
        <w:spacing w:line="276" w:lineRule="auto"/>
        <w:rPr>
          <w:szCs w:val="20"/>
        </w:rPr>
      </w:pPr>
      <w:r w:rsidRPr="00EE4757">
        <w:rPr>
          <w:b/>
          <w:szCs w:val="20"/>
        </w:rPr>
        <w:lastRenderedPageBreak/>
        <w:t>Original Model:</w:t>
      </w:r>
      <w:r>
        <w:rPr>
          <w:bCs/>
          <w:szCs w:val="20"/>
        </w:rPr>
        <w:t xml:space="preserve"> </w:t>
      </w:r>
      <w:r w:rsidRPr="00BD6250">
        <w:rPr>
          <w:szCs w:val="20"/>
        </w:rPr>
        <w:t xml:space="preserve">Infit MNSQ &gt;1.6: N = </w:t>
      </w:r>
      <w:r>
        <w:rPr>
          <w:szCs w:val="20"/>
        </w:rPr>
        <w:t>66</w:t>
      </w:r>
      <w:r w:rsidRPr="00BD6250">
        <w:rPr>
          <w:szCs w:val="20"/>
        </w:rPr>
        <w:t xml:space="preserve"> persons</w:t>
      </w:r>
    </w:p>
    <w:p w14:paraId="01C1B494" w14:textId="77777777" w:rsidR="007E0ABC" w:rsidRPr="00BD6250" w:rsidRDefault="007E0ABC" w:rsidP="00461BB1">
      <w:pPr>
        <w:spacing w:line="276" w:lineRule="auto"/>
        <w:rPr>
          <w:szCs w:val="20"/>
        </w:rPr>
      </w:pPr>
      <w:r w:rsidRPr="00BD6250">
        <w:rPr>
          <w:szCs w:val="20"/>
        </w:rPr>
        <w:t>Infit MNSQ &lt; 0.4: N = 3</w:t>
      </w:r>
      <w:r>
        <w:rPr>
          <w:szCs w:val="20"/>
        </w:rPr>
        <w:t>9</w:t>
      </w:r>
      <w:r w:rsidRPr="00BD6250">
        <w:rPr>
          <w:szCs w:val="20"/>
        </w:rPr>
        <w:t xml:space="preserve"> persons</w:t>
      </w:r>
    </w:p>
    <w:p w14:paraId="7F3938CD" w14:textId="77777777" w:rsidR="007E0ABC" w:rsidRPr="00EE4757" w:rsidRDefault="007E0ABC" w:rsidP="00461BB1">
      <w:pPr>
        <w:spacing w:line="276" w:lineRule="auto"/>
        <w:rPr>
          <w:szCs w:val="20"/>
        </w:rPr>
      </w:pPr>
      <w:r w:rsidRPr="0098395C">
        <w:rPr>
          <w:b/>
          <w:szCs w:val="20"/>
        </w:rPr>
        <w:t>M1</w:t>
      </w:r>
      <w:r w:rsidRPr="00EE4757">
        <w:rPr>
          <w:b/>
          <w:szCs w:val="20"/>
        </w:rPr>
        <w:t xml:space="preserve">:  </w:t>
      </w:r>
      <w:r w:rsidRPr="00EE4757">
        <w:rPr>
          <w:szCs w:val="20"/>
        </w:rPr>
        <w:t xml:space="preserve">Infit MNSQ &gt;1.6: N = </w:t>
      </w:r>
      <w:r>
        <w:rPr>
          <w:szCs w:val="20"/>
        </w:rPr>
        <w:t>59</w:t>
      </w:r>
      <w:r w:rsidRPr="00EE4757">
        <w:rPr>
          <w:szCs w:val="20"/>
        </w:rPr>
        <w:t xml:space="preserve"> persons</w:t>
      </w:r>
    </w:p>
    <w:p w14:paraId="514502AA" w14:textId="77777777" w:rsidR="007E0ABC" w:rsidRPr="00EE4757" w:rsidRDefault="007E0ABC" w:rsidP="00461BB1">
      <w:pPr>
        <w:spacing w:line="276" w:lineRule="auto"/>
        <w:rPr>
          <w:szCs w:val="20"/>
        </w:rPr>
      </w:pPr>
      <w:r w:rsidRPr="00EE4757">
        <w:rPr>
          <w:szCs w:val="20"/>
        </w:rPr>
        <w:t>Infit MNSQ &lt; 0.4: N = 20 persons</w:t>
      </w:r>
    </w:p>
    <w:p w14:paraId="5F841DC8" w14:textId="77777777" w:rsidR="007E0ABC" w:rsidRPr="00EE4757" w:rsidRDefault="007E0ABC" w:rsidP="00461BB1">
      <w:pPr>
        <w:spacing w:line="276" w:lineRule="auto"/>
        <w:rPr>
          <w:b/>
          <w:szCs w:val="20"/>
        </w:rPr>
      </w:pPr>
      <w:r w:rsidRPr="00EE4757">
        <w:rPr>
          <w:b/>
          <w:szCs w:val="20"/>
        </w:rPr>
        <w:t xml:space="preserve">M2: </w:t>
      </w:r>
      <w:r w:rsidRPr="00EE4757">
        <w:rPr>
          <w:szCs w:val="20"/>
        </w:rPr>
        <w:t xml:space="preserve">Infit MNSQ &gt;1.6: N = </w:t>
      </w:r>
      <w:r>
        <w:rPr>
          <w:szCs w:val="20"/>
        </w:rPr>
        <w:t>29</w:t>
      </w:r>
      <w:r w:rsidRPr="00EE4757">
        <w:rPr>
          <w:szCs w:val="20"/>
        </w:rPr>
        <w:t xml:space="preserve"> persons</w:t>
      </w:r>
    </w:p>
    <w:p w14:paraId="6A775C51" w14:textId="77777777" w:rsidR="007E0ABC" w:rsidRPr="00EE4757" w:rsidRDefault="007E0ABC" w:rsidP="00461BB1">
      <w:pPr>
        <w:spacing w:line="276" w:lineRule="auto"/>
        <w:rPr>
          <w:szCs w:val="20"/>
        </w:rPr>
      </w:pPr>
      <w:r w:rsidRPr="00EE4757">
        <w:rPr>
          <w:szCs w:val="20"/>
        </w:rPr>
        <w:t xml:space="preserve">Infit MNSQ &lt; 0.4: N = </w:t>
      </w:r>
      <w:r>
        <w:rPr>
          <w:szCs w:val="20"/>
        </w:rPr>
        <w:t>3</w:t>
      </w:r>
      <w:r w:rsidRPr="00EE4757">
        <w:rPr>
          <w:szCs w:val="20"/>
        </w:rPr>
        <w:t xml:space="preserve"> persons</w:t>
      </w:r>
    </w:p>
    <w:p w14:paraId="001D8764" w14:textId="77777777" w:rsidR="007E0ABC" w:rsidRDefault="007E0ABC" w:rsidP="00461BB1">
      <w:pPr>
        <w:spacing w:before="240" w:after="240"/>
        <w:rPr>
          <w:b/>
        </w:rPr>
      </w:pPr>
    </w:p>
    <w:p w14:paraId="07DFB364" w14:textId="77777777" w:rsidR="007E0ABC" w:rsidRDefault="007E0ABC" w:rsidP="00461BB1">
      <w:pPr>
        <w:spacing w:before="240" w:after="240"/>
        <w:rPr>
          <w:b/>
        </w:rPr>
      </w:pPr>
    </w:p>
    <w:p w14:paraId="2BF1AF50" w14:textId="77777777" w:rsidR="007E0ABC" w:rsidRDefault="007E0ABC" w:rsidP="00461BB1">
      <w:pPr>
        <w:spacing w:before="240" w:after="240"/>
        <w:rPr>
          <w:b/>
        </w:rPr>
      </w:pPr>
    </w:p>
    <w:p w14:paraId="71DF69D1" w14:textId="77777777" w:rsidR="007E0ABC" w:rsidRPr="00461BB1" w:rsidRDefault="007E0ABC" w:rsidP="007E0ABC">
      <w:pPr>
        <w:pStyle w:val="ListParagraph"/>
        <w:numPr>
          <w:ilvl w:val="0"/>
          <w:numId w:val="200"/>
        </w:numPr>
        <w:spacing w:before="240" w:after="240" w:line="240" w:lineRule="auto"/>
        <w:jc w:val="left"/>
        <w:rPr>
          <w:color w:val="000000"/>
          <w:szCs w:val="20"/>
        </w:rPr>
      </w:pPr>
      <w:r w:rsidRPr="00461BB1">
        <w:rPr>
          <w:rFonts w:eastAsia="Century Gothic" w:cs="Century Gothic"/>
          <w:color w:val="000000"/>
          <w:szCs w:val="20"/>
        </w:rPr>
        <w:t>Table n. Uni-dimensionality</w:t>
      </w:r>
    </w:p>
    <w:p w14:paraId="22EB58BF" w14:textId="77777777" w:rsidR="007E0ABC" w:rsidRDefault="007E0ABC"/>
    <w:tbl>
      <w:tblPr>
        <w:tblW w:w="9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132"/>
        <w:gridCol w:w="1267"/>
        <w:gridCol w:w="1187"/>
        <w:gridCol w:w="1203"/>
        <w:gridCol w:w="994"/>
        <w:gridCol w:w="1971"/>
      </w:tblGrid>
      <w:tr w:rsidR="007E0ABC" w14:paraId="526C8731" w14:textId="77777777">
        <w:trPr>
          <w:trHeight w:val="790"/>
        </w:trPr>
        <w:tc>
          <w:tcPr>
            <w:tcW w:w="1687" w:type="dxa"/>
          </w:tcPr>
          <w:p w14:paraId="39B86324" w14:textId="77777777" w:rsidR="007E0ABC" w:rsidRDefault="007E0ABC">
            <w:pPr>
              <w:rPr>
                <w:sz w:val="18"/>
                <w:szCs w:val="18"/>
                <w:u w:val="single"/>
              </w:rPr>
            </w:pPr>
            <w:r>
              <w:rPr>
                <w:b/>
                <w:sz w:val="18"/>
                <w:szCs w:val="18"/>
              </w:rPr>
              <w:t>Model</w:t>
            </w:r>
          </w:p>
        </w:tc>
        <w:tc>
          <w:tcPr>
            <w:tcW w:w="1132" w:type="dxa"/>
          </w:tcPr>
          <w:p w14:paraId="71C0280D" w14:textId="77777777" w:rsidR="007E0ABC" w:rsidRDefault="007E0ABC">
            <w:pPr>
              <w:rPr>
                <w:b/>
                <w:sz w:val="18"/>
                <w:szCs w:val="18"/>
              </w:rPr>
            </w:pPr>
            <w:r>
              <w:rPr>
                <w:b/>
                <w:sz w:val="18"/>
                <w:szCs w:val="18"/>
              </w:rPr>
              <w:t>Variance explained by model</w:t>
            </w:r>
          </w:p>
        </w:tc>
        <w:tc>
          <w:tcPr>
            <w:tcW w:w="1267" w:type="dxa"/>
          </w:tcPr>
          <w:p w14:paraId="73CD81F7" w14:textId="77777777" w:rsidR="007E0ABC" w:rsidRDefault="007E0ABC">
            <w:pPr>
              <w:rPr>
                <w:b/>
                <w:sz w:val="18"/>
                <w:szCs w:val="18"/>
              </w:rPr>
            </w:pPr>
            <w:r>
              <w:rPr>
                <w:b/>
                <w:sz w:val="18"/>
                <w:szCs w:val="18"/>
              </w:rPr>
              <w:t>1</w:t>
            </w:r>
            <w:r>
              <w:rPr>
                <w:b/>
                <w:sz w:val="18"/>
                <w:szCs w:val="18"/>
                <w:vertAlign w:val="superscript"/>
              </w:rPr>
              <w:t>st</w:t>
            </w:r>
            <w:r>
              <w:rPr>
                <w:b/>
                <w:sz w:val="18"/>
                <w:szCs w:val="18"/>
              </w:rPr>
              <w:t xml:space="preserve"> contrast eigenvalue</w:t>
            </w:r>
          </w:p>
        </w:tc>
        <w:tc>
          <w:tcPr>
            <w:tcW w:w="1187" w:type="dxa"/>
          </w:tcPr>
          <w:p w14:paraId="2DFFDBB0" w14:textId="77777777" w:rsidR="007E0ABC" w:rsidRDefault="007E0ABC">
            <w:pPr>
              <w:rPr>
                <w:b/>
                <w:sz w:val="18"/>
                <w:szCs w:val="18"/>
              </w:rPr>
            </w:pPr>
            <w:r>
              <w:rPr>
                <w:b/>
                <w:sz w:val="18"/>
                <w:szCs w:val="18"/>
              </w:rPr>
              <w:t>1</w:t>
            </w:r>
            <w:r>
              <w:rPr>
                <w:b/>
                <w:sz w:val="18"/>
                <w:szCs w:val="18"/>
                <w:vertAlign w:val="superscript"/>
              </w:rPr>
              <w:t>st</w:t>
            </w:r>
            <w:r>
              <w:rPr>
                <w:b/>
                <w:sz w:val="18"/>
                <w:szCs w:val="18"/>
              </w:rPr>
              <w:t xml:space="preserve"> contrast variance</w:t>
            </w:r>
          </w:p>
        </w:tc>
        <w:tc>
          <w:tcPr>
            <w:tcW w:w="1203" w:type="dxa"/>
          </w:tcPr>
          <w:p w14:paraId="4B9BCBA0" w14:textId="77777777" w:rsidR="007E0ABC" w:rsidRDefault="007E0ABC">
            <w:pPr>
              <w:rPr>
                <w:b/>
                <w:sz w:val="18"/>
                <w:szCs w:val="18"/>
              </w:rPr>
            </w:pPr>
            <w:r>
              <w:rPr>
                <w:b/>
                <w:sz w:val="18"/>
                <w:szCs w:val="18"/>
              </w:rPr>
              <w:t>2nd contrast eigenvalue</w:t>
            </w:r>
          </w:p>
        </w:tc>
        <w:tc>
          <w:tcPr>
            <w:tcW w:w="994" w:type="dxa"/>
          </w:tcPr>
          <w:p w14:paraId="32DF870D" w14:textId="77777777" w:rsidR="007E0ABC" w:rsidRDefault="007E0ABC">
            <w:pPr>
              <w:rPr>
                <w:b/>
                <w:sz w:val="18"/>
                <w:szCs w:val="18"/>
              </w:rPr>
            </w:pPr>
            <w:r>
              <w:rPr>
                <w:b/>
                <w:sz w:val="18"/>
                <w:szCs w:val="18"/>
              </w:rPr>
              <w:t>2</w:t>
            </w:r>
            <w:r>
              <w:rPr>
                <w:b/>
                <w:sz w:val="18"/>
                <w:szCs w:val="18"/>
                <w:vertAlign w:val="superscript"/>
              </w:rPr>
              <w:t>nd</w:t>
            </w:r>
            <w:r>
              <w:rPr>
                <w:b/>
                <w:sz w:val="18"/>
                <w:szCs w:val="18"/>
              </w:rPr>
              <w:t xml:space="preserve"> contrast variance</w:t>
            </w:r>
          </w:p>
        </w:tc>
        <w:tc>
          <w:tcPr>
            <w:tcW w:w="1971" w:type="dxa"/>
          </w:tcPr>
          <w:p w14:paraId="444CD3F7" w14:textId="77777777" w:rsidR="007E0ABC" w:rsidRDefault="007E0ABC">
            <w:pPr>
              <w:rPr>
                <w:b/>
                <w:sz w:val="18"/>
                <w:szCs w:val="18"/>
              </w:rPr>
            </w:pPr>
            <w:r>
              <w:rPr>
                <w:b/>
                <w:sz w:val="18"/>
                <w:szCs w:val="18"/>
              </w:rPr>
              <w:t>Comment/decision</w:t>
            </w:r>
          </w:p>
        </w:tc>
      </w:tr>
      <w:tr w:rsidR="007E0ABC" w14:paraId="66398E23" w14:textId="77777777">
        <w:tc>
          <w:tcPr>
            <w:tcW w:w="1687" w:type="dxa"/>
          </w:tcPr>
          <w:p w14:paraId="288B4230" w14:textId="77777777" w:rsidR="007E0ABC" w:rsidRDefault="007E0ABC">
            <w:pPr>
              <w:rPr>
                <w:u w:val="single"/>
              </w:rPr>
            </w:pPr>
            <w:r>
              <w:rPr>
                <w:i/>
              </w:rPr>
              <w:t>Original model</w:t>
            </w:r>
          </w:p>
        </w:tc>
        <w:tc>
          <w:tcPr>
            <w:tcW w:w="1132" w:type="dxa"/>
          </w:tcPr>
          <w:p w14:paraId="0176E7AF" w14:textId="77777777" w:rsidR="007E0ABC" w:rsidRDefault="007E0ABC">
            <w:pPr>
              <w:rPr>
                <w:i/>
              </w:rPr>
            </w:pPr>
            <w:r>
              <w:rPr>
                <w:i/>
              </w:rPr>
              <w:t>48.0%</w:t>
            </w:r>
          </w:p>
        </w:tc>
        <w:tc>
          <w:tcPr>
            <w:tcW w:w="1267" w:type="dxa"/>
          </w:tcPr>
          <w:p w14:paraId="49A2D98C" w14:textId="77777777" w:rsidR="007E0ABC" w:rsidRDefault="007E0ABC">
            <w:pPr>
              <w:jc w:val="center"/>
            </w:pPr>
            <w:r>
              <w:t>1.6</w:t>
            </w:r>
          </w:p>
        </w:tc>
        <w:tc>
          <w:tcPr>
            <w:tcW w:w="1187" w:type="dxa"/>
          </w:tcPr>
          <w:p w14:paraId="0780B9D0" w14:textId="77777777" w:rsidR="007E0ABC" w:rsidRDefault="007E0ABC">
            <w:pPr>
              <w:jc w:val="center"/>
            </w:pPr>
            <w:r>
              <w:t>11.8%</w:t>
            </w:r>
          </w:p>
        </w:tc>
        <w:tc>
          <w:tcPr>
            <w:tcW w:w="1203" w:type="dxa"/>
          </w:tcPr>
          <w:p w14:paraId="7065195B" w14:textId="77777777" w:rsidR="007E0ABC" w:rsidRDefault="007E0ABC">
            <w:pPr>
              <w:jc w:val="center"/>
            </w:pPr>
            <w:r>
              <w:t>1.5</w:t>
            </w:r>
          </w:p>
        </w:tc>
        <w:tc>
          <w:tcPr>
            <w:tcW w:w="994" w:type="dxa"/>
          </w:tcPr>
          <w:p w14:paraId="718AAC1F" w14:textId="77777777" w:rsidR="007E0ABC" w:rsidRDefault="007E0ABC">
            <w:pPr>
              <w:jc w:val="center"/>
            </w:pPr>
            <w:r>
              <w:t>10.8%</w:t>
            </w:r>
          </w:p>
        </w:tc>
        <w:tc>
          <w:tcPr>
            <w:tcW w:w="1971" w:type="dxa"/>
          </w:tcPr>
          <w:p w14:paraId="6FFA0909" w14:textId="77777777" w:rsidR="007E0ABC" w:rsidRDefault="007E0ABC">
            <w:pPr>
              <w:jc w:val="center"/>
            </w:pPr>
            <w:r>
              <w:rPr>
                <w:sz w:val="16"/>
                <w:szCs w:val="16"/>
              </w:rPr>
              <w:t>Scale is unidimensional. 2</w:t>
            </w:r>
            <w:r>
              <w:rPr>
                <w:sz w:val="16"/>
                <w:szCs w:val="16"/>
                <w:vertAlign w:val="superscript"/>
              </w:rPr>
              <w:t>nd</w:t>
            </w:r>
            <w:r>
              <w:rPr>
                <w:sz w:val="16"/>
                <w:szCs w:val="16"/>
              </w:rPr>
              <w:t xml:space="preserve"> dimension interpreted as random noise</w:t>
            </w:r>
          </w:p>
        </w:tc>
      </w:tr>
      <w:tr w:rsidR="007E0ABC" w14:paraId="21028385" w14:textId="77777777">
        <w:tc>
          <w:tcPr>
            <w:tcW w:w="1687" w:type="dxa"/>
          </w:tcPr>
          <w:p w14:paraId="490EB5E6" w14:textId="77777777" w:rsidR="007E0ABC" w:rsidRDefault="007E0ABC">
            <w:pPr>
              <w:widowControl w:val="0"/>
              <w:spacing w:line="276" w:lineRule="auto"/>
              <w:rPr>
                <w:i/>
              </w:rPr>
            </w:pPr>
            <w:r>
              <w:rPr>
                <w:sz w:val="18"/>
                <w:szCs w:val="18"/>
              </w:rPr>
              <w:t>M1 - Collapse categories 1&amp;2 and 3&amp;4</w:t>
            </w:r>
          </w:p>
        </w:tc>
        <w:tc>
          <w:tcPr>
            <w:tcW w:w="1132" w:type="dxa"/>
          </w:tcPr>
          <w:p w14:paraId="54650295" w14:textId="77777777" w:rsidR="007E0ABC" w:rsidRDefault="007E0ABC">
            <w:pPr>
              <w:rPr>
                <w:i/>
              </w:rPr>
            </w:pPr>
            <w:r>
              <w:rPr>
                <w:i/>
              </w:rPr>
              <w:t>45.9%</w:t>
            </w:r>
          </w:p>
        </w:tc>
        <w:tc>
          <w:tcPr>
            <w:tcW w:w="1267" w:type="dxa"/>
          </w:tcPr>
          <w:p w14:paraId="4220F9A7" w14:textId="77777777" w:rsidR="007E0ABC" w:rsidRDefault="007E0ABC">
            <w:pPr>
              <w:jc w:val="center"/>
            </w:pPr>
            <w:r>
              <w:t>1.4</w:t>
            </w:r>
          </w:p>
        </w:tc>
        <w:tc>
          <w:tcPr>
            <w:tcW w:w="1187" w:type="dxa"/>
          </w:tcPr>
          <w:p w14:paraId="06164840" w14:textId="77777777" w:rsidR="007E0ABC" w:rsidRDefault="007E0ABC">
            <w:pPr>
              <w:jc w:val="center"/>
            </w:pPr>
            <w:r>
              <w:t>12.4%</w:t>
            </w:r>
          </w:p>
        </w:tc>
        <w:tc>
          <w:tcPr>
            <w:tcW w:w="1203" w:type="dxa"/>
          </w:tcPr>
          <w:p w14:paraId="1FDE64CB" w14:textId="77777777" w:rsidR="007E0ABC" w:rsidRDefault="007E0ABC">
            <w:pPr>
              <w:jc w:val="center"/>
            </w:pPr>
            <w:r>
              <w:t>1.4</w:t>
            </w:r>
          </w:p>
        </w:tc>
        <w:tc>
          <w:tcPr>
            <w:tcW w:w="994" w:type="dxa"/>
          </w:tcPr>
          <w:p w14:paraId="31CD734C" w14:textId="77777777" w:rsidR="007E0ABC" w:rsidRDefault="007E0ABC">
            <w:pPr>
              <w:jc w:val="center"/>
            </w:pPr>
            <w:r>
              <w:t>10.6%</w:t>
            </w:r>
          </w:p>
        </w:tc>
        <w:tc>
          <w:tcPr>
            <w:tcW w:w="1971" w:type="dxa"/>
          </w:tcPr>
          <w:p w14:paraId="31CD0340" w14:textId="77777777" w:rsidR="007E0ABC" w:rsidRDefault="007E0ABC">
            <w:pPr>
              <w:jc w:val="center"/>
              <w:rPr>
                <w:sz w:val="16"/>
                <w:szCs w:val="16"/>
              </w:rPr>
            </w:pPr>
            <w:r>
              <w:rPr>
                <w:sz w:val="16"/>
                <w:szCs w:val="16"/>
              </w:rPr>
              <w:t>Scale is unidimensional. 2</w:t>
            </w:r>
            <w:r>
              <w:rPr>
                <w:sz w:val="16"/>
                <w:szCs w:val="16"/>
                <w:vertAlign w:val="superscript"/>
              </w:rPr>
              <w:t>nd</w:t>
            </w:r>
            <w:r>
              <w:rPr>
                <w:sz w:val="16"/>
                <w:szCs w:val="16"/>
              </w:rPr>
              <w:t xml:space="preserve"> dimension interpreted as random noise</w:t>
            </w:r>
          </w:p>
        </w:tc>
      </w:tr>
      <w:tr w:rsidR="007E0ABC" w14:paraId="24EAA1A1" w14:textId="77777777">
        <w:tc>
          <w:tcPr>
            <w:tcW w:w="1687" w:type="dxa"/>
          </w:tcPr>
          <w:p w14:paraId="787C53EA" w14:textId="77777777" w:rsidR="007E0ABC" w:rsidRDefault="007E0ABC">
            <w:pPr>
              <w:widowControl w:val="0"/>
              <w:rPr>
                <w:sz w:val="18"/>
                <w:szCs w:val="18"/>
              </w:rPr>
            </w:pPr>
            <w:r>
              <w:rPr>
                <w:sz w:val="18"/>
                <w:szCs w:val="18"/>
              </w:rPr>
              <w:t>M2 - Misfitting persons removed</w:t>
            </w:r>
          </w:p>
        </w:tc>
        <w:tc>
          <w:tcPr>
            <w:tcW w:w="1132" w:type="dxa"/>
          </w:tcPr>
          <w:p w14:paraId="54AC269A" w14:textId="77777777" w:rsidR="007E0ABC" w:rsidRDefault="007E0ABC">
            <w:pPr>
              <w:rPr>
                <w:i/>
              </w:rPr>
            </w:pPr>
            <w:r>
              <w:rPr>
                <w:i/>
              </w:rPr>
              <w:t>50.3%</w:t>
            </w:r>
          </w:p>
        </w:tc>
        <w:tc>
          <w:tcPr>
            <w:tcW w:w="1267" w:type="dxa"/>
          </w:tcPr>
          <w:p w14:paraId="6B51BFAE" w14:textId="77777777" w:rsidR="007E0ABC" w:rsidRDefault="007E0ABC">
            <w:pPr>
              <w:jc w:val="center"/>
            </w:pPr>
            <w:r>
              <w:t>1.6</w:t>
            </w:r>
          </w:p>
        </w:tc>
        <w:tc>
          <w:tcPr>
            <w:tcW w:w="1187" w:type="dxa"/>
          </w:tcPr>
          <w:p w14:paraId="3A3358F8" w14:textId="77777777" w:rsidR="007E0ABC" w:rsidRDefault="007E0ABC">
            <w:pPr>
              <w:jc w:val="center"/>
            </w:pPr>
            <w:r>
              <w:t>11.3%</w:t>
            </w:r>
          </w:p>
        </w:tc>
        <w:tc>
          <w:tcPr>
            <w:tcW w:w="1203" w:type="dxa"/>
          </w:tcPr>
          <w:p w14:paraId="5EE8E527" w14:textId="77777777" w:rsidR="007E0ABC" w:rsidRDefault="007E0ABC">
            <w:pPr>
              <w:jc w:val="center"/>
            </w:pPr>
            <w:r>
              <w:t>1.3</w:t>
            </w:r>
          </w:p>
        </w:tc>
        <w:tc>
          <w:tcPr>
            <w:tcW w:w="994" w:type="dxa"/>
          </w:tcPr>
          <w:p w14:paraId="27ABF8D0" w14:textId="77777777" w:rsidR="007E0ABC" w:rsidRDefault="007E0ABC">
            <w:pPr>
              <w:jc w:val="center"/>
            </w:pPr>
            <w:r>
              <w:t>9.2%</w:t>
            </w:r>
          </w:p>
        </w:tc>
        <w:tc>
          <w:tcPr>
            <w:tcW w:w="1971" w:type="dxa"/>
          </w:tcPr>
          <w:p w14:paraId="0B750FC5" w14:textId="77777777" w:rsidR="007E0ABC" w:rsidRDefault="007E0ABC">
            <w:pPr>
              <w:jc w:val="center"/>
              <w:rPr>
                <w:sz w:val="16"/>
                <w:szCs w:val="16"/>
              </w:rPr>
            </w:pPr>
            <w:r>
              <w:rPr>
                <w:sz w:val="16"/>
                <w:szCs w:val="16"/>
              </w:rPr>
              <w:t>Scale is unidimensional. 2</w:t>
            </w:r>
            <w:r>
              <w:rPr>
                <w:sz w:val="16"/>
                <w:szCs w:val="16"/>
                <w:vertAlign w:val="superscript"/>
              </w:rPr>
              <w:t>nd</w:t>
            </w:r>
            <w:r>
              <w:rPr>
                <w:sz w:val="16"/>
                <w:szCs w:val="16"/>
              </w:rPr>
              <w:t xml:space="preserve"> dimension interpreted as random noise</w:t>
            </w:r>
          </w:p>
        </w:tc>
      </w:tr>
    </w:tbl>
    <w:p w14:paraId="584765A5" w14:textId="77777777" w:rsidR="007E0ABC" w:rsidRDefault="007E0ABC"/>
    <w:p w14:paraId="461341B5" w14:textId="77777777" w:rsidR="007E0ABC" w:rsidRPr="00461BB1" w:rsidRDefault="007E0ABC" w:rsidP="007E0ABC">
      <w:pPr>
        <w:pStyle w:val="ListParagraph"/>
        <w:numPr>
          <w:ilvl w:val="0"/>
          <w:numId w:val="200"/>
        </w:numPr>
        <w:pBdr>
          <w:top w:val="nil"/>
          <w:left w:val="nil"/>
          <w:bottom w:val="nil"/>
          <w:right w:val="nil"/>
          <w:between w:val="nil"/>
        </w:pBdr>
        <w:spacing w:after="160" w:line="259" w:lineRule="auto"/>
        <w:rPr>
          <w:color w:val="000000"/>
          <w:szCs w:val="20"/>
        </w:rPr>
      </w:pPr>
      <w:r w:rsidRPr="00461BB1">
        <w:rPr>
          <w:rFonts w:eastAsia="Century Gothic" w:cs="Century Gothic"/>
          <w:color w:val="000000"/>
          <w:szCs w:val="20"/>
        </w:rPr>
        <w:t>Local independence</w:t>
      </w:r>
    </w:p>
    <w:p w14:paraId="6BCCA3A1" w14:textId="77777777" w:rsidR="007E0ABC" w:rsidRDefault="007E0ABC"/>
    <w:tbl>
      <w:tblPr>
        <w:tblW w:w="7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2096"/>
      </w:tblGrid>
      <w:tr w:rsidR="007E0ABC" w14:paraId="112C7972" w14:textId="77777777">
        <w:tc>
          <w:tcPr>
            <w:tcW w:w="2263" w:type="dxa"/>
          </w:tcPr>
          <w:p w14:paraId="24AE4064" w14:textId="77777777" w:rsidR="007E0ABC" w:rsidRDefault="007E0ABC">
            <w:pPr>
              <w:rPr>
                <w:b/>
              </w:rPr>
            </w:pPr>
            <w:r>
              <w:rPr>
                <w:b/>
              </w:rPr>
              <w:t>Model</w:t>
            </w:r>
          </w:p>
        </w:tc>
        <w:tc>
          <w:tcPr>
            <w:tcW w:w="1536" w:type="dxa"/>
          </w:tcPr>
          <w:p w14:paraId="4BE8FB31" w14:textId="77777777" w:rsidR="007E0ABC" w:rsidRDefault="007E0ABC">
            <w:pPr>
              <w:rPr>
                <w:b/>
              </w:rPr>
            </w:pPr>
            <w:r>
              <w:rPr>
                <w:b/>
              </w:rPr>
              <w:t>Residual correlation range</w:t>
            </w:r>
          </w:p>
        </w:tc>
        <w:tc>
          <w:tcPr>
            <w:tcW w:w="1770" w:type="dxa"/>
          </w:tcPr>
          <w:p w14:paraId="43F96FDA" w14:textId="77777777" w:rsidR="007E0ABC" w:rsidRDefault="007E0ABC">
            <w:pPr>
              <w:rPr>
                <w:b/>
              </w:rPr>
            </w:pPr>
            <w:r>
              <w:rPr>
                <w:b/>
              </w:rPr>
              <w:t>Flagged item pairs</w:t>
            </w:r>
          </w:p>
        </w:tc>
        <w:tc>
          <w:tcPr>
            <w:tcW w:w="2096" w:type="dxa"/>
          </w:tcPr>
          <w:p w14:paraId="5344CAFF" w14:textId="77777777" w:rsidR="007E0ABC" w:rsidRDefault="007E0ABC">
            <w:pPr>
              <w:rPr>
                <w:b/>
              </w:rPr>
            </w:pPr>
            <w:r>
              <w:rPr>
                <w:b/>
              </w:rPr>
              <w:t>Comment/decision</w:t>
            </w:r>
          </w:p>
        </w:tc>
      </w:tr>
      <w:tr w:rsidR="007E0ABC" w14:paraId="5A3589E6" w14:textId="77777777">
        <w:tc>
          <w:tcPr>
            <w:tcW w:w="2263" w:type="dxa"/>
          </w:tcPr>
          <w:p w14:paraId="723BD7F6" w14:textId="77777777" w:rsidR="007E0ABC" w:rsidRDefault="007E0ABC">
            <w:pPr>
              <w:rPr>
                <w:i/>
              </w:rPr>
            </w:pPr>
            <w:r>
              <w:rPr>
                <w:i/>
              </w:rPr>
              <w:t>Original model</w:t>
            </w:r>
          </w:p>
        </w:tc>
        <w:tc>
          <w:tcPr>
            <w:tcW w:w="1536" w:type="dxa"/>
          </w:tcPr>
          <w:p w14:paraId="7CD8F87E" w14:textId="77777777" w:rsidR="007E0ABC" w:rsidRDefault="007E0ABC">
            <w:r>
              <w:t>-.02 – 0.6</w:t>
            </w:r>
          </w:p>
        </w:tc>
        <w:tc>
          <w:tcPr>
            <w:tcW w:w="1770" w:type="dxa"/>
          </w:tcPr>
          <w:p w14:paraId="2AC1EAFE" w14:textId="77777777" w:rsidR="007E0ABC" w:rsidRDefault="007E0ABC">
            <w:r>
              <w:t>none</w:t>
            </w:r>
          </w:p>
        </w:tc>
        <w:tc>
          <w:tcPr>
            <w:tcW w:w="2096" w:type="dxa"/>
          </w:tcPr>
          <w:p w14:paraId="6C60D76E" w14:textId="77777777" w:rsidR="007E0ABC" w:rsidRDefault="007E0ABC">
            <w:pPr>
              <w:rPr>
                <w:sz w:val="18"/>
                <w:szCs w:val="18"/>
              </w:rPr>
            </w:pPr>
          </w:p>
        </w:tc>
      </w:tr>
      <w:tr w:rsidR="007E0ABC" w14:paraId="23152B30" w14:textId="77777777">
        <w:tc>
          <w:tcPr>
            <w:tcW w:w="2263" w:type="dxa"/>
          </w:tcPr>
          <w:p w14:paraId="52F82EF8" w14:textId="77777777" w:rsidR="007E0ABC" w:rsidRDefault="007E0ABC">
            <w:pPr>
              <w:widowControl w:val="0"/>
              <w:spacing w:line="276" w:lineRule="auto"/>
              <w:rPr>
                <w:i/>
              </w:rPr>
            </w:pPr>
            <w:r>
              <w:rPr>
                <w:sz w:val="18"/>
                <w:szCs w:val="18"/>
              </w:rPr>
              <w:t>M1 - Collapse categories 1&amp;2 and 3&amp;4</w:t>
            </w:r>
          </w:p>
        </w:tc>
        <w:tc>
          <w:tcPr>
            <w:tcW w:w="1536" w:type="dxa"/>
          </w:tcPr>
          <w:p w14:paraId="162EC7F2" w14:textId="77777777" w:rsidR="007E0ABC" w:rsidRDefault="007E0ABC">
            <w:r>
              <w:t>-0.03 - 0.04</w:t>
            </w:r>
          </w:p>
        </w:tc>
        <w:tc>
          <w:tcPr>
            <w:tcW w:w="1770" w:type="dxa"/>
          </w:tcPr>
          <w:p w14:paraId="1BB95F51" w14:textId="77777777" w:rsidR="007E0ABC" w:rsidRDefault="007E0ABC">
            <w:r>
              <w:t>none</w:t>
            </w:r>
          </w:p>
        </w:tc>
        <w:tc>
          <w:tcPr>
            <w:tcW w:w="2096" w:type="dxa"/>
          </w:tcPr>
          <w:p w14:paraId="318A5615" w14:textId="77777777" w:rsidR="007E0ABC" w:rsidRDefault="007E0ABC">
            <w:pPr>
              <w:rPr>
                <w:sz w:val="18"/>
                <w:szCs w:val="18"/>
              </w:rPr>
            </w:pPr>
          </w:p>
        </w:tc>
      </w:tr>
      <w:tr w:rsidR="007E0ABC" w14:paraId="1D88A1D2" w14:textId="77777777">
        <w:tc>
          <w:tcPr>
            <w:tcW w:w="2263" w:type="dxa"/>
          </w:tcPr>
          <w:p w14:paraId="7E2695D1" w14:textId="77777777" w:rsidR="007E0ABC" w:rsidRDefault="007E0ABC">
            <w:pPr>
              <w:widowControl w:val="0"/>
              <w:rPr>
                <w:sz w:val="18"/>
                <w:szCs w:val="18"/>
              </w:rPr>
            </w:pPr>
            <w:r>
              <w:rPr>
                <w:sz w:val="18"/>
                <w:szCs w:val="18"/>
              </w:rPr>
              <w:t>M2 - Misfitting persons removed</w:t>
            </w:r>
          </w:p>
        </w:tc>
        <w:tc>
          <w:tcPr>
            <w:tcW w:w="1536" w:type="dxa"/>
          </w:tcPr>
          <w:p w14:paraId="294E7AC6" w14:textId="77777777" w:rsidR="007E0ABC" w:rsidRDefault="007E0ABC">
            <w:r>
              <w:t>-0.04 - -0.3</w:t>
            </w:r>
          </w:p>
        </w:tc>
        <w:tc>
          <w:tcPr>
            <w:tcW w:w="1770" w:type="dxa"/>
          </w:tcPr>
          <w:p w14:paraId="42C8BD8B" w14:textId="77777777" w:rsidR="007E0ABC" w:rsidRDefault="007E0ABC">
            <w:r>
              <w:t>none</w:t>
            </w:r>
          </w:p>
        </w:tc>
        <w:tc>
          <w:tcPr>
            <w:tcW w:w="2096" w:type="dxa"/>
          </w:tcPr>
          <w:p w14:paraId="2A1C5F81" w14:textId="77777777" w:rsidR="007E0ABC" w:rsidRDefault="007E0ABC">
            <w:pPr>
              <w:rPr>
                <w:sz w:val="18"/>
                <w:szCs w:val="18"/>
              </w:rPr>
            </w:pPr>
          </w:p>
        </w:tc>
      </w:tr>
    </w:tbl>
    <w:p w14:paraId="1DB4B37B" w14:textId="77777777" w:rsidR="007E0ABC" w:rsidRDefault="007E0ABC"/>
    <w:p w14:paraId="38564662" w14:textId="77777777" w:rsidR="007E0ABC" w:rsidRDefault="007E0ABC"/>
    <w:p w14:paraId="60D6E921" w14:textId="77777777" w:rsidR="007E0ABC" w:rsidRPr="00461BB1" w:rsidRDefault="007E0ABC" w:rsidP="007E0ABC">
      <w:pPr>
        <w:pStyle w:val="ListParagraph"/>
        <w:numPr>
          <w:ilvl w:val="0"/>
          <w:numId w:val="200"/>
        </w:numPr>
        <w:pBdr>
          <w:top w:val="nil"/>
          <w:left w:val="nil"/>
          <w:bottom w:val="nil"/>
          <w:right w:val="nil"/>
          <w:between w:val="nil"/>
        </w:pBdr>
        <w:spacing w:after="160" w:line="259" w:lineRule="auto"/>
        <w:rPr>
          <w:color w:val="000000"/>
          <w:sz w:val="22"/>
          <w:szCs w:val="22"/>
        </w:rPr>
      </w:pPr>
      <w:r w:rsidRPr="00461BB1">
        <w:rPr>
          <w:color w:val="000000"/>
          <w:sz w:val="22"/>
          <w:szCs w:val="22"/>
        </w:rPr>
        <w:t>Reliability (reliability of persons/items)</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1671"/>
        <w:gridCol w:w="1770"/>
      </w:tblGrid>
      <w:tr w:rsidR="007E0ABC" w14:paraId="7A021978" w14:textId="77777777">
        <w:tc>
          <w:tcPr>
            <w:tcW w:w="2263" w:type="dxa"/>
          </w:tcPr>
          <w:p w14:paraId="2FBA746D" w14:textId="77777777" w:rsidR="007E0ABC" w:rsidRDefault="007E0ABC"/>
        </w:tc>
        <w:tc>
          <w:tcPr>
            <w:tcW w:w="3306" w:type="dxa"/>
            <w:gridSpan w:val="2"/>
          </w:tcPr>
          <w:p w14:paraId="1F11407B" w14:textId="77777777" w:rsidR="007E0ABC" w:rsidRDefault="007E0ABC">
            <w:pPr>
              <w:rPr>
                <w:b/>
              </w:rPr>
            </w:pPr>
            <w:r>
              <w:rPr>
                <w:b/>
              </w:rPr>
              <w:t>Person</w:t>
            </w:r>
          </w:p>
        </w:tc>
        <w:tc>
          <w:tcPr>
            <w:tcW w:w="3441" w:type="dxa"/>
            <w:gridSpan w:val="2"/>
          </w:tcPr>
          <w:p w14:paraId="73E38213" w14:textId="77777777" w:rsidR="007E0ABC" w:rsidRDefault="007E0ABC">
            <w:pPr>
              <w:rPr>
                <w:b/>
              </w:rPr>
            </w:pPr>
            <w:r>
              <w:rPr>
                <w:b/>
              </w:rPr>
              <w:t>Item</w:t>
            </w:r>
          </w:p>
        </w:tc>
      </w:tr>
      <w:tr w:rsidR="007E0ABC" w14:paraId="1B1B5A41" w14:textId="77777777">
        <w:tc>
          <w:tcPr>
            <w:tcW w:w="2263" w:type="dxa"/>
          </w:tcPr>
          <w:p w14:paraId="3D98197D" w14:textId="77777777" w:rsidR="007E0ABC" w:rsidRDefault="007E0ABC">
            <w:pPr>
              <w:rPr>
                <w:b/>
              </w:rPr>
            </w:pPr>
            <w:r>
              <w:rPr>
                <w:b/>
              </w:rPr>
              <w:t>Model</w:t>
            </w:r>
          </w:p>
        </w:tc>
        <w:tc>
          <w:tcPr>
            <w:tcW w:w="1536" w:type="dxa"/>
          </w:tcPr>
          <w:p w14:paraId="0F16A4DC" w14:textId="77777777" w:rsidR="007E0ABC" w:rsidRDefault="007E0ABC">
            <w:r>
              <w:t>Reliability</w:t>
            </w:r>
          </w:p>
        </w:tc>
        <w:tc>
          <w:tcPr>
            <w:tcW w:w="1770" w:type="dxa"/>
          </w:tcPr>
          <w:p w14:paraId="72BF343B" w14:textId="77777777" w:rsidR="007E0ABC" w:rsidRDefault="007E0ABC">
            <w:r>
              <w:t>Separation index</w:t>
            </w:r>
          </w:p>
        </w:tc>
        <w:tc>
          <w:tcPr>
            <w:tcW w:w="1671" w:type="dxa"/>
          </w:tcPr>
          <w:p w14:paraId="2C43B0FF" w14:textId="77777777" w:rsidR="007E0ABC" w:rsidRDefault="007E0ABC">
            <w:r>
              <w:t>Reliability</w:t>
            </w:r>
          </w:p>
        </w:tc>
        <w:tc>
          <w:tcPr>
            <w:tcW w:w="1770" w:type="dxa"/>
          </w:tcPr>
          <w:p w14:paraId="3BEA0054" w14:textId="77777777" w:rsidR="007E0ABC" w:rsidRDefault="007E0ABC">
            <w:r>
              <w:t>Separation index</w:t>
            </w:r>
          </w:p>
        </w:tc>
      </w:tr>
      <w:tr w:rsidR="007E0ABC" w14:paraId="2B288392" w14:textId="77777777">
        <w:tc>
          <w:tcPr>
            <w:tcW w:w="2263" w:type="dxa"/>
          </w:tcPr>
          <w:p w14:paraId="03622AE3" w14:textId="77777777" w:rsidR="007E0ABC" w:rsidRDefault="007E0ABC">
            <w:pPr>
              <w:rPr>
                <w:i/>
              </w:rPr>
            </w:pPr>
            <w:r>
              <w:rPr>
                <w:i/>
              </w:rPr>
              <w:t>Original model</w:t>
            </w:r>
          </w:p>
        </w:tc>
        <w:tc>
          <w:tcPr>
            <w:tcW w:w="1536" w:type="dxa"/>
          </w:tcPr>
          <w:p w14:paraId="6813ED93" w14:textId="77777777" w:rsidR="007E0ABC" w:rsidRDefault="007E0ABC">
            <w:r>
              <w:t>0.75</w:t>
            </w:r>
          </w:p>
        </w:tc>
        <w:tc>
          <w:tcPr>
            <w:tcW w:w="1770" w:type="dxa"/>
          </w:tcPr>
          <w:p w14:paraId="5F8E198F" w14:textId="77777777" w:rsidR="007E0ABC" w:rsidRDefault="007E0ABC">
            <w:r>
              <w:t>1.72</w:t>
            </w:r>
          </w:p>
        </w:tc>
        <w:tc>
          <w:tcPr>
            <w:tcW w:w="1671" w:type="dxa"/>
          </w:tcPr>
          <w:p w14:paraId="69777823" w14:textId="77777777" w:rsidR="007E0ABC" w:rsidRDefault="007E0ABC">
            <w:r>
              <w:t>0.98</w:t>
            </w:r>
          </w:p>
        </w:tc>
        <w:tc>
          <w:tcPr>
            <w:tcW w:w="1770" w:type="dxa"/>
          </w:tcPr>
          <w:p w14:paraId="2748B3DA" w14:textId="77777777" w:rsidR="007E0ABC" w:rsidRDefault="007E0ABC">
            <w:r>
              <w:t>6.45</w:t>
            </w:r>
          </w:p>
        </w:tc>
      </w:tr>
      <w:tr w:rsidR="007E0ABC" w14:paraId="6D1433AB" w14:textId="77777777">
        <w:tc>
          <w:tcPr>
            <w:tcW w:w="2263" w:type="dxa"/>
          </w:tcPr>
          <w:p w14:paraId="4C4C358E" w14:textId="77777777" w:rsidR="007E0ABC" w:rsidRDefault="007E0ABC">
            <w:pPr>
              <w:widowControl w:val="0"/>
              <w:spacing w:line="276" w:lineRule="auto"/>
              <w:rPr>
                <w:i/>
              </w:rPr>
            </w:pPr>
            <w:r>
              <w:rPr>
                <w:sz w:val="18"/>
                <w:szCs w:val="18"/>
              </w:rPr>
              <w:t>M1 - Collapse categories 1&amp;2 and 3&amp;4</w:t>
            </w:r>
          </w:p>
        </w:tc>
        <w:tc>
          <w:tcPr>
            <w:tcW w:w="1536" w:type="dxa"/>
          </w:tcPr>
          <w:p w14:paraId="22AF674C" w14:textId="77777777" w:rsidR="007E0ABC" w:rsidRDefault="007E0ABC">
            <w:r>
              <w:t>0.74</w:t>
            </w:r>
          </w:p>
        </w:tc>
        <w:tc>
          <w:tcPr>
            <w:tcW w:w="1770" w:type="dxa"/>
          </w:tcPr>
          <w:p w14:paraId="3E1A98DD" w14:textId="77777777" w:rsidR="007E0ABC" w:rsidRDefault="007E0ABC">
            <w:r>
              <w:t>1.69</w:t>
            </w:r>
          </w:p>
        </w:tc>
        <w:tc>
          <w:tcPr>
            <w:tcW w:w="1671" w:type="dxa"/>
          </w:tcPr>
          <w:p w14:paraId="1D67305A" w14:textId="77777777" w:rsidR="007E0ABC" w:rsidRDefault="007E0ABC">
            <w:r>
              <w:t>0.97</w:t>
            </w:r>
          </w:p>
        </w:tc>
        <w:tc>
          <w:tcPr>
            <w:tcW w:w="1770" w:type="dxa"/>
          </w:tcPr>
          <w:p w14:paraId="1AB6ACE9" w14:textId="77777777" w:rsidR="007E0ABC" w:rsidRDefault="007E0ABC">
            <w:r>
              <w:t>5.77</w:t>
            </w:r>
          </w:p>
        </w:tc>
      </w:tr>
      <w:tr w:rsidR="007E0ABC" w14:paraId="6762914F" w14:textId="77777777">
        <w:tc>
          <w:tcPr>
            <w:tcW w:w="2263" w:type="dxa"/>
          </w:tcPr>
          <w:p w14:paraId="3B0F1CD6" w14:textId="77777777" w:rsidR="007E0ABC" w:rsidRDefault="007E0ABC">
            <w:pPr>
              <w:widowControl w:val="0"/>
              <w:rPr>
                <w:sz w:val="18"/>
                <w:szCs w:val="18"/>
              </w:rPr>
            </w:pPr>
            <w:r>
              <w:rPr>
                <w:sz w:val="18"/>
                <w:szCs w:val="18"/>
              </w:rPr>
              <w:t>M2 - Misfitting persons removed</w:t>
            </w:r>
          </w:p>
        </w:tc>
        <w:tc>
          <w:tcPr>
            <w:tcW w:w="1536" w:type="dxa"/>
          </w:tcPr>
          <w:p w14:paraId="4DD1FF01" w14:textId="77777777" w:rsidR="007E0ABC" w:rsidRDefault="007E0ABC">
            <w:r>
              <w:t>0.78</w:t>
            </w:r>
          </w:p>
        </w:tc>
        <w:tc>
          <w:tcPr>
            <w:tcW w:w="1770" w:type="dxa"/>
          </w:tcPr>
          <w:p w14:paraId="0C30AB39" w14:textId="77777777" w:rsidR="007E0ABC" w:rsidRDefault="007E0ABC">
            <w:r>
              <w:t>1.87</w:t>
            </w:r>
          </w:p>
        </w:tc>
        <w:tc>
          <w:tcPr>
            <w:tcW w:w="1671" w:type="dxa"/>
          </w:tcPr>
          <w:p w14:paraId="422565BA" w14:textId="77777777" w:rsidR="007E0ABC" w:rsidRDefault="007E0ABC">
            <w:r>
              <w:t>0.97</w:t>
            </w:r>
          </w:p>
        </w:tc>
        <w:tc>
          <w:tcPr>
            <w:tcW w:w="1770" w:type="dxa"/>
          </w:tcPr>
          <w:p w14:paraId="2FBC5701" w14:textId="77777777" w:rsidR="007E0ABC" w:rsidRDefault="007E0ABC">
            <w:r>
              <w:t>5.82</w:t>
            </w:r>
          </w:p>
        </w:tc>
      </w:tr>
    </w:tbl>
    <w:p w14:paraId="4B6D7CA2" w14:textId="77777777" w:rsidR="007E0ABC" w:rsidRDefault="007E0ABC"/>
    <w:p w14:paraId="42533322" w14:textId="77777777" w:rsidR="007E0ABC" w:rsidRDefault="007E0ABC"/>
    <w:p w14:paraId="0CDD88DB" w14:textId="77777777" w:rsidR="007E0ABC" w:rsidRDefault="007E0ABC" w:rsidP="007E0ABC">
      <w:pPr>
        <w:numPr>
          <w:ilvl w:val="0"/>
          <w:numId w:val="200"/>
        </w:numPr>
        <w:pBdr>
          <w:top w:val="nil"/>
          <w:left w:val="nil"/>
          <w:bottom w:val="nil"/>
          <w:right w:val="nil"/>
          <w:between w:val="nil"/>
        </w:pBdr>
        <w:spacing w:after="160" w:line="259" w:lineRule="auto"/>
        <w:rPr>
          <w:color w:val="000000"/>
          <w:sz w:val="22"/>
          <w:szCs w:val="22"/>
        </w:rPr>
      </w:pPr>
      <w:r>
        <w:rPr>
          <w:color w:val="000000"/>
          <w:sz w:val="22"/>
          <w:szCs w:val="22"/>
        </w:rPr>
        <w:t xml:space="preserve">Construct validity </w:t>
      </w:r>
    </w:p>
    <w:p w14:paraId="29D7E372" w14:textId="77777777" w:rsidR="007E0ABC" w:rsidRDefault="007E0ABC"/>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1125"/>
        <w:gridCol w:w="1140"/>
        <w:gridCol w:w="1275"/>
        <w:gridCol w:w="855"/>
        <w:gridCol w:w="1410"/>
        <w:gridCol w:w="105"/>
        <w:gridCol w:w="2490"/>
      </w:tblGrid>
      <w:tr w:rsidR="007E0ABC" w14:paraId="42D0D93D" w14:textId="77777777">
        <w:tc>
          <w:tcPr>
            <w:tcW w:w="1140" w:type="dxa"/>
          </w:tcPr>
          <w:p w14:paraId="5A3D547E" w14:textId="77777777" w:rsidR="007E0ABC" w:rsidRDefault="007E0ABC">
            <w:pPr>
              <w:rPr>
                <w:b/>
              </w:rPr>
            </w:pPr>
          </w:p>
        </w:tc>
        <w:tc>
          <w:tcPr>
            <w:tcW w:w="1125" w:type="dxa"/>
          </w:tcPr>
          <w:p w14:paraId="7DDF5BEF" w14:textId="77777777" w:rsidR="007E0ABC" w:rsidRDefault="007E0ABC">
            <w:pPr>
              <w:rPr>
                <w:b/>
                <w:sz w:val="16"/>
                <w:szCs w:val="16"/>
              </w:rPr>
            </w:pPr>
            <w:r>
              <w:rPr>
                <w:b/>
                <w:sz w:val="16"/>
                <w:szCs w:val="16"/>
              </w:rPr>
              <w:t>Spread of persons (logits)</w:t>
            </w:r>
          </w:p>
        </w:tc>
        <w:tc>
          <w:tcPr>
            <w:tcW w:w="1140" w:type="dxa"/>
          </w:tcPr>
          <w:p w14:paraId="7CD6CAD2" w14:textId="77777777" w:rsidR="007E0ABC" w:rsidRDefault="007E0ABC">
            <w:pPr>
              <w:rPr>
                <w:b/>
                <w:sz w:val="16"/>
                <w:szCs w:val="16"/>
              </w:rPr>
            </w:pPr>
            <w:r>
              <w:rPr>
                <w:b/>
                <w:sz w:val="16"/>
                <w:szCs w:val="16"/>
              </w:rPr>
              <w:t>‘Ruler’/Spread of items (logits)</w:t>
            </w:r>
          </w:p>
        </w:tc>
        <w:tc>
          <w:tcPr>
            <w:tcW w:w="1275" w:type="dxa"/>
          </w:tcPr>
          <w:p w14:paraId="572FC2D0" w14:textId="77777777" w:rsidR="007E0ABC" w:rsidRDefault="007E0ABC">
            <w:pPr>
              <w:rPr>
                <w:b/>
                <w:sz w:val="16"/>
                <w:szCs w:val="16"/>
              </w:rPr>
            </w:pPr>
            <w:r>
              <w:rPr>
                <w:b/>
                <w:sz w:val="16"/>
                <w:szCs w:val="16"/>
              </w:rPr>
              <w:t>Overlapping items</w:t>
            </w:r>
          </w:p>
        </w:tc>
        <w:tc>
          <w:tcPr>
            <w:tcW w:w="855" w:type="dxa"/>
          </w:tcPr>
          <w:p w14:paraId="5E518E63" w14:textId="77777777" w:rsidR="007E0ABC" w:rsidRDefault="007E0ABC">
            <w:pPr>
              <w:rPr>
                <w:b/>
                <w:sz w:val="16"/>
                <w:szCs w:val="16"/>
              </w:rPr>
            </w:pPr>
            <w:r>
              <w:rPr>
                <w:b/>
                <w:sz w:val="16"/>
                <w:szCs w:val="16"/>
              </w:rPr>
              <w:t>Item gaps</w:t>
            </w:r>
          </w:p>
        </w:tc>
        <w:tc>
          <w:tcPr>
            <w:tcW w:w="1410" w:type="dxa"/>
          </w:tcPr>
          <w:p w14:paraId="79D04A39" w14:textId="77777777" w:rsidR="007E0ABC" w:rsidRDefault="007E0ABC">
            <w:pPr>
              <w:rPr>
                <w:b/>
                <w:sz w:val="16"/>
                <w:szCs w:val="16"/>
              </w:rPr>
            </w:pPr>
            <w:r>
              <w:rPr>
                <w:b/>
                <w:sz w:val="16"/>
                <w:szCs w:val="16"/>
              </w:rPr>
              <w:t>Question order</w:t>
            </w:r>
          </w:p>
        </w:tc>
        <w:tc>
          <w:tcPr>
            <w:tcW w:w="2595" w:type="dxa"/>
            <w:gridSpan w:val="2"/>
          </w:tcPr>
          <w:p w14:paraId="46BC59E1" w14:textId="77777777" w:rsidR="007E0ABC" w:rsidRDefault="007E0ABC">
            <w:pPr>
              <w:rPr>
                <w:b/>
                <w:sz w:val="16"/>
                <w:szCs w:val="16"/>
              </w:rPr>
            </w:pPr>
            <w:r>
              <w:rPr>
                <w:b/>
                <w:sz w:val="16"/>
                <w:szCs w:val="16"/>
              </w:rPr>
              <w:t>Recommendations/comments</w:t>
            </w:r>
          </w:p>
        </w:tc>
      </w:tr>
      <w:tr w:rsidR="007E0ABC" w14:paraId="5AD4DF7D" w14:textId="77777777">
        <w:tc>
          <w:tcPr>
            <w:tcW w:w="1140" w:type="dxa"/>
          </w:tcPr>
          <w:p w14:paraId="612AE475" w14:textId="77777777" w:rsidR="007E0ABC" w:rsidRDefault="007E0ABC">
            <w:pPr>
              <w:rPr>
                <w:b/>
              </w:rPr>
            </w:pPr>
            <w:r>
              <w:rPr>
                <w:b/>
              </w:rPr>
              <w:t>Original</w:t>
            </w:r>
          </w:p>
        </w:tc>
        <w:tc>
          <w:tcPr>
            <w:tcW w:w="1125" w:type="dxa"/>
          </w:tcPr>
          <w:p w14:paraId="458B3A8A" w14:textId="77777777" w:rsidR="007E0ABC" w:rsidRDefault="007E0ABC">
            <w:r>
              <w:t>3 to -3</w:t>
            </w:r>
          </w:p>
        </w:tc>
        <w:tc>
          <w:tcPr>
            <w:tcW w:w="1140" w:type="dxa"/>
          </w:tcPr>
          <w:p w14:paraId="09519867" w14:textId="77777777" w:rsidR="007E0ABC" w:rsidRDefault="007E0ABC">
            <w:r>
              <w:t>0.5 to -0.65</w:t>
            </w:r>
          </w:p>
        </w:tc>
        <w:tc>
          <w:tcPr>
            <w:tcW w:w="1275" w:type="dxa"/>
          </w:tcPr>
          <w:p w14:paraId="1A5059D9" w14:textId="77777777" w:rsidR="007E0ABC" w:rsidRDefault="007E0ABC">
            <w:r>
              <w:t>13/4/5.1, 16/9</w:t>
            </w:r>
          </w:p>
        </w:tc>
        <w:tc>
          <w:tcPr>
            <w:tcW w:w="855" w:type="dxa"/>
          </w:tcPr>
          <w:p w14:paraId="179396AD" w14:textId="77777777" w:rsidR="007E0ABC" w:rsidRDefault="007E0ABC">
            <w:r>
              <w:t>Between 24/13, 9/5</w:t>
            </w:r>
          </w:p>
        </w:tc>
        <w:tc>
          <w:tcPr>
            <w:tcW w:w="1515" w:type="dxa"/>
            <w:gridSpan w:val="2"/>
          </w:tcPr>
          <w:p w14:paraId="14083135" w14:textId="77777777" w:rsidR="007E0ABC" w:rsidRDefault="007E0ABC"/>
        </w:tc>
        <w:tc>
          <w:tcPr>
            <w:tcW w:w="2490" w:type="dxa"/>
          </w:tcPr>
          <w:p w14:paraId="1954873D" w14:textId="77777777" w:rsidR="007E0ABC" w:rsidRDefault="007E0ABC">
            <w:r>
              <w:t>Reword or drop 4, 9 or 5.1 to try and fill the spaces and extend item ruler</w:t>
            </w:r>
          </w:p>
        </w:tc>
      </w:tr>
      <w:tr w:rsidR="007E0ABC" w14:paraId="2E301087" w14:textId="77777777">
        <w:tc>
          <w:tcPr>
            <w:tcW w:w="1140" w:type="dxa"/>
          </w:tcPr>
          <w:p w14:paraId="338E9E52" w14:textId="77777777" w:rsidR="007E0ABC" w:rsidRDefault="007E0ABC">
            <w:pPr>
              <w:widowControl w:val="0"/>
              <w:spacing w:line="276" w:lineRule="auto"/>
              <w:rPr>
                <w:b/>
              </w:rPr>
            </w:pPr>
            <w:r>
              <w:rPr>
                <w:sz w:val="18"/>
                <w:szCs w:val="18"/>
              </w:rPr>
              <w:t>M1 - Collapse categories 1&amp;2 and 3&amp;4</w:t>
            </w:r>
          </w:p>
        </w:tc>
        <w:tc>
          <w:tcPr>
            <w:tcW w:w="1125" w:type="dxa"/>
          </w:tcPr>
          <w:p w14:paraId="015C7673" w14:textId="77777777" w:rsidR="007E0ABC" w:rsidRDefault="007E0ABC">
            <w:r>
              <w:t>3 to -3</w:t>
            </w:r>
          </w:p>
        </w:tc>
        <w:tc>
          <w:tcPr>
            <w:tcW w:w="1140" w:type="dxa"/>
          </w:tcPr>
          <w:p w14:paraId="5338D844" w14:textId="77777777" w:rsidR="007E0ABC" w:rsidRDefault="007E0ABC">
            <w:r>
              <w:t>0.9 to -1</w:t>
            </w:r>
          </w:p>
        </w:tc>
        <w:tc>
          <w:tcPr>
            <w:tcW w:w="1275" w:type="dxa"/>
          </w:tcPr>
          <w:p w14:paraId="46CD9546" w14:textId="77777777" w:rsidR="007E0ABC" w:rsidRDefault="007E0ABC">
            <w:r>
              <w:t>13 and 5.1</w:t>
            </w:r>
          </w:p>
        </w:tc>
        <w:tc>
          <w:tcPr>
            <w:tcW w:w="855" w:type="dxa"/>
          </w:tcPr>
          <w:p w14:paraId="57E48B4D" w14:textId="77777777" w:rsidR="007E0ABC" w:rsidRDefault="007E0ABC">
            <w:r>
              <w:t>Between 24/13, 9/5</w:t>
            </w:r>
          </w:p>
        </w:tc>
        <w:tc>
          <w:tcPr>
            <w:tcW w:w="1515" w:type="dxa"/>
            <w:gridSpan w:val="2"/>
          </w:tcPr>
          <w:p w14:paraId="75C0DFE3" w14:textId="77777777" w:rsidR="007E0ABC" w:rsidRDefault="007E0ABC">
            <w:r>
              <w:t>24 - 13/5.1 - 4 - 16 - 9 -5</w:t>
            </w:r>
          </w:p>
        </w:tc>
        <w:tc>
          <w:tcPr>
            <w:tcW w:w="2490" w:type="dxa"/>
          </w:tcPr>
          <w:p w14:paraId="0359FC48" w14:textId="77777777" w:rsidR="007E0ABC" w:rsidRDefault="007E0ABC">
            <w:r>
              <w:t>Reword or drop items 13 or 5.1. Potential add or reword items to extend item ruler</w:t>
            </w:r>
          </w:p>
        </w:tc>
      </w:tr>
      <w:tr w:rsidR="007E0ABC" w14:paraId="3E6268E9" w14:textId="77777777">
        <w:tc>
          <w:tcPr>
            <w:tcW w:w="1140" w:type="dxa"/>
          </w:tcPr>
          <w:p w14:paraId="04F6D1A1" w14:textId="77777777" w:rsidR="007E0ABC" w:rsidRDefault="007E0ABC">
            <w:pPr>
              <w:widowControl w:val="0"/>
              <w:rPr>
                <w:sz w:val="18"/>
                <w:szCs w:val="18"/>
              </w:rPr>
            </w:pPr>
            <w:r>
              <w:rPr>
                <w:sz w:val="18"/>
                <w:szCs w:val="18"/>
              </w:rPr>
              <w:t>M2 - Misfitting persons removed</w:t>
            </w:r>
          </w:p>
        </w:tc>
        <w:tc>
          <w:tcPr>
            <w:tcW w:w="1125" w:type="dxa"/>
          </w:tcPr>
          <w:p w14:paraId="0BD4C503" w14:textId="77777777" w:rsidR="007E0ABC" w:rsidRDefault="007E0ABC">
            <w:r>
              <w:t>4 to -4</w:t>
            </w:r>
          </w:p>
        </w:tc>
        <w:tc>
          <w:tcPr>
            <w:tcW w:w="1140" w:type="dxa"/>
          </w:tcPr>
          <w:p w14:paraId="7C96CE6A" w14:textId="77777777" w:rsidR="007E0ABC" w:rsidRDefault="007E0ABC">
            <w:r>
              <w:t>1 to -1</w:t>
            </w:r>
          </w:p>
        </w:tc>
        <w:tc>
          <w:tcPr>
            <w:tcW w:w="1275" w:type="dxa"/>
          </w:tcPr>
          <w:p w14:paraId="4079BFE7" w14:textId="77777777" w:rsidR="007E0ABC" w:rsidRDefault="007E0ABC">
            <w:r>
              <w:t>16 and 4</w:t>
            </w:r>
          </w:p>
        </w:tc>
        <w:tc>
          <w:tcPr>
            <w:tcW w:w="855" w:type="dxa"/>
          </w:tcPr>
          <w:p w14:paraId="19C3E374" w14:textId="77777777" w:rsidR="007E0ABC" w:rsidRDefault="007E0ABC">
            <w:r>
              <w:t>Between 24/13 and 9/15</w:t>
            </w:r>
          </w:p>
        </w:tc>
        <w:tc>
          <w:tcPr>
            <w:tcW w:w="1515" w:type="dxa"/>
            <w:gridSpan w:val="2"/>
          </w:tcPr>
          <w:p w14:paraId="0AF98726" w14:textId="77777777" w:rsidR="007E0ABC" w:rsidRDefault="007E0ABC">
            <w:r>
              <w:t>24 - 13 - 5.1 - 16/4 - 9 - 5</w:t>
            </w:r>
          </w:p>
        </w:tc>
        <w:tc>
          <w:tcPr>
            <w:tcW w:w="2490" w:type="dxa"/>
          </w:tcPr>
          <w:p w14:paraId="21C28483" w14:textId="77777777" w:rsidR="007E0ABC" w:rsidRDefault="007E0ABC">
            <w:r>
              <w:t xml:space="preserve">Reword or drop items 16 or 4. Potentially add or reword items to fill gaps and or extend item ruler. </w:t>
            </w:r>
          </w:p>
        </w:tc>
      </w:tr>
    </w:tbl>
    <w:p w14:paraId="605F8BE2" w14:textId="77777777" w:rsidR="007E0ABC" w:rsidRDefault="007E0ABC"/>
    <w:p w14:paraId="4C8643C1" w14:textId="77777777" w:rsidR="007E0ABC" w:rsidRDefault="007E0ABC"/>
    <w:p w14:paraId="55E2171B" w14:textId="77777777" w:rsidR="007E0ABC" w:rsidRPr="00461BB1" w:rsidRDefault="007E0ABC" w:rsidP="00461BB1">
      <w:pPr>
        <w:rPr>
          <w:rFonts w:ascii="Avenir Heavy" w:hAnsi="Avenir Heavy"/>
          <w:b/>
          <w:bCs/>
        </w:rPr>
      </w:pPr>
    </w:p>
    <w:p w14:paraId="5D9D5866" w14:textId="77777777" w:rsidR="007E0ABC" w:rsidRDefault="007E0ABC">
      <w:pPr>
        <w:rPr>
          <w:rFonts w:eastAsia="Georgia" w:cs="Georgia"/>
          <w:iCs/>
          <w:color w:val="666666"/>
          <w:sz w:val="28"/>
          <w:szCs w:val="28"/>
          <w:lang w:eastAsia="en-GB"/>
        </w:rPr>
      </w:pPr>
      <w:r>
        <w:rPr>
          <w:i/>
          <w:iCs/>
          <w:sz w:val="28"/>
          <w:szCs w:val="28"/>
        </w:rPr>
        <w:br w:type="page"/>
      </w:r>
    </w:p>
    <w:p w14:paraId="785528FA" w14:textId="77777777" w:rsidR="007E0ABC" w:rsidRPr="00716FF2" w:rsidRDefault="007E0ABC" w:rsidP="00716FF2">
      <w:pPr>
        <w:pStyle w:val="Subtitle"/>
        <w:spacing w:after="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D</w:t>
      </w:r>
      <w:r w:rsidRPr="00C260F1">
        <w:rPr>
          <w:rFonts w:ascii="Avenir Book" w:hAnsi="Avenir Book"/>
          <w:iCs/>
          <w:sz w:val="28"/>
          <w:szCs w:val="28"/>
        </w:rPr>
        <w:t xml:space="preserve"> – </w:t>
      </w:r>
      <w:r w:rsidRPr="0098395C">
        <w:rPr>
          <w:rFonts w:ascii="Avenir Book" w:hAnsi="Avenir Book"/>
          <w:iCs/>
          <w:sz w:val="28"/>
          <w:szCs w:val="28"/>
        </w:rPr>
        <w:t xml:space="preserve">Iterative </w:t>
      </w:r>
      <w:r>
        <w:rPr>
          <w:rFonts w:ascii="Avenir Book" w:hAnsi="Avenir Book"/>
          <w:iCs/>
          <w:sz w:val="28"/>
          <w:szCs w:val="28"/>
        </w:rPr>
        <w:t>P</w:t>
      </w:r>
      <w:r w:rsidRPr="0098395C">
        <w:rPr>
          <w:rFonts w:ascii="Avenir Book" w:hAnsi="Avenir Book"/>
          <w:iCs/>
          <w:sz w:val="28"/>
          <w:szCs w:val="28"/>
        </w:rPr>
        <w:t xml:space="preserve">rocess of </w:t>
      </w:r>
      <w:r>
        <w:rPr>
          <w:rFonts w:ascii="Avenir Book" w:hAnsi="Avenir Book"/>
          <w:iCs/>
          <w:sz w:val="28"/>
          <w:szCs w:val="28"/>
        </w:rPr>
        <w:t>EASE-F Scale</w:t>
      </w:r>
      <w:r w:rsidRPr="0098395C">
        <w:rPr>
          <w:rFonts w:ascii="Avenir Book" w:hAnsi="Avenir Book"/>
          <w:iCs/>
          <w:sz w:val="28"/>
          <w:szCs w:val="28"/>
        </w:rPr>
        <w:t xml:space="preserve"> </w:t>
      </w:r>
      <w:r>
        <w:rPr>
          <w:rFonts w:ascii="Avenir Book" w:hAnsi="Avenir Book"/>
          <w:iCs/>
          <w:sz w:val="28"/>
          <w:szCs w:val="28"/>
        </w:rPr>
        <w:t>R</w:t>
      </w:r>
      <w:r w:rsidRPr="0098395C">
        <w:rPr>
          <w:rFonts w:ascii="Avenir Book" w:hAnsi="Avenir Book"/>
          <w:iCs/>
          <w:sz w:val="28"/>
          <w:szCs w:val="28"/>
        </w:rPr>
        <w:t>efinement</w:t>
      </w:r>
    </w:p>
    <w:p w14:paraId="7611FC8C" w14:textId="77777777" w:rsidR="007E0ABC" w:rsidRDefault="007E0ABC" w:rsidP="00716FF2">
      <w:pPr>
        <w:pStyle w:val="ListParagraph"/>
        <w:jc w:val="center"/>
        <w:rPr>
          <w:sz w:val="21"/>
          <w:szCs w:val="28"/>
        </w:rPr>
      </w:pPr>
      <w:r>
        <w:rPr>
          <w:sz w:val="21"/>
          <w:szCs w:val="28"/>
        </w:rPr>
        <w:t xml:space="preserve">Table 36. </w:t>
      </w:r>
      <w:r w:rsidRPr="00716FF2">
        <w:rPr>
          <w:sz w:val="21"/>
          <w:szCs w:val="28"/>
        </w:rPr>
        <w:t>Social Support Scale</w:t>
      </w:r>
    </w:p>
    <w:p w14:paraId="2B127F45" w14:textId="77777777" w:rsidR="007E0ABC" w:rsidRPr="00716FF2" w:rsidRDefault="007E0ABC" w:rsidP="00716FF2">
      <w:pPr>
        <w:pStyle w:val="ListParagraph"/>
        <w:jc w:val="center"/>
        <w:rPr>
          <w:sz w:val="21"/>
          <w:szCs w:val="28"/>
        </w:rPr>
      </w:pPr>
    </w:p>
    <w:p w14:paraId="7FA95001" w14:textId="77777777" w:rsidR="007E0ABC" w:rsidRPr="00716FF2" w:rsidRDefault="007E0ABC" w:rsidP="007E0ABC">
      <w:pPr>
        <w:pStyle w:val="ListParagraph"/>
        <w:numPr>
          <w:ilvl w:val="0"/>
          <w:numId w:val="212"/>
        </w:numPr>
        <w:spacing w:after="160"/>
        <w:rPr>
          <w:szCs w:val="20"/>
        </w:rPr>
      </w:pPr>
      <w:r w:rsidRPr="00716FF2">
        <w:rPr>
          <w:szCs w:val="20"/>
        </w:rPr>
        <w:t>Category Functioning and Thresholds</w:t>
      </w: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645"/>
        <w:gridCol w:w="840"/>
        <w:gridCol w:w="975"/>
        <w:gridCol w:w="1065"/>
        <w:gridCol w:w="1080"/>
        <w:gridCol w:w="900"/>
        <w:gridCol w:w="555"/>
        <w:gridCol w:w="555"/>
        <w:gridCol w:w="1260"/>
      </w:tblGrid>
      <w:tr w:rsidR="007E0ABC" w14:paraId="6088BF2B" w14:textId="77777777">
        <w:tc>
          <w:tcPr>
            <w:tcW w:w="1125" w:type="dxa"/>
          </w:tcPr>
          <w:p w14:paraId="1D6F43AE" w14:textId="77777777" w:rsidR="007E0ABC" w:rsidRDefault="007E0ABC">
            <w:pPr>
              <w:rPr>
                <w:b/>
                <w:sz w:val="18"/>
                <w:szCs w:val="18"/>
              </w:rPr>
            </w:pPr>
            <w:r>
              <w:rPr>
                <w:b/>
                <w:sz w:val="18"/>
                <w:szCs w:val="18"/>
              </w:rPr>
              <w:t>Model</w:t>
            </w:r>
          </w:p>
        </w:tc>
        <w:tc>
          <w:tcPr>
            <w:tcW w:w="645" w:type="dxa"/>
          </w:tcPr>
          <w:p w14:paraId="508433DD" w14:textId="77777777" w:rsidR="007E0ABC" w:rsidRDefault="007E0ABC">
            <w:pPr>
              <w:rPr>
                <w:sz w:val="18"/>
                <w:szCs w:val="18"/>
              </w:rPr>
            </w:pPr>
            <w:r>
              <w:rPr>
                <w:sz w:val="18"/>
                <w:szCs w:val="18"/>
              </w:rPr>
              <w:t>Cat label</w:t>
            </w:r>
          </w:p>
        </w:tc>
        <w:tc>
          <w:tcPr>
            <w:tcW w:w="840" w:type="dxa"/>
          </w:tcPr>
          <w:p w14:paraId="7AC69453" w14:textId="77777777" w:rsidR="007E0ABC" w:rsidRDefault="007E0ABC">
            <w:pPr>
              <w:rPr>
                <w:sz w:val="18"/>
                <w:szCs w:val="18"/>
              </w:rPr>
            </w:pPr>
            <w:r>
              <w:rPr>
                <w:sz w:val="18"/>
                <w:szCs w:val="18"/>
              </w:rPr>
              <w:t>Cat Count (%)</w:t>
            </w:r>
          </w:p>
        </w:tc>
        <w:tc>
          <w:tcPr>
            <w:tcW w:w="975" w:type="dxa"/>
          </w:tcPr>
          <w:p w14:paraId="2F353BB3" w14:textId="77777777" w:rsidR="007E0ABC" w:rsidRDefault="007E0ABC">
            <w:pPr>
              <w:rPr>
                <w:sz w:val="18"/>
                <w:szCs w:val="18"/>
              </w:rPr>
            </w:pPr>
            <w:r>
              <w:rPr>
                <w:sz w:val="18"/>
                <w:szCs w:val="18"/>
              </w:rPr>
              <w:t>Av cat measure (</w:t>
            </w:r>
            <w:proofErr w:type="spellStart"/>
            <w:r>
              <w:rPr>
                <w:sz w:val="18"/>
                <w:szCs w:val="18"/>
              </w:rPr>
              <w:t>ob</w:t>
            </w:r>
            <w:proofErr w:type="spellEnd"/>
            <w:r>
              <w:rPr>
                <w:sz w:val="18"/>
                <w:szCs w:val="18"/>
              </w:rPr>
              <w:t>)</w:t>
            </w:r>
          </w:p>
        </w:tc>
        <w:tc>
          <w:tcPr>
            <w:tcW w:w="1065" w:type="dxa"/>
          </w:tcPr>
          <w:p w14:paraId="28400C22" w14:textId="77777777" w:rsidR="007E0ABC" w:rsidRDefault="007E0ABC">
            <w:pPr>
              <w:rPr>
                <w:sz w:val="18"/>
                <w:szCs w:val="18"/>
              </w:rPr>
            </w:pPr>
            <w:r>
              <w:rPr>
                <w:sz w:val="18"/>
                <w:szCs w:val="18"/>
              </w:rPr>
              <w:t>Expected measure</w:t>
            </w:r>
          </w:p>
        </w:tc>
        <w:tc>
          <w:tcPr>
            <w:tcW w:w="1080" w:type="dxa"/>
          </w:tcPr>
          <w:p w14:paraId="3C1E407B" w14:textId="77777777" w:rsidR="007E0ABC" w:rsidRDefault="007E0ABC">
            <w:pPr>
              <w:rPr>
                <w:sz w:val="18"/>
                <w:szCs w:val="18"/>
              </w:rPr>
            </w:pPr>
            <w:r>
              <w:rPr>
                <w:sz w:val="18"/>
                <w:szCs w:val="18"/>
              </w:rPr>
              <w:t>Infit/Outfit MNSQ</w:t>
            </w:r>
          </w:p>
        </w:tc>
        <w:tc>
          <w:tcPr>
            <w:tcW w:w="900" w:type="dxa"/>
          </w:tcPr>
          <w:p w14:paraId="6F9C7723" w14:textId="77777777" w:rsidR="007E0ABC" w:rsidRDefault="007E0ABC">
            <w:pPr>
              <w:rPr>
                <w:sz w:val="18"/>
                <w:szCs w:val="18"/>
              </w:rPr>
            </w:pPr>
            <w:r>
              <w:rPr>
                <w:sz w:val="18"/>
                <w:szCs w:val="18"/>
              </w:rPr>
              <w:t xml:space="preserve">Andrich </w:t>
            </w:r>
          </w:p>
        </w:tc>
        <w:tc>
          <w:tcPr>
            <w:tcW w:w="555" w:type="dxa"/>
          </w:tcPr>
          <w:p w14:paraId="60936C5A" w14:textId="77777777" w:rsidR="007E0ABC" w:rsidRDefault="007E0ABC">
            <w:pPr>
              <w:rPr>
                <w:sz w:val="18"/>
                <w:szCs w:val="18"/>
              </w:rPr>
            </w:pPr>
            <w:r>
              <w:rPr>
                <w:sz w:val="18"/>
                <w:szCs w:val="18"/>
              </w:rPr>
              <w:t>M-C</w:t>
            </w:r>
          </w:p>
        </w:tc>
        <w:tc>
          <w:tcPr>
            <w:tcW w:w="555" w:type="dxa"/>
          </w:tcPr>
          <w:p w14:paraId="12B0B59B" w14:textId="77777777" w:rsidR="007E0ABC" w:rsidRDefault="007E0ABC">
            <w:pPr>
              <w:rPr>
                <w:sz w:val="18"/>
                <w:szCs w:val="18"/>
              </w:rPr>
            </w:pPr>
            <w:r>
              <w:rPr>
                <w:sz w:val="18"/>
                <w:szCs w:val="18"/>
              </w:rPr>
              <w:t>C-M</w:t>
            </w:r>
          </w:p>
        </w:tc>
        <w:tc>
          <w:tcPr>
            <w:tcW w:w="1260" w:type="dxa"/>
          </w:tcPr>
          <w:p w14:paraId="2033A6EB" w14:textId="77777777" w:rsidR="007E0ABC" w:rsidRDefault="007E0ABC">
            <w:pPr>
              <w:rPr>
                <w:sz w:val="18"/>
                <w:szCs w:val="18"/>
              </w:rPr>
            </w:pPr>
            <w:r>
              <w:rPr>
                <w:sz w:val="18"/>
                <w:szCs w:val="18"/>
              </w:rPr>
              <w:t>Comment/</w:t>
            </w:r>
          </w:p>
          <w:p w14:paraId="78975444" w14:textId="77777777" w:rsidR="007E0ABC" w:rsidRDefault="007E0ABC">
            <w:pPr>
              <w:rPr>
                <w:sz w:val="18"/>
                <w:szCs w:val="18"/>
              </w:rPr>
            </w:pPr>
            <w:r>
              <w:rPr>
                <w:sz w:val="18"/>
                <w:szCs w:val="18"/>
              </w:rPr>
              <w:t>decision</w:t>
            </w:r>
          </w:p>
        </w:tc>
      </w:tr>
      <w:tr w:rsidR="007E0ABC" w14:paraId="2D449126" w14:textId="77777777">
        <w:tc>
          <w:tcPr>
            <w:tcW w:w="1125" w:type="dxa"/>
            <w:vMerge w:val="restart"/>
          </w:tcPr>
          <w:p w14:paraId="791AC83B" w14:textId="77777777" w:rsidR="007E0ABC" w:rsidRDefault="007E0ABC">
            <w:pPr>
              <w:rPr>
                <w:b/>
                <w:i/>
                <w:sz w:val="18"/>
                <w:szCs w:val="18"/>
              </w:rPr>
            </w:pPr>
            <w:r>
              <w:rPr>
                <w:b/>
                <w:i/>
                <w:sz w:val="18"/>
                <w:szCs w:val="18"/>
              </w:rPr>
              <w:t>Original model</w:t>
            </w:r>
          </w:p>
        </w:tc>
        <w:tc>
          <w:tcPr>
            <w:tcW w:w="645" w:type="dxa"/>
          </w:tcPr>
          <w:p w14:paraId="13808A0E" w14:textId="77777777" w:rsidR="007E0ABC" w:rsidRDefault="007E0ABC">
            <w:pPr>
              <w:rPr>
                <w:sz w:val="18"/>
                <w:szCs w:val="18"/>
              </w:rPr>
            </w:pPr>
            <w:r>
              <w:rPr>
                <w:sz w:val="18"/>
                <w:szCs w:val="18"/>
              </w:rPr>
              <w:t>1</w:t>
            </w:r>
          </w:p>
        </w:tc>
        <w:tc>
          <w:tcPr>
            <w:tcW w:w="840" w:type="dxa"/>
          </w:tcPr>
          <w:p w14:paraId="453CF00F" w14:textId="77777777" w:rsidR="007E0ABC" w:rsidRDefault="007E0ABC">
            <w:pPr>
              <w:rPr>
                <w:sz w:val="18"/>
                <w:szCs w:val="18"/>
              </w:rPr>
            </w:pPr>
            <w:r>
              <w:rPr>
                <w:sz w:val="18"/>
                <w:szCs w:val="18"/>
              </w:rPr>
              <w:t>437 (16)</w:t>
            </w:r>
          </w:p>
        </w:tc>
        <w:tc>
          <w:tcPr>
            <w:tcW w:w="975" w:type="dxa"/>
          </w:tcPr>
          <w:p w14:paraId="4DD25966" w14:textId="77777777" w:rsidR="007E0ABC" w:rsidRDefault="007E0ABC">
            <w:pPr>
              <w:tabs>
                <w:tab w:val="left" w:pos="975"/>
              </w:tabs>
              <w:rPr>
                <w:sz w:val="18"/>
                <w:szCs w:val="18"/>
              </w:rPr>
            </w:pPr>
            <w:r>
              <w:rPr>
                <w:sz w:val="18"/>
                <w:szCs w:val="18"/>
              </w:rPr>
              <w:t>-0.57</w:t>
            </w:r>
          </w:p>
        </w:tc>
        <w:tc>
          <w:tcPr>
            <w:tcW w:w="1065" w:type="dxa"/>
          </w:tcPr>
          <w:p w14:paraId="19BC71C1" w14:textId="77777777" w:rsidR="007E0ABC" w:rsidRDefault="007E0ABC">
            <w:pPr>
              <w:rPr>
                <w:sz w:val="18"/>
                <w:szCs w:val="18"/>
              </w:rPr>
            </w:pPr>
            <w:r>
              <w:rPr>
                <w:sz w:val="18"/>
                <w:szCs w:val="18"/>
              </w:rPr>
              <w:t>-0.61</w:t>
            </w:r>
          </w:p>
        </w:tc>
        <w:tc>
          <w:tcPr>
            <w:tcW w:w="1080" w:type="dxa"/>
          </w:tcPr>
          <w:p w14:paraId="6D64A877" w14:textId="77777777" w:rsidR="007E0ABC" w:rsidRDefault="007E0ABC">
            <w:pPr>
              <w:rPr>
                <w:sz w:val="18"/>
                <w:szCs w:val="18"/>
              </w:rPr>
            </w:pPr>
            <w:r>
              <w:rPr>
                <w:sz w:val="18"/>
                <w:szCs w:val="18"/>
              </w:rPr>
              <w:t>1.08/1.09</w:t>
            </w:r>
          </w:p>
        </w:tc>
        <w:tc>
          <w:tcPr>
            <w:tcW w:w="900" w:type="dxa"/>
          </w:tcPr>
          <w:p w14:paraId="499FD5A4" w14:textId="77777777" w:rsidR="007E0ABC" w:rsidRDefault="007E0ABC">
            <w:pPr>
              <w:rPr>
                <w:sz w:val="18"/>
                <w:szCs w:val="18"/>
              </w:rPr>
            </w:pPr>
            <w:r>
              <w:rPr>
                <w:sz w:val="18"/>
                <w:szCs w:val="18"/>
              </w:rPr>
              <w:t>-</w:t>
            </w:r>
          </w:p>
        </w:tc>
        <w:tc>
          <w:tcPr>
            <w:tcW w:w="555" w:type="dxa"/>
          </w:tcPr>
          <w:p w14:paraId="13D3CA86" w14:textId="77777777" w:rsidR="007E0ABC" w:rsidRDefault="007E0ABC">
            <w:pPr>
              <w:rPr>
                <w:sz w:val="18"/>
                <w:szCs w:val="18"/>
              </w:rPr>
            </w:pPr>
            <w:r>
              <w:rPr>
                <w:sz w:val="18"/>
                <w:szCs w:val="18"/>
              </w:rPr>
              <w:t>72%</w:t>
            </w:r>
          </w:p>
        </w:tc>
        <w:tc>
          <w:tcPr>
            <w:tcW w:w="555" w:type="dxa"/>
          </w:tcPr>
          <w:p w14:paraId="3F0D3745" w14:textId="77777777" w:rsidR="007E0ABC" w:rsidRDefault="007E0ABC">
            <w:pPr>
              <w:rPr>
                <w:sz w:val="18"/>
                <w:szCs w:val="18"/>
              </w:rPr>
            </w:pPr>
            <w:r>
              <w:rPr>
                <w:sz w:val="18"/>
                <w:szCs w:val="18"/>
              </w:rPr>
              <w:t>13%</w:t>
            </w:r>
          </w:p>
        </w:tc>
        <w:tc>
          <w:tcPr>
            <w:tcW w:w="1260" w:type="dxa"/>
            <w:vMerge w:val="restart"/>
          </w:tcPr>
          <w:p w14:paraId="790E1B91" w14:textId="77777777" w:rsidR="007E0ABC" w:rsidRDefault="007E0ABC">
            <w:pPr>
              <w:rPr>
                <w:sz w:val="18"/>
                <w:szCs w:val="18"/>
              </w:rPr>
            </w:pPr>
            <w:r>
              <w:rPr>
                <w:sz w:val="18"/>
                <w:szCs w:val="18"/>
              </w:rPr>
              <w:t>Category thresholds &lt;0.4 logits apart, indistinct peaks – consider collapsing</w:t>
            </w:r>
          </w:p>
        </w:tc>
      </w:tr>
      <w:tr w:rsidR="007E0ABC" w14:paraId="54CCB68E" w14:textId="77777777">
        <w:tc>
          <w:tcPr>
            <w:tcW w:w="1125" w:type="dxa"/>
            <w:vMerge/>
          </w:tcPr>
          <w:p w14:paraId="3A8121DE" w14:textId="77777777" w:rsidR="007E0ABC" w:rsidRDefault="007E0ABC">
            <w:pPr>
              <w:widowControl w:val="0"/>
              <w:spacing w:line="276" w:lineRule="auto"/>
              <w:rPr>
                <w:sz w:val="18"/>
                <w:szCs w:val="18"/>
              </w:rPr>
            </w:pPr>
          </w:p>
        </w:tc>
        <w:tc>
          <w:tcPr>
            <w:tcW w:w="645" w:type="dxa"/>
          </w:tcPr>
          <w:p w14:paraId="06FD0AEF" w14:textId="77777777" w:rsidR="007E0ABC" w:rsidRDefault="007E0ABC">
            <w:pPr>
              <w:rPr>
                <w:sz w:val="18"/>
                <w:szCs w:val="18"/>
              </w:rPr>
            </w:pPr>
            <w:r>
              <w:rPr>
                <w:sz w:val="18"/>
                <w:szCs w:val="18"/>
              </w:rPr>
              <w:t>2</w:t>
            </w:r>
          </w:p>
        </w:tc>
        <w:tc>
          <w:tcPr>
            <w:tcW w:w="840" w:type="dxa"/>
          </w:tcPr>
          <w:p w14:paraId="349918AA" w14:textId="77777777" w:rsidR="007E0ABC" w:rsidRDefault="007E0ABC">
            <w:pPr>
              <w:rPr>
                <w:sz w:val="18"/>
                <w:szCs w:val="18"/>
              </w:rPr>
            </w:pPr>
            <w:r>
              <w:rPr>
                <w:sz w:val="18"/>
                <w:szCs w:val="18"/>
              </w:rPr>
              <w:t>335 (12)</w:t>
            </w:r>
          </w:p>
        </w:tc>
        <w:tc>
          <w:tcPr>
            <w:tcW w:w="975" w:type="dxa"/>
          </w:tcPr>
          <w:p w14:paraId="7054012E" w14:textId="77777777" w:rsidR="007E0ABC" w:rsidRDefault="007E0ABC">
            <w:pPr>
              <w:tabs>
                <w:tab w:val="left" w:pos="975"/>
              </w:tabs>
              <w:rPr>
                <w:sz w:val="18"/>
                <w:szCs w:val="18"/>
              </w:rPr>
            </w:pPr>
            <w:r>
              <w:rPr>
                <w:sz w:val="18"/>
                <w:szCs w:val="18"/>
              </w:rPr>
              <w:t>-0.21</w:t>
            </w:r>
          </w:p>
        </w:tc>
        <w:tc>
          <w:tcPr>
            <w:tcW w:w="1065" w:type="dxa"/>
          </w:tcPr>
          <w:p w14:paraId="61BE303A" w14:textId="77777777" w:rsidR="007E0ABC" w:rsidRDefault="007E0ABC">
            <w:pPr>
              <w:rPr>
                <w:sz w:val="18"/>
                <w:szCs w:val="18"/>
              </w:rPr>
            </w:pPr>
            <w:r>
              <w:rPr>
                <w:sz w:val="18"/>
                <w:szCs w:val="18"/>
              </w:rPr>
              <w:t>-0.24</w:t>
            </w:r>
          </w:p>
        </w:tc>
        <w:tc>
          <w:tcPr>
            <w:tcW w:w="1080" w:type="dxa"/>
          </w:tcPr>
          <w:p w14:paraId="584D1E46" w14:textId="77777777" w:rsidR="007E0ABC" w:rsidRDefault="007E0ABC">
            <w:pPr>
              <w:rPr>
                <w:sz w:val="18"/>
                <w:szCs w:val="18"/>
              </w:rPr>
            </w:pPr>
            <w:r>
              <w:rPr>
                <w:sz w:val="18"/>
                <w:szCs w:val="18"/>
              </w:rPr>
              <w:t>0.99/0.93</w:t>
            </w:r>
          </w:p>
        </w:tc>
        <w:tc>
          <w:tcPr>
            <w:tcW w:w="900" w:type="dxa"/>
          </w:tcPr>
          <w:p w14:paraId="218F5147" w14:textId="77777777" w:rsidR="007E0ABC" w:rsidRDefault="007E0ABC">
            <w:pPr>
              <w:rPr>
                <w:sz w:val="18"/>
                <w:szCs w:val="18"/>
              </w:rPr>
            </w:pPr>
            <w:r>
              <w:rPr>
                <w:sz w:val="18"/>
                <w:szCs w:val="18"/>
              </w:rPr>
              <w:t>-0.23</w:t>
            </w:r>
          </w:p>
        </w:tc>
        <w:tc>
          <w:tcPr>
            <w:tcW w:w="555" w:type="dxa"/>
          </w:tcPr>
          <w:p w14:paraId="122DCF36" w14:textId="77777777" w:rsidR="007E0ABC" w:rsidRDefault="007E0ABC">
            <w:pPr>
              <w:rPr>
                <w:sz w:val="18"/>
                <w:szCs w:val="18"/>
              </w:rPr>
            </w:pPr>
            <w:r>
              <w:rPr>
                <w:sz w:val="18"/>
                <w:szCs w:val="18"/>
              </w:rPr>
              <w:t>27%</w:t>
            </w:r>
          </w:p>
        </w:tc>
        <w:tc>
          <w:tcPr>
            <w:tcW w:w="555" w:type="dxa"/>
          </w:tcPr>
          <w:p w14:paraId="027309DC" w14:textId="77777777" w:rsidR="007E0ABC" w:rsidRDefault="007E0ABC">
            <w:pPr>
              <w:rPr>
                <w:sz w:val="18"/>
                <w:szCs w:val="18"/>
              </w:rPr>
            </w:pPr>
            <w:r>
              <w:rPr>
                <w:sz w:val="18"/>
                <w:szCs w:val="18"/>
              </w:rPr>
              <w:t>39%</w:t>
            </w:r>
          </w:p>
        </w:tc>
        <w:tc>
          <w:tcPr>
            <w:tcW w:w="1260" w:type="dxa"/>
            <w:vMerge/>
          </w:tcPr>
          <w:p w14:paraId="124DFC17" w14:textId="77777777" w:rsidR="007E0ABC" w:rsidRDefault="007E0ABC">
            <w:pPr>
              <w:widowControl w:val="0"/>
              <w:spacing w:line="276" w:lineRule="auto"/>
              <w:rPr>
                <w:sz w:val="18"/>
                <w:szCs w:val="18"/>
              </w:rPr>
            </w:pPr>
          </w:p>
        </w:tc>
      </w:tr>
      <w:tr w:rsidR="007E0ABC" w14:paraId="2793043A" w14:textId="77777777">
        <w:tc>
          <w:tcPr>
            <w:tcW w:w="1125" w:type="dxa"/>
            <w:vMerge/>
          </w:tcPr>
          <w:p w14:paraId="4C8438E8" w14:textId="77777777" w:rsidR="007E0ABC" w:rsidRDefault="007E0ABC">
            <w:pPr>
              <w:widowControl w:val="0"/>
              <w:spacing w:line="276" w:lineRule="auto"/>
              <w:rPr>
                <w:sz w:val="18"/>
                <w:szCs w:val="18"/>
              </w:rPr>
            </w:pPr>
          </w:p>
        </w:tc>
        <w:tc>
          <w:tcPr>
            <w:tcW w:w="645" w:type="dxa"/>
          </w:tcPr>
          <w:p w14:paraId="0787F586" w14:textId="77777777" w:rsidR="007E0ABC" w:rsidRDefault="007E0ABC">
            <w:pPr>
              <w:rPr>
                <w:sz w:val="18"/>
                <w:szCs w:val="18"/>
              </w:rPr>
            </w:pPr>
            <w:r>
              <w:rPr>
                <w:sz w:val="18"/>
                <w:szCs w:val="18"/>
              </w:rPr>
              <w:t>3</w:t>
            </w:r>
          </w:p>
        </w:tc>
        <w:tc>
          <w:tcPr>
            <w:tcW w:w="840" w:type="dxa"/>
          </w:tcPr>
          <w:p w14:paraId="05E2D5F9" w14:textId="77777777" w:rsidR="007E0ABC" w:rsidRDefault="007E0ABC">
            <w:pPr>
              <w:rPr>
                <w:sz w:val="18"/>
                <w:szCs w:val="18"/>
              </w:rPr>
            </w:pPr>
            <w:r>
              <w:rPr>
                <w:sz w:val="18"/>
                <w:szCs w:val="18"/>
              </w:rPr>
              <w:t>432 (16)</w:t>
            </w:r>
          </w:p>
        </w:tc>
        <w:tc>
          <w:tcPr>
            <w:tcW w:w="975" w:type="dxa"/>
          </w:tcPr>
          <w:p w14:paraId="6A375F16" w14:textId="77777777" w:rsidR="007E0ABC" w:rsidRDefault="007E0ABC">
            <w:pPr>
              <w:tabs>
                <w:tab w:val="left" w:pos="975"/>
              </w:tabs>
              <w:rPr>
                <w:sz w:val="18"/>
                <w:szCs w:val="18"/>
              </w:rPr>
            </w:pPr>
            <w:r>
              <w:rPr>
                <w:sz w:val="18"/>
                <w:szCs w:val="18"/>
              </w:rPr>
              <w:t>-0.11</w:t>
            </w:r>
          </w:p>
        </w:tc>
        <w:tc>
          <w:tcPr>
            <w:tcW w:w="1065" w:type="dxa"/>
          </w:tcPr>
          <w:p w14:paraId="6947C095" w14:textId="77777777" w:rsidR="007E0ABC" w:rsidRDefault="007E0ABC">
            <w:pPr>
              <w:rPr>
                <w:sz w:val="18"/>
                <w:szCs w:val="18"/>
              </w:rPr>
            </w:pPr>
            <w:r>
              <w:rPr>
                <w:sz w:val="18"/>
                <w:szCs w:val="18"/>
              </w:rPr>
              <w:t>-.14</w:t>
            </w:r>
          </w:p>
        </w:tc>
        <w:tc>
          <w:tcPr>
            <w:tcW w:w="1080" w:type="dxa"/>
          </w:tcPr>
          <w:p w14:paraId="00B3FC0F" w14:textId="77777777" w:rsidR="007E0ABC" w:rsidRDefault="007E0ABC">
            <w:pPr>
              <w:rPr>
                <w:sz w:val="18"/>
                <w:szCs w:val="18"/>
              </w:rPr>
            </w:pPr>
            <w:r>
              <w:rPr>
                <w:sz w:val="18"/>
                <w:szCs w:val="18"/>
              </w:rPr>
              <w:t>0.97/0.95</w:t>
            </w:r>
          </w:p>
        </w:tc>
        <w:tc>
          <w:tcPr>
            <w:tcW w:w="900" w:type="dxa"/>
          </w:tcPr>
          <w:p w14:paraId="13D97C75" w14:textId="77777777" w:rsidR="007E0ABC" w:rsidRDefault="007E0ABC">
            <w:pPr>
              <w:rPr>
                <w:sz w:val="18"/>
                <w:szCs w:val="18"/>
              </w:rPr>
            </w:pPr>
            <w:r>
              <w:rPr>
                <w:sz w:val="18"/>
                <w:szCs w:val="18"/>
              </w:rPr>
              <w:t>-0.31</w:t>
            </w:r>
          </w:p>
        </w:tc>
        <w:tc>
          <w:tcPr>
            <w:tcW w:w="555" w:type="dxa"/>
          </w:tcPr>
          <w:p w14:paraId="1988400B" w14:textId="77777777" w:rsidR="007E0ABC" w:rsidRDefault="007E0ABC">
            <w:pPr>
              <w:rPr>
                <w:sz w:val="18"/>
                <w:szCs w:val="18"/>
              </w:rPr>
            </w:pPr>
            <w:r>
              <w:rPr>
                <w:sz w:val="18"/>
                <w:szCs w:val="18"/>
              </w:rPr>
              <w:t>26%</w:t>
            </w:r>
          </w:p>
        </w:tc>
        <w:tc>
          <w:tcPr>
            <w:tcW w:w="555" w:type="dxa"/>
          </w:tcPr>
          <w:p w14:paraId="1B0D9311" w14:textId="77777777" w:rsidR="007E0ABC" w:rsidRDefault="007E0ABC">
            <w:pPr>
              <w:rPr>
                <w:sz w:val="18"/>
                <w:szCs w:val="18"/>
              </w:rPr>
            </w:pPr>
            <w:r>
              <w:rPr>
                <w:sz w:val="18"/>
                <w:szCs w:val="18"/>
              </w:rPr>
              <w:t>40%</w:t>
            </w:r>
          </w:p>
        </w:tc>
        <w:tc>
          <w:tcPr>
            <w:tcW w:w="1260" w:type="dxa"/>
            <w:vMerge/>
          </w:tcPr>
          <w:p w14:paraId="72CFC3AF" w14:textId="77777777" w:rsidR="007E0ABC" w:rsidRDefault="007E0ABC">
            <w:pPr>
              <w:widowControl w:val="0"/>
              <w:spacing w:line="276" w:lineRule="auto"/>
              <w:rPr>
                <w:sz w:val="18"/>
                <w:szCs w:val="18"/>
              </w:rPr>
            </w:pPr>
          </w:p>
        </w:tc>
      </w:tr>
      <w:tr w:rsidR="007E0ABC" w14:paraId="5DA9E760" w14:textId="77777777">
        <w:tc>
          <w:tcPr>
            <w:tcW w:w="1125" w:type="dxa"/>
            <w:vMerge/>
          </w:tcPr>
          <w:p w14:paraId="4E15F9AA" w14:textId="77777777" w:rsidR="007E0ABC" w:rsidRDefault="007E0ABC">
            <w:pPr>
              <w:widowControl w:val="0"/>
              <w:spacing w:line="276" w:lineRule="auto"/>
              <w:rPr>
                <w:sz w:val="18"/>
                <w:szCs w:val="18"/>
              </w:rPr>
            </w:pPr>
          </w:p>
        </w:tc>
        <w:tc>
          <w:tcPr>
            <w:tcW w:w="645" w:type="dxa"/>
          </w:tcPr>
          <w:p w14:paraId="3C17CB5F" w14:textId="77777777" w:rsidR="007E0ABC" w:rsidRDefault="007E0ABC">
            <w:pPr>
              <w:rPr>
                <w:sz w:val="18"/>
                <w:szCs w:val="18"/>
              </w:rPr>
            </w:pPr>
            <w:r>
              <w:rPr>
                <w:sz w:val="18"/>
                <w:szCs w:val="18"/>
              </w:rPr>
              <w:t>4</w:t>
            </w:r>
          </w:p>
        </w:tc>
        <w:tc>
          <w:tcPr>
            <w:tcW w:w="840" w:type="dxa"/>
          </w:tcPr>
          <w:p w14:paraId="77E1C277" w14:textId="77777777" w:rsidR="007E0ABC" w:rsidRDefault="007E0ABC">
            <w:pPr>
              <w:rPr>
                <w:sz w:val="18"/>
                <w:szCs w:val="18"/>
              </w:rPr>
            </w:pPr>
            <w:r>
              <w:rPr>
                <w:sz w:val="18"/>
                <w:szCs w:val="18"/>
              </w:rPr>
              <w:t>576 (21)</w:t>
            </w:r>
          </w:p>
        </w:tc>
        <w:tc>
          <w:tcPr>
            <w:tcW w:w="975" w:type="dxa"/>
          </w:tcPr>
          <w:p w14:paraId="2AEE4FF5" w14:textId="77777777" w:rsidR="007E0ABC" w:rsidRDefault="007E0ABC">
            <w:pPr>
              <w:tabs>
                <w:tab w:val="left" w:pos="975"/>
              </w:tabs>
              <w:rPr>
                <w:sz w:val="18"/>
                <w:szCs w:val="18"/>
              </w:rPr>
            </w:pPr>
            <w:r>
              <w:rPr>
                <w:sz w:val="18"/>
                <w:szCs w:val="18"/>
              </w:rPr>
              <w:t>0.47</w:t>
            </w:r>
          </w:p>
        </w:tc>
        <w:tc>
          <w:tcPr>
            <w:tcW w:w="1065" w:type="dxa"/>
          </w:tcPr>
          <w:p w14:paraId="137E463E" w14:textId="77777777" w:rsidR="007E0ABC" w:rsidRDefault="007E0ABC">
            <w:pPr>
              <w:rPr>
                <w:sz w:val="18"/>
                <w:szCs w:val="18"/>
              </w:rPr>
            </w:pPr>
            <w:r>
              <w:rPr>
                <w:sz w:val="18"/>
                <w:szCs w:val="18"/>
              </w:rPr>
              <w:t>0.56</w:t>
            </w:r>
          </w:p>
        </w:tc>
        <w:tc>
          <w:tcPr>
            <w:tcW w:w="1080" w:type="dxa"/>
          </w:tcPr>
          <w:p w14:paraId="6E598300" w14:textId="77777777" w:rsidR="007E0ABC" w:rsidRDefault="007E0ABC">
            <w:pPr>
              <w:rPr>
                <w:sz w:val="18"/>
                <w:szCs w:val="18"/>
              </w:rPr>
            </w:pPr>
            <w:r>
              <w:rPr>
                <w:sz w:val="18"/>
                <w:szCs w:val="18"/>
              </w:rPr>
              <w:t>1.22/1.20</w:t>
            </w:r>
          </w:p>
        </w:tc>
        <w:tc>
          <w:tcPr>
            <w:tcW w:w="900" w:type="dxa"/>
          </w:tcPr>
          <w:p w14:paraId="7B0385F7" w14:textId="77777777" w:rsidR="007E0ABC" w:rsidRDefault="007E0ABC">
            <w:pPr>
              <w:rPr>
                <w:sz w:val="18"/>
                <w:szCs w:val="18"/>
              </w:rPr>
            </w:pPr>
            <w:r>
              <w:rPr>
                <w:sz w:val="18"/>
                <w:szCs w:val="18"/>
              </w:rPr>
              <w:t>0.06</w:t>
            </w:r>
          </w:p>
        </w:tc>
        <w:tc>
          <w:tcPr>
            <w:tcW w:w="555" w:type="dxa"/>
          </w:tcPr>
          <w:p w14:paraId="51375562" w14:textId="77777777" w:rsidR="007E0ABC" w:rsidRDefault="007E0ABC">
            <w:pPr>
              <w:rPr>
                <w:sz w:val="18"/>
                <w:szCs w:val="18"/>
              </w:rPr>
            </w:pPr>
            <w:r>
              <w:rPr>
                <w:sz w:val="18"/>
                <w:szCs w:val="18"/>
              </w:rPr>
              <w:t>31%</w:t>
            </w:r>
          </w:p>
        </w:tc>
        <w:tc>
          <w:tcPr>
            <w:tcW w:w="555" w:type="dxa"/>
          </w:tcPr>
          <w:p w14:paraId="52D365CB" w14:textId="77777777" w:rsidR="007E0ABC" w:rsidRDefault="007E0ABC">
            <w:pPr>
              <w:rPr>
                <w:sz w:val="18"/>
                <w:szCs w:val="18"/>
              </w:rPr>
            </w:pPr>
            <w:r>
              <w:rPr>
                <w:sz w:val="18"/>
                <w:szCs w:val="18"/>
              </w:rPr>
              <w:t>52%</w:t>
            </w:r>
          </w:p>
        </w:tc>
        <w:tc>
          <w:tcPr>
            <w:tcW w:w="1260" w:type="dxa"/>
            <w:vMerge/>
          </w:tcPr>
          <w:p w14:paraId="12F50ABE" w14:textId="77777777" w:rsidR="007E0ABC" w:rsidRDefault="007E0ABC">
            <w:pPr>
              <w:widowControl w:val="0"/>
              <w:spacing w:line="276" w:lineRule="auto"/>
              <w:rPr>
                <w:sz w:val="18"/>
                <w:szCs w:val="18"/>
              </w:rPr>
            </w:pPr>
          </w:p>
        </w:tc>
      </w:tr>
      <w:tr w:rsidR="007E0ABC" w14:paraId="0ACF6101" w14:textId="77777777">
        <w:trPr>
          <w:trHeight w:val="63"/>
        </w:trPr>
        <w:tc>
          <w:tcPr>
            <w:tcW w:w="1125" w:type="dxa"/>
            <w:vMerge/>
          </w:tcPr>
          <w:p w14:paraId="5A1E2B3C" w14:textId="77777777" w:rsidR="007E0ABC" w:rsidRDefault="007E0ABC">
            <w:pPr>
              <w:widowControl w:val="0"/>
              <w:spacing w:line="276" w:lineRule="auto"/>
              <w:rPr>
                <w:sz w:val="18"/>
                <w:szCs w:val="18"/>
              </w:rPr>
            </w:pPr>
          </w:p>
        </w:tc>
        <w:tc>
          <w:tcPr>
            <w:tcW w:w="645" w:type="dxa"/>
          </w:tcPr>
          <w:p w14:paraId="526D8313" w14:textId="77777777" w:rsidR="007E0ABC" w:rsidRDefault="007E0ABC">
            <w:pPr>
              <w:rPr>
                <w:sz w:val="18"/>
                <w:szCs w:val="18"/>
              </w:rPr>
            </w:pPr>
            <w:r>
              <w:rPr>
                <w:sz w:val="18"/>
                <w:szCs w:val="18"/>
              </w:rPr>
              <w:t>5</w:t>
            </w:r>
          </w:p>
        </w:tc>
        <w:tc>
          <w:tcPr>
            <w:tcW w:w="840" w:type="dxa"/>
          </w:tcPr>
          <w:p w14:paraId="4E4A476B" w14:textId="77777777" w:rsidR="007E0ABC" w:rsidRDefault="007E0ABC">
            <w:pPr>
              <w:rPr>
                <w:sz w:val="18"/>
                <w:szCs w:val="18"/>
              </w:rPr>
            </w:pPr>
            <w:r>
              <w:rPr>
                <w:sz w:val="18"/>
                <w:szCs w:val="18"/>
              </w:rPr>
              <w:t>920 (34)</w:t>
            </w:r>
          </w:p>
        </w:tc>
        <w:tc>
          <w:tcPr>
            <w:tcW w:w="975" w:type="dxa"/>
          </w:tcPr>
          <w:p w14:paraId="12A2B3B5" w14:textId="77777777" w:rsidR="007E0ABC" w:rsidRDefault="007E0ABC">
            <w:pPr>
              <w:tabs>
                <w:tab w:val="left" w:pos="975"/>
              </w:tabs>
              <w:rPr>
                <w:sz w:val="18"/>
                <w:szCs w:val="18"/>
              </w:rPr>
            </w:pPr>
            <w:r>
              <w:rPr>
                <w:sz w:val="18"/>
                <w:szCs w:val="18"/>
              </w:rPr>
              <w:t>1.14</w:t>
            </w:r>
          </w:p>
        </w:tc>
        <w:tc>
          <w:tcPr>
            <w:tcW w:w="1065" w:type="dxa"/>
          </w:tcPr>
          <w:p w14:paraId="06D4E672" w14:textId="77777777" w:rsidR="007E0ABC" w:rsidRDefault="007E0ABC">
            <w:pPr>
              <w:rPr>
                <w:sz w:val="18"/>
                <w:szCs w:val="18"/>
              </w:rPr>
            </w:pPr>
            <w:r>
              <w:rPr>
                <w:sz w:val="18"/>
                <w:szCs w:val="18"/>
              </w:rPr>
              <w:t>1.09</w:t>
            </w:r>
          </w:p>
        </w:tc>
        <w:tc>
          <w:tcPr>
            <w:tcW w:w="1080" w:type="dxa"/>
          </w:tcPr>
          <w:p w14:paraId="30996607" w14:textId="77777777" w:rsidR="007E0ABC" w:rsidRDefault="007E0ABC">
            <w:pPr>
              <w:rPr>
                <w:sz w:val="18"/>
                <w:szCs w:val="18"/>
              </w:rPr>
            </w:pPr>
            <w:r>
              <w:rPr>
                <w:sz w:val="18"/>
                <w:szCs w:val="18"/>
              </w:rPr>
              <w:t>0.90/0.94</w:t>
            </w:r>
          </w:p>
        </w:tc>
        <w:tc>
          <w:tcPr>
            <w:tcW w:w="900" w:type="dxa"/>
          </w:tcPr>
          <w:p w14:paraId="07EBE061" w14:textId="77777777" w:rsidR="007E0ABC" w:rsidRDefault="007E0ABC">
            <w:pPr>
              <w:rPr>
                <w:sz w:val="18"/>
                <w:szCs w:val="18"/>
              </w:rPr>
            </w:pPr>
            <w:r>
              <w:rPr>
                <w:sz w:val="18"/>
                <w:szCs w:val="18"/>
              </w:rPr>
              <w:t>0.48</w:t>
            </w:r>
          </w:p>
        </w:tc>
        <w:tc>
          <w:tcPr>
            <w:tcW w:w="555" w:type="dxa"/>
          </w:tcPr>
          <w:p w14:paraId="7F0BA7CD" w14:textId="77777777" w:rsidR="007E0ABC" w:rsidRDefault="007E0ABC">
            <w:pPr>
              <w:rPr>
                <w:sz w:val="18"/>
                <w:szCs w:val="18"/>
              </w:rPr>
            </w:pPr>
            <w:r>
              <w:rPr>
                <w:sz w:val="18"/>
                <w:szCs w:val="18"/>
              </w:rPr>
              <w:t>81%</w:t>
            </w:r>
          </w:p>
        </w:tc>
        <w:tc>
          <w:tcPr>
            <w:tcW w:w="555" w:type="dxa"/>
          </w:tcPr>
          <w:p w14:paraId="7D315702" w14:textId="77777777" w:rsidR="007E0ABC" w:rsidRDefault="007E0ABC">
            <w:pPr>
              <w:rPr>
                <w:sz w:val="18"/>
                <w:szCs w:val="18"/>
              </w:rPr>
            </w:pPr>
            <w:r>
              <w:rPr>
                <w:sz w:val="18"/>
                <w:szCs w:val="18"/>
              </w:rPr>
              <w:t>39%</w:t>
            </w:r>
          </w:p>
        </w:tc>
        <w:tc>
          <w:tcPr>
            <w:tcW w:w="1260" w:type="dxa"/>
            <w:vMerge/>
          </w:tcPr>
          <w:p w14:paraId="68E3EB86" w14:textId="77777777" w:rsidR="007E0ABC" w:rsidRDefault="007E0ABC">
            <w:pPr>
              <w:widowControl w:val="0"/>
              <w:spacing w:line="276" w:lineRule="auto"/>
              <w:rPr>
                <w:sz w:val="18"/>
                <w:szCs w:val="18"/>
              </w:rPr>
            </w:pPr>
          </w:p>
        </w:tc>
      </w:tr>
      <w:tr w:rsidR="007E0ABC" w14:paraId="0F1B7D44" w14:textId="77777777">
        <w:trPr>
          <w:trHeight w:val="180"/>
        </w:trPr>
        <w:tc>
          <w:tcPr>
            <w:tcW w:w="1125" w:type="dxa"/>
            <w:vMerge w:val="restart"/>
          </w:tcPr>
          <w:p w14:paraId="50C9175D" w14:textId="77777777" w:rsidR="007E0ABC" w:rsidRDefault="007E0ABC">
            <w:pPr>
              <w:rPr>
                <w:sz w:val="18"/>
                <w:szCs w:val="18"/>
              </w:rPr>
            </w:pPr>
            <w:r>
              <w:rPr>
                <w:b/>
                <w:i/>
                <w:sz w:val="18"/>
                <w:szCs w:val="18"/>
              </w:rPr>
              <w:t>M1 – Collapsed categories 1&amp;2, 3&amp;4</w:t>
            </w:r>
          </w:p>
        </w:tc>
        <w:tc>
          <w:tcPr>
            <w:tcW w:w="645" w:type="dxa"/>
          </w:tcPr>
          <w:p w14:paraId="4D9226DF" w14:textId="77777777" w:rsidR="007E0ABC" w:rsidRDefault="007E0ABC">
            <w:pPr>
              <w:rPr>
                <w:sz w:val="18"/>
                <w:szCs w:val="18"/>
              </w:rPr>
            </w:pPr>
            <w:r>
              <w:rPr>
                <w:sz w:val="18"/>
                <w:szCs w:val="18"/>
              </w:rPr>
              <w:t>1</w:t>
            </w:r>
          </w:p>
        </w:tc>
        <w:tc>
          <w:tcPr>
            <w:tcW w:w="840" w:type="dxa"/>
          </w:tcPr>
          <w:p w14:paraId="7AEA1BEA" w14:textId="77777777" w:rsidR="007E0ABC" w:rsidRDefault="007E0ABC">
            <w:pPr>
              <w:rPr>
                <w:sz w:val="18"/>
                <w:szCs w:val="18"/>
              </w:rPr>
            </w:pPr>
            <w:r>
              <w:rPr>
                <w:sz w:val="18"/>
                <w:szCs w:val="18"/>
              </w:rPr>
              <w:t>772 (29%)</w:t>
            </w:r>
          </w:p>
        </w:tc>
        <w:tc>
          <w:tcPr>
            <w:tcW w:w="975" w:type="dxa"/>
          </w:tcPr>
          <w:p w14:paraId="023DD739" w14:textId="77777777" w:rsidR="007E0ABC" w:rsidRDefault="007E0ABC">
            <w:pPr>
              <w:tabs>
                <w:tab w:val="left" w:pos="975"/>
              </w:tabs>
              <w:rPr>
                <w:sz w:val="18"/>
                <w:szCs w:val="18"/>
              </w:rPr>
            </w:pPr>
            <w:r>
              <w:rPr>
                <w:sz w:val="18"/>
                <w:szCs w:val="18"/>
              </w:rPr>
              <w:t>-1.22</w:t>
            </w:r>
          </w:p>
        </w:tc>
        <w:tc>
          <w:tcPr>
            <w:tcW w:w="1065" w:type="dxa"/>
          </w:tcPr>
          <w:p w14:paraId="197658E3" w14:textId="77777777" w:rsidR="007E0ABC" w:rsidRDefault="007E0ABC">
            <w:pPr>
              <w:rPr>
                <w:sz w:val="18"/>
                <w:szCs w:val="18"/>
              </w:rPr>
            </w:pPr>
            <w:r>
              <w:rPr>
                <w:sz w:val="18"/>
                <w:szCs w:val="18"/>
              </w:rPr>
              <w:t>-1.28</w:t>
            </w:r>
          </w:p>
        </w:tc>
        <w:tc>
          <w:tcPr>
            <w:tcW w:w="1080" w:type="dxa"/>
          </w:tcPr>
          <w:p w14:paraId="6C3CB243" w14:textId="77777777" w:rsidR="007E0ABC" w:rsidRDefault="007E0ABC">
            <w:pPr>
              <w:rPr>
                <w:sz w:val="18"/>
                <w:szCs w:val="18"/>
              </w:rPr>
            </w:pPr>
            <w:r>
              <w:rPr>
                <w:sz w:val="18"/>
                <w:szCs w:val="18"/>
              </w:rPr>
              <w:t>1.07/1.05</w:t>
            </w:r>
          </w:p>
        </w:tc>
        <w:tc>
          <w:tcPr>
            <w:tcW w:w="900" w:type="dxa"/>
          </w:tcPr>
          <w:p w14:paraId="6F8FB537" w14:textId="77777777" w:rsidR="007E0ABC" w:rsidRDefault="007E0ABC">
            <w:pPr>
              <w:rPr>
                <w:sz w:val="18"/>
                <w:szCs w:val="18"/>
              </w:rPr>
            </w:pPr>
            <w:r>
              <w:rPr>
                <w:sz w:val="18"/>
                <w:szCs w:val="18"/>
              </w:rPr>
              <w:t>-</w:t>
            </w:r>
          </w:p>
        </w:tc>
        <w:tc>
          <w:tcPr>
            <w:tcW w:w="555" w:type="dxa"/>
          </w:tcPr>
          <w:p w14:paraId="7727E900" w14:textId="77777777" w:rsidR="007E0ABC" w:rsidRDefault="007E0ABC">
            <w:pPr>
              <w:rPr>
                <w:sz w:val="18"/>
                <w:szCs w:val="18"/>
              </w:rPr>
            </w:pPr>
            <w:r>
              <w:rPr>
                <w:sz w:val="18"/>
                <w:szCs w:val="18"/>
              </w:rPr>
              <w:t>72%</w:t>
            </w:r>
          </w:p>
        </w:tc>
        <w:tc>
          <w:tcPr>
            <w:tcW w:w="555" w:type="dxa"/>
          </w:tcPr>
          <w:p w14:paraId="5122A61A" w14:textId="77777777" w:rsidR="007E0ABC" w:rsidRDefault="007E0ABC">
            <w:pPr>
              <w:rPr>
                <w:sz w:val="18"/>
                <w:szCs w:val="18"/>
              </w:rPr>
            </w:pPr>
            <w:r>
              <w:rPr>
                <w:sz w:val="18"/>
                <w:szCs w:val="18"/>
              </w:rPr>
              <w:t>49%</w:t>
            </w:r>
          </w:p>
        </w:tc>
        <w:tc>
          <w:tcPr>
            <w:tcW w:w="1260" w:type="dxa"/>
            <w:vMerge w:val="restart"/>
          </w:tcPr>
          <w:p w14:paraId="394B0C16" w14:textId="77777777" w:rsidR="007E0ABC" w:rsidRDefault="007E0ABC">
            <w:pPr>
              <w:widowControl w:val="0"/>
              <w:spacing w:line="276" w:lineRule="auto"/>
              <w:rPr>
                <w:sz w:val="18"/>
                <w:szCs w:val="18"/>
              </w:rPr>
            </w:pPr>
            <w:r>
              <w:rPr>
                <w:sz w:val="18"/>
                <w:szCs w:val="18"/>
              </w:rPr>
              <w:t>all satisfied</w:t>
            </w:r>
          </w:p>
        </w:tc>
      </w:tr>
      <w:tr w:rsidR="007E0ABC" w14:paraId="044875C9" w14:textId="77777777">
        <w:trPr>
          <w:trHeight w:val="180"/>
        </w:trPr>
        <w:tc>
          <w:tcPr>
            <w:tcW w:w="1125" w:type="dxa"/>
            <w:vMerge/>
          </w:tcPr>
          <w:p w14:paraId="2CA141F1" w14:textId="77777777" w:rsidR="007E0ABC" w:rsidRDefault="007E0ABC">
            <w:pPr>
              <w:widowControl w:val="0"/>
              <w:rPr>
                <w:sz w:val="18"/>
                <w:szCs w:val="18"/>
              </w:rPr>
            </w:pPr>
          </w:p>
        </w:tc>
        <w:tc>
          <w:tcPr>
            <w:tcW w:w="645" w:type="dxa"/>
          </w:tcPr>
          <w:p w14:paraId="416B82C8" w14:textId="77777777" w:rsidR="007E0ABC" w:rsidRDefault="007E0ABC">
            <w:pPr>
              <w:rPr>
                <w:sz w:val="18"/>
                <w:szCs w:val="18"/>
              </w:rPr>
            </w:pPr>
            <w:r>
              <w:rPr>
                <w:sz w:val="18"/>
                <w:szCs w:val="18"/>
              </w:rPr>
              <w:t>2</w:t>
            </w:r>
          </w:p>
        </w:tc>
        <w:tc>
          <w:tcPr>
            <w:tcW w:w="840" w:type="dxa"/>
          </w:tcPr>
          <w:p w14:paraId="54851064" w14:textId="77777777" w:rsidR="007E0ABC" w:rsidRDefault="007E0ABC">
            <w:pPr>
              <w:rPr>
                <w:sz w:val="18"/>
                <w:szCs w:val="18"/>
              </w:rPr>
            </w:pPr>
            <w:r>
              <w:rPr>
                <w:sz w:val="18"/>
                <w:szCs w:val="18"/>
              </w:rPr>
              <w:t>1008 (37%)</w:t>
            </w:r>
          </w:p>
        </w:tc>
        <w:tc>
          <w:tcPr>
            <w:tcW w:w="975" w:type="dxa"/>
          </w:tcPr>
          <w:p w14:paraId="0FD2AF16" w14:textId="77777777" w:rsidR="007E0ABC" w:rsidRDefault="007E0ABC">
            <w:pPr>
              <w:tabs>
                <w:tab w:val="left" w:pos="975"/>
              </w:tabs>
              <w:rPr>
                <w:sz w:val="18"/>
                <w:szCs w:val="18"/>
              </w:rPr>
            </w:pPr>
            <w:r>
              <w:rPr>
                <w:sz w:val="18"/>
                <w:szCs w:val="18"/>
              </w:rPr>
              <w:t>-0.04</w:t>
            </w:r>
          </w:p>
        </w:tc>
        <w:tc>
          <w:tcPr>
            <w:tcW w:w="1065" w:type="dxa"/>
          </w:tcPr>
          <w:p w14:paraId="2093A1E8" w14:textId="77777777" w:rsidR="007E0ABC" w:rsidRDefault="007E0ABC">
            <w:pPr>
              <w:rPr>
                <w:sz w:val="18"/>
                <w:szCs w:val="18"/>
              </w:rPr>
            </w:pPr>
            <w:r>
              <w:rPr>
                <w:sz w:val="18"/>
                <w:szCs w:val="18"/>
              </w:rPr>
              <w:t>0.04</w:t>
            </w:r>
          </w:p>
        </w:tc>
        <w:tc>
          <w:tcPr>
            <w:tcW w:w="1080" w:type="dxa"/>
          </w:tcPr>
          <w:p w14:paraId="5AB6FCA0" w14:textId="77777777" w:rsidR="007E0ABC" w:rsidRDefault="007E0ABC">
            <w:pPr>
              <w:rPr>
                <w:sz w:val="18"/>
                <w:szCs w:val="18"/>
              </w:rPr>
            </w:pPr>
            <w:r>
              <w:rPr>
                <w:sz w:val="18"/>
                <w:szCs w:val="18"/>
              </w:rPr>
              <w:t>0.99/1.00</w:t>
            </w:r>
          </w:p>
        </w:tc>
        <w:tc>
          <w:tcPr>
            <w:tcW w:w="900" w:type="dxa"/>
          </w:tcPr>
          <w:p w14:paraId="39065A92" w14:textId="77777777" w:rsidR="007E0ABC" w:rsidRDefault="007E0ABC">
            <w:pPr>
              <w:rPr>
                <w:sz w:val="18"/>
                <w:szCs w:val="18"/>
              </w:rPr>
            </w:pPr>
            <w:r>
              <w:rPr>
                <w:sz w:val="18"/>
                <w:szCs w:val="18"/>
              </w:rPr>
              <w:t>-0.96</w:t>
            </w:r>
          </w:p>
        </w:tc>
        <w:tc>
          <w:tcPr>
            <w:tcW w:w="555" w:type="dxa"/>
          </w:tcPr>
          <w:p w14:paraId="43CD61B7" w14:textId="77777777" w:rsidR="007E0ABC" w:rsidRDefault="007E0ABC">
            <w:pPr>
              <w:rPr>
                <w:sz w:val="18"/>
                <w:szCs w:val="18"/>
              </w:rPr>
            </w:pPr>
            <w:r>
              <w:rPr>
                <w:sz w:val="18"/>
                <w:szCs w:val="18"/>
              </w:rPr>
              <w:t>52%</w:t>
            </w:r>
          </w:p>
        </w:tc>
        <w:tc>
          <w:tcPr>
            <w:tcW w:w="555" w:type="dxa"/>
          </w:tcPr>
          <w:p w14:paraId="392A78AE" w14:textId="77777777" w:rsidR="007E0ABC" w:rsidRDefault="007E0ABC">
            <w:pPr>
              <w:rPr>
                <w:sz w:val="18"/>
                <w:szCs w:val="18"/>
              </w:rPr>
            </w:pPr>
            <w:r>
              <w:rPr>
                <w:sz w:val="18"/>
                <w:szCs w:val="18"/>
              </w:rPr>
              <w:t>74%</w:t>
            </w:r>
          </w:p>
        </w:tc>
        <w:tc>
          <w:tcPr>
            <w:tcW w:w="1260" w:type="dxa"/>
            <w:vMerge/>
          </w:tcPr>
          <w:p w14:paraId="2D6484D4" w14:textId="77777777" w:rsidR="007E0ABC" w:rsidRDefault="007E0ABC">
            <w:pPr>
              <w:widowControl w:val="0"/>
              <w:rPr>
                <w:sz w:val="18"/>
                <w:szCs w:val="18"/>
              </w:rPr>
            </w:pPr>
          </w:p>
        </w:tc>
      </w:tr>
      <w:tr w:rsidR="007E0ABC" w14:paraId="74A7B1C7" w14:textId="77777777">
        <w:trPr>
          <w:trHeight w:val="180"/>
        </w:trPr>
        <w:tc>
          <w:tcPr>
            <w:tcW w:w="1125" w:type="dxa"/>
            <w:vMerge/>
          </w:tcPr>
          <w:p w14:paraId="6ADB5F68" w14:textId="77777777" w:rsidR="007E0ABC" w:rsidRDefault="007E0ABC">
            <w:pPr>
              <w:widowControl w:val="0"/>
              <w:rPr>
                <w:sz w:val="18"/>
                <w:szCs w:val="18"/>
              </w:rPr>
            </w:pPr>
          </w:p>
        </w:tc>
        <w:tc>
          <w:tcPr>
            <w:tcW w:w="645" w:type="dxa"/>
          </w:tcPr>
          <w:p w14:paraId="7CE80C3E" w14:textId="77777777" w:rsidR="007E0ABC" w:rsidRDefault="007E0ABC">
            <w:pPr>
              <w:rPr>
                <w:sz w:val="18"/>
                <w:szCs w:val="18"/>
              </w:rPr>
            </w:pPr>
            <w:r>
              <w:rPr>
                <w:sz w:val="18"/>
                <w:szCs w:val="18"/>
              </w:rPr>
              <w:t>3</w:t>
            </w:r>
          </w:p>
        </w:tc>
        <w:tc>
          <w:tcPr>
            <w:tcW w:w="840" w:type="dxa"/>
          </w:tcPr>
          <w:p w14:paraId="6D2AA347" w14:textId="77777777" w:rsidR="007E0ABC" w:rsidRDefault="007E0ABC">
            <w:pPr>
              <w:rPr>
                <w:sz w:val="18"/>
                <w:szCs w:val="18"/>
              </w:rPr>
            </w:pPr>
            <w:r>
              <w:rPr>
                <w:sz w:val="18"/>
                <w:szCs w:val="18"/>
              </w:rPr>
              <w:t>920 (34%)</w:t>
            </w:r>
          </w:p>
        </w:tc>
        <w:tc>
          <w:tcPr>
            <w:tcW w:w="975" w:type="dxa"/>
          </w:tcPr>
          <w:p w14:paraId="17C6C545" w14:textId="77777777" w:rsidR="007E0ABC" w:rsidRDefault="007E0ABC">
            <w:pPr>
              <w:tabs>
                <w:tab w:val="left" w:pos="975"/>
              </w:tabs>
              <w:rPr>
                <w:sz w:val="18"/>
                <w:szCs w:val="18"/>
              </w:rPr>
            </w:pPr>
            <w:r>
              <w:rPr>
                <w:sz w:val="18"/>
                <w:szCs w:val="18"/>
              </w:rPr>
              <w:t>1.50</w:t>
            </w:r>
          </w:p>
        </w:tc>
        <w:tc>
          <w:tcPr>
            <w:tcW w:w="1065" w:type="dxa"/>
          </w:tcPr>
          <w:p w14:paraId="3F8A9FE3" w14:textId="77777777" w:rsidR="007E0ABC" w:rsidRDefault="007E0ABC">
            <w:pPr>
              <w:rPr>
                <w:sz w:val="18"/>
                <w:szCs w:val="18"/>
              </w:rPr>
            </w:pPr>
            <w:r>
              <w:rPr>
                <w:sz w:val="18"/>
                <w:szCs w:val="18"/>
              </w:rPr>
              <w:t>1.45</w:t>
            </w:r>
          </w:p>
        </w:tc>
        <w:tc>
          <w:tcPr>
            <w:tcW w:w="1080" w:type="dxa"/>
          </w:tcPr>
          <w:p w14:paraId="4424ADAB" w14:textId="77777777" w:rsidR="007E0ABC" w:rsidRDefault="007E0ABC">
            <w:pPr>
              <w:rPr>
                <w:sz w:val="18"/>
                <w:szCs w:val="18"/>
              </w:rPr>
            </w:pPr>
            <w:r>
              <w:rPr>
                <w:sz w:val="18"/>
                <w:szCs w:val="18"/>
              </w:rPr>
              <w:t>0.93/0.94</w:t>
            </w:r>
          </w:p>
        </w:tc>
        <w:tc>
          <w:tcPr>
            <w:tcW w:w="900" w:type="dxa"/>
          </w:tcPr>
          <w:p w14:paraId="4E2749AB" w14:textId="77777777" w:rsidR="007E0ABC" w:rsidRDefault="007E0ABC">
            <w:pPr>
              <w:rPr>
                <w:sz w:val="18"/>
                <w:szCs w:val="18"/>
              </w:rPr>
            </w:pPr>
            <w:r>
              <w:rPr>
                <w:sz w:val="18"/>
                <w:szCs w:val="18"/>
              </w:rPr>
              <w:t>0.96</w:t>
            </w:r>
          </w:p>
        </w:tc>
        <w:tc>
          <w:tcPr>
            <w:tcW w:w="555" w:type="dxa"/>
          </w:tcPr>
          <w:p w14:paraId="54420913" w14:textId="77777777" w:rsidR="007E0ABC" w:rsidRDefault="007E0ABC">
            <w:pPr>
              <w:rPr>
                <w:sz w:val="18"/>
                <w:szCs w:val="18"/>
              </w:rPr>
            </w:pPr>
            <w:r>
              <w:rPr>
                <w:sz w:val="18"/>
                <w:szCs w:val="18"/>
              </w:rPr>
              <w:t>77%</w:t>
            </w:r>
          </w:p>
        </w:tc>
        <w:tc>
          <w:tcPr>
            <w:tcW w:w="555" w:type="dxa"/>
          </w:tcPr>
          <w:p w14:paraId="04630396" w14:textId="77777777" w:rsidR="007E0ABC" w:rsidRDefault="007E0ABC">
            <w:pPr>
              <w:rPr>
                <w:sz w:val="18"/>
                <w:szCs w:val="18"/>
              </w:rPr>
            </w:pPr>
            <w:r>
              <w:rPr>
                <w:sz w:val="18"/>
                <w:szCs w:val="18"/>
              </w:rPr>
              <w:t>58%</w:t>
            </w:r>
          </w:p>
        </w:tc>
        <w:tc>
          <w:tcPr>
            <w:tcW w:w="1260" w:type="dxa"/>
            <w:vMerge/>
          </w:tcPr>
          <w:p w14:paraId="658D3143" w14:textId="77777777" w:rsidR="007E0ABC" w:rsidRDefault="007E0ABC">
            <w:pPr>
              <w:widowControl w:val="0"/>
              <w:rPr>
                <w:sz w:val="18"/>
                <w:szCs w:val="18"/>
              </w:rPr>
            </w:pPr>
          </w:p>
        </w:tc>
      </w:tr>
    </w:tbl>
    <w:p w14:paraId="605C0259" w14:textId="77777777" w:rsidR="007E0ABC" w:rsidRDefault="007E0ABC"/>
    <w:p w14:paraId="44D2EF44" w14:textId="77777777" w:rsidR="007E0ABC" w:rsidRPr="008E7F2E" w:rsidRDefault="007E0ABC" w:rsidP="007E0ABC">
      <w:pPr>
        <w:pStyle w:val="ListParagraph"/>
        <w:numPr>
          <w:ilvl w:val="0"/>
          <w:numId w:val="212"/>
        </w:numPr>
        <w:spacing w:after="160" w:line="259" w:lineRule="auto"/>
        <w:rPr>
          <w:szCs w:val="20"/>
          <w:u w:val="single"/>
        </w:rPr>
      </w:pPr>
      <w:r w:rsidRPr="00C82471">
        <w:rPr>
          <w:szCs w:val="20"/>
          <w:u w:val="single"/>
        </w:rPr>
        <w:t>Table n. Global Statistics/Overall fit</w:t>
      </w:r>
    </w:p>
    <w:tbl>
      <w:tblPr>
        <w:tblW w:w="6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2041"/>
      </w:tblGrid>
      <w:tr w:rsidR="007E0ABC" w14:paraId="77F21F23" w14:textId="77777777">
        <w:tc>
          <w:tcPr>
            <w:tcW w:w="1555" w:type="dxa"/>
          </w:tcPr>
          <w:p w14:paraId="6B31E2DC" w14:textId="77777777" w:rsidR="007E0ABC" w:rsidRDefault="007E0ABC">
            <w:pPr>
              <w:spacing w:line="276" w:lineRule="auto"/>
              <w:rPr>
                <w:b/>
                <w:szCs w:val="20"/>
              </w:rPr>
            </w:pPr>
            <w:r>
              <w:rPr>
                <w:b/>
                <w:szCs w:val="20"/>
              </w:rPr>
              <w:t>Model</w:t>
            </w:r>
          </w:p>
        </w:tc>
        <w:tc>
          <w:tcPr>
            <w:tcW w:w="1559" w:type="dxa"/>
          </w:tcPr>
          <w:p w14:paraId="73D905FC" w14:textId="77777777" w:rsidR="007E0ABC" w:rsidRDefault="007E0ABC">
            <w:pPr>
              <w:spacing w:line="276" w:lineRule="auto"/>
              <w:rPr>
                <w:b/>
                <w:szCs w:val="20"/>
              </w:rPr>
            </w:pPr>
            <w:r>
              <w:rPr>
                <w:b/>
                <w:szCs w:val="20"/>
              </w:rPr>
              <w:t>Statistic</w:t>
            </w:r>
          </w:p>
        </w:tc>
        <w:tc>
          <w:tcPr>
            <w:tcW w:w="1559" w:type="dxa"/>
          </w:tcPr>
          <w:p w14:paraId="67C77C52" w14:textId="77777777" w:rsidR="007E0ABC" w:rsidRDefault="007E0ABC">
            <w:pPr>
              <w:spacing w:line="276" w:lineRule="auto"/>
              <w:rPr>
                <w:szCs w:val="20"/>
              </w:rPr>
            </w:pPr>
          </w:p>
        </w:tc>
        <w:tc>
          <w:tcPr>
            <w:tcW w:w="2041" w:type="dxa"/>
          </w:tcPr>
          <w:p w14:paraId="6AF945A8" w14:textId="77777777" w:rsidR="007E0ABC" w:rsidRDefault="007E0ABC">
            <w:pPr>
              <w:spacing w:line="276" w:lineRule="auto"/>
              <w:rPr>
                <w:b/>
                <w:szCs w:val="20"/>
              </w:rPr>
            </w:pPr>
            <w:r>
              <w:rPr>
                <w:b/>
                <w:szCs w:val="20"/>
              </w:rPr>
              <w:t>Comment</w:t>
            </w:r>
          </w:p>
        </w:tc>
      </w:tr>
      <w:tr w:rsidR="007E0ABC" w14:paraId="2541A216" w14:textId="77777777">
        <w:tc>
          <w:tcPr>
            <w:tcW w:w="1555" w:type="dxa"/>
            <w:vMerge w:val="restart"/>
          </w:tcPr>
          <w:p w14:paraId="1EA16B24" w14:textId="77777777" w:rsidR="007E0ABC" w:rsidRDefault="007E0ABC">
            <w:pPr>
              <w:spacing w:line="276" w:lineRule="auto"/>
              <w:rPr>
                <w:i/>
                <w:szCs w:val="20"/>
              </w:rPr>
            </w:pPr>
            <w:r>
              <w:rPr>
                <w:i/>
                <w:szCs w:val="20"/>
              </w:rPr>
              <w:t>Original model</w:t>
            </w:r>
          </w:p>
        </w:tc>
        <w:tc>
          <w:tcPr>
            <w:tcW w:w="1559" w:type="dxa"/>
          </w:tcPr>
          <w:p w14:paraId="31980D6F" w14:textId="77777777" w:rsidR="007E0ABC" w:rsidRDefault="007E0ABC">
            <w:pPr>
              <w:spacing w:line="276" w:lineRule="auto"/>
              <w:rPr>
                <w:i/>
                <w:szCs w:val="20"/>
              </w:rPr>
            </w:pPr>
            <w:r>
              <w:rPr>
                <w:i/>
                <w:szCs w:val="20"/>
              </w:rPr>
              <w:t>Chi-square (</w:t>
            </w:r>
            <w:proofErr w:type="spellStart"/>
            <w:r>
              <w:rPr>
                <w:i/>
                <w:szCs w:val="20"/>
              </w:rPr>
              <w:t>df</w:t>
            </w:r>
            <w:proofErr w:type="spellEnd"/>
            <w:r>
              <w:rPr>
                <w:i/>
                <w:szCs w:val="20"/>
              </w:rPr>
              <w:t>)</w:t>
            </w:r>
          </w:p>
          <w:p w14:paraId="31482E7F" w14:textId="77777777" w:rsidR="007E0ABC" w:rsidRDefault="007E0ABC">
            <w:pPr>
              <w:spacing w:line="276" w:lineRule="auto"/>
              <w:rPr>
                <w:i/>
                <w:szCs w:val="20"/>
              </w:rPr>
            </w:pPr>
            <w:r>
              <w:rPr>
                <w:i/>
                <w:szCs w:val="20"/>
              </w:rPr>
              <w:t>p-value</w:t>
            </w:r>
          </w:p>
        </w:tc>
        <w:tc>
          <w:tcPr>
            <w:tcW w:w="1559" w:type="dxa"/>
          </w:tcPr>
          <w:p w14:paraId="392C8971" w14:textId="77777777" w:rsidR="007E0ABC" w:rsidRDefault="007E0ABC">
            <w:pPr>
              <w:spacing w:line="276" w:lineRule="auto"/>
              <w:rPr>
                <w:szCs w:val="20"/>
              </w:rPr>
            </w:pPr>
            <w:r>
              <w:rPr>
                <w:szCs w:val="20"/>
              </w:rPr>
              <w:t>6398.5</w:t>
            </w:r>
          </w:p>
          <w:p w14:paraId="7CA17C94" w14:textId="77777777" w:rsidR="007E0ABC" w:rsidRDefault="007E0ABC">
            <w:pPr>
              <w:spacing w:line="276" w:lineRule="auto"/>
              <w:rPr>
                <w:szCs w:val="20"/>
              </w:rPr>
            </w:pPr>
            <w:r>
              <w:rPr>
                <w:szCs w:val="20"/>
              </w:rPr>
              <w:t>2548</w:t>
            </w:r>
          </w:p>
          <w:p w14:paraId="5A35335F" w14:textId="77777777" w:rsidR="007E0ABC" w:rsidRDefault="007E0ABC">
            <w:pPr>
              <w:spacing w:line="276" w:lineRule="auto"/>
              <w:rPr>
                <w:szCs w:val="20"/>
              </w:rPr>
            </w:pPr>
            <w:r>
              <w:rPr>
                <w:szCs w:val="20"/>
              </w:rPr>
              <w:t>0.000</w:t>
            </w:r>
          </w:p>
        </w:tc>
        <w:tc>
          <w:tcPr>
            <w:tcW w:w="2041" w:type="dxa"/>
          </w:tcPr>
          <w:p w14:paraId="4600BC39" w14:textId="77777777" w:rsidR="007E0ABC" w:rsidRDefault="007E0ABC">
            <w:pPr>
              <w:spacing w:line="276" w:lineRule="auto"/>
              <w:rPr>
                <w:szCs w:val="20"/>
              </w:rPr>
            </w:pPr>
          </w:p>
        </w:tc>
      </w:tr>
      <w:tr w:rsidR="007E0ABC" w14:paraId="0EE2C5D3" w14:textId="77777777">
        <w:tc>
          <w:tcPr>
            <w:tcW w:w="1555" w:type="dxa"/>
            <w:vMerge/>
          </w:tcPr>
          <w:p w14:paraId="61F3F57D" w14:textId="77777777" w:rsidR="007E0ABC" w:rsidRDefault="007E0ABC">
            <w:pPr>
              <w:widowControl w:val="0"/>
              <w:spacing w:line="276" w:lineRule="auto"/>
            </w:pPr>
          </w:p>
        </w:tc>
        <w:tc>
          <w:tcPr>
            <w:tcW w:w="1559" w:type="dxa"/>
          </w:tcPr>
          <w:p w14:paraId="671DB1E5" w14:textId="77777777" w:rsidR="007E0ABC" w:rsidRDefault="007E0ABC">
            <w:pPr>
              <w:spacing w:line="276" w:lineRule="auto"/>
              <w:rPr>
                <w:i/>
                <w:szCs w:val="20"/>
              </w:rPr>
            </w:pPr>
            <w:r>
              <w:rPr>
                <w:i/>
                <w:szCs w:val="20"/>
              </w:rPr>
              <w:t>INFIT MNSQ</w:t>
            </w:r>
          </w:p>
        </w:tc>
        <w:tc>
          <w:tcPr>
            <w:tcW w:w="1559" w:type="dxa"/>
          </w:tcPr>
          <w:p w14:paraId="793E9733" w14:textId="77777777" w:rsidR="007E0ABC" w:rsidRDefault="007E0ABC">
            <w:pPr>
              <w:spacing w:line="276" w:lineRule="auto"/>
              <w:rPr>
                <w:szCs w:val="20"/>
              </w:rPr>
            </w:pPr>
            <w:r>
              <w:rPr>
                <w:szCs w:val="20"/>
              </w:rPr>
              <w:t>1.02</w:t>
            </w:r>
          </w:p>
        </w:tc>
        <w:tc>
          <w:tcPr>
            <w:tcW w:w="2041" w:type="dxa"/>
          </w:tcPr>
          <w:p w14:paraId="713B66C7" w14:textId="77777777" w:rsidR="007E0ABC" w:rsidRDefault="007E0ABC">
            <w:pPr>
              <w:spacing w:line="276" w:lineRule="auto"/>
              <w:rPr>
                <w:szCs w:val="20"/>
              </w:rPr>
            </w:pPr>
          </w:p>
        </w:tc>
      </w:tr>
      <w:tr w:rsidR="007E0ABC" w14:paraId="7000DB41" w14:textId="77777777">
        <w:tc>
          <w:tcPr>
            <w:tcW w:w="1555" w:type="dxa"/>
            <w:vMerge/>
          </w:tcPr>
          <w:p w14:paraId="2CCBE7ED" w14:textId="77777777" w:rsidR="007E0ABC" w:rsidRDefault="007E0ABC">
            <w:pPr>
              <w:widowControl w:val="0"/>
              <w:spacing w:line="276" w:lineRule="auto"/>
            </w:pPr>
          </w:p>
        </w:tc>
        <w:tc>
          <w:tcPr>
            <w:tcW w:w="1559" w:type="dxa"/>
          </w:tcPr>
          <w:p w14:paraId="258D3263" w14:textId="77777777" w:rsidR="007E0ABC" w:rsidRDefault="007E0ABC">
            <w:pPr>
              <w:spacing w:line="276" w:lineRule="auto"/>
              <w:rPr>
                <w:i/>
                <w:szCs w:val="20"/>
              </w:rPr>
            </w:pPr>
            <w:r>
              <w:rPr>
                <w:i/>
                <w:szCs w:val="20"/>
              </w:rPr>
              <w:t>INFIT ZSTD</w:t>
            </w:r>
          </w:p>
        </w:tc>
        <w:tc>
          <w:tcPr>
            <w:tcW w:w="1559" w:type="dxa"/>
          </w:tcPr>
          <w:p w14:paraId="34D2B7CA" w14:textId="77777777" w:rsidR="007E0ABC" w:rsidRDefault="007E0ABC">
            <w:pPr>
              <w:spacing w:line="276" w:lineRule="auto"/>
              <w:rPr>
                <w:szCs w:val="20"/>
              </w:rPr>
            </w:pPr>
            <w:r>
              <w:rPr>
                <w:szCs w:val="20"/>
              </w:rPr>
              <w:t>0.31</w:t>
            </w:r>
          </w:p>
        </w:tc>
        <w:tc>
          <w:tcPr>
            <w:tcW w:w="2041" w:type="dxa"/>
          </w:tcPr>
          <w:p w14:paraId="12E1803A" w14:textId="77777777" w:rsidR="007E0ABC" w:rsidRDefault="007E0ABC">
            <w:pPr>
              <w:spacing w:line="276" w:lineRule="auto"/>
              <w:rPr>
                <w:szCs w:val="20"/>
              </w:rPr>
            </w:pPr>
            <w:r>
              <w:rPr>
                <w:szCs w:val="20"/>
              </w:rPr>
              <w:t>Flag</w:t>
            </w:r>
          </w:p>
        </w:tc>
      </w:tr>
      <w:tr w:rsidR="007E0ABC" w14:paraId="7C84FC82" w14:textId="77777777">
        <w:tc>
          <w:tcPr>
            <w:tcW w:w="1555" w:type="dxa"/>
            <w:vMerge/>
          </w:tcPr>
          <w:p w14:paraId="6BE83091" w14:textId="77777777" w:rsidR="007E0ABC" w:rsidRDefault="007E0ABC">
            <w:pPr>
              <w:widowControl w:val="0"/>
              <w:spacing w:line="276" w:lineRule="auto"/>
            </w:pPr>
          </w:p>
        </w:tc>
        <w:tc>
          <w:tcPr>
            <w:tcW w:w="1559" w:type="dxa"/>
          </w:tcPr>
          <w:p w14:paraId="459C1081" w14:textId="77777777" w:rsidR="007E0ABC" w:rsidRDefault="007E0ABC">
            <w:pPr>
              <w:spacing w:line="276" w:lineRule="auto"/>
              <w:rPr>
                <w:i/>
                <w:szCs w:val="20"/>
              </w:rPr>
            </w:pPr>
            <w:r>
              <w:rPr>
                <w:i/>
                <w:szCs w:val="20"/>
              </w:rPr>
              <w:t>OUTFIT MNSQ</w:t>
            </w:r>
          </w:p>
        </w:tc>
        <w:tc>
          <w:tcPr>
            <w:tcW w:w="1559" w:type="dxa"/>
          </w:tcPr>
          <w:p w14:paraId="0F31F903" w14:textId="77777777" w:rsidR="007E0ABC" w:rsidRDefault="007E0ABC">
            <w:pPr>
              <w:spacing w:line="276" w:lineRule="auto"/>
              <w:rPr>
                <w:szCs w:val="20"/>
              </w:rPr>
            </w:pPr>
            <w:r>
              <w:rPr>
                <w:szCs w:val="20"/>
              </w:rPr>
              <w:t>1.02</w:t>
            </w:r>
          </w:p>
        </w:tc>
        <w:tc>
          <w:tcPr>
            <w:tcW w:w="2041" w:type="dxa"/>
          </w:tcPr>
          <w:p w14:paraId="0B2A9AE5" w14:textId="77777777" w:rsidR="007E0ABC" w:rsidRDefault="007E0ABC">
            <w:pPr>
              <w:spacing w:line="276" w:lineRule="auto"/>
              <w:rPr>
                <w:szCs w:val="20"/>
              </w:rPr>
            </w:pPr>
          </w:p>
        </w:tc>
      </w:tr>
      <w:tr w:rsidR="007E0ABC" w14:paraId="6BFC4817" w14:textId="77777777">
        <w:tc>
          <w:tcPr>
            <w:tcW w:w="1555" w:type="dxa"/>
            <w:vMerge/>
          </w:tcPr>
          <w:p w14:paraId="14D805B5" w14:textId="77777777" w:rsidR="007E0ABC" w:rsidRDefault="007E0ABC">
            <w:pPr>
              <w:widowControl w:val="0"/>
              <w:spacing w:line="276" w:lineRule="auto"/>
            </w:pPr>
          </w:p>
        </w:tc>
        <w:tc>
          <w:tcPr>
            <w:tcW w:w="1559" w:type="dxa"/>
          </w:tcPr>
          <w:p w14:paraId="3E5FBB9C" w14:textId="77777777" w:rsidR="007E0ABC" w:rsidRDefault="007E0ABC">
            <w:pPr>
              <w:spacing w:line="276" w:lineRule="auto"/>
              <w:rPr>
                <w:i/>
                <w:szCs w:val="20"/>
              </w:rPr>
            </w:pPr>
            <w:r>
              <w:rPr>
                <w:i/>
                <w:szCs w:val="20"/>
              </w:rPr>
              <w:t>OUTFIT ZSTD</w:t>
            </w:r>
          </w:p>
        </w:tc>
        <w:tc>
          <w:tcPr>
            <w:tcW w:w="1559" w:type="dxa"/>
          </w:tcPr>
          <w:p w14:paraId="79AD14C1" w14:textId="77777777" w:rsidR="007E0ABC" w:rsidRDefault="007E0ABC">
            <w:pPr>
              <w:spacing w:line="276" w:lineRule="auto"/>
              <w:rPr>
                <w:szCs w:val="20"/>
              </w:rPr>
            </w:pPr>
            <w:r>
              <w:rPr>
                <w:szCs w:val="20"/>
              </w:rPr>
              <w:t>0.28</w:t>
            </w:r>
          </w:p>
        </w:tc>
        <w:tc>
          <w:tcPr>
            <w:tcW w:w="2041" w:type="dxa"/>
          </w:tcPr>
          <w:p w14:paraId="00021C17" w14:textId="77777777" w:rsidR="007E0ABC" w:rsidRDefault="007E0ABC">
            <w:pPr>
              <w:spacing w:line="276" w:lineRule="auto"/>
              <w:rPr>
                <w:szCs w:val="20"/>
              </w:rPr>
            </w:pPr>
            <w:r>
              <w:rPr>
                <w:szCs w:val="20"/>
              </w:rPr>
              <w:t>Flag</w:t>
            </w:r>
          </w:p>
        </w:tc>
      </w:tr>
      <w:tr w:rsidR="007E0ABC" w14:paraId="08BCBE44" w14:textId="77777777">
        <w:trPr>
          <w:trHeight w:val="220"/>
        </w:trPr>
        <w:tc>
          <w:tcPr>
            <w:tcW w:w="1555" w:type="dxa"/>
            <w:vMerge w:val="restart"/>
          </w:tcPr>
          <w:p w14:paraId="48667ADD" w14:textId="77777777" w:rsidR="007E0ABC" w:rsidRDefault="007E0ABC">
            <w:r>
              <w:rPr>
                <w:b/>
                <w:i/>
                <w:sz w:val="18"/>
                <w:szCs w:val="18"/>
              </w:rPr>
              <w:t>M1 – Collapsed categories 1&amp;2, 3&amp;4</w:t>
            </w:r>
          </w:p>
        </w:tc>
        <w:tc>
          <w:tcPr>
            <w:tcW w:w="1559" w:type="dxa"/>
          </w:tcPr>
          <w:p w14:paraId="1E845644" w14:textId="77777777" w:rsidR="007E0ABC" w:rsidRDefault="007E0ABC">
            <w:pPr>
              <w:spacing w:line="276" w:lineRule="auto"/>
              <w:rPr>
                <w:i/>
                <w:szCs w:val="20"/>
              </w:rPr>
            </w:pPr>
            <w:r>
              <w:rPr>
                <w:i/>
                <w:szCs w:val="20"/>
              </w:rPr>
              <w:t>Chi-square (</w:t>
            </w:r>
            <w:proofErr w:type="spellStart"/>
            <w:r>
              <w:rPr>
                <w:i/>
                <w:szCs w:val="20"/>
              </w:rPr>
              <w:t>df</w:t>
            </w:r>
            <w:proofErr w:type="spellEnd"/>
            <w:r>
              <w:rPr>
                <w:i/>
                <w:szCs w:val="20"/>
              </w:rPr>
              <w:t>)</w:t>
            </w:r>
          </w:p>
          <w:p w14:paraId="55EE2A58" w14:textId="77777777" w:rsidR="007E0ABC" w:rsidRDefault="007E0ABC">
            <w:pPr>
              <w:spacing w:line="276" w:lineRule="auto"/>
              <w:rPr>
                <w:i/>
                <w:szCs w:val="20"/>
              </w:rPr>
            </w:pPr>
            <w:r>
              <w:rPr>
                <w:i/>
                <w:szCs w:val="20"/>
              </w:rPr>
              <w:t>p-value</w:t>
            </w:r>
          </w:p>
        </w:tc>
        <w:tc>
          <w:tcPr>
            <w:tcW w:w="1559" w:type="dxa"/>
          </w:tcPr>
          <w:p w14:paraId="2CDB624A" w14:textId="77777777" w:rsidR="007E0ABC" w:rsidRDefault="007E0ABC">
            <w:pPr>
              <w:spacing w:line="276" w:lineRule="auto"/>
              <w:rPr>
                <w:szCs w:val="20"/>
              </w:rPr>
            </w:pPr>
            <w:r>
              <w:rPr>
                <w:szCs w:val="20"/>
              </w:rPr>
              <w:t>3998.3</w:t>
            </w:r>
          </w:p>
          <w:p w14:paraId="77566F12" w14:textId="77777777" w:rsidR="007E0ABC" w:rsidRDefault="007E0ABC">
            <w:pPr>
              <w:spacing w:line="276" w:lineRule="auto"/>
              <w:rPr>
                <w:szCs w:val="20"/>
              </w:rPr>
            </w:pPr>
            <w:r>
              <w:rPr>
                <w:szCs w:val="20"/>
              </w:rPr>
              <w:t>2526</w:t>
            </w:r>
          </w:p>
          <w:p w14:paraId="49EFFC9A" w14:textId="77777777" w:rsidR="007E0ABC" w:rsidRDefault="007E0ABC">
            <w:pPr>
              <w:spacing w:line="276" w:lineRule="auto"/>
              <w:rPr>
                <w:szCs w:val="20"/>
              </w:rPr>
            </w:pPr>
            <w:r>
              <w:rPr>
                <w:szCs w:val="20"/>
              </w:rPr>
              <w:t>0.000</w:t>
            </w:r>
          </w:p>
        </w:tc>
        <w:tc>
          <w:tcPr>
            <w:tcW w:w="2041" w:type="dxa"/>
          </w:tcPr>
          <w:p w14:paraId="16BA6B8D" w14:textId="77777777" w:rsidR="007E0ABC" w:rsidRDefault="007E0ABC">
            <w:pPr>
              <w:spacing w:line="276" w:lineRule="auto"/>
              <w:rPr>
                <w:szCs w:val="20"/>
              </w:rPr>
            </w:pPr>
          </w:p>
        </w:tc>
      </w:tr>
      <w:tr w:rsidR="007E0ABC" w14:paraId="7F029F86" w14:textId="77777777">
        <w:trPr>
          <w:trHeight w:val="220"/>
        </w:trPr>
        <w:tc>
          <w:tcPr>
            <w:tcW w:w="1555" w:type="dxa"/>
            <w:vMerge/>
          </w:tcPr>
          <w:p w14:paraId="4BDBF977" w14:textId="77777777" w:rsidR="007E0ABC" w:rsidRDefault="007E0ABC">
            <w:pPr>
              <w:widowControl w:val="0"/>
            </w:pPr>
          </w:p>
        </w:tc>
        <w:tc>
          <w:tcPr>
            <w:tcW w:w="1559" w:type="dxa"/>
          </w:tcPr>
          <w:p w14:paraId="50FE1E00" w14:textId="77777777" w:rsidR="007E0ABC" w:rsidRDefault="007E0ABC">
            <w:pPr>
              <w:spacing w:line="276" w:lineRule="auto"/>
              <w:rPr>
                <w:i/>
                <w:szCs w:val="20"/>
              </w:rPr>
            </w:pPr>
            <w:r>
              <w:rPr>
                <w:i/>
                <w:szCs w:val="20"/>
              </w:rPr>
              <w:t>INFIT MNSQ</w:t>
            </w:r>
          </w:p>
        </w:tc>
        <w:tc>
          <w:tcPr>
            <w:tcW w:w="1559" w:type="dxa"/>
          </w:tcPr>
          <w:p w14:paraId="3FD1C2B0" w14:textId="77777777" w:rsidR="007E0ABC" w:rsidRDefault="007E0ABC">
            <w:pPr>
              <w:spacing w:line="276" w:lineRule="auto"/>
              <w:rPr>
                <w:szCs w:val="20"/>
              </w:rPr>
            </w:pPr>
            <w:r>
              <w:rPr>
                <w:szCs w:val="20"/>
              </w:rPr>
              <w:t>1.00</w:t>
            </w:r>
          </w:p>
        </w:tc>
        <w:tc>
          <w:tcPr>
            <w:tcW w:w="2041" w:type="dxa"/>
          </w:tcPr>
          <w:p w14:paraId="6D26A7DC" w14:textId="77777777" w:rsidR="007E0ABC" w:rsidRDefault="007E0ABC">
            <w:pPr>
              <w:spacing w:line="276" w:lineRule="auto"/>
              <w:rPr>
                <w:szCs w:val="20"/>
              </w:rPr>
            </w:pPr>
          </w:p>
        </w:tc>
      </w:tr>
      <w:tr w:rsidR="007E0ABC" w14:paraId="591915B1" w14:textId="77777777">
        <w:trPr>
          <w:trHeight w:val="220"/>
        </w:trPr>
        <w:tc>
          <w:tcPr>
            <w:tcW w:w="1555" w:type="dxa"/>
            <w:vMerge/>
          </w:tcPr>
          <w:p w14:paraId="22AEDA95" w14:textId="77777777" w:rsidR="007E0ABC" w:rsidRDefault="007E0ABC">
            <w:pPr>
              <w:widowControl w:val="0"/>
            </w:pPr>
          </w:p>
        </w:tc>
        <w:tc>
          <w:tcPr>
            <w:tcW w:w="1559" w:type="dxa"/>
          </w:tcPr>
          <w:p w14:paraId="29044632" w14:textId="77777777" w:rsidR="007E0ABC" w:rsidRDefault="007E0ABC">
            <w:pPr>
              <w:spacing w:line="276" w:lineRule="auto"/>
              <w:rPr>
                <w:i/>
                <w:szCs w:val="20"/>
              </w:rPr>
            </w:pPr>
            <w:r>
              <w:rPr>
                <w:i/>
                <w:szCs w:val="20"/>
              </w:rPr>
              <w:t>INFIT ZSTD</w:t>
            </w:r>
          </w:p>
        </w:tc>
        <w:tc>
          <w:tcPr>
            <w:tcW w:w="1559" w:type="dxa"/>
          </w:tcPr>
          <w:p w14:paraId="2405AB41" w14:textId="77777777" w:rsidR="007E0ABC" w:rsidRDefault="007E0ABC">
            <w:pPr>
              <w:spacing w:line="276" w:lineRule="auto"/>
              <w:rPr>
                <w:szCs w:val="20"/>
              </w:rPr>
            </w:pPr>
            <w:r>
              <w:rPr>
                <w:szCs w:val="20"/>
              </w:rPr>
              <w:t>-0.02</w:t>
            </w:r>
          </w:p>
        </w:tc>
        <w:tc>
          <w:tcPr>
            <w:tcW w:w="2041" w:type="dxa"/>
          </w:tcPr>
          <w:p w14:paraId="0887B435" w14:textId="77777777" w:rsidR="007E0ABC" w:rsidRDefault="007E0ABC">
            <w:pPr>
              <w:spacing w:line="276" w:lineRule="auto"/>
              <w:rPr>
                <w:szCs w:val="20"/>
              </w:rPr>
            </w:pPr>
          </w:p>
        </w:tc>
      </w:tr>
      <w:tr w:rsidR="007E0ABC" w14:paraId="132A74D0" w14:textId="77777777">
        <w:trPr>
          <w:trHeight w:val="220"/>
        </w:trPr>
        <w:tc>
          <w:tcPr>
            <w:tcW w:w="1555" w:type="dxa"/>
            <w:vMerge/>
          </w:tcPr>
          <w:p w14:paraId="3262093C" w14:textId="77777777" w:rsidR="007E0ABC" w:rsidRDefault="007E0ABC">
            <w:pPr>
              <w:widowControl w:val="0"/>
            </w:pPr>
          </w:p>
        </w:tc>
        <w:tc>
          <w:tcPr>
            <w:tcW w:w="1559" w:type="dxa"/>
          </w:tcPr>
          <w:p w14:paraId="760905C8" w14:textId="77777777" w:rsidR="007E0ABC" w:rsidRDefault="007E0ABC">
            <w:pPr>
              <w:spacing w:line="276" w:lineRule="auto"/>
              <w:rPr>
                <w:i/>
                <w:szCs w:val="20"/>
              </w:rPr>
            </w:pPr>
            <w:r>
              <w:rPr>
                <w:i/>
                <w:szCs w:val="20"/>
              </w:rPr>
              <w:t>OUTFIT MNSQ</w:t>
            </w:r>
          </w:p>
        </w:tc>
        <w:tc>
          <w:tcPr>
            <w:tcW w:w="1559" w:type="dxa"/>
          </w:tcPr>
          <w:p w14:paraId="532FB255" w14:textId="77777777" w:rsidR="007E0ABC" w:rsidRDefault="007E0ABC">
            <w:pPr>
              <w:spacing w:line="276" w:lineRule="auto"/>
              <w:rPr>
                <w:szCs w:val="20"/>
              </w:rPr>
            </w:pPr>
            <w:r>
              <w:rPr>
                <w:szCs w:val="20"/>
              </w:rPr>
              <w:t>0.99</w:t>
            </w:r>
          </w:p>
        </w:tc>
        <w:tc>
          <w:tcPr>
            <w:tcW w:w="2041" w:type="dxa"/>
          </w:tcPr>
          <w:p w14:paraId="67D93746" w14:textId="77777777" w:rsidR="007E0ABC" w:rsidRDefault="007E0ABC">
            <w:pPr>
              <w:spacing w:line="276" w:lineRule="auto"/>
              <w:rPr>
                <w:szCs w:val="20"/>
              </w:rPr>
            </w:pPr>
          </w:p>
        </w:tc>
      </w:tr>
      <w:tr w:rsidR="007E0ABC" w14:paraId="000426A1" w14:textId="77777777">
        <w:trPr>
          <w:trHeight w:val="220"/>
        </w:trPr>
        <w:tc>
          <w:tcPr>
            <w:tcW w:w="1555" w:type="dxa"/>
            <w:vMerge/>
          </w:tcPr>
          <w:p w14:paraId="5ED0171E" w14:textId="77777777" w:rsidR="007E0ABC" w:rsidRDefault="007E0ABC">
            <w:pPr>
              <w:widowControl w:val="0"/>
            </w:pPr>
          </w:p>
        </w:tc>
        <w:tc>
          <w:tcPr>
            <w:tcW w:w="1559" w:type="dxa"/>
          </w:tcPr>
          <w:p w14:paraId="7013C5A5" w14:textId="77777777" w:rsidR="007E0ABC" w:rsidRDefault="007E0ABC">
            <w:pPr>
              <w:spacing w:line="276" w:lineRule="auto"/>
              <w:rPr>
                <w:i/>
                <w:szCs w:val="20"/>
              </w:rPr>
            </w:pPr>
            <w:r>
              <w:rPr>
                <w:i/>
                <w:szCs w:val="20"/>
              </w:rPr>
              <w:t>OUTFIT ZSTD</w:t>
            </w:r>
          </w:p>
        </w:tc>
        <w:tc>
          <w:tcPr>
            <w:tcW w:w="1559" w:type="dxa"/>
          </w:tcPr>
          <w:p w14:paraId="41922C6C" w14:textId="77777777" w:rsidR="007E0ABC" w:rsidRDefault="007E0ABC">
            <w:pPr>
              <w:spacing w:line="276" w:lineRule="auto"/>
              <w:rPr>
                <w:szCs w:val="20"/>
              </w:rPr>
            </w:pPr>
            <w:r>
              <w:rPr>
                <w:szCs w:val="20"/>
              </w:rPr>
              <w:t>-0.02</w:t>
            </w:r>
          </w:p>
        </w:tc>
        <w:tc>
          <w:tcPr>
            <w:tcW w:w="2041" w:type="dxa"/>
          </w:tcPr>
          <w:p w14:paraId="1FBF1137" w14:textId="77777777" w:rsidR="007E0ABC" w:rsidRDefault="007E0ABC">
            <w:pPr>
              <w:spacing w:line="276" w:lineRule="auto"/>
              <w:rPr>
                <w:szCs w:val="20"/>
              </w:rPr>
            </w:pPr>
          </w:p>
        </w:tc>
      </w:tr>
    </w:tbl>
    <w:p w14:paraId="3A4A9214" w14:textId="77777777" w:rsidR="007E0ABC" w:rsidRDefault="007E0ABC"/>
    <w:p w14:paraId="59D2EDD2" w14:textId="77777777" w:rsidR="007E0ABC" w:rsidRDefault="007E0ABC"/>
    <w:p w14:paraId="0BFA6FDA" w14:textId="77777777" w:rsidR="007E0ABC" w:rsidRPr="008E7F2E" w:rsidRDefault="007E0ABC" w:rsidP="007E0ABC">
      <w:pPr>
        <w:pStyle w:val="ListParagraph"/>
        <w:numPr>
          <w:ilvl w:val="0"/>
          <w:numId w:val="212"/>
        </w:numPr>
        <w:spacing w:line="240" w:lineRule="auto"/>
        <w:jc w:val="left"/>
        <w:rPr>
          <w:sz w:val="21"/>
          <w:szCs w:val="28"/>
        </w:rPr>
      </w:pPr>
      <w:r w:rsidRPr="008E7F2E">
        <w:rPr>
          <w:sz w:val="21"/>
          <w:szCs w:val="28"/>
        </w:rPr>
        <w:t>Item fit and person fit</w:t>
      </w:r>
    </w:p>
    <w:p w14:paraId="21A1BA84" w14:textId="77777777" w:rsidR="007E0ABC" w:rsidRDefault="007E0ABC">
      <w:pPr>
        <w:rPr>
          <w:u w:val="single"/>
        </w:rPr>
      </w:pPr>
    </w:p>
    <w:p w14:paraId="547D15E5" w14:textId="77777777" w:rsidR="007E0ABC" w:rsidRDefault="007E0ABC">
      <w:pPr>
        <w:rPr>
          <w:u w:val="single"/>
        </w:rPr>
      </w:pP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080"/>
        <w:gridCol w:w="1860"/>
        <w:gridCol w:w="1215"/>
        <w:gridCol w:w="1455"/>
        <w:gridCol w:w="2580"/>
      </w:tblGrid>
      <w:tr w:rsidR="007E0ABC" w14:paraId="56428DE4" w14:textId="77777777">
        <w:tc>
          <w:tcPr>
            <w:tcW w:w="1290" w:type="dxa"/>
          </w:tcPr>
          <w:p w14:paraId="5DBDD804" w14:textId="77777777" w:rsidR="007E0ABC" w:rsidRDefault="007E0ABC">
            <w:pPr>
              <w:rPr>
                <w:b/>
                <w:u w:val="single"/>
              </w:rPr>
            </w:pPr>
            <w:r>
              <w:rPr>
                <w:b/>
              </w:rPr>
              <w:t>Model</w:t>
            </w:r>
          </w:p>
        </w:tc>
        <w:tc>
          <w:tcPr>
            <w:tcW w:w="1080" w:type="dxa"/>
          </w:tcPr>
          <w:p w14:paraId="57150BE3" w14:textId="77777777" w:rsidR="007E0ABC" w:rsidRDefault="007E0ABC">
            <w:pPr>
              <w:rPr>
                <w:b/>
              </w:rPr>
            </w:pPr>
            <w:r>
              <w:rPr>
                <w:b/>
              </w:rPr>
              <w:t>Statistic</w:t>
            </w:r>
          </w:p>
        </w:tc>
        <w:tc>
          <w:tcPr>
            <w:tcW w:w="1860" w:type="dxa"/>
          </w:tcPr>
          <w:p w14:paraId="5D75D5A9" w14:textId="77777777" w:rsidR="007E0ABC" w:rsidRDefault="007E0ABC">
            <w:pPr>
              <w:rPr>
                <w:b/>
              </w:rPr>
            </w:pPr>
            <w:r>
              <w:rPr>
                <w:b/>
              </w:rPr>
              <w:t>Flagged items/persons</w:t>
            </w:r>
          </w:p>
        </w:tc>
        <w:tc>
          <w:tcPr>
            <w:tcW w:w="1215" w:type="dxa"/>
          </w:tcPr>
          <w:p w14:paraId="0C929834" w14:textId="77777777" w:rsidR="007E0ABC" w:rsidRDefault="007E0ABC">
            <w:pPr>
              <w:rPr>
                <w:b/>
              </w:rPr>
            </w:pPr>
            <w:r>
              <w:rPr>
                <w:b/>
              </w:rPr>
              <w:t>Infit/ ZSTD</w:t>
            </w:r>
          </w:p>
        </w:tc>
        <w:tc>
          <w:tcPr>
            <w:tcW w:w="1455" w:type="dxa"/>
          </w:tcPr>
          <w:p w14:paraId="6EE5B444" w14:textId="77777777" w:rsidR="007E0ABC" w:rsidRDefault="007E0ABC">
            <w:pPr>
              <w:rPr>
                <w:b/>
              </w:rPr>
            </w:pPr>
            <w:r>
              <w:rPr>
                <w:b/>
              </w:rPr>
              <w:t>Outfit/ZSTD</w:t>
            </w:r>
          </w:p>
        </w:tc>
        <w:tc>
          <w:tcPr>
            <w:tcW w:w="2580" w:type="dxa"/>
          </w:tcPr>
          <w:p w14:paraId="7D418970" w14:textId="77777777" w:rsidR="007E0ABC" w:rsidRDefault="007E0ABC">
            <w:pPr>
              <w:rPr>
                <w:b/>
              </w:rPr>
            </w:pPr>
            <w:r>
              <w:rPr>
                <w:b/>
              </w:rPr>
              <w:t>Comment/Decision</w:t>
            </w:r>
          </w:p>
        </w:tc>
      </w:tr>
      <w:tr w:rsidR="007E0ABC" w14:paraId="6843ED69" w14:textId="77777777">
        <w:tc>
          <w:tcPr>
            <w:tcW w:w="1290" w:type="dxa"/>
          </w:tcPr>
          <w:p w14:paraId="524A3593" w14:textId="77777777" w:rsidR="007E0ABC" w:rsidRDefault="007E0ABC">
            <w:pPr>
              <w:rPr>
                <w:b/>
                <w:u w:val="single"/>
              </w:rPr>
            </w:pPr>
            <w:r>
              <w:rPr>
                <w:b/>
                <w:i/>
              </w:rPr>
              <w:t>Original model</w:t>
            </w:r>
          </w:p>
        </w:tc>
        <w:tc>
          <w:tcPr>
            <w:tcW w:w="1080" w:type="dxa"/>
          </w:tcPr>
          <w:p w14:paraId="03F628C4" w14:textId="77777777" w:rsidR="007E0ABC" w:rsidRDefault="007E0ABC">
            <w:pPr>
              <w:rPr>
                <w:u w:val="single"/>
              </w:rPr>
            </w:pPr>
            <w:r>
              <w:rPr>
                <w:i/>
              </w:rPr>
              <w:t>Item fit</w:t>
            </w:r>
          </w:p>
        </w:tc>
        <w:tc>
          <w:tcPr>
            <w:tcW w:w="1860" w:type="dxa"/>
          </w:tcPr>
          <w:p w14:paraId="15868AF2" w14:textId="77777777" w:rsidR="007E0ABC" w:rsidRDefault="007E0ABC">
            <w:pPr>
              <w:jc w:val="center"/>
            </w:pPr>
            <w:r>
              <w:t>35</w:t>
            </w:r>
          </w:p>
        </w:tc>
        <w:tc>
          <w:tcPr>
            <w:tcW w:w="1215" w:type="dxa"/>
          </w:tcPr>
          <w:p w14:paraId="658D320A" w14:textId="77777777" w:rsidR="007E0ABC" w:rsidRDefault="007E0ABC">
            <w:pPr>
              <w:jc w:val="center"/>
            </w:pPr>
            <w:r>
              <w:t>1.13/2.04</w:t>
            </w:r>
          </w:p>
        </w:tc>
        <w:tc>
          <w:tcPr>
            <w:tcW w:w="1455" w:type="dxa"/>
          </w:tcPr>
          <w:p w14:paraId="74C59873" w14:textId="77777777" w:rsidR="007E0ABC" w:rsidRDefault="007E0ABC">
            <w:pPr>
              <w:jc w:val="center"/>
            </w:pPr>
            <w:r>
              <w:t>1.25/3.12</w:t>
            </w:r>
          </w:p>
        </w:tc>
        <w:tc>
          <w:tcPr>
            <w:tcW w:w="2580" w:type="dxa"/>
          </w:tcPr>
          <w:p w14:paraId="5B76666B" w14:textId="77777777" w:rsidR="007E0ABC" w:rsidRDefault="007E0ABC">
            <w:pPr>
              <w:jc w:val="center"/>
              <w:rPr>
                <w:sz w:val="18"/>
                <w:szCs w:val="18"/>
              </w:rPr>
            </w:pPr>
          </w:p>
        </w:tc>
      </w:tr>
      <w:tr w:rsidR="007E0ABC" w14:paraId="791F1D75" w14:textId="77777777">
        <w:tc>
          <w:tcPr>
            <w:tcW w:w="1290" w:type="dxa"/>
          </w:tcPr>
          <w:p w14:paraId="10F7CD7C" w14:textId="77777777" w:rsidR="007E0ABC" w:rsidRDefault="007E0ABC">
            <w:pPr>
              <w:rPr>
                <w:b/>
                <w:u w:val="single"/>
              </w:rPr>
            </w:pPr>
            <w:r>
              <w:rPr>
                <w:b/>
                <w:i/>
                <w:sz w:val="18"/>
                <w:szCs w:val="18"/>
              </w:rPr>
              <w:t>M1 – Collapsed categories 1&amp;2, 3&amp;4</w:t>
            </w:r>
          </w:p>
        </w:tc>
        <w:tc>
          <w:tcPr>
            <w:tcW w:w="1080" w:type="dxa"/>
          </w:tcPr>
          <w:p w14:paraId="0D92B696" w14:textId="77777777" w:rsidR="007E0ABC" w:rsidRDefault="007E0ABC">
            <w:pPr>
              <w:rPr>
                <w:i/>
              </w:rPr>
            </w:pPr>
            <w:r>
              <w:rPr>
                <w:i/>
              </w:rPr>
              <w:t>Item fit</w:t>
            </w:r>
          </w:p>
        </w:tc>
        <w:tc>
          <w:tcPr>
            <w:tcW w:w="1860" w:type="dxa"/>
          </w:tcPr>
          <w:p w14:paraId="5073563C" w14:textId="77777777" w:rsidR="007E0ABC" w:rsidRDefault="007E0ABC">
            <w:pPr>
              <w:jc w:val="center"/>
            </w:pPr>
            <w:r>
              <w:t>none</w:t>
            </w:r>
          </w:p>
        </w:tc>
        <w:tc>
          <w:tcPr>
            <w:tcW w:w="1215" w:type="dxa"/>
          </w:tcPr>
          <w:p w14:paraId="73C0090C" w14:textId="77777777" w:rsidR="007E0ABC" w:rsidRDefault="007E0ABC">
            <w:pPr>
              <w:jc w:val="center"/>
            </w:pPr>
          </w:p>
        </w:tc>
        <w:tc>
          <w:tcPr>
            <w:tcW w:w="1455" w:type="dxa"/>
          </w:tcPr>
          <w:p w14:paraId="2927F59D" w14:textId="77777777" w:rsidR="007E0ABC" w:rsidRDefault="007E0ABC">
            <w:pPr>
              <w:jc w:val="center"/>
            </w:pPr>
          </w:p>
        </w:tc>
        <w:tc>
          <w:tcPr>
            <w:tcW w:w="2580" w:type="dxa"/>
          </w:tcPr>
          <w:p w14:paraId="7D06635F" w14:textId="77777777" w:rsidR="007E0ABC" w:rsidRDefault="007E0ABC">
            <w:pPr>
              <w:jc w:val="center"/>
              <w:rPr>
                <w:sz w:val="18"/>
                <w:szCs w:val="18"/>
              </w:rPr>
            </w:pPr>
          </w:p>
        </w:tc>
      </w:tr>
    </w:tbl>
    <w:p w14:paraId="39BA0BB6" w14:textId="77777777" w:rsidR="007E0ABC" w:rsidRDefault="007E0ABC">
      <w:pPr>
        <w:rPr>
          <w:b/>
        </w:rPr>
      </w:pPr>
    </w:p>
    <w:p w14:paraId="316028D9" w14:textId="77777777" w:rsidR="007E0ABC" w:rsidRPr="008E7F2E" w:rsidRDefault="007E0ABC" w:rsidP="007E0ABC">
      <w:pPr>
        <w:pStyle w:val="ListParagraph"/>
        <w:numPr>
          <w:ilvl w:val="0"/>
          <w:numId w:val="212"/>
        </w:numPr>
        <w:spacing w:line="240" w:lineRule="auto"/>
        <w:jc w:val="left"/>
        <w:rPr>
          <w:bCs/>
          <w:szCs w:val="20"/>
        </w:rPr>
      </w:pPr>
      <w:r w:rsidRPr="008E7F2E">
        <w:rPr>
          <w:bCs/>
          <w:szCs w:val="20"/>
        </w:rPr>
        <w:t xml:space="preserve">Misfitting persons:  </w:t>
      </w:r>
    </w:p>
    <w:p w14:paraId="510BDD9B" w14:textId="77777777" w:rsidR="007E0ABC" w:rsidRPr="00461BB1" w:rsidRDefault="007E0ABC" w:rsidP="00C82471">
      <w:pPr>
        <w:rPr>
          <w:bCs/>
          <w:szCs w:val="20"/>
        </w:rPr>
      </w:pPr>
    </w:p>
    <w:p w14:paraId="4F4155CE" w14:textId="77777777" w:rsidR="007E0ABC" w:rsidRDefault="007E0ABC" w:rsidP="00C82471">
      <w:pPr>
        <w:spacing w:line="276" w:lineRule="auto"/>
        <w:rPr>
          <w:szCs w:val="20"/>
        </w:rPr>
      </w:pPr>
      <w:r w:rsidRPr="00EE4757">
        <w:rPr>
          <w:b/>
          <w:szCs w:val="20"/>
        </w:rPr>
        <w:t>Original Model:</w:t>
      </w:r>
      <w:r>
        <w:rPr>
          <w:bCs/>
          <w:szCs w:val="20"/>
        </w:rPr>
        <w:t xml:space="preserve"> </w:t>
      </w:r>
      <w:r w:rsidRPr="00BD6250">
        <w:rPr>
          <w:szCs w:val="20"/>
        </w:rPr>
        <w:t xml:space="preserve">Infit MNSQ &gt;1.6: N = </w:t>
      </w:r>
      <w:r>
        <w:rPr>
          <w:szCs w:val="20"/>
        </w:rPr>
        <w:t>61</w:t>
      </w:r>
      <w:r w:rsidRPr="00BD6250">
        <w:rPr>
          <w:szCs w:val="20"/>
        </w:rPr>
        <w:t xml:space="preserve"> persons</w:t>
      </w:r>
    </w:p>
    <w:p w14:paraId="18859927" w14:textId="77777777" w:rsidR="007E0ABC" w:rsidRPr="00BD6250" w:rsidRDefault="007E0ABC" w:rsidP="00C82471">
      <w:pPr>
        <w:spacing w:line="276" w:lineRule="auto"/>
        <w:rPr>
          <w:szCs w:val="20"/>
        </w:rPr>
      </w:pPr>
      <w:r w:rsidRPr="00BD6250">
        <w:rPr>
          <w:szCs w:val="20"/>
        </w:rPr>
        <w:t xml:space="preserve">Infit MNSQ &lt; 0.4: N = </w:t>
      </w:r>
      <w:r>
        <w:rPr>
          <w:szCs w:val="20"/>
        </w:rPr>
        <w:t>5</w:t>
      </w:r>
      <w:r w:rsidRPr="00BD6250">
        <w:rPr>
          <w:szCs w:val="20"/>
        </w:rPr>
        <w:t>3 persons</w:t>
      </w:r>
    </w:p>
    <w:p w14:paraId="5851346C" w14:textId="77777777" w:rsidR="007E0ABC" w:rsidRPr="00EE4757" w:rsidRDefault="007E0ABC" w:rsidP="00C82471">
      <w:pPr>
        <w:spacing w:line="276" w:lineRule="auto"/>
        <w:rPr>
          <w:szCs w:val="20"/>
        </w:rPr>
      </w:pPr>
      <w:r w:rsidRPr="0098395C">
        <w:rPr>
          <w:b/>
          <w:szCs w:val="20"/>
        </w:rPr>
        <w:t>M1</w:t>
      </w:r>
      <w:r w:rsidRPr="00EE4757">
        <w:rPr>
          <w:b/>
          <w:szCs w:val="20"/>
        </w:rPr>
        <w:t xml:space="preserve">:  </w:t>
      </w:r>
      <w:r w:rsidRPr="00EE4757">
        <w:rPr>
          <w:szCs w:val="20"/>
        </w:rPr>
        <w:t xml:space="preserve">Infit MNSQ &gt;1.6: N = </w:t>
      </w:r>
      <w:r>
        <w:rPr>
          <w:szCs w:val="20"/>
        </w:rPr>
        <w:t>51</w:t>
      </w:r>
      <w:r w:rsidRPr="00EE4757">
        <w:rPr>
          <w:szCs w:val="20"/>
        </w:rPr>
        <w:t xml:space="preserve"> persons</w:t>
      </w:r>
    </w:p>
    <w:p w14:paraId="3E550979" w14:textId="77777777" w:rsidR="007E0ABC" w:rsidRPr="00EE4757" w:rsidRDefault="007E0ABC" w:rsidP="00C82471">
      <w:pPr>
        <w:spacing w:line="276" w:lineRule="auto"/>
        <w:rPr>
          <w:szCs w:val="20"/>
        </w:rPr>
      </w:pPr>
      <w:r w:rsidRPr="00EE4757">
        <w:rPr>
          <w:szCs w:val="20"/>
        </w:rPr>
        <w:t>Infit MNSQ &lt; 0.4: N = 2</w:t>
      </w:r>
      <w:r>
        <w:rPr>
          <w:szCs w:val="20"/>
        </w:rPr>
        <w:t>5</w:t>
      </w:r>
      <w:r w:rsidRPr="00EE4757">
        <w:rPr>
          <w:szCs w:val="20"/>
        </w:rPr>
        <w:t xml:space="preserve"> persons</w:t>
      </w:r>
    </w:p>
    <w:p w14:paraId="5F59328F" w14:textId="77777777" w:rsidR="007E0ABC" w:rsidRPr="008E7F2E" w:rsidRDefault="007E0ABC" w:rsidP="007E0ABC">
      <w:pPr>
        <w:pStyle w:val="ListParagraph"/>
        <w:numPr>
          <w:ilvl w:val="0"/>
          <w:numId w:val="212"/>
        </w:numPr>
        <w:spacing w:before="240" w:after="240" w:line="240" w:lineRule="auto"/>
        <w:jc w:val="left"/>
      </w:pPr>
      <w:r w:rsidRPr="008E7F2E">
        <w:rPr>
          <w:rFonts w:eastAsia="Century Gothic" w:cs="Century Gothic"/>
          <w:color w:val="000000"/>
          <w:sz w:val="22"/>
          <w:szCs w:val="22"/>
        </w:rPr>
        <w:t>Uni-dimensionality</w:t>
      </w:r>
    </w:p>
    <w:tbl>
      <w:tblPr>
        <w:tblW w:w="9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132"/>
        <w:gridCol w:w="1267"/>
        <w:gridCol w:w="1187"/>
        <w:gridCol w:w="1203"/>
        <w:gridCol w:w="994"/>
        <w:gridCol w:w="1971"/>
      </w:tblGrid>
      <w:tr w:rsidR="007E0ABC" w14:paraId="28D0FA73" w14:textId="77777777">
        <w:trPr>
          <w:trHeight w:val="790"/>
        </w:trPr>
        <w:tc>
          <w:tcPr>
            <w:tcW w:w="1687" w:type="dxa"/>
          </w:tcPr>
          <w:p w14:paraId="7BF57C5A" w14:textId="77777777" w:rsidR="007E0ABC" w:rsidRDefault="007E0ABC">
            <w:pPr>
              <w:rPr>
                <w:sz w:val="18"/>
                <w:szCs w:val="18"/>
                <w:u w:val="single"/>
              </w:rPr>
            </w:pPr>
            <w:r>
              <w:rPr>
                <w:b/>
                <w:sz w:val="18"/>
                <w:szCs w:val="18"/>
              </w:rPr>
              <w:t>Model</w:t>
            </w:r>
          </w:p>
        </w:tc>
        <w:tc>
          <w:tcPr>
            <w:tcW w:w="1132" w:type="dxa"/>
          </w:tcPr>
          <w:p w14:paraId="13B071D3" w14:textId="77777777" w:rsidR="007E0ABC" w:rsidRDefault="007E0ABC">
            <w:pPr>
              <w:rPr>
                <w:b/>
                <w:sz w:val="18"/>
                <w:szCs w:val="18"/>
              </w:rPr>
            </w:pPr>
            <w:r>
              <w:rPr>
                <w:b/>
                <w:sz w:val="18"/>
                <w:szCs w:val="18"/>
              </w:rPr>
              <w:t>Variance explained by model</w:t>
            </w:r>
          </w:p>
        </w:tc>
        <w:tc>
          <w:tcPr>
            <w:tcW w:w="1267" w:type="dxa"/>
          </w:tcPr>
          <w:p w14:paraId="730B5922" w14:textId="77777777" w:rsidR="007E0ABC" w:rsidRDefault="007E0ABC">
            <w:pPr>
              <w:rPr>
                <w:b/>
                <w:sz w:val="18"/>
                <w:szCs w:val="18"/>
              </w:rPr>
            </w:pPr>
            <w:r>
              <w:rPr>
                <w:b/>
                <w:sz w:val="18"/>
                <w:szCs w:val="18"/>
              </w:rPr>
              <w:t>1</w:t>
            </w:r>
            <w:r>
              <w:rPr>
                <w:b/>
                <w:sz w:val="18"/>
                <w:szCs w:val="18"/>
                <w:vertAlign w:val="superscript"/>
              </w:rPr>
              <w:t>st</w:t>
            </w:r>
            <w:r>
              <w:rPr>
                <w:b/>
                <w:sz w:val="18"/>
                <w:szCs w:val="18"/>
              </w:rPr>
              <w:t xml:space="preserve"> contrast eigenvalue</w:t>
            </w:r>
          </w:p>
        </w:tc>
        <w:tc>
          <w:tcPr>
            <w:tcW w:w="1187" w:type="dxa"/>
          </w:tcPr>
          <w:p w14:paraId="15675102" w14:textId="77777777" w:rsidR="007E0ABC" w:rsidRDefault="007E0ABC">
            <w:pPr>
              <w:rPr>
                <w:b/>
                <w:sz w:val="18"/>
                <w:szCs w:val="18"/>
              </w:rPr>
            </w:pPr>
            <w:r>
              <w:rPr>
                <w:b/>
                <w:sz w:val="18"/>
                <w:szCs w:val="18"/>
              </w:rPr>
              <w:t>1</w:t>
            </w:r>
            <w:r>
              <w:rPr>
                <w:b/>
                <w:sz w:val="18"/>
                <w:szCs w:val="18"/>
                <w:vertAlign w:val="superscript"/>
              </w:rPr>
              <w:t>st</w:t>
            </w:r>
            <w:r>
              <w:rPr>
                <w:b/>
                <w:sz w:val="18"/>
                <w:szCs w:val="18"/>
              </w:rPr>
              <w:t xml:space="preserve"> contrast variance</w:t>
            </w:r>
          </w:p>
        </w:tc>
        <w:tc>
          <w:tcPr>
            <w:tcW w:w="1203" w:type="dxa"/>
          </w:tcPr>
          <w:p w14:paraId="379B83AE" w14:textId="77777777" w:rsidR="007E0ABC" w:rsidRDefault="007E0ABC">
            <w:pPr>
              <w:rPr>
                <w:b/>
                <w:sz w:val="18"/>
                <w:szCs w:val="18"/>
              </w:rPr>
            </w:pPr>
            <w:r>
              <w:rPr>
                <w:b/>
                <w:sz w:val="18"/>
                <w:szCs w:val="18"/>
              </w:rPr>
              <w:t>2nd contrast eigenvalue</w:t>
            </w:r>
          </w:p>
        </w:tc>
        <w:tc>
          <w:tcPr>
            <w:tcW w:w="994" w:type="dxa"/>
          </w:tcPr>
          <w:p w14:paraId="64178EC3" w14:textId="77777777" w:rsidR="007E0ABC" w:rsidRDefault="007E0ABC">
            <w:pPr>
              <w:rPr>
                <w:b/>
                <w:sz w:val="18"/>
                <w:szCs w:val="18"/>
              </w:rPr>
            </w:pPr>
            <w:r>
              <w:rPr>
                <w:b/>
                <w:sz w:val="18"/>
                <w:szCs w:val="18"/>
              </w:rPr>
              <w:t>2</w:t>
            </w:r>
            <w:r>
              <w:rPr>
                <w:b/>
                <w:sz w:val="18"/>
                <w:szCs w:val="18"/>
                <w:vertAlign w:val="superscript"/>
              </w:rPr>
              <w:t>nd</w:t>
            </w:r>
            <w:r>
              <w:rPr>
                <w:b/>
                <w:sz w:val="18"/>
                <w:szCs w:val="18"/>
              </w:rPr>
              <w:t xml:space="preserve"> contrast variance</w:t>
            </w:r>
          </w:p>
        </w:tc>
        <w:tc>
          <w:tcPr>
            <w:tcW w:w="1971" w:type="dxa"/>
          </w:tcPr>
          <w:p w14:paraId="76CCC5E6" w14:textId="77777777" w:rsidR="007E0ABC" w:rsidRDefault="007E0ABC">
            <w:pPr>
              <w:rPr>
                <w:b/>
                <w:sz w:val="18"/>
                <w:szCs w:val="18"/>
              </w:rPr>
            </w:pPr>
            <w:r>
              <w:rPr>
                <w:b/>
                <w:sz w:val="18"/>
                <w:szCs w:val="18"/>
              </w:rPr>
              <w:t>Comment/decision</w:t>
            </w:r>
          </w:p>
        </w:tc>
      </w:tr>
      <w:tr w:rsidR="007E0ABC" w14:paraId="65D408DC" w14:textId="77777777">
        <w:tc>
          <w:tcPr>
            <w:tcW w:w="1687" w:type="dxa"/>
          </w:tcPr>
          <w:p w14:paraId="7424C4D9" w14:textId="77777777" w:rsidR="007E0ABC" w:rsidRDefault="007E0ABC">
            <w:pPr>
              <w:rPr>
                <w:u w:val="single"/>
              </w:rPr>
            </w:pPr>
            <w:r>
              <w:rPr>
                <w:i/>
              </w:rPr>
              <w:t>Original model</w:t>
            </w:r>
          </w:p>
        </w:tc>
        <w:tc>
          <w:tcPr>
            <w:tcW w:w="1132" w:type="dxa"/>
          </w:tcPr>
          <w:p w14:paraId="41A0A614" w14:textId="77777777" w:rsidR="007E0ABC" w:rsidRDefault="007E0ABC">
            <w:pPr>
              <w:rPr>
                <w:i/>
              </w:rPr>
            </w:pPr>
            <w:r>
              <w:rPr>
                <w:i/>
              </w:rPr>
              <w:t>47.0%</w:t>
            </w:r>
          </w:p>
        </w:tc>
        <w:tc>
          <w:tcPr>
            <w:tcW w:w="1267" w:type="dxa"/>
          </w:tcPr>
          <w:p w14:paraId="4B1020CF" w14:textId="77777777" w:rsidR="007E0ABC" w:rsidRDefault="007E0ABC">
            <w:pPr>
              <w:jc w:val="center"/>
            </w:pPr>
            <w:r>
              <w:t>1.6</w:t>
            </w:r>
          </w:p>
        </w:tc>
        <w:tc>
          <w:tcPr>
            <w:tcW w:w="1187" w:type="dxa"/>
          </w:tcPr>
          <w:p w14:paraId="44C79358" w14:textId="77777777" w:rsidR="007E0ABC" w:rsidRDefault="007E0ABC">
            <w:pPr>
              <w:jc w:val="center"/>
            </w:pPr>
            <w:r>
              <w:t>14.5%</w:t>
            </w:r>
          </w:p>
        </w:tc>
        <w:tc>
          <w:tcPr>
            <w:tcW w:w="1203" w:type="dxa"/>
          </w:tcPr>
          <w:p w14:paraId="376C7142" w14:textId="77777777" w:rsidR="007E0ABC" w:rsidRDefault="007E0ABC">
            <w:pPr>
              <w:jc w:val="center"/>
            </w:pPr>
            <w:r>
              <w:t>1.4</w:t>
            </w:r>
          </w:p>
        </w:tc>
        <w:tc>
          <w:tcPr>
            <w:tcW w:w="994" w:type="dxa"/>
          </w:tcPr>
          <w:p w14:paraId="5641C618" w14:textId="77777777" w:rsidR="007E0ABC" w:rsidRDefault="007E0ABC">
            <w:pPr>
              <w:jc w:val="center"/>
            </w:pPr>
            <w:r>
              <w:t>12.1</w:t>
            </w:r>
          </w:p>
        </w:tc>
        <w:tc>
          <w:tcPr>
            <w:tcW w:w="1971" w:type="dxa"/>
          </w:tcPr>
          <w:p w14:paraId="34596DBF" w14:textId="77777777" w:rsidR="007E0ABC" w:rsidRDefault="007E0ABC">
            <w:pPr>
              <w:jc w:val="center"/>
            </w:pPr>
            <w:r>
              <w:rPr>
                <w:sz w:val="16"/>
                <w:szCs w:val="16"/>
              </w:rPr>
              <w:t>Scale is unidimensional. 2</w:t>
            </w:r>
            <w:r>
              <w:rPr>
                <w:sz w:val="16"/>
                <w:szCs w:val="16"/>
                <w:vertAlign w:val="superscript"/>
              </w:rPr>
              <w:t>nd</w:t>
            </w:r>
            <w:r>
              <w:rPr>
                <w:sz w:val="16"/>
                <w:szCs w:val="16"/>
              </w:rPr>
              <w:t xml:space="preserve"> dimension interpreted as random noise</w:t>
            </w:r>
          </w:p>
        </w:tc>
      </w:tr>
      <w:tr w:rsidR="007E0ABC" w14:paraId="5E98F62C" w14:textId="77777777">
        <w:tc>
          <w:tcPr>
            <w:tcW w:w="1687" w:type="dxa"/>
          </w:tcPr>
          <w:p w14:paraId="1264BCE9" w14:textId="77777777" w:rsidR="007E0ABC" w:rsidRDefault="007E0ABC">
            <w:pPr>
              <w:rPr>
                <w:i/>
              </w:rPr>
            </w:pPr>
            <w:r>
              <w:rPr>
                <w:b/>
                <w:i/>
                <w:sz w:val="18"/>
                <w:szCs w:val="18"/>
              </w:rPr>
              <w:t>M1 – Collapsed categories 1&amp;2, 3&amp;4</w:t>
            </w:r>
          </w:p>
        </w:tc>
        <w:tc>
          <w:tcPr>
            <w:tcW w:w="1132" w:type="dxa"/>
          </w:tcPr>
          <w:p w14:paraId="3DAFFA15" w14:textId="77777777" w:rsidR="007E0ABC" w:rsidRDefault="007E0ABC">
            <w:pPr>
              <w:rPr>
                <w:i/>
              </w:rPr>
            </w:pPr>
            <w:r>
              <w:rPr>
                <w:i/>
              </w:rPr>
              <w:t>46.5%</w:t>
            </w:r>
          </w:p>
        </w:tc>
        <w:tc>
          <w:tcPr>
            <w:tcW w:w="1267" w:type="dxa"/>
          </w:tcPr>
          <w:p w14:paraId="2319BD64" w14:textId="77777777" w:rsidR="007E0ABC" w:rsidRDefault="007E0ABC">
            <w:pPr>
              <w:jc w:val="center"/>
            </w:pPr>
            <w:r>
              <w:t>1.7</w:t>
            </w:r>
          </w:p>
        </w:tc>
        <w:tc>
          <w:tcPr>
            <w:tcW w:w="1187" w:type="dxa"/>
          </w:tcPr>
          <w:p w14:paraId="2D835CED" w14:textId="77777777" w:rsidR="007E0ABC" w:rsidRDefault="007E0ABC">
            <w:pPr>
              <w:jc w:val="center"/>
            </w:pPr>
            <w:r>
              <w:t>15.2%</w:t>
            </w:r>
          </w:p>
        </w:tc>
        <w:tc>
          <w:tcPr>
            <w:tcW w:w="1203" w:type="dxa"/>
          </w:tcPr>
          <w:p w14:paraId="2390C166" w14:textId="77777777" w:rsidR="007E0ABC" w:rsidRDefault="007E0ABC">
            <w:pPr>
              <w:jc w:val="center"/>
            </w:pPr>
            <w:r>
              <w:t>1.3</w:t>
            </w:r>
          </w:p>
        </w:tc>
        <w:tc>
          <w:tcPr>
            <w:tcW w:w="994" w:type="dxa"/>
          </w:tcPr>
          <w:p w14:paraId="03581C9B" w14:textId="77777777" w:rsidR="007E0ABC" w:rsidRDefault="007E0ABC">
            <w:pPr>
              <w:jc w:val="center"/>
            </w:pPr>
            <w:r>
              <w:t>11.7</w:t>
            </w:r>
          </w:p>
        </w:tc>
        <w:tc>
          <w:tcPr>
            <w:tcW w:w="1971" w:type="dxa"/>
          </w:tcPr>
          <w:p w14:paraId="664E22C6" w14:textId="77777777" w:rsidR="007E0ABC" w:rsidRDefault="007E0ABC">
            <w:pPr>
              <w:jc w:val="center"/>
              <w:rPr>
                <w:sz w:val="16"/>
                <w:szCs w:val="16"/>
              </w:rPr>
            </w:pPr>
          </w:p>
        </w:tc>
      </w:tr>
    </w:tbl>
    <w:p w14:paraId="2D28D392" w14:textId="77777777" w:rsidR="007E0ABC" w:rsidRDefault="007E0ABC"/>
    <w:p w14:paraId="12495CDC" w14:textId="77777777" w:rsidR="007E0ABC" w:rsidRPr="008E7F2E" w:rsidRDefault="007E0ABC" w:rsidP="007E0ABC">
      <w:pPr>
        <w:pStyle w:val="ListParagraph"/>
        <w:numPr>
          <w:ilvl w:val="0"/>
          <w:numId w:val="212"/>
        </w:numPr>
        <w:pBdr>
          <w:top w:val="nil"/>
          <w:left w:val="nil"/>
          <w:bottom w:val="nil"/>
          <w:right w:val="nil"/>
          <w:between w:val="nil"/>
        </w:pBdr>
        <w:spacing w:after="160" w:line="259" w:lineRule="auto"/>
        <w:rPr>
          <w:color w:val="000000"/>
        </w:rPr>
      </w:pPr>
      <w:r w:rsidRPr="008E7F2E">
        <w:rPr>
          <w:rFonts w:eastAsia="Century Gothic" w:cs="Century Gothic"/>
          <w:color w:val="000000"/>
          <w:sz w:val="22"/>
          <w:szCs w:val="22"/>
        </w:rPr>
        <w:t>Local independence</w:t>
      </w:r>
    </w:p>
    <w:tbl>
      <w:tblPr>
        <w:tblW w:w="7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2096"/>
      </w:tblGrid>
      <w:tr w:rsidR="007E0ABC" w14:paraId="645A2B71" w14:textId="77777777">
        <w:tc>
          <w:tcPr>
            <w:tcW w:w="2263" w:type="dxa"/>
          </w:tcPr>
          <w:p w14:paraId="237C2F14" w14:textId="77777777" w:rsidR="007E0ABC" w:rsidRDefault="007E0ABC">
            <w:pPr>
              <w:rPr>
                <w:b/>
              </w:rPr>
            </w:pPr>
            <w:r>
              <w:rPr>
                <w:b/>
              </w:rPr>
              <w:lastRenderedPageBreak/>
              <w:t>Model</w:t>
            </w:r>
          </w:p>
        </w:tc>
        <w:tc>
          <w:tcPr>
            <w:tcW w:w="1536" w:type="dxa"/>
          </w:tcPr>
          <w:p w14:paraId="6E26CCDB" w14:textId="77777777" w:rsidR="007E0ABC" w:rsidRDefault="007E0ABC">
            <w:pPr>
              <w:rPr>
                <w:b/>
              </w:rPr>
            </w:pPr>
            <w:r>
              <w:rPr>
                <w:b/>
              </w:rPr>
              <w:t>Residual correlation range</w:t>
            </w:r>
          </w:p>
        </w:tc>
        <w:tc>
          <w:tcPr>
            <w:tcW w:w="1770" w:type="dxa"/>
          </w:tcPr>
          <w:p w14:paraId="618DEF68" w14:textId="77777777" w:rsidR="007E0ABC" w:rsidRDefault="007E0ABC">
            <w:pPr>
              <w:rPr>
                <w:b/>
              </w:rPr>
            </w:pPr>
            <w:r>
              <w:rPr>
                <w:b/>
              </w:rPr>
              <w:t>Flagged item pairs</w:t>
            </w:r>
          </w:p>
        </w:tc>
        <w:tc>
          <w:tcPr>
            <w:tcW w:w="2096" w:type="dxa"/>
          </w:tcPr>
          <w:p w14:paraId="1D2660BE" w14:textId="77777777" w:rsidR="007E0ABC" w:rsidRDefault="007E0ABC">
            <w:pPr>
              <w:rPr>
                <w:b/>
              </w:rPr>
            </w:pPr>
            <w:r>
              <w:rPr>
                <w:b/>
              </w:rPr>
              <w:t>Comment/decision</w:t>
            </w:r>
          </w:p>
        </w:tc>
      </w:tr>
      <w:tr w:rsidR="007E0ABC" w14:paraId="0E6E4BA6" w14:textId="77777777">
        <w:tc>
          <w:tcPr>
            <w:tcW w:w="2263" w:type="dxa"/>
          </w:tcPr>
          <w:p w14:paraId="724186C2" w14:textId="77777777" w:rsidR="007E0ABC" w:rsidRDefault="007E0ABC">
            <w:pPr>
              <w:rPr>
                <w:i/>
              </w:rPr>
            </w:pPr>
            <w:r>
              <w:rPr>
                <w:i/>
              </w:rPr>
              <w:t>Original model</w:t>
            </w:r>
          </w:p>
        </w:tc>
        <w:tc>
          <w:tcPr>
            <w:tcW w:w="1536" w:type="dxa"/>
          </w:tcPr>
          <w:p w14:paraId="56DBB237" w14:textId="77777777" w:rsidR="007E0ABC" w:rsidRDefault="007E0ABC">
            <w:r>
              <w:t>-.13 – 0.8</w:t>
            </w:r>
          </w:p>
        </w:tc>
        <w:tc>
          <w:tcPr>
            <w:tcW w:w="1770" w:type="dxa"/>
          </w:tcPr>
          <w:p w14:paraId="4550DDFE" w14:textId="77777777" w:rsidR="007E0ABC" w:rsidRDefault="007E0ABC">
            <w:r>
              <w:t>none</w:t>
            </w:r>
          </w:p>
        </w:tc>
        <w:tc>
          <w:tcPr>
            <w:tcW w:w="2096" w:type="dxa"/>
          </w:tcPr>
          <w:p w14:paraId="4A613656" w14:textId="77777777" w:rsidR="007E0ABC" w:rsidRDefault="007E0ABC">
            <w:pPr>
              <w:rPr>
                <w:sz w:val="18"/>
                <w:szCs w:val="18"/>
              </w:rPr>
            </w:pPr>
          </w:p>
        </w:tc>
      </w:tr>
      <w:tr w:rsidR="007E0ABC" w14:paraId="3F65DCB8" w14:textId="77777777">
        <w:tc>
          <w:tcPr>
            <w:tcW w:w="2263" w:type="dxa"/>
          </w:tcPr>
          <w:p w14:paraId="3858E0F1" w14:textId="77777777" w:rsidR="007E0ABC" w:rsidRDefault="007E0ABC">
            <w:pPr>
              <w:rPr>
                <w:i/>
              </w:rPr>
            </w:pPr>
            <w:r>
              <w:rPr>
                <w:b/>
                <w:i/>
                <w:sz w:val="18"/>
                <w:szCs w:val="18"/>
              </w:rPr>
              <w:t>M1 – Collapsed categories 1&amp;2, 3&amp;4</w:t>
            </w:r>
          </w:p>
        </w:tc>
        <w:tc>
          <w:tcPr>
            <w:tcW w:w="1536" w:type="dxa"/>
          </w:tcPr>
          <w:p w14:paraId="44BA5BE3" w14:textId="77777777" w:rsidR="007E0ABC" w:rsidRDefault="007E0ABC">
            <w:r>
              <w:t>-0,03 - 0.1</w:t>
            </w:r>
          </w:p>
        </w:tc>
        <w:tc>
          <w:tcPr>
            <w:tcW w:w="1770" w:type="dxa"/>
          </w:tcPr>
          <w:p w14:paraId="3C63E13E" w14:textId="77777777" w:rsidR="007E0ABC" w:rsidRDefault="007E0ABC">
            <w:r>
              <w:t>none</w:t>
            </w:r>
          </w:p>
        </w:tc>
        <w:tc>
          <w:tcPr>
            <w:tcW w:w="2096" w:type="dxa"/>
          </w:tcPr>
          <w:p w14:paraId="5EC4CFD4" w14:textId="77777777" w:rsidR="007E0ABC" w:rsidRDefault="007E0ABC">
            <w:pPr>
              <w:rPr>
                <w:sz w:val="18"/>
                <w:szCs w:val="18"/>
              </w:rPr>
            </w:pPr>
          </w:p>
        </w:tc>
      </w:tr>
    </w:tbl>
    <w:p w14:paraId="41D15D7A" w14:textId="77777777" w:rsidR="007E0ABC" w:rsidRDefault="007E0ABC" w:rsidP="008E7F2E">
      <w:pPr>
        <w:spacing w:after="160" w:line="259" w:lineRule="auto"/>
        <w:rPr>
          <w:sz w:val="22"/>
          <w:szCs w:val="22"/>
        </w:rPr>
      </w:pPr>
    </w:p>
    <w:p w14:paraId="17FBFAF9" w14:textId="77777777" w:rsidR="007E0ABC" w:rsidRDefault="007E0ABC" w:rsidP="007E0ABC">
      <w:pPr>
        <w:numPr>
          <w:ilvl w:val="0"/>
          <w:numId w:val="212"/>
        </w:numPr>
        <w:spacing w:after="160" w:line="259" w:lineRule="auto"/>
        <w:rPr>
          <w:sz w:val="22"/>
          <w:szCs w:val="22"/>
        </w:rPr>
      </w:pPr>
      <w:r>
        <w:rPr>
          <w:sz w:val="22"/>
          <w:szCs w:val="22"/>
        </w:rPr>
        <w:t>Reliability (reliability of persons/items)</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1671"/>
        <w:gridCol w:w="1770"/>
      </w:tblGrid>
      <w:tr w:rsidR="007E0ABC" w14:paraId="58CE4D07" w14:textId="77777777">
        <w:tc>
          <w:tcPr>
            <w:tcW w:w="2263" w:type="dxa"/>
          </w:tcPr>
          <w:p w14:paraId="38D7DA48" w14:textId="77777777" w:rsidR="007E0ABC" w:rsidRDefault="007E0ABC"/>
        </w:tc>
        <w:tc>
          <w:tcPr>
            <w:tcW w:w="3306" w:type="dxa"/>
            <w:gridSpan w:val="2"/>
          </w:tcPr>
          <w:p w14:paraId="4BDDBBFF" w14:textId="77777777" w:rsidR="007E0ABC" w:rsidRDefault="007E0ABC">
            <w:pPr>
              <w:rPr>
                <w:b/>
              </w:rPr>
            </w:pPr>
            <w:r>
              <w:rPr>
                <w:b/>
              </w:rPr>
              <w:t>Person</w:t>
            </w:r>
          </w:p>
        </w:tc>
        <w:tc>
          <w:tcPr>
            <w:tcW w:w="3441" w:type="dxa"/>
            <w:gridSpan w:val="2"/>
          </w:tcPr>
          <w:p w14:paraId="1481F630" w14:textId="77777777" w:rsidR="007E0ABC" w:rsidRDefault="007E0ABC">
            <w:pPr>
              <w:rPr>
                <w:b/>
              </w:rPr>
            </w:pPr>
            <w:r>
              <w:rPr>
                <w:b/>
              </w:rPr>
              <w:t>Item</w:t>
            </w:r>
          </w:p>
        </w:tc>
      </w:tr>
      <w:tr w:rsidR="007E0ABC" w14:paraId="001F6FD8" w14:textId="77777777">
        <w:tc>
          <w:tcPr>
            <w:tcW w:w="2263" w:type="dxa"/>
          </w:tcPr>
          <w:p w14:paraId="7D6DEB38" w14:textId="77777777" w:rsidR="007E0ABC" w:rsidRDefault="007E0ABC">
            <w:pPr>
              <w:rPr>
                <w:b/>
              </w:rPr>
            </w:pPr>
            <w:r>
              <w:rPr>
                <w:b/>
              </w:rPr>
              <w:t>Model</w:t>
            </w:r>
          </w:p>
        </w:tc>
        <w:tc>
          <w:tcPr>
            <w:tcW w:w="1536" w:type="dxa"/>
          </w:tcPr>
          <w:p w14:paraId="7CE5AFD6" w14:textId="77777777" w:rsidR="007E0ABC" w:rsidRDefault="007E0ABC">
            <w:r>
              <w:t>Reliability</w:t>
            </w:r>
          </w:p>
        </w:tc>
        <w:tc>
          <w:tcPr>
            <w:tcW w:w="1770" w:type="dxa"/>
          </w:tcPr>
          <w:p w14:paraId="1297A58C" w14:textId="77777777" w:rsidR="007E0ABC" w:rsidRDefault="007E0ABC">
            <w:r>
              <w:t>Separation index</w:t>
            </w:r>
          </w:p>
        </w:tc>
        <w:tc>
          <w:tcPr>
            <w:tcW w:w="1671" w:type="dxa"/>
          </w:tcPr>
          <w:p w14:paraId="5EB6A8A0" w14:textId="77777777" w:rsidR="007E0ABC" w:rsidRDefault="007E0ABC">
            <w:r>
              <w:t>Reliability</w:t>
            </w:r>
          </w:p>
        </w:tc>
        <w:tc>
          <w:tcPr>
            <w:tcW w:w="1770" w:type="dxa"/>
          </w:tcPr>
          <w:p w14:paraId="206FE7E1" w14:textId="77777777" w:rsidR="007E0ABC" w:rsidRDefault="007E0ABC">
            <w:r>
              <w:t>Separation index</w:t>
            </w:r>
          </w:p>
        </w:tc>
      </w:tr>
      <w:tr w:rsidR="007E0ABC" w14:paraId="2A76FF60" w14:textId="77777777">
        <w:tc>
          <w:tcPr>
            <w:tcW w:w="2263" w:type="dxa"/>
          </w:tcPr>
          <w:p w14:paraId="5112616C" w14:textId="77777777" w:rsidR="007E0ABC" w:rsidRDefault="007E0ABC">
            <w:pPr>
              <w:rPr>
                <w:i/>
              </w:rPr>
            </w:pPr>
            <w:r>
              <w:rPr>
                <w:i/>
              </w:rPr>
              <w:t>Original model</w:t>
            </w:r>
          </w:p>
        </w:tc>
        <w:tc>
          <w:tcPr>
            <w:tcW w:w="1536" w:type="dxa"/>
          </w:tcPr>
          <w:p w14:paraId="49304FAA" w14:textId="77777777" w:rsidR="007E0ABC" w:rsidRDefault="007E0ABC">
            <w:r>
              <w:t>0.67</w:t>
            </w:r>
          </w:p>
        </w:tc>
        <w:tc>
          <w:tcPr>
            <w:tcW w:w="1770" w:type="dxa"/>
          </w:tcPr>
          <w:p w14:paraId="5D6D1668" w14:textId="77777777" w:rsidR="007E0ABC" w:rsidRDefault="007E0ABC">
            <w:r>
              <w:t>1.43</w:t>
            </w:r>
          </w:p>
        </w:tc>
        <w:tc>
          <w:tcPr>
            <w:tcW w:w="1671" w:type="dxa"/>
          </w:tcPr>
          <w:p w14:paraId="3D0171F7" w14:textId="77777777" w:rsidR="007E0ABC" w:rsidRDefault="007E0ABC">
            <w:r>
              <w:t>0.99</w:t>
            </w:r>
          </w:p>
        </w:tc>
        <w:tc>
          <w:tcPr>
            <w:tcW w:w="1770" w:type="dxa"/>
          </w:tcPr>
          <w:p w14:paraId="7B7DF6EE" w14:textId="77777777" w:rsidR="007E0ABC" w:rsidRDefault="007E0ABC">
            <w:r>
              <w:t>8.34</w:t>
            </w:r>
          </w:p>
        </w:tc>
      </w:tr>
      <w:tr w:rsidR="007E0ABC" w14:paraId="196E9A7F" w14:textId="77777777">
        <w:tc>
          <w:tcPr>
            <w:tcW w:w="2263" w:type="dxa"/>
          </w:tcPr>
          <w:p w14:paraId="322FC38B" w14:textId="77777777" w:rsidR="007E0ABC" w:rsidRDefault="007E0ABC">
            <w:pPr>
              <w:rPr>
                <w:i/>
              </w:rPr>
            </w:pPr>
            <w:r>
              <w:rPr>
                <w:b/>
                <w:i/>
                <w:sz w:val="18"/>
                <w:szCs w:val="18"/>
              </w:rPr>
              <w:t>M1 – Collapsed categories 1&amp;2, 3&amp;4</w:t>
            </w:r>
          </w:p>
        </w:tc>
        <w:tc>
          <w:tcPr>
            <w:tcW w:w="1536" w:type="dxa"/>
          </w:tcPr>
          <w:p w14:paraId="6D6D71C7" w14:textId="77777777" w:rsidR="007E0ABC" w:rsidRDefault="007E0ABC">
            <w:r>
              <w:t>0.70</w:t>
            </w:r>
          </w:p>
        </w:tc>
        <w:tc>
          <w:tcPr>
            <w:tcW w:w="1770" w:type="dxa"/>
          </w:tcPr>
          <w:p w14:paraId="1AB2C7AC" w14:textId="77777777" w:rsidR="007E0ABC" w:rsidRDefault="007E0ABC">
            <w:r>
              <w:t>1.54</w:t>
            </w:r>
          </w:p>
        </w:tc>
        <w:tc>
          <w:tcPr>
            <w:tcW w:w="1671" w:type="dxa"/>
          </w:tcPr>
          <w:p w14:paraId="57A2C602" w14:textId="77777777" w:rsidR="007E0ABC" w:rsidRDefault="007E0ABC">
            <w:r>
              <w:t>0.99</w:t>
            </w:r>
          </w:p>
        </w:tc>
        <w:tc>
          <w:tcPr>
            <w:tcW w:w="1770" w:type="dxa"/>
          </w:tcPr>
          <w:p w14:paraId="1A93213B" w14:textId="77777777" w:rsidR="007E0ABC" w:rsidRDefault="007E0ABC">
            <w:r>
              <w:t>8.34</w:t>
            </w:r>
          </w:p>
        </w:tc>
      </w:tr>
    </w:tbl>
    <w:p w14:paraId="4329A73E" w14:textId="77777777" w:rsidR="007E0ABC" w:rsidRDefault="007E0ABC">
      <w:pPr>
        <w:rPr>
          <w:highlight w:val="white"/>
        </w:rPr>
      </w:pPr>
    </w:p>
    <w:p w14:paraId="3001DCB3" w14:textId="77777777" w:rsidR="007E0ABC" w:rsidRDefault="007E0ABC"/>
    <w:p w14:paraId="527C9D70" w14:textId="77777777" w:rsidR="007E0ABC" w:rsidRPr="008E7F2E" w:rsidRDefault="007E0ABC" w:rsidP="007E0ABC">
      <w:pPr>
        <w:numPr>
          <w:ilvl w:val="0"/>
          <w:numId w:val="212"/>
        </w:numPr>
        <w:pBdr>
          <w:top w:val="nil"/>
          <w:left w:val="nil"/>
          <w:bottom w:val="nil"/>
          <w:right w:val="nil"/>
          <w:between w:val="nil"/>
        </w:pBdr>
        <w:spacing w:after="160" w:line="259" w:lineRule="auto"/>
        <w:rPr>
          <w:sz w:val="22"/>
          <w:szCs w:val="22"/>
        </w:rPr>
      </w:pPr>
      <w:r w:rsidRPr="008E7F2E">
        <w:rPr>
          <w:sz w:val="22"/>
          <w:szCs w:val="22"/>
        </w:rPr>
        <w:t xml:space="preserve">Construct validity </w:t>
      </w:r>
    </w:p>
    <w:p w14:paraId="11B0A66F" w14:textId="77777777" w:rsidR="007E0ABC" w:rsidRDefault="007E0ABC"/>
    <w:p w14:paraId="40EDB482" w14:textId="77777777" w:rsidR="007E0ABC" w:rsidRDefault="007E0ABC"/>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975"/>
        <w:gridCol w:w="1140"/>
        <w:gridCol w:w="1275"/>
        <w:gridCol w:w="1215"/>
        <w:gridCol w:w="960"/>
        <w:gridCol w:w="105"/>
        <w:gridCol w:w="2490"/>
      </w:tblGrid>
      <w:tr w:rsidR="007E0ABC" w14:paraId="406F25CA" w14:textId="77777777">
        <w:tc>
          <w:tcPr>
            <w:tcW w:w="1290" w:type="dxa"/>
          </w:tcPr>
          <w:p w14:paraId="7A32C44D" w14:textId="77777777" w:rsidR="007E0ABC" w:rsidRDefault="007E0ABC">
            <w:pPr>
              <w:rPr>
                <w:b/>
              </w:rPr>
            </w:pPr>
          </w:p>
        </w:tc>
        <w:tc>
          <w:tcPr>
            <w:tcW w:w="975" w:type="dxa"/>
          </w:tcPr>
          <w:p w14:paraId="08A1BF74" w14:textId="77777777" w:rsidR="007E0ABC" w:rsidRDefault="007E0ABC">
            <w:pPr>
              <w:rPr>
                <w:b/>
                <w:sz w:val="16"/>
                <w:szCs w:val="16"/>
              </w:rPr>
            </w:pPr>
            <w:r>
              <w:rPr>
                <w:b/>
                <w:sz w:val="16"/>
                <w:szCs w:val="16"/>
              </w:rPr>
              <w:t>Spread of persons (logits)</w:t>
            </w:r>
          </w:p>
        </w:tc>
        <w:tc>
          <w:tcPr>
            <w:tcW w:w="1140" w:type="dxa"/>
          </w:tcPr>
          <w:p w14:paraId="403A73D2" w14:textId="77777777" w:rsidR="007E0ABC" w:rsidRDefault="007E0ABC">
            <w:pPr>
              <w:rPr>
                <w:b/>
                <w:sz w:val="16"/>
                <w:szCs w:val="16"/>
              </w:rPr>
            </w:pPr>
            <w:r>
              <w:rPr>
                <w:b/>
                <w:sz w:val="16"/>
                <w:szCs w:val="16"/>
              </w:rPr>
              <w:t>‘Ruler’/Spread of items (logits)</w:t>
            </w:r>
          </w:p>
        </w:tc>
        <w:tc>
          <w:tcPr>
            <w:tcW w:w="1275" w:type="dxa"/>
          </w:tcPr>
          <w:p w14:paraId="1D7A1F59" w14:textId="77777777" w:rsidR="007E0ABC" w:rsidRDefault="007E0ABC">
            <w:pPr>
              <w:rPr>
                <w:b/>
                <w:sz w:val="16"/>
                <w:szCs w:val="16"/>
              </w:rPr>
            </w:pPr>
            <w:r>
              <w:rPr>
                <w:b/>
                <w:sz w:val="16"/>
                <w:szCs w:val="16"/>
              </w:rPr>
              <w:t>Overlapping items</w:t>
            </w:r>
          </w:p>
        </w:tc>
        <w:tc>
          <w:tcPr>
            <w:tcW w:w="1215" w:type="dxa"/>
          </w:tcPr>
          <w:p w14:paraId="71116DEC" w14:textId="77777777" w:rsidR="007E0ABC" w:rsidRDefault="007E0ABC">
            <w:pPr>
              <w:rPr>
                <w:b/>
                <w:sz w:val="16"/>
                <w:szCs w:val="16"/>
              </w:rPr>
            </w:pPr>
            <w:r>
              <w:rPr>
                <w:b/>
                <w:sz w:val="16"/>
                <w:szCs w:val="16"/>
              </w:rPr>
              <w:t>Item gaps</w:t>
            </w:r>
          </w:p>
        </w:tc>
        <w:tc>
          <w:tcPr>
            <w:tcW w:w="960" w:type="dxa"/>
          </w:tcPr>
          <w:p w14:paraId="44B2F9B6" w14:textId="77777777" w:rsidR="007E0ABC" w:rsidRDefault="007E0ABC">
            <w:pPr>
              <w:rPr>
                <w:b/>
                <w:sz w:val="16"/>
                <w:szCs w:val="16"/>
              </w:rPr>
            </w:pPr>
            <w:r>
              <w:rPr>
                <w:b/>
                <w:sz w:val="16"/>
                <w:szCs w:val="16"/>
              </w:rPr>
              <w:t>Question order</w:t>
            </w:r>
          </w:p>
        </w:tc>
        <w:tc>
          <w:tcPr>
            <w:tcW w:w="2595" w:type="dxa"/>
            <w:gridSpan w:val="2"/>
          </w:tcPr>
          <w:p w14:paraId="21228214" w14:textId="77777777" w:rsidR="007E0ABC" w:rsidRDefault="007E0ABC">
            <w:pPr>
              <w:rPr>
                <w:b/>
                <w:sz w:val="16"/>
                <w:szCs w:val="16"/>
              </w:rPr>
            </w:pPr>
            <w:r>
              <w:rPr>
                <w:b/>
                <w:sz w:val="16"/>
                <w:szCs w:val="16"/>
              </w:rPr>
              <w:t>Recommendations/</w:t>
            </w:r>
          </w:p>
          <w:p w14:paraId="43E4ED44" w14:textId="77777777" w:rsidR="007E0ABC" w:rsidRDefault="007E0ABC">
            <w:pPr>
              <w:rPr>
                <w:b/>
                <w:sz w:val="16"/>
                <w:szCs w:val="16"/>
              </w:rPr>
            </w:pPr>
            <w:r>
              <w:rPr>
                <w:b/>
                <w:sz w:val="16"/>
                <w:szCs w:val="16"/>
              </w:rPr>
              <w:t>comments</w:t>
            </w:r>
          </w:p>
        </w:tc>
      </w:tr>
      <w:tr w:rsidR="007E0ABC" w14:paraId="264C04F4" w14:textId="77777777">
        <w:tc>
          <w:tcPr>
            <w:tcW w:w="1290" w:type="dxa"/>
          </w:tcPr>
          <w:p w14:paraId="0309994B" w14:textId="77777777" w:rsidR="007E0ABC" w:rsidRDefault="007E0ABC">
            <w:pPr>
              <w:rPr>
                <w:b/>
                <w:i/>
                <w:szCs w:val="20"/>
              </w:rPr>
            </w:pPr>
            <w:r>
              <w:rPr>
                <w:b/>
                <w:i/>
                <w:szCs w:val="20"/>
              </w:rPr>
              <w:t>Original model</w:t>
            </w:r>
          </w:p>
        </w:tc>
        <w:tc>
          <w:tcPr>
            <w:tcW w:w="975" w:type="dxa"/>
          </w:tcPr>
          <w:p w14:paraId="224A7CBC" w14:textId="77777777" w:rsidR="007E0ABC" w:rsidRDefault="007E0ABC">
            <w:pPr>
              <w:rPr>
                <w:sz w:val="18"/>
                <w:szCs w:val="18"/>
              </w:rPr>
            </w:pPr>
            <w:r>
              <w:rPr>
                <w:sz w:val="18"/>
                <w:szCs w:val="18"/>
              </w:rPr>
              <w:t>3 to -3</w:t>
            </w:r>
          </w:p>
        </w:tc>
        <w:tc>
          <w:tcPr>
            <w:tcW w:w="1140" w:type="dxa"/>
          </w:tcPr>
          <w:p w14:paraId="1E9FEB67" w14:textId="77777777" w:rsidR="007E0ABC" w:rsidRDefault="007E0ABC">
            <w:pPr>
              <w:rPr>
                <w:szCs w:val="20"/>
              </w:rPr>
            </w:pPr>
            <w:r>
              <w:rPr>
                <w:szCs w:val="20"/>
              </w:rPr>
              <w:t>0.5 to -1.7</w:t>
            </w:r>
          </w:p>
        </w:tc>
        <w:tc>
          <w:tcPr>
            <w:tcW w:w="1275" w:type="dxa"/>
          </w:tcPr>
          <w:p w14:paraId="7816943F" w14:textId="77777777" w:rsidR="007E0ABC" w:rsidRDefault="007E0ABC">
            <w:pPr>
              <w:rPr>
                <w:szCs w:val="20"/>
              </w:rPr>
            </w:pPr>
            <w:r>
              <w:rPr>
                <w:szCs w:val="20"/>
              </w:rPr>
              <w:t>none</w:t>
            </w:r>
          </w:p>
        </w:tc>
        <w:tc>
          <w:tcPr>
            <w:tcW w:w="1215" w:type="dxa"/>
          </w:tcPr>
          <w:p w14:paraId="1542402E" w14:textId="77777777" w:rsidR="007E0ABC" w:rsidRDefault="007E0ABC">
            <w:r>
              <w:rPr>
                <w:szCs w:val="20"/>
              </w:rPr>
              <w:t>between 6 &amp; 31, and 31 &amp; 32</w:t>
            </w:r>
          </w:p>
        </w:tc>
        <w:tc>
          <w:tcPr>
            <w:tcW w:w="1065" w:type="dxa"/>
            <w:gridSpan w:val="2"/>
          </w:tcPr>
          <w:p w14:paraId="29A4F1F7" w14:textId="77777777" w:rsidR="007E0ABC" w:rsidRDefault="007E0ABC">
            <w:pPr>
              <w:rPr>
                <w:szCs w:val="20"/>
              </w:rPr>
            </w:pPr>
            <w:r>
              <w:rPr>
                <w:szCs w:val="20"/>
              </w:rPr>
              <w:t>30 - 35 - 7 - 6 - 31 - 32</w:t>
            </w:r>
          </w:p>
        </w:tc>
        <w:tc>
          <w:tcPr>
            <w:tcW w:w="2490" w:type="dxa"/>
          </w:tcPr>
          <w:p w14:paraId="37E34E9F" w14:textId="77777777" w:rsidR="007E0ABC" w:rsidRDefault="007E0ABC">
            <w:pPr>
              <w:rPr>
                <w:szCs w:val="20"/>
              </w:rPr>
            </w:pPr>
            <w:r>
              <w:rPr>
                <w:szCs w:val="20"/>
              </w:rPr>
              <w:t>extend ruler by adding or rewriting items</w:t>
            </w:r>
          </w:p>
        </w:tc>
      </w:tr>
      <w:tr w:rsidR="007E0ABC" w14:paraId="5136CF60" w14:textId="77777777">
        <w:tc>
          <w:tcPr>
            <w:tcW w:w="1290" w:type="dxa"/>
          </w:tcPr>
          <w:p w14:paraId="4D66BA4A" w14:textId="77777777" w:rsidR="007E0ABC" w:rsidRDefault="007E0ABC">
            <w:pPr>
              <w:rPr>
                <w:b/>
                <w:szCs w:val="20"/>
              </w:rPr>
            </w:pPr>
            <w:r>
              <w:rPr>
                <w:b/>
                <w:i/>
                <w:sz w:val="18"/>
                <w:szCs w:val="18"/>
              </w:rPr>
              <w:t>M1 – Collapsed categories 1&amp;2, 3&amp;4</w:t>
            </w:r>
          </w:p>
        </w:tc>
        <w:tc>
          <w:tcPr>
            <w:tcW w:w="975" w:type="dxa"/>
          </w:tcPr>
          <w:p w14:paraId="790584D1" w14:textId="77777777" w:rsidR="007E0ABC" w:rsidRDefault="007E0ABC">
            <w:pPr>
              <w:rPr>
                <w:szCs w:val="20"/>
              </w:rPr>
            </w:pPr>
            <w:r>
              <w:rPr>
                <w:szCs w:val="20"/>
              </w:rPr>
              <w:t>3 to -3</w:t>
            </w:r>
          </w:p>
        </w:tc>
        <w:tc>
          <w:tcPr>
            <w:tcW w:w="1140" w:type="dxa"/>
          </w:tcPr>
          <w:p w14:paraId="63C54142" w14:textId="77777777" w:rsidR="007E0ABC" w:rsidRDefault="007E0ABC">
            <w:pPr>
              <w:rPr>
                <w:szCs w:val="20"/>
              </w:rPr>
            </w:pPr>
            <w:r>
              <w:rPr>
                <w:szCs w:val="20"/>
              </w:rPr>
              <w:t>0.9 to -1.4</w:t>
            </w:r>
          </w:p>
        </w:tc>
        <w:tc>
          <w:tcPr>
            <w:tcW w:w="1275" w:type="dxa"/>
          </w:tcPr>
          <w:p w14:paraId="21655A38" w14:textId="77777777" w:rsidR="007E0ABC" w:rsidRDefault="007E0ABC">
            <w:pPr>
              <w:rPr>
                <w:szCs w:val="20"/>
              </w:rPr>
            </w:pPr>
            <w:r>
              <w:rPr>
                <w:szCs w:val="20"/>
              </w:rPr>
              <w:t>none</w:t>
            </w:r>
          </w:p>
        </w:tc>
        <w:tc>
          <w:tcPr>
            <w:tcW w:w="1215" w:type="dxa"/>
          </w:tcPr>
          <w:p w14:paraId="4842D6A2" w14:textId="77777777" w:rsidR="007E0ABC" w:rsidRDefault="007E0ABC">
            <w:pPr>
              <w:rPr>
                <w:szCs w:val="20"/>
              </w:rPr>
            </w:pPr>
            <w:r>
              <w:rPr>
                <w:szCs w:val="20"/>
              </w:rPr>
              <w:t>between 6 &amp; 31, and 31 &amp; 32</w:t>
            </w:r>
          </w:p>
        </w:tc>
        <w:tc>
          <w:tcPr>
            <w:tcW w:w="1065" w:type="dxa"/>
            <w:gridSpan w:val="2"/>
          </w:tcPr>
          <w:p w14:paraId="4730D8D9" w14:textId="77777777" w:rsidR="007E0ABC" w:rsidRDefault="007E0ABC">
            <w:pPr>
              <w:rPr>
                <w:szCs w:val="20"/>
              </w:rPr>
            </w:pPr>
            <w:r>
              <w:rPr>
                <w:szCs w:val="20"/>
              </w:rPr>
              <w:t>30 - 35 - 7 - 6 - 31 - 32</w:t>
            </w:r>
          </w:p>
        </w:tc>
        <w:tc>
          <w:tcPr>
            <w:tcW w:w="2490" w:type="dxa"/>
          </w:tcPr>
          <w:p w14:paraId="37FBC810" w14:textId="77777777" w:rsidR="007E0ABC" w:rsidRDefault="007E0ABC">
            <w:pPr>
              <w:rPr>
                <w:szCs w:val="20"/>
              </w:rPr>
            </w:pPr>
            <w:r>
              <w:rPr>
                <w:szCs w:val="20"/>
              </w:rPr>
              <w:t>extend ruler by adding or rewriting items</w:t>
            </w:r>
          </w:p>
        </w:tc>
      </w:tr>
      <w:tr w:rsidR="007E0ABC" w14:paraId="418385F5" w14:textId="77777777">
        <w:tc>
          <w:tcPr>
            <w:tcW w:w="1290" w:type="dxa"/>
          </w:tcPr>
          <w:p w14:paraId="3EBE6D3E" w14:textId="77777777" w:rsidR="007E0ABC" w:rsidRDefault="007E0ABC">
            <w:pPr>
              <w:rPr>
                <w:b/>
              </w:rPr>
            </w:pPr>
            <w:r>
              <w:rPr>
                <w:b/>
                <w:i/>
                <w:sz w:val="18"/>
                <w:szCs w:val="18"/>
              </w:rPr>
              <w:t xml:space="preserve">M2 </w:t>
            </w:r>
          </w:p>
        </w:tc>
        <w:tc>
          <w:tcPr>
            <w:tcW w:w="975" w:type="dxa"/>
          </w:tcPr>
          <w:p w14:paraId="2A71B56C" w14:textId="77777777" w:rsidR="007E0ABC" w:rsidRDefault="007E0ABC">
            <w:pPr>
              <w:rPr>
                <w:sz w:val="18"/>
                <w:szCs w:val="18"/>
              </w:rPr>
            </w:pPr>
          </w:p>
        </w:tc>
        <w:tc>
          <w:tcPr>
            <w:tcW w:w="1140" w:type="dxa"/>
          </w:tcPr>
          <w:p w14:paraId="6749B82A" w14:textId="77777777" w:rsidR="007E0ABC" w:rsidRDefault="007E0ABC">
            <w:pPr>
              <w:rPr>
                <w:szCs w:val="20"/>
              </w:rPr>
            </w:pPr>
          </w:p>
        </w:tc>
        <w:tc>
          <w:tcPr>
            <w:tcW w:w="1275" w:type="dxa"/>
          </w:tcPr>
          <w:p w14:paraId="122B0B7C" w14:textId="77777777" w:rsidR="007E0ABC" w:rsidRDefault="007E0ABC">
            <w:pPr>
              <w:rPr>
                <w:szCs w:val="20"/>
              </w:rPr>
            </w:pPr>
          </w:p>
        </w:tc>
        <w:tc>
          <w:tcPr>
            <w:tcW w:w="1215" w:type="dxa"/>
          </w:tcPr>
          <w:p w14:paraId="186460ED" w14:textId="77777777" w:rsidR="007E0ABC" w:rsidRDefault="007E0ABC"/>
        </w:tc>
        <w:tc>
          <w:tcPr>
            <w:tcW w:w="1065" w:type="dxa"/>
            <w:gridSpan w:val="2"/>
          </w:tcPr>
          <w:p w14:paraId="5DE72582" w14:textId="77777777" w:rsidR="007E0ABC" w:rsidRDefault="007E0ABC"/>
        </w:tc>
        <w:tc>
          <w:tcPr>
            <w:tcW w:w="2490" w:type="dxa"/>
          </w:tcPr>
          <w:p w14:paraId="0796DC06" w14:textId="77777777" w:rsidR="007E0ABC" w:rsidRDefault="007E0ABC"/>
        </w:tc>
      </w:tr>
    </w:tbl>
    <w:p w14:paraId="6DB6CF2F" w14:textId="77777777" w:rsidR="007E0ABC" w:rsidRDefault="007E0ABC"/>
    <w:p w14:paraId="19372D58" w14:textId="77777777" w:rsidR="007E0ABC" w:rsidRDefault="007E0ABC" w:rsidP="008E7F2E"/>
    <w:p w14:paraId="74D358C4" w14:textId="77777777" w:rsidR="007E0ABC" w:rsidRDefault="007E0ABC"/>
    <w:p w14:paraId="6B014233" w14:textId="77777777" w:rsidR="007E0ABC" w:rsidRDefault="007E0ABC"/>
    <w:p w14:paraId="3EDB671F" w14:textId="77777777" w:rsidR="007E0ABC" w:rsidRDefault="007E0ABC" w:rsidP="000B2985">
      <w:pPr>
        <w:pStyle w:val="Subtitle"/>
        <w:spacing w:after="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D</w:t>
      </w:r>
      <w:r w:rsidRPr="00C260F1">
        <w:rPr>
          <w:rFonts w:ascii="Avenir Book" w:hAnsi="Avenir Book"/>
          <w:iCs/>
          <w:sz w:val="28"/>
          <w:szCs w:val="28"/>
        </w:rPr>
        <w:t xml:space="preserve"> – </w:t>
      </w:r>
      <w:r w:rsidRPr="0098395C">
        <w:rPr>
          <w:rFonts w:ascii="Avenir Book" w:hAnsi="Avenir Book"/>
          <w:iCs/>
          <w:sz w:val="28"/>
          <w:szCs w:val="28"/>
        </w:rPr>
        <w:t xml:space="preserve">Iterative </w:t>
      </w:r>
      <w:r>
        <w:rPr>
          <w:rFonts w:ascii="Avenir Book" w:hAnsi="Avenir Book"/>
          <w:iCs/>
          <w:sz w:val="28"/>
          <w:szCs w:val="28"/>
        </w:rPr>
        <w:t>P</w:t>
      </w:r>
      <w:r w:rsidRPr="0098395C">
        <w:rPr>
          <w:rFonts w:ascii="Avenir Book" w:hAnsi="Avenir Book"/>
          <w:iCs/>
          <w:sz w:val="28"/>
          <w:szCs w:val="28"/>
        </w:rPr>
        <w:t xml:space="preserve">rocess of </w:t>
      </w:r>
      <w:r>
        <w:rPr>
          <w:rFonts w:ascii="Avenir Book" w:hAnsi="Avenir Book"/>
          <w:iCs/>
          <w:sz w:val="28"/>
          <w:szCs w:val="28"/>
        </w:rPr>
        <w:t>EASE-F Scale</w:t>
      </w:r>
      <w:r w:rsidRPr="0098395C">
        <w:rPr>
          <w:rFonts w:ascii="Avenir Book" w:hAnsi="Avenir Book"/>
          <w:iCs/>
          <w:sz w:val="28"/>
          <w:szCs w:val="28"/>
        </w:rPr>
        <w:t xml:space="preserve"> </w:t>
      </w:r>
      <w:r>
        <w:rPr>
          <w:rFonts w:ascii="Avenir Book" w:hAnsi="Avenir Book"/>
          <w:iCs/>
          <w:sz w:val="28"/>
          <w:szCs w:val="28"/>
        </w:rPr>
        <w:t>R</w:t>
      </w:r>
      <w:r w:rsidRPr="0098395C">
        <w:rPr>
          <w:rFonts w:ascii="Avenir Book" w:hAnsi="Avenir Book"/>
          <w:iCs/>
          <w:sz w:val="28"/>
          <w:szCs w:val="28"/>
        </w:rPr>
        <w:t>efinement</w:t>
      </w:r>
    </w:p>
    <w:p w14:paraId="020FD713" w14:textId="77777777" w:rsidR="007E0ABC" w:rsidRDefault="007E0ABC" w:rsidP="000B2985"/>
    <w:p w14:paraId="34BA99F8" w14:textId="77777777" w:rsidR="007E0ABC" w:rsidRPr="00716FF2" w:rsidRDefault="007E0ABC" w:rsidP="00716FF2">
      <w:pPr>
        <w:pStyle w:val="ListParagraph"/>
        <w:jc w:val="center"/>
        <w:rPr>
          <w:sz w:val="21"/>
          <w:szCs w:val="28"/>
        </w:rPr>
      </w:pPr>
      <w:r w:rsidRPr="00716FF2">
        <w:rPr>
          <w:sz w:val="21"/>
          <w:szCs w:val="28"/>
        </w:rPr>
        <w:t>Table 37. Illness Burden Scale</w:t>
      </w:r>
    </w:p>
    <w:p w14:paraId="75B17D0F" w14:textId="77777777" w:rsidR="007E0ABC" w:rsidRDefault="007E0ABC"/>
    <w:p w14:paraId="3517A19C" w14:textId="77777777" w:rsidR="007E0ABC" w:rsidRPr="00652C7E" w:rsidRDefault="007E0ABC" w:rsidP="007E0ABC">
      <w:pPr>
        <w:pStyle w:val="ListParagraph"/>
        <w:numPr>
          <w:ilvl w:val="0"/>
          <w:numId w:val="217"/>
        </w:numPr>
        <w:spacing w:after="160"/>
        <w:rPr>
          <w:szCs w:val="20"/>
          <w:u w:val="single"/>
        </w:rPr>
      </w:pPr>
      <w:r w:rsidRPr="00461BB1">
        <w:rPr>
          <w:szCs w:val="20"/>
          <w:u w:val="single"/>
        </w:rPr>
        <w:t xml:space="preserve"> Category Functioning and Thresholds</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651"/>
        <w:gridCol w:w="840"/>
        <w:gridCol w:w="976"/>
        <w:gridCol w:w="1057"/>
        <w:gridCol w:w="1099"/>
        <w:gridCol w:w="899"/>
        <w:gridCol w:w="555"/>
        <w:gridCol w:w="555"/>
        <w:gridCol w:w="1264"/>
      </w:tblGrid>
      <w:tr w:rsidR="007E0ABC" w14:paraId="7D51EC20" w14:textId="77777777">
        <w:tc>
          <w:tcPr>
            <w:tcW w:w="1114" w:type="dxa"/>
          </w:tcPr>
          <w:p w14:paraId="669FAC92" w14:textId="77777777" w:rsidR="007E0ABC" w:rsidRDefault="007E0ABC">
            <w:pPr>
              <w:rPr>
                <w:b/>
                <w:sz w:val="18"/>
                <w:szCs w:val="18"/>
              </w:rPr>
            </w:pPr>
            <w:r>
              <w:rPr>
                <w:b/>
                <w:sz w:val="18"/>
                <w:szCs w:val="18"/>
              </w:rPr>
              <w:t>Model</w:t>
            </w:r>
          </w:p>
        </w:tc>
        <w:tc>
          <w:tcPr>
            <w:tcW w:w="651" w:type="dxa"/>
          </w:tcPr>
          <w:p w14:paraId="16AC4125" w14:textId="77777777" w:rsidR="007E0ABC" w:rsidRDefault="007E0ABC">
            <w:pPr>
              <w:rPr>
                <w:sz w:val="18"/>
                <w:szCs w:val="18"/>
              </w:rPr>
            </w:pPr>
            <w:r>
              <w:rPr>
                <w:sz w:val="18"/>
                <w:szCs w:val="18"/>
              </w:rPr>
              <w:t>Cat label</w:t>
            </w:r>
          </w:p>
        </w:tc>
        <w:tc>
          <w:tcPr>
            <w:tcW w:w="840" w:type="dxa"/>
          </w:tcPr>
          <w:p w14:paraId="694BF5B1" w14:textId="77777777" w:rsidR="007E0ABC" w:rsidRDefault="007E0ABC">
            <w:pPr>
              <w:rPr>
                <w:sz w:val="18"/>
                <w:szCs w:val="18"/>
              </w:rPr>
            </w:pPr>
            <w:r>
              <w:rPr>
                <w:sz w:val="18"/>
                <w:szCs w:val="18"/>
              </w:rPr>
              <w:t>Cat Count (%)</w:t>
            </w:r>
          </w:p>
        </w:tc>
        <w:tc>
          <w:tcPr>
            <w:tcW w:w="976" w:type="dxa"/>
          </w:tcPr>
          <w:p w14:paraId="221D6B8F" w14:textId="77777777" w:rsidR="007E0ABC" w:rsidRDefault="007E0ABC">
            <w:pPr>
              <w:rPr>
                <w:sz w:val="18"/>
                <w:szCs w:val="18"/>
              </w:rPr>
            </w:pPr>
            <w:r>
              <w:rPr>
                <w:sz w:val="18"/>
                <w:szCs w:val="18"/>
              </w:rPr>
              <w:t>Av cat measure (</w:t>
            </w:r>
            <w:proofErr w:type="spellStart"/>
            <w:r>
              <w:rPr>
                <w:sz w:val="18"/>
                <w:szCs w:val="18"/>
              </w:rPr>
              <w:t>ob</w:t>
            </w:r>
            <w:proofErr w:type="spellEnd"/>
            <w:r>
              <w:rPr>
                <w:sz w:val="18"/>
                <w:szCs w:val="18"/>
              </w:rPr>
              <w:t>)</w:t>
            </w:r>
          </w:p>
        </w:tc>
        <w:tc>
          <w:tcPr>
            <w:tcW w:w="1057" w:type="dxa"/>
          </w:tcPr>
          <w:p w14:paraId="5DB401C6" w14:textId="77777777" w:rsidR="007E0ABC" w:rsidRDefault="007E0ABC">
            <w:pPr>
              <w:rPr>
                <w:sz w:val="18"/>
                <w:szCs w:val="18"/>
              </w:rPr>
            </w:pPr>
            <w:r>
              <w:rPr>
                <w:sz w:val="18"/>
                <w:szCs w:val="18"/>
              </w:rPr>
              <w:t>Expected measure</w:t>
            </w:r>
          </w:p>
        </w:tc>
        <w:tc>
          <w:tcPr>
            <w:tcW w:w="1099" w:type="dxa"/>
          </w:tcPr>
          <w:p w14:paraId="5DB4E4F1" w14:textId="77777777" w:rsidR="007E0ABC" w:rsidRDefault="007E0ABC">
            <w:pPr>
              <w:rPr>
                <w:sz w:val="18"/>
                <w:szCs w:val="18"/>
              </w:rPr>
            </w:pPr>
            <w:r>
              <w:rPr>
                <w:sz w:val="18"/>
                <w:szCs w:val="18"/>
              </w:rPr>
              <w:t>Infit/Outfit MNSQ</w:t>
            </w:r>
          </w:p>
        </w:tc>
        <w:tc>
          <w:tcPr>
            <w:tcW w:w="899" w:type="dxa"/>
          </w:tcPr>
          <w:p w14:paraId="7FBFCD7C" w14:textId="77777777" w:rsidR="007E0ABC" w:rsidRDefault="007E0ABC">
            <w:pPr>
              <w:rPr>
                <w:sz w:val="18"/>
                <w:szCs w:val="18"/>
              </w:rPr>
            </w:pPr>
            <w:r>
              <w:rPr>
                <w:sz w:val="18"/>
                <w:szCs w:val="18"/>
              </w:rPr>
              <w:t xml:space="preserve">Andrich </w:t>
            </w:r>
          </w:p>
        </w:tc>
        <w:tc>
          <w:tcPr>
            <w:tcW w:w="555" w:type="dxa"/>
          </w:tcPr>
          <w:p w14:paraId="7C3B0960" w14:textId="77777777" w:rsidR="007E0ABC" w:rsidRDefault="007E0ABC">
            <w:pPr>
              <w:rPr>
                <w:sz w:val="18"/>
                <w:szCs w:val="18"/>
              </w:rPr>
            </w:pPr>
            <w:r>
              <w:rPr>
                <w:sz w:val="18"/>
                <w:szCs w:val="18"/>
              </w:rPr>
              <w:t>M-C</w:t>
            </w:r>
          </w:p>
        </w:tc>
        <w:tc>
          <w:tcPr>
            <w:tcW w:w="555" w:type="dxa"/>
          </w:tcPr>
          <w:p w14:paraId="7FE3A779" w14:textId="77777777" w:rsidR="007E0ABC" w:rsidRDefault="007E0ABC">
            <w:pPr>
              <w:rPr>
                <w:sz w:val="18"/>
                <w:szCs w:val="18"/>
              </w:rPr>
            </w:pPr>
            <w:r>
              <w:rPr>
                <w:sz w:val="18"/>
                <w:szCs w:val="18"/>
              </w:rPr>
              <w:t>C-M</w:t>
            </w:r>
          </w:p>
        </w:tc>
        <w:tc>
          <w:tcPr>
            <w:tcW w:w="1264" w:type="dxa"/>
          </w:tcPr>
          <w:p w14:paraId="5B9CDA0C" w14:textId="77777777" w:rsidR="007E0ABC" w:rsidRDefault="007E0ABC">
            <w:pPr>
              <w:rPr>
                <w:sz w:val="18"/>
                <w:szCs w:val="18"/>
              </w:rPr>
            </w:pPr>
            <w:r>
              <w:rPr>
                <w:sz w:val="18"/>
                <w:szCs w:val="18"/>
              </w:rPr>
              <w:t>Comment/</w:t>
            </w:r>
          </w:p>
          <w:p w14:paraId="2B65D966" w14:textId="77777777" w:rsidR="007E0ABC" w:rsidRDefault="007E0ABC">
            <w:pPr>
              <w:rPr>
                <w:sz w:val="18"/>
                <w:szCs w:val="18"/>
              </w:rPr>
            </w:pPr>
            <w:r>
              <w:rPr>
                <w:sz w:val="18"/>
                <w:szCs w:val="18"/>
              </w:rPr>
              <w:t>decision</w:t>
            </w:r>
          </w:p>
        </w:tc>
      </w:tr>
      <w:tr w:rsidR="007E0ABC" w14:paraId="5D6F041C" w14:textId="77777777">
        <w:tc>
          <w:tcPr>
            <w:tcW w:w="1114" w:type="dxa"/>
            <w:vMerge w:val="restart"/>
          </w:tcPr>
          <w:p w14:paraId="4ADC922B" w14:textId="77777777" w:rsidR="007E0ABC" w:rsidRDefault="007E0ABC">
            <w:pPr>
              <w:rPr>
                <w:b/>
                <w:i/>
                <w:sz w:val="18"/>
                <w:szCs w:val="18"/>
              </w:rPr>
            </w:pPr>
            <w:r>
              <w:rPr>
                <w:b/>
                <w:i/>
                <w:sz w:val="18"/>
                <w:szCs w:val="18"/>
              </w:rPr>
              <w:t>Original model</w:t>
            </w:r>
          </w:p>
        </w:tc>
        <w:tc>
          <w:tcPr>
            <w:tcW w:w="651" w:type="dxa"/>
          </w:tcPr>
          <w:p w14:paraId="0AE04FEB" w14:textId="77777777" w:rsidR="007E0ABC" w:rsidRDefault="007E0ABC">
            <w:pPr>
              <w:rPr>
                <w:sz w:val="18"/>
                <w:szCs w:val="18"/>
              </w:rPr>
            </w:pPr>
            <w:r>
              <w:rPr>
                <w:sz w:val="18"/>
                <w:szCs w:val="18"/>
              </w:rPr>
              <w:t>1</w:t>
            </w:r>
          </w:p>
        </w:tc>
        <w:tc>
          <w:tcPr>
            <w:tcW w:w="840" w:type="dxa"/>
          </w:tcPr>
          <w:p w14:paraId="5A66AB1C" w14:textId="77777777" w:rsidR="007E0ABC" w:rsidRDefault="007E0ABC">
            <w:pPr>
              <w:rPr>
                <w:sz w:val="18"/>
                <w:szCs w:val="18"/>
              </w:rPr>
            </w:pPr>
            <w:r>
              <w:rPr>
                <w:sz w:val="18"/>
                <w:szCs w:val="18"/>
              </w:rPr>
              <w:t>1576</w:t>
            </w:r>
          </w:p>
        </w:tc>
        <w:tc>
          <w:tcPr>
            <w:tcW w:w="976" w:type="dxa"/>
          </w:tcPr>
          <w:p w14:paraId="2FBF289D" w14:textId="77777777" w:rsidR="007E0ABC" w:rsidRDefault="007E0ABC">
            <w:pPr>
              <w:tabs>
                <w:tab w:val="left" w:pos="975"/>
              </w:tabs>
              <w:rPr>
                <w:sz w:val="18"/>
                <w:szCs w:val="18"/>
              </w:rPr>
            </w:pPr>
            <w:r>
              <w:rPr>
                <w:sz w:val="18"/>
                <w:szCs w:val="18"/>
              </w:rPr>
              <w:t>-1.02</w:t>
            </w:r>
          </w:p>
        </w:tc>
        <w:tc>
          <w:tcPr>
            <w:tcW w:w="1057" w:type="dxa"/>
          </w:tcPr>
          <w:p w14:paraId="5385E7E6" w14:textId="77777777" w:rsidR="007E0ABC" w:rsidRDefault="007E0ABC">
            <w:pPr>
              <w:rPr>
                <w:sz w:val="18"/>
                <w:szCs w:val="18"/>
              </w:rPr>
            </w:pPr>
            <w:r>
              <w:rPr>
                <w:sz w:val="18"/>
                <w:szCs w:val="18"/>
              </w:rPr>
              <w:t>-1.01</w:t>
            </w:r>
          </w:p>
        </w:tc>
        <w:tc>
          <w:tcPr>
            <w:tcW w:w="1099" w:type="dxa"/>
          </w:tcPr>
          <w:p w14:paraId="531E4CBA" w14:textId="77777777" w:rsidR="007E0ABC" w:rsidRDefault="007E0ABC">
            <w:pPr>
              <w:rPr>
                <w:sz w:val="18"/>
                <w:szCs w:val="18"/>
              </w:rPr>
            </w:pPr>
            <w:r>
              <w:rPr>
                <w:sz w:val="18"/>
                <w:szCs w:val="18"/>
              </w:rPr>
              <w:t>1.01/1.01</w:t>
            </w:r>
          </w:p>
        </w:tc>
        <w:tc>
          <w:tcPr>
            <w:tcW w:w="899" w:type="dxa"/>
          </w:tcPr>
          <w:p w14:paraId="4C72642B" w14:textId="77777777" w:rsidR="007E0ABC" w:rsidRDefault="007E0ABC">
            <w:pPr>
              <w:rPr>
                <w:sz w:val="18"/>
                <w:szCs w:val="18"/>
              </w:rPr>
            </w:pPr>
            <w:r>
              <w:rPr>
                <w:sz w:val="18"/>
                <w:szCs w:val="18"/>
              </w:rPr>
              <w:t>-</w:t>
            </w:r>
          </w:p>
        </w:tc>
        <w:tc>
          <w:tcPr>
            <w:tcW w:w="555" w:type="dxa"/>
          </w:tcPr>
          <w:p w14:paraId="5B79B556" w14:textId="77777777" w:rsidR="007E0ABC" w:rsidRDefault="007E0ABC">
            <w:pPr>
              <w:rPr>
                <w:sz w:val="18"/>
                <w:szCs w:val="18"/>
              </w:rPr>
            </w:pPr>
            <w:r>
              <w:rPr>
                <w:sz w:val="18"/>
                <w:szCs w:val="18"/>
              </w:rPr>
              <w:t>78%</w:t>
            </w:r>
          </w:p>
        </w:tc>
        <w:tc>
          <w:tcPr>
            <w:tcW w:w="555" w:type="dxa"/>
          </w:tcPr>
          <w:p w14:paraId="672E9DC6" w14:textId="77777777" w:rsidR="007E0ABC" w:rsidRDefault="007E0ABC">
            <w:pPr>
              <w:rPr>
                <w:sz w:val="18"/>
                <w:szCs w:val="18"/>
              </w:rPr>
            </w:pPr>
            <w:r>
              <w:rPr>
                <w:sz w:val="18"/>
                <w:szCs w:val="18"/>
              </w:rPr>
              <w:t>45%</w:t>
            </w:r>
          </w:p>
        </w:tc>
        <w:tc>
          <w:tcPr>
            <w:tcW w:w="1264" w:type="dxa"/>
            <w:vMerge w:val="restart"/>
          </w:tcPr>
          <w:p w14:paraId="0267A69A" w14:textId="77777777" w:rsidR="007E0ABC" w:rsidRDefault="007E0ABC">
            <w:pPr>
              <w:rPr>
                <w:sz w:val="18"/>
                <w:szCs w:val="18"/>
              </w:rPr>
            </w:pPr>
            <w:r>
              <w:rPr>
                <w:sz w:val="18"/>
                <w:szCs w:val="18"/>
              </w:rPr>
              <w:t>Cat thresholds not 1.4 logits apart, disordered thresholds, indistinct peaks (one peak within another - 2 + 3 &amp; 4 + 5 indistinguishable, ). collapse 2&amp;3 and 4&amp;5.</w:t>
            </w:r>
          </w:p>
        </w:tc>
      </w:tr>
      <w:tr w:rsidR="007E0ABC" w14:paraId="6F8945B2" w14:textId="77777777">
        <w:tc>
          <w:tcPr>
            <w:tcW w:w="1114" w:type="dxa"/>
            <w:vMerge/>
          </w:tcPr>
          <w:p w14:paraId="06FD9FC9" w14:textId="77777777" w:rsidR="007E0ABC" w:rsidRDefault="007E0ABC">
            <w:pPr>
              <w:widowControl w:val="0"/>
              <w:spacing w:line="276" w:lineRule="auto"/>
              <w:rPr>
                <w:sz w:val="18"/>
                <w:szCs w:val="18"/>
              </w:rPr>
            </w:pPr>
          </w:p>
        </w:tc>
        <w:tc>
          <w:tcPr>
            <w:tcW w:w="651" w:type="dxa"/>
          </w:tcPr>
          <w:p w14:paraId="4AE7A4EE" w14:textId="77777777" w:rsidR="007E0ABC" w:rsidRDefault="007E0ABC">
            <w:pPr>
              <w:rPr>
                <w:sz w:val="18"/>
                <w:szCs w:val="18"/>
              </w:rPr>
            </w:pPr>
            <w:r>
              <w:rPr>
                <w:sz w:val="18"/>
                <w:szCs w:val="18"/>
              </w:rPr>
              <w:t>2</w:t>
            </w:r>
          </w:p>
        </w:tc>
        <w:tc>
          <w:tcPr>
            <w:tcW w:w="840" w:type="dxa"/>
          </w:tcPr>
          <w:p w14:paraId="33AF202B" w14:textId="77777777" w:rsidR="007E0ABC" w:rsidRDefault="007E0ABC">
            <w:pPr>
              <w:rPr>
                <w:sz w:val="18"/>
                <w:szCs w:val="18"/>
              </w:rPr>
            </w:pPr>
            <w:r>
              <w:rPr>
                <w:sz w:val="18"/>
                <w:szCs w:val="18"/>
              </w:rPr>
              <w:t>684</w:t>
            </w:r>
          </w:p>
        </w:tc>
        <w:tc>
          <w:tcPr>
            <w:tcW w:w="976" w:type="dxa"/>
          </w:tcPr>
          <w:p w14:paraId="6071E610" w14:textId="77777777" w:rsidR="007E0ABC" w:rsidRDefault="007E0ABC">
            <w:pPr>
              <w:tabs>
                <w:tab w:val="left" w:pos="975"/>
              </w:tabs>
              <w:rPr>
                <w:sz w:val="18"/>
                <w:szCs w:val="18"/>
              </w:rPr>
            </w:pPr>
            <w:r>
              <w:rPr>
                <w:sz w:val="18"/>
                <w:szCs w:val="18"/>
              </w:rPr>
              <w:t>-0.64</w:t>
            </w:r>
          </w:p>
        </w:tc>
        <w:tc>
          <w:tcPr>
            <w:tcW w:w="1057" w:type="dxa"/>
          </w:tcPr>
          <w:p w14:paraId="0C93E8DB" w14:textId="77777777" w:rsidR="007E0ABC" w:rsidRDefault="007E0ABC">
            <w:pPr>
              <w:rPr>
                <w:sz w:val="18"/>
                <w:szCs w:val="18"/>
              </w:rPr>
            </w:pPr>
            <w:r>
              <w:rPr>
                <w:sz w:val="18"/>
                <w:szCs w:val="18"/>
              </w:rPr>
              <w:t>-0.66</w:t>
            </w:r>
          </w:p>
        </w:tc>
        <w:tc>
          <w:tcPr>
            <w:tcW w:w="1099" w:type="dxa"/>
          </w:tcPr>
          <w:p w14:paraId="2158C266" w14:textId="77777777" w:rsidR="007E0ABC" w:rsidRDefault="007E0ABC">
            <w:pPr>
              <w:rPr>
                <w:sz w:val="18"/>
                <w:szCs w:val="18"/>
              </w:rPr>
            </w:pPr>
            <w:r>
              <w:rPr>
                <w:sz w:val="18"/>
                <w:szCs w:val="18"/>
              </w:rPr>
              <w:t>0.99/0.97</w:t>
            </w:r>
          </w:p>
        </w:tc>
        <w:tc>
          <w:tcPr>
            <w:tcW w:w="899" w:type="dxa"/>
          </w:tcPr>
          <w:p w14:paraId="6526764E" w14:textId="77777777" w:rsidR="007E0ABC" w:rsidRDefault="007E0ABC">
            <w:pPr>
              <w:rPr>
                <w:sz w:val="18"/>
                <w:szCs w:val="18"/>
              </w:rPr>
            </w:pPr>
            <w:r>
              <w:rPr>
                <w:sz w:val="18"/>
                <w:szCs w:val="18"/>
              </w:rPr>
              <w:t>-0.15</w:t>
            </w:r>
          </w:p>
        </w:tc>
        <w:tc>
          <w:tcPr>
            <w:tcW w:w="555" w:type="dxa"/>
          </w:tcPr>
          <w:p w14:paraId="0F957178" w14:textId="77777777" w:rsidR="007E0ABC" w:rsidRDefault="007E0ABC">
            <w:pPr>
              <w:rPr>
                <w:sz w:val="18"/>
                <w:szCs w:val="18"/>
              </w:rPr>
            </w:pPr>
            <w:r>
              <w:rPr>
                <w:sz w:val="18"/>
                <w:szCs w:val="18"/>
              </w:rPr>
              <w:t>30%</w:t>
            </w:r>
          </w:p>
        </w:tc>
        <w:tc>
          <w:tcPr>
            <w:tcW w:w="555" w:type="dxa"/>
          </w:tcPr>
          <w:p w14:paraId="732EC7FB" w14:textId="77777777" w:rsidR="007E0ABC" w:rsidRDefault="007E0ABC">
            <w:pPr>
              <w:rPr>
                <w:sz w:val="18"/>
                <w:szCs w:val="18"/>
              </w:rPr>
            </w:pPr>
            <w:r>
              <w:rPr>
                <w:sz w:val="18"/>
                <w:szCs w:val="18"/>
              </w:rPr>
              <w:t>61%</w:t>
            </w:r>
          </w:p>
        </w:tc>
        <w:tc>
          <w:tcPr>
            <w:tcW w:w="1264" w:type="dxa"/>
            <w:vMerge/>
          </w:tcPr>
          <w:p w14:paraId="64BADBA5" w14:textId="77777777" w:rsidR="007E0ABC" w:rsidRDefault="007E0ABC">
            <w:pPr>
              <w:widowControl w:val="0"/>
              <w:spacing w:line="276" w:lineRule="auto"/>
              <w:rPr>
                <w:sz w:val="18"/>
                <w:szCs w:val="18"/>
              </w:rPr>
            </w:pPr>
          </w:p>
        </w:tc>
      </w:tr>
      <w:tr w:rsidR="007E0ABC" w14:paraId="6FD96956" w14:textId="77777777">
        <w:tc>
          <w:tcPr>
            <w:tcW w:w="1114" w:type="dxa"/>
            <w:vMerge/>
          </w:tcPr>
          <w:p w14:paraId="0043A811" w14:textId="77777777" w:rsidR="007E0ABC" w:rsidRDefault="007E0ABC">
            <w:pPr>
              <w:widowControl w:val="0"/>
              <w:spacing w:line="276" w:lineRule="auto"/>
              <w:rPr>
                <w:sz w:val="18"/>
                <w:szCs w:val="18"/>
              </w:rPr>
            </w:pPr>
          </w:p>
        </w:tc>
        <w:tc>
          <w:tcPr>
            <w:tcW w:w="651" w:type="dxa"/>
          </w:tcPr>
          <w:p w14:paraId="3E9344F4" w14:textId="77777777" w:rsidR="007E0ABC" w:rsidRDefault="007E0ABC">
            <w:pPr>
              <w:rPr>
                <w:sz w:val="18"/>
                <w:szCs w:val="18"/>
              </w:rPr>
            </w:pPr>
            <w:r>
              <w:rPr>
                <w:sz w:val="18"/>
                <w:szCs w:val="18"/>
              </w:rPr>
              <w:t>3</w:t>
            </w:r>
          </w:p>
        </w:tc>
        <w:tc>
          <w:tcPr>
            <w:tcW w:w="840" w:type="dxa"/>
          </w:tcPr>
          <w:p w14:paraId="32C92800" w14:textId="77777777" w:rsidR="007E0ABC" w:rsidRDefault="007E0ABC">
            <w:pPr>
              <w:rPr>
                <w:sz w:val="18"/>
                <w:szCs w:val="18"/>
              </w:rPr>
            </w:pPr>
            <w:r>
              <w:rPr>
                <w:sz w:val="18"/>
                <w:szCs w:val="18"/>
              </w:rPr>
              <w:t>348</w:t>
            </w:r>
          </w:p>
        </w:tc>
        <w:tc>
          <w:tcPr>
            <w:tcW w:w="976" w:type="dxa"/>
          </w:tcPr>
          <w:p w14:paraId="6A104451" w14:textId="77777777" w:rsidR="007E0ABC" w:rsidRDefault="007E0ABC">
            <w:pPr>
              <w:tabs>
                <w:tab w:val="left" w:pos="975"/>
              </w:tabs>
              <w:rPr>
                <w:sz w:val="18"/>
                <w:szCs w:val="18"/>
              </w:rPr>
            </w:pPr>
            <w:r>
              <w:rPr>
                <w:sz w:val="18"/>
                <w:szCs w:val="18"/>
              </w:rPr>
              <w:t>-0.33</w:t>
            </w:r>
          </w:p>
        </w:tc>
        <w:tc>
          <w:tcPr>
            <w:tcW w:w="1057" w:type="dxa"/>
          </w:tcPr>
          <w:p w14:paraId="0D19B9BC" w14:textId="77777777" w:rsidR="007E0ABC" w:rsidRDefault="007E0ABC">
            <w:pPr>
              <w:rPr>
                <w:sz w:val="18"/>
                <w:szCs w:val="18"/>
              </w:rPr>
            </w:pPr>
            <w:r>
              <w:rPr>
                <w:sz w:val="18"/>
                <w:szCs w:val="18"/>
              </w:rPr>
              <w:t>-0.37</w:t>
            </w:r>
          </w:p>
        </w:tc>
        <w:tc>
          <w:tcPr>
            <w:tcW w:w="1099" w:type="dxa"/>
          </w:tcPr>
          <w:p w14:paraId="2EF720C3" w14:textId="77777777" w:rsidR="007E0ABC" w:rsidRDefault="007E0ABC">
            <w:pPr>
              <w:rPr>
                <w:sz w:val="18"/>
                <w:szCs w:val="18"/>
              </w:rPr>
            </w:pPr>
            <w:r>
              <w:rPr>
                <w:sz w:val="18"/>
                <w:szCs w:val="18"/>
              </w:rPr>
              <w:t>0.91/0.84</w:t>
            </w:r>
          </w:p>
        </w:tc>
        <w:tc>
          <w:tcPr>
            <w:tcW w:w="899" w:type="dxa"/>
          </w:tcPr>
          <w:p w14:paraId="59B0ACE8" w14:textId="77777777" w:rsidR="007E0ABC" w:rsidRDefault="007E0ABC">
            <w:pPr>
              <w:rPr>
                <w:sz w:val="18"/>
                <w:szCs w:val="18"/>
              </w:rPr>
            </w:pPr>
            <w:r>
              <w:rPr>
                <w:sz w:val="18"/>
                <w:szCs w:val="18"/>
              </w:rPr>
              <w:t>0.16</w:t>
            </w:r>
          </w:p>
        </w:tc>
        <w:tc>
          <w:tcPr>
            <w:tcW w:w="555" w:type="dxa"/>
          </w:tcPr>
          <w:p w14:paraId="69E638D7" w14:textId="77777777" w:rsidR="007E0ABC" w:rsidRDefault="007E0ABC">
            <w:pPr>
              <w:rPr>
                <w:sz w:val="18"/>
                <w:szCs w:val="18"/>
              </w:rPr>
            </w:pPr>
            <w:r>
              <w:rPr>
                <w:sz w:val="18"/>
                <w:szCs w:val="18"/>
              </w:rPr>
              <w:t>22%</w:t>
            </w:r>
          </w:p>
        </w:tc>
        <w:tc>
          <w:tcPr>
            <w:tcW w:w="555" w:type="dxa"/>
          </w:tcPr>
          <w:p w14:paraId="401F73E9" w14:textId="77777777" w:rsidR="007E0ABC" w:rsidRDefault="007E0ABC">
            <w:pPr>
              <w:rPr>
                <w:sz w:val="18"/>
                <w:szCs w:val="18"/>
              </w:rPr>
            </w:pPr>
            <w:r>
              <w:rPr>
                <w:sz w:val="18"/>
                <w:szCs w:val="18"/>
              </w:rPr>
              <w:t>31%</w:t>
            </w:r>
          </w:p>
        </w:tc>
        <w:tc>
          <w:tcPr>
            <w:tcW w:w="1264" w:type="dxa"/>
            <w:vMerge/>
          </w:tcPr>
          <w:p w14:paraId="11AE8964" w14:textId="77777777" w:rsidR="007E0ABC" w:rsidRDefault="007E0ABC">
            <w:pPr>
              <w:widowControl w:val="0"/>
              <w:spacing w:line="276" w:lineRule="auto"/>
              <w:rPr>
                <w:sz w:val="18"/>
                <w:szCs w:val="18"/>
              </w:rPr>
            </w:pPr>
          </w:p>
        </w:tc>
      </w:tr>
      <w:tr w:rsidR="007E0ABC" w14:paraId="73CF1E5F" w14:textId="77777777">
        <w:tc>
          <w:tcPr>
            <w:tcW w:w="1114" w:type="dxa"/>
            <w:vMerge/>
          </w:tcPr>
          <w:p w14:paraId="02AB084C" w14:textId="77777777" w:rsidR="007E0ABC" w:rsidRDefault="007E0ABC">
            <w:pPr>
              <w:widowControl w:val="0"/>
              <w:spacing w:line="276" w:lineRule="auto"/>
              <w:rPr>
                <w:sz w:val="18"/>
                <w:szCs w:val="18"/>
              </w:rPr>
            </w:pPr>
          </w:p>
        </w:tc>
        <w:tc>
          <w:tcPr>
            <w:tcW w:w="651" w:type="dxa"/>
          </w:tcPr>
          <w:p w14:paraId="766A0F6B" w14:textId="77777777" w:rsidR="007E0ABC" w:rsidRDefault="007E0ABC">
            <w:pPr>
              <w:rPr>
                <w:sz w:val="18"/>
                <w:szCs w:val="18"/>
              </w:rPr>
            </w:pPr>
            <w:r>
              <w:rPr>
                <w:sz w:val="18"/>
                <w:szCs w:val="18"/>
              </w:rPr>
              <w:t>4</w:t>
            </w:r>
          </w:p>
        </w:tc>
        <w:tc>
          <w:tcPr>
            <w:tcW w:w="840" w:type="dxa"/>
          </w:tcPr>
          <w:p w14:paraId="5DDE6479" w14:textId="77777777" w:rsidR="007E0ABC" w:rsidRDefault="007E0ABC">
            <w:pPr>
              <w:rPr>
                <w:sz w:val="18"/>
                <w:szCs w:val="18"/>
              </w:rPr>
            </w:pPr>
            <w:r>
              <w:rPr>
                <w:sz w:val="18"/>
                <w:szCs w:val="18"/>
              </w:rPr>
              <w:t>206</w:t>
            </w:r>
          </w:p>
        </w:tc>
        <w:tc>
          <w:tcPr>
            <w:tcW w:w="976" w:type="dxa"/>
          </w:tcPr>
          <w:p w14:paraId="37C15664" w14:textId="77777777" w:rsidR="007E0ABC" w:rsidRDefault="007E0ABC">
            <w:pPr>
              <w:tabs>
                <w:tab w:val="left" w:pos="975"/>
              </w:tabs>
              <w:rPr>
                <w:sz w:val="18"/>
                <w:szCs w:val="18"/>
              </w:rPr>
            </w:pPr>
            <w:r>
              <w:rPr>
                <w:sz w:val="18"/>
                <w:szCs w:val="18"/>
              </w:rPr>
              <w:t>-0.02</w:t>
            </w:r>
          </w:p>
        </w:tc>
        <w:tc>
          <w:tcPr>
            <w:tcW w:w="1057" w:type="dxa"/>
          </w:tcPr>
          <w:p w14:paraId="0F1C0B67" w14:textId="77777777" w:rsidR="007E0ABC" w:rsidRDefault="007E0ABC">
            <w:pPr>
              <w:rPr>
                <w:sz w:val="18"/>
                <w:szCs w:val="18"/>
              </w:rPr>
            </w:pPr>
            <w:r>
              <w:rPr>
                <w:sz w:val="18"/>
                <w:szCs w:val="18"/>
              </w:rPr>
              <w:t>-0.08</w:t>
            </w:r>
          </w:p>
        </w:tc>
        <w:tc>
          <w:tcPr>
            <w:tcW w:w="1099" w:type="dxa"/>
          </w:tcPr>
          <w:p w14:paraId="41EE366D" w14:textId="77777777" w:rsidR="007E0ABC" w:rsidRDefault="007E0ABC">
            <w:pPr>
              <w:rPr>
                <w:sz w:val="18"/>
                <w:szCs w:val="18"/>
              </w:rPr>
            </w:pPr>
            <w:r>
              <w:rPr>
                <w:sz w:val="18"/>
                <w:szCs w:val="18"/>
              </w:rPr>
              <w:t>0.93/0.91</w:t>
            </w:r>
          </w:p>
        </w:tc>
        <w:tc>
          <w:tcPr>
            <w:tcW w:w="899" w:type="dxa"/>
          </w:tcPr>
          <w:p w14:paraId="6AAABC6D" w14:textId="77777777" w:rsidR="007E0ABC" w:rsidRDefault="007E0ABC">
            <w:pPr>
              <w:rPr>
                <w:sz w:val="18"/>
                <w:szCs w:val="18"/>
              </w:rPr>
            </w:pPr>
            <w:r>
              <w:rPr>
                <w:sz w:val="18"/>
                <w:szCs w:val="18"/>
              </w:rPr>
              <w:t>0.30</w:t>
            </w:r>
          </w:p>
        </w:tc>
        <w:tc>
          <w:tcPr>
            <w:tcW w:w="555" w:type="dxa"/>
          </w:tcPr>
          <w:p w14:paraId="330B90B8" w14:textId="77777777" w:rsidR="007E0ABC" w:rsidRDefault="007E0ABC">
            <w:pPr>
              <w:rPr>
                <w:sz w:val="18"/>
                <w:szCs w:val="18"/>
              </w:rPr>
            </w:pPr>
            <w:r>
              <w:rPr>
                <w:sz w:val="18"/>
                <w:szCs w:val="18"/>
              </w:rPr>
              <w:t>20%</w:t>
            </w:r>
          </w:p>
        </w:tc>
        <w:tc>
          <w:tcPr>
            <w:tcW w:w="555" w:type="dxa"/>
          </w:tcPr>
          <w:p w14:paraId="5DBBA4A1" w14:textId="77777777" w:rsidR="007E0ABC" w:rsidRDefault="007E0ABC">
            <w:pPr>
              <w:rPr>
                <w:sz w:val="18"/>
                <w:szCs w:val="18"/>
              </w:rPr>
            </w:pPr>
            <w:r>
              <w:rPr>
                <w:sz w:val="18"/>
                <w:szCs w:val="18"/>
              </w:rPr>
              <w:t>19%</w:t>
            </w:r>
          </w:p>
        </w:tc>
        <w:tc>
          <w:tcPr>
            <w:tcW w:w="1264" w:type="dxa"/>
            <w:vMerge/>
          </w:tcPr>
          <w:p w14:paraId="02A7A0C4" w14:textId="77777777" w:rsidR="007E0ABC" w:rsidRDefault="007E0ABC">
            <w:pPr>
              <w:widowControl w:val="0"/>
              <w:spacing w:line="276" w:lineRule="auto"/>
              <w:rPr>
                <w:sz w:val="18"/>
                <w:szCs w:val="18"/>
              </w:rPr>
            </w:pPr>
          </w:p>
        </w:tc>
      </w:tr>
      <w:tr w:rsidR="007E0ABC" w14:paraId="08B3C77A" w14:textId="77777777">
        <w:trPr>
          <w:trHeight w:val="63"/>
        </w:trPr>
        <w:tc>
          <w:tcPr>
            <w:tcW w:w="1114" w:type="dxa"/>
            <w:vMerge/>
          </w:tcPr>
          <w:p w14:paraId="6BCD11EE" w14:textId="77777777" w:rsidR="007E0ABC" w:rsidRDefault="007E0ABC">
            <w:pPr>
              <w:widowControl w:val="0"/>
              <w:spacing w:line="276" w:lineRule="auto"/>
              <w:rPr>
                <w:sz w:val="18"/>
                <w:szCs w:val="18"/>
              </w:rPr>
            </w:pPr>
          </w:p>
        </w:tc>
        <w:tc>
          <w:tcPr>
            <w:tcW w:w="651" w:type="dxa"/>
          </w:tcPr>
          <w:p w14:paraId="3535CC20" w14:textId="77777777" w:rsidR="007E0ABC" w:rsidRDefault="007E0ABC">
            <w:pPr>
              <w:rPr>
                <w:sz w:val="18"/>
                <w:szCs w:val="18"/>
              </w:rPr>
            </w:pPr>
            <w:r>
              <w:rPr>
                <w:sz w:val="18"/>
                <w:szCs w:val="18"/>
              </w:rPr>
              <w:t>5</w:t>
            </w:r>
          </w:p>
        </w:tc>
        <w:tc>
          <w:tcPr>
            <w:tcW w:w="840" w:type="dxa"/>
          </w:tcPr>
          <w:p w14:paraId="6BE4BA6B" w14:textId="77777777" w:rsidR="007E0ABC" w:rsidRDefault="007E0ABC">
            <w:pPr>
              <w:rPr>
                <w:sz w:val="18"/>
                <w:szCs w:val="18"/>
              </w:rPr>
            </w:pPr>
            <w:r>
              <w:rPr>
                <w:sz w:val="18"/>
                <w:szCs w:val="18"/>
              </w:rPr>
              <w:t>336</w:t>
            </w:r>
          </w:p>
        </w:tc>
        <w:tc>
          <w:tcPr>
            <w:tcW w:w="976" w:type="dxa"/>
          </w:tcPr>
          <w:p w14:paraId="40D0900F" w14:textId="77777777" w:rsidR="007E0ABC" w:rsidRDefault="007E0ABC">
            <w:pPr>
              <w:tabs>
                <w:tab w:val="left" w:pos="975"/>
              </w:tabs>
              <w:rPr>
                <w:sz w:val="18"/>
                <w:szCs w:val="18"/>
              </w:rPr>
            </w:pPr>
            <w:r>
              <w:rPr>
                <w:sz w:val="18"/>
                <w:szCs w:val="18"/>
              </w:rPr>
              <w:t>0.25</w:t>
            </w:r>
          </w:p>
        </w:tc>
        <w:tc>
          <w:tcPr>
            <w:tcW w:w="1057" w:type="dxa"/>
          </w:tcPr>
          <w:p w14:paraId="1C336C96" w14:textId="77777777" w:rsidR="007E0ABC" w:rsidRDefault="007E0ABC">
            <w:pPr>
              <w:rPr>
                <w:sz w:val="18"/>
                <w:szCs w:val="18"/>
              </w:rPr>
            </w:pPr>
            <w:r>
              <w:rPr>
                <w:sz w:val="18"/>
                <w:szCs w:val="18"/>
              </w:rPr>
              <w:t>0.32</w:t>
            </w:r>
          </w:p>
        </w:tc>
        <w:tc>
          <w:tcPr>
            <w:tcW w:w="1099" w:type="dxa"/>
          </w:tcPr>
          <w:p w14:paraId="7BD987DC" w14:textId="77777777" w:rsidR="007E0ABC" w:rsidRDefault="007E0ABC">
            <w:pPr>
              <w:rPr>
                <w:sz w:val="18"/>
                <w:szCs w:val="18"/>
              </w:rPr>
            </w:pPr>
            <w:r>
              <w:rPr>
                <w:sz w:val="18"/>
                <w:szCs w:val="18"/>
              </w:rPr>
              <w:t>1.11/1.12</w:t>
            </w:r>
          </w:p>
        </w:tc>
        <w:tc>
          <w:tcPr>
            <w:tcW w:w="899" w:type="dxa"/>
          </w:tcPr>
          <w:p w14:paraId="633E0D2A" w14:textId="77777777" w:rsidR="007E0ABC" w:rsidRDefault="007E0ABC">
            <w:pPr>
              <w:rPr>
                <w:sz w:val="18"/>
                <w:szCs w:val="18"/>
              </w:rPr>
            </w:pPr>
            <w:r>
              <w:rPr>
                <w:sz w:val="18"/>
                <w:szCs w:val="18"/>
              </w:rPr>
              <w:t>-0.32</w:t>
            </w:r>
          </w:p>
        </w:tc>
        <w:tc>
          <w:tcPr>
            <w:tcW w:w="555" w:type="dxa"/>
          </w:tcPr>
          <w:p w14:paraId="5E8BE30A" w14:textId="77777777" w:rsidR="007E0ABC" w:rsidRDefault="007E0ABC">
            <w:pPr>
              <w:rPr>
                <w:sz w:val="18"/>
                <w:szCs w:val="18"/>
              </w:rPr>
            </w:pPr>
            <w:r>
              <w:rPr>
                <w:sz w:val="18"/>
                <w:szCs w:val="18"/>
              </w:rPr>
              <w:t>73%</w:t>
            </w:r>
          </w:p>
        </w:tc>
        <w:tc>
          <w:tcPr>
            <w:tcW w:w="555" w:type="dxa"/>
          </w:tcPr>
          <w:p w14:paraId="3791EE38" w14:textId="77777777" w:rsidR="007E0ABC" w:rsidRDefault="007E0ABC">
            <w:pPr>
              <w:rPr>
                <w:sz w:val="18"/>
                <w:szCs w:val="18"/>
              </w:rPr>
            </w:pPr>
            <w:r>
              <w:rPr>
                <w:sz w:val="18"/>
                <w:szCs w:val="18"/>
              </w:rPr>
              <w:t>13%</w:t>
            </w:r>
          </w:p>
        </w:tc>
        <w:tc>
          <w:tcPr>
            <w:tcW w:w="1264" w:type="dxa"/>
            <w:vMerge/>
          </w:tcPr>
          <w:p w14:paraId="746CB049" w14:textId="77777777" w:rsidR="007E0ABC" w:rsidRDefault="007E0ABC">
            <w:pPr>
              <w:widowControl w:val="0"/>
              <w:spacing w:line="276" w:lineRule="auto"/>
              <w:rPr>
                <w:sz w:val="18"/>
                <w:szCs w:val="18"/>
              </w:rPr>
            </w:pPr>
          </w:p>
        </w:tc>
      </w:tr>
      <w:tr w:rsidR="007E0ABC" w14:paraId="095C2B17" w14:textId="77777777">
        <w:trPr>
          <w:trHeight w:val="180"/>
        </w:trPr>
        <w:tc>
          <w:tcPr>
            <w:tcW w:w="1114" w:type="dxa"/>
            <w:vMerge w:val="restart"/>
          </w:tcPr>
          <w:p w14:paraId="73F8369C" w14:textId="77777777" w:rsidR="007E0ABC" w:rsidRDefault="007E0ABC">
            <w:pPr>
              <w:rPr>
                <w:b/>
                <w:i/>
                <w:sz w:val="18"/>
                <w:szCs w:val="18"/>
              </w:rPr>
            </w:pPr>
            <w:r>
              <w:rPr>
                <w:b/>
                <w:i/>
                <w:sz w:val="18"/>
                <w:szCs w:val="18"/>
              </w:rPr>
              <w:t>M1 – Collapsed categories 2&amp;3, 4&amp;5</w:t>
            </w:r>
          </w:p>
        </w:tc>
        <w:tc>
          <w:tcPr>
            <w:tcW w:w="651" w:type="dxa"/>
          </w:tcPr>
          <w:p w14:paraId="1453EDB8" w14:textId="77777777" w:rsidR="007E0ABC" w:rsidRDefault="007E0ABC">
            <w:pPr>
              <w:rPr>
                <w:sz w:val="18"/>
                <w:szCs w:val="18"/>
              </w:rPr>
            </w:pPr>
            <w:r>
              <w:rPr>
                <w:sz w:val="18"/>
                <w:szCs w:val="18"/>
              </w:rPr>
              <w:t>1</w:t>
            </w:r>
          </w:p>
        </w:tc>
        <w:tc>
          <w:tcPr>
            <w:tcW w:w="840" w:type="dxa"/>
          </w:tcPr>
          <w:p w14:paraId="72D366CF" w14:textId="77777777" w:rsidR="007E0ABC" w:rsidRDefault="007E0ABC">
            <w:pPr>
              <w:rPr>
                <w:sz w:val="18"/>
                <w:szCs w:val="18"/>
              </w:rPr>
            </w:pPr>
            <w:r>
              <w:rPr>
                <w:sz w:val="18"/>
                <w:szCs w:val="18"/>
              </w:rPr>
              <w:t>1576 (50%)</w:t>
            </w:r>
          </w:p>
        </w:tc>
        <w:tc>
          <w:tcPr>
            <w:tcW w:w="976" w:type="dxa"/>
          </w:tcPr>
          <w:p w14:paraId="331C1188" w14:textId="77777777" w:rsidR="007E0ABC" w:rsidRDefault="007E0ABC">
            <w:pPr>
              <w:tabs>
                <w:tab w:val="left" w:pos="975"/>
              </w:tabs>
              <w:rPr>
                <w:sz w:val="18"/>
                <w:szCs w:val="18"/>
              </w:rPr>
            </w:pPr>
            <w:r>
              <w:rPr>
                <w:sz w:val="18"/>
                <w:szCs w:val="18"/>
              </w:rPr>
              <w:t>-1.40</w:t>
            </w:r>
          </w:p>
        </w:tc>
        <w:tc>
          <w:tcPr>
            <w:tcW w:w="1057" w:type="dxa"/>
          </w:tcPr>
          <w:p w14:paraId="56D94B79" w14:textId="77777777" w:rsidR="007E0ABC" w:rsidRDefault="007E0ABC">
            <w:pPr>
              <w:rPr>
                <w:sz w:val="18"/>
                <w:szCs w:val="18"/>
              </w:rPr>
            </w:pPr>
            <w:r>
              <w:rPr>
                <w:sz w:val="18"/>
                <w:szCs w:val="18"/>
              </w:rPr>
              <w:t>-1.38</w:t>
            </w:r>
          </w:p>
        </w:tc>
        <w:tc>
          <w:tcPr>
            <w:tcW w:w="1099" w:type="dxa"/>
          </w:tcPr>
          <w:p w14:paraId="69313C38" w14:textId="77777777" w:rsidR="007E0ABC" w:rsidRDefault="007E0ABC">
            <w:pPr>
              <w:rPr>
                <w:sz w:val="18"/>
                <w:szCs w:val="18"/>
              </w:rPr>
            </w:pPr>
            <w:r>
              <w:rPr>
                <w:sz w:val="18"/>
                <w:szCs w:val="18"/>
              </w:rPr>
              <w:t>1.01/1.03</w:t>
            </w:r>
          </w:p>
        </w:tc>
        <w:tc>
          <w:tcPr>
            <w:tcW w:w="899" w:type="dxa"/>
          </w:tcPr>
          <w:p w14:paraId="20E01354" w14:textId="77777777" w:rsidR="007E0ABC" w:rsidRDefault="007E0ABC">
            <w:pPr>
              <w:rPr>
                <w:sz w:val="18"/>
                <w:szCs w:val="18"/>
              </w:rPr>
            </w:pPr>
            <w:r>
              <w:rPr>
                <w:sz w:val="18"/>
                <w:szCs w:val="18"/>
              </w:rPr>
              <w:t>-</w:t>
            </w:r>
          </w:p>
        </w:tc>
        <w:tc>
          <w:tcPr>
            <w:tcW w:w="555" w:type="dxa"/>
          </w:tcPr>
          <w:p w14:paraId="4F522EF8" w14:textId="77777777" w:rsidR="007E0ABC" w:rsidRDefault="007E0ABC">
            <w:pPr>
              <w:rPr>
                <w:sz w:val="18"/>
                <w:szCs w:val="18"/>
              </w:rPr>
            </w:pPr>
            <w:r>
              <w:rPr>
                <w:sz w:val="18"/>
                <w:szCs w:val="18"/>
              </w:rPr>
              <w:t>76%</w:t>
            </w:r>
          </w:p>
        </w:tc>
        <w:tc>
          <w:tcPr>
            <w:tcW w:w="555" w:type="dxa"/>
          </w:tcPr>
          <w:p w14:paraId="1EE0B570" w14:textId="77777777" w:rsidR="007E0ABC" w:rsidRDefault="007E0ABC">
            <w:pPr>
              <w:rPr>
                <w:sz w:val="18"/>
                <w:szCs w:val="18"/>
              </w:rPr>
            </w:pPr>
            <w:r>
              <w:rPr>
                <w:sz w:val="18"/>
                <w:szCs w:val="18"/>
              </w:rPr>
              <w:t>63%</w:t>
            </w:r>
          </w:p>
        </w:tc>
        <w:tc>
          <w:tcPr>
            <w:tcW w:w="1264" w:type="dxa"/>
            <w:vMerge w:val="restart"/>
          </w:tcPr>
          <w:p w14:paraId="2D9D5F42" w14:textId="77777777" w:rsidR="007E0ABC" w:rsidRDefault="007E0ABC">
            <w:pPr>
              <w:rPr>
                <w:sz w:val="18"/>
                <w:szCs w:val="18"/>
              </w:rPr>
            </w:pPr>
            <w:r>
              <w:rPr>
                <w:sz w:val="18"/>
                <w:szCs w:val="18"/>
              </w:rPr>
              <w:t>All category conditions satisfied except C-M for category 3 under 40% threshold, and just under 1.4 mark.</w:t>
            </w:r>
          </w:p>
        </w:tc>
      </w:tr>
      <w:tr w:rsidR="007E0ABC" w14:paraId="012C7072" w14:textId="77777777">
        <w:trPr>
          <w:trHeight w:val="180"/>
        </w:trPr>
        <w:tc>
          <w:tcPr>
            <w:tcW w:w="1114" w:type="dxa"/>
            <w:vMerge/>
          </w:tcPr>
          <w:p w14:paraId="2FEDC91A" w14:textId="77777777" w:rsidR="007E0ABC" w:rsidRDefault="007E0ABC">
            <w:pPr>
              <w:rPr>
                <w:b/>
                <w:i/>
                <w:sz w:val="18"/>
                <w:szCs w:val="18"/>
              </w:rPr>
            </w:pPr>
          </w:p>
        </w:tc>
        <w:tc>
          <w:tcPr>
            <w:tcW w:w="651" w:type="dxa"/>
          </w:tcPr>
          <w:p w14:paraId="5048C9AE" w14:textId="77777777" w:rsidR="007E0ABC" w:rsidRDefault="007E0ABC">
            <w:pPr>
              <w:rPr>
                <w:sz w:val="18"/>
                <w:szCs w:val="18"/>
              </w:rPr>
            </w:pPr>
            <w:r>
              <w:rPr>
                <w:sz w:val="18"/>
                <w:szCs w:val="18"/>
              </w:rPr>
              <w:t>2</w:t>
            </w:r>
          </w:p>
        </w:tc>
        <w:tc>
          <w:tcPr>
            <w:tcW w:w="840" w:type="dxa"/>
          </w:tcPr>
          <w:p w14:paraId="136DECE2" w14:textId="77777777" w:rsidR="007E0ABC" w:rsidRDefault="007E0ABC">
            <w:pPr>
              <w:rPr>
                <w:sz w:val="18"/>
                <w:szCs w:val="18"/>
              </w:rPr>
            </w:pPr>
            <w:r>
              <w:rPr>
                <w:sz w:val="18"/>
                <w:szCs w:val="18"/>
              </w:rPr>
              <w:t>1032 (33%)</w:t>
            </w:r>
          </w:p>
        </w:tc>
        <w:tc>
          <w:tcPr>
            <w:tcW w:w="976" w:type="dxa"/>
          </w:tcPr>
          <w:p w14:paraId="7B255751" w14:textId="77777777" w:rsidR="007E0ABC" w:rsidRDefault="007E0ABC">
            <w:pPr>
              <w:tabs>
                <w:tab w:val="left" w:pos="975"/>
              </w:tabs>
              <w:rPr>
                <w:sz w:val="18"/>
                <w:szCs w:val="18"/>
              </w:rPr>
            </w:pPr>
            <w:r>
              <w:rPr>
                <w:sz w:val="18"/>
                <w:szCs w:val="18"/>
              </w:rPr>
              <w:t>-0.49</w:t>
            </w:r>
          </w:p>
        </w:tc>
        <w:tc>
          <w:tcPr>
            <w:tcW w:w="1057" w:type="dxa"/>
          </w:tcPr>
          <w:p w14:paraId="6293A7A0" w14:textId="77777777" w:rsidR="007E0ABC" w:rsidRDefault="007E0ABC">
            <w:pPr>
              <w:rPr>
                <w:sz w:val="18"/>
                <w:szCs w:val="18"/>
              </w:rPr>
            </w:pPr>
            <w:r>
              <w:rPr>
                <w:sz w:val="18"/>
                <w:szCs w:val="18"/>
              </w:rPr>
              <w:t>-0.54</w:t>
            </w:r>
          </w:p>
        </w:tc>
        <w:tc>
          <w:tcPr>
            <w:tcW w:w="1099" w:type="dxa"/>
          </w:tcPr>
          <w:p w14:paraId="55927FDD" w14:textId="77777777" w:rsidR="007E0ABC" w:rsidRDefault="007E0ABC">
            <w:pPr>
              <w:rPr>
                <w:sz w:val="18"/>
                <w:szCs w:val="18"/>
              </w:rPr>
            </w:pPr>
            <w:r>
              <w:rPr>
                <w:sz w:val="18"/>
                <w:szCs w:val="18"/>
              </w:rPr>
              <w:t>0.92/0.90</w:t>
            </w:r>
          </w:p>
        </w:tc>
        <w:tc>
          <w:tcPr>
            <w:tcW w:w="899" w:type="dxa"/>
          </w:tcPr>
          <w:p w14:paraId="704019D9" w14:textId="77777777" w:rsidR="007E0ABC" w:rsidRDefault="007E0ABC">
            <w:pPr>
              <w:rPr>
                <w:sz w:val="18"/>
                <w:szCs w:val="18"/>
              </w:rPr>
            </w:pPr>
            <w:r>
              <w:rPr>
                <w:sz w:val="18"/>
                <w:szCs w:val="18"/>
              </w:rPr>
              <w:t>0.63</w:t>
            </w:r>
          </w:p>
        </w:tc>
        <w:tc>
          <w:tcPr>
            <w:tcW w:w="555" w:type="dxa"/>
          </w:tcPr>
          <w:p w14:paraId="662C8E7E" w14:textId="77777777" w:rsidR="007E0ABC" w:rsidRDefault="007E0ABC">
            <w:pPr>
              <w:rPr>
                <w:sz w:val="18"/>
                <w:szCs w:val="18"/>
              </w:rPr>
            </w:pPr>
            <w:r>
              <w:rPr>
                <w:sz w:val="18"/>
                <w:szCs w:val="18"/>
              </w:rPr>
              <w:t>48%</w:t>
            </w:r>
          </w:p>
        </w:tc>
        <w:tc>
          <w:tcPr>
            <w:tcW w:w="555" w:type="dxa"/>
          </w:tcPr>
          <w:p w14:paraId="566370EE" w14:textId="77777777" w:rsidR="007E0ABC" w:rsidRDefault="007E0ABC">
            <w:pPr>
              <w:rPr>
                <w:sz w:val="18"/>
                <w:szCs w:val="18"/>
              </w:rPr>
            </w:pPr>
            <w:r>
              <w:rPr>
                <w:sz w:val="18"/>
                <w:szCs w:val="18"/>
              </w:rPr>
              <w:t>73%</w:t>
            </w:r>
          </w:p>
        </w:tc>
        <w:tc>
          <w:tcPr>
            <w:tcW w:w="1264" w:type="dxa"/>
            <w:vMerge/>
          </w:tcPr>
          <w:p w14:paraId="3FF04FA6" w14:textId="77777777" w:rsidR="007E0ABC" w:rsidRDefault="007E0ABC">
            <w:pPr>
              <w:rPr>
                <w:sz w:val="18"/>
                <w:szCs w:val="18"/>
              </w:rPr>
            </w:pPr>
          </w:p>
        </w:tc>
      </w:tr>
      <w:tr w:rsidR="007E0ABC" w14:paraId="27D98CDA" w14:textId="77777777">
        <w:trPr>
          <w:trHeight w:val="180"/>
        </w:trPr>
        <w:tc>
          <w:tcPr>
            <w:tcW w:w="1114" w:type="dxa"/>
            <w:vMerge/>
          </w:tcPr>
          <w:p w14:paraId="20E2706D" w14:textId="77777777" w:rsidR="007E0ABC" w:rsidRDefault="007E0ABC">
            <w:pPr>
              <w:rPr>
                <w:b/>
                <w:i/>
                <w:sz w:val="18"/>
                <w:szCs w:val="18"/>
              </w:rPr>
            </w:pPr>
          </w:p>
        </w:tc>
        <w:tc>
          <w:tcPr>
            <w:tcW w:w="651" w:type="dxa"/>
          </w:tcPr>
          <w:p w14:paraId="29FFC31E" w14:textId="77777777" w:rsidR="007E0ABC" w:rsidRDefault="007E0ABC">
            <w:pPr>
              <w:rPr>
                <w:sz w:val="18"/>
                <w:szCs w:val="18"/>
              </w:rPr>
            </w:pPr>
            <w:r>
              <w:rPr>
                <w:sz w:val="18"/>
                <w:szCs w:val="18"/>
              </w:rPr>
              <w:t>3</w:t>
            </w:r>
          </w:p>
        </w:tc>
        <w:tc>
          <w:tcPr>
            <w:tcW w:w="840" w:type="dxa"/>
          </w:tcPr>
          <w:p w14:paraId="53ED19BF" w14:textId="77777777" w:rsidR="007E0ABC" w:rsidRDefault="007E0ABC">
            <w:pPr>
              <w:rPr>
                <w:sz w:val="18"/>
                <w:szCs w:val="18"/>
              </w:rPr>
            </w:pPr>
            <w:r>
              <w:rPr>
                <w:sz w:val="18"/>
                <w:szCs w:val="18"/>
              </w:rPr>
              <w:t>542 (17%)</w:t>
            </w:r>
          </w:p>
        </w:tc>
        <w:tc>
          <w:tcPr>
            <w:tcW w:w="976" w:type="dxa"/>
          </w:tcPr>
          <w:p w14:paraId="4A018D4A" w14:textId="77777777" w:rsidR="007E0ABC" w:rsidRDefault="007E0ABC">
            <w:pPr>
              <w:tabs>
                <w:tab w:val="left" w:pos="975"/>
              </w:tabs>
              <w:rPr>
                <w:sz w:val="18"/>
                <w:szCs w:val="18"/>
              </w:rPr>
            </w:pPr>
            <w:r>
              <w:rPr>
                <w:sz w:val="18"/>
                <w:szCs w:val="18"/>
              </w:rPr>
              <w:t>0.42</w:t>
            </w:r>
          </w:p>
        </w:tc>
        <w:tc>
          <w:tcPr>
            <w:tcW w:w="1057" w:type="dxa"/>
          </w:tcPr>
          <w:p w14:paraId="38962A66" w14:textId="77777777" w:rsidR="007E0ABC" w:rsidRDefault="007E0ABC">
            <w:pPr>
              <w:rPr>
                <w:sz w:val="18"/>
                <w:szCs w:val="18"/>
              </w:rPr>
            </w:pPr>
            <w:r>
              <w:rPr>
                <w:sz w:val="18"/>
                <w:szCs w:val="18"/>
              </w:rPr>
              <w:t>0.47</w:t>
            </w:r>
          </w:p>
        </w:tc>
        <w:tc>
          <w:tcPr>
            <w:tcW w:w="1099" w:type="dxa"/>
          </w:tcPr>
          <w:p w14:paraId="73E54EB6" w14:textId="77777777" w:rsidR="007E0ABC" w:rsidRDefault="007E0ABC">
            <w:pPr>
              <w:rPr>
                <w:sz w:val="18"/>
                <w:szCs w:val="18"/>
              </w:rPr>
            </w:pPr>
            <w:r>
              <w:rPr>
                <w:sz w:val="18"/>
                <w:szCs w:val="18"/>
              </w:rPr>
              <w:t>1.05/1.06</w:t>
            </w:r>
          </w:p>
        </w:tc>
        <w:tc>
          <w:tcPr>
            <w:tcW w:w="899" w:type="dxa"/>
          </w:tcPr>
          <w:p w14:paraId="3F099D25" w14:textId="77777777" w:rsidR="007E0ABC" w:rsidRDefault="007E0ABC">
            <w:pPr>
              <w:rPr>
                <w:sz w:val="18"/>
                <w:szCs w:val="18"/>
              </w:rPr>
            </w:pPr>
            <w:r>
              <w:rPr>
                <w:sz w:val="18"/>
                <w:szCs w:val="18"/>
              </w:rPr>
              <w:t>-0.63</w:t>
            </w:r>
          </w:p>
        </w:tc>
        <w:tc>
          <w:tcPr>
            <w:tcW w:w="555" w:type="dxa"/>
          </w:tcPr>
          <w:p w14:paraId="6EDE6630" w14:textId="77777777" w:rsidR="007E0ABC" w:rsidRDefault="007E0ABC">
            <w:pPr>
              <w:rPr>
                <w:sz w:val="18"/>
                <w:szCs w:val="18"/>
              </w:rPr>
            </w:pPr>
            <w:r>
              <w:rPr>
                <w:sz w:val="18"/>
                <w:szCs w:val="18"/>
              </w:rPr>
              <w:t>72%</w:t>
            </w:r>
          </w:p>
        </w:tc>
        <w:tc>
          <w:tcPr>
            <w:tcW w:w="555" w:type="dxa"/>
          </w:tcPr>
          <w:p w14:paraId="65031FCB" w14:textId="77777777" w:rsidR="007E0ABC" w:rsidRDefault="007E0ABC">
            <w:pPr>
              <w:rPr>
                <w:sz w:val="18"/>
                <w:szCs w:val="18"/>
              </w:rPr>
            </w:pPr>
            <w:r>
              <w:rPr>
                <w:sz w:val="18"/>
                <w:szCs w:val="18"/>
              </w:rPr>
              <w:t>25%</w:t>
            </w:r>
          </w:p>
        </w:tc>
        <w:tc>
          <w:tcPr>
            <w:tcW w:w="1264" w:type="dxa"/>
            <w:vMerge/>
          </w:tcPr>
          <w:p w14:paraId="43E79F5D" w14:textId="77777777" w:rsidR="007E0ABC" w:rsidRDefault="007E0ABC">
            <w:pPr>
              <w:rPr>
                <w:sz w:val="18"/>
                <w:szCs w:val="18"/>
              </w:rPr>
            </w:pPr>
          </w:p>
        </w:tc>
      </w:tr>
      <w:tr w:rsidR="007E0ABC" w14:paraId="6C6ABA6D" w14:textId="77777777">
        <w:trPr>
          <w:trHeight w:val="180"/>
        </w:trPr>
        <w:tc>
          <w:tcPr>
            <w:tcW w:w="1114" w:type="dxa"/>
            <w:vMerge w:val="restart"/>
          </w:tcPr>
          <w:p w14:paraId="5FFD4768" w14:textId="77777777" w:rsidR="007E0ABC" w:rsidRDefault="007E0ABC">
            <w:pPr>
              <w:rPr>
                <w:b/>
                <w:i/>
                <w:sz w:val="18"/>
                <w:szCs w:val="18"/>
              </w:rPr>
            </w:pPr>
            <w:r>
              <w:rPr>
                <w:b/>
                <w:i/>
                <w:sz w:val="18"/>
                <w:szCs w:val="18"/>
              </w:rPr>
              <w:t xml:space="preserve">M2 - 47 Misfitting persons removed </w:t>
            </w:r>
          </w:p>
        </w:tc>
        <w:tc>
          <w:tcPr>
            <w:tcW w:w="651" w:type="dxa"/>
          </w:tcPr>
          <w:p w14:paraId="12A9542D" w14:textId="77777777" w:rsidR="007E0ABC" w:rsidRDefault="007E0ABC">
            <w:pPr>
              <w:rPr>
                <w:sz w:val="18"/>
                <w:szCs w:val="18"/>
              </w:rPr>
            </w:pPr>
            <w:r>
              <w:rPr>
                <w:sz w:val="18"/>
                <w:szCs w:val="18"/>
              </w:rPr>
              <w:t>1</w:t>
            </w:r>
          </w:p>
        </w:tc>
        <w:tc>
          <w:tcPr>
            <w:tcW w:w="840" w:type="dxa"/>
          </w:tcPr>
          <w:p w14:paraId="050EEB56" w14:textId="77777777" w:rsidR="007E0ABC" w:rsidRDefault="007E0ABC">
            <w:pPr>
              <w:rPr>
                <w:sz w:val="18"/>
                <w:szCs w:val="18"/>
              </w:rPr>
            </w:pPr>
            <w:r>
              <w:rPr>
                <w:sz w:val="18"/>
                <w:szCs w:val="18"/>
              </w:rPr>
              <w:t>1383 (49%)</w:t>
            </w:r>
          </w:p>
        </w:tc>
        <w:tc>
          <w:tcPr>
            <w:tcW w:w="976" w:type="dxa"/>
          </w:tcPr>
          <w:p w14:paraId="2867036E" w14:textId="77777777" w:rsidR="007E0ABC" w:rsidRDefault="007E0ABC">
            <w:pPr>
              <w:tabs>
                <w:tab w:val="left" w:pos="975"/>
              </w:tabs>
              <w:rPr>
                <w:sz w:val="18"/>
                <w:szCs w:val="18"/>
              </w:rPr>
            </w:pPr>
            <w:r>
              <w:rPr>
                <w:sz w:val="18"/>
                <w:szCs w:val="18"/>
              </w:rPr>
              <w:t>-1.64</w:t>
            </w:r>
          </w:p>
        </w:tc>
        <w:tc>
          <w:tcPr>
            <w:tcW w:w="1057" w:type="dxa"/>
          </w:tcPr>
          <w:p w14:paraId="12FB6DDA" w14:textId="77777777" w:rsidR="007E0ABC" w:rsidRDefault="007E0ABC">
            <w:pPr>
              <w:rPr>
                <w:sz w:val="18"/>
                <w:szCs w:val="18"/>
              </w:rPr>
            </w:pPr>
            <w:r>
              <w:rPr>
                <w:sz w:val="18"/>
                <w:szCs w:val="18"/>
              </w:rPr>
              <w:t>-1.63</w:t>
            </w:r>
          </w:p>
        </w:tc>
        <w:tc>
          <w:tcPr>
            <w:tcW w:w="1099" w:type="dxa"/>
          </w:tcPr>
          <w:p w14:paraId="52B20455" w14:textId="77777777" w:rsidR="007E0ABC" w:rsidRDefault="007E0ABC">
            <w:pPr>
              <w:rPr>
                <w:sz w:val="18"/>
                <w:szCs w:val="18"/>
              </w:rPr>
            </w:pPr>
            <w:r>
              <w:rPr>
                <w:sz w:val="18"/>
                <w:szCs w:val="18"/>
              </w:rPr>
              <w:t>1.01/1.00</w:t>
            </w:r>
          </w:p>
        </w:tc>
        <w:tc>
          <w:tcPr>
            <w:tcW w:w="899" w:type="dxa"/>
          </w:tcPr>
          <w:p w14:paraId="125D1D4E" w14:textId="77777777" w:rsidR="007E0ABC" w:rsidRDefault="007E0ABC">
            <w:pPr>
              <w:rPr>
                <w:sz w:val="18"/>
                <w:szCs w:val="18"/>
              </w:rPr>
            </w:pPr>
            <w:r>
              <w:rPr>
                <w:sz w:val="18"/>
                <w:szCs w:val="18"/>
              </w:rPr>
              <w:t>-</w:t>
            </w:r>
          </w:p>
        </w:tc>
        <w:tc>
          <w:tcPr>
            <w:tcW w:w="555" w:type="dxa"/>
          </w:tcPr>
          <w:p w14:paraId="1939E672" w14:textId="77777777" w:rsidR="007E0ABC" w:rsidRDefault="007E0ABC">
            <w:pPr>
              <w:rPr>
                <w:sz w:val="18"/>
                <w:szCs w:val="18"/>
              </w:rPr>
            </w:pPr>
            <w:r>
              <w:rPr>
                <w:sz w:val="18"/>
                <w:szCs w:val="18"/>
              </w:rPr>
              <w:t>75%</w:t>
            </w:r>
          </w:p>
        </w:tc>
        <w:tc>
          <w:tcPr>
            <w:tcW w:w="555" w:type="dxa"/>
          </w:tcPr>
          <w:p w14:paraId="5D4A643A" w14:textId="77777777" w:rsidR="007E0ABC" w:rsidRDefault="007E0ABC">
            <w:pPr>
              <w:rPr>
                <w:sz w:val="18"/>
                <w:szCs w:val="18"/>
              </w:rPr>
            </w:pPr>
            <w:r>
              <w:rPr>
                <w:sz w:val="18"/>
                <w:szCs w:val="18"/>
              </w:rPr>
              <w:t>64%</w:t>
            </w:r>
          </w:p>
        </w:tc>
        <w:tc>
          <w:tcPr>
            <w:tcW w:w="1264" w:type="dxa"/>
            <w:vMerge w:val="restart"/>
          </w:tcPr>
          <w:p w14:paraId="09F3E37C" w14:textId="77777777" w:rsidR="007E0ABC" w:rsidRDefault="007E0ABC">
            <w:pPr>
              <w:rPr>
                <w:sz w:val="18"/>
                <w:szCs w:val="18"/>
              </w:rPr>
            </w:pPr>
            <w:r>
              <w:rPr>
                <w:sz w:val="18"/>
                <w:szCs w:val="18"/>
              </w:rPr>
              <w:t>All category conditions satisfied except C-M for category 3 under 40% threshold.</w:t>
            </w:r>
          </w:p>
        </w:tc>
      </w:tr>
      <w:tr w:rsidR="007E0ABC" w14:paraId="44B49329" w14:textId="77777777">
        <w:trPr>
          <w:trHeight w:val="180"/>
        </w:trPr>
        <w:tc>
          <w:tcPr>
            <w:tcW w:w="1114" w:type="dxa"/>
            <w:vMerge/>
          </w:tcPr>
          <w:p w14:paraId="557ED225" w14:textId="77777777" w:rsidR="007E0ABC" w:rsidRDefault="007E0ABC">
            <w:pPr>
              <w:rPr>
                <w:b/>
                <w:i/>
                <w:sz w:val="18"/>
                <w:szCs w:val="18"/>
              </w:rPr>
            </w:pPr>
          </w:p>
        </w:tc>
        <w:tc>
          <w:tcPr>
            <w:tcW w:w="651" w:type="dxa"/>
          </w:tcPr>
          <w:p w14:paraId="7D50BAAB" w14:textId="77777777" w:rsidR="007E0ABC" w:rsidRDefault="007E0ABC">
            <w:pPr>
              <w:rPr>
                <w:sz w:val="18"/>
                <w:szCs w:val="18"/>
              </w:rPr>
            </w:pPr>
            <w:r>
              <w:rPr>
                <w:sz w:val="18"/>
                <w:szCs w:val="18"/>
              </w:rPr>
              <w:t>2</w:t>
            </w:r>
          </w:p>
        </w:tc>
        <w:tc>
          <w:tcPr>
            <w:tcW w:w="840" w:type="dxa"/>
          </w:tcPr>
          <w:p w14:paraId="1D161B2C" w14:textId="77777777" w:rsidR="007E0ABC" w:rsidRDefault="007E0ABC">
            <w:pPr>
              <w:rPr>
                <w:sz w:val="18"/>
                <w:szCs w:val="18"/>
              </w:rPr>
            </w:pPr>
            <w:r>
              <w:rPr>
                <w:sz w:val="18"/>
                <w:szCs w:val="18"/>
              </w:rPr>
              <w:t>1003 (36%)</w:t>
            </w:r>
          </w:p>
        </w:tc>
        <w:tc>
          <w:tcPr>
            <w:tcW w:w="976" w:type="dxa"/>
          </w:tcPr>
          <w:p w14:paraId="741D33EF" w14:textId="77777777" w:rsidR="007E0ABC" w:rsidRDefault="007E0ABC">
            <w:pPr>
              <w:tabs>
                <w:tab w:val="left" w:pos="975"/>
              </w:tabs>
              <w:rPr>
                <w:sz w:val="18"/>
                <w:szCs w:val="18"/>
              </w:rPr>
            </w:pPr>
            <w:r>
              <w:rPr>
                <w:sz w:val="18"/>
                <w:szCs w:val="18"/>
              </w:rPr>
              <w:t>-0.55</w:t>
            </w:r>
          </w:p>
        </w:tc>
        <w:tc>
          <w:tcPr>
            <w:tcW w:w="1057" w:type="dxa"/>
          </w:tcPr>
          <w:p w14:paraId="1F5E4692" w14:textId="77777777" w:rsidR="007E0ABC" w:rsidRDefault="007E0ABC">
            <w:pPr>
              <w:rPr>
                <w:sz w:val="18"/>
                <w:szCs w:val="18"/>
              </w:rPr>
            </w:pPr>
            <w:r>
              <w:rPr>
                <w:sz w:val="18"/>
                <w:szCs w:val="18"/>
              </w:rPr>
              <w:t>-0.59</w:t>
            </w:r>
          </w:p>
        </w:tc>
        <w:tc>
          <w:tcPr>
            <w:tcW w:w="1099" w:type="dxa"/>
          </w:tcPr>
          <w:p w14:paraId="7EC6147E" w14:textId="77777777" w:rsidR="007E0ABC" w:rsidRDefault="007E0ABC">
            <w:pPr>
              <w:rPr>
                <w:sz w:val="18"/>
                <w:szCs w:val="18"/>
              </w:rPr>
            </w:pPr>
            <w:r>
              <w:rPr>
                <w:sz w:val="18"/>
                <w:szCs w:val="18"/>
              </w:rPr>
              <w:t>0.97/0.96</w:t>
            </w:r>
          </w:p>
        </w:tc>
        <w:tc>
          <w:tcPr>
            <w:tcW w:w="899" w:type="dxa"/>
          </w:tcPr>
          <w:p w14:paraId="100D3497" w14:textId="77777777" w:rsidR="007E0ABC" w:rsidRDefault="007E0ABC">
            <w:pPr>
              <w:rPr>
                <w:sz w:val="18"/>
                <w:szCs w:val="18"/>
              </w:rPr>
            </w:pPr>
            <w:r>
              <w:rPr>
                <w:sz w:val="18"/>
                <w:szCs w:val="18"/>
              </w:rPr>
              <w:t>-0.97</w:t>
            </w:r>
          </w:p>
        </w:tc>
        <w:tc>
          <w:tcPr>
            <w:tcW w:w="555" w:type="dxa"/>
          </w:tcPr>
          <w:p w14:paraId="65A7406C" w14:textId="77777777" w:rsidR="007E0ABC" w:rsidRDefault="007E0ABC">
            <w:pPr>
              <w:rPr>
                <w:sz w:val="18"/>
                <w:szCs w:val="18"/>
              </w:rPr>
            </w:pPr>
            <w:r>
              <w:rPr>
                <w:sz w:val="18"/>
                <w:szCs w:val="18"/>
              </w:rPr>
              <w:t>52%</w:t>
            </w:r>
          </w:p>
        </w:tc>
        <w:tc>
          <w:tcPr>
            <w:tcW w:w="555" w:type="dxa"/>
          </w:tcPr>
          <w:p w14:paraId="5C5F5895" w14:textId="77777777" w:rsidR="007E0ABC" w:rsidRDefault="007E0ABC">
            <w:pPr>
              <w:rPr>
                <w:sz w:val="18"/>
                <w:szCs w:val="18"/>
              </w:rPr>
            </w:pPr>
            <w:r>
              <w:rPr>
                <w:sz w:val="18"/>
                <w:szCs w:val="18"/>
              </w:rPr>
              <w:t>73%</w:t>
            </w:r>
          </w:p>
        </w:tc>
        <w:tc>
          <w:tcPr>
            <w:tcW w:w="1264" w:type="dxa"/>
            <w:vMerge/>
          </w:tcPr>
          <w:p w14:paraId="50D634CE" w14:textId="77777777" w:rsidR="007E0ABC" w:rsidRDefault="007E0ABC">
            <w:pPr>
              <w:rPr>
                <w:sz w:val="18"/>
                <w:szCs w:val="18"/>
              </w:rPr>
            </w:pPr>
          </w:p>
        </w:tc>
      </w:tr>
      <w:tr w:rsidR="007E0ABC" w14:paraId="57CA6836" w14:textId="77777777">
        <w:trPr>
          <w:trHeight w:val="180"/>
        </w:trPr>
        <w:tc>
          <w:tcPr>
            <w:tcW w:w="1114" w:type="dxa"/>
            <w:vMerge/>
          </w:tcPr>
          <w:p w14:paraId="5E7E5AF1" w14:textId="77777777" w:rsidR="007E0ABC" w:rsidRDefault="007E0ABC">
            <w:pPr>
              <w:rPr>
                <w:b/>
                <w:i/>
                <w:sz w:val="18"/>
                <w:szCs w:val="18"/>
              </w:rPr>
            </w:pPr>
          </w:p>
        </w:tc>
        <w:tc>
          <w:tcPr>
            <w:tcW w:w="651" w:type="dxa"/>
          </w:tcPr>
          <w:p w14:paraId="3073C198" w14:textId="77777777" w:rsidR="007E0ABC" w:rsidRDefault="007E0ABC">
            <w:pPr>
              <w:rPr>
                <w:sz w:val="18"/>
                <w:szCs w:val="18"/>
              </w:rPr>
            </w:pPr>
            <w:r>
              <w:rPr>
                <w:sz w:val="18"/>
                <w:szCs w:val="18"/>
              </w:rPr>
              <w:t>3</w:t>
            </w:r>
          </w:p>
        </w:tc>
        <w:tc>
          <w:tcPr>
            <w:tcW w:w="840" w:type="dxa"/>
          </w:tcPr>
          <w:p w14:paraId="63D6A93A" w14:textId="77777777" w:rsidR="007E0ABC" w:rsidRDefault="007E0ABC">
            <w:pPr>
              <w:rPr>
                <w:sz w:val="18"/>
                <w:szCs w:val="18"/>
              </w:rPr>
            </w:pPr>
            <w:r>
              <w:rPr>
                <w:sz w:val="18"/>
                <w:szCs w:val="18"/>
              </w:rPr>
              <w:t>435 (15)</w:t>
            </w:r>
          </w:p>
        </w:tc>
        <w:tc>
          <w:tcPr>
            <w:tcW w:w="976" w:type="dxa"/>
          </w:tcPr>
          <w:p w14:paraId="3D26FB13" w14:textId="77777777" w:rsidR="007E0ABC" w:rsidRDefault="007E0ABC">
            <w:pPr>
              <w:tabs>
                <w:tab w:val="left" w:pos="975"/>
              </w:tabs>
              <w:rPr>
                <w:sz w:val="18"/>
                <w:szCs w:val="18"/>
              </w:rPr>
            </w:pPr>
            <w:r>
              <w:rPr>
                <w:sz w:val="18"/>
                <w:szCs w:val="18"/>
              </w:rPr>
              <w:t>0.61</w:t>
            </w:r>
          </w:p>
        </w:tc>
        <w:tc>
          <w:tcPr>
            <w:tcW w:w="1057" w:type="dxa"/>
          </w:tcPr>
          <w:p w14:paraId="1B7ADC0D" w14:textId="77777777" w:rsidR="007E0ABC" w:rsidRDefault="007E0ABC">
            <w:pPr>
              <w:rPr>
                <w:sz w:val="18"/>
                <w:szCs w:val="18"/>
              </w:rPr>
            </w:pPr>
            <w:r>
              <w:rPr>
                <w:sz w:val="18"/>
                <w:szCs w:val="18"/>
              </w:rPr>
              <w:t>0.65</w:t>
            </w:r>
          </w:p>
        </w:tc>
        <w:tc>
          <w:tcPr>
            <w:tcW w:w="1099" w:type="dxa"/>
          </w:tcPr>
          <w:p w14:paraId="53589186" w14:textId="77777777" w:rsidR="007E0ABC" w:rsidRDefault="007E0ABC">
            <w:pPr>
              <w:rPr>
                <w:sz w:val="18"/>
                <w:szCs w:val="18"/>
              </w:rPr>
            </w:pPr>
            <w:r>
              <w:rPr>
                <w:sz w:val="18"/>
                <w:szCs w:val="18"/>
              </w:rPr>
              <w:t>1.03/0.99</w:t>
            </w:r>
          </w:p>
        </w:tc>
        <w:tc>
          <w:tcPr>
            <w:tcW w:w="899" w:type="dxa"/>
          </w:tcPr>
          <w:p w14:paraId="07D3A15E" w14:textId="77777777" w:rsidR="007E0ABC" w:rsidRDefault="007E0ABC">
            <w:pPr>
              <w:rPr>
                <w:sz w:val="18"/>
                <w:szCs w:val="18"/>
              </w:rPr>
            </w:pPr>
            <w:r>
              <w:rPr>
                <w:sz w:val="18"/>
                <w:szCs w:val="18"/>
              </w:rPr>
              <w:t>0.97</w:t>
            </w:r>
          </w:p>
        </w:tc>
        <w:tc>
          <w:tcPr>
            <w:tcW w:w="555" w:type="dxa"/>
          </w:tcPr>
          <w:p w14:paraId="5CE244E6" w14:textId="77777777" w:rsidR="007E0ABC" w:rsidRDefault="007E0ABC">
            <w:pPr>
              <w:rPr>
                <w:sz w:val="18"/>
                <w:szCs w:val="18"/>
              </w:rPr>
            </w:pPr>
            <w:r>
              <w:rPr>
                <w:sz w:val="18"/>
                <w:szCs w:val="18"/>
              </w:rPr>
              <w:t>71%</w:t>
            </w:r>
          </w:p>
        </w:tc>
        <w:tc>
          <w:tcPr>
            <w:tcW w:w="555" w:type="dxa"/>
          </w:tcPr>
          <w:p w14:paraId="6F7A1CC5" w14:textId="77777777" w:rsidR="007E0ABC" w:rsidRDefault="007E0ABC">
            <w:pPr>
              <w:rPr>
                <w:sz w:val="18"/>
                <w:szCs w:val="18"/>
              </w:rPr>
            </w:pPr>
            <w:r>
              <w:rPr>
                <w:sz w:val="18"/>
                <w:szCs w:val="18"/>
              </w:rPr>
              <w:t>27%</w:t>
            </w:r>
          </w:p>
        </w:tc>
        <w:tc>
          <w:tcPr>
            <w:tcW w:w="1264" w:type="dxa"/>
            <w:vMerge/>
          </w:tcPr>
          <w:p w14:paraId="3AAE9D04" w14:textId="77777777" w:rsidR="007E0ABC" w:rsidRDefault="007E0ABC">
            <w:pPr>
              <w:rPr>
                <w:sz w:val="18"/>
                <w:szCs w:val="18"/>
              </w:rPr>
            </w:pPr>
          </w:p>
        </w:tc>
      </w:tr>
    </w:tbl>
    <w:p w14:paraId="0B0CBD95" w14:textId="77777777" w:rsidR="007E0ABC" w:rsidRDefault="007E0ABC">
      <w:pPr>
        <w:rPr>
          <w:b/>
          <w:color w:val="2F5496"/>
          <w:sz w:val="28"/>
          <w:szCs w:val="28"/>
          <w:u w:val="single"/>
        </w:rPr>
      </w:pPr>
    </w:p>
    <w:p w14:paraId="02D1A811" w14:textId="77777777" w:rsidR="007E0ABC" w:rsidRDefault="007E0ABC">
      <w:pPr>
        <w:rPr>
          <w:sz w:val="22"/>
          <w:szCs w:val="22"/>
        </w:rPr>
      </w:pPr>
      <w:r>
        <w:rPr>
          <w:sz w:val="22"/>
          <w:szCs w:val="22"/>
        </w:rPr>
        <w:t>New rating scale: Agree, Neither agree/disagree, Disagree</w:t>
      </w:r>
    </w:p>
    <w:p w14:paraId="40294AB9" w14:textId="77777777" w:rsidR="007E0ABC" w:rsidRDefault="007E0ABC">
      <w:pPr>
        <w:rPr>
          <w:b/>
          <w:color w:val="2F5496"/>
          <w:sz w:val="28"/>
          <w:szCs w:val="28"/>
          <w:u w:val="single"/>
        </w:rPr>
      </w:pPr>
    </w:p>
    <w:p w14:paraId="0B247E0B" w14:textId="77777777" w:rsidR="007E0ABC" w:rsidRPr="00652C7E" w:rsidRDefault="007E0ABC" w:rsidP="007E0ABC">
      <w:pPr>
        <w:pStyle w:val="ListParagraph"/>
        <w:numPr>
          <w:ilvl w:val="0"/>
          <w:numId w:val="217"/>
        </w:numPr>
        <w:spacing w:after="160" w:line="259" w:lineRule="auto"/>
        <w:rPr>
          <w:szCs w:val="20"/>
          <w:u w:val="single"/>
        </w:rPr>
      </w:pPr>
      <w:r>
        <w:rPr>
          <w:szCs w:val="20"/>
          <w:u w:val="single"/>
        </w:rPr>
        <w:t>T</w:t>
      </w:r>
      <w:r w:rsidRPr="00652C7E">
        <w:rPr>
          <w:szCs w:val="20"/>
          <w:u w:val="single"/>
        </w:rPr>
        <w:t>able n. Global Statistics/Overall fit</w:t>
      </w:r>
    </w:p>
    <w:tbl>
      <w:tblPr>
        <w:tblW w:w="6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2041"/>
      </w:tblGrid>
      <w:tr w:rsidR="007E0ABC" w14:paraId="710AC42A" w14:textId="77777777">
        <w:tc>
          <w:tcPr>
            <w:tcW w:w="1555" w:type="dxa"/>
          </w:tcPr>
          <w:p w14:paraId="12042685" w14:textId="77777777" w:rsidR="007E0ABC" w:rsidRDefault="007E0ABC">
            <w:pPr>
              <w:spacing w:line="276" w:lineRule="auto"/>
              <w:rPr>
                <w:b/>
                <w:szCs w:val="20"/>
              </w:rPr>
            </w:pPr>
            <w:r>
              <w:rPr>
                <w:b/>
                <w:szCs w:val="20"/>
              </w:rPr>
              <w:t>Model</w:t>
            </w:r>
          </w:p>
        </w:tc>
        <w:tc>
          <w:tcPr>
            <w:tcW w:w="1559" w:type="dxa"/>
          </w:tcPr>
          <w:p w14:paraId="44466A79" w14:textId="77777777" w:rsidR="007E0ABC" w:rsidRDefault="007E0ABC">
            <w:pPr>
              <w:spacing w:line="276" w:lineRule="auto"/>
              <w:rPr>
                <w:b/>
                <w:szCs w:val="20"/>
              </w:rPr>
            </w:pPr>
            <w:r>
              <w:rPr>
                <w:b/>
                <w:szCs w:val="20"/>
              </w:rPr>
              <w:t>Statistic</w:t>
            </w:r>
          </w:p>
        </w:tc>
        <w:tc>
          <w:tcPr>
            <w:tcW w:w="1559" w:type="dxa"/>
          </w:tcPr>
          <w:p w14:paraId="5C6F7999" w14:textId="77777777" w:rsidR="007E0ABC" w:rsidRDefault="007E0ABC">
            <w:pPr>
              <w:spacing w:line="276" w:lineRule="auto"/>
              <w:rPr>
                <w:szCs w:val="20"/>
              </w:rPr>
            </w:pPr>
          </w:p>
        </w:tc>
        <w:tc>
          <w:tcPr>
            <w:tcW w:w="2041" w:type="dxa"/>
          </w:tcPr>
          <w:p w14:paraId="3B98D406" w14:textId="77777777" w:rsidR="007E0ABC" w:rsidRDefault="007E0ABC">
            <w:pPr>
              <w:spacing w:line="276" w:lineRule="auto"/>
              <w:rPr>
                <w:b/>
                <w:szCs w:val="20"/>
              </w:rPr>
            </w:pPr>
            <w:r>
              <w:rPr>
                <w:b/>
                <w:szCs w:val="20"/>
              </w:rPr>
              <w:t>Summary/decision</w:t>
            </w:r>
          </w:p>
        </w:tc>
      </w:tr>
      <w:tr w:rsidR="007E0ABC" w14:paraId="0CADEF0A" w14:textId="77777777">
        <w:tc>
          <w:tcPr>
            <w:tcW w:w="1555" w:type="dxa"/>
            <w:vMerge w:val="restart"/>
          </w:tcPr>
          <w:p w14:paraId="4514853B" w14:textId="77777777" w:rsidR="007E0ABC" w:rsidRDefault="007E0ABC">
            <w:pPr>
              <w:spacing w:line="276" w:lineRule="auto"/>
              <w:rPr>
                <w:i/>
                <w:szCs w:val="20"/>
              </w:rPr>
            </w:pPr>
            <w:r>
              <w:rPr>
                <w:i/>
                <w:szCs w:val="20"/>
              </w:rPr>
              <w:t>Original model</w:t>
            </w:r>
          </w:p>
        </w:tc>
        <w:tc>
          <w:tcPr>
            <w:tcW w:w="1559" w:type="dxa"/>
          </w:tcPr>
          <w:p w14:paraId="3F47F995" w14:textId="77777777" w:rsidR="007E0ABC" w:rsidRDefault="007E0ABC">
            <w:pPr>
              <w:spacing w:line="276" w:lineRule="auto"/>
              <w:rPr>
                <w:i/>
                <w:szCs w:val="20"/>
              </w:rPr>
            </w:pPr>
            <w:r>
              <w:rPr>
                <w:i/>
                <w:szCs w:val="20"/>
              </w:rPr>
              <w:t>Chi-square (</w:t>
            </w:r>
            <w:proofErr w:type="spellStart"/>
            <w:r>
              <w:rPr>
                <w:i/>
                <w:szCs w:val="20"/>
              </w:rPr>
              <w:t>df</w:t>
            </w:r>
            <w:proofErr w:type="spellEnd"/>
            <w:r>
              <w:rPr>
                <w:i/>
                <w:szCs w:val="20"/>
              </w:rPr>
              <w:t>)</w:t>
            </w:r>
          </w:p>
          <w:p w14:paraId="473E981A" w14:textId="77777777" w:rsidR="007E0ABC" w:rsidRDefault="007E0ABC">
            <w:pPr>
              <w:spacing w:line="276" w:lineRule="auto"/>
              <w:rPr>
                <w:i/>
                <w:szCs w:val="20"/>
              </w:rPr>
            </w:pPr>
            <w:r>
              <w:rPr>
                <w:i/>
                <w:szCs w:val="20"/>
              </w:rPr>
              <w:t>p-value</w:t>
            </w:r>
          </w:p>
        </w:tc>
        <w:tc>
          <w:tcPr>
            <w:tcW w:w="1559" w:type="dxa"/>
          </w:tcPr>
          <w:p w14:paraId="475E0885" w14:textId="77777777" w:rsidR="007E0ABC" w:rsidRDefault="007E0ABC">
            <w:pPr>
              <w:spacing w:line="276" w:lineRule="auto"/>
              <w:rPr>
                <w:szCs w:val="20"/>
              </w:rPr>
            </w:pPr>
            <w:r>
              <w:rPr>
                <w:szCs w:val="20"/>
              </w:rPr>
              <w:t>6738.2</w:t>
            </w:r>
          </w:p>
          <w:p w14:paraId="7D799F71" w14:textId="77777777" w:rsidR="007E0ABC" w:rsidRDefault="007E0ABC">
            <w:pPr>
              <w:spacing w:line="276" w:lineRule="auto"/>
              <w:rPr>
                <w:szCs w:val="20"/>
              </w:rPr>
            </w:pPr>
            <w:r>
              <w:rPr>
                <w:szCs w:val="20"/>
              </w:rPr>
              <w:t>2896</w:t>
            </w:r>
          </w:p>
          <w:p w14:paraId="3DE6BD0B" w14:textId="77777777" w:rsidR="007E0ABC" w:rsidRDefault="007E0ABC">
            <w:pPr>
              <w:spacing w:line="276" w:lineRule="auto"/>
              <w:rPr>
                <w:szCs w:val="20"/>
              </w:rPr>
            </w:pPr>
            <w:r>
              <w:rPr>
                <w:szCs w:val="20"/>
              </w:rPr>
              <w:t>0.000</w:t>
            </w:r>
          </w:p>
        </w:tc>
        <w:tc>
          <w:tcPr>
            <w:tcW w:w="2041" w:type="dxa"/>
          </w:tcPr>
          <w:p w14:paraId="57EF26BC" w14:textId="77777777" w:rsidR="007E0ABC" w:rsidRDefault="007E0ABC">
            <w:pPr>
              <w:spacing w:line="276" w:lineRule="auto"/>
              <w:rPr>
                <w:szCs w:val="20"/>
              </w:rPr>
            </w:pPr>
          </w:p>
        </w:tc>
      </w:tr>
      <w:tr w:rsidR="007E0ABC" w14:paraId="5C44E0D2" w14:textId="77777777">
        <w:tc>
          <w:tcPr>
            <w:tcW w:w="1555" w:type="dxa"/>
            <w:vMerge/>
          </w:tcPr>
          <w:p w14:paraId="07B805F6" w14:textId="77777777" w:rsidR="007E0ABC" w:rsidRDefault="007E0ABC">
            <w:pPr>
              <w:widowControl w:val="0"/>
              <w:spacing w:line="276" w:lineRule="auto"/>
            </w:pPr>
          </w:p>
        </w:tc>
        <w:tc>
          <w:tcPr>
            <w:tcW w:w="1559" w:type="dxa"/>
          </w:tcPr>
          <w:p w14:paraId="39C9721A" w14:textId="77777777" w:rsidR="007E0ABC" w:rsidRDefault="007E0ABC">
            <w:pPr>
              <w:spacing w:line="276" w:lineRule="auto"/>
              <w:rPr>
                <w:i/>
                <w:szCs w:val="20"/>
              </w:rPr>
            </w:pPr>
            <w:r>
              <w:rPr>
                <w:i/>
                <w:szCs w:val="20"/>
              </w:rPr>
              <w:t>INFIT MNSQ</w:t>
            </w:r>
          </w:p>
        </w:tc>
        <w:tc>
          <w:tcPr>
            <w:tcW w:w="1559" w:type="dxa"/>
          </w:tcPr>
          <w:p w14:paraId="002B3115" w14:textId="77777777" w:rsidR="007E0ABC" w:rsidRDefault="007E0ABC">
            <w:pPr>
              <w:spacing w:line="276" w:lineRule="auto"/>
              <w:rPr>
                <w:szCs w:val="20"/>
              </w:rPr>
            </w:pPr>
            <w:r>
              <w:rPr>
                <w:szCs w:val="20"/>
              </w:rPr>
              <w:t>1.02</w:t>
            </w:r>
          </w:p>
        </w:tc>
        <w:tc>
          <w:tcPr>
            <w:tcW w:w="2041" w:type="dxa"/>
          </w:tcPr>
          <w:p w14:paraId="140699BF" w14:textId="77777777" w:rsidR="007E0ABC" w:rsidRDefault="007E0ABC">
            <w:pPr>
              <w:spacing w:line="276" w:lineRule="auto"/>
              <w:rPr>
                <w:szCs w:val="20"/>
              </w:rPr>
            </w:pPr>
          </w:p>
        </w:tc>
      </w:tr>
      <w:tr w:rsidR="007E0ABC" w14:paraId="5AE59C52" w14:textId="77777777">
        <w:tc>
          <w:tcPr>
            <w:tcW w:w="1555" w:type="dxa"/>
            <w:vMerge/>
          </w:tcPr>
          <w:p w14:paraId="5971B57B" w14:textId="77777777" w:rsidR="007E0ABC" w:rsidRDefault="007E0ABC">
            <w:pPr>
              <w:widowControl w:val="0"/>
              <w:spacing w:line="276" w:lineRule="auto"/>
            </w:pPr>
          </w:p>
        </w:tc>
        <w:tc>
          <w:tcPr>
            <w:tcW w:w="1559" w:type="dxa"/>
          </w:tcPr>
          <w:p w14:paraId="7A4C0FE3" w14:textId="77777777" w:rsidR="007E0ABC" w:rsidRDefault="007E0ABC">
            <w:pPr>
              <w:spacing w:line="276" w:lineRule="auto"/>
              <w:rPr>
                <w:i/>
                <w:szCs w:val="20"/>
              </w:rPr>
            </w:pPr>
            <w:r>
              <w:rPr>
                <w:i/>
                <w:szCs w:val="20"/>
              </w:rPr>
              <w:t>INFIT ZSTD</w:t>
            </w:r>
          </w:p>
        </w:tc>
        <w:tc>
          <w:tcPr>
            <w:tcW w:w="1559" w:type="dxa"/>
          </w:tcPr>
          <w:p w14:paraId="530A805C" w14:textId="77777777" w:rsidR="007E0ABC" w:rsidRDefault="007E0ABC">
            <w:pPr>
              <w:spacing w:line="276" w:lineRule="auto"/>
              <w:rPr>
                <w:szCs w:val="20"/>
              </w:rPr>
            </w:pPr>
            <w:r>
              <w:rPr>
                <w:szCs w:val="20"/>
              </w:rPr>
              <w:t>0.31</w:t>
            </w:r>
          </w:p>
        </w:tc>
        <w:tc>
          <w:tcPr>
            <w:tcW w:w="2041" w:type="dxa"/>
          </w:tcPr>
          <w:p w14:paraId="54EB1DDD" w14:textId="77777777" w:rsidR="007E0ABC" w:rsidRDefault="007E0ABC">
            <w:pPr>
              <w:spacing w:line="276" w:lineRule="auto"/>
              <w:rPr>
                <w:szCs w:val="20"/>
              </w:rPr>
            </w:pPr>
          </w:p>
        </w:tc>
      </w:tr>
      <w:tr w:rsidR="007E0ABC" w14:paraId="1B6BBE8A" w14:textId="77777777">
        <w:tc>
          <w:tcPr>
            <w:tcW w:w="1555" w:type="dxa"/>
            <w:vMerge/>
          </w:tcPr>
          <w:p w14:paraId="35AAEB5A" w14:textId="77777777" w:rsidR="007E0ABC" w:rsidRDefault="007E0ABC">
            <w:pPr>
              <w:widowControl w:val="0"/>
              <w:spacing w:line="276" w:lineRule="auto"/>
            </w:pPr>
          </w:p>
        </w:tc>
        <w:tc>
          <w:tcPr>
            <w:tcW w:w="1559" w:type="dxa"/>
          </w:tcPr>
          <w:p w14:paraId="7913B54E" w14:textId="77777777" w:rsidR="007E0ABC" w:rsidRDefault="007E0ABC">
            <w:pPr>
              <w:spacing w:line="276" w:lineRule="auto"/>
              <w:rPr>
                <w:i/>
                <w:szCs w:val="20"/>
              </w:rPr>
            </w:pPr>
            <w:r>
              <w:rPr>
                <w:i/>
                <w:szCs w:val="20"/>
              </w:rPr>
              <w:t>OUTFIT MNSQ</w:t>
            </w:r>
          </w:p>
        </w:tc>
        <w:tc>
          <w:tcPr>
            <w:tcW w:w="1559" w:type="dxa"/>
          </w:tcPr>
          <w:p w14:paraId="041F7AD5" w14:textId="77777777" w:rsidR="007E0ABC" w:rsidRDefault="007E0ABC">
            <w:pPr>
              <w:spacing w:line="276" w:lineRule="auto"/>
              <w:rPr>
                <w:szCs w:val="20"/>
              </w:rPr>
            </w:pPr>
            <w:r>
              <w:rPr>
                <w:szCs w:val="20"/>
              </w:rPr>
              <w:t>0.99</w:t>
            </w:r>
          </w:p>
        </w:tc>
        <w:tc>
          <w:tcPr>
            <w:tcW w:w="2041" w:type="dxa"/>
          </w:tcPr>
          <w:p w14:paraId="46B7FCD8" w14:textId="77777777" w:rsidR="007E0ABC" w:rsidRDefault="007E0ABC">
            <w:pPr>
              <w:spacing w:line="276" w:lineRule="auto"/>
              <w:rPr>
                <w:szCs w:val="20"/>
              </w:rPr>
            </w:pPr>
          </w:p>
        </w:tc>
      </w:tr>
      <w:tr w:rsidR="007E0ABC" w14:paraId="1A3A9659" w14:textId="77777777">
        <w:tc>
          <w:tcPr>
            <w:tcW w:w="1555" w:type="dxa"/>
            <w:vMerge/>
          </w:tcPr>
          <w:p w14:paraId="0F798655" w14:textId="77777777" w:rsidR="007E0ABC" w:rsidRDefault="007E0ABC">
            <w:pPr>
              <w:widowControl w:val="0"/>
              <w:spacing w:line="276" w:lineRule="auto"/>
            </w:pPr>
          </w:p>
        </w:tc>
        <w:tc>
          <w:tcPr>
            <w:tcW w:w="1559" w:type="dxa"/>
          </w:tcPr>
          <w:p w14:paraId="44232852" w14:textId="77777777" w:rsidR="007E0ABC" w:rsidRDefault="007E0ABC">
            <w:pPr>
              <w:spacing w:line="276" w:lineRule="auto"/>
              <w:rPr>
                <w:i/>
                <w:szCs w:val="20"/>
              </w:rPr>
            </w:pPr>
            <w:r>
              <w:rPr>
                <w:i/>
                <w:szCs w:val="20"/>
              </w:rPr>
              <w:t>OUTFIT ZSTD</w:t>
            </w:r>
          </w:p>
        </w:tc>
        <w:tc>
          <w:tcPr>
            <w:tcW w:w="1559" w:type="dxa"/>
          </w:tcPr>
          <w:p w14:paraId="13CEA988" w14:textId="77777777" w:rsidR="007E0ABC" w:rsidRDefault="007E0ABC">
            <w:pPr>
              <w:spacing w:line="276" w:lineRule="auto"/>
              <w:rPr>
                <w:szCs w:val="20"/>
              </w:rPr>
            </w:pPr>
            <w:r>
              <w:rPr>
                <w:szCs w:val="20"/>
              </w:rPr>
              <w:t>-0.02</w:t>
            </w:r>
          </w:p>
        </w:tc>
        <w:tc>
          <w:tcPr>
            <w:tcW w:w="2041" w:type="dxa"/>
          </w:tcPr>
          <w:p w14:paraId="7A4A94C7" w14:textId="77777777" w:rsidR="007E0ABC" w:rsidRDefault="007E0ABC">
            <w:pPr>
              <w:spacing w:line="276" w:lineRule="auto"/>
              <w:rPr>
                <w:szCs w:val="20"/>
              </w:rPr>
            </w:pPr>
          </w:p>
        </w:tc>
      </w:tr>
      <w:tr w:rsidR="007E0ABC" w14:paraId="0C0AAD40" w14:textId="77777777">
        <w:trPr>
          <w:trHeight w:val="220"/>
        </w:trPr>
        <w:tc>
          <w:tcPr>
            <w:tcW w:w="1555" w:type="dxa"/>
            <w:vMerge w:val="restart"/>
          </w:tcPr>
          <w:p w14:paraId="54A69824" w14:textId="77777777" w:rsidR="007E0ABC" w:rsidRDefault="007E0ABC">
            <w:pPr>
              <w:spacing w:line="276" w:lineRule="auto"/>
              <w:rPr>
                <w:szCs w:val="20"/>
              </w:rPr>
            </w:pPr>
            <w:r>
              <w:rPr>
                <w:i/>
                <w:szCs w:val="20"/>
              </w:rPr>
              <w:t>M1 – Collapsed categories 2&amp;3, 4&amp;5</w:t>
            </w:r>
          </w:p>
        </w:tc>
        <w:tc>
          <w:tcPr>
            <w:tcW w:w="1559" w:type="dxa"/>
          </w:tcPr>
          <w:p w14:paraId="162785AE" w14:textId="77777777" w:rsidR="007E0ABC" w:rsidRDefault="007E0ABC">
            <w:pPr>
              <w:spacing w:line="276" w:lineRule="auto"/>
              <w:rPr>
                <w:i/>
                <w:szCs w:val="20"/>
              </w:rPr>
            </w:pPr>
            <w:r>
              <w:rPr>
                <w:i/>
                <w:szCs w:val="20"/>
              </w:rPr>
              <w:t>Chi-square (</w:t>
            </w:r>
            <w:proofErr w:type="spellStart"/>
            <w:r>
              <w:rPr>
                <w:i/>
                <w:szCs w:val="20"/>
              </w:rPr>
              <w:t>df</w:t>
            </w:r>
            <w:proofErr w:type="spellEnd"/>
            <w:r>
              <w:rPr>
                <w:i/>
                <w:szCs w:val="20"/>
              </w:rPr>
              <w:t>)</w:t>
            </w:r>
          </w:p>
          <w:p w14:paraId="05402D92" w14:textId="77777777" w:rsidR="007E0ABC" w:rsidRDefault="007E0ABC">
            <w:pPr>
              <w:spacing w:line="276" w:lineRule="auto"/>
              <w:rPr>
                <w:i/>
                <w:szCs w:val="20"/>
              </w:rPr>
            </w:pPr>
            <w:r>
              <w:rPr>
                <w:i/>
                <w:szCs w:val="20"/>
              </w:rPr>
              <w:t>p-value</w:t>
            </w:r>
          </w:p>
        </w:tc>
        <w:tc>
          <w:tcPr>
            <w:tcW w:w="1559" w:type="dxa"/>
          </w:tcPr>
          <w:p w14:paraId="0A20E6DA" w14:textId="77777777" w:rsidR="007E0ABC" w:rsidRDefault="007E0ABC">
            <w:pPr>
              <w:spacing w:line="276" w:lineRule="auto"/>
              <w:rPr>
                <w:szCs w:val="20"/>
              </w:rPr>
            </w:pPr>
          </w:p>
        </w:tc>
        <w:tc>
          <w:tcPr>
            <w:tcW w:w="2041" w:type="dxa"/>
          </w:tcPr>
          <w:p w14:paraId="2B44DE23" w14:textId="77777777" w:rsidR="007E0ABC" w:rsidRDefault="007E0ABC">
            <w:pPr>
              <w:spacing w:line="276" w:lineRule="auto"/>
              <w:rPr>
                <w:szCs w:val="20"/>
              </w:rPr>
            </w:pPr>
          </w:p>
        </w:tc>
      </w:tr>
      <w:tr w:rsidR="007E0ABC" w14:paraId="257C4714" w14:textId="77777777">
        <w:trPr>
          <w:trHeight w:val="220"/>
        </w:trPr>
        <w:tc>
          <w:tcPr>
            <w:tcW w:w="1555" w:type="dxa"/>
            <w:vMerge/>
          </w:tcPr>
          <w:p w14:paraId="10A51D23" w14:textId="77777777" w:rsidR="007E0ABC" w:rsidRDefault="007E0ABC">
            <w:pPr>
              <w:widowControl w:val="0"/>
            </w:pPr>
          </w:p>
        </w:tc>
        <w:tc>
          <w:tcPr>
            <w:tcW w:w="1559" w:type="dxa"/>
          </w:tcPr>
          <w:p w14:paraId="295B73A0" w14:textId="77777777" w:rsidR="007E0ABC" w:rsidRDefault="007E0ABC">
            <w:pPr>
              <w:spacing w:line="276" w:lineRule="auto"/>
              <w:rPr>
                <w:i/>
                <w:szCs w:val="20"/>
              </w:rPr>
            </w:pPr>
            <w:r>
              <w:rPr>
                <w:i/>
                <w:szCs w:val="20"/>
              </w:rPr>
              <w:t>INFIT MNSQ</w:t>
            </w:r>
          </w:p>
        </w:tc>
        <w:tc>
          <w:tcPr>
            <w:tcW w:w="1559" w:type="dxa"/>
          </w:tcPr>
          <w:p w14:paraId="346F8589" w14:textId="77777777" w:rsidR="007E0ABC" w:rsidRDefault="007E0ABC">
            <w:pPr>
              <w:spacing w:line="276" w:lineRule="auto"/>
              <w:rPr>
                <w:szCs w:val="20"/>
              </w:rPr>
            </w:pPr>
            <w:r>
              <w:rPr>
                <w:szCs w:val="20"/>
              </w:rPr>
              <w:t>1.00</w:t>
            </w:r>
          </w:p>
        </w:tc>
        <w:tc>
          <w:tcPr>
            <w:tcW w:w="2041" w:type="dxa"/>
          </w:tcPr>
          <w:p w14:paraId="3562AC64" w14:textId="77777777" w:rsidR="007E0ABC" w:rsidRDefault="007E0ABC">
            <w:pPr>
              <w:spacing w:line="276" w:lineRule="auto"/>
              <w:rPr>
                <w:szCs w:val="20"/>
              </w:rPr>
            </w:pPr>
          </w:p>
        </w:tc>
      </w:tr>
      <w:tr w:rsidR="007E0ABC" w14:paraId="46E6ECA9" w14:textId="77777777">
        <w:trPr>
          <w:trHeight w:val="220"/>
        </w:trPr>
        <w:tc>
          <w:tcPr>
            <w:tcW w:w="1555" w:type="dxa"/>
            <w:vMerge/>
          </w:tcPr>
          <w:p w14:paraId="2BBFA06F" w14:textId="77777777" w:rsidR="007E0ABC" w:rsidRDefault="007E0ABC">
            <w:pPr>
              <w:widowControl w:val="0"/>
            </w:pPr>
          </w:p>
        </w:tc>
        <w:tc>
          <w:tcPr>
            <w:tcW w:w="1559" w:type="dxa"/>
          </w:tcPr>
          <w:p w14:paraId="717A97D1" w14:textId="77777777" w:rsidR="007E0ABC" w:rsidRDefault="007E0ABC">
            <w:pPr>
              <w:spacing w:line="276" w:lineRule="auto"/>
              <w:rPr>
                <w:i/>
                <w:szCs w:val="20"/>
              </w:rPr>
            </w:pPr>
            <w:r>
              <w:rPr>
                <w:i/>
                <w:szCs w:val="20"/>
              </w:rPr>
              <w:t>INFIT ZSTD</w:t>
            </w:r>
          </w:p>
        </w:tc>
        <w:tc>
          <w:tcPr>
            <w:tcW w:w="1559" w:type="dxa"/>
          </w:tcPr>
          <w:p w14:paraId="071F106F" w14:textId="77777777" w:rsidR="007E0ABC" w:rsidRDefault="007E0ABC">
            <w:pPr>
              <w:spacing w:line="276" w:lineRule="auto"/>
              <w:rPr>
                <w:szCs w:val="20"/>
              </w:rPr>
            </w:pPr>
            <w:r>
              <w:rPr>
                <w:szCs w:val="20"/>
              </w:rPr>
              <w:t>0.10</w:t>
            </w:r>
          </w:p>
        </w:tc>
        <w:tc>
          <w:tcPr>
            <w:tcW w:w="2041" w:type="dxa"/>
          </w:tcPr>
          <w:p w14:paraId="4DC62E31" w14:textId="77777777" w:rsidR="007E0ABC" w:rsidRDefault="007E0ABC">
            <w:pPr>
              <w:spacing w:line="276" w:lineRule="auto"/>
              <w:rPr>
                <w:szCs w:val="20"/>
              </w:rPr>
            </w:pPr>
          </w:p>
        </w:tc>
      </w:tr>
      <w:tr w:rsidR="007E0ABC" w14:paraId="1B785A91" w14:textId="77777777">
        <w:trPr>
          <w:trHeight w:val="220"/>
        </w:trPr>
        <w:tc>
          <w:tcPr>
            <w:tcW w:w="1555" w:type="dxa"/>
            <w:vMerge/>
          </w:tcPr>
          <w:p w14:paraId="2411E796" w14:textId="77777777" w:rsidR="007E0ABC" w:rsidRDefault="007E0ABC">
            <w:pPr>
              <w:widowControl w:val="0"/>
            </w:pPr>
          </w:p>
        </w:tc>
        <w:tc>
          <w:tcPr>
            <w:tcW w:w="1559" w:type="dxa"/>
          </w:tcPr>
          <w:p w14:paraId="5DEE3750" w14:textId="77777777" w:rsidR="007E0ABC" w:rsidRDefault="007E0ABC">
            <w:pPr>
              <w:spacing w:line="276" w:lineRule="auto"/>
              <w:rPr>
                <w:i/>
                <w:szCs w:val="20"/>
              </w:rPr>
            </w:pPr>
            <w:r>
              <w:rPr>
                <w:i/>
                <w:szCs w:val="20"/>
              </w:rPr>
              <w:t>OUTFIT MNSQ</w:t>
            </w:r>
          </w:p>
        </w:tc>
        <w:tc>
          <w:tcPr>
            <w:tcW w:w="1559" w:type="dxa"/>
          </w:tcPr>
          <w:p w14:paraId="16CCDF64" w14:textId="77777777" w:rsidR="007E0ABC" w:rsidRDefault="007E0ABC">
            <w:pPr>
              <w:spacing w:line="276" w:lineRule="auto"/>
              <w:rPr>
                <w:szCs w:val="20"/>
              </w:rPr>
            </w:pPr>
            <w:r>
              <w:rPr>
                <w:szCs w:val="20"/>
              </w:rPr>
              <w:t>1.00</w:t>
            </w:r>
          </w:p>
        </w:tc>
        <w:tc>
          <w:tcPr>
            <w:tcW w:w="2041" w:type="dxa"/>
          </w:tcPr>
          <w:p w14:paraId="4CA2C550" w14:textId="77777777" w:rsidR="007E0ABC" w:rsidRDefault="007E0ABC">
            <w:pPr>
              <w:spacing w:line="276" w:lineRule="auto"/>
              <w:rPr>
                <w:szCs w:val="20"/>
              </w:rPr>
            </w:pPr>
          </w:p>
        </w:tc>
      </w:tr>
      <w:tr w:rsidR="007E0ABC" w14:paraId="154FAE68" w14:textId="77777777">
        <w:trPr>
          <w:trHeight w:val="220"/>
        </w:trPr>
        <w:tc>
          <w:tcPr>
            <w:tcW w:w="1555" w:type="dxa"/>
            <w:vMerge/>
          </w:tcPr>
          <w:p w14:paraId="7337319B" w14:textId="77777777" w:rsidR="007E0ABC" w:rsidRDefault="007E0ABC">
            <w:pPr>
              <w:widowControl w:val="0"/>
            </w:pPr>
          </w:p>
        </w:tc>
        <w:tc>
          <w:tcPr>
            <w:tcW w:w="1559" w:type="dxa"/>
          </w:tcPr>
          <w:p w14:paraId="27770BB5" w14:textId="77777777" w:rsidR="007E0ABC" w:rsidRDefault="007E0ABC">
            <w:pPr>
              <w:spacing w:line="276" w:lineRule="auto"/>
              <w:rPr>
                <w:i/>
                <w:szCs w:val="20"/>
              </w:rPr>
            </w:pPr>
            <w:r>
              <w:rPr>
                <w:i/>
                <w:szCs w:val="20"/>
              </w:rPr>
              <w:t>OUTFIT ZSTD</w:t>
            </w:r>
          </w:p>
        </w:tc>
        <w:tc>
          <w:tcPr>
            <w:tcW w:w="1559" w:type="dxa"/>
          </w:tcPr>
          <w:p w14:paraId="1D08F719" w14:textId="77777777" w:rsidR="007E0ABC" w:rsidRDefault="007E0ABC">
            <w:pPr>
              <w:spacing w:line="276" w:lineRule="auto"/>
              <w:rPr>
                <w:szCs w:val="20"/>
              </w:rPr>
            </w:pPr>
            <w:r>
              <w:rPr>
                <w:szCs w:val="20"/>
              </w:rPr>
              <w:t>0.07</w:t>
            </w:r>
          </w:p>
        </w:tc>
        <w:tc>
          <w:tcPr>
            <w:tcW w:w="2041" w:type="dxa"/>
          </w:tcPr>
          <w:p w14:paraId="7BFC3379" w14:textId="77777777" w:rsidR="007E0ABC" w:rsidRDefault="007E0ABC">
            <w:pPr>
              <w:spacing w:line="276" w:lineRule="auto"/>
              <w:rPr>
                <w:szCs w:val="20"/>
              </w:rPr>
            </w:pPr>
          </w:p>
        </w:tc>
      </w:tr>
      <w:tr w:rsidR="007E0ABC" w14:paraId="34DCABDF" w14:textId="77777777">
        <w:trPr>
          <w:trHeight w:val="220"/>
        </w:trPr>
        <w:tc>
          <w:tcPr>
            <w:tcW w:w="1555" w:type="dxa"/>
            <w:vMerge w:val="restart"/>
          </w:tcPr>
          <w:p w14:paraId="2CE29297" w14:textId="77777777" w:rsidR="007E0ABC" w:rsidRDefault="007E0ABC">
            <w:r>
              <w:rPr>
                <w:i/>
                <w:szCs w:val="20"/>
              </w:rPr>
              <w:t>M2 - 47 Misfitting persons removed (iterative)</w:t>
            </w:r>
          </w:p>
        </w:tc>
        <w:tc>
          <w:tcPr>
            <w:tcW w:w="1559" w:type="dxa"/>
          </w:tcPr>
          <w:p w14:paraId="0B1E7749" w14:textId="77777777" w:rsidR="007E0ABC" w:rsidRDefault="007E0ABC">
            <w:pPr>
              <w:spacing w:line="276" w:lineRule="auto"/>
              <w:rPr>
                <w:i/>
                <w:szCs w:val="20"/>
              </w:rPr>
            </w:pPr>
            <w:r>
              <w:rPr>
                <w:i/>
                <w:szCs w:val="20"/>
              </w:rPr>
              <w:t>Chi-square (</w:t>
            </w:r>
            <w:proofErr w:type="spellStart"/>
            <w:r>
              <w:rPr>
                <w:i/>
                <w:szCs w:val="20"/>
              </w:rPr>
              <w:t>df</w:t>
            </w:r>
            <w:proofErr w:type="spellEnd"/>
            <w:r>
              <w:rPr>
                <w:i/>
                <w:szCs w:val="20"/>
              </w:rPr>
              <w:t>)</w:t>
            </w:r>
          </w:p>
          <w:p w14:paraId="2AD2E97D" w14:textId="77777777" w:rsidR="007E0ABC" w:rsidRDefault="007E0ABC">
            <w:pPr>
              <w:spacing w:line="276" w:lineRule="auto"/>
              <w:rPr>
                <w:i/>
                <w:szCs w:val="20"/>
              </w:rPr>
            </w:pPr>
            <w:r>
              <w:rPr>
                <w:i/>
                <w:szCs w:val="20"/>
              </w:rPr>
              <w:t>p-value</w:t>
            </w:r>
          </w:p>
        </w:tc>
        <w:tc>
          <w:tcPr>
            <w:tcW w:w="1559" w:type="dxa"/>
          </w:tcPr>
          <w:p w14:paraId="78541C33" w14:textId="77777777" w:rsidR="007E0ABC" w:rsidRDefault="007E0ABC">
            <w:pPr>
              <w:spacing w:line="276" w:lineRule="auto"/>
              <w:rPr>
                <w:szCs w:val="20"/>
              </w:rPr>
            </w:pPr>
            <w:r>
              <w:rPr>
                <w:szCs w:val="20"/>
              </w:rPr>
              <w:t>3991.6</w:t>
            </w:r>
          </w:p>
          <w:p w14:paraId="4DCACEC8" w14:textId="77777777" w:rsidR="007E0ABC" w:rsidRDefault="007E0ABC">
            <w:pPr>
              <w:spacing w:line="276" w:lineRule="auto"/>
              <w:rPr>
                <w:szCs w:val="20"/>
              </w:rPr>
            </w:pPr>
            <w:r>
              <w:rPr>
                <w:szCs w:val="20"/>
              </w:rPr>
              <w:t>2534</w:t>
            </w:r>
          </w:p>
          <w:p w14:paraId="786BAB0A" w14:textId="77777777" w:rsidR="007E0ABC" w:rsidRDefault="007E0ABC">
            <w:pPr>
              <w:spacing w:line="276" w:lineRule="auto"/>
              <w:rPr>
                <w:szCs w:val="20"/>
              </w:rPr>
            </w:pPr>
            <w:r>
              <w:rPr>
                <w:szCs w:val="20"/>
              </w:rPr>
              <w:t>0.000</w:t>
            </w:r>
          </w:p>
        </w:tc>
        <w:tc>
          <w:tcPr>
            <w:tcW w:w="2041" w:type="dxa"/>
          </w:tcPr>
          <w:p w14:paraId="558D9D69" w14:textId="77777777" w:rsidR="007E0ABC" w:rsidRDefault="007E0ABC">
            <w:pPr>
              <w:spacing w:line="276" w:lineRule="auto"/>
              <w:rPr>
                <w:szCs w:val="20"/>
              </w:rPr>
            </w:pPr>
          </w:p>
        </w:tc>
      </w:tr>
      <w:tr w:rsidR="007E0ABC" w14:paraId="02592837" w14:textId="77777777">
        <w:trPr>
          <w:trHeight w:val="220"/>
        </w:trPr>
        <w:tc>
          <w:tcPr>
            <w:tcW w:w="1555" w:type="dxa"/>
            <w:vMerge/>
          </w:tcPr>
          <w:p w14:paraId="10BA64FA" w14:textId="77777777" w:rsidR="007E0ABC" w:rsidRDefault="007E0ABC">
            <w:pPr>
              <w:widowControl w:val="0"/>
            </w:pPr>
          </w:p>
        </w:tc>
        <w:tc>
          <w:tcPr>
            <w:tcW w:w="1559" w:type="dxa"/>
          </w:tcPr>
          <w:p w14:paraId="59C091ED" w14:textId="77777777" w:rsidR="007E0ABC" w:rsidRDefault="007E0ABC">
            <w:pPr>
              <w:spacing w:line="276" w:lineRule="auto"/>
              <w:rPr>
                <w:i/>
                <w:szCs w:val="20"/>
              </w:rPr>
            </w:pPr>
            <w:r>
              <w:rPr>
                <w:i/>
                <w:szCs w:val="20"/>
              </w:rPr>
              <w:t>INFIT MNSQ</w:t>
            </w:r>
          </w:p>
        </w:tc>
        <w:tc>
          <w:tcPr>
            <w:tcW w:w="1559" w:type="dxa"/>
          </w:tcPr>
          <w:p w14:paraId="4BAB1966" w14:textId="77777777" w:rsidR="007E0ABC" w:rsidRDefault="007E0ABC">
            <w:pPr>
              <w:spacing w:line="276" w:lineRule="auto"/>
              <w:rPr>
                <w:szCs w:val="20"/>
              </w:rPr>
            </w:pPr>
            <w:r>
              <w:rPr>
                <w:szCs w:val="20"/>
              </w:rPr>
              <w:t>1.00</w:t>
            </w:r>
          </w:p>
        </w:tc>
        <w:tc>
          <w:tcPr>
            <w:tcW w:w="2041" w:type="dxa"/>
          </w:tcPr>
          <w:p w14:paraId="7DFA31E5" w14:textId="77777777" w:rsidR="007E0ABC" w:rsidRDefault="007E0ABC">
            <w:pPr>
              <w:spacing w:line="276" w:lineRule="auto"/>
              <w:rPr>
                <w:szCs w:val="20"/>
              </w:rPr>
            </w:pPr>
          </w:p>
        </w:tc>
      </w:tr>
      <w:tr w:rsidR="007E0ABC" w14:paraId="21DC2C6D" w14:textId="77777777">
        <w:trPr>
          <w:trHeight w:val="220"/>
        </w:trPr>
        <w:tc>
          <w:tcPr>
            <w:tcW w:w="1555" w:type="dxa"/>
            <w:vMerge/>
          </w:tcPr>
          <w:p w14:paraId="31686993" w14:textId="77777777" w:rsidR="007E0ABC" w:rsidRDefault="007E0ABC">
            <w:pPr>
              <w:widowControl w:val="0"/>
            </w:pPr>
          </w:p>
        </w:tc>
        <w:tc>
          <w:tcPr>
            <w:tcW w:w="1559" w:type="dxa"/>
          </w:tcPr>
          <w:p w14:paraId="0DA6EA99" w14:textId="77777777" w:rsidR="007E0ABC" w:rsidRDefault="007E0ABC">
            <w:pPr>
              <w:spacing w:line="276" w:lineRule="auto"/>
              <w:rPr>
                <w:i/>
                <w:szCs w:val="20"/>
              </w:rPr>
            </w:pPr>
            <w:r>
              <w:rPr>
                <w:i/>
                <w:szCs w:val="20"/>
              </w:rPr>
              <w:t>INFIT ZSTD</w:t>
            </w:r>
          </w:p>
        </w:tc>
        <w:tc>
          <w:tcPr>
            <w:tcW w:w="1559" w:type="dxa"/>
          </w:tcPr>
          <w:p w14:paraId="5782B0EB" w14:textId="77777777" w:rsidR="007E0ABC" w:rsidRDefault="007E0ABC">
            <w:pPr>
              <w:spacing w:line="276" w:lineRule="auto"/>
              <w:rPr>
                <w:szCs w:val="20"/>
              </w:rPr>
            </w:pPr>
            <w:r>
              <w:rPr>
                <w:szCs w:val="20"/>
              </w:rPr>
              <w:t>0.08</w:t>
            </w:r>
          </w:p>
        </w:tc>
        <w:tc>
          <w:tcPr>
            <w:tcW w:w="2041" w:type="dxa"/>
          </w:tcPr>
          <w:p w14:paraId="4BCA1032" w14:textId="77777777" w:rsidR="007E0ABC" w:rsidRDefault="007E0ABC">
            <w:pPr>
              <w:spacing w:line="276" w:lineRule="auto"/>
              <w:rPr>
                <w:szCs w:val="20"/>
              </w:rPr>
            </w:pPr>
          </w:p>
        </w:tc>
      </w:tr>
      <w:tr w:rsidR="007E0ABC" w14:paraId="04CD256A" w14:textId="77777777">
        <w:trPr>
          <w:trHeight w:val="220"/>
        </w:trPr>
        <w:tc>
          <w:tcPr>
            <w:tcW w:w="1555" w:type="dxa"/>
            <w:vMerge/>
          </w:tcPr>
          <w:p w14:paraId="16A11868" w14:textId="77777777" w:rsidR="007E0ABC" w:rsidRDefault="007E0ABC">
            <w:pPr>
              <w:widowControl w:val="0"/>
            </w:pPr>
          </w:p>
        </w:tc>
        <w:tc>
          <w:tcPr>
            <w:tcW w:w="1559" w:type="dxa"/>
          </w:tcPr>
          <w:p w14:paraId="3D321A35" w14:textId="77777777" w:rsidR="007E0ABC" w:rsidRDefault="007E0ABC">
            <w:pPr>
              <w:spacing w:line="276" w:lineRule="auto"/>
              <w:rPr>
                <w:i/>
                <w:szCs w:val="20"/>
              </w:rPr>
            </w:pPr>
            <w:r>
              <w:rPr>
                <w:i/>
                <w:szCs w:val="20"/>
              </w:rPr>
              <w:t>OUTFIT MNSQ</w:t>
            </w:r>
          </w:p>
        </w:tc>
        <w:tc>
          <w:tcPr>
            <w:tcW w:w="1559" w:type="dxa"/>
          </w:tcPr>
          <w:p w14:paraId="46244795" w14:textId="77777777" w:rsidR="007E0ABC" w:rsidRDefault="007E0ABC">
            <w:pPr>
              <w:spacing w:line="276" w:lineRule="auto"/>
              <w:rPr>
                <w:szCs w:val="20"/>
              </w:rPr>
            </w:pPr>
            <w:r>
              <w:rPr>
                <w:szCs w:val="20"/>
              </w:rPr>
              <w:t>0.98</w:t>
            </w:r>
          </w:p>
        </w:tc>
        <w:tc>
          <w:tcPr>
            <w:tcW w:w="2041" w:type="dxa"/>
          </w:tcPr>
          <w:p w14:paraId="78DB0148" w14:textId="77777777" w:rsidR="007E0ABC" w:rsidRDefault="007E0ABC">
            <w:pPr>
              <w:spacing w:line="276" w:lineRule="auto"/>
              <w:rPr>
                <w:szCs w:val="20"/>
              </w:rPr>
            </w:pPr>
          </w:p>
        </w:tc>
      </w:tr>
      <w:tr w:rsidR="007E0ABC" w14:paraId="40F700FA" w14:textId="77777777">
        <w:trPr>
          <w:trHeight w:val="220"/>
        </w:trPr>
        <w:tc>
          <w:tcPr>
            <w:tcW w:w="1555" w:type="dxa"/>
            <w:vMerge/>
          </w:tcPr>
          <w:p w14:paraId="4D210988" w14:textId="77777777" w:rsidR="007E0ABC" w:rsidRDefault="007E0ABC">
            <w:pPr>
              <w:widowControl w:val="0"/>
            </w:pPr>
          </w:p>
        </w:tc>
        <w:tc>
          <w:tcPr>
            <w:tcW w:w="1559" w:type="dxa"/>
          </w:tcPr>
          <w:p w14:paraId="07777ED3" w14:textId="77777777" w:rsidR="007E0ABC" w:rsidRDefault="007E0ABC">
            <w:pPr>
              <w:spacing w:line="276" w:lineRule="auto"/>
              <w:rPr>
                <w:i/>
                <w:szCs w:val="20"/>
              </w:rPr>
            </w:pPr>
            <w:r>
              <w:rPr>
                <w:i/>
                <w:szCs w:val="20"/>
              </w:rPr>
              <w:t>OUTFIT ZSTD</w:t>
            </w:r>
          </w:p>
        </w:tc>
        <w:tc>
          <w:tcPr>
            <w:tcW w:w="1559" w:type="dxa"/>
          </w:tcPr>
          <w:p w14:paraId="0E492505" w14:textId="77777777" w:rsidR="007E0ABC" w:rsidRDefault="007E0ABC">
            <w:pPr>
              <w:spacing w:line="276" w:lineRule="auto"/>
              <w:rPr>
                <w:szCs w:val="20"/>
              </w:rPr>
            </w:pPr>
            <w:r>
              <w:rPr>
                <w:szCs w:val="20"/>
              </w:rPr>
              <w:t>-0.13</w:t>
            </w:r>
          </w:p>
        </w:tc>
        <w:tc>
          <w:tcPr>
            <w:tcW w:w="2041" w:type="dxa"/>
          </w:tcPr>
          <w:p w14:paraId="271DE56B" w14:textId="77777777" w:rsidR="007E0ABC" w:rsidRDefault="007E0ABC">
            <w:pPr>
              <w:spacing w:line="276" w:lineRule="auto"/>
              <w:rPr>
                <w:szCs w:val="20"/>
              </w:rPr>
            </w:pPr>
          </w:p>
        </w:tc>
      </w:tr>
    </w:tbl>
    <w:p w14:paraId="5EED5F1E" w14:textId="77777777" w:rsidR="007E0ABC" w:rsidRDefault="007E0ABC"/>
    <w:p w14:paraId="5366FC1B" w14:textId="77777777" w:rsidR="007E0ABC" w:rsidRPr="00616BEA" w:rsidRDefault="007E0ABC" w:rsidP="007E0ABC">
      <w:pPr>
        <w:pStyle w:val="ListParagraph"/>
        <w:numPr>
          <w:ilvl w:val="0"/>
          <w:numId w:val="217"/>
        </w:numPr>
        <w:spacing w:line="240" w:lineRule="auto"/>
        <w:jc w:val="left"/>
        <w:rPr>
          <w:sz w:val="21"/>
          <w:szCs w:val="28"/>
        </w:rPr>
      </w:pPr>
      <w:r w:rsidRPr="00616BEA">
        <w:rPr>
          <w:sz w:val="21"/>
          <w:szCs w:val="28"/>
        </w:rPr>
        <w:t>Item fit and person fit</w:t>
      </w:r>
    </w:p>
    <w:p w14:paraId="30E27B77" w14:textId="77777777" w:rsidR="007E0ABC" w:rsidRDefault="007E0ABC">
      <w:pPr>
        <w:rPr>
          <w:u w:val="singl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4"/>
        <w:gridCol w:w="1087"/>
        <w:gridCol w:w="1625"/>
        <w:gridCol w:w="1455"/>
        <w:gridCol w:w="1455"/>
        <w:gridCol w:w="2587"/>
      </w:tblGrid>
      <w:tr w:rsidR="007E0ABC" w14:paraId="0F9B36F4" w14:textId="77777777">
        <w:tc>
          <w:tcPr>
            <w:tcW w:w="1284" w:type="dxa"/>
          </w:tcPr>
          <w:p w14:paraId="7BA74E08" w14:textId="77777777" w:rsidR="007E0ABC" w:rsidRDefault="007E0ABC">
            <w:pPr>
              <w:rPr>
                <w:b/>
                <w:u w:val="single"/>
              </w:rPr>
            </w:pPr>
            <w:r>
              <w:rPr>
                <w:b/>
              </w:rPr>
              <w:t>Model</w:t>
            </w:r>
          </w:p>
        </w:tc>
        <w:tc>
          <w:tcPr>
            <w:tcW w:w="1087" w:type="dxa"/>
          </w:tcPr>
          <w:p w14:paraId="5C6985E3" w14:textId="77777777" w:rsidR="007E0ABC" w:rsidRDefault="007E0ABC">
            <w:pPr>
              <w:rPr>
                <w:b/>
              </w:rPr>
            </w:pPr>
            <w:r>
              <w:rPr>
                <w:b/>
              </w:rPr>
              <w:t>Statistic</w:t>
            </w:r>
          </w:p>
        </w:tc>
        <w:tc>
          <w:tcPr>
            <w:tcW w:w="1625" w:type="dxa"/>
          </w:tcPr>
          <w:p w14:paraId="57422E67" w14:textId="77777777" w:rsidR="007E0ABC" w:rsidRDefault="007E0ABC">
            <w:pPr>
              <w:rPr>
                <w:b/>
              </w:rPr>
            </w:pPr>
            <w:r>
              <w:rPr>
                <w:b/>
              </w:rPr>
              <w:t>Flagged items/persons</w:t>
            </w:r>
          </w:p>
        </w:tc>
        <w:tc>
          <w:tcPr>
            <w:tcW w:w="1455" w:type="dxa"/>
          </w:tcPr>
          <w:p w14:paraId="20FB1690" w14:textId="77777777" w:rsidR="007E0ABC" w:rsidRDefault="007E0ABC">
            <w:pPr>
              <w:rPr>
                <w:b/>
              </w:rPr>
            </w:pPr>
            <w:r>
              <w:rPr>
                <w:b/>
              </w:rPr>
              <w:t>Infit/ ZSTD</w:t>
            </w:r>
          </w:p>
        </w:tc>
        <w:tc>
          <w:tcPr>
            <w:tcW w:w="1455" w:type="dxa"/>
          </w:tcPr>
          <w:p w14:paraId="5B9D506D" w14:textId="77777777" w:rsidR="007E0ABC" w:rsidRDefault="007E0ABC">
            <w:pPr>
              <w:rPr>
                <w:b/>
              </w:rPr>
            </w:pPr>
            <w:r>
              <w:rPr>
                <w:b/>
              </w:rPr>
              <w:t>Outfit/ZSTD</w:t>
            </w:r>
          </w:p>
        </w:tc>
        <w:tc>
          <w:tcPr>
            <w:tcW w:w="2587" w:type="dxa"/>
          </w:tcPr>
          <w:p w14:paraId="3D2355B1" w14:textId="77777777" w:rsidR="007E0ABC" w:rsidRDefault="007E0ABC">
            <w:pPr>
              <w:rPr>
                <w:b/>
              </w:rPr>
            </w:pPr>
            <w:r>
              <w:rPr>
                <w:b/>
              </w:rPr>
              <w:t>Comment/Decision</w:t>
            </w:r>
          </w:p>
        </w:tc>
      </w:tr>
      <w:tr w:rsidR="007E0ABC" w14:paraId="0072C3D2" w14:textId="77777777">
        <w:tc>
          <w:tcPr>
            <w:tcW w:w="1284" w:type="dxa"/>
          </w:tcPr>
          <w:p w14:paraId="5097E556" w14:textId="77777777" w:rsidR="007E0ABC" w:rsidRDefault="007E0ABC">
            <w:pPr>
              <w:rPr>
                <w:b/>
                <w:u w:val="single"/>
              </w:rPr>
            </w:pPr>
            <w:r>
              <w:rPr>
                <w:b/>
                <w:i/>
              </w:rPr>
              <w:lastRenderedPageBreak/>
              <w:t>Original model</w:t>
            </w:r>
          </w:p>
        </w:tc>
        <w:tc>
          <w:tcPr>
            <w:tcW w:w="1087" w:type="dxa"/>
          </w:tcPr>
          <w:p w14:paraId="6E460502" w14:textId="77777777" w:rsidR="007E0ABC" w:rsidRDefault="007E0ABC">
            <w:pPr>
              <w:rPr>
                <w:u w:val="single"/>
              </w:rPr>
            </w:pPr>
            <w:r>
              <w:rPr>
                <w:i/>
              </w:rPr>
              <w:t>Item fit</w:t>
            </w:r>
          </w:p>
        </w:tc>
        <w:tc>
          <w:tcPr>
            <w:tcW w:w="1625" w:type="dxa"/>
          </w:tcPr>
          <w:p w14:paraId="0F3B05BB" w14:textId="77777777" w:rsidR="007E0ABC" w:rsidRDefault="007E0ABC">
            <w:pPr>
              <w:jc w:val="center"/>
            </w:pPr>
            <w:r>
              <w:t>26r</w:t>
            </w:r>
          </w:p>
        </w:tc>
        <w:tc>
          <w:tcPr>
            <w:tcW w:w="1455" w:type="dxa"/>
          </w:tcPr>
          <w:p w14:paraId="66578EE7" w14:textId="77777777" w:rsidR="007E0ABC" w:rsidRDefault="007E0ABC">
            <w:r>
              <w:t>1.09/1.27</w:t>
            </w:r>
          </w:p>
        </w:tc>
        <w:tc>
          <w:tcPr>
            <w:tcW w:w="1455" w:type="dxa"/>
          </w:tcPr>
          <w:p w14:paraId="4812280F" w14:textId="77777777" w:rsidR="007E0ABC" w:rsidRDefault="007E0ABC">
            <w:pPr>
              <w:jc w:val="center"/>
            </w:pPr>
            <w:r>
              <w:t>1.26/2.67</w:t>
            </w:r>
          </w:p>
        </w:tc>
        <w:tc>
          <w:tcPr>
            <w:tcW w:w="2587" w:type="dxa"/>
          </w:tcPr>
          <w:p w14:paraId="7B978FC0" w14:textId="77777777" w:rsidR="007E0ABC" w:rsidRDefault="007E0ABC">
            <w:pPr>
              <w:jc w:val="center"/>
              <w:rPr>
                <w:sz w:val="18"/>
                <w:szCs w:val="18"/>
              </w:rPr>
            </w:pPr>
            <w:r>
              <w:rPr>
                <w:sz w:val="18"/>
                <w:szCs w:val="18"/>
              </w:rPr>
              <w:t>Only slightly out on Z-outfit, flag for other concerns elsewhere</w:t>
            </w:r>
          </w:p>
        </w:tc>
      </w:tr>
      <w:tr w:rsidR="007E0ABC" w14:paraId="526E4EBA" w14:textId="77777777">
        <w:tc>
          <w:tcPr>
            <w:tcW w:w="1284" w:type="dxa"/>
          </w:tcPr>
          <w:p w14:paraId="4DCF078F" w14:textId="77777777" w:rsidR="007E0ABC" w:rsidRDefault="007E0ABC">
            <w:pPr>
              <w:rPr>
                <w:b/>
                <w:u w:val="single"/>
              </w:rPr>
            </w:pPr>
            <w:r>
              <w:rPr>
                <w:i/>
                <w:szCs w:val="20"/>
              </w:rPr>
              <w:t>M1 – Collapsed categories 2&amp;3, 4&amp;5</w:t>
            </w:r>
          </w:p>
        </w:tc>
        <w:tc>
          <w:tcPr>
            <w:tcW w:w="1087" w:type="dxa"/>
          </w:tcPr>
          <w:p w14:paraId="1A61E29A" w14:textId="77777777" w:rsidR="007E0ABC" w:rsidRDefault="007E0ABC">
            <w:pPr>
              <w:rPr>
                <w:u w:val="single"/>
              </w:rPr>
            </w:pPr>
            <w:r>
              <w:rPr>
                <w:i/>
              </w:rPr>
              <w:t>Item fit</w:t>
            </w:r>
          </w:p>
        </w:tc>
        <w:tc>
          <w:tcPr>
            <w:tcW w:w="1625" w:type="dxa"/>
          </w:tcPr>
          <w:p w14:paraId="383EF13B" w14:textId="77777777" w:rsidR="007E0ABC" w:rsidRDefault="007E0ABC">
            <w:pPr>
              <w:jc w:val="center"/>
            </w:pPr>
            <w:r>
              <w:t>26r</w:t>
            </w:r>
          </w:p>
        </w:tc>
        <w:tc>
          <w:tcPr>
            <w:tcW w:w="1455" w:type="dxa"/>
          </w:tcPr>
          <w:p w14:paraId="61B9429E" w14:textId="77777777" w:rsidR="007E0ABC" w:rsidRDefault="007E0ABC">
            <w:r>
              <w:t>1.13/1.79</w:t>
            </w:r>
          </w:p>
        </w:tc>
        <w:tc>
          <w:tcPr>
            <w:tcW w:w="1455" w:type="dxa"/>
          </w:tcPr>
          <w:p w14:paraId="1B3D8D9A" w14:textId="77777777" w:rsidR="007E0ABC" w:rsidRDefault="007E0ABC">
            <w:pPr>
              <w:jc w:val="center"/>
            </w:pPr>
            <w:r>
              <w:t>1.26/2.68</w:t>
            </w:r>
          </w:p>
        </w:tc>
        <w:tc>
          <w:tcPr>
            <w:tcW w:w="2587" w:type="dxa"/>
          </w:tcPr>
          <w:p w14:paraId="236E1D7F" w14:textId="77777777" w:rsidR="007E0ABC" w:rsidRDefault="007E0ABC">
            <w:pPr>
              <w:jc w:val="center"/>
              <w:rPr>
                <w:sz w:val="18"/>
                <w:szCs w:val="18"/>
              </w:rPr>
            </w:pPr>
            <w:r>
              <w:rPr>
                <w:sz w:val="18"/>
                <w:szCs w:val="18"/>
              </w:rPr>
              <w:t>Only slightly out on Z-outfit, flag for other concerns elsewhere</w:t>
            </w:r>
          </w:p>
        </w:tc>
      </w:tr>
      <w:tr w:rsidR="007E0ABC" w14:paraId="2CEC71E8" w14:textId="77777777">
        <w:tc>
          <w:tcPr>
            <w:tcW w:w="1284" w:type="dxa"/>
          </w:tcPr>
          <w:p w14:paraId="6CCF1B3F" w14:textId="77777777" w:rsidR="007E0ABC" w:rsidRDefault="007E0ABC">
            <w:pPr>
              <w:rPr>
                <w:i/>
                <w:szCs w:val="20"/>
              </w:rPr>
            </w:pPr>
            <w:r>
              <w:rPr>
                <w:i/>
                <w:szCs w:val="20"/>
              </w:rPr>
              <w:t>M2 - 47 Misfitting persons removed (iterative)</w:t>
            </w:r>
          </w:p>
        </w:tc>
        <w:tc>
          <w:tcPr>
            <w:tcW w:w="1087" w:type="dxa"/>
          </w:tcPr>
          <w:p w14:paraId="60552C62" w14:textId="77777777" w:rsidR="007E0ABC" w:rsidRDefault="007E0ABC">
            <w:pPr>
              <w:rPr>
                <w:i/>
              </w:rPr>
            </w:pPr>
            <w:r>
              <w:rPr>
                <w:i/>
              </w:rPr>
              <w:t>Item fit</w:t>
            </w:r>
          </w:p>
        </w:tc>
        <w:tc>
          <w:tcPr>
            <w:tcW w:w="1625" w:type="dxa"/>
          </w:tcPr>
          <w:p w14:paraId="3E94860A" w14:textId="77777777" w:rsidR="007E0ABC" w:rsidRDefault="007E0ABC">
            <w:pPr>
              <w:jc w:val="center"/>
            </w:pPr>
            <w:r>
              <w:t>none</w:t>
            </w:r>
          </w:p>
        </w:tc>
        <w:tc>
          <w:tcPr>
            <w:tcW w:w="1455" w:type="dxa"/>
          </w:tcPr>
          <w:p w14:paraId="62E710B0" w14:textId="77777777" w:rsidR="007E0ABC" w:rsidRDefault="007E0ABC"/>
        </w:tc>
        <w:tc>
          <w:tcPr>
            <w:tcW w:w="1455" w:type="dxa"/>
          </w:tcPr>
          <w:p w14:paraId="55780EB9" w14:textId="77777777" w:rsidR="007E0ABC" w:rsidRDefault="007E0ABC">
            <w:pPr>
              <w:jc w:val="center"/>
            </w:pPr>
          </w:p>
        </w:tc>
        <w:tc>
          <w:tcPr>
            <w:tcW w:w="2587" w:type="dxa"/>
          </w:tcPr>
          <w:p w14:paraId="79D9A06D" w14:textId="77777777" w:rsidR="007E0ABC" w:rsidRDefault="007E0ABC">
            <w:pPr>
              <w:jc w:val="center"/>
              <w:rPr>
                <w:sz w:val="18"/>
                <w:szCs w:val="18"/>
              </w:rPr>
            </w:pPr>
          </w:p>
        </w:tc>
      </w:tr>
    </w:tbl>
    <w:p w14:paraId="05DA91F3" w14:textId="77777777" w:rsidR="007E0ABC" w:rsidRDefault="007E0ABC"/>
    <w:p w14:paraId="2D1DC163" w14:textId="77777777" w:rsidR="007E0ABC" w:rsidRDefault="007E0ABC"/>
    <w:p w14:paraId="6990CFF3" w14:textId="77777777" w:rsidR="007E0ABC" w:rsidRPr="00616BEA" w:rsidRDefault="007E0ABC" w:rsidP="007E0ABC">
      <w:pPr>
        <w:pStyle w:val="ListParagraph"/>
        <w:numPr>
          <w:ilvl w:val="0"/>
          <w:numId w:val="217"/>
        </w:numPr>
        <w:spacing w:line="240" w:lineRule="auto"/>
        <w:jc w:val="left"/>
        <w:rPr>
          <w:bCs/>
          <w:szCs w:val="20"/>
        </w:rPr>
      </w:pPr>
      <w:r w:rsidRPr="00616BEA">
        <w:rPr>
          <w:bCs/>
          <w:szCs w:val="20"/>
        </w:rPr>
        <w:t xml:space="preserve">Misfitting persons:  </w:t>
      </w:r>
    </w:p>
    <w:p w14:paraId="73868713" w14:textId="77777777" w:rsidR="007E0ABC" w:rsidRPr="00461BB1" w:rsidRDefault="007E0ABC" w:rsidP="00616BEA">
      <w:pPr>
        <w:rPr>
          <w:bCs/>
          <w:szCs w:val="20"/>
        </w:rPr>
      </w:pPr>
    </w:p>
    <w:p w14:paraId="0AF8D007" w14:textId="77777777" w:rsidR="007E0ABC" w:rsidRDefault="007E0ABC" w:rsidP="00616BEA">
      <w:pPr>
        <w:spacing w:line="276" w:lineRule="auto"/>
        <w:rPr>
          <w:szCs w:val="20"/>
        </w:rPr>
      </w:pPr>
      <w:r w:rsidRPr="00EE4757">
        <w:rPr>
          <w:b/>
          <w:szCs w:val="20"/>
        </w:rPr>
        <w:t>Original Model:</w:t>
      </w:r>
      <w:r>
        <w:rPr>
          <w:bCs/>
          <w:szCs w:val="20"/>
        </w:rPr>
        <w:t xml:space="preserve"> </w:t>
      </w:r>
      <w:r w:rsidRPr="00BD6250">
        <w:rPr>
          <w:szCs w:val="20"/>
        </w:rPr>
        <w:t xml:space="preserve">Infit MNSQ &gt;1.6: N = </w:t>
      </w:r>
      <w:r>
        <w:rPr>
          <w:szCs w:val="20"/>
        </w:rPr>
        <w:t>58</w:t>
      </w:r>
      <w:r w:rsidRPr="00BD6250">
        <w:rPr>
          <w:szCs w:val="20"/>
        </w:rPr>
        <w:t xml:space="preserve"> persons</w:t>
      </w:r>
    </w:p>
    <w:p w14:paraId="06515438" w14:textId="77777777" w:rsidR="007E0ABC" w:rsidRPr="00BD6250" w:rsidRDefault="007E0ABC" w:rsidP="00616BEA">
      <w:pPr>
        <w:spacing w:line="276" w:lineRule="auto"/>
        <w:rPr>
          <w:szCs w:val="20"/>
        </w:rPr>
      </w:pPr>
      <w:r w:rsidRPr="00BD6250">
        <w:rPr>
          <w:szCs w:val="20"/>
        </w:rPr>
        <w:t xml:space="preserve">Infit MNSQ &lt; 0.4: N = </w:t>
      </w:r>
      <w:r>
        <w:rPr>
          <w:szCs w:val="20"/>
        </w:rPr>
        <w:t>41</w:t>
      </w:r>
      <w:r w:rsidRPr="00BD6250">
        <w:rPr>
          <w:szCs w:val="20"/>
        </w:rPr>
        <w:t xml:space="preserve"> persons</w:t>
      </w:r>
    </w:p>
    <w:p w14:paraId="79189A3E" w14:textId="77777777" w:rsidR="007E0ABC" w:rsidRPr="00EE4757" w:rsidRDefault="007E0ABC" w:rsidP="00616BEA">
      <w:pPr>
        <w:spacing w:line="276" w:lineRule="auto"/>
        <w:rPr>
          <w:szCs w:val="20"/>
        </w:rPr>
      </w:pPr>
      <w:r w:rsidRPr="0098395C">
        <w:rPr>
          <w:b/>
          <w:szCs w:val="20"/>
        </w:rPr>
        <w:t>M1</w:t>
      </w:r>
      <w:r w:rsidRPr="00EE4757">
        <w:rPr>
          <w:b/>
          <w:szCs w:val="20"/>
        </w:rPr>
        <w:t xml:space="preserve">:  </w:t>
      </w:r>
      <w:r w:rsidRPr="00EE4757">
        <w:rPr>
          <w:szCs w:val="20"/>
        </w:rPr>
        <w:t xml:space="preserve">Infit MNSQ &gt;1.6: N = </w:t>
      </w:r>
      <w:r>
        <w:rPr>
          <w:szCs w:val="20"/>
        </w:rPr>
        <w:t>47</w:t>
      </w:r>
      <w:r w:rsidRPr="00EE4757">
        <w:rPr>
          <w:szCs w:val="20"/>
        </w:rPr>
        <w:t xml:space="preserve"> persons</w:t>
      </w:r>
    </w:p>
    <w:p w14:paraId="3FE23BAD" w14:textId="77777777" w:rsidR="007E0ABC" w:rsidRPr="00EE4757" w:rsidRDefault="007E0ABC" w:rsidP="00616BEA">
      <w:pPr>
        <w:spacing w:line="276" w:lineRule="auto"/>
        <w:rPr>
          <w:szCs w:val="20"/>
        </w:rPr>
      </w:pPr>
      <w:r w:rsidRPr="00EE4757">
        <w:rPr>
          <w:szCs w:val="20"/>
        </w:rPr>
        <w:t xml:space="preserve">Infit MNSQ &lt; 0.4: N = </w:t>
      </w:r>
      <w:r>
        <w:rPr>
          <w:szCs w:val="20"/>
        </w:rPr>
        <w:t>17</w:t>
      </w:r>
      <w:r w:rsidRPr="00EE4757">
        <w:rPr>
          <w:szCs w:val="20"/>
        </w:rPr>
        <w:t xml:space="preserve"> persons</w:t>
      </w:r>
    </w:p>
    <w:p w14:paraId="65183F20" w14:textId="77777777" w:rsidR="007E0ABC" w:rsidRPr="00EE4757" w:rsidRDefault="007E0ABC" w:rsidP="00616BEA">
      <w:pPr>
        <w:spacing w:line="276" w:lineRule="auto"/>
        <w:rPr>
          <w:b/>
          <w:szCs w:val="20"/>
        </w:rPr>
      </w:pPr>
      <w:r w:rsidRPr="00EE4757">
        <w:rPr>
          <w:b/>
          <w:szCs w:val="20"/>
        </w:rPr>
        <w:t xml:space="preserve">M2: </w:t>
      </w:r>
      <w:r w:rsidRPr="00EE4757">
        <w:rPr>
          <w:szCs w:val="20"/>
        </w:rPr>
        <w:t xml:space="preserve">Infit MNSQ &gt;1.6: N = </w:t>
      </w:r>
      <w:r>
        <w:rPr>
          <w:szCs w:val="20"/>
        </w:rPr>
        <w:t>31</w:t>
      </w:r>
      <w:r w:rsidRPr="00EE4757">
        <w:rPr>
          <w:szCs w:val="20"/>
        </w:rPr>
        <w:t xml:space="preserve"> persons</w:t>
      </w:r>
    </w:p>
    <w:p w14:paraId="6E3AA250" w14:textId="77777777" w:rsidR="007E0ABC" w:rsidRPr="00EE4757" w:rsidRDefault="007E0ABC" w:rsidP="00616BEA">
      <w:pPr>
        <w:spacing w:line="276" w:lineRule="auto"/>
        <w:rPr>
          <w:szCs w:val="20"/>
        </w:rPr>
      </w:pPr>
      <w:r w:rsidRPr="00EE4757">
        <w:rPr>
          <w:szCs w:val="20"/>
        </w:rPr>
        <w:t xml:space="preserve">Infit MNSQ &lt; 0.4: N = </w:t>
      </w:r>
      <w:r>
        <w:rPr>
          <w:szCs w:val="20"/>
        </w:rPr>
        <w:t>7</w:t>
      </w:r>
      <w:r w:rsidRPr="00EE4757">
        <w:rPr>
          <w:szCs w:val="20"/>
        </w:rPr>
        <w:t xml:space="preserve"> persons</w:t>
      </w:r>
    </w:p>
    <w:p w14:paraId="5A71C249" w14:textId="77777777" w:rsidR="007E0ABC" w:rsidRDefault="007E0ABC" w:rsidP="007E0ABC">
      <w:pPr>
        <w:pStyle w:val="ListParagraph"/>
        <w:numPr>
          <w:ilvl w:val="0"/>
          <w:numId w:val="217"/>
        </w:numPr>
        <w:spacing w:before="240" w:after="240" w:line="240" w:lineRule="auto"/>
        <w:jc w:val="left"/>
      </w:pPr>
      <w:r w:rsidRPr="008E7F2E">
        <w:rPr>
          <w:rFonts w:eastAsia="Century Gothic" w:cs="Century Gothic"/>
          <w:color w:val="000000"/>
          <w:sz w:val="22"/>
          <w:szCs w:val="22"/>
        </w:rPr>
        <w:t>Uni-dimensionality</w:t>
      </w:r>
    </w:p>
    <w:tbl>
      <w:tblPr>
        <w:tblW w:w="9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132"/>
        <w:gridCol w:w="1267"/>
        <w:gridCol w:w="1187"/>
        <w:gridCol w:w="1203"/>
        <w:gridCol w:w="994"/>
        <w:gridCol w:w="1971"/>
      </w:tblGrid>
      <w:tr w:rsidR="007E0ABC" w14:paraId="03A3459E" w14:textId="77777777">
        <w:trPr>
          <w:trHeight w:val="790"/>
        </w:trPr>
        <w:tc>
          <w:tcPr>
            <w:tcW w:w="1687" w:type="dxa"/>
          </w:tcPr>
          <w:p w14:paraId="593741A9" w14:textId="77777777" w:rsidR="007E0ABC" w:rsidRDefault="007E0ABC">
            <w:pPr>
              <w:rPr>
                <w:sz w:val="18"/>
                <w:szCs w:val="18"/>
                <w:u w:val="single"/>
              </w:rPr>
            </w:pPr>
            <w:r>
              <w:rPr>
                <w:b/>
                <w:sz w:val="18"/>
                <w:szCs w:val="18"/>
              </w:rPr>
              <w:t>Model</w:t>
            </w:r>
          </w:p>
        </w:tc>
        <w:tc>
          <w:tcPr>
            <w:tcW w:w="1132" w:type="dxa"/>
          </w:tcPr>
          <w:p w14:paraId="37DED3C0" w14:textId="77777777" w:rsidR="007E0ABC" w:rsidRDefault="007E0ABC">
            <w:pPr>
              <w:rPr>
                <w:b/>
                <w:sz w:val="18"/>
                <w:szCs w:val="18"/>
              </w:rPr>
            </w:pPr>
            <w:r>
              <w:rPr>
                <w:b/>
                <w:sz w:val="18"/>
                <w:szCs w:val="18"/>
              </w:rPr>
              <w:t>Variance explained by model</w:t>
            </w:r>
          </w:p>
        </w:tc>
        <w:tc>
          <w:tcPr>
            <w:tcW w:w="1267" w:type="dxa"/>
          </w:tcPr>
          <w:p w14:paraId="7A6E410B" w14:textId="77777777" w:rsidR="007E0ABC" w:rsidRDefault="007E0ABC">
            <w:pPr>
              <w:rPr>
                <w:b/>
                <w:sz w:val="18"/>
                <w:szCs w:val="18"/>
              </w:rPr>
            </w:pPr>
            <w:r>
              <w:rPr>
                <w:b/>
                <w:sz w:val="18"/>
                <w:szCs w:val="18"/>
              </w:rPr>
              <w:t>1</w:t>
            </w:r>
            <w:r>
              <w:rPr>
                <w:b/>
                <w:sz w:val="18"/>
                <w:szCs w:val="18"/>
                <w:vertAlign w:val="superscript"/>
              </w:rPr>
              <w:t>st</w:t>
            </w:r>
            <w:r>
              <w:rPr>
                <w:b/>
                <w:sz w:val="18"/>
                <w:szCs w:val="18"/>
              </w:rPr>
              <w:t xml:space="preserve"> contrast eigenvalue</w:t>
            </w:r>
          </w:p>
        </w:tc>
        <w:tc>
          <w:tcPr>
            <w:tcW w:w="1187" w:type="dxa"/>
          </w:tcPr>
          <w:p w14:paraId="72C22A18" w14:textId="77777777" w:rsidR="007E0ABC" w:rsidRDefault="007E0ABC">
            <w:pPr>
              <w:rPr>
                <w:b/>
                <w:sz w:val="18"/>
                <w:szCs w:val="18"/>
              </w:rPr>
            </w:pPr>
            <w:r>
              <w:rPr>
                <w:b/>
                <w:sz w:val="18"/>
                <w:szCs w:val="18"/>
              </w:rPr>
              <w:t>1</w:t>
            </w:r>
            <w:r>
              <w:rPr>
                <w:b/>
                <w:sz w:val="18"/>
                <w:szCs w:val="18"/>
                <w:vertAlign w:val="superscript"/>
              </w:rPr>
              <w:t>st</w:t>
            </w:r>
            <w:r>
              <w:rPr>
                <w:b/>
                <w:sz w:val="18"/>
                <w:szCs w:val="18"/>
              </w:rPr>
              <w:t xml:space="preserve"> contrast variance</w:t>
            </w:r>
          </w:p>
        </w:tc>
        <w:tc>
          <w:tcPr>
            <w:tcW w:w="1203" w:type="dxa"/>
          </w:tcPr>
          <w:p w14:paraId="1DD5D887" w14:textId="77777777" w:rsidR="007E0ABC" w:rsidRDefault="007E0ABC">
            <w:pPr>
              <w:rPr>
                <w:b/>
                <w:sz w:val="18"/>
                <w:szCs w:val="18"/>
              </w:rPr>
            </w:pPr>
            <w:r>
              <w:rPr>
                <w:b/>
                <w:sz w:val="18"/>
                <w:szCs w:val="18"/>
              </w:rPr>
              <w:t>2nd contrast eigenvalue</w:t>
            </w:r>
          </w:p>
        </w:tc>
        <w:tc>
          <w:tcPr>
            <w:tcW w:w="994" w:type="dxa"/>
          </w:tcPr>
          <w:p w14:paraId="2FE0659F" w14:textId="77777777" w:rsidR="007E0ABC" w:rsidRDefault="007E0ABC">
            <w:pPr>
              <w:rPr>
                <w:b/>
                <w:sz w:val="18"/>
                <w:szCs w:val="18"/>
              </w:rPr>
            </w:pPr>
            <w:r>
              <w:rPr>
                <w:b/>
                <w:sz w:val="18"/>
                <w:szCs w:val="18"/>
              </w:rPr>
              <w:t>2</w:t>
            </w:r>
            <w:r>
              <w:rPr>
                <w:b/>
                <w:sz w:val="18"/>
                <w:szCs w:val="18"/>
                <w:vertAlign w:val="superscript"/>
              </w:rPr>
              <w:t>nd</w:t>
            </w:r>
            <w:r>
              <w:rPr>
                <w:b/>
                <w:sz w:val="18"/>
                <w:szCs w:val="18"/>
              </w:rPr>
              <w:t xml:space="preserve"> contrast variance</w:t>
            </w:r>
          </w:p>
        </w:tc>
        <w:tc>
          <w:tcPr>
            <w:tcW w:w="1971" w:type="dxa"/>
          </w:tcPr>
          <w:p w14:paraId="4EA74F8A" w14:textId="77777777" w:rsidR="007E0ABC" w:rsidRDefault="007E0ABC">
            <w:pPr>
              <w:rPr>
                <w:b/>
                <w:sz w:val="18"/>
                <w:szCs w:val="18"/>
              </w:rPr>
            </w:pPr>
            <w:r>
              <w:rPr>
                <w:b/>
                <w:sz w:val="18"/>
                <w:szCs w:val="18"/>
              </w:rPr>
              <w:t>Comment/decision</w:t>
            </w:r>
          </w:p>
        </w:tc>
      </w:tr>
      <w:tr w:rsidR="007E0ABC" w14:paraId="1C8D6A77" w14:textId="77777777">
        <w:tc>
          <w:tcPr>
            <w:tcW w:w="1687" w:type="dxa"/>
          </w:tcPr>
          <w:p w14:paraId="29B261C4" w14:textId="77777777" w:rsidR="007E0ABC" w:rsidRDefault="007E0ABC">
            <w:pPr>
              <w:rPr>
                <w:u w:val="single"/>
              </w:rPr>
            </w:pPr>
            <w:r>
              <w:rPr>
                <w:i/>
              </w:rPr>
              <w:t>Original model</w:t>
            </w:r>
          </w:p>
        </w:tc>
        <w:tc>
          <w:tcPr>
            <w:tcW w:w="1132" w:type="dxa"/>
          </w:tcPr>
          <w:p w14:paraId="3B5D6BDA" w14:textId="77777777" w:rsidR="007E0ABC" w:rsidRDefault="007E0ABC">
            <w:pPr>
              <w:rPr>
                <w:i/>
              </w:rPr>
            </w:pPr>
            <w:r>
              <w:rPr>
                <w:i/>
              </w:rPr>
              <w:t>37.9%</w:t>
            </w:r>
          </w:p>
        </w:tc>
        <w:tc>
          <w:tcPr>
            <w:tcW w:w="1267" w:type="dxa"/>
          </w:tcPr>
          <w:p w14:paraId="09FF6743" w14:textId="77777777" w:rsidR="007E0ABC" w:rsidRDefault="007E0ABC">
            <w:pPr>
              <w:jc w:val="center"/>
            </w:pPr>
            <w:r>
              <w:t>1.4</w:t>
            </w:r>
          </w:p>
        </w:tc>
        <w:tc>
          <w:tcPr>
            <w:tcW w:w="1187" w:type="dxa"/>
          </w:tcPr>
          <w:p w14:paraId="26291962" w14:textId="77777777" w:rsidR="007E0ABC" w:rsidRDefault="007E0ABC">
            <w:pPr>
              <w:jc w:val="center"/>
            </w:pPr>
            <w:r>
              <w:t>12.7%</w:t>
            </w:r>
          </w:p>
        </w:tc>
        <w:tc>
          <w:tcPr>
            <w:tcW w:w="1203" w:type="dxa"/>
          </w:tcPr>
          <w:p w14:paraId="11BF863E" w14:textId="77777777" w:rsidR="007E0ABC" w:rsidRDefault="007E0ABC">
            <w:pPr>
              <w:jc w:val="center"/>
            </w:pPr>
            <w:r>
              <w:t>None</w:t>
            </w:r>
          </w:p>
        </w:tc>
        <w:tc>
          <w:tcPr>
            <w:tcW w:w="994" w:type="dxa"/>
          </w:tcPr>
          <w:p w14:paraId="7B8DB07E" w14:textId="77777777" w:rsidR="007E0ABC" w:rsidRDefault="007E0ABC">
            <w:pPr>
              <w:jc w:val="center"/>
            </w:pPr>
            <w:r>
              <w:t>none</w:t>
            </w:r>
          </w:p>
        </w:tc>
        <w:tc>
          <w:tcPr>
            <w:tcW w:w="1971" w:type="dxa"/>
          </w:tcPr>
          <w:p w14:paraId="05B8C5EB" w14:textId="77777777" w:rsidR="007E0ABC" w:rsidRDefault="007E0ABC">
            <w:pPr>
              <w:jc w:val="center"/>
            </w:pPr>
            <w:r>
              <w:rPr>
                <w:sz w:val="16"/>
                <w:szCs w:val="16"/>
              </w:rPr>
              <w:t>Below cut-off for variance explained but eigenvalue not concerning. Scale is unidimensional. 2</w:t>
            </w:r>
            <w:r>
              <w:rPr>
                <w:sz w:val="16"/>
                <w:szCs w:val="16"/>
                <w:vertAlign w:val="superscript"/>
              </w:rPr>
              <w:t>nd</w:t>
            </w:r>
            <w:r>
              <w:rPr>
                <w:sz w:val="16"/>
                <w:szCs w:val="16"/>
              </w:rPr>
              <w:t xml:space="preserve"> dimension interpreted as random noise. Note any improvements in model changes.</w:t>
            </w:r>
          </w:p>
        </w:tc>
      </w:tr>
      <w:tr w:rsidR="007E0ABC" w14:paraId="4D2BC1B5" w14:textId="77777777">
        <w:tc>
          <w:tcPr>
            <w:tcW w:w="1687" w:type="dxa"/>
          </w:tcPr>
          <w:p w14:paraId="783A2381" w14:textId="77777777" w:rsidR="007E0ABC" w:rsidRDefault="007E0ABC">
            <w:pPr>
              <w:rPr>
                <w:i/>
              </w:rPr>
            </w:pPr>
            <w:r>
              <w:rPr>
                <w:i/>
                <w:szCs w:val="20"/>
              </w:rPr>
              <w:t xml:space="preserve">M1 – Collapsed </w:t>
            </w:r>
            <w:r>
              <w:rPr>
                <w:i/>
                <w:szCs w:val="20"/>
              </w:rPr>
              <w:lastRenderedPageBreak/>
              <w:t>categories 2&amp;3, 4&amp;5</w:t>
            </w:r>
          </w:p>
        </w:tc>
        <w:tc>
          <w:tcPr>
            <w:tcW w:w="1132" w:type="dxa"/>
          </w:tcPr>
          <w:p w14:paraId="6971089E" w14:textId="77777777" w:rsidR="007E0ABC" w:rsidRDefault="007E0ABC">
            <w:pPr>
              <w:rPr>
                <w:i/>
              </w:rPr>
            </w:pPr>
            <w:r>
              <w:rPr>
                <w:i/>
              </w:rPr>
              <w:lastRenderedPageBreak/>
              <w:t>34.1%</w:t>
            </w:r>
          </w:p>
        </w:tc>
        <w:tc>
          <w:tcPr>
            <w:tcW w:w="1267" w:type="dxa"/>
          </w:tcPr>
          <w:p w14:paraId="30647FDF" w14:textId="77777777" w:rsidR="007E0ABC" w:rsidRDefault="007E0ABC">
            <w:pPr>
              <w:jc w:val="center"/>
            </w:pPr>
            <w:r>
              <w:t>1.4</w:t>
            </w:r>
          </w:p>
        </w:tc>
        <w:tc>
          <w:tcPr>
            <w:tcW w:w="1187" w:type="dxa"/>
          </w:tcPr>
          <w:p w14:paraId="1A8A6C20" w14:textId="77777777" w:rsidR="007E0ABC" w:rsidRDefault="007E0ABC">
            <w:pPr>
              <w:jc w:val="center"/>
            </w:pPr>
            <w:r>
              <w:t>13.6</w:t>
            </w:r>
          </w:p>
        </w:tc>
        <w:tc>
          <w:tcPr>
            <w:tcW w:w="1203" w:type="dxa"/>
          </w:tcPr>
          <w:p w14:paraId="4B62C07F" w14:textId="77777777" w:rsidR="007E0ABC" w:rsidRDefault="007E0ABC">
            <w:pPr>
              <w:jc w:val="center"/>
            </w:pPr>
            <w:r>
              <w:t>1.3</w:t>
            </w:r>
          </w:p>
        </w:tc>
        <w:tc>
          <w:tcPr>
            <w:tcW w:w="994" w:type="dxa"/>
          </w:tcPr>
          <w:p w14:paraId="267F9CCF" w14:textId="77777777" w:rsidR="007E0ABC" w:rsidRDefault="007E0ABC">
            <w:pPr>
              <w:jc w:val="center"/>
            </w:pPr>
            <w:r>
              <w:t>12.1</w:t>
            </w:r>
          </w:p>
        </w:tc>
        <w:tc>
          <w:tcPr>
            <w:tcW w:w="1971" w:type="dxa"/>
          </w:tcPr>
          <w:p w14:paraId="08AF6E6B" w14:textId="77777777" w:rsidR="007E0ABC" w:rsidRDefault="007E0ABC">
            <w:pPr>
              <w:jc w:val="center"/>
              <w:rPr>
                <w:sz w:val="16"/>
                <w:szCs w:val="16"/>
              </w:rPr>
            </w:pPr>
            <w:r>
              <w:rPr>
                <w:sz w:val="16"/>
                <w:szCs w:val="16"/>
              </w:rPr>
              <w:t xml:space="preserve">Check with further iterations - </w:t>
            </w:r>
            <w:proofErr w:type="spellStart"/>
            <w:r>
              <w:rPr>
                <w:sz w:val="16"/>
                <w:szCs w:val="16"/>
              </w:rPr>
              <w:t>i.e</w:t>
            </w:r>
            <w:proofErr w:type="spellEnd"/>
            <w:r>
              <w:rPr>
                <w:sz w:val="16"/>
                <w:szCs w:val="16"/>
              </w:rPr>
              <w:t xml:space="preserve"> person misfit.</w:t>
            </w:r>
          </w:p>
        </w:tc>
      </w:tr>
      <w:tr w:rsidR="007E0ABC" w14:paraId="1F560AF4" w14:textId="77777777">
        <w:tc>
          <w:tcPr>
            <w:tcW w:w="1687" w:type="dxa"/>
          </w:tcPr>
          <w:p w14:paraId="22B3177F" w14:textId="77777777" w:rsidR="007E0ABC" w:rsidRDefault="007E0ABC">
            <w:pPr>
              <w:rPr>
                <w:i/>
                <w:szCs w:val="20"/>
              </w:rPr>
            </w:pPr>
            <w:r>
              <w:rPr>
                <w:i/>
                <w:szCs w:val="20"/>
              </w:rPr>
              <w:t>M2 - 47 Misfitting persons removed (iterative)</w:t>
            </w:r>
          </w:p>
        </w:tc>
        <w:tc>
          <w:tcPr>
            <w:tcW w:w="1132" w:type="dxa"/>
          </w:tcPr>
          <w:p w14:paraId="4B991557" w14:textId="77777777" w:rsidR="007E0ABC" w:rsidRDefault="007E0ABC">
            <w:pPr>
              <w:rPr>
                <w:i/>
              </w:rPr>
            </w:pPr>
            <w:r>
              <w:rPr>
                <w:i/>
              </w:rPr>
              <w:t>37.1%</w:t>
            </w:r>
          </w:p>
        </w:tc>
        <w:tc>
          <w:tcPr>
            <w:tcW w:w="1267" w:type="dxa"/>
          </w:tcPr>
          <w:p w14:paraId="4AD478E8" w14:textId="77777777" w:rsidR="007E0ABC" w:rsidRDefault="007E0ABC">
            <w:pPr>
              <w:jc w:val="center"/>
            </w:pPr>
            <w:r>
              <w:t>1.4</w:t>
            </w:r>
          </w:p>
        </w:tc>
        <w:tc>
          <w:tcPr>
            <w:tcW w:w="1187" w:type="dxa"/>
          </w:tcPr>
          <w:p w14:paraId="542F2F00" w14:textId="77777777" w:rsidR="007E0ABC" w:rsidRDefault="007E0ABC">
            <w:pPr>
              <w:jc w:val="center"/>
            </w:pPr>
            <w:r>
              <w:t>12.7</w:t>
            </w:r>
          </w:p>
        </w:tc>
        <w:tc>
          <w:tcPr>
            <w:tcW w:w="1203" w:type="dxa"/>
          </w:tcPr>
          <w:p w14:paraId="312B0139" w14:textId="77777777" w:rsidR="007E0ABC" w:rsidRDefault="007E0ABC">
            <w:pPr>
              <w:jc w:val="center"/>
            </w:pPr>
            <w:r>
              <w:t>1.4</w:t>
            </w:r>
          </w:p>
        </w:tc>
        <w:tc>
          <w:tcPr>
            <w:tcW w:w="994" w:type="dxa"/>
          </w:tcPr>
          <w:p w14:paraId="59DAA299" w14:textId="77777777" w:rsidR="007E0ABC" w:rsidRDefault="007E0ABC">
            <w:pPr>
              <w:jc w:val="center"/>
            </w:pPr>
            <w:r>
              <w:t>12.3</w:t>
            </w:r>
          </w:p>
        </w:tc>
        <w:tc>
          <w:tcPr>
            <w:tcW w:w="1971" w:type="dxa"/>
          </w:tcPr>
          <w:p w14:paraId="339CBEF2" w14:textId="77777777" w:rsidR="007E0ABC" w:rsidRDefault="007E0ABC">
            <w:pPr>
              <w:jc w:val="center"/>
              <w:rPr>
                <w:sz w:val="16"/>
                <w:szCs w:val="16"/>
              </w:rPr>
            </w:pPr>
          </w:p>
        </w:tc>
      </w:tr>
    </w:tbl>
    <w:p w14:paraId="42EEFF98" w14:textId="77777777" w:rsidR="007E0ABC" w:rsidRDefault="007E0ABC">
      <w:r>
        <w:tab/>
      </w:r>
    </w:p>
    <w:p w14:paraId="65D03299" w14:textId="77777777" w:rsidR="007E0ABC" w:rsidRPr="00616BEA" w:rsidRDefault="007E0ABC" w:rsidP="007E0ABC">
      <w:pPr>
        <w:pStyle w:val="ListParagraph"/>
        <w:numPr>
          <w:ilvl w:val="0"/>
          <w:numId w:val="217"/>
        </w:numPr>
        <w:pBdr>
          <w:top w:val="nil"/>
          <w:left w:val="nil"/>
          <w:bottom w:val="nil"/>
          <w:right w:val="nil"/>
          <w:between w:val="nil"/>
        </w:pBdr>
        <w:spacing w:after="160" w:line="259" w:lineRule="auto"/>
        <w:rPr>
          <w:color w:val="000000"/>
        </w:rPr>
      </w:pPr>
      <w:r w:rsidRPr="00616BEA">
        <w:rPr>
          <w:rFonts w:eastAsia="Century Gothic" w:cs="Century Gothic"/>
          <w:color w:val="000000"/>
          <w:sz w:val="22"/>
          <w:szCs w:val="22"/>
        </w:rPr>
        <w:t>Local independence</w:t>
      </w:r>
    </w:p>
    <w:p w14:paraId="7F320340" w14:textId="77777777" w:rsidR="007E0ABC" w:rsidRDefault="007E0ABC"/>
    <w:tbl>
      <w:tblPr>
        <w:tblW w:w="7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2096"/>
      </w:tblGrid>
      <w:tr w:rsidR="007E0ABC" w14:paraId="1E5DF9CD" w14:textId="77777777">
        <w:tc>
          <w:tcPr>
            <w:tcW w:w="2263" w:type="dxa"/>
          </w:tcPr>
          <w:p w14:paraId="3CB3AF21" w14:textId="77777777" w:rsidR="007E0ABC" w:rsidRDefault="007E0ABC">
            <w:pPr>
              <w:rPr>
                <w:b/>
                <w:szCs w:val="20"/>
              </w:rPr>
            </w:pPr>
            <w:r>
              <w:rPr>
                <w:b/>
                <w:szCs w:val="20"/>
              </w:rPr>
              <w:t>Model</w:t>
            </w:r>
          </w:p>
        </w:tc>
        <w:tc>
          <w:tcPr>
            <w:tcW w:w="1536" w:type="dxa"/>
          </w:tcPr>
          <w:p w14:paraId="545248A6" w14:textId="77777777" w:rsidR="007E0ABC" w:rsidRDefault="007E0ABC">
            <w:pPr>
              <w:rPr>
                <w:b/>
                <w:szCs w:val="20"/>
              </w:rPr>
            </w:pPr>
            <w:r>
              <w:rPr>
                <w:b/>
                <w:szCs w:val="20"/>
              </w:rPr>
              <w:t>Residual correlation range</w:t>
            </w:r>
          </w:p>
        </w:tc>
        <w:tc>
          <w:tcPr>
            <w:tcW w:w="1770" w:type="dxa"/>
          </w:tcPr>
          <w:p w14:paraId="73B9E2F7" w14:textId="77777777" w:rsidR="007E0ABC" w:rsidRDefault="007E0ABC">
            <w:pPr>
              <w:rPr>
                <w:b/>
                <w:szCs w:val="20"/>
              </w:rPr>
            </w:pPr>
            <w:r>
              <w:rPr>
                <w:b/>
                <w:szCs w:val="20"/>
              </w:rPr>
              <w:t>Flagged item pairs</w:t>
            </w:r>
          </w:p>
        </w:tc>
        <w:tc>
          <w:tcPr>
            <w:tcW w:w="2096" w:type="dxa"/>
          </w:tcPr>
          <w:p w14:paraId="3D4515B1" w14:textId="77777777" w:rsidR="007E0ABC" w:rsidRDefault="007E0ABC">
            <w:pPr>
              <w:rPr>
                <w:b/>
                <w:szCs w:val="20"/>
              </w:rPr>
            </w:pPr>
            <w:r>
              <w:rPr>
                <w:b/>
                <w:szCs w:val="20"/>
              </w:rPr>
              <w:t>Comment/decision</w:t>
            </w:r>
          </w:p>
        </w:tc>
      </w:tr>
      <w:tr w:rsidR="007E0ABC" w14:paraId="3691963E" w14:textId="77777777">
        <w:tc>
          <w:tcPr>
            <w:tcW w:w="2263" w:type="dxa"/>
          </w:tcPr>
          <w:p w14:paraId="1644E06D" w14:textId="77777777" w:rsidR="007E0ABC" w:rsidRDefault="007E0ABC">
            <w:pPr>
              <w:rPr>
                <w:i/>
                <w:szCs w:val="20"/>
              </w:rPr>
            </w:pPr>
            <w:r>
              <w:rPr>
                <w:i/>
                <w:szCs w:val="20"/>
              </w:rPr>
              <w:t>Original model</w:t>
            </w:r>
          </w:p>
        </w:tc>
        <w:tc>
          <w:tcPr>
            <w:tcW w:w="1536" w:type="dxa"/>
          </w:tcPr>
          <w:p w14:paraId="6B627CDA" w14:textId="77777777" w:rsidR="007E0ABC" w:rsidRDefault="007E0ABC">
            <w:pPr>
              <w:rPr>
                <w:szCs w:val="20"/>
              </w:rPr>
            </w:pPr>
            <w:r>
              <w:rPr>
                <w:szCs w:val="20"/>
              </w:rPr>
              <w:t>-.03 – -0.29</w:t>
            </w:r>
          </w:p>
        </w:tc>
        <w:tc>
          <w:tcPr>
            <w:tcW w:w="1770" w:type="dxa"/>
          </w:tcPr>
          <w:p w14:paraId="3C5CAD6F" w14:textId="77777777" w:rsidR="007E0ABC" w:rsidRDefault="007E0ABC">
            <w:pPr>
              <w:rPr>
                <w:szCs w:val="20"/>
              </w:rPr>
            </w:pPr>
            <w:r>
              <w:rPr>
                <w:szCs w:val="20"/>
              </w:rPr>
              <w:t>none</w:t>
            </w:r>
          </w:p>
        </w:tc>
        <w:tc>
          <w:tcPr>
            <w:tcW w:w="2096" w:type="dxa"/>
          </w:tcPr>
          <w:p w14:paraId="4A764714" w14:textId="77777777" w:rsidR="007E0ABC" w:rsidRDefault="007E0ABC">
            <w:pPr>
              <w:rPr>
                <w:sz w:val="16"/>
                <w:szCs w:val="16"/>
              </w:rPr>
            </w:pPr>
          </w:p>
        </w:tc>
      </w:tr>
      <w:tr w:rsidR="007E0ABC" w14:paraId="6A2B3C2D" w14:textId="77777777">
        <w:tc>
          <w:tcPr>
            <w:tcW w:w="2263" w:type="dxa"/>
          </w:tcPr>
          <w:p w14:paraId="0A3DA969" w14:textId="77777777" w:rsidR="007E0ABC" w:rsidRDefault="007E0ABC">
            <w:pPr>
              <w:rPr>
                <w:i/>
                <w:szCs w:val="20"/>
              </w:rPr>
            </w:pPr>
            <w:r>
              <w:rPr>
                <w:i/>
                <w:szCs w:val="20"/>
              </w:rPr>
              <w:t>M1 – Collapsed categories 2&amp;3, 4&amp;5</w:t>
            </w:r>
          </w:p>
        </w:tc>
        <w:tc>
          <w:tcPr>
            <w:tcW w:w="1536" w:type="dxa"/>
          </w:tcPr>
          <w:p w14:paraId="7A98CF4C" w14:textId="77777777" w:rsidR="007E0ABC" w:rsidRDefault="007E0ABC">
            <w:pPr>
              <w:rPr>
                <w:szCs w:val="20"/>
              </w:rPr>
            </w:pPr>
            <w:r>
              <w:rPr>
                <w:szCs w:val="20"/>
              </w:rPr>
              <w:t>-0.06 -  -0.29</w:t>
            </w:r>
          </w:p>
        </w:tc>
        <w:tc>
          <w:tcPr>
            <w:tcW w:w="1770" w:type="dxa"/>
          </w:tcPr>
          <w:p w14:paraId="5355929D" w14:textId="77777777" w:rsidR="007E0ABC" w:rsidRDefault="007E0ABC">
            <w:pPr>
              <w:rPr>
                <w:szCs w:val="20"/>
              </w:rPr>
            </w:pPr>
            <w:r>
              <w:rPr>
                <w:szCs w:val="20"/>
              </w:rPr>
              <w:t>none</w:t>
            </w:r>
          </w:p>
        </w:tc>
        <w:tc>
          <w:tcPr>
            <w:tcW w:w="2096" w:type="dxa"/>
          </w:tcPr>
          <w:p w14:paraId="14E6828E" w14:textId="77777777" w:rsidR="007E0ABC" w:rsidRDefault="007E0ABC">
            <w:pPr>
              <w:rPr>
                <w:sz w:val="16"/>
                <w:szCs w:val="16"/>
              </w:rPr>
            </w:pPr>
          </w:p>
        </w:tc>
      </w:tr>
      <w:tr w:rsidR="007E0ABC" w14:paraId="612988CC" w14:textId="77777777">
        <w:tc>
          <w:tcPr>
            <w:tcW w:w="2263" w:type="dxa"/>
          </w:tcPr>
          <w:p w14:paraId="17B08C33" w14:textId="77777777" w:rsidR="007E0ABC" w:rsidRDefault="007E0ABC">
            <w:pPr>
              <w:rPr>
                <w:i/>
                <w:szCs w:val="20"/>
              </w:rPr>
            </w:pPr>
            <w:r>
              <w:rPr>
                <w:i/>
                <w:szCs w:val="20"/>
              </w:rPr>
              <w:t>M2 - 47 Misfitting persons removed (iterative)</w:t>
            </w:r>
          </w:p>
        </w:tc>
        <w:tc>
          <w:tcPr>
            <w:tcW w:w="1536" w:type="dxa"/>
          </w:tcPr>
          <w:p w14:paraId="6AFF520C" w14:textId="77777777" w:rsidR="007E0ABC" w:rsidRDefault="007E0ABC">
            <w:pPr>
              <w:rPr>
                <w:szCs w:val="20"/>
              </w:rPr>
            </w:pPr>
            <w:r>
              <w:rPr>
                <w:szCs w:val="20"/>
              </w:rPr>
              <w:t>-0.02 - -0.30</w:t>
            </w:r>
          </w:p>
        </w:tc>
        <w:tc>
          <w:tcPr>
            <w:tcW w:w="1770" w:type="dxa"/>
          </w:tcPr>
          <w:p w14:paraId="5FFB882D" w14:textId="77777777" w:rsidR="007E0ABC" w:rsidRDefault="007E0ABC">
            <w:pPr>
              <w:rPr>
                <w:szCs w:val="20"/>
              </w:rPr>
            </w:pPr>
            <w:r>
              <w:rPr>
                <w:szCs w:val="20"/>
              </w:rPr>
              <w:t>none</w:t>
            </w:r>
          </w:p>
        </w:tc>
        <w:tc>
          <w:tcPr>
            <w:tcW w:w="2096" w:type="dxa"/>
          </w:tcPr>
          <w:p w14:paraId="4FA3FCE4" w14:textId="77777777" w:rsidR="007E0ABC" w:rsidRDefault="007E0ABC">
            <w:pPr>
              <w:rPr>
                <w:sz w:val="16"/>
                <w:szCs w:val="16"/>
              </w:rPr>
            </w:pPr>
          </w:p>
        </w:tc>
      </w:tr>
    </w:tbl>
    <w:p w14:paraId="1171EF60" w14:textId="77777777" w:rsidR="007E0ABC" w:rsidRDefault="007E0ABC">
      <w:pPr>
        <w:spacing w:line="259" w:lineRule="auto"/>
      </w:pPr>
    </w:p>
    <w:p w14:paraId="5AF8F39D" w14:textId="77777777" w:rsidR="007E0ABC" w:rsidRPr="00616BEA" w:rsidRDefault="007E0ABC" w:rsidP="007E0ABC">
      <w:pPr>
        <w:pStyle w:val="ListParagraph"/>
        <w:numPr>
          <w:ilvl w:val="0"/>
          <w:numId w:val="217"/>
        </w:numPr>
        <w:spacing w:after="160" w:line="259" w:lineRule="auto"/>
        <w:rPr>
          <w:sz w:val="22"/>
          <w:szCs w:val="22"/>
        </w:rPr>
      </w:pPr>
      <w:r w:rsidRPr="00616BEA">
        <w:rPr>
          <w:sz w:val="22"/>
          <w:szCs w:val="22"/>
        </w:rPr>
        <w:t>Reliability (reliability of persons/items)</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36"/>
        <w:gridCol w:w="1770"/>
        <w:gridCol w:w="1671"/>
        <w:gridCol w:w="1770"/>
      </w:tblGrid>
      <w:tr w:rsidR="007E0ABC" w14:paraId="5FC148BA" w14:textId="77777777">
        <w:tc>
          <w:tcPr>
            <w:tcW w:w="2263" w:type="dxa"/>
          </w:tcPr>
          <w:p w14:paraId="1BA6C1A7" w14:textId="77777777" w:rsidR="007E0ABC" w:rsidRDefault="007E0ABC">
            <w:pPr>
              <w:rPr>
                <w:szCs w:val="20"/>
              </w:rPr>
            </w:pPr>
          </w:p>
        </w:tc>
        <w:tc>
          <w:tcPr>
            <w:tcW w:w="3306" w:type="dxa"/>
            <w:gridSpan w:val="2"/>
          </w:tcPr>
          <w:p w14:paraId="675FE18F" w14:textId="77777777" w:rsidR="007E0ABC" w:rsidRDefault="007E0ABC">
            <w:pPr>
              <w:rPr>
                <w:b/>
                <w:szCs w:val="20"/>
              </w:rPr>
            </w:pPr>
            <w:r>
              <w:rPr>
                <w:b/>
                <w:szCs w:val="20"/>
              </w:rPr>
              <w:t>Person</w:t>
            </w:r>
          </w:p>
        </w:tc>
        <w:tc>
          <w:tcPr>
            <w:tcW w:w="3441" w:type="dxa"/>
            <w:gridSpan w:val="2"/>
          </w:tcPr>
          <w:p w14:paraId="645D0623" w14:textId="77777777" w:rsidR="007E0ABC" w:rsidRDefault="007E0ABC">
            <w:pPr>
              <w:rPr>
                <w:b/>
                <w:szCs w:val="20"/>
              </w:rPr>
            </w:pPr>
            <w:r>
              <w:rPr>
                <w:b/>
                <w:szCs w:val="20"/>
              </w:rPr>
              <w:t>Item</w:t>
            </w:r>
          </w:p>
        </w:tc>
      </w:tr>
      <w:tr w:rsidR="007E0ABC" w14:paraId="50261097" w14:textId="77777777">
        <w:tc>
          <w:tcPr>
            <w:tcW w:w="2263" w:type="dxa"/>
          </w:tcPr>
          <w:p w14:paraId="150FE383" w14:textId="77777777" w:rsidR="007E0ABC" w:rsidRDefault="007E0ABC">
            <w:pPr>
              <w:rPr>
                <w:b/>
                <w:szCs w:val="20"/>
              </w:rPr>
            </w:pPr>
            <w:r>
              <w:rPr>
                <w:b/>
                <w:szCs w:val="20"/>
              </w:rPr>
              <w:t>Model</w:t>
            </w:r>
          </w:p>
        </w:tc>
        <w:tc>
          <w:tcPr>
            <w:tcW w:w="1536" w:type="dxa"/>
          </w:tcPr>
          <w:p w14:paraId="1D97C733" w14:textId="77777777" w:rsidR="007E0ABC" w:rsidRDefault="007E0ABC">
            <w:pPr>
              <w:rPr>
                <w:szCs w:val="20"/>
              </w:rPr>
            </w:pPr>
            <w:r>
              <w:rPr>
                <w:szCs w:val="20"/>
              </w:rPr>
              <w:t>Reliability</w:t>
            </w:r>
          </w:p>
        </w:tc>
        <w:tc>
          <w:tcPr>
            <w:tcW w:w="1770" w:type="dxa"/>
          </w:tcPr>
          <w:p w14:paraId="62C1A241" w14:textId="77777777" w:rsidR="007E0ABC" w:rsidRDefault="007E0ABC">
            <w:pPr>
              <w:rPr>
                <w:szCs w:val="20"/>
              </w:rPr>
            </w:pPr>
            <w:r>
              <w:rPr>
                <w:szCs w:val="20"/>
              </w:rPr>
              <w:t>Separation index</w:t>
            </w:r>
          </w:p>
        </w:tc>
        <w:tc>
          <w:tcPr>
            <w:tcW w:w="1671" w:type="dxa"/>
          </w:tcPr>
          <w:p w14:paraId="397A7054" w14:textId="77777777" w:rsidR="007E0ABC" w:rsidRDefault="007E0ABC">
            <w:pPr>
              <w:rPr>
                <w:szCs w:val="20"/>
              </w:rPr>
            </w:pPr>
            <w:r>
              <w:rPr>
                <w:szCs w:val="20"/>
              </w:rPr>
              <w:t>Reliability</w:t>
            </w:r>
          </w:p>
        </w:tc>
        <w:tc>
          <w:tcPr>
            <w:tcW w:w="1770" w:type="dxa"/>
          </w:tcPr>
          <w:p w14:paraId="293422C1" w14:textId="77777777" w:rsidR="007E0ABC" w:rsidRDefault="007E0ABC">
            <w:pPr>
              <w:rPr>
                <w:szCs w:val="20"/>
              </w:rPr>
            </w:pPr>
            <w:r>
              <w:rPr>
                <w:szCs w:val="20"/>
              </w:rPr>
              <w:t>Separation index</w:t>
            </w:r>
          </w:p>
        </w:tc>
      </w:tr>
      <w:tr w:rsidR="007E0ABC" w14:paraId="73A8877B" w14:textId="77777777">
        <w:tc>
          <w:tcPr>
            <w:tcW w:w="2263" w:type="dxa"/>
          </w:tcPr>
          <w:p w14:paraId="5F575FD3" w14:textId="77777777" w:rsidR="007E0ABC" w:rsidRDefault="007E0ABC">
            <w:pPr>
              <w:rPr>
                <w:i/>
                <w:szCs w:val="20"/>
              </w:rPr>
            </w:pPr>
            <w:r>
              <w:rPr>
                <w:i/>
                <w:szCs w:val="20"/>
              </w:rPr>
              <w:t>Original model</w:t>
            </w:r>
          </w:p>
        </w:tc>
        <w:tc>
          <w:tcPr>
            <w:tcW w:w="1536" w:type="dxa"/>
          </w:tcPr>
          <w:p w14:paraId="3603FBDE" w14:textId="77777777" w:rsidR="007E0ABC" w:rsidRDefault="007E0ABC">
            <w:pPr>
              <w:rPr>
                <w:szCs w:val="20"/>
              </w:rPr>
            </w:pPr>
            <w:r>
              <w:rPr>
                <w:szCs w:val="20"/>
              </w:rPr>
              <w:t>0.54</w:t>
            </w:r>
          </w:p>
        </w:tc>
        <w:tc>
          <w:tcPr>
            <w:tcW w:w="1770" w:type="dxa"/>
          </w:tcPr>
          <w:p w14:paraId="51E241CC" w14:textId="77777777" w:rsidR="007E0ABC" w:rsidRDefault="007E0ABC">
            <w:pPr>
              <w:rPr>
                <w:szCs w:val="20"/>
              </w:rPr>
            </w:pPr>
            <w:r>
              <w:rPr>
                <w:szCs w:val="20"/>
              </w:rPr>
              <w:t>1.09</w:t>
            </w:r>
          </w:p>
        </w:tc>
        <w:tc>
          <w:tcPr>
            <w:tcW w:w="1671" w:type="dxa"/>
          </w:tcPr>
          <w:p w14:paraId="70031A41" w14:textId="77777777" w:rsidR="007E0ABC" w:rsidRDefault="007E0ABC">
            <w:pPr>
              <w:rPr>
                <w:szCs w:val="20"/>
              </w:rPr>
            </w:pPr>
            <w:r>
              <w:rPr>
                <w:szCs w:val="20"/>
              </w:rPr>
              <w:t>0.93</w:t>
            </w:r>
          </w:p>
        </w:tc>
        <w:tc>
          <w:tcPr>
            <w:tcW w:w="1770" w:type="dxa"/>
          </w:tcPr>
          <w:p w14:paraId="42132613" w14:textId="77777777" w:rsidR="007E0ABC" w:rsidRDefault="007E0ABC">
            <w:pPr>
              <w:rPr>
                <w:szCs w:val="20"/>
              </w:rPr>
            </w:pPr>
            <w:r>
              <w:rPr>
                <w:szCs w:val="20"/>
              </w:rPr>
              <w:t>3.79</w:t>
            </w:r>
          </w:p>
        </w:tc>
      </w:tr>
      <w:tr w:rsidR="007E0ABC" w14:paraId="6FE388B3" w14:textId="77777777">
        <w:tc>
          <w:tcPr>
            <w:tcW w:w="2263" w:type="dxa"/>
          </w:tcPr>
          <w:p w14:paraId="23627F0F" w14:textId="77777777" w:rsidR="007E0ABC" w:rsidRDefault="007E0ABC">
            <w:pPr>
              <w:rPr>
                <w:b/>
                <w:i/>
                <w:sz w:val="16"/>
                <w:szCs w:val="16"/>
              </w:rPr>
            </w:pPr>
            <w:r>
              <w:rPr>
                <w:i/>
                <w:szCs w:val="20"/>
              </w:rPr>
              <w:t>M1 – Collapsed categories 2&amp;3, 4&amp;5</w:t>
            </w:r>
          </w:p>
        </w:tc>
        <w:tc>
          <w:tcPr>
            <w:tcW w:w="1536" w:type="dxa"/>
          </w:tcPr>
          <w:p w14:paraId="14B12237" w14:textId="77777777" w:rsidR="007E0ABC" w:rsidRDefault="007E0ABC">
            <w:pPr>
              <w:rPr>
                <w:szCs w:val="20"/>
              </w:rPr>
            </w:pPr>
            <w:r>
              <w:rPr>
                <w:szCs w:val="20"/>
              </w:rPr>
              <w:t>0.63</w:t>
            </w:r>
          </w:p>
        </w:tc>
        <w:tc>
          <w:tcPr>
            <w:tcW w:w="1770" w:type="dxa"/>
          </w:tcPr>
          <w:p w14:paraId="6A7A618F" w14:textId="77777777" w:rsidR="007E0ABC" w:rsidRDefault="007E0ABC">
            <w:pPr>
              <w:rPr>
                <w:szCs w:val="20"/>
              </w:rPr>
            </w:pPr>
            <w:r>
              <w:rPr>
                <w:szCs w:val="20"/>
              </w:rPr>
              <w:t>1.31</w:t>
            </w:r>
          </w:p>
        </w:tc>
        <w:tc>
          <w:tcPr>
            <w:tcW w:w="1671" w:type="dxa"/>
          </w:tcPr>
          <w:p w14:paraId="73FD9306" w14:textId="77777777" w:rsidR="007E0ABC" w:rsidRDefault="007E0ABC">
            <w:pPr>
              <w:rPr>
                <w:szCs w:val="20"/>
              </w:rPr>
            </w:pPr>
            <w:r>
              <w:rPr>
                <w:szCs w:val="20"/>
              </w:rPr>
              <w:t>0.94</w:t>
            </w:r>
          </w:p>
        </w:tc>
        <w:tc>
          <w:tcPr>
            <w:tcW w:w="1770" w:type="dxa"/>
          </w:tcPr>
          <w:p w14:paraId="61FE327B" w14:textId="77777777" w:rsidR="007E0ABC" w:rsidRDefault="007E0ABC">
            <w:pPr>
              <w:rPr>
                <w:szCs w:val="20"/>
              </w:rPr>
            </w:pPr>
            <w:r>
              <w:rPr>
                <w:szCs w:val="20"/>
              </w:rPr>
              <w:t>4.09</w:t>
            </w:r>
          </w:p>
        </w:tc>
      </w:tr>
      <w:tr w:rsidR="007E0ABC" w14:paraId="0AF3F3CB" w14:textId="77777777">
        <w:tc>
          <w:tcPr>
            <w:tcW w:w="2263" w:type="dxa"/>
          </w:tcPr>
          <w:p w14:paraId="07002A13" w14:textId="77777777" w:rsidR="007E0ABC" w:rsidRDefault="007E0ABC">
            <w:pPr>
              <w:rPr>
                <w:i/>
                <w:szCs w:val="20"/>
              </w:rPr>
            </w:pPr>
            <w:r>
              <w:rPr>
                <w:i/>
                <w:szCs w:val="20"/>
              </w:rPr>
              <w:t>M2 - 47 misfitting persons removed (iterative)</w:t>
            </w:r>
          </w:p>
        </w:tc>
        <w:tc>
          <w:tcPr>
            <w:tcW w:w="1536" w:type="dxa"/>
          </w:tcPr>
          <w:p w14:paraId="2C5AD5DF" w14:textId="77777777" w:rsidR="007E0ABC" w:rsidRDefault="007E0ABC">
            <w:pPr>
              <w:rPr>
                <w:szCs w:val="20"/>
              </w:rPr>
            </w:pPr>
            <w:r>
              <w:rPr>
                <w:szCs w:val="20"/>
              </w:rPr>
              <w:t>0.68</w:t>
            </w:r>
          </w:p>
        </w:tc>
        <w:tc>
          <w:tcPr>
            <w:tcW w:w="1770" w:type="dxa"/>
          </w:tcPr>
          <w:p w14:paraId="33CBA3FB" w14:textId="77777777" w:rsidR="007E0ABC" w:rsidRDefault="007E0ABC">
            <w:pPr>
              <w:rPr>
                <w:szCs w:val="20"/>
              </w:rPr>
            </w:pPr>
            <w:r>
              <w:rPr>
                <w:szCs w:val="20"/>
              </w:rPr>
              <w:t>1.46</w:t>
            </w:r>
          </w:p>
        </w:tc>
        <w:tc>
          <w:tcPr>
            <w:tcW w:w="1671" w:type="dxa"/>
          </w:tcPr>
          <w:p w14:paraId="265E911A" w14:textId="77777777" w:rsidR="007E0ABC" w:rsidRDefault="007E0ABC">
            <w:pPr>
              <w:rPr>
                <w:szCs w:val="20"/>
              </w:rPr>
            </w:pPr>
            <w:r>
              <w:rPr>
                <w:szCs w:val="20"/>
              </w:rPr>
              <w:t>0.96</w:t>
            </w:r>
          </w:p>
        </w:tc>
        <w:tc>
          <w:tcPr>
            <w:tcW w:w="1770" w:type="dxa"/>
          </w:tcPr>
          <w:p w14:paraId="14F15FC6" w14:textId="77777777" w:rsidR="007E0ABC" w:rsidRDefault="007E0ABC">
            <w:pPr>
              <w:rPr>
                <w:szCs w:val="20"/>
              </w:rPr>
            </w:pPr>
            <w:r>
              <w:rPr>
                <w:szCs w:val="20"/>
              </w:rPr>
              <w:t>4.78</w:t>
            </w:r>
          </w:p>
        </w:tc>
      </w:tr>
    </w:tbl>
    <w:p w14:paraId="4BDC6373" w14:textId="77777777" w:rsidR="007E0ABC" w:rsidRDefault="007E0ABC"/>
    <w:p w14:paraId="706EC862" w14:textId="77777777" w:rsidR="007E0ABC" w:rsidRDefault="007E0ABC"/>
    <w:p w14:paraId="650A4DD7" w14:textId="77777777" w:rsidR="007E0ABC" w:rsidRPr="00616BEA" w:rsidRDefault="007E0ABC" w:rsidP="007E0ABC">
      <w:pPr>
        <w:pStyle w:val="ListParagraph"/>
        <w:numPr>
          <w:ilvl w:val="0"/>
          <w:numId w:val="217"/>
        </w:numPr>
        <w:pBdr>
          <w:top w:val="nil"/>
          <w:left w:val="nil"/>
          <w:bottom w:val="nil"/>
          <w:right w:val="nil"/>
          <w:between w:val="nil"/>
        </w:pBdr>
        <w:spacing w:after="160" w:line="259" w:lineRule="auto"/>
        <w:rPr>
          <w:sz w:val="22"/>
          <w:szCs w:val="22"/>
        </w:rPr>
      </w:pPr>
      <w:r w:rsidRPr="00616BEA">
        <w:rPr>
          <w:sz w:val="22"/>
          <w:szCs w:val="22"/>
        </w:rPr>
        <w:t xml:space="preserve">Construct validity </w:t>
      </w:r>
    </w:p>
    <w:p w14:paraId="575913C9" w14:textId="77777777" w:rsidR="007E0ABC" w:rsidRDefault="007E0ABC"/>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5"/>
        <w:gridCol w:w="1050"/>
        <w:gridCol w:w="1140"/>
        <w:gridCol w:w="1275"/>
        <w:gridCol w:w="1245"/>
        <w:gridCol w:w="1020"/>
        <w:gridCol w:w="105"/>
        <w:gridCol w:w="2490"/>
      </w:tblGrid>
      <w:tr w:rsidR="007E0ABC" w14:paraId="588712F7" w14:textId="77777777">
        <w:tc>
          <w:tcPr>
            <w:tcW w:w="1215" w:type="dxa"/>
          </w:tcPr>
          <w:p w14:paraId="0F58E854" w14:textId="77777777" w:rsidR="007E0ABC" w:rsidRDefault="007E0ABC">
            <w:pPr>
              <w:rPr>
                <w:b/>
                <w:szCs w:val="20"/>
              </w:rPr>
            </w:pPr>
          </w:p>
        </w:tc>
        <w:tc>
          <w:tcPr>
            <w:tcW w:w="1050" w:type="dxa"/>
          </w:tcPr>
          <w:p w14:paraId="60D59DFA" w14:textId="77777777" w:rsidR="007E0ABC" w:rsidRDefault="007E0ABC">
            <w:pPr>
              <w:rPr>
                <w:b/>
                <w:szCs w:val="20"/>
              </w:rPr>
            </w:pPr>
            <w:r>
              <w:rPr>
                <w:b/>
                <w:szCs w:val="20"/>
              </w:rPr>
              <w:t>Spread of persons (logits)</w:t>
            </w:r>
          </w:p>
        </w:tc>
        <w:tc>
          <w:tcPr>
            <w:tcW w:w="1140" w:type="dxa"/>
          </w:tcPr>
          <w:p w14:paraId="7E1A7A40" w14:textId="77777777" w:rsidR="007E0ABC" w:rsidRDefault="007E0ABC">
            <w:pPr>
              <w:rPr>
                <w:b/>
                <w:szCs w:val="20"/>
              </w:rPr>
            </w:pPr>
            <w:r>
              <w:rPr>
                <w:b/>
                <w:szCs w:val="20"/>
              </w:rPr>
              <w:t>‘Ruler’/Spread of items (logits)</w:t>
            </w:r>
          </w:p>
        </w:tc>
        <w:tc>
          <w:tcPr>
            <w:tcW w:w="1275" w:type="dxa"/>
          </w:tcPr>
          <w:p w14:paraId="58D0E1CF" w14:textId="77777777" w:rsidR="007E0ABC" w:rsidRDefault="007E0ABC">
            <w:pPr>
              <w:rPr>
                <w:b/>
                <w:szCs w:val="20"/>
              </w:rPr>
            </w:pPr>
            <w:r>
              <w:rPr>
                <w:b/>
                <w:szCs w:val="20"/>
              </w:rPr>
              <w:t>Overlapping items</w:t>
            </w:r>
          </w:p>
        </w:tc>
        <w:tc>
          <w:tcPr>
            <w:tcW w:w="1245" w:type="dxa"/>
          </w:tcPr>
          <w:p w14:paraId="6073A614" w14:textId="77777777" w:rsidR="007E0ABC" w:rsidRDefault="007E0ABC">
            <w:pPr>
              <w:rPr>
                <w:b/>
                <w:szCs w:val="20"/>
              </w:rPr>
            </w:pPr>
            <w:r>
              <w:rPr>
                <w:b/>
                <w:szCs w:val="20"/>
              </w:rPr>
              <w:t>Item gaps</w:t>
            </w:r>
          </w:p>
        </w:tc>
        <w:tc>
          <w:tcPr>
            <w:tcW w:w="1020" w:type="dxa"/>
          </w:tcPr>
          <w:p w14:paraId="4FB72BF9" w14:textId="77777777" w:rsidR="007E0ABC" w:rsidRDefault="007E0ABC">
            <w:pPr>
              <w:rPr>
                <w:b/>
                <w:szCs w:val="20"/>
              </w:rPr>
            </w:pPr>
            <w:r>
              <w:rPr>
                <w:b/>
                <w:szCs w:val="20"/>
              </w:rPr>
              <w:t>Question order</w:t>
            </w:r>
          </w:p>
        </w:tc>
        <w:tc>
          <w:tcPr>
            <w:tcW w:w="2595" w:type="dxa"/>
            <w:gridSpan w:val="2"/>
          </w:tcPr>
          <w:p w14:paraId="411EE013" w14:textId="77777777" w:rsidR="007E0ABC" w:rsidRDefault="007E0ABC">
            <w:pPr>
              <w:rPr>
                <w:b/>
                <w:szCs w:val="20"/>
              </w:rPr>
            </w:pPr>
            <w:r>
              <w:rPr>
                <w:b/>
                <w:szCs w:val="20"/>
              </w:rPr>
              <w:t>Recommendations/comments</w:t>
            </w:r>
          </w:p>
        </w:tc>
      </w:tr>
      <w:tr w:rsidR="007E0ABC" w14:paraId="688B2FB7" w14:textId="77777777">
        <w:tc>
          <w:tcPr>
            <w:tcW w:w="1215" w:type="dxa"/>
          </w:tcPr>
          <w:p w14:paraId="50EF744E" w14:textId="77777777" w:rsidR="007E0ABC" w:rsidRDefault="007E0ABC">
            <w:pPr>
              <w:rPr>
                <w:b/>
                <w:szCs w:val="20"/>
              </w:rPr>
            </w:pPr>
            <w:r>
              <w:rPr>
                <w:b/>
                <w:i/>
                <w:szCs w:val="20"/>
              </w:rPr>
              <w:t>Origina</w:t>
            </w:r>
            <w:r>
              <w:rPr>
                <w:b/>
                <w:szCs w:val="20"/>
              </w:rPr>
              <w:t>l</w:t>
            </w:r>
          </w:p>
        </w:tc>
        <w:tc>
          <w:tcPr>
            <w:tcW w:w="1050" w:type="dxa"/>
          </w:tcPr>
          <w:p w14:paraId="0D4DC7BB" w14:textId="77777777" w:rsidR="007E0ABC" w:rsidRDefault="007E0ABC">
            <w:pPr>
              <w:rPr>
                <w:szCs w:val="20"/>
              </w:rPr>
            </w:pPr>
            <w:r>
              <w:rPr>
                <w:szCs w:val="20"/>
              </w:rPr>
              <w:t>2 to -3</w:t>
            </w:r>
          </w:p>
        </w:tc>
        <w:tc>
          <w:tcPr>
            <w:tcW w:w="1140" w:type="dxa"/>
          </w:tcPr>
          <w:p w14:paraId="7BF3F9EB" w14:textId="77777777" w:rsidR="007E0ABC" w:rsidRDefault="007E0ABC">
            <w:pPr>
              <w:rPr>
                <w:szCs w:val="20"/>
              </w:rPr>
            </w:pPr>
            <w:r>
              <w:rPr>
                <w:szCs w:val="20"/>
              </w:rPr>
              <w:t>0.5 to -0.3</w:t>
            </w:r>
          </w:p>
        </w:tc>
        <w:tc>
          <w:tcPr>
            <w:tcW w:w="1275" w:type="dxa"/>
          </w:tcPr>
          <w:p w14:paraId="59C793EC" w14:textId="77777777" w:rsidR="007E0ABC" w:rsidRDefault="007E0ABC">
            <w:pPr>
              <w:rPr>
                <w:szCs w:val="20"/>
              </w:rPr>
            </w:pPr>
            <w:r>
              <w:rPr>
                <w:szCs w:val="20"/>
              </w:rPr>
              <w:t>11r/8r, 17r/26r</w:t>
            </w:r>
          </w:p>
        </w:tc>
        <w:tc>
          <w:tcPr>
            <w:tcW w:w="1245" w:type="dxa"/>
          </w:tcPr>
          <w:p w14:paraId="58829FC5" w14:textId="77777777" w:rsidR="007E0ABC" w:rsidRDefault="007E0ABC">
            <w:pPr>
              <w:rPr>
                <w:szCs w:val="20"/>
              </w:rPr>
            </w:pPr>
            <w:r>
              <w:rPr>
                <w:szCs w:val="20"/>
              </w:rPr>
              <w:t>All items clustered together, so above and below ruler</w:t>
            </w:r>
          </w:p>
        </w:tc>
        <w:tc>
          <w:tcPr>
            <w:tcW w:w="1125" w:type="dxa"/>
            <w:gridSpan w:val="2"/>
          </w:tcPr>
          <w:p w14:paraId="26383D02" w14:textId="77777777" w:rsidR="007E0ABC" w:rsidRDefault="007E0ABC">
            <w:pPr>
              <w:rPr>
                <w:szCs w:val="20"/>
              </w:rPr>
            </w:pPr>
            <w:r>
              <w:rPr>
                <w:szCs w:val="20"/>
              </w:rPr>
              <w:t>12r - 23r - 14r - -11r/8r - 17r/26r</w:t>
            </w:r>
          </w:p>
        </w:tc>
        <w:tc>
          <w:tcPr>
            <w:tcW w:w="2490" w:type="dxa"/>
          </w:tcPr>
          <w:p w14:paraId="5689338B" w14:textId="77777777" w:rsidR="007E0ABC" w:rsidRDefault="007E0ABC">
            <w:pPr>
              <w:rPr>
                <w:szCs w:val="20"/>
              </w:rPr>
            </w:pPr>
            <w:r>
              <w:rPr>
                <w:szCs w:val="20"/>
              </w:rPr>
              <w:t>Retest models with diff categories and without misfitting persons. Reword items to try and fill the spaces and extend the item ruler.</w:t>
            </w:r>
          </w:p>
        </w:tc>
      </w:tr>
      <w:tr w:rsidR="007E0ABC" w14:paraId="628CF690" w14:textId="77777777">
        <w:tc>
          <w:tcPr>
            <w:tcW w:w="1215" w:type="dxa"/>
          </w:tcPr>
          <w:p w14:paraId="3EB25F9D" w14:textId="77777777" w:rsidR="007E0ABC" w:rsidRDefault="007E0ABC">
            <w:pPr>
              <w:rPr>
                <w:b/>
                <w:szCs w:val="20"/>
              </w:rPr>
            </w:pPr>
            <w:r>
              <w:rPr>
                <w:i/>
                <w:szCs w:val="20"/>
              </w:rPr>
              <w:t>M1 – Collapsed categories 2&amp;3, 4&amp;5</w:t>
            </w:r>
          </w:p>
        </w:tc>
        <w:tc>
          <w:tcPr>
            <w:tcW w:w="1050" w:type="dxa"/>
          </w:tcPr>
          <w:p w14:paraId="5C0AE599" w14:textId="77777777" w:rsidR="007E0ABC" w:rsidRDefault="007E0ABC">
            <w:pPr>
              <w:rPr>
                <w:szCs w:val="20"/>
              </w:rPr>
            </w:pPr>
            <w:r>
              <w:rPr>
                <w:szCs w:val="20"/>
              </w:rPr>
              <w:t>3 to -3</w:t>
            </w:r>
          </w:p>
        </w:tc>
        <w:tc>
          <w:tcPr>
            <w:tcW w:w="1140" w:type="dxa"/>
          </w:tcPr>
          <w:p w14:paraId="2916F713" w14:textId="77777777" w:rsidR="007E0ABC" w:rsidRDefault="007E0ABC">
            <w:pPr>
              <w:rPr>
                <w:szCs w:val="20"/>
              </w:rPr>
            </w:pPr>
            <w:r>
              <w:rPr>
                <w:szCs w:val="20"/>
              </w:rPr>
              <w:t>0.5 to 0.5</w:t>
            </w:r>
          </w:p>
        </w:tc>
        <w:tc>
          <w:tcPr>
            <w:tcW w:w="1275" w:type="dxa"/>
          </w:tcPr>
          <w:p w14:paraId="71115B3B" w14:textId="77777777" w:rsidR="007E0ABC" w:rsidRDefault="007E0ABC">
            <w:pPr>
              <w:rPr>
                <w:szCs w:val="20"/>
              </w:rPr>
            </w:pPr>
            <w:r>
              <w:rPr>
                <w:szCs w:val="20"/>
              </w:rPr>
              <w:t>11r/8r</w:t>
            </w:r>
          </w:p>
        </w:tc>
        <w:tc>
          <w:tcPr>
            <w:tcW w:w="1245" w:type="dxa"/>
          </w:tcPr>
          <w:p w14:paraId="41E5E3A4" w14:textId="77777777" w:rsidR="007E0ABC" w:rsidRDefault="007E0ABC">
            <w:pPr>
              <w:rPr>
                <w:szCs w:val="20"/>
              </w:rPr>
            </w:pPr>
            <w:r>
              <w:rPr>
                <w:szCs w:val="20"/>
              </w:rPr>
              <w:t>Evenly spaced but short ruler, more items needed or reworded</w:t>
            </w:r>
          </w:p>
        </w:tc>
        <w:tc>
          <w:tcPr>
            <w:tcW w:w="1125" w:type="dxa"/>
            <w:gridSpan w:val="2"/>
          </w:tcPr>
          <w:p w14:paraId="2B5AD223" w14:textId="77777777" w:rsidR="007E0ABC" w:rsidRDefault="007E0ABC">
            <w:pPr>
              <w:rPr>
                <w:szCs w:val="20"/>
              </w:rPr>
            </w:pPr>
            <w:r>
              <w:rPr>
                <w:szCs w:val="20"/>
              </w:rPr>
              <w:t>12r - 23r - 14r - 11r/8r - 17r - 26r</w:t>
            </w:r>
          </w:p>
        </w:tc>
        <w:tc>
          <w:tcPr>
            <w:tcW w:w="2490" w:type="dxa"/>
          </w:tcPr>
          <w:p w14:paraId="563C4E19" w14:textId="77777777" w:rsidR="007E0ABC" w:rsidRDefault="007E0ABC">
            <w:pPr>
              <w:rPr>
                <w:szCs w:val="20"/>
              </w:rPr>
            </w:pPr>
            <w:r>
              <w:rPr>
                <w:szCs w:val="20"/>
              </w:rPr>
              <w:t xml:space="preserve">More items needed and/or reword of item 11r or 8r to expand item ruler. Overlapping indicates redundancy. Monitor with further iterations </w:t>
            </w:r>
            <w:proofErr w:type="spellStart"/>
            <w:r>
              <w:rPr>
                <w:szCs w:val="20"/>
              </w:rPr>
              <w:t>i.e</w:t>
            </w:r>
            <w:proofErr w:type="spellEnd"/>
            <w:r>
              <w:rPr>
                <w:szCs w:val="20"/>
              </w:rPr>
              <w:t xml:space="preserve"> person/item misfit. </w:t>
            </w:r>
          </w:p>
        </w:tc>
      </w:tr>
      <w:tr w:rsidR="007E0ABC" w14:paraId="2B53B63A" w14:textId="77777777">
        <w:tc>
          <w:tcPr>
            <w:tcW w:w="1215" w:type="dxa"/>
          </w:tcPr>
          <w:p w14:paraId="54DBD837" w14:textId="77777777" w:rsidR="007E0ABC" w:rsidRDefault="007E0ABC">
            <w:pPr>
              <w:rPr>
                <w:i/>
                <w:szCs w:val="20"/>
              </w:rPr>
            </w:pPr>
            <w:r>
              <w:rPr>
                <w:i/>
                <w:szCs w:val="20"/>
              </w:rPr>
              <w:t>M2 - 47 misfitting persons removed (iterative)</w:t>
            </w:r>
          </w:p>
        </w:tc>
        <w:tc>
          <w:tcPr>
            <w:tcW w:w="1050" w:type="dxa"/>
          </w:tcPr>
          <w:p w14:paraId="11029106" w14:textId="77777777" w:rsidR="007E0ABC" w:rsidRDefault="007E0ABC">
            <w:pPr>
              <w:rPr>
                <w:szCs w:val="20"/>
              </w:rPr>
            </w:pPr>
            <w:r>
              <w:rPr>
                <w:szCs w:val="20"/>
              </w:rPr>
              <w:t>3 to -3</w:t>
            </w:r>
          </w:p>
        </w:tc>
        <w:tc>
          <w:tcPr>
            <w:tcW w:w="1140" w:type="dxa"/>
          </w:tcPr>
          <w:p w14:paraId="2A823AE5" w14:textId="77777777" w:rsidR="007E0ABC" w:rsidRDefault="007E0ABC">
            <w:pPr>
              <w:rPr>
                <w:szCs w:val="20"/>
              </w:rPr>
            </w:pPr>
            <w:r>
              <w:rPr>
                <w:szCs w:val="20"/>
              </w:rPr>
              <w:t>0.9 to - 0.8</w:t>
            </w:r>
          </w:p>
        </w:tc>
        <w:tc>
          <w:tcPr>
            <w:tcW w:w="1275" w:type="dxa"/>
          </w:tcPr>
          <w:p w14:paraId="611A2101" w14:textId="77777777" w:rsidR="007E0ABC" w:rsidRDefault="007E0ABC">
            <w:pPr>
              <w:rPr>
                <w:szCs w:val="20"/>
              </w:rPr>
            </w:pPr>
            <w:r>
              <w:rPr>
                <w:szCs w:val="20"/>
              </w:rPr>
              <w:t>11r/8r</w:t>
            </w:r>
          </w:p>
        </w:tc>
        <w:tc>
          <w:tcPr>
            <w:tcW w:w="1245" w:type="dxa"/>
          </w:tcPr>
          <w:p w14:paraId="42711DF2" w14:textId="77777777" w:rsidR="007E0ABC" w:rsidRDefault="007E0ABC">
            <w:pPr>
              <w:rPr>
                <w:szCs w:val="20"/>
              </w:rPr>
            </w:pPr>
            <w:r>
              <w:rPr>
                <w:szCs w:val="20"/>
              </w:rPr>
              <w:t>Evenly spaced but short ruler, more items needed or reworded</w:t>
            </w:r>
          </w:p>
        </w:tc>
        <w:tc>
          <w:tcPr>
            <w:tcW w:w="1125" w:type="dxa"/>
            <w:gridSpan w:val="2"/>
          </w:tcPr>
          <w:p w14:paraId="0896AD0D" w14:textId="77777777" w:rsidR="007E0ABC" w:rsidRDefault="007E0ABC">
            <w:pPr>
              <w:rPr>
                <w:szCs w:val="20"/>
              </w:rPr>
            </w:pPr>
            <w:r>
              <w:rPr>
                <w:szCs w:val="20"/>
              </w:rPr>
              <w:t>12r - 23r - 14r - 11r/8r - 17r - 26r</w:t>
            </w:r>
          </w:p>
        </w:tc>
        <w:tc>
          <w:tcPr>
            <w:tcW w:w="2490" w:type="dxa"/>
          </w:tcPr>
          <w:p w14:paraId="177980ED" w14:textId="77777777" w:rsidR="007E0ABC" w:rsidRDefault="007E0ABC">
            <w:pPr>
              <w:rPr>
                <w:szCs w:val="20"/>
              </w:rPr>
            </w:pPr>
          </w:p>
        </w:tc>
      </w:tr>
    </w:tbl>
    <w:p w14:paraId="0D0605D3" w14:textId="77777777" w:rsidR="007E0ABC" w:rsidRDefault="007E0ABC" w:rsidP="003040B6">
      <w:pPr>
        <w:pStyle w:val="Subtitle"/>
        <w:spacing w:after="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E</w:t>
      </w:r>
      <w:r w:rsidRPr="00C260F1">
        <w:rPr>
          <w:rFonts w:ascii="Avenir Book" w:hAnsi="Avenir Book"/>
          <w:iCs/>
          <w:sz w:val="28"/>
          <w:szCs w:val="28"/>
        </w:rPr>
        <w:t xml:space="preserve"> –</w:t>
      </w:r>
      <w:r w:rsidRPr="003040B6">
        <w:t xml:space="preserve"> </w:t>
      </w:r>
      <w:r w:rsidRPr="003040B6">
        <w:rPr>
          <w:rFonts w:ascii="Avenir Book" w:hAnsi="Avenir Book"/>
          <w:iCs/>
          <w:sz w:val="28"/>
          <w:szCs w:val="28"/>
        </w:rPr>
        <w:t>Emergency Care Use Study Supplementary Data</w:t>
      </w:r>
    </w:p>
    <w:p w14:paraId="3B1A2E11" w14:textId="77777777" w:rsidR="007E0ABC" w:rsidRDefault="007E0ABC" w:rsidP="00716FF2">
      <w:pPr>
        <w:jc w:val="center"/>
      </w:pPr>
      <w:r>
        <w:t>Table 38 - Age and sex-stratified</w:t>
      </w:r>
      <w:r w:rsidRPr="007F3D83">
        <w:t xml:space="preserve"> crude rates proportions by age and sex for the FNSD </w:t>
      </w:r>
      <w:r>
        <w:t>cohort</w:t>
      </w:r>
    </w:p>
    <w:p w14:paraId="766627C7" w14:textId="77777777" w:rsidR="007E0ABC" w:rsidRPr="00143A29" w:rsidRDefault="007E0ABC" w:rsidP="00143A29">
      <w:pPr>
        <w:pStyle w:val="ListParagraph"/>
      </w:pPr>
    </w:p>
    <w:tbl>
      <w:tblPr>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505"/>
        <w:gridCol w:w="1505"/>
        <w:gridCol w:w="1200"/>
        <w:gridCol w:w="861"/>
        <w:gridCol w:w="861"/>
        <w:gridCol w:w="1265"/>
        <w:gridCol w:w="905"/>
        <w:gridCol w:w="908"/>
      </w:tblGrid>
      <w:tr w:rsidR="007E0ABC" w:rsidRPr="00CA4A10" w14:paraId="4ADA70EC" w14:textId="77777777" w:rsidTr="000971F9">
        <w:trPr>
          <w:trHeight w:val="298"/>
        </w:trPr>
        <w:tc>
          <w:tcPr>
            <w:tcW w:w="5000" w:type="pct"/>
            <w:gridSpan w:val="8"/>
            <w:shd w:val="clear" w:color="000000" w:fill="FCE4D6"/>
            <w:noWrap/>
            <w:vAlign w:val="center"/>
            <w:hideMark/>
          </w:tcPr>
          <w:p w14:paraId="4810E2D2" w14:textId="77777777" w:rsidR="007E0ABC" w:rsidRPr="00CA4A10" w:rsidRDefault="007E0ABC" w:rsidP="00AF2A65">
            <w:pPr>
              <w:jc w:val="center"/>
              <w:rPr>
                <w:rFonts w:ascii="Century Gothic" w:eastAsia="Times New Roman" w:hAnsi="Century Gothic" w:cs="Calibri"/>
                <w:b/>
                <w:bCs/>
                <w:color w:val="000000"/>
                <w:sz w:val="18"/>
                <w:szCs w:val="18"/>
                <w:u w:val="single"/>
                <w:lang w:eastAsia="en-GB"/>
              </w:rPr>
            </w:pPr>
            <w:r w:rsidRPr="00CA4A10">
              <w:rPr>
                <w:rFonts w:ascii="Century Gothic" w:eastAsia="Times New Roman" w:hAnsi="Century Gothic" w:cs="Calibri"/>
                <w:b/>
                <w:bCs/>
                <w:color w:val="000000"/>
                <w:sz w:val="18"/>
                <w:szCs w:val="18"/>
                <w:u w:val="single"/>
                <w:lang w:eastAsia="en-GB"/>
              </w:rPr>
              <w:t>FUNCTIONAL NEUROLOGICAL DISORDER COHORT 2013-2015</w:t>
            </w:r>
          </w:p>
        </w:tc>
      </w:tr>
      <w:tr w:rsidR="007E0ABC" w:rsidRPr="00CA4A10" w14:paraId="72FDB441" w14:textId="77777777" w:rsidTr="000971F9">
        <w:trPr>
          <w:trHeight w:val="274"/>
        </w:trPr>
        <w:tc>
          <w:tcPr>
            <w:tcW w:w="835" w:type="pct"/>
            <w:shd w:val="clear" w:color="auto" w:fill="auto"/>
            <w:vAlign w:val="center"/>
            <w:hideMark/>
          </w:tcPr>
          <w:p w14:paraId="392AF762"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Emergency care type</w:t>
            </w:r>
          </w:p>
        </w:tc>
        <w:tc>
          <w:tcPr>
            <w:tcW w:w="835" w:type="pct"/>
            <w:shd w:val="clear" w:color="auto" w:fill="auto"/>
            <w:vAlign w:val="center"/>
            <w:hideMark/>
          </w:tcPr>
          <w:p w14:paraId="406148C9"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Age group</w:t>
            </w:r>
          </w:p>
        </w:tc>
        <w:tc>
          <w:tcPr>
            <w:tcW w:w="3330" w:type="pct"/>
            <w:gridSpan w:val="6"/>
            <w:shd w:val="clear" w:color="auto" w:fill="auto"/>
            <w:vAlign w:val="center"/>
            <w:hideMark/>
          </w:tcPr>
          <w:p w14:paraId="6F322D38"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Crude rate (visits/person year) (95% CI)</w:t>
            </w:r>
          </w:p>
        </w:tc>
      </w:tr>
      <w:tr w:rsidR="007E0ABC" w:rsidRPr="00CA4A10" w14:paraId="08E829AD" w14:textId="77777777" w:rsidTr="000971F9">
        <w:trPr>
          <w:trHeight w:val="251"/>
        </w:trPr>
        <w:tc>
          <w:tcPr>
            <w:tcW w:w="835" w:type="pct"/>
            <w:shd w:val="clear" w:color="auto" w:fill="auto"/>
            <w:noWrap/>
            <w:vAlign w:val="center"/>
            <w:hideMark/>
          </w:tcPr>
          <w:p w14:paraId="09F905A5" w14:textId="77777777" w:rsidR="007E0ABC" w:rsidRPr="00CA4A10" w:rsidRDefault="007E0ABC" w:rsidP="00AF2A65">
            <w:pPr>
              <w:jc w:val="center"/>
              <w:rPr>
                <w:rFonts w:ascii="Century Gothic" w:eastAsia="Times New Roman" w:hAnsi="Century Gothic" w:cs="Calibri"/>
                <w:b/>
                <w:bCs/>
                <w:i/>
                <w:iCs/>
                <w:color w:val="000000"/>
                <w:sz w:val="18"/>
                <w:szCs w:val="18"/>
                <w:lang w:eastAsia="en-GB"/>
              </w:rPr>
            </w:pPr>
            <w:r w:rsidRPr="00CA4A10">
              <w:rPr>
                <w:rFonts w:ascii="Century Gothic" w:eastAsia="Times New Roman" w:hAnsi="Century Gothic" w:cs="Calibri"/>
                <w:b/>
                <w:bCs/>
                <w:i/>
                <w:iCs/>
                <w:color w:val="000000"/>
                <w:sz w:val="18"/>
                <w:szCs w:val="18"/>
                <w:lang w:eastAsia="en-GB"/>
              </w:rPr>
              <w:t> </w:t>
            </w:r>
          </w:p>
        </w:tc>
        <w:tc>
          <w:tcPr>
            <w:tcW w:w="835" w:type="pct"/>
            <w:shd w:val="clear" w:color="auto" w:fill="auto"/>
            <w:noWrap/>
            <w:vAlign w:val="center"/>
            <w:hideMark/>
          </w:tcPr>
          <w:p w14:paraId="315A514D" w14:textId="77777777" w:rsidR="007E0ABC" w:rsidRPr="00CA4A10" w:rsidRDefault="007E0ABC" w:rsidP="00AF2A65">
            <w:pPr>
              <w:jc w:val="center"/>
              <w:rPr>
                <w:rFonts w:ascii="Century Gothic" w:eastAsia="Times New Roman" w:hAnsi="Century Gothic" w:cs="Calibri"/>
                <w:b/>
                <w:bCs/>
                <w:i/>
                <w:iCs/>
                <w:color w:val="000000"/>
                <w:sz w:val="18"/>
                <w:szCs w:val="18"/>
                <w:lang w:eastAsia="en-GB"/>
              </w:rPr>
            </w:pPr>
            <w:r w:rsidRPr="00CA4A10">
              <w:rPr>
                <w:rFonts w:ascii="Century Gothic" w:eastAsia="Times New Roman" w:hAnsi="Century Gothic" w:cs="Calibri"/>
                <w:b/>
                <w:bCs/>
                <w:i/>
                <w:iCs/>
                <w:color w:val="000000"/>
                <w:sz w:val="18"/>
                <w:szCs w:val="18"/>
                <w:lang w:eastAsia="en-GB"/>
              </w:rPr>
              <w:t> </w:t>
            </w:r>
          </w:p>
        </w:tc>
        <w:tc>
          <w:tcPr>
            <w:tcW w:w="666" w:type="pct"/>
            <w:shd w:val="clear" w:color="auto" w:fill="auto"/>
            <w:noWrap/>
            <w:vAlign w:val="center"/>
            <w:hideMark/>
          </w:tcPr>
          <w:p w14:paraId="70EDBFF3" w14:textId="77777777" w:rsidR="007E0ABC" w:rsidRPr="00CA4A10" w:rsidRDefault="007E0ABC" w:rsidP="00AF2A65">
            <w:pPr>
              <w:jc w:val="center"/>
              <w:rPr>
                <w:rFonts w:ascii="Century Gothic" w:eastAsia="Times New Roman" w:hAnsi="Century Gothic" w:cs="Calibri"/>
                <w:b/>
                <w:bCs/>
                <w:i/>
                <w:iCs/>
                <w:color w:val="000000"/>
                <w:sz w:val="18"/>
                <w:szCs w:val="18"/>
                <w:lang w:eastAsia="en-GB"/>
              </w:rPr>
            </w:pPr>
            <w:r w:rsidRPr="00CA4A10">
              <w:rPr>
                <w:rFonts w:ascii="Century Gothic" w:eastAsia="Times New Roman" w:hAnsi="Century Gothic" w:cs="Calibri"/>
                <w:b/>
                <w:bCs/>
                <w:i/>
                <w:iCs/>
                <w:color w:val="000000"/>
                <w:sz w:val="18"/>
                <w:szCs w:val="18"/>
                <w:lang w:eastAsia="en-GB"/>
              </w:rPr>
              <w:t>Male</w:t>
            </w:r>
          </w:p>
        </w:tc>
        <w:tc>
          <w:tcPr>
            <w:tcW w:w="478" w:type="pct"/>
            <w:shd w:val="clear" w:color="auto" w:fill="auto"/>
            <w:vAlign w:val="center"/>
            <w:hideMark/>
          </w:tcPr>
          <w:p w14:paraId="6BE9CA55"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 xml:space="preserve"> CI low</w:t>
            </w:r>
          </w:p>
        </w:tc>
        <w:tc>
          <w:tcPr>
            <w:tcW w:w="478" w:type="pct"/>
            <w:shd w:val="clear" w:color="auto" w:fill="auto"/>
            <w:vAlign w:val="center"/>
            <w:hideMark/>
          </w:tcPr>
          <w:p w14:paraId="0303FEDE"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CI up</w:t>
            </w:r>
          </w:p>
        </w:tc>
        <w:tc>
          <w:tcPr>
            <w:tcW w:w="702" w:type="pct"/>
            <w:shd w:val="clear" w:color="auto" w:fill="auto"/>
            <w:noWrap/>
            <w:vAlign w:val="center"/>
            <w:hideMark/>
          </w:tcPr>
          <w:p w14:paraId="4B5531FC" w14:textId="77777777" w:rsidR="007E0ABC" w:rsidRPr="00CA4A10" w:rsidRDefault="007E0ABC" w:rsidP="00AF2A65">
            <w:pPr>
              <w:jc w:val="center"/>
              <w:rPr>
                <w:rFonts w:ascii="Century Gothic" w:eastAsia="Times New Roman" w:hAnsi="Century Gothic" w:cs="Calibri"/>
                <w:b/>
                <w:bCs/>
                <w:i/>
                <w:iCs/>
                <w:color w:val="000000"/>
                <w:sz w:val="18"/>
                <w:szCs w:val="18"/>
                <w:lang w:eastAsia="en-GB"/>
              </w:rPr>
            </w:pPr>
            <w:r w:rsidRPr="00CA4A10">
              <w:rPr>
                <w:rFonts w:ascii="Century Gothic" w:eastAsia="Times New Roman" w:hAnsi="Century Gothic" w:cs="Calibri"/>
                <w:b/>
                <w:bCs/>
                <w:i/>
                <w:iCs/>
                <w:color w:val="000000"/>
                <w:sz w:val="18"/>
                <w:szCs w:val="18"/>
                <w:lang w:eastAsia="en-GB"/>
              </w:rPr>
              <w:t>Female</w:t>
            </w:r>
          </w:p>
        </w:tc>
        <w:tc>
          <w:tcPr>
            <w:tcW w:w="502" w:type="pct"/>
            <w:shd w:val="clear" w:color="auto" w:fill="auto"/>
            <w:vAlign w:val="center"/>
            <w:hideMark/>
          </w:tcPr>
          <w:p w14:paraId="1E6B7841"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CI low</w:t>
            </w:r>
          </w:p>
        </w:tc>
        <w:tc>
          <w:tcPr>
            <w:tcW w:w="504" w:type="pct"/>
            <w:shd w:val="clear" w:color="auto" w:fill="auto"/>
            <w:vAlign w:val="center"/>
            <w:hideMark/>
          </w:tcPr>
          <w:p w14:paraId="1BF108B8"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CI up</w:t>
            </w:r>
          </w:p>
        </w:tc>
      </w:tr>
      <w:tr w:rsidR="007E0ABC" w:rsidRPr="00CA4A10" w14:paraId="30C81D3E" w14:textId="77777777" w:rsidTr="000971F9">
        <w:trPr>
          <w:trHeight w:val="320"/>
        </w:trPr>
        <w:tc>
          <w:tcPr>
            <w:tcW w:w="835" w:type="pct"/>
            <w:vMerge w:val="restart"/>
            <w:shd w:val="clear" w:color="auto" w:fill="auto"/>
            <w:noWrap/>
            <w:vAlign w:val="center"/>
            <w:hideMark/>
          </w:tcPr>
          <w:p w14:paraId="4D93997B"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111</w:t>
            </w:r>
          </w:p>
        </w:tc>
        <w:tc>
          <w:tcPr>
            <w:tcW w:w="835" w:type="pct"/>
            <w:shd w:val="clear" w:color="auto" w:fill="auto"/>
            <w:noWrap/>
            <w:vAlign w:val="center"/>
            <w:hideMark/>
          </w:tcPr>
          <w:p w14:paraId="3273D00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15-19</w:t>
            </w:r>
          </w:p>
        </w:tc>
        <w:tc>
          <w:tcPr>
            <w:tcW w:w="666" w:type="pct"/>
            <w:shd w:val="clear" w:color="auto" w:fill="auto"/>
            <w:noWrap/>
            <w:vAlign w:val="center"/>
            <w:hideMark/>
          </w:tcPr>
          <w:p w14:paraId="2000C6A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w:t>
            </w:r>
          </w:p>
        </w:tc>
        <w:tc>
          <w:tcPr>
            <w:tcW w:w="478" w:type="pct"/>
            <w:shd w:val="clear" w:color="auto" w:fill="auto"/>
            <w:noWrap/>
            <w:vAlign w:val="center"/>
            <w:hideMark/>
          </w:tcPr>
          <w:p w14:paraId="58D0F4C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0.123</w:t>
            </w:r>
          </w:p>
        </w:tc>
        <w:tc>
          <w:tcPr>
            <w:tcW w:w="478" w:type="pct"/>
            <w:shd w:val="clear" w:color="auto" w:fill="auto"/>
            <w:noWrap/>
            <w:vAlign w:val="center"/>
            <w:hideMark/>
          </w:tcPr>
          <w:p w14:paraId="634ADAB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1.877</w:t>
            </w:r>
          </w:p>
        </w:tc>
        <w:tc>
          <w:tcPr>
            <w:tcW w:w="702" w:type="pct"/>
            <w:shd w:val="clear" w:color="auto" w:fill="auto"/>
            <w:noWrap/>
            <w:vAlign w:val="center"/>
            <w:hideMark/>
          </w:tcPr>
          <w:p w14:paraId="49B5A4A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2.125</w:t>
            </w:r>
          </w:p>
        </w:tc>
        <w:tc>
          <w:tcPr>
            <w:tcW w:w="502" w:type="pct"/>
            <w:shd w:val="clear" w:color="auto" w:fill="auto"/>
            <w:noWrap/>
            <w:vAlign w:val="center"/>
            <w:hideMark/>
          </w:tcPr>
          <w:p w14:paraId="587B66E6"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1.115</w:t>
            </w:r>
          </w:p>
        </w:tc>
        <w:tc>
          <w:tcPr>
            <w:tcW w:w="504" w:type="pct"/>
            <w:shd w:val="clear" w:color="auto" w:fill="auto"/>
            <w:noWrap/>
            <w:vAlign w:val="center"/>
            <w:hideMark/>
          </w:tcPr>
          <w:p w14:paraId="11276E8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3.135</w:t>
            </w:r>
          </w:p>
        </w:tc>
      </w:tr>
      <w:tr w:rsidR="007E0ABC" w:rsidRPr="00CA4A10" w14:paraId="0CDE65F0" w14:textId="77777777" w:rsidTr="000971F9">
        <w:trPr>
          <w:trHeight w:val="320"/>
        </w:trPr>
        <w:tc>
          <w:tcPr>
            <w:tcW w:w="835" w:type="pct"/>
            <w:vMerge/>
            <w:vAlign w:val="center"/>
            <w:hideMark/>
          </w:tcPr>
          <w:p w14:paraId="08169218"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64EF498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20-24</w:t>
            </w:r>
          </w:p>
        </w:tc>
        <w:tc>
          <w:tcPr>
            <w:tcW w:w="666" w:type="pct"/>
            <w:shd w:val="clear" w:color="auto" w:fill="auto"/>
            <w:noWrap/>
            <w:vAlign w:val="center"/>
            <w:hideMark/>
          </w:tcPr>
          <w:p w14:paraId="4AE4C3B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2.25</w:t>
            </w:r>
          </w:p>
        </w:tc>
        <w:tc>
          <w:tcPr>
            <w:tcW w:w="478" w:type="pct"/>
            <w:shd w:val="clear" w:color="auto" w:fill="auto"/>
            <w:noWrap/>
            <w:vAlign w:val="center"/>
            <w:hideMark/>
          </w:tcPr>
          <w:p w14:paraId="45343C9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0.78</w:t>
            </w:r>
          </w:p>
        </w:tc>
        <w:tc>
          <w:tcPr>
            <w:tcW w:w="478" w:type="pct"/>
            <w:shd w:val="clear" w:color="auto" w:fill="auto"/>
            <w:noWrap/>
            <w:vAlign w:val="center"/>
            <w:hideMark/>
          </w:tcPr>
          <w:p w14:paraId="0006085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3.72</w:t>
            </w:r>
          </w:p>
        </w:tc>
        <w:tc>
          <w:tcPr>
            <w:tcW w:w="702" w:type="pct"/>
            <w:shd w:val="clear" w:color="auto" w:fill="auto"/>
            <w:noWrap/>
            <w:vAlign w:val="center"/>
            <w:hideMark/>
          </w:tcPr>
          <w:p w14:paraId="02799E2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2.875</w:t>
            </w:r>
          </w:p>
        </w:tc>
        <w:tc>
          <w:tcPr>
            <w:tcW w:w="502" w:type="pct"/>
            <w:shd w:val="clear" w:color="auto" w:fill="auto"/>
            <w:noWrap/>
            <w:vAlign w:val="center"/>
            <w:hideMark/>
          </w:tcPr>
          <w:p w14:paraId="0EB54E1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2.044</w:t>
            </w:r>
          </w:p>
        </w:tc>
        <w:tc>
          <w:tcPr>
            <w:tcW w:w="504" w:type="pct"/>
            <w:shd w:val="clear" w:color="auto" w:fill="auto"/>
            <w:noWrap/>
            <w:vAlign w:val="center"/>
            <w:hideMark/>
          </w:tcPr>
          <w:p w14:paraId="5C8246A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3.706</w:t>
            </w:r>
          </w:p>
        </w:tc>
      </w:tr>
      <w:tr w:rsidR="007E0ABC" w:rsidRPr="00CA4A10" w14:paraId="076E0CB5" w14:textId="77777777" w:rsidTr="000971F9">
        <w:trPr>
          <w:trHeight w:val="320"/>
        </w:trPr>
        <w:tc>
          <w:tcPr>
            <w:tcW w:w="835" w:type="pct"/>
            <w:vMerge/>
            <w:vAlign w:val="center"/>
            <w:hideMark/>
          </w:tcPr>
          <w:p w14:paraId="4AF95897"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5AC87FB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25-29</w:t>
            </w:r>
          </w:p>
        </w:tc>
        <w:tc>
          <w:tcPr>
            <w:tcW w:w="666" w:type="pct"/>
            <w:shd w:val="clear" w:color="auto" w:fill="auto"/>
            <w:noWrap/>
            <w:vAlign w:val="center"/>
            <w:hideMark/>
          </w:tcPr>
          <w:p w14:paraId="58D911D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0.778</w:t>
            </w:r>
          </w:p>
        </w:tc>
        <w:tc>
          <w:tcPr>
            <w:tcW w:w="478" w:type="pct"/>
            <w:shd w:val="clear" w:color="auto" w:fill="auto"/>
            <w:noWrap/>
            <w:vAlign w:val="center"/>
            <w:hideMark/>
          </w:tcPr>
          <w:p w14:paraId="1A8DFD9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0.202</w:t>
            </w:r>
          </w:p>
        </w:tc>
        <w:tc>
          <w:tcPr>
            <w:tcW w:w="478" w:type="pct"/>
            <w:shd w:val="clear" w:color="auto" w:fill="auto"/>
            <w:noWrap/>
            <w:vAlign w:val="center"/>
            <w:hideMark/>
          </w:tcPr>
          <w:p w14:paraId="54470C5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1.354</w:t>
            </w:r>
          </w:p>
        </w:tc>
        <w:tc>
          <w:tcPr>
            <w:tcW w:w="702" w:type="pct"/>
            <w:shd w:val="clear" w:color="auto" w:fill="auto"/>
            <w:noWrap/>
            <w:vAlign w:val="center"/>
            <w:hideMark/>
          </w:tcPr>
          <w:p w14:paraId="44B1F23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3.933</w:t>
            </w:r>
          </w:p>
        </w:tc>
        <w:tc>
          <w:tcPr>
            <w:tcW w:w="502" w:type="pct"/>
            <w:shd w:val="clear" w:color="auto" w:fill="auto"/>
            <w:noWrap/>
            <w:vAlign w:val="center"/>
            <w:hideMark/>
          </w:tcPr>
          <w:p w14:paraId="79A6558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2.929</w:t>
            </w:r>
          </w:p>
        </w:tc>
        <w:tc>
          <w:tcPr>
            <w:tcW w:w="504" w:type="pct"/>
            <w:shd w:val="clear" w:color="auto" w:fill="auto"/>
            <w:noWrap/>
            <w:vAlign w:val="center"/>
            <w:hideMark/>
          </w:tcPr>
          <w:p w14:paraId="7D2B768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4.937</w:t>
            </w:r>
          </w:p>
        </w:tc>
      </w:tr>
      <w:tr w:rsidR="007E0ABC" w:rsidRPr="00CA4A10" w14:paraId="420B2225" w14:textId="77777777" w:rsidTr="000971F9">
        <w:trPr>
          <w:trHeight w:val="320"/>
        </w:trPr>
        <w:tc>
          <w:tcPr>
            <w:tcW w:w="835" w:type="pct"/>
            <w:vMerge/>
            <w:vAlign w:val="center"/>
            <w:hideMark/>
          </w:tcPr>
          <w:p w14:paraId="23EA2724"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68EC4A1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30-34</w:t>
            </w:r>
          </w:p>
        </w:tc>
        <w:tc>
          <w:tcPr>
            <w:tcW w:w="666" w:type="pct"/>
            <w:shd w:val="clear" w:color="auto" w:fill="auto"/>
            <w:noWrap/>
            <w:vAlign w:val="center"/>
            <w:hideMark/>
          </w:tcPr>
          <w:p w14:paraId="4BE2850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2.875</w:t>
            </w:r>
          </w:p>
        </w:tc>
        <w:tc>
          <w:tcPr>
            <w:tcW w:w="478" w:type="pct"/>
            <w:shd w:val="clear" w:color="auto" w:fill="auto"/>
            <w:noWrap/>
            <w:vAlign w:val="center"/>
            <w:hideMark/>
          </w:tcPr>
          <w:p w14:paraId="4C1569D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1.7</w:t>
            </w:r>
          </w:p>
        </w:tc>
        <w:tc>
          <w:tcPr>
            <w:tcW w:w="478" w:type="pct"/>
            <w:shd w:val="clear" w:color="auto" w:fill="auto"/>
            <w:noWrap/>
            <w:vAlign w:val="center"/>
            <w:hideMark/>
          </w:tcPr>
          <w:p w14:paraId="6C8ABF0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4.05</w:t>
            </w:r>
          </w:p>
        </w:tc>
        <w:tc>
          <w:tcPr>
            <w:tcW w:w="702" w:type="pct"/>
            <w:shd w:val="clear" w:color="auto" w:fill="auto"/>
            <w:noWrap/>
            <w:vAlign w:val="center"/>
            <w:hideMark/>
          </w:tcPr>
          <w:p w14:paraId="21CEC8B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4.118</w:t>
            </w:r>
          </w:p>
        </w:tc>
        <w:tc>
          <w:tcPr>
            <w:tcW w:w="502" w:type="pct"/>
            <w:shd w:val="clear" w:color="auto" w:fill="auto"/>
            <w:noWrap/>
            <w:vAlign w:val="center"/>
            <w:hideMark/>
          </w:tcPr>
          <w:p w14:paraId="14F7847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3.153</w:t>
            </w:r>
          </w:p>
        </w:tc>
        <w:tc>
          <w:tcPr>
            <w:tcW w:w="504" w:type="pct"/>
            <w:shd w:val="clear" w:color="auto" w:fill="auto"/>
            <w:noWrap/>
            <w:vAlign w:val="center"/>
            <w:hideMark/>
          </w:tcPr>
          <w:p w14:paraId="76A20E4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5.083</w:t>
            </w:r>
          </w:p>
        </w:tc>
      </w:tr>
      <w:tr w:rsidR="007E0ABC" w:rsidRPr="00CA4A10" w14:paraId="5BCCB0F4" w14:textId="77777777" w:rsidTr="000971F9">
        <w:trPr>
          <w:trHeight w:val="320"/>
        </w:trPr>
        <w:tc>
          <w:tcPr>
            <w:tcW w:w="835" w:type="pct"/>
            <w:vMerge/>
            <w:vAlign w:val="center"/>
            <w:hideMark/>
          </w:tcPr>
          <w:p w14:paraId="4029C99F"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1E28ACF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35-39</w:t>
            </w:r>
          </w:p>
        </w:tc>
        <w:tc>
          <w:tcPr>
            <w:tcW w:w="666" w:type="pct"/>
            <w:shd w:val="clear" w:color="auto" w:fill="auto"/>
            <w:noWrap/>
            <w:vAlign w:val="center"/>
            <w:hideMark/>
          </w:tcPr>
          <w:p w14:paraId="1980F95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0.636</w:t>
            </w:r>
          </w:p>
        </w:tc>
        <w:tc>
          <w:tcPr>
            <w:tcW w:w="478" w:type="pct"/>
            <w:shd w:val="clear" w:color="auto" w:fill="auto"/>
            <w:noWrap/>
            <w:vAlign w:val="center"/>
            <w:hideMark/>
          </w:tcPr>
          <w:p w14:paraId="03E973F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0.165</w:t>
            </w:r>
          </w:p>
        </w:tc>
        <w:tc>
          <w:tcPr>
            <w:tcW w:w="478" w:type="pct"/>
            <w:shd w:val="clear" w:color="auto" w:fill="auto"/>
            <w:noWrap/>
            <w:vAlign w:val="center"/>
            <w:hideMark/>
          </w:tcPr>
          <w:p w14:paraId="2E13896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1.107</w:t>
            </w:r>
          </w:p>
        </w:tc>
        <w:tc>
          <w:tcPr>
            <w:tcW w:w="702" w:type="pct"/>
            <w:shd w:val="clear" w:color="auto" w:fill="auto"/>
            <w:noWrap/>
            <w:vAlign w:val="center"/>
            <w:hideMark/>
          </w:tcPr>
          <w:p w14:paraId="3E8AFBC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3.071</w:t>
            </w:r>
          </w:p>
        </w:tc>
        <w:tc>
          <w:tcPr>
            <w:tcW w:w="502" w:type="pct"/>
            <w:shd w:val="clear" w:color="auto" w:fill="auto"/>
            <w:noWrap/>
            <w:vAlign w:val="center"/>
            <w:hideMark/>
          </w:tcPr>
          <w:p w14:paraId="74E8CB9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2.153</w:t>
            </w:r>
          </w:p>
        </w:tc>
        <w:tc>
          <w:tcPr>
            <w:tcW w:w="504" w:type="pct"/>
            <w:shd w:val="clear" w:color="auto" w:fill="auto"/>
            <w:noWrap/>
            <w:vAlign w:val="center"/>
            <w:hideMark/>
          </w:tcPr>
          <w:p w14:paraId="21D74DB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3.989</w:t>
            </w:r>
          </w:p>
        </w:tc>
      </w:tr>
      <w:tr w:rsidR="007E0ABC" w:rsidRPr="00CA4A10" w14:paraId="33A35883" w14:textId="77777777" w:rsidTr="000971F9">
        <w:trPr>
          <w:trHeight w:val="320"/>
        </w:trPr>
        <w:tc>
          <w:tcPr>
            <w:tcW w:w="835" w:type="pct"/>
            <w:vMerge/>
            <w:vAlign w:val="center"/>
            <w:hideMark/>
          </w:tcPr>
          <w:p w14:paraId="56AD742E"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574EE5F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40-44</w:t>
            </w:r>
          </w:p>
        </w:tc>
        <w:tc>
          <w:tcPr>
            <w:tcW w:w="666" w:type="pct"/>
            <w:shd w:val="clear" w:color="auto" w:fill="auto"/>
            <w:noWrap/>
            <w:vAlign w:val="center"/>
            <w:hideMark/>
          </w:tcPr>
          <w:p w14:paraId="08DA46F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6.444</w:t>
            </w:r>
          </w:p>
        </w:tc>
        <w:tc>
          <w:tcPr>
            <w:tcW w:w="478" w:type="pct"/>
            <w:shd w:val="clear" w:color="auto" w:fill="auto"/>
            <w:noWrap/>
            <w:vAlign w:val="center"/>
            <w:hideMark/>
          </w:tcPr>
          <w:p w14:paraId="38E08D8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4.786</w:t>
            </w:r>
          </w:p>
        </w:tc>
        <w:tc>
          <w:tcPr>
            <w:tcW w:w="478" w:type="pct"/>
            <w:shd w:val="clear" w:color="auto" w:fill="auto"/>
            <w:noWrap/>
            <w:vAlign w:val="center"/>
            <w:hideMark/>
          </w:tcPr>
          <w:p w14:paraId="19A339A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8.102</w:t>
            </w:r>
          </w:p>
        </w:tc>
        <w:tc>
          <w:tcPr>
            <w:tcW w:w="702" w:type="pct"/>
            <w:shd w:val="clear" w:color="auto" w:fill="auto"/>
            <w:noWrap/>
            <w:vAlign w:val="center"/>
            <w:hideMark/>
          </w:tcPr>
          <w:p w14:paraId="25E8B1C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1.25</w:t>
            </w:r>
          </w:p>
        </w:tc>
        <w:tc>
          <w:tcPr>
            <w:tcW w:w="502" w:type="pct"/>
            <w:shd w:val="clear" w:color="auto" w:fill="auto"/>
            <w:noWrap/>
            <w:vAlign w:val="center"/>
            <w:hideMark/>
          </w:tcPr>
          <w:p w14:paraId="6AF9433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0.76</w:t>
            </w:r>
          </w:p>
        </w:tc>
        <w:tc>
          <w:tcPr>
            <w:tcW w:w="504" w:type="pct"/>
            <w:shd w:val="clear" w:color="auto" w:fill="auto"/>
            <w:noWrap/>
            <w:vAlign w:val="center"/>
            <w:hideMark/>
          </w:tcPr>
          <w:p w14:paraId="77953F1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1.74</w:t>
            </w:r>
          </w:p>
        </w:tc>
      </w:tr>
      <w:tr w:rsidR="007E0ABC" w:rsidRPr="00CA4A10" w14:paraId="2985A485" w14:textId="77777777" w:rsidTr="000971F9">
        <w:trPr>
          <w:trHeight w:val="320"/>
        </w:trPr>
        <w:tc>
          <w:tcPr>
            <w:tcW w:w="835" w:type="pct"/>
            <w:vMerge/>
            <w:vAlign w:val="center"/>
            <w:hideMark/>
          </w:tcPr>
          <w:p w14:paraId="1C8761C0"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10BDB32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45-49</w:t>
            </w:r>
          </w:p>
        </w:tc>
        <w:tc>
          <w:tcPr>
            <w:tcW w:w="666" w:type="pct"/>
            <w:shd w:val="clear" w:color="auto" w:fill="auto"/>
            <w:noWrap/>
            <w:vAlign w:val="center"/>
            <w:hideMark/>
          </w:tcPr>
          <w:p w14:paraId="588EC60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w:t>
            </w:r>
          </w:p>
        </w:tc>
        <w:tc>
          <w:tcPr>
            <w:tcW w:w="478" w:type="pct"/>
            <w:shd w:val="clear" w:color="auto" w:fill="auto"/>
            <w:noWrap/>
            <w:vAlign w:val="center"/>
            <w:hideMark/>
          </w:tcPr>
          <w:p w14:paraId="78507CE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1.231</w:t>
            </w:r>
          </w:p>
        </w:tc>
        <w:tc>
          <w:tcPr>
            <w:tcW w:w="478" w:type="pct"/>
            <w:shd w:val="clear" w:color="auto" w:fill="auto"/>
            <w:noWrap/>
            <w:vAlign w:val="center"/>
            <w:hideMark/>
          </w:tcPr>
          <w:p w14:paraId="42D4426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2.769</w:t>
            </w:r>
          </w:p>
        </w:tc>
        <w:tc>
          <w:tcPr>
            <w:tcW w:w="702" w:type="pct"/>
            <w:shd w:val="clear" w:color="auto" w:fill="auto"/>
            <w:noWrap/>
            <w:vAlign w:val="center"/>
            <w:hideMark/>
          </w:tcPr>
          <w:p w14:paraId="6404EBF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2.308</w:t>
            </w:r>
          </w:p>
        </w:tc>
        <w:tc>
          <w:tcPr>
            <w:tcW w:w="502" w:type="pct"/>
            <w:shd w:val="clear" w:color="auto" w:fill="auto"/>
            <w:noWrap/>
            <w:vAlign w:val="center"/>
            <w:hideMark/>
          </w:tcPr>
          <w:p w14:paraId="2BDE696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1.482</w:t>
            </w:r>
          </w:p>
        </w:tc>
        <w:tc>
          <w:tcPr>
            <w:tcW w:w="504" w:type="pct"/>
            <w:shd w:val="clear" w:color="auto" w:fill="auto"/>
            <w:noWrap/>
            <w:vAlign w:val="center"/>
            <w:hideMark/>
          </w:tcPr>
          <w:p w14:paraId="0E7E977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3.134</w:t>
            </w:r>
          </w:p>
        </w:tc>
      </w:tr>
      <w:tr w:rsidR="007E0ABC" w:rsidRPr="00CA4A10" w14:paraId="771465EE" w14:textId="77777777" w:rsidTr="000971F9">
        <w:trPr>
          <w:trHeight w:val="320"/>
        </w:trPr>
        <w:tc>
          <w:tcPr>
            <w:tcW w:w="835" w:type="pct"/>
            <w:vMerge/>
            <w:vAlign w:val="center"/>
            <w:hideMark/>
          </w:tcPr>
          <w:p w14:paraId="07055890"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7323426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50-54</w:t>
            </w:r>
          </w:p>
        </w:tc>
        <w:tc>
          <w:tcPr>
            <w:tcW w:w="666" w:type="pct"/>
            <w:shd w:val="clear" w:color="auto" w:fill="auto"/>
            <w:noWrap/>
            <w:vAlign w:val="center"/>
            <w:hideMark/>
          </w:tcPr>
          <w:p w14:paraId="2AB7958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w:t>
            </w:r>
          </w:p>
        </w:tc>
        <w:tc>
          <w:tcPr>
            <w:tcW w:w="478" w:type="pct"/>
            <w:shd w:val="clear" w:color="auto" w:fill="auto"/>
            <w:noWrap/>
            <w:vAlign w:val="center"/>
            <w:hideMark/>
          </w:tcPr>
          <w:p w14:paraId="5FF03EB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0.2</w:t>
            </w:r>
          </w:p>
        </w:tc>
        <w:tc>
          <w:tcPr>
            <w:tcW w:w="478" w:type="pct"/>
            <w:shd w:val="clear" w:color="auto" w:fill="auto"/>
            <w:noWrap/>
            <w:vAlign w:val="center"/>
            <w:hideMark/>
          </w:tcPr>
          <w:p w14:paraId="1EA3218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w:t>
            </w:r>
          </w:p>
        </w:tc>
        <w:tc>
          <w:tcPr>
            <w:tcW w:w="702" w:type="pct"/>
            <w:shd w:val="clear" w:color="auto" w:fill="auto"/>
            <w:noWrap/>
            <w:vAlign w:val="center"/>
            <w:hideMark/>
          </w:tcPr>
          <w:p w14:paraId="7349846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0.562</w:t>
            </w:r>
          </w:p>
        </w:tc>
        <w:tc>
          <w:tcPr>
            <w:tcW w:w="502" w:type="pct"/>
            <w:shd w:val="clear" w:color="auto" w:fill="auto"/>
            <w:noWrap/>
            <w:vAlign w:val="center"/>
            <w:hideMark/>
          </w:tcPr>
          <w:p w14:paraId="6669D0F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0.195</w:t>
            </w:r>
          </w:p>
        </w:tc>
        <w:tc>
          <w:tcPr>
            <w:tcW w:w="504" w:type="pct"/>
            <w:shd w:val="clear" w:color="auto" w:fill="auto"/>
            <w:noWrap/>
            <w:vAlign w:val="center"/>
            <w:hideMark/>
          </w:tcPr>
          <w:p w14:paraId="04817FE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0.929</w:t>
            </w:r>
          </w:p>
        </w:tc>
      </w:tr>
      <w:tr w:rsidR="007E0ABC" w:rsidRPr="00CA4A10" w14:paraId="03A8A73D" w14:textId="77777777" w:rsidTr="000971F9">
        <w:trPr>
          <w:trHeight w:val="320"/>
        </w:trPr>
        <w:tc>
          <w:tcPr>
            <w:tcW w:w="835" w:type="pct"/>
            <w:vMerge/>
            <w:vAlign w:val="center"/>
            <w:hideMark/>
          </w:tcPr>
          <w:p w14:paraId="64975152"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1C17AC5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55-59</w:t>
            </w:r>
          </w:p>
        </w:tc>
        <w:tc>
          <w:tcPr>
            <w:tcW w:w="666" w:type="pct"/>
            <w:shd w:val="clear" w:color="auto" w:fill="auto"/>
            <w:noWrap/>
            <w:vAlign w:val="center"/>
            <w:hideMark/>
          </w:tcPr>
          <w:p w14:paraId="533BD24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12</w:t>
            </w:r>
          </w:p>
        </w:tc>
        <w:tc>
          <w:tcPr>
            <w:tcW w:w="478" w:type="pct"/>
            <w:shd w:val="clear" w:color="auto" w:fill="auto"/>
            <w:noWrap/>
            <w:vAlign w:val="center"/>
            <w:hideMark/>
          </w:tcPr>
          <w:p w14:paraId="390003D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9.228</w:t>
            </w:r>
          </w:p>
        </w:tc>
        <w:tc>
          <w:tcPr>
            <w:tcW w:w="478" w:type="pct"/>
            <w:shd w:val="clear" w:color="auto" w:fill="auto"/>
            <w:noWrap/>
            <w:vAlign w:val="center"/>
            <w:hideMark/>
          </w:tcPr>
          <w:p w14:paraId="509FC1C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14.772</w:t>
            </w:r>
          </w:p>
        </w:tc>
        <w:tc>
          <w:tcPr>
            <w:tcW w:w="702" w:type="pct"/>
            <w:shd w:val="clear" w:color="auto" w:fill="auto"/>
            <w:noWrap/>
            <w:vAlign w:val="center"/>
            <w:hideMark/>
          </w:tcPr>
          <w:p w14:paraId="1BD96FA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w:t>
            </w:r>
          </w:p>
        </w:tc>
        <w:tc>
          <w:tcPr>
            <w:tcW w:w="502" w:type="pct"/>
            <w:shd w:val="clear" w:color="auto" w:fill="auto"/>
            <w:noWrap/>
            <w:vAlign w:val="center"/>
            <w:hideMark/>
          </w:tcPr>
          <w:p w14:paraId="7F9DC96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1.164</w:t>
            </w:r>
          </w:p>
        </w:tc>
        <w:tc>
          <w:tcPr>
            <w:tcW w:w="504" w:type="pct"/>
            <w:shd w:val="clear" w:color="auto" w:fill="auto"/>
            <w:noWrap/>
            <w:vAlign w:val="center"/>
            <w:hideMark/>
          </w:tcPr>
          <w:p w14:paraId="6345B11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2.836</w:t>
            </w:r>
          </w:p>
        </w:tc>
      </w:tr>
      <w:tr w:rsidR="007E0ABC" w:rsidRPr="00CA4A10" w14:paraId="63FF339F" w14:textId="77777777" w:rsidTr="000971F9">
        <w:trPr>
          <w:trHeight w:val="320"/>
        </w:trPr>
        <w:tc>
          <w:tcPr>
            <w:tcW w:w="835" w:type="pct"/>
            <w:vMerge/>
            <w:vAlign w:val="center"/>
            <w:hideMark/>
          </w:tcPr>
          <w:p w14:paraId="782492BE"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2E1E7D1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60-64</w:t>
            </w:r>
          </w:p>
        </w:tc>
        <w:tc>
          <w:tcPr>
            <w:tcW w:w="666" w:type="pct"/>
            <w:shd w:val="clear" w:color="auto" w:fill="auto"/>
            <w:noWrap/>
            <w:vAlign w:val="center"/>
            <w:hideMark/>
          </w:tcPr>
          <w:p w14:paraId="62B1646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0.5</w:t>
            </w:r>
          </w:p>
        </w:tc>
        <w:tc>
          <w:tcPr>
            <w:tcW w:w="478" w:type="pct"/>
            <w:shd w:val="clear" w:color="auto" w:fill="auto"/>
            <w:noWrap/>
            <w:vAlign w:val="center"/>
            <w:hideMark/>
          </w:tcPr>
          <w:p w14:paraId="4A665C4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-0.193</w:t>
            </w:r>
          </w:p>
        </w:tc>
        <w:tc>
          <w:tcPr>
            <w:tcW w:w="478" w:type="pct"/>
            <w:shd w:val="clear" w:color="auto" w:fill="auto"/>
            <w:noWrap/>
            <w:vAlign w:val="center"/>
            <w:hideMark/>
          </w:tcPr>
          <w:p w14:paraId="53EDD4F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1.193</w:t>
            </w:r>
          </w:p>
        </w:tc>
        <w:tc>
          <w:tcPr>
            <w:tcW w:w="702" w:type="pct"/>
            <w:shd w:val="clear" w:color="auto" w:fill="auto"/>
            <w:noWrap/>
            <w:vAlign w:val="center"/>
            <w:hideMark/>
          </w:tcPr>
          <w:p w14:paraId="66111AF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w:t>
            </w:r>
          </w:p>
        </w:tc>
        <w:tc>
          <w:tcPr>
            <w:tcW w:w="502" w:type="pct"/>
            <w:shd w:val="clear" w:color="auto" w:fill="auto"/>
            <w:noWrap/>
            <w:vAlign w:val="center"/>
            <w:hideMark/>
          </w:tcPr>
          <w:p w14:paraId="394572B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0.76</w:t>
            </w:r>
          </w:p>
        </w:tc>
        <w:tc>
          <w:tcPr>
            <w:tcW w:w="504" w:type="pct"/>
            <w:shd w:val="clear" w:color="auto" w:fill="auto"/>
            <w:noWrap/>
            <w:vAlign w:val="center"/>
            <w:hideMark/>
          </w:tcPr>
          <w:p w14:paraId="384FAF2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3.24</w:t>
            </w:r>
          </w:p>
        </w:tc>
      </w:tr>
      <w:tr w:rsidR="007E0ABC" w:rsidRPr="00CA4A10" w14:paraId="3E20E85C" w14:textId="77777777" w:rsidTr="000971F9">
        <w:trPr>
          <w:trHeight w:val="320"/>
        </w:trPr>
        <w:tc>
          <w:tcPr>
            <w:tcW w:w="835" w:type="pct"/>
            <w:vMerge/>
            <w:vAlign w:val="center"/>
            <w:hideMark/>
          </w:tcPr>
          <w:p w14:paraId="506C4D67"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65E23EC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65-69</w:t>
            </w:r>
          </w:p>
        </w:tc>
        <w:tc>
          <w:tcPr>
            <w:tcW w:w="666" w:type="pct"/>
            <w:shd w:val="clear" w:color="auto" w:fill="auto"/>
            <w:noWrap/>
            <w:vAlign w:val="center"/>
            <w:hideMark/>
          </w:tcPr>
          <w:p w14:paraId="3390759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w:t>
            </w:r>
          </w:p>
        </w:tc>
        <w:tc>
          <w:tcPr>
            <w:tcW w:w="478" w:type="pct"/>
            <w:shd w:val="clear" w:color="auto" w:fill="auto"/>
            <w:noWrap/>
            <w:vAlign w:val="center"/>
            <w:hideMark/>
          </w:tcPr>
          <w:p w14:paraId="47FC45B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-0.772</w:t>
            </w:r>
          </w:p>
        </w:tc>
        <w:tc>
          <w:tcPr>
            <w:tcW w:w="478" w:type="pct"/>
            <w:shd w:val="clear" w:color="auto" w:fill="auto"/>
            <w:noWrap/>
            <w:vAlign w:val="center"/>
            <w:hideMark/>
          </w:tcPr>
          <w:p w14:paraId="340BAD9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4.772</w:t>
            </w:r>
          </w:p>
        </w:tc>
        <w:tc>
          <w:tcPr>
            <w:tcW w:w="702" w:type="pct"/>
            <w:shd w:val="clear" w:color="auto" w:fill="auto"/>
            <w:noWrap/>
            <w:vAlign w:val="center"/>
            <w:hideMark/>
          </w:tcPr>
          <w:p w14:paraId="3F0E419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Inf</w:t>
            </w:r>
          </w:p>
        </w:tc>
        <w:tc>
          <w:tcPr>
            <w:tcW w:w="502" w:type="pct"/>
            <w:shd w:val="clear" w:color="auto" w:fill="auto"/>
            <w:noWrap/>
            <w:vAlign w:val="center"/>
            <w:hideMark/>
          </w:tcPr>
          <w:p w14:paraId="20F7BE6A" w14:textId="77777777" w:rsidR="007E0ABC" w:rsidRPr="00CA4A10" w:rsidRDefault="007E0ABC" w:rsidP="00AF2A65">
            <w:pPr>
              <w:jc w:val="center"/>
              <w:rPr>
                <w:rFonts w:ascii="Century Gothic" w:eastAsia="Times New Roman" w:hAnsi="Century Gothic" w:cs="Calibri"/>
                <w:color w:val="000000"/>
                <w:sz w:val="18"/>
                <w:szCs w:val="18"/>
                <w:lang w:eastAsia="en-GB"/>
              </w:rPr>
            </w:pPr>
            <w:proofErr w:type="spellStart"/>
            <w:r w:rsidRPr="00CA4A10">
              <w:rPr>
                <w:rFonts w:ascii="Century Gothic" w:eastAsia="Times New Roman" w:hAnsi="Century Gothic" w:cs="Calibri"/>
                <w:color w:val="000000"/>
                <w:sz w:val="18"/>
                <w:szCs w:val="18"/>
                <w:lang w:eastAsia="en-GB"/>
              </w:rPr>
              <w:t>NaN</w:t>
            </w:r>
            <w:proofErr w:type="spellEnd"/>
          </w:p>
        </w:tc>
        <w:tc>
          <w:tcPr>
            <w:tcW w:w="504" w:type="pct"/>
            <w:shd w:val="clear" w:color="auto" w:fill="auto"/>
            <w:noWrap/>
            <w:vAlign w:val="center"/>
            <w:hideMark/>
          </w:tcPr>
          <w:p w14:paraId="5B509996" w14:textId="77777777" w:rsidR="007E0ABC" w:rsidRPr="00CA4A10" w:rsidRDefault="007E0ABC" w:rsidP="00AF2A65">
            <w:pPr>
              <w:jc w:val="center"/>
              <w:rPr>
                <w:rFonts w:ascii="Century Gothic" w:eastAsia="Times New Roman" w:hAnsi="Century Gothic" w:cs="Calibri"/>
                <w:color w:val="000000"/>
                <w:sz w:val="18"/>
                <w:szCs w:val="18"/>
                <w:lang w:eastAsia="en-GB"/>
              </w:rPr>
            </w:pPr>
            <w:proofErr w:type="spellStart"/>
            <w:r w:rsidRPr="00CA4A10">
              <w:rPr>
                <w:rFonts w:ascii="Century Gothic" w:eastAsia="Times New Roman" w:hAnsi="Century Gothic" w:cs="Calibri"/>
                <w:color w:val="000000"/>
                <w:sz w:val="18"/>
                <w:szCs w:val="18"/>
                <w:lang w:eastAsia="en-GB"/>
              </w:rPr>
              <w:t>NaN</w:t>
            </w:r>
            <w:proofErr w:type="spellEnd"/>
          </w:p>
        </w:tc>
      </w:tr>
      <w:tr w:rsidR="007E0ABC" w:rsidRPr="00CA4A10" w14:paraId="2FF85900" w14:textId="77777777" w:rsidTr="000971F9">
        <w:trPr>
          <w:trHeight w:val="320"/>
        </w:trPr>
        <w:tc>
          <w:tcPr>
            <w:tcW w:w="835" w:type="pct"/>
            <w:vMerge/>
            <w:vAlign w:val="center"/>
            <w:hideMark/>
          </w:tcPr>
          <w:p w14:paraId="0F7ED53C"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0FC7210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70-74</w:t>
            </w:r>
          </w:p>
        </w:tc>
        <w:tc>
          <w:tcPr>
            <w:tcW w:w="666" w:type="pct"/>
            <w:shd w:val="clear" w:color="auto" w:fill="auto"/>
            <w:noWrap/>
            <w:vAlign w:val="center"/>
            <w:hideMark/>
          </w:tcPr>
          <w:p w14:paraId="654B1F9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15</w:t>
            </w:r>
          </w:p>
        </w:tc>
        <w:tc>
          <w:tcPr>
            <w:tcW w:w="478" w:type="pct"/>
            <w:shd w:val="clear" w:color="auto" w:fill="auto"/>
            <w:noWrap/>
            <w:vAlign w:val="center"/>
            <w:hideMark/>
          </w:tcPr>
          <w:p w14:paraId="0E09104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7.409</w:t>
            </w:r>
          </w:p>
        </w:tc>
        <w:tc>
          <w:tcPr>
            <w:tcW w:w="478" w:type="pct"/>
            <w:shd w:val="clear" w:color="auto" w:fill="auto"/>
            <w:noWrap/>
            <w:vAlign w:val="center"/>
            <w:hideMark/>
          </w:tcPr>
          <w:p w14:paraId="0CC2FEE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22.591</w:t>
            </w:r>
          </w:p>
        </w:tc>
        <w:tc>
          <w:tcPr>
            <w:tcW w:w="702" w:type="pct"/>
            <w:shd w:val="clear" w:color="auto" w:fill="auto"/>
            <w:noWrap/>
            <w:vAlign w:val="center"/>
            <w:hideMark/>
          </w:tcPr>
          <w:p w14:paraId="2FBA1F8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1.5</w:t>
            </w:r>
          </w:p>
        </w:tc>
        <w:tc>
          <w:tcPr>
            <w:tcW w:w="502" w:type="pct"/>
            <w:shd w:val="clear" w:color="auto" w:fill="auto"/>
            <w:noWrap/>
            <w:vAlign w:val="center"/>
            <w:hideMark/>
          </w:tcPr>
          <w:p w14:paraId="1258C46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-0.197</w:t>
            </w:r>
          </w:p>
        </w:tc>
        <w:tc>
          <w:tcPr>
            <w:tcW w:w="504" w:type="pct"/>
            <w:shd w:val="clear" w:color="auto" w:fill="auto"/>
            <w:noWrap/>
            <w:vAlign w:val="center"/>
            <w:hideMark/>
          </w:tcPr>
          <w:p w14:paraId="72728F8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3.197</w:t>
            </w:r>
          </w:p>
        </w:tc>
      </w:tr>
      <w:tr w:rsidR="007E0ABC" w:rsidRPr="00CA4A10" w14:paraId="34061D39" w14:textId="77777777" w:rsidTr="000971F9">
        <w:trPr>
          <w:trHeight w:val="320"/>
        </w:trPr>
        <w:tc>
          <w:tcPr>
            <w:tcW w:w="835" w:type="pct"/>
            <w:vMerge w:val="restart"/>
            <w:shd w:val="clear" w:color="auto" w:fill="auto"/>
            <w:noWrap/>
            <w:vAlign w:val="center"/>
            <w:hideMark/>
          </w:tcPr>
          <w:p w14:paraId="657B28B1"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AMB</w:t>
            </w:r>
          </w:p>
        </w:tc>
        <w:tc>
          <w:tcPr>
            <w:tcW w:w="835" w:type="pct"/>
            <w:shd w:val="clear" w:color="auto" w:fill="auto"/>
            <w:noWrap/>
            <w:vAlign w:val="center"/>
            <w:hideMark/>
          </w:tcPr>
          <w:p w14:paraId="40D50A6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15-19</w:t>
            </w:r>
          </w:p>
        </w:tc>
        <w:tc>
          <w:tcPr>
            <w:tcW w:w="666" w:type="pct"/>
            <w:shd w:val="clear" w:color="auto" w:fill="auto"/>
            <w:noWrap/>
            <w:vAlign w:val="center"/>
            <w:hideMark/>
          </w:tcPr>
          <w:p w14:paraId="47FC23A6"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3.2</w:t>
            </w:r>
          </w:p>
        </w:tc>
        <w:tc>
          <w:tcPr>
            <w:tcW w:w="478" w:type="pct"/>
            <w:shd w:val="clear" w:color="auto" w:fill="auto"/>
            <w:noWrap/>
            <w:vAlign w:val="center"/>
            <w:hideMark/>
          </w:tcPr>
          <w:p w14:paraId="2EF06D2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1.632</w:t>
            </w:r>
          </w:p>
        </w:tc>
        <w:tc>
          <w:tcPr>
            <w:tcW w:w="478" w:type="pct"/>
            <w:shd w:val="clear" w:color="auto" w:fill="auto"/>
            <w:noWrap/>
            <w:vAlign w:val="center"/>
            <w:hideMark/>
          </w:tcPr>
          <w:p w14:paraId="589910F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4.768</w:t>
            </w:r>
          </w:p>
        </w:tc>
        <w:tc>
          <w:tcPr>
            <w:tcW w:w="702" w:type="pct"/>
            <w:shd w:val="clear" w:color="auto" w:fill="auto"/>
            <w:noWrap/>
            <w:vAlign w:val="center"/>
            <w:hideMark/>
          </w:tcPr>
          <w:p w14:paraId="032CC7B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2.625</w:t>
            </w:r>
          </w:p>
        </w:tc>
        <w:tc>
          <w:tcPr>
            <w:tcW w:w="502" w:type="pct"/>
            <w:shd w:val="clear" w:color="auto" w:fill="auto"/>
            <w:noWrap/>
            <w:vAlign w:val="center"/>
            <w:hideMark/>
          </w:tcPr>
          <w:p w14:paraId="67F6BE9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1.502</w:t>
            </w:r>
          </w:p>
        </w:tc>
        <w:tc>
          <w:tcPr>
            <w:tcW w:w="504" w:type="pct"/>
            <w:shd w:val="clear" w:color="auto" w:fill="auto"/>
            <w:noWrap/>
            <w:vAlign w:val="center"/>
            <w:hideMark/>
          </w:tcPr>
          <w:p w14:paraId="7FF9FA5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3.748</w:t>
            </w:r>
          </w:p>
        </w:tc>
      </w:tr>
      <w:tr w:rsidR="007E0ABC" w:rsidRPr="00CA4A10" w14:paraId="3C2EDBC9" w14:textId="77777777" w:rsidTr="000971F9">
        <w:trPr>
          <w:trHeight w:val="320"/>
        </w:trPr>
        <w:tc>
          <w:tcPr>
            <w:tcW w:w="835" w:type="pct"/>
            <w:vMerge/>
            <w:vAlign w:val="center"/>
            <w:hideMark/>
          </w:tcPr>
          <w:p w14:paraId="699BD4F8"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1A460FF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20-24</w:t>
            </w:r>
          </w:p>
        </w:tc>
        <w:tc>
          <w:tcPr>
            <w:tcW w:w="666" w:type="pct"/>
            <w:shd w:val="clear" w:color="auto" w:fill="auto"/>
            <w:noWrap/>
            <w:vAlign w:val="center"/>
            <w:hideMark/>
          </w:tcPr>
          <w:p w14:paraId="0CDEBFA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0.5</w:t>
            </w:r>
          </w:p>
        </w:tc>
        <w:tc>
          <w:tcPr>
            <w:tcW w:w="478" w:type="pct"/>
            <w:shd w:val="clear" w:color="auto" w:fill="auto"/>
            <w:noWrap/>
            <w:vAlign w:val="center"/>
            <w:hideMark/>
          </w:tcPr>
          <w:p w14:paraId="586B7CD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-0.193</w:t>
            </w:r>
          </w:p>
        </w:tc>
        <w:tc>
          <w:tcPr>
            <w:tcW w:w="478" w:type="pct"/>
            <w:shd w:val="clear" w:color="auto" w:fill="auto"/>
            <w:noWrap/>
            <w:vAlign w:val="center"/>
            <w:hideMark/>
          </w:tcPr>
          <w:p w14:paraId="2EA0A0F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1.193</w:t>
            </w:r>
          </w:p>
        </w:tc>
        <w:tc>
          <w:tcPr>
            <w:tcW w:w="702" w:type="pct"/>
            <w:shd w:val="clear" w:color="auto" w:fill="auto"/>
            <w:noWrap/>
            <w:vAlign w:val="center"/>
            <w:hideMark/>
          </w:tcPr>
          <w:p w14:paraId="634BF64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1.75</w:t>
            </w:r>
          </w:p>
        </w:tc>
        <w:tc>
          <w:tcPr>
            <w:tcW w:w="502" w:type="pct"/>
            <w:shd w:val="clear" w:color="auto" w:fill="auto"/>
            <w:noWrap/>
            <w:vAlign w:val="center"/>
            <w:hideMark/>
          </w:tcPr>
          <w:p w14:paraId="7434C84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1.102</w:t>
            </w:r>
          </w:p>
        </w:tc>
        <w:tc>
          <w:tcPr>
            <w:tcW w:w="504" w:type="pct"/>
            <w:shd w:val="clear" w:color="auto" w:fill="auto"/>
            <w:noWrap/>
            <w:vAlign w:val="center"/>
            <w:hideMark/>
          </w:tcPr>
          <w:p w14:paraId="27F34F1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2.398</w:t>
            </w:r>
          </w:p>
        </w:tc>
      </w:tr>
      <w:tr w:rsidR="007E0ABC" w:rsidRPr="00CA4A10" w14:paraId="3983D7DA" w14:textId="77777777" w:rsidTr="000971F9">
        <w:trPr>
          <w:trHeight w:val="320"/>
        </w:trPr>
        <w:tc>
          <w:tcPr>
            <w:tcW w:w="835" w:type="pct"/>
            <w:vMerge/>
            <w:vAlign w:val="center"/>
            <w:hideMark/>
          </w:tcPr>
          <w:p w14:paraId="6CB27619"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1569933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25-29</w:t>
            </w:r>
          </w:p>
        </w:tc>
        <w:tc>
          <w:tcPr>
            <w:tcW w:w="666" w:type="pct"/>
            <w:shd w:val="clear" w:color="auto" w:fill="auto"/>
            <w:noWrap/>
            <w:vAlign w:val="center"/>
            <w:hideMark/>
          </w:tcPr>
          <w:p w14:paraId="0E429C9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1.222</w:t>
            </w:r>
          </w:p>
        </w:tc>
        <w:tc>
          <w:tcPr>
            <w:tcW w:w="478" w:type="pct"/>
            <w:shd w:val="clear" w:color="auto" w:fill="auto"/>
            <w:noWrap/>
            <w:vAlign w:val="center"/>
            <w:hideMark/>
          </w:tcPr>
          <w:p w14:paraId="2C7E62B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0.5</w:t>
            </w:r>
          </w:p>
        </w:tc>
        <w:tc>
          <w:tcPr>
            <w:tcW w:w="478" w:type="pct"/>
            <w:shd w:val="clear" w:color="auto" w:fill="auto"/>
            <w:noWrap/>
            <w:vAlign w:val="center"/>
            <w:hideMark/>
          </w:tcPr>
          <w:p w14:paraId="079DC4C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1.944</w:t>
            </w:r>
          </w:p>
        </w:tc>
        <w:tc>
          <w:tcPr>
            <w:tcW w:w="702" w:type="pct"/>
            <w:shd w:val="clear" w:color="auto" w:fill="auto"/>
            <w:noWrap/>
            <w:vAlign w:val="center"/>
            <w:hideMark/>
          </w:tcPr>
          <w:p w14:paraId="4A91AB0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3.267</w:t>
            </w:r>
          </w:p>
        </w:tc>
        <w:tc>
          <w:tcPr>
            <w:tcW w:w="502" w:type="pct"/>
            <w:shd w:val="clear" w:color="auto" w:fill="auto"/>
            <w:noWrap/>
            <w:vAlign w:val="center"/>
            <w:hideMark/>
          </w:tcPr>
          <w:p w14:paraId="515BFF7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2.352</w:t>
            </w:r>
          </w:p>
        </w:tc>
        <w:tc>
          <w:tcPr>
            <w:tcW w:w="504" w:type="pct"/>
            <w:shd w:val="clear" w:color="auto" w:fill="auto"/>
            <w:noWrap/>
            <w:vAlign w:val="center"/>
            <w:hideMark/>
          </w:tcPr>
          <w:p w14:paraId="5165629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4.182</w:t>
            </w:r>
          </w:p>
        </w:tc>
      </w:tr>
      <w:tr w:rsidR="007E0ABC" w:rsidRPr="00CA4A10" w14:paraId="7DDF8D8E" w14:textId="77777777" w:rsidTr="000971F9">
        <w:trPr>
          <w:trHeight w:val="320"/>
        </w:trPr>
        <w:tc>
          <w:tcPr>
            <w:tcW w:w="835" w:type="pct"/>
            <w:vMerge/>
            <w:vAlign w:val="center"/>
            <w:hideMark/>
          </w:tcPr>
          <w:p w14:paraId="11FCAB5A"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2546576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30-34</w:t>
            </w:r>
          </w:p>
        </w:tc>
        <w:tc>
          <w:tcPr>
            <w:tcW w:w="666" w:type="pct"/>
            <w:shd w:val="clear" w:color="auto" w:fill="auto"/>
            <w:noWrap/>
            <w:vAlign w:val="center"/>
            <w:hideMark/>
          </w:tcPr>
          <w:p w14:paraId="16944E6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3.125</w:t>
            </w:r>
          </w:p>
        </w:tc>
        <w:tc>
          <w:tcPr>
            <w:tcW w:w="478" w:type="pct"/>
            <w:shd w:val="clear" w:color="auto" w:fill="auto"/>
            <w:noWrap/>
            <w:vAlign w:val="center"/>
            <w:hideMark/>
          </w:tcPr>
          <w:p w14:paraId="5291B26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1.9</w:t>
            </w:r>
          </w:p>
        </w:tc>
        <w:tc>
          <w:tcPr>
            <w:tcW w:w="478" w:type="pct"/>
            <w:shd w:val="clear" w:color="auto" w:fill="auto"/>
            <w:noWrap/>
            <w:vAlign w:val="center"/>
            <w:hideMark/>
          </w:tcPr>
          <w:p w14:paraId="3A759DC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4.35</w:t>
            </w:r>
          </w:p>
        </w:tc>
        <w:tc>
          <w:tcPr>
            <w:tcW w:w="702" w:type="pct"/>
            <w:shd w:val="clear" w:color="auto" w:fill="auto"/>
            <w:noWrap/>
            <w:vAlign w:val="center"/>
            <w:hideMark/>
          </w:tcPr>
          <w:p w14:paraId="4D32303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2.235</w:t>
            </w:r>
          </w:p>
        </w:tc>
        <w:tc>
          <w:tcPr>
            <w:tcW w:w="502" w:type="pct"/>
            <w:shd w:val="clear" w:color="auto" w:fill="auto"/>
            <w:noWrap/>
            <w:vAlign w:val="center"/>
            <w:hideMark/>
          </w:tcPr>
          <w:p w14:paraId="1970507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1.524</w:t>
            </w:r>
          </w:p>
        </w:tc>
        <w:tc>
          <w:tcPr>
            <w:tcW w:w="504" w:type="pct"/>
            <w:shd w:val="clear" w:color="auto" w:fill="auto"/>
            <w:noWrap/>
            <w:vAlign w:val="center"/>
            <w:hideMark/>
          </w:tcPr>
          <w:p w14:paraId="04CB148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2.946</w:t>
            </w:r>
          </w:p>
        </w:tc>
      </w:tr>
      <w:tr w:rsidR="007E0ABC" w:rsidRPr="00CA4A10" w14:paraId="51CF1A2A" w14:textId="77777777" w:rsidTr="000971F9">
        <w:trPr>
          <w:trHeight w:val="320"/>
        </w:trPr>
        <w:tc>
          <w:tcPr>
            <w:tcW w:w="835" w:type="pct"/>
            <w:vMerge/>
            <w:vAlign w:val="center"/>
            <w:hideMark/>
          </w:tcPr>
          <w:p w14:paraId="04466CDC"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1CCAF98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35-39</w:t>
            </w:r>
          </w:p>
        </w:tc>
        <w:tc>
          <w:tcPr>
            <w:tcW w:w="666" w:type="pct"/>
            <w:shd w:val="clear" w:color="auto" w:fill="auto"/>
            <w:noWrap/>
            <w:vAlign w:val="center"/>
            <w:hideMark/>
          </w:tcPr>
          <w:p w14:paraId="31D3A66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1.818</w:t>
            </w:r>
          </w:p>
        </w:tc>
        <w:tc>
          <w:tcPr>
            <w:tcW w:w="478" w:type="pct"/>
            <w:shd w:val="clear" w:color="auto" w:fill="auto"/>
            <w:noWrap/>
            <w:vAlign w:val="center"/>
            <w:hideMark/>
          </w:tcPr>
          <w:p w14:paraId="1FA4A38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1.021</w:t>
            </w:r>
          </w:p>
        </w:tc>
        <w:tc>
          <w:tcPr>
            <w:tcW w:w="478" w:type="pct"/>
            <w:shd w:val="clear" w:color="auto" w:fill="auto"/>
            <w:noWrap/>
            <w:vAlign w:val="center"/>
            <w:hideMark/>
          </w:tcPr>
          <w:p w14:paraId="0A2141A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2.615</w:t>
            </w:r>
          </w:p>
        </w:tc>
        <w:tc>
          <w:tcPr>
            <w:tcW w:w="702" w:type="pct"/>
            <w:shd w:val="clear" w:color="auto" w:fill="auto"/>
            <w:noWrap/>
            <w:vAlign w:val="center"/>
            <w:hideMark/>
          </w:tcPr>
          <w:p w14:paraId="38E0DA4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2.071</w:t>
            </w:r>
          </w:p>
        </w:tc>
        <w:tc>
          <w:tcPr>
            <w:tcW w:w="502" w:type="pct"/>
            <w:shd w:val="clear" w:color="auto" w:fill="auto"/>
            <w:noWrap/>
            <w:vAlign w:val="center"/>
            <w:hideMark/>
          </w:tcPr>
          <w:p w14:paraId="252255C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1.317</w:t>
            </w:r>
          </w:p>
        </w:tc>
        <w:tc>
          <w:tcPr>
            <w:tcW w:w="504" w:type="pct"/>
            <w:shd w:val="clear" w:color="auto" w:fill="auto"/>
            <w:noWrap/>
            <w:vAlign w:val="center"/>
            <w:hideMark/>
          </w:tcPr>
          <w:p w14:paraId="31422696"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2.825</w:t>
            </w:r>
          </w:p>
        </w:tc>
      </w:tr>
      <w:tr w:rsidR="007E0ABC" w:rsidRPr="00CA4A10" w14:paraId="7E75805B" w14:textId="77777777" w:rsidTr="000971F9">
        <w:trPr>
          <w:trHeight w:val="360"/>
        </w:trPr>
        <w:tc>
          <w:tcPr>
            <w:tcW w:w="835" w:type="pct"/>
            <w:vMerge/>
            <w:vAlign w:val="center"/>
            <w:hideMark/>
          </w:tcPr>
          <w:p w14:paraId="112B96A7"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503F2C8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40-44</w:t>
            </w:r>
          </w:p>
        </w:tc>
        <w:tc>
          <w:tcPr>
            <w:tcW w:w="666" w:type="pct"/>
            <w:shd w:val="clear" w:color="auto" w:fill="auto"/>
            <w:vAlign w:val="center"/>
            <w:hideMark/>
          </w:tcPr>
          <w:p w14:paraId="229C292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w:t>
            </w:r>
          </w:p>
        </w:tc>
        <w:tc>
          <w:tcPr>
            <w:tcW w:w="478" w:type="pct"/>
            <w:shd w:val="clear" w:color="auto" w:fill="auto"/>
            <w:vAlign w:val="center"/>
            <w:hideMark/>
          </w:tcPr>
          <w:p w14:paraId="5BE3D5D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3.539</w:t>
            </w:r>
          </w:p>
        </w:tc>
        <w:tc>
          <w:tcPr>
            <w:tcW w:w="478" w:type="pct"/>
            <w:shd w:val="clear" w:color="auto" w:fill="auto"/>
            <w:vAlign w:val="center"/>
            <w:hideMark/>
          </w:tcPr>
          <w:p w14:paraId="4E90ACE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6.461</w:t>
            </w:r>
          </w:p>
        </w:tc>
        <w:tc>
          <w:tcPr>
            <w:tcW w:w="702" w:type="pct"/>
            <w:shd w:val="clear" w:color="auto" w:fill="auto"/>
            <w:vAlign w:val="center"/>
            <w:hideMark/>
          </w:tcPr>
          <w:p w14:paraId="1F45A1B6"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1.2</w:t>
            </w:r>
          </w:p>
        </w:tc>
        <w:tc>
          <w:tcPr>
            <w:tcW w:w="502" w:type="pct"/>
            <w:shd w:val="clear" w:color="auto" w:fill="auto"/>
            <w:vAlign w:val="center"/>
            <w:hideMark/>
          </w:tcPr>
          <w:p w14:paraId="4D5998C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0.72</w:t>
            </w:r>
          </w:p>
        </w:tc>
        <w:tc>
          <w:tcPr>
            <w:tcW w:w="504" w:type="pct"/>
            <w:shd w:val="clear" w:color="auto" w:fill="auto"/>
            <w:vAlign w:val="center"/>
            <w:hideMark/>
          </w:tcPr>
          <w:p w14:paraId="01463BE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1.68</w:t>
            </w:r>
          </w:p>
        </w:tc>
      </w:tr>
      <w:tr w:rsidR="007E0ABC" w:rsidRPr="00CA4A10" w14:paraId="1510A137" w14:textId="77777777" w:rsidTr="000971F9">
        <w:trPr>
          <w:trHeight w:val="320"/>
        </w:trPr>
        <w:tc>
          <w:tcPr>
            <w:tcW w:w="835" w:type="pct"/>
            <w:vMerge/>
            <w:vAlign w:val="center"/>
            <w:hideMark/>
          </w:tcPr>
          <w:p w14:paraId="7CCA2907"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7294F49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45-49</w:t>
            </w:r>
          </w:p>
        </w:tc>
        <w:tc>
          <w:tcPr>
            <w:tcW w:w="666" w:type="pct"/>
            <w:shd w:val="clear" w:color="auto" w:fill="auto"/>
            <w:noWrap/>
            <w:vAlign w:val="center"/>
            <w:hideMark/>
          </w:tcPr>
          <w:p w14:paraId="5778393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2.692</w:t>
            </w:r>
          </w:p>
        </w:tc>
        <w:tc>
          <w:tcPr>
            <w:tcW w:w="478" w:type="pct"/>
            <w:shd w:val="clear" w:color="auto" w:fill="auto"/>
            <w:noWrap/>
            <w:vAlign w:val="center"/>
            <w:hideMark/>
          </w:tcPr>
          <w:p w14:paraId="3A37F6A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w:t>
            </w:r>
          </w:p>
        </w:tc>
        <w:tc>
          <w:tcPr>
            <w:tcW w:w="478" w:type="pct"/>
            <w:shd w:val="clear" w:color="auto" w:fill="auto"/>
            <w:noWrap/>
            <w:vAlign w:val="center"/>
            <w:hideMark/>
          </w:tcPr>
          <w:p w14:paraId="0FFD5DC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3.584</w:t>
            </w:r>
          </w:p>
        </w:tc>
        <w:tc>
          <w:tcPr>
            <w:tcW w:w="702" w:type="pct"/>
            <w:shd w:val="clear" w:color="auto" w:fill="auto"/>
            <w:noWrap/>
            <w:vAlign w:val="center"/>
            <w:hideMark/>
          </w:tcPr>
          <w:p w14:paraId="060436C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1.462</w:t>
            </w:r>
          </w:p>
        </w:tc>
        <w:tc>
          <w:tcPr>
            <w:tcW w:w="502" w:type="pct"/>
            <w:shd w:val="clear" w:color="auto" w:fill="auto"/>
            <w:noWrap/>
            <w:vAlign w:val="center"/>
            <w:hideMark/>
          </w:tcPr>
          <w:p w14:paraId="6AB51CD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0.805</w:t>
            </w:r>
          </w:p>
        </w:tc>
        <w:tc>
          <w:tcPr>
            <w:tcW w:w="504" w:type="pct"/>
            <w:shd w:val="clear" w:color="auto" w:fill="auto"/>
            <w:noWrap/>
            <w:vAlign w:val="center"/>
            <w:hideMark/>
          </w:tcPr>
          <w:p w14:paraId="4120740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2.119</w:t>
            </w:r>
          </w:p>
        </w:tc>
      </w:tr>
      <w:tr w:rsidR="007E0ABC" w:rsidRPr="00CA4A10" w14:paraId="4A90C0D2" w14:textId="77777777" w:rsidTr="000971F9">
        <w:trPr>
          <w:trHeight w:val="320"/>
        </w:trPr>
        <w:tc>
          <w:tcPr>
            <w:tcW w:w="835" w:type="pct"/>
            <w:vMerge/>
            <w:vAlign w:val="center"/>
            <w:hideMark/>
          </w:tcPr>
          <w:p w14:paraId="3A057EF1"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7FE3B3B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50-54</w:t>
            </w:r>
          </w:p>
        </w:tc>
        <w:tc>
          <w:tcPr>
            <w:tcW w:w="666" w:type="pct"/>
            <w:shd w:val="clear" w:color="auto" w:fill="auto"/>
            <w:noWrap/>
            <w:vAlign w:val="center"/>
            <w:hideMark/>
          </w:tcPr>
          <w:p w14:paraId="5D72A7A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0.5</w:t>
            </w:r>
          </w:p>
        </w:tc>
        <w:tc>
          <w:tcPr>
            <w:tcW w:w="478" w:type="pct"/>
            <w:shd w:val="clear" w:color="auto" w:fill="auto"/>
            <w:noWrap/>
            <w:vAlign w:val="center"/>
            <w:hideMark/>
          </w:tcPr>
          <w:p w14:paraId="1297B89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-0.066</w:t>
            </w:r>
          </w:p>
        </w:tc>
        <w:tc>
          <w:tcPr>
            <w:tcW w:w="478" w:type="pct"/>
            <w:shd w:val="clear" w:color="auto" w:fill="auto"/>
            <w:noWrap/>
            <w:vAlign w:val="center"/>
            <w:hideMark/>
          </w:tcPr>
          <w:p w14:paraId="6190844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1.066</w:t>
            </w:r>
          </w:p>
        </w:tc>
        <w:tc>
          <w:tcPr>
            <w:tcW w:w="702" w:type="pct"/>
            <w:shd w:val="clear" w:color="auto" w:fill="auto"/>
            <w:noWrap/>
            <w:vAlign w:val="center"/>
            <w:hideMark/>
          </w:tcPr>
          <w:p w14:paraId="002F0CA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0.688</w:t>
            </w:r>
          </w:p>
        </w:tc>
        <w:tc>
          <w:tcPr>
            <w:tcW w:w="502" w:type="pct"/>
            <w:shd w:val="clear" w:color="auto" w:fill="auto"/>
            <w:noWrap/>
            <w:vAlign w:val="center"/>
            <w:hideMark/>
          </w:tcPr>
          <w:p w14:paraId="280453D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0.282</w:t>
            </w:r>
          </w:p>
        </w:tc>
        <w:tc>
          <w:tcPr>
            <w:tcW w:w="504" w:type="pct"/>
            <w:shd w:val="clear" w:color="auto" w:fill="auto"/>
            <w:noWrap/>
            <w:vAlign w:val="center"/>
            <w:hideMark/>
          </w:tcPr>
          <w:p w14:paraId="4911CA7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1.094</w:t>
            </w:r>
          </w:p>
        </w:tc>
      </w:tr>
      <w:tr w:rsidR="007E0ABC" w:rsidRPr="00CA4A10" w14:paraId="431C3981" w14:textId="77777777" w:rsidTr="000971F9">
        <w:trPr>
          <w:trHeight w:val="320"/>
        </w:trPr>
        <w:tc>
          <w:tcPr>
            <w:tcW w:w="835" w:type="pct"/>
            <w:vMerge/>
            <w:vAlign w:val="center"/>
            <w:hideMark/>
          </w:tcPr>
          <w:p w14:paraId="2E421BB8"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392E3D1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55-59</w:t>
            </w:r>
          </w:p>
        </w:tc>
        <w:tc>
          <w:tcPr>
            <w:tcW w:w="666" w:type="pct"/>
            <w:shd w:val="clear" w:color="auto" w:fill="auto"/>
            <w:noWrap/>
            <w:vAlign w:val="center"/>
            <w:hideMark/>
          </w:tcPr>
          <w:p w14:paraId="3DEB17C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16.5</w:t>
            </w:r>
          </w:p>
        </w:tc>
        <w:tc>
          <w:tcPr>
            <w:tcW w:w="478" w:type="pct"/>
            <w:shd w:val="clear" w:color="auto" w:fill="auto"/>
            <w:noWrap/>
            <w:vAlign w:val="center"/>
            <w:hideMark/>
          </w:tcPr>
          <w:p w14:paraId="7EFC783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13.25</w:t>
            </w:r>
          </w:p>
        </w:tc>
        <w:tc>
          <w:tcPr>
            <w:tcW w:w="478" w:type="pct"/>
            <w:shd w:val="clear" w:color="auto" w:fill="auto"/>
            <w:noWrap/>
            <w:vAlign w:val="center"/>
            <w:hideMark/>
          </w:tcPr>
          <w:p w14:paraId="369C11D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19.75</w:t>
            </w:r>
          </w:p>
        </w:tc>
        <w:tc>
          <w:tcPr>
            <w:tcW w:w="702" w:type="pct"/>
            <w:shd w:val="clear" w:color="auto" w:fill="auto"/>
            <w:noWrap/>
            <w:vAlign w:val="center"/>
            <w:hideMark/>
          </w:tcPr>
          <w:p w14:paraId="1C666DA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5.455</w:t>
            </w:r>
          </w:p>
        </w:tc>
        <w:tc>
          <w:tcPr>
            <w:tcW w:w="502" w:type="pct"/>
            <w:shd w:val="clear" w:color="auto" w:fill="auto"/>
            <w:noWrap/>
            <w:vAlign w:val="center"/>
            <w:hideMark/>
          </w:tcPr>
          <w:p w14:paraId="2089911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4.075</w:t>
            </w:r>
          </w:p>
        </w:tc>
        <w:tc>
          <w:tcPr>
            <w:tcW w:w="504" w:type="pct"/>
            <w:shd w:val="clear" w:color="auto" w:fill="auto"/>
            <w:noWrap/>
            <w:vAlign w:val="center"/>
            <w:hideMark/>
          </w:tcPr>
          <w:p w14:paraId="5890B92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6.835</w:t>
            </w:r>
          </w:p>
        </w:tc>
      </w:tr>
      <w:tr w:rsidR="007E0ABC" w:rsidRPr="00CA4A10" w14:paraId="5CCBB814" w14:textId="77777777" w:rsidTr="000971F9">
        <w:trPr>
          <w:trHeight w:val="320"/>
        </w:trPr>
        <w:tc>
          <w:tcPr>
            <w:tcW w:w="835" w:type="pct"/>
            <w:vMerge/>
            <w:vAlign w:val="center"/>
            <w:hideMark/>
          </w:tcPr>
          <w:p w14:paraId="2CD6DB03"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499CD11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60-64</w:t>
            </w:r>
          </w:p>
        </w:tc>
        <w:tc>
          <w:tcPr>
            <w:tcW w:w="666" w:type="pct"/>
            <w:shd w:val="clear" w:color="auto" w:fill="auto"/>
            <w:noWrap/>
            <w:vAlign w:val="center"/>
            <w:hideMark/>
          </w:tcPr>
          <w:p w14:paraId="200D3DE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w:t>
            </w:r>
          </w:p>
        </w:tc>
        <w:tc>
          <w:tcPr>
            <w:tcW w:w="478" w:type="pct"/>
            <w:shd w:val="clear" w:color="auto" w:fill="auto"/>
            <w:noWrap/>
            <w:vAlign w:val="center"/>
            <w:hideMark/>
          </w:tcPr>
          <w:p w14:paraId="370BF69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0.614</w:t>
            </w:r>
          </w:p>
        </w:tc>
        <w:tc>
          <w:tcPr>
            <w:tcW w:w="478" w:type="pct"/>
            <w:shd w:val="clear" w:color="auto" w:fill="auto"/>
            <w:noWrap/>
            <w:vAlign w:val="center"/>
            <w:hideMark/>
          </w:tcPr>
          <w:p w14:paraId="610009D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3.386</w:t>
            </w:r>
          </w:p>
        </w:tc>
        <w:tc>
          <w:tcPr>
            <w:tcW w:w="702" w:type="pct"/>
            <w:shd w:val="clear" w:color="auto" w:fill="auto"/>
            <w:noWrap/>
            <w:vAlign w:val="center"/>
            <w:hideMark/>
          </w:tcPr>
          <w:p w14:paraId="5986A17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w:t>
            </w:r>
          </w:p>
        </w:tc>
        <w:tc>
          <w:tcPr>
            <w:tcW w:w="502" w:type="pct"/>
            <w:shd w:val="clear" w:color="auto" w:fill="auto"/>
            <w:noWrap/>
            <w:vAlign w:val="center"/>
            <w:hideMark/>
          </w:tcPr>
          <w:p w14:paraId="1CEE72E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0.624</w:t>
            </w:r>
          </w:p>
        </w:tc>
        <w:tc>
          <w:tcPr>
            <w:tcW w:w="504" w:type="pct"/>
            <w:shd w:val="clear" w:color="auto" w:fill="auto"/>
            <w:noWrap/>
            <w:vAlign w:val="center"/>
            <w:hideMark/>
          </w:tcPr>
          <w:p w14:paraId="02BB0C1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2.976</w:t>
            </w:r>
          </w:p>
        </w:tc>
      </w:tr>
      <w:tr w:rsidR="007E0ABC" w:rsidRPr="00CA4A10" w14:paraId="2E268802" w14:textId="77777777" w:rsidTr="000971F9">
        <w:trPr>
          <w:trHeight w:val="320"/>
        </w:trPr>
        <w:tc>
          <w:tcPr>
            <w:tcW w:w="835" w:type="pct"/>
            <w:vMerge/>
            <w:vAlign w:val="center"/>
            <w:hideMark/>
          </w:tcPr>
          <w:p w14:paraId="0E61BC6D"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56864DF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65-69</w:t>
            </w:r>
          </w:p>
        </w:tc>
        <w:tc>
          <w:tcPr>
            <w:tcW w:w="666" w:type="pct"/>
            <w:shd w:val="clear" w:color="auto" w:fill="auto"/>
            <w:noWrap/>
            <w:vAlign w:val="center"/>
            <w:hideMark/>
          </w:tcPr>
          <w:p w14:paraId="796977D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w:t>
            </w:r>
          </w:p>
        </w:tc>
        <w:tc>
          <w:tcPr>
            <w:tcW w:w="478" w:type="pct"/>
            <w:shd w:val="clear" w:color="auto" w:fill="auto"/>
            <w:noWrap/>
            <w:vAlign w:val="center"/>
            <w:hideMark/>
          </w:tcPr>
          <w:p w14:paraId="5E28142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1.814</w:t>
            </w:r>
          </w:p>
        </w:tc>
        <w:tc>
          <w:tcPr>
            <w:tcW w:w="478" w:type="pct"/>
            <w:shd w:val="clear" w:color="auto" w:fill="auto"/>
            <w:noWrap/>
            <w:vAlign w:val="center"/>
            <w:hideMark/>
          </w:tcPr>
          <w:p w14:paraId="429AF9D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12.186</w:t>
            </w:r>
          </w:p>
        </w:tc>
        <w:tc>
          <w:tcPr>
            <w:tcW w:w="702" w:type="pct"/>
            <w:shd w:val="clear" w:color="auto" w:fill="auto"/>
            <w:noWrap/>
            <w:vAlign w:val="center"/>
            <w:hideMark/>
          </w:tcPr>
          <w:p w14:paraId="4E703BE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Inf</w:t>
            </w:r>
          </w:p>
        </w:tc>
        <w:tc>
          <w:tcPr>
            <w:tcW w:w="502" w:type="pct"/>
            <w:shd w:val="clear" w:color="auto" w:fill="auto"/>
            <w:noWrap/>
            <w:vAlign w:val="center"/>
            <w:hideMark/>
          </w:tcPr>
          <w:p w14:paraId="42B6AB44" w14:textId="77777777" w:rsidR="007E0ABC" w:rsidRPr="00CA4A10" w:rsidRDefault="007E0ABC" w:rsidP="00AF2A65">
            <w:pPr>
              <w:jc w:val="center"/>
              <w:rPr>
                <w:rFonts w:ascii="Century Gothic" w:eastAsia="Times New Roman" w:hAnsi="Century Gothic" w:cs="Calibri"/>
                <w:color w:val="000000"/>
                <w:sz w:val="18"/>
                <w:szCs w:val="18"/>
                <w:lang w:eastAsia="en-GB"/>
              </w:rPr>
            </w:pPr>
            <w:proofErr w:type="spellStart"/>
            <w:r w:rsidRPr="00CA4A10">
              <w:rPr>
                <w:rFonts w:ascii="Century Gothic" w:eastAsia="Times New Roman" w:hAnsi="Century Gothic" w:cs="Calibri"/>
                <w:color w:val="000000"/>
                <w:sz w:val="18"/>
                <w:szCs w:val="18"/>
                <w:lang w:eastAsia="en-GB"/>
              </w:rPr>
              <w:t>NaN</w:t>
            </w:r>
            <w:proofErr w:type="spellEnd"/>
          </w:p>
        </w:tc>
        <w:tc>
          <w:tcPr>
            <w:tcW w:w="504" w:type="pct"/>
            <w:shd w:val="clear" w:color="auto" w:fill="auto"/>
            <w:noWrap/>
            <w:vAlign w:val="center"/>
            <w:hideMark/>
          </w:tcPr>
          <w:p w14:paraId="74D518D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Inf</w:t>
            </w:r>
          </w:p>
        </w:tc>
      </w:tr>
      <w:tr w:rsidR="007E0ABC" w:rsidRPr="00CA4A10" w14:paraId="7537770E" w14:textId="77777777" w:rsidTr="000971F9">
        <w:trPr>
          <w:trHeight w:val="320"/>
        </w:trPr>
        <w:tc>
          <w:tcPr>
            <w:tcW w:w="835" w:type="pct"/>
            <w:vMerge/>
            <w:vAlign w:val="center"/>
            <w:hideMark/>
          </w:tcPr>
          <w:p w14:paraId="173C8C78"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08E5A5F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70-74</w:t>
            </w:r>
          </w:p>
        </w:tc>
        <w:tc>
          <w:tcPr>
            <w:tcW w:w="666" w:type="pct"/>
            <w:shd w:val="clear" w:color="auto" w:fill="auto"/>
            <w:noWrap/>
            <w:vAlign w:val="center"/>
            <w:hideMark/>
          </w:tcPr>
          <w:p w14:paraId="6D1CF4C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w:t>
            </w:r>
          </w:p>
        </w:tc>
        <w:tc>
          <w:tcPr>
            <w:tcW w:w="478" w:type="pct"/>
            <w:shd w:val="clear" w:color="auto" w:fill="auto"/>
            <w:noWrap/>
            <w:vAlign w:val="center"/>
            <w:hideMark/>
          </w:tcPr>
          <w:p w14:paraId="0AE786C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1.814</w:t>
            </w:r>
          </w:p>
        </w:tc>
        <w:tc>
          <w:tcPr>
            <w:tcW w:w="478" w:type="pct"/>
            <w:shd w:val="clear" w:color="auto" w:fill="auto"/>
            <w:noWrap/>
            <w:vAlign w:val="center"/>
            <w:hideMark/>
          </w:tcPr>
          <w:p w14:paraId="6F297BB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12.186</w:t>
            </w:r>
          </w:p>
        </w:tc>
        <w:tc>
          <w:tcPr>
            <w:tcW w:w="702" w:type="pct"/>
            <w:shd w:val="clear" w:color="auto" w:fill="auto"/>
            <w:noWrap/>
            <w:vAlign w:val="center"/>
            <w:hideMark/>
          </w:tcPr>
          <w:p w14:paraId="257D1BD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0.5</w:t>
            </w:r>
          </w:p>
        </w:tc>
        <w:tc>
          <w:tcPr>
            <w:tcW w:w="502" w:type="pct"/>
            <w:shd w:val="clear" w:color="auto" w:fill="auto"/>
            <w:noWrap/>
            <w:vAlign w:val="center"/>
            <w:hideMark/>
          </w:tcPr>
          <w:p w14:paraId="4BA2C03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-0.48</w:t>
            </w:r>
          </w:p>
        </w:tc>
        <w:tc>
          <w:tcPr>
            <w:tcW w:w="504" w:type="pct"/>
            <w:shd w:val="clear" w:color="auto" w:fill="auto"/>
            <w:noWrap/>
            <w:vAlign w:val="center"/>
            <w:hideMark/>
          </w:tcPr>
          <w:p w14:paraId="3DB5743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1.48</w:t>
            </w:r>
          </w:p>
        </w:tc>
      </w:tr>
      <w:tr w:rsidR="007E0ABC" w:rsidRPr="00CA4A10" w14:paraId="5CB82EBD" w14:textId="77777777" w:rsidTr="000971F9">
        <w:trPr>
          <w:trHeight w:val="320"/>
        </w:trPr>
        <w:tc>
          <w:tcPr>
            <w:tcW w:w="835" w:type="pct"/>
            <w:vMerge w:val="restart"/>
            <w:shd w:val="clear" w:color="auto" w:fill="auto"/>
            <w:noWrap/>
            <w:vAlign w:val="center"/>
            <w:hideMark/>
          </w:tcPr>
          <w:p w14:paraId="6BDF4C91" w14:textId="77777777" w:rsidR="007E0ABC" w:rsidRPr="00CA4A10" w:rsidRDefault="007E0ABC" w:rsidP="00AF2A65">
            <w:pPr>
              <w:jc w:val="center"/>
              <w:rPr>
                <w:rFonts w:ascii="Century Gothic" w:eastAsia="Times New Roman" w:hAnsi="Century Gothic" w:cs="Calibri"/>
                <w:b/>
                <w:bCs/>
                <w:color w:val="000000"/>
                <w:sz w:val="18"/>
                <w:szCs w:val="18"/>
                <w:lang w:eastAsia="en-GB"/>
              </w:rPr>
            </w:pPr>
            <w:r w:rsidRPr="00CA4A10">
              <w:rPr>
                <w:rFonts w:ascii="Century Gothic" w:eastAsia="Times New Roman" w:hAnsi="Century Gothic" w:cs="Calibri"/>
                <w:b/>
                <w:bCs/>
                <w:color w:val="000000"/>
                <w:sz w:val="18"/>
                <w:szCs w:val="18"/>
                <w:lang w:eastAsia="en-GB"/>
              </w:rPr>
              <w:t>AE</w:t>
            </w:r>
          </w:p>
        </w:tc>
        <w:tc>
          <w:tcPr>
            <w:tcW w:w="835" w:type="pct"/>
            <w:shd w:val="clear" w:color="auto" w:fill="auto"/>
            <w:noWrap/>
            <w:vAlign w:val="center"/>
            <w:hideMark/>
          </w:tcPr>
          <w:p w14:paraId="708959D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15-19</w:t>
            </w:r>
          </w:p>
        </w:tc>
        <w:tc>
          <w:tcPr>
            <w:tcW w:w="666" w:type="pct"/>
            <w:shd w:val="clear" w:color="auto" w:fill="auto"/>
            <w:noWrap/>
            <w:vAlign w:val="center"/>
            <w:hideMark/>
          </w:tcPr>
          <w:p w14:paraId="6049C24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6.6</w:t>
            </w:r>
          </w:p>
        </w:tc>
        <w:tc>
          <w:tcPr>
            <w:tcW w:w="478" w:type="pct"/>
            <w:shd w:val="clear" w:color="auto" w:fill="auto"/>
            <w:noWrap/>
            <w:vAlign w:val="center"/>
            <w:hideMark/>
          </w:tcPr>
          <w:p w14:paraId="08B04C1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4.348</w:t>
            </w:r>
          </w:p>
        </w:tc>
        <w:tc>
          <w:tcPr>
            <w:tcW w:w="478" w:type="pct"/>
            <w:shd w:val="clear" w:color="auto" w:fill="auto"/>
            <w:noWrap/>
            <w:vAlign w:val="center"/>
            <w:hideMark/>
          </w:tcPr>
          <w:p w14:paraId="6E6487D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8.852</w:t>
            </w:r>
          </w:p>
        </w:tc>
        <w:tc>
          <w:tcPr>
            <w:tcW w:w="702" w:type="pct"/>
            <w:shd w:val="clear" w:color="auto" w:fill="auto"/>
            <w:noWrap/>
            <w:vAlign w:val="center"/>
            <w:hideMark/>
          </w:tcPr>
          <w:p w14:paraId="21BD243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5.125</w:t>
            </w:r>
          </w:p>
        </w:tc>
        <w:tc>
          <w:tcPr>
            <w:tcW w:w="502" w:type="pct"/>
            <w:shd w:val="clear" w:color="auto" w:fill="auto"/>
            <w:noWrap/>
            <w:vAlign w:val="center"/>
            <w:hideMark/>
          </w:tcPr>
          <w:p w14:paraId="70243B3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3.556</w:t>
            </w:r>
          </w:p>
        </w:tc>
        <w:tc>
          <w:tcPr>
            <w:tcW w:w="504" w:type="pct"/>
            <w:shd w:val="clear" w:color="auto" w:fill="auto"/>
            <w:noWrap/>
            <w:vAlign w:val="center"/>
            <w:hideMark/>
          </w:tcPr>
          <w:p w14:paraId="3900548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6.694</w:t>
            </w:r>
          </w:p>
        </w:tc>
      </w:tr>
      <w:tr w:rsidR="007E0ABC" w:rsidRPr="00CA4A10" w14:paraId="0C1E2CDF" w14:textId="77777777" w:rsidTr="000971F9">
        <w:trPr>
          <w:trHeight w:val="320"/>
        </w:trPr>
        <w:tc>
          <w:tcPr>
            <w:tcW w:w="835" w:type="pct"/>
            <w:vMerge/>
            <w:vAlign w:val="center"/>
            <w:hideMark/>
          </w:tcPr>
          <w:p w14:paraId="20E5E520"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2E93B5A6"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20-24</w:t>
            </w:r>
          </w:p>
        </w:tc>
        <w:tc>
          <w:tcPr>
            <w:tcW w:w="666" w:type="pct"/>
            <w:shd w:val="clear" w:color="auto" w:fill="auto"/>
            <w:noWrap/>
            <w:vAlign w:val="center"/>
            <w:hideMark/>
          </w:tcPr>
          <w:p w14:paraId="73AC5D8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3.75</w:t>
            </w:r>
          </w:p>
        </w:tc>
        <w:tc>
          <w:tcPr>
            <w:tcW w:w="478" w:type="pct"/>
            <w:shd w:val="clear" w:color="auto" w:fill="auto"/>
            <w:noWrap/>
            <w:vAlign w:val="center"/>
            <w:hideMark/>
          </w:tcPr>
          <w:p w14:paraId="368D9F3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1.852</w:t>
            </w:r>
          </w:p>
        </w:tc>
        <w:tc>
          <w:tcPr>
            <w:tcW w:w="478" w:type="pct"/>
            <w:shd w:val="clear" w:color="auto" w:fill="auto"/>
            <w:noWrap/>
            <w:vAlign w:val="center"/>
            <w:hideMark/>
          </w:tcPr>
          <w:p w14:paraId="72212B2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5.648</w:t>
            </w:r>
          </w:p>
        </w:tc>
        <w:tc>
          <w:tcPr>
            <w:tcW w:w="702" w:type="pct"/>
            <w:shd w:val="clear" w:color="auto" w:fill="auto"/>
            <w:noWrap/>
            <w:vAlign w:val="center"/>
            <w:hideMark/>
          </w:tcPr>
          <w:p w14:paraId="7D82AB1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9.5</w:t>
            </w:r>
          </w:p>
        </w:tc>
        <w:tc>
          <w:tcPr>
            <w:tcW w:w="502" w:type="pct"/>
            <w:shd w:val="clear" w:color="auto" w:fill="auto"/>
            <w:noWrap/>
            <w:vAlign w:val="center"/>
            <w:hideMark/>
          </w:tcPr>
          <w:p w14:paraId="18EAD63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7.99</w:t>
            </w:r>
          </w:p>
        </w:tc>
        <w:tc>
          <w:tcPr>
            <w:tcW w:w="504" w:type="pct"/>
            <w:shd w:val="clear" w:color="auto" w:fill="auto"/>
            <w:noWrap/>
            <w:vAlign w:val="center"/>
            <w:hideMark/>
          </w:tcPr>
          <w:p w14:paraId="0427F63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11.01</w:t>
            </w:r>
          </w:p>
        </w:tc>
      </w:tr>
      <w:tr w:rsidR="007E0ABC" w:rsidRPr="00CA4A10" w14:paraId="4782BCF4" w14:textId="77777777" w:rsidTr="000971F9">
        <w:trPr>
          <w:trHeight w:val="320"/>
        </w:trPr>
        <w:tc>
          <w:tcPr>
            <w:tcW w:w="835" w:type="pct"/>
            <w:vMerge/>
            <w:vAlign w:val="center"/>
            <w:hideMark/>
          </w:tcPr>
          <w:p w14:paraId="7CAC2F04"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74949BA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25-29</w:t>
            </w:r>
          </w:p>
        </w:tc>
        <w:tc>
          <w:tcPr>
            <w:tcW w:w="666" w:type="pct"/>
            <w:shd w:val="clear" w:color="auto" w:fill="auto"/>
            <w:noWrap/>
            <w:vAlign w:val="center"/>
            <w:hideMark/>
          </w:tcPr>
          <w:p w14:paraId="0423F81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2.889</w:t>
            </w:r>
          </w:p>
        </w:tc>
        <w:tc>
          <w:tcPr>
            <w:tcW w:w="478" w:type="pct"/>
            <w:shd w:val="clear" w:color="auto" w:fill="auto"/>
            <w:noWrap/>
            <w:vAlign w:val="center"/>
            <w:hideMark/>
          </w:tcPr>
          <w:p w14:paraId="72F03FA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1.779</w:t>
            </w:r>
          </w:p>
        </w:tc>
        <w:tc>
          <w:tcPr>
            <w:tcW w:w="478" w:type="pct"/>
            <w:shd w:val="clear" w:color="auto" w:fill="auto"/>
            <w:noWrap/>
            <w:vAlign w:val="center"/>
            <w:hideMark/>
          </w:tcPr>
          <w:p w14:paraId="05C79CB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3.999</w:t>
            </w:r>
          </w:p>
        </w:tc>
        <w:tc>
          <w:tcPr>
            <w:tcW w:w="702" w:type="pct"/>
            <w:shd w:val="clear" w:color="auto" w:fill="auto"/>
            <w:noWrap/>
            <w:vAlign w:val="center"/>
            <w:hideMark/>
          </w:tcPr>
          <w:p w14:paraId="55D44D2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8.8</w:t>
            </w:r>
          </w:p>
        </w:tc>
        <w:tc>
          <w:tcPr>
            <w:tcW w:w="502" w:type="pct"/>
            <w:shd w:val="clear" w:color="auto" w:fill="auto"/>
            <w:noWrap/>
            <w:vAlign w:val="center"/>
            <w:hideMark/>
          </w:tcPr>
          <w:p w14:paraId="4C9FE8B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7.299</w:t>
            </w:r>
          </w:p>
        </w:tc>
        <w:tc>
          <w:tcPr>
            <w:tcW w:w="504" w:type="pct"/>
            <w:shd w:val="clear" w:color="auto" w:fill="auto"/>
            <w:noWrap/>
            <w:vAlign w:val="center"/>
            <w:hideMark/>
          </w:tcPr>
          <w:p w14:paraId="2DAFACB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10.301</w:t>
            </w:r>
          </w:p>
        </w:tc>
      </w:tr>
      <w:tr w:rsidR="007E0ABC" w:rsidRPr="00CA4A10" w14:paraId="0151797B" w14:textId="77777777" w:rsidTr="000971F9">
        <w:trPr>
          <w:trHeight w:val="320"/>
        </w:trPr>
        <w:tc>
          <w:tcPr>
            <w:tcW w:w="835" w:type="pct"/>
            <w:vMerge/>
            <w:vAlign w:val="center"/>
            <w:hideMark/>
          </w:tcPr>
          <w:p w14:paraId="7D97C4DD"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42684586"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30-34</w:t>
            </w:r>
          </w:p>
        </w:tc>
        <w:tc>
          <w:tcPr>
            <w:tcW w:w="666" w:type="pct"/>
            <w:shd w:val="clear" w:color="auto" w:fill="auto"/>
            <w:noWrap/>
            <w:vAlign w:val="center"/>
            <w:hideMark/>
          </w:tcPr>
          <w:p w14:paraId="35400D9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7.5</w:t>
            </w:r>
          </w:p>
        </w:tc>
        <w:tc>
          <w:tcPr>
            <w:tcW w:w="478" w:type="pct"/>
            <w:shd w:val="clear" w:color="auto" w:fill="auto"/>
            <w:noWrap/>
            <w:vAlign w:val="center"/>
            <w:hideMark/>
          </w:tcPr>
          <w:p w14:paraId="7556CAA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5.602</w:t>
            </w:r>
          </w:p>
        </w:tc>
        <w:tc>
          <w:tcPr>
            <w:tcW w:w="478" w:type="pct"/>
            <w:shd w:val="clear" w:color="auto" w:fill="auto"/>
            <w:noWrap/>
            <w:vAlign w:val="center"/>
            <w:hideMark/>
          </w:tcPr>
          <w:p w14:paraId="1DAA20B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9.398</w:t>
            </w:r>
          </w:p>
        </w:tc>
        <w:tc>
          <w:tcPr>
            <w:tcW w:w="702" w:type="pct"/>
            <w:shd w:val="clear" w:color="auto" w:fill="auto"/>
            <w:noWrap/>
            <w:vAlign w:val="center"/>
            <w:hideMark/>
          </w:tcPr>
          <w:p w14:paraId="22B7076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6.471</w:t>
            </w:r>
          </w:p>
        </w:tc>
        <w:tc>
          <w:tcPr>
            <w:tcW w:w="502" w:type="pct"/>
            <w:shd w:val="clear" w:color="auto" w:fill="auto"/>
            <w:noWrap/>
            <w:vAlign w:val="center"/>
            <w:hideMark/>
          </w:tcPr>
          <w:p w14:paraId="62A3768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5.262</w:t>
            </w:r>
          </w:p>
        </w:tc>
        <w:tc>
          <w:tcPr>
            <w:tcW w:w="504" w:type="pct"/>
            <w:shd w:val="clear" w:color="auto" w:fill="auto"/>
            <w:noWrap/>
            <w:vAlign w:val="center"/>
            <w:hideMark/>
          </w:tcPr>
          <w:p w14:paraId="3406BB70"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7.68</w:t>
            </w:r>
          </w:p>
        </w:tc>
      </w:tr>
      <w:tr w:rsidR="007E0ABC" w:rsidRPr="00CA4A10" w14:paraId="096CF304" w14:textId="77777777" w:rsidTr="000971F9">
        <w:trPr>
          <w:trHeight w:val="320"/>
        </w:trPr>
        <w:tc>
          <w:tcPr>
            <w:tcW w:w="835" w:type="pct"/>
            <w:vMerge/>
            <w:vAlign w:val="center"/>
            <w:hideMark/>
          </w:tcPr>
          <w:p w14:paraId="2DAE033B"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07BEB3F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35-39</w:t>
            </w:r>
          </w:p>
        </w:tc>
        <w:tc>
          <w:tcPr>
            <w:tcW w:w="666" w:type="pct"/>
            <w:shd w:val="clear" w:color="auto" w:fill="auto"/>
            <w:noWrap/>
            <w:vAlign w:val="center"/>
            <w:hideMark/>
          </w:tcPr>
          <w:p w14:paraId="3A0B05A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4.818</w:t>
            </w:r>
          </w:p>
        </w:tc>
        <w:tc>
          <w:tcPr>
            <w:tcW w:w="478" w:type="pct"/>
            <w:shd w:val="clear" w:color="auto" w:fill="auto"/>
            <w:noWrap/>
            <w:vAlign w:val="center"/>
            <w:hideMark/>
          </w:tcPr>
          <w:p w14:paraId="53E49D9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3.521</w:t>
            </w:r>
          </w:p>
        </w:tc>
        <w:tc>
          <w:tcPr>
            <w:tcW w:w="478" w:type="pct"/>
            <w:shd w:val="clear" w:color="auto" w:fill="auto"/>
            <w:noWrap/>
            <w:vAlign w:val="center"/>
            <w:hideMark/>
          </w:tcPr>
          <w:p w14:paraId="047F6C3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6.115</w:t>
            </w:r>
          </w:p>
        </w:tc>
        <w:tc>
          <w:tcPr>
            <w:tcW w:w="702" w:type="pct"/>
            <w:shd w:val="clear" w:color="auto" w:fill="auto"/>
            <w:noWrap/>
            <w:vAlign w:val="center"/>
            <w:hideMark/>
          </w:tcPr>
          <w:p w14:paraId="2766A40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w:t>
            </w:r>
          </w:p>
        </w:tc>
        <w:tc>
          <w:tcPr>
            <w:tcW w:w="502" w:type="pct"/>
            <w:shd w:val="clear" w:color="auto" w:fill="auto"/>
            <w:noWrap/>
            <w:vAlign w:val="center"/>
            <w:hideMark/>
          </w:tcPr>
          <w:p w14:paraId="27AFE05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2.952</w:t>
            </w:r>
          </w:p>
        </w:tc>
        <w:tc>
          <w:tcPr>
            <w:tcW w:w="504" w:type="pct"/>
            <w:shd w:val="clear" w:color="auto" w:fill="auto"/>
            <w:noWrap/>
            <w:vAlign w:val="center"/>
            <w:hideMark/>
          </w:tcPr>
          <w:p w14:paraId="213F034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5.048</w:t>
            </w:r>
          </w:p>
        </w:tc>
      </w:tr>
      <w:tr w:rsidR="007E0ABC" w:rsidRPr="00CA4A10" w14:paraId="319DE90E" w14:textId="77777777" w:rsidTr="000971F9">
        <w:trPr>
          <w:trHeight w:val="320"/>
        </w:trPr>
        <w:tc>
          <w:tcPr>
            <w:tcW w:w="835" w:type="pct"/>
            <w:vMerge/>
            <w:vAlign w:val="center"/>
            <w:hideMark/>
          </w:tcPr>
          <w:p w14:paraId="33B3937B"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0B2DA3EA"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40-44</w:t>
            </w:r>
          </w:p>
        </w:tc>
        <w:tc>
          <w:tcPr>
            <w:tcW w:w="666" w:type="pct"/>
            <w:shd w:val="clear" w:color="auto" w:fill="auto"/>
            <w:noWrap/>
            <w:vAlign w:val="center"/>
            <w:hideMark/>
          </w:tcPr>
          <w:p w14:paraId="70F5ED6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8.556</w:t>
            </w:r>
          </w:p>
        </w:tc>
        <w:tc>
          <w:tcPr>
            <w:tcW w:w="478" w:type="pct"/>
            <w:shd w:val="clear" w:color="auto" w:fill="auto"/>
            <w:noWrap/>
            <w:vAlign w:val="center"/>
            <w:hideMark/>
          </w:tcPr>
          <w:p w14:paraId="25A12E0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6.645</w:t>
            </w:r>
          </w:p>
        </w:tc>
        <w:tc>
          <w:tcPr>
            <w:tcW w:w="478" w:type="pct"/>
            <w:shd w:val="clear" w:color="auto" w:fill="auto"/>
            <w:noWrap/>
            <w:vAlign w:val="center"/>
            <w:hideMark/>
          </w:tcPr>
          <w:p w14:paraId="336FC9F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10.467</w:t>
            </w:r>
          </w:p>
        </w:tc>
        <w:tc>
          <w:tcPr>
            <w:tcW w:w="702" w:type="pct"/>
            <w:shd w:val="clear" w:color="auto" w:fill="auto"/>
            <w:noWrap/>
            <w:vAlign w:val="center"/>
            <w:hideMark/>
          </w:tcPr>
          <w:p w14:paraId="62A2DEA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3.1</w:t>
            </w:r>
          </w:p>
        </w:tc>
        <w:tc>
          <w:tcPr>
            <w:tcW w:w="502" w:type="pct"/>
            <w:shd w:val="clear" w:color="auto" w:fill="auto"/>
            <w:noWrap/>
            <w:vAlign w:val="center"/>
            <w:hideMark/>
          </w:tcPr>
          <w:p w14:paraId="1D442D5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2.328</w:t>
            </w:r>
          </w:p>
        </w:tc>
        <w:tc>
          <w:tcPr>
            <w:tcW w:w="504" w:type="pct"/>
            <w:shd w:val="clear" w:color="auto" w:fill="auto"/>
            <w:noWrap/>
            <w:vAlign w:val="center"/>
            <w:hideMark/>
          </w:tcPr>
          <w:p w14:paraId="5B8C54C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3.872</w:t>
            </w:r>
          </w:p>
        </w:tc>
      </w:tr>
      <w:tr w:rsidR="007E0ABC" w:rsidRPr="00CA4A10" w14:paraId="2C684A98" w14:textId="77777777" w:rsidTr="000971F9">
        <w:trPr>
          <w:trHeight w:val="320"/>
        </w:trPr>
        <w:tc>
          <w:tcPr>
            <w:tcW w:w="835" w:type="pct"/>
            <w:vMerge/>
            <w:vAlign w:val="center"/>
            <w:hideMark/>
          </w:tcPr>
          <w:p w14:paraId="12029ADA"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08FB4BB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45-49</w:t>
            </w:r>
          </w:p>
        </w:tc>
        <w:tc>
          <w:tcPr>
            <w:tcW w:w="666" w:type="pct"/>
            <w:shd w:val="clear" w:color="auto" w:fill="auto"/>
            <w:noWrap/>
            <w:vAlign w:val="center"/>
            <w:hideMark/>
          </w:tcPr>
          <w:p w14:paraId="2B94F0B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4.769</w:t>
            </w:r>
          </w:p>
        </w:tc>
        <w:tc>
          <w:tcPr>
            <w:tcW w:w="478" w:type="pct"/>
            <w:shd w:val="clear" w:color="auto" w:fill="auto"/>
            <w:noWrap/>
            <w:vAlign w:val="center"/>
            <w:hideMark/>
          </w:tcPr>
          <w:p w14:paraId="0BE2932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3.582</w:t>
            </w:r>
          </w:p>
        </w:tc>
        <w:tc>
          <w:tcPr>
            <w:tcW w:w="478" w:type="pct"/>
            <w:shd w:val="clear" w:color="auto" w:fill="auto"/>
            <w:noWrap/>
            <w:vAlign w:val="center"/>
            <w:hideMark/>
          </w:tcPr>
          <w:p w14:paraId="0E338195"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5.956</w:t>
            </w:r>
          </w:p>
        </w:tc>
        <w:tc>
          <w:tcPr>
            <w:tcW w:w="702" w:type="pct"/>
            <w:shd w:val="clear" w:color="auto" w:fill="auto"/>
            <w:noWrap/>
            <w:vAlign w:val="center"/>
            <w:hideMark/>
          </w:tcPr>
          <w:p w14:paraId="68FED8C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4.615</w:t>
            </w:r>
          </w:p>
        </w:tc>
        <w:tc>
          <w:tcPr>
            <w:tcW w:w="502" w:type="pct"/>
            <w:shd w:val="clear" w:color="auto" w:fill="auto"/>
            <w:noWrap/>
            <w:vAlign w:val="center"/>
            <w:hideMark/>
          </w:tcPr>
          <w:p w14:paraId="13CEB46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3.447</w:t>
            </w:r>
          </w:p>
        </w:tc>
        <w:tc>
          <w:tcPr>
            <w:tcW w:w="504" w:type="pct"/>
            <w:shd w:val="clear" w:color="auto" w:fill="auto"/>
            <w:noWrap/>
            <w:vAlign w:val="center"/>
            <w:hideMark/>
          </w:tcPr>
          <w:p w14:paraId="7BEC1ED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5.783</w:t>
            </w:r>
          </w:p>
        </w:tc>
      </w:tr>
      <w:tr w:rsidR="007E0ABC" w:rsidRPr="00CA4A10" w14:paraId="4B0C3204" w14:textId="77777777" w:rsidTr="000971F9">
        <w:trPr>
          <w:trHeight w:val="320"/>
        </w:trPr>
        <w:tc>
          <w:tcPr>
            <w:tcW w:w="835" w:type="pct"/>
            <w:vMerge/>
            <w:vAlign w:val="center"/>
            <w:hideMark/>
          </w:tcPr>
          <w:p w14:paraId="38026217"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4E79E106"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50-54</w:t>
            </w:r>
          </w:p>
        </w:tc>
        <w:tc>
          <w:tcPr>
            <w:tcW w:w="666" w:type="pct"/>
            <w:shd w:val="clear" w:color="auto" w:fill="auto"/>
            <w:noWrap/>
            <w:vAlign w:val="center"/>
            <w:hideMark/>
          </w:tcPr>
          <w:p w14:paraId="34BA86C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1.667</w:t>
            </w:r>
          </w:p>
        </w:tc>
        <w:tc>
          <w:tcPr>
            <w:tcW w:w="478" w:type="pct"/>
            <w:shd w:val="clear" w:color="auto" w:fill="auto"/>
            <w:noWrap/>
            <w:vAlign w:val="center"/>
            <w:hideMark/>
          </w:tcPr>
          <w:p w14:paraId="72D0A9A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0.634</w:t>
            </w:r>
          </w:p>
        </w:tc>
        <w:tc>
          <w:tcPr>
            <w:tcW w:w="478" w:type="pct"/>
            <w:shd w:val="clear" w:color="auto" w:fill="auto"/>
            <w:noWrap/>
            <w:vAlign w:val="center"/>
            <w:hideMark/>
          </w:tcPr>
          <w:p w14:paraId="4A0A2C96"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2.7</w:t>
            </w:r>
          </w:p>
        </w:tc>
        <w:tc>
          <w:tcPr>
            <w:tcW w:w="702" w:type="pct"/>
            <w:shd w:val="clear" w:color="auto" w:fill="auto"/>
            <w:noWrap/>
            <w:vAlign w:val="center"/>
            <w:hideMark/>
          </w:tcPr>
          <w:p w14:paraId="035D4F23"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1.938</w:t>
            </w:r>
          </w:p>
        </w:tc>
        <w:tc>
          <w:tcPr>
            <w:tcW w:w="502" w:type="pct"/>
            <w:shd w:val="clear" w:color="auto" w:fill="auto"/>
            <w:noWrap/>
            <w:vAlign w:val="center"/>
            <w:hideMark/>
          </w:tcPr>
          <w:p w14:paraId="2DB1A09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1.256</w:t>
            </w:r>
          </w:p>
        </w:tc>
        <w:tc>
          <w:tcPr>
            <w:tcW w:w="504" w:type="pct"/>
            <w:shd w:val="clear" w:color="auto" w:fill="auto"/>
            <w:noWrap/>
            <w:vAlign w:val="center"/>
            <w:hideMark/>
          </w:tcPr>
          <w:p w14:paraId="126BC25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2.62</w:t>
            </w:r>
          </w:p>
        </w:tc>
      </w:tr>
      <w:tr w:rsidR="007E0ABC" w:rsidRPr="00CA4A10" w14:paraId="1D150C68" w14:textId="77777777" w:rsidTr="000971F9">
        <w:trPr>
          <w:trHeight w:val="320"/>
        </w:trPr>
        <w:tc>
          <w:tcPr>
            <w:tcW w:w="835" w:type="pct"/>
            <w:vMerge/>
            <w:vAlign w:val="center"/>
            <w:hideMark/>
          </w:tcPr>
          <w:p w14:paraId="2DE7A131"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2A1F913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55-59</w:t>
            </w:r>
          </w:p>
        </w:tc>
        <w:tc>
          <w:tcPr>
            <w:tcW w:w="666" w:type="pct"/>
            <w:shd w:val="clear" w:color="auto" w:fill="auto"/>
            <w:noWrap/>
            <w:vAlign w:val="center"/>
            <w:hideMark/>
          </w:tcPr>
          <w:p w14:paraId="1811EE1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18.333</w:t>
            </w:r>
          </w:p>
        </w:tc>
        <w:tc>
          <w:tcPr>
            <w:tcW w:w="478" w:type="pct"/>
            <w:shd w:val="clear" w:color="auto" w:fill="auto"/>
            <w:noWrap/>
            <w:vAlign w:val="center"/>
            <w:hideMark/>
          </w:tcPr>
          <w:p w14:paraId="02E7309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14.907</w:t>
            </w:r>
          </w:p>
        </w:tc>
        <w:tc>
          <w:tcPr>
            <w:tcW w:w="478" w:type="pct"/>
            <w:shd w:val="clear" w:color="auto" w:fill="auto"/>
            <w:noWrap/>
            <w:vAlign w:val="center"/>
            <w:hideMark/>
          </w:tcPr>
          <w:p w14:paraId="7A40A51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21.759</w:t>
            </w:r>
          </w:p>
        </w:tc>
        <w:tc>
          <w:tcPr>
            <w:tcW w:w="702" w:type="pct"/>
            <w:shd w:val="clear" w:color="auto" w:fill="auto"/>
            <w:noWrap/>
            <w:vAlign w:val="center"/>
            <w:hideMark/>
          </w:tcPr>
          <w:p w14:paraId="1D0B3E94"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4.364</w:t>
            </w:r>
          </w:p>
        </w:tc>
        <w:tc>
          <w:tcPr>
            <w:tcW w:w="502" w:type="pct"/>
            <w:shd w:val="clear" w:color="auto" w:fill="auto"/>
            <w:noWrap/>
            <w:vAlign w:val="center"/>
            <w:hideMark/>
          </w:tcPr>
          <w:p w14:paraId="536C73AE"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3.129</w:t>
            </w:r>
          </w:p>
        </w:tc>
        <w:tc>
          <w:tcPr>
            <w:tcW w:w="504" w:type="pct"/>
            <w:shd w:val="clear" w:color="auto" w:fill="auto"/>
            <w:noWrap/>
            <w:vAlign w:val="center"/>
            <w:hideMark/>
          </w:tcPr>
          <w:p w14:paraId="029EB1B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5.599</w:t>
            </w:r>
          </w:p>
        </w:tc>
      </w:tr>
      <w:tr w:rsidR="007E0ABC" w:rsidRPr="00CA4A10" w14:paraId="5AF4B66C" w14:textId="77777777" w:rsidTr="000971F9">
        <w:trPr>
          <w:trHeight w:val="320"/>
        </w:trPr>
        <w:tc>
          <w:tcPr>
            <w:tcW w:w="835" w:type="pct"/>
            <w:vMerge/>
            <w:vAlign w:val="center"/>
            <w:hideMark/>
          </w:tcPr>
          <w:p w14:paraId="4B89B179"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7C6A489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60-64</w:t>
            </w:r>
          </w:p>
        </w:tc>
        <w:tc>
          <w:tcPr>
            <w:tcW w:w="666" w:type="pct"/>
            <w:shd w:val="clear" w:color="auto" w:fill="auto"/>
            <w:noWrap/>
            <w:vAlign w:val="center"/>
            <w:hideMark/>
          </w:tcPr>
          <w:p w14:paraId="146EEC2C"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2.25</w:t>
            </w:r>
          </w:p>
        </w:tc>
        <w:tc>
          <w:tcPr>
            <w:tcW w:w="478" w:type="pct"/>
            <w:shd w:val="clear" w:color="auto" w:fill="auto"/>
            <w:noWrap/>
            <w:vAlign w:val="center"/>
            <w:hideMark/>
          </w:tcPr>
          <w:p w14:paraId="7E67137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0.78</w:t>
            </w:r>
          </w:p>
        </w:tc>
        <w:tc>
          <w:tcPr>
            <w:tcW w:w="478" w:type="pct"/>
            <w:shd w:val="clear" w:color="auto" w:fill="auto"/>
            <w:noWrap/>
            <w:vAlign w:val="center"/>
            <w:hideMark/>
          </w:tcPr>
          <w:p w14:paraId="5361F6D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3.72</w:t>
            </w:r>
          </w:p>
        </w:tc>
        <w:tc>
          <w:tcPr>
            <w:tcW w:w="702" w:type="pct"/>
            <w:shd w:val="clear" w:color="auto" w:fill="auto"/>
            <w:noWrap/>
            <w:vAlign w:val="center"/>
            <w:hideMark/>
          </w:tcPr>
          <w:p w14:paraId="7047B52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w:t>
            </w:r>
          </w:p>
        </w:tc>
        <w:tc>
          <w:tcPr>
            <w:tcW w:w="502" w:type="pct"/>
            <w:shd w:val="clear" w:color="auto" w:fill="auto"/>
            <w:noWrap/>
            <w:vAlign w:val="center"/>
            <w:hideMark/>
          </w:tcPr>
          <w:p w14:paraId="09FE7118"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2.247</w:t>
            </w:r>
          </w:p>
        </w:tc>
        <w:tc>
          <w:tcPr>
            <w:tcW w:w="504" w:type="pct"/>
            <w:shd w:val="clear" w:color="auto" w:fill="auto"/>
            <w:noWrap/>
            <w:vAlign w:val="center"/>
            <w:hideMark/>
          </w:tcPr>
          <w:p w14:paraId="01454F02"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5.753</w:t>
            </w:r>
          </w:p>
        </w:tc>
      </w:tr>
      <w:tr w:rsidR="007E0ABC" w:rsidRPr="00CA4A10" w14:paraId="6D9B26E5" w14:textId="77777777" w:rsidTr="000971F9">
        <w:trPr>
          <w:trHeight w:val="320"/>
        </w:trPr>
        <w:tc>
          <w:tcPr>
            <w:tcW w:w="835" w:type="pct"/>
            <w:vMerge/>
            <w:vAlign w:val="center"/>
            <w:hideMark/>
          </w:tcPr>
          <w:p w14:paraId="79073E00"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25E2797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65-69</w:t>
            </w:r>
          </w:p>
        </w:tc>
        <w:tc>
          <w:tcPr>
            <w:tcW w:w="666" w:type="pct"/>
            <w:shd w:val="clear" w:color="auto" w:fill="auto"/>
            <w:noWrap/>
            <w:vAlign w:val="center"/>
            <w:hideMark/>
          </w:tcPr>
          <w:p w14:paraId="7C5AA09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17</w:t>
            </w:r>
          </w:p>
        </w:tc>
        <w:tc>
          <w:tcPr>
            <w:tcW w:w="478" w:type="pct"/>
            <w:shd w:val="clear" w:color="auto" w:fill="auto"/>
            <w:noWrap/>
            <w:vAlign w:val="center"/>
            <w:hideMark/>
          </w:tcPr>
          <w:p w14:paraId="3BD0DE2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8.919</w:t>
            </w:r>
          </w:p>
        </w:tc>
        <w:tc>
          <w:tcPr>
            <w:tcW w:w="478" w:type="pct"/>
            <w:shd w:val="clear" w:color="auto" w:fill="auto"/>
            <w:noWrap/>
            <w:vAlign w:val="center"/>
            <w:hideMark/>
          </w:tcPr>
          <w:p w14:paraId="56E7A20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25.081</w:t>
            </w:r>
          </w:p>
        </w:tc>
        <w:tc>
          <w:tcPr>
            <w:tcW w:w="702" w:type="pct"/>
            <w:shd w:val="clear" w:color="auto" w:fill="auto"/>
            <w:noWrap/>
            <w:vAlign w:val="center"/>
            <w:hideMark/>
          </w:tcPr>
          <w:p w14:paraId="0F4016A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Inf</w:t>
            </w:r>
          </w:p>
        </w:tc>
        <w:tc>
          <w:tcPr>
            <w:tcW w:w="502" w:type="pct"/>
            <w:shd w:val="clear" w:color="auto" w:fill="auto"/>
            <w:noWrap/>
            <w:vAlign w:val="center"/>
            <w:hideMark/>
          </w:tcPr>
          <w:p w14:paraId="28B0CC6C" w14:textId="77777777" w:rsidR="007E0ABC" w:rsidRPr="00CA4A10" w:rsidRDefault="007E0ABC" w:rsidP="00AF2A65">
            <w:pPr>
              <w:jc w:val="center"/>
              <w:rPr>
                <w:rFonts w:ascii="Century Gothic" w:eastAsia="Times New Roman" w:hAnsi="Century Gothic" w:cs="Calibri"/>
                <w:color w:val="000000"/>
                <w:sz w:val="18"/>
                <w:szCs w:val="18"/>
                <w:lang w:eastAsia="en-GB"/>
              </w:rPr>
            </w:pPr>
            <w:proofErr w:type="spellStart"/>
            <w:r w:rsidRPr="00CA4A10">
              <w:rPr>
                <w:rFonts w:ascii="Century Gothic" w:eastAsia="Times New Roman" w:hAnsi="Century Gothic" w:cs="Calibri"/>
                <w:color w:val="000000"/>
                <w:sz w:val="18"/>
                <w:szCs w:val="18"/>
                <w:lang w:eastAsia="en-GB"/>
              </w:rPr>
              <w:t>NaN</w:t>
            </w:r>
            <w:proofErr w:type="spellEnd"/>
          </w:p>
        </w:tc>
        <w:tc>
          <w:tcPr>
            <w:tcW w:w="504" w:type="pct"/>
            <w:shd w:val="clear" w:color="auto" w:fill="auto"/>
            <w:noWrap/>
            <w:vAlign w:val="center"/>
            <w:hideMark/>
          </w:tcPr>
          <w:p w14:paraId="219F0BF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Inf</w:t>
            </w:r>
          </w:p>
        </w:tc>
      </w:tr>
      <w:tr w:rsidR="007E0ABC" w:rsidRPr="00CA4A10" w14:paraId="7C03EABB" w14:textId="77777777" w:rsidTr="000971F9">
        <w:trPr>
          <w:trHeight w:val="320"/>
        </w:trPr>
        <w:tc>
          <w:tcPr>
            <w:tcW w:w="835" w:type="pct"/>
            <w:vMerge/>
            <w:vAlign w:val="center"/>
            <w:hideMark/>
          </w:tcPr>
          <w:p w14:paraId="74301E6B" w14:textId="77777777" w:rsidR="007E0ABC" w:rsidRPr="00CA4A10" w:rsidRDefault="007E0ABC" w:rsidP="00AF2A65">
            <w:pPr>
              <w:rPr>
                <w:rFonts w:ascii="Century Gothic" w:eastAsia="Times New Roman" w:hAnsi="Century Gothic" w:cs="Calibri"/>
                <w:b/>
                <w:bCs/>
                <w:color w:val="000000"/>
                <w:sz w:val="18"/>
                <w:szCs w:val="18"/>
                <w:lang w:eastAsia="en-GB"/>
              </w:rPr>
            </w:pPr>
          </w:p>
        </w:tc>
        <w:tc>
          <w:tcPr>
            <w:tcW w:w="835" w:type="pct"/>
            <w:shd w:val="clear" w:color="auto" w:fill="auto"/>
            <w:noWrap/>
            <w:vAlign w:val="center"/>
            <w:hideMark/>
          </w:tcPr>
          <w:p w14:paraId="750BD931"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70-74</w:t>
            </w:r>
          </w:p>
        </w:tc>
        <w:tc>
          <w:tcPr>
            <w:tcW w:w="666" w:type="pct"/>
            <w:shd w:val="clear" w:color="auto" w:fill="auto"/>
            <w:noWrap/>
            <w:vAlign w:val="center"/>
            <w:hideMark/>
          </w:tcPr>
          <w:p w14:paraId="62982369"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11</w:t>
            </w:r>
          </w:p>
        </w:tc>
        <w:tc>
          <w:tcPr>
            <w:tcW w:w="478" w:type="pct"/>
            <w:shd w:val="clear" w:color="auto" w:fill="auto"/>
            <w:noWrap/>
            <w:vAlign w:val="center"/>
            <w:hideMark/>
          </w:tcPr>
          <w:p w14:paraId="019361AB"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4.499</w:t>
            </w:r>
          </w:p>
        </w:tc>
        <w:tc>
          <w:tcPr>
            <w:tcW w:w="478" w:type="pct"/>
            <w:shd w:val="clear" w:color="auto" w:fill="auto"/>
            <w:noWrap/>
            <w:vAlign w:val="center"/>
            <w:hideMark/>
          </w:tcPr>
          <w:p w14:paraId="0E168D87"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17.501</w:t>
            </w:r>
          </w:p>
        </w:tc>
        <w:tc>
          <w:tcPr>
            <w:tcW w:w="702" w:type="pct"/>
            <w:shd w:val="clear" w:color="auto" w:fill="auto"/>
            <w:noWrap/>
            <w:vAlign w:val="center"/>
            <w:hideMark/>
          </w:tcPr>
          <w:p w14:paraId="1240348F"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3.5</w:t>
            </w:r>
          </w:p>
        </w:tc>
        <w:tc>
          <w:tcPr>
            <w:tcW w:w="502" w:type="pct"/>
            <w:shd w:val="clear" w:color="auto" w:fill="auto"/>
            <w:noWrap/>
            <w:vAlign w:val="center"/>
            <w:hideMark/>
          </w:tcPr>
          <w:p w14:paraId="442D1FF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0.907</w:t>
            </w:r>
          </w:p>
        </w:tc>
        <w:tc>
          <w:tcPr>
            <w:tcW w:w="504" w:type="pct"/>
            <w:shd w:val="clear" w:color="auto" w:fill="auto"/>
            <w:noWrap/>
            <w:vAlign w:val="center"/>
            <w:hideMark/>
          </w:tcPr>
          <w:p w14:paraId="1230FA6D" w14:textId="77777777" w:rsidR="007E0ABC" w:rsidRPr="00CA4A10" w:rsidRDefault="007E0ABC" w:rsidP="00AF2A65">
            <w:pPr>
              <w:jc w:val="center"/>
              <w:rPr>
                <w:rFonts w:ascii="Century Gothic" w:eastAsia="Times New Roman" w:hAnsi="Century Gothic" w:cs="Calibri"/>
                <w:color w:val="000000"/>
                <w:sz w:val="18"/>
                <w:szCs w:val="18"/>
                <w:lang w:eastAsia="en-GB"/>
              </w:rPr>
            </w:pPr>
            <w:r w:rsidRPr="00CA4A10">
              <w:rPr>
                <w:rFonts w:ascii="Century Gothic" w:eastAsia="Times New Roman" w:hAnsi="Century Gothic" w:cs="Calibri"/>
                <w:color w:val="000000"/>
                <w:sz w:val="18"/>
                <w:szCs w:val="18"/>
                <w:lang w:eastAsia="en-GB"/>
              </w:rPr>
              <w:t>6.093</w:t>
            </w:r>
          </w:p>
        </w:tc>
      </w:tr>
    </w:tbl>
    <w:p w14:paraId="3D50FE8C" w14:textId="77777777" w:rsidR="007E0ABC" w:rsidRDefault="007E0ABC" w:rsidP="00143A29"/>
    <w:tbl>
      <w:tblPr>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546"/>
        <w:gridCol w:w="1455"/>
        <w:gridCol w:w="1151"/>
        <w:gridCol w:w="986"/>
        <w:gridCol w:w="948"/>
        <w:gridCol w:w="1081"/>
        <w:gridCol w:w="895"/>
        <w:gridCol w:w="948"/>
      </w:tblGrid>
      <w:tr w:rsidR="007E0ABC" w:rsidRPr="00CA4A10" w14:paraId="6B60B538" w14:textId="77777777" w:rsidTr="000971F9">
        <w:trPr>
          <w:trHeight w:val="500"/>
        </w:trPr>
        <w:tc>
          <w:tcPr>
            <w:tcW w:w="5000" w:type="pct"/>
            <w:gridSpan w:val="8"/>
            <w:shd w:val="clear" w:color="000000" w:fill="FCE4D6"/>
            <w:noWrap/>
            <w:vAlign w:val="center"/>
            <w:hideMark/>
          </w:tcPr>
          <w:p w14:paraId="67420903" w14:textId="77777777" w:rsidR="007E0ABC" w:rsidRPr="00CA4A10" w:rsidRDefault="007E0ABC" w:rsidP="00AF2A65">
            <w:pPr>
              <w:jc w:val="center"/>
              <w:rPr>
                <w:rFonts w:ascii="Century Gothic" w:eastAsia="Times New Roman" w:hAnsi="Century Gothic" w:cs="Calibri"/>
                <w:b/>
                <w:bCs/>
                <w:color w:val="000000"/>
                <w:szCs w:val="20"/>
                <w:u w:val="single"/>
                <w:lang w:eastAsia="en-GB"/>
              </w:rPr>
            </w:pPr>
            <w:r w:rsidRPr="00CA4A10">
              <w:rPr>
                <w:rFonts w:ascii="Century Gothic" w:eastAsia="Times New Roman" w:hAnsi="Century Gothic" w:cs="Calibri"/>
                <w:b/>
                <w:bCs/>
                <w:color w:val="000000"/>
                <w:szCs w:val="20"/>
                <w:u w:val="single"/>
                <w:lang w:eastAsia="en-GB"/>
              </w:rPr>
              <w:t>FUNCTIONAL NEUROLOGICAL DISORDER COHORT 2013-2015</w:t>
            </w:r>
          </w:p>
        </w:tc>
      </w:tr>
      <w:tr w:rsidR="007E0ABC" w:rsidRPr="00CA4A10" w14:paraId="49D7BC8F" w14:textId="77777777" w:rsidTr="000971F9">
        <w:trPr>
          <w:trHeight w:val="469"/>
        </w:trPr>
        <w:tc>
          <w:tcPr>
            <w:tcW w:w="835" w:type="pct"/>
            <w:shd w:val="clear" w:color="auto" w:fill="auto"/>
            <w:vAlign w:val="center"/>
            <w:hideMark/>
          </w:tcPr>
          <w:p w14:paraId="78150C38"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Emergency care type</w:t>
            </w:r>
          </w:p>
        </w:tc>
        <w:tc>
          <w:tcPr>
            <w:tcW w:w="835" w:type="pct"/>
            <w:shd w:val="clear" w:color="auto" w:fill="auto"/>
            <w:vAlign w:val="center"/>
            <w:hideMark/>
          </w:tcPr>
          <w:p w14:paraId="5A82A951"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Age group</w:t>
            </w:r>
          </w:p>
        </w:tc>
        <w:tc>
          <w:tcPr>
            <w:tcW w:w="3330" w:type="pct"/>
            <w:gridSpan w:val="6"/>
            <w:shd w:val="clear" w:color="auto" w:fill="auto"/>
            <w:vAlign w:val="center"/>
            <w:hideMark/>
          </w:tcPr>
          <w:p w14:paraId="61A674B2"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Crude proportion (unique contacts/person year) (95% CI)</w:t>
            </w:r>
          </w:p>
        </w:tc>
      </w:tr>
      <w:tr w:rsidR="007E0ABC" w:rsidRPr="00CA4A10" w14:paraId="7C4ADB48" w14:textId="77777777" w:rsidTr="000971F9">
        <w:trPr>
          <w:trHeight w:val="360"/>
        </w:trPr>
        <w:tc>
          <w:tcPr>
            <w:tcW w:w="835" w:type="pct"/>
            <w:shd w:val="clear" w:color="auto" w:fill="auto"/>
            <w:noWrap/>
            <w:vAlign w:val="center"/>
            <w:hideMark/>
          </w:tcPr>
          <w:p w14:paraId="7469A95D" w14:textId="77777777" w:rsidR="007E0ABC" w:rsidRPr="00CA4A10" w:rsidRDefault="007E0ABC" w:rsidP="00AF2A65">
            <w:pPr>
              <w:jc w:val="center"/>
              <w:rPr>
                <w:rFonts w:ascii="Century Gothic" w:eastAsia="Times New Roman" w:hAnsi="Century Gothic" w:cs="Calibri"/>
                <w:b/>
                <w:bCs/>
                <w:i/>
                <w:iCs/>
                <w:color w:val="000000"/>
                <w:szCs w:val="20"/>
                <w:lang w:eastAsia="en-GB"/>
              </w:rPr>
            </w:pPr>
            <w:r w:rsidRPr="00CA4A10">
              <w:rPr>
                <w:rFonts w:ascii="Century Gothic" w:eastAsia="Times New Roman" w:hAnsi="Century Gothic" w:cs="Calibri"/>
                <w:b/>
                <w:bCs/>
                <w:i/>
                <w:iCs/>
                <w:color w:val="000000"/>
                <w:szCs w:val="20"/>
                <w:lang w:eastAsia="en-GB"/>
              </w:rPr>
              <w:t> </w:t>
            </w:r>
          </w:p>
        </w:tc>
        <w:tc>
          <w:tcPr>
            <w:tcW w:w="835" w:type="pct"/>
            <w:shd w:val="clear" w:color="auto" w:fill="auto"/>
            <w:noWrap/>
            <w:vAlign w:val="center"/>
            <w:hideMark/>
          </w:tcPr>
          <w:p w14:paraId="149358D0" w14:textId="77777777" w:rsidR="007E0ABC" w:rsidRPr="00CA4A10" w:rsidRDefault="007E0ABC" w:rsidP="00AF2A65">
            <w:pPr>
              <w:jc w:val="center"/>
              <w:rPr>
                <w:rFonts w:ascii="Century Gothic" w:eastAsia="Times New Roman" w:hAnsi="Century Gothic" w:cs="Calibri"/>
                <w:b/>
                <w:bCs/>
                <w:i/>
                <w:iCs/>
                <w:color w:val="000000"/>
                <w:szCs w:val="20"/>
                <w:lang w:eastAsia="en-GB"/>
              </w:rPr>
            </w:pPr>
            <w:r w:rsidRPr="00CA4A10">
              <w:rPr>
                <w:rFonts w:ascii="Century Gothic" w:eastAsia="Times New Roman" w:hAnsi="Century Gothic" w:cs="Calibri"/>
                <w:b/>
                <w:bCs/>
                <w:i/>
                <w:iCs/>
                <w:color w:val="000000"/>
                <w:szCs w:val="20"/>
                <w:lang w:eastAsia="en-GB"/>
              </w:rPr>
              <w:t> </w:t>
            </w:r>
          </w:p>
        </w:tc>
        <w:tc>
          <w:tcPr>
            <w:tcW w:w="666" w:type="pct"/>
            <w:shd w:val="clear" w:color="auto" w:fill="auto"/>
            <w:noWrap/>
            <w:vAlign w:val="center"/>
            <w:hideMark/>
          </w:tcPr>
          <w:p w14:paraId="73C2D922" w14:textId="77777777" w:rsidR="007E0ABC" w:rsidRPr="00CA4A10" w:rsidRDefault="007E0ABC" w:rsidP="00AF2A65">
            <w:pPr>
              <w:jc w:val="center"/>
              <w:rPr>
                <w:rFonts w:ascii="Century Gothic" w:eastAsia="Times New Roman" w:hAnsi="Century Gothic" w:cs="Calibri"/>
                <w:b/>
                <w:bCs/>
                <w:i/>
                <w:iCs/>
                <w:color w:val="000000"/>
                <w:szCs w:val="20"/>
                <w:lang w:eastAsia="en-GB"/>
              </w:rPr>
            </w:pPr>
            <w:r w:rsidRPr="00CA4A10">
              <w:rPr>
                <w:rFonts w:ascii="Century Gothic" w:eastAsia="Times New Roman" w:hAnsi="Century Gothic" w:cs="Calibri"/>
                <w:b/>
                <w:bCs/>
                <w:i/>
                <w:iCs/>
                <w:color w:val="000000"/>
                <w:szCs w:val="20"/>
                <w:lang w:eastAsia="en-GB"/>
              </w:rPr>
              <w:t>Male</w:t>
            </w:r>
          </w:p>
        </w:tc>
        <w:tc>
          <w:tcPr>
            <w:tcW w:w="574" w:type="pct"/>
            <w:shd w:val="clear" w:color="auto" w:fill="auto"/>
            <w:vAlign w:val="center"/>
            <w:hideMark/>
          </w:tcPr>
          <w:p w14:paraId="1510E8B0"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 xml:space="preserve"> CI low</w:t>
            </w:r>
          </w:p>
        </w:tc>
        <w:tc>
          <w:tcPr>
            <w:tcW w:w="472" w:type="pct"/>
            <w:shd w:val="clear" w:color="auto" w:fill="auto"/>
            <w:vAlign w:val="center"/>
            <w:hideMark/>
          </w:tcPr>
          <w:p w14:paraId="44BB5AD0"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CI up</w:t>
            </w:r>
          </w:p>
        </w:tc>
        <w:tc>
          <w:tcPr>
            <w:tcW w:w="611" w:type="pct"/>
            <w:shd w:val="clear" w:color="auto" w:fill="auto"/>
            <w:noWrap/>
            <w:vAlign w:val="center"/>
            <w:hideMark/>
          </w:tcPr>
          <w:p w14:paraId="6297C436" w14:textId="77777777" w:rsidR="007E0ABC" w:rsidRPr="00CA4A10" w:rsidRDefault="007E0ABC" w:rsidP="00AF2A65">
            <w:pPr>
              <w:jc w:val="center"/>
              <w:rPr>
                <w:rFonts w:ascii="Century Gothic" w:eastAsia="Times New Roman" w:hAnsi="Century Gothic" w:cs="Calibri"/>
                <w:b/>
                <w:bCs/>
                <w:i/>
                <w:iCs/>
                <w:color w:val="000000"/>
                <w:szCs w:val="20"/>
                <w:lang w:eastAsia="en-GB"/>
              </w:rPr>
            </w:pPr>
            <w:r w:rsidRPr="00CA4A10">
              <w:rPr>
                <w:rFonts w:ascii="Century Gothic" w:eastAsia="Times New Roman" w:hAnsi="Century Gothic" w:cs="Calibri"/>
                <w:b/>
                <w:bCs/>
                <w:i/>
                <w:iCs/>
                <w:color w:val="000000"/>
                <w:szCs w:val="20"/>
                <w:lang w:eastAsia="en-GB"/>
              </w:rPr>
              <w:t>Female</w:t>
            </w:r>
          </w:p>
        </w:tc>
        <w:tc>
          <w:tcPr>
            <w:tcW w:w="502" w:type="pct"/>
            <w:shd w:val="clear" w:color="auto" w:fill="auto"/>
            <w:vAlign w:val="center"/>
            <w:hideMark/>
          </w:tcPr>
          <w:p w14:paraId="734F45F9"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CI low</w:t>
            </w:r>
          </w:p>
        </w:tc>
        <w:tc>
          <w:tcPr>
            <w:tcW w:w="504" w:type="pct"/>
            <w:shd w:val="clear" w:color="auto" w:fill="auto"/>
            <w:vAlign w:val="center"/>
            <w:hideMark/>
          </w:tcPr>
          <w:p w14:paraId="433C530C"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CI up</w:t>
            </w:r>
          </w:p>
        </w:tc>
      </w:tr>
      <w:tr w:rsidR="007E0ABC" w:rsidRPr="00CA4A10" w14:paraId="34BBBBB1" w14:textId="77777777" w:rsidTr="000971F9">
        <w:trPr>
          <w:trHeight w:val="320"/>
        </w:trPr>
        <w:tc>
          <w:tcPr>
            <w:tcW w:w="835" w:type="pct"/>
            <w:vMerge w:val="restart"/>
            <w:shd w:val="clear" w:color="auto" w:fill="auto"/>
            <w:noWrap/>
            <w:vAlign w:val="center"/>
            <w:hideMark/>
          </w:tcPr>
          <w:p w14:paraId="5ECB56E2"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111</w:t>
            </w:r>
          </w:p>
        </w:tc>
        <w:tc>
          <w:tcPr>
            <w:tcW w:w="835" w:type="pct"/>
            <w:shd w:val="clear" w:color="auto" w:fill="auto"/>
            <w:noWrap/>
            <w:vAlign w:val="center"/>
            <w:hideMark/>
          </w:tcPr>
          <w:p w14:paraId="39D1148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15-19</w:t>
            </w:r>
          </w:p>
        </w:tc>
        <w:tc>
          <w:tcPr>
            <w:tcW w:w="666" w:type="pct"/>
            <w:shd w:val="clear" w:color="auto" w:fill="auto"/>
            <w:noWrap/>
            <w:vAlign w:val="center"/>
            <w:hideMark/>
          </w:tcPr>
          <w:p w14:paraId="250CBB7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0.2</w:t>
            </w:r>
          </w:p>
        </w:tc>
        <w:tc>
          <w:tcPr>
            <w:tcW w:w="574" w:type="pct"/>
            <w:shd w:val="clear" w:color="auto" w:fill="auto"/>
            <w:noWrap/>
            <w:vAlign w:val="center"/>
            <w:hideMark/>
          </w:tcPr>
          <w:p w14:paraId="7480577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-0.192</w:t>
            </w:r>
          </w:p>
        </w:tc>
        <w:tc>
          <w:tcPr>
            <w:tcW w:w="472" w:type="pct"/>
            <w:shd w:val="clear" w:color="auto" w:fill="auto"/>
            <w:noWrap/>
            <w:vAlign w:val="center"/>
            <w:hideMark/>
          </w:tcPr>
          <w:p w14:paraId="7AA9240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0.592</w:t>
            </w:r>
          </w:p>
        </w:tc>
        <w:tc>
          <w:tcPr>
            <w:tcW w:w="611" w:type="pct"/>
            <w:shd w:val="clear" w:color="auto" w:fill="auto"/>
            <w:noWrap/>
            <w:vAlign w:val="center"/>
            <w:hideMark/>
          </w:tcPr>
          <w:p w14:paraId="45D84E0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w:t>
            </w:r>
          </w:p>
        </w:tc>
        <w:tc>
          <w:tcPr>
            <w:tcW w:w="502" w:type="pct"/>
            <w:shd w:val="clear" w:color="auto" w:fill="auto"/>
            <w:noWrap/>
            <w:vAlign w:val="center"/>
            <w:hideMark/>
          </w:tcPr>
          <w:p w14:paraId="1635430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0.307</w:t>
            </w:r>
          </w:p>
        </w:tc>
        <w:tc>
          <w:tcPr>
            <w:tcW w:w="504" w:type="pct"/>
            <w:shd w:val="clear" w:color="auto" w:fill="auto"/>
            <w:noWrap/>
            <w:vAlign w:val="center"/>
            <w:hideMark/>
          </w:tcPr>
          <w:p w14:paraId="1458FBA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1.693</w:t>
            </w:r>
          </w:p>
        </w:tc>
      </w:tr>
      <w:tr w:rsidR="007E0ABC" w:rsidRPr="00CA4A10" w14:paraId="28925230" w14:textId="77777777" w:rsidTr="000971F9">
        <w:trPr>
          <w:trHeight w:val="320"/>
        </w:trPr>
        <w:tc>
          <w:tcPr>
            <w:tcW w:w="835" w:type="pct"/>
            <w:vMerge/>
            <w:vAlign w:val="center"/>
            <w:hideMark/>
          </w:tcPr>
          <w:p w14:paraId="211C56B6"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57373CB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20-24</w:t>
            </w:r>
          </w:p>
        </w:tc>
        <w:tc>
          <w:tcPr>
            <w:tcW w:w="666" w:type="pct"/>
            <w:shd w:val="clear" w:color="auto" w:fill="auto"/>
            <w:noWrap/>
            <w:vAlign w:val="center"/>
            <w:hideMark/>
          </w:tcPr>
          <w:p w14:paraId="7D200B1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w:t>
            </w:r>
          </w:p>
        </w:tc>
        <w:tc>
          <w:tcPr>
            <w:tcW w:w="574" w:type="pct"/>
            <w:shd w:val="clear" w:color="auto" w:fill="auto"/>
            <w:noWrap/>
            <w:vAlign w:val="center"/>
            <w:hideMark/>
          </w:tcPr>
          <w:p w14:paraId="51568BC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0.02</w:t>
            </w:r>
          </w:p>
        </w:tc>
        <w:tc>
          <w:tcPr>
            <w:tcW w:w="472" w:type="pct"/>
            <w:shd w:val="clear" w:color="auto" w:fill="auto"/>
            <w:noWrap/>
            <w:vAlign w:val="center"/>
            <w:hideMark/>
          </w:tcPr>
          <w:p w14:paraId="003D5F7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1.98</w:t>
            </w:r>
          </w:p>
        </w:tc>
        <w:tc>
          <w:tcPr>
            <w:tcW w:w="611" w:type="pct"/>
            <w:shd w:val="clear" w:color="auto" w:fill="auto"/>
            <w:noWrap/>
            <w:vAlign w:val="center"/>
            <w:hideMark/>
          </w:tcPr>
          <w:p w14:paraId="4D82EEC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0.688</w:t>
            </w:r>
          </w:p>
        </w:tc>
        <w:tc>
          <w:tcPr>
            <w:tcW w:w="502" w:type="pct"/>
            <w:shd w:val="clear" w:color="auto" w:fill="auto"/>
            <w:noWrap/>
            <w:vAlign w:val="center"/>
            <w:hideMark/>
          </w:tcPr>
          <w:p w14:paraId="330E3C4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0.282</w:t>
            </w:r>
          </w:p>
        </w:tc>
        <w:tc>
          <w:tcPr>
            <w:tcW w:w="504" w:type="pct"/>
            <w:shd w:val="clear" w:color="auto" w:fill="auto"/>
            <w:noWrap/>
            <w:vAlign w:val="center"/>
            <w:hideMark/>
          </w:tcPr>
          <w:p w14:paraId="442A5F2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1.094</w:t>
            </w:r>
          </w:p>
        </w:tc>
      </w:tr>
      <w:tr w:rsidR="007E0ABC" w:rsidRPr="00CA4A10" w14:paraId="4BF42FA3" w14:textId="77777777" w:rsidTr="000971F9">
        <w:trPr>
          <w:trHeight w:val="320"/>
        </w:trPr>
        <w:tc>
          <w:tcPr>
            <w:tcW w:w="835" w:type="pct"/>
            <w:vMerge/>
            <w:vAlign w:val="center"/>
            <w:hideMark/>
          </w:tcPr>
          <w:p w14:paraId="1067B330"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7551F14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25-29</w:t>
            </w:r>
          </w:p>
        </w:tc>
        <w:tc>
          <w:tcPr>
            <w:tcW w:w="666" w:type="pct"/>
            <w:shd w:val="clear" w:color="auto" w:fill="auto"/>
            <w:noWrap/>
            <w:vAlign w:val="center"/>
            <w:hideMark/>
          </w:tcPr>
          <w:p w14:paraId="63A3385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0.556</w:t>
            </w:r>
          </w:p>
        </w:tc>
        <w:tc>
          <w:tcPr>
            <w:tcW w:w="574" w:type="pct"/>
            <w:shd w:val="clear" w:color="auto" w:fill="auto"/>
            <w:noWrap/>
            <w:vAlign w:val="center"/>
            <w:hideMark/>
          </w:tcPr>
          <w:p w14:paraId="07B651E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0.069</w:t>
            </w:r>
          </w:p>
        </w:tc>
        <w:tc>
          <w:tcPr>
            <w:tcW w:w="472" w:type="pct"/>
            <w:shd w:val="clear" w:color="auto" w:fill="auto"/>
            <w:noWrap/>
            <w:vAlign w:val="center"/>
            <w:hideMark/>
          </w:tcPr>
          <w:p w14:paraId="786FF58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1.043</w:t>
            </w:r>
          </w:p>
        </w:tc>
        <w:tc>
          <w:tcPr>
            <w:tcW w:w="611" w:type="pct"/>
            <w:shd w:val="clear" w:color="auto" w:fill="auto"/>
            <w:noWrap/>
            <w:vAlign w:val="center"/>
            <w:hideMark/>
          </w:tcPr>
          <w:p w14:paraId="7A2A751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1.4</w:t>
            </w:r>
          </w:p>
        </w:tc>
        <w:tc>
          <w:tcPr>
            <w:tcW w:w="502" w:type="pct"/>
            <w:shd w:val="clear" w:color="auto" w:fill="auto"/>
            <w:noWrap/>
            <w:vAlign w:val="center"/>
            <w:hideMark/>
          </w:tcPr>
          <w:p w14:paraId="49DAA66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0.801</w:t>
            </w:r>
          </w:p>
        </w:tc>
        <w:tc>
          <w:tcPr>
            <w:tcW w:w="504" w:type="pct"/>
            <w:shd w:val="clear" w:color="auto" w:fill="auto"/>
            <w:noWrap/>
            <w:vAlign w:val="center"/>
            <w:hideMark/>
          </w:tcPr>
          <w:p w14:paraId="642DCBE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1.999</w:t>
            </w:r>
          </w:p>
        </w:tc>
      </w:tr>
      <w:tr w:rsidR="007E0ABC" w:rsidRPr="00CA4A10" w14:paraId="40FB8D58" w14:textId="77777777" w:rsidTr="000971F9">
        <w:trPr>
          <w:trHeight w:val="320"/>
        </w:trPr>
        <w:tc>
          <w:tcPr>
            <w:tcW w:w="835" w:type="pct"/>
            <w:vMerge/>
            <w:vAlign w:val="center"/>
            <w:hideMark/>
          </w:tcPr>
          <w:p w14:paraId="71D46E6F"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7D9D799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30-34</w:t>
            </w:r>
          </w:p>
        </w:tc>
        <w:tc>
          <w:tcPr>
            <w:tcW w:w="666" w:type="pct"/>
            <w:shd w:val="clear" w:color="auto" w:fill="auto"/>
            <w:noWrap/>
            <w:vAlign w:val="center"/>
            <w:hideMark/>
          </w:tcPr>
          <w:p w14:paraId="1D4E1A4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1.375</w:t>
            </w:r>
          </w:p>
        </w:tc>
        <w:tc>
          <w:tcPr>
            <w:tcW w:w="574" w:type="pct"/>
            <w:shd w:val="clear" w:color="auto" w:fill="auto"/>
            <w:noWrap/>
            <w:vAlign w:val="center"/>
            <w:hideMark/>
          </w:tcPr>
          <w:p w14:paraId="5852E4D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0.562</w:t>
            </w:r>
          </w:p>
        </w:tc>
        <w:tc>
          <w:tcPr>
            <w:tcW w:w="472" w:type="pct"/>
            <w:shd w:val="clear" w:color="auto" w:fill="auto"/>
            <w:noWrap/>
            <w:vAlign w:val="center"/>
            <w:hideMark/>
          </w:tcPr>
          <w:p w14:paraId="7F21FE2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2.188</w:t>
            </w:r>
          </w:p>
        </w:tc>
        <w:tc>
          <w:tcPr>
            <w:tcW w:w="611" w:type="pct"/>
            <w:shd w:val="clear" w:color="auto" w:fill="auto"/>
            <w:noWrap/>
            <w:vAlign w:val="center"/>
            <w:hideMark/>
          </w:tcPr>
          <w:p w14:paraId="561FBCD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0.765</w:t>
            </w:r>
          </w:p>
        </w:tc>
        <w:tc>
          <w:tcPr>
            <w:tcW w:w="502" w:type="pct"/>
            <w:shd w:val="clear" w:color="auto" w:fill="auto"/>
            <w:noWrap/>
            <w:vAlign w:val="center"/>
            <w:hideMark/>
          </w:tcPr>
          <w:p w14:paraId="1A9B5CA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0.349</w:t>
            </w:r>
          </w:p>
        </w:tc>
        <w:tc>
          <w:tcPr>
            <w:tcW w:w="504" w:type="pct"/>
            <w:shd w:val="clear" w:color="auto" w:fill="auto"/>
            <w:noWrap/>
            <w:vAlign w:val="center"/>
            <w:hideMark/>
          </w:tcPr>
          <w:p w14:paraId="553DDAB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1.181</w:t>
            </w:r>
          </w:p>
        </w:tc>
      </w:tr>
      <w:tr w:rsidR="007E0ABC" w:rsidRPr="00CA4A10" w14:paraId="41401966" w14:textId="77777777" w:rsidTr="000971F9">
        <w:trPr>
          <w:trHeight w:val="320"/>
        </w:trPr>
        <w:tc>
          <w:tcPr>
            <w:tcW w:w="835" w:type="pct"/>
            <w:vMerge/>
            <w:vAlign w:val="center"/>
            <w:hideMark/>
          </w:tcPr>
          <w:p w14:paraId="0D6A4908"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4180662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35-39</w:t>
            </w:r>
          </w:p>
        </w:tc>
        <w:tc>
          <w:tcPr>
            <w:tcW w:w="666" w:type="pct"/>
            <w:shd w:val="clear" w:color="auto" w:fill="auto"/>
            <w:noWrap/>
            <w:vAlign w:val="center"/>
            <w:hideMark/>
          </w:tcPr>
          <w:p w14:paraId="75DB295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0.364</w:t>
            </w:r>
          </w:p>
        </w:tc>
        <w:tc>
          <w:tcPr>
            <w:tcW w:w="574" w:type="pct"/>
            <w:shd w:val="clear" w:color="auto" w:fill="auto"/>
            <w:noWrap/>
            <w:vAlign w:val="center"/>
            <w:hideMark/>
          </w:tcPr>
          <w:p w14:paraId="73CD427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0.007</w:t>
            </w:r>
          </w:p>
        </w:tc>
        <w:tc>
          <w:tcPr>
            <w:tcW w:w="472" w:type="pct"/>
            <w:shd w:val="clear" w:color="auto" w:fill="auto"/>
            <w:noWrap/>
            <w:vAlign w:val="center"/>
            <w:hideMark/>
          </w:tcPr>
          <w:p w14:paraId="247BF66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0.721</w:t>
            </w:r>
          </w:p>
        </w:tc>
        <w:tc>
          <w:tcPr>
            <w:tcW w:w="611" w:type="pct"/>
            <w:shd w:val="clear" w:color="auto" w:fill="auto"/>
            <w:noWrap/>
            <w:vAlign w:val="center"/>
            <w:hideMark/>
          </w:tcPr>
          <w:p w14:paraId="42A863D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0.571</w:t>
            </w:r>
          </w:p>
        </w:tc>
        <w:tc>
          <w:tcPr>
            <w:tcW w:w="502" w:type="pct"/>
            <w:shd w:val="clear" w:color="auto" w:fill="auto"/>
            <w:noWrap/>
            <w:vAlign w:val="center"/>
            <w:hideMark/>
          </w:tcPr>
          <w:p w14:paraId="510A550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0.175</w:t>
            </w:r>
          </w:p>
        </w:tc>
        <w:tc>
          <w:tcPr>
            <w:tcW w:w="504" w:type="pct"/>
            <w:shd w:val="clear" w:color="auto" w:fill="auto"/>
            <w:noWrap/>
            <w:vAlign w:val="center"/>
            <w:hideMark/>
          </w:tcPr>
          <w:p w14:paraId="146D541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0.967</w:t>
            </w:r>
          </w:p>
        </w:tc>
      </w:tr>
      <w:tr w:rsidR="007E0ABC" w:rsidRPr="00CA4A10" w14:paraId="01620992" w14:textId="77777777" w:rsidTr="000971F9">
        <w:trPr>
          <w:trHeight w:val="320"/>
        </w:trPr>
        <w:tc>
          <w:tcPr>
            <w:tcW w:w="835" w:type="pct"/>
            <w:vMerge/>
            <w:vAlign w:val="center"/>
            <w:hideMark/>
          </w:tcPr>
          <w:p w14:paraId="531B417C"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57AC0D4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40-44</w:t>
            </w:r>
          </w:p>
        </w:tc>
        <w:tc>
          <w:tcPr>
            <w:tcW w:w="666" w:type="pct"/>
            <w:shd w:val="clear" w:color="auto" w:fill="auto"/>
            <w:noWrap/>
            <w:vAlign w:val="center"/>
            <w:hideMark/>
          </w:tcPr>
          <w:p w14:paraId="7E8772A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0.667</w:t>
            </w:r>
          </w:p>
        </w:tc>
        <w:tc>
          <w:tcPr>
            <w:tcW w:w="574" w:type="pct"/>
            <w:shd w:val="clear" w:color="auto" w:fill="auto"/>
            <w:noWrap/>
            <w:vAlign w:val="center"/>
            <w:hideMark/>
          </w:tcPr>
          <w:p w14:paraId="2D47550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0.133</w:t>
            </w:r>
          </w:p>
        </w:tc>
        <w:tc>
          <w:tcPr>
            <w:tcW w:w="472" w:type="pct"/>
            <w:shd w:val="clear" w:color="auto" w:fill="auto"/>
            <w:noWrap/>
            <w:vAlign w:val="center"/>
            <w:hideMark/>
          </w:tcPr>
          <w:p w14:paraId="2495C2E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1.201</w:t>
            </w:r>
          </w:p>
        </w:tc>
        <w:tc>
          <w:tcPr>
            <w:tcW w:w="611" w:type="pct"/>
            <w:shd w:val="clear" w:color="auto" w:fill="auto"/>
            <w:noWrap/>
            <w:vAlign w:val="center"/>
            <w:hideMark/>
          </w:tcPr>
          <w:p w14:paraId="2062540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0.45</w:t>
            </w:r>
          </w:p>
        </w:tc>
        <w:tc>
          <w:tcPr>
            <w:tcW w:w="502" w:type="pct"/>
            <w:shd w:val="clear" w:color="auto" w:fill="auto"/>
            <w:noWrap/>
            <w:vAlign w:val="center"/>
            <w:hideMark/>
          </w:tcPr>
          <w:p w14:paraId="773EA16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0.156</w:t>
            </w:r>
          </w:p>
        </w:tc>
        <w:tc>
          <w:tcPr>
            <w:tcW w:w="504" w:type="pct"/>
            <w:shd w:val="clear" w:color="auto" w:fill="auto"/>
            <w:noWrap/>
            <w:vAlign w:val="center"/>
            <w:hideMark/>
          </w:tcPr>
          <w:p w14:paraId="38C1E45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0.744</w:t>
            </w:r>
          </w:p>
        </w:tc>
      </w:tr>
      <w:tr w:rsidR="007E0ABC" w:rsidRPr="00CA4A10" w14:paraId="66E816A5" w14:textId="77777777" w:rsidTr="000971F9">
        <w:trPr>
          <w:trHeight w:val="320"/>
        </w:trPr>
        <w:tc>
          <w:tcPr>
            <w:tcW w:w="835" w:type="pct"/>
            <w:vMerge/>
            <w:vAlign w:val="center"/>
            <w:hideMark/>
          </w:tcPr>
          <w:p w14:paraId="2915D459"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4580178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45-49</w:t>
            </w:r>
          </w:p>
        </w:tc>
        <w:tc>
          <w:tcPr>
            <w:tcW w:w="666" w:type="pct"/>
            <w:shd w:val="clear" w:color="auto" w:fill="auto"/>
            <w:noWrap/>
            <w:vAlign w:val="center"/>
            <w:hideMark/>
          </w:tcPr>
          <w:p w14:paraId="5E144A8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0.615</w:t>
            </w:r>
          </w:p>
        </w:tc>
        <w:tc>
          <w:tcPr>
            <w:tcW w:w="574" w:type="pct"/>
            <w:shd w:val="clear" w:color="auto" w:fill="auto"/>
            <w:noWrap/>
            <w:vAlign w:val="center"/>
            <w:hideMark/>
          </w:tcPr>
          <w:p w14:paraId="4B7D394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0.189</w:t>
            </w:r>
          </w:p>
        </w:tc>
        <w:tc>
          <w:tcPr>
            <w:tcW w:w="472" w:type="pct"/>
            <w:shd w:val="clear" w:color="auto" w:fill="auto"/>
            <w:noWrap/>
            <w:vAlign w:val="center"/>
            <w:hideMark/>
          </w:tcPr>
          <w:p w14:paraId="1E0C014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1.041</w:t>
            </w:r>
          </w:p>
        </w:tc>
        <w:tc>
          <w:tcPr>
            <w:tcW w:w="611" w:type="pct"/>
            <w:shd w:val="clear" w:color="auto" w:fill="auto"/>
            <w:noWrap/>
            <w:vAlign w:val="center"/>
            <w:hideMark/>
          </w:tcPr>
          <w:p w14:paraId="4D9A1DD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1.154</w:t>
            </w:r>
          </w:p>
        </w:tc>
        <w:tc>
          <w:tcPr>
            <w:tcW w:w="502" w:type="pct"/>
            <w:shd w:val="clear" w:color="auto" w:fill="auto"/>
            <w:noWrap/>
            <w:vAlign w:val="center"/>
            <w:hideMark/>
          </w:tcPr>
          <w:p w14:paraId="2C77B68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0.57</w:t>
            </w:r>
          </w:p>
        </w:tc>
        <w:tc>
          <w:tcPr>
            <w:tcW w:w="504" w:type="pct"/>
            <w:shd w:val="clear" w:color="auto" w:fill="auto"/>
            <w:noWrap/>
            <w:vAlign w:val="center"/>
            <w:hideMark/>
          </w:tcPr>
          <w:p w14:paraId="07A1D7F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1.738</w:t>
            </w:r>
          </w:p>
        </w:tc>
      </w:tr>
      <w:tr w:rsidR="007E0ABC" w:rsidRPr="00CA4A10" w14:paraId="67016D54" w14:textId="77777777" w:rsidTr="000971F9">
        <w:trPr>
          <w:trHeight w:val="320"/>
        </w:trPr>
        <w:tc>
          <w:tcPr>
            <w:tcW w:w="835" w:type="pct"/>
            <w:vMerge/>
            <w:vAlign w:val="center"/>
            <w:hideMark/>
          </w:tcPr>
          <w:p w14:paraId="70B99CF1"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1BC6C41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50-54</w:t>
            </w:r>
          </w:p>
        </w:tc>
        <w:tc>
          <w:tcPr>
            <w:tcW w:w="666" w:type="pct"/>
            <w:shd w:val="clear" w:color="auto" w:fill="auto"/>
            <w:noWrap/>
            <w:vAlign w:val="center"/>
            <w:hideMark/>
          </w:tcPr>
          <w:p w14:paraId="335C4CB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0.333</w:t>
            </w:r>
          </w:p>
        </w:tc>
        <w:tc>
          <w:tcPr>
            <w:tcW w:w="574" w:type="pct"/>
            <w:shd w:val="clear" w:color="auto" w:fill="auto"/>
            <w:noWrap/>
            <w:vAlign w:val="center"/>
            <w:hideMark/>
          </w:tcPr>
          <w:p w14:paraId="76F6E29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-0.129</w:t>
            </w:r>
          </w:p>
        </w:tc>
        <w:tc>
          <w:tcPr>
            <w:tcW w:w="472" w:type="pct"/>
            <w:shd w:val="clear" w:color="auto" w:fill="auto"/>
            <w:noWrap/>
            <w:vAlign w:val="center"/>
            <w:hideMark/>
          </w:tcPr>
          <w:p w14:paraId="785F8ED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0.795</w:t>
            </w:r>
          </w:p>
        </w:tc>
        <w:tc>
          <w:tcPr>
            <w:tcW w:w="611" w:type="pct"/>
            <w:shd w:val="clear" w:color="auto" w:fill="auto"/>
            <w:noWrap/>
            <w:vAlign w:val="center"/>
            <w:hideMark/>
          </w:tcPr>
          <w:p w14:paraId="04F80C8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0.312</w:t>
            </w:r>
          </w:p>
        </w:tc>
        <w:tc>
          <w:tcPr>
            <w:tcW w:w="502" w:type="pct"/>
            <w:shd w:val="clear" w:color="auto" w:fill="auto"/>
            <w:noWrap/>
            <w:vAlign w:val="center"/>
            <w:hideMark/>
          </w:tcPr>
          <w:p w14:paraId="3B04531B"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0.038</w:t>
            </w:r>
          </w:p>
        </w:tc>
        <w:tc>
          <w:tcPr>
            <w:tcW w:w="504" w:type="pct"/>
            <w:shd w:val="clear" w:color="auto" w:fill="auto"/>
            <w:noWrap/>
            <w:vAlign w:val="center"/>
            <w:hideMark/>
          </w:tcPr>
          <w:p w14:paraId="2FF50D0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0.586</w:t>
            </w:r>
          </w:p>
        </w:tc>
      </w:tr>
      <w:tr w:rsidR="007E0ABC" w:rsidRPr="00CA4A10" w14:paraId="1A58A153" w14:textId="77777777" w:rsidTr="000971F9">
        <w:trPr>
          <w:trHeight w:val="320"/>
        </w:trPr>
        <w:tc>
          <w:tcPr>
            <w:tcW w:w="835" w:type="pct"/>
            <w:vMerge/>
            <w:vAlign w:val="center"/>
            <w:hideMark/>
          </w:tcPr>
          <w:p w14:paraId="3CCC1AAA"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7D27BBD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55-59</w:t>
            </w:r>
          </w:p>
        </w:tc>
        <w:tc>
          <w:tcPr>
            <w:tcW w:w="666" w:type="pct"/>
            <w:shd w:val="clear" w:color="auto" w:fill="auto"/>
            <w:noWrap/>
            <w:vAlign w:val="center"/>
            <w:hideMark/>
          </w:tcPr>
          <w:p w14:paraId="785EA11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0.167</w:t>
            </w:r>
          </w:p>
        </w:tc>
        <w:tc>
          <w:tcPr>
            <w:tcW w:w="574" w:type="pct"/>
            <w:shd w:val="clear" w:color="auto" w:fill="auto"/>
            <w:noWrap/>
            <w:vAlign w:val="center"/>
            <w:hideMark/>
          </w:tcPr>
          <w:p w14:paraId="6155E13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-0.16</w:t>
            </w:r>
          </w:p>
        </w:tc>
        <w:tc>
          <w:tcPr>
            <w:tcW w:w="472" w:type="pct"/>
            <w:shd w:val="clear" w:color="auto" w:fill="auto"/>
            <w:noWrap/>
            <w:vAlign w:val="center"/>
            <w:hideMark/>
          </w:tcPr>
          <w:p w14:paraId="36ADE54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0.494</w:t>
            </w:r>
          </w:p>
        </w:tc>
        <w:tc>
          <w:tcPr>
            <w:tcW w:w="611" w:type="pct"/>
            <w:shd w:val="clear" w:color="auto" w:fill="auto"/>
            <w:noWrap/>
            <w:vAlign w:val="center"/>
            <w:hideMark/>
          </w:tcPr>
          <w:p w14:paraId="4842B18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0.364</w:t>
            </w:r>
          </w:p>
        </w:tc>
        <w:tc>
          <w:tcPr>
            <w:tcW w:w="502" w:type="pct"/>
            <w:shd w:val="clear" w:color="auto" w:fill="auto"/>
            <w:noWrap/>
            <w:vAlign w:val="center"/>
            <w:hideMark/>
          </w:tcPr>
          <w:p w14:paraId="41A0AFB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0.007</w:t>
            </w:r>
          </w:p>
        </w:tc>
        <w:tc>
          <w:tcPr>
            <w:tcW w:w="504" w:type="pct"/>
            <w:shd w:val="clear" w:color="auto" w:fill="auto"/>
            <w:noWrap/>
            <w:vAlign w:val="center"/>
            <w:hideMark/>
          </w:tcPr>
          <w:p w14:paraId="4C81604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0.721</w:t>
            </w:r>
          </w:p>
        </w:tc>
      </w:tr>
      <w:tr w:rsidR="007E0ABC" w:rsidRPr="00CA4A10" w14:paraId="47390C50" w14:textId="77777777" w:rsidTr="000971F9">
        <w:trPr>
          <w:trHeight w:val="320"/>
        </w:trPr>
        <w:tc>
          <w:tcPr>
            <w:tcW w:w="835" w:type="pct"/>
            <w:vMerge/>
            <w:vAlign w:val="center"/>
            <w:hideMark/>
          </w:tcPr>
          <w:p w14:paraId="5531B2D6"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6EA692BB"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60-64</w:t>
            </w:r>
          </w:p>
        </w:tc>
        <w:tc>
          <w:tcPr>
            <w:tcW w:w="666" w:type="pct"/>
            <w:shd w:val="clear" w:color="auto" w:fill="auto"/>
            <w:noWrap/>
            <w:vAlign w:val="center"/>
            <w:hideMark/>
          </w:tcPr>
          <w:p w14:paraId="07580BB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w:t>
            </w:r>
          </w:p>
        </w:tc>
        <w:tc>
          <w:tcPr>
            <w:tcW w:w="574" w:type="pct"/>
            <w:shd w:val="clear" w:color="auto" w:fill="auto"/>
            <w:noWrap/>
            <w:vAlign w:val="center"/>
            <w:hideMark/>
          </w:tcPr>
          <w:p w14:paraId="57C6480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-0.193</w:t>
            </w:r>
          </w:p>
        </w:tc>
        <w:tc>
          <w:tcPr>
            <w:tcW w:w="472" w:type="pct"/>
            <w:shd w:val="clear" w:color="auto" w:fill="auto"/>
            <w:noWrap/>
            <w:vAlign w:val="center"/>
            <w:hideMark/>
          </w:tcPr>
          <w:p w14:paraId="6CC5A7C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1.193</w:t>
            </w:r>
          </w:p>
        </w:tc>
        <w:tc>
          <w:tcPr>
            <w:tcW w:w="611" w:type="pct"/>
            <w:shd w:val="clear" w:color="auto" w:fill="auto"/>
            <w:noWrap/>
            <w:vAlign w:val="center"/>
            <w:hideMark/>
          </w:tcPr>
          <w:p w14:paraId="75C3685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0.8</w:t>
            </w:r>
          </w:p>
        </w:tc>
        <w:tc>
          <w:tcPr>
            <w:tcW w:w="502" w:type="pct"/>
            <w:shd w:val="clear" w:color="auto" w:fill="auto"/>
            <w:noWrap/>
            <w:vAlign w:val="center"/>
            <w:hideMark/>
          </w:tcPr>
          <w:p w14:paraId="6485ED9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0.016</w:t>
            </w:r>
          </w:p>
        </w:tc>
        <w:tc>
          <w:tcPr>
            <w:tcW w:w="504" w:type="pct"/>
            <w:shd w:val="clear" w:color="auto" w:fill="auto"/>
            <w:noWrap/>
            <w:vAlign w:val="center"/>
            <w:hideMark/>
          </w:tcPr>
          <w:p w14:paraId="00F80DE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1.584</w:t>
            </w:r>
          </w:p>
        </w:tc>
      </w:tr>
      <w:tr w:rsidR="007E0ABC" w:rsidRPr="00CA4A10" w14:paraId="01B1F945" w14:textId="77777777" w:rsidTr="000971F9">
        <w:trPr>
          <w:trHeight w:val="320"/>
        </w:trPr>
        <w:tc>
          <w:tcPr>
            <w:tcW w:w="835" w:type="pct"/>
            <w:vMerge/>
            <w:vAlign w:val="center"/>
            <w:hideMark/>
          </w:tcPr>
          <w:p w14:paraId="729A2CE8"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1FB9AF6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65-69</w:t>
            </w:r>
          </w:p>
        </w:tc>
        <w:tc>
          <w:tcPr>
            <w:tcW w:w="666" w:type="pct"/>
            <w:shd w:val="clear" w:color="auto" w:fill="auto"/>
            <w:noWrap/>
            <w:vAlign w:val="center"/>
            <w:hideMark/>
          </w:tcPr>
          <w:p w14:paraId="318AC44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w:t>
            </w:r>
          </w:p>
        </w:tc>
        <w:tc>
          <w:tcPr>
            <w:tcW w:w="574" w:type="pct"/>
            <w:shd w:val="clear" w:color="auto" w:fill="auto"/>
            <w:noWrap/>
            <w:vAlign w:val="center"/>
            <w:hideMark/>
          </w:tcPr>
          <w:p w14:paraId="3398CB0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-0.96</w:t>
            </w:r>
          </w:p>
        </w:tc>
        <w:tc>
          <w:tcPr>
            <w:tcW w:w="472" w:type="pct"/>
            <w:shd w:val="clear" w:color="auto" w:fill="auto"/>
            <w:noWrap/>
            <w:vAlign w:val="center"/>
            <w:hideMark/>
          </w:tcPr>
          <w:p w14:paraId="07B1D9B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2.96</w:t>
            </w:r>
          </w:p>
        </w:tc>
        <w:tc>
          <w:tcPr>
            <w:tcW w:w="611" w:type="pct"/>
            <w:shd w:val="clear" w:color="auto" w:fill="auto"/>
            <w:noWrap/>
            <w:vAlign w:val="center"/>
            <w:hideMark/>
          </w:tcPr>
          <w:p w14:paraId="4CF8D80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502" w:type="pct"/>
            <w:shd w:val="clear" w:color="auto" w:fill="auto"/>
            <w:noWrap/>
            <w:vAlign w:val="center"/>
            <w:hideMark/>
          </w:tcPr>
          <w:p w14:paraId="0183788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504" w:type="pct"/>
            <w:shd w:val="clear" w:color="auto" w:fill="auto"/>
            <w:noWrap/>
            <w:vAlign w:val="center"/>
            <w:hideMark/>
          </w:tcPr>
          <w:p w14:paraId="2BB2B40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r>
      <w:tr w:rsidR="007E0ABC" w:rsidRPr="00CA4A10" w14:paraId="5B4B6EF9" w14:textId="77777777" w:rsidTr="000971F9">
        <w:trPr>
          <w:trHeight w:val="320"/>
        </w:trPr>
        <w:tc>
          <w:tcPr>
            <w:tcW w:w="835" w:type="pct"/>
            <w:vMerge/>
            <w:vAlign w:val="center"/>
            <w:hideMark/>
          </w:tcPr>
          <w:p w14:paraId="23B480EE"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5EC2F6C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70-74</w:t>
            </w:r>
          </w:p>
        </w:tc>
        <w:tc>
          <w:tcPr>
            <w:tcW w:w="666" w:type="pct"/>
            <w:shd w:val="clear" w:color="auto" w:fill="auto"/>
            <w:noWrap/>
            <w:vAlign w:val="center"/>
            <w:hideMark/>
          </w:tcPr>
          <w:p w14:paraId="78820DF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w:t>
            </w:r>
          </w:p>
        </w:tc>
        <w:tc>
          <w:tcPr>
            <w:tcW w:w="574" w:type="pct"/>
            <w:shd w:val="clear" w:color="auto" w:fill="auto"/>
            <w:noWrap/>
            <w:vAlign w:val="center"/>
            <w:hideMark/>
          </w:tcPr>
          <w:p w14:paraId="305F956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-0.772</w:t>
            </w:r>
          </w:p>
        </w:tc>
        <w:tc>
          <w:tcPr>
            <w:tcW w:w="472" w:type="pct"/>
            <w:shd w:val="clear" w:color="auto" w:fill="auto"/>
            <w:noWrap/>
            <w:vAlign w:val="center"/>
            <w:hideMark/>
          </w:tcPr>
          <w:p w14:paraId="5DF358D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4.772</w:t>
            </w:r>
          </w:p>
        </w:tc>
        <w:tc>
          <w:tcPr>
            <w:tcW w:w="611" w:type="pct"/>
            <w:shd w:val="clear" w:color="auto" w:fill="auto"/>
            <w:noWrap/>
            <w:vAlign w:val="center"/>
            <w:hideMark/>
          </w:tcPr>
          <w:p w14:paraId="5BA555A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w:t>
            </w:r>
          </w:p>
        </w:tc>
        <w:tc>
          <w:tcPr>
            <w:tcW w:w="502" w:type="pct"/>
            <w:shd w:val="clear" w:color="auto" w:fill="auto"/>
            <w:noWrap/>
            <w:vAlign w:val="center"/>
            <w:hideMark/>
          </w:tcPr>
          <w:p w14:paraId="70D3BE0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-0.386</w:t>
            </w:r>
          </w:p>
        </w:tc>
        <w:tc>
          <w:tcPr>
            <w:tcW w:w="504" w:type="pct"/>
            <w:shd w:val="clear" w:color="auto" w:fill="auto"/>
            <w:noWrap/>
            <w:vAlign w:val="center"/>
            <w:hideMark/>
          </w:tcPr>
          <w:p w14:paraId="062F2FD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2.386</w:t>
            </w:r>
          </w:p>
        </w:tc>
      </w:tr>
      <w:tr w:rsidR="007E0ABC" w:rsidRPr="00CA4A10" w14:paraId="498FC8A1" w14:textId="77777777" w:rsidTr="000971F9">
        <w:trPr>
          <w:trHeight w:val="320"/>
        </w:trPr>
        <w:tc>
          <w:tcPr>
            <w:tcW w:w="835" w:type="pct"/>
            <w:vMerge w:val="restart"/>
            <w:shd w:val="clear" w:color="auto" w:fill="auto"/>
            <w:noWrap/>
            <w:vAlign w:val="center"/>
            <w:hideMark/>
          </w:tcPr>
          <w:p w14:paraId="77ED29CF"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AMB</w:t>
            </w:r>
          </w:p>
        </w:tc>
        <w:tc>
          <w:tcPr>
            <w:tcW w:w="835" w:type="pct"/>
            <w:shd w:val="clear" w:color="auto" w:fill="auto"/>
            <w:noWrap/>
            <w:vAlign w:val="center"/>
            <w:hideMark/>
          </w:tcPr>
          <w:p w14:paraId="6069E4DB"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15-19</w:t>
            </w:r>
          </w:p>
        </w:tc>
        <w:tc>
          <w:tcPr>
            <w:tcW w:w="666" w:type="pct"/>
            <w:shd w:val="clear" w:color="auto" w:fill="auto"/>
            <w:noWrap/>
            <w:vAlign w:val="center"/>
            <w:hideMark/>
          </w:tcPr>
          <w:p w14:paraId="597D8CB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0.8</w:t>
            </w:r>
          </w:p>
        </w:tc>
        <w:tc>
          <w:tcPr>
            <w:tcW w:w="574" w:type="pct"/>
            <w:shd w:val="clear" w:color="auto" w:fill="auto"/>
            <w:noWrap/>
            <w:vAlign w:val="center"/>
            <w:hideMark/>
          </w:tcPr>
          <w:p w14:paraId="408CE6B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0.016</w:t>
            </w:r>
          </w:p>
        </w:tc>
        <w:tc>
          <w:tcPr>
            <w:tcW w:w="472" w:type="pct"/>
            <w:shd w:val="clear" w:color="auto" w:fill="auto"/>
            <w:noWrap/>
            <w:vAlign w:val="center"/>
            <w:hideMark/>
          </w:tcPr>
          <w:p w14:paraId="787B827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1.584</w:t>
            </w:r>
          </w:p>
        </w:tc>
        <w:tc>
          <w:tcPr>
            <w:tcW w:w="611" w:type="pct"/>
            <w:shd w:val="clear" w:color="auto" w:fill="auto"/>
            <w:noWrap/>
            <w:vAlign w:val="center"/>
            <w:hideMark/>
          </w:tcPr>
          <w:p w14:paraId="354A2CB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w:t>
            </w:r>
          </w:p>
        </w:tc>
        <w:tc>
          <w:tcPr>
            <w:tcW w:w="502" w:type="pct"/>
            <w:shd w:val="clear" w:color="auto" w:fill="auto"/>
            <w:noWrap/>
            <w:vAlign w:val="center"/>
            <w:hideMark/>
          </w:tcPr>
          <w:p w14:paraId="79A11AC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0.01</w:t>
            </w:r>
          </w:p>
        </w:tc>
        <w:tc>
          <w:tcPr>
            <w:tcW w:w="504" w:type="pct"/>
            <w:shd w:val="clear" w:color="auto" w:fill="auto"/>
            <w:noWrap/>
            <w:vAlign w:val="center"/>
            <w:hideMark/>
          </w:tcPr>
          <w:p w14:paraId="348E138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0.99</w:t>
            </w:r>
          </w:p>
        </w:tc>
      </w:tr>
      <w:tr w:rsidR="007E0ABC" w:rsidRPr="00CA4A10" w14:paraId="55EA2CD8" w14:textId="77777777" w:rsidTr="000971F9">
        <w:trPr>
          <w:trHeight w:val="320"/>
        </w:trPr>
        <w:tc>
          <w:tcPr>
            <w:tcW w:w="835" w:type="pct"/>
            <w:vMerge/>
            <w:vAlign w:val="center"/>
            <w:hideMark/>
          </w:tcPr>
          <w:p w14:paraId="2C10B73C"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18523E1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20-24</w:t>
            </w:r>
          </w:p>
        </w:tc>
        <w:tc>
          <w:tcPr>
            <w:tcW w:w="666" w:type="pct"/>
            <w:shd w:val="clear" w:color="auto" w:fill="auto"/>
            <w:noWrap/>
            <w:vAlign w:val="center"/>
            <w:hideMark/>
          </w:tcPr>
          <w:p w14:paraId="26256C5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574" w:type="pct"/>
            <w:shd w:val="clear" w:color="auto" w:fill="auto"/>
            <w:noWrap/>
            <w:vAlign w:val="center"/>
            <w:hideMark/>
          </w:tcPr>
          <w:p w14:paraId="04B96FD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472" w:type="pct"/>
            <w:shd w:val="clear" w:color="auto" w:fill="auto"/>
            <w:noWrap/>
            <w:vAlign w:val="center"/>
            <w:hideMark/>
          </w:tcPr>
          <w:p w14:paraId="5903593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611" w:type="pct"/>
            <w:shd w:val="clear" w:color="auto" w:fill="auto"/>
            <w:noWrap/>
            <w:vAlign w:val="center"/>
            <w:hideMark/>
          </w:tcPr>
          <w:p w14:paraId="7082D7A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0.625</w:t>
            </w:r>
          </w:p>
        </w:tc>
        <w:tc>
          <w:tcPr>
            <w:tcW w:w="502" w:type="pct"/>
            <w:shd w:val="clear" w:color="auto" w:fill="auto"/>
            <w:noWrap/>
            <w:vAlign w:val="center"/>
            <w:hideMark/>
          </w:tcPr>
          <w:p w14:paraId="66988D8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0.238</w:t>
            </w:r>
          </w:p>
        </w:tc>
        <w:tc>
          <w:tcPr>
            <w:tcW w:w="504" w:type="pct"/>
            <w:shd w:val="clear" w:color="auto" w:fill="auto"/>
            <w:noWrap/>
            <w:vAlign w:val="center"/>
            <w:hideMark/>
          </w:tcPr>
          <w:p w14:paraId="057ADFD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1.012</w:t>
            </w:r>
          </w:p>
        </w:tc>
      </w:tr>
      <w:tr w:rsidR="007E0ABC" w:rsidRPr="00CA4A10" w14:paraId="4DF05AB3" w14:textId="77777777" w:rsidTr="000971F9">
        <w:trPr>
          <w:trHeight w:val="320"/>
        </w:trPr>
        <w:tc>
          <w:tcPr>
            <w:tcW w:w="835" w:type="pct"/>
            <w:vMerge/>
            <w:vAlign w:val="center"/>
            <w:hideMark/>
          </w:tcPr>
          <w:p w14:paraId="13C75055"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60619C0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25-29</w:t>
            </w:r>
          </w:p>
        </w:tc>
        <w:tc>
          <w:tcPr>
            <w:tcW w:w="666" w:type="pct"/>
            <w:shd w:val="clear" w:color="auto" w:fill="auto"/>
            <w:noWrap/>
            <w:vAlign w:val="center"/>
            <w:hideMark/>
          </w:tcPr>
          <w:p w14:paraId="1BAAA50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0.333</w:t>
            </w:r>
          </w:p>
        </w:tc>
        <w:tc>
          <w:tcPr>
            <w:tcW w:w="574" w:type="pct"/>
            <w:shd w:val="clear" w:color="auto" w:fill="auto"/>
            <w:noWrap/>
            <w:vAlign w:val="center"/>
            <w:hideMark/>
          </w:tcPr>
          <w:p w14:paraId="7C8924F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-0.044</w:t>
            </w:r>
          </w:p>
        </w:tc>
        <w:tc>
          <w:tcPr>
            <w:tcW w:w="472" w:type="pct"/>
            <w:shd w:val="clear" w:color="auto" w:fill="auto"/>
            <w:noWrap/>
            <w:vAlign w:val="center"/>
            <w:hideMark/>
          </w:tcPr>
          <w:p w14:paraId="345C703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0.71</w:t>
            </w:r>
          </w:p>
        </w:tc>
        <w:tc>
          <w:tcPr>
            <w:tcW w:w="611" w:type="pct"/>
            <w:shd w:val="clear" w:color="auto" w:fill="auto"/>
            <w:noWrap/>
            <w:vAlign w:val="center"/>
            <w:hideMark/>
          </w:tcPr>
          <w:p w14:paraId="5949253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w:t>
            </w:r>
          </w:p>
        </w:tc>
        <w:tc>
          <w:tcPr>
            <w:tcW w:w="502" w:type="pct"/>
            <w:shd w:val="clear" w:color="auto" w:fill="auto"/>
            <w:noWrap/>
            <w:vAlign w:val="center"/>
            <w:hideMark/>
          </w:tcPr>
          <w:p w14:paraId="6625ED9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0.494</w:t>
            </w:r>
          </w:p>
        </w:tc>
        <w:tc>
          <w:tcPr>
            <w:tcW w:w="504" w:type="pct"/>
            <w:shd w:val="clear" w:color="auto" w:fill="auto"/>
            <w:noWrap/>
            <w:vAlign w:val="center"/>
            <w:hideMark/>
          </w:tcPr>
          <w:p w14:paraId="5818E40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1.506</w:t>
            </w:r>
          </w:p>
        </w:tc>
      </w:tr>
      <w:tr w:rsidR="007E0ABC" w:rsidRPr="00CA4A10" w14:paraId="699E8B93" w14:textId="77777777" w:rsidTr="000971F9">
        <w:trPr>
          <w:trHeight w:val="320"/>
        </w:trPr>
        <w:tc>
          <w:tcPr>
            <w:tcW w:w="835" w:type="pct"/>
            <w:vMerge/>
            <w:vAlign w:val="center"/>
            <w:hideMark/>
          </w:tcPr>
          <w:p w14:paraId="18D4586D"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2551077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30-34</w:t>
            </w:r>
          </w:p>
        </w:tc>
        <w:tc>
          <w:tcPr>
            <w:tcW w:w="666" w:type="pct"/>
            <w:shd w:val="clear" w:color="auto" w:fill="auto"/>
            <w:noWrap/>
            <w:vAlign w:val="center"/>
            <w:hideMark/>
          </w:tcPr>
          <w:p w14:paraId="30975C9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0.875</w:t>
            </w:r>
          </w:p>
        </w:tc>
        <w:tc>
          <w:tcPr>
            <w:tcW w:w="574" w:type="pct"/>
            <w:shd w:val="clear" w:color="auto" w:fill="auto"/>
            <w:noWrap/>
            <w:vAlign w:val="center"/>
            <w:hideMark/>
          </w:tcPr>
          <w:p w14:paraId="39C7948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0.227</w:t>
            </w:r>
          </w:p>
        </w:tc>
        <w:tc>
          <w:tcPr>
            <w:tcW w:w="472" w:type="pct"/>
            <w:shd w:val="clear" w:color="auto" w:fill="auto"/>
            <w:noWrap/>
            <w:vAlign w:val="center"/>
            <w:hideMark/>
          </w:tcPr>
          <w:p w14:paraId="3898BA3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1.523</w:t>
            </w:r>
          </w:p>
        </w:tc>
        <w:tc>
          <w:tcPr>
            <w:tcW w:w="611" w:type="pct"/>
            <w:shd w:val="clear" w:color="auto" w:fill="auto"/>
            <w:noWrap/>
            <w:vAlign w:val="center"/>
            <w:hideMark/>
          </w:tcPr>
          <w:p w14:paraId="562C569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0.706</w:t>
            </w:r>
          </w:p>
        </w:tc>
        <w:tc>
          <w:tcPr>
            <w:tcW w:w="502" w:type="pct"/>
            <w:shd w:val="clear" w:color="auto" w:fill="auto"/>
            <w:noWrap/>
            <w:vAlign w:val="center"/>
            <w:hideMark/>
          </w:tcPr>
          <w:p w14:paraId="7E021EA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0.307</w:t>
            </w:r>
          </w:p>
        </w:tc>
        <w:tc>
          <w:tcPr>
            <w:tcW w:w="504" w:type="pct"/>
            <w:shd w:val="clear" w:color="auto" w:fill="auto"/>
            <w:noWrap/>
            <w:vAlign w:val="center"/>
            <w:hideMark/>
          </w:tcPr>
          <w:p w14:paraId="325E603B"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1.105</w:t>
            </w:r>
          </w:p>
        </w:tc>
      </w:tr>
      <w:tr w:rsidR="007E0ABC" w:rsidRPr="00CA4A10" w14:paraId="5CB05C26" w14:textId="77777777" w:rsidTr="000971F9">
        <w:trPr>
          <w:trHeight w:val="320"/>
        </w:trPr>
        <w:tc>
          <w:tcPr>
            <w:tcW w:w="835" w:type="pct"/>
            <w:vMerge/>
            <w:vAlign w:val="center"/>
            <w:hideMark/>
          </w:tcPr>
          <w:p w14:paraId="025D85EF"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58E7DB2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35-39</w:t>
            </w:r>
          </w:p>
        </w:tc>
        <w:tc>
          <w:tcPr>
            <w:tcW w:w="666" w:type="pct"/>
            <w:shd w:val="clear" w:color="auto" w:fill="auto"/>
            <w:noWrap/>
            <w:vAlign w:val="center"/>
            <w:hideMark/>
          </w:tcPr>
          <w:p w14:paraId="51CEF28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0.455</w:t>
            </w:r>
          </w:p>
        </w:tc>
        <w:tc>
          <w:tcPr>
            <w:tcW w:w="574" w:type="pct"/>
            <w:shd w:val="clear" w:color="auto" w:fill="auto"/>
            <w:noWrap/>
            <w:vAlign w:val="center"/>
            <w:hideMark/>
          </w:tcPr>
          <w:p w14:paraId="0B3C39C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0.056</w:t>
            </w:r>
          </w:p>
        </w:tc>
        <w:tc>
          <w:tcPr>
            <w:tcW w:w="472" w:type="pct"/>
            <w:shd w:val="clear" w:color="auto" w:fill="auto"/>
            <w:noWrap/>
            <w:vAlign w:val="center"/>
            <w:hideMark/>
          </w:tcPr>
          <w:p w14:paraId="2082763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0.854</w:t>
            </w:r>
          </w:p>
        </w:tc>
        <w:tc>
          <w:tcPr>
            <w:tcW w:w="611" w:type="pct"/>
            <w:shd w:val="clear" w:color="auto" w:fill="auto"/>
            <w:noWrap/>
            <w:vAlign w:val="center"/>
            <w:hideMark/>
          </w:tcPr>
          <w:p w14:paraId="47FE08C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w:t>
            </w:r>
          </w:p>
        </w:tc>
        <w:tc>
          <w:tcPr>
            <w:tcW w:w="502" w:type="pct"/>
            <w:shd w:val="clear" w:color="auto" w:fill="auto"/>
            <w:noWrap/>
            <w:vAlign w:val="center"/>
            <w:hideMark/>
          </w:tcPr>
          <w:p w14:paraId="77A38A3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0.13</w:t>
            </w:r>
          </w:p>
        </w:tc>
        <w:tc>
          <w:tcPr>
            <w:tcW w:w="504" w:type="pct"/>
            <w:shd w:val="clear" w:color="auto" w:fill="auto"/>
            <w:noWrap/>
            <w:vAlign w:val="center"/>
            <w:hideMark/>
          </w:tcPr>
          <w:p w14:paraId="57FB3F1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0.87</w:t>
            </w:r>
          </w:p>
        </w:tc>
      </w:tr>
      <w:tr w:rsidR="007E0ABC" w:rsidRPr="00CA4A10" w14:paraId="7D99E145" w14:textId="77777777" w:rsidTr="000971F9">
        <w:trPr>
          <w:trHeight w:val="360"/>
        </w:trPr>
        <w:tc>
          <w:tcPr>
            <w:tcW w:w="835" w:type="pct"/>
            <w:vMerge/>
            <w:vAlign w:val="center"/>
            <w:hideMark/>
          </w:tcPr>
          <w:p w14:paraId="74CC153D"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5457B38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40-44</w:t>
            </w:r>
          </w:p>
        </w:tc>
        <w:tc>
          <w:tcPr>
            <w:tcW w:w="666" w:type="pct"/>
            <w:shd w:val="clear" w:color="auto" w:fill="auto"/>
            <w:vAlign w:val="center"/>
            <w:hideMark/>
          </w:tcPr>
          <w:p w14:paraId="438F315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0.889</w:t>
            </w:r>
          </w:p>
        </w:tc>
        <w:tc>
          <w:tcPr>
            <w:tcW w:w="574" w:type="pct"/>
            <w:shd w:val="clear" w:color="auto" w:fill="auto"/>
            <w:vAlign w:val="center"/>
            <w:hideMark/>
          </w:tcPr>
          <w:p w14:paraId="676399C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0.273</w:t>
            </w:r>
          </w:p>
        </w:tc>
        <w:tc>
          <w:tcPr>
            <w:tcW w:w="472" w:type="pct"/>
            <w:shd w:val="clear" w:color="auto" w:fill="auto"/>
            <w:vAlign w:val="center"/>
            <w:hideMark/>
          </w:tcPr>
          <w:p w14:paraId="730F980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1.505</w:t>
            </w:r>
          </w:p>
        </w:tc>
        <w:tc>
          <w:tcPr>
            <w:tcW w:w="611" w:type="pct"/>
            <w:shd w:val="clear" w:color="auto" w:fill="auto"/>
            <w:vAlign w:val="center"/>
            <w:hideMark/>
          </w:tcPr>
          <w:p w14:paraId="3848F10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0.65</w:t>
            </w:r>
          </w:p>
        </w:tc>
        <w:tc>
          <w:tcPr>
            <w:tcW w:w="502" w:type="pct"/>
            <w:shd w:val="clear" w:color="auto" w:fill="auto"/>
            <w:vAlign w:val="center"/>
            <w:hideMark/>
          </w:tcPr>
          <w:p w14:paraId="61529BE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0.297</w:t>
            </w:r>
          </w:p>
        </w:tc>
        <w:tc>
          <w:tcPr>
            <w:tcW w:w="504" w:type="pct"/>
            <w:shd w:val="clear" w:color="auto" w:fill="auto"/>
            <w:vAlign w:val="center"/>
            <w:hideMark/>
          </w:tcPr>
          <w:p w14:paraId="39333C3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1.003</w:t>
            </w:r>
          </w:p>
        </w:tc>
      </w:tr>
      <w:tr w:rsidR="007E0ABC" w:rsidRPr="00CA4A10" w14:paraId="18A89FDE" w14:textId="77777777" w:rsidTr="000971F9">
        <w:trPr>
          <w:trHeight w:val="320"/>
        </w:trPr>
        <w:tc>
          <w:tcPr>
            <w:tcW w:w="835" w:type="pct"/>
            <w:vMerge/>
            <w:vAlign w:val="center"/>
            <w:hideMark/>
          </w:tcPr>
          <w:p w14:paraId="1364055C"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7F2E667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45-49</w:t>
            </w:r>
          </w:p>
        </w:tc>
        <w:tc>
          <w:tcPr>
            <w:tcW w:w="666" w:type="pct"/>
            <w:shd w:val="clear" w:color="auto" w:fill="auto"/>
            <w:noWrap/>
            <w:vAlign w:val="center"/>
            <w:hideMark/>
          </w:tcPr>
          <w:p w14:paraId="321E17C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0.385</w:t>
            </w:r>
          </w:p>
        </w:tc>
        <w:tc>
          <w:tcPr>
            <w:tcW w:w="574" w:type="pct"/>
            <w:shd w:val="clear" w:color="auto" w:fill="auto"/>
            <w:noWrap/>
            <w:vAlign w:val="center"/>
            <w:hideMark/>
          </w:tcPr>
          <w:p w14:paraId="478430B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0.048</w:t>
            </w:r>
          </w:p>
        </w:tc>
        <w:tc>
          <w:tcPr>
            <w:tcW w:w="472" w:type="pct"/>
            <w:shd w:val="clear" w:color="auto" w:fill="auto"/>
            <w:noWrap/>
            <w:vAlign w:val="center"/>
            <w:hideMark/>
          </w:tcPr>
          <w:p w14:paraId="354EF35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0.722</w:t>
            </w:r>
          </w:p>
        </w:tc>
        <w:tc>
          <w:tcPr>
            <w:tcW w:w="611" w:type="pct"/>
            <w:shd w:val="clear" w:color="auto" w:fill="auto"/>
            <w:noWrap/>
            <w:vAlign w:val="center"/>
            <w:hideMark/>
          </w:tcPr>
          <w:p w14:paraId="30DA364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0.308</w:t>
            </w:r>
          </w:p>
        </w:tc>
        <w:tc>
          <w:tcPr>
            <w:tcW w:w="502" w:type="pct"/>
            <w:shd w:val="clear" w:color="auto" w:fill="auto"/>
            <w:noWrap/>
            <w:vAlign w:val="center"/>
            <w:hideMark/>
          </w:tcPr>
          <w:p w14:paraId="3E6154A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0.006</w:t>
            </w:r>
          </w:p>
        </w:tc>
        <w:tc>
          <w:tcPr>
            <w:tcW w:w="504" w:type="pct"/>
            <w:shd w:val="clear" w:color="auto" w:fill="auto"/>
            <w:noWrap/>
            <w:vAlign w:val="center"/>
            <w:hideMark/>
          </w:tcPr>
          <w:p w14:paraId="36F9651B"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0.61</w:t>
            </w:r>
          </w:p>
        </w:tc>
      </w:tr>
      <w:tr w:rsidR="007E0ABC" w:rsidRPr="00CA4A10" w14:paraId="7B6C0268" w14:textId="77777777" w:rsidTr="000971F9">
        <w:trPr>
          <w:trHeight w:val="320"/>
        </w:trPr>
        <w:tc>
          <w:tcPr>
            <w:tcW w:w="835" w:type="pct"/>
            <w:vMerge/>
            <w:vAlign w:val="center"/>
            <w:hideMark/>
          </w:tcPr>
          <w:p w14:paraId="1809C012"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491A43C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50-54</w:t>
            </w:r>
          </w:p>
        </w:tc>
        <w:tc>
          <w:tcPr>
            <w:tcW w:w="666" w:type="pct"/>
            <w:shd w:val="clear" w:color="auto" w:fill="auto"/>
            <w:noWrap/>
            <w:vAlign w:val="center"/>
            <w:hideMark/>
          </w:tcPr>
          <w:p w14:paraId="0FA665C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w:t>
            </w:r>
          </w:p>
        </w:tc>
        <w:tc>
          <w:tcPr>
            <w:tcW w:w="574" w:type="pct"/>
            <w:shd w:val="clear" w:color="auto" w:fill="auto"/>
            <w:noWrap/>
            <w:vAlign w:val="center"/>
            <w:hideMark/>
          </w:tcPr>
          <w:p w14:paraId="7D9B909B"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-0.066</w:t>
            </w:r>
          </w:p>
        </w:tc>
        <w:tc>
          <w:tcPr>
            <w:tcW w:w="472" w:type="pct"/>
            <w:shd w:val="clear" w:color="auto" w:fill="auto"/>
            <w:noWrap/>
            <w:vAlign w:val="center"/>
            <w:hideMark/>
          </w:tcPr>
          <w:p w14:paraId="54077A2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1.066</w:t>
            </w:r>
          </w:p>
        </w:tc>
        <w:tc>
          <w:tcPr>
            <w:tcW w:w="611" w:type="pct"/>
            <w:shd w:val="clear" w:color="auto" w:fill="auto"/>
            <w:noWrap/>
            <w:vAlign w:val="center"/>
            <w:hideMark/>
          </w:tcPr>
          <w:p w14:paraId="3DE6F18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0.25</w:t>
            </w:r>
          </w:p>
        </w:tc>
        <w:tc>
          <w:tcPr>
            <w:tcW w:w="502" w:type="pct"/>
            <w:shd w:val="clear" w:color="auto" w:fill="auto"/>
            <w:noWrap/>
            <w:vAlign w:val="center"/>
            <w:hideMark/>
          </w:tcPr>
          <w:p w14:paraId="5FCCB86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0.005</w:t>
            </w:r>
          </w:p>
        </w:tc>
        <w:tc>
          <w:tcPr>
            <w:tcW w:w="504" w:type="pct"/>
            <w:shd w:val="clear" w:color="auto" w:fill="auto"/>
            <w:noWrap/>
            <w:vAlign w:val="center"/>
            <w:hideMark/>
          </w:tcPr>
          <w:p w14:paraId="4BCC65D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0.495</w:t>
            </w:r>
          </w:p>
        </w:tc>
      </w:tr>
      <w:tr w:rsidR="007E0ABC" w:rsidRPr="00CA4A10" w14:paraId="4FC02897" w14:textId="77777777" w:rsidTr="000971F9">
        <w:trPr>
          <w:trHeight w:val="320"/>
        </w:trPr>
        <w:tc>
          <w:tcPr>
            <w:tcW w:w="835" w:type="pct"/>
            <w:vMerge/>
            <w:vAlign w:val="center"/>
            <w:hideMark/>
          </w:tcPr>
          <w:p w14:paraId="79A5420B"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53E3A05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55-59</w:t>
            </w:r>
          </w:p>
        </w:tc>
        <w:tc>
          <w:tcPr>
            <w:tcW w:w="666" w:type="pct"/>
            <w:shd w:val="clear" w:color="auto" w:fill="auto"/>
            <w:noWrap/>
            <w:vAlign w:val="center"/>
            <w:hideMark/>
          </w:tcPr>
          <w:p w14:paraId="5E8B560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0.333</w:t>
            </w:r>
          </w:p>
        </w:tc>
        <w:tc>
          <w:tcPr>
            <w:tcW w:w="574" w:type="pct"/>
            <w:shd w:val="clear" w:color="auto" w:fill="auto"/>
            <w:noWrap/>
            <w:vAlign w:val="center"/>
            <w:hideMark/>
          </w:tcPr>
          <w:p w14:paraId="226FAF9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-0.129</w:t>
            </w:r>
          </w:p>
        </w:tc>
        <w:tc>
          <w:tcPr>
            <w:tcW w:w="472" w:type="pct"/>
            <w:shd w:val="clear" w:color="auto" w:fill="auto"/>
            <w:noWrap/>
            <w:vAlign w:val="center"/>
            <w:hideMark/>
          </w:tcPr>
          <w:p w14:paraId="31AF3EE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0.795</w:t>
            </w:r>
          </w:p>
        </w:tc>
        <w:tc>
          <w:tcPr>
            <w:tcW w:w="611" w:type="pct"/>
            <w:shd w:val="clear" w:color="auto" w:fill="auto"/>
            <w:noWrap/>
            <w:vAlign w:val="center"/>
            <w:hideMark/>
          </w:tcPr>
          <w:p w14:paraId="2B0C9C4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0.545</w:t>
            </w:r>
          </w:p>
        </w:tc>
        <w:tc>
          <w:tcPr>
            <w:tcW w:w="502" w:type="pct"/>
            <w:shd w:val="clear" w:color="auto" w:fill="auto"/>
            <w:noWrap/>
            <w:vAlign w:val="center"/>
            <w:hideMark/>
          </w:tcPr>
          <w:p w14:paraId="1DD4156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0.109</w:t>
            </w:r>
          </w:p>
        </w:tc>
        <w:tc>
          <w:tcPr>
            <w:tcW w:w="504" w:type="pct"/>
            <w:shd w:val="clear" w:color="auto" w:fill="auto"/>
            <w:noWrap/>
            <w:vAlign w:val="center"/>
            <w:hideMark/>
          </w:tcPr>
          <w:p w14:paraId="6C45E07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0.981</w:t>
            </w:r>
          </w:p>
        </w:tc>
      </w:tr>
      <w:tr w:rsidR="007E0ABC" w:rsidRPr="00CA4A10" w14:paraId="70F35FE6" w14:textId="77777777" w:rsidTr="000971F9">
        <w:trPr>
          <w:trHeight w:val="320"/>
        </w:trPr>
        <w:tc>
          <w:tcPr>
            <w:tcW w:w="835" w:type="pct"/>
            <w:vMerge/>
            <w:vAlign w:val="center"/>
            <w:hideMark/>
          </w:tcPr>
          <w:p w14:paraId="19E20518"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0EEA343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60-64</w:t>
            </w:r>
          </w:p>
        </w:tc>
        <w:tc>
          <w:tcPr>
            <w:tcW w:w="666" w:type="pct"/>
            <w:shd w:val="clear" w:color="auto" w:fill="auto"/>
            <w:noWrap/>
            <w:vAlign w:val="center"/>
            <w:hideMark/>
          </w:tcPr>
          <w:p w14:paraId="49E1512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w:t>
            </w:r>
          </w:p>
        </w:tc>
        <w:tc>
          <w:tcPr>
            <w:tcW w:w="574" w:type="pct"/>
            <w:shd w:val="clear" w:color="auto" w:fill="auto"/>
            <w:noWrap/>
            <w:vAlign w:val="center"/>
            <w:hideMark/>
          </w:tcPr>
          <w:p w14:paraId="63F25F9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0.02</w:t>
            </w:r>
          </w:p>
        </w:tc>
        <w:tc>
          <w:tcPr>
            <w:tcW w:w="472" w:type="pct"/>
            <w:shd w:val="clear" w:color="auto" w:fill="auto"/>
            <w:noWrap/>
            <w:vAlign w:val="center"/>
            <w:hideMark/>
          </w:tcPr>
          <w:p w14:paraId="64490BD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1.98</w:t>
            </w:r>
          </w:p>
        </w:tc>
        <w:tc>
          <w:tcPr>
            <w:tcW w:w="611" w:type="pct"/>
            <w:shd w:val="clear" w:color="auto" w:fill="auto"/>
            <w:noWrap/>
            <w:vAlign w:val="center"/>
            <w:hideMark/>
          </w:tcPr>
          <w:p w14:paraId="615788C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1.2</w:t>
            </w:r>
          </w:p>
        </w:tc>
        <w:tc>
          <w:tcPr>
            <w:tcW w:w="502" w:type="pct"/>
            <w:shd w:val="clear" w:color="auto" w:fill="auto"/>
            <w:noWrap/>
            <w:vAlign w:val="center"/>
            <w:hideMark/>
          </w:tcPr>
          <w:p w14:paraId="7627F09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0.24</w:t>
            </w:r>
          </w:p>
        </w:tc>
        <w:tc>
          <w:tcPr>
            <w:tcW w:w="504" w:type="pct"/>
            <w:shd w:val="clear" w:color="auto" w:fill="auto"/>
            <w:noWrap/>
            <w:vAlign w:val="center"/>
            <w:hideMark/>
          </w:tcPr>
          <w:p w14:paraId="7544F18B"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2.16</w:t>
            </w:r>
          </w:p>
        </w:tc>
      </w:tr>
      <w:tr w:rsidR="007E0ABC" w:rsidRPr="00CA4A10" w14:paraId="31B9B877" w14:textId="77777777" w:rsidTr="000971F9">
        <w:trPr>
          <w:trHeight w:val="320"/>
        </w:trPr>
        <w:tc>
          <w:tcPr>
            <w:tcW w:w="835" w:type="pct"/>
            <w:vMerge/>
            <w:vAlign w:val="center"/>
            <w:hideMark/>
          </w:tcPr>
          <w:p w14:paraId="43B2E4E1"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41035BF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65-69</w:t>
            </w:r>
          </w:p>
        </w:tc>
        <w:tc>
          <w:tcPr>
            <w:tcW w:w="666" w:type="pct"/>
            <w:shd w:val="clear" w:color="auto" w:fill="auto"/>
            <w:noWrap/>
            <w:vAlign w:val="center"/>
            <w:hideMark/>
          </w:tcPr>
          <w:p w14:paraId="38ECC0F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w:t>
            </w:r>
          </w:p>
        </w:tc>
        <w:tc>
          <w:tcPr>
            <w:tcW w:w="574" w:type="pct"/>
            <w:shd w:val="clear" w:color="auto" w:fill="auto"/>
            <w:noWrap/>
            <w:vAlign w:val="center"/>
            <w:hideMark/>
          </w:tcPr>
          <w:p w14:paraId="6DB4A01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-0.772</w:t>
            </w:r>
          </w:p>
        </w:tc>
        <w:tc>
          <w:tcPr>
            <w:tcW w:w="472" w:type="pct"/>
            <w:shd w:val="clear" w:color="auto" w:fill="auto"/>
            <w:noWrap/>
            <w:vAlign w:val="center"/>
            <w:hideMark/>
          </w:tcPr>
          <w:p w14:paraId="456DBD8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4.772</w:t>
            </w:r>
          </w:p>
        </w:tc>
        <w:tc>
          <w:tcPr>
            <w:tcW w:w="611" w:type="pct"/>
            <w:shd w:val="clear" w:color="auto" w:fill="auto"/>
            <w:noWrap/>
            <w:vAlign w:val="center"/>
            <w:hideMark/>
          </w:tcPr>
          <w:p w14:paraId="1E0D194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Inf</w:t>
            </w:r>
          </w:p>
        </w:tc>
        <w:tc>
          <w:tcPr>
            <w:tcW w:w="502" w:type="pct"/>
            <w:shd w:val="clear" w:color="auto" w:fill="auto"/>
            <w:noWrap/>
            <w:vAlign w:val="center"/>
            <w:hideMark/>
          </w:tcPr>
          <w:p w14:paraId="77903AFE" w14:textId="77777777" w:rsidR="007E0ABC" w:rsidRPr="00CA4A10" w:rsidRDefault="007E0ABC" w:rsidP="00AF2A65">
            <w:pPr>
              <w:jc w:val="center"/>
              <w:rPr>
                <w:rFonts w:ascii="Century Gothic" w:eastAsia="Times New Roman" w:hAnsi="Century Gothic" w:cs="Calibri"/>
                <w:color w:val="000000"/>
                <w:szCs w:val="20"/>
                <w:lang w:eastAsia="en-GB"/>
              </w:rPr>
            </w:pPr>
            <w:proofErr w:type="spellStart"/>
            <w:r w:rsidRPr="00CA4A10">
              <w:rPr>
                <w:rFonts w:ascii="Century Gothic" w:eastAsia="Times New Roman" w:hAnsi="Century Gothic" w:cs="Calibri"/>
                <w:color w:val="000000"/>
                <w:szCs w:val="20"/>
                <w:lang w:eastAsia="en-GB"/>
              </w:rPr>
              <w:t>NaN</w:t>
            </w:r>
            <w:proofErr w:type="spellEnd"/>
          </w:p>
        </w:tc>
        <w:tc>
          <w:tcPr>
            <w:tcW w:w="504" w:type="pct"/>
            <w:shd w:val="clear" w:color="auto" w:fill="auto"/>
            <w:noWrap/>
            <w:vAlign w:val="center"/>
            <w:hideMark/>
          </w:tcPr>
          <w:p w14:paraId="73341FE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Inf</w:t>
            </w:r>
          </w:p>
        </w:tc>
      </w:tr>
      <w:tr w:rsidR="007E0ABC" w:rsidRPr="00CA4A10" w14:paraId="17FC5FD9" w14:textId="77777777" w:rsidTr="000971F9">
        <w:trPr>
          <w:trHeight w:val="320"/>
        </w:trPr>
        <w:tc>
          <w:tcPr>
            <w:tcW w:w="835" w:type="pct"/>
            <w:vMerge/>
            <w:vAlign w:val="center"/>
            <w:hideMark/>
          </w:tcPr>
          <w:p w14:paraId="3CE68054"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71D5DAD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70-74</w:t>
            </w:r>
          </w:p>
        </w:tc>
        <w:tc>
          <w:tcPr>
            <w:tcW w:w="666" w:type="pct"/>
            <w:shd w:val="clear" w:color="auto" w:fill="auto"/>
            <w:noWrap/>
            <w:vAlign w:val="center"/>
            <w:hideMark/>
          </w:tcPr>
          <w:p w14:paraId="3439A9D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w:t>
            </w:r>
          </w:p>
        </w:tc>
        <w:tc>
          <w:tcPr>
            <w:tcW w:w="574" w:type="pct"/>
            <w:shd w:val="clear" w:color="auto" w:fill="auto"/>
            <w:noWrap/>
            <w:vAlign w:val="center"/>
            <w:hideMark/>
          </w:tcPr>
          <w:p w14:paraId="2335BCC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-0.96</w:t>
            </w:r>
          </w:p>
        </w:tc>
        <w:tc>
          <w:tcPr>
            <w:tcW w:w="472" w:type="pct"/>
            <w:shd w:val="clear" w:color="auto" w:fill="auto"/>
            <w:noWrap/>
            <w:vAlign w:val="center"/>
            <w:hideMark/>
          </w:tcPr>
          <w:p w14:paraId="5F97FB0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2.96</w:t>
            </w:r>
          </w:p>
        </w:tc>
        <w:tc>
          <w:tcPr>
            <w:tcW w:w="611" w:type="pct"/>
            <w:shd w:val="clear" w:color="auto" w:fill="auto"/>
            <w:noWrap/>
            <w:vAlign w:val="center"/>
            <w:hideMark/>
          </w:tcPr>
          <w:p w14:paraId="64871CF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502" w:type="pct"/>
            <w:shd w:val="clear" w:color="auto" w:fill="auto"/>
            <w:noWrap/>
            <w:vAlign w:val="center"/>
            <w:hideMark/>
          </w:tcPr>
          <w:p w14:paraId="2E6F9B4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504" w:type="pct"/>
            <w:shd w:val="clear" w:color="auto" w:fill="auto"/>
            <w:noWrap/>
            <w:vAlign w:val="center"/>
            <w:hideMark/>
          </w:tcPr>
          <w:p w14:paraId="0AA5DC2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r>
      <w:tr w:rsidR="007E0ABC" w:rsidRPr="00CA4A10" w14:paraId="658FDD68" w14:textId="77777777" w:rsidTr="000971F9">
        <w:trPr>
          <w:trHeight w:val="320"/>
        </w:trPr>
        <w:tc>
          <w:tcPr>
            <w:tcW w:w="835" w:type="pct"/>
            <w:vMerge w:val="restart"/>
            <w:shd w:val="clear" w:color="auto" w:fill="auto"/>
            <w:noWrap/>
            <w:vAlign w:val="center"/>
            <w:hideMark/>
          </w:tcPr>
          <w:p w14:paraId="47F5D5D5" w14:textId="77777777" w:rsidR="007E0ABC" w:rsidRPr="00CA4A10" w:rsidRDefault="007E0ABC" w:rsidP="00AF2A65">
            <w:pPr>
              <w:jc w:val="center"/>
              <w:rPr>
                <w:rFonts w:ascii="Century Gothic" w:eastAsia="Times New Roman" w:hAnsi="Century Gothic" w:cs="Calibri"/>
                <w:b/>
                <w:bCs/>
                <w:color w:val="000000"/>
                <w:szCs w:val="20"/>
                <w:lang w:eastAsia="en-GB"/>
              </w:rPr>
            </w:pPr>
            <w:r w:rsidRPr="00CA4A10">
              <w:rPr>
                <w:rFonts w:ascii="Century Gothic" w:eastAsia="Times New Roman" w:hAnsi="Century Gothic" w:cs="Calibri"/>
                <w:b/>
                <w:bCs/>
                <w:color w:val="000000"/>
                <w:szCs w:val="20"/>
                <w:lang w:eastAsia="en-GB"/>
              </w:rPr>
              <w:t>AE</w:t>
            </w:r>
          </w:p>
        </w:tc>
        <w:tc>
          <w:tcPr>
            <w:tcW w:w="835" w:type="pct"/>
            <w:shd w:val="clear" w:color="auto" w:fill="auto"/>
            <w:noWrap/>
            <w:vAlign w:val="center"/>
            <w:hideMark/>
          </w:tcPr>
          <w:p w14:paraId="3D19299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15-19</w:t>
            </w:r>
          </w:p>
        </w:tc>
        <w:tc>
          <w:tcPr>
            <w:tcW w:w="666" w:type="pct"/>
            <w:shd w:val="clear" w:color="auto" w:fill="auto"/>
            <w:noWrap/>
            <w:vAlign w:val="center"/>
            <w:hideMark/>
          </w:tcPr>
          <w:p w14:paraId="095D5E3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6.6</w:t>
            </w:r>
          </w:p>
        </w:tc>
        <w:tc>
          <w:tcPr>
            <w:tcW w:w="574" w:type="pct"/>
            <w:shd w:val="clear" w:color="auto" w:fill="auto"/>
            <w:noWrap/>
            <w:vAlign w:val="center"/>
            <w:hideMark/>
          </w:tcPr>
          <w:p w14:paraId="5DF383E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4.348</w:t>
            </w:r>
          </w:p>
        </w:tc>
        <w:tc>
          <w:tcPr>
            <w:tcW w:w="472" w:type="pct"/>
            <w:shd w:val="clear" w:color="auto" w:fill="auto"/>
            <w:noWrap/>
            <w:vAlign w:val="center"/>
            <w:hideMark/>
          </w:tcPr>
          <w:p w14:paraId="6218D3D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8.852</w:t>
            </w:r>
          </w:p>
        </w:tc>
        <w:tc>
          <w:tcPr>
            <w:tcW w:w="611" w:type="pct"/>
            <w:shd w:val="clear" w:color="auto" w:fill="auto"/>
            <w:noWrap/>
            <w:vAlign w:val="center"/>
            <w:hideMark/>
          </w:tcPr>
          <w:p w14:paraId="6D82E60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5.125</w:t>
            </w:r>
          </w:p>
        </w:tc>
        <w:tc>
          <w:tcPr>
            <w:tcW w:w="502" w:type="pct"/>
            <w:shd w:val="clear" w:color="auto" w:fill="auto"/>
            <w:noWrap/>
            <w:vAlign w:val="center"/>
            <w:hideMark/>
          </w:tcPr>
          <w:p w14:paraId="51BF39A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3.556</w:t>
            </w:r>
          </w:p>
        </w:tc>
        <w:tc>
          <w:tcPr>
            <w:tcW w:w="504" w:type="pct"/>
            <w:shd w:val="clear" w:color="auto" w:fill="auto"/>
            <w:noWrap/>
            <w:vAlign w:val="center"/>
            <w:hideMark/>
          </w:tcPr>
          <w:p w14:paraId="30130AB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6.694</w:t>
            </w:r>
          </w:p>
        </w:tc>
      </w:tr>
      <w:tr w:rsidR="007E0ABC" w:rsidRPr="00CA4A10" w14:paraId="548FCA85" w14:textId="77777777" w:rsidTr="000971F9">
        <w:trPr>
          <w:trHeight w:val="320"/>
        </w:trPr>
        <w:tc>
          <w:tcPr>
            <w:tcW w:w="835" w:type="pct"/>
            <w:vMerge/>
            <w:vAlign w:val="center"/>
            <w:hideMark/>
          </w:tcPr>
          <w:p w14:paraId="5B2DDC6F"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096E7F9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20-24</w:t>
            </w:r>
          </w:p>
        </w:tc>
        <w:tc>
          <w:tcPr>
            <w:tcW w:w="666" w:type="pct"/>
            <w:shd w:val="clear" w:color="auto" w:fill="auto"/>
            <w:noWrap/>
            <w:vAlign w:val="center"/>
            <w:hideMark/>
          </w:tcPr>
          <w:p w14:paraId="6F229C7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3.75</w:t>
            </w:r>
          </w:p>
        </w:tc>
        <w:tc>
          <w:tcPr>
            <w:tcW w:w="574" w:type="pct"/>
            <w:shd w:val="clear" w:color="auto" w:fill="auto"/>
            <w:noWrap/>
            <w:vAlign w:val="center"/>
            <w:hideMark/>
          </w:tcPr>
          <w:p w14:paraId="1DD8CFA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1.852</w:t>
            </w:r>
          </w:p>
        </w:tc>
        <w:tc>
          <w:tcPr>
            <w:tcW w:w="472" w:type="pct"/>
            <w:shd w:val="clear" w:color="auto" w:fill="auto"/>
            <w:noWrap/>
            <w:vAlign w:val="center"/>
            <w:hideMark/>
          </w:tcPr>
          <w:p w14:paraId="21A2240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5.648</w:t>
            </w:r>
          </w:p>
        </w:tc>
        <w:tc>
          <w:tcPr>
            <w:tcW w:w="611" w:type="pct"/>
            <w:shd w:val="clear" w:color="auto" w:fill="auto"/>
            <w:noWrap/>
            <w:vAlign w:val="center"/>
            <w:hideMark/>
          </w:tcPr>
          <w:p w14:paraId="644D513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9.5</w:t>
            </w:r>
          </w:p>
        </w:tc>
        <w:tc>
          <w:tcPr>
            <w:tcW w:w="502" w:type="pct"/>
            <w:shd w:val="clear" w:color="auto" w:fill="auto"/>
            <w:noWrap/>
            <w:vAlign w:val="center"/>
            <w:hideMark/>
          </w:tcPr>
          <w:p w14:paraId="0531DD6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7.99</w:t>
            </w:r>
          </w:p>
        </w:tc>
        <w:tc>
          <w:tcPr>
            <w:tcW w:w="504" w:type="pct"/>
            <w:shd w:val="clear" w:color="auto" w:fill="auto"/>
            <w:noWrap/>
            <w:vAlign w:val="center"/>
            <w:hideMark/>
          </w:tcPr>
          <w:p w14:paraId="6506E51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11.01</w:t>
            </w:r>
          </w:p>
        </w:tc>
      </w:tr>
      <w:tr w:rsidR="007E0ABC" w:rsidRPr="00CA4A10" w14:paraId="213A70B7" w14:textId="77777777" w:rsidTr="000971F9">
        <w:trPr>
          <w:trHeight w:val="320"/>
        </w:trPr>
        <w:tc>
          <w:tcPr>
            <w:tcW w:w="835" w:type="pct"/>
            <w:vMerge/>
            <w:vAlign w:val="center"/>
            <w:hideMark/>
          </w:tcPr>
          <w:p w14:paraId="2B593360"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1814A24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25-29</w:t>
            </w:r>
          </w:p>
        </w:tc>
        <w:tc>
          <w:tcPr>
            <w:tcW w:w="666" w:type="pct"/>
            <w:shd w:val="clear" w:color="auto" w:fill="auto"/>
            <w:noWrap/>
            <w:vAlign w:val="center"/>
            <w:hideMark/>
          </w:tcPr>
          <w:p w14:paraId="6AA30ED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2.889</w:t>
            </w:r>
          </w:p>
        </w:tc>
        <w:tc>
          <w:tcPr>
            <w:tcW w:w="574" w:type="pct"/>
            <w:shd w:val="clear" w:color="auto" w:fill="auto"/>
            <w:noWrap/>
            <w:vAlign w:val="center"/>
            <w:hideMark/>
          </w:tcPr>
          <w:p w14:paraId="0C7CD75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1.779</w:t>
            </w:r>
          </w:p>
        </w:tc>
        <w:tc>
          <w:tcPr>
            <w:tcW w:w="472" w:type="pct"/>
            <w:shd w:val="clear" w:color="auto" w:fill="auto"/>
            <w:noWrap/>
            <w:vAlign w:val="center"/>
            <w:hideMark/>
          </w:tcPr>
          <w:p w14:paraId="2C5D4BB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3.999</w:t>
            </w:r>
          </w:p>
        </w:tc>
        <w:tc>
          <w:tcPr>
            <w:tcW w:w="611" w:type="pct"/>
            <w:shd w:val="clear" w:color="auto" w:fill="auto"/>
            <w:noWrap/>
            <w:vAlign w:val="center"/>
            <w:hideMark/>
          </w:tcPr>
          <w:p w14:paraId="122F818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8.8</w:t>
            </w:r>
          </w:p>
        </w:tc>
        <w:tc>
          <w:tcPr>
            <w:tcW w:w="502" w:type="pct"/>
            <w:shd w:val="clear" w:color="auto" w:fill="auto"/>
            <w:noWrap/>
            <w:vAlign w:val="center"/>
            <w:hideMark/>
          </w:tcPr>
          <w:p w14:paraId="4388F92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7.299</w:t>
            </w:r>
          </w:p>
        </w:tc>
        <w:tc>
          <w:tcPr>
            <w:tcW w:w="504" w:type="pct"/>
            <w:shd w:val="clear" w:color="auto" w:fill="auto"/>
            <w:noWrap/>
            <w:vAlign w:val="center"/>
            <w:hideMark/>
          </w:tcPr>
          <w:p w14:paraId="78CB103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10.301</w:t>
            </w:r>
          </w:p>
        </w:tc>
      </w:tr>
      <w:tr w:rsidR="007E0ABC" w:rsidRPr="00CA4A10" w14:paraId="7C399A96" w14:textId="77777777" w:rsidTr="000971F9">
        <w:trPr>
          <w:trHeight w:val="320"/>
        </w:trPr>
        <w:tc>
          <w:tcPr>
            <w:tcW w:w="835" w:type="pct"/>
            <w:vMerge/>
            <w:vAlign w:val="center"/>
            <w:hideMark/>
          </w:tcPr>
          <w:p w14:paraId="5A02E8D5"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3CAB10B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30-34</w:t>
            </w:r>
          </w:p>
        </w:tc>
        <w:tc>
          <w:tcPr>
            <w:tcW w:w="666" w:type="pct"/>
            <w:shd w:val="clear" w:color="auto" w:fill="auto"/>
            <w:noWrap/>
            <w:vAlign w:val="center"/>
            <w:hideMark/>
          </w:tcPr>
          <w:p w14:paraId="09AE08F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7.5</w:t>
            </w:r>
          </w:p>
        </w:tc>
        <w:tc>
          <w:tcPr>
            <w:tcW w:w="574" w:type="pct"/>
            <w:shd w:val="clear" w:color="auto" w:fill="auto"/>
            <w:noWrap/>
            <w:vAlign w:val="center"/>
            <w:hideMark/>
          </w:tcPr>
          <w:p w14:paraId="7499B6B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5.602</w:t>
            </w:r>
          </w:p>
        </w:tc>
        <w:tc>
          <w:tcPr>
            <w:tcW w:w="472" w:type="pct"/>
            <w:shd w:val="clear" w:color="auto" w:fill="auto"/>
            <w:noWrap/>
            <w:vAlign w:val="center"/>
            <w:hideMark/>
          </w:tcPr>
          <w:p w14:paraId="4802F73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9.398</w:t>
            </w:r>
          </w:p>
        </w:tc>
        <w:tc>
          <w:tcPr>
            <w:tcW w:w="611" w:type="pct"/>
            <w:shd w:val="clear" w:color="auto" w:fill="auto"/>
            <w:noWrap/>
            <w:vAlign w:val="center"/>
            <w:hideMark/>
          </w:tcPr>
          <w:p w14:paraId="34D32BD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6.471</w:t>
            </w:r>
          </w:p>
        </w:tc>
        <w:tc>
          <w:tcPr>
            <w:tcW w:w="502" w:type="pct"/>
            <w:shd w:val="clear" w:color="auto" w:fill="auto"/>
            <w:noWrap/>
            <w:vAlign w:val="center"/>
            <w:hideMark/>
          </w:tcPr>
          <w:p w14:paraId="24457A53"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5.262</w:t>
            </w:r>
          </w:p>
        </w:tc>
        <w:tc>
          <w:tcPr>
            <w:tcW w:w="504" w:type="pct"/>
            <w:shd w:val="clear" w:color="auto" w:fill="auto"/>
            <w:noWrap/>
            <w:vAlign w:val="center"/>
            <w:hideMark/>
          </w:tcPr>
          <w:p w14:paraId="187283D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7.68</w:t>
            </w:r>
          </w:p>
        </w:tc>
      </w:tr>
      <w:tr w:rsidR="007E0ABC" w:rsidRPr="00CA4A10" w14:paraId="5B0118F6" w14:textId="77777777" w:rsidTr="000971F9">
        <w:trPr>
          <w:trHeight w:val="320"/>
        </w:trPr>
        <w:tc>
          <w:tcPr>
            <w:tcW w:w="835" w:type="pct"/>
            <w:vMerge/>
            <w:vAlign w:val="center"/>
            <w:hideMark/>
          </w:tcPr>
          <w:p w14:paraId="48EC5C83"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2EA5D65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35-39</w:t>
            </w:r>
          </w:p>
        </w:tc>
        <w:tc>
          <w:tcPr>
            <w:tcW w:w="666" w:type="pct"/>
            <w:shd w:val="clear" w:color="auto" w:fill="auto"/>
            <w:noWrap/>
            <w:vAlign w:val="center"/>
            <w:hideMark/>
          </w:tcPr>
          <w:p w14:paraId="2B1CD61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4.818</w:t>
            </w:r>
          </w:p>
        </w:tc>
        <w:tc>
          <w:tcPr>
            <w:tcW w:w="574" w:type="pct"/>
            <w:shd w:val="clear" w:color="auto" w:fill="auto"/>
            <w:noWrap/>
            <w:vAlign w:val="center"/>
            <w:hideMark/>
          </w:tcPr>
          <w:p w14:paraId="0C4F292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3.521</w:t>
            </w:r>
          </w:p>
        </w:tc>
        <w:tc>
          <w:tcPr>
            <w:tcW w:w="472" w:type="pct"/>
            <w:shd w:val="clear" w:color="auto" w:fill="auto"/>
            <w:noWrap/>
            <w:vAlign w:val="center"/>
            <w:hideMark/>
          </w:tcPr>
          <w:p w14:paraId="53EB428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6.115</w:t>
            </w:r>
          </w:p>
        </w:tc>
        <w:tc>
          <w:tcPr>
            <w:tcW w:w="611" w:type="pct"/>
            <w:shd w:val="clear" w:color="auto" w:fill="auto"/>
            <w:noWrap/>
            <w:vAlign w:val="center"/>
            <w:hideMark/>
          </w:tcPr>
          <w:p w14:paraId="0363B16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w:t>
            </w:r>
          </w:p>
        </w:tc>
        <w:tc>
          <w:tcPr>
            <w:tcW w:w="502" w:type="pct"/>
            <w:shd w:val="clear" w:color="auto" w:fill="auto"/>
            <w:noWrap/>
            <w:vAlign w:val="center"/>
            <w:hideMark/>
          </w:tcPr>
          <w:p w14:paraId="2298672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2.952</w:t>
            </w:r>
          </w:p>
        </w:tc>
        <w:tc>
          <w:tcPr>
            <w:tcW w:w="504" w:type="pct"/>
            <w:shd w:val="clear" w:color="auto" w:fill="auto"/>
            <w:noWrap/>
            <w:vAlign w:val="center"/>
            <w:hideMark/>
          </w:tcPr>
          <w:p w14:paraId="4BBADEC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5.048</w:t>
            </w:r>
          </w:p>
        </w:tc>
      </w:tr>
      <w:tr w:rsidR="007E0ABC" w:rsidRPr="00CA4A10" w14:paraId="3963308A" w14:textId="77777777" w:rsidTr="000971F9">
        <w:trPr>
          <w:trHeight w:val="320"/>
        </w:trPr>
        <w:tc>
          <w:tcPr>
            <w:tcW w:w="835" w:type="pct"/>
            <w:vMerge/>
            <w:vAlign w:val="center"/>
            <w:hideMark/>
          </w:tcPr>
          <w:p w14:paraId="542776B3"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090188F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40-44</w:t>
            </w:r>
          </w:p>
        </w:tc>
        <w:tc>
          <w:tcPr>
            <w:tcW w:w="666" w:type="pct"/>
            <w:shd w:val="clear" w:color="auto" w:fill="auto"/>
            <w:noWrap/>
            <w:vAlign w:val="center"/>
            <w:hideMark/>
          </w:tcPr>
          <w:p w14:paraId="1AF15B8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8.556</w:t>
            </w:r>
          </w:p>
        </w:tc>
        <w:tc>
          <w:tcPr>
            <w:tcW w:w="574" w:type="pct"/>
            <w:shd w:val="clear" w:color="auto" w:fill="auto"/>
            <w:noWrap/>
            <w:vAlign w:val="center"/>
            <w:hideMark/>
          </w:tcPr>
          <w:p w14:paraId="385223E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6.645</w:t>
            </w:r>
          </w:p>
        </w:tc>
        <w:tc>
          <w:tcPr>
            <w:tcW w:w="472" w:type="pct"/>
            <w:shd w:val="clear" w:color="auto" w:fill="auto"/>
            <w:noWrap/>
            <w:vAlign w:val="center"/>
            <w:hideMark/>
          </w:tcPr>
          <w:p w14:paraId="42388CD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10.467</w:t>
            </w:r>
          </w:p>
        </w:tc>
        <w:tc>
          <w:tcPr>
            <w:tcW w:w="611" w:type="pct"/>
            <w:shd w:val="clear" w:color="auto" w:fill="auto"/>
            <w:noWrap/>
            <w:vAlign w:val="center"/>
            <w:hideMark/>
          </w:tcPr>
          <w:p w14:paraId="0E80F7B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3.1</w:t>
            </w:r>
          </w:p>
        </w:tc>
        <w:tc>
          <w:tcPr>
            <w:tcW w:w="502" w:type="pct"/>
            <w:shd w:val="clear" w:color="auto" w:fill="auto"/>
            <w:noWrap/>
            <w:vAlign w:val="center"/>
            <w:hideMark/>
          </w:tcPr>
          <w:p w14:paraId="04AC03D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2.328</w:t>
            </w:r>
          </w:p>
        </w:tc>
        <w:tc>
          <w:tcPr>
            <w:tcW w:w="504" w:type="pct"/>
            <w:shd w:val="clear" w:color="auto" w:fill="auto"/>
            <w:noWrap/>
            <w:vAlign w:val="center"/>
            <w:hideMark/>
          </w:tcPr>
          <w:p w14:paraId="561D341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3.872</w:t>
            </w:r>
          </w:p>
        </w:tc>
      </w:tr>
      <w:tr w:rsidR="007E0ABC" w:rsidRPr="00CA4A10" w14:paraId="1CCC46FE" w14:textId="77777777" w:rsidTr="000971F9">
        <w:trPr>
          <w:trHeight w:val="320"/>
        </w:trPr>
        <w:tc>
          <w:tcPr>
            <w:tcW w:w="835" w:type="pct"/>
            <w:vMerge/>
            <w:vAlign w:val="center"/>
            <w:hideMark/>
          </w:tcPr>
          <w:p w14:paraId="2D49F919"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09E5FB3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45-49</w:t>
            </w:r>
          </w:p>
        </w:tc>
        <w:tc>
          <w:tcPr>
            <w:tcW w:w="666" w:type="pct"/>
            <w:shd w:val="clear" w:color="auto" w:fill="auto"/>
            <w:noWrap/>
            <w:vAlign w:val="center"/>
            <w:hideMark/>
          </w:tcPr>
          <w:p w14:paraId="56E248B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4.769</w:t>
            </w:r>
          </w:p>
        </w:tc>
        <w:tc>
          <w:tcPr>
            <w:tcW w:w="574" w:type="pct"/>
            <w:shd w:val="clear" w:color="auto" w:fill="auto"/>
            <w:noWrap/>
            <w:vAlign w:val="center"/>
            <w:hideMark/>
          </w:tcPr>
          <w:p w14:paraId="420D4E8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3.582</w:t>
            </w:r>
          </w:p>
        </w:tc>
        <w:tc>
          <w:tcPr>
            <w:tcW w:w="472" w:type="pct"/>
            <w:shd w:val="clear" w:color="auto" w:fill="auto"/>
            <w:noWrap/>
            <w:vAlign w:val="center"/>
            <w:hideMark/>
          </w:tcPr>
          <w:p w14:paraId="13898E8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5.956</w:t>
            </w:r>
          </w:p>
        </w:tc>
        <w:tc>
          <w:tcPr>
            <w:tcW w:w="611" w:type="pct"/>
            <w:shd w:val="clear" w:color="auto" w:fill="auto"/>
            <w:noWrap/>
            <w:vAlign w:val="center"/>
            <w:hideMark/>
          </w:tcPr>
          <w:p w14:paraId="1F2D4E2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4.615</w:t>
            </w:r>
          </w:p>
        </w:tc>
        <w:tc>
          <w:tcPr>
            <w:tcW w:w="502" w:type="pct"/>
            <w:shd w:val="clear" w:color="auto" w:fill="auto"/>
            <w:noWrap/>
            <w:vAlign w:val="center"/>
            <w:hideMark/>
          </w:tcPr>
          <w:p w14:paraId="281AD1E1"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3.447</w:t>
            </w:r>
          </w:p>
        </w:tc>
        <w:tc>
          <w:tcPr>
            <w:tcW w:w="504" w:type="pct"/>
            <w:shd w:val="clear" w:color="auto" w:fill="auto"/>
            <w:noWrap/>
            <w:vAlign w:val="center"/>
            <w:hideMark/>
          </w:tcPr>
          <w:p w14:paraId="27F27DAE"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5.783</w:t>
            </w:r>
          </w:p>
        </w:tc>
      </w:tr>
      <w:tr w:rsidR="007E0ABC" w:rsidRPr="00CA4A10" w14:paraId="17FC1414" w14:textId="77777777" w:rsidTr="000971F9">
        <w:trPr>
          <w:trHeight w:val="320"/>
        </w:trPr>
        <w:tc>
          <w:tcPr>
            <w:tcW w:w="835" w:type="pct"/>
            <w:vMerge/>
            <w:vAlign w:val="center"/>
            <w:hideMark/>
          </w:tcPr>
          <w:p w14:paraId="63CC3C63"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2D35920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50-54</w:t>
            </w:r>
          </w:p>
        </w:tc>
        <w:tc>
          <w:tcPr>
            <w:tcW w:w="666" w:type="pct"/>
            <w:shd w:val="clear" w:color="auto" w:fill="auto"/>
            <w:noWrap/>
            <w:vAlign w:val="center"/>
            <w:hideMark/>
          </w:tcPr>
          <w:p w14:paraId="7B31191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1.667</w:t>
            </w:r>
          </w:p>
        </w:tc>
        <w:tc>
          <w:tcPr>
            <w:tcW w:w="574" w:type="pct"/>
            <w:shd w:val="clear" w:color="auto" w:fill="auto"/>
            <w:noWrap/>
            <w:vAlign w:val="center"/>
            <w:hideMark/>
          </w:tcPr>
          <w:p w14:paraId="259CB12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0.634</w:t>
            </w:r>
          </w:p>
        </w:tc>
        <w:tc>
          <w:tcPr>
            <w:tcW w:w="472" w:type="pct"/>
            <w:shd w:val="clear" w:color="auto" w:fill="auto"/>
            <w:noWrap/>
            <w:vAlign w:val="center"/>
            <w:hideMark/>
          </w:tcPr>
          <w:p w14:paraId="0744A30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2.7</w:t>
            </w:r>
          </w:p>
        </w:tc>
        <w:tc>
          <w:tcPr>
            <w:tcW w:w="611" w:type="pct"/>
            <w:shd w:val="clear" w:color="auto" w:fill="auto"/>
            <w:noWrap/>
            <w:vAlign w:val="center"/>
            <w:hideMark/>
          </w:tcPr>
          <w:p w14:paraId="6F2DE03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1.938</w:t>
            </w:r>
          </w:p>
        </w:tc>
        <w:tc>
          <w:tcPr>
            <w:tcW w:w="502" w:type="pct"/>
            <w:shd w:val="clear" w:color="auto" w:fill="auto"/>
            <w:noWrap/>
            <w:vAlign w:val="center"/>
            <w:hideMark/>
          </w:tcPr>
          <w:p w14:paraId="4DFF4DB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1.256</w:t>
            </w:r>
          </w:p>
        </w:tc>
        <w:tc>
          <w:tcPr>
            <w:tcW w:w="504" w:type="pct"/>
            <w:shd w:val="clear" w:color="auto" w:fill="auto"/>
            <w:noWrap/>
            <w:vAlign w:val="center"/>
            <w:hideMark/>
          </w:tcPr>
          <w:p w14:paraId="56550DB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2.62</w:t>
            </w:r>
          </w:p>
        </w:tc>
      </w:tr>
      <w:tr w:rsidR="007E0ABC" w:rsidRPr="00CA4A10" w14:paraId="089FCF47" w14:textId="77777777" w:rsidTr="000971F9">
        <w:trPr>
          <w:trHeight w:val="320"/>
        </w:trPr>
        <w:tc>
          <w:tcPr>
            <w:tcW w:w="835" w:type="pct"/>
            <w:vMerge/>
            <w:vAlign w:val="center"/>
            <w:hideMark/>
          </w:tcPr>
          <w:p w14:paraId="3C9AFAA3"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208E21F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55-59</w:t>
            </w:r>
          </w:p>
        </w:tc>
        <w:tc>
          <w:tcPr>
            <w:tcW w:w="666" w:type="pct"/>
            <w:shd w:val="clear" w:color="auto" w:fill="auto"/>
            <w:noWrap/>
            <w:vAlign w:val="center"/>
            <w:hideMark/>
          </w:tcPr>
          <w:p w14:paraId="07BA105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18.333</w:t>
            </w:r>
          </w:p>
        </w:tc>
        <w:tc>
          <w:tcPr>
            <w:tcW w:w="574" w:type="pct"/>
            <w:shd w:val="clear" w:color="auto" w:fill="auto"/>
            <w:noWrap/>
            <w:vAlign w:val="center"/>
            <w:hideMark/>
          </w:tcPr>
          <w:p w14:paraId="0812C7D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14.907</w:t>
            </w:r>
          </w:p>
        </w:tc>
        <w:tc>
          <w:tcPr>
            <w:tcW w:w="472" w:type="pct"/>
            <w:shd w:val="clear" w:color="auto" w:fill="auto"/>
            <w:noWrap/>
            <w:vAlign w:val="center"/>
            <w:hideMark/>
          </w:tcPr>
          <w:p w14:paraId="5389F10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21.759</w:t>
            </w:r>
          </w:p>
        </w:tc>
        <w:tc>
          <w:tcPr>
            <w:tcW w:w="611" w:type="pct"/>
            <w:shd w:val="clear" w:color="auto" w:fill="auto"/>
            <w:noWrap/>
            <w:vAlign w:val="center"/>
            <w:hideMark/>
          </w:tcPr>
          <w:p w14:paraId="6DEF820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4.364</w:t>
            </w:r>
          </w:p>
        </w:tc>
        <w:tc>
          <w:tcPr>
            <w:tcW w:w="502" w:type="pct"/>
            <w:shd w:val="clear" w:color="auto" w:fill="auto"/>
            <w:noWrap/>
            <w:vAlign w:val="center"/>
            <w:hideMark/>
          </w:tcPr>
          <w:p w14:paraId="185C88D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3.129</w:t>
            </w:r>
          </w:p>
        </w:tc>
        <w:tc>
          <w:tcPr>
            <w:tcW w:w="504" w:type="pct"/>
            <w:shd w:val="clear" w:color="auto" w:fill="auto"/>
            <w:noWrap/>
            <w:vAlign w:val="center"/>
            <w:hideMark/>
          </w:tcPr>
          <w:p w14:paraId="30FA2D1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5.599</w:t>
            </w:r>
          </w:p>
        </w:tc>
      </w:tr>
      <w:tr w:rsidR="007E0ABC" w:rsidRPr="00CA4A10" w14:paraId="752ECD19" w14:textId="77777777" w:rsidTr="000971F9">
        <w:trPr>
          <w:trHeight w:val="320"/>
        </w:trPr>
        <w:tc>
          <w:tcPr>
            <w:tcW w:w="835" w:type="pct"/>
            <w:vMerge/>
            <w:vAlign w:val="center"/>
            <w:hideMark/>
          </w:tcPr>
          <w:p w14:paraId="75DF920F"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1CF33D4A"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60-64</w:t>
            </w:r>
          </w:p>
        </w:tc>
        <w:tc>
          <w:tcPr>
            <w:tcW w:w="666" w:type="pct"/>
            <w:shd w:val="clear" w:color="auto" w:fill="auto"/>
            <w:noWrap/>
            <w:vAlign w:val="center"/>
            <w:hideMark/>
          </w:tcPr>
          <w:p w14:paraId="3A8312D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2.25</w:t>
            </w:r>
          </w:p>
        </w:tc>
        <w:tc>
          <w:tcPr>
            <w:tcW w:w="574" w:type="pct"/>
            <w:shd w:val="clear" w:color="auto" w:fill="auto"/>
            <w:noWrap/>
            <w:vAlign w:val="center"/>
            <w:hideMark/>
          </w:tcPr>
          <w:p w14:paraId="51762BC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0.78</w:t>
            </w:r>
          </w:p>
        </w:tc>
        <w:tc>
          <w:tcPr>
            <w:tcW w:w="472" w:type="pct"/>
            <w:shd w:val="clear" w:color="auto" w:fill="auto"/>
            <w:noWrap/>
            <w:vAlign w:val="center"/>
            <w:hideMark/>
          </w:tcPr>
          <w:p w14:paraId="3D7A463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3.72</w:t>
            </w:r>
          </w:p>
        </w:tc>
        <w:tc>
          <w:tcPr>
            <w:tcW w:w="611" w:type="pct"/>
            <w:shd w:val="clear" w:color="auto" w:fill="auto"/>
            <w:noWrap/>
            <w:vAlign w:val="center"/>
            <w:hideMark/>
          </w:tcPr>
          <w:p w14:paraId="16E3719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w:t>
            </w:r>
          </w:p>
        </w:tc>
        <w:tc>
          <w:tcPr>
            <w:tcW w:w="502" w:type="pct"/>
            <w:shd w:val="clear" w:color="auto" w:fill="auto"/>
            <w:noWrap/>
            <w:vAlign w:val="center"/>
            <w:hideMark/>
          </w:tcPr>
          <w:p w14:paraId="2E8857C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2.247</w:t>
            </w:r>
          </w:p>
        </w:tc>
        <w:tc>
          <w:tcPr>
            <w:tcW w:w="504" w:type="pct"/>
            <w:shd w:val="clear" w:color="auto" w:fill="auto"/>
            <w:noWrap/>
            <w:vAlign w:val="center"/>
            <w:hideMark/>
          </w:tcPr>
          <w:p w14:paraId="3F9C95E2"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5.753</w:t>
            </w:r>
          </w:p>
        </w:tc>
      </w:tr>
      <w:tr w:rsidR="007E0ABC" w:rsidRPr="00CA4A10" w14:paraId="560CAD0C" w14:textId="77777777" w:rsidTr="000971F9">
        <w:trPr>
          <w:trHeight w:val="320"/>
        </w:trPr>
        <w:tc>
          <w:tcPr>
            <w:tcW w:w="835" w:type="pct"/>
            <w:vMerge/>
            <w:vAlign w:val="center"/>
            <w:hideMark/>
          </w:tcPr>
          <w:p w14:paraId="1F7F3BA9"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6F20745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65-69</w:t>
            </w:r>
          </w:p>
        </w:tc>
        <w:tc>
          <w:tcPr>
            <w:tcW w:w="666" w:type="pct"/>
            <w:shd w:val="clear" w:color="auto" w:fill="auto"/>
            <w:noWrap/>
            <w:vAlign w:val="center"/>
            <w:hideMark/>
          </w:tcPr>
          <w:p w14:paraId="4B1D404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17</w:t>
            </w:r>
          </w:p>
        </w:tc>
        <w:tc>
          <w:tcPr>
            <w:tcW w:w="574" w:type="pct"/>
            <w:shd w:val="clear" w:color="auto" w:fill="auto"/>
            <w:noWrap/>
            <w:vAlign w:val="center"/>
            <w:hideMark/>
          </w:tcPr>
          <w:p w14:paraId="3C37764D"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8.919</w:t>
            </w:r>
          </w:p>
        </w:tc>
        <w:tc>
          <w:tcPr>
            <w:tcW w:w="472" w:type="pct"/>
            <w:shd w:val="clear" w:color="auto" w:fill="auto"/>
            <w:noWrap/>
            <w:vAlign w:val="center"/>
            <w:hideMark/>
          </w:tcPr>
          <w:p w14:paraId="36C23CA4"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25.081</w:t>
            </w:r>
          </w:p>
        </w:tc>
        <w:tc>
          <w:tcPr>
            <w:tcW w:w="611" w:type="pct"/>
            <w:shd w:val="clear" w:color="auto" w:fill="auto"/>
            <w:noWrap/>
            <w:vAlign w:val="center"/>
            <w:hideMark/>
          </w:tcPr>
          <w:p w14:paraId="549D4328"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502" w:type="pct"/>
            <w:shd w:val="clear" w:color="auto" w:fill="auto"/>
            <w:noWrap/>
            <w:vAlign w:val="center"/>
            <w:hideMark/>
          </w:tcPr>
          <w:p w14:paraId="30263EBB"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c>
          <w:tcPr>
            <w:tcW w:w="504" w:type="pct"/>
            <w:shd w:val="clear" w:color="auto" w:fill="auto"/>
            <w:noWrap/>
            <w:vAlign w:val="center"/>
            <w:hideMark/>
          </w:tcPr>
          <w:p w14:paraId="464166AC"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w:t>
            </w:r>
          </w:p>
        </w:tc>
      </w:tr>
      <w:tr w:rsidR="007E0ABC" w:rsidRPr="00CA4A10" w14:paraId="0F092720" w14:textId="77777777" w:rsidTr="000971F9">
        <w:trPr>
          <w:trHeight w:val="320"/>
        </w:trPr>
        <w:tc>
          <w:tcPr>
            <w:tcW w:w="835" w:type="pct"/>
            <w:vMerge/>
            <w:vAlign w:val="center"/>
            <w:hideMark/>
          </w:tcPr>
          <w:p w14:paraId="3F579A06" w14:textId="77777777" w:rsidR="007E0ABC" w:rsidRPr="00CA4A10" w:rsidRDefault="007E0ABC" w:rsidP="00AF2A65">
            <w:pPr>
              <w:rPr>
                <w:rFonts w:ascii="Century Gothic" w:eastAsia="Times New Roman" w:hAnsi="Century Gothic" w:cs="Calibri"/>
                <w:b/>
                <w:bCs/>
                <w:color w:val="000000"/>
                <w:szCs w:val="20"/>
                <w:lang w:eastAsia="en-GB"/>
              </w:rPr>
            </w:pPr>
          </w:p>
        </w:tc>
        <w:tc>
          <w:tcPr>
            <w:tcW w:w="835" w:type="pct"/>
            <w:shd w:val="clear" w:color="auto" w:fill="auto"/>
            <w:noWrap/>
            <w:vAlign w:val="center"/>
            <w:hideMark/>
          </w:tcPr>
          <w:p w14:paraId="1EBCAAE7"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70-74</w:t>
            </w:r>
          </w:p>
        </w:tc>
        <w:tc>
          <w:tcPr>
            <w:tcW w:w="666" w:type="pct"/>
            <w:shd w:val="clear" w:color="auto" w:fill="auto"/>
            <w:noWrap/>
            <w:vAlign w:val="center"/>
            <w:hideMark/>
          </w:tcPr>
          <w:p w14:paraId="46F527C6"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11</w:t>
            </w:r>
          </w:p>
        </w:tc>
        <w:tc>
          <w:tcPr>
            <w:tcW w:w="574" w:type="pct"/>
            <w:shd w:val="clear" w:color="auto" w:fill="auto"/>
            <w:noWrap/>
            <w:vAlign w:val="center"/>
            <w:hideMark/>
          </w:tcPr>
          <w:p w14:paraId="4603B83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4.499</w:t>
            </w:r>
          </w:p>
        </w:tc>
        <w:tc>
          <w:tcPr>
            <w:tcW w:w="472" w:type="pct"/>
            <w:shd w:val="clear" w:color="auto" w:fill="auto"/>
            <w:noWrap/>
            <w:vAlign w:val="center"/>
            <w:hideMark/>
          </w:tcPr>
          <w:p w14:paraId="17BDDA70"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17.501</w:t>
            </w:r>
          </w:p>
        </w:tc>
        <w:tc>
          <w:tcPr>
            <w:tcW w:w="611" w:type="pct"/>
            <w:shd w:val="clear" w:color="auto" w:fill="auto"/>
            <w:noWrap/>
            <w:vAlign w:val="center"/>
            <w:hideMark/>
          </w:tcPr>
          <w:p w14:paraId="6971BBB9"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3.5</w:t>
            </w:r>
          </w:p>
        </w:tc>
        <w:tc>
          <w:tcPr>
            <w:tcW w:w="502" w:type="pct"/>
            <w:shd w:val="clear" w:color="auto" w:fill="auto"/>
            <w:noWrap/>
            <w:vAlign w:val="center"/>
            <w:hideMark/>
          </w:tcPr>
          <w:p w14:paraId="4B3B9B85"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0.907</w:t>
            </w:r>
          </w:p>
        </w:tc>
        <w:tc>
          <w:tcPr>
            <w:tcW w:w="504" w:type="pct"/>
            <w:shd w:val="clear" w:color="auto" w:fill="auto"/>
            <w:noWrap/>
            <w:vAlign w:val="center"/>
            <w:hideMark/>
          </w:tcPr>
          <w:p w14:paraId="48CA2C0F" w14:textId="77777777" w:rsidR="007E0ABC" w:rsidRPr="00CA4A10" w:rsidRDefault="007E0ABC" w:rsidP="00AF2A65">
            <w:pPr>
              <w:jc w:val="center"/>
              <w:rPr>
                <w:rFonts w:ascii="Century Gothic" w:eastAsia="Times New Roman" w:hAnsi="Century Gothic" w:cs="Calibri"/>
                <w:color w:val="000000"/>
                <w:szCs w:val="20"/>
                <w:lang w:eastAsia="en-GB"/>
              </w:rPr>
            </w:pPr>
            <w:r w:rsidRPr="00CA4A10">
              <w:rPr>
                <w:rFonts w:ascii="Century Gothic" w:eastAsia="Times New Roman" w:hAnsi="Century Gothic" w:cs="Calibri"/>
                <w:color w:val="000000"/>
                <w:szCs w:val="20"/>
                <w:lang w:eastAsia="en-GB"/>
              </w:rPr>
              <w:t>6.093</w:t>
            </w:r>
          </w:p>
        </w:tc>
      </w:tr>
    </w:tbl>
    <w:p w14:paraId="6D2EAAC6" w14:textId="77777777" w:rsidR="007E0ABC" w:rsidRDefault="007E0ABC" w:rsidP="000971F9">
      <w:pPr>
        <w:pStyle w:val="Subtitle"/>
        <w:spacing w:after="0"/>
        <w:jc w:val="center"/>
        <w:rPr>
          <w:rFonts w:ascii="Avenir Book" w:hAnsi="Avenir Book"/>
          <w:i/>
          <w:iCs/>
          <w:sz w:val="28"/>
          <w:szCs w:val="28"/>
        </w:rPr>
      </w:pPr>
      <w:r w:rsidRPr="00C260F1">
        <w:rPr>
          <w:rFonts w:ascii="Avenir Book" w:hAnsi="Avenir Book"/>
          <w:iCs/>
          <w:sz w:val="28"/>
          <w:szCs w:val="28"/>
        </w:rPr>
        <w:t xml:space="preserve">Appendix </w:t>
      </w:r>
      <w:r>
        <w:rPr>
          <w:rFonts w:ascii="Avenir Book" w:hAnsi="Avenir Book"/>
          <w:iCs/>
          <w:sz w:val="28"/>
          <w:szCs w:val="28"/>
        </w:rPr>
        <w:t>E</w:t>
      </w:r>
      <w:r w:rsidRPr="00C260F1">
        <w:rPr>
          <w:rFonts w:ascii="Avenir Book" w:hAnsi="Avenir Book"/>
          <w:iCs/>
          <w:sz w:val="28"/>
          <w:szCs w:val="28"/>
        </w:rPr>
        <w:t xml:space="preserve"> –</w:t>
      </w:r>
      <w:r w:rsidRPr="003040B6">
        <w:t xml:space="preserve"> </w:t>
      </w:r>
      <w:r w:rsidRPr="003040B6">
        <w:rPr>
          <w:rFonts w:ascii="Avenir Book" w:hAnsi="Avenir Book"/>
          <w:iCs/>
          <w:sz w:val="28"/>
          <w:szCs w:val="28"/>
        </w:rPr>
        <w:t>Emergency Care Use Study Supplementary Data</w:t>
      </w:r>
    </w:p>
    <w:p w14:paraId="325A57F4" w14:textId="77777777" w:rsidR="007E0ABC" w:rsidRDefault="007E0ABC" w:rsidP="007E0ABC">
      <w:pPr>
        <w:pStyle w:val="ListParagraph"/>
        <w:numPr>
          <w:ilvl w:val="0"/>
          <w:numId w:val="227"/>
        </w:numPr>
        <w:spacing w:line="240" w:lineRule="auto"/>
        <w:jc w:val="center"/>
      </w:pPr>
      <w:r>
        <w:t>Table 39 - Age and sex-stratified</w:t>
      </w:r>
      <w:r w:rsidRPr="007F3D83">
        <w:t xml:space="preserve"> crude rates proportions by age and sex for </w:t>
      </w:r>
      <w:r>
        <w:t>general population</w:t>
      </w:r>
    </w:p>
    <w:p w14:paraId="4EED0661" w14:textId="77777777" w:rsidR="007E0ABC" w:rsidRDefault="007E0ABC" w:rsidP="00143A29"/>
    <w:tbl>
      <w:tblPr>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505"/>
        <w:gridCol w:w="1505"/>
        <w:gridCol w:w="1200"/>
        <w:gridCol w:w="861"/>
        <w:gridCol w:w="861"/>
        <w:gridCol w:w="1265"/>
        <w:gridCol w:w="905"/>
        <w:gridCol w:w="908"/>
      </w:tblGrid>
      <w:tr w:rsidR="007E0ABC" w:rsidRPr="000971F9" w14:paraId="740BA022" w14:textId="77777777" w:rsidTr="000971F9">
        <w:trPr>
          <w:trHeight w:val="283"/>
        </w:trPr>
        <w:tc>
          <w:tcPr>
            <w:tcW w:w="5000" w:type="pct"/>
            <w:gridSpan w:val="8"/>
            <w:shd w:val="clear" w:color="000000" w:fill="EDEDED"/>
            <w:noWrap/>
            <w:vAlign w:val="center"/>
            <w:hideMark/>
          </w:tcPr>
          <w:p w14:paraId="761A8FCD" w14:textId="77777777" w:rsidR="007E0ABC" w:rsidRPr="000971F9" w:rsidRDefault="007E0ABC" w:rsidP="000971F9">
            <w:pPr>
              <w:jc w:val="center"/>
              <w:rPr>
                <w:rFonts w:ascii="Century Gothic" w:eastAsia="Times New Roman" w:hAnsi="Century Gothic" w:cs="Calibri"/>
                <w:b/>
                <w:bCs/>
                <w:color w:val="000000"/>
                <w:sz w:val="16"/>
                <w:szCs w:val="16"/>
                <w:u w:val="single"/>
                <w:lang w:eastAsia="en-GB"/>
              </w:rPr>
            </w:pPr>
            <w:r w:rsidRPr="000971F9">
              <w:rPr>
                <w:rFonts w:ascii="Century Gothic" w:eastAsia="Times New Roman" w:hAnsi="Century Gothic" w:cs="Calibri"/>
                <w:b/>
                <w:bCs/>
                <w:color w:val="000000"/>
                <w:sz w:val="16"/>
                <w:szCs w:val="16"/>
                <w:u w:val="single"/>
                <w:lang w:eastAsia="en-GB"/>
              </w:rPr>
              <w:t>GENERAL POPULATION COHORT 2013 - 2015</w:t>
            </w:r>
          </w:p>
        </w:tc>
      </w:tr>
      <w:tr w:rsidR="007E0ABC" w:rsidRPr="000971F9" w14:paraId="08E21D14" w14:textId="77777777" w:rsidTr="000971F9">
        <w:trPr>
          <w:trHeight w:val="283"/>
        </w:trPr>
        <w:tc>
          <w:tcPr>
            <w:tcW w:w="835" w:type="pct"/>
            <w:shd w:val="clear" w:color="auto" w:fill="auto"/>
            <w:vAlign w:val="center"/>
            <w:hideMark/>
          </w:tcPr>
          <w:p w14:paraId="7D0B3182"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Emergency care type</w:t>
            </w:r>
          </w:p>
        </w:tc>
        <w:tc>
          <w:tcPr>
            <w:tcW w:w="835" w:type="pct"/>
            <w:shd w:val="clear" w:color="auto" w:fill="auto"/>
            <w:vAlign w:val="center"/>
            <w:hideMark/>
          </w:tcPr>
          <w:p w14:paraId="31773D7E"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Age group</w:t>
            </w:r>
          </w:p>
        </w:tc>
        <w:tc>
          <w:tcPr>
            <w:tcW w:w="3330" w:type="pct"/>
            <w:gridSpan w:val="6"/>
            <w:shd w:val="clear" w:color="auto" w:fill="auto"/>
            <w:vAlign w:val="center"/>
            <w:hideMark/>
          </w:tcPr>
          <w:p w14:paraId="467EC897"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Crude rate (visits/person year) (95% CI)</w:t>
            </w:r>
          </w:p>
        </w:tc>
      </w:tr>
      <w:tr w:rsidR="007E0ABC" w:rsidRPr="000971F9" w14:paraId="6CE40DEF" w14:textId="77777777" w:rsidTr="000971F9">
        <w:trPr>
          <w:trHeight w:val="283"/>
        </w:trPr>
        <w:tc>
          <w:tcPr>
            <w:tcW w:w="835" w:type="pct"/>
            <w:shd w:val="clear" w:color="auto" w:fill="auto"/>
            <w:noWrap/>
            <w:vAlign w:val="center"/>
            <w:hideMark/>
          </w:tcPr>
          <w:p w14:paraId="65824209" w14:textId="77777777" w:rsidR="007E0ABC" w:rsidRPr="000971F9" w:rsidRDefault="007E0ABC" w:rsidP="000971F9">
            <w:pPr>
              <w:jc w:val="center"/>
              <w:rPr>
                <w:rFonts w:ascii="Century Gothic" w:eastAsia="Times New Roman" w:hAnsi="Century Gothic" w:cs="Calibri"/>
                <w:b/>
                <w:bCs/>
                <w:i/>
                <w:iCs/>
                <w:color w:val="000000"/>
                <w:sz w:val="16"/>
                <w:szCs w:val="16"/>
                <w:lang w:eastAsia="en-GB"/>
              </w:rPr>
            </w:pPr>
            <w:r w:rsidRPr="000971F9">
              <w:rPr>
                <w:rFonts w:ascii="Century Gothic" w:eastAsia="Times New Roman" w:hAnsi="Century Gothic" w:cs="Calibri"/>
                <w:b/>
                <w:bCs/>
                <w:i/>
                <w:iCs/>
                <w:color w:val="000000"/>
                <w:sz w:val="16"/>
                <w:szCs w:val="16"/>
                <w:lang w:eastAsia="en-GB"/>
              </w:rPr>
              <w:t> </w:t>
            </w:r>
          </w:p>
        </w:tc>
        <w:tc>
          <w:tcPr>
            <w:tcW w:w="835" w:type="pct"/>
            <w:shd w:val="clear" w:color="auto" w:fill="auto"/>
            <w:noWrap/>
            <w:vAlign w:val="center"/>
            <w:hideMark/>
          </w:tcPr>
          <w:p w14:paraId="512C2ED5" w14:textId="77777777" w:rsidR="007E0ABC" w:rsidRPr="000971F9" w:rsidRDefault="007E0ABC" w:rsidP="000971F9">
            <w:pPr>
              <w:jc w:val="center"/>
              <w:rPr>
                <w:rFonts w:ascii="Century Gothic" w:eastAsia="Times New Roman" w:hAnsi="Century Gothic" w:cs="Calibri"/>
                <w:b/>
                <w:bCs/>
                <w:i/>
                <w:iCs/>
                <w:color w:val="000000"/>
                <w:sz w:val="16"/>
                <w:szCs w:val="16"/>
                <w:lang w:eastAsia="en-GB"/>
              </w:rPr>
            </w:pPr>
            <w:r w:rsidRPr="000971F9">
              <w:rPr>
                <w:rFonts w:ascii="Century Gothic" w:eastAsia="Times New Roman" w:hAnsi="Century Gothic" w:cs="Calibri"/>
                <w:b/>
                <w:bCs/>
                <w:i/>
                <w:iCs/>
                <w:color w:val="000000"/>
                <w:sz w:val="16"/>
                <w:szCs w:val="16"/>
                <w:lang w:eastAsia="en-GB"/>
              </w:rPr>
              <w:t> </w:t>
            </w:r>
          </w:p>
        </w:tc>
        <w:tc>
          <w:tcPr>
            <w:tcW w:w="666" w:type="pct"/>
            <w:shd w:val="clear" w:color="auto" w:fill="auto"/>
            <w:noWrap/>
            <w:vAlign w:val="center"/>
            <w:hideMark/>
          </w:tcPr>
          <w:p w14:paraId="270D79DF" w14:textId="77777777" w:rsidR="007E0ABC" w:rsidRPr="000971F9" w:rsidRDefault="007E0ABC" w:rsidP="000971F9">
            <w:pPr>
              <w:jc w:val="center"/>
              <w:rPr>
                <w:rFonts w:ascii="Century Gothic" w:eastAsia="Times New Roman" w:hAnsi="Century Gothic" w:cs="Calibri"/>
                <w:b/>
                <w:bCs/>
                <w:i/>
                <w:iCs/>
                <w:color w:val="000000"/>
                <w:sz w:val="16"/>
                <w:szCs w:val="16"/>
                <w:lang w:eastAsia="en-GB"/>
              </w:rPr>
            </w:pPr>
            <w:r w:rsidRPr="000971F9">
              <w:rPr>
                <w:rFonts w:ascii="Century Gothic" w:eastAsia="Times New Roman" w:hAnsi="Century Gothic" w:cs="Calibri"/>
                <w:b/>
                <w:bCs/>
                <w:i/>
                <w:iCs/>
                <w:color w:val="000000"/>
                <w:sz w:val="16"/>
                <w:szCs w:val="16"/>
                <w:lang w:eastAsia="en-GB"/>
              </w:rPr>
              <w:t>Male</w:t>
            </w:r>
          </w:p>
        </w:tc>
        <w:tc>
          <w:tcPr>
            <w:tcW w:w="478" w:type="pct"/>
            <w:shd w:val="clear" w:color="auto" w:fill="auto"/>
            <w:vAlign w:val="center"/>
            <w:hideMark/>
          </w:tcPr>
          <w:p w14:paraId="4B092758"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 xml:space="preserve"> CI low</w:t>
            </w:r>
          </w:p>
        </w:tc>
        <w:tc>
          <w:tcPr>
            <w:tcW w:w="478" w:type="pct"/>
            <w:shd w:val="clear" w:color="auto" w:fill="auto"/>
            <w:vAlign w:val="center"/>
            <w:hideMark/>
          </w:tcPr>
          <w:p w14:paraId="393731D0"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CI up</w:t>
            </w:r>
          </w:p>
        </w:tc>
        <w:tc>
          <w:tcPr>
            <w:tcW w:w="702" w:type="pct"/>
            <w:shd w:val="clear" w:color="auto" w:fill="auto"/>
            <w:noWrap/>
            <w:vAlign w:val="center"/>
            <w:hideMark/>
          </w:tcPr>
          <w:p w14:paraId="157EC00C" w14:textId="77777777" w:rsidR="007E0ABC" w:rsidRPr="000971F9" w:rsidRDefault="007E0ABC" w:rsidP="000971F9">
            <w:pPr>
              <w:jc w:val="center"/>
              <w:rPr>
                <w:rFonts w:ascii="Century Gothic" w:eastAsia="Times New Roman" w:hAnsi="Century Gothic" w:cs="Calibri"/>
                <w:b/>
                <w:bCs/>
                <w:i/>
                <w:iCs/>
                <w:color w:val="000000"/>
                <w:sz w:val="16"/>
                <w:szCs w:val="16"/>
                <w:lang w:eastAsia="en-GB"/>
              </w:rPr>
            </w:pPr>
            <w:r w:rsidRPr="000971F9">
              <w:rPr>
                <w:rFonts w:ascii="Century Gothic" w:eastAsia="Times New Roman" w:hAnsi="Century Gothic" w:cs="Calibri"/>
                <w:b/>
                <w:bCs/>
                <w:i/>
                <w:iCs/>
                <w:color w:val="000000"/>
                <w:sz w:val="16"/>
                <w:szCs w:val="16"/>
                <w:lang w:eastAsia="en-GB"/>
              </w:rPr>
              <w:t>Female</w:t>
            </w:r>
          </w:p>
        </w:tc>
        <w:tc>
          <w:tcPr>
            <w:tcW w:w="502" w:type="pct"/>
            <w:shd w:val="clear" w:color="auto" w:fill="auto"/>
            <w:vAlign w:val="center"/>
            <w:hideMark/>
          </w:tcPr>
          <w:p w14:paraId="3A9A4AC6"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CI low</w:t>
            </w:r>
          </w:p>
        </w:tc>
        <w:tc>
          <w:tcPr>
            <w:tcW w:w="504" w:type="pct"/>
            <w:shd w:val="clear" w:color="auto" w:fill="auto"/>
            <w:vAlign w:val="center"/>
            <w:hideMark/>
          </w:tcPr>
          <w:p w14:paraId="4C337388"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CI up</w:t>
            </w:r>
          </w:p>
        </w:tc>
      </w:tr>
      <w:tr w:rsidR="007E0ABC" w:rsidRPr="000971F9" w14:paraId="79D38930" w14:textId="77777777" w:rsidTr="000971F9">
        <w:trPr>
          <w:trHeight w:val="283"/>
        </w:trPr>
        <w:tc>
          <w:tcPr>
            <w:tcW w:w="835" w:type="pct"/>
            <w:vMerge w:val="restart"/>
            <w:shd w:val="clear" w:color="auto" w:fill="auto"/>
            <w:noWrap/>
            <w:vAlign w:val="center"/>
            <w:hideMark/>
          </w:tcPr>
          <w:p w14:paraId="03F76863"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111</w:t>
            </w:r>
          </w:p>
        </w:tc>
        <w:tc>
          <w:tcPr>
            <w:tcW w:w="835" w:type="pct"/>
            <w:shd w:val="clear" w:color="auto" w:fill="auto"/>
            <w:noWrap/>
            <w:vAlign w:val="center"/>
            <w:hideMark/>
          </w:tcPr>
          <w:p w14:paraId="456C5A6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15-19</w:t>
            </w:r>
          </w:p>
        </w:tc>
        <w:tc>
          <w:tcPr>
            <w:tcW w:w="666" w:type="pct"/>
            <w:shd w:val="clear" w:color="auto" w:fill="auto"/>
            <w:noWrap/>
            <w:vAlign w:val="center"/>
            <w:hideMark/>
          </w:tcPr>
          <w:p w14:paraId="68D61E3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0.074</w:t>
            </w:r>
          </w:p>
        </w:tc>
        <w:tc>
          <w:tcPr>
            <w:tcW w:w="478" w:type="pct"/>
            <w:shd w:val="clear" w:color="auto" w:fill="auto"/>
            <w:noWrap/>
            <w:vAlign w:val="center"/>
            <w:hideMark/>
          </w:tcPr>
          <w:p w14:paraId="79518E7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0.072</w:t>
            </w:r>
          </w:p>
        </w:tc>
        <w:tc>
          <w:tcPr>
            <w:tcW w:w="478" w:type="pct"/>
            <w:shd w:val="clear" w:color="auto" w:fill="auto"/>
            <w:noWrap/>
            <w:vAlign w:val="center"/>
            <w:hideMark/>
          </w:tcPr>
          <w:p w14:paraId="48D3B32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0.076</w:t>
            </w:r>
          </w:p>
        </w:tc>
        <w:tc>
          <w:tcPr>
            <w:tcW w:w="702" w:type="pct"/>
            <w:shd w:val="clear" w:color="auto" w:fill="auto"/>
            <w:noWrap/>
            <w:vAlign w:val="center"/>
            <w:hideMark/>
          </w:tcPr>
          <w:p w14:paraId="7C8C373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0.152</w:t>
            </w:r>
          </w:p>
        </w:tc>
        <w:tc>
          <w:tcPr>
            <w:tcW w:w="502" w:type="pct"/>
            <w:shd w:val="clear" w:color="auto" w:fill="auto"/>
            <w:noWrap/>
            <w:vAlign w:val="center"/>
            <w:hideMark/>
          </w:tcPr>
          <w:p w14:paraId="2A2FB36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0.149</w:t>
            </w:r>
          </w:p>
        </w:tc>
        <w:tc>
          <w:tcPr>
            <w:tcW w:w="504" w:type="pct"/>
            <w:shd w:val="clear" w:color="auto" w:fill="auto"/>
            <w:noWrap/>
            <w:vAlign w:val="center"/>
            <w:hideMark/>
          </w:tcPr>
          <w:p w14:paraId="0301DEF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0.155</w:t>
            </w:r>
          </w:p>
        </w:tc>
      </w:tr>
      <w:tr w:rsidR="007E0ABC" w:rsidRPr="000971F9" w14:paraId="2D480FD4" w14:textId="77777777" w:rsidTr="000971F9">
        <w:trPr>
          <w:trHeight w:val="283"/>
        </w:trPr>
        <w:tc>
          <w:tcPr>
            <w:tcW w:w="835" w:type="pct"/>
            <w:vMerge/>
            <w:vAlign w:val="center"/>
            <w:hideMark/>
          </w:tcPr>
          <w:p w14:paraId="4342E004"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798C14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20-24</w:t>
            </w:r>
          </w:p>
        </w:tc>
        <w:tc>
          <w:tcPr>
            <w:tcW w:w="666" w:type="pct"/>
            <w:shd w:val="clear" w:color="auto" w:fill="auto"/>
            <w:noWrap/>
            <w:vAlign w:val="center"/>
            <w:hideMark/>
          </w:tcPr>
          <w:p w14:paraId="3A3CD4F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0.091</w:t>
            </w:r>
          </w:p>
        </w:tc>
        <w:tc>
          <w:tcPr>
            <w:tcW w:w="478" w:type="pct"/>
            <w:shd w:val="clear" w:color="auto" w:fill="auto"/>
            <w:noWrap/>
            <w:vAlign w:val="center"/>
            <w:hideMark/>
          </w:tcPr>
          <w:p w14:paraId="4AC28C2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0.089</w:t>
            </w:r>
          </w:p>
        </w:tc>
        <w:tc>
          <w:tcPr>
            <w:tcW w:w="478" w:type="pct"/>
            <w:shd w:val="clear" w:color="auto" w:fill="auto"/>
            <w:noWrap/>
            <w:vAlign w:val="center"/>
            <w:hideMark/>
          </w:tcPr>
          <w:p w14:paraId="2487832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0.093</w:t>
            </w:r>
          </w:p>
        </w:tc>
        <w:tc>
          <w:tcPr>
            <w:tcW w:w="702" w:type="pct"/>
            <w:shd w:val="clear" w:color="auto" w:fill="auto"/>
            <w:noWrap/>
            <w:vAlign w:val="center"/>
            <w:hideMark/>
          </w:tcPr>
          <w:p w14:paraId="7DBEE72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0.188</w:t>
            </w:r>
          </w:p>
        </w:tc>
        <w:tc>
          <w:tcPr>
            <w:tcW w:w="502" w:type="pct"/>
            <w:shd w:val="clear" w:color="auto" w:fill="auto"/>
            <w:noWrap/>
            <w:vAlign w:val="center"/>
            <w:hideMark/>
          </w:tcPr>
          <w:p w14:paraId="1FB68C4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0.185</w:t>
            </w:r>
          </w:p>
        </w:tc>
        <w:tc>
          <w:tcPr>
            <w:tcW w:w="504" w:type="pct"/>
            <w:shd w:val="clear" w:color="auto" w:fill="auto"/>
            <w:noWrap/>
            <w:vAlign w:val="center"/>
            <w:hideMark/>
          </w:tcPr>
          <w:p w14:paraId="3931243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0.191</w:t>
            </w:r>
          </w:p>
        </w:tc>
      </w:tr>
      <w:tr w:rsidR="007E0ABC" w:rsidRPr="000971F9" w14:paraId="585AA3A0" w14:textId="77777777" w:rsidTr="000971F9">
        <w:trPr>
          <w:trHeight w:val="283"/>
        </w:trPr>
        <w:tc>
          <w:tcPr>
            <w:tcW w:w="835" w:type="pct"/>
            <w:vMerge/>
            <w:vAlign w:val="center"/>
            <w:hideMark/>
          </w:tcPr>
          <w:p w14:paraId="4093FF6C"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8BAB00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25-29</w:t>
            </w:r>
          </w:p>
        </w:tc>
        <w:tc>
          <w:tcPr>
            <w:tcW w:w="666" w:type="pct"/>
            <w:shd w:val="clear" w:color="auto" w:fill="auto"/>
            <w:noWrap/>
            <w:vAlign w:val="center"/>
            <w:hideMark/>
          </w:tcPr>
          <w:p w14:paraId="7D007FB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0.129</w:t>
            </w:r>
          </w:p>
        </w:tc>
        <w:tc>
          <w:tcPr>
            <w:tcW w:w="478" w:type="pct"/>
            <w:shd w:val="clear" w:color="auto" w:fill="auto"/>
            <w:noWrap/>
            <w:vAlign w:val="center"/>
            <w:hideMark/>
          </w:tcPr>
          <w:p w14:paraId="17309B0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0.126</w:t>
            </w:r>
          </w:p>
        </w:tc>
        <w:tc>
          <w:tcPr>
            <w:tcW w:w="478" w:type="pct"/>
            <w:shd w:val="clear" w:color="auto" w:fill="auto"/>
            <w:noWrap/>
            <w:vAlign w:val="center"/>
            <w:hideMark/>
          </w:tcPr>
          <w:p w14:paraId="3EB70AD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0.132</w:t>
            </w:r>
          </w:p>
        </w:tc>
        <w:tc>
          <w:tcPr>
            <w:tcW w:w="702" w:type="pct"/>
            <w:shd w:val="clear" w:color="auto" w:fill="auto"/>
            <w:noWrap/>
            <w:vAlign w:val="center"/>
            <w:hideMark/>
          </w:tcPr>
          <w:p w14:paraId="0F28C58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0.209</w:t>
            </w:r>
          </w:p>
        </w:tc>
        <w:tc>
          <w:tcPr>
            <w:tcW w:w="502" w:type="pct"/>
            <w:shd w:val="clear" w:color="auto" w:fill="auto"/>
            <w:noWrap/>
            <w:vAlign w:val="center"/>
            <w:hideMark/>
          </w:tcPr>
          <w:p w14:paraId="2A2DE46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0.205</w:t>
            </w:r>
          </w:p>
        </w:tc>
        <w:tc>
          <w:tcPr>
            <w:tcW w:w="504" w:type="pct"/>
            <w:shd w:val="clear" w:color="auto" w:fill="auto"/>
            <w:noWrap/>
            <w:vAlign w:val="center"/>
            <w:hideMark/>
          </w:tcPr>
          <w:p w14:paraId="3DA0AEB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0.213</w:t>
            </w:r>
          </w:p>
        </w:tc>
      </w:tr>
      <w:tr w:rsidR="007E0ABC" w:rsidRPr="000971F9" w14:paraId="6496C9D3" w14:textId="77777777" w:rsidTr="000971F9">
        <w:trPr>
          <w:trHeight w:val="283"/>
        </w:trPr>
        <w:tc>
          <w:tcPr>
            <w:tcW w:w="835" w:type="pct"/>
            <w:vMerge/>
            <w:vAlign w:val="center"/>
            <w:hideMark/>
          </w:tcPr>
          <w:p w14:paraId="28441D79"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82B777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30-34</w:t>
            </w:r>
          </w:p>
        </w:tc>
        <w:tc>
          <w:tcPr>
            <w:tcW w:w="666" w:type="pct"/>
            <w:shd w:val="clear" w:color="auto" w:fill="auto"/>
            <w:noWrap/>
            <w:vAlign w:val="center"/>
            <w:hideMark/>
          </w:tcPr>
          <w:p w14:paraId="1692AEC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w:t>
            </w:r>
          </w:p>
        </w:tc>
        <w:tc>
          <w:tcPr>
            <w:tcW w:w="478" w:type="pct"/>
            <w:shd w:val="clear" w:color="auto" w:fill="auto"/>
            <w:noWrap/>
            <w:vAlign w:val="center"/>
            <w:hideMark/>
          </w:tcPr>
          <w:p w14:paraId="1448CC8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0.107</w:t>
            </w:r>
          </w:p>
        </w:tc>
        <w:tc>
          <w:tcPr>
            <w:tcW w:w="478" w:type="pct"/>
            <w:shd w:val="clear" w:color="auto" w:fill="auto"/>
            <w:noWrap/>
            <w:vAlign w:val="center"/>
            <w:hideMark/>
          </w:tcPr>
          <w:p w14:paraId="47DA6F7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0.113</w:t>
            </w:r>
          </w:p>
        </w:tc>
        <w:tc>
          <w:tcPr>
            <w:tcW w:w="702" w:type="pct"/>
            <w:shd w:val="clear" w:color="auto" w:fill="auto"/>
            <w:noWrap/>
            <w:vAlign w:val="center"/>
            <w:hideMark/>
          </w:tcPr>
          <w:p w14:paraId="21F40D9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0.159</w:t>
            </w:r>
          </w:p>
        </w:tc>
        <w:tc>
          <w:tcPr>
            <w:tcW w:w="502" w:type="pct"/>
            <w:shd w:val="clear" w:color="auto" w:fill="auto"/>
            <w:noWrap/>
            <w:vAlign w:val="center"/>
            <w:hideMark/>
          </w:tcPr>
          <w:p w14:paraId="2AB9308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0.156</w:t>
            </w:r>
          </w:p>
        </w:tc>
        <w:tc>
          <w:tcPr>
            <w:tcW w:w="504" w:type="pct"/>
            <w:shd w:val="clear" w:color="auto" w:fill="auto"/>
            <w:noWrap/>
            <w:vAlign w:val="center"/>
            <w:hideMark/>
          </w:tcPr>
          <w:p w14:paraId="1D8724A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0.162</w:t>
            </w:r>
          </w:p>
        </w:tc>
      </w:tr>
      <w:tr w:rsidR="007E0ABC" w:rsidRPr="000971F9" w14:paraId="7300E5A5" w14:textId="77777777" w:rsidTr="000971F9">
        <w:trPr>
          <w:trHeight w:val="283"/>
        </w:trPr>
        <w:tc>
          <w:tcPr>
            <w:tcW w:w="835" w:type="pct"/>
            <w:vMerge/>
            <w:vAlign w:val="center"/>
            <w:hideMark/>
          </w:tcPr>
          <w:p w14:paraId="07C9A0B6"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D271FA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35-39</w:t>
            </w:r>
          </w:p>
        </w:tc>
        <w:tc>
          <w:tcPr>
            <w:tcW w:w="666" w:type="pct"/>
            <w:shd w:val="clear" w:color="auto" w:fill="auto"/>
            <w:noWrap/>
            <w:vAlign w:val="center"/>
            <w:hideMark/>
          </w:tcPr>
          <w:p w14:paraId="40F6836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w:t>
            </w:r>
          </w:p>
        </w:tc>
        <w:tc>
          <w:tcPr>
            <w:tcW w:w="478" w:type="pct"/>
            <w:shd w:val="clear" w:color="auto" w:fill="auto"/>
            <w:noWrap/>
            <w:vAlign w:val="center"/>
            <w:hideMark/>
          </w:tcPr>
          <w:p w14:paraId="4C1C5E5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0.087</w:t>
            </w:r>
          </w:p>
        </w:tc>
        <w:tc>
          <w:tcPr>
            <w:tcW w:w="478" w:type="pct"/>
            <w:shd w:val="clear" w:color="auto" w:fill="auto"/>
            <w:noWrap/>
            <w:vAlign w:val="center"/>
            <w:hideMark/>
          </w:tcPr>
          <w:p w14:paraId="775CDBF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0.093</w:t>
            </w:r>
          </w:p>
        </w:tc>
        <w:tc>
          <w:tcPr>
            <w:tcW w:w="702" w:type="pct"/>
            <w:shd w:val="clear" w:color="auto" w:fill="auto"/>
            <w:noWrap/>
            <w:vAlign w:val="center"/>
            <w:hideMark/>
          </w:tcPr>
          <w:p w14:paraId="407080A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0.127</w:t>
            </w:r>
          </w:p>
        </w:tc>
        <w:tc>
          <w:tcPr>
            <w:tcW w:w="502" w:type="pct"/>
            <w:shd w:val="clear" w:color="auto" w:fill="auto"/>
            <w:noWrap/>
            <w:vAlign w:val="center"/>
            <w:hideMark/>
          </w:tcPr>
          <w:p w14:paraId="3705722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0.124</w:t>
            </w:r>
          </w:p>
        </w:tc>
        <w:tc>
          <w:tcPr>
            <w:tcW w:w="504" w:type="pct"/>
            <w:shd w:val="clear" w:color="auto" w:fill="auto"/>
            <w:noWrap/>
            <w:vAlign w:val="center"/>
            <w:hideMark/>
          </w:tcPr>
          <w:p w14:paraId="66F8D49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w:t>
            </w:r>
          </w:p>
        </w:tc>
      </w:tr>
      <w:tr w:rsidR="007E0ABC" w:rsidRPr="000971F9" w14:paraId="36102E2C" w14:textId="77777777" w:rsidTr="000971F9">
        <w:trPr>
          <w:trHeight w:val="283"/>
        </w:trPr>
        <w:tc>
          <w:tcPr>
            <w:tcW w:w="835" w:type="pct"/>
            <w:vMerge/>
            <w:vAlign w:val="center"/>
            <w:hideMark/>
          </w:tcPr>
          <w:p w14:paraId="0476D2A5"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D7BC66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40-44</w:t>
            </w:r>
          </w:p>
        </w:tc>
        <w:tc>
          <w:tcPr>
            <w:tcW w:w="666" w:type="pct"/>
            <w:shd w:val="clear" w:color="auto" w:fill="auto"/>
            <w:noWrap/>
            <w:vAlign w:val="center"/>
            <w:hideMark/>
          </w:tcPr>
          <w:p w14:paraId="70773BA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0.083</w:t>
            </w:r>
          </w:p>
        </w:tc>
        <w:tc>
          <w:tcPr>
            <w:tcW w:w="478" w:type="pct"/>
            <w:shd w:val="clear" w:color="auto" w:fill="auto"/>
            <w:noWrap/>
            <w:vAlign w:val="center"/>
            <w:hideMark/>
          </w:tcPr>
          <w:p w14:paraId="2939490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0.081</w:t>
            </w:r>
          </w:p>
        </w:tc>
        <w:tc>
          <w:tcPr>
            <w:tcW w:w="478" w:type="pct"/>
            <w:shd w:val="clear" w:color="auto" w:fill="auto"/>
            <w:noWrap/>
            <w:vAlign w:val="center"/>
            <w:hideMark/>
          </w:tcPr>
          <w:p w14:paraId="15B3115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0.085</w:t>
            </w:r>
          </w:p>
        </w:tc>
        <w:tc>
          <w:tcPr>
            <w:tcW w:w="702" w:type="pct"/>
            <w:shd w:val="clear" w:color="auto" w:fill="auto"/>
            <w:noWrap/>
            <w:vAlign w:val="center"/>
            <w:hideMark/>
          </w:tcPr>
          <w:p w14:paraId="11AC3BB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0.102</w:t>
            </w:r>
          </w:p>
        </w:tc>
        <w:tc>
          <w:tcPr>
            <w:tcW w:w="502" w:type="pct"/>
            <w:shd w:val="clear" w:color="auto" w:fill="auto"/>
            <w:noWrap/>
            <w:vAlign w:val="center"/>
            <w:hideMark/>
          </w:tcPr>
          <w:p w14:paraId="177C063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0.099</w:t>
            </w:r>
          </w:p>
        </w:tc>
        <w:tc>
          <w:tcPr>
            <w:tcW w:w="504" w:type="pct"/>
            <w:shd w:val="clear" w:color="auto" w:fill="auto"/>
            <w:noWrap/>
            <w:vAlign w:val="center"/>
            <w:hideMark/>
          </w:tcPr>
          <w:p w14:paraId="0C0850C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0.105</w:t>
            </w:r>
          </w:p>
        </w:tc>
      </w:tr>
      <w:tr w:rsidR="007E0ABC" w:rsidRPr="000971F9" w14:paraId="63DDE438" w14:textId="77777777" w:rsidTr="000971F9">
        <w:trPr>
          <w:trHeight w:val="283"/>
        </w:trPr>
        <w:tc>
          <w:tcPr>
            <w:tcW w:w="835" w:type="pct"/>
            <w:vMerge/>
            <w:vAlign w:val="center"/>
            <w:hideMark/>
          </w:tcPr>
          <w:p w14:paraId="25C83131"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C13EB2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45-49</w:t>
            </w:r>
          </w:p>
        </w:tc>
        <w:tc>
          <w:tcPr>
            <w:tcW w:w="666" w:type="pct"/>
            <w:shd w:val="clear" w:color="auto" w:fill="auto"/>
            <w:noWrap/>
            <w:vAlign w:val="center"/>
            <w:hideMark/>
          </w:tcPr>
          <w:p w14:paraId="73314CD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0.074</w:t>
            </w:r>
          </w:p>
        </w:tc>
        <w:tc>
          <w:tcPr>
            <w:tcW w:w="478" w:type="pct"/>
            <w:shd w:val="clear" w:color="auto" w:fill="auto"/>
            <w:noWrap/>
            <w:vAlign w:val="center"/>
            <w:hideMark/>
          </w:tcPr>
          <w:p w14:paraId="455F041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0.072</w:t>
            </w:r>
          </w:p>
        </w:tc>
        <w:tc>
          <w:tcPr>
            <w:tcW w:w="478" w:type="pct"/>
            <w:shd w:val="clear" w:color="auto" w:fill="auto"/>
            <w:noWrap/>
            <w:vAlign w:val="center"/>
            <w:hideMark/>
          </w:tcPr>
          <w:p w14:paraId="692BE02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0.076</w:t>
            </w:r>
          </w:p>
        </w:tc>
        <w:tc>
          <w:tcPr>
            <w:tcW w:w="702" w:type="pct"/>
            <w:shd w:val="clear" w:color="auto" w:fill="auto"/>
            <w:noWrap/>
            <w:vAlign w:val="center"/>
            <w:hideMark/>
          </w:tcPr>
          <w:p w14:paraId="5343528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0.094</w:t>
            </w:r>
          </w:p>
        </w:tc>
        <w:tc>
          <w:tcPr>
            <w:tcW w:w="502" w:type="pct"/>
            <w:shd w:val="clear" w:color="auto" w:fill="auto"/>
            <w:noWrap/>
            <w:vAlign w:val="center"/>
            <w:hideMark/>
          </w:tcPr>
          <w:p w14:paraId="58C1990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0.091</w:t>
            </w:r>
          </w:p>
        </w:tc>
        <w:tc>
          <w:tcPr>
            <w:tcW w:w="504" w:type="pct"/>
            <w:shd w:val="clear" w:color="auto" w:fill="auto"/>
            <w:noWrap/>
            <w:vAlign w:val="center"/>
            <w:hideMark/>
          </w:tcPr>
          <w:p w14:paraId="16194E4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0.097</w:t>
            </w:r>
          </w:p>
        </w:tc>
      </w:tr>
      <w:tr w:rsidR="007E0ABC" w:rsidRPr="000971F9" w14:paraId="18682A23" w14:textId="77777777" w:rsidTr="000971F9">
        <w:trPr>
          <w:trHeight w:val="283"/>
        </w:trPr>
        <w:tc>
          <w:tcPr>
            <w:tcW w:w="835" w:type="pct"/>
            <w:vMerge/>
            <w:vAlign w:val="center"/>
            <w:hideMark/>
          </w:tcPr>
          <w:p w14:paraId="52892909"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2F81F4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50-54</w:t>
            </w:r>
          </w:p>
        </w:tc>
        <w:tc>
          <w:tcPr>
            <w:tcW w:w="666" w:type="pct"/>
            <w:shd w:val="clear" w:color="auto" w:fill="auto"/>
            <w:noWrap/>
            <w:vAlign w:val="center"/>
            <w:hideMark/>
          </w:tcPr>
          <w:p w14:paraId="33D5AF6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w:t>
            </w:r>
          </w:p>
        </w:tc>
        <w:tc>
          <w:tcPr>
            <w:tcW w:w="478" w:type="pct"/>
            <w:shd w:val="clear" w:color="auto" w:fill="auto"/>
            <w:noWrap/>
            <w:vAlign w:val="center"/>
            <w:hideMark/>
          </w:tcPr>
          <w:p w14:paraId="27B7DC8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0.019</w:t>
            </w:r>
          </w:p>
        </w:tc>
        <w:tc>
          <w:tcPr>
            <w:tcW w:w="478" w:type="pct"/>
            <w:shd w:val="clear" w:color="auto" w:fill="auto"/>
            <w:noWrap/>
            <w:vAlign w:val="center"/>
            <w:hideMark/>
          </w:tcPr>
          <w:p w14:paraId="5393675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0.021</w:t>
            </w:r>
          </w:p>
        </w:tc>
        <w:tc>
          <w:tcPr>
            <w:tcW w:w="702" w:type="pct"/>
            <w:shd w:val="clear" w:color="auto" w:fill="auto"/>
            <w:noWrap/>
            <w:vAlign w:val="center"/>
            <w:hideMark/>
          </w:tcPr>
          <w:p w14:paraId="58F0D8C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0.025</w:t>
            </w:r>
          </w:p>
        </w:tc>
        <w:tc>
          <w:tcPr>
            <w:tcW w:w="502" w:type="pct"/>
            <w:shd w:val="clear" w:color="auto" w:fill="auto"/>
            <w:noWrap/>
            <w:vAlign w:val="center"/>
            <w:hideMark/>
          </w:tcPr>
          <w:p w14:paraId="2AB88E5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0.024</w:t>
            </w:r>
          </w:p>
        </w:tc>
        <w:tc>
          <w:tcPr>
            <w:tcW w:w="504" w:type="pct"/>
            <w:shd w:val="clear" w:color="auto" w:fill="auto"/>
            <w:noWrap/>
            <w:vAlign w:val="center"/>
            <w:hideMark/>
          </w:tcPr>
          <w:p w14:paraId="0539E08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0.026</w:t>
            </w:r>
          </w:p>
        </w:tc>
      </w:tr>
      <w:tr w:rsidR="007E0ABC" w:rsidRPr="000971F9" w14:paraId="5013BF24" w14:textId="77777777" w:rsidTr="000971F9">
        <w:trPr>
          <w:trHeight w:val="283"/>
        </w:trPr>
        <w:tc>
          <w:tcPr>
            <w:tcW w:w="835" w:type="pct"/>
            <w:vMerge/>
            <w:vAlign w:val="center"/>
            <w:hideMark/>
          </w:tcPr>
          <w:p w14:paraId="6F253AEE"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252C1D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55-59</w:t>
            </w:r>
          </w:p>
        </w:tc>
        <w:tc>
          <w:tcPr>
            <w:tcW w:w="666" w:type="pct"/>
            <w:shd w:val="clear" w:color="auto" w:fill="auto"/>
            <w:noWrap/>
            <w:vAlign w:val="center"/>
            <w:hideMark/>
          </w:tcPr>
          <w:p w14:paraId="3BE2EE8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0.077</w:t>
            </w:r>
          </w:p>
        </w:tc>
        <w:tc>
          <w:tcPr>
            <w:tcW w:w="478" w:type="pct"/>
            <w:shd w:val="clear" w:color="auto" w:fill="auto"/>
            <w:noWrap/>
            <w:vAlign w:val="center"/>
            <w:hideMark/>
          </w:tcPr>
          <w:p w14:paraId="0BE4BAD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0.074</w:t>
            </w:r>
          </w:p>
        </w:tc>
        <w:tc>
          <w:tcPr>
            <w:tcW w:w="478" w:type="pct"/>
            <w:shd w:val="clear" w:color="auto" w:fill="auto"/>
            <w:noWrap/>
            <w:vAlign w:val="center"/>
            <w:hideMark/>
          </w:tcPr>
          <w:p w14:paraId="60DF6FE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w:t>
            </w:r>
          </w:p>
        </w:tc>
        <w:tc>
          <w:tcPr>
            <w:tcW w:w="702" w:type="pct"/>
            <w:shd w:val="clear" w:color="auto" w:fill="auto"/>
            <w:noWrap/>
            <w:vAlign w:val="center"/>
            <w:hideMark/>
          </w:tcPr>
          <w:p w14:paraId="76D5403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0.094</w:t>
            </w:r>
          </w:p>
        </w:tc>
        <w:tc>
          <w:tcPr>
            <w:tcW w:w="502" w:type="pct"/>
            <w:shd w:val="clear" w:color="auto" w:fill="auto"/>
            <w:noWrap/>
            <w:vAlign w:val="center"/>
            <w:hideMark/>
          </w:tcPr>
          <w:p w14:paraId="6E0E7B5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0.091</w:t>
            </w:r>
          </w:p>
        </w:tc>
        <w:tc>
          <w:tcPr>
            <w:tcW w:w="504" w:type="pct"/>
            <w:shd w:val="clear" w:color="auto" w:fill="auto"/>
            <w:noWrap/>
            <w:vAlign w:val="center"/>
            <w:hideMark/>
          </w:tcPr>
          <w:p w14:paraId="3C9F8DE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0.097</w:t>
            </w:r>
          </w:p>
        </w:tc>
      </w:tr>
      <w:tr w:rsidR="007E0ABC" w:rsidRPr="000971F9" w14:paraId="395E2EAF" w14:textId="77777777" w:rsidTr="000971F9">
        <w:trPr>
          <w:trHeight w:val="283"/>
        </w:trPr>
        <w:tc>
          <w:tcPr>
            <w:tcW w:w="835" w:type="pct"/>
            <w:vMerge/>
            <w:vAlign w:val="center"/>
            <w:hideMark/>
          </w:tcPr>
          <w:p w14:paraId="2098BB52"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E56FA3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60-64</w:t>
            </w:r>
          </w:p>
        </w:tc>
        <w:tc>
          <w:tcPr>
            <w:tcW w:w="666" w:type="pct"/>
            <w:shd w:val="clear" w:color="auto" w:fill="auto"/>
            <w:noWrap/>
            <w:vAlign w:val="center"/>
            <w:hideMark/>
          </w:tcPr>
          <w:p w14:paraId="09C9665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0.077</w:t>
            </w:r>
          </w:p>
        </w:tc>
        <w:tc>
          <w:tcPr>
            <w:tcW w:w="478" w:type="pct"/>
            <w:shd w:val="clear" w:color="auto" w:fill="auto"/>
            <w:noWrap/>
            <w:vAlign w:val="center"/>
            <w:hideMark/>
          </w:tcPr>
          <w:p w14:paraId="0E6731E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0.074</w:t>
            </w:r>
          </w:p>
        </w:tc>
        <w:tc>
          <w:tcPr>
            <w:tcW w:w="478" w:type="pct"/>
            <w:shd w:val="clear" w:color="auto" w:fill="auto"/>
            <w:noWrap/>
            <w:vAlign w:val="center"/>
            <w:hideMark/>
          </w:tcPr>
          <w:p w14:paraId="27F33EA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w:t>
            </w:r>
          </w:p>
        </w:tc>
        <w:tc>
          <w:tcPr>
            <w:tcW w:w="702" w:type="pct"/>
            <w:shd w:val="clear" w:color="auto" w:fill="auto"/>
            <w:noWrap/>
            <w:vAlign w:val="center"/>
            <w:hideMark/>
          </w:tcPr>
          <w:p w14:paraId="39B708D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0.086</w:t>
            </w:r>
          </w:p>
        </w:tc>
        <w:tc>
          <w:tcPr>
            <w:tcW w:w="502" w:type="pct"/>
            <w:shd w:val="clear" w:color="auto" w:fill="auto"/>
            <w:noWrap/>
            <w:vAlign w:val="center"/>
            <w:hideMark/>
          </w:tcPr>
          <w:p w14:paraId="3DDB3C8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0.083</w:t>
            </w:r>
          </w:p>
        </w:tc>
        <w:tc>
          <w:tcPr>
            <w:tcW w:w="504" w:type="pct"/>
            <w:shd w:val="clear" w:color="auto" w:fill="auto"/>
            <w:noWrap/>
            <w:vAlign w:val="center"/>
            <w:hideMark/>
          </w:tcPr>
          <w:p w14:paraId="1EAEF79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0.089</w:t>
            </w:r>
          </w:p>
        </w:tc>
      </w:tr>
      <w:tr w:rsidR="007E0ABC" w:rsidRPr="000971F9" w14:paraId="34C06C62" w14:textId="77777777" w:rsidTr="000971F9">
        <w:trPr>
          <w:trHeight w:val="283"/>
        </w:trPr>
        <w:tc>
          <w:tcPr>
            <w:tcW w:w="835" w:type="pct"/>
            <w:vMerge/>
            <w:vAlign w:val="center"/>
            <w:hideMark/>
          </w:tcPr>
          <w:p w14:paraId="6D31B195"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2676A24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65-69</w:t>
            </w:r>
          </w:p>
        </w:tc>
        <w:tc>
          <w:tcPr>
            <w:tcW w:w="666" w:type="pct"/>
            <w:shd w:val="clear" w:color="auto" w:fill="auto"/>
            <w:noWrap/>
            <w:vAlign w:val="center"/>
            <w:hideMark/>
          </w:tcPr>
          <w:p w14:paraId="303D69D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0.084</w:t>
            </w:r>
          </w:p>
        </w:tc>
        <w:tc>
          <w:tcPr>
            <w:tcW w:w="478" w:type="pct"/>
            <w:shd w:val="clear" w:color="auto" w:fill="auto"/>
            <w:noWrap/>
            <w:vAlign w:val="center"/>
            <w:hideMark/>
          </w:tcPr>
          <w:p w14:paraId="3F135A3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0.081</w:t>
            </w:r>
          </w:p>
        </w:tc>
        <w:tc>
          <w:tcPr>
            <w:tcW w:w="478" w:type="pct"/>
            <w:shd w:val="clear" w:color="auto" w:fill="auto"/>
            <w:noWrap/>
            <w:vAlign w:val="center"/>
            <w:hideMark/>
          </w:tcPr>
          <w:p w14:paraId="6477DCE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0.087</w:t>
            </w:r>
          </w:p>
        </w:tc>
        <w:tc>
          <w:tcPr>
            <w:tcW w:w="702" w:type="pct"/>
            <w:shd w:val="clear" w:color="auto" w:fill="auto"/>
            <w:noWrap/>
            <w:vAlign w:val="center"/>
            <w:hideMark/>
          </w:tcPr>
          <w:p w14:paraId="656227E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w:t>
            </w:r>
          </w:p>
        </w:tc>
        <w:tc>
          <w:tcPr>
            <w:tcW w:w="502" w:type="pct"/>
            <w:shd w:val="clear" w:color="auto" w:fill="auto"/>
            <w:noWrap/>
            <w:vAlign w:val="center"/>
            <w:hideMark/>
          </w:tcPr>
          <w:p w14:paraId="01A1227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0.087</w:t>
            </w:r>
          </w:p>
        </w:tc>
        <w:tc>
          <w:tcPr>
            <w:tcW w:w="504" w:type="pct"/>
            <w:shd w:val="clear" w:color="auto" w:fill="auto"/>
            <w:noWrap/>
            <w:vAlign w:val="center"/>
            <w:hideMark/>
          </w:tcPr>
          <w:p w14:paraId="1DB49B8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0.093</w:t>
            </w:r>
          </w:p>
        </w:tc>
      </w:tr>
      <w:tr w:rsidR="007E0ABC" w:rsidRPr="000971F9" w14:paraId="6DBE9AAC" w14:textId="77777777" w:rsidTr="000971F9">
        <w:trPr>
          <w:trHeight w:val="283"/>
        </w:trPr>
        <w:tc>
          <w:tcPr>
            <w:tcW w:w="835" w:type="pct"/>
            <w:vMerge/>
            <w:vAlign w:val="center"/>
            <w:hideMark/>
          </w:tcPr>
          <w:p w14:paraId="550AA9C1"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51F318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70-74</w:t>
            </w:r>
          </w:p>
        </w:tc>
        <w:tc>
          <w:tcPr>
            <w:tcW w:w="666" w:type="pct"/>
            <w:shd w:val="clear" w:color="auto" w:fill="auto"/>
            <w:noWrap/>
            <w:vAlign w:val="center"/>
            <w:hideMark/>
          </w:tcPr>
          <w:p w14:paraId="68BB290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0.105</w:t>
            </w:r>
          </w:p>
        </w:tc>
        <w:tc>
          <w:tcPr>
            <w:tcW w:w="478" w:type="pct"/>
            <w:shd w:val="clear" w:color="auto" w:fill="auto"/>
            <w:noWrap/>
            <w:vAlign w:val="center"/>
            <w:hideMark/>
          </w:tcPr>
          <w:p w14:paraId="6F220BD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0.101</w:t>
            </w:r>
          </w:p>
        </w:tc>
        <w:tc>
          <w:tcPr>
            <w:tcW w:w="478" w:type="pct"/>
            <w:shd w:val="clear" w:color="auto" w:fill="auto"/>
            <w:noWrap/>
            <w:vAlign w:val="center"/>
            <w:hideMark/>
          </w:tcPr>
          <w:p w14:paraId="082C510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0.109</w:t>
            </w:r>
          </w:p>
        </w:tc>
        <w:tc>
          <w:tcPr>
            <w:tcW w:w="702" w:type="pct"/>
            <w:shd w:val="clear" w:color="auto" w:fill="auto"/>
            <w:noWrap/>
            <w:vAlign w:val="center"/>
            <w:hideMark/>
          </w:tcPr>
          <w:p w14:paraId="272E50F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0.114</w:t>
            </w:r>
          </w:p>
        </w:tc>
        <w:tc>
          <w:tcPr>
            <w:tcW w:w="502" w:type="pct"/>
            <w:shd w:val="clear" w:color="auto" w:fill="auto"/>
            <w:noWrap/>
            <w:vAlign w:val="center"/>
            <w:hideMark/>
          </w:tcPr>
          <w:p w14:paraId="36E3F2A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w:t>
            </w:r>
          </w:p>
        </w:tc>
        <w:tc>
          <w:tcPr>
            <w:tcW w:w="504" w:type="pct"/>
            <w:shd w:val="clear" w:color="auto" w:fill="auto"/>
            <w:noWrap/>
            <w:vAlign w:val="center"/>
            <w:hideMark/>
          </w:tcPr>
          <w:p w14:paraId="61E01CD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0.118</w:t>
            </w:r>
          </w:p>
        </w:tc>
      </w:tr>
      <w:tr w:rsidR="007E0ABC" w:rsidRPr="000971F9" w14:paraId="5841C720" w14:textId="77777777" w:rsidTr="000971F9">
        <w:trPr>
          <w:trHeight w:val="283"/>
        </w:trPr>
        <w:tc>
          <w:tcPr>
            <w:tcW w:w="835" w:type="pct"/>
            <w:vMerge/>
            <w:vAlign w:val="center"/>
            <w:hideMark/>
          </w:tcPr>
          <w:p w14:paraId="4440B863"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1EE8A3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75-79</w:t>
            </w:r>
          </w:p>
        </w:tc>
        <w:tc>
          <w:tcPr>
            <w:tcW w:w="666" w:type="pct"/>
            <w:shd w:val="clear" w:color="auto" w:fill="auto"/>
            <w:noWrap/>
            <w:vAlign w:val="center"/>
            <w:hideMark/>
          </w:tcPr>
          <w:p w14:paraId="3738B75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0.136</w:t>
            </w:r>
          </w:p>
        </w:tc>
        <w:tc>
          <w:tcPr>
            <w:tcW w:w="478" w:type="pct"/>
            <w:shd w:val="clear" w:color="auto" w:fill="auto"/>
            <w:noWrap/>
            <w:vAlign w:val="center"/>
            <w:hideMark/>
          </w:tcPr>
          <w:p w14:paraId="15DF801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0.131</w:t>
            </w:r>
          </w:p>
        </w:tc>
        <w:tc>
          <w:tcPr>
            <w:tcW w:w="478" w:type="pct"/>
            <w:shd w:val="clear" w:color="auto" w:fill="auto"/>
            <w:noWrap/>
            <w:vAlign w:val="center"/>
            <w:hideMark/>
          </w:tcPr>
          <w:p w14:paraId="3A42F01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0.141</w:t>
            </w:r>
          </w:p>
        </w:tc>
        <w:tc>
          <w:tcPr>
            <w:tcW w:w="702" w:type="pct"/>
            <w:shd w:val="clear" w:color="auto" w:fill="auto"/>
            <w:noWrap/>
            <w:vAlign w:val="center"/>
            <w:hideMark/>
          </w:tcPr>
          <w:p w14:paraId="350273F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0.144</w:t>
            </w:r>
          </w:p>
        </w:tc>
        <w:tc>
          <w:tcPr>
            <w:tcW w:w="502" w:type="pct"/>
            <w:shd w:val="clear" w:color="auto" w:fill="auto"/>
            <w:noWrap/>
            <w:vAlign w:val="center"/>
            <w:hideMark/>
          </w:tcPr>
          <w:p w14:paraId="3A28502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w:t>
            </w:r>
          </w:p>
        </w:tc>
        <w:tc>
          <w:tcPr>
            <w:tcW w:w="504" w:type="pct"/>
            <w:shd w:val="clear" w:color="auto" w:fill="auto"/>
            <w:noWrap/>
            <w:vAlign w:val="center"/>
            <w:hideMark/>
          </w:tcPr>
          <w:p w14:paraId="3797DE8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0.148</w:t>
            </w:r>
          </w:p>
        </w:tc>
      </w:tr>
      <w:tr w:rsidR="007E0ABC" w:rsidRPr="000971F9" w14:paraId="28B9FB27" w14:textId="77777777" w:rsidTr="000971F9">
        <w:trPr>
          <w:trHeight w:val="283"/>
        </w:trPr>
        <w:tc>
          <w:tcPr>
            <w:tcW w:w="835" w:type="pct"/>
            <w:vMerge w:val="restart"/>
            <w:shd w:val="clear" w:color="auto" w:fill="auto"/>
            <w:noWrap/>
            <w:vAlign w:val="center"/>
            <w:hideMark/>
          </w:tcPr>
          <w:p w14:paraId="6E80F2C9"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AMB</w:t>
            </w:r>
          </w:p>
        </w:tc>
        <w:tc>
          <w:tcPr>
            <w:tcW w:w="835" w:type="pct"/>
            <w:shd w:val="clear" w:color="auto" w:fill="auto"/>
            <w:noWrap/>
            <w:vAlign w:val="center"/>
            <w:hideMark/>
          </w:tcPr>
          <w:p w14:paraId="63EEF2E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15-19</w:t>
            </w:r>
          </w:p>
        </w:tc>
        <w:tc>
          <w:tcPr>
            <w:tcW w:w="666" w:type="pct"/>
            <w:shd w:val="clear" w:color="auto" w:fill="auto"/>
            <w:noWrap/>
            <w:vAlign w:val="center"/>
            <w:hideMark/>
          </w:tcPr>
          <w:p w14:paraId="60E907F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0.031</w:t>
            </w:r>
          </w:p>
        </w:tc>
        <w:tc>
          <w:tcPr>
            <w:tcW w:w="478" w:type="pct"/>
            <w:shd w:val="clear" w:color="auto" w:fill="auto"/>
            <w:noWrap/>
            <w:vAlign w:val="center"/>
            <w:hideMark/>
          </w:tcPr>
          <w:p w14:paraId="66E47C1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w:t>
            </w:r>
          </w:p>
        </w:tc>
        <w:tc>
          <w:tcPr>
            <w:tcW w:w="478" w:type="pct"/>
            <w:shd w:val="clear" w:color="auto" w:fill="auto"/>
            <w:noWrap/>
            <w:vAlign w:val="center"/>
            <w:hideMark/>
          </w:tcPr>
          <w:p w14:paraId="6678FF2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0.032</w:t>
            </w:r>
          </w:p>
        </w:tc>
        <w:tc>
          <w:tcPr>
            <w:tcW w:w="702" w:type="pct"/>
            <w:shd w:val="clear" w:color="auto" w:fill="auto"/>
            <w:noWrap/>
            <w:vAlign w:val="center"/>
            <w:hideMark/>
          </w:tcPr>
          <w:p w14:paraId="4AE2617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0.049</w:t>
            </w:r>
          </w:p>
        </w:tc>
        <w:tc>
          <w:tcPr>
            <w:tcW w:w="502" w:type="pct"/>
            <w:shd w:val="clear" w:color="auto" w:fill="auto"/>
            <w:noWrap/>
            <w:vAlign w:val="center"/>
            <w:hideMark/>
          </w:tcPr>
          <w:p w14:paraId="69C2500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0.047</w:t>
            </w:r>
          </w:p>
        </w:tc>
        <w:tc>
          <w:tcPr>
            <w:tcW w:w="504" w:type="pct"/>
            <w:shd w:val="clear" w:color="auto" w:fill="auto"/>
            <w:noWrap/>
            <w:vAlign w:val="center"/>
            <w:hideMark/>
          </w:tcPr>
          <w:p w14:paraId="5E84D3B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0.051</w:t>
            </w:r>
          </w:p>
        </w:tc>
      </w:tr>
      <w:tr w:rsidR="007E0ABC" w:rsidRPr="000971F9" w14:paraId="1AD4214D" w14:textId="77777777" w:rsidTr="000971F9">
        <w:trPr>
          <w:trHeight w:val="283"/>
        </w:trPr>
        <w:tc>
          <w:tcPr>
            <w:tcW w:w="835" w:type="pct"/>
            <w:vMerge/>
            <w:vAlign w:val="center"/>
            <w:hideMark/>
          </w:tcPr>
          <w:p w14:paraId="01E4D672"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3038DA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20-24</w:t>
            </w:r>
          </w:p>
        </w:tc>
        <w:tc>
          <w:tcPr>
            <w:tcW w:w="666" w:type="pct"/>
            <w:shd w:val="clear" w:color="auto" w:fill="auto"/>
            <w:noWrap/>
            <w:vAlign w:val="center"/>
            <w:hideMark/>
          </w:tcPr>
          <w:p w14:paraId="7A5D5ED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w:t>
            </w:r>
          </w:p>
        </w:tc>
        <w:tc>
          <w:tcPr>
            <w:tcW w:w="478" w:type="pct"/>
            <w:shd w:val="clear" w:color="auto" w:fill="auto"/>
            <w:noWrap/>
            <w:vAlign w:val="center"/>
            <w:hideMark/>
          </w:tcPr>
          <w:p w14:paraId="6B0D1B0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0.029</w:t>
            </w:r>
          </w:p>
        </w:tc>
        <w:tc>
          <w:tcPr>
            <w:tcW w:w="478" w:type="pct"/>
            <w:shd w:val="clear" w:color="auto" w:fill="auto"/>
            <w:noWrap/>
            <w:vAlign w:val="center"/>
            <w:hideMark/>
          </w:tcPr>
          <w:p w14:paraId="70D3A8B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0.031</w:t>
            </w:r>
          </w:p>
        </w:tc>
        <w:tc>
          <w:tcPr>
            <w:tcW w:w="702" w:type="pct"/>
            <w:shd w:val="clear" w:color="auto" w:fill="auto"/>
            <w:noWrap/>
            <w:vAlign w:val="center"/>
            <w:hideMark/>
          </w:tcPr>
          <w:p w14:paraId="02FD9E4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0.044</w:t>
            </w:r>
          </w:p>
        </w:tc>
        <w:tc>
          <w:tcPr>
            <w:tcW w:w="502" w:type="pct"/>
            <w:shd w:val="clear" w:color="auto" w:fill="auto"/>
            <w:noWrap/>
            <w:vAlign w:val="center"/>
            <w:hideMark/>
          </w:tcPr>
          <w:p w14:paraId="56AEADA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0.043</w:t>
            </w:r>
          </w:p>
        </w:tc>
        <w:tc>
          <w:tcPr>
            <w:tcW w:w="504" w:type="pct"/>
            <w:shd w:val="clear" w:color="auto" w:fill="auto"/>
            <w:noWrap/>
            <w:vAlign w:val="center"/>
            <w:hideMark/>
          </w:tcPr>
          <w:p w14:paraId="064832D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0.045</w:t>
            </w:r>
          </w:p>
        </w:tc>
      </w:tr>
      <w:tr w:rsidR="007E0ABC" w:rsidRPr="000971F9" w14:paraId="64308559" w14:textId="77777777" w:rsidTr="000971F9">
        <w:trPr>
          <w:trHeight w:val="283"/>
        </w:trPr>
        <w:tc>
          <w:tcPr>
            <w:tcW w:w="835" w:type="pct"/>
            <w:vMerge/>
            <w:vAlign w:val="center"/>
            <w:hideMark/>
          </w:tcPr>
          <w:p w14:paraId="570E58B8"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C6E6B3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25-29</w:t>
            </w:r>
          </w:p>
        </w:tc>
        <w:tc>
          <w:tcPr>
            <w:tcW w:w="666" w:type="pct"/>
            <w:shd w:val="clear" w:color="auto" w:fill="auto"/>
            <w:noWrap/>
            <w:vAlign w:val="center"/>
            <w:hideMark/>
          </w:tcPr>
          <w:p w14:paraId="131373F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0.037</w:t>
            </w:r>
          </w:p>
        </w:tc>
        <w:tc>
          <w:tcPr>
            <w:tcW w:w="478" w:type="pct"/>
            <w:shd w:val="clear" w:color="auto" w:fill="auto"/>
            <w:noWrap/>
            <w:vAlign w:val="center"/>
            <w:hideMark/>
          </w:tcPr>
          <w:p w14:paraId="6C55C9C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0.036</w:t>
            </w:r>
          </w:p>
        </w:tc>
        <w:tc>
          <w:tcPr>
            <w:tcW w:w="478" w:type="pct"/>
            <w:shd w:val="clear" w:color="auto" w:fill="auto"/>
            <w:noWrap/>
            <w:vAlign w:val="center"/>
            <w:hideMark/>
          </w:tcPr>
          <w:p w14:paraId="322A2CA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0.038</w:t>
            </w:r>
          </w:p>
        </w:tc>
        <w:tc>
          <w:tcPr>
            <w:tcW w:w="702" w:type="pct"/>
            <w:shd w:val="clear" w:color="auto" w:fill="auto"/>
            <w:noWrap/>
            <w:vAlign w:val="center"/>
            <w:hideMark/>
          </w:tcPr>
          <w:p w14:paraId="17001BC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0.053</w:t>
            </w:r>
          </w:p>
        </w:tc>
        <w:tc>
          <w:tcPr>
            <w:tcW w:w="502" w:type="pct"/>
            <w:shd w:val="clear" w:color="auto" w:fill="auto"/>
            <w:noWrap/>
            <w:vAlign w:val="center"/>
            <w:hideMark/>
          </w:tcPr>
          <w:p w14:paraId="7A354BB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0.051</w:t>
            </w:r>
          </w:p>
        </w:tc>
        <w:tc>
          <w:tcPr>
            <w:tcW w:w="504" w:type="pct"/>
            <w:shd w:val="clear" w:color="auto" w:fill="auto"/>
            <w:noWrap/>
            <w:vAlign w:val="center"/>
            <w:hideMark/>
          </w:tcPr>
          <w:p w14:paraId="69A7C4A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0.055</w:t>
            </w:r>
          </w:p>
        </w:tc>
      </w:tr>
      <w:tr w:rsidR="007E0ABC" w:rsidRPr="000971F9" w14:paraId="4DE46C1F" w14:textId="77777777" w:rsidTr="000971F9">
        <w:trPr>
          <w:trHeight w:val="283"/>
        </w:trPr>
        <w:tc>
          <w:tcPr>
            <w:tcW w:w="835" w:type="pct"/>
            <w:vMerge/>
            <w:vAlign w:val="center"/>
            <w:hideMark/>
          </w:tcPr>
          <w:p w14:paraId="34788E22"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FF1904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30-34</w:t>
            </w:r>
          </w:p>
        </w:tc>
        <w:tc>
          <w:tcPr>
            <w:tcW w:w="666" w:type="pct"/>
            <w:shd w:val="clear" w:color="auto" w:fill="auto"/>
            <w:noWrap/>
            <w:vAlign w:val="center"/>
            <w:hideMark/>
          </w:tcPr>
          <w:p w14:paraId="4139038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0.038</w:t>
            </w:r>
          </w:p>
        </w:tc>
        <w:tc>
          <w:tcPr>
            <w:tcW w:w="478" w:type="pct"/>
            <w:shd w:val="clear" w:color="auto" w:fill="auto"/>
            <w:noWrap/>
            <w:vAlign w:val="center"/>
            <w:hideMark/>
          </w:tcPr>
          <w:p w14:paraId="4348548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0.036</w:t>
            </w:r>
          </w:p>
        </w:tc>
        <w:tc>
          <w:tcPr>
            <w:tcW w:w="478" w:type="pct"/>
            <w:shd w:val="clear" w:color="auto" w:fill="auto"/>
            <w:noWrap/>
            <w:vAlign w:val="center"/>
            <w:hideMark/>
          </w:tcPr>
          <w:p w14:paraId="48E0027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w:t>
            </w:r>
          </w:p>
        </w:tc>
        <w:tc>
          <w:tcPr>
            <w:tcW w:w="702" w:type="pct"/>
            <w:shd w:val="clear" w:color="auto" w:fill="auto"/>
            <w:noWrap/>
            <w:vAlign w:val="center"/>
            <w:hideMark/>
          </w:tcPr>
          <w:p w14:paraId="54CB118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0.048</w:t>
            </w:r>
          </w:p>
        </w:tc>
        <w:tc>
          <w:tcPr>
            <w:tcW w:w="502" w:type="pct"/>
            <w:shd w:val="clear" w:color="auto" w:fill="auto"/>
            <w:noWrap/>
            <w:vAlign w:val="center"/>
            <w:hideMark/>
          </w:tcPr>
          <w:p w14:paraId="0D6D404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0.046</w:t>
            </w:r>
          </w:p>
        </w:tc>
        <w:tc>
          <w:tcPr>
            <w:tcW w:w="504" w:type="pct"/>
            <w:shd w:val="clear" w:color="auto" w:fill="auto"/>
            <w:noWrap/>
            <w:vAlign w:val="center"/>
            <w:hideMark/>
          </w:tcPr>
          <w:p w14:paraId="334735B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w:t>
            </w:r>
          </w:p>
        </w:tc>
      </w:tr>
      <w:tr w:rsidR="007E0ABC" w:rsidRPr="000971F9" w14:paraId="7AF4FAEB" w14:textId="77777777" w:rsidTr="000971F9">
        <w:trPr>
          <w:trHeight w:val="283"/>
        </w:trPr>
        <w:tc>
          <w:tcPr>
            <w:tcW w:w="835" w:type="pct"/>
            <w:vMerge/>
            <w:vAlign w:val="center"/>
            <w:hideMark/>
          </w:tcPr>
          <w:p w14:paraId="4F14B568"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68802FF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35-39</w:t>
            </w:r>
          </w:p>
        </w:tc>
        <w:tc>
          <w:tcPr>
            <w:tcW w:w="666" w:type="pct"/>
            <w:shd w:val="clear" w:color="auto" w:fill="auto"/>
            <w:noWrap/>
            <w:vAlign w:val="center"/>
            <w:hideMark/>
          </w:tcPr>
          <w:p w14:paraId="18BC369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w:t>
            </w:r>
          </w:p>
        </w:tc>
        <w:tc>
          <w:tcPr>
            <w:tcW w:w="478" w:type="pct"/>
            <w:shd w:val="clear" w:color="auto" w:fill="auto"/>
            <w:noWrap/>
            <w:vAlign w:val="center"/>
            <w:hideMark/>
          </w:tcPr>
          <w:p w14:paraId="078763B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0.038</w:t>
            </w:r>
          </w:p>
        </w:tc>
        <w:tc>
          <w:tcPr>
            <w:tcW w:w="478" w:type="pct"/>
            <w:shd w:val="clear" w:color="auto" w:fill="auto"/>
            <w:noWrap/>
            <w:vAlign w:val="center"/>
            <w:hideMark/>
          </w:tcPr>
          <w:p w14:paraId="700894E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0.042</w:t>
            </w:r>
          </w:p>
        </w:tc>
        <w:tc>
          <w:tcPr>
            <w:tcW w:w="702" w:type="pct"/>
            <w:shd w:val="clear" w:color="auto" w:fill="auto"/>
            <w:noWrap/>
            <w:vAlign w:val="center"/>
            <w:hideMark/>
          </w:tcPr>
          <w:p w14:paraId="1444673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0.046</w:t>
            </w:r>
          </w:p>
        </w:tc>
        <w:tc>
          <w:tcPr>
            <w:tcW w:w="502" w:type="pct"/>
            <w:shd w:val="clear" w:color="auto" w:fill="auto"/>
            <w:noWrap/>
            <w:vAlign w:val="center"/>
            <w:hideMark/>
          </w:tcPr>
          <w:p w14:paraId="1F37623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0.044</w:t>
            </w:r>
          </w:p>
        </w:tc>
        <w:tc>
          <w:tcPr>
            <w:tcW w:w="504" w:type="pct"/>
            <w:shd w:val="clear" w:color="auto" w:fill="auto"/>
            <w:noWrap/>
            <w:vAlign w:val="center"/>
            <w:hideMark/>
          </w:tcPr>
          <w:p w14:paraId="2ABEF62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0.048</w:t>
            </w:r>
          </w:p>
        </w:tc>
      </w:tr>
      <w:tr w:rsidR="007E0ABC" w:rsidRPr="000971F9" w14:paraId="66920979" w14:textId="77777777" w:rsidTr="000971F9">
        <w:trPr>
          <w:trHeight w:val="283"/>
        </w:trPr>
        <w:tc>
          <w:tcPr>
            <w:tcW w:w="835" w:type="pct"/>
            <w:vMerge/>
            <w:vAlign w:val="center"/>
            <w:hideMark/>
          </w:tcPr>
          <w:p w14:paraId="234B0CA6"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130F8C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40-44</w:t>
            </w:r>
          </w:p>
        </w:tc>
        <w:tc>
          <w:tcPr>
            <w:tcW w:w="666" w:type="pct"/>
            <w:shd w:val="clear" w:color="auto" w:fill="auto"/>
            <w:vAlign w:val="center"/>
            <w:hideMark/>
          </w:tcPr>
          <w:p w14:paraId="1EC48DD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0.043</w:t>
            </w:r>
          </w:p>
        </w:tc>
        <w:tc>
          <w:tcPr>
            <w:tcW w:w="478" w:type="pct"/>
            <w:shd w:val="clear" w:color="auto" w:fill="auto"/>
            <w:vAlign w:val="center"/>
            <w:hideMark/>
          </w:tcPr>
          <w:p w14:paraId="75811BC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0.041</w:t>
            </w:r>
          </w:p>
        </w:tc>
        <w:tc>
          <w:tcPr>
            <w:tcW w:w="478" w:type="pct"/>
            <w:shd w:val="clear" w:color="auto" w:fill="auto"/>
            <w:vAlign w:val="center"/>
            <w:hideMark/>
          </w:tcPr>
          <w:p w14:paraId="7513C2D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0.045</w:t>
            </w:r>
          </w:p>
        </w:tc>
        <w:tc>
          <w:tcPr>
            <w:tcW w:w="702" w:type="pct"/>
            <w:shd w:val="clear" w:color="auto" w:fill="auto"/>
            <w:vAlign w:val="center"/>
            <w:hideMark/>
          </w:tcPr>
          <w:p w14:paraId="12267D4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0.039</w:t>
            </w:r>
          </w:p>
        </w:tc>
        <w:tc>
          <w:tcPr>
            <w:tcW w:w="502" w:type="pct"/>
            <w:shd w:val="clear" w:color="auto" w:fill="auto"/>
            <w:vAlign w:val="center"/>
            <w:hideMark/>
          </w:tcPr>
          <w:p w14:paraId="69A02E0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0.037</w:t>
            </w:r>
          </w:p>
        </w:tc>
        <w:tc>
          <w:tcPr>
            <w:tcW w:w="504" w:type="pct"/>
            <w:shd w:val="clear" w:color="auto" w:fill="auto"/>
            <w:vAlign w:val="center"/>
            <w:hideMark/>
          </w:tcPr>
          <w:p w14:paraId="4111E52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0.041</w:t>
            </w:r>
          </w:p>
        </w:tc>
      </w:tr>
      <w:tr w:rsidR="007E0ABC" w:rsidRPr="000971F9" w14:paraId="28C6AAC7" w14:textId="77777777" w:rsidTr="000971F9">
        <w:trPr>
          <w:trHeight w:val="283"/>
        </w:trPr>
        <w:tc>
          <w:tcPr>
            <w:tcW w:w="835" w:type="pct"/>
            <w:vMerge/>
            <w:vAlign w:val="center"/>
            <w:hideMark/>
          </w:tcPr>
          <w:p w14:paraId="0B825927"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22A2D9C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45-49</w:t>
            </w:r>
          </w:p>
        </w:tc>
        <w:tc>
          <w:tcPr>
            <w:tcW w:w="666" w:type="pct"/>
            <w:shd w:val="clear" w:color="auto" w:fill="auto"/>
            <w:noWrap/>
            <w:vAlign w:val="center"/>
            <w:hideMark/>
          </w:tcPr>
          <w:p w14:paraId="5C88778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0.044</w:t>
            </w:r>
          </w:p>
        </w:tc>
        <w:tc>
          <w:tcPr>
            <w:tcW w:w="478" w:type="pct"/>
            <w:shd w:val="clear" w:color="auto" w:fill="auto"/>
            <w:noWrap/>
            <w:vAlign w:val="center"/>
            <w:hideMark/>
          </w:tcPr>
          <w:p w14:paraId="7A5DB17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0.042</w:t>
            </w:r>
          </w:p>
        </w:tc>
        <w:tc>
          <w:tcPr>
            <w:tcW w:w="478" w:type="pct"/>
            <w:shd w:val="clear" w:color="auto" w:fill="auto"/>
            <w:noWrap/>
            <w:vAlign w:val="center"/>
            <w:hideMark/>
          </w:tcPr>
          <w:p w14:paraId="776EB42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0.046</w:t>
            </w:r>
          </w:p>
        </w:tc>
        <w:tc>
          <w:tcPr>
            <w:tcW w:w="702" w:type="pct"/>
            <w:shd w:val="clear" w:color="auto" w:fill="auto"/>
            <w:noWrap/>
            <w:vAlign w:val="center"/>
            <w:hideMark/>
          </w:tcPr>
          <w:p w14:paraId="6D02B27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0.041</w:t>
            </w:r>
          </w:p>
        </w:tc>
        <w:tc>
          <w:tcPr>
            <w:tcW w:w="502" w:type="pct"/>
            <w:shd w:val="clear" w:color="auto" w:fill="auto"/>
            <w:noWrap/>
            <w:vAlign w:val="center"/>
            <w:hideMark/>
          </w:tcPr>
          <w:p w14:paraId="1B850E7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0.039</w:t>
            </w:r>
          </w:p>
        </w:tc>
        <w:tc>
          <w:tcPr>
            <w:tcW w:w="504" w:type="pct"/>
            <w:shd w:val="clear" w:color="auto" w:fill="auto"/>
            <w:noWrap/>
            <w:vAlign w:val="center"/>
            <w:hideMark/>
          </w:tcPr>
          <w:p w14:paraId="5A87DA1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0.043</w:t>
            </w:r>
          </w:p>
        </w:tc>
      </w:tr>
      <w:tr w:rsidR="007E0ABC" w:rsidRPr="000971F9" w14:paraId="7D79E1F5" w14:textId="77777777" w:rsidTr="000971F9">
        <w:trPr>
          <w:trHeight w:val="283"/>
        </w:trPr>
        <w:tc>
          <w:tcPr>
            <w:tcW w:w="835" w:type="pct"/>
            <w:vMerge/>
            <w:vAlign w:val="center"/>
            <w:hideMark/>
          </w:tcPr>
          <w:p w14:paraId="689268E3"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3CEA91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50-54</w:t>
            </w:r>
          </w:p>
        </w:tc>
        <w:tc>
          <w:tcPr>
            <w:tcW w:w="666" w:type="pct"/>
            <w:shd w:val="clear" w:color="auto" w:fill="auto"/>
            <w:noWrap/>
            <w:vAlign w:val="center"/>
            <w:hideMark/>
          </w:tcPr>
          <w:p w14:paraId="3A392B3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0.013</w:t>
            </w:r>
          </w:p>
        </w:tc>
        <w:tc>
          <w:tcPr>
            <w:tcW w:w="478" w:type="pct"/>
            <w:shd w:val="clear" w:color="auto" w:fill="auto"/>
            <w:noWrap/>
            <w:vAlign w:val="center"/>
            <w:hideMark/>
          </w:tcPr>
          <w:p w14:paraId="3E3C041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0.012</w:t>
            </w:r>
          </w:p>
        </w:tc>
        <w:tc>
          <w:tcPr>
            <w:tcW w:w="478" w:type="pct"/>
            <w:shd w:val="clear" w:color="auto" w:fill="auto"/>
            <w:noWrap/>
            <w:vAlign w:val="center"/>
            <w:hideMark/>
          </w:tcPr>
          <w:p w14:paraId="1F7502A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0.014</w:t>
            </w:r>
          </w:p>
        </w:tc>
        <w:tc>
          <w:tcPr>
            <w:tcW w:w="702" w:type="pct"/>
            <w:shd w:val="clear" w:color="auto" w:fill="auto"/>
            <w:noWrap/>
            <w:vAlign w:val="center"/>
            <w:hideMark/>
          </w:tcPr>
          <w:p w14:paraId="66F2970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0.012</w:t>
            </w:r>
          </w:p>
        </w:tc>
        <w:tc>
          <w:tcPr>
            <w:tcW w:w="502" w:type="pct"/>
            <w:shd w:val="clear" w:color="auto" w:fill="auto"/>
            <w:noWrap/>
            <w:vAlign w:val="center"/>
            <w:hideMark/>
          </w:tcPr>
          <w:p w14:paraId="0398DEC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0.011</w:t>
            </w:r>
          </w:p>
        </w:tc>
        <w:tc>
          <w:tcPr>
            <w:tcW w:w="504" w:type="pct"/>
            <w:shd w:val="clear" w:color="auto" w:fill="auto"/>
            <w:noWrap/>
            <w:vAlign w:val="center"/>
            <w:hideMark/>
          </w:tcPr>
          <w:p w14:paraId="1AA66B9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0.013</w:t>
            </w:r>
          </w:p>
        </w:tc>
      </w:tr>
      <w:tr w:rsidR="007E0ABC" w:rsidRPr="000971F9" w14:paraId="044330A1" w14:textId="77777777" w:rsidTr="000971F9">
        <w:trPr>
          <w:trHeight w:val="283"/>
        </w:trPr>
        <w:tc>
          <w:tcPr>
            <w:tcW w:w="835" w:type="pct"/>
            <w:vMerge/>
            <w:vAlign w:val="center"/>
            <w:hideMark/>
          </w:tcPr>
          <w:p w14:paraId="47DE6200"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3962665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55-59</w:t>
            </w:r>
          </w:p>
        </w:tc>
        <w:tc>
          <w:tcPr>
            <w:tcW w:w="666" w:type="pct"/>
            <w:shd w:val="clear" w:color="auto" w:fill="auto"/>
            <w:noWrap/>
            <w:vAlign w:val="center"/>
            <w:hideMark/>
          </w:tcPr>
          <w:p w14:paraId="0EFD680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0.061</w:t>
            </w:r>
          </w:p>
        </w:tc>
        <w:tc>
          <w:tcPr>
            <w:tcW w:w="478" w:type="pct"/>
            <w:shd w:val="clear" w:color="auto" w:fill="auto"/>
            <w:noWrap/>
            <w:vAlign w:val="center"/>
            <w:hideMark/>
          </w:tcPr>
          <w:p w14:paraId="2A8DC75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0.059</w:t>
            </w:r>
          </w:p>
        </w:tc>
        <w:tc>
          <w:tcPr>
            <w:tcW w:w="478" w:type="pct"/>
            <w:shd w:val="clear" w:color="auto" w:fill="auto"/>
            <w:noWrap/>
            <w:vAlign w:val="center"/>
            <w:hideMark/>
          </w:tcPr>
          <w:p w14:paraId="1C26124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0.063</w:t>
            </w:r>
          </w:p>
        </w:tc>
        <w:tc>
          <w:tcPr>
            <w:tcW w:w="702" w:type="pct"/>
            <w:shd w:val="clear" w:color="auto" w:fill="auto"/>
            <w:noWrap/>
            <w:vAlign w:val="center"/>
            <w:hideMark/>
          </w:tcPr>
          <w:p w14:paraId="7B98F3C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0.047</w:t>
            </w:r>
          </w:p>
        </w:tc>
        <w:tc>
          <w:tcPr>
            <w:tcW w:w="502" w:type="pct"/>
            <w:shd w:val="clear" w:color="auto" w:fill="auto"/>
            <w:noWrap/>
            <w:vAlign w:val="center"/>
            <w:hideMark/>
          </w:tcPr>
          <w:p w14:paraId="35CE0BE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0.045</w:t>
            </w:r>
          </w:p>
        </w:tc>
        <w:tc>
          <w:tcPr>
            <w:tcW w:w="504" w:type="pct"/>
            <w:shd w:val="clear" w:color="auto" w:fill="auto"/>
            <w:noWrap/>
            <w:vAlign w:val="center"/>
            <w:hideMark/>
          </w:tcPr>
          <w:p w14:paraId="3CAAEC9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0.049</w:t>
            </w:r>
          </w:p>
        </w:tc>
      </w:tr>
      <w:tr w:rsidR="007E0ABC" w:rsidRPr="000971F9" w14:paraId="57505749" w14:textId="77777777" w:rsidTr="000971F9">
        <w:trPr>
          <w:trHeight w:val="283"/>
        </w:trPr>
        <w:tc>
          <w:tcPr>
            <w:tcW w:w="835" w:type="pct"/>
            <w:vMerge/>
            <w:vAlign w:val="center"/>
            <w:hideMark/>
          </w:tcPr>
          <w:p w14:paraId="20AD46D0"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3282677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60-64</w:t>
            </w:r>
          </w:p>
        </w:tc>
        <w:tc>
          <w:tcPr>
            <w:tcW w:w="666" w:type="pct"/>
            <w:shd w:val="clear" w:color="auto" w:fill="auto"/>
            <w:noWrap/>
            <w:vAlign w:val="center"/>
            <w:hideMark/>
          </w:tcPr>
          <w:p w14:paraId="4FC8FCA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0.069</w:t>
            </w:r>
          </w:p>
        </w:tc>
        <w:tc>
          <w:tcPr>
            <w:tcW w:w="478" w:type="pct"/>
            <w:shd w:val="clear" w:color="auto" w:fill="auto"/>
            <w:noWrap/>
            <w:vAlign w:val="center"/>
            <w:hideMark/>
          </w:tcPr>
          <w:p w14:paraId="6C916F2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0.066</w:t>
            </w:r>
          </w:p>
        </w:tc>
        <w:tc>
          <w:tcPr>
            <w:tcW w:w="478" w:type="pct"/>
            <w:shd w:val="clear" w:color="auto" w:fill="auto"/>
            <w:noWrap/>
            <w:vAlign w:val="center"/>
            <w:hideMark/>
          </w:tcPr>
          <w:p w14:paraId="2261246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0.072</w:t>
            </w:r>
          </w:p>
        </w:tc>
        <w:tc>
          <w:tcPr>
            <w:tcW w:w="702" w:type="pct"/>
            <w:shd w:val="clear" w:color="auto" w:fill="auto"/>
            <w:noWrap/>
            <w:vAlign w:val="center"/>
            <w:hideMark/>
          </w:tcPr>
          <w:p w14:paraId="03BD333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0.057</w:t>
            </w:r>
          </w:p>
        </w:tc>
        <w:tc>
          <w:tcPr>
            <w:tcW w:w="502" w:type="pct"/>
            <w:shd w:val="clear" w:color="auto" w:fill="auto"/>
            <w:noWrap/>
            <w:vAlign w:val="center"/>
            <w:hideMark/>
          </w:tcPr>
          <w:p w14:paraId="0C61C11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0.055</w:t>
            </w:r>
          </w:p>
        </w:tc>
        <w:tc>
          <w:tcPr>
            <w:tcW w:w="504" w:type="pct"/>
            <w:shd w:val="clear" w:color="auto" w:fill="auto"/>
            <w:noWrap/>
            <w:vAlign w:val="center"/>
            <w:hideMark/>
          </w:tcPr>
          <w:p w14:paraId="1D3A0EA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0.059</w:t>
            </w:r>
          </w:p>
        </w:tc>
      </w:tr>
      <w:tr w:rsidR="007E0ABC" w:rsidRPr="000971F9" w14:paraId="269C73C7" w14:textId="77777777" w:rsidTr="000971F9">
        <w:trPr>
          <w:trHeight w:val="283"/>
        </w:trPr>
        <w:tc>
          <w:tcPr>
            <w:tcW w:w="835" w:type="pct"/>
            <w:vMerge/>
            <w:vAlign w:val="center"/>
            <w:hideMark/>
          </w:tcPr>
          <w:p w14:paraId="40315DB7"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0E5194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65-69</w:t>
            </w:r>
          </w:p>
        </w:tc>
        <w:tc>
          <w:tcPr>
            <w:tcW w:w="666" w:type="pct"/>
            <w:shd w:val="clear" w:color="auto" w:fill="auto"/>
            <w:noWrap/>
            <w:vAlign w:val="center"/>
            <w:hideMark/>
          </w:tcPr>
          <w:p w14:paraId="3007DD4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w:t>
            </w:r>
          </w:p>
        </w:tc>
        <w:tc>
          <w:tcPr>
            <w:tcW w:w="478" w:type="pct"/>
            <w:shd w:val="clear" w:color="auto" w:fill="auto"/>
            <w:noWrap/>
            <w:vAlign w:val="center"/>
            <w:hideMark/>
          </w:tcPr>
          <w:p w14:paraId="38C021B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0.087</w:t>
            </w:r>
          </w:p>
        </w:tc>
        <w:tc>
          <w:tcPr>
            <w:tcW w:w="478" w:type="pct"/>
            <w:shd w:val="clear" w:color="auto" w:fill="auto"/>
            <w:noWrap/>
            <w:vAlign w:val="center"/>
            <w:hideMark/>
          </w:tcPr>
          <w:p w14:paraId="3DDA432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0.093</w:t>
            </w:r>
          </w:p>
        </w:tc>
        <w:tc>
          <w:tcPr>
            <w:tcW w:w="702" w:type="pct"/>
            <w:shd w:val="clear" w:color="auto" w:fill="auto"/>
            <w:noWrap/>
            <w:vAlign w:val="center"/>
            <w:hideMark/>
          </w:tcPr>
          <w:p w14:paraId="794FB2B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0.068</w:t>
            </w:r>
          </w:p>
        </w:tc>
        <w:tc>
          <w:tcPr>
            <w:tcW w:w="502" w:type="pct"/>
            <w:shd w:val="clear" w:color="auto" w:fill="auto"/>
            <w:noWrap/>
            <w:vAlign w:val="center"/>
            <w:hideMark/>
          </w:tcPr>
          <w:p w14:paraId="01881E7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0.066</w:t>
            </w:r>
          </w:p>
        </w:tc>
        <w:tc>
          <w:tcPr>
            <w:tcW w:w="504" w:type="pct"/>
            <w:shd w:val="clear" w:color="auto" w:fill="auto"/>
            <w:noWrap/>
            <w:vAlign w:val="center"/>
            <w:hideMark/>
          </w:tcPr>
          <w:p w14:paraId="5E05FBD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w:t>
            </w:r>
          </w:p>
        </w:tc>
      </w:tr>
      <w:tr w:rsidR="007E0ABC" w:rsidRPr="000971F9" w14:paraId="4774B815" w14:textId="77777777" w:rsidTr="000971F9">
        <w:trPr>
          <w:trHeight w:val="283"/>
        </w:trPr>
        <w:tc>
          <w:tcPr>
            <w:tcW w:w="835" w:type="pct"/>
            <w:vMerge/>
            <w:vAlign w:val="center"/>
            <w:hideMark/>
          </w:tcPr>
          <w:p w14:paraId="5B126F76"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6D4AD75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70-74</w:t>
            </w:r>
          </w:p>
        </w:tc>
        <w:tc>
          <w:tcPr>
            <w:tcW w:w="666" w:type="pct"/>
            <w:shd w:val="clear" w:color="auto" w:fill="auto"/>
            <w:noWrap/>
            <w:vAlign w:val="center"/>
            <w:hideMark/>
          </w:tcPr>
          <w:p w14:paraId="6B34C7E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0.129</w:t>
            </w:r>
          </w:p>
        </w:tc>
        <w:tc>
          <w:tcPr>
            <w:tcW w:w="478" w:type="pct"/>
            <w:shd w:val="clear" w:color="auto" w:fill="auto"/>
            <w:noWrap/>
            <w:vAlign w:val="center"/>
            <w:hideMark/>
          </w:tcPr>
          <w:p w14:paraId="62E6B15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0.125</w:t>
            </w:r>
          </w:p>
        </w:tc>
        <w:tc>
          <w:tcPr>
            <w:tcW w:w="478" w:type="pct"/>
            <w:shd w:val="clear" w:color="auto" w:fill="auto"/>
            <w:noWrap/>
            <w:vAlign w:val="center"/>
            <w:hideMark/>
          </w:tcPr>
          <w:p w14:paraId="472DC27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0.133</w:t>
            </w:r>
          </w:p>
        </w:tc>
        <w:tc>
          <w:tcPr>
            <w:tcW w:w="702" w:type="pct"/>
            <w:shd w:val="clear" w:color="auto" w:fill="auto"/>
            <w:noWrap/>
            <w:vAlign w:val="center"/>
            <w:hideMark/>
          </w:tcPr>
          <w:p w14:paraId="418994F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w:t>
            </w:r>
          </w:p>
        </w:tc>
        <w:tc>
          <w:tcPr>
            <w:tcW w:w="502" w:type="pct"/>
            <w:shd w:val="clear" w:color="auto" w:fill="auto"/>
            <w:noWrap/>
            <w:vAlign w:val="center"/>
            <w:hideMark/>
          </w:tcPr>
          <w:p w14:paraId="562388E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0.106</w:t>
            </w:r>
          </w:p>
        </w:tc>
        <w:tc>
          <w:tcPr>
            <w:tcW w:w="504" w:type="pct"/>
            <w:shd w:val="clear" w:color="auto" w:fill="auto"/>
            <w:noWrap/>
            <w:vAlign w:val="center"/>
            <w:hideMark/>
          </w:tcPr>
          <w:p w14:paraId="2C47542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0.114</w:t>
            </w:r>
          </w:p>
        </w:tc>
      </w:tr>
      <w:tr w:rsidR="007E0ABC" w:rsidRPr="000971F9" w14:paraId="08A75456" w14:textId="77777777" w:rsidTr="000971F9">
        <w:trPr>
          <w:trHeight w:val="283"/>
        </w:trPr>
        <w:tc>
          <w:tcPr>
            <w:tcW w:w="835" w:type="pct"/>
            <w:vMerge/>
            <w:vAlign w:val="center"/>
            <w:hideMark/>
          </w:tcPr>
          <w:p w14:paraId="63C6DBE3"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EEE80A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75-79</w:t>
            </w:r>
          </w:p>
        </w:tc>
        <w:tc>
          <w:tcPr>
            <w:tcW w:w="666" w:type="pct"/>
            <w:shd w:val="clear" w:color="auto" w:fill="auto"/>
            <w:noWrap/>
            <w:vAlign w:val="center"/>
            <w:hideMark/>
          </w:tcPr>
          <w:p w14:paraId="7EC9B9A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0.174</w:t>
            </w:r>
          </w:p>
        </w:tc>
        <w:tc>
          <w:tcPr>
            <w:tcW w:w="478" w:type="pct"/>
            <w:shd w:val="clear" w:color="auto" w:fill="auto"/>
            <w:noWrap/>
            <w:vAlign w:val="center"/>
            <w:hideMark/>
          </w:tcPr>
          <w:p w14:paraId="1BE3ACE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0.169</w:t>
            </w:r>
          </w:p>
        </w:tc>
        <w:tc>
          <w:tcPr>
            <w:tcW w:w="478" w:type="pct"/>
            <w:shd w:val="clear" w:color="auto" w:fill="auto"/>
            <w:noWrap/>
            <w:vAlign w:val="center"/>
            <w:hideMark/>
          </w:tcPr>
          <w:p w14:paraId="086D228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0.179</w:t>
            </w:r>
          </w:p>
        </w:tc>
        <w:tc>
          <w:tcPr>
            <w:tcW w:w="702" w:type="pct"/>
            <w:shd w:val="clear" w:color="auto" w:fill="auto"/>
            <w:noWrap/>
            <w:vAlign w:val="center"/>
            <w:hideMark/>
          </w:tcPr>
          <w:p w14:paraId="5DD1DA7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0.153</w:t>
            </w:r>
          </w:p>
        </w:tc>
        <w:tc>
          <w:tcPr>
            <w:tcW w:w="502" w:type="pct"/>
            <w:shd w:val="clear" w:color="auto" w:fill="auto"/>
            <w:noWrap/>
            <w:vAlign w:val="center"/>
            <w:hideMark/>
          </w:tcPr>
          <w:p w14:paraId="56B645F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0.149</w:t>
            </w:r>
          </w:p>
        </w:tc>
        <w:tc>
          <w:tcPr>
            <w:tcW w:w="504" w:type="pct"/>
            <w:shd w:val="clear" w:color="auto" w:fill="auto"/>
            <w:noWrap/>
            <w:vAlign w:val="center"/>
            <w:hideMark/>
          </w:tcPr>
          <w:p w14:paraId="29A70CE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0.157</w:t>
            </w:r>
          </w:p>
        </w:tc>
      </w:tr>
      <w:tr w:rsidR="007E0ABC" w:rsidRPr="000971F9" w14:paraId="6F7B8A34" w14:textId="77777777" w:rsidTr="000971F9">
        <w:trPr>
          <w:trHeight w:val="283"/>
        </w:trPr>
        <w:tc>
          <w:tcPr>
            <w:tcW w:w="835" w:type="pct"/>
            <w:vMerge w:val="restart"/>
            <w:shd w:val="clear" w:color="auto" w:fill="auto"/>
            <w:noWrap/>
            <w:vAlign w:val="center"/>
            <w:hideMark/>
          </w:tcPr>
          <w:p w14:paraId="165B2D3A" w14:textId="77777777" w:rsidR="007E0ABC" w:rsidRPr="000971F9" w:rsidRDefault="007E0ABC" w:rsidP="000971F9">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AE</w:t>
            </w:r>
          </w:p>
        </w:tc>
        <w:tc>
          <w:tcPr>
            <w:tcW w:w="835" w:type="pct"/>
            <w:shd w:val="clear" w:color="auto" w:fill="auto"/>
            <w:noWrap/>
            <w:vAlign w:val="center"/>
            <w:hideMark/>
          </w:tcPr>
          <w:p w14:paraId="42E2D69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15-19</w:t>
            </w:r>
          </w:p>
        </w:tc>
        <w:tc>
          <w:tcPr>
            <w:tcW w:w="666" w:type="pct"/>
            <w:shd w:val="clear" w:color="auto" w:fill="auto"/>
            <w:noWrap/>
            <w:vAlign w:val="center"/>
            <w:hideMark/>
          </w:tcPr>
          <w:p w14:paraId="134E8A5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0.224</w:t>
            </w:r>
          </w:p>
        </w:tc>
        <w:tc>
          <w:tcPr>
            <w:tcW w:w="478" w:type="pct"/>
            <w:shd w:val="clear" w:color="auto" w:fill="auto"/>
            <w:noWrap/>
            <w:vAlign w:val="center"/>
            <w:hideMark/>
          </w:tcPr>
          <w:p w14:paraId="471DE34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0.22</w:t>
            </w:r>
          </w:p>
        </w:tc>
        <w:tc>
          <w:tcPr>
            <w:tcW w:w="478" w:type="pct"/>
            <w:shd w:val="clear" w:color="auto" w:fill="auto"/>
            <w:noWrap/>
            <w:vAlign w:val="center"/>
            <w:hideMark/>
          </w:tcPr>
          <w:p w14:paraId="60A4F30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0.228</w:t>
            </w:r>
          </w:p>
        </w:tc>
        <w:tc>
          <w:tcPr>
            <w:tcW w:w="702" w:type="pct"/>
            <w:shd w:val="clear" w:color="auto" w:fill="auto"/>
            <w:noWrap/>
            <w:vAlign w:val="center"/>
            <w:hideMark/>
          </w:tcPr>
          <w:p w14:paraId="330D5F3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0.233</w:t>
            </w:r>
          </w:p>
        </w:tc>
        <w:tc>
          <w:tcPr>
            <w:tcW w:w="502" w:type="pct"/>
            <w:shd w:val="clear" w:color="auto" w:fill="auto"/>
            <w:noWrap/>
            <w:vAlign w:val="center"/>
            <w:hideMark/>
          </w:tcPr>
          <w:p w14:paraId="230B8A5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0.229</w:t>
            </w:r>
          </w:p>
        </w:tc>
        <w:tc>
          <w:tcPr>
            <w:tcW w:w="504" w:type="pct"/>
            <w:shd w:val="clear" w:color="auto" w:fill="auto"/>
            <w:noWrap/>
            <w:vAlign w:val="center"/>
            <w:hideMark/>
          </w:tcPr>
          <w:p w14:paraId="0CC7FE8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0.237</w:t>
            </w:r>
          </w:p>
        </w:tc>
      </w:tr>
      <w:tr w:rsidR="007E0ABC" w:rsidRPr="000971F9" w14:paraId="064DEA09" w14:textId="77777777" w:rsidTr="000971F9">
        <w:trPr>
          <w:trHeight w:val="283"/>
        </w:trPr>
        <w:tc>
          <w:tcPr>
            <w:tcW w:w="835" w:type="pct"/>
            <w:vMerge/>
            <w:vAlign w:val="center"/>
            <w:hideMark/>
          </w:tcPr>
          <w:p w14:paraId="7171E9F1"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3A28C8E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20-24</w:t>
            </w:r>
          </w:p>
        </w:tc>
        <w:tc>
          <w:tcPr>
            <w:tcW w:w="666" w:type="pct"/>
            <w:shd w:val="clear" w:color="auto" w:fill="auto"/>
            <w:noWrap/>
            <w:vAlign w:val="center"/>
            <w:hideMark/>
          </w:tcPr>
          <w:p w14:paraId="49AFED4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0.165</w:t>
            </w:r>
          </w:p>
        </w:tc>
        <w:tc>
          <w:tcPr>
            <w:tcW w:w="478" w:type="pct"/>
            <w:shd w:val="clear" w:color="auto" w:fill="auto"/>
            <w:noWrap/>
            <w:vAlign w:val="center"/>
            <w:hideMark/>
          </w:tcPr>
          <w:p w14:paraId="7D2DBE5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0.162</w:t>
            </w:r>
          </w:p>
        </w:tc>
        <w:tc>
          <w:tcPr>
            <w:tcW w:w="478" w:type="pct"/>
            <w:shd w:val="clear" w:color="auto" w:fill="auto"/>
            <w:noWrap/>
            <w:vAlign w:val="center"/>
            <w:hideMark/>
          </w:tcPr>
          <w:p w14:paraId="5EEAEBE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0.168</w:t>
            </w:r>
          </w:p>
        </w:tc>
        <w:tc>
          <w:tcPr>
            <w:tcW w:w="702" w:type="pct"/>
            <w:shd w:val="clear" w:color="auto" w:fill="auto"/>
            <w:noWrap/>
            <w:vAlign w:val="center"/>
            <w:hideMark/>
          </w:tcPr>
          <w:p w14:paraId="756841C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0.172</w:t>
            </w:r>
          </w:p>
        </w:tc>
        <w:tc>
          <w:tcPr>
            <w:tcW w:w="502" w:type="pct"/>
            <w:shd w:val="clear" w:color="auto" w:fill="auto"/>
            <w:noWrap/>
            <w:vAlign w:val="center"/>
            <w:hideMark/>
          </w:tcPr>
          <w:p w14:paraId="3BB1234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0.169</w:t>
            </w:r>
          </w:p>
        </w:tc>
        <w:tc>
          <w:tcPr>
            <w:tcW w:w="504" w:type="pct"/>
            <w:shd w:val="clear" w:color="auto" w:fill="auto"/>
            <w:noWrap/>
            <w:vAlign w:val="center"/>
            <w:hideMark/>
          </w:tcPr>
          <w:p w14:paraId="15A216B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0.175</w:t>
            </w:r>
          </w:p>
        </w:tc>
      </w:tr>
      <w:tr w:rsidR="007E0ABC" w:rsidRPr="000971F9" w14:paraId="639F381F" w14:textId="77777777" w:rsidTr="000971F9">
        <w:trPr>
          <w:trHeight w:val="283"/>
        </w:trPr>
        <w:tc>
          <w:tcPr>
            <w:tcW w:w="835" w:type="pct"/>
            <w:vMerge/>
            <w:vAlign w:val="center"/>
            <w:hideMark/>
          </w:tcPr>
          <w:p w14:paraId="76180B4C"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3764D0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25-29</w:t>
            </w:r>
          </w:p>
        </w:tc>
        <w:tc>
          <w:tcPr>
            <w:tcW w:w="666" w:type="pct"/>
            <w:shd w:val="clear" w:color="auto" w:fill="auto"/>
            <w:noWrap/>
            <w:vAlign w:val="center"/>
            <w:hideMark/>
          </w:tcPr>
          <w:p w14:paraId="3C751CD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0.186</w:t>
            </w:r>
          </w:p>
        </w:tc>
        <w:tc>
          <w:tcPr>
            <w:tcW w:w="478" w:type="pct"/>
            <w:shd w:val="clear" w:color="auto" w:fill="auto"/>
            <w:noWrap/>
            <w:vAlign w:val="center"/>
            <w:hideMark/>
          </w:tcPr>
          <w:p w14:paraId="73E1540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0.183</w:t>
            </w:r>
          </w:p>
        </w:tc>
        <w:tc>
          <w:tcPr>
            <w:tcW w:w="478" w:type="pct"/>
            <w:shd w:val="clear" w:color="auto" w:fill="auto"/>
            <w:noWrap/>
            <w:vAlign w:val="center"/>
            <w:hideMark/>
          </w:tcPr>
          <w:p w14:paraId="26607EA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0.189</w:t>
            </w:r>
          </w:p>
        </w:tc>
        <w:tc>
          <w:tcPr>
            <w:tcW w:w="702" w:type="pct"/>
            <w:shd w:val="clear" w:color="auto" w:fill="auto"/>
            <w:noWrap/>
            <w:vAlign w:val="center"/>
            <w:hideMark/>
          </w:tcPr>
          <w:p w14:paraId="5EE7DA3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0.211</w:t>
            </w:r>
          </w:p>
        </w:tc>
        <w:tc>
          <w:tcPr>
            <w:tcW w:w="502" w:type="pct"/>
            <w:shd w:val="clear" w:color="auto" w:fill="auto"/>
            <w:noWrap/>
            <w:vAlign w:val="center"/>
            <w:hideMark/>
          </w:tcPr>
          <w:p w14:paraId="7FAB01A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0.207</w:t>
            </w:r>
          </w:p>
        </w:tc>
        <w:tc>
          <w:tcPr>
            <w:tcW w:w="504" w:type="pct"/>
            <w:shd w:val="clear" w:color="auto" w:fill="auto"/>
            <w:noWrap/>
            <w:vAlign w:val="center"/>
            <w:hideMark/>
          </w:tcPr>
          <w:p w14:paraId="5E6BAB8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0.215</w:t>
            </w:r>
          </w:p>
        </w:tc>
      </w:tr>
      <w:tr w:rsidR="007E0ABC" w:rsidRPr="000971F9" w14:paraId="70784E4C" w14:textId="77777777" w:rsidTr="000971F9">
        <w:trPr>
          <w:trHeight w:val="283"/>
        </w:trPr>
        <w:tc>
          <w:tcPr>
            <w:tcW w:w="835" w:type="pct"/>
            <w:vMerge/>
            <w:vAlign w:val="center"/>
            <w:hideMark/>
          </w:tcPr>
          <w:p w14:paraId="6E38E94E"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85B52B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30-34</w:t>
            </w:r>
          </w:p>
        </w:tc>
        <w:tc>
          <w:tcPr>
            <w:tcW w:w="666" w:type="pct"/>
            <w:shd w:val="clear" w:color="auto" w:fill="auto"/>
            <w:noWrap/>
            <w:vAlign w:val="center"/>
            <w:hideMark/>
          </w:tcPr>
          <w:p w14:paraId="028025C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0.173</w:t>
            </w:r>
          </w:p>
        </w:tc>
        <w:tc>
          <w:tcPr>
            <w:tcW w:w="478" w:type="pct"/>
            <w:shd w:val="clear" w:color="auto" w:fill="auto"/>
            <w:noWrap/>
            <w:vAlign w:val="center"/>
            <w:hideMark/>
          </w:tcPr>
          <w:p w14:paraId="0936C041"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w:t>
            </w:r>
          </w:p>
        </w:tc>
        <w:tc>
          <w:tcPr>
            <w:tcW w:w="478" w:type="pct"/>
            <w:shd w:val="clear" w:color="auto" w:fill="auto"/>
            <w:noWrap/>
            <w:vAlign w:val="center"/>
            <w:hideMark/>
          </w:tcPr>
          <w:p w14:paraId="147A397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0.176</w:t>
            </w:r>
          </w:p>
        </w:tc>
        <w:tc>
          <w:tcPr>
            <w:tcW w:w="702" w:type="pct"/>
            <w:shd w:val="clear" w:color="auto" w:fill="auto"/>
            <w:noWrap/>
            <w:vAlign w:val="center"/>
            <w:hideMark/>
          </w:tcPr>
          <w:p w14:paraId="2FFC198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0.196</w:t>
            </w:r>
          </w:p>
        </w:tc>
        <w:tc>
          <w:tcPr>
            <w:tcW w:w="502" w:type="pct"/>
            <w:shd w:val="clear" w:color="auto" w:fill="auto"/>
            <w:noWrap/>
            <w:vAlign w:val="center"/>
            <w:hideMark/>
          </w:tcPr>
          <w:p w14:paraId="756C830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0.192</w:t>
            </w:r>
          </w:p>
        </w:tc>
        <w:tc>
          <w:tcPr>
            <w:tcW w:w="504" w:type="pct"/>
            <w:shd w:val="clear" w:color="auto" w:fill="auto"/>
            <w:noWrap/>
            <w:vAlign w:val="center"/>
            <w:hideMark/>
          </w:tcPr>
          <w:p w14:paraId="5EEACAF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w:t>
            </w:r>
          </w:p>
        </w:tc>
      </w:tr>
      <w:tr w:rsidR="007E0ABC" w:rsidRPr="000971F9" w14:paraId="0F543DBC" w14:textId="77777777" w:rsidTr="000971F9">
        <w:trPr>
          <w:trHeight w:val="283"/>
        </w:trPr>
        <w:tc>
          <w:tcPr>
            <w:tcW w:w="835" w:type="pct"/>
            <w:vMerge/>
            <w:vAlign w:val="center"/>
            <w:hideMark/>
          </w:tcPr>
          <w:p w14:paraId="5260B624"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633858B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35-39</w:t>
            </w:r>
          </w:p>
        </w:tc>
        <w:tc>
          <w:tcPr>
            <w:tcW w:w="666" w:type="pct"/>
            <w:shd w:val="clear" w:color="auto" w:fill="auto"/>
            <w:noWrap/>
            <w:vAlign w:val="center"/>
            <w:hideMark/>
          </w:tcPr>
          <w:p w14:paraId="03B07C4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0.154</w:t>
            </w:r>
          </w:p>
        </w:tc>
        <w:tc>
          <w:tcPr>
            <w:tcW w:w="478" w:type="pct"/>
            <w:shd w:val="clear" w:color="auto" w:fill="auto"/>
            <w:noWrap/>
            <w:vAlign w:val="center"/>
            <w:hideMark/>
          </w:tcPr>
          <w:p w14:paraId="249CD68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0.151</w:t>
            </w:r>
          </w:p>
        </w:tc>
        <w:tc>
          <w:tcPr>
            <w:tcW w:w="478" w:type="pct"/>
            <w:shd w:val="clear" w:color="auto" w:fill="auto"/>
            <w:noWrap/>
            <w:vAlign w:val="center"/>
            <w:hideMark/>
          </w:tcPr>
          <w:p w14:paraId="2FDE18D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0.157</w:t>
            </w:r>
          </w:p>
        </w:tc>
        <w:tc>
          <w:tcPr>
            <w:tcW w:w="702" w:type="pct"/>
            <w:shd w:val="clear" w:color="auto" w:fill="auto"/>
            <w:noWrap/>
            <w:vAlign w:val="center"/>
            <w:hideMark/>
          </w:tcPr>
          <w:p w14:paraId="766B9AE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0.193</w:t>
            </w:r>
          </w:p>
        </w:tc>
        <w:tc>
          <w:tcPr>
            <w:tcW w:w="502" w:type="pct"/>
            <w:shd w:val="clear" w:color="auto" w:fill="auto"/>
            <w:noWrap/>
            <w:vAlign w:val="center"/>
            <w:hideMark/>
          </w:tcPr>
          <w:p w14:paraId="1921EBC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0.189</w:t>
            </w:r>
          </w:p>
        </w:tc>
        <w:tc>
          <w:tcPr>
            <w:tcW w:w="504" w:type="pct"/>
            <w:shd w:val="clear" w:color="auto" w:fill="auto"/>
            <w:noWrap/>
            <w:vAlign w:val="center"/>
            <w:hideMark/>
          </w:tcPr>
          <w:p w14:paraId="456002B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0.197</w:t>
            </w:r>
          </w:p>
        </w:tc>
      </w:tr>
      <w:tr w:rsidR="007E0ABC" w:rsidRPr="000971F9" w14:paraId="64612E46" w14:textId="77777777" w:rsidTr="000971F9">
        <w:trPr>
          <w:trHeight w:val="283"/>
        </w:trPr>
        <w:tc>
          <w:tcPr>
            <w:tcW w:w="835" w:type="pct"/>
            <w:vMerge/>
            <w:vAlign w:val="center"/>
            <w:hideMark/>
          </w:tcPr>
          <w:p w14:paraId="2DD10B52"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7AC213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40-44</w:t>
            </w:r>
          </w:p>
        </w:tc>
        <w:tc>
          <w:tcPr>
            <w:tcW w:w="666" w:type="pct"/>
            <w:shd w:val="clear" w:color="auto" w:fill="auto"/>
            <w:noWrap/>
            <w:vAlign w:val="center"/>
            <w:hideMark/>
          </w:tcPr>
          <w:p w14:paraId="3182AE9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0.164</w:t>
            </w:r>
          </w:p>
        </w:tc>
        <w:tc>
          <w:tcPr>
            <w:tcW w:w="478" w:type="pct"/>
            <w:shd w:val="clear" w:color="auto" w:fill="auto"/>
            <w:noWrap/>
            <w:vAlign w:val="center"/>
            <w:hideMark/>
          </w:tcPr>
          <w:p w14:paraId="7D71BE5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0.161</w:t>
            </w:r>
          </w:p>
        </w:tc>
        <w:tc>
          <w:tcPr>
            <w:tcW w:w="478" w:type="pct"/>
            <w:shd w:val="clear" w:color="auto" w:fill="auto"/>
            <w:noWrap/>
            <w:vAlign w:val="center"/>
            <w:hideMark/>
          </w:tcPr>
          <w:p w14:paraId="0FA0BCE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0.167</w:t>
            </w:r>
          </w:p>
        </w:tc>
        <w:tc>
          <w:tcPr>
            <w:tcW w:w="702" w:type="pct"/>
            <w:shd w:val="clear" w:color="auto" w:fill="auto"/>
            <w:noWrap/>
            <w:vAlign w:val="center"/>
            <w:hideMark/>
          </w:tcPr>
          <w:p w14:paraId="247B5F3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0.185</w:t>
            </w:r>
          </w:p>
        </w:tc>
        <w:tc>
          <w:tcPr>
            <w:tcW w:w="502" w:type="pct"/>
            <w:shd w:val="clear" w:color="auto" w:fill="auto"/>
            <w:noWrap/>
            <w:vAlign w:val="center"/>
            <w:hideMark/>
          </w:tcPr>
          <w:p w14:paraId="2C0028B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0.181</w:t>
            </w:r>
          </w:p>
        </w:tc>
        <w:tc>
          <w:tcPr>
            <w:tcW w:w="504" w:type="pct"/>
            <w:shd w:val="clear" w:color="auto" w:fill="auto"/>
            <w:noWrap/>
            <w:vAlign w:val="center"/>
            <w:hideMark/>
          </w:tcPr>
          <w:p w14:paraId="1D2660E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0.189</w:t>
            </w:r>
          </w:p>
        </w:tc>
      </w:tr>
      <w:tr w:rsidR="007E0ABC" w:rsidRPr="000971F9" w14:paraId="6A106E61" w14:textId="77777777" w:rsidTr="000971F9">
        <w:trPr>
          <w:trHeight w:val="283"/>
        </w:trPr>
        <w:tc>
          <w:tcPr>
            <w:tcW w:w="835" w:type="pct"/>
            <w:vMerge/>
            <w:vAlign w:val="center"/>
            <w:hideMark/>
          </w:tcPr>
          <w:p w14:paraId="7F392CE3"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F7BEB2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45-49</w:t>
            </w:r>
          </w:p>
        </w:tc>
        <w:tc>
          <w:tcPr>
            <w:tcW w:w="666" w:type="pct"/>
            <w:shd w:val="clear" w:color="auto" w:fill="auto"/>
            <w:noWrap/>
            <w:vAlign w:val="center"/>
            <w:hideMark/>
          </w:tcPr>
          <w:p w14:paraId="5FF976E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0.167</w:t>
            </w:r>
          </w:p>
        </w:tc>
        <w:tc>
          <w:tcPr>
            <w:tcW w:w="478" w:type="pct"/>
            <w:shd w:val="clear" w:color="auto" w:fill="auto"/>
            <w:noWrap/>
            <w:vAlign w:val="center"/>
            <w:hideMark/>
          </w:tcPr>
          <w:p w14:paraId="00539B8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0.164</w:t>
            </w:r>
          </w:p>
        </w:tc>
        <w:tc>
          <w:tcPr>
            <w:tcW w:w="478" w:type="pct"/>
            <w:shd w:val="clear" w:color="auto" w:fill="auto"/>
            <w:noWrap/>
            <w:vAlign w:val="center"/>
            <w:hideMark/>
          </w:tcPr>
          <w:p w14:paraId="2281ECC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w:t>
            </w:r>
          </w:p>
        </w:tc>
        <w:tc>
          <w:tcPr>
            <w:tcW w:w="702" w:type="pct"/>
            <w:shd w:val="clear" w:color="auto" w:fill="auto"/>
            <w:noWrap/>
            <w:vAlign w:val="center"/>
            <w:hideMark/>
          </w:tcPr>
          <w:p w14:paraId="6D64346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0.184</w:t>
            </w:r>
          </w:p>
        </w:tc>
        <w:tc>
          <w:tcPr>
            <w:tcW w:w="502" w:type="pct"/>
            <w:shd w:val="clear" w:color="auto" w:fill="auto"/>
            <w:noWrap/>
            <w:vAlign w:val="center"/>
            <w:hideMark/>
          </w:tcPr>
          <w:p w14:paraId="383B338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w:t>
            </w:r>
          </w:p>
        </w:tc>
        <w:tc>
          <w:tcPr>
            <w:tcW w:w="504" w:type="pct"/>
            <w:shd w:val="clear" w:color="auto" w:fill="auto"/>
            <w:noWrap/>
            <w:vAlign w:val="center"/>
            <w:hideMark/>
          </w:tcPr>
          <w:p w14:paraId="523583D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0.188</w:t>
            </w:r>
          </w:p>
        </w:tc>
      </w:tr>
      <w:tr w:rsidR="007E0ABC" w:rsidRPr="000971F9" w14:paraId="2ECDBEA0" w14:textId="77777777" w:rsidTr="000971F9">
        <w:trPr>
          <w:trHeight w:val="283"/>
        </w:trPr>
        <w:tc>
          <w:tcPr>
            <w:tcW w:w="835" w:type="pct"/>
            <w:vMerge/>
            <w:vAlign w:val="center"/>
            <w:hideMark/>
          </w:tcPr>
          <w:p w14:paraId="136768D1"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12CCAC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50-54</w:t>
            </w:r>
          </w:p>
        </w:tc>
        <w:tc>
          <w:tcPr>
            <w:tcW w:w="666" w:type="pct"/>
            <w:shd w:val="clear" w:color="auto" w:fill="auto"/>
            <w:noWrap/>
            <w:vAlign w:val="center"/>
            <w:hideMark/>
          </w:tcPr>
          <w:p w14:paraId="2E6C1E9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0.048</w:t>
            </w:r>
          </w:p>
        </w:tc>
        <w:tc>
          <w:tcPr>
            <w:tcW w:w="478" w:type="pct"/>
            <w:shd w:val="clear" w:color="auto" w:fill="auto"/>
            <w:noWrap/>
            <w:vAlign w:val="center"/>
            <w:hideMark/>
          </w:tcPr>
          <w:p w14:paraId="04DF639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0.047</w:t>
            </w:r>
          </w:p>
        </w:tc>
        <w:tc>
          <w:tcPr>
            <w:tcW w:w="478" w:type="pct"/>
            <w:shd w:val="clear" w:color="auto" w:fill="auto"/>
            <w:noWrap/>
            <w:vAlign w:val="center"/>
            <w:hideMark/>
          </w:tcPr>
          <w:p w14:paraId="08FBCB0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0.049</w:t>
            </w:r>
          </w:p>
        </w:tc>
        <w:tc>
          <w:tcPr>
            <w:tcW w:w="702" w:type="pct"/>
            <w:shd w:val="clear" w:color="auto" w:fill="auto"/>
            <w:noWrap/>
            <w:vAlign w:val="center"/>
            <w:hideMark/>
          </w:tcPr>
          <w:p w14:paraId="3EA83B0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0.053</w:t>
            </w:r>
          </w:p>
        </w:tc>
        <w:tc>
          <w:tcPr>
            <w:tcW w:w="502" w:type="pct"/>
            <w:shd w:val="clear" w:color="auto" w:fill="auto"/>
            <w:noWrap/>
            <w:vAlign w:val="center"/>
            <w:hideMark/>
          </w:tcPr>
          <w:p w14:paraId="56ED19D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0.052</w:t>
            </w:r>
          </w:p>
        </w:tc>
        <w:tc>
          <w:tcPr>
            <w:tcW w:w="504" w:type="pct"/>
            <w:shd w:val="clear" w:color="auto" w:fill="auto"/>
            <w:noWrap/>
            <w:vAlign w:val="center"/>
            <w:hideMark/>
          </w:tcPr>
          <w:p w14:paraId="6105990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0.054</w:t>
            </w:r>
          </w:p>
        </w:tc>
      </w:tr>
      <w:tr w:rsidR="007E0ABC" w:rsidRPr="000971F9" w14:paraId="5FE27E72" w14:textId="77777777" w:rsidTr="000971F9">
        <w:trPr>
          <w:trHeight w:val="283"/>
        </w:trPr>
        <w:tc>
          <w:tcPr>
            <w:tcW w:w="835" w:type="pct"/>
            <w:vMerge/>
            <w:vAlign w:val="center"/>
            <w:hideMark/>
          </w:tcPr>
          <w:p w14:paraId="2616C25D"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22B332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55-59</w:t>
            </w:r>
          </w:p>
        </w:tc>
        <w:tc>
          <w:tcPr>
            <w:tcW w:w="666" w:type="pct"/>
            <w:shd w:val="clear" w:color="auto" w:fill="auto"/>
            <w:noWrap/>
            <w:vAlign w:val="center"/>
            <w:hideMark/>
          </w:tcPr>
          <w:p w14:paraId="5E55BF3F"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0.167</w:t>
            </w:r>
          </w:p>
        </w:tc>
        <w:tc>
          <w:tcPr>
            <w:tcW w:w="478" w:type="pct"/>
            <w:shd w:val="clear" w:color="auto" w:fill="auto"/>
            <w:noWrap/>
            <w:vAlign w:val="center"/>
            <w:hideMark/>
          </w:tcPr>
          <w:p w14:paraId="1A96C58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0.163</w:t>
            </w:r>
          </w:p>
        </w:tc>
        <w:tc>
          <w:tcPr>
            <w:tcW w:w="478" w:type="pct"/>
            <w:shd w:val="clear" w:color="auto" w:fill="auto"/>
            <w:noWrap/>
            <w:vAlign w:val="center"/>
            <w:hideMark/>
          </w:tcPr>
          <w:p w14:paraId="2525A11E"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0.171</w:t>
            </w:r>
          </w:p>
        </w:tc>
        <w:tc>
          <w:tcPr>
            <w:tcW w:w="702" w:type="pct"/>
            <w:shd w:val="clear" w:color="auto" w:fill="auto"/>
            <w:noWrap/>
            <w:vAlign w:val="center"/>
            <w:hideMark/>
          </w:tcPr>
          <w:p w14:paraId="2FA2CF2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0.179</w:t>
            </w:r>
          </w:p>
        </w:tc>
        <w:tc>
          <w:tcPr>
            <w:tcW w:w="502" w:type="pct"/>
            <w:shd w:val="clear" w:color="auto" w:fill="auto"/>
            <w:noWrap/>
            <w:vAlign w:val="center"/>
            <w:hideMark/>
          </w:tcPr>
          <w:p w14:paraId="13F190B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0.175</w:t>
            </w:r>
          </w:p>
        </w:tc>
        <w:tc>
          <w:tcPr>
            <w:tcW w:w="504" w:type="pct"/>
            <w:shd w:val="clear" w:color="auto" w:fill="auto"/>
            <w:noWrap/>
            <w:vAlign w:val="center"/>
            <w:hideMark/>
          </w:tcPr>
          <w:p w14:paraId="354980E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0.183</w:t>
            </w:r>
          </w:p>
        </w:tc>
      </w:tr>
      <w:tr w:rsidR="007E0ABC" w:rsidRPr="000971F9" w14:paraId="73DB7323" w14:textId="77777777" w:rsidTr="000971F9">
        <w:trPr>
          <w:trHeight w:val="283"/>
        </w:trPr>
        <w:tc>
          <w:tcPr>
            <w:tcW w:w="835" w:type="pct"/>
            <w:vMerge/>
            <w:vAlign w:val="center"/>
            <w:hideMark/>
          </w:tcPr>
          <w:p w14:paraId="0F19D088"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6C61A135"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60-64</w:t>
            </w:r>
          </w:p>
        </w:tc>
        <w:tc>
          <w:tcPr>
            <w:tcW w:w="666" w:type="pct"/>
            <w:shd w:val="clear" w:color="auto" w:fill="auto"/>
            <w:noWrap/>
            <w:vAlign w:val="center"/>
            <w:hideMark/>
          </w:tcPr>
          <w:p w14:paraId="78726A1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w:t>
            </w:r>
          </w:p>
        </w:tc>
        <w:tc>
          <w:tcPr>
            <w:tcW w:w="478" w:type="pct"/>
            <w:shd w:val="clear" w:color="auto" w:fill="auto"/>
            <w:noWrap/>
            <w:vAlign w:val="center"/>
            <w:hideMark/>
          </w:tcPr>
          <w:p w14:paraId="585D97C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0.166</w:t>
            </w:r>
          </w:p>
        </w:tc>
        <w:tc>
          <w:tcPr>
            <w:tcW w:w="478" w:type="pct"/>
            <w:shd w:val="clear" w:color="auto" w:fill="auto"/>
            <w:noWrap/>
            <w:vAlign w:val="center"/>
            <w:hideMark/>
          </w:tcPr>
          <w:p w14:paraId="19938A0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0.174</w:t>
            </w:r>
          </w:p>
        </w:tc>
        <w:tc>
          <w:tcPr>
            <w:tcW w:w="702" w:type="pct"/>
            <w:shd w:val="clear" w:color="auto" w:fill="auto"/>
            <w:noWrap/>
            <w:vAlign w:val="center"/>
            <w:hideMark/>
          </w:tcPr>
          <w:p w14:paraId="4C22E9E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0.179</w:t>
            </w:r>
          </w:p>
        </w:tc>
        <w:tc>
          <w:tcPr>
            <w:tcW w:w="502" w:type="pct"/>
            <w:shd w:val="clear" w:color="auto" w:fill="auto"/>
            <w:noWrap/>
            <w:vAlign w:val="center"/>
            <w:hideMark/>
          </w:tcPr>
          <w:p w14:paraId="72737DE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0.175</w:t>
            </w:r>
          </w:p>
        </w:tc>
        <w:tc>
          <w:tcPr>
            <w:tcW w:w="504" w:type="pct"/>
            <w:shd w:val="clear" w:color="auto" w:fill="auto"/>
            <w:noWrap/>
            <w:vAlign w:val="center"/>
            <w:hideMark/>
          </w:tcPr>
          <w:p w14:paraId="53B2225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0.183</w:t>
            </w:r>
          </w:p>
        </w:tc>
      </w:tr>
      <w:tr w:rsidR="007E0ABC" w:rsidRPr="000971F9" w14:paraId="07EB43E1" w14:textId="77777777" w:rsidTr="000971F9">
        <w:trPr>
          <w:trHeight w:val="283"/>
        </w:trPr>
        <w:tc>
          <w:tcPr>
            <w:tcW w:w="835" w:type="pct"/>
            <w:vMerge/>
            <w:vAlign w:val="center"/>
            <w:hideMark/>
          </w:tcPr>
          <w:p w14:paraId="44DCED44"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6A8724BD"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65-69</w:t>
            </w:r>
          </w:p>
        </w:tc>
        <w:tc>
          <w:tcPr>
            <w:tcW w:w="666" w:type="pct"/>
            <w:shd w:val="clear" w:color="auto" w:fill="auto"/>
            <w:noWrap/>
            <w:vAlign w:val="center"/>
            <w:hideMark/>
          </w:tcPr>
          <w:p w14:paraId="5D995B19"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0.193</w:t>
            </w:r>
          </w:p>
        </w:tc>
        <w:tc>
          <w:tcPr>
            <w:tcW w:w="478" w:type="pct"/>
            <w:shd w:val="clear" w:color="auto" w:fill="auto"/>
            <w:noWrap/>
            <w:vAlign w:val="center"/>
            <w:hideMark/>
          </w:tcPr>
          <w:p w14:paraId="5F48B24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0.189</w:t>
            </w:r>
          </w:p>
        </w:tc>
        <w:tc>
          <w:tcPr>
            <w:tcW w:w="478" w:type="pct"/>
            <w:shd w:val="clear" w:color="auto" w:fill="auto"/>
            <w:noWrap/>
            <w:vAlign w:val="center"/>
            <w:hideMark/>
          </w:tcPr>
          <w:p w14:paraId="02EB889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0.197</w:t>
            </w:r>
          </w:p>
        </w:tc>
        <w:tc>
          <w:tcPr>
            <w:tcW w:w="702" w:type="pct"/>
            <w:shd w:val="clear" w:color="auto" w:fill="auto"/>
            <w:noWrap/>
            <w:vAlign w:val="center"/>
            <w:hideMark/>
          </w:tcPr>
          <w:p w14:paraId="20E2B61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0.184</w:t>
            </w:r>
          </w:p>
        </w:tc>
        <w:tc>
          <w:tcPr>
            <w:tcW w:w="502" w:type="pct"/>
            <w:shd w:val="clear" w:color="auto" w:fill="auto"/>
            <w:noWrap/>
            <w:vAlign w:val="center"/>
            <w:hideMark/>
          </w:tcPr>
          <w:p w14:paraId="34701F3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w:t>
            </w:r>
          </w:p>
        </w:tc>
        <w:tc>
          <w:tcPr>
            <w:tcW w:w="504" w:type="pct"/>
            <w:shd w:val="clear" w:color="auto" w:fill="auto"/>
            <w:noWrap/>
            <w:vAlign w:val="center"/>
            <w:hideMark/>
          </w:tcPr>
          <w:p w14:paraId="4C698A4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0.188</w:t>
            </w:r>
          </w:p>
        </w:tc>
      </w:tr>
      <w:tr w:rsidR="007E0ABC" w:rsidRPr="000971F9" w14:paraId="0BF348E1" w14:textId="77777777" w:rsidTr="000971F9">
        <w:trPr>
          <w:trHeight w:val="283"/>
        </w:trPr>
        <w:tc>
          <w:tcPr>
            <w:tcW w:w="835" w:type="pct"/>
            <w:vMerge/>
            <w:vAlign w:val="center"/>
            <w:hideMark/>
          </w:tcPr>
          <w:p w14:paraId="6797C00A"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3AF2D6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70-74</w:t>
            </w:r>
          </w:p>
        </w:tc>
        <w:tc>
          <w:tcPr>
            <w:tcW w:w="666" w:type="pct"/>
            <w:shd w:val="clear" w:color="auto" w:fill="auto"/>
            <w:noWrap/>
            <w:vAlign w:val="center"/>
            <w:hideMark/>
          </w:tcPr>
          <w:p w14:paraId="326DA63B"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0.255</w:t>
            </w:r>
          </w:p>
        </w:tc>
        <w:tc>
          <w:tcPr>
            <w:tcW w:w="478" w:type="pct"/>
            <w:shd w:val="clear" w:color="auto" w:fill="auto"/>
            <w:noWrap/>
            <w:vAlign w:val="center"/>
            <w:hideMark/>
          </w:tcPr>
          <w:p w14:paraId="338EE8C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0.249</w:t>
            </w:r>
          </w:p>
        </w:tc>
        <w:tc>
          <w:tcPr>
            <w:tcW w:w="478" w:type="pct"/>
            <w:shd w:val="clear" w:color="auto" w:fill="auto"/>
            <w:noWrap/>
            <w:vAlign w:val="center"/>
            <w:hideMark/>
          </w:tcPr>
          <w:p w14:paraId="0C8598E7"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0.261</w:t>
            </w:r>
          </w:p>
        </w:tc>
        <w:tc>
          <w:tcPr>
            <w:tcW w:w="702" w:type="pct"/>
            <w:shd w:val="clear" w:color="auto" w:fill="auto"/>
            <w:noWrap/>
            <w:vAlign w:val="center"/>
            <w:hideMark/>
          </w:tcPr>
          <w:p w14:paraId="7C4791A2"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0.213</w:t>
            </w:r>
          </w:p>
        </w:tc>
        <w:tc>
          <w:tcPr>
            <w:tcW w:w="502" w:type="pct"/>
            <w:shd w:val="clear" w:color="auto" w:fill="auto"/>
            <w:noWrap/>
            <w:vAlign w:val="center"/>
            <w:hideMark/>
          </w:tcPr>
          <w:p w14:paraId="60AAEB23"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0.208</w:t>
            </w:r>
          </w:p>
        </w:tc>
        <w:tc>
          <w:tcPr>
            <w:tcW w:w="504" w:type="pct"/>
            <w:shd w:val="clear" w:color="auto" w:fill="auto"/>
            <w:noWrap/>
            <w:vAlign w:val="center"/>
            <w:hideMark/>
          </w:tcPr>
          <w:p w14:paraId="180B7E26"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0.218</w:t>
            </w:r>
          </w:p>
        </w:tc>
      </w:tr>
      <w:tr w:rsidR="007E0ABC" w:rsidRPr="000971F9" w14:paraId="13C9B69F" w14:textId="77777777" w:rsidTr="000971F9">
        <w:trPr>
          <w:trHeight w:val="283"/>
        </w:trPr>
        <w:tc>
          <w:tcPr>
            <w:tcW w:w="835" w:type="pct"/>
            <w:vMerge/>
            <w:vAlign w:val="center"/>
            <w:hideMark/>
          </w:tcPr>
          <w:p w14:paraId="0F3FA7BF" w14:textId="77777777" w:rsidR="007E0ABC" w:rsidRPr="000971F9" w:rsidRDefault="007E0ABC" w:rsidP="000971F9">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813133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75-79</w:t>
            </w:r>
          </w:p>
        </w:tc>
        <w:tc>
          <w:tcPr>
            <w:tcW w:w="666" w:type="pct"/>
            <w:shd w:val="clear" w:color="auto" w:fill="auto"/>
            <w:noWrap/>
            <w:vAlign w:val="center"/>
            <w:hideMark/>
          </w:tcPr>
          <w:p w14:paraId="2ED5141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0.339</w:t>
            </w:r>
          </w:p>
        </w:tc>
        <w:tc>
          <w:tcPr>
            <w:tcW w:w="478" w:type="pct"/>
            <w:shd w:val="clear" w:color="auto" w:fill="auto"/>
            <w:noWrap/>
            <w:vAlign w:val="center"/>
            <w:hideMark/>
          </w:tcPr>
          <w:p w14:paraId="3F70EB3C"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0.332</w:t>
            </w:r>
          </w:p>
        </w:tc>
        <w:tc>
          <w:tcPr>
            <w:tcW w:w="478" w:type="pct"/>
            <w:shd w:val="clear" w:color="auto" w:fill="auto"/>
            <w:noWrap/>
            <w:vAlign w:val="center"/>
            <w:hideMark/>
          </w:tcPr>
          <w:p w14:paraId="69FD22B4"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0.346</w:t>
            </w:r>
          </w:p>
        </w:tc>
        <w:tc>
          <w:tcPr>
            <w:tcW w:w="702" w:type="pct"/>
            <w:shd w:val="clear" w:color="auto" w:fill="auto"/>
            <w:noWrap/>
            <w:vAlign w:val="center"/>
            <w:hideMark/>
          </w:tcPr>
          <w:p w14:paraId="2F293F4A"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0.237</w:t>
            </w:r>
          </w:p>
        </w:tc>
        <w:tc>
          <w:tcPr>
            <w:tcW w:w="502" w:type="pct"/>
            <w:shd w:val="clear" w:color="auto" w:fill="auto"/>
            <w:noWrap/>
            <w:vAlign w:val="center"/>
            <w:hideMark/>
          </w:tcPr>
          <w:p w14:paraId="5C6DC2F0"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0.231</w:t>
            </w:r>
          </w:p>
        </w:tc>
        <w:tc>
          <w:tcPr>
            <w:tcW w:w="504" w:type="pct"/>
            <w:shd w:val="clear" w:color="auto" w:fill="auto"/>
            <w:noWrap/>
            <w:vAlign w:val="center"/>
            <w:hideMark/>
          </w:tcPr>
          <w:p w14:paraId="79DC4ED8" w14:textId="77777777" w:rsidR="007E0ABC" w:rsidRPr="000971F9" w:rsidRDefault="007E0ABC" w:rsidP="000971F9">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0.243</w:t>
            </w:r>
          </w:p>
        </w:tc>
      </w:tr>
    </w:tbl>
    <w:p w14:paraId="3C6FB8DF" w14:textId="77777777" w:rsidR="007E0ABC" w:rsidRDefault="007E0ABC" w:rsidP="00143A29"/>
    <w:tbl>
      <w:tblPr>
        <w:tblpPr w:leftFromText="180" w:rightFromText="180" w:tblpY="-620"/>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505"/>
        <w:gridCol w:w="1505"/>
        <w:gridCol w:w="1200"/>
        <w:gridCol w:w="861"/>
        <w:gridCol w:w="861"/>
        <w:gridCol w:w="1265"/>
        <w:gridCol w:w="905"/>
        <w:gridCol w:w="908"/>
      </w:tblGrid>
      <w:tr w:rsidR="007E0ABC" w:rsidRPr="000971F9" w14:paraId="0C0EB220" w14:textId="77777777" w:rsidTr="00716FF2">
        <w:trPr>
          <w:trHeight w:val="500"/>
        </w:trPr>
        <w:tc>
          <w:tcPr>
            <w:tcW w:w="5000" w:type="pct"/>
            <w:gridSpan w:val="8"/>
            <w:shd w:val="clear" w:color="000000" w:fill="EDEDED"/>
            <w:noWrap/>
            <w:vAlign w:val="center"/>
            <w:hideMark/>
          </w:tcPr>
          <w:p w14:paraId="251404F3" w14:textId="77777777" w:rsidR="007E0ABC" w:rsidRPr="000971F9" w:rsidRDefault="007E0ABC" w:rsidP="00716FF2">
            <w:pPr>
              <w:jc w:val="center"/>
              <w:rPr>
                <w:rFonts w:ascii="Century Gothic" w:eastAsia="Times New Roman" w:hAnsi="Century Gothic" w:cs="Calibri"/>
                <w:b/>
                <w:bCs/>
                <w:color w:val="000000"/>
                <w:sz w:val="16"/>
                <w:szCs w:val="16"/>
                <w:u w:val="single"/>
                <w:lang w:eastAsia="en-GB"/>
              </w:rPr>
            </w:pPr>
            <w:r w:rsidRPr="000971F9">
              <w:rPr>
                <w:rFonts w:ascii="Century Gothic" w:eastAsia="Times New Roman" w:hAnsi="Century Gothic" w:cs="Calibri"/>
                <w:b/>
                <w:bCs/>
                <w:color w:val="000000"/>
                <w:sz w:val="16"/>
                <w:szCs w:val="16"/>
                <w:u w:val="single"/>
                <w:lang w:eastAsia="en-GB"/>
              </w:rPr>
              <w:lastRenderedPageBreak/>
              <w:t>GENERAL POPULATION COHORT 2013 - 2015</w:t>
            </w:r>
          </w:p>
        </w:tc>
      </w:tr>
      <w:tr w:rsidR="007E0ABC" w:rsidRPr="000971F9" w14:paraId="34E963AC" w14:textId="77777777" w:rsidTr="00716FF2">
        <w:trPr>
          <w:trHeight w:val="490"/>
        </w:trPr>
        <w:tc>
          <w:tcPr>
            <w:tcW w:w="835" w:type="pct"/>
            <w:shd w:val="clear" w:color="auto" w:fill="auto"/>
            <w:vAlign w:val="center"/>
            <w:hideMark/>
          </w:tcPr>
          <w:p w14:paraId="2AD432EB"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Emergency care type</w:t>
            </w:r>
          </w:p>
        </w:tc>
        <w:tc>
          <w:tcPr>
            <w:tcW w:w="835" w:type="pct"/>
            <w:shd w:val="clear" w:color="auto" w:fill="auto"/>
            <w:vAlign w:val="center"/>
            <w:hideMark/>
          </w:tcPr>
          <w:p w14:paraId="29B22B2D"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Age group</w:t>
            </w:r>
          </w:p>
        </w:tc>
        <w:tc>
          <w:tcPr>
            <w:tcW w:w="3330" w:type="pct"/>
            <w:gridSpan w:val="6"/>
            <w:shd w:val="clear" w:color="auto" w:fill="auto"/>
            <w:vAlign w:val="center"/>
            <w:hideMark/>
          </w:tcPr>
          <w:p w14:paraId="332F33F7"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Crude proportion (unique contacts/person year) (95% CI)</w:t>
            </w:r>
          </w:p>
        </w:tc>
      </w:tr>
      <w:tr w:rsidR="007E0ABC" w:rsidRPr="00716FF2" w14:paraId="29A49A9E" w14:textId="77777777" w:rsidTr="00716FF2">
        <w:trPr>
          <w:trHeight w:val="360"/>
        </w:trPr>
        <w:tc>
          <w:tcPr>
            <w:tcW w:w="835" w:type="pct"/>
            <w:shd w:val="clear" w:color="auto" w:fill="auto"/>
            <w:noWrap/>
            <w:vAlign w:val="center"/>
            <w:hideMark/>
          </w:tcPr>
          <w:p w14:paraId="78A18842" w14:textId="77777777" w:rsidR="007E0ABC" w:rsidRPr="000971F9" w:rsidRDefault="007E0ABC" w:rsidP="00716FF2">
            <w:pPr>
              <w:jc w:val="center"/>
              <w:rPr>
                <w:rFonts w:ascii="Century Gothic" w:eastAsia="Times New Roman" w:hAnsi="Century Gothic" w:cs="Calibri"/>
                <w:b/>
                <w:bCs/>
                <w:i/>
                <w:iCs/>
                <w:color w:val="000000"/>
                <w:sz w:val="16"/>
                <w:szCs w:val="16"/>
                <w:lang w:eastAsia="en-GB"/>
              </w:rPr>
            </w:pPr>
            <w:r w:rsidRPr="000971F9">
              <w:rPr>
                <w:rFonts w:ascii="Century Gothic" w:eastAsia="Times New Roman" w:hAnsi="Century Gothic" w:cs="Calibri"/>
                <w:b/>
                <w:bCs/>
                <w:i/>
                <w:iCs/>
                <w:color w:val="000000"/>
                <w:sz w:val="16"/>
                <w:szCs w:val="16"/>
                <w:lang w:eastAsia="en-GB"/>
              </w:rPr>
              <w:t> </w:t>
            </w:r>
          </w:p>
        </w:tc>
        <w:tc>
          <w:tcPr>
            <w:tcW w:w="835" w:type="pct"/>
            <w:shd w:val="clear" w:color="auto" w:fill="auto"/>
            <w:noWrap/>
            <w:vAlign w:val="center"/>
            <w:hideMark/>
          </w:tcPr>
          <w:p w14:paraId="67F556D1" w14:textId="77777777" w:rsidR="007E0ABC" w:rsidRPr="000971F9" w:rsidRDefault="007E0ABC" w:rsidP="00716FF2">
            <w:pPr>
              <w:jc w:val="center"/>
              <w:rPr>
                <w:rFonts w:ascii="Century Gothic" w:eastAsia="Times New Roman" w:hAnsi="Century Gothic" w:cs="Calibri"/>
                <w:b/>
                <w:bCs/>
                <w:i/>
                <w:iCs/>
                <w:color w:val="000000"/>
                <w:sz w:val="16"/>
                <w:szCs w:val="16"/>
                <w:lang w:eastAsia="en-GB"/>
              </w:rPr>
            </w:pPr>
            <w:r w:rsidRPr="000971F9">
              <w:rPr>
                <w:rFonts w:ascii="Century Gothic" w:eastAsia="Times New Roman" w:hAnsi="Century Gothic" w:cs="Calibri"/>
                <w:b/>
                <w:bCs/>
                <w:i/>
                <w:iCs/>
                <w:color w:val="000000"/>
                <w:sz w:val="16"/>
                <w:szCs w:val="16"/>
                <w:lang w:eastAsia="en-GB"/>
              </w:rPr>
              <w:t> </w:t>
            </w:r>
          </w:p>
        </w:tc>
        <w:tc>
          <w:tcPr>
            <w:tcW w:w="666" w:type="pct"/>
            <w:shd w:val="clear" w:color="auto" w:fill="auto"/>
            <w:noWrap/>
            <w:vAlign w:val="center"/>
            <w:hideMark/>
          </w:tcPr>
          <w:p w14:paraId="4A108018" w14:textId="77777777" w:rsidR="007E0ABC" w:rsidRPr="000971F9" w:rsidRDefault="007E0ABC" w:rsidP="00716FF2">
            <w:pPr>
              <w:jc w:val="center"/>
              <w:rPr>
                <w:rFonts w:ascii="Century Gothic" w:eastAsia="Times New Roman" w:hAnsi="Century Gothic" w:cs="Calibri"/>
                <w:b/>
                <w:bCs/>
                <w:i/>
                <w:iCs/>
                <w:color w:val="000000"/>
                <w:sz w:val="16"/>
                <w:szCs w:val="16"/>
                <w:lang w:eastAsia="en-GB"/>
              </w:rPr>
            </w:pPr>
            <w:r w:rsidRPr="000971F9">
              <w:rPr>
                <w:rFonts w:ascii="Century Gothic" w:eastAsia="Times New Roman" w:hAnsi="Century Gothic" w:cs="Calibri"/>
                <w:b/>
                <w:bCs/>
                <w:i/>
                <w:iCs/>
                <w:color w:val="000000"/>
                <w:sz w:val="16"/>
                <w:szCs w:val="16"/>
                <w:lang w:eastAsia="en-GB"/>
              </w:rPr>
              <w:t>Male</w:t>
            </w:r>
          </w:p>
        </w:tc>
        <w:tc>
          <w:tcPr>
            <w:tcW w:w="478" w:type="pct"/>
            <w:shd w:val="clear" w:color="auto" w:fill="auto"/>
            <w:vAlign w:val="center"/>
            <w:hideMark/>
          </w:tcPr>
          <w:p w14:paraId="760EEF55"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 xml:space="preserve"> CI low</w:t>
            </w:r>
          </w:p>
        </w:tc>
        <w:tc>
          <w:tcPr>
            <w:tcW w:w="478" w:type="pct"/>
            <w:shd w:val="clear" w:color="auto" w:fill="auto"/>
            <w:vAlign w:val="center"/>
            <w:hideMark/>
          </w:tcPr>
          <w:p w14:paraId="36008F2F"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CI up</w:t>
            </w:r>
          </w:p>
        </w:tc>
        <w:tc>
          <w:tcPr>
            <w:tcW w:w="702" w:type="pct"/>
            <w:shd w:val="clear" w:color="auto" w:fill="auto"/>
            <w:noWrap/>
            <w:vAlign w:val="center"/>
            <w:hideMark/>
          </w:tcPr>
          <w:p w14:paraId="4E81C8ED" w14:textId="77777777" w:rsidR="007E0ABC" w:rsidRPr="000971F9" w:rsidRDefault="007E0ABC" w:rsidP="00716FF2">
            <w:pPr>
              <w:jc w:val="center"/>
              <w:rPr>
                <w:rFonts w:ascii="Century Gothic" w:eastAsia="Times New Roman" w:hAnsi="Century Gothic" w:cs="Calibri"/>
                <w:b/>
                <w:bCs/>
                <w:i/>
                <w:iCs/>
                <w:color w:val="000000"/>
                <w:sz w:val="16"/>
                <w:szCs w:val="16"/>
                <w:lang w:eastAsia="en-GB"/>
              </w:rPr>
            </w:pPr>
            <w:r w:rsidRPr="000971F9">
              <w:rPr>
                <w:rFonts w:ascii="Century Gothic" w:eastAsia="Times New Roman" w:hAnsi="Century Gothic" w:cs="Calibri"/>
                <w:b/>
                <w:bCs/>
                <w:i/>
                <w:iCs/>
                <w:color w:val="000000"/>
                <w:sz w:val="16"/>
                <w:szCs w:val="16"/>
                <w:lang w:eastAsia="en-GB"/>
              </w:rPr>
              <w:t>Female</w:t>
            </w:r>
          </w:p>
        </w:tc>
        <w:tc>
          <w:tcPr>
            <w:tcW w:w="502" w:type="pct"/>
            <w:shd w:val="clear" w:color="auto" w:fill="auto"/>
            <w:vAlign w:val="center"/>
            <w:hideMark/>
          </w:tcPr>
          <w:p w14:paraId="6406178B"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CI low</w:t>
            </w:r>
          </w:p>
        </w:tc>
        <w:tc>
          <w:tcPr>
            <w:tcW w:w="504" w:type="pct"/>
            <w:shd w:val="clear" w:color="auto" w:fill="auto"/>
            <w:vAlign w:val="center"/>
            <w:hideMark/>
          </w:tcPr>
          <w:p w14:paraId="58C21B77"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CI up</w:t>
            </w:r>
          </w:p>
        </w:tc>
      </w:tr>
      <w:tr w:rsidR="007E0ABC" w:rsidRPr="00716FF2" w14:paraId="7CD09C0D" w14:textId="77777777" w:rsidTr="00716FF2">
        <w:trPr>
          <w:trHeight w:val="320"/>
        </w:trPr>
        <w:tc>
          <w:tcPr>
            <w:tcW w:w="835" w:type="pct"/>
            <w:vMerge w:val="restart"/>
            <w:shd w:val="clear" w:color="auto" w:fill="auto"/>
            <w:noWrap/>
            <w:vAlign w:val="center"/>
            <w:hideMark/>
          </w:tcPr>
          <w:p w14:paraId="2ACC78F0"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111</w:t>
            </w:r>
          </w:p>
        </w:tc>
        <w:tc>
          <w:tcPr>
            <w:tcW w:w="835" w:type="pct"/>
            <w:shd w:val="clear" w:color="auto" w:fill="auto"/>
            <w:noWrap/>
            <w:vAlign w:val="center"/>
            <w:hideMark/>
          </w:tcPr>
          <w:p w14:paraId="01486B5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15-19</w:t>
            </w:r>
          </w:p>
        </w:tc>
        <w:tc>
          <w:tcPr>
            <w:tcW w:w="666" w:type="pct"/>
            <w:shd w:val="clear" w:color="auto" w:fill="auto"/>
            <w:noWrap/>
            <w:vAlign w:val="center"/>
            <w:hideMark/>
          </w:tcPr>
          <w:p w14:paraId="524B1F3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0.072</w:t>
            </w:r>
          </w:p>
        </w:tc>
        <w:tc>
          <w:tcPr>
            <w:tcW w:w="478" w:type="pct"/>
            <w:shd w:val="clear" w:color="auto" w:fill="auto"/>
            <w:noWrap/>
            <w:vAlign w:val="center"/>
            <w:hideMark/>
          </w:tcPr>
          <w:p w14:paraId="26F900F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w:t>
            </w:r>
          </w:p>
        </w:tc>
        <w:tc>
          <w:tcPr>
            <w:tcW w:w="478" w:type="pct"/>
            <w:shd w:val="clear" w:color="auto" w:fill="auto"/>
            <w:noWrap/>
            <w:vAlign w:val="center"/>
            <w:hideMark/>
          </w:tcPr>
          <w:p w14:paraId="39A7827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0.074</w:t>
            </w:r>
          </w:p>
        </w:tc>
        <w:tc>
          <w:tcPr>
            <w:tcW w:w="702" w:type="pct"/>
            <w:shd w:val="clear" w:color="auto" w:fill="auto"/>
            <w:noWrap/>
            <w:vAlign w:val="center"/>
            <w:hideMark/>
          </w:tcPr>
          <w:p w14:paraId="6A45BF1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0.137</w:t>
            </w:r>
          </w:p>
        </w:tc>
        <w:tc>
          <w:tcPr>
            <w:tcW w:w="502" w:type="pct"/>
            <w:shd w:val="clear" w:color="auto" w:fill="auto"/>
            <w:noWrap/>
            <w:vAlign w:val="center"/>
            <w:hideMark/>
          </w:tcPr>
          <w:p w14:paraId="10BFB7D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0.134</w:t>
            </w:r>
          </w:p>
        </w:tc>
        <w:tc>
          <w:tcPr>
            <w:tcW w:w="504" w:type="pct"/>
            <w:shd w:val="clear" w:color="auto" w:fill="auto"/>
            <w:noWrap/>
            <w:vAlign w:val="center"/>
            <w:hideMark/>
          </w:tcPr>
          <w:p w14:paraId="25FD2DB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w:t>
            </w:r>
          </w:p>
        </w:tc>
      </w:tr>
      <w:tr w:rsidR="007E0ABC" w:rsidRPr="00716FF2" w14:paraId="2E790617" w14:textId="77777777" w:rsidTr="00716FF2">
        <w:trPr>
          <w:trHeight w:val="320"/>
        </w:trPr>
        <w:tc>
          <w:tcPr>
            <w:tcW w:w="835" w:type="pct"/>
            <w:vMerge/>
            <w:vAlign w:val="center"/>
            <w:hideMark/>
          </w:tcPr>
          <w:p w14:paraId="69FF8A3E"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B675F8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20-24</w:t>
            </w:r>
          </w:p>
        </w:tc>
        <w:tc>
          <w:tcPr>
            <w:tcW w:w="666" w:type="pct"/>
            <w:shd w:val="clear" w:color="auto" w:fill="auto"/>
            <w:noWrap/>
            <w:vAlign w:val="center"/>
            <w:hideMark/>
          </w:tcPr>
          <w:p w14:paraId="17C9040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0.065</w:t>
            </w:r>
          </w:p>
        </w:tc>
        <w:tc>
          <w:tcPr>
            <w:tcW w:w="478" w:type="pct"/>
            <w:shd w:val="clear" w:color="auto" w:fill="auto"/>
            <w:noWrap/>
            <w:vAlign w:val="center"/>
            <w:hideMark/>
          </w:tcPr>
          <w:p w14:paraId="15AB702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0.063</w:t>
            </w:r>
          </w:p>
        </w:tc>
        <w:tc>
          <w:tcPr>
            <w:tcW w:w="478" w:type="pct"/>
            <w:shd w:val="clear" w:color="auto" w:fill="auto"/>
            <w:noWrap/>
            <w:vAlign w:val="center"/>
            <w:hideMark/>
          </w:tcPr>
          <w:p w14:paraId="6CFA878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0.067</w:t>
            </w:r>
          </w:p>
        </w:tc>
        <w:tc>
          <w:tcPr>
            <w:tcW w:w="702" w:type="pct"/>
            <w:shd w:val="clear" w:color="auto" w:fill="auto"/>
            <w:noWrap/>
            <w:vAlign w:val="center"/>
            <w:hideMark/>
          </w:tcPr>
          <w:p w14:paraId="622ED79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0.121</w:t>
            </w:r>
          </w:p>
        </w:tc>
        <w:tc>
          <w:tcPr>
            <w:tcW w:w="502" w:type="pct"/>
            <w:shd w:val="clear" w:color="auto" w:fill="auto"/>
            <w:noWrap/>
            <w:vAlign w:val="center"/>
            <w:hideMark/>
          </w:tcPr>
          <w:p w14:paraId="3A1235B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0.119</w:t>
            </w:r>
          </w:p>
        </w:tc>
        <w:tc>
          <w:tcPr>
            <w:tcW w:w="504" w:type="pct"/>
            <w:shd w:val="clear" w:color="auto" w:fill="auto"/>
            <w:noWrap/>
            <w:vAlign w:val="center"/>
            <w:hideMark/>
          </w:tcPr>
          <w:p w14:paraId="67A48B1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0.123</w:t>
            </w:r>
          </w:p>
        </w:tc>
      </w:tr>
      <w:tr w:rsidR="007E0ABC" w:rsidRPr="00716FF2" w14:paraId="6E53C9EA" w14:textId="77777777" w:rsidTr="00716FF2">
        <w:trPr>
          <w:trHeight w:val="320"/>
        </w:trPr>
        <w:tc>
          <w:tcPr>
            <w:tcW w:w="835" w:type="pct"/>
            <w:vMerge/>
            <w:vAlign w:val="center"/>
            <w:hideMark/>
          </w:tcPr>
          <w:p w14:paraId="73EB692F"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292F1F3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25-29</w:t>
            </w:r>
          </w:p>
        </w:tc>
        <w:tc>
          <w:tcPr>
            <w:tcW w:w="666" w:type="pct"/>
            <w:shd w:val="clear" w:color="auto" w:fill="auto"/>
            <w:noWrap/>
            <w:vAlign w:val="center"/>
            <w:hideMark/>
          </w:tcPr>
          <w:p w14:paraId="0FCC830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0.086</w:t>
            </w:r>
          </w:p>
        </w:tc>
        <w:tc>
          <w:tcPr>
            <w:tcW w:w="478" w:type="pct"/>
            <w:shd w:val="clear" w:color="auto" w:fill="auto"/>
            <w:noWrap/>
            <w:vAlign w:val="center"/>
            <w:hideMark/>
          </w:tcPr>
          <w:p w14:paraId="33CB706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0.084</w:t>
            </w:r>
          </w:p>
        </w:tc>
        <w:tc>
          <w:tcPr>
            <w:tcW w:w="478" w:type="pct"/>
            <w:shd w:val="clear" w:color="auto" w:fill="auto"/>
            <w:noWrap/>
            <w:vAlign w:val="center"/>
            <w:hideMark/>
          </w:tcPr>
          <w:p w14:paraId="1EA4A0A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0.088</w:t>
            </w:r>
          </w:p>
        </w:tc>
        <w:tc>
          <w:tcPr>
            <w:tcW w:w="702" w:type="pct"/>
            <w:shd w:val="clear" w:color="auto" w:fill="auto"/>
            <w:noWrap/>
            <w:vAlign w:val="center"/>
            <w:hideMark/>
          </w:tcPr>
          <w:p w14:paraId="2CB3C9B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0.134</w:t>
            </w:r>
          </w:p>
        </w:tc>
        <w:tc>
          <w:tcPr>
            <w:tcW w:w="502" w:type="pct"/>
            <w:shd w:val="clear" w:color="auto" w:fill="auto"/>
            <w:noWrap/>
            <w:vAlign w:val="center"/>
            <w:hideMark/>
          </w:tcPr>
          <w:p w14:paraId="084F0B7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0.131</w:t>
            </w:r>
          </w:p>
        </w:tc>
        <w:tc>
          <w:tcPr>
            <w:tcW w:w="504" w:type="pct"/>
            <w:shd w:val="clear" w:color="auto" w:fill="auto"/>
            <w:noWrap/>
            <w:vAlign w:val="center"/>
            <w:hideMark/>
          </w:tcPr>
          <w:p w14:paraId="5B768ED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0.137</w:t>
            </w:r>
          </w:p>
        </w:tc>
      </w:tr>
      <w:tr w:rsidR="007E0ABC" w:rsidRPr="00716FF2" w14:paraId="43D51DAE" w14:textId="77777777" w:rsidTr="00716FF2">
        <w:trPr>
          <w:trHeight w:val="320"/>
        </w:trPr>
        <w:tc>
          <w:tcPr>
            <w:tcW w:w="835" w:type="pct"/>
            <w:vMerge/>
            <w:vAlign w:val="center"/>
            <w:hideMark/>
          </w:tcPr>
          <w:p w14:paraId="1F760C19"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EBAD8C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30-34</w:t>
            </w:r>
          </w:p>
        </w:tc>
        <w:tc>
          <w:tcPr>
            <w:tcW w:w="666" w:type="pct"/>
            <w:shd w:val="clear" w:color="auto" w:fill="auto"/>
            <w:noWrap/>
            <w:vAlign w:val="center"/>
            <w:hideMark/>
          </w:tcPr>
          <w:p w14:paraId="311A040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0.077</w:t>
            </w:r>
          </w:p>
        </w:tc>
        <w:tc>
          <w:tcPr>
            <w:tcW w:w="478" w:type="pct"/>
            <w:shd w:val="clear" w:color="auto" w:fill="auto"/>
            <w:noWrap/>
            <w:vAlign w:val="center"/>
            <w:hideMark/>
          </w:tcPr>
          <w:p w14:paraId="4E198F4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0.075</w:t>
            </w:r>
          </w:p>
        </w:tc>
        <w:tc>
          <w:tcPr>
            <w:tcW w:w="478" w:type="pct"/>
            <w:shd w:val="clear" w:color="auto" w:fill="auto"/>
            <w:noWrap/>
            <w:vAlign w:val="center"/>
            <w:hideMark/>
          </w:tcPr>
          <w:p w14:paraId="459A97F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0.079</w:t>
            </w:r>
          </w:p>
        </w:tc>
        <w:tc>
          <w:tcPr>
            <w:tcW w:w="702" w:type="pct"/>
            <w:shd w:val="clear" w:color="auto" w:fill="auto"/>
            <w:noWrap/>
            <w:vAlign w:val="center"/>
            <w:hideMark/>
          </w:tcPr>
          <w:p w14:paraId="56C4E4A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0.108</w:t>
            </w:r>
          </w:p>
        </w:tc>
        <w:tc>
          <w:tcPr>
            <w:tcW w:w="502" w:type="pct"/>
            <w:shd w:val="clear" w:color="auto" w:fill="auto"/>
            <w:noWrap/>
            <w:vAlign w:val="center"/>
            <w:hideMark/>
          </w:tcPr>
          <w:p w14:paraId="5A83BEA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0.105</w:t>
            </w:r>
          </w:p>
        </w:tc>
        <w:tc>
          <w:tcPr>
            <w:tcW w:w="504" w:type="pct"/>
            <w:shd w:val="clear" w:color="auto" w:fill="auto"/>
            <w:noWrap/>
            <w:vAlign w:val="center"/>
            <w:hideMark/>
          </w:tcPr>
          <w:p w14:paraId="0B36793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0.111</w:t>
            </w:r>
          </w:p>
        </w:tc>
      </w:tr>
      <w:tr w:rsidR="007E0ABC" w:rsidRPr="00716FF2" w14:paraId="05DD5818" w14:textId="77777777" w:rsidTr="00716FF2">
        <w:trPr>
          <w:trHeight w:val="320"/>
        </w:trPr>
        <w:tc>
          <w:tcPr>
            <w:tcW w:w="835" w:type="pct"/>
            <w:vMerge/>
            <w:vAlign w:val="center"/>
            <w:hideMark/>
          </w:tcPr>
          <w:p w14:paraId="61E068DC"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923B92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35-39</w:t>
            </w:r>
          </w:p>
        </w:tc>
        <w:tc>
          <w:tcPr>
            <w:tcW w:w="666" w:type="pct"/>
            <w:shd w:val="clear" w:color="auto" w:fill="auto"/>
            <w:noWrap/>
            <w:vAlign w:val="center"/>
            <w:hideMark/>
          </w:tcPr>
          <w:p w14:paraId="6A83095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w:t>
            </w:r>
          </w:p>
        </w:tc>
        <w:tc>
          <w:tcPr>
            <w:tcW w:w="478" w:type="pct"/>
            <w:shd w:val="clear" w:color="auto" w:fill="auto"/>
            <w:noWrap/>
            <w:vAlign w:val="center"/>
            <w:hideMark/>
          </w:tcPr>
          <w:p w14:paraId="40098E3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0.068</w:t>
            </w:r>
          </w:p>
        </w:tc>
        <w:tc>
          <w:tcPr>
            <w:tcW w:w="478" w:type="pct"/>
            <w:shd w:val="clear" w:color="auto" w:fill="auto"/>
            <w:noWrap/>
            <w:vAlign w:val="center"/>
            <w:hideMark/>
          </w:tcPr>
          <w:p w14:paraId="49A2B93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0.072</w:t>
            </w:r>
          </w:p>
        </w:tc>
        <w:tc>
          <w:tcPr>
            <w:tcW w:w="702" w:type="pct"/>
            <w:shd w:val="clear" w:color="auto" w:fill="auto"/>
            <w:noWrap/>
            <w:vAlign w:val="center"/>
            <w:hideMark/>
          </w:tcPr>
          <w:p w14:paraId="02A9356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0.095</w:t>
            </w:r>
          </w:p>
        </w:tc>
        <w:tc>
          <w:tcPr>
            <w:tcW w:w="502" w:type="pct"/>
            <w:shd w:val="clear" w:color="auto" w:fill="auto"/>
            <w:noWrap/>
            <w:vAlign w:val="center"/>
            <w:hideMark/>
          </w:tcPr>
          <w:p w14:paraId="3072548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0.092</w:t>
            </w:r>
          </w:p>
        </w:tc>
        <w:tc>
          <w:tcPr>
            <w:tcW w:w="504" w:type="pct"/>
            <w:shd w:val="clear" w:color="auto" w:fill="auto"/>
            <w:noWrap/>
            <w:vAlign w:val="center"/>
            <w:hideMark/>
          </w:tcPr>
          <w:p w14:paraId="2D21D46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0.098</w:t>
            </w:r>
          </w:p>
        </w:tc>
      </w:tr>
      <w:tr w:rsidR="007E0ABC" w:rsidRPr="00716FF2" w14:paraId="1BDB1420" w14:textId="77777777" w:rsidTr="00716FF2">
        <w:trPr>
          <w:trHeight w:val="320"/>
        </w:trPr>
        <w:tc>
          <w:tcPr>
            <w:tcW w:w="835" w:type="pct"/>
            <w:vMerge/>
            <w:vAlign w:val="center"/>
            <w:hideMark/>
          </w:tcPr>
          <w:p w14:paraId="178955CE"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AAD857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40-44</w:t>
            </w:r>
          </w:p>
        </w:tc>
        <w:tc>
          <w:tcPr>
            <w:tcW w:w="666" w:type="pct"/>
            <w:shd w:val="clear" w:color="auto" w:fill="auto"/>
            <w:noWrap/>
            <w:vAlign w:val="center"/>
            <w:hideMark/>
          </w:tcPr>
          <w:p w14:paraId="3DE5367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0.062</w:t>
            </w:r>
          </w:p>
        </w:tc>
        <w:tc>
          <w:tcPr>
            <w:tcW w:w="478" w:type="pct"/>
            <w:shd w:val="clear" w:color="auto" w:fill="auto"/>
            <w:noWrap/>
            <w:vAlign w:val="center"/>
            <w:hideMark/>
          </w:tcPr>
          <w:p w14:paraId="1D66403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w:t>
            </w:r>
          </w:p>
        </w:tc>
        <w:tc>
          <w:tcPr>
            <w:tcW w:w="478" w:type="pct"/>
            <w:shd w:val="clear" w:color="auto" w:fill="auto"/>
            <w:noWrap/>
            <w:vAlign w:val="center"/>
            <w:hideMark/>
          </w:tcPr>
          <w:p w14:paraId="76BACD3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0.064</w:t>
            </w:r>
          </w:p>
        </w:tc>
        <w:tc>
          <w:tcPr>
            <w:tcW w:w="702" w:type="pct"/>
            <w:shd w:val="clear" w:color="auto" w:fill="auto"/>
            <w:noWrap/>
            <w:vAlign w:val="center"/>
            <w:hideMark/>
          </w:tcPr>
          <w:p w14:paraId="77603A4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0.077</w:t>
            </w:r>
          </w:p>
        </w:tc>
        <w:tc>
          <w:tcPr>
            <w:tcW w:w="502" w:type="pct"/>
            <w:shd w:val="clear" w:color="auto" w:fill="auto"/>
            <w:noWrap/>
            <w:vAlign w:val="center"/>
            <w:hideMark/>
          </w:tcPr>
          <w:p w14:paraId="41A9B58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0.075</w:t>
            </w:r>
          </w:p>
        </w:tc>
        <w:tc>
          <w:tcPr>
            <w:tcW w:w="504" w:type="pct"/>
            <w:shd w:val="clear" w:color="auto" w:fill="auto"/>
            <w:noWrap/>
            <w:vAlign w:val="center"/>
            <w:hideMark/>
          </w:tcPr>
          <w:p w14:paraId="26A4D06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0.079</w:t>
            </w:r>
          </w:p>
        </w:tc>
      </w:tr>
      <w:tr w:rsidR="007E0ABC" w:rsidRPr="00716FF2" w14:paraId="1F66F6E2" w14:textId="77777777" w:rsidTr="00716FF2">
        <w:trPr>
          <w:trHeight w:val="320"/>
        </w:trPr>
        <w:tc>
          <w:tcPr>
            <w:tcW w:w="835" w:type="pct"/>
            <w:vMerge/>
            <w:vAlign w:val="center"/>
            <w:hideMark/>
          </w:tcPr>
          <w:p w14:paraId="3E9FBEE8"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16B955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45-49</w:t>
            </w:r>
          </w:p>
        </w:tc>
        <w:tc>
          <w:tcPr>
            <w:tcW w:w="666" w:type="pct"/>
            <w:shd w:val="clear" w:color="auto" w:fill="auto"/>
            <w:noWrap/>
            <w:vAlign w:val="center"/>
            <w:hideMark/>
          </w:tcPr>
          <w:p w14:paraId="674DC46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0.055</w:t>
            </w:r>
          </w:p>
        </w:tc>
        <w:tc>
          <w:tcPr>
            <w:tcW w:w="478" w:type="pct"/>
            <w:shd w:val="clear" w:color="auto" w:fill="auto"/>
            <w:noWrap/>
            <w:vAlign w:val="center"/>
            <w:hideMark/>
          </w:tcPr>
          <w:p w14:paraId="2D74CFC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0.053</w:t>
            </w:r>
          </w:p>
        </w:tc>
        <w:tc>
          <w:tcPr>
            <w:tcW w:w="478" w:type="pct"/>
            <w:shd w:val="clear" w:color="auto" w:fill="auto"/>
            <w:noWrap/>
            <w:vAlign w:val="center"/>
            <w:hideMark/>
          </w:tcPr>
          <w:p w14:paraId="7552F04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0.057</w:t>
            </w:r>
          </w:p>
        </w:tc>
        <w:tc>
          <w:tcPr>
            <w:tcW w:w="702" w:type="pct"/>
            <w:shd w:val="clear" w:color="auto" w:fill="auto"/>
            <w:noWrap/>
            <w:vAlign w:val="center"/>
            <w:hideMark/>
          </w:tcPr>
          <w:p w14:paraId="09D8095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w:t>
            </w:r>
          </w:p>
        </w:tc>
        <w:tc>
          <w:tcPr>
            <w:tcW w:w="502" w:type="pct"/>
            <w:shd w:val="clear" w:color="auto" w:fill="auto"/>
            <w:noWrap/>
            <w:vAlign w:val="center"/>
            <w:hideMark/>
          </w:tcPr>
          <w:p w14:paraId="3FEA2D4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0.068</w:t>
            </w:r>
          </w:p>
        </w:tc>
        <w:tc>
          <w:tcPr>
            <w:tcW w:w="504" w:type="pct"/>
            <w:shd w:val="clear" w:color="auto" w:fill="auto"/>
            <w:noWrap/>
            <w:vAlign w:val="center"/>
            <w:hideMark/>
          </w:tcPr>
          <w:p w14:paraId="15D8209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0.072</w:t>
            </w:r>
          </w:p>
        </w:tc>
      </w:tr>
      <w:tr w:rsidR="007E0ABC" w:rsidRPr="00716FF2" w14:paraId="140E426C" w14:textId="77777777" w:rsidTr="00716FF2">
        <w:trPr>
          <w:trHeight w:val="320"/>
        </w:trPr>
        <w:tc>
          <w:tcPr>
            <w:tcW w:w="835" w:type="pct"/>
            <w:vMerge/>
            <w:vAlign w:val="center"/>
            <w:hideMark/>
          </w:tcPr>
          <w:p w14:paraId="4C19EE27"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9D234E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50-54</w:t>
            </w:r>
          </w:p>
        </w:tc>
        <w:tc>
          <w:tcPr>
            <w:tcW w:w="666" w:type="pct"/>
            <w:shd w:val="clear" w:color="auto" w:fill="auto"/>
            <w:noWrap/>
            <w:vAlign w:val="center"/>
            <w:hideMark/>
          </w:tcPr>
          <w:p w14:paraId="3044102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0.015</w:t>
            </w:r>
          </w:p>
        </w:tc>
        <w:tc>
          <w:tcPr>
            <w:tcW w:w="478" w:type="pct"/>
            <w:shd w:val="clear" w:color="auto" w:fill="auto"/>
            <w:noWrap/>
            <w:vAlign w:val="center"/>
            <w:hideMark/>
          </w:tcPr>
          <w:p w14:paraId="3E2C95A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0.014</w:t>
            </w:r>
          </w:p>
        </w:tc>
        <w:tc>
          <w:tcPr>
            <w:tcW w:w="478" w:type="pct"/>
            <w:shd w:val="clear" w:color="auto" w:fill="auto"/>
            <w:noWrap/>
            <w:vAlign w:val="center"/>
            <w:hideMark/>
          </w:tcPr>
          <w:p w14:paraId="4F75768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0.016</w:t>
            </w:r>
          </w:p>
        </w:tc>
        <w:tc>
          <w:tcPr>
            <w:tcW w:w="702" w:type="pct"/>
            <w:shd w:val="clear" w:color="auto" w:fill="auto"/>
            <w:noWrap/>
            <w:vAlign w:val="center"/>
            <w:hideMark/>
          </w:tcPr>
          <w:p w14:paraId="685079C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0.019</w:t>
            </w:r>
          </w:p>
        </w:tc>
        <w:tc>
          <w:tcPr>
            <w:tcW w:w="502" w:type="pct"/>
            <w:shd w:val="clear" w:color="auto" w:fill="auto"/>
            <w:noWrap/>
            <w:vAlign w:val="center"/>
            <w:hideMark/>
          </w:tcPr>
          <w:p w14:paraId="725D6AC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0.018</w:t>
            </w:r>
          </w:p>
        </w:tc>
        <w:tc>
          <w:tcPr>
            <w:tcW w:w="504" w:type="pct"/>
            <w:shd w:val="clear" w:color="auto" w:fill="auto"/>
            <w:noWrap/>
            <w:vAlign w:val="center"/>
            <w:hideMark/>
          </w:tcPr>
          <w:p w14:paraId="04D5AB0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w:t>
            </w:r>
          </w:p>
        </w:tc>
      </w:tr>
      <w:tr w:rsidR="007E0ABC" w:rsidRPr="00716FF2" w14:paraId="55F4F4A8" w14:textId="77777777" w:rsidTr="00716FF2">
        <w:trPr>
          <w:trHeight w:val="320"/>
        </w:trPr>
        <w:tc>
          <w:tcPr>
            <w:tcW w:w="835" w:type="pct"/>
            <w:vMerge/>
            <w:vAlign w:val="center"/>
            <w:hideMark/>
          </w:tcPr>
          <w:p w14:paraId="0216E2C9"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306D95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55-59</w:t>
            </w:r>
          </w:p>
        </w:tc>
        <w:tc>
          <w:tcPr>
            <w:tcW w:w="666" w:type="pct"/>
            <w:shd w:val="clear" w:color="auto" w:fill="auto"/>
            <w:noWrap/>
            <w:vAlign w:val="center"/>
            <w:hideMark/>
          </w:tcPr>
          <w:p w14:paraId="78CBB6E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0.058</w:t>
            </w:r>
          </w:p>
        </w:tc>
        <w:tc>
          <w:tcPr>
            <w:tcW w:w="478" w:type="pct"/>
            <w:shd w:val="clear" w:color="auto" w:fill="auto"/>
            <w:noWrap/>
            <w:vAlign w:val="center"/>
            <w:hideMark/>
          </w:tcPr>
          <w:p w14:paraId="3A353295"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0.056</w:t>
            </w:r>
          </w:p>
        </w:tc>
        <w:tc>
          <w:tcPr>
            <w:tcW w:w="478" w:type="pct"/>
            <w:shd w:val="clear" w:color="auto" w:fill="auto"/>
            <w:noWrap/>
            <w:vAlign w:val="center"/>
            <w:hideMark/>
          </w:tcPr>
          <w:p w14:paraId="25E2567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w:t>
            </w:r>
          </w:p>
        </w:tc>
        <w:tc>
          <w:tcPr>
            <w:tcW w:w="702" w:type="pct"/>
            <w:shd w:val="clear" w:color="auto" w:fill="auto"/>
            <w:noWrap/>
            <w:vAlign w:val="center"/>
            <w:hideMark/>
          </w:tcPr>
          <w:p w14:paraId="771C195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0.069</w:t>
            </w:r>
          </w:p>
        </w:tc>
        <w:tc>
          <w:tcPr>
            <w:tcW w:w="502" w:type="pct"/>
            <w:shd w:val="clear" w:color="auto" w:fill="auto"/>
            <w:noWrap/>
            <w:vAlign w:val="center"/>
            <w:hideMark/>
          </w:tcPr>
          <w:p w14:paraId="0C0570C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0.067</w:t>
            </w:r>
          </w:p>
        </w:tc>
        <w:tc>
          <w:tcPr>
            <w:tcW w:w="504" w:type="pct"/>
            <w:shd w:val="clear" w:color="auto" w:fill="auto"/>
            <w:noWrap/>
            <w:vAlign w:val="center"/>
            <w:hideMark/>
          </w:tcPr>
          <w:p w14:paraId="47C46F7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0.071</w:t>
            </w:r>
          </w:p>
        </w:tc>
      </w:tr>
      <w:tr w:rsidR="007E0ABC" w:rsidRPr="00716FF2" w14:paraId="7BFD1116" w14:textId="77777777" w:rsidTr="00716FF2">
        <w:trPr>
          <w:trHeight w:val="320"/>
        </w:trPr>
        <w:tc>
          <w:tcPr>
            <w:tcW w:w="835" w:type="pct"/>
            <w:vMerge/>
            <w:vAlign w:val="center"/>
            <w:hideMark/>
          </w:tcPr>
          <w:p w14:paraId="315AB55D"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FEC6C9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60-64</w:t>
            </w:r>
          </w:p>
        </w:tc>
        <w:tc>
          <w:tcPr>
            <w:tcW w:w="666" w:type="pct"/>
            <w:shd w:val="clear" w:color="auto" w:fill="auto"/>
            <w:noWrap/>
            <w:vAlign w:val="center"/>
            <w:hideMark/>
          </w:tcPr>
          <w:p w14:paraId="2C0E41A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0.059</w:t>
            </w:r>
          </w:p>
        </w:tc>
        <w:tc>
          <w:tcPr>
            <w:tcW w:w="478" w:type="pct"/>
            <w:shd w:val="clear" w:color="auto" w:fill="auto"/>
            <w:noWrap/>
            <w:vAlign w:val="center"/>
            <w:hideMark/>
          </w:tcPr>
          <w:p w14:paraId="39F9A66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0.057</w:t>
            </w:r>
          </w:p>
        </w:tc>
        <w:tc>
          <w:tcPr>
            <w:tcW w:w="478" w:type="pct"/>
            <w:shd w:val="clear" w:color="auto" w:fill="auto"/>
            <w:noWrap/>
            <w:vAlign w:val="center"/>
            <w:hideMark/>
          </w:tcPr>
          <w:p w14:paraId="39722F4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0.061</w:t>
            </w:r>
          </w:p>
        </w:tc>
        <w:tc>
          <w:tcPr>
            <w:tcW w:w="702" w:type="pct"/>
            <w:shd w:val="clear" w:color="auto" w:fill="auto"/>
            <w:noWrap/>
            <w:vAlign w:val="center"/>
            <w:hideMark/>
          </w:tcPr>
          <w:p w14:paraId="6C8CEA3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0.068</w:t>
            </w:r>
          </w:p>
        </w:tc>
        <w:tc>
          <w:tcPr>
            <w:tcW w:w="502" w:type="pct"/>
            <w:shd w:val="clear" w:color="auto" w:fill="auto"/>
            <w:noWrap/>
            <w:vAlign w:val="center"/>
            <w:hideMark/>
          </w:tcPr>
          <w:p w14:paraId="75034DD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0.065</w:t>
            </w:r>
          </w:p>
        </w:tc>
        <w:tc>
          <w:tcPr>
            <w:tcW w:w="504" w:type="pct"/>
            <w:shd w:val="clear" w:color="auto" w:fill="auto"/>
            <w:noWrap/>
            <w:vAlign w:val="center"/>
            <w:hideMark/>
          </w:tcPr>
          <w:p w14:paraId="1ACE6B7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0.071</w:t>
            </w:r>
          </w:p>
        </w:tc>
      </w:tr>
      <w:tr w:rsidR="007E0ABC" w:rsidRPr="00716FF2" w14:paraId="618C7453" w14:textId="77777777" w:rsidTr="00716FF2">
        <w:trPr>
          <w:trHeight w:val="320"/>
        </w:trPr>
        <w:tc>
          <w:tcPr>
            <w:tcW w:w="835" w:type="pct"/>
            <w:vMerge/>
            <w:vAlign w:val="center"/>
            <w:hideMark/>
          </w:tcPr>
          <w:p w14:paraId="368571ED"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3870718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65-69</w:t>
            </w:r>
          </w:p>
        </w:tc>
        <w:tc>
          <w:tcPr>
            <w:tcW w:w="666" w:type="pct"/>
            <w:shd w:val="clear" w:color="auto" w:fill="auto"/>
            <w:noWrap/>
            <w:vAlign w:val="center"/>
            <w:hideMark/>
          </w:tcPr>
          <w:p w14:paraId="4CC03F7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0.058</w:t>
            </w:r>
          </w:p>
        </w:tc>
        <w:tc>
          <w:tcPr>
            <w:tcW w:w="478" w:type="pct"/>
            <w:shd w:val="clear" w:color="auto" w:fill="auto"/>
            <w:noWrap/>
            <w:vAlign w:val="center"/>
            <w:hideMark/>
          </w:tcPr>
          <w:p w14:paraId="065019B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0.056</w:t>
            </w:r>
          </w:p>
        </w:tc>
        <w:tc>
          <w:tcPr>
            <w:tcW w:w="478" w:type="pct"/>
            <w:shd w:val="clear" w:color="auto" w:fill="auto"/>
            <w:noWrap/>
            <w:vAlign w:val="center"/>
            <w:hideMark/>
          </w:tcPr>
          <w:p w14:paraId="49F6642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w:t>
            </w:r>
          </w:p>
        </w:tc>
        <w:tc>
          <w:tcPr>
            <w:tcW w:w="702" w:type="pct"/>
            <w:shd w:val="clear" w:color="auto" w:fill="auto"/>
            <w:noWrap/>
            <w:vAlign w:val="center"/>
            <w:hideMark/>
          </w:tcPr>
          <w:p w14:paraId="0C6C351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0.068</w:t>
            </w:r>
          </w:p>
        </w:tc>
        <w:tc>
          <w:tcPr>
            <w:tcW w:w="502" w:type="pct"/>
            <w:shd w:val="clear" w:color="auto" w:fill="auto"/>
            <w:noWrap/>
            <w:vAlign w:val="center"/>
            <w:hideMark/>
          </w:tcPr>
          <w:p w14:paraId="2E3E34F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0.066</w:t>
            </w:r>
          </w:p>
        </w:tc>
        <w:tc>
          <w:tcPr>
            <w:tcW w:w="504" w:type="pct"/>
            <w:shd w:val="clear" w:color="auto" w:fill="auto"/>
            <w:noWrap/>
            <w:vAlign w:val="center"/>
            <w:hideMark/>
          </w:tcPr>
          <w:p w14:paraId="2382874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w:t>
            </w:r>
          </w:p>
        </w:tc>
      </w:tr>
      <w:tr w:rsidR="007E0ABC" w:rsidRPr="00716FF2" w14:paraId="35A5C6F1" w14:textId="77777777" w:rsidTr="00716FF2">
        <w:trPr>
          <w:trHeight w:val="320"/>
        </w:trPr>
        <w:tc>
          <w:tcPr>
            <w:tcW w:w="835" w:type="pct"/>
            <w:vMerge/>
            <w:vAlign w:val="center"/>
            <w:hideMark/>
          </w:tcPr>
          <w:p w14:paraId="64578392"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C5F55B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70-74</w:t>
            </w:r>
          </w:p>
        </w:tc>
        <w:tc>
          <w:tcPr>
            <w:tcW w:w="666" w:type="pct"/>
            <w:shd w:val="clear" w:color="auto" w:fill="auto"/>
            <w:noWrap/>
            <w:vAlign w:val="center"/>
            <w:hideMark/>
          </w:tcPr>
          <w:p w14:paraId="40678FD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0.079</w:t>
            </w:r>
          </w:p>
        </w:tc>
        <w:tc>
          <w:tcPr>
            <w:tcW w:w="478" w:type="pct"/>
            <w:shd w:val="clear" w:color="auto" w:fill="auto"/>
            <w:noWrap/>
            <w:vAlign w:val="center"/>
            <w:hideMark/>
          </w:tcPr>
          <w:p w14:paraId="60050BF5"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0.076</w:t>
            </w:r>
          </w:p>
        </w:tc>
        <w:tc>
          <w:tcPr>
            <w:tcW w:w="478" w:type="pct"/>
            <w:shd w:val="clear" w:color="auto" w:fill="auto"/>
            <w:noWrap/>
            <w:vAlign w:val="center"/>
            <w:hideMark/>
          </w:tcPr>
          <w:p w14:paraId="3CA8975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0.082</w:t>
            </w:r>
          </w:p>
        </w:tc>
        <w:tc>
          <w:tcPr>
            <w:tcW w:w="702" w:type="pct"/>
            <w:shd w:val="clear" w:color="auto" w:fill="auto"/>
            <w:noWrap/>
            <w:vAlign w:val="center"/>
            <w:hideMark/>
          </w:tcPr>
          <w:p w14:paraId="2AC2963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0.087</w:t>
            </w:r>
          </w:p>
        </w:tc>
        <w:tc>
          <w:tcPr>
            <w:tcW w:w="502" w:type="pct"/>
            <w:shd w:val="clear" w:color="auto" w:fill="auto"/>
            <w:noWrap/>
            <w:vAlign w:val="center"/>
            <w:hideMark/>
          </w:tcPr>
          <w:p w14:paraId="0609528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0.084</w:t>
            </w:r>
          </w:p>
        </w:tc>
        <w:tc>
          <w:tcPr>
            <w:tcW w:w="504" w:type="pct"/>
            <w:shd w:val="clear" w:color="auto" w:fill="auto"/>
            <w:noWrap/>
            <w:vAlign w:val="center"/>
            <w:hideMark/>
          </w:tcPr>
          <w:p w14:paraId="2EB01F1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w:t>
            </w:r>
          </w:p>
        </w:tc>
      </w:tr>
      <w:tr w:rsidR="007E0ABC" w:rsidRPr="00716FF2" w14:paraId="1903D234" w14:textId="77777777" w:rsidTr="00716FF2">
        <w:trPr>
          <w:trHeight w:val="320"/>
        </w:trPr>
        <w:tc>
          <w:tcPr>
            <w:tcW w:w="835" w:type="pct"/>
            <w:vMerge/>
            <w:vAlign w:val="center"/>
            <w:hideMark/>
          </w:tcPr>
          <w:p w14:paraId="33CDE29E"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C7BA3C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75-79</w:t>
            </w:r>
          </w:p>
        </w:tc>
        <w:tc>
          <w:tcPr>
            <w:tcW w:w="666" w:type="pct"/>
            <w:shd w:val="clear" w:color="auto" w:fill="auto"/>
            <w:noWrap/>
            <w:vAlign w:val="center"/>
            <w:hideMark/>
          </w:tcPr>
          <w:p w14:paraId="2E472E7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w:t>
            </w:r>
          </w:p>
        </w:tc>
        <w:tc>
          <w:tcPr>
            <w:tcW w:w="478" w:type="pct"/>
            <w:shd w:val="clear" w:color="auto" w:fill="auto"/>
            <w:noWrap/>
            <w:vAlign w:val="center"/>
            <w:hideMark/>
          </w:tcPr>
          <w:p w14:paraId="7BCD3F0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0.096</w:t>
            </w:r>
          </w:p>
        </w:tc>
        <w:tc>
          <w:tcPr>
            <w:tcW w:w="478" w:type="pct"/>
            <w:shd w:val="clear" w:color="auto" w:fill="auto"/>
            <w:noWrap/>
            <w:vAlign w:val="center"/>
            <w:hideMark/>
          </w:tcPr>
          <w:p w14:paraId="0BF8B0B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0.104</w:t>
            </w:r>
          </w:p>
        </w:tc>
        <w:tc>
          <w:tcPr>
            <w:tcW w:w="702" w:type="pct"/>
            <w:shd w:val="clear" w:color="auto" w:fill="auto"/>
            <w:noWrap/>
            <w:vAlign w:val="center"/>
            <w:hideMark/>
          </w:tcPr>
          <w:p w14:paraId="5E9F173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0.108</w:t>
            </w:r>
          </w:p>
        </w:tc>
        <w:tc>
          <w:tcPr>
            <w:tcW w:w="502" w:type="pct"/>
            <w:shd w:val="clear" w:color="auto" w:fill="auto"/>
            <w:noWrap/>
            <w:vAlign w:val="center"/>
            <w:hideMark/>
          </w:tcPr>
          <w:p w14:paraId="1849A90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0.104</w:t>
            </w:r>
          </w:p>
        </w:tc>
        <w:tc>
          <w:tcPr>
            <w:tcW w:w="504" w:type="pct"/>
            <w:shd w:val="clear" w:color="auto" w:fill="auto"/>
            <w:noWrap/>
            <w:vAlign w:val="center"/>
            <w:hideMark/>
          </w:tcPr>
          <w:p w14:paraId="5CE6B03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0.112</w:t>
            </w:r>
          </w:p>
        </w:tc>
      </w:tr>
      <w:tr w:rsidR="007E0ABC" w:rsidRPr="00716FF2" w14:paraId="7CD0364C" w14:textId="77777777" w:rsidTr="00716FF2">
        <w:trPr>
          <w:trHeight w:val="320"/>
        </w:trPr>
        <w:tc>
          <w:tcPr>
            <w:tcW w:w="835" w:type="pct"/>
            <w:vMerge w:val="restart"/>
            <w:shd w:val="clear" w:color="auto" w:fill="auto"/>
            <w:noWrap/>
            <w:vAlign w:val="center"/>
            <w:hideMark/>
          </w:tcPr>
          <w:p w14:paraId="42A3D7A7"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AMB</w:t>
            </w:r>
          </w:p>
        </w:tc>
        <w:tc>
          <w:tcPr>
            <w:tcW w:w="835" w:type="pct"/>
            <w:shd w:val="clear" w:color="auto" w:fill="auto"/>
            <w:noWrap/>
            <w:vAlign w:val="center"/>
            <w:hideMark/>
          </w:tcPr>
          <w:p w14:paraId="2294F57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15-19</w:t>
            </w:r>
          </w:p>
        </w:tc>
        <w:tc>
          <w:tcPr>
            <w:tcW w:w="666" w:type="pct"/>
            <w:shd w:val="clear" w:color="auto" w:fill="auto"/>
            <w:noWrap/>
            <w:vAlign w:val="center"/>
            <w:hideMark/>
          </w:tcPr>
          <w:p w14:paraId="4798A66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0.029</w:t>
            </w:r>
          </w:p>
        </w:tc>
        <w:tc>
          <w:tcPr>
            <w:tcW w:w="478" w:type="pct"/>
            <w:shd w:val="clear" w:color="auto" w:fill="auto"/>
            <w:noWrap/>
            <w:vAlign w:val="center"/>
            <w:hideMark/>
          </w:tcPr>
          <w:p w14:paraId="46337EC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0.028</w:t>
            </w:r>
          </w:p>
        </w:tc>
        <w:tc>
          <w:tcPr>
            <w:tcW w:w="478" w:type="pct"/>
            <w:shd w:val="clear" w:color="auto" w:fill="auto"/>
            <w:noWrap/>
            <w:vAlign w:val="center"/>
            <w:hideMark/>
          </w:tcPr>
          <w:p w14:paraId="409454B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w:t>
            </w:r>
          </w:p>
        </w:tc>
        <w:tc>
          <w:tcPr>
            <w:tcW w:w="702" w:type="pct"/>
            <w:shd w:val="clear" w:color="auto" w:fill="auto"/>
            <w:noWrap/>
            <w:vAlign w:val="center"/>
            <w:hideMark/>
          </w:tcPr>
          <w:p w14:paraId="1582CCF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0.043</w:t>
            </w:r>
          </w:p>
        </w:tc>
        <w:tc>
          <w:tcPr>
            <w:tcW w:w="502" w:type="pct"/>
            <w:shd w:val="clear" w:color="auto" w:fill="auto"/>
            <w:noWrap/>
            <w:vAlign w:val="center"/>
            <w:hideMark/>
          </w:tcPr>
          <w:p w14:paraId="55FD18E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0.041</w:t>
            </w:r>
          </w:p>
        </w:tc>
        <w:tc>
          <w:tcPr>
            <w:tcW w:w="504" w:type="pct"/>
            <w:shd w:val="clear" w:color="auto" w:fill="auto"/>
            <w:noWrap/>
            <w:vAlign w:val="center"/>
            <w:hideMark/>
          </w:tcPr>
          <w:p w14:paraId="69B26B6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0.045</w:t>
            </w:r>
          </w:p>
        </w:tc>
      </w:tr>
      <w:tr w:rsidR="007E0ABC" w:rsidRPr="00716FF2" w14:paraId="144571E5" w14:textId="77777777" w:rsidTr="00716FF2">
        <w:trPr>
          <w:trHeight w:val="320"/>
        </w:trPr>
        <w:tc>
          <w:tcPr>
            <w:tcW w:w="835" w:type="pct"/>
            <w:vMerge/>
            <w:vAlign w:val="center"/>
            <w:hideMark/>
          </w:tcPr>
          <w:p w14:paraId="5ABFEB8F"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FBCA0C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20-24</w:t>
            </w:r>
          </w:p>
        </w:tc>
        <w:tc>
          <w:tcPr>
            <w:tcW w:w="666" w:type="pct"/>
            <w:shd w:val="clear" w:color="auto" w:fill="auto"/>
            <w:noWrap/>
            <w:vAlign w:val="center"/>
            <w:hideMark/>
          </w:tcPr>
          <w:p w14:paraId="52716F6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0.026</w:t>
            </w:r>
          </w:p>
        </w:tc>
        <w:tc>
          <w:tcPr>
            <w:tcW w:w="478" w:type="pct"/>
            <w:shd w:val="clear" w:color="auto" w:fill="auto"/>
            <w:noWrap/>
            <w:vAlign w:val="center"/>
            <w:hideMark/>
          </w:tcPr>
          <w:p w14:paraId="64CB8C3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0.025</w:t>
            </w:r>
          </w:p>
        </w:tc>
        <w:tc>
          <w:tcPr>
            <w:tcW w:w="478" w:type="pct"/>
            <w:shd w:val="clear" w:color="auto" w:fill="auto"/>
            <w:noWrap/>
            <w:vAlign w:val="center"/>
            <w:hideMark/>
          </w:tcPr>
          <w:p w14:paraId="6FCF3D5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0.027</w:t>
            </w:r>
          </w:p>
        </w:tc>
        <w:tc>
          <w:tcPr>
            <w:tcW w:w="702" w:type="pct"/>
            <w:shd w:val="clear" w:color="auto" w:fill="auto"/>
            <w:noWrap/>
            <w:vAlign w:val="center"/>
            <w:hideMark/>
          </w:tcPr>
          <w:p w14:paraId="7C70721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0.038</w:t>
            </w:r>
          </w:p>
        </w:tc>
        <w:tc>
          <w:tcPr>
            <w:tcW w:w="502" w:type="pct"/>
            <w:shd w:val="clear" w:color="auto" w:fill="auto"/>
            <w:noWrap/>
            <w:vAlign w:val="center"/>
            <w:hideMark/>
          </w:tcPr>
          <w:p w14:paraId="00D5CD9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0.037</w:t>
            </w:r>
          </w:p>
        </w:tc>
        <w:tc>
          <w:tcPr>
            <w:tcW w:w="504" w:type="pct"/>
            <w:shd w:val="clear" w:color="auto" w:fill="auto"/>
            <w:noWrap/>
            <w:vAlign w:val="center"/>
            <w:hideMark/>
          </w:tcPr>
          <w:p w14:paraId="253C459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0.039</w:t>
            </w:r>
          </w:p>
        </w:tc>
      </w:tr>
      <w:tr w:rsidR="007E0ABC" w:rsidRPr="00716FF2" w14:paraId="744B73D4" w14:textId="77777777" w:rsidTr="00716FF2">
        <w:trPr>
          <w:trHeight w:val="320"/>
        </w:trPr>
        <w:tc>
          <w:tcPr>
            <w:tcW w:w="835" w:type="pct"/>
            <w:vMerge/>
            <w:vAlign w:val="center"/>
            <w:hideMark/>
          </w:tcPr>
          <w:p w14:paraId="472F0F3B"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36832F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25-29</w:t>
            </w:r>
          </w:p>
        </w:tc>
        <w:tc>
          <w:tcPr>
            <w:tcW w:w="666" w:type="pct"/>
            <w:shd w:val="clear" w:color="auto" w:fill="auto"/>
            <w:noWrap/>
            <w:vAlign w:val="center"/>
            <w:hideMark/>
          </w:tcPr>
          <w:p w14:paraId="7F7939A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0.032</w:t>
            </w:r>
          </w:p>
        </w:tc>
        <w:tc>
          <w:tcPr>
            <w:tcW w:w="478" w:type="pct"/>
            <w:shd w:val="clear" w:color="auto" w:fill="auto"/>
            <w:noWrap/>
            <w:vAlign w:val="center"/>
            <w:hideMark/>
          </w:tcPr>
          <w:p w14:paraId="68A58D6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0.031</w:t>
            </w:r>
          </w:p>
        </w:tc>
        <w:tc>
          <w:tcPr>
            <w:tcW w:w="478" w:type="pct"/>
            <w:shd w:val="clear" w:color="auto" w:fill="auto"/>
            <w:noWrap/>
            <w:vAlign w:val="center"/>
            <w:hideMark/>
          </w:tcPr>
          <w:p w14:paraId="322EFBF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0.033</w:t>
            </w:r>
          </w:p>
        </w:tc>
        <w:tc>
          <w:tcPr>
            <w:tcW w:w="702" w:type="pct"/>
            <w:shd w:val="clear" w:color="auto" w:fill="auto"/>
            <w:noWrap/>
            <w:vAlign w:val="center"/>
            <w:hideMark/>
          </w:tcPr>
          <w:p w14:paraId="4F841D9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0.045</w:t>
            </w:r>
          </w:p>
        </w:tc>
        <w:tc>
          <w:tcPr>
            <w:tcW w:w="502" w:type="pct"/>
            <w:shd w:val="clear" w:color="auto" w:fill="auto"/>
            <w:noWrap/>
            <w:vAlign w:val="center"/>
            <w:hideMark/>
          </w:tcPr>
          <w:p w14:paraId="1A714B2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0.043</w:t>
            </w:r>
          </w:p>
        </w:tc>
        <w:tc>
          <w:tcPr>
            <w:tcW w:w="504" w:type="pct"/>
            <w:shd w:val="clear" w:color="auto" w:fill="auto"/>
            <w:noWrap/>
            <w:vAlign w:val="center"/>
            <w:hideMark/>
          </w:tcPr>
          <w:p w14:paraId="075C203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0.047</w:t>
            </w:r>
          </w:p>
        </w:tc>
      </w:tr>
      <w:tr w:rsidR="007E0ABC" w:rsidRPr="00716FF2" w14:paraId="0B398E9C" w14:textId="77777777" w:rsidTr="00716FF2">
        <w:trPr>
          <w:trHeight w:val="320"/>
        </w:trPr>
        <w:tc>
          <w:tcPr>
            <w:tcW w:w="835" w:type="pct"/>
            <w:vMerge/>
            <w:vAlign w:val="center"/>
            <w:hideMark/>
          </w:tcPr>
          <w:p w14:paraId="0DA7742B"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6C205BA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30-34</w:t>
            </w:r>
          </w:p>
        </w:tc>
        <w:tc>
          <w:tcPr>
            <w:tcW w:w="666" w:type="pct"/>
            <w:shd w:val="clear" w:color="auto" w:fill="auto"/>
            <w:noWrap/>
            <w:vAlign w:val="center"/>
            <w:hideMark/>
          </w:tcPr>
          <w:p w14:paraId="3069F5A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0.033</w:t>
            </w:r>
          </w:p>
        </w:tc>
        <w:tc>
          <w:tcPr>
            <w:tcW w:w="478" w:type="pct"/>
            <w:shd w:val="clear" w:color="auto" w:fill="auto"/>
            <w:noWrap/>
            <w:vAlign w:val="center"/>
            <w:hideMark/>
          </w:tcPr>
          <w:p w14:paraId="6C02FB8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0.031</w:t>
            </w:r>
          </w:p>
        </w:tc>
        <w:tc>
          <w:tcPr>
            <w:tcW w:w="478" w:type="pct"/>
            <w:shd w:val="clear" w:color="auto" w:fill="auto"/>
            <w:noWrap/>
            <w:vAlign w:val="center"/>
            <w:hideMark/>
          </w:tcPr>
          <w:p w14:paraId="4978A31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0.035</w:t>
            </w:r>
          </w:p>
        </w:tc>
        <w:tc>
          <w:tcPr>
            <w:tcW w:w="702" w:type="pct"/>
            <w:shd w:val="clear" w:color="auto" w:fill="auto"/>
            <w:noWrap/>
            <w:vAlign w:val="center"/>
            <w:hideMark/>
          </w:tcPr>
          <w:p w14:paraId="3416828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0.041</w:t>
            </w:r>
          </w:p>
        </w:tc>
        <w:tc>
          <w:tcPr>
            <w:tcW w:w="502" w:type="pct"/>
            <w:shd w:val="clear" w:color="auto" w:fill="auto"/>
            <w:noWrap/>
            <w:vAlign w:val="center"/>
            <w:hideMark/>
          </w:tcPr>
          <w:p w14:paraId="5E9B2E1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0.039</w:t>
            </w:r>
          </w:p>
        </w:tc>
        <w:tc>
          <w:tcPr>
            <w:tcW w:w="504" w:type="pct"/>
            <w:shd w:val="clear" w:color="auto" w:fill="auto"/>
            <w:noWrap/>
            <w:vAlign w:val="center"/>
            <w:hideMark/>
          </w:tcPr>
          <w:p w14:paraId="0244248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0.043</w:t>
            </w:r>
          </w:p>
        </w:tc>
      </w:tr>
      <w:tr w:rsidR="007E0ABC" w:rsidRPr="00716FF2" w14:paraId="226D85E1" w14:textId="77777777" w:rsidTr="00716FF2">
        <w:trPr>
          <w:trHeight w:val="320"/>
        </w:trPr>
        <w:tc>
          <w:tcPr>
            <w:tcW w:w="835" w:type="pct"/>
            <w:vMerge/>
            <w:vAlign w:val="center"/>
            <w:hideMark/>
          </w:tcPr>
          <w:p w14:paraId="3A20A20F"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0F5EA7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35-39</w:t>
            </w:r>
          </w:p>
        </w:tc>
        <w:tc>
          <w:tcPr>
            <w:tcW w:w="666" w:type="pct"/>
            <w:shd w:val="clear" w:color="auto" w:fill="auto"/>
            <w:noWrap/>
            <w:vAlign w:val="center"/>
            <w:hideMark/>
          </w:tcPr>
          <w:p w14:paraId="452FA2C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0.032</w:t>
            </w:r>
          </w:p>
        </w:tc>
        <w:tc>
          <w:tcPr>
            <w:tcW w:w="478" w:type="pct"/>
            <w:shd w:val="clear" w:color="auto" w:fill="auto"/>
            <w:noWrap/>
            <w:vAlign w:val="center"/>
            <w:hideMark/>
          </w:tcPr>
          <w:p w14:paraId="4F8583B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w:t>
            </w:r>
          </w:p>
        </w:tc>
        <w:tc>
          <w:tcPr>
            <w:tcW w:w="478" w:type="pct"/>
            <w:shd w:val="clear" w:color="auto" w:fill="auto"/>
            <w:noWrap/>
            <w:vAlign w:val="center"/>
            <w:hideMark/>
          </w:tcPr>
          <w:p w14:paraId="5019E26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0.034</w:t>
            </w:r>
          </w:p>
        </w:tc>
        <w:tc>
          <w:tcPr>
            <w:tcW w:w="702" w:type="pct"/>
            <w:shd w:val="clear" w:color="auto" w:fill="auto"/>
            <w:noWrap/>
            <w:vAlign w:val="center"/>
            <w:hideMark/>
          </w:tcPr>
          <w:p w14:paraId="0C0EB59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0.038</w:t>
            </w:r>
          </w:p>
        </w:tc>
        <w:tc>
          <w:tcPr>
            <w:tcW w:w="502" w:type="pct"/>
            <w:shd w:val="clear" w:color="auto" w:fill="auto"/>
            <w:noWrap/>
            <w:vAlign w:val="center"/>
            <w:hideMark/>
          </w:tcPr>
          <w:p w14:paraId="2B58986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0.036</w:t>
            </w:r>
          </w:p>
        </w:tc>
        <w:tc>
          <w:tcPr>
            <w:tcW w:w="504" w:type="pct"/>
            <w:shd w:val="clear" w:color="auto" w:fill="auto"/>
            <w:noWrap/>
            <w:vAlign w:val="center"/>
            <w:hideMark/>
          </w:tcPr>
          <w:p w14:paraId="00DC672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w:t>
            </w:r>
          </w:p>
        </w:tc>
      </w:tr>
      <w:tr w:rsidR="007E0ABC" w:rsidRPr="00716FF2" w14:paraId="601406D6" w14:textId="77777777" w:rsidTr="00716FF2">
        <w:trPr>
          <w:trHeight w:val="360"/>
        </w:trPr>
        <w:tc>
          <w:tcPr>
            <w:tcW w:w="835" w:type="pct"/>
            <w:vMerge/>
            <w:vAlign w:val="center"/>
            <w:hideMark/>
          </w:tcPr>
          <w:p w14:paraId="5EB5CC40"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F698B7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40-44</w:t>
            </w:r>
          </w:p>
        </w:tc>
        <w:tc>
          <w:tcPr>
            <w:tcW w:w="666" w:type="pct"/>
            <w:shd w:val="clear" w:color="auto" w:fill="auto"/>
            <w:vAlign w:val="center"/>
            <w:hideMark/>
          </w:tcPr>
          <w:p w14:paraId="0F18AFC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0.035</w:t>
            </w:r>
          </w:p>
        </w:tc>
        <w:tc>
          <w:tcPr>
            <w:tcW w:w="478" w:type="pct"/>
            <w:shd w:val="clear" w:color="auto" w:fill="auto"/>
            <w:vAlign w:val="center"/>
            <w:hideMark/>
          </w:tcPr>
          <w:p w14:paraId="411BFA7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0.033</w:t>
            </w:r>
          </w:p>
        </w:tc>
        <w:tc>
          <w:tcPr>
            <w:tcW w:w="478" w:type="pct"/>
            <w:shd w:val="clear" w:color="auto" w:fill="auto"/>
            <w:vAlign w:val="center"/>
            <w:hideMark/>
          </w:tcPr>
          <w:p w14:paraId="6965C37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0.037</w:t>
            </w:r>
          </w:p>
        </w:tc>
        <w:tc>
          <w:tcPr>
            <w:tcW w:w="702" w:type="pct"/>
            <w:shd w:val="clear" w:color="auto" w:fill="auto"/>
            <w:vAlign w:val="center"/>
            <w:hideMark/>
          </w:tcPr>
          <w:p w14:paraId="000954B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0.033</w:t>
            </w:r>
          </w:p>
        </w:tc>
        <w:tc>
          <w:tcPr>
            <w:tcW w:w="502" w:type="pct"/>
            <w:shd w:val="clear" w:color="auto" w:fill="auto"/>
            <w:vAlign w:val="center"/>
            <w:hideMark/>
          </w:tcPr>
          <w:p w14:paraId="01040D8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0.031</w:t>
            </w:r>
          </w:p>
        </w:tc>
        <w:tc>
          <w:tcPr>
            <w:tcW w:w="504" w:type="pct"/>
            <w:shd w:val="clear" w:color="auto" w:fill="auto"/>
            <w:vAlign w:val="center"/>
            <w:hideMark/>
          </w:tcPr>
          <w:p w14:paraId="1387E97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0.035</w:t>
            </w:r>
          </w:p>
        </w:tc>
      </w:tr>
      <w:tr w:rsidR="007E0ABC" w:rsidRPr="00716FF2" w14:paraId="2A6FB80F" w14:textId="77777777" w:rsidTr="00716FF2">
        <w:trPr>
          <w:trHeight w:val="320"/>
        </w:trPr>
        <w:tc>
          <w:tcPr>
            <w:tcW w:w="835" w:type="pct"/>
            <w:vMerge/>
            <w:vAlign w:val="center"/>
            <w:hideMark/>
          </w:tcPr>
          <w:p w14:paraId="7B571A02"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78DC21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45-49</w:t>
            </w:r>
          </w:p>
        </w:tc>
        <w:tc>
          <w:tcPr>
            <w:tcW w:w="666" w:type="pct"/>
            <w:shd w:val="clear" w:color="auto" w:fill="auto"/>
            <w:noWrap/>
            <w:vAlign w:val="center"/>
            <w:hideMark/>
          </w:tcPr>
          <w:p w14:paraId="745B3CC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0.035</w:t>
            </w:r>
          </w:p>
        </w:tc>
        <w:tc>
          <w:tcPr>
            <w:tcW w:w="478" w:type="pct"/>
            <w:shd w:val="clear" w:color="auto" w:fill="auto"/>
            <w:noWrap/>
            <w:vAlign w:val="center"/>
            <w:hideMark/>
          </w:tcPr>
          <w:p w14:paraId="6B376B0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0.033</w:t>
            </w:r>
          </w:p>
        </w:tc>
        <w:tc>
          <w:tcPr>
            <w:tcW w:w="478" w:type="pct"/>
            <w:shd w:val="clear" w:color="auto" w:fill="auto"/>
            <w:noWrap/>
            <w:vAlign w:val="center"/>
            <w:hideMark/>
          </w:tcPr>
          <w:p w14:paraId="481178A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0.037</w:t>
            </w:r>
          </w:p>
        </w:tc>
        <w:tc>
          <w:tcPr>
            <w:tcW w:w="702" w:type="pct"/>
            <w:shd w:val="clear" w:color="auto" w:fill="auto"/>
            <w:noWrap/>
            <w:vAlign w:val="center"/>
            <w:hideMark/>
          </w:tcPr>
          <w:p w14:paraId="614E96C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0.034</w:t>
            </w:r>
          </w:p>
        </w:tc>
        <w:tc>
          <w:tcPr>
            <w:tcW w:w="502" w:type="pct"/>
            <w:shd w:val="clear" w:color="auto" w:fill="auto"/>
            <w:noWrap/>
            <w:vAlign w:val="center"/>
            <w:hideMark/>
          </w:tcPr>
          <w:p w14:paraId="1EFB30A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0.032</w:t>
            </w:r>
          </w:p>
        </w:tc>
        <w:tc>
          <w:tcPr>
            <w:tcW w:w="504" w:type="pct"/>
            <w:shd w:val="clear" w:color="auto" w:fill="auto"/>
            <w:noWrap/>
            <w:vAlign w:val="center"/>
            <w:hideMark/>
          </w:tcPr>
          <w:p w14:paraId="258640C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0.036</w:t>
            </w:r>
          </w:p>
        </w:tc>
      </w:tr>
      <w:tr w:rsidR="007E0ABC" w:rsidRPr="00716FF2" w14:paraId="2EC386A6" w14:textId="77777777" w:rsidTr="00716FF2">
        <w:trPr>
          <w:trHeight w:val="320"/>
        </w:trPr>
        <w:tc>
          <w:tcPr>
            <w:tcW w:w="835" w:type="pct"/>
            <w:vMerge/>
            <w:vAlign w:val="center"/>
            <w:hideMark/>
          </w:tcPr>
          <w:p w14:paraId="1AF4DFE8"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3F3E938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50-54</w:t>
            </w:r>
          </w:p>
        </w:tc>
        <w:tc>
          <w:tcPr>
            <w:tcW w:w="666" w:type="pct"/>
            <w:shd w:val="clear" w:color="auto" w:fill="auto"/>
            <w:noWrap/>
            <w:vAlign w:val="center"/>
            <w:hideMark/>
          </w:tcPr>
          <w:p w14:paraId="5EAFAB5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0.011</w:t>
            </w:r>
          </w:p>
        </w:tc>
        <w:tc>
          <w:tcPr>
            <w:tcW w:w="478" w:type="pct"/>
            <w:shd w:val="clear" w:color="auto" w:fill="auto"/>
            <w:noWrap/>
            <w:vAlign w:val="center"/>
            <w:hideMark/>
          </w:tcPr>
          <w:p w14:paraId="144D130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0.011</w:t>
            </w:r>
          </w:p>
        </w:tc>
        <w:tc>
          <w:tcPr>
            <w:tcW w:w="478" w:type="pct"/>
            <w:shd w:val="clear" w:color="auto" w:fill="auto"/>
            <w:noWrap/>
            <w:vAlign w:val="center"/>
            <w:hideMark/>
          </w:tcPr>
          <w:p w14:paraId="6BDEE48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0.011</w:t>
            </w:r>
          </w:p>
        </w:tc>
        <w:tc>
          <w:tcPr>
            <w:tcW w:w="702" w:type="pct"/>
            <w:shd w:val="clear" w:color="auto" w:fill="auto"/>
            <w:noWrap/>
            <w:vAlign w:val="center"/>
            <w:hideMark/>
          </w:tcPr>
          <w:p w14:paraId="60F10C3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w:t>
            </w:r>
          </w:p>
        </w:tc>
        <w:tc>
          <w:tcPr>
            <w:tcW w:w="502" w:type="pct"/>
            <w:shd w:val="clear" w:color="auto" w:fill="auto"/>
            <w:noWrap/>
            <w:vAlign w:val="center"/>
            <w:hideMark/>
          </w:tcPr>
          <w:p w14:paraId="1A6E94C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w:t>
            </w:r>
          </w:p>
        </w:tc>
        <w:tc>
          <w:tcPr>
            <w:tcW w:w="504" w:type="pct"/>
            <w:shd w:val="clear" w:color="auto" w:fill="auto"/>
            <w:noWrap/>
            <w:vAlign w:val="center"/>
            <w:hideMark/>
          </w:tcPr>
          <w:p w14:paraId="1F4ED80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0.01</w:t>
            </w:r>
          </w:p>
        </w:tc>
      </w:tr>
      <w:tr w:rsidR="007E0ABC" w:rsidRPr="00716FF2" w14:paraId="7443A1AB" w14:textId="77777777" w:rsidTr="00716FF2">
        <w:trPr>
          <w:trHeight w:val="320"/>
        </w:trPr>
        <w:tc>
          <w:tcPr>
            <w:tcW w:w="835" w:type="pct"/>
            <w:vMerge/>
            <w:vAlign w:val="center"/>
            <w:hideMark/>
          </w:tcPr>
          <w:p w14:paraId="1E1167EC"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CCC858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55-59</w:t>
            </w:r>
          </w:p>
        </w:tc>
        <w:tc>
          <w:tcPr>
            <w:tcW w:w="666" w:type="pct"/>
            <w:shd w:val="clear" w:color="auto" w:fill="auto"/>
            <w:noWrap/>
            <w:vAlign w:val="center"/>
            <w:hideMark/>
          </w:tcPr>
          <w:p w14:paraId="6D2A654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0.048</w:t>
            </w:r>
          </w:p>
        </w:tc>
        <w:tc>
          <w:tcPr>
            <w:tcW w:w="478" w:type="pct"/>
            <w:shd w:val="clear" w:color="auto" w:fill="auto"/>
            <w:noWrap/>
            <w:vAlign w:val="center"/>
            <w:hideMark/>
          </w:tcPr>
          <w:p w14:paraId="0E7B3BB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0.046</w:t>
            </w:r>
          </w:p>
        </w:tc>
        <w:tc>
          <w:tcPr>
            <w:tcW w:w="478" w:type="pct"/>
            <w:shd w:val="clear" w:color="auto" w:fill="auto"/>
            <w:noWrap/>
            <w:vAlign w:val="center"/>
            <w:hideMark/>
          </w:tcPr>
          <w:p w14:paraId="28AEB1E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w:t>
            </w:r>
          </w:p>
        </w:tc>
        <w:tc>
          <w:tcPr>
            <w:tcW w:w="702" w:type="pct"/>
            <w:shd w:val="clear" w:color="auto" w:fill="auto"/>
            <w:noWrap/>
            <w:vAlign w:val="center"/>
            <w:hideMark/>
          </w:tcPr>
          <w:p w14:paraId="50EAA26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0.038</w:t>
            </w:r>
          </w:p>
        </w:tc>
        <w:tc>
          <w:tcPr>
            <w:tcW w:w="502" w:type="pct"/>
            <w:shd w:val="clear" w:color="auto" w:fill="auto"/>
            <w:noWrap/>
            <w:vAlign w:val="center"/>
            <w:hideMark/>
          </w:tcPr>
          <w:p w14:paraId="54656D4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0.036</w:t>
            </w:r>
          </w:p>
        </w:tc>
        <w:tc>
          <w:tcPr>
            <w:tcW w:w="504" w:type="pct"/>
            <w:shd w:val="clear" w:color="auto" w:fill="auto"/>
            <w:noWrap/>
            <w:vAlign w:val="center"/>
            <w:hideMark/>
          </w:tcPr>
          <w:p w14:paraId="521E6CE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w:t>
            </w:r>
          </w:p>
        </w:tc>
      </w:tr>
      <w:tr w:rsidR="007E0ABC" w:rsidRPr="00716FF2" w14:paraId="1883876E" w14:textId="77777777" w:rsidTr="00716FF2">
        <w:trPr>
          <w:trHeight w:val="320"/>
        </w:trPr>
        <w:tc>
          <w:tcPr>
            <w:tcW w:w="835" w:type="pct"/>
            <w:vMerge/>
            <w:vAlign w:val="center"/>
            <w:hideMark/>
          </w:tcPr>
          <w:p w14:paraId="619E0438"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0614D62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60-64</w:t>
            </w:r>
          </w:p>
        </w:tc>
        <w:tc>
          <w:tcPr>
            <w:tcW w:w="666" w:type="pct"/>
            <w:shd w:val="clear" w:color="auto" w:fill="auto"/>
            <w:noWrap/>
            <w:vAlign w:val="center"/>
            <w:hideMark/>
          </w:tcPr>
          <w:p w14:paraId="686848A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0.054</w:t>
            </w:r>
          </w:p>
        </w:tc>
        <w:tc>
          <w:tcPr>
            <w:tcW w:w="478" w:type="pct"/>
            <w:shd w:val="clear" w:color="auto" w:fill="auto"/>
            <w:noWrap/>
            <w:vAlign w:val="center"/>
            <w:hideMark/>
          </w:tcPr>
          <w:p w14:paraId="03B8B24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0.052</w:t>
            </w:r>
          </w:p>
        </w:tc>
        <w:tc>
          <w:tcPr>
            <w:tcW w:w="478" w:type="pct"/>
            <w:shd w:val="clear" w:color="auto" w:fill="auto"/>
            <w:noWrap/>
            <w:vAlign w:val="center"/>
            <w:hideMark/>
          </w:tcPr>
          <w:p w14:paraId="5F9CCFD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0.056</w:t>
            </w:r>
          </w:p>
        </w:tc>
        <w:tc>
          <w:tcPr>
            <w:tcW w:w="702" w:type="pct"/>
            <w:shd w:val="clear" w:color="auto" w:fill="auto"/>
            <w:noWrap/>
            <w:vAlign w:val="center"/>
            <w:hideMark/>
          </w:tcPr>
          <w:p w14:paraId="1DDE813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0.046</w:t>
            </w:r>
          </w:p>
        </w:tc>
        <w:tc>
          <w:tcPr>
            <w:tcW w:w="502" w:type="pct"/>
            <w:shd w:val="clear" w:color="auto" w:fill="auto"/>
            <w:noWrap/>
            <w:vAlign w:val="center"/>
            <w:hideMark/>
          </w:tcPr>
          <w:p w14:paraId="7C0EE19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0.044</w:t>
            </w:r>
          </w:p>
        </w:tc>
        <w:tc>
          <w:tcPr>
            <w:tcW w:w="504" w:type="pct"/>
            <w:shd w:val="clear" w:color="auto" w:fill="auto"/>
            <w:noWrap/>
            <w:vAlign w:val="center"/>
            <w:hideMark/>
          </w:tcPr>
          <w:p w14:paraId="61F1E8F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0.048</w:t>
            </w:r>
          </w:p>
        </w:tc>
      </w:tr>
      <w:tr w:rsidR="007E0ABC" w:rsidRPr="00716FF2" w14:paraId="408D81ED" w14:textId="77777777" w:rsidTr="00716FF2">
        <w:trPr>
          <w:trHeight w:val="320"/>
        </w:trPr>
        <w:tc>
          <w:tcPr>
            <w:tcW w:w="835" w:type="pct"/>
            <w:vMerge/>
            <w:vAlign w:val="center"/>
            <w:hideMark/>
          </w:tcPr>
          <w:p w14:paraId="08EF3AD1"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CB00BB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65-69</w:t>
            </w:r>
          </w:p>
        </w:tc>
        <w:tc>
          <w:tcPr>
            <w:tcW w:w="666" w:type="pct"/>
            <w:shd w:val="clear" w:color="auto" w:fill="auto"/>
            <w:noWrap/>
            <w:vAlign w:val="center"/>
            <w:hideMark/>
          </w:tcPr>
          <w:p w14:paraId="68BE304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0.067</w:t>
            </w:r>
          </w:p>
        </w:tc>
        <w:tc>
          <w:tcPr>
            <w:tcW w:w="478" w:type="pct"/>
            <w:shd w:val="clear" w:color="auto" w:fill="auto"/>
            <w:noWrap/>
            <w:vAlign w:val="center"/>
            <w:hideMark/>
          </w:tcPr>
          <w:p w14:paraId="634E70C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0.064</w:t>
            </w:r>
          </w:p>
        </w:tc>
        <w:tc>
          <w:tcPr>
            <w:tcW w:w="478" w:type="pct"/>
            <w:shd w:val="clear" w:color="auto" w:fill="auto"/>
            <w:noWrap/>
            <w:vAlign w:val="center"/>
            <w:hideMark/>
          </w:tcPr>
          <w:p w14:paraId="534A48F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w:t>
            </w:r>
          </w:p>
        </w:tc>
        <w:tc>
          <w:tcPr>
            <w:tcW w:w="702" w:type="pct"/>
            <w:shd w:val="clear" w:color="auto" w:fill="auto"/>
            <w:noWrap/>
            <w:vAlign w:val="center"/>
            <w:hideMark/>
          </w:tcPr>
          <w:p w14:paraId="63DE9D3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0.053</w:t>
            </w:r>
          </w:p>
        </w:tc>
        <w:tc>
          <w:tcPr>
            <w:tcW w:w="502" w:type="pct"/>
            <w:shd w:val="clear" w:color="auto" w:fill="auto"/>
            <w:noWrap/>
            <w:vAlign w:val="center"/>
            <w:hideMark/>
          </w:tcPr>
          <w:p w14:paraId="6E427DF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0.051</w:t>
            </w:r>
          </w:p>
        </w:tc>
        <w:tc>
          <w:tcPr>
            <w:tcW w:w="504" w:type="pct"/>
            <w:shd w:val="clear" w:color="auto" w:fill="auto"/>
            <w:noWrap/>
            <w:vAlign w:val="center"/>
            <w:hideMark/>
          </w:tcPr>
          <w:p w14:paraId="07E6E93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0.055</w:t>
            </w:r>
          </w:p>
        </w:tc>
      </w:tr>
      <w:tr w:rsidR="007E0ABC" w:rsidRPr="00716FF2" w14:paraId="3F1C699E" w14:textId="77777777" w:rsidTr="00716FF2">
        <w:trPr>
          <w:trHeight w:val="320"/>
        </w:trPr>
        <w:tc>
          <w:tcPr>
            <w:tcW w:w="835" w:type="pct"/>
            <w:vMerge/>
            <w:vAlign w:val="center"/>
            <w:hideMark/>
          </w:tcPr>
          <w:p w14:paraId="0FBE3B9D"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001B9B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70-74</w:t>
            </w:r>
          </w:p>
        </w:tc>
        <w:tc>
          <w:tcPr>
            <w:tcW w:w="666" w:type="pct"/>
            <w:shd w:val="clear" w:color="auto" w:fill="auto"/>
            <w:noWrap/>
            <w:vAlign w:val="center"/>
            <w:hideMark/>
          </w:tcPr>
          <w:p w14:paraId="2D3DBC5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0.093</w:t>
            </w:r>
          </w:p>
        </w:tc>
        <w:tc>
          <w:tcPr>
            <w:tcW w:w="478" w:type="pct"/>
            <w:shd w:val="clear" w:color="auto" w:fill="auto"/>
            <w:noWrap/>
            <w:vAlign w:val="center"/>
            <w:hideMark/>
          </w:tcPr>
          <w:p w14:paraId="346EB41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w:t>
            </w:r>
          </w:p>
        </w:tc>
        <w:tc>
          <w:tcPr>
            <w:tcW w:w="478" w:type="pct"/>
            <w:shd w:val="clear" w:color="auto" w:fill="auto"/>
            <w:noWrap/>
            <w:vAlign w:val="center"/>
            <w:hideMark/>
          </w:tcPr>
          <w:p w14:paraId="16008EF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0.096</w:t>
            </w:r>
          </w:p>
        </w:tc>
        <w:tc>
          <w:tcPr>
            <w:tcW w:w="702" w:type="pct"/>
            <w:shd w:val="clear" w:color="auto" w:fill="auto"/>
            <w:noWrap/>
            <w:vAlign w:val="center"/>
            <w:hideMark/>
          </w:tcPr>
          <w:p w14:paraId="2E791F5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0.081</w:t>
            </w:r>
          </w:p>
        </w:tc>
        <w:tc>
          <w:tcPr>
            <w:tcW w:w="502" w:type="pct"/>
            <w:shd w:val="clear" w:color="auto" w:fill="auto"/>
            <w:noWrap/>
            <w:vAlign w:val="center"/>
            <w:hideMark/>
          </w:tcPr>
          <w:p w14:paraId="77B48B1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0.078</w:t>
            </w:r>
          </w:p>
        </w:tc>
        <w:tc>
          <w:tcPr>
            <w:tcW w:w="504" w:type="pct"/>
            <w:shd w:val="clear" w:color="auto" w:fill="auto"/>
            <w:noWrap/>
            <w:vAlign w:val="center"/>
            <w:hideMark/>
          </w:tcPr>
          <w:p w14:paraId="6448276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0.084</w:t>
            </w:r>
          </w:p>
        </w:tc>
      </w:tr>
      <w:tr w:rsidR="007E0ABC" w:rsidRPr="00716FF2" w14:paraId="6274DD64" w14:textId="77777777" w:rsidTr="00716FF2">
        <w:trPr>
          <w:trHeight w:val="320"/>
        </w:trPr>
        <w:tc>
          <w:tcPr>
            <w:tcW w:w="835" w:type="pct"/>
            <w:vMerge/>
            <w:vAlign w:val="center"/>
            <w:hideMark/>
          </w:tcPr>
          <w:p w14:paraId="400CAC03"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12FD23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75-79</w:t>
            </w:r>
          </w:p>
        </w:tc>
        <w:tc>
          <w:tcPr>
            <w:tcW w:w="666" w:type="pct"/>
            <w:shd w:val="clear" w:color="auto" w:fill="auto"/>
            <w:noWrap/>
            <w:vAlign w:val="center"/>
            <w:hideMark/>
          </w:tcPr>
          <w:p w14:paraId="62A0941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0.125</w:t>
            </w:r>
          </w:p>
        </w:tc>
        <w:tc>
          <w:tcPr>
            <w:tcW w:w="478" w:type="pct"/>
            <w:shd w:val="clear" w:color="auto" w:fill="auto"/>
            <w:noWrap/>
            <w:vAlign w:val="center"/>
            <w:hideMark/>
          </w:tcPr>
          <w:p w14:paraId="455E502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0.121</w:t>
            </w:r>
          </w:p>
        </w:tc>
        <w:tc>
          <w:tcPr>
            <w:tcW w:w="478" w:type="pct"/>
            <w:shd w:val="clear" w:color="auto" w:fill="auto"/>
            <w:noWrap/>
            <w:vAlign w:val="center"/>
            <w:hideMark/>
          </w:tcPr>
          <w:p w14:paraId="4E36F16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0.129</w:t>
            </w:r>
          </w:p>
        </w:tc>
        <w:tc>
          <w:tcPr>
            <w:tcW w:w="702" w:type="pct"/>
            <w:shd w:val="clear" w:color="auto" w:fill="auto"/>
            <w:noWrap/>
            <w:vAlign w:val="center"/>
            <w:hideMark/>
          </w:tcPr>
          <w:p w14:paraId="2CD76CC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0.109</w:t>
            </w:r>
          </w:p>
        </w:tc>
        <w:tc>
          <w:tcPr>
            <w:tcW w:w="502" w:type="pct"/>
            <w:shd w:val="clear" w:color="auto" w:fill="auto"/>
            <w:noWrap/>
            <w:vAlign w:val="center"/>
            <w:hideMark/>
          </w:tcPr>
          <w:p w14:paraId="5F7429B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0.105</w:t>
            </w:r>
          </w:p>
        </w:tc>
        <w:tc>
          <w:tcPr>
            <w:tcW w:w="504" w:type="pct"/>
            <w:shd w:val="clear" w:color="auto" w:fill="auto"/>
            <w:noWrap/>
            <w:vAlign w:val="center"/>
            <w:hideMark/>
          </w:tcPr>
          <w:p w14:paraId="06721AA5"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0.113</w:t>
            </w:r>
          </w:p>
        </w:tc>
      </w:tr>
      <w:tr w:rsidR="007E0ABC" w:rsidRPr="00716FF2" w14:paraId="5DCDB35D" w14:textId="77777777" w:rsidTr="00716FF2">
        <w:trPr>
          <w:trHeight w:val="320"/>
        </w:trPr>
        <w:tc>
          <w:tcPr>
            <w:tcW w:w="835" w:type="pct"/>
            <w:vMerge w:val="restart"/>
            <w:shd w:val="clear" w:color="auto" w:fill="auto"/>
            <w:noWrap/>
            <w:vAlign w:val="center"/>
            <w:hideMark/>
          </w:tcPr>
          <w:p w14:paraId="385E4109" w14:textId="77777777" w:rsidR="007E0ABC" w:rsidRPr="000971F9" w:rsidRDefault="007E0ABC" w:rsidP="00716FF2">
            <w:pPr>
              <w:jc w:val="center"/>
              <w:rPr>
                <w:rFonts w:ascii="Century Gothic" w:eastAsia="Times New Roman" w:hAnsi="Century Gothic" w:cs="Calibri"/>
                <w:b/>
                <w:bCs/>
                <w:color w:val="000000"/>
                <w:sz w:val="16"/>
                <w:szCs w:val="16"/>
                <w:lang w:eastAsia="en-GB"/>
              </w:rPr>
            </w:pPr>
            <w:r w:rsidRPr="000971F9">
              <w:rPr>
                <w:rFonts w:ascii="Century Gothic" w:eastAsia="Times New Roman" w:hAnsi="Century Gothic" w:cs="Calibri"/>
                <w:b/>
                <w:bCs/>
                <w:color w:val="000000"/>
                <w:sz w:val="16"/>
                <w:szCs w:val="16"/>
                <w:lang w:eastAsia="en-GB"/>
              </w:rPr>
              <w:t>AE</w:t>
            </w:r>
          </w:p>
        </w:tc>
        <w:tc>
          <w:tcPr>
            <w:tcW w:w="835" w:type="pct"/>
            <w:shd w:val="clear" w:color="auto" w:fill="auto"/>
            <w:noWrap/>
            <w:vAlign w:val="center"/>
            <w:hideMark/>
          </w:tcPr>
          <w:p w14:paraId="12F1CBD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15-19</w:t>
            </w:r>
          </w:p>
        </w:tc>
        <w:tc>
          <w:tcPr>
            <w:tcW w:w="666" w:type="pct"/>
            <w:shd w:val="clear" w:color="auto" w:fill="auto"/>
            <w:noWrap/>
            <w:vAlign w:val="center"/>
            <w:hideMark/>
          </w:tcPr>
          <w:p w14:paraId="6125BB3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0.163</w:t>
            </w:r>
          </w:p>
        </w:tc>
        <w:tc>
          <w:tcPr>
            <w:tcW w:w="478" w:type="pct"/>
            <w:shd w:val="clear" w:color="auto" w:fill="auto"/>
            <w:noWrap/>
            <w:vAlign w:val="center"/>
            <w:hideMark/>
          </w:tcPr>
          <w:p w14:paraId="7F8C0B1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w:t>
            </w:r>
          </w:p>
        </w:tc>
        <w:tc>
          <w:tcPr>
            <w:tcW w:w="478" w:type="pct"/>
            <w:shd w:val="clear" w:color="auto" w:fill="auto"/>
            <w:noWrap/>
            <w:vAlign w:val="center"/>
            <w:hideMark/>
          </w:tcPr>
          <w:p w14:paraId="3A92509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0.166</w:t>
            </w:r>
          </w:p>
        </w:tc>
        <w:tc>
          <w:tcPr>
            <w:tcW w:w="702" w:type="pct"/>
            <w:shd w:val="clear" w:color="auto" w:fill="auto"/>
            <w:noWrap/>
            <w:vAlign w:val="center"/>
            <w:hideMark/>
          </w:tcPr>
          <w:p w14:paraId="1A2A859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0.178</w:t>
            </w:r>
          </w:p>
        </w:tc>
        <w:tc>
          <w:tcPr>
            <w:tcW w:w="502" w:type="pct"/>
            <w:shd w:val="clear" w:color="auto" w:fill="auto"/>
            <w:noWrap/>
            <w:vAlign w:val="center"/>
            <w:hideMark/>
          </w:tcPr>
          <w:p w14:paraId="6C54292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0.175</w:t>
            </w:r>
          </w:p>
        </w:tc>
        <w:tc>
          <w:tcPr>
            <w:tcW w:w="504" w:type="pct"/>
            <w:shd w:val="clear" w:color="auto" w:fill="auto"/>
            <w:noWrap/>
            <w:vAlign w:val="center"/>
            <w:hideMark/>
          </w:tcPr>
          <w:p w14:paraId="73BABC1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0.181</w:t>
            </w:r>
          </w:p>
        </w:tc>
      </w:tr>
      <w:tr w:rsidR="007E0ABC" w:rsidRPr="00716FF2" w14:paraId="1747E122" w14:textId="77777777" w:rsidTr="00716FF2">
        <w:trPr>
          <w:trHeight w:val="320"/>
        </w:trPr>
        <w:tc>
          <w:tcPr>
            <w:tcW w:w="835" w:type="pct"/>
            <w:vMerge/>
            <w:vAlign w:val="center"/>
            <w:hideMark/>
          </w:tcPr>
          <w:p w14:paraId="3766D2DF"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EB497E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20-24</w:t>
            </w:r>
          </w:p>
        </w:tc>
        <w:tc>
          <w:tcPr>
            <w:tcW w:w="666" w:type="pct"/>
            <w:shd w:val="clear" w:color="auto" w:fill="auto"/>
            <w:noWrap/>
            <w:vAlign w:val="center"/>
            <w:hideMark/>
          </w:tcPr>
          <w:p w14:paraId="7134E33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0.121</w:t>
            </w:r>
          </w:p>
        </w:tc>
        <w:tc>
          <w:tcPr>
            <w:tcW w:w="478" w:type="pct"/>
            <w:shd w:val="clear" w:color="auto" w:fill="auto"/>
            <w:noWrap/>
            <w:vAlign w:val="center"/>
            <w:hideMark/>
          </w:tcPr>
          <w:p w14:paraId="14FDB4E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0.119</w:t>
            </w:r>
          </w:p>
        </w:tc>
        <w:tc>
          <w:tcPr>
            <w:tcW w:w="478" w:type="pct"/>
            <w:shd w:val="clear" w:color="auto" w:fill="auto"/>
            <w:noWrap/>
            <w:vAlign w:val="center"/>
            <w:hideMark/>
          </w:tcPr>
          <w:p w14:paraId="64111E5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0.123</w:t>
            </w:r>
          </w:p>
        </w:tc>
        <w:tc>
          <w:tcPr>
            <w:tcW w:w="702" w:type="pct"/>
            <w:shd w:val="clear" w:color="auto" w:fill="auto"/>
            <w:noWrap/>
            <w:vAlign w:val="center"/>
            <w:hideMark/>
          </w:tcPr>
          <w:p w14:paraId="7FC5BA15"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0.131</w:t>
            </w:r>
          </w:p>
        </w:tc>
        <w:tc>
          <w:tcPr>
            <w:tcW w:w="502" w:type="pct"/>
            <w:shd w:val="clear" w:color="auto" w:fill="auto"/>
            <w:noWrap/>
            <w:vAlign w:val="center"/>
            <w:hideMark/>
          </w:tcPr>
          <w:p w14:paraId="5F80A69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0.129</w:t>
            </w:r>
          </w:p>
        </w:tc>
        <w:tc>
          <w:tcPr>
            <w:tcW w:w="504" w:type="pct"/>
            <w:shd w:val="clear" w:color="auto" w:fill="auto"/>
            <w:noWrap/>
            <w:vAlign w:val="center"/>
            <w:hideMark/>
          </w:tcPr>
          <w:p w14:paraId="658415D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0.133</w:t>
            </w:r>
          </w:p>
        </w:tc>
      </w:tr>
      <w:tr w:rsidR="007E0ABC" w:rsidRPr="00716FF2" w14:paraId="140681F4" w14:textId="77777777" w:rsidTr="00716FF2">
        <w:trPr>
          <w:trHeight w:val="320"/>
        </w:trPr>
        <w:tc>
          <w:tcPr>
            <w:tcW w:w="835" w:type="pct"/>
            <w:vMerge/>
            <w:vAlign w:val="center"/>
            <w:hideMark/>
          </w:tcPr>
          <w:p w14:paraId="3B949604"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E4BE7E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25-29</w:t>
            </w:r>
          </w:p>
        </w:tc>
        <w:tc>
          <w:tcPr>
            <w:tcW w:w="666" w:type="pct"/>
            <w:shd w:val="clear" w:color="auto" w:fill="auto"/>
            <w:noWrap/>
            <w:vAlign w:val="center"/>
            <w:hideMark/>
          </w:tcPr>
          <w:p w14:paraId="510D4C15"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0.137</w:t>
            </w:r>
          </w:p>
        </w:tc>
        <w:tc>
          <w:tcPr>
            <w:tcW w:w="478" w:type="pct"/>
            <w:shd w:val="clear" w:color="auto" w:fill="auto"/>
            <w:noWrap/>
            <w:vAlign w:val="center"/>
            <w:hideMark/>
          </w:tcPr>
          <w:p w14:paraId="062CAB6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0.134</w:t>
            </w:r>
          </w:p>
        </w:tc>
        <w:tc>
          <w:tcPr>
            <w:tcW w:w="478" w:type="pct"/>
            <w:shd w:val="clear" w:color="auto" w:fill="auto"/>
            <w:noWrap/>
            <w:vAlign w:val="center"/>
            <w:hideMark/>
          </w:tcPr>
          <w:p w14:paraId="7AB960B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w:t>
            </w:r>
          </w:p>
        </w:tc>
        <w:tc>
          <w:tcPr>
            <w:tcW w:w="702" w:type="pct"/>
            <w:shd w:val="clear" w:color="auto" w:fill="auto"/>
            <w:noWrap/>
            <w:vAlign w:val="center"/>
            <w:hideMark/>
          </w:tcPr>
          <w:p w14:paraId="34C050C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0.156</w:t>
            </w:r>
          </w:p>
        </w:tc>
        <w:tc>
          <w:tcPr>
            <w:tcW w:w="502" w:type="pct"/>
            <w:shd w:val="clear" w:color="auto" w:fill="auto"/>
            <w:noWrap/>
            <w:vAlign w:val="center"/>
            <w:hideMark/>
          </w:tcPr>
          <w:p w14:paraId="50E8C04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0.153</w:t>
            </w:r>
          </w:p>
        </w:tc>
        <w:tc>
          <w:tcPr>
            <w:tcW w:w="504" w:type="pct"/>
            <w:shd w:val="clear" w:color="auto" w:fill="auto"/>
            <w:noWrap/>
            <w:vAlign w:val="center"/>
            <w:hideMark/>
          </w:tcPr>
          <w:p w14:paraId="0C25750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0.159</w:t>
            </w:r>
          </w:p>
        </w:tc>
      </w:tr>
      <w:tr w:rsidR="007E0ABC" w:rsidRPr="00716FF2" w14:paraId="40D447D2" w14:textId="77777777" w:rsidTr="00716FF2">
        <w:trPr>
          <w:trHeight w:val="320"/>
        </w:trPr>
        <w:tc>
          <w:tcPr>
            <w:tcW w:w="835" w:type="pct"/>
            <w:vMerge/>
            <w:vAlign w:val="center"/>
            <w:hideMark/>
          </w:tcPr>
          <w:p w14:paraId="58B43845"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4DF859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30-34</w:t>
            </w:r>
          </w:p>
        </w:tc>
        <w:tc>
          <w:tcPr>
            <w:tcW w:w="666" w:type="pct"/>
            <w:shd w:val="clear" w:color="auto" w:fill="auto"/>
            <w:noWrap/>
            <w:vAlign w:val="center"/>
            <w:hideMark/>
          </w:tcPr>
          <w:p w14:paraId="5E1583A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0.128</w:t>
            </w:r>
          </w:p>
        </w:tc>
        <w:tc>
          <w:tcPr>
            <w:tcW w:w="478" w:type="pct"/>
            <w:shd w:val="clear" w:color="auto" w:fill="auto"/>
            <w:noWrap/>
            <w:vAlign w:val="center"/>
            <w:hideMark/>
          </w:tcPr>
          <w:p w14:paraId="7A681FD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0.125</w:t>
            </w:r>
          </w:p>
        </w:tc>
        <w:tc>
          <w:tcPr>
            <w:tcW w:w="478" w:type="pct"/>
            <w:shd w:val="clear" w:color="auto" w:fill="auto"/>
            <w:noWrap/>
            <w:vAlign w:val="center"/>
            <w:hideMark/>
          </w:tcPr>
          <w:p w14:paraId="079A5F3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0.131</w:t>
            </w:r>
          </w:p>
        </w:tc>
        <w:tc>
          <w:tcPr>
            <w:tcW w:w="702" w:type="pct"/>
            <w:shd w:val="clear" w:color="auto" w:fill="auto"/>
            <w:noWrap/>
            <w:vAlign w:val="center"/>
            <w:hideMark/>
          </w:tcPr>
          <w:p w14:paraId="484367D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0.145</w:t>
            </w:r>
          </w:p>
        </w:tc>
        <w:tc>
          <w:tcPr>
            <w:tcW w:w="502" w:type="pct"/>
            <w:shd w:val="clear" w:color="auto" w:fill="auto"/>
            <w:noWrap/>
            <w:vAlign w:val="center"/>
            <w:hideMark/>
          </w:tcPr>
          <w:p w14:paraId="5CF493E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0.142</w:t>
            </w:r>
          </w:p>
        </w:tc>
        <w:tc>
          <w:tcPr>
            <w:tcW w:w="504" w:type="pct"/>
            <w:shd w:val="clear" w:color="auto" w:fill="auto"/>
            <w:noWrap/>
            <w:vAlign w:val="center"/>
            <w:hideMark/>
          </w:tcPr>
          <w:p w14:paraId="2DDAE01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0.148</w:t>
            </w:r>
          </w:p>
        </w:tc>
      </w:tr>
      <w:tr w:rsidR="007E0ABC" w:rsidRPr="00716FF2" w14:paraId="75700B3A" w14:textId="77777777" w:rsidTr="00716FF2">
        <w:trPr>
          <w:trHeight w:val="320"/>
        </w:trPr>
        <w:tc>
          <w:tcPr>
            <w:tcW w:w="835" w:type="pct"/>
            <w:vMerge/>
            <w:vAlign w:val="center"/>
            <w:hideMark/>
          </w:tcPr>
          <w:p w14:paraId="2AD41F3A"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26BEC90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35-39</w:t>
            </w:r>
          </w:p>
        </w:tc>
        <w:tc>
          <w:tcPr>
            <w:tcW w:w="666" w:type="pct"/>
            <w:shd w:val="clear" w:color="auto" w:fill="auto"/>
            <w:noWrap/>
            <w:vAlign w:val="center"/>
            <w:hideMark/>
          </w:tcPr>
          <w:p w14:paraId="00335DB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0.114</w:t>
            </w:r>
          </w:p>
        </w:tc>
        <w:tc>
          <w:tcPr>
            <w:tcW w:w="478" w:type="pct"/>
            <w:shd w:val="clear" w:color="auto" w:fill="auto"/>
            <w:noWrap/>
            <w:vAlign w:val="center"/>
            <w:hideMark/>
          </w:tcPr>
          <w:p w14:paraId="4D9F5AE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0.111</w:t>
            </w:r>
          </w:p>
        </w:tc>
        <w:tc>
          <w:tcPr>
            <w:tcW w:w="478" w:type="pct"/>
            <w:shd w:val="clear" w:color="auto" w:fill="auto"/>
            <w:noWrap/>
            <w:vAlign w:val="center"/>
            <w:hideMark/>
          </w:tcPr>
          <w:p w14:paraId="756FEBF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0.117</w:t>
            </w:r>
          </w:p>
        </w:tc>
        <w:tc>
          <w:tcPr>
            <w:tcW w:w="702" w:type="pct"/>
            <w:shd w:val="clear" w:color="auto" w:fill="auto"/>
            <w:noWrap/>
            <w:vAlign w:val="center"/>
            <w:hideMark/>
          </w:tcPr>
          <w:p w14:paraId="61BC885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0.138</w:t>
            </w:r>
          </w:p>
        </w:tc>
        <w:tc>
          <w:tcPr>
            <w:tcW w:w="502" w:type="pct"/>
            <w:shd w:val="clear" w:color="auto" w:fill="auto"/>
            <w:noWrap/>
            <w:vAlign w:val="center"/>
            <w:hideMark/>
          </w:tcPr>
          <w:p w14:paraId="18C69C1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0.135</w:t>
            </w:r>
          </w:p>
        </w:tc>
        <w:tc>
          <w:tcPr>
            <w:tcW w:w="504" w:type="pct"/>
            <w:shd w:val="clear" w:color="auto" w:fill="auto"/>
            <w:noWrap/>
            <w:vAlign w:val="center"/>
            <w:hideMark/>
          </w:tcPr>
          <w:p w14:paraId="165FD4B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0.141</w:t>
            </w:r>
          </w:p>
        </w:tc>
      </w:tr>
      <w:tr w:rsidR="007E0ABC" w:rsidRPr="00716FF2" w14:paraId="722ADD69" w14:textId="77777777" w:rsidTr="00716FF2">
        <w:trPr>
          <w:trHeight w:val="320"/>
        </w:trPr>
        <w:tc>
          <w:tcPr>
            <w:tcW w:w="835" w:type="pct"/>
            <w:vMerge/>
            <w:vAlign w:val="center"/>
            <w:hideMark/>
          </w:tcPr>
          <w:p w14:paraId="666BAA5A"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4B73295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40-44</w:t>
            </w:r>
          </w:p>
        </w:tc>
        <w:tc>
          <w:tcPr>
            <w:tcW w:w="666" w:type="pct"/>
            <w:shd w:val="clear" w:color="auto" w:fill="auto"/>
            <w:noWrap/>
            <w:vAlign w:val="center"/>
            <w:hideMark/>
          </w:tcPr>
          <w:p w14:paraId="1C04F47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w:t>
            </w:r>
          </w:p>
        </w:tc>
        <w:tc>
          <w:tcPr>
            <w:tcW w:w="478" w:type="pct"/>
            <w:shd w:val="clear" w:color="auto" w:fill="auto"/>
            <w:noWrap/>
            <w:vAlign w:val="center"/>
            <w:hideMark/>
          </w:tcPr>
          <w:p w14:paraId="05239CF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0.117</w:t>
            </w:r>
          </w:p>
        </w:tc>
        <w:tc>
          <w:tcPr>
            <w:tcW w:w="478" w:type="pct"/>
            <w:shd w:val="clear" w:color="auto" w:fill="auto"/>
            <w:noWrap/>
            <w:vAlign w:val="center"/>
            <w:hideMark/>
          </w:tcPr>
          <w:p w14:paraId="4248EBB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0.123</w:t>
            </w:r>
          </w:p>
        </w:tc>
        <w:tc>
          <w:tcPr>
            <w:tcW w:w="702" w:type="pct"/>
            <w:shd w:val="clear" w:color="auto" w:fill="auto"/>
            <w:noWrap/>
            <w:vAlign w:val="center"/>
            <w:hideMark/>
          </w:tcPr>
          <w:p w14:paraId="0286E83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0.135</w:t>
            </w:r>
          </w:p>
        </w:tc>
        <w:tc>
          <w:tcPr>
            <w:tcW w:w="502" w:type="pct"/>
            <w:shd w:val="clear" w:color="auto" w:fill="auto"/>
            <w:noWrap/>
            <w:vAlign w:val="center"/>
            <w:hideMark/>
          </w:tcPr>
          <w:p w14:paraId="0C86D2E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0.132</w:t>
            </w:r>
          </w:p>
        </w:tc>
        <w:tc>
          <w:tcPr>
            <w:tcW w:w="504" w:type="pct"/>
            <w:shd w:val="clear" w:color="auto" w:fill="auto"/>
            <w:noWrap/>
            <w:vAlign w:val="center"/>
            <w:hideMark/>
          </w:tcPr>
          <w:p w14:paraId="2B54E03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0.138</w:t>
            </w:r>
          </w:p>
        </w:tc>
      </w:tr>
      <w:tr w:rsidR="007E0ABC" w:rsidRPr="00716FF2" w14:paraId="34010194" w14:textId="77777777" w:rsidTr="00716FF2">
        <w:trPr>
          <w:trHeight w:val="320"/>
        </w:trPr>
        <w:tc>
          <w:tcPr>
            <w:tcW w:w="835" w:type="pct"/>
            <w:vMerge/>
            <w:vAlign w:val="center"/>
            <w:hideMark/>
          </w:tcPr>
          <w:p w14:paraId="717CF99E"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62811D5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45-49</w:t>
            </w:r>
          </w:p>
        </w:tc>
        <w:tc>
          <w:tcPr>
            <w:tcW w:w="666" w:type="pct"/>
            <w:shd w:val="clear" w:color="auto" w:fill="auto"/>
            <w:noWrap/>
            <w:vAlign w:val="center"/>
            <w:hideMark/>
          </w:tcPr>
          <w:p w14:paraId="0E5008C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0.122</w:t>
            </w:r>
          </w:p>
        </w:tc>
        <w:tc>
          <w:tcPr>
            <w:tcW w:w="478" w:type="pct"/>
            <w:shd w:val="clear" w:color="auto" w:fill="auto"/>
            <w:noWrap/>
            <w:vAlign w:val="center"/>
            <w:hideMark/>
          </w:tcPr>
          <w:p w14:paraId="2F6C555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0.119</w:t>
            </w:r>
          </w:p>
        </w:tc>
        <w:tc>
          <w:tcPr>
            <w:tcW w:w="478" w:type="pct"/>
            <w:shd w:val="clear" w:color="auto" w:fill="auto"/>
            <w:noWrap/>
            <w:vAlign w:val="center"/>
            <w:hideMark/>
          </w:tcPr>
          <w:p w14:paraId="6A11B44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0.125</w:t>
            </w:r>
          </w:p>
        </w:tc>
        <w:tc>
          <w:tcPr>
            <w:tcW w:w="702" w:type="pct"/>
            <w:shd w:val="clear" w:color="auto" w:fill="auto"/>
            <w:noWrap/>
            <w:vAlign w:val="center"/>
            <w:hideMark/>
          </w:tcPr>
          <w:p w14:paraId="443EF0C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0.132</w:t>
            </w:r>
          </w:p>
        </w:tc>
        <w:tc>
          <w:tcPr>
            <w:tcW w:w="502" w:type="pct"/>
            <w:shd w:val="clear" w:color="auto" w:fill="auto"/>
            <w:noWrap/>
            <w:vAlign w:val="center"/>
            <w:hideMark/>
          </w:tcPr>
          <w:p w14:paraId="3DA8A17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0.129</w:t>
            </w:r>
          </w:p>
        </w:tc>
        <w:tc>
          <w:tcPr>
            <w:tcW w:w="504" w:type="pct"/>
            <w:shd w:val="clear" w:color="auto" w:fill="auto"/>
            <w:noWrap/>
            <w:vAlign w:val="center"/>
            <w:hideMark/>
          </w:tcPr>
          <w:p w14:paraId="0948416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0.135</w:t>
            </w:r>
          </w:p>
        </w:tc>
      </w:tr>
      <w:tr w:rsidR="007E0ABC" w:rsidRPr="00716FF2" w14:paraId="0247D85C" w14:textId="77777777" w:rsidTr="00716FF2">
        <w:trPr>
          <w:trHeight w:val="320"/>
        </w:trPr>
        <w:tc>
          <w:tcPr>
            <w:tcW w:w="835" w:type="pct"/>
            <w:vMerge/>
            <w:vAlign w:val="center"/>
            <w:hideMark/>
          </w:tcPr>
          <w:p w14:paraId="25A64E5A"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7818A66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50-54</w:t>
            </w:r>
          </w:p>
        </w:tc>
        <w:tc>
          <w:tcPr>
            <w:tcW w:w="666" w:type="pct"/>
            <w:shd w:val="clear" w:color="auto" w:fill="auto"/>
            <w:noWrap/>
            <w:vAlign w:val="center"/>
            <w:hideMark/>
          </w:tcPr>
          <w:p w14:paraId="64B4200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0.036</w:t>
            </w:r>
          </w:p>
        </w:tc>
        <w:tc>
          <w:tcPr>
            <w:tcW w:w="478" w:type="pct"/>
            <w:shd w:val="clear" w:color="auto" w:fill="auto"/>
            <w:noWrap/>
            <w:vAlign w:val="center"/>
            <w:hideMark/>
          </w:tcPr>
          <w:p w14:paraId="6D3E3E6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0.035</w:t>
            </w:r>
          </w:p>
        </w:tc>
        <w:tc>
          <w:tcPr>
            <w:tcW w:w="478" w:type="pct"/>
            <w:shd w:val="clear" w:color="auto" w:fill="auto"/>
            <w:noWrap/>
            <w:vAlign w:val="center"/>
            <w:hideMark/>
          </w:tcPr>
          <w:p w14:paraId="07ECF1A7"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0.037</w:t>
            </w:r>
          </w:p>
        </w:tc>
        <w:tc>
          <w:tcPr>
            <w:tcW w:w="702" w:type="pct"/>
            <w:shd w:val="clear" w:color="auto" w:fill="auto"/>
            <w:noWrap/>
            <w:vAlign w:val="center"/>
            <w:hideMark/>
          </w:tcPr>
          <w:p w14:paraId="27FF4D7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0.038</w:t>
            </w:r>
          </w:p>
        </w:tc>
        <w:tc>
          <w:tcPr>
            <w:tcW w:w="502" w:type="pct"/>
            <w:shd w:val="clear" w:color="auto" w:fill="auto"/>
            <w:noWrap/>
            <w:vAlign w:val="center"/>
            <w:hideMark/>
          </w:tcPr>
          <w:p w14:paraId="084A9D4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0.037</w:t>
            </w:r>
          </w:p>
        </w:tc>
        <w:tc>
          <w:tcPr>
            <w:tcW w:w="504" w:type="pct"/>
            <w:shd w:val="clear" w:color="auto" w:fill="auto"/>
            <w:noWrap/>
            <w:vAlign w:val="center"/>
            <w:hideMark/>
          </w:tcPr>
          <w:p w14:paraId="317F78B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0.039</w:t>
            </w:r>
          </w:p>
        </w:tc>
      </w:tr>
      <w:tr w:rsidR="007E0ABC" w:rsidRPr="00716FF2" w14:paraId="6004CA78" w14:textId="77777777" w:rsidTr="00716FF2">
        <w:trPr>
          <w:trHeight w:val="320"/>
        </w:trPr>
        <w:tc>
          <w:tcPr>
            <w:tcW w:w="835" w:type="pct"/>
            <w:vMerge/>
            <w:vAlign w:val="center"/>
            <w:hideMark/>
          </w:tcPr>
          <w:p w14:paraId="1943F1E7"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5EA3F26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55-59</w:t>
            </w:r>
          </w:p>
        </w:tc>
        <w:tc>
          <w:tcPr>
            <w:tcW w:w="666" w:type="pct"/>
            <w:shd w:val="clear" w:color="auto" w:fill="auto"/>
            <w:noWrap/>
            <w:vAlign w:val="center"/>
            <w:hideMark/>
          </w:tcPr>
          <w:p w14:paraId="52972ED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0.125</w:t>
            </w:r>
          </w:p>
        </w:tc>
        <w:tc>
          <w:tcPr>
            <w:tcW w:w="478" w:type="pct"/>
            <w:shd w:val="clear" w:color="auto" w:fill="auto"/>
            <w:noWrap/>
            <w:vAlign w:val="center"/>
            <w:hideMark/>
          </w:tcPr>
          <w:p w14:paraId="0CECA448"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0.122</w:t>
            </w:r>
          </w:p>
        </w:tc>
        <w:tc>
          <w:tcPr>
            <w:tcW w:w="478" w:type="pct"/>
            <w:shd w:val="clear" w:color="auto" w:fill="auto"/>
            <w:noWrap/>
            <w:vAlign w:val="center"/>
            <w:hideMark/>
          </w:tcPr>
          <w:p w14:paraId="6D671E2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0.128</w:t>
            </w:r>
          </w:p>
        </w:tc>
        <w:tc>
          <w:tcPr>
            <w:tcW w:w="702" w:type="pct"/>
            <w:shd w:val="clear" w:color="auto" w:fill="auto"/>
            <w:noWrap/>
            <w:vAlign w:val="center"/>
            <w:hideMark/>
          </w:tcPr>
          <w:p w14:paraId="27FC4FE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0.129</w:t>
            </w:r>
          </w:p>
        </w:tc>
        <w:tc>
          <w:tcPr>
            <w:tcW w:w="502" w:type="pct"/>
            <w:shd w:val="clear" w:color="auto" w:fill="auto"/>
            <w:noWrap/>
            <w:vAlign w:val="center"/>
            <w:hideMark/>
          </w:tcPr>
          <w:p w14:paraId="159312E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0.126</w:t>
            </w:r>
          </w:p>
        </w:tc>
        <w:tc>
          <w:tcPr>
            <w:tcW w:w="504" w:type="pct"/>
            <w:shd w:val="clear" w:color="auto" w:fill="auto"/>
            <w:noWrap/>
            <w:vAlign w:val="center"/>
            <w:hideMark/>
          </w:tcPr>
          <w:p w14:paraId="4648557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0.132</w:t>
            </w:r>
          </w:p>
        </w:tc>
      </w:tr>
      <w:tr w:rsidR="007E0ABC" w:rsidRPr="00716FF2" w14:paraId="2C4FEF48" w14:textId="77777777" w:rsidTr="00716FF2">
        <w:trPr>
          <w:trHeight w:val="320"/>
        </w:trPr>
        <w:tc>
          <w:tcPr>
            <w:tcW w:w="835" w:type="pct"/>
            <w:vMerge/>
            <w:vAlign w:val="center"/>
            <w:hideMark/>
          </w:tcPr>
          <w:p w14:paraId="32D83590"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2B8B923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60-64</w:t>
            </w:r>
          </w:p>
        </w:tc>
        <w:tc>
          <w:tcPr>
            <w:tcW w:w="666" w:type="pct"/>
            <w:shd w:val="clear" w:color="auto" w:fill="auto"/>
            <w:noWrap/>
            <w:vAlign w:val="center"/>
            <w:hideMark/>
          </w:tcPr>
          <w:p w14:paraId="2475AEC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0.125</w:t>
            </w:r>
          </w:p>
        </w:tc>
        <w:tc>
          <w:tcPr>
            <w:tcW w:w="478" w:type="pct"/>
            <w:shd w:val="clear" w:color="auto" w:fill="auto"/>
            <w:noWrap/>
            <w:vAlign w:val="center"/>
            <w:hideMark/>
          </w:tcPr>
          <w:p w14:paraId="51BE33B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0.121</w:t>
            </w:r>
          </w:p>
        </w:tc>
        <w:tc>
          <w:tcPr>
            <w:tcW w:w="478" w:type="pct"/>
            <w:shd w:val="clear" w:color="auto" w:fill="auto"/>
            <w:noWrap/>
            <w:vAlign w:val="center"/>
            <w:hideMark/>
          </w:tcPr>
          <w:p w14:paraId="08D2311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0.129</w:t>
            </w:r>
          </w:p>
        </w:tc>
        <w:tc>
          <w:tcPr>
            <w:tcW w:w="702" w:type="pct"/>
            <w:shd w:val="clear" w:color="auto" w:fill="auto"/>
            <w:noWrap/>
            <w:vAlign w:val="center"/>
            <w:hideMark/>
          </w:tcPr>
          <w:p w14:paraId="02B2421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0.127</w:t>
            </w:r>
          </w:p>
        </w:tc>
        <w:tc>
          <w:tcPr>
            <w:tcW w:w="502" w:type="pct"/>
            <w:shd w:val="clear" w:color="auto" w:fill="auto"/>
            <w:noWrap/>
            <w:vAlign w:val="center"/>
            <w:hideMark/>
          </w:tcPr>
          <w:p w14:paraId="0B9EDE3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0.124</w:t>
            </w:r>
          </w:p>
        </w:tc>
        <w:tc>
          <w:tcPr>
            <w:tcW w:w="504" w:type="pct"/>
            <w:shd w:val="clear" w:color="auto" w:fill="auto"/>
            <w:noWrap/>
            <w:vAlign w:val="center"/>
            <w:hideMark/>
          </w:tcPr>
          <w:p w14:paraId="68C0176F"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w:t>
            </w:r>
          </w:p>
        </w:tc>
      </w:tr>
      <w:tr w:rsidR="007E0ABC" w:rsidRPr="00716FF2" w14:paraId="6E02359B" w14:textId="77777777" w:rsidTr="00716FF2">
        <w:trPr>
          <w:trHeight w:val="320"/>
        </w:trPr>
        <w:tc>
          <w:tcPr>
            <w:tcW w:w="835" w:type="pct"/>
            <w:vMerge/>
            <w:vAlign w:val="center"/>
            <w:hideMark/>
          </w:tcPr>
          <w:p w14:paraId="119B7247"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137BCE76"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65-69</w:t>
            </w:r>
          </w:p>
        </w:tc>
        <w:tc>
          <w:tcPr>
            <w:tcW w:w="666" w:type="pct"/>
            <w:shd w:val="clear" w:color="auto" w:fill="auto"/>
            <w:noWrap/>
            <w:vAlign w:val="center"/>
            <w:hideMark/>
          </w:tcPr>
          <w:p w14:paraId="0FAC2EF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0.138</w:t>
            </w:r>
          </w:p>
        </w:tc>
        <w:tc>
          <w:tcPr>
            <w:tcW w:w="478" w:type="pct"/>
            <w:shd w:val="clear" w:color="auto" w:fill="auto"/>
            <w:noWrap/>
            <w:vAlign w:val="center"/>
            <w:hideMark/>
          </w:tcPr>
          <w:p w14:paraId="5B9309C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0.134</w:t>
            </w:r>
          </w:p>
        </w:tc>
        <w:tc>
          <w:tcPr>
            <w:tcW w:w="478" w:type="pct"/>
            <w:shd w:val="clear" w:color="auto" w:fill="auto"/>
            <w:noWrap/>
            <w:vAlign w:val="center"/>
            <w:hideMark/>
          </w:tcPr>
          <w:p w14:paraId="32EC0DA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0.142</w:t>
            </w:r>
          </w:p>
        </w:tc>
        <w:tc>
          <w:tcPr>
            <w:tcW w:w="702" w:type="pct"/>
            <w:shd w:val="clear" w:color="auto" w:fill="auto"/>
            <w:noWrap/>
            <w:vAlign w:val="center"/>
            <w:hideMark/>
          </w:tcPr>
          <w:p w14:paraId="24D3EBF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0.122</w:t>
            </w:r>
          </w:p>
        </w:tc>
        <w:tc>
          <w:tcPr>
            <w:tcW w:w="502" w:type="pct"/>
            <w:shd w:val="clear" w:color="auto" w:fill="auto"/>
            <w:noWrap/>
            <w:vAlign w:val="center"/>
            <w:hideMark/>
          </w:tcPr>
          <w:p w14:paraId="71108D6A"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0.119</w:t>
            </w:r>
          </w:p>
        </w:tc>
        <w:tc>
          <w:tcPr>
            <w:tcW w:w="504" w:type="pct"/>
            <w:shd w:val="clear" w:color="auto" w:fill="auto"/>
            <w:noWrap/>
            <w:vAlign w:val="center"/>
            <w:hideMark/>
          </w:tcPr>
          <w:p w14:paraId="230E132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0.125</w:t>
            </w:r>
          </w:p>
        </w:tc>
      </w:tr>
      <w:tr w:rsidR="007E0ABC" w:rsidRPr="00716FF2" w14:paraId="1D3990B2" w14:textId="77777777" w:rsidTr="00716FF2">
        <w:trPr>
          <w:trHeight w:val="320"/>
        </w:trPr>
        <w:tc>
          <w:tcPr>
            <w:tcW w:w="835" w:type="pct"/>
            <w:vMerge/>
            <w:vAlign w:val="center"/>
            <w:hideMark/>
          </w:tcPr>
          <w:p w14:paraId="65CF651B"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6066A8E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70-74</w:t>
            </w:r>
          </w:p>
        </w:tc>
        <w:tc>
          <w:tcPr>
            <w:tcW w:w="666" w:type="pct"/>
            <w:shd w:val="clear" w:color="auto" w:fill="auto"/>
            <w:noWrap/>
            <w:vAlign w:val="center"/>
            <w:hideMark/>
          </w:tcPr>
          <w:p w14:paraId="5D6B906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0.169</w:t>
            </w:r>
          </w:p>
        </w:tc>
        <w:tc>
          <w:tcPr>
            <w:tcW w:w="478" w:type="pct"/>
            <w:shd w:val="clear" w:color="auto" w:fill="auto"/>
            <w:noWrap/>
            <w:vAlign w:val="center"/>
            <w:hideMark/>
          </w:tcPr>
          <w:p w14:paraId="02905089"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0.164</w:t>
            </w:r>
          </w:p>
        </w:tc>
        <w:tc>
          <w:tcPr>
            <w:tcW w:w="478" w:type="pct"/>
            <w:shd w:val="clear" w:color="auto" w:fill="auto"/>
            <w:noWrap/>
            <w:vAlign w:val="center"/>
            <w:hideMark/>
          </w:tcPr>
          <w:p w14:paraId="756E4E50"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0.174</w:t>
            </w:r>
          </w:p>
        </w:tc>
        <w:tc>
          <w:tcPr>
            <w:tcW w:w="702" w:type="pct"/>
            <w:shd w:val="clear" w:color="auto" w:fill="auto"/>
            <w:noWrap/>
            <w:vAlign w:val="center"/>
            <w:hideMark/>
          </w:tcPr>
          <w:p w14:paraId="23BF5C4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0.141</w:t>
            </w:r>
          </w:p>
        </w:tc>
        <w:tc>
          <w:tcPr>
            <w:tcW w:w="502" w:type="pct"/>
            <w:shd w:val="clear" w:color="auto" w:fill="auto"/>
            <w:noWrap/>
            <w:vAlign w:val="center"/>
            <w:hideMark/>
          </w:tcPr>
          <w:p w14:paraId="7F4330DB"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0.137</w:t>
            </w:r>
          </w:p>
        </w:tc>
        <w:tc>
          <w:tcPr>
            <w:tcW w:w="504" w:type="pct"/>
            <w:shd w:val="clear" w:color="auto" w:fill="auto"/>
            <w:noWrap/>
            <w:vAlign w:val="center"/>
            <w:hideMark/>
          </w:tcPr>
          <w:p w14:paraId="4FB63C71"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0.145</w:t>
            </w:r>
          </w:p>
        </w:tc>
      </w:tr>
      <w:tr w:rsidR="007E0ABC" w:rsidRPr="00716FF2" w14:paraId="0EA3F725" w14:textId="77777777" w:rsidTr="00716FF2">
        <w:trPr>
          <w:trHeight w:val="320"/>
        </w:trPr>
        <w:tc>
          <w:tcPr>
            <w:tcW w:w="835" w:type="pct"/>
            <w:vMerge/>
            <w:vAlign w:val="center"/>
            <w:hideMark/>
          </w:tcPr>
          <w:p w14:paraId="4470C7BE" w14:textId="77777777" w:rsidR="007E0ABC" w:rsidRPr="000971F9" w:rsidRDefault="007E0ABC" w:rsidP="00716FF2">
            <w:pPr>
              <w:rPr>
                <w:rFonts w:ascii="Century Gothic" w:eastAsia="Times New Roman" w:hAnsi="Century Gothic" w:cs="Calibri"/>
                <w:b/>
                <w:bCs/>
                <w:color w:val="000000"/>
                <w:sz w:val="16"/>
                <w:szCs w:val="16"/>
                <w:lang w:eastAsia="en-GB"/>
              </w:rPr>
            </w:pPr>
          </w:p>
        </w:tc>
        <w:tc>
          <w:tcPr>
            <w:tcW w:w="835" w:type="pct"/>
            <w:shd w:val="clear" w:color="auto" w:fill="auto"/>
            <w:noWrap/>
            <w:vAlign w:val="center"/>
            <w:hideMark/>
          </w:tcPr>
          <w:p w14:paraId="35AB9E03"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75-79</w:t>
            </w:r>
          </w:p>
        </w:tc>
        <w:tc>
          <w:tcPr>
            <w:tcW w:w="666" w:type="pct"/>
            <w:shd w:val="clear" w:color="auto" w:fill="auto"/>
            <w:noWrap/>
            <w:vAlign w:val="center"/>
            <w:hideMark/>
          </w:tcPr>
          <w:p w14:paraId="13D9B8B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0.22</w:t>
            </w:r>
          </w:p>
        </w:tc>
        <w:tc>
          <w:tcPr>
            <w:tcW w:w="478" w:type="pct"/>
            <w:shd w:val="clear" w:color="auto" w:fill="auto"/>
            <w:noWrap/>
            <w:vAlign w:val="center"/>
            <w:hideMark/>
          </w:tcPr>
          <w:p w14:paraId="228F7C2D"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0.214</w:t>
            </w:r>
          </w:p>
        </w:tc>
        <w:tc>
          <w:tcPr>
            <w:tcW w:w="478" w:type="pct"/>
            <w:shd w:val="clear" w:color="auto" w:fill="auto"/>
            <w:noWrap/>
            <w:vAlign w:val="center"/>
            <w:hideMark/>
          </w:tcPr>
          <w:p w14:paraId="759B9952"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0.226</w:t>
            </w:r>
          </w:p>
        </w:tc>
        <w:tc>
          <w:tcPr>
            <w:tcW w:w="702" w:type="pct"/>
            <w:shd w:val="clear" w:color="auto" w:fill="auto"/>
            <w:noWrap/>
            <w:vAlign w:val="center"/>
            <w:hideMark/>
          </w:tcPr>
          <w:p w14:paraId="6D55C9DC"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0.153</w:t>
            </w:r>
          </w:p>
        </w:tc>
        <w:tc>
          <w:tcPr>
            <w:tcW w:w="502" w:type="pct"/>
            <w:shd w:val="clear" w:color="auto" w:fill="auto"/>
            <w:noWrap/>
            <w:vAlign w:val="center"/>
            <w:hideMark/>
          </w:tcPr>
          <w:p w14:paraId="0F2DEC7E"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0.149</w:t>
            </w:r>
          </w:p>
        </w:tc>
        <w:tc>
          <w:tcPr>
            <w:tcW w:w="504" w:type="pct"/>
            <w:shd w:val="clear" w:color="auto" w:fill="auto"/>
            <w:noWrap/>
            <w:vAlign w:val="center"/>
            <w:hideMark/>
          </w:tcPr>
          <w:p w14:paraId="6FD66314" w14:textId="77777777" w:rsidR="007E0ABC" w:rsidRPr="000971F9" w:rsidRDefault="007E0ABC" w:rsidP="00716FF2">
            <w:pPr>
              <w:jc w:val="center"/>
              <w:rPr>
                <w:rFonts w:ascii="Century Gothic" w:eastAsia="Times New Roman" w:hAnsi="Century Gothic" w:cs="Calibri"/>
                <w:color w:val="000000"/>
                <w:sz w:val="16"/>
                <w:szCs w:val="16"/>
                <w:lang w:eastAsia="en-GB"/>
              </w:rPr>
            </w:pPr>
            <w:r w:rsidRPr="000971F9">
              <w:rPr>
                <w:rFonts w:ascii="Century Gothic" w:eastAsia="Times New Roman" w:hAnsi="Century Gothic" w:cs="Calibri"/>
                <w:color w:val="000000"/>
                <w:sz w:val="16"/>
                <w:szCs w:val="16"/>
                <w:lang w:eastAsia="en-GB"/>
              </w:rPr>
              <w:t>0.157</w:t>
            </w:r>
          </w:p>
        </w:tc>
      </w:tr>
    </w:tbl>
    <w:p w14:paraId="434D0A1A" w14:textId="77777777" w:rsidR="007E0ABC" w:rsidRDefault="007E0ABC" w:rsidP="00143A29"/>
    <w:p w14:paraId="7D89621B" w14:textId="77777777" w:rsidR="007E0ABC" w:rsidRDefault="007E0ABC" w:rsidP="000B2985">
      <w:pPr>
        <w:pStyle w:val="Subtitle"/>
        <w:spacing w:after="0"/>
        <w:jc w:val="center"/>
        <w:rPr>
          <w:rFonts w:ascii="Avenir Book" w:hAnsi="Avenir Book"/>
          <w:i/>
          <w:iCs/>
          <w:sz w:val="28"/>
          <w:szCs w:val="28"/>
        </w:rPr>
      </w:pPr>
      <w:r w:rsidRPr="00C260F1">
        <w:rPr>
          <w:rFonts w:ascii="Avenir Book" w:hAnsi="Avenir Book"/>
          <w:iCs/>
          <w:sz w:val="28"/>
          <w:szCs w:val="28"/>
        </w:rPr>
        <w:t xml:space="preserve">Appendix </w:t>
      </w:r>
      <w:r>
        <w:rPr>
          <w:rFonts w:ascii="Avenir Book" w:hAnsi="Avenir Book"/>
          <w:iCs/>
          <w:sz w:val="28"/>
          <w:szCs w:val="28"/>
        </w:rPr>
        <w:t>F</w:t>
      </w:r>
      <w:r w:rsidRPr="00C260F1">
        <w:rPr>
          <w:rFonts w:ascii="Avenir Book" w:hAnsi="Avenir Book"/>
          <w:iCs/>
          <w:sz w:val="28"/>
          <w:szCs w:val="28"/>
        </w:rPr>
        <w:t xml:space="preserve"> – </w:t>
      </w:r>
      <w:r w:rsidRPr="000B2985">
        <w:rPr>
          <w:rFonts w:ascii="Avenir Book" w:hAnsi="Avenir Book"/>
          <w:iCs/>
          <w:sz w:val="28"/>
          <w:szCs w:val="28"/>
        </w:rPr>
        <w:t>Affective Cognition Supplementary Data</w:t>
      </w:r>
    </w:p>
    <w:p w14:paraId="1A859DC5" w14:textId="77777777" w:rsidR="007E0ABC" w:rsidRPr="003E72DA" w:rsidRDefault="007E0ABC" w:rsidP="000B2985">
      <w:pPr>
        <w:rPr>
          <w:rFonts w:eastAsia="Times New Roman" w:cs="Open Sans"/>
          <w:sz w:val="22"/>
          <w:szCs w:val="22"/>
          <w:lang w:eastAsia="en-GB"/>
        </w:rPr>
      </w:pPr>
    </w:p>
    <w:p w14:paraId="13026111" w14:textId="77777777" w:rsidR="007E0ABC" w:rsidRPr="003E72DA" w:rsidRDefault="007E0ABC" w:rsidP="000B2985">
      <w:pPr>
        <w:rPr>
          <w:rFonts w:eastAsia="Times New Roman" w:cs="Open Sans"/>
          <w:sz w:val="22"/>
          <w:szCs w:val="22"/>
          <w:lang w:eastAsia="en-GB"/>
        </w:rPr>
      </w:pPr>
      <w:r w:rsidRPr="003E72DA">
        <w:rPr>
          <w:rFonts w:eastAsia="Times New Roman" w:cs="Open Sans"/>
          <w:sz w:val="22"/>
          <w:szCs w:val="22"/>
          <w:lang w:eastAsia="en-GB"/>
        </w:rPr>
        <w:t xml:space="preserve">Table </w:t>
      </w:r>
      <w:r>
        <w:rPr>
          <w:rFonts w:eastAsia="Times New Roman" w:cs="Open Sans"/>
          <w:sz w:val="22"/>
          <w:szCs w:val="22"/>
          <w:lang w:eastAsia="en-GB"/>
        </w:rPr>
        <w:t>40a</w:t>
      </w:r>
      <w:r w:rsidRPr="003E72DA">
        <w:rPr>
          <w:rFonts w:eastAsia="Times New Roman" w:cs="Open Sans"/>
          <w:sz w:val="22"/>
          <w:szCs w:val="22"/>
          <w:lang w:eastAsia="en-GB"/>
        </w:rPr>
        <w:t>. T1 Accuracies and RTs of each condition in milliseconds  in FNSDs (N = xx)</w:t>
      </w:r>
    </w:p>
    <w:p w14:paraId="5D527C20" w14:textId="77777777" w:rsidR="007E0ABC" w:rsidRDefault="007E0ABC" w:rsidP="000B2985"/>
    <w:tbl>
      <w:tblPr>
        <w:tblStyle w:val="TableGrid"/>
        <w:tblW w:w="0" w:type="auto"/>
        <w:tblLook w:val="04A0" w:firstRow="1" w:lastRow="0" w:firstColumn="1" w:lastColumn="0" w:noHBand="0" w:noVBand="1"/>
      </w:tblPr>
      <w:tblGrid>
        <w:gridCol w:w="990"/>
        <w:gridCol w:w="1604"/>
        <w:gridCol w:w="1604"/>
        <w:gridCol w:w="1604"/>
        <w:gridCol w:w="1604"/>
        <w:gridCol w:w="1604"/>
      </w:tblGrid>
      <w:tr w:rsidR="007E0ABC" w14:paraId="7BFA2B43" w14:textId="77777777" w:rsidTr="00D75B62">
        <w:trPr>
          <w:trHeight w:val="461"/>
        </w:trPr>
        <w:tc>
          <w:tcPr>
            <w:tcW w:w="990" w:type="dxa"/>
            <w:vAlign w:val="center"/>
          </w:tcPr>
          <w:p w14:paraId="4070C53F" w14:textId="77777777" w:rsidR="007E0ABC" w:rsidRDefault="007E0ABC" w:rsidP="00D75B62">
            <w:pPr>
              <w:jc w:val="center"/>
            </w:pPr>
          </w:p>
        </w:tc>
        <w:tc>
          <w:tcPr>
            <w:tcW w:w="1604" w:type="dxa"/>
            <w:vAlign w:val="center"/>
          </w:tcPr>
          <w:p w14:paraId="414BD1C3" w14:textId="77777777" w:rsidR="007E0ABC" w:rsidRDefault="007E0ABC" w:rsidP="00D75B62">
            <w:pPr>
              <w:jc w:val="center"/>
            </w:pPr>
          </w:p>
        </w:tc>
        <w:tc>
          <w:tcPr>
            <w:tcW w:w="3208" w:type="dxa"/>
            <w:gridSpan w:val="2"/>
            <w:vAlign w:val="center"/>
          </w:tcPr>
          <w:p w14:paraId="14BAF172"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 xml:space="preserve">FNSD (n= </w:t>
            </w:r>
            <w:r>
              <w:rPr>
                <w:rFonts w:ascii="Avenir Heavy" w:hAnsi="Avenir Heavy"/>
                <w:b/>
                <w:bCs/>
                <w:sz w:val="21"/>
                <w:szCs w:val="21"/>
              </w:rPr>
              <w:t>34</w:t>
            </w:r>
            <w:r w:rsidRPr="00FB6E08">
              <w:rPr>
                <w:rFonts w:ascii="Avenir Heavy" w:hAnsi="Avenir Heavy"/>
                <w:b/>
                <w:bCs/>
                <w:sz w:val="21"/>
                <w:szCs w:val="21"/>
              </w:rPr>
              <w:t>)</w:t>
            </w:r>
          </w:p>
        </w:tc>
        <w:tc>
          <w:tcPr>
            <w:tcW w:w="3208" w:type="dxa"/>
            <w:gridSpan w:val="2"/>
            <w:vAlign w:val="center"/>
          </w:tcPr>
          <w:p w14:paraId="62CD6074"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HC (n=</w:t>
            </w:r>
            <w:r>
              <w:rPr>
                <w:rFonts w:ascii="Avenir Heavy" w:hAnsi="Avenir Heavy"/>
                <w:b/>
                <w:bCs/>
                <w:sz w:val="21"/>
                <w:szCs w:val="21"/>
              </w:rPr>
              <w:t>44</w:t>
            </w:r>
            <w:r w:rsidRPr="00FB6E08">
              <w:rPr>
                <w:rFonts w:ascii="Avenir Heavy" w:hAnsi="Avenir Heavy"/>
                <w:b/>
                <w:bCs/>
                <w:sz w:val="21"/>
                <w:szCs w:val="21"/>
              </w:rPr>
              <w:t>)</w:t>
            </w:r>
          </w:p>
        </w:tc>
      </w:tr>
      <w:tr w:rsidR="007E0ABC" w14:paraId="4C79E087" w14:textId="77777777" w:rsidTr="00D75B62">
        <w:tc>
          <w:tcPr>
            <w:tcW w:w="990" w:type="dxa"/>
            <w:vAlign w:val="center"/>
          </w:tcPr>
          <w:p w14:paraId="475AA379" w14:textId="77777777" w:rsidR="007E0ABC" w:rsidRDefault="007E0ABC" w:rsidP="00D75B62">
            <w:pPr>
              <w:jc w:val="center"/>
            </w:pPr>
          </w:p>
        </w:tc>
        <w:tc>
          <w:tcPr>
            <w:tcW w:w="1604" w:type="dxa"/>
            <w:vAlign w:val="center"/>
          </w:tcPr>
          <w:p w14:paraId="7B3E35CA" w14:textId="77777777" w:rsidR="007E0ABC" w:rsidRDefault="007E0ABC" w:rsidP="00D75B62">
            <w:pPr>
              <w:jc w:val="center"/>
            </w:pPr>
          </w:p>
        </w:tc>
        <w:tc>
          <w:tcPr>
            <w:tcW w:w="1604" w:type="dxa"/>
            <w:vAlign w:val="center"/>
          </w:tcPr>
          <w:p w14:paraId="1CA2889C"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Positive target</w:t>
            </w:r>
          </w:p>
        </w:tc>
        <w:tc>
          <w:tcPr>
            <w:tcW w:w="1604" w:type="dxa"/>
            <w:vAlign w:val="center"/>
          </w:tcPr>
          <w:p w14:paraId="225F96D3"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Negative target</w:t>
            </w:r>
          </w:p>
        </w:tc>
        <w:tc>
          <w:tcPr>
            <w:tcW w:w="1604" w:type="dxa"/>
            <w:vAlign w:val="center"/>
          </w:tcPr>
          <w:p w14:paraId="4829E170"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Positive target</w:t>
            </w:r>
          </w:p>
        </w:tc>
        <w:tc>
          <w:tcPr>
            <w:tcW w:w="1604" w:type="dxa"/>
            <w:vAlign w:val="center"/>
          </w:tcPr>
          <w:p w14:paraId="09BA55CA"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Negative target</w:t>
            </w:r>
          </w:p>
        </w:tc>
      </w:tr>
      <w:tr w:rsidR="007E0ABC" w14:paraId="09DEBD5A" w14:textId="77777777" w:rsidTr="00D75B62">
        <w:tc>
          <w:tcPr>
            <w:tcW w:w="990" w:type="dxa"/>
            <w:vMerge w:val="restart"/>
            <w:vAlign w:val="center"/>
          </w:tcPr>
          <w:p w14:paraId="7AA77315" w14:textId="77777777" w:rsidR="007E0ABC" w:rsidRPr="00FB6E08" w:rsidRDefault="007E0ABC" w:rsidP="00D75B62">
            <w:pPr>
              <w:jc w:val="center"/>
              <w:rPr>
                <w:rFonts w:ascii="Avenir Heavy" w:hAnsi="Avenir Heavy"/>
                <w:b/>
                <w:bCs/>
                <w:sz w:val="22"/>
                <w:szCs w:val="22"/>
              </w:rPr>
            </w:pPr>
            <w:r w:rsidRPr="00FB6E08">
              <w:rPr>
                <w:rFonts w:ascii="Avenir Heavy" w:hAnsi="Avenir Heavy"/>
                <w:b/>
                <w:bCs/>
                <w:sz w:val="22"/>
                <w:szCs w:val="22"/>
              </w:rPr>
              <w:t>NAP trials</w:t>
            </w:r>
          </w:p>
        </w:tc>
        <w:tc>
          <w:tcPr>
            <w:tcW w:w="1604" w:type="dxa"/>
            <w:vAlign w:val="center"/>
          </w:tcPr>
          <w:p w14:paraId="04F6D6E2" w14:textId="77777777" w:rsidR="007E0ABC" w:rsidRPr="00936FDB" w:rsidRDefault="007E0ABC" w:rsidP="00D75B62">
            <w:pPr>
              <w:jc w:val="center"/>
              <w:rPr>
                <w:i/>
                <w:iCs/>
                <w:sz w:val="18"/>
                <w:szCs w:val="18"/>
              </w:rPr>
            </w:pPr>
            <w:r w:rsidRPr="00936FDB">
              <w:rPr>
                <w:i/>
                <w:iCs/>
                <w:sz w:val="18"/>
                <w:szCs w:val="18"/>
              </w:rPr>
              <w:t>Median accuracy, n (%) correct</w:t>
            </w:r>
          </w:p>
        </w:tc>
        <w:tc>
          <w:tcPr>
            <w:tcW w:w="1604" w:type="dxa"/>
            <w:vAlign w:val="center"/>
          </w:tcPr>
          <w:p w14:paraId="0C9E3F19" w14:textId="77777777" w:rsidR="007E0ABC" w:rsidRPr="00936FDB" w:rsidRDefault="007E0ABC" w:rsidP="00D75B62">
            <w:pPr>
              <w:jc w:val="center"/>
              <w:rPr>
                <w:sz w:val="22"/>
                <w:szCs w:val="22"/>
              </w:rPr>
            </w:pPr>
            <w:r w:rsidRPr="00936FDB">
              <w:rPr>
                <w:sz w:val="22"/>
                <w:szCs w:val="22"/>
              </w:rPr>
              <w:t>23 (95.8%)</w:t>
            </w:r>
          </w:p>
        </w:tc>
        <w:tc>
          <w:tcPr>
            <w:tcW w:w="1604" w:type="dxa"/>
            <w:vAlign w:val="center"/>
          </w:tcPr>
          <w:p w14:paraId="2DE74EE4" w14:textId="77777777" w:rsidR="007E0ABC" w:rsidRPr="00936FDB" w:rsidRDefault="007E0ABC" w:rsidP="00D75B62">
            <w:pPr>
              <w:jc w:val="center"/>
              <w:rPr>
                <w:sz w:val="22"/>
                <w:szCs w:val="22"/>
              </w:rPr>
            </w:pPr>
            <w:r w:rsidRPr="00936FDB">
              <w:rPr>
                <w:sz w:val="22"/>
                <w:szCs w:val="22"/>
              </w:rPr>
              <w:t>23 (95.8%)</w:t>
            </w:r>
          </w:p>
        </w:tc>
        <w:tc>
          <w:tcPr>
            <w:tcW w:w="1604" w:type="dxa"/>
            <w:vAlign w:val="center"/>
          </w:tcPr>
          <w:p w14:paraId="1DCA4C22" w14:textId="77777777" w:rsidR="007E0ABC" w:rsidRPr="00936FDB" w:rsidRDefault="007E0ABC" w:rsidP="00D75B62">
            <w:pPr>
              <w:jc w:val="center"/>
              <w:rPr>
                <w:sz w:val="22"/>
                <w:szCs w:val="22"/>
              </w:rPr>
            </w:pPr>
            <w:r w:rsidRPr="00936FDB">
              <w:rPr>
                <w:sz w:val="22"/>
                <w:szCs w:val="22"/>
              </w:rPr>
              <w:t>24 (100%)</w:t>
            </w:r>
          </w:p>
        </w:tc>
        <w:tc>
          <w:tcPr>
            <w:tcW w:w="1604" w:type="dxa"/>
            <w:vAlign w:val="center"/>
          </w:tcPr>
          <w:p w14:paraId="74D77CE1" w14:textId="77777777" w:rsidR="007E0ABC" w:rsidRPr="00936FDB" w:rsidRDefault="007E0ABC" w:rsidP="00D75B62">
            <w:pPr>
              <w:jc w:val="center"/>
              <w:rPr>
                <w:sz w:val="22"/>
                <w:szCs w:val="22"/>
              </w:rPr>
            </w:pPr>
            <w:r w:rsidRPr="00936FDB">
              <w:rPr>
                <w:sz w:val="22"/>
                <w:szCs w:val="22"/>
              </w:rPr>
              <w:t>23.5 (97.9%)</w:t>
            </w:r>
          </w:p>
        </w:tc>
      </w:tr>
      <w:tr w:rsidR="007E0ABC" w14:paraId="26DEEE19" w14:textId="77777777" w:rsidTr="00D75B62">
        <w:tc>
          <w:tcPr>
            <w:tcW w:w="990" w:type="dxa"/>
            <w:vMerge/>
            <w:vAlign w:val="center"/>
          </w:tcPr>
          <w:p w14:paraId="4112D1AE" w14:textId="77777777" w:rsidR="007E0ABC" w:rsidRPr="00FB6E08" w:rsidRDefault="007E0ABC" w:rsidP="00D75B62">
            <w:pPr>
              <w:jc w:val="center"/>
              <w:rPr>
                <w:rFonts w:ascii="Avenir Heavy" w:hAnsi="Avenir Heavy"/>
                <w:b/>
                <w:bCs/>
                <w:sz w:val="22"/>
                <w:szCs w:val="22"/>
              </w:rPr>
            </w:pPr>
          </w:p>
        </w:tc>
        <w:tc>
          <w:tcPr>
            <w:tcW w:w="1604" w:type="dxa"/>
            <w:vAlign w:val="center"/>
          </w:tcPr>
          <w:p w14:paraId="0A02CB98" w14:textId="77777777" w:rsidR="007E0ABC" w:rsidRPr="00936FDB" w:rsidRDefault="007E0ABC" w:rsidP="00D75B62">
            <w:pPr>
              <w:jc w:val="center"/>
              <w:rPr>
                <w:i/>
                <w:iCs/>
                <w:sz w:val="18"/>
                <w:szCs w:val="18"/>
              </w:rPr>
            </w:pPr>
            <w:r w:rsidRPr="00936FDB">
              <w:rPr>
                <w:i/>
                <w:iCs/>
                <w:sz w:val="18"/>
                <w:szCs w:val="18"/>
              </w:rPr>
              <w:t>Reaction time, mean (SD)</w:t>
            </w:r>
          </w:p>
        </w:tc>
        <w:tc>
          <w:tcPr>
            <w:tcW w:w="1604" w:type="dxa"/>
            <w:vAlign w:val="center"/>
          </w:tcPr>
          <w:p w14:paraId="28492F5B" w14:textId="77777777" w:rsidR="007E0ABC" w:rsidRPr="00936FDB" w:rsidRDefault="007E0ABC" w:rsidP="00D75B62">
            <w:pPr>
              <w:jc w:val="center"/>
              <w:rPr>
                <w:sz w:val="22"/>
                <w:szCs w:val="22"/>
              </w:rPr>
            </w:pPr>
            <w:r w:rsidRPr="00936FDB">
              <w:rPr>
                <w:sz w:val="22"/>
                <w:szCs w:val="22"/>
              </w:rPr>
              <w:t>713.4 (109.8)</w:t>
            </w:r>
          </w:p>
        </w:tc>
        <w:tc>
          <w:tcPr>
            <w:tcW w:w="1604" w:type="dxa"/>
            <w:vAlign w:val="center"/>
          </w:tcPr>
          <w:p w14:paraId="1AAA852F" w14:textId="77777777" w:rsidR="007E0ABC" w:rsidRPr="00936FDB" w:rsidRDefault="007E0ABC" w:rsidP="00D75B62">
            <w:pPr>
              <w:jc w:val="center"/>
              <w:rPr>
                <w:sz w:val="22"/>
                <w:szCs w:val="22"/>
              </w:rPr>
            </w:pPr>
            <w:r w:rsidRPr="00936FDB">
              <w:rPr>
                <w:sz w:val="22"/>
                <w:szCs w:val="22"/>
              </w:rPr>
              <w:t>726.9 (141.8)</w:t>
            </w:r>
          </w:p>
        </w:tc>
        <w:tc>
          <w:tcPr>
            <w:tcW w:w="1604" w:type="dxa"/>
            <w:vAlign w:val="center"/>
          </w:tcPr>
          <w:p w14:paraId="1AC42EB9" w14:textId="77777777" w:rsidR="007E0ABC" w:rsidRPr="00936FDB" w:rsidRDefault="007E0ABC" w:rsidP="00D75B62">
            <w:pPr>
              <w:jc w:val="center"/>
              <w:rPr>
                <w:sz w:val="22"/>
                <w:szCs w:val="22"/>
              </w:rPr>
            </w:pPr>
            <w:r w:rsidRPr="00936FDB">
              <w:rPr>
                <w:sz w:val="22"/>
                <w:szCs w:val="22"/>
              </w:rPr>
              <w:t>678.6 (163.4)</w:t>
            </w:r>
          </w:p>
        </w:tc>
        <w:tc>
          <w:tcPr>
            <w:tcW w:w="1604" w:type="dxa"/>
            <w:vAlign w:val="center"/>
          </w:tcPr>
          <w:p w14:paraId="73413018" w14:textId="77777777" w:rsidR="007E0ABC" w:rsidRPr="00936FDB" w:rsidRDefault="007E0ABC" w:rsidP="00D75B62">
            <w:pPr>
              <w:jc w:val="center"/>
              <w:rPr>
                <w:sz w:val="22"/>
                <w:szCs w:val="22"/>
              </w:rPr>
            </w:pPr>
            <w:r w:rsidRPr="00936FDB">
              <w:rPr>
                <w:sz w:val="22"/>
                <w:szCs w:val="22"/>
              </w:rPr>
              <w:t>712.1 (171.4)</w:t>
            </w:r>
          </w:p>
        </w:tc>
      </w:tr>
      <w:tr w:rsidR="007E0ABC" w14:paraId="2325AA73" w14:textId="77777777" w:rsidTr="00D75B62">
        <w:tc>
          <w:tcPr>
            <w:tcW w:w="990" w:type="dxa"/>
            <w:vMerge w:val="restart"/>
            <w:vAlign w:val="center"/>
          </w:tcPr>
          <w:p w14:paraId="516105C7" w14:textId="77777777" w:rsidR="007E0ABC" w:rsidRPr="00FB6E08" w:rsidRDefault="007E0ABC" w:rsidP="00D75B62">
            <w:pPr>
              <w:jc w:val="center"/>
              <w:rPr>
                <w:rFonts w:ascii="Avenir Heavy" w:hAnsi="Avenir Heavy"/>
                <w:b/>
                <w:bCs/>
                <w:sz w:val="22"/>
                <w:szCs w:val="22"/>
              </w:rPr>
            </w:pPr>
            <w:r w:rsidRPr="00FB6E08">
              <w:rPr>
                <w:rFonts w:ascii="Avenir Heavy" w:hAnsi="Avenir Heavy"/>
                <w:b/>
                <w:bCs/>
                <w:sz w:val="22"/>
                <w:szCs w:val="22"/>
              </w:rPr>
              <w:t>Control trials</w:t>
            </w:r>
          </w:p>
        </w:tc>
        <w:tc>
          <w:tcPr>
            <w:tcW w:w="1604" w:type="dxa"/>
            <w:shd w:val="clear" w:color="auto" w:fill="auto"/>
            <w:vAlign w:val="center"/>
          </w:tcPr>
          <w:p w14:paraId="12279530" w14:textId="77777777" w:rsidR="007E0ABC" w:rsidRPr="00936FDB" w:rsidRDefault="007E0ABC" w:rsidP="00D75B62">
            <w:pPr>
              <w:jc w:val="center"/>
              <w:rPr>
                <w:i/>
                <w:iCs/>
                <w:sz w:val="18"/>
                <w:szCs w:val="18"/>
              </w:rPr>
            </w:pPr>
            <w:r w:rsidRPr="00936FDB">
              <w:rPr>
                <w:i/>
                <w:iCs/>
                <w:sz w:val="18"/>
                <w:szCs w:val="18"/>
              </w:rPr>
              <w:t>Median accuracy, n (%) correct</w:t>
            </w:r>
          </w:p>
        </w:tc>
        <w:tc>
          <w:tcPr>
            <w:tcW w:w="1604" w:type="dxa"/>
            <w:shd w:val="clear" w:color="auto" w:fill="auto"/>
            <w:vAlign w:val="center"/>
          </w:tcPr>
          <w:p w14:paraId="13930983" w14:textId="77777777" w:rsidR="007E0ABC" w:rsidRPr="00936FDB" w:rsidRDefault="007E0ABC" w:rsidP="00D75B62">
            <w:pPr>
              <w:jc w:val="center"/>
              <w:rPr>
                <w:sz w:val="22"/>
                <w:szCs w:val="22"/>
              </w:rPr>
            </w:pPr>
            <w:r w:rsidRPr="00936FDB">
              <w:rPr>
                <w:sz w:val="22"/>
                <w:szCs w:val="22"/>
              </w:rPr>
              <w:t>12 (100%)</w:t>
            </w:r>
          </w:p>
        </w:tc>
        <w:tc>
          <w:tcPr>
            <w:tcW w:w="1604" w:type="dxa"/>
            <w:shd w:val="clear" w:color="auto" w:fill="auto"/>
            <w:vAlign w:val="center"/>
          </w:tcPr>
          <w:p w14:paraId="0AE0AD7A" w14:textId="77777777" w:rsidR="007E0ABC" w:rsidRPr="00936FDB" w:rsidRDefault="007E0ABC" w:rsidP="00D75B62">
            <w:pPr>
              <w:jc w:val="center"/>
              <w:rPr>
                <w:sz w:val="22"/>
                <w:szCs w:val="22"/>
              </w:rPr>
            </w:pPr>
            <w:r w:rsidRPr="00936FDB">
              <w:rPr>
                <w:sz w:val="22"/>
                <w:szCs w:val="22"/>
              </w:rPr>
              <w:t>12 (100%)</w:t>
            </w:r>
          </w:p>
        </w:tc>
        <w:tc>
          <w:tcPr>
            <w:tcW w:w="1604" w:type="dxa"/>
            <w:shd w:val="clear" w:color="auto" w:fill="auto"/>
            <w:vAlign w:val="center"/>
          </w:tcPr>
          <w:p w14:paraId="686BCE5A" w14:textId="77777777" w:rsidR="007E0ABC" w:rsidRPr="00936FDB" w:rsidRDefault="007E0ABC" w:rsidP="00D75B62">
            <w:pPr>
              <w:jc w:val="center"/>
              <w:rPr>
                <w:sz w:val="22"/>
                <w:szCs w:val="22"/>
              </w:rPr>
            </w:pPr>
            <w:r w:rsidRPr="00936FDB">
              <w:rPr>
                <w:sz w:val="22"/>
                <w:szCs w:val="22"/>
              </w:rPr>
              <w:t>12 (100%)</w:t>
            </w:r>
          </w:p>
        </w:tc>
        <w:tc>
          <w:tcPr>
            <w:tcW w:w="1604" w:type="dxa"/>
            <w:shd w:val="clear" w:color="auto" w:fill="auto"/>
            <w:vAlign w:val="center"/>
          </w:tcPr>
          <w:p w14:paraId="0AD832E8" w14:textId="77777777" w:rsidR="007E0ABC" w:rsidRPr="00936FDB" w:rsidRDefault="007E0ABC" w:rsidP="00D75B62">
            <w:pPr>
              <w:jc w:val="center"/>
              <w:rPr>
                <w:sz w:val="22"/>
                <w:szCs w:val="22"/>
              </w:rPr>
            </w:pPr>
            <w:r w:rsidRPr="00936FDB">
              <w:rPr>
                <w:sz w:val="22"/>
                <w:szCs w:val="22"/>
              </w:rPr>
              <w:t>12 (100%)</w:t>
            </w:r>
          </w:p>
        </w:tc>
      </w:tr>
      <w:tr w:rsidR="007E0ABC" w14:paraId="55AC82EB" w14:textId="77777777" w:rsidTr="00D75B62">
        <w:tc>
          <w:tcPr>
            <w:tcW w:w="990" w:type="dxa"/>
            <w:vMerge/>
            <w:vAlign w:val="center"/>
          </w:tcPr>
          <w:p w14:paraId="7708D225" w14:textId="77777777" w:rsidR="007E0ABC" w:rsidRDefault="007E0ABC" w:rsidP="00D75B62">
            <w:pPr>
              <w:jc w:val="center"/>
            </w:pPr>
          </w:p>
        </w:tc>
        <w:tc>
          <w:tcPr>
            <w:tcW w:w="1604" w:type="dxa"/>
            <w:vAlign w:val="center"/>
          </w:tcPr>
          <w:p w14:paraId="2872C383" w14:textId="77777777" w:rsidR="007E0ABC" w:rsidRPr="00AC4E25" w:rsidRDefault="007E0ABC" w:rsidP="00D75B62">
            <w:pPr>
              <w:jc w:val="center"/>
              <w:rPr>
                <w:i/>
                <w:iCs/>
                <w:sz w:val="18"/>
                <w:szCs w:val="18"/>
              </w:rPr>
            </w:pPr>
            <w:r w:rsidRPr="00AC4E25">
              <w:rPr>
                <w:i/>
                <w:iCs/>
                <w:sz w:val="18"/>
                <w:szCs w:val="18"/>
              </w:rPr>
              <w:t>Reaction time, mean (SD)</w:t>
            </w:r>
          </w:p>
        </w:tc>
        <w:tc>
          <w:tcPr>
            <w:tcW w:w="1604" w:type="dxa"/>
            <w:vAlign w:val="center"/>
          </w:tcPr>
          <w:p w14:paraId="55C34BFC" w14:textId="77777777" w:rsidR="007E0ABC" w:rsidRPr="00FB6E08" w:rsidRDefault="007E0ABC" w:rsidP="00D75B62">
            <w:pPr>
              <w:jc w:val="center"/>
              <w:rPr>
                <w:sz w:val="22"/>
                <w:szCs w:val="22"/>
              </w:rPr>
            </w:pPr>
            <w:r>
              <w:rPr>
                <w:sz w:val="22"/>
                <w:szCs w:val="22"/>
              </w:rPr>
              <w:t>696</w:t>
            </w:r>
            <w:r w:rsidRPr="00FB6E08">
              <w:rPr>
                <w:sz w:val="22"/>
                <w:szCs w:val="22"/>
              </w:rPr>
              <w:t>.</w:t>
            </w:r>
            <w:r>
              <w:rPr>
                <w:sz w:val="22"/>
                <w:szCs w:val="22"/>
              </w:rPr>
              <w:t>8</w:t>
            </w:r>
            <w:r w:rsidRPr="00FB6E08">
              <w:rPr>
                <w:sz w:val="22"/>
                <w:szCs w:val="22"/>
              </w:rPr>
              <w:t xml:space="preserve"> (</w:t>
            </w:r>
            <w:r>
              <w:rPr>
                <w:sz w:val="22"/>
                <w:szCs w:val="22"/>
              </w:rPr>
              <w:t>131.4</w:t>
            </w:r>
            <w:r w:rsidRPr="00FB6E08">
              <w:rPr>
                <w:sz w:val="22"/>
                <w:szCs w:val="22"/>
              </w:rPr>
              <w:t>)</w:t>
            </w:r>
          </w:p>
        </w:tc>
        <w:tc>
          <w:tcPr>
            <w:tcW w:w="1604" w:type="dxa"/>
            <w:vAlign w:val="center"/>
          </w:tcPr>
          <w:p w14:paraId="4046E2C1" w14:textId="77777777" w:rsidR="007E0ABC" w:rsidRPr="00FB6E08" w:rsidRDefault="007E0ABC" w:rsidP="00D75B62">
            <w:pPr>
              <w:jc w:val="center"/>
              <w:rPr>
                <w:sz w:val="22"/>
                <w:szCs w:val="22"/>
              </w:rPr>
            </w:pPr>
            <w:r>
              <w:rPr>
                <w:sz w:val="22"/>
                <w:szCs w:val="22"/>
              </w:rPr>
              <w:t>713.3 (119.0)</w:t>
            </w:r>
          </w:p>
        </w:tc>
        <w:tc>
          <w:tcPr>
            <w:tcW w:w="1604" w:type="dxa"/>
            <w:vAlign w:val="center"/>
          </w:tcPr>
          <w:p w14:paraId="7A75E8A4" w14:textId="77777777" w:rsidR="007E0ABC" w:rsidRPr="00FB6E08" w:rsidRDefault="007E0ABC" w:rsidP="00D75B62">
            <w:pPr>
              <w:jc w:val="center"/>
              <w:rPr>
                <w:sz w:val="22"/>
                <w:szCs w:val="22"/>
              </w:rPr>
            </w:pPr>
            <w:r>
              <w:rPr>
                <w:sz w:val="22"/>
                <w:szCs w:val="22"/>
              </w:rPr>
              <w:t>671</w:t>
            </w:r>
            <w:r w:rsidRPr="00FB6E08">
              <w:rPr>
                <w:sz w:val="22"/>
                <w:szCs w:val="22"/>
              </w:rPr>
              <w:t>.</w:t>
            </w:r>
            <w:r>
              <w:rPr>
                <w:sz w:val="22"/>
                <w:szCs w:val="22"/>
              </w:rPr>
              <w:t>5</w:t>
            </w:r>
            <w:r w:rsidRPr="00FB6E08">
              <w:rPr>
                <w:sz w:val="22"/>
                <w:szCs w:val="22"/>
              </w:rPr>
              <w:t xml:space="preserve"> (</w:t>
            </w:r>
            <w:r>
              <w:rPr>
                <w:sz w:val="22"/>
                <w:szCs w:val="22"/>
              </w:rPr>
              <w:t>16</w:t>
            </w:r>
            <w:r w:rsidRPr="00FB6E08">
              <w:rPr>
                <w:sz w:val="22"/>
                <w:szCs w:val="22"/>
              </w:rPr>
              <w:t>7.</w:t>
            </w:r>
            <w:r>
              <w:rPr>
                <w:sz w:val="22"/>
                <w:szCs w:val="22"/>
              </w:rPr>
              <w:t>3</w:t>
            </w:r>
            <w:r w:rsidRPr="00FB6E08">
              <w:rPr>
                <w:sz w:val="22"/>
                <w:szCs w:val="22"/>
              </w:rPr>
              <w:t>)</w:t>
            </w:r>
          </w:p>
        </w:tc>
        <w:tc>
          <w:tcPr>
            <w:tcW w:w="1604" w:type="dxa"/>
            <w:vAlign w:val="center"/>
          </w:tcPr>
          <w:p w14:paraId="186AD650" w14:textId="77777777" w:rsidR="007E0ABC" w:rsidRPr="00FB6E08" w:rsidRDefault="007E0ABC" w:rsidP="00D75B62">
            <w:pPr>
              <w:jc w:val="center"/>
              <w:rPr>
                <w:sz w:val="22"/>
                <w:szCs w:val="22"/>
              </w:rPr>
            </w:pPr>
            <w:r>
              <w:rPr>
                <w:sz w:val="22"/>
                <w:szCs w:val="22"/>
              </w:rPr>
              <w:t>682.0 (172.4)</w:t>
            </w:r>
          </w:p>
        </w:tc>
      </w:tr>
    </w:tbl>
    <w:p w14:paraId="562752A1" w14:textId="77777777" w:rsidR="007E0ABC" w:rsidRDefault="007E0ABC" w:rsidP="000B2985"/>
    <w:p w14:paraId="3D99BB7C" w14:textId="77777777" w:rsidR="007E0ABC" w:rsidRPr="003E72DA" w:rsidRDefault="007E0ABC" w:rsidP="000B2985">
      <w:pPr>
        <w:rPr>
          <w:rFonts w:eastAsia="Times New Roman" w:cs="Open Sans"/>
          <w:sz w:val="22"/>
          <w:szCs w:val="22"/>
          <w:lang w:eastAsia="en-GB"/>
        </w:rPr>
      </w:pPr>
      <w:r w:rsidRPr="003E72DA">
        <w:rPr>
          <w:rFonts w:eastAsia="Times New Roman" w:cs="Open Sans"/>
          <w:sz w:val="22"/>
          <w:szCs w:val="22"/>
          <w:lang w:eastAsia="en-GB"/>
        </w:rPr>
        <w:t xml:space="preserve">Table </w:t>
      </w:r>
      <w:r>
        <w:rPr>
          <w:rFonts w:eastAsia="Times New Roman" w:cs="Open Sans"/>
          <w:sz w:val="22"/>
          <w:szCs w:val="22"/>
          <w:lang w:eastAsia="en-GB"/>
        </w:rPr>
        <w:t>40b</w:t>
      </w:r>
      <w:r w:rsidRPr="003E72DA">
        <w:rPr>
          <w:rFonts w:eastAsia="Times New Roman" w:cs="Open Sans"/>
          <w:sz w:val="22"/>
          <w:szCs w:val="22"/>
          <w:lang w:eastAsia="en-GB"/>
        </w:rPr>
        <w:t>. T2 Accuracies and RTs of each condition in milliseconds</w:t>
      </w:r>
    </w:p>
    <w:p w14:paraId="4DBA6B73" w14:textId="77777777" w:rsidR="007E0ABC" w:rsidRDefault="007E0ABC" w:rsidP="000B2985"/>
    <w:tbl>
      <w:tblPr>
        <w:tblStyle w:val="TableGrid"/>
        <w:tblW w:w="0" w:type="auto"/>
        <w:jc w:val="center"/>
        <w:tblLook w:val="04A0" w:firstRow="1" w:lastRow="0" w:firstColumn="1" w:lastColumn="0" w:noHBand="0" w:noVBand="1"/>
      </w:tblPr>
      <w:tblGrid>
        <w:gridCol w:w="1689"/>
        <w:gridCol w:w="1141"/>
        <w:gridCol w:w="1560"/>
        <w:gridCol w:w="1559"/>
        <w:gridCol w:w="1559"/>
        <w:gridCol w:w="1502"/>
      </w:tblGrid>
      <w:tr w:rsidR="007E0ABC" w14:paraId="536EE239" w14:textId="77777777" w:rsidTr="00D75B62">
        <w:trPr>
          <w:trHeight w:val="572"/>
          <w:jc w:val="center"/>
        </w:trPr>
        <w:tc>
          <w:tcPr>
            <w:tcW w:w="1689" w:type="dxa"/>
            <w:vAlign w:val="center"/>
          </w:tcPr>
          <w:p w14:paraId="03B8E7BC" w14:textId="77777777" w:rsidR="007E0ABC" w:rsidRDefault="007E0ABC" w:rsidP="00D75B62">
            <w:pPr>
              <w:jc w:val="center"/>
            </w:pPr>
          </w:p>
        </w:tc>
        <w:tc>
          <w:tcPr>
            <w:tcW w:w="1141" w:type="dxa"/>
            <w:vAlign w:val="center"/>
          </w:tcPr>
          <w:p w14:paraId="679EB950" w14:textId="77777777" w:rsidR="007E0ABC" w:rsidRPr="00FB6E08" w:rsidRDefault="007E0ABC" w:rsidP="00D75B62">
            <w:pPr>
              <w:jc w:val="center"/>
              <w:rPr>
                <w:b/>
                <w:bCs/>
              </w:rPr>
            </w:pPr>
          </w:p>
        </w:tc>
        <w:tc>
          <w:tcPr>
            <w:tcW w:w="3119" w:type="dxa"/>
            <w:gridSpan w:val="2"/>
            <w:vAlign w:val="center"/>
          </w:tcPr>
          <w:p w14:paraId="4F381DBC" w14:textId="77777777" w:rsidR="007E0ABC" w:rsidRPr="00FB6E08" w:rsidRDefault="007E0ABC" w:rsidP="00D75B62">
            <w:pPr>
              <w:jc w:val="center"/>
              <w:rPr>
                <w:rFonts w:ascii="Avenir Heavy" w:hAnsi="Avenir Heavy"/>
                <w:b/>
                <w:bCs/>
              </w:rPr>
            </w:pPr>
            <w:r w:rsidRPr="00FB6E08">
              <w:rPr>
                <w:rFonts w:ascii="Avenir Heavy" w:hAnsi="Avenir Heavy"/>
                <w:b/>
                <w:bCs/>
              </w:rPr>
              <w:t>FNSD (n= 47)</w:t>
            </w:r>
          </w:p>
        </w:tc>
        <w:tc>
          <w:tcPr>
            <w:tcW w:w="3061" w:type="dxa"/>
            <w:gridSpan w:val="2"/>
            <w:vAlign w:val="center"/>
          </w:tcPr>
          <w:p w14:paraId="36D98FD0" w14:textId="77777777" w:rsidR="007E0ABC" w:rsidRPr="00FB6E08" w:rsidRDefault="007E0ABC" w:rsidP="00D75B62">
            <w:pPr>
              <w:jc w:val="center"/>
              <w:rPr>
                <w:rFonts w:ascii="Avenir Heavy" w:hAnsi="Avenir Heavy"/>
                <w:b/>
                <w:bCs/>
              </w:rPr>
            </w:pPr>
            <w:r w:rsidRPr="00FB6E08">
              <w:rPr>
                <w:rFonts w:ascii="Avenir Heavy" w:hAnsi="Avenir Heavy"/>
                <w:b/>
                <w:bCs/>
              </w:rPr>
              <w:t>HC (n=58)</w:t>
            </w:r>
          </w:p>
        </w:tc>
      </w:tr>
      <w:tr w:rsidR="007E0ABC" w14:paraId="5912659E" w14:textId="77777777" w:rsidTr="00D75B62">
        <w:trPr>
          <w:jc w:val="center"/>
        </w:trPr>
        <w:tc>
          <w:tcPr>
            <w:tcW w:w="1689" w:type="dxa"/>
            <w:vAlign w:val="center"/>
          </w:tcPr>
          <w:p w14:paraId="5FE97F5E" w14:textId="77777777" w:rsidR="007E0ABC" w:rsidRPr="00FB6E08" w:rsidRDefault="007E0ABC" w:rsidP="00D75B62">
            <w:pPr>
              <w:jc w:val="center"/>
              <w:rPr>
                <w:rFonts w:ascii="Avenir Heavy" w:hAnsi="Avenir Heavy"/>
                <w:b/>
                <w:bCs/>
              </w:rPr>
            </w:pPr>
          </w:p>
        </w:tc>
        <w:tc>
          <w:tcPr>
            <w:tcW w:w="1141" w:type="dxa"/>
            <w:vAlign w:val="center"/>
          </w:tcPr>
          <w:p w14:paraId="1BC8311C" w14:textId="77777777" w:rsidR="007E0ABC" w:rsidRDefault="007E0ABC" w:rsidP="00D75B62">
            <w:pPr>
              <w:jc w:val="center"/>
            </w:pPr>
          </w:p>
        </w:tc>
        <w:tc>
          <w:tcPr>
            <w:tcW w:w="1560" w:type="dxa"/>
            <w:vAlign w:val="center"/>
          </w:tcPr>
          <w:p w14:paraId="6A10D197"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Positive target in probe trials (PP and NP)</w:t>
            </w:r>
          </w:p>
        </w:tc>
        <w:tc>
          <w:tcPr>
            <w:tcW w:w="1559" w:type="dxa"/>
            <w:vAlign w:val="center"/>
          </w:tcPr>
          <w:p w14:paraId="22458691"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Negative target in probe trials (PN and NN)</w:t>
            </w:r>
          </w:p>
        </w:tc>
        <w:tc>
          <w:tcPr>
            <w:tcW w:w="1559" w:type="dxa"/>
            <w:vAlign w:val="center"/>
          </w:tcPr>
          <w:p w14:paraId="6048340D"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Positive target in probe trials (PP and NP)</w:t>
            </w:r>
          </w:p>
        </w:tc>
        <w:tc>
          <w:tcPr>
            <w:tcW w:w="1502" w:type="dxa"/>
            <w:vAlign w:val="center"/>
          </w:tcPr>
          <w:p w14:paraId="4D01CC96"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Negative target in probe trials (PN and NN)</w:t>
            </w:r>
          </w:p>
        </w:tc>
      </w:tr>
      <w:tr w:rsidR="007E0ABC" w14:paraId="3E13C4CB" w14:textId="77777777" w:rsidTr="00D75B62">
        <w:trPr>
          <w:jc w:val="center"/>
        </w:trPr>
        <w:tc>
          <w:tcPr>
            <w:tcW w:w="1689" w:type="dxa"/>
            <w:vMerge w:val="restart"/>
            <w:vAlign w:val="center"/>
          </w:tcPr>
          <w:p w14:paraId="31D1310C"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NAP trials</w:t>
            </w:r>
          </w:p>
          <w:p w14:paraId="41535A3F"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(Congruent distractor and target)</w:t>
            </w:r>
          </w:p>
        </w:tc>
        <w:tc>
          <w:tcPr>
            <w:tcW w:w="1141" w:type="dxa"/>
            <w:vAlign w:val="center"/>
          </w:tcPr>
          <w:p w14:paraId="35BA0844" w14:textId="77777777" w:rsidR="007E0ABC" w:rsidRPr="00AC4E25" w:rsidRDefault="007E0ABC" w:rsidP="00D75B62">
            <w:pPr>
              <w:jc w:val="center"/>
              <w:rPr>
                <w:i/>
                <w:iCs/>
                <w:sz w:val="18"/>
                <w:szCs w:val="18"/>
              </w:rPr>
            </w:pPr>
            <w:r>
              <w:rPr>
                <w:i/>
                <w:iCs/>
                <w:sz w:val="18"/>
                <w:szCs w:val="18"/>
              </w:rPr>
              <w:t>Median a</w:t>
            </w:r>
            <w:r w:rsidRPr="00AC4E25">
              <w:rPr>
                <w:i/>
                <w:iCs/>
                <w:sz w:val="18"/>
                <w:szCs w:val="18"/>
              </w:rPr>
              <w:t>ccuracy, n (%) correct</w:t>
            </w:r>
          </w:p>
        </w:tc>
        <w:tc>
          <w:tcPr>
            <w:tcW w:w="1560" w:type="dxa"/>
            <w:vAlign w:val="center"/>
          </w:tcPr>
          <w:p w14:paraId="3CDBE954" w14:textId="77777777" w:rsidR="007E0ABC" w:rsidRPr="003E72DA" w:rsidRDefault="007E0ABC" w:rsidP="00D75B62">
            <w:pPr>
              <w:jc w:val="center"/>
              <w:rPr>
                <w:sz w:val="22"/>
                <w:szCs w:val="22"/>
              </w:rPr>
            </w:pPr>
            <w:r w:rsidRPr="003E72DA">
              <w:rPr>
                <w:sz w:val="22"/>
                <w:szCs w:val="22"/>
              </w:rPr>
              <w:t>6 (100%)</w:t>
            </w:r>
          </w:p>
        </w:tc>
        <w:tc>
          <w:tcPr>
            <w:tcW w:w="1559" w:type="dxa"/>
            <w:vAlign w:val="center"/>
          </w:tcPr>
          <w:p w14:paraId="5B930013" w14:textId="77777777" w:rsidR="007E0ABC" w:rsidRPr="003E72DA" w:rsidRDefault="007E0ABC" w:rsidP="00D75B62">
            <w:pPr>
              <w:jc w:val="center"/>
              <w:rPr>
                <w:sz w:val="22"/>
                <w:szCs w:val="22"/>
              </w:rPr>
            </w:pPr>
            <w:r w:rsidRPr="003E72DA">
              <w:rPr>
                <w:sz w:val="22"/>
                <w:szCs w:val="22"/>
              </w:rPr>
              <w:t>6 (100%)</w:t>
            </w:r>
          </w:p>
        </w:tc>
        <w:tc>
          <w:tcPr>
            <w:tcW w:w="1559" w:type="dxa"/>
            <w:vAlign w:val="center"/>
          </w:tcPr>
          <w:p w14:paraId="3176BA76" w14:textId="77777777" w:rsidR="007E0ABC" w:rsidRPr="003E72DA" w:rsidRDefault="007E0ABC" w:rsidP="00D75B62">
            <w:pPr>
              <w:jc w:val="center"/>
              <w:rPr>
                <w:sz w:val="22"/>
                <w:szCs w:val="22"/>
              </w:rPr>
            </w:pPr>
            <w:r w:rsidRPr="003E72DA">
              <w:rPr>
                <w:sz w:val="22"/>
                <w:szCs w:val="22"/>
              </w:rPr>
              <w:t>6 (100%)</w:t>
            </w:r>
          </w:p>
        </w:tc>
        <w:tc>
          <w:tcPr>
            <w:tcW w:w="1502" w:type="dxa"/>
            <w:vAlign w:val="center"/>
          </w:tcPr>
          <w:p w14:paraId="32DC0760" w14:textId="77777777" w:rsidR="007E0ABC" w:rsidRPr="003E72DA" w:rsidRDefault="007E0ABC" w:rsidP="00D75B62">
            <w:pPr>
              <w:jc w:val="center"/>
              <w:rPr>
                <w:sz w:val="22"/>
                <w:szCs w:val="22"/>
              </w:rPr>
            </w:pPr>
            <w:r w:rsidRPr="003E72DA">
              <w:rPr>
                <w:sz w:val="22"/>
                <w:szCs w:val="22"/>
              </w:rPr>
              <w:t>6 (100%)</w:t>
            </w:r>
          </w:p>
        </w:tc>
      </w:tr>
      <w:tr w:rsidR="007E0ABC" w14:paraId="4A9A009E" w14:textId="77777777" w:rsidTr="00D75B62">
        <w:trPr>
          <w:jc w:val="center"/>
        </w:trPr>
        <w:tc>
          <w:tcPr>
            <w:tcW w:w="1689" w:type="dxa"/>
            <w:vMerge/>
            <w:vAlign w:val="center"/>
          </w:tcPr>
          <w:p w14:paraId="17716E33" w14:textId="77777777" w:rsidR="007E0ABC" w:rsidRPr="00FB6E08" w:rsidRDefault="007E0ABC" w:rsidP="00D75B62">
            <w:pPr>
              <w:jc w:val="center"/>
              <w:rPr>
                <w:rFonts w:ascii="Avenir Heavy" w:hAnsi="Avenir Heavy"/>
                <w:b/>
                <w:bCs/>
                <w:sz w:val="21"/>
                <w:szCs w:val="21"/>
              </w:rPr>
            </w:pPr>
          </w:p>
        </w:tc>
        <w:tc>
          <w:tcPr>
            <w:tcW w:w="1141" w:type="dxa"/>
            <w:vAlign w:val="center"/>
          </w:tcPr>
          <w:p w14:paraId="759D54D2" w14:textId="77777777" w:rsidR="007E0ABC" w:rsidRPr="00AC4E25" w:rsidRDefault="007E0ABC" w:rsidP="00D75B62">
            <w:pPr>
              <w:jc w:val="center"/>
              <w:rPr>
                <w:i/>
                <w:iCs/>
                <w:sz w:val="18"/>
                <w:szCs w:val="18"/>
              </w:rPr>
            </w:pPr>
            <w:r w:rsidRPr="00AC4E25">
              <w:rPr>
                <w:i/>
                <w:iCs/>
                <w:sz w:val="18"/>
                <w:szCs w:val="18"/>
              </w:rPr>
              <w:t>Reaction time, mean (SD)</w:t>
            </w:r>
          </w:p>
        </w:tc>
        <w:tc>
          <w:tcPr>
            <w:tcW w:w="1560" w:type="dxa"/>
            <w:vAlign w:val="center"/>
          </w:tcPr>
          <w:p w14:paraId="2FCBE245" w14:textId="77777777" w:rsidR="007E0ABC" w:rsidRPr="003E72DA" w:rsidRDefault="007E0ABC" w:rsidP="00D75B62">
            <w:pPr>
              <w:jc w:val="center"/>
              <w:rPr>
                <w:sz w:val="22"/>
                <w:szCs w:val="22"/>
              </w:rPr>
            </w:pPr>
            <w:r w:rsidRPr="003E72DA">
              <w:rPr>
                <w:sz w:val="22"/>
                <w:szCs w:val="22"/>
              </w:rPr>
              <w:t>733.8 (111.6)</w:t>
            </w:r>
          </w:p>
        </w:tc>
        <w:tc>
          <w:tcPr>
            <w:tcW w:w="1559" w:type="dxa"/>
            <w:vAlign w:val="center"/>
          </w:tcPr>
          <w:p w14:paraId="3BB42CC9" w14:textId="77777777" w:rsidR="007E0ABC" w:rsidRPr="003E72DA" w:rsidRDefault="007E0ABC" w:rsidP="00D75B62">
            <w:pPr>
              <w:jc w:val="center"/>
              <w:rPr>
                <w:sz w:val="22"/>
                <w:szCs w:val="22"/>
              </w:rPr>
            </w:pPr>
            <w:r w:rsidRPr="003E72DA">
              <w:rPr>
                <w:sz w:val="22"/>
                <w:szCs w:val="22"/>
              </w:rPr>
              <w:t>728.7 (132.4)</w:t>
            </w:r>
          </w:p>
        </w:tc>
        <w:tc>
          <w:tcPr>
            <w:tcW w:w="1559" w:type="dxa"/>
            <w:vAlign w:val="center"/>
          </w:tcPr>
          <w:p w14:paraId="0A26EBF2" w14:textId="77777777" w:rsidR="007E0ABC" w:rsidRPr="003E72DA" w:rsidRDefault="007E0ABC" w:rsidP="00D75B62">
            <w:pPr>
              <w:jc w:val="center"/>
              <w:rPr>
                <w:sz w:val="22"/>
                <w:szCs w:val="22"/>
              </w:rPr>
            </w:pPr>
            <w:r w:rsidRPr="003E72DA">
              <w:rPr>
                <w:sz w:val="22"/>
                <w:szCs w:val="22"/>
              </w:rPr>
              <w:t>761.0 (174.8)</w:t>
            </w:r>
          </w:p>
        </w:tc>
        <w:tc>
          <w:tcPr>
            <w:tcW w:w="1502" w:type="dxa"/>
            <w:vAlign w:val="center"/>
          </w:tcPr>
          <w:p w14:paraId="12365CFD" w14:textId="77777777" w:rsidR="007E0ABC" w:rsidRPr="003E72DA" w:rsidRDefault="007E0ABC" w:rsidP="00D75B62">
            <w:pPr>
              <w:jc w:val="center"/>
              <w:rPr>
                <w:sz w:val="22"/>
                <w:szCs w:val="22"/>
              </w:rPr>
            </w:pPr>
            <w:r w:rsidRPr="003E72DA">
              <w:rPr>
                <w:sz w:val="22"/>
                <w:szCs w:val="22"/>
              </w:rPr>
              <w:t>795/4 (172.4)</w:t>
            </w:r>
          </w:p>
        </w:tc>
      </w:tr>
      <w:tr w:rsidR="007E0ABC" w14:paraId="0E061B7F" w14:textId="77777777" w:rsidTr="00D75B62">
        <w:trPr>
          <w:jc w:val="center"/>
        </w:trPr>
        <w:tc>
          <w:tcPr>
            <w:tcW w:w="1689" w:type="dxa"/>
            <w:vMerge w:val="restart"/>
            <w:vAlign w:val="center"/>
          </w:tcPr>
          <w:p w14:paraId="11169BC5"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t>Control trials</w:t>
            </w:r>
          </w:p>
          <w:p w14:paraId="2B629D66" w14:textId="77777777" w:rsidR="007E0ABC" w:rsidRPr="00FB6E08" w:rsidRDefault="007E0ABC" w:rsidP="00D75B62">
            <w:pPr>
              <w:jc w:val="center"/>
              <w:rPr>
                <w:rFonts w:ascii="Avenir Heavy" w:hAnsi="Avenir Heavy"/>
                <w:b/>
                <w:bCs/>
                <w:sz w:val="21"/>
                <w:szCs w:val="21"/>
              </w:rPr>
            </w:pPr>
            <w:r w:rsidRPr="00FB6E08">
              <w:rPr>
                <w:rFonts w:ascii="Avenir Heavy" w:hAnsi="Avenir Heavy"/>
                <w:b/>
                <w:bCs/>
                <w:sz w:val="21"/>
                <w:szCs w:val="21"/>
              </w:rPr>
              <w:lastRenderedPageBreak/>
              <w:t>(Incongruent distractor and target)</w:t>
            </w:r>
          </w:p>
        </w:tc>
        <w:tc>
          <w:tcPr>
            <w:tcW w:w="1141" w:type="dxa"/>
            <w:vAlign w:val="center"/>
          </w:tcPr>
          <w:p w14:paraId="013D1AD0" w14:textId="77777777" w:rsidR="007E0ABC" w:rsidRPr="00AC4E25" w:rsidRDefault="007E0ABC" w:rsidP="00D75B62">
            <w:pPr>
              <w:jc w:val="center"/>
              <w:rPr>
                <w:i/>
                <w:iCs/>
                <w:sz w:val="18"/>
                <w:szCs w:val="18"/>
              </w:rPr>
            </w:pPr>
            <w:r>
              <w:rPr>
                <w:i/>
                <w:iCs/>
                <w:sz w:val="18"/>
                <w:szCs w:val="18"/>
              </w:rPr>
              <w:lastRenderedPageBreak/>
              <w:t>Median a</w:t>
            </w:r>
            <w:r w:rsidRPr="00AC4E25">
              <w:rPr>
                <w:i/>
                <w:iCs/>
                <w:sz w:val="18"/>
                <w:szCs w:val="18"/>
              </w:rPr>
              <w:t>ccuracy, n (%) correct</w:t>
            </w:r>
          </w:p>
        </w:tc>
        <w:tc>
          <w:tcPr>
            <w:tcW w:w="1560" w:type="dxa"/>
            <w:vAlign w:val="center"/>
          </w:tcPr>
          <w:p w14:paraId="203A5F5A" w14:textId="77777777" w:rsidR="007E0ABC" w:rsidRPr="003E72DA" w:rsidRDefault="007E0ABC" w:rsidP="00D75B62">
            <w:pPr>
              <w:jc w:val="center"/>
              <w:rPr>
                <w:sz w:val="22"/>
                <w:szCs w:val="22"/>
              </w:rPr>
            </w:pPr>
            <w:r w:rsidRPr="003E72DA">
              <w:rPr>
                <w:sz w:val="22"/>
                <w:szCs w:val="22"/>
              </w:rPr>
              <w:t>6 (100%)</w:t>
            </w:r>
          </w:p>
        </w:tc>
        <w:tc>
          <w:tcPr>
            <w:tcW w:w="1559" w:type="dxa"/>
            <w:vAlign w:val="center"/>
          </w:tcPr>
          <w:p w14:paraId="7A68C59A" w14:textId="77777777" w:rsidR="007E0ABC" w:rsidRPr="003E72DA" w:rsidRDefault="007E0ABC" w:rsidP="00D75B62">
            <w:pPr>
              <w:jc w:val="center"/>
              <w:rPr>
                <w:sz w:val="22"/>
                <w:szCs w:val="22"/>
              </w:rPr>
            </w:pPr>
            <w:r w:rsidRPr="003E72DA">
              <w:rPr>
                <w:sz w:val="22"/>
                <w:szCs w:val="22"/>
              </w:rPr>
              <w:t>6 (100%)</w:t>
            </w:r>
          </w:p>
        </w:tc>
        <w:tc>
          <w:tcPr>
            <w:tcW w:w="1559" w:type="dxa"/>
            <w:vAlign w:val="center"/>
          </w:tcPr>
          <w:p w14:paraId="20719C59" w14:textId="77777777" w:rsidR="007E0ABC" w:rsidRPr="003E72DA" w:rsidRDefault="007E0ABC" w:rsidP="00D75B62">
            <w:pPr>
              <w:jc w:val="center"/>
              <w:rPr>
                <w:sz w:val="22"/>
                <w:szCs w:val="22"/>
              </w:rPr>
            </w:pPr>
            <w:r w:rsidRPr="003E72DA">
              <w:rPr>
                <w:sz w:val="22"/>
                <w:szCs w:val="22"/>
              </w:rPr>
              <w:t>6 (100%)</w:t>
            </w:r>
          </w:p>
        </w:tc>
        <w:tc>
          <w:tcPr>
            <w:tcW w:w="1502" w:type="dxa"/>
            <w:vAlign w:val="center"/>
          </w:tcPr>
          <w:p w14:paraId="4187B3B6" w14:textId="77777777" w:rsidR="007E0ABC" w:rsidRPr="003E72DA" w:rsidRDefault="007E0ABC" w:rsidP="00D75B62">
            <w:pPr>
              <w:jc w:val="center"/>
              <w:rPr>
                <w:sz w:val="22"/>
                <w:szCs w:val="22"/>
              </w:rPr>
            </w:pPr>
            <w:r w:rsidRPr="003E72DA">
              <w:rPr>
                <w:sz w:val="22"/>
                <w:szCs w:val="22"/>
              </w:rPr>
              <w:t>6 (100%)</w:t>
            </w:r>
          </w:p>
        </w:tc>
      </w:tr>
      <w:tr w:rsidR="007E0ABC" w14:paraId="4198A145" w14:textId="77777777" w:rsidTr="00D75B62">
        <w:trPr>
          <w:jc w:val="center"/>
        </w:trPr>
        <w:tc>
          <w:tcPr>
            <w:tcW w:w="1689" w:type="dxa"/>
            <w:vMerge/>
            <w:vAlign w:val="center"/>
          </w:tcPr>
          <w:p w14:paraId="1B598A77" w14:textId="77777777" w:rsidR="007E0ABC" w:rsidRDefault="007E0ABC" w:rsidP="00D75B62">
            <w:pPr>
              <w:jc w:val="center"/>
            </w:pPr>
          </w:p>
        </w:tc>
        <w:tc>
          <w:tcPr>
            <w:tcW w:w="1141" w:type="dxa"/>
            <w:vAlign w:val="center"/>
          </w:tcPr>
          <w:p w14:paraId="5521BAF7" w14:textId="77777777" w:rsidR="007E0ABC" w:rsidRPr="00AC4E25" w:rsidRDefault="007E0ABC" w:rsidP="00D75B62">
            <w:pPr>
              <w:jc w:val="center"/>
              <w:rPr>
                <w:i/>
                <w:iCs/>
                <w:sz w:val="18"/>
                <w:szCs w:val="18"/>
              </w:rPr>
            </w:pPr>
            <w:r w:rsidRPr="00AC4E25">
              <w:rPr>
                <w:i/>
                <w:iCs/>
                <w:sz w:val="18"/>
                <w:szCs w:val="18"/>
              </w:rPr>
              <w:t>Reaction time, mean (SD)</w:t>
            </w:r>
          </w:p>
        </w:tc>
        <w:tc>
          <w:tcPr>
            <w:tcW w:w="1560" w:type="dxa"/>
            <w:vAlign w:val="center"/>
          </w:tcPr>
          <w:p w14:paraId="0A0E775E" w14:textId="77777777" w:rsidR="007E0ABC" w:rsidRPr="003E72DA" w:rsidRDefault="007E0ABC" w:rsidP="00D75B62">
            <w:pPr>
              <w:jc w:val="center"/>
              <w:rPr>
                <w:sz w:val="22"/>
                <w:szCs w:val="22"/>
              </w:rPr>
            </w:pPr>
            <w:r w:rsidRPr="003E72DA">
              <w:rPr>
                <w:sz w:val="22"/>
                <w:szCs w:val="22"/>
              </w:rPr>
              <w:t>702.4 (125.2)</w:t>
            </w:r>
          </w:p>
        </w:tc>
        <w:tc>
          <w:tcPr>
            <w:tcW w:w="1559" w:type="dxa"/>
            <w:vAlign w:val="center"/>
          </w:tcPr>
          <w:p w14:paraId="6805F842" w14:textId="77777777" w:rsidR="007E0ABC" w:rsidRPr="003E72DA" w:rsidRDefault="007E0ABC" w:rsidP="00D75B62">
            <w:pPr>
              <w:jc w:val="center"/>
              <w:rPr>
                <w:sz w:val="22"/>
                <w:szCs w:val="22"/>
              </w:rPr>
            </w:pPr>
            <w:r w:rsidRPr="003E72DA">
              <w:rPr>
                <w:sz w:val="22"/>
                <w:szCs w:val="22"/>
              </w:rPr>
              <w:t>756.5 (147.2)</w:t>
            </w:r>
          </w:p>
        </w:tc>
        <w:tc>
          <w:tcPr>
            <w:tcW w:w="1559" w:type="dxa"/>
            <w:vAlign w:val="center"/>
          </w:tcPr>
          <w:p w14:paraId="4811F523" w14:textId="77777777" w:rsidR="007E0ABC" w:rsidRPr="003E72DA" w:rsidRDefault="007E0ABC" w:rsidP="00D75B62">
            <w:pPr>
              <w:jc w:val="center"/>
              <w:rPr>
                <w:sz w:val="22"/>
                <w:szCs w:val="22"/>
              </w:rPr>
            </w:pPr>
            <w:r w:rsidRPr="003E72DA">
              <w:rPr>
                <w:sz w:val="22"/>
                <w:szCs w:val="22"/>
              </w:rPr>
              <w:t>689.2 (181.3)</w:t>
            </w:r>
          </w:p>
        </w:tc>
        <w:tc>
          <w:tcPr>
            <w:tcW w:w="1502" w:type="dxa"/>
            <w:vAlign w:val="center"/>
          </w:tcPr>
          <w:p w14:paraId="73F60E89" w14:textId="77777777" w:rsidR="007E0ABC" w:rsidRPr="003E72DA" w:rsidRDefault="007E0ABC" w:rsidP="00D75B62">
            <w:pPr>
              <w:jc w:val="center"/>
              <w:rPr>
                <w:sz w:val="22"/>
                <w:szCs w:val="22"/>
              </w:rPr>
            </w:pPr>
            <w:r w:rsidRPr="003E72DA">
              <w:rPr>
                <w:sz w:val="22"/>
                <w:szCs w:val="22"/>
              </w:rPr>
              <w:t>692.9 (161.9)</w:t>
            </w:r>
          </w:p>
        </w:tc>
      </w:tr>
    </w:tbl>
    <w:p w14:paraId="176FA584" w14:textId="77777777" w:rsidR="007E0ABC" w:rsidRDefault="007E0ABC" w:rsidP="000B2985"/>
    <w:p w14:paraId="312D7D70" w14:textId="77777777" w:rsidR="007E0ABC" w:rsidRDefault="007E0ABC">
      <w:pPr>
        <w:rPr>
          <w:szCs w:val="20"/>
        </w:rPr>
      </w:pPr>
      <w:r>
        <w:rPr>
          <w:szCs w:val="20"/>
        </w:rPr>
        <w:br w:type="page"/>
      </w:r>
    </w:p>
    <w:p w14:paraId="39320C47" w14:textId="77777777" w:rsidR="007E0ABC" w:rsidRDefault="007E0ABC" w:rsidP="003040B6">
      <w:pPr>
        <w:pStyle w:val="Subtitle"/>
        <w:spacing w:after="0"/>
        <w:jc w:val="center"/>
        <w:rPr>
          <w:rFonts w:ascii="Avenir Book" w:hAnsi="Avenir Book"/>
          <w:i/>
          <w:iCs/>
          <w:sz w:val="28"/>
          <w:szCs w:val="28"/>
        </w:rPr>
        <w:sectPr w:rsidR="007E0ABC" w:rsidSect="00F22D64">
          <w:pgSz w:w="11900" w:h="16840"/>
          <w:pgMar w:top="1440" w:right="1440" w:bottom="1440" w:left="1440" w:header="708" w:footer="708" w:gutter="0"/>
          <w:cols w:space="708"/>
          <w:titlePg/>
          <w:docGrid w:linePitch="360"/>
        </w:sectPr>
      </w:pPr>
    </w:p>
    <w:p w14:paraId="500DCA6C" w14:textId="77777777" w:rsidR="007E0ABC" w:rsidRDefault="007E0ABC" w:rsidP="003040B6">
      <w:pPr>
        <w:pStyle w:val="Subtitle"/>
        <w:spacing w:after="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F</w:t>
      </w:r>
      <w:r w:rsidRPr="00C260F1">
        <w:rPr>
          <w:rFonts w:ascii="Avenir Book" w:hAnsi="Avenir Book"/>
          <w:iCs/>
          <w:sz w:val="28"/>
          <w:szCs w:val="28"/>
        </w:rPr>
        <w:t xml:space="preserve"> – </w:t>
      </w:r>
      <w:r w:rsidRPr="000B2985">
        <w:rPr>
          <w:rFonts w:ascii="Avenir Book" w:hAnsi="Avenir Book"/>
          <w:iCs/>
          <w:sz w:val="28"/>
          <w:szCs w:val="28"/>
        </w:rPr>
        <w:t>Affective Cognition Supplementary Data</w:t>
      </w:r>
    </w:p>
    <w:p w14:paraId="00D3CE03" w14:textId="77777777" w:rsidR="00461043" w:rsidRDefault="00461043" w:rsidP="002A2819">
      <w:pPr>
        <w:pStyle w:val="ListParagraph"/>
        <w:jc w:val="center"/>
      </w:pPr>
    </w:p>
    <w:p w14:paraId="02690F45" w14:textId="7C05AD3C" w:rsidR="007E0ABC" w:rsidRPr="008C7785" w:rsidRDefault="007E0ABC" w:rsidP="002A2819">
      <w:pPr>
        <w:pStyle w:val="ListParagraph"/>
        <w:jc w:val="center"/>
      </w:pPr>
      <w:r>
        <w:t>Table 41 - Correlation Matrix – FNSD</w:t>
      </w:r>
    </w:p>
    <w:tbl>
      <w:tblPr>
        <w:tblStyle w:val="TableGridLight"/>
        <w:tblpPr w:leftFromText="180" w:rightFromText="180" w:vertAnchor="page" w:horzAnchor="margin" w:tblpXSpec="center" w:tblpY="2121"/>
        <w:tblW w:w="5298" w:type="pct"/>
        <w:tblLayout w:type="fixed"/>
        <w:tblLook w:val="04A0" w:firstRow="1" w:lastRow="0" w:firstColumn="1" w:lastColumn="0" w:noHBand="0" w:noVBand="1"/>
      </w:tblPr>
      <w:tblGrid>
        <w:gridCol w:w="770"/>
        <w:gridCol w:w="541"/>
        <w:gridCol w:w="413"/>
        <w:gridCol w:w="413"/>
        <w:gridCol w:w="413"/>
        <w:gridCol w:w="412"/>
        <w:gridCol w:w="417"/>
        <w:gridCol w:w="413"/>
        <w:gridCol w:w="412"/>
        <w:gridCol w:w="412"/>
        <w:gridCol w:w="412"/>
        <w:gridCol w:w="412"/>
        <w:gridCol w:w="412"/>
        <w:gridCol w:w="412"/>
        <w:gridCol w:w="412"/>
        <w:gridCol w:w="412"/>
        <w:gridCol w:w="412"/>
        <w:gridCol w:w="412"/>
        <w:gridCol w:w="412"/>
        <w:gridCol w:w="412"/>
        <w:gridCol w:w="412"/>
        <w:gridCol w:w="399"/>
      </w:tblGrid>
      <w:tr w:rsidR="007E0ABC" w:rsidRPr="008C7785" w14:paraId="23217CA0" w14:textId="77777777" w:rsidTr="008D4BC9">
        <w:trPr>
          <w:trHeight w:val="699"/>
        </w:trPr>
        <w:tc>
          <w:tcPr>
            <w:tcW w:w="403" w:type="pct"/>
            <w:noWrap/>
            <w:vAlign w:val="center"/>
            <w:hideMark/>
          </w:tcPr>
          <w:p w14:paraId="137B729B" w14:textId="77777777" w:rsidR="007E0ABC" w:rsidRPr="008C7785" w:rsidRDefault="007E0ABC" w:rsidP="008D4BC9">
            <w:pPr>
              <w:contextualSpacing/>
              <w:jc w:val="center"/>
              <w:rPr>
                <w:rFonts w:ascii="Times New Roman" w:eastAsia="Times New Roman" w:hAnsi="Times New Roman" w:cs="Times New Roman"/>
                <w:b/>
                <w:bCs/>
                <w:sz w:val="13"/>
                <w:szCs w:val="13"/>
                <w:lang w:eastAsia="en-GB"/>
              </w:rPr>
            </w:pPr>
          </w:p>
        </w:tc>
        <w:tc>
          <w:tcPr>
            <w:tcW w:w="283" w:type="pct"/>
            <w:noWrap/>
            <w:vAlign w:val="center"/>
            <w:hideMark/>
          </w:tcPr>
          <w:p w14:paraId="01E8620E"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Gender</w:t>
            </w:r>
          </w:p>
        </w:tc>
        <w:tc>
          <w:tcPr>
            <w:tcW w:w="216" w:type="pct"/>
            <w:noWrap/>
            <w:vAlign w:val="center"/>
            <w:hideMark/>
          </w:tcPr>
          <w:p w14:paraId="4B0670FA"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SES</w:t>
            </w:r>
          </w:p>
        </w:tc>
        <w:tc>
          <w:tcPr>
            <w:tcW w:w="216" w:type="pct"/>
            <w:noWrap/>
            <w:vAlign w:val="center"/>
            <w:hideMark/>
          </w:tcPr>
          <w:p w14:paraId="51290202"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DERS</w:t>
            </w:r>
          </w:p>
        </w:tc>
        <w:tc>
          <w:tcPr>
            <w:tcW w:w="216" w:type="pct"/>
            <w:noWrap/>
            <w:vAlign w:val="center"/>
            <w:hideMark/>
          </w:tcPr>
          <w:p w14:paraId="2D3EF9BE"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GAD7</w:t>
            </w:r>
          </w:p>
        </w:tc>
        <w:tc>
          <w:tcPr>
            <w:tcW w:w="215" w:type="pct"/>
            <w:noWrap/>
            <w:vAlign w:val="center"/>
            <w:hideMark/>
          </w:tcPr>
          <w:p w14:paraId="63FFC0E4"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PHQ9</w:t>
            </w:r>
          </w:p>
        </w:tc>
        <w:tc>
          <w:tcPr>
            <w:tcW w:w="218" w:type="pct"/>
            <w:noWrap/>
            <w:vAlign w:val="center"/>
            <w:hideMark/>
          </w:tcPr>
          <w:p w14:paraId="6597E6FB"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PHQ</w:t>
            </w:r>
          </w:p>
          <w:p w14:paraId="0F852A91"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-15</w:t>
            </w:r>
          </w:p>
        </w:tc>
        <w:tc>
          <w:tcPr>
            <w:tcW w:w="216" w:type="pct"/>
            <w:noWrap/>
            <w:vAlign w:val="center"/>
            <w:hideMark/>
          </w:tcPr>
          <w:p w14:paraId="02BEA810"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EASE-F</w:t>
            </w:r>
          </w:p>
        </w:tc>
        <w:tc>
          <w:tcPr>
            <w:tcW w:w="216" w:type="pct"/>
            <w:noWrap/>
            <w:vAlign w:val="center"/>
            <w:hideMark/>
          </w:tcPr>
          <w:p w14:paraId="674227CE"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EQ</w:t>
            </w:r>
          </w:p>
          <w:p w14:paraId="6FFDFA4E"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utility</w:t>
            </w:r>
          </w:p>
        </w:tc>
        <w:tc>
          <w:tcPr>
            <w:tcW w:w="216" w:type="pct"/>
            <w:noWrap/>
            <w:vAlign w:val="center"/>
            <w:hideMark/>
          </w:tcPr>
          <w:p w14:paraId="7D786576"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 xml:space="preserve">MZ </w:t>
            </w:r>
            <w:proofErr w:type="spellStart"/>
            <w:r w:rsidRPr="008C7785">
              <w:rPr>
                <w:rFonts w:ascii="Helvetica" w:eastAsia="Times New Roman" w:hAnsi="Helvetica" w:cs="Calibri"/>
                <w:b/>
                <w:bCs/>
                <w:color w:val="333333"/>
                <w:sz w:val="13"/>
                <w:szCs w:val="13"/>
                <w:lang w:eastAsia="en-GB"/>
              </w:rPr>
              <w:t>Anx</w:t>
            </w:r>
            <w:proofErr w:type="spellEnd"/>
            <w:r w:rsidRPr="008C7785">
              <w:rPr>
                <w:rFonts w:ascii="Helvetica" w:eastAsia="Times New Roman" w:hAnsi="Helvetica" w:cs="Calibri"/>
                <w:b/>
                <w:bCs/>
                <w:color w:val="333333"/>
                <w:sz w:val="13"/>
                <w:szCs w:val="13"/>
                <w:lang w:eastAsia="en-GB"/>
              </w:rPr>
              <w:t>.</w:t>
            </w:r>
          </w:p>
        </w:tc>
        <w:tc>
          <w:tcPr>
            <w:tcW w:w="216" w:type="pct"/>
            <w:noWrap/>
            <w:vAlign w:val="center"/>
            <w:hideMark/>
          </w:tcPr>
          <w:p w14:paraId="0ED96C10"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w:t>
            </w:r>
          </w:p>
          <w:p w14:paraId="46134F98"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proofErr w:type="spellStart"/>
            <w:r w:rsidRPr="008C7785">
              <w:rPr>
                <w:rFonts w:ascii="Helvetica" w:eastAsia="Times New Roman" w:hAnsi="Helvetica" w:cs="Calibri"/>
                <w:b/>
                <w:bCs/>
                <w:color w:val="333333"/>
                <w:sz w:val="13"/>
                <w:szCs w:val="13"/>
                <w:lang w:eastAsia="en-GB"/>
              </w:rPr>
              <w:t>Elat</w:t>
            </w:r>
            <w:proofErr w:type="spellEnd"/>
            <w:r w:rsidRPr="008C7785">
              <w:rPr>
                <w:rFonts w:ascii="Helvetica" w:eastAsia="Times New Roman" w:hAnsi="Helvetica" w:cs="Calibri"/>
                <w:b/>
                <w:bCs/>
                <w:color w:val="333333"/>
                <w:sz w:val="13"/>
                <w:szCs w:val="13"/>
                <w:lang w:eastAsia="en-GB"/>
              </w:rPr>
              <w:t>.</w:t>
            </w:r>
          </w:p>
        </w:tc>
        <w:tc>
          <w:tcPr>
            <w:tcW w:w="216" w:type="pct"/>
            <w:noWrap/>
            <w:vAlign w:val="center"/>
            <w:hideMark/>
          </w:tcPr>
          <w:p w14:paraId="6DE15362"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w:t>
            </w:r>
          </w:p>
          <w:p w14:paraId="7848B648"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Sad</w:t>
            </w:r>
          </w:p>
        </w:tc>
        <w:tc>
          <w:tcPr>
            <w:tcW w:w="216" w:type="pct"/>
            <w:noWrap/>
            <w:vAlign w:val="center"/>
            <w:hideMark/>
          </w:tcPr>
          <w:p w14:paraId="1885E6B6"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w:t>
            </w:r>
          </w:p>
          <w:p w14:paraId="63F0A603"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proofErr w:type="spellStart"/>
            <w:r w:rsidRPr="008C7785">
              <w:rPr>
                <w:rFonts w:ascii="Helvetica" w:eastAsia="Times New Roman" w:hAnsi="Helvetica" w:cs="Calibri"/>
                <w:b/>
                <w:bCs/>
                <w:color w:val="333333"/>
                <w:sz w:val="13"/>
                <w:szCs w:val="13"/>
                <w:lang w:eastAsia="en-GB"/>
              </w:rPr>
              <w:t>Angr</w:t>
            </w:r>
            <w:proofErr w:type="spellEnd"/>
            <w:r w:rsidRPr="008C7785">
              <w:rPr>
                <w:rFonts w:ascii="Helvetica" w:eastAsia="Times New Roman" w:hAnsi="Helvetica" w:cs="Calibri"/>
                <w:b/>
                <w:bCs/>
                <w:color w:val="333333"/>
                <w:sz w:val="13"/>
                <w:szCs w:val="13"/>
                <w:lang w:eastAsia="en-GB"/>
              </w:rPr>
              <w:t>.</w:t>
            </w:r>
          </w:p>
        </w:tc>
        <w:tc>
          <w:tcPr>
            <w:tcW w:w="216" w:type="pct"/>
            <w:noWrap/>
            <w:vAlign w:val="center"/>
            <w:hideMark/>
          </w:tcPr>
          <w:p w14:paraId="221DAF63"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w:t>
            </w:r>
          </w:p>
          <w:p w14:paraId="67DE2AD3"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proofErr w:type="spellStart"/>
            <w:r w:rsidRPr="008C7785">
              <w:rPr>
                <w:rFonts w:ascii="Helvetica" w:eastAsia="Times New Roman" w:hAnsi="Helvetica" w:cs="Calibri"/>
                <w:b/>
                <w:bCs/>
                <w:color w:val="333333"/>
                <w:sz w:val="13"/>
                <w:szCs w:val="13"/>
                <w:lang w:eastAsia="en-GB"/>
              </w:rPr>
              <w:t>Irrit</w:t>
            </w:r>
            <w:proofErr w:type="spellEnd"/>
            <w:r w:rsidRPr="008C7785">
              <w:rPr>
                <w:rFonts w:ascii="Helvetica" w:eastAsia="Times New Roman" w:hAnsi="Helvetica" w:cs="Calibri"/>
                <w:b/>
                <w:bCs/>
                <w:color w:val="333333"/>
                <w:sz w:val="13"/>
                <w:szCs w:val="13"/>
                <w:lang w:eastAsia="en-GB"/>
              </w:rPr>
              <w:t>.</w:t>
            </w:r>
          </w:p>
        </w:tc>
        <w:tc>
          <w:tcPr>
            <w:tcW w:w="216" w:type="pct"/>
            <w:noWrap/>
            <w:vAlign w:val="center"/>
            <w:hideMark/>
          </w:tcPr>
          <w:p w14:paraId="511DD3E4"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w:t>
            </w:r>
          </w:p>
          <w:p w14:paraId="0056B99C"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Ener.</w:t>
            </w:r>
          </w:p>
        </w:tc>
        <w:tc>
          <w:tcPr>
            <w:tcW w:w="216" w:type="pct"/>
            <w:noWrap/>
            <w:vAlign w:val="center"/>
            <w:hideMark/>
          </w:tcPr>
          <w:p w14:paraId="1A1B38BE"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w:t>
            </w:r>
            <w:proofErr w:type="spellStart"/>
            <w:r w:rsidRPr="008C7785">
              <w:rPr>
                <w:rFonts w:ascii="Helvetica" w:eastAsia="Times New Roman" w:hAnsi="Helvetica" w:cs="Calibri"/>
                <w:b/>
                <w:bCs/>
                <w:color w:val="333333"/>
                <w:sz w:val="13"/>
                <w:szCs w:val="13"/>
                <w:lang w:eastAsia="en-GB"/>
              </w:rPr>
              <w:t>ve</w:t>
            </w:r>
            <w:proofErr w:type="spellEnd"/>
            <w:r w:rsidRPr="008C7785">
              <w:rPr>
                <w:rFonts w:ascii="Helvetica" w:eastAsia="Times New Roman" w:hAnsi="Helvetica" w:cs="Calibri"/>
                <w:b/>
                <w:bCs/>
                <w:color w:val="333333"/>
                <w:sz w:val="13"/>
                <w:szCs w:val="13"/>
                <w:lang w:eastAsia="en-GB"/>
              </w:rPr>
              <w:t xml:space="preserve"> NAP Index</w:t>
            </w:r>
          </w:p>
        </w:tc>
        <w:tc>
          <w:tcPr>
            <w:tcW w:w="216" w:type="pct"/>
            <w:noWrap/>
            <w:vAlign w:val="center"/>
            <w:hideMark/>
          </w:tcPr>
          <w:p w14:paraId="215C84CD"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w:t>
            </w:r>
            <w:proofErr w:type="spellStart"/>
            <w:r w:rsidRPr="008C7785">
              <w:rPr>
                <w:rFonts w:ascii="Helvetica" w:eastAsia="Times New Roman" w:hAnsi="Helvetica" w:cs="Calibri"/>
                <w:b/>
                <w:bCs/>
                <w:color w:val="333333"/>
                <w:sz w:val="13"/>
                <w:szCs w:val="13"/>
                <w:lang w:eastAsia="en-GB"/>
              </w:rPr>
              <w:t>ve</w:t>
            </w:r>
            <w:proofErr w:type="spellEnd"/>
            <w:r w:rsidRPr="008C7785">
              <w:rPr>
                <w:rFonts w:ascii="Helvetica" w:eastAsia="Times New Roman" w:hAnsi="Helvetica" w:cs="Calibri"/>
                <w:b/>
                <w:bCs/>
                <w:color w:val="333333"/>
                <w:sz w:val="13"/>
                <w:szCs w:val="13"/>
                <w:lang w:eastAsia="en-GB"/>
              </w:rPr>
              <w:t xml:space="preserve"> NAP Index</w:t>
            </w:r>
          </w:p>
        </w:tc>
        <w:tc>
          <w:tcPr>
            <w:tcW w:w="216" w:type="pct"/>
            <w:noWrap/>
            <w:vAlign w:val="center"/>
            <w:hideMark/>
          </w:tcPr>
          <w:p w14:paraId="755F8205"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w:t>
            </w:r>
            <w:proofErr w:type="spellStart"/>
            <w:r w:rsidRPr="008C7785">
              <w:rPr>
                <w:rFonts w:ascii="Helvetica" w:eastAsia="Times New Roman" w:hAnsi="Helvetica" w:cs="Calibri"/>
                <w:b/>
                <w:bCs/>
                <w:color w:val="333333"/>
                <w:sz w:val="13"/>
                <w:szCs w:val="13"/>
                <w:lang w:eastAsia="en-GB"/>
              </w:rPr>
              <w:t>ve</w:t>
            </w:r>
            <w:proofErr w:type="spellEnd"/>
            <w:r w:rsidRPr="008C7785">
              <w:rPr>
                <w:rFonts w:ascii="Helvetica" w:eastAsia="Times New Roman" w:hAnsi="Helvetica" w:cs="Calibri"/>
                <w:b/>
                <w:bCs/>
                <w:color w:val="333333"/>
                <w:sz w:val="13"/>
                <w:szCs w:val="13"/>
                <w:lang w:eastAsia="en-GB"/>
              </w:rPr>
              <w:t xml:space="preserve"> INT Index</w:t>
            </w:r>
          </w:p>
        </w:tc>
        <w:tc>
          <w:tcPr>
            <w:tcW w:w="216" w:type="pct"/>
            <w:noWrap/>
            <w:vAlign w:val="center"/>
            <w:hideMark/>
          </w:tcPr>
          <w:p w14:paraId="6C0BEC28"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w:t>
            </w:r>
            <w:proofErr w:type="spellStart"/>
            <w:r w:rsidRPr="008C7785">
              <w:rPr>
                <w:rFonts w:ascii="Helvetica" w:eastAsia="Times New Roman" w:hAnsi="Helvetica" w:cs="Calibri"/>
                <w:b/>
                <w:bCs/>
                <w:color w:val="333333"/>
                <w:sz w:val="13"/>
                <w:szCs w:val="13"/>
                <w:lang w:eastAsia="en-GB"/>
              </w:rPr>
              <w:t>ve</w:t>
            </w:r>
            <w:proofErr w:type="spellEnd"/>
            <w:r w:rsidRPr="008C7785">
              <w:rPr>
                <w:rFonts w:ascii="Helvetica" w:eastAsia="Times New Roman" w:hAnsi="Helvetica" w:cs="Calibri"/>
                <w:b/>
                <w:bCs/>
                <w:color w:val="333333"/>
                <w:sz w:val="13"/>
                <w:szCs w:val="13"/>
                <w:lang w:eastAsia="en-GB"/>
              </w:rPr>
              <w:t xml:space="preserve"> </w:t>
            </w:r>
          </w:p>
          <w:p w14:paraId="206F9B91"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INT Index</w:t>
            </w:r>
          </w:p>
        </w:tc>
        <w:tc>
          <w:tcPr>
            <w:tcW w:w="216" w:type="pct"/>
            <w:noWrap/>
            <w:vAlign w:val="center"/>
            <w:hideMark/>
          </w:tcPr>
          <w:p w14:paraId="74AFC5D7"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Overall k</w:t>
            </w:r>
          </w:p>
        </w:tc>
        <w:tc>
          <w:tcPr>
            <w:tcW w:w="216" w:type="pct"/>
            <w:noWrap/>
            <w:vAlign w:val="center"/>
            <w:hideMark/>
          </w:tcPr>
          <w:p w14:paraId="1645C3D7"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Small k</w:t>
            </w:r>
          </w:p>
        </w:tc>
        <w:tc>
          <w:tcPr>
            <w:tcW w:w="209" w:type="pct"/>
            <w:noWrap/>
            <w:vAlign w:val="center"/>
            <w:hideMark/>
          </w:tcPr>
          <w:p w14:paraId="0D76D6F7"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Medium k</w:t>
            </w:r>
          </w:p>
        </w:tc>
      </w:tr>
      <w:tr w:rsidR="007E0ABC" w:rsidRPr="008C7785" w14:paraId="78839256" w14:textId="77777777" w:rsidTr="008D4BC9">
        <w:trPr>
          <w:trHeight w:val="283"/>
        </w:trPr>
        <w:tc>
          <w:tcPr>
            <w:tcW w:w="403" w:type="pct"/>
            <w:noWrap/>
            <w:vAlign w:val="center"/>
            <w:hideMark/>
          </w:tcPr>
          <w:p w14:paraId="56B6D71F"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SES</w:t>
            </w:r>
          </w:p>
        </w:tc>
        <w:tc>
          <w:tcPr>
            <w:tcW w:w="283" w:type="pct"/>
            <w:noWrap/>
            <w:vAlign w:val="center"/>
            <w:hideMark/>
          </w:tcPr>
          <w:p w14:paraId="3F67A7A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-0.33*</w:t>
            </w:r>
          </w:p>
        </w:tc>
        <w:tc>
          <w:tcPr>
            <w:tcW w:w="216" w:type="pct"/>
            <w:noWrap/>
            <w:vAlign w:val="center"/>
            <w:hideMark/>
          </w:tcPr>
          <w:p w14:paraId="0697F1B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0E209B8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13FA42D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5" w:type="pct"/>
            <w:noWrap/>
            <w:vAlign w:val="center"/>
            <w:hideMark/>
          </w:tcPr>
          <w:p w14:paraId="02E1D9B7"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8" w:type="pct"/>
            <w:noWrap/>
            <w:vAlign w:val="center"/>
            <w:hideMark/>
          </w:tcPr>
          <w:p w14:paraId="2D6A052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75410B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F13319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E63907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CAA91D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6AA49D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DE06BD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595042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0CDDE5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4D72E4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E166979"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CD93C7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4F0B40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1388AB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12DDA67"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37209868"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64C48F9D" w14:textId="77777777" w:rsidTr="008D4BC9">
        <w:trPr>
          <w:trHeight w:val="283"/>
        </w:trPr>
        <w:tc>
          <w:tcPr>
            <w:tcW w:w="403" w:type="pct"/>
            <w:noWrap/>
            <w:vAlign w:val="center"/>
            <w:hideMark/>
          </w:tcPr>
          <w:p w14:paraId="6A91F529"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DERS</w:t>
            </w:r>
          </w:p>
        </w:tc>
        <w:tc>
          <w:tcPr>
            <w:tcW w:w="283" w:type="pct"/>
            <w:noWrap/>
            <w:vAlign w:val="center"/>
            <w:hideMark/>
          </w:tcPr>
          <w:p w14:paraId="7C7712E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0.24</w:t>
            </w:r>
          </w:p>
        </w:tc>
        <w:tc>
          <w:tcPr>
            <w:tcW w:w="216" w:type="pct"/>
            <w:noWrap/>
            <w:vAlign w:val="center"/>
            <w:hideMark/>
          </w:tcPr>
          <w:p w14:paraId="7F1D7FD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-0.44***</w:t>
            </w:r>
          </w:p>
        </w:tc>
        <w:tc>
          <w:tcPr>
            <w:tcW w:w="216" w:type="pct"/>
            <w:noWrap/>
            <w:vAlign w:val="center"/>
            <w:hideMark/>
          </w:tcPr>
          <w:p w14:paraId="29BF07A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20950E0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5" w:type="pct"/>
            <w:noWrap/>
            <w:vAlign w:val="center"/>
            <w:hideMark/>
          </w:tcPr>
          <w:p w14:paraId="1146CD4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8" w:type="pct"/>
            <w:noWrap/>
            <w:vAlign w:val="center"/>
            <w:hideMark/>
          </w:tcPr>
          <w:p w14:paraId="643EB86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534E816"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9B8755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479C91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F25672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8F41D09"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80ACD7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17A31D7"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7D6E17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995773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60A532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5254D38"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3104AD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312F5D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96EF32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70721CB7"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788E5FDB" w14:textId="77777777" w:rsidTr="008D4BC9">
        <w:trPr>
          <w:trHeight w:val="283"/>
        </w:trPr>
        <w:tc>
          <w:tcPr>
            <w:tcW w:w="403" w:type="pct"/>
            <w:noWrap/>
            <w:vAlign w:val="center"/>
            <w:hideMark/>
          </w:tcPr>
          <w:p w14:paraId="63C6730B"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GAD7</w:t>
            </w:r>
          </w:p>
        </w:tc>
        <w:tc>
          <w:tcPr>
            <w:tcW w:w="283" w:type="pct"/>
            <w:noWrap/>
            <w:vAlign w:val="center"/>
            <w:hideMark/>
          </w:tcPr>
          <w:p w14:paraId="4F38543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3F04DA4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-0.37 **</w:t>
            </w:r>
          </w:p>
        </w:tc>
        <w:tc>
          <w:tcPr>
            <w:tcW w:w="216" w:type="pct"/>
            <w:noWrap/>
            <w:vAlign w:val="center"/>
            <w:hideMark/>
          </w:tcPr>
          <w:p w14:paraId="3836335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0.72</w:t>
            </w:r>
          </w:p>
          <w:p w14:paraId="125BE21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69FCD47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5" w:type="pct"/>
            <w:noWrap/>
            <w:vAlign w:val="center"/>
            <w:hideMark/>
          </w:tcPr>
          <w:p w14:paraId="236F796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8" w:type="pct"/>
            <w:noWrap/>
            <w:vAlign w:val="center"/>
            <w:hideMark/>
          </w:tcPr>
          <w:p w14:paraId="06902EC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45FF03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F8E8ED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B09F44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7ECB6B6"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F2A2E1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0364D17"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E38626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4246E6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4AC1C7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9CDD4B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866E44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E5113B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76D76A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D6D6FC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5A653AD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50A1C7F6" w14:textId="77777777" w:rsidTr="008D4BC9">
        <w:trPr>
          <w:trHeight w:val="283"/>
        </w:trPr>
        <w:tc>
          <w:tcPr>
            <w:tcW w:w="403" w:type="pct"/>
            <w:noWrap/>
            <w:vAlign w:val="center"/>
            <w:hideMark/>
          </w:tcPr>
          <w:p w14:paraId="09003F09"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PHQ9</w:t>
            </w:r>
          </w:p>
        </w:tc>
        <w:tc>
          <w:tcPr>
            <w:tcW w:w="283" w:type="pct"/>
            <w:noWrap/>
            <w:vAlign w:val="center"/>
            <w:hideMark/>
          </w:tcPr>
          <w:p w14:paraId="697EF41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6" w:type="pct"/>
            <w:noWrap/>
            <w:vAlign w:val="center"/>
            <w:hideMark/>
          </w:tcPr>
          <w:p w14:paraId="4666FC8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-0.34 **</w:t>
            </w:r>
          </w:p>
        </w:tc>
        <w:tc>
          <w:tcPr>
            <w:tcW w:w="216" w:type="pct"/>
            <w:noWrap/>
            <w:vAlign w:val="center"/>
            <w:hideMark/>
          </w:tcPr>
          <w:p w14:paraId="77F3CA7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0.78</w:t>
            </w:r>
          </w:p>
          <w:p w14:paraId="5EAC4E1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33CAE3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0.7***</w:t>
            </w:r>
          </w:p>
        </w:tc>
        <w:tc>
          <w:tcPr>
            <w:tcW w:w="215" w:type="pct"/>
            <w:noWrap/>
            <w:vAlign w:val="center"/>
            <w:hideMark/>
          </w:tcPr>
          <w:p w14:paraId="19F3152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8" w:type="pct"/>
            <w:noWrap/>
            <w:vAlign w:val="center"/>
            <w:hideMark/>
          </w:tcPr>
          <w:p w14:paraId="1D7EFEA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2BFB970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DDD728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380A65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97997F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8C8BCF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805694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2A5A39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780971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B303327"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327400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3D1073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50FAB2A"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5265BB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B98BC0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3D71C51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0098BE58" w14:textId="77777777" w:rsidTr="008D4BC9">
        <w:trPr>
          <w:trHeight w:val="283"/>
        </w:trPr>
        <w:tc>
          <w:tcPr>
            <w:tcW w:w="403" w:type="pct"/>
            <w:noWrap/>
            <w:vAlign w:val="center"/>
            <w:hideMark/>
          </w:tcPr>
          <w:p w14:paraId="6980F757"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PHQ15</w:t>
            </w:r>
          </w:p>
        </w:tc>
        <w:tc>
          <w:tcPr>
            <w:tcW w:w="283" w:type="pct"/>
            <w:noWrap/>
            <w:vAlign w:val="center"/>
            <w:hideMark/>
          </w:tcPr>
          <w:p w14:paraId="139DAFA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0.16</w:t>
            </w:r>
          </w:p>
        </w:tc>
        <w:tc>
          <w:tcPr>
            <w:tcW w:w="216" w:type="pct"/>
            <w:noWrap/>
            <w:vAlign w:val="center"/>
            <w:hideMark/>
          </w:tcPr>
          <w:p w14:paraId="23696F5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-0.37 **</w:t>
            </w:r>
          </w:p>
        </w:tc>
        <w:tc>
          <w:tcPr>
            <w:tcW w:w="216" w:type="pct"/>
            <w:noWrap/>
            <w:vAlign w:val="center"/>
            <w:hideMark/>
          </w:tcPr>
          <w:p w14:paraId="1EE1413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0.51</w:t>
            </w:r>
          </w:p>
          <w:p w14:paraId="4290727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A8406A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0.43 ***</w:t>
            </w:r>
          </w:p>
        </w:tc>
        <w:tc>
          <w:tcPr>
            <w:tcW w:w="215" w:type="pct"/>
            <w:noWrap/>
            <w:vAlign w:val="center"/>
            <w:hideMark/>
          </w:tcPr>
          <w:p w14:paraId="75FF790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0.59* **</w:t>
            </w:r>
          </w:p>
        </w:tc>
        <w:tc>
          <w:tcPr>
            <w:tcW w:w="218" w:type="pct"/>
            <w:noWrap/>
            <w:vAlign w:val="center"/>
            <w:hideMark/>
          </w:tcPr>
          <w:p w14:paraId="64D2C4E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04D8B72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08F6EF7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44E819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2CDC53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B13762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4A9296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8A585A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105CEB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6D7CA9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F83348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7840C9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FE4EBD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C38FE1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17951F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46492EE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367FF225" w14:textId="77777777" w:rsidTr="008D4BC9">
        <w:trPr>
          <w:trHeight w:val="283"/>
        </w:trPr>
        <w:tc>
          <w:tcPr>
            <w:tcW w:w="403" w:type="pct"/>
            <w:noWrap/>
            <w:vAlign w:val="center"/>
            <w:hideMark/>
          </w:tcPr>
          <w:p w14:paraId="7ECADD74"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EASEF</w:t>
            </w:r>
          </w:p>
        </w:tc>
        <w:tc>
          <w:tcPr>
            <w:tcW w:w="283" w:type="pct"/>
            <w:noWrap/>
            <w:vAlign w:val="center"/>
            <w:hideMark/>
          </w:tcPr>
          <w:p w14:paraId="479EA0C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-0.27*</w:t>
            </w:r>
          </w:p>
        </w:tc>
        <w:tc>
          <w:tcPr>
            <w:tcW w:w="216" w:type="pct"/>
            <w:noWrap/>
            <w:vAlign w:val="center"/>
            <w:hideMark/>
          </w:tcPr>
          <w:p w14:paraId="2B8ADE6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0.54</w:t>
            </w:r>
          </w:p>
          <w:p w14:paraId="0983667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0FEDAE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-0.58</w:t>
            </w:r>
          </w:p>
          <w:p w14:paraId="1C2039B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B53EA7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-0.51 ***</w:t>
            </w:r>
          </w:p>
        </w:tc>
        <w:tc>
          <w:tcPr>
            <w:tcW w:w="215" w:type="pct"/>
            <w:noWrap/>
            <w:vAlign w:val="center"/>
            <w:hideMark/>
          </w:tcPr>
          <w:p w14:paraId="7D57ADA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-0.44</w:t>
            </w:r>
          </w:p>
          <w:p w14:paraId="27ADBD4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8" w:type="pct"/>
            <w:noWrap/>
            <w:vAlign w:val="center"/>
            <w:hideMark/>
          </w:tcPr>
          <w:p w14:paraId="4F423B8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-0.33*</w:t>
            </w:r>
          </w:p>
        </w:tc>
        <w:tc>
          <w:tcPr>
            <w:tcW w:w="216" w:type="pct"/>
            <w:noWrap/>
            <w:vAlign w:val="center"/>
            <w:hideMark/>
          </w:tcPr>
          <w:p w14:paraId="3AF1BC5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66D37F2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5AC2707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062130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D81909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E94096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038AE1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97ACEAA"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7573FB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9339E1A"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C4530B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56BFF67"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B32017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86EED0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6288D5D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2A2419C2" w14:textId="77777777" w:rsidTr="008D4BC9">
        <w:trPr>
          <w:trHeight w:val="283"/>
        </w:trPr>
        <w:tc>
          <w:tcPr>
            <w:tcW w:w="403" w:type="pct"/>
            <w:noWrap/>
            <w:vAlign w:val="center"/>
            <w:hideMark/>
          </w:tcPr>
          <w:p w14:paraId="65793DE5"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EQ Utility</w:t>
            </w:r>
          </w:p>
        </w:tc>
        <w:tc>
          <w:tcPr>
            <w:tcW w:w="283" w:type="pct"/>
            <w:noWrap/>
            <w:vAlign w:val="center"/>
            <w:hideMark/>
          </w:tcPr>
          <w:p w14:paraId="77486CD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-0.17</w:t>
            </w:r>
          </w:p>
        </w:tc>
        <w:tc>
          <w:tcPr>
            <w:tcW w:w="216" w:type="pct"/>
            <w:noWrap/>
            <w:vAlign w:val="center"/>
            <w:hideMark/>
          </w:tcPr>
          <w:p w14:paraId="3083FDC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0.47</w:t>
            </w:r>
          </w:p>
          <w:p w14:paraId="52AB590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283B2B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-0.48</w:t>
            </w:r>
          </w:p>
          <w:p w14:paraId="616D024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2DFC72A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-0.46</w:t>
            </w:r>
          </w:p>
          <w:p w14:paraId="48C7078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5" w:type="pct"/>
            <w:noWrap/>
            <w:vAlign w:val="center"/>
            <w:hideMark/>
          </w:tcPr>
          <w:p w14:paraId="1678628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-0.58</w:t>
            </w:r>
          </w:p>
          <w:p w14:paraId="23683CB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8" w:type="pct"/>
            <w:noWrap/>
            <w:vAlign w:val="center"/>
            <w:hideMark/>
          </w:tcPr>
          <w:p w14:paraId="70ED2AD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-0.75</w:t>
            </w:r>
          </w:p>
          <w:p w14:paraId="559254F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69D1C11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0.37**</w:t>
            </w:r>
          </w:p>
        </w:tc>
        <w:tc>
          <w:tcPr>
            <w:tcW w:w="216" w:type="pct"/>
            <w:noWrap/>
            <w:vAlign w:val="center"/>
            <w:hideMark/>
          </w:tcPr>
          <w:p w14:paraId="2EE8C4B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2CFF0B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6E52212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FCDAC8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05FAFA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1E24487"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06BC4F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170DE8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2149E0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BFE78F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C724A3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796985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7602D4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7FB6FD6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74A4E1C3" w14:textId="77777777" w:rsidTr="008D4BC9">
        <w:trPr>
          <w:trHeight w:val="283"/>
        </w:trPr>
        <w:tc>
          <w:tcPr>
            <w:tcW w:w="403" w:type="pct"/>
            <w:noWrap/>
            <w:vAlign w:val="center"/>
            <w:hideMark/>
          </w:tcPr>
          <w:p w14:paraId="45FCE9F0"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 - Anxious</w:t>
            </w:r>
          </w:p>
        </w:tc>
        <w:tc>
          <w:tcPr>
            <w:tcW w:w="283" w:type="pct"/>
            <w:noWrap/>
            <w:vAlign w:val="center"/>
            <w:hideMark/>
          </w:tcPr>
          <w:p w14:paraId="12A77A7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0.08</w:t>
            </w:r>
          </w:p>
        </w:tc>
        <w:tc>
          <w:tcPr>
            <w:tcW w:w="216" w:type="pct"/>
            <w:noWrap/>
            <w:vAlign w:val="center"/>
            <w:hideMark/>
          </w:tcPr>
          <w:p w14:paraId="3E11549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6" w:type="pct"/>
            <w:noWrap/>
            <w:vAlign w:val="center"/>
            <w:hideMark/>
          </w:tcPr>
          <w:p w14:paraId="39E6CAE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0.46</w:t>
            </w:r>
          </w:p>
          <w:p w14:paraId="66037DB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2EFA1E2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0.61</w:t>
            </w:r>
          </w:p>
          <w:p w14:paraId="4C64C8F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5" w:type="pct"/>
            <w:noWrap/>
            <w:vAlign w:val="center"/>
            <w:hideMark/>
          </w:tcPr>
          <w:p w14:paraId="517E880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0.43</w:t>
            </w:r>
          </w:p>
          <w:p w14:paraId="7E35DF7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8" w:type="pct"/>
            <w:noWrap/>
            <w:vAlign w:val="center"/>
            <w:hideMark/>
          </w:tcPr>
          <w:p w14:paraId="73C9DCE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0.28*</w:t>
            </w:r>
          </w:p>
        </w:tc>
        <w:tc>
          <w:tcPr>
            <w:tcW w:w="216" w:type="pct"/>
            <w:noWrap/>
            <w:vAlign w:val="center"/>
            <w:hideMark/>
          </w:tcPr>
          <w:p w14:paraId="222C3E4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-0.43</w:t>
            </w:r>
          </w:p>
          <w:p w14:paraId="165E9BE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468F28B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-0.34 **</w:t>
            </w:r>
          </w:p>
        </w:tc>
        <w:tc>
          <w:tcPr>
            <w:tcW w:w="216" w:type="pct"/>
            <w:noWrap/>
            <w:vAlign w:val="center"/>
            <w:hideMark/>
          </w:tcPr>
          <w:p w14:paraId="7D1A82E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7D1C79C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4878F1C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2DF5BF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DD71CC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078755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83A12B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6EC282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CCE4DA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186749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E34563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8DB879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78EE9A5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4110B64A" w14:textId="77777777" w:rsidTr="008D4BC9">
        <w:trPr>
          <w:trHeight w:val="283"/>
        </w:trPr>
        <w:tc>
          <w:tcPr>
            <w:tcW w:w="403" w:type="pct"/>
            <w:noWrap/>
            <w:vAlign w:val="center"/>
            <w:hideMark/>
          </w:tcPr>
          <w:p w14:paraId="7475D8F8"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 - Elated</w:t>
            </w:r>
          </w:p>
        </w:tc>
        <w:tc>
          <w:tcPr>
            <w:tcW w:w="283" w:type="pct"/>
            <w:noWrap/>
            <w:vAlign w:val="center"/>
            <w:hideMark/>
          </w:tcPr>
          <w:p w14:paraId="681187E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-0.18</w:t>
            </w:r>
          </w:p>
        </w:tc>
        <w:tc>
          <w:tcPr>
            <w:tcW w:w="216" w:type="pct"/>
            <w:noWrap/>
            <w:vAlign w:val="center"/>
            <w:hideMark/>
          </w:tcPr>
          <w:p w14:paraId="03983CE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0.32*</w:t>
            </w:r>
          </w:p>
        </w:tc>
        <w:tc>
          <w:tcPr>
            <w:tcW w:w="216" w:type="pct"/>
            <w:noWrap/>
            <w:vAlign w:val="center"/>
            <w:hideMark/>
          </w:tcPr>
          <w:p w14:paraId="02645CE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-0.33 **</w:t>
            </w:r>
          </w:p>
        </w:tc>
        <w:tc>
          <w:tcPr>
            <w:tcW w:w="216" w:type="pct"/>
            <w:noWrap/>
            <w:vAlign w:val="center"/>
            <w:hideMark/>
          </w:tcPr>
          <w:p w14:paraId="5F4CE99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-0.29</w:t>
            </w:r>
          </w:p>
        </w:tc>
        <w:tc>
          <w:tcPr>
            <w:tcW w:w="215" w:type="pct"/>
            <w:noWrap/>
            <w:vAlign w:val="center"/>
            <w:hideMark/>
          </w:tcPr>
          <w:p w14:paraId="24AA911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w:t>
            </w:r>
          </w:p>
        </w:tc>
        <w:tc>
          <w:tcPr>
            <w:tcW w:w="218" w:type="pct"/>
            <w:noWrap/>
            <w:vAlign w:val="center"/>
            <w:hideMark/>
          </w:tcPr>
          <w:p w14:paraId="3E8BF4A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-0.32*</w:t>
            </w:r>
          </w:p>
        </w:tc>
        <w:tc>
          <w:tcPr>
            <w:tcW w:w="216" w:type="pct"/>
            <w:noWrap/>
            <w:vAlign w:val="center"/>
            <w:hideMark/>
          </w:tcPr>
          <w:p w14:paraId="1A36268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0.62 ***</w:t>
            </w:r>
          </w:p>
        </w:tc>
        <w:tc>
          <w:tcPr>
            <w:tcW w:w="216" w:type="pct"/>
            <w:noWrap/>
            <w:vAlign w:val="center"/>
            <w:hideMark/>
          </w:tcPr>
          <w:p w14:paraId="2A6FE94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0.31*</w:t>
            </w:r>
          </w:p>
        </w:tc>
        <w:tc>
          <w:tcPr>
            <w:tcW w:w="216" w:type="pct"/>
            <w:noWrap/>
            <w:vAlign w:val="center"/>
            <w:hideMark/>
          </w:tcPr>
          <w:p w14:paraId="2255D88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-0.25</w:t>
            </w:r>
          </w:p>
        </w:tc>
        <w:tc>
          <w:tcPr>
            <w:tcW w:w="216" w:type="pct"/>
            <w:noWrap/>
            <w:vAlign w:val="center"/>
            <w:hideMark/>
          </w:tcPr>
          <w:p w14:paraId="5261B88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09F0A69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7034251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B7F66E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19A8DE6"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14260F6"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A8E7DE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780152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7B7D398"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23D315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099D06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77DBA9D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6D2B0D55" w14:textId="77777777" w:rsidTr="008D4BC9">
        <w:trPr>
          <w:trHeight w:val="283"/>
        </w:trPr>
        <w:tc>
          <w:tcPr>
            <w:tcW w:w="403" w:type="pct"/>
            <w:noWrap/>
            <w:vAlign w:val="center"/>
            <w:hideMark/>
          </w:tcPr>
          <w:p w14:paraId="392E0C7A"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 - Sad</w:t>
            </w:r>
          </w:p>
        </w:tc>
        <w:tc>
          <w:tcPr>
            <w:tcW w:w="283" w:type="pct"/>
            <w:noWrap/>
            <w:vAlign w:val="center"/>
            <w:hideMark/>
          </w:tcPr>
          <w:p w14:paraId="36A164C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6" w:type="pct"/>
            <w:noWrap/>
            <w:vAlign w:val="center"/>
            <w:hideMark/>
          </w:tcPr>
          <w:p w14:paraId="68A3486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-0.08</w:t>
            </w:r>
          </w:p>
        </w:tc>
        <w:tc>
          <w:tcPr>
            <w:tcW w:w="216" w:type="pct"/>
            <w:noWrap/>
            <w:vAlign w:val="center"/>
            <w:hideMark/>
          </w:tcPr>
          <w:p w14:paraId="5B1DA72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0.49 ***</w:t>
            </w:r>
          </w:p>
        </w:tc>
        <w:tc>
          <w:tcPr>
            <w:tcW w:w="216" w:type="pct"/>
            <w:noWrap/>
            <w:vAlign w:val="center"/>
            <w:hideMark/>
          </w:tcPr>
          <w:p w14:paraId="1BA185A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0.41**</w:t>
            </w:r>
          </w:p>
        </w:tc>
        <w:tc>
          <w:tcPr>
            <w:tcW w:w="215" w:type="pct"/>
            <w:noWrap/>
            <w:vAlign w:val="center"/>
            <w:hideMark/>
          </w:tcPr>
          <w:p w14:paraId="1E919B1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0.45</w:t>
            </w:r>
          </w:p>
          <w:p w14:paraId="52F743A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8" w:type="pct"/>
            <w:noWrap/>
            <w:vAlign w:val="center"/>
            <w:hideMark/>
          </w:tcPr>
          <w:p w14:paraId="72EC35E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0.25</w:t>
            </w:r>
          </w:p>
        </w:tc>
        <w:tc>
          <w:tcPr>
            <w:tcW w:w="216" w:type="pct"/>
            <w:noWrap/>
            <w:vAlign w:val="center"/>
            <w:hideMark/>
          </w:tcPr>
          <w:p w14:paraId="6ADC30D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-0.43</w:t>
            </w:r>
          </w:p>
          <w:p w14:paraId="1C4A66D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6D57617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-0.19</w:t>
            </w:r>
          </w:p>
        </w:tc>
        <w:tc>
          <w:tcPr>
            <w:tcW w:w="216" w:type="pct"/>
            <w:noWrap/>
            <w:vAlign w:val="center"/>
            <w:hideMark/>
          </w:tcPr>
          <w:p w14:paraId="4C43615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0.51</w:t>
            </w:r>
          </w:p>
          <w:p w14:paraId="4FF9D5D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E8C87E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-0.21</w:t>
            </w:r>
          </w:p>
        </w:tc>
        <w:tc>
          <w:tcPr>
            <w:tcW w:w="216" w:type="pct"/>
            <w:noWrap/>
            <w:vAlign w:val="center"/>
            <w:hideMark/>
          </w:tcPr>
          <w:p w14:paraId="3046354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076E3E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3C10BE4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95F67BA"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C1B398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B7B3D5A"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1ED4D7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7C252D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4F0857A"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A3D79D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1377920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1C3C6851" w14:textId="77777777" w:rsidTr="008D4BC9">
        <w:trPr>
          <w:trHeight w:val="283"/>
        </w:trPr>
        <w:tc>
          <w:tcPr>
            <w:tcW w:w="403" w:type="pct"/>
            <w:noWrap/>
            <w:vAlign w:val="center"/>
            <w:hideMark/>
          </w:tcPr>
          <w:p w14:paraId="27AB6573"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 - Angry</w:t>
            </w:r>
          </w:p>
        </w:tc>
        <w:tc>
          <w:tcPr>
            <w:tcW w:w="283" w:type="pct"/>
            <w:noWrap/>
            <w:vAlign w:val="center"/>
            <w:hideMark/>
          </w:tcPr>
          <w:p w14:paraId="755FB21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0.03</w:t>
            </w:r>
          </w:p>
        </w:tc>
        <w:tc>
          <w:tcPr>
            <w:tcW w:w="216" w:type="pct"/>
            <w:noWrap/>
            <w:vAlign w:val="center"/>
            <w:hideMark/>
          </w:tcPr>
          <w:p w14:paraId="733FD08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-0.17</w:t>
            </w:r>
          </w:p>
        </w:tc>
        <w:tc>
          <w:tcPr>
            <w:tcW w:w="216" w:type="pct"/>
            <w:noWrap/>
            <w:vAlign w:val="center"/>
            <w:hideMark/>
          </w:tcPr>
          <w:p w14:paraId="722ECEE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0.32*</w:t>
            </w:r>
          </w:p>
        </w:tc>
        <w:tc>
          <w:tcPr>
            <w:tcW w:w="216" w:type="pct"/>
            <w:noWrap/>
            <w:vAlign w:val="center"/>
            <w:hideMark/>
          </w:tcPr>
          <w:p w14:paraId="08C3B53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0.26*</w:t>
            </w:r>
          </w:p>
        </w:tc>
        <w:tc>
          <w:tcPr>
            <w:tcW w:w="215" w:type="pct"/>
            <w:noWrap/>
            <w:vAlign w:val="center"/>
            <w:hideMark/>
          </w:tcPr>
          <w:p w14:paraId="570B648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0.26</w:t>
            </w:r>
          </w:p>
        </w:tc>
        <w:tc>
          <w:tcPr>
            <w:tcW w:w="218" w:type="pct"/>
            <w:noWrap/>
            <w:vAlign w:val="center"/>
            <w:hideMark/>
          </w:tcPr>
          <w:p w14:paraId="6B1C8AA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4100DD7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-0.31*</w:t>
            </w:r>
          </w:p>
        </w:tc>
        <w:tc>
          <w:tcPr>
            <w:tcW w:w="216" w:type="pct"/>
            <w:noWrap/>
            <w:vAlign w:val="center"/>
            <w:hideMark/>
          </w:tcPr>
          <w:p w14:paraId="593C4D1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7966035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0.32*</w:t>
            </w:r>
          </w:p>
        </w:tc>
        <w:tc>
          <w:tcPr>
            <w:tcW w:w="216" w:type="pct"/>
            <w:noWrap/>
            <w:vAlign w:val="center"/>
            <w:hideMark/>
          </w:tcPr>
          <w:p w14:paraId="599AB28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-0.18</w:t>
            </w:r>
          </w:p>
        </w:tc>
        <w:tc>
          <w:tcPr>
            <w:tcW w:w="216" w:type="pct"/>
            <w:noWrap/>
            <w:vAlign w:val="center"/>
            <w:hideMark/>
          </w:tcPr>
          <w:p w14:paraId="1EBF355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0.62</w:t>
            </w:r>
          </w:p>
          <w:p w14:paraId="286D233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7DECD70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020351B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546379B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741CC0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23C47B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5D98DD6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4C73682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270856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1BB82D6"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0197163A"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64CEE3B6" w14:textId="77777777" w:rsidTr="008D4BC9">
        <w:trPr>
          <w:trHeight w:val="283"/>
        </w:trPr>
        <w:tc>
          <w:tcPr>
            <w:tcW w:w="403" w:type="pct"/>
            <w:noWrap/>
            <w:vAlign w:val="center"/>
            <w:hideMark/>
          </w:tcPr>
          <w:p w14:paraId="547ABC93"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 - Irritable</w:t>
            </w:r>
          </w:p>
        </w:tc>
        <w:tc>
          <w:tcPr>
            <w:tcW w:w="283" w:type="pct"/>
            <w:noWrap/>
            <w:vAlign w:val="center"/>
            <w:hideMark/>
          </w:tcPr>
          <w:p w14:paraId="03A12DE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5969E40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w:t>
            </w:r>
          </w:p>
        </w:tc>
        <w:tc>
          <w:tcPr>
            <w:tcW w:w="216" w:type="pct"/>
            <w:noWrap/>
            <w:vAlign w:val="center"/>
            <w:hideMark/>
          </w:tcPr>
          <w:p w14:paraId="4E5EECB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0.42**</w:t>
            </w:r>
          </w:p>
        </w:tc>
        <w:tc>
          <w:tcPr>
            <w:tcW w:w="216" w:type="pct"/>
            <w:noWrap/>
            <w:vAlign w:val="center"/>
            <w:hideMark/>
          </w:tcPr>
          <w:p w14:paraId="2AAB029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w:t>
            </w:r>
          </w:p>
        </w:tc>
        <w:tc>
          <w:tcPr>
            <w:tcW w:w="215" w:type="pct"/>
            <w:noWrap/>
            <w:vAlign w:val="center"/>
            <w:hideMark/>
          </w:tcPr>
          <w:p w14:paraId="7D8F2ED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0.35**</w:t>
            </w:r>
          </w:p>
        </w:tc>
        <w:tc>
          <w:tcPr>
            <w:tcW w:w="218" w:type="pct"/>
            <w:noWrap/>
            <w:vAlign w:val="center"/>
            <w:hideMark/>
          </w:tcPr>
          <w:p w14:paraId="79052C6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0.23</w:t>
            </w:r>
          </w:p>
        </w:tc>
        <w:tc>
          <w:tcPr>
            <w:tcW w:w="216" w:type="pct"/>
            <w:noWrap/>
            <w:vAlign w:val="center"/>
            <w:hideMark/>
          </w:tcPr>
          <w:p w14:paraId="5686132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-0.29*</w:t>
            </w:r>
          </w:p>
        </w:tc>
        <w:tc>
          <w:tcPr>
            <w:tcW w:w="216" w:type="pct"/>
            <w:noWrap/>
            <w:vAlign w:val="center"/>
            <w:hideMark/>
          </w:tcPr>
          <w:p w14:paraId="7099E35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5AB3331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0.36**</w:t>
            </w:r>
          </w:p>
        </w:tc>
        <w:tc>
          <w:tcPr>
            <w:tcW w:w="216" w:type="pct"/>
            <w:noWrap/>
            <w:vAlign w:val="center"/>
            <w:hideMark/>
          </w:tcPr>
          <w:p w14:paraId="27BC7D2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0519518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0.61</w:t>
            </w:r>
          </w:p>
          <w:p w14:paraId="3759692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7C23F77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0.63</w:t>
            </w:r>
          </w:p>
          <w:p w14:paraId="0AD8E16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D4BF22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2596864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1AAB560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A0EF48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AC881B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9242D2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BE61B7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75B7C72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2660A60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2A890577" w14:textId="77777777" w:rsidTr="008D4BC9">
        <w:trPr>
          <w:trHeight w:val="283"/>
        </w:trPr>
        <w:tc>
          <w:tcPr>
            <w:tcW w:w="403" w:type="pct"/>
            <w:noWrap/>
            <w:vAlign w:val="center"/>
            <w:hideMark/>
          </w:tcPr>
          <w:p w14:paraId="7002B6A6"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MZ - Energetic</w:t>
            </w:r>
          </w:p>
        </w:tc>
        <w:tc>
          <w:tcPr>
            <w:tcW w:w="283" w:type="pct"/>
            <w:noWrap/>
            <w:vAlign w:val="center"/>
            <w:hideMark/>
          </w:tcPr>
          <w:p w14:paraId="3325EFF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5173EC1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0.25</w:t>
            </w:r>
          </w:p>
        </w:tc>
        <w:tc>
          <w:tcPr>
            <w:tcW w:w="216" w:type="pct"/>
            <w:noWrap/>
            <w:vAlign w:val="center"/>
            <w:hideMark/>
          </w:tcPr>
          <w:p w14:paraId="6733FC0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-0.26</w:t>
            </w:r>
          </w:p>
        </w:tc>
        <w:tc>
          <w:tcPr>
            <w:tcW w:w="216" w:type="pct"/>
            <w:noWrap/>
            <w:vAlign w:val="center"/>
            <w:hideMark/>
          </w:tcPr>
          <w:p w14:paraId="505866B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-0.18</w:t>
            </w:r>
          </w:p>
        </w:tc>
        <w:tc>
          <w:tcPr>
            <w:tcW w:w="215" w:type="pct"/>
            <w:noWrap/>
            <w:vAlign w:val="center"/>
            <w:hideMark/>
          </w:tcPr>
          <w:p w14:paraId="6A687F7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-0.38</w:t>
            </w:r>
          </w:p>
          <w:p w14:paraId="45EE2EE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8" w:type="pct"/>
            <w:noWrap/>
            <w:vAlign w:val="center"/>
            <w:hideMark/>
          </w:tcPr>
          <w:p w14:paraId="5D8927E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w:t>
            </w:r>
          </w:p>
        </w:tc>
        <w:tc>
          <w:tcPr>
            <w:tcW w:w="216" w:type="pct"/>
            <w:noWrap/>
            <w:vAlign w:val="center"/>
            <w:hideMark/>
          </w:tcPr>
          <w:p w14:paraId="71CBE12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0.43</w:t>
            </w:r>
          </w:p>
          <w:p w14:paraId="35890C5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65AABBD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0.44</w:t>
            </w:r>
          </w:p>
          <w:p w14:paraId="61F62D2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C302F6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-0.22</w:t>
            </w:r>
          </w:p>
        </w:tc>
        <w:tc>
          <w:tcPr>
            <w:tcW w:w="216" w:type="pct"/>
            <w:noWrap/>
            <w:vAlign w:val="center"/>
            <w:hideMark/>
          </w:tcPr>
          <w:p w14:paraId="1F9664C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0.5***</w:t>
            </w:r>
          </w:p>
        </w:tc>
        <w:tc>
          <w:tcPr>
            <w:tcW w:w="216" w:type="pct"/>
            <w:noWrap/>
            <w:vAlign w:val="center"/>
            <w:hideMark/>
          </w:tcPr>
          <w:p w14:paraId="67A4ACC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-0.19</w:t>
            </w:r>
          </w:p>
        </w:tc>
        <w:tc>
          <w:tcPr>
            <w:tcW w:w="216" w:type="pct"/>
            <w:noWrap/>
            <w:vAlign w:val="center"/>
            <w:hideMark/>
          </w:tcPr>
          <w:p w14:paraId="338679D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-0.18</w:t>
            </w:r>
          </w:p>
        </w:tc>
        <w:tc>
          <w:tcPr>
            <w:tcW w:w="216" w:type="pct"/>
            <w:noWrap/>
            <w:vAlign w:val="center"/>
            <w:hideMark/>
          </w:tcPr>
          <w:p w14:paraId="48FCCB2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-0.02</w:t>
            </w:r>
          </w:p>
        </w:tc>
        <w:tc>
          <w:tcPr>
            <w:tcW w:w="216" w:type="pct"/>
            <w:noWrap/>
            <w:vAlign w:val="center"/>
            <w:hideMark/>
          </w:tcPr>
          <w:p w14:paraId="250A6AC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BAF962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3A1F6C85"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292FFC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C6C8BB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B385AA0"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BF9649F"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1995FFF4"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32996ABF" w14:textId="77777777" w:rsidTr="008D4BC9">
        <w:trPr>
          <w:trHeight w:val="283"/>
        </w:trPr>
        <w:tc>
          <w:tcPr>
            <w:tcW w:w="403" w:type="pct"/>
            <w:noWrap/>
            <w:vAlign w:val="center"/>
            <w:hideMark/>
          </w:tcPr>
          <w:p w14:paraId="65A36731"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lastRenderedPageBreak/>
              <w:t>+VE NAP index</w:t>
            </w:r>
          </w:p>
        </w:tc>
        <w:tc>
          <w:tcPr>
            <w:tcW w:w="283" w:type="pct"/>
            <w:noWrap/>
            <w:vAlign w:val="center"/>
            <w:hideMark/>
          </w:tcPr>
          <w:p w14:paraId="48BAAF2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0.02</w:t>
            </w:r>
          </w:p>
        </w:tc>
        <w:tc>
          <w:tcPr>
            <w:tcW w:w="216" w:type="pct"/>
            <w:noWrap/>
            <w:vAlign w:val="center"/>
            <w:hideMark/>
          </w:tcPr>
          <w:p w14:paraId="3CDE114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0.03</w:t>
            </w:r>
          </w:p>
        </w:tc>
        <w:tc>
          <w:tcPr>
            <w:tcW w:w="216" w:type="pct"/>
            <w:noWrap/>
            <w:vAlign w:val="center"/>
            <w:hideMark/>
          </w:tcPr>
          <w:p w14:paraId="2E4AC8A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0.07</w:t>
            </w:r>
          </w:p>
        </w:tc>
        <w:tc>
          <w:tcPr>
            <w:tcW w:w="216" w:type="pct"/>
            <w:noWrap/>
            <w:vAlign w:val="center"/>
            <w:hideMark/>
          </w:tcPr>
          <w:p w14:paraId="05FFCCE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0.17</w:t>
            </w:r>
          </w:p>
        </w:tc>
        <w:tc>
          <w:tcPr>
            <w:tcW w:w="215" w:type="pct"/>
            <w:noWrap/>
            <w:vAlign w:val="center"/>
            <w:hideMark/>
          </w:tcPr>
          <w:p w14:paraId="4163F8B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8" w:type="pct"/>
            <w:noWrap/>
            <w:vAlign w:val="center"/>
            <w:hideMark/>
          </w:tcPr>
          <w:p w14:paraId="3349F6B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378AFA6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0.07</w:t>
            </w:r>
          </w:p>
        </w:tc>
        <w:tc>
          <w:tcPr>
            <w:tcW w:w="216" w:type="pct"/>
            <w:noWrap/>
            <w:vAlign w:val="center"/>
            <w:hideMark/>
          </w:tcPr>
          <w:p w14:paraId="69B57AD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0.09</w:t>
            </w:r>
          </w:p>
        </w:tc>
        <w:tc>
          <w:tcPr>
            <w:tcW w:w="216" w:type="pct"/>
            <w:noWrap/>
            <w:vAlign w:val="center"/>
            <w:hideMark/>
          </w:tcPr>
          <w:p w14:paraId="72375FA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515C7A2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-0.09</w:t>
            </w:r>
          </w:p>
        </w:tc>
        <w:tc>
          <w:tcPr>
            <w:tcW w:w="216" w:type="pct"/>
            <w:noWrap/>
            <w:vAlign w:val="center"/>
            <w:hideMark/>
          </w:tcPr>
          <w:p w14:paraId="63C816B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0E1B784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4EE28F9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0.08</w:t>
            </w:r>
          </w:p>
        </w:tc>
        <w:tc>
          <w:tcPr>
            <w:tcW w:w="216" w:type="pct"/>
            <w:noWrap/>
            <w:vAlign w:val="center"/>
            <w:hideMark/>
          </w:tcPr>
          <w:p w14:paraId="64AC66F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6" w:type="pct"/>
            <w:noWrap/>
            <w:vAlign w:val="center"/>
            <w:hideMark/>
          </w:tcPr>
          <w:p w14:paraId="44F7891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675241D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59B5C2AE"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2CFA6FAB"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1E9AC086"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1D8A08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5E926E2C"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5F7EA21B" w14:textId="77777777" w:rsidTr="008D4BC9">
        <w:trPr>
          <w:trHeight w:val="283"/>
        </w:trPr>
        <w:tc>
          <w:tcPr>
            <w:tcW w:w="403" w:type="pct"/>
            <w:noWrap/>
            <w:vAlign w:val="center"/>
            <w:hideMark/>
          </w:tcPr>
          <w:p w14:paraId="42A0F648"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-VE NAP index</w:t>
            </w:r>
          </w:p>
        </w:tc>
        <w:tc>
          <w:tcPr>
            <w:tcW w:w="283" w:type="pct"/>
            <w:noWrap/>
            <w:vAlign w:val="center"/>
            <w:hideMark/>
          </w:tcPr>
          <w:p w14:paraId="3414FA4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23D252A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56B8C65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-0.08</w:t>
            </w:r>
          </w:p>
        </w:tc>
        <w:tc>
          <w:tcPr>
            <w:tcW w:w="216" w:type="pct"/>
            <w:noWrap/>
            <w:vAlign w:val="center"/>
            <w:hideMark/>
          </w:tcPr>
          <w:p w14:paraId="099E38B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5" w:type="pct"/>
            <w:noWrap/>
            <w:vAlign w:val="center"/>
            <w:hideMark/>
          </w:tcPr>
          <w:p w14:paraId="15F1E1E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-0.13</w:t>
            </w:r>
          </w:p>
        </w:tc>
        <w:tc>
          <w:tcPr>
            <w:tcW w:w="218" w:type="pct"/>
            <w:noWrap/>
            <w:vAlign w:val="center"/>
            <w:hideMark/>
          </w:tcPr>
          <w:p w14:paraId="7B7326B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0BA11A3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3E78756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0.12</w:t>
            </w:r>
          </w:p>
        </w:tc>
        <w:tc>
          <w:tcPr>
            <w:tcW w:w="216" w:type="pct"/>
            <w:noWrap/>
            <w:vAlign w:val="center"/>
            <w:hideMark/>
          </w:tcPr>
          <w:p w14:paraId="2E3C785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60E2450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637DFA3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-0.03</w:t>
            </w:r>
          </w:p>
        </w:tc>
        <w:tc>
          <w:tcPr>
            <w:tcW w:w="216" w:type="pct"/>
            <w:noWrap/>
            <w:vAlign w:val="center"/>
            <w:hideMark/>
          </w:tcPr>
          <w:p w14:paraId="72F4514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0.02</w:t>
            </w:r>
          </w:p>
        </w:tc>
        <w:tc>
          <w:tcPr>
            <w:tcW w:w="216" w:type="pct"/>
            <w:noWrap/>
            <w:vAlign w:val="center"/>
            <w:hideMark/>
          </w:tcPr>
          <w:p w14:paraId="21DE764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6E6C038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6" w:type="pct"/>
            <w:noWrap/>
            <w:vAlign w:val="center"/>
            <w:hideMark/>
          </w:tcPr>
          <w:p w14:paraId="40CFBF9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7CF6A9C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DDCE70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3E98C5F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05EEC828"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348167F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637D7858"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293A284C" w14:textId="77777777" w:rsidTr="008D4BC9">
        <w:trPr>
          <w:trHeight w:val="283"/>
        </w:trPr>
        <w:tc>
          <w:tcPr>
            <w:tcW w:w="403" w:type="pct"/>
            <w:noWrap/>
            <w:vAlign w:val="center"/>
            <w:hideMark/>
          </w:tcPr>
          <w:p w14:paraId="181DD35B"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+VE Inf index</w:t>
            </w:r>
          </w:p>
        </w:tc>
        <w:tc>
          <w:tcPr>
            <w:tcW w:w="283" w:type="pct"/>
            <w:noWrap/>
            <w:vAlign w:val="center"/>
            <w:hideMark/>
          </w:tcPr>
          <w:p w14:paraId="4B4212F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40DE5D7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2DB40F2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0.11</w:t>
            </w:r>
          </w:p>
        </w:tc>
        <w:tc>
          <w:tcPr>
            <w:tcW w:w="216" w:type="pct"/>
            <w:noWrap/>
            <w:vAlign w:val="center"/>
            <w:hideMark/>
          </w:tcPr>
          <w:p w14:paraId="6FB6D14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0.25</w:t>
            </w:r>
          </w:p>
        </w:tc>
        <w:tc>
          <w:tcPr>
            <w:tcW w:w="215" w:type="pct"/>
            <w:noWrap/>
            <w:vAlign w:val="center"/>
            <w:hideMark/>
          </w:tcPr>
          <w:p w14:paraId="5387061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0.16</w:t>
            </w:r>
          </w:p>
        </w:tc>
        <w:tc>
          <w:tcPr>
            <w:tcW w:w="218" w:type="pct"/>
            <w:noWrap/>
            <w:vAlign w:val="center"/>
            <w:hideMark/>
          </w:tcPr>
          <w:p w14:paraId="7E01082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w:t>
            </w:r>
          </w:p>
        </w:tc>
        <w:tc>
          <w:tcPr>
            <w:tcW w:w="216" w:type="pct"/>
            <w:noWrap/>
            <w:vAlign w:val="center"/>
            <w:hideMark/>
          </w:tcPr>
          <w:p w14:paraId="08A2A6A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0.02</w:t>
            </w:r>
          </w:p>
        </w:tc>
        <w:tc>
          <w:tcPr>
            <w:tcW w:w="216" w:type="pct"/>
            <w:noWrap/>
            <w:vAlign w:val="center"/>
            <w:hideMark/>
          </w:tcPr>
          <w:p w14:paraId="62E0DA8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-0.18</w:t>
            </w:r>
          </w:p>
        </w:tc>
        <w:tc>
          <w:tcPr>
            <w:tcW w:w="216" w:type="pct"/>
            <w:noWrap/>
            <w:vAlign w:val="center"/>
            <w:hideMark/>
          </w:tcPr>
          <w:p w14:paraId="672CD9F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0.13</w:t>
            </w:r>
          </w:p>
        </w:tc>
        <w:tc>
          <w:tcPr>
            <w:tcW w:w="216" w:type="pct"/>
            <w:noWrap/>
            <w:vAlign w:val="center"/>
            <w:hideMark/>
          </w:tcPr>
          <w:p w14:paraId="3EB2BFE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6" w:type="pct"/>
            <w:noWrap/>
            <w:vAlign w:val="center"/>
            <w:hideMark/>
          </w:tcPr>
          <w:p w14:paraId="6A7905B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0.07</w:t>
            </w:r>
          </w:p>
        </w:tc>
        <w:tc>
          <w:tcPr>
            <w:tcW w:w="216" w:type="pct"/>
            <w:noWrap/>
            <w:vAlign w:val="center"/>
            <w:hideMark/>
          </w:tcPr>
          <w:p w14:paraId="3FDC2C0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-0.11</w:t>
            </w:r>
          </w:p>
        </w:tc>
        <w:tc>
          <w:tcPr>
            <w:tcW w:w="216" w:type="pct"/>
            <w:noWrap/>
            <w:vAlign w:val="center"/>
            <w:hideMark/>
          </w:tcPr>
          <w:p w14:paraId="7C928C8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1D26959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6C45039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0.67</w:t>
            </w:r>
          </w:p>
          <w:p w14:paraId="2EA793D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6DE0879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0.28*</w:t>
            </w:r>
          </w:p>
        </w:tc>
        <w:tc>
          <w:tcPr>
            <w:tcW w:w="216" w:type="pct"/>
            <w:noWrap/>
            <w:vAlign w:val="center"/>
            <w:hideMark/>
          </w:tcPr>
          <w:p w14:paraId="59BE5A7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76A13A1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223F0476"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16" w:type="pct"/>
            <w:noWrap/>
            <w:vAlign w:val="center"/>
            <w:hideMark/>
          </w:tcPr>
          <w:p w14:paraId="669AF702"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6203074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5C6C312A" w14:textId="77777777" w:rsidTr="008D4BC9">
        <w:trPr>
          <w:trHeight w:val="283"/>
        </w:trPr>
        <w:tc>
          <w:tcPr>
            <w:tcW w:w="403" w:type="pct"/>
            <w:noWrap/>
            <w:vAlign w:val="center"/>
            <w:hideMark/>
          </w:tcPr>
          <w:p w14:paraId="3728C3BA"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-VE Inf index</w:t>
            </w:r>
          </w:p>
        </w:tc>
        <w:tc>
          <w:tcPr>
            <w:tcW w:w="283" w:type="pct"/>
            <w:noWrap/>
            <w:vAlign w:val="center"/>
            <w:hideMark/>
          </w:tcPr>
          <w:p w14:paraId="31E9816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6616F7A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-0.03</w:t>
            </w:r>
          </w:p>
        </w:tc>
        <w:tc>
          <w:tcPr>
            <w:tcW w:w="216" w:type="pct"/>
            <w:noWrap/>
            <w:vAlign w:val="center"/>
            <w:hideMark/>
          </w:tcPr>
          <w:p w14:paraId="1A28BA2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-0.08</w:t>
            </w:r>
          </w:p>
        </w:tc>
        <w:tc>
          <w:tcPr>
            <w:tcW w:w="216" w:type="pct"/>
            <w:noWrap/>
            <w:vAlign w:val="center"/>
            <w:hideMark/>
          </w:tcPr>
          <w:p w14:paraId="277B6D1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-0.07</w:t>
            </w:r>
          </w:p>
        </w:tc>
        <w:tc>
          <w:tcPr>
            <w:tcW w:w="215" w:type="pct"/>
            <w:noWrap/>
            <w:vAlign w:val="center"/>
            <w:hideMark/>
          </w:tcPr>
          <w:p w14:paraId="4515319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-0.07</w:t>
            </w:r>
          </w:p>
        </w:tc>
        <w:tc>
          <w:tcPr>
            <w:tcW w:w="218" w:type="pct"/>
            <w:noWrap/>
            <w:vAlign w:val="center"/>
            <w:hideMark/>
          </w:tcPr>
          <w:p w14:paraId="591D7CE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-0.07</w:t>
            </w:r>
          </w:p>
        </w:tc>
        <w:tc>
          <w:tcPr>
            <w:tcW w:w="216" w:type="pct"/>
            <w:noWrap/>
            <w:vAlign w:val="center"/>
            <w:hideMark/>
          </w:tcPr>
          <w:p w14:paraId="5B4E539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6" w:type="pct"/>
            <w:noWrap/>
            <w:vAlign w:val="center"/>
            <w:hideMark/>
          </w:tcPr>
          <w:p w14:paraId="66EA546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w:t>
            </w:r>
          </w:p>
        </w:tc>
        <w:tc>
          <w:tcPr>
            <w:tcW w:w="216" w:type="pct"/>
            <w:noWrap/>
            <w:vAlign w:val="center"/>
            <w:hideMark/>
          </w:tcPr>
          <w:p w14:paraId="46B4A6E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w:t>
            </w:r>
          </w:p>
        </w:tc>
        <w:tc>
          <w:tcPr>
            <w:tcW w:w="216" w:type="pct"/>
            <w:noWrap/>
            <w:vAlign w:val="center"/>
            <w:hideMark/>
          </w:tcPr>
          <w:p w14:paraId="1B7370D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0.09</w:t>
            </w:r>
          </w:p>
        </w:tc>
        <w:tc>
          <w:tcPr>
            <w:tcW w:w="216" w:type="pct"/>
            <w:noWrap/>
            <w:vAlign w:val="center"/>
            <w:hideMark/>
          </w:tcPr>
          <w:p w14:paraId="36BDA7A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24D6661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-0.03</w:t>
            </w:r>
          </w:p>
        </w:tc>
        <w:tc>
          <w:tcPr>
            <w:tcW w:w="216" w:type="pct"/>
            <w:noWrap/>
            <w:vAlign w:val="center"/>
            <w:hideMark/>
          </w:tcPr>
          <w:p w14:paraId="5016B2A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11D0A30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0C0A649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0.09</w:t>
            </w:r>
          </w:p>
        </w:tc>
        <w:tc>
          <w:tcPr>
            <w:tcW w:w="216" w:type="pct"/>
            <w:noWrap/>
            <w:vAlign w:val="center"/>
            <w:hideMark/>
          </w:tcPr>
          <w:p w14:paraId="05C2893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0.77</w:t>
            </w:r>
          </w:p>
          <w:p w14:paraId="1315F27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4C02CA7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0.49</w:t>
            </w:r>
          </w:p>
          <w:p w14:paraId="221F1DC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EC5A17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1ECF89E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16" w:type="pct"/>
            <w:noWrap/>
            <w:vAlign w:val="center"/>
            <w:hideMark/>
          </w:tcPr>
          <w:p w14:paraId="1AEB1813"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c>
          <w:tcPr>
            <w:tcW w:w="209" w:type="pct"/>
            <w:noWrap/>
            <w:vAlign w:val="center"/>
            <w:hideMark/>
          </w:tcPr>
          <w:p w14:paraId="4807559D"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0DFED666" w14:textId="77777777" w:rsidTr="008D4BC9">
        <w:trPr>
          <w:trHeight w:val="283"/>
        </w:trPr>
        <w:tc>
          <w:tcPr>
            <w:tcW w:w="403" w:type="pct"/>
            <w:noWrap/>
            <w:vAlign w:val="center"/>
            <w:hideMark/>
          </w:tcPr>
          <w:p w14:paraId="3DA6FCE3"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Overall k</w:t>
            </w:r>
          </w:p>
        </w:tc>
        <w:tc>
          <w:tcPr>
            <w:tcW w:w="283" w:type="pct"/>
            <w:noWrap/>
            <w:vAlign w:val="center"/>
            <w:hideMark/>
          </w:tcPr>
          <w:p w14:paraId="4A40682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0.32*</w:t>
            </w:r>
          </w:p>
        </w:tc>
        <w:tc>
          <w:tcPr>
            <w:tcW w:w="216" w:type="pct"/>
            <w:noWrap/>
            <w:vAlign w:val="center"/>
            <w:hideMark/>
          </w:tcPr>
          <w:p w14:paraId="23E7A7C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-0.28*</w:t>
            </w:r>
          </w:p>
        </w:tc>
        <w:tc>
          <w:tcPr>
            <w:tcW w:w="216" w:type="pct"/>
            <w:noWrap/>
            <w:vAlign w:val="center"/>
            <w:hideMark/>
          </w:tcPr>
          <w:p w14:paraId="091B9B4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0.21</w:t>
            </w:r>
          </w:p>
        </w:tc>
        <w:tc>
          <w:tcPr>
            <w:tcW w:w="216" w:type="pct"/>
            <w:noWrap/>
            <w:vAlign w:val="center"/>
            <w:hideMark/>
          </w:tcPr>
          <w:p w14:paraId="0321293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0.33*</w:t>
            </w:r>
          </w:p>
        </w:tc>
        <w:tc>
          <w:tcPr>
            <w:tcW w:w="215" w:type="pct"/>
            <w:noWrap/>
            <w:vAlign w:val="center"/>
            <w:hideMark/>
          </w:tcPr>
          <w:p w14:paraId="2A3814A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0.12</w:t>
            </w:r>
          </w:p>
        </w:tc>
        <w:tc>
          <w:tcPr>
            <w:tcW w:w="218" w:type="pct"/>
            <w:noWrap/>
            <w:vAlign w:val="center"/>
            <w:hideMark/>
          </w:tcPr>
          <w:p w14:paraId="447E12E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0.18</w:t>
            </w:r>
          </w:p>
        </w:tc>
        <w:tc>
          <w:tcPr>
            <w:tcW w:w="216" w:type="pct"/>
            <w:noWrap/>
            <w:vAlign w:val="center"/>
            <w:hideMark/>
          </w:tcPr>
          <w:p w14:paraId="33A91C6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-0.21</w:t>
            </w:r>
          </w:p>
        </w:tc>
        <w:tc>
          <w:tcPr>
            <w:tcW w:w="216" w:type="pct"/>
            <w:noWrap/>
            <w:vAlign w:val="center"/>
            <w:hideMark/>
          </w:tcPr>
          <w:p w14:paraId="79B2D95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-0.12</w:t>
            </w:r>
          </w:p>
        </w:tc>
        <w:tc>
          <w:tcPr>
            <w:tcW w:w="216" w:type="pct"/>
            <w:noWrap/>
            <w:vAlign w:val="center"/>
            <w:hideMark/>
          </w:tcPr>
          <w:p w14:paraId="5D4863C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w:t>
            </w:r>
          </w:p>
        </w:tc>
        <w:tc>
          <w:tcPr>
            <w:tcW w:w="216" w:type="pct"/>
            <w:noWrap/>
            <w:vAlign w:val="center"/>
            <w:hideMark/>
          </w:tcPr>
          <w:p w14:paraId="3D28914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w:t>
            </w:r>
          </w:p>
        </w:tc>
        <w:tc>
          <w:tcPr>
            <w:tcW w:w="216" w:type="pct"/>
            <w:noWrap/>
            <w:vAlign w:val="center"/>
            <w:hideMark/>
          </w:tcPr>
          <w:p w14:paraId="585AFFC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0.17</w:t>
            </w:r>
          </w:p>
        </w:tc>
        <w:tc>
          <w:tcPr>
            <w:tcW w:w="216" w:type="pct"/>
            <w:noWrap/>
            <w:vAlign w:val="center"/>
            <w:hideMark/>
          </w:tcPr>
          <w:p w14:paraId="36144A9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0.21</w:t>
            </w:r>
          </w:p>
        </w:tc>
        <w:tc>
          <w:tcPr>
            <w:tcW w:w="216" w:type="pct"/>
            <w:noWrap/>
            <w:vAlign w:val="center"/>
            <w:hideMark/>
          </w:tcPr>
          <w:p w14:paraId="437E6B0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w:t>
            </w:r>
          </w:p>
        </w:tc>
        <w:tc>
          <w:tcPr>
            <w:tcW w:w="216" w:type="pct"/>
            <w:noWrap/>
            <w:vAlign w:val="center"/>
            <w:hideMark/>
          </w:tcPr>
          <w:p w14:paraId="63DBF1A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07D1BFC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-0.08</w:t>
            </w:r>
          </w:p>
        </w:tc>
        <w:tc>
          <w:tcPr>
            <w:tcW w:w="216" w:type="pct"/>
            <w:noWrap/>
            <w:vAlign w:val="center"/>
            <w:hideMark/>
          </w:tcPr>
          <w:p w14:paraId="14B5F1C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230A498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0.03</w:t>
            </w:r>
          </w:p>
        </w:tc>
        <w:tc>
          <w:tcPr>
            <w:tcW w:w="216" w:type="pct"/>
            <w:noWrap/>
            <w:vAlign w:val="center"/>
            <w:hideMark/>
          </w:tcPr>
          <w:p w14:paraId="5CB268E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-0.09</w:t>
            </w:r>
          </w:p>
        </w:tc>
        <w:tc>
          <w:tcPr>
            <w:tcW w:w="216" w:type="pct"/>
            <w:noWrap/>
            <w:vAlign w:val="center"/>
            <w:hideMark/>
          </w:tcPr>
          <w:p w14:paraId="4370132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D9ABA5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c>
          <w:tcPr>
            <w:tcW w:w="209" w:type="pct"/>
            <w:noWrap/>
            <w:vAlign w:val="center"/>
            <w:hideMark/>
          </w:tcPr>
          <w:p w14:paraId="73EAB3C1" w14:textId="77777777" w:rsidR="007E0ABC" w:rsidRPr="008C7785" w:rsidRDefault="007E0ABC" w:rsidP="008D4BC9">
            <w:pPr>
              <w:contextualSpacing/>
              <w:jc w:val="center"/>
              <w:rPr>
                <w:rFonts w:ascii="Times New Roman" w:eastAsia="Times New Roman" w:hAnsi="Times New Roman" w:cs="Times New Roman"/>
                <w:sz w:val="13"/>
                <w:szCs w:val="13"/>
                <w:lang w:eastAsia="en-GB"/>
              </w:rPr>
            </w:pPr>
          </w:p>
        </w:tc>
      </w:tr>
      <w:tr w:rsidR="007E0ABC" w:rsidRPr="008C7785" w14:paraId="6956CF6F" w14:textId="77777777" w:rsidTr="008D4BC9">
        <w:trPr>
          <w:trHeight w:val="283"/>
        </w:trPr>
        <w:tc>
          <w:tcPr>
            <w:tcW w:w="403" w:type="pct"/>
            <w:noWrap/>
            <w:vAlign w:val="center"/>
            <w:hideMark/>
          </w:tcPr>
          <w:p w14:paraId="0473AE19"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Small k</w:t>
            </w:r>
          </w:p>
        </w:tc>
        <w:tc>
          <w:tcPr>
            <w:tcW w:w="283" w:type="pct"/>
            <w:noWrap/>
            <w:vAlign w:val="center"/>
            <w:hideMark/>
          </w:tcPr>
          <w:p w14:paraId="64EA9A8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0.29*</w:t>
            </w:r>
          </w:p>
        </w:tc>
        <w:tc>
          <w:tcPr>
            <w:tcW w:w="216" w:type="pct"/>
            <w:noWrap/>
            <w:vAlign w:val="center"/>
            <w:hideMark/>
          </w:tcPr>
          <w:p w14:paraId="1737BFC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-0.35 **</w:t>
            </w:r>
          </w:p>
        </w:tc>
        <w:tc>
          <w:tcPr>
            <w:tcW w:w="216" w:type="pct"/>
            <w:noWrap/>
            <w:vAlign w:val="center"/>
            <w:hideMark/>
          </w:tcPr>
          <w:p w14:paraId="50C61E9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0.25</w:t>
            </w:r>
          </w:p>
        </w:tc>
        <w:tc>
          <w:tcPr>
            <w:tcW w:w="216" w:type="pct"/>
            <w:noWrap/>
            <w:vAlign w:val="center"/>
            <w:hideMark/>
          </w:tcPr>
          <w:p w14:paraId="5B90A87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0.29*</w:t>
            </w:r>
          </w:p>
        </w:tc>
        <w:tc>
          <w:tcPr>
            <w:tcW w:w="215" w:type="pct"/>
            <w:noWrap/>
            <w:vAlign w:val="center"/>
            <w:hideMark/>
          </w:tcPr>
          <w:p w14:paraId="579C227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0.12</w:t>
            </w:r>
          </w:p>
        </w:tc>
        <w:tc>
          <w:tcPr>
            <w:tcW w:w="218" w:type="pct"/>
            <w:noWrap/>
            <w:vAlign w:val="center"/>
            <w:hideMark/>
          </w:tcPr>
          <w:p w14:paraId="1BE225E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0.16</w:t>
            </w:r>
          </w:p>
        </w:tc>
        <w:tc>
          <w:tcPr>
            <w:tcW w:w="216" w:type="pct"/>
            <w:noWrap/>
            <w:vAlign w:val="center"/>
            <w:hideMark/>
          </w:tcPr>
          <w:p w14:paraId="4DD4515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-0.29*</w:t>
            </w:r>
          </w:p>
        </w:tc>
        <w:tc>
          <w:tcPr>
            <w:tcW w:w="216" w:type="pct"/>
            <w:noWrap/>
            <w:vAlign w:val="center"/>
            <w:hideMark/>
          </w:tcPr>
          <w:p w14:paraId="6540D18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-0.16</w:t>
            </w:r>
          </w:p>
        </w:tc>
        <w:tc>
          <w:tcPr>
            <w:tcW w:w="216" w:type="pct"/>
            <w:noWrap/>
            <w:vAlign w:val="center"/>
            <w:hideMark/>
          </w:tcPr>
          <w:p w14:paraId="02B2922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0.28*</w:t>
            </w:r>
          </w:p>
        </w:tc>
        <w:tc>
          <w:tcPr>
            <w:tcW w:w="216" w:type="pct"/>
            <w:noWrap/>
            <w:vAlign w:val="center"/>
            <w:hideMark/>
          </w:tcPr>
          <w:p w14:paraId="179E2D9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2A48265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0.19</w:t>
            </w:r>
          </w:p>
        </w:tc>
        <w:tc>
          <w:tcPr>
            <w:tcW w:w="216" w:type="pct"/>
            <w:noWrap/>
            <w:vAlign w:val="center"/>
            <w:hideMark/>
          </w:tcPr>
          <w:p w14:paraId="2CF3CDB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0.25</w:t>
            </w:r>
          </w:p>
        </w:tc>
        <w:tc>
          <w:tcPr>
            <w:tcW w:w="216" w:type="pct"/>
            <w:noWrap/>
            <w:vAlign w:val="center"/>
            <w:hideMark/>
          </w:tcPr>
          <w:p w14:paraId="2026E35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0.29*</w:t>
            </w:r>
          </w:p>
        </w:tc>
        <w:tc>
          <w:tcPr>
            <w:tcW w:w="216" w:type="pct"/>
            <w:noWrap/>
            <w:vAlign w:val="center"/>
            <w:hideMark/>
          </w:tcPr>
          <w:p w14:paraId="0EEBFA2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0.02</w:t>
            </w:r>
          </w:p>
        </w:tc>
        <w:tc>
          <w:tcPr>
            <w:tcW w:w="216" w:type="pct"/>
            <w:noWrap/>
            <w:vAlign w:val="center"/>
            <w:hideMark/>
          </w:tcPr>
          <w:p w14:paraId="0DE8DF4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39CA34E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-0.07</w:t>
            </w:r>
          </w:p>
        </w:tc>
        <w:tc>
          <w:tcPr>
            <w:tcW w:w="216" w:type="pct"/>
            <w:noWrap/>
            <w:vAlign w:val="center"/>
            <w:hideMark/>
          </w:tcPr>
          <w:p w14:paraId="1D5B7B4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5994F69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42C591C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0.89</w:t>
            </w:r>
          </w:p>
          <w:p w14:paraId="3075F6E7"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88DC89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09" w:type="pct"/>
            <w:noWrap/>
            <w:vAlign w:val="center"/>
            <w:hideMark/>
          </w:tcPr>
          <w:p w14:paraId="32545BE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p>
        </w:tc>
      </w:tr>
      <w:tr w:rsidR="007E0ABC" w:rsidRPr="008C7785" w14:paraId="09E40512" w14:textId="77777777" w:rsidTr="008D4BC9">
        <w:trPr>
          <w:trHeight w:val="283"/>
        </w:trPr>
        <w:tc>
          <w:tcPr>
            <w:tcW w:w="403" w:type="pct"/>
            <w:noWrap/>
            <w:vAlign w:val="center"/>
            <w:hideMark/>
          </w:tcPr>
          <w:p w14:paraId="4260D4B4"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Medium k</w:t>
            </w:r>
          </w:p>
        </w:tc>
        <w:tc>
          <w:tcPr>
            <w:tcW w:w="283" w:type="pct"/>
            <w:noWrap/>
            <w:vAlign w:val="center"/>
            <w:hideMark/>
          </w:tcPr>
          <w:p w14:paraId="17CCCF2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0.32*</w:t>
            </w:r>
          </w:p>
        </w:tc>
        <w:tc>
          <w:tcPr>
            <w:tcW w:w="216" w:type="pct"/>
            <w:noWrap/>
            <w:vAlign w:val="center"/>
            <w:hideMark/>
          </w:tcPr>
          <w:p w14:paraId="2733521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-0.26*</w:t>
            </w:r>
          </w:p>
        </w:tc>
        <w:tc>
          <w:tcPr>
            <w:tcW w:w="216" w:type="pct"/>
            <w:noWrap/>
            <w:vAlign w:val="center"/>
            <w:hideMark/>
          </w:tcPr>
          <w:p w14:paraId="76E06D0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1AC2B1D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0.26*</w:t>
            </w:r>
          </w:p>
        </w:tc>
        <w:tc>
          <w:tcPr>
            <w:tcW w:w="215" w:type="pct"/>
            <w:noWrap/>
            <w:vAlign w:val="center"/>
            <w:hideMark/>
          </w:tcPr>
          <w:p w14:paraId="3A2DE704"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0.07</w:t>
            </w:r>
          </w:p>
        </w:tc>
        <w:tc>
          <w:tcPr>
            <w:tcW w:w="218" w:type="pct"/>
            <w:noWrap/>
            <w:vAlign w:val="center"/>
            <w:hideMark/>
          </w:tcPr>
          <w:p w14:paraId="0E0450B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w:t>
            </w:r>
          </w:p>
        </w:tc>
        <w:tc>
          <w:tcPr>
            <w:tcW w:w="216" w:type="pct"/>
            <w:noWrap/>
            <w:vAlign w:val="center"/>
            <w:hideMark/>
          </w:tcPr>
          <w:p w14:paraId="5699EC5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6A0C168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-0.11</w:t>
            </w:r>
          </w:p>
        </w:tc>
        <w:tc>
          <w:tcPr>
            <w:tcW w:w="216" w:type="pct"/>
            <w:noWrap/>
            <w:vAlign w:val="center"/>
            <w:hideMark/>
          </w:tcPr>
          <w:p w14:paraId="6CC9F65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0.16</w:t>
            </w:r>
          </w:p>
        </w:tc>
        <w:tc>
          <w:tcPr>
            <w:tcW w:w="216" w:type="pct"/>
            <w:noWrap/>
            <w:vAlign w:val="center"/>
            <w:hideMark/>
          </w:tcPr>
          <w:p w14:paraId="1AFD312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w:t>
            </w:r>
          </w:p>
        </w:tc>
        <w:tc>
          <w:tcPr>
            <w:tcW w:w="216" w:type="pct"/>
            <w:noWrap/>
            <w:vAlign w:val="center"/>
            <w:hideMark/>
          </w:tcPr>
          <w:p w14:paraId="7E53068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522E115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w:t>
            </w:r>
          </w:p>
        </w:tc>
        <w:tc>
          <w:tcPr>
            <w:tcW w:w="216" w:type="pct"/>
            <w:noWrap/>
            <w:vAlign w:val="center"/>
            <w:hideMark/>
          </w:tcPr>
          <w:p w14:paraId="4C5C9F6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0.25</w:t>
            </w:r>
          </w:p>
        </w:tc>
        <w:tc>
          <w:tcPr>
            <w:tcW w:w="216" w:type="pct"/>
            <w:noWrap/>
            <w:vAlign w:val="center"/>
            <w:hideMark/>
          </w:tcPr>
          <w:p w14:paraId="185C405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0.12</w:t>
            </w:r>
          </w:p>
        </w:tc>
        <w:tc>
          <w:tcPr>
            <w:tcW w:w="216" w:type="pct"/>
            <w:noWrap/>
            <w:vAlign w:val="center"/>
            <w:hideMark/>
          </w:tcPr>
          <w:p w14:paraId="261CD7C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-0.04</w:t>
            </w:r>
          </w:p>
        </w:tc>
        <w:tc>
          <w:tcPr>
            <w:tcW w:w="216" w:type="pct"/>
            <w:noWrap/>
            <w:vAlign w:val="center"/>
            <w:hideMark/>
          </w:tcPr>
          <w:p w14:paraId="3B8E60B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6020C5C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0.08</w:t>
            </w:r>
          </w:p>
        </w:tc>
        <w:tc>
          <w:tcPr>
            <w:tcW w:w="216" w:type="pct"/>
            <w:noWrap/>
            <w:vAlign w:val="center"/>
            <w:hideMark/>
          </w:tcPr>
          <w:p w14:paraId="6451900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-0.06</w:t>
            </w:r>
          </w:p>
        </w:tc>
        <w:tc>
          <w:tcPr>
            <w:tcW w:w="216" w:type="pct"/>
            <w:noWrap/>
            <w:vAlign w:val="center"/>
            <w:hideMark/>
          </w:tcPr>
          <w:p w14:paraId="280F6A1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0.94</w:t>
            </w:r>
          </w:p>
          <w:p w14:paraId="7265860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BD4026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0.82</w:t>
            </w:r>
          </w:p>
          <w:p w14:paraId="4F6C077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09" w:type="pct"/>
            <w:noWrap/>
            <w:vAlign w:val="center"/>
            <w:hideMark/>
          </w:tcPr>
          <w:p w14:paraId="7E687F2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r>
      <w:tr w:rsidR="007E0ABC" w:rsidRPr="008C7785" w14:paraId="401BEEC4" w14:textId="77777777" w:rsidTr="008D4BC9">
        <w:trPr>
          <w:trHeight w:val="283"/>
        </w:trPr>
        <w:tc>
          <w:tcPr>
            <w:tcW w:w="403" w:type="pct"/>
            <w:noWrap/>
            <w:vAlign w:val="center"/>
            <w:hideMark/>
          </w:tcPr>
          <w:p w14:paraId="0BA332AC" w14:textId="77777777" w:rsidR="007E0ABC" w:rsidRPr="008C7785" w:rsidRDefault="007E0ABC" w:rsidP="008D4BC9">
            <w:pPr>
              <w:contextualSpacing/>
              <w:jc w:val="center"/>
              <w:rPr>
                <w:rFonts w:ascii="Helvetica" w:eastAsia="Times New Roman" w:hAnsi="Helvetica" w:cs="Calibri"/>
                <w:b/>
                <w:bCs/>
                <w:color w:val="333333"/>
                <w:sz w:val="13"/>
                <w:szCs w:val="13"/>
                <w:lang w:eastAsia="en-GB"/>
              </w:rPr>
            </w:pPr>
            <w:r w:rsidRPr="008C7785">
              <w:rPr>
                <w:rFonts w:ascii="Helvetica" w:eastAsia="Times New Roman" w:hAnsi="Helvetica" w:cs="Calibri"/>
                <w:b/>
                <w:bCs/>
                <w:color w:val="333333"/>
                <w:sz w:val="13"/>
                <w:szCs w:val="13"/>
                <w:lang w:eastAsia="en-GB"/>
              </w:rPr>
              <w:t>Large k</w:t>
            </w:r>
          </w:p>
        </w:tc>
        <w:tc>
          <w:tcPr>
            <w:tcW w:w="283" w:type="pct"/>
            <w:noWrap/>
            <w:vAlign w:val="center"/>
            <w:hideMark/>
          </w:tcPr>
          <w:p w14:paraId="0EDBADA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0.29*</w:t>
            </w:r>
          </w:p>
        </w:tc>
        <w:tc>
          <w:tcPr>
            <w:tcW w:w="216" w:type="pct"/>
            <w:noWrap/>
            <w:vAlign w:val="center"/>
            <w:hideMark/>
          </w:tcPr>
          <w:p w14:paraId="1CA0B55C"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-0.19</w:t>
            </w:r>
          </w:p>
        </w:tc>
        <w:tc>
          <w:tcPr>
            <w:tcW w:w="216" w:type="pct"/>
            <w:noWrap/>
            <w:vAlign w:val="center"/>
            <w:hideMark/>
          </w:tcPr>
          <w:p w14:paraId="5C5A42E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0.17</w:t>
            </w:r>
          </w:p>
        </w:tc>
        <w:tc>
          <w:tcPr>
            <w:tcW w:w="216" w:type="pct"/>
            <w:noWrap/>
            <w:vAlign w:val="center"/>
            <w:hideMark/>
          </w:tcPr>
          <w:p w14:paraId="0DC60991"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0.31*</w:t>
            </w:r>
          </w:p>
        </w:tc>
        <w:tc>
          <w:tcPr>
            <w:tcW w:w="215" w:type="pct"/>
            <w:noWrap/>
            <w:vAlign w:val="center"/>
            <w:hideMark/>
          </w:tcPr>
          <w:p w14:paraId="0169AB23"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0.12</w:t>
            </w:r>
          </w:p>
        </w:tc>
        <w:tc>
          <w:tcPr>
            <w:tcW w:w="218" w:type="pct"/>
            <w:noWrap/>
            <w:vAlign w:val="center"/>
            <w:hideMark/>
          </w:tcPr>
          <w:p w14:paraId="4DD71EA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0.21</w:t>
            </w:r>
          </w:p>
        </w:tc>
        <w:tc>
          <w:tcPr>
            <w:tcW w:w="216" w:type="pct"/>
            <w:noWrap/>
            <w:vAlign w:val="center"/>
            <w:hideMark/>
          </w:tcPr>
          <w:p w14:paraId="50C0BF3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-0.12</w:t>
            </w:r>
          </w:p>
        </w:tc>
        <w:tc>
          <w:tcPr>
            <w:tcW w:w="216" w:type="pct"/>
            <w:noWrap/>
            <w:vAlign w:val="center"/>
            <w:hideMark/>
          </w:tcPr>
          <w:p w14:paraId="0D73B922"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-0.11</w:t>
            </w:r>
          </w:p>
        </w:tc>
        <w:tc>
          <w:tcPr>
            <w:tcW w:w="216" w:type="pct"/>
            <w:noWrap/>
            <w:vAlign w:val="center"/>
            <w:hideMark/>
          </w:tcPr>
          <w:p w14:paraId="2B920A4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0.19</w:t>
            </w:r>
          </w:p>
        </w:tc>
        <w:tc>
          <w:tcPr>
            <w:tcW w:w="216" w:type="pct"/>
            <w:noWrap/>
            <w:vAlign w:val="center"/>
            <w:hideMark/>
          </w:tcPr>
          <w:p w14:paraId="1CA0C66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0.05</w:t>
            </w:r>
          </w:p>
        </w:tc>
        <w:tc>
          <w:tcPr>
            <w:tcW w:w="216" w:type="pct"/>
            <w:noWrap/>
            <w:vAlign w:val="center"/>
            <w:hideMark/>
          </w:tcPr>
          <w:p w14:paraId="5EE7D58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7EF8594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0.15</w:t>
            </w:r>
          </w:p>
        </w:tc>
        <w:tc>
          <w:tcPr>
            <w:tcW w:w="216" w:type="pct"/>
            <w:noWrap/>
            <w:vAlign w:val="center"/>
            <w:hideMark/>
          </w:tcPr>
          <w:p w14:paraId="1886484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0.26*</w:t>
            </w:r>
          </w:p>
        </w:tc>
        <w:tc>
          <w:tcPr>
            <w:tcW w:w="216" w:type="pct"/>
            <w:noWrap/>
            <w:vAlign w:val="center"/>
            <w:hideMark/>
          </w:tcPr>
          <w:p w14:paraId="728F578E"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0.09</w:t>
            </w:r>
          </w:p>
        </w:tc>
        <w:tc>
          <w:tcPr>
            <w:tcW w:w="216" w:type="pct"/>
            <w:noWrap/>
            <w:vAlign w:val="center"/>
            <w:hideMark/>
          </w:tcPr>
          <w:p w14:paraId="001ED049"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-0.08</w:t>
            </w:r>
          </w:p>
        </w:tc>
        <w:tc>
          <w:tcPr>
            <w:tcW w:w="216" w:type="pct"/>
            <w:noWrap/>
            <w:vAlign w:val="center"/>
            <w:hideMark/>
          </w:tcPr>
          <w:p w14:paraId="39293100"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7C49947B"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0.01</w:t>
            </w:r>
          </w:p>
        </w:tc>
        <w:tc>
          <w:tcPr>
            <w:tcW w:w="216" w:type="pct"/>
            <w:noWrap/>
            <w:vAlign w:val="center"/>
            <w:hideMark/>
          </w:tcPr>
          <w:p w14:paraId="2DD225DA"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-0.13</w:t>
            </w:r>
          </w:p>
        </w:tc>
        <w:tc>
          <w:tcPr>
            <w:tcW w:w="216" w:type="pct"/>
            <w:noWrap/>
            <w:vAlign w:val="center"/>
            <w:hideMark/>
          </w:tcPr>
          <w:p w14:paraId="7202D6B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0.97</w:t>
            </w:r>
          </w:p>
          <w:p w14:paraId="71F3FEFF"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16" w:type="pct"/>
            <w:noWrap/>
            <w:vAlign w:val="center"/>
            <w:hideMark/>
          </w:tcPr>
          <w:p w14:paraId="388A78A5"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0.81</w:t>
            </w:r>
          </w:p>
          <w:p w14:paraId="33431D18"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c>
          <w:tcPr>
            <w:tcW w:w="209" w:type="pct"/>
            <w:noWrap/>
            <w:vAlign w:val="center"/>
            <w:hideMark/>
          </w:tcPr>
          <w:p w14:paraId="30C002AD"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0.93</w:t>
            </w:r>
          </w:p>
          <w:p w14:paraId="51338256" w14:textId="77777777" w:rsidR="007E0ABC" w:rsidRPr="008C7785" w:rsidRDefault="007E0ABC" w:rsidP="008D4BC9">
            <w:pPr>
              <w:contextualSpacing/>
              <w:jc w:val="center"/>
              <w:rPr>
                <w:rFonts w:ascii="Helvetica" w:eastAsia="Times New Roman" w:hAnsi="Helvetica" w:cs="Calibri"/>
                <w:color w:val="333333"/>
                <w:sz w:val="13"/>
                <w:szCs w:val="13"/>
                <w:lang w:eastAsia="en-GB"/>
              </w:rPr>
            </w:pPr>
            <w:r w:rsidRPr="008C7785">
              <w:rPr>
                <w:rFonts w:ascii="Helvetica" w:eastAsia="Times New Roman" w:hAnsi="Helvetica" w:cs="Calibri"/>
                <w:color w:val="333333"/>
                <w:sz w:val="13"/>
                <w:szCs w:val="13"/>
                <w:lang w:eastAsia="en-GB"/>
              </w:rPr>
              <w:t>***</w:t>
            </w:r>
          </w:p>
        </w:tc>
      </w:tr>
    </w:tbl>
    <w:p w14:paraId="0AA3A0A9" w14:textId="77777777" w:rsidR="007E0ABC" w:rsidRDefault="007E0ABC" w:rsidP="001B6A38">
      <w:pPr>
        <w:rPr>
          <w:szCs w:val="20"/>
        </w:rPr>
      </w:pPr>
    </w:p>
    <w:p w14:paraId="42572380" w14:textId="77777777" w:rsidR="007E0ABC" w:rsidRDefault="007E0ABC" w:rsidP="001B6A38">
      <w:pPr>
        <w:rPr>
          <w:szCs w:val="20"/>
        </w:rPr>
      </w:pPr>
    </w:p>
    <w:p w14:paraId="23F9B081" w14:textId="77777777" w:rsidR="007E0ABC" w:rsidRDefault="007E0ABC" w:rsidP="001B6A38">
      <w:pPr>
        <w:rPr>
          <w:szCs w:val="20"/>
        </w:rPr>
      </w:pPr>
    </w:p>
    <w:p w14:paraId="3CF517E2" w14:textId="77777777" w:rsidR="007E0ABC" w:rsidRDefault="007E0ABC" w:rsidP="001B6A38">
      <w:pPr>
        <w:rPr>
          <w:szCs w:val="20"/>
        </w:rPr>
      </w:pPr>
    </w:p>
    <w:p w14:paraId="21A21CD5" w14:textId="77777777" w:rsidR="007E0ABC" w:rsidRDefault="007E0ABC" w:rsidP="001B6A38">
      <w:pPr>
        <w:rPr>
          <w:szCs w:val="20"/>
        </w:rPr>
      </w:pPr>
    </w:p>
    <w:p w14:paraId="6338E826" w14:textId="77777777" w:rsidR="007E0ABC" w:rsidRPr="00ED19A9" w:rsidRDefault="007E0ABC" w:rsidP="00ED19A9">
      <w:pPr>
        <w:rPr>
          <w:szCs w:val="20"/>
        </w:rPr>
      </w:pPr>
      <w:r>
        <w:rPr>
          <w:szCs w:val="20"/>
        </w:rPr>
        <w:br w:type="page"/>
      </w:r>
    </w:p>
    <w:p w14:paraId="192EF2AB" w14:textId="77777777" w:rsidR="007E0ABC" w:rsidRDefault="007E0ABC" w:rsidP="00426200">
      <w:pPr>
        <w:pStyle w:val="Subtitle"/>
        <w:spacing w:after="0"/>
        <w:jc w:val="center"/>
        <w:rPr>
          <w:rFonts w:ascii="Avenir Book" w:hAnsi="Avenir Book"/>
          <w:i/>
          <w:iCs/>
          <w:sz w:val="28"/>
          <w:szCs w:val="28"/>
        </w:rPr>
      </w:pPr>
      <w:r w:rsidRPr="00C260F1">
        <w:rPr>
          <w:rFonts w:ascii="Avenir Book" w:hAnsi="Avenir Book"/>
          <w:iCs/>
          <w:sz w:val="28"/>
          <w:szCs w:val="28"/>
        </w:rPr>
        <w:lastRenderedPageBreak/>
        <w:t xml:space="preserve">Appendix </w:t>
      </w:r>
      <w:r>
        <w:rPr>
          <w:rFonts w:ascii="Avenir Book" w:hAnsi="Avenir Book"/>
          <w:iCs/>
          <w:sz w:val="28"/>
          <w:szCs w:val="28"/>
        </w:rPr>
        <w:t>F</w:t>
      </w:r>
      <w:r w:rsidRPr="00C260F1">
        <w:rPr>
          <w:rFonts w:ascii="Avenir Book" w:hAnsi="Avenir Book"/>
          <w:iCs/>
          <w:sz w:val="28"/>
          <w:szCs w:val="28"/>
        </w:rPr>
        <w:t xml:space="preserve"> – </w:t>
      </w:r>
      <w:r w:rsidRPr="000B2985">
        <w:rPr>
          <w:rFonts w:ascii="Avenir Book" w:hAnsi="Avenir Book"/>
          <w:iCs/>
          <w:sz w:val="28"/>
          <w:szCs w:val="28"/>
        </w:rPr>
        <w:t>Affective Cognition Supplementary Data</w:t>
      </w:r>
    </w:p>
    <w:tbl>
      <w:tblPr>
        <w:tblStyle w:val="TableGridLight"/>
        <w:tblpPr w:leftFromText="180" w:rightFromText="180" w:vertAnchor="page" w:horzAnchor="margin" w:tblpXSpec="center" w:tblpY="2101"/>
        <w:tblW w:w="5252" w:type="pct"/>
        <w:tblLayout w:type="fixed"/>
        <w:tblLook w:val="04A0" w:firstRow="1" w:lastRow="0" w:firstColumn="1" w:lastColumn="0" w:noHBand="0" w:noVBand="1"/>
      </w:tblPr>
      <w:tblGrid>
        <w:gridCol w:w="688"/>
        <w:gridCol w:w="542"/>
        <w:gridCol w:w="414"/>
        <w:gridCol w:w="413"/>
        <w:gridCol w:w="413"/>
        <w:gridCol w:w="409"/>
        <w:gridCol w:w="416"/>
        <w:gridCol w:w="413"/>
        <w:gridCol w:w="413"/>
        <w:gridCol w:w="411"/>
        <w:gridCol w:w="411"/>
        <w:gridCol w:w="411"/>
        <w:gridCol w:w="411"/>
        <w:gridCol w:w="411"/>
        <w:gridCol w:w="411"/>
        <w:gridCol w:w="411"/>
        <w:gridCol w:w="411"/>
        <w:gridCol w:w="411"/>
        <w:gridCol w:w="411"/>
        <w:gridCol w:w="411"/>
        <w:gridCol w:w="411"/>
        <w:gridCol w:w="411"/>
      </w:tblGrid>
      <w:tr w:rsidR="007E0ABC" w:rsidRPr="00426200" w14:paraId="4B67EC81" w14:textId="77777777" w:rsidTr="008D4BC9">
        <w:trPr>
          <w:trHeight w:val="699"/>
        </w:trPr>
        <w:tc>
          <w:tcPr>
            <w:tcW w:w="363" w:type="pct"/>
            <w:noWrap/>
            <w:vAlign w:val="center"/>
            <w:hideMark/>
          </w:tcPr>
          <w:p w14:paraId="39203D13" w14:textId="77777777" w:rsidR="007E0ABC" w:rsidRPr="00426200" w:rsidRDefault="007E0ABC" w:rsidP="008D4BC9">
            <w:pPr>
              <w:jc w:val="center"/>
              <w:rPr>
                <w:rFonts w:ascii="Times New Roman" w:eastAsia="Times New Roman" w:hAnsi="Times New Roman" w:cs="Times New Roman"/>
                <w:b/>
                <w:bCs/>
                <w:sz w:val="13"/>
                <w:szCs w:val="13"/>
                <w:lang w:eastAsia="en-GB"/>
              </w:rPr>
            </w:pPr>
          </w:p>
        </w:tc>
        <w:tc>
          <w:tcPr>
            <w:tcW w:w="286" w:type="pct"/>
            <w:noWrap/>
            <w:vAlign w:val="center"/>
            <w:hideMark/>
          </w:tcPr>
          <w:p w14:paraId="24D3C929"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Gender</w:t>
            </w:r>
          </w:p>
        </w:tc>
        <w:tc>
          <w:tcPr>
            <w:tcW w:w="218" w:type="pct"/>
            <w:noWrap/>
            <w:vAlign w:val="center"/>
            <w:hideMark/>
          </w:tcPr>
          <w:p w14:paraId="6BD8F9C4"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SES</w:t>
            </w:r>
          </w:p>
        </w:tc>
        <w:tc>
          <w:tcPr>
            <w:tcW w:w="218" w:type="pct"/>
            <w:noWrap/>
            <w:vAlign w:val="center"/>
            <w:hideMark/>
          </w:tcPr>
          <w:p w14:paraId="7DF2C62A"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DERS</w:t>
            </w:r>
          </w:p>
        </w:tc>
        <w:tc>
          <w:tcPr>
            <w:tcW w:w="218" w:type="pct"/>
            <w:noWrap/>
            <w:vAlign w:val="center"/>
            <w:hideMark/>
          </w:tcPr>
          <w:p w14:paraId="65A94419"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GAD7</w:t>
            </w:r>
          </w:p>
        </w:tc>
        <w:tc>
          <w:tcPr>
            <w:tcW w:w="216" w:type="pct"/>
            <w:noWrap/>
            <w:vAlign w:val="center"/>
            <w:hideMark/>
          </w:tcPr>
          <w:p w14:paraId="29A66340"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PHQ9</w:t>
            </w:r>
          </w:p>
        </w:tc>
        <w:tc>
          <w:tcPr>
            <w:tcW w:w="220" w:type="pct"/>
            <w:noWrap/>
            <w:vAlign w:val="center"/>
            <w:hideMark/>
          </w:tcPr>
          <w:p w14:paraId="6F3A64DD"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PHQ</w:t>
            </w:r>
          </w:p>
          <w:p w14:paraId="2E3C7197"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-15</w:t>
            </w:r>
          </w:p>
        </w:tc>
        <w:tc>
          <w:tcPr>
            <w:tcW w:w="218" w:type="pct"/>
            <w:noWrap/>
            <w:vAlign w:val="center"/>
            <w:hideMark/>
          </w:tcPr>
          <w:p w14:paraId="5FDE78B5"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EASE-F</w:t>
            </w:r>
          </w:p>
        </w:tc>
        <w:tc>
          <w:tcPr>
            <w:tcW w:w="218" w:type="pct"/>
            <w:noWrap/>
            <w:vAlign w:val="center"/>
            <w:hideMark/>
          </w:tcPr>
          <w:p w14:paraId="74C9A333"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EQ</w:t>
            </w:r>
          </w:p>
          <w:p w14:paraId="7686C77F"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utility</w:t>
            </w:r>
          </w:p>
        </w:tc>
        <w:tc>
          <w:tcPr>
            <w:tcW w:w="217" w:type="pct"/>
            <w:noWrap/>
            <w:vAlign w:val="center"/>
            <w:hideMark/>
          </w:tcPr>
          <w:p w14:paraId="2BA0499A"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 xml:space="preserve">MZ </w:t>
            </w:r>
            <w:proofErr w:type="spellStart"/>
            <w:r w:rsidRPr="00426200">
              <w:rPr>
                <w:rFonts w:ascii="Helvetica" w:eastAsia="Times New Roman" w:hAnsi="Helvetica" w:cs="Calibri"/>
                <w:b/>
                <w:bCs/>
                <w:color w:val="333333"/>
                <w:sz w:val="13"/>
                <w:szCs w:val="13"/>
                <w:lang w:eastAsia="en-GB"/>
              </w:rPr>
              <w:t>Anx</w:t>
            </w:r>
            <w:proofErr w:type="spellEnd"/>
            <w:r w:rsidRPr="00426200">
              <w:rPr>
                <w:rFonts w:ascii="Helvetica" w:eastAsia="Times New Roman" w:hAnsi="Helvetica" w:cs="Calibri"/>
                <w:b/>
                <w:bCs/>
                <w:color w:val="333333"/>
                <w:sz w:val="13"/>
                <w:szCs w:val="13"/>
                <w:lang w:eastAsia="en-GB"/>
              </w:rPr>
              <w:t>.</w:t>
            </w:r>
          </w:p>
        </w:tc>
        <w:tc>
          <w:tcPr>
            <w:tcW w:w="217" w:type="pct"/>
            <w:noWrap/>
            <w:vAlign w:val="center"/>
            <w:hideMark/>
          </w:tcPr>
          <w:p w14:paraId="3F34532A"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w:t>
            </w:r>
          </w:p>
          <w:p w14:paraId="55675144" w14:textId="77777777" w:rsidR="007E0ABC" w:rsidRPr="00426200" w:rsidRDefault="007E0ABC" w:rsidP="008D4BC9">
            <w:pPr>
              <w:jc w:val="center"/>
              <w:rPr>
                <w:rFonts w:ascii="Helvetica" w:eastAsia="Times New Roman" w:hAnsi="Helvetica" w:cs="Calibri"/>
                <w:b/>
                <w:bCs/>
                <w:color w:val="333333"/>
                <w:sz w:val="13"/>
                <w:szCs w:val="13"/>
                <w:lang w:eastAsia="en-GB"/>
              </w:rPr>
            </w:pPr>
            <w:proofErr w:type="spellStart"/>
            <w:r w:rsidRPr="00426200">
              <w:rPr>
                <w:rFonts w:ascii="Helvetica" w:eastAsia="Times New Roman" w:hAnsi="Helvetica" w:cs="Calibri"/>
                <w:b/>
                <w:bCs/>
                <w:color w:val="333333"/>
                <w:sz w:val="13"/>
                <w:szCs w:val="13"/>
                <w:lang w:eastAsia="en-GB"/>
              </w:rPr>
              <w:t>Elat</w:t>
            </w:r>
            <w:proofErr w:type="spellEnd"/>
            <w:r w:rsidRPr="00426200">
              <w:rPr>
                <w:rFonts w:ascii="Helvetica" w:eastAsia="Times New Roman" w:hAnsi="Helvetica" w:cs="Calibri"/>
                <w:b/>
                <w:bCs/>
                <w:color w:val="333333"/>
                <w:sz w:val="13"/>
                <w:szCs w:val="13"/>
                <w:lang w:eastAsia="en-GB"/>
              </w:rPr>
              <w:t>.</w:t>
            </w:r>
          </w:p>
        </w:tc>
        <w:tc>
          <w:tcPr>
            <w:tcW w:w="217" w:type="pct"/>
            <w:noWrap/>
            <w:vAlign w:val="center"/>
            <w:hideMark/>
          </w:tcPr>
          <w:p w14:paraId="77A583D4"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w:t>
            </w:r>
          </w:p>
          <w:p w14:paraId="23BF4BF6"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Sad</w:t>
            </w:r>
          </w:p>
        </w:tc>
        <w:tc>
          <w:tcPr>
            <w:tcW w:w="217" w:type="pct"/>
            <w:noWrap/>
            <w:vAlign w:val="center"/>
            <w:hideMark/>
          </w:tcPr>
          <w:p w14:paraId="7CD1DE3A"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w:t>
            </w:r>
          </w:p>
          <w:p w14:paraId="1A474A50" w14:textId="77777777" w:rsidR="007E0ABC" w:rsidRPr="00426200" w:rsidRDefault="007E0ABC" w:rsidP="008D4BC9">
            <w:pPr>
              <w:jc w:val="center"/>
              <w:rPr>
                <w:rFonts w:ascii="Helvetica" w:eastAsia="Times New Roman" w:hAnsi="Helvetica" w:cs="Calibri"/>
                <w:b/>
                <w:bCs/>
                <w:color w:val="333333"/>
                <w:sz w:val="13"/>
                <w:szCs w:val="13"/>
                <w:lang w:eastAsia="en-GB"/>
              </w:rPr>
            </w:pPr>
            <w:proofErr w:type="spellStart"/>
            <w:r w:rsidRPr="00426200">
              <w:rPr>
                <w:rFonts w:ascii="Helvetica" w:eastAsia="Times New Roman" w:hAnsi="Helvetica" w:cs="Calibri"/>
                <w:b/>
                <w:bCs/>
                <w:color w:val="333333"/>
                <w:sz w:val="13"/>
                <w:szCs w:val="13"/>
                <w:lang w:eastAsia="en-GB"/>
              </w:rPr>
              <w:t>Angr</w:t>
            </w:r>
            <w:proofErr w:type="spellEnd"/>
            <w:r w:rsidRPr="00426200">
              <w:rPr>
                <w:rFonts w:ascii="Helvetica" w:eastAsia="Times New Roman" w:hAnsi="Helvetica" w:cs="Calibri"/>
                <w:b/>
                <w:bCs/>
                <w:color w:val="333333"/>
                <w:sz w:val="13"/>
                <w:szCs w:val="13"/>
                <w:lang w:eastAsia="en-GB"/>
              </w:rPr>
              <w:t>.</w:t>
            </w:r>
          </w:p>
        </w:tc>
        <w:tc>
          <w:tcPr>
            <w:tcW w:w="217" w:type="pct"/>
            <w:noWrap/>
            <w:vAlign w:val="center"/>
            <w:hideMark/>
          </w:tcPr>
          <w:p w14:paraId="3BFAA0A0"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w:t>
            </w:r>
          </w:p>
          <w:p w14:paraId="18F0F17E" w14:textId="77777777" w:rsidR="007E0ABC" w:rsidRPr="00426200" w:rsidRDefault="007E0ABC" w:rsidP="008D4BC9">
            <w:pPr>
              <w:jc w:val="center"/>
              <w:rPr>
                <w:rFonts w:ascii="Helvetica" w:eastAsia="Times New Roman" w:hAnsi="Helvetica" w:cs="Calibri"/>
                <w:b/>
                <w:bCs/>
                <w:color w:val="333333"/>
                <w:sz w:val="13"/>
                <w:szCs w:val="13"/>
                <w:lang w:eastAsia="en-GB"/>
              </w:rPr>
            </w:pPr>
            <w:proofErr w:type="spellStart"/>
            <w:r w:rsidRPr="00426200">
              <w:rPr>
                <w:rFonts w:ascii="Helvetica" w:eastAsia="Times New Roman" w:hAnsi="Helvetica" w:cs="Calibri"/>
                <w:b/>
                <w:bCs/>
                <w:color w:val="333333"/>
                <w:sz w:val="13"/>
                <w:szCs w:val="13"/>
                <w:lang w:eastAsia="en-GB"/>
              </w:rPr>
              <w:t>Irrit</w:t>
            </w:r>
            <w:proofErr w:type="spellEnd"/>
            <w:r w:rsidRPr="00426200">
              <w:rPr>
                <w:rFonts w:ascii="Helvetica" w:eastAsia="Times New Roman" w:hAnsi="Helvetica" w:cs="Calibri"/>
                <w:b/>
                <w:bCs/>
                <w:color w:val="333333"/>
                <w:sz w:val="13"/>
                <w:szCs w:val="13"/>
                <w:lang w:eastAsia="en-GB"/>
              </w:rPr>
              <w:t>.</w:t>
            </w:r>
          </w:p>
        </w:tc>
        <w:tc>
          <w:tcPr>
            <w:tcW w:w="217" w:type="pct"/>
            <w:noWrap/>
            <w:vAlign w:val="center"/>
            <w:hideMark/>
          </w:tcPr>
          <w:p w14:paraId="6E6D40AB"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w:t>
            </w:r>
          </w:p>
          <w:p w14:paraId="7056CE6A"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Ener.</w:t>
            </w:r>
          </w:p>
        </w:tc>
        <w:tc>
          <w:tcPr>
            <w:tcW w:w="217" w:type="pct"/>
            <w:noWrap/>
            <w:vAlign w:val="center"/>
            <w:hideMark/>
          </w:tcPr>
          <w:p w14:paraId="4D39A0BC"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w:t>
            </w:r>
            <w:proofErr w:type="spellStart"/>
            <w:r w:rsidRPr="00426200">
              <w:rPr>
                <w:rFonts w:ascii="Helvetica" w:eastAsia="Times New Roman" w:hAnsi="Helvetica" w:cs="Calibri"/>
                <w:b/>
                <w:bCs/>
                <w:color w:val="333333"/>
                <w:sz w:val="13"/>
                <w:szCs w:val="13"/>
                <w:lang w:eastAsia="en-GB"/>
              </w:rPr>
              <w:t>ve</w:t>
            </w:r>
            <w:proofErr w:type="spellEnd"/>
            <w:r w:rsidRPr="00426200">
              <w:rPr>
                <w:rFonts w:ascii="Helvetica" w:eastAsia="Times New Roman" w:hAnsi="Helvetica" w:cs="Calibri"/>
                <w:b/>
                <w:bCs/>
                <w:color w:val="333333"/>
                <w:sz w:val="13"/>
                <w:szCs w:val="13"/>
                <w:lang w:eastAsia="en-GB"/>
              </w:rPr>
              <w:t xml:space="preserve"> NAP Index</w:t>
            </w:r>
          </w:p>
        </w:tc>
        <w:tc>
          <w:tcPr>
            <w:tcW w:w="217" w:type="pct"/>
            <w:noWrap/>
            <w:vAlign w:val="center"/>
            <w:hideMark/>
          </w:tcPr>
          <w:p w14:paraId="36D81940"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w:t>
            </w:r>
            <w:proofErr w:type="spellStart"/>
            <w:r w:rsidRPr="00426200">
              <w:rPr>
                <w:rFonts w:ascii="Helvetica" w:eastAsia="Times New Roman" w:hAnsi="Helvetica" w:cs="Calibri"/>
                <w:b/>
                <w:bCs/>
                <w:color w:val="333333"/>
                <w:sz w:val="13"/>
                <w:szCs w:val="13"/>
                <w:lang w:eastAsia="en-GB"/>
              </w:rPr>
              <w:t>ve</w:t>
            </w:r>
            <w:proofErr w:type="spellEnd"/>
            <w:r w:rsidRPr="00426200">
              <w:rPr>
                <w:rFonts w:ascii="Helvetica" w:eastAsia="Times New Roman" w:hAnsi="Helvetica" w:cs="Calibri"/>
                <w:b/>
                <w:bCs/>
                <w:color w:val="333333"/>
                <w:sz w:val="13"/>
                <w:szCs w:val="13"/>
                <w:lang w:eastAsia="en-GB"/>
              </w:rPr>
              <w:t xml:space="preserve"> NAP Index</w:t>
            </w:r>
          </w:p>
        </w:tc>
        <w:tc>
          <w:tcPr>
            <w:tcW w:w="217" w:type="pct"/>
            <w:noWrap/>
            <w:vAlign w:val="center"/>
            <w:hideMark/>
          </w:tcPr>
          <w:p w14:paraId="1B4D74A2"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w:t>
            </w:r>
            <w:proofErr w:type="spellStart"/>
            <w:r w:rsidRPr="00426200">
              <w:rPr>
                <w:rFonts w:ascii="Helvetica" w:eastAsia="Times New Roman" w:hAnsi="Helvetica" w:cs="Calibri"/>
                <w:b/>
                <w:bCs/>
                <w:color w:val="333333"/>
                <w:sz w:val="13"/>
                <w:szCs w:val="13"/>
                <w:lang w:eastAsia="en-GB"/>
              </w:rPr>
              <w:t>ve</w:t>
            </w:r>
            <w:proofErr w:type="spellEnd"/>
            <w:r w:rsidRPr="00426200">
              <w:rPr>
                <w:rFonts w:ascii="Helvetica" w:eastAsia="Times New Roman" w:hAnsi="Helvetica" w:cs="Calibri"/>
                <w:b/>
                <w:bCs/>
                <w:color w:val="333333"/>
                <w:sz w:val="13"/>
                <w:szCs w:val="13"/>
                <w:lang w:eastAsia="en-GB"/>
              </w:rPr>
              <w:t xml:space="preserve"> INT Index</w:t>
            </w:r>
          </w:p>
        </w:tc>
        <w:tc>
          <w:tcPr>
            <w:tcW w:w="217" w:type="pct"/>
            <w:noWrap/>
            <w:vAlign w:val="center"/>
            <w:hideMark/>
          </w:tcPr>
          <w:p w14:paraId="0580302A"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w:t>
            </w:r>
            <w:proofErr w:type="spellStart"/>
            <w:r w:rsidRPr="00426200">
              <w:rPr>
                <w:rFonts w:ascii="Helvetica" w:eastAsia="Times New Roman" w:hAnsi="Helvetica" w:cs="Calibri"/>
                <w:b/>
                <w:bCs/>
                <w:color w:val="333333"/>
                <w:sz w:val="13"/>
                <w:szCs w:val="13"/>
                <w:lang w:eastAsia="en-GB"/>
              </w:rPr>
              <w:t>ve</w:t>
            </w:r>
            <w:proofErr w:type="spellEnd"/>
            <w:r w:rsidRPr="00426200">
              <w:rPr>
                <w:rFonts w:ascii="Helvetica" w:eastAsia="Times New Roman" w:hAnsi="Helvetica" w:cs="Calibri"/>
                <w:b/>
                <w:bCs/>
                <w:color w:val="333333"/>
                <w:sz w:val="13"/>
                <w:szCs w:val="13"/>
                <w:lang w:eastAsia="en-GB"/>
              </w:rPr>
              <w:t xml:space="preserve"> </w:t>
            </w:r>
          </w:p>
          <w:p w14:paraId="21C46F69"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INT Index</w:t>
            </w:r>
          </w:p>
        </w:tc>
        <w:tc>
          <w:tcPr>
            <w:tcW w:w="217" w:type="pct"/>
            <w:noWrap/>
            <w:vAlign w:val="center"/>
            <w:hideMark/>
          </w:tcPr>
          <w:p w14:paraId="07F2D2CF"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Overall k</w:t>
            </w:r>
          </w:p>
        </w:tc>
        <w:tc>
          <w:tcPr>
            <w:tcW w:w="217" w:type="pct"/>
            <w:noWrap/>
            <w:vAlign w:val="center"/>
            <w:hideMark/>
          </w:tcPr>
          <w:p w14:paraId="098E0381"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Small k</w:t>
            </w:r>
          </w:p>
        </w:tc>
        <w:tc>
          <w:tcPr>
            <w:tcW w:w="217" w:type="pct"/>
            <w:noWrap/>
            <w:vAlign w:val="center"/>
            <w:hideMark/>
          </w:tcPr>
          <w:p w14:paraId="28291719"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Medium k</w:t>
            </w:r>
          </w:p>
        </w:tc>
      </w:tr>
      <w:tr w:rsidR="007E0ABC" w:rsidRPr="00426200" w14:paraId="4BC04555" w14:textId="77777777" w:rsidTr="008D4BC9">
        <w:trPr>
          <w:trHeight w:val="283"/>
        </w:trPr>
        <w:tc>
          <w:tcPr>
            <w:tcW w:w="363" w:type="pct"/>
            <w:noWrap/>
            <w:vAlign w:val="center"/>
            <w:hideMark/>
          </w:tcPr>
          <w:p w14:paraId="6CE8E335"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SES</w:t>
            </w:r>
          </w:p>
        </w:tc>
        <w:tc>
          <w:tcPr>
            <w:tcW w:w="286" w:type="pct"/>
            <w:noWrap/>
            <w:vAlign w:val="center"/>
            <w:hideMark/>
          </w:tcPr>
          <w:p w14:paraId="3D6159F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-0.33*</w:t>
            </w:r>
          </w:p>
        </w:tc>
        <w:tc>
          <w:tcPr>
            <w:tcW w:w="218" w:type="pct"/>
            <w:noWrap/>
            <w:vAlign w:val="center"/>
            <w:hideMark/>
          </w:tcPr>
          <w:p w14:paraId="5AC65B4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06A8DC96"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8" w:type="pct"/>
            <w:noWrap/>
            <w:vAlign w:val="center"/>
            <w:hideMark/>
          </w:tcPr>
          <w:p w14:paraId="17230A8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6" w:type="pct"/>
            <w:noWrap/>
            <w:vAlign w:val="center"/>
            <w:hideMark/>
          </w:tcPr>
          <w:p w14:paraId="3657EB6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20" w:type="pct"/>
            <w:noWrap/>
            <w:vAlign w:val="center"/>
            <w:hideMark/>
          </w:tcPr>
          <w:p w14:paraId="65EED31D"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8" w:type="pct"/>
            <w:noWrap/>
            <w:vAlign w:val="center"/>
            <w:hideMark/>
          </w:tcPr>
          <w:p w14:paraId="1625F3AD"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8" w:type="pct"/>
            <w:noWrap/>
            <w:vAlign w:val="center"/>
            <w:hideMark/>
          </w:tcPr>
          <w:p w14:paraId="4901FC27"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C3348DF"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67F71A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237B0A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D814EE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4BD22B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6EA0A7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BA1643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98E165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AFB5CA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81F094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9B2C32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9F48B8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59978E8"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5C9A1CE2" w14:textId="77777777" w:rsidTr="008D4BC9">
        <w:trPr>
          <w:trHeight w:val="283"/>
        </w:trPr>
        <w:tc>
          <w:tcPr>
            <w:tcW w:w="363" w:type="pct"/>
            <w:noWrap/>
            <w:vAlign w:val="center"/>
            <w:hideMark/>
          </w:tcPr>
          <w:p w14:paraId="2A309AAF"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DERS</w:t>
            </w:r>
          </w:p>
        </w:tc>
        <w:tc>
          <w:tcPr>
            <w:tcW w:w="286" w:type="pct"/>
            <w:noWrap/>
            <w:vAlign w:val="center"/>
            <w:hideMark/>
          </w:tcPr>
          <w:p w14:paraId="25AAE60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0.24</w:t>
            </w:r>
          </w:p>
        </w:tc>
        <w:tc>
          <w:tcPr>
            <w:tcW w:w="218" w:type="pct"/>
            <w:noWrap/>
            <w:vAlign w:val="center"/>
            <w:hideMark/>
          </w:tcPr>
          <w:p w14:paraId="28471B5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-0.44***</w:t>
            </w:r>
          </w:p>
        </w:tc>
        <w:tc>
          <w:tcPr>
            <w:tcW w:w="218" w:type="pct"/>
            <w:noWrap/>
            <w:vAlign w:val="center"/>
            <w:hideMark/>
          </w:tcPr>
          <w:p w14:paraId="4AF1BEE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3735E1B6"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6" w:type="pct"/>
            <w:noWrap/>
            <w:vAlign w:val="center"/>
            <w:hideMark/>
          </w:tcPr>
          <w:p w14:paraId="2920E0A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20" w:type="pct"/>
            <w:noWrap/>
            <w:vAlign w:val="center"/>
            <w:hideMark/>
          </w:tcPr>
          <w:p w14:paraId="6D564E5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8" w:type="pct"/>
            <w:noWrap/>
            <w:vAlign w:val="center"/>
            <w:hideMark/>
          </w:tcPr>
          <w:p w14:paraId="23082EE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8" w:type="pct"/>
            <w:noWrap/>
            <w:vAlign w:val="center"/>
            <w:hideMark/>
          </w:tcPr>
          <w:p w14:paraId="0BFB4E7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2FE3E8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EB21205"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06A142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093B07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CE5F46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CDE5F6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9FF02A7"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715B3C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69DF35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48C3C1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2EA647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51D444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ED06AB3"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403DBF11" w14:textId="77777777" w:rsidTr="008D4BC9">
        <w:trPr>
          <w:trHeight w:val="283"/>
        </w:trPr>
        <w:tc>
          <w:tcPr>
            <w:tcW w:w="363" w:type="pct"/>
            <w:noWrap/>
            <w:vAlign w:val="center"/>
            <w:hideMark/>
          </w:tcPr>
          <w:p w14:paraId="1F52EB5C"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GAD7</w:t>
            </w:r>
          </w:p>
        </w:tc>
        <w:tc>
          <w:tcPr>
            <w:tcW w:w="286" w:type="pct"/>
            <w:noWrap/>
            <w:vAlign w:val="center"/>
            <w:hideMark/>
          </w:tcPr>
          <w:p w14:paraId="4B1BF96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8" w:type="pct"/>
            <w:noWrap/>
            <w:vAlign w:val="center"/>
            <w:hideMark/>
          </w:tcPr>
          <w:p w14:paraId="0B3C654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-0.37 **</w:t>
            </w:r>
          </w:p>
        </w:tc>
        <w:tc>
          <w:tcPr>
            <w:tcW w:w="218" w:type="pct"/>
            <w:noWrap/>
            <w:vAlign w:val="center"/>
            <w:hideMark/>
          </w:tcPr>
          <w:p w14:paraId="2705FB6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0.72</w:t>
            </w:r>
          </w:p>
          <w:p w14:paraId="2B89A6F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5AD7D6D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6" w:type="pct"/>
            <w:noWrap/>
            <w:vAlign w:val="center"/>
            <w:hideMark/>
          </w:tcPr>
          <w:p w14:paraId="255A6A13"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20" w:type="pct"/>
            <w:noWrap/>
            <w:vAlign w:val="center"/>
            <w:hideMark/>
          </w:tcPr>
          <w:p w14:paraId="18A41E9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8" w:type="pct"/>
            <w:noWrap/>
            <w:vAlign w:val="center"/>
            <w:hideMark/>
          </w:tcPr>
          <w:p w14:paraId="6B3554F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8" w:type="pct"/>
            <w:noWrap/>
            <w:vAlign w:val="center"/>
            <w:hideMark/>
          </w:tcPr>
          <w:p w14:paraId="7809CC6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AF3F75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C65AA8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34C3E5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F011B2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87C595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57BA62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3A33B8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82F9DF5"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5CB99C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ED6E545"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526659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D13AC9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6D1F8AD"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71CE69E9" w14:textId="77777777" w:rsidTr="008D4BC9">
        <w:trPr>
          <w:trHeight w:val="283"/>
        </w:trPr>
        <w:tc>
          <w:tcPr>
            <w:tcW w:w="363" w:type="pct"/>
            <w:noWrap/>
            <w:vAlign w:val="center"/>
            <w:hideMark/>
          </w:tcPr>
          <w:p w14:paraId="1BD7CE30"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PHQ9</w:t>
            </w:r>
          </w:p>
        </w:tc>
        <w:tc>
          <w:tcPr>
            <w:tcW w:w="286" w:type="pct"/>
            <w:noWrap/>
            <w:vAlign w:val="center"/>
            <w:hideMark/>
          </w:tcPr>
          <w:p w14:paraId="410DC73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18" w:type="pct"/>
            <w:noWrap/>
            <w:vAlign w:val="center"/>
            <w:hideMark/>
          </w:tcPr>
          <w:p w14:paraId="489FDF7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-0.34 **</w:t>
            </w:r>
          </w:p>
        </w:tc>
        <w:tc>
          <w:tcPr>
            <w:tcW w:w="218" w:type="pct"/>
            <w:noWrap/>
            <w:vAlign w:val="center"/>
            <w:hideMark/>
          </w:tcPr>
          <w:p w14:paraId="384CE6A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0.78</w:t>
            </w:r>
          </w:p>
          <w:p w14:paraId="793A136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4408064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0.7***</w:t>
            </w:r>
          </w:p>
        </w:tc>
        <w:tc>
          <w:tcPr>
            <w:tcW w:w="216" w:type="pct"/>
            <w:noWrap/>
            <w:vAlign w:val="center"/>
            <w:hideMark/>
          </w:tcPr>
          <w:p w14:paraId="02E4B45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20" w:type="pct"/>
            <w:noWrap/>
            <w:vAlign w:val="center"/>
            <w:hideMark/>
          </w:tcPr>
          <w:p w14:paraId="1AE8624D"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8" w:type="pct"/>
            <w:noWrap/>
            <w:vAlign w:val="center"/>
            <w:hideMark/>
          </w:tcPr>
          <w:p w14:paraId="600FE9E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8" w:type="pct"/>
            <w:noWrap/>
            <w:vAlign w:val="center"/>
            <w:hideMark/>
          </w:tcPr>
          <w:p w14:paraId="5D8C5FA3"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D3DD69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85D572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FE59BAF"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6924FAF"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607AE8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FBEAB6F"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0C3A4F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C9CFB23"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D5B5245"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36FFD4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A5563D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8E3118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A24689F"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121BB4A9" w14:textId="77777777" w:rsidTr="008D4BC9">
        <w:trPr>
          <w:trHeight w:val="283"/>
        </w:trPr>
        <w:tc>
          <w:tcPr>
            <w:tcW w:w="363" w:type="pct"/>
            <w:noWrap/>
            <w:vAlign w:val="center"/>
            <w:hideMark/>
          </w:tcPr>
          <w:p w14:paraId="16C1FACB"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PHQ15</w:t>
            </w:r>
          </w:p>
        </w:tc>
        <w:tc>
          <w:tcPr>
            <w:tcW w:w="286" w:type="pct"/>
            <w:noWrap/>
            <w:vAlign w:val="center"/>
            <w:hideMark/>
          </w:tcPr>
          <w:p w14:paraId="2ABF0DF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0.16</w:t>
            </w:r>
          </w:p>
        </w:tc>
        <w:tc>
          <w:tcPr>
            <w:tcW w:w="218" w:type="pct"/>
            <w:noWrap/>
            <w:vAlign w:val="center"/>
            <w:hideMark/>
          </w:tcPr>
          <w:p w14:paraId="7E88B7B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-0.37 **</w:t>
            </w:r>
          </w:p>
        </w:tc>
        <w:tc>
          <w:tcPr>
            <w:tcW w:w="218" w:type="pct"/>
            <w:noWrap/>
            <w:vAlign w:val="center"/>
            <w:hideMark/>
          </w:tcPr>
          <w:p w14:paraId="5DFCDDA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0.51</w:t>
            </w:r>
          </w:p>
          <w:p w14:paraId="48CFC7A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662B1AC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0.43 ***</w:t>
            </w:r>
          </w:p>
        </w:tc>
        <w:tc>
          <w:tcPr>
            <w:tcW w:w="216" w:type="pct"/>
            <w:noWrap/>
            <w:vAlign w:val="center"/>
            <w:hideMark/>
          </w:tcPr>
          <w:p w14:paraId="1EAFE8B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0.59* **</w:t>
            </w:r>
          </w:p>
        </w:tc>
        <w:tc>
          <w:tcPr>
            <w:tcW w:w="220" w:type="pct"/>
            <w:noWrap/>
            <w:vAlign w:val="center"/>
            <w:hideMark/>
          </w:tcPr>
          <w:p w14:paraId="5D80725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23AEC7ED"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8" w:type="pct"/>
            <w:noWrap/>
            <w:vAlign w:val="center"/>
            <w:hideMark/>
          </w:tcPr>
          <w:p w14:paraId="0338868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A8E6C3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4DA858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E40523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49F1C9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717A19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09E2F0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F7F53AB"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2B9BA7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A32231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0782ED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DAA155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101BAF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A6F7D03"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777F71CC" w14:textId="77777777" w:rsidTr="008D4BC9">
        <w:trPr>
          <w:trHeight w:val="283"/>
        </w:trPr>
        <w:tc>
          <w:tcPr>
            <w:tcW w:w="363" w:type="pct"/>
            <w:noWrap/>
            <w:vAlign w:val="center"/>
            <w:hideMark/>
          </w:tcPr>
          <w:p w14:paraId="4BEE5F55"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EASEF</w:t>
            </w:r>
          </w:p>
        </w:tc>
        <w:tc>
          <w:tcPr>
            <w:tcW w:w="286" w:type="pct"/>
            <w:noWrap/>
            <w:vAlign w:val="center"/>
            <w:hideMark/>
          </w:tcPr>
          <w:p w14:paraId="12CC129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-0.27*</w:t>
            </w:r>
          </w:p>
        </w:tc>
        <w:tc>
          <w:tcPr>
            <w:tcW w:w="218" w:type="pct"/>
            <w:noWrap/>
            <w:vAlign w:val="center"/>
            <w:hideMark/>
          </w:tcPr>
          <w:p w14:paraId="39F265C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0.54</w:t>
            </w:r>
          </w:p>
          <w:p w14:paraId="23384AB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4197B8E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-0.58</w:t>
            </w:r>
          </w:p>
          <w:p w14:paraId="749E69D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7C50103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-0.51 ***</w:t>
            </w:r>
          </w:p>
        </w:tc>
        <w:tc>
          <w:tcPr>
            <w:tcW w:w="216" w:type="pct"/>
            <w:noWrap/>
            <w:vAlign w:val="center"/>
            <w:hideMark/>
          </w:tcPr>
          <w:p w14:paraId="268BBC9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-0.44</w:t>
            </w:r>
          </w:p>
          <w:p w14:paraId="59CFC5C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20" w:type="pct"/>
            <w:noWrap/>
            <w:vAlign w:val="center"/>
            <w:hideMark/>
          </w:tcPr>
          <w:p w14:paraId="12E2341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-0.33*</w:t>
            </w:r>
          </w:p>
        </w:tc>
        <w:tc>
          <w:tcPr>
            <w:tcW w:w="218" w:type="pct"/>
            <w:noWrap/>
            <w:vAlign w:val="center"/>
            <w:hideMark/>
          </w:tcPr>
          <w:p w14:paraId="0AF5FC7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19E29F4C"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2605E015"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A72455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CDA1D67"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6A6BE4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5DD822D"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DD7EBF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F8420B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AE72ED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1FC065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C8BAEC3"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5BC5E6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67EA76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3E807CA"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581D90B4" w14:textId="77777777" w:rsidTr="008D4BC9">
        <w:trPr>
          <w:trHeight w:val="283"/>
        </w:trPr>
        <w:tc>
          <w:tcPr>
            <w:tcW w:w="363" w:type="pct"/>
            <w:noWrap/>
            <w:vAlign w:val="center"/>
            <w:hideMark/>
          </w:tcPr>
          <w:p w14:paraId="6F3D9FC2"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EQ Utility</w:t>
            </w:r>
          </w:p>
        </w:tc>
        <w:tc>
          <w:tcPr>
            <w:tcW w:w="286" w:type="pct"/>
            <w:noWrap/>
            <w:vAlign w:val="center"/>
            <w:hideMark/>
          </w:tcPr>
          <w:p w14:paraId="2A26D10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-0.17</w:t>
            </w:r>
          </w:p>
        </w:tc>
        <w:tc>
          <w:tcPr>
            <w:tcW w:w="218" w:type="pct"/>
            <w:noWrap/>
            <w:vAlign w:val="center"/>
            <w:hideMark/>
          </w:tcPr>
          <w:p w14:paraId="2E2E0DF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0.47</w:t>
            </w:r>
          </w:p>
          <w:p w14:paraId="37DB032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6814555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-0.48</w:t>
            </w:r>
          </w:p>
          <w:p w14:paraId="6F19EB1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505C324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-0.46</w:t>
            </w:r>
          </w:p>
          <w:p w14:paraId="7C00FFA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6" w:type="pct"/>
            <w:noWrap/>
            <w:vAlign w:val="center"/>
            <w:hideMark/>
          </w:tcPr>
          <w:p w14:paraId="4D5C257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-0.58</w:t>
            </w:r>
          </w:p>
          <w:p w14:paraId="6316663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20" w:type="pct"/>
            <w:noWrap/>
            <w:vAlign w:val="center"/>
            <w:hideMark/>
          </w:tcPr>
          <w:p w14:paraId="6D5BAB2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-0.75</w:t>
            </w:r>
          </w:p>
          <w:p w14:paraId="70C22EA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648529D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0.37**</w:t>
            </w:r>
          </w:p>
        </w:tc>
        <w:tc>
          <w:tcPr>
            <w:tcW w:w="218" w:type="pct"/>
            <w:noWrap/>
            <w:vAlign w:val="center"/>
            <w:hideMark/>
          </w:tcPr>
          <w:p w14:paraId="63A20CB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5ACEC7DB"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49D614AB"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4E3C47B"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0F56CC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25B4D8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3B9630D"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A198FA3"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1A84D9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0B5DF2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C3E4BE3"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CF1F4D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94AD0D7"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63AC828"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1E634A59" w14:textId="77777777" w:rsidTr="008D4BC9">
        <w:trPr>
          <w:trHeight w:val="283"/>
        </w:trPr>
        <w:tc>
          <w:tcPr>
            <w:tcW w:w="363" w:type="pct"/>
            <w:noWrap/>
            <w:vAlign w:val="center"/>
            <w:hideMark/>
          </w:tcPr>
          <w:p w14:paraId="014531FF"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 - Anxious</w:t>
            </w:r>
          </w:p>
        </w:tc>
        <w:tc>
          <w:tcPr>
            <w:tcW w:w="286" w:type="pct"/>
            <w:noWrap/>
            <w:vAlign w:val="center"/>
            <w:hideMark/>
          </w:tcPr>
          <w:p w14:paraId="569BA6A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0.08</w:t>
            </w:r>
          </w:p>
        </w:tc>
        <w:tc>
          <w:tcPr>
            <w:tcW w:w="218" w:type="pct"/>
            <w:noWrap/>
            <w:vAlign w:val="center"/>
            <w:hideMark/>
          </w:tcPr>
          <w:p w14:paraId="2C5441A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18" w:type="pct"/>
            <w:noWrap/>
            <w:vAlign w:val="center"/>
            <w:hideMark/>
          </w:tcPr>
          <w:p w14:paraId="3767C72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0.46</w:t>
            </w:r>
          </w:p>
          <w:p w14:paraId="235056C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5C1DAC7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0.61</w:t>
            </w:r>
          </w:p>
          <w:p w14:paraId="796E367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6" w:type="pct"/>
            <w:noWrap/>
            <w:vAlign w:val="center"/>
            <w:hideMark/>
          </w:tcPr>
          <w:p w14:paraId="142C0F8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0.43</w:t>
            </w:r>
          </w:p>
          <w:p w14:paraId="795D878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20" w:type="pct"/>
            <w:noWrap/>
            <w:vAlign w:val="center"/>
            <w:hideMark/>
          </w:tcPr>
          <w:p w14:paraId="1425818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0.28*</w:t>
            </w:r>
          </w:p>
        </w:tc>
        <w:tc>
          <w:tcPr>
            <w:tcW w:w="218" w:type="pct"/>
            <w:noWrap/>
            <w:vAlign w:val="center"/>
            <w:hideMark/>
          </w:tcPr>
          <w:p w14:paraId="7DE66A6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-0.43</w:t>
            </w:r>
          </w:p>
          <w:p w14:paraId="0B8D269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410E772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-0.34 **</w:t>
            </w:r>
          </w:p>
        </w:tc>
        <w:tc>
          <w:tcPr>
            <w:tcW w:w="217" w:type="pct"/>
            <w:noWrap/>
            <w:vAlign w:val="center"/>
            <w:hideMark/>
          </w:tcPr>
          <w:p w14:paraId="62FDD62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3F0D7ED8"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03C7F4C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906DEC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79E03C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404216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D81DE55"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A3B370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CBABA5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28BA1A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1C55BC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B5EF8E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57E6E89"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2E1ACD32" w14:textId="77777777" w:rsidTr="008D4BC9">
        <w:trPr>
          <w:trHeight w:val="283"/>
        </w:trPr>
        <w:tc>
          <w:tcPr>
            <w:tcW w:w="363" w:type="pct"/>
            <w:noWrap/>
            <w:vAlign w:val="center"/>
            <w:hideMark/>
          </w:tcPr>
          <w:p w14:paraId="6228043C"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 - Elated</w:t>
            </w:r>
          </w:p>
        </w:tc>
        <w:tc>
          <w:tcPr>
            <w:tcW w:w="286" w:type="pct"/>
            <w:noWrap/>
            <w:vAlign w:val="center"/>
            <w:hideMark/>
          </w:tcPr>
          <w:p w14:paraId="34374BB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-0.18</w:t>
            </w:r>
          </w:p>
        </w:tc>
        <w:tc>
          <w:tcPr>
            <w:tcW w:w="218" w:type="pct"/>
            <w:noWrap/>
            <w:vAlign w:val="center"/>
            <w:hideMark/>
          </w:tcPr>
          <w:p w14:paraId="48605DC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0.32*</w:t>
            </w:r>
          </w:p>
        </w:tc>
        <w:tc>
          <w:tcPr>
            <w:tcW w:w="218" w:type="pct"/>
            <w:noWrap/>
            <w:vAlign w:val="center"/>
            <w:hideMark/>
          </w:tcPr>
          <w:p w14:paraId="33F9B0B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-0.33 **</w:t>
            </w:r>
          </w:p>
        </w:tc>
        <w:tc>
          <w:tcPr>
            <w:tcW w:w="218" w:type="pct"/>
            <w:noWrap/>
            <w:vAlign w:val="center"/>
            <w:hideMark/>
          </w:tcPr>
          <w:p w14:paraId="0CFE5DF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-0.29</w:t>
            </w:r>
          </w:p>
        </w:tc>
        <w:tc>
          <w:tcPr>
            <w:tcW w:w="216" w:type="pct"/>
            <w:noWrap/>
            <w:vAlign w:val="center"/>
            <w:hideMark/>
          </w:tcPr>
          <w:p w14:paraId="15687B2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w:t>
            </w:r>
          </w:p>
        </w:tc>
        <w:tc>
          <w:tcPr>
            <w:tcW w:w="220" w:type="pct"/>
            <w:noWrap/>
            <w:vAlign w:val="center"/>
            <w:hideMark/>
          </w:tcPr>
          <w:p w14:paraId="6448F1D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-0.32*</w:t>
            </w:r>
          </w:p>
        </w:tc>
        <w:tc>
          <w:tcPr>
            <w:tcW w:w="218" w:type="pct"/>
            <w:noWrap/>
            <w:vAlign w:val="center"/>
            <w:hideMark/>
          </w:tcPr>
          <w:p w14:paraId="5D719B5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0.62 ***</w:t>
            </w:r>
          </w:p>
        </w:tc>
        <w:tc>
          <w:tcPr>
            <w:tcW w:w="218" w:type="pct"/>
            <w:noWrap/>
            <w:vAlign w:val="center"/>
            <w:hideMark/>
          </w:tcPr>
          <w:p w14:paraId="6A605BB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0.31*</w:t>
            </w:r>
          </w:p>
        </w:tc>
        <w:tc>
          <w:tcPr>
            <w:tcW w:w="217" w:type="pct"/>
            <w:noWrap/>
            <w:vAlign w:val="center"/>
            <w:hideMark/>
          </w:tcPr>
          <w:p w14:paraId="0DAAC3B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-0.25</w:t>
            </w:r>
          </w:p>
        </w:tc>
        <w:tc>
          <w:tcPr>
            <w:tcW w:w="217" w:type="pct"/>
            <w:noWrap/>
            <w:vAlign w:val="center"/>
            <w:hideMark/>
          </w:tcPr>
          <w:p w14:paraId="6B23D7B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591862B2"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178F3C6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D0C166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3C52E7D"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E9531A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C9D942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4496B8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FAE8E9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6A0A59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BFEA725"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35EFCF3"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1C5757F1" w14:textId="77777777" w:rsidTr="008D4BC9">
        <w:trPr>
          <w:trHeight w:val="283"/>
        </w:trPr>
        <w:tc>
          <w:tcPr>
            <w:tcW w:w="363" w:type="pct"/>
            <w:noWrap/>
            <w:vAlign w:val="center"/>
            <w:hideMark/>
          </w:tcPr>
          <w:p w14:paraId="553EC59D"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 - Sad</w:t>
            </w:r>
          </w:p>
        </w:tc>
        <w:tc>
          <w:tcPr>
            <w:tcW w:w="286" w:type="pct"/>
            <w:noWrap/>
            <w:vAlign w:val="center"/>
            <w:hideMark/>
          </w:tcPr>
          <w:p w14:paraId="642FF8B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18" w:type="pct"/>
            <w:noWrap/>
            <w:vAlign w:val="center"/>
            <w:hideMark/>
          </w:tcPr>
          <w:p w14:paraId="1F64844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-0.08</w:t>
            </w:r>
          </w:p>
        </w:tc>
        <w:tc>
          <w:tcPr>
            <w:tcW w:w="218" w:type="pct"/>
            <w:noWrap/>
            <w:vAlign w:val="center"/>
            <w:hideMark/>
          </w:tcPr>
          <w:p w14:paraId="6E3379C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0.49 ***</w:t>
            </w:r>
          </w:p>
        </w:tc>
        <w:tc>
          <w:tcPr>
            <w:tcW w:w="218" w:type="pct"/>
            <w:noWrap/>
            <w:vAlign w:val="center"/>
            <w:hideMark/>
          </w:tcPr>
          <w:p w14:paraId="47D4776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0.41**</w:t>
            </w:r>
          </w:p>
        </w:tc>
        <w:tc>
          <w:tcPr>
            <w:tcW w:w="216" w:type="pct"/>
            <w:noWrap/>
            <w:vAlign w:val="center"/>
            <w:hideMark/>
          </w:tcPr>
          <w:p w14:paraId="3CF6753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0.45</w:t>
            </w:r>
          </w:p>
          <w:p w14:paraId="55FC09B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20" w:type="pct"/>
            <w:noWrap/>
            <w:vAlign w:val="center"/>
            <w:hideMark/>
          </w:tcPr>
          <w:p w14:paraId="410E5F1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0.25</w:t>
            </w:r>
          </w:p>
        </w:tc>
        <w:tc>
          <w:tcPr>
            <w:tcW w:w="218" w:type="pct"/>
            <w:noWrap/>
            <w:vAlign w:val="center"/>
            <w:hideMark/>
          </w:tcPr>
          <w:p w14:paraId="5F61ECF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-0.43</w:t>
            </w:r>
          </w:p>
          <w:p w14:paraId="4ACD694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454C613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-0.19</w:t>
            </w:r>
          </w:p>
        </w:tc>
        <w:tc>
          <w:tcPr>
            <w:tcW w:w="217" w:type="pct"/>
            <w:noWrap/>
            <w:vAlign w:val="center"/>
            <w:hideMark/>
          </w:tcPr>
          <w:p w14:paraId="1E3A836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0.51</w:t>
            </w:r>
          </w:p>
          <w:p w14:paraId="45D0BD8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740377B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-0.21</w:t>
            </w:r>
          </w:p>
        </w:tc>
        <w:tc>
          <w:tcPr>
            <w:tcW w:w="217" w:type="pct"/>
            <w:noWrap/>
            <w:vAlign w:val="center"/>
            <w:hideMark/>
          </w:tcPr>
          <w:p w14:paraId="4415D1D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141F53D0"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10DF02F8"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681A49B"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694B735"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245517B"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853C4BC"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0AF2D1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B61F8E3"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896106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FFF3314"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649582B9" w14:textId="77777777" w:rsidTr="008D4BC9">
        <w:trPr>
          <w:trHeight w:val="283"/>
        </w:trPr>
        <w:tc>
          <w:tcPr>
            <w:tcW w:w="363" w:type="pct"/>
            <w:noWrap/>
            <w:vAlign w:val="center"/>
            <w:hideMark/>
          </w:tcPr>
          <w:p w14:paraId="5DD56B93"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 - Angry</w:t>
            </w:r>
          </w:p>
        </w:tc>
        <w:tc>
          <w:tcPr>
            <w:tcW w:w="286" w:type="pct"/>
            <w:noWrap/>
            <w:vAlign w:val="center"/>
            <w:hideMark/>
          </w:tcPr>
          <w:p w14:paraId="5F8CDAF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0.03</w:t>
            </w:r>
          </w:p>
        </w:tc>
        <w:tc>
          <w:tcPr>
            <w:tcW w:w="218" w:type="pct"/>
            <w:noWrap/>
            <w:vAlign w:val="center"/>
            <w:hideMark/>
          </w:tcPr>
          <w:p w14:paraId="39BA0E0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-0.17</w:t>
            </w:r>
          </w:p>
        </w:tc>
        <w:tc>
          <w:tcPr>
            <w:tcW w:w="218" w:type="pct"/>
            <w:noWrap/>
            <w:vAlign w:val="center"/>
            <w:hideMark/>
          </w:tcPr>
          <w:p w14:paraId="31B8EE8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0.32*</w:t>
            </w:r>
          </w:p>
        </w:tc>
        <w:tc>
          <w:tcPr>
            <w:tcW w:w="218" w:type="pct"/>
            <w:noWrap/>
            <w:vAlign w:val="center"/>
            <w:hideMark/>
          </w:tcPr>
          <w:p w14:paraId="1EA3453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0.26*</w:t>
            </w:r>
          </w:p>
        </w:tc>
        <w:tc>
          <w:tcPr>
            <w:tcW w:w="216" w:type="pct"/>
            <w:noWrap/>
            <w:vAlign w:val="center"/>
            <w:hideMark/>
          </w:tcPr>
          <w:p w14:paraId="78A28A0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0.26</w:t>
            </w:r>
          </w:p>
        </w:tc>
        <w:tc>
          <w:tcPr>
            <w:tcW w:w="220" w:type="pct"/>
            <w:noWrap/>
            <w:vAlign w:val="center"/>
            <w:hideMark/>
          </w:tcPr>
          <w:p w14:paraId="0E96C40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8" w:type="pct"/>
            <w:noWrap/>
            <w:vAlign w:val="center"/>
            <w:hideMark/>
          </w:tcPr>
          <w:p w14:paraId="48EA258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-0.31*</w:t>
            </w:r>
          </w:p>
        </w:tc>
        <w:tc>
          <w:tcPr>
            <w:tcW w:w="218" w:type="pct"/>
            <w:noWrap/>
            <w:vAlign w:val="center"/>
            <w:hideMark/>
          </w:tcPr>
          <w:p w14:paraId="59AE19E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7" w:type="pct"/>
            <w:noWrap/>
            <w:vAlign w:val="center"/>
            <w:hideMark/>
          </w:tcPr>
          <w:p w14:paraId="0724DB2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0.32*</w:t>
            </w:r>
          </w:p>
        </w:tc>
        <w:tc>
          <w:tcPr>
            <w:tcW w:w="217" w:type="pct"/>
            <w:noWrap/>
            <w:vAlign w:val="center"/>
            <w:hideMark/>
          </w:tcPr>
          <w:p w14:paraId="2BF778E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-0.18</w:t>
            </w:r>
          </w:p>
        </w:tc>
        <w:tc>
          <w:tcPr>
            <w:tcW w:w="217" w:type="pct"/>
            <w:noWrap/>
            <w:vAlign w:val="center"/>
            <w:hideMark/>
          </w:tcPr>
          <w:p w14:paraId="4FE4F4D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0.62</w:t>
            </w:r>
          </w:p>
          <w:p w14:paraId="1D913F7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683D430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11421CBF"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305588C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C6C24E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BCFEAF6"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275B8AF"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93AD8D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19D334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6C41037"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AAEF263"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0D6F827C" w14:textId="77777777" w:rsidTr="008D4BC9">
        <w:trPr>
          <w:trHeight w:val="283"/>
        </w:trPr>
        <w:tc>
          <w:tcPr>
            <w:tcW w:w="363" w:type="pct"/>
            <w:noWrap/>
            <w:vAlign w:val="center"/>
            <w:hideMark/>
          </w:tcPr>
          <w:p w14:paraId="56C4ED57"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 - Irritable</w:t>
            </w:r>
          </w:p>
        </w:tc>
        <w:tc>
          <w:tcPr>
            <w:tcW w:w="286" w:type="pct"/>
            <w:noWrap/>
            <w:vAlign w:val="center"/>
            <w:hideMark/>
          </w:tcPr>
          <w:p w14:paraId="5BD1FF4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8" w:type="pct"/>
            <w:noWrap/>
            <w:vAlign w:val="center"/>
            <w:hideMark/>
          </w:tcPr>
          <w:p w14:paraId="223BAE2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w:t>
            </w:r>
          </w:p>
        </w:tc>
        <w:tc>
          <w:tcPr>
            <w:tcW w:w="218" w:type="pct"/>
            <w:noWrap/>
            <w:vAlign w:val="center"/>
            <w:hideMark/>
          </w:tcPr>
          <w:p w14:paraId="6695A43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0.42**</w:t>
            </w:r>
          </w:p>
        </w:tc>
        <w:tc>
          <w:tcPr>
            <w:tcW w:w="218" w:type="pct"/>
            <w:noWrap/>
            <w:vAlign w:val="center"/>
            <w:hideMark/>
          </w:tcPr>
          <w:p w14:paraId="15CA218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w:t>
            </w:r>
          </w:p>
        </w:tc>
        <w:tc>
          <w:tcPr>
            <w:tcW w:w="216" w:type="pct"/>
            <w:noWrap/>
            <w:vAlign w:val="center"/>
            <w:hideMark/>
          </w:tcPr>
          <w:p w14:paraId="06753DC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0.35**</w:t>
            </w:r>
          </w:p>
        </w:tc>
        <w:tc>
          <w:tcPr>
            <w:tcW w:w="220" w:type="pct"/>
            <w:noWrap/>
            <w:vAlign w:val="center"/>
            <w:hideMark/>
          </w:tcPr>
          <w:p w14:paraId="5AD050F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0.23</w:t>
            </w:r>
          </w:p>
        </w:tc>
        <w:tc>
          <w:tcPr>
            <w:tcW w:w="218" w:type="pct"/>
            <w:noWrap/>
            <w:vAlign w:val="center"/>
            <w:hideMark/>
          </w:tcPr>
          <w:p w14:paraId="04BFD54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-0.29*</w:t>
            </w:r>
          </w:p>
        </w:tc>
        <w:tc>
          <w:tcPr>
            <w:tcW w:w="218" w:type="pct"/>
            <w:noWrap/>
            <w:vAlign w:val="center"/>
            <w:hideMark/>
          </w:tcPr>
          <w:p w14:paraId="4E64BBD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7" w:type="pct"/>
            <w:noWrap/>
            <w:vAlign w:val="center"/>
            <w:hideMark/>
          </w:tcPr>
          <w:p w14:paraId="0986D47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0.36**</w:t>
            </w:r>
          </w:p>
        </w:tc>
        <w:tc>
          <w:tcPr>
            <w:tcW w:w="217" w:type="pct"/>
            <w:noWrap/>
            <w:vAlign w:val="center"/>
            <w:hideMark/>
          </w:tcPr>
          <w:p w14:paraId="1490A26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7" w:type="pct"/>
            <w:noWrap/>
            <w:vAlign w:val="center"/>
            <w:hideMark/>
          </w:tcPr>
          <w:p w14:paraId="0BB341D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0.61</w:t>
            </w:r>
          </w:p>
          <w:p w14:paraId="76F137E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1EF9B91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0.63</w:t>
            </w:r>
          </w:p>
          <w:p w14:paraId="6D3E4EB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0A5DC40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4A351CD3"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729FA8E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21FDFD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4BDA216D"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A413DF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3F3381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4BBEB3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83BE93C"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34971734" w14:textId="77777777" w:rsidTr="008D4BC9">
        <w:trPr>
          <w:trHeight w:val="283"/>
        </w:trPr>
        <w:tc>
          <w:tcPr>
            <w:tcW w:w="363" w:type="pct"/>
            <w:noWrap/>
            <w:vAlign w:val="center"/>
            <w:hideMark/>
          </w:tcPr>
          <w:p w14:paraId="09ED80CE"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MZ - Energetic</w:t>
            </w:r>
          </w:p>
        </w:tc>
        <w:tc>
          <w:tcPr>
            <w:tcW w:w="286" w:type="pct"/>
            <w:noWrap/>
            <w:vAlign w:val="center"/>
            <w:hideMark/>
          </w:tcPr>
          <w:p w14:paraId="7773035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8" w:type="pct"/>
            <w:noWrap/>
            <w:vAlign w:val="center"/>
            <w:hideMark/>
          </w:tcPr>
          <w:p w14:paraId="1253729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0.25</w:t>
            </w:r>
          </w:p>
        </w:tc>
        <w:tc>
          <w:tcPr>
            <w:tcW w:w="218" w:type="pct"/>
            <w:noWrap/>
            <w:vAlign w:val="center"/>
            <w:hideMark/>
          </w:tcPr>
          <w:p w14:paraId="266043B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-0.26</w:t>
            </w:r>
          </w:p>
        </w:tc>
        <w:tc>
          <w:tcPr>
            <w:tcW w:w="218" w:type="pct"/>
            <w:noWrap/>
            <w:vAlign w:val="center"/>
            <w:hideMark/>
          </w:tcPr>
          <w:p w14:paraId="56122E5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-0.18</w:t>
            </w:r>
          </w:p>
        </w:tc>
        <w:tc>
          <w:tcPr>
            <w:tcW w:w="216" w:type="pct"/>
            <w:noWrap/>
            <w:vAlign w:val="center"/>
            <w:hideMark/>
          </w:tcPr>
          <w:p w14:paraId="128903F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-0.38</w:t>
            </w:r>
          </w:p>
          <w:p w14:paraId="2D6B043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20" w:type="pct"/>
            <w:noWrap/>
            <w:vAlign w:val="center"/>
            <w:hideMark/>
          </w:tcPr>
          <w:p w14:paraId="7D8C61E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w:t>
            </w:r>
          </w:p>
        </w:tc>
        <w:tc>
          <w:tcPr>
            <w:tcW w:w="218" w:type="pct"/>
            <w:noWrap/>
            <w:vAlign w:val="center"/>
            <w:hideMark/>
          </w:tcPr>
          <w:p w14:paraId="0D94CB2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0.43</w:t>
            </w:r>
          </w:p>
          <w:p w14:paraId="2042C1A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8" w:type="pct"/>
            <w:noWrap/>
            <w:vAlign w:val="center"/>
            <w:hideMark/>
          </w:tcPr>
          <w:p w14:paraId="3C0B203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0.44</w:t>
            </w:r>
          </w:p>
          <w:p w14:paraId="11E0D3C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792A1AD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-0.22</w:t>
            </w:r>
          </w:p>
        </w:tc>
        <w:tc>
          <w:tcPr>
            <w:tcW w:w="217" w:type="pct"/>
            <w:noWrap/>
            <w:vAlign w:val="center"/>
            <w:hideMark/>
          </w:tcPr>
          <w:p w14:paraId="5F53985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0.5***</w:t>
            </w:r>
          </w:p>
        </w:tc>
        <w:tc>
          <w:tcPr>
            <w:tcW w:w="217" w:type="pct"/>
            <w:noWrap/>
            <w:vAlign w:val="center"/>
            <w:hideMark/>
          </w:tcPr>
          <w:p w14:paraId="2509434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-0.19</w:t>
            </w:r>
          </w:p>
        </w:tc>
        <w:tc>
          <w:tcPr>
            <w:tcW w:w="217" w:type="pct"/>
            <w:noWrap/>
            <w:vAlign w:val="center"/>
            <w:hideMark/>
          </w:tcPr>
          <w:p w14:paraId="6F66378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-0.18</w:t>
            </w:r>
          </w:p>
        </w:tc>
        <w:tc>
          <w:tcPr>
            <w:tcW w:w="217" w:type="pct"/>
            <w:noWrap/>
            <w:vAlign w:val="center"/>
            <w:hideMark/>
          </w:tcPr>
          <w:p w14:paraId="3F6C4BB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-0.02</w:t>
            </w:r>
          </w:p>
        </w:tc>
        <w:tc>
          <w:tcPr>
            <w:tcW w:w="217" w:type="pct"/>
            <w:noWrap/>
            <w:vAlign w:val="center"/>
            <w:hideMark/>
          </w:tcPr>
          <w:p w14:paraId="38A1B56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2EB9D96F"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2AD7521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1740861"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B723F8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8FC63D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58F906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5FA413C3"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7F3A67D6" w14:textId="77777777" w:rsidTr="008D4BC9">
        <w:trPr>
          <w:trHeight w:val="283"/>
        </w:trPr>
        <w:tc>
          <w:tcPr>
            <w:tcW w:w="363" w:type="pct"/>
            <w:noWrap/>
            <w:vAlign w:val="center"/>
            <w:hideMark/>
          </w:tcPr>
          <w:p w14:paraId="2361E6EE"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lastRenderedPageBreak/>
              <w:t>+VE NAP index</w:t>
            </w:r>
          </w:p>
        </w:tc>
        <w:tc>
          <w:tcPr>
            <w:tcW w:w="286" w:type="pct"/>
            <w:noWrap/>
            <w:vAlign w:val="center"/>
            <w:hideMark/>
          </w:tcPr>
          <w:p w14:paraId="7DE5056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0.02</w:t>
            </w:r>
          </w:p>
        </w:tc>
        <w:tc>
          <w:tcPr>
            <w:tcW w:w="218" w:type="pct"/>
            <w:noWrap/>
            <w:vAlign w:val="center"/>
            <w:hideMark/>
          </w:tcPr>
          <w:p w14:paraId="560D7BE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0.03</w:t>
            </w:r>
          </w:p>
        </w:tc>
        <w:tc>
          <w:tcPr>
            <w:tcW w:w="218" w:type="pct"/>
            <w:noWrap/>
            <w:vAlign w:val="center"/>
            <w:hideMark/>
          </w:tcPr>
          <w:p w14:paraId="5E569F4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0.07</w:t>
            </w:r>
          </w:p>
        </w:tc>
        <w:tc>
          <w:tcPr>
            <w:tcW w:w="218" w:type="pct"/>
            <w:noWrap/>
            <w:vAlign w:val="center"/>
            <w:hideMark/>
          </w:tcPr>
          <w:p w14:paraId="3C299BF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0.17</w:t>
            </w:r>
          </w:p>
        </w:tc>
        <w:tc>
          <w:tcPr>
            <w:tcW w:w="216" w:type="pct"/>
            <w:noWrap/>
            <w:vAlign w:val="center"/>
            <w:hideMark/>
          </w:tcPr>
          <w:p w14:paraId="23515AE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20" w:type="pct"/>
            <w:noWrap/>
            <w:vAlign w:val="center"/>
            <w:hideMark/>
          </w:tcPr>
          <w:p w14:paraId="03181EC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8" w:type="pct"/>
            <w:noWrap/>
            <w:vAlign w:val="center"/>
            <w:hideMark/>
          </w:tcPr>
          <w:p w14:paraId="4F61F5F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0.07</w:t>
            </w:r>
          </w:p>
        </w:tc>
        <w:tc>
          <w:tcPr>
            <w:tcW w:w="218" w:type="pct"/>
            <w:noWrap/>
            <w:vAlign w:val="center"/>
            <w:hideMark/>
          </w:tcPr>
          <w:p w14:paraId="7C24C7C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0.09</w:t>
            </w:r>
          </w:p>
        </w:tc>
        <w:tc>
          <w:tcPr>
            <w:tcW w:w="217" w:type="pct"/>
            <w:noWrap/>
            <w:vAlign w:val="center"/>
            <w:hideMark/>
          </w:tcPr>
          <w:p w14:paraId="2A1070F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7" w:type="pct"/>
            <w:noWrap/>
            <w:vAlign w:val="center"/>
            <w:hideMark/>
          </w:tcPr>
          <w:p w14:paraId="53C96CA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-0.09</w:t>
            </w:r>
          </w:p>
        </w:tc>
        <w:tc>
          <w:tcPr>
            <w:tcW w:w="217" w:type="pct"/>
            <w:noWrap/>
            <w:vAlign w:val="center"/>
            <w:hideMark/>
          </w:tcPr>
          <w:p w14:paraId="7159DE6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7" w:type="pct"/>
            <w:noWrap/>
            <w:vAlign w:val="center"/>
            <w:hideMark/>
          </w:tcPr>
          <w:p w14:paraId="1FB5841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7" w:type="pct"/>
            <w:noWrap/>
            <w:vAlign w:val="center"/>
            <w:hideMark/>
          </w:tcPr>
          <w:p w14:paraId="119A01A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0.08</w:t>
            </w:r>
          </w:p>
        </w:tc>
        <w:tc>
          <w:tcPr>
            <w:tcW w:w="217" w:type="pct"/>
            <w:noWrap/>
            <w:vAlign w:val="center"/>
            <w:hideMark/>
          </w:tcPr>
          <w:p w14:paraId="5C3E81E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17" w:type="pct"/>
            <w:noWrap/>
            <w:vAlign w:val="center"/>
            <w:hideMark/>
          </w:tcPr>
          <w:p w14:paraId="650ADFD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6D39781E"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50C2084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EC3EBCD"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D39DBC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2FB260DA"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93A5E24"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43204CF6" w14:textId="77777777" w:rsidTr="008D4BC9">
        <w:trPr>
          <w:trHeight w:val="283"/>
        </w:trPr>
        <w:tc>
          <w:tcPr>
            <w:tcW w:w="363" w:type="pct"/>
            <w:noWrap/>
            <w:vAlign w:val="center"/>
            <w:hideMark/>
          </w:tcPr>
          <w:p w14:paraId="7EAE77FF"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-VE NAP index</w:t>
            </w:r>
          </w:p>
        </w:tc>
        <w:tc>
          <w:tcPr>
            <w:tcW w:w="286" w:type="pct"/>
            <w:noWrap/>
            <w:vAlign w:val="center"/>
            <w:hideMark/>
          </w:tcPr>
          <w:p w14:paraId="063E6A3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8" w:type="pct"/>
            <w:noWrap/>
            <w:vAlign w:val="center"/>
            <w:hideMark/>
          </w:tcPr>
          <w:p w14:paraId="237CE40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8" w:type="pct"/>
            <w:noWrap/>
            <w:vAlign w:val="center"/>
            <w:hideMark/>
          </w:tcPr>
          <w:p w14:paraId="094558B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-0.08</w:t>
            </w:r>
          </w:p>
        </w:tc>
        <w:tc>
          <w:tcPr>
            <w:tcW w:w="218" w:type="pct"/>
            <w:noWrap/>
            <w:vAlign w:val="center"/>
            <w:hideMark/>
          </w:tcPr>
          <w:p w14:paraId="4468E20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6" w:type="pct"/>
            <w:noWrap/>
            <w:vAlign w:val="center"/>
            <w:hideMark/>
          </w:tcPr>
          <w:p w14:paraId="06B340C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-0.13</w:t>
            </w:r>
          </w:p>
        </w:tc>
        <w:tc>
          <w:tcPr>
            <w:tcW w:w="220" w:type="pct"/>
            <w:noWrap/>
            <w:vAlign w:val="center"/>
            <w:hideMark/>
          </w:tcPr>
          <w:p w14:paraId="25C96BF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8" w:type="pct"/>
            <w:noWrap/>
            <w:vAlign w:val="center"/>
            <w:hideMark/>
          </w:tcPr>
          <w:p w14:paraId="3B3F896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8" w:type="pct"/>
            <w:noWrap/>
            <w:vAlign w:val="center"/>
            <w:hideMark/>
          </w:tcPr>
          <w:p w14:paraId="0F86B70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0.12</w:t>
            </w:r>
          </w:p>
        </w:tc>
        <w:tc>
          <w:tcPr>
            <w:tcW w:w="217" w:type="pct"/>
            <w:noWrap/>
            <w:vAlign w:val="center"/>
            <w:hideMark/>
          </w:tcPr>
          <w:p w14:paraId="3E28E22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7" w:type="pct"/>
            <w:noWrap/>
            <w:vAlign w:val="center"/>
            <w:hideMark/>
          </w:tcPr>
          <w:p w14:paraId="4179FFF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7" w:type="pct"/>
            <w:noWrap/>
            <w:vAlign w:val="center"/>
            <w:hideMark/>
          </w:tcPr>
          <w:p w14:paraId="005D66E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-0.03</w:t>
            </w:r>
          </w:p>
        </w:tc>
        <w:tc>
          <w:tcPr>
            <w:tcW w:w="217" w:type="pct"/>
            <w:noWrap/>
            <w:vAlign w:val="center"/>
            <w:hideMark/>
          </w:tcPr>
          <w:p w14:paraId="1A403F1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0.02</w:t>
            </w:r>
          </w:p>
        </w:tc>
        <w:tc>
          <w:tcPr>
            <w:tcW w:w="217" w:type="pct"/>
            <w:noWrap/>
            <w:vAlign w:val="center"/>
            <w:hideMark/>
          </w:tcPr>
          <w:p w14:paraId="2DC0690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7" w:type="pct"/>
            <w:noWrap/>
            <w:vAlign w:val="center"/>
            <w:hideMark/>
          </w:tcPr>
          <w:p w14:paraId="4989674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17" w:type="pct"/>
            <w:noWrap/>
            <w:vAlign w:val="center"/>
            <w:hideMark/>
          </w:tcPr>
          <w:p w14:paraId="374BA38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7" w:type="pct"/>
            <w:noWrap/>
            <w:vAlign w:val="center"/>
            <w:hideMark/>
          </w:tcPr>
          <w:p w14:paraId="6BCE17C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5C726EE0"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2D147BE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05E19E9E"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B8EBD22"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6DFAA1DB"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1D11EE4F" w14:textId="77777777" w:rsidTr="008D4BC9">
        <w:trPr>
          <w:trHeight w:val="283"/>
        </w:trPr>
        <w:tc>
          <w:tcPr>
            <w:tcW w:w="363" w:type="pct"/>
            <w:noWrap/>
            <w:vAlign w:val="center"/>
            <w:hideMark/>
          </w:tcPr>
          <w:p w14:paraId="493563B1"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+VE Inf index</w:t>
            </w:r>
          </w:p>
        </w:tc>
        <w:tc>
          <w:tcPr>
            <w:tcW w:w="286" w:type="pct"/>
            <w:noWrap/>
            <w:vAlign w:val="center"/>
            <w:hideMark/>
          </w:tcPr>
          <w:p w14:paraId="203E4D7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8" w:type="pct"/>
            <w:noWrap/>
            <w:vAlign w:val="center"/>
            <w:hideMark/>
          </w:tcPr>
          <w:p w14:paraId="112F027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8" w:type="pct"/>
            <w:noWrap/>
            <w:vAlign w:val="center"/>
            <w:hideMark/>
          </w:tcPr>
          <w:p w14:paraId="537D303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0.11</w:t>
            </w:r>
          </w:p>
        </w:tc>
        <w:tc>
          <w:tcPr>
            <w:tcW w:w="218" w:type="pct"/>
            <w:noWrap/>
            <w:vAlign w:val="center"/>
            <w:hideMark/>
          </w:tcPr>
          <w:p w14:paraId="04B0A52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0.25</w:t>
            </w:r>
          </w:p>
        </w:tc>
        <w:tc>
          <w:tcPr>
            <w:tcW w:w="216" w:type="pct"/>
            <w:noWrap/>
            <w:vAlign w:val="center"/>
            <w:hideMark/>
          </w:tcPr>
          <w:p w14:paraId="07BC687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0.16</w:t>
            </w:r>
          </w:p>
        </w:tc>
        <w:tc>
          <w:tcPr>
            <w:tcW w:w="220" w:type="pct"/>
            <w:noWrap/>
            <w:vAlign w:val="center"/>
            <w:hideMark/>
          </w:tcPr>
          <w:p w14:paraId="62015A6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w:t>
            </w:r>
          </w:p>
        </w:tc>
        <w:tc>
          <w:tcPr>
            <w:tcW w:w="218" w:type="pct"/>
            <w:noWrap/>
            <w:vAlign w:val="center"/>
            <w:hideMark/>
          </w:tcPr>
          <w:p w14:paraId="68F5F6D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0.02</w:t>
            </w:r>
          </w:p>
        </w:tc>
        <w:tc>
          <w:tcPr>
            <w:tcW w:w="218" w:type="pct"/>
            <w:noWrap/>
            <w:vAlign w:val="center"/>
            <w:hideMark/>
          </w:tcPr>
          <w:p w14:paraId="3F0B4C4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-0.18</w:t>
            </w:r>
          </w:p>
        </w:tc>
        <w:tc>
          <w:tcPr>
            <w:tcW w:w="217" w:type="pct"/>
            <w:noWrap/>
            <w:vAlign w:val="center"/>
            <w:hideMark/>
          </w:tcPr>
          <w:p w14:paraId="2F7A262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0.13</w:t>
            </w:r>
          </w:p>
        </w:tc>
        <w:tc>
          <w:tcPr>
            <w:tcW w:w="217" w:type="pct"/>
            <w:noWrap/>
            <w:vAlign w:val="center"/>
            <w:hideMark/>
          </w:tcPr>
          <w:p w14:paraId="7C1637E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17" w:type="pct"/>
            <w:noWrap/>
            <w:vAlign w:val="center"/>
            <w:hideMark/>
          </w:tcPr>
          <w:p w14:paraId="7B6C5AC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0.07</w:t>
            </w:r>
          </w:p>
        </w:tc>
        <w:tc>
          <w:tcPr>
            <w:tcW w:w="217" w:type="pct"/>
            <w:noWrap/>
            <w:vAlign w:val="center"/>
            <w:hideMark/>
          </w:tcPr>
          <w:p w14:paraId="06E49DA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-0.11</w:t>
            </w:r>
          </w:p>
        </w:tc>
        <w:tc>
          <w:tcPr>
            <w:tcW w:w="217" w:type="pct"/>
            <w:noWrap/>
            <w:vAlign w:val="center"/>
            <w:hideMark/>
          </w:tcPr>
          <w:p w14:paraId="0B7FE8A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7" w:type="pct"/>
            <w:noWrap/>
            <w:vAlign w:val="center"/>
            <w:hideMark/>
          </w:tcPr>
          <w:p w14:paraId="450D2D3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7" w:type="pct"/>
            <w:noWrap/>
            <w:vAlign w:val="center"/>
            <w:hideMark/>
          </w:tcPr>
          <w:p w14:paraId="258CECC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0.67</w:t>
            </w:r>
          </w:p>
          <w:p w14:paraId="2A63640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420252E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0.28*</w:t>
            </w:r>
          </w:p>
        </w:tc>
        <w:tc>
          <w:tcPr>
            <w:tcW w:w="217" w:type="pct"/>
            <w:noWrap/>
            <w:vAlign w:val="center"/>
            <w:hideMark/>
          </w:tcPr>
          <w:p w14:paraId="6E33AF1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4FD06476"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08AAE6C0"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1F630C19"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35D3E556"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16EB9A98" w14:textId="77777777" w:rsidTr="008D4BC9">
        <w:trPr>
          <w:trHeight w:val="283"/>
        </w:trPr>
        <w:tc>
          <w:tcPr>
            <w:tcW w:w="363" w:type="pct"/>
            <w:noWrap/>
            <w:vAlign w:val="center"/>
            <w:hideMark/>
          </w:tcPr>
          <w:p w14:paraId="53F00CE9"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-VE Inf index</w:t>
            </w:r>
          </w:p>
        </w:tc>
        <w:tc>
          <w:tcPr>
            <w:tcW w:w="286" w:type="pct"/>
            <w:noWrap/>
            <w:vAlign w:val="center"/>
            <w:hideMark/>
          </w:tcPr>
          <w:p w14:paraId="3B2C3A0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8" w:type="pct"/>
            <w:noWrap/>
            <w:vAlign w:val="center"/>
            <w:hideMark/>
          </w:tcPr>
          <w:p w14:paraId="2ABB3A9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-0.03</w:t>
            </w:r>
          </w:p>
        </w:tc>
        <w:tc>
          <w:tcPr>
            <w:tcW w:w="218" w:type="pct"/>
            <w:noWrap/>
            <w:vAlign w:val="center"/>
            <w:hideMark/>
          </w:tcPr>
          <w:p w14:paraId="6BC4A6F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-0.08</w:t>
            </w:r>
          </w:p>
        </w:tc>
        <w:tc>
          <w:tcPr>
            <w:tcW w:w="218" w:type="pct"/>
            <w:noWrap/>
            <w:vAlign w:val="center"/>
            <w:hideMark/>
          </w:tcPr>
          <w:p w14:paraId="7245932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-0.07</w:t>
            </w:r>
          </w:p>
        </w:tc>
        <w:tc>
          <w:tcPr>
            <w:tcW w:w="216" w:type="pct"/>
            <w:noWrap/>
            <w:vAlign w:val="center"/>
            <w:hideMark/>
          </w:tcPr>
          <w:p w14:paraId="722B98D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-0.07</w:t>
            </w:r>
          </w:p>
        </w:tc>
        <w:tc>
          <w:tcPr>
            <w:tcW w:w="220" w:type="pct"/>
            <w:noWrap/>
            <w:vAlign w:val="center"/>
            <w:hideMark/>
          </w:tcPr>
          <w:p w14:paraId="0D9316D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-0.07</w:t>
            </w:r>
          </w:p>
        </w:tc>
        <w:tc>
          <w:tcPr>
            <w:tcW w:w="218" w:type="pct"/>
            <w:noWrap/>
            <w:vAlign w:val="center"/>
            <w:hideMark/>
          </w:tcPr>
          <w:p w14:paraId="5EE032D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18" w:type="pct"/>
            <w:noWrap/>
            <w:vAlign w:val="center"/>
            <w:hideMark/>
          </w:tcPr>
          <w:p w14:paraId="5A0C0C5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w:t>
            </w:r>
          </w:p>
        </w:tc>
        <w:tc>
          <w:tcPr>
            <w:tcW w:w="217" w:type="pct"/>
            <w:noWrap/>
            <w:vAlign w:val="center"/>
            <w:hideMark/>
          </w:tcPr>
          <w:p w14:paraId="1B417CE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w:t>
            </w:r>
          </w:p>
        </w:tc>
        <w:tc>
          <w:tcPr>
            <w:tcW w:w="217" w:type="pct"/>
            <w:noWrap/>
            <w:vAlign w:val="center"/>
            <w:hideMark/>
          </w:tcPr>
          <w:p w14:paraId="3A6299D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0.09</w:t>
            </w:r>
          </w:p>
        </w:tc>
        <w:tc>
          <w:tcPr>
            <w:tcW w:w="217" w:type="pct"/>
            <w:noWrap/>
            <w:vAlign w:val="center"/>
            <w:hideMark/>
          </w:tcPr>
          <w:p w14:paraId="73B3BB3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7" w:type="pct"/>
            <w:noWrap/>
            <w:vAlign w:val="center"/>
            <w:hideMark/>
          </w:tcPr>
          <w:p w14:paraId="51223A7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-0.03</w:t>
            </w:r>
          </w:p>
        </w:tc>
        <w:tc>
          <w:tcPr>
            <w:tcW w:w="217" w:type="pct"/>
            <w:noWrap/>
            <w:vAlign w:val="center"/>
            <w:hideMark/>
          </w:tcPr>
          <w:p w14:paraId="2928FED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7" w:type="pct"/>
            <w:noWrap/>
            <w:vAlign w:val="center"/>
            <w:hideMark/>
          </w:tcPr>
          <w:p w14:paraId="24C5F06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7" w:type="pct"/>
            <w:noWrap/>
            <w:vAlign w:val="center"/>
            <w:hideMark/>
          </w:tcPr>
          <w:p w14:paraId="58A5496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0.09</w:t>
            </w:r>
          </w:p>
        </w:tc>
        <w:tc>
          <w:tcPr>
            <w:tcW w:w="217" w:type="pct"/>
            <w:noWrap/>
            <w:vAlign w:val="center"/>
            <w:hideMark/>
          </w:tcPr>
          <w:p w14:paraId="57FE036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0.77</w:t>
            </w:r>
          </w:p>
          <w:p w14:paraId="46D48FF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63A37D2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0.49</w:t>
            </w:r>
          </w:p>
          <w:p w14:paraId="1205F2A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093AB93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2CDFACC6"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1BF3FA34" w14:textId="77777777" w:rsidR="007E0ABC" w:rsidRPr="00426200" w:rsidRDefault="007E0ABC" w:rsidP="008D4BC9">
            <w:pPr>
              <w:jc w:val="center"/>
              <w:rPr>
                <w:rFonts w:ascii="Times New Roman" w:eastAsia="Times New Roman" w:hAnsi="Times New Roman" w:cs="Times New Roman"/>
                <w:sz w:val="13"/>
                <w:szCs w:val="13"/>
                <w:lang w:eastAsia="en-GB"/>
              </w:rPr>
            </w:pPr>
          </w:p>
        </w:tc>
        <w:tc>
          <w:tcPr>
            <w:tcW w:w="217" w:type="pct"/>
            <w:noWrap/>
            <w:vAlign w:val="center"/>
            <w:hideMark/>
          </w:tcPr>
          <w:p w14:paraId="79D2614C"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10623B41" w14:textId="77777777" w:rsidTr="008D4BC9">
        <w:trPr>
          <w:trHeight w:val="283"/>
        </w:trPr>
        <w:tc>
          <w:tcPr>
            <w:tcW w:w="363" w:type="pct"/>
            <w:noWrap/>
            <w:vAlign w:val="center"/>
            <w:hideMark/>
          </w:tcPr>
          <w:p w14:paraId="679687F7"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Overall k</w:t>
            </w:r>
          </w:p>
        </w:tc>
        <w:tc>
          <w:tcPr>
            <w:tcW w:w="286" w:type="pct"/>
            <w:noWrap/>
            <w:vAlign w:val="center"/>
            <w:hideMark/>
          </w:tcPr>
          <w:p w14:paraId="14EB0B4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0.32*</w:t>
            </w:r>
          </w:p>
        </w:tc>
        <w:tc>
          <w:tcPr>
            <w:tcW w:w="218" w:type="pct"/>
            <w:noWrap/>
            <w:vAlign w:val="center"/>
            <w:hideMark/>
          </w:tcPr>
          <w:p w14:paraId="181BDED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-0.28*</w:t>
            </w:r>
          </w:p>
        </w:tc>
        <w:tc>
          <w:tcPr>
            <w:tcW w:w="218" w:type="pct"/>
            <w:noWrap/>
            <w:vAlign w:val="center"/>
            <w:hideMark/>
          </w:tcPr>
          <w:p w14:paraId="004074E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0.21</w:t>
            </w:r>
          </w:p>
        </w:tc>
        <w:tc>
          <w:tcPr>
            <w:tcW w:w="218" w:type="pct"/>
            <w:noWrap/>
            <w:vAlign w:val="center"/>
            <w:hideMark/>
          </w:tcPr>
          <w:p w14:paraId="43D0E45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0.33*</w:t>
            </w:r>
          </w:p>
        </w:tc>
        <w:tc>
          <w:tcPr>
            <w:tcW w:w="216" w:type="pct"/>
            <w:noWrap/>
            <w:vAlign w:val="center"/>
            <w:hideMark/>
          </w:tcPr>
          <w:p w14:paraId="3FD46FB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0.12</w:t>
            </w:r>
          </w:p>
        </w:tc>
        <w:tc>
          <w:tcPr>
            <w:tcW w:w="220" w:type="pct"/>
            <w:noWrap/>
            <w:vAlign w:val="center"/>
            <w:hideMark/>
          </w:tcPr>
          <w:p w14:paraId="53CF8C3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0.18</w:t>
            </w:r>
          </w:p>
        </w:tc>
        <w:tc>
          <w:tcPr>
            <w:tcW w:w="218" w:type="pct"/>
            <w:noWrap/>
            <w:vAlign w:val="center"/>
            <w:hideMark/>
          </w:tcPr>
          <w:p w14:paraId="5C43CD2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-0.21</w:t>
            </w:r>
          </w:p>
        </w:tc>
        <w:tc>
          <w:tcPr>
            <w:tcW w:w="218" w:type="pct"/>
            <w:noWrap/>
            <w:vAlign w:val="center"/>
            <w:hideMark/>
          </w:tcPr>
          <w:p w14:paraId="302379C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-0.12</w:t>
            </w:r>
          </w:p>
        </w:tc>
        <w:tc>
          <w:tcPr>
            <w:tcW w:w="217" w:type="pct"/>
            <w:noWrap/>
            <w:vAlign w:val="center"/>
            <w:hideMark/>
          </w:tcPr>
          <w:p w14:paraId="5C03FB9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w:t>
            </w:r>
          </w:p>
        </w:tc>
        <w:tc>
          <w:tcPr>
            <w:tcW w:w="217" w:type="pct"/>
            <w:noWrap/>
            <w:vAlign w:val="center"/>
            <w:hideMark/>
          </w:tcPr>
          <w:p w14:paraId="1FD6EAE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w:t>
            </w:r>
          </w:p>
        </w:tc>
        <w:tc>
          <w:tcPr>
            <w:tcW w:w="217" w:type="pct"/>
            <w:noWrap/>
            <w:vAlign w:val="center"/>
            <w:hideMark/>
          </w:tcPr>
          <w:p w14:paraId="12FF6C9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0.17</w:t>
            </w:r>
          </w:p>
        </w:tc>
        <w:tc>
          <w:tcPr>
            <w:tcW w:w="217" w:type="pct"/>
            <w:noWrap/>
            <w:vAlign w:val="center"/>
            <w:hideMark/>
          </w:tcPr>
          <w:p w14:paraId="6BF6160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0.21</w:t>
            </w:r>
          </w:p>
        </w:tc>
        <w:tc>
          <w:tcPr>
            <w:tcW w:w="217" w:type="pct"/>
            <w:noWrap/>
            <w:vAlign w:val="center"/>
            <w:hideMark/>
          </w:tcPr>
          <w:p w14:paraId="5AB6F7D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w:t>
            </w:r>
          </w:p>
        </w:tc>
        <w:tc>
          <w:tcPr>
            <w:tcW w:w="217" w:type="pct"/>
            <w:noWrap/>
            <w:vAlign w:val="center"/>
            <w:hideMark/>
          </w:tcPr>
          <w:p w14:paraId="384E8DB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7" w:type="pct"/>
            <w:noWrap/>
            <w:vAlign w:val="center"/>
            <w:hideMark/>
          </w:tcPr>
          <w:p w14:paraId="389F1EB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-0.08</w:t>
            </w:r>
          </w:p>
        </w:tc>
        <w:tc>
          <w:tcPr>
            <w:tcW w:w="217" w:type="pct"/>
            <w:noWrap/>
            <w:vAlign w:val="center"/>
            <w:hideMark/>
          </w:tcPr>
          <w:p w14:paraId="4B6B052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7" w:type="pct"/>
            <w:noWrap/>
            <w:vAlign w:val="center"/>
            <w:hideMark/>
          </w:tcPr>
          <w:p w14:paraId="63B1E13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0.03</w:t>
            </w:r>
          </w:p>
        </w:tc>
        <w:tc>
          <w:tcPr>
            <w:tcW w:w="217" w:type="pct"/>
            <w:noWrap/>
            <w:vAlign w:val="center"/>
            <w:hideMark/>
          </w:tcPr>
          <w:p w14:paraId="3A18F2D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-0.09</w:t>
            </w:r>
          </w:p>
        </w:tc>
        <w:tc>
          <w:tcPr>
            <w:tcW w:w="217" w:type="pct"/>
            <w:noWrap/>
            <w:vAlign w:val="center"/>
            <w:hideMark/>
          </w:tcPr>
          <w:p w14:paraId="6A28D40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3B5A2984" w14:textId="77777777" w:rsidR="007E0ABC" w:rsidRPr="00426200" w:rsidRDefault="007E0ABC" w:rsidP="008D4BC9">
            <w:pPr>
              <w:jc w:val="center"/>
              <w:rPr>
                <w:rFonts w:ascii="Helvetica" w:eastAsia="Times New Roman" w:hAnsi="Helvetica" w:cs="Calibri"/>
                <w:color w:val="333333"/>
                <w:sz w:val="13"/>
                <w:szCs w:val="13"/>
                <w:lang w:eastAsia="en-GB"/>
              </w:rPr>
            </w:pPr>
          </w:p>
        </w:tc>
        <w:tc>
          <w:tcPr>
            <w:tcW w:w="217" w:type="pct"/>
            <w:noWrap/>
            <w:vAlign w:val="center"/>
            <w:hideMark/>
          </w:tcPr>
          <w:p w14:paraId="0CF79029" w14:textId="77777777" w:rsidR="007E0ABC" w:rsidRPr="00426200" w:rsidRDefault="007E0ABC" w:rsidP="008D4BC9">
            <w:pPr>
              <w:jc w:val="center"/>
              <w:rPr>
                <w:rFonts w:ascii="Times New Roman" w:eastAsia="Times New Roman" w:hAnsi="Times New Roman" w:cs="Times New Roman"/>
                <w:sz w:val="13"/>
                <w:szCs w:val="13"/>
                <w:lang w:eastAsia="en-GB"/>
              </w:rPr>
            </w:pPr>
          </w:p>
        </w:tc>
      </w:tr>
      <w:tr w:rsidR="007E0ABC" w:rsidRPr="00426200" w14:paraId="51EBF07A" w14:textId="77777777" w:rsidTr="008D4BC9">
        <w:trPr>
          <w:trHeight w:val="283"/>
        </w:trPr>
        <w:tc>
          <w:tcPr>
            <w:tcW w:w="363" w:type="pct"/>
            <w:noWrap/>
            <w:vAlign w:val="center"/>
            <w:hideMark/>
          </w:tcPr>
          <w:p w14:paraId="2387F598"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Small k</w:t>
            </w:r>
          </w:p>
        </w:tc>
        <w:tc>
          <w:tcPr>
            <w:tcW w:w="286" w:type="pct"/>
            <w:noWrap/>
            <w:vAlign w:val="center"/>
            <w:hideMark/>
          </w:tcPr>
          <w:p w14:paraId="31E59EE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0.29*</w:t>
            </w:r>
          </w:p>
        </w:tc>
        <w:tc>
          <w:tcPr>
            <w:tcW w:w="218" w:type="pct"/>
            <w:noWrap/>
            <w:vAlign w:val="center"/>
            <w:hideMark/>
          </w:tcPr>
          <w:p w14:paraId="510E308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-0.35 **</w:t>
            </w:r>
          </w:p>
        </w:tc>
        <w:tc>
          <w:tcPr>
            <w:tcW w:w="218" w:type="pct"/>
            <w:noWrap/>
            <w:vAlign w:val="center"/>
            <w:hideMark/>
          </w:tcPr>
          <w:p w14:paraId="28697E3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0.25</w:t>
            </w:r>
          </w:p>
        </w:tc>
        <w:tc>
          <w:tcPr>
            <w:tcW w:w="218" w:type="pct"/>
            <w:noWrap/>
            <w:vAlign w:val="center"/>
            <w:hideMark/>
          </w:tcPr>
          <w:p w14:paraId="721CF56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0.29*</w:t>
            </w:r>
          </w:p>
        </w:tc>
        <w:tc>
          <w:tcPr>
            <w:tcW w:w="216" w:type="pct"/>
            <w:noWrap/>
            <w:vAlign w:val="center"/>
            <w:hideMark/>
          </w:tcPr>
          <w:p w14:paraId="5BFE507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0.12</w:t>
            </w:r>
          </w:p>
        </w:tc>
        <w:tc>
          <w:tcPr>
            <w:tcW w:w="220" w:type="pct"/>
            <w:noWrap/>
            <w:vAlign w:val="center"/>
            <w:hideMark/>
          </w:tcPr>
          <w:p w14:paraId="466106E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0.16</w:t>
            </w:r>
          </w:p>
        </w:tc>
        <w:tc>
          <w:tcPr>
            <w:tcW w:w="218" w:type="pct"/>
            <w:noWrap/>
            <w:vAlign w:val="center"/>
            <w:hideMark/>
          </w:tcPr>
          <w:p w14:paraId="1352651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-0.29*</w:t>
            </w:r>
          </w:p>
        </w:tc>
        <w:tc>
          <w:tcPr>
            <w:tcW w:w="218" w:type="pct"/>
            <w:noWrap/>
            <w:vAlign w:val="center"/>
            <w:hideMark/>
          </w:tcPr>
          <w:p w14:paraId="5AFD24C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-0.16</w:t>
            </w:r>
          </w:p>
        </w:tc>
        <w:tc>
          <w:tcPr>
            <w:tcW w:w="217" w:type="pct"/>
            <w:noWrap/>
            <w:vAlign w:val="center"/>
            <w:hideMark/>
          </w:tcPr>
          <w:p w14:paraId="3C77F48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0.28*</w:t>
            </w:r>
          </w:p>
        </w:tc>
        <w:tc>
          <w:tcPr>
            <w:tcW w:w="217" w:type="pct"/>
            <w:noWrap/>
            <w:vAlign w:val="center"/>
            <w:hideMark/>
          </w:tcPr>
          <w:p w14:paraId="60EDA96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7" w:type="pct"/>
            <w:noWrap/>
            <w:vAlign w:val="center"/>
            <w:hideMark/>
          </w:tcPr>
          <w:p w14:paraId="1888A8A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0.19</w:t>
            </w:r>
          </w:p>
        </w:tc>
        <w:tc>
          <w:tcPr>
            <w:tcW w:w="217" w:type="pct"/>
            <w:noWrap/>
            <w:vAlign w:val="center"/>
            <w:hideMark/>
          </w:tcPr>
          <w:p w14:paraId="4DBA555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0.25</w:t>
            </w:r>
          </w:p>
        </w:tc>
        <w:tc>
          <w:tcPr>
            <w:tcW w:w="217" w:type="pct"/>
            <w:noWrap/>
            <w:vAlign w:val="center"/>
            <w:hideMark/>
          </w:tcPr>
          <w:p w14:paraId="006912E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0.29*</w:t>
            </w:r>
          </w:p>
        </w:tc>
        <w:tc>
          <w:tcPr>
            <w:tcW w:w="217" w:type="pct"/>
            <w:noWrap/>
            <w:vAlign w:val="center"/>
            <w:hideMark/>
          </w:tcPr>
          <w:p w14:paraId="5A06B3A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0.02</w:t>
            </w:r>
          </w:p>
        </w:tc>
        <w:tc>
          <w:tcPr>
            <w:tcW w:w="217" w:type="pct"/>
            <w:noWrap/>
            <w:vAlign w:val="center"/>
            <w:hideMark/>
          </w:tcPr>
          <w:p w14:paraId="4E2807E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7" w:type="pct"/>
            <w:noWrap/>
            <w:vAlign w:val="center"/>
            <w:hideMark/>
          </w:tcPr>
          <w:p w14:paraId="70C4348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-0.07</w:t>
            </w:r>
          </w:p>
        </w:tc>
        <w:tc>
          <w:tcPr>
            <w:tcW w:w="217" w:type="pct"/>
            <w:noWrap/>
            <w:vAlign w:val="center"/>
            <w:hideMark/>
          </w:tcPr>
          <w:p w14:paraId="321F484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7" w:type="pct"/>
            <w:noWrap/>
            <w:vAlign w:val="center"/>
            <w:hideMark/>
          </w:tcPr>
          <w:p w14:paraId="752498B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7" w:type="pct"/>
            <w:noWrap/>
            <w:vAlign w:val="center"/>
            <w:hideMark/>
          </w:tcPr>
          <w:p w14:paraId="18049FC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0.89</w:t>
            </w:r>
          </w:p>
          <w:p w14:paraId="04720E0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2690E4A2"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1F9FD646" w14:textId="77777777" w:rsidR="007E0ABC" w:rsidRPr="00426200" w:rsidRDefault="007E0ABC" w:rsidP="008D4BC9">
            <w:pPr>
              <w:jc w:val="center"/>
              <w:rPr>
                <w:rFonts w:ascii="Helvetica" w:eastAsia="Times New Roman" w:hAnsi="Helvetica" w:cs="Calibri"/>
                <w:color w:val="333333"/>
                <w:sz w:val="13"/>
                <w:szCs w:val="13"/>
                <w:lang w:eastAsia="en-GB"/>
              </w:rPr>
            </w:pPr>
          </w:p>
        </w:tc>
      </w:tr>
      <w:tr w:rsidR="007E0ABC" w:rsidRPr="00426200" w14:paraId="2B916308" w14:textId="77777777" w:rsidTr="008D4BC9">
        <w:trPr>
          <w:trHeight w:val="283"/>
        </w:trPr>
        <w:tc>
          <w:tcPr>
            <w:tcW w:w="363" w:type="pct"/>
            <w:noWrap/>
            <w:vAlign w:val="center"/>
            <w:hideMark/>
          </w:tcPr>
          <w:p w14:paraId="6375693C"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Medium k</w:t>
            </w:r>
          </w:p>
        </w:tc>
        <w:tc>
          <w:tcPr>
            <w:tcW w:w="286" w:type="pct"/>
            <w:noWrap/>
            <w:vAlign w:val="center"/>
            <w:hideMark/>
          </w:tcPr>
          <w:p w14:paraId="2A5318B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0.32*</w:t>
            </w:r>
          </w:p>
        </w:tc>
        <w:tc>
          <w:tcPr>
            <w:tcW w:w="218" w:type="pct"/>
            <w:noWrap/>
            <w:vAlign w:val="center"/>
            <w:hideMark/>
          </w:tcPr>
          <w:p w14:paraId="50E8BA6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-0.26*</w:t>
            </w:r>
          </w:p>
        </w:tc>
        <w:tc>
          <w:tcPr>
            <w:tcW w:w="218" w:type="pct"/>
            <w:noWrap/>
            <w:vAlign w:val="center"/>
            <w:hideMark/>
          </w:tcPr>
          <w:p w14:paraId="0B435CD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8" w:type="pct"/>
            <w:noWrap/>
            <w:vAlign w:val="center"/>
            <w:hideMark/>
          </w:tcPr>
          <w:p w14:paraId="324DFED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0.26*</w:t>
            </w:r>
          </w:p>
        </w:tc>
        <w:tc>
          <w:tcPr>
            <w:tcW w:w="216" w:type="pct"/>
            <w:noWrap/>
            <w:vAlign w:val="center"/>
            <w:hideMark/>
          </w:tcPr>
          <w:p w14:paraId="7535A02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0.07</w:t>
            </w:r>
          </w:p>
        </w:tc>
        <w:tc>
          <w:tcPr>
            <w:tcW w:w="220" w:type="pct"/>
            <w:noWrap/>
            <w:vAlign w:val="center"/>
            <w:hideMark/>
          </w:tcPr>
          <w:p w14:paraId="254D8DD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w:t>
            </w:r>
          </w:p>
        </w:tc>
        <w:tc>
          <w:tcPr>
            <w:tcW w:w="218" w:type="pct"/>
            <w:noWrap/>
            <w:vAlign w:val="center"/>
            <w:hideMark/>
          </w:tcPr>
          <w:p w14:paraId="2B469E2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8" w:type="pct"/>
            <w:noWrap/>
            <w:vAlign w:val="center"/>
            <w:hideMark/>
          </w:tcPr>
          <w:p w14:paraId="4F2E61D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-0.11</w:t>
            </w:r>
          </w:p>
        </w:tc>
        <w:tc>
          <w:tcPr>
            <w:tcW w:w="217" w:type="pct"/>
            <w:noWrap/>
            <w:vAlign w:val="center"/>
            <w:hideMark/>
          </w:tcPr>
          <w:p w14:paraId="416B370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0.16</w:t>
            </w:r>
          </w:p>
        </w:tc>
        <w:tc>
          <w:tcPr>
            <w:tcW w:w="217" w:type="pct"/>
            <w:noWrap/>
            <w:vAlign w:val="center"/>
            <w:hideMark/>
          </w:tcPr>
          <w:p w14:paraId="492A4EB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w:t>
            </w:r>
          </w:p>
        </w:tc>
        <w:tc>
          <w:tcPr>
            <w:tcW w:w="217" w:type="pct"/>
            <w:noWrap/>
            <w:vAlign w:val="center"/>
            <w:hideMark/>
          </w:tcPr>
          <w:p w14:paraId="771BDB5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7" w:type="pct"/>
            <w:noWrap/>
            <w:vAlign w:val="center"/>
            <w:hideMark/>
          </w:tcPr>
          <w:p w14:paraId="02BB60C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w:t>
            </w:r>
          </w:p>
        </w:tc>
        <w:tc>
          <w:tcPr>
            <w:tcW w:w="217" w:type="pct"/>
            <w:noWrap/>
            <w:vAlign w:val="center"/>
            <w:hideMark/>
          </w:tcPr>
          <w:p w14:paraId="697D15B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0.25</w:t>
            </w:r>
          </w:p>
        </w:tc>
        <w:tc>
          <w:tcPr>
            <w:tcW w:w="217" w:type="pct"/>
            <w:noWrap/>
            <w:vAlign w:val="center"/>
            <w:hideMark/>
          </w:tcPr>
          <w:p w14:paraId="7EB6589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0.12</w:t>
            </w:r>
          </w:p>
        </w:tc>
        <w:tc>
          <w:tcPr>
            <w:tcW w:w="217" w:type="pct"/>
            <w:noWrap/>
            <w:vAlign w:val="center"/>
            <w:hideMark/>
          </w:tcPr>
          <w:p w14:paraId="347133D5"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-0.04</w:t>
            </w:r>
          </w:p>
        </w:tc>
        <w:tc>
          <w:tcPr>
            <w:tcW w:w="217" w:type="pct"/>
            <w:noWrap/>
            <w:vAlign w:val="center"/>
            <w:hideMark/>
          </w:tcPr>
          <w:p w14:paraId="75DE34D6"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7" w:type="pct"/>
            <w:noWrap/>
            <w:vAlign w:val="center"/>
            <w:hideMark/>
          </w:tcPr>
          <w:p w14:paraId="689DFA5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0.08</w:t>
            </w:r>
          </w:p>
        </w:tc>
        <w:tc>
          <w:tcPr>
            <w:tcW w:w="217" w:type="pct"/>
            <w:noWrap/>
            <w:vAlign w:val="center"/>
            <w:hideMark/>
          </w:tcPr>
          <w:p w14:paraId="0F9AAF1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-0.06</w:t>
            </w:r>
          </w:p>
        </w:tc>
        <w:tc>
          <w:tcPr>
            <w:tcW w:w="217" w:type="pct"/>
            <w:noWrap/>
            <w:vAlign w:val="center"/>
            <w:hideMark/>
          </w:tcPr>
          <w:p w14:paraId="3C3C792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0.94</w:t>
            </w:r>
          </w:p>
          <w:p w14:paraId="7701691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0C28BA73"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0.82</w:t>
            </w:r>
          </w:p>
          <w:p w14:paraId="11857844"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48637BC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r>
      <w:tr w:rsidR="007E0ABC" w:rsidRPr="00426200" w14:paraId="4788BED4" w14:textId="77777777" w:rsidTr="008D4BC9">
        <w:trPr>
          <w:trHeight w:val="283"/>
        </w:trPr>
        <w:tc>
          <w:tcPr>
            <w:tcW w:w="363" w:type="pct"/>
            <w:noWrap/>
            <w:vAlign w:val="center"/>
            <w:hideMark/>
          </w:tcPr>
          <w:p w14:paraId="0390F18B" w14:textId="77777777" w:rsidR="007E0ABC" w:rsidRPr="00426200" w:rsidRDefault="007E0ABC" w:rsidP="008D4BC9">
            <w:pPr>
              <w:jc w:val="center"/>
              <w:rPr>
                <w:rFonts w:ascii="Helvetica" w:eastAsia="Times New Roman" w:hAnsi="Helvetica" w:cs="Calibri"/>
                <w:b/>
                <w:bCs/>
                <w:color w:val="333333"/>
                <w:sz w:val="13"/>
                <w:szCs w:val="13"/>
                <w:lang w:eastAsia="en-GB"/>
              </w:rPr>
            </w:pPr>
            <w:r w:rsidRPr="00426200">
              <w:rPr>
                <w:rFonts w:ascii="Helvetica" w:eastAsia="Times New Roman" w:hAnsi="Helvetica" w:cs="Calibri"/>
                <w:b/>
                <w:bCs/>
                <w:color w:val="333333"/>
                <w:sz w:val="13"/>
                <w:szCs w:val="13"/>
                <w:lang w:eastAsia="en-GB"/>
              </w:rPr>
              <w:t>Large k</w:t>
            </w:r>
          </w:p>
        </w:tc>
        <w:tc>
          <w:tcPr>
            <w:tcW w:w="286" w:type="pct"/>
            <w:noWrap/>
            <w:vAlign w:val="center"/>
            <w:hideMark/>
          </w:tcPr>
          <w:p w14:paraId="6A8F077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0.29*</w:t>
            </w:r>
          </w:p>
        </w:tc>
        <w:tc>
          <w:tcPr>
            <w:tcW w:w="218" w:type="pct"/>
            <w:noWrap/>
            <w:vAlign w:val="center"/>
            <w:hideMark/>
          </w:tcPr>
          <w:p w14:paraId="0C1EFD6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-0.19</w:t>
            </w:r>
          </w:p>
        </w:tc>
        <w:tc>
          <w:tcPr>
            <w:tcW w:w="218" w:type="pct"/>
            <w:noWrap/>
            <w:vAlign w:val="center"/>
            <w:hideMark/>
          </w:tcPr>
          <w:p w14:paraId="1BEC651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0.17</w:t>
            </w:r>
          </w:p>
        </w:tc>
        <w:tc>
          <w:tcPr>
            <w:tcW w:w="218" w:type="pct"/>
            <w:noWrap/>
            <w:vAlign w:val="center"/>
            <w:hideMark/>
          </w:tcPr>
          <w:p w14:paraId="56EDC7F7"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0.31*</w:t>
            </w:r>
          </w:p>
        </w:tc>
        <w:tc>
          <w:tcPr>
            <w:tcW w:w="216" w:type="pct"/>
            <w:noWrap/>
            <w:vAlign w:val="center"/>
            <w:hideMark/>
          </w:tcPr>
          <w:p w14:paraId="7B1D2E8F"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0.12</w:t>
            </w:r>
          </w:p>
        </w:tc>
        <w:tc>
          <w:tcPr>
            <w:tcW w:w="220" w:type="pct"/>
            <w:noWrap/>
            <w:vAlign w:val="center"/>
            <w:hideMark/>
          </w:tcPr>
          <w:p w14:paraId="2990305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0.21</w:t>
            </w:r>
          </w:p>
        </w:tc>
        <w:tc>
          <w:tcPr>
            <w:tcW w:w="218" w:type="pct"/>
            <w:noWrap/>
            <w:vAlign w:val="center"/>
            <w:hideMark/>
          </w:tcPr>
          <w:p w14:paraId="1B9C48E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-0.12</w:t>
            </w:r>
          </w:p>
        </w:tc>
        <w:tc>
          <w:tcPr>
            <w:tcW w:w="218" w:type="pct"/>
            <w:noWrap/>
            <w:vAlign w:val="center"/>
            <w:hideMark/>
          </w:tcPr>
          <w:p w14:paraId="55A5E66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-0.11</w:t>
            </w:r>
          </w:p>
        </w:tc>
        <w:tc>
          <w:tcPr>
            <w:tcW w:w="217" w:type="pct"/>
            <w:noWrap/>
            <w:vAlign w:val="center"/>
            <w:hideMark/>
          </w:tcPr>
          <w:p w14:paraId="58854D3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0.19</w:t>
            </w:r>
          </w:p>
        </w:tc>
        <w:tc>
          <w:tcPr>
            <w:tcW w:w="217" w:type="pct"/>
            <w:noWrap/>
            <w:vAlign w:val="center"/>
            <w:hideMark/>
          </w:tcPr>
          <w:p w14:paraId="0CEF4518"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0.05</w:t>
            </w:r>
          </w:p>
        </w:tc>
        <w:tc>
          <w:tcPr>
            <w:tcW w:w="217" w:type="pct"/>
            <w:noWrap/>
            <w:vAlign w:val="center"/>
            <w:hideMark/>
          </w:tcPr>
          <w:p w14:paraId="523A599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7" w:type="pct"/>
            <w:noWrap/>
            <w:vAlign w:val="center"/>
            <w:hideMark/>
          </w:tcPr>
          <w:p w14:paraId="238C1F0C"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0.15</w:t>
            </w:r>
          </w:p>
        </w:tc>
        <w:tc>
          <w:tcPr>
            <w:tcW w:w="217" w:type="pct"/>
            <w:noWrap/>
            <w:vAlign w:val="center"/>
            <w:hideMark/>
          </w:tcPr>
          <w:p w14:paraId="518FC86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0.26*</w:t>
            </w:r>
          </w:p>
        </w:tc>
        <w:tc>
          <w:tcPr>
            <w:tcW w:w="217" w:type="pct"/>
            <w:noWrap/>
            <w:vAlign w:val="center"/>
            <w:hideMark/>
          </w:tcPr>
          <w:p w14:paraId="140713D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0.09</w:t>
            </w:r>
          </w:p>
        </w:tc>
        <w:tc>
          <w:tcPr>
            <w:tcW w:w="217" w:type="pct"/>
            <w:noWrap/>
            <w:vAlign w:val="center"/>
            <w:hideMark/>
          </w:tcPr>
          <w:p w14:paraId="6E9120C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-0.08</w:t>
            </w:r>
          </w:p>
        </w:tc>
        <w:tc>
          <w:tcPr>
            <w:tcW w:w="217" w:type="pct"/>
            <w:noWrap/>
            <w:vAlign w:val="center"/>
            <w:hideMark/>
          </w:tcPr>
          <w:p w14:paraId="50A468C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7" w:type="pct"/>
            <w:noWrap/>
            <w:vAlign w:val="center"/>
            <w:hideMark/>
          </w:tcPr>
          <w:p w14:paraId="4E54BAD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0.01</w:t>
            </w:r>
          </w:p>
        </w:tc>
        <w:tc>
          <w:tcPr>
            <w:tcW w:w="217" w:type="pct"/>
            <w:noWrap/>
            <w:vAlign w:val="center"/>
            <w:hideMark/>
          </w:tcPr>
          <w:p w14:paraId="239193F1"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-0.13</w:t>
            </w:r>
          </w:p>
        </w:tc>
        <w:tc>
          <w:tcPr>
            <w:tcW w:w="217" w:type="pct"/>
            <w:noWrap/>
            <w:vAlign w:val="center"/>
            <w:hideMark/>
          </w:tcPr>
          <w:p w14:paraId="22E54E5B"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0.97</w:t>
            </w:r>
          </w:p>
          <w:p w14:paraId="51FBCFAD"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445AF8CA"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0.81</w:t>
            </w:r>
          </w:p>
          <w:p w14:paraId="71072829"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c>
          <w:tcPr>
            <w:tcW w:w="217" w:type="pct"/>
            <w:noWrap/>
            <w:vAlign w:val="center"/>
            <w:hideMark/>
          </w:tcPr>
          <w:p w14:paraId="3A9C9160"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0.93</w:t>
            </w:r>
          </w:p>
          <w:p w14:paraId="2381D9AE" w14:textId="77777777" w:rsidR="007E0ABC" w:rsidRPr="00426200" w:rsidRDefault="007E0ABC" w:rsidP="008D4BC9">
            <w:pPr>
              <w:jc w:val="center"/>
              <w:rPr>
                <w:rFonts w:ascii="Helvetica" w:eastAsia="Times New Roman" w:hAnsi="Helvetica" w:cs="Calibri"/>
                <w:color w:val="333333"/>
                <w:sz w:val="13"/>
                <w:szCs w:val="13"/>
                <w:lang w:eastAsia="en-GB"/>
              </w:rPr>
            </w:pPr>
            <w:r w:rsidRPr="00426200">
              <w:rPr>
                <w:rFonts w:ascii="Helvetica" w:eastAsia="Times New Roman" w:hAnsi="Helvetica" w:cs="Calibri"/>
                <w:color w:val="333333"/>
                <w:sz w:val="13"/>
                <w:szCs w:val="13"/>
                <w:lang w:eastAsia="en-GB"/>
              </w:rPr>
              <w:t>***</w:t>
            </w:r>
          </w:p>
        </w:tc>
      </w:tr>
    </w:tbl>
    <w:p w14:paraId="640DA3F4" w14:textId="77777777" w:rsidR="007E0ABC" w:rsidRDefault="007E0ABC" w:rsidP="00ED19A9">
      <w:pPr>
        <w:jc w:val="center"/>
      </w:pPr>
    </w:p>
    <w:p w14:paraId="7A57B8C7" w14:textId="19E498DE" w:rsidR="007E0ABC" w:rsidRDefault="007E0ABC" w:rsidP="00461043">
      <w:pPr>
        <w:spacing w:line="240" w:lineRule="auto"/>
        <w:jc w:val="left"/>
      </w:pPr>
      <w:r>
        <w:t>Table 42 - Correlation Matrix – Healthy Controls</w:t>
      </w:r>
    </w:p>
    <w:p w14:paraId="1258B523" w14:textId="77777777" w:rsidR="007E0ABC" w:rsidRDefault="007E0ABC" w:rsidP="00ED19A9">
      <w:pPr>
        <w:jc w:val="center"/>
      </w:pPr>
    </w:p>
    <w:p w14:paraId="7029C984" w14:textId="77777777" w:rsidR="007E0ABC" w:rsidRDefault="007E0ABC" w:rsidP="00ED19A9">
      <w:pPr>
        <w:jc w:val="center"/>
      </w:pPr>
    </w:p>
    <w:p w14:paraId="0E24C9F0" w14:textId="77777777" w:rsidR="007E0ABC" w:rsidRDefault="007E0ABC" w:rsidP="00ED19A9">
      <w:pPr>
        <w:jc w:val="center"/>
      </w:pPr>
    </w:p>
    <w:p w14:paraId="3463AEC4" w14:textId="77777777" w:rsidR="007E0ABC" w:rsidRDefault="007E0ABC" w:rsidP="00ED19A9">
      <w:pPr>
        <w:jc w:val="center"/>
      </w:pPr>
    </w:p>
    <w:p w14:paraId="6F345FFB" w14:textId="77777777" w:rsidR="007E0ABC" w:rsidRDefault="007E0ABC" w:rsidP="00ED19A9">
      <w:pPr>
        <w:jc w:val="center"/>
      </w:pPr>
    </w:p>
    <w:p w14:paraId="475304AA" w14:textId="77777777" w:rsidR="007E0ABC" w:rsidRDefault="007E0ABC" w:rsidP="00ED19A9">
      <w:pPr>
        <w:jc w:val="center"/>
      </w:pPr>
    </w:p>
    <w:p w14:paraId="56E6B790" w14:textId="77777777" w:rsidR="007E0ABC" w:rsidRDefault="007E0ABC">
      <w:r>
        <w:br w:type="page"/>
      </w:r>
    </w:p>
    <w:p w14:paraId="6C1CE5ED" w14:textId="77777777" w:rsidR="007E0ABC" w:rsidRPr="009A3F3E" w:rsidRDefault="007E0ABC" w:rsidP="009A3F3E">
      <w:pPr>
        <w:pStyle w:val="Subtitle"/>
        <w:spacing w:after="0"/>
        <w:jc w:val="center"/>
        <w:rPr>
          <w:rFonts w:ascii="Avenir Book" w:hAnsi="Avenir Book"/>
          <w:i/>
          <w:iCs/>
          <w:sz w:val="28"/>
          <w:szCs w:val="28"/>
        </w:rPr>
      </w:pPr>
      <w:r w:rsidRPr="009A3F3E">
        <w:rPr>
          <w:rFonts w:ascii="Avenir Book" w:hAnsi="Avenir Book"/>
          <w:iCs/>
          <w:sz w:val="28"/>
          <w:szCs w:val="28"/>
        </w:rPr>
        <w:lastRenderedPageBreak/>
        <w:t>Appendix G – Literature Review Supplementary Measures</w:t>
      </w:r>
    </w:p>
    <w:p w14:paraId="2BADB467" w14:textId="77777777" w:rsidR="007E0ABC" w:rsidRDefault="007E0ABC">
      <w:pPr>
        <w:rPr>
          <w:rFonts w:asciiTheme="minorHAnsi" w:hAnsiTheme="minorHAnsi" w:cstheme="minorHAnsi"/>
          <w:b/>
          <w:bCs/>
          <w:i/>
          <w:iCs/>
          <w:sz w:val="28"/>
          <w:szCs w:val="28"/>
        </w:rPr>
      </w:pPr>
    </w:p>
    <w:p w14:paraId="41EE9E46" w14:textId="77777777" w:rsidR="007E0ABC" w:rsidRPr="00716FF2" w:rsidRDefault="007E0ABC" w:rsidP="00716FF2">
      <w:pPr>
        <w:jc w:val="center"/>
      </w:pPr>
      <w:r w:rsidRPr="00716FF2">
        <w:t>Table 43. Summary of studies identified in the literature search</w:t>
      </w:r>
    </w:p>
    <w:p w14:paraId="7A3AA883" w14:textId="77777777" w:rsidR="007E0ABC" w:rsidRPr="009120B5" w:rsidRDefault="007E0ABC"/>
    <w:tbl>
      <w:tblPr>
        <w:tblStyle w:val="GridTable2-Accent3"/>
        <w:tblW w:w="0" w:type="auto"/>
        <w:tblLook w:val="04A0" w:firstRow="1" w:lastRow="0" w:firstColumn="1" w:lastColumn="0" w:noHBand="0" w:noVBand="1"/>
      </w:tblPr>
      <w:tblGrid>
        <w:gridCol w:w="328"/>
        <w:gridCol w:w="1252"/>
        <w:gridCol w:w="714"/>
        <w:gridCol w:w="1161"/>
        <w:gridCol w:w="835"/>
        <w:gridCol w:w="744"/>
        <w:gridCol w:w="1242"/>
        <w:gridCol w:w="931"/>
        <w:gridCol w:w="1813"/>
      </w:tblGrid>
      <w:tr w:rsidR="007E0ABC" w:rsidRPr="00461043" w14:paraId="67101C16" w14:textId="77777777" w:rsidTr="00461043">
        <w:trPr>
          <w:cnfStyle w:val="100000000000" w:firstRow="1" w:lastRow="0" w:firstColumn="0" w:lastColumn="0" w:oddVBand="0" w:evenVBand="0" w:oddHBand="0"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5F9590" w14:textId="77777777" w:rsidR="007E0ABC" w:rsidRPr="00461043" w:rsidRDefault="007E0ABC" w:rsidP="00592081">
            <w:pPr>
              <w:jc w:val="center"/>
              <w:rPr>
                <w:rFonts w:asciiTheme="minorHAnsi" w:hAnsiTheme="minorHAnsi"/>
                <w:sz w:val="11"/>
                <w:szCs w:val="11"/>
              </w:rPr>
            </w:pPr>
          </w:p>
        </w:tc>
        <w:tc>
          <w:tcPr>
            <w:tcW w:w="0" w:type="auto"/>
            <w:vAlign w:val="center"/>
          </w:tcPr>
          <w:p w14:paraId="68F98569"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Study</w:t>
            </w:r>
          </w:p>
        </w:tc>
        <w:tc>
          <w:tcPr>
            <w:tcW w:w="0" w:type="auto"/>
            <w:vAlign w:val="center"/>
          </w:tcPr>
          <w:p w14:paraId="477FEDA7"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Study  category</w:t>
            </w:r>
          </w:p>
          <w:p w14:paraId="11CCF7B6"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p>
          <w:p w14:paraId="7F47C500"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iCs/>
                <w:sz w:val="11"/>
                <w:szCs w:val="11"/>
              </w:rPr>
            </w:pPr>
          </w:p>
        </w:tc>
        <w:tc>
          <w:tcPr>
            <w:tcW w:w="0" w:type="auto"/>
            <w:vAlign w:val="center"/>
          </w:tcPr>
          <w:p w14:paraId="7F5D8091"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Objective</w:t>
            </w:r>
          </w:p>
        </w:tc>
        <w:tc>
          <w:tcPr>
            <w:tcW w:w="0" w:type="auto"/>
            <w:vAlign w:val="center"/>
          </w:tcPr>
          <w:p w14:paraId="411A2659"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Study design</w:t>
            </w:r>
          </w:p>
        </w:tc>
        <w:tc>
          <w:tcPr>
            <w:tcW w:w="0" w:type="auto"/>
            <w:vAlign w:val="center"/>
          </w:tcPr>
          <w:p w14:paraId="233DFEEC"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Population and sample size</w:t>
            </w:r>
          </w:p>
        </w:tc>
        <w:tc>
          <w:tcPr>
            <w:tcW w:w="0" w:type="auto"/>
            <w:vAlign w:val="center"/>
          </w:tcPr>
          <w:p w14:paraId="1C696E5E"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Method</w:t>
            </w:r>
          </w:p>
        </w:tc>
        <w:tc>
          <w:tcPr>
            <w:tcW w:w="0" w:type="auto"/>
            <w:vAlign w:val="center"/>
          </w:tcPr>
          <w:p w14:paraId="13BBBC55"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1"/>
                <w:szCs w:val="11"/>
              </w:rPr>
            </w:pPr>
            <w:r w:rsidRPr="00461043">
              <w:rPr>
                <w:rFonts w:asciiTheme="minorHAnsi" w:hAnsiTheme="minorHAnsi"/>
                <w:sz w:val="11"/>
                <w:szCs w:val="11"/>
              </w:rPr>
              <w:t>Outcome measures</w:t>
            </w:r>
          </w:p>
          <w:p w14:paraId="2434B47D"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b w:val="0"/>
                <w:bCs w:val="0"/>
                <w:sz w:val="11"/>
                <w:szCs w:val="11"/>
              </w:rPr>
              <w:t>Subjective</w:t>
            </w:r>
          </w:p>
          <w:p w14:paraId="14FCEE50"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iCs/>
                <w:sz w:val="11"/>
                <w:szCs w:val="11"/>
              </w:rPr>
            </w:pPr>
            <w:r w:rsidRPr="00461043">
              <w:rPr>
                <w:rFonts w:asciiTheme="minorHAnsi" w:hAnsiTheme="minorHAnsi"/>
                <w:b w:val="0"/>
                <w:bCs w:val="0"/>
                <w:i/>
                <w:iCs/>
                <w:sz w:val="11"/>
                <w:szCs w:val="11"/>
              </w:rPr>
              <w:t>Objective</w:t>
            </w:r>
          </w:p>
        </w:tc>
        <w:tc>
          <w:tcPr>
            <w:tcW w:w="0" w:type="auto"/>
            <w:vAlign w:val="center"/>
          </w:tcPr>
          <w:p w14:paraId="464F30CE" w14:textId="77777777" w:rsidR="007E0ABC" w:rsidRPr="00461043" w:rsidRDefault="007E0ABC" w:rsidP="005920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Findings</w:t>
            </w:r>
          </w:p>
        </w:tc>
      </w:tr>
      <w:tr w:rsidR="007E0ABC" w:rsidRPr="00461043" w14:paraId="6E5E7C9B" w14:textId="77777777" w:rsidTr="00461043">
        <w:trPr>
          <w:cnfStyle w:val="000000100000" w:firstRow="0" w:lastRow="0" w:firstColumn="0" w:lastColumn="0" w:oddVBand="0" w:evenVBand="0" w:oddHBand="1" w:evenHBand="0" w:firstRowFirstColumn="0" w:firstRowLastColumn="0" w:lastRowFirstColumn="0" w:lastRowLastColumn="0"/>
          <w:trHeight w:val="194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125C3E" w14:textId="77777777" w:rsidR="007E0ABC" w:rsidRPr="00461043" w:rsidRDefault="007E0ABC" w:rsidP="00592081">
            <w:pPr>
              <w:jc w:val="center"/>
              <w:rPr>
                <w:rFonts w:asciiTheme="minorHAnsi" w:hAnsiTheme="minorHAnsi"/>
                <w:sz w:val="11"/>
                <w:szCs w:val="11"/>
              </w:rPr>
            </w:pPr>
            <w:r w:rsidRPr="00461043">
              <w:rPr>
                <w:rFonts w:asciiTheme="minorHAnsi" w:hAnsiTheme="minorHAnsi"/>
                <w:b w:val="0"/>
                <w:bCs w:val="0"/>
                <w:sz w:val="11"/>
                <w:szCs w:val="11"/>
              </w:rPr>
              <w:t>1</w:t>
            </w:r>
          </w:p>
        </w:tc>
        <w:tc>
          <w:tcPr>
            <w:tcW w:w="0" w:type="auto"/>
            <w:vAlign w:val="center"/>
            <w:hideMark/>
          </w:tcPr>
          <w:p w14:paraId="0B69B814"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proofErr w:type="spellStart"/>
            <w:r w:rsidRPr="00461043">
              <w:rPr>
                <w:rFonts w:asciiTheme="minorHAnsi" w:eastAsiaTheme="minorHAnsi" w:hAnsiTheme="minorHAnsi" w:cstheme="minorBidi"/>
                <w:b/>
                <w:bCs/>
                <w:sz w:val="11"/>
                <w:szCs w:val="11"/>
              </w:rPr>
              <w:t>Bakvis</w:t>
            </w:r>
            <w:proofErr w:type="spellEnd"/>
            <w:r w:rsidRPr="00461043">
              <w:rPr>
                <w:rFonts w:asciiTheme="minorHAnsi" w:eastAsiaTheme="minorHAnsi" w:hAnsiTheme="minorHAnsi" w:cstheme="minorBidi"/>
                <w:b/>
                <w:bCs/>
                <w:sz w:val="11"/>
                <w:szCs w:val="11"/>
              </w:rPr>
              <w:t xml:space="preserve"> et al. (2011)</w:t>
            </w:r>
          </w:p>
          <w:p w14:paraId="71C78CFD"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0F78A8D2"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Automatic avoidance tendencies in patients with Psychogenic Non-Epileptic Seizures</w:t>
            </w:r>
          </w:p>
        </w:tc>
        <w:tc>
          <w:tcPr>
            <w:tcW w:w="0" w:type="auto"/>
            <w:vAlign w:val="center"/>
          </w:tcPr>
          <w:p w14:paraId="22F12AC7"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Stress response</w:t>
            </w:r>
          </w:p>
        </w:tc>
        <w:tc>
          <w:tcPr>
            <w:tcW w:w="0" w:type="auto"/>
            <w:vAlign w:val="center"/>
          </w:tcPr>
          <w:p w14:paraId="1902C76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investigate avoidance behaviour in PNES in relation to stress and cortisol levels</w:t>
            </w:r>
          </w:p>
        </w:tc>
        <w:tc>
          <w:tcPr>
            <w:tcW w:w="0" w:type="auto"/>
            <w:vAlign w:val="center"/>
          </w:tcPr>
          <w:p w14:paraId="1AA842E3"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441AC61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12 PNES</w:t>
            </w:r>
          </w:p>
          <w:p w14:paraId="522E796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20 HC</w:t>
            </w:r>
          </w:p>
        </w:tc>
        <w:tc>
          <w:tcPr>
            <w:tcW w:w="0" w:type="auto"/>
            <w:vAlign w:val="center"/>
          </w:tcPr>
          <w:p w14:paraId="5BF574A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The approach and avoidance (AA) task was administered to participants at baseline and following stress-induction using the Cold Pressor Test.</w:t>
            </w:r>
          </w:p>
        </w:tc>
        <w:tc>
          <w:tcPr>
            <w:tcW w:w="0" w:type="auto"/>
            <w:vAlign w:val="center"/>
          </w:tcPr>
          <w:p w14:paraId="728A43D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The Symptom Check-List </w:t>
            </w:r>
          </w:p>
          <w:p w14:paraId="3D59D9B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p>
          <w:p w14:paraId="3B01FAF3"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i/>
                <w:iCs/>
                <w:sz w:val="11"/>
                <w:szCs w:val="11"/>
              </w:rPr>
              <w:t>The Social Approach Avoidance task,</w:t>
            </w:r>
          </w:p>
          <w:p w14:paraId="56052254"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hAnsiTheme="minorHAnsi"/>
                <w:i/>
                <w:iCs/>
                <w:sz w:val="11"/>
                <w:szCs w:val="11"/>
              </w:rPr>
              <w:t xml:space="preserve">Salivary cortisol </w:t>
            </w:r>
          </w:p>
        </w:tc>
        <w:tc>
          <w:tcPr>
            <w:tcW w:w="0" w:type="auto"/>
            <w:vAlign w:val="center"/>
          </w:tcPr>
          <w:p w14:paraId="1E02D97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Patients with PNES show increased avoidance tendencies before stress induction. Angry face congruency effects are related to baseline cortisol levels. </w:t>
            </w:r>
            <w:r w:rsidRPr="00461043">
              <w:rPr>
                <w:rFonts w:asciiTheme="minorHAnsi" w:hAnsiTheme="minorHAnsi"/>
                <w:b/>
                <w:bCs/>
                <w:color w:val="FF0000"/>
                <w:sz w:val="11"/>
                <w:szCs w:val="11"/>
              </w:rPr>
              <w:t>No within-group subjective or objective outcome comparison made (no quantitative or qualitative report).</w:t>
            </w:r>
          </w:p>
        </w:tc>
      </w:tr>
      <w:tr w:rsidR="007E0ABC" w:rsidRPr="00461043" w14:paraId="1B055F12" w14:textId="77777777" w:rsidTr="00461043">
        <w:trPr>
          <w:trHeight w:val="21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DF2B3D"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2</w:t>
            </w:r>
          </w:p>
        </w:tc>
        <w:tc>
          <w:tcPr>
            <w:tcW w:w="0" w:type="auto"/>
            <w:vAlign w:val="center"/>
            <w:hideMark/>
          </w:tcPr>
          <w:p w14:paraId="418A9069"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Demartini et al. (2016)</w:t>
            </w:r>
          </w:p>
          <w:p w14:paraId="7BD2F06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p>
          <w:p w14:paraId="665D543E"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 xml:space="preserve">Psychogenic non-epileptic seizures and functional motor symptoms: A common </w:t>
            </w:r>
            <w:proofErr w:type="spellStart"/>
            <w:r w:rsidRPr="00461043">
              <w:rPr>
                <w:rFonts w:asciiTheme="minorHAnsi" w:eastAsiaTheme="minorHAnsi" w:hAnsiTheme="minorHAnsi" w:cstheme="minorBidi"/>
                <w:i/>
                <w:iCs/>
                <w:sz w:val="11"/>
                <w:szCs w:val="11"/>
              </w:rPr>
              <w:t>phenomonelogy</w:t>
            </w:r>
            <w:proofErr w:type="spellEnd"/>
            <w:r w:rsidRPr="00461043">
              <w:rPr>
                <w:rFonts w:asciiTheme="minorHAnsi" w:eastAsiaTheme="minorHAnsi" w:hAnsiTheme="minorHAnsi" w:cstheme="minorBidi"/>
                <w:i/>
                <w:iCs/>
                <w:sz w:val="11"/>
                <w:szCs w:val="11"/>
              </w:rPr>
              <w:t>?</w:t>
            </w:r>
          </w:p>
        </w:tc>
        <w:tc>
          <w:tcPr>
            <w:tcW w:w="0" w:type="auto"/>
            <w:vAlign w:val="center"/>
          </w:tcPr>
          <w:p w14:paraId="2575AA9D"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Emotion processing</w:t>
            </w:r>
          </w:p>
          <w:p w14:paraId="2E1F0594"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sz w:val="11"/>
                <w:szCs w:val="11"/>
              </w:rPr>
            </w:pPr>
          </w:p>
        </w:tc>
        <w:tc>
          <w:tcPr>
            <w:tcW w:w="0" w:type="auto"/>
            <w:vAlign w:val="center"/>
          </w:tcPr>
          <w:p w14:paraId="7725CF9C"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evaluate psychology phenomenology of PNES and FMS, assessing dissociation, alexithymia, and interoceptive ability</w:t>
            </w:r>
          </w:p>
        </w:tc>
        <w:tc>
          <w:tcPr>
            <w:tcW w:w="0" w:type="auto"/>
            <w:vAlign w:val="center"/>
          </w:tcPr>
          <w:p w14:paraId="009A9381"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45196AD8"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20 PNES</w:t>
            </w:r>
          </w:p>
          <w:p w14:paraId="7B24B609"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20 FMD</w:t>
            </w:r>
          </w:p>
          <w:p w14:paraId="4A686D3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20 HC</w:t>
            </w:r>
          </w:p>
        </w:tc>
        <w:tc>
          <w:tcPr>
            <w:tcW w:w="0" w:type="auto"/>
            <w:vAlign w:val="center"/>
          </w:tcPr>
          <w:p w14:paraId="23326080"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Participants underwent completed study questionnaires and the heart beat detection task</w:t>
            </w:r>
          </w:p>
          <w:p w14:paraId="5EACC499"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p>
        </w:tc>
        <w:tc>
          <w:tcPr>
            <w:tcW w:w="0" w:type="auto"/>
            <w:vAlign w:val="center"/>
          </w:tcPr>
          <w:p w14:paraId="24FF00F8"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lang w:val="sv-SE"/>
              </w:rPr>
            </w:pPr>
            <w:r w:rsidRPr="00461043">
              <w:rPr>
                <w:rFonts w:asciiTheme="minorHAnsi" w:hAnsiTheme="minorHAnsi"/>
                <w:color w:val="000000"/>
                <w:sz w:val="11"/>
                <w:szCs w:val="11"/>
                <w:lang w:val="sv-SE"/>
              </w:rPr>
              <w:t>DES, SDQ-20, CDS, TAS-20, HAM-D</w:t>
            </w:r>
          </w:p>
          <w:p w14:paraId="65D4E65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lang w:val="sv-SE"/>
              </w:rPr>
            </w:pPr>
          </w:p>
          <w:p w14:paraId="33954C9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 xml:space="preserve">Heartbeat detection test </w:t>
            </w:r>
          </w:p>
          <w:p w14:paraId="01A7B3B8"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p>
        </w:tc>
        <w:tc>
          <w:tcPr>
            <w:tcW w:w="0" w:type="auto"/>
            <w:vAlign w:val="center"/>
          </w:tcPr>
          <w:p w14:paraId="19A6472E"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Relative to healthy controls, PNES patients score relatively high on a measure of </w:t>
            </w:r>
            <w:proofErr w:type="spellStart"/>
            <w:r w:rsidRPr="00461043">
              <w:rPr>
                <w:rFonts w:asciiTheme="minorHAnsi" w:hAnsiTheme="minorHAnsi"/>
                <w:color w:val="000000"/>
                <w:sz w:val="11"/>
                <w:szCs w:val="11"/>
              </w:rPr>
              <w:t>psychoform</w:t>
            </w:r>
            <w:proofErr w:type="spellEnd"/>
            <w:r w:rsidRPr="00461043">
              <w:rPr>
                <w:rFonts w:asciiTheme="minorHAnsi" w:hAnsiTheme="minorHAnsi"/>
                <w:color w:val="000000"/>
                <w:sz w:val="11"/>
                <w:szCs w:val="11"/>
              </w:rPr>
              <w:t xml:space="preserve"> dissociation (DES) while FMS score higher on somatic symptom measure (CDS). </w:t>
            </w:r>
            <w:r w:rsidRPr="00461043">
              <w:rPr>
                <w:rFonts w:asciiTheme="minorHAnsi" w:hAnsiTheme="minorHAnsi"/>
                <w:b/>
                <w:bCs/>
                <w:color w:val="FF0000"/>
                <w:sz w:val="11"/>
                <w:szCs w:val="11"/>
              </w:rPr>
              <w:t>No withing-group subjective or objective outcome comparison made (no quantitative or qualitative report).</w:t>
            </w:r>
          </w:p>
        </w:tc>
      </w:tr>
      <w:tr w:rsidR="007E0ABC" w:rsidRPr="00461043" w14:paraId="4A429E55" w14:textId="77777777" w:rsidTr="00461043">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1CECB9"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3</w:t>
            </w:r>
          </w:p>
        </w:tc>
        <w:tc>
          <w:tcPr>
            <w:tcW w:w="0" w:type="auto"/>
            <w:vAlign w:val="center"/>
            <w:hideMark/>
          </w:tcPr>
          <w:p w14:paraId="48B259B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proofErr w:type="spellStart"/>
            <w:r w:rsidRPr="00461043">
              <w:rPr>
                <w:rFonts w:asciiTheme="minorHAnsi" w:eastAsiaTheme="minorHAnsi" w:hAnsiTheme="minorHAnsi" w:cstheme="minorBidi"/>
                <w:b/>
                <w:bCs/>
                <w:sz w:val="11"/>
                <w:szCs w:val="11"/>
              </w:rPr>
              <w:t>Kotwas</w:t>
            </w:r>
            <w:proofErr w:type="spellEnd"/>
            <w:r w:rsidRPr="00461043">
              <w:rPr>
                <w:rFonts w:asciiTheme="minorHAnsi" w:eastAsiaTheme="minorHAnsi" w:hAnsiTheme="minorHAnsi" w:cstheme="minorBidi"/>
                <w:b/>
                <w:bCs/>
                <w:sz w:val="11"/>
                <w:szCs w:val="11"/>
              </w:rPr>
              <w:t xml:space="preserve"> et al (2019)</w:t>
            </w:r>
          </w:p>
          <w:p w14:paraId="7D28EE90"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2654FAC8"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Subjective and physiological response to emotions in temporal lobe epilepsy and psychogenic non-epileptic seizures</w:t>
            </w:r>
          </w:p>
        </w:tc>
        <w:tc>
          <w:tcPr>
            <w:tcW w:w="0" w:type="auto"/>
            <w:vAlign w:val="center"/>
          </w:tcPr>
          <w:p w14:paraId="252596DC"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Emotion processing</w:t>
            </w:r>
          </w:p>
        </w:tc>
        <w:tc>
          <w:tcPr>
            <w:tcW w:w="0" w:type="auto"/>
            <w:vAlign w:val="center"/>
          </w:tcPr>
          <w:p w14:paraId="2E19455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investigate emotional processing using SCRs in TLE and PNES</w:t>
            </w:r>
          </w:p>
        </w:tc>
        <w:tc>
          <w:tcPr>
            <w:tcW w:w="0" w:type="auto"/>
            <w:vAlign w:val="center"/>
          </w:tcPr>
          <w:p w14:paraId="1A862F7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28D8A52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14 PNES</w:t>
            </w:r>
          </w:p>
          <w:p w14:paraId="1A45963A"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34 TLE</w:t>
            </w:r>
          </w:p>
          <w:p w14:paraId="7AA0F19A"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34 HC</w:t>
            </w:r>
          </w:p>
        </w:tc>
        <w:tc>
          <w:tcPr>
            <w:tcW w:w="0" w:type="auto"/>
            <w:vAlign w:val="center"/>
          </w:tcPr>
          <w:p w14:paraId="0B61AC8A"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SCRs measured in response to emotions induced by short film, compared with HC. Attention and suppression condition performed during viewings</w:t>
            </w:r>
          </w:p>
        </w:tc>
        <w:tc>
          <w:tcPr>
            <w:tcW w:w="0" w:type="auto"/>
            <w:vAlign w:val="center"/>
          </w:tcPr>
          <w:p w14:paraId="3D24ECE5"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BDI, STAI</w:t>
            </w:r>
          </w:p>
          <w:p w14:paraId="4CA0E0F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52E31A0D"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SCRs</w:t>
            </w:r>
          </w:p>
        </w:tc>
        <w:tc>
          <w:tcPr>
            <w:tcW w:w="0" w:type="auto"/>
            <w:vAlign w:val="center"/>
          </w:tcPr>
          <w:p w14:paraId="6D6B5902"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PNES, TLE, and HC disclose different patterns of SCRs to emotions. </w:t>
            </w:r>
            <w:r w:rsidRPr="00461043">
              <w:rPr>
                <w:rFonts w:asciiTheme="minorHAnsi" w:hAnsiTheme="minorHAnsi"/>
                <w:b/>
                <w:bCs/>
                <w:color w:val="000000"/>
                <w:sz w:val="11"/>
                <w:szCs w:val="11"/>
              </w:rPr>
              <w:t>No correlation found between depression &amp; anxiety vs SCR. There was no report on subjective emotional intensity and SCR</w:t>
            </w:r>
          </w:p>
        </w:tc>
      </w:tr>
      <w:tr w:rsidR="007E0ABC" w:rsidRPr="00461043" w14:paraId="42DD9A0C" w14:textId="77777777" w:rsidTr="00461043">
        <w:trPr>
          <w:trHeight w:val="56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C0FF6A"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4</w:t>
            </w:r>
          </w:p>
        </w:tc>
        <w:tc>
          <w:tcPr>
            <w:tcW w:w="0" w:type="auto"/>
            <w:vAlign w:val="center"/>
            <w:hideMark/>
          </w:tcPr>
          <w:p w14:paraId="1F136BDD"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Novakova, Harris and Reuber (2017)</w:t>
            </w:r>
          </w:p>
          <w:p w14:paraId="471DB58E"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p>
          <w:p w14:paraId="59CAF23C"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Diurnal patterns and relationships between physiological and self-reported stress in patients with epilepsy and psychogenic non-epileptic seizures</w:t>
            </w:r>
          </w:p>
        </w:tc>
        <w:tc>
          <w:tcPr>
            <w:tcW w:w="0" w:type="auto"/>
            <w:vAlign w:val="center"/>
          </w:tcPr>
          <w:p w14:paraId="59BBC5F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Stress response</w:t>
            </w:r>
            <w:r w:rsidRPr="00461043">
              <w:rPr>
                <w:rFonts w:asciiTheme="minorHAnsi" w:hAnsiTheme="minorHAnsi"/>
                <w:i/>
                <w:iCs/>
                <w:sz w:val="11"/>
                <w:szCs w:val="11"/>
              </w:rPr>
              <w:t xml:space="preserve"> </w:t>
            </w:r>
          </w:p>
        </w:tc>
        <w:tc>
          <w:tcPr>
            <w:tcW w:w="0" w:type="auto"/>
            <w:vAlign w:val="center"/>
          </w:tcPr>
          <w:p w14:paraId="13A71464"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To explore the patterns of physiological and self-reported stress measures across the day </w:t>
            </w:r>
          </w:p>
        </w:tc>
        <w:tc>
          <w:tcPr>
            <w:tcW w:w="0" w:type="auto"/>
            <w:vAlign w:val="center"/>
          </w:tcPr>
          <w:p w14:paraId="0BC5EA84"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42C2878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23 PNES</w:t>
            </w:r>
          </w:p>
          <w:p w14:paraId="3BD6C52D"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22 epilepsy</w:t>
            </w:r>
          </w:p>
        </w:tc>
        <w:tc>
          <w:tcPr>
            <w:tcW w:w="0" w:type="auto"/>
            <w:vAlign w:val="center"/>
          </w:tcPr>
          <w:p w14:paraId="3957157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Self-reported stress, salivary cortisol and HRV explored in epilepsy and PNES patients</w:t>
            </w:r>
          </w:p>
        </w:tc>
        <w:tc>
          <w:tcPr>
            <w:tcW w:w="0" w:type="auto"/>
            <w:vAlign w:val="center"/>
          </w:tcPr>
          <w:p w14:paraId="5CDFEA1F"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PSS, LSSI, GAD-7, NEWQOL-6D</w:t>
            </w:r>
          </w:p>
          <w:p w14:paraId="15258A52"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p>
          <w:p w14:paraId="5C38243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HRV, salivary cortisol</w:t>
            </w:r>
          </w:p>
        </w:tc>
        <w:tc>
          <w:tcPr>
            <w:tcW w:w="0" w:type="auto"/>
            <w:vAlign w:val="center"/>
          </w:tcPr>
          <w:p w14:paraId="70D1FCD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b/>
                <w:bCs/>
                <w:color w:val="000000"/>
                <w:sz w:val="11"/>
                <w:szCs w:val="11"/>
              </w:rPr>
              <w:t>No correlations found between self-reported stress and any of the physiological measures</w:t>
            </w:r>
            <w:r w:rsidRPr="00461043">
              <w:rPr>
                <w:rFonts w:asciiTheme="minorHAnsi" w:hAnsiTheme="minorHAnsi"/>
                <w:color w:val="000000"/>
                <w:sz w:val="11"/>
                <w:szCs w:val="11"/>
              </w:rPr>
              <w:t>, but significant correlations were found between the physiological measures</w:t>
            </w:r>
          </w:p>
        </w:tc>
      </w:tr>
      <w:tr w:rsidR="007E0ABC" w:rsidRPr="00461043" w14:paraId="5F7F9B89" w14:textId="77777777" w:rsidTr="0046104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6BA563"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5</w:t>
            </w:r>
          </w:p>
        </w:tc>
        <w:tc>
          <w:tcPr>
            <w:tcW w:w="0" w:type="auto"/>
            <w:vAlign w:val="center"/>
          </w:tcPr>
          <w:p w14:paraId="1EB49771"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Williams, Levita and Reuber (2021)</w:t>
            </w:r>
          </w:p>
          <w:p w14:paraId="112280AD"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p>
          <w:p w14:paraId="73AF3048"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p>
        </w:tc>
        <w:tc>
          <w:tcPr>
            <w:tcW w:w="0" w:type="auto"/>
            <w:vAlign w:val="center"/>
          </w:tcPr>
          <w:p w14:paraId="22DC2648"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Emotion processing</w:t>
            </w:r>
          </w:p>
        </w:tc>
        <w:tc>
          <w:tcPr>
            <w:tcW w:w="0" w:type="auto"/>
            <w:vAlign w:val="center"/>
          </w:tcPr>
          <w:p w14:paraId="72B54FD3" w14:textId="77777777" w:rsidR="007E0ABC" w:rsidRPr="00461043" w:rsidRDefault="007E0ABC" w:rsidP="00D97C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30C45048" w14:textId="77777777" w:rsidR="007E0ABC" w:rsidRPr="00461043" w:rsidRDefault="007E0ABC" w:rsidP="00D97C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To assess IS in </w:t>
            </w:r>
            <w:proofErr w:type="spellStart"/>
            <w:r w:rsidRPr="00461043">
              <w:rPr>
                <w:rFonts w:asciiTheme="minorHAnsi" w:hAnsiTheme="minorHAnsi"/>
                <w:color w:val="000000"/>
                <w:sz w:val="11"/>
                <w:szCs w:val="11"/>
              </w:rPr>
              <w:t>pwFND</w:t>
            </w:r>
            <w:proofErr w:type="spellEnd"/>
            <w:r w:rsidRPr="00461043">
              <w:rPr>
                <w:rFonts w:asciiTheme="minorHAnsi" w:hAnsiTheme="minorHAnsi"/>
                <w:color w:val="000000"/>
                <w:sz w:val="11"/>
                <w:szCs w:val="11"/>
              </w:rPr>
              <w:t xml:space="preserve"> at baseline and following stress induction, and relate the findings to self-reported emotion processing difficulties</w:t>
            </w:r>
          </w:p>
          <w:p w14:paraId="7648B318"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tc>
        <w:tc>
          <w:tcPr>
            <w:tcW w:w="0" w:type="auto"/>
            <w:vAlign w:val="center"/>
          </w:tcPr>
          <w:p w14:paraId="5E0B90DC"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7CC12C8C"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26 FND</w:t>
            </w:r>
          </w:p>
          <w:p w14:paraId="19D6F4E4"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27 HC</w:t>
            </w:r>
          </w:p>
        </w:tc>
        <w:tc>
          <w:tcPr>
            <w:tcW w:w="0" w:type="auto"/>
            <w:vAlign w:val="center"/>
          </w:tcPr>
          <w:p w14:paraId="667D9662"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Heartbeat detection test (pre- and post-stress induction with Cold Pressor test), heart rate (ECG). </w:t>
            </w:r>
          </w:p>
        </w:tc>
        <w:tc>
          <w:tcPr>
            <w:tcW w:w="0" w:type="auto"/>
            <w:vAlign w:val="center"/>
          </w:tcPr>
          <w:p w14:paraId="7AFF1958"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EPS-25, PHQ-9, GAD-7</w:t>
            </w:r>
          </w:p>
          <w:p w14:paraId="277C4CD1"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669BAD8A" w14:textId="77777777" w:rsidR="007E0ABC" w:rsidRPr="00461043" w:rsidRDefault="007E0ABC" w:rsidP="00826D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 xml:space="preserve">Heartbeat detection test </w:t>
            </w:r>
          </w:p>
          <w:p w14:paraId="7D5D6923" w14:textId="77777777" w:rsidR="007E0ABC" w:rsidRPr="00461043" w:rsidRDefault="007E0ABC" w:rsidP="00826D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tc>
        <w:tc>
          <w:tcPr>
            <w:tcW w:w="0" w:type="auto"/>
            <w:vAlign w:val="center"/>
          </w:tcPr>
          <w:p w14:paraId="03975409" w14:textId="77777777" w:rsidR="007E0ABC" w:rsidRPr="00461043" w:rsidRDefault="007E0ABC" w:rsidP="00060C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Patients with FND are relatively impaired in the identification of their emotions at baseline and following stress induction. </w:t>
            </w:r>
            <w:r w:rsidRPr="00461043">
              <w:rPr>
                <w:rFonts w:asciiTheme="minorHAnsi" w:hAnsiTheme="minorHAnsi"/>
                <w:b/>
                <w:bCs/>
                <w:color w:val="000000"/>
                <w:sz w:val="11"/>
                <w:szCs w:val="11"/>
              </w:rPr>
              <w:t>Exploratory correlational analysis between pre- and post-stress induction IS scores and EPS-25 scores on pooled and within-group data yielded weak associations that did not reach statistical significance.</w:t>
            </w:r>
            <w:r w:rsidRPr="00461043">
              <w:rPr>
                <w:rFonts w:asciiTheme="minorHAnsi" w:hAnsiTheme="minorHAnsi"/>
                <w:color w:val="000000"/>
                <w:sz w:val="11"/>
                <w:szCs w:val="11"/>
              </w:rPr>
              <w:t xml:space="preserve"> </w:t>
            </w:r>
          </w:p>
        </w:tc>
      </w:tr>
      <w:tr w:rsidR="007E0ABC" w:rsidRPr="00461043" w14:paraId="618FA27C" w14:textId="77777777" w:rsidTr="00461043">
        <w:trPr>
          <w:trHeight w:val="17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7EAE70"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lastRenderedPageBreak/>
              <w:t>6</w:t>
            </w:r>
          </w:p>
        </w:tc>
        <w:tc>
          <w:tcPr>
            <w:tcW w:w="0" w:type="auto"/>
            <w:vAlign w:val="center"/>
            <w:hideMark/>
          </w:tcPr>
          <w:p w14:paraId="3FF6C618"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Pick, Mellers and Goldstein (2018)</w:t>
            </w:r>
          </w:p>
          <w:p w14:paraId="791A6487"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p>
          <w:p w14:paraId="048F78C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Autonomic and subjective responsivity to emotional images in people with dissociative seizures</w:t>
            </w:r>
          </w:p>
        </w:tc>
        <w:tc>
          <w:tcPr>
            <w:tcW w:w="0" w:type="auto"/>
            <w:vAlign w:val="center"/>
          </w:tcPr>
          <w:p w14:paraId="0F18DC6F"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Stress response</w:t>
            </w:r>
          </w:p>
        </w:tc>
        <w:tc>
          <w:tcPr>
            <w:tcW w:w="0" w:type="auto"/>
            <w:vAlign w:val="center"/>
          </w:tcPr>
          <w:p w14:paraId="47CD510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compare subjective and autonomic reactivity to general emotional images in patients with PNES</w:t>
            </w:r>
          </w:p>
        </w:tc>
        <w:tc>
          <w:tcPr>
            <w:tcW w:w="0" w:type="auto"/>
            <w:vAlign w:val="center"/>
          </w:tcPr>
          <w:p w14:paraId="2AA9ACE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4A5A87A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39 PNES</w:t>
            </w:r>
          </w:p>
          <w:p w14:paraId="0E1245C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42 HC</w:t>
            </w:r>
          </w:p>
        </w:tc>
        <w:tc>
          <w:tcPr>
            <w:tcW w:w="0" w:type="auto"/>
            <w:vAlign w:val="center"/>
          </w:tcPr>
          <w:p w14:paraId="6E0B49F7"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SCRs were measured while viewing emotion stimulating images (IAPT)</w:t>
            </w:r>
          </w:p>
        </w:tc>
        <w:tc>
          <w:tcPr>
            <w:tcW w:w="0" w:type="auto"/>
            <w:vAlign w:val="center"/>
          </w:tcPr>
          <w:p w14:paraId="422179CC"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SAM, HADS, Seizure  symptoms</w:t>
            </w:r>
          </w:p>
          <w:p w14:paraId="194A64B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p>
          <w:p w14:paraId="5605D57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SCR, SCL</w:t>
            </w:r>
          </w:p>
        </w:tc>
        <w:tc>
          <w:tcPr>
            <w:tcW w:w="0" w:type="auto"/>
            <w:vAlign w:val="center"/>
          </w:tcPr>
          <w:p w14:paraId="38DBC13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sz w:val="11"/>
                <w:szCs w:val="11"/>
              </w:rPr>
              <w:t xml:space="preserve">A positive correlation was observed between SCR’s for highly arousing negative pictures and self-reported ictal autonomic arousal, however two patterns of emotional responding were found in patients with PNES. </w:t>
            </w:r>
            <w:r w:rsidRPr="00461043">
              <w:rPr>
                <w:rFonts w:asciiTheme="minorHAnsi" w:eastAsiaTheme="minorHAnsi" w:hAnsiTheme="minorHAnsi" w:cstheme="minorBidi"/>
                <w:b/>
                <w:bCs/>
                <w:sz w:val="11"/>
                <w:szCs w:val="11"/>
              </w:rPr>
              <w:t>Elevated autonomic response (SCR/SCL) did not correlate with subjective experience (valence/arousal ratings) in some patients. While some with fewer autonomic responses had increased subjective responses.</w:t>
            </w:r>
            <w:r w:rsidRPr="00461043">
              <w:rPr>
                <w:rFonts w:asciiTheme="minorHAnsi" w:eastAsiaTheme="minorHAnsi" w:hAnsiTheme="minorHAnsi" w:cstheme="minorBidi"/>
                <w:sz w:val="11"/>
                <w:szCs w:val="11"/>
              </w:rPr>
              <w:t xml:space="preserve"> </w:t>
            </w:r>
          </w:p>
        </w:tc>
      </w:tr>
      <w:tr w:rsidR="007E0ABC" w:rsidRPr="00461043" w14:paraId="2A4BC62C" w14:textId="77777777" w:rsidTr="0046104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594A88"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7</w:t>
            </w:r>
          </w:p>
        </w:tc>
        <w:tc>
          <w:tcPr>
            <w:tcW w:w="0" w:type="auto"/>
            <w:vAlign w:val="center"/>
            <w:hideMark/>
          </w:tcPr>
          <w:p w14:paraId="228D3B4B"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Apazoglou et al (2017)</w:t>
            </w:r>
          </w:p>
          <w:p w14:paraId="1F2877B4"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6E84E47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Biological and perceived stress in motor functional neurological disorders</w:t>
            </w:r>
          </w:p>
        </w:tc>
        <w:tc>
          <w:tcPr>
            <w:tcW w:w="0" w:type="auto"/>
            <w:vAlign w:val="center"/>
          </w:tcPr>
          <w:p w14:paraId="7B3EA723"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Stress response </w:t>
            </w:r>
          </w:p>
        </w:tc>
        <w:tc>
          <w:tcPr>
            <w:tcW w:w="0" w:type="auto"/>
            <w:vAlign w:val="center"/>
          </w:tcPr>
          <w:p w14:paraId="2D9EE32D"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study the biological and perceived responses to stress in motor FND</w:t>
            </w:r>
          </w:p>
        </w:tc>
        <w:tc>
          <w:tcPr>
            <w:tcW w:w="0" w:type="auto"/>
            <w:vAlign w:val="center"/>
          </w:tcPr>
          <w:p w14:paraId="437DF9C2"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52E35B1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16 FMD</w:t>
            </w:r>
          </w:p>
          <w:p w14:paraId="772A9CD4"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15 HC</w:t>
            </w:r>
          </w:p>
        </w:tc>
        <w:tc>
          <w:tcPr>
            <w:tcW w:w="0" w:type="auto"/>
            <w:vAlign w:val="center"/>
          </w:tcPr>
          <w:p w14:paraId="38CF6D8C"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Participants underwent the Trier social stress test while salivary cortisol and salivary alpha-amylase were measured</w:t>
            </w:r>
          </w:p>
        </w:tc>
        <w:tc>
          <w:tcPr>
            <w:tcW w:w="0" w:type="auto"/>
            <w:vAlign w:val="center"/>
          </w:tcPr>
          <w:p w14:paraId="08AA6982"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Stress on VAS, STAI, BDI, ALQ, CTQ, CGI, NEURO-QOL (mobility sub-scale)</w:t>
            </w:r>
          </w:p>
          <w:p w14:paraId="0C9E44F2"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2EC7AB8B"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Salivary cortisol, and alpha-amylase</w:t>
            </w:r>
          </w:p>
        </w:tc>
        <w:tc>
          <w:tcPr>
            <w:tcW w:w="0" w:type="auto"/>
            <w:vAlign w:val="center"/>
          </w:tcPr>
          <w:p w14:paraId="3D0CACB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Adverse life events positively correlated with baseline cortisol in FMD. There were no correlations between VAS scores and biological values at baseline or after stress in FMD. There were no correlations between duration and severity of the disorder and objective markers.</w:t>
            </w:r>
          </w:p>
        </w:tc>
      </w:tr>
      <w:tr w:rsidR="007E0ABC" w:rsidRPr="00461043" w14:paraId="39C2DEB2" w14:textId="77777777" w:rsidTr="00461043">
        <w:trPr>
          <w:trHeight w:val="17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FE54F6"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8</w:t>
            </w:r>
          </w:p>
        </w:tc>
        <w:tc>
          <w:tcPr>
            <w:tcW w:w="0" w:type="auto"/>
            <w:vAlign w:val="center"/>
            <w:hideMark/>
          </w:tcPr>
          <w:p w14:paraId="330E2614"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Maurer et al (2015)</w:t>
            </w:r>
          </w:p>
          <w:p w14:paraId="40D7966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p>
          <w:p w14:paraId="29B18552"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A biological measure of stress levels in patients with functional movement disorders</w:t>
            </w:r>
          </w:p>
        </w:tc>
        <w:tc>
          <w:tcPr>
            <w:tcW w:w="0" w:type="auto"/>
            <w:vAlign w:val="center"/>
          </w:tcPr>
          <w:p w14:paraId="1A54727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Stress response</w:t>
            </w:r>
          </w:p>
        </w:tc>
        <w:tc>
          <w:tcPr>
            <w:tcW w:w="0" w:type="auto"/>
            <w:vAlign w:val="center"/>
          </w:tcPr>
          <w:p w14:paraId="34B7B9E9"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examine biological stress levels in patients with functional movement disorders as compared with matched HC</w:t>
            </w:r>
          </w:p>
        </w:tc>
        <w:tc>
          <w:tcPr>
            <w:tcW w:w="0" w:type="auto"/>
            <w:vAlign w:val="center"/>
          </w:tcPr>
          <w:p w14:paraId="0763FD7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21FF34DE"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33 FMD</w:t>
            </w:r>
          </w:p>
          <w:p w14:paraId="569BE770"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33 HC</w:t>
            </w:r>
          </w:p>
        </w:tc>
        <w:tc>
          <w:tcPr>
            <w:tcW w:w="0" w:type="auto"/>
            <w:vAlign w:val="center"/>
          </w:tcPr>
          <w:p w14:paraId="360A95C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Levels of circulating cortisol were measured from salivary samples </w:t>
            </w:r>
          </w:p>
        </w:tc>
        <w:tc>
          <w:tcPr>
            <w:tcW w:w="0" w:type="auto"/>
            <w:vAlign w:val="center"/>
          </w:tcPr>
          <w:p w14:paraId="4F20777D"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BDI-II, STAI, CTQ, TLEQ</w:t>
            </w:r>
          </w:p>
          <w:p w14:paraId="2B94D6D8"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p>
          <w:p w14:paraId="0802ED8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Salivary cortisol</w:t>
            </w:r>
          </w:p>
        </w:tc>
        <w:tc>
          <w:tcPr>
            <w:tcW w:w="0" w:type="auto"/>
            <w:vAlign w:val="center"/>
          </w:tcPr>
          <w:p w14:paraId="735FB580"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b/>
                <w:bCs/>
                <w:sz w:val="11"/>
                <w:szCs w:val="11"/>
              </w:rPr>
              <w:t>No significant linear correlation between cortisol levels and self-report scores on any of the psychometric questionnaires</w:t>
            </w:r>
            <w:r w:rsidRPr="00461043">
              <w:rPr>
                <w:rFonts w:asciiTheme="minorHAnsi" w:eastAsiaTheme="minorHAnsi" w:hAnsiTheme="minorHAnsi" w:cstheme="minorBidi"/>
                <w:sz w:val="11"/>
                <w:szCs w:val="11"/>
              </w:rPr>
              <w:t xml:space="preserve"> measuring anxiety, depression, history of traumas and disorder duration and severity</w:t>
            </w:r>
          </w:p>
        </w:tc>
      </w:tr>
      <w:tr w:rsidR="007E0ABC" w:rsidRPr="00461043" w14:paraId="6196EF10" w14:textId="77777777" w:rsidTr="00461043">
        <w:trPr>
          <w:cnfStyle w:val="000000100000" w:firstRow="0" w:lastRow="0" w:firstColumn="0" w:lastColumn="0" w:oddVBand="0" w:evenVBand="0" w:oddHBand="1" w:evenHBand="0"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E61B6C"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9</w:t>
            </w:r>
          </w:p>
        </w:tc>
        <w:tc>
          <w:tcPr>
            <w:tcW w:w="0" w:type="auto"/>
            <w:vAlign w:val="center"/>
            <w:hideMark/>
          </w:tcPr>
          <w:p w14:paraId="2DB6C00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proofErr w:type="spellStart"/>
            <w:r w:rsidRPr="00461043">
              <w:rPr>
                <w:rFonts w:asciiTheme="minorHAnsi" w:eastAsiaTheme="minorHAnsi" w:hAnsiTheme="minorHAnsi" w:cstheme="minorBidi"/>
                <w:b/>
                <w:bCs/>
                <w:sz w:val="11"/>
                <w:szCs w:val="11"/>
              </w:rPr>
              <w:t>Allendorfer</w:t>
            </w:r>
            <w:proofErr w:type="spellEnd"/>
            <w:r w:rsidRPr="00461043">
              <w:rPr>
                <w:rFonts w:asciiTheme="minorHAnsi" w:eastAsiaTheme="minorHAnsi" w:hAnsiTheme="minorHAnsi" w:cstheme="minorBidi"/>
                <w:b/>
                <w:bCs/>
                <w:sz w:val="11"/>
                <w:szCs w:val="11"/>
              </w:rPr>
              <w:t xml:space="preserve"> et al (2019)</w:t>
            </w:r>
          </w:p>
          <w:p w14:paraId="56F16C1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06CC73E5"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FMRI response to acute psychological stress differentiates patients with psychogenic non-epileptic seizures from healthy controls – A biochemical and neuroimaging biomarker study</w:t>
            </w:r>
          </w:p>
        </w:tc>
        <w:tc>
          <w:tcPr>
            <w:tcW w:w="0" w:type="auto"/>
            <w:vAlign w:val="center"/>
          </w:tcPr>
          <w:p w14:paraId="6C86BAE1"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Stress response </w:t>
            </w:r>
          </w:p>
        </w:tc>
        <w:tc>
          <w:tcPr>
            <w:tcW w:w="0" w:type="auto"/>
            <w:vAlign w:val="center"/>
          </w:tcPr>
          <w:p w14:paraId="07BC4DC4"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To investigate stress response in the brain regions involved in emotion-motor-executive control in PNES </w:t>
            </w:r>
          </w:p>
        </w:tc>
        <w:tc>
          <w:tcPr>
            <w:tcW w:w="0" w:type="auto"/>
            <w:vAlign w:val="center"/>
          </w:tcPr>
          <w:p w14:paraId="5E000DC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431D6043"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12 PNES</w:t>
            </w:r>
          </w:p>
          <w:p w14:paraId="5902C36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12 HC</w:t>
            </w:r>
          </w:p>
        </w:tc>
        <w:tc>
          <w:tcPr>
            <w:tcW w:w="0" w:type="auto"/>
            <w:vAlign w:val="center"/>
          </w:tcPr>
          <w:p w14:paraId="5A102BAD"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Participants underwent stress task and resting state fMRI, mood and QOL assessments and measurements of HR, salivary cortisol, and alpha-amylase </w:t>
            </w:r>
          </w:p>
        </w:tc>
        <w:tc>
          <w:tcPr>
            <w:tcW w:w="0" w:type="auto"/>
            <w:vAlign w:val="center"/>
          </w:tcPr>
          <w:p w14:paraId="3968681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SF-36, PSS, BDI, BAI, POMS, STAI-s, STAI-t, WCQ, DSSQ</w:t>
            </w:r>
          </w:p>
          <w:p w14:paraId="756DDE78"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12FC9091"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HR, salivary cortisol, alpha-amylase, resting state fMRI</w:t>
            </w:r>
          </w:p>
        </w:tc>
        <w:tc>
          <w:tcPr>
            <w:tcW w:w="0" w:type="auto"/>
            <w:vAlign w:val="center"/>
          </w:tcPr>
          <w:p w14:paraId="7E42BE9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1"/>
                <w:szCs w:val="11"/>
              </w:rPr>
            </w:pPr>
            <w:r w:rsidRPr="00461043">
              <w:rPr>
                <w:rFonts w:ascii="Calibri" w:hAnsi="Calibri"/>
                <w:b/>
                <w:bCs/>
                <w:color w:val="000000"/>
                <w:sz w:val="11"/>
                <w:szCs w:val="11"/>
              </w:rPr>
              <w:t xml:space="preserve">Increased perceived stress negatively correlated with </w:t>
            </w:r>
            <w:proofErr w:type="spellStart"/>
            <w:r w:rsidRPr="00461043">
              <w:rPr>
                <w:rFonts w:ascii="Calibri" w:hAnsi="Calibri"/>
                <w:b/>
                <w:bCs/>
                <w:color w:val="000000"/>
                <w:sz w:val="11"/>
                <w:szCs w:val="11"/>
              </w:rPr>
              <w:t>dHR</w:t>
            </w:r>
            <w:proofErr w:type="spellEnd"/>
            <w:r w:rsidRPr="00461043">
              <w:rPr>
                <w:rFonts w:ascii="Calibri" w:hAnsi="Calibri"/>
                <w:b/>
                <w:bCs/>
                <w:color w:val="000000"/>
                <w:sz w:val="11"/>
                <w:szCs w:val="11"/>
              </w:rPr>
              <w:t xml:space="preserve">. Perceived stress did not significantly correlate with cortisol or alpha-amylase nor fMRI stress response </w:t>
            </w:r>
          </w:p>
        </w:tc>
      </w:tr>
      <w:tr w:rsidR="007E0ABC" w:rsidRPr="00461043" w14:paraId="5B1F7C89" w14:textId="77777777" w:rsidTr="00461043">
        <w:trPr>
          <w:trHeight w:val="7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5E1FD6"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10</w:t>
            </w:r>
          </w:p>
        </w:tc>
        <w:tc>
          <w:tcPr>
            <w:tcW w:w="0" w:type="auto"/>
            <w:vAlign w:val="center"/>
            <w:hideMark/>
          </w:tcPr>
          <w:p w14:paraId="13F84B9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Ricciardi et al (2016)</w:t>
            </w:r>
          </w:p>
          <w:p w14:paraId="377849E7"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p>
          <w:p w14:paraId="1CB7F44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Interoceptive awareness in patients with Functional Neurological symptoms</w:t>
            </w:r>
          </w:p>
        </w:tc>
        <w:tc>
          <w:tcPr>
            <w:tcW w:w="0" w:type="auto"/>
            <w:vAlign w:val="center"/>
          </w:tcPr>
          <w:p w14:paraId="58239EC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Emotion processing</w:t>
            </w:r>
          </w:p>
        </w:tc>
        <w:tc>
          <w:tcPr>
            <w:tcW w:w="0" w:type="auto"/>
            <w:vAlign w:val="center"/>
          </w:tcPr>
          <w:p w14:paraId="698E7D8C"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study FMD patients ability to monitor their interoceptive signals</w:t>
            </w:r>
          </w:p>
        </w:tc>
        <w:tc>
          <w:tcPr>
            <w:tcW w:w="0" w:type="auto"/>
            <w:vAlign w:val="center"/>
          </w:tcPr>
          <w:p w14:paraId="1A73547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557CA662"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16 FMD</w:t>
            </w:r>
          </w:p>
          <w:p w14:paraId="2A07E42E"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17 HC</w:t>
            </w:r>
          </w:p>
        </w:tc>
        <w:tc>
          <w:tcPr>
            <w:tcW w:w="0" w:type="auto"/>
            <w:vAlign w:val="center"/>
          </w:tcPr>
          <w:p w14:paraId="0BC985BE"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Interoceptive awareness measured using heartbeat detection task in  FMD patients and compared with HC</w:t>
            </w:r>
          </w:p>
        </w:tc>
        <w:tc>
          <w:tcPr>
            <w:tcW w:w="0" w:type="auto"/>
            <w:vAlign w:val="center"/>
          </w:tcPr>
          <w:p w14:paraId="4D1C7302"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TAS-20, SOQ, MADRS </w:t>
            </w:r>
          </w:p>
          <w:p w14:paraId="5774FB47"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p>
          <w:p w14:paraId="3DD8ADAE"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Heartbeat detection test</w:t>
            </w:r>
          </w:p>
        </w:tc>
        <w:tc>
          <w:tcPr>
            <w:tcW w:w="0" w:type="auto"/>
            <w:vAlign w:val="center"/>
          </w:tcPr>
          <w:p w14:paraId="3C8BD2B7"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sz w:val="11"/>
                <w:szCs w:val="11"/>
              </w:rPr>
              <w:t xml:space="preserve">FMD patients have lower IS than HC. </w:t>
            </w:r>
            <w:r w:rsidRPr="00461043">
              <w:rPr>
                <w:rFonts w:asciiTheme="minorHAnsi" w:eastAsiaTheme="minorHAnsi" w:hAnsiTheme="minorHAnsi" w:cstheme="minorBidi"/>
                <w:b/>
                <w:bCs/>
                <w:sz w:val="11"/>
                <w:szCs w:val="11"/>
              </w:rPr>
              <w:t>No significant correlations between IS and depression, alexithymia, self-objectification scores or symptom duration.</w:t>
            </w:r>
            <w:r w:rsidRPr="00461043">
              <w:rPr>
                <w:rFonts w:asciiTheme="minorHAnsi" w:eastAsiaTheme="minorHAnsi" w:hAnsiTheme="minorHAnsi" w:cstheme="minorBidi"/>
                <w:sz w:val="11"/>
                <w:szCs w:val="11"/>
              </w:rPr>
              <w:t xml:space="preserve"> Lower IS predicted higher depression score when controlling for alexithymia scores and predicted higher self-objectification when controlling for depression scores</w:t>
            </w:r>
          </w:p>
        </w:tc>
      </w:tr>
      <w:tr w:rsidR="007E0ABC" w:rsidRPr="00461043" w14:paraId="72CA95ED" w14:textId="77777777" w:rsidTr="0046104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F98D9A"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11</w:t>
            </w:r>
          </w:p>
        </w:tc>
        <w:tc>
          <w:tcPr>
            <w:tcW w:w="0" w:type="auto"/>
            <w:vAlign w:val="center"/>
            <w:hideMark/>
          </w:tcPr>
          <w:p w14:paraId="3DBA341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Parees et al (2012)</w:t>
            </w:r>
          </w:p>
          <w:p w14:paraId="2B6E67AC"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458C063A"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Believing is perceiving: mismatch between self-report and actigraphy in psychogenic tremor</w:t>
            </w:r>
          </w:p>
        </w:tc>
        <w:tc>
          <w:tcPr>
            <w:tcW w:w="0" w:type="auto"/>
            <w:vAlign w:val="center"/>
          </w:tcPr>
          <w:p w14:paraId="27D7C99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Distress/ Illness burden</w:t>
            </w:r>
          </w:p>
        </w:tc>
        <w:tc>
          <w:tcPr>
            <w:tcW w:w="0" w:type="auto"/>
            <w:vAlign w:val="center"/>
          </w:tcPr>
          <w:p w14:paraId="1C5E977B"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determine the duration and intensity of tremor and to compare self-report and objective outcomes in psychogenic and organic tremor patients</w:t>
            </w:r>
          </w:p>
        </w:tc>
        <w:tc>
          <w:tcPr>
            <w:tcW w:w="0" w:type="auto"/>
            <w:vAlign w:val="center"/>
          </w:tcPr>
          <w:p w14:paraId="73E5FE6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595EBD5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10 FT</w:t>
            </w:r>
          </w:p>
          <w:p w14:paraId="22939F4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8 </w:t>
            </w:r>
            <w:proofErr w:type="spellStart"/>
            <w:r w:rsidRPr="00461043">
              <w:rPr>
                <w:rFonts w:asciiTheme="minorHAnsi" w:hAnsiTheme="minorHAnsi"/>
                <w:color w:val="000000"/>
                <w:sz w:val="11"/>
                <w:szCs w:val="11"/>
              </w:rPr>
              <w:t>OrgT</w:t>
            </w:r>
            <w:proofErr w:type="spellEnd"/>
          </w:p>
        </w:tc>
        <w:tc>
          <w:tcPr>
            <w:tcW w:w="0" w:type="auto"/>
            <w:vAlign w:val="center"/>
          </w:tcPr>
          <w:p w14:paraId="145268B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Participants wore a small actigraph to monitor tremor duration and intensity and completed </w:t>
            </w:r>
            <w:r w:rsidRPr="00461043">
              <w:rPr>
                <w:rFonts w:asciiTheme="minorHAnsi" w:hAnsiTheme="minorHAnsi"/>
                <w:color w:val="000000"/>
                <w:sz w:val="11"/>
                <w:szCs w:val="11"/>
              </w:rPr>
              <w:t>self-assessments of tremor duration and intensity in diary for</w:t>
            </w:r>
            <w:r w:rsidRPr="00461043">
              <w:rPr>
                <w:rFonts w:asciiTheme="minorHAnsi" w:hAnsiTheme="minorHAnsi"/>
                <w:sz w:val="11"/>
                <w:szCs w:val="11"/>
              </w:rPr>
              <w:t xml:space="preserve"> 5 days </w:t>
            </w:r>
          </w:p>
        </w:tc>
        <w:tc>
          <w:tcPr>
            <w:tcW w:w="0" w:type="auto"/>
            <w:vAlign w:val="center"/>
          </w:tcPr>
          <w:p w14:paraId="3888335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Self-rated assessment of tremor, EQ-5D</w:t>
            </w:r>
          </w:p>
          <w:p w14:paraId="5C263193"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4048AB3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Actigraph measurement of tremor</w:t>
            </w:r>
          </w:p>
        </w:tc>
        <w:tc>
          <w:tcPr>
            <w:tcW w:w="0" w:type="auto"/>
            <w:vAlign w:val="center"/>
          </w:tcPr>
          <w:p w14:paraId="3EDE575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1"/>
                <w:szCs w:val="11"/>
              </w:rPr>
            </w:pPr>
            <w:r w:rsidRPr="00461043">
              <w:rPr>
                <w:rFonts w:ascii="Calibri" w:hAnsi="Calibri"/>
                <w:b/>
                <w:bCs/>
                <w:color w:val="000000"/>
                <w:sz w:val="11"/>
                <w:szCs w:val="11"/>
              </w:rPr>
              <w:t>There was a mismatch between diary estimates and actigraphy measures. Both patient groups overestimated the duration of tremor.</w:t>
            </w:r>
            <w:r w:rsidRPr="00461043">
              <w:rPr>
                <w:rFonts w:ascii="Calibri" w:hAnsi="Calibri"/>
                <w:color w:val="000000"/>
                <w:sz w:val="11"/>
                <w:szCs w:val="11"/>
              </w:rPr>
              <w:t xml:space="preserve"> Psychogenic tremor patients estimated 65% more tremor duration than that measured by actigraphy. </w:t>
            </w:r>
          </w:p>
        </w:tc>
      </w:tr>
      <w:tr w:rsidR="007E0ABC" w:rsidRPr="00461043" w14:paraId="004FB977" w14:textId="77777777" w:rsidTr="00461043">
        <w:trPr>
          <w:trHeight w:val="17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E68AB3"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lastRenderedPageBreak/>
              <w:t>12</w:t>
            </w:r>
          </w:p>
        </w:tc>
        <w:tc>
          <w:tcPr>
            <w:tcW w:w="0" w:type="auto"/>
            <w:vAlign w:val="center"/>
            <w:hideMark/>
          </w:tcPr>
          <w:p w14:paraId="0763DA8F"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Roberts et al (2020)</w:t>
            </w:r>
          </w:p>
          <w:p w14:paraId="1CC4582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p>
          <w:p w14:paraId="33766620"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Emotional Reactivity as a Vulnerability for Psychogenic Non-epileptic Seizures? Responses While Reliving Specific Emotions</w:t>
            </w:r>
          </w:p>
        </w:tc>
        <w:tc>
          <w:tcPr>
            <w:tcW w:w="0" w:type="auto"/>
            <w:vAlign w:val="center"/>
          </w:tcPr>
          <w:p w14:paraId="60389591"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Emotion processing</w:t>
            </w:r>
          </w:p>
        </w:tc>
        <w:tc>
          <w:tcPr>
            <w:tcW w:w="0" w:type="auto"/>
            <w:vAlign w:val="center"/>
          </w:tcPr>
          <w:p w14:paraId="75CEC180"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examine emotional reactivity in PNES patients and comparison participants during a relived emotions task</w:t>
            </w:r>
          </w:p>
        </w:tc>
        <w:tc>
          <w:tcPr>
            <w:tcW w:w="0" w:type="auto"/>
            <w:vAlign w:val="center"/>
          </w:tcPr>
          <w:p w14:paraId="17E245F0"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Prospective </w:t>
            </w:r>
          </w:p>
        </w:tc>
        <w:tc>
          <w:tcPr>
            <w:tcW w:w="0" w:type="auto"/>
            <w:vAlign w:val="center"/>
          </w:tcPr>
          <w:p w14:paraId="5EA1B42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lang w:val="fr-FR"/>
              </w:rPr>
            </w:pPr>
            <w:r w:rsidRPr="00461043">
              <w:rPr>
                <w:rFonts w:asciiTheme="minorHAnsi" w:hAnsiTheme="minorHAnsi"/>
                <w:color w:val="000000"/>
                <w:sz w:val="11"/>
                <w:szCs w:val="11"/>
                <w:lang w:val="fr-FR"/>
              </w:rPr>
              <w:t>11 PNES</w:t>
            </w:r>
          </w:p>
          <w:p w14:paraId="7C89C75C"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lang w:val="fr-FR"/>
              </w:rPr>
            </w:pPr>
            <w:r w:rsidRPr="00461043">
              <w:rPr>
                <w:rFonts w:asciiTheme="minorHAnsi" w:hAnsiTheme="minorHAnsi"/>
                <w:color w:val="000000"/>
                <w:sz w:val="11"/>
                <w:szCs w:val="11"/>
                <w:lang w:val="fr-FR"/>
              </w:rPr>
              <w:t xml:space="preserve">49 trauma </w:t>
            </w:r>
            <w:proofErr w:type="spellStart"/>
            <w:r w:rsidRPr="00461043">
              <w:rPr>
                <w:rFonts w:asciiTheme="minorHAnsi" w:hAnsiTheme="minorHAnsi"/>
                <w:color w:val="000000"/>
                <w:sz w:val="11"/>
                <w:szCs w:val="11"/>
                <w:lang w:val="fr-FR"/>
              </w:rPr>
              <w:t>controls</w:t>
            </w:r>
            <w:proofErr w:type="spellEnd"/>
          </w:p>
          <w:p w14:paraId="4CB20A49"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lang w:val="fr-FR"/>
              </w:rPr>
            </w:pPr>
            <w:r w:rsidRPr="00461043">
              <w:rPr>
                <w:rFonts w:asciiTheme="minorHAnsi" w:hAnsiTheme="minorHAnsi"/>
                <w:color w:val="000000"/>
                <w:sz w:val="11"/>
                <w:szCs w:val="11"/>
                <w:lang w:val="fr-FR"/>
              </w:rPr>
              <w:t>[25 TC-clin, 24 TC-</w:t>
            </w:r>
            <w:proofErr w:type="spellStart"/>
            <w:r w:rsidRPr="00461043">
              <w:rPr>
                <w:rFonts w:asciiTheme="minorHAnsi" w:hAnsiTheme="minorHAnsi"/>
                <w:color w:val="000000"/>
                <w:sz w:val="11"/>
                <w:szCs w:val="11"/>
                <w:lang w:val="fr-FR"/>
              </w:rPr>
              <w:t>nonclin</w:t>
            </w:r>
            <w:proofErr w:type="spellEnd"/>
            <w:r w:rsidRPr="00461043">
              <w:rPr>
                <w:rFonts w:asciiTheme="minorHAnsi" w:hAnsiTheme="minorHAnsi"/>
                <w:color w:val="000000"/>
                <w:sz w:val="11"/>
                <w:szCs w:val="11"/>
                <w:lang w:val="fr-FR"/>
              </w:rPr>
              <w:t>]</w:t>
            </w:r>
          </w:p>
        </w:tc>
        <w:tc>
          <w:tcPr>
            <w:tcW w:w="0" w:type="auto"/>
            <w:vAlign w:val="center"/>
          </w:tcPr>
          <w:p w14:paraId="654161B7"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Participants recalled and described memories evoking anger, shame, happiness and neutral feelings.</w:t>
            </w:r>
          </w:p>
        </w:tc>
        <w:tc>
          <w:tcPr>
            <w:tcW w:w="0" w:type="auto"/>
            <w:vAlign w:val="center"/>
          </w:tcPr>
          <w:p w14:paraId="184EA97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Self-report of task difficulty, emotion ratings, PCL-S, SCL</w:t>
            </w:r>
          </w:p>
          <w:p w14:paraId="1CC7D0A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p>
          <w:p w14:paraId="389BBC9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11"/>
                <w:szCs w:val="11"/>
              </w:rPr>
            </w:pPr>
            <w:r w:rsidRPr="00461043">
              <w:rPr>
                <w:rFonts w:ascii="Calibri" w:hAnsi="Calibri"/>
                <w:i/>
                <w:iCs/>
                <w:color w:val="000000"/>
                <w:sz w:val="11"/>
                <w:szCs w:val="11"/>
              </w:rPr>
              <w:t>IBI, RSA</w:t>
            </w:r>
          </w:p>
        </w:tc>
        <w:tc>
          <w:tcPr>
            <w:tcW w:w="0" w:type="auto"/>
            <w:vAlign w:val="center"/>
          </w:tcPr>
          <w:p w14:paraId="499F5369"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sz w:val="11"/>
                <w:szCs w:val="11"/>
              </w:rPr>
              <w:t>PNES patients reported more difficulty reliving emotions and were less likely to complete relived shame task. During and after reliving happiness PNES showed decreased RSA indicating parasympathetic withdrawal.</w:t>
            </w:r>
            <w:r w:rsidRPr="00461043">
              <w:rPr>
                <w:rFonts w:asciiTheme="minorHAnsi" w:hAnsiTheme="minorHAnsi"/>
                <w:color w:val="FF0000"/>
                <w:sz w:val="11"/>
                <w:szCs w:val="11"/>
              </w:rPr>
              <w:t xml:space="preserve"> </w:t>
            </w:r>
            <w:r w:rsidRPr="00461043">
              <w:rPr>
                <w:rFonts w:asciiTheme="minorHAnsi" w:hAnsiTheme="minorHAnsi"/>
                <w:b/>
                <w:bCs/>
                <w:color w:val="FF0000"/>
                <w:sz w:val="11"/>
                <w:szCs w:val="11"/>
              </w:rPr>
              <w:t>No within-group subjective/objective outcome correlational analysis reported (no quantitative or qualitative report).</w:t>
            </w:r>
          </w:p>
        </w:tc>
      </w:tr>
      <w:tr w:rsidR="007E0ABC" w:rsidRPr="00461043" w14:paraId="6CB278D8" w14:textId="77777777" w:rsidTr="0046104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8AC74D" w14:textId="77777777" w:rsidR="007E0ABC" w:rsidRPr="00461043" w:rsidRDefault="007E0ABC" w:rsidP="00460867">
            <w:pPr>
              <w:jc w:val="center"/>
              <w:rPr>
                <w:rFonts w:asciiTheme="minorHAnsi" w:hAnsiTheme="minorHAnsi"/>
                <w:sz w:val="11"/>
                <w:szCs w:val="11"/>
              </w:rPr>
            </w:pPr>
            <w:r w:rsidRPr="00461043">
              <w:rPr>
                <w:rFonts w:asciiTheme="minorHAnsi" w:hAnsiTheme="minorHAnsi"/>
                <w:sz w:val="11"/>
                <w:szCs w:val="11"/>
              </w:rPr>
              <w:t>13</w:t>
            </w:r>
          </w:p>
        </w:tc>
        <w:tc>
          <w:tcPr>
            <w:tcW w:w="0" w:type="auto"/>
            <w:vAlign w:val="center"/>
            <w:hideMark/>
          </w:tcPr>
          <w:p w14:paraId="200C89E0"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Kramer et al (2019)</w:t>
            </w:r>
          </w:p>
          <w:p w14:paraId="1C12215D"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7E96A14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Similar association between objective and subjective symptoms in functional and organic tremor</w:t>
            </w:r>
          </w:p>
        </w:tc>
        <w:tc>
          <w:tcPr>
            <w:tcW w:w="0" w:type="auto"/>
            <w:vAlign w:val="center"/>
          </w:tcPr>
          <w:p w14:paraId="73B73A33" w14:textId="77777777" w:rsidR="007E0ABC" w:rsidRPr="00461043" w:rsidRDefault="007E0ABC" w:rsidP="00B857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Distress/ Illness burden</w:t>
            </w:r>
          </w:p>
        </w:tc>
        <w:tc>
          <w:tcPr>
            <w:tcW w:w="0" w:type="auto"/>
            <w:vAlign w:val="center"/>
          </w:tcPr>
          <w:p w14:paraId="5740A2F3"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To compare accelerometery-based objective tremor duration and diary-based subjective symptom burden in FT and </w:t>
            </w:r>
            <w:proofErr w:type="spellStart"/>
            <w:r w:rsidRPr="00461043">
              <w:rPr>
                <w:rFonts w:asciiTheme="minorHAnsi" w:hAnsiTheme="minorHAnsi"/>
                <w:color w:val="000000"/>
                <w:sz w:val="11"/>
                <w:szCs w:val="11"/>
              </w:rPr>
              <w:t>OrgT</w:t>
            </w:r>
            <w:proofErr w:type="spellEnd"/>
            <w:r w:rsidRPr="00461043">
              <w:rPr>
                <w:rFonts w:asciiTheme="minorHAnsi" w:hAnsiTheme="minorHAnsi"/>
                <w:color w:val="000000"/>
                <w:sz w:val="11"/>
                <w:szCs w:val="11"/>
              </w:rPr>
              <w:t xml:space="preserve"> patients</w:t>
            </w:r>
          </w:p>
        </w:tc>
        <w:tc>
          <w:tcPr>
            <w:tcW w:w="0" w:type="auto"/>
            <w:vAlign w:val="center"/>
          </w:tcPr>
          <w:p w14:paraId="65B817D2"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Retrospective </w:t>
            </w:r>
          </w:p>
        </w:tc>
        <w:tc>
          <w:tcPr>
            <w:tcW w:w="0" w:type="auto"/>
            <w:vAlign w:val="center"/>
          </w:tcPr>
          <w:p w14:paraId="6276C16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14 FT</w:t>
            </w:r>
          </w:p>
          <w:p w14:paraId="00E7999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 xml:space="preserve">19 </w:t>
            </w:r>
            <w:proofErr w:type="spellStart"/>
            <w:r w:rsidRPr="00461043">
              <w:rPr>
                <w:rFonts w:asciiTheme="minorHAnsi" w:hAnsiTheme="minorHAnsi"/>
                <w:color w:val="000000"/>
                <w:sz w:val="11"/>
                <w:szCs w:val="11"/>
              </w:rPr>
              <w:t>OrgT</w:t>
            </w:r>
            <w:proofErr w:type="spellEnd"/>
          </w:p>
        </w:tc>
        <w:tc>
          <w:tcPr>
            <w:tcW w:w="0" w:type="auto"/>
            <w:vAlign w:val="center"/>
          </w:tcPr>
          <w:p w14:paraId="4FFCF127"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Participants wore a wrist accelerometer to measure objective tremor and completed web-based diaries for subjective ratings of symptom burden for 30 days</w:t>
            </w:r>
          </w:p>
        </w:tc>
        <w:tc>
          <w:tcPr>
            <w:tcW w:w="0" w:type="auto"/>
            <w:vAlign w:val="center"/>
          </w:tcPr>
          <w:p w14:paraId="35BC4C32"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Self-rated assessment of tremor,</w:t>
            </w:r>
          </w:p>
          <w:p w14:paraId="13C3F61B"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EQ5D, CGI</w:t>
            </w:r>
          </w:p>
          <w:p w14:paraId="5FC5186A"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2746739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Actigraph measurement of tremor</w:t>
            </w:r>
          </w:p>
        </w:tc>
        <w:tc>
          <w:tcPr>
            <w:tcW w:w="0" w:type="auto"/>
            <w:vAlign w:val="center"/>
          </w:tcPr>
          <w:p w14:paraId="54CD8D4C"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sz w:val="11"/>
                <w:szCs w:val="11"/>
              </w:rPr>
              <w:t xml:space="preserve">FT had a considerable level of objectively measured tremor. </w:t>
            </w:r>
            <w:proofErr w:type="spellStart"/>
            <w:r w:rsidRPr="00461043">
              <w:rPr>
                <w:rFonts w:asciiTheme="minorHAnsi" w:eastAsiaTheme="minorHAnsi" w:hAnsiTheme="minorHAnsi" w:cstheme="minorBidi"/>
                <w:sz w:val="11"/>
                <w:szCs w:val="11"/>
              </w:rPr>
              <w:t>OrgT</w:t>
            </w:r>
            <w:proofErr w:type="spellEnd"/>
            <w:r w:rsidRPr="00461043">
              <w:rPr>
                <w:rFonts w:asciiTheme="minorHAnsi" w:eastAsiaTheme="minorHAnsi" w:hAnsiTheme="minorHAnsi" w:cstheme="minorBidi"/>
                <w:sz w:val="11"/>
                <w:szCs w:val="11"/>
              </w:rPr>
              <w:t xml:space="preserve"> had significantly more objective tremor. Subjective tremor burden did not differ between </w:t>
            </w:r>
            <w:proofErr w:type="spellStart"/>
            <w:r w:rsidRPr="00461043">
              <w:rPr>
                <w:rFonts w:asciiTheme="minorHAnsi" w:eastAsiaTheme="minorHAnsi" w:hAnsiTheme="minorHAnsi" w:cstheme="minorBidi"/>
                <w:sz w:val="11"/>
                <w:szCs w:val="11"/>
              </w:rPr>
              <w:t>OrgT</w:t>
            </w:r>
            <w:proofErr w:type="spellEnd"/>
            <w:r w:rsidRPr="00461043">
              <w:rPr>
                <w:rFonts w:asciiTheme="minorHAnsi" w:eastAsiaTheme="minorHAnsi" w:hAnsiTheme="minorHAnsi" w:cstheme="minorBidi"/>
                <w:sz w:val="11"/>
                <w:szCs w:val="11"/>
              </w:rPr>
              <w:t xml:space="preserve"> or FT. </w:t>
            </w:r>
            <w:r w:rsidRPr="00461043">
              <w:rPr>
                <w:rFonts w:asciiTheme="minorHAnsi" w:eastAsiaTheme="minorHAnsi" w:hAnsiTheme="minorHAnsi" w:cstheme="minorBidi"/>
                <w:b/>
                <w:bCs/>
                <w:sz w:val="11"/>
                <w:szCs w:val="11"/>
              </w:rPr>
              <w:t xml:space="preserve">There was no difference found between FT and </w:t>
            </w:r>
            <w:proofErr w:type="spellStart"/>
            <w:r w:rsidRPr="00461043">
              <w:rPr>
                <w:rFonts w:asciiTheme="minorHAnsi" w:eastAsiaTheme="minorHAnsi" w:hAnsiTheme="minorHAnsi" w:cstheme="minorBidi"/>
                <w:b/>
                <w:bCs/>
                <w:sz w:val="11"/>
                <w:szCs w:val="11"/>
              </w:rPr>
              <w:t>OrgT</w:t>
            </w:r>
            <w:proofErr w:type="spellEnd"/>
            <w:r w:rsidRPr="00461043">
              <w:rPr>
                <w:rFonts w:asciiTheme="minorHAnsi" w:eastAsiaTheme="minorHAnsi" w:hAnsiTheme="minorHAnsi" w:cstheme="minorBidi"/>
                <w:b/>
                <w:bCs/>
                <w:sz w:val="11"/>
                <w:szCs w:val="11"/>
              </w:rPr>
              <w:t xml:space="preserve"> group with regard to associations between objective and subjective measures.</w:t>
            </w:r>
          </w:p>
        </w:tc>
      </w:tr>
      <w:tr w:rsidR="007E0ABC" w:rsidRPr="00461043" w14:paraId="68CB13EB" w14:textId="77777777" w:rsidTr="00461043">
        <w:trPr>
          <w:trHeight w:val="4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D2E750"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14</w:t>
            </w:r>
          </w:p>
        </w:tc>
        <w:tc>
          <w:tcPr>
            <w:tcW w:w="0" w:type="auto"/>
            <w:vAlign w:val="center"/>
            <w:hideMark/>
          </w:tcPr>
          <w:p w14:paraId="5700B0D1"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proofErr w:type="spellStart"/>
            <w:r w:rsidRPr="00461043">
              <w:rPr>
                <w:rFonts w:asciiTheme="minorHAnsi" w:eastAsiaTheme="minorHAnsi" w:hAnsiTheme="minorHAnsi" w:cstheme="minorBidi"/>
                <w:b/>
                <w:bCs/>
                <w:sz w:val="11"/>
                <w:szCs w:val="11"/>
              </w:rPr>
              <w:t>Bakvis</w:t>
            </w:r>
            <w:proofErr w:type="spellEnd"/>
            <w:r w:rsidRPr="00461043">
              <w:rPr>
                <w:rFonts w:asciiTheme="minorHAnsi" w:eastAsiaTheme="minorHAnsi" w:hAnsiTheme="minorHAnsi" w:cstheme="minorBidi"/>
                <w:b/>
                <w:bCs/>
                <w:sz w:val="11"/>
                <w:szCs w:val="11"/>
              </w:rPr>
              <w:t xml:space="preserve"> et al (2010)</w:t>
            </w:r>
          </w:p>
          <w:p w14:paraId="508C2A1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p>
          <w:p w14:paraId="2C37072D"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Basal hypercortisolism and trauma in patients with psychogenic non-epileptic seizures</w:t>
            </w:r>
          </w:p>
        </w:tc>
        <w:tc>
          <w:tcPr>
            <w:tcW w:w="0" w:type="auto"/>
            <w:vAlign w:val="center"/>
          </w:tcPr>
          <w:p w14:paraId="561B0EE1"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Stress response</w:t>
            </w:r>
          </w:p>
        </w:tc>
        <w:tc>
          <w:tcPr>
            <w:tcW w:w="0" w:type="auto"/>
            <w:vAlign w:val="center"/>
          </w:tcPr>
          <w:p w14:paraId="6716BD28"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test several HPA-axis function in patients with PNES and relate them to trauma history</w:t>
            </w:r>
          </w:p>
        </w:tc>
        <w:tc>
          <w:tcPr>
            <w:tcW w:w="0" w:type="auto"/>
            <w:vAlign w:val="center"/>
          </w:tcPr>
          <w:p w14:paraId="6E638530"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Prospective</w:t>
            </w:r>
          </w:p>
        </w:tc>
        <w:tc>
          <w:tcPr>
            <w:tcW w:w="0" w:type="auto"/>
            <w:vAlign w:val="center"/>
          </w:tcPr>
          <w:p w14:paraId="7AF9849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18 PNES</w:t>
            </w:r>
          </w:p>
          <w:p w14:paraId="51605BF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19 HC</w:t>
            </w:r>
          </w:p>
        </w:tc>
        <w:tc>
          <w:tcPr>
            <w:tcW w:w="0" w:type="auto"/>
            <w:vAlign w:val="center"/>
          </w:tcPr>
          <w:p w14:paraId="78B4D4BD"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Cortisol awakening curve, basal diurnal cortisol and negative cortisol feedback and alpha amylase levels were examined in participants using salivary sampling on two consecutive days at 19 time points</w:t>
            </w:r>
          </w:p>
        </w:tc>
        <w:tc>
          <w:tcPr>
            <w:tcW w:w="0" w:type="auto"/>
            <w:vAlign w:val="center"/>
          </w:tcPr>
          <w:p w14:paraId="4C5257D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TEC</w:t>
            </w:r>
          </w:p>
          <w:p w14:paraId="0E008C47"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p>
          <w:p w14:paraId="461249F9"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Salivary cortisol, salivary alpha amylase</w:t>
            </w:r>
          </w:p>
        </w:tc>
        <w:tc>
          <w:tcPr>
            <w:tcW w:w="0" w:type="auto"/>
            <w:vAlign w:val="center"/>
          </w:tcPr>
          <w:p w14:paraId="46ACA88D"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sz w:val="11"/>
                <w:szCs w:val="11"/>
              </w:rPr>
              <w:t xml:space="preserve">PNES patients displayed heightened basal HPA-AXIS activity compared to HCs, and this effect was particularly more pronounced in those patients reporting sexual trauma. However, basal diurnal cortisol rates did not each statistical significance in patients with and without history of sexual trauma. </w:t>
            </w:r>
            <w:r w:rsidRPr="00461043">
              <w:rPr>
                <w:rFonts w:asciiTheme="minorHAnsi" w:hAnsiTheme="minorHAnsi"/>
                <w:b/>
                <w:bCs/>
                <w:color w:val="2E74B5" w:themeColor="accent1" w:themeShade="BF"/>
                <w:sz w:val="11"/>
                <w:szCs w:val="11"/>
              </w:rPr>
              <w:t>No direct subjective/objective outcome correlational analysis reported.</w:t>
            </w:r>
          </w:p>
        </w:tc>
      </w:tr>
      <w:tr w:rsidR="007E0ABC" w:rsidRPr="00461043" w14:paraId="21108F1C" w14:textId="77777777" w:rsidTr="0046104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C81163"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15</w:t>
            </w:r>
          </w:p>
        </w:tc>
        <w:tc>
          <w:tcPr>
            <w:tcW w:w="0" w:type="auto"/>
            <w:vAlign w:val="center"/>
            <w:hideMark/>
          </w:tcPr>
          <w:p w14:paraId="034FD5D7"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proofErr w:type="spellStart"/>
            <w:r w:rsidRPr="00461043">
              <w:rPr>
                <w:rFonts w:asciiTheme="minorHAnsi" w:eastAsiaTheme="minorHAnsi" w:hAnsiTheme="minorHAnsi" w:cstheme="minorBidi"/>
                <w:b/>
                <w:bCs/>
                <w:sz w:val="11"/>
                <w:szCs w:val="11"/>
              </w:rPr>
              <w:t>Bakvis</w:t>
            </w:r>
            <w:proofErr w:type="spellEnd"/>
            <w:r w:rsidRPr="00461043">
              <w:rPr>
                <w:rFonts w:asciiTheme="minorHAnsi" w:eastAsiaTheme="minorHAnsi" w:hAnsiTheme="minorHAnsi" w:cstheme="minorBidi"/>
                <w:b/>
                <w:bCs/>
                <w:sz w:val="11"/>
                <w:szCs w:val="11"/>
              </w:rPr>
              <w:t xml:space="preserve"> et al (2009)</w:t>
            </w:r>
          </w:p>
          <w:p w14:paraId="28CB488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19AA88CA"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Trauma, stress and preconscious threat processing in patients with psychogenic nonepileptic seizures</w:t>
            </w:r>
          </w:p>
        </w:tc>
        <w:tc>
          <w:tcPr>
            <w:tcW w:w="0" w:type="auto"/>
            <w:vAlign w:val="center"/>
          </w:tcPr>
          <w:p w14:paraId="3E4E6FC5"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Stress response</w:t>
            </w:r>
          </w:p>
        </w:tc>
        <w:tc>
          <w:tcPr>
            <w:tcW w:w="0" w:type="auto"/>
            <w:vAlign w:val="center"/>
          </w:tcPr>
          <w:p w14:paraId="6222AFDB"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examine the attentional processing of social threat in PNES in relation to interpersonal trauma and acute psychological stress</w:t>
            </w:r>
          </w:p>
        </w:tc>
        <w:tc>
          <w:tcPr>
            <w:tcW w:w="0" w:type="auto"/>
            <w:vAlign w:val="center"/>
          </w:tcPr>
          <w:p w14:paraId="67C155D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7F07583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19 PNES</w:t>
            </w:r>
          </w:p>
          <w:p w14:paraId="57D150BC"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20 HC</w:t>
            </w:r>
          </w:p>
        </w:tc>
        <w:tc>
          <w:tcPr>
            <w:tcW w:w="0" w:type="auto"/>
            <w:vAlign w:val="center"/>
          </w:tcPr>
          <w:p w14:paraId="1413333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 xml:space="preserve">Masked emotional </w:t>
            </w:r>
            <w:proofErr w:type="spellStart"/>
            <w:r w:rsidRPr="00461043">
              <w:rPr>
                <w:rFonts w:asciiTheme="minorHAnsi" w:hAnsiTheme="minorHAnsi"/>
                <w:sz w:val="11"/>
                <w:szCs w:val="11"/>
              </w:rPr>
              <w:t>stroop</w:t>
            </w:r>
            <w:proofErr w:type="spellEnd"/>
            <w:r w:rsidRPr="00461043">
              <w:rPr>
                <w:rFonts w:asciiTheme="minorHAnsi" w:hAnsiTheme="minorHAnsi"/>
                <w:sz w:val="11"/>
                <w:szCs w:val="11"/>
              </w:rPr>
              <w:t xml:space="preserve"> test was administered to participants at baseline and in stress condition. Stress induced by Trier Social Stress Test. Physiological stress markers were measured throughout experiment</w:t>
            </w:r>
          </w:p>
        </w:tc>
        <w:tc>
          <w:tcPr>
            <w:tcW w:w="0" w:type="auto"/>
            <w:vAlign w:val="center"/>
          </w:tcPr>
          <w:p w14:paraId="3FA05C35"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TEC, subjective anxiety on a VAS</w:t>
            </w:r>
          </w:p>
          <w:p w14:paraId="05FE42E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065A90F6"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Salivary cortisol, SBP, DBP, HR, HRV</w:t>
            </w:r>
          </w:p>
        </w:tc>
        <w:tc>
          <w:tcPr>
            <w:tcW w:w="0" w:type="auto"/>
            <w:vAlign w:val="center"/>
          </w:tcPr>
          <w:p w14:paraId="5B77E171"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sz w:val="11"/>
                <w:szCs w:val="11"/>
              </w:rPr>
              <w:t xml:space="preserve">PNES patients and HCs showed significant differences in processing emotional positive and negative stimuli. </w:t>
            </w:r>
            <w:r w:rsidRPr="00461043">
              <w:rPr>
                <w:rFonts w:asciiTheme="minorHAnsi" w:eastAsiaTheme="minorHAnsi" w:hAnsiTheme="minorHAnsi" w:cstheme="minorBidi"/>
                <w:b/>
                <w:bCs/>
                <w:sz w:val="11"/>
                <w:szCs w:val="11"/>
              </w:rPr>
              <w:t>Patients showed positive attentional bias for angry faces indicating increased threat vigilance. This was positively correlated to self-reported trauma at baseline</w:t>
            </w:r>
          </w:p>
        </w:tc>
      </w:tr>
      <w:tr w:rsidR="007E0ABC" w:rsidRPr="00461043" w14:paraId="67A65D57" w14:textId="77777777" w:rsidTr="00461043">
        <w:trPr>
          <w:trHeight w:val="556"/>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4EDD99"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16</w:t>
            </w:r>
          </w:p>
        </w:tc>
        <w:tc>
          <w:tcPr>
            <w:tcW w:w="0" w:type="auto"/>
            <w:vAlign w:val="center"/>
            <w:hideMark/>
          </w:tcPr>
          <w:p w14:paraId="5397E171"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p>
          <w:p w14:paraId="04B081FF"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Roberts et al (2012)</w:t>
            </w:r>
          </w:p>
          <w:p w14:paraId="0277D43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p>
          <w:p w14:paraId="4A157E9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Emotion in psychogenic nonepileptic seizures: Responses to affective pictures</w:t>
            </w:r>
          </w:p>
        </w:tc>
        <w:tc>
          <w:tcPr>
            <w:tcW w:w="0" w:type="auto"/>
            <w:vAlign w:val="center"/>
          </w:tcPr>
          <w:p w14:paraId="35A5AE8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Emotion processing</w:t>
            </w:r>
          </w:p>
        </w:tc>
        <w:tc>
          <w:tcPr>
            <w:tcW w:w="0" w:type="auto"/>
            <w:vAlign w:val="center"/>
          </w:tcPr>
          <w:p w14:paraId="3024B1A8"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examine emotional responses to standard affective pictures</w:t>
            </w:r>
          </w:p>
        </w:tc>
        <w:tc>
          <w:tcPr>
            <w:tcW w:w="0" w:type="auto"/>
            <w:vAlign w:val="center"/>
          </w:tcPr>
          <w:p w14:paraId="0AC03A40"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0B874FE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lang w:val="fr-FR"/>
              </w:rPr>
            </w:pPr>
            <w:r w:rsidRPr="00461043">
              <w:rPr>
                <w:rFonts w:asciiTheme="minorHAnsi" w:hAnsiTheme="minorHAnsi"/>
                <w:color w:val="000000"/>
                <w:sz w:val="11"/>
                <w:szCs w:val="11"/>
                <w:lang w:val="fr-FR"/>
              </w:rPr>
              <w:t>18 PNES</w:t>
            </w:r>
          </w:p>
          <w:p w14:paraId="6111935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lang w:val="fr-FR"/>
              </w:rPr>
            </w:pPr>
            <w:r w:rsidRPr="00461043">
              <w:rPr>
                <w:rFonts w:asciiTheme="minorHAnsi" w:hAnsiTheme="minorHAnsi"/>
                <w:color w:val="000000"/>
                <w:sz w:val="11"/>
                <w:szCs w:val="11"/>
                <w:lang w:val="fr-FR"/>
              </w:rPr>
              <w:t xml:space="preserve"> trauma </w:t>
            </w:r>
            <w:proofErr w:type="spellStart"/>
            <w:r w:rsidRPr="00461043">
              <w:rPr>
                <w:rFonts w:asciiTheme="minorHAnsi" w:hAnsiTheme="minorHAnsi"/>
                <w:color w:val="000000"/>
                <w:sz w:val="11"/>
                <w:szCs w:val="11"/>
                <w:lang w:val="fr-FR"/>
              </w:rPr>
              <w:t>controls</w:t>
            </w:r>
            <w:proofErr w:type="spellEnd"/>
          </w:p>
          <w:p w14:paraId="7A4EF19B"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lang w:val="fr-FR"/>
              </w:rPr>
            </w:pPr>
            <w:r w:rsidRPr="00461043">
              <w:rPr>
                <w:rFonts w:asciiTheme="minorHAnsi" w:hAnsiTheme="minorHAnsi"/>
                <w:color w:val="000000"/>
                <w:sz w:val="11"/>
                <w:szCs w:val="11"/>
                <w:lang w:val="fr-FR"/>
              </w:rPr>
              <w:t>[18 TC-clin,  18 TC-</w:t>
            </w:r>
            <w:proofErr w:type="spellStart"/>
            <w:r w:rsidRPr="00461043">
              <w:rPr>
                <w:rFonts w:asciiTheme="minorHAnsi" w:hAnsiTheme="minorHAnsi"/>
                <w:color w:val="000000"/>
                <w:sz w:val="11"/>
                <w:szCs w:val="11"/>
                <w:lang w:val="fr-FR"/>
              </w:rPr>
              <w:t>nonclin</w:t>
            </w:r>
            <w:proofErr w:type="spellEnd"/>
            <w:r w:rsidRPr="00461043">
              <w:rPr>
                <w:rFonts w:asciiTheme="minorHAnsi" w:hAnsiTheme="minorHAnsi"/>
                <w:color w:val="000000"/>
                <w:sz w:val="11"/>
                <w:szCs w:val="11"/>
                <w:lang w:val="fr-FR"/>
              </w:rPr>
              <w:t>]</w:t>
            </w:r>
          </w:p>
        </w:tc>
        <w:tc>
          <w:tcPr>
            <w:tcW w:w="0" w:type="auto"/>
            <w:vAlign w:val="center"/>
          </w:tcPr>
          <w:p w14:paraId="4197C88F"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Participant viewed standard affective picture (IAPS) while ECG recordings were taken</w:t>
            </w:r>
          </w:p>
        </w:tc>
        <w:tc>
          <w:tcPr>
            <w:tcW w:w="0" w:type="auto"/>
            <w:vAlign w:val="center"/>
          </w:tcPr>
          <w:p w14:paraId="76F5FC8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SAM, PCL-S, SCL, DERS</w:t>
            </w:r>
          </w:p>
          <w:p w14:paraId="55E59411"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p>
          <w:p w14:paraId="636E45E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IBI, RSA</w:t>
            </w:r>
          </w:p>
        </w:tc>
        <w:tc>
          <w:tcPr>
            <w:tcW w:w="0" w:type="auto"/>
            <w:vAlign w:val="center"/>
          </w:tcPr>
          <w:p w14:paraId="187BFD05" w14:textId="77777777" w:rsidR="007E0ABC" w:rsidRPr="00461043" w:rsidRDefault="007E0ABC" w:rsidP="001C202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sz w:val="11"/>
                <w:szCs w:val="11"/>
              </w:rPr>
              <w:t xml:space="preserve">PNES reported more emotional intensity to neutral and pleasant pictures and more overall emotion regulation difficulties than control groups. </w:t>
            </w:r>
            <w:r w:rsidRPr="00461043">
              <w:rPr>
                <w:rFonts w:asciiTheme="minorHAnsi" w:hAnsiTheme="minorHAnsi"/>
                <w:b/>
                <w:bCs/>
                <w:color w:val="2E74B5" w:themeColor="accent1" w:themeShade="BF"/>
                <w:sz w:val="11"/>
                <w:szCs w:val="11"/>
              </w:rPr>
              <w:t>No direct subjective/objective outcome correlational analysis reported.</w:t>
            </w:r>
          </w:p>
        </w:tc>
      </w:tr>
      <w:tr w:rsidR="007E0ABC" w:rsidRPr="00461043" w14:paraId="3D0CD527" w14:textId="77777777" w:rsidTr="00461043">
        <w:trPr>
          <w:cnfStyle w:val="000000100000" w:firstRow="0" w:lastRow="0" w:firstColumn="0" w:lastColumn="0" w:oddVBand="0" w:evenVBand="0" w:oddHBand="1" w:evenHBand="0" w:firstRowFirstColumn="0" w:firstRowLastColumn="0" w:lastRowFirstColumn="0" w:lastRowLastColumn="0"/>
          <w:trHeight w:val="259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57B91B"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t>17</w:t>
            </w:r>
          </w:p>
        </w:tc>
        <w:tc>
          <w:tcPr>
            <w:tcW w:w="0" w:type="auto"/>
            <w:vAlign w:val="center"/>
          </w:tcPr>
          <w:p w14:paraId="64652D3A"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188503FB"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sz w:val="11"/>
                <w:szCs w:val="11"/>
              </w:rPr>
            </w:pPr>
            <w:proofErr w:type="spellStart"/>
            <w:r w:rsidRPr="00461043">
              <w:rPr>
                <w:rFonts w:asciiTheme="minorHAnsi" w:eastAsiaTheme="minorHAnsi" w:hAnsiTheme="minorHAnsi" w:cstheme="minorBidi"/>
                <w:b/>
                <w:bCs/>
                <w:sz w:val="11"/>
                <w:szCs w:val="11"/>
              </w:rPr>
              <w:t>Koreki</w:t>
            </w:r>
            <w:proofErr w:type="spellEnd"/>
            <w:r w:rsidRPr="00461043">
              <w:rPr>
                <w:rFonts w:asciiTheme="minorHAnsi" w:eastAsiaTheme="minorHAnsi" w:hAnsiTheme="minorHAnsi" w:cstheme="minorBidi"/>
                <w:b/>
                <w:bCs/>
                <w:sz w:val="11"/>
                <w:szCs w:val="11"/>
              </w:rPr>
              <w:t xml:space="preserve"> et al (2020)</w:t>
            </w:r>
          </w:p>
          <w:p w14:paraId="41F67BF7"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p>
          <w:p w14:paraId="27FE8D05"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Trait and state interoceptive abnormalities are associated with dissociation and seizure frequency in patients with functional seizures</w:t>
            </w:r>
          </w:p>
        </w:tc>
        <w:tc>
          <w:tcPr>
            <w:tcW w:w="0" w:type="auto"/>
            <w:vAlign w:val="center"/>
          </w:tcPr>
          <w:p w14:paraId="6B74CDE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1"/>
                <w:szCs w:val="11"/>
              </w:rPr>
            </w:pPr>
            <w:r w:rsidRPr="00461043">
              <w:rPr>
                <w:rFonts w:asciiTheme="minorHAnsi" w:hAnsiTheme="minorHAnsi"/>
                <w:sz w:val="11"/>
                <w:szCs w:val="11"/>
              </w:rPr>
              <w:t>Emotion processing</w:t>
            </w:r>
          </w:p>
        </w:tc>
        <w:tc>
          <w:tcPr>
            <w:tcW w:w="0" w:type="auto"/>
            <w:vAlign w:val="center"/>
          </w:tcPr>
          <w:p w14:paraId="7B0D30D9"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assess interoceptive function in patients with PNES and to characterise the relationship between interoceptive errors, dissociation and seizures</w:t>
            </w:r>
          </w:p>
        </w:tc>
        <w:tc>
          <w:tcPr>
            <w:tcW w:w="0" w:type="auto"/>
            <w:vAlign w:val="center"/>
          </w:tcPr>
          <w:p w14:paraId="4417EBBE"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Cross-sectional</w:t>
            </w:r>
          </w:p>
        </w:tc>
        <w:tc>
          <w:tcPr>
            <w:tcW w:w="0" w:type="auto"/>
            <w:vAlign w:val="center"/>
          </w:tcPr>
          <w:p w14:paraId="64BBBC0D"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41 PNES</w:t>
            </w:r>
          </w:p>
          <w:p w14:paraId="112A2B5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30 HC</w:t>
            </w:r>
          </w:p>
        </w:tc>
        <w:tc>
          <w:tcPr>
            <w:tcW w:w="0" w:type="auto"/>
            <w:vAlign w:val="center"/>
          </w:tcPr>
          <w:p w14:paraId="19CE9D87"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Participants completed heartbeat detection tasks, and questionnaires to assess objective performance on interoceptive ability, subjective sensitivity to internal sensations and subjective measures of confidence in heartbeat detection</w:t>
            </w:r>
          </w:p>
        </w:tc>
        <w:tc>
          <w:tcPr>
            <w:tcW w:w="0" w:type="auto"/>
            <w:vAlign w:val="center"/>
          </w:tcPr>
          <w:p w14:paraId="267DF87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Confidence level on VAS, BPQ, STAI, BDI, SDQ-20, MDI</w:t>
            </w:r>
          </w:p>
          <w:p w14:paraId="49B2D94F"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1"/>
                <w:szCs w:val="11"/>
              </w:rPr>
            </w:pPr>
          </w:p>
          <w:p w14:paraId="6D4775E0"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HBTT, HBDT, Time tracking task</w:t>
            </w:r>
          </w:p>
        </w:tc>
        <w:tc>
          <w:tcPr>
            <w:tcW w:w="0" w:type="auto"/>
            <w:vAlign w:val="center"/>
          </w:tcPr>
          <w:p w14:paraId="69820BD5" w14:textId="77777777" w:rsidR="007E0ABC" w:rsidRPr="00461043" w:rsidRDefault="007E0ABC" w:rsidP="0059208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1"/>
                <w:szCs w:val="11"/>
              </w:rPr>
            </w:pPr>
            <w:r w:rsidRPr="00461043">
              <w:rPr>
                <w:rFonts w:asciiTheme="minorHAnsi" w:eastAsiaTheme="minorHAnsi" w:hAnsiTheme="minorHAnsi" w:cstheme="minorBidi"/>
                <w:sz w:val="11"/>
                <w:szCs w:val="11"/>
              </w:rPr>
              <w:t>Patients were likely to score higher on subjective sensibility relative to the two objective tests of interoceptive accuracy. SDQ-20 and MDP scores correlated positively with the interoceptive trait prediction error from both the heartbeat tracking and heartbeat detection tasks</w:t>
            </w:r>
            <w:r w:rsidRPr="00461043">
              <w:rPr>
                <w:rFonts w:asciiTheme="minorHAnsi" w:eastAsiaTheme="minorHAnsi" w:hAnsiTheme="minorHAnsi" w:cstheme="minorBidi"/>
                <w:color w:val="2E74B5" w:themeColor="accent1" w:themeShade="BF"/>
                <w:sz w:val="11"/>
                <w:szCs w:val="11"/>
              </w:rPr>
              <w:t xml:space="preserve">. </w:t>
            </w:r>
            <w:r w:rsidRPr="00461043">
              <w:rPr>
                <w:rFonts w:asciiTheme="minorHAnsi" w:hAnsiTheme="minorHAnsi"/>
                <w:b/>
                <w:bCs/>
                <w:color w:val="2E74B5" w:themeColor="accent1" w:themeShade="BF"/>
                <w:sz w:val="11"/>
                <w:szCs w:val="11"/>
              </w:rPr>
              <w:t>No direct subjective/objective outcome correlational analysis reported (no quantitative or qualitative report).</w:t>
            </w:r>
          </w:p>
        </w:tc>
      </w:tr>
      <w:tr w:rsidR="007E0ABC" w:rsidRPr="00461043" w14:paraId="3D3E0ABB" w14:textId="77777777" w:rsidTr="00461043">
        <w:trPr>
          <w:trHeight w:val="202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5A0CCA" w14:textId="77777777" w:rsidR="007E0ABC" w:rsidRPr="00461043" w:rsidRDefault="007E0ABC" w:rsidP="00592081">
            <w:pPr>
              <w:jc w:val="center"/>
              <w:rPr>
                <w:rFonts w:asciiTheme="minorHAnsi" w:hAnsiTheme="minorHAnsi"/>
                <w:sz w:val="11"/>
                <w:szCs w:val="11"/>
              </w:rPr>
            </w:pPr>
            <w:r w:rsidRPr="00461043">
              <w:rPr>
                <w:rFonts w:asciiTheme="minorHAnsi" w:hAnsiTheme="minorHAnsi"/>
                <w:sz w:val="11"/>
                <w:szCs w:val="11"/>
              </w:rPr>
              <w:lastRenderedPageBreak/>
              <w:t>18</w:t>
            </w:r>
          </w:p>
        </w:tc>
        <w:tc>
          <w:tcPr>
            <w:tcW w:w="0" w:type="auto"/>
            <w:vAlign w:val="center"/>
          </w:tcPr>
          <w:p w14:paraId="09A9702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Herrero et al (2020)</w:t>
            </w:r>
          </w:p>
          <w:p w14:paraId="443F9E85"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p>
          <w:p w14:paraId="57B129CF"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iCs/>
                <w:sz w:val="11"/>
                <w:szCs w:val="11"/>
              </w:rPr>
            </w:pPr>
            <w:r w:rsidRPr="00461043">
              <w:rPr>
                <w:rFonts w:asciiTheme="minorHAnsi" w:eastAsiaTheme="minorHAnsi" w:hAnsiTheme="minorHAnsi" w:cstheme="minorBidi"/>
                <w:i/>
                <w:iCs/>
                <w:sz w:val="11"/>
                <w:szCs w:val="11"/>
              </w:rPr>
              <w:t>Skin conductance response and emotional response in women with psychogenic non-epileptic seizures</w:t>
            </w:r>
          </w:p>
        </w:tc>
        <w:tc>
          <w:tcPr>
            <w:tcW w:w="0" w:type="auto"/>
            <w:vAlign w:val="center"/>
          </w:tcPr>
          <w:p w14:paraId="429DCDB4"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Emotion Processing</w:t>
            </w:r>
          </w:p>
        </w:tc>
        <w:tc>
          <w:tcPr>
            <w:tcW w:w="0" w:type="auto"/>
            <w:vAlign w:val="center"/>
          </w:tcPr>
          <w:p w14:paraId="3AE9549F"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To assess physiological, cognitive, and behavioural emotional responses of PNES patients.</w:t>
            </w:r>
          </w:p>
        </w:tc>
        <w:tc>
          <w:tcPr>
            <w:tcW w:w="0" w:type="auto"/>
            <w:vAlign w:val="center"/>
          </w:tcPr>
          <w:p w14:paraId="2460369F"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Prospective</w:t>
            </w:r>
          </w:p>
        </w:tc>
        <w:tc>
          <w:tcPr>
            <w:tcW w:w="0" w:type="auto"/>
            <w:vAlign w:val="center"/>
          </w:tcPr>
          <w:p w14:paraId="1A1C49F4"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34 Female PNES</w:t>
            </w:r>
          </w:p>
          <w:p w14:paraId="4A4DE77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34 Female HC</w:t>
            </w:r>
          </w:p>
        </w:tc>
        <w:tc>
          <w:tcPr>
            <w:tcW w:w="0" w:type="auto"/>
            <w:vAlign w:val="center"/>
          </w:tcPr>
          <w:p w14:paraId="29B58132"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1"/>
                <w:szCs w:val="11"/>
              </w:rPr>
            </w:pPr>
            <w:r w:rsidRPr="00461043">
              <w:rPr>
                <w:rFonts w:asciiTheme="minorHAnsi" w:hAnsiTheme="minorHAnsi"/>
                <w:sz w:val="11"/>
                <w:szCs w:val="11"/>
              </w:rPr>
              <w:t>Physiological responses, cognitive response and behavioural responses to  emotional images were measured. Arousal and valence were self-assessed by participants.</w:t>
            </w:r>
          </w:p>
        </w:tc>
        <w:tc>
          <w:tcPr>
            <w:tcW w:w="0" w:type="auto"/>
            <w:vAlign w:val="center"/>
          </w:tcPr>
          <w:p w14:paraId="332A2126"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r w:rsidRPr="00461043">
              <w:rPr>
                <w:rFonts w:asciiTheme="minorHAnsi" w:hAnsiTheme="minorHAnsi"/>
                <w:color w:val="000000"/>
                <w:sz w:val="11"/>
                <w:szCs w:val="11"/>
              </w:rPr>
              <w:t>TAS-20, HARS, DES, CTQ, measures of valence and arousal on SAM</w:t>
            </w:r>
          </w:p>
          <w:p w14:paraId="72467B4E"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1"/>
                <w:szCs w:val="11"/>
              </w:rPr>
            </w:pPr>
          </w:p>
          <w:p w14:paraId="14F54AA3"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color w:val="000000"/>
                <w:sz w:val="11"/>
                <w:szCs w:val="11"/>
              </w:rPr>
            </w:pPr>
            <w:r w:rsidRPr="00461043">
              <w:rPr>
                <w:rFonts w:asciiTheme="minorHAnsi" w:hAnsiTheme="minorHAnsi"/>
                <w:i/>
                <w:iCs/>
                <w:color w:val="000000"/>
                <w:sz w:val="11"/>
                <w:szCs w:val="11"/>
              </w:rPr>
              <w:t>SCR, HR deceleration</w:t>
            </w:r>
          </w:p>
        </w:tc>
        <w:tc>
          <w:tcPr>
            <w:tcW w:w="0" w:type="auto"/>
            <w:vAlign w:val="center"/>
          </w:tcPr>
          <w:p w14:paraId="213D06E4" w14:textId="77777777" w:rsidR="007E0ABC" w:rsidRPr="00461043" w:rsidRDefault="007E0ABC" w:rsidP="00592081">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sz w:val="11"/>
                <w:szCs w:val="11"/>
              </w:rPr>
            </w:pPr>
            <w:r w:rsidRPr="00461043">
              <w:rPr>
                <w:rFonts w:asciiTheme="minorHAnsi" w:eastAsiaTheme="minorHAnsi" w:hAnsiTheme="minorHAnsi" w:cstheme="minorBidi"/>
                <w:b/>
                <w:bCs/>
                <w:sz w:val="11"/>
                <w:szCs w:val="11"/>
              </w:rPr>
              <w:t>PNES physiological response (SCR and heart rate deceleration) was negatively correlated to dissociation tendency and alexithymia. For cognitive response, no correlation was found.</w:t>
            </w:r>
          </w:p>
        </w:tc>
      </w:tr>
    </w:tbl>
    <w:p w14:paraId="102E80BA" w14:textId="77777777" w:rsidR="007E0ABC" w:rsidRPr="009120B5" w:rsidRDefault="007E0ABC" w:rsidP="00D34609"/>
    <w:p w14:paraId="630D1C69" w14:textId="77777777" w:rsidR="007E0ABC" w:rsidRPr="009120B5" w:rsidRDefault="007E0ABC" w:rsidP="00D34609">
      <w:pPr>
        <w:rPr>
          <w:rFonts w:asciiTheme="minorHAnsi" w:hAnsiTheme="minorHAnsi" w:cstheme="minorHAnsi"/>
          <w:b/>
          <w:bCs/>
          <w:i/>
          <w:iCs/>
        </w:rPr>
      </w:pPr>
      <w:r w:rsidRPr="009120B5">
        <w:rPr>
          <w:rFonts w:asciiTheme="minorHAnsi" w:hAnsiTheme="minorHAnsi" w:cstheme="minorHAnsi"/>
          <w:b/>
          <w:bCs/>
          <w:i/>
          <w:iCs/>
        </w:rPr>
        <w:t>Subjective measure abbreviations:</w:t>
      </w:r>
    </w:p>
    <w:p w14:paraId="0907D4DF" w14:textId="77777777" w:rsidR="007E0ABC" w:rsidRPr="009120B5" w:rsidRDefault="007E0ABC" w:rsidP="00D34609">
      <w:pPr>
        <w:spacing w:line="276" w:lineRule="auto"/>
        <w:rPr>
          <w:rFonts w:asciiTheme="minorHAnsi" w:hAnsiTheme="minorHAnsi" w:cstheme="minorHAnsi"/>
          <w:i/>
          <w:iCs/>
        </w:rPr>
      </w:pPr>
      <w:r w:rsidRPr="009120B5">
        <w:rPr>
          <w:rFonts w:asciiTheme="minorHAnsi" w:hAnsiTheme="minorHAnsi" w:cstheme="minorHAnsi"/>
          <w:b/>
          <w:bCs/>
          <w:i/>
          <w:iCs/>
        </w:rPr>
        <w:t>ALQ</w:t>
      </w:r>
      <w:r w:rsidRPr="009120B5">
        <w:rPr>
          <w:rFonts w:asciiTheme="minorHAnsi" w:hAnsiTheme="minorHAnsi" w:cstheme="minorHAnsi"/>
          <w:i/>
          <w:iCs/>
        </w:rPr>
        <w:t xml:space="preserve">: Ameil-Lebigre questionnaire, </w:t>
      </w:r>
      <w:r w:rsidRPr="009120B5">
        <w:rPr>
          <w:rFonts w:asciiTheme="minorHAnsi" w:hAnsiTheme="minorHAnsi" w:cstheme="minorHAnsi"/>
          <w:b/>
          <w:bCs/>
          <w:i/>
          <w:iCs/>
        </w:rPr>
        <w:t xml:space="preserve">BAI: </w:t>
      </w:r>
      <w:r w:rsidRPr="009120B5">
        <w:rPr>
          <w:rFonts w:asciiTheme="minorHAnsi" w:hAnsiTheme="minorHAnsi" w:cstheme="minorHAnsi"/>
          <w:i/>
          <w:iCs/>
        </w:rPr>
        <w:t>Beck Anxiety Scale</w:t>
      </w:r>
      <w:r w:rsidRPr="009120B5">
        <w:rPr>
          <w:rFonts w:asciiTheme="minorHAnsi" w:hAnsiTheme="minorHAnsi" w:cstheme="minorHAnsi"/>
          <w:b/>
          <w:bCs/>
          <w:i/>
          <w:iCs/>
        </w:rPr>
        <w:t>, BDI:</w:t>
      </w:r>
      <w:r w:rsidRPr="009120B5">
        <w:rPr>
          <w:rFonts w:asciiTheme="minorHAnsi" w:hAnsiTheme="minorHAnsi" w:cstheme="minorHAnsi"/>
          <w:i/>
          <w:iCs/>
        </w:rPr>
        <w:t xml:space="preserve"> Beck Depression Inventory, </w:t>
      </w:r>
      <w:r w:rsidRPr="009120B5">
        <w:rPr>
          <w:rFonts w:asciiTheme="minorHAnsi" w:hAnsiTheme="minorHAnsi" w:cstheme="minorHAnsi"/>
          <w:b/>
          <w:bCs/>
          <w:i/>
          <w:iCs/>
        </w:rPr>
        <w:t xml:space="preserve">BPQ: </w:t>
      </w:r>
      <w:proofErr w:type="spellStart"/>
      <w:r w:rsidRPr="009120B5">
        <w:rPr>
          <w:rFonts w:asciiTheme="minorHAnsi" w:hAnsiTheme="minorHAnsi" w:cstheme="minorHAnsi"/>
          <w:i/>
          <w:iCs/>
        </w:rPr>
        <w:t>Porges</w:t>
      </w:r>
      <w:proofErr w:type="spellEnd"/>
      <w:r w:rsidRPr="009120B5">
        <w:rPr>
          <w:rFonts w:asciiTheme="minorHAnsi" w:hAnsiTheme="minorHAnsi" w:cstheme="minorHAnsi"/>
          <w:i/>
          <w:iCs/>
        </w:rPr>
        <w:t xml:space="preserve"> Body Perception Questionnaire, </w:t>
      </w:r>
      <w:r w:rsidRPr="009120B5">
        <w:rPr>
          <w:rFonts w:asciiTheme="minorHAnsi" w:hAnsiTheme="minorHAnsi" w:cstheme="minorHAnsi"/>
          <w:b/>
          <w:bCs/>
          <w:i/>
          <w:iCs/>
        </w:rPr>
        <w:t>CD-RISC:</w:t>
      </w:r>
      <w:r w:rsidRPr="009120B5">
        <w:rPr>
          <w:rFonts w:asciiTheme="minorHAnsi" w:hAnsiTheme="minorHAnsi" w:cstheme="minorHAnsi"/>
          <w:i/>
          <w:iCs/>
        </w:rPr>
        <w:t xml:space="preserve"> Connor-Davidson Resilience Scale, </w:t>
      </w:r>
      <w:r w:rsidRPr="009120B5">
        <w:rPr>
          <w:rFonts w:asciiTheme="minorHAnsi" w:hAnsiTheme="minorHAnsi" w:cstheme="minorHAnsi"/>
          <w:b/>
          <w:bCs/>
          <w:i/>
          <w:iCs/>
        </w:rPr>
        <w:t>CDS</w:t>
      </w:r>
      <w:r w:rsidRPr="009120B5">
        <w:rPr>
          <w:rFonts w:asciiTheme="minorHAnsi" w:hAnsiTheme="minorHAnsi" w:cstheme="minorHAnsi"/>
          <w:i/>
          <w:iCs/>
        </w:rPr>
        <w:t xml:space="preserve">: Conversion Disorder Scale, </w:t>
      </w:r>
      <w:r w:rsidRPr="009120B5">
        <w:rPr>
          <w:rFonts w:asciiTheme="minorHAnsi" w:hAnsiTheme="minorHAnsi" w:cstheme="minorHAnsi"/>
          <w:b/>
          <w:bCs/>
          <w:i/>
          <w:iCs/>
        </w:rPr>
        <w:t>CGI:</w:t>
      </w:r>
      <w:r w:rsidRPr="009120B5">
        <w:rPr>
          <w:rFonts w:asciiTheme="minorHAnsi" w:hAnsiTheme="minorHAnsi" w:cstheme="minorHAnsi"/>
          <w:i/>
          <w:iCs/>
        </w:rPr>
        <w:t xml:space="preserve"> Clinical Global Impression (of disease severity), </w:t>
      </w:r>
      <w:r w:rsidRPr="009120B5">
        <w:rPr>
          <w:rFonts w:asciiTheme="minorHAnsi" w:hAnsiTheme="minorHAnsi" w:cstheme="minorHAnsi"/>
          <w:b/>
          <w:bCs/>
          <w:i/>
          <w:iCs/>
        </w:rPr>
        <w:t xml:space="preserve">CTQ: </w:t>
      </w:r>
      <w:r w:rsidRPr="009120B5">
        <w:rPr>
          <w:rFonts w:asciiTheme="minorHAnsi" w:hAnsiTheme="minorHAnsi" w:cstheme="minorHAnsi"/>
          <w:i/>
          <w:iCs/>
        </w:rPr>
        <w:t>Childhood Trauma Questionnaire</w:t>
      </w:r>
      <w:r w:rsidRPr="009120B5">
        <w:rPr>
          <w:rFonts w:asciiTheme="minorHAnsi" w:hAnsiTheme="minorHAnsi" w:cstheme="minorHAnsi"/>
          <w:b/>
          <w:bCs/>
          <w:i/>
          <w:iCs/>
        </w:rPr>
        <w:t xml:space="preserve">, </w:t>
      </w:r>
      <w:r w:rsidRPr="009120B5">
        <w:rPr>
          <w:rFonts w:asciiTheme="minorHAnsi" w:hAnsiTheme="minorHAnsi" w:cstheme="minorHAnsi"/>
          <w:i/>
          <w:iCs/>
        </w:rPr>
        <w:t xml:space="preserve"> </w:t>
      </w:r>
      <w:r w:rsidRPr="009120B5">
        <w:rPr>
          <w:rFonts w:asciiTheme="minorHAnsi" w:hAnsiTheme="minorHAnsi" w:cstheme="minorHAnsi"/>
          <w:b/>
          <w:bCs/>
          <w:i/>
          <w:iCs/>
        </w:rPr>
        <w:t>DASS</w:t>
      </w:r>
      <w:r w:rsidRPr="009120B5">
        <w:rPr>
          <w:rFonts w:asciiTheme="minorHAnsi" w:hAnsiTheme="minorHAnsi" w:cstheme="minorHAnsi"/>
          <w:i/>
          <w:iCs/>
        </w:rPr>
        <w:t xml:space="preserve">: The Depression Anxiety and Stress Scales, </w:t>
      </w:r>
      <w:r w:rsidRPr="009120B5">
        <w:rPr>
          <w:rFonts w:asciiTheme="minorHAnsi" w:hAnsiTheme="minorHAnsi" w:cstheme="minorHAnsi"/>
          <w:b/>
          <w:bCs/>
          <w:i/>
          <w:iCs/>
        </w:rPr>
        <w:t>DERS:</w:t>
      </w:r>
      <w:r w:rsidRPr="009120B5">
        <w:rPr>
          <w:rFonts w:asciiTheme="minorHAnsi" w:hAnsiTheme="minorHAnsi" w:cstheme="minorHAnsi"/>
          <w:i/>
          <w:iCs/>
        </w:rPr>
        <w:t xml:space="preserve"> Difficulties in Emotion Regulation, </w:t>
      </w:r>
      <w:r w:rsidRPr="009120B5">
        <w:rPr>
          <w:rFonts w:asciiTheme="minorHAnsi" w:hAnsiTheme="minorHAnsi" w:cstheme="minorHAnsi"/>
          <w:b/>
          <w:bCs/>
          <w:i/>
          <w:iCs/>
        </w:rPr>
        <w:t>DES</w:t>
      </w:r>
      <w:r w:rsidRPr="009120B5">
        <w:rPr>
          <w:rFonts w:asciiTheme="minorHAnsi" w:hAnsiTheme="minorHAnsi" w:cstheme="minorHAnsi"/>
          <w:i/>
          <w:iCs/>
        </w:rPr>
        <w:t xml:space="preserve">: Dissociation Experiences Scale, </w:t>
      </w:r>
      <w:r w:rsidRPr="009120B5">
        <w:rPr>
          <w:rFonts w:asciiTheme="minorHAnsi" w:hAnsiTheme="minorHAnsi" w:cstheme="minorHAnsi"/>
          <w:b/>
          <w:bCs/>
          <w:i/>
          <w:iCs/>
        </w:rPr>
        <w:t>DSSQ:</w:t>
      </w:r>
      <w:r w:rsidRPr="009120B5">
        <w:rPr>
          <w:rFonts w:asciiTheme="minorHAnsi" w:hAnsiTheme="minorHAnsi" w:cstheme="minorHAnsi"/>
          <w:i/>
          <w:iCs/>
        </w:rPr>
        <w:t xml:space="preserve"> Dundee Stress State Questionnaire, </w:t>
      </w:r>
      <w:r w:rsidRPr="009120B5">
        <w:rPr>
          <w:rFonts w:asciiTheme="minorHAnsi" w:hAnsiTheme="minorHAnsi" w:cstheme="minorHAnsi"/>
          <w:b/>
          <w:bCs/>
          <w:i/>
          <w:iCs/>
        </w:rPr>
        <w:t>ELSQ:</w:t>
      </w:r>
      <w:r w:rsidRPr="009120B5">
        <w:rPr>
          <w:rFonts w:asciiTheme="minorHAnsi" w:hAnsiTheme="minorHAnsi" w:cstheme="minorHAnsi"/>
          <w:i/>
          <w:iCs/>
        </w:rPr>
        <w:t xml:space="preserve"> The Early Life Stress Questionnaire, </w:t>
      </w:r>
      <w:r w:rsidRPr="009120B5">
        <w:rPr>
          <w:rFonts w:asciiTheme="minorHAnsi" w:hAnsiTheme="minorHAnsi" w:cstheme="minorHAnsi"/>
          <w:b/>
          <w:bCs/>
          <w:i/>
          <w:iCs/>
        </w:rPr>
        <w:t xml:space="preserve">ERQ: </w:t>
      </w:r>
      <w:r w:rsidRPr="009120B5">
        <w:rPr>
          <w:rFonts w:asciiTheme="minorHAnsi" w:hAnsiTheme="minorHAnsi" w:cstheme="minorHAnsi"/>
          <w:i/>
          <w:iCs/>
        </w:rPr>
        <w:t xml:space="preserve">Emotion Regulation Questionnaire, </w:t>
      </w:r>
      <w:r w:rsidRPr="009120B5">
        <w:rPr>
          <w:rFonts w:asciiTheme="minorHAnsi" w:hAnsiTheme="minorHAnsi" w:cstheme="minorHAnsi"/>
          <w:b/>
          <w:bCs/>
          <w:i/>
          <w:iCs/>
        </w:rPr>
        <w:t>ESS:</w:t>
      </w:r>
      <w:r w:rsidRPr="009120B5">
        <w:rPr>
          <w:rFonts w:asciiTheme="minorHAnsi" w:hAnsiTheme="minorHAnsi" w:cstheme="minorHAnsi"/>
          <w:i/>
          <w:iCs/>
        </w:rPr>
        <w:t xml:space="preserve"> The Epworth Sleepiness scale</w:t>
      </w:r>
      <w:r w:rsidRPr="009120B5">
        <w:rPr>
          <w:rFonts w:asciiTheme="minorHAnsi" w:hAnsiTheme="minorHAnsi" w:cstheme="minorHAnsi"/>
          <w:b/>
          <w:bCs/>
          <w:i/>
          <w:iCs/>
        </w:rPr>
        <w:t>, EQ5D</w:t>
      </w:r>
      <w:r w:rsidRPr="009120B5">
        <w:rPr>
          <w:rFonts w:asciiTheme="minorHAnsi" w:hAnsiTheme="minorHAnsi" w:cstheme="minorHAnsi"/>
          <w:i/>
          <w:iCs/>
        </w:rPr>
        <w:t xml:space="preserve">: Self-efficacy quality of life questionnaire, </w:t>
      </w:r>
      <w:r w:rsidRPr="009120B5">
        <w:rPr>
          <w:rFonts w:asciiTheme="minorHAnsi" w:hAnsiTheme="minorHAnsi" w:cstheme="minorHAnsi"/>
          <w:b/>
          <w:bCs/>
          <w:i/>
          <w:iCs/>
        </w:rPr>
        <w:t>GAD-7</w:t>
      </w:r>
      <w:r w:rsidRPr="009120B5">
        <w:rPr>
          <w:rFonts w:asciiTheme="minorHAnsi" w:hAnsiTheme="minorHAnsi" w:cstheme="minorHAnsi"/>
          <w:i/>
          <w:iCs/>
        </w:rPr>
        <w:t xml:space="preserve">: Generalised Anxiety Disorder Scale, </w:t>
      </w:r>
      <w:r w:rsidRPr="009120B5">
        <w:rPr>
          <w:rFonts w:asciiTheme="minorHAnsi" w:hAnsiTheme="minorHAnsi" w:cstheme="minorHAnsi"/>
          <w:b/>
          <w:bCs/>
          <w:i/>
          <w:iCs/>
        </w:rPr>
        <w:t>GSI</w:t>
      </w:r>
      <w:r w:rsidRPr="009120B5">
        <w:rPr>
          <w:rFonts w:asciiTheme="minorHAnsi" w:hAnsiTheme="minorHAnsi" w:cstheme="minorHAnsi"/>
          <w:i/>
          <w:iCs/>
        </w:rPr>
        <w:t xml:space="preserve">: Global Symptom Inventory, </w:t>
      </w:r>
      <w:r w:rsidRPr="009120B5">
        <w:rPr>
          <w:rFonts w:asciiTheme="minorHAnsi" w:hAnsiTheme="minorHAnsi" w:cstheme="minorHAnsi"/>
          <w:b/>
          <w:bCs/>
          <w:i/>
          <w:iCs/>
        </w:rPr>
        <w:t>HADS:</w:t>
      </w:r>
      <w:r w:rsidRPr="009120B5">
        <w:rPr>
          <w:rFonts w:asciiTheme="minorHAnsi" w:hAnsiTheme="minorHAnsi" w:cstheme="minorHAnsi"/>
          <w:i/>
          <w:iCs/>
        </w:rPr>
        <w:t xml:space="preserve"> Hospital anxiety and depression scale, </w:t>
      </w:r>
      <w:r w:rsidRPr="009120B5">
        <w:rPr>
          <w:rFonts w:asciiTheme="minorHAnsi" w:hAnsiTheme="minorHAnsi" w:cstheme="minorHAnsi"/>
          <w:b/>
          <w:bCs/>
          <w:i/>
          <w:iCs/>
        </w:rPr>
        <w:t>HAM-A</w:t>
      </w:r>
      <w:r w:rsidRPr="009120B5">
        <w:rPr>
          <w:rFonts w:asciiTheme="minorHAnsi" w:hAnsiTheme="minorHAnsi" w:cstheme="minorHAnsi"/>
          <w:i/>
          <w:iCs/>
        </w:rPr>
        <w:t xml:space="preserve">: Hamilton Anxiety Rating Scale, </w:t>
      </w:r>
      <w:r w:rsidRPr="009120B5">
        <w:rPr>
          <w:rFonts w:asciiTheme="minorHAnsi" w:hAnsiTheme="minorHAnsi" w:cstheme="minorHAnsi"/>
          <w:b/>
          <w:bCs/>
          <w:i/>
          <w:iCs/>
        </w:rPr>
        <w:t>ISI:</w:t>
      </w:r>
      <w:r w:rsidRPr="009120B5">
        <w:rPr>
          <w:rFonts w:asciiTheme="minorHAnsi" w:hAnsiTheme="minorHAnsi" w:cstheme="minorHAnsi"/>
          <w:i/>
          <w:iCs/>
        </w:rPr>
        <w:t xml:space="preserve"> Insomnia Severity Index, </w:t>
      </w:r>
      <w:r w:rsidRPr="009120B5">
        <w:rPr>
          <w:rFonts w:asciiTheme="minorHAnsi" w:hAnsiTheme="minorHAnsi" w:cstheme="minorHAnsi"/>
          <w:b/>
          <w:bCs/>
          <w:i/>
          <w:iCs/>
        </w:rPr>
        <w:t xml:space="preserve">LEAS: </w:t>
      </w:r>
      <w:r w:rsidRPr="009120B5">
        <w:rPr>
          <w:rFonts w:asciiTheme="minorHAnsi" w:hAnsiTheme="minorHAnsi" w:cstheme="minorHAnsi"/>
          <w:i/>
          <w:iCs/>
        </w:rPr>
        <w:t xml:space="preserve">Levels of Emotional Awareness, </w:t>
      </w:r>
      <w:r w:rsidRPr="009120B5">
        <w:rPr>
          <w:rFonts w:asciiTheme="minorHAnsi" w:hAnsiTheme="minorHAnsi" w:cstheme="minorHAnsi"/>
          <w:b/>
          <w:bCs/>
          <w:i/>
          <w:iCs/>
        </w:rPr>
        <w:t>LEC:</w:t>
      </w:r>
      <w:r w:rsidRPr="009120B5">
        <w:rPr>
          <w:rFonts w:asciiTheme="minorHAnsi" w:hAnsiTheme="minorHAnsi" w:cstheme="minorHAnsi"/>
          <w:i/>
          <w:iCs/>
        </w:rPr>
        <w:t xml:space="preserve"> Life Events Checklist, </w:t>
      </w:r>
      <w:r w:rsidRPr="009120B5">
        <w:rPr>
          <w:rFonts w:asciiTheme="minorHAnsi" w:hAnsiTheme="minorHAnsi" w:cstheme="minorHAnsi"/>
          <w:b/>
          <w:bCs/>
          <w:i/>
          <w:iCs/>
        </w:rPr>
        <w:t>LSSI:</w:t>
      </w:r>
      <w:r w:rsidRPr="009120B5">
        <w:rPr>
          <w:rFonts w:asciiTheme="minorHAnsi" w:hAnsiTheme="minorHAnsi" w:cstheme="minorHAnsi"/>
          <w:i/>
          <w:iCs/>
        </w:rPr>
        <w:t xml:space="preserve"> Liverpool Seizure Severity Inventory, </w:t>
      </w:r>
      <w:r w:rsidRPr="009120B5">
        <w:rPr>
          <w:rFonts w:asciiTheme="minorHAnsi" w:hAnsiTheme="minorHAnsi" w:cstheme="minorHAnsi"/>
          <w:b/>
          <w:bCs/>
          <w:i/>
          <w:iCs/>
        </w:rPr>
        <w:t>MADRS</w:t>
      </w:r>
      <w:r w:rsidRPr="009120B5">
        <w:rPr>
          <w:rFonts w:asciiTheme="minorHAnsi" w:hAnsiTheme="minorHAnsi" w:cstheme="minorHAnsi"/>
          <w:i/>
          <w:iCs/>
        </w:rPr>
        <w:t xml:space="preserve">: Montgomery </w:t>
      </w:r>
      <w:proofErr w:type="spellStart"/>
      <w:r w:rsidRPr="009120B5">
        <w:rPr>
          <w:rFonts w:asciiTheme="minorHAnsi" w:hAnsiTheme="minorHAnsi" w:cstheme="minorHAnsi"/>
          <w:i/>
          <w:iCs/>
        </w:rPr>
        <w:t>Asberg</w:t>
      </w:r>
      <w:proofErr w:type="spellEnd"/>
      <w:r w:rsidRPr="009120B5">
        <w:rPr>
          <w:rFonts w:asciiTheme="minorHAnsi" w:hAnsiTheme="minorHAnsi" w:cstheme="minorHAnsi"/>
          <w:i/>
          <w:iCs/>
        </w:rPr>
        <w:t xml:space="preserve"> Depression Rating scale, </w:t>
      </w:r>
      <w:r w:rsidRPr="009120B5">
        <w:rPr>
          <w:rFonts w:asciiTheme="minorHAnsi" w:hAnsiTheme="minorHAnsi" w:cstheme="minorHAnsi"/>
          <w:b/>
          <w:bCs/>
          <w:i/>
          <w:iCs/>
        </w:rPr>
        <w:t xml:space="preserve">MDI: </w:t>
      </w:r>
      <w:r w:rsidRPr="009120B5">
        <w:rPr>
          <w:rFonts w:asciiTheme="minorHAnsi" w:hAnsiTheme="minorHAnsi" w:cstheme="minorHAnsi"/>
          <w:i/>
          <w:iCs/>
        </w:rPr>
        <w:t>Multiscale Dissociation Inventory,</w:t>
      </w:r>
      <w:r w:rsidRPr="009120B5">
        <w:rPr>
          <w:rFonts w:asciiTheme="minorHAnsi" w:hAnsiTheme="minorHAnsi" w:cstheme="minorHAnsi"/>
          <w:b/>
          <w:bCs/>
          <w:i/>
          <w:iCs/>
        </w:rPr>
        <w:t xml:space="preserve"> MEQ:</w:t>
      </w:r>
      <w:r w:rsidRPr="009120B5">
        <w:rPr>
          <w:rFonts w:asciiTheme="minorHAnsi" w:hAnsiTheme="minorHAnsi" w:cstheme="minorHAnsi"/>
          <w:i/>
          <w:iCs/>
        </w:rPr>
        <w:t xml:space="preserve"> </w:t>
      </w:r>
      <w:proofErr w:type="spellStart"/>
      <w:r w:rsidRPr="009120B5">
        <w:rPr>
          <w:rFonts w:asciiTheme="minorHAnsi" w:hAnsiTheme="minorHAnsi" w:cstheme="minorHAnsi"/>
          <w:i/>
          <w:iCs/>
        </w:rPr>
        <w:t>Morningness-Eveningness</w:t>
      </w:r>
      <w:proofErr w:type="spellEnd"/>
      <w:r w:rsidRPr="009120B5">
        <w:rPr>
          <w:rFonts w:asciiTheme="minorHAnsi" w:hAnsiTheme="minorHAnsi" w:cstheme="minorHAnsi"/>
          <w:i/>
          <w:iCs/>
        </w:rPr>
        <w:t xml:space="preserve"> Questionnaire, </w:t>
      </w:r>
      <w:r w:rsidRPr="009120B5">
        <w:rPr>
          <w:rFonts w:asciiTheme="minorHAnsi" w:hAnsiTheme="minorHAnsi" w:cstheme="minorHAnsi"/>
          <w:b/>
          <w:bCs/>
          <w:i/>
          <w:iCs/>
        </w:rPr>
        <w:t>NDQ:</w:t>
      </w:r>
      <w:r w:rsidRPr="009120B5">
        <w:rPr>
          <w:rFonts w:asciiTheme="minorHAnsi" w:hAnsiTheme="minorHAnsi" w:cstheme="minorHAnsi"/>
          <w:i/>
          <w:iCs/>
        </w:rPr>
        <w:t xml:space="preserve"> Nightmare Distress questionnaire,</w:t>
      </w:r>
      <w:r w:rsidRPr="009120B5">
        <w:rPr>
          <w:rFonts w:asciiTheme="minorHAnsi" w:hAnsiTheme="minorHAnsi" w:cstheme="minorHAnsi"/>
          <w:b/>
          <w:bCs/>
          <w:i/>
          <w:iCs/>
        </w:rPr>
        <w:t xml:space="preserve"> NEO: </w:t>
      </w:r>
      <w:r w:rsidRPr="009120B5">
        <w:rPr>
          <w:rFonts w:asciiTheme="minorHAnsi" w:hAnsiTheme="minorHAnsi" w:cstheme="minorHAnsi"/>
          <w:i/>
          <w:iCs/>
        </w:rPr>
        <w:t xml:space="preserve">NEO Five Factor Inventory, </w:t>
      </w:r>
      <w:r w:rsidRPr="009120B5">
        <w:rPr>
          <w:rFonts w:asciiTheme="minorHAnsi" w:hAnsiTheme="minorHAnsi" w:cstheme="minorHAnsi"/>
          <w:b/>
          <w:bCs/>
          <w:i/>
          <w:iCs/>
        </w:rPr>
        <w:t>NEURO-QOL</w:t>
      </w:r>
      <w:r w:rsidRPr="009120B5">
        <w:rPr>
          <w:rFonts w:asciiTheme="minorHAnsi" w:hAnsiTheme="minorHAnsi" w:cstheme="minorHAnsi"/>
          <w:i/>
          <w:iCs/>
        </w:rPr>
        <w:t xml:space="preserve">: Quality of Life in Neurological Disorders, </w:t>
      </w:r>
      <w:r w:rsidRPr="009120B5">
        <w:rPr>
          <w:rFonts w:asciiTheme="minorHAnsi" w:hAnsiTheme="minorHAnsi" w:cstheme="minorHAnsi"/>
          <w:b/>
          <w:bCs/>
          <w:i/>
          <w:iCs/>
        </w:rPr>
        <w:t>NEWQOL-6D</w:t>
      </w:r>
      <w:r w:rsidRPr="009120B5">
        <w:rPr>
          <w:rFonts w:asciiTheme="minorHAnsi" w:hAnsiTheme="minorHAnsi" w:cstheme="minorHAnsi"/>
          <w:i/>
          <w:iCs/>
        </w:rPr>
        <w:t>:</w:t>
      </w:r>
      <w:r w:rsidRPr="009120B5">
        <w:rPr>
          <w:rFonts w:cs="Arial"/>
          <w:color w:val="111111"/>
          <w:sz w:val="21"/>
          <w:szCs w:val="21"/>
          <w:shd w:val="clear" w:color="auto" w:fill="FFFFFF"/>
        </w:rPr>
        <w:t xml:space="preserve"> </w:t>
      </w:r>
      <w:r w:rsidRPr="009120B5">
        <w:rPr>
          <w:rFonts w:asciiTheme="minorHAnsi" w:hAnsiTheme="minorHAnsi" w:cstheme="minorHAnsi"/>
          <w:i/>
          <w:iCs/>
        </w:rPr>
        <w:t xml:space="preserve">Quality of Life in Newly Diagnosed Epilepsy , </w:t>
      </w:r>
      <w:r w:rsidRPr="009120B5">
        <w:rPr>
          <w:rFonts w:asciiTheme="minorHAnsi" w:hAnsiTheme="minorHAnsi" w:cstheme="minorHAnsi"/>
          <w:b/>
          <w:bCs/>
          <w:i/>
          <w:iCs/>
        </w:rPr>
        <w:t>PCL:</w:t>
      </w:r>
      <w:r w:rsidRPr="009120B5">
        <w:rPr>
          <w:rFonts w:asciiTheme="minorHAnsi" w:hAnsiTheme="minorHAnsi" w:cstheme="minorHAnsi"/>
          <w:i/>
          <w:iCs/>
        </w:rPr>
        <w:t xml:space="preserve"> PTSD checklist, </w:t>
      </w:r>
      <w:r w:rsidRPr="009120B5">
        <w:rPr>
          <w:rFonts w:asciiTheme="minorHAnsi" w:hAnsiTheme="minorHAnsi" w:cstheme="minorHAnsi"/>
          <w:b/>
          <w:bCs/>
          <w:i/>
          <w:iCs/>
        </w:rPr>
        <w:t>PDI:</w:t>
      </w:r>
      <w:r w:rsidRPr="009120B5">
        <w:rPr>
          <w:rFonts w:asciiTheme="minorHAnsi" w:hAnsiTheme="minorHAnsi" w:cstheme="minorHAnsi"/>
          <w:i/>
          <w:iCs/>
        </w:rPr>
        <w:t xml:space="preserve"> Pain Disability Index,</w:t>
      </w:r>
      <w:r w:rsidRPr="009120B5">
        <w:rPr>
          <w:rFonts w:asciiTheme="minorHAnsi" w:hAnsiTheme="minorHAnsi" w:cstheme="minorHAnsi"/>
          <w:b/>
          <w:bCs/>
          <w:i/>
          <w:iCs/>
        </w:rPr>
        <w:t xml:space="preserve"> PHQ-15</w:t>
      </w:r>
      <w:r w:rsidRPr="009120B5">
        <w:rPr>
          <w:rFonts w:asciiTheme="minorHAnsi" w:hAnsiTheme="minorHAnsi" w:cstheme="minorHAnsi"/>
          <w:i/>
          <w:iCs/>
        </w:rPr>
        <w:t xml:space="preserve">: Patient Health Questionnaire, </w:t>
      </w:r>
      <w:r w:rsidRPr="009120B5">
        <w:rPr>
          <w:rFonts w:asciiTheme="minorHAnsi" w:hAnsiTheme="minorHAnsi" w:cstheme="minorHAnsi"/>
          <w:b/>
          <w:bCs/>
          <w:i/>
          <w:iCs/>
        </w:rPr>
        <w:t>POMS:</w:t>
      </w:r>
      <w:r w:rsidRPr="009120B5">
        <w:rPr>
          <w:rFonts w:asciiTheme="minorHAnsi" w:hAnsiTheme="minorHAnsi" w:cstheme="minorHAnsi"/>
          <w:i/>
          <w:iCs/>
        </w:rPr>
        <w:t xml:space="preserve"> Profile of Mood states, </w:t>
      </w:r>
      <w:r w:rsidRPr="009120B5">
        <w:rPr>
          <w:rFonts w:asciiTheme="minorHAnsi" w:hAnsiTheme="minorHAnsi" w:cstheme="minorHAnsi"/>
          <w:b/>
          <w:bCs/>
          <w:i/>
          <w:iCs/>
        </w:rPr>
        <w:t>PSS:</w:t>
      </w:r>
      <w:r w:rsidRPr="009120B5">
        <w:rPr>
          <w:rFonts w:asciiTheme="minorHAnsi" w:hAnsiTheme="minorHAnsi" w:cstheme="minorHAnsi"/>
          <w:i/>
          <w:iCs/>
        </w:rPr>
        <w:t xml:space="preserve"> Perceived Stress Scale, </w:t>
      </w:r>
      <w:r w:rsidRPr="009120B5">
        <w:rPr>
          <w:rFonts w:asciiTheme="minorHAnsi" w:hAnsiTheme="minorHAnsi" w:cstheme="minorHAnsi"/>
          <w:b/>
          <w:bCs/>
          <w:i/>
          <w:iCs/>
        </w:rPr>
        <w:t>PSQI</w:t>
      </w:r>
      <w:r w:rsidRPr="009120B5">
        <w:rPr>
          <w:rFonts w:asciiTheme="minorHAnsi" w:hAnsiTheme="minorHAnsi" w:cstheme="minorHAnsi"/>
          <w:i/>
          <w:iCs/>
        </w:rPr>
        <w:t>: Pittsburgh Sleep Quality index</w:t>
      </w:r>
      <w:r w:rsidRPr="009120B5">
        <w:rPr>
          <w:rFonts w:asciiTheme="minorHAnsi" w:hAnsiTheme="minorHAnsi" w:cstheme="minorHAnsi"/>
          <w:b/>
          <w:bCs/>
          <w:i/>
          <w:iCs/>
        </w:rPr>
        <w:t xml:space="preserve"> RSQ:</w:t>
      </w:r>
      <w:r w:rsidRPr="009120B5">
        <w:rPr>
          <w:rFonts w:asciiTheme="minorHAnsi" w:hAnsiTheme="minorHAnsi" w:cstheme="minorHAnsi"/>
          <w:i/>
          <w:iCs/>
        </w:rPr>
        <w:t xml:space="preserve"> Relationship Scales Questionnaire, </w:t>
      </w:r>
      <w:r w:rsidRPr="009120B5">
        <w:rPr>
          <w:rFonts w:asciiTheme="minorHAnsi" w:hAnsiTheme="minorHAnsi" w:cstheme="minorHAnsi"/>
          <w:b/>
          <w:bCs/>
          <w:i/>
          <w:iCs/>
        </w:rPr>
        <w:t>SAM</w:t>
      </w:r>
      <w:r w:rsidRPr="009120B5">
        <w:rPr>
          <w:rFonts w:asciiTheme="minorHAnsi" w:hAnsiTheme="minorHAnsi" w:cstheme="minorHAnsi"/>
          <w:i/>
          <w:iCs/>
        </w:rPr>
        <w:t xml:space="preserve">: Self-Assessment Manikin emotion rating scale (ratings for emotional valence and arousal), </w:t>
      </w:r>
      <w:r w:rsidRPr="009120B5">
        <w:rPr>
          <w:rFonts w:asciiTheme="minorHAnsi" w:hAnsiTheme="minorHAnsi" w:cstheme="minorHAnsi"/>
          <w:b/>
          <w:bCs/>
          <w:i/>
          <w:iCs/>
        </w:rPr>
        <w:t>SAS</w:t>
      </w:r>
      <w:r w:rsidRPr="009120B5">
        <w:rPr>
          <w:rFonts w:asciiTheme="minorHAnsi" w:hAnsiTheme="minorHAnsi" w:cstheme="minorHAnsi"/>
          <w:i/>
          <w:iCs/>
        </w:rPr>
        <w:t xml:space="preserve">: Self-rating Anxiety Scale, </w:t>
      </w:r>
      <w:r w:rsidRPr="009120B5">
        <w:rPr>
          <w:rFonts w:asciiTheme="minorHAnsi" w:hAnsiTheme="minorHAnsi" w:cstheme="minorHAnsi"/>
          <w:b/>
          <w:bCs/>
          <w:i/>
          <w:iCs/>
        </w:rPr>
        <w:t>SCL</w:t>
      </w:r>
      <w:r w:rsidRPr="009120B5">
        <w:rPr>
          <w:rFonts w:asciiTheme="minorHAnsi" w:hAnsiTheme="minorHAnsi" w:cstheme="minorHAnsi"/>
          <w:i/>
          <w:iCs/>
        </w:rPr>
        <w:t xml:space="preserve">: Symptom Checklist, </w:t>
      </w:r>
      <w:r w:rsidRPr="009120B5">
        <w:rPr>
          <w:rFonts w:asciiTheme="minorHAnsi" w:hAnsiTheme="minorHAnsi" w:cstheme="minorHAnsi"/>
          <w:b/>
          <w:bCs/>
          <w:i/>
          <w:iCs/>
        </w:rPr>
        <w:t>SDQ</w:t>
      </w:r>
      <w:r w:rsidRPr="009120B5">
        <w:rPr>
          <w:rFonts w:asciiTheme="minorHAnsi" w:hAnsiTheme="minorHAnsi" w:cstheme="minorHAnsi"/>
          <w:i/>
          <w:iCs/>
        </w:rPr>
        <w:t xml:space="preserve">: Somatoform Dissociation Questionnaire, </w:t>
      </w:r>
      <w:r w:rsidRPr="009120B5">
        <w:rPr>
          <w:rFonts w:asciiTheme="minorHAnsi" w:hAnsiTheme="minorHAnsi" w:cstheme="minorHAnsi"/>
          <w:b/>
          <w:bCs/>
          <w:i/>
          <w:iCs/>
        </w:rPr>
        <w:t>SDS:</w:t>
      </w:r>
      <w:r w:rsidRPr="009120B5">
        <w:rPr>
          <w:rFonts w:asciiTheme="minorHAnsi" w:hAnsiTheme="minorHAnsi" w:cstheme="minorHAnsi"/>
          <w:i/>
          <w:iCs/>
        </w:rPr>
        <w:t xml:space="preserve"> Self-rating Depression Scale,  </w:t>
      </w:r>
      <w:r w:rsidRPr="009120B5">
        <w:rPr>
          <w:rFonts w:asciiTheme="minorHAnsi" w:hAnsiTheme="minorHAnsi" w:cstheme="minorHAnsi"/>
          <w:b/>
          <w:bCs/>
          <w:i/>
          <w:iCs/>
        </w:rPr>
        <w:t>SF-36:</w:t>
      </w:r>
      <w:r w:rsidRPr="009120B5">
        <w:rPr>
          <w:rFonts w:asciiTheme="minorHAnsi" w:hAnsiTheme="minorHAnsi" w:cstheme="minorHAnsi"/>
          <w:i/>
          <w:iCs/>
        </w:rPr>
        <w:t xml:space="preserve"> Short Form Health related quality of life assessment, </w:t>
      </w:r>
      <w:r w:rsidRPr="009120B5">
        <w:rPr>
          <w:rFonts w:asciiTheme="minorHAnsi" w:hAnsiTheme="minorHAnsi" w:cstheme="minorHAnsi"/>
          <w:b/>
          <w:bCs/>
          <w:i/>
          <w:iCs/>
        </w:rPr>
        <w:t>SNI:</w:t>
      </w:r>
      <w:r w:rsidRPr="009120B5">
        <w:rPr>
          <w:rFonts w:asciiTheme="minorHAnsi" w:hAnsiTheme="minorHAnsi" w:cstheme="minorHAnsi"/>
          <w:i/>
          <w:iCs/>
        </w:rPr>
        <w:t xml:space="preserve"> Social Network Index, </w:t>
      </w:r>
      <w:r w:rsidRPr="009120B5">
        <w:rPr>
          <w:rFonts w:asciiTheme="minorHAnsi" w:hAnsiTheme="minorHAnsi" w:cstheme="minorHAnsi"/>
          <w:b/>
          <w:bCs/>
          <w:i/>
          <w:iCs/>
        </w:rPr>
        <w:t>SOMS:CD</w:t>
      </w:r>
      <w:r w:rsidRPr="009120B5">
        <w:rPr>
          <w:rFonts w:asciiTheme="minorHAnsi" w:hAnsiTheme="minorHAnsi" w:cstheme="minorHAnsi"/>
          <w:i/>
          <w:iCs/>
        </w:rPr>
        <w:t>:</w:t>
      </w:r>
      <w:r w:rsidRPr="009120B5">
        <w:rPr>
          <w:rFonts w:asciiTheme="minorHAnsi" w:hAnsiTheme="minorHAnsi"/>
          <w:color w:val="000000"/>
          <w:szCs w:val="20"/>
        </w:rPr>
        <w:t xml:space="preserve"> </w:t>
      </w:r>
      <w:r w:rsidRPr="009120B5">
        <w:rPr>
          <w:rFonts w:asciiTheme="minorHAnsi" w:hAnsiTheme="minorHAnsi" w:cstheme="minorHAnsi"/>
          <w:i/>
          <w:iCs/>
        </w:rPr>
        <w:t xml:space="preserve">Screening for Somatoform Symptoms-7 Conversion Disorder , </w:t>
      </w:r>
      <w:r w:rsidRPr="009120B5">
        <w:rPr>
          <w:rFonts w:asciiTheme="minorHAnsi" w:hAnsiTheme="minorHAnsi" w:cstheme="minorHAnsi"/>
          <w:b/>
          <w:bCs/>
          <w:i/>
          <w:iCs/>
        </w:rPr>
        <w:t>SOQ</w:t>
      </w:r>
      <w:r w:rsidRPr="009120B5">
        <w:rPr>
          <w:rFonts w:asciiTheme="minorHAnsi" w:hAnsiTheme="minorHAnsi" w:cstheme="minorHAnsi"/>
          <w:i/>
          <w:iCs/>
        </w:rPr>
        <w:t xml:space="preserve">: Self Objectification Questionnaire, </w:t>
      </w:r>
      <w:r w:rsidRPr="009120B5">
        <w:rPr>
          <w:rFonts w:asciiTheme="minorHAnsi" w:hAnsiTheme="minorHAnsi" w:cstheme="minorHAnsi"/>
          <w:b/>
          <w:bCs/>
          <w:i/>
          <w:iCs/>
        </w:rPr>
        <w:t>SPHERE:</w:t>
      </w:r>
      <w:r w:rsidRPr="009120B5">
        <w:rPr>
          <w:rFonts w:asciiTheme="minorHAnsi" w:hAnsiTheme="minorHAnsi" w:cstheme="minorHAnsi"/>
          <w:i/>
          <w:iCs/>
        </w:rPr>
        <w:t xml:space="preserve"> The Somatic and Psychological Health Report, </w:t>
      </w:r>
      <w:r w:rsidRPr="009120B5">
        <w:rPr>
          <w:rFonts w:asciiTheme="minorHAnsi" w:hAnsiTheme="minorHAnsi" w:cstheme="minorHAnsi"/>
          <w:b/>
          <w:bCs/>
          <w:i/>
          <w:iCs/>
        </w:rPr>
        <w:t>STAI-t:</w:t>
      </w:r>
      <w:r w:rsidRPr="009120B5">
        <w:rPr>
          <w:rFonts w:asciiTheme="minorHAnsi" w:hAnsiTheme="minorHAnsi" w:cstheme="minorHAnsi"/>
          <w:i/>
          <w:iCs/>
        </w:rPr>
        <w:t xml:space="preserve"> State Anxiety Inventory (Trait anxiety), </w:t>
      </w:r>
      <w:r w:rsidRPr="009120B5">
        <w:rPr>
          <w:rFonts w:asciiTheme="minorHAnsi" w:hAnsiTheme="minorHAnsi" w:cstheme="minorHAnsi"/>
          <w:b/>
          <w:bCs/>
          <w:i/>
          <w:iCs/>
        </w:rPr>
        <w:t>STAI-s:</w:t>
      </w:r>
      <w:r w:rsidRPr="009120B5">
        <w:rPr>
          <w:rFonts w:asciiTheme="minorHAnsi" w:hAnsiTheme="minorHAnsi" w:cstheme="minorHAnsi"/>
          <w:i/>
          <w:iCs/>
        </w:rPr>
        <w:t xml:space="preserve"> State Anxiety Inventory (State anxiety), </w:t>
      </w:r>
      <w:r w:rsidRPr="009120B5">
        <w:rPr>
          <w:rFonts w:asciiTheme="minorHAnsi" w:hAnsiTheme="minorHAnsi" w:cstheme="minorHAnsi"/>
          <w:b/>
          <w:bCs/>
          <w:i/>
          <w:iCs/>
        </w:rPr>
        <w:t>TAS-20</w:t>
      </w:r>
      <w:r w:rsidRPr="009120B5">
        <w:rPr>
          <w:rFonts w:asciiTheme="minorHAnsi" w:hAnsiTheme="minorHAnsi" w:cstheme="minorHAnsi"/>
          <w:i/>
          <w:iCs/>
        </w:rPr>
        <w:t xml:space="preserve">: Toronto </w:t>
      </w:r>
      <w:proofErr w:type="spellStart"/>
      <w:r w:rsidRPr="009120B5">
        <w:rPr>
          <w:rFonts w:asciiTheme="minorHAnsi" w:hAnsiTheme="minorHAnsi" w:cstheme="minorHAnsi"/>
          <w:i/>
          <w:iCs/>
        </w:rPr>
        <w:t>AlexIthymia</w:t>
      </w:r>
      <w:proofErr w:type="spellEnd"/>
      <w:r w:rsidRPr="009120B5">
        <w:rPr>
          <w:rFonts w:asciiTheme="minorHAnsi" w:hAnsiTheme="minorHAnsi" w:cstheme="minorHAnsi"/>
          <w:i/>
          <w:iCs/>
        </w:rPr>
        <w:t xml:space="preserve"> Scale, </w:t>
      </w:r>
      <w:r w:rsidRPr="009120B5">
        <w:rPr>
          <w:rFonts w:asciiTheme="minorHAnsi" w:hAnsiTheme="minorHAnsi" w:cstheme="minorHAnsi"/>
          <w:b/>
          <w:bCs/>
          <w:i/>
          <w:iCs/>
        </w:rPr>
        <w:t>TEC:</w:t>
      </w:r>
      <w:r w:rsidRPr="009120B5">
        <w:rPr>
          <w:rFonts w:asciiTheme="minorHAnsi" w:hAnsiTheme="minorHAnsi" w:cstheme="minorHAnsi"/>
          <w:i/>
          <w:iCs/>
        </w:rPr>
        <w:t xml:space="preserve"> Traumatic Experiences Checklist, </w:t>
      </w:r>
      <w:r w:rsidRPr="009120B5">
        <w:rPr>
          <w:rFonts w:asciiTheme="minorHAnsi" w:hAnsiTheme="minorHAnsi" w:cstheme="minorHAnsi"/>
          <w:b/>
          <w:bCs/>
          <w:i/>
          <w:iCs/>
        </w:rPr>
        <w:t>TLEQ:</w:t>
      </w:r>
      <w:r w:rsidRPr="009120B5">
        <w:rPr>
          <w:rFonts w:asciiTheme="minorHAnsi" w:hAnsiTheme="minorHAnsi" w:cstheme="minorHAnsi"/>
          <w:i/>
          <w:iCs/>
        </w:rPr>
        <w:t xml:space="preserve"> Traumatic Life Events Questionnaire, </w:t>
      </w:r>
      <w:r w:rsidRPr="009120B5">
        <w:rPr>
          <w:rFonts w:asciiTheme="minorHAnsi" w:hAnsiTheme="minorHAnsi" w:cstheme="minorHAnsi"/>
          <w:b/>
          <w:bCs/>
          <w:i/>
          <w:iCs/>
        </w:rPr>
        <w:t>TSC-40</w:t>
      </w:r>
      <w:r w:rsidRPr="009120B5">
        <w:rPr>
          <w:rFonts w:asciiTheme="minorHAnsi" w:hAnsiTheme="minorHAnsi" w:cstheme="minorHAnsi"/>
          <w:i/>
          <w:iCs/>
        </w:rPr>
        <w:t xml:space="preserve">: Traumatic Symptom Checklist-40, </w:t>
      </w:r>
      <w:r w:rsidRPr="009120B5">
        <w:rPr>
          <w:rFonts w:asciiTheme="minorHAnsi" w:hAnsiTheme="minorHAnsi" w:cstheme="minorHAnsi"/>
          <w:b/>
          <w:bCs/>
          <w:i/>
          <w:iCs/>
        </w:rPr>
        <w:t xml:space="preserve">VAS: </w:t>
      </w:r>
      <w:r w:rsidRPr="009120B5">
        <w:rPr>
          <w:rFonts w:asciiTheme="minorHAnsi" w:hAnsiTheme="minorHAnsi" w:cstheme="minorHAnsi"/>
          <w:i/>
          <w:iCs/>
        </w:rPr>
        <w:t xml:space="preserve">Visual Analog Scale, </w:t>
      </w:r>
      <w:r w:rsidRPr="009120B5">
        <w:rPr>
          <w:rFonts w:asciiTheme="minorHAnsi" w:hAnsiTheme="minorHAnsi" w:cstheme="minorHAnsi"/>
          <w:b/>
          <w:bCs/>
          <w:i/>
          <w:iCs/>
        </w:rPr>
        <w:t>WCQ:</w:t>
      </w:r>
      <w:r w:rsidRPr="009120B5">
        <w:rPr>
          <w:rFonts w:asciiTheme="minorHAnsi" w:hAnsiTheme="minorHAnsi" w:cstheme="minorHAnsi"/>
          <w:i/>
          <w:iCs/>
        </w:rPr>
        <w:t xml:space="preserve"> Ways of Coping Questionnaire </w:t>
      </w:r>
      <w:r w:rsidRPr="009120B5">
        <w:rPr>
          <w:rFonts w:asciiTheme="minorHAnsi" w:hAnsiTheme="minorHAnsi" w:cstheme="minorHAnsi"/>
          <w:b/>
          <w:bCs/>
          <w:i/>
          <w:iCs/>
        </w:rPr>
        <w:t>WHOQOL:</w:t>
      </w:r>
      <w:r w:rsidRPr="009120B5">
        <w:rPr>
          <w:rFonts w:asciiTheme="minorHAnsi" w:hAnsiTheme="minorHAnsi" w:cstheme="minorHAnsi"/>
          <w:i/>
          <w:iCs/>
        </w:rPr>
        <w:t xml:space="preserve"> The World Health </w:t>
      </w:r>
      <w:proofErr w:type="spellStart"/>
      <w:r w:rsidRPr="009120B5">
        <w:rPr>
          <w:rFonts w:asciiTheme="minorHAnsi" w:hAnsiTheme="minorHAnsi" w:cstheme="minorHAnsi"/>
          <w:i/>
          <w:iCs/>
        </w:rPr>
        <w:t>Organistion</w:t>
      </w:r>
      <w:proofErr w:type="spellEnd"/>
      <w:r w:rsidRPr="009120B5">
        <w:rPr>
          <w:rFonts w:asciiTheme="minorHAnsi" w:hAnsiTheme="minorHAnsi" w:cstheme="minorHAnsi"/>
          <w:i/>
          <w:iCs/>
        </w:rPr>
        <w:t xml:space="preserve"> Quality of Life scale</w:t>
      </w:r>
    </w:p>
    <w:p w14:paraId="0C7E11A2" w14:textId="77777777" w:rsidR="007E0ABC" w:rsidRPr="009120B5" w:rsidRDefault="007E0ABC" w:rsidP="00D34609">
      <w:pPr>
        <w:rPr>
          <w:rFonts w:asciiTheme="minorHAnsi" w:hAnsiTheme="minorHAnsi" w:cstheme="minorHAnsi"/>
          <w:b/>
          <w:bCs/>
          <w:i/>
          <w:iCs/>
        </w:rPr>
      </w:pPr>
      <w:r w:rsidRPr="009120B5">
        <w:rPr>
          <w:rFonts w:asciiTheme="minorHAnsi" w:hAnsiTheme="minorHAnsi" w:cstheme="minorHAnsi"/>
          <w:b/>
          <w:bCs/>
          <w:i/>
          <w:iCs/>
        </w:rPr>
        <w:t>Objective measure abbreviations:</w:t>
      </w:r>
    </w:p>
    <w:p w14:paraId="5B77242E" w14:textId="77777777" w:rsidR="007E0ABC" w:rsidRPr="009120B5" w:rsidRDefault="007E0ABC" w:rsidP="00D34609">
      <w:pPr>
        <w:rPr>
          <w:rFonts w:asciiTheme="minorHAnsi" w:hAnsiTheme="minorHAnsi" w:cstheme="minorHAnsi"/>
          <w:i/>
          <w:iCs/>
        </w:rPr>
      </w:pPr>
      <w:r w:rsidRPr="009120B5">
        <w:rPr>
          <w:rFonts w:asciiTheme="minorHAnsi" w:hAnsiTheme="minorHAnsi" w:cstheme="minorHAnsi"/>
          <w:b/>
          <w:bCs/>
          <w:i/>
          <w:iCs/>
        </w:rPr>
        <w:t>DBP:</w:t>
      </w:r>
      <w:r w:rsidRPr="009120B5">
        <w:rPr>
          <w:rFonts w:asciiTheme="minorHAnsi" w:hAnsiTheme="minorHAnsi" w:cstheme="minorHAnsi"/>
          <w:i/>
          <w:iCs/>
        </w:rPr>
        <w:t xml:space="preserve"> Diastolic Blood Pressure, </w:t>
      </w:r>
      <w:proofErr w:type="spellStart"/>
      <w:r w:rsidRPr="009120B5">
        <w:rPr>
          <w:rFonts w:asciiTheme="minorHAnsi" w:hAnsiTheme="minorHAnsi" w:cstheme="minorHAnsi"/>
          <w:b/>
          <w:bCs/>
          <w:i/>
          <w:iCs/>
        </w:rPr>
        <w:t>dmPFC</w:t>
      </w:r>
      <w:proofErr w:type="spellEnd"/>
      <w:r w:rsidRPr="009120B5">
        <w:rPr>
          <w:rFonts w:asciiTheme="minorHAnsi" w:hAnsiTheme="minorHAnsi" w:cstheme="minorHAnsi"/>
          <w:b/>
          <w:bCs/>
          <w:i/>
          <w:iCs/>
        </w:rPr>
        <w:t xml:space="preserve">: </w:t>
      </w:r>
      <w:r w:rsidRPr="009120B5">
        <w:rPr>
          <w:rFonts w:asciiTheme="minorHAnsi" w:hAnsiTheme="minorHAnsi" w:cstheme="minorHAnsi"/>
          <w:i/>
          <w:iCs/>
        </w:rPr>
        <w:t xml:space="preserve">dorsomedial prefrontal cortex, </w:t>
      </w:r>
      <w:r w:rsidRPr="009120B5">
        <w:rPr>
          <w:rFonts w:asciiTheme="minorHAnsi" w:hAnsiTheme="minorHAnsi" w:cstheme="minorHAnsi"/>
          <w:b/>
          <w:bCs/>
          <w:i/>
          <w:iCs/>
        </w:rPr>
        <w:t>EMG:</w:t>
      </w:r>
      <w:r w:rsidRPr="009120B5">
        <w:rPr>
          <w:rFonts w:asciiTheme="minorHAnsi" w:hAnsiTheme="minorHAnsi" w:cstheme="minorHAnsi"/>
          <w:i/>
          <w:iCs/>
        </w:rPr>
        <w:t xml:space="preserve"> Electromyography, </w:t>
      </w:r>
      <w:r w:rsidRPr="009120B5">
        <w:rPr>
          <w:rFonts w:asciiTheme="minorHAnsi" w:hAnsiTheme="minorHAnsi" w:cstheme="minorHAnsi"/>
          <w:b/>
          <w:bCs/>
          <w:i/>
          <w:iCs/>
        </w:rPr>
        <w:t xml:space="preserve"> HBDT: </w:t>
      </w:r>
      <w:r w:rsidRPr="009120B5">
        <w:rPr>
          <w:rFonts w:asciiTheme="minorHAnsi" w:hAnsiTheme="minorHAnsi" w:cstheme="minorHAnsi"/>
          <w:i/>
          <w:iCs/>
        </w:rPr>
        <w:t>Heartbeat Decision task,</w:t>
      </w:r>
      <w:r w:rsidRPr="009120B5">
        <w:rPr>
          <w:rFonts w:asciiTheme="minorHAnsi" w:hAnsiTheme="minorHAnsi" w:cstheme="minorHAnsi"/>
          <w:b/>
          <w:bCs/>
          <w:i/>
          <w:iCs/>
        </w:rPr>
        <w:t xml:space="preserve"> HBTT: </w:t>
      </w:r>
      <w:r w:rsidRPr="009120B5">
        <w:rPr>
          <w:rFonts w:asciiTheme="minorHAnsi" w:hAnsiTheme="minorHAnsi" w:cstheme="minorHAnsi"/>
          <w:i/>
          <w:iCs/>
        </w:rPr>
        <w:t>Heartbeat Tracking task,</w:t>
      </w:r>
      <w:r w:rsidRPr="009120B5">
        <w:rPr>
          <w:rFonts w:asciiTheme="minorHAnsi" w:hAnsiTheme="minorHAnsi" w:cstheme="minorHAnsi"/>
          <w:b/>
          <w:bCs/>
          <w:i/>
          <w:iCs/>
        </w:rPr>
        <w:t xml:space="preserve"> HRV:</w:t>
      </w:r>
      <w:r w:rsidRPr="009120B5">
        <w:rPr>
          <w:rFonts w:asciiTheme="minorHAnsi" w:hAnsiTheme="minorHAnsi" w:cstheme="minorHAnsi"/>
          <w:i/>
          <w:iCs/>
        </w:rPr>
        <w:t xml:space="preserve"> Heart rate Variability, </w:t>
      </w:r>
      <w:r w:rsidRPr="009120B5">
        <w:rPr>
          <w:rFonts w:asciiTheme="minorHAnsi" w:hAnsiTheme="minorHAnsi" w:cstheme="minorHAnsi"/>
          <w:b/>
          <w:bCs/>
          <w:i/>
          <w:iCs/>
        </w:rPr>
        <w:t>IBI</w:t>
      </w:r>
      <w:r w:rsidRPr="009120B5">
        <w:rPr>
          <w:rFonts w:asciiTheme="minorHAnsi" w:hAnsiTheme="minorHAnsi" w:cstheme="minorHAnsi"/>
          <w:i/>
          <w:iCs/>
        </w:rPr>
        <w:t xml:space="preserve">: Cardiac Interbeat Intervals, </w:t>
      </w:r>
      <w:r w:rsidRPr="009120B5">
        <w:rPr>
          <w:rFonts w:asciiTheme="minorHAnsi" w:hAnsiTheme="minorHAnsi" w:cstheme="minorHAnsi"/>
          <w:b/>
          <w:bCs/>
          <w:i/>
          <w:iCs/>
        </w:rPr>
        <w:t xml:space="preserve">IS: </w:t>
      </w:r>
      <w:r w:rsidRPr="009120B5">
        <w:rPr>
          <w:rFonts w:asciiTheme="minorHAnsi" w:hAnsiTheme="minorHAnsi" w:cstheme="minorHAnsi"/>
          <w:i/>
          <w:iCs/>
        </w:rPr>
        <w:t xml:space="preserve">Interoceptive sensitivity,  </w:t>
      </w:r>
      <w:r w:rsidRPr="009120B5">
        <w:rPr>
          <w:rFonts w:asciiTheme="minorHAnsi" w:hAnsiTheme="minorHAnsi" w:cstheme="minorHAnsi"/>
          <w:b/>
          <w:bCs/>
          <w:i/>
          <w:iCs/>
        </w:rPr>
        <w:t>RSA</w:t>
      </w:r>
      <w:r w:rsidRPr="009120B5">
        <w:rPr>
          <w:rFonts w:asciiTheme="minorHAnsi" w:hAnsiTheme="minorHAnsi" w:cstheme="minorHAnsi"/>
          <w:i/>
          <w:iCs/>
        </w:rPr>
        <w:t xml:space="preserve">: </w:t>
      </w:r>
      <w:r w:rsidRPr="009120B5">
        <w:rPr>
          <w:rFonts w:asciiTheme="minorHAnsi" w:hAnsiTheme="minorHAnsi" w:cstheme="minorHAnsi"/>
          <w:i/>
          <w:iCs/>
        </w:rPr>
        <w:lastRenderedPageBreak/>
        <w:t xml:space="preserve">Respiratory Sinus Arrhythmia, </w:t>
      </w:r>
      <w:r w:rsidRPr="009120B5">
        <w:rPr>
          <w:rFonts w:asciiTheme="minorHAnsi" w:hAnsiTheme="minorHAnsi" w:cstheme="minorHAnsi"/>
          <w:b/>
          <w:bCs/>
          <w:i/>
          <w:iCs/>
        </w:rPr>
        <w:t xml:space="preserve">SBP: </w:t>
      </w:r>
      <w:r w:rsidRPr="009120B5">
        <w:rPr>
          <w:rFonts w:asciiTheme="minorHAnsi" w:hAnsiTheme="minorHAnsi" w:cstheme="minorHAnsi"/>
          <w:i/>
          <w:iCs/>
        </w:rPr>
        <w:t xml:space="preserve">Systolic Blood Pressure, </w:t>
      </w:r>
      <w:r w:rsidRPr="009120B5">
        <w:rPr>
          <w:rFonts w:asciiTheme="minorHAnsi" w:hAnsiTheme="minorHAnsi" w:cstheme="minorHAnsi"/>
          <w:b/>
          <w:bCs/>
          <w:i/>
          <w:iCs/>
        </w:rPr>
        <w:t>SCL:</w:t>
      </w:r>
      <w:r w:rsidRPr="009120B5">
        <w:rPr>
          <w:rFonts w:asciiTheme="minorHAnsi" w:hAnsiTheme="minorHAnsi" w:cstheme="minorHAnsi"/>
          <w:i/>
          <w:iCs/>
        </w:rPr>
        <w:t xml:space="preserve"> Skin conductance Level, </w:t>
      </w:r>
      <w:r w:rsidRPr="009120B5">
        <w:rPr>
          <w:rFonts w:asciiTheme="minorHAnsi" w:hAnsiTheme="minorHAnsi" w:cstheme="minorHAnsi"/>
          <w:b/>
          <w:bCs/>
          <w:i/>
          <w:iCs/>
        </w:rPr>
        <w:t>SCRs:</w:t>
      </w:r>
      <w:r w:rsidRPr="009120B5">
        <w:rPr>
          <w:rFonts w:asciiTheme="minorHAnsi" w:hAnsiTheme="minorHAnsi" w:cstheme="minorHAnsi"/>
          <w:i/>
          <w:iCs/>
        </w:rPr>
        <w:t xml:space="preserve"> Skin Conductance Responses,</w:t>
      </w:r>
      <w:r w:rsidRPr="009120B5">
        <w:rPr>
          <w:rFonts w:asciiTheme="minorHAnsi" w:hAnsiTheme="minorHAnsi" w:cstheme="minorHAnsi"/>
          <w:b/>
          <w:bCs/>
          <w:i/>
          <w:iCs/>
        </w:rPr>
        <w:t xml:space="preserve"> SMA:</w:t>
      </w:r>
      <w:r w:rsidRPr="009120B5">
        <w:rPr>
          <w:rFonts w:asciiTheme="minorHAnsi" w:hAnsiTheme="minorHAnsi" w:cstheme="minorHAnsi"/>
          <w:i/>
          <w:iCs/>
        </w:rPr>
        <w:t xml:space="preserve"> Sensorimotor area, </w:t>
      </w:r>
      <w:r w:rsidRPr="009120B5">
        <w:rPr>
          <w:rFonts w:asciiTheme="minorHAnsi" w:hAnsiTheme="minorHAnsi" w:cstheme="minorHAnsi"/>
          <w:b/>
          <w:bCs/>
          <w:i/>
          <w:iCs/>
        </w:rPr>
        <w:t>STG:</w:t>
      </w:r>
      <w:r w:rsidRPr="009120B5">
        <w:rPr>
          <w:rFonts w:asciiTheme="minorHAnsi" w:hAnsiTheme="minorHAnsi" w:cstheme="minorHAnsi"/>
          <w:i/>
          <w:iCs/>
        </w:rPr>
        <w:t xml:space="preserve"> Superior temporal gyrus,</w:t>
      </w:r>
    </w:p>
    <w:p w14:paraId="04B3D8A0" w14:textId="77777777" w:rsidR="007E0ABC" w:rsidRPr="009120B5" w:rsidRDefault="007E0ABC" w:rsidP="00D34609">
      <w:pPr>
        <w:rPr>
          <w:rFonts w:asciiTheme="minorHAnsi" w:hAnsiTheme="minorHAnsi" w:cstheme="minorHAnsi"/>
          <w:i/>
          <w:iCs/>
        </w:rPr>
      </w:pPr>
      <w:r w:rsidRPr="009120B5">
        <w:rPr>
          <w:rFonts w:asciiTheme="minorHAnsi" w:hAnsiTheme="minorHAnsi" w:cstheme="minorHAnsi"/>
          <w:b/>
          <w:bCs/>
          <w:i/>
          <w:iCs/>
        </w:rPr>
        <w:t>Table Abbreviations:</w:t>
      </w:r>
      <w:r w:rsidRPr="009120B5">
        <w:rPr>
          <w:rFonts w:asciiTheme="minorHAnsi" w:hAnsiTheme="minorHAnsi" w:cstheme="minorHAnsi"/>
          <w:i/>
          <w:iCs/>
        </w:rPr>
        <w:t xml:space="preserve"> </w:t>
      </w:r>
    </w:p>
    <w:p w14:paraId="028A126C" w14:textId="77777777" w:rsidR="007E0ABC" w:rsidRPr="009A3F3E" w:rsidRDefault="007E0ABC">
      <w:pPr>
        <w:rPr>
          <w:rFonts w:asciiTheme="minorHAnsi" w:hAnsiTheme="minorHAnsi" w:cstheme="minorHAnsi"/>
          <w:i/>
          <w:iCs/>
        </w:rPr>
      </w:pPr>
      <w:r w:rsidRPr="009120B5">
        <w:rPr>
          <w:rFonts w:asciiTheme="minorHAnsi" w:hAnsiTheme="minorHAnsi" w:cstheme="minorHAnsi"/>
          <w:b/>
          <w:bCs/>
          <w:i/>
          <w:iCs/>
        </w:rPr>
        <w:t>FNS:</w:t>
      </w:r>
      <w:r w:rsidRPr="009120B5">
        <w:rPr>
          <w:rFonts w:asciiTheme="minorHAnsi" w:hAnsiTheme="minorHAnsi" w:cstheme="minorHAnsi"/>
          <w:i/>
          <w:iCs/>
        </w:rPr>
        <w:t xml:space="preserve"> Functional neurological symptoms, </w:t>
      </w:r>
      <w:r w:rsidRPr="009120B5">
        <w:rPr>
          <w:rFonts w:asciiTheme="minorHAnsi" w:hAnsiTheme="minorHAnsi" w:cstheme="minorHAnsi"/>
          <w:b/>
          <w:bCs/>
          <w:i/>
          <w:iCs/>
        </w:rPr>
        <w:t>FT:</w:t>
      </w:r>
      <w:r w:rsidRPr="009120B5">
        <w:rPr>
          <w:rFonts w:asciiTheme="minorHAnsi" w:hAnsiTheme="minorHAnsi" w:cstheme="minorHAnsi"/>
          <w:i/>
          <w:iCs/>
        </w:rPr>
        <w:t xml:space="preserve"> Functional Tremor, </w:t>
      </w:r>
      <w:proofErr w:type="spellStart"/>
      <w:r w:rsidRPr="009120B5">
        <w:rPr>
          <w:rFonts w:asciiTheme="minorHAnsi" w:hAnsiTheme="minorHAnsi" w:cstheme="minorHAnsi"/>
          <w:b/>
          <w:bCs/>
          <w:i/>
          <w:iCs/>
        </w:rPr>
        <w:t>OrgT</w:t>
      </w:r>
      <w:proofErr w:type="spellEnd"/>
      <w:r w:rsidRPr="009120B5">
        <w:rPr>
          <w:rFonts w:asciiTheme="minorHAnsi" w:hAnsiTheme="minorHAnsi" w:cstheme="minorHAnsi"/>
          <w:i/>
          <w:iCs/>
        </w:rPr>
        <w:t xml:space="preserve">: Organic Tremor, </w:t>
      </w:r>
      <w:r w:rsidRPr="009120B5">
        <w:rPr>
          <w:rFonts w:asciiTheme="minorHAnsi" w:hAnsiTheme="minorHAnsi" w:cstheme="minorHAnsi"/>
          <w:b/>
          <w:bCs/>
          <w:i/>
          <w:iCs/>
        </w:rPr>
        <w:t>FMS:</w:t>
      </w:r>
      <w:r w:rsidRPr="009120B5">
        <w:rPr>
          <w:rFonts w:asciiTheme="minorHAnsi" w:hAnsiTheme="minorHAnsi" w:cstheme="minorHAnsi"/>
          <w:i/>
          <w:iCs/>
        </w:rPr>
        <w:t xml:space="preserve"> Functional motor Symptoms, </w:t>
      </w:r>
      <w:proofErr w:type="spellStart"/>
      <w:r w:rsidRPr="009120B5">
        <w:rPr>
          <w:rFonts w:asciiTheme="minorHAnsi" w:hAnsiTheme="minorHAnsi" w:cstheme="minorHAnsi"/>
          <w:b/>
          <w:bCs/>
          <w:i/>
          <w:iCs/>
        </w:rPr>
        <w:t>iCPRP</w:t>
      </w:r>
      <w:proofErr w:type="spellEnd"/>
      <w:r w:rsidRPr="009120B5">
        <w:rPr>
          <w:rFonts w:asciiTheme="minorHAnsi" w:hAnsiTheme="minorHAnsi" w:cstheme="minorHAnsi"/>
          <w:b/>
          <w:bCs/>
          <w:i/>
          <w:iCs/>
        </w:rPr>
        <w:t>:</w:t>
      </w:r>
      <w:r w:rsidRPr="009120B5">
        <w:rPr>
          <w:rFonts w:asciiTheme="minorHAnsi" w:hAnsiTheme="minorHAnsi" w:cstheme="minorHAnsi"/>
          <w:i/>
          <w:iCs/>
        </w:rPr>
        <w:t xml:space="preserve"> Interdisciplinary chronic pain rehabilitation progra</w:t>
      </w:r>
      <w:r>
        <w:rPr>
          <w:rFonts w:asciiTheme="minorHAnsi" w:hAnsiTheme="minorHAnsi" w:cstheme="minorHAnsi"/>
          <w:i/>
          <w:iCs/>
        </w:rPr>
        <w:t>m</w:t>
      </w:r>
    </w:p>
    <w:p w14:paraId="05F177BA" w14:textId="77777777" w:rsidR="007E0ABC" w:rsidRPr="009120B5" w:rsidRDefault="007E0ABC"/>
    <w:p w14:paraId="1B8AE0C8" w14:textId="77777777" w:rsidR="007E0ABC" w:rsidRPr="009120B5" w:rsidRDefault="007E0ABC">
      <w:pPr>
        <w:rPr>
          <w:rFonts w:asciiTheme="minorHAnsi" w:hAnsiTheme="minorHAnsi" w:cstheme="minorHAnsi"/>
        </w:rPr>
      </w:pPr>
    </w:p>
    <w:p w14:paraId="39DE2AB2" w14:textId="77777777" w:rsidR="007E0ABC" w:rsidRPr="00716FF2" w:rsidRDefault="007E0ABC" w:rsidP="00716FF2">
      <w:pPr>
        <w:jc w:val="center"/>
      </w:pPr>
      <w:r w:rsidRPr="00716FF2">
        <w:t>Table 4</w:t>
      </w:r>
      <w:r>
        <w:t>4</w:t>
      </w:r>
      <w:r w:rsidRPr="00716FF2">
        <w:t>. Quality assessment of reviewed studies</w:t>
      </w:r>
    </w:p>
    <w:p w14:paraId="1B18B549" w14:textId="77777777" w:rsidR="007E0ABC" w:rsidRPr="009120B5" w:rsidRDefault="007E0ABC"/>
    <w:tbl>
      <w:tblPr>
        <w:tblStyle w:val="GridTable6ColourfulAccent3"/>
        <w:tblW w:w="5045" w:type="pct"/>
        <w:tblInd w:w="20" w:type="dxa"/>
        <w:tblLook w:val="04A0" w:firstRow="1" w:lastRow="0" w:firstColumn="1" w:lastColumn="0" w:noHBand="0" w:noVBand="1"/>
      </w:tblPr>
      <w:tblGrid>
        <w:gridCol w:w="399"/>
        <w:gridCol w:w="1047"/>
        <w:gridCol w:w="819"/>
        <w:gridCol w:w="2855"/>
        <w:gridCol w:w="561"/>
        <w:gridCol w:w="561"/>
        <w:gridCol w:w="561"/>
        <w:gridCol w:w="561"/>
        <w:gridCol w:w="561"/>
        <w:gridCol w:w="561"/>
        <w:gridCol w:w="561"/>
        <w:gridCol w:w="561"/>
        <w:gridCol w:w="561"/>
      </w:tblGrid>
      <w:tr w:rsidR="007E0ABC" w:rsidRPr="009120B5" w14:paraId="2814B29D" w14:textId="77777777" w:rsidTr="0070353D">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9" w:type="pct"/>
          </w:tcPr>
          <w:p w14:paraId="1DEF7FBF" w14:textId="77777777" w:rsidR="007E0ABC" w:rsidRPr="009120B5" w:rsidRDefault="007E0ABC" w:rsidP="0070353D">
            <w:pPr>
              <w:jc w:val="center"/>
              <w:rPr>
                <w:rFonts w:asciiTheme="minorHAnsi" w:hAnsiTheme="minorHAnsi" w:cstheme="minorHAnsi"/>
                <w:color w:val="auto"/>
                <w:sz w:val="18"/>
                <w:szCs w:val="18"/>
              </w:rPr>
            </w:pPr>
          </w:p>
        </w:tc>
        <w:tc>
          <w:tcPr>
            <w:tcW w:w="575" w:type="pct"/>
          </w:tcPr>
          <w:p w14:paraId="08048E25" w14:textId="77777777" w:rsidR="007E0ABC" w:rsidRPr="009120B5" w:rsidRDefault="007E0ABC" w:rsidP="007035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450" w:type="pct"/>
          </w:tcPr>
          <w:p w14:paraId="31CDC70E" w14:textId="77777777" w:rsidR="007E0ABC" w:rsidRPr="009120B5" w:rsidRDefault="007E0ABC" w:rsidP="007035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
        </w:tc>
        <w:tc>
          <w:tcPr>
            <w:tcW w:w="3755" w:type="pct"/>
            <w:gridSpan w:val="10"/>
          </w:tcPr>
          <w:p w14:paraId="3E5A44F8" w14:textId="77777777" w:rsidR="007E0ABC" w:rsidRPr="009120B5" w:rsidRDefault="007E0ABC" w:rsidP="007035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Quality rating criteria</w:t>
            </w:r>
          </w:p>
        </w:tc>
      </w:tr>
      <w:tr w:rsidR="007E0ABC" w:rsidRPr="009120B5" w14:paraId="548B37B9" w14:textId="77777777" w:rsidTr="0070353D">
        <w:trPr>
          <w:cnfStyle w:val="000000100000" w:firstRow="0" w:lastRow="0" w:firstColumn="0" w:lastColumn="0" w:oddVBand="0" w:evenVBand="0" w:oddHBand="1" w:evenHBand="0" w:firstRowFirstColumn="0" w:firstRowLastColumn="0" w:lastRowFirstColumn="0" w:lastRowLastColumn="0"/>
          <w:trHeight w:val="1986"/>
        </w:trPr>
        <w:tc>
          <w:tcPr>
            <w:cnfStyle w:val="001000000000" w:firstRow="0" w:lastRow="0" w:firstColumn="1" w:lastColumn="0" w:oddVBand="0" w:evenVBand="0" w:oddHBand="0" w:evenHBand="0" w:firstRowFirstColumn="0" w:firstRowLastColumn="0" w:lastRowFirstColumn="0" w:lastRowLastColumn="0"/>
            <w:tcW w:w="219" w:type="pct"/>
          </w:tcPr>
          <w:p w14:paraId="3D1506AE" w14:textId="77777777" w:rsidR="007E0ABC" w:rsidRPr="009120B5" w:rsidRDefault="007E0ABC" w:rsidP="0070353D">
            <w:pPr>
              <w:jc w:val="center"/>
              <w:rPr>
                <w:rFonts w:asciiTheme="minorHAnsi" w:hAnsiTheme="minorHAnsi" w:cstheme="minorHAnsi"/>
                <w:color w:val="auto"/>
                <w:sz w:val="18"/>
                <w:szCs w:val="18"/>
              </w:rPr>
            </w:pPr>
          </w:p>
        </w:tc>
        <w:tc>
          <w:tcPr>
            <w:tcW w:w="575" w:type="pct"/>
          </w:tcPr>
          <w:p w14:paraId="6AAE0C4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Study</w:t>
            </w:r>
          </w:p>
        </w:tc>
        <w:tc>
          <w:tcPr>
            <w:tcW w:w="450" w:type="pct"/>
          </w:tcPr>
          <w:p w14:paraId="321A4CD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FND Sample size</w:t>
            </w:r>
          </w:p>
        </w:tc>
        <w:tc>
          <w:tcPr>
            <w:tcW w:w="1569" w:type="pct"/>
          </w:tcPr>
          <w:p w14:paraId="3603E69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Diagnostic certainty</w:t>
            </w:r>
          </w:p>
        </w:tc>
        <w:tc>
          <w:tcPr>
            <w:tcW w:w="243" w:type="pct"/>
            <w:textDirection w:val="btLr"/>
          </w:tcPr>
          <w:p w14:paraId="4EB332E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Video-EEG (PNES)*</w:t>
            </w:r>
          </w:p>
        </w:tc>
        <w:tc>
          <w:tcPr>
            <w:tcW w:w="243" w:type="pct"/>
            <w:textDirection w:val="btLr"/>
          </w:tcPr>
          <w:p w14:paraId="4BB4E39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Epilepsy-excluded (FND groups)*</w:t>
            </w:r>
          </w:p>
        </w:tc>
        <w:tc>
          <w:tcPr>
            <w:tcW w:w="243" w:type="pct"/>
            <w:textDirection w:val="btLr"/>
          </w:tcPr>
          <w:p w14:paraId="758D0F78"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Anxiety-excluded</w:t>
            </w:r>
          </w:p>
        </w:tc>
        <w:tc>
          <w:tcPr>
            <w:tcW w:w="243" w:type="pct"/>
            <w:textDirection w:val="btLr"/>
          </w:tcPr>
          <w:p w14:paraId="3F975E1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120B5">
              <w:rPr>
                <w:rFonts w:asciiTheme="minorHAnsi" w:hAnsiTheme="minorHAnsi" w:cstheme="minorHAnsi"/>
                <w:b/>
                <w:bCs/>
                <w:color w:val="auto"/>
                <w:sz w:val="18"/>
                <w:szCs w:val="18"/>
              </w:rPr>
              <w:t>Neurological comorbidity-excluded (FND groups)*</w:t>
            </w:r>
          </w:p>
        </w:tc>
        <w:tc>
          <w:tcPr>
            <w:tcW w:w="243" w:type="pct"/>
            <w:textDirection w:val="btLr"/>
          </w:tcPr>
          <w:p w14:paraId="2D01569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Consecutive sampling</w:t>
            </w:r>
          </w:p>
        </w:tc>
        <w:tc>
          <w:tcPr>
            <w:tcW w:w="243" w:type="pct"/>
            <w:textDirection w:val="btLr"/>
          </w:tcPr>
          <w:p w14:paraId="2764E96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Standardised measures</w:t>
            </w:r>
          </w:p>
        </w:tc>
        <w:tc>
          <w:tcPr>
            <w:tcW w:w="243" w:type="pct"/>
            <w:textDirection w:val="btLr"/>
          </w:tcPr>
          <w:p w14:paraId="655BE85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Correction for multiple comparisons</w:t>
            </w:r>
          </w:p>
        </w:tc>
        <w:tc>
          <w:tcPr>
            <w:tcW w:w="243" w:type="pct"/>
            <w:textDirection w:val="btLr"/>
          </w:tcPr>
          <w:p w14:paraId="11EE3BF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Formal a-priori power calculations</w:t>
            </w:r>
          </w:p>
        </w:tc>
        <w:tc>
          <w:tcPr>
            <w:tcW w:w="243" w:type="pct"/>
            <w:textDirection w:val="btLr"/>
          </w:tcPr>
          <w:p w14:paraId="7B7F0FB9" w14:textId="77777777" w:rsidR="007E0ABC" w:rsidRPr="009120B5" w:rsidRDefault="007E0ABC" w:rsidP="0070353D">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9120B5">
              <w:rPr>
                <w:rFonts w:asciiTheme="minorHAnsi" w:hAnsiTheme="minorHAnsi" w:cstheme="minorHAnsi"/>
                <w:b/>
                <w:bCs/>
                <w:color w:val="auto"/>
                <w:sz w:val="18"/>
                <w:szCs w:val="18"/>
              </w:rPr>
              <w:t>Reliability for at least one included measure in own sample</w:t>
            </w:r>
          </w:p>
        </w:tc>
      </w:tr>
      <w:tr w:rsidR="007E0ABC" w:rsidRPr="009120B5" w14:paraId="675CE17E" w14:textId="77777777" w:rsidTr="0070353D">
        <w:trPr>
          <w:trHeight w:val="492"/>
        </w:trPr>
        <w:tc>
          <w:tcPr>
            <w:cnfStyle w:val="001000000000" w:firstRow="0" w:lastRow="0" w:firstColumn="1" w:lastColumn="0" w:oddVBand="0" w:evenVBand="0" w:oddHBand="0" w:evenHBand="0" w:firstRowFirstColumn="0" w:firstRowLastColumn="0" w:lastRowFirstColumn="0" w:lastRowLastColumn="0"/>
            <w:tcW w:w="219" w:type="pct"/>
          </w:tcPr>
          <w:p w14:paraId="7BE5966F" w14:textId="77777777" w:rsidR="007E0ABC" w:rsidRPr="009120B5" w:rsidRDefault="007E0ABC" w:rsidP="0070353D">
            <w:pPr>
              <w:jc w:val="center"/>
              <w:rPr>
                <w:rFonts w:asciiTheme="minorHAnsi" w:hAnsiTheme="minorHAnsi" w:cstheme="minorHAnsi"/>
                <w:color w:val="auto"/>
                <w:sz w:val="18"/>
                <w:szCs w:val="18"/>
              </w:rPr>
            </w:pPr>
            <w:r w:rsidRPr="009120B5">
              <w:rPr>
                <w:rFonts w:asciiTheme="minorHAnsi" w:hAnsiTheme="minorHAnsi" w:cstheme="minorHAnsi"/>
                <w:color w:val="auto"/>
                <w:sz w:val="18"/>
                <w:szCs w:val="18"/>
              </w:rPr>
              <w:t>1</w:t>
            </w:r>
          </w:p>
        </w:tc>
        <w:tc>
          <w:tcPr>
            <w:tcW w:w="575" w:type="pct"/>
          </w:tcPr>
          <w:p w14:paraId="31C9258C"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roofErr w:type="spellStart"/>
            <w:r w:rsidRPr="009120B5">
              <w:rPr>
                <w:rFonts w:asciiTheme="minorHAnsi" w:hAnsiTheme="minorHAnsi" w:cstheme="minorHAnsi"/>
                <w:color w:val="auto"/>
                <w:sz w:val="18"/>
                <w:szCs w:val="18"/>
              </w:rPr>
              <w:t>Bakvis</w:t>
            </w:r>
            <w:proofErr w:type="spellEnd"/>
            <w:r w:rsidRPr="009120B5">
              <w:rPr>
                <w:rFonts w:asciiTheme="minorHAnsi" w:hAnsiTheme="minorHAnsi" w:cstheme="minorHAnsi"/>
                <w:color w:val="auto"/>
                <w:sz w:val="18"/>
                <w:szCs w:val="18"/>
              </w:rPr>
              <w:t xml:space="preserve"> et al.(2011)</w:t>
            </w:r>
          </w:p>
        </w:tc>
        <w:tc>
          <w:tcPr>
            <w:tcW w:w="450" w:type="pct"/>
          </w:tcPr>
          <w:p w14:paraId="0CB2443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12 PNES</w:t>
            </w:r>
          </w:p>
          <w:p w14:paraId="2DEF384A"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20 HC</w:t>
            </w:r>
          </w:p>
        </w:tc>
        <w:tc>
          <w:tcPr>
            <w:tcW w:w="1569" w:type="pct"/>
          </w:tcPr>
          <w:p w14:paraId="4D4F279A"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70AF2C0A"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B39677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442B5A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7E402381"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D9F098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93CFE52"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13F562E3"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47DF62CD"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5FDE1F1F"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08A15DEF" w14:textId="77777777" w:rsidTr="0070353D">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219" w:type="pct"/>
          </w:tcPr>
          <w:p w14:paraId="71439AED" w14:textId="77777777" w:rsidR="007E0ABC" w:rsidRPr="009120B5" w:rsidRDefault="007E0ABC" w:rsidP="0070353D">
            <w:pPr>
              <w:jc w:val="center"/>
              <w:rPr>
                <w:rFonts w:asciiTheme="minorHAnsi" w:hAnsiTheme="minorHAnsi" w:cstheme="minorHAnsi"/>
                <w:color w:val="auto"/>
                <w:sz w:val="18"/>
                <w:szCs w:val="18"/>
              </w:rPr>
            </w:pPr>
            <w:r w:rsidRPr="009120B5">
              <w:rPr>
                <w:rFonts w:asciiTheme="minorHAnsi" w:hAnsiTheme="minorHAnsi" w:cstheme="minorHAnsi"/>
                <w:color w:val="auto"/>
                <w:sz w:val="18"/>
                <w:szCs w:val="18"/>
              </w:rPr>
              <w:t>2</w:t>
            </w:r>
          </w:p>
        </w:tc>
        <w:tc>
          <w:tcPr>
            <w:tcW w:w="575" w:type="pct"/>
          </w:tcPr>
          <w:p w14:paraId="499B757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Demartini et al. (2016)</w:t>
            </w:r>
          </w:p>
        </w:tc>
        <w:tc>
          <w:tcPr>
            <w:tcW w:w="450" w:type="pct"/>
          </w:tcPr>
          <w:p w14:paraId="6BF69B1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20 PNES</w:t>
            </w:r>
          </w:p>
          <w:p w14:paraId="6EA7BB88"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20 FMD</w:t>
            </w:r>
          </w:p>
          <w:p w14:paraId="33D2410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20 HC</w:t>
            </w:r>
          </w:p>
        </w:tc>
        <w:tc>
          <w:tcPr>
            <w:tcW w:w="1569" w:type="pct"/>
          </w:tcPr>
          <w:p w14:paraId="24155D52"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DSM-5</w:t>
            </w:r>
          </w:p>
          <w:p w14:paraId="62A9D9F8"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 PNES</w:t>
            </w:r>
          </w:p>
          <w:p w14:paraId="291BEE5D"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“Clinically established” FMD</w:t>
            </w:r>
          </w:p>
          <w:p w14:paraId="2F943583"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Williams et al., 1995</w:t>
            </w:r>
          </w:p>
        </w:tc>
        <w:tc>
          <w:tcPr>
            <w:tcW w:w="243" w:type="pct"/>
          </w:tcPr>
          <w:p w14:paraId="63D5A04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1571CA43"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9692E5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3240D82"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92713C2"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B2DEA04"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B77950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159E592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76CF4545"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0505DB04" w14:textId="77777777" w:rsidTr="0070353D">
        <w:trPr>
          <w:trHeight w:val="767"/>
        </w:trPr>
        <w:tc>
          <w:tcPr>
            <w:cnfStyle w:val="001000000000" w:firstRow="0" w:lastRow="0" w:firstColumn="1" w:lastColumn="0" w:oddVBand="0" w:evenVBand="0" w:oddHBand="0" w:evenHBand="0" w:firstRowFirstColumn="0" w:firstRowLastColumn="0" w:lastRowFirstColumn="0" w:lastRowLastColumn="0"/>
            <w:tcW w:w="219" w:type="pct"/>
          </w:tcPr>
          <w:p w14:paraId="319D42A9" w14:textId="77777777" w:rsidR="007E0ABC" w:rsidRPr="009120B5" w:rsidRDefault="007E0ABC" w:rsidP="0070353D">
            <w:pPr>
              <w:jc w:val="center"/>
              <w:rPr>
                <w:rFonts w:asciiTheme="minorHAnsi" w:hAnsiTheme="minorHAnsi" w:cstheme="minorHAnsi"/>
                <w:color w:val="auto"/>
                <w:sz w:val="18"/>
                <w:szCs w:val="18"/>
              </w:rPr>
            </w:pPr>
            <w:r w:rsidRPr="009120B5">
              <w:rPr>
                <w:rFonts w:asciiTheme="minorHAnsi" w:hAnsiTheme="minorHAnsi" w:cstheme="minorHAnsi"/>
                <w:color w:val="auto"/>
                <w:sz w:val="18"/>
                <w:szCs w:val="18"/>
              </w:rPr>
              <w:t>3</w:t>
            </w:r>
          </w:p>
        </w:tc>
        <w:tc>
          <w:tcPr>
            <w:tcW w:w="575" w:type="pct"/>
          </w:tcPr>
          <w:p w14:paraId="79132701"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roofErr w:type="spellStart"/>
            <w:r w:rsidRPr="009120B5">
              <w:rPr>
                <w:rFonts w:asciiTheme="minorHAnsi" w:hAnsiTheme="minorHAnsi" w:cstheme="minorHAnsi"/>
                <w:color w:val="auto"/>
                <w:sz w:val="18"/>
                <w:szCs w:val="18"/>
              </w:rPr>
              <w:t>Kotwas</w:t>
            </w:r>
            <w:proofErr w:type="spellEnd"/>
            <w:r w:rsidRPr="009120B5">
              <w:rPr>
                <w:rFonts w:asciiTheme="minorHAnsi" w:hAnsiTheme="minorHAnsi" w:cstheme="minorHAnsi"/>
                <w:color w:val="auto"/>
                <w:sz w:val="18"/>
                <w:szCs w:val="18"/>
              </w:rPr>
              <w:t xml:space="preserve"> et al (2019)</w:t>
            </w:r>
          </w:p>
        </w:tc>
        <w:tc>
          <w:tcPr>
            <w:tcW w:w="450" w:type="pct"/>
          </w:tcPr>
          <w:p w14:paraId="6ECC5AD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14 PNES</w:t>
            </w:r>
          </w:p>
          <w:p w14:paraId="30C66963"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34 TLE</w:t>
            </w:r>
          </w:p>
          <w:p w14:paraId="46C5CF1C"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34 HC</w:t>
            </w:r>
          </w:p>
        </w:tc>
        <w:tc>
          <w:tcPr>
            <w:tcW w:w="1569" w:type="pct"/>
          </w:tcPr>
          <w:p w14:paraId="2DA73E5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040F48EE"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96D8436"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975FCD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1E7162D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EE9249F"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c>
          <w:tcPr>
            <w:tcW w:w="243" w:type="pct"/>
          </w:tcPr>
          <w:p w14:paraId="512EDE26"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E0D3159"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B2AD922"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5D8B0DD"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3D1C081A" w14:textId="77777777" w:rsidTr="0070353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9" w:type="pct"/>
          </w:tcPr>
          <w:p w14:paraId="4CAFDBEE" w14:textId="77777777" w:rsidR="007E0ABC" w:rsidRPr="009120B5" w:rsidRDefault="007E0ABC" w:rsidP="0070353D">
            <w:pPr>
              <w:jc w:val="center"/>
              <w:rPr>
                <w:rFonts w:asciiTheme="minorHAnsi" w:hAnsiTheme="minorHAnsi" w:cstheme="minorHAnsi"/>
                <w:color w:val="auto"/>
                <w:sz w:val="18"/>
                <w:szCs w:val="18"/>
              </w:rPr>
            </w:pPr>
            <w:r w:rsidRPr="009120B5">
              <w:rPr>
                <w:rFonts w:asciiTheme="minorHAnsi" w:hAnsiTheme="minorHAnsi" w:cstheme="minorHAnsi"/>
                <w:color w:val="auto"/>
                <w:sz w:val="18"/>
                <w:szCs w:val="18"/>
              </w:rPr>
              <w:t>4</w:t>
            </w:r>
          </w:p>
        </w:tc>
        <w:tc>
          <w:tcPr>
            <w:tcW w:w="575" w:type="pct"/>
          </w:tcPr>
          <w:p w14:paraId="11950B23"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Novakova, Harris and Reuber (2017)</w:t>
            </w:r>
          </w:p>
        </w:tc>
        <w:tc>
          <w:tcPr>
            <w:tcW w:w="450" w:type="pct"/>
          </w:tcPr>
          <w:p w14:paraId="1DD8F0B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23 PNES</w:t>
            </w:r>
          </w:p>
          <w:p w14:paraId="26987740"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22 epilepsy</w:t>
            </w:r>
          </w:p>
        </w:tc>
        <w:tc>
          <w:tcPr>
            <w:tcW w:w="1569" w:type="pct"/>
          </w:tcPr>
          <w:p w14:paraId="42239E0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6B715857"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656E27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E3BAA00"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51F5C50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U*</w:t>
            </w:r>
          </w:p>
        </w:tc>
        <w:tc>
          <w:tcPr>
            <w:tcW w:w="243" w:type="pct"/>
          </w:tcPr>
          <w:p w14:paraId="5C9551B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76D036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C28F83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2AC70F6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31A5B4F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r>
      <w:tr w:rsidR="007E0ABC" w:rsidRPr="009120B5" w14:paraId="65CCE88B" w14:textId="77777777" w:rsidTr="0070353D">
        <w:trPr>
          <w:trHeight w:val="511"/>
        </w:trPr>
        <w:tc>
          <w:tcPr>
            <w:cnfStyle w:val="001000000000" w:firstRow="0" w:lastRow="0" w:firstColumn="1" w:lastColumn="0" w:oddVBand="0" w:evenVBand="0" w:oddHBand="0" w:evenHBand="0" w:firstRowFirstColumn="0" w:firstRowLastColumn="0" w:lastRowFirstColumn="0" w:lastRowLastColumn="0"/>
            <w:tcW w:w="219" w:type="pct"/>
          </w:tcPr>
          <w:p w14:paraId="776F92E7" w14:textId="77777777" w:rsidR="007E0ABC" w:rsidRPr="00DF4B54" w:rsidRDefault="007E0ABC" w:rsidP="0070353D">
            <w:pPr>
              <w:jc w:val="center"/>
              <w:rPr>
                <w:rFonts w:asciiTheme="minorHAnsi" w:hAnsiTheme="minorHAnsi" w:cstheme="minorHAnsi"/>
                <w:b w:val="0"/>
                <w:bCs w:val="0"/>
                <w:sz w:val="18"/>
                <w:szCs w:val="18"/>
              </w:rPr>
            </w:pPr>
            <w:r w:rsidRPr="007C0910">
              <w:rPr>
                <w:rFonts w:asciiTheme="minorHAnsi" w:hAnsiTheme="minorHAnsi" w:cstheme="minorHAnsi"/>
                <w:b w:val="0"/>
                <w:bCs w:val="0"/>
                <w:color w:val="auto"/>
                <w:sz w:val="18"/>
                <w:szCs w:val="18"/>
              </w:rPr>
              <w:t>5</w:t>
            </w:r>
          </w:p>
        </w:tc>
        <w:tc>
          <w:tcPr>
            <w:tcW w:w="575" w:type="pct"/>
            <w:vAlign w:val="center"/>
          </w:tcPr>
          <w:p w14:paraId="0E63905F"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18"/>
                <w:szCs w:val="18"/>
              </w:rPr>
            </w:pPr>
            <w:r w:rsidRPr="00DF4B54">
              <w:rPr>
                <w:rFonts w:asciiTheme="minorHAnsi" w:eastAsiaTheme="minorHAnsi" w:hAnsiTheme="minorHAnsi"/>
                <w:color w:val="auto"/>
                <w:sz w:val="18"/>
                <w:szCs w:val="18"/>
              </w:rPr>
              <w:t>Williams et al (2021)</w:t>
            </w:r>
          </w:p>
        </w:tc>
        <w:tc>
          <w:tcPr>
            <w:tcW w:w="450" w:type="pct"/>
            <w:vAlign w:val="center"/>
          </w:tcPr>
          <w:p w14:paraId="1CA64815"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DF4B54">
              <w:rPr>
                <w:rFonts w:asciiTheme="minorHAnsi" w:hAnsiTheme="minorHAnsi"/>
                <w:color w:val="000000"/>
                <w:sz w:val="18"/>
                <w:szCs w:val="18"/>
              </w:rPr>
              <w:t>26 FND</w:t>
            </w:r>
          </w:p>
          <w:p w14:paraId="3228109E"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DF4B54">
              <w:rPr>
                <w:rFonts w:asciiTheme="minorHAnsi" w:hAnsiTheme="minorHAnsi"/>
                <w:color w:val="000000"/>
                <w:sz w:val="18"/>
                <w:szCs w:val="18"/>
              </w:rPr>
              <w:t>27 HC</w:t>
            </w:r>
          </w:p>
        </w:tc>
        <w:tc>
          <w:tcPr>
            <w:tcW w:w="1569" w:type="pct"/>
          </w:tcPr>
          <w:p w14:paraId="46123FB6"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‘All available clinical evidence’</w:t>
            </w:r>
          </w:p>
          <w:p w14:paraId="4522F971"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 xml:space="preserve">Reviewed by consultant neurologists </w:t>
            </w:r>
          </w:p>
        </w:tc>
        <w:tc>
          <w:tcPr>
            <w:tcW w:w="243" w:type="pct"/>
          </w:tcPr>
          <w:p w14:paraId="69C83319"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N</w:t>
            </w:r>
          </w:p>
        </w:tc>
        <w:tc>
          <w:tcPr>
            <w:tcW w:w="243" w:type="pct"/>
          </w:tcPr>
          <w:p w14:paraId="405D3820"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Y</w:t>
            </w:r>
          </w:p>
        </w:tc>
        <w:tc>
          <w:tcPr>
            <w:tcW w:w="243" w:type="pct"/>
          </w:tcPr>
          <w:p w14:paraId="533EE8A2"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N</w:t>
            </w:r>
          </w:p>
        </w:tc>
        <w:tc>
          <w:tcPr>
            <w:tcW w:w="243" w:type="pct"/>
          </w:tcPr>
          <w:p w14:paraId="2F6F73DB"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Y</w:t>
            </w:r>
          </w:p>
        </w:tc>
        <w:tc>
          <w:tcPr>
            <w:tcW w:w="243" w:type="pct"/>
          </w:tcPr>
          <w:p w14:paraId="61BC6CB4"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N</w:t>
            </w:r>
          </w:p>
        </w:tc>
        <w:tc>
          <w:tcPr>
            <w:tcW w:w="243" w:type="pct"/>
          </w:tcPr>
          <w:p w14:paraId="14A30E8F"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Y</w:t>
            </w:r>
          </w:p>
        </w:tc>
        <w:tc>
          <w:tcPr>
            <w:tcW w:w="243" w:type="pct"/>
          </w:tcPr>
          <w:p w14:paraId="4E723D45"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Y</w:t>
            </w:r>
          </w:p>
        </w:tc>
        <w:tc>
          <w:tcPr>
            <w:tcW w:w="243" w:type="pct"/>
          </w:tcPr>
          <w:p w14:paraId="0FA5582F"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N</w:t>
            </w:r>
          </w:p>
        </w:tc>
        <w:tc>
          <w:tcPr>
            <w:tcW w:w="243" w:type="pct"/>
          </w:tcPr>
          <w:p w14:paraId="5534CDED" w14:textId="77777777" w:rsidR="007E0ABC" w:rsidRPr="00DF4B54"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DF4B54">
              <w:rPr>
                <w:rFonts w:asciiTheme="minorHAnsi" w:hAnsiTheme="minorHAnsi" w:cstheme="minorHAnsi"/>
                <w:color w:val="auto"/>
                <w:sz w:val="18"/>
                <w:szCs w:val="18"/>
              </w:rPr>
              <w:t>N</w:t>
            </w:r>
          </w:p>
        </w:tc>
      </w:tr>
      <w:tr w:rsidR="007E0ABC" w:rsidRPr="009120B5" w14:paraId="4528CDBD" w14:textId="77777777" w:rsidTr="0070353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9" w:type="pct"/>
          </w:tcPr>
          <w:p w14:paraId="01020879"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6</w:t>
            </w:r>
          </w:p>
        </w:tc>
        <w:tc>
          <w:tcPr>
            <w:tcW w:w="575" w:type="pct"/>
          </w:tcPr>
          <w:p w14:paraId="460BB39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Pick, Mellers &amp; Goldstein (2018)</w:t>
            </w:r>
          </w:p>
        </w:tc>
        <w:tc>
          <w:tcPr>
            <w:tcW w:w="450" w:type="pct"/>
          </w:tcPr>
          <w:p w14:paraId="49F68DF0"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39 PNES</w:t>
            </w:r>
          </w:p>
          <w:p w14:paraId="12B017D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42 HC</w:t>
            </w:r>
          </w:p>
        </w:tc>
        <w:tc>
          <w:tcPr>
            <w:tcW w:w="1569" w:type="pct"/>
          </w:tcPr>
          <w:p w14:paraId="088E686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5A48B340"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2118B0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6101B4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12F4784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7B6CF5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4B3D72D5"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F6B25A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1C8F5992"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426C05D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599FF705" w14:textId="77777777" w:rsidTr="0070353D">
        <w:trPr>
          <w:trHeight w:val="767"/>
        </w:trPr>
        <w:tc>
          <w:tcPr>
            <w:cnfStyle w:val="001000000000" w:firstRow="0" w:lastRow="0" w:firstColumn="1" w:lastColumn="0" w:oddVBand="0" w:evenVBand="0" w:oddHBand="0" w:evenHBand="0" w:firstRowFirstColumn="0" w:firstRowLastColumn="0" w:lastRowFirstColumn="0" w:lastRowLastColumn="0"/>
            <w:tcW w:w="219" w:type="pct"/>
          </w:tcPr>
          <w:p w14:paraId="4969B42F"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7</w:t>
            </w:r>
          </w:p>
        </w:tc>
        <w:tc>
          <w:tcPr>
            <w:tcW w:w="575" w:type="pct"/>
          </w:tcPr>
          <w:p w14:paraId="773257D2"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Apazoglou et al (2017)</w:t>
            </w:r>
          </w:p>
        </w:tc>
        <w:tc>
          <w:tcPr>
            <w:tcW w:w="450" w:type="pct"/>
          </w:tcPr>
          <w:p w14:paraId="616010F1"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16 FMD</w:t>
            </w:r>
          </w:p>
          <w:p w14:paraId="3D76DEE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15 HC</w:t>
            </w:r>
          </w:p>
        </w:tc>
        <w:tc>
          <w:tcPr>
            <w:tcW w:w="1569" w:type="pct"/>
          </w:tcPr>
          <w:p w14:paraId="1452B06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DSM-5</w:t>
            </w:r>
          </w:p>
          <w:p w14:paraId="4345D00F"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Board certified neurologist confirmation of positive symptoms</w:t>
            </w:r>
          </w:p>
        </w:tc>
        <w:tc>
          <w:tcPr>
            <w:tcW w:w="243" w:type="pct"/>
          </w:tcPr>
          <w:p w14:paraId="684BA038"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c>
          <w:tcPr>
            <w:tcW w:w="243" w:type="pct"/>
          </w:tcPr>
          <w:p w14:paraId="384E7D3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6260D3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CD57182"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3707E76"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1DB066FC"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136B9D8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286FE90"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FE0AED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712AED40" w14:textId="77777777" w:rsidTr="0070353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9" w:type="pct"/>
          </w:tcPr>
          <w:p w14:paraId="68D46C41"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lastRenderedPageBreak/>
              <w:t>8</w:t>
            </w:r>
          </w:p>
        </w:tc>
        <w:tc>
          <w:tcPr>
            <w:tcW w:w="575" w:type="pct"/>
          </w:tcPr>
          <w:p w14:paraId="3849F9F7"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Maurer et al (2015)</w:t>
            </w:r>
          </w:p>
        </w:tc>
        <w:tc>
          <w:tcPr>
            <w:tcW w:w="450" w:type="pct"/>
          </w:tcPr>
          <w:p w14:paraId="09075858"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33 FMD</w:t>
            </w:r>
          </w:p>
          <w:p w14:paraId="79D4D2C0"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33 HC</w:t>
            </w:r>
          </w:p>
        </w:tc>
        <w:tc>
          <w:tcPr>
            <w:tcW w:w="1569" w:type="pct"/>
          </w:tcPr>
          <w:p w14:paraId="74A6051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 xml:space="preserve">"Clinically definite" </w:t>
            </w:r>
          </w:p>
          <w:p w14:paraId="201E0838"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Williams et al., 1995</w:t>
            </w:r>
          </w:p>
        </w:tc>
        <w:tc>
          <w:tcPr>
            <w:tcW w:w="243" w:type="pct"/>
          </w:tcPr>
          <w:p w14:paraId="3B2DFD1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c>
          <w:tcPr>
            <w:tcW w:w="243" w:type="pct"/>
          </w:tcPr>
          <w:p w14:paraId="6E54719D"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8978EB2"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94A037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17743DB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17103AD"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7A6EE65"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A147DC4"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F29C9A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5184B7BF" w14:textId="77777777" w:rsidTr="0070353D">
        <w:trPr>
          <w:trHeight w:val="511"/>
        </w:trPr>
        <w:tc>
          <w:tcPr>
            <w:cnfStyle w:val="001000000000" w:firstRow="0" w:lastRow="0" w:firstColumn="1" w:lastColumn="0" w:oddVBand="0" w:evenVBand="0" w:oddHBand="0" w:evenHBand="0" w:firstRowFirstColumn="0" w:firstRowLastColumn="0" w:lastRowFirstColumn="0" w:lastRowLastColumn="0"/>
            <w:tcW w:w="219" w:type="pct"/>
          </w:tcPr>
          <w:p w14:paraId="16DCB6AD"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9</w:t>
            </w:r>
          </w:p>
        </w:tc>
        <w:tc>
          <w:tcPr>
            <w:tcW w:w="575" w:type="pct"/>
          </w:tcPr>
          <w:p w14:paraId="2C58B93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roofErr w:type="spellStart"/>
            <w:r w:rsidRPr="009120B5">
              <w:rPr>
                <w:rFonts w:asciiTheme="minorHAnsi" w:hAnsiTheme="minorHAnsi" w:cstheme="minorHAnsi"/>
                <w:color w:val="auto"/>
                <w:sz w:val="18"/>
                <w:szCs w:val="18"/>
              </w:rPr>
              <w:t>Allendorfer</w:t>
            </w:r>
            <w:proofErr w:type="spellEnd"/>
            <w:r w:rsidRPr="009120B5">
              <w:rPr>
                <w:rFonts w:asciiTheme="minorHAnsi" w:hAnsiTheme="minorHAnsi" w:cstheme="minorHAnsi"/>
                <w:color w:val="auto"/>
                <w:sz w:val="18"/>
                <w:szCs w:val="18"/>
              </w:rPr>
              <w:t xml:space="preserve"> et al (2019)</w:t>
            </w:r>
          </w:p>
        </w:tc>
        <w:tc>
          <w:tcPr>
            <w:tcW w:w="450" w:type="pct"/>
          </w:tcPr>
          <w:p w14:paraId="62C6D09E"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12 PNES</w:t>
            </w:r>
          </w:p>
          <w:p w14:paraId="003E227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12 HC</w:t>
            </w:r>
          </w:p>
        </w:tc>
        <w:tc>
          <w:tcPr>
            <w:tcW w:w="1569" w:type="pct"/>
          </w:tcPr>
          <w:p w14:paraId="6ABD7D6E"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0281E060"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B896498"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0E4EB0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1918FA7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E4D13AC"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1DF89E0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5D345C9"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52928A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47097971"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544A94D9" w14:textId="77777777" w:rsidTr="0070353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9" w:type="pct"/>
          </w:tcPr>
          <w:p w14:paraId="6B89F01A" w14:textId="77777777" w:rsidR="007E0ABC" w:rsidRPr="009120B5" w:rsidRDefault="007E0ABC" w:rsidP="0070353D">
            <w:pPr>
              <w:jc w:val="center"/>
              <w:rPr>
                <w:rFonts w:asciiTheme="minorHAnsi" w:hAnsiTheme="minorHAnsi" w:cstheme="minorHAnsi"/>
                <w:color w:val="auto"/>
                <w:sz w:val="18"/>
                <w:szCs w:val="18"/>
              </w:rPr>
            </w:pPr>
            <w:r w:rsidRPr="009120B5">
              <w:rPr>
                <w:rFonts w:asciiTheme="minorHAnsi" w:hAnsiTheme="minorHAnsi" w:cstheme="minorHAnsi"/>
                <w:color w:val="auto"/>
                <w:sz w:val="18"/>
                <w:szCs w:val="18"/>
              </w:rPr>
              <w:t>1</w:t>
            </w:r>
            <w:r>
              <w:rPr>
                <w:rFonts w:asciiTheme="minorHAnsi" w:hAnsiTheme="minorHAnsi" w:cstheme="minorHAnsi"/>
                <w:color w:val="auto"/>
                <w:sz w:val="18"/>
                <w:szCs w:val="18"/>
              </w:rPr>
              <w:t>0</w:t>
            </w:r>
          </w:p>
        </w:tc>
        <w:tc>
          <w:tcPr>
            <w:tcW w:w="575" w:type="pct"/>
          </w:tcPr>
          <w:p w14:paraId="25CD0DD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Ricciardi et al (2016)</w:t>
            </w:r>
          </w:p>
        </w:tc>
        <w:tc>
          <w:tcPr>
            <w:tcW w:w="450" w:type="pct"/>
          </w:tcPr>
          <w:p w14:paraId="46996080"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16 FMD</w:t>
            </w:r>
          </w:p>
          <w:p w14:paraId="0517F575"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17 HC</w:t>
            </w:r>
          </w:p>
        </w:tc>
        <w:tc>
          <w:tcPr>
            <w:tcW w:w="1569" w:type="pct"/>
          </w:tcPr>
          <w:p w14:paraId="03302CA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 xml:space="preserve">"Clinically established" </w:t>
            </w:r>
          </w:p>
          <w:p w14:paraId="6A2D970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9120B5">
              <w:rPr>
                <w:rFonts w:asciiTheme="minorHAnsi" w:hAnsiTheme="minorHAnsi" w:cstheme="minorHAnsi"/>
                <w:color w:val="auto"/>
                <w:sz w:val="18"/>
                <w:szCs w:val="18"/>
              </w:rPr>
              <w:t>Fahn</w:t>
            </w:r>
            <w:proofErr w:type="spellEnd"/>
            <w:r w:rsidRPr="009120B5">
              <w:rPr>
                <w:rFonts w:asciiTheme="minorHAnsi" w:hAnsiTheme="minorHAnsi" w:cstheme="minorHAnsi"/>
                <w:color w:val="auto"/>
                <w:sz w:val="18"/>
                <w:szCs w:val="18"/>
              </w:rPr>
              <w:t xml:space="preserve"> and Williams., 1988</w:t>
            </w:r>
          </w:p>
        </w:tc>
        <w:tc>
          <w:tcPr>
            <w:tcW w:w="243" w:type="pct"/>
          </w:tcPr>
          <w:p w14:paraId="720890C8"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c>
          <w:tcPr>
            <w:tcW w:w="243" w:type="pct"/>
          </w:tcPr>
          <w:p w14:paraId="4DA74F4D"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269A268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02C5A014"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29AE33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B0BF83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53F6114"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B7C0E1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135495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r>
      <w:tr w:rsidR="007E0ABC" w:rsidRPr="009120B5" w14:paraId="3A16D64F" w14:textId="77777777" w:rsidTr="0070353D">
        <w:trPr>
          <w:trHeight w:val="492"/>
        </w:trPr>
        <w:tc>
          <w:tcPr>
            <w:cnfStyle w:val="001000000000" w:firstRow="0" w:lastRow="0" w:firstColumn="1" w:lastColumn="0" w:oddVBand="0" w:evenVBand="0" w:oddHBand="0" w:evenHBand="0" w:firstRowFirstColumn="0" w:firstRowLastColumn="0" w:lastRowFirstColumn="0" w:lastRowLastColumn="0"/>
            <w:tcW w:w="219" w:type="pct"/>
          </w:tcPr>
          <w:p w14:paraId="4C3D1C4D"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11</w:t>
            </w:r>
          </w:p>
        </w:tc>
        <w:tc>
          <w:tcPr>
            <w:tcW w:w="575" w:type="pct"/>
          </w:tcPr>
          <w:p w14:paraId="5F739D26"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Parees et al (2012)</w:t>
            </w:r>
          </w:p>
        </w:tc>
        <w:tc>
          <w:tcPr>
            <w:tcW w:w="450" w:type="pct"/>
          </w:tcPr>
          <w:p w14:paraId="71609936"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10 FT</w:t>
            </w:r>
          </w:p>
          <w:p w14:paraId="21E2A7BA"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 xml:space="preserve">8 </w:t>
            </w:r>
            <w:proofErr w:type="spellStart"/>
            <w:r w:rsidRPr="009120B5">
              <w:rPr>
                <w:rFonts w:asciiTheme="minorHAnsi" w:hAnsiTheme="minorHAnsi" w:cstheme="minorHAnsi"/>
                <w:color w:val="auto"/>
                <w:sz w:val="18"/>
                <w:szCs w:val="18"/>
              </w:rPr>
              <w:t>OrgT</w:t>
            </w:r>
            <w:proofErr w:type="spellEnd"/>
          </w:p>
        </w:tc>
        <w:tc>
          <w:tcPr>
            <w:tcW w:w="1569" w:type="pct"/>
          </w:tcPr>
          <w:p w14:paraId="0F494ED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"Clinically established" FT</w:t>
            </w:r>
          </w:p>
          <w:p w14:paraId="0A620711"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roofErr w:type="spellStart"/>
            <w:r w:rsidRPr="009120B5">
              <w:rPr>
                <w:rFonts w:asciiTheme="minorHAnsi" w:hAnsiTheme="minorHAnsi" w:cstheme="minorHAnsi"/>
                <w:color w:val="auto"/>
                <w:sz w:val="18"/>
                <w:szCs w:val="18"/>
              </w:rPr>
              <w:t>Fahn</w:t>
            </w:r>
            <w:proofErr w:type="spellEnd"/>
            <w:r w:rsidRPr="009120B5">
              <w:rPr>
                <w:rFonts w:asciiTheme="minorHAnsi" w:hAnsiTheme="minorHAnsi" w:cstheme="minorHAnsi"/>
                <w:color w:val="auto"/>
                <w:sz w:val="18"/>
                <w:szCs w:val="18"/>
              </w:rPr>
              <w:t xml:space="preserve"> and Williams, 1988</w:t>
            </w:r>
          </w:p>
        </w:tc>
        <w:tc>
          <w:tcPr>
            <w:tcW w:w="243" w:type="pct"/>
          </w:tcPr>
          <w:p w14:paraId="6DB5C7CD"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c>
          <w:tcPr>
            <w:tcW w:w="243" w:type="pct"/>
          </w:tcPr>
          <w:p w14:paraId="71BEFF40"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7533D26"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5F5DC13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2ACAD9E3"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c>
          <w:tcPr>
            <w:tcW w:w="243" w:type="pct"/>
          </w:tcPr>
          <w:p w14:paraId="4315B10E"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2364CE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830826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807460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r>
      <w:tr w:rsidR="007E0ABC" w:rsidRPr="009120B5" w14:paraId="4D796565" w14:textId="77777777" w:rsidTr="0070353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9" w:type="pct"/>
          </w:tcPr>
          <w:p w14:paraId="19286506"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12</w:t>
            </w:r>
          </w:p>
        </w:tc>
        <w:tc>
          <w:tcPr>
            <w:tcW w:w="575" w:type="pct"/>
          </w:tcPr>
          <w:p w14:paraId="3DB8663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Roberts et al (2020)</w:t>
            </w:r>
          </w:p>
        </w:tc>
        <w:tc>
          <w:tcPr>
            <w:tcW w:w="450" w:type="pct"/>
          </w:tcPr>
          <w:p w14:paraId="6636B11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11 PNES</w:t>
            </w:r>
          </w:p>
          <w:p w14:paraId="5B356A8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49 trauma controls</w:t>
            </w:r>
          </w:p>
        </w:tc>
        <w:tc>
          <w:tcPr>
            <w:tcW w:w="1569" w:type="pct"/>
          </w:tcPr>
          <w:p w14:paraId="2B453B80"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1A0871A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0FCA01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6970B7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BA0B8E3"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FE1CDA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49C77B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1AA33D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994E447"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400651B5"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463A0D61" w14:textId="77777777" w:rsidTr="0070353D">
        <w:trPr>
          <w:trHeight w:val="511"/>
        </w:trPr>
        <w:tc>
          <w:tcPr>
            <w:cnfStyle w:val="001000000000" w:firstRow="0" w:lastRow="0" w:firstColumn="1" w:lastColumn="0" w:oddVBand="0" w:evenVBand="0" w:oddHBand="0" w:evenHBand="0" w:firstRowFirstColumn="0" w:firstRowLastColumn="0" w:lastRowFirstColumn="0" w:lastRowLastColumn="0"/>
            <w:tcW w:w="219" w:type="pct"/>
          </w:tcPr>
          <w:p w14:paraId="4533A8F6"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13</w:t>
            </w:r>
          </w:p>
        </w:tc>
        <w:tc>
          <w:tcPr>
            <w:tcW w:w="575" w:type="pct"/>
          </w:tcPr>
          <w:p w14:paraId="69E5B3F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Kramer et al (2019)</w:t>
            </w:r>
          </w:p>
        </w:tc>
        <w:tc>
          <w:tcPr>
            <w:tcW w:w="450" w:type="pct"/>
          </w:tcPr>
          <w:p w14:paraId="2C35F953"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14 FT</w:t>
            </w:r>
          </w:p>
          <w:p w14:paraId="2DAAC2E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 xml:space="preserve">19 </w:t>
            </w:r>
            <w:proofErr w:type="spellStart"/>
            <w:r w:rsidRPr="009120B5">
              <w:rPr>
                <w:rFonts w:asciiTheme="minorHAnsi" w:hAnsiTheme="minorHAnsi" w:cstheme="minorHAnsi"/>
                <w:color w:val="auto"/>
                <w:sz w:val="18"/>
                <w:szCs w:val="18"/>
              </w:rPr>
              <w:t>OrgT</w:t>
            </w:r>
            <w:proofErr w:type="spellEnd"/>
          </w:p>
        </w:tc>
        <w:tc>
          <w:tcPr>
            <w:tcW w:w="1569" w:type="pct"/>
          </w:tcPr>
          <w:p w14:paraId="0B036139"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"Clinically probable” FMD</w:t>
            </w:r>
          </w:p>
          <w:p w14:paraId="1BB58A9F"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Williams et al., 1995</w:t>
            </w:r>
          </w:p>
        </w:tc>
        <w:tc>
          <w:tcPr>
            <w:tcW w:w="243" w:type="pct"/>
          </w:tcPr>
          <w:p w14:paraId="1E93B11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c>
          <w:tcPr>
            <w:tcW w:w="243" w:type="pct"/>
          </w:tcPr>
          <w:p w14:paraId="22FE2D41"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c>
          <w:tcPr>
            <w:tcW w:w="243" w:type="pct"/>
          </w:tcPr>
          <w:p w14:paraId="0C1AE54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7EDB171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U*</w:t>
            </w:r>
          </w:p>
        </w:tc>
        <w:tc>
          <w:tcPr>
            <w:tcW w:w="243" w:type="pct"/>
          </w:tcPr>
          <w:p w14:paraId="36115A3E"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52BFDFA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25F3EF6C"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1A34CF5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7702EC8E"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w:t>
            </w:r>
          </w:p>
        </w:tc>
      </w:tr>
      <w:tr w:rsidR="007E0ABC" w:rsidRPr="009120B5" w14:paraId="4BC88C3D" w14:textId="77777777" w:rsidTr="0070353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9" w:type="pct"/>
          </w:tcPr>
          <w:p w14:paraId="3C201D94"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14</w:t>
            </w:r>
          </w:p>
        </w:tc>
        <w:tc>
          <w:tcPr>
            <w:tcW w:w="575" w:type="pct"/>
          </w:tcPr>
          <w:p w14:paraId="371B7A5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9120B5">
              <w:rPr>
                <w:rFonts w:asciiTheme="minorHAnsi" w:hAnsiTheme="minorHAnsi" w:cstheme="minorHAnsi"/>
                <w:color w:val="auto"/>
                <w:sz w:val="18"/>
                <w:szCs w:val="18"/>
              </w:rPr>
              <w:t>Bakvis</w:t>
            </w:r>
            <w:proofErr w:type="spellEnd"/>
            <w:r w:rsidRPr="009120B5">
              <w:rPr>
                <w:rFonts w:asciiTheme="minorHAnsi" w:hAnsiTheme="minorHAnsi" w:cstheme="minorHAnsi"/>
                <w:color w:val="auto"/>
                <w:sz w:val="18"/>
                <w:szCs w:val="18"/>
              </w:rPr>
              <w:t xml:space="preserve"> et al (2010)</w:t>
            </w:r>
          </w:p>
        </w:tc>
        <w:tc>
          <w:tcPr>
            <w:tcW w:w="450" w:type="pct"/>
          </w:tcPr>
          <w:p w14:paraId="3431A264"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18 PNES</w:t>
            </w:r>
          </w:p>
          <w:p w14:paraId="6F2FAC0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19 HC</w:t>
            </w:r>
          </w:p>
        </w:tc>
        <w:tc>
          <w:tcPr>
            <w:tcW w:w="1569" w:type="pct"/>
          </w:tcPr>
          <w:p w14:paraId="12E81A6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6D49DDB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5CBE929"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ABC938D"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F7550E7"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2AD8F1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5757A28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803C75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403A728"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3B306CB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4A93930E" w14:textId="77777777" w:rsidTr="0070353D">
        <w:trPr>
          <w:trHeight w:val="492"/>
        </w:trPr>
        <w:tc>
          <w:tcPr>
            <w:cnfStyle w:val="001000000000" w:firstRow="0" w:lastRow="0" w:firstColumn="1" w:lastColumn="0" w:oddVBand="0" w:evenVBand="0" w:oddHBand="0" w:evenHBand="0" w:firstRowFirstColumn="0" w:firstRowLastColumn="0" w:lastRowFirstColumn="0" w:lastRowLastColumn="0"/>
            <w:tcW w:w="219" w:type="pct"/>
          </w:tcPr>
          <w:p w14:paraId="67B8EA7B"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15</w:t>
            </w:r>
          </w:p>
        </w:tc>
        <w:tc>
          <w:tcPr>
            <w:tcW w:w="575" w:type="pct"/>
          </w:tcPr>
          <w:p w14:paraId="3C086739"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proofErr w:type="spellStart"/>
            <w:r w:rsidRPr="009120B5">
              <w:rPr>
                <w:rFonts w:asciiTheme="minorHAnsi" w:hAnsiTheme="minorHAnsi" w:cstheme="minorHAnsi"/>
                <w:color w:val="auto"/>
                <w:sz w:val="18"/>
                <w:szCs w:val="18"/>
              </w:rPr>
              <w:t>Bakvis</w:t>
            </w:r>
            <w:proofErr w:type="spellEnd"/>
            <w:r w:rsidRPr="009120B5">
              <w:rPr>
                <w:rFonts w:asciiTheme="minorHAnsi" w:hAnsiTheme="minorHAnsi" w:cstheme="minorHAnsi"/>
                <w:color w:val="auto"/>
                <w:sz w:val="18"/>
                <w:szCs w:val="18"/>
              </w:rPr>
              <w:t xml:space="preserve"> et al (2009)</w:t>
            </w:r>
          </w:p>
        </w:tc>
        <w:tc>
          <w:tcPr>
            <w:tcW w:w="450" w:type="pct"/>
          </w:tcPr>
          <w:p w14:paraId="296CB6D2"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19 PNES</w:t>
            </w:r>
          </w:p>
          <w:p w14:paraId="4AAE6A35"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20 HC</w:t>
            </w:r>
          </w:p>
        </w:tc>
        <w:tc>
          <w:tcPr>
            <w:tcW w:w="1569" w:type="pct"/>
          </w:tcPr>
          <w:p w14:paraId="202D5DE1"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0777466D"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5D5743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8D8AA7D"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5B1159F2"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3B47F4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7E83322F"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A29372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A35933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45E23E3"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6FD46E98" w14:textId="77777777" w:rsidTr="0070353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9" w:type="pct"/>
          </w:tcPr>
          <w:p w14:paraId="1A7D66E4"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16</w:t>
            </w:r>
          </w:p>
        </w:tc>
        <w:tc>
          <w:tcPr>
            <w:tcW w:w="575" w:type="pct"/>
          </w:tcPr>
          <w:p w14:paraId="57E0F465"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Roberts et al (2012)</w:t>
            </w:r>
          </w:p>
        </w:tc>
        <w:tc>
          <w:tcPr>
            <w:tcW w:w="450" w:type="pct"/>
          </w:tcPr>
          <w:p w14:paraId="6C0CB00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18 PNES</w:t>
            </w:r>
          </w:p>
          <w:p w14:paraId="3DCA584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trauma controls</w:t>
            </w:r>
          </w:p>
        </w:tc>
        <w:tc>
          <w:tcPr>
            <w:tcW w:w="1569" w:type="pct"/>
          </w:tcPr>
          <w:p w14:paraId="16AA9F1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tc>
        <w:tc>
          <w:tcPr>
            <w:tcW w:w="243" w:type="pct"/>
          </w:tcPr>
          <w:p w14:paraId="2AA6581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A8EA500"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D5CDCB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4E8D6CD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2296668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7EE90A42"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D3B7A6A"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7DD418D5"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4CC9ABE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r>
      <w:tr w:rsidR="007E0ABC" w:rsidRPr="009120B5" w14:paraId="58BD9E80" w14:textId="77777777" w:rsidTr="0070353D">
        <w:trPr>
          <w:trHeight w:val="511"/>
        </w:trPr>
        <w:tc>
          <w:tcPr>
            <w:cnfStyle w:val="001000000000" w:firstRow="0" w:lastRow="0" w:firstColumn="1" w:lastColumn="0" w:oddVBand="0" w:evenVBand="0" w:oddHBand="0" w:evenHBand="0" w:firstRowFirstColumn="0" w:firstRowLastColumn="0" w:lastRowFirstColumn="0" w:lastRowLastColumn="0"/>
            <w:tcW w:w="219" w:type="pct"/>
          </w:tcPr>
          <w:p w14:paraId="43A3A778"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17</w:t>
            </w:r>
          </w:p>
        </w:tc>
        <w:tc>
          <w:tcPr>
            <w:tcW w:w="575" w:type="pct"/>
            <w:vAlign w:val="center"/>
          </w:tcPr>
          <w:p w14:paraId="785C6FF2"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18"/>
                <w:szCs w:val="18"/>
              </w:rPr>
            </w:pPr>
            <w:proofErr w:type="spellStart"/>
            <w:r w:rsidRPr="009120B5">
              <w:rPr>
                <w:rFonts w:asciiTheme="minorHAnsi" w:eastAsiaTheme="minorHAnsi" w:hAnsiTheme="minorHAnsi"/>
                <w:color w:val="auto"/>
                <w:sz w:val="18"/>
                <w:szCs w:val="18"/>
              </w:rPr>
              <w:t>Koreki</w:t>
            </w:r>
            <w:proofErr w:type="spellEnd"/>
            <w:r w:rsidRPr="009120B5">
              <w:rPr>
                <w:rFonts w:asciiTheme="minorHAnsi" w:eastAsiaTheme="minorHAnsi" w:hAnsiTheme="minorHAnsi"/>
                <w:color w:val="auto"/>
                <w:sz w:val="18"/>
                <w:szCs w:val="18"/>
              </w:rPr>
              <w:t xml:space="preserve"> et al (20</w:t>
            </w:r>
            <w:r>
              <w:rPr>
                <w:rFonts w:asciiTheme="minorHAnsi" w:eastAsiaTheme="minorHAnsi" w:hAnsiTheme="minorHAnsi"/>
                <w:color w:val="auto"/>
                <w:sz w:val="18"/>
                <w:szCs w:val="18"/>
              </w:rPr>
              <w:t>20</w:t>
            </w:r>
            <w:r w:rsidRPr="009120B5">
              <w:rPr>
                <w:rFonts w:asciiTheme="minorHAnsi" w:eastAsiaTheme="minorHAnsi" w:hAnsiTheme="minorHAnsi"/>
                <w:color w:val="auto"/>
                <w:sz w:val="18"/>
                <w:szCs w:val="18"/>
              </w:rPr>
              <w:t>)</w:t>
            </w:r>
          </w:p>
        </w:tc>
        <w:tc>
          <w:tcPr>
            <w:tcW w:w="450" w:type="pct"/>
            <w:vAlign w:val="center"/>
          </w:tcPr>
          <w:p w14:paraId="0D3F9074"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9120B5">
              <w:rPr>
                <w:rFonts w:asciiTheme="minorHAnsi" w:hAnsiTheme="minorHAnsi"/>
                <w:color w:val="000000"/>
                <w:sz w:val="18"/>
                <w:szCs w:val="18"/>
              </w:rPr>
              <w:t>41 PNES</w:t>
            </w:r>
          </w:p>
          <w:p w14:paraId="5A95573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9120B5">
              <w:rPr>
                <w:rFonts w:asciiTheme="minorHAnsi" w:hAnsiTheme="minorHAnsi"/>
                <w:color w:val="000000"/>
                <w:sz w:val="18"/>
                <w:szCs w:val="18"/>
              </w:rPr>
              <w:t>30 HC</w:t>
            </w:r>
          </w:p>
        </w:tc>
        <w:tc>
          <w:tcPr>
            <w:tcW w:w="1569" w:type="pct"/>
          </w:tcPr>
          <w:p w14:paraId="2E4048E7"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 xml:space="preserve"> “Clinically documented/established/probable” </w:t>
            </w:r>
          </w:p>
          <w:p w14:paraId="733990E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ILAE, 2013</w:t>
            </w:r>
          </w:p>
        </w:tc>
        <w:tc>
          <w:tcPr>
            <w:tcW w:w="243" w:type="pct"/>
          </w:tcPr>
          <w:p w14:paraId="027980C2"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0A4D4FD9"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2FCE23E"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4A804E03"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73DB06B"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4A5BEDA"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7597A40F"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57DBEBF"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540B836C" w14:textId="77777777" w:rsidR="007E0ABC" w:rsidRPr="009120B5" w:rsidRDefault="007E0ABC" w:rsidP="007035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r w:rsidR="007E0ABC" w:rsidRPr="009120B5" w14:paraId="25855530" w14:textId="77777777" w:rsidTr="0070353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9" w:type="pct"/>
          </w:tcPr>
          <w:p w14:paraId="7D766D49" w14:textId="77777777" w:rsidR="007E0ABC" w:rsidRPr="009120B5" w:rsidRDefault="007E0ABC" w:rsidP="0070353D">
            <w:pPr>
              <w:jc w:val="center"/>
              <w:rPr>
                <w:rFonts w:asciiTheme="minorHAnsi" w:hAnsiTheme="minorHAnsi" w:cstheme="minorHAnsi"/>
                <w:color w:val="auto"/>
                <w:sz w:val="18"/>
                <w:szCs w:val="18"/>
              </w:rPr>
            </w:pPr>
            <w:r>
              <w:rPr>
                <w:rFonts w:asciiTheme="minorHAnsi" w:hAnsiTheme="minorHAnsi" w:cstheme="minorHAnsi"/>
                <w:color w:val="auto"/>
                <w:sz w:val="18"/>
                <w:szCs w:val="18"/>
              </w:rPr>
              <w:t>18</w:t>
            </w:r>
          </w:p>
        </w:tc>
        <w:tc>
          <w:tcPr>
            <w:tcW w:w="575" w:type="pct"/>
            <w:vAlign w:val="center"/>
          </w:tcPr>
          <w:p w14:paraId="434B9317"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18"/>
                <w:szCs w:val="18"/>
              </w:rPr>
            </w:pPr>
            <w:r w:rsidRPr="009120B5">
              <w:rPr>
                <w:rFonts w:asciiTheme="minorHAnsi" w:eastAsiaTheme="minorHAnsi" w:hAnsiTheme="minorHAnsi"/>
                <w:color w:val="auto"/>
                <w:sz w:val="18"/>
                <w:szCs w:val="18"/>
              </w:rPr>
              <w:t>Herrero et al (2020)</w:t>
            </w:r>
          </w:p>
        </w:tc>
        <w:tc>
          <w:tcPr>
            <w:tcW w:w="450" w:type="pct"/>
            <w:vAlign w:val="center"/>
          </w:tcPr>
          <w:p w14:paraId="45569FB7"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9120B5">
              <w:rPr>
                <w:rFonts w:asciiTheme="minorHAnsi" w:hAnsiTheme="minorHAnsi"/>
                <w:color w:val="000000"/>
                <w:sz w:val="18"/>
                <w:szCs w:val="18"/>
              </w:rPr>
              <w:t>34 PNES</w:t>
            </w:r>
          </w:p>
          <w:p w14:paraId="2739F876"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9120B5">
              <w:rPr>
                <w:rFonts w:asciiTheme="minorHAnsi" w:hAnsiTheme="minorHAnsi"/>
                <w:color w:val="000000"/>
                <w:sz w:val="18"/>
                <w:szCs w:val="18"/>
              </w:rPr>
              <w:t>34 HC</w:t>
            </w:r>
          </w:p>
        </w:tc>
        <w:tc>
          <w:tcPr>
            <w:tcW w:w="1569" w:type="pct"/>
          </w:tcPr>
          <w:p w14:paraId="75FD9D8E"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Video-EEG</w:t>
            </w:r>
          </w:p>
          <w:p w14:paraId="1D9256DC"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43" w:type="pct"/>
          </w:tcPr>
          <w:p w14:paraId="121AFC95"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0589E9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2C9FFF8"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2A6DAE8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4CCC436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5343D87B"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6CD4DABF"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Y</w:t>
            </w:r>
          </w:p>
        </w:tc>
        <w:tc>
          <w:tcPr>
            <w:tcW w:w="243" w:type="pct"/>
          </w:tcPr>
          <w:p w14:paraId="3CD8B917"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c>
          <w:tcPr>
            <w:tcW w:w="243" w:type="pct"/>
          </w:tcPr>
          <w:p w14:paraId="614169D1" w14:textId="77777777" w:rsidR="007E0ABC" w:rsidRPr="009120B5" w:rsidRDefault="007E0ABC" w:rsidP="007035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9120B5">
              <w:rPr>
                <w:rFonts w:asciiTheme="minorHAnsi" w:hAnsiTheme="minorHAnsi" w:cstheme="minorHAnsi"/>
                <w:color w:val="auto"/>
                <w:sz w:val="18"/>
                <w:szCs w:val="18"/>
              </w:rPr>
              <w:t>N</w:t>
            </w:r>
          </w:p>
        </w:tc>
      </w:tr>
    </w:tbl>
    <w:p w14:paraId="0721D940" w14:textId="77777777" w:rsidR="007E0ABC" w:rsidRPr="009120B5" w:rsidRDefault="007E0ABC" w:rsidP="002674FC">
      <w:pPr>
        <w:jc w:val="center"/>
        <w:rPr>
          <w:rFonts w:asciiTheme="minorHAnsi" w:hAnsiTheme="minorHAnsi"/>
          <w:b/>
          <w:bCs/>
        </w:rPr>
      </w:pPr>
    </w:p>
    <w:p w14:paraId="38981250" w14:textId="77777777" w:rsidR="007E0ABC" w:rsidRDefault="007E0ABC" w:rsidP="007539DB">
      <w:pPr>
        <w:rPr>
          <w:rFonts w:ascii="Calibri" w:hAnsi="Calibri" w:cs="Calibri"/>
          <w:i/>
          <w:iCs/>
          <w:sz w:val="21"/>
          <w:szCs w:val="22"/>
        </w:rPr>
      </w:pPr>
      <w:r w:rsidRPr="009120B5">
        <w:rPr>
          <w:rFonts w:ascii="Calibri" w:hAnsi="Calibri" w:cs="Calibri"/>
          <w:i/>
          <w:iCs/>
          <w:sz w:val="21"/>
          <w:szCs w:val="22"/>
        </w:rPr>
        <w:t>A dash (“-”) represents inapplicable, or not included in the study. U* = unclear</w:t>
      </w:r>
    </w:p>
    <w:p w14:paraId="3D036B64" w14:textId="77777777" w:rsidR="007E0ABC" w:rsidRDefault="007E0ABC">
      <w:pPr>
        <w:rPr>
          <w:rFonts w:ascii="Calibri" w:hAnsi="Calibri" w:cs="Calibri"/>
          <w:i/>
          <w:iCs/>
          <w:sz w:val="21"/>
          <w:szCs w:val="22"/>
        </w:rPr>
      </w:pPr>
      <w:r>
        <w:rPr>
          <w:rFonts w:ascii="Calibri" w:hAnsi="Calibri" w:cs="Calibri"/>
          <w:i/>
          <w:iCs/>
          <w:sz w:val="21"/>
          <w:szCs w:val="22"/>
        </w:rPr>
        <w:br w:type="page"/>
      </w:r>
    </w:p>
    <w:p w14:paraId="473BBD7C" w14:textId="77777777" w:rsidR="007E0ABC" w:rsidRPr="009120B5" w:rsidRDefault="007E0ABC" w:rsidP="007539DB">
      <w:pPr>
        <w:rPr>
          <w:rFonts w:ascii="Calibri" w:hAnsi="Calibri" w:cs="Calibri"/>
          <w:i/>
          <w:iCs/>
          <w:sz w:val="21"/>
          <w:szCs w:val="22"/>
        </w:rPr>
      </w:pPr>
    </w:p>
    <w:p w14:paraId="59E115F0" w14:textId="77777777" w:rsidR="007E0ABC" w:rsidRPr="00716FF2" w:rsidRDefault="007E0ABC" w:rsidP="00716FF2">
      <w:pPr>
        <w:jc w:val="center"/>
      </w:pPr>
      <w:r w:rsidRPr="00716FF2">
        <w:t>Table 45. Categorisation of reviewed studies and collective subjective and objective measures utilised in the studies</w:t>
      </w:r>
    </w:p>
    <w:p w14:paraId="2B137480" w14:textId="77777777" w:rsidR="007E0ABC" w:rsidRPr="009120B5" w:rsidRDefault="007E0ABC">
      <w:pPr>
        <w:rPr>
          <w:rFonts w:asciiTheme="minorHAnsi" w:hAnsiTheme="minorHAnsi" w:cstheme="minorHAnsi"/>
        </w:rPr>
      </w:pPr>
    </w:p>
    <w:tbl>
      <w:tblPr>
        <w:tblStyle w:val="TableGridLight"/>
        <w:tblW w:w="5000" w:type="pct"/>
        <w:tblLook w:val="04A0" w:firstRow="1" w:lastRow="0" w:firstColumn="1" w:lastColumn="0" w:noHBand="0" w:noVBand="1"/>
      </w:tblPr>
      <w:tblGrid>
        <w:gridCol w:w="2970"/>
        <w:gridCol w:w="2912"/>
        <w:gridCol w:w="3128"/>
      </w:tblGrid>
      <w:tr w:rsidR="007E0ABC" w:rsidRPr="009120B5" w14:paraId="6530FAAA" w14:textId="77777777" w:rsidTr="00716FF2">
        <w:trPr>
          <w:trHeight w:val="397"/>
        </w:trPr>
        <w:tc>
          <w:tcPr>
            <w:tcW w:w="1104" w:type="pct"/>
            <w:tcBorders>
              <w:bottom w:val="single" w:sz="18" w:space="0" w:color="A5A5A5" w:themeColor="accent3"/>
              <w:right w:val="single" w:sz="18" w:space="0" w:color="A5A5A5" w:themeColor="accent3"/>
            </w:tcBorders>
            <w:shd w:val="clear" w:color="auto" w:fill="EDEDED" w:themeFill="accent3" w:themeFillTint="33"/>
          </w:tcPr>
          <w:p w14:paraId="246923F3" w14:textId="77777777" w:rsidR="007E0ABC" w:rsidRPr="009120B5" w:rsidRDefault="007E0ABC" w:rsidP="007E0ABC">
            <w:pPr>
              <w:spacing w:line="240" w:lineRule="auto"/>
              <w:rPr>
                <w:rFonts w:asciiTheme="minorHAnsi" w:hAnsiTheme="minorHAnsi" w:cstheme="minorHAnsi"/>
                <w:b/>
                <w:bCs/>
                <w:szCs w:val="20"/>
              </w:rPr>
            </w:pPr>
            <w:r w:rsidRPr="009120B5">
              <w:rPr>
                <w:rFonts w:asciiTheme="minorHAnsi" w:hAnsiTheme="minorHAnsi" w:cstheme="minorHAnsi"/>
                <w:b/>
                <w:bCs/>
                <w:szCs w:val="20"/>
              </w:rPr>
              <w:t>Study Category</w:t>
            </w:r>
          </w:p>
        </w:tc>
        <w:tc>
          <w:tcPr>
            <w:tcW w:w="1888" w:type="pct"/>
            <w:tcBorders>
              <w:left w:val="single" w:sz="18" w:space="0" w:color="A5A5A5" w:themeColor="accent3"/>
              <w:bottom w:val="single" w:sz="18" w:space="0" w:color="A5A5A5" w:themeColor="accent3"/>
            </w:tcBorders>
            <w:shd w:val="clear" w:color="auto" w:fill="EDEDED" w:themeFill="accent3" w:themeFillTint="33"/>
          </w:tcPr>
          <w:p w14:paraId="7094E5C2" w14:textId="77777777" w:rsidR="007E0ABC" w:rsidRPr="009120B5" w:rsidRDefault="007E0ABC" w:rsidP="007E0ABC">
            <w:pPr>
              <w:spacing w:line="240" w:lineRule="auto"/>
              <w:rPr>
                <w:rFonts w:asciiTheme="minorHAnsi" w:hAnsiTheme="minorHAnsi" w:cstheme="minorHAnsi"/>
                <w:b/>
                <w:bCs/>
                <w:szCs w:val="20"/>
              </w:rPr>
            </w:pPr>
            <w:r w:rsidRPr="009120B5">
              <w:rPr>
                <w:rFonts w:asciiTheme="minorHAnsi" w:hAnsiTheme="minorHAnsi" w:cstheme="minorHAnsi"/>
                <w:b/>
                <w:bCs/>
                <w:szCs w:val="20"/>
              </w:rPr>
              <w:t xml:space="preserve">Objective measures </w:t>
            </w:r>
          </w:p>
        </w:tc>
        <w:tc>
          <w:tcPr>
            <w:tcW w:w="2008" w:type="pct"/>
            <w:tcBorders>
              <w:bottom w:val="single" w:sz="18" w:space="0" w:color="A5A5A5" w:themeColor="accent3"/>
            </w:tcBorders>
            <w:shd w:val="clear" w:color="auto" w:fill="EDEDED" w:themeFill="accent3" w:themeFillTint="33"/>
          </w:tcPr>
          <w:p w14:paraId="1B3F446E" w14:textId="77777777" w:rsidR="007E0ABC" w:rsidRPr="009120B5" w:rsidRDefault="007E0ABC" w:rsidP="007E0ABC">
            <w:pPr>
              <w:spacing w:line="240" w:lineRule="auto"/>
              <w:rPr>
                <w:rFonts w:asciiTheme="minorHAnsi" w:hAnsiTheme="minorHAnsi" w:cstheme="minorHAnsi"/>
                <w:b/>
                <w:bCs/>
                <w:szCs w:val="20"/>
              </w:rPr>
            </w:pPr>
            <w:r w:rsidRPr="009120B5">
              <w:rPr>
                <w:rFonts w:asciiTheme="minorHAnsi" w:hAnsiTheme="minorHAnsi" w:cstheme="minorHAnsi"/>
                <w:b/>
                <w:bCs/>
                <w:szCs w:val="20"/>
              </w:rPr>
              <w:t>Subjective measures</w:t>
            </w:r>
          </w:p>
        </w:tc>
      </w:tr>
      <w:tr w:rsidR="007E0ABC" w:rsidRPr="009120B5" w14:paraId="2499C8B1" w14:textId="77777777" w:rsidTr="00970047">
        <w:trPr>
          <w:trHeight w:val="427"/>
        </w:trPr>
        <w:tc>
          <w:tcPr>
            <w:tcW w:w="1104" w:type="pct"/>
            <w:vMerge w:val="restart"/>
            <w:tcBorders>
              <w:top w:val="single" w:sz="18" w:space="0" w:color="A5A5A5" w:themeColor="accent3"/>
              <w:right w:val="single" w:sz="18" w:space="0" w:color="A5A5A5" w:themeColor="accent3"/>
            </w:tcBorders>
            <w:shd w:val="clear" w:color="auto" w:fill="EDEDED" w:themeFill="accent3" w:themeFillTint="33"/>
          </w:tcPr>
          <w:p w14:paraId="230D2945" w14:textId="77777777" w:rsidR="007E0ABC" w:rsidRPr="009120B5" w:rsidRDefault="007E0ABC" w:rsidP="007E0ABC">
            <w:pPr>
              <w:spacing w:line="240" w:lineRule="auto"/>
              <w:rPr>
                <w:rFonts w:asciiTheme="minorHAnsi" w:hAnsiTheme="minorHAnsi" w:cstheme="minorHAnsi"/>
                <w:b/>
                <w:bCs/>
                <w:szCs w:val="20"/>
              </w:rPr>
            </w:pPr>
            <w:r w:rsidRPr="009120B5">
              <w:rPr>
                <w:rFonts w:asciiTheme="minorHAnsi" w:hAnsiTheme="minorHAnsi" w:cstheme="minorHAnsi"/>
                <w:b/>
                <w:bCs/>
                <w:szCs w:val="20"/>
              </w:rPr>
              <w:t>Stress response</w:t>
            </w:r>
          </w:p>
          <w:p w14:paraId="4AF509EB" w14:textId="77777777" w:rsidR="007E0ABC" w:rsidRPr="009120B5" w:rsidRDefault="007E0ABC" w:rsidP="007E0ABC">
            <w:pPr>
              <w:spacing w:line="240" w:lineRule="auto"/>
              <w:rPr>
                <w:rFonts w:asciiTheme="minorHAnsi" w:hAnsiTheme="minorHAnsi" w:cstheme="minorHAnsi"/>
                <w:b/>
                <w:bCs/>
                <w:szCs w:val="20"/>
              </w:rPr>
            </w:pPr>
            <w:r w:rsidRPr="009120B5">
              <w:rPr>
                <w:rFonts w:asciiTheme="minorHAnsi" w:hAnsiTheme="minorHAnsi" w:cstheme="minorHAnsi"/>
                <w:b/>
                <w:bCs/>
                <w:szCs w:val="20"/>
              </w:rPr>
              <w:t xml:space="preserve"> (n=8)</w:t>
            </w:r>
          </w:p>
        </w:tc>
        <w:tc>
          <w:tcPr>
            <w:tcW w:w="1888" w:type="pct"/>
            <w:tcBorders>
              <w:top w:val="single" w:sz="18" w:space="0" w:color="A5A5A5" w:themeColor="accent3"/>
              <w:left w:val="single" w:sz="18" w:space="0" w:color="A5A5A5" w:themeColor="accent3"/>
            </w:tcBorders>
          </w:tcPr>
          <w:p w14:paraId="358A4BA5"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(1)</w:t>
            </w:r>
            <w:r>
              <w:rPr>
                <w:rFonts w:asciiTheme="minorHAnsi" w:hAnsiTheme="minorHAnsi" w:cstheme="minorHAnsi"/>
                <w:sz w:val="18"/>
                <w:szCs w:val="18"/>
              </w:rPr>
              <w:t xml:space="preserve"> </w:t>
            </w:r>
            <w:r w:rsidRPr="009120B5">
              <w:rPr>
                <w:rFonts w:asciiTheme="minorHAnsi" w:hAnsiTheme="minorHAnsi" w:cstheme="minorHAnsi"/>
                <w:sz w:val="18"/>
                <w:szCs w:val="18"/>
              </w:rPr>
              <w:t>Salivary cortisol</w:t>
            </w:r>
          </w:p>
        </w:tc>
        <w:tc>
          <w:tcPr>
            <w:tcW w:w="2008" w:type="pct"/>
            <w:tcBorders>
              <w:top w:val="single" w:sz="18" w:space="0" w:color="A5A5A5" w:themeColor="accent3"/>
            </w:tcBorders>
          </w:tcPr>
          <w:p w14:paraId="1584D987" w14:textId="77777777" w:rsidR="007E0ABC" w:rsidRPr="009120B5" w:rsidRDefault="007E0ABC" w:rsidP="007E0ABC">
            <w:pPr>
              <w:spacing w:line="240" w:lineRule="auto"/>
              <w:rPr>
                <w:rFonts w:asciiTheme="minorHAnsi" w:hAnsiTheme="minorHAnsi" w:cstheme="minorHAnsi"/>
                <w:color w:val="000000"/>
                <w:sz w:val="18"/>
                <w:szCs w:val="18"/>
              </w:rPr>
            </w:pPr>
            <w:r w:rsidRPr="009120B5">
              <w:rPr>
                <w:rFonts w:asciiTheme="minorHAnsi" w:hAnsiTheme="minorHAnsi" w:cstheme="minorHAnsi"/>
                <w:color w:val="000000"/>
                <w:sz w:val="18"/>
                <w:szCs w:val="18"/>
              </w:rPr>
              <w:t>The Symptom Checklist Revised – 90</w:t>
            </w:r>
          </w:p>
        </w:tc>
      </w:tr>
      <w:tr w:rsidR="007E0ABC" w:rsidRPr="009120B5" w14:paraId="54017DBD" w14:textId="77777777" w:rsidTr="00970047">
        <w:trPr>
          <w:trHeight w:val="335"/>
        </w:trPr>
        <w:tc>
          <w:tcPr>
            <w:tcW w:w="1104" w:type="pct"/>
            <w:vMerge/>
            <w:tcBorders>
              <w:right w:val="single" w:sz="18" w:space="0" w:color="A5A5A5" w:themeColor="accent3"/>
            </w:tcBorders>
            <w:shd w:val="clear" w:color="auto" w:fill="EDEDED" w:themeFill="accent3" w:themeFillTint="33"/>
          </w:tcPr>
          <w:p w14:paraId="3AB4EE11"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4A1DCBC1"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(4) Heart rate variability, Salivary cortisol</w:t>
            </w:r>
          </w:p>
        </w:tc>
        <w:tc>
          <w:tcPr>
            <w:tcW w:w="2008" w:type="pct"/>
          </w:tcPr>
          <w:p w14:paraId="741E9330" w14:textId="77777777" w:rsidR="007E0ABC" w:rsidRPr="009120B5" w:rsidRDefault="007E0ABC" w:rsidP="007E0ABC">
            <w:pPr>
              <w:spacing w:line="240" w:lineRule="auto"/>
              <w:rPr>
                <w:rFonts w:asciiTheme="minorHAnsi" w:hAnsiTheme="minorHAnsi" w:cstheme="minorHAnsi"/>
                <w:color w:val="000000"/>
                <w:sz w:val="18"/>
                <w:szCs w:val="18"/>
              </w:rPr>
            </w:pPr>
            <w:r w:rsidRPr="009120B5">
              <w:rPr>
                <w:rFonts w:asciiTheme="minorHAnsi" w:hAnsiTheme="minorHAnsi" w:cstheme="minorHAnsi"/>
                <w:color w:val="000000"/>
                <w:sz w:val="18"/>
                <w:szCs w:val="18"/>
              </w:rPr>
              <w:t>Perceived Stress Scale, Liverpool Seizure Severity Inventory, Generalised Anxiety Disorder Scale-7, Quality of Life in Newly Diagnosed Epilepsy</w:t>
            </w:r>
          </w:p>
        </w:tc>
      </w:tr>
      <w:tr w:rsidR="007E0ABC" w:rsidRPr="009120B5" w14:paraId="54FDE31E" w14:textId="77777777" w:rsidTr="00970047">
        <w:trPr>
          <w:trHeight w:val="335"/>
        </w:trPr>
        <w:tc>
          <w:tcPr>
            <w:tcW w:w="1104" w:type="pct"/>
            <w:vMerge/>
            <w:tcBorders>
              <w:right w:val="single" w:sz="18" w:space="0" w:color="A5A5A5" w:themeColor="accent3"/>
            </w:tcBorders>
            <w:shd w:val="clear" w:color="auto" w:fill="EDEDED" w:themeFill="accent3" w:themeFillTint="33"/>
          </w:tcPr>
          <w:p w14:paraId="5841ABAD"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6A63FAE4" w14:textId="77777777" w:rsidR="007E0ABC" w:rsidRPr="009120B5" w:rsidRDefault="007E0ABC" w:rsidP="007E0ABC">
            <w:pPr>
              <w:spacing w:line="240" w:lineRule="auto"/>
              <w:rPr>
                <w:rFonts w:asciiTheme="minorHAnsi" w:hAnsiTheme="minorHAnsi" w:cstheme="minorHAnsi"/>
                <w:sz w:val="18"/>
                <w:szCs w:val="18"/>
              </w:rPr>
            </w:pPr>
            <w:r>
              <w:rPr>
                <w:rFonts w:asciiTheme="minorHAnsi" w:hAnsiTheme="minorHAnsi" w:cstheme="minorHAnsi"/>
                <w:sz w:val="18"/>
                <w:szCs w:val="18"/>
              </w:rPr>
              <w:t>(6) Skin Conductance Response, skin conductance level</w:t>
            </w:r>
          </w:p>
        </w:tc>
        <w:tc>
          <w:tcPr>
            <w:tcW w:w="2008" w:type="pct"/>
          </w:tcPr>
          <w:p w14:paraId="189CDE03" w14:textId="77777777" w:rsidR="007E0ABC" w:rsidRPr="009120B5" w:rsidRDefault="007E0ABC" w:rsidP="007E0ABC">
            <w:pPr>
              <w:spacing w:line="240" w:lineRule="auto"/>
              <w:rPr>
                <w:rFonts w:asciiTheme="minorHAnsi" w:hAnsiTheme="minorHAnsi" w:cstheme="minorHAnsi"/>
                <w:color w:val="000000"/>
                <w:sz w:val="18"/>
                <w:szCs w:val="18"/>
              </w:rPr>
            </w:pPr>
            <w:r w:rsidRPr="00926F91">
              <w:rPr>
                <w:rFonts w:asciiTheme="minorHAnsi" w:hAnsiTheme="minorHAnsi" w:cstheme="minorHAnsi"/>
                <w:color w:val="000000"/>
                <w:sz w:val="18"/>
                <w:szCs w:val="18"/>
              </w:rPr>
              <w:t>Self-Assessment Manikin emotion rating scale (ratings for emotional valence and arousal</w:t>
            </w:r>
            <w:r>
              <w:rPr>
                <w:rFonts w:asciiTheme="minorHAnsi" w:hAnsiTheme="minorHAnsi" w:cstheme="minorHAnsi"/>
                <w:color w:val="000000"/>
                <w:sz w:val="18"/>
                <w:szCs w:val="18"/>
              </w:rPr>
              <w:t xml:space="preserve">, </w:t>
            </w:r>
            <w:r w:rsidRPr="00926F91">
              <w:rPr>
                <w:rFonts w:asciiTheme="minorHAnsi" w:hAnsiTheme="minorHAnsi" w:cstheme="minorHAnsi"/>
                <w:color w:val="000000"/>
                <w:sz w:val="18"/>
                <w:szCs w:val="18"/>
              </w:rPr>
              <w:t>Hospital anxiety and depression scale</w:t>
            </w:r>
            <w:r>
              <w:rPr>
                <w:rFonts w:asciiTheme="minorHAnsi" w:hAnsiTheme="minorHAnsi" w:cstheme="minorHAnsi"/>
                <w:color w:val="000000"/>
                <w:sz w:val="18"/>
                <w:szCs w:val="18"/>
              </w:rPr>
              <w:t>,  Seizure symptoms</w:t>
            </w:r>
          </w:p>
        </w:tc>
      </w:tr>
      <w:tr w:rsidR="007E0ABC" w:rsidRPr="009120B5" w14:paraId="5E93E225" w14:textId="77777777" w:rsidTr="00970047">
        <w:trPr>
          <w:trHeight w:val="335"/>
        </w:trPr>
        <w:tc>
          <w:tcPr>
            <w:tcW w:w="1104" w:type="pct"/>
            <w:vMerge/>
            <w:tcBorders>
              <w:right w:val="single" w:sz="18" w:space="0" w:color="A5A5A5" w:themeColor="accent3"/>
            </w:tcBorders>
            <w:shd w:val="clear" w:color="auto" w:fill="EDEDED" w:themeFill="accent3" w:themeFillTint="33"/>
          </w:tcPr>
          <w:p w14:paraId="2AFEE16C"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0F1AB8D0"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w:t>
            </w:r>
            <w:r>
              <w:rPr>
                <w:rFonts w:asciiTheme="minorHAnsi" w:hAnsiTheme="minorHAnsi" w:cstheme="minorHAnsi"/>
                <w:sz w:val="18"/>
                <w:szCs w:val="18"/>
              </w:rPr>
              <w:t>7</w:t>
            </w:r>
            <w:r w:rsidRPr="009120B5">
              <w:rPr>
                <w:rFonts w:asciiTheme="minorHAnsi" w:hAnsiTheme="minorHAnsi" w:cstheme="minorHAnsi"/>
                <w:sz w:val="18"/>
                <w:szCs w:val="18"/>
              </w:rPr>
              <w:t>)</w:t>
            </w:r>
            <w:r w:rsidRPr="009120B5">
              <w:rPr>
                <w:sz w:val="18"/>
                <w:szCs w:val="18"/>
              </w:rPr>
              <w:t xml:space="preserve"> </w:t>
            </w:r>
            <w:r w:rsidRPr="009120B5">
              <w:rPr>
                <w:rFonts w:asciiTheme="minorHAnsi" w:hAnsiTheme="minorHAnsi" w:cstheme="minorHAnsi"/>
                <w:sz w:val="18"/>
                <w:szCs w:val="18"/>
              </w:rPr>
              <w:t>Salivary cortisol, and alpha-amylase</w:t>
            </w:r>
          </w:p>
        </w:tc>
        <w:tc>
          <w:tcPr>
            <w:tcW w:w="2008" w:type="pct"/>
          </w:tcPr>
          <w:p w14:paraId="0F30CF78" w14:textId="77777777" w:rsidR="007E0ABC" w:rsidRPr="009120B5" w:rsidRDefault="007E0ABC" w:rsidP="007E0ABC">
            <w:pPr>
              <w:spacing w:line="240" w:lineRule="auto"/>
              <w:rPr>
                <w:rFonts w:asciiTheme="minorHAnsi" w:hAnsiTheme="minorHAnsi" w:cstheme="minorHAnsi"/>
                <w:color w:val="000000"/>
                <w:sz w:val="18"/>
                <w:szCs w:val="18"/>
              </w:rPr>
            </w:pPr>
            <w:r w:rsidRPr="009120B5">
              <w:rPr>
                <w:rFonts w:asciiTheme="minorHAnsi" w:hAnsiTheme="minorHAnsi" w:cstheme="minorHAnsi"/>
                <w:color w:val="000000"/>
                <w:sz w:val="18"/>
                <w:szCs w:val="18"/>
              </w:rPr>
              <w:t xml:space="preserve">Evaluation of stress on Visual Analogue Scale, </w:t>
            </w:r>
            <w:r w:rsidRPr="009120B5">
              <w:rPr>
                <w:rFonts w:asciiTheme="minorHAnsi" w:hAnsiTheme="minorHAnsi" w:cstheme="minorHAnsi"/>
                <w:sz w:val="18"/>
                <w:szCs w:val="18"/>
              </w:rPr>
              <w:t>State-Trait Anxiety Inventory</w:t>
            </w:r>
            <w:r w:rsidRPr="009120B5">
              <w:rPr>
                <w:rFonts w:asciiTheme="minorHAnsi" w:hAnsiTheme="minorHAnsi" w:cstheme="minorHAnsi"/>
                <w:color w:val="000000"/>
                <w:sz w:val="18"/>
                <w:szCs w:val="18"/>
              </w:rPr>
              <w:t xml:space="preserve">, </w:t>
            </w:r>
            <w:r w:rsidRPr="009120B5">
              <w:rPr>
                <w:rFonts w:asciiTheme="minorHAnsi" w:hAnsiTheme="minorHAnsi" w:cstheme="minorHAnsi"/>
                <w:sz w:val="18"/>
                <w:szCs w:val="18"/>
              </w:rPr>
              <w:t xml:space="preserve">Beck Depression Inventory, </w:t>
            </w:r>
            <w:r w:rsidRPr="009120B5">
              <w:rPr>
                <w:rFonts w:asciiTheme="minorHAnsi" w:hAnsiTheme="minorHAnsi" w:cstheme="minorHAnsi"/>
                <w:color w:val="000000"/>
                <w:sz w:val="18"/>
                <w:szCs w:val="18"/>
              </w:rPr>
              <w:t xml:space="preserve">Ameil-Lebigre questionnaire (Life events, ALQ), Childhood Trauma Questionnaire, Clinical Global Impression, Mobility subscale of Neuro-Qol </w:t>
            </w:r>
          </w:p>
        </w:tc>
      </w:tr>
      <w:tr w:rsidR="007E0ABC" w:rsidRPr="009120B5" w14:paraId="58E5F4C3" w14:textId="77777777" w:rsidTr="00970047">
        <w:trPr>
          <w:trHeight w:val="335"/>
        </w:trPr>
        <w:tc>
          <w:tcPr>
            <w:tcW w:w="1104" w:type="pct"/>
            <w:vMerge/>
            <w:tcBorders>
              <w:right w:val="single" w:sz="18" w:space="0" w:color="A5A5A5" w:themeColor="accent3"/>
            </w:tcBorders>
            <w:shd w:val="clear" w:color="auto" w:fill="EDEDED" w:themeFill="accent3" w:themeFillTint="33"/>
          </w:tcPr>
          <w:p w14:paraId="6A577E14"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398CC0E6" w14:textId="77777777" w:rsidR="007E0ABC" w:rsidRPr="009120B5" w:rsidRDefault="007E0ABC" w:rsidP="007E0ABC">
            <w:pPr>
              <w:spacing w:line="240" w:lineRule="auto"/>
              <w:rPr>
                <w:rFonts w:asciiTheme="minorHAnsi" w:hAnsiTheme="minorHAnsi" w:cstheme="minorHAnsi"/>
                <w:sz w:val="18"/>
                <w:szCs w:val="18"/>
              </w:rPr>
            </w:pPr>
            <w:r>
              <w:rPr>
                <w:rFonts w:asciiTheme="minorHAnsi" w:hAnsiTheme="minorHAnsi" w:cstheme="minorHAnsi"/>
                <w:sz w:val="18"/>
                <w:szCs w:val="18"/>
              </w:rPr>
              <w:t>(8</w:t>
            </w:r>
            <w:r w:rsidRPr="009120B5">
              <w:rPr>
                <w:rFonts w:asciiTheme="minorHAnsi" w:hAnsiTheme="minorHAnsi" w:cstheme="minorHAnsi"/>
                <w:sz w:val="18"/>
                <w:szCs w:val="18"/>
              </w:rPr>
              <w:t>) Salivary cortisol</w:t>
            </w:r>
          </w:p>
        </w:tc>
        <w:tc>
          <w:tcPr>
            <w:tcW w:w="2008" w:type="pct"/>
          </w:tcPr>
          <w:p w14:paraId="67D10627" w14:textId="77777777" w:rsidR="007E0ABC" w:rsidRPr="009120B5" w:rsidRDefault="007E0ABC" w:rsidP="007E0ABC">
            <w:pPr>
              <w:spacing w:line="240" w:lineRule="auto"/>
              <w:rPr>
                <w:rFonts w:asciiTheme="minorHAnsi" w:hAnsiTheme="minorHAnsi" w:cstheme="minorHAnsi"/>
                <w:color w:val="000000"/>
                <w:sz w:val="18"/>
                <w:szCs w:val="18"/>
              </w:rPr>
            </w:pPr>
            <w:r w:rsidRPr="009120B5">
              <w:rPr>
                <w:rFonts w:asciiTheme="minorHAnsi" w:hAnsiTheme="minorHAnsi" w:cstheme="minorHAnsi"/>
                <w:color w:val="000000"/>
                <w:sz w:val="18"/>
                <w:szCs w:val="18"/>
              </w:rPr>
              <w:t xml:space="preserve">Beck Depression Inventory, State-Trait Anxiety Inventory, Childhood Trauma Questionnaire, Traumatic Life Events Questionnaire </w:t>
            </w:r>
          </w:p>
        </w:tc>
      </w:tr>
      <w:tr w:rsidR="007E0ABC" w:rsidRPr="009120B5" w14:paraId="0E6A078C" w14:textId="77777777" w:rsidTr="00970047">
        <w:trPr>
          <w:trHeight w:val="335"/>
        </w:trPr>
        <w:tc>
          <w:tcPr>
            <w:tcW w:w="1104" w:type="pct"/>
            <w:vMerge/>
            <w:tcBorders>
              <w:right w:val="single" w:sz="18" w:space="0" w:color="A5A5A5" w:themeColor="accent3"/>
            </w:tcBorders>
            <w:shd w:val="clear" w:color="auto" w:fill="EDEDED" w:themeFill="accent3" w:themeFillTint="33"/>
          </w:tcPr>
          <w:p w14:paraId="08EBBA94"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56617C28" w14:textId="77777777" w:rsidR="007E0ABC" w:rsidRPr="009120B5" w:rsidRDefault="007E0ABC" w:rsidP="007E0ABC">
            <w:pPr>
              <w:spacing w:line="240" w:lineRule="auto"/>
              <w:rPr>
                <w:rFonts w:asciiTheme="minorHAnsi" w:hAnsiTheme="minorHAnsi" w:cstheme="minorHAnsi"/>
                <w:sz w:val="18"/>
                <w:szCs w:val="18"/>
              </w:rPr>
            </w:pPr>
            <w:r>
              <w:rPr>
                <w:rFonts w:asciiTheme="minorHAnsi" w:hAnsiTheme="minorHAnsi" w:cstheme="minorHAnsi"/>
                <w:sz w:val="18"/>
                <w:szCs w:val="18"/>
              </w:rPr>
              <w:t>(9</w:t>
            </w:r>
            <w:r w:rsidRPr="009120B5">
              <w:rPr>
                <w:rFonts w:asciiTheme="minorHAnsi" w:hAnsiTheme="minorHAnsi" w:cstheme="minorHAnsi"/>
                <w:sz w:val="18"/>
                <w:szCs w:val="18"/>
              </w:rPr>
              <w:t>) HR, salivary cortisol, alpha-amylase, resting state fMRI</w:t>
            </w:r>
          </w:p>
        </w:tc>
        <w:tc>
          <w:tcPr>
            <w:tcW w:w="2008" w:type="pct"/>
          </w:tcPr>
          <w:p w14:paraId="74E4F3CD"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olor w:val="000000"/>
                <w:sz w:val="18"/>
                <w:szCs w:val="18"/>
              </w:rPr>
              <w:t>Short Form-36, Perceived Stress Scale, Beck Depression Inventory, Beck Anxiety Inventory, Profile of Mood states, State Anxiety Inventory (Trait anxiety), State Anxiety Inventory (State anxiety), Ways of Coping Questionnaire, Dundee Stress State Questionnaire</w:t>
            </w:r>
          </w:p>
        </w:tc>
      </w:tr>
      <w:tr w:rsidR="007E0ABC" w:rsidRPr="009120B5" w14:paraId="46D4FBAE" w14:textId="77777777" w:rsidTr="00970047">
        <w:trPr>
          <w:trHeight w:val="335"/>
        </w:trPr>
        <w:tc>
          <w:tcPr>
            <w:tcW w:w="1104" w:type="pct"/>
            <w:vMerge/>
            <w:tcBorders>
              <w:right w:val="single" w:sz="18" w:space="0" w:color="A5A5A5" w:themeColor="accent3"/>
            </w:tcBorders>
            <w:shd w:val="clear" w:color="auto" w:fill="EDEDED" w:themeFill="accent3" w:themeFillTint="33"/>
          </w:tcPr>
          <w:p w14:paraId="14B033F1"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46C5733A" w14:textId="77777777" w:rsidR="007E0ABC" w:rsidRPr="009120B5" w:rsidRDefault="007E0ABC" w:rsidP="007E0ABC">
            <w:pPr>
              <w:spacing w:line="240" w:lineRule="auto"/>
              <w:rPr>
                <w:rFonts w:asciiTheme="minorHAnsi" w:hAnsiTheme="minorHAnsi" w:cstheme="minorHAnsi"/>
                <w:sz w:val="18"/>
                <w:szCs w:val="18"/>
              </w:rPr>
            </w:pPr>
            <w:r>
              <w:rPr>
                <w:rFonts w:asciiTheme="minorHAnsi" w:hAnsiTheme="minorHAnsi" w:cstheme="minorHAnsi"/>
                <w:sz w:val="18"/>
                <w:szCs w:val="18"/>
              </w:rPr>
              <w:t>(14</w:t>
            </w:r>
            <w:r w:rsidRPr="009120B5">
              <w:rPr>
                <w:rFonts w:asciiTheme="minorHAnsi" w:hAnsiTheme="minorHAnsi" w:cstheme="minorHAnsi"/>
                <w:sz w:val="18"/>
                <w:szCs w:val="18"/>
              </w:rPr>
              <w:t>) Salivary cortisol, salivary alpha amylase</w:t>
            </w:r>
          </w:p>
        </w:tc>
        <w:tc>
          <w:tcPr>
            <w:tcW w:w="2008" w:type="pct"/>
          </w:tcPr>
          <w:p w14:paraId="1FE24746"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Traumatic Experiences Checklist</w:t>
            </w:r>
          </w:p>
        </w:tc>
      </w:tr>
      <w:tr w:rsidR="007E0ABC" w:rsidRPr="009120B5" w14:paraId="7C9195D8" w14:textId="77777777" w:rsidTr="00970047">
        <w:trPr>
          <w:trHeight w:val="335"/>
        </w:trPr>
        <w:tc>
          <w:tcPr>
            <w:tcW w:w="1104" w:type="pct"/>
            <w:vMerge/>
            <w:tcBorders>
              <w:bottom w:val="single" w:sz="18" w:space="0" w:color="A5A5A5" w:themeColor="accent3"/>
              <w:right w:val="single" w:sz="18" w:space="0" w:color="A5A5A5" w:themeColor="accent3"/>
            </w:tcBorders>
            <w:shd w:val="clear" w:color="auto" w:fill="EDEDED" w:themeFill="accent3" w:themeFillTint="33"/>
          </w:tcPr>
          <w:p w14:paraId="73C82557"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bottom w:val="single" w:sz="18" w:space="0" w:color="A5A5A5" w:themeColor="accent3"/>
            </w:tcBorders>
          </w:tcPr>
          <w:p w14:paraId="604D605B" w14:textId="77777777" w:rsidR="007E0ABC" w:rsidRDefault="007E0ABC" w:rsidP="007E0ABC">
            <w:pPr>
              <w:spacing w:line="240" w:lineRule="auto"/>
              <w:rPr>
                <w:rFonts w:asciiTheme="minorHAnsi" w:hAnsiTheme="minorHAnsi" w:cstheme="minorHAnsi"/>
                <w:sz w:val="18"/>
                <w:szCs w:val="18"/>
              </w:rPr>
            </w:pPr>
            <w:r>
              <w:rPr>
                <w:rFonts w:asciiTheme="minorHAnsi" w:hAnsiTheme="minorHAnsi" w:cstheme="minorHAnsi"/>
                <w:sz w:val="18"/>
                <w:szCs w:val="18"/>
              </w:rPr>
              <w:t>(15</w:t>
            </w:r>
            <w:r w:rsidRPr="009120B5">
              <w:rPr>
                <w:rFonts w:asciiTheme="minorHAnsi" w:hAnsiTheme="minorHAnsi" w:cstheme="minorHAnsi"/>
                <w:sz w:val="18"/>
                <w:szCs w:val="18"/>
              </w:rPr>
              <w:t xml:space="preserve">) Salivary cortisol, Systolic and diastolic blood pressure, Heart rate, Heart rate variability </w:t>
            </w:r>
          </w:p>
          <w:p w14:paraId="137676AD" w14:textId="77777777" w:rsidR="007E0ABC" w:rsidRPr="009120B5" w:rsidRDefault="007E0ABC" w:rsidP="007E0ABC">
            <w:pPr>
              <w:spacing w:line="240" w:lineRule="auto"/>
              <w:rPr>
                <w:rFonts w:asciiTheme="minorHAnsi" w:hAnsiTheme="minorHAnsi" w:cstheme="minorHAnsi"/>
                <w:sz w:val="18"/>
                <w:szCs w:val="18"/>
              </w:rPr>
            </w:pPr>
          </w:p>
        </w:tc>
        <w:tc>
          <w:tcPr>
            <w:tcW w:w="2008" w:type="pct"/>
            <w:tcBorders>
              <w:bottom w:val="single" w:sz="18" w:space="0" w:color="A5A5A5" w:themeColor="accent3"/>
            </w:tcBorders>
          </w:tcPr>
          <w:p w14:paraId="42B388BD" w14:textId="77777777" w:rsidR="007E0ABC" w:rsidRPr="009120B5" w:rsidRDefault="007E0ABC" w:rsidP="007E0ABC">
            <w:pPr>
              <w:spacing w:line="240" w:lineRule="auto"/>
              <w:rPr>
                <w:rFonts w:asciiTheme="minorHAnsi" w:hAnsiTheme="minorHAnsi"/>
                <w:color w:val="000000"/>
                <w:sz w:val="18"/>
                <w:szCs w:val="18"/>
              </w:rPr>
            </w:pPr>
            <w:r w:rsidRPr="009120B5">
              <w:rPr>
                <w:rFonts w:asciiTheme="minorHAnsi" w:hAnsiTheme="minorHAnsi" w:cstheme="minorHAnsi"/>
                <w:sz w:val="18"/>
                <w:szCs w:val="18"/>
              </w:rPr>
              <w:t>Traumatic Experiences Checklist,</w:t>
            </w:r>
            <w:r w:rsidRPr="009120B5">
              <w:rPr>
                <w:rFonts w:asciiTheme="minorHAnsi" w:hAnsiTheme="minorHAnsi"/>
                <w:color w:val="000000"/>
                <w:sz w:val="18"/>
                <w:szCs w:val="18"/>
              </w:rPr>
              <w:t xml:space="preserve"> subjective anxiety on a VAS</w:t>
            </w:r>
          </w:p>
        </w:tc>
      </w:tr>
      <w:tr w:rsidR="007E0ABC" w:rsidRPr="009120B5" w14:paraId="0DA78DB7" w14:textId="77777777" w:rsidTr="00970047">
        <w:trPr>
          <w:trHeight w:val="219"/>
        </w:trPr>
        <w:tc>
          <w:tcPr>
            <w:tcW w:w="1104" w:type="pct"/>
            <w:vMerge w:val="restart"/>
            <w:tcBorders>
              <w:top w:val="single" w:sz="18" w:space="0" w:color="A5A5A5" w:themeColor="accent3"/>
              <w:right w:val="single" w:sz="18" w:space="0" w:color="A5A5A5" w:themeColor="accent3"/>
            </w:tcBorders>
            <w:shd w:val="clear" w:color="auto" w:fill="EDEDED" w:themeFill="accent3" w:themeFillTint="33"/>
          </w:tcPr>
          <w:p w14:paraId="782E81D7" w14:textId="77777777" w:rsidR="007E0ABC" w:rsidRPr="009120B5" w:rsidRDefault="007E0ABC" w:rsidP="007E0ABC">
            <w:pPr>
              <w:spacing w:line="240" w:lineRule="auto"/>
              <w:rPr>
                <w:rFonts w:asciiTheme="minorHAnsi" w:hAnsiTheme="minorHAnsi" w:cstheme="minorHAnsi"/>
                <w:b/>
                <w:bCs/>
                <w:szCs w:val="20"/>
              </w:rPr>
            </w:pPr>
            <w:r w:rsidRPr="009120B5">
              <w:rPr>
                <w:rFonts w:asciiTheme="minorHAnsi" w:hAnsiTheme="minorHAnsi" w:cstheme="minorHAnsi"/>
                <w:b/>
                <w:bCs/>
                <w:szCs w:val="20"/>
              </w:rPr>
              <w:t xml:space="preserve">Emotion processing </w:t>
            </w:r>
          </w:p>
          <w:p w14:paraId="2B381768" w14:textId="77777777" w:rsidR="007E0ABC" w:rsidRPr="009120B5" w:rsidRDefault="007E0ABC" w:rsidP="007E0ABC">
            <w:pPr>
              <w:spacing w:line="240" w:lineRule="auto"/>
              <w:rPr>
                <w:rFonts w:asciiTheme="minorHAnsi" w:hAnsiTheme="minorHAnsi" w:cstheme="minorHAnsi"/>
                <w:b/>
                <w:bCs/>
                <w:szCs w:val="20"/>
              </w:rPr>
            </w:pPr>
            <w:r w:rsidRPr="009120B5">
              <w:rPr>
                <w:rFonts w:asciiTheme="minorHAnsi" w:hAnsiTheme="minorHAnsi" w:cstheme="minorHAnsi"/>
                <w:b/>
                <w:bCs/>
                <w:szCs w:val="20"/>
              </w:rPr>
              <w:t>(n=8)</w:t>
            </w:r>
          </w:p>
        </w:tc>
        <w:tc>
          <w:tcPr>
            <w:tcW w:w="1888" w:type="pct"/>
            <w:tcBorders>
              <w:top w:val="single" w:sz="18" w:space="0" w:color="A5A5A5" w:themeColor="accent3"/>
              <w:left w:val="single" w:sz="18" w:space="0" w:color="A5A5A5" w:themeColor="accent3"/>
            </w:tcBorders>
          </w:tcPr>
          <w:p w14:paraId="21E6C5D4"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(2) Heartbeat detection test</w:t>
            </w:r>
          </w:p>
        </w:tc>
        <w:tc>
          <w:tcPr>
            <w:tcW w:w="2008" w:type="pct"/>
            <w:tcBorders>
              <w:top w:val="single" w:sz="18" w:space="0" w:color="A5A5A5" w:themeColor="accent3"/>
            </w:tcBorders>
          </w:tcPr>
          <w:p w14:paraId="2D400FB6" w14:textId="77777777" w:rsidR="007E0ABC" w:rsidRPr="009120B5" w:rsidRDefault="007E0ABC" w:rsidP="007E0ABC">
            <w:pPr>
              <w:spacing w:line="240" w:lineRule="auto"/>
              <w:rPr>
                <w:rFonts w:asciiTheme="minorHAnsi" w:hAnsiTheme="minorHAnsi" w:cstheme="minorHAnsi"/>
                <w:sz w:val="18"/>
                <w:szCs w:val="18"/>
              </w:rPr>
            </w:pPr>
            <w:proofErr w:type="spellStart"/>
            <w:r w:rsidRPr="009120B5">
              <w:rPr>
                <w:rFonts w:asciiTheme="minorHAnsi" w:hAnsiTheme="minorHAnsi"/>
                <w:color w:val="000000"/>
                <w:sz w:val="18"/>
                <w:szCs w:val="18"/>
                <w:lang w:val="sv-SE"/>
              </w:rPr>
              <w:t>Dissociative</w:t>
            </w:r>
            <w:proofErr w:type="spellEnd"/>
            <w:r w:rsidRPr="009120B5">
              <w:rPr>
                <w:rFonts w:asciiTheme="minorHAnsi" w:hAnsiTheme="minorHAnsi"/>
                <w:color w:val="000000"/>
                <w:sz w:val="18"/>
                <w:szCs w:val="18"/>
                <w:lang w:val="sv-SE"/>
              </w:rPr>
              <w:t xml:space="preserve"> </w:t>
            </w:r>
            <w:proofErr w:type="spellStart"/>
            <w:r w:rsidRPr="009120B5">
              <w:rPr>
                <w:rFonts w:asciiTheme="minorHAnsi" w:hAnsiTheme="minorHAnsi"/>
                <w:color w:val="000000"/>
                <w:sz w:val="18"/>
                <w:szCs w:val="18"/>
                <w:lang w:val="sv-SE"/>
              </w:rPr>
              <w:t>Experiences</w:t>
            </w:r>
            <w:proofErr w:type="spellEnd"/>
            <w:r w:rsidRPr="009120B5">
              <w:rPr>
                <w:rFonts w:asciiTheme="minorHAnsi" w:hAnsiTheme="minorHAnsi"/>
                <w:color w:val="000000"/>
                <w:sz w:val="18"/>
                <w:szCs w:val="18"/>
                <w:lang w:val="sv-SE"/>
              </w:rPr>
              <w:t xml:space="preserve"> </w:t>
            </w:r>
            <w:proofErr w:type="spellStart"/>
            <w:r w:rsidRPr="009120B5">
              <w:rPr>
                <w:rFonts w:asciiTheme="minorHAnsi" w:hAnsiTheme="minorHAnsi"/>
                <w:color w:val="000000"/>
                <w:sz w:val="18"/>
                <w:szCs w:val="18"/>
                <w:lang w:val="sv-SE"/>
              </w:rPr>
              <w:t>Scale</w:t>
            </w:r>
            <w:proofErr w:type="spellEnd"/>
            <w:r w:rsidRPr="009120B5">
              <w:rPr>
                <w:rFonts w:asciiTheme="minorHAnsi" w:hAnsiTheme="minorHAnsi"/>
                <w:color w:val="000000"/>
                <w:sz w:val="18"/>
                <w:szCs w:val="18"/>
                <w:lang w:val="sv-SE"/>
              </w:rPr>
              <w:t xml:space="preserve">, </w:t>
            </w:r>
            <w:proofErr w:type="spellStart"/>
            <w:r w:rsidRPr="009120B5">
              <w:rPr>
                <w:rFonts w:asciiTheme="minorHAnsi" w:hAnsiTheme="minorHAnsi"/>
                <w:color w:val="000000"/>
                <w:sz w:val="18"/>
                <w:szCs w:val="18"/>
                <w:lang w:val="sv-SE"/>
              </w:rPr>
              <w:t>Somatic</w:t>
            </w:r>
            <w:proofErr w:type="spellEnd"/>
            <w:r w:rsidRPr="009120B5">
              <w:rPr>
                <w:rFonts w:asciiTheme="minorHAnsi" w:hAnsiTheme="minorHAnsi"/>
                <w:color w:val="000000"/>
                <w:sz w:val="18"/>
                <w:szCs w:val="18"/>
                <w:lang w:val="sv-SE"/>
              </w:rPr>
              <w:t xml:space="preserve"> Dissociation Questionnaire-20, CDS, Toronto </w:t>
            </w:r>
            <w:proofErr w:type="spellStart"/>
            <w:r w:rsidRPr="009120B5">
              <w:rPr>
                <w:rFonts w:asciiTheme="minorHAnsi" w:hAnsiTheme="minorHAnsi"/>
                <w:color w:val="000000"/>
                <w:sz w:val="18"/>
                <w:szCs w:val="18"/>
                <w:lang w:val="sv-SE"/>
              </w:rPr>
              <w:t>Alexithymia</w:t>
            </w:r>
            <w:proofErr w:type="spellEnd"/>
            <w:r w:rsidRPr="009120B5">
              <w:rPr>
                <w:rFonts w:asciiTheme="minorHAnsi" w:hAnsiTheme="minorHAnsi"/>
                <w:color w:val="000000"/>
                <w:sz w:val="18"/>
                <w:szCs w:val="18"/>
                <w:lang w:val="sv-SE"/>
              </w:rPr>
              <w:t xml:space="preserve"> Scale-20, HAM-D</w:t>
            </w:r>
          </w:p>
        </w:tc>
      </w:tr>
      <w:tr w:rsidR="007E0ABC" w:rsidRPr="009120B5" w14:paraId="336BD7C2" w14:textId="77777777" w:rsidTr="00970047">
        <w:trPr>
          <w:trHeight w:val="219"/>
        </w:trPr>
        <w:tc>
          <w:tcPr>
            <w:tcW w:w="1104" w:type="pct"/>
            <w:vMerge/>
            <w:tcBorders>
              <w:right w:val="single" w:sz="18" w:space="0" w:color="A5A5A5" w:themeColor="accent3"/>
            </w:tcBorders>
            <w:shd w:val="clear" w:color="auto" w:fill="EDEDED" w:themeFill="accent3" w:themeFillTint="33"/>
          </w:tcPr>
          <w:p w14:paraId="6FF45BBA"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0C6FDBE5"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(3) Skin Conductance Responses</w:t>
            </w:r>
          </w:p>
        </w:tc>
        <w:tc>
          <w:tcPr>
            <w:tcW w:w="2008" w:type="pct"/>
          </w:tcPr>
          <w:p w14:paraId="3A539444" w14:textId="77777777" w:rsidR="007E0ABC" w:rsidRPr="009120B5" w:rsidRDefault="007E0ABC" w:rsidP="007E0ABC">
            <w:pPr>
              <w:spacing w:line="240" w:lineRule="auto"/>
              <w:rPr>
                <w:rFonts w:asciiTheme="minorHAnsi" w:hAnsiTheme="minorHAnsi"/>
                <w:color w:val="000000"/>
                <w:sz w:val="18"/>
                <w:szCs w:val="18"/>
                <w:lang w:val="sv-SE"/>
              </w:rPr>
            </w:pPr>
            <w:r w:rsidRPr="009120B5">
              <w:rPr>
                <w:rFonts w:asciiTheme="minorHAnsi" w:hAnsiTheme="minorHAnsi" w:cstheme="minorHAnsi"/>
                <w:sz w:val="18"/>
                <w:szCs w:val="18"/>
              </w:rPr>
              <w:t>Beck Depression Inventory, State-Trait Anxiety Inventory</w:t>
            </w:r>
          </w:p>
        </w:tc>
      </w:tr>
      <w:tr w:rsidR="007E0ABC" w:rsidRPr="009120B5" w14:paraId="49995591" w14:textId="77777777" w:rsidTr="00970047">
        <w:trPr>
          <w:trHeight w:val="219"/>
        </w:trPr>
        <w:tc>
          <w:tcPr>
            <w:tcW w:w="1104" w:type="pct"/>
            <w:vMerge/>
            <w:tcBorders>
              <w:right w:val="single" w:sz="18" w:space="0" w:color="A5A5A5" w:themeColor="accent3"/>
            </w:tcBorders>
            <w:shd w:val="clear" w:color="auto" w:fill="EDEDED" w:themeFill="accent3" w:themeFillTint="33"/>
          </w:tcPr>
          <w:p w14:paraId="4B410C43"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19803791" w14:textId="77777777" w:rsidR="007E0ABC" w:rsidRPr="009120B5" w:rsidRDefault="007E0ABC" w:rsidP="007E0ABC">
            <w:pPr>
              <w:spacing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 xml:space="preserve">(5) </w:t>
            </w:r>
            <w:r>
              <w:rPr>
                <w:rFonts w:asciiTheme="minorHAnsi" w:hAnsiTheme="minorHAnsi"/>
                <w:sz w:val="18"/>
                <w:szCs w:val="18"/>
              </w:rPr>
              <w:t>Heartbeat detection test (pre- and post-stress induction with Cold Pressor test), heart rate (ECG).</w:t>
            </w:r>
          </w:p>
        </w:tc>
        <w:tc>
          <w:tcPr>
            <w:tcW w:w="2008" w:type="pct"/>
          </w:tcPr>
          <w:p w14:paraId="66E06541" w14:textId="77777777" w:rsidR="007E0ABC" w:rsidRPr="009120B5" w:rsidRDefault="007E0ABC" w:rsidP="007E0ABC">
            <w:pPr>
              <w:spacing w:line="240" w:lineRule="auto"/>
              <w:rPr>
                <w:rFonts w:asciiTheme="minorHAnsi" w:hAnsiTheme="minorHAnsi"/>
                <w:color w:val="000000"/>
                <w:sz w:val="18"/>
                <w:szCs w:val="18"/>
              </w:rPr>
            </w:pPr>
            <w:proofErr w:type="spellStart"/>
            <w:r>
              <w:rPr>
                <w:rFonts w:asciiTheme="minorHAnsi" w:hAnsiTheme="minorHAnsi"/>
                <w:color w:val="000000"/>
                <w:sz w:val="18"/>
                <w:szCs w:val="18"/>
              </w:rPr>
              <w:t>Emoton</w:t>
            </w:r>
            <w:proofErr w:type="spellEnd"/>
            <w:r>
              <w:rPr>
                <w:rFonts w:asciiTheme="minorHAnsi" w:hAnsiTheme="minorHAnsi"/>
                <w:color w:val="000000"/>
                <w:sz w:val="18"/>
                <w:szCs w:val="18"/>
              </w:rPr>
              <w:t xml:space="preserve"> Processing Scale, Patient Health Questionnaire-9, Generalised Anxiety Disorder-7</w:t>
            </w:r>
          </w:p>
        </w:tc>
      </w:tr>
      <w:tr w:rsidR="007E0ABC" w:rsidRPr="009120B5" w14:paraId="13125B0E" w14:textId="77777777" w:rsidTr="00970047">
        <w:trPr>
          <w:trHeight w:val="219"/>
        </w:trPr>
        <w:tc>
          <w:tcPr>
            <w:tcW w:w="1104" w:type="pct"/>
            <w:vMerge/>
            <w:tcBorders>
              <w:right w:val="single" w:sz="18" w:space="0" w:color="A5A5A5" w:themeColor="accent3"/>
            </w:tcBorders>
            <w:shd w:val="clear" w:color="auto" w:fill="EDEDED" w:themeFill="accent3" w:themeFillTint="33"/>
          </w:tcPr>
          <w:p w14:paraId="1A74652F"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top w:val="single" w:sz="4" w:space="0" w:color="AEAAAA" w:themeColor="background2" w:themeShade="BF"/>
              <w:left w:val="single" w:sz="18" w:space="0" w:color="A5A5A5" w:themeColor="accent3"/>
            </w:tcBorders>
          </w:tcPr>
          <w:p w14:paraId="7E5A76D1"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(1</w:t>
            </w:r>
            <w:r>
              <w:rPr>
                <w:rFonts w:asciiTheme="minorHAnsi" w:hAnsiTheme="minorHAnsi" w:cstheme="minorHAnsi"/>
                <w:sz w:val="18"/>
                <w:szCs w:val="18"/>
              </w:rPr>
              <w:t>0</w:t>
            </w:r>
            <w:r w:rsidRPr="009120B5">
              <w:rPr>
                <w:rFonts w:asciiTheme="minorHAnsi" w:hAnsiTheme="minorHAnsi" w:cstheme="minorHAnsi"/>
                <w:sz w:val="18"/>
                <w:szCs w:val="18"/>
              </w:rPr>
              <w:t>) Heartbeat detection test</w:t>
            </w:r>
          </w:p>
        </w:tc>
        <w:tc>
          <w:tcPr>
            <w:tcW w:w="2008" w:type="pct"/>
            <w:tcBorders>
              <w:top w:val="single" w:sz="4" w:space="0" w:color="AEAAAA" w:themeColor="background2" w:themeShade="BF"/>
            </w:tcBorders>
          </w:tcPr>
          <w:p w14:paraId="6F8D1959"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color w:val="000000"/>
                <w:sz w:val="18"/>
                <w:szCs w:val="18"/>
                <w:lang w:val="fr-FR"/>
              </w:rPr>
              <w:t xml:space="preserve">Toronto </w:t>
            </w:r>
            <w:proofErr w:type="spellStart"/>
            <w:r w:rsidRPr="009120B5">
              <w:rPr>
                <w:rFonts w:asciiTheme="minorHAnsi" w:hAnsiTheme="minorHAnsi" w:cstheme="minorHAnsi"/>
                <w:color w:val="000000"/>
                <w:sz w:val="18"/>
                <w:szCs w:val="18"/>
                <w:lang w:val="fr-FR"/>
              </w:rPr>
              <w:t>Alexithymia</w:t>
            </w:r>
            <w:proofErr w:type="spellEnd"/>
            <w:r w:rsidRPr="009120B5">
              <w:rPr>
                <w:rFonts w:asciiTheme="minorHAnsi" w:hAnsiTheme="minorHAnsi" w:cstheme="minorHAnsi"/>
                <w:color w:val="000000"/>
                <w:sz w:val="18"/>
                <w:szCs w:val="18"/>
                <w:lang w:val="fr-FR"/>
              </w:rPr>
              <w:t xml:space="preserve"> Scale-20, Self-Objectification Questionnaire, </w:t>
            </w:r>
            <w:r w:rsidRPr="009120B5">
              <w:rPr>
                <w:rFonts w:asciiTheme="minorHAnsi" w:hAnsiTheme="minorHAnsi" w:cstheme="minorHAnsi"/>
                <w:color w:val="000000"/>
                <w:sz w:val="18"/>
                <w:szCs w:val="18"/>
              </w:rPr>
              <w:t xml:space="preserve">Montgomery </w:t>
            </w:r>
            <w:proofErr w:type="spellStart"/>
            <w:r w:rsidRPr="009120B5">
              <w:rPr>
                <w:rFonts w:asciiTheme="minorHAnsi" w:hAnsiTheme="minorHAnsi" w:cstheme="minorHAnsi"/>
                <w:color w:val="000000"/>
                <w:sz w:val="18"/>
                <w:szCs w:val="18"/>
              </w:rPr>
              <w:t>Asberg</w:t>
            </w:r>
            <w:proofErr w:type="spellEnd"/>
            <w:r w:rsidRPr="009120B5">
              <w:rPr>
                <w:rFonts w:asciiTheme="minorHAnsi" w:hAnsiTheme="minorHAnsi" w:cstheme="minorHAnsi"/>
                <w:color w:val="000000"/>
                <w:sz w:val="18"/>
                <w:szCs w:val="18"/>
              </w:rPr>
              <w:t xml:space="preserve"> Depression Rating scale</w:t>
            </w:r>
          </w:p>
        </w:tc>
      </w:tr>
      <w:tr w:rsidR="007E0ABC" w:rsidRPr="009120B5" w14:paraId="7A557391" w14:textId="77777777" w:rsidTr="00970047">
        <w:trPr>
          <w:trHeight w:val="219"/>
        </w:trPr>
        <w:tc>
          <w:tcPr>
            <w:tcW w:w="1104" w:type="pct"/>
            <w:vMerge/>
            <w:tcBorders>
              <w:right w:val="single" w:sz="18" w:space="0" w:color="A5A5A5" w:themeColor="accent3"/>
            </w:tcBorders>
            <w:shd w:val="clear" w:color="auto" w:fill="EDEDED" w:themeFill="accent3" w:themeFillTint="33"/>
          </w:tcPr>
          <w:p w14:paraId="423BD4F8"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0C66005E"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(1</w:t>
            </w:r>
            <w:r>
              <w:rPr>
                <w:rFonts w:asciiTheme="minorHAnsi" w:hAnsiTheme="minorHAnsi" w:cstheme="minorHAnsi"/>
                <w:sz w:val="18"/>
                <w:szCs w:val="18"/>
              </w:rPr>
              <w:t>2</w:t>
            </w:r>
            <w:r w:rsidRPr="009120B5">
              <w:rPr>
                <w:rFonts w:asciiTheme="minorHAnsi" w:hAnsiTheme="minorHAnsi" w:cstheme="minorHAnsi"/>
                <w:sz w:val="18"/>
                <w:szCs w:val="18"/>
              </w:rPr>
              <w:t>)</w:t>
            </w:r>
            <w:r w:rsidRPr="009120B5">
              <w:rPr>
                <w:rFonts w:ascii="Calibri" w:hAnsi="Calibri" w:cs="Calibri"/>
                <w:color w:val="000000"/>
                <w:sz w:val="18"/>
                <w:szCs w:val="18"/>
              </w:rPr>
              <w:t xml:space="preserve"> Cardiac Interbeat Intervals, Respiratory Sinus Arrhythmia</w:t>
            </w:r>
          </w:p>
        </w:tc>
        <w:tc>
          <w:tcPr>
            <w:tcW w:w="2008" w:type="pct"/>
          </w:tcPr>
          <w:p w14:paraId="4028DA8F"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olor w:val="000000"/>
                <w:sz w:val="18"/>
                <w:szCs w:val="18"/>
              </w:rPr>
              <w:t>Self-report of task difficulty, emotion ratings, Symptom Checklist,</w:t>
            </w:r>
            <w:r w:rsidRPr="009120B5">
              <w:t xml:space="preserve"> </w:t>
            </w:r>
            <w:r w:rsidRPr="009120B5">
              <w:rPr>
                <w:rFonts w:asciiTheme="minorHAnsi" w:hAnsiTheme="minorHAnsi"/>
                <w:color w:val="000000"/>
                <w:sz w:val="18"/>
                <w:szCs w:val="18"/>
              </w:rPr>
              <w:t>PTSD Symptom checklist</w:t>
            </w:r>
          </w:p>
        </w:tc>
      </w:tr>
      <w:tr w:rsidR="007E0ABC" w:rsidRPr="009120B5" w14:paraId="3A7D98E0" w14:textId="77777777" w:rsidTr="00970047">
        <w:trPr>
          <w:trHeight w:val="219"/>
        </w:trPr>
        <w:tc>
          <w:tcPr>
            <w:tcW w:w="1104" w:type="pct"/>
            <w:vMerge/>
            <w:tcBorders>
              <w:right w:val="single" w:sz="18" w:space="0" w:color="A5A5A5" w:themeColor="accent3"/>
            </w:tcBorders>
            <w:shd w:val="clear" w:color="auto" w:fill="EDEDED" w:themeFill="accent3" w:themeFillTint="33"/>
          </w:tcPr>
          <w:p w14:paraId="3B3F76CA"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0CBCF9A1" w14:textId="77777777" w:rsidR="007E0ABC" w:rsidRPr="009120B5" w:rsidRDefault="007E0ABC" w:rsidP="007E0ABC">
            <w:pPr>
              <w:spacing w:line="240" w:lineRule="auto"/>
              <w:rPr>
                <w:rFonts w:asciiTheme="minorHAnsi" w:hAnsiTheme="minorHAnsi" w:cstheme="minorHAnsi"/>
                <w:sz w:val="18"/>
                <w:szCs w:val="18"/>
              </w:rPr>
            </w:pPr>
            <w:r>
              <w:rPr>
                <w:rFonts w:asciiTheme="minorHAnsi" w:hAnsiTheme="minorHAnsi" w:cstheme="minorHAnsi"/>
                <w:sz w:val="18"/>
                <w:szCs w:val="18"/>
              </w:rPr>
              <w:t xml:space="preserve">(16) </w:t>
            </w:r>
            <w:r w:rsidRPr="009120B5">
              <w:rPr>
                <w:rFonts w:ascii="Calibri" w:hAnsi="Calibri" w:cs="Calibri"/>
                <w:color w:val="000000"/>
                <w:sz w:val="18"/>
                <w:szCs w:val="18"/>
              </w:rPr>
              <w:t>Cardiac Interbeat Intervals, Respiratory Sinus Arrhythmia</w:t>
            </w:r>
          </w:p>
        </w:tc>
        <w:tc>
          <w:tcPr>
            <w:tcW w:w="2008" w:type="pct"/>
          </w:tcPr>
          <w:p w14:paraId="48C14B96" w14:textId="77777777" w:rsidR="007E0ABC" w:rsidRPr="009120B5" w:rsidRDefault="007E0ABC" w:rsidP="007E0ABC">
            <w:pPr>
              <w:spacing w:line="240" w:lineRule="auto"/>
              <w:rPr>
                <w:rFonts w:asciiTheme="minorHAnsi" w:hAnsiTheme="minorHAnsi"/>
                <w:color w:val="000000"/>
                <w:sz w:val="18"/>
                <w:szCs w:val="18"/>
              </w:rPr>
            </w:pPr>
            <w:r w:rsidRPr="00926F91">
              <w:rPr>
                <w:rFonts w:asciiTheme="minorHAnsi" w:hAnsiTheme="minorHAnsi" w:cstheme="minorHAnsi"/>
                <w:color w:val="000000"/>
                <w:sz w:val="18"/>
                <w:szCs w:val="18"/>
              </w:rPr>
              <w:t>Self-Assessment Manikin emotion rating scale (ratings for emotional valence and arousal</w:t>
            </w:r>
            <w:r w:rsidRPr="00DA42F8">
              <w:rPr>
                <w:rFonts w:asciiTheme="minorHAnsi" w:hAnsiTheme="minorHAnsi"/>
                <w:color w:val="000000"/>
                <w:sz w:val="18"/>
                <w:szCs w:val="18"/>
              </w:rPr>
              <w:t xml:space="preserve">, </w:t>
            </w:r>
            <w:r w:rsidRPr="009120B5">
              <w:rPr>
                <w:rFonts w:asciiTheme="minorHAnsi" w:hAnsiTheme="minorHAnsi"/>
                <w:color w:val="000000"/>
                <w:sz w:val="18"/>
                <w:szCs w:val="18"/>
              </w:rPr>
              <w:t xml:space="preserve">PTSD Symptom </w:t>
            </w:r>
            <w:r w:rsidRPr="009120B5">
              <w:rPr>
                <w:rFonts w:asciiTheme="minorHAnsi" w:hAnsiTheme="minorHAnsi"/>
                <w:color w:val="000000"/>
                <w:sz w:val="18"/>
                <w:szCs w:val="18"/>
              </w:rPr>
              <w:lastRenderedPageBreak/>
              <w:t>checklist</w:t>
            </w:r>
            <w:r w:rsidRPr="00DA42F8">
              <w:rPr>
                <w:rFonts w:asciiTheme="minorHAnsi" w:hAnsiTheme="minorHAnsi"/>
                <w:color w:val="000000"/>
                <w:sz w:val="18"/>
                <w:szCs w:val="18"/>
              </w:rPr>
              <w:t xml:space="preserve">, </w:t>
            </w:r>
            <w:r w:rsidRPr="009120B5">
              <w:rPr>
                <w:rFonts w:asciiTheme="minorHAnsi" w:hAnsiTheme="minorHAnsi"/>
                <w:color w:val="000000"/>
                <w:sz w:val="18"/>
                <w:szCs w:val="18"/>
              </w:rPr>
              <w:t>Symptom Checklist,</w:t>
            </w:r>
            <w:r w:rsidRPr="009120B5">
              <w:t xml:space="preserve"> </w:t>
            </w:r>
            <w:r w:rsidRPr="009120B5">
              <w:rPr>
                <w:rFonts w:asciiTheme="minorHAnsi" w:hAnsiTheme="minorHAnsi"/>
                <w:color w:val="000000"/>
                <w:sz w:val="18"/>
                <w:szCs w:val="18"/>
              </w:rPr>
              <w:t>PTSD Symptom checklist</w:t>
            </w:r>
          </w:p>
        </w:tc>
      </w:tr>
      <w:tr w:rsidR="007E0ABC" w:rsidRPr="009120B5" w14:paraId="5EC1EB58" w14:textId="77777777" w:rsidTr="00970047">
        <w:trPr>
          <w:trHeight w:val="219"/>
        </w:trPr>
        <w:tc>
          <w:tcPr>
            <w:tcW w:w="1104" w:type="pct"/>
            <w:vMerge/>
            <w:tcBorders>
              <w:top w:val="single" w:sz="4" w:space="0" w:color="AEAAAA" w:themeColor="background2" w:themeShade="BF"/>
              <w:right w:val="single" w:sz="18" w:space="0" w:color="A5A5A5" w:themeColor="accent3"/>
            </w:tcBorders>
            <w:shd w:val="clear" w:color="auto" w:fill="EDEDED" w:themeFill="accent3" w:themeFillTint="33"/>
          </w:tcPr>
          <w:p w14:paraId="7F5EABFA"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top w:val="single" w:sz="4" w:space="0" w:color="AEAAAA" w:themeColor="background2" w:themeShade="BF"/>
              <w:left w:val="single" w:sz="18" w:space="0" w:color="A5A5A5" w:themeColor="accent3"/>
            </w:tcBorders>
          </w:tcPr>
          <w:p w14:paraId="6DF89785" w14:textId="77777777" w:rsidR="007E0ABC" w:rsidRPr="009120B5" w:rsidRDefault="007E0ABC" w:rsidP="007E0ABC">
            <w:pPr>
              <w:spacing w:line="240" w:lineRule="auto"/>
              <w:rPr>
                <w:rFonts w:asciiTheme="minorHAnsi" w:hAnsiTheme="minorHAnsi" w:cstheme="minorHAnsi"/>
                <w:sz w:val="18"/>
                <w:szCs w:val="18"/>
              </w:rPr>
            </w:pPr>
            <w:r>
              <w:rPr>
                <w:rFonts w:asciiTheme="minorHAnsi" w:hAnsiTheme="minorHAnsi" w:cstheme="minorHAnsi"/>
                <w:color w:val="000000"/>
                <w:sz w:val="18"/>
                <w:szCs w:val="18"/>
              </w:rPr>
              <w:t>(17</w:t>
            </w:r>
            <w:r w:rsidRPr="009120B5">
              <w:rPr>
                <w:rFonts w:asciiTheme="minorHAnsi" w:hAnsiTheme="minorHAnsi" w:cstheme="minorHAnsi"/>
                <w:color w:val="000000"/>
                <w:sz w:val="18"/>
                <w:szCs w:val="18"/>
              </w:rPr>
              <w:t xml:space="preserve">) </w:t>
            </w:r>
            <w:r w:rsidRPr="009120B5">
              <w:rPr>
                <w:rFonts w:asciiTheme="minorHAnsi" w:hAnsiTheme="minorHAnsi"/>
                <w:color w:val="000000"/>
                <w:sz w:val="18"/>
                <w:szCs w:val="18"/>
              </w:rPr>
              <w:t>Heartbeat Tracking Task, Heartbeat Detection Task, Time tracking task</w:t>
            </w:r>
          </w:p>
        </w:tc>
        <w:tc>
          <w:tcPr>
            <w:tcW w:w="2008" w:type="pct"/>
            <w:tcBorders>
              <w:top w:val="single" w:sz="4" w:space="0" w:color="AEAAAA" w:themeColor="background2" w:themeShade="BF"/>
            </w:tcBorders>
          </w:tcPr>
          <w:p w14:paraId="74D9B356"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olor w:val="000000"/>
                <w:sz w:val="18"/>
                <w:szCs w:val="18"/>
              </w:rPr>
              <w:t xml:space="preserve">Confidence level on VAS, </w:t>
            </w:r>
            <w:proofErr w:type="spellStart"/>
            <w:r w:rsidRPr="009120B5">
              <w:rPr>
                <w:rFonts w:asciiTheme="minorHAnsi" w:hAnsiTheme="minorHAnsi"/>
                <w:color w:val="000000"/>
                <w:sz w:val="18"/>
                <w:szCs w:val="18"/>
              </w:rPr>
              <w:t>Porges</w:t>
            </w:r>
            <w:proofErr w:type="spellEnd"/>
            <w:r w:rsidRPr="009120B5">
              <w:rPr>
                <w:rFonts w:asciiTheme="minorHAnsi" w:hAnsiTheme="minorHAnsi"/>
                <w:color w:val="000000"/>
                <w:sz w:val="18"/>
                <w:szCs w:val="18"/>
              </w:rPr>
              <w:t xml:space="preserve"> Body Perception Questionnaire, Spielberg State-Trait Inventory, Beck Depression Inventory, Somatic Dissociation Questionnaire-20, Multiscale Dissociation Inventory</w:t>
            </w:r>
          </w:p>
        </w:tc>
      </w:tr>
      <w:tr w:rsidR="007E0ABC" w:rsidRPr="009120B5" w14:paraId="0C0EFC67" w14:textId="77777777" w:rsidTr="00970047">
        <w:trPr>
          <w:trHeight w:val="589"/>
        </w:trPr>
        <w:tc>
          <w:tcPr>
            <w:tcW w:w="1104" w:type="pct"/>
            <w:vMerge/>
            <w:tcBorders>
              <w:right w:val="single" w:sz="18" w:space="0" w:color="A5A5A5" w:themeColor="accent3"/>
            </w:tcBorders>
            <w:shd w:val="clear" w:color="auto" w:fill="EDEDED" w:themeFill="accent3" w:themeFillTint="33"/>
          </w:tcPr>
          <w:p w14:paraId="506E679C"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bottom w:val="single" w:sz="4" w:space="0" w:color="AEAAAA" w:themeColor="background2" w:themeShade="BF"/>
            </w:tcBorders>
          </w:tcPr>
          <w:p w14:paraId="3689A0F1" w14:textId="77777777" w:rsidR="007E0ABC" w:rsidRPr="009120B5" w:rsidRDefault="007E0ABC" w:rsidP="007E0ABC">
            <w:pPr>
              <w:spacing w:line="240" w:lineRule="auto"/>
              <w:rPr>
                <w:rFonts w:asciiTheme="minorHAnsi" w:hAnsiTheme="minorHAnsi"/>
                <w:color w:val="000000"/>
                <w:sz w:val="18"/>
                <w:szCs w:val="18"/>
              </w:rPr>
            </w:pPr>
            <w:r>
              <w:rPr>
                <w:rFonts w:asciiTheme="minorHAnsi" w:hAnsiTheme="minorHAnsi" w:cstheme="minorHAnsi"/>
                <w:sz w:val="18"/>
                <w:szCs w:val="18"/>
              </w:rPr>
              <w:t>(18</w:t>
            </w:r>
            <w:r w:rsidRPr="009120B5">
              <w:rPr>
                <w:rFonts w:asciiTheme="minorHAnsi" w:hAnsiTheme="minorHAnsi" w:cstheme="minorHAnsi"/>
                <w:sz w:val="18"/>
                <w:szCs w:val="18"/>
              </w:rPr>
              <w:t xml:space="preserve">) </w:t>
            </w:r>
            <w:r w:rsidRPr="009120B5">
              <w:rPr>
                <w:rFonts w:asciiTheme="minorHAnsi" w:hAnsiTheme="minorHAnsi"/>
                <w:color w:val="000000"/>
                <w:sz w:val="18"/>
                <w:szCs w:val="18"/>
              </w:rPr>
              <w:t>Skin Conductance Response, Heart Rate deceleration</w:t>
            </w:r>
          </w:p>
        </w:tc>
        <w:tc>
          <w:tcPr>
            <w:tcW w:w="2008" w:type="pct"/>
            <w:tcBorders>
              <w:bottom w:val="single" w:sz="4" w:space="0" w:color="AEAAAA" w:themeColor="background2" w:themeShade="BF"/>
            </w:tcBorders>
          </w:tcPr>
          <w:p w14:paraId="58F00C26" w14:textId="77777777" w:rsidR="007E0ABC" w:rsidRPr="009120B5" w:rsidRDefault="007E0ABC" w:rsidP="007E0ABC">
            <w:pPr>
              <w:spacing w:line="240" w:lineRule="auto"/>
              <w:rPr>
                <w:rFonts w:asciiTheme="minorHAnsi" w:hAnsiTheme="minorHAnsi" w:cstheme="minorHAnsi"/>
                <w:sz w:val="18"/>
                <w:szCs w:val="18"/>
              </w:rPr>
            </w:pPr>
            <w:r w:rsidRPr="009120B5">
              <w:rPr>
                <w:rFonts w:asciiTheme="minorHAnsi" w:hAnsiTheme="minorHAnsi" w:cstheme="minorHAnsi"/>
                <w:sz w:val="18"/>
                <w:szCs w:val="18"/>
              </w:rPr>
              <w:t xml:space="preserve">Toronto Alexithymia Scale, Hamilton Anxiety Rating Scale, Childhood Trauma Questionnaire, Dissociative Experiences Scale, </w:t>
            </w:r>
            <w:r w:rsidRPr="009120B5">
              <w:rPr>
                <w:rFonts w:asciiTheme="minorHAnsi" w:hAnsiTheme="minorHAnsi"/>
                <w:color w:val="000000"/>
                <w:sz w:val="18"/>
                <w:szCs w:val="18"/>
              </w:rPr>
              <w:t>measures of valence and arousal on SAM</w:t>
            </w:r>
          </w:p>
        </w:tc>
      </w:tr>
      <w:tr w:rsidR="007E0ABC" w:rsidRPr="009120B5" w14:paraId="2711F9D8" w14:textId="77777777" w:rsidTr="00970047">
        <w:trPr>
          <w:trHeight w:val="309"/>
        </w:trPr>
        <w:tc>
          <w:tcPr>
            <w:tcW w:w="1104" w:type="pct"/>
            <w:vMerge w:val="restart"/>
            <w:tcBorders>
              <w:top w:val="single" w:sz="18" w:space="0" w:color="A5A5A5" w:themeColor="accent3"/>
              <w:right w:val="single" w:sz="18" w:space="0" w:color="A5A5A5" w:themeColor="accent3"/>
            </w:tcBorders>
            <w:shd w:val="clear" w:color="auto" w:fill="EDEDED" w:themeFill="accent3" w:themeFillTint="33"/>
          </w:tcPr>
          <w:p w14:paraId="35F5B2CA" w14:textId="77777777" w:rsidR="007E0ABC" w:rsidRPr="009120B5" w:rsidRDefault="007E0ABC" w:rsidP="007E0ABC">
            <w:pPr>
              <w:spacing w:line="240" w:lineRule="auto"/>
              <w:rPr>
                <w:rFonts w:asciiTheme="minorHAnsi" w:hAnsiTheme="minorHAnsi" w:cstheme="minorHAnsi"/>
                <w:b/>
                <w:bCs/>
                <w:szCs w:val="20"/>
              </w:rPr>
            </w:pPr>
            <w:r w:rsidRPr="009120B5">
              <w:rPr>
                <w:rFonts w:asciiTheme="minorHAnsi" w:hAnsiTheme="minorHAnsi" w:cstheme="minorHAnsi"/>
                <w:b/>
                <w:bCs/>
                <w:szCs w:val="20"/>
              </w:rPr>
              <w:t>Symptomatology/Behavioural</w:t>
            </w:r>
          </w:p>
          <w:p w14:paraId="2DD8D224" w14:textId="77777777" w:rsidR="007E0ABC" w:rsidRPr="009120B5" w:rsidRDefault="007E0ABC" w:rsidP="007E0ABC">
            <w:pPr>
              <w:spacing w:line="240" w:lineRule="auto"/>
              <w:rPr>
                <w:rFonts w:asciiTheme="minorHAnsi" w:hAnsiTheme="minorHAnsi" w:cstheme="minorHAnsi"/>
                <w:b/>
                <w:bCs/>
                <w:szCs w:val="20"/>
              </w:rPr>
            </w:pPr>
            <w:r>
              <w:rPr>
                <w:rFonts w:asciiTheme="minorHAnsi" w:hAnsiTheme="minorHAnsi" w:cstheme="minorHAnsi"/>
                <w:b/>
                <w:bCs/>
                <w:szCs w:val="20"/>
              </w:rPr>
              <w:t xml:space="preserve"> (n=2</w:t>
            </w:r>
            <w:r w:rsidRPr="009120B5">
              <w:rPr>
                <w:rFonts w:asciiTheme="minorHAnsi" w:hAnsiTheme="minorHAnsi" w:cstheme="minorHAnsi"/>
                <w:b/>
                <w:bCs/>
                <w:szCs w:val="20"/>
              </w:rPr>
              <w:t>)</w:t>
            </w:r>
          </w:p>
        </w:tc>
        <w:tc>
          <w:tcPr>
            <w:tcW w:w="1888" w:type="pct"/>
            <w:tcBorders>
              <w:left w:val="single" w:sz="18" w:space="0" w:color="A5A5A5" w:themeColor="accent3"/>
            </w:tcBorders>
          </w:tcPr>
          <w:p w14:paraId="720271FD" w14:textId="77777777" w:rsidR="007E0ABC" w:rsidRPr="009120B5" w:rsidRDefault="007E0ABC" w:rsidP="007E0ABC">
            <w:pPr>
              <w:spacing w:line="240" w:lineRule="auto"/>
              <w:rPr>
                <w:rFonts w:asciiTheme="minorHAnsi" w:hAnsiTheme="minorHAnsi" w:cstheme="minorHAnsi"/>
                <w:color w:val="000000"/>
                <w:sz w:val="18"/>
                <w:szCs w:val="18"/>
              </w:rPr>
            </w:pPr>
            <w:r w:rsidRPr="009120B5">
              <w:rPr>
                <w:rFonts w:asciiTheme="minorHAnsi" w:hAnsiTheme="minorHAnsi" w:cstheme="minorHAnsi"/>
                <w:color w:val="000000"/>
                <w:sz w:val="18"/>
                <w:szCs w:val="18"/>
              </w:rPr>
              <w:t>(1</w:t>
            </w:r>
            <w:r>
              <w:rPr>
                <w:rFonts w:asciiTheme="minorHAnsi" w:hAnsiTheme="minorHAnsi" w:cstheme="minorHAnsi"/>
                <w:color w:val="000000"/>
                <w:sz w:val="18"/>
                <w:szCs w:val="18"/>
              </w:rPr>
              <w:t>1</w:t>
            </w:r>
            <w:r w:rsidRPr="009120B5">
              <w:rPr>
                <w:rFonts w:asciiTheme="minorHAnsi" w:hAnsiTheme="minorHAnsi" w:cstheme="minorHAnsi"/>
                <w:color w:val="000000"/>
                <w:sz w:val="18"/>
                <w:szCs w:val="18"/>
              </w:rPr>
              <w:t>) Actigraph measurement of tremor</w:t>
            </w:r>
          </w:p>
        </w:tc>
        <w:tc>
          <w:tcPr>
            <w:tcW w:w="2008" w:type="pct"/>
          </w:tcPr>
          <w:p w14:paraId="62DBD89D" w14:textId="77777777" w:rsidR="007E0ABC" w:rsidRPr="009120B5" w:rsidRDefault="007E0ABC" w:rsidP="007E0ABC">
            <w:pPr>
              <w:spacing w:line="240" w:lineRule="auto"/>
              <w:rPr>
                <w:rFonts w:asciiTheme="minorHAnsi" w:hAnsiTheme="minorHAnsi" w:cstheme="minorHAnsi"/>
                <w:color w:val="000000"/>
                <w:sz w:val="18"/>
                <w:szCs w:val="18"/>
              </w:rPr>
            </w:pPr>
            <w:r w:rsidRPr="009120B5">
              <w:rPr>
                <w:rFonts w:asciiTheme="minorHAnsi" w:hAnsiTheme="minorHAnsi" w:cstheme="minorHAnsi"/>
                <w:color w:val="000000"/>
                <w:sz w:val="18"/>
                <w:szCs w:val="18"/>
              </w:rPr>
              <w:t xml:space="preserve">Self-rated assessment of tremor </w:t>
            </w:r>
          </w:p>
        </w:tc>
      </w:tr>
      <w:tr w:rsidR="007E0ABC" w:rsidRPr="009120B5" w14:paraId="249D87CE" w14:textId="77777777" w:rsidTr="00970047">
        <w:trPr>
          <w:trHeight w:val="309"/>
        </w:trPr>
        <w:tc>
          <w:tcPr>
            <w:tcW w:w="1104" w:type="pct"/>
            <w:vMerge/>
            <w:tcBorders>
              <w:right w:val="single" w:sz="18" w:space="0" w:color="A5A5A5" w:themeColor="accent3"/>
            </w:tcBorders>
            <w:shd w:val="clear" w:color="auto" w:fill="EDEDED" w:themeFill="accent3" w:themeFillTint="33"/>
          </w:tcPr>
          <w:p w14:paraId="77AAA224" w14:textId="77777777" w:rsidR="007E0ABC" w:rsidRPr="009120B5" w:rsidRDefault="007E0ABC" w:rsidP="007E0ABC">
            <w:pPr>
              <w:spacing w:line="240" w:lineRule="auto"/>
              <w:rPr>
                <w:rFonts w:asciiTheme="minorHAnsi" w:hAnsiTheme="minorHAnsi" w:cstheme="minorHAnsi"/>
                <w:b/>
                <w:bCs/>
                <w:szCs w:val="20"/>
              </w:rPr>
            </w:pPr>
          </w:p>
        </w:tc>
        <w:tc>
          <w:tcPr>
            <w:tcW w:w="1888" w:type="pct"/>
            <w:tcBorders>
              <w:left w:val="single" w:sz="18" w:space="0" w:color="A5A5A5" w:themeColor="accent3"/>
            </w:tcBorders>
          </w:tcPr>
          <w:p w14:paraId="681B34A3" w14:textId="77777777" w:rsidR="007E0ABC" w:rsidRPr="009120B5" w:rsidRDefault="007E0ABC" w:rsidP="007E0ABC">
            <w:pPr>
              <w:spacing w:line="240" w:lineRule="auto"/>
              <w:rPr>
                <w:rFonts w:asciiTheme="minorHAnsi" w:hAnsiTheme="minorHAnsi" w:cstheme="minorHAnsi"/>
                <w:color w:val="000000"/>
                <w:sz w:val="18"/>
                <w:szCs w:val="18"/>
              </w:rPr>
            </w:pPr>
            <w:r>
              <w:rPr>
                <w:rFonts w:asciiTheme="minorHAnsi" w:hAnsiTheme="minorHAnsi" w:cstheme="minorHAnsi"/>
                <w:color w:val="000000"/>
                <w:sz w:val="18"/>
                <w:szCs w:val="18"/>
              </w:rPr>
              <w:t>(13</w:t>
            </w:r>
            <w:r w:rsidRPr="009120B5">
              <w:rPr>
                <w:rFonts w:asciiTheme="minorHAnsi" w:hAnsiTheme="minorHAnsi" w:cstheme="minorHAnsi"/>
                <w:color w:val="000000"/>
                <w:sz w:val="18"/>
                <w:szCs w:val="18"/>
              </w:rPr>
              <w:t>) Actigraph measurement of tremor</w:t>
            </w:r>
          </w:p>
        </w:tc>
        <w:tc>
          <w:tcPr>
            <w:tcW w:w="2008" w:type="pct"/>
          </w:tcPr>
          <w:p w14:paraId="76BF5144" w14:textId="77777777" w:rsidR="007E0ABC" w:rsidRPr="009120B5" w:rsidRDefault="007E0ABC" w:rsidP="007E0ABC">
            <w:pPr>
              <w:spacing w:line="240" w:lineRule="auto"/>
              <w:rPr>
                <w:rFonts w:asciiTheme="minorHAnsi" w:hAnsiTheme="minorHAnsi" w:cstheme="minorHAnsi"/>
                <w:color w:val="000000"/>
                <w:sz w:val="18"/>
                <w:szCs w:val="18"/>
              </w:rPr>
            </w:pPr>
            <w:r w:rsidRPr="009120B5">
              <w:rPr>
                <w:rFonts w:asciiTheme="minorHAnsi" w:hAnsiTheme="minorHAnsi" w:cstheme="minorHAnsi"/>
                <w:color w:val="000000"/>
                <w:sz w:val="18"/>
                <w:szCs w:val="18"/>
              </w:rPr>
              <w:t>Self-rated assessment of tremor</w:t>
            </w:r>
          </w:p>
        </w:tc>
      </w:tr>
    </w:tbl>
    <w:p w14:paraId="4A6FA51B" w14:textId="77777777" w:rsidR="007E0ABC" w:rsidRPr="009120B5" w:rsidRDefault="007E0ABC">
      <w:pPr>
        <w:rPr>
          <w:rFonts w:asciiTheme="minorHAnsi" w:hAnsiTheme="minorHAnsi" w:cstheme="minorHAnsi"/>
          <w:b/>
          <w:bCs/>
        </w:rPr>
      </w:pPr>
    </w:p>
    <w:p w14:paraId="381DCA49" w14:textId="77777777" w:rsidR="007E0ABC" w:rsidRPr="009120B5" w:rsidRDefault="007E0ABC">
      <w:pPr>
        <w:rPr>
          <w:rFonts w:asciiTheme="minorHAnsi" w:hAnsiTheme="minorHAnsi" w:cstheme="minorHAnsi"/>
        </w:rPr>
      </w:pPr>
    </w:p>
    <w:p w14:paraId="69E62550" w14:textId="77777777" w:rsidR="007E0ABC" w:rsidRPr="009120B5" w:rsidRDefault="007E0ABC" w:rsidP="00716FF2">
      <w:pPr>
        <w:jc w:val="center"/>
        <w:rPr>
          <w:rFonts w:asciiTheme="minorHAnsi" w:hAnsiTheme="minorHAnsi" w:cstheme="minorHAnsi"/>
          <w:b/>
          <w:bCs/>
          <w:i/>
          <w:iCs/>
          <w:sz w:val="28"/>
          <w:szCs w:val="28"/>
        </w:rPr>
      </w:pPr>
      <w:r w:rsidRPr="00716FF2">
        <w:t>Table 46. Correlations between self-report scores and objective measures reported in the included studies</w:t>
      </w:r>
    </w:p>
    <w:p w14:paraId="3D326340" w14:textId="77777777" w:rsidR="007E0ABC" w:rsidRPr="009120B5" w:rsidRDefault="007E0ABC"/>
    <w:tbl>
      <w:tblPr>
        <w:tblStyle w:val="PlainTable1"/>
        <w:tblW w:w="5000" w:type="pct"/>
        <w:tblLook w:val="04A0" w:firstRow="1" w:lastRow="0" w:firstColumn="1" w:lastColumn="0" w:noHBand="0" w:noVBand="1"/>
      </w:tblPr>
      <w:tblGrid>
        <w:gridCol w:w="1425"/>
        <w:gridCol w:w="1290"/>
        <w:gridCol w:w="1660"/>
        <w:gridCol w:w="1574"/>
        <w:gridCol w:w="1562"/>
        <w:gridCol w:w="1499"/>
      </w:tblGrid>
      <w:tr w:rsidR="007E0ABC" w:rsidRPr="00321947" w14:paraId="7DEF01DC" w14:textId="77777777" w:rsidTr="00971450">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36" w:type="pct"/>
            <w:vMerge w:val="restart"/>
            <w:vAlign w:val="center"/>
          </w:tcPr>
          <w:p w14:paraId="51166B63" w14:textId="77777777" w:rsidR="007E0ABC" w:rsidRDefault="007E0ABC" w:rsidP="00971450">
            <w:pPr>
              <w:jc w:val="center"/>
            </w:pPr>
            <w:r w:rsidRPr="00D47597">
              <w:t>Category</w:t>
            </w:r>
          </w:p>
          <w:p w14:paraId="64228656" w14:textId="77777777" w:rsidR="007E0ABC" w:rsidRDefault="007E0ABC" w:rsidP="00971450">
            <w:pPr>
              <w:jc w:val="center"/>
            </w:pPr>
          </w:p>
          <w:p w14:paraId="1B887520" w14:textId="77777777" w:rsidR="007E0ABC" w:rsidRPr="00971450" w:rsidRDefault="007E0ABC" w:rsidP="00971450">
            <w:pPr>
              <w:jc w:val="center"/>
              <w:rPr>
                <w:b w:val="0"/>
                <w:bCs w:val="0"/>
                <w:szCs w:val="20"/>
                <w:vertAlign w:val="superscript"/>
              </w:rPr>
            </w:pPr>
            <w:r w:rsidRPr="00EF5DF1">
              <w:rPr>
                <w:b w:val="0"/>
                <w:bCs w:val="0"/>
                <w:szCs w:val="20"/>
              </w:rPr>
              <w:t>(n</w:t>
            </w:r>
            <w:r>
              <w:rPr>
                <w:b w:val="0"/>
                <w:bCs w:val="0"/>
                <w:szCs w:val="20"/>
              </w:rPr>
              <w:t>.</w:t>
            </w:r>
            <w:r w:rsidRPr="00EF5DF1">
              <w:rPr>
                <w:b w:val="0"/>
                <w:bCs w:val="0"/>
                <w:szCs w:val="20"/>
              </w:rPr>
              <w:t xml:space="preserve"> comparative studies/n</w:t>
            </w:r>
            <w:r>
              <w:rPr>
                <w:b w:val="0"/>
                <w:bCs w:val="0"/>
                <w:szCs w:val="20"/>
              </w:rPr>
              <w:t>.</w:t>
            </w:r>
            <w:r w:rsidRPr="00EF5DF1">
              <w:rPr>
                <w:b w:val="0"/>
                <w:bCs w:val="0"/>
                <w:szCs w:val="20"/>
              </w:rPr>
              <w:t xml:space="preserve"> number of studies in category)</w:t>
            </w:r>
            <w:r>
              <w:rPr>
                <w:b w:val="0"/>
                <w:bCs w:val="0"/>
                <w:szCs w:val="20"/>
                <w:vertAlign w:val="superscript"/>
              </w:rPr>
              <w:t>b</w:t>
            </w:r>
          </w:p>
          <w:p w14:paraId="5D0204F8" w14:textId="77777777" w:rsidR="007E0ABC" w:rsidRPr="00D47597" w:rsidRDefault="007E0ABC" w:rsidP="00971450">
            <w:pPr>
              <w:jc w:val="center"/>
            </w:pPr>
          </w:p>
        </w:tc>
        <w:tc>
          <w:tcPr>
            <w:tcW w:w="539" w:type="pct"/>
            <w:vMerge w:val="restart"/>
            <w:tcBorders>
              <w:bottom w:val="single" w:sz="18" w:space="0" w:color="auto"/>
            </w:tcBorders>
            <w:vAlign w:val="center"/>
          </w:tcPr>
          <w:p w14:paraId="31858EB6" w14:textId="77777777" w:rsidR="007E0ABC" w:rsidRPr="00D47597" w:rsidRDefault="007E0ABC" w:rsidP="00971450">
            <w:pPr>
              <w:ind w:left="45" w:hanging="45"/>
              <w:jc w:val="center"/>
              <w:cnfStyle w:val="100000000000" w:firstRow="1" w:lastRow="0" w:firstColumn="0" w:lastColumn="0" w:oddVBand="0" w:evenVBand="0" w:oddHBand="0" w:evenHBand="0" w:firstRowFirstColumn="0" w:firstRowLastColumn="0" w:lastRowFirstColumn="0" w:lastRowLastColumn="0"/>
            </w:pPr>
            <w:r w:rsidRPr="00D47597">
              <w:t>Study</w:t>
            </w:r>
          </w:p>
        </w:tc>
        <w:tc>
          <w:tcPr>
            <w:tcW w:w="638" w:type="pct"/>
            <w:vMerge w:val="restart"/>
            <w:tcBorders>
              <w:bottom w:val="single" w:sz="18" w:space="0" w:color="auto"/>
            </w:tcBorders>
            <w:vAlign w:val="center"/>
          </w:tcPr>
          <w:p w14:paraId="6BC0B62E" w14:textId="77777777" w:rsidR="007E0ABC" w:rsidRPr="00D47597" w:rsidRDefault="007E0ABC" w:rsidP="00971450">
            <w:pPr>
              <w:jc w:val="center"/>
              <w:cnfStyle w:val="100000000000" w:firstRow="1" w:lastRow="0" w:firstColumn="0" w:lastColumn="0" w:oddVBand="0" w:evenVBand="0" w:oddHBand="0" w:evenHBand="0" w:firstRowFirstColumn="0" w:firstRowLastColumn="0" w:lastRowFirstColumn="0" w:lastRowLastColumn="0"/>
              <w:rPr>
                <w:vertAlign w:val="superscript"/>
              </w:rPr>
            </w:pPr>
            <w:r w:rsidRPr="00D47597">
              <w:t xml:space="preserve">Subjective self-report </w:t>
            </w:r>
            <w:proofErr w:type="spellStart"/>
            <w:r w:rsidRPr="00D47597">
              <w:t>measure</w:t>
            </w:r>
            <w:r w:rsidRPr="00D47597">
              <w:rPr>
                <w:vertAlign w:val="superscript"/>
              </w:rPr>
              <w:t>a</w:t>
            </w:r>
            <w:proofErr w:type="spellEnd"/>
          </w:p>
        </w:tc>
        <w:tc>
          <w:tcPr>
            <w:tcW w:w="785" w:type="pct"/>
            <w:vMerge w:val="restart"/>
            <w:tcBorders>
              <w:bottom w:val="single" w:sz="18" w:space="0" w:color="auto"/>
            </w:tcBorders>
            <w:vAlign w:val="center"/>
          </w:tcPr>
          <w:p w14:paraId="5B19E949" w14:textId="77777777" w:rsidR="007E0ABC" w:rsidRPr="00D47597" w:rsidRDefault="007E0ABC" w:rsidP="00971450">
            <w:pPr>
              <w:jc w:val="center"/>
              <w:cnfStyle w:val="100000000000" w:firstRow="1" w:lastRow="0" w:firstColumn="0" w:lastColumn="0" w:oddVBand="0" w:evenVBand="0" w:oddHBand="0" w:evenHBand="0" w:firstRowFirstColumn="0" w:firstRowLastColumn="0" w:lastRowFirstColumn="0" w:lastRowLastColumn="0"/>
              <w:rPr>
                <w:vertAlign w:val="superscript"/>
              </w:rPr>
            </w:pPr>
            <w:r w:rsidRPr="00D47597">
              <w:t xml:space="preserve">Objective correlate </w:t>
            </w:r>
            <w:proofErr w:type="spellStart"/>
            <w:r w:rsidRPr="00D47597">
              <w:t>measure</w:t>
            </w:r>
            <w:r w:rsidRPr="00D47597">
              <w:rPr>
                <w:vertAlign w:val="superscript"/>
              </w:rPr>
              <w:t>a</w:t>
            </w:r>
            <w:proofErr w:type="spellEnd"/>
          </w:p>
        </w:tc>
        <w:tc>
          <w:tcPr>
            <w:tcW w:w="2402" w:type="pct"/>
            <w:gridSpan w:val="2"/>
            <w:tcBorders>
              <w:bottom w:val="single" w:sz="4" w:space="0" w:color="BFBFBF" w:themeColor="background1" w:themeShade="BF"/>
            </w:tcBorders>
          </w:tcPr>
          <w:p w14:paraId="0C1788FD" w14:textId="77777777" w:rsidR="007E0ABC" w:rsidRPr="00D47597" w:rsidRDefault="007E0ABC" w:rsidP="00971450">
            <w:pPr>
              <w:jc w:val="center"/>
              <w:cnfStyle w:val="100000000000" w:firstRow="1" w:lastRow="0" w:firstColumn="0" w:lastColumn="0" w:oddVBand="0" w:evenVBand="0" w:oddHBand="0" w:evenHBand="0" w:firstRowFirstColumn="0" w:firstRowLastColumn="0" w:lastRowFirstColumn="0" w:lastRowLastColumn="0"/>
              <w:rPr>
                <w:b w:val="0"/>
                <w:bCs w:val="0"/>
              </w:rPr>
            </w:pPr>
            <w:r w:rsidRPr="00D47597">
              <w:t>Within group correlation analysis</w:t>
            </w:r>
          </w:p>
        </w:tc>
      </w:tr>
      <w:tr w:rsidR="007E0ABC" w:rsidRPr="00321947" w14:paraId="02B600E5" w14:textId="77777777" w:rsidTr="00971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vMerge/>
            <w:tcBorders>
              <w:bottom w:val="single" w:sz="18" w:space="0" w:color="auto"/>
            </w:tcBorders>
          </w:tcPr>
          <w:p w14:paraId="55275EB7" w14:textId="77777777" w:rsidR="007E0ABC" w:rsidRPr="00EF5DF1" w:rsidRDefault="007E0ABC" w:rsidP="00971450">
            <w:pPr>
              <w:jc w:val="center"/>
              <w:rPr>
                <w:b w:val="0"/>
                <w:bCs w:val="0"/>
              </w:rPr>
            </w:pPr>
          </w:p>
        </w:tc>
        <w:tc>
          <w:tcPr>
            <w:tcW w:w="539" w:type="pct"/>
            <w:vMerge/>
            <w:tcBorders>
              <w:bottom w:val="single" w:sz="18" w:space="0" w:color="auto"/>
            </w:tcBorders>
            <w:vAlign w:val="center"/>
          </w:tcPr>
          <w:p w14:paraId="62696DD1" w14:textId="77777777" w:rsidR="007E0ABC" w:rsidRPr="00EF5DF1" w:rsidRDefault="007E0ABC" w:rsidP="00971450">
            <w:pPr>
              <w:jc w:val="center"/>
              <w:cnfStyle w:val="000000100000" w:firstRow="0" w:lastRow="0" w:firstColumn="0" w:lastColumn="0" w:oddVBand="0" w:evenVBand="0" w:oddHBand="1" w:evenHBand="0" w:firstRowFirstColumn="0" w:firstRowLastColumn="0" w:lastRowFirstColumn="0" w:lastRowLastColumn="0"/>
              <w:rPr>
                <w:b/>
                <w:bCs/>
              </w:rPr>
            </w:pPr>
          </w:p>
        </w:tc>
        <w:tc>
          <w:tcPr>
            <w:tcW w:w="638" w:type="pct"/>
            <w:vMerge/>
            <w:tcBorders>
              <w:bottom w:val="single" w:sz="18" w:space="0" w:color="auto"/>
            </w:tcBorders>
            <w:vAlign w:val="center"/>
          </w:tcPr>
          <w:p w14:paraId="01A6D4E1" w14:textId="77777777" w:rsidR="007E0ABC" w:rsidRPr="00EF5DF1" w:rsidRDefault="007E0ABC" w:rsidP="00971450">
            <w:pPr>
              <w:jc w:val="center"/>
              <w:cnfStyle w:val="000000100000" w:firstRow="0" w:lastRow="0" w:firstColumn="0" w:lastColumn="0" w:oddVBand="0" w:evenVBand="0" w:oddHBand="1" w:evenHBand="0" w:firstRowFirstColumn="0" w:firstRowLastColumn="0" w:lastRowFirstColumn="0" w:lastRowLastColumn="0"/>
              <w:rPr>
                <w:b/>
                <w:bCs/>
              </w:rPr>
            </w:pPr>
          </w:p>
        </w:tc>
        <w:tc>
          <w:tcPr>
            <w:tcW w:w="785" w:type="pct"/>
            <w:vMerge/>
            <w:tcBorders>
              <w:bottom w:val="single" w:sz="18" w:space="0" w:color="auto"/>
            </w:tcBorders>
            <w:vAlign w:val="center"/>
          </w:tcPr>
          <w:p w14:paraId="78416911" w14:textId="77777777" w:rsidR="007E0ABC" w:rsidRPr="00EF5DF1" w:rsidRDefault="007E0ABC" w:rsidP="00971450">
            <w:pPr>
              <w:jc w:val="center"/>
              <w:cnfStyle w:val="000000100000" w:firstRow="0" w:lastRow="0" w:firstColumn="0" w:lastColumn="0" w:oddVBand="0" w:evenVBand="0" w:oddHBand="1" w:evenHBand="0" w:firstRowFirstColumn="0" w:firstRowLastColumn="0" w:lastRowFirstColumn="0" w:lastRowLastColumn="0"/>
              <w:rPr>
                <w:b/>
                <w:bCs/>
              </w:rPr>
            </w:pPr>
          </w:p>
        </w:tc>
        <w:tc>
          <w:tcPr>
            <w:tcW w:w="1274" w:type="pct"/>
            <w:tcBorders>
              <w:bottom w:val="single" w:sz="18" w:space="0" w:color="auto"/>
            </w:tcBorders>
            <w:vAlign w:val="center"/>
          </w:tcPr>
          <w:p w14:paraId="0068AD43" w14:textId="77777777" w:rsidR="007E0ABC" w:rsidRPr="00EF5DF1" w:rsidRDefault="007E0ABC" w:rsidP="00971450">
            <w:pPr>
              <w:jc w:val="center"/>
              <w:cnfStyle w:val="000000100000" w:firstRow="0" w:lastRow="0" w:firstColumn="0" w:lastColumn="0" w:oddVBand="0" w:evenVBand="0" w:oddHBand="1" w:evenHBand="0" w:firstRowFirstColumn="0" w:firstRowLastColumn="0" w:lastRowFirstColumn="0" w:lastRowLastColumn="0"/>
              <w:rPr>
                <w:b/>
                <w:bCs/>
              </w:rPr>
            </w:pPr>
            <w:r w:rsidRPr="00EF5DF1">
              <w:rPr>
                <w:b/>
                <w:bCs/>
              </w:rPr>
              <w:t>Descriptive</w:t>
            </w:r>
          </w:p>
        </w:tc>
        <w:tc>
          <w:tcPr>
            <w:tcW w:w="1128" w:type="pct"/>
            <w:tcBorders>
              <w:bottom w:val="single" w:sz="18" w:space="0" w:color="auto"/>
            </w:tcBorders>
            <w:vAlign w:val="center"/>
          </w:tcPr>
          <w:p w14:paraId="4ACB9A90" w14:textId="77777777" w:rsidR="007E0ABC" w:rsidRDefault="007E0ABC" w:rsidP="00971450">
            <w:pPr>
              <w:jc w:val="center"/>
              <w:cnfStyle w:val="000000100000" w:firstRow="0" w:lastRow="0" w:firstColumn="0" w:lastColumn="0" w:oddVBand="0" w:evenVBand="0" w:oddHBand="1" w:evenHBand="0" w:firstRowFirstColumn="0" w:firstRowLastColumn="0" w:lastRowFirstColumn="0" w:lastRowLastColumn="0"/>
              <w:rPr>
                <w:b/>
                <w:bCs/>
              </w:rPr>
            </w:pPr>
            <w:r w:rsidRPr="00EF5DF1">
              <w:rPr>
                <w:b/>
                <w:bCs/>
              </w:rPr>
              <w:t>Quantitative</w:t>
            </w:r>
            <w:r>
              <w:rPr>
                <w:b/>
                <w:bCs/>
              </w:rPr>
              <w:t xml:space="preserve"> </w:t>
            </w:r>
          </w:p>
          <w:p w14:paraId="7FF55B21" w14:textId="77777777" w:rsidR="007E0ABC" w:rsidRPr="00EF5DF1" w:rsidRDefault="007E0ABC" w:rsidP="00971450">
            <w:pPr>
              <w:jc w:val="center"/>
              <w:cnfStyle w:val="000000100000" w:firstRow="0" w:lastRow="0" w:firstColumn="0" w:lastColumn="0" w:oddVBand="0" w:evenVBand="0" w:oddHBand="1" w:evenHBand="0" w:firstRowFirstColumn="0" w:firstRowLastColumn="0" w:lastRowFirstColumn="0" w:lastRowLastColumn="0"/>
              <w:rPr>
                <w:b/>
                <w:bCs/>
              </w:rPr>
            </w:pPr>
            <w:r w:rsidRPr="00EF5DF1">
              <w:rPr>
                <w:szCs w:val="20"/>
              </w:rPr>
              <w:t>(r value</w:t>
            </w:r>
            <w:r>
              <w:rPr>
                <w:szCs w:val="20"/>
              </w:rPr>
              <w:t>s</w:t>
            </w:r>
            <w:r w:rsidRPr="00EF5DF1">
              <w:rPr>
                <w:szCs w:val="20"/>
              </w:rPr>
              <w:t>, range)</w:t>
            </w:r>
          </w:p>
        </w:tc>
      </w:tr>
      <w:tr w:rsidR="007E0ABC" w:rsidRPr="00051E72" w14:paraId="7074B83E" w14:textId="77777777" w:rsidTr="00971450">
        <w:trPr>
          <w:trHeight w:val="913"/>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B4D0711" w14:textId="77777777" w:rsidR="007E0ABC" w:rsidRPr="00051E72" w:rsidRDefault="007E0ABC" w:rsidP="00971450">
            <w:pPr>
              <w:jc w:val="center"/>
              <w:rPr>
                <w:color w:val="000000"/>
                <w:szCs w:val="20"/>
              </w:rPr>
            </w:pPr>
            <w:r w:rsidRPr="00051E72">
              <w:rPr>
                <w:color w:val="000000"/>
                <w:szCs w:val="20"/>
              </w:rPr>
              <w:t>Stress Response (6/8)</w:t>
            </w:r>
          </w:p>
        </w:tc>
        <w:tc>
          <w:tcPr>
            <w:tcW w:w="539" w:type="pct"/>
            <w:vAlign w:val="center"/>
          </w:tcPr>
          <w:p w14:paraId="7514E1A7"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Novakova, Harris and Reuber (2017)</w:t>
            </w:r>
          </w:p>
        </w:tc>
        <w:tc>
          <w:tcPr>
            <w:tcW w:w="638" w:type="pct"/>
            <w:vAlign w:val="center"/>
          </w:tcPr>
          <w:p w14:paraId="3D21C9A4"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Smith Stress Symptoms Inventory (SSSI)</w:t>
            </w:r>
          </w:p>
        </w:tc>
        <w:tc>
          <w:tcPr>
            <w:tcW w:w="785" w:type="pct"/>
            <w:vAlign w:val="center"/>
          </w:tcPr>
          <w:p w14:paraId="544169B9"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HRV, cortisol</w:t>
            </w:r>
          </w:p>
        </w:tc>
        <w:tc>
          <w:tcPr>
            <w:tcW w:w="1274" w:type="pct"/>
            <w:vAlign w:val="center"/>
          </w:tcPr>
          <w:p w14:paraId="6C81D38B"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 xml:space="preserve">No significant correlations between self-reported stress and any of the </w:t>
            </w:r>
            <w:r w:rsidRPr="00051E72">
              <w:rPr>
                <w:color w:val="000000"/>
                <w:szCs w:val="20"/>
              </w:rPr>
              <w:lastRenderedPageBreak/>
              <w:t>physiological measures*</w:t>
            </w:r>
          </w:p>
        </w:tc>
        <w:tc>
          <w:tcPr>
            <w:tcW w:w="1128" w:type="pct"/>
            <w:vAlign w:val="center"/>
          </w:tcPr>
          <w:p w14:paraId="4B9D669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lastRenderedPageBreak/>
              <w:t>r =  -0.174 - 0.244, p’s &gt; 0.05</w:t>
            </w:r>
          </w:p>
        </w:tc>
      </w:tr>
      <w:tr w:rsidR="007E0ABC" w:rsidRPr="00051E72" w14:paraId="32E6598D" w14:textId="77777777" w:rsidTr="00971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tcPr>
          <w:p w14:paraId="48CD0E1F" w14:textId="77777777" w:rsidR="007E0ABC" w:rsidRPr="00051E72" w:rsidRDefault="007E0ABC" w:rsidP="00971450">
            <w:pPr>
              <w:rPr>
                <w:color w:val="000000"/>
                <w:szCs w:val="20"/>
              </w:rPr>
            </w:pPr>
          </w:p>
        </w:tc>
        <w:tc>
          <w:tcPr>
            <w:tcW w:w="539" w:type="pct"/>
            <w:vAlign w:val="center"/>
          </w:tcPr>
          <w:p w14:paraId="7DA38ECE"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Pick, Mellers and Goldstein (2018)</w:t>
            </w:r>
          </w:p>
          <w:p w14:paraId="06AA62FC"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638" w:type="pct"/>
            <w:vAlign w:val="center"/>
          </w:tcPr>
          <w:p w14:paraId="51A4119F"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Subjective valence and arousal rating (SAM)</w:t>
            </w:r>
          </w:p>
        </w:tc>
        <w:tc>
          <w:tcPr>
            <w:tcW w:w="785" w:type="pct"/>
            <w:vAlign w:val="center"/>
          </w:tcPr>
          <w:p w14:paraId="1E44E3D2"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SCR, SCL</w:t>
            </w:r>
          </w:p>
        </w:tc>
        <w:tc>
          <w:tcPr>
            <w:tcW w:w="1274" w:type="pct"/>
            <w:vAlign w:val="center"/>
          </w:tcPr>
          <w:p w14:paraId="53E4A7B6"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Correlations between autonomic response and subjective experience were not consistent within PNES population.*</w:t>
            </w:r>
          </w:p>
        </w:tc>
        <w:tc>
          <w:tcPr>
            <w:tcW w:w="1128" w:type="pct"/>
            <w:vAlign w:val="center"/>
          </w:tcPr>
          <w:p w14:paraId="0602C258"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w:t>
            </w:r>
          </w:p>
        </w:tc>
      </w:tr>
      <w:tr w:rsidR="007E0ABC" w:rsidRPr="00051E72" w14:paraId="377C2BEE" w14:textId="77777777" w:rsidTr="00971450">
        <w:trPr>
          <w:trHeight w:val="3881"/>
        </w:trPr>
        <w:tc>
          <w:tcPr>
            <w:cnfStyle w:val="001000000000" w:firstRow="0" w:lastRow="0" w:firstColumn="1" w:lastColumn="0" w:oddVBand="0" w:evenVBand="0" w:oddHBand="0" w:evenHBand="0" w:firstRowFirstColumn="0" w:firstRowLastColumn="0" w:lastRowFirstColumn="0" w:lastRowLastColumn="0"/>
            <w:tcW w:w="636" w:type="pct"/>
          </w:tcPr>
          <w:p w14:paraId="4A0636D0" w14:textId="77777777" w:rsidR="007E0ABC" w:rsidRPr="00051E72" w:rsidRDefault="007E0ABC" w:rsidP="00971450">
            <w:pPr>
              <w:rPr>
                <w:color w:val="000000"/>
                <w:szCs w:val="20"/>
              </w:rPr>
            </w:pPr>
          </w:p>
        </w:tc>
        <w:tc>
          <w:tcPr>
            <w:tcW w:w="539" w:type="pct"/>
            <w:vAlign w:val="center"/>
          </w:tcPr>
          <w:p w14:paraId="6B71931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Apazoglou et al (2017)</w:t>
            </w:r>
          </w:p>
        </w:tc>
        <w:tc>
          <w:tcPr>
            <w:tcW w:w="638" w:type="pct"/>
            <w:vAlign w:val="center"/>
          </w:tcPr>
          <w:p w14:paraId="7F23D448"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 xml:space="preserve">Evaluation of stress on visual analogue scale, Beck Depression Inventory, State-Trait Anxiety Inventory, </w:t>
            </w:r>
          </w:p>
          <w:p w14:paraId="1C93B795"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lang w:val="fr-FR"/>
              </w:rPr>
            </w:pPr>
            <w:r w:rsidRPr="00051E72">
              <w:rPr>
                <w:color w:val="000000"/>
                <w:szCs w:val="20"/>
                <w:lang w:val="fr-FR"/>
              </w:rPr>
              <w:t xml:space="preserve">Ameil-Lebigre Questionnaire (Life </w:t>
            </w:r>
            <w:proofErr w:type="spellStart"/>
            <w:r w:rsidRPr="00051E72">
              <w:rPr>
                <w:color w:val="000000"/>
                <w:szCs w:val="20"/>
                <w:lang w:val="fr-FR"/>
              </w:rPr>
              <w:t>Events</w:t>
            </w:r>
            <w:proofErr w:type="spellEnd"/>
            <w:r w:rsidRPr="00051E72">
              <w:rPr>
                <w:color w:val="000000"/>
                <w:szCs w:val="20"/>
                <w:lang w:val="fr-FR"/>
              </w:rPr>
              <w:t>)</w:t>
            </w:r>
          </w:p>
          <w:p w14:paraId="69F6987B"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 xml:space="preserve">Childhood Trauma Questionnaire </w:t>
            </w:r>
          </w:p>
          <w:p w14:paraId="3444A038"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lastRenderedPageBreak/>
              <w:t>Clinical Global Impression (CGI)</w:t>
            </w:r>
          </w:p>
          <w:p w14:paraId="47C34FA6"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Mobility subscale of Neuro-Qol</w:t>
            </w:r>
          </w:p>
        </w:tc>
        <w:tc>
          <w:tcPr>
            <w:tcW w:w="785" w:type="pct"/>
            <w:vAlign w:val="center"/>
          </w:tcPr>
          <w:p w14:paraId="2AD35BD6"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lastRenderedPageBreak/>
              <w:t>Salivary cortisol and amylase</w:t>
            </w:r>
          </w:p>
          <w:p w14:paraId="0976F3FE"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274" w:type="pct"/>
            <w:vAlign w:val="center"/>
          </w:tcPr>
          <w:p w14:paraId="337B032F"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The number (1) and subjective impact (2) of adverse life events positively correlated with cortisol AUCg.</w:t>
            </w:r>
          </w:p>
          <w:p w14:paraId="1135E67D"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 xml:space="preserve">The number (3) and subjective impact (4) of adverse life events did not correlate with amylase </w:t>
            </w:r>
            <w:r w:rsidRPr="00051E72">
              <w:rPr>
                <w:color w:val="000000"/>
                <w:szCs w:val="20"/>
              </w:rPr>
              <w:lastRenderedPageBreak/>
              <w:t>values (AUCg).</w:t>
            </w:r>
          </w:p>
          <w:p w14:paraId="5BD7F6AA"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No correlation between self-reported stress (VAS) and objective values at rest, nor after stress induction in VAS vs amylase (5) and VAS vs cortisol values (6)</w:t>
            </w:r>
          </w:p>
          <w:p w14:paraId="071ECCE0"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No correlations between self-reported duration and severity of symptoms and salivary cortisol and amylase (7)*</w:t>
            </w:r>
          </w:p>
        </w:tc>
        <w:tc>
          <w:tcPr>
            <w:tcW w:w="1128" w:type="pct"/>
            <w:vAlign w:val="center"/>
          </w:tcPr>
          <w:p w14:paraId="43A65D2E"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lastRenderedPageBreak/>
              <w:t>(1) r = 0.67, p &lt; 0.01</w:t>
            </w:r>
          </w:p>
          <w:p w14:paraId="60518334"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(2) r =- 0.6, p &lt; 0.05</w:t>
            </w:r>
          </w:p>
          <w:p w14:paraId="32234566"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(3) r = 0.24, p &gt; 0.05</w:t>
            </w:r>
          </w:p>
          <w:p w14:paraId="0E2A15ED"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(4) r = 0.33, p &gt; 0.05</w:t>
            </w:r>
          </w:p>
          <w:p w14:paraId="7F97DD97"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(5) r = 0.13, p = 0.65</w:t>
            </w:r>
          </w:p>
          <w:p w14:paraId="001CE86A"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(6) r = -0.17, p &gt; 0.05</w:t>
            </w:r>
          </w:p>
          <w:p w14:paraId="700CD60A"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lang w:val="ru-RU"/>
              </w:rPr>
            </w:pPr>
            <w:r w:rsidRPr="00051E72">
              <w:rPr>
                <w:color w:val="000000"/>
                <w:szCs w:val="20"/>
              </w:rPr>
              <w:t>(7) r = -0.45 - 0.45, p’s &gt; 0.05</w:t>
            </w:r>
          </w:p>
        </w:tc>
      </w:tr>
      <w:tr w:rsidR="007E0ABC" w:rsidRPr="00051E72" w14:paraId="246836F0" w14:textId="77777777" w:rsidTr="00971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tcPr>
          <w:p w14:paraId="31AE19B6" w14:textId="77777777" w:rsidR="007E0ABC" w:rsidRPr="00051E72" w:rsidRDefault="007E0ABC" w:rsidP="00971450">
            <w:pPr>
              <w:rPr>
                <w:color w:val="000000"/>
                <w:szCs w:val="20"/>
                <w:lang w:val="ru-RU"/>
              </w:rPr>
            </w:pPr>
          </w:p>
        </w:tc>
        <w:tc>
          <w:tcPr>
            <w:tcW w:w="539" w:type="pct"/>
            <w:vAlign w:val="center"/>
          </w:tcPr>
          <w:p w14:paraId="7F1D2332"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Maurer et al (2015)</w:t>
            </w:r>
          </w:p>
        </w:tc>
        <w:tc>
          <w:tcPr>
            <w:tcW w:w="638" w:type="pct"/>
            <w:vAlign w:val="center"/>
          </w:tcPr>
          <w:p w14:paraId="1BDC2B54"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 xml:space="preserve">Beck Depression Inventory, </w:t>
            </w:r>
            <w:r w:rsidRPr="00051E72">
              <w:rPr>
                <w:color w:val="000000"/>
                <w:szCs w:val="20"/>
              </w:rPr>
              <w:lastRenderedPageBreak/>
              <w:t>State-Trait Anxiety Inventory, Childhood Trauma Questionnaire, Traumatic Life Events Questionnaire</w:t>
            </w:r>
          </w:p>
        </w:tc>
        <w:tc>
          <w:tcPr>
            <w:tcW w:w="785" w:type="pct"/>
            <w:vAlign w:val="center"/>
          </w:tcPr>
          <w:p w14:paraId="6876FA39"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lastRenderedPageBreak/>
              <w:t>Salivary cortisol</w:t>
            </w:r>
          </w:p>
        </w:tc>
        <w:tc>
          <w:tcPr>
            <w:tcW w:w="1274" w:type="pct"/>
            <w:vAlign w:val="center"/>
          </w:tcPr>
          <w:p w14:paraId="376A4C34"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 xml:space="preserve">No correlation between </w:t>
            </w:r>
            <w:r w:rsidRPr="00051E72">
              <w:rPr>
                <w:color w:val="000000"/>
                <w:szCs w:val="20"/>
              </w:rPr>
              <w:lastRenderedPageBreak/>
              <w:t>cortisol levels and self-report scores on any of the p</w:t>
            </w:r>
            <w:r>
              <w:rPr>
                <w:color w:val="000000"/>
                <w:szCs w:val="20"/>
              </w:rPr>
              <w:t>sychometric questionnaire</w:t>
            </w:r>
            <w:r w:rsidRPr="00051E72">
              <w:rPr>
                <w:color w:val="000000"/>
                <w:szCs w:val="20"/>
              </w:rPr>
              <w:t xml:space="preserve"> measuring anxiety, depression, history of traumas and disorder duration and severity*</w:t>
            </w:r>
          </w:p>
          <w:p w14:paraId="03FA2529"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1128" w:type="pct"/>
            <w:vAlign w:val="center"/>
          </w:tcPr>
          <w:p w14:paraId="2E704733"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lastRenderedPageBreak/>
              <w:t>r = -0.212 – 0.173, p's &gt; 0.05</w:t>
            </w:r>
          </w:p>
        </w:tc>
      </w:tr>
      <w:tr w:rsidR="007E0ABC" w:rsidRPr="00051E72" w14:paraId="113FDE39" w14:textId="77777777" w:rsidTr="00971450">
        <w:trPr>
          <w:trHeight w:val="20"/>
        </w:trPr>
        <w:tc>
          <w:tcPr>
            <w:cnfStyle w:val="001000000000" w:firstRow="0" w:lastRow="0" w:firstColumn="1" w:lastColumn="0" w:oddVBand="0" w:evenVBand="0" w:oddHBand="0" w:evenHBand="0" w:firstRowFirstColumn="0" w:firstRowLastColumn="0" w:lastRowFirstColumn="0" w:lastRowLastColumn="0"/>
            <w:tcW w:w="636" w:type="pct"/>
          </w:tcPr>
          <w:p w14:paraId="4D104CA2" w14:textId="77777777" w:rsidR="007E0ABC" w:rsidRPr="00051E72" w:rsidRDefault="007E0ABC" w:rsidP="00971450">
            <w:pPr>
              <w:rPr>
                <w:color w:val="000000"/>
                <w:szCs w:val="20"/>
              </w:rPr>
            </w:pPr>
          </w:p>
        </w:tc>
        <w:tc>
          <w:tcPr>
            <w:tcW w:w="539" w:type="pct"/>
            <w:vAlign w:val="center"/>
          </w:tcPr>
          <w:p w14:paraId="0558CC94"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roofErr w:type="spellStart"/>
            <w:r w:rsidRPr="00051E72">
              <w:rPr>
                <w:color w:val="000000"/>
                <w:szCs w:val="20"/>
              </w:rPr>
              <w:t>Allendorfer</w:t>
            </w:r>
            <w:proofErr w:type="spellEnd"/>
            <w:r w:rsidRPr="00051E72">
              <w:rPr>
                <w:color w:val="000000"/>
                <w:szCs w:val="20"/>
              </w:rPr>
              <w:t xml:space="preserve"> et al (2019)</w:t>
            </w:r>
          </w:p>
        </w:tc>
        <w:tc>
          <w:tcPr>
            <w:tcW w:w="638" w:type="pct"/>
            <w:vAlign w:val="center"/>
          </w:tcPr>
          <w:p w14:paraId="3AAD088E"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Perceived Stress Scale (PSS)</w:t>
            </w:r>
          </w:p>
          <w:p w14:paraId="1B2E11AB"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785" w:type="pct"/>
            <w:vAlign w:val="center"/>
          </w:tcPr>
          <w:p w14:paraId="51689E0B"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Heart rate, Salivary cortisol and alpha-amylase and</w:t>
            </w:r>
          </w:p>
          <w:p w14:paraId="3583EC6E"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fMRI</w:t>
            </w:r>
          </w:p>
          <w:p w14:paraId="21120909"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274" w:type="pct"/>
            <w:vAlign w:val="center"/>
          </w:tcPr>
          <w:p w14:paraId="4BF16646"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Perceived stress negatively correlated with change in HR to physiological stress (1).</w:t>
            </w:r>
          </w:p>
          <w:p w14:paraId="06ED7AA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 xml:space="preserve">Perceived stress was not associated with change in cortisol (2) or in alpha-amylase (3). </w:t>
            </w:r>
            <w:r w:rsidRPr="00051E72">
              <w:rPr>
                <w:color w:val="000000"/>
                <w:szCs w:val="20"/>
              </w:rPr>
              <w:lastRenderedPageBreak/>
              <w:t>No significant associations were found between fMRI stress response and perceived stress (4)*</w:t>
            </w:r>
          </w:p>
        </w:tc>
        <w:tc>
          <w:tcPr>
            <w:tcW w:w="1128" w:type="pct"/>
            <w:vAlign w:val="center"/>
          </w:tcPr>
          <w:p w14:paraId="5F8614E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lastRenderedPageBreak/>
              <w:t xml:space="preserve">(1) </w:t>
            </w:r>
            <w:proofErr w:type="spellStart"/>
            <w:r w:rsidRPr="00051E72">
              <w:rPr>
                <w:color w:val="000000"/>
                <w:szCs w:val="20"/>
              </w:rPr>
              <w:t>r</w:t>
            </w:r>
            <w:r w:rsidRPr="00051E72">
              <w:rPr>
                <w:color w:val="000000"/>
                <w:szCs w:val="20"/>
                <w:vertAlign w:val="subscript"/>
              </w:rPr>
              <w:t>s</w:t>
            </w:r>
            <w:proofErr w:type="spellEnd"/>
            <w:r w:rsidRPr="00051E72">
              <w:rPr>
                <w:color w:val="000000"/>
                <w:szCs w:val="20"/>
                <w:vertAlign w:val="subscript"/>
              </w:rPr>
              <w:t xml:space="preserve"> </w:t>
            </w:r>
            <w:r w:rsidRPr="00051E72">
              <w:rPr>
                <w:color w:val="000000"/>
                <w:szCs w:val="20"/>
              </w:rPr>
              <w:t>= -0.74, p = 0.0063</w:t>
            </w:r>
          </w:p>
          <w:p w14:paraId="35DBE3E4"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 xml:space="preserve">(2) </w:t>
            </w:r>
            <w:proofErr w:type="spellStart"/>
            <w:r w:rsidRPr="00051E72">
              <w:rPr>
                <w:color w:val="000000"/>
                <w:szCs w:val="20"/>
              </w:rPr>
              <w:t>r</w:t>
            </w:r>
            <w:r w:rsidRPr="00051E72">
              <w:rPr>
                <w:color w:val="000000"/>
                <w:szCs w:val="20"/>
                <w:vertAlign w:val="subscript"/>
              </w:rPr>
              <w:t>s</w:t>
            </w:r>
            <w:proofErr w:type="spellEnd"/>
            <w:r w:rsidRPr="00051E72">
              <w:rPr>
                <w:color w:val="000000"/>
                <w:szCs w:val="20"/>
                <w:vertAlign w:val="subscript"/>
              </w:rPr>
              <w:t xml:space="preserve"> </w:t>
            </w:r>
            <w:r w:rsidRPr="00051E72">
              <w:rPr>
                <w:color w:val="000000"/>
                <w:szCs w:val="20"/>
              </w:rPr>
              <w:t>= -0.47, p = 0.12</w:t>
            </w:r>
          </w:p>
          <w:p w14:paraId="4FC267BC"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 xml:space="preserve">(3) </w:t>
            </w:r>
            <w:proofErr w:type="spellStart"/>
            <w:r w:rsidRPr="00051E72">
              <w:rPr>
                <w:color w:val="000000"/>
                <w:szCs w:val="20"/>
              </w:rPr>
              <w:t>r</w:t>
            </w:r>
            <w:r w:rsidRPr="00051E72">
              <w:rPr>
                <w:color w:val="000000"/>
                <w:szCs w:val="20"/>
                <w:vertAlign w:val="subscript"/>
              </w:rPr>
              <w:t>s</w:t>
            </w:r>
            <w:proofErr w:type="spellEnd"/>
            <w:r w:rsidRPr="00051E72">
              <w:rPr>
                <w:color w:val="000000"/>
                <w:szCs w:val="20"/>
                <w:vertAlign w:val="subscript"/>
              </w:rPr>
              <w:t xml:space="preserve"> </w:t>
            </w:r>
            <w:r w:rsidRPr="00051E72">
              <w:rPr>
                <w:color w:val="000000"/>
                <w:szCs w:val="20"/>
              </w:rPr>
              <w:t>= -0.45, p = 0.14</w:t>
            </w:r>
          </w:p>
          <w:p w14:paraId="7012833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(4) r = nr, p &gt; 0.0125</w:t>
            </w:r>
          </w:p>
        </w:tc>
      </w:tr>
      <w:tr w:rsidR="007E0ABC" w:rsidRPr="00051E72" w14:paraId="4F79DE73" w14:textId="77777777" w:rsidTr="00971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tcPr>
          <w:p w14:paraId="5A3CE814" w14:textId="77777777" w:rsidR="007E0ABC" w:rsidRPr="00051E72" w:rsidRDefault="007E0ABC" w:rsidP="00971450">
            <w:pPr>
              <w:rPr>
                <w:color w:val="000000"/>
                <w:szCs w:val="20"/>
              </w:rPr>
            </w:pPr>
          </w:p>
        </w:tc>
        <w:tc>
          <w:tcPr>
            <w:tcW w:w="539" w:type="pct"/>
            <w:vAlign w:val="center"/>
          </w:tcPr>
          <w:p w14:paraId="6DA02A05"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proofErr w:type="spellStart"/>
            <w:r w:rsidRPr="00051E72">
              <w:rPr>
                <w:color w:val="000000"/>
                <w:szCs w:val="20"/>
              </w:rPr>
              <w:t>Bakvis</w:t>
            </w:r>
            <w:proofErr w:type="spellEnd"/>
            <w:r w:rsidRPr="00051E72">
              <w:rPr>
                <w:color w:val="000000"/>
                <w:szCs w:val="20"/>
              </w:rPr>
              <w:t xml:space="preserve"> et al (2009)</w:t>
            </w:r>
          </w:p>
        </w:tc>
        <w:tc>
          <w:tcPr>
            <w:tcW w:w="638" w:type="pct"/>
            <w:vAlign w:val="center"/>
          </w:tcPr>
          <w:p w14:paraId="3478EB17"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Traumatic Experiences Checklist (TEC), subjective anxiety on a VAS</w:t>
            </w:r>
          </w:p>
        </w:tc>
        <w:tc>
          <w:tcPr>
            <w:tcW w:w="785" w:type="pct"/>
            <w:vAlign w:val="center"/>
          </w:tcPr>
          <w:p w14:paraId="1DDFB324"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Masked emotional Stroop test</w:t>
            </w:r>
          </w:p>
          <w:p w14:paraId="29E82121"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Salivary cortisol</w:t>
            </w:r>
          </w:p>
          <w:p w14:paraId="494BB98B"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Systolic and diastolic BP, HR, HRV</w:t>
            </w:r>
          </w:p>
        </w:tc>
        <w:tc>
          <w:tcPr>
            <w:tcW w:w="1274" w:type="pct"/>
            <w:vAlign w:val="center"/>
          </w:tcPr>
          <w:p w14:paraId="7919D911"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 xml:space="preserve">Positive attentional bias for angry faces at baseline positively correlated to the presence of sexual trauma reports </w:t>
            </w:r>
          </w:p>
        </w:tc>
        <w:tc>
          <w:tcPr>
            <w:tcW w:w="1128" w:type="pct"/>
            <w:vAlign w:val="center"/>
          </w:tcPr>
          <w:p w14:paraId="6FA95DA1"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r = -0.46, p &lt; 0.05</w:t>
            </w:r>
          </w:p>
        </w:tc>
      </w:tr>
      <w:tr w:rsidR="007E0ABC" w:rsidRPr="00051E72" w14:paraId="7FAEF35B" w14:textId="77777777" w:rsidTr="00971450">
        <w:trPr>
          <w:trHeight w:val="48"/>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157D073" w14:textId="77777777" w:rsidR="007E0ABC" w:rsidRPr="00051E72" w:rsidRDefault="007E0ABC" w:rsidP="00971450">
            <w:pPr>
              <w:jc w:val="center"/>
              <w:rPr>
                <w:color w:val="000000"/>
                <w:szCs w:val="20"/>
              </w:rPr>
            </w:pPr>
            <w:r w:rsidRPr="00051E72">
              <w:rPr>
                <w:color w:val="000000"/>
                <w:szCs w:val="20"/>
              </w:rPr>
              <w:t>Emotion Processing (4/8)</w:t>
            </w:r>
          </w:p>
        </w:tc>
        <w:tc>
          <w:tcPr>
            <w:tcW w:w="539" w:type="pct"/>
            <w:vAlign w:val="center"/>
          </w:tcPr>
          <w:p w14:paraId="70E48A1D"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roofErr w:type="spellStart"/>
            <w:r w:rsidRPr="00051E72">
              <w:rPr>
                <w:color w:val="000000"/>
                <w:szCs w:val="20"/>
              </w:rPr>
              <w:t>Kotwas</w:t>
            </w:r>
            <w:proofErr w:type="spellEnd"/>
            <w:r w:rsidRPr="00051E72">
              <w:rPr>
                <w:color w:val="000000"/>
                <w:szCs w:val="20"/>
              </w:rPr>
              <w:t xml:space="preserve"> et al (2019)</w:t>
            </w:r>
          </w:p>
        </w:tc>
        <w:tc>
          <w:tcPr>
            <w:tcW w:w="638" w:type="pct"/>
            <w:vAlign w:val="center"/>
          </w:tcPr>
          <w:p w14:paraId="0A937F89"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 xml:space="preserve">Beck Depression Inventory </w:t>
            </w:r>
          </w:p>
          <w:p w14:paraId="57906E2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State Trait Anxiety Index</w:t>
            </w:r>
          </w:p>
        </w:tc>
        <w:tc>
          <w:tcPr>
            <w:tcW w:w="785" w:type="pct"/>
            <w:vAlign w:val="center"/>
          </w:tcPr>
          <w:p w14:paraId="5ADDCD24"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Skin conductance response</w:t>
            </w:r>
          </w:p>
        </w:tc>
        <w:tc>
          <w:tcPr>
            <w:tcW w:w="1274" w:type="pct"/>
            <w:vAlign w:val="center"/>
          </w:tcPr>
          <w:p w14:paraId="0A13C02A"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No correlation between depression &amp; anxiety scores and skin conductance responses *</w:t>
            </w:r>
          </w:p>
        </w:tc>
        <w:tc>
          <w:tcPr>
            <w:tcW w:w="1128" w:type="pct"/>
            <w:vAlign w:val="center"/>
          </w:tcPr>
          <w:p w14:paraId="32BFB5D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w:t>
            </w:r>
          </w:p>
        </w:tc>
      </w:tr>
      <w:tr w:rsidR="007E0ABC" w:rsidRPr="00051E72" w14:paraId="5FF1E652" w14:textId="77777777" w:rsidTr="00971450">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636" w:type="pct"/>
          </w:tcPr>
          <w:p w14:paraId="75BAE17E" w14:textId="77777777" w:rsidR="007E0ABC" w:rsidRPr="00051E72" w:rsidRDefault="007E0ABC" w:rsidP="00971450">
            <w:pPr>
              <w:rPr>
                <w:color w:val="000000"/>
                <w:szCs w:val="20"/>
              </w:rPr>
            </w:pPr>
          </w:p>
        </w:tc>
        <w:tc>
          <w:tcPr>
            <w:tcW w:w="539" w:type="pct"/>
            <w:vAlign w:val="center"/>
          </w:tcPr>
          <w:p w14:paraId="1D698D4C"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Ricciardi et al (2016)</w:t>
            </w:r>
          </w:p>
        </w:tc>
        <w:tc>
          <w:tcPr>
            <w:tcW w:w="638" w:type="pct"/>
            <w:vAlign w:val="center"/>
          </w:tcPr>
          <w:p w14:paraId="755E4D16"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lang w:val="fr-FR"/>
              </w:rPr>
            </w:pPr>
            <w:r w:rsidRPr="00051E72">
              <w:rPr>
                <w:color w:val="000000"/>
                <w:szCs w:val="20"/>
                <w:lang w:val="fr-FR"/>
              </w:rPr>
              <w:t xml:space="preserve">Toronto </w:t>
            </w:r>
            <w:proofErr w:type="spellStart"/>
            <w:r w:rsidRPr="00051E72">
              <w:rPr>
                <w:color w:val="000000"/>
                <w:szCs w:val="20"/>
                <w:lang w:val="fr-FR"/>
              </w:rPr>
              <w:t>Alexithymia</w:t>
            </w:r>
            <w:proofErr w:type="spellEnd"/>
            <w:r w:rsidRPr="00051E72">
              <w:rPr>
                <w:color w:val="000000"/>
                <w:szCs w:val="20"/>
                <w:lang w:val="fr-FR"/>
              </w:rPr>
              <w:t xml:space="preserve"> Scale-20, Self-Objectification Questionnaire, </w:t>
            </w:r>
          </w:p>
          <w:p w14:paraId="3DC032D6"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 xml:space="preserve">Montgomery </w:t>
            </w:r>
            <w:proofErr w:type="spellStart"/>
            <w:r w:rsidRPr="00051E72">
              <w:rPr>
                <w:color w:val="000000"/>
                <w:szCs w:val="20"/>
              </w:rPr>
              <w:t>Asberg</w:t>
            </w:r>
            <w:proofErr w:type="spellEnd"/>
            <w:r w:rsidRPr="00051E72">
              <w:rPr>
                <w:color w:val="000000"/>
                <w:szCs w:val="20"/>
              </w:rPr>
              <w:t xml:space="preserve"> Depression Rating scale</w:t>
            </w:r>
          </w:p>
        </w:tc>
        <w:tc>
          <w:tcPr>
            <w:tcW w:w="785" w:type="pct"/>
            <w:vAlign w:val="center"/>
          </w:tcPr>
          <w:p w14:paraId="116B20AC"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Interoceptive sensitivity score</w:t>
            </w:r>
          </w:p>
        </w:tc>
        <w:tc>
          <w:tcPr>
            <w:tcW w:w="1274" w:type="pct"/>
            <w:vAlign w:val="center"/>
          </w:tcPr>
          <w:p w14:paraId="55D133A9"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No significant correlations between IS and depression (1), alexithymia (2), self-objectification (3) scores. *</w:t>
            </w:r>
          </w:p>
          <w:p w14:paraId="55B7B7AE"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1128" w:type="pct"/>
            <w:vAlign w:val="center"/>
          </w:tcPr>
          <w:p w14:paraId="040E6D86"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(1) r = -0.51, p = 0.13</w:t>
            </w:r>
          </w:p>
          <w:p w14:paraId="388C62F4"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(2) r = -0.38, p = 0.44</w:t>
            </w:r>
          </w:p>
          <w:p w14:paraId="7CBD0A19"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(3) r = -0.40, p = 0.37</w:t>
            </w:r>
          </w:p>
          <w:p w14:paraId="7B394AA7"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p>
        </w:tc>
      </w:tr>
      <w:tr w:rsidR="007E0ABC" w:rsidRPr="00051E72" w14:paraId="0290A052" w14:textId="77777777" w:rsidTr="00971450">
        <w:trPr>
          <w:trHeight w:val="699"/>
        </w:trPr>
        <w:tc>
          <w:tcPr>
            <w:cnfStyle w:val="001000000000" w:firstRow="0" w:lastRow="0" w:firstColumn="1" w:lastColumn="0" w:oddVBand="0" w:evenVBand="0" w:oddHBand="0" w:evenHBand="0" w:firstRowFirstColumn="0" w:firstRowLastColumn="0" w:lastRowFirstColumn="0" w:lastRowLastColumn="0"/>
            <w:tcW w:w="636" w:type="pct"/>
          </w:tcPr>
          <w:p w14:paraId="5E1DC927" w14:textId="77777777" w:rsidR="007E0ABC" w:rsidRPr="00051E72" w:rsidRDefault="007E0ABC" w:rsidP="00971450">
            <w:pPr>
              <w:rPr>
                <w:color w:val="000000"/>
                <w:szCs w:val="20"/>
              </w:rPr>
            </w:pPr>
          </w:p>
        </w:tc>
        <w:tc>
          <w:tcPr>
            <w:tcW w:w="539" w:type="pct"/>
            <w:vAlign w:val="center"/>
          </w:tcPr>
          <w:p w14:paraId="37BAD68D"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Herrero et al (2020)</w:t>
            </w:r>
          </w:p>
        </w:tc>
        <w:tc>
          <w:tcPr>
            <w:tcW w:w="638" w:type="pct"/>
            <w:vAlign w:val="center"/>
          </w:tcPr>
          <w:p w14:paraId="15C5C2F5" w14:textId="77777777" w:rsidR="007E0ABC" w:rsidRPr="00051E72" w:rsidRDefault="007E0ABC" w:rsidP="00971450">
            <w:pPr>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lang w:val="fr-FR"/>
              </w:rPr>
              <w:t xml:space="preserve">Hamilton </w:t>
            </w:r>
            <w:proofErr w:type="spellStart"/>
            <w:r w:rsidRPr="00051E72">
              <w:rPr>
                <w:color w:val="000000"/>
                <w:szCs w:val="20"/>
                <w:lang w:val="fr-FR"/>
              </w:rPr>
              <w:t>Anxiety</w:t>
            </w:r>
            <w:proofErr w:type="spellEnd"/>
            <w:r w:rsidRPr="00051E72">
              <w:rPr>
                <w:color w:val="000000"/>
                <w:szCs w:val="20"/>
                <w:lang w:val="fr-FR"/>
              </w:rPr>
              <w:t xml:space="preserve"> Rating </w:t>
            </w:r>
            <w:proofErr w:type="spellStart"/>
            <w:r w:rsidRPr="00051E72">
              <w:rPr>
                <w:color w:val="000000"/>
                <w:szCs w:val="20"/>
                <w:lang w:val="fr-FR"/>
              </w:rPr>
              <w:t>Scale</w:t>
            </w:r>
            <w:proofErr w:type="spellEnd"/>
            <w:r w:rsidRPr="00051E72">
              <w:rPr>
                <w:color w:val="000000"/>
                <w:szCs w:val="20"/>
                <w:lang w:val="fr-FR"/>
              </w:rPr>
              <w:t xml:space="preserve">, </w:t>
            </w:r>
            <w:r w:rsidRPr="00051E72">
              <w:rPr>
                <w:color w:val="000000"/>
                <w:szCs w:val="20"/>
              </w:rPr>
              <w:t>Dissociative Experiences Scale, Childhood Trauma Questionnaire, Toronto Alexithymia Scale, m measures of valence and arousal on SAM</w:t>
            </w:r>
          </w:p>
        </w:tc>
        <w:tc>
          <w:tcPr>
            <w:tcW w:w="785" w:type="pct"/>
            <w:vAlign w:val="center"/>
          </w:tcPr>
          <w:p w14:paraId="5ED4DB69"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Skin Conductance Response, Heart rate deceleration</w:t>
            </w:r>
          </w:p>
        </w:tc>
        <w:tc>
          <w:tcPr>
            <w:tcW w:w="1274" w:type="pct"/>
            <w:vAlign w:val="center"/>
          </w:tcPr>
          <w:p w14:paraId="26F2440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051E72">
              <w:rPr>
                <w:rFonts w:eastAsiaTheme="minorHAnsi"/>
                <w:szCs w:val="20"/>
              </w:rPr>
              <w:t xml:space="preserve">Self-reported dissociation tendency was negatively correlated to physiological response SCR (1) and heart rate deceleration (2). </w:t>
            </w:r>
          </w:p>
          <w:p w14:paraId="3727B3AE"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051E72">
              <w:rPr>
                <w:rFonts w:eastAsiaTheme="minorHAnsi"/>
                <w:szCs w:val="20"/>
              </w:rPr>
              <w:t xml:space="preserve">Alexithymia ‘Difficulty in describing feelings” </w:t>
            </w:r>
            <w:proofErr w:type="spellStart"/>
            <w:r w:rsidRPr="00051E72">
              <w:rPr>
                <w:rFonts w:eastAsiaTheme="minorHAnsi"/>
                <w:szCs w:val="20"/>
              </w:rPr>
              <w:t>subscore</w:t>
            </w:r>
            <w:proofErr w:type="spellEnd"/>
            <w:r w:rsidRPr="00051E72">
              <w:rPr>
                <w:rFonts w:eastAsiaTheme="minorHAnsi"/>
                <w:szCs w:val="20"/>
              </w:rPr>
              <w:t xml:space="preserve"> was negatively </w:t>
            </w:r>
            <w:r w:rsidRPr="00051E72">
              <w:rPr>
                <w:rFonts w:eastAsiaTheme="minorHAnsi"/>
                <w:szCs w:val="20"/>
              </w:rPr>
              <w:lastRenderedPageBreak/>
              <w:t>correlated with SCR rate (3), SCR latency (4),and heart rate deceleration (5) for all images. For cognitive response, no correlation was found.*</w:t>
            </w:r>
          </w:p>
        </w:tc>
        <w:tc>
          <w:tcPr>
            <w:tcW w:w="1128" w:type="pct"/>
            <w:vAlign w:val="center"/>
          </w:tcPr>
          <w:p w14:paraId="0924E179"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051E72">
              <w:rPr>
                <w:rFonts w:eastAsiaTheme="minorHAnsi"/>
                <w:szCs w:val="20"/>
              </w:rPr>
              <w:lastRenderedPageBreak/>
              <w:t>(1) r = -0.48, p = 0.0083</w:t>
            </w:r>
          </w:p>
          <w:p w14:paraId="66EA8877"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szCs w:val="20"/>
              </w:rPr>
            </w:pPr>
            <w:r w:rsidRPr="00051E72">
              <w:rPr>
                <w:color w:val="000000"/>
                <w:szCs w:val="20"/>
              </w:rPr>
              <w:t xml:space="preserve">(2) r </w:t>
            </w:r>
            <w:r w:rsidRPr="00051E72">
              <w:rPr>
                <w:rFonts w:eastAsiaTheme="minorHAnsi"/>
                <w:szCs w:val="20"/>
              </w:rPr>
              <w:t>= -0.49, p = 0.021</w:t>
            </w:r>
          </w:p>
          <w:p w14:paraId="4E822F32"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051E72">
              <w:rPr>
                <w:color w:val="000000"/>
                <w:szCs w:val="20"/>
              </w:rPr>
              <w:t>(3)</w:t>
            </w:r>
            <w:r w:rsidRPr="00051E72">
              <w:rPr>
                <w:rFonts w:eastAsiaTheme="minorHAnsi"/>
                <w:szCs w:val="20"/>
              </w:rPr>
              <w:t xml:space="preserve"> r = -0.44, p = 0.012</w:t>
            </w:r>
          </w:p>
          <w:p w14:paraId="7359759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(4) r = -0.50, p = 0.013</w:t>
            </w:r>
          </w:p>
          <w:p w14:paraId="4A0024CD"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(5) r = -0.59, p = 0.0037</w:t>
            </w:r>
          </w:p>
        </w:tc>
      </w:tr>
      <w:tr w:rsidR="007E0ABC" w:rsidRPr="00051E72" w14:paraId="72DC052A" w14:textId="77777777" w:rsidTr="00971450">
        <w:trPr>
          <w:cnfStyle w:val="000000100000" w:firstRow="0" w:lastRow="0" w:firstColumn="0" w:lastColumn="0" w:oddVBand="0" w:evenVBand="0" w:oddHBand="1" w:evenHBand="0" w:firstRowFirstColumn="0" w:firstRowLastColumn="0" w:lastRowFirstColumn="0" w:lastRowLastColumn="0"/>
          <w:trHeight w:val="2010"/>
        </w:trPr>
        <w:tc>
          <w:tcPr>
            <w:cnfStyle w:val="001000000000" w:firstRow="0" w:lastRow="0" w:firstColumn="1" w:lastColumn="0" w:oddVBand="0" w:evenVBand="0" w:oddHBand="0" w:evenHBand="0" w:firstRowFirstColumn="0" w:firstRowLastColumn="0" w:lastRowFirstColumn="0" w:lastRowLastColumn="0"/>
            <w:tcW w:w="636" w:type="pct"/>
          </w:tcPr>
          <w:p w14:paraId="01632716" w14:textId="77777777" w:rsidR="007E0ABC" w:rsidRPr="00051E72" w:rsidRDefault="007E0ABC" w:rsidP="00971450">
            <w:pPr>
              <w:rPr>
                <w:color w:val="000000"/>
                <w:szCs w:val="20"/>
              </w:rPr>
            </w:pPr>
          </w:p>
        </w:tc>
        <w:tc>
          <w:tcPr>
            <w:tcW w:w="539" w:type="pct"/>
            <w:vAlign w:val="center"/>
          </w:tcPr>
          <w:p w14:paraId="53DF1A6F"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proofErr w:type="spellStart"/>
            <w:r w:rsidRPr="00051E72">
              <w:rPr>
                <w:color w:val="000000"/>
                <w:szCs w:val="20"/>
              </w:rPr>
              <w:t>Wiliams</w:t>
            </w:r>
            <w:proofErr w:type="spellEnd"/>
            <w:r w:rsidRPr="00051E72">
              <w:rPr>
                <w:color w:val="000000"/>
                <w:szCs w:val="20"/>
              </w:rPr>
              <w:t xml:space="preserve"> et al (2021)</w:t>
            </w:r>
          </w:p>
        </w:tc>
        <w:tc>
          <w:tcPr>
            <w:tcW w:w="638" w:type="pct"/>
            <w:vAlign w:val="center"/>
          </w:tcPr>
          <w:p w14:paraId="310601F1" w14:textId="77777777" w:rsidR="007E0ABC" w:rsidRPr="00051E72" w:rsidRDefault="007E0ABC" w:rsidP="00971450">
            <w:pPr>
              <w:jc w:val="center"/>
              <w:cnfStyle w:val="000000100000" w:firstRow="0" w:lastRow="0" w:firstColumn="0" w:lastColumn="0" w:oddVBand="0" w:evenVBand="0" w:oddHBand="1" w:evenHBand="0" w:firstRowFirstColumn="0" w:firstRowLastColumn="0" w:lastRowFirstColumn="0" w:lastRowLastColumn="0"/>
              <w:rPr>
                <w:color w:val="000000"/>
                <w:szCs w:val="20"/>
                <w:lang w:val="fr-FR"/>
              </w:rPr>
            </w:pPr>
            <w:r w:rsidRPr="00051E72">
              <w:rPr>
                <w:color w:val="000000"/>
                <w:szCs w:val="20"/>
                <w:lang w:val="fr-FR"/>
              </w:rPr>
              <w:t xml:space="preserve">The </w:t>
            </w:r>
            <w:proofErr w:type="spellStart"/>
            <w:r w:rsidRPr="00051E72">
              <w:rPr>
                <w:color w:val="000000"/>
                <w:szCs w:val="20"/>
                <w:lang w:val="fr-FR"/>
              </w:rPr>
              <w:t>Emotional</w:t>
            </w:r>
            <w:proofErr w:type="spellEnd"/>
            <w:r w:rsidRPr="00051E72">
              <w:rPr>
                <w:color w:val="000000"/>
                <w:szCs w:val="20"/>
                <w:lang w:val="fr-FR"/>
              </w:rPr>
              <w:t xml:space="preserve"> </w:t>
            </w:r>
            <w:proofErr w:type="spellStart"/>
            <w:r w:rsidRPr="00051E72">
              <w:rPr>
                <w:color w:val="000000"/>
                <w:szCs w:val="20"/>
                <w:lang w:val="fr-FR"/>
              </w:rPr>
              <w:t>Processing</w:t>
            </w:r>
            <w:proofErr w:type="spellEnd"/>
            <w:r w:rsidRPr="00051E72">
              <w:rPr>
                <w:color w:val="000000"/>
                <w:szCs w:val="20"/>
                <w:lang w:val="fr-FR"/>
              </w:rPr>
              <w:t xml:space="preserve"> </w:t>
            </w:r>
            <w:proofErr w:type="spellStart"/>
            <w:r w:rsidRPr="00051E72">
              <w:rPr>
                <w:color w:val="000000"/>
                <w:szCs w:val="20"/>
                <w:lang w:val="fr-FR"/>
              </w:rPr>
              <w:t>Scale</w:t>
            </w:r>
            <w:proofErr w:type="spellEnd"/>
            <w:r w:rsidRPr="00051E72">
              <w:rPr>
                <w:color w:val="000000"/>
                <w:szCs w:val="20"/>
                <w:lang w:val="fr-FR"/>
              </w:rPr>
              <w:t xml:space="preserve"> (EPS), Patient </w:t>
            </w:r>
            <w:proofErr w:type="spellStart"/>
            <w:r w:rsidRPr="00051E72">
              <w:rPr>
                <w:color w:val="000000"/>
                <w:szCs w:val="20"/>
                <w:lang w:val="fr-FR"/>
              </w:rPr>
              <w:t>Health</w:t>
            </w:r>
            <w:proofErr w:type="spellEnd"/>
            <w:r w:rsidRPr="00051E72">
              <w:rPr>
                <w:color w:val="000000"/>
                <w:szCs w:val="20"/>
                <w:lang w:val="fr-FR"/>
              </w:rPr>
              <w:t xml:space="preserve"> Questionnaire (PHQ-9), </w:t>
            </w:r>
            <w:proofErr w:type="spellStart"/>
            <w:r w:rsidRPr="00051E72">
              <w:rPr>
                <w:color w:val="000000"/>
                <w:szCs w:val="20"/>
                <w:lang w:val="fr-FR"/>
              </w:rPr>
              <w:t>Generalised</w:t>
            </w:r>
            <w:proofErr w:type="spellEnd"/>
            <w:r w:rsidRPr="00051E72">
              <w:rPr>
                <w:color w:val="000000"/>
                <w:szCs w:val="20"/>
                <w:lang w:val="fr-FR"/>
              </w:rPr>
              <w:t xml:space="preserve"> </w:t>
            </w:r>
            <w:proofErr w:type="spellStart"/>
            <w:r w:rsidRPr="00051E72">
              <w:rPr>
                <w:color w:val="000000"/>
                <w:szCs w:val="20"/>
                <w:lang w:val="fr-FR"/>
              </w:rPr>
              <w:t>Anxiety</w:t>
            </w:r>
            <w:proofErr w:type="spellEnd"/>
            <w:r w:rsidRPr="00051E72">
              <w:rPr>
                <w:color w:val="000000"/>
                <w:szCs w:val="20"/>
                <w:lang w:val="fr-FR"/>
              </w:rPr>
              <w:t xml:space="preserve"> Questionnaire (GAD-7)</w:t>
            </w:r>
          </w:p>
        </w:tc>
        <w:tc>
          <w:tcPr>
            <w:tcW w:w="785" w:type="pct"/>
            <w:vAlign w:val="center"/>
          </w:tcPr>
          <w:p w14:paraId="4E853751"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Interoceptive sensitivity (IS),</w:t>
            </w:r>
            <w:r w:rsidRPr="00051E72">
              <w:rPr>
                <w:color w:val="000000"/>
                <w:szCs w:val="20"/>
              </w:rPr>
              <w:t xml:space="preserve"> Heart rate, Cold Pressor Test</w:t>
            </w:r>
          </w:p>
        </w:tc>
        <w:tc>
          <w:tcPr>
            <w:tcW w:w="1274" w:type="pct"/>
            <w:vAlign w:val="center"/>
          </w:tcPr>
          <w:p w14:paraId="67A8042D"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051E72">
              <w:rPr>
                <w:rFonts w:eastAsiaTheme="minorHAnsi"/>
                <w:szCs w:val="20"/>
              </w:rPr>
              <w:t>No significant associations between IS scores and EPS-25 main or subscale scores when examined within-groups.</w:t>
            </w:r>
          </w:p>
          <w:p w14:paraId="33B525D0"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rFonts w:eastAsiaTheme="minorHAnsi"/>
                <w:szCs w:val="20"/>
              </w:rPr>
            </w:pPr>
          </w:p>
        </w:tc>
        <w:tc>
          <w:tcPr>
            <w:tcW w:w="1128" w:type="pct"/>
            <w:vAlign w:val="center"/>
          </w:tcPr>
          <w:p w14:paraId="477872E1"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051E72">
              <w:rPr>
                <w:rFonts w:eastAsiaTheme="minorHAnsi"/>
                <w:szCs w:val="20"/>
              </w:rPr>
              <w:t>-</w:t>
            </w:r>
          </w:p>
        </w:tc>
      </w:tr>
      <w:tr w:rsidR="007E0ABC" w:rsidRPr="00051E72" w14:paraId="525E62CB" w14:textId="77777777" w:rsidTr="00971450">
        <w:trPr>
          <w:trHeight w:val="20"/>
        </w:trPr>
        <w:tc>
          <w:tcPr>
            <w:cnfStyle w:val="001000000000" w:firstRow="0" w:lastRow="0" w:firstColumn="1" w:lastColumn="0" w:oddVBand="0" w:evenVBand="0" w:oddHBand="0" w:evenHBand="0" w:firstRowFirstColumn="0" w:firstRowLastColumn="0" w:lastRowFirstColumn="0" w:lastRowLastColumn="0"/>
            <w:tcW w:w="636" w:type="pct"/>
          </w:tcPr>
          <w:p w14:paraId="7DBF1DE1" w14:textId="77777777" w:rsidR="007E0ABC" w:rsidRPr="00051E72" w:rsidRDefault="007E0ABC" w:rsidP="00511F78">
            <w:pPr>
              <w:jc w:val="center"/>
              <w:rPr>
                <w:b w:val="0"/>
                <w:bCs w:val="0"/>
                <w:szCs w:val="20"/>
              </w:rPr>
            </w:pPr>
            <w:r w:rsidRPr="00051E72">
              <w:rPr>
                <w:szCs w:val="20"/>
              </w:rPr>
              <w:t>Illness burden</w:t>
            </w:r>
          </w:p>
          <w:p w14:paraId="27EA4A3C" w14:textId="77777777" w:rsidR="007E0ABC" w:rsidRPr="00051E72" w:rsidRDefault="007E0ABC" w:rsidP="00511F78">
            <w:pPr>
              <w:jc w:val="center"/>
              <w:rPr>
                <w:color w:val="000000"/>
                <w:szCs w:val="20"/>
              </w:rPr>
            </w:pPr>
            <w:r w:rsidRPr="00051E72">
              <w:rPr>
                <w:szCs w:val="20"/>
              </w:rPr>
              <w:t>(n=2/2)</w:t>
            </w:r>
          </w:p>
        </w:tc>
        <w:tc>
          <w:tcPr>
            <w:tcW w:w="539" w:type="pct"/>
            <w:vAlign w:val="center"/>
          </w:tcPr>
          <w:p w14:paraId="622E9F42"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r w:rsidRPr="00051E72">
              <w:rPr>
                <w:color w:val="000000"/>
                <w:szCs w:val="20"/>
              </w:rPr>
              <w:t>Parees et al (2012)</w:t>
            </w:r>
          </w:p>
          <w:p w14:paraId="31A0A169"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highlight w:val="red"/>
              </w:rPr>
            </w:pPr>
          </w:p>
        </w:tc>
        <w:tc>
          <w:tcPr>
            <w:tcW w:w="638" w:type="pct"/>
          </w:tcPr>
          <w:p w14:paraId="7A5D0B56"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highlight w:val="red"/>
              </w:rPr>
            </w:pPr>
            <w:r w:rsidRPr="00051E72">
              <w:rPr>
                <w:color w:val="000000"/>
                <w:szCs w:val="20"/>
              </w:rPr>
              <w:t>Self-rated assessment of tremor duration in self-</w:t>
            </w:r>
            <w:r w:rsidRPr="00051E72">
              <w:rPr>
                <w:color w:val="000000"/>
                <w:szCs w:val="20"/>
              </w:rPr>
              <w:lastRenderedPageBreak/>
              <w:t>completed diary</w:t>
            </w:r>
          </w:p>
        </w:tc>
        <w:tc>
          <w:tcPr>
            <w:tcW w:w="785" w:type="pct"/>
          </w:tcPr>
          <w:p w14:paraId="5E88EC69"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highlight w:val="red"/>
              </w:rPr>
            </w:pPr>
            <w:r w:rsidRPr="00051E72">
              <w:rPr>
                <w:color w:val="000000"/>
                <w:szCs w:val="20"/>
              </w:rPr>
              <w:lastRenderedPageBreak/>
              <w:t>Actigraph measurement of tremor</w:t>
            </w:r>
          </w:p>
        </w:tc>
        <w:tc>
          <w:tcPr>
            <w:tcW w:w="1274" w:type="pct"/>
            <w:vAlign w:val="center"/>
          </w:tcPr>
          <w:p w14:paraId="45E24FE3"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highlight w:val="red"/>
              </w:rPr>
            </w:pPr>
            <w:r w:rsidRPr="00051E72">
              <w:rPr>
                <w:color w:val="000000"/>
                <w:szCs w:val="20"/>
              </w:rPr>
              <w:t xml:space="preserve">Psychogenic tremor patients showed a significantly greater bias </w:t>
            </w:r>
            <w:r w:rsidRPr="00051E72">
              <w:rPr>
                <w:color w:val="000000"/>
                <w:szCs w:val="20"/>
              </w:rPr>
              <w:lastRenderedPageBreak/>
              <w:t>towards over-estimation of tremor (65%), rated themselves as significantly more disabled and as having poorer QOL - but this did not correlate with actigraphy data*</w:t>
            </w:r>
          </w:p>
        </w:tc>
        <w:tc>
          <w:tcPr>
            <w:tcW w:w="1128" w:type="pct"/>
            <w:vAlign w:val="center"/>
          </w:tcPr>
          <w:p w14:paraId="161F85D8"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highlight w:val="red"/>
              </w:rPr>
            </w:pPr>
            <w:r w:rsidRPr="00051E72">
              <w:rPr>
                <w:color w:val="000000"/>
                <w:szCs w:val="20"/>
              </w:rPr>
              <w:lastRenderedPageBreak/>
              <w:t>-</w:t>
            </w:r>
          </w:p>
        </w:tc>
      </w:tr>
      <w:tr w:rsidR="007E0ABC" w:rsidRPr="00051E72" w14:paraId="624B6306" w14:textId="77777777" w:rsidTr="00971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6" w:type="pct"/>
          </w:tcPr>
          <w:p w14:paraId="0A00EFD9" w14:textId="77777777" w:rsidR="007E0ABC" w:rsidRPr="00051E72" w:rsidRDefault="007E0ABC" w:rsidP="00971450">
            <w:pPr>
              <w:rPr>
                <w:color w:val="000000"/>
                <w:szCs w:val="20"/>
              </w:rPr>
            </w:pPr>
          </w:p>
        </w:tc>
        <w:tc>
          <w:tcPr>
            <w:tcW w:w="539" w:type="pct"/>
            <w:vAlign w:val="center"/>
          </w:tcPr>
          <w:p w14:paraId="60FE1319"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Kramer et al (2019)</w:t>
            </w:r>
          </w:p>
          <w:p w14:paraId="0E2F99ED"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638" w:type="pct"/>
          </w:tcPr>
          <w:p w14:paraId="5330C587"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Self-rated assessment of tremor burden in self-completed diary</w:t>
            </w:r>
          </w:p>
        </w:tc>
        <w:tc>
          <w:tcPr>
            <w:tcW w:w="785" w:type="pct"/>
          </w:tcPr>
          <w:p w14:paraId="1116C13C"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Actigraph measurement of tremor</w:t>
            </w:r>
          </w:p>
        </w:tc>
        <w:tc>
          <w:tcPr>
            <w:tcW w:w="1274" w:type="pct"/>
            <w:vAlign w:val="center"/>
          </w:tcPr>
          <w:p w14:paraId="30FFD192"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 xml:space="preserve">No significant difference found in  the subjective and objective associations within the </w:t>
            </w:r>
            <w:proofErr w:type="spellStart"/>
            <w:r w:rsidRPr="00051E72">
              <w:rPr>
                <w:color w:val="000000"/>
                <w:szCs w:val="20"/>
              </w:rPr>
              <w:t>OrgT</w:t>
            </w:r>
            <w:proofErr w:type="spellEnd"/>
            <w:r w:rsidRPr="00051E72">
              <w:rPr>
                <w:color w:val="000000"/>
                <w:szCs w:val="20"/>
              </w:rPr>
              <w:t xml:space="preserve"> group and the FT group*</w:t>
            </w:r>
          </w:p>
        </w:tc>
        <w:tc>
          <w:tcPr>
            <w:tcW w:w="1128" w:type="pct"/>
            <w:vAlign w:val="center"/>
          </w:tcPr>
          <w:p w14:paraId="61179F69" w14:textId="77777777" w:rsidR="007E0ABC" w:rsidRPr="00051E72" w:rsidRDefault="007E0ABC" w:rsidP="00971450">
            <w:pPr>
              <w:cnfStyle w:val="000000100000" w:firstRow="0" w:lastRow="0" w:firstColumn="0" w:lastColumn="0" w:oddVBand="0" w:evenVBand="0" w:oddHBand="1" w:evenHBand="0" w:firstRowFirstColumn="0" w:firstRowLastColumn="0" w:lastRowFirstColumn="0" w:lastRowLastColumn="0"/>
              <w:rPr>
                <w:color w:val="000000"/>
                <w:szCs w:val="20"/>
              </w:rPr>
            </w:pPr>
            <w:r w:rsidRPr="00051E72">
              <w:rPr>
                <w:color w:val="000000"/>
                <w:szCs w:val="20"/>
              </w:rPr>
              <w:t>r = nr, p = 0.168</w:t>
            </w:r>
          </w:p>
        </w:tc>
      </w:tr>
      <w:tr w:rsidR="007E0ABC" w:rsidRPr="00051E72" w14:paraId="0AC4150D" w14:textId="77777777" w:rsidTr="00971450">
        <w:trPr>
          <w:trHeight w:val="20"/>
        </w:trPr>
        <w:tc>
          <w:tcPr>
            <w:cnfStyle w:val="001000000000" w:firstRow="0" w:lastRow="0" w:firstColumn="1" w:lastColumn="0" w:oddVBand="0" w:evenVBand="0" w:oddHBand="0" w:evenHBand="0" w:firstRowFirstColumn="0" w:firstRowLastColumn="0" w:lastRowFirstColumn="0" w:lastRowLastColumn="0"/>
            <w:tcW w:w="636" w:type="pct"/>
          </w:tcPr>
          <w:p w14:paraId="0122BBE5" w14:textId="77777777" w:rsidR="007E0ABC" w:rsidRPr="00051E72" w:rsidRDefault="007E0ABC" w:rsidP="00971450">
            <w:pPr>
              <w:rPr>
                <w:color w:val="000000"/>
                <w:szCs w:val="20"/>
              </w:rPr>
            </w:pPr>
          </w:p>
        </w:tc>
        <w:tc>
          <w:tcPr>
            <w:tcW w:w="539" w:type="pct"/>
            <w:vAlign w:val="center"/>
          </w:tcPr>
          <w:p w14:paraId="2C8EE415"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638" w:type="pct"/>
          </w:tcPr>
          <w:p w14:paraId="00D0D3B3"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785" w:type="pct"/>
          </w:tcPr>
          <w:p w14:paraId="66561F61"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274" w:type="pct"/>
            <w:vAlign w:val="center"/>
          </w:tcPr>
          <w:p w14:paraId="10FEA7EB"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1128" w:type="pct"/>
            <w:vAlign w:val="center"/>
          </w:tcPr>
          <w:p w14:paraId="147C9746" w14:textId="77777777" w:rsidR="007E0ABC" w:rsidRPr="00051E72" w:rsidRDefault="007E0ABC" w:rsidP="00971450">
            <w:pPr>
              <w:cnfStyle w:val="000000000000" w:firstRow="0" w:lastRow="0" w:firstColumn="0" w:lastColumn="0" w:oddVBand="0" w:evenVBand="0" w:oddHBand="0" w:evenHBand="0" w:firstRowFirstColumn="0" w:firstRowLastColumn="0" w:lastRowFirstColumn="0" w:lastRowLastColumn="0"/>
              <w:rPr>
                <w:color w:val="000000"/>
                <w:szCs w:val="20"/>
              </w:rPr>
            </w:pPr>
          </w:p>
        </w:tc>
      </w:tr>
    </w:tbl>
    <w:p w14:paraId="1F68452D" w14:textId="77777777" w:rsidR="007E0ABC" w:rsidRPr="009120B5" w:rsidRDefault="007E0ABC">
      <w:pPr>
        <w:rPr>
          <w:rFonts w:asciiTheme="minorHAnsi" w:hAnsiTheme="minorHAnsi" w:cstheme="minorHAnsi"/>
          <w:color w:val="000000"/>
          <w:sz w:val="22"/>
          <w:szCs w:val="22"/>
        </w:rPr>
      </w:pPr>
    </w:p>
    <w:p w14:paraId="7E32A4B0" w14:textId="77777777" w:rsidR="007E0ABC" w:rsidRDefault="007E0ABC" w:rsidP="007E0ABC">
      <w:pPr>
        <w:pStyle w:val="ListParagraph"/>
        <w:numPr>
          <w:ilvl w:val="0"/>
          <w:numId w:val="23"/>
        </w:numPr>
        <w:spacing w:line="240" w:lineRule="auto"/>
        <w:jc w:val="left"/>
        <w:rPr>
          <w:rFonts w:ascii="Calibri" w:hAnsi="Calibri" w:cs="Calibri"/>
          <w:i/>
          <w:iCs/>
          <w:sz w:val="21"/>
          <w:szCs w:val="22"/>
        </w:rPr>
      </w:pPr>
      <w:r w:rsidRPr="009120B5">
        <w:rPr>
          <w:rFonts w:ascii="Calibri" w:hAnsi="Calibri" w:cs="Calibri"/>
          <w:i/>
          <w:iCs/>
          <w:sz w:val="21"/>
          <w:szCs w:val="22"/>
        </w:rPr>
        <w:t>Table includes only information pertinent to relevant correlation analysis</w:t>
      </w:r>
    </w:p>
    <w:p w14:paraId="77E4EFDE" w14:textId="77777777" w:rsidR="007E0ABC" w:rsidRPr="009120B5" w:rsidRDefault="007E0ABC" w:rsidP="007E0ABC">
      <w:pPr>
        <w:pStyle w:val="ListParagraph"/>
        <w:numPr>
          <w:ilvl w:val="0"/>
          <w:numId w:val="23"/>
        </w:numPr>
        <w:spacing w:line="240" w:lineRule="auto"/>
        <w:jc w:val="left"/>
        <w:rPr>
          <w:rFonts w:ascii="Calibri" w:hAnsi="Calibri" w:cs="Calibri"/>
          <w:i/>
          <w:iCs/>
          <w:sz w:val="21"/>
          <w:szCs w:val="22"/>
        </w:rPr>
      </w:pPr>
      <w:r>
        <w:rPr>
          <w:rFonts w:ascii="Calibri" w:hAnsi="Calibri" w:cs="Calibri"/>
          <w:i/>
          <w:iCs/>
          <w:sz w:val="21"/>
          <w:szCs w:val="22"/>
        </w:rPr>
        <w:t xml:space="preserve">Comparative studies = those providing results from a correlational analysis between subjective and objective outcome measures. </w:t>
      </w:r>
    </w:p>
    <w:p w14:paraId="24D30246" w14:textId="77777777" w:rsidR="007E0ABC" w:rsidRPr="009120B5" w:rsidRDefault="007E0ABC">
      <w:pPr>
        <w:rPr>
          <w:rFonts w:ascii="Calibri" w:hAnsi="Calibri" w:cs="Calibri"/>
          <w:i/>
          <w:iCs/>
          <w:sz w:val="21"/>
          <w:szCs w:val="22"/>
        </w:rPr>
      </w:pPr>
      <w:r w:rsidRPr="009120B5">
        <w:rPr>
          <w:rFonts w:ascii="Calibri" w:hAnsi="Calibri" w:cs="Calibri"/>
          <w:i/>
          <w:iCs/>
          <w:sz w:val="21"/>
          <w:szCs w:val="22"/>
        </w:rPr>
        <w:t>A dash (“-”) represents inapplicable information, or not included in the study</w:t>
      </w:r>
    </w:p>
    <w:p w14:paraId="4E0AFD30" w14:textId="77777777" w:rsidR="007E0ABC" w:rsidRPr="00592081" w:rsidRDefault="007E0ABC" w:rsidP="00592081">
      <w:pPr>
        <w:rPr>
          <w:rFonts w:ascii="Calibri" w:hAnsi="Calibri" w:cs="Calibri"/>
          <w:i/>
          <w:iCs/>
          <w:sz w:val="21"/>
          <w:szCs w:val="22"/>
        </w:rPr>
      </w:pPr>
      <w:r w:rsidRPr="009120B5">
        <w:rPr>
          <w:rFonts w:ascii="Calibri" w:hAnsi="Calibri" w:cs="Calibri"/>
          <w:i/>
          <w:iCs/>
          <w:sz w:val="21"/>
          <w:szCs w:val="22"/>
        </w:rPr>
        <w:lastRenderedPageBreak/>
        <w:t xml:space="preserve">In significant correlations * signifies p-value of &lt;0.05; ** </w:t>
      </w:r>
      <w:proofErr w:type="spellStart"/>
      <w:r w:rsidRPr="009120B5">
        <w:rPr>
          <w:rFonts w:ascii="Calibri" w:hAnsi="Calibri" w:cs="Calibri"/>
          <w:i/>
          <w:iCs/>
          <w:sz w:val="21"/>
          <w:szCs w:val="22"/>
        </w:rPr>
        <w:t>sig</w:t>
      </w:r>
      <w:r>
        <w:rPr>
          <w:rFonts w:ascii="Calibri" w:hAnsi="Calibri" w:cs="Calibri"/>
          <w:i/>
          <w:iCs/>
          <w:sz w:val="21"/>
          <w:szCs w:val="22"/>
        </w:rPr>
        <w:t>i</w:t>
      </w:r>
      <w:r w:rsidRPr="009120B5">
        <w:rPr>
          <w:rFonts w:ascii="Calibri" w:hAnsi="Calibri" w:cs="Calibri"/>
          <w:i/>
          <w:iCs/>
          <w:sz w:val="21"/>
          <w:szCs w:val="22"/>
        </w:rPr>
        <w:t>nifies</w:t>
      </w:r>
      <w:proofErr w:type="spellEnd"/>
      <w:r w:rsidRPr="009120B5">
        <w:rPr>
          <w:rFonts w:ascii="Calibri" w:hAnsi="Calibri" w:cs="Calibri"/>
          <w:i/>
          <w:iCs/>
          <w:sz w:val="21"/>
          <w:szCs w:val="22"/>
        </w:rPr>
        <w:t xml:space="preserve">  p-value of &lt;0.001</w:t>
      </w:r>
    </w:p>
    <w:p w14:paraId="169FF867" w14:textId="77777777" w:rsidR="007E0ABC" w:rsidRDefault="007E0ABC">
      <w:pPr>
        <w:rPr>
          <w:rFonts w:ascii="Calibri" w:hAnsi="Calibri" w:cs="Calibri"/>
          <w:i/>
          <w:iCs/>
          <w:sz w:val="21"/>
          <w:szCs w:val="22"/>
        </w:rPr>
      </w:pPr>
    </w:p>
    <w:p w14:paraId="1209325B" w14:textId="77777777" w:rsidR="007E0ABC" w:rsidRPr="00A05318" w:rsidRDefault="007E0ABC" w:rsidP="00A05318">
      <w:pPr>
        <w:rPr>
          <w:rFonts w:ascii="Calibri" w:hAnsi="Calibri" w:cs="Calibri"/>
          <w:i/>
          <w:iCs/>
          <w:sz w:val="21"/>
          <w:szCs w:val="22"/>
        </w:rPr>
      </w:pPr>
    </w:p>
    <w:p w14:paraId="05DD839C" w14:textId="77777777" w:rsidR="007E0ABC" w:rsidRPr="00ED19A9" w:rsidRDefault="007E0ABC" w:rsidP="00ED19A9">
      <w:pPr>
        <w:jc w:val="center"/>
      </w:pPr>
    </w:p>
    <w:p w14:paraId="75B189CE" w14:textId="77777777" w:rsidR="00EE1CDB" w:rsidRPr="001A77A9" w:rsidRDefault="00EE1CDB"/>
    <w:sectPr w:rsidR="00EE1CDB" w:rsidRPr="001A77A9" w:rsidSect="00421721">
      <w:footerReference w:type="even" r:id="rId62"/>
      <w:footerReference w:type="default" r:id="rId6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CA5A1" w14:textId="77777777" w:rsidR="006F3E1E" w:rsidRDefault="006F3E1E" w:rsidP="00421721">
      <w:pPr>
        <w:spacing w:line="240" w:lineRule="auto"/>
      </w:pPr>
      <w:r>
        <w:separator/>
      </w:r>
    </w:p>
  </w:endnote>
  <w:endnote w:type="continuationSeparator" w:id="0">
    <w:p w14:paraId="7D7B5C65" w14:textId="77777777" w:rsidR="006F3E1E" w:rsidRDefault="006F3E1E" w:rsidP="00421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phá">
    <w:altName w:val="Calibri"/>
    <w:panose1 w:val="020B0604020202020204"/>
    <w:charset w:val="4D"/>
    <w:family w:val="auto"/>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pitch w:val="default"/>
  </w:font>
  <w:font w:name="Open Sans">
    <w:panose1 w:val="020B0604020202020204"/>
    <w:charset w:val="00"/>
    <w:family w:val="swiss"/>
    <w:pitch w:val="variable"/>
    <w:sig w:usb0="E00002EF" w:usb1="4000205B" w:usb2="00000028" w:usb3="00000000" w:csb0="0000019F" w:csb1="00000000"/>
  </w:font>
  <w:font w:name="AVENIR BOOK OBLIQUE">
    <w:panose1 w:val="02000503020000020003"/>
    <w:charset w:val="00"/>
    <w:family w:val="auto"/>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7335091"/>
      <w:docPartObj>
        <w:docPartGallery w:val="Page Numbers (Bottom of Page)"/>
        <w:docPartUnique/>
      </w:docPartObj>
    </w:sdtPr>
    <w:sdtContent>
      <w:p w14:paraId="4456D9B7" w14:textId="21ABFD24" w:rsidR="00400BA2" w:rsidRDefault="00400BA2" w:rsidP="000F7B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64891890"/>
      <w:docPartObj>
        <w:docPartGallery w:val="Page Numbers (Bottom of Page)"/>
        <w:docPartUnique/>
      </w:docPartObj>
    </w:sdtPr>
    <w:sdtContent>
      <w:p w14:paraId="7A88A960" w14:textId="320C23F3" w:rsidR="00A72E4B" w:rsidRDefault="00A72E4B" w:rsidP="001A268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65B11" w14:textId="77777777" w:rsidR="00A72E4B" w:rsidRDefault="00A72E4B" w:rsidP="00A72E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9988780"/>
      <w:docPartObj>
        <w:docPartGallery w:val="Page Numbers (Bottom of Page)"/>
        <w:docPartUnique/>
      </w:docPartObj>
    </w:sdtPr>
    <w:sdtContent>
      <w:p w14:paraId="583A41A6" w14:textId="2659251B" w:rsidR="00400BA2" w:rsidRDefault="00400BA2" w:rsidP="000F7B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sdtContent>
  </w:sdt>
  <w:p w14:paraId="1371D32F" w14:textId="77777777" w:rsidR="00A72E4B" w:rsidRDefault="00A72E4B" w:rsidP="00A72E4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3805892"/>
      <w:docPartObj>
        <w:docPartGallery w:val="Page Numbers (Bottom of Page)"/>
        <w:docPartUnique/>
      </w:docPartObj>
    </w:sdtPr>
    <w:sdtContent>
      <w:p w14:paraId="7F3363C9" w14:textId="64381487" w:rsidR="00400BA2" w:rsidRDefault="00400BA2" w:rsidP="000F7B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sdtContent>
  </w:sdt>
  <w:p w14:paraId="49880473" w14:textId="77777777" w:rsidR="00400BA2" w:rsidRDefault="00400BA2" w:rsidP="001A268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308690"/>
      <w:docPartObj>
        <w:docPartGallery w:val="Page Numbers (Bottom of Page)"/>
        <w:docPartUnique/>
      </w:docPartObj>
    </w:sdtPr>
    <w:sdtContent>
      <w:p w14:paraId="1AE405CC" w14:textId="16ACC057" w:rsidR="00421721" w:rsidRDefault="00421721" w:rsidP="00CF08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A1D137" w14:textId="77777777" w:rsidR="00421721" w:rsidRDefault="00421721" w:rsidP="0042172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8932345"/>
      <w:docPartObj>
        <w:docPartGallery w:val="Page Numbers (Bottom of Page)"/>
        <w:docPartUnique/>
      </w:docPartObj>
    </w:sdtPr>
    <w:sdtContent>
      <w:p w14:paraId="46ED28C8" w14:textId="2B78BD35" w:rsidR="00421721" w:rsidRDefault="00421721" w:rsidP="00CF08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29E2C3" w14:textId="77777777" w:rsidR="00421721" w:rsidRDefault="00421721" w:rsidP="004217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E9462" w14:textId="77777777" w:rsidR="006F3E1E" w:rsidRDefault="006F3E1E" w:rsidP="00421721">
      <w:pPr>
        <w:spacing w:line="240" w:lineRule="auto"/>
      </w:pPr>
      <w:r>
        <w:separator/>
      </w:r>
    </w:p>
  </w:footnote>
  <w:footnote w:type="continuationSeparator" w:id="0">
    <w:p w14:paraId="575FA610" w14:textId="77777777" w:rsidR="006F3E1E" w:rsidRDefault="006F3E1E" w:rsidP="004217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B2EED"/>
    <w:multiLevelType w:val="hybridMultilevel"/>
    <w:tmpl w:val="C9264658"/>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2C29F0"/>
    <w:multiLevelType w:val="hybridMultilevel"/>
    <w:tmpl w:val="1D4A1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5C46E8"/>
    <w:multiLevelType w:val="multilevel"/>
    <w:tmpl w:val="CC1E3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1B64E88"/>
    <w:multiLevelType w:val="multilevel"/>
    <w:tmpl w:val="0966003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772FFC"/>
    <w:multiLevelType w:val="multilevel"/>
    <w:tmpl w:val="475A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0B5B99"/>
    <w:multiLevelType w:val="hybridMultilevel"/>
    <w:tmpl w:val="4D400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323E18"/>
    <w:multiLevelType w:val="hybridMultilevel"/>
    <w:tmpl w:val="CF104DF2"/>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33598F"/>
    <w:multiLevelType w:val="hybridMultilevel"/>
    <w:tmpl w:val="BA70EB76"/>
    <w:lvl w:ilvl="0" w:tplc="B066BC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4C771F1"/>
    <w:multiLevelType w:val="hybridMultilevel"/>
    <w:tmpl w:val="0CE6180E"/>
    <w:lvl w:ilvl="0" w:tplc="39CA48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547265C"/>
    <w:multiLevelType w:val="multilevel"/>
    <w:tmpl w:val="81C25B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5F657D4"/>
    <w:multiLevelType w:val="multilevel"/>
    <w:tmpl w:val="4A46C742"/>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D420AD"/>
    <w:multiLevelType w:val="hybridMultilevel"/>
    <w:tmpl w:val="105E5E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406317"/>
    <w:multiLevelType w:val="hybridMultilevel"/>
    <w:tmpl w:val="72627C6C"/>
    <w:lvl w:ilvl="0" w:tplc="874615AA">
      <w:start w:val="5"/>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643"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7881F1E"/>
    <w:multiLevelType w:val="hybridMultilevel"/>
    <w:tmpl w:val="378416B0"/>
    <w:lvl w:ilvl="0" w:tplc="C478C6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0F4CD7"/>
    <w:multiLevelType w:val="hybridMultilevel"/>
    <w:tmpl w:val="FA701E56"/>
    <w:lvl w:ilvl="0" w:tplc="4C4EB2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83915B3"/>
    <w:multiLevelType w:val="multilevel"/>
    <w:tmpl w:val="4C864664"/>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3."/>
      <w:lvlJc w:val="left"/>
      <w:pPr>
        <w:ind w:left="720" w:hanging="720"/>
      </w:pPr>
      <w:rPr>
        <w:rFonts w:ascii="Calibri" w:eastAsia="Calibri" w:hAnsi="Calibri" w:cs="Calibri"/>
      </w:rPr>
    </w:lvl>
    <w:lvl w:ilvl="3">
      <w:start w:val="1"/>
      <w:numFmt w:val="decimal"/>
      <w:lvlText w:val="%1.%2.%3.%4"/>
      <w:lvlJc w:val="left"/>
      <w:pPr>
        <w:ind w:left="862"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08BE16B1"/>
    <w:multiLevelType w:val="hybridMultilevel"/>
    <w:tmpl w:val="9CA63742"/>
    <w:lvl w:ilvl="0" w:tplc="B73631E6">
      <w:start w:val="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012C6C"/>
    <w:multiLevelType w:val="hybridMultilevel"/>
    <w:tmpl w:val="E078D7F6"/>
    <w:lvl w:ilvl="0" w:tplc="AF725E8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96A4EA5"/>
    <w:multiLevelType w:val="multilevel"/>
    <w:tmpl w:val="9DC64C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9BE625A"/>
    <w:multiLevelType w:val="hybridMultilevel"/>
    <w:tmpl w:val="2C727566"/>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9BE7E08"/>
    <w:multiLevelType w:val="hybridMultilevel"/>
    <w:tmpl w:val="BD40D66C"/>
    <w:lvl w:ilvl="0" w:tplc="6F7A2D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9CD40AE"/>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9EE2E79"/>
    <w:multiLevelType w:val="hybridMultilevel"/>
    <w:tmpl w:val="C784A8FA"/>
    <w:lvl w:ilvl="0" w:tplc="01CA1D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A3D05BC"/>
    <w:multiLevelType w:val="hybridMultilevel"/>
    <w:tmpl w:val="76FAE1B0"/>
    <w:lvl w:ilvl="0" w:tplc="27404402">
      <w:start w:val="1"/>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8A142B"/>
    <w:multiLevelType w:val="multilevel"/>
    <w:tmpl w:val="CE8ED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A1687A"/>
    <w:multiLevelType w:val="multilevel"/>
    <w:tmpl w:val="BDACDFEC"/>
    <w:lvl w:ilvl="0">
      <w:start w:val="3"/>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AC67266"/>
    <w:multiLevelType w:val="multilevel"/>
    <w:tmpl w:val="2A4C0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846C00"/>
    <w:multiLevelType w:val="multilevel"/>
    <w:tmpl w:val="302C93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BCF2FAE"/>
    <w:multiLevelType w:val="hybridMultilevel"/>
    <w:tmpl w:val="CD166D96"/>
    <w:lvl w:ilvl="0" w:tplc="CA98AFAC">
      <w:start w:val="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C292332"/>
    <w:multiLevelType w:val="multilevel"/>
    <w:tmpl w:val="E0B8B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E5B626C"/>
    <w:multiLevelType w:val="hybridMultilevel"/>
    <w:tmpl w:val="06C049DC"/>
    <w:lvl w:ilvl="0" w:tplc="0809000F">
      <w:start w:val="1"/>
      <w:numFmt w:val="decimal"/>
      <w:lvlText w:val="%1."/>
      <w:lvlJc w:val="left"/>
      <w:pPr>
        <w:ind w:left="644"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0EA57F18"/>
    <w:multiLevelType w:val="hybridMultilevel"/>
    <w:tmpl w:val="2196E2DC"/>
    <w:lvl w:ilvl="0" w:tplc="70B8D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F753FEA"/>
    <w:multiLevelType w:val="hybridMultilevel"/>
    <w:tmpl w:val="F4900046"/>
    <w:lvl w:ilvl="0" w:tplc="56AED0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0BA6A5D"/>
    <w:multiLevelType w:val="multilevel"/>
    <w:tmpl w:val="9BF2F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0D609A0"/>
    <w:multiLevelType w:val="multilevel"/>
    <w:tmpl w:val="EAF8C1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1BB7235"/>
    <w:multiLevelType w:val="multilevel"/>
    <w:tmpl w:val="6E669E78"/>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3."/>
      <w:lvlJc w:val="left"/>
      <w:pPr>
        <w:ind w:left="720" w:hanging="720"/>
      </w:pPr>
      <w:rPr>
        <w:rFonts w:ascii="Calibri" w:eastAsia="Calibri" w:hAnsi="Calibri" w:cs="Calibri"/>
      </w:rPr>
    </w:lvl>
    <w:lvl w:ilvl="3">
      <w:start w:val="1"/>
      <w:numFmt w:val="decimal"/>
      <w:lvlText w:val="%1.%2.%3.%4"/>
      <w:lvlJc w:val="left"/>
      <w:pPr>
        <w:ind w:left="862"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11CD2BFF"/>
    <w:multiLevelType w:val="multilevel"/>
    <w:tmpl w:val="23B2C19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11CE306A"/>
    <w:multiLevelType w:val="hybridMultilevel"/>
    <w:tmpl w:val="A120B1D8"/>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2893F2E"/>
    <w:multiLevelType w:val="multilevel"/>
    <w:tmpl w:val="FA7E3612"/>
    <w:lvl w:ilvl="0">
      <w:start w:val="3"/>
      <w:numFmt w:val="decimal"/>
      <w:lvlText w:val="%1."/>
      <w:lvlJc w:val="left"/>
      <w:pPr>
        <w:ind w:left="580" w:hanging="58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3653809"/>
    <w:multiLevelType w:val="multilevel"/>
    <w:tmpl w:val="C4A232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4152054"/>
    <w:multiLevelType w:val="hybridMultilevel"/>
    <w:tmpl w:val="A1BC2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52B4F1B"/>
    <w:multiLevelType w:val="hybridMultilevel"/>
    <w:tmpl w:val="BDB456F8"/>
    <w:lvl w:ilvl="0" w:tplc="CB9E1988">
      <w:start w:val="1"/>
      <w:numFmt w:val="bullet"/>
      <w:lvlText w:val="-"/>
      <w:lvlJc w:val="left"/>
      <w:pPr>
        <w:ind w:left="720" w:hanging="360"/>
      </w:pPr>
      <w:rPr>
        <w:rFonts w:ascii="Avenir Book" w:eastAsia="Arial" w:hAnsi="Avenir Book"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545224B"/>
    <w:multiLevelType w:val="hybridMultilevel"/>
    <w:tmpl w:val="7DACCD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56613DE"/>
    <w:multiLevelType w:val="hybridMultilevel"/>
    <w:tmpl w:val="E3D4BBC6"/>
    <w:lvl w:ilvl="0" w:tplc="2FA8BF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8C27FB3"/>
    <w:multiLevelType w:val="multilevel"/>
    <w:tmpl w:val="87762C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9197C47"/>
    <w:multiLevelType w:val="multilevel"/>
    <w:tmpl w:val="E5B4B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95D2A9A"/>
    <w:multiLevelType w:val="multilevel"/>
    <w:tmpl w:val="084EDA8C"/>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3."/>
      <w:lvlJc w:val="left"/>
      <w:pPr>
        <w:ind w:left="720" w:hanging="720"/>
      </w:pPr>
      <w:rPr>
        <w:rFonts w:ascii="Calibri" w:eastAsia="Calibri" w:hAnsi="Calibri" w:cs="Calibri"/>
      </w:rPr>
    </w:lvl>
    <w:lvl w:ilvl="3">
      <w:start w:val="1"/>
      <w:numFmt w:val="decimal"/>
      <w:lvlText w:val="%1.%2.%3.%4"/>
      <w:lvlJc w:val="left"/>
      <w:pPr>
        <w:ind w:left="862"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8" w15:restartNumberingAfterBreak="0">
    <w:nsid w:val="19DD7B5C"/>
    <w:multiLevelType w:val="multilevel"/>
    <w:tmpl w:val="8110A05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A862CDA"/>
    <w:multiLevelType w:val="hybridMultilevel"/>
    <w:tmpl w:val="1C589AB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B181277"/>
    <w:multiLevelType w:val="hybridMultilevel"/>
    <w:tmpl w:val="8CBA54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B901E51"/>
    <w:multiLevelType w:val="multilevel"/>
    <w:tmpl w:val="CA90ABF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1BA822A0"/>
    <w:multiLevelType w:val="multilevel"/>
    <w:tmpl w:val="AEF8FAFA"/>
    <w:styleLink w:val="CurrentList1"/>
    <w:lvl w:ilvl="0">
      <w:start w:val="2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DCF3F37"/>
    <w:multiLevelType w:val="multilevel"/>
    <w:tmpl w:val="D944A7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E61304B"/>
    <w:multiLevelType w:val="multilevel"/>
    <w:tmpl w:val="F1420F04"/>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3."/>
      <w:lvlJc w:val="left"/>
      <w:pPr>
        <w:ind w:left="720" w:hanging="720"/>
      </w:pPr>
      <w:rPr>
        <w:rFonts w:ascii="Calibri" w:eastAsia="Calibri" w:hAnsi="Calibri" w:cs="Calibri"/>
      </w:rPr>
    </w:lvl>
    <w:lvl w:ilvl="3">
      <w:start w:val="1"/>
      <w:numFmt w:val="decimal"/>
      <w:lvlText w:val="%1.%2.%3.%4"/>
      <w:lvlJc w:val="left"/>
      <w:pPr>
        <w:ind w:left="862"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5" w15:restartNumberingAfterBreak="0">
    <w:nsid w:val="1F7B56BA"/>
    <w:multiLevelType w:val="multilevel"/>
    <w:tmpl w:val="B598F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0620456"/>
    <w:multiLevelType w:val="multilevel"/>
    <w:tmpl w:val="2C68FD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11D168A"/>
    <w:multiLevelType w:val="multilevel"/>
    <w:tmpl w:val="C5DE4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1BD0861"/>
    <w:multiLevelType w:val="hybridMultilevel"/>
    <w:tmpl w:val="C92C50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1C7013F"/>
    <w:multiLevelType w:val="hybridMultilevel"/>
    <w:tmpl w:val="4CCEE2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36752DF"/>
    <w:multiLevelType w:val="hybridMultilevel"/>
    <w:tmpl w:val="36C0F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3B626D4"/>
    <w:multiLevelType w:val="multilevel"/>
    <w:tmpl w:val="ACEA1A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4227623"/>
    <w:multiLevelType w:val="multilevel"/>
    <w:tmpl w:val="EC4CA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44B01A3"/>
    <w:multiLevelType w:val="multilevel"/>
    <w:tmpl w:val="D952AE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247C5599"/>
    <w:multiLevelType w:val="hybridMultilevel"/>
    <w:tmpl w:val="AEF8FAFA"/>
    <w:lvl w:ilvl="0" w:tplc="469C544E">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5427DB8"/>
    <w:multiLevelType w:val="hybridMultilevel"/>
    <w:tmpl w:val="CB9A73CC"/>
    <w:lvl w:ilvl="0" w:tplc="12B639FC">
      <w:start w:val="1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25B246E9"/>
    <w:multiLevelType w:val="multilevel"/>
    <w:tmpl w:val="2EEEEBD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5D22508"/>
    <w:multiLevelType w:val="multilevel"/>
    <w:tmpl w:val="992EE1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5FE368F"/>
    <w:multiLevelType w:val="multilevel"/>
    <w:tmpl w:val="AA9E1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62C19C9"/>
    <w:multiLevelType w:val="multilevel"/>
    <w:tmpl w:val="EEA84DC2"/>
    <w:lvl w:ilvl="0">
      <w:start w:val="1"/>
      <w:numFmt w:val="lowerRoman"/>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6C16ABC"/>
    <w:multiLevelType w:val="hybridMultilevel"/>
    <w:tmpl w:val="EC8664C8"/>
    <w:lvl w:ilvl="0" w:tplc="CF42C0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78E1DAE"/>
    <w:multiLevelType w:val="multilevel"/>
    <w:tmpl w:val="92F6875C"/>
    <w:lvl w:ilvl="0">
      <w:start w:val="3"/>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29682D42"/>
    <w:multiLevelType w:val="hybridMultilevel"/>
    <w:tmpl w:val="CA8CF6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9CE0E04"/>
    <w:multiLevelType w:val="multilevel"/>
    <w:tmpl w:val="C0703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9F72A18"/>
    <w:multiLevelType w:val="multilevel"/>
    <w:tmpl w:val="090EB1DC"/>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BD30970"/>
    <w:multiLevelType w:val="multilevel"/>
    <w:tmpl w:val="61C426FC"/>
    <w:lvl w:ilvl="0">
      <w:start w:val="1"/>
      <w:numFmt w:val="decimal"/>
      <w:lvlText w:val="%1.0"/>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76" w15:restartNumberingAfterBreak="0">
    <w:nsid w:val="2E0F28ED"/>
    <w:multiLevelType w:val="multilevel"/>
    <w:tmpl w:val="8F066F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E4672A9"/>
    <w:multiLevelType w:val="hybridMultilevel"/>
    <w:tmpl w:val="4CCEE2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F3E226E"/>
    <w:multiLevelType w:val="hybridMultilevel"/>
    <w:tmpl w:val="C64CE2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2F923BA7"/>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0491445"/>
    <w:multiLevelType w:val="multilevel"/>
    <w:tmpl w:val="866E8A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30F90C46"/>
    <w:multiLevelType w:val="multilevel"/>
    <w:tmpl w:val="1B70FFC8"/>
    <w:lvl w:ilvl="0">
      <w:start w:val="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31A24E20"/>
    <w:multiLevelType w:val="hybridMultilevel"/>
    <w:tmpl w:val="0EA65C10"/>
    <w:lvl w:ilvl="0" w:tplc="E1900D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22D180A"/>
    <w:multiLevelType w:val="multilevel"/>
    <w:tmpl w:val="C22EEF5C"/>
    <w:lvl w:ilvl="0">
      <w:start w:val="4"/>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32B86977"/>
    <w:multiLevelType w:val="hybridMultilevel"/>
    <w:tmpl w:val="6DBC1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3494591"/>
    <w:multiLevelType w:val="multilevel"/>
    <w:tmpl w:val="2AFC6C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33D1194F"/>
    <w:multiLevelType w:val="multilevel"/>
    <w:tmpl w:val="4BE62AFC"/>
    <w:lvl w:ilvl="0">
      <w:start w:val="1"/>
      <w:numFmt w:val="decimal"/>
      <w:lvlText w:val="%1."/>
      <w:lvlJc w:val="left"/>
      <w:pPr>
        <w:ind w:left="785" w:hanging="360"/>
      </w:pPr>
    </w:lvl>
    <w:lvl w:ilvl="1">
      <w:start w:val="2"/>
      <w:numFmt w:val="decimal"/>
      <w:isLgl/>
      <w:lvlText w:val="%1.%2"/>
      <w:lvlJc w:val="left"/>
      <w:pPr>
        <w:ind w:left="1025" w:hanging="600"/>
      </w:pPr>
      <w:rPr>
        <w:rFonts w:hint="default"/>
      </w:rPr>
    </w:lvl>
    <w:lvl w:ilvl="2">
      <w:start w:val="4"/>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87" w15:restartNumberingAfterBreak="0">
    <w:nsid w:val="347D5779"/>
    <w:multiLevelType w:val="multilevel"/>
    <w:tmpl w:val="0D9C79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4BE2481"/>
    <w:multiLevelType w:val="hybridMultilevel"/>
    <w:tmpl w:val="A588CD9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9" w15:restartNumberingAfterBreak="0">
    <w:nsid w:val="35704DB2"/>
    <w:multiLevelType w:val="multilevel"/>
    <w:tmpl w:val="BEF2F08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889"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5862230"/>
    <w:multiLevelType w:val="hybridMultilevel"/>
    <w:tmpl w:val="8526702E"/>
    <w:lvl w:ilvl="0" w:tplc="CA722108">
      <w:start w:val="9"/>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36627AC7"/>
    <w:multiLevelType w:val="hybridMultilevel"/>
    <w:tmpl w:val="6194F67E"/>
    <w:lvl w:ilvl="0" w:tplc="FFFFFFFF">
      <w:start w:val="1"/>
      <w:numFmt w:val="lowerRoman"/>
      <w:lvlText w:val="%1."/>
      <w:lvlJc w:val="left"/>
      <w:pPr>
        <w:ind w:left="720" w:hanging="360"/>
      </w:pPr>
      <w:rPr>
        <w:rFonts w:ascii="Century Gothic" w:eastAsia="Times New Roman" w:hAnsi="Century Gothic" w:cs="Times New Roman"/>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366C05FD"/>
    <w:multiLevelType w:val="multilevel"/>
    <w:tmpl w:val="BEF2F08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889"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6F74EF5"/>
    <w:multiLevelType w:val="multilevel"/>
    <w:tmpl w:val="B210A420"/>
    <w:lvl w:ilvl="0">
      <w:start w:val="4"/>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374D3466"/>
    <w:multiLevelType w:val="hybridMultilevel"/>
    <w:tmpl w:val="423424BA"/>
    <w:lvl w:ilvl="0" w:tplc="FFB2EE44">
      <w:start w:val="11"/>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7770F10"/>
    <w:multiLevelType w:val="hybridMultilevel"/>
    <w:tmpl w:val="C6683D52"/>
    <w:lvl w:ilvl="0" w:tplc="C2327A00">
      <w:start w:val="1"/>
      <w:numFmt w:val="lowerRoman"/>
      <w:lvlText w:val="%1."/>
      <w:lvlJc w:val="left"/>
      <w:pPr>
        <w:ind w:left="360" w:hanging="360"/>
      </w:pPr>
      <w:rPr>
        <w:rFonts w:ascii="Century Gothic" w:eastAsia="Times New Roman" w:hAnsi="Century Gothic"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37882575"/>
    <w:multiLevelType w:val="multilevel"/>
    <w:tmpl w:val="7BA2608C"/>
    <w:lvl w:ilvl="0">
      <w:start w:val="1"/>
      <w:numFmt w:val="decimal"/>
      <w:lvlText w:val="%1.0"/>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7" w15:restartNumberingAfterBreak="0">
    <w:nsid w:val="37C25B38"/>
    <w:multiLevelType w:val="multilevel"/>
    <w:tmpl w:val="809A16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8930D8A"/>
    <w:multiLevelType w:val="hybridMultilevel"/>
    <w:tmpl w:val="59463EE2"/>
    <w:lvl w:ilvl="0" w:tplc="AFD27B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38AC6BEA"/>
    <w:multiLevelType w:val="multilevel"/>
    <w:tmpl w:val="8DDA54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15:restartNumberingAfterBreak="0">
    <w:nsid w:val="38DD478C"/>
    <w:multiLevelType w:val="hybridMultilevel"/>
    <w:tmpl w:val="BB3A17D2"/>
    <w:lvl w:ilvl="0" w:tplc="F2A682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390372B3"/>
    <w:multiLevelType w:val="multilevel"/>
    <w:tmpl w:val="02B67A5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397A3FAB"/>
    <w:multiLevelType w:val="hybridMultilevel"/>
    <w:tmpl w:val="B0A63F30"/>
    <w:lvl w:ilvl="0" w:tplc="DAA81C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39B16C22"/>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9B33D3F"/>
    <w:multiLevelType w:val="hybridMultilevel"/>
    <w:tmpl w:val="105E5E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A21401E"/>
    <w:multiLevelType w:val="multilevel"/>
    <w:tmpl w:val="1DF0BFCE"/>
    <w:lvl w:ilvl="0">
      <w:start w:val="4"/>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3A563013"/>
    <w:multiLevelType w:val="multilevel"/>
    <w:tmpl w:val="238E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AE8080C"/>
    <w:multiLevelType w:val="hybridMultilevel"/>
    <w:tmpl w:val="3BD233C2"/>
    <w:lvl w:ilvl="0" w:tplc="6C440B34">
      <w:start w:val="2"/>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B060B95"/>
    <w:multiLevelType w:val="multilevel"/>
    <w:tmpl w:val="06D215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B1F55E9"/>
    <w:multiLevelType w:val="multilevel"/>
    <w:tmpl w:val="35E4E16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3B601162"/>
    <w:multiLevelType w:val="multilevel"/>
    <w:tmpl w:val="FD368A02"/>
    <w:lvl w:ilvl="0">
      <w:start w:val="1"/>
      <w:numFmt w:val="bullet"/>
      <w:pStyle w:val="EQ5D5LVASInstructions"/>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3BCA6D3F"/>
    <w:multiLevelType w:val="hybridMultilevel"/>
    <w:tmpl w:val="A29EF4AE"/>
    <w:lvl w:ilvl="0" w:tplc="F3768012">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3C36293F"/>
    <w:multiLevelType w:val="hybridMultilevel"/>
    <w:tmpl w:val="AE240596"/>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C860F4D"/>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DAE0E36"/>
    <w:multiLevelType w:val="multilevel"/>
    <w:tmpl w:val="C3F04936"/>
    <w:lvl w:ilvl="0">
      <w:start w:val="3"/>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5" w15:restartNumberingAfterBreak="0">
    <w:nsid w:val="3E586708"/>
    <w:multiLevelType w:val="hybridMultilevel"/>
    <w:tmpl w:val="94200404"/>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3E5B5EF9"/>
    <w:multiLevelType w:val="hybridMultilevel"/>
    <w:tmpl w:val="626EADF4"/>
    <w:lvl w:ilvl="0" w:tplc="F07C4F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E9177F6"/>
    <w:multiLevelType w:val="multilevel"/>
    <w:tmpl w:val="D3C6E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EEF27FF"/>
    <w:multiLevelType w:val="hybridMultilevel"/>
    <w:tmpl w:val="C3B6B0E0"/>
    <w:lvl w:ilvl="0" w:tplc="1304F064">
      <w:start w:val="3"/>
      <w:numFmt w:val="bullet"/>
      <w:lvlText w:val="-"/>
      <w:lvlJc w:val="left"/>
      <w:pPr>
        <w:ind w:left="720" w:hanging="360"/>
      </w:pPr>
      <w:rPr>
        <w:rFonts w:ascii="Avenir Book" w:eastAsia="Times New Roman" w:hAnsi="Avenir Book"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EFC10DC"/>
    <w:multiLevelType w:val="multilevel"/>
    <w:tmpl w:val="08EA37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3F0150EE"/>
    <w:multiLevelType w:val="multilevel"/>
    <w:tmpl w:val="EFA42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F5C66CA"/>
    <w:multiLevelType w:val="hybridMultilevel"/>
    <w:tmpl w:val="457C1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40456271"/>
    <w:multiLevelType w:val="hybridMultilevel"/>
    <w:tmpl w:val="B976994A"/>
    <w:lvl w:ilvl="0" w:tplc="61E89F02">
      <w:start w:val="3"/>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0C74446"/>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0E01E5A"/>
    <w:multiLevelType w:val="hybridMultilevel"/>
    <w:tmpl w:val="6194F67E"/>
    <w:lvl w:ilvl="0" w:tplc="FFFFFFFF">
      <w:start w:val="1"/>
      <w:numFmt w:val="lowerRoman"/>
      <w:lvlText w:val="%1."/>
      <w:lvlJc w:val="left"/>
      <w:pPr>
        <w:ind w:left="720" w:hanging="360"/>
      </w:pPr>
      <w:rPr>
        <w:rFonts w:ascii="Century Gothic" w:eastAsia="Times New Roman" w:hAnsi="Century Gothic" w:cs="Times New Roman"/>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417F5E56"/>
    <w:multiLevelType w:val="hybridMultilevel"/>
    <w:tmpl w:val="26640C9A"/>
    <w:lvl w:ilvl="0" w:tplc="1D4A16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41BA3B96"/>
    <w:multiLevelType w:val="hybridMultilevel"/>
    <w:tmpl w:val="4E0A592C"/>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432E0356"/>
    <w:multiLevelType w:val="multilevel"/>
    <w:tmpl w:val="42BE08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433B77C2"/>
    <w:multiLevelType w:val="multilevel"/>
    <w:tmpl w:val="431CDE76"/>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44ED6971"/>
    <w:multiLevelType w:val="multilevel"/>
    <w:tmpl w:val="C0027E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44FC3D26"/>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458704F3"/>
    <w:multiLevelType w:val="hybridMultilevel"/>
    <w:tmpl w:val="29F2A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45B3164B"/>
    <w:multiLevelType w:val="hybridMultilevel"/>
    <w:tmpl w:val="C9A8EAB2"/>
    <w:lvl w:ilvl="0" w:tplc="D9D66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48082A36"/>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8C14A18"/>
    <w:multiLevelType w:val="multilevel"/>
    <w:tmpl w:val="7E3C6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8E82804"/>
    <w:multiLevelType w:val="hybridMultilevel"/>
    <w:tmpl w:val="21481D38"/>
    <w:lvl w:ilvl="0" w:tplc="FA924BC4">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48FF32B0"/>
    <w:multiLevelType w:val="hybridMultilevel"/>
    <w:tmpl w:val="105E5E9A"/>
    <w:lvl w:ilvl="0" w:tplc="65EEE1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49452423"/>
    <w:multiLevelType w:val="hybridMultilevel"/>
    <w:tmpl w:val="EBC4773C"/>
    <w:lvl w:ilvl="0" w:tplc="F426FD24">
      <w:start w:val="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A5315DA"/>
    <w:multiLevelType w:val="hybridMultilevel"/>
    <w:tmpl w:val="4CCEE2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B3D2938"/>
    <w:multiLevelType w:val="multilevel"/>
    <w:tmpl w:val="EED61156"/>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3."/>
      <w:lvlJc w:val="left"/>
      <w:pPr>
        <w:ind w:left="720" w:hanging="720"/>
      </w:pPr>
      <w:rPr>
        <w:rFonts w:ascii="Calibri" w:eastAsia="Calibri" w:hAnsi="Calibri" w:cs="Calibri"/>
      </w:rPr>
    </w:lvl>
    <w:lvl w:ilvl="3">
      <w:start w:val="1"/>
      <w:numFmt w:val="decimal"/>
      <w:lvlText w:val="%1.%2.%3.%4"/>
      <w:lvlJc w:val="left"/>
      <w:pPr>
        <w:ind w:left="862"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0" w15:restartNumberingAfterBreak="0">
    <w:nsid w:val="4CC4420B"/>
    <w:multiLevelType w:val="hybridMultilevel"/>
    <w:tmpl w:val="01FEE724"/>
    <w:lvl w:ilvl="0" w:tplc="8B12CD86">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CE8244B"/>
    <w:multiLevelType w:val="multilevel"/>
    <w:tmpl w:val="F37EEC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4D09090A"/>
    <w:multiLevelType w:val="multilevel"/>
    <w:tmpl w:val="F33873D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4D340308"/>
    <w:multiLevelType w:val="hybridMultilevel"/>
    <w:tmpl w:val="4B22EBB8"/>
    <w:lvl w:ilvl="0" w:tplc="35BA80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4E763AE7"/>
    <w:multiLevelType w:val="hybridMultilevel"/>
    <w:tmpl w:val="EAD692F0"/>
    <w:lvl w:ilvl="0" w:tplc="3D1CEE1A">
      <w:start w:val="2"/>
      <w:numFmt w:val="bullet"/>
      <w:lvlText w:val="-"/>
      <w:lvlJc w:val="left"/>
      <w:pPr>
        <w:ind w:left="720" w:hanging="360"/>
      </w:pPr>
      <w:rPr>
        <w:rFonts w:ascii="Avenir Book" w:eastAsia="Times New Roman" w:hAnsi="Avenir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F914674"/>
    <w:multiLevelType w:val="hybridMultilevel"/>
    <w:tmpl w:val="4C3E5050"/>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4FCA362B"/>
    <w:multiLevelType w:val="hybridMultilevel"/>
    <w:tmpl w:val="942C0832"/>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4FE01195"/>
    <w:multiLevelType w:val="hybridMultilevel"/>
    <w:tmpl w:val="DC649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01F73FB"/>
    <w:multiLevelType w:val="hybridMultilevel"/>
    <w:tmpl w:val="D128A70A"/>
    <w:lvl w:ilvl="0" w:tplc="209663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0AF216C"/>
    <w:multiLevelType w:val="multilevel"/>
    <w:tmpl w:val="EA3A4B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50D55385"/>
    <w:multiLevelType w:val="hybridMultilevel"/>
    <w:tmpl w:val="4CCEE2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2815331"/>
    <w:multiLevelType w:val="multilevel"/>
    <w:tmpl w:val="9EBE6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31342A7"/>
    <w:multiLevelType w:val="multilevel"/>
    <w:tmpl w:val="6638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4546C85"/>
    <w:multiLevelType w:val="hybridMultilevel"/>
    <w:tmpl w:val="9FFC03A6"/>
    <w:lvl w:ilvl="0" w:tplc="7EE80F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55085AAB"/>
    <w:multiLevelType w:val="multilevel"/>
    <w:tmpl w:val="34F88274"/>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55171D61"/>
    <w:multiLevelType w:val="multilevel"/>
    <w:tmpl w:val="6FF0CF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557B0D98"/>
    <w:multiLevelType w:val="hybridMultilevel"/>
    <w:tmpl w:val="6194F67E"/>
    <w:lvl w:ilvl="0" w:tplc="C2327A00">
      <w:start w:val="1"/>
      <w:numFmt w:val="lowerRoman"/>
      <w:lvlText w:val="%1."/>
      <w:lvlJc w:val="left"/>
      <w:pPr>
        <w:ind w:left="720" w:hanging="360"/>
      </w:pPr>
      <w:rPr>
        <w:rFonts w:ascii="Century Gothic" w:eastAsia="Times New Roman" w:hAnsi="Century Gothic" w:cs="Times New Roman"/>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6B816CA"/>
    <w:multiLevelType w:val="hybridMultilevel"/>
    <w:tmpl w:val="8D5A30BA"/>
    <w:lvl w:ilvl="0" w:tplc="069A83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56E319B7"/>
    <w:multiLevelType w:val="multilevel"/>
    <w:tmpl w:val="70CA5EE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56F968B0"/>
    <w:multiLevelType w:val="multilevel"/>
    <w:tmpl w:val="D38087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796509F"/>
    <w:multiLevelType w:val="multilevel"/>
    <w:tmpl w:val="603E9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842369C"/>
    <w:multiLevelType w:val="hybridMultilevel"/>
    <w:tmpl w:val="53F0A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59D058B5"/>
    <w:multiLevelType w:val="multilevel"/>
    <w:tmpl w:val="BA1688C0"/>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59FE2222"/>
    <w:multiLevelType w:val="multilevel"/>
    <w:tmpl w:val="6AA6CE46"/>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3."/>
      <w:lvlJc w:val="left"/>
      <w:pPr>
        <w:ind w:left="720" w:hanging="720"/>
      </w:pPr>
      <w:rPr>
        <w:rFonts w:ascii="Calibri" w:eastAsia="Calibri" w:hAnsi="Calibri" w:cs="Calibri"/>
      </w:rPr>
    </w:lvl>
    <w:lvl w:ilvl="3">
      <w:start w:val="1"/>
      <w:numFmt w:val="decimal"/>
      <w:lvlText w:val="%1.%2.%3.%4"/>
      <w:lvlJc w:val="left"/>
      <w:pPr>
        <w:ind w:left="862"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4" w15:restartNumberingAfterBreak="0">
    <w:nsid w:val="5A2754A4"/>
    <w:multiLevelType w:val="multilevel"/>
    <w:tmpl w:val="CDE8E0BC"/>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5" w15:restartNumberingAfterBreak="0">
    <w:nsid w:val="5AA2519E"/>
    <w:multiLevelType w:val="multilevel"/>
    <w:tmpl w:val="9F808B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5AAA6276"/>
    <w:multiLevelType w:val="multilevel"/>
    <w:tmpl w:val="45B23D78"/>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5B034D29"/>
    <w:multiLevelType w:val="hybridMultilevel"/>
    <w:tmpl w:val="6194F67E"/>
    <w:lvl w:ilvl="0" w:tplc="FFFFFFFF">
      <w:start w:val="1"/>
      <w:numFmt w:val="lowerRoman"/>
      <w:lvlText w:val="%1."/>
      <w:lvlJc w:val="left"/>
      <w:pPr>
        <w:ind w:left="720" w:hanging="360"/>
      </w:pPr>
      <w:rPr>
        <w:rFonts w:ascii="Century Gothic" w:eastAsia="Times New Roman" w:hAnsi="Century Gothic" w:cs="Times New Roman"/>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5B0C19F1"/>
    <w:multiLevelType w:val="hybridMultilevel"/>
    <w:tmpl w:val="CA0CEDAE"/>
    <w:lvl w:ilvl="0" w:tplc="13C606B6">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5B1E5D27"/>
    <w:multiLevelType w:val="multilevel"/>
    <w:tmpl w:val="D2E65B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5B836A64"/>
    <w:multiLevelType w:val="hybridMultilevel"/>
    <w:tmpl w:val="786C4A0C"/>
    <w:lvl w:ilvl="0" w:tplc="823CAE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5BCC635E"/>
    <w:multiLevelType w:val="hybridMultilevel"/>
    <w:tmpl w:val="6CE40322"/>
    <w:lvl w:ilvl="0" w:tplc="F62A54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5CF57DCE"/>
    <w:multiLevelType w:val="multilevel"/>
    <w:tmpl w:val="36AE3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D4F793B"/>
    <w:multiLevelType w:val="hybridMultilevel"/>
    <w:tmpl w:val="6BB43FEC"/>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5E472593"/>
    <w:multiLevelType w:val="multilevel"/>
    <w:tmpl w:val="61C41A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5F156A3D"/>
    <w:multiLevelType w:val="hybridMultilevel"/>
    <w:tmpl w:val="034CE1E6"/>
    <w:lvl w:ilvl="0" w:tplc="14961CE6">
      <w:start w:val="1"/>
      <w:numFmt w:val="bullet"/>
      <w:lvlText w:val="-"/>
      <w:lvlJc w:val="left"/>
      <w:pPr>
        <w:ind w:left="720" w:hanging="360"/>
      </w:pPr>
      <w:rPr>
        <w:rFonts w:ascii="Times New Roman" w:eastAsia="Times New Roman" w:hAnsi="Times New Roman" w:cs="Times New Roman"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F9F1617"/>
    <w:multiLevelType w:val="multilevel"/>
    <w:tmpl w:val="25B4C3B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60B24973"/>
    <w:multiLevelType w:val="hybridMultilevel"/>
    <w:tmpl w:val="6DA6E060"/>
    <w:lvl w:ilvl="0" w:tplc="7F5C4CDE">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8" w15:restartNumberingAfterBreak="0">
    <w:nsid w:val="61054F8F"/>
    <w:multiLevelType w:val="hybridMultilevel"/>
    <w:tmpl w:val="C92C50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10C67A1"/>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61345159"/>
    <w:multiLevelType w:val="multilevel"/>
    <w:tmpl w:val="08BA03CA"/>
    <w:lvl w:ilvl="0">
      <w:start w:val="4"/>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1" w15:restartNumberingAfterBreak="0">
    <w:nsid w:val="61886A91"/>
    <w:multiLevelType w:val="multilevel"/>
    <w:tmpl w:val="F99800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619E3272"/>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1D45C6C"/>
    <w:multiLevelType w:val="hybridMultilevel"/>
    <w:tmpl w:val="DB34E7AE"/>
    <w:lvl w:ilvl="0" w:tplc="1908B8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2CB5D8E"/>
    <w:multiLevelType w:val="hybridMultilevel"/>
    <w:tmpl w:val="8CBA5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62F068D9"/>
    <w:multiLevelType w:val="multilevel"/>
    <w:tmpl w:val="4796984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6" w15:restartNumberingAfterBreak="0">
    <w:nsid w:val="62FF2EA2"/>
    <w:multiLevelType w:val="multilevel"/>
    <w:tmpl w:val="677EA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33F3205"/>
    <w:multiLevelType w:val="hybridMultilevel"/>
    <w:tmpl w:val="687824A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8" w15:restartNumberingAfterBreak="0">
    <w:nsid w:val="63D64779"/>
    <w:multiLevelType w:val="multilevel"/>
    <w:tmpl w:val="6D40BE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643332CF"/>
    <w:multiLevelType w:val="hybridMultilevel"/>
    <w:tmpl w:val="96E0B96E"/>
    <w:lvl w:ilvl="0" w:tplc="69E60B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65C04013"/>
    <w:multiLevelType w:val="hybridMultilevel"/>
    <w:tmpl w:val="A976B820"/>
    <w:lvl w:ilvl="0" w:tplc="D3AAC2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66B74654"/>
    <w:multiLevelType w:val="multilevel"/>
    <w:tmpl w:val="886873A2"/>
    <w:lvl w:ilvl="0">
      <w:start w:val="4"/>
      <w:numFmt w:val="decimal"/>
      <w:lvlText w:val="%1"/>
      <w:lvlJc w:val="left"/>
      <w:pPr>
        <w:ind w:left="460" w:hanging="460"/>
      </w:pPr>
      <w:rPr>
        <w:rFonts w:hint="default"/>
      </w:rPr>
    </w:lvl>
    <w:lvl w:ilvl="1">
      <w:start w:val="7"/>
      <w:numFmt w:val="decimal"/>
      <w:lvlText w:val="%1.%2"/>
      <w:lvlJc w:val="left"/>
      <w:pPr>
        <w:ind w:left="460" w:hanging="4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2" w15:restartNumberingAfterBreak="0">
    <w:nsid w:val="676141C7"/>
    <w:multiLevelType w:val="multilevel"/>
    <w:tmpl w:val="5CBAC50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93" w15:restartNumberingAfterBreak="0">
    <w:nsid w:val="68E27752"/>
    <w:multiLevelType w:val="hybridMultilevel"/>
    <w:tmpl w:val="5CEC3420"/>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68EE35E3"/>
    <w:multiLevelType w:val="multilevel"/>
    <w:tmpl w:val="2AB26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691A5F23"/>
    <w:multiLevelType w:val="multilevel"/>
    <w:tmpl w:val="BEF2F08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889"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92B55B0"/>
    <w:multiLevelType w:val="multilevel"/>
    <w:tmpl w:val="ED9401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697C13B2"/>
    <w:multiLevelType w:val="hybridMultilevel"/>
    <w:tmpl w:val="4B08F150"/>
    <w:lvl w:ilvl="0" w:tplc="CBBA5C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A1025EA"/>
    <w:multiLevelType w:val="hybridMultilevel"/>
    <w:tmpl w:val="EB9AF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6A811232"/>
    <w:multiLevelType w:val="hybridMultilevel"/>
    <w:tmpl w:val="4EF8EF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6A8D6C10"/>
    <w:multiLevelType w:val="hybridMultilevel"/>
    <w:tmpl w:val="066CD1E8"/>
    <w:lvl w:ilvl="0" w:tplc="33E081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AAD3DBC"/>
    <w:multiLevelType w:val="hybridMultilevel"/>
    <w:tmpl w:val="105E5E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6B2B1037"/>
    <w:multiLevelType w:val="multilevel"/>
    <w:tmpl w:val="92E01BCE"/>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3."/>
      <w:lvlJc w:val="left"/>
      <w:pPr>
        <w:ind w:left="720" w:hanging="720"/>
      </w:pPr>
      <w:rPr>
        <w:rFonts w:ascii="Calibri" w:eastAsia="Calibri" w:hAnsi="Calibri" w:cs="Calibri"/>
      </w:rPr>
    </w:lvl>
    <w:lvl w:ilvl="3">
      <w:start w:val="1"/>
      <w:numFmt w:val="decimal"/>
      <w:lvlText w:val="%1.%2.%3.%4"/>
      <w:lvlJc w:val="left"/>
      <w:pPr>
        <w:ind w:left="862"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3" w15:restartNumberingAfterBreak="0">
    <w:nsid w:val="6BB004BD"/>
    <w:multiLevelType w:val="hybridMultilevel"/>
    <w:tmpl w:val="B4A487BA"/>
    <w:lvl w:ilvl="0" w:tplc="08090013">
      <w:start w:val="1"/>
      <w:numFmt w:val="upperRoman"/>
      <w:lvlText w:val="%1."/>
      <w:lvlJc w:val="right"/>
      <w:pPr>
        <w:ind w:left="54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6BFA1472"/>
    <w:multiLevelType w:val="hybridMultilevel"/>
    <w:tmpl w:val="FAEA7E4E"/>
    <w:lvl w:ilvl="0" w:tplc="C2327A00">
      <w:start w:val="1"/>
      <w:numFmt w:val="lowerRoman"/>
      <w:lvlText w:val="%1."/>
      <w:lvlJc w:val="left"/>
      <w:pPr>
        <w:ind w:left="720" w:hanging="360"/>
      </w:pPr>
      <w:rPr>
        <w:rFonts w:ascii="Century Gothic" w:eastAsia="Times New Roman" w:hAnsi="Century Gothic"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6C7F1A36"/>
    <w:multiLevelType w:val="hybridMultilevel"/>
    <w:tmpl w:val="40E03DA2"/>
    <w:lvl w:ilvl="0" w:tplc="58145D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6C954C2B"/>
    <w:multiLevelType w:val="hybridMultilevel"/>
    <w:tmpl w:val="CD08321C"/>
    <w:lvl w:ilvl="0" w:tplc="08090013">
      <w:start w:val="1"/>
      <w:numFmt w:val="upperRoman"/>
      <w:lvlText w:val="%1."/>
      <w:lvlJc w:val="right"/>
      <w:pPr>
        <w:ind w:left="540" w:hanging="180"/>
      </w:pPr>
      <w:rPr>
        <w:rFonts w:hint="default"/>
        <w:i/>
        <w:color w:val="2E74B5" w:themeColor="accent1" w:themeShade="BF"/>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6E0B5DA3"/>
    <w:multiLevelType w:val="multilevel"/>
    <w:tmpl w:val="F906E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F950572"/>
    <w:multiLevelType w:val="multilevel"/>
    <w:tmpl w:val="51B2937C"/>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09" w15:restartNumberingAfterBreak="0">
    <w:nsid w:val="6FC100A3"/>
    <w:multiLevelType w:val="hybridMultilevel"/>
    <w:tmpl w:val="B9B620BC"/>
    <w:lvl w:ilvl="0" w:tplc="AF725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70954F42"/>
    <w:multiLevelType w:val="hybridMultilevel"/>
    <w:tmpl w:val="380811D2"/>
    <w:lvl w:ilvl="0" w:tplc="7F264A9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725453BD"/>
    <w:multiLevelType w:val="hybridMultilevel"/>
    <w:tmpl w:val="2CCA91FE"/>
    <w:lvl w:ilvl="0" w:tplc="DD82802E">
      <w:start w:val="10"/>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2" w15:restartNumberingAfterBreak="0">
    <w:nsid w:val="72853875"/>
    <w:multiLevelType w:val="hybridMultilevel"/>
    <w:tmpl w:val="3EC2E6D4"/>
    <w:lvl w:ilvl="0" w:tplc="65504F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73554EBC"/>
    <w:multiLevelType w:val="hybridMultilevel"/>
    <w:tmpl w:val="C92C5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745F2FD9"/>
    <w:multiLevelType w:val="multilevel"/>
    <w:tmpl w:val="BEF2F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889"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74B5113E"/>
    <w:multiLevelType w:val="multilevel"/>
    <w:tmpl w:val="44BE7E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75935E9B"/>
    <w:multiLevelType w:val="hybridMultilevel"/>
    <w:tmpl w:val="CA8CF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76E44F32"/>
    <w:multiLevelType w:val="hybridMultilevel"/>
    <w:tmpl w:val="E6D87306"/>
    <w:lvl w:ilvl="0" w:tplc="93C67B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774B5849"/>
    <w:multiLevelType w:val="multilevel"/>
    <w:tmpl w:val="726897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79D95E2F"/>
    <w:multiLevelType w:val="multilevel"/>
    <w:tmpl w:val="E8D24C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7C191D1D"/>
    <w:multiLevelType w:val="hybridMultilevel"/>
    <w:tmpl w:val="4CCEE2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7C286285"/>
    <w:multiLevelType w:val="hybridMultilevel"/>
    <w:tmpl w:val="C64CE2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C522779"/>
    <w:multiLevelType w:val="multilevel"/>
    <w:tmpl w:val="AEF8FAFA"/>
    <w:styleLink w:val="CurrentList2"/>
    <w:lvl w:ilvl="0">
      <w:start w:val="2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7C6D3D3E"/>
    <w:multiLevelType w:val="hybridMultilevel"/>
    <w:tmpl w:val="4CCEE2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7C8D7D3D"/>
    <w:multiLevelType w:val="multilevel"/>
    <w:tmpl w:val="E772AF0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5" w15:restartNumberingAfterBreak="0">
    <w:nsid w:val="7CF6442A"/>
    <w:multiLevelType w:val="multilevel"/>
    <w:tmpl w:val="6E007D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7CFD4B65"/>
    <w:multiLevelType w:val="hybridMultilevel"/>
    <w:tmpl w:val="36666BB8"/>
    <w:lvl w:ilvl="0" w:tplc="735C12A2">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7" w15:restartNumberingAfterBreak="0">
    <w:nsid w:val="7D614F92"/>
    <w:multiLevelType w:val="hybridMultilevel"/>
    <w:tmpl w:val="6C489CA0"/>
    <w:lvl w:ilvl="0" w:tplc="247899F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7D8B170A"/>
    <w:multiLevelType w:val="multilevel"/>
    <w:tmpl w:val="FEEC52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7DD94E7B"/>
    <w:multiLevelType w:val="hybridMultilevel"/>
    <w:tmpl w:val="8CF895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7E1A6EC9"/>
    <w:multiLevelType w:val="multilevel"/>
    <w:tmpl w:val="BEF2F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889"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7E7B7D4D"/>
    <w:multiLevelType w:val="multilevel"/>
    <w:tmpl w:val="A7201FBA"/>
    <w:lvl w:ilvl="0">
      <w:start w:val="4"/>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2" w15:restartNumberingAfterBreak="0">
    <w:nsid w:val="7F8F6DEC"/>
    <w:multiLevelType w:val="hybridMultilevel"/>
    <w:tmpl w:val="C42E914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7FF831B4"/>
    <w:multiLevelType w:val="hybridMultilevel"/>
    <w:tmpl w:val="8CBA54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6573969">
    <w:abstractNumId w:val="147"/>
  </w:num>
  <w:num w:numId="2" w16cid:durableId="1892811917">
    <w:abstractNumId w:val="192"/>
  </w:num>
  <w:num w:numId="3" w16cid:durableId="919948490">
    <w:abstractNumId w:val="37"/>
  </w:num>
  <w:num w:numId="4" w16cid:durableId="487748795">
    <w:abstractNumId w:val="164"/>
  </w:num>
  <w:num w:numId="5" w16cid:durableId="1004673594">
    <w:abstractNumId w:val="232"/>
  </w:num>
  <w:num w:numId="6" w16cid:durableId="1436754842">
    <w:abstractNumId w:val="172"/>
  </w:num>
  <w:num w:numId="7" w16cid:durableId="2111049014">
    <w:abstractNumId w:val="27"/>
  </w:num>
  <w:num w:numId="8" w16cid:durableId="1886482479">
    <w:abstractNumId w:val="186"/>
  </w:num>
  <w:num w:numId="9" w16cid:durableId="271326903">
    <w:abstractNumId w:val="108"/>
  </w:num>
  <w:num w:numId="10" w16cid:durableId="383454014">
    <w:abstractNumId w:val="68"/>
  </w:num>
  <w:num w:numId="11" w16cid:durableId="161044106">
    <w:abstractNumId w:val="152"/>
  </w:num>
  <w:num w:numId="12" w16cid:durableId="830675580">
    <w:abstractNumId w:val="25"/>
  </w:num>
  <w:num w:numId="13" w16cid:durableId="954826263">
    <w:abstractNumId w:val="73"/>
  </w:num>
  <w:num w:numId="14" w16cid:durableId="357239629">
    <w:abstractNumId w:val="55"/>
  </w:num>
  <w:num w:numId="15" w16cid:durableId="968239691">
    <w:abstractNumId w:val="161"/>
  </w:num>
  <w:num w:numId="16" w16cid:durableId="831411598">
    <w:abstractNumId w:val="151"/>
  </w:num>
  <w:num w:numId="17" w16cid:durableId="1588886030">
    <w:abstractNumId w:val="42"/>
  </w:num>
  <w:num w:numId="18" w16cid:durableId="658964987">
    <w:abstractNumId w:val="6"/>
  </w:num>
  <w:num w:numId="19" w16cid:durableId="1117483148">
    <w:abstractNumId w:val="84"/>
  </w:num>
  <w:num w:numId="20" w16cid:durableId="2076540898">
    <w:abstractNumId w:val="86"/>
  </w:num>
  <w:num w:numId="21" w16cid:durableId="387997115">
    <w:abstractNumId w:val="96"/>
  </w:num>
  <w:num w:numId="22" w16cid:durableId="287669950">
    <w:abstractNumId w:val="199"/>
  </w:num>
  <w:num w:numId="23" w16cid:durableId="48385356">
    <w:abstractNumId w:val="102"/>
  </w:num>
  <w:num w:numId="24" w16cid:durableId="641160282">
    <w:abstractNumId w:val="114"/>
  </w:num>
  <w:num w:numId="25" w16cid:durableId="1512180020">
    <w:abstractNumId w:val="109"/>
  </w:num>
  <w:num w:numId="26" w16cid:durableId="965548757">
    <w:abstractNumId w:val="66"/>
  </w:num>
  <w:num w:numId="27" w16cid:durableId="208032341">
    <w:abstractNumId w:val="51"/>
  </w:num>
  <w:num w:numId="28" w16cid:durableId="972832846">
    <w:abstractNumId w:val="92"/>
  </w:num>
  <w:num w:numId="29" w16cid:durableId="801311743">
    <w:abstractNumId w:val="143"/>
  </w:num>
  <w:num w:numId="30" w16cid:durableId="1580603380">
    <w:abstractNumId w:val="190"/>
  </w:num>
  <w:num w:numId="31" w16cid:durableId="350227757">
    <w:abstractNumId w:val="204"/>
  </w:num>
  <w:num w:numId="32" w16cid:durableId="939530311">
    <w:abstractNumId w:val="156"/>
  </w:num>
  <w:num w:numId="33" w16cid:durableId="494489639">
    <w:abstractNumId w:val="227"/>
  </w:num>
  <w:num w:numId="34" w16cid:durableId="722414287">
    <w:abstractNumId w:val="230"/>
  </w:num>
  <w:num w:numId="35" w16cid:durableId="123930778">
    <w:abstractNumId w:val="187"/>
  </w:num>
  <w:num w:numId="36" w16cid:durableId="874343312">
    <w:abstractNumId w:val="107"/>
  </w:num>
  <w:num w:numId="37" w16cid:durableId="1299532036">
    <w:abstractNumId w:val="49"/>
  </w:num>
  <w:num w:numId="38" w16cid:durableId="1342123472">
    <w:abstractNumId w:val="24"/>
  </w:num>
  <w:num w:numId="39" w16cid:durableId="1081566283">
    <w:abstractNumId w:val="195"/>
  </w:num>
  <w:num w:numId="40" w16cid:durableId="1886791356">
    <w:abstractNumId w:val="177"/>
  </w:num>
  <w:num w:numId="41" w16cid:durableId="907227264">
    <w:abstractNumId w:val="214"/>
  </w:num>
  <w:num w:numId="42" w16cid:durableId="1834100992">
    <w:abstractNumId w:val="26"/>
  </w:num>
  <w:num w:numId="43" w16cid:durableId="840700566">
    <w:abstractNumId w:val="175"/>
  </w:num>
  <w:num w:numId="44" w16cid:durableId="1012956532">
    <w:abstractNumId w:val="226"/>
  </w:num>
  <w:num w:numId="45" w16cid:durableId="515001853">
    <w:abstractNumId w:val="90"/>
  </w:num>
  <w:num w:numId="46" w16cid:durableId="698698798">
    <w:abstractNumId w:val="65"/>
  </w:num>
  <w:num w:numId="47" w16cid:durableId="860824003">
    <w:abstractNumId w:val="111"/>
  </w:num>
  <w:num w:numId="48" w16cid:durableId="1899512673">
    <w:abstractNumId w:val="64"/>
  </w:num>
  <w:num w:numId="49" w16cid:durableId="517357324">
    <w:abstractNumId w:val="168"/>
  </w:num>
  <w:num w:numId="50" w16cid:durableId="1772437076">
    <w:abstractNumId w:val="52"/>
  </w:num>
  <w:num w:numId="51" w16cid:durableId="1562716276">
    <w:abstractNumId w:val="222"/>
  </w:num>
  <w:num w:numId="52" w16cid:durableId="875506950">
    <w:abstractNumId w:val="124"/>
  </w:num>
  <w:num w:numId="53" w16cid:durableId="215169272">
    <w:abstractNumId w:val="48"/>
  </w:num>
  <w:num w:numId="54" w16cid:durableId="929696899">
    <w:abstractNumId w:val="167"/>
  </w:num>
  <w:num w:numId="55" w16cid:durableId="990403556">
    <w:abstractNumId w:val="39"/>
  </w:num>
  <w:num w:numId="56" w16cid:durableId="1944216589">
    <w:abstractNumId w:val="91"/>
  </w:num>
  <w:num w:numId="57" w16cid:durableId="633760039">
    <w:abstractNumId w:val="165"/>
  </w:num>
  <w:num w:numId="58" w16cid:durableId="1547982912">
    <w:abstractNumId w:val="94"/>
  </w:num>
  <w:num w:numId="59" w16cid:durableId="1715079566">
    <w:abstractNumId w:val="134"/>
  </w:num>
  <w:num w:numId="60" w16cid:durableId="1298604363">
    <w:abstractNumId w:val="43"/>
  </w:num>
  <w:num w:numId="61" w16cid:durableId="2137790510">
    <w:abstractNumId w:val="53"/>
  </w:num>
  <w:num w:numId="62" w16cid:durableId="1610887717">
    <w:abstractNumId w:val="159"/>
  </w:num>
  <w:num w:numId="63" w16cid:durableId="1927961729">
    <w:abstractNumId w:val="95"/>
  </w:num>
  <w:num w:numId="64" w16cid:durableId="503202881">
    <w:abstractNumId w:val="224"/>
  </w:num>
  <w:num w:numId="65" w16cid:durableId="1151629835">
    <w:abstractNumId w:val="191"/>
  </w:num>
  <w:num w:numId="66" w16cid:durableId="1153907118">
    <w:abstractNumId w:val="106"/>
  </w:num>
  <w:num w:numId="67" w16cid:durableId="78913961">
    <w:abstractNumId w:val="120"/>
  </w:num>
  <w:num w:numId="68" w16cid:durableId="2032562347">
    <w:abstractNumId w:val="117"/>
  </w:num>
  <w:num w:numId="69" w16cid:durableId="673841937">
    <w:abstractNumId w:val="135"/>
  </w:num>
  <w:num w:numId="70" w16cid:durableId="1358234094">
    <w:abstractNumId w:val="137"/>
  </w:num>
  <w:num w:numId="71" w16cid:durableId="1001278268">
    <w:abstractNumId w:val="0"/>
  </w:num>
  <w:num w:numId="72" w16cid:durableId="2089421912">
    <w:abstractNumId w:val="160"/>
  </w:num>
  <w:num w:numId="73" w16cid:durableId="804007824">
    <w:abstractNumId w:val="5"/>
  </w:num>
  <w:num w:numId="74" w16cid:durableId="1409304435">
    <w:abstractNumId w:val="207"/>
  </w:num>
  <w:num w:numId="75" w16cid:durableId="476536285">
    <w:abstractNumId w:val="15"/>
  </w:num>
  <w:num w:numId="76" w16cid:durableId="267353969">
    <w:abstractNumId w:val="23"/>
  </w:num>
  <w:num w:numId="77" w16cid:durableId="1420372595">
    <w:abstractNumId w:val="144"/>
  </w:num>
  <w:num w:numId="78" w16cid:durableId="940139486">
    <w:abstractNumId w:val="183"/>
  </w:num>
  <w:num w:numId="79" w16cid:durableId="1791432242">
    <w:abstractNumId w:val="62"/>
  </w:num>
  <w:num w:numId="80" w16cid:durableId="526140450">
    <w:abstractNumId w:val="118"/>
  </w:num>
  <w:num w:numId="81" w16cid:durableId="470949782">
    <w:abstractNumId w:val="13"/>
  </w:num>
  <w:num w:numId="82" w16cid:durableId="2005742622">
    <w:abstractNumId w:val="33"/>
  </w:num>
  <w:num w:numId="83" w16cid:durableId="721514018">
    <w:abstractNumId w:val="81"/>
  </w:num>
  <w:num w:numId="84" w16cid:durableId="1573390896">
    <w:abstractNumId w:val="8"/>
  </w:num>
  <w:num w:numId="85" w16cid:durableId="2140489012">
    <w:abstractNumId w:val="21"/>
  </w:num>
  <w:num w:numId="86" w16cid:durableId="643892875">
    <w:abstractNumId w:val="197"/>
  </w:num>
  <w:num w:numId="87" w16cid:durableId="955452440">
    <w:abstractNumId w:val="170"/>
  </w:num>
  <w:num w:numId="88" w16cid:durableId="485318573">
    <w:abstractNumId w:val="4"/>
  </w:num>
  <w:num w:numId="89" w16cid:durableId="1787506706">
    <w:abstractNumId w:val="105"/>
  </w:num>
  <w:num w:numId="90" w16cid:durableId="1456556462">
    <w:abstractNumId w:val="231"/>
  </w:num>
  <w:num w:numId="91" w16cid:durableId="651521686">
    <w:abstractNumId w:val="83"/>
  </w:num>
  <w:num w:numId="92" w16cid:durableId="1876431214">
    <w:abstractNumId w:val="93"/>
  </w:num>
  <w:num w:numId="93" w16cid:durableId="1388189410">
    <w:abstractNumId w:val="180"/>
  </w:num>
  <w:num w:numId="94" w16cid:durableId="1893157057">
    <w:abstractNumId w:val="153"/>
  </w:num>
  <w:num w:numId="95" w16cid:durableId="548417254">
    <w:abstractNumId w:val="206"/>
  </w:num>
  <w:num w:numId="96" w16cid:durableId="1989750614">
    <w:abstractNumId w:val="203"/>
  </w:num>
  <w:num w:numId="97" w16cid:durableId="1719936766">
    <w:abstractNumId w:val="70"/>
  </w:num>
  <w:num w:numId="98" w16cid:durableId="691491338">
    <w:abstractNumId w:val="116"/>
  </w:num>
  <w:num w:numId="99" w16cid:durableId="513495489">
    <w:abstractNumId w:val="122"/>
  </w:num>
  <w:num w:numId="100" w16cid:durableId="760756800">
    <w:abstractNumId w:val="82"/>
  </w:num>
  <w:num w:numId="101" w16cid:durableId="2069456942">
    <w:abstractNumId w:val="216"/>
  </w:num>
  <w:num w:numId="102" w16cid:durableId="1948266255">
    <w:abstractNumId w:val="41"/>
  </w:num>
  <w:num w:numId="103" w16cid:durableId="234751274">
    <w:abstractNumId w:val="171"/>
  </w:num>
  <w:num w:numId="104" w16cid:durableId="1446803843">
    <w:abstractNumId w:val="60"/>
  </w:num>
  <w:num w:numId="105" w16cid:durableId="1861354702">
    <w:abstractNumId w:val="2"/>
  </w:num>
  <w:num w:numId="106" w16cid:durableId="140315660">
    <w:abstractNumId w:val="80"/>
  </w:num>
  <w:num w:numId="107" w16cid:durableId="1569999575">
    <w:abstractNumId w:val="128"/>
  </w:num>
  <w:num w:numId="108" w16cid:durableId="1763529940">
    <w:abstractNumId w:val="215"/>
  </w:num>
  <w:num w:numId="109" w16cid:durableId="135494484">
    <w:abstractNumId w:val="97"/>
  </w:num>
  <w:num w:numId="110" w16cid:durableId="261911938">
    <w:abstractNumId w:val="75"/>
  </w:num>
  <w:num w:numId="111" w16cid:durableId="1128162824">
    <w:abstractNumId w:val="218"/>
  </w:num>
  <w:num w:numId="112" w16cid:durableId="551038379">
    <w:abstractNumId w:val="162"/>
  </w:num>
  <w:num w:numId="113" w16cid:durableId="598372729">
    <w:abstractNumId w:val="188"/>
  </w:num>
  <w:num w:numId="114" w16cid:durableId="1882474913">
    <w:abstractNumId w:val="46"/>
  </w:num>
  <w:num w:numId="115" w16cid:durableId="1488667974">
    <w:abstractNumId w:val="181"/>
  </w:num>
  <w:num w:numId="116" w16cid:durableId="1359509818">
    <w:abstractNumId w:val="208"/>
  </w:num>
  <w:num w:numId="117" w16cid:durableId="1966883377">
    <w:abstractNumId w:val="142"/>
  </w:num>
  <w:num w:numId="118" w16cid:durableId="511800469">
    <w:abstractNumId w:val="69"/>
  </w:num>
  <w:num w:numId="119" w16cid:durableId="1033917145">
    <w:abstractNumId w:val="101"/>
  </w:num>
  <w:num w:numId="120" w16cid:durableId="123159944">
    <w:abstractNumId w:val="10"/>
  </w:num>
  <w:num w:numId="121" w16cid:durableId="723214567">
    <w:abstractNumId w:val="228"/>
  </w:num>
  <w:num w:numId="122" w16cid:durableId="1523592144">
    <w:abstractNumId w:val="30"/>
  </w:num>
  <w:num w:numId="123" w16cid:durableId="398594454">
    <w:abstractNumId w:val="219"/>
  </w:num>
  <w:num w:numId="124" w16cid:durableId="1585141494">
    <w:abstractNumId w:val="45"/>
  </w:num>
  <w:num w:numId="125" w16cid:durableId="1816726138">
    <w:abstractNumId w:val="61"/>
  </w:num>
  <w:num w:numId="126" w16cid:durableId="574172787">
    <w:abstractNumId w:val="67"/>
  </w:num>
  <w:num w:numId="127" w16cid:durableId="576090898">
    <w:abstractNumId w:val="87"/>
  </w:num>
  <w:num w:numId="128" w16cid:durableId="1039085299">
    <w:abstractNumId w:val="127"/>
  </w:num>
  <w:num w:numId="129" w16cid:durableId="1803308912">
    <w:abstractNumId w:val="155"/>
  </w:num>
  <w:num w:numId="130" w16cid:durableId="1361470636">
    <w:abstractNumId w:val="176"/>
  </w:num>
  <w:num w:numId="131" w16cid:durableId="1785230585">
    <w:abstractNumId w:val="63"/>
  </w:num>
  <w:num w:numId="132" w16cid:durableId="1251505470">
    <w:abstractNumId w:val="158"/>
  </w:num>
  <w:num w:numId="133" w16cid:durableId="219946063">
    <w:abstractNumId w:val="149"/>
  </w:num>
  <w:num w:numId="134" w16cid:durableId="1014504035">
    <w:abstractNumId w:val="3"/>
  </w:num>
  <w:num w:numId="135" w16cid:durableId="1984698320">
    <w:abstractNumId w:val="185"/>
  </w:num>
  <w:num w:numId="136" w16cid:durableId="1087535165">
    <w:abstractNumId w:val="194"/>
  </w:num>
  <w:num w:numId="137" w16cid:durableId="2091273334">
    <w:abstractNumId w:val="74"/>
  </w:num>
  <w:num w:numId="138" w16cid:durableId="408581765">
    <w:abstractNumId w:val="166"/>
  </w:num>
  <w:num w:numId="139" w16cid:durableId="418717255">
    <w:abstractNumId w:val="99"/>
  </w:num>
  <w:num w:numId="140" w16cid:durableId="1063912602">
    <w:abstractNumId w:val="71"/>
  </w:num>
  <w:num w:numId="141" w16cid:durableId="842013132">
    <w:abstractNumId w:val="76"/>
  </w:num>
  <w:num w:numId="142" w16cid:durableId="1755737577">
    <w:abstractNumId w:val="28"/>
  </w:num>
  <w:num w:numId="143" w16cid:durableId="1539047795">
    <w:abstractNumId w:val="35"/>
  </w:num>
  <w:num w:numId="144" w16cid:durableId="963386174">
    <w:abstractNumId w:val="129"/>
  </w:num>
  <w:num w:numId="145" w16cid:durableId="1110317632">
    <w:abstractNumId w:val="174"/>
  </w:num>
  <w:num w:numId="146" w16cid:durableId="1097751863">
    <w:abstractNumId w:val="141"/>
  </w:num>
  <w:num w:numId="147" w16cid:durableId="1222206069">
    <w:abstractNumId w:val="85"/>
  </w:num>
  <w:num w:numId="148" w16cid:durableId="1645161004">
    <w:abstractNumId w:val="19"/>
  </w:num>
  <w:num w:numId="149" w16cid:durableId="634524270">
    <w:abstractNumId w:val="196"/>
  </w:num>
  <w:num w:numId="150" w16cid:durableId="729839105">
    <w:abstractNumId w:val="169"/>
  </w:num>
  <w:num w:numId="151" w16cid:durableId="1627539854">
    <w:abstractNumId w:val="40"/>
  </w:num>
  <w:num w:numId="152" w16cid:durableId="102961447">
    <w:abstractNumId w:val="225"/>
  </w:num>
  <w:num w:numId="153" w16cid:durableId="858472819">
    <w:abstractNumId w:val="56"/>
  </w:num>
  <w:num w:numId="154" w16cid:durableId="680592906">
    <w:abstractNumId w:val="110"/>
  </w:num>
  <w:num w:numId="155" w16cid:durableId="1548488559">
    <w:abstractNumId w:val="132"/>
  </w:num>
  <w:num w:numId="156" w16cid:durableId="1365592992">
    <w:abstractNumId w:val="98"/>
  </w:num>
  <w:num w:numId="157" w16cid:durableId="17700728">
    <w:abstractNumId w:val="31"/>
  </w:num>
  <w:num w:numId="158" w16cid:durableId="398020192">
    <w:abstractNumId w:val="154"/>
  </w:num>
  <w:num w:numId="159" w16cid:durableId="1813711736">
    <w:abstractNumId w:val="163"/>
  </w:num>
  <w:num w:numId="160" w16cid:durableId="1046639976">
    <w:abstractNumId w:val="16"/>
  </w:num>
  <w:num w:numId="161" w16cid:durableId="1514372827">
    <w:abstractNumId w:val="136"/>
  </w:num>
  <w:num w:numId="162" w16cid:durableId="1515799492">
    <w:abstractNumId w:val="78"/>
  </w:num>
  <w:num w:numId="163" w16cid:durableId="1994144411">
    <w:abstractNumId w:val="184"/>
  </w:num>
  <w:num w:numId="164" w16cid:durableId="402680955">
    <w:abstractNumId w:val="201"/>
  </w:num>
  <w:num w:numId="165" w16cid:durableId="1893887704">
    <w:abstractNumId w:val="12"/>
  </w:num>
  <w:num w:numId="166" w16cid:durableId="774599935">
    <w:abstractNumId w:val="104"/>
  </w:num>
  <w:num w:numId="167" w16cid:durableId="686761499">
    <w:abstractNumId w:val="32"/>
  </w:num>
  <w:num w:numId="168" w16cid:durableId="228807050">
    <w:abstractNumId w:val="210"/>
  </w:num>
  <w:num w:numId="169" w16cid:durableId="1563716793">
    <w:abstractNumId w:val="112"/>
  </w:num>
  <w:num w:numId="170" w16cid:durableId="1393118182">
    <w:abstractNumId w:val="18"/>
  </w:num>
  <w:num w:numId="171" w16cid:durableId="2117406916">
    <w:abstractNumId w:val="38"/>
  </w:num>
  <w:num w:numId="172" w16cid:durableId="1575970616">
    <w:abstractNumId w:val="173"/>
  </w:num>
  <w:num w:numId="173" w16cid:durableId="624312078">
    <w:abstractNumId w:val="146"/>
  </w:num>
  <w:num w:numId="174" w16cid:durableId="754474988">
    <w:abstractNumId w:val="209"/>
  </w:num>
  <w:num w:numId="175" w16cid:durableId="502207713">
    <w:abstractNumId w:val="126"/>
  </w:num>
  <w:num w:numId="176" w16cid:durableId="718171168">
    <w:abstractNumId w:val="1"/>
  </w:num>
  <w:num w:numId="177" w16cid:durableId="1349143414">
    <w:abstractNumId w:val="20"/>
  </w:num>
  <w:num w:numId="178" w16cid:durableId="567227903">
    <w:abstractNumId w:val="115"/>
  </w:num>
  <w:num w:numId="179" w16cid:durableId="1009991171">
    <w:abstractNumId w:val="7"/>
  </w:num>
  <w:num w:numId="180" w16cid:durableId="702482974">
    <w:abstractNumId w:val="145"/>
  </w:num>
  <w:num w:numId="181" w16cid:durableId="1410346915">
    <w:abstractNumId w:val="44"/>
  </w:num>
  <w:num w:numId="182" w16cid:durableId="1097291609">
    <w:abstractNumId w:val="9"/>
  </w:num>
  <w:num w:numId="183" w16cid:durableId="974483630">
    <w:abstractNumId w:val="14"/>
  </w:num>
  <w:num w:numId="184" w16cid:durableId="218397571">
    <w:abstractNumId w:val="212"/>
  </w:num>
  <w:num w:numId="185" w16cid:durableId="733242813">
    <w:abstractNumId w:val="148"/>
  </w:num>
  <w:num w:numId="186" w16cid:durableId="1578516650">
    <w:abstractNumId w:val="200"/>
  </w:num>
  <w:num w:numId="187" w16cid:durableId="1980958023">
    <w:abstractNumId w:val="189"/>
  </w:num>
  <w:num w:numId="188" w16cid:durableId="653605811">
    <w:abstractNumId w:val="157"/>
  </w:num>
  <w:num w:numId="189" w16cid:durableId="157236779">
    <w:abstractNumId w:val="217"/>
  </w:num>
  <w:num w:numId="190" w16cid:durableId="1143356241">
    <w:abstractNumId w:val="100"/>
  </w:num>
  <w:num w:numId="191" w16cid:durableId="1101414898">
    <w:abstractNumId w:val="205"/>
  </w:num>
  <w:num w:numId="192" w16cid:durableId="866600908">
    <w:abstractNumId w:val="140"/>
  </w:num>
  <w:num w:numId="193" w16cid:durableId="463936452">
    <w:abstractNumId w:val="29"/>
  </w:num>
  <w:num w:numId="194" w16cid:durableId="1571768276">
    <w:abstractNumId w:val="17"/>
  </w:num>
  <w:num w:numId="195" w16cid:durableId="1210652894">
    <w:abstractNumId w:val="125"/>
  </w:num>
  <w:num w:numId="196" w16cid:durableId="1008097495">
    <w:abstractNumId w:val="213"/>
  </w:num>
  <w:num w:numId="197" w16cid:durableId="1753744668">
    <w:abstractNumId w:val="54"/>
  </w:num>
  <w:num w:numId="198" w16cid:durableId="809054653">
    <w:abstractNumId w:val="47"/>
  </w:num>
  <w:num w:numId="199" w16cid:durableId="1607616208">
    <w:abstractNumId w:val="119"/>
  </w:num>
  <w:num w:numId="200" w16cid:durableId="1671980355">
    <w:abstractNumId w:val="103"/>
  </w:num>
  <w:num w:numId="201" w16cid:durableId="95682939">
    <w:abstractNumId w:val="133"/>
  </w:num>
  <w:num w:numId="202" w16cid:durableId="1946232444">
    <w:abstractNumId w:val="22"/>
  </w:num>
  <w:num w:numId="203" w16cid:durableId="276452110">
    <w:abstractNumId w:val="193"/>
  </w:num>
  <w:num w:numId="204" w16cid:durableId="2094859644">
    <w:abstractNumId w:val="130"/>
  </w:num>
  <w:num w:numId="205" w16cid:durableId="490220537">
    <w:abstractNumId w:val="79"/>
  </w:num>
  <w:num w:numId="206" w16cid:durableId="544295954">
    <w:abstractNumId w:val="123"/>
  </w:num>
  <w:num w:numId="207" w16cid:durableId="506210075">
    <w:abstractNumId w:val="182"/>
  </w:num>
  <w:num w:numId="208" w16cid:durableId="1924754742">
    <w:abstractNumId w:val="57"/>
  </w:num>
  <w:num w:numId="209" w16cid:durableId="1881937929">
    <w:abstractNumId w:val="202"/>
  </w:num>
  <w:num w:numId="210" w16cid:durableId="1259874661">
    <w:abstractNumId w:val="36"/>
  </w:num>
  <w:num w:numId="211" w16cid:durableId="1074619600">
    <w:abstractNumId w:val="34"/>
  </w:num>
  <w:num w:numId="212" w16cid:durableId="1208029374">
    <w:abstractNumId w:val="223"/>
  </w:num>
  <w:num w:numId="213" w16cid:durableId="1857764082">
    <w:abstractNumId w:val="221"/>
  </w:num>
  <w:num w:numId="214" w16cid:durableId="217326373">
    <w:abstractNumId w:val="113"/>
  </w:num>
  <w:num w:numId="215" w16cid:durableId="1968244541">
    <w:abstractNumId w:val="139"/>
  </w:num>
  <w:num w:numId="216" w16cid:durableId="1430854588">
    <w:abstractNumId w:val="11"/>
  </w:num>
  <w:num w:numId="217" w16cid:durableId="885989145">
    <w:abstractNumId w:val="229"/>
  </w:num>
  <w:num w:numId="218" w16cid:durableId="709769397">
    <w:abstractNumId w:val="59"/>
  </w:num>
  <w:num w:numId="219" w16cid:durableId="706490827">
    <w:abstractNumId w:val="150"/>
  </w:num>
  <w:num w:numId="220" w16cid:durableId="1740128388">
    <w:abstractNumId w:val="179"/>
  </w:num>
  <w:num w:numId="221" w16cid:durableId="1072579086">
    <w:abstractNumId w:val="138"/>
  </w:num>
  <w:num w:numId="222" w16cid:durableId="1236280576">
    <w:abstractNumId w:val="77"/>
  </w:num>
  <w:num w:numId="223" w16cid:durableId="525676695">
    <w:abstractNumId w:val="220"/>
  </w:num>
  <w:num w:numId="224" w16cid:durableId="1299990797">
    <w:abstractNumId w:val="50"/>
  </w:num>
  <w:num w:numId="225" w16cid:durableId="970986677">
    <w:abstractNumId w:val="233"/>
  </w:num>
  <w:num w:numId="226" w16cid:durableId="200367902">
    <w:abstractNumId w:val="178"/>
  </w:num>
  <w:num w:numId="227" w16cid:durableId="1330476762">
    <w:abstractNumId w:val="58"/>
  </w:num>
  <w:num w:numId="228" w16cid:durableId="1828354658">
    <w:abstractNumId w:val="198"/>
  </w:num>
  <w:num w:numId="229" w16cid:durableId="1641416668">
    <w:abstractNumId w:val="121"/>
  </w:num>
  <w:num w:numId="230" w16cid:durableId="925915744">
    <w:abstractNumId w:val="131"/>
  </w:num>
  <w:num w:numId="231" w16cid:durableId="1504395760">
    <w:abstractNumId w:val="72"/>
  </w:num>
  <w:num w:numId="232" w16cid:durableId="1283489069">
    <w:abstractNumId w:val="88"/>
  </w:num>
  <w:num w:numId="233" w16cid:durableId="1914535927">
    <w:abstractNumId w:val="211"/>
  </w:num>
  <w:num w:numId="234" w16cid:durableId="1786460344">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181"/>
    <w:rsid w:val="00000DA4"/>
    <w:rsid w:val="00007A95"/>
    <w:rsid w:val="000123AE"/>
    <w:rsid w:val="00061C72"/>
    <w:rsid w:val="000A6AA8"/>
    <w:rsid w:val="000D6A2D"/>
    <w:rsid w:val="000E0B50"/>
    <w:rsid w:val="000F59C4"/>
    <w:rsid w:val="00100D99"/>
    <w:rsid w:val="0014037C"/>
    <w:rsid w:val="00180A0A"/>
    <w:rsid w:val="00194A99"/>
    <w:rsid w:val="001A2683"/>
    <w:rsid w:val="001A77A9"/>
    <w:rsid w:val="001B21F2"/>
    <w:rsid w:val="001C4F89"/>
    <w:rsid w:val="001D4234"/>
    <w:rsid w:val="001F243D"/>
    <w:rsid w:val="00212183"/>
    <w:rsid w:val="00251F83"/>
    <w:rsid w:val="00262C1F"/>
    <w:rsid w:val="002751BF"/>
    <w:rsid w:val="002772E2"/>
    <w:rsid w:val="002921CC"/>
    <w:rsid w:val="002A2819"/>
    <w:rsid w:val="002D48E6"/>
    <w:rsid w:val="002E654F"/>
    <w:rsid w:val="002F4389"/>
    <w:rsid w:val="00313746"/>
    <w:rsid w:val="00315A35"/>
    <w:rsid w:val="00352F7F"/>
    <w:rsid w:val="003539FA"/>
    <w:rsid w:val="003627CE"/>
    <w:rsid w:val="00376AD6"/>
    <w:rsid w:val="00383C57"/>
    <w:rsid w:val="003A0317"/>
    <w:rsid w:val="003A134E"/>
    <w:rsid w:val="003E390D"/>
    <w:rsid w:val="00400BA2"/>
    <w:rsid w:val="00402356"/>
    <w:rsid w:val="00406432"/>
    <w:rsid w:val="00421721"/>
    <w:rsid w:val="00453DB0"/>
    <w:rsid w:val="004564B0"/>
    <w:rsid w:val="00461043"/>
    <w:rsid w:val="0047170A"/>
    <w:rsid w:val="004726A0"/>
    <w:rsid w:val="004A137D"/>
    <w:rsid w:val="004B04C3"/>
    <w:rsid w:val="004D26BD"/>
    <w:rsid w:val="004F48C7"/>
    <w:rsid w:val="004F74E8"/>
    <w:rsid w:val="004F7765"/>
    <w:rsid w:val="00501AC3"/>
    <w:rsid w:val="00557755"/>
    <w:rsid w:val="00581273"/>
    <w:rsid w:val="00596BAD"/>
    <w:rsid w:val="005A5B26"/>
    <w:rsid w:val="005D63E2"/>
    <w:rsid w:val="005E4029"/>
    <w:rsid w:val="0060408E"/>
    <w:rsid w:val="00611012"/>
    <w:rsid w:val="00616AAE"/>
    <w:rsid w:val="006216BA"/>
    <w:rsid w:val="00634FE3"/>
    <w:rsid w:val="0065023A"/>
    <w:rsid w:val="00653369"/>
    <w:rsid w:val="00672A68"/>
    <w:rsid w:val="006A549A"/>
    <w:rsid w:val="006A6F78"/>
    <w:rsid w:val="006F3E1E"/>
    <w:rsid w:val="007063F9"/>
    <w:rsid w:val="00735B9E"/>
    <w:rsid w:val="0075373D"/>
    <w:rsid w:val="00774F59"/>
    <w:rsid w:val="007833F9"/>
    <w:rsid w:val="007900D2"/>
    <w:rsid w:val="007A0AF1"/>
    <w:rsid w:val="007B422A"/>
    <w:rsid w:val="007C2B10"/>
    <w:rsid w:val="007D38F2"/>
    <w:rsid w:val="007E0ABC"/>
    <w:rsid w:val="007F6A0A"/>
    <w:rsid w:val="00801461"/>
    <w:rsid w:val="00850777"/>
    <w:rsid w:val="008565D7"/>
    <w:rsid w:val="00856B7D"/>
    <w:rsid w:val="0088174C"/>
    <w:rsid w:val="008B1523"/>
    <w:rsid w:val="008C4A66"/>
    <w:rsid w:val="008D7B69"/>
    <w:rsid w:val="008F4BAD"/>
    <w:rsid w:val="0092671A"/>
    <w:rsid w:val="009456C9"/>
    <w:rsid w:val="00946347"/>
    <w:rsid w:val="009468E4"/>
    <w:rsid w:val="0095179B"/>
    <w:rsid w:val="009534B8"/>
    <w:rsid w:val="009961D7"/>
    <w:rsid w:val="00997566"/>
    <w:rsid w:val="009F219F"/>
    <w:rsid w:val="00A0091D"/>
    <w:rsid w:val="00A27A2B"/>
    <w:rsid w:val="00A300BB"/>
    <w:rsid w:val="00A55446"/>
    <w:rsid w:val="00A62079"/>
    <w:rsid w:val="00A66C27"/>
    <w:rsid w:val="00A72181"/>
    <w:rsid w:val="00A72E4B"/>
    <w:rsid w:val="00A73B43"/>
    <w:rsid w:val="00A9076C"/>
    <w:rsid w:val="00A908D0"/>
    <w:rsid w:val="00A936B2"/>
    <w:rsid w:val="00AD2B5C"/>
    <w:rsid w:val="00AE71BB"/>
    <w:rsid w:val="00B4315D"/>
    <w:rsid w:val="00B60756"/>
    <w:rsid w:val="00B80D4B"/>
    <w:rsid w:val="00B90746"/>
    <w:rsid w:val="00BE3337"/>
    <w:rsid w:val="00BE443D"/>
    <w:rsid w:val="00BF03E7"/>
    <w:rsid w:val="00C02809"/>
    <w:rsid w:val="00C12C63"/>
    <w:rsid w:val="00C47BE9"/>
    <w:rsid w:val="00C55863"/>
    <w:rsid w:val="00C741CE"/>
    <w:rsid w:val="00C77674"/>
    <w:rsid w:val="00C84359"/>
    <w:rsid w:val="00C8443A"/>
    <w:rsid w:val="00C845B6"/>
    <w:rsid w:val="00CD314B"/>
    <w:rsid w:val="00D00710"/>
    <w:rsid w:val="00D2396C"/>
    <w:rsid w:val="00D41666"/>
    <w:rsid w:val="00D50F5A"/>
    <w:rsid w:val="00D564BF"/>
    <w:rsid w:val="00D57B2F"/>
    <w:rsid w:val="00DB0C1B"/>
    <w:rsid w:val="00E24D01"/>
    <w:rsid w:val="00E37403"/>
    <w:rsid w:val="00E412C6"/>
    <w:rsid w:val="00E73C36"/>
    <w:rsid w:val="00EA5547"/>
    <w:rsid w:val="00EC7CE1"/>
    <w:rsid w:val="00EE1CDB"/>
    <w:rsid w:val="00EE6117"/>
    <w:rsid w:val="00F07107"/>
    <w:rsid w:val="00F4166F"/>
    <w:rsid w:val="00F60B8F"/>
    <w:rsid w:val="00F6753E"/>
    <w:rsid w:val="00F75303"/>
    <w:rsid w:val="00FA0446"/>
    <w:rsid w:val="00FB3CA7"/>
    <w:rsid w:val="00FC0FED"/>
    <w:rsid w:val="00FD176F"/>
    <w:rsid w:val="00FD624B"/>
    <w:rsid w:val="00FE03F9"/>
    <w:rsid w:val="00FE4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50C8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A66"/>
    <w:pPr>
      <w:spacing w:line="360" w:lineRule="auto"/>
      <w:jc w:val="both"/>
    </w:pPr>
    <w:rPr>
      <w:rFonts w:ascii="Arial" w:eastAsiaTheme="minorEastAsia" w:hAnsi="Arial"/>
      <w:lang w:val="en-GB"/>
    </w:rPr>
  </w:style>
  <w:style w:type="paragraph" w:styleId="Heading1">
    <w:name w:val="heading 1"/>
    <w:basedOn w:val="Heading2"/>
    <w:next w:val="Normal"/>
    <w:link w:val="Heading1Char"/>
    <w:uiPriority w:val="9"/>
    <w:qFormat/>
    <w:rsid w:val="00AE71BB"/>
    <w:pPr>
      <w:jc w:val="center"/>
      <w:outlineLvl w:val="0"/>
    </w:pPr>
    <w:rPr>
      <w:rFonts w:ascii="Calibri Light" w:eastAsia="Times New Roman" w:hAnsi="Calibri Light" w:cs="Times New Roman"/>
      <w:sz w:val="36"/>
      <w:szCs w:val="20"/>
      <w:lang w:val="en-US"/>
    </w:rPr>
  </w:style>
  <w:style w:type="paragraph" w:styleId="Heading2">
    <w:name w:val="heading 2"/>
    <w:basedOn w:val="Normal"/>
    <w:next w:val="Normal"/>
    <w:link w:val="Heading2Char"/>
    <w:uiPriority w:val="9"/>
    <w:unhideWhenUsed/>
    <w:qFormat/>
    <w:rsid w:val="0014037C"/>
    <w:pPr>
      <w:keepNext/>
      <w:keepLines/>
      <w:spacing w:before="40"/>
      <w:jc w:val="left"/>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616AAE"/>
    <w:pPr>
      <w:keepNext/>
      <w:keepLines/>
      <w:spacing w:before="40"/>
      <w:jc w:val="left"/>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97566"/>
    <w:pPr>
      <w:keepNext/>
      <w:keepLines/>
      <w:spacing w:before="40"/>
      <w:jc w:val="left"/>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4A137D"/>
    <w:pPr>
      <w:spacing w:before="100" w:beforeAutospacing="1" w:after="180" w:line="240" w:lineRule="auto"/>
      <w:jc w:val="left"/>
      <w:outlineLvl w:val="4"/>
    </w:pPr>
    <w:rPr>
      <w:rFonts w:ascii="Times New Roman" w:eastAsia="Times New Roman" w:hAnsi="Times New Roman" w:cs="Times New Roman"/>
      <w:b/>
      <w:bCs/>
      <w:sz w:val="26"/>
      <w:szCs w:val="26"/>
      <w:lang w:eastAsia="en-GB"/>
    </w:rPr>
  </w:style>
  <w:style w:type="paragraph" w:styleId="Heading6">
    <w:name w:val="heading 6"/>
    <w:basedOn w:val="Normal"/>
    <w:next w:val="Normal"/>
    <w:link w:val="Heading6Char"/>
    <w:uiPriority w:val="9"/>
    <w:semiHidden/>
    <w:unhideWhenUsed/>
    <w:qFormat/>
    <w:rsid w:val="007E0ABC"/>
    <w:pPr>
      <w:keepNext/>
      <w:keepLines/>
      <w:spacing w:before="200" w:after="40" w:line="276" w:lineRule="auto"/>
      <w:jc w:val="left"/>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71BB"/>
    <w:rPr>
      <w:rFonts w:ascii="Calibri Light" w:eastAsia="Times New Roman" w:hAnsi="Calibri Light" w:cs="Times New Roman"/>
      <w:color w:val="2E74B5" w:themeColor="accent1" w:themeShade="BF"/>
      <w:sz w:val="36"/>
      <w:szCs w:val="20"/>
    </w:rPr>
  </w:style>
  <w:style w:type="paragraph" w:styleId="NormalWeb">
    <w:name w:val="Normal (Web)"/>
    <w:basedOn w:val="Normal"/>
    <w:uiPriority w:val="99"/>
    <w:unhideWhenUsed/>
    <w:rsid w:val="001A77A9"/>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16AAE"/>
    <w:rPr>
      <w:rFonts w:asciiTheme="majorHAnsi" w:eastAsiaTheme="majorEastAsia" w:hAnsiTheme="majorHAnsi" w:cstheme="majorBidi"/>
      <w:color w:val="1F4D78" w:themeColor="accent1" w:themeShade="7F"/>
      <w:lang w:val="en-GB"/>
    </w:rPr>
  </w:style>
  <w:style w:type="character" w:customStyle="1" w:styleId="Heading4Char">
    <w:name w:val="Heading 4 Char"/>
    <w:basedOn w:val="DefaultParagraphFont"/>
    <w:link w:val="Heading4"/>
    <w:uiPriority w:val="9"/>
    <w:rsid w:val="00997566"/>
    <w:rPr>
      <w:rFonts w:asciiTheme="majorHAnsi" w:eastAsiaTheme="majorEastAsia" w:hAnsiTheme="majorHAnsi" w:cstheme="majorBidi"/>
      <w:i/>
      <w:iCs/>
      <w:color w:val="2E74B5" w:themeColor="accent1" w:themeShade="BF"/>
      <w:lang w:val="en-GB"/>
    </w:rPr>
  </w:style>
  <w:style w:type="character" w:styleId="IntenseReference">
    <w:name w:val="Intense Reference"/>
    <w:basedOn w:val="DefaultParagraphFont"/>
    <w:uiPriority w:val="32"/>
    <w:qFormat/>
    <w:rsid w:val="00FD624B"/>
    <w:rPr>
      <w:rFonts w:asciiTheme="majorHAnsi" w:hAnsiTheme="majorHAnsi"/>
      <w:b/>
      <w:bCs/>
      <w:smallCaps/>
      <w:color w:val="5B9BD5" w:themeColor="accent1"/>
      <w:spacing w:val="5"/>
      <w:sz w:val="36"/>
      <w:szCs w:val="36"/>
    </w:rPr>
  </w:style>
  <w:style w:type="paragraph" w:styleId="Subtitle">
    <w:name w:val="Subtitle"/>
    <w:basedOn w:val="Normal"/>
    <w:next w:val="Normal"/>
    <w:link w:val="SubtitleChar"/>
    <w:uiPriority w:val="11"/>
    <w:qFormat/>
    <w:rsid w:val="00FD624B"/>
    <w:pPr>
      <w:numPr>
        <w:ilvl w:val="1"/>
      </w:numPr>
      <w:spacing w:after="160" w:line="240" w:lineRule="auto"/>
      <w:jc w:val="left"/>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FD624B"/>
    <w:rPr>
      <w:rFonts w:eastAsiaTheme="minorEastAsia"/>
      <w:color w:val="5A5A5A" w:themeColor="text1" w:themeTint="A5"/>
      <w:spacing w:val="15"/>
      <w:sz w:val="22"/>
      <w:szCs w:val="22"/>
      <w:lang w:val="en-GB"/>
    </w:rPr>
  </w:style>
  <w:style w:type="paragraph" w:styleId="ListParagraph">
    <w:name w:val="List Paragraph"/>
    <w:basedOn w:val="Normal"/>
    <w:uiPriority w:val="34"/>
    <w:qFormat/>
    <w:rsid w:val="00616AAE"/>
    <w:pPr>
      <w:ind w:left="720"/>
      <w:contextualSpacing/>
    </w:pPr>
  </w:style>
  <w:style w:type="paragraph" w:styleId="TOCHeading">
    <w:name w:val="TOC Heading"/>
    <w:basedOn w:val="Heading1"/>
    <w:next w:val="Normal"/>
    <w:uiPriority w:val="39"/>
    <w:unhideWhenUsed/>
    <w:qFormat/>
    <w:rsid w:val="00FD624B"/>
    <w:pPr>
      <w:spacing w:before="480" w:line="276" w:lineRule="auto"/>
      <w:outlineLvl w:val="9"/>
    </w:pPr>
    <w:rPr>
      <w:rFonts w:asciiTheme="majorHAnsi" w:eastAsiaTheme="majorEastAsia" w:hAnsiTheme="majorHAnsi" w:cstheme="majorBidi"/>
      <w:bCs/>
      <w:sz w:val="28"/>
      <w:szCs w:val="28"/>
    </w:rPr>
  </w:style>
  <w:style w:type="paragraph" w:styleId="TOC1">
    <w:name w:val="toc 1"/>
    <w:basedOn w:val="Normal"/>
    <w:next w:val="Normal"/>
    <w:autoRedefine/>
    <w:uiPriority w:val="39"/>
    <w:unhideWhenUsed/>
    <w:rsid w:val="00FD624B"/>
    <w:pPr>
      <w:spacing w:before="120" w:after="120"/>
      <w:jc w:val="left"/>
    </w:pPr>
    <w:rPr>
      <w:rFonts w:asciiTheme="minorHAnsi" w:hAnsiTheme="minorHAnsi" w:cstheme="minorHAnsi"/>
      <w:b/>
      <w:bCs/>
      <w:caps/>
      <w:sz w:val="20"/>
      <w:szCs w:val="20"/>
    </w:rPr>
  </w:style>
  <w:style w:type="character" w:styleId="Hyperlink">
    <w:name w:val="Hyperlink"/>
    <w:basedOn w:val="DefaultParagraphFont"/>
    <w:uiPriority w:val="99"/>
    <w:unhideWhenUsed/>
    <w:rsid w:val="00FD624B"/>
    <w:rPr>
      <w:color w:val="0563C1" w:themeColor="hyperlink"/>
      <w:u w:val="single"/>
    </w:rPr>
  </w:style>
  <w:style w:type="character" w:customStyle="1" w:styleId="Heading2Char">
    <w:name w:val="Heading 2 Char"/>
    <w:basedOn w:val="DefaultParagraphFont"/>
    <w:link w:val="Heading2"/>
    <w:uiPriority w:val="9"/>
    <w:rsid w:val="0014037C"/>
    <w:rPr>
      <w:rFonts w:asciiTheme="majorHAnsi" w:eastAsiaTheme="majorEastAsia" w:hAnsiTheme="majorHAnsi" w:cstheme="majorBidi"/>
      <w:color w:val="2E74B5" w:themeColor="accent1" w:themeShade="BF"/>
      <w:sz w:val="32"/>
      <w:szCs w:val="32"/>
      <w:lang w:val="en-GB"/>
    </w:rPr>
  </w:style>
  <w:style w:type="paragraph" w:styleId="Header">
    <w:name w:val="header"/>
    <w:basedOn w:val="Normal"/>
    <w:link w:val="HeaderChar"/>
    <w:uiPriority w:val="99"/>
    <w:unhideWhenUsed/>
    <w:rsid w:val="00616AAE"/>
    <w:pPr>
      <w:tabs>
        <w:tab w:val="center" w:pos="4680"/>
        <w:tab w:val="right" w:pos="9360"/>
      </w:tabs>
      <w:jc w:val="left"/>
    </w:pPr>
    <w:rPr>
      <w:sz w:val="22"/>
    </w:rPr>
  </w:style>
  <w:style w:type="character" w:customStyle="1" w:styleId="HeaderChar">
    <w:name w:val="Header Char"/>
    <w:basedOn w:val="DefaultParagraphFont"/>
    <w:link w:val="Header"/>
    <w:uiPriority w:val="99"/>
    <w:rsid w:val="00616AAE"/>
    <w:rPr>
      <w:rFonts w:ascii="Avenir Book" w:hAnsi="Avenir Book"/>
      <w:sz w:val="22"/>
      <w:lang w:val="en-GB"/>
    </w:rPr>
  </w:style>
  <w:style w:type="paragraph" w:styleId="Footer">
    <w:name w:val="footer"/>
    <w:basedOn w:val="Normal"/>
    <w:link w:val="FooterChar"/>
    <w:unhideWhenUsed/>
    <w:rsid w:val="00616AAE"/>
    <w:pPr>
      <w:tabs>
        <w:tab w:val="center" w:pos="4680"/>
        <w:tab w:val="right" w:pos="9360"/>
      </w:tabs>
      <w:jc w:val="left"/>
    </w:pPr>
    <w:rPr>
      <w:sz w:val="22"/>
    </w:rPr>
  </w:style>
  <w:style w:type="character" w:customStyle="1" w:styleId="FooterChar">
    <w:name w:val="Footer Char"/>
    <w:basedOn w:val="DefaultParagraphFont"/>
    <w:link w:val="Footer"/>
    <w:rsid w:val="00616AAE"/>
    <w:rPr>
      <w:rFonts w:ascii="Avenir Book" w:hAnsi="Avenir Book"/>
      <w:sz w:val="22"/>
      <w:lang w:val="en-GB"/>
    </w:rPr>
  </w:style>
  <w:style w:type="character" w:customStyle="1" w:styleId="anchor-text">
    <w:name w:val="anchor-text"/>
    <w:basedOn w:val="DefaultParagraphFont"/>
    <w:rsid w:val="00616AAE"/>
  </w:style>
  <w:style w:type="character" w:styleId="PlaceholderText">
    <w:name w:val="Placeholder Text"/>
    <w:basedOn w:val="DefaultParagraphFont"/>
    <w:uiPriority w:val="99"/>
    <w:semiHidden/>
    <w:rsid w:val="00616AAE"/>
    <w:rPr>
      <w:color w:val="808080"/>
    </w:rPr>
  </w:style>
  <w:style w:type="character" w:styleId="UnresolvedMention">
    <w:name w:val="Unresolved Mention"/>
    <w:basedOn w:val="DefaultParagraphFont"/>
    <w:uiPriority w:val="99"/>
    <w:unhideWhenUsed/>
    <w:rsid w:val="00616AAE"/>
    <w:rPr>
      <w:color w:val="605E5C"/>
      <w:shd w:val="clear" w:color="auto" w:fill="E1DFDD"/>
    </w:rPr>
  </w:style>
  <w:style w:type="character" w:styleId="FollowedHyperlink">
    <w:name w:val="FollowedHyperlink"/>
    <w:basedOn w:val="DefaultParagraphFont"/>
    <w:uiPriority w:val="99"/>
    <w:semiHidden/>
    <w:unhideWhenUsed/>
    <w:rsid w:val="00616AAE"/>
    <w:rPr>
      <w:color w:val="954F72" w:themeColor="followedHyperlink"/>
      <w:u w:val="single"/>
    </w:rPr>
  </w:style>
  <w:style w:type="paragraph" w:customStyle="1" w:styleId="p">
    <w:name w:val="p"/>
    <w:basedOn w:val="Normal"/>
    <w:rsid w:val="00616AAE"/>
    <w:pPr>
      <w:spacing w:before="100" w:beforeAutospacing="1" w:after="100" w:afterAutospacing="1"/>
      <w:jc w:val="left"/>
    </w:pPr>
    <w:rPr>
      <w:rFonts w:ascii="Times New Roman" w:eastAsia="Times New Roman" w:hAnsi="Times New Roman" w:cs="Times New Roman"/>
      <w:sz w:val="22"/>
      <w:lang w:eastAsia="en-GB"/>
    </w:rPr>
  </w:style>
  <w:style w:type="paragraph" w:styleId="z-TopofForm">
    <w:name w:val="HTML Top of Form"/>
    <w:basedOn w:val="Normal"/>
    <w:next w:val="Normal"/>
    <w:link w:val="z-TopofFormChar"/>
    <w:hidden/>
    <w:uiPriority w:val="99"/>
    <w:semiHidden/>
    <w:unhideWhenUsed/>
    <w:rsid w:val="00616AAE"/>
    <w:pPr>
      <w:pBdr>
        <w:bottom w:val="single" w:sz="6" w:space="1" w:color="auto"/>
      </w:pBdr>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616AA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616AAE"/>
    <w:pPr>
      <w:pBdr>
        <w:top w:val="single" w:sz="6" w:space="1" w:color="auto"/>
      </w:pBdr>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616AAE"/>
    <w:rPr>
      <w:rFonts w:ascii="Arial" w:eastAsia="Times New Roman" w:hAnsi="Arial" w:cs="Arial"/>
      <w:vanish/>
      <w:sz w:val="16"/>
      <w:szCs w:val="16"/>
      <w:lang w:val="en-GB" w:eastAsia="en-GB"/>
    </w:rPr>
  </w:style>
  <w:style w:type="paragraph" w:styleId="Revision">
    <w:name w:val="Revision"/>
    <w:hidden/>
    <w:uiPriority w:val="99"/>
    <w:semiHidden/>
    <w:rsid w:val="00616AAE"/>
    <w:rPr>
      <w:lang w:val="en-GB"/>
    </w:rPr>
  </w:style>
  <w:style w:type="character" w:styleId="CommentReference">
    <w:name w:val="annotation reference"/>
    <w:basedOn w:val="DefaultParagraphFont"/>
    <w:uiPriority w:val="99"/>
    <w:semiHidden/>
    <w:unhideWhenUsed/>
    <w:rsid w:val="00616AAE"/>
    <w:rPr>
      <w:sz w:val="16"/>
      <w:szCs w:val="16"/>
    </w:rPr>
  </w:style>
  <w:style w:type="paragraph" w:styleId="CommentText">
    <w:name w:val="annotation text"/>
    <w:basedOn w:val="Normal"/>
    <w:link w:val="CommentTextChar"/>
    <w:uiPriority w:val="99"/>
    <w:unhideWhenUsed/>
    <w:rsid w:val="00616AAE"/>
    <w:pPr>
      <w:jc w:val="left"/>
    </w:pPr>
    <w:rPr>
      <w:sz w:val="20"/>
      <w:szCs w:val="20"/>
    </w:rPr>
  </w:style>
  <w:style w:type="character" w:customStyle="1" w:styleId="CommentTextChar">
    <w:name w:val="Comment Text Char"/>
    <w:basedOn w:val="DefaultParagraphFont"/>
    <w:link w:val="CommentText"/>
    <w:uiPriority w:val="99"/>
    <w:rsid w:val="00616AAE"/>
    <w:rPr>
      <w:rFonts w:ascii="Avenir Book" w:hAnsi="Avenir Book"/>
      <w:sz w:val="20"/>
      <w:szCs w:val="20"/>
      <w:lang w:val="en-GB"/>
    </w:rPr>
  </w:style>
  <w:style w:type="paragraph" w:styleId="CommentSubject">
    <w:name w:val="annotation subject"/>
    <w:basedOn w:val="CommentText"/>
    <w:next w:val="CommentText"/>
    <w:link w:val="CommentSubjectChar"/>
    <w:uiPriority w:val="99"/>
    <w:semiHidden/>
    <w:unhideWhenUsed/>
    <w:rsid w:val="00616AAE"/>
    <w:rPr>
      <w:b/>
      <w:bCs/>
    </w:rPr>
  </w:style>
  <w:style w:type="character" w:customStyle="1" w:styleId="CommentSubjectChar">
    <w:name w:val="Comment Subject Char"/>
    <w:basedOn w:val="CommentTextChar"/>
    <w:link w:val="CommentSubject"/>
    <w:uiPriority w:val="99"/>
    <w:semiHidden/>
    <w:rsid w:val="00616AAE"/>
    <w:rPr>
      <w:rFonts w:ascii="Avenir Book" w:hAnsi="Avenir Book"/>
      <w:b/>
      <w:bCs/>
      <w:sz w:val="20"/>
      <w:szCs w:val="20"/>
      <w:lang w:val="en-GB"/>
    </w:rPr>
  </w:style>
  <w:style w:type="paragraph" w:customStyle="1" w:styleId="Default">
    <w:name w:val="Default"/>
    <w:rsid w:val="00501AC3"/>
    <w:pPr>
      <w:autoSpaceDE w:val="0"/>
      <w:autoSpaceDN w:val="0"/>
      <w:adjustRightInd w:val="0"/>
    </w:pPr>
    <w:rPr>
      <w:rFonts w:ascii="Times New Roman" w:hAnsi="Times New Roman" w:cs="Times New Roman"/>
      <w:color w:val="000000"/>
      <w:lang w:val="en-GB"/>
    </w:rPr>
  </w:style>
  <w:style w:type="paragraph" w:styleId="TOC2">
    <w:name w:val="toc 2"/>
    <w:basedOn w:val="Normal"/>
    <w:next w:val="Normal"/>
    <w:autoRedefine/>
    <w:uiPriority w:val="39"/>
    <w:unhideWhenUsed/>
    <w:rsid w:val="00B80D4B"/>
    <w:pPr>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B80D4B"/>
    <w:pPr>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2751BF"/>
    <w:pPr>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751BF"/>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751BF"/>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751BF"/>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751BF"/>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751BF"/>
    <w:pPr>
      <w:ind w:left="1920"/>
      <w:jc w:val="left"/>
    </w:pPr>
    <w:rPr>
      <w:rFonts w:asciiTheme="minorHAnsi" w:hAnsiTheme="minorHAnsi" w:cstheme="minorHAnsi"/>
      <w:sz w:val="18"/>
      <w:szCs w:val="18"/>
    </w:rPr>
  </w:style>
  <w:style w:type="paragraph" w:customStyle="1" w:styleId="EndNoteBibliographyTitle">
    <w:name w:val="EndNote Bibliography Title"/>
    <w:basedOn w:val="Normal"/>
    <w:link w:val="EndNoteBibliographyTitleChar"/>
    <w:rsid w:val="0014037C"/>
    <w:pPr>
      <w:jc w:val="center"/>
    </w:pPr>
    <w:rPr>
      <w:rFonts w:eastAsia="Times New Roman" w:cs="Times New Roman"/>
      <w:sz w:val="22"/>
      <w:lang w:eastAsia="en-GB"/>
    </w:rPr>
  </w:style>
  <w:style w:type="character" w:customStyle="1" w:styleId="EndNoteBibliographyTitleChar">
    <w:name w:val="EndNote Bibliography Title Char"/>
    <w:basedOn w:val="DefaultParagraphFont"/>
    <w:link w:val="EndNoteBibliographyTitle"/>
    <w:rsid w:val="0014037C"/>
    <w:rPr>
      <w:rFonts w:ascii="Avenir Book" w:eastAsia="Times New Roman" w:hAnsi="Avenir Book" w:cs="Times New Roman"/>
      <w:sz w:val="22"/>
      <w:lang w:val="en-GB" w:eastAsia="en-GB"/>
    </w:rPr>
  </w:style>
  <w:style w:type="paragraph" w:customStyle="1" w:styleId="EndNoteBibliography">
    <w:name w:val="EndNote Bibliography"/>
    <w:basedOn w:val="Normal"/>
    <w:link w:val="EndNoteBibliographyChar"/>
    <w:rsid w:val="0014037C"/>
    <w:rPr>
      <w:rFonts w:eastAsia="Times New Roman" w:cs="Times New Roman"/>
      <w:sz w:val="22"/>
      <w:lang w:eastAsia="en-GB"/>
    </w:rPr>
  </w:style>
  <w:style w:type="character" w:customStyle="1" w:styleId="EndNoteBibliographyChar">
    <w:name w:val="EndNote Bibliography Char"/>
    <w:basedOn w:val="DefaultParagraphFont"/>
    <w:link w:val="EndNoteBibliography"/>
    <w:rsid w:val="0014037C"/>
    <w:rPr>
      <w:rFonts w:ascii="Avenir Book" w:eastAsia="Times New Roman" w:hAnsi="Avenir Book" w:cs="Times New Roman"/>
      <w:sz w:val="22"/>
      <w:lang w:val="en-GB" w:eastAsia="en-GB"/>
    </w:rPr>
  </w:style>
  <w:style w:type="character" w:customStyle="1" w:styleId="UnresolvedMention1">
    <w:name w:val="Unresolved Mention1"/>
    <w:basedOn w:val="DefaultParagraphFont"/>
    <w:uiPriority w:val="99"/>
    <w:semiHidden/>
    <w:unhideWhenUsed/>
    <w:rsid w:val="0014037C"/>
    <w:rPr>
      <w:color w:val="605E5C"/>
      <w:shd w:val="clear" w:color="auto" w:fill="E1DFDD"/>
    </w:rPr>
  </w:style>
  <w:style w:type="table" w:styleId="PlainTable1">
    <w:name w:val="Plain Table 1"/>
    <w:basedOn w:val="TableNormal"/>
    <w:uiPriority w:val="41"/>
    <w:rsid w:val="0014037C"/>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4037C"/>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14037C"/>
    <w:rPr>
      <w:rFonts w:ascii="Segoe UI" w:eastAsia="Times New Roman" w:hAnsi="Segoe UI" w:cs="Segoe UI"/>
      <w:sz w:val="18"/>
      <w:szCs w:val="18"/>
      <w:lang w:val="en-GB" w:eastAsia="en-GB"/>
    </w:rPr>
  </w:style>
  <w:style w:type="paragraph" w:styleId="Date">
    <w:name w:val="Date"/>
    <w:basedOn w:val="Normal"/>
    <w:next w:val="Normal"/>
    <w:link w:val="DateChar"/>
    <w:uiPriority w:val="99"/>
    <w:semiHidden/>
    <w:unhideWhenUsed/>
    <w:rsid w:val="0014037C"/>
    <w:rPr>
      <w:rFonts w:eastAsia="Times New Roman" w:cs="Times New Roman"/>
      <w:sz w:val="22"/>
      <w:lang w:eastAsia="en-GB"/>
    </w:rPr>
  </w:style>
  <w:style w:type="character" w:customStyle="1" w:styleId="DateChar">
    <w:name w:val="Date Char"/>
    <w:basedOn w:val="DefaultParagraphFont"/>
    <w:link w:val="Date"/>
    <w:uiPriority w:val="99"/>
    <w:semiHidden/>
    <w:rsid w:val="0014037C"/>
    <w:rPr>
      <w:rFonts w:ascii="Avenir Book" w:eastAsia="Times New Roman" w:hAnsi="Avenir Book" w:cs="Times New Roman"/>
      <w:sz w:val="22"/>
      <w:lang w:val="en-GB" w:eastAsia="en-GB"/>
    </w:rPr>
  </w:style>
  <w:style w:type="table" w:styleId="TableGrid">
    <w:name w:val="Table Grid"/>
    <w:basedOn w:val="TableNormal"/>
    <w:uiPriority w:val="39"/>
    <w:rsid w:val="0014037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E482F"/>
    <w:pPr>
      <w:spacing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482F"/>
    <w:rPr>
      <w:rFonts w:asciiTheme="majorHAnsi" w:eastAsiaTheme="majorEastAsia" w:hAnsiTheme="majorHAnsi" w:cstheme="majorBidi"/>
      <w:spacing w:val="-10"/>
      <w:kern w:val="28"/>
      <w:sz w:val="56"/>
      <w:szCs w:val="56"/>
      <w:lang w:val="en-GB"/>
      <w14:ligatures w14:val="standardContextual"/>
    </w:rPr>
  </w:style>
  <w:style w:type="table" w:styleId="PlainTable2">
    <w:name w:val="Plain Table 2"/>
    <w:basedOn w:val="TableNormal"/>
    <w:uiPriority w:val="42"/>
    <w:rsid w:val="00FE482F"/>
    <w:rPr>
      <w:rFonts w:eastAsiaTheme="minorEastAsia"/>
      <w:sz w:val="22"/>
      <w:szCs w:val="22"/>
      <w:lang w:val="en-GB"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E482F"/>
    <w:rPr>
      <w:rFonts w:eastAsiaTheme="minorEastAsia"/>
      <w:sz w:val="22"/>
      <w:szCs w:val="22"/>
      <w:lang w:val="en-GB"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E482F"/>
    <w:rPr>
      <w:rFonts w:eastAsiaTheme="minorEastAsia"/>
      <w:sz w:val="22"/>
      <w:szCs w:val="22"/>
      <w:lang w:val="en-GB"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E482F"/>
    <w:rPr>
      <w:rFonts w:eastAsiaTheme="minorEastAsia"/>
      <w:sz w:val="22"/>
      <w:szCs w:val="22"/>
      <w:lang w:val="en-GB"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482F"/>
    <w:rPr>
      <w:rFonts w:eastAsiaTheme="minorEastAsia"/>
      <w:sz w:val="22"/>
      <w:szCs w:val="22"/>
      <w:lang w:val="en-GB" w:eastAsia="zh-C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E482F"/>
    <w:rPr>
      <w:rFonts w:eastAsiaTheme="minorEastAsia"/>
      <w:sz w:val="22"/>
      <w:szCs w:val="22"/>
      <w:lang w:val="en-GB" w:eastAsia="zh-C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FE482F"/>
    <w:rPr>
      <w:rFonts w:eastAsiaTheme="minorEastAsia"/>
      <w:sz w:val="22"/>
      <w:szCs w:val="22"/>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21">
    <w:name w:val="Grid Table 1 Light – Accent 21"/>
    <w:basedOn w:val="TableNormal"/>
    <w:next w:val="GridTable1LightAccent2"/>
    <w:uiPriority w:val="46"/>
    <w:rsid w:val="00FE482F"/>
    <w:rPr>
      <w:rFonts w:eastAsia="Calibri"/>
      <w:lang w:val="en-GB"/>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E482F"/>
    <w:rPr>
      <w:rFonts w:eastAsiaTheme="minorEastAsia"/>
      <w:sz w:val="22"/>
      <w:szCs w:val="22"/>
      <w:lang w:val="en-GB" w:eastAsia="zh-C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numbering" w:customStyle="1" w:styleId="CurrentList1">
    <w:name w:val="Current List1"/>
    <w:uiPriority w:val="99"/>
    <w:rsid w:val="00FE482F"/>
    <w:pPr>
      <w:numPr>
        <w:numId w:val="50"/>
      </w:numPr>
    </w:pPr>
  </w:style>
  <w:style w:type="numbering" w:customStyle="1" w:styleId="CurrentList2">
    <w:name w:val="Current List2"/>
    <w:uiPriority w:val="99"/>
    <w:rsid w:val="00FE482F"/>
    <w:pPr>
      <w:numPr>
        <w:numId w:val="51"/>
      </w:numPr>
    </w:pPr>
  </w:style>
  <w:style w:type="character" w:styleId="Strong">
    <w:name w:val="Strong"/>
    <w:basedOn w:val="DefaultParagraphFont"/>
    <w:uiPriority w:val="22"/>
    <w:qFormat/>
    <w:rsid w:val="00FE482F"/>
    <w:rPr>
      <w:b/>
      <w:bCs/>
    </w:rPr>
  </w:style>
  <w:style w:type="character" w:customStyle="1" w:styleId="label">
    <w:name w:val="label"/>
    <w:basedOn w:val="DefaultParagraphFont"/>
    <w:rsid w:val="00FE482F"/>
  </w:style>
  <w:style w:type="character" w:styleId="Emphasis">
    <w:name w:val="Emphasis"/>
    <w:basedOn w:val="DefaultParagraphFont"/>
    <w:uiPriority w:val="20"/>
    <w:qFormat/>
    <w:rsid w:val="00FE482F"/>
    <w:rPr>
      <w:i/>
      <w:iCs/>
    </w:rPr>
  </w:style>
  <w:style w:type="character" w:styleId="HTMLCode">
    <w:name w:val="HTML Code"/>
    <w:basedOn w:val="DefaultParagraphFont"/>
    <w:uiPriority w:val="99"/>
    <w:semiHidden/>
    <w:unhideWhenUsed/>
    <w:rsid w:val="00850777"/>
    <w:rPr>
      <w:rFonts w:ascii="Courier New" w:eastAsia="Times New Roman" w:hAnsi="Courier New" w:cs="Courier New"/>
      <w:sz w:val="20"/>
      <w:szCs w:val="20"/>
    </w:rPr>
  </w:style>
  <w:style w:type="character" w:styleId="PageNumber">
    <w:name w:val="page number"/>
    <w:basedOn w:val="DefaultParagraphFont"/>
    <w:unhideWhenUsed/>
    <w:rsid w:val="00421721"/>
  </w:style>
  <w:style w:type="character" w:customStyle="1" w:styleId="Heading5Char">
    <w:name w:val="Heading 5 Char"/>
    <w:basedOn w:val="DefaultParagraphFont"/>
    <w:link w:val="Heading5"/>
    <w:uiPriority w:val="9"/>
    <w:rsid w:val="004A137D"/>
    <w:rPr>
      <w:rFonts w:ascii="Times New Roman" w:eastAsia="Times New Roman" w:hAnsi="Times New Roman" w:cs="Times New Roman"/>
      <w:b/>
      <w:bCs/>
      <w:sz w:val="26"/>
      <w:szCs w:val="26"/>
      <w:lang w:val="en-GB" w:eastAsia="en-GB"/>
    </w:rPr>
  </w:style>
  <w:style w:type="character" w:customStyle="1" w:styleId="ref-lnk">
    <w:name w:val="ref-lnk"/>
    <w:basedOn w:val="DefaultParagraphFont"/>
    <w:rsid w:val="004A137D"/>
  </w:style>
  <w:style w:type="character" w:customStyle="1" w:styleId="off-screen">
    <w:name w:val="off-screen"/>
    <w:basedOn w:val="DefaultParagraphFont"/>
    <w:rsid w:val="004A137D"/>
  </w:style>
  <w:style w:type="character" w:customStyle="1" w:styleId="greek">
    <w:name w:val="greek"/>
    <w:basedOn w:val="DefaultParagraphFont"/>
    <w:rsid w:val="004A137D"/>
  </w:style>
  <w:style w:type="paragraph" w:customStyle="1" w:styleId="msonormal0">
    <w:name w:val="msonormal"/>
    <w:basedOn w:val="Normal"/>
    <w:rsid w:val="004A137D"/>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ql-align-center">
    <w:name w:val="ql-align-center"/>
    <w:basedOn w:val="Normal"/>
    <w:rsid w:val="004A137D"/>
    <w:pPr>
      <w:spacing w:before="100" w:beforeAutospacing="1" w:after="100" w:afterAutospacing="1" w:line="240" w:lineRule="auto"/>
      <w:jc w:val="center"/>
    </w:pPr>
    <w:rPr>
      <w:rFonts w:ascii="Times New Roman" w:eastAsia="Times New Roman" w:hAnsi="Times New Roman" w:cs="Times New Roman"/>
      <w:lang w:eastAsia="en-GB"/>
    </w:rPr>
  </w:style>
  <w:style w:type="paragraph" w:customStyle="1" w:styleId="ql-align-right">
    <w:name w:val="ql-align-right"/>
    <w:basedOn w:val="Normal"/>
    <w:rsid w:val="004A137D"/>
    <w:pPr>
      <w:spacing w:before="100" w:beforeAutospacing="1" w:after="100" w:afterAutospacing="1" w:line="240" w:lineRule="auto"/>
      <w:jc w:val="right"/>
    </w:pPr>
    <w:rPr>
      <w:rFonts w:ascii="Times New Roman" w:eastAsia="Times New Roman" w:hAnsi="Times New Roman" w:cs="Times New Roman"/>
      <w:lang w:eastAsia="en-GB"/>
    </w:rPr>
  </w:style>
  <w:style w:type="paragraph" w:customStyle="1" w:styleId="ql-align-justify">
    <w:name w:val="ql-align-justify"/>
    <w:basedOn w:val="Normal"/>
    <w:rsid w:val="004A137D"/>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ql-indent-1">
    <w:name w:val="ql-indent-1"/>
    <w:basedOn w:val="Normal"/>
    <w:rsid w:val="004A137D"/>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ql-indent-2">
    <w:name w:val="ql-indent-2"/>
    <w:basedOn w:val="Normal"/>
    <w:rsid w:val="004A137D"/>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ql-indent-3">
    <w:name w:val="ql-indent-3"/>
    <w:basedOn w:val="Normal"/>
    <w:rsid w:val="004A137D"/>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ql-indent-4">
    <w:name w:val="ql-indent-4"/>
    <w:basedOn w:val="Normal"/>
    <w:rsid w:val="004A137D"/>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ql-indent-5">
    <w:name w:val="ql-indent-5"/>
    <w:basedOn w:val="Normal"/>
    <w:rsid w:val="004A137D"/>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note">
    <w:name w:val="note"/>
    <w:basedOn w:val="Normal"/>
    <w:rsid w:val="004A137D"/>
    <w:pPr>
      <w:spacing w:before="75" w:after="75" w:line="240" w:lineRule="auto"/>
      <w:jc w:val="left"/>
    </w:pPr>
    <w:rPr>
      <w:rFonts w:ascii="Times New Roman" w:eastAsia="Times New Roman" w:hAnsi="Times New Roman" w:cs="Times New Roman"/>
      <w:lang w:eastAsia="en-GB"/>
    </w:rPr>
  </w:style>
  <w:style w:type="character" w:customStyle="1" w:styleId="Heading6Char">
    <w:name w:val="Heading 6 Char"/>
    <w:basedOn w:val="DefaultParagraphFont"/>
    <w:link w:val="Heading6"/>
    <w:uiPriority w:val="9"/>
    <w:semiHidden/>
    <w:rsid w:val="007E0ABC"/>
    <w:rPr>
      <w:rFonts w:ascii="Calibri" w:eastAsia="Calibri" w:hAnsi="Calibri" w:cs="Calibri"/>
      <w:b/>
      <w:sz w:val="20"/>
      <w:szCs w:val="20"/>
      <w:lang w:val="en-GB" w:eastAsia="en-GB"/>
    </w:rPr>
  </w:style>
  <w:style w:type="paragraph" w:styleId="BodyText">
    <w:name w:val="Body Text"/>
    <w:basedOn w:val="Normal"/>
    <w:link w:val="BodyTextChar"/>
    <w:uiPriority w:val="99"/>
    <w:qFormat/>
    <w:rsid w:val="007E0ABC"/>
    <w:pPr>
      <w:spacing w:line="240" w:lineRule="auto"/>
      <w:ind w:right="-334"/>
      <w:jc w:val="left"/>
    </w:pPr>
    <w:rPr>
      <w:rFonts w:eastAsia="Times New Roman" w:cs="Arial"/>
      <w:sz w:val="20"/>
    </w:rPr>
  </w:style>
  <w:style w:type="character" w:customStyle="1" w:styleId="BodyTextChar">
    <w:name w:val="Body Text Char"/>
    <w:basedOn w:val="DefaultParagraphFont"/>
    <w:link w:val="BodyText"/>
    <w:uiPriority w:val="99"/>
    <w:rsid w:val="007E0ABC"/>
    <w:rPr>
      <w:rFonts w:ascii="Arial" w:eastAsia="Times New Roman" w:hAnsi="Arial" w:cs="Arial"/>
      <w:sz w:val="20"/>
      <w:lang w:val="en-GB"/>
    </w:rPr>
  </w:style>
  <w:style w:type="paragraph" w:customStyle="1" w:styleId="Body">
    <w:name w:val="Body"/>
    <w:rsid w:val="007E0ABC"/>
    <w:pPr>
      <w:pBdr>
        <w:top w:val="nil"/>
        <w:left w:val="nil"/>
        <w:bottom w:val="nil"/>
        <w:right w:val="nil"/>
        <w:between w:val="nil"/>
        <w:bar w:val="nil"/>
      </w:pBdr>
    </w:pPr>
    <w:rPr>
      <w:rFonts w:ascii="Calibri" w:eastAsia="Calibri" w:hAnsi="Calibri" w:cs="Calibri"/>
      <w:color w:val="000000"/>
      <w:sz w:val="22"/>
      <w:szCs w:val="22"/>
      <w:u w:color="000000"/>
      <w:bdr w:val="nil"/>
      <w:lang w:val="de-DE" w:eastAsia="de-DE"/>
    </w:rPr>
  </w:style>
  <w:style w:type="table" w:customStyle="1" w:styleId="PlainTable11">
    <w:name w:val="Plain Table 11"/>
    <w:basedOn w:val="TableNormal"/>
    <w:uiPriority w:val="41"/>
    <w:rsid w:val="007E0ABC"/>
    <w:rPr>
      <w:rFonts w:ascii="Calibri" w:hAnsi="Calibri" w:cs="Calibri"/>
      <w:sz w:val="22"/>
      <w:szCs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7E0ABC"/>
    <w:rPr>
      <w:rFonts w:ascii="Calibri" w:eastAsia="Calibri" w:hAnsi="Calibri" w:cs="Calibri"/>
      <w:sz w:val="22"/>
      <w:szCs w:val="22"/>
      <w:lang w:val="en-GB" w:eastAsia="en-GB"/>
    </w:rPr>
  </w:style>
  <w:style w:type="numbering" w:customStyle="1" w:styleId="NoList1">
    <w:name w:val="No List1"/>
    <w:next w:val="NoList"/>
    <w:uiPriority w:val="99"/>
    <w:semiHidden/>
    <w:unhideWhenUsed/>
    <w:rsid w:val="007E0ABC"/>
  </w:style>
  <w:style w:type="table" w:customStyle="1" w:styleId="GridTable1Light1">
    <w:name w:val="Grid Table 1 Light1"/>
    <w:basedOn w:val="TableNormal"/>
    <w:uiPriority w:val="46"/>
    <w:rsid w:val="007E0ABC"/>
    <w:rPr>
      <w:rFonts w:ascii="Calibri" w:hAnsi="Calibri" w:cs="Calibr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1"/>
    <w:uiPriority w:val="46"/>
    <w:rsid w:val="007E0ABC"/>
    <w:rPr>
      <w:rFonts w:ascii="Calibri" w:hAnsi="Calibri" w:cs="Calibr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question">
    <w:name w:val="question"/>
    <w:basedOn w:val="Normal"/>
    <w:rsid w:val="007E0ABC"/>
    <w:pPr>
      <w:spacing w:before="100" w:beforeAutospacing="1" w:after="100" w:afterAutospacing="1" w:line="240" w:lineRule="auto"/>
      <w:jc w:val="left"/>
    </w:pPr>
    <w:rPr>
      <w:rFonts w:ascii="Times New Roman" w:eastAsia="Times New Roman" w:hAnsi="Times New Roman" w:cs="Times New Roman"/>
      <w:sz w:val="20"/>
      <w:lang w:eastAsia="zh-CN"/>
    </w:rPr>
  </w:style>
  <w:style w:type="table" w:customStyle="1" w:styleId="GridTable6ColourfulAccent31">
    <w:name w:val="Grid Table 6 Colourful – Accent 31"/>
    <w:basedOn w:val="TableNormal"/>
    <w:uiPriority w:val="51"/>
    <w:rsid w:val="007E0ABC"/>
    <w:rPr>
      <w:rFonts w:ascii="Calibri" w:hAnsi="Calibri" w:cs="Calibri"/>
      <w:color w:val="7B7B7B" w:themeColor="accent3" w:themeShade="BF"/>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DefaultParagraphFont"/>
    <w:rsid w:val="007E0ABC"/>
  </w:style>
  <w:style w:type="table" w:customStyle="1" w:styleId="TableGrid1">
    <w:name w:val="Table Grid1"/>
    <w:basedOn w:val="TableNormal"/>
    <w:next w:val="TableGrid"/>
    <w:uiPriority w:val="39"/>
    <w:rsid w:val="007E0ABC"/>
    <w:pPr>
      <w:pBdr>
        <w:top w:val="nil"/>
        <w:left w:val="nil"/>
        <w:bottom w:val="nil"/>
        <w:right w:val="nil"/>
        <w:between w:val="nil"/>
        <w:bar w:val="nil"/>
      </w:pBdr>
    </w:pPr>
    <w:rPr>
      <w:rFonts w:ascii="Times New Roman" w:eastAsia="Arial Unicode MS" w:hAnsi="Times New Roman" w:cs="Times New Roman"/>
      <w:sz w:val="20"/>
      <w:szCs w:val="20"/>
      <w:bdr w:val="nil"/>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7E0ABC"/>
    <w:rPr>
      <w:rFonts w:ascii="Calibri" w:hAnsi="Calibri" w:cs="Calibri"/>
      <w:lang w:val="en-GB"/>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
    <w:name w:val="Text"/>
    <w:rsid w:val="007E0ABC"/>
    <w:pPr>
      <w:pBdr>
        <w:top w:val="nil"/>
        <w:left w:val="nil"/>
        <w:bottom w:val="nil"/>
        <w:right w:val="nil"/>
        <w:between w:val="nil"/>
        <w:bar w:val="nil"/>
      </w:pBdr>
    </w:pPr>
    <w:rPr>
      <w:rFonts w:ascii="Calibri" w:eastAsia="Calibri" w:hAnsi="Calibri" w:cs="Calibri"/>
      <w:color w:val="000000"/>
      <w:sz w:val="22"/>
      <w:szCs w:val="22"/>
      <w:u w:color="000000"/>
      <w:bdr w:val="nil"/>
      <w:lang w:val="de-DE" w:eastAsia="de-DE"/>
    </w:rPr>
  </w:style>
  <w:style w:type="paragraph" w:customStyle="1" w:styleId="EQ5D3LDimensionOption">
    <w:name w:val="EQ5D3L Dimension Option"/>
    <w:basedOn w:val="Normal"/>
    <w:qFormat/>
    <w:rsid w:val="007E0ABC"/>
    <w:pPr>
      <w:spacing w:after="120" w:line="312" w:lineRule="auto"/>
    </w:pPr>
    <w:rPr>
      <w:rFonts w:eastAsia="Times New Roman" w:cs="Arial"/>
      <w:sz w:val="20"/>
      <w:szCs w:val="20"/>
    </w:rPr>
  </w:style>
  <w:style w:type="paragraph" w:customStyle="1" w:styleId="3aEstherArial126pten13voor3L">
    <w:name w:val="3aEsther Arial 12 6pt en 1.3 voor 3L"/>
    <w:qFormat/>
    <w:rsid w:val="007E0ABC"/>
    <w:pPr>
      <w:spacing w:after="120" w:line="312" w:lineRule="auto"/>
      <w:jc w:val="both"/>
    </w:pPr>
    <w:rPr>
      <w:rFonts w:ascii="Arial" w:eastAsia="Times New Roman" w:hAnsi="Arial" w:cs="Arial"/>
      <w:b/>
      <w:lang w:val="en-GB"/>
    </w:rPr>
  </w:style>
  <w:style w:type="paragraph" w:customStyle="1" w:styleId="4EstherArial101ptvoorthermotext">
    <w:name w:val="4Esther Arial 10 1pt voor thermotext"/>
    <w:qFormat/>
    <w:rsid w:val="007E0ABC"/>
    <w:pPr>
      <w:jc w:val="center"/>
    </w:pPr>
    <w:rPr>
      <w:rFonts w:ascii="Arial" w:eastAsia="Times New Roman" w:hAnsi="Arial" w:cs="Arial"/>
      <w:sz w:val="20"/>
      <w:szCs w:val="20"/>
      <w:lang w:val="en-GB"/>
    </w:rPr>
  </w:style>
  <w:style w:type="paragraph" w:customStyle="1" w:styleId="3bEstherArial126pten13voor3L">
    <w:name w:val="3bEsther Arial 12 6 pt en 1.3 voor 3L"/>
    <w:basedOn w:val="3aEstherArial126pten13voor3L"/>
    <w:qFormat/>
    <w:rsid w:val="007E0ABC"/>
    <w:rPr>
      <w:b w:val="0"/>
    </w:rPr>
  </w:style>
  <w:style w:type="paragraph" w:customStyle="1" w:styleId="2Esther">
    <w:name w:val="2Esther"/>
    <w:qFormat/>
    <w:rsid w:val="007E0ABC"/>
    <w:pPr>
      <w:spacing w:line="312" w:lineRule="auto"/>
    </w:pPr>
    <w:rPr>
      <w:rFonts w:ascii="Arial" w:eastAsia="Times New Roman" w:hAnsi="Arial" w:cs="Arial"/>
      <w:szCs w:val="28"/>
      <w:lang w:val="en-GB"/>
    </w:rPr>
  </w:style>
  <w:style w:type="paragraph" w:customStyle="1" w:styleId="EQ5D5LVASInstructions">
    <w:name w:val="EQ5D5L VAS Instructions"/>
    <w:basedOn w:val="Normal"/>
    <w:qFormat/>
    <w:rsid w:val="007E0ABC"/>
    <w:pPr>
      <w:numPr>
        <w:numId w:val="154"/>
      </w:numPr>
      <w:spacing w:after="240" w:line="312" w:lineRule="auto"/>
      <w:ind w:left="714" w:hanging="357"/>
    </w:pPr>
    <w:rPr>
      <w:rFonts w:eastAsia="Times New Roman" w:cs="Arial"/>
      <w:sz w:val="20"/>
      <w:szCs w:val="20"/>
    </w:rPr>
  </w:style>
  <w:style w:type="paragraph" w:customStyle="1" w:styleId="4a">
    <w:name w:val="4a"/>
    <w:basedOn w:val="EQ5D5LVASInstructions"/>
    <w:autoRedefine/>
    <w:qFormat/>
    <w:rsid w:val="007E0ABC"/>
    <w:pPr>
      <w:jc w:val="left"/>
    </w:pPr>
  </w:style>
  <w:style w:type="paragraph" w:customStyle="1" w:styleId="5">
    <w:name w:val="5"/>
    <w:basedOn w:val="Normal"/>
    <w:qFormat/>
    <w:rsid w:val="007E0ABC"/>
    <w:pPr>
      <w:spacing w:line="240" w:lineRule="auto"/>
      <w:jc w:val="center"/>
    </w:pPr>
    <w:rPr>
      <w:rFonts w:asciiTheme="minorBidi" w:eastAsia="Times New Roman" w:hAnsiTheme="minorBidi" w:cs="Times New Roman"/>
      <w:sz w:val="20"/>
      <w:szCs w:val="20"/>
    </w:rPr>
  </w:style>
  <w:style w:type="paragraph" w:customStyle="1" w:styleId="4bEsther">
    <w:name w:val="4bEsther"/>
    <w:basedOn w:val="Normal"/>
    <w:qFormat/>
    <w:rsid w:val="007E0ABC"/>
    <w:pPr>
      <w:spacing w:line="240" w:lineRule="auto"/>
      <w:jc w:val="right"/>
    </w:pPr>
    <w:rPr>
      <w:rFonts w:asciiTheme="minorBidi" w:eastAsia="Times New Roman" w:hAnsiTheme="minorBidi"/>
      <w:sz w:val="20"/>
    </w:rPr>
  </w:style>
  <w:style w:type="table" w:styleId="GridTable2">
    <w:name w:val="Grid Table 2"/>
    <w:basedOn w:val="TableNormal"/>
    <w:uiPriority w:val="47"/>
    <w:rsid w:val="007E0ABC"/>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7E0ABC"/>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urful">
    <w:name w:val="Grid Table 6 Colorful"/>
    <w:basedOn w:val="TableNormal"/>
    <w:uiPriority w:val="51"/>
    <w:rsid w:val="007E0ABC"/>
    <w:rPr>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3">
    <w:name w:val="Grid Table 6 Colorful Accent 3"/>
    <w:basedOn w:val="TableNormal"/>
    <w:uiPriority w:val="51"/>
    <w:rsid w:val="007E0ABC"/>
    <w:rPr>
      <w:color w:val="7B7B7B" w:themeColor="accent3" w:themeShade="BF"/>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222">
      <w:bodyDiv w:val="1"/>
      <w:marLeft w:val="0"/>
      <w:marRight w:val="0"/>
      <w:marTop w:val="0"/>
      <w:marBottom w:val="0"/>
      <w:divBdr>
        <w:top w:val="none" w:sz="0" w:space="0" w:color="auto"/>
        <w:left w:val="none" w:sz="0" w:space="0" w:color="auto"/>
        <w:bottom w:val="none" w:sz="0" w:space="0" w:color="auto"/>
        <w:right w:val="none" w:sz="0" w:space="0" w:color="auto"/>
      </w:divBdr>
    </w:div>
    <w:div w:id="9920450">
      <w:bodyDiv w:val="1"/>
      <w:marLeft w:val="0"/>
      <w:marRight w:val="0"/>
      <w:marTop w:val="0"/>
      <w:marBottom w:val="0"/>
      <w:divBdr>
        <w:top w:val="none" w:sz="0" w:space="0" w:color="auto"/>
        <w:left w:val="none" w:sz="0" w:space="0" w:color="auto"/>
        <w:bottom w:val="none" w:sz="0" w:space="0" w:color="auto"/>
        <w:right w:val="none" w:sz="0" w:space="0" w:color="auto"/>
      </w:divBdr>
    </w:div>
    <w:div w:id="11995344">
      <w:bodyDiv w:val="1"/>
      <w:marLeft w:val="0"/>
      <w:marRight w:val="0"/>
      <w:marTop w:val="0"/>
      <w:marBottom w:val="0"/>
      <w:divBdr>
        <w:top w:val="none" w:sz="0" w:space="0" w:color="auto"/>
        <w:left w:val="none" w:sz="0" w:space="0" w:color="auto"/>
        <w:bottom w:val="none" w:sz="0" w:space="0" w:color="auto"/>
        <w:right w:val="none" w:sz="0" w:space="0" w:color="auto"/>
      </w:divBdr>
    </w:div>
    <w:div w:id="12541326">
      <w:bodyDiv w:val="1"/>
      <w:marLeft w:val="0"/>
      <w:marRight w:val="0"/>
      <w:marTop w:val="0"/>
      <w:marBottom w:val="0"/>
      <w:divBdr>
        <w:top w:val="none" w:sz="0" w:space="0" w:color="auto"/>
        <w:left w:val="none" w:sz="0" w:space="0" w:color="auto"/>
        <w:bottom w:val="none" w:sz="0" w:space="0" w:color="auto"/>
        <w:right w:val="none" w:sz="0" w:space="0" w:color="auto"/>
      </w:divBdr>
    </w:div>
    <w:div w:id="12924312">
      <w:bodyDiv w:val="1"/>
      <w:marLeft w:val="0"/>
      <w:marRight w:val="0"/>
      <w:marTop w:val="0"/>
      <w:marBottom w:val="0"/>
      <w:divBdr>
        <w:top w:val="none" w:sz="0" w:space="0" w:color="auto"/>
        <w:left w:val="none" w:sz="0" w:space="0" w:color="auto"/>
        <w:bottom w:val="none" w:sz="0" w:space="0" w:color="auto"/>
        <w:right w:val="none" w:sz="0" w:space="0" w:color="auto"/>
      </w:divBdr>
    </w:div>
    <w:div w:id="13851017">
      <w:bodyDiv w:val="1"/>
      <w:marLeft w:val="0"/>
      <w:marRight w:val="0"/>
      <w:marTop w:val="0"/>
      <w:marBottom w:val="0"/>
      <w:divBdr>
        <w:top w:val="none" w:sz="0" w:space="0" w:color="auto"/>
        <w:left w:val="none" w:sz="0" w:space="0" w:color="auto"/>
        <w:bottom w:val="none" w:sz="0" w:space="0" w:color="auto"/>
        <w:right w:val="none" w:sz="0" w:space="0" w:color="auto"/>
      </w:divBdr>
    </w:div>
    <w:div w:id="15039941">
      <w:bodyDiv w:val="1"/>
      <w:marLeft w:val="0"/>
      <w:marRight w:val="0"/>
      <w:marTop w:val="0"/>
      <w:marBottom w:val="0"/>
      <w:divBdr>
        <w:top w:val="none" w:sz="0" w:space="0" w:color="auto"/>
        <w:left w:val="none" w:sz="0" w:space="0" w:color="auto"/>
        <w:bottom w:val="none" w:sz="0" w:space="0" w:color="auto"/>
        <w:right w:val="none" w:sz="0" w:space="0" w:color="auto"/>
      </w:divBdr>
    </w:div>
    <w:div w:id="15623475">
      <w:bodyDiv w:val="1"/>
      <w:marLeft w:val="0"/>
      <w:marRight w:val="0"/>
      <w:marTop w:val="0"/>
      <w:marBottom w:val="0"/>
      <w:divBdr>
        <w:top w:val="none" w:sz="0" w:space="0" w:color="auto"/>
        <w:left w:val="none" w:sz="0" w:space="0" w:color="auto"/>
        <w:bottom w:val="none" w:sz="0" w:space="0" w:color="auto"/>
        <w:right w:val="none" w:sz="0" w:space="0" w:color="auto"/>
      </w:divBdr>
    </w:div>
    <w:div w:id="16203778">
      <w:bodyDiv w:val="1"/>
      <w:marLeft w:val="0"/>
      <w:marRight w:val="0"/>
      <w:marTop w:val="0"/>
      <w:marBottom w:val="0"/>
      <w:divBdr>
        <w:top w:val="none" w:sz="0" w:space="0" w:color="auto"/>
        <w:left w:val="none" w:sz="0" w:space="0" w:color="auto"/>
        <w:bottom w:val="none" w:sz="0" w:space="0" w:color="auto"/>
        <w:right w:val="none" w:sz="0" w:space="0" w:color="auto"/>
      </w:divBdr>
    </w:div>
    <w:div w:id="18698518">
      <w:bodyDiv w:val="1"/>
      <w:marLeft w:val="0"/>
      <w:marRight w:val="0"/>
      <w:marTop w:val="0"/>
      <w:marBottom w:val="0"/>
      <w:divBdr>
        <w:top w:val="none" w:sz="0" w:space="0" w:color="auto"/>
        <w:left w:val="none" w:sz="0" w:space="0" w:color="auto"/>
        <w:bottom w:val="none" w:sz="0" w:space="0" w:color="auto"/>
        <w:right w:val="none" w:sz="0" w:space="0" w:color="auto"/>
      </w:divBdr>
    </w:div>
    <w:div w:id="21056838">
      <w:bodyDiv w:val="1"/>
      <w:marLeft w:val="0"/>
      <w:marRight w:val="0"/>
      <w:marTop w:val="0"/>
      <w:marBottom w:val="0"/>
      <w:divBdr>
        <w:top w:val="none" w:sz="0" w:space="0" w:color="auto"/>
        <w:left w:val="none" w:sz="0" w:space="0" w:color="auto"/>
        <w:bottom w:val="none" w:sz="0" w:space="0" w:color="auto"/>
        <w:right w:val="none" w:sz="0" w:space="0" w:color="auto"/>
      </w:divBdr>
    </w:div>
    <w:div w:id="26418015">
      <w:bodyDiv w:val="1"/>
      <w:marLeft w:val="0"/>
      <w:marRight w:val="0"/>
      <w:marTop w:val="0"/>
      <w:marBottom w:val="0"/>
      <w:divBdr>
        <w:top w:val="none" w:sz="0" w:space="0" w:color="auto"/>
        <w:left w:val="none" w:sz="0" w:space="0" w:color="auto"/>
        <w:bottom w:val="none" w:sz="0" w:space="0" w:color="auto"/>
        <w:right w:val="none" w:sz="0" w:space="0" w:color="auto"/>
      </w:divBdr>
    </w:div>
    <w:div w:id="27605499">
      <w:bodyDiv w:val="1"/>
      <w:marLeft w:val="0"/>
      <w:marRight w:val="0"/>
      <w:marTop w:val="0"/>
      <w:marBottom w:val="0"/>
      <w:divBdr>
        <w:top w:val="none" w:sz="0" w:space="0" w:color="auto"/>
        <w:left w:val="none" w:sz="0" w:space="0" w:color="auto"/>
        <w:bottom w:val="none" w:sz="0" w:space="0" w:color="auto"/>
        <w:right w:val="none" w:sz="0" w:space="0" w:color="auto"/>
      </w:divBdr>
    </w:div>
    <w:div w:id="27991429">
      <w:bodyDiv w:val="1"/>
      <w:marLeft w:val="0"/>
      <w:marRight w:val="0"/>
      <w:marTop w:val="0"/>
      <w:marBottom w:val="0"/>
      <w:divBdr>
        <w:top w:val="none" w:sz="0" w:space="0" w:color="auto"/>
        <w:left w:val="none" w:sz="0" w:space="0" w:color="auto"/>
        <w:bottom w:val="none" w:sz="0" w:space="0" w:color="auto"/>
        <w:right w:val="none" w:sz="0" w:space="0" w:color="auto"/>
      </w:divBdr>
    </w:div>
    <w:div w:id="28574820">
      <w:bodyDiv w:val="1"/>
      <w:marLeft w:val="0"/>
      <w:marRight w:val="0"/>
      <w:marTop w:val="0"/>
      <w:marBottom w:val="0"/>
      <w:divBdr>
        <w:top w:val="none" w:sz="0" w:space="0" w:color="auto"/>
        <w:left w:val="none" w:sz="0" w:space="0" w:color="auto"/>
        <w:bottom w:val="none" w:sz="0" w:space="0" w:color="auto"/>
        <w:right w:val="none" w:sz="0" w:space="0" w:color="auto"/>
      </w:divBdr>
    </w:div>
    <w:div w:id="29426993">
      <w:bodyDiv w:val="1"/>
      <w:marLeft w:val="0"/>
      <w:marRight w:val="0"/>
      <w:marTop w:val="0"/>
      <w:marBottom w:val="0"/>
      <w:divBdr>
        <w:top w:val="none" w:sz="0" w:space="0" w:color="auto"/>
        <w:left w:val="none" w:sz="0" w:space="0" w:color="auto"/>
        <w:bottom w:val="none" w:sz="0" w:space="0" w:color="auto"/>
        <w:right w:val="none" w:sz="0" w:space="0" w:color="auto"/>
      </w:divBdr>
    </w:div>
    <w:div w:id="29690960">
      <w:bodyDiv w:val="1"/>
      <w:marLeft w:val="0"/>
      <w:marRight w:val="0"/>
      <w:marTop w:val="0"/>
      <w:marBottom w:val="0"/>
      <w:divBdr>
        <w:top w:val="none" w:sz="0" w:space="0" w:color="auto"/>
        <w:left w:val="none" w:sz="0" w:space="0" w:color="auto"/>
        <w:bottom w:val="none" w:sz="0" w:space="0" w:color="auto"/>
        <w:right w:val="none" w:sz="0" w:space="0" w:color="auto"/>
      </w:divBdr>
    </w:div>
    <w:div w:id="37362808">
      <w:bodyDiv w:val="1"/>
      <w:marLeft w:val="0"/>
      <w:marRight w:val="0"/>
      <w:marTop w:val="0"/>
      <w:marBottom w:val="0"/>
      <w:divBdr>
        <w:top w:val="none" w:sz="0" w:space="0" w:color="auto"/>
        <w:left w:val="none" w:sz="0" w:space="0" w:color="auto"/>
        <w:bottom w:val="none" w:sz="0" w:space="0" w:color="auto"/>
        <w:right w:val="none" w:sz="0" w:space="0" w:color="auto"/>
      </w:divBdr>
    </w:div>
    <w:div w:id="38171187">
      <w:bodyDiv w:val="1"/>
      <w:marLeft w:val="0"/>
      <w:marRight w:val="0"/>
      <w:marTop w:val="0"/>
      <w:marBottom w:val="0"/>
      <w:divBdr>
        <w:top w:val="none" w:sz="0" w:space="0" w:color="auto"/>
        <w:left w:val="none" w:sz="0" w:space="0" w:color="auto"/>
        <w:bottom w:val="none" w:sz="0" w:space="0" w:color="auto"/>
        <w:right w:val="none" w:sz="0" w:space="0" w:color="auto"/>
      </w:divBdr>
    </w:div>
    <w:div w:id="39013041">
      <w:bodyDiv w:val="1"/>
      <w:marLeft w:val="0"/>
      <w:marRight w:val="0"/>
      <w:marTop w:val="0"/>
      <w:marBottom w:val="0"/>
      <w:divBdr>
        <w:top w:val="none" w:sz="0" w:space="0" w:color="auto"/>
        <w:left w:val="none" w:sz="0" w:space="0" w:color="auto"/>
        <w:bottom w:val="none" w:sz="0" w:space="0" w:color="auto"/>
        <w:right w:val="none" w:sz="0" w:space="0" w:color="auto"/>
      </w:divBdr>
    </w:div>
    <w:div w:id="44381589">
      <w:bodyDiv w:val="1"/>
      <w:marLeft w:val="0"/>
      <w:marRight w:val="0"/>
      <w:marTop w:val="0"/>
      <w:marBottom w:val="0"/>
      <w:divBdr>
        <w:top w:val="none" w:sz="0" w:space="0" w:color="auto"/>
        <w:left w:val="none" w:sz="0" w:space="0" w:color="auto"/>
        <w:bottom w:val="none" w:sz="0" w:space="0" w:color="auto"/>
        <w:right w:val="none" w:sz="0" w:space="0" w:color="auto"/>
      </w:divBdr>
    </w:div>
    <w:div w:id="44456368">
      <w:bodyDiv w:val="1"/>
      <w:marLeft w:val="0"/>
      <w:marRight w:val="0"/>
      <w:marTop w:val="0"/>
      <w:marBottom w:val="0"/>
      <w:divBdr>
        <w:top w:val="none" w:sz="0" w:space="0" w:color="auto"/>
        <w:left w:val="none" w:sz="0" w:space="0" w:color="auto"/>
        <w:bottom w:val="none" w:sz="0" w:space="0" w:color="auto"/>
        <w:right w:val="none" w:sz="0" w:space="0" w:color="auto"/>
      </w:divBdr>
    </w:div>
    <w:div w:id="46681828">
      <w:bodyDiv w:val="1"/>
      <w:marLeft w:val="0"/>
      <w:marRight w:val="0"/>
      <w:marTop w:val="0"/>
      <w:marBottom w:val="0"/>
      <w:divBdr>
        <w:top w:val="none" w:sz="0" w:space="0" w:color="auto"/>
        <w:left w:val="none" w:sz="0" w:space="0" w:color="auto"/>
        <w:bottom w:val="none" w:sz="0" w:space="0" w:color="auto"/>
        <w:right w:val="none" w:sz="0" w:space="0" w:color="auto"/>
      </w:divBdr>
    </w:div>
    <w:div w:id="53891712">
      <w:bodyDiv w:val="1"/>
      <w:marLeft w:val="0"/>
      <w:marRight w:val="0"/>
      <w:marTop w:val="0"/>
      <w:marBottom w:val="0"/>
      <w:divBdr>
        <w:top w:val="none" w:sz="0" w:space="0" w:color="auto"/>
        <w:left w:val="none" w:sz="0" w:space="0" w:color="auto"/>
        <w:bottom w:val="none" w:sz="0" w:space="0" w:color="auto"/>
        <w:right w:val="none" w:sz="0" w:space="0" w:color="auto"/>
      </w:divBdr>
    </w:div>
    <w:div w:id="59594043">
      <w:bodyDiv w:val="1"/>
      <w:marLeft w:val="0"/>
      <w:marRight w:val="0"/>
      <w:marTop w:val="0"/>
      <w:marBottom w:val="0"/>
      <w:divBdr>
        <w:top w:val="none" w:sz="0" w:space="0" w:color="auto"/>
        <w:left w:val="none" w:sz="0" w:space="0" w:color="auto"/>
        <w:bottom w:val="none" w:sz="0" w:space="0" w:color="auto"/>
        <w:right w:val="none" w:sz="0" w:space="0" w:color="auto"/>
      </w:divBdr>
    </w:div>
    <w:div w:id="60299571">
      <w:bodyDiv w:val="1"/>
      <w:marLeft w:val="0"/>
      <w:marRight w:val="0"/>
      <w:marTop w:val="0"/>
      <w:marBottom w:val="0"/>
      <w:divBdr>
        <w:top w:val="none" w:sz="0" w:space="0" w:color="auto"/>
        <w:left w:val="none" w:sz="0" w:space="0" w:color="auto"/>
        <w:bottom w:val="none" w:sz="0" w:space="0" w:color="auto"/>
        <w:right w:val="none" w:sz="0" w:space="0" w:color="auto"/>
      </w:divBdr>
    </w:div>
    <w:div w:id="62139636">
      <w:bodyDiv w:val="1"/>
      <w:marLeft w:val="0"/>
      <w:marRight w:val="0"/>
      <w:marTop w:val="0"/>
      <w:marBottom w:val="0"/>
      <w:divBdr>
        <w:top w:val="none" w:sz="0" w:space="0" w:color="auto"/>
        <w:left w:val="none" w:sz="0" w:space="0" w:color="auto"/>
        <w:bottom w:val="none" w:sz="0" w:space="0" w:color="auto"/>
        <w:right w:val="none" w:sz="0" w:space="0" w:color="auto"/>
      </w:divBdr>
    </w:div>
    <w:div w:id="64189213">
      <w:bodyDiv w:val="1"/>
      <w:marLeft w:val="0"/>
      <w:marRight w:val="0"/>
      <w:marTop w:val="0"/>
      <w:marBottom w:val="0"/>
      <w:divBdr>
        <w:top w:val="none" w:sz="0" w:space="0" w:color="auto"/>
        <w:left w:val="none" w:sz="0" w:space="0" w:color="auto"/>
        <w:bottom w:val="none" w:sz="0" w:space="0" w:color="auto"/>
        <w:right w:val="none" w:sz="0" w:space="0" w:color="auto"/>
      </w:divBdr>
    </w:div>
    <w:div w:id="65109920">
      <w:bodyDiv w:val="1"/>
      <w:marLeft w:val="0"/>
      <w:marRight w:val="0"/>
      <w:marTop w:val="0"/>
      <w:marBottom w:val="0"/>
      <w:divBdr>
        <w:top w:val="none" w:sz="0" w:space="0" w:color="auto"/>
        <w:left w:val="none" w:sz="0" w:space="0" w:color="auto"/>
        <w:bottom w:val="none" w:sz="0" w:space="0" w:color="auto"/>
        <w:right w:val="none" w:sz="0" w:space="0" w:color="auto"/>
      </w:divBdr>
    </w:div>
    <w:div w:id="66197544">
      <w:bodyDiv w:val="1"/>
      <w:marLeft w:val="0"/>
      <w:marRight w:val="0"/>
      <w:marTop w:val="0"/>
      <w:marBottom w:val="0"/>
      <w:divBdr>
        <w:top w:val="none" w:sz="0" w:space="0" w:color="auto"/>
        <w:left w:val="none" w:sz="0" w:space="0" w:color="auto"/>
        <w:bottom w:val="none" w:sz="0" w:space="0" w:color="auto"/>
        <w:right w:val="none" w:sz="0" w:space="0" w:color="auto"/>
      </w:divBdr>
    </w:div>
    <w:div w:id="67114541">
      <w:bodyDiv w:val="1"/>
      <w:marLeft w:val="0"/>
      <w:marRight w:val="0"/>
      <w:marTop w:val="0"/>
      <w:marBottom w:val="0"/>
      <w:divBdr>
        <w:top w:val="none" w:sz="0" w:space="0" w:color="auto"/>
        <w:left w:val="none" w:sz="0" w:space="0" w:color="auto"/>
        <w:bottom w:val="none" w:sz="0" w:space="0" w:color="auto"/>
        <w:right w:val="none" w:sz="0" w:space="0" w:color="auto"/>
      </w:divBdr>
    </w:div>
    <w:div w:id="72556655">
      <w:bodyDiv w:val="1"/>
      <w:marLeft w:val="0"/>
      <w:marRight w:val="0"/>
      <w:marTop w:val="0"/>
      <w:marBottom w:val="0"/>
      <w:divBdr>
        <w:top w:val="none" w:sz="0" w:space="0" w:color="auto"/>
        <w:left w:val="none" w:sz="0" w:space="0" w:color="auto"/>
        <w:bottom w:val="none" w:sz="0" w:space="0" w:color="auto"/>
        <w:right w:val="none" w:sz="0" w:space="0" w:color="auto"/>
      </w:divBdr>
    </w:div>
    <w:div w:id="75251368">
      <w:bodyDiv w:val="1"/>
      <w:marLeft w:val="0"/>
      <w:marRight w:val="0"/>
      <w:marTop w:val="0"/>
      <w:marBottom w:val="0"/>
      <w:divBdr>
        <w:top w:val="none" w:sz="0" w:space="0" w:color="auto"/>
        <w:left w:val="none" w:sz="0" w:space="0" w:color="auto"/>
        <w:bottom w:val="none" w:sz="0" w:space="0" w:color="auto"/>
        <w:right w:val="none" w:sz="0" w:space="0" w:color="auto"/>
      </w:divBdr>
    </w:div>
    <w:div w:id="79723231">
      <w:bodyDiv w:val="1"/>
      <w:marLeft w:val="0"/>
      <w:marRight w:val="0"/>
      <w:marTop w:val="0"/>
      <w:marBottom w:val="0"/>
      <w:divBdr>
        <w:top w:val="none" w:sz="0" w:space="0" w:color="auto"/>
        <w:left w:val="none" w:sz="0" w:space="0" w:color="auto"/>
        <w:bottom w:val="none" w:sz="0" w:space="0" w:color="auto"/>
        <w:right w:val="none" w:sz="0" w:space="0" w:color="auto"/>
      </w:divBdr>
    </w:div>
    <w:div w:id="86468620">
      <w:bodyDiv w:val="1"/>
      <w:marLeft w:val="0"/>
      <w:marRight w:val="0"/>
      <w:marTop w:val="0"/>
      <w:marBottom w:val="0"/>
      <w:divBdr>
        <w:top w:val="none" w:sz="0" w:space="0" w:color="auto"/>
        <w:left w:val="none" w:sz="0" w:space="0" w:color="auto"/>
        <w:bottom w:val="none" w:sz="0" w:space="0" w:color="auto"/>
        <w:right w:val="none" w:sz="0" w:space="0" w:color="auto"/>
      </w:divBdr>
    </w:div>
    <w:div w:id="89159092">
      <w:bodyDiv w:val="1"/>
      <w:marLeft w:val="0"/>
      <w:marRight w:val="0"/>
      <w:marTop w:val="0"/>
      <w:marBottom w:val="0"/>
      <w:divBdr>
        <w:top w:val="none" w:sz="0" w:space="0" w:color="auto"/>
        <w:left w:val="none" w:sz="0" w:space="0" w:color="auto"/>
        <w:bottom w:val="none" w:sz="0" w:space="0" w:color="auto"/>
        <w:right w:val="none" w:sz="0" w:space="0" w:color="auto"/>
      </w:divBdr>
    </w:div>
    <w:div w:id="100616105">
      <w:bodyDiv w:val="1"/>
      <w:marLeft w:val="0"/>
      <w:marRight w:val="0"/>
      <w:marTop w:val="0"/>
      <w:marBottom w:val="0"/>
      <w:divBdr>
        <w:top w:val="none" w:sz="0" w:space="0" w:color="auto"/>
        <w:left w:val="none" w:sz="0" w:space="0" w:color="auto"/>
        <w:bottom w:val="none" w:sz="0" w:space="0" w:color="auto"/>
        <w:right w:val="none" w:sz="0" w:space="0" w:color="auto"/>
      </w:divBdr>
    </w:div>
    <w:div w:id="114719903">
      <w:bodyDiv w:val="1"/>
      <w:marLeft w:val="0"/>
      <w:marRight w:val="0"/>
      <w:marTop w:val="0"/>
      <w:marBottom w:val="0"/>
      <w:divBdr>
        <w:top w:val="none" w:sz="0" w:space="0" w:color="auto"/>
        <w:left w:val="none" w:sz="0" w:space="0" w:color="auto"/>
        <w:bottom w:val="none" w:sz="0" w:space="0" w:color="auto"/>
        <w:right w:val="none" w:sz="0" w:space="0" w:color="auto"/>
      </w:divBdr>
    </w:div>
    <w:div w:id="118032138">
      <w:bodyDiv w:val="1"/>
      <w:marLeft w:val="0"/>
      <w:marRight w:val="0"/>
      <w:marTop w:val="0"/>
      <w:marBottom w:val="0"/>
      <w:divBdr>
        <w:top w:val="none" w:sz="0" w:space="0" w:color="auto"/>
        <w:left w:val="none" w:sz="0" w:space="0" w:color="auto"/>
        <w:bottom w:val="none" w:sz="0" w:space="0" w:color="auto"/>
        <w:right w:val="none" w:sz="0" w:space="0" w:color="auto"/>
      </w:divBdr>
    </w:div>
    <w:div w:id="130445477">
      <w:bodyDiv w:val="1"/>
      <w:marLeft w:val="0"/>
      <w:marRight w:val="0"/>
      <w:marTop w:val="0"/>
      <w:marBottom w:val="0"/>
      <w:divBdr>
        <w:top w:val="none" w:sz="0" w:space="0" w:color="auto"/>
        <w:left w:val="none" w:sz="0" w:space="0" w:color="auto"/>
        <w:bottom w:val="none" w:sz="0" w:space="0" w:color="auto"/>
        <w:right w:val="none" w:sz="0" w:space="0" w:color="auto"/>
      </w:divBdr>
    </w:div>
    <w:div w:id="133723579">
      <w:bodyDiv w:val="1"/>
      <w:marLeft w:val="0"/>
      <w:marRight w:val="0"/>
      <w:marTop w:val="0"/>
      <w:marBottom w:val="0"/>
      <w:divBdr>
        <w:top w:val="none" w:sz="0" w:space="0" w:color="auto"/>
        <w:left w:val="none" w:sz="0" w:space="0" w:color="auto"/>
        <w:bottom w:val="none" w:sz="0" w:space="0" w:color="auto"/>
        <w:right w:val="none" w:sz="0" w:space="0" w:color="auto"/>
      </w:divBdr>
    </w:div>
    <w:div w:id="138770050">
      <w:bodyDiv w:val="1"/>
      <w:marLeft w:val="0"/>
      <w:marRight w:val="0"/>
      <w:marTop w:val="0"/>
      <w:marBottom w:val="0"/>
      <w:divBdr>
        <w:top w:val="none" w:sz="0" w:space="0" w:color="auto"/>
        <w:left w:val="none" w:sz="0" w:space="0" w:color="auto"/>
        <w:bottom w:val="none" w:sz="0" w:space="0" w:color="auto"/>
        <w:right w:val="none" w:sz="0" w:space="0" w:color="auto"/>
      </w:divBdr>
    </w:div>
    <w:div w:id="140080919">
      <w:bodyDiv w:val="1"/>
      <w:marLeft w:val="0"/>
      <w:marRight w:val="0"/>
      <w:marTop w:val="0"/>
      <w:marBottom w:val="0"/>
      <w:divBdr>
        <w:top w:val="none" w:sz="0" w:space="0" w:color="auto"/>
        <w:left w:val="none" w:sz="0" w:space="0" w:color="auto"/>
        <w:bottom w:val="none" w:sz="0" w:space="0" w:color="auto"/>
        <w:right w:val="none" w:sz="0" w:space="0" w:color="auto"/>
      </w:divBdr>
    </w:div>
    <w:div w:id="145165796">
      <w:bodyDiv w:val="1"/>
      <w:marLeft w:val="0"/>
      <w:marRight w:val="0"/>
      <w:marTop w:val="0"/>
      <w:marBottom w:val="0"/>
      <w:divBdr>
        <w:top w:val="none" w:sz="0" w:space="0" w:color="auto"/>
        <w:left w:val="none" w:sz="0" w:space="0" w:color="auto"/>
        <w:bottom w:val="none" w:sz="0" w:space="0" w:color="auto"/>
        <w:right w:val="none" w:sz="0" w:space="0" w:color="auto"/>
      </w:divBdr>
    </w:div>
    <w:div w:id="145901222">
      <w:bodyDiv w:val="1"/>
      <w:marLeft w:val="0"/>
      <w:marRight w:val="0"/>
      <w:marTop w:val="0"/>
      <w:marBottom w:val="0"/>
      <w:divBdr>
        <w:top w:val="none" w:sz="0" w:space="0" w:color="auto"/>
        <w:left w:val="none" w:sz="0" w:space="0" w:color="auto"/>
        <w:bottom w:val="none" w:sz="0" w:space="0" w:color="auto"/>
        <w:right w:val="none" w:sz="0" w:space="0" w:color="auto"/>
      </w:divBdr>
    </w:div>
    <w:div w:id="151221598">
      <w:bodyDiv w:val="1"/>
      <w:marLeft w:val="0"/>
      <w:marRight w:val="0"/>
      <w:marTop w:val="0"/>
      <w:marBottom w:val="0"/>
      <w:divBdr>
        <w:top w:val="none" w:sz="0" w:space="0" w:color="auto"/>
        <w:left w:val="none" w:sz="0" w:space="0" w:color="auto"/>
        <w:bottom w:val="none" w:sz="0" w:space="0" w:color="auto"/>
        <w:right w:val="none" w:sz="0" w:space="0" w:color="auto"/>
      </w:divBdr>
    </w:div>
    <w:div w:id="157818351">
      <w:bodyDiv w:val="1"/>
      <w:marLeft w:val="0"/>
      <w:marRight w:val="0"/>
      <w:marTop w:val="0"/>
      <w:marBottom w:val="0"/>
      <w:divBdr>
        <w:top w:val="none" w:sz="0" w:space="0" w:color="auto"/>
        <w:left w:val="none" w:sz="0" w:space="0" w:color="auto"/>
        <w:bottom w:val="none" w:sz="0" w:space="0" w:color="auto"/>
        <w:right w:val="none" w:sz="0" w:space="0" w:color="auto"/>
      </w:divBdr>
    </w:div>
    <w:div w:id="158740239">
      <w:bodyDiv w:val="1"/>
      <w:marLeft w:val="0"/>
      <w:marRight w:val="0"/>
      <w:marTop w:val="0"/>
      <w:marBottom w:val="0"/>
      <w:divBdr>
        <w:top w:val="none" w:sz="0" w:space="0" w:color="auto"/>
        <w:left w:val="none" w:sz="0" w:space="0" w:color="auto"/>
        <w:bottom w:val="none" w:sz="0" w:space="0" w:color="auto"/>
        <w:right w:val="none" w:sz="0" w:space="0" w:color="auto"/>
      </w:divBdr>
    </w:div>
    <w:div w:id="161091113">
      <w:bodyDiv w:val="1"/>
      <w:marLeft w:val="0"/>
      <w:marRight w:val="0"/>
      <w:marTop w:val="0"/>
      <w:marBottom w:val="0"/>
      <w:divBdr>
        <w:top w:val="none" w:sz="0" w:space="0" w:color="auto"/>
        <w:left w:val="none" w:sz="0" w:space="0" w:color="auto"/>
        <w:bottom w:val="none" w:sz="0" w:space="0" w:color="auto"/>
        <w:right w:val="none" w:sz="0" w:space="0" w:color="auto"/>
      </w:divBdr>
    </w:div>
    <w:div w:id="170146949">
      <w:bodyDiv w:val="1"/>
      <w:marLeft w:val="0"/>
      <w:marRight w:val="0"/>
      <w:marTop w:val="0"/>
      <w:marBottom w:val="0"/>
      <w:divBdr>
        <w:top w:val="none" w:sz="0" w:space="0" w:color="auto"/>
        <w:left w:val="none" w:sz="0" w:space="0" w:color="auto"/>
        <w:bottom w:val="none" w:sz="0" w:space="0" w:color="auto"/>
        <w:right w:val="none" w:sz="0" w:space="0" w:color="auto"/>
      </w:divBdr>
    </w:div>
    <w:div w:id="173230940">
      <w:bodyDiv w:val="1"/>
      <w:marLeft w:val="0"/>
      <w:marRight w:val="0"/>
      <w:marTop w:val="0"/>
      <w:marBottom w:val="0"/>
      <w:divBdr>
        <w:top w:val="none" w:sz="0" w:space="0" w:color="auto"/>
        <w:left w:val="none" w:sz="0" w:space="0" w:color="auto"/>
        <w:bottom w:val="none" w:sz="0" w:space="0" w:color="auto"/>
        <w:right w:val="none" w:sz="0" w:space="0" w:color="auto"/>
      </w:divBdr>
    </w:div>
    <w:div w:id="174154614">
      <w:bodyDiv w:val="1"/>
      <w:marLeft w:val="0"/>
      <w:marRight w:val="0"/>
      <w:marTop w:val="0"/>
      <w:marBottom w:val="0"/>
      <w:divBdr>
        <w:top w:val="none" w:sz="0" w:space="0" w:color="auto"/>
        <w:left w:val="none" w:sz="0" w:space="0" w:color="auto"/>
        <w:bottom w:val="none" w:sz="0" w:space="0" w:color="auto"/>
        <w:right w:val="none" w:sz="0" w:space="0" w:color="auto"/>
      </w:divBdr>
    </w:div>
    <w:div w:id="178155996">
      <w:bodyDiv w:val="1"/>
      <w:marLeft w:val="0"/>
      <w:marRight w:val="0"/>
      <w:marTop w:val="0"/>
      <w:marBottom w:val="0"/>
      <w:divBdr>
        <w:top w:val="none" w:sz="0" w:space="0" w:color="auto"/>
        <w:left w:val="none" w:sz="0" w:space="0" w:color="auto"/>
        <w:bottom w:val="none" w:sz="0" w:space="0" w:color="auto"/>
        <w:right w:val="none" w:sz="0" w:space="0" w:color="auto"/>
      </w:divBdr>
    </w:div>
    <w:div w:id="182134246">
      <w:bodyDiv w:val="1"/>
      <w:marLeft w:val="0"/>
      <w:marRight w:val="0"/>
      <w:marTop w:val="0"/>
      <w:marBottom w:val="0"/>
      <w:divBdr>
        <w:top w:val="none" w:sz="0" w:space="0" w:color="auto"/>
        <w:left w:val="none" w:sz="0" w:space="0" w:color="auto"/>
        <w:bottom w:val="none" w:sz="0" w:space="0" w:color="auto"/>
        <w:right w:val="none" w:sz="0" w:space="0" w:color="auto"/>
      </w:divBdr>
    </w:div>
    <w:div w:id="190461537">
      <w:bodyDiv w:val="1"/>
      <w:marLeft w:val="0"/>
      <w:marRight w:val="0"/>
      <w:marTop w:val="0"/>
      <w:marBottom w:val="0"/>
      <w:divBdr>
        <w:top w:val="none" w:sz="0" w:space="0" w:color="auto"/>
        <w:left w:val="none" w:sz="0" w:space="0" w:color="auto"/>
        <w:bottom w:val="none" w:sz="0" w:space="0" w:color="auto"/>
        <w:right w:val="none" w:sz="0" w:space="0" w:color="auto"/>
      </w:divBdr>
    </w:div>
    <w:div w:id="199782536">
      <w:bodyDiv w:val="1"/>
      <w:marLeft w:val="0"/>
      <w:marRight w:val="0"/>
      <w:marTop w:val="0"/>
      <w:marBottom w:val="0"/>
      <w:divBdr>
        <w:top w:val="none" w:sz="0" w:space="0" w:color="auto"/>
        <w:left w:val="none" w:sz="0" w:space="0" w:color="auto"/>
        <w:bottom w:val="none" w:sz="0" w:space="0" w:color="auto"/>
        <w:right w:val="none" w:sz="0" w:space="0" w:color="auto"/>
      </w:divBdr>
    </w:div>
    <w:div w:id="207572700">
      <w:bodyDiv w:val="1"/>
      <w:marLeft w:val="0"/>
      <w:marRight w:val="0"/>
      <w:marTop w:val="0"/>
      <w:marBottom w:val="0"/>
      <w:divBdr>
        <w:top w:val="none" w:sz="0" w:space="0" w:color="auto"/>
        <w:left w:val="none" w:sz="0" w:space="0" w:color="auto"/>
        <w:bottom w:val="none" w:sz="0" w:space="0" w:color="auto"/>
        <w:right w:val="none" w:sz="0" w:space="0" w:color="auto"/>
      </w:divBdr>
    </w:div>
    <w:div w:id="207691759">
      <w:bodyDiv w:val="1"/>
      <w:marLeft w:val="0"/>
      <w:marRight w:val="0"/>
      <w:marTop w:val="0"/>
      <w:marBottom w:val="0"/>
      <w:divBdr>
        <w:top w:val="none" w:sz="0" w:space="0" w:color="auto"/>
        <w:left w:val="none" w:sz="0" w:space="0" w:color="auto"/>
        <w:bottom w:val="none" w:sz="0" w:space="0" w:color="auto"/>
        <w:right w:val="none" w:sz="0" w:space="0" w:color="auto"/>
      </w:divBdr>
    </w:div>
    <w:div w:id="215238523">
      <w:bodyDiv w:val="1"/>
      <w:marLeft w:val="0"/>
      <w:marRight w:val="0"/>
      <w:marTop w:val="0"/>
      <w:marBottom w:val="0"/>
      <w:divBdr>
        <w:top w:val="none" w:sz="0" w:space="0" w:color="auto"/>
        <w:left w:val="none" w:sz="0" w:space="0" w:color="auto"/>
        <w:bottom w:val="none" w:sz="0" w:space="0" w:color="auto"/>
        <w:right w:val="none" w:sz="0" w:space="0" w:color="auto"/>
      </w:divBdr>
    </w:div>
    <w:div w:id="219563993">
      <w:bodyDiv w:val="1"/>
      <w:marLeft w:val="0"/>
      <w:marRight w:val="0"/>
      <w:marTop w:val="0"/>
      <w:marBottom w:val="0"/>
      <w:divBdr>
        <w:top w:val="none" w:sz="0" w:space="0" w:color="auto"/>
        <w:left w:val="none" w:sz="0" w:space="0" w:color="auto"/>
        <w:bottom w:val="none" w:sz="0" w:space="0" w:color="auto"/>
        <w:right w:val="none" w:sz="0" w:space="0" w:color="auto"/>
      </w:divBdr>
    </w:div>
    <w:div w:id="220794422">
      <w:bodyDiv w:val="1"/>
      <w:marLeft w:val="0"/>
      <w:marRight w:val="0"/>
      <w:marTop w:val="0"/>
      <w:marBottom w:val="0"/>
      <w:divBdr>
        <w:top w:val="none" w:sz="0" w:space="0" w:color="auto"/>
        <w:left w:val="none" w:sz="0" w:space="0" w:color="auto"/>
        <w:bottom w:val="none" w:sz="0" w:space="0" w:color="auto"/>
        <w:right w:val="none" w:sz="0" w:space="0" w:color="auto"/>
      </w:divBdr>
    </w:div>
    <w:div w:id="222328426">
      <w:bodyDiv w:val="1"/>
      <w:marLeft w:val="0"/>
      <w:marRight w:val="0"/>
      <w:marTop w:val="0"/>
      <w:marBottom w:val="0"/>
      <w:divBdr>
        <w:top w:val="none" w:sz="0" w:space="0" w:color="auto"/>
        <w:left w:val="none" w:sz="0" w:space="0" w:color="auto"/>
        <w:bottom w:val="none" w:sz="0" w:space="0" w:color="auto"/>
        <w:right w:val="none" w:sz="0" w:space="0" w:color="auto"/>
      </w:divBdr>
    </w:div>
    <w:div w:id="225145327">
      <w:bodyDiv w:val="1"/>
      <w:marLeft w:val="0"/>
      <w:marRight w:val="0"/>
      <w:marTop w:val="0"/>
      <w:marBottom w:val="0"/>
      <w:divBdr>
        <w:top w:val="none" w:sz="0" w:space="0" w:color="auto"/>
        <w:left w:val="none" w:sz="0" w:space="0" w:color="auto"/>
        <w:bottom w:val="none" w:sz="0" w:space="0" w:color="auto"/>
        <w:right w:val="none" w:sz="0" w:space="0" w:color="auto"/>
      </w:divBdr>
    </w:div>
    <w:div w:id="232785581">
      <w:bodyDiv w:val="1"/>
      <w:marLeft w:val="0"/>
      <w:marRight w:val="0"/>
      <w:marTop w:val="0"/>
      <w:marBottom w:val="0"/>
      <w:divBdr>
        <w:top w:val="none" w:sz="0" w:space="0" w:color="auto"/>
        <w:left w:val="none" w:sz="0" w:space="0" w:color="auto"/>
        <w:bottom w:val="none" w:sz="0" w:space="0" w:color="auto"/>
        <w:right w:val="none" w:sz="0" w:space="0" w:color="auto"/>
      </w:divBdr>
    </w:div>
    <w:div w:id="235554653">
      <w:bodyDiv w:val="1"/>
      <w:marLeft w:val="0"/>
      <w:marRight w:val="0"/>
      <w:marTop w:val="0"/>
      <w:marBottom w:val="0"/>
      <w:divBdr>
        <w:top w:val="none" w:sz="0" w:space="0" w:color="auto"/>
        <w:left w:val="none" w:sz="0" w:space="0" w:color="auto"/>
        <w:bottom w:val="none" w:sz="0" w:space="0" w:color="auto"/>
        <w:right w:val="none" w:sz="0" w:space="0" w:color="auto"/>
      </w:divBdr>
    </w:div>
    <w:div w:id="236205834">
      <w:bodyDiv w:val="1"/>
      <w:marLeft w:val="0"/>
      <w:marRight w:val="0"/>
      <w:marTop w:val="0"/>
      <w:marBottom w:val="0"/>
      <w:divBdr>
        <w:top w:val="none" w:sz="0" w:space="0" w:color="auto"/>
        <w:left w:val="none" w:sz="0" w:space="0" w:color="auto"/>
        <w:bottom w:val="none" w:sz="0" w:space="0" w:color="auto"/>
        <w:right w:val="none" w:sz="0" w:space="0" w:color="auto"/>
      </w:divBdr>
    </w:div>
    <w:div w:id="236407809">
      <w:bodyDiv w:val="1"/>
      <w:marLeft w:val="0"/>
      <w:marRight w:val="0"/>
      <w:marTop w:val="0"/>
      <w:marBottom w:val="0"/>
      <w:divBdr>
        <w:top w:val="none" w:sz="0" w:space="0" w:color="auto"/>
        <w:left w:val="none" w:sz="0" w:space="0" w:color="auto"/>
        <w:bottom w:val="none" w:sz="0" w:space="0" w:color="auto"/>
        <w:right w:val="none" w:sz="0" w:space="0" w:color="auto"/>
      </w:divBdr>
    </w:div>
    <w:div w:id="236479628">
      <w:bodyDiv w:val="1"/>
      <w:marLeft w:val="0"/>
      <w:marRight w:val="0"/>
      <w:marTop w:val="0"/>
      <w:marBottom w:val="0"/>
      <w:divBdr>
        <w:top w:val="none" w:sz="0" w:space="0" w:color="auto"/>
        <w:left w:val="none" w:sz="0" w:space="0" w:color="auto"/>
        <w:bottom w:val="none" w:sz="0" w:space="0" w:color="auto"/>
        <w:right w:val="none" w:sz="0" w:space="0" w:color="auto"/>
      </w:divBdr>
    </w:div>
    <w:div w:id="245916822">
      <w:bodyDiv w:val="1"/>
      <w:marLeft w:val="0"/>
      <w:marRight w:val="0"/>
      <w:marTop w:val="0"/>
      <w:marBottom w:val="0"/>
      <w:divBdr>
        <w:top w:val="none" w:sz="0" w:space="0" w:color="auto"/>
        <w:left w:val="none" w:sz="0" w:space="0" w:color="auto"/>
        <w:bottom w:val="none" w:sz="0" w:space="0" w:color="auto"/>
        <w:right w:val="none" w:sz="0" w:space="0" w:color="auto"/>
      </w:divBdr>
    </w:div>
    <w:div w:id="246889153">
      <w:bodyDiv w:val="1"/>
      <w:marLeft w:val="0"/>
      <w:marRight w:val="0"/>
      <w:marTop w:val="0"/>
      <w:marBottom w:val="0"/>
      <w:divBdr>
        <w:top w:val="none" w:sz="0" w:space="0" w:color="auto"/>
        <w:left w:val="none" w:sz="0" w:space="0" w:color="auto"/>
        <w:bottom w:val="none" w:sz="0" w:space="0" w:color="auto"/>
        <w:right w:val="none" w:sz="0" w:space="0" w:color="auto"/>
      </w:divBdr>
    </w:div>
    <w:div w:id="254359960">
      <w:bodyDiv w:val="1"/>
      <w:marLeft w:val="0"/>
      <w:marRight w:val="0"/>
      <w:marTop w:val="0"/>
      <w:marBottom w:val="0"/>
      <w:divBdr>
        <w:top w:val="none" w:sz="0" w:space="0" w:color="auto"/>
        <w:left w:val="none" w:sz="0" w:space="0" w:color="auto"/>
        <w:bottom w:val="none" w:sz="0" w:space="0" w:color="auto"/>
        <w:right w:val="none" w:sz="0" w:space="0" w:color="auto"/>
      </w:divBdr>
    </w:div>
    <w:div w:id="259027251">
      <w:bodyDiv w:val="1"/>
      <w:marLeft w:val="0"/>
      <w:marRight w:val="0"/>
      <w:marTop w:val="0"/>
      <w:marBottom w:val="0"/>
      <w:divBdr>
        <w:top w:val="none" w:sz="0" w:space="0" w:color="auto"/>
        <w:left w:val="none" w:sz="0" w:space="0" w:color="auto"/>
        <w:bottom w:val="none" w:sz="0" w:space="0" w:color="auto"/>
        <w:right w:val="none" w:sz="0" w:space="0" w:color="auto"/>
      </w:divBdr>
    </w:div>
    <w:div w:id="259073420">
      <w:bodyDiv w:val="1"/>
      <w:marLeft w:val="0"/>
      <w:marRight w:val="0"/>
      <w:marTop w:val="0"/>
      <w:marBottom w:val="0"/>
      <w:divBdr>
        <w:top w:val="none" w:sz="0" w:space="0" w:color="auto"/>
        <w:left w:val="none" w:sz="0" w:space="0" w:color="auto"/>
        <w:bottom w:val="none" w:sz="0" w:space="0" w:color="auto"/>
        <w:right w:val="none" w:sz="0" w:space="0" w:color="auto"/>
      </w:divBdr>
    </w:div>
    <w:div w:id="265309715">
      <w:bodyDiv w:val="1"/>
      <w:marLeft w:val="0"/>
      <w:marRight w:val="0"/>
      <w:marTop w:val="0"/>
      <w:marBottom w:val="0"/>
      <w:divBdr>
        <w:top w:val="none" w:sz="0" w:space="0" w:color="auto"/>
        <w:left w:val="none" w:sz="0" w:space="0" w:color="auto"/>
        <w:bottom w:val="none" w:sz="0" w:space="0" w:color="auto"/>
        <w:right w:val="none" w:sz="0" w:space="0" w:color="auto"/>
      </w:divBdr>
    </w:div>
    <w:div w:id="268515844">
      <w:bodyDiv w:val="1"/>
      <w:marLeft w:val="0"/>
      <w:marRight w:val="0"/>
      <w:marTop w:val="0"/>
      <w:marBottom w:val="0"/>
      <w:divBdr>
        <w:top w:val="none" w:sz="0" w:space="0" w:color="auto"/>
        <w:left w:val="none" w:sz="0" w:space="0" w:color="auto"/>
        <w:bottom w:val="none" w:sz="0" w:space="0" w:color="auto"/>
        <w:right w:val="none" w:sz="0" w:space="0" w:color="auto"/>
      </w:divBdr>
    </w:div>
    <w:div w:id="269045393">
      <w:bodyDiv w:val="1"/>
      <w:marLeft w:val="0"/>
      <w:marRight w:val="0"/>
      <w:marTop w:val="0"/>
      <w:marBottom w:val="0"/>
      <w:divBdr>
        <w:top w:val="none" w:sz="0" w:space="0" w:color="auto"/>
        <w:left w:val="none" w:sz="0" w:space="0" w:color="auto"/>
        <w:bottom w:val="none" w:sz="0" w:space="0" w:color="auto"/>
        <w:right w:val="none" w:sz="0" w:space="0" w:color="auto"/>
      </w:divBdr>
    </w:div>
    <w:div w:id="271330027">
      <w:bodyDiv w:val="1"/>
      <w:marLeft w:val="0"/>
      <w:marRight w:val="0"/>
      <w:marTop w:val="0"/>
      <w:marBottom w:val="0"/>
      <w:divBdr>
        <w:top w:val="none" w:sz="0" w:space="0" w:color="auto"/>
        <w:left w:val="none" w:sz="0" w:space="0" w:color="auto"/>
        <w:bottom w:val="none" w:sz="0" w:space="0" w:color="auto"/>
        <w:right w:val="none" w:sz="0" w:space="0" w:color="auto"/>
      </w:divBdr>
    </w:div>
    <w:div w:id="271548092">
      <w:bodyDiv w:val="1"/>
      <w:marLeft w:val="0"/>
      <w:marRight w:val="0"/>
      <w:marTop w:val="0"/>
      <w:marBottom w:val="0"/>
      <w:divBdr>
        <w:top w:val="none" w:sz="0" w:space="0" w:color="auto"/>
        <w:left w:val="none" w:sz="0" w:space="0" w:color="auto"/>
        <w:bottom w:val="none" w:sz="0" w:space="0" w:color="auto"/>
        <w:right w:val="none" w:sz="0" w:space="0" w:color="auto"/>
      </w:divBdr>
    </w:div>
    <w:div w:id="273219777">
      <w:bodyDiv w:val="1"/>
      <w:marLeft w:val="0"/>
      <w:marRight w:val="0"/>
      <w:marTop w:val="0"/>
      <w:marBottom w:val="0"/>
      <w:divBdr>
        <w:top w:val="none" w:sz="0" w:space="0" w:color="auto"/>
        <w:left w:val="none" w:sz="0" w:space="0" w:color="auto"/>
        <w:bottom w:val="none" w:sz="0" w:space="0" w:color="auto"/>
        <w:right w:val="none" w:sz="0" w:space="0" w:color="auto"/>
      </w:divBdr>
    </w:div>
    <w:div w:id="273824766">
      <w:bodyDiv w:val="1"/>
      <w:marLeft w:val="0"/>
      <w:marRight w:val="0"/>
      <w:marTop w:val="0"/>
      <w:marBottom w:val="0"/>
      <w:divBdr>
        <w:top w:val="none" w:sz="0" w:space="0" w:color="auto"/>
        <w:left w:val="none" w:sz="0" w:space="0" w:color="auto"/>
        <w:bottom w:val="none" w:sz="0" w:space="0" w:color="auto"/>
        <w:right w:val="none" w:sz="0" w:space="0" w:color="auto"/>
      </w:divBdr>
    </w:div>
    <w:div w:id="279340777">
      <w:bodyDiv w:val="1"/>
      <w:marLeft w:val="0"/>
      <w:marRight w:val="0"/>
      <w:marTop w:val="0"/>
      <w:marBottom w:val="0"/>
      <w:divBdr>
        <w:top w:val="none" w:sz="0" w:space="0" w:color="auto"/>
        <w:left w:val="none" w:sz="0" w:space="0" w:color="auto"/>
        <w:bottom w:val="none" w:sz="0" w:space="0" w:color="auto"/>
        <w:right w:val="none" w:sz="0" w:space="0" w:color="auto"/>
      </w:divBdr>
    </w:div>
    <w:div w:id="279728165">
      <w:bodyDiv w:val="1"/>
      <w:marLeft w:val="0"/>
      <w:marRight w:val="0"/>
      <w:marTop w:val="0"/>
      <w:marBottom w:val="0"/>
      <w:divBdr>
        <w:top w:val="none" w:sz="0" w:space="0" w:color="auto"/>
        <w:left w:val="none" w:sz="0" w:space="0" w:color="auto"/>
        <w:bottom w:val="none" w:sz="0" w:space="0" w:color="auto"/>
        <w:right w:val="none" w:sz="0" w:space="0" w:color="auto"/>
      </w:divBdr>
    </w:div>
    <w:div w:id="282229130">
      <w:bodyDiv w:val="1"/>
      <w:marLeft w:val="0"/>
      <w:marRight w:val="0"/>
      <w:marTop w:val="0"/>
      <w:marBottom w:val="0"/>
      <w:divBdr>
        <w:top w:val="none" w:sz="0" w:space="0" w:color="auto"/>
        <w:left w:val="none" w:sz="0" w:space="0" w:color="auto"/>
        <w:bottom w:val="none" w:sz="0" w:space="0" w:color="auto"/>
        <w:right w:val="none" w:sz="0" w:space="0" w:color="auto"/>
      </w:divBdr>
    </w:div>
    <w:div w:id="283541464">
      <w:bodyDiv w:val="1"/>
      <w:marLeft w:val="0"/>
      <w:marRight w:val="0"/>
      <w:marTop w:val="0"/>
      <w:marBottom w:val="0"/>
      <w:divBdr>
        <w:top w:val="none" w:sz="0" w:space="0" w:color="auto"/>
        <w:left w:val="none" w:sz="0" w:space="0" w:color="auto"/>
        <w:bottom w:val="none" w:sz="0" w:space="0" w:color="auto"/>
        <w:right w:val="none" w:sz="0" w:space="0" w:color="auto"/>
      </w:divBdr>
    </w:div>
    <w:div w:id="288902293">
      <w:bodyDiv w:val="1"/>
      <w:marLeft w:val="0"/>
      <w:marRight w:val="0"/>
      <w:marTop w:val="0"/>
      <w:marBottom w:val="0"/>
      <w:divBdr>
        <w:top w:val="none" w:sz="0" w:space="0" w:color="auto"/>
        <w:left w:val="none" w:sz="0" w:space="0" w:color="auto"/>
        <w:bottom w:val="none" w:sz="0" w:space="0" w:color="auto"/>
        <w:right w:val="none" w:sz="0" w:space="0" w:color="auto"/>
      </w:divBdr>
    </w:div>
    <w:div w:id="292367073">
      <w:bodyDiv w:val="1"/>
      <w:marLeft w:val="0"/>
      <w:marRight w:val="0"/>
      <w:marTop w:val="0"/>
      <w:marBottom w:val="0"/>
      <w:divBdr>
        <w:top w:val="none" w:sz="0" w:space="0" w:color="auto"/>
        <w:left w:val="none" w:sz="0" w:space="0" w:color="auto"/>
        <w:bottom w:val="none" w:sz="0" w:space="0" w:color="auto"/>
        <w:right w:val="none" w:sz="0" w:space="0" w:color="auto"/>
      </w:divBdr>
    </w:div>
    <w:div w:id="294870933">
      <w:bodyDiv w:val="1"/>
      <w:marLeft w:val="0"/>
      <w:marRight w:val="0"/>
      <w:marTop w:val="0"/>
      <w:marBottom w:val="0"/>
      <w:divBdr>
        <w:top w:val="none" w:sz="0" w:space="0" w:color="auto"/>
        <w:left w:val="none" w:sz="0" w:space="0" w:color="auto"/>
        <w:bottom w:val="none" w:sz="0" w:space="0" w:color="auto"/>
        <w:right w:val="none" w:sz="0" w:space="0" w:color="auto"/>
      </w:divBdr>
    </w:div>
    <w:div w:id="297340657">
      <w:bodyDiv w:val="1"/>
      <w:marLeft w:val="0"/>
      <w:marRight w:val="0"/>
      <w:marTop w:val="0"/>
      <w:marBottom w:val="0"/>
      <w:divBdr>
        <w:top w:val="none" w:sz="0" w:space="0" w:color="auto"/>
        <w:left w:val="none" w:sz="0" w:space="0" w:color="auto"/>
        <w:bottom w:val="none" w:sz="0" w:space="0" w:color="auto"/>
        <w:right w:val="none" w:sz="0" w:space="0" w:color="auto"/>
      </w:divBdr>
    </w:div>
    <w:div w:id="301694465">
      <w:bodyDiv w:val="1"/>
      <w:marLeft w:val="0"/>
      <w:marRight w:val="0"/>
      <w:marTop w:val="0"/>
      <w:marBottom w:val="0"/>
      <w:divBdr>
        <w:top w:val="none" w:sz="0" w:space="0" w:color="auto"/>
        <w:left w:val="none" w:sz="0" w:space="0" w:color="auto"/>
        <w:bottom w:val="none" w:sz="0" w:space="0" w:color="auto"/>
        <w:right w:val="none" w:sz="0" w:space="0" w:color="auto"/>
      </w:divBdr>
    </w:div>
    <w:div w:id="305428575">
      <w:bodyDiv w:val="1"/>
      <w:marLeft w:val="0"/>
      <w:marRight w:val="0"/>
      <w:marTop w:val="0"/>
      <w:marBottom w:val="0"/>
      <w:divBdr>
        <w:top w:val="none" w:sz="0" w:space="0" w:color="auto"/>
        <w:left w:val="none" w:sz="0" w:space="0" w:color="auto"/>
        <w:bottom w:val="none" w:sz="0" w:space="0" w:color="auto"/>
        <w:right w:val="none" w:sz="0" w:space="0" w:color="auto"/>
      </w:divBdr>
    </w:div>
    <w:div w:id="306251194">
      <w:bodyDiv w:val="1"/>
      <w:marLeft w:val="0"/>
      <w:marRight w:val="0"/>
      <w:marTop w:val="0"/>
      <w:marBottom w:val="0"/>
      <w:divBdr>
        <w:top w:val="none" w:sz="0" w:space="0" w:color="auto"/>
        <w:left w:val="none" w:sz="0" w:space="0" w:color="auto"/>
        <w:bottom w:val="none" w:sz="0" w:space="0" w:color="auto"/>
        <w:right w:val="none" w:sz="0" w:space="0" w:color="auto"/>
      </w:divBdr>
    </w:div>
    <w:div w:id="316349282">
      <w:bodyDiv w:val="1"/>
      <w:marLeft w:val="0"/>
      <w:marRight w:val="0"/>
      <w:marTop w:val="0"/>
      <w:marBottom w:val="0"/>
      <w:divBdr>
        <w:top w:val="none" w:sz="0" w:space="0" w:color="auto"/>
        <w:left w:val="none" w:sz="0" w:space="0" w:color="auto"/>
        <w:bottom w:val="none" w:sz="0" w:space="0" w:color="auto"/>
        <w:right w:val="none" w:sz="0" w:space="0" w:color="auto"/>
      </w:divBdr>
    </w:div>
    <w:div w:id="334304717">
      <w:bodyDiv w:val="1"/>
      <w:marLeft w:val="0"/>
      <w:marRight w:val="0"/>
      <w:marTop w:val="0"/>
      <w:marBottom w:val="0"/>
      <w:divBdr>
        <w:top w:val="none" w:sz="0" w:space="0" w:color="auto"/>
        <w:left w:val="none" w:sz="0" w:space="0" w:color="auto"/>
        <w:bottom w:val="none" w:sz="0" w:space="0" w:color="auto"/>
        <w:right w:val="none" w:sz="0" w:space="0" w:color="auto"/>
      </w:divBdr>
    </w:div>
    <w:div w:id="336150532">
      <w:bodyDiv w:val="1"/>
      <w:marLeft w:val="0"/>
      <w:marRight w:val="0"/>
      <w:marTop w:val="0"/>
      <w:marBottom w:val="0"/>
      <w:divBdr>
        <w:top w:val="none" w:sz="0" w:space="0" w:color="auto"/>
        <w:left w:val="none" w:sz="0" w:space="0" w:color="auto"/>
        <w:bottom w:val="none" w:sz="0" w:space="0" w:color="auto"/>
        <w:right w:val="none" w:sz="0" w:space="0" w:color="auto"/>
      </w:divBdr>
    </w:div>
    <w:div w:id="343746830">
      <w:bodyDiv w:val="1"/>
      <w:marLeft w:val="0"/>
      <w:marRight w:val="0"/>
      <w:marTop w:val="0"/>
      <w:marBottom w:val="0"/>
      <w:divBdr>
        <w:top w:val="none" w:sz="0" w:space="0" w:color="auto"/>
        <w:left w:val="none" w:sz="0" w:space="0" w:color="auto"/>
        <w:bottom w:val="none" w:sz="0" w:space="0" w:color="auto"/>
        <w:right w:val="none" w:sz="0" w:space="0" w:color="auto"/>
      </w:divBdr>
    </w:div>
    <w:div w:id="344328622">
      <w:bodyDiv w:val="1"/>
      <w:marLeft w:val="0"/>
      <w:marRight w:val="0"/>
      <w:marTop w:val="0"/>
      <w:marBottom w:val="0"/>
      <w:divBdr>
        <w:top w:val="none" w:sz="0" w:space="0" w:color="auto"/>
        <w:left w:val="none" w:sz="0" w:space="0" w:color="auto"/>
        <w:bottom w:val="none" w:sz="0" w:space="0" w:color="auto"/>
        <w:right w:val="none" w:sz="0" w:space="0" w:color="auto"/>
      </w:divBdr>
    </w:div>
    <w:div w:id="345791323">
      <w:bodyDiv w:val="1"/>
      <w:marLeft w:val="0"/>
      <w:marRight w:val="0"/>
      <w:marTop w:val="0"/>
      <w:marBottom w:val="0"/>
      <w:divBdr>
        <w:top w:val="none" w:sz="0" w:space="0" w:color="auto"/>
        <w:left w:val="none" w:sz="0" w:space="0" w:color="auto"/>
        <w:bottom w:val="none" w:sz="0" w:space="0" w:color="auto"/>
        <w:right w:val="none" w:sz="0" w:space="0" w:color="auto"/>
      </w:divBdr>
    </w:div>
    <w:div w:id="347562608">
      <w:bodyDiv w:val="1"/>
      <w:marLeft w:val="0"/>
      <w:marRight w:val="0"/>
      <w:marTop w:val="0"/>
      <w:marBottom w:val="0"/>
      <w:divBdr>
        <w:top w:val="none" w:sz="0" w:space="0" w:color="auto"/>
        <w:left w:val="none" w:sz="0" w:space="0" w:color="auto"/>
        <w:bottom w:val="none" w:sz="0" w:space="0" w:color="auto"/>
        <w:right w:val="none" w:sz="0" w:space="0" w:color="auto"/>
      </w:divBdr>
    </w:div>
    <w:div w:id="351877548">
      <w:bodyDiv w:val="1"/>
      <w:marLeft w:val="0"/>
      <w:marRight w:val="0"/>
      <w:marTop w:val="0"/>
      <w:marBottom w:val="0"/>
      <w:divBdr>
        <w:top w:val="none" w:sz="0" w:space="0" w:color="auto"/>
        <w:left w:val="none" w:sz="0" w:space="0" w:color="auto"/>
        <w:bottom w:val="none" w:sz="0" w:space="0" w:color="auto"/>
        <w:right w:val="none" w:sz="0" w:space="0" w:color="auto"/>
      </w:divBdr>
    </w:div>
    <w:div w:id="354769225">
      <w:bodyDiv w:val="1"/>
      <w:marLeft w:val="0"/>
      <w:marRight w:val="0"/>
      <w:marTop w:val="0"/>
      <w:marBottom w:val="0"/>
      <w:divBdr>
        <w:top w:val="none" w:sz="0" w:space="0" w:color="auto"/>
        <w:left w:val="none" w:sz="0" w:space="0" w:color="auto"/>
        <w:bottom w:val="none" w:sz="0" w:space="0" w:color="auto"/>
        <w:right w:val="none" w:sz="0" w:space="0" w:color="auto"/>
      </w:divBdr>
    </w:div>
    <w:div w:id="355346377">
      <w:bodyDiv w:val="1"/>
      <w:marLeft w:val="0"/>
      <w:marRight w:val="0"/>
      <w:marTop w:val="0"/>
      <w:marBottom w:val="0"/>
      <w:divBdr>
        <w:top w:val="none" w:sz="0" w:space="0" w:color="auto"/>
        <w:left w:val="none" w:sz="0" w:space="0" w:color="auto"/>
        <w:bottom w:val="none" w:sz="0" w:space="0" w:color="auto"/>
        <w:right w:val="none" w:sz="0" w:space="0" w:color="auto"/>
      </w:divBdr>
    </w:div>
    <w:div w:id="355349119">
      <w:bodyDiv w:val="1"/>
      <w:marLeft w:val="0"/>
      <w:marRight w:val="0"/>
      <w:marTop w:val="0"/>
      <w:marBottom w:val="0"/>
      <w:divBdr>
        <w:top w:val="none" w:sz="0" w:space="0" w:color="auto"/>
        <w:left w:val="none" w:sz="0" w:space="0" w:color="auto"/>
        <w:bottom w:val="none" w:sz="0" w:space="0" w:color="auto"/>
        <w:right w:val="none" w:sz="0" w:space="0" w:color="auto"/>
      </w:divBdr>
    </w:div>
    <w:div w:id="358167124">
      <w:bodyDiv w:val="1"/>
      <w:marLeft w:val="0"/>
      <w:marRight w:val="0"/>
      <w:marTop w:val="0"/>
      <w:marBottom w:val="0"/>
      <w:divBdr>
        <w:top w:val="none" w:sz="0" w:space="0" w:color="auto"/>
        <w:left w:val="none" w:sz="0" w:space="0" w:color="auto"/>
        <w:bottom w:val="none" w:sz="0" w:space="0" w:color="auto"/>
        <w:right w:val="none" w:sz="0" w:space="0" w:color="auto"/>
      </w:divBdr>
    </w:div>
    <w:div w:id="363529571">
      <w:bodyDiv w:val="1"/>
      <w:marLeft w:val="0"/>
      <w:marRight w:val="0"/>
      <w:marTop w:val="0"/>
      <w:marBottom w:val="0"/>
      <w:divBdr>
        <w:top w:val="none" w:sz="0" w:space="0" w:color="auto"/>
        <w:left w:val="none" w:sz="0" w:space="0" w:color="auto"/>
        <w:bottom w:val="none" w:sz="0" w:space="0" w:color="auto"/>
        <w:right w:val="none" w:sz="0" w:space="0" w:color="auto"/>
      </w:divBdr>
    </w:div>
    <w:div w:id="365370997">
      <w:bodyDiv w:val="1"/>
      <w:marLeft w:val="0"/>
      <w:marRight w:val="0"/>
      <w:marTop w:val="0"/>
      <w:marBottom w:val="0"/>
      <w:divBdr>
        <w:top w:val="none" w:sz="0" w:space="0" w:color="auto"/>
        <w:left w:val="none" w:sz="0" w:space="0" w:color="auto"/>
        <w:bottom w:val="none" w:sz="0" w:space="0" w:color="auto"/>
        <w:right w:val="none" w:sz="0" w:space="0" w:color="auto"/>
      </w:divBdr>
    </w:div>
    <w:div w:id="369183845">
      <w:bodyDiv w:val="1"/>
      <w:marLeft w:val="0"/>
      <w:marRight w:val="0"/>
      <w:marTop w:val="0"/>
      <w:marBottom w:val="0"/>
      <w:divBdr>
        <w:top w:val="none" w:sz="0" w:space="0" w:color="auto"/>
        <w:left w:val="none" w:sz="0" w:space="0" w:color="auto"/>
        <w:bottom w:val="none" w:sz="0" w:space="0" w:color="auto"/>
        <w:right w:val="none" w:sz="0" w:space="0" w:color="auto"/>
      </w:divBdr>
    </w:div>
    <w:div w:id="372848681">
      <w:bodyDiv w:val="1"/>
      <w:marLeft w:val="0"/>
      <w:marRight w:val="0"/>
      <w:marTop w:val="0"/>
      <w:marBottom w:val="0"/>
      <w:divBdr>
        <w:top w:val="none" w:sz="0" w:space="0" w:color="auto"/>
        <w:left w:val="none" w:sz="0" w:space="0" w:color="auto"/>
        <w:bottom w:val="none" w:sz="0" w:space="0" w:color="auto"/>
        <w:right w:val="none" w:sz="0" w:space="0" w:color="auto"/>
      </w:divBdr>
    </w:div>
    <w:div w:id="384303820">
      <w:bodyDiv w:val="1"/>
      <w:marLeft w:val="0"/>
      <w:marRight w:val="0"/>
      <w:marTop w:val="0"/>
      <w:marBottom w:val="0"/>
      <w:divBdr>
        <w:top w:val="none" w:sz="0" w:space="0" w:color="auto"/>
        <w:left w:val="none" w:sz="0" w:space="0" w:color="auto"/>
        <w:bottom w:val="none" w:sz="0" w:space="0" w:color="auto"/>
        <w:right w:val="none" w:sz="0" w:space="0" w:color="auto"/>
      </w:divBdr>
    </w:div>
    <w:div w:id="389116825">
      <w:bodyDiv w:val="1"/>
      <w:marLeft w:val="0"/>
      <w:marRight w:val="0"/>
      <w:marTop w:val="0"/>
      <w:marBottom w:val="0"/>
      <w:divBdr>
        <w:top w:val="none" w:sz="0" w:space="0" w:color="auto"/>
        <w:left w:val="none" w:sz="0" w:space="0" w:color="auto"/>
        <w:bottom w:val="none" w:sz="0" w:space="0" w:color="auto"/>
        <w:right w:val="none" w:sz="0" w:space="0" w:color="auto"/>
      </w:divBdr>
    </w:div>
    <w:div w:id="389890438">
      <w:bodyDiv w:val="1"/>
      <w:marLeft w:val="0"/>
      <w:marRight w:val="0"/>
      <w:marTop w:val="0"/>
      <w:marBottom w:val="0"/>
      <w:divBdr>
        <w:top w:val="none" w:sz="0" w:space="0" w:color="auto"/>
        <w:left w:val="none" w:sz="0" w:space="0" w:color="auto"/>
        <w:bottom w:val="none" w:sz="0" w:space="0" w:color="auto"/>
        <w:right w:val="none" w:sz="0" w:space="0" w:color="auto"/>
      </w:divBdr>
    </w:div>
    <w:div w:id="399713811">
      <w:bodyDiv w:val="1"/>
      <w:marLeft w:val="0"/>
      <w:marRight w:val="0"/>
      <w:marTop w:val="0"/>
      <w:marBottom w:val="0"/>
      <w:divBdr>
        <w:top w:val="none" w:sz="0" w:space="0" w:color="auto"/>
        <w:left w:val="none" w:sz="0" w:space="0" w:color="auto"/>
        <w:bottom w:val="none" w:sz="0" w:space="0" w:color="auto"/>
        <w:right w:val="none" w:sz="0" w:space="0" w:color="auto"/>
      </w:divBdr>
    </w:div>
    <w:div w:id="399866424">
      <w:bodyDiv w:val="1"/>
      <w:marLeft w:val="0"/>
      <w:marRight w:val="0"/>
      <w:marTop w:val="0"/>
      <w:marBottom w:val="0"/>
      <w:divBdr>
        <w:top w:val="none" w:sz="0" w:space="0" w:color="auto"/>
        <w:left w:val="none" w:sz="0" w:space="0" w:color="auto"/>
        <w:bottom w:val="none" w:sz="0" w:space="0" w:color="auto"/>
        <w:right w:val="none" w:sz="0" w:space="0" w:color="auto"/>
      </w:divBdr>
    </w:div>
    <w:div w:id="405033362">
      <w:bodyDiv w:val="1"/>
      <w:marLeft w:val="0"/>
      <w:marRight w:val="0"/>
      <w:marTop w:val="0"/>
      <w:marBottom w:val="0"/>
      <w:divBdr>
        <w:top w:val="none" w:sz="0" w:space="0" w:color="auto"/>
        <w:left w:val="none" w:sz="0" w:space="0" w:color="auto"/>
        <w:bottom w:val="none" w:sz="0" w:space="0" w:color="auto"/>
        <w:right w:val="none" w:sz="0" w:space="0" w:color="auto"/>
      </w:divBdr>
    </w:div>
    <w:div w:id="407458012">
      <w:bodyDiv w:val="1"/>
      <w:marLeft w:val="0"/>
      <w:marRight w:val="0"/>
      <w:marTop w:val="0"/>
      <w:marBottom w:val="0"/>
      <w:divBdr>
        <w:top w:val="none" w:sz="0" w:space="0" w:color="auto"/>
        <w:left w:val="none" w:sz="0" w:space="0" w:color="auto"/>
        <w:bottom w:val="none" w:sz="0" w:space="0" w:color="auto"/>
        <w:right w:val="none" w:sz="0" w:space="0" w:color="auto"/>
      </w:divBdr>
    </w:div>
    <w:div w:id="407578613">
      <w:bodyDiv w:val="1"/>
      <w:marLeft w:val="0"/>
      <w:marRight w:val="0"/>
      <w:marTop w:val="0"/>
      <w:marBottom w:val="0"/>
      <w:divBdr>
        <w:top w:val="none" w:sz="0" w:space="0" w:color="auto"/>
        <w:left w:val="none" w:sz="0" w:space="0" w:color="auto"/>
        <w:bottom w:val="none" w:sz="0" w:space="0" w:color="auto"/>
        <w:right w:val="none" w:sz="0" w:space="0" w:color="auto"/>
      </w:divBdr>
    </w:div>
    <w:div w:id="411901661">
      <w:bodyDiv w:val="1"/>
      <w:marLeft w:val="0"/>
      <w:marRight w:val="0"/>
      <w:marTop w:val="0"/>
      <w:marBottom w:val="0"/>
      <w:divBdr>
        <w:top w:val="none" w:sz="0" w:space="0" w:color="auto"/>
        <w:left w:val="none" w:sz="0" w:space="0" w:color="auto"/>
        <w:bottom w:val="none" w:sz="0" w:space="0" w:color="auto"/>
        <w:right w:val="none" w:sz="0" w:space="0" w:color="auto"/>
      </w:divBdr>
    </w:div>
    <w:div w:id="413477426">
      <w:bodyDiv w:val="1"/>
      <w:marLeft w:val="0"/>
      <w:marRight w:val="0"/>
      <w:marTop w:val="0"/>
      <w:marBottom w:val="0"/>
      <w:divBdr>
        <w:top w:val="none" w:sz="0" w:space="0" w:color="auto"/>
        <w:left w:val="none" w:sz="0" w:space="0" w:color="auto"/>
        <w:bottom w:val="none" w:sz="0" w:space="0" w:color="auto"/>
        <w:right w:val="none" w:sz="0" w:space="0" w:color="auto"/>
      </w:divBdr>
    </w:div>
    <w:div w:id="416022764">
      <w:bodyDiv w:val="1"/>
      <w:marLeft w:val="0"/>
      <w:marRight w:val="0"/>
      <w:marTop w:val="0"/>
      <w:marBottom w:val="0"/>
      <w:divBdr>
        <w:top w:val="none" w:sz="0" w:space="0" w:color="auto"/>
        <w:left w:val="none" w:sz="0" w:space="0" w:color="auto"/>
        <w:bottom w:val="none" w:sz="0" w:space="0" w:color="auto"/>
        <w:right w:val="none" w:sz="0" w:space="0" w:color="auto"/>
      </w:divBdr>
    </w:div>
    <w:div w:id="417365935">
      <w:bodyDiv w:val="1"/>
      <w:marLeft w:val="0"/>
      <w:marRight w:val="0"/>
      <w:marTop w:val="0"/>
      <w:marBottom w:val="0"/>
      <w:divBdr>
        <w:top w:val="none" w:sz="0" w:space="0" w:color="auto"/>
        <w:left w:val="none" w:sz="0" w:space="0" w:color="auto"/>
        <w:bottom w:val="none" w:sz="0" w:space="0" w:color="auto"/>
        <w:right w:val="none" w:sz="0" w:space="0" w:color="auto"/>
      </w:divBdr>
    </w:div>
    <w:div w:id="420177797">
      <w:bodyDiv w:val="1"/>
      <w:marLeft w:val="0"/>
      <w:marRight w:val="0"/>
      <w:marTop w:val="0"/>
      <w:marBottom w:val="0"/>
      <w:divBdr>
        <w:top w:val="none" w:sz="0" w:space="0" w:color="auto"/>
        <w:left w:val="none" w:sz="0" w:space="0" w:color="auto"/>
        <w:bottom w:val="none" w:sz="0" w:space="0" w:color="auto"/>
        <w:right w:val="none" w:sz="0" w:space="0" w:color="auto"/>
      </w:divBdr>
    </w:div>
    <w:div w:id="428547923">
      <w:bodyDiv w:val="1"/>
      <w:marLeft w:val="0"/>
      <w:marRight w:val="0"/>
      <w:marTop w:val="0"/>
      <w:marBottom w:val="0"/>
      <w:divBdr>
        <w:top w:val="none" w:sz="0" w:space="0" w:color="auto"/>
        <w:left w:val="none" w:sz="0" w:space="0" w:color="auto"/>
        <w:bottom w:val="none" w:sz="0" w:space="0" w:color="auto"/>
        <w:right w:val="none" w:sz="0" w:space="0" w:color="auto"/>
      </w:divBdr>
    </w:div>
    <w:div w:id="428893556">
      <w:bodyDiv w:val="1"/>
      <w:marLeft w:val="0"/>
      <w:marRight w:val="0"/>
      <w:marTop w:val="0"/>
      <w:marBottom w:val="0"/>
      <w:divBdr>
        <w:top w:val="none" w:sz="0" w:space="0" w:color="auto"/>
        <w:left w:val="none" w:sz="0" w:space="0" w:color="auto"/>
        <w:bottom w:val="none" w:sz="0" w:space="0" w:color="auto"/>
        <w:right w:val="none" w:sz="0" w:space="0" w:color="auto"/>
      </w:divBdr>
    </w:div>
    <w:div w:id="429814975">
      <w:bodyDiv w:val="1"/>
      <w:marLeft w:val="0"/>
      <w:marRight w:val="0"/>
      <w:marTop w:val="0"/>
      <w:marBottom w:val="0"/>
      <w:divBdr>
        <w:top w:val="none" w:sz="0" w:space="0" w:color="auto"/>
        <w:left w:val="none" w:sz="0" w:space="0" w:color="auto"/>
        <w:bottom w:val="none" w:sz="0" w:space="0" w:color="auto"/>
        <w:right w:val="none" w:sz="0" w:space="0" w:color="auto"/>
      </w:divBdr>
    </w:div>
    <w:div w:id="432287384">
      <w:bodyDiv w:val="1"/>
      <w:marLeft w:val="0"/>
      <w:marRight w:val="0"/>
      <w:marTop w:val="0"/>
      <w:marBottom w:val="0"/>
      <w:divBdr>
        <w:top w:val="none" w:sz="0" w:space="0" w:color="auto"/>
        <w:left w:val="none" w:sz="0" w:space="0" w:color="auto"/>
        <w:bottom w:val="none" w:sz="0" w:space="0" w:color="auto"/>
        <w:right w:val="none" w:sz="0" w:space="0" w:color="auto"/>
      </w:divBdr>
    </w:div>
    <w:div w:id="432700926">
      <w:bodyDiv w:val="1"/>
      <w:marLeft w:val="0"/>
      <w:marRight w:val="0"/>
      <w:marTop w:val="0"/>
      <w:marBottom w:val="0"/>
      <w:divBdr>
        <w:top w:val="none" w:sz="0" w:space="0" w:color="auto"/>
        <w:left w:val="none" w:sz="0" w:space="0" w:color="auto"/>
        <w:bottom w:val="none" w:sz="0" w:space="0" w:color="auto"/>
        <w:right w:val="none" w:sz="0" w:space="0" w:color="auto"/>
      </w:divBdr>
    </w:div>
    <w:div w:id="434442492">
      <w:bodyDiv w:val="1"/>
      <w:marLeft w:val="0"/>
      <w:marRight w:val="0"/>
      <w:marTop w:val="0"/>
      <w:marBottom w:val="0"/>
      <w:divBdr>
        <w:top w:val="none" w:sz="0" w:space="0" w:color="auto"/>
        <w:left w:val="none" w:sz="0" w:space="0" w:color="auto"/>
        <w:bottom w:val="none" w:sz="0" w:space="0" w:color="auto"/>
        <w:right w:val="none" w:sz="0" w:space="0" w:color="auto"/>
      </w:divBdr>
    </w:div>
    <w:div w:id="435057104">
      <w:bodyDiv w:val="1"/>
      <w:marLeft w:val="0"/>
      <w:marRight w:val="0"/>
      <w:marTop w:val="0"/>
      <w:marBottom w:val="0"/>
      <w:divBdr>
        <w:top w:val="none" w:sz="0" w:space="0" w:color="auto"/>
        <w:left w:val="none" w:sz="0" w:space="0" w:color="auto"/>
        <w:bottom w:val="none" w:sz="0" w:space="0" w:color="auto"/>
        <w:right w:val="none" w:sz="0" w:space="0" w:color="auto"/>
      </w:divBdr>
    </w:div>
    <w:div w:id="435518239">
      <w:bodyDiv w:val="1"/>
      <w:marLeft w:val="0"/>
      <w:marRight w:val="0"/>
      <w:marTop w:val="0"/>
      <w:marBottom w:val="0"/>
      <w:divBdr>
        <w:top w:val="none" w:sz="0" w:space="0" w:color="auto"/>
        <w:left w:val="none" w:sz="0" w:space="0" w:color="auto"/>
        <w:bottom w:val="none" w:sz="0" w:space="0" w:color="auto"/>
        <w:right w:val="none" w:sz="0" w:space="0" w:color="auto"/>
      </w:divBdr>
    </w:div>
    <w:div w:id="442071842">
      <w:bodyDiv w:val="1"/>
      <w:marLeft w:val="0"/>
      <w:marRight w:val="0"/>
      <w:marTop w:val="0"/>
      <w:marBottom w:val="0"/>
      <w:divBdr>
        <w:top w:val="none" w:sz="0" w:space="0" w:color="auto"/>
        <w:left w:val="none" w:sz="0" w:space="0" w:color="auto"/>
        <w:bottom w:val="none" w:sz="0" w:space="0" w:color="auto"/>
        <w:right w:val="none" w:sz="0" w:space="0" w:color="auto"/>
      </w:divBdr>
    </w:div>
    <w:div w:id="444465267">
      <w:bodyDiv w:val="1"/>
      <w:marLeft w:val="0"/>
      <w:marRight w:val="0"/>
      <w:marTop w:val="0"/>
      <w:marBottom w:val="0"/>
      <w:divBdr>
        <w:top w:val="none" w:sz="0" w:space="0" w:color="auto"/>
        <w:left w:val="none" w:sz="0" w:space="0" w:color="auto"/>
        <w:bottom w:val="none" w:sz="0" w:space="0" w:color="auto"/>
        <w:right w:val="none" w:sz="0" w:space="0" w:color="auto"/>
      </w:divBdr>
    </w:div>
    <w:div w:id="444858738">
      <w:bodyDiv w:val="1"/>
      <w:marLeft w:val="0"/>
      <w:marRight w:val="0"/>
      <w:marTop w:val="0"/>
      <w:marBottom w:val="0"/>
      <w:divBdr>
        <w:top w:val="none" w:sz="0" w:space="0" w:color="auto"/>
        <w:left w:val="none" w:sz="0" w:space="0" w:color="auto"/>
        <w:bottom w:val="none" w:sz="0" w:space="0" w:color="auto"/>
        <w:right w:val="none" w:sz="0" w:space="0" w:color="auto"/>
      </w:divBdr>
    </w:div>
    <w:div w:id="446169210">
      <w:bodyDiv w:val="1"/>
      <w:marLeft w:val="0"/>
      <w:marRight w:val="0"/>
      <w:marTop w:val="0"/>
      <w:marBottom w:val="0"/>
      <w:divBdr>
        <w:top w:val="none" w:sz="0" w:space="0" w:color="auto"/>
        <w:left w:val="none" w:sz="0" w:space="0" w:color="auto"/>
        <w:bottom w:val="none" w:sz="0" w:space="0" w:color="auto"/>
        <w:right w:val="none" w:sz="0" w:space="0" w:color="auto"/>
      </w:divBdr>
    </w:div>
    <w:div w:id="459038921">
      <w:bodyDiv w:val="1"/>
      <w:marLeft w:val="0"/>
      <w:marRight w:val="0"/>
      <w:marTop w:val="0"/>
      <w:marBottom w:val="0"/>
      <w:divBdr>
        <w:top w:val="none" w:sz="0" w:space="0" w:color="auto"/>
        <w:left w:val="none" w:sz="0" w:space="0" w:color="auto"/>
        <w:bottom w:val="none" w:sz="0" w:space="0" w:color="auto"/>
        <w:right w:val="none" w:sz="0" w:space="0" w:color="auto"/>
      </w:divBdr>
    </w:div>
    <w:div w:id="461846730">
      <w:bodyDiv w:val="1"/>
      <w:marLeft w:val="0"/>
      <w:marRight w:val="0"/>
      <w:marTop w:val="0"/>
      <w:marBottom w:val="0"/>
      <w:divBdr>
        <w:top w:val="none" w:sz="0" w:space="0" w:color="auto"/>
        <w:left w:val="none" w:sz="0" w:space="0" w:color="auto"/>
        <w:bottom w:val="none" w:sz="0" w:space="0" w:color="auto"/>
        <w:right w:val="none" w:sz="0" w:space="0" w:color="auto"/>
      </w:divBdr>
    </w:div>
    <w:div w:id="461847128">
      <w:bodyDiv w:val="1"/>
      <w:marLeft w:val="0"/>
      <w:marRight w:val="0"/>
      <w:marTop w:val="0"/>
      <w:marBottom w:val="0"/>
      <w:divBdr>
        <w:top w:val="none" w:sz="0" w:space="0" w:color="auto"/>
        <w:left w:val="none" w:sz="0" w:space="0" w:color="auto"/>
        <w:bottom w:val="none" w:sz="0" w:space="0" w:color="auto"/>
        <w:right w:val="none" w:sz="0" w:space="0" w:color="auto"/>
      </w:divBdr>
    </w:div>
    <w:div w:id="463887725">
      <w:bodyDiv w:val="1"/>
      <w:marLeft w:val="0"/>
      <w:marRight w:val="0"/>
      <w:marTop w:val="0"/>
      <w:marBottom w:val="0"/>
      <w:divBdr>
        <w:top w:val="none" w:sz="0" w:space="0" w:color="auto"/>
        <w:left w:val="none" w:sz="0" w:space="0" w:color="auto"/>
        <w:bottom w:val="none" w:sz="0" w:space="0" w:color="auto"/>
        <w:right w:val="none" w:sz="0" w:space="0" w:color="auto"/>
      </w:divBdr>
    </w:div>
    <w:div w:id="470945194">
      <w:bodyDiv w:val="1"/>
      <w:marLeft w:val="0"/>
      <w:marRight w:val="0"/>
      <w:marTop w:val="0"/>
      <w:marBottom w:val="0"/>
      <w:divBdr>
        <w:top w:val="none" w:sz="0" w:space="0" w:color="auto"/>
        <w:left w:val="none" w:sz="0" w:space="0" w:color="auto"/>
        <w:bottom w:val="none" w:sz="0" w:space="0" w:color="auto"/>
        <w:right w:val="none" w:sz="0" w:space="0" w:color="auto"/>
      </w:divBdr>
    </w:div>
    <w:div w:id="471675778">
      <w:bodyDiv w:val="1"/>
      <w:marLeft w:val="0"/>
      <w:marRight w:val="0"/>
      <w:marTop w:val="0"/>
      <w:marBottom w:val="0"/>
      <w:divBdr>
        <w:top w:val="none" w:sz="0" w:space="0" w:color="auto"/>
        <w:left w:val="none" w:sz="0" w:space="0" w:color="auto"/>
        <w:bottom w:val="none" w:sz="0" w:space="0" w:color="auto"/>
        <w:right w:val="none" w:sz="0" w:space="0" w:color="auto"/>
      </w:divBdr>
    </w:div>
    <w:div w:id="474953983">
      <w:bodyDiv w:val="1"/>
      <w:marLeft w:val="0"/>
      <w:marRight w:val="0"/>
      <w:marTop w:val="0"/>
      <w:marBottom w:val="0"/>
      <w:divBdr>
        <w:top w:val="none" w:sz="0" w:space="0" w:color="auto"/>
        <w:left w:val="none" w:sz="0" w:space="0" w:color="auto"/>
        <w:bottom w:val="none" w:sz="0" w:space="0" w:color="auto"/>
        <w:right w:val="none" w:sz="0" w:space="0" w:color="auto"/>
      </w:divBdr>
    </w:div>
    <w:div w:id="475803498">
      <w:bodyDiv w:val="1"/>
      <w:marLeft w:val="0"/>
      <w:marRight w:val="0"/>
      <w:marTop w:val="0"/>
      <w:marBottom w:val="0"/>
      <w:divBdr>
        <w:top w:val="none" w:sz="0" w:space="0" w:color="auto"/>
        <w:left w:val="none" w:sz="0" w:space="0" w:color="auto"/>
        <w:bottom w:val="none" w:sz="0" w:space="0" w:color="auto"/>
        <w:right w:val="none" w:sz="0" w:space="0" w:color="auto"/>
      </w:divBdr>
    </w:div>
    <w:div w:id="480541105">
      <w:bodyDiv w:val="1"/>
      <w:marLeft w:val="0"/>
      <w:marRight w:val="0"/>
      <w:marTop w:val="0"/>
      <w:marBottom w:val="0"/>
      <w:divBdr>
        <w:top w:val="none" w:sz="0" w:space="0" w:color="auto"/>
        <w:left w:val="none" w:sz="0" w:space="0" w:color="auto"/>
        <w:bottom w:val="none" w:sz="0" w:space="0" w:color="auto"/>
        <w:right w:val="none" w:sz="0" w:space="0" w:color="auto"/>
      </w:divBdr>
    </w:div>
    <w:div w:id="486557921">
      <w:bodyDiv w:val="1"/>
      <w:marLeft w:val="0"/>
      <w:marRight w:val="0"/>
      <w:marTop w:val="0"/>
      <w:marBottom w:val="0"/>
      <w:divBdr>
        <w:top w:val="none" w:sz="0" w:space="0" w:color="auto"/>
        <w:left w:val="none" w:sz="0" w:space="0" w:color="auto"/>
        <w:bottom w:val="none" w:sz="0" w:space="0" w:color="auto"/>
        <w:right w:val="none" w:sz="0" w:space="0" w:color="auto"/>
      </w:divBdr>
    </w:div>
    <w:div w:id="489369291">
      <w:bodyDiv w:val="1"/>
      <w:marLeft w:val="0"/>
      <w:marRight w:val="0"/>
      <w:marTop w:val="0"/>
      <w:marBottom w:val="0"/>
      <w:divBdr>
        <w:top w:val="none" w:sz="0" w:space="0" w:color="auto"/>
        <w:left w:val="none" w:sz="0" w:space="0" w:color="auto"/>
        <w:bottom w:val="none" w:sz="0" w:space="0" w:color="auto"/>
        <w:right w:val="none" w:sz="0" w:space="0" w:color="auto"/>
      </w:divBdr>
    </w:div>
    <w:div w:id="489636213">
      <w:bodyDiv w:val="1"/>
      <w:marLeft w:val="0"/>
      <w:marRight w:val="0"/>
      <w:marTop w:val="0"/>
      <w:marBottom w:val="0"/>
      <w:divBdr>
        <w:top w:val="none" w:sz="0" w:space="0" w:color="auto"/>
        <w:left w:val="none" w:sz="0" w:space="0" w:color="auto"/>
        <w:bottom w:val="none" w:sz="0" w:space="0" w:color="auto"/>
        <w:right w:val="none" w:sz="0" w:space="0" w:color="auto"/>
      </w:divBdr>
    </w:div>
    <w:div w:id="491407879">
      <w:bodyDiv w:val="1"/>
      <w:marLeft w:val="0"/>
      <w:marRight w:val="0"/>
      <w:marTop w:val="0"/>
      <w:marBottom w:val="0"/>
      <w:divBdr>
        <w:top w:val="none" w:sz="0" w:space="0" w:color="auto"/>
        <w:left w:val="none" w:sz="0" w:space="0" w:color="auto"/>
        <w:bottom w:val="none" w:sz="0" w:space="0" w:color="auto"/>
        <w:right w:val="none" w:sz="0" w:space="0" w:color="auto"/>
      </w:divBdr>
    </w:div>
    <w:div w:id="491876015">
      <w:bodyDiv w:val="1"/>
      <w:marLeft w:val="0"/>
      <w:marRight w:val="0"/>
      <w:marTop w:val="0"/>
      <w:marBottom w:val="0"/>
      <w:divBdr>
        <w:top w:val="none" w:sz="0" w:space="0" w:color="auto"/>
        <w:left w:val="none" w:sz="0" w:space="0" w:color="auto"/>
        <w:bottom w:val="none" w:sz="0" w:space="0" w:color="auto"/>
        <w:right w:val="none" w:sz="0" w:space="0" w:color="auto"/>
      </w:divBdr>
    </w:div>
    <w:div w:id="492838783">
      <w:bodyDiv w:val="1"/>
      <w:marLeft w:val="0"/>
      <w:marRight w:val="0"/>
      <w:marTop w:val="0"/>
      <w:marBottom w:val="0"/>
      <w:divBdr>
        <w:top w:val="none" w:sz="0" w:space="0" w:color="auto"/>
        <w:left w:val="none" w:sz="0" w:space="0" w:color="auto"/>
        <w:bottom w:val="none" w:sz="0" w:space="0" w:color="auto"/>
        <w:right w:val="none" w:sz="0" w:space="0" w:color="auto"/>
      </w:divBdr>
    </w:div>
    <w:div w:id="493643000">
      <w:bodyDiv w:val="1"/>
      <w:marLeft w:val="0"/>
      <w:marRight w:val="0"/>
      <w:marTop w:val="0"/>
      <w:marBottom w:val="0"/>
      <w:divBdr>
        <w:top w:val="none" w:sz="0" w:space="0" w:color="auto"/>
        <w:left w:val="none" w:sz="0" w:space="0" w:color="auto"/>
        <w:bottom w:val="none" w:sz="0" w:space="0" w:color="auto"/>
        <w:right w:val="none" w:sz="0" w:space="0" w:color="auto"/>
      </w:divBdr>
    </w:div>
    <w:div w:id="503013675">
      <w:bodyDiv w:val="1"/>
      <w:marLeft w:val="0"/>
      <w:marRight w:val="0"/>
      <w:marTop w:val="0"/>
      <w:marBottom w:val="0"/>
      <w:divBdr>
        <w:top w:val="none" w:sz="0" w:space="0" w:color="auto"/>
        <w:left w:val="none" w:sz="0" w:space="0" w:color="auto"/>
        <w:bottom w:val="none" w:sz="0" w:space="0" w:color="auto"/>
        <w:right w:val="none" w:sz="0" w:space="0" w:color="auto"/>
      </w:divBdr>
    </w:div>
    <w:div w:id="507334774">
      <w:bodyDiv w:val="1"/>
      <w:marLeft w:val="0"/>
      <w:marRight w:val="0"/>
      <w:marTop w:val="0"/>
      <w:marBottom w:val="0"/>
      <w:divBdr>
        <w:top w:val="none" w:sz="0" w:space="0" w:color="auto"/>
        <w:left w:val="none" w:sz="0" w:space="0" w:color="auto"/>
        <w:bottom w:val="none" w:sz="0" w:space="0" w:color="auto"/>
        <w:right w:val="none" w:sz="0" w:space="0" w:color="auto"/>
      </w:divBdr>
    </w:div>
    <w:div w:id="508451801">
      <w:bodyDiv w:val="1"/>
      <w:marLeft w:val="0"/>
      <w:marRight w:val="0"/>
      <w:marTop w:val="0"/>
      <w:marBottom w:val="0"/>
      <w:divBdr>
        <w:top w:val="none" w:sz="0" w:space="0" w:color="auto"/>
        <w:left w:val="none" w:sz="0" w:space="0" w:color="auto"/>
        <w:bottom w:val="none" w:sz="0" w:space="0" w:color="auto"/>
        <w:right w:val="none" w:sz="0" w:space="0" w:color="auto"/>
      </w:divBdr>
    </w:div>
    <w:div w:id="508758478">
      <w:bodyDiv w:val="1"/>
      <w:marLeft w:val="0"/>
      <w:marRight w:val="0"/>
      <w:marTop w:val="0"/>
      <w:marBottom w:val="0"/>
      <w:divBdr>
        <w:top w:val="none" w:sz="0" w:space="0" w:color="auto"/>
        <w:left w:val="none" w:sz="0" w:space="0" w:color="auto"/>
        <w:bottom w:val="none" w:sz="0" w:space="0" w:color="auto"/>
        <w:right w:val="none" w:sz="0" w:space="0" w:color="auto"/>
      </w:divBdr>
    </w:div>
    <w:div w:id="521432719">
      <w:bodyDiv w:val="1"/>
      <w:marLeft w:val="0"/>
      <w:marRight w:val="0"/>
      <w:marTop w:val="0"/>
      <w:marBottom w:val="0"/>
      <w:divBdr>
        <w:top w:val="none" w:sz="0" w:space="0" w:color="auto"/>
        <w:left w:val="none" w:sz="0" w:space="0" w:color="auto"/>
        <w:bottom w:val="none" w:sz="0" w:space="0" w:color="auto"/>
        <w:right w:val="none" w:sz="0" w:space="0" w:color="auto"/>
      </w:divBdr>
    </w:div>
    <w:div w:id="529220831">
      <w:bodyDiv w:val="1"/>
      <w:marLeft w:val="0"/>
      <w:marRight w:val="0"/>
      <w:marTop w:val="0"/>
      <w:marBottom w:val="0"/>
      <w:divBdr>
        <w:top w:val="none" w:sz="0" w:space="0" w:color="auto"/>
        <w:left w:val="none" w:sz="0" w:space="0" w:color="auto"/>
        <w:bottom w:val="none" w:sz="0" w:space="0" w:color="auto"/>
        <w:right w:val="none" w:sz="0" w:space="0" w:color="auto"/>
      </w:divBdr>
    </w:div>
    <w:div w:id="531722430">
      <w:bodyDiv w:val="1"/>
      <w:marLeft w:val="0"/>
      <w:marRight w:val="0"/>
      <w:marTop w:val="0"/>
      <w:marBottom w:val="0"/>
      <w:divBdr>
        <w:top w:val="none" w:sz="0" w:space="0" w:color="auto"/>
        <w:left w:val="none" w:sz="0" w:space="0" w:color="auto"/>
        <w:bottom w:val="none" w:sz="0" w:space="0" w:color="auto"/>
        <w:right w:val="none" w:sz="0" w:space="0" w:color="auto"/>
      </w:divBdr>
    </w:div>
    <w:div w:id="533663386">
      <w:bodyDiv w:val="1"/>
      <w:marLeft w:val="0"/>
      <w:marRight w:val="0"/>
      <w:marTop w:val="0"/>
      <w:marBottom w:val="0"/>
      <w:divBdr>
        <w:top w:val="none" w:sz="0" w:space="0" w:color="auto"/>
        <w:left w:val="none" w:sz="0" w:space="0" w:color="auto"/>
        <w:bottom w:val="none" w:sz="0" w:space="0" w:color="auto"/>
        <w:right w:val="none" w:sz="0" w:space="0" w:color="auto"/>
      </w:divBdr>
    </w:div>
    <w:div w:id="545412101">
      <w:bodyDiv w:val="1"/>
      <w:marLeft w:val="0"/>
      <w:marRight w:val="0"/>
      <w:marTop w:val="0"/>
      <w:marBottom w:val="0"/>
      <w:divBdr>
        <w:top w:val="none" w:sz="0" w:space="0" w:color="auto"/>
        <w:left w:val="none" w:sz="0" w:space="0" w:color="auto"/>
        <w:bottom w:val="none" w:sz="0" w:space="0" w:color="auto"/>
        <w:right w:val="none" w:sz="0" w:space="0" w:color="auto"/>
      </w:divBdr>
    </w:div>
    <w:div w:id="546379442">
      <w:bodyDiv w:val="1"/>
      <w:marLeft w:val="0"/>
      <w:marRight w:val="0"/>
      <w:marTop w:val="0"/>
      <w:marBottom w:val="0"/>
      <w:divBdr>
        <w:top w:val="none" w:sz="0" w:space="0" w:color="auto"/>
        <w:left w:val="none" w:sz="0" w:space="0" w:color="auto"/>
        <w:bottom w:val="none" w:sz="0" w:space="0" w:color="auto"/>
        <w:right w:val="none" w:sz="0" w:space="0" w:color="auto"/>
      </w:divBdr>
    </w:div>
    <w:div w:id="548541739">
      <w:bodyDiv w:val="1"/>
      <w:marLeft w:val="0"/>
      <w:marRight w:val="0"/>
      <w:marTop w:val="0"/>
      <w:marBottom w:val="0"/>
      <w:divBdr>
        <w:top w:val="none" w:sz="0" w:space="0" w:color="auto"/>
        <w:left w:val="none" w:sz="0" w:space="0" w:color="auto"/>
        <w:bottom w:val="none" w:sz="0" w:space="0" w:color="auto"/>
        <w:right w:val="none" w:sz="0" w:space="0" w:color="auto"/>
      </w:divBdr>
    </w:div>
    <w:div w:id="552697834">
      <w:bodyDiv w:val="1"/>
      <w:marLeft w:val="0"/>
      <w:marRight w:val="0"/>
      <w:marTop w:val="0"/>
      <w:marBottom w:val="0"/>
      <w:divBdr>
        <w:top w:val="none" w:sz="0" w:space="0" w:color="auto"/>
        <w:left w:val="none" w:sz="0" w:space="0" w:color="auto"/>
        <w:bottom w:val="none" w:sz="0" w:space="0" w:color="auto"/>
        <w:right w:val="none" w:sz="0" w:space="0" w:color="auto"/>
      </w:divBdr>
    </w:div>
    <w:div w:id="553085392">
      <w:bodyDiv w:val="1"/>
      <w:marLeft w:val="0"/>
      <w:marRight w:val="0"/>
      <w:marTop w:val="0"/>
      <w:marBottom w:val="0"/>
      <w:divBdr>
        <w:top w:val="none" w:sz="0" w:space="0" w:color="auto"/>
        <w:left w:val="none" w:sz="0" w:space="0" w:color="auto"/>
        <w:bottom w:val="none" w:sz="0" w:space="0" w:color="auto"/>
        <w:right w:val="none" w:sz="0" w:space="0" w:color="auto"/>
      </w:divBdr>
    </w:div>
    <w:div w:id="559679807">
      <w:bodyDiv w:val="1"/>
      <w:marLeft w:val="0"/>
      <w:marRight w:val="0"/>
      <w:marTop w:val="0"/>
      <w:marBottom w:val="0"/>
      <w:divBdr>
        <w:top w:val="none" w:sz="0" w:space="0" w:color="auto"/>
        <w:left w:val="none" w:sz="0" w:space="0" w:color="auto"/>
        <w:bottom w:val="none" w:sz="0" w:space="0" w:color="auto"/>
        <w:right w:val="none" w:sz="0" w:space="0" w:color="auto"/>
      </w:divBdr>
    </w:div>
    <w:div w:id="561528448">
      <w:bodyDiv w:val="1"/>
      <w:marLeft w:val="0"/>
      <w:marRight w:val="0"/>
      <w:marTop w:val="0"/>
      <w:marBottom w:val="0"/>
      <w:divBdr>
        <w:top w:val="none" w:sz="0" w:space="0" w:color="auto"/>
        <w:left w:val="none" w:sz="0" w:space="0" w:color="auto"/>
        <w:bottom w:val="none" w:sz="0" w:space="0" w:color="auto"/>
        <w:right w:val="none" w:sz="0" w:space="0" w:color="auto"/>
      </w:divBdr>
    </w:div>
    <w:div w:id="562957947">
      <w:bodyDiv w:val="1"/>
      <w:marLeft w:val="0"/>
      <w:marRight w:val="0"/>
      <w:marTop w:val="0"/>
      <w:marBottom w:val="0"/>
      <w:divBdr>
        <w:top w:val="none" w:sz="0" w:space="0" w:color="auto"/>
        <w:left w:val="none" w:sz="0" w:space="0" w:color="auto"/>
        <w:bottom w:val="none" w:sz="0" w:space="0" w:color="auto"/>
        <w:right w:val="none" w:sz="0" w:space="0" w:color="auto"/>
      </w:divBdr>
    </w:div>
    <w:div w:id="564221871">
      <w:bodyDiv w:val="1"/>
      <w:marLeft w:val="0"/>
      <w:marRight w:val="0"/>
      <w:marTop w:val="0"/>
      <w:marBottom w:val="0"/>
      <w:divBdr>
        <w:top w:val="none" w:sz="0" w:space="0" w:color="auto"/>
        <w:left w:val="none" w:sz="0" w:space="0" w:color="auto"/>
        <w:bottom w:val="none" w:sz="0" w:space="0" w:color="auto"/>
        <w:right w:val="none" w:sz="0" w:space="0" w:color="auto"/>
      </w:divBdr>
    </w:div>
    <w:div w:id="565453343">
      <w:bodyDiv w:val="1"/>
      <w:marLeft w:val="0"/>
      <w:marRight w:val="0"/>
      <w:marTop w:val="0"/>
      <w:marBottom w:val="0"/>
      <w:divBdr>
        <w:top w:val="none" w:sz="0" w:space="0" w:color="auto"/>
        <w:left w:val="none" w:sz="0" w:space="0" w:color="auto"/>
        <w:bottom w:val="none" w:sz="0" w:space="0" w:color="auto"/>
        <w:right w:val="none" w:sz="0" w:space="0" w:color="auto"/>
      </w:divBdr>
    </w:div>
    <w:div w:id="566231785">
      <w:bodyDiv w:val="1"/>
      <w:marLeft w:val="0"/>
      <w:marRight w:val="0"/>
      <w:marTop w:val="0"/>
      <w:marBottom w:val="0"/>
      <w:divBdr>
        <w:top w:val="none" w:sz="0" w:space="0" w:color="auto"/>
        <w:left w:val="none" w:sz="0" w:space="0" w:color="auto"/>
        <w:bottom w:val="none" w:sz="0" w:space="0" w:color="auto"/>
        <w:right w:val="none" w:sz="0" w:space="0" w:color="auto"/>
      </w:divBdr>
    </w:div>
    <w:div w:id="573585139">
      <w:bodyDiv w:val="1"/>
      <w:marLeft w:val="0"/>
      <w:marRight w:val="0"/>
      <w:marTop w:val="0"/>
      <w:marBottom w:val="0"/>
      <w:divBdr>
        <w:top w:val="none" w:sz="0" w:space="0" w:color="auto"/>
        <w:left w:val="none" w:sz="0" w:space="0" w:color="auto"/>
        <w:bottom w:val="none" w:sz="0" w:space="0" w:color="auto"/>
        <w:right w:val="none" w:sz="0" w:space="0" w:color="auto"/>
      </w:divBdr>
    </w:div>
    <w:div w:id="574510156">
      <w:bodyDiv w:val="1"/>
      <w:marLeft w:val="0"/>
      <w:marRight w:val="0"/>
      <w:marTop w:val="0"/>
      <w:marBottom w:val="0"/>
      <w:divBdr>
        <w:top w:val="none" w:sz="0" w:space="0" w:color="auto"/>
        <w:left w:val="none" w:sz="0" w:space="0" w:color="auto"/>
        <w:bottom w:val="none" w:sz="0" w:space="0" w:color="auto"/>
        <w:right w:val="none" w:sz="0" w:space="0" w:color="auto"/>
      </w:divBdr>
    </w:div>
    <w:div w:id="576213571">
      <w:bodyDiv w:val="1"/>
      <w:marLeft w:val="0"/>
      <w:marRight w:val="0"/>
      <w:marTop w:val="0"/>
      <w:marBottom w:val="0"/>
      <w:divBdr>
        <w:top w:val="none" w:sz="0" w:space="0" w:color="auto"/>
        <w:left w:val="none" w:sz="0" w:space="0" w:color="auto"/>
        <w:bottom w:val="none" w:sz="0" w:space="0" w:color="auto"/>
        <w:right w:val="none" w:sz="0" w:space="0" w:color="auto"/>
      </w:divBdr>
    </w:div>
    <w:div w:id="578254845">
      <w:bodyDiv w:val="1"/>
      <w:marLeft w:val="0"/>
      <w:marRight w:val="0"/>
      <w:marTop w:val="0"/>
      <w:marBottom w:val="0"/>
      <w:divBdr>
        <w:top w:val="none" w:sz="0" w:space="0" w:color="auto"/>
        <w:left w:val="none" w:sz="0" w:space="0" w:color="auto"/>
        <w:bottom w:val="none" w:sz="0" w:space="0" w:color="auto"/>
        <w:right w:val="none" w:sz="0" w:space="0" w:color="auto"/>
      </w:divBdr>
    </w:div>
    <w:div w:id="580600588">
      <w:bodyDiv w:val="1"/>
      <w:marLeft w:val="0"/>
      <w:marRight w:val="0"/>
      <w:marTop w:val="0"/>
      <w:marBottom w:val="0"/>
      <w:divBdr>
        <w:top w:val="none" w:sz="0" w:space="0" w:color="auto"/>
        <w:left w:val="none" w:sz="0" w:space="0" w:color="auto"/>
        <w:bottom w:val="none" w:sz="0" w:space="0" w:color="auto"/>
        <w:right w:val="none" w:sz="0" w:space="0" w:color="auto"/>
      </w:divBdr>
    </w:div>
    <w:div w:id="580605353">
      <w:bodyDiv w:val="1"/>
      <w:marLeft w:val="0"/>
      <w:marRight w:val="0"/>
      <w:marTop w:val="0"/>
      <w:marBottom w:val="0"/>
      <w:divBdr>
        <w:top w:val="none" w:sz="0" w:space="0" w:color="auto"/>
        <w:left w:val="none" w:sz="0" w:space="0" w:color="auto"/>
        <w:bottom w:val="none" w:sz="0" w:space="0" w:color="auto"/>
        <w:right w:val="none" w:sz="0" w:space="0" w:color="auto"/>
      </w:divBdr>
    </w:div>
    <w:div w:id="587806375">
      <w:bodyDiv w:val="1"/>
      <w:marLeft w:val="0"/>
      <w:marRight w:val="0"/>
      <w:marTop w:val="0"/>
      <w:marBottom w:val="0"/>
      <w:divBdr>
        <w:top w:val="none" w:sz="0" w:space="0" w:color="auto"/>
        <w:left w:val="none" w:sz="0" w:space="0" w:color="auto"/>
        <w:bottom w:val="none" w:sz="0" w:space="0" w:color="auto"/>
        <w:right w:val="none" w:sz="0" w:space="0" w:color="auto"/>
      </w:divBdr>
    </w:div>
    <w:div w:id="587809601">
      <w:bodyDiv w:val="1"/>
      <w:marLeft w:val="0"/>
      <w:marRight w:val="0"/>
      <w:marTop w:val="0"/>
      <w:marBottom w:val="0"/>
      <w:divBdr>
        <w:top w:val="none" w:sz="0" w:space="0" w:color="auto"/>
        <w:left w:val="none" w:sz="0" w:space="0" w:color="auto"/>
        <w:bottom w:val="none" w:sz="0" w:space="0" w:color="auto"/>
        <w:right w:val="none" w:sz="0" w:space="0" w:color="auto"/>
      </w:divBdr>
    </w:div>
    <w:div w:id="590940201">
      <w:bodyDiv w:val="1"/>
      <w:marLeft w:val="0"/>
      <w:marRight w:val="0"/>
      <w:marTop w:val="0"/>
      <w:marBottom w:val="0"/>
      <w:divBdr>
        <w:top w:val="none" w:sz="0" w:space="0" w:color="auto"/>
        <w:left w:val="none" w:sz="0" w:space="0" w:color="auto"/>
        <w:bottom w:val="none" w:sz="0" w:space="0" w:color="auto"/>
        <w:right w:val="none" w:sz="0" w:space="0" w:color="auto"/>
      </w:divBdr>
    </w:div>
    <w:div w:id="599143371">
      <w:bodyDiv w:val="1"/>
      <w:marLeft w:val="0"/>
      <w:marRight w:val="0"/>
      <w:marTop w:val="0"/>
      <w:marBottom w:val="0"/>
      <w:divBdr>
        <w:top w:val="none" w:sz="0" w:space="0" w:color="auto"/>
        <w:left w:val="none" w:sz="0" w:space="0" w:color="auto"/>
        <w:bottom w:val="none" w:sz="0" w:space="0" w:color="auto"/>
        <w:right w:val="none" w:sz="0" w:space="0" w:color="auto"/>
      </w:divBdr>
    </w:div>
    <w:div w:id="600450681">
      <w:bodyDiv w:val="1"/>
      <w:marLeft w:val="0"/>
      <w:marRight w:val="0"/>
      <w:marTop w:val="0"/>
      <w:marBottom w:val="0"/>
      <w:divBdr>
        <w:top w:val="none" w:sz="0" w:space="0" w:color="auto"/>
        <w:left w:val="none" w:sz="0" w:space="0" w:color="auto"/>
        <w:bottom w:val="none" w:sz="0" w:space="0" w:color="auto"/>
        <w:right w:val="none" w:sz="0" w:space="0" w:color="auto"/>
      </w:divBdr>
    </w:div>
    <w:div w:id="603611408">
      <w:bodyDiv w:val="1"/>
      <w:marLeft w:val="0"/>
      <w:marRight w:val="0"/>
      <w:marTop w:val="0"/>
      <w:marBottom w:val="0"/>
      <w:divBdr>
        <w:top w:val="none" w:sz="0" w:space="0" w:color="auto"/>
        <w:left w:val="none" w:sz="0" w:space="0" w:color="auto"/>
        <w:bottom w:val="none" w:sz="0" w:space="0" w:color="auto"/>
        <w:right w:val="none" w:sz="0" w:space="0" w:color="auto"/>
      </w:divBdr>
    </w:div>
    <w:div w:id="610212047">
      <w:bodyDiv w:val="1"/>
      <w:marLeft w:val="0"/>
      <w:marRight w:val="0"/>
      <w:marTop w:val="0"/>
      <w:marBottom w:val="0"/>
      <w:divBdr>
        <w:top w:val="none" w:sz="0" w:space="0" w:color="auto"/>
        <w:left w:val="none" w:sz="0" w:space="0" w:color="auto"/>
        <w:bottom w:val="none" w:sz="0" w:space="0" w:color="auto"/>
        <w:right w:val="none" w:sz="0" w:space="0" w:color="auto"/>
      </w:divBdr>
    </w:div>
    <w:div w:id="611596952">
      <w:bodyDiv w:val="1"/>
      <w:marLeft w:val="0"/>
      <w:marRight w:val="0"/>
      <w:marTop w:val="0"/>
      <w:marBottom w:val="0"/>
      <w:divBdr>
        <w:top w:val="none" w:sz="0" w:space="0" w:color="auto"/>
        <w:left w:val="none" w:sz="0" w:space="0" w:color="auto"/>
        <w:bottom w:val="none" w:sz="0" w:space="0" w:color="auto"/>
        <w:right w:val="none" w:sz="0" w:space="0" w:color="auto"/>
      </w:divBdr>
    </w:div>
    <w:div w:id="613633258">
      <w:bodyDiv w:val="1"/>
      <w:marLeft w:val="0"/>
      <w:marRight w:val="0"/>
      <w:marTop w:val="0"/>
      <w:marBottom w:val="0"/>
      <w:divBdr>
        <w:top w:val="none" w:sz="0" w:space="0" w:color="auto"/>
        <w:left w:val="none" w:sz="0" w:space="0" w:color="auto"/>
        <w:bottom w:val="none" w:sz="0" w:space="0" w:color="auto"/>
        <w:right w:val="none" w:sz="0" w:space="0" w:color="auto"/>
      </w:divBdr>
    </w:div>
    <w:div w:id="613947128">
      <w:bodyDiv w:val="1"/>
      <w:marLeft w:val="0"/>
      <w:marRight w:val="0"/>
      <w:marTop w:val="0"/>
      <w:marBottom w:val="0"/>
      <w:divBdr>
        <w:top w:val="none" w:sz="0" w:space="0" w:color="auto"/>
        <w:left w:val="none" w:sz="0" w:space="0" w:color="auto"/>
        <w:bottom w:val="none" w:sz="0" w:space="0" w:color="auto"/>
        <w:right w:val="none" w:sz="0" w:space="0" w:color="auto"/>
      </w:divBdr>
    </w:div>
    <w:div w:id="614219792">
      <w:bodyDiv w:val="1"/>
      <w:marLeft w:val="0"/>
      <w:marRight w:val="0"/>
      <w:marTop w:val="0"/>
      <w:marBottom w:val="0"/>
      <w:divBdr>
        <w:top w:val="none" w:sz="0" w:space="0" w:color="auto"/>
        <w:left w:val="none" w:sz="0" w:space="0" w:color="auto"/>
        <w:bottom w:val="none" w:sz="0" w:space="0" w:color="auto"/>
        <w:right w:val="none" w:sz="0" w:space="0" w:color="auto"/>
      </w:divBdr>
    </w:div>
    <w:div w:id="618341054">
      <w:bodyDiv w:val="1"/>
      <w:marLeft w:val="0"/>
      <w:marRight w:val="0"/>
      <w:marTop w:val="0"/>
      <w:marBottom w:val="0"/>
      <w:divBdr>
        <w:top w:val="none" w:sz="0" w:space="0" w:color="auto"/>
        <w:left w:val="none" w:sz="0" w:space="0" w:color="auto"/>
        <w:bottom w:val="none" w:sz="0" w:space="0" w:color="auto"/>
        <w:right w:val="none" w:sz="0" w:space="0" w:color="auto"/>
      </w:divBdr>
      <w:divsChild>
        <w:div w:id="719018065">
          <w:marLeft w:val="480"/>
          <w:marRight w:val="0"/>
          <w:marTop w:val="0"/>
          <w:marBottom w:val="0"/>
          <w:divBdr>
            <w:top w:val="none" w:sz="0" w:space="0" w:color="auto"/>
            <w:left w:val="none" w:sz="0" w:space="0" w:color="auto"/>
            <w:bottom w:val="none" w:sz="0" w:space="0" w:color="auto"/>
            <w:right w:val="none" w:sz="0" w:space="0" w:color="auto"/>
          </w:divBdr>
        </w:div>
        <w:div w:id="965888485">
          <w:marLeft w:val="480"/>
          <w:marRight w:val="0"/>
          <w:marTop w:val="0"/>
          <w:marBottom w:val="0"/>
          <w:divBdr>
            <w:top w:val="none" w:sz="0" w:space="0" w:color="auto"/>
            <w:left w:val="none" w:sz="0" w:space="0" w:color="auto"/>
            <w:bottom w:val="none" w:sz="0" w:space="0" w:color="auto"/>
            <w:right w:val="none" w:sz="0" w:space="0" w:color="auto"/>
          </w:divBdr>
        </w:div>
        <w:div w:id="2066219271">
          <w:marLeft w:val="480"/>
          <w:marRight w:val="0"/>
          <w:marTop w:val="0"/>
          <w:marBottom w:val="0"/>
          <w:divBdr>
            <w:top w:val="none" w:sz="0" w:space="0" w:color="auto"/>
            <w:left w:val="none" w:sz="0" w:space="0" w:color="auto"/>
            <w:bottom w:val="none" w:sz="0" w:space="0" w:color="auto"/>
            <w:right w:val="none" w:sz="0" w:space="0" w:color="auto"/>
          </w:divBdr>
        </w:div>
        <w:div w:id="75321015">
          <w:marLeft w:val="480"/>
          <w:marRight w:val="0"/>
          <w:marTop w:val="0"/>
          <w:marBottom w:val="0"/>
          <w:divBdr>
            <w:top w:val="none" w:sz="0" w:space="0" w:color="auto"/>
            <w:left w:val="none" w:sz="0" w:space="0" w:color="auto"/>
            <w:bottom w:val="none" w:sz="0" w:space="0" w:color="auto"/>
            <w:right w:val="none" w:sz="0" w:space="0" w:color="auto"/>
          </w:divBdr>
        </w:div>
        <w:div w:id="1584148212">
          <w:marLeft w:val="480"/>
          <w:marRight w:val="0"/>
          <w:marTop w:val="0"/>
          <w:marBottom w:val="0"/>
          <w:divBdr>
            <w:top w:val="none" w:sz="0" w:space="0" w:color="auto"/>
            <w:left w:val="none" w:sz="0" w:space="0" w:color="auto"/>
            <w:bottom w:val="none" w:sz="0" w:space="0" w:color="auto"/>
            <w:right w:val="none" w:sz="0" w:space="0" w:color="auto"/>
          </w:divBdr>
        </w:div>
        <w:div w:id="1735077643">
          <w:marLeft w:val="480"/>
          <w:marRight w:val="0"/>
          <w:marTop w:val="0"/>
          <w:marBottom w:val="0"/>
          <w:divBdr>
            <w:top w:val="none" w:sz="0" w:space="0" w:color="auto"/>
            <w:left w:val="none" w:sz="0" w:space="0" w:color="auto"/>
            <w:bottom w:val="none" w:sz="0" w:space="0" w:color="auto"/>
            <w:right w:val="none" w:sz="0" w:space="0" w:color="auto"/>
          </w:divBdr>
        </w:div>
        <w:div w:id="1158184395">
          <w:marLeft w:val="480"/>
          <w:marRight w:val="0"/>
          <w:marTop w:val="0"/>
          <w:marBottom w:val="0"/>
          <w:divBdr>
            <w:top w:val="none" w:sz="0" w:space="0" w:color="auto"/>
            <w:left w:val="none" w:sz="0" w:space="0" w:color="auto"/>
            <w:bottom w:val="none" w:sz="0" w:space="0" w:color="auto"/>
            <w:right w:val="none" w:sz="0" w:space="0" w:color="auto"/>
          </w:divBdr>
        </w:div>
        <w:div w:id="18707735">
          <w:marLeft w:val="480"/>
          <w:marRight w:val="0"/>
          <w:marTop w:val="0"/>
          <w:marBottom w:val="0"/>
          <w:divBdr>
            <w:top w:val="none" w:sz="0" w:space="0" w:color="auto"/>
            <w:left w:val="none" w:sz="0" w:space="0" w:color="auto"/>
            <w:bottom w:val="none" w:sz="0" w:space="0" w:color="auto"/>
            <w:right w:val="none" w:sz="0" w:space="0" w:color="auto"/>
          </w:divBdr>
        </w:div>
        <w:div w:id="810319477">
          <w:marLeft w:val="480"/>
          <w:marRight w:val="0"/>
          <w:marTop w:val="0"/>
          <w:marBottom w:val="0"/>
          <w:divBdr>
            <w:top w:val="none" w:sz="0" w:space="0" w:color="auto"/>
            <w:left w:val="none" w:sz="0" w:space="0" w:color="auto"/>
            <w:bottom w:val="none" w:sz="0" w:space="0" w:color="auto"/>
            <w:right w:val="none" w:sz="0" w:space="0" w:color="auto"/>
          </w:divBdr>
        </w:div>
        <w:div w:id="1057882">
          <w:marLeft w:val="480"/>
          <w:marRight w:val="0"/>
          <w:marTop w:val="0"/>
          <w:marBottom w:val="0"/>
          <w:divBdr>
            <w:top w:val="none" w:sz="0" w:space="0" w:color="auto"/>
            <w:left w:val="none" w:sz="0" w:space="0" w:color="auto"/>
            <w:bottom w:val="none" w:sz="0" w:space="0" w:color="auto"/>
            <w:right w:val="none" w:sz="0" w:space="0" w:color="auto"/>
          </w:divBdr>
        </w:div>
        <w:div w:id="544871610">
          <w:marLeft w:val="480"/>
          <w:marRight w:val="0"/>
          <w:marTop w:val="0"/>
          <w:marBottom w:val="0"/>
          <w:divBdr>
            <w:top w:val="none" w:sz="0" w:space="0" w:color="auto"/>
            <w:left w:val="none" w:sz="0" w:space="0" w:color="auto"/>
            <w:bottom w:val="none" w:sz="0" w:space="0" w:color="auto"/>
            <w:right w:val="none" w:sz="0" w:space="0" w:color="auto"/>
          </w:divBdr>
        </w:div>
        <w:div w:id="1054965581">
          <w:marLeft w:val="480"/>
          <w:marRight w:val="0"/>
          <w:marTop w:val="0"/>
          <w:marBottom w:val="0"/>
          <w:divBdr>
            <w:top w:val="none" w:sz="0" w:space="0" w:color="auto"/>
            <w:left w:val="none" w:sz="0" w:space="0" w:color="auto"/>
            <w:bottom w:val="none" w:sz="0" w:space="0" w:color="auto"/>
            <w:right w:val="none" w:sz="0" w:space="0" w:color="auto"/>
          </w:divBdr>
        </w:div>
        <w:div w:id="1587684601">
          <w:marLeft w:val="480"/>
          <w:marRight w:val="0"/>
          <w:marTop w:val="0"/>
          <w:marBottom w:val="0"/>
          <w:divBdr>
            <w:top w:val="none" w:sz="0" w:space="0" w:color="auto"/>
            <w:left w:val="none" w:sz="0" w:space="0" w:color="auto"/>
            <w:bottom w:val="none" w:sz="0" w:space="0" w:color="auto"/>
            <w:right w:val="none" w:sz="0" w:space="0" w:color="auto"/>
          </w:divBdr>
        </w:div>
        <w:div w:id="1894072133">
          <w:marLeft w:val="480"/>
          <w:marRight w:val="0"/>
          <w:marTop w:val="0"/>
          <w:marBottom w:val="0"/>
          <w:divBdr>
            <w:top w:val="none" w:sz="0" w:space="0" w:color="auto"/>
            <w:left w:val="none" w:sz="0" w:space="0" w:color="auto"/>
            <w:bottom w:val="none" w:sz="0" w:space="0" w:color="auto"/>
            <w:right w:val="none" w:sz="0" w:space="0" w:color="auto"/>
          </w:divBdr>
        </w:div>
        <w:div w:id="1499006605">
          <w:marLeft w:val="480"/>
          <w:marRight w:val="0"/>
          <w:marTop w:val="0"/>
          <w:marBottom w:val="0"/>
          <w:divBdr>
            <w:top w:val="none" w:sz="0" w:space="0" w:color="auto"/>
            <w:left w:val="none" w:sz="0" w:space="0" w:color="auto"/>
            <w:bottom w:val="none" w:sz="0" w:space="0" w:color="auto"/>
            <w:right w:val="none" w:sz="0" w:space="0" w:color="auto"/>
          </w:divBdr>
        </w:div>
        <w:div w:id="1282884130">
          <w:marLeft w:val="480"/>
          <w:marRight w:val="0"/>
          <w:marTop w:val="0"/>
          <w:marBottom w:val="0"/>
          <w:divBdr>
            <w:top w:val="none" w:sz="0" w:space="0" w:color="auto"/>
            <w:left w:val="none" w:sz="0" w:space="0" w:color="auto"/>
            <w:bottom w:val="none" w:sz="0" w:space="0" w:color="auto"/>
            <w:right w:val="none" w:sz="0" w:space="0" w:color="auto"/>
          </w:divBdr>
        </w:div>
        <w:div w:id="607467151">
          <w:marLeft w:val="480"/>
          <w:marRight w:val="0"/>
          <w:marTop w:val="0"/>
          <w:marBottom w:val="0"/>
          <w:divBdr>
            <w:top w:val="none" w:sz="0" w:space="0" w:color="auto"/>
            <w:left w:val="none" w:sz="0" w:space="0" w:color="auto"/>
            <w:bottom w:val="none" w:sz="0" w:space="0" w:color="auto"/>
            <w:right w:val="none" w:sz="0" w:space="0" w:color="auto"/>
          </w:divBdr>
        </w:div>
        <w:div w:id="560751566">
          <w:marLeft w:val="480"/>
          <w:marRight w:val="0"/>
          <w:marTop w:val="0"/>
          <w:marBottom w:val="0"/>
          <w:divBdr>
            <w:top w:val="none" w:sz="0" w:space="0" w:color="auto"/>
            <w:left w:val="none" w:sz="0" w:space="0" w:color="auto"/>
            <w:bottom w:val="none" w:sz="0" w:space="0" w:color="auto"/>
            <w:right w:val="none" w:sz="0" w:space="0" w:color="auto"/>
          </w:divBdr>
        </w:div>
        <w:div w:id="1926724802">
          <w:marLeft w:val="480"/>
          <w:marRight w:val="0"/>
          <w:marTop w:val="0"/>
          <w:marBottom w:val="0"/>
          <w:divBdr>
            <w:top w:val="none" w:sz="0" w:space="0" w:color="auto"/>
            <w:left w:val="none" w:sz="0" w:space="0" w:color="auto"/>
            <w:bottom w:val="none" w:sz="0" w:space="0" w:color="auto"/>
            <w:right w:val="none" w:sz="0" w:space="0" w:color="auto"/>
          </w:divBdr>
        </w:div>
        <w:div w:id="1289244067">
          <w:marLeft w:val="480"/>
          <w:marRight w:val="0"/>
          <w:marTop w:val="0"/>
          <w:marBottom w:val="0"/>
          <w:divBdr>
            <w:top w:val="none" w:sz="0" w:space="0" w:color="auto"/>
            <w:left w:val="none" w:sz="0" w:space="0" w:color="auto"/>
            <w:bottom w:val="none" w:sz="0" w:space="0" w:color="auto"/>
            <w:right w:val="none" w:sz="0" w:space="0" w:color="auto"/>
          </w:divBdr>
        </w:div>
        <w:div w:id="369695186">
          <w:marLeft w:val="480"/>
          <w:marRight w:val="0"/>
          <w:marTop w:val="0"/>
          <w:marBottom w:val="0"/>
          <w:divBdr>
            <w:top w:val="none" w:sz="0" w:space="0" w:color="auto"/>
            <w:left w:val="none" w:sz="0" w:space="0" w:color="auto"/>
            <w:bottom w:val="none" w:sz="0" w:space="0" w:color="auto"/>
            <w:right w:val="none" w:sz="0" w:space="0" w:color="auto"/>
          </w:divBdr>
        </w:div>
        <w:div w:id="254435882">
          <w:marLeft w:val="480"/>
          <w:marRight w:val="0"/>
          <w:marTop w:val="0"/>
          <w:marBottom w:val="0"/>
          <w:divBdr>
            <w:top w:val="none" w:sz="0" w:space="0" w:color="auto"/>
            <w:left w:val="none" w:sz="0" w:space="0" w:color="auto"/>
            <w:bottom w:val="none" w:sz="0" w:space="0" w:color="auto"/>
            <w:right w:val="none" w:sz="0" w:space="0" w:color="auto"/>
          </w:divBdr>
        </w:div>
        <w:div w:id="410152951">
          <w:marLeft w:val="480"/>
          <w:marRight w:val="0"/>
          <w:marTop w:val="0"/>
          <w:marBottom w:val="0"/>
          <w:divBdr>
            <w:top w:val="none" w:sz="0" w:space="0" w:color="auto"/>
            <w:left w:val="none" w:sz="0" w:space="0" w:color="auto"/>
            <w:bottom w:val="none" w:sz="0" w:space="0" w:color="auto"/>
            <w:right w:val="none" w:sz="0" w:space="0" w:color="auto"/>
          </w:divBdr>
        </w:div>
        <w:div w:id="67382668">
          <w:marLeft w:val="480"/>
          <w:marRight w:val="0"/>
          <w:marTop w:val="0"/>
          <w:marBottom w:val="0"/>
          <w:divBdr>
            <w:top w:val="none" w:sz="0" w:space="0" w:color="auto"/>
            <w:left w:val="none" w:sz="0" w:space="0" w:color="auto"/>
            <w:bottom w:val="none" w:sz="0" w:space="0" w:color="auto"/>
            <w:right w:val="none" w:sz="0" w:space="0" w:color="auto"/>
          </w:divBdr>
        </w:div>
        <w:div w:id="2063290280">
          <w:marLeft w:val="480"/>
          <w:marRight w:val="0"/>
          <w:marTop w:val="0"/>
          <w:marBottom w:val="0"/>
          <w:divBdr>
            <w:top w:val="none" w:sz="0" w:space="0" w:color="auto"/>
            <w:left w:val="none" w:sz="0" w:space="0" w:color="auto"/>
            <w:bottom w:val="none" w:sz="0" w:space="0" w:color="auto"/>
            <w:right w:val="none" w:sz="0" w:space="0" w:color="auto"/>
          </w:divBdr>
        </w:div>
        <w:div w:id="1929149426">
          <w:marLeft w:val="480"/>
          <w:marRight w:val="0"/>
          <w:marTop w:val="0"/>
          <w:marBottom w:val="0"/>
          <w:divBdr>
            <w:top w:val="none" w:sz="0" w:space="0" w:color="auto"/>
            <w:left w:val="none" w:sz="0" w:space="0" w:color="auto"/>
            <w:bottom w:val="none" w:sz="0" w:space="0" w:color="auto"/>
            <w:right w:val="none" w:sz="0" w:space="0" w:color="auto"/>
          </w:divBdr>
        </w:div>
        <w:div w:id="582446796">
          <w:marLeft w:val="480"/>
          <w:marRight w:val="0"/>
          <w:marTop w:val="0"/>
          <w:marBottom w:val="0"/>
          <w:divBdr>
            <w:top w:val="none" w:sz="0" w:space="0" w:color="auto"/>
            <w:left w:val="none" w:sz="0" w:space="0" w:color="auto"/>
            <w:bottom w:val="none" w:sz="0" w:space="0" w:color="auto"/>
            <w:right w:val="none" w:sz="0" w:space="0" w:color="auto"/>
          </w:divBdr>
        </w:div>
        <w:div w:id="930429480">
          <w:marLeft w:val="480"/>
          <w:marRight w:val="0"/>
          <w:marTop w:val="0"/>
          <w:marBottom w:val="0"/>
          <w:divBdr>
            <w:top w:val="none" w:sz="0" w:space="0" w:color="auto"/>
            <w:left w:val="none" w:sz="0" w:space="0" w:color="auto"/>
            <w:bottom w:val="none" w:sz="0" w:space="0" w:color="auto"/>
            <w:right w:val="none" w:sz="0" w:space="0" w:color="auto"/>
          </w:divBdr>
        </w:div>
        <w:div w:id="875897799">
          <w:marLeft w:val="480"/>
          <w:marRight w:val="0"/>
          <w:marTop w:val="0"/>
          <w:marBottom w:val="0"/>
          <w:divBdr>
            <w:top w:val="none" w:sz="0" w:space="0" w:color="auto"/>
            <w:left w:val="none" w:sz="0" w:space="0" w:color="auto"/>
            <w:bottom w:val="none" w:sz="0" w:space="0" w:color="auto"/>
            <w:right w:val="none" w:sz="0" w:space="0" w:color="auto"/>
          </w:divBdr>
        </w:div>
        <w:div w:id="561065856">
          <w:marLeft w:val="480"/>
          <w:marRight w:val="0"/>
          <w:marTop w:val="0"/>
          <w:marBottom w:val="0"/>
          <w:divBdr>
            <w:top w:val="none" w:sz="0" w:space="0" w:color="auto"/>
            <w:left w:val="none" w:sz="0" w:space="0" w:color="auto"/>
            <w:bottom w:val="none" w:sz="0" w:space="0" w:color="auto"/>
            <w:right w:val="none" w:sz="0" w:space="0" w:color="auto"/>
          </w:divBdr>
        </w:div>
        <w:div w:id="1285506982">
          <w:marLeft w:val="480"/>
          <w:marRight w:val="0"/>
          <w:marTop w:val="0"/>
          <w:marBottom w:val="0"/>
          <w:divBdr>
            <w:top w:val="none" w:sz="0" w:space="0" w:color="auto"/>
            <w:left w:val="none" w:sz="0" w:space="0" w:color="auto"/>
            <w:bottom w:val="none" w:sz="0" w:space="0" w:color="auto"/>
            <w:right w:val="none" w:sz="0" w:space="0" w:color="auto"/>
          </w:divBdr>
        </w:div>
        <w:div w:id="929195933">
          <w:marLeft w:val="480"/>
          <w:marRight w:val="0"/>
          <w:marTop w:val="0"/>
          <w:marBottom w:val="0"/>
          <w:divBdr>
            <w:top w:val="none" w:sz="0" w:space="0" w:color="auto"/>
            <w:left w:val="none" w:sz="0" w:space="0" w:color="auto"/>
            <w:bottom w:val="none" w:sz="0" w:space="0" w:color="auto"/>
            <w:right w:val="none" w:sz="0" w:space="0" w:color="auto"/>
          </w:divBdr>
        </w:div>
        <w:div w:id="669986293">
          <w:marLeft w:val="480"/>
          <w:marRight w:val="0"/>
          <w:marTop w:val="0"/>
          <w:marBottom w:val="0"/>
          <w:divBdr>
            <w:top w:val="none" w:sz="0" w:space="0" w:color="auto"/>
            <w:left w:val="none" w:sz="0" w:space="0" w:color="auto"/>
            <w:bottom w:val="none" w:sz="0" w:space="0" w:color="auto"/>
            <w:right w:val="none" w:sz="0" w:space="0" w:color="auto"/>
          </w:divBdr>
        </w:div>
        <w:div w:id="357851959">
          <w:marLeft w:val="480"/>
          <w:marRight w:val="0"/>
          <w:marTop w:val="0"/>
          <w:marBottom w:val="0"/>
          <w:divBdr>
            <w:top w:val="none" w:sz="0" w:space="0" w:color="auto"/>
            <w:left w:val="none" w:sz="0" w:space="0" w:color="auto"/>
            <w:bottom w:val="none" w:sz="0" w:space="0" w:color="auto"/>
            <w:right w:val="none" w:sz="0" w:space="0" w:color="auto"/>
          </w:divBdr>
        </w:div>
        <w:div w:id="1487285802">
          <w:marLeft w:val="480"/>
          <w:marRight w:val="0"/>
          <w:marTop w:val="0"/>
          <w:marBottom w:val="0"/>
          <w:divBdr>
            <w:top w:val="none" w:sz="0" w:space="0" w:color="auto"/>
            <w:left w:val="none" w:sz="0" w:space="0" w:color="auto"/>
            <w:bottom w:val="none" w:sz="0" w:space="0" w:color="auto"/>
            <w:right w:val="none" w:sz="0" w:space="0" w:color="auto"/>
          </w:divBdr>
        </w:div>
        <w:div w:id="182984575">
          <w:marLeft w:val="480"/>
          <w:marRight w:val="0"/>
          <w:marTop w:val="0"/>
          <w:marBottom w:val="0"/>
          <w:divBdr>
            <w:top w:val="none" w:sz="0" w:space="0" w:color="auto"/>
            <w:left w:val="none" w:sz="0" w:space="0" w:color="auto"/>
            <w:bottom w:val="none" w:sz="0" w:space="0" w:color="auto"/>
            <w:right w:val="none" w:sz="0" w:space="0" w:color="auto"/>
          </w:divBdr>
        </w:div>
        <w:div w:id="1353921910">
          <w:marLeft w:val="480"/>
          <w:marRight w:val="0"/>
          <w:marTop w:val="0"/>
          <w:marBottom w:val="0"/>
          <w:divBdr>
            <w:top w:val="none" w:sz="0" w:space="0" w:color="auto"/>
            <w:left w:val="none" w:sz="0" w:space="0" w:color="auto"/>
            <w:bottom w:val="none" w:sz="0" w:space="0" w:color="auto"/>
            <w:right w:val="none" w:sz="0" w:space="0" w:color="auto"/>
          </w:divBdr>
        </w:div>
        <w:div w:id="1974360994">
          <w:marLeft w:val="480"/>
          <w:marRight w:val="0"/>
          <w:marTop w:val="0"/>
          <w:marBottom w:val="0"/>
          <w:divBdr>
            <w:top w:val="none" w:sz="0" w:space="0" w:color="auto"/>
            <w:left w:val="none" w:sz="0" w:space="0" w:color="auto"/>
            <w:bottom w:val="none" w:sz="0" w:space="0" w:color="auto"/>
            <w:right w:val="none" w:sz="0" w:space="0" w:color="auto"/>
          </w:divBdr>
        </w:div>
        <w:div w:id="2040929290">
          <w:marLeft w:val="480"/>
          <w:marRight w:val="0"/>
          <w:marTop w:val="0"/>
          <w:marBottom w:val="0"/>
          <w:divBdr>
            <w:top w:val="none" w:sz="0" w:space="0" w:color="auto"/>
            <w:left w:val="none" w:sz="0" w:space="0" w:color="auto"/>
            <w:bottom w:val="none" w:sz="0" w:space="0" w:color="auto"/>
            <w:right w:val="none" w:sz="0" w:space="0" w:color="auto"/>
          </w:divBdr>
        </w:div>
        <w:div w:id="1278488416">
          <w:marLeft w:val="480"/>
          <w:marRight w:val="0"/>
          <w:marTop w:val="0"/>
          <w:marBottom w:val="0"/>
          <w:divBdr>
            <w:top w:val="none" w:sz="0" w:space="0" w:color="auto"/>
            <w:left w:val="none" w:sz="0" w:space="0" w:color="auto"/>
            <w:bottom w:val="none" w:sz="0" w:space="0" w:color="auto"/>
            <w:right w:val="none" w:sz="0" w:space="0" w:color="auto"/>
          </w:divBdr>
        </w:div>
        <w:div w:id="436750994">
          <w:marLeft w:val="480"/>
          <w:marRight w:val="0"/>
          <w:marTop w:val="0"/>
          <w:marBottom w:val="0"/>
          <w:divBdr>
            <w:top w:val="none" w:sz="0" w:space="0" w:color="auto"/>
            <w:left w:val="none" w:sz="0" w:space="0" w:color="auto"/>
            <w:bottom w:val="none" w:sz="0" w:space="0" w:color="auto"/>
            <w:right w:val="none" w:sz="0" w:space="0" w:color="auto"/>
          </w:divBdr>
        </w:div>
        <w:div w:id="1636636690">
          <w:marLeft w:val="480"/>
          <w:marRight w:val="0"/>
          <w:marTop w:val="0"/>
          <w:marBottom w:val="0"/>
          <w:divBdr>
            <w:top w:val="none" w:sz="0" w:space="0" w:color="auto"/>
            <w:left w:val="none" w:sz="0" w:space="0" w:color="auto"/>
            <w:bottom w:val="none" w:sz="0" w:space="0" w:color="auto"/>
            <w:right w:val="none" w:sz="0" w:space="0" w:color="auto"/>
          </w:divBdr>
        </w:div>
        <w:div w:id="90857904">
          <w:marLeft w:val="480"/>
          <w:marRight w:val="0"/>
          <w:marTop w:val="0"/>
          <w:marBottom w:val="0"/>
          <w:divBdr>
            <w:top w:val="none" w:sz="0" w:space="0" w:color="auto"/>
            <w:left w:val="none" w:sz="0" w:space="0" w:color="auto"/>
            <w:bottom w:val="none" w:sz="0" w:space="0" w:color="auto"/>
            <w:right w:val="none" w:sz="0" w:space="0" w:color="auto"/>
          </w:divBdr>
        </w:div>
        <w:div w:id="1050029674">
          <w:marLeft w:val="480"/>
          <w:marRight w:val="0"/>
          <w:marTop w:val="0"/>
          <w:marBottom w:val="0"/>
          <w:divBdr>
            <w:top w:val="none" w:sz="0" w:space="0" w:color="auto"/>
            <w:left w:val="none" w:sz="0" w:space="0" w:color="auto"/>
            <w:bottom w:val="none" w:sz="0" w:space="0" w:color="auto"/>
            <w:right w:val="none" w:sz="0" w:space="0" w:color="auto"/>
          </w:divBdr>
        </w:div>
        <w:div w:id="902108568">
          <w:marLeft w:val="480"/>
          <w:marRight w:val="0"/>
          <w:marTop w:val="0"/>
          <w:marBottom w:val="0"/>
          <w:divBdr>
            <w:top w:val="none" w:sz="0" w:space="0" w:color="auto"/>
            <w:left w:val="none" w:sz="0" w:space="0" w:color="auto"/>
            <w:bottom w:val="none" w:sz="0" w:space="0" w:color="auto"/>
            <w:right w:val="none" w:sz="0" w:space="0" w:color="auto"/>
          </w:divBdr>
        </w:div>
        <w:div w:id="1952005697">
          <w:marLeft w:val="480"/>
          <w:marRight w:val="0"/>
          <w:marTop w:val="0"/>
          <w:marBottom w:val="0"/>
          <w:divBdr>
            <w:top w:val="none" w:sz="0" w:space="0" w:color="auto"/>
            <w:left w:val="none" w:sz="0" w:space="0" w:color="auto"/>
            <w:bottom w:val="none" w:sz="0" w:space="0" w:color="auto"/>
            <w:right w:val="none" w:sz="0" w:space="0" w:color="auto"/>
          </w:divBdr>
        </w:div>
        <w:div w:id="1637176124">
          <w:marLeft w:val="480"/>
          <w:marRight w:val="0"/>
          <w:marTop w:val="0"/>
          <w:marBottom w:val="0"/>
          <w:divBdr>
            <w:top w:val="none" w:sz="0" w:space="0" w:color="auto"/>
            <w:left w:val="none" w:sz="0" w:space="0" w:color="auto"/>
            <w:bottom w:val="none" w:sz="0" w:space="0" w:color="auto"/>
            <w:right w:val="none" w:sz="0" w:space="0" w:color="auto"/>
          </w:divBdr>
        </w:div>
        <w:div w:id="1095131765">
          <w:marLeft w:val="480"/>
          <w:marRight w:val="0"/>
          <w:marTop w:val="0"/>
          <w:marBottom w:val="0"/>
          <w:divBdr>
            <w:top w:val="none" w:sz="0" w:space="0" w:color="auto"/>
            <w:left w:val="none" w:sz="0" w:space="0" w:color="auto"/>
            <w:bottom w:val="none" w:sz="0" w:space="0" w:color="auto"/>
            <w:right w:val="none" w:sz="0" w:space="0" w:color="auto"/>
          </w:divBdr>
        </w:div>
        <w:div w:id="936863362">
          <w:marLeft w:val="480"/>
          <w:marRight w:val="0"/>
          <w:marTop w:val="0"/>
          <w:marBottom w:val="0"/>
          <w:divBdr>
            <w:top w:val="none" w:sz="0" w:space="0" w:color="auto"/>
            <w:left w:val="none" w:sz="0" w:space="0" w:color="auto"/>
            <w:bottom w:val="none" w:sz="0" w:space="0" w:color="auto"/>
            <w:right w:val="none" w:sz="0" w:space="0" w:color="auto"/>
          </w:divBdr>
        </w:div>
        <w:div w:id="1025867772">
          <w:marLeft w:val="480"/>
          <w:marRight w:val="0"/>
          <w:marTop w:val="0"/>
          <w:marBottom w:val="0"/>
          <w:divBdr>
            <w:top w:val="none" w:sz="0" w:space="0" w:color="auto"/>
            <w:left w:val="none" w:sz="0" w:space="0" w:color="auto"/>
            <w:bottom w:val="none" w:sz="0" w:space="0" w:color="auto"/>
            <w:right w:val="none" w:sz="0" w:space="0" w:color="auto"/>
          </w:divBdr>
        </w:div>
        <w:div w:id="345328452">
          <w:marLeft w:val="480"/>
          <w:marRight w:val="0"/>
          <w:marTop w:val="0"/>
          <w:marBottom w:val="0"/>
          <w:divBdr>
            <w:top w:val="none" w:sz="0" w:space="0" w:color="auto"/>
            <w:left w:val="none" w:sz="0" w:space="0" w:color="auto"/>
            <w:bottom w:val="none" w:sz="0" w:space="0" w:color="auto"/>
            <w:right w:val="none" w:sz="0" w:space="0" w:color="auto"/>
          </w:divBdr>
        </w:div>
        <w:div w:id="2129814662">
          <w:marLeft w:val="480"/>
          <w:marRight w:val="0"/>
          <w:marTop w:val="0"/>
          <w:marBottom w:val="0"/>
          <w:divBdr>
            <w:top w:val="none" w:sz="0" w:space="0" w:color="auto"/>
            <w:left w:val="none" w:sz="0" w:space="0" w:color="auto"/>
            <w:bottom w:val="none" w:sz="0" w:space="0" w:color="auto"/>
            <w:right w:val="none" w:sz="0" w:space="0" w:color="auto"/>
          </w:divBdr>
        </w:div>
        <w:div w:id="102578194">
          <w:marLeft w:val="480"/>
          <w:marRight w:val="0"/>
          <w:marTop w:val="0"/>
          <w:marBottom w:val="0"/>
          <w:divBdr>
            <w:top w:val="none" w:sz="0" w:space="0" w:color="auto"/>
            <w:left w:val="none" w:sz="0" w:space="0" w:color="auto"/>
            <w:bottom w:val="none" w:sz="0" w:space="0" w:color="auto"/>
            <w:right w:val="none" w:sz="0" w:space="0" w:color="auto"/>
          </w:divBdr>
        </w:div>
        <w:div w:id="626857344">
          <w:marLeft w:val="480"/>
          <w:marRight w:val="0"/>
          <w:marTop w:val="0"/>
          <w:marBottom w:val="0"/>
          <w:divBdr>
            <w:top w:val="none" w:sz="0" w:space="0" w:color="auto"/>
            <w:left w:val="none" w:sz="0" w:space="0" w:color="auto"/>
            <w:bottom w:val="none" w:sz="0" w:space="0" w:color="auto"/>
            <w:right w:val="none" w:sz="0" w:space="0" w:color="auto"/>
          </w:divBdr>
        </w:div>
        <w:div w:id="1508251022">
          <w:marLeft w:val="480"/>
          <w:marRight w:val="0"/>
          <w:marTop w:val="0"/>
          <w:marBottom w:val="0"/>
          <w:divBdr>
            <w:top w:val="none" w:sz="0" w:space="0" w:color="auto"/>
            <w:left w:val="none" w:sz="0" w:space="0" w:color="auto"/>
            <w:bottom w:val="none" w:sz="0" w:space="0" w:color="auto"/>
            <w:right w:val="none" w:sz="0" w:space="0" w:color="auto"/>
          </w:divBdr>
        </w:div>
        <w:div w:id="1702395835">
          <w:marLeft w:val="480"/>
          <w:marRight w:val="0"/>
          <w:marTop w:val="0"/>
          <w:marBottom w:val="0"/>
          <w:divBdr>
            <w:top w:val="none" w:sz="0" w:space="0" w:color="auto"/>
            <w:left w:val="none" w:sz="0" w:space="0" w:color="auto"/>
            <w:bottom w:val="none" w:sz="0" w:space="0" w:color="auto"/>
            <w:right w:val="none" w:sz="0" w:space="0" w:color="auto"/>
          </w:divBdr>
        </w:div>
        <w:div w:id="1431004210">
          <w:marLeft w:val="480"/>
          <w:marRight w:val="0"/>
          <w:marTop w:val="0"/>
          <w:marBottom w:val="0"/>
          <w:divBdr>
            <w:top w:val="none" w:sz="0" w:space="0" w:color="auto"/>
            <w:left w:val="none" w:sz="0" w:space="0" w:color="auto"/>
            <w:bottom w:val="none" w:sz="0" w:space="0" w:color="auto"/>
            <w:right w:val="none" w:sz="0" w:space="0" w:color="auto"/>
          </w:divBdr>
        </w:div>
        <w:div w:id="1863086107">
          <w:marLeft w:val="480"/>
          <w:marRight w:val="0"/>
          <w:marTop w:val="0"/>
          <w:marBottom w:val="0"/>
          <w:divBdr>
            <w:top w:val="none" w:sz="0" w:space="0" w:color="auto"/>
            <w:left w:val="none" w:sz="0" w:space="0" w:color="auto"/>
            <w:bottom w:val="none" w:sz="0" w:space="0" w:color="auto"/>
            <w:right w:val="none" w:sz="0" w:space="0" w:color="auto"/>
          </w:divBdr>
        </w:div>
        <w:div w:id="1508866107">
          <w:marLeft w:val="480"/>
          <w:marRight w:val="0"/>
          <w:marTop w:val="0"/>
          <w:marBottom w:val="0"/>
          <w:divBdr>
            <w:top w:val="none" w:sz="0" w:space="0" w:color="auto"/>
            <w:left w:val="none" w:sz="0" w:space="0" w:color="auto"/>
            <w:bottom w:val="none" w:sz="0" w:space="0" w:color="auto"/>
            <w:right w:val="none" w:sz="0" w:space="0" w:color="auto"/>
          </w:divBdr>
        </w:div>
        <w:div w:id="667752940">
          <w:marLeft w:val="480"/>
          <w:marRight w:val="0"/>
          <w:marTop w:val="0"/>
          <w:marBottom w:val="0"/>
          <w:divBdr>
            <w:top w:val="none" w:sz="0" w:space="0" w:color="auto"/>
            <w:left w:val="none" w:sz="0" w:space="0" w:color="auto"/>
            <w:bottom w:val="none" w:sz="0" w:space="0" w:color="auto"/>
            <w:right w:val="none" w:sz="0" w:space="0" w:color="auto"/>
          </w:divBdr>
        </w:div>
        <w:div w:id="173960083">
          <w:marLeft w:val="480"/>
          <w:marRight w:val="0"/>
          <w:marTop w:val="0"/>
          <w:marBottom w:val="0"/>
          <w:divBdr>
            <w:top w:val="none" w:sz="0" w:space="0" w:color="auto"/>
            <w:left w:val="none" w:sz="0" w:space="0" w:color="auto"/>
            <w:bottom w:val="none" w:sz="0" w:space="0" w:color="auto"/>
            <w:right w:val="none" w:sz="0" w:space="0" w:color="auto"/>
          </w:divBdr>
        </w:div>
        <w:div w:id="273483672">
          <w:marLeft w:val="480"/>
          <w:marRight w:val="0"/>
          <w:marTop w:val="0"/>
          <w:marBottom w:val="0"/>
          <w:divBdr>
            <w:top w:val="none" w:sz="0" w:space="0" w:color="auto"/>
            <w:left w:val="none" w:sz="0" w:space="0" w:color="auto"/>
            <w:bottom w:val="none" w:sz="0" w:space="0" w:color="auto"/>
            <w:right w:val="none" w:sz="0" w:space="0" w:color="auto"/>
          </w:divBdr>
        </w:div>
        <w:div w:id="1604222733">
          <w:marLeft w:val="480"/>
          <w:marRight w:val="0"/>
          <w:marTop w:val="0"/>
          <w:marBottom w:val="0"/>
          <w:divBdr>
            <w:top w:val="none" w:sz="0" w:space="0" w:color="auto"/>
            <w:left w:val="none" w:sz="0" w:space="0" w:color="auto"/>
            <w:bottom w:val="none" w:sz="0" w:space="0" w:color="auto"/>
            <w:right w:val="none" w:sz="0" w:space="0" w:color="auto"/>
          </w:divBdr>
        </w:div>
        <w:div w:id="1313679004">
          <w:marLeft w:val="480"/>
          <w:marRight w:val="0"/>
          <w:marTop w:val="0"/>
          <w:marBottom w:val="0"/>
          <w:divBdr>
            <w:top w:val="none" w:sz="0" w:space="0" w:color="auto"/>
            <w:left w:val="none" w:sz="0" w:space="0" w:color="auto"/>
            <w:bottom w:val="none" w:sz="0" w:space="0" w:color="auto"/>
            <w:right w:val="none" w:sz="0" w:space="0" w:color="auto"/>
          </w:divBdr>
        </w:div>
        <w:div w:id="1061951582">
          <w:marLeft w:val="480"/>
          <w:marRight w:val="0"/>
          <w:marTop w:val="0"/>
          <w:marBottom w:val="0"/>
          <w:divBdr>
            <w:top w:val="none" w:sz="0" w:space="0" w:color="auto"/>
            <w:left w:val="none" w:sz="0" w:space="0" w:color="auto"/>
            <w:bottom w:val="none" w:sz="0" w:space="0" w:color="auto"/>
            <w:right w:val="none" w:sz="0" w:space="0" w:color="auto"/>
          </w:divBdr>
        </w:div>
        <w:div w:id="1416197975">
          <w:marLeft w:val="480"/>
          <w:marRight w:val="0"/>
          <w:marTop w:val="0"/>
          <w:marBottom w:val="0"/>
          <w:divBdr>
            <w:top w:val="none" w:sz="0" w:space="0" w:color="auto"/>
            <w:left w:val="none" w:sz="0" w:space="0" w:color="auto"/>
            <w:bottom w:val="none" w:sz="0" w:space="0" w:color="auto"/>
            <w:right w:val="none" w:sz="0" w:space="0" w:color="auto"/>
          </w:divBdr>
        </w:div>
        <w:div w:id="1906377314">
          <w:marLeft w:val="480"/>
          <w:marRight w:val="0"/>
          <w:marTop w:val="0"/>
          <w:marBottom w:val="0"/>
          <w:divBdr>
            <w:top w:val="none" w:sz="0" w:space="0" w:color="auto"/>
            <w:left w:val="none" w:sz="0" w:space="0" w:color="auto"/>
            <w:bottom w:val="none" w:sz="0" w:space="0" w:color="auto"/>
            <w:right w:val="none" w:sz="0" w:space="0" w:color="auto"/>
          </w:divBdr>
        </w:div>
        <w:div w:id="2117093084">
          <w:marLeft w:val="480"/>
          <w:marRight w:val="0"/>
          <w:marTop w:val="0"/>
          <w:marBottom w:val="0"/>
          <w:divBdr>
            <w:top w:val="none" w:sz="0" w:space="0" w:color="auto"/>
            <w:left w:val="none" w:sz="0" w:space="0" w:color="auto"/>
            <w:bottom w:val="none" w:sz="0" w:space="0" w:color="auto"/>
            <w:right w:val="none" w:sz="0" w:space="0" w:color="auto"/>
          </w:divBdr>
        </w:div>
        <w:div w:id="195780033">
          <w:marLeft w:val="480"/>
          <w:marRight w:val="0"/>
          <w:marTop w:val="0"/>
          <w:marBottom w:val="0"/>
          <w:divBdr>
            <w:top w:val="none" w:sz="0" w:space="0" w:color="auto"/>
            <w:left w:val="none" w:sz="0" w:space="0" w:color="auto"/>
            <w:bottom w:val="none" w:sz="0" w:space="0" w:color="auto"/>
            <w:right w:val="none" w:sz="0" w:space="0" w:color="auto"/>
          </w:divBdr>
        </w:div>
        <w:div w:id="1336417881">
          <w:marLeft w:val="480"/>
          <w:marRight w:val="0"/>
          <w:marTop w:val="0"/>
          <w:marBottom w:val="0"/>
          <w:divBdr>
            <w:top w:val="none" w:sz="0" w:space="0" w:color="auto"/>
            <w:left w:val="none" w:sz="0" w:space="0" w:color="auto"/>
            <w:bottom w:val="none" w:sz="0" w:space="0" w:color="auto"/>
            <w:right w:val="none" w:sz="0" w:space="0" w:color="auto"/>
          </w:divBdr>
        </w:div>
        <w:div w:id="1405227644">
          <w:marLeft w:val="480"/>
          <w:marRight w:val="0"/>
          <w:marTop w:val="0"/>
          <w:marBottom w:val="0"/>
          <w:divBdr>
            <w:top w:val="none" w:sz="0" w:space="0" w:color="auto"/>
            <w:left w:val="none" w:sz="0" w:space="0" w:color="auto"/>
            <w:bottom w:val="none" w:sz="0" w:space="0" w:color="auto"/>
            <w:right w:val="none" w:sz="0" w:space="0" w:color="auto"/>
          </w:divBdr>
        </w:div>
        <w:div w:id="845363862">
          <w:marLeft w:val="480"/>
          <w:marRight w:val="0"/>
          <w:marTop w:val="0"/>
          <w:marBottom w:val="0"/>
          <w:divBdr>
            <w:top w:val="none" w:sz="0" w:space="0" w:color="auto"/>
            <w:left w:val="none" w:sz="0" w:space="0" w:color="auto"/>
            <w:bottom w:val="none" w:sz="0" w:space="0" w:color="auto"/>
            <w:right w:val="none" w:sz="0" w:space="0" w:color="auto"/>
          </w:divBdr>
        </w:div>
        <w:div w:id="861094082">
          <w:marLeft w:val="480"/>
          <w:marRight w:val="0"/>
          <w:marTop w:val="0"/>
          <w:marBottom w:val="0"/>
          <w:divBdr>
            <w:top w:val="none" w:sz="0" w:space="0" w:color="auto"/>
            <w:left w:val="none" w:sz="0" w:space="0" w:color="auto"/>
            <w:bottom w:val="none" w:sz="0" w:space="0" w:color="auto"/>
            <w:right w:val="none" w:sz="0" w:space="0" w:color="auto"/>
          </w:divBdr>
        </w:div>
        <w:div w:id="1622879527">
          <w:marLeft w:val="480"/>
          <w:marRight w:val="0"/>
          <w:marTop w:val="0"/>
          <w:marBottom w:val="0"/>
          <w:divBdr>
            <w:top w:val="none" w:sz="0" w:space="0" w:color="auto"/>
            <w:left w:val="none" w:sz="0" w:space="0" w:color="auto"/>
            <w:bottom w:val="none" w:sz="0" w:space="0" w:color="auto"/>
            <w:right w:val="none" w:sz="0" w:space="0" w:color="auto"/>
          </w:divBdr>
        </w:div>
        <w:div w:id="948197762">
          <w:marLeft w:val="480"/>
          <w:marRight w:val="0"/>
          <w:marTop w:val="0"/>
          <w:marBottom w:val="0"/>
          <w:divBdr>
            <w:top w:val="none" w:sz="0" w:space="0" w:color="auto"/>
            <w:left w:val="none" w:sz="0" w:space="0" w:color="auto"/>
            <w:bottom w:val="none" w:sz="0" w:space="0" w:color="auto"/>
            <w:right w:val="none" w:sz="0" w:space="0" w:color="auto"/>
          </w:divBdr>
        </w:div>
        <w:div w:id="2064135626">
          <w:marLeft w:val="480"/>
          <w:marRight w:val="0"/>
          <w:marTop w:val="0"/>
          <w:marBottom w:val="0"/>
          <w:divBdr>
            <w:top w:val="none" w:sz="0" w:space="0" w:color="auto"/>
            <w:left w:val="none" w:sz="0" w:space="0" w:color="auto"/>
            <w:bottom w:val="none" w:sz="0" w:space="0" w:color="auto"/>
            <w:right w:val="none" w:sz="0" w:space="0" w:color="auto"/>
          </w:divBdr>
        </w:div>
        <w:div w:id="636105070">
          <w:marLeft w:val="480"/>
          <w:marRight w:val="0"/>
          <w:marTop w:val="0"/>
          <w:marBottom w:val="0"/>
          <w:divBdr>
            <w:top w:val="none" w:sz="0" w:space="0" w:color="auto"/>
            <w:left w:val="none" w:sz="0" w:space="0" w:color="auto"/>
            <w:bottom w:val="none" w:sz="0" w:space="0" w:color="auto"/>
            <w:right w:val="none" w:sz="0" w:space="0" w:color="auto"/>
          </w:divBdr>
        </w:div>
        <w:div w:id="1343052290">
          <w:marLeft w:val="480"/>
          <w:marRight w:val="0"/>
          <w:marTop w:val="0"/>
          <w:marBottom w:val="0"/>
          <w:divBdr>
            <w:top w:val="none" w:sz="0" w:space="0" w:color="auto"/>
            <w:left w:val="none" w:sz="0" w:space="0" w:color="auto"/>
            <w:bottom w:val="none" w:sz="0" w:space="0" w:color="auto"/>
            <w:right w:val="none" w:sz="0" w:space="0" w:color="auto"/>
          </w:divBdr>
        </w:div>
        <w:div w:id="425346569">
          <w:marLeft w:val="480"/>
          <w:marRight w:val="0"/>
          <w:marTop w:val="0"/>
          <w:marBottom w:val="0"/>
          <w:divBdr>
            <w:top w:val="none" w:sz="0" w:space="0" w:color="auto"/>
            <w:left w:val="none" w:sz="0" w:space="0" w:color="auto"/>
            <w:bottom w:val="none" w:sz="0" w:space="0" w:color="auto"/>
            <w:right w:val="none" w:sz="0" w:space="0" w:color="auto"/>
          </w:divBdr>
        </w:div>
        <w:div w:id="1397625301">
          <w:marLeft w:val="480"/>
          <w:marRight w:val="0"/>
          <w:marTop w:val="0"/>
          <w:marBottom w:val="0"/>
          <w:divBdr>
            <w:top w:val="none" w:sz="0" w:space="0" w:color="auto"/>
            <w:left w:val="none" w:sz="0" w:space="0" w:color="auto"/>
            <w:bottom w:val="none" w:sz="0" w:space="0" w:color="auto"/>
            <w:right w:val="none" w:sz="0" w:space="0" w:color="auto"/>
          </w:divBdr>
        </w:div>
        <w:div w:id="653074063">
          <w:marLeft w:val="480"/>
          <w:marRight w:val="0"/>
          <w:marTop w:val="0"/>
          <w:marBottom w:val="0"/>
          <w:divBdr>
            <w:top w:val="none" w:sz="0" w:space="0" w:color="auto"/>
            <w:left w:val="none" w:sz="0" w:space="0" w:color="auto"/>
            <w:bottom w:val="none" w:sz="0" w:space="0" w:color="auto"/>
            <w:right w:val="none" w:sz="0" w:space="0" w:color="auto"/>
          </w:divBdr>
        </w:div>
        <w:div w:id="1734112399">
          <w:marLeft w:val="480"/>
          <w:marRight w:val="0"/>
          <w:marTop w:val="0"/>
          <w:marBottom w:val="0"/>
          <w:divBdr>
            <w:top w:val="none" w:sz="0" w:space="0" w:color="auto"/>
            <w:left w:val="none" w:sz="0" w:space="0" w:color="auto"/>
            <w:bottom w:val="none" w:sz="0" w:space="0" w:color="auto"/>
            <w:right w:val="none" w:sz="0" w:space="0" w:color="auto"/>
          </w:divBdr>
        </w:div>
        <w:div w:id="910189161">
          <w:marLeft w:val="480"/>
          <w:marRight w:val="0"/>
          <w:marTop w:val="0"/>
          <w:marBottom w:val="0"/>
          <w:divBdr>
            <w:top w:val="none" w:sz="0" w:space="0" w:color="auto"/>
            <w:left w:val="none" w:sz="0" w:space="0" w:color="auto"/>
            <w:bottom w:val="none" w:sz="0" w:space="0" w:color="auto"/>
            <w:right w:val="none" w:sz="0" w:space="0" w:color="auto"/>
          </w:divBdr>
        </w:div>
        <w:div w:id="164438965">
          <w:marLeft w:val="480"/>
          <w:marRight w:val="0"/>
          <w:marTop w:val="0"/>
          <w:marBottom w:val="0"/>
          <w:divBdr>
            <w:top w:val="none" w:sz="0" w:space="0" w:color="auto"/>
            <w:left w:val="none" w:sz="0" w:space="0" w:color="auto"/>
            <w:bottom w:val="none" w:sz="0" w:space="0" w:color="auto"/>
            <w:right w:val="none" w:sz="0" w:space="0" w:color="auto"/>
          </w:divBdr>
        </w:div>
        <w:div w:id="2031711713">
          <w:marLeft w:val="480"/>
          <w:marRight w:val="0"/>
          <w:marTop w:val="0"/>
          <w:marBottom w:val="0"/>
          <w:divBdr>
            <w:top w:val="none" w:sz="0" w:space="0" w:color="auto"/>
            <w:left w:val="none" w:sz="0" w:space="0" w:color="auto"/>
            <w:bottom w:val="none" w:sz="0" w:space="0" w:color="auto"/>
            <w:right w:val="none" w:sz="0" w:space="0" w:color="auto"/>
          </w:divBdr>
        </w:div>
        <w:div w:id="1606109080">
          <w:marLeft w:val="480"/>
          <w:marRight w:val="0"/>
          <w:marTop w:val="0"/>
          <w:marBottom w:val="0"/>
          <w:divBdr>
            <w:top w:val="none" w:sz="0" w:space="0" w:color="auto"/>
            <w:left w:val="none" w:sz="0" w:space="0" w:color="auto"/>
            <w:bottom w:val="none" w:sz="0" w:space="0" w:color="auto"/>
            <w:right w:val="none" w:sz="0" w:space="0" w:color="auto"/>
          </w:divBdr>
        </w:div>
        <w:div w:id="851726845">
          <w:marLeft w:val="480"/>
          <w:marRight w:val="0"/>
          <w:marTop w:val="0"/>
          <w:marBottom w:val="0"/>
          <w:divBdr>
            <w:top w:val="none" w:sz="0" w:space="0" w:color="auto"/>
            <w:left w:val="none" w:sz="0" w:space="0" w:color="auto"/>
            <w:bottom w:val="none" w:sz="0" w:space="0" w:color="auto"/>
            <w:right w:val="none" w:sz="0" w:space="0" w:color="auto"/>
          </w:divBdr>
        </w:div>
        <w:div w:id="1721973126">
          <w:marLeft w:val="480"/>
          <w:marRight w:val="0"/>
          <w:marTop w:val="0"/>
          <w:marBottom w:val="0"/>
          <w:divBdr>
            <w:top w:val="none" w:sz="0" w:space="0" w:color="auto"/>
            <w:left w:val="none" w:sz="0" w:space="0" w:color="auto"/>
            <w:bottom w:val="none" w:sz="0" w:space="0" w:color="auto"/>
            <w:right w:val="none" w:sz="0" w:space="0" w:color="auto"/>
          </w:divBdr>
        </w:div>
        <w:div w:id="1729838803">
          <w:marLeft w:val="480"/>
          <w:marRight w:val="0"/>
          <w:marTop w:val="0"/>
          <w:marBottom w:val="0"/>
          <w:divBdr>
            <w:top w:val="none" w:sz="0" w:space="0" w:color="auto"/>
            <w:left w:val="none" w:sz="0" w:space="0" w:color="auto"/>
            <w:bottom w:val="none" w:sz="0" w:space="0" w:color="auto"/>
            <w:right w:val="none" w:sz="0" w:space="0" w:color="auto"/>
          </w:divBdr>
        </w:div>
        <w:div w:id="1268006242">
          <w:marLeft w:val="480"/>
          <w:marRight w:val="0"/>
          <w:marTop w:val="0"/>
          <w:marBottom w:val="0"/>
          <w:divBdr>
            <w:top w:val="none" w:sz="0" w:space="0" w:color="auto"/>
            <w:left w:val="none" w:sz="0" w:space="0" w:color="auto"/>
            <w:bottom w:val="none" w:sz="0" w:space="0" w:color="auto"/>
            <w:right w:val="none" w:sz="0" w:space="0" w:color="auto"/>
          </w:divBdr>
        </w:div>
        <w:div w:id="1973821637">
          <w:marLeft w:val="480"/>
          <w:marRight w:val="0"/>
          <w:marTop w:val="0"/>
          <w:marBottom w:val="0"/>
          <w:divBdr>
            <w:top w:val="none" w:sz="0" w:space="0" w:color="auto"/>
            <w:left w:val="none" w:sz="0" w:space="0" w:color="auto"/>
            <w:bottom w:val="none" w:sz="0" w:space="0" w:color="auto"/>
            <w:right w:val="none" w:sz="0" w:space="0" w:color="auto"/>
          </w:divBdr>
        </w:div>
        <w:div w:id="836925422">
          <w:marLeft w:val="480"/>
          <w:marRight w:val="0"/>
          <w:marTop w:val="0"/>
          <w:marBottom w:val="0"/>
          <w:divBdr>
            <w:top w:val="none" w:sz="0" w:space="0" w:color="auto"/>
            <w:left w:val="none" w:sz="0" w:space="0" w:color="auto"/>
            <w:bottom w:val="none" w:sz="0" w:space="0" w:color="auto"/>
            <w:right w:val="none" w:sz="0" w:space="0" w:color="auto"/>
          </w:divBdr>
        </w:div>
        <w:div w:id="58528679">
          <w:marLeft w:val="480"/>
          <w:marRight w:val="0"/>
          <w:marTop w:val="0"/>
          <w:marBottom w:val="0"/>
          <w:divBdr>
            <w:top w:val="none" w:sz="0" w:space="0" w:color="auto"/>
            <w:left w:val="none" w:sz="0" w:space="0" w:color="auto"/>
            <w:bottom w:val="none" w:sz="0" w:space="0" w:color="auto"/>
            <w:right w:val="none" w:sz="0" w:space="0" w:color="auto"/>
          </w:divBdr>
        </w:div>
        <w:div w:id="2091926600">
          <w:marLeft w:val="480"/>
          <w:marRight w:val="0"/>
          <w:marTop w:val="0"/>
          <w:marBottom w:val="0"/>
          <w:divBdr>
            <w:top w:val="none" w:sz="0" w:space="0" w:color="auto"/>
            <w:left w:val="none" w:sz="0" w:space="0" w:color="auto"/>
            <w:bottom w:val="none" w:sz="0" w:space="0" w:color="auto"/>
            <w:right w:val="none" w:sz="0" w:space="0" w:color="auto"/>
          </w:divBdr>
        </w:div>
        <w:div w:id="452335650">
          <w:marLeft w:val="480"/>
          <w:marRight w:val="0"/>
          <w:marTop w:val="0"/>
          <w:marBottom w:val="0"/>
          <w:divBdr>
            <w:top w:val="none" w:sz="0" w:space="0" w:color="auto"/>
            <w:left w:val="none" w:sz="0" w:space="0" w:color="auto"/>
            <w:bottom w:val="none" w:sz="0" w:space="0" w:color="auto"/>
            <w:right w:val="none" w:sz="0" w:space="0" w:color="auto"/>
          </w:divBdr>
        </w:div>
        <w:div w:id="1373455756">
          <w:marLeft w:val="480"/>
          <w:marRight w:val="0"/>
          <w:marTop w:val="0"/>
          <w:marBottom w:val="0"/>
          <w:divBdr>
            <w:top w:val="none" w:sz="0" w:space="0" w:color="auto"/>
            <w:left w:val="none" w:sz="0" w:space="0" w:color="auto"/>
            <w:bottom w:val="none" w:sz="0" w:space="0" w:color="auto"/>
            <w:right w:val="none" w:sz="0" w:space="0" w:color="auto"/>
          </w:divBdr>
        </w:div>
        <w:div w:id="824006320">
          <w:marLeft w:val="480"/>
          <w:marRight w:val="0"/>
          <w:marTop w:val="0"/>
          <w:marBottom w:val="0"/>
          <w:divBdr>
            <w:top w:val="none" w:sz="0" w:space="0" w:color="auto"/>
            <w:left w:val="none" w:sz="0" w:space="0" w:color="auto"/>
            <w:bottom w:val="none" w:sz="0" w:space="0" w:color="auto"/>
            <w:right w:val="none" w:sz="0" w:space="0" w:color="auto"/>
          </w:divBdr>
        </w:div>
        <w:div w:id="1322076459">
          <w:marLeft w:val="480"/>
          <w:marRight w:val="0"/>
          <w:marTop w:val="0"/>
          <w:marBottom w:val="0"/>
          <w:divBdr>
            <w:top w:val="none" w:sz="0" w:space="0" w:color="auto"/>
            <w:left w:val="none" w:sz="0" w:space="0" w:color="auto"/>
            <w:bottom w:val="none" w:sz="0" w:space="0" w:color="auto"/>
            <w:right w:val="none" w:sz="0" w:space="0" w:color="auto"/>
          </w:divBdr>
        </w:div>
        <w:div w:id="445347499">
          <w:marLeft w:val="480"/>
          <w:marRight w:val="0"/>
          <w:marTop w:val="0"/>
          <w:marBottom w:val="0"/>
          <w:divBdr>
            <w:top w:val="none" w:sz="0" w:space="0" w:color="auto"/>
            <w:left w:val="none" w:sz="0" w:space="0" w:color="auto"/>
            <w:bottom w:val="none" w:sz="0" w:space="0" w:color="auto"/>
            <w:right w:val="none" w:sz="0" w:space="0" w:color="auto"/>
          </w:divBdr>
        </w:div>
        <w:div w:id="858087874">
          <w:marLeft w:val="480"/>
          <w:marRight w:val="0"/>
          <w:marTop w:val="0"/>
          <w:marBottom w:val="0"/>
          <w:divBdr>
            <w:top w:val="none" w:sz="0" w:space="0" w:color="auto"/>
            <w:left w:val="none" w:sz="0" w:space="0" w:color="auto"/>
            <w:bottom w:val="none" w:sz="0" w:space="0" w:color="auto"/>
            <w:right w:val="none" w:sz="0" w:space="0" w:color="auto"/>
          </w:divBdr>
        </w:div>
        <w:div w:id="37976909">
          <w:marLeft w:val="480"/>
          <w:marRight w:val="0"/>
          <w:marTop w:val="0"/>
          <w:marBottom w:val="0"/>
          <w:divBdr>
            <w:top w:val="none" w:sz="0" w:space="0" w:color="auto"/>
            <w:left w:val="none" w:sz="0" w:space="0" w:color="auto"/>
            <w:bottom w:val="none" w:sz="0" w:space="0" w:color="auto"/>
            <w:right w:val="none" w:sz="0" w:space="0" w:color="auto"/>
          </w:divBdr>
        </w:div>
        <w:div w:id="1946694307">
          <w:marLeft w:val="480"/>
          <w:marRight w:val="0"/>
          <w:marTop w:val="0"/>
          <w:marBottom w:val="0"/>
          <w:divBdr>
            <w:top w:val="none" w:sz="0" w:space="0" w:color="auto"/>
            <w:left w:val="none" w:sz="0" w:space="0" w:color="auto"/>
            <w:bottom w:val="none" w:sz="0" w:space="0" w:color="auto"/>
            <w:right w:val="none" w:sz="0" w:space="0" w:color="auto"/>
          </w:divBdr>
        </w:div>
        <w:div w:id="1076513544">
          <w:marLeft w:val="480"/>
          <w:marRight w:val="0"/>
          <w:marTop w:val="0"/>
          <w:marBottom w:val="0"/>
          <w:divBdr>
            <w:top w:val="none" w:sz="0" w:space="0" w:color="auto"/>
            <w:left w:val="none" w:sz="0" w:space="0" w:color="auto"/>
            <w:bottom w:val="none" w:sz="0" w:space="0" w:color="auto"/>
            <w:right w:val="none" w:sz="0" w:space="0" w:color="auto"/>
          </w:divBdr>
        </w:div>
        <w:div w:id="455030371">
          <w:marLeft w:val="480"/>
          <w:marRight w:val="0"/>
          <w:marTop w:val="0"/>
          <w:marBottom w:val="0"/>
          <w:divBdr>
            <w:top w:val="none" w:sz="0" w:space="0" w:color="auto"/>
            <w:left w:val="none" w:sz="0" w:space="0" w:color="auto"/>
            <w:bottom w:val="none" w:sz="0" w:space="0" w:color="auto"/>
            <w:right w:val="none" w:sz="0" w:space="0" w:color="auto"/>
          </w:divBdr>
        </w:div>
        <w:div w:id="23992612">
          <w:marLeft w:val="480"/>
          <w:marRight w:val="0"/>
          <w:marTop w:val="0"/>
          <w:marBottom w:val="0"/>
          <w:divBdr>
            <w:top w:val="none" w:sz="0" w:space="0" w:color="auto"/>
            <w:left w:val="none" w:sz="0" w:space="0" w:color="auto"/>
            <w:bottom w:val="none" w:sz="0" w:space="0" w:color="auto"/>
            <w:right w:val="none" w:sz="0" w:space="0" w:color="auto"/>
          </w:divBdr>
        </w:div>
        <w:div w:id="324940868">
          <w:marLeft w:val="480"/>
          <w:marRight w:val="0"/>
          <w:marTop w:val="0"/>
          <w:marBottom w:val="0"/>
          <w:divBdr>
            <w:top w:val="none" w:sz="0" w:space="0" w:color="auto"/>
            <w:left w:val="none" w:sz="0" w:space="0" w:color="auto"/>
            <w:bottom w:val="none" w:sz="0" w:space="0" w:color="auto"/>
            <w:right w:val="none" w:sz="0" w:space="0" w:color="auto"/>
          </w:divBdr>
        </w:div>
        <w:div w:id="523788250">
          <w:marLeft w:val="480"/>
          <w:marRight w:val="0"/>
          <w:marTop w:val="0"/>
          <w:marBottom w:val="0"/>
          <w:divBdr>
            <w:top w:val="none" w:sz="0" w:space="0" w:color="auto"/>
            <w:left w:val="none" w:sz="0" w:space="0" w:color="auto"/>
            <w:bottom w:val="none" w:sz="0" w:space="0" w:color="auto"/>
            <w:right w:val="none" w:sz="0" w:space="0" w:color="auto"/>
          </w:divBdr>
        </w:div>
        <w:div w:id="1221283589">
          <w:marLeft w:val="480"/>
          <w:marRight w:val="0"/>
          <w:marTop w:val="0"/>
          <w:marBottom w:val="0"/>
          <w:divBdr>
            <w:top w:val="none" w:sz="0" w:space="0" w:color="auto"/>
            <w:left w:val="none" w:sz="0" w:space="0" w:color="auto"/>
            <w:bottom w:val="none" w:sz="0" w:space="0" w:color="auto"/>
            <w:right w:val="none" w:sz="0" w:space="0" w:color="auto"/>
          </w:divBdr>
        </w:div>
        <w:div w:id="355732879">
          <w:marLeft w:val="480"/>
          <w:marRight w:val="0"/>
          <w:marTop w:val="0"/>
          <w:marBottom w:val="0"/>
          <w:divBdr>
            <w:top w:val="none" w:sz="0" w:space="0" w:color="auto"/>
            <w:left w:val="none" w:sz="0" w:space="0" w:color="auto"/>
            <w:bottom w:val="none" w:sz="0" w:space="0" w:color="auto"/>
            <w:right w:val="none" w:sz="0" w:space="0" w:color="auto"/>
          </w:divBdr>
        </w:div>
        <w:div w:id="879437103">
          <w:marLeft w:val="480"/>
          <w:marRight w:val="0"/>
          <w:marTop w:val="0"/>
          <w:marBottom w:val="0"/>
          <w:divBdr>
            <w:top w:val="none" w:sz="0" w:space="0" w:color="auto"/>
            <w:left w:val="none" w:sz="0" w:space="0" w:color="auto"/>
            <w:bottom w:val="none" w:sz="0" w:space="0" w:color="auto"/>
            <w:right w:val="none" w:sz="0" w:space="0" w:color="auto"/>
          </w:divBdr>
        </w:div>
        <w:div w:id="440733907">
          <w:marLeft w:val="480"/>
          <w:marRight w:val="0"/>
          <w:marTop w:val="0"/>
          <w:marBottom w:val="0"/>
          <w:divBdr>
            <w:top w:val="none" w:sz="0" w:space="0" w:color="auto"/>
            <w:left w:val="none" w:sz="0" w:space="0" w:color="auto"/>
            <w:bottom w:val="none" w:sz="0" w:space="0" w:color="auto"/>
            <w:right w:val="none" w:sz="0" w:space="0" w:color="auto"/>
          </w:divBdr>
        </w:div>
        <w:div w:id="1940332764">
          <w:marLeft w:val="480"/>
          <w:marRight w:val="0"/>
          <w:marTop w:val="0"/>
          <w:marBottom w:val="0"/>
          <w:divBdr>
            <w:top w:val="none" w:sz="0" w:space="0" w:color="auto"/>
            <w:left w:val="none" w:sz="0" w:space="0" w:color="auto"/>
            <w:bottom w:val="none" w:sz="0" w:space="0" w:color="auto"/>
            <w:right w:val="none" w:sz="0" w:space="0" w:color="auto"/>
          </w:divBdr>
        </w:div>
        <w:div w:id="424419989">
          <w:marLeft w:val="480"/>
          <w:marRight w:val="0"/>
          <w:marTop w:val="0"/>
          <w:marBottom w:val="0"/>
          <w:divBdr>
            <w:top w:val="none" w:sz="0" w:space="0" w:color="auto"/>
            <w:left w:val="none" w:sz="0" w:space="0" w:color="auto"/>
            <w:bottom w:val="none" w:sz="0" w:space="0" w:color="auto"/>
            <w:right w:val="none" w:sz="0" w:space="0" w:color="auto"/>
          </w:divBdr>
        </w:div>
        <w:div w:id="847250701">
          <w:marLeft w:val="480"/>
          <w:marRight w:val="0"/>
          <w:marTop w:val="0"/>
          <w:marBottom w:val="0"/>
          <w:divBdr>
            <w:top w:val="none" w:sz="0" w:space="0" w:color="auto"/>
            <w:left w:val="none" w:sz="0" w:space="0" w:color="auto"/>
            <w:bottom w:val="none" w:sz="0" w:space="0" w:color="auto"/>
            <w:right w:val="none" w:sz="0" w:space="0" w:color="auto"/>
          </w:divBdr>
        </w:div>
        <w:div w:id="1077946389">
          <w:marLeft w:val="480"/>
          <w:marRight w:val="0"/>
          <w:marTop w:val="0"/>
          <w:marBottom w:val="0"/>
          <w:divBdr>
            <w:top w:val="none" w:sz="0" w:space="0" w:color="auto"/>
            <w:left w:val="none" w:sz="0" w:space="0" w:color="auto"/>
            <w:bottom w:val="none" w:sz="0" w:space="0" w:color="auto"/>
            <w:right w:val="none" w:sz="0" w:space="0" w:color="auto"/>
          </w:divBdr>
        </w:div>
        <w:div w:id="1296914579">
          <w:marLeft w:val="480"/>
          <w:marRight w:val="0"/>
          <w:marTop w:val="0"/>
          <w:marBottom w:val="0"/>
          <w:divBdr>
            <w:top w:val="none" w:sz="0" w:space="0" w:color="auto"/>
            <w:left w:val="none" w:sz="0" w:space="0" w:color="auto"/>
            <w:bottom w:val="none" w:sz="0" w:space="0" w:color="auto"/>
            <w:right w:val="none" w:sz="0" w:space="0" w:color="auto"/>
          </w:divBdr>
        </w:div>
        <w:div w:id="364134228">
          <w:marLeft w:val="480"/>
          <w:marRight w:val="0"/>
          <w:marTop w:val="0"/>
          <w:marBottom w:val="0"/>
          <w:divBdr>
            <w:top w:val="none" w:sz="0" w:space="0" w:color="auto"/>
            <w:left w:val="none" w:sz="0" w:space="0" w:color="auto"/>
            <w:bottom w:val="none" w:sz="0" w:space="0" w:color="auto"/>
            <w:right w:val="none" w:sz="0" w:space="0" w:color="auto"/>
          </w:divBdr>
        </w:div>
        <w:div w:id="652872219">
          <w:marLeft w:val="480"/>
          <w:marRight w:val="0"/>
          <w:marTop w:val="0"/>
          <w:marBottom w:val="0"/>
          <w:divBdr>
            <w:top w:val="none" w:sz="0" w:space="0" w:color="auto"/>
            <w:left w:val="none" w:sz="0" w:space="0" w:color="auto"/>
            <w:bottom w:val="none" w:sz="0" w:space="0" w:color="auto"/>
            <w:right w:val="none" w:sz="0" w:space="0" w:color="auto"/>
          </w:divBdr>
        </w:div>
        <w:div w:id="669524133">
          <w:marLeft w:val="480"/>
          <w:marRight w:val="0"/>
          <w:marTop w:val="0"/>
          <w:marBottom w:val="0"/>
          <w:divBdr>
            <w:top w:val="none" w:sz="0" w:space="0" w:color="auto"/>
            <w:left w:val="none" w:sz="0" w:space="0" w:color="auto"/>
            <w:bottom w:val="none" w:sz="0" w:space="0" w:color="auto"/>
            <w:right w:val="none" w:sz="0" w:space="0" w:color="auto"/>
          </w:divBdr>
        </w:div>
        <w:div w:id="2030638650">
          <w:marLeft w:val="480"/>
          <w:marRight w:val="0"/>
          <w:marTop w:val="0"/>
          <w:marBottom w:val="0"/>
          <w:divBdr>
            <w:top w:val="none" w:sz="0" w:space="0" w:color="auto"/>
            <w:left w:val="none" w:sz="0" w:space="0" w:color="auto"/>
            <w:bottom w:val="none" w:sz="0" w:space="0" w:color="auto"/>
            <w:right w:val="none" w:sz="0" w:space="0" w:color="auto"/>
          </w:divBdr>
        </w:div>
        <w:div w:id="1203206901">
          <w:marLeft w:val="480"/>
          <w:marRight w:val="0"/>
          <w:marTop w:val="0"/>
          <w:marBottom w:val="0"/>
          <w:divBdr>
            <w:top w:val="none" w:sz="0" w:space="0" w:color="auto"/>
            <w:left w:val="none" w:sz="0" w:space="0" w:color="auto"/>
            <w:bottom w:val="none" w:sz="0" w:space="0" w:color="auto"/>
            <w:right w:val="none" w:sz="0" w:space="0" w:color="auto"/>
          </w:divBdr>
        </w:div>
        <w:div w:id="931276258">
          <w:marLeft w:val="480"/>
          <w:marRight w:val="0"/>
          <w:marTop w:val="0"/>
          <w:marBottom w:val="0"/>
          <w:divBdr>
            <w:top w:val="none" w:sz="0" w:space="0" w:color="auto"/>
            <w:left w:val="none" w:sz="0" w:space="0" w:color="auto"/>
            <w:bottom w:val="none" w:sz="0" w:space="0" w:color="auto"/>
            <w:right w:val="none" w:sz="0" w:space="0" w:color="auto"/>
          </w:divBdr>
        </w:div>
        <w:div w:id="1445887109">
          <w:marLeft w:val="480"/>
          <w:marRight w:val="0"/>
          <w:marTop w:val="0"/>
          <w:marBottom w:val="0"/>
          <w:divBdr>
            <w:top w:val="none" w:sz="0" w:space="0" w:color="auto"/>
            <w:left w:val="none" w:sz="0" w:space="0" w:color="auto"/>
            <w:bottom w:val="none" w:sz="0" w:space="0" w:color="auto"/>
            <w:right w:val="none" w:sz="0" w:space="0" w:color="auto"/>
          </w:divBdr>
        </w:div>
        <w:div w:id="473259340">
          <w:marLeft w:val="480"/>
          <w:marRight w:val="0"/>
          <w:marTop w:val="0"/>
          <w:marBottom w:val="0"/>
          <w:divBdr>
            <w:top w:val="none" w:sz="0" w:space="0" w:color="auto"/>
            <w:left w:val="none" w:sz="0" w:space="0" w:color="auto"/>
            <w:bottom w:val="none" w:sz="0" w:space="0" w:color="auto"/>
            <w:right w:val="none" w:sz="0" w:space="0" w:color="auto"/>
          </w:divBdr>
        </w:div>
        <w:div w:id="1109811491">
          <w:marLeft w:val="480"/>
          <w:marRight w:val="0"/>
          <w:marTop w:val="0"/>
          <w:marBottom w:val="0"/>
          <w:divBdr>
            <w:top w:val="none" w:sz="0" w:space="0" w:color="auto"/>
            <w:left w:val="none" w:sz="0" w:space="0" w:color="auto"/>
            <w:bottom w:val="none" w:sz="0" w:space="0" w:color="auto"/>
            <w:right w:val="none" w:sz="0" w:space="0" w:color="auto"/>
          </w:divBdr>
        </w:div>
        <w:div w:id="661741546">
          <w:marLeft w:val="480"/>
          <w:marRight w:val="0"/>
          <w:marTop w:val="0"/>
          <w:marBottom w:val="0"/>
          <w:divBdr>
            <w:top w:val="none" w:sz="0" w:space="0" w:color="auto"/>
            <w:left w:val="none" w:sz="0" w:space="0" w:color="auto"/>
            <w:bottom w:val="none" w:sz="0" w:space="0" w:color="auto"/>
            <w:right w:val="none" w:sz="0" w:space="0" w:color="auto"/>
          </w:divBdr>
        </w:div>
        <w:div w:id="652873715">
          <w:marLeft w:val="480"/>
          <w:marRight w:val="0"/>
          <w:marTop w:val="0"/>
          <w:marBottom w:val="0"/>
          <w:divBdr>
            <w:top w:val="none" w:sz="0" w:space="0" w:color="auto"/>
            <w:left w:val="none" w:sz="0" w:space="0" w:color="auto"/>
            <w:bottom w:val="none" w:sz="0" w:space="0" w:color="auto"/>
            <w:right w:val="none" w:sz="0" w:space="0" w:color="auto"/>
          </w:divBdr>
        </w:div>
        <w:div w:id="1666859448">
          <w:marLeft w:val="480"/>
          <w:marRight w:val="0"/>
          <w:marTop w:val="0"/>
          <w:marBottom w:val="0"/>
          <w:divBdr>
            <w:top w:val="none" w:sz="0" w:space="0" w:color="auto"/>
            <w:left w:val="none" w:sz="0" w:space="0" w:color="auto"/>
            <w:bottom w:val="none" w:sz="0" w:space="0" w:color="auto"/>
            <w:right w:val="none" w:sz="0" w:space="0" w:color="auto"/>
          </w:divBdr>
        </w:div>
        <w:div w:id="1120958656">
          <w:marLeft w:val="480"/>
          <w:marRight w:val="0"/>
          <w:marTop w:val="0"/>
          <w:marBottom w:val="0"/>
          <w:divBdr>
            <w:top w:val="none" w:sz="0" w:space="0" w:color="auto"/>
            <w:left w:val="none" w:sz="0" w:space="0" w:color="auto"/>
            <w:bottom w:val="none" w:sz="0" w:space="0" w:color="auto"/>
            <w:right w:val="none" w:sz="0" w:space="0" w:color="auto"/>
          </w:divBdr>
        </w:div>
        <w:div w:id="391777784">
          <w:marLeft w:val="480"/>
          <w:marRight w:val="0"/>
          <w:marTop w:val="0"/>
          <w:marBottom w:val="0"/>
          <w:divBdr>
            <w:top w:val="none" w:sz="0" w:space="0" w:color="auto"/>
            <w:left w:val="none" w:sz="0" w:space="0" w:color="auto"/>
            <w:bottom w:val="none" w:sz="0" w:space="0" w:color="auto"/>
            <w:right w:val="none" w:sz="0" w:space="0" w:color="auto"/>
          </w:divBdr>
        </w:div>
        <w:div w:id="1957827843">
          <w:marLeft w:val="480"/>
          <w:marRight w:val="0"/>
          <w:marTop w:val="0"/>
          <w:marBottom w:val="0"/>
          <w:divBdr>
            <w:top w:val="none" w:sz="0" w:space="0" w:color="auto"/>
            <w:left w:val="none" w:sz="0" w:space="0" w:color="auto"/>
            <w:bottom w:val="none" w:sz="0" w:space="0" w:color="auto"/>
            <w:right w:val="none" w:sz="0" w:space="0" w:color="auto"/>
          </w:divBdr>
        </w:div>
        <w:div w:id="831138463">
          <w:marLeft w:val="480"/>
          <w:marRight w:val="0"/>
          <w:marTop w:val="0"/>
          <w:marBottom w:val="0"/>
          <w:divBdr>
            <w:top w:val="none" w:sz="0" w:space="0" w:color="auto"/>
            <w:left w:val="none" w:sz="0" w:space="0" w:color="auto"/>
            <w:bottom w:val="none" w:sz="0" w:space="0" w:color="auto"/>
            <w:right w:val="none" w:sz="0" w:space="0" w:color="auto"/>
          </w:divBdr>
        </w:div>
        <w:div w:id="614411805">
          <w:marLeft w:val="480"/>
          <w:marRight w:val="0"/>
          <w:marTop w:val="0"/>
          <w:marBottom w:val="0"/>
          <w:divBdr>
            <w:top w:val="none" w:sz="0" w:space="0" w:color="auto"/>
            <w:left w:val="none" w:sz="0" w:space="0" w:color="auto"/>
            <w:bottom w:val="none" w:sz="0" w:space="0" w:color="auto"/>
            <w:right w:val="none" w:sz="0" w:space="0" w:color="auto"/>
          </w:divBdr>
        </w:div>
        <w:div w:id="695159822">
          <w:marLeft w:val="480"/>
          <w:marRight w:val="0"/>
          <w:marTop w:val="0"/>
          <w:marBottom w:val="0"/>
          <w:divBdr>
            <w:top w:val="none" w:sz="0" w:space="0" w:color="auto"/>
            <w:left w:val="none" w:sz="0" w:space="0" w:color="auto"/>
            <w:bottom w:val="none" w:sz="0" w:space="0" w:color="auto"/>
            <w:right w:val="none" w:sz="0" w:space="0" w:color="auto"/>
          </w:divBdr>
        </w:div>
        <w:div w:id="1538397185">
          <w:marLeft w:val="480"/>
          <w:marRight w:val="0"/>
          <w:marTop w:val="0"/>
          <w:marBottom w:val="0"/>
          <w:divBdr>
            <w:top w:val="none" w:sz="0" w:space="0" w:color="auto"/>
            <w:left w:val="none" w:sz="0" w:space="0" w:color="auto"/>
            <w:bottom w:val="none" w:sz="0" w:space="0" w:color="auto"/>
            <w:right w:val="none" w:sz="0" w:space="0" w:color="auto"/>
          </w:divBdr>
        </w:div>
        <w:div w:id="2003577773">
          <w:marLeft w:val="480"/>
          <w:marRight w:val="0"/>
          <w:marTop w:val="0"/>
          <w:marBottom w:val="0"/>
          <w:divBdr>
            <w:top w:val="none" w:sz="0" w:space="0" w:color="auto"/>
            <w:left w:val="none" w:sz="0" w:space="0" w:color="auto"/>
            <w:bottom w:val="none" w:sz="0" w:space="0" w:color="auto"/>
            <w:right w:val="none" w:sz="0" w:space="0" w:color="auto"/>
          </w:divBdr>
        </w:div>
        <w:div w:id="749693283">
          <w:marLeft w:val="480"/>
          <w:marRight w:val="0"/>
          <w:marTop w:val="0"/>
          <w:marBottom w:val="0"/>
          <w:divBdr>
            <w:top w:val="none" w:sz="0" w:space="0" w:color="auto"/>
            <w:left w:val="none" w:sz="0" w:space="0" w:color="auto"/>
            <w:bottom w:val="none" w:sz="0" w:space="0" w:color="auto"/>
            <w:right w:val="none" w:sz="0" w:space="0" w:color="auto"/>
          </w:divBdr>
        </w:div>
        <w:div w:id="883953624">
          <w:marLeft w:val="480"/>
          <w:marRight w:val="0"/>
          <w:marTop w:val="0"/>
          <w:marBottom w:val="0"/>
          <w:divBdr>
            <w:top w:val="none" w:sz="0" w:space="0" w:color="auto"/>
            <w:left w:val="none" w:sz="0" w:space="0" w:color="auto"/>
            <w:bottom w:val="none" w:sz="0" w:space="0" w:color="auto"/>
            <w:right w:val="none" w:sz="0" w:space="0" w:color="auto"/>
          </w:divBdr>
        </w:div>
        <w:div w:id="1273394523">
          <w:marLeft w:val="480"/>
          <w:marRight w:val="0"/>
          <w:marTop w:val="0"/>
          <w:marBottom w:val="0"/>
          <w:divBdr>
            <w:top w:val="none" w:sz="0" w:space="0" w:color="auto"/>
            <w:left w:val="none" w:sz="0" w:space="0" w:color="auto"/>
            <w:bottom w:val="none" w:sz="0" w:space="0" w:color="auto"/>
            <w:right w:val="none" w:sz="0" w:space="0" w:color="auto"/>
          </w:divBdr>
        </w:div>
        <w:div w:id="1567959174">
          <w:marLeft w:val="480"/>
          <w:marRight w:val="0"/>
          <w:marTop w:val="0"/>
          <w:marBottom w:val="0"/>
          <w:divBdr>
            <w:top w:val="none" w:sz="0" w:space="0" w:color="auto"/>
            <w:left w:val="none" w:sz="0" w:space="0" w:color="auto"/>
            <w:bottom w:val="none" w:sz="0" w:space="0" w:color="auto"/>
            <w:right w:val="none" w:sz="0" w:space="0" w:color="auto"/>
          </w:divBdr>
        </w:div>
        <w:div w:id="553733622">
          <w:marLeft w:val="480"/>
          <w:marRight w:val="0"/>
          <w:marTop w:val="0"/>
          <w:marBottom w:val="0"/>
          <w:divBdr>
            <w:top w:val="none" w:sz="0" w:space="0" w:color="auto"/>
            <w:left w:val="none" w:sz="0" w:space="0" w:color="auto"/>
            <w:bottom w:val="none" w:sz="0" w:space="0" w:color="auto"/>
            <w:right w:val="none" w:sz="0" w:space="0" w:color="auto"/>
          </w:divBdr>
        </w:div>
        <w:div w:id="1664157751">
          <w:marLeft w:val="480"/>
          <w:marRight w:val="0"/>
          <w:marTop w:val="0"/>
          <w:marBottom w:val="0"/>
          <w:divBdr>
            <w:top w:val="none" w:sz="0" w:space="0" w:color="auto"/>
            <w:left w:val="none" w:sz="0" w:space="0" w:color="auto"/>
            <w:bottom w:val="none" w:sz="0" w:space="0" w:color="auto"/>
            <w:right w:val="none" w:sz="0" w:space="0" w:color="auto"/>
          </w:divBdr>
        </w:div>
        <w:div w:id="1056708150">
          <w:marLeft w:val="480"/>
          <w:marRight w:val="0"/>
          <w:marTop w:val="0"/>
          <w:marBottom w:val="0"/>
          <w:divBdr>
            <w:top w:val="none" w:sz="0" w:space="0" w:color="auto"/>
            <w:left w:val="none" w:sz="0" w:space="0" w:color="auto"/>
            <w:bottom w:val="none" w:sz="0" w:space="0" w:color="auto"/>
            <w:right w:val="none" w:sz="0" w:space="0" w:color="auto"/>
          </w:divBdr>
        </w:div>
        <w:div w:id="287052743">
          <w:marLeft w:val="480"/>
          <w:marRight w:val="0"/>
          <w:marTop w:val="0"/>
          <w:marBottom w:val="0"/>
          <w:divBdr>
            <w:top w:val="none" w:sz="0" w:space="0" w:color="auto"/>
            <w:left w:val="none" w:sz="0" w:space="0" w:color="auto"/>
            <w:bottom w:val="none" w:sz="0" w:space="0" w:color="auto"/>
            <w:right w:val="none" w:sz="0" w:space="0" w:color="auto"/>
          </w:divBdr>
        </w:div>
        <w:div w:id="1353385798">
          <w:marLeft w:val="480"/>
          <w:marRight w:val="0"/>
          <w:marTop w:val="0"/>
          <w:marBottom w:val="0"/>
          <w:divBdr>
            <w:top w:val="none" w:sz="0" w:space="0" w:color="auto"/>
            <w:left w:val="none" w:sz="0" w:space="0" w:color="auto"/>
            <w:bottom w:val="none" w:sz="0" w:space="0" w:color="auto"/>
            <w:right w:val="none" w:sz="0" w:space="0" w:color="auto"/>
          </w:divBdr>
        </w:div>
        <w:div w:id="560136922">
          <w:marLeft w:val="480"/>
          <w:marRight w:val="0"/>
          <w:marTop w:val="0"/>
          <w:marBottom w:val="0"/>
          <w:divBdr>
            <w:top w:val="none" w:sz="0" w:space="0" w:color="auto"/>
            <w:left w:val="none" w:sz="0" w:space="0" w:color="auto"/>
            <w:bottom w:val="none" w:sz="0" w:space="0" w:color="auto"/>
            <w:right w:val="none" w:sz="0" w:space="0" w:color="auto"/>
          </w:divBdr>
        </w:div>
        <w:div w:id="1787306047">
          <w:marLeft w:val="480"/>
          <w:marRight w:val="0"/>
          <w:marTop w:val="0"/>
          <w:marBottom w:val="0"/>
          <w:divBdr>
            <w:top w:val="none" w:sz="0" w:space="0" w:color="auto"/>
            <w:left w:val="none" w:sz="0" w:space="0" w:color="auto"/>
            <w:bottom w:val="none" w:sz="0" w:space="0" w:color="auto"/>
            <w:right w:val="none" w:sz="0" w:space="0" w:color="auto"/>
          </w:divBdr>
        </w:div>
        <w:div w:id="271014394">
          <w:marLeft w:val="480"/>
          <w:marRight w:val="0"/>
          <w:marTop w:val="0"/>
          <w:marBottom w:val="0"/>
          <w:divBdr>
            <w:top w:val="none" w:sz="0" w:space="0" w:color="auto"/>
            <w:left w:val="none" w:sz="0" w:space="0" w:color="auto"/>
            <w:bottom w:val="none" w:sz="0" w:space="0" w:color="auto"/>
            <w:right w:val="none" w:sz="0" w:space="0" w:color="auto"/>
          </w:divBdr>
        </w:div>
        <w:div w:id="1946963557">
          <w:marLeft w:val="480"/>
          <w:marRight w:val="0"/>
          <w:marTop w:val="0"/>
          <w:marBottom w:val="0"/>
          <w:divBdr>
            <w:top w:val="none" w:sz="0" w:space="0" w:color="auto"/>
            <w:left w:val="none" w:sz="0" w:space="0" w:color="auto"/>
            <w:bottom w:val="none" w:sz="0" w:space="0" w:color="auto"/>
            <w:right w:val="none" w:sz="0" w:space="0" w:color="auto"/>
          </w:divBdr>
        </w:div>
        <w:div w:id="535196980">
          <w:marLeft w:val="480"/>
          <w:marRight w:val="0"/>
          <w:marTop w:val="0"/>
          <w:marBottom w:val="0"/>
          <w:divBdr>
            <w:top w:val="none" w:sz="0" w:space="0" w:color="auto"/>
            <w:left w:val="none" w:sz="0" w:space="0" w:color="auto"/>
            <w:bottom w:val="none" w:sz="0" w:space="0" w:color="auto"/>
            <w:right w:val="none" w:sz="0" w:space="0" w:color="auto"/>
          </w:divBdr>
        </w:div>
        <w:div w:id="154801586">
          <w:marLeft w:val="480"/>
          <w:marRight w:val="0"/>
          <w:marTop w:val="0"/>
          <w:marBottom w:val="0"/>
          <w:divBdr>
            <w:top w:val="none" w:sz="0" w:space="0" w:color="auto"/>
            <w:left w:val="none" w:sz="0" w:space="0" w:color="auto"/>
            <w:bottom w:val="none" w:sz="0" w:space="0" w:color="auto"/>
            <w:right w:val="none" w:sz="0" w:space="0" w:color="auto"/>
          </w:divBdr>
        </w:div>
        <w:div w:id="1818840802">
          <w:marLeft w:val="480"/>
          <w:marRight w:val="0"/>
          <w:marTop w:val="0"/>
          <w:marBottom w:val="0"/>
          <w:divBdr>
            <w:top w:val="none" w:sz="0" w:space="0" w:color="auto"/>
            <w:left w:val="none" w:sz="0" w:space="0" w:color="auto"/>
            <w:bottom w:val="none" w:sz="0" w:space="0" w:color="auto"/>
            <w:right w:val="none" w:sz="0" w:space="0" w:color="auto"/>
          </w:divBdr>
        </w:div>
        <w:div w:id="1334918629">
          <w:marLeft w:val="480"/>
          <w:marRight w:val="0"/>
          <w:marTop w:val="0"/>
          <w:marBottom w:val="0"/>
          <w:divBdr>
            <w:top w:val="none" w:sz="0" w:space="0" w:color="auto"/>
            <w:left w:val="none" w:sz="0" w:space="0" w:color="auto"/>
            <w:bottom w:val="none" w:sz="0" w:space="0" w:color="auto"/>
            <w:right w:val="none" w:sz="0" w:space="0" w:color="auto"/>
          </w:divBdr>
        </w:div>
        <w:div w:id="205337349">
          <w:marLeft w:val="480"/>
          <w:marRight w:val="0"/>
          <w:marTop w:val="0"/>
          <w:marBottom w:val="0"/>
          <w:divBdr>
            <w:top w:val="none" w:sz="0" w:space="0" w:color="auto"/>
            <w:left w:val="none" w:sz="0" w:space="0" w:color="auto"/>
            <w:bottom w:val="none" w:sz="0" w:space="0" w:color="auto"/>
            <w:right w:val="none" w:sz="0" w:space="0" w:color="auto"/>
          </w:divBdr>
        </w:div>
        <w:div w:id="1777630733">
          <w:marLeft w:val="480"/>
          <w:marRight w:val="0"/>
          <w:marTop w:val="0"/>
          <w:marBottom w:val="0"/>
          <w:divBdr>
            <w:top w:val="none" w:sz="0" w:space="0" w:color="auto"/>
            <w:left w:val="none" w:sz="0" w:space="0" w:color="auto"/>
            <w:bottom w:val="none" w:sz="0" w:space="0" w:color="auto"/>
            <w:right w:val="none" w:sz="0" w:space="0" w:color="auto"/>
          </w:divBdr>
        </w:div>
        <w:div w:id="1895658715">
          <w:marLeft w:val="480"/>
          <w:marRight w:val="0"/>
          <w:marTop w:val="0"/>
          <w:marBottom w:val="0"/>
          <w:divBdr>
            <w:top w:val="none" w:sz="0" w:space="0" w:color="auto"/>
            <w:left w:val="none" w:sz="0" w:space="0" w:color="auto"/>
            <w:bottom w:val="none" w:sz="0" w:space="0" w:color="auto"/>
            <w:right w:val="none" w:sz="0" w:space="0" w:color="auto"/>
          </w:divBdr>
        </w:div>
        <w:div w:id="773860650">
          <w:marLeft w:val="480"/>
          <w:marRight w:val="0"/>
          <w:marTop w:val="0"/>
          <w:marBottom w:val="0"/>
          <w:divBdr>
            <w:top w:val="none" w:sz="0" w:space="0" w:color="auto"/>
            <w:left w:val="none" w:sz="0" w:space="0" w:color="auto"/>
            <w:bottom w:val="none" w:sz="0" w:space="0" w:color="auto"/>
            <w:right w:val="none" w:sz="0" w:space="0" w:color="auto"/>
          </w:divBdr>
        </w:div>
        <w:div w:id="1062564350">
          <w:marLeft w:val="480"/>
          <w:marRight w:val="0"/>
          <w:marTop w:val="0"/>
          <w:marBottom w:val="0"/>
          <w:divBdr>
            <w:top w:val="none" w:sz="0" w:space="0" w:color="auto"/>
            <w:left w:val="none" w:sz="0" w:space="0" w:color="auto"/>
            <w:bottom w:val="none" w:sz="0" w:space="0" w:color="auto"/>
            <w:right w:val="none" w:sz="0" w:space="0" w:color="auto"/>
          </w:divBdr>
        </w:div>
        <w:div w:id="1366172863">
          <w:marLeft w:val="480"/>
          <w:marRight w:val="0"/>
          <w:marTop w:val="0"/>
          <w:marBottom w:val="0"/>
          <w:divBdr>
            <w:top w:val="none" w:sz="0" w:space="0" w:color="auto"/>
            <w:left w:val="none" w:sz="0" w:space="0" w:color="auto"/>
            <w:bottom w:val="none" w:sz="0" w:space="0" w:color="auto"/>
            <w:right w:val="none" w:sz="0" w:space="0" w:color="auto"/>
          </w:divBdr>
        </w:div>
        <w:div w:id="1183276079">
          <w:marLeft w:val="480"/>
          <w:marRight w:val="0"/>
          <w:marTop w:val="0"/>
          <w:marBottom w:val="0"/>
          <w:divBdr>
            <w:top w:val="none" w:sz="0" w:space="0" w:color="auto"/>
            <w:left w:val="none" w:sz="0" w:space="0" w:color="auto"/>
            <w:bottom w:val="none" w:sz="0" w:space="0" w:color="auto"/>
            <w:right w:val="none" w:sz="0" w:space="0" w:color="auto"/>
          </w:divBdr>
        </w:div>
        <w:div w:id="171847194">
          <w:marLeft w:val="480"/>
          <w:marRight w:val="0"/>
          <w:marTop w:val="0"/>
          <w:marBottom w:val="0"/>
          <w:divBdr>
            <w:top w:val="none" w:sz="0" w:space="0" w:color="auto"/>
            <w:left w:val="none" w:sz="0" w:space="0" w:color="auto"/>
            <w:bottom w:val="none" w:sz="0" w:space="0" w:color="auto"/>
            <w:right w:val="none" w:sz="0" w:space="0" w:color="auto"/>
          </w:divBdr>
        </w:div>
        <w:div w:id="793980730">
          <w:marLeft w:val="480"/>
          <w:marRight w:val="0"/>
          <w:marTop w:val="0"/>
          <w:marBottom w:val="0"/>
          <w:divBdr>
            <w:top w:val="none" w:sz="0" w:space="0" w:color="auto"/>
            <w:left w:val="none" w:sz="0" w:space="0" w:color="auto"/>
            <w:bottom w:val="none" w:sz="0" w:space="0" w:color="auto"/>
            <w:right w:val="none" w:sz="0" w:space="0" w:color="auto"/>
          </w:divBdr>
        </w:div>
        <w:div w:id="1209302096">
          <w:marLeft w:val="480"/>
          <w:marRight w:val="0"/>
          <w:marTop w:val="0"/>
          <w:marBottom w:val="0"/>
          <w:divBdr>
            <w:top w:val="none" w:sz="0" w:space="0" w:color="auto"/>
            <w:left w:val="none" w:sz="0" w:space="0" w:color="auto"/>
            <w:bottom w:val="none" w:sz="0" w:space="0" w:color="auto"/>
            <w:right w:val="none" w:sz="0" w:space="0" w:color="auto"/>
          </w:divBdr>
        </w:div>
        <w:div w:id="621889261">
          <w:marLeft w:val="480"/>
          <w:marRight w:val="0"/>
          <w:marTop w:val="0"/>
          <w:marBottom w:val="0"/>
          <w:divBdr>
            <w:top w:val="none" w:sz="0" w:space="0" w:color="auto"/>
            <w:left w:val="none" w:sz="0" w:space="0" w:color="auto"/>
            <w:bottom w:val="none" w:sz="0" w:space="0" w:color="auto"/>
            <w:right w:val="none" w:sz="0" w:space="0" w:color="auto"/>
          </w:divBdr>
        </w:div>
        <w:div w:id="538856594">
          <w:marLeft w:val="480"/>
          <w:marRight w:val="0"/>
          <w:marTop w:val="0"/>
          <w:marBottom w:val="0"/>
          <w:divBdr>
            <w:top w:val="none" w:sz="0" w:space="0" w:color="auto"/>
            <w:left w:val="none" w:sz="0" w:space="0" w:color="auto"/>
            <w:bottom w:val="none" w:sz="0" w:space="0" w:color="auto"/>
            <w:right w:val="none" w:sz="0" w:space="0" w:color="auto"/>
          </w:divBdr>
        </w:div>
        <w:div w:id="382796291">
          <w:marLeft w:val="480"/>
          <w:marRight w:val="0"/>
          <w:marTop w:val="0"/>
          <w:marBottom w:val="0"/>
          <w:divBdr>
            <w:top w:val="none" w:sz="0" w:space="0" w:color="auto"/>
            <w:left w:val="none" w:sz="0" w:space="0" w:color="auto"/>
            <w:bottom w:val="none" w:sz="0" w:space="0" w:color="auto"/>
            <w:right w:val="none" w:sz="0" w:space="0" w:color="auto"/>
          </w:divBdr>
        </w:div>
        <w:div w:id="969625966">
          <w:marLeft w:val="480"/>
          <w:marRight w:val="0"/>
          <w:marTop w:val="0"/>
          <w:marBottom w:val="0"/>
          <w:divBdr>
            <w:top w:val="none" w:sz="0" w:space="0" w:color="auto"/>
            <w:left w:val="none" w:sz="0" w:space="0" w:color="auto"/>
            <w:bottom w:val="none" w:sz="0" w:space="0" w:color="auto"/>
            <w:right w:val="none" w:sz="0" w:space="0" w:color="auto"/>
          </w:divBdr>
        </w:div>
        <w:div w:id="289557123">
          <w:marLeft w:val="480"/>
          <w:marRight w:val="0"/>
          <w:marTop w:val="0"/>
          <w:marBottom w:val="0"/>
          <w:divBdr>
            <w:top w:val="none" w:sz="0" w:space="0" w:color="auto"/>
            <w:left w:val="none" w:sz="0" w:space="0" w:color="auto"/>
            <w:bottom w:val="none" w:sz="0" w:space="0" w:color="auto"/>
            <w:right w:val="none" w:sz="0" w:space="0" w:color="auto"/>
          </w:divBdr>
        </w:div>
        <w:div w:id="444076684">
          <w:marLeft w:val="480"/>
          <w:marRight w:val="0"/>
          <w:marTop w:val="0"/>
          <w:marBottom w:val="0"/>
          <w:divBdr>
            <w:top w:val="none" w:sz="0" w:space="0" w:color="auto"/>
            <w:left w:val="none" w:sz="0" w:space="0" w:color="auto"/>
            <w:bottom w:val="none" w:sz="0" w:space="0" w:color="auto"/>
            <w:right w:val="none" w:sz="0" w:space="0" w:color="auto"/>
          </w:divBdr>
        </w:div>
        <w:div w:id="394009877">
          <w:marLeft w:val="480"/>
          <w:marRight w:val="0"/>
          <w:marTop w:val="0"/>
          <w:marBottom w:val="0"/>
          <w:divBdr>
            <w:top w:val="none" w:sz="0" w:space="0" w:color="auto"/>
            <w:left w:val="none" w:sz="0" w:space="0" w:color="auto"/>
            <w:bottom w:val="none" w:sz="0" w:space="0" w:color="auto"/>
            <w:right w:val="none" w:sz="0" w:space="0" w:color="auto"/>
          </w:divBdr>
        </w:div>
        <w:div w:id="1091704429">
          <w:marLeft w:val="480"/>
          <w:marRight w:val="0"/>
          <w:marTop w:val="0"/>
          <w:marBottom w:val="0"/>
          <w:divBdr>
            <w:top w:val="none" w:sz="0" w:space="0" w:color="auto"/>
            <w:left w:val="none" w:sz="0" w:space="0" w:color="auto"/>
            <w:bottom w:val="none" w:sz="0" w:space="0" w:color="auto"/>
            <w:right w:val="none" w:sz="0" w:space="0" w:color="auto"/>
          </w:divBdr>
        </w:div>
        <w:div w:id="1524510410">
          <w:marLeft w:val="480"/>
          <w:marRight w:val="0"/>
          <w:marTop w:val="0"/>
          <w:marBottom w:val="0"/>
          <w:divBdr>
            <w:top w:val="none" w:sz="0" w:space="0" w:color="auto"/>
            <w:left w:val="none" w:sz="0" w:space="0" w:color="auto"/>
            <w:bottom w:val="none" w:sz="0" w:space="0" w:color="auto"/>
            <w:right w:val="none" w:sz="0" w:space="0" w:color="auto"/>
          </w:divBdr>
        </w:div>
        <w:div w:id="533617841">
          <w:marLeft w:val="480"/>
          <w:marRight w:val="0"/>
          <w:marTop w:val="0"/>
          <w:marBottom w:val="0"/>
          <w:divBdr>
            <w:top w:val="none" w:sz="0" w:space="0" w:color="auto"/>
            <w:left w:val="none" w:sz="0" w:space="0" w:color="auto"/>
            <w:bottom w:val="none" w:sz="0" w:space="0" w:color="auto"/>
            <w:right w:val="none" w:sz="0" w:space="0" w:color="auto"/>
          </w:divBdr>
        </w:div>
        <w:div w:id="75446046">
          <w:marLeft w:val="480"/>
          <w:marRight w:val="0"/>
          <w:marTop w:val="0"/>
          <w:marBottom w:val="0"/>
          <w:divBdr>
            <w:top w:val="none" w:sz="0" w:space="0" w:color="auto"/>
            <w:left w:val="none" w:sz="0" w:space="0" w:color="auto"/>
            <w:bottom w:val="none" w:sz="0" w:space="0" w:color="auto"/>
            <w:right w:val="none" w:sz="0" w:space="0" w:color="auto"/>
          </w:divBdr>
        </w:div>
        <w:div w:id="356395671">
          <w:marLeft w:val="480"/>
          <w:marRight w:val="0"/>
          <w:marTop w:val="0"/>
          <w:marBottom w:val="0"/>
          <w:divBdr>
            <w:top w:val="none" w:sz="0" w:space="0" w:color="auto"/>
            <w:left w:val="none" w:sz="0" w:space="0" w:color="auto"/>
            <w:bottom w:val="none" w:sz="0" w:space="0" w:color="auto"/>
            <w:right w:val="none" w:sz="0" w:space="0" w:color="auto"/>
          </w:divBdr>
        </w:div>
        <w:div w:id="153304493">
          <w:marLeft w:val="480"/>
          <w:marRight w:val="0"/>
          <w:marTop w:val="0"/>
          <w:marBottom w:val="0"/>
          <w:divBdr>
            <w:top w:val="none" w:sz="0" w:space="0" w:color="auto"/>
            <w:left w:val="none" w:sz="0" w:space="0" w:color="auto"/>
            <w:bottom w:val="none" w:sz="0" w:space="0" w:color="auto"/>
            <w:right w:val="none" w:sz="0" w:space="0" w:color="auto"/>
          </w:divBdr>
        </w:div>
        <w:div w:id="489370958">
          <w:marLeft w:val="480"/>
          <w:marRight w:val="0"/>
          <w:marTop w:val="0"/>
          <w:marBottom w:val="0"/>
          <w:divBdr>
            <w:top w:val="none" w:sz="0" w:space="0" w:color="auto"/>
            <w:left w:val="none" w:sz="0" w:space="0" w:color="auto"/>
            <w:bottom w:val="none" w:sz="0" w:space="0" w:color="auto"/>
            <w:right w:val="none" w:sz="0" w:space="0" w:color="auto"/>
          </w:divBdr>
        </w:div>
        <w:div w:id="1996179883">
          <w:marLeft w:val="480"/>
          <w:marRight w:val="0"/>
          <w:marTop w:val="0"/>
          <w:marBottom w:val="0"/>
          <w:divBdr>
            <w:top w:val="none" w:sz="0" w:space="0" w:color="auto"/>
            <w:left w:val="none" w:sz="0" w:space="0" w:color="auto"/>
            <w:bottom w:val="none" w:sz="0" w:space="0" w:color="auto"/>
            <w:right w:val="none" w:sz="0" w:space="0" w:color="auto"/>
          </w:divBdr>
        </w:div>
        <w:div w:id="917783811">
          <w:marLeft w:val="480"/>
          <w:marRight w:val="0"/>
          <w:marTop w:val="0"/>
          <w:marBottom w:val="0"/>
          <w:divBdr>
            <w:top w:val="none" w:sz="0" w:space="0" w:color="auto"/>
            <w:left w:val="none" w:sz="0" w:space="0" w:color="auto"/>
            <w:bottom w:val="none" w:sz="0" w:space="0" w:color="auto"/>
            <w:right w:val="none" w:sz="0" w:space="0" w:color="auto"/>
          </w:divBdr>
        </w:div>
        <w:div w:id="580338681">
          <w:marLeft w:val="480"/>
          <w:marRight w:val="0"/>
          <w:marTop w:val="0"/>
          <w:marBottom w:val="0"/>
          <w:divBdr>
            <w:top w:val="none" w:sz="0" w:space="0" w:color="auto"/>
            <w:left w:val="none" w:sz="0" w:space="0" w:color="auto"/>
            <w:bottom w:val="none" w:sz="0" w:space="0" w:color="auto"/>
            <w:right w:val="none" w:sz="0" w:space="0" w:color="auto"/>
          </w:divBdr>
        </w:div>
        <w:div w:id="946161368">
          <w:marLeft w:val="480"/>
          <w:marRight w:val="0"/>
          <w:marTop w:val="0"/>
          <w:marBottom w:val="0"/>
          <w:divBdr>
            <w:top w:val="none" w:sz="0" w:space="0" w:color="auto"/>
            <w:left w:val="none" w:sz="0" w:space="0" w:color="auto"/>
            <w:bottom w:val="none" w:sz="0" w:space="0" w:color="auto"/>
            <w:right w:val="none" w:sz="0" w:space="0" w:color="auto"/>
          </w:divBdr>
        </w:div>
        <w:div w:id="1740325956">
          <w:marLeft w:val="480"/>
          <w:marRight w:val="0"/>
          <w:marTop w:val="0"/>
          <w:marBottom w:val="0"/>
          <w:divBdr>
            <w:top w:val="none" w:sz="0" w:space="0" w:color="auto"/>
            <w:left w:val="none" w:sz="0" w:space="0" w:color="auto"/>
            <w:bottom w:val="none" w:sz="0" w:space="0" w:color="auto"/>
            <w:right w:val="none" w:sz="0" w:space="0" w:color="auto"/>
          </w:divBdr>
        </w:div>
        <w:div w:id="1903251533">
          <w:marLeft w:val="480"/>
          <w:marRight w:val="0"/>
          <w:marTop w:val="0"/>
          <w:marBottom w:val="0"/>
          <w:divBdr>
            <w:top w:val="none" w:sz="0" w:space="0" w:color="auto"/>
            <w:left w:val="none" w:sz="0" w:space="0" w:color="auto"/>
            <w:bottom w:val="none" w:sz="0" w:space="0" w:color="auto"/>
            <w:right w:val="none" w:sz="0" w:space="0" w:color="auto"/>
          </w:divBdr>
        </w:div>
        <w:div w:id="1266842309">
          <w:marLeft w:val="480"/>
          <w:marRight w:val="0"/>
          <w:marTop w:val="0"/>
          <w:marBottom w:val="0"/>
          <w:divBdr>
            <w:top w:val="none" w:sz="0" w:space="0" w:color="auto"/>
            <w:left w:val="none" w:sz="0" w:space="0" w:color="auto"/>
            <w:bottom w:val="none" w:sz="0" w:space="0" w:color="auto"/>
            <w:right w:val="none" w:sz="0" w:space="0" w:color="auto"/>
          </w:divBdr>
        </w:div>
        <w:div w:id="1985347944">
          <w:marLeft w:val="480"/>
          <w:marRight w:val="0"/>
          <w:marTop w:val="0"/>
          <w:marBottom w:val="0"/>
          <w:divBdr>
            <w:top w:val="none" w:sz="0" w:space="0" w:color="auto"/>
            <w:left w:val="none" w:sz="0" w:space="0" w:color="auto"/>
            <w:bottom w:val="none" w:sz="0" w:space="0" w:color="auto"/>
            <w:right w:val="none" w:sz="0" w:space="0" w:color="auto"/>
          </w:divBdr>
        </w:div>
        <w:div w:id="2087192635">
          <w:marLeft w:val="480"/>
          <w:marRight w:val="0"/>
          <w:marTop w:val="0"/>
          <w:marBottom w:val="0"/>
          <w:divBdr>
            <w:top w:val="none" w:sz="0" w:space="0" w:color="auto"/>
            <w:left w:val="none" w:sz="0" w:space="0" w:color="auto"/>
            <w:bottom w:val="none" w:sz="0" w:space="0" w:color="auto"/>
            <w:right w:val="none" w:sz="0" w:space="0" w:color="auto"/>
          </w:divBdr>
        </w:div>
        <w:div w:id="1283615698">
          <w:marLeft w:val="480"/>
          <w:marRight w:val="0"/>
          <w:marTop w:val="0"/>
          <w:marBottom w:val="0"/>
          <w:divBdr>
            <w:top w:val="none" w:sz="0" w:space="0" w:color="auto"/>
            <w:left w:val="none" w:sz="0" w:space="0" w:color="auto"/>
            <w:bottom w:val="none" w:sz="0" w:space="0" w:color="auto"/>
            <w:right w:val="none" w:sz="0" w:space="0" w:color="auto"/>
          </w:divBdr>
        </w:div>
        <w:div w:id="1844391198">
          <w:marLeft w:val="480"/>
          <w:marRight w:val="0"/>
          <w:marTop w:val="0"/>
          <w:marBottom w:val="0"/>
          <w:divBdr>
            <w:top w:val="none" w:sz="0" w:space="0" w:color="auto"/>
            <w:left w:val="none" w:sz="0" w:space="0" w:color="auto"/>
            <w:bottom w:val="none" w:sz="0" w:space="0" w:color="auto"/>
            <w:right w:val="none" w:sz="0" w:space="0" w:color="auto"/>
          </w:divBdr>
        </w:div>
        <w:div w:id="1751733316">
          <w:marLeft w:val="480"/>
          <w:marRight w:val="0"/>
          <w:marTop w:val="0"/>
          <w:marBottom w:val="0"/>
          <w:divBdr>
            <w:top w:val="none" w:sz="0" w:space="0" w:color="auto"/>
            <w:left w:val="none" w:sz="0" w:space="0" w:color="auto"/>
            <w:bottom w:val="none" w:sz="0" w:space="0" w:color="auto"/>
            <w:right w:val="none" w:sz="0" w:space="0" w:color="auto"/>
          </w:divBdr>
        </w:div>
        <w:div w:id="1312635142">
          <w:marLeft w:val="480"/>
          <w:marRight w:val="0"/>
          <w:marTop w:val="0"/>
          <w:marBottom w:val="0"/>
          <w:divBdr>
            <w:top w:val="none" w:sz="0" w:space="0" w:color="auto"/>
            <w:left w:val="none" w:sz="0" w:space="0" w:color="auto"/>
            <w:bottom w:val="none" w:sz="0" w:space="0" w:color="auto"/>
            <w:right w:val="none" w:sz="0" w:space="0" w:color="auto"/>
          </w:divBdr>
        </w:div>
        <w:div w:id="1191532548">
          <w:marLeft w:val="480"/>
          <w:marRight w:val="0"/>
          <w:marTop w:val="0"/>
          <w:marBottom w:val="0"/>
          <w:divBdr>
            <w:top w:val="none" w:sz="0" w:space="0" w:color="auto"/>
            <w:left w:val="none" w:sz="0" w:space="0" w:color="auto"/>
            <w:bottom w:val="none" w:sz="0" w:space="0" w:color="auto"/>
            <w:right w:val="none" w:sz="0" w:space="0" w:color="auto"/>
          </w:divBdr>
        </w:div>
        <w:div w:id="1086852392">
          <w:marLeft w:val="480"/>
          <w:marRight w:val="0"/>
          <w:marTop w:val="0"/>
          <w:marBottom w:val="0"/>
          <w:divBdr>
            <w:top w:val="none" w:sz="0" w:space="0" w:color="auto"/>
            <w:left w:val="none" w:sz="0" w:space="0" w:color="auto"/>
            <w:bottom w:val="none" w:sz="0" w:space="0" w:color="auto"/>
            <w:right w:val="none" w:sz="0" w:space="0" w:color="auto"/>
          </w:divBdr>
        </w:div>
        <w:div w:id="1151557343">
          <w:marLeft w:val="480"/>
          <w:marRight w:val="0"/>
          <w:marTop w:val="0"/>
          <w:marBottom w:val="0"/>
          <w:divBdr>
            <w:top w:val="none" w:sz="0" w:space="0" w:color="auto"/>
            <w:left w:val="none" w:sz="0" w:space="0" w:color="auto"/>
            <w:bottom w:val="none" w:sz="0" w:space="0" w:color="auto"/>
            <w:right w:val="none" w:sz="0" w:space="0" w:color="auto"/>
          </w:divBdr>
        </w:div>
        <w:div w:id="648633990">
          <w:marLeft w:val="480"/>
          <w:marRight w:val="0"/>
          <w:marTop w:val="0"/>
          <w:marBottom w:val="0"/>
          <w:divBdr>
            <w:top w:val="none" w:sz="0" w:space="0" w:color="auto"/>
            <w:left w:val="none" w:sz="0" w:space="0" w:color="auto"/>
            <w:bottom w:val="none" w:sz="0" w:space="0" w:color="auto"/>
            <w:right w:val="none" w:sz="0" w:space="0" w:color="auto"/>
          </w:divBdr>
        </w:div>
        <w:div w:id="1361786733">
          <w:marLeft w:val="480"/>
          <w:marRight w:val="0"/>
          <w:marTop w:val="0"/>
          <w:marBottom w:val="0"/>
          <w:divBdr>
            <w:top w:val="none" w:sz="0" w:space="0" w:color="auto"/>
            <w:left w:val="none" w:sz="0" w:space="0" w:color="auto"/>
            <w:bottom w:val="none" w:sz="0" w:space="0" w:color="auto"/>
            <w:right w:val="none" w:sz="0" w:space="0" w:color="auto"/>
          </w:divBdr>
        </w:div>
        <w:div w:id="1997175479">
          <w:marLeft w:val="480"/>
          <w:marRight w:val="0"/>
          <w:marTop w:val="0"/>
          <w:marBottom w:val="0"/>
          <w:divBdr>
            <w:top w:val="none" w:sz="0" w:space="0" w:color="auto"/>
            <w:left w:val="none" w:sz="0" w:space="0" w:color="auto"/>
            <w:bottom w:val="none" w:sz="0" w:space="0" w:color="auto"/>
            <w:right w:val="none" w:sz="0" w:space="0" w:color="auto"/>
          </w:divBdr>
        </w:div>
        <w:div w:id="1627127925">
          <w:marLeft w:val="480"/>
          <w:marRight w:val="0"/>
          <w:marTop w:val="0"/>
          <w:marBottom w:val="0"/>
          <w:divBdr>
            <w:top w:val="none" w:sz="0" w:space="0" w:color="auto"/>
            <w:left w:val="none" w:sz="0" w:space="0" w:color="auto"/>
            <w:bottom w:val="none" w:sz="0" w:space="0" w:color="auto"/>
            <w:right w:val="none" w:sz="0" w:space="0" w:color="auto"/>
          </w:divBdr>
        </w:div>
        <w:div w:id="243226388">
          <w:marLeft w:val="480"/>
          <w:marRight w:val="0"/>
          <w:marTop w:val="0"/>
          <w:marBottom w:val="0"/>
          <w:divBdr>
            <w:top w:val="none" w:sz="0" w:space="0" w:color="auto"/>
            <w:left w:val="none" w:sz="0" w:space="0" w:color="auto"/>
            <w:bottom w:val="none" w:sz="0" w:space="0" w:color="auto"/>
            <w:right w:val="none" w:sz="0" w:space="0" w:color="auto"/>
          </w:divBdr>
        </w:div>
        <w:div w:id="1044912330">
          <w:marLeft w:val="480"/>
          <w:marRight w:val="0"/>
          <w:marTop w:val="0"/>
          <w:marBottom w:val="0"/>
          <w:divBdr>
            <w:top w:val="none" w:sz="0" w:space="0" w:color="auto"/>
            <w:left w:val="none" w:sz="0" w:space="0" w:color="auto"/>
            <w:bottom w:val="none" w:sz="0" w:space="0" w:color="auto"/>
            <w:right w:val="none" w:sz="0" w:space="0" w:color="auto"/>
          </w:divBdr>
        </w:div>
        <w:div w:id="146242370">
          <w:marLeft w:val="480"/>
          <w:marRight w:val="0"/>
          <w:marTop w:val="0"/>
          <w:marBottom w:val="0"/>
          <w:divBdr>
            <w:top w:val="none" w:sz="0" w:space="0" w:color="auto"/>
            <w:left w:val="none" w:sz="0" w:space="0" w:color="auto"/>
            <w:bottom w:val="none" w:sz="0" w:space="0" w:color="auto"/>
            <w:right w:val="none" w:sz="0" w:space="0" w:color="auto"/>
          </w:divBdr>
        </w:div>
        <w:div w:id="926888571">
          <w:marLeft w:val="480"/>
          <w:marRight w:val="0"/>
          <w:marTop w:val="0"/>
          <w:marBottom w:val="0"/>
          <w:divBdr>
            <w:top w:val="none" w:sz="0" w:space="0" w:color="auto"/>
            <w:left w:val="none" w:sz="0" w:space="0" w:color="auto"/>
            <w:bottom w:val="none" w:sz="0" w:space="0" w:color="auto"/>
            <w:right w:val="none" w:sz="0" w:space="0" w:color="auto"/>
          </w:divBdr>
        </w:div>
        <w:div w:id="742534171">
          <w:marLeft w:val="480"/>
          <w:marRight w:val="0"/>
          <w:marTop w:val="0"/>
          <w:marBottom w:val="0"/>
          <w:divBdr>
            <w:top w:val="none" w:sz="0" w:space="0" w:color="auto"/>
            <w:left w:val="none" w:sz="0" w:space="0" w:color="auto"/>
            <w:bottom w:val="none" w:sz="0" w:space="0" w:color="auto"/>
            <w:right w:val="none" w:sz="0" w:space="0" w:color="auto"/>
          </w:divBdr>
        </w:div>
        <w:div w:id="317657021">
          <w:marLeft w:val="480"/>
          <w:marRight w:val="0"/>
          <w:marTop w:val="0"/>
          <w:marBottom w:val="0"/>
          <w:divBdr>
            <w:top w:val="none" w:sz="0" w:space="0" w:color="auto"/>
            <w:left w:val="none" w:sz="0" w:space="0" w:color="auto"/>
            <w:bottom w:val="none" w:sz="0" w:space="0" w:color="auto"/>
            <w:right w:val="none" w:sz="0" w:space="0" w:color="auto"/>
          </w:divBdr>
        </w:div>
        <w:div w:id="1434084143">
          <w:marLeft w:val="480"/>
          <w:marRight w:val="0"/>
          <w:marTop w:val="0"/>
          <w:marBottom w:val="0"/>
          <w:divBdr>
            <w:top w:val="none" w:sz="0" w:space="0" w:color="auto"/>
            <w:left w:val="none" w:sz="0" w:space="0" w:color="auto"/>
            <w:bottom w:val="none" w:sz="0" w:space="0" w:color="auto"/>
            <w:right w:val="none" w:sz="0" w:space="0" w:color="auto"/>
          </w:divBdr>
        </w:div>
        <w:div w:id="690762170">
          <w:marLeft w:val="480"/>
          <w:marRight w:val="0"/>
          <w:marTop w:val="0"/>
          <w:marBottom w:val="0"/>
          <w:divBdr>
            <w:top w:val="none" w:sz="0" w:space="0" w:color="auto"/>
            <w:left w:val="none" w:sz="0" w:space="0" w:color="auto"/>
            <w:bottom w:val="none" w:sz="0" w:space="0" w:color="auto"/>
            <w:right w:val="none" w:sz="0" w:space="0" w:color="auto"/>
          </w:divBdr>
        </w:div>
        <w:div w:id="1434785073">
          <w:marLeft w:val="480"/>
          <w:marRight w:val="0"/>
          <w:marTop w:val="0"/>
          <w:marBottom w:val="0"/>
          <w:divBdr>
            <w:top w:val="none" w:sz="0" w:space="0" w:color="auto"/>
            <w:left w:val="none" w:sz="0" w:space="0" w:color="auto"/>
            <w:bottom w:val="none" w:sz="0" w:space="0" w:color="auto"/>
            <w:right w:val="none" w:sz="0" w:space="0" w:color="auto"/>
          </w:divBdr>
        </w:div>
        <w:div w:id="1978415112">
          <w:marLeft w:val="480"/>
          <w:marRight w:val="0"/>
          <w:marTop w:val="0"/>
          <w:marBottom w:val="0"/>
          <w:divBdr>
            <w:top w:val="none" w:sz="0" w:space="0" w:color="auto"/>
            <w:left w:val="none" w:sz="0" w:space="0" w:color="auto"/>
            <w:bottom w:val="none" w:sz="0" w:space="0" w:color="auto"/>
            <w:right w:val="none" w:sz="0" w:space="0" w:color="auto"/>
          </w:divBdr>
        </w:div>
        <w:div w:id="484590414">
          <w:marLeft w:val="480"/>
          <w:marRight w:val="0"/>
          <w:marTop w:val="0"/>
          <w:marBottom w:val="0"/>
          <w:divBdr>
            <w:top w:val="none" w:sz="0" w:space="0" w:color="auto"/>
            <w:left w:val="none" w:sz="0" w:space="0" w:color="auto"/>
            <w:bottom w:val="none" w:sz="0" w:space="0" w:color="auto"/>
            <w:right w:val="none" w:sz="0" w:space="0" w:color="auto"/>
          </w:divBdr>
        </w:div>
        <w:div w:id="411779911">
          <w:marLeft w:val="480"/>
          <w:marRight w:val="0"/>
          <w:marTop w:val="0"/>
          <w:marBottom w:val="0"/>
          <w:divBdr>
            <w:top w:val="none" w:sz="0" w:space="0" w:color="auto"/>
            <w:left w:val="none" w:sz="0" w:space="0" w:color="auto"/>
            <w:bottom w:val="none" w:sz="0" w:space="0" w:color="auto"/>
            <w:right w:val="none" w:sz="0" w:space="0" w:color="auto"/>
          </w:divBdr>
        </w:div>
        <w:div w:id="124128686">
          <w:marLeft w:val="480"/>
          <w:marRight w:val="0"/>
          <w:marTop w:val="0"/>
          <w:marBottom w:val="0"/>
          <w:divBdr>
            <w:top w:val="none" w:sz="0" w:space="0" w:color="auto"/>
            <w:left w:val="none" w:sz="0" w:space="0" w:color="auto"/>
            <w:bottom w:val="none" w:sz="0" w:space="0" w:color="auto"/>
            <w:right w:val="none" w:sz="0" w:space="0" w:color="auto"/>
          </w:divBdr>
        </w:div>
        <w:div w:id="1390035394">
          <w:marLeft w:val="480"/>
          <w:marRight w:val="0"/>
          <w:marTop w:val="0"/>
          <w:marBottom w:val="0"/>
          <w:divBdr>
            <w:top w:val="none" w:sz="0" w:space="0" w:color="auto"/>
            <w:left w:val="none" w:sz="0" w:space="0" w:color="auto"/>
            <w:bottom w:val="none" w:sz="0" w:space="0" w:color="auto"/>
            <w:right w:val="none" w:sz="0" w:space="0" w:color="auto"/>
          </w:divBdr>
        </w:div>
        <w:div w:id="1225071590">
          <w:marLeft w:val="480"/>
          <w:marRight w:val="0"/>
          <w:marTop w:val="0"/>
          <w:marBottom w:val="0"/>
          <w:divBdr>
            <w:top w:val="none" w:sz="0" w:space="0" w:color="auto"/>
            <w:left w:val="none" w:sz="0" w:space="0" w:color="auto"/>
            <w:bottom w:val="none" w:sz="0" w:space="0" w:color="auto"/>
            <w:right w:val="none" w:sz="0" w:space="0" w:color="auto"/>
          </w:divBdr>
        </w:div>
        <w:div w:id="1731608523">
          <w:marLeft w:val="480"/>
          <w:marRight w:val="0"/>
          <w:marTop w:val="0"/>
          <w:marBottom w:val="0"/>
          <w:divBdr>
            <w:top w:val="none" w:sz="0" w:space="0" w:color="auto"/>
            <w:left w:val="none" w:sz="0" w:space="0" w:color="auto"/>
            <w:bottom w:val="none" w:sz="0" w:space="0" w:color="auto"/>
            <w:right w:val="none" w:sz="0" w:space="0" w:color="auto"/>
          </w:divBdr>
        </w:div>
        <w:div w:id="1790514584">
          <w:marLeft w:val="480"/>
          <w:marRight w:val="0"/>
          <w:marTop w:val="0"/>
          <w:marBottom w:val="0"/>
          <w:divBdr>
            <w:top w:val="none" w:sz="0" w:space="0" w:color="auto"/>
            <w:left w:val="none" w:sz="0" w:space="0" w:color="auto"/>
            <w:bottom w:val="none" w:sz="0" w:space="0" w:color="auto"/>
            <w:right w:val="none" w:sz="0" w:space="0" w:color="auto"/>
          </w:divBdr>
        </w:div>
        <w:div w:id="1689090967">
          <w:marLeft w:val="480"/>
          <w:marRight w:val="0"/>
          <w:marTop w:val="0"/>
          <w:marBottom w:val="0"/>
          <w:divBdr>
            <w:top w:val="none" w:sz="0" w:space="0" w:color="auto"/>
            <w:left w:val="none" w:sz="0" w:space="0" w:color="auto"/>
            <w:bottom w:val="none" w:sz="0" w:space="0" w:color="auto"/>
            <w:right w:val="none" w:sz="0" w:space="0" w:color="auto"/>
          </w:divBdr>
        </w:div>
        <w:div w:id="2071732715">
          <w:marLeft w:val="480"/>
          <w:marRight w:val="0"/>
          <w:marTop w:val="0"/>
          <w:marBottom w:val="0"/>
          <w:divBdr>
            <w:top w:val="none" w:sz="0" w:space="0" w:color="auto"/>
            <w:left w:val="none" w:sz="0" w:space="0" w:color="auto"/>
            <w:bottom w:val="none" w:sz="0" w:space="0" w:color="auto"/>
            <w:right w:val="none" w:sz="0" w:space="0" w:color="auto"/>
          </w:divBdr>
        </w:div>
        <w:div w:id="999580457">
          <w:marLeft w:val="480"/>
          <w:marRight w:val="0"/>
          <w:marTop w:val="0"/>
          <w:marBottom w:val="0"/>
          <w:divBdr>
            <w:top w:val="none" w:sz="0" w:space="0" w:color="auto"/>
            <w:left w:val="none" w:sz="0" w:space="0" w:color="auto"/>
            <w:bottom w:val="none" w:sz="0" w:space="0" w:color="auto"/>
            <w:right w:val="none" w:sz="0" w:space="0" w:color="auto"/>
          </w:divBdr>
        </w:div>
        <w:div w:id="1384449863">
          <w:marLeft w:val="480"/>
          <w:marRight w:val="0"/>
          <w:marTop w:val="0"/>
          <w:marBottom w:val="0"/>
          <w:divBdr>
            <w:top w:val="none" w:sz="0" w:space="0" w:color="auto"/>
            <w:left w:val="none" w:sz="0" w:space="0" w:color="auto"/>
            <w:bottom w:val="none" w:sz="0" w:space="0" w:color="auto"/>
            <w:right w:val="none" w:sz="0" w:space="0" w:color="auto"/>
          </w:divBdr>
        </w:div>
        <w:div w:id="741098737">
          <w:marLeft w:val="480"/>
          <w:marRight w:val="0"/>
          <w:marTop w:val="0"/>
          <w:marBottom w:val="0"/>
          <w:divBdr>
            <w:top w:val="none" w:sz="0" w:space="0" w:color="auto"/>
            <w:left w:val="none" w:sz="0" w:space="0" w:color="auto"/>
            <w:bottom w:val="none" w:sz="0" w:space="0" w:color="auto"/>
            <w:right w:val="none" w:sz="0" w:space="0" w:color="auto"/>
          </w:divBdr>
        </w:div>
        <w:div w:id="1685328710">
          <w:marLeft w:val="480"/>
          <w:marRight w:val="0"/>
          <w:marTop w:val="0"/>
          <w:marBottom w:val="0"/>
          <w:divBdr>
            <w:top w:val="none" w:sz="0" w:space="0" w:color="auto"/>
            <w:left w:val="none" w:sz="0" w:space="0" w:color="auto"/>
            <w:bottom w:val="none" w:sz="0" w:space="0" w:color="auto"/>
            <w:right w:val="none" w:sz="0" w:space="0" w:color="auto"/>
          </w:divBdr>
        </w:div>
        <w:div w:id="1698577701">
          <w:marLeft w:val="480"/>
          <w:marRight w:val="0"/>
          <w:marTop w:val="0"/>
          <w:marBottom w:val="0"/>
          <w:divBdr>
            <w:top w:val="none" w:sz="0" w:space="0" w:color="auto"/>
            <w:left w:val="none" w:sz="0" w:space="0" w:color="auto"/>
            <w:bottom w:val="none" w:sz="0" w:space="0" w:color="auto"/>
            <w:right w:val="none" w:sz="0" w:space="0" w:color="auto"/>
          </w:divBdr>
        </w:div>
        <w:div w:id="1583369665">
          <w:marLeft w:val="480"/>
          <w:marRight w:val="0"/>
          <w:marTop w:val="0"/>
          <w:marBottom w:val="0"/>
          <w:divBdr>
            <w:top w:val="none" w:sz="0" w:space="0" w:color="auto"/>
            <w:left w:val="none" w:sz="0" w:space="0" w:color="auto"/>
            <w:bottom w:val="none" w:sz="0" w:space="0" w:color="auto"/>
            <w:right w:val="none" w:sz="0" w:space="0" w:color="auto"/>
          </w:divBdr>
        </w:div>
        <w:div w:id="285158438">
          <w:marLeft w:val="480"/>
          <w:marRight w:val="0"/>
          <w:marTop w:val="0"/>
          <w:marBottom w:val="0"/>
          <w:divBdr>
            <w:top w:val="none" w:sz="0" w:space="0" w:color="auto"/>
            <w:left w:val="none" w:sz="0" w:space="0" w:color="auto"/>
            <w:bottom w:val="none" w:sz="0" w:space="0" w:color="auto"/>
            <w:right w:val="none" w:sz="0" w:space="0" w:color="auto"/>
          </w:divBdr>
        </w:div>
        <w:div w:id="1433623677">
          <w:marLeft w:val="480"/>
          <w:marRight w:val="0"/>
          <w:marTop w:val="0"/>
          <w:marBottom w:val="0"/>
          <w:divBdr>
            <w:top w:val="none" w:sz="0" w:space="0" w:color="auto"/>
            <w:left w:val="none" w:sz="0" w:space="0" w:color="auto"/>
            <w:bottom w:val="none" w:sz="0" w:space="0" w:color="auto"/>
            <w:right w:val="none" w:sz="0" w:space="0" w:color="auto"/>
          </w:divBdr>
        </w:div>
        <w:div w:id="1504081380">
          <w:marLeft w:val="480"/>
          <w:marRight w:val="0"/>
          <w:marTop w:val="0"/>
          <w:marBottom w:val="0"/>
          <w:divBdr>
            <w:top w:val="none" w:sz="0" w:space="0" w:color="auto"/>
            <w:left w:val="none" w:sz="0" w:space="0" w:color="auto"/>
            <w:bottom w:val="none" w:sz="0" w:space="0" w:color="auto"/>
            <w:right w:val="none" w:sz="0" w:space="0" w:color="auto"/>
          </w:divBdr>
        </w:div>
        <w:div w:id="1456755959">
          <w:marLeft w:val="480"/>
          <w:marRight w:val="0"/>
          <w:marTop w:val="0"/>
          <w:marBottom w:val="0"/>
          <w:divBdr>
            <w:top w:val="none" w:sz="0" w:space="0" w:color="auto"/>
            <w:left w:val="none" w:sz="0" w:space="0" w:color="auto"/>
            <w:bottom w:val="none" w:sz="0" w:space="0" w:color="auto"/>
            <w:right w:val="none" w:sz="0" w:space="0" w:color="auto"/>
          </w:divBdr>
        </w:div>
        <w:div w:id="1004624034">
          <w:marLeft w:val="480"/>
          <w:marRight w:val="0"/>
          <w:marTop w:val="0"/>
          <w:marBottom w:val="0"/>
          <w:divBdr>
            <w:top w:val="none" w:sz="0" w:space="0" w:color="auto"/>
            <w:left w:val="none" w:sz="0" w:space="0" w:color="auto"/>
            <w:bottom w:val="none" w:sz="0" w:space="0" w:color="auto"/>
            <w:right w:val="none" w:sz="0" w:space="0" w:color="auto"/>
          </w:divBdr>
        </w:div>
        <w:div w:id="1469782627">
          <w:marLeft w:val="480"/>
          <w:marRight w:val="0"/>
          <w:marTop w:val="0"/>
          <w:marBottom w:val="0"/>
          <w:divBdr>
            <w:top w:val="none" w:sz="0" w:space="0" w:color="auto"/>
            <w:left w:val="none" w:sz="0" w:space="0" w:color="auto"/>
            <w:bottom w:val="none" w:sz="0" w:space="0" w:color="auto"/>
            <w:right w:val="none" w:sz="0" w:space="0" w:color="auto"/>
          </w:divBdr>
        </w:div>
        <w:div w:id="1167131070">
          <w:marLeft w:val="480"/>
          <w:marRight w:val="0"/>
          <w:marTop w:val="0"/>
          <w:marBottom w:val="0"/>
          <w:divBdr>
            <w:top w:val="none" w:sz="0" w:space="0" w:color="auto"/>
            <w:left w:val="none" w:sz="0" w:space="0" w:color="auto"/>
            <w:bottom w:val="none" w:sz="0" w:space="0" w:color="auto"/>
            <w:right w:val="none" w:sz="0" w:space="0" w:color="auto"/>
          </w:divBdr>
        </w:div>
        <w:div w:id="1286422864">
          <w:marLeft w:val="480"/>
          <w:marRight w:val="0"/>
          <w:marTop w:val="0"/>
          <w:marBottom w:val="0"/>
          <w:divBdr>
            <w:top w:val="none" w:sz="0" w:space="0" w:color="auto"/>
            <w:left w:val="none" w:sz="0" w:space="0" w:color="auto"/>
            <w:bottom w:val="none" w:sz="0" w:space="0" w:color="auto"/>
            <w:right w:val="none" w:sz="0" w:space="0" w:color="auto"/>
          </w:divBdr>
        </w:div>
        <w:div w:id="1044790530">
          <w:marLeft w:val="480"/>
          <w:marRight w:val="0"/>
          <w:marTop w:val="0"/>
          <w:marBottom w:val="0"/>
          <w:divBdr>
            <w:top w:val="none" w:sz="0" w:space="0" w:color="auto"/>
            <w:left w:val="none" w:sz="0" w:space="0" w:color="auto"/>
            <w:bottom w:val="none" w:sz="0" w:space="0" w:color="auto"/>
            <w:right w:val="none" w:sz="0" w:space="0" w:color="auto"/>
          </w:divBdr>
        </w:div>
        <w:div w:id="461922943">
          <w:marLeft w:val="480"/>
          <w:marRight w:val="0"/>
          <w:marTop w:val="0"/>
          <w:marBottom w:val="0"/>
          <w:divBdr>
            <w:top w:val="none" w:sz="0" w:space="0" w:color="auto"/>
            <w:left w:val="none" w:sz="0" w:space="0" w:color="auto"/>
            <w:bottom w:val="none" w:sz="0" w:space="0" w:color="auto"/>
            <w:right w:val="none" w:sz="0" w:space="0" w:color="auto"/>
          </w:divBdr>
        </w:div>
        <w:div w:id="1130248617">
          <w:marLeft w:val="480"/>
          <w:marRight w:val="0"/>
          <w:marTop w:val="0"/>
          <w:marBottom w:val="0"/>
          <w:divBdr>
            <w:top w:val="none" w:sz="0" w:space="0" w:color="auto"/>
            <w:left w:val="none" w:sz="0" w:space="0" w:color="auto"/>
            <w:bottom w:val="none" w:sz="0" w:space="0" w:color="auto"/>
            <w:right w:val="none" w:sz="0" w:space="0" w:color="auto"/>
          </w:divBdr>
        </w:div>
        <w:div w:id="506484184">
          <w:marLeft w:val="480"/>
          <w:marRight w:val="0"/>
          <w:marTop w:val="0"/>
          <w:marBottom w:val="0"/>
          <w:divBdr>
            <w:top w:val="none" w:sz="0" w:space="0" w:color="auto"/>
            <w:left w:val="none" w:sz="0" w:space="0" w:color="auto"/>
            <w:bottom w:val="none" w:sz="0" w:space="0" w:color="auto"/>
            <w:right w:val="none" w:sz="0" w:space="0" w:color="auto"/>
          </w:divBdr>
        </w:div>
        <w:div w:id="1494102576">
          <w:marLeft w:val="480"/>
          <w:marRight w:val="0"/>
          <w:marTop w:val="0"/>
          <w:marBottom w:val="0"/>
          <w:divBdr>
            <w:top w:val="none" w:sz="0" w:space="0" w:color="auto"/>
            <w:left w:val="none" w:sz="0" w:space="0" w:color="auto"/>
            <w:bottom w:val="none" w:sz="0" w:space="0" w:color="auto"/>
            <w:right w:val="none" w:sz="0" w:space="0" w:color="auto"/>
          </w:divBdr>
        </w:div>
        <w:div w:id="1675257629">
          <w:marLeft w:val="480"/>
          <w:marRight w:val="0"/>
          <w:marTop w:val="0"/>
          <w:marBottom w:val="0"/>
          <w:divBdr>
            <w:top w:val="none" w:sz="0" w:space="0" w:color="auto"/>
            <w:left w:val="none" w:sz="0" w:space="0" w:color="auto"/>
            <w:bottom w:val="none" w:sz="0" w:space="0" w:color="auto"/>
            <w:right w:val="none" w:sz="0" w:space="0" w:color="auto"/>
          </w:divBdr>
        </w:div>
        <w:div w:id="2039155994">
          <w:marLeft w:val="480"/>
          <w:marRight w:val="0"/>
          <w:marTop w:val="0"/>
          <w:marBottom w:val="0"/>
          <w:divBdr>
            <w:top w:val="none" w:sz="0" w:space="0" w:color="auto"/>
            <w:left w:val="none" w:sz="0" w:space="0" w:color="auto"/>
            <w:bottom w:val="none" w:sz="0" w:space="0" w:color="auto"/>
            <w:right w:val="none" w:sz="0" w:space="0" w:color="auto"/>
          </w:divBdr>
        </w:div>
        <w:div w:id="768114483">
          <w:marLeft w:val="480"/>
          <w:marRight w:val="0"/>
          <w:marTop w:val="0"/>
          <w:marBottom w:val="0"/>
          <w:divBdr>
            <w:top w:val="none" w:sz="0" w:space="0" w:color="auto"/>
            <w:left w:val="none" w:sz="0" w:space="0" w:color="auto"/>
            <w:bottom w:val="none" w:sz="0" w:space="0" w:color="auto"/>
            <w:right w:val="none" w:sz="0" w:space="0" w:color="auto"/>
          </w:divBdr>
        </w:div>
        <w:div w:id="2001880065">
          <w:marLeft w:val="480"/>
          <w:marRight w:val="0"/>
          <w:marTop w:val="0"/>
          <w:marBottom w:val="0"/>
          <w:divBdr>
            <w:top w:val="none" w:sz="0" w:space="0" w:color="auto"/>
            <w:left w:val="none" w:sz="0" w:space="0" w:color="auto"/>
            <w:bottom w:val="none" w:sz="0" w:space="0" w:color="auto"/>
            <w:right w:val="none" w:sz="0" w:space="0" w:color="auto"/>
          </w:divBdr>
        </w:div>
        <w:div w:id="2099136038">
          <w:marLeft w:val="480"/>
          <w:marRight w:val="0"/>
          <w:marTop w:val="0"/>
          <w:marBottom w:val="0"/>
          <w:divBdr>
            <w:top w:val="none" w:sz="0" w:space="0" w:color="auto"/>
            <w:left w:val="none" w:sz="0" w:space="0" w:color="auto"/>
            <w:bottom w:val="none" w:sz="0" w:space="0" w:color="auto"/>
            <w:right w:val="none" w:sz="0" w:space="0" w:color="auto"/>
          </w:divBdr>
        </w:div>
        <w:div w:id="1101144287">
          <w:marLeft w:val="480"/>
          <w:marRight w:val="0"/>
          <w:marTop w:val="0"/>
          <w:marBottom w:val="0"/>
          <w:divBdr>
            <w:top w:val="none" w:sz="0" w:space="0" w:color="auto"/>
            <w:left w:val="none" w:sz="0" w:space="0" w:color="auto"/>
            <w:bottom w:val="none" w:sz="0" w:space="0" w:color="auto"/>
            <w:right w:val="none" w:sz="0" w:space="0" w:color="auto"/>
          </w:divBdr>
        </w:div>
        <w:div w:id="305670905">
          <w:marLeft w:val="480"/>
          <w:marRight w:val="0"/>
          <w:marTop w:val="0"/>
          <w:marBottom w:val="0"/>
          <w:divBdr>
            <w:top w:val="none" w:sz="0" w:space="0" w:color="auto"/>
            <w:left w:val="none" w:sz="0" w:space="0" w:color="auto"/>
            <w:bottom w:val="none" w:sz="0" w:space="0" w:color="auto"/>
            <w:right w:val="none" w:sz="0" w:space="0" w:color="auto"/>
          </w:divBdr>
        </w:div>
        <w:div w:id="704520994">
          <w:marLeft w:val="480"/>
          <w:marRight w:val="0"/>
          <w:marTop w:val="0"/>
          <w:marBottom w:val="0"/>
          <w:divBdr>
            <w:top w:val="none" w:sz="0" w:space="0" w:color="auto"/>
            <w:left w:val="none" w:sz="0" w:space="0" w:color="auto"/>
            <w:bottom w:val="none" w:sz="0" w:space="0" w:color="auto"/>
            <w:right w:val="none" w:sz="0" w:space="0" w:color="auto"/>
          </w:divBdr>
        </w:div>
        <w:div w:id="1567842109">
          <w:marLeft w:val="480"/>
          <w:marRight w:val="0"/>
          <w:marTop w:val="0"/>
          <w:marBottom w:val="0"/>
          <w:divBdr>
            <w:top w:val="none" w:sz="0" w:space="0" w:color="auto"/>
            <w:left w:val="none" w:sz="0" w:space="0" w:color="auto"/>
            <w:bottom w:val="none" w:sz="0" w:space="0" w:color="auto"/>
            <w:right w:val="none" w:sz="0" w:space="0" w:color="auto"/>
          </w:divBdr>
        </w:div>
        <w:div w:id="1374958452">
          <w:marLeft w:val="480"/>
          <w:marRight w:val="0"/>
          <w:marTop w:val="0"/>
          <w:marBottom w:val="0"/>
          <w:divBdr>
            <w:top w:val="none" w:sz="0" w:space="0" w:color="auto"/>
            <w:left w:val="none" w:sz="0" w:space="0" w:color="auto"/>
            <w:bottom w:val="none" w:sz="0" w:space="0" w:color="auto"/>
            <w:right w:val="none" w:sz="0" w:space="0" w:color="auto"/>
          </w:divBdr>
        </w:div>
        <w:div w:id="1991052865">
          <w:marLeft w:val="480"/>
          <w:marRight w:val="0"/>
          <w:marTop w:val="0"/>
          <w:marBottom w:val="0"/>
          <w:divBdr>
            <w:top w:val="none" w:sz="0" w:space="0" w:color="auto"/>
            <w:left w:val="none" w:sz="0" w:space="0" w:color="auto"/>
            <w:bottom w:val="none" w:sz="0" w:space="0" w:color="auto"/>
            <w:right w:val="none" w:sz="0" w:space="0" w:color="auto"/>
          </w:divBdr>
        </w:div>
        <w:div w:id="1529030266">
          <w:marLeft w:val="480"/>
          <w:marRight w:val="0"/>
          <w:marTop w:val="0"/>
          <w:marBottom w:val="0"/>
          <w:divBdr>
            <w:top w:val="none" w:sz="0" w:space="0" w:color="auto"/>
            <w:left w:val="none" w:sz="0" w:space="0" w:color="auto"/>
            <w:bottom w:val="none" w:sz="0" w:space="0" w:color="auto"/>
            <w:right w:val="none" w:sz="0" w:space="0" w:color="auto"/>
          </w:divBdr>
        </w:div>
        <w:div w:id="562495547">
          <w:marLeft w:val="480"/>
          <w:marRight w:val="0"/>
          <w:marTop w:val="0"/>
          <w:marBottom w:val="0"/>
          <w:divBdr>
            <w:top w:val="none" w:sz="0" w:space="0" w:color="auto"/>
            <w:left w:val="none" w:sz="0" w:space="0" w:color="auto"/>
            <w:bottom w:val="none" w:sz="0" w:space="0" w:color="auto"/>
            <w:right w:val="none" w:sz="0" w:space="0" w:color="auto"/>
          </w:divBdr>
        </w:div>
        <w:div w:id="1579055762">
          <w:marLeft w:val="480"/>
          <w:marRight w:val="0"/>
          <w:marTop w:val="0"/>
          <w:marBottom w:val="0"/>
          <w:divBdr>
            <w:top w:val="none" w:sz="0" w:space="0" w:color="auto"/>
            <w:left w:val="none" w:sz="0" w:space="0" w:color="auto"/>
            <w:bottom w:val="none" w:sz="0" w:space="0" w:color="auto"/>
            <w:right w:val="none" w:sz="0" w:space="0" w:color="auto"/>
          </w:divBdr>
        </w:div>
        <w:div w:id="1512833376">
          <w:marLeft w:val="480"/>
          <w:marRight w:val="0"/>
          <w:marTop w:val="0"/>
          <w:marBottom w:val="0"/>
          <w:divBdr>
            <w:top w:val="none" w:sz="0" w:space="0" w:color="auto"/>
            <w:left w:val="none" w:sz="0" w:space="0" w:color="auto"/>
            <w:bottom w:val="none" w:sz="0" w:space="0" w:color="auto"/>
            <w:right w:val="none" w:sz="0" w:space="0" w:color="auto"/>
          </w:divBdr>
        </w:div>
        <w:div w:id="1258102753">
          <w:marLeft w:val="480"/>
          <w:marRight w:val="0"/>
          <w:marTop w:val="0"/>
          <w:marBottom w:val="0"/>
          <w:divBdr>
            <w:top w:val="none" w:sz="0" w:space="0" w:color="auto"/>
            <w:left w:val="none" w:sz="0" w:space="0" w:color="auto"/>
            <w:bottom w:val="none" w:sz="0" w:space="0" w:color="auto"/>
            <w:right w:val="none" w:sz="0" w:space="0" w:color="auto"/>
          </w:divBdr>
        </w:div>
        <w:div w:id="357849667">
          <w:marLeft w:val="480"/>
          <w:marRight w:val="0"/>
          <w:marTop w:val="0"/>
          <w:marBottom w:val="0"/>
          <w:divBdr>
            <w:top w:val="none" w:sz="0" w:space="0" w:color="auto"/>
            <w:left w:val="none" w:sz="0" w:space="0" w:color="auto"/>
            <w:bottom w:val="none" w:sz="0" w:space="0" w:color="auto"/>
            <w:right w:val="none" w:sz="0" w:space="0" w:color="auto"/>
          </w:divBdr>
        </w:div>
        <w:div w:id="1745420424">
          <w:marLeft w:val="480"/>
          <w:marRight w:val="0"/>
          <w:marTop w:val="0"/>
          <w:marBottom w:val="0"/>
          <w:divBdr>
            <w:top w:val="none" w:sz="0" w:space="0" w:color="auto"/>
            <w:left w:val="none" w:sz="0" w:space="0" w:color="auto"/>
            <w:bottom w:val="none" w:sz="0" w:space="0" w:color="auto"/>
            <w:right w:val="none" w:sz="0" w:space="0" w:color="auto"/>
          </w:divBdr>
        </w:div>
        <w:div w:id="1655526512">
          <w:marLeft w:val="480"/>
          <w:marRight w:val="0"/>
          <w:marTop w:val="0"/>
          <w:marBottom w:val="0"/>
          <w:divBdr>
            <w:top w:val="none" w:sz="0" w:space="0" w:color="auto"/>
            <w:left w:val="none" w:sz="0" w:space="0" w:color="auto"/>
            <w:bottom w:val="none" w:sz="0" w:space="0" w:color="auto"/>
            <w:right w:val="none" w:sz="0" w:space="0" w:color="auto"/>
          </w:divBdr>
        </w:div>
        <w:div w:id="1681277117">
          <w:marLeft w:val="480"/>
          <w:marRight w:val="0"/>
          <w:marTop w:val="0"/>
          <w:marBottom w:val="0"/>
          <w:divBdr>
            <w:top w:val="none" w:sz="0" w:space="0" w:color="auto"/>
            <w:left w:val="none" w:sz="0" w:space="0" w:color="auto"/>
            <w:bottom w:val="none" w:sz="0" w:space="0" w:color="auto"/>
            <w:right w:val="none" w:sz="0" w:space="0" w:color="auto"/>
          </w:divBdr>
        </w:div>
        <w:div w:id="894900821">
          <w:marLeft w:val="480"/>
          <w:marRight w:val="0"/>
          <w:marTop w:val="0"/>
          <w:marBottom w:val="0"/>
          <w:divBdr>
            <w:top w:val="none" w:sz="0" w:space="0" w:color="auto"/>
            <w:left w:val="none" w:sz="0" w:space="0" w:color="auto"/>
            <w:bottom w:val="none" w:sz="0" w:space="0" w:color="auto"/>
            <w:right w:val="none" w:sz="0" w:space="0" w:color="auto"/>
          </w:divBdr>
        </w:div>
        <w:div w:id="1078795912">
          <w:marLeft w:val="480"/>
          <w:marRight w:val="0"/>
          <w:marTop w:val="0"/>
          <w:marBottom w:val="0"/>
          <w:divBdr>
            <w:top w:val="none" w:sz="0" w:space="0" w:color="auto"/>
            <w:left w:val="none" w:sz="0" w:space="0" w:color="auto"/>
            <w:bottom w:val="none" w:sz="0" w:space="0" w:color="auto"/>
            <w:right w:val="none" w:sz="0" w:space="0" w:color="auto"/>
          </w:divBdr>
        </w:div>
        <w:div w:id="1477378455">
          <w:marLeft w:val="480"/>
          <w:marRight w:val="0"/>
          <w:marTop w:val="0"/>
          <w:marBottom w:val="0"/>
          <w:divBdr>
            <w:top w:val="none" w:sz="0" w:space="0" w:color="auto"/>
            <w:left w:val="none" w:sz="0" w:space="0" w:color="auto"/>
            <w:bottom w:val="none" w:sz="0" w:space="0" w:color="auto"/>
            <w:right w:val="none" w:sz="0" w:space="0" w:color="auto"/>
          </w:divBdr>
        </w:div>
        <w:div w:id="397751356">
          <w:marLeft w:val="480"/>
          <w:marRight w:val="0"/>
          <w:marTop w:val="0"/>
          <w:marBottom w:val="0"/>
          <w:divBdr>
            <w:top w:val="none" w:sz="0" w:space="0" w:color="auto"/>
            <w:left w:val="none" w:sz="0" w:space="0" w:color="auto"/>
            <w:bottom w:val="none" w:sz="0" w:space="0" w:color="auto"/>
            <w:right w:val="none" w:sz="0" w:space="0" w:color="auto"/>
          </w:divBdr>
        </w:div>
        <w:div w:id="1933274308">
          <w:marLeft w:val="480"/>
          <w:marRight w:val="0"/>
          <w:marTop w:val="0"/>
          <w:marBottom w:val="0"/>
          <w:divBdr>
            <w:top w:val="none" w:sz="0" w:space="0" w:color="auto"/>
            <w:left w:val="none" w:sz="0" w:space="0" w:color="auto"/>
            <w:bottom w:val="none" w:sz="0" w:space="0" w:color="auto"/>
            <w:right w:val="none" w:sz="0" w:space="0" w:color="auto"/>
          </w:divBdr>
        </w:div>
        <w:div w:id="1163542762">
          <w:marLeft w:val="480"/>
          <w:marRight w:val="0"/>
          <w:marTop w:val="0"/>
          <w:marBottom w:val="0"/>
          <w:divBdr>
            <w:top w:val="none" w:sz="0" w:space="0" w:color="auto"/>
            <w:left w:val="none" w:sz="0" w:space="0" w:color="auto"/>
            <w:bottom w:val="none" w:sz="0" w:space="0" w:color="auto"/>
            <w:right w:val="none" w:sz="0" w:space="0" w:color="auto"/>
          </w:divBdr>
        </w:div>
        <w:div w:id="1686707191">
          <w:marLeft w:val="480"/>
          <w:marRight w:val="0"/>
          <w:marTop w:val="0"/>
          <w:marBottom w:val="0"/>
          <w:divBdr>
            <w:top w:val="none" w:sz="0" w:space="0" w:color="auto"/>
            <w:left w:val="none" w:sz="0" w:space="0" w:color="auto"/>
            <w:bottom w:val="none" w:sz="0" w:space="0" w:color="auto"/>
            <w:right w:val="none" w:sz="0" w:space="0" w:color="auto"/>
          </w:divBdr>
        </w:div>
        <w:div w:id="1573854394">
          <w:marLeft w:val="480"/>
          <w:marRight w:val="0"/>
          <w:marTop w:val="0"/>
          <w:marBottom w:val="0"/>
          <w:divBdr>
            <w:top w:val="none" w:sz="0" w:space="0" w:color="auto"/>
            <w:left w:val="none" w:sz="0" w:space="0" w:color="auto"/>
            <w:bottom w:val="none" w:sz="0" w:space="0" w:color="auto"/>
            <w:right w:val="none" w:sz="0" w:space="0" w:color="auto"/>
          </w:divBdr>
        </w:div>
        <w:div w:id="658729473">
          <w:marLeft w:val="480"/>
          <w:marRight w:val="0"/>
          <w:marTop w:val="0"/>
          <w:marBottom w:val="0"/>
          <w:divBdr>
            <w:top w:val="none" w:sz="0" w:space="0" w:color="auto"/>
            <w:left w:val="none" w:sz="0" w:space="0" w:color="auto"/>
            <w:bottom w:val="none" w:sz="0" w:space="0" w:color="auto"/>
            <w:right w:val="none" w:sz="0" w:space="0" w:color="auto"/>
          </w:divBdr>
        </w:div>
        <w:div w:id="1306199036">
          <w:marLeft w:val="480"/>
          <w:marRight w:val="0"/>
          <w:marTop w:val="0"/>
          <w:marBottom w:val="0"/>
          <w:divBdr>
            <w:top w:val="none" w:sz="0" w:space="0" w:color="auto"/>
            <w:left w:val="none" w:sz="0" w:space="0" w:color="auto"/>
            <w:bottom w:val="none" w:sz="0" w:space="0" w:color="auto"/>
            <w:right w:val="none" w:sz="0" w:space="0" w:color="auto"/>
          </w:divBdr>
        </w:div>
        <w:div w:id="1513300417">
          <w:marLeft w:val="480"/>
          <w:marRight w:val="0"/>
          <w:marTop w:val="0"/>
          <w:marBottom w:val="0"/>
          <w:divBdr>
            <w:top w:val="none" w:sz="0" w:space="0" w:color="auto"/>
            <w:left w:val="none" w:sz="0" w:space="0" w:color="auto"/>
            <w:bottom w:val="none" w:sz="0" w:space="0" w:color="auto"/>
            <w:right w:val="none" w:sz="0" w:space="0" w:color="auto"/>
          </w:divBdr>
        </w:div>
        <w:div w:id="38672493">
          <w:marLeft w:val="480"/>
          <w:marRight w:val="0"/>
          <w:marTop w:val="0"/>
          <w:marBottom w:val="0"/>
          <w:divBdr>
            <w:top w:val="none" w:sz="0" w:space="0" w:color="auto"/>
            <w:left w:val="none" w:sz="0" w:space="0" w:color="auto"/>
            <w:bottom w:val="none" w:sz="0" w:space="0" w:color="auto"/>
            <w:right w:val="none" w:sz="0" w:space="0" w:color="auto"/>
          </w:divBdr>
        </w:div>
        <w:div w:id="331296007">
          <w:marLeft w:val="480"/>
          <w:marRight w:val="0"/>
          <w:marTop w:val="0"/>
          <w:marBottom w:val="0"/>
          <w:divBdr>
            <w:top w:val="none" w:sz="0" w:space="0" w:color="auto"/>
            <w:left w:val="none" w:sz="0" w:space="0" w:color="auto"/>
            <w:bottom w:val="none" w:sz="0" w:space="0" w:color="auto"/>
            <w:right w:val="none" w:sz="0" w:space="0" w:color="auto"/>
          </w:divBdr>
        </w:div>
        <w:div w:id="2065521266">
          <w:marLeft w:val="480"/>
          <w:marRight w:val="0"/>
          <w:marTop w:val="0"/>
          <w:marBottom w:val="0"/>
          <w:divBdr>
            <w:top w:val="none" w:sz="0" w:space="0" w:color="auto"/>
            <w:left w:val="none" w:sz="0" w:space="0" w:color="auto"/>
            <w:bottom w:val="none" w:sz="0" w:space="0" w:color="auto"/>
            <w:right w:val="none" w:sz="0" w:space="0" w:color="auto"/>
          </w:divBdr>
        </w:div>
        <w:div w:id="1922909877">
          <w:marLeft w:val="480"/>
          <w:marRight w:val="0"/>
          <w:marTop w:val="0"/>
          <w:marBottom w:val="0"/>
          <w:divBdr>
            <w:top w:val="none" w:sz="0" w:space="0" w:color="auto"/>
            <w:left w:val="none" w:sz="0" w:space="0" w:color="auto"/>
            <w:bottom w:val="none" w:sz="0" w:space="0" w:color="auto"/>
            <w:right w:val="none" w:sz="0" w:space="0" w:color="auto"/>
          </w:divBdr>
        </w:div>
        <w:div w:id="820200397">
          <w:marLeft w:val="480"/>
          <w:marRight w:val="0"/>
          <w:marTop w:val="0"/>
          <w:marBottom w:val="0"/>
          <w:divBdr>
            <w:top w:val="none" w:sz="0" w:space="0" w:color="auto"/>
            <w:left w:val="none" w:sz="0" w:space="0" w:color="auto"/>
            <w:bottom w:val="none" w:sz="0" w:space="0" w:color="auto"/>
            <w:right w:val="none" w:sz="0" w:space="0" w:color="auto"/>
          </w:divBdr>
        </w:div>
        <w:div w:id="826819807">
          <w:marLeft w:val="480"/>
          <w:marRight w:val="0"/>
          <w:marTop w:val="0"/>
          <w:marBottom w:val="0"/>
          <w:divBdr>
            <w:top w:val="none" w:sz="0" w:space="0" w:color="auto"/>
            <w:left w:val="none" w:sz="0" w:space="0" w:color="auto"/>
            <w:bottom w:val="none" w:sz="0" w:space="0" w:color="auto"/>
            <w:right w:val="none" w:sz="0" w:space="0" w:color="auto"/>
          </w:divBdr>
        </w:div>
        <w:div w:id="685329557">
          <w:marLeft w:val="480"/>
          <w:marRight w:val="0"/>
          <w:marTop w:val="0"/>
          <w:marBottom w:val="0"/>
          <w:divBdr>
            <w:top w:val="none" w:sz="0" w:space="0" w:color="auto"/>
            <w:left w:val="none" w:sz="0" w:space="0" w:color="auto"/>
            <w:bottom w:val="none" w:sz="0" w:space="0" w:color="auto"/>
            <w:right w:val="none" w:sz="0" w:space="0" w:color="auto"/>
          </w:divBdr>
        </w:div>
        <w:div w:id="138108935">
          <w:marLeft w:val="480"/>
          <w:marRight w:val="0"/>
          <w:marTop w:val="0"/>
          <w:marBottom w:val="0"/>
          <w:divBdr>
            <w:top w:val="none" w:sz="0" w:space="0" w:color="auto"/>
            <w:left w:val="none" w:sz="0" w:space="0" w:color="auto"/>
            <w:bottom w:val="none" w:sz="0" w:space="0" w:color="auto"/>
            <w:right w:val="none" w:sz="0" w:space="0" w:color="auto"/>
          </w:divBdr>
        </w:div>
        <w:div w:id="603539910">
          <w:marLeft w:val="480"/>
          <w:marRight w:val="0"/>
          <w:marTop w:val="0"/>
          <w:marBottom w:val="0"/>
          <w:divBdr>
            <w:top w:val="none" w:sz="0" w:space="0" w:color="auto"/>
            <w:left w:val="none" w:sz="0" w:space="0" w:color="auto"/>
            <w:bottom w:val="none" w:sz="0" w:space="0" w:color="auto"/>
            <w:right w:val="none" w:sz="0" w:space="0" w:color="auto"/>
          </w:divBdr>
        </w:div>
        <w:div w:id="1590196843">
          <w:marLeft w:val="480"/>
          <w:marRight w:val="0"/>
          <w:marTop w:val="0"/>
          <w:marBottom w:val="0"/>
          <w:divBdr>
            <w:top w:val="none" w:sz="0" w:space="0" w:color="auto"/>
            <w:left w:val="none" w:sz="0" w:space="0" w:color="auto"/>
            <w:bottom w:val="none" w:sz="0" w:space="0" w:color="auto"/>
            <w:right w:val="none" w:sz="0" w:space="0" w:color="auto"/>
          </w:divBdr>
        </w:div>
        <w:div w:id="2130202107">
          <w:marLeft w:val="480"/>
          <w:marRight w:val="0"/>
          <w:marTop w:val="0"/>
          <w:marBottom w:val="0"/>
          <w:divBdr>
            <w:top w:val="none" w:sz="0" w:space="0" w:color="auto"/>
            <w:left w:val="none" w:sz="0" w:space="0" w:color="auto"/>
            <w:bottom w:val="none" w:sz="0" w:space="0" w:color="auto"/>
            <w:right w:val="none" w:sz="0" w:space="0" w:color="auto"/>
          </w:divBdr>
        </w:div>
        <w:div w:id="633632935">
          <w:marLeft w:val="480"/>
          <w:marRight w:val="0"/>
          <w:marTop w:val="0"/>
          <w:marBottom w:val="0"/>
          <w:divBdr>
            <w:top w:val="none" w:sz="0" w:space="0" w:color="auto"/>
            <w:left w:val="none" w:sz="0" w:space="0" w:color="auto"/>
            <w:bottom w:val="none" w:sz="0" w:space="0" w:color="auto"/>
            <w:right w:val="none" w:sz="0" w:space="0" w:color="auto"/>
          </w:divBdr>
        </w:div>
        <w:div w:id="989165550">
          <w:marLeft w:val="480"/>
          <w:marRight w:val="0"/>
          <w:marTop w:val="0"/>
          <w:marBottom w:val="0"/>
          <w:divBdr>
            <w:top w:val="none" w:sz="0" w:space="0" w:color="auto"/>
            <w:left w:val="none" w:sz="0" w:space="0" w:color="auto"/>
            <w:bottom w:val="none" w:sz="0" w:space="0" w:color="auto"/>
            <w:right w:val="none" w:sz="0" w:space="0" w:color="auto"/>
          </w:divBdr>
        </w:div>
        <w:div w:id="541676693">
          <w:marLeft w:val="480"/>
          <w:marRight w:val="0"/>
          <w:marTop w:val="0"/>
          <w:marBottom w:val="0"/>
          <w:divBdr>
            <w:top w:val="none" w:sz="0" w:space="0" w:color="auto"/>
            <w:left w:val="none" w:sz="0" w:space="0" w:color="auto"/>
            <w:bottom w:val="none" w:sz="0" w:space="0" w:color="auto"/>
            <w:right w:val="none" w:sz="0" w:space="0" w:color="auto"/>
          </w:divBdr>
        </w:div>
        <w:div w:id="1865972555">
          <w:marLeft w:val="480"/>
          <w:marRight w:val="0"/>
          <w:marTop w:val="0"/>
          <w:marBottom w:val="0"/>
          <w:divBdr>
            <w:top w:val="none" w:sz="0" w:space="0" w:color="auto"/>
            <w:left w:val="none" w:sz="0" w:space="0" w:color="auto"/>
            <w:bottom w:val="none" w:sz="0" w:space="0" w:color="auto"/>
            <w:right w:val="none" w:sz="0" w:space="0" w:color="auto"/>
          </w:divBdr>
        </w:div>
        <w:div w:id="159124448">
          <w:marLeft w:val="480"/>
          <w:marRight w:val="0"/>
          <w:marTop w:val="0"/>
          <w:marBottom w:val="0"/>
          <w:divBdr>
            <w:top w:val="none" w:sz="0" w:space="0" w:color="auto"/>
            <w:left w:val="none" w:sz="0" w:space="0" w:color="auto"/>
            <w:bottom w:val="none" w:sz="0" w:space="0" w:color="auto"/>
            <w:right w:val="none" w:sz="0" w:space="0" w:color="auto"/>
          </w:divBdr>
        </w:div>
        <w:div w:id="587619619">
          <w:marLeft w:val="480"/>
          <w:marRight w:val="0"/>
          <w:marTop w:val="0"/>
          <w:marBottom w:val="0"/>
          <w:divBdr>
            <w:top w:val="none" w:sz="0" w:space="0" w:color="auto"/>
            <w:left w:val="none" w:sz="0" w:space="0" w:color="auto"/>
            <w:bottom w:val="none" w:sz="0" w:space="0" w:color="auto"/>
            <w:right w:val="none" w:sz="0" w:space="0" w:color="auto"/>
          </w:divBdr>
        </w:div>
        <w:div w:id="868565075">
          <w:marLeft w:val="480"/>
          <w:marRight w:val="0"/>
          <w:marTop w:val="0"/>
          <w:marBottom w:val="0"/>
          <w:divBdr>
            <w:top w:val="none" w:sz="0" w:space="0" w:color="auto"/>
            <w:left w:val="none" w:sz="0" w:space="0" w:color="auto"/>
            <w:bottom w:val="none" w:sz="0" w:space="0" w:color="auto"/>
            <w:right w:val="none" w:sz="0" w:space="0" w:color="auto"/>
          </w:divBdr>
        </w:div>
        <w:div w:id="1177185786">
          <w:marLeft w:val="480"/>
          <w:marRight w:val="0"/>
          <w:marTop w:val="0"/>
          <w:marBottom w:val="0"/>
          <w:divBdr>
            <w:top w:val="none" w:sz="0" w:space="0" w:color="auto"/>
            <w:left w:val="none" w:sz="0" w:space="0" w:color="auto"/>
            <w:bottom w:val="none" w:sz="0" w:space="0" w:color="auto"/>
            <w:right w:val="none" w:sz="0" w:space="0" w:color="auto"/>
          </w:divBdr>
        </w:div>
        <w:div w:id="955407349">
          <w:marLeft w:val="480"/>
          <w:marRight w:val="0"/>
          <w:marTop w:val="0"/>
          <w:marBottom w:val="0"/>
          <w:divBdr>
            <w:top w:val="none" w:sz="0" w:space="0" w:color="auto"/>
            <w:left w:val="none" w:sz="0" w:space="0" w:color="auto"/>
            <w:bottom w:val="none" w:sz="0" w:space="0" w:color="auto"/>
            <w:right w:val="none" w:sz="0" w:space="0" w:color="auto"/>
          </w:divBdr>
        </w:div>
        <w:div w:id="1829705194">
          <w:marLeft w:val="480"/>
          <w:marRight w:val="0"/>
          <w:marTop w:val="0"/>
          <w:marBottom w:val="0"/>
          <w:divBdr>
            <w:top w:val="none" w:sz="0" w:space="0" w:color="auto"/>
            <w:left w:val="none" w:sz="0" w:space="0" w:color="auto"/>
            <w:bottom w:val="none" w:sz="0" w:space="0" w:color="auto"/>
            <w:right w:val="none" w:sz="0" w:space="0" w:color="auto"/>
          </w:divBdr>
        </w:div>
        <w:div w:id="1103571718">
          <w:marLeft w:val="480"/>
          <w:marRight w:val="0"/>
          <w:marTop w:val="0"/>
          <w:marBottom w:val="0"/>
          <w:divBdr>
            <w:top w:val="none" w:sz="0" w:space="0" w:color="auto"/>
            <w:left w:val="none" w:sz="0" w:space="0" w:color="auto"/>
            <w:bottom w:val="none" w:sz="0" w:space="0" w:color="auto"/>
            <w:right w:val="none" w:sz="0" w:space="0" w:color="auto"/>
          </w:divBdr>
        </w:div>
        <w:div w:id="583878707">
          <w:marLeft w:val="480"/>
          <w:marRight w:val="0"/>
          <w:marTop w:val="0"/>
          <w:marBottom w:val="0"/>
          <w:divBdr>
            <w:top w:val="none" w:sz="0" w:space="0" w:color="auto"/>
            <w:left w:val="none" w:sz="0" w:space="0" w:color="auto"/>
            <w:bottom w:val="none" w:sz="0" w:space="0" w:color="auto"/>
            <w:right w:val="none" w:sz="0" w:space="0" w:color="auto"/>
          </w:divBdr>
        </w:div>
        <w:div w:id="1549680767">
          <w:marLeft w:val="480"/>
          <w:marRight w:val="0"/>
          <w:marTop w:val="0"/>
          <w:marBottom w:val="0"/>
          <w:divBdr>
            <w:top w:val="none" w:sz="0" w:space="0" w:color="auto"/>
            <w:left w:val="none" w:sz="0" w:space="0" w:color="auto"/>
            <w:bottom w:val="none" w:sz="0" w:space="0" w:color="auto"/>
            <w:right w:val="none" w:sz="0" w:space="0" w:color="auto"/>
          </w:divBdr>
        </w:div>
        <w:div w:id="1909457672">
          <w:marLeft w:val="480"/>
          <w:marRight w:val="0"/>
          <w:marTop w:val="0"/>
          <w:marBottom w:val="0"/>
          <w:divBdr>
            <w:top w:val="none" w:sz="0" w:space="0" w:color="auto"/>
            <w:left w:val="none" w:sz="0" w:space="0" w:color="auto"/>
            <w:bottom w:val="none" w:sz="0" w:space="0" w:color="auto"/>
            <w:right w:val="none" w:sz="0" w:space="0" w:color="auto"/>
          </w:divBdr>
        </w:div>
        <w:div w:id="1599171844">
          <w:marLeft w:val="480"/>
          <w:marRight w:val="0"/>
          <w:marTop w:val="0"/>
          <w:marBottom w:val="0"/>
          <w:divBdr>
            <w:top w:val="none" w:sz="0" w:space="0" w:color="auto"/>
            <w:left w:val="none" w:sz="0" w:space="0" w:color="auto"/>
            <w:bottom w:val="none" w:sz="0" w:space="0" w:color="auto"/>
            <w:right w:val="none" w:sz="0" w:space="0" w:color="auto"/>
          </w:divBdr>
        </w:div>
        <w:div w:id="1294603515">
          <w:marLeft w:val="480"/>
          <w:marRight w:val="0"/>
          <w:marTop w:val="0"/>
          <w:marBottom w:val="0"/>
          <w:divBdr>
            <w:top w:val="none" w:sz="0" w:space="0" w:color="auto"/>
            <w:left w:val="none" w:sz="0" w:space="0" w:color="auto"/>
            <w:bottom w:val="none" w:sz="0" w:space="0" w:color="auto"/>
            <w:right w:val="none" w:sz="0" w:space="0" w:color="auto"/>
          </w:divBdr>
        </w:div>
        <w:div w:id="1913541543">
          <w:marLeft w:val="480"/>
          <w:marRight w:val="0"/>
          <w:marTop w:val="0"/>
          <w:marBottom w:val="0"/>
          <w:divBdr>
            <w:top w:val="none" w:sz="0" w:space="0" w:color="auto"/>
            <w:left w:val="none" w:sz="0" w:space="0" w:color="auto"/>
            <w:bottom w:val="none" w:sz="0" w:space="0" w:color="auto"/>
            <w:right w:val="none" w:sz="0" w:space="0" w:color="auto"/>
          </w:divBdr>
        </w:div>
        <w:div w:id="1396276451">
          <w:marLeft w:val="480"/>
          <w:marRight w:val="0"/>
          <w:marTop w:val="0"/>
          <w:marBottom w:val="0"/>
          <w:divBdr>
            <w:top w:val="none" w:sz="0" w:space="0" w:color="auto"/>
            <w:left w:val="none" w:sz="0" w:space="0" w:color="auto"/>
            <w:bottom w:val="none" w:sz="0" w:space="0" w:color="auto"/>
            <w:right w:val="none" w:sz="0" w:space="0" w:color="auto"/>
          </w:divBdr>
        </w:div>
        <w:div w:id="727535729">
          <w:marLeft w:val="480"/>
          <w:marRight w:val="0"/>
          <w:marTop w:val="0"/>
          <w:marBottom w:val="0"/>
          <w:divBdr>
            <w:top w:val="none" w:sz="0" w:space="0" w:color="auto"/>
            <w:left w:val="none" w:sz="0" w:space="0" w:color="auto"/>
            <w:bottom w:val="none" w:sz="0" w:space="0" w:color="auto"/>
            <w:right w:val="none" w:sz="0" w:space="0" w:color="auto"/>
          </w:divBdr>
        </w:div>
        <w:div w:id="238515263">
          <w:marLeft w:val="480"/>
          <w:marRight w:val="0"/>
          <w:marTop w:val="0"/>
          <w:marBottom w:val="0"/>
          <w:divBdr>
            <w:top w:val="none" w:sz="0" w:space="0" w:color="auto"/>
            <w:left w:val="none" w:sz="0" w:space="0" w:color="auto"/>
            <w:bottom w:val="none" w:sz="0" w:space="0" w:color="auto"/>
            <w:right w:val="none" w:sz="0" w:space="0" w:color="auto"/>
          </w:divBdr>
        </w:div>
        <w:div w:id="937444912">
          <w:marLeft w:val="480"/>
          <w:marRight w:val="0"/>
          <w:marTop w:val="0"/>
          <w:marBottom w:val="0"/>
          <w:divBdr>
            <w:top w:val="none" w:sz="0" w:space="0" w:color="auto"/>
            <w:left w:val="none" w:sz="0" w:space="0" w:color="auto"/>
            <w:bottom w:val="none" w:sz="0" w:space="0" w:color="auto"/>
            <w:right w:val="none" w:sz="0" w:space="0" w:color="auto"/>
          </w:divBdr>
        </w:div>
        <w:div w:id="1226647608">
          <w:marLeft w:val="480"/>
          <w:marRight w:val="0"/>
          <w:marTop w:val="0"/>
          <w:marBottom w:val="0"/>
          <w:divBdr>
            <w:top w:val="none" w:sz="0" w:space="0" w:color="auto"/>
            <w:left w:val="none" w:sz="0" w:space="0" w:color="auto"/>
            <w:bottom w:val="none" w:sz="0" w:space="0" w:color="auto"/>
            <w:right w:val="none" w:sz="0" w:space="0" w:color="auto"/>
          </w:divBdr>
        </w:div>
        <w:div w:id="1929381930">
          <w:marLeft w:val="480"/>
          <w:marRight w:val="0"/>
          <w:marTop w:val="0"/>
          <w:marBottom w:val="0"/>
          <w:divBdr>
            <w:top w:val="none" w:sz="0" w:space="0" w:color="auto"/>
            <w:left w:val="none" w:sz="0" w:space="0" w:color="auto"/>
            <w:bottom w:val="none" w:sz="0" w:space="0" w:color="auto"/>
            <w:right w:val="none" w:sz="0" w:space="0" w:color="auto"/>
          </w:divBdr>
        </w:div>
        <w:div w:id="795560146">
          <w:marLeft w:val="480"/>
          <w:marRight w:val="0"/>
          <w:marTop w:val="0"/>
          <w:marBottom w:val="0"/>
          <w:divBdr>
            <w:top w:val="none" w:sz="0" w:space="0" w:color="auto"/>
            <w:left w:val="none" w:sz="0" w:space="0" w:color="auto"/>
            <w:bottom w:val="none" w:sz="0" w:space="0" w:color="auto"/>
            <w:right w:val="none" w:sz="0" w:space="0" w:color="auto"/>
          </w:divBdr>
        </w:div>
        <w:div w:id="1303466014">
          <w:marLeft w:val="480"/>
          <w:marRight w:val="0"/>
          <w:marTop w:val="0"/>
          <w:marBottom w:val="0"/>
          <w:divBdr>
            <w:top w:val="none" w:sz="0" w:space="0" w:color="auto"/>
            <w:left w:val="none" w:sz="0" w:space="0" w:color="auto"/>
            <w:bottom w:val="none" w:sz="0" w:space="0" w:color="auto"/>
            <w:right w:val="none" w:sz="0" w:space="0" w:color="auto"/>
          </w:divBdr>
        </w:div>
        <w:div w:id="522280558">
          <w:marLeft w:val="480"/>
          <w:marRight w:val="0"/>
          <w:marTop w:val="0"/>
          <w:marBottom w:val="0"/>
          <w:divBdr>
            <w:top w:val="none" w:sz="0" w:space="0" w:color="auto"/>
            <w:left w:val="none" w:sz="0" w:space="0" w:color="auto"/>
            <w:bottom w:val="none" w:sz="0" w:space="0" w:color="auto"/>
            <w:right w:val="none" w:sz="0" w:space="0" w:color="auto"/>
          </w:divBdr>
        </w:div>
        <w:div w:id="1005860419">
          <w:marLeft w:val="480"/>
          <w:marRight w:val="0"/>
          <w:marTop w:val="0"/>
          <w:marBottom w:val="0"/>
          <w:divBdr>
            <w:top w:val="none" w:sz="0" w:space="0" w:color="auto"/>
            <w:left w:val="none" w:sz="0" w:space="0" w:color="auto"/>
            <w:bottom w:val="none" w:sz="0" w:space="0" w:color="auto"/>
            <w:right w:val="none" w:sz="0" w:space="0" w:color="auto"/>
          </w:divBdr>
        </w:div>
        <w:div w:id="1045105181">
          <w:marLeft w:val="480"/>
          <w:marRight w:val="0"/>
          <w:marTop w:val="0"/>
          <w:marBottom w:val="0"/>
          <w:divBdr>
            <w:top w:val="none" w:sz="0" w:space="0" w:color="auto"/>
            <w:left w:val="none" w:sz="0" w:space="0" w:color="auto"/>
            <w:bottom w:val="none" w:sz="0" w:space="0" w:color="auto"/>
            <w:right w:val="none" w:sz="0" w:space="0" w:color="auto"/>
          </w:divBdr>
        </w:div>
        <w:div w:id="82462300">
          <w:marLeft w:val="480"/>
          <w:marRight w:val="0"/>
          <w:marTop w:val="0"/>
          <w:marBottom w:val="0"/>
          <w:divBdr>
            <w:top w:val="none" w:sz="0" w:space="0" w:color="auto"/>
            <w:left w:val="none" w:sz="0" w:space="0" w:color="auto"/>
            <w:bottom w:val="none" w:sz="0" w:space="0" w:color="auto"/>
            <w:right w:val="none" w:sz="0" w:space="0" w:color="auto"/>
          </w:divBdr>
        </w:div>
        <w:div w:id="1182663548">
          <w:marLeft w:val="480"/>
          <w:marRight w:val="0"/>
          <w:marTop w:val="0"/>
          <w:marBottom w:val="0"/>
          <w:divBdr>
            <w:top w:val="none" w:sz="0" w:space="0" w:color="auto"/>
            <w:left w:val="none" w:sz="0" w:space="0" w:color="auto"/>
            <w:bottom w:val="none" w:sz="0" w:space="0" w:color="auto"/>
            <w:right w:val="none" w:sz="0" w:space="0" w:color="auto"/>
          </w:divBdr>
        </w:div>
        <w:div w:id="633634700">
          <w:marLeft w:val="480"/>
          <w:marRight w:val="0"/>
          <w:marTop w:val="0"/>
          <w:marBottom w:val="0"/>
          <w:divBdr>
            <w:top w:val="none" w:sz="0" w:space="0" w:color="auto"/>
            <w:left w:val="none" w:sz="0" w:space="0" w:color="auto"/>
            <w:bottom w:val="none" w:sz="0" w:space="0" w:color="auto"/>
            <w:right w:val="none" w:sz="0" w:space="0" w:color="auto"/>
          </w:divBdr>
        </w:div>
        <w:div w:id="1191527638">
          <w:marLeft w:val="480"/>
          <w:marRight w:val="0"/>
          <w:marTop w:val="0"/>
          <w:marBottom w:val="0"/>
          <w:divBdr>
            <w:top w:val="none" w:sz="0" w:space="0" w:color="auto"/>
            <w:left w:val="none" w:sz="0" w:space="0" w:color="auto"/>
            <w:bottom w:val="none" w:sz="0" w:space="0" w:color="auto"/>
            <w:right w:val="none" w:sz="0" w:space="0" w:color="auto"/>
          </w:divBdr>
        </w:div>
        <w:div w:id="1897233226">
          <w:marLeft w:val="480"/>
          <w:marRight w:val="0"/>
          <w:marTop w:val="0"/>
          <w:marBottom w:val="0"/>
          <w:divBdr>
            <w:top w:val="none" w:sz="0" w:space="0" w:color="auto"/>
            <w:left w:val="none" w:sz="0" w:space="0" w:color="auto"/>
            <w:bottom w:val="none" w:sz="0" w:space="0" w:color="auto"/>
            <w:right w:val="none" w:sz="0" w:space="0" w:color="auto"/>
          </w:divBdr>
        </w:div>
        <w:div w:id="2131626110">
          <w:marLeft w:val="480"/>
          <w:marRight w:val="0"/>
          <w:marTop w:val="0"/>
          <w:marBottom w:val="0"/>
          <w:divBdr>
            <w:top w:val="none" w:sz="0" w:space="0" w:color="auto"/>
            <w:left w:val="none" w:sz="0" w:space="0" w:color="auto"/>
            <w:bottom w:val="none" w:sz="0" w:space="0" w:color="auto"/>
            <w:right w:val="none" w:sz="0" w:space="0" w:color="auto"/>
          </w:divBdr>
        </w:div>
        <w:div w:id="1365059901">
          <w:marLeft w:val="480"/>
          <w:marRight w:val="0"/>
          <w:marTop w:val="0"/>
          <w:marBottom w:val="0"/>
          <w:divBdr>
            <w:top w:val="none" w:sz="0" w:space="0" w:color="auto"/>
            <w:left w:val="none" w:sz="0" w:space="0" w:color="auto"/>
            <w:bottom w:val="none" w:sz="0" w:space="0" w:color="auto"/>
            <w:right w:val="none" w:sz="0" w:space="0" w:color="auto"/>
          </w:divBdr>
        </w:div>
        <w:div w:id="317194365">
          <w:marLeft w:val="480"/>
          <w:marRight w:val="0"/>
          <w:marTop w:val="0"/>
          <w:marBottom w:val="0"/>
          <w:divBdr>
            <w:top w:val="none" w:sz="0" w:space="0" w:color="auto"/>
            <w:left w:val="none" w:sz="0" w:space="0" w:color="auto"/>
            <w:bottom w:val="none" w:sz="0" w:space="0" w:color="auto"/>
            <w:right w:val="none" w:sz="0" w:space="0" w:color="auto"/>
          </w:divBdr>
        </w:div>
        <w:div w:id="1276982801">
          <w:marLeft w:val="480"/>
          <w:marRight w:val="0"/>
          <w:marTop w:val="0"/>
          <w:marBottom w:val="0"/>
          <w:divBdr>
            <w:top w:val="none" w:sz="0" w:space="0" w:color="auto"/>
            <w:left w:val="none" w:sz="0" w:space="0" w:color="auto"/>
            <w:bottom w:val="none" w:sz="0" w:space="0" w:color="auto"/>
            <w:right w:val="none" w:sz="0" w:space="0" w:color="auto"/>
          </w:divBdr>
        </w:div>
        <w:div w:id="1028331696">
          <w:marLeft w:val="480"/>
          <w:marRight w:val="0"/>
          <w:marTop w:val="0"/>
          <w:marBottom w:val="0"/>
          <w:divBdr>
            <w:top w:val="none" w:sz="0" w:space="0" w:color="auto"/>
            <w:left w:val="none" w:sz="0" w:space="0" w:color="auto"/>
            <w:bottom w:val="none" w:sz="0" w:space="0" w:color="auto"/>
            <w:right w:val="none" w:sz="0" w:space="0" w:color="auto"/>
          </w:divBdr>
        </w:div>
        <w:div w:id="489908362">
          <w:marLeft w:val="480"/>
          <w:marRight w:val="0"/>
          <w:marTop w:val="0"/>
          <w:marBottom w:val="0"/>
          <w:divBdr>
            <w:top w:val="none" w:sz="0" w:space="0" w:color="auto"/>
            <w:left w:val="none" w:sz="0" w:space="0" w:color="auto"/>
            <w:bottom w:val="none" w:sz="0" w:space="0" w:color="auto"/>
            <w:right w:val="none" w:sz="0" w:space="0" w:color="auto"/>
          </w:divBdr>
        </w:div>
        <w:div w:id="225073809">
          <w:marLeft w:val="480"/>
          <w:marRight w:val="0"/>
          <w:marTop w:val="0"/>
          <w:marBottom w:val="0"/>
          <w:divBdr>
            <w:top w:val="none" w:sz="0" w:space="0" w:color="auto"/>
            <w:left w:val="none" w:sz="0" w:space="0" w:color="auto"/>
            <w:bottom w:val="none" w:sz="0" w:space="0" w:color="auto"/>
            <w:right w:val="none" w:sz="0" w:space="0" w:color="auto"/>
          </w:divBdr>
        </w:div>
        <w:div w:id="421339091">
          <w:marLeft w:val="480"/>
          <w:marRight w:val="0"/>
          <w:marTop w:val="0"/>
          <w:marBottom w:val="0"/>
          <w:divBdr>
            <w:top w:val="none" w:sz="0" w:space="0" w:color="auto"/>
            <w:left w:val="none" w:sz="0" w:space="0" w:color="auto"/>
            <w:bottom w:val="none" w:sz="0" w:space="0" w:color="auto"/>
            <w:right w:val="none" w:sz="0" w:space="0" w:color="auto"/>
          </w:divBdr>
        </w:div>
        <w:div w:id="1955138370">
          <w:marLeft w:val="480"/>
          <w:marRight w:val="0"/>
          <w:marTop w:val="0"/>
          <w:marBottom w:val="0"/>
          <w:divBdr>
            <w:top w:val="none" w:sz="0" w:space="0" w:color="auto"/>
            <w:left w:val="none" w:sz="0" w:space="0" w:color="auto"/>
            <w:bottom w:val="none" w:sz="0" w:space="0" w:color="auto"/>
            <w:right w:val="none" w:sz="0" w:space="0" w:color="auto"/>
          </w:divBdr>
        </w:div>
        <w:div w:id="2091810008">
          <w:marLeft w:val="480"/>
          <w:marRight w:val="0"/>
          <w:marTop w:val="0"/>
          <w:marBottom w:val="0"/>
          <w:divBdr>
            <w:top w:val="none" w:sz="0" w:space="0" w:color="auto"/>
            <w:left w:val="none" w:sz="0" w:space="0" w:color="auto"/>
            <w:bottom w:val="none" w:sz="0" w:space="0" w:color="auto"/>
            <w:right w:val="none" w:sz="0" w:space="0" w:color="auto"/>
          </w:divBdr>
        </w:div>
        <w:div w:id="147748117">
          <w:marLeft w:val="480"/>
          <w:marRight w:val="0"/>
          <w:marTop w:val="0"/>
          <w:marBottom w:val="0"/>
          <w:divBdr>
            <w:top w:val="none" w:sz="0" w:space="0" w:color="auto"/>
            <w:left w:val="none" w:sz="0" w:space="0" w:color="auto"/>
            <w:bottom w:val="none" w:sz="0" w:space="0" w:color="auto"/>
            <w:right w:val="none" w:sz="0" w:space="0" w:color="auto"/>
          </w:divBdr>
        </w:div>
        <w:div w:id="1544320353">
          <w:marLeft w:val="480"/>
          <w:marRight w:val="0"/>
          <w:marTop w:val="0"/>
          <w:marBottom w:val="0"/>
          <w:divBdr>
            <w:top w:val="none" w:sz="0" w:space="0" w:color="auto"/>
            <w:left w:val="none" w:sz="0" w:space="0" w:color="auto"/>
            <w:bottom w:val="none" w:sz="0" w:space="0" w:color="auto"/>
            <w:right w:val="none" w:sz="0" w:space="0" w:color="auto"/>
          </w:divBdr>
        </w:div>
        <w:div w:id="781219393">
          <w:marLeft w:val="480"/>
          <w:marRight w:val="0"/>
          <w:marTop w:val="0"/>
          <w:marBottom w:val="0"/>
          <w:divBdr>
            <w:top w:val="none" w:sz="0" w:space="0" w:color="auto"/>
            <w:left w:val="none" w:sz="0" w:space="0" w:color="auto"/>
            <w:bottom w:val="none" w:sz="0" w:space="0" w:color="auto"/>
            <w:right w:val="none" w:sz="0" w:space="0" w:color="auto"/>
          </w:divBdr>
        </w:div>
        <w:div w:id="1216769782">
          <w:marLeft w:val="480"/>
          <w:marRight w:val="0"/>
          <w:marTop w:val="0"/>
          <w:marBottom w:val="0"/>
          <w:divBdr>
            <w:top w:val="none" w:sz="0" w:space="0" w:color="auto"/>
            <w:left w:val="none" w:sz="0" w:space="0" w:color="auto"/>
            <w:bottom w:val="none" w:sz="0" w:space="0" w:color="auto"/>
            <w:right w:val="none" w:sz="0" w:space="0" w:color="auto"/>
          </w:divBdr>
        </w:div>
        <w:div w:id="1815566060">
          <w:marLeft w:val="480"/>
          <w:marRight w:val="0"/>
          <w:marTop w:val="0"/>
          <w:marBottom w:val="0"/>
          <w:divBdr>
            <w:top w:val="none" w:sz="0" w:space="0" w:color="auto"/>
            <w:left w:val="none" w:sz="0" w:space="0" w:color="auto"/>
            <w:bottom w:val="none" w:sz="0" w:space="0" w:color="auto"/>
            <w:right w:val="none" w:sz="0" w:space="0" w:color="auto"/>
          </w:divBdr>
        </w:div>
        <w:div w:id="1070542372">
          <w:marLeft w:val="480"/>
          <w:marRight w:val="0"/>
          <w:marTop w:val="0"/>
          <w:marBottom w:val="0"/>
          <w:divBdr>
            <w:top w:val="none" w:sz="0" w:space="0" w:color="auto"/>
            <w:left w:val="none" w:sz="0" w:space="0" w:color="auto"/>
            <w:bottom w:val="none" w:sz="0" w:space="0" w:color="auto"/>
            <w:right w:val="none" w:sz="0" w:space="0" w:color="auto"/>
          </w:divBdr>
        </w:div>
        <w:div w:id="994337820">
          <w:marLeft w:val="480"/>
          <w:marRight w:val="0"/>
          <w:marTop w:val="0"/>
          <w:marBottom w:val="0"/>
          <w:divBdr>
            <w:top w:val="none" w:sz="0" w:space="0" w:color="auto"/>
            <w:left w:val="none" w:sz="0" w:space="0" w:color="auto"/>
            <w:bottom w:val="none" w:sz="0" w:space="0" w:color="auto"/>
            <w:right w:val="none" w:sz="0" w:space="0" w:color="auto"/>
          </w:divBdr>
        </w:div>
        <w:div w:id="762263056">
          <w:marLeft w:val="480"/>
          <w:marRight w:val="0"/>
          <w:marTop w:val="0"/>
          <w:marBottom w:val="0"/>
          <w:divBdr>
            <w:top w:val="none" w:sz="0" w:space="0" w:color="auto"/>
            <w:left w:val="none" w:sz="0" w:space="0" w:color="auto"/>
            <w:bottom w:val="none" w:sz="0" w:space="0" w:color="auto"/>
            <w:right w:val="none" w:sz="0" w:space="0" w:color="auto"/>
          </w:divBdr>
        </w:div>
        <w:div w:id="341394981">
          <w:marLeft w:val="480"/>
          <w:marRight w:val="0"/>
          <w:marTop w:val="0"/>
          <w:marBottom w:val="0"/>
          <w:divBdr>
            <w:top w:val="none" w:sz="0" w:space="0" w:color="auto"/>
            <w:left w:val="none" w:sz="0" w:space="0" w:color="auto"/>
            <w:bottom w:val="none" w:sz="0" w:space="0" w:color="auto"/>
            <w:right w:val="none" w:sz="0" w:space="0" w:color="auto"/>
          </w:divBdr>
        </w:div>
        <w:div w:id="336156050">
          <w:marLeft w:val="480"/>
          <w:marRight w:val="0"/>
          <w:marTop w:val="0"/>
          <w:marBottom w:val="0"/>
          <w:divBdr>
            <w:top w:val="none" w:sz="0" w:space="0" w:color="auto"/>
            <w:left w:val="none" w:sz="0" w:space="0" w:color="auto"/>
            <w:bottom w:val="none" w:sz="0" w:space="0" w:color="auto"/>
            <w:right w:val="none" w:sz="0" w:space="0" w:color="auto"/>
          </w:divBdr>
        </w:div>
        <w:div w:id="1393383603">
          <w:marLeft w:val="480"/>
          <w:marRight w:val="0"/>
          <w:marTop w:val="0"/>
          <w:marBottom w:val="0"/>
          <w:divBdr>
            <w:top w:val="none" w:sz="0" w:space="0" w:color="auto"/>
            <w:left w:val="none" w:sz="0" w:space="0" w:color="auto"/>
            <w:bottom w:val="none" w:sz="0" w:space="0" w:color="auto"/>
            <w:right w:val="none" w:sz="0" w:space="0" w:color="auto"/>
          </w:divBdr>
        </w:div>
        <w:div w:id="1747608726">
          <w:marLeft w:val="480"/>
          <w:marRight w:val="0"/>
          <w:marTop w:val="0"/>
          <w:marBottom w:val="0"/>
          <w:divBdr>
            <w:top w:val="none" w:sz="0" w:space="0" w:color="auto"/>
            <w:left w:val="none" w:sz="0" w:space="0" w:color="auto"/>
            <w:bottom w:val="none" w:sz="0" w:space="0" w:color="auto"/>
            <w:right w:val="none" w:sz="0" w:space="0" w:color="auto"/>
          </w:divBdr>
        </w:div>
        <w:div w:id="2085568134">
          <w:marLeft w:val="480"/>
          <w:marRight w:val="0"/>
          <w:marTop w:val="0"/>
          <w:marBottom w:val="0"/>
          <w:divBdr>
            <w:top w:val="none" w:sz="0" w:space="0" w:color="auto"/>
            <w:left w:val="none" w:sz="0" w:space="0" w:color="auto"/>
            <w:bottom w:val="none" w:sz="0" w:space="0" w:color="auto"/>
            <w:right w:val="none" w:sz="0" w:space="0" w:color="auto"/>
          </w:divBdr>
        </w:div>
        <w:div w:id="751586571">
          <w:marLeft w:val="480"/>
          <w:marRight w:val="0"/>
          <w:marTop w:val="0"/>
          <w:marBottom w:val="0"/>
          <w:divBdr>
            <w:top w:val="none" w:sz="0" w:space="0" w:color="auto"/>
            <w:left w:val="none" w:sz="0" w:space="0" w:color="auto"/>
            <w:bottom w:val="none" w:sz="0" w:space="0" w:color="auto"/>
            <w:right w:val="none" w:sz="0" w:space="0" w:color="auto"/>
          </w:divBdr>
        </w:div>
        <w:div w:id="877162426">
          <w:marLeft w:val="480"/>
          <w:marRight w:val="0"/>
          <w:marTop w:val="0"/>
          <w:marBottom w:val="0"/>
          <w:divBdr>
            <w:top w:val="none" w:sz="0" w:space="0" w:color="auto"/>
            <w:left w:val="none" w:sz="0" w:space="0" w:color="auto"/>
            <w:bottom w:val="none" w:sz="0" w:space="0" w:color="auto"/>
            <w:right w:val="none" w:sz="0" w:space="0" w:color="auto"/>
          </w:divBdr>
        </w:div>
        <w:div w:id="1752000586">
          <w:marLeft w:val="480"/>
          <w:marRight w:val="0"/>
          <w:marTop w:val="0"/>
          <w:marBottom w:val="0"/>
          <w:divBdr>
            <w:top w:val="none" w:sz="0" w:space="0" w:color="auto"/>
            <w:left w:val="none" w:sz="0" w:space="0" w:color="auto"/>
            <w:bottom w:val="none" w:sz="0" w:space="0" w:color="auto"/>
            <w:right w:val="none" w:sz="0" w:space="0" w:color="auto"/>
          </w:divBdr>
        </w:div>
        <w:div w:id="342170614">
          <w:marLeft w:val="480"/>
          <w:marRight w:val="0"/>
          <w:marTop w:val="0"/>
          <w:marBottom w:val="0"/>
          <w:divBdr>
            <w:top w:val="none" w:sz="0" w:space="0" w:color="auto"/>
            <w:left w:val="none" w:sz="0" w:space="0" w:color="auto"/>
            <w:bottom w:val="none" w:sz="0" w:space="0" w:color="auto"/>
            <w:right w:val="none" w:sz="0" w:space="0" w:color="auto"/>
          </w:divBdr>
        </w:div>
        <w:div w:id="983268554">
          <w:marLeft w:val="480"/>
          <w:marRight w:val="0"/>
          <w:marTop w:val="0"/>
          <w:marBottom w:val="0"/>
          <w:divBdr>
            <w:top w:val="none" w:sz="0" w:space="0" w:color="auto"/>
            <w:left w:val="none" w:sz="0" w:space="0" w:color="auto"/>
            <w:bottom w:val="none" w:sz="0" w:space="0" w:color="auto"/>
            <w:right w:val="none" w:sz="0" w:space="0" w:color="auto"/>
          </w:divBdr>
        </w:div>
        <w:div w:id="179049599">
          <w:marLeft w:val="480"/>
          <w:marRight w:val="0"/>
          <w:marTop w:val="0"/>
          <w:marBottom w:val="0"/>
          <w:divBdr>
            <w:top w:val="none" w:sz="0" w:space="0" w:color="auto"/>
            <w:left w:val="none" w:sz="0" w:space="0" w:color="auto"/>
            <w:bottom w:val="none" w:sz="0" w:space="0" w:color="auto"/>
            <w:right w:val="none" w:sz="0" w:space="0" w:color="auto"/>
          </w:divBdr>
        </w:div>
        <w:div w:id="1438721668">
          <w:marLeft w:val="480"/>
          <w:marRight w:val="0"/>
          <w:marTop w:val="0"/>
          <w:marBottom w:val="0"/>
          <w:divBdr>
            <w:top w:val="none" w:sz="0" w:space="0" w:color="auto"/>
            <w:left w:val="none" w:sz="0" w:space="0" w:color="auto"/>
            <w:bottom w:val="none" w:sz="0" w:space="0" w:color="auto"/>
            <w:right w:val="none" w:sz="0" w:space="0" w:color="auto"/>
          </w:divBdr>
        </w:div>
        <w:div w:id="854147217">
          <w:marLeft w:val="480"/>
          <w:marRight w:val="0"/>
          <w:marTop w:val="0"/>
          <w:marBottom w:val="0"/>
          <w:divBdr>
            <w:top w:val="none" w:sz="0" w:space="0" w:color="auto"/>
            <w:left w:val="none" w:sz="0" w:space="0" w:color="auto"/>
            <w:bottom w:val="none" w:sz="0" w:space="0" w:color="auto"/>
            <w:right w:val="none" w:sz="0" w:space="0" w:color="auto"/>
          </w:divBdr>
        </w:div>
        <w:div w:id="649604297">
          <w:marLeft w:val="480"/>
          <w:marRight w:val="0"/>
          <w:marTop w:val="0"/>
          <w:marBottom w:val="0"/>
          <w:divBdr>
            <w:top w:val="none" w:sz="0" w:space="0" w:color="auto"/>
            <w:left w:val="none" w:sz="0" w:space="0" w:color="auto"/>
            <w:bottom w:val="none" w:sz="0" w:space="0" w:color="auto"/>
            <w:right w:val="none" w:sz="0" w:space="0" w:color="auto"/>
          </w:divBdr>
        </w:div>
        <w:div w:id="880480096">
          <w:marLeft w:val="480"/>
          <w:marRight w:val="0"/>
          <w:marTop w:val="0"/>
          <w:marBottom w:val="0"/>
          <w:divBdr>
            <w:top w:val="none" w:sz="0" w:space="0" w:color="auto"/>
            <w:left w:val="none" w:sz="0" w:space="0" w:color="auto"/>
            <w:bottom w:val="none" w:sz="0" w:space="0" w:color="auto"/>
            <w:right w:val="none" w:sz="0" w:space="0" w:color="auto"/>
          </w:divBdr>
        </w:div>
        <w:div w:id="1865240495">
          <w:marLeft w:val="480"/>
          <w:marRight w:val="0"/>
          <w:marTop w:val="0"/>
          <w:marBottom w:val="0"/>
          <w:divBdr>
            <w:top w:val="none" w:sz="0" w:space="0" w:color="auto"/>
            <w:left w:val="none" w:sz="0" w:space="0" w:color="auto"/>
            <w:bottom w:val="none" w:sz="0" w:space="0" w:color="auto"/>
            <w:right w:val="none" w:sz="0" w:space="0" w:color="auto"/>
          </w:divBdr>
        </w:div>
        <w:div w:id="382943697">
          <w:marLeft w:val="480"/>
          <w:marRight w:val="0"/>
          <w:marTop w:val="0"/>
          <w:marBottom w:val="0"/>
          <w:divBdr>
            <w:top w:val="none" w:sz="0" w:space="0" w:color="auto"/>
            <w:left w:val="none" w:sz="0" w:space="0" w:color="auto"/>
            <w:bottom w:val="none" w:sz="0" w:space="0" w:color="auto"/>
            <w:right w:val="none" w:sz="0" w:space="0" w:color="auto"/>
          </w:divBdr>
        </w:div>
        <w:div w:id="206064649">
          <w:marLeft w:val="480"/>
          <w:marRight w:val="0"/>
          <w:marTop w:val="0"/>
          <w:marBottom w:val="0"/>
          <w:divBdr>
            <w:top w:val="none" w:sz="0" w:space="0" w:color="auto"/>
            <w:left w:val="none" w:sz="0" w:space="0" w:color="auto"/>
            <w:bottom w:val="none" w:sz="0" w:space="0" w:color="auto"/>
            <w:right w:val="none" w:sz="0" w:space="0" w:color="auto"/>
          </w:divBdr>
        </w:div>
        <w:div w:id="459421598">
          <w:marLeft w:val="480"/>
          <w:marRight w:val="0"/>
          <w:marTop w:val="0"/>
          <w:marBottom w:val="0"/>
          <w:divBdr>
            <w:top w:val="none" w:sz="0" w:space="0" w:color="auto"/>
            <w:left w:val="none" w:sz="0" w:space="0" w:color="auto"/>
            <w:bottom w:val="none" w:sz="0" w:space="0" w:color="auto"/>
            <w:right w:val="none" w:sz="0" w:space="0" w:color="auto"/>
          </w:divBdr>
        </w:div>
        <w:div w:id="807211890">
          <w:marLeft w:val="480"/>
          <w:marRight w:val="0"/>
          <w:marTop w:val="0"/>
          <w:marBottom w:val="0"/>
          <w:divBdr>
            <w:top w:val="none" w:sz="0" w:space="0" w:color="auto"/>
            <w:left w:val="none" w:sz="0" w:space="0" w:color="auto"/>
            <w:bottom w:val="none" w:sz="0" w:space="0" w:color="auto"/>
            <w:right w:val="none" w:sz="0" w:space="0" w:color="auto"/>
          </w:divBdr>
        </w:div>
        <w:div w:id="481435191">
          <w:marLeft w:val="480"/>
          <w:marRight w:val="0"/>
          <w:marTop w:val="0"/>
          <w:marBottom w:val="0"/>
          <w:divBdr>
            <w:top w:val="none" w:sz="0" w:space="0" w:color="auto"/>
            <w:left w:val="none" w:sz="0" w:space="0" w:color="auto"/>
            <w:bottom w:val="none" w:sz="0" w:space="0" w:color="auto"/>
            <w:right w:val="none" w:sz="0" w:space="0" w:color="auto"/>
          </w:divBdr>
        </w:div>
        <w:div w:id="634651303">
          <w:marLeft w:val="480"/>
          <w:marRight w:val="0"/>
          <w:marTop w:val="0"/>
          <w:marBottom w:val="0"/>
          <w:divBdr>
            <w:top w:val="none" w:sz="0" w:space="0" w:color="auto"/>
            <w:left w:val="none" w:sz="0" w:space="0" w:color="auto"/>
            <w:bottom w:val="none" w:sz="0" w:space="0" w:color="auto"/>
            <w:right w:val="none" w:sz="0" w:space="0" w:color="auto"/>
          </w:divBdr>
        </w:div>
        <w:div w:id="1541162572">
          <w:marLeft w:val="480"/>
          <w:marRight w:val="0"/>
          <w:marTop w:val="0"/>
          <w:marBottom w:val="0"/>
          <w:divBdr>
            <w:top w:val="none" w:sz="0" w:space="0" w:color="auto"/>
            <w:left w:val="none" w:sz="0" w:space="0" w:color="auto"/>
            <w:bottom w:val="none" w:sz="0" w:space="0" w:color="auto"/>
            <w:right w:val="none" w:sz="0" w:space="0" w:color="auto"/>
          </w:divBdr>
        </w:div>
        <w:div w:id="1882668607">
          <w:marLeft w:val="480"/>
          <w:marRight w:val="0"/>
          <w:marTop w:val="0"/>
          <w:marBottom w:val="0"/>
          <w:divBdr>
            <w:top w:val="none" w:sz="0" w:space="0" w:color="auto"/>
            <w:left w:val="none" w:sz="0" w:space="0" w:color="auto"/>
            <w:bottom w:val="none" w:sz="0" w:space="0" w:color="auto"/>
            <w:right w:val="none" w:sz="0" w:space="0" w:color="auto"/>
          </w:divBdr>
        </w:div>
        <w:div w:id="421878364">
          <w:marLeft w:val="480"/>
          <w:marRight w:val="0"/>
          <w:marTop w:val="0"/>
          <w:marBottom w:val="0"/>
          <w:divBdr>
            <w:top w:val="none" w:sz="0" w:space="0" w:color="auto"/>
            <w:left w:val="none" w:sz="0" w:space="0" w:color="auto"/>
            <w:bottom w:val="none" w:sz="0" w:space="0" w:color="auto"/>
            <w:right w:val="none" w:sz="0" w:space="0" w:color="auto"/>
          </w:divBdr>
        </w:div>
        <w:div w:id="385224547">
          <w:marLeft w:val="480"/>
          <w:marRight w:val="0"/>
          <w:marTop w:val="0"/>
          <w:marBottom w:val="0"/>
          <w:divBdr>
            <w:top w:val="none" w:sz="0" w:space="0" w:color="auto"/>
            <w:left w:val="none" w:sz="0" w:space="0" w:color="auto"/>
            <w:bottom w:val="none" w:sz="0" w:space="0" w:color="auto"/>
            <w:right w:val="none" w:sz="0" w:space="0" w:color="auto"/>
          </w:divBdr>
        </w:div>
        <w:div w:id="1510678062">
          <w:marLeft w:val="480"/>
          <w:marRight w:val="0"/>
          <w:marTop w:val="0"/>
          <w:marBottom w:val="0"/>
          <w:divBdr>
            <w:top w:val="none" w:sz="0" w:space="0" w:color="auto"/>
            <w:left w:val="none" w:sz="0" w:space="0" w:color="auto"/>
            <w:bottom w:val="none" w:sz="0" w:space="0" w:color="auto"/>
            <w:right w:val="none" w:sz="0" w:space="0" w:color="auto"/>
          </w:divBdr>
        </w:div>
        <w:div w:id="1635335365">
          <w:marLeft w:val="480"/>
          <w:marRight w:val="0"/>
          <w:marTop w:val="0"/>
          <w:marBottom w:val="0"/>
          <w:divBdr>
            <w:top w:val="none" w:sz="0" w:space="0" w:color="auto"/>
            <w:left w:val="none" w:sz="0" w:space="0" w:color="auto"/>
            <w:bottom w:val="none" w:sz="0" w:space="0" w:color="auto"/>
            <w:right w:val="none" w:sz="0" w:space="0" w:color="auto"/>
          </w:divBdr>
        </w:div>
        <w:div w:id="1984460218">
          <w:marLeft w:val="480"/>
          <w:marRight w:val="0"/>
          <w:marTop w:val="0"/>
          <w:marBottom w:val="0"/>
          <w:divBdr>
            <w:top w:val="none" w:sz="0" w:space="0" w:color="auto"/>
            <w:left w:val="none" w:sz="0" w:space="0" w:color="auto"/>
            <w:bottom w:val="none" w:sz="0" w:space="0" w:color="auto"/>
            <w:right w:val="none" w:sz="0" w:space="0" w:color="auto"/>
          </w:divBdr>
        </w:div>
        <w:div w:id="233855307">
          <w:marLeft w:val="480"/>
          <w:marRight w:val="0"/>
          <w:marTop w:val="0"/>
          <w:marBottom w:val="0"/>
          <w:divBdr>
            <w:top w:val="none" w:sz="0" w:space="0" w:color="auto"/>
            <w:left w:val="none" w:sz="0" w:space="0" w:color="auto"/>
            <w:bottom w:val="none" w:sz="0" w:space="0" w:color="auto"/>
            <w:right w:val="none" w:sz="0" w:space="0" w:color="auto"/>
          </w:divBdr>
        </w:div>
        <w:div w:id="624039807">
          <w:marLeft w:val="480"/>
          <w:marRight w:val="0"/>
          <w:marTop w:val="0"/>
          <w:marBottom w:val="0"/>
          <w:divBdr>
            <w:top w:val="none" w:sz="0" w:space="0" w:color="auto"/>
            <w:left w:val="none" w:sz="0" w:space="0" w:color="auto"/>
            <w:bottom w:val="none" w:sz="0" w:space="0" w:color="auto"/>
            <w:right w:val="none" w:sz="0" w:space="0" w:color="auto"/>
          </w:divBdr>
        </w:div>
        <w:div w:id="2023436215">
          <w:marLeft w:val="480"/>
          <w:marRight w:val="0"/>
          <w:marTop w:val="0"/>
          <w:marBottom w:val="0"/>
          <w:divBdr>
            <w:top w:val="none" w:sz="0" w:space="0" w:color="auto"/>
            <w:left w:val="none" w:sz="0" w:space="0" w:color="auto"/>
            <w:bottom w:val="none" w:sz="0" w:space="0" w:color="auto"/>
            <w:right w:val="none" w:sz="0" w:space="0" w:color="auto"/>
          </w:divBdr>
        </w:div>
        <w:div w:id="412816819">
          <w:marLeft w:val="480"/>
          <w:marRight w:val="0"/>
          <w:marTop w:val="0"/>
          <w:marBottom w:val="0"/>
          <w:divBdr>
            <w:top w:val="none" w:sz="0" w:space="0" w:color="auto"/>
            <w:left w:val="none" w:sz="0" w:space="0" w:color="auto"/>
            <w:bottom w:val="none" w:sz="0" w:space="0" w:color="auto"/>
            <w:right w:val="none" w:sz="0" w:space="0" w:color="auto"/>
          </w:divBdr>
        </w:div>
        <w:div w:id="29916569">
          <w:marLeft w:val="480"/>
          <w:marRight w:val="0"/>
          <w:marTop w:val="0"/>
          <w:marBottom w:val="0"/>
          <w:divBdr>
            <w:top w:val="none" w:sz="0" w:space="0" w:color="auto"/>
            <w:left w:val="none" w:sz="0" w:space="0" w:color="auto"/>
            <w:bottom w:val="none" w:sz="0" w:space="0" w:color="auto"/>
            <w:right w:val="none" w:sz="0" w:space="0" w:color="auto"/>
          </w:divBdr>
        </w:div>
        <w:div w:id="126362369">
          <w:marLeft w:val="480"/>
          <w:marRight w:val="0"/>
          <w:marTop w:val="0"/>
          <w:marBottom w:val="0"/>
          <w:divBdr>
            <w:top w:val="none" w:sz="0" w:space="0" w:color="auto"/>
            <w:left w:val="none" w:sz="0" w:space="0" w:color="auto"/>
            <w:bottom w:val="none" w:sz="0" w:space="0" w:color="auto"/>
            <w:right w:val="none" w:sz="0" w:space="0" w:color="auto"/>
          </w:divBdr>
        </w:div>
        <w:div w:id="1720082976">
          <w:marLeft w:val="480"/>
          <w:marRight w:val="0"/>
          <w:marTop w:val="0"/>
          <w:marBottom w:val="0"/>
          <w:divBdr>
            <w:top w:val="none" w:sz="0" w:space="0" w:color="auto"/>
            <w:left w:val="none" w:sz="0" w:space="0" w:color="auto"/>
            <w:bottom w:val="none" w:sz="0" w:space="0" w:color="auto"/>
            <w:right w:val="none" w:sz="0" w:space="0" w:color="auto"/>
          </w:divBdr>
        </w:div>
        <w:div w:id="2100177123">
          <w:marLeft w:val="480"/>
          <w:marRight w:val="0"/>
          <w:marTop w:val="0"/>
          <w:marBottom w:val="0"/>
          <w:divBdr>
            <w:top w:val="none" w:sz="0" w:space="0" w:color="auto"/>
            <w:left w:val="none" w:sz="0" w:space="0" w:color="auto"/>
            <w:bottom w:val="none" w:sz="0" w:space="0" w:color="auto"/>
            <w:right w:val="none" w:sz="0" w:space="0" w:color="auto"/>
          </w:divBdr>
        </w:div>
        <w:div w:id="739257252">
          <w:marLeft w:val="480"/>
          <w:marRight w:val="0"/>
          <w:marTop w:val="0"/>
          <w:marBottom w:val="0"/>
          <w:divBdr>
            <w:top w:val="none" w:sz="0" w:space="0" w:color="auto"/>
            <w:left w:val="none" w:sz="0" w:space="0" w:color="auto"/>
            <w:bottom w:val="none" w:sz="0" w:space="0" w:color="auto"/>
            <w:right w:val="none" w:sz="0" w:space="0" w:color="auto"/>
          </w:divBdr>
        </w:div>
        <w:div w:id="1109161400">
          <w:marLeft w:val="480"/>
          <w:marRight w:val="0"/>
          <w:marTop w:val="0"/>
          <w:marBottom w:val="0"/>
          <w:divBdr>
            <w:top w:val="none" w:sz="0" w:space="0" w:color="auto"/>
            <w:left w:val="none" w:sz="0" w:space="0" w:color="auto"/>
            <w:bottom w:val="none" w:sz="0" w:space="0" w:color="auto"/>
            <w:right w:val="none" w:sz="0" w:space="0" w:color="auto"/>
          </w:divBdr>
        </w:div>
        <w:div w:id="1096364120">
          <w:marLeft w:val="480"/>
          <w:marRight w:val="0"/>
          <w:marTop w:val="0"/>
          <w:marBottom w:val="0"/>
          <w:divBdr>
            <w:top w:val="none" w:sz="0" w:space="0" w:color="auto"/>
            <w:left w:val="none" w:sz="0" w:space="0" w:color="auto"/>
            <w:bottom w:val="none" w:sz="0" w:space="0" w:color="auto"/>
            <w:right w:val="none" w:sz="0" w:space="0" w:color="auto"/>
          </w:divBdr>
        </w:div>
        <w:div w:id="1140340056">
          <w:marLeft w:val="480"/>
          <w:marRight w:val="0"/>
          <w:marTop w:val="0"/>
          <w:marBottom w:val="0"/>
          <w:divBdr>
            <w:top w:val="none" w:sz="0" w:space="0" w:color="auto"/>
            <w:left w:val="none" w:sz="0" w:space="0" w:color="auto"/>
            <w:bottom w:val="none" w:sz="0" w:space="0" w:color="auto"/>
            <w:right w:val="none" w:sz="0" w:space="0" w:color="auto"/>
          </w:divBdr>
        </w:div>
        <w:div w:id="265239397">
          <w:marLeft w:val="480"/>
          <w:marRight w:val="0"/>
          <w:marTop w:val="0"/>
          <w:marBottom w:val="0"/>
          <w:divBdr>
            <w:top w:val="none" w:sz="0" w:space="0" w:color="auto"/>
            <w:left w:val="none" w:sz="0" w:space="0" w:color="auto"/>
            <w:bottom w:val="none" w:sz="0" w:space="0" w:color="auto"/>
            <w:right w:val="none" w:sz="0" w:space="0" w:color="auto"/>
          </w:divBdr>
        </w:div>
        <w:div w:id="889805112">
          <w:marLeft w:val="480"/>
          <w:marRight w:val="0"/>
          <w:marTop w:val="0"/>
          <w:marBottom w:val="0"/>
          <w:divBdr>
            <w:top w:val="none" w:sz="0" w:space="0" w:color="auto"/>
            <w:left w:val="none" w:sz="0" w:space="0" w:color="auto"/>
            <w:bottom w:val="none" w:sz="0" w:space="0" w:color="auto"/>
            <w:right w:val="none" w:sz="0" w:space="0" w:color="auto"/>
          </w:divBdr>
        </w:div>
        <w:div w:id="1470395050">
          <w:marLeft w:val="480"/>
          <w:marRight w:val="0"/>
          <w:marTop w:val="0"/>
          <w:marBottom w:val="0"/>
          <w:divBdr>
            <w:top w:val="none" w:sz="0" w:space="0" w:color="auto"/>
            <w:left w:val="none" w:sz="0" w:space="0" w:color="auto"/>
            <w:bottom w:val="none" w:sz="0" w:space="0" w:color="auto"/>
            <w:right w:val="none" w:sz="0" w:space="0" w:color="auto"/>
          </w:divBdr>
        </w:div>
        <w:div w:id="359429488">
          <w:marLeft w:val="480"/>
          <w:marRight w:val="0"/>
          <w:marTop w:val="0"/>
          <w:marBottom w:val="0"/>
          <w:divBdr>
            <w:top w:val="none" w:sz="0" w:space="0" w:color="auto"/>
            <w:left w:val="none" w:sz="0" w:space="0" w:color="auto"/>
            <w:bottom w:val="none" w:sz="0" w:space="0" w:color="auto"/>
            <w:right w:val="none" w:sz="0" w:space="0" w:color="auto"/>
          </w:divBdr>
        </w:div>
        <w:div w:id="1847208321">
          <w:marLeft w:val="480"/>
          <w:marRight w:val="0"/>
          <w:marTop w:val="0"/>
          <w:marBottom w:val="0"/>
          <w:divBdr>
            <w:top w:val="none" w:sz="0" w:space="0" w:color="auto"/>
            <w:left w:val="none" w:sz="0" w:space="0" w:color="auto"/>
            <w:bottom w:val="none" w:sz="0" w:space="0" w:color="auto"/>
            <w:right w:val="none" w:sz="0" w:space="0" w:color="auto"/>
          </w:divBdr>
        </w:div>
        <w:div w:id="1252592395">
          <w:marLeft w:val="480"/>
          <w:marRight w:val="0"/>
          <w:marTop w:val="0"/>
          <w:marBottom w:val="0"/>
          <w:divBdr>
            <w:top w:val="none" w:sz="0" w:space="0" w:color="auto"/>
            <w:left w:val="none" w:sz="0" w:space="0" w:color="auto"/>
            <w:bottom w:val="none" w:sz="0" w:space="0" w:color="auto"/>
            <w:right w:val="none" w:sz="0" w:space="0" w:color="auto"/>
          </w:divBdr>
        </w:div>
        <w:div w:id="890579695">
          <w:marLeft w:val="480"/>
          <w:marRight w:val="0"/>
          <w:marTop w:val="0"/>
          <w:marBottom w:val="0"/>
          <w:divBdr>
            <w:top w:val="none" w:sz="0" w:space="0" w:color="auto"/>
            <w:left w:val="none" w:sz="0" w:space="0" w:color="auto"/>
            <w:bottom w:val="none" w:sz="0" w:space="0" w:color="auto"/>
            <w:right w:val="none" w:sz="0" w:space="0" w:color="auto"/>
          </w:divBdr>
        </w:div>
        <w:div w:id="367878129">
          <w:marLeft w:val="480"/>
          <w:marRight w:val="0"/>
          <w:marTop w:val="0"/>
          <w:marBottom w:val="0"/>
          <w:divBdr>
            <w:top w:val="none" w:sz="0" w:space="0" w:color="auto"/>
            <w:left w:val="none" w:sz="0" w:space="0" w:color="auto"/>
            <w:bottom w:val="none" w:sz="0" w:space="0" w:color="auto"/>
            <w:right w:val="none" w:sz="0" w:space="0" w:color="auto"/>
          </w:divBdr>
        </w:div>
        <w:div w:id="845292960">
          <w:marLeft w:val="480"/>
          <w:marRight w:val="0"/>
          <w:marTop w:val="0"/>
          <w:marBottom w:val="0"/>
          <w:divBdr>
            <w:top w:val="none" w:sz="0" w:space="0" w:color="auto"/>
            <w:left w:val="none" w:sz="0" w:space="0" w:color="auto"/>
            <w:bottom w:val="none" w:sz="0" w:space="0" w:color="auto"/>
            <w:right w:val="none" w:sz="0" w:space="0" w:color="auto"/>
          </w:divBdr>
        </w:div>
        <w:div w:id="109056321">
          <w:marLeft w:val="480"/>
          <w:marRight w:val="0"/>
          <w:marTop w:val="0"/>
          <w:marBottom w:val="0"/>
          <w:divBdr>
            <w:top w:val="none" w:sz="0" w:space="0" w:color="auto"/>
            <w:left w:val="none" w:sz="0" w:space="0" w:color="auto"/>
            <w:bottom w:val="none" w:sz="0" w:space="0" w:color="auto"/>
            <w:right w:val="none" w:sz="0" w:space="0" w:color="auto"/>
          </w:divBdr>
        </w:div>
        <w:div w:id="1726877642">
          <w:marLeft w:val="480"/>
          <w:marRight w:val="0"/>
          <w:marTop w:val="0"/>
          <w:marBottom w:val="0"/>
          <w:divBdr>
            <w:top w:val="none" w:sz="0" w:space="0" w:color="auto"/>
            <w:left w:val="none" w:sz="0" w:space="0" w:color="auto"/>
            <w:bottom w:val="none" w:sz="0" w:space="0" w:color="auto"/>
            <w:right w:val="none" w:sz="0" w:space="0" w:color="auto"/>
          </w:divBdr>
        </w:div>
        <w:div w:id="1259489099">
          <w:marLeft w:val="480"/>
          <w:marRight w:val="0"/>
          <w:marTop w:val="0"/>
          <w:marBottom w:val="0"/>
          <w:divBdr>
            <w:top w:val="none" w:sz="0" w:space="0" w:color="auto"/>
            <w:left w:val="none" w:sz="0" w:space="0" w:color="auto"/>
            <w:bottom w:val="none" w:sz="0" w:space="0" w:color="auto"/>
            <w:right w:val="none" w:sz="0" w:space="0" w:color="auto"/>
          </w:divBdr>
        </w:div>
        <w:div w:id="481314001">
          <w:marLeft w:val="480"/>
          <w:marRight w:val="0"/>
          <w:marTop w:val="0"/>
          <w:marBottom w:val="0"/>
          <w:divBdr>
            <w:top w:val="none" w:sz="0" w:space="0" w:color="auto"/>
            <w:left w:val="none" w:sz="0" w:space="0" w:color="auto"/>
            <w:bottom w:val="none" w:sz="0" w:space="0" w:color="auto"/>
            <w:right w:val="none" w:sz="0" w:space="0" w:color="auto"/>
          </w:divBdr>
        </w:div>
        <w:div w:id="492068627">
          <w:marLeft w:val="480"/>
          <w:marRight w:val="0"/>
          <w:marTop w:val="0"/>
          <w:marBottom w:val="0"/>
          <w:divBdr>
            <w:top w:val="none" w:sz="0" w:space="0" w:color="auto"/>
            <w:left w:val="none" w:sz="0" w:space="0" w:color="auto"/>
            <w:bottom w:val="none" w:sz="0" w:space="0" w:color="auto"/>
            <w:right w:val="none" w:sz="0" w:space="0" w:color="auto"/>
          </w:divBdr>
        </w:div>
        <w:div w:id="2027822602">
          <w:marLeft w:val="480"/>
          <w:marRight w:val="0"/>
          <w:marTop w:val="0"/>
          <w:marBottom w:val="0"/>
          <w:divBdr>
            <w:top w:val="none" w:sz="0" w:space="0" w:color="auto"/>
            <w:left w:val="none" w:sz="0" w:space="0" w:color="auto"/>
            <w:bottom w:val="none" w:sz="0" w:space="0" w:color="auto"/>
            <w:right w:val="none" w:sz="0" w:space="0" w:color="auto"/>
          </w:divBdr>
        </w:div>
        <w:div w:id="2094664808">
          <w:marLeft w:val="480"/>
          <w:marRight w:val="0"/>
          <w:marTop w:val="0"/>
          <w:marBottom w:val="0"/>
          <w:divBdr>
            <w:top w:val="none" w:sz="0" w:space="0" w:color="auto"/>
            <w:left w:val="none" w:sz="0" w:space="0" w:color="auto"/>
            <w:bottom w:val="none" w:sz="0" w:space="0" w:color="auto"/>
            <w:right w:val="none" w:sz="0" w:space="0" w:color="auto"/>
          </w:divBdr>
        </w:div>
        <w:div w:id="20673184">
          <w:marLeft w:val="480"/>
          <w:marRight w:val="0"/>
          <w:marTop w:val="0"/>
          <w:marBottom w:val="0"/>
          <w:divBdr>
            <w:top w:val="none" w:sz="0" w:space="0" w:color="auto"/>
            <w:left w:val="none" w:sz="0" w:space="0" w:color="auto"/>
            <w:bottom w:val="none" w:sz="0" w:space="0" w:color="auto"/>
            <w:right w:val="none" w:sz="0" w:space="0" w:color="auto"/>
          </w:divBdr>
        </w:div>
        <w:div w:id="139274929">
          <w:marLeft w:val="480"/>
          <w:marRight w:val="0"/>
          <w:marTop w:val="0"/>
          <w:marBottom w:val="0"/>
          <w:divBdr>
            <w:top w:val="none" w:sz="0" w:space="0" w:color="auto"/>
            <w:left w:val="none" w:sz="0" w:space="0" w:color="auto"/>
            <w:bottom w:val="none" w:sz="0" w:space="0" w:color="auto"/>
            <w:right w:val="none" w:sz="0" w:space="0" w:color="auto"/>
          </w:divBdr>
        </w:div>
        <w:div w:id="1762293311">
          <w:marLeft w:val="480"/>
          <w:marRight w:val="0"/>
          <w:marTop w:val="0"/>
          <w:marBottom w:val="0"/>
          <w:divBdr>
            <w:top w:val="none" w:sz="0" w:space="0" w:color="auto"/>
            <w:left w:val="none" w:sz="0" w:space="0" w:color="auto"/>
            <w:bottom w:val="none" w:sz="0" w:space="0" w:color="auto"/>
            <w:right w:val="none" w:sz="0" w:space="0" w:color="auto"/>
          </w:divBdr>
        </w:div>
        <w:div w:id="102114343">
          <w:marLeft w:val="480"/>
          <w:marRight w:val="0"/>
          <w:marTop w:val="0"/>
          <w:marBottom w:val="0"/>
          <w:divBdr>
            <w:top w:val="none" w:sz="0" w:space="0" w:color="auto"/>
            <w:left w:val="none" w:sz="0" w:space="0" w:color="auto"/>
            <w:bottom w:val="none" w:sz="0" w:space="0" w:color="auto"/>
            <w:right w:val="none" w:sz="0" w:space="0" w:color="auto"/>
          </w:divBdr>
        </w:div>
        <w:div w:id="2130735404">
          <w:marLeft w:val="480"/>
          <w:marRight w:val="0"/>
          <w:marTop w:val="0"/>
          <w:marBottom w:val="0"/>
          <w:divBdr>
            <w:top w:val="none" w:sz="0" w:space="0" w:color="auto"/>
            <w:left w:val="none" w:sz="0" w:space="0" w:color="auto"/>
            <w:bottom w:val="none" w:sz="0" w:space="0" w:color="auto"/>
            <w:right w:val="none" w:sz="0" w:space="0" w:color="auto"/>
          </w:divBdr>
        </w:div>
        <w:div w:id="1030568806">
          <w:marLeft w:val="480"/>
          <w:marRight w:val="0"/>
          <w:marTop w:val="0"/>
          <w:marBottom w:val="0"/>
          <w:divBdr>
            <w:top w:val="none" w:sz="0" w:space="0" w:color="auto"/>
            <w:left w:val="none" w:sz="0" w:space="0" w:color="auto"/>
            <w:bottom w:val="none" w:sz="0" w:space="0" w:color="auto"/>
            <w:right w:val="none" w:sz="0" w:space="0" w:color="auto"/>
          </w:divBdr>
        </w:div>
        <w:div w:id="1271671099">
          <w:marLeft w:val="480"/>
          <w:marRight w:val="0"/>
          <w:marTop w:val="0"/>
          <w:marBottom w:val="0"/>
          <w:divBdr>
            <w:top w:val="none" w:sz="0" w:space="0" w:color="auto"/>
            <w:left w:val="none" w:sz="0" w:space="0" w:color="auto"/>
            <w:bottom w:val="none" w:sz="0" w:space="0" w:color="auto"/>
            <w:right w:val="none" w:sz="0" w:space="0" w:color="auto"/>
          </w:divBdr>
        </w:div>
        <w:div w:id="1517576153">
          <w:marLeft w:val="480"/>
          <w:marRight w:val="0"/>
          <w:marTop w:val="0"/>
          <w:marBottom w:val="0"/>
          <w:divBdr>
            <w:top w:val="none" w:sz="0" w:space="0" w:color="auto"/>
            <w:left w:val="none" w:sz="0" w:space="0" w:color="auto"/>
            <w:bottom w:val="none" w:sz="0" w:space="0" w:color="auto"/>
            <w:right w:val="none" w:sz="0" w:space="0" w:color="auto"/>
          </w:divBdr>
        </w:div>
        <w:div w:id="773327562">
          <w:marLeft w:val="480"/>
          <w:marRight w:val="0"/>
          <w:marTop w:val="0"/>
          <w:marBottom w:val="0"/>
          <w:divBdr>
            <w:top w:val="none" w:sz="0" w:space="0" w:color="auto"/>
            <w:left w:val="none" w:sz="0" w:space="0" w:color="auto"/>
            <w:bottom w:val="none" w:sz="0" w:space="0" w:color="auto"/>
            <w:right w:val="none" w:sz="0" w:space="0" w:color="auto"/>
          </w:divBdr>
        </w:div>
        <w:div w:id="2121143503">
          <w:marLeft w:val="480"/>
          <w:marRight w:val="0"/>
          <w:marTop w:val="0"/>
          <w:marBottom w:val="0"/>
          <w:divBdr>
            <w:top w:val="none" w:sz="0" w:space="0" w:color="auto"/>
            <w:left w:val="none" w:sz="0" w:space="0" w:color="auto"/>
            <w:bottom w:val="none" w:sz="0" w:space="0" w:color="auto"/>
            <w:right w:val="none" w:sz="0" w:space="0" w:color="auto"/>
          </w:divBdr>
        </w:div>
        <w:div w:id="1278216262">
          <w:marLeft w:val="480"/>
          <w:marRight w:val="0"/>
          <w:marTop w:val="0"/>
          <w:marBottom w:val="0"/>
          <w:divBdr>
            <w:top w:val="none" w:sz="0" w:space="0" w:color="auto"/>
            <w:left w:val="none" w:sz="0" w:space="0" w:color="auto"/>
            <w:bottom w:val="none" w:sz="0" w:space="0" w:color="auto"/>
            <w:right w:val="none" w:sz="0" w:space="0" w:color="auto"/>
          </w:divBdr>
        </w:div>
        <w:div w:id="49231686">
          <w:marLeft w:val="480"/>
          <w:marRight w:val="0"/>
          <w:marTop w:val="0"/>
          <w:marBottom w:val="0"/>
          <w:divBdr>
            <w:top w:val="none" w:sz="0" w:space="0" w:color="auto"/>
            <w:left w:val="none" w:sz="0" w:space="0" w:color="auto"/>
            <w:bottom w:val="none" w:sz="0" w:space="0" w:color="auto"/>
            <w:right w:val="none" w:sz="0" w:space="0" w:color="auto"/>
          </w:divBdr>
        </w:div>
        <w:div w:id="587496700">
          <w:marLeft w:val="480"/>
          <w:marRight w:val="0"/>
          <w:marTop w:val="0"/>
          <w:marBottom w:val="0"/>
          <w:divBdr>
            <w:top w:val="none" w:sz="0" w:space="0" w:color="auto"/>
            <w:left w:val="none" w:sz="0" w:space="0" w:color="auto"/>
            <w:bottom w:val="none" w:sz="0" w:space="0" w:color="auto"/>
            <w:right w:val="none" w:sz="0" w:space="0" w:color="auto"/>
          </w:divBdr>
        </w:div>
        <w:div w:id="209077013">
          <w:marLeft w:val="480"/>
          <w:marRight w:val="0"/>
          <w:marTop w:val="0"/>
          <w:marBottom w:val="0"/>
          <w:divBdr>
            <w:top w:val="none" w:sz="0" w:space="0" w:color="auto"/>
            <w:left w:val="none" w:sz="0" w:space="0" w:color="auto"/>
            <w:bottom w:val="none" w:sz="0" w:space="0" w:color="auto"/>
            <w:right w:val="none" w:sz="0" w:space="0" w:color="auto"/>
          </w:divBdr>
        </w:div>
        <w:div w:id="251164392">
          <w:marLeft w:val="480"/>
          <w:marRight w:val="0"/>
          <w:marTop w:val="0"/>
          <w:marBottom w:val="0"/>
          <w:divBdr>
            <w:top w:val="none" w:sz="0" w:space="0" w:color="auto"/>
            <w:left w:val="none" w:sz="0" w:space="0" w:color="auto"/>
            <w:bottom w:val="none" w:sz="0" w:space="0" w:color="auto"/>
            <w:right w:val="none" w:sz="0" w:space="0" w:color="auto"/>
          </w:divBdr>
        </w:div>
        <w:div w:id="1002198143">
          <w:marLeft w:val="480"/>
          <w:marRight w:val="0"/>
          <w:marTop w:val="0"/>
          <w:marBottom w:val="0"/>
          <w:divBdr>
            <w:top w:val="none" w:sz="0" w:space="0" w:color="auto"/>
            <w:left w:val="none" w:sz="0" w:space="0" w:color="auto"/>
            <w:bottom w:val="none" w:sz="0" w:space="0" w:color="auto"/>
            <w:right w:val="none" w:sz="0" w:space="0" w:color="auto"/>
          </w:divBdr>
        </w:div>
        <w:div w:id="1020084832">
          <w:marLeft w:val="480"/>
          <w:marRight w:val="0"/>
          <w:marTop w:val="0"/>
          <w:marBottom w:val="0"/>
          <w:divBdr>
            <w:top w:val="none" w:sz="0" w:space="0" w:color="auto"/>
            <w:left w:val="none" w:sz="0" w:space="0" w:color="auto"/>
            <w:bottom w:val="none" w:sz="0" w:space="0" w:color="auto"/>
            <w:right w:val="none" w:sz="0" w:space="0" w:color="auto"/>
          </w:divBdr>
        </w:div>
        <w:div w:id="17582362">
          <w:marLeft w:val="480"/>
          <w:marRight w:val="0"/>
          <w:marTop w:val="0"/>
          <w:marBottom w:val="0"/>
          <w:divBdr>
            <w:top w:val="none" w:sz="0" w:space="0" w:color="auto"/>
            <w:left w:val="none" w:sz="0" w:space="0" w:color="auto"/>
            <w:bottom w:val="none" w:sz="0" w:space="0" w:color="auto"/>
            <w:right w:val="none" w:sz="0" w:space="0" w:color="auto"/>
          </w:divBdr>
        </w:div>
        <w:div w:id="142237898">
          <w:marLeft w:val="480"/>
          <w:marRight w:val="0"/>
          <w:marTop w:val="0"/>
          <w:marBottom w:val="0"/>
          <w:divBdr>
            <w:top w:val="none" w:sz="0" w:space="0" w:color="auto"/>
            <w:left w:val="none" w:sz="0" w:space="0" w:color="auto"/>
            <w:bottom w:val="none" w:sz="0" w:space="0" w:color="auto"/>
            <w:right w:val="none" w:sz="0" w:space="0" w:color="auto"/>
          </w:divBdr>
        </w:div>
        <w:div w:id="1328512321">
          <w:marLeft w:val="480"/>
          <w:marRight w:val="0"/>
          <w:marTop w:val="0"/>
          <w:marBottom w:val="0"/>
          <w:divBdr>
            <w:top w:val="none" w:sz="0" w:space="0" w:color="auto"/>
            <w:left w:val="none" w:sz="0" w:space="0" w:color="auto"/>
            <w:bottom w:val="none" w:sz="0" w:space="0" w:color="auto"/>
            <w:right w:val="none" w:sz="0" w:space="0" w:color="auto"/>
          </w:divBdr>
        </w:div>
        <w:div w:id="1345522963">
          <w:marLeft w:val="480"/>
          <w:marRight w:val="0"/>
          <w:marTop w:val="0"/>
          <w:marBottom w:val="0"/>
          <w:divBdr>
            <w:top w:val="none" w:sz="0" w:space="0" w:color="auto"/>
            <w:left w:val="none" w:sz="0" w:space="0" w:color="auto"/>
            <w:bottom w:val="none" w:sz="0" w:space="0" w:color="auto"/>
            <w:right w:val="none" w:sz="0" w:space="0" w:color="auto"/>
          </w:divBdr>
        </w:div>
        <w:div w:id="701319236">
          <w:marLeft w:val="480"/>
          <w:marRight w:val="0"/>
          <w:marTop w:val="0"/>
          <w:marBottom w:val="0"/>
          <w:divBdr>
            <w:top w:val="none" w:sz="0" w:space="0" w:color="auto"/>
            <w:left w:val="none" w:sz="0" w:space="0" w:color="auto"/>
            <w:bottom w:val="none" w:sz="0" w:space="0" w:color="auto"/>
            <w:right w:val="none" w:sz="0" w:space="0" w:color="auto"/>
          </w:divBdr>
        </w:div>
        <w:div w:id="56981296">
          <w:marLeft w:val="480"/>
          <w:marRight w:val="0"/>
          <w:marTop w:val="0"/>
          <w:marBottom w:val="0"/>
          <w:divBdr>
            <w:top w:val="none" w:sz="0" w:space="0" w:color="auto"/>
            <w:left w:val="none" w:sz="0" w:space="0" w:color="auto"/>
            <w:bottom w:val="none" w:sz="0" w:space="0" w:color="auto"/>
            <w:right w:val="none" w:sz="0" w:space="0" w:color="auto"/>
          </w:divBdr>
        </w:div>
        <w:div w:id="481427572">
          <w:marLeft w:val="480"/>
          <w:marRight w:val="0"/>
          <w:marTop w:val="0"/>
          <w:marBottom w:val="0"/>
          <w:divBdr>
            <w:top w:val="none" w:sz="0" w:space="0" w:color="auto"/>
            <w:left w:val="none" w:sz="0" w:space="0" w:color="auto"/>
            <w:bottom w:val="none" w:sz="0" w:space="0" w:color="auto"/>
            <w:right w:val="none" w:sz="0" w:space="0" w:color="auto"/>
          </w:divBdr>
        </w:div>
        <w:div w:id="1930891686">
          <w:marLeft w:val="480"/>
          <w:marRight w:val="0"/>
          <w:marTop w:val="0"/>
          <w:marBottom w:val="0"/>
          <w:divBdr>
            <w:top w:val="none" w:sz="0" w:space="0" w:color="auto"/>
            <w:left w:val="none" w:sz="0" w:space="0" w:color="auto"/>
            <w:bottom w:val="none" w:sz="0" w:space="0" w:color="auto"/>
            <w:right w:val="none" w:sz="0" w:space="0" w:color="auto"/>
          </w:divBdr>
        </w:div>
        <w:div w:id="616832558">
          <w:marLeft w:val="480"/>
          <w:marRight w:val="0"/>
          <w:marTop w:val="0"/>
          <w:marBottom w:val="0"/>
          <w:divBdr>
            <w:top w:val="none" w:sz="0" w:space="0" w:color="auto"/>
            <w:left w:val="none" w:sz="0" w:space="0" w:color="auto"/>
            <w:bottom w:val="none" w:sz="0" w:space="0" w:color="auto"/>
            <w:right w:val="none" w:sz="0" w:space="0" w:color="auto"/>
          </w:divBdr>
        </w:div>
        <w:div w:id="1762602441">
          <w:marLeft w:val="480"/>
          <w:marRight w:val="0"/>
          <w:marTop w:val="0"/>
          <w:marBottom w:val="0"/>
          <w:divBdr>
            <w:top w:val="none" w:sz="0" w:space="0" w:color="auto"/>
            <w:left w:val="none" w:sz="0" w:space="0" w:color="auto"/>
            <w:bottom w:val="none" w:sz="0" w:space="0" w:color="auto"/>
            <w:right w:val="none" w:sz="0" w:space="0" w:color="auto"/>
          </w:divBdr>
        </w:div>
        <w:div w:id="24213719">
          <w:marLeft w:val="480"/>
          <w:marRight w:val="0"/>
          <w:marTop w:val="0"/>
          <w:marBottom w:val="0"/>
          <w:divBdr>
            <w:top w:val="none" w:sz="0" w:space="0" w:color="auto"/>
            <w:left w:val="none" w:sz="0" w:space="0" w:color="auto"/>
            <w:bottom w:val="none" w:sz="0" w:space="0" w:color="auto"/>
            <w:right w:val="none" w:sz="0" w:space="0" w:color="auto"/>
          </w:divBdr>
        </w:div>
        <w:div w:id="121120363">
          <w:marLeft w:val="480"/>
          <w:marRight w:val="0"/>
          <w:marTop w:val="0"/>
          <w:marBottom w:val="0"/>
          <w:divBdr>
            <w:top w:val="none" w:sz="0" w:space="0" w:color="auto"/>
            <w:left w:val="none" w:sz="0" w:space="0" w:color="auto"/>
            <w:bottom w:val="none" w:sz="0" w:space="0" w:color="auto"/>
            <w:right w:val="none" w:sz="0" w:space="0" w:color="auto"/>
          </w:divBdr>
        </w:div>
        <w:div w:id="1973710621">
          <w:marLeft w:val="480"/>
          <w:marRight w:val="0"/>
          <w:marTop w:val="0"/>
          <w:marBottom w:val="0"/>
          <w:divBdr>
            <w:top w:val="none" w:sz="0" w:space="0" w:color="auto"/>
            <w:left w:val="none" w:sz="0" w:space="0" w:color="auto"/>
            <w:bottom w:val="none" w:sz="0" w:space="0" w:color="auto"/>
            <w:right w:val="none" w:sz="0" w:space="0" w:color="auto"/>
          </w:divBdr>
        </w:div>
        <w:div w:id="1656572342">
          <w:marLeft w:val="480"/>
          <w:marRight w:val="0"/>
          <w:marTop w:val="0"/>
          <w:marBottom w:val="0"/>
          <w:divBdr>
            <w:top w:val="none" w:sz="0" w:space="0" w:color="auto"/>
            <w:left w:val="none" w:sz="0" w:space="0" w:color="auto"/>
            <w:bottom w:val="none" w:sz="0" w:space="0" w:color="auto"/>
            <w:right w:val="none" w:sz="0" w:space="0" w:color="auto"/>
          </w:divBdr>
        </w:div>
        <w:div w:id="1807697735">
          <w:marLeft w:val="480"/>
          <w:marRight w:val="0"/>
          <w:marTop w:val="0"/>
          <w:marBottom w:val="0"/>
          <w:divBdr>
            <w:top w:val="none" w:sz="0" w:space="0" w:color="auto"/>
            <w:left w:val="none" w:sz="0" w:space="0" w:color="auto"/>
            <w:bottom w:val="none" w:sz="0" w:space="0" w:color="auto"/>
            <w:right w:val="none" w:sz="0" w:space="0" w:color="auto"/>
          </w:divBdr>
        </w:div>
        <w:div w:id="2122219264">
          <w:marLeft w:val="480"/>
          <w:marRight w:val="0"/>
          <w:marTop w:val="0"/>
          <w:marBottom w:val="0"/>
          <w:divBdr>
            <w:top w:val="none" w:sz="0" w:space="0" w:color="auto"/>
            <w:left w:val="none" w:sz="0" w:space="0" w:color="auto"/>
            <w:bottom w:val="none" w:sz="0" w:space="0" w:color="auto"/>
            <w:right w:val="none" w:sz="0" w:space="0" w:color="auto"/>
          </w:divBdr>
        </w:div>
        <w:div w:id="1136148330">
          <w:marLeft w:val="480"/>
          <w:marRight w:val="0"/>
          <w:marTop w:val="0"/>
          <w:marBottom w:val="0"/>
          <w:divBdr>
            <w:top w:val="none" w:sz="0" w:space="0" w:color="auto"/>
            <w:left w:val="none" w:sz="0" w:space="0" w:color="auto"/>
            <w:bottom w:val="none" w:sz="0" w:space="0" w:color="auto"/>
            <w:right w:val="none" w:sz="0" w:space="0" w:color="auto"/>
          </w:divBdr>
        </w:div>
        <w:div w:id="1337533295">
          <w:marLeft w:val="480"/>
          <w:marRight w:val="0"/>
          <w:marTop w:val="0"/>
          <w:marBottom w:val="0"/>
          <w:divBdr>
            <w:top w:val="none" w:sz="0" w:space="0" w:color="auto"/>
            <w:left w:val="none" w:sz="0" w:space="0" w:color="auto"/>
            <w:bottom w:val="none" w:sz="0" w:space="0" w:color="auto"/>
            <w:right w:val="none" w:sz="0" w:space="0" w:color="auto"/>
          </w:divBdr>
        </w:div>
        <w:div w:id="1637101613">
          <w:marLeft w:val="480"/>
          <w:marRight w:val="0"/>
          <w:marTop w:val="0"/>
          <w:marBottom w:val="0"/>
          <w:divBdr>
            <w:top w:val="none" w:sz="0" w:space="0" w:color="auto"/>
            <w:left w:val="none" w:sz="0" w:space="0" w:color="auto"/>
            <w:bottom w:val="none" w:sz="0" w:space="0" w:color="auto"/>
            <w:right w:val="none" w:sz="0" w:space="0" w:color="auto"/>
          </w:divBdr>
        </w:div>
        <w:div w:id="1277442732">
          <w:marLeft w:val="480"/>
          <w:marRight w:val="0"/>
          <w:marTop w:val="0"/>
          <w:marBottom w:val="0"/>
          <w:divBdr>
            <w:top w:val="none" w:sz="0" w:space="0" w:color="auto"/>
            <w:left w:val="none" w:sz="0" w:space="0" w:color="auto"/>
            <w:bottom w:val="none" w:sz="0" w:space="0" w:color="auto"/>
            <w:right w:val="none" w:sz="0" w:space="0" w:color="auto"/>
          </w:divBdr>
        </w:div>
        <w:div w:id="2076660576">
          <w:marLeft w:val="480"/>
          <w:marRight w:val="0"/>
          <w:marTop w:val="0"/>
          <w:marBottom w:val="0"/>
          <w:divBdr>
            <w:top w:val="none" w:sz="0" w:space="0" w:color="auto"/>
            <w:left w:val="none" w:sz="0" w:space="0" w:color="auto"/>
            <w:bottom w:val="none" w:sz="0" w:space="0" w:color="auto"/>
            <w:right w:val="none" w:sz="0" w:space="0" w:color="auto"/>
          </w:divBdr>
        </w:div>
        <w:div w:id="401877055">
          <w:marLeft w:val="480"/>
          <w:marRight w:val="0"/>
          <w:marTop w:val="0"/>
          <w:marBottom w:val="0"/>
          <w:divBdr>
            <w:top w:val="none" w:sz="0" w:space="0" w:color="auto"/>
            <w:left w:val="none" w:sz="0" w:space="0" w:color="auto"/>
            <w:bottom w:val="none" w:sz="0" w:space="0" w:color="auto"/>
            <w:right w:val="none" w:sz="0" w:space="0" w:color="auto"/>
          </w:divBdr>
        </w:div>
        <w:div w:id="420491521">
          <w:marLeft w:val="480"/>
          <w:marRight w:val="0"/>
          <w:marTop w:val="0"/>
          <w:marBottom w:val="0"/>
          <w:divBdr>
            <w:top w:val="none" w:sz="0" w:space="0" w:color="auto"/>
            <w:left w:val="none" w:sz="0" w:space="0" w:color="auto"/>
            <w:bottom w:val="none" w:sz="0" w:space="0" w:color="auto"/>
            <w:right w:val="none" w:sz="0" w:space="0" w:color="auto"/>
          </w:divBdr>
        </w:div>
        <w:div w:id="7562803">
          <w:marLeft w:val="480"/>
          <w:marRight w:val="0"/>
          <w:marTop w:val="0"/>
          <w:marBottom w:val="0"/>
          <w:divBdr>
            <w:top w:val="none" w:sz="0" w:space="0" w:color="auto"/>
            <w:left w:val="none" w:sz="0" w:space="0" w:color="auto"/>
            <w:bottom w:val="none" w:sz="0" w:space="0" w:color="auto"/>
            <w:right w:val="none" w:sz="0" w:space="0" w:color="auto"/>
          </w:divBdr>
        </w:div>
        <w:div w:id="1207913118">
          <w:marLeft w:val="480"/>
          <w:marRight w:val="0"/>
          <w:marTop w:val="0"/>
          <w:marBottom w:val="0"/>
          <w:divBdr>
            <w:top w:val="none" w:sz="0" w:space="0" w:color="auto"/>
            <w:left w:val="none" w:sz="0" w:space="0" w:color="auto"/>
            <w:bottom w:val="none" w:sz="0" w:space="0" w:color="auto"/>
            <w:right w:val="none" w:sz="0" w:space="0" w:color="auto"/>
          </w:divBdr>
        </w:div>
        <w:div w:id="897858427">
          <w:marLeft w:val="480"/>
          <w:marRight w:val="0"/>
          <w:marTop w:val="0"/>
          <w:marBottom w:val="0"/>
          <w:divBdr>
            <w:top w:val="none" w:sz="0" w:space="0" w:color="auto"/>
            <w:left w:val="none" w:sz="0" w:space="0" w:color="auto"/>
            <w:bottom w:val="none" w:sz="0" w:space="0" w:color="auto"/>
            <w:right w:val="none" w:sz="0" w:space="0" w:color="auto"/>
          </w:divBdr>
        </w:div>
        <w:div w:id="2145808740">
          <w:marLeft w:val="480"/>
          <w:marRight w:val="0"/>
          <w:marTop w:val="0"/>
          <w:marBottom w:val="0"/>
          <w:divBdr>
            <w:top w:val="none" w:sz="0" w:space="0" w:color="auto"/>
            <w:left w:val="none" w:sz="0" w:space="0" w:color="auto"/>
            <w:bottom w:val="none" w:sz="0" w:space="0" w:color="auto"/>
            <w:right w:val="none" w:sz="0" w:space="0" w:color="auto"/>
          </w:divBdr>
        </w:div>
        <w:div w:id="978874582">
          <w:marLeft w:val="480"/>
          <w:marRight w:val="0"/>
          <w:marTop w:val="0"/>
          <w:marBottom w:val="0"/>
          <w:divBdr>
            <w:top w:val="none" w:sz="0" w:space="0" w:color="auto"/>
            <w:left w:val="none" w:sz="0" w:space="0" w:color="auto"/>
            <w:bottom w:val="none" w:sz="0" w:space="0" w:color="auto"/>
            <w:right w:val="none" w:sz="0" w:space="0" w:color="auto"/>
          </w:divBdr>
        </w:div>
        <w:div w:id="1685402310">
          <w:marLeft w:val="480"/>
          <w:marRight w:val="0"/>
          <w:marTop w:val="0"/>
          <w:marBottom w:val="0"/>
          <w:divBdr>
            <w:top w:val="none" w:sz="0" w:space="0" w:color="auto"/>
            <w:left w:val="none" w:sz="0" w:space="0" w:color="auto"/>
            <w:bottom w:val="none" w:sz="0" w:space="0" w:color="auto"/>
            <w:right w:val="none" w:sz="0" w:space="0" w:color="auto"/>
          </w:divBdr>
        </w:div>
        <w:div w:id="1522670073">
          <w:marLeft w:val="480"/>
          <w:marRight w:val="0"/>
          <w:marTop w:val="0"/>
          <w:marBottom w:val="0"/>
          <w:divBdr>
            <w:top w:val="none" w:sz="0" w:space="0" w:color="auto"/>
            <w:left w:val="none" w:sz="0" w:space="0" w:color="auto"/>
            <w:bottom w:val="none" w:sz="0" w:space="0" w:color="auto"/>
            <w:right w:val="none" w:sz="0" w:space="0" w:color="auto"/>
          </w:divBdr>
        </w:div>
        <w:div w:id="2024474589">
          <w:marLeft w:val="480"/>
          <w:marRight w:val="0"/>
          <w:marTop w:val="0"/>
          <w:marBottom w:val="0"/>
          <w:divBdr>
            <w:top w:val="none" w:sz="0" w:space="0" w:color="auto"/>
            <w:left w:val="none" w:sz="0" w:space="0" w:color="auto"/>
            <w:bottom w:val="none" w:sz="0" w:space="0" w:color="auto"/>
            <w:right w:val="none" w:sz="0" w:space="0" w:color="auto"/>
          </w:divBdr>
        </w:div>
        <w:div w:id="946886272">
          <w:marLeft w:val="480"/>
          <w:marRight w:val="0"/>
          <w:marTop w:val="0"/>
          <w:marBottom w:val="0"/>
          <w:divBdr>
            <w:top w:val="none" w:sz="0" w:space="0" w:color="auto"/>
            <w:left w:val="none" w:sz="0" w:space="0" w:color="auto"/>
            <w:bottom w:val="none" w:sz="0" w:space="0" w:color="auto"/>
            <w:right w:val="none" w:sz="0" w:space="0" w:color="auto"/>
          </w:divBdr>
        </w:div>
        <w:div w:id="2139301095">
          <w:marLeft w:val="480"/>
          <w:marRight w:val="0"/>
          <w:marTop w:val="0"/>
          <w:marBottom w:val="0"/>
          <w:divBdr>
            <w:top w:val="none" w:sz="0" w:space="0" w:color="auto"/>
            <w:left w:val="none" w:sz="0" w:space="0" w:color="auto"/>
            <w:bottom w:val="none" w:sz="0" w:space="0" w:color="auto"/>
            <w:right w:val="none" w:sz="0" w:space="0" w:color="auto"/>
          </w:divBdr>
        </w:div>
        <w:div w:id="869874144">
          <w:marLeft w:val="480"/>
          <w:marRight w:val="0"/>
          <w:marTop w:val="0"/>
          <w:marBottom w:val="0"/>
          <w:divBdr>
            <w:top w:val="none" w:sz="0" w:space="0" w:color="auto"/>
            <w:left w:val="none" w:sz="0" w:space="0" w:color="auto"/>
            <w:bottom w:val="none" w:sz="0" w:space="0" w:color="auto"/>
            <w:right w:val="none" w:sz="0" w:space="0" w:color="auto"/>
          </w:divBdr>
        </w:div>
        <w:div w:id="1720863733">
          <w:marLeft w:val="480"/>
          <w:marRight w:val="0"/>
          <w:marTop w:val="0"/>
          <w:marBottom w:val="0"/>
          <w:divBdr>
            <w:top w:val="none" w:sz="0" w:space="0" w:color="auto"/>
            <w:left w:val="none" w:sz="0" w:space="0" w:color="auto"/>
            <w:bottom w:val="none" w:sz="0" w:space="0" w:color="auto"/>
            <w:right w:val="none" w:sz="0" w:space="0" w:color="auto"/>
          </w:divBdr>
        </w:div>
        <w:div w:id="134026805">
          <w:marLeft w:val="480"/>
          <w:marRight w:val="0"/>
          <w:marTop w:val="0"/>
          <w:marBottom w:val="0"/>
          <w:divBdr>
            <w:top w:val="none" w:sz="0" w:space="0" w:color="auto"/>
            <w:left w:val="none" w:sz="0" w:space="0" w:color="auto"/>
            <w:bottom w:val="none" w:sz="0" w:space="0" w:color="auto"/>
            <w:right w:val="none" w:sz="0" w:space="0" w:color="auto"/>
          </w:divBdr>
        </w:div>
        <w:div w:id="1912962309">
          <w:marLeft w:val="480"/>
          <w:marRight w:val="0"/>
          <w:marTop w:val="0"/>
          <w:marBottom w:val="0"/>
          <w:divBdr>
            <w:top w:val="none" w:sz="0" w:space="0" w:color="auto"/>
            <w:left w:val="none" w:sz="0" w:space="0" w:color="auto"/>
            <w:bottom w:val="none" w:sz="0" w:space="0" w:color="auto"/>
            <w:right w:val="none" w:sz="0" w:space="0" w:color="auto"/>
          </w:divBdr>
        </w:div>
        <w:div w:id="1363437280">
          <w:marLeft w:val="480"/>
          <w:marRight w:val="0"/>
          <w:marTop w:val="0"/>
          <w:marBottom w:val="0"/>
          <w:divBdr>
            <w:top w:val="none" w:sz="0" w:space="0" w:color="auto"/>
            <w:left w:val="none" w:sz="0" w:space="0" w:color="auto"/>
            <w:bottom w:val="none" w:sz="0" w:space="0" w:color="auto"/>
            <w:right w:val="none" w:sz="0" w:space="0" w:color="auto"/>
          </w:divBdr>
        </w:div>
        <w:div w:id="899248158">
          <w:marLeft w:val="480"/>
          <w:marRight w:val="0"/>
          <w:marTop w:val="0"/>
          <w:marBottom w:val="0"/>
          <w:divBdr>
            <w:top w:val="none" w:sz="0" w:space="0" w:color="auto"/>
            <w:left w:val="none" w:sz="0" w:space="0" w:color="auto"/>
            <w:bottom w:val="none" w:sz="0" w:space="0" w:color="auto"/>
            <w:right w:val="none" w:sz="0" w:space="0" w:color="auto"/>
          </w:divBdr>
        </w:div>
        <w:div w:id="1778986121">
          <w:marLeft w:val="480"/>
          <w:marRight w:val="0"/>
          <w:marTop w:val="0"/>
          <w:marBottom w:val="0"/>
          <w:divBdr>
            <w:top w:val="none" w:sz="0" w:space="0" w:color="auto"/>
            <w:left w:val="none" w:sz="0" w:space="0" w:color="auto"/>
            <w:bottom w:val="none" w:sz="0" w:space="0" w:color="auto"/>
            <w:right w:val="none" w:sz="0" w:space="0" w:color="auto"/>
          </w:divBdr>
        </w:div>
        <w:div w:id="660694987">
          <w:marLeft w:val="480"/>
          <w:marRight w:val="0"/>
          <w:marTop w:val="0"/>
          <w:marBottom w:val="0"/>
          <w:divBdr>
            <w:top w:val="none" w:sz="0" w:space="0" w:color="auto"/>
            <w:left w:val="none" w:sz="0" w:space="0" w:color="auto"/>
            <w:bottom w:val="none" w:sz="0" w:space="0" w:color="auto"/>
            <w:right w:val="none" w:sz="0" w:space="0" w:color="auto"/>
          </w:divBdr>
        </w:div>
        <w:div w:id="1896045947">
          <w:marLeft w:val="480"/>
          <w:marRight w:val="0"/>
          <w:marTop w:val="0"/>
          <w:marBottom w:val="0"/>
          <w:divBdr>
            <w:top w:val="none" w:sz="0" w:space="0" w:color="auto"/>
            <w:left w:val="none" w:sz="0" w:space="0" w:color="auto"/>
            <w:bottom w:val="none" w:sz="0" w:space="0" w:color="auto"/>
            <w:right w:val="none" w:sz="0" w:space="0" w:color="auto"/>
          </w:divBdr>
        </w:div>
        <w:div w:id="1663582794">
          <w:marLeft w:val="480"/>
          <w:marRight w:val="0"/>
          <w:marTop w:val="0"/>
          <w:marBottom w:val="0"/>
          <w:divBdr>
            <w:top w:val="none" w:sz="0" w:space="0" w:color="auto"/>
            <w:left w:val="none" w:sz="0" w:space="0" w:color="auto"/>
            <w:bottom w:val="none" w:sz="0" w:space="0" w:color="auto"/>
            <w:right w:val="none" w:sz="0" w:space="0" w:color="auto"/>
          </w:divBdr>
        </w:div>
        <w:div w:id="603344471">
          <w:marLeft w:val="480"/>
          <w:marRight w:val="0"/>
          <w:marTop w:val="0"/>
          <w:marBottom w:val="0"/>
          <w:divBdr>
            <w:top w:val="none" w:sz="0" w:space="0" w:color="auto"/>
            <w:left w:val="none" w:sz="0" w:space="0" w:color="auto"/>
            <w:bottom w:val="none" w:sz="0" w:space="0" w:color="auto"/>
            <w:right w:val="none" w:sz="0" w:space="0" w:color="auto"/>
          </w:divBdr>
        </w:div>
        <w:div w:id="57166913">
          <w:marLeft w:val="480"/>
          <w:marRight w:val="0"/>
          <w:marTop w:val="0"/>
          <w:marBottom w:val="0"/>
          <w:divBdr>
            <w:top w:val="none" w:sz="0" w:space="0" w:color="auto"/>
            <w:left w:val="none" w:sz="0" w:space="0" w:color="auto"/>
            <w:bottom w:val="none" w:sz="0" w:space="0" w:color="auto"/>
            <w:right w:val="none" w:sz="0" w:space="0" w:color="auto"/>
          </w:divBdr>
        </w:div>
        <w:div w:id="2075926599">
          <w:marLeft w:val="480"/>
          <w:marRight w:val="0"/>
          <w:marTop w:val="0"/>
          <w:marBottom w:val="0"/>
          <w:divBdr>
            <w:top w:val="none" w:sz="0" w:space="0" w:color="auto"/>
            <w:left w:val="none" w:sz="0" w:space="0" w:color="auto"/>
            <w:bottom w:val="none" w:sz="0" w:space="0" w:color="auto"/>
            <w:right w:val="none" w:sz="0" w:space="0" w:color="auto"/>
          </w:divBdr>
        </w:div>
        <w:div w:id="1221093297">
          <w:marLeft w:val="480"/>
          <w:marRight w:val="0"/>
          <w:marTop w:val="0"/>
          <w:marBottom w:val="0"/>
          <w:divBdr>
            <w:top w:val="none" w:sz="0" w:space="0" w:color="auto"/>
            <w:left w:val="none" w:sz="0" w:space="0" w:color="auto"/>
            <w:bottom w:val="none" w:sz="0" w:space="0" w:color="auto"/>
            <w:right w:val="none" w:sz="0" w:space="0" w:color="auto"/>
          </w:divBdr>
        </w:div>
        <w:div w:id="564686388">
          <w:marLeft w:val="480"/>
          <w:marRight w:val="0"/>
          <w:marTop w:val="0"/>
          <w:marBottom w:val="0"/>
          <w:divBdr>
            <w:top w:val="none" w:sz="0" w:space="0" w:color="auto"/>
            <w:left w:val="none" w:sz="0" w:space="0" w:color="auto"/>
            <w:bottom w:val="none" w:sz="0" w:space="0" w:color="auto"/>
            <w:right w:val="none" w:sz="0" w:space="0" w:color="auto"/>
          </w:divBdr>
        </w:div>
        <w:div w:id="1821995550">
          <w:marLeft w:val="480"/>
          <w:marRight w:val="0"/>
          <w:marTop w:val="0"/>
          <w:marBottom w:val="0"/>
          <w:divBdr>
            <w:top w:val="none" w:sz="0" w:space="0" w:color="auto"/>
            <w:left w:val="none" w:sz="0" w:space="0" w:color="auto"/>
            <w:bottom w:val="none" w:sz="0" w:space="0" w:color="auto"/>
            <w:right w:val="none" w:sz="0" w:space="0" w:color="auto"/>
          </w:divBdr>
        </w:div>
        <w:div w:id="16546723">
          <w:marLeft w:val="480"/>
          <w:marRight w:val="0"/>
          <w:marTop w:val="0"/>
          <w:marBottom w:val="0"/>
          <w:divBdr>
            <w:top w:val="none" w:sz="0" w:space="0" w:color="auto"/>
            <w:left w:val="none" w:sz="0" w:space="0" w:color="auto"/>
            <w:bottom w:val="none" w:sz="0" w:space="0" w:color="auto"/>
            <w:right w:val="none" w:sz="0" w:space="0" w:color="auto"/>
          </w:divBdr>
        </w:div>
        <w:div w:id="1144086452">
          <w:marLeft w:val="480"/>
          <w:marRight w:val="0"/>
          <w:marTop w:val="0"/>
          <w:marBottom w:val="0"/>
          <w:divBdr>
            <w:top w:val="none" w:sz="0" w:space="0" w:color="auto"/>
            <w:left w:val="none" w:sz="0" w:space="0" w:color="auto"/>
            <w:bottom w:val="none" w:sz="0" w:space="0" w:color="auto"/>
            <w:right w:val="none" w:sz="0" w:space="0" w:color="auto"/>
          </w:divBdr>
        </w:div>
        <w:div w:id="333189748">
          <w:marLeft w:val="480"/>
          <w:marRight w:val="0"/>
          <w:marTop w:val="0"/>
          <w:marBottom w:val="0"/>
          <w:divBdr>
            <w:top w:val="none" w:sz="0" w:space="0" w:color="auto"/>
            <w:left w:val="none" w:sz="0" w:space="0" w:color="auto"/>
            <w:bottom w:val="none" w:sz="0" w:space="0" w:color="auto"/>
            <w:right w:val="none" w:sz="0" w:space="0" w:color="auto"/>
          </w:divBdr>
        </w:div>
        <w:div w:id="39674438">
          <w:marLeft w:val="480"/>
          <w:marRight w:val="0"/>
          <w:marTop w:val="0"/>
          <w:marBottom w:val="0"/>
          <w:divBdr>
            <w:top w:val="none" w:sz="0" w:space="0" w:color="auto"/>
            <w:left w:val="none" w:sz="0" w:space="0" w:color="auto"/>
            <w:bottom w:val="none" w:sz="0" w:space="0" w:color="auto"/>
            <w:right w:val="none" w:sz="0" w:space="0" w:color="auto"/>
          </w:divBdr>
        </w:div>
        <w:div w:id="842820120">
          <w:marLeft w:val="480"/>
          <w:marRight w:val="0"/>
          <w:marTop w:val="0"/>
          <w:marBottom w:val="0"/>
          <w:divBdr>
            <w:top w:val="none" w:sz="0" w:space="0" w:color="auto"/>
            <w:left w:val="none" w:sz="0" w:space="0" w:color="auto"/>
            <w:bottom w:val="none" w:sz="0" w:space="0" w:color="auto"/>
            <w:right w:val="none" w:sz="0" w:space="0" w:color="auto"/>
          </w:divBdr>
        </w:div>
        <w:div w:id="1416705465">
          <w:marLeft w:val="480"/>
          <w:marRight w:val="0"/>
          <w:marTop w:val="0"/>
          <w:marBottom w:val="0"/>
          <w:divBdr>
            <w:top w:val="none" w:sz="0" w:space="0" w:color="auto"/>
            <w:left w:val="none" w:sz="0" w:space="0" w:color="auto"/>
            <w:bottom w:val="none" w:sz="0" w:space="0" w:color="auto"/>
            <w:right w:val="none" w:sz="0" w:space="0" w:color="auto"/>
          </w:divBdr>
        </w:div>
        <w:div w:id="559367447">
          <w:marLeft w:val="480"/>
          <w:marRight w:val="0"/>
          <w:marTop w:val="0"/>
          <w:marBottom w:val="0"/>
          <w:divBdr>
            <w:top w:val="none" w:sz="0" w:space="0" w:color="auto"/>
            <w:left w:val="none" w:sz="0" w:space="0" w:color="auto"/>
            <w:bottom w:val="none" w:sz="0" w:space="0" w:color="auto"/>
            <w:right w:val="none" w:sz="0" w:space="0" w:color="auto"/>
          </w:divBdr>
        </w:div>
        <w:div w:id="680743383">
          <w:marLeft w:val="480"/>
          <w:marRight w:val="0"/>
          <w:marTop w:val="0"/>
          <w:marBottom w:val="0"/>
          <w:divBdr>
            <w:top w:val="none" w:sz="0" w:space="0" w:color="auto"/>
            <w:left w:val="none" w:sz="0" w:space="0" w:color="auto"/>
            <w:bottom w:val="none" w:sz="0" w:space="0" w:color="auto"/>
            <w:right w:val="none" w:sz="0" w:space="0" w:color="auto"/>
          </w:divBdr>
        </w:div>
        <w:div w:id="1446315311">
          <w:marLeft w:val="480"/>
          <w:marRight w:val="0"/>
          <w:marTop w:val="0"/>
          <w:marBottom w:val="0"/>
          <w:divBdr>
            <w:top w:val="none" w:sz="0" w:space="0" w:color="auto"/>
            <w:left w:val="none" w:sz="0" w:space="0" w:color="auto"/>
            <w:bottom w:val="none" w:sz="0" w:space="0" w:color="auto"/>
            <w:right w:val="none" w:sz="0" w:space="0" w:color="auto"/>
          </w:divBdr>
        </w:div>
        <w:div w:id="1979414288">
          <w:marLeft w:val="480"/>
          <w:marRight w:val="0"/>
          <w:marTop w:val="0"/>
          <w:marBottom w:val="0"/>
          <w:divBdr>
            <w:top w:val="none" w:sz="0" w:space="0" w:color="auto"/>
            <w:left w:val="none" w:sz="0" w:space="0" w:color="auto"/>
            <w:bottom w:val="none" w:sz="0" w:space="0" w:color="auto"/>
            <w:right w:val="none" w:sz="0" w:space="0" w:color="auto"/>
          </w:divBdr>
        </w:div>
        <w:div w:id="1356809627">
          <w:marLeft w:val="480"/>
          <w:marRight w:val="0"/>
          <w:marTop w:val="0"/>
          <w:marBottom w:val="0"/>
          <w:divBdr>
            <w:top w:val="none" w:sz="0" w:space="0" w:color="auto"/>
            <w:left w:val="none" w:sz="0" w:space="0" w:color="auto"/>
            <w:bottom w:val="none" w:sz="0" w:space="0" w:color="auto"/>
            <w:right w:val="none" w:sz="0" w:space="0" w:color="auto"/>
          </w:divBdr>
        </w:div>
        <w:div w:id="1441414537">
          <w:marLeft w:val="480"/>
          <w:marRight w:val="0"/>
          <w:marTop w:val="0"/>
          <w:marBottom w:val="0"/>
          <w:divBdr>
            <w:top w:val="none" w:sz="0" w:space="0" w:color="auto"/>
            <w:left w:val="none" w:sz="0" w:space="0" w:color="auto"/>
            <w:bottom w:val="none" w:sz="0" w:space="0" w:color="auto"/>
            <w:right w:val="none" w:sz="0" w:space="0" w:color="auto"/>
          </w:divBdr>
        </w:div>
        <w:div w:id="948464788">
          <w:marLeft w:val="480"/>
          <w:marRight w:val="0"/>
          <w:marTop w:val="0"/>
          <w:marBottom w:val="0"/>
          <w:divBdr>
            <w:top w:val="none" w:sz="0" w:space="0" w:color="auto"/>
            <w:left w:val="none" w:sz="0" w:space="0" w:color="auto"/>
            <w:bottom w:val="none" w:sz="0" w:space="0" w:color="auto"/>
            <w:right w:val="none" w:sz="0" w:space="0" w:color="auto"/>
          </w:divBdr>
        </w:div>
        <w:div w:id="2142992035">
          <w:marLeft w:val="480"/>
          <w:marRight w:val="0"/>
          <w:marTop w:val="0"/>
          <w:marBottom w:val="0"/>
          <w:divBdr>
            <w:top w:val="none" w:sz="0" w:space="0" w:color="auto"/>
            <w:left w:val="none" w:sz="0" w:space="0" w:color="auto"/>
            <w:bottom w:val="none" w:sz="0" w:space="0" w:color="auto"/>
            <w:right w:val="none" w:sz="0" w:space="0" w:color="auto"/>
          </w:divBdr>
        </w:div>
        <w:div w:id="22247450">
          <w:marLeft w:val="480"/>
          <w:marRight w:val="0"/>
          <w:marTop w:val="0"/>
          <w:marBottom w:val="0"/>
          <w:divBdr>
            <w:top w:val="none" w:sz="0" w:space="0" w:color="auto"/>
            <w:left w:val="none" w:sz="0" w:space="0" w:color="auto"/>
            <w:bottom w:val="none" w:sz="0" w:space="0" w:color="auto"/>
            <w:right w:val="none" w:sz="0" w:space="0" w:color="auto"/>
          </w:divBdr>
        </w:div>
        <w:div w:id="686565873">
          <w:marLeft w:val="480"/>
          <w:marRight w:val="0"/>
          <w:marTop w:val="0"/>
          <w:marBottom w:val="0"/>
          <w:divBdr>
            <w:top w:val="none" w:sz="0" w:space="0" w:color="auto"/>
            <w:left w:val="none" w:sz="0" w:space="0" w:color="auto"/>
            <w:bottom w:val="none" w:sz="0" w:space="0" w:color="auto"/>
            <w:right w:val="none" w:sz="0" w:space="0" w:color="auto"/>
          </w:divBdr>
        </w:div>
        <w:div w:id="252710390">
          <w:marLeft w:val="480"/>
          <w:marRight w:val="0"/>
          <w:marTop w:val="0"/>
          <w:marBottom w:val="0"/>
          <w:divBdr>
            <w:top w:val="none" w:sz="0" w:space="0" w:color="auto"/>
            <w:left w:val="none" w:sz="0" w:space="0" w:color="auto"/>
            <w:bottom w:val="none" w:sz="0" w:space="0" w:color="auto"/>
            <w:right w:val="none" w:sz="0" w:space="0" w:color="auto"/>
          </w:divBdr>
        </w:div>
        <w:div w:id="647786265">
          <w:marLeft w:val="480"/>
          <w:marRight w:val="0"/>
          <w:marTop w:val="0"/>
          <w:marBottom w:val="0"/>
          <w:divBdr>
            <w:top w:val="none" w:sz="0" w:space="0" w:color="auto"/>
            <w:left w:val="none" w:sz="0" w:space="0" w:color="auto"/>
            <w:bottom w:val="none" w:sz="0" w:space="0" w:color="auto"/>
            <w:right w:val="none" w:sz="0" w:space="0" w:color="auto"/>
          </w:divBdr>
        </w:div>
        <w:div w:id="1166018644">
          <w:marLeft w:val="480"/>
          <w:marRight w:val="0"/>
          <w:marTop w:val="0"/>
          <w:marBottom w:val="0"/>
          <w:divBdr>
            <w:top w:val="none" w:sz="0" w:space="0" w:color="auto"/>
            <w:left w:val="none" w:sz="0" w:space="0" w:color="auto"/>
            <w:bottom w:val="none" w:sz="0" w:space="0" w:color="auto"/>
            <w:right w:val="none" w:sz="0" w:space="0" w:color="auto"/>
          </w:divBdr>
        </w:div>
        <w:div w:id="55781605">
          <w:marLeft w:val="480"/>
          <w:marRight w:val="0"/>
          <w:marTop w:val="0"/>
          <w:marBottom w:val="0"/>
          <w:divBdr>
            <w:top w:val="none" w:sz="0" w:space="0" w:color="auto"/>
            <w:left w:val="none" w:sz="0" w:space="0" w:color="auto"/>
            <w:bottom w:val="none" w:sz="0" w:space="0" w:color="auto"/>
            <w:right w:val="none" w:sz="0" w:space="0" w:color="auto"/>
          </w:divBdr>
        </w:div>
        <w:div w:id="2113670255">
          <w:marLeft w:val="480"/>
          <w:marRight w:val="0"/>
          <w:marTop w:val="0"/>
          <w:marBottom w:val="0"/>
          <w:divBdr>
            <w:top w:val="none" w:sz="0" w:space="0" w:color="auto"/>
            <w:left w:val="none" w:sz="0" w:space="0" w:color="auto"/>
            <w:bottom w:val="none" w:sz="0" w:space="0" w:color="auto"/>
            <w:right w:val="none" w:sz="0" w:space="0" w:color="auto"/>
          </w:divBdr>
        </w:div>
        <w:div w:id="328144581">
          <w:marLeft w:val="480"/>
          <w:marRight w:val="0"/>
          <w:marTop w:val="0"/>
          <w:marBottom w:val="0"/>
          <w:divBdr>
            <w:top w:val="none" w:sz="0" w:space="0" w:color="auto"/>
            <w:left w:val="none" w:sz="0" w:space="0" w:color="auto"/>
            <w:bottom w:val="none" w:sz="0" w:space="0" w:color="auto"/>
            <w:right w:val="none" w:sz="0" w:space="0" w:color="auto"/>
          </w:divBdr>
        </w:div>
        <w:div w:id="111899938">
          <w:marLeft w:val="480"/>
          <w:marRight w:val="0"/>
          <w:marTop w:val="0"/>
          <w:marBottom w:val="0"/>
          <w:divBdr>
            <w:top w:val="none" w:sz="0" w:space="0" w:color="auto"/>
            <w:left w:val="none" w:sz="0" w:space="0" w:color="auto"/>
            <w:bottom w:val="none" w:sz="0" w:space="0" w:color="auto"/>
            <w:right w:val="none" w:sz="0" w:space="0" w:color="auto"/>
          </w:divBdr>
        </w:div>
        <w:div w:id="1137838309">
          <w:marLeft w:val="480"/>
          <w:marRight w:val="0"/>
          <w:marTop w:val="0"/>
          <w:marBottom w:val="0"/>
          <w:divBdr>
            <w:top w:val="none" w:sz="0" w:space="0" w:color="auto"/>
            <w:left w:val="none" w:sz="0" w:space="0" w:color="auto"/>
            <w:bottom w:val="none" w:sz="0" w:space="0" w:color="auto"/>
            <w:right w:val="none" w:sz="0" w:space="0" w:color="auto"/>
          </w:divBdr>
        </w:div>
        <w:div w:id="1242789371">
          <w:marLeft w:val="480"/>
          <w:marRight w:val="0"/>
          <w:marTop w:val="0"/>
          <w:marBottom w:val="0"/>
          <w:divBdr>
            <w:top w:val="none" w:sz="0" w:space="0" w:color="auto"/>
            <w:left w:val="none" w:sz="0" w:space="0" w:color="auto"/>
            <w:bottom w:val="none" w:sz="0" w:space="0" w:color="auto"/>
            <w:right w:val="none" w:sz="0" w:space="0" w:color="auto"/>
          </w:divBdr>
        </w:div>
        <w:div w:id="1000548830">
          <w:marLeft w:val="480"/>
          <w:marRight w:val="0"/>
          <w:marTop w:val="0"/>
          <w:marBottom w:val="0"/>
          <w:divBdr>
            <w:top w:val="none" w:sz="0" w:space="0" w:color="auto"/>
            <w:left w:val="none" w:sz="0" w:space="0" w:color="auto"/>
            <w:bottom w:val="none" w:sz="0" w:space="0" w:color="auto"/>
            <w:right w:val="none" w:sz="0" w:space="0" w:color="auto"/>
          </w:divBdr>
        </w:div>
        <w:div w:id="975061217">
          <w:marLeft w:val="480"/>
          <w:marRight w:val="0"/>
          <w:marTop w:val="0"/>
          <w:marBottom w:val="0"/>
          <w:divBdr>
            <w:top w:val="none" w:sz="0" w:space="0" w:color="auto"/>
            <w:left w:val="none" w:sz="0" w:space="0" w:color="auto"/>
            <w:bottom w:val="none" w:sz="0" w:space="0" w:color="auto"/>
            <w:right w:val="none" w:sz="0" w:space="0" w:color="auto"/>
          </w:divBdr>
        </w:div>
        <w:div w:id="326517291">
          <w:marLeft w:val="480"/>
          <w:marRight w:val="0"/>
          <w:marTop w:val="0"/>
          <w:marBottom w:val="0"/>
          <w:divBdr>
            <w:top w:val="none" w:sz="0" w:space="0" w:color="auto"/>
            <w:left w:val="none" w:sz="0" w:space="0" w:color="auto"/>
            <w:bottom w:val="none" w:sz="0" w:space="0" w:color="auto"/>
            <w:right w:val="none" w:sz="0" w:space="0" w:color="auto"/>
          </w:divBdr>
        </w:div>
        <w:div w:id="331104940">
          <w:marLeft w:val="480"/>
          <w:marRight w:val="0"/>
          <w:marTop w:val="0"/>
          <w:marBottom w:val="0"/>
          <w:divBdr>
            <w:top w:val="none" w:sz="0" w:space="0" w:color="auto"/>
            <w:left w:val="none" w:sz="0" w:space="0" w:color="auto"/>
            <w:bottom w:val="none" w:sz="0" w:space="0" w:color="auto"/>
            <w:right w:val="none" w:sz="0" w:space="0" w:color="auto"/>
          </w:divBdr>
        </w:div>
        <w:div w:id="1596864093">
          <w:marLeft w:val="480"/>
          <w:marRight w:val="0"/>
          <w:marTop w:val="0"/>
          <w:marBottom w:val="0"/>
          <w:divBdr>
            <w:top w:val="none" w:sz="0" w:space="0" w:color="auto"/>
            <w:left w:val="none" w:sz="0" w:space="0" w:color="auto"/>
            <w:bottom w:val="none" w:sz="0" w:space="0" w:color="auto"/>
            <w:right w:val="none" w:sz="0" w:space="0" w:color="auto"/>
          </w:divBdr>
        </w:div>
        <w:div w:id="564530432">
          <w:marLeft w:val="480"/>
          <w:marRight w:val="0"/>
          <w:marTop w:val="0"/>
          <w:marBottom w:val="0"/>
          <w:divBdr>
            <w:top w:val="none" w:sz="0" w:space="0" w:color="auto"/>
            <w:left w:val="none" w:sz="0" w:space="0" w:color="auto"/>
            <w:bottom w:val="none" w:sz="0" w:space="0" w:color="auto"/>
            <w:right w:val="none" w:sz="0" w:space="0" w:color="auto"/>
          </w:divBdr>
        </w:div>
        <w:div w:id="856966702">
          <w:marLeft w:val="480"/>
          <w:marRight w:val="0"/>
          <w:marTop w:val="0"/>
          <w:marBottom w:val="0"/>
          <w:divBdr>
            <w:top w:val="none" w:sz="0" w:space="0" w:color="auto"/>
            <w:left w:val="none" w:sz="0" w:space="0" w:color="auto"/>
            <w:bottom w:val="none" w:sz="0" w:space="0" w:color="auto"/>
            <w:right w:val="none" w:sz="0" w:space="0" w:color="auto"/>
          </w:divBdr>
        </w:div>
        <w:div w:id="2134782745">
          <w:marLeft w:val="480"/>
          <w:marRight w:val="0"/>
          <w:marTop w:val="0"/>
          <w:marBottom w:val="0"/>
          <w:divBdr>
            <w:top w:val="none" w:sz="0" w:space="0" w:color="auto"/>
            <w:left w:val="none" w:sz="0" w:space="0" w:color="auto"/>
            <w:bottom w:val="none" w:sz="0" w:space="0" w:color="auto"/>
            <w:right w:val="none" w:sz="0" w:space="0" w:color="auto"/>
          </w:divBdr>
        </w:div>
        <w:div w:id="1626741014">
          <w:marLeft w:val="480"/>
          <w:marRight w:val="0"/>
          <w:marTop w:val="0"/>
          <w:marBottom w:val="0"/>
          <w:divBdr>
            <w:top w:val="none" w:sz="0" w:space="0" w:color="auto"/>
            <w:left w:val="none" w:sz="0" w:space="0" w:color="auto"/>
            <w:bottom w:val="none" w:sz="0" w:space="0" w:color="auto"/>
            <w:right w:val="none" w:sz="0" w:space="0" w:color="auto"/>
          </w:divBdr>
        </w:div>
        <w:div w:id="1693143942">
          <w:marLeft w:val="480"/>
          <w:marRight w:val="0"/>
          <w:marTop w:val="0"/>
          <w:marBottom w:val="0"/>
          <w:divBdr>
            <w:top w:val="none" w:sz="0" w:space="0" w:color="auto"/>
            <w:left w:val="none" w:sz="0" w:space="0" w:color="auto"/>
            <w:bottom w:val="none" w:sz="0" w:space="0" w:color="auto"/>
            <w:right w:val="none" w:sz="0" w:space="0" w:color="auto"/>
          </w:divBdr>
        </w:div>
        <w:div w:id="1439568392">
          <w:marLeft w:val="480"/>
          <w:marRight w:val="0"/>
          <w:marTop w:val="0"/>
          <w:marBottom w:val="0"/>
          <w:divBdr>
            <w:top w:val="none" w:sz="0" w:space="0" w:color="auto"/>
            <w:left w:val="none" w:sz="0" w:space="0" w:color="auto"/>
            <w:bottom w:val="none" w:sz="0" w:space="0" w:color="auto"/>
            <w:right w:val="none" w:sz="0" w:space="0" w:color="auto"/>
          </w:divBdr>
        </w:div>
        <w:div w:id="1117093679">
          <w:marLeft w:val="480"/>
          <w:marRight w:val="0"/>
          <w:marTop w:val="0"/>
          <w:marBottom w:val="0"/>
          <w:divBdr>
            <w:top w:val="none" w:sz="0" w:space="0" w:color="auto"/>
            <w:left w:val="none" w:sz="0" w:space="0" w:color="auto"/>
            <w:bottom w:val="none" w:sz="0" w:space="0" w:color="auto"/>
            <w:right w:val="none" w:sz="0" w:space="0" w:color="auto"/>
          </w:divBdr>
        </w:div>
        <w:div w:id="1400057206">
          <w:marLeft w:val="480"/>
          <w:marRight w:val="0"/>
          <w:marTop w:val="0"/>
          <w:marBottom w:val="0"/>
          <w:divBdr>
            <w:top w:val="none" w:sz="0" w:space="0" w:color="auto"/>
            <w:left w:val="none" w:sz="0" w:space="0" w:color="auto"/>
            <w:bottom w:val="none" w:sz="0" w:space="0" w:color="auto"/>
            <w:right w:val="none" w:sz="0" w:space="0" w:color="auto"/>
          </w:divBdr>
        </w:div>
        <w:div w:id="209004859">
          <w:marLeft w:val="480"/>
          <w:marRight w:val="0"/>
          <w:marTop w:val="0"/>
          <w:marBottom w:val="0"/>
          <w:divBdr>
            <w:top w:val="none" w:sz="0" w:space="0" w:color="auto"/>
            <w:left w:val="none" w:sz="0" w:space="0" w:color="auto"/>
            <w:bottom w:val="none" w:sz="0" w:space="0" w:color="auto"/>
            <w:right w:val="none" w:sz="0" w:space="0" w:color="auto"/>
          </w:divBdr>
        </w:div>
        <w:div w:id="1523007187">
          <w:marLeft w:val="480"/>
          <w:marRight w:val="0"/>
          <w:marTop w:val="0"/>
          <w:marBottom w:val="0"/>
          <w:divBdr>
            <w:top w:val="none" w:sz="0" w:space="0" w:color="auto"/>
            <w:left w:val="none" w:sz="0" w:space="0" w:color="auto"/>
            <w:bottom w:val="none" w:sz="0" w:space="0" w:color="auto"/>
            <w:right w:val="none" w:sz="0" w:space="0" w:color="auto"/>
          </w:divBdr>
        </w:div>
        <w:div w:id="944847093">
          <w:marLeft w:val="480"/>
          <w:marRight w:val="0"/>
          <w:marTop w:val="0"/>
          <w:marBottom w:val="0"/>
          <w:divBdr>
            <w:top w:val="none" w:sz="0" w:space="0" w:color="auto"/>
            <w:left w:val="none" w:sz="0" w:space="0" w:color="auto"/>
            <w:bottom w:val="none" w:sz="0" w:space="0" w:color="auto"/>
            <w:right w:val="none" w:sz="0" w:space="0" w:color="auto"/>
          </w:divBdr>
        </w:div>
        <w:div w:id="894512961">
          <w:marLeft w:val="480"/>
          <w:marRight w:val="0"/>
          <w:marTop w:val="0"/>
          <w:marBottom w:val="0"/>
          <w:divBdr>
            <w:top w:val="none" w:sz="0" w:space="0" w:color="auto"/>
            <w:left w:val="none" w:sz="0" w:space="0" w:color="auto"/>
            <w:bottom w:val="none" w:sz="0" w:space="0" w:color="auto"/>
            <w:right w:val="none" w:sz="0" w:space="0" w:color="auto"/>
          </w:divBdr>
        </w:div>
        <w:div w:id="1512718009">
          <w:marLeft w:val="480"/>
          <w:marRight w:val="0"/>
          <w:marTop w:val="0"/>
          <w:marBottom w:val="0"/>
          <w:divBdr>
            <w:top w:val="none" w:sz="0" w:space="0" w:color="auto"/>
            <w:left w:val="none" w:sz="0" w:space="0" w:color="auto"/>
            <w:bottom w:val="none" w:sz="0" w:space="0" w:color="auto"/>
            <w:right w:val="none" w:sz="0" w:space="0" w:color="auto"/>
          </w:divBdr>
        </w:div>
        <w:div w:id="1654941499">
          <w:marLeft w:val="480"/>
          <w:marRight w:val="0"/>
          <w:marTop w:val="0"/>
          <w:marBottom w:val="0"/>
          <w:divBdr>
            <w:top w:val="none" w:sz="0" w:space="0" w:color="auto"/>
            <w:left w:val="none" w:sz="0" w:space="0" w:color="auto"/>
            <w:bottom w:val="none" w:sz="0" w:space="0" w:color="auto"/>
            <w:right w:val="none" w:sz="0" w:space="0" w:color="auto"/>
          </w:divBdr>
        </w:div>
        <w:div w:id="1488012478">
          <w:marLeft w:val="480"/>
          <w:marRight w:val="0"/>
          <w:marTop w:val="0"/>
          <w:marBottom w:val="0"/>
          <w:divBdr>
            <w:top w:val="none" w:sz="0" w:space="0" w:color="auto"/>
            <w:left w:val="none" w:sz="0" w:space="0" w:color="auto"/>
            <w:bottom w:val="none" w:sz="0" w:space="0" w:color="auto"/>
            <w:right w:val="none" w:sz="0" w:space="0" w:color="auto"/>
          </w:divBdr>
        </w:div>
        <w:div w:id="1101027926">
          <w:marLeft w:val="480"/>
          <w:marRight w:val="0"/>
          <w:marTop w:val="0"/>
          <w:marBottom w:val="0"/>
          <w:divBdr>
            <w:top w:val="none" w:sz="0" w:space="0" w:color="auto"/>
            <w:left w:val="none" w:sz="0" w:space="0" w:color="auto"/>
            <w:bottom w:val="none" w:sz="0" w:space="0" w:color="auto"/>
            <w:right w:val="none" w:sz="0" w:space="0" w:color="auto"/>
          </w:divBdr>
        </w:div>
        <w:div w:id="1163663921">
          <w:marLeft w:val="480"/>
          <w:marRight w:val="0"/>
          <w:marTop w:val="0"/>
          <w:marBottom w:val="0"/>
          <w:divBdr>
            <w:top w:val="none" w:sz="0" w:space="0" w:color="auto"/>
            <w:left w:val="none" w:sz="0" w:space="0" w:color="auto"/>
            <w:bottom w:val="none" w:sz="0" w:space="0" w:color="auto"/>
            <w:right w:val="none" w:sz="0" w:space="0" w:color="auto"/>
          </w:divBdr>
        </w:div>
        <w:div w:id="1397971534">
          <w:marLeft w:val="480"/>
          <w:marRight w:val="0"/>
          <w:marTop w:val="0"/>
          <w:marBottom w:val="0"/>
          <w:divBdr>
            <w:top w:val="none" w:sz="0" w:space="0" w:color="auto"/>
            <w:left w:val="none" w:sz="0" w:space="0" w:color="auto"/>
            <w:bottom w:val="none" w:sz="0" w:space="0" w:color="auto"/>
            <w:right w:val="none" w:sz="0" w:space="0" w:color="auto"/>
          </w:divBdr>
        </w:div>
        <w:div w:id="2087261838">
          <w:marLeft w:val="480"/>
          <w:marRight w:val="0"/>
          <w:marTop w:val="0"/>
          <w:marBottom w:val="0"/>
          <w:divBdr>
            <w:top w:val="none" w:sz="0" w:space="0" w:color="auto"/>
            <w:left w:val="none" w:sz="0" w:space="0" w:color="auto"/>
            <w:bottom w:val="none" w:sz="0" w:space="0" w:color="auto"/>
            <w:right w:val="none" w:sz="0" w:space="0" w:color="auto"/>
          </w:divBdr>
        </w:div>
        <w:div w:id="1091006633">
          <w:marLeft w:val="480"/>
          <w:marRight w:val="0"/>
          <w:marTop w:val="0"/>
          <w:marBottom w:val="0"/>
          <w:divBdr>
            <w:top w:val="none" w:sz="0" w:space="0" w:color="auto"/>
            <w:left w:val="none" w:sz="0" w:space="0" w:color="auto"/>
            <w:bottom w:val="none" w:sz="0" w:space="0" w:color="auto"/>
            <w:right w:val="none" w:sz="0" w:space="0" w:color="auto"/>
          </w:divBdr>
        </w:div>
        <w:div w:id="758136147">
          <w:marLeft w:val="480"/>
          <w:marRight w:val="0"/>
          <w:marTop w:val="0"/>
          <w:marBottom w:val="0"/>
          <w:divBdr>
            <w:top w:val="none" w:sz="0" w:space="0" w:color="auto"/>
            <w:left w:val="none" w:sz="0" w:space="0" w:color="auto"/>
            <w:bottom w:val="none" w:sz="0" w:space="0" w:color="auto"/>
            <w:right w:val="none" w:sz="0" w:space="0" w:color="auto"/>
          </w:divBdr>
        </w:div>
        <w:div w:id="1123157525">
          <w:marLeft w:val="480"/>
          <w:marRight w:val="0"/>
          <w:marTop w:val="0"/>
          <w:marBottom w:val="0"/>
          <w:divBdr>
            <w:top w:val="none" w:sz="0" w:space="0" w:color="auto"/>
            <w:left w:val="none" w:sz="0" w:space="0" w:color="auto"/>
            <w:bottom w:val="none" w:sz="0" w:space="0" w:color="auto"/>
            <w:right w:val="none" w:sz="0" w:space="0" w:color="auto"/>
          </w:divBdr>
        </w:div>
        <w:div w:id="1568374397">
          <w:marLeft w:val="480"/>
          <w:marRight w:val="0"/>
          <w:marTop w:val="0"/>
          <w:marBottom w:val="0"/>
          <w:divBdr>
            <w:top w:val="none" w:sz="0" w:space="0" w:color="auto"/>
            <w:left w:val="none" w:sz="0" w:space="0" w:color="auto"/>
            <w:bottom w:val="none" w:sz="0" w:space="0" w:color="auto"/>
            <w:right w:val="none" w:sz="0" w:space="0" w:color="auto"/>
          </w:divBdr>
        </w:div>
        <w:div w:id="1009451377">
          <w:marLeft w:val="480"/>
          <w:marRight w:val="0"/>
          <w:marTop w:val="0"/>
          <w:marBottom w:val="0"/>
          <w:divBdr>
            <w:top w:val="none" w:sz="0" w:space="0" w:color="auto"/>
            <w:left w:val="none" w:sz="0" w:space="0" w:color="auto"/>
            <w:bottom w:val="none" w:sz="0" w:space="0" w:color="auto"/>
            <w:right w:val="none" w:sz="0" w:space="0" w:color="auto"/>
          </w:divBdr>
        </w:div>
        <w:div w:id="1246842446">
          <w:marLeft w:val="480"/>
          <w:marRight w:val="0"/>
          <w:marTop w:val="0"/>
          <w:marBottom w:val="0"/>
          <w:divBdr>
            <w:top w:val="none" w:sz="0" w:space="0" w:color="auto"/>
            <w:left w:val="none" w:sz="0" w:space="0" w:color="auto"/>
            <w:bottom w:val="none" w:sz="0" w:space="0" w:color="auto"/>
            <w:right w:val="none" w:sz="0" w:space="0" w:color="auto"/>
          </w:divBdr>
        </w:div>
        <w:div w:id="904755050">
          <w:marLeft w:val="480"/>
          <w:marRight w:val="0"/>
          <w:marTop w:val="0"/>
          <w:marBottom w:val="0"/>
          <w:divBdr>
            <w:top w:val="none" w:sz="0" w:space="0" w:color="auto"/>
            <w:left w:val="none" w:sz="0" w:space="0" w:color="auto"/>
            <w:bottom w:val="none" w:sz="0" w:space="0" w:color="auto"/>
            <w:right w:val="none" w:sz="0" w:space="0" w:color="auto"/>
          </w:divBdr>
        </w:div>
        <w:div w:id="969940548">
          <w:marLeft w:val="480"/>
          <w:marRight w:val="0"/>
          <w:marTop w:val="0"/>
          <w:marBottom w:val="0"/>
          <w:divBdr>
            <w:top w:val="none" w:sz="0" w:space="0" w:color="auto"/>
            <w:left w:val="none" w:sz="0" w:space="0" w:color="auto"/>
            <w:bottom w:val="none" w:sz="0" w:space="0" w:color="auto"/>
            <w:right w:val="none" w:sz="0" w:space="0" w:color="auto"/>
          </w:divBdr>
        </w:div>
        <w:div w:id="519129830">
          <w:marLeft w:val="480"/>
          <w:marRight w:val="0"/>
          <w:marTop w:val="0"/>
          <w:marBottom w:val="0"/>
          <w:divBdr>
            <w:top w:val="none" w:sz="0" w:space="0" w:color="auto"/>
            <w:left w:val="none" w:sz="0" w:space="0" w:color="auto"/>
            <w:bottom w:val="none" w:sz="0" w:space="0" w:color="auto"/>
            <w:right w:val="none" w:sz="0" w:space="0" w:color="auto"/>
          </w:divBdr>
        </w:div>
        <w:div w:id="1723555077">
          <w:marLeft w:val="480"/>
          <w:marRight w:val="0"/>
          <w:marTop w:val="0"/>
          <w:marBottom w:val="0"/>
          <w:divBdr>
            <w:top w:val="none" w:sz="0" w:space="0" w:color="auto"/>
            <w:left w:val="none" w:sz="0" w:space="0" w:color="auto"/>
            <w:bottom w:val="none" w:sz="0" w:space="0" w:color="auto"/>
            <w:right w:val="none" w:sz="0" w:space="0" w:color="auto"/>
          </w:divBdr>
        </w:div>
        <w:div w:id="1021322210">
          <w:marLeft w:val="480"/>
          <w:marRight w:val="0"/>
          <w:marTop w:val="0"/>
          <w:marBottom w:val="0"/>
          <w:divBdr>
            <w:top w:val="none" w:sz="0" w:space="0" w:color="auto"/>
            <w:left w:val="none" w:sz="0" w:space="0" w:color="auto"/>
            <w:bottom w:val="none" w:sz="0" w:space="0" w:color="auto"/>
            <w:right w:val="none" w:sz="0" w:space="0" w:color="auto"/>
          </w:divBdr>
        </w:div>
        <w:div w:id="782504941">
          <w:marLeft w:val="480"/>
          <w:marRight w:val="0"/>
          <w:marTop w:val="0"/>
          <w:marBottom w:val="0"/>
          <w:divBdr>
            <w:top w:val="none" w:sz="0" w:space="0" w:color="auto"/>
            <w:left w:val="none" w:sz="0" w:space="0" w:color="auto"/>
            <w:bottom w:val="none" w:sz="0" w:space="0" w:color="auto"/>
            <w:right w:val="none" w:sz="0" w:space="0" w:color="auto"/>
          </w:divBdr>
        </w:div>
        <w:div w:id="1813060166">
          <w:marLeft w:val="480"/>
          <w:marRight w:val="0"/>
          <w:marTop w:val="0"/>
          <w:marBottom w:val="0"/>
          <w:divBdr>
            <w:top w:val="none" w:sz="0" w:space="0" w:color="auto"/>
            <w:left w:val="none" w:sz="0" w:space="0" w:color="auto"/>
            <w:bottom w:val="none" w:sz="0" w:space="0" w:color="auto"/>
            <w:right w:val="none" w:sz="0" w:space="0" w:color="auto"/>
          </w:divBdr>
        </w:div>
        <w:div w:id="1829050571">
          <w:marLeft w:val="480"/>
          <w:marRight w:val="0"/>
          <w:marTop w:val="0"/>
          <w:marBottom w:val="0"/>
          <w:divBdr>
            <w:top w:val="none" w:sz="0" w:space="0" w:color="auto"/>
            <w:left w:val="none" w:sz="0" w:space="0" w:color="auto"/>
            <w:bottom w:val="none" w:sz="0" w:space="0" w:color="auto"/>
            <w:right w:val="none" w:sz="0" w:space="0" w:color="auto"/>
          </w:divBdr>
        </w:div>
        <w:div w:id="833573208">
          <w:marLeft w:val="480"/>
          <w:marRight w:val="0"/>
          <w:marTop w:val="0"/>
          <w:marBottom w:val="0"/>
          <w:divBdr>
            <w:top w:val="none" w:sz="0" w:space="0" w:color="auto"/>
            <w:left w:val="none" w:sz="0" w:space="0" w:color="auto"/>
            <w:bottom w:val="none" w:sz="0" w:space="0" w:color="auto"/>
            <w:right w:val="none" w:sz="0" w:space="0" w:color="auto"/>
          </w:divBdr>
        </w:div>
        <w:div w:id="1346638081">
          <w:marLeft w:val="480"/>
          <w:marRight w:val="0"/>
          <w:marTop w:val="0"/>
          <w:marBottom w:val="0"/>
          <w:divBdr>
            <w:top w:val="none" w:sz="0" w:space="0" w:color="auto"/>
            <w:left w:val="none" w:sz="0" w:space="0" w:color="auto"/>
            <w:bottom w:val="none" w:sz="0" w:space="0" w:color="auto"/>
            <w:right w:val="none" w:sz="0" w:space="0" w:color="auto"/>
          </w:divBdr>
        </w:div>
        <w:div w:id="1668442413">
          <w:marLeft w:val="480"/>
          <w:marRight w:val="0"/>
          <w:marTop w:val="0"/>
          <w:marBottom w:val="0"/>
          <w:divBdr>
            <w:top w:val="none" w:sz="0" w:space="0" w:color="auto"/>
            <w:left w:val="none" w:sz="0" w:space="0" w:color="auto"/>
            <w:bottom w:val="none" w:sz="0" w:space="0" w:color="auto"/>
            <w:right w:val="none" w:sz="0" w:space="0" w:color="auto"/>
          </w:divBdr>
        </w:div>
        <w:div w:id="456606907">
          <w:marLeft w:val="480"/>
          <w:marRight w:val="0"/>
          <w:marTop w:val="0"/>
          <w:marBottom w:val="0"/>
          <w:divBdr>
            <w:top w:val="none" w:sz="0" w:space="0" w:color="auto"/>
            <w:left w:val="none" w:sz="0" w:space="0" w:color="auto"/>
            <w:bottom w:val="none" w:sz="0" w:space="0" w:color="auto"/>
            <w:right w:val="none" w:sz="0" w:space="0" w:color="auto"/>
          </w:divBdr>
        </w:div>
        <w:div w:id="1364163614">
          <w:marLeft w:val="480"/>
          <w:marRight w:val="0"/>
          <w:marTop w:val="0"/>
          <w:marBottom w:val="0"/>
          <w:divBdr>
            <w:top w:val="none" w:sz="0" w:space="0" w:color="auto"/>
            <w:left w:val="none" w:sz="0" w:space="0" w:color="auto"/>
            <w:bottom w:val="none" w:sz="0" w:space="0" w:color="auto"/>
            <w:right w:val="none" w:sz="0" w:space="0" w:color="auto"/>
          </w:divBdr>
        </w:div>
        <w:div w:id="928277288">
          <w:marLeft w:val="480"/>
          <w:marRight w:val="0"/>
          <w:marTop w:val="0"/>
          <w:marBottom w:val="0"/>
          <w:divBdr>
            <w:top w:val="none" w:sz="0" w:space="0" w:color="auto"/>
            <w:left w:val="none" w:sz="0" w:space="0" w:color="auto"/>
            <w:bottom w:val="none" w:sz="0" w:space="0" w:color="auto"/>
            <w:right w:val="none" w:sz="0" w:space="0" w:color="auto"/>
          </w:divBdr>
        </w:div>
        <w:div w:id="248580360">
          <w:marLeft w:val="480"/>
          <w:marRight w:val="0"/>
          <w:marTop w:val="0"/>
          <w:marBottom w:val="0"/>
          <w:divBdr>
            <w:top w:val="none" w:sz="0" w:space="0" w:color="auto"/>
            <w:left w:val="none" w:sz="0" w:space="0" w:color="auto"/>
            <w:bottom w:val="none" w:sz="0" w:space="0" w:color="auto"/>
            <w:right w:val="none" w:sz="0" w:space="0" w:color="auto"/>
          </w:divBdr>
        </w:div>
        <w:div w:id="2057044997">
          <w:marLeft w:val="480"/>
          <w:marRight w:val="0"/>
          <w:marTop w:val="0"/>
          <w:marBottom w:val="0"/>
          <w:divBdr>
            <w:top w:val="none" w:sz="0" w:space="0" w:color="auto"/>
            <w:left w:val="none" w:sz="0" w:space="0" w:color="auto"/>
            <w:bottom w:val="none" w:sz="0" w:space="0" w:color="auto"/>
            <w:right w:val="none" w:sz="0" w:space="0" w:color="auto"/>
          </w:divBdr>
        </w:div>
        <w:div w:id="1274094616">
          <w:marLeft w:val="480"/>
          <w:marRight w:val="0"/>
          <w:marTop w:val="0"/>
          <w:marBottom w:val="0"/>
          <w:divBdr>
            <w:top w:val="none" w:sz="0" w:space="0" w:color="auto"/>
            <w:left w:val="none" w:sz="0" w:space="0" w:color="auto"/>
            <w:bottom w:val="none" w:sz="0" w:space="0" w:color="auto"/>
            <w:right w:val="none" w:sz="0" w:space="0" w:color="auto"/>
          </w:divBdr>
        </w:div>
        <w:div w:id="967009547">
          <w:marLeft w:val="480"/>
          <w:marRight w:val="0"/>
          <w:marTop w:val="0"/>
          <w:marBottom w:val="0"/>
          <w:divBdr>
            <w:top w:val="none" w:sz="0" w:space="0" w:color="auto"/>
            <w:left w:val="none" w:sz="0" w:space="0" w:color="auto"/>
            <w:bottom w:val="none" w:sz="0" w:space="0" w:color="auto"/>
            <w:right w:val="none" w:sz="0" w:space="0" w:color="auto"/>
          </w:divBdr>
        </w:div>
        <w:div w:id="71125651">
          <w:marLeft w:val="480"/>
          <w:marRight w:val="0"/>
          <w:marTop w:val="0"/>
          <w:marBottom w:val="0"/>
          <w:divBdr>
            <w:top w:val="none" w:sz="0" w:space="0" w:color="auto"/>
            <w:left w:val="none" w:sz="0" w:space="0" w:color="auto"/>
            <w:bottom w:val="none" w:sz="0" w:space="0" w:color="auto"/>
            <w:right w:val="none" w:sz="0" w:space="0" w:color="auto"/>
          </w:divBdr>
        </w:div>
        <w:div w:id="300959497">
          <w:marLeft w:val="480"/>
          <w:marRight w:val="0"/>
          <w:marTop w:val="0"/>
          <w:marBottom w:val="0"/>
          <w:divBdr>
            <w:top w:val="none" w:sz="0" w:space="0" w:color="auto"/>
            <w:left w:val="none" w:sz="0" w:space="0" w:color="auto"/>
            <w:bottom w:val="none" w:sz="0" w:space="0" w:color="auto"/>
            <w:right w:val="none" w:sz="0" w:space="0" w:color="auto"/>
          </w:divBdr>
        </w:div>
        <w:div w:id="821778934">
          <w:marLeft w:val="480"/>
          <w:marRight w:val="0"/>
          <w:marTop w:val="0"/>
          <w:marBottom w:val="0"/>
          <w:divBdr>
            <w:top w:val="none" w:sz="0" w:space="0" w:color="auto"/>
            <w:left w:val="none" w:sz="0" w:space="0" w:color="auto"/>
            <w:bottom w:val="none" w:sz="0" w:space="0" w:color="auto"/>
            <w:right w:val="none" w:sz="0" w:space="0" w:color="auto"/>
          </w:divBdr>
        </w:div>
        <w:div w:id="1140805303">
          <w:marLeft w:val="480"/>
          <w:marRight w:val="0"/>
          <w:marTop w:val="0"/>
          <w:marBottom w:val="0"/>
          <w:divBdr>
            <w:top w:val="none" w:sz="0" w:space="0" w:color="auto"/>
            <w:left w:val="none" w:sz="0" w:space="0" w:color="auto"/>
            <w:bottom w:val="none" w:sz="0" w:space="0" w:color="auto"/>
            <w:right w:val="none" w:sz="0" w:space="0" w:color="auto"/>
          </w:divBdr>
        </w:div>
        <w:div w:id="1570849935">
          <w:marLeft w:val="480"/>
          <w:marRight w:val="0"/>
          <w:marTop w:val="0"/>
          <w:marBottom w:val="0"/>
          <w:divBdr>
            <w:top w:val="none" w:sz="0" w:space="0" w:color="auto"/>
            <w:left w:val="none" w:sz="0" w:space="0" w:color="auto"/>
            <w:bottom w:val="none" w:sz="0" w:space="0" w:color="auto"/>
            <w:right w:val="none" w:sz="0" w:space="0" w:color="auto"/>
          </w:divBdr>
        </w:div>
        <w:div w:id="1237474259">
          <w:marLeft w:val="480"/>
          <w:marRight w:val="0"/>
          <w:marTop w:val="0"/>
          <w:marBottom w:val="0"/>
          <w:divBdr>
            <w:top w:val="none" w:sz="0" w:space="0" w:color="auto"/>
            <w:left w:val="none" w:sz="0" w:space="0" w:color="auto"/>
            <w:bottom w:val="none" w:sz="0" w:space="0" w:color="auto"/>
            <w:right w:val="none" w:sz="0" w:space="0" w:color="auto"/>
          </w:divBdr>
        </w:div>
        <w:div w:id="1318922243">
          <w:marLeft w:val="480"/>
          <w:marRight w:val="0"/>
          <w:marTop w:val="0"/>
          <w:marBottom w:val="0"/>
          <w:divBdr>
            <w:top w:val="none" w:sz="0" w:space="0" w:color="auto"/>
            <w:left w:val="none" w:sz="0" w:space="0" w:color="auto"/>
            <w:bottom w:val="none" w:sz="0" w:space="0" w:color="auto"/>
            <w:right w:val="none" w:sz="0" w:space="0" w:color="auto"/>
          </w:divBdr>
        </w:div>
        <w:div w:id="548881736">
          <w:marLeft w:val="480"/>
          <w:marRight w:val="0"/>
          <w:marTop w:val="0"/>
          <w:marBottom w:val="0"/>
          <w:divBdr>
            <w:top w:val="none" w:sz="0" w:space="0" w:color="auto"/>
            <w:left w:val="none" w:sz="0" w:space="0" w:color="auto"/>
            <w:bottom w:val="none" w:sz="0" w:space="0" w:color="auto"/>
            <w:right w:val="none" w:sz="0" w:space="0" w:color="auto"/>
          </w:divBdr>
        </w:div>
        <w:div w:id="1986423383">
          <w:marLeft w:val="480"/>
          <w:marRight w:val="0"/>
          <w:marTop w:val="0"/>
          <w:marBottom w:val="0"/>
          <w:divBdr>
            <w:top w:val="none" w:sz="0" w:space="0" w:color="auto"/>
            <w:left w:val="none" w:sz="0" w:space="0" w:color="auto"/>
            <w:bottom w:val="none" w:sz="0" w:space="0" w:color="auto"/>
            <w:right w:val="none" w:sz="0" w:space="0" w:color="auto"/>
          </w:divBdr>
        </w:div>
        <w:div w:id="634919766">
          <w:marLeft w:val="480"/>
          <w:marRight w:val="0"/>
          <w:marTop w:val="0"/>
          <w:marBottom w:val="0"/>
          <w:divBdr>
            <w:top w:val="none" w:sz="0" w:space="0" w:color="auto"/>
            <w:left w:val="none" w:sz="0" w:space="0" w:color="auto"/>
            <w:bottom w:val="none" w:sz="0" w:space="0" w:color="auto"/>
            <w:right w:val="none" w:sz="0" w:space="0" w:color="auto"/>
          </w:divBdr>
        </w:div>
        <w:div w:id="1247572201">
          <w:marLeft w:val="480"/>
          <w:marRight w:val="0"/>
          <w:marTop w:val="0"/>
          <w:marBottom w:val="0"/>
          <w:divBdr>
            <w:top w:val="none" w:sz="0" w:space="0" w:color="auto"/>
            <w:left w:val="none" w:sz="0" w:space="0" w:color="auto"/>
            <w:bottom w:val="none" w:sz="0" w:space="0" w:color="auto"/>
            <w:right w:val="none" w:sz="0" w:space="0" w:color="auto"/>
          </w:divBdr>
        </w:div>
        <w:div w:id="1014112695">
          <w:marLeft w:val="480"/>
          <w:marRight w:val="0"/>
          <w:marTop w:val="0"/>
          <w:marBottom w:val="0"/>
          <w:divBdr>
            <w:top w:val="none" w:sz="0" w:space="0" w:color="auto"/>
            <w:left w:val="none" w:sz="0" w:space="0" w:color="auto"/>
            <w:bottom w:val="none" w:sz="0" w:space="0" w:color="auto"/>
            <w:right w:val="none" w:sz="0" w:space="0" w:color="auto"/>
          </w:divBdr>
        </w:div>
        <w:div w:id="1848515881">
          <w:marLeft w:val="480"/>
          <w:marRight w:val="0"/>
          <w:marTop w:val="0"/>
          <w:marBottom w:val="0"/>
          <w:divBdr>
            <w:top w:val="none" w:sz="0" w:space="0" w:color="auto"/>
            <w:left w:val="none" w:sz="0" w:space="0" w:color="auto"/>
            <w:bottom w:val="none" w:sz="0" w:space="0" w:color="auto"/>
            <w:right w:val="none" w:sz="0" w:space="0" w:color="auto"/>
          </w:divBdr>
        </w:div>
        <w:div w:id="1294871042">
          <w:marLeft w:val="480"/>
          <w:marRight w:val="0"/>
          <w:marTop w:val="0"/>
          <w:marBottom w:val="0"/>
          <w:divBdr>
            <w:top w:val="none" w:sz="0" w:space="0" w:color="auto"/>
            <w:left w:val="none" w:sz="0" w:space="0" w:color="auto"/>
            <w:bottom w:val="none" w:sz="0" w:space="0" w:color="auto"/>
            <w:right w:val="none" w:sz="0" w:space="0" w:color="auto"/>
          </w:divBdr>
        </w:div>
        <w:div w:id="809175988">
          <w:marLeft w:val="480"/>
          <w:marRight w:val="0"/>
          <w:marTop w:val="0"/>
          <w:marBottom w:val="0"/>
          <w:divBdr>
            <w:top w:val="none" w:sz="0" w:space="0" w:color="auto"/>
            <w:left w:val="none" w:sz="0" w:space="0" w:color="auto"/>
            <w:bottom w:val="none" w:sz="0" w:space="0" w:color="auto"/>
            <w:right w:val="none" w:sz="0" w:space="0" w:color="auto"/>
          </w:divBdr>
        </w:div>
        <w:div w:id="270935013">
          <w:marLeft w:val="480"/>
          <w:marRight w:val="0"/>
          <w:marTop w:val="0"/>
          <w:marBottom w:val="0"/>
          <w:divBdr>
            <w:top w:val="none" w:sz="0" w:space="0" w:color="auto"/>
            <w:left w:val="none" w:sz="0" w:space="0" w:color="auto"/>
            <w:bottom w:val="none" w:sz="0" w:space="0" w:color="auto"/>
            <w:right w:val="none" w:sz="0" w:space="0" w:color="auto"/>
          </w:divBdr>
        </w:div>
        <w:div w:id="308217869">
          <w:marLeft w:val="480"/>
          <w:marRight w:val="0"/>
          <w:marTop w:val="0"/>
          <w:marBottom w:val="0"/>
          <w:divBdr>
            <w:top w:val="none" w:sz="0" w:space="0" w:color="auto"/>
            <w:left w:val="none" w:sz="0" w:space="0" w:color="auto"/>
            <w:bottom w:val="none" w:sz="0" w:space="0" w:color="auto"/>
            <w:right w:val="none" w:sz="0" w:space="0" w:color="auto"/>
          </w:divBdr>
        </w:div>
        <w:div w:id="1625187330">
          <w:marLeft w:val="480"/>
          <w:marRight w:val="0"/>
          <w:marTop w:val="0"/>
          <w:marBottom w:val="0"/>
          <w:divBdr>
            <w:top w:val="none" w:sz="0" w:space="0" w:color="auto"/>
            <w:left w:val="none" w:sz="0" w:space="0" w:color="auto"/>
            <w:bottom w:val="none" w:sz="0" w:space="0" w:color="auto"/>
            <w:right w:val="none" w:sz="0" w:space="0" w:color="auto"/>
          </w:divBdr>
        </w:div>
        <w:div w:id="1167750768">
          <w:marLeft w:val="480"/>
          <w:marRight w:val="0"/>
          <w:marTop w:val="0"/>
          <w:marBottom w:val="0"/>
          <w:divBdr>
            <w:top w:val="none" w:sz="0" w:space="0" w:color="auto"/>
            <w:left w:val="none" w:sz="0" w:space="0" w:color="auto"/>
            <w:bottom w:val="none" w:sz="0" w:space="0" w:color="auto"/>
            <w:right w:val="none" w:sz="0" w:space="0" w:color="auto"/>
          </w:divBdr>
        </w:div>
        <w:div w:id="1608195356">
          <w:marLeft w:val="480"/>
          <w:marRight w:val="0"/>
          <w:marTop w:val="0"/>
          <w:marBottom w:val="0"/>
          <w:divBdr>
            <w:top w:val="none" w:sz="0" w:space="0" w:color="auto"/>
            <w:left w:val="none" w:sz="0" w:space="0" w:color="auto"/>
            <w:bottom w:val="none" w:sz="0" w:space="0" w:color="auto"/>
            <w:right w:val="none" w:sz="0" w:space="0" w:color="auto"/>
          </w:divBdr>
        </w:div>
        <w:div w:id="1055394918">
          <w:marLeft w:val="480"/>
          <w:marRight w:val="0"/>
          <w:marTop w:val="0"/>
          <w:marBottom w:val="0"/>
          <w:divBdr>
            <w:top w:val="none" w:sz="0" w:space="0" w:color="auto"/>
            <w:left w:val="none" w:sz="0" w:space="0" w:color="auto"/>
            <w:bottom w:val="none" w:sz="0" w:space="0" w:color="auto"/>
            <w:right w:val="none" w:sz="0" w:space="0" w:color="auto"/>
          </w:divBdr>
        </w:div>
        <w:div w:id="880018928">
          <w:marLeft w:val="480"/>
          <w:marRight w:val="0"/>
          <w:marTop w:val="0"/>
          <w:marBottom w:val="0"/>
          <w:divBdr>
            <w:top w:val="none" w:sz="0" w:space="0" w:color="auto"/>
            <w:left w:val="none" w:sz="0" w:space="0" w:color="auto"/>
            <w:bottom w:val="none" w:sz="0" w:space="0" w:color="auto"/>
            <w:right w:val="none" w:sz="0" w:space="0" w:color="auto"/>
          </w:divBdr>
        </w:div>
        <w:div w:id="1490319956">
          <w:marLeft w:val="480"/>
          <w:marRight w:val="0"/>
          <w:marTop w:val="0"/>
          <w:marBottom w:val="0"/>
          <w:divBdr>
            <w:top w:val="none" w:sz="0" w:space="0" w:color="auto"/>
            <w:left w:val="none" w:sz="0" w:space="0" w:color="auto"/>
            <w:bottom w:val="none" w:sz="0" w:space="0" w:color="auto"/>
            <w:right w:val="none" w:sz="0" w:space="0" w:color="auto"/>
          </w:divBdr>
        </w:div>
        <w:div w:id="525677619">
          <w:marLeft w:val="480"/>
          <w:marRight w:val="0"/>
          <w:marTop w:val="0"/>
          <w:marBottom w:val="0"/>
          <w:divBdr>
            <w:top w:val="none" w:sz="0" w:space="0" w:color="auto"/>
            <w:left w:val="none" w:sz="0" w:space="0" w:color="auto"/>
            <w:bottom w:val="none" w:sz="0" w:space="0" w:color="auto"/>
            <w:right w:val="none" w:sz="0" w:space="0" w:color="auto"/>
          </w:divBdr>
        </w:div>
        <w:div w:id="421075487">
          <w:marLeft w:val="480"/>
          <w:marRight w:val="0"/>
          <w:marTop w:val="0"/>
          <w:marBottom w:val="0"/>
          <w:divBdr>
            <w:top w:val="none" w:sz="0" w:space="0" w:color="auto"/>
            <w:left w:val="none" w:sz="0" w:space="0" w:color="auto"/>
            <w:bottom w:val="none" w:sz="0" w:space="0" w:color="auto"/>
            <w:right w:val="none" w:sz="0" w:space="0" w:color="auto"/>
          </w:divBdr>
        </w:div>
      </w:divsChild>
    </w:div>
    <w:div w:id="618805229">
      <w:bodyDiv w:val="1"/>
      <w:marLeft w:val="0"/>
      <w:marRight w:val="0"/>
      <w:marTop w:val="0"/>
      <w:marBottom w:val="0"/>
      <w:divBdr>
        <w:top w:val="none" w:sz="0" w:space="0" w:color="auto"/>
        <w:left w:val="none" w:sz="0" w:space="0" w:color="auto"/>
        <w:bottom w:val="none" w:sz="0" w:space="0" w:color="auto"/>
        <w:right w:val="none" w:sz="0" w:space="0" w:color="auto"/>
      </w:divBdr>
    </w:div>
    <w:div w:id="618995492">
      <w:bodyDiv w:val="1"/>
      <w:marLeft w:val="0"/>
      <w:marRight w:val="0"/>
      <w:marTop w:val="0"/>
      <w:marBottom w:val="0"/>
      <w:divBdr>
        <w:top w:val="none" w:sz="0" w:space="0" w:color="auto"/>
        <w:left w:val="none" w:sz="0" w:space="0" w:color="auto"/>
        <w:bottom w:val="none" w:sz="0" w:space="0" w:color="auto"/>
        <w:right w:val="none" w:sz="0" w:space="0" w:color="auto"/>
      </w:divBdr>
    </w:div>
    <w:div w:id="622034326">
      <w:bodyDiv w:val="1"/>
      <w:marLeft w:val="0"/>
      <w:marRight w:val="0"/>
      <w:marTop w:val="0"/>
      <w:marBottom w:val="0"/>
      <w:divBdr>
        <w:top w:val="none" w:sz="0" w:space="0" w:color="auto"/>
        <w:left w:val="none" w:sz="0" w:space="0" w:color="auto"/>
        <w:bottom w:val="none" w:sz="0" w:space="0" w:color="auto"/>
        <w:right w:val="none" w:sz="0" w:space="0" w:color="auto"/>
      </w:divBdr>
    </w:div>
    <w:div w:id="624501719">
      <w:bodyDiv w:val="1"/>
      <w:marLeft w:val="0"/>
      <w:marRight w:val="0"/>
      <w:marTop w:val="0"/>
      <w:marBottom w:val="0"/>
      <w:divBdr>
        <w:top w:val="none" w:sz="0" w:space="0" w:color="auto"/>
        <w:left w:val="none" w:sz="0" w:space="0" w:color="auto"/>
        <w:bottom w:val="none" w:sz="0" w:space="0" w:color="auto"/>
        <w:right w:val="none" w:sz="0" w:space="0" w:color="auto"/>
      </w:divBdr>
    </w:div>
    <w:div w:id="625477271">
      <w:bodyDiv w:val="1"/>
      <w:marLeft w:val="0"/>
      <w:marRight w:val="0"/>
      <w:marTop w:val="0"/>
      <w:marBottom w:val="0"/>
      <w:divBdr>
        <w:top w:val="none" w:sz="0" w:space="0" w:color="auto"/>
        <w:left w:val="none" w:sz="0" w:space="0" w:color="auto"/>
        <w:bottom w:val="none" w:sz="0" w:space="0" w:color="auto"/>
        <w:right w:val="none" w:sz="0" w:space="0" w:color="auto"/>
      </w:divBdr>
    </w:div>
    <w:div w:id="626815212">
      <w:bodyDiv w:val="1"/>
      <w:marLeft w:val="0"/>
      <w:marRight w:val="0"/>
      <w:marTop w:val="0"/>
      <w:marBottom w:val="0"/>
      <w:divBdr>
        <w:top w:val="none" w:sz="0" w:space="0" w:color="auto"/>
        <w:left w:val="none" w:sz="0" w:space="0" w:color="auto"/>
        <w:bottom w:val="none" w:sz="0" w:space="0" w:color="auto"/>
        <w:right w:val="none" w:sz="0" w:space="0" w:color="auto"/>
      </w:divBdr>
    </w:div>
    <w:div w:id="631442272">
      <w:bodyDiv w:val="1"/>
      <w:marLeft w:val="0"/>
      <w:marRight w:val="0"/>
      <w:marTop w:val="0"/>
      <w:marBottom w:val="0"/>
      <w:divBdr>
        <w:top w:val="none" w:sz="0" w:space="0" w:color="auto"/>
        <w:left w:val="none" w:sz="0" w:space="0" w:color="auto"/>
        <w:bottom w:val="none" w:sz="0" w:space="0" w:color="auto"/>
        <w:right w:val="none" w:sz="0" w:space="0" w:color="auto"/>
      </w:divBdr>
    </w:div>
    <w:div w:id="632251697">
      <w:bodyDiv w:val="1"/>
      <w:marLeft w:val="0"/>
      <w:marRight w:val="0"/>
      <w:marTop w:val="0"/>
      <w:marBottom w:val="0"/>
      <w:divBdr>
        <w:top w:val="none" w:sz="0" w:space="0" w:color="auto"/>
        <w:left w:val="none" w:sz="0" w:space="0" w:color="auto"/>
        <w:bottom w:val="none" w:sz="0" w:space="0" w:color="auto"/>
        <w:right w:val="none" w:sz="0" w:space="0" w:color="auto"/>
      </w:divBdr>
    </w:div>
    <w:div w:id="635068551">
      <w:bodyDiv w:val="1"/>
      <w:marLeft w:val="0"/>
      <w:marRight w:val="0"/>
      <w:marTop w:val="0"/>
      <w:marBottom w:val="0"/>
      <w:divBdr>
        <w:top w:val="none" w:sz="0" w:space="0" w:color="auto"/>
        <w:left w:val="none" w:sz="0" w:space="0" w:color="auto"/>
        <w:bottom w:val="none" w:sz="0" w:space="0" w:color="auto"/>
        <w:right w:val="none" w:sz="0" w:space="0" w:color="auto"/>
      </w:divBdr>
    </w:div>
    <w:div w:id="635841085">
      <w:bodyDiv w:val="1"/>
      <w:marLeft w:val="0"/>
      <w:marRight w:val="0"/>
      <w:marTop w:val="0"/>
      <w:marBottom w:val="0"/>
      <w:divBdr>
        <w:top w:val="none" w:sz="0" w:space="0" w:color="auto"/>
        <w:left w:val="none" w:sz="0" w:space="0" w:color="auto"/>
        <w:bottom w:val="none" w:sz="0" w:space="0" w:color="auto"/>
        <w:right w:val="none" w:sz="0" w:space="0" w:color="auto"/>
      </w:divBdr>
    </w:div>
    <w:div w:id="636032545">
      <w:bodyDiv w:val="1"/>
      <w:marLeft w:val="0"/>
      <w:marRight w:val="0"/>
      <w:marTop w:val="0"/>
      <w:marBottom w:val="0"/>
      <w:divBdr>
        <w:top w:val="none" w:sz="0" w:space="0" w:color="auto"/>
        <w:left w:val="none" w:sz="0" w:space="0" w:color="auto"/>
        <w:bottom w:val="none" w:sz="0" w:space="0" w:color="auto"/>
        <w:right w:val="none" w:sz="0" w:space="0" w:color="auto"/>
      </w:divBdr>
    </w:div>
    <w:div w:id="636644055">
      <w:bodyDiv w:val="1"/>
      <w:marLeft w:val="0"/>
      <w:marRight w:val="0"/>
      <w:marTop w:val="0"/>
      <w:marBottom w:val="0"/>
      <w:divBdr>
        <w:top w:val="none" w:sz="0" w:space="0" w:color="auto"/>
        <w:left w:val="none" w:sz="0" w:space="0" w:color="auto"/>
        <w:bottom w:val="none" w:sz="0" w:space="0" w:color="auto"/>
        <w:right w:val="none" w:sz="0" w:space="0" w:color="auto"/>
      </w:divBdr>
    </w:div>
    <w:div w:id="639968163">
      <w:bodyDiv w:val="1"/>
      <w:marLeft w:val="0"/>
      <w:marRight w:val="0"/>
      <w:marTop w:val="0"/>
      <w:marBottom w:val="0"/>
      <w:divBdr>
        <w:top w:val="none" w:sz="0" w:space="0" w:color="auto"/>
        <w:left w:val="none" w:sz="0" w:space="0" w:color="auto"/>
        <w:bottom w:val="none" w:sz="0" w:space="0" w:color="auto"/>
        <w:right w:val="none" w:sz="0" w:space="0" w:color="auto"/>
      </w:divBdr>
    </w:div>
    <w:div w:id="640234268">
      <w:bodyDiv w:val="1"/>
      <w:marLeft w:val="0"/>
      <w:marRight w:val="0"/>
      <w:marTop w:val="0"/>
      <w:marBottom w:val="0"/>
      <w:divBdr>
        <w:top w:val="none" w:sz="0" w:space="0" w:color="auto"/>
        <w:left w:val="none" w:sz="0" w:space="0" w:color="auto"/>
        <w:bottom w:val="none" w:sz="0" w:space="0" w:color="auto"/>
        <w:right w:val="none" w:sz="0" w:space="0" w:color="auto"/>
      </w:divBdr>
    </w:div>
    <w:div w:id="652951206">
      <w:bodyDiv w:val="1"/>
      <w:marLeft w:val="0"/>
      <w:marRight w:val="0"/>
      <w:marTop w:val="0"/>
      <w:marBottom w:val="0"/>
      <w:divBdr>
        <w:top w:val="none" w:sz="0" w:space="0" w:color="auto"/>
        <w:left w:val="none" w:sz="0" w:space="0" w:color="auto"/>
        <w:bottom w:val="none" w:sz="0" w:space="0" w:color="auto"/>
        <w:right w:val="none" w:sz="0" w:space="0" w:color="auto"/>
      </w:divBdr>
    </w:div>
    <w:div w:id="656885819">
      <w:bodyDiv w:val="1"/>
      <w:marLeft w:val="0"/>
      <w:marRight w:val="0"/>
      <w:marTop w:val="0"/>
      <w:marBottom w:val="0"/>
      <w:divBdr>
        <w:top w:val="none" w:sz="0" w:space="0" w:color="auto"/>
        <w:left w:val="none" w:sz="0" w:space="0" w:color="auto"/>
        <w:bottom w:val="none" w:sz="0" w:space="0" w:color="auto"/>
        <w:right w:val="none" w:sz="0" w:space="0" w:color="auto"/>
      </w:divBdr>
    </w:div>
    <w:div w:id="657810469">
      <w:bodyDiv w:val="1"/>
      <w:marLeft w:val="0"/>
      <w:marRight w:val="0"/>
      <w:marTop w:val="0"/>
      <w:marBottom w:val="0"/>
      <w:divBdr>
        <w:top w:val="none" w:sz="0" w:space="0" w:color="auto"/>
        <w:left w:val="none" w:sz="0" w:space="0" w:color="auto"/>
        <w:bottom w:val="none" w:sz="0" w:space="0" w:color="auto"/>
        <w:right w:val="none" w:sz="0" w:space="0" w:color="auto"/>
      </w:divBdr>
    </w:div>
    <w:div w:id="663557924">
      <w:bodyDiv w:val="1"/>
      <w:marLeft w:val="0"/>
      <w:marRight w:val="0"/>
      <w:marTop w:val="0"/>
      <w:marBottom w:val="0"/>
      <w:divBdr>
        <w:top w:val="none" w:sz="0" w:space="0" w:color="auto"/>
        <w:left w:val="none" w:sz="0" w:space="0" w:color="auto"/>
        <w:bottom w:val="none" w:sz="0" w:space="0" w:color="auto"/>
        <w:right w:val="none" w:sz="0" w:space="0" w:color="auto"/>
      </w:divBdr>
    </w:div>
    <w:div w:id="664826313">
      <w:bodyDiv w:val="1"/>
      <w:marLeft w:val="0"/>
      <w:marRight w:val="0"/>
      <w:marTop w:val="0"/>
      <w:marBottom w:val="0"/>
      <w:divBdr>
        <w:top w:val="none" w:sz="0" w:space="0" w:color="auto"/>
        <w:left w:val="none" w:sz="0" w:space="0" w:color="auto"/>
        <w:bottom w:val="none" w:sz="0" w:space="0" w:color="auto"/>
        <w:right w:val="none" w:sz="0" w:space="0" w:color="auto"/>
      </w:divBdr>
    </w:div>
    <w:div w:id="666832599">
      <w:bodyDiv w:val="1"/>
      <w:marLeft w:val="0"/>
      <w:marRight w:val="0"/>
      <w:marTop w:val="0"/>
      <w:marBottom w:val="0"/>
      <w:divBdr>
        <w:top w:val="none" w:sz="0" w:space="0" w:color="auto"/>
        <w:left w:val="none" w:sz="0" w:space="0" w:color="auto"/>
        <w:bottom w:val="none" w:sz="0" w:space="0" w:color="auto"/>
        <w:right w:val="none" w:sz="0" w:space="0" w:color="auto"/>
      </w:divBdr>
    </w:div>
    <w:div w:id="669138219">
      <w:bodyDiv w:val="1"/>
      <w:marLeft w:val="0"/>
      <w:marRight w:val="0"/>
      <w:marTop w:val="0"/>
      <w:marBottom w:val="0"/>
      <w:divBdr>
        <w:top w:val="none" w:sz="0" w:space="0" w:color="auto"/>
        <w:left w:val="none" w:sz="0" w:space="0" w:color="auto"/>
        <w:bottom w:val="none" w:sz="0" w:space="0" w:color="auto"/>
        <w:right w:val="none" w:sz="0" w:space="0" w:color="auto"/>
      </w:divBdr>
    </w:div>
    <w:div w:id="672225914">
      <w:bodyDiv w:val="1"/>
      <w:marLeft w:val="0"/>
      <w:marRight w:val="0"/>
      <w:marTop w:val="0"/>
      <w:marBottom w:val="0"/>
      <w:divBdr>
        <w:top w:val="none" w:sz="0" w:space="0" w:color="auto"/>
        <w:left w:val="none" w:sz="0" w:space="0" w:color="auto"/>
        <w:bottom w:val="none" w:sz="0" w:space="0" w:color="auto"/>
        <w:right w:val="none" w:sz="0" w:space="0" w:color="auto"/>
      </w:divBdr>
    </w:div>
    <w:div w:id="672879363">
      <w:bodyDiv w:val="1"/>
      <w:marLeft w:val="0"/>
      <w:marRight w:val="0"/>
      <w:marTop w:val="0"/>
      <w:marBottom w:val="0"/>
      <w:divBdr>
        <w:top w:val="none" w:sz="0" w:space="0" w:color="auto"/>
        <w:left w:val="none" w:sz="0" w:space="0" w:color="auto"/>
        <w:bottom w:val="none" w:sz="0" w:space="0" w:color="auto"/>
        <w:right w:val="none" w:sz="0" w:space="0" w:color="auto"/>
      </w:divBdr>
    </w:div>
    <w:div w:id="675115615">
      <w:bodyDiv w:val="1"/>
      <w:marLeft w:val="0"/>
      <w:marRight w:val="0"/>
      <w:marTop w:val="0"/>
      <w:marBottom w:val="0"/>
      <w:divBdr>
        <w:top w:val="none" w:sz="0" w:space="0" w:color="auto"/>
        <w:left w:val="none" w:sz="0" w:space="0" w:color="auto"/>
        <w:bottom w:val="none" w:sz="0" w:space="0" w:color="auto"/>
        <w:right w:val="none" w:sz="0" w:space="0" w:color="auto"/>
      </w:divBdr>
    </w:div>
    <w:div w:id="675621635">
      <w:bodyDiv w:val="1"/>
      <w:marLeft w:val="0"/>
      <w:marRight w:val="0"/>
      <w:marTop w:val="0"/>
      <w:marBottom w:val="0"/>
      <w:divBdr>
        <w:top w:val="none" w:sz="0" w:space="0" w:color="auto"/>
        <w:left w:val="none" w:sz="0" w:space="0" w:color="auto"/>
        <w:bottom w:val="none" w:sz="0" w:space="0" w:color="auto"/>
        <w:right w:val="none" w:sz="0" w:space="0" w:color="auto"/>
      </w:divBdr>
    </w:div>
    <w:div w:id="676923836">
      <w:bodyDiv w:val="1"/>
      <w:marLeft w:val="0"/>
      <w:marRight w:val="0"/>
      <w:marTop w:val="0"/>
      <w:marBottom w:val="0"/>
      <w:divBdr>
        <w:top w:val="none" w:sz="0" w:space="0" w:color="auto"/>
        <w:left w:val="none" w:sz="0" w:space="0" w:color="auto"/>
        <w:bottom w:val="none" w:sz="0" w:space="0" w:color="auto"/>
        <w:right w:val="none" w:sz="0" w:space="0" w:color="auto"/>
      </w:divBdr>
    </w:div>
    <w:div w:id="677656337">
      <w:bodyDiv w:val="1"/>
      <w:marLeft w:val="0"/>
      <w:marRight w:val="0"/>
      <w:marTop w:val="0"/>
      <w:marBottom w:val="0"/>
      <w:divBdr>
        <w:top w:val="none" w:sz="0" w:space="0" w:color="auto"/>
        <w:left w:val="none" w:sz="0" w:space="0" w:color="auto"/>
        <w:bottom w:val="none" w:sz="0" w:space="0" w:color="auto"/>
        <w:right w:val="none" w:sz="0" w:space="0" w:color="auto"/>
      </w:divBdr>
    </w:div>
    <w:div w:id="678385572">
      <w:bodyDiv w:val="1"/>
      <w:marLeft w:val="0"/>
      <w:marRight w:val="0"/>
      <w:marTop w:val="0"/>
      <w:marBottom w:val="0"/>
      <w:divBdr>
        <w:top w:val="none" w:sz="0" w:space="0" w:color="auto"/>
        <w:left w:val="none" w:sz="0" w:space="0" w:color="auto"/>
        <w:bottom w:val="none" w:sz="0" w:space="0" w:color="auto"/>
        <w:right w:val="none" w:sz="0" w:space="0" w:color="auto"/>
      </w:divBdr>
    </w:div>
    <w:div w:id="680819143">
      <w:bodyDiv w:val="1"/>
      <w:marLeft w:val="0"/>
      <w:marRight w:val="0"/>
      <w:marTop w:val="0"/>
      <w:marBottom w:val="0"/>
      <w:divBdr>
        <w:top w:val="none" w:sz="0" w:space="0" w:color="auto"/>
        <w:left w:val="none" w:sz="0" w:space="0" w:color="auto"/>
        <w:bottom w:val="none" w:sz="0" w:space="0" w:color="auto"/>
        <w:right w:val="none" w:sz="0" w:space="0" w:color="auto"/>
      </w:divBdr>
    </w:div>
    <w:div w:id="684941471">
      <w:bodyDiv w:val="1"/>
      <w:marLeft w:val="0"/>
      <w:marRight w:val="0"/>
      <w:marTop w:val="0"/>
      <w:marBottom w:val="0"/>
      <w:divBdr>
        <w:top w:val="none" w:sz="0" w:space="0" w:color="auto"/>
        <w:left w:val="none" w:sz="0" w:space="0" w:color="auto"/>
        <w:bottom w:val="none" w:sz="0" w:space="0" w:color="auto"/>
        <w:right w:val="none" w:sz="0" w:space="0" w:color="auto"/>
      </w:divBdr>
    </w:div>
    <w:div w:id="695077682">
      <w:bodyDiv w:val="1"/>
      <w:marLeft w:val="0"/>
      <w:marRight w:val="0"/>
      <w:marTop w:val="0"/>
      <w:marBottom w:val="0"/>
      <w:divBdr>
        <w:top w:val="none" w:sz="0" w:space="0" w:color="auto"/>
        <w:left w:val="none" w:sz="0" w:space="0" w:color="auto"/>
        <w:bottom w:val="none" w:sz="0" w:space="0" w:color="auto"/>
        <w:right w:val="none" w:sz="0" w:space="0" w:color="auto"/>
      </w:divBdr>
    </w:div>
    <w:div w:id="695544959">
      <w:bodyDiv w:val="1"/>
      <w:marLeft w:val="0"/>
      <w:marRight w:val="0"/>
      <w:marTop w:val="0"/>
      <w:marBottom w:val="0"/>
      <w:divBdr>
        <w:top w:val="none" w:sz="0" w:space="0" w:color="auto"/>
        <w:left w:val="none" w:sz="0" w:space="0" w:color="auto"/>
        <w:bottom w:val="none" w:sz="0" w:space="0" w:color="auto"/>
        <w:right w:val="none" w:sz="0" w:space="0" w:color="auto"/>
      </w:divBdr>
    </w:div>
    <w:div w:id="700323437">
      <w:bodyDiv w:val="1"/>
      <w:marLeft w:val="0"/>
      <w:marRight w:val="0"/>
      <w:marTop w:val="0"/>
      <w:marBottom w:val="0"/>
      <w:divBdr>
        <w:top w:val="none" w:sz="0" w:space="0" w:color="auto"/>
        <w:left w:val="none" w:sz="0" w:space="0" w:color="auto"/>
        <w:bottom w:val="none" w:sz="0" w:space="0" w:color="auto"/>
        <w:right w:val="none" w:sz="0" w:space="0" w:color="auto"/>
      </w:divBdr>
    </w:div>
    <w:div w:id="708914130">
      <w:bodyDiv w:val="1"/>
      <w:marLeft w:val="0"/>
      <w:marRight w:val="0"/>
      <w:marTop w:val="0"/>
      <w:marBottom w:val="0"/>
      <w:divBdr>
        <w:top w:val="none" w:sz="0" w:space="0" w:color="auto"/>
        <w:left w:val="none" w:sz="0" w:space="0" w:color="auto"/>
        <w:bottom w:val="none" w:sz="0" w:space="0" w:color="auto"/>
        <w:right w:val="none" w:sz="0" w:space="0" w:color="auto"/>
      </w:divBdr>
    </w:div>
    <w:div w:id="708991277">
      <w:bodyDiv w:val="1"/>
      <w:marLeft w:val="0"/>
      <w:marRight w:val="0"/>
      <w:marTop w:val="0"/>
      <w:marBottom w:val="0"/>
      <w:divBdr>
        <w:top w:val="none" w:sz="0" w:space="0" w:color="auto"/>
        <w:left w:val="none" w:sz="0" w:space="0" w:color="auto"/>
        <w:bottom w:val="none" w:sz="0" w:space="0" w:color="auto"/>
        <w:right w:val="none" w:sz="0" w:space="0" w:color="auto"/>
      </w:divBdr>
    </w:div>
    <w:div w:id="712120847">
      <w:bodyDiv w:val="1"/>
      <w:marLeft w:val="0"/>
      <w:marRight w:val="0"/>
      <w:marTop w:val="0"/>
      <w:marBottom w:val="0"/>
      <w:divBdr>
        <w:top w:val="none" w:sz="0" w:space="0" w:color="auto"/>
        <w:left w:val="none" w:sz="0" w:space="0" w:color="auto"/>
        <w:bottom w:val="none" w:sz="0" w:space="0" w:color="auto"/>
        <w:right w:val="none" w:sz="0" w:space="0" w:color="auto"/>
      </w:divBdr>
    </w:div>
    <w:div w:id="719595201">
      <w:bodyDiv w:val="1"/>
      <w:marLeft w:val="0"/>
      <w:marRight w:val="0"/>
      <w:marTop w:val="0"/>
      <w:marBottom w:val="0"/>
      <w:divBdr>
        <w:top w:val="none" w:sz="0" w:space="0" w:color="auto"/>
        <w:left w:val="none" w:sz="0" w:space="0" w:color="auto"/>
        <w:bottom w:val="none" w:sz="0" w:space="0" w:color="auto"/>
        <w:right w:val="none" w:sz="0" w:space="0" w:color="auto"/>
      </w:divBdr>
    </w:div>
    <w:div w:id="728723440">
      <w:bodyDiv w:val="1"/>
      <w:marLeft w:val="0"/>
      <w:marRight w:val="0"/>
      <w:marTop w:val="0"/>
      <w:marBottom w:val="0"/>
      <w:divBdr>
        <w:top w:val="none" w:sz="0" w:space="0" w:color="auto"/>
        <w:left w:val="none" w:sz="0" w:space="0" w:color="auto"/>
        <w:bottom w:val="none" w:sz="0" w:space="0" w:color="auto"/>
        <w:right w:val="none" w:sz="0" w:space="0" w:color="auto"/>
      </w:divBdr>
    </w:div>
    <w:div w:id="729110177">
      <w:bodyDiv w:val="1"/>
      <w:marLeft w:val="0"/>
      <w:marRight w:val="0"/>
      <w:marTop w:val="0"/>
      <w:marBottom w:val="0"/>
      <w:divBdr>
        <w:top w:val="none" w:sz="0" w:space="0" w:color="auto"/>
        <w:left w:val="none" w:sz="0" w:space="0" w:color="auto"/>
        <w:bottom w:val="none" w:sz="0" w:space="0" w:color="auto"/>
        <w:right w:val="none" w:sz="0" w:space="0" w:color="auto"/>
      </w:divBdr>
    </w:div>
    <w:div w:id="730036022">
      <w:bodyDiv w:val="1"/>
      <w:marLeft w:val="0"/>
      <w:marRight w:val="0"/>
      <w:marTop w:val="0"/>
      <w:marBottom w:val="0"/>
      <w:divBdr>
        <w:top w:val="none" w:sz="0" w:space="0" w:color="auto"/>
        <w:left w:val="none" w:sz="0" w:space="0" w:color="auto"/>
        <w:bottom w:val="none" w:sz="0" w:space="0" w:color="auto"/>
        <w:right w:val="none" w:sz="0" w:space="0" w:color="auto"/>
      </w:divBdr>
    </w:div>
    <w:div w:id="730927465">
      <w:bodyDiv w:val="1"/>
      <w:marLeft w:val="0"/>
      <w:marRight w:val="0"/>
      <w:marTop w:val="0"/>
      <w:marBottom w:val="0"/>
      <w:divBdr>
        <w:top w:val="none" w:sz="0" w:space="0" w:color="auto"/>
        <w:left w:val="none" w:sz="0" w:space="0" w:color="auto"/>
        <w:bottom w:val="none" w:sz="0" w:space="0" w:color="auto"/>
        <w:right w:val="none" w:sz="0" w:space="0" w:color="auto"/>
      </w:divBdr>
    </w:div>
    <w:div w:id="730932166">
      <w:bodyDiv w:val="1"/>
      <w:marLeft w:val="0"/>
      <w:marRight w:val="0"/>
      <w:marTop w:val="0"/>
      <w:marBottom w:val="0"/>
      <w:divBdr>
        <w:top w:val="none" w:sz="0" w:space="0" w:color="auto"/>
        <w:left w:val="none" w:sz="0" w:space="0" w:color="auto"/>
        <w:bottom w:val="none" w:sz="0" w:space="0" w:color="auto"/>
        <w:right w:val="none" w:sz="0" w:space="0" w:color="auto"/>
      </w:divBdr>
    </w:div>
    <w:div w:id="744910654">
      <w:bodyDiv w:val="1"/>
      <w:marLeft w:val="0"/>
      <w:marRight w:val="0"/>
      <w:marTop w:val="0"/>
      <w:marBottom w:val="0"/>
      <w:divBdr>
        <w:top w:val="none" w:sz="0" w:space="0" w:color="auto"/>
        <w:left w:val="none" w:sz="0" w:space="0" w:color="auto"/>
        <w:bottom w:val="none" w:sz="0" w:space="0" w:color="auto"/>
        <w:right w:val="none" w:sz="0" w:space="0" w:color="auto"/>
      </w:divBdr>
    </w:div>
    <w:div w:id="744962289">
      <w:bodyDiv w:val="1"/>
      <w:marLeft w:val="0"/>
      <w:marRight w:val="0"/>
      <w:marTop w:val="0"/>
      <w:marBottom w:val="0"/>
      <w:divBdr>
        <w:top w:val="none" w:sz="0" w:space="0" w:color="auto"/>
        <w:left w:val="none" w:sz="0" w:space="0" w:color="auto"/>
        <w:bottom w:val="none" w:sz="0" w:space="0" w:color="auto"/>
        <w:right w:val="none" w:sz="0" w:space="0" w:color="auto"/>
      </w:divBdr>
    </w:div>
    <w:div w:id="748045490">
      <w:bodyDiv w:val="1"/>
      <w:marLeft w:val="0"/>
      <w:marRight w:val="0"/>
      <w:marTop w:val="0"/>
      <w:marBottom w:val="0"/>
      <w:divBdr>
        <w:top w:val="none" w:sz="0" w:space="0" w:color="auto"/>
        <w:left w:val="none" w:sz="0" w:space="0" w:color="auto"/>
        <w:bottom w:val="none" w:sz="0" w:space="0" w:color="auto"/>
        <w:right w:val="none" w:sz="0" w:space="0" w:color="auto"/>
      </w:divBdr>
    </w:div>
    <w:div w:id="754479720">
      <w:bodyDiv w:val="1"/>
      <w:marLeft w:val="0"/>
      <w:marRight w:val="0"/>
      <w:marTop w:val="0"/>
      <w:marBottom w:val="0"/>
      <w:divBdr>
        <w:top w:val="none" w:sz="0" w:space="0" w:color="auto"/>
        <w:left w:val="none" w:sz="0" w:space="0" w:color="auto"/>
        <w:bottom w:val="none" w:sz="0" w:space="0" w:color="auto"/>
        <w:right w:val="none" w:sz="0" w:space="0" w:color="auto"/>
      </w:divBdr>
    </w:div>
    <w:div w:id="755859078">
      <w:bodyDiv w:val="1"/>
      <w:marLeft w:val="0"/>
      <w:marRight w:val="0"/>
      <w:marTop w:val="0"/>
      <w:marBottom w:val="0"/>
      <w:divBdr>
        <w:top w:val="none" w:sz="0" w:space="0" w:color="auto"/>
        <w:left w:val="none" w:sz="0" w:space="0" w:color="auto"/>
        <w:bottom w:val="none" w:sz="0" w:space="0" w:color="auto"/>
        <w:right w:val="none" w:sz="0" w:space="0" w:color="auto"/>
      </w:divBdr>
    </w:div>
    <w:div w:id="756639169">
      <w:bodyDiv w:val="1"/>
      <w:marLeft w:val="0"/>
      <w:marRight w:val="0"/>
      <w:marTop w:val="0"/>
      <w:marBottom w:val="0"/>
      <w:divBdr>
        <w:top w:val="none" w:sz="0" w:space="0" w:color="auto"/>
        <w:left w:val="none" w:sz="0" w:space="0" w:color="auto"/>
        <w:bottom w:val="none" w:sz="0" w:space="0" w:color="auto"/>
        <w:right w:val="none" w:sz="0" w:space="0" w:color="auto"/>
      </w:divBdr>
    </w:div>
    <w:div w:id="756905956">
      <w:bodyDiv w:val="1"/>
      <w:marLeft w:val="0"/>
      <w:marRight w:val="0"/>
      <w:marTop w:val="0"/>
      <w:marBottom w:val="0"/>
      <w:divBdr>
        <w:top w:val="none" w:sz="0" w:space="0" w:color="auto"/>
        <w:left w:val="none" w:sz="0" w:space="0" w:color="auto"/>
        <w:bottom w:val="none" w:sz="0" w:space="0" w:color="auto"/>
        <w:right w:val="none" w:sz="0" w:space="0" w:color="auto"/>
      </w:divBdr>
    </w:div>
    <w:div w:id="758719236">
      <w:bodyDiv w:val="1"/>
      <w:marLeft w:val="0"/>
      <w:marRight w:val="0"/>
      <w:marTop w:val="0"/>
      <w:marBottom w:val="0"/>
      <w:divBdr>
        <w:top w:val="none" w:sz="0" w:space="0" w:color="auto"/>
        <w:left w:val="none" w:sz="0" w:space="0" w:color="auto"/>
        <w:bottom w:val="none" w:sz="0" w:space="0" w:color="auto"/>
        <w:right w:val="none" w:sz="0" w:space="0" w:color="auto"/>
      </w:divBdr>
    </w:div>
    <w:div w:id="759986083">
      <w:bodyDiv w:val="1"/>
      <w:marLeft w:val="0"/>
      <w:marRight w:val="0"/>
      <w:marTop w:val="0"/>
      <w:marBottom w:val="0"/>
      <w:divBdr>
        <w:top w:val="none" w:sz="0" w:space="0" w:color="auto"/>
        <w:left w:val="none" w:sz="0" w:space="0" w:color="auto"/>
        <w:bottom w:val="none" w:sz="0" w:space="0" w:color="auto"/>
        <w:right w:val="none" w:sz="0" w:space="0" w:color="auto"/>
      </w:divBdr>
    </w:div>
    <w:div w:id="771129102">
      <w:bodyDiv w:val="1"/>
      <w:marLeft w:val="0"/>
      <w:marRight w:val="0"/>
      <w:marTop w:val="0"/>
      <w:marBottom w:val="0"/>
      <w:divBdr>
        <w:top w:val="none" w:sz="0" w:space="0" w:color="auto"/>
        <w:left w:val="none" w:sz="0" w:space="0" w:color="auto"/>
        <w:bottom w:val="none" w:sz="0" w:space="0" w:color="auto"/>
        <w:right w:val="none" w:sz="0" w:space="0" w:color="auto"/>
      </w:divBdr>
    </w:div>
    <w:div w:id="773404821">
      <w:bodyDiv w:val="1"/>
      <w:marLeft w:val="0"/>
      <w:marRight w:val="0"/>
      <w:marTop w:val="0"/>
      <w:marBottom w:val="0"/>
      <w:divBdr>
        <w:top w:val="none" w:sz="0" w:space="0" w:color="auto"/>
        <w:left w:val="none" w:sz="0" w:space="0" w:color="auto"/>
        <w:bottom w:val="none" w:sz="0" w:space="0" w:color="auto"/>
        <w:right w:val="none" w:sz="0" w:space="0" w:color="auto"/>
      </w:divBdr>
    </w:div>
    <w:div w:id="774518206">
      <w:bodyDiv w:val="1"/>
      <w:marLeft w:val="0"/>
      <w:marRight w:val="0"/>
      <w:marTop w:val="0"/>
      <w:marBottom w:val="0"/>
      <w:divBdr>
        <w:top w:val="none" w:sz="0" w:space="0" w:color="auto"/>
        <w:left w:val="none" w:sz="0" w:space="0" w:color="auto"/>
        <w:bottom w:val="none" w:sz="0" w:space="0" w:color="auto"/>
        <w:right w:val="none" w:sz="0" w:space="0" w:color="auto"/>
      </w:divBdr>
    </w:div>
    <w:div w:id="777799273">
      <w:bodyDiv w:val="1"/>
      <w:marLeft w:val="0"/>
      <w:marRight w:val="0"/>
      <w:marTop w:val="0"/>
      <w:marBottom w:val="0"/>
      <w:divBdr>
        <w:top w:val="none" w:sz="0" w:space="0" w:color="auto"/>
        <w:left w:val="none" w:sz="0" w:space="0" w:color="auto"/>
        <w:bottom w:val="none" w:sz="0" w:space="0" w:color="auto"/>
        <w:right w:val="none" w:sz="0" w:space="0" w:color="auto"/>
      </w:divBdr>
    </w:div>
    <w:div w:id="784925844">
      <w:bodyDiv w:val="1"/>
      <w:marLeft w:val="0"/>
      <w:marRight w:val="0"/>
      <w:marTop w:val="0"/>
      <w:marBottom w:val="0"/>
      <w:divBdr>
        <w:top w:val="none" w:sz="0" w:space="0" w:color="auto"/>
        <w:left w:val="none" w:sz="0" w:space="0" w:color="auto"/>
        <w:bottom w:val="none" w:sz="0" w:space="0" w:color="auto"/>
        <w:right w:val="none" w:sz="0" w:space="0" w:color="auto"/>
      </w:divBdr>
    </w:div>
    <w:div w:id="786508167">
      <w:bodyDiv w:val="1"/>
      <w:marLeft w:val="0"/>
      <w:marRight w:val="0"/>
      <w:marTop w:val="0"/>
      <w:marBottom w:val="0"/>
      <w:divBdr>
        <w:top w:val="none" w:sz="0" w:space="0" w:color="auto"/>
        <w:left w:val="none" w:sz="0" w:space="0" w:color="auto"/>
        <w:bottom w:val="none" w:sz="0" w:space="0" w:color="auto"/>
        <w:right w:val="none" w:sz="0" w:space="0" w:color="auto"/>
      </w:divBdr>
    </w:div>
    <w:div w:id="793983694">
      <w:bodyDiv w:val="1"/>
      <w:marLeft w:val="0"/>
      <w:marRight w:val="0"/>
      <w:marTop w:val="0"/>
      <w:marBottom w:val="0"/>
      <w:divBdr>
        <w:top w:val="none" w:sz="0" w:space="0" w:color="auto"/>
        <w:left w:val="none" w:sz="0" w:space="0" w:color="auto"/>
        <w:bottom w:val="none" w:sz="0" w:space="0" w:color="auto"/>
        <w:right w:val="none" w:sz="0" w:space="0" w:color="auto"/>
      </w:divBdr>
    </w:div>
    <w:div w:id="799610722">
      <w:bodyDiv w:val="1"/>
      <w:marLeft w:val="0"/>
      <w:marRight w:val="0"/>
      <w:marTop w:val="0"/>
      <w:marBottom w:val="0"/>
      <w:divBdr>
        <w:top w:val="none" w:sz="0" w:space="0" w:color="auto"/>
        <w:left w:val="none" w:sz="0" w:space="0" w:color="auto"/>
        <w:bottom w:val="none" w:sz="0" w:space="0" w:color="auto"/>
        <w:right w:val="none" w:sz="0" w:space="0" w:color="auto"/>
      </w:divBdr>
    </w:div>
    <w:div w:id="800730183">
      <w:bodyDiv w:val="1"/>
      <w:marLeft w:val="0"/>
      <w:marRight w:val="0"/>
      <w:marTop w:val="0"/>
      <w:marBottom w:val="0"/>
      <w:divBdr>
        <w:top w:val="none" w:sz="0" w:space="0" w:color="auto"/>
        <w:left w:val="none" w:sz="0" w:space="0" w:color="auto"/>
        <w:bottom w:val="none" w:sz="0" w:space="0" w:color="auto"/>
        <w:right w:val="none" w:sz="0" w:space="0" w:color="auto"/>
      </w:divBdr>
    </w:div>
    <w:div w:id="805512113">
      <w:bodyDiv w:val="1"/>
      <w:marLeft w:val="0"/>
      <w:marRight w:val="0"/>
      <w:marTop w:val="0"/>
      <w:marBottom w:val="0"/>
      <w:divBdr>
        <w:top w:val="none" w:sz="0" w:space="0" w:color="auto"/>
        <w:left w:val="none" w:sz="0" w:space="0" w:color="auto"/>
        <w:bottom w:val="none" w:sz="0" w:space="0" w:color="auto"/>
        <w:right w:val="none" w:sz="0" w:space="0" w:color="auto"/>
      </w:divBdr>
    </w:div>
    <w:div w:id="812598510">
      <w:bodyDiv w:val="1"/>
      <w:marLeft w:val="0"/>
      <w:marRight w:val="0"/>
      <w:marTop w:val="0"/>
      <w:marBottom w:val="0"/>
      <w:divBdr>
        <w:top w:val="none" w:sz="0" w:space="0" w:color="auto"/>
        <w:left w:val="none" w:sz="0" w:space="0" w:color="auto"/>
        <w:bottom w:val="none" w:sz="0" w:space="0" w:color="auto"/>
        <w:right w:val="none" w:sz="0" w:space="0" w:color="auto"/>
      </w:divBdr>
    </w:div>
    <w:div w:id="812720038">
      <w:bodyDiv w:val="1"/>
      <w:marLeft w:val="0"/>
      <w:marRight w:val="0"/>
      <w:marTop w:val="0"/>
      <w:marBottom w:val="0"/>
      <w:divBdr>
        <w:top w:val="none" w:sz="0" w:space="0" w:color="auto"/>
        <w:left w:val="none" w:sz="0" w:space="0" w:color="auto"/>
        <w:bottom w:val="none" w:sz="0" w:space="0" w:color="auto"/>
        <w:right w:val="none" w:sz="0" w:space="0" w:color="auto"/>
      </w:divBdr>
    </w:div>
    <w:div w:id="813909530">
      <w:bodyDiv w:val="1"/>
      <w:marLeft w:val="0"/>
      <w:marRight w:val="0"/>
      <w:marTop w:val="0"/>
      <w:marBottom w:val="0"/>
      <w:divBdr>
        <w:top w:val="none" w:sz="0" w:space="0" w:color="auto"/>
        <w:left w:val="none" w:sz="0" w:space="0" w:color="auto"/>
        <w:bottom w:val="none" w:sz="0" w:space="0" w:color="auto"/>
        <w:right w:val="none" w:sz="0" w:space="0" w:color="auto"/>
      </w:divBdr>
    </w:div>
    <w:div w:id="819469255">
      <w:bodyDiv w:val="1"/>
      <w:marLeft w:val="0"/>
      <w:marRight w:val="0"/>
      <w:marTop w:val="0"/>
      <w:marBottom w:val="0"/>
      <w:divBdr>
        <w:top w:val="none" w:sz="0" w:space="0" w:color="auto"/>
        <w:left w:val="none" w:sz="0" w:space="0" w:color="auto"/>
        <w:bottom w:val="none" w:sz="0" w:space="0" w:color="auto"/>
        <w:right w:val="none" w:sz="0" w:space="0" w:color="auto"/>
      </w:divBdr>
    </w:div>
    <w:div w:id="820003553">
      <w:bodyDiv w:val="1"/>
      <w:marLeft w:val="0"/>
      <w:marRight w:val="0"/>
      <w:marTop w:val="0"/>
      <w:marBottom w:val="0"/>
      <w:divBdr>
        <w:top w:val="none" w:sz="0" w:space="0" w:color="auto"/>
        <w:left w:val="none" w:sz="0" w:space="0" w:color="auto"/>
        <w:bottom w:val="none" w:sz="0" w:space="0" w:color="auto"/>
        <w:right w:val="none" w:sz="0" w:space="0" w:color="auto"/>
      </w:divBdr>
    </w:div>
    <w:div w:id="823397379">
      <w:bodyDiv w:val="1"/>
      <w:marLeft w:val="0"/>
      <w:marRight w:val="0"/>
      <w:marTop w:val="0"/>
      <w:marBottom w:val="0"/>
      <w:divBdr>
        <w:top w:val="none" w:sz="0" w:space="0" w:color="auto"/>
        <w:left w:val="none" w:sz="0" w:space="0" w:color="auto"/>
        <w:bottom w:val="none" w:sz="0" w:space="0" w:color="auto"/>
        <w:right w:val="none" w:sz="0" w:space="0" w:color="auto"/>
      </w:divBdr>
    </w:div>
    <w:div w:id="824667039">
      <w:bodyDiv w:val="1"/>
      <w:marLeft w:val="0"/>
      <w:marRight w:val="0"/>
      <w:marTop w:val="0"/>
      <w:marBottom w:val="0"/>
      <w:divBdr>
        <w:top w:val="none" w:sz="0" w:space="0" w:color="auto"/>
        <w:left w:val="none" w:sz="0" w:space="0" w:color="auto"/>
        <w:bottom w:val="none" w:sz="0" w:space="0" w:color="auto"/>
        <w:right w:val="none" w:sz="0" w:space="0" w:color="auto"/>
      </w:divBdr>
    </w:div>
    <w:div w:id="826089269">
      <w:bodyDiv w:val="1"/>
      <w:marLeft w:val="0"/>
      <w:marRight w:val="0"/>
      <w:marTop w:val="0"/>
      <w:marBottom w:val="0"/>
      <w:divBdr>
        <w:top w:val="none" w:sz="0" w:space="0" w:color="auto"/>
        <w:left w:val="none" w:sz="0" w:space="0" w:color="auto"/>
        <w:bottom w:val="none" w:sz="0" w:space="0" w:color="auto"/>
        <w:right w:val="none" w:sz="0" w:space="0" w:color="auto"/>
      </w:divBdr>
    </w:div>
    <w:div w:id="827400906">
      <w:bodyDiv w:val="1"/>
      <w:marLeft w:val="0"/>
      <w:marRight w:val="0"/>
      <w:marTop w:val="0"/>
      <w:marBottom w:val="0"/>
      <w:divBdr>
        <w:top w:val="none" w:sz="0" w:space="0" w:color="auto"/>
        <w:left w:val="none" w:sz="0" w:space="0" w:color="auto"/>
        <w:bottom w:val="none" w:sz="0" w:space="0" w:color="auto"/>
        <w:right w:val="none" w:sz="0" w:space="0" w:color="auto"/>
      </w:divBdr>
    </w:div>
    <w:div w:id="828248500">
      <w:bodyDiv w:val="1"/>
      <w:marLeft w:val="0"/>
      <w:marRight w:val="0"/>
      <w:marTop w:val="0"/>
      <w:marBottom w:val="0"/>
      <w:divBdr>
        <w:top w:val="none" w:sz="0" w:space="0" w:color="auto"/>
        <w:left w:val="none" w:sz="0" w:space="0" w:color="auto"/>
        <w:bottom w:val="none" w:sz="0" w:space="0" w:color="auto"/>
        <w:right w:val="none" w:sz="0" w:space="0" w:color="auto"/>
      </w:divBdr>
    </w:div>
    <w:div w:id="829060179">
      <w:bodyDiv w:val="1"/>
      <w:marLeft w:val="0"/>
      <w:marRight w:val="0"/>
      <w:marTop w:val="0"/>
      <w:marBottom w:val="0"/>
      <w:divBdr>
        <w:top w:val="none" w:sz="0" w:space="0" w:color="auto"/>
        <w:left w:val="none" w:sz="0" w:space="0" w:color="auto"/>
        <w:bottom w:val="none" w:sz="0" w:space="0" w:color="auto"/>
        <w:right w:val="none" w:sz="0" w:space="0" w:color="auto"/>
      </w:divBdr>
    </w:div>
    <w:div w:id="836505700">
      <w:bodyDiv w:val="1"/>
      <w:marLeft w:val="0"/>
      <w:marRight w:val="0"/>
      <w:marTop w:val="0"/>
      <w:marBottom w:val="0"/>
      <w:divBdr>
        <w:top w:val="none" w:sz="0" w:space="0" w:color="auto"/>
        <w:left w:val="none" w:sz="0" w:space="0" w:color="auto"/>
        <w:bottom w:val="none" w:sz="0" w:space="0" w:color="auto"/>
        <w:right w:val="none" w:sz="0" w:space="0" w:color="auto"/>
      </w:divBdr>
    </w:div>
    <w:div w:id="839852748">
      <w:bodyDiv w:val="1"/>
      <w:marLeft w:val="0"/>
      <w:marRight w:val="0"/>
      <w:marTop w:val="0"/>
      <w:marBottom w:val="0"/>
      <w:divBdr>
        <w:top w:val="none" w:sz="0" w:space="0" w:color="auto"/>
        <w:left w:val="none" w:sz="0" w:space="0" w:color="auto"/>
        <w:bottom w:val="none" w:sz="0" w:space="0" w:color="auto"/>
        <w:right w:val="none" w:sz="0" w:space="0" w:color="auto"/>
      </w:divBdr>
    </w:div>
    <w:div w:id="844397052">
      <w:bodyDiv w:val="1"/>
      <w:marLeft w:val="0"/>
      <w:marRight w:val="0"/>
      <w:marTop w:val="0"/>
      <w:marBottom w:val="0"/>
      <w:divBdr>
        <w:top w:val="none" w:sz="0" w:space="0" w:color="auto"/>
        <w:left w:val="none" w:sz="0" w:space="0" w:color="auto"/>
        <w:bottom w:val="none" w:sz="0" w:space="0" w:color="auto"/>
        <w:right w:val="none" w:sz="0" w:space="0" w:color="auto"/>
      </w:divBdr>
    </w:div>
    <w:div w:id="852302239">
      <w:bodyDiv w:val="1"/>
      <w:marLeft w:val="0"/>
      <w:marRight w:val="0"/>
      <w:marTop w:val="0"/>
      <w:marBottom w:val="0"/>
      <w:divBdr>
        <w:top w:val="none" w:sz="0" w:space="0" w:color="auto"/>
        <w:left w:val="none" w:sz="0" w:space="0" w:color="auto"/>
        <w:bottom w:val="none" w:sz="0" w:space="0" w:color="auto"/>
        <w:right w:val="none" w:sz="0" w:space="0" w:color="auto"/>
      </w:divBdr>
    </w:div>
    <w:div w:id="853300364">
      <w:bodyDiv w:val="1"/>
      <w:marLeft w:val="0"/>
      <w:marRight w:val="0"/>
      <w:marTop w:val="0"/>
      <w:marBottom w:val="0"/>
      <w:divBdr>
        <w:top w:val="none" w:sz="0" w:space="0" w:color="auto"/>
        <w:left w:val="none" w:sz="0" w:space="0" w:color="auto"/>
        <w:bottom w:val="none" w:sz="0" w:space="0" w:color="auto"/>
        <w:right w:val="none" w:sz="0" w:space="0" w:color="auto"/>
      </w:divBdr>
    </w:div>
    <w:div w:id="856773187">
      <w:bodyDiv w:val="1"/>
      <w:marLeft w:val="0"/>
      <w:marRight w:val="0"/>
      <w:marTop w:val="0"/>
      <w:marBottom w:val="0"/>
      <w:divBdr>
        <w:top w:val="none" w:sz="0" w:space="0" w:color="auto"/>
        <w:left w:val="none" w:sz="0" w:space="0" w:color="auto"/>
        <w:bottom w:val="none" w:sz="0" w:space="0" w:color="auto"/>
        <w:right w:val="none" w:sz="0" w:space="0" w:color="auto"/>
      </w:divBdr>
    </w:div>
    <w:div w:id="861818743">
      <w:bodyDiv w:val="1"/>
      <w:marLeft w:val="0"/>
      <w:marRight w:val="0"/>
      <w:marTop w:val="0"/>
      <w:marBottom w:val="0"/>
      <w:divBdr>
        <w:top w:val="none" w:sz="0" w:space="0" w:color="auto"/>
        <w:left w:val="none" w:sz="0" w:space="0" w:color="auto"/>
        <w:bottom w:val="none" w:sz="0" w:space="0" w:color="auto"/>
        <w:right w:val="none" w:sz="0" w:space="0" w:color="auto"/>
      </w:divBdr>
    </w:div>
    <w:div w:id="861938036">
      <w:bodyDiv w:val="1"/>
      <w:marLeft w:val="0"/>
      <w:marRight w:val="0"/>
      <w:marTop w:val="0"/>
      <w:marBottom w:val="0"/>
      <w:divBdr>
        <w:top w:val="none" w:sz="0" w:space="0" w:color="auto"/>
        <w:left w:val="none" w:sz="0" w:space="0" w:color="auto"/>
        <w:bottom w:val="none" w:sz="0" w:space="0" w:color="auto"/>
        <w:right w:val="none" w:sz="0" w:space="0" w:color="auto"/>
      </w:divBdr>
    </w:div>
    <w:div w:id="862524285">
      <w:bodyDiv w:val="1"/>
      <w:marLeft w:val="0"/>
      <w:marRight w:val="0"/>
      <w:marTop w:val="0"/>
      <w:marBottom w:val="0"/>
      <w:divBdr>
        <w:top w:val="none" w:sz="0" w:space="0" w:color="auto"/>
        <w:left w:val="none" w:sz="0" w:space="0" w:color="auto"/>
        <w:bottom w:val="none" w:sz="0" w:space="0" w:color="auto"/>
        <w:right w:val="none" w:sz="0" w:space="0" w:color="auto"/>
      </w:divBdr>
    </w:div>
    <w:div w:id="862784026">
      <w:bodyDiv w:val="1"/>
      <w:marLeft w:val="0"/>
      <w:marRight w:val="0"/>
      <w:marTop w:val="0"/>
      <w:marBottom w:val="0"/>
      <w:divBdr>
        <w:top w:val="none" w:sz="0" w:space="0" w:color="auto"/>
        <w:left w:val="none" w:sz="0" w:space="0" w:color="auto"/>
        <w:bottom w:val="none" w:sz="0" w:space="0" w:color="auto"/>
        <w:right w:val="none" w:sz="0" w:space="0" w:color="auto"/>
      </w:divBdr>
    </w:div>
    <w:div w:id="864097167">
      <w:bodyDiv w:val="1"/>
      <w:marLeft w:val="0"/>
      <w:marRight w:val="0"/>
      <w:marTop w:val="0"/>
      <w:marBottom w:val="0"/>
      <w:divBdr>
        <w:top w:val="none" w:sz="0" w:space="0" w:color="auto"/>
        <w:left w:val="none" w:sz="0" w:space="0" w:color="auto"/>
        <w:bottom w:val="none" w:sz="0" w:space="0" w:color="auto"/>
        <w:right w:val="none" w:sz="0" w:space="0" w:color="auto"/>
      </w:divBdr>
    </w:div>
    <w:div w:id="865169453">
      <w:bodyDiv w:val="1"/>
      <w:marLeft w:val="0"/>
      <w:marRight w:val="0"/>
      <w:marTop w:val="0"/>
      <w:marBottom w:val="0"/>
      <w:divBdr>
        <w:top w:val="none" w:sz="0" w:space="0" w:color="auto"/>
        <w:left w:val="none" w:sz="0" w:space="0" w:color="auto"/>
        <w:bottom w:val="none" w:sz="0" w:space="0" w:color="auto"/>
        <w:right w:val="none" w:sz="0" w:space="0" w:color="auto"/>
      </w:divBdr>
    </w:div>
    <w:div w:id="869534513">
      <w:bodyDiv w:val="1"/>
      <w:marLeft w:val="0"/>
      <w:marRight w:val="0"/>
      <w:marTop w:val="0"/>
      <w:marBottom w:val="0"/>
      <w:divBdr>
        <w:top w:val="none" w:sz="0" w:space="0" w:color="auto"/>
        <w:left w:val="none" w:sz="0" w:space="0" w:color="auto"/>
        <w:bottom w:val="none" w:sz="0" w:space="0" w:color="auto"/>
        <w:right w:val="none" w:sz="0" w:space="0" w:color="auto"/>
      </w:divBdr>
    </w:div>
    <w:div w:id="875896941">
      <w:bodyDiv w:val="1"/>
      <w:marLeft w:val="0"/>
      <w:marRight w:val="0"/>
      <w:marTop w:val="0"/>
      <w:marBottom w:val="0"/>
      <w:divBdr>
        <w:top w:val="none" w:sz="0" w:space="0" w:color="auto"/>
        <w:left w:val="none" w:sz="0" w:space="0" w:color="auto"/>
        <w:bottom w:val="none" w:sz="0" w:space="0" w:color="auto"/>
        <w:right w:val="none" w:sz="0" w:space="0" w:color="auto"/>
      </w:divBdr>
    </w:div>
    <w:div w:id="883753186">
      <w:bodyDiv w:val="1"/>
      <w:marLeft w:val="0"/>
      <w:marRight w:val="0"/>
      <w:marTop w:val="0"/>
      <w:marBottom w:val="0"/>
      <w:divBdr>
        <w:top w:val="none" w:sz="0" w:space="0" w:color="auto"/>
        <w:left w:val="none" w:sz="0" w:space="0" w:color="auto"/>
        <w:bottom w:val="none" w:sz="0" w:space="0" w:color="auto"/>
        <w:right w:val="none" w:sz="0" w:space="0" w:color="auto"/>
      </w:divBdr>
    </w:div>
    <w:div w:id="887061830">
      <w:bodyDiv w:val="1"/>
      <w:marLeft w:val="0"/>
      <w:marRight w:val="0"/>
      <w:marTop w:val="0"/>
      <w:marBottom w:val="0"/>
      <w:divBdr>
        <w:top w:val="none" w:sz="0" w:space="0" w:color="auto"/>
        <w:left w:val="none" w:sz="0" w:space="0" w:color="auto"/>
        <w:bottom w:val="none" w:sz="0" w:space="0" w:color="auto"/>
        <w:right w:val="none" w:sz="0" w:space="0" w:color="auto"/>
      </w:divBdr>
    </w:div>
    <w:div w:id="889997855">
      <w:bodyDiv w:val="1"/>
      <w:marLeft w:val="0"/>
      <w:marRight w:val="0"/>
      <w:marTop w:val="0"/>
      <w:marBottom w:val="0"/>
      <w:divBdr>
        <w:top w:val="none" w:sz="0" w:space="0" w:color="auto"/>
        <w:left w:val="none" w:sz="0" w:space="0" w:color="auto"/>
        <w:bottom w:val="none" w:sz="0" w:space="0" w:color="auto"/>
        <w:right w:val="none" w:sz="0" w:space="0" w:color="auto"/>
      </w:divBdr>
    </w:div>
    <w:div w:id="890963754">
      <w:bodyDiv w:val="1"/>
      <w:marLeft w:val="0"/>
      <w:marRight w:val="0"/>
      <w:marTop w:val="0"/>
      <w:marBottom w:val="0"/>
      <w:divBdr>
        <w:top w:val="none" w:sz="0" w:space="0" w:color="auto"/>
        <w:left w:val="none" w:sz="0" w:space="0" w:color="auto"/>
        <w:bottom w:val="none" w:sz="0" w:space="0" w:color="auto"/>
        <w:right w:val="none" w:sz="0" w:space="0" w:color="auto"/>
      </w:divBdr>
    </w:div>
    <w:div w:id="890967838">
      <w:bodyDiv w:val="1"/>
      <w:marLeft w:val="0"/>
      <w:marRight w:val="0"/>
      <w:marTop w:val="0"/>
      <w:marBottom w:val="0"/>
      <w:divBdr>
        <w:top w:val="none" w:sz="0" w:space="0" w:color="auto"/>
        <w:left w:val="none" w:sz="0" w:space="0" w:color="auto"/>
        <w:bottom w:val="none" w:sz="0" w:space="0" w:color="auto"/>
        <w:right w:val="none" w:sz="0" w:space="0" w:color="auto"/>
      </w:divBdr>
    </w:div>
    <w:div w:id="894049613">
      <w:bodyDiv w:val="1"/>
      <w:marLeft w:val="0"/>
      <w:marRight w:val="0"/>
      <w:marTop w:val="0"/>
      <w:marBottom w:val="0"/>
      <w:divBdr>
        <w:top w:val="none" w:sz="0" w:space="0" w:color="auto"/>
        <w:left w:val="none" w:sz="0" w:space="0" w:color="auto"/>
        <w:bottom w:val="none" w:sz="0" w:space="0" w:color="auto"/>
        <w:right w:val="none" w:sz="0" w:space="0" w:color="auto"/>
      </w:divBdr>
    </w:div>
    <w:div w:id="894512502">
      <w:bodyDiv w:val="1"/>
      <w:marLeft w:val="0"/>
      <w:marRight w:val="0"/>
      <w:marTop w:val="0"/>
      <w:marBottom w:val="0"/>
      <w:divBdr>
        <w:top w:val="none" w:sz="0" w:space="0" w:color="auto"/>
        <w:left w:val="none" w:sz="0" w:space="0" w:color="auto"/>
        <w:bottom w:val="none" w:sz="0" w:space="0" w:color="auto"/>
        <w:right w:val="none" w:sz="0" w:space="0" w:color="auto"/>
      </w:divBdr>
    </w:div>
    <w:div w:id="894971769">
      <w:bodyDiv w:val="1"/>
      <w:marLeft w:val="0"/>
      <w:marRight w:val="0"/>
      <w:marTop w:val="0"/>
      <w:marBottom w:val="0"/>
      <w:divBdr>
        <w:top w:val="none" w:sz="0" w:space="0" w:color="auto"/>
        <w:left w:val="none" w:sz="0" w:space="0" w:color="auto"/>
        <w:bottom w:val="none" w:sz="0" w:space="0" w:color="auto"/>
        <w:right w:val="none" w:sz="0" w:space="0" w:color="auto"/>
      </w:divBdr>
    </w:div>
    <w:div w:id="897664519">
      <w:bodyDiv w:val="1"/>
      <w:marLeft w:val="0"/>
      <w:marRight w:val="0"/>
      <w:marTop w:val="0"/>
      <w:marBottom w:val="0"/>
      <w:divBdr>
        <w:top w:val="none" w:sz="0" w:space="0" w:color="auto"/>
        <w:left w:val="none" w:sz="0" w:space="0" w:color="auto"/>
        <w:bottom w:val="none" w:sz="0" w:space="0" w:color="auto"/>
        <w:right w:val="none" w:sz="0" w:space="0" w:color="auto"/>
      </w:divBdr>
    </w:div>
    <w:div w:id="905335295">
      <w:bodyDiv w:val="1"/>
      <w:marLeft w:val="0"/>
      <w:marRight w:val="0"/>
      <w:marTop w:val="0"/>
      <w:marBottom w:val="0"/>
      <w:divBdr>
        <w:top w:val="none" w:sz="0" w:space="0" w:color="auto"/>
        <w:left w:val="none" w:sz="0" w:space="0" w:color="auto"/>
        <w:bottom w:val="none" w:sz="0" w:space="0" w:color="auto"/>
        <w:right w:val="none" w:sz="0" w:space="0" w:color="auto"/>
      </w:divBdr>
    </w:div>
    <w:div w:id="905719907">
      <w:bodyDiv w:val="1"/>
      <w:marLeft w:val="0"/>
      <w:marRight w:val="0"/>
      <w:marTop w:val="0"/>
      <w:marBottom w:val="0"/>
      <w:divBdr>
        <w:top w:val="none" w:sz="0" w:space="0" w:color="auto"/>
        <w:left w:val="none" w:sz="0" w:space="0" w:color="auto"/>
        <w:bottom w:val="none" w:sz="0" w:space="0" w:color="auto"/>
        <w:right w:val="none" w:sz="0" w:space="0" w:color="auto"/>
      </w:divBdr>
    </w:div>
    <w:div w:id="907107627">
      <w:bodyDiv w:val="1"/>
      <w:marLeft w:val="0"/>
      <w:marRight w:val="0"/>
      <w:marTop w:val="0"/>
      <w:marBottom w:val="0"/>
      <w:divBdr>
        <w:top w:val="none" w:sz="0" w:space="0" w:color="auto"/>
        <w:left w:val="none" w:sz="0" w:space="0" w:color="auto"/>
        <w:bottom w:val="none" w:sz="0" w:space="0" w:color="auto"/>
        <w:right w:val="none" w:sz="0" w:space="0" w:color="auto"/>
      </w:divBdr>
    </w:div>
    <w:div w:id="909968629">
      <w:bodyDiv w:val="1"/>
      <w:marLeft w:val="0"/>
      <w:marRight w:val="0"/>
      <w:marTop w:val="0"/>
      <w:marBottom w:val="0"/>
      <w:divBdr>
        <w:top w:val="none" w:sz="0" w:space="0" w:color="auto"/>
        <w:left w:val="none" w:sz="0" w:space="0" w:color="auto"/>
        <w:bottom w:val="none" w:sz="0" w:space="0" w:color="auto"/>
        <w:right w:val="none" w:sz="0" w:space="0" w:color="auto"/>
      </w:divBdr>
      <w:divsChild>
        <w:div w:id="333343070">
          <w:marLeft w:val="480"/>
          <w:marRight w:val="0"/>
          <w:marTop w:val="0"/>
          <w:marBottom w:val="0"/>
          <w:divBdr>
            <w:top w:val="none" w:sz="0" w:space="0" w:color="auto"/>
            <w:left w:val="none" w:sz="0" w:space="0" w:color="auto"/>
            <w:bottom w:val="none" w:sz="0" w:space="0" w:color="auto"/>
            <w:right w:val="none" w:sz="0" w:space="0" w:color="auto"/>
          </w:divBdr>
        </w:div>
        <w:div w:id="1467317207">
          <w:marLeft w:val="480"/>
          <w:marRight w:val="0"/>
          <w:marTop w:val="0"/>
          <w:marBottom w:val="0"/>
          <w:divBdr>
            <w:top w:val="none" w:sz="0" w:space="0" w:color="auto"/>
            <w:left w:val="none" w:sz="0" w:space="0" w:color="auto"/>
            <w:bottom w:val="none" w:sz="0" w:space="0" w:color="auto"/>
            <w:right w:val="none" w:sz="0" w:space="0" w:color="auto"/>
          </w:divBdr>
        </w:div>
        <w:div w:id="653993349">
          <w:marLeft w:val="480"/>
          <w:marRight w:val="0"/>
          <w:marTop w:val="0"/>
          <w:marBottom w:val="0"/>
          <w:divBdr>
            <w:top w:val="none" w:sz="0" w:space="0" w:color="auto"/>
            <w:left w:val="none" w:sz="0" w:space="0" w:color="auto"/>
            <w:bottom w:val="none" w:sz="0" w:space="0" w:color="auto"/>
            <w:right w:val="none" w:sz="0" w:space="0" w:color="auto"/>
          </w:divBdr>
        </w:div>
        <w:div w:id="1971209277">
          <w:marLeft w:val="480"/>
          <w:marRight w:val="0"/>
          <w:marTop w:val="0"/>
          <w:marBottom w:val="0"/>
          <w:divBdr>
            <w:top w:val="none" w:sz="0" w:space="0" w:color="auto"/>
            <w:left w:val="none" w:sz="0" w:space="0" w:color="auto"/>
            <w:bottom w:val="none" w:sz="0" w:space="0" w:color="auto"/>
            <w:right w:val="none" w:sz="0" w:space="0" w:color="auto"/>
          </w:divBdr>
        </w:div>
        <w:div w:id="1683169791">
          <w:marLeft w:val="480"/>
          <w:marRight w:val="0"/>
          <w:marTop w:val="0"/>
          <w:marBottom w:val="0"/>
          <w:divBdr>
            <w:top w:val="none" w:sz="0" w:space="0" w:color="auto"/>
            <w:left w:val="none" w:sz="0" w:space="0" w:color="auto"/>
            <w:bottom w:val="none" w:sz="0" w:space="0" w:color="auto"/>
            <w:right w:val="none" w:sz="0" w:space="0" w:color="auto"/>
          </w:divBdr>
        </w:div>
        <w:div w:id="1401171832">
          <w:marLeft w:val="480"/>
          <w:marRight w:val="0"/>
          <w:marTop w:val="0"/>
          <w:marBottom w:val="0"/>
          <w:divBdr>
            <w:top w:val="none" w:sz="0" w:space="0" w:color="auto"/>
            <w:left w:val="none" w:sz="0" w:space="0" w:color="auto"/>
            <w:bottom w:val="none" w:sz="0" w:space="0" w:color="auto"/>
            <w:right w:val="none" w:sz="0" w:space="0" w:color="auto"/>
          </w:divBdr>
        </w:div>
        <w:div w:id="761143109">
          <w:marLeft w:val="480"/>
          <w:marRight w:val="0"/>
          <w:marTop w:val="0"/>
          <w:marBottom w:val="0"/>
          <w:divBdr>
            <w:top w:val="none" w:sz="0" w:space="0" w:color="auto"/>
            <w:left w:val="none" w:sz="0" w:space="0" w:color="auto"/>
            <w:bottom w:val="none" w:sz="0" w:space="0" w:color="auto"/>
            <w:right w:val="none" w:sz="0" w:space="0" w:color="auto"/>
          </w:divBdr>
        </w:div>
        <w:div w:id="917717427">
          <w:marLeft w:val="480"/>
          <w:marRight w:val="0"/>
          <w:marTop w:val="0"/>
          <w:marBottom w:val="0"/>
          <w:divBdr>
            <w:top w:val="none" w:sz="0" w:space="0" w:color="auto"/>
            <w:left w:val="none" w:sz="0" w:space="0" w:color="auto"/>
            <w:bottom w:val="none" w:sz="0" w:space="0" w:color="auto"/>
            <w:right w:val="none" w:sz="0" w:space="0" w:color="auto"/>
          </w:divBdr>
        </w:div>
        <w:div w:id="296759237">
          <w:marLeft w:val="480"/>
          <w:marRight w:val="0"/>
          <w:marTop w:val="0"/>
          <w:marBottom w:val="0"/>
          <w:divBdr>
            <w:top w:val="none" w:sz="0" w:space="0" w:color="auto"/>
            <w:left w:val="none" w:sz="0" w:space="0" w:color="auto"/>
            <w:bottom w:val="none" w:sz="0" w:space="0" w:color="auto"/>
            <w:right w:val="none" w:sz="0" w:space="0" w:color="auto"/>
          </w:divBdr>
        </w:div>
        <w:div w:id="627048457">
          <w:marLeft w:val="480"/>
          <w:marRight w:val="0"/>
          <w:marTop w:val="0"/>
          <w:marBottom w:val="0"/>
          <w:divBdr>
            <w:top w:val="none" w:sz="0" w:space="0" w:color="auto"/>
            <w:left w:val="none" w:sz="0" w:space="0" w:color="auto"/>
            <w:bottom w:val="none" w:sz="0" w:space="0" w:color="auto"/>
            <w:right w:val="none" w:sz="0" w:space="0" w:color="auto"/>
          </w:divBdr>
        </w:div>
        <w:div w:id="1515221588">
          <w:marLeft w:val="480"/>
          <w:marRight w:val="0"/>
          <w:marTop w:val="0"/>
          <w:marBottom w:val="0"/>
          <w:divBdr>
            <w:top w:val="none" w:sz="0" w:space="0" w:color="auto"/>
            <w:left w:val="none" w:sz="0" w:space="0" w:color="auto"/>
            <w:bottom w:val="none" w:sz="0" w:space="0" w:color="auto"/>
            <w:right w:val="none" w:sz="0" w:space="0" w:color="auto"/>
          </w:divBdr>
        </w:div>
        <w:div w:id="932474950">
          <w:marLeft w:val="480"/>
          <w:marRight w:val="0"/>
          <w:marTop w:val="0"/>
          <w:marBottom w:val="0"/>
          <w:divBdr>
            <w:top w:val="none" w:sz="0" w:space="0" w:color="auto"/>
            <w:left w:val="none" w:sz="0" w:space="0" w:color="auto"/>
            <w:bottom w:val="none" w:sz="0" w:space="0" w:color="auto"/>
            <w:right w:val="none" w:sz="0" w:space="0" w:color="auto"/>
          </w:divBdr>
        </w:div>
        <w:div w:id="1698969311">
          <w:marLeft w:val="480"/>
          <w:marRight w:val="0"/>
          <w:marTop w:val="0"/>
          <w:marBottom w:val="0"/>
          <w:divBdr>
            <w:top w:val="none" w:sz="0" w:space="0" w:color="auto"/>
            <w:left w:val="none" w:sz="0" w:space="0" w:color="auto"/>
            <w:bottom w:val="none" w:sz="0" w:space="0" w:color="auto"/>
            <w:right w:val="none" w:sz="0" w:space="0" w:color="auto"/>
          </w:divBdr>
        </w:div>
        <w:div w:id="292058269">
          <w:marLeft w:val="480"/>
          <w:marRight w:val="0"/>
          <w:marTop w:val="0"/>
          <w:marBottom w:val="0"/>
          <w:divBdr>
            <w:top w:val="none" w:sz="0" w:space="0" w:color="auto"/>
            <w:left w:val="none" w:sz="0" w:space="0" w:color="auto"/>
            <w:bottom w:val="none" w:sz="0" w:space="0" w:color="auto"/>
            <w:right w:val="none" w:sz="0" w:space="0" w:color="auto"/>
          </w:divBdr>
        </w:div>
        <w:div w:id="1218661576">
          <w:marLeft w:val="480"/>
          <w:marRight w:val="0"/>
          <w:marTop w:val="0"/>
          <w:marBottom w:val="0"/>
          <w:divBdr>
            <w:top w:val="none" w:sz="0" w:space="0" w:color="auto"/>
            <w:left w:val="none" w:sz="0" w:space="0" w:color="auto"/>
            <w:bottom w:val="none" w:sz="0" w:space="0" w:color="auto"/>
            <w:right w:val="none" w:sz="0" w:space="0" w:color="auto"/>
          </w:divBdr>
        </w:div>
        <w:div w:id="884022590">
          <w:marLeft w:val="480"/>
          <w:marRight w:val="0"/>
          <w:marTop w:val="0"/>
          <w:marBottom w:val="0"/>
          <w:divBdr>
            <w:top w:val="none" w:sz="0" w:space="0" w:color="auto"/>
            <w:left w:val="none" w:sz="0" w:space="0" w:color="auto"/>
            <w:bottom w:val="none" w:sz="0" w:space="0" w:color="auto"/>
            <w:right w:val="none" w:sz="0" w:space="0" w:color="auto"/>
          </w:divBdr>
        </w:div>
        <w:div w:id="1721828439">
          <w:marLeft w:val="480"/>
          <w:marRight w:val="0"/>
          <w:marTop w:val="0"/>
          <w:marBottom w:val="0"/>
          <w:divBdr>
            <w:top w:val="none" w:sz="0" w:space="0" w:color="auto"/>
            <w:left w:val="none" w:sz="0" w:space="0" w:color="auto"/>
            <w:bottom w:val="none" w:sz="0" w:space="0" w:color="auto"/>
            <w:right w:val="none" w:sz="0" w:space="0" w:color="auto"/>
          </w:divBdr>
        </w:div>
        <w:div w:id="424498168">
          <w:marLeft w:val="480"/>
          <w:marRight w:val="0"/>
          <w:marTop w:val="0"/>
          <w:marBottom w:val="0"/>
          <w:divBdr>
            <w:top w:val="none" w:sz="0" w:space="0" w:color="auto"/>
            <w:left w:val="none" w:sz="0" w:space="0" w:color="auto"/>
            <w:bottom w:val="none" w:sz="0" w:space="0" w:color="auto"/>
            <w:right w:val="none" w:sz="0" w:space="0" w:color="auto"/>
          </w:divBdr>
        </w:div>
        <w:div w:id="1673603944">
          <w:marLeft w:val="480"/>
          <w:marRight w:val="0"/>
          <w:marTop w:val="0"/>
          <w:marBottom w:val="0"/>
          <w:divBdr>
            <w:top w:val="none" w:sz="0" w:space="0" w:color="auto"/>
            <w:left w:val="none" w:sz="0" w:space="0" w:color="auto"/>
            <w:bottom w:val="none" w:sz="0" w:space="0" w:color="auto"/>
            <w:right w:val="none" w:sz="0" w:space="0" w:color="auto"/>
          </w:divBdr>
        </w:div>
        <w:div w:id="1268736158">
          <w:marLeft w:val="480"/>
          <w:marRight w:val="0"/>
          <w:marTop w:val="0"/>
          <w:marBottom w:val="0"/>
          <w:divBdr>
            <w:top w:val="none" w:sz="0" w:space="0" w:color="auto"/>
            <w:left w:val="none" w:sz="0" w:space="0" w:color="auto"/>
            <w:bottom w:val="none" w:sz="0" w:space="0" w:color="auto"/>
            <w:right w:val="none" w:sz="0" w:space="0" w:color="auto"/>
          </w:divBdr>
        </w:div>
        <w:div w:id="1048649515">
          <w:marLeft w:val="480"/>
          <w:marRight w:val="0"/>
          <w:marTop w:val="0"/>
          <w:marBottom w:val="0"/>
          <w:divBdr>
            <w:top w:val="none" w:sz="0" w:space="0" w:color="auto"/>
            <w:left w:val="none" w:sz="0" w:space="0" w:color="auto"/>
            <w:bottom w:val="none" w:sz="0" w:space="0" w:color="auto"/>
            <w:right w:val="none" w:sz="0" w:space="0" w:color="auto"/>
          </w:divBdr>
        </w:div>
        <w:div w:id="1441031198">
          <w:marLeft w:val="480"/>
          <w:marRight w:val="0"/>
          <w:marTop w:val="0"/>
          <w:marBottom w:val="0"/>
          <w:divBdr>
            <w:top w:val="none" w:sz="0" w:space="0" w:color="auto"/>
            <w:left w:val="none" w:sz="0" w:space="0" w:color="auto"/>
            <w:bottom w:val="none" w:sz="0" w:space="0" w:color="auto"/>
            <w:right w:val="none" w:sz="0" w:space="0" w:color="auto"/>
          </w:divBdr>
        </w:div>
        <w:div w:id="1972125905">
          <w:marLeft w:val="480"/>
          <w:marRight w:val="0"/>
          <w:marTop w:val="0"/>
          <w:marBottom w:val="0"/>
          <w:divBdr>
            <w:top w:val="none" w:sz="0" w:space="0" w:color="auto"/>
            <w:left w:val="none" w:sz="0" w:space="0" w:color="auto"/>
            <w:bottom w:val="none" w:sz="0" w:space="0" w:color="auto"/>
            <w:right w:val="none" w:sz="0" w:space="0" w:color="auto"/>
          </w:divBdr>
        </w:div>
        <w:div w:id="459540972">
          <w:marLeft w:val="480"/>
          <w:marRight w:val="0"/>
          <w:marTop w:val="0"/>
          <w:marBottom w:val="0"/>
          <w:divBdr>
            <w:top w:val="none" w:sz="0" w:space="0" w:color="auto"/>
            <w:left w:val="none" w:sz="0" w:space="0" w:color="auto"/>
            <w:bottom w:val="none" w:sz="0" w:space="0" w:color="auto"/>
            <w:right w:val="none" w:sz="0" w:space="0" w:color="auto"/>
          </w:divBdr>
        </w:div>
        <w:div w:id="1000932323">
          <w:marLeft w:val="480"/>
          <w:marRight w:val="0"/>
          <w:marTop w:val="0"/>
          <w:marBottom w:val="0"/>
          <w:divBdr>
            <w:top w:val="none" w:sz="0" w:space="0" w:color="auto"/>
            <w:left w:val="none" w:sz="0" w:space="0" w:color="auto"/>
            <w:bottom w:val="none" w:sz="0" w:space="0" w:color="auto"/>
            <w:right w:val="none" w:sz="0" w:space="0" w:color="auto"/>
          </w:divBdr>
        </w:div>
        <w:div w:id="319235137">
          <w:marLeft w:val="480"/>
          <w:marRight w:val="0"/>
          <w:marTop w:val="0"/>
          <w:marBottom w:val="0"/>
          <w:divBdr>
            <w:top w:val="none" w:sz="0" w:space="0" w:color="auto"/>
            <w:left w:val="none" w:sz="0" w:space="0" w:color="auto"/>
            <w:bottom w:val="none" w:sz="0" w:space="0" w:color="auto"/>
            <w:right w:val="none" w:sz="0" w:space="0" w:color="auto"/>
          </w:divBdr>
        </w:div>
        <w:div w:id="1376345266">
          <w:marLeft w:val="480"/>
          <w:marRight w:val="0"/>
          <w:marTop w:val="0"/>
          <w:marBottom w:val="0"/>
          <w:divBdr>
            <w:top w:val="none" w:sz="0" w:space="0" w:color="auto"/>
            <w:left w:val="none" w:sz="0" w:space="0" w:color="auto"/>
            <w:bottom w:val="none" w:sz="0" w:space="0" w:color="auto"/>
            <w:right w:val="none" w:sz="0" w:space="0" w:color="auto"/>
          </w:divBdr>
        </w:div>
        <w:div w:id="936055713">
          <w:marLeft w:val="480"/>
          <w:marRight w:val="0"/>
          <w:marTop w:val="0"/>
          <w:marBottom w:val="0"/>
          <w:divBdr>
            <w:top w:val="none" w:sz="0" w:space="0" w:color="auto"/>
            <w:left w:val="none" w:sz="0" w:space="0" w:color="auto"/>
            <w:bottom w:val="none" w:sz="0" w:space="0" w:color="auto"/>
            <w:right w:val="none" w:sz="0" w:space="0" w:color="auto"/>
          </w:divBdr>
        </w:div>
        <w:div w:id="175002136">
          <w:marLeft w:val="480"/>
          <w:marRight w:val="0"/>
          <w:marTop w:val="0"/>
          <w:marBottom w:val="0"/>
          <w:divBdr>
            <w:top w:val="none" w:sz="0" w:space="0" w:color="auto"/>
            <w:left w:val="none" w:sz="0" w:space="0" w:color="auto"/>
            <w:bottom w:val="none" w:sz="0" w:space="0" w:color="auto"/>
            <w:right w:val="none" w:sz="0" w:space="0" w:color="auto"/>
          </w:divBdr>
        </w:div>
        <w:div w:id="334191360">
          <w:marLeft w:val="480"/>
          <w:marRight w:val="0"/>
          <w:marTop w:val="0"/>
          <w:marBottom w:val="0"/>
          <w:divBdr>
            <w:top w:val="none" w:sz="0" w:space="0" w:color="auto"/>
            <w:left w:val="none" w:sz="0" w:space="0" w:color="auto"/>
            <w:bottom w:val="none" w:sz="0" w:space="0" w:color="auto"/>
            <w:right w:val="none" w:sz="0" w:space="0" w:color="auto"/>
          </w:divBdr>
        </w:div>
        <w:div w:id="1161508768">
          <w:marLeft w:val="480"/>
          <w:marRight w:val="0"/>
          <w:marTop w:val="0"/>
          <w:marBottom w:val="0"/>
          <w:divBdr>
            <w:top w:val="none" w:sz="0" w:space="0" w:color="auto"/>
            <w:left w:val="none" w:sz="0" w:space="0" w:color="auto"/>
            <w:bottom w:val="none" w:sz="0" w:space="0" w:color="auto"/>
            <w:right w:val="none" w:sz="0" w:space="0" w:color="auto"/>
          </w:divBdr>
        </w:div>
        <w:div w:id="2123837361">
          <w:marLeft w:val="480"/>
          <w:marRight w:val="0"/>
          <w:marTop w:val="0"/>
          <w:marBottom w:val="0"/>
          <w:divBdr>
            <w:top w:val="none" w:sz="0" w:space="0" w:color="auto"/>
            <w:left w:val="none" w:sz="0" w:space="0" w:color="auto"/>
            <w:bottom w:val="none" w:sz="0" w:space="0" w:color="auto"/>
            <w:right w:val="none" w:sz="0" w:space="0" w:color="auto"/>
          </w:divBdr>
        </w:div>
        <w:div w:id="546114501">
          <w:marLeft w:val="480"/>
          <w:marRight w:val="0"/>
          <w:marTop w:val="0"/>
          <w:marBottom w:val="0"/>
          <w:divBdr>
            <w:top w:val="none" w:sz="0" w:space="0" w:color="auto"/>
            <w:left w:val="none" w:sz="0" w:space="0" w:color="auto"/>
            <w:bottom w:val="none" w:sz="0" w:space="0" w:color="auto"/>
            <w:right w:val="none" w:sz="0" w:space="0" w:color="auto"/>
          </w:divBdr>
        </w:div>
        <w:div w:id="238444894">
          <w:marLeft w:val="480"/>
          <w:marRight w:val="0"/>
          <w:marTop w:val="0"/>
          <w:marBottom w:val="0"/>
          <w:divBdr>
            <w:top w:val="none" w:sz="0" w:space="0" w:color="auto"/>
            <w:left w:val="none" w:sz="0" w:space="0" w:color="auto"/>
            <w:bottom w:val="none" w:sz="0" w:space="0" w:color="auto"/>
            <w:right w:val="none" w:sz="0" w:space="0" w:color="auto"/>
          </w:divBdr>
        </w:div>
        <w:div w:id="2033333638">
          <w:marLeft w:val="480"/>
          <w:marRight w:val="0"/>
          <w:marTop w:val="0"/>
          <w:marBottom w:val="0"/>
          <w:divBdr>
            <w:top w:val="none" w:sz="0" w:space="0" w:color="auto"/>
            <w:left w:val="none" w:sz="0" w:space="0" w:color="auto"/>
            <w:bottom w:val="none" w:sz="0" w:space="0" w:color="auto"/>
            <w:right w:val="none" w:sz="0" w:space="0" w:color="auto"/>
          </w:divBdr>
        </w:div>
        <w:div w:id="1677271221">
          <w:marLeft w:val="480"/>
          <w:marRight w:val="0"/>
          <w:marTop w:val="0"/>
          <w:marBottom w:val="0"/>
          <w:divBdr>
            <w:top w:val="none" w:sz="0" w:space="0" w:color="auto"/>
            <w:left w:val="none" w:sz="0" w:space="0" w:color="auto"/>
            <w:bottom w:val="none" w:sz="0" w:space="0" w:color="auto"/>
            <w:right w:val="none" w:sz="0" w:space="0" w:color="auto"/>
          </w:divBdr>
        </w:div>
        <w:div w:id="1468818717">
          <w:marLeft w:val="480"/>
          <w:marRight w:val="0"/>
          <w:marTop w:val="0"/>
          <w:marBottom w:val="0"/>
          <w:divBdr>
            <w:top w:val="none" w:sz="0" w:space="0" w:color="auto"/>
            <w:left w:val="none" w:sz="0" w:space="0" w:color="auto"/>
            <w:bottom w:val="none" w:sz="0" w:space="0" w:color="auto"/>
            <w:right w:val="none" w:sz="0" w:space="0" w:color="auto"/>
          </w:divBdr>
        </w:div>
        <w:div w:id="931860060">
          <w:marLeft w:val="480"/>
          <w:marRight w:val="0"/>
          <w:marTop w:val="0"/>
          <w:marBottom w:val="0"/>
          <w:divBdr>
            <w:top w:val="none" w:sz="0" w:space="0" w:color="auto"/>
            <w:left w:val="none" w:sz="0" w:space="0" w:color="auto"/>
            <w:bottom w:val="none" w:sz="0" w:space="0" w:color="auto"/>
            <w:right w:val="none" w:sz="0" w:space="0" w:color="auto"/>
          </w:divBdr>
        </w:div>
        <w:div w:id="1569727251">
          <w:marLeft w:val="480"/>
          <w:marRight w:val="0"/>
          <w:marTop w:val="0"/>
          <w:marBottom w:val="0"/>
          <w:divBdr>
            <w:top w:val="none" w:sz="0" w:space="0" w:color="auto"/>
            <w:left w:val="none" w:sz="0" w:space="0" w:color="auto"/>
            <w:bottom w:val="none" w:sz="0" w:space="0" w:color="auto"/>
            <w:right w:val="none" w:sz="0" w:space="0" w:color="auto"/>
          </w:divBdr>
        </w:div>
        <w:div w:id="741634365">
          <w:marLeft w:val="480"/>
          <w:marRight w:val="0"/>
          <w:marTop w:val="0"/>
          <w:marBottom w:val="0"/>
          <w:divBdr>
            <w:top w:val="none" w:sz="0" w:space="0" w:color="auto"/>
            <w:left w:val="none" w:sz="0" w:space="0" w:color="auto"/>
            <w:bottom w:val="none" w:sz="0" w:space="0" w:color="auto"/>
            <w:right w:val="none" w:sz="0" w:space="0" w:color="auto"/>
          </w:divBdr>
        </w:div>
        <w:div w:id="1668630622">
          <w:marLeft w:val="480"/>
          <w:marRight w:val="0"/>
          <w:marTop w:val="0"/>
          <w:marBottom w:val="0"/>
          <w:divBdr>
            <w:top w:val="none" w:sz="0" w:space="0" w:color="auto"/>
            <w:left w:val="none" w:sz="0" w:space="0" w:color="auto"/>
            <w:bottom w:val="none" w:sz="0" w:space="0" w:color="auto"/>
            <w:right w:val="none" w:sz="0" w:space="0" w:color="auto"/>
          </w:divBdr>
        </w:div>
        <w:div w:id="1434596085">
          <w:marLeft w:val="480"/>
          <w:marRight w:val="0"/>
          <w:marTop w:val="0"/>
          <w:marBottom w:val="0"/>
          <w:divBdr>
            <w:top w:val="none" w:sz="0" w:space="0" w:color="auto"/>
            <w:left w:val="none" w:sz="0" w:space="0" w:color="auto"/>
            <w:bottom w:val="none" w:sz="0" w:space="0" w:color="auto"/>
            <w:right w:val="none" w:sz="0" w:space="0" w:color="auto"/>
          </w:divBdr>
        </w:div>
        <w:div w:id="1996563963">
          <w:marLeft w:val="480"/>
          <w:marRight w:val="0"/>
          <w:marTop w:val="0"/>
          <w:marBottom w:val="0"/>
          <w:divBdr>
            <w:top w:val="none" w:sz="0" w:space="0" w:color="auto"/>
            <w:left w:val="none" w:sz="0" w:space="0" w:color="auto"/>
            <w:bottom w:val="none" w:sz="0" w:space="0" w:color="auto"/>
            <w:right w:val="none" w:sz="0" w:space="0" w:color="auto"/>
          </w:divBdr>
        </w:div>
        <w:div w:id="743067858">
          <w:marLeft w:val="480"/>
          <w:marRight w:val="0"/>
          <w:marTop w:val="0"/>
          <w:marBottom w:val="0"/>
          <w:divBdr>
            <w:top w:val="none" w:sz="0" w:space="0" w:color="auto"/>
            <w:left w:val="none" w:sz="0" w:space="0" w:color="auto"/>
            <w:bottom w:val="none" w:sz="0" w:space="0" w:color="auto"/>
            <w:right w:val="none" w:sz="0" w:space="0" w:color="auto"/>
          </w:divBdr>
        </w:div>
        <w:div w:id="956446122">
          <w:marLeft w:val="480"/>
          <w:marRight w:val="0"/>
          <w:marTop w:val="0"/>
          <w:marBottom w:val="0"/>
          <w:divBdr>
            <w:top w:val="none" w:sz="0" w:space="0" w:color="auto"/>
            <w:left w:val="none" w:sz="0" w:space="0" w:color="auto"/>
            <w:bottom w:val="none" w:sz="0" w:space="0" w:color="auto"/>
            <w:right w:val="none" w:sz="0" w:space="0" w:color="auto"/>
          </w:divBdr>
        </w:div>
        <w:div w:id="1695185692">
          <w:marLeft w:val="480"/>
          <w:marRight w:val="0"/>
          <w:marTop w:val="0"/>
          <w:marBottom w:val="0"/>
          <w:divBdr>
            <w:top w:val="none" w:sz="0" w:space="0" w:color="auto"/>
            <w:left w:val="none" w:sz="0" w:space="0" w:color="auto"/>
            <w:bottom w:val="none" w:sz="0" w:space="0" w:color="auto"/>
            <w:right w:val="none" w:sz="0" w:space="0" w:color="auto"/>
          </w:divBdr>
        </w:div>
        <w:div w:id="305626488">
          <w:marLeft w:val="480"/>
          <w:marRight w:val="0"/>
          <w:marTop w:val="0"/>
          <w:marBottom w:val="0"/>
          <w:divBdr>
            <w:top w:val="none" w:sz="0" w:space="0" w:color="auto"/>
            <w:left w:val="none" w:sz="0" w:space="0" w:color="auto"/>
            <w:bottom w:val="none" w:sz="0" w:space="0" w:color="auto"/>
            <w:right w:val="none" w:sz="0" w:space="0" w:color="auto"/>
          </w:divBdr>
        </w:div>
        <w:div w:id="360866099">
          <w:marLeft w:val="480"/>
          <w:marRight w:val="0"/>
          <w:marTop w:val="0"/>
          <w:marBottom w:val="0"/>
          <w:divBdr>
            <w:top w:val="none" w:sz="0" w:space="0" w:color="auto"/>
            <w:left w:val="none" w:sz="0" w:space="0" w:color="auto"/>
            <w:bottom w:val="none" w:sz="0" w:space="0" w:color="auto"/>
            <w:right w:val="none" w:sz="0" w:space="0" w:color="auto"/>
          </w:divBdr>
        </w:div>
        <w:div w:id="2062055070">
          <w:marLeft w:val="480"/>
          <w:marRight w:val="0"/>
          <w:marTop w:val="0"/>
          <w:marBottom w:val="0"/>
          <w:divBdr>
            <w:top w:val="none" w:sz="0" w:space="0" w:color="auto"/>
            <w:left w:val="none" w:sz="0" w:space="0" w:color="auto"/>
            <w:bottom w:val="none" w:sz="0" w:space="0" w:color="auto"/>
            <w:right w:val="none" w:sz="0" w:space="0" w:color="auto"/>
          </w:divBdr>
        </w:div>
        <w:div w:id="868109416">
          <w:marLeft w:val="480"/>
          <w:marRight w:val="0"/>
          <w:marTop w:val="0"/>
          <w:marBottom w:val="0"/>
          <w:divBdr>
            <w:top w:val="none" w:sz="0" w:space="0" w:color="auto"/>
            <w:left w:val="none" w:sz="0" w:space="0" w:color="auto"/>
            <w:bottom w:val="none" w:sz="0" w:space="0" w:color="auto"/>
            <w:right w:val="none" w:sz="0" w:space="0" w:color="auto"/>
          </w:divBdr>
        </w:div>
        <w:div w:id="1663238469">
          <w:marLeft w:val="480"/>
          <w:marRight w:val="0"/>
          <w:marTop w:val="0"/>
          <w:marBottom w:val="0"/>
          <w:divBdr>
            <w:top w:val="none" w:sz="0" w:space="0" w:color="auto"/>
            <w:left w:val="none" w:sz="0" w:space="0" w:color="auto"/>
            <w:bottom w:val="none" w:sz="0" w:space="0" w:color="auto"/>
            <w:right w:val="none" w:sz="0" w:space="0" w:color="auto"/>
          </w:divBdr>
        </w:div>
        <w:div w:id="1245187452">
          <w:marLeft w:val="480"/>
          <w:marRight w:val="0"/>
          <w:marTop w:val="0"/>
          <w:marBottom w:val="0"/>
          <w:divBdr>
            <w:top w:val="none" w:sz="0" w:space="0" w:color="auto"/>
            <w:left w:val="none" w:sz="0" w:space="0" w:color="auto"/>
            <w:bottom w:val="none" w:sz="0" w:space="0" w:color="auto"/>
            <w:right w:val="none" w:sz="0" w:space="0" w:color="auto"/>
          </w:divBdr>
        </w:div>
        <w:div w:id="1539472815">
          <w:marLeft w:val="480"/>
          <w:marRight w:val="0"/>
          <w:marTop w:val="0"/>
          <w:marBottom w:val="0"/>
          <w:divBdr>
            <w:top w:val="none" w:sz="0" w:space="0" w:color="auto"/>
            <w:left w:val="none" w:sz="0" w:space="0" w:color="auto"/>
            <w:bottom w:val="none" w:sz="0" w:space="0" w:color="auto"/>
            <w:right w:val="none" w:sz="0" w:space="0" w:color="auto"/>
          </w:divBdr>
        </w:div>
        <w:div w:id="1166021966">
          <w:marLeft w:val="480"/>
          <w:marRight w:val="0"/>
          <w:marTop w:val="0"/>
          <w:marBottom w:val="0"/>
          <w:divBdr>
            <w:top w:val="none" w:sz="0" w:space="0" w:color="auto"/>
            <w:left w:val="none" w:sz="0" w:space="0" w:color="auto"/>
            <w:bottom w:val="none" w:sz="0" w:space="0" w:color="auto"/>
            <w:right w:val="none" w:sz="0" w:space="0" w:color="auto"/>
          </w:divBdr>
        </w:div>
        <w:div w:id="1408578361">
          <w:marLeft w:val="480"/>
          <w:marRight w:val="0"/>
          <w:marTop w:val="0"/>
          <w:marBottom w:val="0"/>
          <w:divBdr>
            <w:top w:val="none" w:sz="0" w:space="0" w:color="auto"/>
            <w:left w:val="none" w:sz="0" w:space="0" w:color="auto"/>
            <w:bottom w:val="none" w:sz="0" w:space="0" w:color="auto"/>
            <w:right w:val="none" w:sz="0" w:space="0" w:color="auto"/>
          </w:divBdr>
        </w:div>
        <w:div w:id="426273224">
          <w:marLeft w:val="480"/>
          <w:marRight w:val="0"/>
          <w:marTop w:val="0"/>
          <w:marBottom w:val="0"/>
          <w:divBdr>
            <w:top w:val="none" w:sz="0" w:space="0" w:color="auto"/>
            <w:left w:val="none" w:sz="0" w:space="0" w:color="auto"/>
            <w:bottom w:val="none" w:sz="0" w:space="0" w:color="auto"/>
            <w:right w:val="none" w:sz="0" w:space="0" w:color="auto"/>
          </w:divBdr>
        </w:div>
        <w:div w:id="1241721256">
          <w:marLeft w:val="480"/>
          <w:marRight w:val="0"/>
          <w:marTop w:val="0"/>
          <w:marBottom w:val="0"/>
          <w:divBdr>
            <w:top w:val="none" w:sz="0" w:space="0" w:color="auto"/>
            <w:left w:val="none" w:sz="0" w:space="0" w:color="auto"/>
            <w:bottom w:val="none" w:sz="0" w:space="0" w:color="auto"/>
            <w:right w:val="none" w:sz="0" w:space="0" w:color="auto"/>
          </w:divBdr>
        </w:div>
        <w:div w:id="428741111">
          <w:marLeft w:val="480"/>
          <w:marRight w:val="0"/>
          <w:marTop w:val="0"/>
          <w:marBottom w:val="0"/>
          <w:divBdr>
            <w:top w:val="none" w:sz="0" w:space="0" w:color="auto"/>
            <w:left w:val="none" w:sz="0" w:space="0" w:color="auto"/>
            <w:bottom w:val="none" w:sz="0" w:space="0" w:color="auto"/>
            <w:right w:val="none" w:sz="0" w:space="0" w:color="auto"/>
          </w:divBdr>
        </w:div>
        <w:div w:id="1306081282">
          <w:marLeft w:val="480"/>
          <w:marRight w:val="0"/>
          <w:marTop w:val="0"/>
          <w:marBottom w:val="0"/>
          <w:divBdr>
            <w:top w:val="none" w:sz="0" w:space="0" w:color="auto"/>
            <w:left w:val="none" w:sz="0" w:space="0" w:color="auto"/>
            <w:bottom w:val="none" w:sz="0" w:space="0" w:color="auto"/>
            <w:right w:val="none" w:sz="0" w:space="0" w:color="auto"/>
          </w:divBdr>
        </w:div>
        <w:div w:id="1254044912">
          <w:marLeft w:val="480"/>
          <w:marRight w:val="0"/>
          <w:marTop w:val="0"/>
          <w:marBottom w:val="0"/>
          <w:divBdr>
            <w:top w:val="none" w:sz="0" w:space="0" w:color="auto"/>
            <w:left w:val="none" w:sz="0" w:space="0" w:color="auto"/>
            <w:bottom w:val="none" w:sz="0" w:space="0" w:color="auto"/>
            <w:right w:val="none" w:sz="0" w:space="0" w:color="auto"/>
          </w:divBdr>
        </w:div>
        <w:div w:id="1848982797">
          <w:marLeft w:val="480"/>
          <w:marRight w:val="0"/>
          <w:marTop w:val="0"/>
          <w:marBottom w:val="0"/>
          <w:divBdr>
            <w:top w:val="none" w:sz="0" w:space="0" w:color="auto"/>
            <w:left w:val="none" w:sz="0" w:space="0" w:color="auto"/>
            <w:bottom w:val="none" w:sz="0" w:space="0" w:color="auto"/>
            <w:right w:val="none" w:sz="0" w:space="0" w:color="auto"/>
          </w:divBdr>
        </w:div>
        <w:div w:id="1074158646">
          <w:marLeft w:val="480"/>
          <w:marRight w:val="0"/>
          <w:marTop w:val="0"/>
          <w:marBottom w:val="0"/>
          <w:divBdr>
            <w:top w:val="none" w:sz="0" w:space="0" w:color="auto"/>
            <w:left w:val="none" w:sz="0" w:space="0" w:color="auto"/>
            <w:bottom w:val="none" w:sz="0" w:space="0" w:color="auto"/>
            <w:right w:val="none" w:sz="0" w:space="0" w:color="auto"/>
          </w:divBdr>
        </w:div>
        <w:div w:id="831144908">
          <w:marLeft w:val="480"/>
          <w:marRight w:val="0"/>
          <w:marTop w:val="0"/>
          <w:marBottom w:val="0"/>
          <w:divBdr>
            <w:top w:val="none" w:sz="0" w:space="0" w:color="auto"/>
            <w:left w:val="none" w:sz="0" w:space="0" w:color="auto"/>
            <w:bottom w:val="none" w:sz="0" w:space="0" w:color="auto"/>
            <w:right w:val="none" w:sz="0" w:space="0" w:color="auto"/>
          </w:divBdr>
        </w:div>
        <w:div w:id="248270625">
          <w:marLeft w:val="480"/>
          <w:marRight w:val="0"/>
          <w:marTop w:val="0"/>
          <w:marBottom w:val="0"/>
          <w:divBdr>
            <w:top w:val="none" w:sz="0" w:space="0" w:color="auto"/>
            <w:left w:val="none" w:sz="0" w:space="0" w:color="auto"/>
            <w:bottom w:val="none" w:sz="0" w:space="0" w:color="auto"/>
            <w:right w:val="none" w:sz="0" w:space="0" w:color="auto"/>
          </w:divBdr>
        </w:div>
        <w:div w:id="1035228702">
          <w:marLeft w:val="480"/>
          <w:marRight w:val="0"/>
          <w:marTop w:val="0"/>
          <w:marBottom w:val="0"/>
          <w:divBdr>
            <w:top w:val="none" w:sz="0" w:space="0" w:color="auto"/>
            <w:left w:val="none" w:sz="0" w:space="0" w:color="auto"/>
            <w:bottom w:val="none" w:sz="0" w:space="0" w:color="auto"/>
            <w:right w:val="none" w:sz="0" w:space="0" w:color="auto"/>
          </w:divBdr>
        </w:div>
        <w:div w:id="1570653700">
          <w:marLeft w:val="480"/>
          <w:marRight w:val="0"/>
          <w:marTop w:val="0"/>
          <w:marBottom w:val="0"/>
          <w:divBdr>
            <w:top w:val="none" w:sz="0" w:space="0" w:color="auto"/>
            <w:left w:val="none" w:sz="0" w:space="0" w:color="auto"/>
            <w:bottom w:val="none" w:sz="0" w:space="0" w:color="auto"/>
            <w:right w:val="none" w:sz="0" w:space="0" w:color="auto"/>
          </w:divBdr>
        </w:div>
        <w:div w:id="629478056">
          <w:marLeft w:val="480"/>
          <w:marRight w:val="0"/>
          <w:marTop w:val="0"/>
          <w:marBottom w:val="0"/>
          <w:divBdr>
            <w:top w:val="none" w:sz="0" w:space="0" w:color="auto"/>
            <w:left w:val="none" w:sz="0" w:space="0" w:color="auto"/>
            <w:bottom w:val="none" w:sz="0" w:space="0" w:color="auto"/>
            <w:right w:val="none" w:sz="0" w:space="0" w:color="auto"/>
          </w:divBdr>
        </w:div>
        <w:div w:id="1410344900">
          <w:marLeft w:val="480"/>
          <w:marRight w:val="0"/>
          <w:marTop w:val="0"/>
          <w:marBottom w:val="0"/>
          <w:divBdr>
            <w:top w:val="none" w:sz="0" w:space="0" w:color="auto"/>
            <w:left w:val="none" w:sz="0" w:space="0" w:color="auto"/>
            <w:bottom w:val="none" w:sz="0" w:space="0" w:color="auto"/>
            <w:right w:val="none" w:sz="0" w:space="0" w:color="auto"/>
          </w:divBdr>
        </w:div>
        <w:div w:id="440300289">
          <w:marLeft w:val="480"/>
          <w:marRight w:val="0"/>
          <w:marTop w:val="0"/>
          <w:marBottom w:val="0"/>
          <w:divBdr>
            <w:top w:val="none" w:sz="0" w:space="0" w:color="auto"/>
            <w:left w:val="none" w:sz="0" w:space="0" w:color="auto"/>
            <w:bottom w:val="none" w:sz="0" w:space="0" w:color="auto"/>
            <w:right w:val="none" w:sz="0" w:space="0" w:color="auto"/>
          </w:divBdr>
        </w:div>
        <w:div w:id="436876100">
          <w:marLeft w:val="480"/>
          <w:marRight w:val="0"/>
          <w:marTop w:val="0"/>
          <w:marBottom w:val="0"/>
          <w:divBdr>
            <w:top w:val="none" w:sz="0" w:space="0" w:color="auto"/>
            <w:left w:val="none" w:sz="0" w:space="0" w:color="auto"/>
            <w:bottom w:val="none" w:sz="0" w:space="0" w:color="auto"/>
            <w:right w:val="none" w:sz="0" w:space="0" w:color="auto"/>
          </w:divBdr>
        </w:div>
        <w:div w:id="1025711319">
          <w:marLeft w:val="480"/>
          <w:marRight w:val="0"/>
          <w:marTop w:val="0"/>
          <w:marBottom w:val="0"/>
          <w:divBdr>
            <w:top w:val="none" w:sz="0" w:space="0" w:color="auto"/>
            <w:left w:val="none" w:sz="0" w:space="0" w:color="auto"/>
            <w:bottom w:val="none" w:sz="0" w:space="0" w:color="auto"/>
            <w:right w:val="none" w:sz="0" w:space="0" w:color="auto"/>
          </w:divBdr>
        </w:div>
        <w:div w:id="1794053219">
          <w:marLeft w:val="480"/>
          <w:marRight w:val="0"/>
          <w:marTop w:val="0"/>
          <w:marBottom w:val="0"/>
          <w:divBdr>
            <w:top w:val="none" w:sz="0" w:space="0" w:color="auto"/>
            <w:left w:val="none" w:sz="0" w:space="0" w:color="auto"/>
            <w:bottom w:val="none" w:sz="0" w:space="0" w:color="auto"/>
            <w:right w:val="none" w:sz="0" w:space="0" w:color="auto"/>
          </w:divBdr>
        </w:div>
        <w:div w:id="556673422">
          <w:marLeft w:val="480"/>
          <w:marRight w:val="0"/>
          <w:marTop w:val="0"/>
          <w:marBottom w:val="0"/>
          <w:divBdr>
            <w:top w:val="none" w:sz="0" w:space="0" w:color="auto"/>
            <w:left w:val="none" w:sz="0" w:space="0" w:color="auto"/>
            <w:bottom w:val="none" w:sz="0" w:space="0" w:color="auto"/>
            <w:right w:val="none" w:sz="0" w:space="0" w:color="auto"/>
          </w:divBdr>
        </w:div>
        <w:div w:id="1170830491">
          <w:marLeft w:val="480"/>
          <w:marRight w:val="0"/>
          <w:marTop w:val="0"/>
          <w:marBottom w:val="0"/>
          <w:divBdr>
            <w:top w:val="none" w:sz="0" w:space="0" w:color="auto"/>
            <w:left w:val="none" w:sz="0" w:space="0" w:color="auto"/>
            <w:bottom w:val="none" w:sz="0" w:space="0" w:color="auto"/>
            <w:right w:val="none" w:sz="0" w:space="0" w:color="auto"/>
          </w:divBdr>
        </w:div>
        <w:div w:id="124084144">
          <w:marLeft w:val="480"/>
          <w:marRight w:val="0"/>
          <w:marTop w:val="0"/>
          <w:marBottom w:val="0"/>
          <w:divBdr>
            <w:top w:val="none" w:sz="0" w:space="0" w:color="auto"/>
            <w:left w:val="none" w:sz="0" w:space="0" w:color="auto"/>
            <w:bottom w:val="none" w:sz="0" w:space="0" w:color="auto"/>
            <w:right w:val="none" w:sz="0" w:space="0" w:color="auto"/>
          </w:divBdr>
        </w:div>
        <w:div w:id="178392913">
          <w:marLeft w:val="480"/>
          <w:marRight w:val="0"/>
          <w:marTop w:val="0"/>
          <w:marBottom w:val="0"/>
          <w:divBdr>
            <w:top w:val="none" w:sz="0" w:space="0" w:color="auto"/>
            <w:left w:val="none" w:sz="0" w:space="0" w:color="auto"/>
            <w:bottom w:val="none" w:sz="0" w:space="0" w:color="auto"/>
            <w:right w:val="none" w:sz="0" w:space="0" w:color="auto"/>
          </w:divBdr>
        </w:div>
        <w:div w:id="461655677">
          <w:marLeft w:val="480"/>
          <w:marRight w:val="0"/>
          <w:marTop w:val="0"/>
          <w:marBottom w:val="0"/>
          <w:divBdr>
            <w:top w:val="none" w:sz="0" w:space="0" w:color="auto"/>
            <w:left w:val="none" w:sz="0" w:space="0" w:color="auto"/>
            <w:bottom w:val="none" w:sz="0" w:space="0" w:color="auto"/>
            <w:right w:val="none" w:sz="0" w:space="0" w:color="auto"/>
          </w:divBdr>
        </w:div>
        <w:div w:id="747192680">
          <w:marLeft w:val="480"/>
          <w:marRight w:val="0"/>
          <w:marTop w:val="0"/>
          <w:marBottom w:val="0"/>
          <w:divBdr>
            <w:top w:val="none" w:sz="0" w:space="0" w:color="auto"/>
            <w:left w:val="none" w:sz="0" w:space="0" w:color="auto"/>
            <w:bottom w:val="none" w:sz="0" w:space="0" w:color="auto"/>
            <w:right w:val="none" w:sz="0" w:space="0" w:color="auto"/>
          </w:divBdr>
        </w:div>
        <w:div w:id="1394505505">
          <w:marLeft w:val="480"/>
          <w:marRight w:val="0"/>
          <w:marTop w:val="0"/>
          <w:marBottom w:val="0"/>
          <w:divBdr>
            <w:top w:val="none" w:sz="0" w:space="0" w:color="auto"/>
            <w:left w:val="none" w:sz="0" w:space="0" w:color="auto"/>
            <w:bottom w:val="none" w:sz="0" w:space="0" w:color="auto"/>
            <w:right w:val="none" w:sz="0" w:space="0" w:color="auto"/>
          </w:divBdr>
        </w:div>
        <w:div w:id="1548756601">
          <w:marLeft w:val="480"/>
          <w:marRight w:val="0"/>
          <w:marTop w:val="0"/>
          <w:marBottom w:val="0"/>
          <w:divBdr>
            <w:top w:val="none" w:sz="0" w:space="0" w:color="auto"/>
            <w:left w:val="none" w:sz="0" w:space="0" w:color="auto"/>
            <w:bottom w:val="none" w:sz="0" w:space="0" w:color="auto"/>
            <w:right w:val="none" w:sz="0" w:space="0" w:color="auto"/>
          </w:divBdr>
        </w:div>
        <w:div w:id="2027318797">
          <w:marLeft w:val="480"/>
          <w:marRight w:val="0"/>
          <w:marTop w:val="0"/>
          <w:marBottom w:val="0"/>
          <w:divBdr>
            <w:top w:val="none" w:sz="0" w:space="0" w:color="auto"/>
            <w:left w:val="none" w:sz="0" w:space="0" w:color="auto"/>
            <w:bottom w:val="none" w:sz="0" w:space="0" w:color="auto"/>
            <w:right w:val="none" w:sz="0" w:space="0" w:color="auto"/>
          </w:divBdr>
        </w:div>
        <w:div w:id="199632418">
          <w:marLeft w:val="480"/>
          <w:marRight w:val="0"/>
          <w:marTop w:val="0"/>
          <w:marBottom w:val="0"/>
          <w:divBdr>
            <w:top w:val="none" w:sz="0" w:space="0" w:color="auto"/>
            <w:left w:val="none" w:sz="0" w:space="0" w:color="auto"/>
            <w:bottom w:val="none" w:sz="0" w:space="0" w:color="auto"/>
            <w:right w:val="none" w:sz="0" w:space="0" w:color="auto"/>
          </w:divBdr>
        </w:div>
        <w:div w:id="1765177373">
          <w:marLeft w:val="480"/>
          <w:marRight w:val="0"/>
          <w:marTop w:val="0"/>
          <w:marBottom w:val="0"/>
          <w:divBdr>
            <w:top w:val="none" w:sz="0" w:space="0" w:color="auto"/>
            <w:left w:val="none" w:sz="0" w:space="0" w:color="auto"/>
            <w:bottom w:val="none" w:sz="0" w:space="0" w:color="auto"/>
            <w:right w:val="none" w:sz="0" w:space="0" w:color="auto"/>
          </w:divBdr>
        </w:div>
        <w:div w:id="269776276">
          <w:marLeft w:val="480"/>
          <w:marRight w:val="0"/>
          <w:marTop w:val="0"/>
          <w:marBottom w:val="0"/>
          <w:divBdr>
            <w:top w:val="none" w:sz="0" w:space="0" w:color="auto"/>
            <w:left w:val="none" w:sz="0" w:space="0" w:color="auto"/>
            <w:bottom w:val="none" w:sz="0" w:space="0" w:color="auto"/>
            <w:right w:val="none" w:sz="0" w:space="0" w:color="auto"/>
          </w:divBdr>
        </w:div>
        <w:div w:id="1777097747">
          <w:marLeft w:val="480"/>
          <w:marRight w:val="0"/>
          <w:marTop w:val="0"/>
          <w:marBottom w:val="0"/>
          <w:divBdr>
            <w:top w:val="none" w:sz="0" w:space="0" w:color="auto"/>
            <w:left w:val="none" w:sz="0" w:space="0" w:color="auto"/>
            <w:bottom w:val="none" w:sz="0" w:space="0" w:color="auto"/>
            <w:right w:val="none" w:sz="0" w:space="0" w:color="auto"/>
          </w:divBdr>
        </w:div>
        <w:div w:id="1597246575">
          <w:marLeft w:val="480"/>
          <w:marRight w:val="0"/>
          <w:marTop w:val="0"/>
          <w:marBottom w:val="0"/>
          <w:divBdr>
            <w:top w:val="none" w:sz="0" w:space="0" w:color="auto"/>
            <w:left w:val="none" w:sz="0" w:space="0" w:color="auto"/>
            <w:bottom w:val="none" w:sz="0" w:space="0" w:color="auto"/>
            <w:right w:val="none" w:sz="0" w:space="0" w:color="auto"/>
          </w:divBdr>
        </w:div>
        <w:div w:id="446392939">
          <w:marLeft w:val="480"/>
          <w:marRight w:val="0"/>
          <w:marTop w:val="0"/>
          <w:marBottom w:val="0"/>
          <w:divBdr>
            <w:top w:val="none" w:sz="0" w:space="0" w:color="auto"/>
            <w:left w:val="none" w:sz="0" w:space="0" w:color="auto"/>
            <w:bottom w:val="none" w:sz="0" w:space="0" w:color="auto"/>
            <w:right w:val="none" w:sz="0" w:space="0" w:color="auto"/>
          </w:divBdr>
        </w:div>
        <w:div w:id="1100834741">
          <w:marLeft w:val="480"/>
          <w:marRight w:val="0"/>
          <w:marTop w:val="0"/>
          <w:marBottom w:val="0"/>
          <w:divBdr>
            <w:top w:val="none" w:sz="0" w:space="0" w:color="auto"/>
            <w:left w:val="none" w:sz="0" w:space="0" w:color="auto"/>
            <w:bottom w:val="none" w:sz="0" w:space="0" w:color="auto"/>
            <w:right w:val="none" w:sz="0" w:space="0" w:color="auto"/>
          </w:divBdr>
        </w:div>
        <w:div w:id="846286276">
          <w:marLeft w:val="480"/>
          <w:marRight w:val="0"/>
          <w:marTop w:val="0"/>
          <w:marBottom w:val="0"/>
          <w:divBdr>
            <w:top w:val="none" w:sz="0" w:space="0" w:color="auto"/>
            <w:left w:val="none" w:sz="0" w:space="0" w:color="auto"/>
            <w:bottom w:val="none" w:sz="0" w:space="0" w:color="auto"/>
            <w:right w:val="none" w:sz="0" w:space="0" w:color="auto"/>
          </w:divBdr>
        </w:div>
        <w:div w:id="1765224179">
          <w:marLeft w:val="480"/>
          <w:marRight w:val="0"/>
          <w:marTop w:val="0"/>
          <w:marBottom w:val="0"/>
          <w:divBdr>
            <w:top w:val="none" w:sz="0" w:space="0" w:color="auto"/>
            <w:left w:val="none" w:sz="0" w:space="0" w:color="auto"/>
            <w:bottom w:val="none" w:sz="0" w:space="0" w:color="auto"/>
            <w:right w:val="none" w:sz="0" w:space="0" w:color="auto"/>
          </w:divBdr>
        </w:div>
        <w:div w:id="895552335">
          <w:marLeft w:val="480"/>
          <w:marRight w:val="0"/>
          <w:marTop w:val="0"/>
          <w:marBottom w:val="0"/>
          <w:divBdr>
            <w:top w:val="none" w:sz="0" w:space="0" w:color="auto"/>
            <w:left w:val="none" w:sz="0" w:space="0" w:color="auto"/>
            <w:bottom w:val="none" w:sz="0" w:space="0" w:color="auto"/>
            <w:right w:val="none" w:sz="0" w:space="0" w:color="auto"/>
          </w:divBdr>
        </w:div>
        <w:div w:id="1871139220">
          <w:marLeft w:val="480"/>
          <w:marRight w:val="0"/>
          <w:marTop w:val="0"/>
          <w:marBottom w:val="0"/>
          <w:divBdr>
            <w:top w:val="none" w:sz="0" w:space="0" w:color="auto"/>
            <w:left w:val="none" w:sz="0" w:space="0" w:color="auto"/>
            <w:bottom w:val="none" w:sz="0" w:space="0" w:color="auto"/>
            <w:right w:val="none" w:sz="0" w:space="0" w:color="auto"/>
          </w:divBdr>
        </w:div>
        <w:div w:id="1001280088">
          <w:marLeft w:val="480"/>
          <w:marRight w:val="0"/>
          <w:marTop w:val="0"/>
          <w:marBottom w:val="0"/>
          <w:divBdr>
            <w:top w:val="none" w:sz="0" w:space="0" w:color="auto"/>
            <w:left w:val="none" w:sz="0" w:space="0" w:color="auto"/>
            <w:bottom w:val="none" w:sz="0" w:space="0" w:color="auto"/>
            <w:right w:val="none" w:sz="0" w:space="0" w:color="auto"/>
          </w:divBdr>
        </w:div>
        <w:div w:id="517162476">
          <w:marLeft w:val="480"/>
          <w:marRight w:val="0"/>
          <w:marTop w:val="0"/>
          <w:marBottom w:val="0"/>
          <w:divBdr>
            <w:top w:val="none" w:sz="0" w:space="0" w:color="auto"/>
            <w:left w:val="none" w:sz="0" w:space="0" w:color="auto"/>
            <w:bottom w:val="none" w:sz="0" w:space="0" w:color="auto"/>
            <w:right w:val="none" w:sz="0" w:space="0" w:color="auto"/>
          </w:divBdr>
        </w:div>
        <w:div w:id="257562661">
          <w:marLeft w:val="480"/>
          <w:marRight w:val="0"/>
          <w:marTop w:val="0"/>
          <w:marBottom w:val="0"/>
          <w:divBdr>
            <w:top w:val="none" w:sz="0" w:space="0" w:color="auto"/>
            <w:left w:val="none" w:sz="0" w:space="0" w:color="auto"/>
            <w:bottom w:val="none" w:sz="0" w:space="0" w:color="auto"/>
            <w:right w:val="none" w:sz="0" w:space="0" w:color="auto"/>
          </w:divBdr>
        </w:div>
        <w:div w:id="1403018075">
          <w:marLeft w:val="480"/>
          <w:marRight w:val="0"/>
          <w:marTop w:val="0"/>
          <w:marBottom w:val="0"/>
          <w:divBdr>
            <w:top w:val="none" w:sz="0" w:space="0" w:color="auto"/>
            <w:left w:val="none" w:sz="0" w:space="0" w:color="auto"/>
            <w:bottom w:val="none" w:sz="0" w:space="0" w:color="auto"/>
            <w:right w:val="none" w:sz="0" w:space="0" w:color="auto"/>
          </w:divBdr>
        </w:div>
        <w:div w:id="1247962337">
          <w:marLeft w:val="480"/>
          <w:marRight w:val="0"/>
          <w:marTop w:val="0"/>
          <w:marBottom w:val="0"/>
          <w:divBdr>
            <w:top w:val="none" w:sz="0" w:space="0" w:color="auto"/>
            <w:left w:val="none" w:sz="0" w:space="0" w:color="auto"/>
            <w:bottom w:val="none" w:sz="0" w:space="0" w:color="auto"/>
            <w:right w:val="none" w:sz="0" w:space="0" w:color="auto"/>
          </w:divBdr>
        </w:div>
        <w:div w:id="1022631575">
          <w:marLeft w:val="480"/>
          <w:marRight w:val="0"/>
          <w:marTop w:val="0"/>
          <w:marBottom w:val="0"/>
          <w:divBdr>
            <w:top w:val="none" w:sz="0" w:space="0" w:color="auto"/>
            <w:left w:val="none" w:sz="0" w:space="0" w:color="auto"/>
            <w:bottom w:val="none" w:sz="0" w:space="0" w:color="auto"/>
            <w:right w:val="none" w:sz="0" w:space="0" w:color="auto"/>
          </w:divBdr>
        </w:div>
        <w:div w:id="610867159">
          <w:marLeft w:val="480"/>
          <w:marRight w:val="0"/>
          <w:marTop w:val="0"/>
          <w:marBottom w:val="0"/>
          <w:divBdr>
            <w:top w:val="none" w:sz="0" w:space="0" w:color="auto"/>
            <w:left w:val="none" w:sz="0" w:space="0" w:color="auto"/>
            <w:bottom w:val="none" w:sz="0" w:space="0" w:color="auto"/>
            <w:right w:val="none" w:sz="0" w:space="0" w:color="auto"/>
          </w:divBdr>
        </w:div>
        <w:div w:id="446973353">
          <w:marLeft w:val="480"/>
          <w:marRight w:val="0"/>
          <w:marTop w:val="0"/>
          <w:marBottom w:val="0"/>
          <w:divBdr>
            <w:top w:val="none" w:sz="0" w:space="0" w:color="auto"/>
            <w:left w:val="none" w:sz="0" w:space="0" w:color="auto"/>
            <w:bottom w:val="none" w:sz="0" w:space="0" w:color="auto"/>
            <w:right w:val="none" w:sz="0" w:space="0" w:color="auto"/>
          </w:divBdr>
        </w:div>
        <w:div w:id="3172859">
          <w:marLeft w:val="480"/>
          <w:marRight w:val="0"/>
          <w:marTop w:val="0"/>
          <w:marBottom w:val="0"/>
          <w:divBdr>
            <w:top w:val="none" w:sz="0" w:space="0" w:color="auto"/>
            <w:left w:val="none" w:sz="0" w:space="0" w:color="auto"/>
            <w:bottom w:val="none" w:sz="0" w:space="0" w:color="auto"/>
            <w:right w:val="none" w:sz="0" w:space="0" w:color="auto"/>
          </w:divBdr>
        </w:div>
        <w:div w:id="1626503848">
          <w:marLeft w:val="480"/>
          <w:marRight w:val="0"/>
          <w:marTop w:val="0"/>
          <w:marBottom w:val="0"/>
          <w:divBdr>
            <w:top w:val="none" w:sz="0" w:space="0" w:color="auto"/>
            <w:left w:val="none" w:sz="0" w:space="0" w:color="auto"/>
            <w:bottom w:val="none" w:sz="0" w:space="0" w:color="auto"/>
            <w:right w:val="none" w:sz="0" w:space="0" w:color="auto"/>
          </w:divBdr>
        </w:div>
        <w:div w:id="944649320">
          <w:marLeft w:val="480"/>
          <w:marRight w:val="0"/>
          <w:marTop w:val="0"/>
          <w:marBottom w:val="0"/>
          <w:divBdr>
            <w:top w:val="none" w:sz="0" w:space="0" w:color="auto"/>
            <w:left w:val="none" w:sz="0" w:space="0" w:color="auto"/>
            <w:bottom w:val="none" w:sz="0" w:space="0" w:color="auto"/>
            <w:right w:val="none" w:sz="0" w:space="0" w:color="auto"/>
          </w:divBdr>
        </w:div>
        <w:div w:id="395595048">
          <w:marLeft w:val="480"/>
          <w:marRight w:val="0"/>
          <w:marTop w:val="0"/>
          <w:marBottom w:val="0"/>
          <w:divBdr>
            <w:top w:val="none" w:sz="0" w:space="0" w:color="auto"/>
            <w:left w:val="none" w:sz="0" w:space="0" w:color="auto"/>
            <w:bottom w:val="none" w:sz="0" w:space="0" w:color="auto"/>
            <w:right w:val="none" w:sz="0" w:space="0" w:color="auto"/>
          </w:divBdr>
        </w:div>
        <w:div w:id="152988574">
          <w:marLeft w:val="480"/>
          <w:marRight w:val="0"/>
          <w:marTop w:val="0"/>
          <w:marBottom w:val="0"/>
          <w:divBdr>
            <w:top w:val="none" w:sz="0" w:space="0" w:color="auto"/>
            <w:left w:val="none" w:sz="0" w:space="0" w:color="auto"/>
            <w:bottom w:val="none" w:sz="0" w:space="0" w:color="auto"/>
            <w:right w:val="none" w:sz="0" w:space="0" w:color="auto"/>
          </w:divBdr>
        </w:div>
        <w:div w:id="825632468">
          <w:marLeft w:val="480"/>
          <w:marRight w:val="0"/>
          <w:marTop w:val="0"/>
          <w:marBottom w:val="0"/>
          <w:divBdr>
            <w:top w:val="none" w:sz="0" w:space="0" w:color="auto"/>
            <w:left w:val="none" w:sz="0" w:space="0" w:color="auto"/>
            <w:bottom w:val="none" w:sz="0" w:space="0" w:color="auto"/>
            <w:right w:val="none" w:sz="0" w:space="0" w:color="auto"/>
          </w:divBdr>
        </w:div>
        <w:div w:id="427772131">
          <w:marLeft w:val="480"/>
          <w:marRight w:val="0"/>
          <w:marTop w:val="0"/>
          <w:marBottom w:val="0"/>
          <w:divBdr>
            <w:top w:val="none" w:sz="0" w:space="0" w:color="auto"/>
            <w:left w:val="none" w:sz="0" w:space="0" w:color="auto"/>
            <w:bottom w:val="none" w:sz="0" w:space="0" w:color="auto"/>
            <w:right w:val="none" w:sz="0" w:space="0" w:color="auto"/>
          </w:divBdr>
        </w:div>
        <w:div w:id="928192487">
          <w:marLeft w:val="480"/>
          <w:marRight w:val="0"/>
          <w:marTop w:val="0"/>
          <w:marBottom w:val="0"/>
          <w:divBdr>
            <w:top w:val="none" w:sz="0" w:space="0" w:color="auto"/>
            <w:left w:val="none" w:sz="0" w:space="0" w:color="auto"/>
            <w:bottom w:val="none" w:sz="0" w:space="0" w:color="auto"/>
            <w:right w:val="none" w:sz="0" w:space="0" w:color="auto"/>
          </w:divBdr>
        </w:div>
        <w:div w:id="2123454657">
          <w:marLeft w:val="480"/>
          <w:marRight w:val="0"/>
          <w:marTop w:val="0"/>
          <w:marBottom w:val="0"/>
          <w:divBdr>
            <w:top w:val="none" w:sz="0" w:space="0" w:color="auto"/>
            <w:left w:val="none" w:sz="0" w:space="0" w:color="auto"/>
            <w:bottom w:val="none" w:sz="0" w:space="0" w:color="auto"/>
            <w:right w:val="none" w:sz="0" w:space="0" w:color="auto"/>
          </w:divBdr>
        </w:div>
        <w:div w:id="1953585431">
          <w:marLeft w:val="480"/>
          <w:marRight w:val="0"/>
          <w:marTop w:val="0"/>
          <w:marBottom w:val="0"/>
          <w:divBdr>
            <w:top w:val="none" w:sz="0" w:space="0" w:color="auto"/>
            <w:left w:val="none" w:sz="0" w:space="0" w:color="auto"/>
            <w:bottom w:val="none" w:sz="0" w:space="0" w:color="auto"/>
            <w:right w:val="none" w:sz="0" w:space="0" w:color="auto"/>
          </w:divBdr>
        </w:div>
        <w:div w:id="1834947508">
          <w:marLeft w:val="480"/>
          <w:marRight w:val="0"/>
          <w:marTop w:val="0"/>
          <w:marBottom w:val="0"/>
          <w:divBdr>
            <w:top w:val="none" w:sz="0" w:space="0" w:color="auto"/>
            <w:left w:val="none" w:sz="0" w:space="0" w:color="auto"/>
            <w:bottom w:val="none" w:sz="0" w:space="0" w:color="auto"/>
            <w:right w:val="none" w:sz="0" w:space="0" w:color="auto"/>
          </w:divBdr>
        </w:div>
        <w:div w:id="1854104374">
          <w:marLeft w:val="480"/>
          <w:marRight w:val="0"/>
          <w:marTop w:val="0"/>
          <w:marBottom w:val="0"/>
          <w:divBdr>
            <w:top w:val="none" w:sz="0" w:space="0" w:color="auto"/>
            <w:left w:val="none" w:sz="0" w:space="0" w:color="auto"/>
            <w:bottom w:val="none" w:sz="0" w:space="0" w:color="auto"/>
            <w:right w:val="none" w:sz="0" w:space="0" w:color="auto"/>
          </w:divBdr>
        </w:div>
        <w:div w:id="1002859419">
          <w:marLeft w:val="480"/>
          <w:marRight w:val="0"/>
          <w:marTop w:val="0"/>
          <w:marBottom w:val="0"/>
          <w:divBdr>
            <w:top w:val="none" w:sz="0" w:space="0" w:color="auto"/>
            <w:left w:val="none" w:sz="0" w:space="0" w:color="auto"/>
            <w:bottom w:val="none" w:sz="0" w:space="0" w:color="auto"/>
            <w:right w:val="none" w:sz="0" w:space="0" w:color="auto"/>
          </w:divBdr>
        </w:div>
        <w:div w:id="1336569835">
          <w:marLeft w:val="480"/>
          <w:marRight w:val="0"/>
          <w:marTop w:val="0"/>
          <w:marBottom w:val="0"/>
          <w:divBdr>
            <w:top w:val="none" w:sz="0" w:space="0" w:color="auto"/>
            <w:left w:val="none" w:sz="0" w:space="0" w:color="auto"/>
            <w:bottom w:val="none" w:sz="0" w:space="0" w:color="auto"/>
            <w:right w:val="none" w:sz="0" w:space="0" w:color="auto"/>
          </w:divBdr>
        </w:div>
        <w:div w:id="853886383">
          <w:marLeft w:val="480"/>
          <w:marRight w:val="0"/>
          <w:marTop w:val="0"/>
          <w:marBottom w:val="0"/>
          <w:divBdr>
            <w:top w:val="none" w:sz="0" w:space="0" w:color="auto"/>
            <w:left w:val="none" w:sz="0" w:space="0" w:color="auto"/>
            <w:bottom w:val="none" w:sz="0" w:space="0" w:color="auto"/>
            <w:right w:val="none" w:sz="0" w:space="0" w:color="auto"/>
          </w:divBdr>
        </w:div>
        <w:div w:id="1637756641">
          <w:marLeft w:val="480"/>
          <w:marRight w:val="0"/>
          <w:marTop w:val="0"/>
          <w:marBottom w:val="0"/>
          <w:divBdr>
            <w:top w:val="none" w:sz="0" w:space="0" w:color="auto"/>
            <w:left w:val="none" w:sz="0" w:space="0" w:color="auto"/>
            <w:bottom w:val="none" w:sz="0" w:space="0" w:color="auto"/>
            <w:right w:val="none" w:sz="0" w:space="0" w:color="auto"/>
          </w:divBdr>
        </w:div>
        <w:div w:id="2130853977">
          <w:marLeft w:val="480"/>
          <w:marRight w:val="0"/>
          <w:marTop w:val="0"/>
          <w:marBottom w:val="0"/>
          <w:divBdr>
            <w:top w:val="none" w:sz="0" w:space="0" w:color="auto"/>
            <w:left w:val="none" w:sz="0" w:space="0" w:color="auto"/>
            <w:bottom w:val="none" w:sz="0" w:space="0" w:color="auto"/>
            <w:right w:val="none" w:sz="0" w:space="0" w:color="auto"/>
          </w:divBdr>
        </w:div>
        <w:div w:id="809136254">
          <w:marLeft w:val="480"/>
          <w:marRight w:val="0"/>
          <w:marTop w:val="0"/>
          <w:marBottom w:val="0"/>
          <w:divBdr>
            <w:top w:val="none" w:sz="0" w:space="0" w:color="auto"/>
            <w:left w:val="none" w:sz="0" w:space="0" w:color="auto"/>
            <w:bottom w:val="none" w:sz="0" w:space="0" w:color="auto"/>
            <w:right w:val="none" w:sz="0" w:space="0" w:color="auto"/>
          </w:divBdr>
        </w:div>
        <w:div w:id="1171067484">
          <w:marLeft w:val="480"/>
          <w:marRight w:val="0"/>
          <w:marTop w:val="0"/>
          <w:marBottom w:val="0"/>
          <w:divBdr>
            <w:top w:val="none" w:sz="0" w:space="0" w:color="auto"/>
            <w:left w:val="none" w:sz="0" w:space="0" w:color="auto"/>
            <w:bottom w:val="none" w:sz="0" w:space="0" w:color="auto"/>
            <w:right w:val="none" w:sz="0" w:space="0" w:color="auto"/>
          </w:divBdr>
        </w:div>
        <w:div w:id="1716268863">
          <w:marLeft w:val="480"/>
          <w:marRight w:val="0"/>
          <w:marTop w:val="0"/>
          <w:marBottom w:val="0"/>
          <w:divBdr>
            <w:top w:val="none" w:sz="0" w:space="0" w:color="auto"/>
            <w:left w:val="none" w:sz="0" w:space="0" w:color="auto"/>
            <w:bottom w:val="none" w:sz="0" w:space="0" w:color="auto"/>
            <w:right w:val="none" w:sz="0" w:space="0" w:color="auto"/>
          </w:divBdr>
        </w:div>
        <w:div w:id="480460289">
          <w:marLeft w:val="480"/>
          <w:marRight w:val="0"/>
          <w:marTop w:val="0"/>
          <w:marBottom w:val="0"/>
          <w:divBdr>
            <w:top w:val="none" w:sz="0" w:space="0" w:color="auto"/>
            <w:left w:val="none" w:sz="0" w:space="0" w:color="auto"/>
            <w:bottom w:val="none" w:sz="0" w:space="0" w:color="auto"/>
            <w:right w:val="none" w:sz="0" w:space="0" w:color="auto"/>
          </w:divBdr>
        </w:div>
        <w:div w:id="1140806471">
          <w:marLeft w:val="480"/>
          <w:marRight w:val="0"/>
          <w:marTop w:val="0"/>
          <w:marBottom w:val="0"/>
          <w:divBdr>
            <w:top w:val="none" w:sz="0" w:space="0" w:color="auto"/>
            <w:left w:val="none" w:sz="0" w:space="0" w:color="auto"/>
            <w:bottom w:val="none" w:sz="0" w:space="0" w:color="auto"/>
            <w:right w:val="none" w:sz="0" w:space="0" w:color="auto"/>
          </w:divBdr>
        </w:div>
        <w:div w:id="1591235905">
          <w:marLeft w:val="480"/>
          <w:marRight w:val="0"/>
          <w:marTop w:val="0"/>
          <w:marBottom w:val="0"/>
          <w:divBdr>
            <w:top w:val="none" w:sz="0" w:space="0" w:color="auto"/>
            <w:left w:val="none" w:sz="0" w:space="0" w:color="auto"/>
            <w:bottom w:val="none" w:sz="0" w:space="0" w:color="auto"/>
            <w:right w:val="none" w:sz="0" w:space="0" w:color="auto"/>
          </w:divBdr>
        </w:div>
        <w:div w:id="841239815">
          <w:marLeft w:val="480"/>
          <w:marRight w:val="0"/>
          <w:marTop w:val="0"/>
          <w:marBottom w:val="0"/>
          <w:divBdr>
            <w:top w:val="none" w:sz="0" w:space="0" w:color="auto"/>
            <w:left w:val="none" w:sz="0" w:space="0" w:color="auto"/>
            <w:bottom w:val="none" w:sz="0" w:space="0" w:color="auto"/>
            <w:right w:val="none" w:sz="0" w:space="0" w:color="auto"/>
          </w:divBdr>
        </w:div>
        <w:div w:id="343942435">
          <w:marLeft w:val="480"/>
          <w:marRight w:val="0"/>
          <w:marTop w:val="0"/>
          <w:marBottom w:val="0"/>
          <w:divBdr>
            <w:top w:val="none" w:sz="0" w:space="0" w:color="auto"/>
            <w:left w:val="none" w:sz="0" w:space="0" w:color="auto"/>
            <w:bottom w:val="none" w:sz="0" w:space="0" w:color="auto"/>
            <w:right w:val="none" w:sz="0" w:space="0" w:color="auto"/>
          </w:divBdr>
        </w:div>
        <w:div w:id="841352860">
          <w:marLeft w:val="480"/>
          <w:marRight w:val="0"/>
          <w:marTop w:val="0"/>
          <w:marBottom w:val="0"/>
          <w:divBdr>
            <w:top w:val="none" w:sz="0" w:space="0" w:color="auto"/>
            <w:left w:val="none" w:sz="0" w:space="0" w:color="auto"/>
            <w:bottom w:val="none" w:sz="0" w:space="0" w:color="auto"/>
            <w:right w:val="none" w:sz="0" w:space="0" w:color="auto"/>
          </w:divBdr>
        </w:div>
        <w:div w:id="700977780">
          <w:marLeft w:val="480"/>
          <w:marRight w:val="0"/>
          <w:marTop w:val="0"/>
          <w:marBottom w:val="0"/>
          <w:divBdr>
            <w:top w:val="none" w:sz="0" w:space="0" w:color="auto"/>
            <w:left w:val="none" w:sz="0" w:space="0" w:color="auto"/>
            <w:bottom w:val="none" w:sz="0" w:space="0" w:color="auto"/>
            <w:right w:val="none" w:sz="0" w:space="0" w:color="auto"/>
          </w:divBdr>
        </w:div>
        <w:div w:id="1746537145">
          <w:marLeft w:val="480"/>
          <w:marRight w:val="0"/>
          <w:marTop w:val="0"/>
          <w:marBottom w:val="0"/>
          <w:divBdr>
            <w:top w:val="none" w:sz="0" w:space="0" w:color="auto"/>
            <w:left w:val="none" w:sz="0" w:space="0" w:color="auto"/>
            <w:bottom w:val="none" w:sz="0" w:space="0" w:color="auto"/>
            <w:right w:val="none" w:sz="0" w:space="0" w:color="auto"/>
          </w:divBdr>
        </w:div>
        <w:div w:id="1472402362">
          <w:marLeft w:val="480"/>
          <w:marRight w:val="0"/>
          <w:marTop w:val="0"/>
          <w:marBottom w:val="0"/>
          <w:divBdr>
            <w:top w:val="none" w:sz="0" w:space="0" w:color="auto"/>
            <w:left w:val="none" w:sz="0" w:space="0" w:color="auto"/>
            <w:bottom w:val="none" w:sz="0" w:space="0" w:color="auto"/>
            <w:right w:val="none" w:sz="0" w:space="0" w:color="auto"/>
          </w:divBdr>
        </w:div>
        <w:div w:id="1590188671">
          <w:marLeft w:val="480"/>
          <w:marRight w:val="0"/>
          <w:marTop w:val="0"/>
          <w:marBottom w:val="0"/>
          <w:divBdr>
            <w:top w:val="none" w:sz="0" w:space="0" w:color="auto"/>
            <w:left w:val="none" w:sz="0" w:space="0" w:color="auto"/>
            <w:bottom w:val="none" w:sz="0" w:space="0" w:color="auto"/>
            <w:right w:val="none" w:sz="0" w:space="0" w:color="auto"/>
          </w:divBdr>
        </w:div>
        <w:div w:id="1307737034">
          <w:marLeft w:val="480"/>
          <w:marRight w:val="0"/>
          <w:marTop w:val="0"/>
          <w:marBottom w:val="0"/>
          <w:divBdr>
            <w:top w:val="none" w:sz="0" w:space="0" w:color="auto"/>
            <w:left w:val="none" w:sz="0" w:space="0" w:color="auto"/>
            <w:bottom w:val="none" w:sz="0" w:space="0" w:color="auto"/>
            <w:right w:val="none" w:sz="0" w:space="0" w:color="auto"/>
          </w:divBdr>
        </w:div>
        <w:div w:id="658777167">
          <w:marLeft w:val="480"/>
          <w:marRight w:val="0"/>
          <w:marTop w:val="0"/>
          <w:marBottom w:val="0"/>
          <w:divBdr>
            <w:top w:val="none" w:sz="0" w:space="0" w:color="auto"/>
            <w:left w:val="none" w:sz="0" w:space="0" w:color="auto"/>
            <w:bottom w:val="none" w:sz="0" w:space="0" w:color="auto"/>
            <w:right w:val="none" w:sz="0" w:space="0" w:color="auto"/>
          </w:divBdr>
        </w:div>
        <w:div w:id="2012828567">
          <w:marLeft w:val="480"/>
          <w:marRight w:val="0"/>
          <w:marTop w:val="0"/>
          <w:marBottom w:val="0"/>
          <w:divBdr>
            <w:top w:val="none" w:sz="0" w:space="0" w:color="auto"/>
            <w:left w:val="none" w:sz="0" w:space="0" w:color="auto"/>
            <w:bottom w:val="none" w:sz="0" w:space="0" w:color="auto"/>
            <w:right w:val="none" w:sz="0" w:space="0" w:color="auto"/>
          </w:divBdr>
        </w:div>
        <w:div w:id="1849177187">
          <w:marLeft w:val="480"/>
          <w:marRight w:val="0"/>
          <w:marTop w:val="0"/>
          <w:marBottom w:val="0"/>
          <w:divBdr>
            <w:top w:val="none" w:sz="0" w:space="0" w:color="auto"/>
            <w:left w:val="none" w:sz="0" w:space="0" w:color="auto"/>
            <w:bottom w:val="none" w:sz="0" w:space="0" w:color="auto"/>
            <w:right w:val="none" w:sz="0" w:space="0" w:color="auto"/>
          </w:divBdr>
        </w:div>
        <w:div w:id="1456101443">
          <w:marLeft w:val="480"/>
          <w:marRight w:val="0"/>
          <w:marTop w:val="0"/>
          <w:marBottom w:val="0"/>
          <w:divBdr>
            <w:top w:val="none" w:sz="0" w:space="0" w:color="auto"/>
            <w:left w:val="none" w:sz="0" w:space="0" w:color="auto"/>
            <w:bottom w:val="none" w:sz="0" w:space="0" w:color="auto"/>
            <w:right w:val="none" w:sz="0" w:space="0" w:color="auto"/>
          </w:divBdr>
        </w:div>
        <w:div w:id="434709673">
          <w:marLeft w:val="480"/>
          <w:marRight w:val="0"/>
          <w:marTop w:val="0"/>
          <w:marBottom w:val="0"/>
          <w:divBdr>
            <w:top w:val="none" w:sz="0" w:space="0" w:color="auto"/>
            <w:left w:val="none" w:sz="0" w:space="0" w:color="auto"/>
            <w:bottom w:val="none" w:sz="0" w:space="0" w:color="auto"/>
            <w:right w:val="none" w:sz="0" w:space="0" w:color="auto"/>
          </w:divBdr>
        </w:div>
        <w:div w:id="218832971">
          <w:marLeft w:val="480"/>
          <w:marRight w:val="0"/>
          <w:marTop w:val="0"/>
          <w:marBottom w:val="0"/>
          <w:divBdr>
            <w:top w:val="none" w:sz="0" w:space="0" w:color="auto"/>
            <w:left w:val="none" w:sz="0" w:space="0" w:color="auto"/>
            <w:bottom w:val="none" w:sz="0" w:space="0" w:color="auto"/>
            <w:right w:val="none" w:sz="0" w:space="0" w:color="auto"/>
          </w:divBdr>
        </w:div>
        <w:div w:id="1546408000">
          <w:marLeft w:val="480"/>
          <w:marRight w:val="0"/>
          <w:marTop w:val="0"/>
          <w:marBottom w:val="0"/>
          <w:divBdr>
            <w:top w:val="none" w:sz="0" w:space="0" w:color="auto"/>
            <w:left w:val="none" w:sz="0" w:space="0" w:color="auto"/>
            <w:bottom w:val="none" w:sz="0" w:space="0" w:color="auto"/>
            <w:right w:val="none" w:sz="0" w:space="0" w:color="auto"/>
          </w:divBdr>
        </w:div>
        <w:div w:id="1314984560">
          <w:marLeft w:val="480"/>
          <w:marRight w:val="0"/>
          <w:marTop w:val="0"/>
          <w:marBottom w:val="0"/>
          <w:divBdr>
            <w:top w:val="none" w:sz="0" w:space="0" w:color="auto"/>
            <w:left w:val="none" w:sz="0" w:space="0" w:color="auto"/>
            <w:bottom w:val="none" w:sz="0" w:space="0" w:color="auto"/>
            <w:right w:val="none" w:sz="0" w:space="0" w:color="auto"/>
          </w:divBdr>
        </w:div>
        <w:div w:id="1357730525">
          <w:marLeft w:val="480"/>
          <w:marRight w:val="0"/>
          <w:marTop w:val="0"/>
          <w:marBottom w:val="0"/>
          <w:divBdr>
            <w:top w:val="none" w:sz="0" w:space="0" w:color="auto"/>
            <w:left w:val="none" w:sz="0" w:space="0" w:color="auto"/>
            <w:bottom w:val="none" w:sz="0" w:space="0" w:color="auto"/>
            <w:right w:val="none" w:sz="0" w:space="0" w:color="auto"/>
          </w:divBdr>
        </w:div>
        <w:div w:id="183055862">
          <w:marLeft w:val="480"/>
          <w:marRight w:val="0"/>
          <w:marTop w:val="0"/>
          <w:marBottom w:val="0"/>
          <w:divBdr>
            <w:top w:val="none" w:sz="0" w:space="0" w:color="auto"/>
            <w:left w:val="none" w:sz="0" w:space="0" w:color="auto"/>
            <w:bottom w:val="none" w:sz="0" w:space="0" w:color="auto"/>
            <w:right w:val="none" w:sz="0" w:space="0" w:color="auto"/>
          </w:divBdr>
        </w:div>
        <w:div w:id="1134525746">
          <w:marLeft w:val="480"/>
          <w:marRight w:val="0"/>
          <w:marTop w:val="0"/>
          <w:marBottom w:val="0"/>
          <w:divBdr>
            <w:top w:val="none" w:sz="0" w:space="0" w:color="auto"/>
            <w:left w:val="none" w:sz="0" w:space="0" w:color="auto"/>
            <w:bottom w:val="none" w:sz="0" w:space="0" w:color="auto"/>
            <w:right w:val="none" w:sz="0" w:space="0" w:color="auto"/>
          </w:divBdr>
        </w:div>
        <w:div w:id="404841798">
          <w:marLeft w:val="480"/>
          <w:marRight w:val="0"/>
          <w:marTop w:val="0"/>
          <w:marBottom w:val="0"/>
          <w:divBdr>
            <w:top w:val="none" w:sz="0" w:space="0" w:color="auto"/>
            <w:left w:val="none" w:sz="0" w:space="0" w:color="auto"/>
            <w:bottom w:val="none" w:sz="0" w:space="0" w:color="auto"/>
            <w:right w:val="none" w:sz="0" w:space="0" w:color="auto"/>
          </w:divBdr>
        </w:div>
        <w:div w:id="1122844491">
          <w:marLeft w:val="480"/>
          <w:marRight w:val="0"/>
          <w:marTop w:val="0"/>
          <w:marBottom w:val="0"/>
          <w:divBdr>
            <w:top w:val="none" w:sz="0" w:space="0" w:color="auto"/>
            <w:left w:val="none" w:sz="0" w:space="0" w:color="auto"/>
            <w:bottom w:val="none" w:sz="0" w:space="0" w:color="auto"/>
            <w:right w:val="none" w:sz="0" w:space="0" w:color="auto"/>
          </w:divBdr>
        </w:div>
        <w:div w:id="828710028">
          <w:marLeft w:val="480"/>
          <w:marRight w:val="0"/>
          <w:marTop w:val="0"/>
          <w:marBottom w:val="0"/>
          <w:divBdr>
            <w:top w:val="none" w:sz="0" w:space="0" w:color="auto"/>
            <w:left w:val="none" w:sz="0" w:space="0" w:color="auto"/>
            <w:bottom w:val="none" w:sz="0" w:space="0" w:color="auto"/>
            <w:right w:val="none" w:sz="0" w:space="0" w:color="auto"/>
          </w:divBdr>
        </w:div>
        <w:div w:id="838692465">
          <w:marLeft w:val="480"/>
          <w:marRight w:val="0"/>
          <w:marTop w:val="0"/>
          <w:marBottom w:val="0"/>
          <w:divBdr>
            <w:top w:val="none" w:sz="0" w:space="0" w:color="auto"/>
            <w:left w:val="none" w:sz="0" w:space="0" w:color="auto"/>
            <w:bottom w:val="none" w:sz="0" w:space="0" w:color="auto"/>
            <w:right w:val="none" w:sz="0" w:space="0" w:color="auto"/>
          </w:divBdr>
        </w:div>
        <w:div w:id="396438656">
          <w:marLeft w:val="480"/>
          <w:marRight w:val="0"/>
          <w:marTop w:val="0"/>
          <w:marBottom w:val="0"/>
          <w:divBdr>
            <w:top w:val="none" w:sz="0" w:space="0" w:color="auto"/>
            <w:left w:val="none" w:sz="0" w:space="0" w:color="auto"/>
            <w:bottom w:val="none" w:sz="0" w:space="0" w:color="auto"/>
            <w:right w:val="none" w:sz="0" w:space="0" w:color="auto"/>
          </w:divBdr>
        </w:div>
        <w:div w:id="1057439433">
          <w:marLeft w:val="480"/>
          <w:marRight w:val="0"/>
          <w:marTop w:val="0"/>
          <w:marBottom w:val="0"/>
          <w:divBdr>
            <w:top w:val="none" w:sz="0" w:space="0" w:color="auto"/>
            <w:left w:val="none" w:sz="0" w:space="0" w:color="auto"/>
            <w:bottom w:val="none" w:sz="0" w:space="0" w:color="auto"/>
            <w:right w:val="none" w:sz="0" w:space="0" w:color="auto"/>
          </w:divBdr>
        </w:div>
        <w:div w:id="1269193153">
          <w:marLeft w:val="480"/>
          <w:marRight w:val="0"/>
          <w:marTop w:val="0"/>
          <w:marBottom w:val="0"/>
          <w:divBdr>
            <w:top w:val="none" w:sz="0" w:space="0" w:color="auto"/>
            <w:left w:val="none" w:sz="0" w:space="0" w:color="auto"/>
            <w:bottom w:val="none" w:sz="0" w:space="0" w:color="auto"/>
            <w:right w:val="none" w:sz="0" w:space="0" w:color="auto"/>
          </w:divBdr>
        </w:div>
        <w:div w:id="1369333050">
          <w:marLeft w:val="480"/>
          <w:marRight w:val="0"/>
          <w:marTop w:val="0"/>
          <w:marBottom w:val="0"/>
          <w:divBdr>
            <w:top w:val="none" w:sz="0" w:space="0" w:color="auto"/>
            <w:left w:val="none" w:sz="0" w:space="0" w:color="auto"/>
            <w:bottom w:val="none" w:sz="0" w:space="0" w:color="auto"/>
            <w:right w:val="none" w:sz="0" w:space="0" w:color="auto"/>
          </w:divBdr>
        </w:div>
        <w:div w:id="441611837">
          <w:marLeft w:val="480"/>
          <w:marRight w:val="0"/>
          <w:marTop w:val="0"/>
          <w:marBottom w:val="0"/>
          <w:divBdr>
            <w:top w:val="none" w:sz="0" w:space="0" w:color="auto"/>
            <w:left w:val="none" w:sz="0" w:space="0" w:color="auto"/>
            <w:bottom w:val="none" w:sz="0" w:space="0" w:color="auto"/>
            <w:right w:val="none" w:sz="0" w:space="0" w:color="auto"/>
          </w:divBdr>
        </w:div>
        <w:div w:id="989092218">
          <w:marLeft w:val="480"/>
          <w:marRight w:val="0"/>
          <w:marTop w:val="0"/>
          <w:marBottom w:val="0"/>
          <w:divBdr>
            <w:top w:val="none" w:sz="0" w:space="0" w:color="auto"/>
            <w:left w:val="none" w:sz="0" w:space="0" w:color="auto"/>
            <w:bottom w:val="none" w:sz="0" w:space="0" w:color="auto"/>
            <w:right w:val="none" w:sz="0" w:space="0" w:color="auto"/>
          </w:divBdr>
        </w:div>
        <w:div w:id="1113087569">
          <w:marLeft w:val="480"/>
          <w:marRight w:val="0"/>
          <w:marTop w:val="0"/>
          <w:marBottom w:val="0"/>
          <w:divBdr>
            <w:top w:val="none" w:sz="0" w:space="0" w:color="auto"/>
            <w:left w:val="none" w:sz="0" w:space="0" w:color="auto"/>
            <w:bottom w:val="none" w:sz="0" w:space="0" w:color="auto"/>
            <w:right w:val="none" w:sz="0" w:space="0" w:color="auto"/>
          </w:divBdr>
        </w:div>
        <w:div w:id="1771732397">
          <w:marLeft w:val="480"/>
          <w:marRight w:val="0"/>
          <w:marTop w:val="0"/>
          <w:marBottom w:val="0"/>
          <w:divBdr>
            <w:top w:val="none" w:sz="0" w:space="0" w:color="auto"/>
            <w:left w:val="none" w:sz="0" w:space="0" w:color="auto"/>
            <w:bottom w:val="none" w:sz="0" w:space="0" w:color="auto"/>
            <w:right w:val="none" w:sz="0" w:space="0" w:color="auto"/>
          </w:divBdr>
        </w:div>
        <w:div w:id="1962833902">
          <w:marLeft w:val="480"/>
          <w:marRight w:val="0"/>
          <w:marTop w:val="0"/>
          <w:marBottom w:val="0"/>
          <w:divBdr>
            <w:top w:val="none" w:sz="0" w:space="0" w:color="auto"/>
            <w:left w:val="none" w:sz="0" w:space="0" w:color="auto"/>
            <w:bottom w:val="none" w:sz="0" w:space="0" w:color="auto"/>
            <w:right w:val="none" w:sz="0" w:space="0" w:color="auto"/>
          </w:divBdr>
        </w:div>
        <w:div w:id="374426684">
          <w:marLeft w:val="480"/>
          <w:marRight w:val="0"/>
          <w:marTop w:val="0"/>
          <w:marBottom w:val="0"/>
          <w:divBdr>
            <w:top w:val="none" w:sz="0" w:space="0" w:color="auto"/>
            <w:left w:val="none" w:sz="0" w:space="0" w:color="auto"/>
            <w:bottom w:val="none" w:sz="0" w:space="0" w:color="auto"/>
            <w:right w:val="none" w:sz="0" w:space="0" w:color="auto"/>
          </w:divBdr>
        </w:div>
        <w:div w:id="1142962136">
          <w:marLeft w:val="480"/>
          <w:marRight w:val="0"/>
          <w:marTop w:val="0"/>
          <w:marBottom w:val="0"/>
          <w:divBdr>
            <w:top w:val="none" w:sz="0" w:space="0" w:color="auto"/>
            <w:left w:val="none" w:sz="0" w:space="0" w:color="auto"/>
            <w:bottom w:val="none" w:sz="0" w:space="0" w:color="auto"/>
            <w:right w:val="none" w:sz="0" w:space="0" w:color="auto"/>
          </w:divBdr>
        </w:div>
        <w:div w:id="1992059061">
          <w:marLeft w:val="480"/>
          <w:marRight w:val="0"/>
          <w:marTop w:val="0"/>
          <w:marBottom w:val="0"/>
          <w:divBdr>
            <w:top w:val="none" w:sz="0" w:space="0" w:color="auto"/>
            <w:left w:val="none" w:sz="0" w:space="0" w:color="auto"/>
            <w:bottom w:val="none" w:sz="0" w:space="0" w:color="auto"/>
            <w:right w:val="none" w:sz="0" w:space="0" w:color="auto"/>
          </w:divBdr>
        </w:div>
        <w:div w:id="573398801">
          <w:marLeft w:val="480"/>
          <w:marRight w:val="0"/>
          <w:marTop w:val="0"/>
          <w:marBottom w:val="0"/>
          <w:divBdr>
            <w:top w:val="none" w:sz="0" w:space="0" w:color="auto"/>
            <w:left w:val="none" w:sz="0" w:space="0" w:color="auto"/>
            <w:bottom w:val="none" w:sz="0" w:space="0" w:color="auto"/>
            <w:right w:val="none" w:sz="0" w:space="0" w:color="auto"/>
          </w:divBdr>
        </w:div>
        <w:div w:id="1145926261">
          <w:marLeft w:val="480"/>
          <w:marRight w:val="0"/>
          <w:marTop w:val="0"/>
          <w:marBottom w:val="0"/>
          <w:divBdr>
            <w:top w:val="none" w:sz="0" w:space="0" w:color="auto"/>
            <w:left w:val="none" w:sz="0" w:space="0" w:color="auto"/>
            <w:bottom w:val="none" w:sz="0" w:space="0" w:color="auto"/>
            <w:right w:val="none" w:sz="0" w:space="0" w:color="auto"/>
          </w:divBdr>
        </w:div>
        <w:div w:id="677804175">
          <w:marLeft w:val="480"/>
          <w:marRight w:val="0"/>
          <w:marTop w:val="0"/>
          <w:marBottom w:val="0"/>
          <w:divBdr>
            <w:top w:val="none" w:sz="0" w:space="0" w:color="auto"/>
            <w:left w:val="none" w:sz="0" w:space="0" w:color="auto"/>
            <w:bottom w:val="none" w:sz="0" w:space="0" w:color="auto"/>
            <w:right w:val="none" w:sz="0" w:space="0" w:color="auto"/>
          </w:divBdr>
        </w:div>
        <w:div w:id="562060859">
          <w:marLeft w:val="480"/>
          <w:marRight w:val="0"/>
          <w:marTop w:val="0"/>
          <w:marBottom w:val="0"/>
          <w:divBdr>
            <w:top w:val="none" w:sz="0" w:space="0" w:color="auto"/>
            <w:left w:val="none" w:sz="0" w:space="0" w:color="auto"/>
            <w:bottom w:val="none" w:sz="0" w:space="0" w:color="auto"/>
            <w:right w:val="none" w:sz="0" w:space="0" w:color="auto"/>
          </w:divBdr>
        </w:div>
        <w:div w:id="247085465">
          <w:marLeft w:val="480"/>
          <w:marRight w:val="0"/>
          <w:marTop w:val="0"/>
          <w:marBottom w:val="0"/>
          <w:divBdr>
            <w:top w:val="none" w:sz="0" w:space="0" w:color="auto"/>
            <w:left w:val="none" w:sz="0" w:space="0" w:color="auto"/>
            <w:bottom w:val="none" w:sz="0" w:space="0" w:color="auto"/>
            <w:right w:val="none" w:sz="0" w:space="0" w:color="auto"/>
          </w:divBdr>
        </w:div>
        <w:div w:id="989361540">
          <w:marLeft w:val="480"/>
          <w:marRight w:val="0"/>
          <w:marTop w:val="0"/>
          <w:marBottom w:val="0"/>
          <w:divBdr>
            <w:top w:val="none" w:sz="0" w:space="0" w:color="auto"/>
            <w:left w:val="none" w:sz="0" w:space="0" w:color="auto"/>
            <w:bottom w:val="none" w:sz="0" w:space="0" w:color="auto"/>
            <w:right w:val="none" w:sz="0" w:space="0" w:color="auto"/>
          </w:divBdr>
        </w:div>
        <w:div w:id="13114254">
          <w:marLeft w:val="480"/>
          <w:marRight w:val="0"/>
          <w:marTop w:val="0"/>
          <w:marBottom w:val="0"/>
          <w:divBdr>
            <w:top w:val="none" w:sz="0" w:space="0" w:color="auto"/>
            <w:left w:val="none" w:sz="0" w:space="0" w:color="auto"/>
            <w:bottom w:val="none" w:sz="0" w:space="0" w:color="auto"/>
            <w:right w:val="none" w:sz="0" w:space="0" w:color="auto"/>
          </w:divBdr>
        </w:div>
        <w:div w:id="818500936">
          <w:marLeft w:val="480"/>
          <w:marRight w:val="0"/>
          <w:marTop w:val="0"/>
          <w:marBottom w:val="0"/>
          <w:divBdr>
            <w:top w:val="none" w:sz="0" w:space="0" w:color="auto"/>
            <w:left w:val="none" w:sz="0" w:space="0" w:color="auto"/>
            <w:bottom w:val="none" w:sz="0" w:space="0" w:color="auto"/>
            <w:right w:val="none" w:sz="0" w:space="0" w:color="auto"/>
          </w:divBdr>
        </w:div>
        <w:div w:id="1567573616">
          <w:marLeft w:val="480"/>
          <w:marRight w:val="0"/>
          <w:marTop w:val="0"/>
          <w:marBottom w:val="0"/>
          <w:divBdr>
            <w:top w:val="none" w:sz="0" w:space="0" w:color="auto"/>
            <w:left w:val="none" w:sz="0" w:space="0" w:color="auto"/>
            <w:bottom w:val="none" w:sz="0" w:space="0" w:color="auto"/>
            <w:right w:val="none" w:sz="0" w:space="0" w:color="auto"/>
          </w:divBdr>
        </w:div>
        <w:div w:id="1628586794">
          <w:marLeft w:val="480"/>
          <w:marRight w:val="0"/>
          <w:marTop w:val="0"/>
          <w:marBottom w:val="0"/>
          <w:divBdr>
            <w:top w:val="none" w:sz="0" w:space="0" w:color="auto"/>
            <w:left w:val="none" w:sz="0" w:space="0" w:color="auto"/>
            <w:bottom w:val="none" w:sz="0" w:space="0" w:color="auto"/>
            <w:right w:val="none" w:sz="0" w:space="0" w:color="auto"/>
          </w:divBdr>
        </w:div>
        <w:div w:id="729958012">
          <w:marLeft w:val="480"/>
          <w:marRight w:val="0"/>
          <w:marTop w:val="0"/>
          <w:marBottom w:val="0"/>
          <w:divBdr>
            <w:top w:val="none" w:sz="0" w:space="0" w:color="auto"/>
            <w:left w:val="none" w:sz="0" w:space="0" w:color="auto"/>
            <w:bottom w:val="none" w:sz="0" w:space="0" w:color="auto"/>
            <w:right w:val="none" w:sz="0" w:space="0" w:color="auto"/>
          </w:divBdr>
        </w:div>
        <w:div w:id="472336412">
          <w:marLeft w:val="480"/>
          <w:marRight w:val="0"/>
          <w:marTop w:val="0"/>
          <w:marBottom w:val="0"/>
          <w:divBdr>
            <w:top w:val="none" w:sz="0" w:space="0" w:color="auto"/>
            <w:left w:val="none" w:sz="0" w:space="0" w:color="auto"/>
            <w:bottom w:val="none" w:sz="0" w:space="0" w:color="auto"/>
            <w:right w:val="none" w:sz="0" w:space="0" w:color="auto"/>
          </w:divBdr>
        </w:div>
        <w:div w:id="1850022707">
          <w:marLeft w:val="480"/>
          <w:marRight w:val="0"/>
          <w:marTop w:val="0"/>
          <w:marBottom w:val="0"/>
          <w:divBdr>
            <w:top w:val="none" w:sz="0" w:space="0" w:color="auto"/>
            <w:left w:val="none" w:sz="0" w:space="0" w:color="auto"/>
            <w:bottom w:val="none" w:sz="0" w:space="0" w:color="auto"/>
            <w:right w:val="none" w:sz="0" w:space="0" w:color="auto"/>
          </w:divBdr>
        </w:div>
        <w:div w:id="139201107">
          <w:marLeft w:val="480"/>
          <w:marRight w:val="0"/>
          <w:marTop w:val="0"/>
          <w:marBottom w:val="0"/>
          <w:divBdr>
            <w:top w:val="none" w:sz="0" w:space="0" w:color="auto"/>
            <w:left w:val="none" w:sz="0" w:space="0" w:color="auto"/>
            <w:bottom w:val="none" w:sz="0" w:space="0" w:color="auto"/>
            <w:right w:val="none" w:sz="0" w:space="0" w:color="auto"/>
          </w:divBdr>
        </w:div>
        <w:div w:id="377901327">
          <w:marLeft w:val="480"/>
          <w:marRight w:val="0"/>
          <w:marTop w:val="0"/>
          <w:marBottom w:val="0"/>
          <w:divBdr>
            <w:top w:val="none" w:sz="0" w:space="0" w:color="auto"/>
            <w:left w:val="none" w:sz="0" w:space="0" w:color="auto"/>
            <w:bottom w:val="none" w:sz="0" w:space="0" w:color="auto"/>
            <w:right w:val="none" w:sz="0" w:space="0" w:color="auto"/>
          </w:divBdr>
        </w:div>
        <w:div w:id="1136607637">
          <w:marLeft w:val="480"/>
          <w:marRight w:val="0"/>
          <w:marTop w:val="0"/>
          <w:marBottom w:val="0"/>
          <w:divBdr>
            <w:top w:val="none" w:sz="0" w:space="0" w:color="auto"/>
            <w:left w:val="none" w:sz="0" w:space="0" w:color="auto"/>
            <w:bottom w:val="none" w:sz="0" w:space="0" w:color="auto"/>
            <w:right w:val="none" w:sz="0" w:space="0" w:color="auto"/>
          </w:divBdr>
        </w:div>
        <w:div w:id="2112582775">
          <w:marLeft w:val="480"/>
          <w:marRight w:val="0"/>
          <w:marTop w:val="0"/>
          <w:marBottom w:val="0"/>
          <w:divBdr>
            <w:top w:val="none" w:sz="0" w:space="0" w:color="auto"/>
            <w:left w:val="none" w:sz="0" w:space="0" w:color="auto"/>
            <w:bottom w:val="none" w:sz="0" w:space="0" w:color="auto"/>
            <w:right w:val="none" w:sz="0" w:space="0" w:color="auto"/>
          </w:divBdr>
        </w:div>
        <w:div w:id="922839823">
          <w:marLeft w:val="480"/>
          <w:marRight w:val="0"/>
          <w:marTop w:val="0"/>
          <w:marBottom w:val="0"/>
          <w:divBdr>
            <w:top w:val="none" w:sz="0" w:space="0" w:color="auto"/>
            <w:left w:val="none" w:sz="0" w:space="0" w:color="auto"/>
            <w:bottom w:val="none" w:sz="0" w:space="0" w:color="auto"/>
            <w:right w:val="none" w:sz="0" w:space="0" w:color="auto"/>
          </w:divBdr>
        </w:div>
        <w:div w:id="1056198335">
          <w:marLeft w:val="480"/>
          <w:marRight w:val="0"/>
          <w:marTop w:val="0"/>
          <w:marBottom w:val="0"/>
          <w:divBdr>
            <w:top w:val="none" w:sz="0" w:space="0" w:color="auto"/>
            <w:left w:val="none" w:sz="0" w:space="0" w:color="auto"/>
            <w:bottom w:val="none" w:sz="0" w:space="0" w:color="auto"/>
            <w:right w:val="none" w:sz="0" w:space="0" w:color="auto"/>
          </w:divBdr>
        </w:div>
        <w:div w:id="238295322">
          <w:marLeft w:val="480"/>
          <w:marRight w:val="0"/>
          <w:marTop w:val="0"/>
          <w:marBottom w:val="0"/>
          <w:divBdr>
            <w:top w:val="none" w:sz="0" w:space="0" w:color="auto"/>
            <w:left w:val="none" w:sz="0" w:space="0" w:color="auto"/>
            <w:bottom w:val="none" w:sz="0" w:space="0" w:color="auto"/>
            <w:right w:val="none" w:sz="0" w:space="0" w:color="auto"/>
          </w:divBdr>
        </w:div>
        <w:div w:id="486284458">
          <w:marLeft w:val="480"/>
          <w:marRight w:val="0"/>
          <w:marTop w:val="0"/>
          <w:marBottom w:val="0"/>
          <w:divBdr>
            <w:top w:val="none" w:sz="0" w:space="0" w:color="auto"/>
            <w:left w:val="none" w:sz="0" w:space="0" w:color="auto"/>
            <w:bottom w:val="none" w:sz="0" w:space="0" w:color="auto"/>
            <w:right w:val="none" w:sz="0" w:space="0" w:color="auto"/>
          </w:divBdr>
        </w:div>
        <w:div w:id="728259881">
          <w:marLeft w:val="480"/>
          <w:marRight w:val="0"/>
          <w:marTop w:val="0"/>
          <w:marBottom w:val="0"/>
          <w:divBdr>
            <w:top w:val="none" w:sz="0" w:space="0" w:color="auto"/>
            <w:left w:val="none" w:sz="0" w:space="0" w:color="auto"/>
            <w:bottom w:val="none" w:sz="0" w:space="0" w:color="auto"/>
            <w:right w:val="none" w:sz="0" w:space="0" w:color="auto"/>
          </w:divBdr>
        </w:div>
        <w:div w:id="64190196">
          <w:marLeft w:val="480"/>
          <w:marRight w:val="0"/>
          <w:marTop w:val="0"/>
          <w:marBottom w:val="0"/>
          <w:divBdr>
            <w:top w:val="none" w:sz="0" w:space="0" w:color="auto"/>
            <w:left w:val="none" w:sz="0" w:space="0" w:color="auto"/>
            <w:bottom w:val="none" w:sz="0" w:space="0" w:color="auto"/>
            <w:right w:val="none" w:sz="0" w:space="0" w:color="auto"/>
          </w:divBdr>
        </w:div>
        <w:div w:id="514463372">
          <w:marLeft w:val="480"/>
          <w:marRight w:val="0"/>
          <w:marTop w:val="0"/>
          <w:marBottom w:val="0"/>
          <w:divBdr>
            <w:top w:val="none" w:sz="0" w:space="0" w:color="auto"/>
            <w:left w:val="none" w:sz="0" w:space="0" w:color="auto"/>
            <w:bottom w:val="none" w:sz="0" w:space="0" w:color="auto"/>
            <w:right w:val="none" w:sz="0" w:space="0" w:color="auto"/>
          </w:divBdr>
        </w:div>
        <w:div w:id="412316124">
          <w:marLeft w:val="480"/>
          <w:marRight w:val="0"/>
          <w:marTop w:val="0"/>
          <w:marBottom w:val="0"/>
          <w:divBdr>
            <w:top w:val="none" w:sz="0" w:space="0" w:color="auto"/>
            <w:left w:val="none" w:sz="0" w:space="0" w:color="auto"/>
            <w:bottom w:val="none" w:sz="0" w:space="0" w:color="auto"/>
            <w:right w:val="none" w:sz="0" w:space="0" w:color="auto"/>
          </w:divBdr>
        </w:div>
        <w:div w:id="1081027809">
          <w:marLeft w:val="480"/>
          <w:marRight w:val="0"/>
          <w:marTop w:val="0"/>
          <w:marBottom w:val="0"/>
          <w:divBdr>
            <w:top w:val="none" w:sz="0" w:space="0" w:color="auto"/>
            <w:left w:val="none" w:sz="0" w:space="0" w:color="auto"/>
            <w:bottom w:val="none" w:sz="0" w:space="0" w:color="auto"/>
            <w:right w:val="none" w:sz="0" w:space="0" w:color="auto"/>
          </w:divBdr>
        </w:div>
        <w:div w:id="1533881924">
          <w:marLeft w:val="480"/>
          <w:marRight w:val="0"/>
          <w:marTop w:val="0"/>
          <w:marBottom w:val="0"/>
          <w:divBdr>
            <w:top w:val="none" w:sz="0" w:space="0" w:color="auto"/>
            <w:left w:val="none" w:sz="0" w:space="0" w:color="auto"/>
            <w:bottom w:val="none" w:sz="0" w:space="0" w:color="auto"/>
            <w:right w:val="none" w:sz="0" w:space="0" w:color="auto"/>
          </w:divBdr>
        </w:div>
        <w:div w:id="1884513823">
          <w:marLeft w:val="480"/>
          <w:marRight w:val="0"/>
          <w:marTop w:val="0"/>
          <w:marBottom w:val="0"/>
          <w:divBdr>
            <w:top w:val="none" w:sz="0" w:space="0" w:color="auto"/>
            <w:left w:val="none" w:sz="0" w:space="0" w:color="auto"/>
            <w:bottom w:val="none" w:sz="0" w:space="0" w:color="auto"/>
            <w:right w:val="none" w:sz="0" w:space="0" w:color="auto"/>
          </w:divBdr>
        </w:div>
        <w:div w:id="1602176513">
          <w:marLeft w:val="480"/>
          <w:marRight w:val="0"/>
          <w:marTop w:val="0"/>
          <w:marBottom w:val="0"/>
          <w:divBdr>
            <w:top w:val="none" w:sz="0" w:space="0" w:color="auto"/>
            <w:left w:val="none" w:sz="0" w:space="0" w:color="auto"/>
            <w:bottom w:val="none" w:sz="0" w:space="0" w:color="auto"/>
            <w:right w:val="none" w:sz="0" w:space="0" w:color="auto"/>
          </w:divBdr>
        </w:div>
        <w:div w:id="1135220175">
          <w:marLeft w:val="480"/>
          <w:marRight w:val="0"/>
          <w:marTop w:val="0"/>
          <w:marBottom w:val="0"/>
          <w:divBdr>
            <w:top w:val="none" w:sz="0" w:space="0" w:color="auto"/>
            <w:left w:val="none" w:sz="0" w:space="0" w:color="auto"/>
            <w:bottom w:val="none" w:sz="0" w:space="0" w:color="auto"/>
            <w:right w:val="none" w:sz="0" w:space="0" w:color="auto"/>
          </w:divBdr>
        </w:div>
        <w:div w:id="1039015400">
          <w:marLeft w:val="480"/>
          <w:marRight w:val="0"/>
          <w:marTop w:val="0"/>
          <w:marBottom w:val="0"/>
          <w:divBdr>
            <w:top w:val="none" w:sz="0" w:space="0" w:color="auto"/>
            <w:left w:val="none" w:sz="0" w:space="0" w:color="auto"/>
            <w:bottom w:val="none" w:sz="0" w:space="0" w:color="auto"/>
            <w:right w:val="none" w:sz="0" w:space="0" w:color="auto"/>
          </w:divBdr>
        </w:div>
        <w:div w:id="1799640353">
          <w:marLeft w:val="480"/>
          <w:marRight w:val="0"/>
          <w:marTop w:val="0"/>
          <w:marBottom w:val="0"/>
          <w:divBdr>
            <w:top w:val="none" w:sz="0" w:space="0" w:color="auto"/>
            <w:left w:val="none" w:sz="0" w:space="0" w:color="auto"/>
            <w:bottom w:val="none" w:sz="0" w:space="0" w:color="auto"/>
            <w:right w:val="none" w:sz="0" w:space="0" w:color="auto"/>
          </w:divBdr>
        </w:div>
        <w:div w:id="1674840794">
          <w:marLeft w:val="480"/>
          <w:marRight w:val="0"/>
          <w:marTop w:val="0"/>
          <w:marBottom w:val="0"/>
          <w:divBdr>
            <w:top w:val="none" w:sz="0" w:space="0" w:color="auto"/>
            <w:left w:val="none" w:sz="0" w:space="0" w:color="auto"/>
            <w:bottom w:val="none" w:sz="0" w:space="0" w:color="auto"/>
            <w:right w:val="none" w:sz="0" w:space="0" w:color="auto"/>
          </w:divBdr>
        </w:div>
        <w:div w:id="1771243279">
          <w:marLeft w:val="480"/>
          <w:marRight w:val="0"/>
          <w:marTop w:val="0"/>
          <w:marBottom w:val="0"/>
          <w:divBdr>
            <w:top w:val="none" w:sz="0" w:space="0" w:color="auto"/>
            <w:left w:val="none" w:sz="0" w:space="0" w:color="auto"/>
            <w:bottom w:val="none" w:sz="0" w:space="0" w:color="auto"/>
            <w:right w:val="none" w:sz="0" w:space="0" w:color="auto"/>
          </w:divBdr>
        </w:div>
        <w:div w:id="1485853936">
          <w:marLeft w:val="480"/>
          <w:marRight w:val="0"/>
          <w:marTop w:val="0"/>
          <w:marBottom w:val="0"/>
          <w:divBdr>
            <w:top w:val="none" w:sz="0" w:space="0" w:color="auto"/>
            <w:left w:val="none" w:sz="0" w:space="0" w:color="auto"/>
            <w:bottom w:val="none" w:sz="0" w:space="0" w:color="auto"/>
            <w:right w:val="none" w:sz="0" w:space="0" w:color="auto"/>
          </w:divBdr>
        </w:div>
        <w:div w:id="732773729">
          <w:marLeft w:val="480"/>
          <w:marRight w:val="0"/>
          <w:marTop w:val="0"/>
          <w:marBottom w:val="0"/>
          <w:divBdr>
            <w:top w:val="none" w:sz="0" w:space="0" w:color="auto"/>
            <w:left w:val="none" w:sz="0" w:space="0" w:color="auto"/>
            <w:bottom w:val="none" w:sz="0" w:space="0" w:color="auto"/>
            <w:right w:val="none" w:sz="0" w:space="0" w:color="auto"/>
          </w:divBdr>
        </w:div>
        <w:div w:id="1032268046">
          <w:marLeft w:val="480"/>
          <w:marRight w:val="0"/>
          <w:marTop w:val="0"/>
          <w:marBottom w:val="0"/>
          <w:divBdr>
            <w:top w:val="none" w:sz="0" w:space="0" w:color="auto"/>
            <w:left w:val="none" w:sz="0" w:space="0" w:color="auto"/>
            <w:bottom w:val="none" w:sz="0" w:space="0" w:color="auto"/>
            <w:right w:val="none" w:sz="0" w:space="0" w:color="auto"/>
          </w:divBdr>
        </w:div>
        <w:div w:id="496456727">
          <w:marLeft w:val="480"/>
          <w:marRight w:val="0"/>
          <w:marTop w:val="0"/>
          <w:marBottom w:val="0"/>
          <w:divBdr>
            <w:top w:val="none" w:sz="0" w:space="0" w:color="auto"/>
            <w:left w:val="none" w:sz="0" w:space="0" w:color="auto"/>
            <w:bottom w:val="none" w:sz="0" w:space="0" w:color="auto"/>
            <w:right w:val="none" w:sz="0" w:space="0" w:color="auto"/>
          </w:divBdr>
        </w:div>
        <w:div w:id="321011577">
          <w:marLeft w:val="480"/>
          <w:marRight w:val="0"/>
          <w:marTop w:val="0"/>
          <w:marBottom w:val="0"/>
          <w:divBdr>
            <w:top w:val="none" w:sz="0" w:space="0" w:color="auto"/>
            <w:left w:val="none" w:sz="0" w:space="0" w:color="auto"/>
            <w:bottom w:val="none" w:sz="0" w:space="0" w:color="auto"/>
            <w:right w:val="none" w:sz="0" w:space="0" w:color="auto"/>
          </w:divBdr>
        </w:div>
        <w:div w:id="250703277">
          <w:marLeft w:val="480"/>
          <w:marRight w:val="0"/>
          <w:marTop w:val="0"/>
          <w:marBottom w:val="0"/>
          <w:divBdr>
            <w:top w:val="none" w:sz="0" w:space="0" w:color="auto"/>
            <w:left w:val="none" w:sz="0" w:space="0" w:color="auto"/>
            <w:bottom w:val="none" w:sz="0" w:space="0" w:color="auto"/>
            <w:right w:val="none" w:sz="0" w:space="0" w:color="auto"/>
          </w:divBdr>
        </w:div>
        <w:div w:id="769662176">
          <w:marLeft w:val="480"/>
          <w:marRight w:val="0"/>
          <w:marTop w:val="0"/>
          <w:marBottom w:val="0"/>
          <w:divBdr>
            <w:top w:val="none" w:sz="0" w:space="0" w:color="auto"/>
            <w:left w:val="none" w:sz="0" w:space="0" w:color="auto"/>
            <w:bottom w:val="none" w:sz="0" w:space="0" w:color="auto"/>
            <w:right w:val="none" w:sz="0" w:space="0" w:color="auto"/>
          </w:divBdr>
        </w:div>
        <w:div w:id="1355886348">
          <w:marLeft w:val="480"/>
          <w:marRight w:val="0"/>
          <w:marTop w:val="0"/>
          <w:marBottom w:val="0"/>
          <w:divBdr>
            <w:top w:val="none" w:sz="0" w:space="0" w:color="auto"/>
            <w:left w:val="none" w:sz="0" w:space="0" w:color="auto"/>
            <w:bottom w:val="none" w:sz="0" w:space="0" w:color="auto"/>
            <w:right w:val="none" w:sz="0" w:space="0" w:color="auto"/>
          </w:divBdr>
        </w:div>
        <w:div w:id="1876042004">
          <w:marLeft w:val="480"/>
          <w:marRight w:val="0"/>
          <w:marTop w:val="0"/>
          <w:marBottom w:val="0"/>
          <w:divBdr>
            <w:top w:val="none" w:sz="0" w:space="0" w:color="auto"/>
            <w:left w:val="none" w:sz="0" w:space="0" w:color="auto"/>
            <w:bottom w:val="none" w:sz="0" w:space="0" w:color="auto"/>
            <w:right w:val="none" w:sz="0" w:space="0" w:color="auto"/>
          </w:divBdr>
        </w:div>
        <w:div w:id="403068806">
          <w:marLeft w:val="480"/>
          <w:marRight w:val="0"/>
          <w:marTop w:val="0"/>
          <w:marBottom w:val="0"/>
          <w:divBdr>
            <w:top w:val="none" w:sz="0" w:space="0" w:color="auto"/>
            <w:left w:val="none" w:sz="0" w:space="0" w:color="auto"/>
            <w:bottom w:val="none" w:sz="0" w:space="0" w:color="auto"/>
            <w:right w:val="none" w:sz="0" w:space="0" w:color="auto"/>
          </w:divBdr>
        </w:div>
        <w:div w:id="1475636976">
          <w:marLeft w:val="480"/>
          <w:marRight w:val="0"/>
          <w:marTop w:val="0"/>
          <w:marBottom w:val="0"/>
          <w:divBdr>
            <w:top w:val="none" w:sz="0" w:space="0" w:color="auto"/>
            <w:left w:val="none" w:sz="0" w:space="0" w:color="auto"/>
            <w:bottom w:val="none" w:sz="0" w:space="0" w:color="auto"/>
            <w:right w:val="none" w:sz="0" w:space="0" w:color="auto"/>
          </w:divBdr>
        </w:div>
        <w:div w:id="497307254">
          <w:marLeft w:val="480"/>
          <w:marRight w:val="0"/>
          <w:marTop w:val="0"/>
          <w:marBottom w:val="0"/>
          <w:divBdr>
            <w:top w:val="none" w:sz="0" w:space="0" w:color="auto"/>
            <w:left w:val="none" w:sz="0" w:space="0" w:color="auto"/>
            <w:bottom w:val="none" w:sz="0" w:space="0" w:color="auto"/>
            <w:right w:val="none" w:sz="0" w:space="0" w:color="auto"/>
          </w:divBdr>
        </w:div>
        <w:div w:id="443814485">
          <w:marLeft w:val="480"/>
          <w:marRight w:val="0"/>
          <w:marTop w:val="0"/>
          <w:marBottom w:val="0"/>
          <w:divBdr>
            <w:top w:val="none" w:sz="0" w:space="0" w:color="auto"/>
            <w:left w:val="none" w:sz="0" w:space="0" w:color="auto"/>
            <w:bottom w:val="none" w:sz="0" w:space="0" w:color="auto"/>
            <w:right w:val="none" w:sz="0" w:space="0" w:color="auto"/>
          </w:divBdr>
        </w:div>
        <w:div w:id="1529873960">
          <w:marLeft w:val="480"/>
          <w:marRight w:val="0"/>
          <w:marTop w:val="0"/>
          <w:marBottom w:val="0"/>
          <w:divBdr>
            <w:top w:val="none" w:sz="0" w:space="0" w:color="auto"/>
            <w:left w:val="none" w:sz="0" w:space="0" w:color="auto"/>
            <w:bottom w:val="none" w:sz="0" w:space="0" w:color="auto"/>
            <w:right w:val="none" w:sz="0" w:space="0" w:color="auto"/>
          </w:divBdr>
        </w:div>
        <w:div w:id="966742430">
          <w:marLeft w:val="480"/>
          <w:marRight w:val="0"/>
          <w:marTop w:val="0"/>
          <w:marBottom w:val="0"/>
          <w:divBdr>
            <w:top w:val="none" w:sz="0" w:space="0" w:color="auto"/>
            <w:left w:val="none" w:sz="0" w:space="0" w:color="auto"/>
            <w:bottom w:val="none" w:sz="0" w:space="0" w:color="auto"/>
            <w:right w:val="none" w:sz="0" w:space="0" w:color="auto"/>
          </w:divBdr>
        </w:div>
        <w:div w:id="822308840">
          <w:marLeft w:val="480"/>
          <w:marRight w:val="0"/>
          <w:marTop w:val="0"/>
          <w:marBottom w:val="0"/>
          <w:divBdr>
            <w:top w:val="none" w:sz="0" w:space="0" w:color="auto"/>
            <w:left w:val="none" w:sz="0" w:space="0" w:color="auto"/>
            <w:bottom w:val="none" w:sz="0" w:space="0" w:color="auto"/>
            <w:right w:val="none" w:sz="0" w:space="0" w:color="auto"/>
          </w:divBdr>
        </w:div>
        <w:div w:id="1349065648">
          <w:marLeft w:val="480"/>
          <w:marRight w:val="0"/>
          <w:marTop w:val="0"/>
          <w:marBottom w:val="0"/>
          <w:divBdr>
            <w:top w:val="none" w:sz="0" w:space="0" w:color="auto"/>
            <w:left w:val="none" w:sz="0" w:space="0" w:color="auto"/>
            <w:bottom w:val="none" w:sz="0" w:space="0" w:color="auto"/>
            <w:right w:val="none" w:sz="0" w:space="0" w:color="auto"/>
          </w:divBdr>
        </w:div>
        <w:div w:id="1378240899">
          <w:marLeft w:val="480"/>
          <w:marRight w:val="0"/>
          <w:marTop w:val="0"/>
          <w:marBottom w:val="0"/>
          <w:divBdr>
            <w:top w:val="none" w:sz="0" w:space="0" w:color="auto"/>
            <w:left w:val="none" w:sz="0" w:space="0" w:color="auto"/>
            <w:bottom w:val="none" w:sz="0" w:space="0" w:color="auto"/>
            <w:right w:val="none" w:sz="0" w:space="0" w:color="auto"/>
          </w:divBdr>
        </w:div>
        <w:div w:id="1329404480">
          <w:marLeft w:val="480"/>
          <w:marRight w:val="0"/>
          <w:marTop w:val="0"/>
          <w:marBottom w:val="0"/>
          <w:divBdr>
            <w:top w:val="none" w:sz="0" w:space="0" w:color="auto"/>
            <w:left w:val="none" w:sz="0" w:space="0" w:color="auto"/>
            <w:bottom w:val="none" w:sz="0" w:space="0" w:color="auto"/>
            <w:right w:val="none" w:sz="0" w:space="0" w:color="auto"/>
          </w:divBdr>
        </w:div>
        <w:div w:id="606930679">
          <w:marLeft w:val="480"/>
          <w:marRight w:val="0"/>
          <w:marTop w:val="0"/>
          <w:marBottom w:val="0"/>
          <w:divBdr>
            <w:top w:val="none" w:sz="0" w:space="0" w:color="auto"/>
            <w:left w:val="none" w:sz="0" w:space="0" w:color="auto"/>
            <w:bottom w:val="none" w:sz="0" w:space="0" w:color="auto"/>
            <w:right w:val="none" w:sz="0" w:space="0" w:color="auto"/>
          </w:divBdr>
        </w:div>
        <w:div w:id="1171919395">
          <w:marLeft w:val="480"/>
          <w:marRight w:val="0"/>
          <w:marTop w:val="0"/>
          <w:marBottom w:val="0"/>
          <w:divBdr>
            <w:top w:val="none" w:sz="0" w:space="0" w:color="auto"/>
            <w:left w:val="none" w:sz="0" w:space="0" w:color="auto"/>
            <w:bottom w:val="none" w:sz="0" w:space="0" w:color="auto"/>
            <w:right w:val="none" w:sz="0" w:space="0" w:color="auto"/>
          </w:divBdr>
        </w:div>
        <w:div w:id="1515456338">
          <w:marLeft w:val="480"/>
          <w:marRight w:val="0"/>
          <w:marTop w:val="0"/>
          <w:marBottom w:val="0"/>
          <w:divBdr>
            <w:top w:val="none" w:sz="0" w:space="0" w:color="auto"/>
            <w:left w:val="none" w:sz="0" w:space="0" w:color="auto"/>
            <w:bottom w:val="none" w:sz="0" w:space="0" w:color="auto"/>
            <w:right w:val="none" w:sz="0" w:space="0" w:color="auto"/>
          </w:divBdr>
        </w:div>
        <w:div w:id="1640763128">
          <w:marLeft w:val="480"/>
          <w:marRight w:val="0"/>
          <w:marTop w:val="0"/>
          <w:marBottom w:val="0"/>
          <w:divBdr>
            <w:top w:val="none" w:sz="0" w:space="0" w:color="auto"/>
            <w:left w:val="none" w:sz="0" w:space="0" w:color="auto"/>
            <w:bottom w:val="none" w:sz="0" w:space="0" w:color="auto"/>
            <w:right w:val="none" w:sz="0" w:space="0" w:color="auto"/>
          </w:divBdr>
        </w:div>
        <w:div w:id="1068964898">
          <w:marLeft w:val="480"/>
          <w:marRight w:val="0"/>
          <w:marTop w:val="0"/>
          <w:marBottom w:val="0"/>
          <w:divBdr>
            <w:top w:val="none" w:sz="0" w:space="0" w:color="auto"/>
            <w:left w:val="none" w:sz="0" w:space="0" w:color="auto"/>
            <w:bottom w:val="none" w:sz="0" w:space="0" w:color="auto"/>
            <w:right w:val="none" w:sz="0" w:space="0" w:color="auto"/>
          </w:divBdr>
        </w:div>
        <w:div w:id="1243640853">
          <w:marLeft w:val="480"/>
          <w:marRight w:val="0"/>
          <w:marTop w:val="0"/>
          <w:marBottom w:val="0"/>
          <w:divBdr>
            <w:top w:val="none" w:sz="0" w:space="0" w:color="auto"/>
            <w:left w:val="none" w:sz="0" w:space="0" w:color="auto"/>
            <w:bottom w:val="none" w:sz="0" w:space="0" w:color="auto"/>
            <w:right w:val="none" w:sz="0" w:space="0" w:color="auto"/>
          </w:divBdr>
        </w:div>
        <w:div w:id="1709333496">
          <w:marLeft w:val="480"/>
          <w:marRight w:val="0"/>
          <w:marTop w:val="0"/>
          <w:marBottom w:val="0"/>
          <w:divBdr>
            <w:top w:val="none" w:sz="0" w:space="0" w:color="auto"/>
            <w:left w:val="none" w:sz="0" w:space="0" w:color="auto"/>
            <w:bottom w:val="none" w:sz="0" w:space="0" w:color="auto"/>
            <w:right w:val="none" w:sz="0" w:space="0" w:color="auto"/>
          </w:divBdr>
        </w:div>
        <w:div w:id="1663073575">
          <w:marLeft w:val="480"/>
          <w:marRight w:val="0"/>
          <w:marTop w:val="0"/>
          <w:marBottom w:val="0"/>
          <w:divBdr>
            <w:top w:val="none" w:sz="0" w:space="0" w:color="auto"/>
            <w:left w:val="none" w:sz="0" w:space="0" w:color="auto"/>
            <w:bottom w:val="none" w:sz="0" w:space="0" w:color="auto"/>
            <w:right w:val="none" w:sz="0" w:space="0" w:color="auto"/>
          </w:divBdr>
        </w:div>
        <w:div w:id="1630553516">
          <w:marLeft w:val="480"/>
          <w:marRight w:val="0"/>
          <w:marTop w:val="0"/>
          <w:marBottom w:val="0"/>
          <w:divBdr>
            <w:top w:val="none" w:sz="0" w:space="0" w:color="auto"/>
            <w:left w:val="none" w:sz="0" w:space="0" w:color="auto"/>
            <w:bottom w:val="none" w:sz="0" w:space="0" w:color="auto"/>
            <w:right w:val="none" w:sz="0" w:space="0" w:color="auto"/>
          </w:divBdr>
        </w:div>
        <w:div w:id="2123648649">
          <w:marLeft w:val="480"/>
          <w:marRight w:val="0"/>
          <w:marTop w:val="0"/>
          <w:marBottom w:val="0"/>
          <w:divBdr>
            <w:top w:val="none" w:sz="0" w:space="0" w:color="auto"/>
            <w:left w:val="none" w:sz="0" w:space="0" w:color="auto"/>
            <w:bottom w:val="none" w:sz="0" w:space="0" w:color="auto"/>
            <w:right w:val="none" w:sz="0" w:space="0" w:color="auto"/>
          </w:divBdr>
        </w:div>
        <w:div w:id="2109039950">
          <w:marLeft w:val="480"/>
          <w:marRight w:val="0"/>
          <w:marTop w:val="0"/>
          <w:marBottom w:val="0"/>
          <w:divBdr>
            <w:top w:val="none" w:sz="0" w:space="0" w:color="auto"/>
            <w:left w:val="none" w:sz="0" w:space="0" w:color="auto"/>
            <w:bottom w:val="none" w:sz="0" w:space="0" w:color="auto"/>
            <w:right w:val="none" w:sz="0" w:space="0" w:color="auto"/>
          </w:divBdr>
        </w:div>
        <w:div w:id="387149197">
          <w:marLeft w:val="480"/>
          <w:marRight w:val="0"/>
          <w:marTop w:val="0"/>
          <w:marBottom w:val="0"/>
          <w:divBdr>
            <w:top w:val="none" w:sz="0" w:space="0" w:color="auto"/>
            <w:left w:val="none" w:sz="0" w:space="0" w:color="auto"/>
            <w:bottom w:val="none" w:sz="0" w:space="0" w:color="auto"/>
            <w:right w:val="none" w:sz="0" w:space="0" w:color="auto"/>
          </w:divBdr>
        </w:div>
        <w:div w:id="1582639224">
          <w:marLeft w:val="480"/>
          <w:marRight w:val="0"/>
          <w:marTop w:val="0"/>
          <w:marBottom w:val="0"/>
          <w:divBdr>
            <w:top w:val="none" w:sz="0" w:space="0" w:color="auto"/>
            <w:left w:val="none" w:sz="0" w:space="0" w:color="auto"/>
            <w:bottom w:val="none" w:sz="0" w:space="0" w:color="auto"/>
            <w:right w:val="none" w:sz="0" w:space="0" w:color="auto"/>
          </w:divBdr>
        </w:div>
        <w:div w:id="427971027">
          <w:marLeft w:val="480"/>
          <w:marRight w:val="0"/>
          <w:marTop w:val="0"/>
          <w:marBottom w:val="0"/>
          <w:divBdr>
            <w:top w:val="none" w:sz="0" w:space="0" w:color="auto"/>
            <w:left w:val="none" w:sz="0" w:space="0" w:color="auto"/>
            <w:bottom w:val="none" w:sz="0" w:space="0" w:color="auto"/>
            <w:right w:val="none" w:sz="0" w:space="0" w:color="auto"/>
          </w:divBdr>
        </w:div>
        <w:div w:id="930816250">
          <w:marLeft w:val="480"/>
          <w:marRight w:val="0"/>
          <w:marTop w:val="0"/>
          <w:marBottom w:val="0"/>
          <w:divBdr>
            <w:top w:val="none" w:sz="0" w:space="0" w:color="auto"/>
            <w:left w:val="none" w:sz="0" w:space="0" w:color="auto"/>
            <w:bottom w:val="none" w:sz="0" w:space="0" w:color="auto"/>
            <w:right w:val="none" w:sz="0" w:space="0" w:color="auto"/>
          </w:divBdr>
        </w:div>
        <w:div w:id="719132522">
          <w:marLeft w:val="480"/>
          <w:marRight w:val="0"/>
          <w:marTop w:val="0"/>
          <w:marBottom w:val="0"/>
          <w:divBdr>
            <w:top w:val="none" w:sz="0" w:space="0" w:color="auto"/>
            <w:left w:val="none" w:sz="0" w:space="0" w:color="auto"/>
            <w:bottom w:val="none" w:sz="0" w:space="0" w:color="auto"/>
            <w:right w:val="none" w:sz="0" w:space="0" w:color="auto"/>
          </w:divBdr>
        </w:div>
        <w:div w:id="1588807961">
          <w:marLeft w:val="480"/>
          <w:marRight w:val="0"/>
          <w:marTop w:val="0"/>
          <w:marBottom w:val="0"/>
          <w:divBdr>
            <w:top w:val="none" w:sz="0" w:space="0" w:color="auto"/>
            <w:left w:val="none" w:sz="0" w:space="0" w:color="auto"/>
            <w:bottom w:val="none" w:sz="0" w:space="0" w:color="auto"/>
            <w:right w:val="none" w:sz="0" w:space="0" w:color="auto"/>
          </w:divBdr>
        </w:div>
        <w:div w:id="1652556123">
          <w:marLeft w:val="480"/>
          <w:marRight w:val="0"/>
          <w:marTop w:val="0"/>
          <w:marBottom w:val="0"/>
          <w:divBdr>
            <w:top w:val="none" w:sz="0" w:space="0" w:color="auto"/>
            <w:left w:val="none" w:sz="0" w:space="0" w:color="auto"/>
            <w:bottom w:val="none" w:sz="0" w:space="0" w:color="auto"/>
            <w:right w:val="none" w:sz="0" w:space="0" w:color="auto"/>
          </w:divBdr>
        </w:div>
        <w:div w:id="29455326">
          <w:marLeft w:val="480"/>
          <w:marRight w:val="0"/>
          <w:marTop w:val="0"/>
          <w:marBottom w:val="0"/>
          <w:divBdr>
            <w:top w:val="none" w:sz="0" w:space="0" w:color="auto"/>
            <w:left w:val="none" w:sz="0" w:space="0" w:color="auto"/>
            <w:bottom w:val="none" w:sz="0" w:space="0" w:color="auto"/>
            <w:right w:val="none" w:sz="0" w:space="0" w:color="auto"/>
          </w:divBdr>
        </w:div>
        <w:div w:id="627977467">
          <w:marLeft w:val="480"/>
          <w:marRight w:val="0"/>
          <w:marTop w:val="0"/>
          <w:marBottom w:val="0"/>
          <w:divBdr>
            <w:top w:val="none" w:sz="0" w:space="0" w:color="auto"/>
            <w:left w:val="none" w:sz="0" w:space="0" w:color="auto"/>
            <w:bottom w:val="none" w:sz="0" w:space="0" w:color="auto"/>
            <w:right w:val="none" w:sz="0" w:space="0" w:color="auto"/>
          </w:divBdr>
        </w:div>
        <w:div w:id="552084056">
          <w:marLeft w:val="480"/>
          <w:marRight w:val="0"/>
          <w:marTop w:val="0"/>
          <w:marBottom w:val="0"/>
          <w:divBdr>
            <w:top w:val="none" w:sz="0" w:space="0" w:color="auto"/>
            <w:left w:val="none" w:sz="0" w:space="0" w:color="auto"/>
            <w:bottom w:val="none" w:sz="0" w:space="0" w:color="auto"/>
            <w:right w:val="none" w:sz="0" w:space="0" w:color="auto"/>
          </w:divBdr>
        </w:div>
        <w:div w:id="709502214">
          <w:marLeft w:val="480"/>
          <w:marRight w:val="0"/>
          <w:marTop w:val="0"/>
          <w:marBottom w:val="0"/>
          <w:divBdr>
            <w:top w:val="none" w:sz="0" w:space="0" w:color="auto"/>
            <w:left w:val="none" w:sz="0" w:space="0" w:color="auto"/>
            <w:bottom w:val="none" w:sz="0" w:space="0" w:color="auto"/>
            <w:right w:val="none" w:sz="0" w:space="0" w:color="auto"/>
          </w:divBdr>
        </w:div>
        <w:div w:id="1698656576">
          <w:marLeft w:val="480"/>
          <w:marRight w:val="0"/>
          <w:marTop w:val="0"/>
          <w:marBottom w:val="0"/>
          <w:divBdr>
            <w:top w:val="none" w:sz="0" w:space="0" w:color="auto"/>
            <w:left w:val="none" w:sz="0" w:space="0" w:color="auto"/>
            <w:bottom w:val="none" w:sz="0" w:space="0" w:color="auto"/>
            <w:right w:val="none" w:sz="0" w:space="0" w:color="auto"/>
          </w:divBdr>
        </w:div>
        <w:div w:id="1604263203">
          <w:marLeft w:val="480"/>
          <w:marRight w:val="0"/>
          <w:marTop w:val="0"/>
          <w:marBottom w:val="0"/>
          <w:divBdr>
            <w:top w:val="none" w:sz="0" w:space="0" w:color="auto"/>
            <w:left w:val="none" w:sz="0" w:space="0" w:color="auto"/>
            <w:bottom w:val="none" w:sz="0" w:space="0" w:color="auto"/>
            <w:right w:val="none" w:sz="0" w:space="0" w:color="auto"/>
          </w:divBdr>
        </w:div>
        <w:div w:id="1595236609">
          <w:marLeft w:val="480"/>
          <w:marRight w:val="0"/>
          <w:marTop w:val="0"/>
          <w:marBottom w:val="0"/>
          <w:divBdr>
            <w:top w:val="none" w:sz="0" w:space="0" w:color="auto"/>
            <w:left w:val="none" w:sz="0" w:space="0" w:color="auto"/>
            <w:bottom w:val="none" w:sz="0" w:space="0" w:color="auto"/>
            <w:right w:val="none" w:sz="0" w:space="0" w:color="auto"/>
          </w:divBdr>
        </w:div>
        <w:div w:id="315839222">
          <w:marLeft w:val="480"/>
          <w:marRight w:val="0"/>
          <w:marTop w:val="0"/>
          <w:marBottom w:val="0"/>
          <w:divBdr>
            <w:top w:val="none" w:sz="0" w:space="0" w:color="auto"/>
            <w:left w:val="none" w:sz="0" w:space="0" w:color="auto"/>
            <w:bottom w:val="none" w:sz="0" w:space="0" w:color="auto"/>
            <w:right w:val="none" w:sz="0" w:space="0" w:color="auto"/>
          </w:divBdr>
        </w:div>
        <w:div w:id="1098721744">
          <w:marLeft w:val="480"/>
          <w:marRight w:val="0"/>
          <w:marTop w:val="0"/>
          <w:marBottom w:val="0"/>
          <w:divBdr>
            <w:top w:val="none" w:sz="0" w:space="0" w:color="auto"/>
            <w:left w:val="none" w:sz="0" w:space="0" w:color="auto"/>
            <w:bottom w:val="none" w:sz="0" w:space="0" w:color="auto"/>
            <w:right w:val="none" w:sz="0" w:space="0" w:color="auto"/>
          </w:divBdr>
        </w:div>
        <w:div w:id="782773543">
          <w:marLeft w:val="480"/>
          <w:marRight w:val="0"/>
          <w:marTop w:val="0"/>
          <w:marBottom w:val="0"/>
          <w:divBdr>
            <w:top w:val="none" w:sz="0" w:space="0" w:color="auto"/>
            <w:left w:val="none" w:sz="0" w:space="0" w:color="auto"/>
            <w:bottom w:val="none" w:sz="0" w:space="0" w:color="auto"/>
            <w:right w:val="none" w:sz="0" w:space="0" w:color="auto"/>
          </w:divBdr>
        </w:div>
        <w:div w:id="1162770044">
          <w:marLeft w:val="480"/>
          <w:marRight w:val="0"/>
          <w:marTop w:val="0"/>
          <w:marBottom w:val="0"/>
          <w:divBdr>
            <w:top w:val="none" w:sz="0" w:space="0" w:color="auto"/>
            <w:left w:val="none" w:sz="0" w:space="0" w:color="auto"/>
            <w:bottom w:val="none" w:sz="0" w:space="0" w:color="auto"/>
            <w:right w:val="none" w:sz="0" w:space="0" w:color="auto"/>
          </w:divBdr>
        </w:div>
        <w:div w:id="285046240">
          <w:marLeft w:val="480"/>
          <w:marRight w:val="0"/>
          <w:marTop w:val="0"/>
          <w:marBottom w:val="0"/>
          <w:divBdr>
            <w:top w:val="none" w:sz="0" w:space="0" w:color="auto"/>
            <w:left w:val="none" w:sz="0" w:space="0" w:color="auto"/>
            <w:bottom w:val="none" w:sz="0" w:space="0" w:color="auto"/>
            <w:right w:val="none" w:sz="0" w:space="0" w:color="auto"/>
          </w:divBdr>
        </w:div>
        <w:div w:id="936140348">
          <w:marLeft w:val="480"/>
          <w:marRight w:val="0"/>
          <w:marTop w:val="0"/>
          <w:marBottom w:val="0"/>
          <w:divBdr>
            <w:top w:val="none" w:sz="0" w:space="0" w:color="auto"/>
            <w:left w:val="none" w:sz="0" w:space="0" w:color="auto"/>
            <w:bottom w:val="none" w:sz="0" w:space="0" w:color="auto"/>
            <w:right w:val="none" w:sz="0" w:space="0" w:color="auto"/>
          </w:divBdr>
        </w:div>
        <w:div w:id="917982431">
          <w:marLeft w:val="480"/>
          <w:marRight w:val="0"/>
          <w:marTop w:val="0"/>
          <w:marBottom w:val="0"/>
          <w:divBdr>
            <w:top w:val="none" w:sz="0" w:space="0" w:color="auto"/>
            <w:left w:val="none" w:sz="0" w:space="0" w:color="auto"/>
            <w:bottom w:val="none" w:sz="0" w:space="0" w:color="auto"/>
            <w:right w:val="none" w:sz="0" w:space="0" w:color="auto"/>
          </w:divBdr>
        </w:div>
        <w:div w:id="565146475">
          <w:marLeft w:val="480"/>
          <w:marRight w:val="0"/>
          <w:marTop w:val="0"/>
          <w:marBottom w:val="0"/>
          <w:divBdr>
            <w:top w:val="none" w:sz="0" w:space="0" w:color="auto"/>
            <w:left w:val="none" w:sz="0" w:space="0" w:color="auto"/>
            <w:bottom w:val="none" w:sz="0" w:space="0" w:color="auto"/>
            <w:right w:val="none" w:sz="0" w:space="0" w:color="auto"/>
          </w:divBdr>
        </w:div>
        <w:div w:id="218446328">
          <w:marLeft w:val="480"/>
          <w:marRight w:val="0"/>
          <w:marTop w:val="0"/>
          <w:marBottom w:val="0"/>
          <w:divBdr>
            <w:top w:val="none" w:sz="0" w:space="0" w:color="auto"/>
            <w:left w:val="none" w:sz="0" w:space="0" w:color="auto"/>
            <w:bottom w:val="none" w:sz="0" w:space="0" w:color="auto"/>
            <w:right w:val="none" w:sz="0" w:space="0" w:color="auto"/>
          </w:divBdr>
        </w:div>
        <w:div w:id="1927615200">
          <w:marLeft w:val="480"/>
          <w:marRight w:val="0"/>
          <w:marTop w:val="0"/>
          <w:marBottom w:val="0"/>
          <w:divBdr>
            <w:top w:val="none" w:sz="0" w:space="0" w:color="auto"/>
            <w:left w:val="none" w:sz="0" w:space="0" w:color="auto"/>
            <w:bottom w:val="none" w:sz="0" w:space="0" w:color="auto"/>
            <w:right w:val="none" w:sz="0" w:space="0" w:color="auto"/>
          </w:divBdr>
        </w:div>
        <w:div w:id="885600946">
          <w:marLeft w:val="480"/>
          <w:marRight w:val="0"/>
          <w:marTop w:val="0"/>
          <w:marBottom w:val="0"/>
          <w:divBdr>
            <w:top w:val="none" w:sz="0" w:space="0" w:color="auto"/>
            <w:left w:val="none" w:sz="0" w:space="0" w:color="auto"/>
            <w:bottom w:val="none" w:sz="0" w:space="0" w:color="auto"/>
            <w:right w:val="none" w:sz="0" w:space="0" w:color="auto"/>
          </w:divBdr>
        </w:div>
        <w:div w:id="1813136028">
          <w:marLeft w:val="480"/>
          <w:marRight w:val="0"/>
          <w:marTop w:val="0"/>
          <w:marBottom w:val="0"/>
          <w:divBdr>
            <w:top w:val="none" w:sz="0" w:space="0" w:color="auto"/>
            <w:left w:val="none" w:sz="0" w:space="0" w:color="auto"/>
            <w:bottom w:val="none" w:sz="0" w:space="0" w:color="auto"/>
            <w:right w:val="none" w:sz="0" w:space="0" w:color="auto"/>
          </w:divBdr>
        </w:div>
        <w:div w:id="2046252226">
          <w:marLeft w:val="480"/>
          <w:marRight w:val="0"/>
          <w:marTop w:val="0"/>
          <w:marBottom w:val="0"/>
          <w:divBdr>
            <w:top w:val="none" w:sz="0" w:space="0" w:color="auto"/>
            <w:left w:val="none" w:sz="0" w:space="0" w:color="auto"/>
            <w:bottom w:val="none" w:sz="0" w:space="0" w:color="auto"/>
            <w:right w:val="none" w:sz="0" w:space="0" w:color="auto"/>
          </w:divBdr>
        </w:div>
        <w:div w:id="675575848">
          <w:marLeft w:val="480"/>
          <w:marRight w:val="0"/>
          <w:marTop w:val="0"/>
          <w:marBottom w:val="0"/>
          <w:divBdr>
            <w:top w:val="none" w:sz="0" w:space="0" w:color="auto"/>
            <w:left w:val="none" w:sz="0" w:space="0" w:color="auto"/>
            <w:bottom w:val="none" w:sz="0" w:space="0" w:color="auto"/>
            <w:right w:val="none" w:sz="0" w:space="0" w:color="auto"/>
          </w:divBdr>
        </w:div>
        <w:div w:id="1031302108">
          <w:marLeft w:val="480"/>
          <w:marRight w:val="0"/>
          <w:marTop w:val="0"/>
          <w:marBottom w:val="0"/>
          <w:divBdr>
            <w:top w:val="none" w:sz="0" w:space="0" w:color="auto"/>
            <w:left w:val="none" w:sz="0" w:space="0" w:color="auto"/>
            <w:bottom w:val="none" w:sz="0" w:space="0" w:color="auto"/>
            <w:right w:val="none" w:sz="0" w:space="0" w:color="auto"/>
          </w:divBdr>
        </w:div>
        <w:div w:id="2021614242">
          <w:marLeft w:val="480"/>
          <w:marRight w:val="0"/>
          <w:marTop w:val="0"/>
          <w:marBottom w:val="0"/>
          <w:divBdr>
            <w:top w:val="none" w:sz="0" w:space="0" w:color="auto"/>
            <w:left w:val="none" w:sz="0" w:space="0" w:color="auto"/>
            <w:bottom w:val="none" w:sz="0" w:space="0" w:color="auto"/>
            <w:right w:val="none" w:sz="0" w:space="0" w:color="auto"/>
          </w:divBdr>
        </w:div>
        <w:div w:id="124936591">
          <w:marLeft w:val="480"/>
          <w:marRight w:val="0"/>
          <w:marTop w:val="0"/>
          <w:marBottom w:val="0"/>
          <w:divBdr>
            <w:top w:val="none" w:sz="0" w:space="0" w:color="auto"/>
            <w:left w:val="none" w:sz="0" w:space="0" w:color="auto"/>
            <w:bottom w:val="none" w:sz="0" w:space="0" w:color="auto"/>
            <w:right w:val="none" w:sz="0" w:space="0" w:color="auto"/>
          </w:divBdr>
        </w:div>
        <w:div w:id="1227716816">
          <w:marLeft w:val="480"/>
          <w:marRight w:val="0"/>
          <w:marTop w:val="0"/>
          <w:marBottom w:val="0"/>
          <w:divBdr>
            <w:top w:val="none" w:sz="0" w:space="0" w:color="auto"/>
            <w:left w:val="none" w:sz="0" w:space="0" w:color="auto"/>
            <w:bottom w:val="none" w:sz="0" w:space="0" w:color="auto"/>
            <w:right w:val="none" w:sz="0" w:space="0" w:color="auto"/>
          </w:divBdr>
        </w:div>
        <w:div w:id="1870606736">
          <w:marLeft w:val="480"/>
          <w:marRight w:val="0"/>
          <w:marTop w:val="0"/>
          <w:marBottom w:val="0"/>
          <w:divBdr>
            <w:top w:val="none" w:sz="0" w:space="0" w:color="auto"/>
            <w:left w:val="none" w:sz="0" w:space="0" w:color="auto"/>
            <w:bottom w:val="none" w:sz="0" w:space="0" w:color="auto"/>
            <w:right w:val="none" w:sz="0" w:space="0" w:color="auto"/>
          </w:divBdr>
        </w:div>
        <w:div w:id="61297126">
          <w:marLeft w:val="480"/>
          <w:marRight w:val="0"/>
          <w:marTop w:val="0"/>
          <w:marBottom w:val="0"/>
          <w:divBdr>
            <w:top w:val="none" w:sz="0" w:space="0" w:color="auto"/>
            <w:left w:val="none" w:sz="0" w:space="0" w:color="auto"/>
            <w:bottom w:val="none" w:sz="0" w:space="0" w:color="auto"/>
            <w:right w:val="none" w:sz="0" w:space="0" w:color="auto"/>
          </w:divBdr>
        </w:div>
        <w:div w:id="1994530476">
          <w:marLeft w:val="480"/>
          <w:marRight w:val="0"/>
          <w:marTop w:val="0"/>
          <w:marBottom w:val="0"/>
          <w:divBdr>
            <w:top w:val="none" w:sz="0" w:space="0" w:color="auto"/>
            <w:left w:val="none" w:sz="0" w:space="0" w:color="auto"/>
            <w:bottom w:val="none" w:sz="0" w:space="0" w:color="auto"/>
            <w:right w:val="none" w:sz="0" w:space="0" w:color="auto"/>
          </w:divBdr>
        </w:div>
        <w:div w:id="744958798">
          <w:marLeft w:val="480"/>
          <w:marRight w:val="0"/>
          <w:marTop w:val="0"/>
          <w:marBottom w:val="0"/>
          <w:divBdr>
            <w:top w:val="none" w:sz="0" w:space="0" w:color="auto"/>
            <w:left w:val="none" w:sz="0" w:space="0" w:color="auto"/>
            <w:bottom w:val="none" w:sz="0" w:space="0" w:color="auto"/>
            <w:right w:val="none" w:sz="0" w:space="0" w:color="auto"/>
          </w:divBdr>
        </w:div>
        <w:div w:id="1925796615">
          <w:marLeft w:val="480"/>
          <w:marRight w:val="0"/>
          <w:marTop w:val="0"/>
          <w:marBottom w:val="0"/>
          <w:divBdr>
            <w:top w:val="none" w:sz="0" w:space="0" w:color="auto"/>
            <w:left w:val="none" w:sz="0" w:space="0" w:color="auto"/>
            <w:bottom w:val="none" w:sz="0" w:space="0" w:color="auto"/>
            <w:right w:val="none" w:sz="0" w:space="0" w:color="auto"/>
          </w:divBdr>
        </w:div>
        <w:div w:id="1228616329">
          <w:marLeft w:val="480"/>
          <w:marRight w:val="0"/>
          <w:marTop w:val="0"/>
          <w:marBottom w:val="0"/>
          <w:divBdr>
            <w:top w:val="none" w:sz="0" w:space="0" w:color="auto"/>
            <w:left w:val="none" w:sz="0" w:space="0" w:color="auto"/>
            <w:bottom w:val="none" w:sz="0" w:space="0" w:color="auto"/>
            <w:right w:val="none" w:sz="0" w:space="0" w:color="auto"/>
          </w:divBdr>
        </w:div>
        <w:div w:id="1126462950">
          <w:marLeft w:val="480"/>
          <w:marRight w:val="0"/>
          <w:marTop w:val="0"/>
          <w:marBottom w:val="0"/>
          <w:divBdr>
            <w:top w:val="none" w:sz="0" w:space="0" w:color="auto"/>
            <w:left w:val="none" w:sz="0" w:space="0" w:color="auto"/>
            <w:bottom w:val="none" w:sz="0" w:space="0" w:color="auto"/>
            <w:right w:val="none" w:sz="0" w:space="0" w:color="auto"/>
          </w:divBdr>
        </w:div>
        <w:div w:id="325667562">
          <w:marLeft w:val="480"/>
          <w:marRight w:val="0"/>
          <w:marTop w:val="0"/>
          <w:marBottom w:val="0"/>
          <w:divBdr>
            <w:top w:val="none" w:sz="0" w:space="0" w:color="auto"/>
            <w:left w:val="none" w:sz="0" w:space="0" w:color="auto"/>
            <w:bottom w:val="none" w:sz="0" w:space="0" w:color="auto"/>
            <w:right w:val="none" w:sz="0" w:space="0" w:color="auto"/>
          </w:divBdr>
        </w:div>
        <w:div w:id="133304866">
          <w:marLeft w:val="480"/>
          <w:marRight w:val="0"/>
          <w:marTop w:val="0"/>
          <w:marBottom w:val="0"/>
          <w:divBdr>
            <w:top w:val="none" w:sz="0" w:space="0" w:color="auto"/>
            <w:left w:val="none" w:sz="0" w:space="0" w:color="auto"/>
            <w:bottom w:val="none" w:sz="0" w:space="0" w:color="auto"/>
            <w:right w:val="none" w:sz="0" w:space="0" w:color="auto"/>
          </w:divBdr>
        </w:div>
        <w:div w:id="781339106">
          <w:marLeft w:val="480"/>
          <w:marRight w:val="0"/>
          <w:marTop w:val="0"/>
          <w:marBottom w:val="0"/>
          <w:divBdr>
            <w:top w:val="none" w:sz="0" w:space="0" w:color="auto"/>
            <w:left w:val="none" w:sz="0" w:space="0" w:color="auto"/>
            <w:bottom w:val="none" w:sz="0" w:space="0" w:color="auto"/>
            <w:right w:val="none" w:sz="0" w:space="0" w:color="auto"/>
          </w:divBdr>
        </w:div>
        <w:div w:id="304697515">
          <w:marLeft w:val="480"/>
          <w:marRight w:val="0"/>
          <w:marTop w:val="0"/>
          <w:marBottom w:val="0"/>
          <w:divBdr>
            <w:top w:val="none" w:sz="0" w:space="0" w:color="auto"/>
            <w:left w:val="none" w:sz="0" w:space="0" w:color="auto"/>
            <w:bottom w:val="none" w:sz="0" w:space="0" w:color="auto"/>
            <w:right w:val="none" w:sz="0" w:space="0" w:color="auto"/>
          </w:divBdr>
        </w:div>
        <w:div w:id="1188711424">
          <w:marLeft w:val="480"/>
          <w:marRight w:val="0"/>
          <w:marTop w:val="0"/>
          <w:marBottom w:val="0"/>
          <w:divBdr>
            <w:top w:val="none" w:sz="0" w:space="0" w:color="auto"/>
            <w:left w:val="none" w:sz="0" w:space="0" w:color="auto"/>
            <w:bottom w:val="none" w:sz="0" w:space="0" w:color="auto"/>
            <w:right w:val="none" w:sz="0" w:space="0" w:color="auto"/>
          </w:divBdr>
        </w:div>
        <w:div w:id="1161657888">
          <w:marLeft w:val="480"/>
          <w:marRight w:val="0"/>
          <w:marTop w:val="0"/>
          <w:marBottom w:val="0"/>
          <w:divBdr>
            <w:top w:val="none" w:sz="0" w:space="0" w:color="auto"/>
            <w:left w:val="none" w:sz="0" w:space="0" w:color="auto"/>
            <w:bottom w:val="none" w:sz="0" w:space="0" w:color="auto"/>
            <w:right w:val="none" w:sz="0" w:space="0" w:color="auto"/>
          </w:divBdr>
        </w:div>
        <w:div w:id="979312429">
          <w:marLeft w:val="480"/>
          <w:marRight w:val="0"/>
          <w:marTop w:val="0"/>
          <w:marBottom w:val="0"/>
          <w:divBdr>
            <w:top w:val="none" w:sz="0" w:space="0" w:color="auto"/>
            <w:left w:val="none" w:sz="0" w:space="0" w:color="auto"/>
            <w:bottom w:val="none" w:sz="0" w:space="0" w:color="auto"/>
            <w:right w:val="none" w:sz="0" w:space="0" w:color="auto"/>
          </w:divBdr>
        </w:div>
        <w:div w:id="628434087">
          <w:marLeft w:val="480"/>
          <w:marRight w:val="0"/>
          <w:marTop w:val="0"/>
          <w:marBottom w:val="0"/>
          <w:divBdr>
            <w:top w:val="none" w:sz="0" w:space="0" w:color="auto"/>
            <w:left w:val="none" w:sz="0" w:space="0" w:color="auto"/>
            <w:bottom w:val="none" w:sz="0" w:space="0" w:color="auto"/>
            <w:right w:val="none" w:sz="0" w:space="0" w:color="auto"/>
          </w:divBdr>
        </w:div>
        <w:div w:id="534736935">
          <w:marLeft w:val="480"/>
          <w:marRight w:val="0"/>
          <w:marTop w:val="0"/>
          <w:marBottom w:val="0"/>
          <w:divBdr>
            <w:top w:val="none" w:sz="0" w:space="0" w:color="auto"/>
            <w:left w:val="none" w:sz="0" w:space="0" w:color="auto"/>
            <w:bottom w:val="none" w:sz="0" w:space="0" w:color="auto"/>
            <w:right w:val="none" w:sz="0" w:space="0" w:color="auto"/>
          </w:divBdr>
        </w:div>
        <w:div w:id="733048383">
          <w:marLeft w:val="480"/>
          <w:marRight w:val="0"/>
          <w:marTop w:val="0"/>
          <w:marBottom w:val="0"/>
          <w:divBdr>
            <w:top w:val="none" w:sz="0" w:space="0" w:color="auto"/>
            <w:left w:val="none" w:sz="0" w:space="0" w:color="auto"/>
            <w:bottom w:val="none" w:sz="0" w:space="0" w:color="auto"/>
            <w:right w:val="none" w:sz="0" w:space="0" w:color="auto"/>
          </w:divBdr>
        </w:div>
        <w:div w:id="347680079">
          <w:marLeft w:val="480"/>
          <w:marRight w:val="0"/>
          <w:marTop w:val="0"/>
          <w:marBottom w:val="0"/>
          <w:divBdr>
            <w:top w:val="none" w:sz="0" w:space="0" w:color="auto"/>
            <w:left w:val="none" w:sz="0" w:space="0" w:color="auto"/>
            <w:bottom w:val="none" w:sz="0" w:space="0" w:color="auto"/>
            <w:right w:val="none" w:sz="0" w:space="0" w:color="auto"/>
          </w:divBdr>
        </w:div>
        <w:div w:id="919369264">
          <w:marLeft w:val="480"/>
          <w:marRight w:val="0"/>
          <w:marTop w:val="0"/>
          <w:marBottom w:val="0"/>
          <w:divBdr>
            <w:top w:val="none" w:sz="0" w:space="0" w:color="auto"/>
            <w:left w:val="none" w:sz="0" w:space="0" w:color="auto"/>
            <w:bottom w:val="none" w:sz="0" w:space="0" w:color="auto"/>
            <w:right w:val="none" w:sz="0" w:space="0" w:color="auto"/>
          </w:divBdr>
        </w:div>
        <w:div w:id="1154300658">
          <w:marLeft w:val="480"/>
          <w:marRight w:val="0"/>
          <w:marTop w:val="0"/>
          <w:marBottom w:val="0"/>
          <w:divBdr>
            <w:top w:val="none" w:sz="0" w:space="0" w:color="auto"/>
            <w:left w:val="none" w:sz="0" w:space="0" w:color="auto"/>
            <w:bottom w:val="none" w:sz="0" w:space="0" w:color="auto"/>
            <w:right w:val="none" w:sz="0" w:space="0" w:color="auto"/>
          </w:divBdr>
        </w:div>
        <w:div w:id="2133207125">
          <w:marLeft w:val="480"/>
          <w:marRight w:val="0"/>
          <w:marTop w:val="0"/>
          <w:marBottom w:val="0"/>
          <w:divBdr>
            <w:top w:val="none" w:sz="0" w:space="0" w:color="auto"/>
            <w:left w:val="none" w:sz="0" w:space="0" w:color="auto"/>
            <w:bottom w:val="none" w:sz="0" w:space="0" w:color="auto"/>
            <w:right w:val="none" w:sz="0" w:space="0" w:color="auto"/>
          </w:divBdr>
        </w:div>
        <w:div w:id="1678846635">
          <w:marLeft w:val="480"/>
          <w:marRight w:val="0"/>
          <w:marTop w:val="0"/>
          <w:marBottom w:val="0"/>
          <w:divBdr>
            <w:top w:val="none" w:sz="0" w:space="0" w:color="auto"/>
            <w:left w:val="none" w:sz="0" w:space="0" w:color="auto"/>
            <w:bottom w:val="none" w:sz="0" w:space="0" w:color="auto"/>
            <w:right w:val="none" w:sz="0" w:space="0" w:color="auto"/>
          </w:divBdr>
        </w:div>
        <w:div w:id="1713528965">
          <w:marLeft w:val="480"/>
          <w:marRight w:val="0"/>
          <w:marTop w:val="0"/>
          <w:marBottom w:val="0"/>
          <w:divBdr>
            <w:top w:val="none" w:sz="0" w:space="0" w:color="auto"/>
            <w:left w:val="none" w:sz="0" w:space="0" w:color="auto"/>
            <w:bottom w:val="none" w:sz="0" w:space="0" w:color="auto"/>
            <w:right w:val="none" w:sz="0" w:space="0" w:color="auto"/>
          </w:divBdr>
        </w:div>
        <w:div w:id="27800355">
          <w:marLeft w:val="480"/>
          <w:marRight w:val="0"/>
          <w:marTop w:val="0"/>
          <w:marBottom w:val="0"/>
          <w:divBdr>
            <w:top w:val="none" w:sz="0" w:space="0" w:color="auto"/>
            <w:left w:val="none" w:sz="0" w:space="0" w:color="auto"/>
            <w:bottom w:val="none" w:sz="0" w:space="0" w:color="auto"/>
            <w:right w:val="none" w:sz="0" w:space="0" w:color="auto"/>
          </w:divBdr>
        </w:div>
        <w:div w:id="1618026164">
          <w:marLeft w:val="480"/>
          <w:marRight w:val="0"/>
          <w:marTop w:val="0"/>
          <w:marBottom w:val="0"/>
          <w:divBdr>
            <w:top w:val="none" w:sz="0" w:space="0" w:color="auto"/>
            <w:left w:val="none" w:sz="0" w:space="0" w:color="auto"/>
            <w:bottom w:val="none" w:sz="0" w:space="0" w:color="auto"/>
            <w:right w:val="none" w:sz="0" w:space="0" w:color="auto"/>
          </w:divBdr>
        </w:div>
        <w:div w:id="1763836334">
          <w:marLeft w:val="480"/>
          <w:marRight w:val="0"/>
          <w:marTop w:val="0"/>
          <w:marBottom w:val="0"/>
          <w:divBdr>
            <w:top w:val="none" w:sz="0" w:space="0" w:color="auto"/>
            <w:left w:val="none" w:sz="0" w:space="0" w:color="auto"/>
            <w:bottom w:val="none" w:sz="0" w:space="0" w:color="auto"/>
            <w:right w:val="none" w:sz="0" w:space="0" w:color="auto"/>
          </w:divBdr>
        </w:div>
        <w:div w:id="1703166655">
          <w:marLeft w:val="480"/>
          <w:marRight w:val="0"/>
          <w:marTop w:val="0"/>
          <w:marBottom w:val="0"/>
          <w:divBdr>
            <w:top w:val="none" w:sz="0" w:space="0" w:color="auto"/>
            <w:left w:val="none" w:sz="0" w:space="0" w:color="auto"/>
            <w:bottom w:val="none" w:sz="0" w:space="0" w:color="auto"/>
            <w:right w:val="none" w:sz="0" w:space="0" w:color="auto"/>
          </w:divBdr>
        </w:div>
        <w:div w:id="833182416">
          <w:marLeft w:val="480"/>
          <w:marRight w:val="0"/>
          <w:marTop w:val="0"/>
          <w:marBottom w:val="0"/>
          <w:divBdr>
            <w:top w:val="none" w:sz="0" w:space="0" w:color="auto"/>
            <w:left w:val="none" w:sz="0" w:space="0" w:color="auto"/>
            <w:bottom w:val="none" w:sz="0" w:space="0" w:color="auto"/>
            <w:right w:val="none" w:sz="0" w:space="0" w:color="auto"/>
          </w:divBdr>
        </w:div>
        <w:div w:id="1949041891">
          <w:marLeft w:val="480"/>
          <w:marRight w:val="0"/>
          <w:marTop w:val="0"/>
          <w:marBottom w:val="0"/>
          <w:divBdr>
            <w:top w:val="none" w:sz="0" w:space="0" w:color="auto"/>
            <w:left w:val="none" w:sz="0" w:space="0" w:color="auto"/>
            <w:bottom w:val="none" w:sz="0" w:space="0" w:color="auto"/>
            <w:right w:val="none" w:sz="0" w:space="0" w:color="auto"/>
          </w:divBdr>
        </w:div>
        <w:div w:id="1996520923">
          <w:marLeft w:val="480"/>
          <w:marRight w:val="0"/>
          <w:marTop w:val="0"/>
          <w:marBottom w:val="0"/>
          <w:divBdr>
            <w:top w:val="none" w:sz="0" w:space="0" w:color="auto"/>
            <w:left w:val="none" w:sz="0" w:space="0" w:color="auto"/>
            <w:bottom w:val="none" w:sz="0" w:space="0" w:color="auto"/>
            <w:right w:val="none" w:sz="0" w:space="0" w:color="auto"/>
          </w:divBdr>
        </w:div>
        <w:div w:id="1814520399">
          <w:marLeft w:val="480"/>
          <w:marRight w:val="0"/>
          <w:marTop w:val="0"/>
          <w:marBottom w:val="0"/>
          <w:divBdr>
            <w:top w:val="none" w:sz="0" w:space="0" w:color="auto"/>
            <w:left w:val="none" w:sz="0" w:space="0" w:color="auto"/>
            <w:bottom w:val="none" w:sz="0" w:space="0" w:color="auto"/>
            <w:right w:val="none" w:sz="0" w:space="0" w:color="auto"/>
          </w:divBdr>
        </w:div>
        <w:div w:id="258677986">
          <w:marLeft w:val="480"/>
          <w:marRight w:val="0"/>
          <w:marTop w:val="0"/>
          <w:marBottom w:val="0"/>
          <w:divBdr>
            <w:top w:val="none" w:sz="0" w:space="0" w:color="auto"/>
            <w:left w:val="none" w:sz="0" w:space="0" w:color="auto"/>
            <w:bottom w:val="none" w:sz="0" w:space="0" w:color="auto"/>
            <w:right w:val="none" w:sz="0" w:space="0" w:color="auto"/>
          </w:divBdr>
        </w:div>
        <w:div w:id="710226515">
          <w:marLeft w:val="480"/>
          <w:marRight w:val="0"/>
          <w:marTop w:val="0"/>
          <w:marBottom w:val="0"/>
          <w:divBdr>
            <w:top w:val="none" w:sz="0" w:space="0" w:color="auto"/>
            <w:left w:val="none" w:sz="0" w:space="0" w:color="auto"/>
            <w:bottom w:val="none" w:sz="0" w:space="0" w:color="auto"/>
            <w:right w:val="none" w:sz="0" w:space="0" w:color="auto"/>
          </w:divBdr>
        </w:div>
        <w:div w:id="954092083">
          <w:marLeft w:val="480"/>
          <w:marRight w:val="0"/>
          <w:marTop w:val="0"/>
          <w:marBottom w:val="0"/>
          <w:divBdr>
            <w:top w:val="none" w:sz="0" w:space="0" w:color="auto"/>
            <w:left w:val="none" w:sz="0" w:space="0" w:color="auto"/>
            <w:bottom w:val="none" w:sz="0" w:space="0" w:color="auto"/>
            <w:right w:val="none" w:sz="0" w:space="0" w:color="auto"/>
          </w:divBdr>
        </w:div>
        <w:div w:id="432701430">
          <w:marLeft w:val="480"/>
          <w:marRight w:val="0"/>
          <w:marTop w:val="0"/>
          <w:marBottom w:val="0"/>
          <w:divBdr>
            <w:top w:val="none" w:sz="0" w:space="0" w:color="auto"/>
            <w:left w:val="none" w:sz="0" w:space="0" w:color="auto"/>
            <w:bottom w:val="none" w:sz="0" w:space="0" w:color="auto"/>
            <w:right w:val="none" w:sz="0" w:space="0" w:color="auto"/>
          </w:divBdr>
        </w:div>
        <w:div w:id="797139925">
          <w:marLeft w:val="480"/>
          <w:marRight w:val="0"/>
          <w:marTop w:val="0"/>
          <w:marBottom w:val="0"/>
          <w:divBdr>
            <w:top w:val="none" w:sz="0" w:space="0" w:color="auto"/>
            <w:left w:val="none" w:sz="0" w:space="0" w:color="auto"/>
            <w:bottom w:val="none" w:sz="0" w:space="0" w:color="auto"/>
            <w:right w:val="none" w:sz="0" w:space="0" w:color="auto"/>
          </w:divBdr>
        </w:div>
        <w:div w:id="397557739">
          <w:marLeft w:val="480"/>
          <w:marRight w:val="0"/>
          <w:marTop w:val="0"/>
          <w:marBottom w:val="0"/>
          <w:divBdr>
            <w:top w:val="none" w:sz="0" w:space="0" w:color="auto"/>
            <w:left w:val="none" w:sz="0" w:space="0" w:color="auto"/>
            <w:bottom w:val="none" w:sz="0" w:space="0" w:color="auto"/>
            <w:right w:val="none" w:sz="0" w:space="0" w:color="auto"/>
          </w:divBdr>
        </w:div>
        <w:div w:id="1109548377">
          <w:marLeft w:val="480"/>
          <w:marRight w:val="0"/>
          <w:marTop w:val="0"/>
          <w:marBottom w:val="0"/>
          <w:divBdr>
            <w:top w:val="none" w:sz="0" w:space="0" w:color="auto"/>
            <w:left w:val="none" w:sz="0" w:space="0" w:color="auto"/>
            <w:bottom w:val="none" w:sz="0" w:space="0" w:color="auto"/>
            <w:right w:val="none" w:sz="0" w:space="0" w:color="auto"/>
          </w:divBdr>
        </w:div>
        <w:div w:id="1263882200">
          <w:marLeft w:val="480"/>
          <w:marRight w:val="0"/>
          <w:marTop w:val="0"/>
          <w:marBottom w:val="0"/>
          <w:divBdr>
            <w:top w:val="none" w:sz="0" w:space="0" w:color="auto"/>
            <w:left w:val="none" w:sz="0" w:space="0" w:color="auto"/>
            <w:bottom w:val="none" w:sz="0" w:space="0" w:color="auto"/>
            <w:right w:val="none" w:sz="0" w:space="0" w:color="auto"/>
          </w:divBdr>
        </w:div>
        <w:div w:id="800656474">
          <w:marLeft w:val="480"/>
          <w:marRight w:val="0"/>
          <w:marTop w:val="0"/>
          <w:marBottom w:val="0"/>
          <w:divBdr>
            <w:top w:val="none" w:sz="0" w:space="0" w:color="auto"/>
            <w:left w:val="none" w:sz="0" w:space="0" w:color="auto"/>
            <w:bottom w:val="none" w:sz="0" w:space="0" w:color="auto"/>
            <w:right w:val="none" w:sz="0" w:space="0" w:color="auto"/>
          </w:divBdr>
        </w:div>
        <w:div w:id="1621915643">
          <w:marLeft w:val="480"/>
          <w:marRight w:val="0"/>
          <w:marTop w:val="0"/>
          <w:marBottom w:val="0"/>
          <w:divBdr>
            <w:top w:val="none" w:sz="0" w:space="0" w:color="auto"/>
            <w:left w:val="none" w:sz="0" w:space="0" w:color="auto"/>
            <w:bottom w:val="none" w:sz="0" w:space="0" w:color="auto"/>
            <w:right w:val="none" w:sz="0" w:space="0" w:color="auto"/>
          </w:divBdr>
        </w:div>
        <w:div w:id="315694611">
          <w:marLeft w:val="480"/>
          <w:marRight w:val="0"/>
          <w:marTop w:val="0"/>
          <w:marBottom w:val="0"/>
          <w:divBdr>
            <w:top w:val="none" w:sz="0" w:space="0" w:color="auto"/>
            <w:left w:val="none" w:sz="0" w:space="0" w:color="auto"/>
            <w:bottom w:val="none" w:sz="0" w:space="0" w:color="auto"/>
            <w:right w:val="none" w:sz="0" w:space="0" w:color="auto"/>
          </w:divBdr>
        </w:div>
        <w:div w:id="1223834705">
          <w:marLeft w:val="480"/>
          <w:marRight w:val="0"/>
          <w:marTop w:val="0"/>
          <w:marBottom w:val="0"/>
          <w:divBdr>
            <w:top w:val="none" w:sz="0" w:space="0" w:color="auto"/>
            <w:left w:val="none" w:sz="0" w:space="0" w:color="auto"/>
            <w:bottom w:val="none" w:sz="0" w:space="0" w:color="auto"/>
            <w:right w:val="none" w:sz="0" w:space="0" w:color="auto"/>
          </w:divBdr>
        </w:div>
        <w:div w:id="382410316">
          <w:marLeft w:val="480"/>
          <w:marRight w:val="0"/>
          <w:marTop w:val="0"/>
          <w:marBottom w:val="0"/>
          <w:divBdr>
            <w:top w:val="none" w:sz="0" w:space="0" w:color="auto"/>
            <w:left w:val="none" w:sz="0" w:space="0" w:color="auto"/>
            <w:bottom w:val="none" w:sz="0" w:space="0" w:color="auto"/>
            <w:right w:val="none" w:sz="0" w:space="0" w:color="auto"/>
          </w:divBdr>
        </w:div>
        <w:div w:id="1223718446">
          <w:marLeft w:val="480"/>
          <w:marRight w:val="0"/>
          <w:marTop w:val="0"/>
          <w:marBottom w:val="0"/>
          <w:divBdr>
            <w:top w:val="none" w:sz="0" w:space="0" w:color="auto"/>
            <w:left w:val="none" w:sz="0" w:space="0" w:color="auto"/>
            <w:bottom w:val="none" w:sz="0" w:space="0" w:color="auto"/>
            <w:right w:val="none" w:sz="0" w:space="0" w:color="auto"/>
          </w:divBdr>
        </w:div>
        <w:div w:id="1527865314">
          <w:marLeft w:val="480"/>
          <w:marRight w:val="0"/>
          <w:marTop w:val="0"/>
          <w:marBottom w:val="0"/>
          <w:divBdr>
            <w:top w:val="none" w:sz="0" w:space="0" w:color="auto"/>
            <w:left w:val="none" w:sz="0" w:space="0" w:color="auto"/>
            <w:bottom w:val="none" w:sz="0" w:space="0" w:color="auto"/>
            <w:right w:val="none" w:sz="0" w:space="0" w:color="auto"/>
          </w:divBdr>
        </w:div>
        <w:div w:id="2115392474">
          <w:marLeft w:val="480"/>
          <w:marRight w:val="0"/>
          <w:marTop w:val="0"/>
          <w:marBottom w:val="0"/>
          <w:divBdr>
            <w:top w:val="none" w:sz="0" w:space="0" w:color="auto"/>
            <w:left w:val="none" w:sz="0" w:space="0" w:color="auto"/>
            <w:bottom w:val="none" w:sz="0" w:space="0" w:color="auto"/>
            <w:right w:val="none" w:sz="0" w:space="0" w:color="auto"/>
          </w:divBdr>
        </w:div>
        <w:div w:id="86974043">
          <w:marLeft w:val="480"/>
          <w:marRight w:val="0"/>
          <w:marTop w:val="0"/>
          <w:marBottom w:val="0"/>
          <w:divBdr>
            <w:top w:val="none" w:sz="0" w:space="0" w:color="auto"/>
            <w:left w:val="none" w:sz="0" w:space="0" w:color="auto"/>
            <w:bottom w:val="none" w:sz="0" w:space="0" w:color="auto"/>
            <w:right w:val="none" w:sz="0" w:space="0" w:color="auto"/>
          </w:divBdr>
        </w:div>
        <w:div w:id="411851479">
          <w:marLeft w:val="480"/>
          <w:marRight w:val="0"/>
          <w:marTop w:val="0"/>
          <w:marBottom w:val="0"/>
          <w:divBdr>
            <w:top w:val="none" w:sz="0" w:space="0" w:color="auto"/>
            <w:left w:val="none" w:sz="0" w:space="0" w:color="auto"/>
            <w:bottom w:val="none" w:sz="0" w:space="0" w:color="auto"/>
            <w:right w:val="none" w:sz="0" w:space="0" w:color="auto"/>
          </w:divBdr>
        </w:div>
        <w:div w:id="393627208">
          <w:marLeft w:val="480"/>
          <w:marRight w:val="0"/>
          <w:marTop w:val="0"/>
          <w:marBottom w:val="0"/>
          <w:divBdr>
            <w:top w:val="none" w:sz="0" w:space="0" w:color="auto"/>
            <w:left w:val="none" w:sz="0" w:space="0" w:color="auto"/>
            <w:bottom w:val="none" w:sz="0" w:space="0" w:color="auto"/>
            <w:right w:val="none" w:sz="0" w:space="0" w:color="auto"/>
          </w:divBdr>
        </w:div>
        <w:div w:id="1619754013">
          <w:marLeft w:val="480"/>
          <w:marRight w:val="0"/>
          <w:marTop w:val="0"/>
          <w:marBottom w:val="0"/>
          <w:divBdr>
            <w:top w:val="none" w:sz="0" w:space="0" w:color="auto"/>
            <w:left w:val="none" w:sz="0" w:space="0" w:color="auto"/>
            <w:bottom w:val="none" w:sz="0" w:space="0" w:color="auto"/>
            <w:right w:val="none" w:sz="0" w:space="0" w:color="auto"/>
          </w:divBdr>
        </w:div>
        <w:div w:id="31537546">
          <w:marLeft w:val="480"/>
          <w:marRight w:val="0"/>
          <w:marTop w:val="0"/>
          <w:marBottom w:val="0"/>
          <w:divBdr>
            <w:top w:val="none" w:sz="0" w:space="0" w:color="auto"/>
            <w:left w:val="none" w:sz="0" w:space="0" w:color="auto"/>
            <w:bottom w:val="none" w:sz="0" w:space="0" w:color="auto"/>
            <w:right w:val="none" w:sz="0" w:space="0" w:color="auto"/>
          </w:divBdr>
        </w:div>
        <w:div w:id="1965885391">
          <w:marLeft w:val="480"/>
          <w:marRight w:val="0"/>
          <w:marTop w:val="0"/>
          <w:marBottom w:val="0"/>
          <w:divBdr>
            <w:top w:val="none" w:sz="0" w:space="0" w:color="auto"/>
            <w:left w:val="none" w:sz="0" w:space="0" w:color="auto"/>
            <w:bottom w:val="none" w:sz="0" w:space="0" w:color="auto"/>
            <w:right w:val="none" w:sz="0" w:space="0" w:color="auto"/>
          </w:divBdr>
        </w:div>
        <w:div w:id="519591210">
          <w:marLeft w:val="480"/>
          <w:marRight w:val="0"/>
          <w:marTop w:val="0"/>
          <w:marBottom w:val="0"/>
          <w:divBdr>
            <w:top w:val="none" w:sz="0" w:space="0" w:color="auto"/>
            <w:left w:val="none" w:sz="0" w:space="0" w:color="auto"/>
            <w:bottom w:val="none" w:sz="0" w:space="0" w:color="auto"/>
            <w:right w:val="none" w:sz="0" w:space="0" w:color="auto"/>
          </w:divBdr>
        </w:div>
        <w:div w:id="1036539151">
          <w:marLeft w:val="480"/>
          <w:marRight w:val="0"/>
          <w:marTop w:val="0"/>
          <w:marBottom w:val="0"/>
          <w:divBdr>
            <w:top w:val="none" w:sz="0" w:space="0" w:color="auto"/>
            <w:left w:val="none" w:sz="0" w:space="0" w:color="auto"/>
            <w:bottom w:val="none" w:sz="0" w:space="0" w:color="auto"/>
            <w:right w:val="none" w:sz="0" w:space="0" w:color="auto"/>
          </w:divBdr>
        </w:div>
        <w:div w:id="1300570601">
          <w:marLeft w:val="480"/>
          <w:marRight w:val="0"/>
          <w:marTop w:val="0"/>
          <w:marBottom w:val="0"/>
          <w:divBdr>
            <w:top w:val="none" w:sz="0" w:space="0" w:color="auto"/>
            <w:left w:val="none" w:sz="0" w:space="0" w:color="auto"/>
            <w:bottom w:val="none" w:sz="0" w:space="0" w:color="auto"/>
            <w:right w:val="none" w:sz="0" w:space="0" w:color="auto"/>
          </w:divBdr>
        </w:div>
        <w:div w:id="159349791">
          <w:marLeft w:val="480"/>
          <w:marRight w:val="0"/>
          <w:marTop w:val="0"/>
          <w:marBottom w:val="0"/>
          <w:divBdr>
            <w:top w:val="none" w:sz="0" w:space="0" w:color="auto"/>
            <w:left w:val="none" w:sz="0" w:space="0" w:color="auto"/>
            <w:bottom w:val="none" w:sz="0" w:space="0" w:color="auto"/>
            <w:right w:val="none" w:sz="0" w:space="0" w:color="auto"/>
          </w:divBdr>
        </w:div>
        <w:div w:id="1607273107">
          <w:marLeft w:val="480"/>
          <w:marRight w:val="0"/>
          <w:marTop w:val="0"/>
          <w:marBottom w:val="0"/>
          <w:divBdr>
            <w:top w:val="none" w:sz="0" w:space="0" w:color="auto"/>
            <w:left w:val="none" w:sz="0" w:space="0" w:color="auto"/>
            <w:bottom w:val="none" w:sz="0" w:space="0" w:color="auto"/>
            <w:right w:val="none" w:sz="0" w:space="0" w:color="auto"/>
          </w:divBdr>
        </w:div>
        <w:div w:id="1007292678">
          <w:marLeft w:val="480"/>
          <w:marRight w:val="0"/>
          <w:marTop w:val="0"/>
          <w:marBottom w:val="0"/>
          <w:divBdr>
            <w:top w:val="none" w:sz="0" w:space="0" w:color="auto"/>
            <w:left w:val="none" w:sz="0" w:space="0" w:color="auto"/>
            <w:bottom w:val="none" w:sz="0" w:space="0" w:color="auto"/>
            <w:right w:val="none" w:sz="0" w:space="0" w:color="auto"/>
          </w:divBdr>
        </w:div>
        <w:div w:id="857236538">
          <w:marLeft w:val="480"/>
          <w:marRight w:val="0"/>
          <w:marTop w:val="0"/>
          <w:marBottom w:val="0"/>
          <w:divBdr>
            <w:top w:val="none" w:sz="0" w:space="0" w:color="auto"/>
            <w:left w:val="none" w:sz="0" w:space="0" w:color="auto"/>
            <w:bottom w:val="none" w:sz="0" w:space="0" w:color="auto"/>
            <w:right w:val="none" w:sz="0" w:space="0" w:color="auto"/>
          </w:divBdr>
        </w:div>
        <w:div w:id="705253465">
          <w:marLeft w:val="480"/>
          <w:marRight w:val="0"/>
          <w:marTop w:val="0"/>
          <w:marBottom w:val="0"/>
          <w:divBdr>
            <w:top w:val="none" w:sz="0" w:space="0" w:color="auto"/>
            <w:left w:val="none" w:sz="0" w:space="0" w:color="auto"/>
            <w:bottom w:val="none" w:sz="0" w:space="0" w:color="auto"/>
            <w:right w:val="none" w:sz="0" w:space="0" w:color="auto"/>
          </w:divBdr>
        </w:div>
        <w:div w:id="17242762">
          <w:marLeft w:val="480"/>
          <w:marRight w:val="0"/>
          <w:marTop w:val="0"/>
          <w:marBottom w:val="0"/>
          <w:divBdr>
            <w:top w:val="none" w:sz="0" w:space="0" w:color="auto"/>
            <w:left w:val="none" w:sz="0" w:space="0" w:color="auto"/>
            <w:bottom w:val="none" w:sz="0" w:space="0" w:color="auto"/>
            <w:right w:val="none" w:sz="0" w:space="0" w:color="auto"/>
          </w:divBdr>
        </w:div>
        <w:div w:id="713696974">
          <w:marLeft w:val="480"/>
          <w:marRight w:val="0"/>
          <w:marTop w:val="0"/>
          <w:marBottom w:val="0"/>
          <w:divBdr>
            <w:top w:val="none" w:sz="0" w:space="0" w:color="auto"/>
            <w:left w:val="none" w:sz="0" w:space="0" w:color="auto"/>
            <w:bottom w:val="none" w:sz="0" w:space="0" w:color="auto"/>
            <w:right w:val="none" w:sz="0" w:space="0" w:color="auto"/>
          </w:divBdr>
        </w:div>
        <w:div w:id="888226695">
          <w:marLeft w:val="480"/>
          <w:marRight w:val="0"/>
          <w:marTop w:val="0"/>
          <w:marBottom w:val="0"/>
          <w:divBdr>
            <w:top w:val="none" w:sz="0" w:space="0" w:color="auto"/>
            <w:left w:val="none" w:sz="0" w:space="0" w:color="auto"/>
            <w:bottom w:val="none" w:sz="0" w:space="0" w:color="auto"/>
            <w:right w:val="none" w:sz="0" w:space="0" w:color="auto"/>
          </w:divBdr>
        </w:div>
        <w:div w:id="998727986">
          <w:marLeft w:val="480"/>
          <w:marRight w:val="0"/>
          <w:marTop w:val="0"/>
          <w:marBottom w:val="0"/>
          <w:divBdr>
            <w:top w:val="none" w:sz="0" w:space="0" w:color="auto"/>
            <w:left w:val="none" w:sz="0" w:space="0" w:color="auto"/>
            <w:bottom w:val="none" w:sz="0" w:space="0" w:color="auto"/>
            <w:right w:val="none" w:sz="0" w:space="0" w:color="auto"/>
          </w:divBdr>
        </w:div>
        <w:div w:id="1757359205">
          <w:marLeft w:val="480"/>
          <w:marRight w:val="0"/>
          <w:marTop w:val="0"/>
          <w:marBottom w:val="0"/>
          <w:divBdr>
            <w:top w:val="none" w:sz="0" w:space="0" w:color="auto"/>
            <w:left w:val="none" w:sz="0" w:space="0" w:color="auto"/>
            <w:bottom w:val="none" w:sz="0" w:space="0" w:color="auto"/>
            <w:right w:val="none" w:sz="0" w:space="0" w:color="auto"/>
          </w:divBdr>
        </w:div>
        <w:div w:id="874388891">
          <w:marLeft w:val="480"/>
          <w:marRight w:val="0"/>
          <w:marTop w:val="0"/>
          <w:marBottom w:val="0"/>
          <w:divBdr>
            <w:top w:val="none" w:sz="0" w:space="0" w:color="auto"/>
            <w:left w:val="none" w:sz="0" w:space="0" w:color="auto"/>
            <w:bottom w:val="none" w:sz="0" w:space="0" w:color="auto"/>
            <w:right w:val="none" w:sz="0" w:space="0" w:color="auto"/>
          </w:divBdr>
        </w:div>
        <w:div w:id="1339699171">
          <w:marLeft w:val="480"/>
          <w:marRight w:val="0"/>
          <w:marTop w:val="0"/>
          <w:marBottom w:val="0"/>
          <w:divBdr>
            <w:top w:val="none" w:sz="0" w:space="0" w:color="auto"/>
            <w:left w:val="none" w:sz="0" w:space="0" w:color="auto"/>
            <w:bottom w:val="none" w:sz="0" w:space="0" w:color="auto"/>
            <w:right w:val="none" w:sz="0" w:space="0" w:color="auto"/>
          </w:divBdr>
        </w:div>
        <w:div w:id="1009067415">
          <w:marLeft w:val="480"/>
          <w:marRight w:val="0"/>
          <w:marTop w:val="0"/>
          <w:marBottom w:val="0"/>
          <w:divBdr>
            <w:top w:val="none" w:sz="0" w:space="0" w:color="auto"/>
            <w:left w:val="none" w:sz="0" w:space="0" w:color="auto"/>
            <w:bottom w:val="none" w:sz="0" w:space="0" w:color="auto"/>
            <w:right w:val="none" w:sz="0" w:space="0" w:color="auto"/>
          </w:divBdr>
        </w:div>
        <w:div w:id="904948159">
          <w:marLeft w:val="480"/>
          <w:marRight w:val="0"/>
          <w:marTop w:val="0"/>
          <w:marBottom w:val="0"/>
          <w:divBdr>
            <w:top w:val="none" w:sz="0" w:space="0" w:color="auto"/>
            <w:left w:val="none" w:sz="0" w:space="0" w:color="auto"/>
            <w:bottom w:val="none" w:sz="0" w:space="0" w:color="auto"/>
            <w:right w:val="none" w:sz="0" w:space="0" w:color="auto"/>
          </w:divBdr>
        </w:div>
        <w:div w:id="1825706132">
          <w:marLeft w:val="480"/>
          <w:marRight w:val="0"/>
          <w:marTop w:val="0"/>
          <w:marBottom w:val="0"/>
          <w:divBdr>
            <w:top w:val="none" w:sz="0" w:space="0" w:color="auto"/>
            <w:left w:val="none" w:sz="0" w:space="0" w:color="auto"/>
            <w:bottom w:val="none" w:sz="0" w:space="0" w:color="auto"/>
            <w:right w:val="none" w:sz="0" w:space="0" w:color="auto"/>
          </w:divBdr>
        </w:div>
        <w:div w:id="41711939">
          <w:marLeft w:val="480"/>
          <w:marRight w:val="0"/>
          <w:marTop w:val="0"/>
          <w:marBottom w:val="0"/>
          <w:divBdr>
            <w:top w:val="none" w:sz="0" w:space="0" w:color="auto"/>
            <w:left w:val="none" w:sz="0" w:space="0" w:color="auto"/>
            <w:bottom w:val="none" w:sz="0" w:space="0" w:color="auto"/>
            <w:right w:val="none" w:sz="0" w:space="0" w:color="auto"/>
          </w:divBdr>
        </w:div>
        <w:div w:id="1051418508">
          <w:marLeft w:val="480"/>
          <w:marRight w:val="0"/>
          <w:marTop w:val="0"/>
          <w:marBottom w:val="0"/>
          <w:divBdr>
            <w:top w:val="none" w:sz="0" w:space="0" w:color="auto"/>
            <w:left w:val="none" w:sz="0" w:space="0" w:color="auto"/>
            <w:bottom w:val="none" w:sz="0" w:space="0" w:color="auto"/>
            <w:right w:val="none" w:sz="0" w:space="0" w:color="auto"/>
          </w:divBdr>
        </w:div>
        <w:div w:id="590158937">
          <w:marLeft w:val="480"/>
          <w:marRight w:val="0"/>
          <w:marTop w:val="0"/>
          <w:marBottom w:val="0"/>
          <w:divBdr>
            <w:top w:val="none" w:sz="0" w:space="0" w:color="auto"/>
            <w:left w:val="none" w:sz="0" w:space="0" w:color="auto"/>
            <w:bottom w:val="none" w:sz="0" w:space="0" w:color="auto"/>
            <w:right w:val="none" w:sz="0" w:space="0" w:color="auto"/>
          </w:divBdr>
        </w:div>
        <w:div w:id="32579650">
          <w:marLeft w:val="480"/>
          <w:marRight w:val="0"/>
          <w:marTop w:val="0"/>
          <w:marBottom w:val="0"/>
          <w:divBdr>
            <w:top w:val="none" w:sz="0" w:space="0" w:color="auto"/>
            <w:left w:val="none" w:sz="0" w:space="0" w:color="auto"/>
            <w:bottom w:val="none" w:sz="0" w:space="0" w:color="auto"/>
            <w:right w:val="none" w:sz="0" w:space="0" w:color="auto"/>
          </w:divBdr>
        </w:div>
        <w:div w:id="601304053">
          <w:marLeft w:val="480"/>
          <w:marRight w:val="0"/>
          <w:marTop w:val="0"/>
          <w:marBottom w:val="0"/>
          <w:divBdr>
            <w:top w:val="none" w:sz="0" w:space="0" w:color="auto"/>
            <w:left w:val="none" w:sz="0" w:space="0" w:color="auto"/>
            <w:bottom w:val="none" w:sz="0" w:space="0" w:color="auto"/>
            <w:right w:val="none" w:sz="0" w:space="0" w:color="auto"/>
          </w:divBdr>
        </w:div>
        <w:div w:id="1498226973">
          <w:marLeft w:val="480"/>
          <w:marRight w:val="0"/>
          <w:marTop w:val="0"/>
          <w:marBottom w:val="0"/>
          <w:divBdr>
            <w:top w:val="none" w:sz="0" w:space="0" w:color="auto"/>
            <w:left w:val="none" w:sz="0" w:space="0" w:color="auto"/>
            <w:bottom w:val="none" w:sz="0" w:space="0" w:color="auto"/>
            <w:right w:val="none" w:sz="0" w:space="0" w:color="auto"/>
          </w:divBdr>
        </w:div>
        <w:div w:id="1973558146">
          <w:marLeft w:val="480"/>
          <w:marRight w:val="0"/>
          <w:marTop w:val="0"/>
          <w:marBottom w:val="0"/>
          <w:divBdr>
            <w:top w:val="none" w:sz="0" w:space="0" w:color="auto"/>
            <w:left w:val="none" w:sz="0" w:space="0" w:color="auto"/>
            <w:bottom w:val="none" w:sz="0" w:space="0" w:color="auto"/>
            <w:right w:val="none" w:sz="0" w:space="0" w:color="auto"/>
          </w:divBdr>
        </w:div>
        <w:div w:id="1268080119">
          <w:marLeft w:val="480"/>
          <w:marRight w:val="0"/>
          <w:marTop w:val="0"/>
          <w:marBottom w:val="0"/>
          <w:divBdr>
            <w:top w:val="none" w:sz="0" w:space="0" w:color="auto"/>
            <w:left w:val="none" w:sz="0" w:space="0" w:color="auto"/>
            <w:bottom w:val="none" w:sz="0" w:space="0" w:color="auto"/>
            <w:right w:val="none" w:sz="0" w:space="0" w:color="auto"/>
          </w:divBdr>
        </w:div>
        <w:div w:id="1779830960">
          <w:marLeft w:val="480"/>
          <w:marRight w:val="0"/>
          <w:marTop w:val="0"/>
          <w:marBottom w:val="0"/>
          <w:divBdr>
            <w:top w:val="none" w:sz="0" w:space="0" w:color="auto"/>
            <w:left w:val="none" w:sz="0" w:space="0" w:color="auto"/>
            <w:bottom w:val="none" w:sz="0" w:space="0" w:color="auto"/>
            <w:right w:val="none" w:sz="0" w:space="0" w:color="auto"/>
          </w:divBdr>
        </w:div>
        <w:div w:id="770247568">
          <w:marLeft w:val="480"/>
          <w:marRight w:val="0"/>
          <w:marTop w:val="0"/>
          <w:marBottom w:val="0"/>
          <w:divBdr>
            <w:top w:val="none" w:sz="0" w:space="0" w:color="auto"/>
            <w:left w:val="none" w:sz="0" w:space="0" w:color="auto"/>
            <w:bottom w:val="none" w:sz="0" w:space="0" w:color="auto"/>
            <w:right w:val="none" w:sz="0" w:space="0" w:color="auto"/>
          </w:divBdr>
        </w:div>
        <w:div w:id="393897002">
          <w:marLeft w:val="480"/>
          <w:marRight w:val="0"/>
          <w:marTop w:val="0"/>
          <w:marBottom w:val="0"/>
          <w:divBdr>
            <w:top w:val="none" w:sz="0" w:space="0" w:color="auto"/>
            <w:left w:val="none" w:sz="0" w:space="0" w:color="auto"/>
            <w:bottom w:val="none" w:sz="0" w:space="0" w:color="auto"/>
            <w:right w:val="none" w:sz="0" w:space="0" w:color="auto"/>
          </w:divBdr>
        </w:div>
        <w:div w:id="1473134908">
          <w:marLeft w:val="480"/>
          <w:marRight w:val="0"/>
          <w:marTop w:val="0"/>
          <w:marBottom w:val="0"/>
          <w:divBdr>
            <w:top w:val="none" w:sz="0" w:space="0" w:color="auto"/>
            <w:left w:val="none" w:sz="0" w:space="0" w:color="auto"/>
            <w:bottom w:val="none" w:sz="0" w:space="0" w:color="auto"/>
            <w:right w:val="none" w:sz="0" w:space="0" w:color="auto"/>
          </w:divBdr>
        </w:div>
        <w:div w:id="663358817">
          <w:marLeft w:val="480"/>
          <w:marRight w:val="0"/>
          <w:marTop w:val="0"/>
          <w:marBottom w:val="0"/>
          <w:divBdr>
            <w:top w:val="none" w:sz="0" w:space="0" w:color="auto"/>
            <w:left w:val="none" w:sz="0" w:space="0" w:color="auto"/>
            <w:bottom w:val="none" w:sz="0" w:space="0" w:color="auto"/>
            <w:right w:val="none" w:sz="0" w:space="0" w:color="auto"/>
          </w:divBdr>
        </w:div>
        <w:div w:id="1275597809">
          <w:marLeft w:val="480"/>
          <w:marRight w:val="0"/>
          <w:marTop w:val="0"/>
          <w:marBottom w:val="0"/>
          <w:divBdr>
            <w:top w:val="none" w:sz="0" w:space="0" w:color="auto"/>
            <w:left w:val="none" w:sz="0" w:space="0" w:color="auto"/>
            <w:bottom w:val="none" w:sz="0" w:space="0" w:color="auto"/>
            <w:right w:val="none" w:sz="0" w:space="0" w:color="auto"/>
          </w:divBdr>
        </w:div>
        <w:div w:id="318652703">
          <w:marLeft w:val="480"/>
          <w:marRight w:val="0"/>
          <w:marTop w:val="0"/>
          <w:marBottom w:val="0"/>
          <w:divBdr>
            <w:top w:val="none" w:sz="0" w:space="0" w:color="auto"/>
            <w:left w:val="none" w:sz="0" w:space="0" w:color="auto"/>
            <w:bottom w:val="none" w:sz="0" w:space="0" w:color="auto"/>
            <w:right w:val="none" w:sz="0" w:space="0" w:color="auto"/>
          </w:divBdr>
        </w:div>
        <w:div w:id="1465734597">
          <w:marLeft w:val="480"/>
          <w:marRight w:val="0"/>
          <w:marTop w:val="0"/>
          <w:marBottom w:val="0"/>
          <w:divBdr>
            <w:top w:val="none" w:sz="0" w:space="0" w:color="auto"/>
            <w:left w:val="none" w:sz="0" w:space="0" w:color="auto"/>
            <w:bottom w:val="none" w:sz="0" w:space="0" w:color="auto"/>
            <w:right w:val="none" w:sz="0" w:space="0" w:color="auto"/>
          </w:divBdr>
        </w:div>
        <w:div w:id="121846713">
          <w:marLeft w:val="480"/>
          <w:marRight w:val="0"/>
          <w:marTop w:val="0"/>
          <w:marBottom w:val="0"/>
          <w:divBdr>
            <w:top w:val="none" w:sz="0" w:space="0" w:color="auto"/>
            <w:left w:val="none" w:sz="0" w:space="0" w:color="auto"/>
            <w:bottom w:val="none" w:sz="0" w:space="0" w:color="auto"/>
            <w:right w:val="none" w:sz="0" w:space="0" w:color="auto"/>
          </w:divBdr>
        </w:div>
        <w:div w:id="993071451">
          <w:marLeft w:val="480"/>
          <w:marRight w:val="0"/>
          <w:marTop w:val="0"/>
          <w:marBottom w:val="0"/>
          <w:divBdr>
            <w:top w:val="none" w:sz="0" w:space="0" w:color="auto"/>
            <w:left w:val="none" w:sz="0" w:space="0" w:color="auto"/>
            <w:bottom w:val="none" w:sz="0" w:space="0" w:color="auto"/>
            <w:right w:val="none" w:sz="0" w:space="0" w:color="auto"/>
          </w:divBdr>
        </w:div>
        <w:div w:id="1253783389">
          <w:marLeft w:val="480"/>
          <w:marRight w:val="0"/>
          <w:marTop w:val="0"/>
          <w:marBottom w:val="0"/>
          <w:divBdr>
            <w:top w:val="none" w:sz="0" w:space="0" w:color="auto"/>
            <w:left w:val="none" w:sz="0" w:space="0" w:color="auto"/>
            <w:bottom w:val="none" w:sz="0" w:space="0" w:color="auto"/>
            <w:right w:val="none" w:sz="0" w:space="0" w:color="auto"/>
          </w:divBdr>
        </w:div>
        <w:div w:id="279066349">
          <w:marLeft w:val="480"/>
          <w:marRight w:val="0"/>
          <w:marTop w:val="0"/>
          <w:marBottom w:val="0"/>
          <w:divBdr>
            <w:top w:val="none" w:sz="0" w:space="0" w:color="auto"/>
            <w:left w:val="none" w:sz="0" w:space="0" w:color="auto"/>
            <w:bottom w:val="none" w:sz="0" w:space="0" w:color="auto"/>
            <w:right w:val="none" w:sz="0" w:space="0" w:color="auto"/>
          </w:divBdr>
        </w:div>
        <w:div w:id="855850484">
          <w:marLeft w:val="480"/>
          <w:marRight w:val="0"/>
          <w:marTop w:val="0"/>
          <w:marBottom w:val="0"/>
          <w:divBdr>
            <w:top w:val="none" w:sz="0" w:space="0" w:color="auto"/>
            <w:left w:val="none" w:sz="0" w:space="0" w:color="auto"/>
            <w:bottom w:val="none" w:sz="0" w:space="0" w:color="auto"/>
            <w:right w:val="none" w:sz="0" w:space="0" w:color="auto"/>
          </w:divBdr>
        </w:div>
        <w:div w:id="1089154162">
          <w:marLeft w:val="480"/>
          <w:marRight w:val="0"/>
          <w:marTop w:val="0"/>
          <w:marBottom w:val="0"/>
          <w:divBdr>
            <w:top w:val="none" w:sz="0" w:space="0" w:color="auto"/>
            <w:left w:val="none" w:sz="0" w:space="0" w:color="auto"/>
            <w:bottom w:val="none" w:sz="0" w:space="0" w:color="auto"/>
            <w:right w:val="none" w:sz="0" w:space="0" w:color="auto"/>
          </w:divBdr>
        </w:div>
        <w:div w:id="701134447">
          <w:marLeft w:val="480"/>
          <w:marRight w:val="0"/>
          <w:marTop w:val="0"/>
          <w:marBottom w:val="0"/>
          <w:divBdr>
            <w:top w:val="none" w:sz="0" w:space="0" w:color="auto"/>
            <w:left w:val="none" w:sz="0" w:space="0" w:color="auto"/>
            <w:bottom w:val="none" w:sz="0" w:space="0" w:color="auto"/>
            <w:right w:val="none" w:sz="0" w:space="0" w:color="auto"/>
          </w:divBdr>
        </w:div>
        <w:div w:id="436830143">
          <w:marLeft w:val="480"/>
          <w:marRight w:val="0"/>
          <w:marTop w:val="0"/>
          <w:marBottom w:val="0"/>
          <w:divBdr>
            <w:top w:val="none" w:sz="0" w:space="0" w:color="auto"/>
            <w:left w:val="none" w:sz="0" w:space="0" w:color="auto"/>
            <w:bottom w:val="none" w:sz="0" w:space="0" w:color="auto"/>
            <w:right w:val="none" w:sz="0" w:space="0" w:color="auto"/>
          </w:divBdr>
        </w:div>
        <w:div w:id="1880051316">
          <w:marLeft w:val="480"/>
          <w:marRight w:val="0"/>
          <w:marTop w:val="0"/>
          <w:marBottom w:val="0"/>
          <w:divBdr>
            <w:top w:val="none" w:sz="0" w:space="0" w:color="auto"/>
            <w:left w:val="none" w:sz="0" w:space="0" w:color="auto"/>
            <w:bottom w:val="none" w:sz="0" w:space="0" w:color="auto"/>
            <w:right w:val="none" w:sz="0" w:space="0" w:color="auto"/>
          </w:divBdr>
        </w:div>
        <w:div w:id="1306549395">
          <w:marLeft w:val="480"/>
          <w:marRight w:val="0"/>
          <w:marTop w:val="0"/>
          <w:marBottom w:val="0"/>
          <w:divBdr>
            <w:top w:val="none" w:sz="0" w:space="0" w:color="auto"/>
            <w:left w:val="none" w:sz="0" w:space="0" w:color="auto"/>
            <w:bottom w:val="none" w:sz="0" w:space="0" w:color="auto"/>
            <w:right w:val="none" w:sz="0" w:space="0" w:color="auto"/>
          </w:divBdr>
        </w:div>
        <w:div w:id="700206899">
          <w:marLeft w:val="480"/>
          <w:marRight w:val="0"/>
          <w:marTop w:val="0"/>
          <w:marBottom w:val="0"/>
          <w:divBdr>
            <w:top w:val="none" w:sz="0" w:space="0" w:color="auto"/>
            <w:left w:val="none" w:sz="0" w:space="0" w:color="auto"/>
            <w:bottom w:val="none" w:sz="0" w:space="0" w:color="auto"/>
            <w:right w:val="none" w:sz="0" w:space="0" w:color="auto"/>
          </w:divBdr>
        </w:div>
        <w:div w:id="1885943639">
          <w:marLeft w:val="480"/>
          <w:marRight w:val="0"/>
          <w:marTop w:val="0"/>
          <w:marBottom w:val="0"/>
          <w:divBdr>
            <w:top w:val="none" w:sz="0" w:space="0" w:color="auto"/>
            <w:left w:val="none" w:sz="0" w:space="0" w:color="auto"/>
            <w:bottom w:val="none" w:sz="0" w:space="0" w:color="auto"/>
            <w:right w:val="none" w:sz="0" w:space="0" w:color="auto"/>
          </w:divBdr>
        </w:div>
        <w:div w:id="771897510">
          <w:marLeft w:val="480"/>
          <w:marRight w:val="0"/>
          <w:marTop w:val="0"/>
          <w:marBottom w:val="0"/>
          <w:divBdr>
            <w:top w:val="none" w:sz="0" w:space="0" w:color="auto"/>
            <w:left w:val="none" w:sz="0" w:space="0" w:color="auto"/>
            <w:bottom w:val="none" w:sz="0" w:space="0" w:color="auto"/>
            <w:right w:val="none" w:sz="0" w:space="0" w:color="auto"/>
          </w:divBdr>
        </w:div>
        <w:div w:id="1139153898">
          <w:marLeft w:val="480"/>
          <w:marRight w:val="0"/>
          <w:marTop w:val="0"/>
          <w:marBottom w:val="0"/>
          <w:divBdr>
            <w:top w:val="none" w:sz="0" w:space="0" w:color="auto"/>
            <w:left w:val="none" w:sz="0" w:space="0" w:color="auto"/>
            <w:bottom w:val="none" w:sz="0" w:space="0" w:color="auto"/>
            <w:right w:val="none" w:sz="0" w:space="0" w:color="auto"/>
          </w:divBdr>
        </w:div>
        <w:div w:id="1654528960">
          <w:marLeft w:val="480"/>
          <w:marRight w:val="0"/>
          <w:marTop w:val="0"/>
          <w:marBottom w:val="0"/>
          <w:divBdr>
            <w:top w:val="none" w:sz="0" w:space="0" w:color="auto"/>
            <w:left w:val="none" w:sz="0" w:space="0" w:color="auto"/>
            <w:bottom w:val="none" w:sz="0" w:space="0" w:color="auto"/>
            <w:right w:val="none" w:sz="0" w:space="0" w:color="auto"/>
          </w:divBdr>
        </w:div>
        <w:div w:id="536545198">
          <w:marLeft w:val="480"/>
          <w:marRight w:val="0"/>
          <w:marTop w:val="0"/>
          <w:marBottom w:val="0"/>
          <w:divBdr>
            <w:top w:val="none" w:sz="0" w:space="0" w:color="auto"/>
            <w:left w:val="none" w:sz="0" w:space="0" w:color="auto"/>
            <w:bottom w:val="none" w:sz="0" w:space="0" w:color="auto"/>
            <w:right w:val="none" w:sz="0" w:space="0" w:color="auto"/>
          </w:divBdr>
        </w:div>
        <w:div w:id="371227054">
          <w:marLeft w:val="480"/>
          <w:marRight w:val="0"/>
          <w:marTop w:val="0"/>
          <w:marBottom w:val="0"/>
          <w:divBdr>
            <w:top w:val="none" w:sz="0" w:space="0" w:color="auto"/>
            <w:left w:val="none" w:sz="0" w:space="0" w:color="auto"/>
            <w:bottom w:val="none" w:sz="0" w:space="0" w:color="auto"/>
            <w:right w:val="none" w:sz="0" w:space="0" w:color="auto"/>
          </w:divBdr>
        </w:div>
        <w:div w:id="910582970">
          <w:marLeft w:val="480"/>
          <w:marRight w:val="0"/>
          <w:marTop w:val="0"/>
          <w:marBottom w:val="0"/>
          <w:divBdr>
            <w:top w:val="none" w:sz="0" w:space="0" w:color="auto"/>
            <w:left w:val="none" w:sz="0" w:space="0" w:color="auto"/>
            <w:bottom w:val="none" w:sz="0" w:space="0" w:color="auto"/>
            <w:right w:val="none" w:sz="0" w:space="0" w:color="auto"/>
          </w:divBdr>
        </w:div>
        <w:div w:id="1552771231">
          <w:marLeft w:val="480"/>
          <w:marRight w:val="0"/>
          <w:marTop w:val="0"/>
          <w:marBottom w:val="0"/>
          <w:divBdr>
            <w:top w:val="none" w:sz="0" w:space="0" w:color="auto"/>
            <w:left w:val="none" w:sz="0" w:space="0" w:color="auto"/>
            <w:bottom w:val="none" w:sz="0" w:space="0" w:color="auto"/>
            <w:right w:val="none" w:sz="0" w:space="0" w:color="auto"/>
          </w:divBdr>
        </w:div>
        <w:div w:id="1044066412">
          <w:marLeft w:val="480"/>
          <w:marRight w:val="0"/>
          <w:marTop w:val="0"/>
          <w:marBottom w:val="0"/>
          <w:divBdr>
            <w:top w:val="none" w:sz="0" w:space="0" w:color="auto"/>
            <w:left w:val="none" w:sz="0" w:space="0" w:color="auto"/>
            <w:bottom w:val="none" w:sz="0" w:space="0" w:color="auto"/>
            <w:right w:val="none" w:sz="0" w:space="0" w:color="auto"/>
          </w:divBdr>
        </w:div>
        <w:div w:id="692220531">
          <w:marLeft w:val="480"/>
          <w:marRight w:val="0"/>
          <w:marTop w:val="0"/>
          <w:marBottom w:val="0"/>
          <w:divBdr>
            <w:top w:val="none" w:sz="0" w:space="0" w:color="auto"/>
            <w:left w:val="none" w:sz="0" w:space="0" w:color="auto"/>
            <w:bottom w:val="none" w:sz="0" w:space="0" w:color="auto"/>
            <w:right w:val="none" w:sz="0" w:space="0" w:color="auto"/>
          </w:divBdr>
        </w:div>
        <w:div w:id="1378822150">
          <w:marLeft w:val="480"/>
          <w:marRight w:val="0"/>
          <w:marTop w:val="0"/>
          <w:marBottom w:val="0"/>
          <w:divBdr>
            <w:top w:val="none" w:sz="0" w:space="0" w:color="auto"/>
            <w:left w:val="none" w:sz="0" w:space="0" w:color="auto"/>
            <w:bottom w:val="none" w:sz="0" w:space="0" w:color="auto"/>
            <w:right w:val="none" w:sz="0" w:space="0" w:color="auto"/>
          </w:divBdr>
        </w:div>
        <w:div w:id="236137613">
          <w:marLeft w:val="480"/>
          <w:marRight w:val="0"/>
          <w:marTop w:val="0"/>
          <w:marBottom w:val="0"/>
          <w:divBdr>
            <w:top w:val="none" w:sz="0" w:space="0" w:color="auto"/>
            <w:left w:val="none" w:sz="0" w:space="0" w:color="auto"/>
            <w:bottom w:val="none" w:sz="0" w:space="0" w:color="auto"/>
            <w:right w:val="none" w:sz="0" w:space="0" w:color="auto"/>
          </w:divBdr>
        </w:div>
        <w:div w:id="910041802">
          <w:marLeft w:val="480"/>
          <w:marRight w:val="0"/>
          <w:marTop w:val="0"/>
          <w:marBottom w:val="0"/>
          <w:divBdr>
            <w:top w:val="none" w:sz="0" w:space="0" w:color="auto"/>
            <w:left w:val="none" w:sz="0" w:space="0" w:color="auto"/>
            <w:bottom w:val="none" w:sz="0" w:space="0" w:color="auto"/>
            <w:right w:val="none" w:sz="0" w:space="0" w:color="auto"/>
          </w:divBdr>
        </w:div>
        <w:div w:id="723602821">
          <w:marLeft w:val="480"/>
          <w:marRight w:val="0"/>
          <w:marTop w:val="0"/>
          <w:marBottom w:val="0"/>
          <w:divBdr>
            <w:top w:val="none" w:sz="0" w:space="0" w:color="auto"/>
            <w:left w:val="none" w:sz="0" w:space="0" w:color="auto"/>
            <w:bottom w:val="none" w:sz="0" w:space="0" w:color="auto"/>
            <w:right w:val="none" w:sz="0" w:space="0" w:color="auto"/>
          </w:divBdr>
        </w:div>
        <w:div w:id="156309596">
          <w:marLeft w:val="480"/>
          <w:marRight w:val="0"/>
          <w:marTop w:val="0"/>
          <w:marBottom w:val="0"/>
          <w:divBdr>
            <w:top w:val="none" w:sz="0" w:space="0" w:color="auto"/>
            <w:left w:val="none" w:sz="0" w:space="0" w:color="auto"/>
            <w:bottom w:val="none" w:sz="0" w:space="0" w:color="auto"/>
            <w:right w:val="none" w:sz="0" w:space="0" w:color="auto"/>
          </w:divBdr>
        </w:div>
        <w:div w:id="157622640">
          <w:marLeft w:val="480"/>
          <w:marRight w:val="0"/>
          <w:marTop w:val="0"/>
          <w:marBottom w:val="0"/>
          <w:divBdr>
            <w:top w:val="none" w:sz="0" w:space="0" w:color="auto"/>
            <w:left w:val="none" w:sz="0" w:space="0" w:color="auto"/>
            <w:bottom w:val="none" w:sz="0" w:space="0" w:color="auto"/>
            <w:right w:val="none" w:sz="0" w:space="0" w:color="auto"/>
          </w:divBdr>
        </w:div>
        <w:div w:id="1698854047">
          <w:marLeft w:val="480"/>
          <w:marRight w:val="0"/>
          <w:marTop w:val="0"/>
          <w:marBottom w:val="0"/>
          <w:divBdr>
            <w:top w:val="none" w:sz="0" w:space="0" w:color="auto"/>
            <w:left w:val="none" w:sz="0" w:space="0" w:color="auto"/>
            <w:bottom w:val="none" w:sz="0" w:space="0" w:color="auto"/>
            <w:right w:val="none" w:sz="0" w:space="0" w:color="auto"/>
          </w:divBdr>
        </w:div>
        <w:div w:id="589235894">
          <w:marLeft w:val="480"/>
          <w:marRight w:val="0"/>
          <w:marTop w:val="0"/>
          <w:marBottom w:val="0"/>
          <w:divBdr>
            <w:top w:val="none" w:sz="0" w:space="0" w:color="auto"/>
            <w:left w:val="none" w:sz="0" w:space="0" w:color="auto"/>
            <w:bottom w:val="none" w:sz="0" w:space="0" w:color="auto"/>
            <w:right w:val="none" w:sz="0" w:space="0" w:color="auto"/>
          </w:divBdr>
        </w:div>
        <w:div w:id="2089955677">
          <w:marLeft w:val="480"/>
          <w:marRight w:val="0"/>
          <w:marTop w:val="0"/>
          <w:marBottom w:val="0"/>
          <w:divBdr>
            <w:top w:val="none" w:sz="0" w:space="0" w:color="auto"/>
            <w:left w:val="none" w:sz="0" w:space="0" w:color="auto"/>
            <w:bottom w:val="none" w:sz="0" w:space="0" w:color="auto"/>
            <w:right w:val="none" w:sz="0" w:space="0" w:color="auto"/>
          </w:divBdr>
        </w:div>
        <w:div w:id="1695380621">
          <w:marLeft w:val="480"/>
          <w:marRight w:val="0"/>
          <w:marTop w:val="0"/>
          <w:marBottom w:val="0"/>
          <w:divBdr>
            <w:top w:val="none" w:sz="0" w:space="0" w:color="auto"/>
            <w:left w:val="none" w:sz="0" w:space="0" w:color="auto"/>
            <w:bottom w:val="none" w:sz="0" w:space="0" w:color="auto"/>
            <w:right w:val="none" w:sz="0" w:space="0" w:color="auto"/>
          </w:divBdr>
        </w:div>
        <w:div w:id="47654474">
          <w:marLeft w:val="480"/>
          <w:marRight w:val="0"/>
          <w:marTop w:val="0"/>
          <w:marBottom w:val="0"/>
          <w:divBdr>
            <w:top w:val="none" w:sz="0" w:space="0" w:color="auto"/>
            <w:left w:val="none" w:sz="0" w:space="0" w:color="auto"/>
            <w:bottom w:val="none" w:sz="0" w:space="0" w:color="auto"/>
            <w:right w:val="none" w:sz="0" w:space="0" w:color="auto"/>
          </w:divBdr>
        </w:div>
        <w:div w:id="1921015853">
          <w:marLeft w:val="480"/>
          <w:marRight w:val="0"/>
          <w:marTop w:val="0"/>
          <w:marBottom w:val="0"/>
          <w:divBdr>
            <w:top w:val="none" w:sz="0" w:space="0" w:color="auto"/>
            <w:left w:val="none" w:sz="0" w:space="0" w:color="auto"/>
            <w:bottom w:val="none" w:sz="0" w:space="0" w:color="auto"/>
            <w:right w:val="none" w:sz="0" w:space="0" w:color="auto"/>
          </w:divBdr>
        </w:div>
        <w:div w:id="974454835">
          <w:marLeft w:val="480"/>
          <w:marRight w:val="0"/>
          <w:marTop w:val="0"/>
          <w:marBottom w:val="0"/>
          <w:divBdr>
            <w:top w:val="none" w:sz="0" w:space="0" w:color="auto"/>
            <w:left w:val="none" w:sz="0" w:space="0" w:color="auto"/>
            <w:bottom w:val="none" w:sz="0" w:space="0" w:color="auto"/>
            <w:right w:val="none" w:sz="0" w:space="0" w:color="auto"/>
          </w:divBdr>
        </w:div>
        <w:div w:id="433282700">
          <w:marLeft w:val="480"/>
          <w:marRight w:val="0"/>
          <w:marTop w:val="0"/>
          <w:marBottom w:val="0"/>
          <w:divBdr>
            <w:top w:val="none" w:sz="0" w:space="0" w:color="auto"/>
            <w:left w:val="none" w:sz="0" w:space="0" w:color="auto"/>
            <w:bottom w:val="none" w:sz="0" w:space="0" w:color="auto"/>
            <w:right w:val="none" w:sz="0" w:space="0" w:color="auto"/>
          </w:divBdr>
        </w:div>
        <w:div w:id="937372371">
          <w:marLeft w:val="480"/>
          <w:marRight w:val="0"/>
          <w:marTop w:val="0"/>
          <w:marBottom w:val="0"/>
          <w:divBdr>
            <w:top w:val="none" w:sz="0" w:space="0" w:color="auto"/>
            <w:left w:val="none" w:sz="0" w:space="0" w:color="auto"/>
            <w:bottom w:val="none" w:sz="0" w:space="0" w:color="auto"/>
            <w:right w:val="none" w:sz="0" w:space="0" w:color="auto"/>
          </w:divBdr>
        </w:div>
        <w:div w:id="1878733447">
          <w:marLeft w:val="480"/>
          <w:marRight w:val="0"/>
          <w:marTop w:val="0"/>
          <w:marBottom w:val="0"/>
          <w:divBdr>
            <w:top w:val="none" w:sz="0" w:space="0" w:color="auto"/>
            <w:left w:val="none" w:sz="0" w:space="0" w:color="auto"/>
            <w:bottom w:val="none" w:sz="0" w:space="0" w:color="auto"/>
            <w:right w:val="none" w:sz="0" w:space="0" w:color="auto"/>
          </w:divBdr>
        </w:div>
        <w:div w:id="1944341304">
          <w:marLeft w:val="480"/>
          <w:marRight w:val="0"/>
          <w:marTop w:val="0"/>
          <w:marBottom w:val="0"/>
          <w:divBdr>
            <w:top w:val="none" w:sz="0" w:space="0" w:color="auto"/>
            <w:left w:val="none" w:sz="0" w:space="0" w:color="auto"/>
            <w:bottom w:val="none" w:sz="0" w:space="0" w:color="auto"/>
            <w:right w:val="none" w:sz="0" w:space="0" w:color="auto"/>
          </w:divBdr>
        </w:div>
        <w:div w:id="1411998854">
          <w:marLeft w:val="480"/>
          <w:marRight w:val="0"/>
          <w:marTop w:val="0"/>
          <w:marBottom w:val="0"/>
          <w:divBdr>
            <w:top w:val="none" w:sz="0" w:space="0" w:color="auto"/>
            <w:left w:val="none" w:sz="0" w:space="0" w:color="auto"/>
            <w:bottom w:val="none" w:sz="0" w:space="0" w:color="auto"/>
            <w:right w:val="none" w:sz="0" w:space="0" w:color="auto"/>
          </w:divBdr>
        </w:div>
        <w:div w:id="320811185">
          <w:marLeft w:val="480"/>
          <w:marRight w:val="0"/>
          <w:marTop w:val="0"/>
          <w:marBottom w:val="0"/>
          <w:divBdr>
            <w:top w:val="none" w:sz="0" w:space="0" w:color="auto"/>
            <w:left w:val="none" w:sz="0" w:space="0" w:color="auto"/>
            <w:bottom w:val="none" w:sz="0" w:space="0" w:color="auto"/>
            <w:right w:val="none" w:sz="0" w:space="0" w:color="auto"/>
          </w:divBdr>
        </w:div>
        <w:div w:id="303581901">
          <w:marLeft w:val="480"/>
          <w:marRight w:val="0"/>
          <w:marTop w:val="0"/>
          <w:marBottom w:val="0"/>
          <w:divBdr>
            <w:top w:val="none" w:sz="0" w:space="0" w:color="auto"/>
            <w:left w:val="none" w:sz="0" w:space="0" w:color="auto"/>
            <w:bottom w:val="none" w:sz="0" w:space="0" w:color="auto"/>
            <w:right w:val="none" w:sz="0" w:space="0" w:color="auto"/>
          </w:divBdr>
        </w:div>
        <w:div w:id="954216750">
          <w:marLeft w:val="480"/>
          <w:marRight w:val="0"/>
          <w:marTop w:val="0"/>
          <w:marBottom w:val="0"/>
          <w:divBdr>
            <w:top w:val="none" w:sz="0" w:space="0" w:color="auto"/>
            <w:left w:val="none" w:sz="0" w:space="0" w:color="auto"/>
            <w:bottom w:val="none" w:sz="0" w:space="0" w:color="auto"/>
            <w:right w:val="none" w:sz="0" w:space="0" w:color="auto"/>
          </w:divBdr>
        </w:div>
        <w:div w:id="930896325">
          <w:marLeft w:val="480"/>
          <w:marRight w:val="0"/>
          <w:marTop w:val="0"/>
          <w:marBottom w:val="0"/>
          <w:divBdr>
            <w:top w:val="none" w:sz="0" w:space="0" w:color="auto"/>
            <w:left w:val="none" w:sz="0" w:space="0" w:color="auto"/>
            <w:bottom w:val="none" w:sz="0" w:space="0" w:color="auto"/>
            <w:right w:val="none" w:sz="0" w:space="0" w:color="auto"/>
          </w:divBdr>
        </w:div>
        <w:div w:id="153689732">
          <w:marLeft w:val="480"/>
          <w:marRight w:val="0"/>
          <w:marTop w:val="0"/>
          <w:marBottom w:val="0"/>
          <w:divBdr>
            <w:top w:val="none" w:sz="0" w:space="0" w:color="auto"/>
            <w:left w:val="none" w:sz="0" w:space="0" w:color="auto"/>
            <w:bottom w:val="none" w:sz="0" w:space="0" w:color="auto"/>
            <w:right w:val="none" w:sz="0" w:space="0" w:color="auto"/>
          </w:divBdr>
        </w:div>
        <w:div w:id="940260100">
          <w:marLeft w:val="480"/>
          <w:marRight w:val="0"/>
          <w:marTop w:val="0"/>
          <w:marBottom w:val="0"/>
          <w:divBdr>
            <w:top w:val="none" w:sz="0" w:space="0" w:color="auto"/>
            <w:left w:val="none" w:sz="0" w:space="0" w:color="auto"/>
            <w:bottom w:val="none" w:sz="0" w:space="0" w:color="auto"/>
            <w:right w:val="none" w:sz="0" w:space="0" w:color="auto"/>
          </w:divBdr>
        </w:div>
        <w:div w:id="824862664">
          <w:marLeft w:val="480"/>
          <w:marRight w:val="0"/>
          <w:marTop w:val="0"/>
          <w:marBottom w:val="0"/>
          <w:divBdr>
            <w:top w:val="none" w:sz="0" w:space="0" w:color="auto"/>
            <w:left w:val="none" w:sz="0" w:space="0" w:color="auto"/>
            <w:bottom w:val="none" w:sz="0" w:space="0" w:color="auto"/>
            <w:right w:val="none" w:sz="0" w:space="0" w:color="auto"/>
          </w:divBdr>
        </w:div>
        <w:div w:id="104735013">
          <w:marLeft w:val="480"/>
          <w:marRight w:val="0"/>
          <w:marTop w:val="0"/>
          <w:marBottom w:val="0"/>
          <w:divBdr>
            <w:top w:val="none" w:sz="0" w:space="0" w:color="auto"/>
            <w:left w:val="none" w:sz="0" w:space="0" w:color="auto"/>
            <w:bottom w:val="none" w:sz="0" w:space="0" w:color="auto"/>
            <w:right w:val="none" w:sz="0" w:space="0" w:color="auto"/>
          </w:divBdr>
        </w:div>
        <w:div w:id="632366778">
          <w:marLeft w:val="480"/>
          <w:marRight w:val="0"/>
          <w:marTop w:val="0"/>
          <w:marBottom w:val="0"/>
          <w:divBdr>
            <w:top w:val="none" w:sz="0" w:space="0" w:color="auto"/>
            <w:left w:val="none" w:sz="0" w:space="0" w:color="auto"/>
            <w:bottom w:val="none" w:sz="0" w:space="0" w:color="auto"/>
            <w:right w:val="none" w:sz="0" w:space="0" w:color="auto"/>
          </w:divBdr>
        </w:div>
        <w:div w:id="1353996175">
          <w:marLeft w:val="480"/>
          <w:marRight w:val="0"/>
          <w:marTop w:val="0"/>
          <w:marBottom w:val="0"/>
          <w:divBdr>
            <w:top w:val="none" w:sz="0" w:space="0" w:color="auto"/>
            <w:left w:val="none" w:sz="0" w:space="0" w:color="auto"/>
            <w:bottom w:val="none" w:sz="0" w:space="0" w:color="auto"/>
            <w:right w:val="none" w:sz="0" w:space="0" w:color="auto"/>
          </w:divBdr>
        </w:div>
        <w:div w:id="751195379">
          <w:marLeft w:val="480"/>
          <w:marRight w:val="0"/>
          <w:marTop w:val="0"/>
          <w:marBottom w:val="0"/>
          <w:divBdr>
            <w:top w:val="none" w:sz="0" w:space="0" w:color="auto"/>
            <w:left w:val="none" w:sz="0" w:space="0" w:color="auto"/>
            <w:bottom w:val="none" w:sz="0" w:space="0" w:color="auto"/>
            <w:right w:val="none" w:sz="0" w:space="0" w:color="auto"/>
          </w:divBdr>
        </w:div>
        <w:div w:id="136532871">
          <w:marLeft w:val="480"/>
          <w:marRight w:val="0"/>
          <w:marTop w:val="0"/>
          <w:marBottom w:val="0"/>
          <w:divBdr>
            <w:top w:val="none" w:sz="0" w:space="0" w:color="auto"/>
            <w:left w:val="none" w:sz="0" w:space="0" w:color="auto"/>
            <w:bottom w:val="none" w:sz="0" w:space="0" w:color="auto"/>
            <w:right w:val="none" w:sz="0" w:space="0" w:color="auto"/>
          </w:divBdr>
        </w:div>
        <w:div w:id="1932885198">
          <w:marLeft w:val="480"/>
          <w:marRight w:val="0"/>
          <w:marTop w:val="0"/>
          <w:marBottom w:val="0"/>
          <w:divBdr>
            <w:top w:val="none" w:sz="0" w:space="0" w:color="auto"/>
            <w:left w:val="none" w:sz="0" w:space="0" w:color="auto"/>
            <w:bottom w:val="none" w:sz="0" w:space="0" w:color="auto"/>
            <w:right w:val="none" w:sz="0" w:space="0" w:color="auto"/>
          </w:divBdr>
        </w:div>
        <w:div w:id="414013832">
          <w:marLeft w:val="480"/>
          <w:marRight w:val="0"/>
          <w:marTop w:val="0"/>
          <w:marBottom w:val="0"/>
          <w:divBdr>
            <w:top w:val="none" w:sz="0" w:space="0" w:color="auto"/>
            <w:left w:val="none" w:sz="0" w:space="0" w:color="auto"/>
            <w:bottom w:val="none" w:sz="0" w:space="0" w:color="auto"/>
            <w:right w:val="none" w:sz="0" w:space="0" w:color="auto"/>
          </w:divBdr>
        </w:div>
        <w:div w:id="1638415076">
          <w:marLeft w:val="480"/>
          <w:marRight w:val="0"/>
          <w:marTop w:val="0"/>
          <w:marBottom w:val="0"/>
          <w:divBdr>
            <w:top w:val="none" w:sz="0" w:space="0" w:color="auto"/>
            <w:left w:val="none" w:sz="0" w:space="0" w:color="auto"/>
            <w:bottom w:val="none" w:sz="0" w:space="0" w:color="auto"/>
            <w:right w:val="none" w:sz="0" w:space="0" w:color="auto"/>
          </w:divBdr>
        </w:div>
        <w:div w:id="1226182711">
          <w:marLeft w:val="480"/>
          <w:marRight w:val="0"/>
          <w:marTop w:val="0"/>
          <w:marBottom w:val="0"/>
          <w:divBdr>
            <w:top w:val="none" w:sz="0" w:space="0" w:color="auto"/>
            <w:left w:val="none" w:sz="0" w:space="0" w:color="auto"/>
            <w:bottom w:val="none" w:sz="0" w:space="0" w:color="auto"/>
            <w:right w:val="none" w:sz="0" w:space="0" w:color="auto"/>
          </w:divBdr>
        </w:div>
        <w:div w:id="176620135">
          <w:marLeft w:val="480"/>
          <w:marRight w:val="0"/>
          <w:marTop w:val="0"/>
          <w:marBottom w:val="0"/>
          <w:divBdr>
            <w:top w:val="none" w:sz="0" w:space="0" w:color="auto"/>
            <w:left w:val="none" w:sz="0" w:space="0" w:color="auto"/>
            <w:bottom w:val="none" w:sz="0" w:space="0" w:color="auto"/>
            <w:right w:val="none" w:sz="0" w:space="0" w:color="auto"/>
          </w:divBdr>
        </w:div>
        <w:div w:id="551161612">
          <w:marLeft w:val="480"/>
          <w:marRight w:val="0"/>
          <w:marTop w:val="0"/>
          <w:marBottom w:val="0"/>
          <w:divBdr>
            <w:top w:val="none" w:sz="0" w:space="0" w:color="auto"/>
            <w:left w:val="none" w:sz="0" w:space="0" w:color="auto"/>
            <w:bottom w:val="none" w:sz="0" w:space="0" w:color="auto"/>
            <w:right w:val="none" w:sz="0" w:space="0" w:color="auto"/>
          </w:divBdr>
        </w:div>
        <w:div w:id="1373581088">
          <w:marLeft w:val="480"/>
          <w:marRight w:val="0"/>
          <w:marTop w:val="0"/>
          <w:marBottom w:val="0"/>
          <w:divBdr>
            <w:top w:val="none" w:sz="0" w:space="0" w:color="auto"/>
            <w:left w:val="none" w:sz="0" w:space="0" w:color="auto"/>
            <w:bottom w:val="none" w:sz="0" w:space="0" w:color="auto"/>
            <w:right w:val="none" w:sz="0" w:space="0" w:color="auto"/>
          </w:divBdr>
        </w:div>
        <w:div w:id="1839465978">
          <w:marLeft w:val="480"/>
          <w:marRight w:val="0"/>
          <w:marTop w:val="0"/>
          <w:marBottom w:val="0"/>
          <w:divBdr>
            <w:top w:val="none" w:sz="0" w:space="0" w:color="auto"/>
            <w:left w:val="none" w:sz="0" w:space="0" w:color="auto"/>
            <w:bottom w:val="none" w:sz="0" w:space="0" w:color="auto"/>
            <w:right w:val="none" w:sz="0" w:space="0" w:color="auto"/>
          </w:divBdr>
        </w:div>
        <w:div w:id="1079207256">
          <w:marLeft w:val="480"/>
          <w:marRight w:val="0"/>
          <w:marTop w:val="0"/>
          <w:marBottom w:val="0"/>
          <w:divBdr>
            <w:top w:val="none" w:sz="0" w:space="0" w:color="auto"/>
            <w:left w:val="none" w:sz="0" w:space="0" w:color="auto"/>
            <w:bottom w:val="none" w:sz="0" w:space="0" w:color="auto"/>
            <w:right w:val="none" w:sz="0" w:space="0" w:color="auto"/>
          </w:divBdr>
        </w:div>
        <w:div w:id="22872132">
          <w:marLeft w:val="480"/>
          <w:marRight w:val="0"/>
          <w:marTop w:val="0"/>
          <w:marBottom w:val="0"/>
          <w:divBdr>
            <w:top w:val="none" w:sz="0" w:space="0" w:color="auto"/>
            <w:left w:val="none" w:sz="0" w:space="0" w:color="auto"/>
            <w:bottom w:val="none" w:sz="0" w:space="0" w:color="auto"/>
            <w:right w:val="none" w:sz="0" w:space="0" w:color="auto"/>
          </w:divBdr>
        </w:div>
        <w:div w:id="693119414">
          <w:marLeft w:val="480"/>
          <w:marRight w:val="0"/>
          <w:marTop w:val="0"/>
          <w:marBottom w:val="0"/>
          <w:divBdr>
            <w:top w:val="none" w:sz="0" w:space="0" w:color="auto"/>
            <w:left w:val="none" w:sz="0" w:space="0" w:color="auto"/>
            <w:bottom w:val="none" w:sz="0" w:space="0" w:color="auto"/>
            <w:right w:val="none" w:sz="0" w:space="0" w:color="auto"/>
          </w:divBdr>
        </w:div>
        <w:div w:id="1339382265">
          <w:marLeft w:val="480"/>
          <w:marRight w:val="0"/>
          <w:marTop w:val="0"/>
          <w:marBottom w:val="0"/>
          <w:divBdr>
            <w:top w:val="none" w:sz="0" w:space="0" w:color="auto"/>
            <w:left w:val="none" w:sz="0" w:space="0" w:color="auto"/>
            <w:bottom w:val="none" w:sz="0" w:space="0" w:color="auto"/>
            <w:right w:val="none" w:sz="0" w:space="0" w:color="auto"/>
          </w:divBdr>
        </w:div>
        <w:div w:id="1346904266">
          <w:marLeft w:val="480"/>
          <w:marRight w:val="0"/>
          <w:marTop w:val="0"/>
          <w:marBottom w:val="0"/>
          <w:divBdr>
            <w:top w:val="none" w:sz="0" w:space="0" w:color="auto"/>
            <w:left w:val="none" w:sz="0" w:space="0" w:color="auto"/>
            <w:bottom w:val="none" w:sz="0" w:space="0" w:color="auto"/>
            <w:right w:val="none" w:sz="0" w:space="0" w:color="auto"/>
          </w:divBdr>
        </w:div>
        <w:div w:id="141120825">
          <w:marLeft w:val="480"/>
          <w:marRight w:val="0"/>
          <w:marTop w:val="0"/>
          <w:marBottom w:val="0"/>
          <w:divBdr>
            <w:top w:val="none" w:sz="0" w:space="0" w:color="auto"/>
            <w:left w:val="none" w:sz="0" w:space="0" w:color="auto"/>
            <w:bottom w:val="none" w:sz="0" w:space="0" w:color="auto"/>
            <w:right w:val="none" w:sz="0" w:space="0" w:color="auto"/>
          </w:divBdr>
        </w:div>
        <w:div w:id="122623903">
          <w:marLeft w:val="480"/>
          <w:marRight w:val="0"/>
          <w:marTop w:val="0"/>
          <w:marBottom w:val="0"/>
          <w:divBdr>
            <w:top w:val="none" w:sz="0" w:space="0" w:color="auto"/>
            <w:left w:val="none" w:sz="0" w:space="0" w:color="auto"/>
            <w:bottom w:val="none" w:sz="0" w:space="0" w:color="auto"/>
            <w:right w:val="none" w:sz="0" w:space="0" w:color="auto"/>
          </w:divBdr>
        </w:div>
        <w:div w:id="1021856474">
          <w:marLeft w:val="480"/>
          <w:marRight w:val="0"/>
          <w:marTop w:val="0"/>
          <w:marBottom w:val="0"/>
          <w:divBdr>
            <w:top w:val="none" w:sz="0" w:space="0" w:color="auto"/>
            <w:left w:val="none" w:sz="0" w:space="0" w:color="auto"/>
            <w:bottom w:val="none" w:sz="0" w:space="0" w:color="auto"/>
            <w:right w:val="none" w:sz="0" w:space="0" w:color="auto"/>
          </w:divBdr>
        </w:div>
        <w:div w:id="841430184">
          <w:marLeft w:val="480"/>
          <w:marRight w:val="0"/>
          <w:marTop w:val="0"/>
          <w:marBottom w:val="0"/>
          <w:divBdr>
            <w:top w:val="none" w:sz="0" w:space="0" w:color="auto"/>
            <w:left w:val="none" w:sz="0" w:space="0" w:color="auto"/>
            <w:bottom w:val="none" w:sz="0" w:space="0" w:color="auto"/>
            <w:right w:val="none" w:sz="0" w:space="0" w:color="auto"/>
          </w:divBdr>
        </w:div>
        <w:div w:id="455950692">
          <w:marLeft w:val="480"/>
          <w:marRight w:val="0"/>
          <w:marTop w:val="0"/>
          <w:marBottom w:val="0"/>
          <w:divBdr>
            <w:top w:val="none" w:sz="0" w:space="0" w:color="auto"/>
            <w:left w:val="none" w:sz="0" w:space="0" w:color="auto"/>
            <w:bottom w:val="none" w:sz="0" w:space="0" w:color="auto"/>
            <w:right w:val="none" w:sz="0" w:space="0" w:color="auto"/>
          </w:divBdr>
        </w:div>
        <w:div w:id="1181968039">
          <w:marLeft w:val="480"/>
          <w:marRight w:val="0"/>
          <w:marTop w:val="0"/>
          <w:marBottom w:val="0"/>
          <w:divBdr>
            <w:top w:val="none" w:sz="0" w:space="0" w:color="auto"/>
            <w:left w:val="none" w:sz="0" w:space="0" w:color="auto"/>
            <w:bottom w:val="none" w:sz="0" w:space="0" w:color="auto"/>
            <w:right w:val="none" w:sz="0" w:space="0" w:color="auto"/>
          </w:divBdr>
        </w:div>
        <w:div w:id="969045603">
          <w:marLeft w:val="480"/>
          <w:marRight w:val="0"/>
          <w:marTop w:val="0"/>
          <w:marBottom w:val="0"/>
          <w:divBdr>
            <w:top w:val="none" w:sz="0" w:space="0" w:color="auto"/>
            <w:left w:val="none" w:sz="0" w:space="0" w:color="auto"/>
            <w:bottom w:val="none" w:sz="0" w:space="0" w:color="auto"/>
            <w:right w:val="none" w:sz="0" w:space="0" w:color="auto"/>
          </w:divBdr>
        </w:div>
        <w:div w:id="1509910095">
          <w:marLeft w:val="480"/>
          <w:marRight w:val="0"/>
          <w:marTop w:val="0"/>
          <w:marBottom w:val="0"/>
          <w:divBdr>
            <w:top w:val="none" w:sz="0" w:space="0" w:color="auto"/>
            <w:left w:val="none" w:sz="0" w:space="0" w:color="auto"/>
            <w:bottom w:val="none" w:sz="0" w:space="0" w:color="auto"/>
            <w:right w:val="none" w:sz="0" w:space="0" w:color="auto"/>
          </w:divBdr>
        </w:div>
        <w:div w:id="62291425">
          <w:marLeft w:val="480"/>
          <w:marRight w:val="0"/>
          <w:marTop w:val="0"/>
          <w:marBottom w:val="0"/>
          <w:divBdr>
            <w:top w:val="none" w:sz="0" w:space="0" w:color="auto"/>
            <w:left w:val="none" w:sz="0" w:space="0" w:color="auto"/>
            <w:bottom w:val="none" w:sz="0" w:space="0" w:color="auto"/>
            <w:right w:val="none" w:sz="0" w:space="0" w:color="auto"/>
          </w:divBdr>
        </w:div>
        <w:div w:id="1531801367">
          <w:marLeft w:val="480"/>
          <w:marRight w:val="0"/>
          <w:marTop w:val="0"/>
          <w:marBottom w:val="0"/>
          <w:divBdr>
            <w:top w:val="none" w:sz="0" w:space="0" w:color="auto"/>
            <w:left w:val="none" w:sz="0" w:space="0" w:color="auto"/>
            <w:bottom w:val="none" w:sz="0" w:space="0" w:color="auto"/>
            <w:right w:val="none" w:sz="0" w:space="0" w:color="auto"/>
          </w:divBdr>
        </w:div>
        <w:div w:id="2084713634">
          <w:marLeft w:val="480"/>
          <w:marRight w:val="0"/>
          <w:marTop w:val="0"/>
          <w:marBottom w:val="0"/>
          <w:divBdr>
            <w:top w:val="none" w:sz="0" w:space="0" w:color="auto"/>
            <w:left w:val="none" w:sz="0" w:space="0" w:color="auto"/>
            <w:bottom w:val="none" w:sz="0" w:space="0" w:color="auto"/>
            <w:right w:val="none" w:sz="0" w:space="0" w:color="auto"/>
          </w:divBdr>
        </w:div>
        <w:div w:id="863862440">
          <w:marLeft w:val="480"/>
          <w:marRight w:val="0"/>
          <w:marTop w:val="0"/>
          <w:marBottom w:val="0"/>
          <w:divBdr>
            <w:top w:val="none" w:sz="0" w:space="0" w:color="auto"/>
            <w:left w:val="none" w:sz="0" w:space="0" w:color="auto"/>
            <w:bottom w:val="none" w:sz="0" w:space="0" w:color="auto"/>
            <w:right w:val="none" w:sz="0" w:space="0" w:color="auto"/>
          </w:divBdr>
        </w:div>
        <w:div w:id="854879126">
          <w:marLeft w:val="480"/>
          <w:marRight w:val="0"/>
          <w:marTop w:val="0"/>
          <w:marBottom w:val="0"/>
          <w:divBdr>
            <w:top w:val="none" w:sz="0" w:space="0" w:color="auto"/>
            <w:left w:val="none" w:sz="0" w:space="0" w:color="auto"/>
            <w:bottom w:val="none" w:sz="0" w:space="0" w:color="auto"/>
            <w:right w:val="none" w:sz="0" w:space="0" w:color="auto"/>
          </w:divBdr>
        </w:div>
        <w:div w:id="2089232162">
          <w:marLeft w:val="480"/>
          <w:marRight w:val="0"/>
          <w:marTop w:val="0"/>
          <w:marBottom w:val="0"/>
          <w:divBdr>
            <w:top w:val="none" w:sz="0" w:space="0" w:color="auto"/>
            <w:left w:val="none" w:sz="0" w:space="0" w:color="auto"/>
            <w:bottom w:val="none" w:sz="0" w:space="0" w:color="auto"/>
            <w:right w:val="none" w:sz="0" w:space="0" w:color="auto"/>
          </w:divBdr>
        </w:div>
        <w:div w:id="1549874490">
          <w:marLeft w:val="480"/>
          <w:marRight w:val="0"/>
          <w:marTop w:val="0"/>
          <w:marBottom w:val="0"/>
          <w:divBdr>
            <w:top w:val="none" w:sz="0" w:space="0" w:color="auto"/>
            <w:left w:val="none" w:sz="0" w:space="0" w:color="auto"/>
            <w:bottom w:val="none" w:sz="0" w:space="0" w:color="auto"/>
            <w:right w:val="none" w:sz="0" w:space="0" w:color="auto"/>
          </w:divBdr>
        </w:div>
        <w:div w:id="230845978">
          <w:marLeft w:val="480"/>
          <w:marRight w:val="0"/>
          <w:marTop w:val="0"/>
          <w:marBottom w:val="0"/>
          <w:divBdr>
            <w:top w:val="none" w:sz="0" w:space="0" w:color="auto"/>
            <w:left w:val="none" w:sz="0" w:space="0" w:color="auto"/>
            <w:bottom w:val="none" w:sz="0" w:space="0" w:color="auto"/>
            <w:right w:val="none" w:sz="0" w:space="0" w:color="auto"/>
          </w:divBdr>
        </w:div>
        <w:div w:id="281234978">
          <w:marLeft w:val="480"/>
          <w:marRight w:val="0"/>
          <w:marTop w:val="0"/>
          <w:marBottom w:val="0"/>
          <w:divBdr>
            <w:top w:val="none" w:sz="0" w:space="0" w:color="auto"/>
            <w:left w:val="none" w:sz="0" w:space="0" w:color="auto"/>
            <w:bottom w:val="none" w:sz="0" w:space="0" w:color="auto"/>
            <w:right w:val="none" w:sz="0" w:space="0" w:color="auto"/>
          </w:divBdr>
        </w:div>
        <w:div w:id="2060740108">
          <w:marLeft w:val="480"/>
          <w:marRight w:val="0"/>
          <w:marTop w:val="0"/>
          <w:marBottom w:val="0"/>
          <w:divBdr>
            <w:top w:val="none" w:sz="0" w:space="0" w:color="auto"/>
            <w:left w:val="none" w:sz="0" w:space="0" w:color="auto"/>
            <w:bottom w:val="none" w:sz="0" w:space="0" w:color="auto"/>
            <w:right w:val="none" w:sz="0" w:space="0" w:color="auto"/>
          </w:divBdr>
        </w:div>
        <w:div w:id="200556286">
          <w:marLeft w:val="480"/>
          <w:marRight w:val="0"/>
          <w:marTop w:val="0"/>
          <w:marBottom w:val="0"/>
          <w:divBdr>
            <w:top w:val="none" w:sz="0" w:space="0" w:color="auto"/>
            <w:left w:val="none" w:sz="0" w:space="0" w:color="auto"/>
            <w:bottom w:val="none" w:sz="0" w:space="0" w:color="auto"/>
            <w:right w:val="none" w:sz="0" w:space="0" w:color="auto"/>
          </w:divBdr>
        </w:div>
        <w:div w:id="975839799">
          <w:marLeft w:val="480"/>
          <w:marRight w:val="0"/>
          <w:marTop w:val="0"/>
          <w:marBottom w:val="0"/>
          <w:divBdr>
            <w:top w:val="none" w:sz="0" w:space="0" w:color="auto"/>
            <w:left w:val="none" w:sz="0" w:space="0" w:color="auto"/>
            <w:bottom w:val="none" w:sz="0" w:space="0" w:color="auto"/>
            <w:right w:val="none" w:sz="0" w:space="0" w:color="auto"/>
          </w:divBdr>
        </w:div>
        <w:div w:id="727461342">
          <w:marLeft w:val="480"/>
          <w:marRight w:val="0"/>
          <w:marTop w:val="0"/>
          <w:marBottom w:val="0"/>
          <w:divBdr>
            <w:top w:val="none" w:sz="0" w:space="0" w:color="auto"/>
            <w:left w:val="none" w:sz="0" w:space="0" w:color="auto"/>
            <w:bottom w:val="none" w:sz="0" w:space="0" w:color="auto"/>
            <w:right w:val="none" w:sz="0" w:space="0" w:color="auto"/>
          </w:divBdr>
        </w:div>
        <w:div w:id="1150905250">
          <w:marLeft w:val="480"/>
          <w:marRight w:val="0"/>
          <w:marTop w:val="0"/>
          <w:marBottom w:val="0"/>
          <w:divBdr>
            <w:top w:val="none" w:sz="0" w:space="0" w:color="auto"/>
            <w:left w:val="none" w:sz="0" w:space="0" w:color="auto"/>
            <w:bottom w:val="none" w:sz="0" w:space="0" w:color="auto"/>
            <w:right w:val="none" w:sz="0" w:space="0" w:color="auto"/>
          </w:divBdr>
        </w:div>
        <w:div w:id="1485588323">
          <w:marLeft w:val="480"/>
          <w:marRight w:val="0"/>
          <w:marTop w:val="0"/>
          <w:marBottom w:val="0"/>
          <w:divBdr>
            <w:top w:val="none" w:sz="0" w:space="0" w:color="auto"/>
            <w:left w:val="none" w:sz="0" w:space="0" w:color="auto"/>
            <w:bottom w:val="none" w:sz="0" w:space="0" w:color="auto"/>
            <w:right w:val="none" w:sz="0" w:space="0" w:color="auto"/>
          </w:divBdr>
        </w:div>
        <w:div w:id="895900027">
          <w:marLeft w:val="480"/>
          <w:marRight w:val="0"/>
          <w:marTop w:val="0"/>
          <w:marBottom w:val="0"/>
          <w:divBdr>
            <w:top w:val="none" w:sz="0" w:space="0" w:color="auto"/>
            <w:left w:val="none" w:sz="0" w:space="0" w:color="auto"/>
            <w:bottom w:val="none" w:sz="0" w:space="0" w:color="auto"/>
            <w:right w:val="none" w:sz="0" w:space="0" w:color="auto"/>
          </w:divBdr>
        </w:div>
        <w:div w:id="1890218327">
          <w:marLeft w:val="480"/>
          <w:marRight w:val="0"/>
          <w:marTop w:val="0"/>
          <w:marBottom w:val="0"/>
          <w:divBdr>
            <w:top w:val="none" w:sz="0" w:space="0" w:color="auto"/>
            <w:left w:val="none" w:sz="0" w:space="0" w:color="auto"/>
            <w:bottom w:val="none" w:sz="0" w:space="0" w:color="auto"/>
            <w:right w:val="none" w:sz="0" w:space="0" w:color="auto"/>
          </w:divBdr>
        </w:div>
        <w:div w:id="1100681474">
          <w:marLeft w:val="480"/>
          <w:marRight w:val="0"/>
          <w:marTop w:val="0"/>
          <w:marBottom w:val="0"/>
          <w:divBdr>
            <w:top w:val="none" w:sz="0" w:space="0" w:color="auto"/>
            <w:left w:val="none" w:sz="0" w:space="0" w:color="auto"/>
            <w:bottom w:val="none" w:sz="0" w:space="0" w:color="auto"/>
            <w:right w:val="none" w:sz="0" w:space="0" w:color="auto"/>
          </w:divBdr>
        </w:div>
        <w:div w:id="184750753">
          <w:marLeft w:val="480"/>
          <w:marRight w:val="0"/>
          <w:marTop w:val="0"/>
          <w:marBottom w:val="0"/>
          <w:divBdr>
            <w:top w:val="none" w:sz="0" w:space="0" w:color="auto"/>
            <w:left w:val="none" w:sz="0" w:space="0" w:color="auto"/>
            <w:bottom w:val="none" w:sz="0" w:space="0" w:color="auto"/>
            <w:right w:val="none" w:sz="0" w:space="0" w:color="auto"/>
          </w:divBdr>
        </w:div>
        <w:div w:id="670644681">
          <w:marLeft w:val="480"/>
          <w:marRight w:val="0"/>
          <w:marTop w:val="0"/>
          <w:marBottom w:val="0"/>
          <w:divBdr>
            <w:top w:val="none" w:sz="0" w:space="0" w:color="auto"/>
            <w:left w:val="none" w:sz="0" w:space="0" w:color="auto"/>
            <w:bottom w:val="none" w:sz="0" w:space="0" w:color="auto"/>
            <w:right w:val="none" w:sz="0" w:space="0" w:color="auto"/>
          </w:divBdr>
        </w:div>
        <w:div w:id="1676302541">
          <w:marLeft w:val="480"/>
          <w:marRight w:val="0"/>
          <w:marTop w:val="0"/>
          <w:marBottom w:val="0"/>
          <w:divBdr>
            <w:top w:val="none" w:sz="0" w:space="0" w:color="auto"/>
            <w:left w:val="none" w:sz="0" w:space="0" w:color="auto"/>
            <w:bottom w:val="none" w:sz="0" w:space="0" w:color="auto"/>
            <w:right w:val="none" w:sz="0" w:space="0" w:color="auto"/>
          </w:divBdr>
        </w:div>
        <w:div w:id="1275166189">
          <w:marLeft w:val="480"/>
          <w:marRight w:val="0"/>
          <w:marTop w:val="0"/>
          <w:marBottom w:val="0"/>
          <w:divBdr>
            <w:top w:val="none" w:sz="0" w:space="0" w:color="auto"/>
            <w:left w:val="none" w:sz="0" w:space="0" w:color="auto"/>
            <w:bottom w:val="none" w:sz="0" w:space="0" w:color="auto"/>
            <w:right w:val="none" w:sz="0" w:space="0" w:color="auto"/>
          </w:divBdr>
        </w:div>
        <w:div w:id="765882328">
          <w:marLeft w:val="480"/>
          <w:marRight w:val="0"/>
          <w:marTop w:val="0"/>
          <w:marBottom w:val="0"/>
          <w:divBdr>
            <w:top w:val="none" w:sz="0" w:space="0" w:color="auto"/>
            <w:left w:val="none" w:sz="0" w:space="0" w:color="auto"/>
            <w:bottom w:val="none" w:sz="0" w:space="0" w:color="auto"/>
            <w:right w:val="none" w:sz="0" w:space="0" w:color="auto"/>
          </w:divBdr>
        </w:div>
        <w:div w:id="1731657919">
          <w:marLeft w:val="480"/>
          <w:marRight w:val="0"/>
          <w:marTop w:val="0"/>
          <w:marBottom w:val="0"/>
          <w:divBdr>
            <w:top w:val="none" w:sz="0" w:space="0" w:color="auto"/>
            <w:left w:val="none" w:sz="0" w:space="0" w:color="auto"/>
            <w:bottom w:val="none" w:sz="0" w:space="0" w:color="auto"/>
            <w:right w:val="none" w:sz="0" w:space="0" w:color="auto"/>
          </w:divBdr>
        </w:div>
        <w:div w:id="372194072">
          <w:marLeft w:val="480"/>
          <w:marRight w:val="0"/>
          <w:marTop w:val="0"/>
          <w:marBottom w:val="0"/>
          <w:divBdr>
            <w:top w:val="none" w:sz="0" w:space="0" w:color="auto"/>
            <w:left w:val="none" w:sz="0" w:space="0" w:color="auto"/>
            <w:bottom w:val="none" w:sz="0" w:space="0" w:color="auto"/>
            <w:right w:val="none" w:sz="0" w:space="0" w:color="auto"/>
          </w:divBdr>
        </w:div>
        <w:div w:id="369035995">
          <w:marLeft w:val="480"/>
          <w:marRight w:val="0"/>
          <w:marTop w:val="0"/>
          <w:marBottom w:val="0"/>
          <w:divBdr>
            <w:top w:val="none" w:sz="0" w:space="0" w:color="auto"/>
            <w:left w:val="none" w:sz="0" w:space="0" w:color="auto"/>
            <w:bottom w:val="none" w:sz="0" w:space="0" w:color="auto"/>
            <w:right w:val="none" w:sz="0" w:space="0" w:color="auto"/>
          </w:divBdr>
        </w:div>
        <w:div w:id="63308812">
          <w:marLeft w:val="480"/>
          <w:marRight w:val="0"/>
          <w:marTop w:val="0"/>
          <w:marBottom w:val="0"/>
          <w:divBdr>
            <w:top w:val="none" w:sz="0" w:space="0" w:color="auto"/>
            <w:left w:val="none" w:sz="0" w:space="0" w:color="auto"/>
            <w:bottom w:val="none" w:sz="0" w:space="0" w:color="auto"/>
            <w:right w:val="none" w:sz="0" w:space="0" w:color="auto"/>
          </w:divBdr>
        </w:div>
        <w:div w:id="1251233315">
          <w:marLeft w:val="480"/>
          <w:marRight w:val="0"/>
          <w:marTop w:val="0"/>
          <w:marBottom w:val="0"/>
          <w:divBdr>
            <w:top w:val="none" w:sz="0" w:space="0" w:color="auto"/>
            <w:left w:val="none" w:sz="0" w:space="0" w:color="auto"/>
            <w:bottom w:val="none" w:sz="0" w:space="0" w:color="auto"/>
            <w:right w:val="none" w:sz="0" w:space="0" w:color="auto"/>
          </w:divBdr>
        </w:div>
        <w:div w:id="696851873">
          <w:marLeft w:val="480"/>
          <w:marRight w:val="0"/>
          <w:marTop w:val="0"/>
          <w:marBottom w:val="0"/>
          <w:divBdr>
            <w:top w:val="none" w:sz="0" w:space="0" w:color="auto"/>
            <w:left w:val="none" w:sz="0" w:space="0" w:color="auto"/>
            <w:bottom w:val="none" w:sz="0" w:space="0" w:color="auto"/>
            <w:right w:val="none" w:sz="0" w:space="0" w:color="auto"/>
          </w:divBdr>
        </w:div>
        <w:div w:id="1049643391">
          <w:marLeft w:val="480"/>
          <w:marRight w:val="0"/>
          <w:marTop w:val="0"/>
          <w:marBottom w:val="0"/>
          <w:divBdr>
            <w:top w:val="none" w:sz="0" w:space="0" w:color="auto"/>
            <w:left w:val="none" w:sz="0" w:space="0" w:color="auto"/>
            <w:bottom w:val="none" w:sz="0" w:space="0" w:color="auto"/>
            <w:right w:val="none" w:sz="0" w:space="0" w:color="auto"/>
          </w:divBdr>
        </w:div>
        <w:div w:id="983043183">
          <w:marLeft w:val="480"/>
          <w:marRight w:val="0"/>
          <w:marTop w:val="0"/>
          <w:marBottom w:val="0"/>
          <w:divBdr>
            <w:top w:val="none" w:sz="0" w:space="0" w:color="auto"/>
            <w:left w:val="none" w:sz="0" w:space="0" w:color="auto"/>
            <w:bottom w:val="none" w:sz="0" w:space="0" w:color="auto"/>
            <w:right w:val="none" w:sz="0" w:space="0" w:color="auto"/>
          </w:divBdr>
        </w:div>
        <w:div w:id="30493578">
          <w:marLeft w:val="480"/>
          <w:marRight w:val="0"/>
          <w:marTop w:val="0"/>
          <w:marBottom w:val="0"/>
          <w:divBdr>
            <w:top w:val="none" w:sz="0" w:space="0" w:color="auto"/>
            <w:left w:val="none" w:sz="0" w:space="0" w:color="auto"/>
            <w:bottom w:val="none" w:sz="0" w:space="0" w:color="auto"/>
            <w:right w:val="none" w:sz="0" w:space="0" w:color="auto"/>
          </w:divBdr>
        </w:div>
        <w:div w:id="472136980">
          <w:marLeft w:val="480"/>
          <w:marRight w:val="0"/>
          <w:marTop w:val="0"/>
          <w:marBottom w:val="0"/>
          <w:divBdr>
            <w:top w:val="none" w:sz="0" w:space="0" w:color="auto"/>
            <w:left w:val="none" w:sz="0" w:space="0" w:color="auto"/>
            <w:bottom w:val="none" w:sz="0" w:space="0" w:color="auto"/>
            <w:right w:val="none" w:sz="0" w:space="0" w:color="auto"/>
          </w:divBdr>
        </w:div>
        <w:div w:id="1180893392">
          <w:marLeft w:val="480"/>
          <w:marRight w:val="0"/>
          <w:marTop w:val="0"/>
          <w:marBottom w:val="0"/>
          <w:divBdr>
            <w:top w:val="none" w:sz="0" w:space="0" w:color="auto"/>
            <w:left w:val="none" w:sz="0" w:space="0" w:color="auto"/>
            <w:bottom w:val="none" w:sz="0" w:space="0" w:color="auto"/>
            <w:right w:val="none" w:sz="0" w:space="0" w:color="auto"/>
          </w:divBdr>
        </w:div>
        <w:div w:id="917598202">
          <w:marLeft w:val="480"/>
          <w:marRight w:val="0"/>
          <w:marTop w:val="0"/>
          <w:marBottom w:val="0"/>
          <w:divBdr>
            <w:top w:val="none" w:sz="0" w:space="0" w:color="auto"/>
            <w:left w:val="none" w:sz="0" w:space="0" w:color="auto"/>
            <w:bottom w:val="none" w:sz="0" w:space="0" w:color="auto"/>
            <w:right w:val="none" w:sz="0" w:space="0" w:color="auto"/>
          </w:divBdr>
        </w:div>
        <w:div w:id="1986396806">
          <w:marLeft w:val="480"/>
          <w:marRight w:val="0"/>
          <w:marTop w:val="0"/>
          <w:marBottom w:val="0"/>
          <w:divBdr>
            <w:top w:val="none" w:sz="0" w:space="0" w:color="auto"/>
            <w:left w:val="none" w:sz="0" w:space="0" w:color="auto"/>
            <w:bottom w:val="none" w:sz="0" w:space="0" w:color="auto"/>
            <w:right w:val="none" w:sz="0" w:space="0" w:color="auto"/>
          </w:divBdr>
        </w:div>
        <w:div w:id="1564019956">
          <w:marLeft w:val="480"/>
          <w:marRight w:val="0"/>
          <w:marTop w:val="0"/>
          <w:marBottom w:val="0"/>
          <w:divBdr>
            <w:top w:val="none" w:sz="0" w:space="0" w:color="auto"/>
            <w:left w:val="none" w:sz="0" w:space="0" w:color="auto"/>
            <w:bottom w:val="none" w:sz="0" w:space="0" w:color="auto"/>
            <w:right w:val="none" w:sz="0" w:space="0" w:color="auto"/>
          </w:divBdr>
        </w:div>
        <w:div w:id="1884823260">
          <w:marLeft w:val="480"/>
          <w:marRight w:val="0"/>
          <w:marTop w:val="0"/>
          <w:marBottom w:val="0"/>
          <w:divBdr>
            <w:top w:val="none" w:sz="0" w:space="0" w:color="auto"/>
            <w:left w:val="none" w:sz="0" w:space="0" w:color="auto"/>
            <w:bottom w:val="none" w:sz="0" w:space="0" w:color="auto"/>
            <w:right w:val="none" w:sz="0" w:space="0" w:color="auto"/>
          </w:divBdr>
        </w:div>
        <w:div w:id="2125686733">
          <w:marLeft w:val="480"/>
          <w:marRight w:val="0"/>
          <w:marTop w:val="0"/>
          <w:marBottom w:val="0"/>
          <w:divBdr>
            <w:top w:val="none" w:sz="0" w:space="0" w:color="auto"/>
            <w:left w:val="none" w:sz="0" w:space="0" w:color="auto"/>
            <w:bottom w:val="none" w:sz="0" w:space="0" w:color="auto"/>
            <w:right w:val="none" w:sz="0" w:space="0" w:color="auto"/>
          </w:divBdr>
        </w:div>
        <w:div w:id="1355690164">
          <w:marLeft w:val="480"/>
          <w:marRight w:val="0"/>
          <w:marTop w:val="0"/>
          <w:marBottom w:val="0"/>
          <w:divBdr>
            <w:top w:val="none" w:sz="0" w:space="0" w:color="auto"/>
            <w:left w:val="none" w:sz="0" w:space="0" w:color="auto"/>
            <w:bottom w:val="none" w:sz="0" w:space="0" w:color="auto"/>
            <w:right w:val="none" w:sz="0" w:space="0" w:color="auto"/>
          </w:divBdr>
        </w:div>
        <w:div w:id="208614093">
          <w:marLeft w:val="480"/>
          <w:marRight w:val="0"/>
          <w:marTop w:val="0"/>
          <w:marBottom w:val="0"/>
          <w:divBdr>
            <w:top w:val="none" w:sz="0" w:space="0" w:color="auto"/>
            <w:left w:val="none" w:sz="0" w:space="0" w:color="auto"/>
            <w:bottom w:val="none" w:sz="0" w:space="0" w:color="auto"/>
            <w:right w:val="none" w:sz="0" w:space="0" w:color="auto"/>
          </w:divBdr>
        </w:div>
        <w:div w:id="1998074573">
          <w:marLeft w:val="480"/>
          <w:marRight w:val="0"/>
          <w:marTop w:val="0"/>
          <w:marBottom w:val="0"/>
          <w:divBdr>
            <w:top w:val="none" w:sz="0" w:space="0" w:color="auto"/>
            <w:left w:val="none" w:sz="0" w:space="0" w:color="auto"/>
            <w:bottom w:val="none" w:sz="0" w:space="0" w:color="auto"/>
            <w:right w:val="none" w:sz="0" w:space="0" w:color="auto"/>
          </w:divBdr>
        </w:div>
        <w:div w:id="2131823811">
          <w:marLeft w:val="480"/>
          <w:marRight w:val="0"/>
          <w:marTop w:val="0"/>
          <w:marBottom w:val="0"/>
          <w:divBdr>
            <w:top w:val="none" w:sz="0" w:space="0" w:color="auto"/>
            <w:left w:val="none" w:sz="0" w:space="0" w:color="auto"/>
            <w:bottom w:val="none" w:sz="0" w:space="0" w:color="auto"/>
            <w:right w:val="none" w:sz="0" w:space="0" w:color="auto"/>
          </w:divBdr>
        </w:div>
        <w:div w:id="707755978">
          <w:marLeft w:val="480"/>
          <w:marRight w:val="0"/>
          <w:marTop w:val="0"/>
          <w:marBottom w:val="0"/>
          <w:divBdr>
            <w:top w:val="none" w:sz="0" w:space="0" w:color="auto"/>
            <w:left w:val="none" w:sz="0" w:space="0" w:color="auto"/>
            <w:bottom w:val="none" w:sz="0" w:space="0" w:color="auto"/>
            <w:right w:val="none" w:sz="0" w:space="0" w:color="auto"/>
          </w:divBdr>
        </w:div>
        <w:div w:id="525675108">
          <w:marLeft w:val="480"/>
          <w:marRight w:val="0"/>
          <w:marTop w:val="0"/>
          <w:marBottom w:val="0"/>
          <w:divBdr>
            <w:top w:val="none" w:sz="0" w:space="0" w:color="auto"/>
            <w:left w:val="none" w:sz="0" w:space="0" w:color="auto"/>
            <w:bottom w:val="none" w:sz="0" w:space="0" w:color="auto"/>
            <w:right w:val="none" w:sz="0" w:space="0" w:color="auto"/>
          </w:divBdr>
        </w:div>
        <w:div w:id="1569614922">
          <w:marLeft w:val="480"/>
          <w:marRight w:val="0"/>
          <w:marTop w:val="0"/>
          <w:marBottom w:val="0"/>
          <w:divBdr>
            <w:top w:val="none" w:sz="0" w:space="0" w:color="auto"/>
            <w:left w:val="none" w:sz="0" w:space="0" w:color="auto"/>
            <w:bottom w:val="none" w:sz="0" w:space="0" w:color="auto"/>
            <w:right w:val="none" w:sz="0" w:space="0" w:color="auto"/>
          </w:divBdr>
        </w:div>
        <w:div w:id="1837957785">
          <w:marLeft w:val="480"/>
          <w:marRight w:val="0"/>
          <w:marTop w:val="0"/>
          <w:marBottom w:val="0"/>
          <w:divBdr>
            <w:top w:val="none" w:sz="0" w:space="0" w:color="auto"/>
            <w:left w:val="none" w:sz="0" w:space="0" w:color="auto"/>
            <w:bottom w:val="none" w:sz="0" w:space="0" w:color="auto"/>
            <w:right w:val="none" w:sz="0" w:space="0" w:color="auto"/>
          </w:divBdr>
        </w:div>
        <w:div w:id="1019314029">
          <w:marLeft w:val="480"/>
          <w:marRight w:val="0"/>
          <w:marTop w:val="0"/>
          <w:marBottom w:val="0"/>
          <w:divBdr>
            <w:top w:val="none" w:sz="0" w:space="0" w:color="auto"/>
            <w:left w:val="none" w:sz="0" w:space="0" w:color="auto"/>
            <w:bottom w:val="none" w:sz="0" w:space="0" w:color="auto"/>
            <w:right w:val="none" w:sz="0" w:space="0" w:color="auto"/>
          </w:divBdr>
        </w:div>
        <w:div w:id="808673554">
          <w:marLeft w:val="480"/>
          <w:marRight w:val="0"/>
          <w:marTop w:val="0"/>
          <w:marBottom w:val="0"/>
          <w:divBdr>
            <w:top w:val="none" w:sz="0" w:space="0" w:color="auto"/>
            <w:left w:val="none" w:sz="0" w:space="0" w:color="auto"/>
            <w:bottom w:val="none" w:sz="0" w:space="0" w:color="auto"/>
            <w:right w:val="none" w:sz="0" w:space="0" w:color="auto"/>
          </w:divBdr>
        </w:div>
        <w:div w:id="152837748">
          <w:marLeft w:val="480"/>
          <w:marRight w:val="0"/>
          <w:marTop w:val="0"/>
          <w:marBottom w:val="0"/>
          <w:divBdr>
            <w:top w:val="none" w:sz="0" w:space="0" w:color="auto"/>
            <w:left w:val="none" w:sz="0" w:space="0" w:color="auto"/>
            <w:bottom w:val="none" w:sz="0" w:space="0" w:color="auto"/>
            <w:right w:val="none" w:sz="0" w:space="0" w:color="auto"/>
          </w:divBdr>
        </w:div>
        <w:div w:id="1561019758">
          <w:marLeft w:val="480"/>
          <w:marRight w:val="0"/>
          <w:marTop w:val="0"/>
          <w:marBottom w:val="0"/>
          <w:divBdr>
            <w:top w:val="none" w:sz="0" w:space="0" w:color="auto"/>
            <w:left w:val="none" w:sz="0" w:space="0" w:color="auto"/>
            <w:bottom w:val="none" w:sz="0" w:space="0" w:color="auto"/>
            <w:right w:val="none" w:sz="0" w:space="0" w:color="auto"/>
          </w:divBdr>
        </w:div>
        <w:div w:id="692414811">
          <w:marLeft w:val="480"/>
          <w:marRight w:val="0"/>
          <w:marTop w:val="0"/>
          <w:marBottom w:val="0"/>
          <w:divBdr>
            <w:top w:val="none" w:sz="0" w:space="0" w:color="auto"/>
            <w:left w:val="none" w:sz="0" w:space="0" w:color="auto"/>
            <w:bottom w:val="none" w:sz="0" w:space="0" w:color="auto"/>
            <w:right w:val="none" w:sz="0" w:space="0" w:color="auto"/>
          </w:divBdr>
        </w:div>
        <w:div w:id="1757239724">
          <w:marLeft w:val="480"/>
          <w:marRight w:val="0"/>
          <w:marTop w:val="0"/>
          <w:marBottom w:val="0"/>
          <w:divBdr>
            <w:top w:val="none" w:sz="0" w:space="0" w:color="auto"/>
            <w:left w:val="none" w:sz="0" w:space="0" w:color="auto"/>
            <w:bottom w:val="none" w:sz="0" w:space="0" w:color="auto"/>
            <w:right w:val="none" w:sz="0" w:space="0" w:color="auto"/>
          </w:divBdr>
        </w:div>
        <w:div w:id="728766906">
          <w:marLeft w:val="480"/>
          <w:marRight w:val="0"/>
          <w:marTop w:val="0"/>
          <w:marBottom w:val="0"/>
          <w:divBdr>
            <w:top w:val="none" w:sz="0" w:space="0" w:color="auto"/>
            <w:left w:val="none" w:sz="0" w:space="0" w:color="auto"/>
            <w:bottom w:val="none" w:sz="0" w:space="0" w:color="auto"/>
            <w:right w:val="none" w:sz="0" w:space="0" w:color="auto"/>
          </w:divBdr>
        </w:div>
        <w:div w:id="105271815">
          <w:marLeft w:val="480"/>
          <w:marRight w:val="0"/>
          <w:marTop w:val="0"/>
          <w:marBottom w:val="0"/>
          <w:divBdr>
            <w:top w:val="none" w:sz="0" w:space="0" w:color="auto"/>
            <w:left w:val="none" w:sz="0" w:space="0" w:color="auto"/>
            <w:bottom w:val="none" w:sz="0" w:space="0" w:color="auto"/>
            <w:right w:val="none" w:sz="0" w:space="0" w:color="auto"/>
          </w:divBdr>
        </w:div>
        <w:div w:id="1761025726">
          <w:marLeft w:val="480"/>
          <w:marRight w:val="0"/>
          <w:marTop w:val="0"/>
          <w:marBottom w:val="0"/>
          <w:divBdr>
            <w:top w:val="none" w:sz="0" w:space="0" w:color="auto"/>
            <w:left w:val="none" w:sz="0" w:space="0" w:color="auto"/>
            <w:bottom w:val="none" w:sz="0" w:space="0" w:color="auto"/>
            <w:right w:val="none" w:sz="0" w:space="0" w:color="auto"/>
          </w:divBdr>
        </w:div>
        <w:div w:id="2011831011">
          <w:marLeft w:val="480"/>
          <w:marRight w:val="0"/>
          <w:marTop w:val="0"/>
          <w:marBottom w:val="0"/>
          <w:divBdr>
            <w:top w:val="none" w:sz="0" w:space="0" w:color="auto"/>
            <w:left w:val="none" w:sz="0" w:space="0" w:color="auto"/>
            <w:bottom w:val="none" w:sz="0" w:space="0" w:color="auto"/>
            <w:right w:val="none" w:sz="0" w:space="0" w:color="auto"/>
          </w:divBdr>
        </w:div>
        <w:div w:id="56711117">
          <w:marLeft w:val="480"/>
          <w:marRight w:val="0"/>
          <w:marTop w:val="0"/>
          <w:marBottom w:val="0"/>
          <w:divBdr>
            <w:top w:val="none" w:sz="0" w:space="0" w:color="auto"/>
            <w:left w:val="none" w:sz="0" w:space="0" w:color="auto"/>
            <w:bottom w:val="none" w:sz="0" w:space="0" w:color="auto"/>
            <w:right w:val="none" w:sz="0" w:space="0" w:color="auto"/>
          </w:divBdr>
        </w:div>
        <w:div w:id="1987510710">
          <w:marLeft w:val="480"/>
          <w:marRight w:val="0"/>
          <w:marTop w:val="0"/>
          <w:marBottom w:val="0"/>
          <w:divBdr>
            <w:top w:val="none" w:sz="0" w:space="0" w:color="auto"/>
            <w:left w:val="none" w:sz="0" w:space="0" w:color="auto"/>
            <w:bottom w:val="none" w:sz="0" w:space="0" w:color="auto"/>
            <w:right w:val="none" w:sz="0" w:space="0" w:color="auto"/>
          </w:divBdr>
        </w:div>
        <w:div w:id="785926976">
          <w:marLeft w:val="480"/>
          <w:marRight w:val="0"/>
          <w:marTop w:val="0"/>
          <w:marBottom w:val="0"/>
          <w:divBdr>
            <w:top w:val="none" w:sz="0" w:space="0" w:color="auto"/>
            <w:left w:val="none" w:sz="0" w:space="0" w:color="auto"/>
            <w:bottom w:val="none" w:sz="0" w:space="0" w:color="auto"/>
            <w:right w:val="none" w:sz="0" w:space="0" w:color="auto"/>
          </w:divBdr>
        </w:div>
        <w:div w:id="39673965">
          <w:marLeft w:val="480"/>
          <w:marRight w:val="0"/>
          <w:marTop w:val="0"/>
          <w:marBottom w:val="0"/>
          <w:divBdr>
            <w:top w:val="none" w:sz="0" w:space="0" w:color="auto"/>
            <w:left w:val="none" w:sz="0" w:space="0" w:color="auto"/>
            <w:bottom w:val="none" w:sz="0" w:space="0" w:color="auto"/>
            <w:right w:val="none" w:sz="0" w:space="0" w:color="auto"/>
          </w:divBdr>
        </w:div>
        <w:div w:id="1738477192">
          <w:marLeft w:val="480"/>
          <w:marRight w:val="0"/>
          <w:marTop w:val="0"/>
          <w:marBottom w:val="0"/>
          <w:divBdr>
            <w:top w:val="none" w:sz="0" w:space="0" w:color="auto"/>
            <w:left w:val="none" w:sz="0" w:space="0" w:color="auto"/>
            <w:bottom w:val="none" w:sz="0" w:space="0" w:color="auto"/>
            <w:right w:val="none" w:sz="0" w:space="0" w:color="auto"/>
          </w:divBdr>
        </w:div>
        <w:div w:id="230775228">
          <w:marLeft w:val="480"/>
          <w:marRight w:val="0"/>
          <w:marTop w:val="0"/>
          <w:marBottom w:val="0"/>
          <w:divBdr>
            <w:top w:val="none" w:sz="0" w:space="0" w:color="auto"/>
            <w:left w:val="none" w:sz="0" w:space="0" w:color="auto"/>
            <w:bottom w:val="none" w:sz="0" w:space="0" w:color="auto"/>
            <w:right w:val="none" w:sz="0" w:space="0" w:color="auto"/>
          </w:divBdr>
        </w:div>
        <w:div w:id="836459601">
          <w:marLeft w:val="480"/>
          <w:marRight w:val="0"/>
          <w:marTop w:val="0"/>
          <w:marBottom w:val="0"/>
          <w:divBdr>
            <w:top w:val="none" w:sz="0" w:space="0" w:color="auto"/>
            <w:left w:val="none" w:sz="0" w:space="0" w:color="auto"/>
            <w:bottom w:val="none" w:sz="0" w:space="0" w:color="auto"/>
            <w:right w:val="none" w:sz="0" w:space="0" w:color="auto"/>
          </w:divBdr>
        </w:div>
        <w:div w:id="1015840002">
          <w:marLeft w:val="480"/>
          <w:marRight w:val="0"/>
          <w:marTop w:val="0"/>
          <w:marBottom w:val="0"/>
          <w:divBdr>
            <w:top w:val="none" w:sz="0" w:space="0" w:color="auto"/>
            <w:left w:val="none" w:sz="0" w:space="0" w:color="auto"/>
            <w:bottom w:val="none" w:sz="0" w:space="0" w:color="auto"/>
            <w:right w:val="none" w:sz="0" w:space="0" w:color="auto"/>
          </w:divBdr>
        </w:div>
        <w:div w:id="1637881169">
          <w:marLeft w:val="480"/>
          <w:marRight w:val="0"/>
          <w:marTop w:val="0"/>
          <w:marBottom w:val="0"/>
          <w:divBdr>
            <w:top w:val="none" w:sz="0" w:space="0" w:color="auto"/>
            <w:left w:val="none" w:sz="0" w:space="0" w:color="auto"/>
            <w:bottom w:val="none" w:sz="0" w:space="0" w:color="auto"/>
            <w:right w:val="none" w:sz="0" w:space="0" w:color="auto"/>
          </w:divBdr>
        </w:div>
        <w:div w:id="1360207476">
          <w:marLeft w:val="480"/>
          <w:marRight w:val="0"/>
          <w:marTop w:val="0"/>
          <w:marBottom w:val="0"/>
          <w:divBdr>
            <w:top w:val="none" w:sz="0" w:space="0" w:color="auto"/>
            <w:left w:val="none" w:sz="0" w:space="0" w:color="auto"/>
            <w:bottom w:val="none" w:sz="0" w:space="0" w:color="auto"/>
            <w:right w:val="none" w:sz="0" w:space="0" w:color="auto"/>
          </w:divBdr>
        </w:div>
        <w:div w:id="1642032469">
          <w:marLeft w:val="480"/>
          <w:marRight w:val="0"/>
          <w:marTop w:val="0"/>
          <w:marBottom w:val="0"/>
          <w:divBdr>
            <w:top w:val="none" w:sz="0" w:space="0" w:color="auto"/>
            <w:left w:val="none" w:sz="0" w:space="0" w:color="auto"/>
            <w:bottom w:val="none" w:sz="0" w:space="0" w:color="auto"/>
            <w:right w:val="none" w:sz="0" w:space="0" w:color="auto"/>
          </w:divBdr>
        </w:div>
        <w:div w:id="2037807060">
          <w:marLeft w:val="480"/>
          <w:marRight w:val="0"/>
          <w:marTop w:val="0"/>
          <w:marBottom w:val="0"/>
          <w:divBdr>
            <w:top w:val="none" w:sz="0" w:space="0" w:color="auto"/>
            <w:left w:val="none" w:sz="0" w:space="0" w:color="auto"/>
            <w:bottom w:val="none" w:sz="0" w:space="0" w:color="auto"/>
            <w:right w:val="none" w:sz="0" w:space="0" w:color="auto"/>
          </w:divBdr>
        </w:div>
        <w:div w:id="681666821">
          <w:marLeft w:val="480"/>
          <w:marRight w:val="0"/>
          <w:marTop w:val="0"/>
          <w:marBottom w:val="0"/>
          <w:divBdr>
            <w:top w:val="none" w:sz="0" w:space="0" w:color="auto"/>
            <w:left w:val="none" w:sz="0" w:space="0" w:color="auto"/>
            <w:bottom w:val="none" w:sz="0" w:space="0" w:color="auto"/>
            <w:right w:val="none" w:sz="0" w:space="0" w:color="auto"/>
          </w:divBdr>
        </w:div>
        <w:div w:id="494028585">
          <w:marLeft w:val="480"/>
          <w:marRight w:val="0"/>
          <w:marTop w:val="0"/>
          <w:marBottom w:val="0"/>
          <w:divBdr>
            <w:top w:val="none" w:sz="0" w:space="0" w:color="auto"/>
            <w:left w:val="none" w:sz="0" w:space="0" w:color="auto"/>
            <w:bottom w:val="none" w:sz="0" w:space="0" w:color="auto"/>
            <w:right w:val="none" w:sz="0" w:space="0" w:color="auto"/>
          </w:divBdr>
        </w:div>
        <w:div w:id="431509671">
          <w:marLeft w:val="480"/>
          <w:marRight w:val="0"/>
          <w:marTop w:val="0"/>
          <w:marBottom w:val="0"/>
          <w:divBdr>
            <w:top w:val="none" w:sz="0" w:space="0" w:color="auto"/>
            <w:left w:val="none" w:sz="0" w:space="0" w:color="auto"/>
            <w:bottom w:val="none" w:sz="0" w:space="0" w:color="auto"/>
            <w:right w:val="none" w:sz="0" w:space="0" w:color="auto"/>
          </w:divBdr>
        </w:div>
        <w:div w:id="611862412">
          <w:marLeft w:val="480"/>
          <w:marRight w:val="0"/>
          <w:marTop w:val="0"/>
          <w:marBottom w:val="0"/>
          <w:divBdr>
            <w:top w:val="none" w:sz="0" w:space="0" w:color="auto"/>
            <w:left w:val="none" w:sz="0" w:space="0" w:color="auto"/>
            <w:bottom w:val="none" w:sz="0" w:space="0" w:color="auto"/>
            <w:right w:val="none" w:sz="0" w:space="0" w:color="auto"/>
          </w:divBdr>
        </w:div>
        <w:div w:id="1634599436">
          <w:marLeft w:val="480"/>
          <w:marRight w:val="0"/>
          <w:marTop w:val="0"/>
          <w:marBottom w:val="0"/>
          <w:divBdr>
            <w:top w:val="none" w:sz="0" w:space="0" w:color="auto"/>
            <w:left w:val="none" w:sz="0" w:space="0" w:color="auto"/>
            <w:bottom w:val="none" w:sz="0" w:space="0" w:color="auto"/>
            <w:right w:val="none" w:sz="0" w:space="0" w:color="auto"/>
          </w:divBdr>
        </w:div>
        <w:div w:id="469983369">
          <w:marLeft w:val="480"/>
          <w:marRight w:val="0"/>
          <w:marTop w:val="0"/>
          <w:marBottom w:val="0"/>
          <w:divBdr>
            <w:top w:val="none" w:sz="0" w:space="0" w:color="auto"/>
            <w:left w:val="none" w:sz="0" w:space="0" w:color="auto"/>
            <w:bottom w:val="none" w:sz="0" w:space="0" w:color="auto"/>
            <w:right w:val="none" w:sz="0" w:space="0" w:color="auto"/>
          </w:divBdr>
        </w:div>
        <w:div w:id="2089158064">
          <w:marLeft w:val="480"/>
          <w:marRight w:val="0"/>
          <w:marTop w:val="0"/>
          <w:marBottom w:val="0"/>
          <w:divBdr>
            <w:top w:val="none" w:sz="0" w:space="0" w:color="auto"/>
            <w:left w:val="none" w:sz="0" w:space="0" w:color="auto"/>
            <w:bottom w:val="none" w:sz="0" w:space="0" w:color="auto"/>
            <w:right w:val="none" w:sz="0" w:space="0" w:color="auto"/>
          </w:divBdr>
        </w:div>
        <w:div w:id="1010984189">
          <w:marLeft w:val="480"/>
          <w:marRight w:val="0"/>
          <w:marTop w:val="0"/>
          <w:marBottom w:val="0"/>
          <w:divBdr>
            <w:top w:val="none" w:sz="0" w:space="0" w:color="auto"/>
            <w:left w:val="none" w:sz="0" w:space="0" w:color="auto"/>
            <w:bottom w:val="none" w:sz="0" w:space="0" w:color="auto"/>
            <w:right w:val="none" w:sz="0" w:space="0" w:color="auto"/>
          </w:divBdr>
        </w:div>
        <w:div w:id="1832283322">
          <w:marLeft w:val="480"/>
          <w:marRight w:val="0"/>
          <w:marTop w:val="0"/>
          <w:marBottom w:val="0"/>
          <w:divBdr>
            <w:top w:val="none" w:sz="0" w:space="0" w:color="auto"/>
            <w:left w:val="none" w:sz="0" w:space="0" w:color="auto"/>
            <w:bottom w:val="none" w:sz="0" w:space="0" w:color="auto"/>
            <w:right w:val="none" w:sz="0" w:space="0" w:color="auto"/>
          </w:divBdr>
        </w:div>
        <w:div w:id="1441336411">
          <w:marLeft w:val="480"/>
          <w:marRight w:val="0"/>
          <w:marTop w:val="0"/>
          <w:marBottom w:val="0"/>
          <w:divBdr>
            <w:top w:val="none" w:sz="0" w:space="0" w:color="auto"/>
            <w:left w:val="none" w:sz="0" w:space="0" w:color="auto"/>
            <w:bottom w:val="none" w:sz="0" w:space="0" w:color="auto"/>
            <w:right w:val="none" w:sz="0" w:space="0" w:color="auto"/>
          </w:divBdr>
        </w:div>
        <w:div w:id="242641931">
          <w:marLeft w:val="480"/>
          <w:marRight w:val="0"/>
          <w:marTop w:val="0"/>
          <w:marBottom w:val="0"/>
          <w:divBdr>
            <w:top w:val="none" w:sz="0" w:space="0" w:color="auto"/>
            <w:left w:val="none" w:sz="0" w:space="0" w:color="auto"/>
            <w:bottom w:val="none" w:sz="0" w:space="0" w:color="auto"/>
            <w:right w:val="none" w:sz="0" w:space="0" w:color="auto"/>
          </w:divBdr>
        </w:div>
        <w:div w:id="21514553">
          <w:marLeft w:val="480"/>
          <w:marRight w:val="0"/>
          <w:marTop w:val="0"/>
          <w:marBottom w:val="0"/>
          <w:divBdr>
            <w:top w:val="none" w:sz="0" w:space="0" w:color="auto"/>
            <w:left w:val="none" w:sz="0" w:space="0" w:color="auto"/>
            <w:bottom w:val="none" w:sz="0" w:space="0" w:color="auto"/>
            <w:right w:val="none" w:sz="0" w:space="0" w:color="auto"/>
          </w:divBdr>
        </w:div>
        <w:div w:id="841706511">
          <w:marLeft w:val="480"/>
          <w:marRight w:val="0"/>
          <w:marTop w:val="0"/>
          <w:marBottom w:val="0"/>
          <w:divBdr>
            <w:top w:val="none" w:sz="0" w:space="0" w:color="auto"/>
            <w:left w:val="none" w:sz="0" w:space="0" w:color="auto"/>
            <w:bottom w:val="none" w:sz="0" w:space="0" w:color="auto"/>
            <w:right w:val="none" w:sz="0" w:space="0" w:color="auto"/>
          </w:divBdr>
        </w:div>
        <w:div w:id="807090607">
          <w:marLeft w:val="480"/>
          <w:marRight w:val="0"/>
          <w:marTop w:val="0"/>
          <w:marBottom w:val="0"/>
          <w:divBdr>
            <w:top w:val="none" w:sz="0" w:space="0" w:color="auto"/>
            <w:left w:val="none" w:sz="0" w:space="0" w:color="auto"/>
            <w:bottom w:val="none" w:sz="0" w:space="0" w:color="auto"/>
            <w:right w:val="none" w:sz="0" w:space="0" w:color="auto"/>
          </w:divBdr>
        </w:div>
        <w:div w:id="95254346">
          <w:marLeft w:val="480"/>
          <w:marRight w:val="0"/>
          <w:marTop w:val="0"/>
          <w:marBottom w:val="0"/>
          <w:divBdr>
            <w:top w:val="none" w:sz="0" w:space="0" w:color="auto"/>
            <w:left w:val="none" w:sz="0" w:space="0" w:color="auto"/>
            <w:bottom w:val="none" w:sz="0" w:space="0" w:color="auto"/>
            <w:right w:val="none" w:sz="0" w:space="0" w:color="auto"/>
          </w:divBdr>
        </w:div>
        <w:div w:id="1893075605">
          <w:marLeft w:val="480"/>
          <w:marRight w:val="0"/>
          <w:marTop w:val="0"/>
          <w:marBottom w:val="0"/>
          <w:divBdr>
            <w:top w:val="none" w:sz="0" w:space="0" w:color="auto"/>
            <w:left w:val="none" w:sz="0" w:space="0" w:color="auto"/>
            <w:bottom w:val="none" w:sz="0" w:space="0" w:color="auto"/>
            <w:right w:val="none" w:sz="0" w:space="0" w:color="auto"/>
          </w:divBdr>
        </w:div>
        <w:div w:id="229728312">
          <w:marLeft w:val="480"/>
          <w:marRight w:val="0"/>
          <w:marTop w:val="0"/>
          <w:marBottom w:val="0"/>
          <w:divBdr>
            <w:top w:val="none" w:sz="0" w:space="0" w:color="auto"/>
            <w:left w:val="none" w:sz="0" w:space="0" w:color="auto"/>
            <w:bottom w:val="none" w:sz="0" w:space="0" w:color="auto"/>
            <w:right w:val="none" w:sz="0" w:space="0" w:color="auto"/>
          </w:divBdr>
        </w:div>
        <w:div w:id="2026862469">
          <w:marLeft w:val="480"/>
          <w:marRight w:val="0"/>
          <w:marTop w:val="0"/>
          <w:marBottom w:val="0"/>
          <w:divBdr>
            <w:top w:val="none" w:sz="0" w:space="0" w:color="auto"/>
            <w:left w:val="none" w:sz="0" w:space="0" w:color="auto"/>
            <w:bottom w:val="none" w:sz="0" w:space="0" w:color="auto"/>
            <w:right w:val="none" w:sz="0" w:space="0" w:color="auto"/>
          </w:divBdr>
        </w:div>
        <w:div w:id="1269772021">
          <w:marLeft w:val="480"/>
          <w:marRight w:val="0"/>
          <w:marTop w:val="0"/>
          <w:marBottom w:val="0"/>
          <w:divBdr>
            <w:top w:val="none" w:sz="0" w:space="0" w:color="auto"/>
            <w:left w:val="none" w:sz="0" w:space="0" w:color="auto"/>
            <w:bottom w:val="none" w:sz="0" w:space="0" w:color="auto"/>
            <w:right w:val="none" w:sz="0" w:space="0" w:color="auto"/>
          </w:divBdr>
        </w:div>
        <w:div w:id="195777415">
          <w:marLeft w:val="480"/>
          <w:marRight w:val="0"/>
          <w:marTop w:val="0"/>
          <w:marBottom w:val="0"/>
          <w:divBdr>
            <w:top w:val="none" w:sz="0" w:space="0" w:color="auto"/>
            <w:left w:val="none" w:sz="0" w:space="0" w:color="auto"/>
            <w:bottom w:val="none" w:sz="0" w:space="0" w:color="auto"/>
            <w:right w:val="none" w:sz="0" w:space="0" w:color="auto"/>
          </w:divBdr>
        </w:div>
        <w:div w:id="306058497">
          <w:marLeft w:val="480"/>
          <w:marRight w:val="0"/>
          <w:marTop w:val="0"/>
          <w:marBottom w:val="0"/>
          <w:divBdr>
            <w:top w:val="none" w:sz="0" w:space="0" w:color="auto"/>
            <w:left w:val="none" w:sz="0" w:space="0" w:color="auto"/>
            <w:bottom w:val="none" w:sz="0" w:space="0" w:color="auto"/>
            <w:right w:val="none" w:sz="0" w:space="0" w:color="auto"/>
          </w:divBdr>
        </w:div>
        <w:div w:id="1499999585">
          <w:marLeft w:val="480"/>
          <w:marRight w:val="0"/>
          <w:marTop w:val="0"/>
          <w:marBottom w:val="0"/>
          <w:divBdr>
            <w:top w:val="none" w:sz="0" w:space="0" w:color="auto"/>
            <w:left w:val="none" w:sz="0" w:space="0" w:color="auto"/>
            <w:bottom w:val="none" w:sz="0" w:space="0" w:color="auto"/>
            <w:right w:val="none" w:sz="0" w:space="0" w:color="auto"/>
          </w:divBdr>
        </w:div>
        <w:div w:id="21326398">
          <w:marLeft w:val="480"/>
          <w:marRight w:val="0"/>
          <w:marTop w:val="0"/>
          <w:marBottom w:val="0"/>
          <w:divBdr>
            <w:top w:val="none" w:sz="0" w:space="0" w:color="auto"/>
            <w:left w:val="none" w:sz="0" w:space="0" w:color="auto"/>
            <w:bottom w:val="none" w:sz="0" w:space="0" w:color="auto"/>
            <w:right w:val="none" w:sz="0" w:space="0" w:color="auto"/>
          </w:divBdr>
        </w:div>
        <w:div w:id="2045401519">
          <w:marLeft w:val="480"/>
          <w:marRight w:val="0"/>
          <w:marTop w:val="0"/>
          <w:marBottom w:val="0"/>
          <w:divBdr>
            <w:top w:val="none" w:sz="0" w:space="0" w:color="auto"/>
            <w:left w:val="none" w:sz="0" w:space="0" w:color="auto"/>
            <w:bottom w:val="none" w:sz="0" w:space="0" w:color="auto"/>
            <w:right w:val="none" w:sz="0" w:space="0" w:color="auto"/>
          </w:divBdr>
        </w:div>
        <w:div w:id="818691894">
          <w:marLeft w:val="480"/>
          <w:marRight w:val="0"/>
          <w:marTop w:val="0"/>
          <w:marBottom w:val="0"/>
          <w:divBdr>
            <w:top w:val="none" w:sz="0" w:space="0" w:color="auto"/>
            <w:left w:val="none" w:sz="0" w:space="0" w:color="auto"/>
            <w:bottom w:val="none" w:sz="0" w:space="0" w:color="auto"/>
            <w:right w:val="none" w:sz="0" w:space="0" w:color="auto"/>
          </w:divBdr>
        </w:div>
        <w:div w:id="140510706">
          <w:marLeft w:val="480"/>
          <w:marRight w:val="0"/>
          <w:marTop w:val="0"/>
          <w:marBottom w:val="0"/>
          <w:divBdr>
            <w:top w:val="none" w:sz="0" w:space="0" w:color="auto"/>
            <w:left w:val="none" w:sz="0" w:space="0" w:color="auto"/>
            <w:bottom w:val="none" w:sz="0" w:space="0" w:color="auto"/>
            <w:right w:val="none" w:sz="0" w:space="0" w:color="auto"/>
          </w:divBdr>
        </w:div>
        <w:div w:id="794636856">
          <w:marLeft w:val="480"/>
          <w:marRight w:val="0"/>
          <w:marTop w:val="0"/>
          <w:marBottom w:val="0"/>
          <w:divBdr>
            <w:top w:val="none" w:sz="0" w:space="0" w:color="auto"/>
            <w:left w:val="none" w:sz="0" w:space="0" w:color="auto"/>
            <w:bottom w:val="none" w:sz="0" w:space="0" w:color="auto"/>
            <w:right w:val="none" w:sz="0" w:space="0" w:color="auto"/>
          </w:divBdr>
        </w:div>
        <w:div w:id="372121268">
          <w:marLeft w:val="480"/>
          <w:marRight w:val="0"/>
          <w:marTop w:val="0"/>
          <w:marBottom w:val="0"/>
          <w:divBdr>
            <w:top w:val="none" w:sz="0" w:space="0" w:color="auto"/>
            <w:left w:val="none" w:sz="0" w:space="0" w:color="auto"/>
            <w:bottom w:val="none" w:sz="0" w:space="0" w:color="auto"/>
            <w:right w:val="none" w:sz="0" w:space="0" w:color="auto"/>
          </w:divBdr>
        </w:div>
        <w:div w:id="2087457511">
          <w:marLeft w:val="480"/>
          <w:marRight w:val="0"/>
          <w:marTop w:val="0"/>
          <w:marBottom w:val="0"/>
          <w:divBdr>
            <w:top w:val="none" w:sz="0" w:space="0" w:color="auto"/>
            <w:left w:val="none" w:sz="0" w:space="0" w:color="auto"/>
            <w:bottom w:val="none" w:sz="0" w:space="0" w:color="auto"/>
            <w:right w:val="none" w:sz="0" w:space="0" w:color="auto"/>
          </w:divBdr>
        </w:div>
        <w:div w:id="676928889">
          <w:marLeft w:val="480"/>
          <w:marRight w:val="0"/>
          <w:marTop w:val="0"/>
          <w:marBottom w:val="0"/>
          <w:divBdr>
            <w:top w:val="none" w:sz="0" w:space="0" w:color="auto"/>
            <w:left w:val="none" w:sz="0" w:space="0" w:color="auto"/>
            <w:bottom w:val="none" w:sz="0" w:space="0" w:color="auto"/>
            <w:right w:val="none" w:sz="0" w:space="0" w:color="auto"/>
          </w:divBdr>
        </w:div>
        <w:div w:id="947472842">
          <w:marLeft w:val="480"/>
          <w:marRight w:val="0"/>
          <w:marTop w:val="0"/>
          <w:marBottom w:val="0"/>
          <w:divBdr>
            <w:top w:val="none" w:sz="0" w:space="0" w:color="auto"/>
            <w:left w:val="none" w:sz="0" w:space="0" w:color="auto"/>
            <w:bottom w:val="none" w:sz="0" w:space="0" w:color="auto"/>
            <w:right w:val="none" w:sz="0" w:space="0" w:color="auto"/>
          </w:divBdr>
        </w:div>
        <w:div w:id="2063361313">
          <w:marLeft w:val="480"/>
          <w:marRight w:val="0"/>
          <w:marTop w:val="0"/>
          <w:marBottom w:val="0"/>
          <w:divBdr>
            <w:top w:val="none" w:sz="0" w:space="0" w:color="auto"/>
            <w:left w:val="none" w:sz="0" w:space="0" w:color="auto"/>
            <w:bottom w:val="none" w:sz="0" w:space="0" w:color="auto"/>
            <w:right w:val="none" w:sz="0" w:space="0" w:color="auto"/>
          </w:divBdr>
        </w:div>
        <w:div w:id="1319648510">
          <w:marLeft w:val="480"/>
          <w:marRight w:val="0"/>
          <w:marTop w:val="0"/>
          <w:marBottom w:val="0"/>
          <w:divBdr>
            <w:top w:val="none" w:sz="0" w:space="0" w:color="auto"/>
            <w:left w:val="none" w:sz="0" w:space="0" w:color="auto"/>
            <w:bottom w:val="none" w:sz="0" w:space="0" w:color="auto"/>
            <w:right w:val="none" w:sz="0" w:space="0" w:color="auto"/>
          </w:divBdr>
        </w:div>
        <w:div w:id="1897667601">
          <w:marLeft w:val="480"/>
          <w:marRight w:val="0"/>
          <w:marTop w:val="0"/>
          <w:marBottom w:val="0"/>
          <w:divBdr>
            <w:top w:val="none" w:sz="0" w:space="0" w:color="auto"/>
            <w:left w:val="none" w:sz="0" w:space="0" w:color="auto"/>
            <w:bottom w:val="none" w:sz="0" w:space="0" w:color="auto"/>
            <w:right w:val="none" w:sz="0" w:space="0" w:color="auto"/>
          </w:divBdr>
        </w:div>
        <w:div w:id="1048215104">
          <w:marLeft w:val="480"/>
          <w:marRight w:val="0"/>
          <w:marTop w:val="0"/>
          <w:marBottom w:val="0"/>
          <w:divBdr>
            <w:top w:val="none" w:sz="0" w:space="0" w:color="auto"/>
            <w:left w:val="none" w:sz="0" w:space="0" w:color="auto"/>
            <w:bottom w:val="none" w:sz="0" w:space="0" w:color="auto"/>
            <w:right w:val="none" w:sz="0" w:space="0" w:color="auto"/>
          </w:divBdr>
        </w:div>
        <w:div w:id="295985534">
          <w:marLeft w:val="480"/>
          <w:marRight w:val="0"/>
          <w:marTop w:val="0"/>
          <w:marBottom w:val="0"/>
          <w:divBdr>
            <w:top w:val="none" w:sz="0" w:space="0" w:color="auto"/>
            <w:left w:val="none" w:sz="0" w:space="0" w:color="auto"/>
            <w:bottom w:val="none" w:sz="0" w:space="0" w:color="auto"/>
            <w:right w:val="none" w:sz="0" w:space="0" w:color="auto"/>
          </w:divBdr>
        </w:div>
        <w:div w:id="1013721728">
          <w:marLeft w:val="480"/>
          <w:marRight w:val="0"/>
          <w:marTop w:val="0"/>
          <w:marBottom w:val="0"/>
          <w:divBdr>
            <w:top w:val="none" w:sz="0" w:space="0" w:color="auto"/>
            <w:left w:val="none" w:sz="0" w:space="0" w:color="auto"/>
            <w:bottom w:val="none" w:sz="0" w:space="0" w:color="auto"/>
            <w:right w:val="none" w:sz="0" w:space="0" w:color="auto"/>
          </w:divBdr>
        </w:div>
        <w:div w:id="381367652">
          <w:marLeft w:val="480"/>
          <w:marRight w:val="0"/>
          <w:marTop w:val="0"/>
          <w:marBottom w:val="0"/>
          <w:divBdr>
            <w:top w:val="none" w:sz="0" w:space="0" w:color="auto"/>
            <w:left w:val="none" w:sz="0" w:space="0" w:color="auto"/>
            <w:bottom w:val="none" w:sz="0" w:space="0" w:color="auto"/>
            <w:right w:val="none" w:sz="0" w:space="0" w:color="auto"/>
          </w:divBdr>
        </w:div>
        <w:div w:id="1438476418">
          <w:marLeft w:val="480"/>
          <w:marRight w:val="0"/>
          <w:marTop w:val="0"/>
          <w:marBottom w:val="0"/>
          <w:divBdr>
            <w:top w:val="none" w:sz="0" w:space="0" w:color="auto"/>
            <w:left w:val="none" w:sz="0" w:space="0" w:color="auto"/>
            <w:bottom w:val="none" w:sz="0" w:space="0" w:color="auto"/>
            <w:right w:val="none" w:sz="0" w:space="0" w:color="auto"/>
          </w:divBdr>
        </w:div>
        <w:div w:id="1646080688">
          <w:marLeft w:val="480"/>
          <w:marRight w:val="0"/>
          <w:marTop w:val="0"/>
          <w:marBottom w:val="0"/>
          <w:divBdr>
            <w:top w:val="none" w:sz="0" w:space="0" w:color="auto"/>
            <w:left w:val="none" w:sz="0" w:space="0" w:color="auto"/>
            <w:bottom w:val="none" w:sz="0" w:space="0" w:color="auto"/>
            <w:right w:val="none" w:sz="0" w:space="0" w:color="auto"/>
          </w:divBdr>
        </w:div>
        <w:div w:id="389691770">
          <w:marLeft w:val="480"/>
          <w:marRight w:val="0"/>
          <w:marTop w:val="0"/>
          <w:marBottom w:val="0"/>
          <w:divBdr>
            <w:top w:val="none" w:sz="0" w:space="0" w:color="auto"/>
            <w:left w:val="none" w:sz="0" w:space="0" w:color="auto"/>
            <w:bottom w:val="none" w:sz="0" w:space="0" w:color="auto"/>
            <w:right w:val="none" w:sz="0" w:space="0" w:color="auto"/>
          </w:divBdr>
        </w:div>
        <w:div w:id="308174569">
          <w:marLeft w:val="480"/>
          <w:marRight w:val="0"/>
          <w:marTop w:val="0"/>
          <w:marBottom w:val="0"/>
          <w:divBdr>
            <w:top w:val="none" w:sz="0" w:space="0" w:color="auto"/>
            <w:left w:val="none" w:sz="0" w:space="0" w:color="auto"/>
            <w:bottom w:val="none" w:sz="0" w:space="0" w:color="auto"/>
            <w:right w:val="none" w:sz="0" w:space="0" w:color="auto"/>
          </w:divBdr>
        </w:div>
        <w:div w:id="724064441">
          <w:marLeft w:val="480"/>
          <w:marRight w:val="0"/>
          <w:marTop w:val="0"/>
          <w:marBottom w:val="0"/>
          <w:divBdr>
            <w:top w:val="none" w:sz="0" w:space="0" w:color="auto"/>
            <w:left w:val="none" w:sz="0" w:space="0" w:color="auto"/>
            <w:bottom w:val="none" w:sz="0" w:space="0" w:color="auto"/>
            <w:right w:val="none" w:sz="0" w:space="0" w:color="auto"/>
          </w:divBdr>
        </w:div>
        <w:div w:id="1426875477">
          <w:marLeft w:val="480"/>
          <w:marRight w:val="0"/>
          <w:marTop w:val="0"/>
          <w:marBottom w:val="0"/>
          <w:divBdr>
            <w:top w:val="none" w:sz="0" w:space="0" w:color="auto"/>
            <w:left w:val="none" w:sz="0" w:space="0" w:color="auto"/>
            <w:bottom w:val="none" w:sz="0" w:space="0" w:color="auto"/>
            <w:right w:val="none" w:sz="0" w:space="0" w:color="auto"/>
          </w:divBdr>
        </w:div>
        <w:div w:id="1053698572">
          <w:marLeft w:val="480"/>
          <w:marRight w:val="0"/>
          <w:marTop w:val="0"/>
          <w:marBottom w:val="0"/>
          <w:divBdr>
            <w:top w:val="none" w:sz="0" w:space="0" w:color="auto"/>
            <w:left w:val="none" w:sz="0" w:space="0" w:color="auto"/>
            <w:bottom w:val="none" w:sz="0" w:space="0" w:color="auto"/>
            <w:right w:val="none" w:sz="0" w:space="0" w:color="auto"/>
          </w:divBdr>
        </w:div>
        <w:div w:id="747271994">
          <w:marLeft w:val="480"/>
          <w:marRight w:val="0"/>
          <w:marTop w:val="0"/>
          <w:marBottom w:val="0"/>
          <w:divBdr>
            <w:top w:val="none" w:sz="0" w:space="0" w:color="auto"/>
            <w:left w:val="none" w:sz="0" w:space="0" w:color="auto"/>
            <w:bottom w:val="none" w:sz="0" w:space="0" w:color="auto"/>
            <w:right w:val="none" w:sz="0" w:space="0" w:color="auto"/>
          </w:divBdr>
        </w:div>
        <w:div w:id="96408336">
          <w:marLeft w:val="480"/>
          <w:marRight w:val="0"/>
          <w:marTop w:val="0"/>
          <w:marBottom w:val="0"/>
          <w:divBdr>
            <w:top w:val="none" w:sz="0" w:space="0" w:color="auto"/>
            <w:left w:val="none" w:sz="0" w:space="0" w:color="auto"/>
            <w:bottom w:val="none" w:sz="0" w:space="0" w:color="auto"/>
            <w:right w:val="none" w:sz="0" w:space="0" w:color="auto"/>
          </w:divBdr>
        </w:div>
        <w:div w:id="1546329826">
          <w:marLeft w:val="480"/>
          <w:marRight w:val="0"/>
          <w:marTop w:val="0"/>
          <w:marBottom w:val="0"/>
          <w:divBdr>
            <w:top w:val="none" w:sz="0" w:space="0" w:color="auto"/>
            <w:left w:val="none" w:sz="0" w:space="0" w:color="auto"/>
            <w:bottom w:val="none" w:sz="0" w:space="0" w:color="auto"/>
            <w:right w:val="none" w:sz="0" w:space="0" w:color="auto"/>
          </w:divBdr>
        </w:div>
        <w:div w:id="1692029113">
          <w:marLeft w:val="480"/>
          <w:marRight w:val="0"/>
          <w:marTop w:val="0"/>
          <w:marBottom w:val="0"/>
          <w:divBdr>
            <w:top w:val="none" w:sz="0" w:space="0" w:color="auto"/>
            <w:left w:val="none" w:sz="0" w:space="0" w:color="auto"/>
            <w:bottom w:val="none" w:sz="0" w:space="0" w:color="auto"/>
            <w:right w:val="none" w:sz="0" w:space="0" w:color="auto"/>
          </w:divBdr>
        </w:div>
        <w:div w:id="1881287241">
          <w:marLeft w:val="480"/>
          <w:marRight w:val="0"/>
          <w:marTop w:val="0"/>
          <w:marBottom w:val="0"/>
          <w:divBdr>
            <w:top w:val="none" w:sz="0" w:space="0" w:color="auto"/>
            <w:left w:val="none" w:sz="0" w:space="0" w:color="auto"/>
            <w:bottom w:val="none" w:sz="0" w:space="0" w:color="auto"/>
            <w:right w:val="none" w:sz="0" w:space="0" w:color="auto"/>
          </w:divBdr>
        </w:div>
        <w:div w:id="994452793">
          <w:marLeft w:val="480"/>
          <w:marRight w:val="0"/>
          <w:marTop w:val="0"/>
          <w:marBottom w:val="0"/>
          <w:divBdr>
            <w:top w:val="none" w:sz="0" w:space="0" w:color="auto"/>
            <w:left w:val="none" w:sz="0" w:space="0" w:color="auto"/>
            <w:bottom w:val="none" w:sz="0" w:space="0" w:color="auto"/>
            <w:right w:val="none" w:sz="0" w:space="0" w:color="auto"/>
          </w:divBdr>
        </w:div>
        <w:div w:id="115880613">
          <w:marLeft w:val="480"/>
          <w:marRight w:val="0"/>
          <w:marTop w:val="0"/>
          <w:marBottom w:val="0"/>
          <w:divBdr>
            <w:top w:val="none" w:sz="0" w:space="0" w:color="auto"/>
            <w:left w:val="none" w:sz="0" w:space="0" w:color="auto"/>
            <w:bottom w:val="none" w:sz="0" w:space="0" w:color="auto"/>
            <w:right w:val="none" w:sz="0" w:space="0" w:color="auto"/>
          </w:divBdr>
        </w:div>
        <w:div w:id="1823689426">
          <w:marLeft w:val="480"/>
          <w:marRight w:val="0"/>
          <w:marTop w:val="0"/>
          <w:marBottom w:val="0"/>
          <w:divBdr>
            <w:top w:val="none" w:sz="0" w:space="0" w:color="auto"/>
            <w:left w:val="none" w:sz="0" w:space="0" w:color="auto"/>
            <w:bottom w:val="none" w:sz="0" w:space="0" w:color="auto"/>
            <w:right w:val="none" w:sz="0" w:space="0" w:color="auto"/>
          </w:divBdr>
        </w:div>
        <w:div w:id="2113896434">
          <w:marLeft w:val="480"/>
          <w:marRight w:val="0"/>
          <w:marTop w:val="0"/>
          <w:marBottom w:val="0"/>
          <w:divBdr>
            <w:top w:val="none" w:sz="0" w:space="0" w:color="auto"/>
            <w:left w:val="none" w:sz="0" w:space="0" w:color="auto"/>
            <w:bottom w:val="none" w:sz="0" w:space="0" w:color="auto"/>
            <w:right w:val="none" w:sz="0" w:space="0" w:color="auto"/>
          </w:divBdr>
        </w:div>
        <w:div w:id="477772655">
          <w:marLeft w:val="480"/>
          <w:marRight w:val="0"/>
          <w:marTop w:val="0"/>
          <w:marBottom w:val="0"/>
          <w:divBdr>
            <w:top w:val="none" w:sz="0" w:space="0" w:color="auto"/>
            <w:left w:val="none" w:sz="0" w:space="0" w:color="auto"/>
            <w:bottom w:val="none" w:sz="0" w:space="0" w:color="auto"/>
            <w:right w:val="none" w:sz="0" w:space="0" w:color="auto"/>
          </w:divBdr>
        </w:div>
        <w:div w:id="616105027">
          <w:marLeft w:val="480"/>
          <w:marRight w:val="0"/>
          <w:marTop w:val="0"/>
          <w:marBottom w:val="0"/>
          <w:divBdr>
            <w:top w:val="none" w:sz="0" w:space="0" w:color="auto"/>
            <w:left w:val="none" w:sz="0" w:space="0" w:color="auto"/>
            <w:bottom w:val="none" w:sz="0" w:space="0" w:color="auto"/>
            <w:right w:val="none" w:sz="0" w:space="0" w:color="auto"/>
          </w:divBdr>
        </w:div>
        <w:div w:id="2060393373">
          <w:marLeft w:val="480"/>
          <w:marRight w:val="0"/>
          <w:marTop w:val="0"/>
          <w:marBottom w:val="0"/>
          <w:divBdr>
            <w:top w:val="none" w:sz="0" w:space="0" w:color="auto"/>
            <w:left w:val="none" w:sz="0" w:space="0" w:color="auto"/>
            <w:bottom w:val="none" w:sz="0" w:space="0" w:color="auto"/>
            <w:right w:val="none" w:sz="0" w:space="0" w:color="auto"/>
          </w:divBdr>
        </w:div>
        <w:div w:id="1861316021">
          <w:marLeft w:val="480"/>
          <w:marRight w:val="0"/>
          <w:marTop w:val="0"/>
          <w:marBottom w:val="0"/>
          <w:divBdr>
            <w:top w:val="none" w:sz="0" w:space="0" w:color="auto"/>
            <w:left w:val="none" w:sz="0" w:space="0" w:color="auto"/>
            <w:bottom w:val="none" w:sz="0" w:space="0" w:color="auto"/>
            <w:right w:val="none" w:sz="0" w:space="0" w:color="auto"/>
          </w:divBdr>
        </w:div>
        <w:div w:id="1628046664">
          <w:marLeft w:val="480"/>
          <w:marRight w:val="0"/>
          <w:marTop w:val="0"/>
          <w:marBottom w:val="0"/>
          <w:divBdr>
            <w:top w:val="none" w:sz="0" w:space="0" w:color="auto"/>
            <w:left w:val="none" w:sz="0" w:space="0" w:color="auto"/>
            <w:bottom w:val="none" w:sz="0" w:space="0" w:color="auto"/>
            <w:right w:val="none" w:sz="0" w:space="0" w:color="auto"/>
          </w:divBdr>
        </w:div>
        <w:div w:id="516583811">
          <w:marLeft w:val="480"/>
          <w:marRight w:val="0"/>
          <w:marTop w:val="0"/>
          <w:marBottom w:val="0"/>
          <w:divBdr>
            <w:top w:val="none" w:sz="0" w:space="0" w:color="auto"/>
            <w:left w:val="none" w:sz="0" w:space="0" w:color="auto"/>
            <w:bottom w:val="none" w:sz="0" w:space="0" w:color="auto"/>
            <w:right w:val="none" w:sz="0" w:space="0" w:color="auto"/>
          </w:divBdr>
        </w:div>
        <w:div w:id="1648390621">
          <w:marLeft w:val="480"/>
          <w:marRight w:val="0"/>
          <w:marTop w:val="0"/>
          <w:marBottom w:val="0"/>
          <w:divBdr>
            <w:top w:val="none" w:sz="0" w:space="0" w:color="auto"/>
            <w:left w:val="none" w:sz="0" w:space="0" w:color="auto"/>
            <w:bottom w:val="none" w:sz="0" w:space="0" w:color="auto"/>
            <w:right w:val="none" w:sz="0" w:space="0" w:color="auto"/>
          </w:divBdr>
        </w:div>
        <w:div w:id="1519388914">
          <w:marLeft w:val="480"/>
          <w:marRight w:val="0"/>
          <w:marTop w:val="0"/>
          <w:marBottom w:val="0"/>
          <w:divBdr>
            <w:top w:val="none" w:sz="0" w:space="0" w:color="auto"/>
            <w:left w:val="none" w:sz="0" w:space="0" w:color="auto"/>
            <w:bottom w:val="none" w:sz="0" w:space="0" w:color="auto"/>
            <w:right w:val="none" w:sz="0" w:space="0" w:color="auto"/>
          </w:divBdr>
        </w:div>
        <w:div w:id="1032219891">
          <w:marLeft w:val="480"/>
          <w:marRight w:val="0"/>
          <w:marTop w:val="0"/>
          <w:marBottom w:val="0"/>
          <w:divBdr>
            <w:top w:val="none" w:sz="0" w:space="0" w:color="auto"/>
            <w:left w:val="none" w:sz="0" w:space="0" w:color="auto"/>
            <w:bottom w:val="none" w:sz="0" w:space="0" w:color="auto"/>
            <w:right w:val="none" w:sz="0" w:space="0" w:color="auto"/>
          </w:divBdr>
        </w:div>
        <w:div w:id="1133838359">
          <w:marLeft w:val="480"/>
          <w:marRight w:val="0"/>
          <w:marTop w:val="0"/>
          <w:marBottom w:val="0"/>
          <w:divBdr>
            <w:top w:val="none" w:sz="0" w:space="0" w:color="auto"/>
            <w:left w:val="none" w:sz="0" w:space="0" w:color="auto"/>
            <w:bottom w:val="none" w:sz="0" w:space="0" w:color="auto"/>
            <w:right w:val="none" w:sz="0" w:space="0" w:color="auto"/>
          </w:divBdr>
        </w:div>
        <w:div w:id="2039769330">
          <w:marLeft w:val="480"/>
          <w:marRight w:val="0"/>
          <w:marTop w:val="0"/>
          <w:marBottom w:val="0"/>
          <w:divBdr>
            <w:top w:val="none" w:sz="0" w:space="0" w:color="auto"/>
            <w:left w:val="none" w:sz="0" w:space="0" w:color="auto"/>
            <w:bottom w:val="none" w:sz="0" w:space="0" w:color="auto"/>
            <w:right w:val="none" w:sz="0" w:space="0" w:color="auto"/>
          </w:divBdr>
        </w:div>
        <w:div w:id="621310055">
          <w:marLeft w:val="480"/>
          <w:marRight w:val="0"/>
          <w:marTop w:val="0"/>
          <w:marBottom w:val="0"/>
          <w:divBdr>
            <w:top w:val="none" w:sz="0" w:space="0" w:color="auto"/>
            <w:left w:val="none" w:sz="0" w:space="0" w:color="auto"/>
            <w:bottom w:val="none" w:sz="0" w:space="0" w:color="auto"/>
            <w:right w:val="none" w:sz="0" w:space="0" w:color="auto"/>
          </w:divBdr>
        </w:div>
        <w:div w:id="1467356723">
          <w:marLeft w:val="480"/>
          <w:marRight w:val="0"/>
          <w:marTop w:val="0"/>
          <w:marBottom w:val="0"/>
          <w:divBdr>
            <w:top w:val="none" w:sz="0" w:space="0" w:color="auto"/>
            <w:left w:val="none" w:sz="0" w:space="0" w:color="auto"/>
            <w:bottom w:val="none" w:sz="0" w:space="0" w:color="auto"/>
            <w:right w:val="none" w:sz="0" w:space="0" w:color="auto"/>
          </w:divBdr>
        </w:div>
      </w:divsChild>
    </w:div>
    <w:div w:id="916867244">
      <w:bodyDiv w:val="1"/>
      <w:marLeft w:val="0"/>
      <w:marRight w:val="0"/>
      <w:marTop w:val="0"/>
      <w:marBottom w:val="0"/>
      <w:divBdr>
        <w:top w:val="none" w:sz="0" w:space="0" w:color="auto"/>
        <w:left w:val="none" w:sz="0" w:space="0" w:color="auto"/>
        <w:bottom w:val="none" w:sz="0" w:space="0" w:color="auto"/>
        <w:right w:val="none" w:sz="0" w:space="0" w:color="auto"/>
      </w:divBdr>
    </w:div>
    <w:div w:id="918641191">
      <w:bodyDiv w:val="1"/>
      <w:marLeft w:val="0"/>
      <w:marRight w:val="0"/>
      <w:marTop w:val="0"/>
      <w:marBottom w:val="0"/>
      <w:divBdr>
        <w:top w:val="none" w:sz="0" w:space="0" w:color="auto"/>
        <w:left w:val="none" w:sz="0" w:space="0" w:color="auto"/>
        <w:bottom w:val="none" w:sz="0" w:space="0" w:color="auto"/>
        <w:right w:val="none" w:sz="0" w:space="0" w:color="auto"/>
      </w:divBdr>
    </w:div>
    <w:div w:id="921183216">
      <w:bodyDiv w:val="1"/>
      <w:marLeft w:val="0"/>
      <w:marRight w:val="0"/>
      <w:marTop w:val="0"/>
      <w:marBottom w:val="0"/>
      <w:divBdr>
        <w:top w:val="none" w:sz="0" w:space="0" w:color="auto"/>
        <w:left w:val="none" w:sz="0" w:space="0" w:color="auto"/>
        <w:bottom w:val="none" w:sz="0" w:space="0" w:color="auto"/>
        <w:right w:val="none" w:sz="0" w:space="0" w:color="auto"/>
      </w:divBdr>
    </w:div>
    <w:div w:id="921330872">
      <w:bodyDiv w:val="1"/>
      <w:marLeft w:val="0"/>
      <w:marRight w:val="0"/>
      <w:marTop w:val="0"/>
      <w:marBottom w:val="0"/>
      <w:divBdr>
        <w:top w:val="none" w:sz="0" w:space="0" w:color="auto"/>
        <w:left w:val="none" w:sz="0" w:space="0" w:color="auto"/>
        <w:bottom w:val="none" w:sz="0" w:space="0" w:color="auto"/>
        <w:right w:val="none" w:sz="0" w:space="0" w:color="auto"/>
      </w:divBdr>
    </w:div>
    <w:div w:id="925922862">
      <w:bodyDiv w:val="1"/>
      <w:marLeft w:val="0"/>
      <w:marRight w:val="0"/>
      <w:marTop w:val="0"/>
      <w:marBottom w:val="0"/>
      <w:divBdr>
        <w:top w:val="none" w:sz="0" w:space="0" w:color="auto"/>
        <w:left w:val="none" w:sz="0" w:space="0" w:color="auto"/>
        <w:bottom w:val="none" w:sz="0" w:space="0" w:color="auto"/>
        <w:right w:val="none" w:sz="0" w:space="0" w:color="auto"/>
      </w:divBdr>
    </w:div>
    <w:div w:id="927272946">
      <w:bodyDiv w:val="1"/>
      <w:marLeft w:val="0"/>
      <w:marRight w:val="0"/>
      <w:marTop w:val="0"/>
      <w:marBottom w:val="0"/>
      <w:divBdr>
        <w:top w:val="none" w:sz="0" w:space="0" w:color="auto"/>
        <w:left w:val="none" w:sz="0" w:space="0" w:color="auto"/>
        <w:bottom w:val="none" w:sz="0" w:space="0" w:color="auto"/>
        <w:right w:val="none" w:sz="0" w:space="0" w:color="auto"/>
      </w:divBdr>
    </w:div>
    <w:div w:id="928394920">
      <w:bodyDiv w:val="1"/>
      <w:marLeft w:val="0"/>
      <w:marRight w:val="0"/>
      <w:marTop w:val="0"/>
      <w:marBottom w:val="0"/>
      <w:divBdr>
        <w:top w:val="none" w:sz="0" w:space="0" w:color="auto"/>
        <w:left w:val="none" w:sz="0" w:space="0" w:color="auto"/>
        <w:bottom w:val="none" w:sz="0" w:space="0" w:color="auto"/>
        <w:right w:val="none" w:sz="0" w:space="0" w:color="auto"/>
      </w:divBdr>
    </w:div>
    <w:div w:id="930822710">
      <w:bodyDiv w:val="1"/>
      <w:marLeft w:val="0"/>
      <w:marRight w:val="0"/>
      <w:marTop w:val="0"/>
      <w:marBottom w:val="0"/>
      <w:divBdr>
        <w:top w:val="none" w:sz="0" w:space="0" w:color="auto"/>
        <w:left w:val="none" w:sz="0" w:space="0" w:color="auto"/>
        <w:bottom w:val="none" w:sz="0" w:space="0" w:color="auto"/>
        <w:right w:val="none" w:sz="0" w:space="0" w:color="auto"/>
      </w:divBdr>
    </w:div>
    <w:div w:id="930970101">
      <w:bodyDiv w:val="1"/>
      <w:marLeft w:val="0"/>
      <w:marRight w:val="0"/>
      <w:marTop w:val="0"/>
      <w:marBottom w:val="0"/>
      <w:divBdr>
        <w:top w:val="none" w:sz="0" w:space="0" w:color="auto"/>
        <w:left w:val="none" w:sz="0" w:space="0" w:color="auto"/>
        <w:bottom w:val="none" w:sz="0" w:space="0" w:color="auto"/>
        <w:right w:val="none" w:sz="0" w:space="0" w:color="auto"/>
      </w:divBdr>
    </w:div>
    <w:div w:id="934745223">
      <w:bodyDiv w:val="1"/>
      <w:marLeft w:val="0"/>
      <w:marRight w:val="0"/>
      <w:marTop w:val="0"/>
      <w:marBottom w:val="0"/>
      <w:divBdr>
        <w:top w:val="none" w:sz="0" w:space="0" w:color="auto"/>
        <w:left w:val="none" w:sz="0" w:space="0" w:color="auto"/>
        <w:bottom w:val="none" w:sz="0" w:space="0" w:color="auto"/>
        <w:right w:val="none" w:sz="0" w:space="0" w:color="auto"/>
      </w:divBdr>
    </w:div>
    <w:div w:id="937827989">
      <w:bodyDiv w:val="1"/>
      <w:marLeft w:val="0"/>
      <w:marRight w:val="0"/>
      <w:marTop w:val="0"/>
      <w:marBottom w:val="0"/>
      <w:divBdr>
        <w:top w:val="none" w:sz="0" w:space="0" w:color="auto"/>
        <w:left w:val="none" w:sz="0" w:space="0" w:color="auto"/>
        <w:bottom w:val="none" w:sz="0" w:space="0" w:color="auto"/>
        <w:right w:val="none" w:sz="0" w:space="0" w:color="auto"/>
      </w:divBdr>
    </w:div>
    <w:div w:id="939139395">
      <w:bodyDiv w:val="1"/>
      <w:marLeft w:val="0"/>
      <w:marRight w:val="0"/>
      <w:marTop w:val="0"/>
      <w:marBottom w:val="0"/>
      <w:divBdr>
        <w:top w:val="none" w:sz="0" w:space="0" w:color="auto"/>
        <w:left w:val="none" w:sz="0" w:space="0" w:color="auto"/>
        <w:bottom w:val="none" w:sz="0" w:space="0" w:color="auto"/>
        <w:right w:val="none" w:sz="0" w:space="0" w:color="auto"/>
      </w:divBdr>
    </w:div>
    <w:div w:id="945038270">
      <w:bodyDiv w:val="1"/>
      <w:marLeft w:val="0"/>
      <w:marRight w:val="0"/>
      <w:marTop w:val="0"/>
      <w:marBottom w:val="0"/>
      <w:divBdr>
        <w:top w:val="none" w:sz="0" w:space="0" w:color="auto"/>
        <w:left w:val="none" w:sz="0" w:space="0" w:color="auto"/>
        <w:bottom w:val="none" w:sz="0" w:space="0" w:color="auto"/>
        <w:right w:val="none" w:sz="0" w:space="0" w:color="auto"/>
      </w:divBdr>
    </w:div>
    <w:div w:id="946042906">
      <w:bodyDiv w:val="1"/>
      <w:marLeft w:val="0"/>
      <w:marRight w:val="0"/>
      <w:marTop w:val="0"/>
      <w:marBottom w:val="0"/>
      <w:divBdr>
        <w:top w:val="none" w:sz="0" w:space="0" w:color="auto"/>
        <w:left w:val="none" w:sz="0" w:space="0" w:color="auto"/>
        <w:bottom w:val="none" w:sz="0" w:space="0" w:color="auto"/>
        <w:right w:val="none" w:sz="0" w:space="0" w:color="auto"/>
      </w:divBdr>
    </w:div>
    <w:div w:id="946739039">
      <w:bodyDiv w:val="1"/>
      <w:marLeft w:val="0"/>
      <w:marRight w:val="0"/>
      <w:marTop w:val="0"/>
      <w:marBottom w:val="0"/>
      <w:divBdr>
        <w:top w:val="none" w:sz="0" w:space="0" w:color="auto"/>
        <w:left w:val="none" w:sz="0" w:space="0" w:color="auto"/>
        <w:bottom w:val="none" w:sz="0" w:space="0" w:color="auto"/>
        <w:right w:val="none" w:sz="0" w:space="0" w:color="auto"/>
      </w:divBdr>
    </w:div>
    <w:div w:id="947614978">
      <w:bodyDiv w:val="1"/>
      <w:marLeft w:val="0"/>
      <w:marRight w:val="0"/>
      <w:marTop w:val="0"/>
      <w:marBottom w:val="0"/>
      <w:divBdr>
        <w:top w:val="none" w:sz="0" w:space="0" w:color="auto"/>
        <w:left w:val="none" w:sz="0" w:space="0" w:color="auto"/>
        <w:bottom w:val="none" w:sz="0" w:space="0" w:color="auto"/>
        <w:right w:val="none" w:sz="0" w:space="0" w:color="auto"/>
      </w:divBdr>
    </w:div>
    <w:div w:id="949505039">
      <w:bodyDiv w:val="1"/>
      <w:marLeft w:val="0"/>
      <w:marRight w:val="0"/>
      <w:marTop w:val="0"/>
      <w:marBottom w:val="0"/>
      <w:divBdr>
        <w:top w:val="none" w:sz="0" w:space="0" w:color="auto"/>
        <w:left w:val="none" w:sz="0" w:space="0" w:color="auto"/>
        <w:bottom w:val="none" w:sz="0" w:space="0" w:color="auto"/>
        <w:right w:val="none" w:sz="0" w:space="0" w:color="auto"/>
      </w:divBdr>
    </w:div>
    <w:div w:id="951018192">
      <w:bodyDiv w:val="1"/>
      <w:marLeft w:val="0"/>
      <w:marRight w:val="0"/>
      <w:marTop w:val="0"/>
      <w:marBottom w:val="0"/>
      <w:divBdr>
        <w:top w:val="none" w:sz="0" w:space="0" w:color="auto"/>
        <w:left w:val="none" w:sz="0" w:space="0" w:color="auto"/>
        <w:bottom w:val="none" w:sz="0" w:space="0" w:color="auto"/>
        <w:right w:val="none" w:sz="0" w:space="0" w:color="auto"/>
      </w:divBdr>
    </w:div>
    <w:div w:id="953365519">
      <w:bodyDiv w:val="1"/>
      <w:marLeft w:val="0"/>
      <w:marRight w:val="0"/>
      <w:marTop w:val="0"/>
      <w:marBottom w:val="0"/>
      <w:divBdr>
        <w:top w:val="none" w:sz="0" w:space="0" w:color="auto"/>
        <w:left w:val="none" w:sz="0" w:space="0" w:color="auto"/>
        <w:bottom w:val="none" w:sz="0" w:space="0" w:color="auto"/>
        <w:right w:val="none" w:sz="0" w:space="0" w:color="auto"/>
      </w:divBdr>
    </w:div>
    <w:div w:id="954486231">
      <w:bodyDiv w:val="1"/>
      <w:marLeft w:val="0"/>
      <w:marRight w:val="0"/>
      <w:marTop w:val="0"/>
      <w:marBottom w:val="0"/>
      <w:divBdr>
        <w:top w:val="none" w:sz="0" w:space="0" w:color="auto"/>
        <w:left w:val="none" w:sz="0" w:space="0" w:color="auto"/>
        <w:bottom w:val="none" w:sz="0" w:space="0" w:color="auto"/>
        <w:right w:val="none" w:sz="0" w:space="0" w:color="auto"/>
      </w:divBdr>
    </w:div>
    <w:div w:id="954872952">
      <w:bodyDiv w:val="1"/>
      <w:marLeft w:val="0"/>
      <w:marRight w:val="0"/>
      <w:marTop w:val="0"/>
      <w:marBottom w:val="0"/>
      <w:divBdr>
        <w:top w:val="none" w:sz="0" w:space="0" w:color="auto"/>
        <w:left w:val="none" w:sz="0" w:space="0" w:color="auto"/>
        <w:bottom w:val="none" w:sz="0" w:space="0" w:color="auto"/>
        <w:right w:val="none" w:sz="0" w:space="0" w:color="auto"/>
      </w:divBdr>
    </w:div>
    <w:div w:id="955605294">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74145360">
      <w:bodyDiv w:val="1"/>
      <w:marLeft w:val="0"/>
      <w:marRight w:val="0"/>
      <w:marTop w:val="0"/>
      <w:marBottom w:val="0"/>
      <w:divBdr>
        <w:top w:val="none" w:sz="0" w:space="0" w:color="auto"/>
        <w:left w:val="none" w:sz="0" w:space="0" w:color="auto"/>
        <w:bottom w:val="none" w:sz="0" w:space="0" w:color="auto"/>
        <w:right w:val="none" w:sz="0" w:space="0" w:color="auto"/>
      </w:divBdr>
    </w:div>
    <w:div w:id="975843100">
      <w:bodyDiv w:val="1"/>
      <w:marLeft w:val="0"/>
      <w:marRight w:val="0"/>
      <w:marTop w:val="0"/>
      <w:marBottom w:val="0"/>
      <w:divBdr>
        <w:top w:val="none" w:sz="0" w:space="0" w:color="auto"/>
        <w:left w:val="none" w:sz="0" w:space="0" w:color="auto"/>
        <w:bottom w:val="none" w:sz="0" w:space="0" w:color="auto"/>
        <w:right w:val="none" w:sz="0" w:space="0" w:color="auto"/>
      </w:divBdr>
    </w:div>
    <w:div w:id="976643395">
      <w:bodyDiv w:val="1"/>
      <w:marLeft w:val="0"/>
      <w:marRight w:val="0"/>
      <w:marTop w:val="0"/>
      <w:marBottom w:val="0"/>
      <w:divBdr>
        <w:top w:val="none" w:sz="0" w:space="0" w:color="auto"/>
        <w:left w:val="none" w:sz="0" w:space="0" w:color="auto"/>
        <w:bottom w:val="none" w:sz="0" w:space="0" w:color="auto"/>
        <w:right w:val="none" w:sz="0" w:space="0" w:color="auto"/>
      </w:divBdr>
    </w:div>
    <w:div w:id="985664149">
      <w:bodyDiv w:val="1"/>
      <w:marLeft w:val="0"/>
      <w:marRight w:val="0"/>
      <w:marTop w:val="0"/>
      <w:marBottom w:val="0"/>
      <w:divBdr>
        <w:top w:val="none" w:sz="0" w:space="0" w:color="auto"/>
        <w:left w:val="none" w:sz="0" w:space="0" w:color="auto"/>
        <w:bottom w:val="none" w:sz="0" w:space="0" w:color="auto"/>
        <w:right w:val="none" w:sz="0" w:space="0" w:color="auto"/>
      </w:divBdr>
    </w:div>
    <w:div w:id="986012959">
      <w:bodyDiv w:val="1"/>
      <w:marLeft w:val="0"/>
      <w:marRight w:val="0"/>
      <w:marTop w:val="0"/>
      <w:marBottom w:val="0"/>
      <w:divBdr>
        <w:top w:val="none" w:sz="0" w:space="0" w:color="auto"/>
        <w:left w:val="none" w:sz="0" w:space="0" w:color="auto"/>
        <w:bottom w:val="none" w:sz="0" w:space="0" w:color="auto"/>
        <w:right w:val="none" w:sz="0" w:space="0" w:color="auto"/>
      </w:divBdr>
    </w:div>
    <w:div w:id="987518405">
      <w:bodyDiv w:val="1"/>
      <w:marLeft w:val="0"/>
      <w:marRight w:val="0"/>
      <w:marTop w:val="0"/>
      <w:marBottom w:val="0"/>
      <w:divBdr>
        <w:top w:val="none" w:sz="0" w:space="0" w:color="auto"/>
        <w:left w:val="none" w:sz="0" w:space="0" w:color="auto"/>
        <w:bottom w:val="none" w:sz="0" w:space="0" w:color="auto"/>
        <w:right w:val="none" w:sz="0" w:space="0" w:color="auto"/>
      </w:divBdr>
    </w:div>
    <w:div w:id="993413067">
      <w:bodyDiv w:val="1"/>
      <w:marLeft w:val="0"/>
      <w:marRight w:val="0"/>
      <w:marTop w:val="0"/>
      <w:marBottom w:val="0"/>
      <w:divBdr>
        <w:top w:val="none" w:sz="0" w:space="0" w:color="auto"/>
        <w:left w:val="none" w:sz="0" w:space="0" w:color="auto"/>
        <w:bottom w:val="none" w:sz="0" w:space="0" w:color="auto"/>
        <w:right w:val="none" w:sz="0" w:space="0" w:color="auto"/>
      </w:divBdr>
    </w:div>
    <w:div w:id="1003555280">
      <w:bodyDiv w:val="1"/>
      <w:marLeft w:val="0"/>
      <w:marRight w:val="0"/>
      <w:marTop w:val="0"/>
      <w:marBottom w:val="0"/>
      <w:divBdr>
        <w:top w:val="none" w:sz="0" w:space="0" w:color="auto"/>
        <w:left w:val="none" w:sz="0" w:space="0" w:color="auto"/>
        <w:bottom w:val="none" w:sz="0" w:space="0" w:color="auto"/>
        <w:right w:val="none" w:sz="0" w:space="0" w:color="auto"/>
      </w:divBdr>
    </w:div>
    <w:div w:id="1004088284">
      <w:bodyDiv w:val="1"/>
      <w:marLeft w:val="0"/>
      <w:marRight w:val="0"/>
      <w:marTop w:val="0"/>
      <w:marBottom w:val="0"/>
      <w:divBdr>
        <w:top w:val="none" w:sz="0" w:space="0" w:color="auto"/>
        <w:left w:val="none" w:sz="0" w:space="0" w:color="auto"/>
        <w:bottom w:val="none" w:sz="0" w:space="0" w:color="auto"/>
        <w:right w:val="none" w:sz="0" w:space="0" w:color="auto"/>
      </w:divBdr>
    </w:div>
    <w:div w:id="1005673045">
      <w:bodyDiv w:val="1"/>
      <w:marLeft w:val="0"/>
      <w:marRight w:val="0"/>
      <w:marTop w:val="0"/>
      <w:marBottom w:val="0"/>
      <w:divBdr>
        <w:top w:val="none" w:sz="0" w:space="0" w:color="auto"/>
        <w:left w:val="none" w:sz="0" w:space="0" w:color="auto"/>
        <w:bottom w:val="none" w:sz="0" w:space="0" w:color="auto"/>
        <w:right w:val="none" w:sz="0" w:space="0" w:color="auto"/>
      </w:divBdr>
    </w:div>
    <w:div w:id="1007906141">
      <w:bodyDiv w:val="1"/>
      <w:marLeft w:val="0"/>
      <w:marRight w:val="0"/>
      <w:marTop w:val="0"/>
      <w:marBottom w:val="0"/>
      <w:divBdr>
        <w:top w:val="none" w:sz="0" w:space="0" w:color="auto"/>
        <w:left w:val="none" w:sz="0" w:space="0" w:color="auto"/>
        <w:bottom w:val="none" w:sz="0" w:space="0" w:color="auto"/>
        <w:right w:val="none" w:sz="0" w:space="0" w:color="auto"/>
      </w:divBdr>
    </w:div>
    <w:div w:id="1027026047">
      <w:bodyDiv w:val="1"/>
      <w:marLeft w:val="0"/>
      <w:marRight w:val="0"/>
      <w:marTop w:val="0"/>
      <w:marBottom w:val="0"/>
      <w:divBdr>
        <w:top w:val="none" w:sz="0" w:space="0" w:color="auto"/>
        <w:left w:val="none" w:sz="0" w:space="0" w:color="auto"/>
        <w:bottom w:val="none" w:sz="0" w:space="0" w:color="auto"/>
        <w:right w:val="none" w:sz="0" w:space="0" w:color="auto"/>
      </w:divBdr>
    </w:div>
    <w:div w:id="1031801112">
      <w:bodyDiv w:val="1"/>
      <w:marLeft w:val="0"/>
      <w:marRight w:val="0"/>
      <w:marTop w:val="0"/>
      <w:marBottom w:val="0"/>
      <w:divBdr>
        <w:top w:val="none" w:sz="0" w:space="0" w:color="auto"/>
        <w:left w:val="none" w:sz="0" w:space="0" w:color="auto"/>
        <w:bottom w:val="none" w:sz="0" w:space="0" w:color="auto"/>
        <w:right w:val="none" w:sz="0" w:space="0" w:color="auto"/>
      </w:divBdr>
    </w:div>
    <w:div w:id="1033535121">
      <w:bodyDiv w:val="1"/>
      <w:marLeft w:val="0"/>
      <w:marRight w:val="0"/>
      <w:marTop w:val="0"/>
      <w:marBottom w:val="0"/>
      <w:divBdr>
        <w:top w:val="none" w:sz="0" w:space="0" w:color="auto"/>
        <w:left w:val="none" w:sz="0" w:space="0" w:color="auto"/>
        <w:bottom w:val="none" w:sz="0" w:space="0" w:color="auto"/>
        <w:right w:val="none" w:sz="0" w:space="0" w:color="auto"/>
      </w:divBdr>
    </w:div>
    <w:div w:id="1037663148">
      <w:bodyDiv w:val="1"/>
      <w:marLeft w:val="0"/>
      <w:marRight w:val="0"/>
      <w:marTop w:val="0"/>
      <w:marBottom w:val="0"/>
      <w:divBdr>
        <w:top w:val="none" w:sz="0" w:space="0" w:color="auto"/>
        <w:left w:val="none" w:sz="0" w:space="0" w:color="auto"/>
        <w:bottom w:val="none" w:sz="0" w:space="0" w:color="auto"/>
        <w:right w:val="none" w:sz="0" w:space="0" w:color="auto"/>
      </w:divBdr>
    </w:div>
    <w:div w:id="1038816628">
      <w:bodyDiv w:val="1"/>
      <w:marLeft w:val="0"/>
      <w:marRight w:val="0"/>
      <w:marTop w:val="0"/>
      <w:marBottom w:val="0"/>
      <w:divBdr>
        <w:top w:val="none" w:sz="0" w:space="0" w:color="auto"/>
        <w:left w:val="none" w:sz="0" w:space="0" w:color="auto"/>
        <w:bottom w:val="none" w:sz="0" w:space="0" w:color="auto"/>
        <w:right w:val="none" w:sz="0" w:space="0" w:color="auto"/>
      </w:divBdr>
    </w:div>
    <w:div w:id="1045448129">
      <w:bodyDiv w:val="1"/>
      <w:marLeft w:val="0"/>
      <w:marRight w:val="0"/>
      <w:marTop w:val="0"/>
      <w:marBottom w:val="0"/>
      <w:divBdr>
        <w:top w:val="none" w:sz="0" w:space="0" w:color="auto"/>
        <w:left w:val="none" w:sz="0" w:space="0" w:color="auto"/>
        <w:bottom w:val="none" w:sz="0" w:space="0" w:color="auto"/>
        <w:right w:val="none" w:sz="0" w:space="0" w:color="auto"/>
      </w:divBdr>
    </w:div>
    <w:div w:id="1051617373">
      <w:bodyDiv w:val="1"/>
      <w:marLeft w:val="0"/>
      <w:marRight w:val="0"/>
      <w:marTop w:val="0"/>
      <w:marBottom w:val="0"/>
      <w:divBdr>
        <w:top w:val="none" w:sz="0" w:space="0" w:color="auto"/>
        <w:left w:val="none" w:sz="0" w:space="0" w:color="auto"/>
        <w:bottom w:val="none" w:sz="0" w:space="0" w:color="auto"/>
        <w:right w:val="none" w:sz="0" w:space="0" w:color="auto"/>
      </w:divBdr>
    </w:div>
    <w:div w:id="1052120564">
      <w:bodyDiv w:val="1"/>
      <w:marLeft w:val="0"/>
      <w:marRight w:val="0"/>
      <w:marTop w:val="0"/>
      <w:marBottom w:val="0"/>
      <w:divBdr>
        <w:top w:val="none" w:sz="0" w:space="0" w:color="auto"/>
        <w:left w:val="none" w:sz="0" w:space="0" w:color="auto"/>
        <w:bottom w:val="none" w:sz="0" w:space="0" w:color="auto"/>
        <w:right w:val="none" w:sz="0" w:space="0" w:color="auto"/>
      </w:divBdr>
    </w:div>
    <w:div w:id="1055541276">
      <w:bodyDiv w:val="1"/>
      <w:marLeft w:val="0"/>
      <w:marRight w:val="0"/>
      <w:marTop w:val="0"/>
      <w:marBottom w:val="0"/>
      <w:divBdr>
        <w:top w:val="none" w:sz="0" w:space="0" w:color="auto"/>
        <w:left w:val="none" w:sz="0" w:space="0" w:color="auto"/>
        <w:bottom w:val="none" w:sz="0" w:space="0" w:color="auto"/>
        <w:right w:val="none" w:sz="0" w:space="0" w:color="auto"/>
      </w:divBdr>
    </w:div>
    <w:div w:id="1057431122">
      <w:bodyDiv w:val="1"/>
      <w:marLeft w:val="0"/>
      <w:marRight w:val="0"/>
      <w:marTop w:val="0"/>
      <w:marBottom w:val="0"/>
      <w:divBdr>
        <w:top w:val="none" w:sz="0" w:space="0" w:color="auto"/>
        <w:left w:val="none" w:sz="0" w:space="0" w:color="auto"/>
        <w:bottom w:val="none" w:sz="0" w:space="0" w:color="auto"/>
        <w:right w:val="none" w:sz="0" w:space="0" w:color="auto"/>
      </w:divBdr>
    </w:div>
    <w:div w:id="1057554963">
      <w:bodyDiv w:val="1"/>
      <w:marLeft w:val="0"/>
      <w:marRight w:val="0"/>
      <w:marTop w:val="0"/>
      <w:marBottom w:val="0"/>
      <w:divBdr>
        <w:top w:val="none" w:sz="0" w:space="0" w:color="auto"/>
        <w:left w:val="none" w:sz="0" w:space="0" w:color="auto"/>
        <w:bottom w:val="none" w:sz="0" w:space="0" w:color="auto"/>
        <w:right w:val="none" w:sz="0" w:space="0" w:color="auto"/>
      </w:divBdr>
    </w:div>
    <w:div w:id="1057825253">
      <w:bodyDiv w:val="1"/>
      <w:marLeft w:val="0"/>
      <w:marRight w:val="0"/>
      <w:marTop w:val="0"/>
      <w:marBottom w:val="0"/>
      <w:divBdr>
        <w:top w:val="none" w:sz="0" w:space="0" w:color="auto"/>
        <w:left w:val="none" w:sz="0" w:space="0" w:color="auto"/>
        <w:bottom w:val="none" w:sz="0" w:space="0" w:color="auto"/>
        <w:right w:val="none" w:sz="0" w:space="0" w:color="auto"/>
      </w:divBdr>
    </w:div>
    <w:div w:id="1058629335">
      <w:bodyDiv w:val="1"/>
      <w:marLeft w:val="0"/>
      <w:marRight w:val="0"/>
      <w:marTop w:val="0"/>
      <w:marBottom w:val="0"/>
      <w:divBdr>
        <w:top w:val="none" w:sz="0" w:space="0" w:color="auto"/>
        <w:left w:val="none" w:sz="0" w:space="0" w:color="auto"/>
        <w:bottom w:val="none" w:sz="0" w:space="0" w:color="auto"/>
        <w:right w:val="none" w:sz="0" w:space="0" w:color="auto"/>
      </w:divBdr>
    </w:div>
    <w:div w:id="1064374378">
      <w:bodyDiv w:val="1"/>
      <w:marLeft w:val="0"/>
      <w:marRight w:val="0"/>
      <w:marTop w:val="0"/>
      <w:marBottom w:val="0"/>
      <w:divBdr>
        <w:top w:val="none" w:sz="0" w:space="0" w:color="auto"/>
        <w:left w:val="none" w:sz="0" w:space="0" w:color="auto"/>
        <w:bottom w:val="none" w:sz="0" w:space="0" w:color="auto"/>
        <w:right w:val="none" w:sz="0" w:space="0" w:color="auto"/>
      </w:divBdr>
    </w:div>
    <w:div w:id="1065301300">
      <w:bodyDiv w:val="1"/>
      <w:marLeft w:val="0"/>
      <w:marRight w:val="0"/>
      <w:marTop w:val="0"/>
      <w:marBottom w:val="0"/>
      <w:divBdr>
        <w:top w:val="none" w:sz="0" w:space="0" w:color="auto"/>
        <w:left w:val="none" w:sz="0" w:space="0" w:color="auto"/>
        <w:bottom w:val="none" w:sz="0" w:space="0" w:color="auto"/>
        <w:right w:val="none" w:sz="0" w:space="0" w:color="auto"/>
      </w:divBdr>
    </w:div>
    <w:div w:id="1068725991">
      <w:bodyDiv w:val="1"/>
      <w:marLeft w:val="0"/>
      <w:marRight w:val="0"/>
      <w:marTop w:val="0"/>
      <w:marBottom w:val="0"/>
      <w:divBdr>
        <w:top w:val="none" w:sz="0" w:space="0" w:color="auto"/>
        <w:left w:val="none" w:sz="0" w:space="0" w:color="auto"/>
        <w:bottom w:val="none" w:sz="0" w:space="0" w:color="auto"/>
        <w:right w:val="none" w:sz="0" w:space="0" w:color="auto"/>
      </w:divBdr>
    </w:div>
    <w:div w:id="1081676020">
      <w:bodyDiv w:val="1"/>
      <w:marLeft w:val="0"/>
      <w:marRight w:val="0"/>
      <w:marTop w:val="0"/>
      <w:marBottom w:val="0"/>
      <w:divBdr>
        <w:top w:val="none" w:sz="0" w:space="0" w:color="auto"/>
        <w:left w:val="none" w:sz="0" w:space="0" w:color="auto"/>
        <w:bottom w:val="none" w:sz="0" w:space="0" w:color="auto"/>
        <w:right w:val="none" w:sz="0" w:space="0" w:color="auto"/>
      </w:divBdr>
    </w:div>
    <w:div w:id="1081831958">
      <w:bodyDiv w:val="1"/>
      <w:marLeft w:val="0"/>
      <w:marRight w:val="0"/>
      <w:marTop w:val="0"/>
      <w:marBottom w:val="0"/>
      <w:divBdr>
        <w:top w:val="none" w:sz="0" w:space="0" w:color="auto"/>
        <w:left w:val="none" w:sz="0" w:space="0" w:color="auto"/>
        <w:bottom w:val="none" w:sz="0" w:space="0" w:color="auto"/>
        <w:right w:val="none" w:sz="0" w:space="0" w:color="auto"/>
      </w:divBdr>
    </w:div>
    <w:div w:id="1082948785">
      <w:bodyDiv w:val="1"/>
      <w:marLeft w:val="0"/>
      <w:marRight w:val="0"/>
      <w:marTop w:val="0"/>
      <w:marBottom w:val="0"/>
      <w:divBdr>
        <w:top w:val="none" w:sz="0" w:space="0" w:color="auto"/>
        <w:left w:val="none" w:sz="0" w:space="0" w:color="auto"/>
        <w:bottom w:val="none" w:sz="0" w:space="0" w:color="auto"/>
        <w:right w:val="none" w:sz="0" w:space="0" w:color="auto"/>
      </w:divBdr>
    </w:div>
    <w:div w:id="1085303814">
      <w:bodyDiv w:val="1"/>
      <w:marLeft w:val="0"/>
      <w:marRight w:val="0"/>
      <w:marTop w:val="0"/>
      <w:marBottom w:val="0"/>
      <w:divBdr>
        <w:top w:val="none" w:sz="0" w:space="0" w:color="auto"/>
        <w:left w:val="none" w:sz="0" w:space="0" w:color="auto"/>
        <w:bottom w:val="none" w:sz="0" w:space="0" w:color="auto"/>
        <w:right w:val="none" w:sz="0" w:space="0" w:color="auto"/>
      </w:divBdr>
    </w:div>
    <w:div w:id="1086149644">
      <w:bodyDiv w:val="1"/>
      <w:marLeft w:val="0"/>
      <w:marRight w:val="0"/>
      <w:marTop w:val="0"/>
      <w:marBottom w:val="0"/>
      <w:divBdr>
        <w:top w:val="none" w:sz="0" w:space="0" w:color="auto"/>
        <w:left w:val="none" w:sz="0" w:space="0" w:color="auto"/>
        <w:bottom w:val="none" w:sz="0" w:space="0" w:color="auto"/>
        <w:right w:val="none" w:sz="0" w:space="0" w:color="auto"/>
      </w:divBdr>
    </w:div>
    <w:div w:id="1090199059">
      <w:bodyDiv w:val="1"/>
      <w:marLeft w:val="0"/>
      <w:marRight w:val="0"/>
      <w:marTop w:val="0"/>
      <w:marBottom w:val="0"/>
      <w:divBdr>
        <w:top w:val="none" w:sz="0" w:space="0" w:color="auto"/>
        <w:left w:val="none" w:sz="0" w:space="0" w:color="auto"/>
        <w:bottom w:val="none" w:sz="0" w:space="0" w:color="auto"/>
        <w:right w:val="none" w:sz="0" w:space="0" w:color="auto"/>
      </w:divBdr>
    </w:div>
    <w:div w:id="1094205658">
      <w:bodyDiv w:val="1"/>
      <w:marLeft w:val="0"/>
      <w:marRight w:val="0"/>
      <w:marTop w:val="0"/>
      <w:marBottom w:val="0"/>
      <w:divBdr>
        <w:top w:val="none" w:sz="0" w:space="0" w:color="auto"/>
        <w:left w:val="none" w:sz="0" w:space="0" w:color="auto"/>
        <w:bottom w:val="none" w:sz="0" w:space="0" w:color="auto"/>
        <w:right w:val="none" w:sz="0" w:space="0" w:color="auto"/>
      </w:divBdr>
    </w:div>
    <w:div w:id="1095443786">
      <w:bodyDiv w:val="1"/>
      <w:marLeft w:val="0"/>
      <w:marRight w:val="0"/>
      <w:marTop w:val="0"/>
      <w:marBottom w:val="0"/>
      <w:divBdr>
        <w:top w:val="none" w:sz="0" w:space="0" w:color="auto"/>
        <w:left w:val="none" w:sz="0" w:space="0" w:color="auto"/>
        <w:bottom w:val="none" w:sz="0" w:space="0" w:color="auto"/>
        <w:right w:val="none" w:sz="0" w:space="0" w:color="auto"/>
      </w:divBdr>
    </w:div>
    <w:div w:id="1096247976">
      <w:bodyDiv w:val="1"/>
      <w:marLeft w:val="0"/>
      <w:marRight w:val="0"/>
      <w:marTop w:val="0"/>
      <w:marBottom w:val="0"/>
      <w:divBdr>
        <w:top w:val="none" w:sz="0" w:space="0" w:color="auto"/>
        <w:left w:val="none" w:sz="0" w:space="0" w:color="auto"/>
        <w:bottom w:val="none" w:sz="0" w:space="0" w:color="auto"/>
        <w:right w:val="none" w:sz="0" w:space="0" w:color="auto"/>
      </w:divBdr>
    </w:div>
    <w:div w:id="1105006514">
      <w:bodyDiv w:val="1"/>
      <w:marLeft w:val="0"/>
      <w:marRight w:val="0"/>
      <w:marTop w:val="0"/>
      <w:marBottom w:val="0"/>
      <w:divBdr>
        <w:top w:val="none" w:sz="0" w:space="0" w:color="auto"/>
        <w:left w:val="none" w:sz="0" w:space="0" w:color="auto"/>
        <w:bottom w:val="none" w:sz="0" w:space="0" w:color="auto"/>
        <w:right w:val="none" w:sz="0" w:space="0" w:color="auto"/>
      </w:divBdr>
    </w:div>
    <w:div w:id="1111977715">
      <w:bodyDiv w:val="1"/>
      <w:marLeft w:val="0"/>
      <w:marRight w:val="0"/>
      <w:marTop w:val="0"/>
      <w:marBottom w:val="0"/>
      <w:divBdr>
        <w:top w:val="none" w:sz="0" w:space="0" w:color="auto"/>
        <w:left w:val="none" w:sz="0" w:space="0" w:color="auto"/>
        <w:bottom w:val="none" w:sz="0" w:space="0" w:color="auto"/>
        <w:right w:val="none" w:sz="0" w:space="0" w:color="auto"/>
      </w:divBdr>
    </w:div>
    <w:div w:id="1113793088">
      <w:bodyDiv w:val="1"/>
      <w:marLeft w:val="0"/>
      <w:marRight w:val="0"/>
      <w:marTop w:val="0"/>
      <w:marBottom w:val="0"/>
      <w:divBdr>
        <w:top w:val="none" w:sz="0" w:space="0" w:color="auto"/>
        <w:left w:val="none" w:sz="0" w:space="0" w:color="auto"/>
        <w:bottom w:val="none" w:sz="0" w:space="0" w:color="auto"/>
        <w:right w:val="none" w:sz="0" w:space="0" w:color="auto"/>
      </w:divBdr>
    </w:div>
    <w:div w:id="1114251132">
      <w:bodyDiv w:val="1"/>
      <w:marLeft w:val="0"/>
      <w:marRight w:val="0"/>
      <w:marTop w:val="0"/>
      <w:marBottom w:val="0"/>
      <w:divBdr>
        <w:top w:val="none" w:sz="0" w:space="0" w:color="auto"/>
        <w:left w:val="none" w:sz="0" w:space="0" w:color="auto"/>
        <w:bottom w:val="none" w:sz="0" w:space="0" w:color="auto"/>
        <w:right w:val="none" w:sz="0" w:space="0" w:color="auto"/>
      </w:divBdr>
    </w:div>
    <w:div w:id="1115251638">
      <w:bodyDiv w:val="1"/>
      <w:marLeft w:val="0"/>
      <w:marRight w:val="0"/>
      <w:marTop w:val="0"/>
      <w:marBottom w:val="0"/>
      <w:divBdr>
        <w:top w:val="none" w:sz="0" w:space="0" w:color="auto"/>
        <w:left w:val="none" w:sz="0" w:space="0" w:color="auto"/>
        <w:bottom w:val="none" w:sz="0" w:space="0" w:color="auto"/>
        <w:right w:val="none" w:sz="0" w:space="0" w:color="auto"/>
      </w:divBdr>
    </w:div>
    <w:div w:id="1119682809">
      <w:bodyDiv w:val="1"/>
      <w:marLeft w:val="0"/>
      <w:marRight w:val="0"/>
      <w:marTop w:val="0"/>
      <w:marBottom w:val="0"/>
      <w:divBdr>
        <w:top w:val="none" w:sz="0" w:space="0" w:color="auto"/>
        <w:left w:val="none" w:sz="0" w:space="0" w:color="auto"/>
        <w:bottom w:val="none" w:sz="0" w:space="0" w:color="auto"/>
        <w:right w:val="none" w:sz="0" w:space="0" w:color="auto"/>
      </w:divBdr>
    </w:div>
    <w:div w:id="1120225615">
      <w:bodyDiv w:val="1"/>
      <w:marLeft w:val="0"/>
      <w:marRight w:val="0"/>
      <w:marTop w:val="0"/>
      <w:marBottom w:val="0"/>
      <w:divBdr>
        <w:top w:val="none" w:sz="0" w:space="0" w:color="auto"/>
        <w:left w:val="none" w:sz="0" w:space="0" w:color="auto"/>
        <w:bottom w:val="none" w:sz="0" w:space="0" w:color="auto"/>
        <w:right w:val="none" w:sz="0" w:space="0" w:color="auto"/>
      </w:divBdr>
    </w:div>
    <w:div w:id="1121337270">
      <w:bodyDiv w:val="1"/>
      <w:marLeft w:val="0"/>
      <w:marRight w:val="0"/>
      <w:marTop w:val="0"/>
      <w:marBottom w:val="0"/>
      <w:divBdr>
        <w:top w:val="none" w:sz="0" w:space="0" w:color="auto"/>
        <w:left w:val="none" w:sz="0" w:space="0" w:color="auto"/>
        <w:bottom w:val="none" w:sz="0" w:space="0" w:color="auto"/>
        <w:right w:val="none" w:sz="0" w:space="0" w:color="auto"/>
      </w:divBdr>
    </w:div>
    <w:div w:id="1127577734">
      <w:bodyDiv w:val="1"/>
      <w:marLeft w:val="0"/>
      <w:marRight w:val="0"/>
      <w:marTop w:val="0"/>
      <w:marBottom w:val="0"/>
      <w:divBdr>
        <w:top w:val="none" w:sz="0" w:space="0" w:color="auto"/>
        <w:left w:val="none" w:sz="0" w:space="0" w:color="auto"/>
        <w:bottom w:val="none" w:sz="0" w:space="0" w:color="auto"/>
        <w:right w:val="none" w:sz="0" w:space="0" w:color="auto"/>
      </w:divBdr>
    </w:div>
    <w:div w:id="1127627280">
      <w:bodyDiv w:val="1"/>
      <w:marLeft w:val="0"/>
      <w:marRight w:val="0"/>
      <w:marTop w:val="0"/>
      <w:marBottom w:val="0"/>
      <w:divBdr>
        <w:top w:val="none" w:sz="0" w:space="0" w:color="auto"/>
        <w:left w:val="none" w:sz="0" w:space="0" w:color="auto"/>
        <w:bottom w:val="none" w:sz="0" w:space="0" w:color="auto"/>
        <w:right w:val="none" w:sz="0" w:space="0" w:color="auto"/>
      </w:divBdr>
    </w:div>
    <w:div w:id="1136332810">
      <w:bodyDiv w:val="1"/>
      <w:marLeft w:val="0"/>
      <w:marRight w:val="0"/>
      <w:marTop w:val="0"/>
      <w:marBottom w:val="0"/>
      <w:divBdr>
        <w:top w:val="none" w:sz="0" w:space="0" w:color="auto"/>
        <w:left w:val="none" w:sz="0" w:space="0" w:color="auto"/>
        <w:bottom w:val="none" w:sz="0" w:space="0" w:color="auto"/>
        <w:right w:val="none" w:sz="0" w:space="0" w:color="auto"/>
      </w:divBdr>
    </w:div>
    <w:div w:id="1136411642">
      <w:bodyDiv w:val="1"/>
      <w:marLeft w:val="0"/>
      <w:marRight w:val="0"/>
      <w:marTop w:val="0"/>
      <w:marBottom w:val="0"/>
      <w:divBdr>
        <w:top w:val="none" w:sz="0" w:space="0" w:color="auto"/>
        <w:left w:val="none" w:sz="0" w:space="0" w:color="auto"/>
        <w:bottom w:val="none" w:sz="0" w:space="0" w:color="auto"/>
        <w:right w:val="none" w:sz="0" w:space="0" w:color="auto"/>
      </w:divBdr>
    </w:div>
    <w:div w:id="1138298809">
      <w:bodyDiv w:val="1"/>
      <w:marLeft w:val="0"/>
      <w:marRight w:val="0"/>
      <w:marTop w:val="0"/>
      <w:marBottom w:val="0"/>
      <w:divBdr>
        <w:top w:val="none" w:sz="0" w:space="0" w:color="auto"/>
        <w:left w:val="none" w:sz="0" w:space="0" w:color="auto"/>
        <w:bottom w:val="none" w:sz="0" w:space="0" w:color="auto"/>
        <w:right w:val="none" w:sz="0" w:space="0" w:color="auto"/>
      </w:divBdr>
    </w:div>
    <w:div w:id="1142695378">
      <w:bodyDiv w:val="1"/>
      <w:marLeft w:val="0"/>
      <w:marRight w:val="0"/>
      <w:marTop w:val="0"/>
      <w:marBottom w:val="0"/>
      <w:divBdr>
        <w:top w:val="none" w:sz="0" w:space="0" w:color="auto"/>
        <w:left w:val="none" w:sz="0" w:space="0" w:color="auto"/>
        <w:bottom w:val="none" w:sz="0" w:space="0" w:color="auto"/>
        <w:right w:val="none" w:sz="0" w:space="0" w:color="auto"/>
      </w:divBdr>
    </w:div>
    <w:div w:id="1145776475">
      <w:bodyDiv w:val="1"/>
      <w:marLeft w:val="0"/>
      <w:marRight w:val="0"/>
      <w:marTop w:val="0"/>
      <w:marBottom w:val="0"/>
      <w:divBdr>
        <w:top w:val="none" w:sz="0" w:space="0" w:color="auto"/>
        <w:left w:val="none" w:sz="0" w:space="0" w:color="auto"/>
        <w:bottom w:val="none" w:sz="0" w:space="0" w:color="auto"/>
        <w:right w:val="none" w:sz="0" w:space="0" w:color="auto"/>
      </w:divBdr>
    </w:div>
    <w:div w:id="1155991991">
      <w:bodyDiv w:val="1"/>
      <w:marLeft w:val="0"/>
      <w:marRight w:val="0"/>
      <w:marTop w:val="0"/>
      <w:marBottom w:val="0"/>
      <w:divBdr>
        <w:top w:val="none" w:sz="0" w:space="0" w:color="auto"/>
        <w:left w:val="none" w:sz="0" w:space="0" w:color="auto"/>
        <w:bottom w:val="none" w:sz="0" w:space="0" w:color="auto"/>
        <w:right w:val="none" w:sz="0" w:space="0" w:color="auto"/>
      </w:divBdr>
    </w:div>
    <w:div w:id="1158379375">
      <w:bodyDiv w:val="1"/>
      <w:marLeft w:val="0"/>
      <w:marRight w:val="0"/>
      <w:marTop w:val="0"/>
      <w:marBottom w:val="0"/>
      <w:divBdr>
        <w:top w:val="none" w:sz="0" w:space="0" w:color="auto"/>
        <w:left w:val="none" w:sz="0" w:space="0" w:color="auto"/>
        <w:bottom w:val="none" w:sz="0" w:space="0" w:color="auto"/>
        <w:right w:val="none" w:sz="0" w:space="0" w:color="auto"/>
      </w:divBdr>
    </w:div>
    <w:div w:id="1158576835">
      <w:bodyDiv w:val="1"/>
      <w:marLeft w:val="0"/>
      <w:marRight w:val="0"/>
      <w:marTop w:val="0"/>
      <w:marBottom w:val="0"/>
      <w:divBdr>
        <w:top w:val="none" w:sz="0" w:space="0" w:color="auto"/>
        <w:left w:val="none" w:sz="0" w:space="0" w:color="auto"/>
        <w:bottom w:val="none" w:sz="0" w:space="0" w:color="auto"/>
        <w:right w:val="none" w:sz="0" w:space="0" w:color="auto"/>
      </w:divBdr>
    </w:div>
    <w:div w:id="1159351319">
      <w:bodyDiv w:val="1"/>
      <w:marLeft w:val="0"/>
      <w:marRight w:val="0"/>
      <w:marTop w:val="0"/>
      <w:marBottom w:val="0"/>
      <w:divBdr>
        <w:top w:val="none" w:sz="0" w:space="0" w:color="auto"/>
        <w:left w:val="none" w:sz="0" w:space="0" w:color="auto"/>
        <w:bottom w:val="none" w:sz="0" w:space="0" w:color="auto"/>
        <w:right w:val="none" w:sz="0" w:space="0" w:color="auto"/>
      </w:divBdr>
    </w:div>
    <w:div w:id="1160191146">
      <w:bodyDiv w:val="1"/>
      <w:marLeft w:val="0"/>
      <w:marRight w:val="0"/>
      <w:marTop w:val="0"/>
      <w:marBottom w:val="0"/>
      <w:divBdr>
        <w:top w:val="none" w:sz="0" w:space="0" w:color="auto"/>
        <w:left w:val="none" w:sz="0" w:space="0" w:color="auto"/>
        <w:bottom w:val="none" w:sz="0" w:space="0" w:color="auto"/>
        <w:right w:val="none" w:sz="0" w:space="0" w:color="auto"/>
      </w:divBdr>
    </w:div>
    <w:div w:id="1160540791">
      <w:bodyDiv w:val="1"/>
      <w:marLeft w:val="0"/>
      <w:marRight w:val="0"/>
      <w:marTop w:val="0"/>
      <w:marBottom w:val="0"/>
      <w:divBdr>
        <w:top w:val="none" w:sz="0" w:space="0" w:color="auto"/>
        <w:left w:val="none" w:sz="0" w:space="0" w:color="auto"/>
        <w:bottom w:val="none" w:sz="0" w:space="0" w:color="auto"/>
        <w:right w:val="none" w:sz="0" w:space="0" w:color="auto"/>
      </w:divBdr>
    </w:div>
    <w:div w:id="1173379947">
      <w:bodyDiv w:val="1"/>
      <w:marLeft w:val="0"/>
      <w:marRight w:val="0"/>
      <w:marTop w:val="0"/>
      <w:marBottom w:val="0"/>
      <w:divBdr>
        <w:top w:val="none" w:sz="0" w:space="0" w:color="auto"/>
        <w:left w:val="none" w:sz="0" w:space="0" w:color="auto"/>
        <w:bottom w:val="none" w:sz="0" w:space="0" w:color="auto"/>
        <w:right w:val="none" w:sz="0" w:space="0" w:color="auto"/>
      </w:divBdr>
    </w:div>
    <w:div w:id="1176461619">
      <w:bodyDiv w:val="1"/>
      <w:marLeft w:val="0"/>
      <w:marRight w:val="0"/>
      <w:marTop w:val="0"/>
      <w:marBottom w:val="0"/>
      <w:divBdr>
        <w:top w:val="none" w:sz="0" w:space="0" w:color="auto"/>
        <w:left w:val="none" w:sz="0" w:space="0" w:color="auto"/>
        <w:bottom w:val="none" w:sz="0" w:space="0" w:color="auto"/>
        <w:right w:val="none" w:sz="0" w:space="0" w:color="auto"/>
      </w:divBdr>
    </w:div>
    <w:div w:id="1178933737">
      <w:bodyDiv w:val="1"/>
      <w:marLeft w:val="0"/>
      <w:marRight w:val="0"/>
      <w:marTop w:val="0"/>
      <w:marBottom w:val="0"/>
      <w:divBdr>
        <w:top w:val="none" w:sz="0" w:space="0" w:color="auto"/>
        <w:left w:val="none" w:sz="0" w:space="0" w:color="auto"/>
        <w:bottom w:val="none" w:sz="0" w:space="0" w:color="auto"/>
        <w:right w:val="none" w:sz="0" w:space="0" w:color="auto"/>
      </w:divBdr>
    </w:div>
    <w:div w:id="1180893531">
      <w:bodyDiv w:val="1"/>
      <w:marLeft w:val="0"/>
      <w:marRight w:val="0"/>
      <w:marTop w:val="0"/>
      <w:marBottom w:val="0"/>
      <w:divBdr>
        <w:top w:val="none" w:sz="0" w:space="0" w:color="auto"/>
        <w:left w:val="none" w:sz="0" w:space="0" w:color="auto"/>
        <w:bottom w:val="none" w:sz="0" w:space="0" w:color="auto"/>
        <w:right w:val="none" w:sz="0" w:space="0" w:color="auto"/>
      </w:divBdr>
    </w:div>
    <w:div w:id="1181508120">
      <w:bodyDiv w:val="1"/>
      <w:marLeft w:val="0"/>
      <w:marRight w:val="0"/>
      <w:marTop w:val="0"/>
      <w:marBottom w:val="0"/>
      <w:divBdr>
        <w:top w:val="none" w:sz="0" w:space="0" w:color="auto"/>
        <w:left w:val="none" w:sz="0" w:space="0" w:color="auto"/>
        <w:bottom w:val="none" w:sz="0" w:space="0" w:color="auto"/>
        <w:right w:val="none" w:sz="0" w:space="0" w:color="auto"/>
      </w:divBdr>
    </w:div>
    <w:div w:id="1184590617">
      <w:bodyDiv w:val="1"/>
      <w:marLeft w:val="0"/>
      <w:marRight w:val="0"/>
      <w:marTop w:val="0"/>
      <w:marBottom w:val="0"/>
      <w:divBdr>
        <w:top w:val="none" w:sz="0" w:space="0" w:color="auto"/>
        <w:left w:val="none" w:sz="0" w:space="0" w:color="auto"/>
        <w:bottom w:val="none" w:sz="0" w:space="0" w:color="auto"/>
        <w:right w:val="none" w:sz="0" w:space="0" w:color="auto"/>
      </w:divBdr>
    </w:div>
    <w:div w:id="1186484940">
      <w:bodyDiv w:val="1"/>
      <w:marLeft w:val="0"/>
      <w:marRight w:val="0"/>
      <w:marTop w:val="0"/>
      <w:marBottom w:val="0"/>
      <w:divBdr>
        <w:top w:val="none" w:sz="0" w:space="0" w:color="auto"/>
        <w:left w:val="none" w:sz="0" w:space="0" w:color="auto"/>
        <w:bottom w:val="none" w:sz="0" w:space="0" w:color="auto"/>
        <w:right w:val="none" w:sz="0" w:space="0" w:color="auto"/>
      </w:divBdr>
    </w:div>
    <w:div w:id="1188758791">
      <w:bodyDiv w:val="1"/>
      <w:marLeft w:val="0"/>
      <w:marRight w:val="0"/>
      <w:marTop w:val="0"/>
      <w:marBottom w:val="0"/>
      <w:divBdr>
        <w:top w:val="none" w:sz="0" w:space="0" w:color="auto"/>
        <w:left w:val="none" w:sz="0" w:space="0" w:color="auto"/>
        <w:bottom w:val="none" w:sz="0" w:space="0" w:color="auto"/>
        <w:right w:val="none" w:sz="0" w:space="0" w:color="auto"/>
      </w:divBdr>
    </w:div>
    <w:div w:id="1192956411">
      <w:bodyDiv w:val="1"/>
      <w:marLeft w:val="0"/>
      <w:marRight w:val="0"/>
      <w:marTop w:val="0"/>
      <w:marBottom w:val="0"/>
      <w:divBdr>
        <w:top w:val="none" w:sz="0" w:space="0" w:color="auto"/>
        <w:left w:val="none" w:sz="0" w:space="0" w:color="auto"/>
        <w:bottom w:val="none" w:sz="0" w:space="0" w:color="auto"/>
        <w:right w:val="none" w:sz="0" w:space="0" w:color="auto"/>
      </w:divBdr>
    </w:div>
    <w:div w:id="1202014583">
      <w:bodyDiv w:val="1"/>
      <w:marLeft w:val="0"/>
      <w:marRight w:val="0"/>
      <w:marTop w:val="0"/>
      <w:marBottom w:val="0"/>
      <w:divBdr>
        <w:top w:val="none" w:sz="0" w:space="0" w:color="auto"/>
        <w:left w:val="none" w:sz="0" w:space="0" w:color="auto"/>
        <w:bottom w:val="none" w:sz="0" w:space="0" w:color="auto"/>
        <w:right w:val="none" w:sz="0" w:space="0" w:color="auto"/>
      </w:divBdr>
    </w:div>
    <w:div w:id="1209729887">
      <w:bodyDiv w:val="1"/>
      <w:marLeft w:val="0"/>
      <w:marRight w:val="0"/>
      <w:marTop w:val="0"/>
      <w:marBottom w:val="0"/>
      <w:divBdr>
        <w:top w:val="none" w:sz="0" w:space="0" w:color="auto"/>
        <w:left w:val="none" w:sz="0" w:space="0" w:color="auto"/>
        <w:bottom w:val="none" w:sz="0" w:space="0" w:color="auto"/>
        <w:right w:val="none" w:sz="0" w:space="0" w:color="auto"/>
      </w:divBdr>
    </w:div>
    <w:div w:id="1213618579">
      <w:bodyDiv w:val="1"/>
      <w:marLeft w:val="0"/>
      <w:marRight w:val="0"/>
      <w:marTop w:val="0"/>
      <w:marBottom w:val="0"/>
      <w:divBdr>
        <w:top w:val="none" w:sz="0" w:space="0" w:color="auto"/>
        <w:left w:val="none" w:sz="0" w:space="0" w:color="auto"/>
        <w:bottom w:val="none" w:sz="0" w:space="0" w:color="auto"/>
        <w:right w:val="none" w:sz="0" w:space="0" w:color="auto"/>
      </w:divBdr>
    </w:div>
    <w:div w:id="1214000535">
      <w:bodyDiv w:val="1"/>
      <w:marLeft w:val="0"/>
      <w:marRight w:val="0"/>
      <w:marTop w:val="0"/>
      <w:marBottom w:val="0"/>
      <w:divBdr>
        <w:top w:val="none" w:sz="0" w:space="0" w:color="auto"/>
        <w:left w:val="none" w:sz="0" w:space="0" w:color="auto"/>
        <w:bottom w:val="none" w:sz="0" w:space="0" w:color="auto"/>
        <w:right w:val="none" w:sz="0" w:space="0" w:color="auto"/>
      </w:divBdr>
    </w:div>
    <w:div w:id="1215462288">
      <w:bodyDiv w:val="1"/>
      <w:marLeft w:val="0"/>
      <w:marRight w:val="0"/>
      <w:marTop w:val="0"/>
      <w:marBottom w:val="0"/>
      <w:divBdr>
        <w:top w:val="none" w:sz="0" w:space="0" w:color="auto"/>
        <w:left w:val="none" w:sz="0" w:space="0" w:color="auto"/>
        <w:bottom w:val="none" w:sz="0" w:space="0" w:color="auto"/>
        <w:right w:val="none" w:sz="0" w:space="0" w:color="auto"/>
      </w:divBdr>
    </w:div>
    <w:div w:id="1215696742">
      <w:bodyDiv w:val="1"/>
      <w:marLeft w:val="0"/>
      <w:marRight w:val="0"/>
      <w:marTop w:val="0"/>
      <w:marBottom w:val="0"/>
      <w:divBdr>
        <w:top w:val="none" w:sz="0" w:space="0" w:color="auto"/>
        <w:left w:val="none" w:sz="0" w:space="0" w:color="auto"/>
        <w:bottom w:val="none" w:sz="0" w:space="0" w:color="auto"/>
        <w:right w:val="none" w:sz="0" w:space="0" w:color="auto"/>
      </w:divBdr>
    </w:div>
    <w:div w:id="1226144079">
      <w:bodyDiv w:val="1"/>
      <w:marLeft w:val="0"/>
      <w:marRight w:val="0"/>
      <w:marTop w:val="0"/>
      <w:marBottom w:val="0"/>
      <w:divBdr>
        <w:top w:val="none" w:sz="0" w:space="0" w:color="auto"/>
        <w:left w:val="none" w:sz="0" w:space="0" w:color="auto"/>
        <w:bottom w:val="none" w:sz="0" w:space="0" w:color="auto"/>
        <w:right w:val="none" w:sz="0" w:space="0" w:color="auto"/>
      </w:divBdr>
    </w:div>
    <w:div w:id="1232695322">
      <w:bodyDiv w:val="1"/>
      <w:marLeft w:val="0"/>
      <w:marRight w:val="0"/>
      <w:marTop w:val="0"/>
      <w:marBottom w:val="0"/>
      <w:divBdr>
        <w:top w:val="none" w:sz="0" w:space="0" w:color="auto"/>
        <w:left w:val="none" w:sz="0" w:space="0" w:color="auto"/>
        <w:bottom w:val="none" w:sz="0" w:space="0" w:color="auto"/>
        <w:right w:val="none" w:sz="0" w:space="0" w:color="auto"/>
      </w:divBdr>
    </w:div>
    <w:div w:id="1247377836">
      <w:bodyDiv w:val="1"/>
      <w:marLeft w:val="0"/>
      <w:marRight w:val="0"/>
      <w:marTop w:val="0"/>
      <w:marBottom w:val="0"/>
      <w:divBdr>
        <w:top w:val="none" w:sz="0" w:space="0" w:color="auto"/>
        <w:left w:val="none" w:sz="0" w:space="0" w:color="auto"/>
        <w:bottom w:val="none" w:sz="0" w:space="0" w:color="auto"/>
        <w:right w:val="none" w:sz="0" w:space="0" w:color="auto"/>
      </w:divBdr>
    </w:div>
    <w:div w:id="1249775584">
      <w:bodyDiv w:val="1"/>
      <w:marLeft w:val="0"/>
      <w:marRight w:val="0"/>
      <w:marTop w:val="0"/>
      <w:marBottom w:val="0"/>
      <w:divBdr>
        <w:top w:val="none" w:sz="0" w:space="0" w:color="auto"/>
        <w:left w:val="none" w:sz="0" w:space="0" w:color="auto"/>
        <w:bottom w:val="none" w:sz="0" w:space="0" w:color="auto"/>
        <w:right w:val="none" w:sz="0" w:space="0" w:color="auto"/>
      </w:divBdr>
    </w:div>
    <w:div w:id="1255548290">
      <w:bodyDiv w:val="1"/>
      <w:marLeft w:val="0"/>
      <w:marRight w:val="0"/>
      <w:marTop w:val="0"/>
      <w:marBottom w:val="0"/>
      <w:divBdr>
        <w:top w:val="none" w:sz="0" w:space="0" w:color="auto"/>
        <w:left w:val="none" w:sz="0" w:space="0" w:color="auto"/>
        <w:bottom w:val="none" w:sz="0" w:space="0" w:color="auto"/>
        <w:right w:val="none" w:sz="0" w:space="0" w:color="auto"/>
      </w:divBdr>
    </w:div>
    <w:div w:id="1262451631">
      <w:bodyDiv w:val="1"/>
      <w:marLeft w:val="0"/>
      <w:marRight w:val="0"/>
      <w:marTop w:val="0"/>
      <w:marBottom w:val="0"/>
      <w:divBdr>
        <w:top w:val="none" w:sz="0" w:space="0" w:color="auto"/>
        <w:left w:val="none" w:sz="0" w:space="0" w:color="auto"/>
        <w:bottom w:val="none" w:sz="0" w:space="0" w:color="auto"/>
        <w:right w:val="none" w:sz="0" w:space="0" w:color="auto"/>
      </w:divBdr>
    </w:div>
    <w:div w:id="1263296615">
      <w:bodyDiv w:val="1"/>
      <w:marLeft w:val="0"/>
      <w:marRight w:val="0"/>
      <w:marTop w:val="0"/>
      <w:marBottom w:val="0"/>
      <w:divBdr>
        <w:top w:val="none" w:sz="0" w:space="0" w:color="auto"/>
        <w:left w:val="none" w:sz="0" w:space="0" w:color="auto"/>
        <w:bottom w:val="none" w:sz="0" w:space="0" w:color="auto"/>
        <w:right w:val="none" w:sz="0" w:space="0" w:color="auto"/>
      </w:divBdr>
    </w:div>
    <w:div w:id="1266042124">
      <w:bodyDiv w:val="1"/>
      <w:marLeft w:val="0"/>
      <w:marRight w:val="0"/>
      <w:marTop w:val="0"/>
      <w:marBottom w:val="0"/>
      <w:divBdr>
        <w:top w:val="none" w:sz="0" w:space="0" w:color="auto"/>
        <w:left w:val="none" w:sz="0" w:space="0" w:color="auto"/>
        <w:bottom w:val="none" w:sz="0" w:space="0" w:color="auto"/>
        <w:right w:val="none" w:sz="0" w:space="0" w:color="auto"/>
      </w:divBdr>
    </w:div>
    <w:div w:id="1266426180">
      <w:bodyDiv w:val="1"/>
      <w:marLeft w:val="0"/>
      <w:marRight w:val="0"/>
      <w:marTop w:val="0"/>
      <w:marBottom w:val="0"/>
      <w:divBdr>
        <w:top w:val="none" w:sz="0" w:space="0" w:color="auto"/>
        <w:left w:val="none" w:sz="0" w:space="0" w:color="auto"/>
        <w:bottom w:val="none" w:sz="0" w:space="0" w:color="auto"/>
        <w:right w:val="none" w:sz="0" w:space="0" w:color="auto"/>
      </w:divBdr>
    </w:div>
    <w:div w:id="1273511757">
      <w:bodyDiv w:val="1"/>
      <w:marLeft w:val="0"/>
      <w:marRight w:val="0"/>
      <w:marTop w:val="0"/>
      <w:marBottom w:val="0"/>
      <w:divBdr>
        <w:top w:val="none" w:sz="0" w:space="0" w:color="auto"/>
        <w:left w:val="none" w:sz="0" w:space="0" w:color="auto"/>
        <w:bottom w:val="none" w:sz="0" w:space="0" w:color="auto"/>
        <w:right w:val="none" w:sz="0" w:space="0" w:color="auto"/>
      </w:divBdr>
    </w:div>
    <w:div w:id="1274290090">
      <w:bodyDiv w:val="1"/>
      <w:marLeft w:val="0"/>
      <w:marRight w:val="0"/>
      <w:marTop w:val="0"/>
      <w:marBottom w:val="0"/>
      <w:divBdr>
        <w:top w:val="none" w:sz="0" w:space="0" w:color="auto"/>
        <w:left w:val="none" w:sz="0" w:space="0" w:color="auto"/>
        <w:bottom w:val="none" w:sz="0" w:space="0" w:color="auto"/>
        <w:right w:val="none" w:sz="0" w:space="0" w:color="auto"/>
      </w:divBdr>
    </w:div>
    <w:div w:id="1274482389">
      <w:bodyDiv w:val="1"/>
      <w:marLeft w:val="0"/>
      <w:marRight w:val="0"/>
      <w:marTop w:val="0"/>
      <w:marBottom w:val="0"/>
      <w:divBdr>
        <w:top w:val="none" w:sz="0" w:space="0" w:color="auto"/>
        <w:left w:val="none" w:sz="0" w:space="0" w:color="auto"/>
        <w:bottom w:val="none" w:sz="0" w:space="0" w:color="auto"/>
        <w:right w:val="none" w:sz="0" w:space="0" w:color="auto"/>
      </w:divBdr>
    </w:div>
    <w:div w:id="1274819757">
      <w:bodyDiv w:val="1"/>
      <w:marLeft w:val="0"/>
      <w:marRight w:val="0"/>
      <w:marTop w:val="0"/>
      <w:marBottom w:val="0"/>
      <w:divBdr>
        <w:top w:val="none" w:sz="0" w:space="0" w:color="auto"/>
        <w:left w:val="none" w:sz="0" w:space="0" w:color="auto"/>
        <w:bottom w:val="none" w:sz="0" w:space="0" w:color="auto"/>
        <w:right w:val="none" w:sz="0" w:space="0" w:color="auto"/>
      </w:divBdr>
    </w:div>
    <w:div w:id="1286501822">
      <w:bodyDiv w:val="1"/>
      <w:marLeft w:val="0"/>
      <w:marRight w:val="0"/>
      <w:marTop w:val="0"/>
      <w:marBottom w:val="0"/>
      <w:divBdr>
        <w:top w:val="none" w:sz="0" w:space="0" w:color="auto"/>
        <w:left w:val="none" w:sz="0" w:space="0" w:color="auto"/>
        <w:bottom w:val="none" w:sz="0" w:space="0" w:color="auto"/>
        <w:right w:val="none" w:sz="0" w:space="0" w:color="auto"/>
      </w:divBdr>
    </w:div>
    <w:div w:id="1286503359">
      <w:bodyDiv w:val="1"/>
      <w:marLeft w:val="0"/>
      <w:marRight w:val="0"/>
      <w:marTop w:val="0"/>
      <w:marBottom w:val="0"/>
      <w:divBdr>
        <w:top w:val="none" w:sz="0" w:space="0" w:color="auto"/>
        <w:left w:val="none" w:sz="0" w:space="0" w:color="auto"/>
        <w:bottom w:val="none" w:sz="0" w:space="0" w:color="auto"/>
        <w:right w:val="none" w:sz="0" w:space="0" w:color="auto"/>
      </w:divBdr>
    </w:div>
    <w:div w:id="1286542858">
      <w:bodyDiv w:val="1"/>
      <w:marLeft w:val="0"/>
      <w:marRight w:val="0"/>
      <w:marTop w:val="0"/>
      <w:marBottom w:val="0"/>
      <w:divBdr>
        <w:top w:val="none" w:sz="0" w:space="0" w:color="auto"/>
        <w:left w:val="none" w:sz="0" w:space="0" w:color="auto"/>
        <w:bottom w:val="none" w:sz="0" w:space="0" w:color="auto"/>
        <w:right w:val="none" w:sz="0" w:space="0" w:color="auto"/>
      </w:divBdr>
    </w:div>
    <w:div w:id="1288511362">
      <w:bodyDiv w:val="1"/>
      <w:marLeft w:val="0"/>
      <w:marRight w:val="0"/>
      <w:marTop w:val="0"/>
      <w:marBottom w:val="0"/>
      <w:divBdr>
        <w:top w:val="none" w:sz="0" w:space="0" w:color="auto"/>
        <w:left w:val="none" w:sz="0" w:space="0" w:color="auto"/>
        <w:bottom w:val="none" w:sz="0" w:space="0" w:color="auto"/>
        <w:right w:val="none" w:sz="0" w:space="0" w:color="auto"/>
      </w:divBdr>
    </w:div>
    <w:div w:id="1288899560">
      <w:bodyDiv w:val="1"/>
      <w:marLeft w:val="0"/>
      <w:marRight w:val="0"/>
      <w:marTop w:val="0"/>
      <w:marBottom w:val="0"/>
      <w:divBdr>
        <w:top w:val="none" w:sz="0" w:space="0" w:color="auto"/>
        <w:left w:val="none" w:sz="0" w:space="0" w:color="auto"/>
        <w:bottom w:val="none" w:sz="0" w:space="0" w:color="auto"/>
        <w:right w:val="none" w:sz="0" w:space="0" w:color="auto"/>
      </w:divBdr>
    </w:div>
    <w:div w:id="1289513755">
      <w:bodyDiv w:val="1"/>
      <w:marLeft w:val="0"/>
      <w:marRight w:val="0"/>
      <w:marTop w:val="0"/>
      <w:marBottom w:val="0"/>
      <w:divBdr>
        <w:top w:val="none" w:sz="0" w:space="0" w:color="auto"/>
        <w:left w:val="none" w:sz="0" w:space="0" w:color="auto"/>
        <w:bottom w:val="none" w:sz="0" w:space="0" w:color="auto"/>
        <w:right w:val="none" w:sz="0" w:space="0" w:color="auto"/>
      </w:divBdr>
    </w:div>
    <w:div w:id="1291135522">
      <w:bodyDiv w:val="1"/>
      <w:marLeft w:val="0"/>
      <w:marRight w:val="0"/>
      <w:marTop w:val="0"/>
      <w:marBottom w:val="0"/>
      <w:divBdr>
        <w:top w:val="none" w:sz="0" w:space="0" w:color="auto"/>
        <w:left w:val="none" w:sz="0" w:space="0" w:color="auto"/>
        <w:bottom w:val="none" w:sz="0" w:space="0" w:color="auto"/>
        <w:right w:val="none" w:sz="0" w:space="0" w:color="auto"/>
      </w:divBdr>
    </w:div>
    <w:div w:id="1291324815">
      <w:bodyDiv w:val="1"/>
      <w:marLeft w:val="0"/>
      <w:marRight w:val="0"/>
      <w:marTop w:val="0"/>
      <w:marBottom w:val="0"/>
      <w:divBdr>
        <w:top w:val="none" w:sz="0" w:space="0" w:color="auto"/>
        <w:left w:val="none" w:sz="0" w:space="0" w:color="auto"/>
        <w:bottom w:val="none" w:sz="0" w:space="0" w:color="auto"/>
        <w:right w:val="none" w:sz="0" w:space="0" w:color="auto"/>
      </w:divBdr>
    </w:div>
    <w:div w:id="1292401162">
      <w:bodyDiv w:val="1"/>
      <w:marLeft w:val="0"/>
      <w:marRight w:val="0"/>
      <w:marTop w:val="0"/>
      <w:marBottom w:val="0"/>
      <w:divBdr>
        <w:top w:val="none" w:sz="0" w:space="0" w:color="auto"/>
        <w:left w:val="none" w:sz="0" w:space="0" w:color="auto"/>
        <w:bottom w:val="none" w:sz="0" w:space="0" w:color="auto"/>
        <w:right w:val="none" w:sz="0" w:space="0" w:color="auto"/>
      </w:divBdr>
    </w:div>
    <w:div w:id="1298023636">
      <w:bodyDiv w:val="1"/>
      <w:marLeft w:val="0"/>
      <w:marRight w:val="0"/>
      <w:marTop w:val="0"/>
      <w:marBottom w:val="0"/>
      <w:divBdr>
        <w:top w:val="none" w:sz="0" w:space="0" w:color="auto"/>
        <w:left w:val="none" w:sz="0" w:space="0" w:color="auto"/>
        <w:bottom w:val="none" w:sz="0" w:space="0" w:color="auto"/>
        <w:right w:val="none" w:sz="0" w:space="0" w:color="auto"/>
      </w:divBdr>
    </w:div>
    <w:div w:id="1300575340">
      <w:bodyDiv w:val="1"/>
      <w:marLeft w:val="0"/>
      <w:marRight w:val="0"/>
      <w:marTop w:val="0"/>
      <w:marBottom w:val="0"/>
      <w:divBdr>
        <w:top w:val="none" w:sz="0" w:space="0" w:color="auto"/>
        <w:left w:val="none" w:sz="0" w:space="0" w:color="auto"/>
        <w:bottom w:val="none" w:sz="0" w:space="0" w:color="auto"/>
        <w:right w:val="none" w:sz="0" w:space="0" w:color="auto"/>
      </w:divBdr>
    </w:div>
    <w:div w:id="1300841379">
      <w:bodyDiv w:val="1"/>
      <w:marLeft w:val="0"/>
      <w:marRight w:val="0"/>
      <w:marTop w:val="0"/>
      <w:marBottom w:val="0"/>
      <w:divBdr>
        <w:top w:val="none" w:sz="0" w:space="0" w:color="auto"/>
        <w:left w:val="none" w:sz="0" w:space="0" w:color="auto"/>
        <w:bottom w:val="none" w:sz="0" w:space="0" w:color="auto"/>
        <w:right w:val="none" w:sz="0" w:space="0" w:color="auto"/>
      </w:divBdr>
    </w:div>
    <w:div w:id="1308314226">
      <w:bodyDiv w:val="1"/>
      <w:marLeft w:val="0"/>
      <w:marRight w:val="0"/>
      <w:marTop w:val="0"/>
      <w:marBottom w:val="0"/>
      <w:divBdr>
        <w:top w:val="none" w:sz="0" w:space="0" w:color="auto"/>
        <w:left w:val="none" w:sz="0" w:space="0" w:color="auto"/>
        <w:bottom w:val="none" w:sz="0" w:space="0" w:color="auto"/>
        <w:right w:val="none" w:sz="0" w:space="0" w:color="auto"/>
      </w:divBdr>
    </w:div>
    <w:div w:id="1310593257">
      <w:bodyDiv w:val="1"/>
      <w:marLeft w:val="0"/>
      <w:marRight w:val="0"/>
      <w:marTop w:val="0"/>
      <w:marBottom w:val="0"/>
      <w:divBdr>
        <w:top w:val="none" w:sz="0" w:space="0" w:color="auto"/>
        <w:left w:val="none" w:sz="0" w:space="0" w:color="auto"/>
        <w:bottom w:val="none" w:sz="0" w:space="0" w:color="auto"/>
        <w:right w:val="none" w:sz="0" w:space="0" w:color="auto"/>
      </w:divBdr>
    </w:div>
    <w:div w:id="1313172152">
      <w:bodyDiv w:val="1"/>
      <w:marLeft w:val="0"/>
      <w:marRight w:val="0"/>
      <w:marTop w:val="0"/>
      <w:marBottom w:val="0"/>
      <w:divBdr>
        <w:top w:val="none" w:sz="0" w:space="0" w:color="auto"/>
        <w:left w:val="none" w:sz="0" w:space="0" w:color="auto"/>
        <w:bottom w:val="none" w:sz="0" w:space="0" w:color="auto"/>
        <w:right w:val="none" w:sz="0" w:space="0" w:color="auto"/>
      </w:divBdr>
    </w:div>
    <w:div w:id="1313366569">
      <w:bodyDiv w:val="1"/>
      <w:marLeft w:val="0"/>
      <w:marRight w:val="0"/>
      <w:marTop w:val="0"/>
      <w:marBottom w:val="0"/>
      <w:divBdr>
        <w:top w:val="none" w:sz="0" w:space="0" w:color="auto"/>
        <w:left w:val="none" w:sz="0" w:space="0" w:color="auto"/>
        <w:bottom w:val="none" w:sz="0" w:space="0" w:color="auto"/>
        <w:right w:val="none" w:sz="0" w:space="0" w:color="auto"/>
      </w:divBdr>
    </w:div>
    <w:div w:id="1315111979">
      <w:bodyDiv w:val="1"/>
      <w:marLeft w:val="0"/>
      <w:marRight w:val="0"/>
      <w:marTop w:val="0"/>
      <w:marBottom w:val="0"/>
      <w:divBdr>
        <w:top w:val="none" w:sz="0" w:space="0" w:color="auto"/>
        <w:left w:val="none" w:sz="0" w:space="0" w:color="auto"/>
        <w:bottom w:val="none" w:sz="0" w:space="0" w:color="auto"/>
        <w:right w:val="none" w:sz="0" w:space="0" w:color="auto"/>
      </w:divBdr>
    </w:div>
    <w:div w:id="1318732357">
      <w:bodyDiv w:val="1"/>
      <w:marLeft w:val="0"/>
      <w:marRight w:val="0"/>
      <w:marTop w:val="0"/>
      <w:marBottom w:val="0"/>
      <w:divBdr>
        <w:top w:val="none" w:sz="0" w:space="0" w:color="auto"/>
        <w:left w:val="none" w:sz="0" w:space="0" w:color="auto"/>
        <w:bottom w:val="none" w:sz="0" w:space="0" w:color="auto"/>
        <w:right w:val="none" w:sz="0" w:space="0" w:color="auto"/>
      </w:divBdr>
    </w:div>
    <w:div w:id="1324504326">
      <w:bodyDiv w:val="1"/>
      <w:marLeft w:val="0"/>
      <w:marRight w:val="0"/>
      <w:marTop w:val="0"/>
      <w:marBottom w:val="0"/>
      <w:divBdr>
        <w:top w:val="none" w:sz="0" w:space="0" w:color="auto"/>
        <w:left w:val="none" w:sz="0" w:space="0" w:color="auto"/>
        <w:bottom w:val="none" w:sz="0" w:space="0" w:color="auto"/>
        <w:right w:val="none" w:sz="0" w:space="0" w:color="auto"/>
      </w:divBdr>
    </w:div>
    <w:div w:id="1327132235">
      <w:bodyDiv w:val="1"/>
      <w:marLeft w:val="0"/>
      <w:marRight w:val="0"/>
      <w:marTop w:val="0"/>
      <w:marBottom w:val="0"/>
      <w:divBdr>
        <w:top w:val="none" w:sz="0" w:space="0" w:color="auto"/>
        <w:left w:val="none" w:sz="0" w:space="0" w:color="auto"/>
        <w:bottom w:val="none" w:sz="0" w:space="0" w:color="auto"/>
        <w:right w:val="none" w:sz="0" w:space="0" w:color="auto"/>
      </w:divBdr>
    </w:div>
    <w:div w:id="1334336658">
      <w:bodyDiv w:val="1"/>
      <w:marLeft w:val="0"/>
      <w:marRight w:val="0"/>
      <w:marTop w:val="0"/>
      <w:marBottom w:val="0"/>
      <w:divBdr>
        <w:top w:val="none" w:sz="0" w:space="0" w:color="auto"/>
        <w:left w:val="none" w:sz="0" w:space="0" w:color="auto"/>
        <w:bottom w:val="none" w:sz="0" w:space="0" w:color="auto"/>
        <w:right w:val="none" w:sz="0" w:space="0" w:color="auto"/>
      </w:divBdr>
    </w:div>
    <w:div w:id="1341657550">
      <w:bodyDiv w:val="1"/>
      <w:marLeft w:val="0"/>
      <w:marRight w:val="0"/>
      <w:marTop w:val="0"/>
      <w:marBottom w:val="0"/>
      <w:divBdr>
        <w:top w:val="none" w:sz="0" w:space="0" w:color="auto"/>
        <w:left w:val="none" w:sz="0" w:space="0" w:color="auto"/>
        <w:bottom w:val="none" w:sz="0" w:space="0" w:color="auto"/>
        <w:right w:val="none" w:sz="0" w:space="0" w:color="auto"/>
      </w:divBdr>
    </w:div>
    <w:div w:id="1347633747">
      <w:bodyDiv w:val="1"/>
      <w:marLeft w:val="0"/>
      <w:marRight w:val="0"/>
      <w:marTop w:val="0"/>
      <w:marBottom w:val="0"/>
      <w:divBdr>
        <w:top w:val="none" w:sz="0" w:space="0" w:color="auto"/>
        <w:left w:val="none" w:sz="0" w:space="0" w:color="auto"/>
        <w:bottom w:val="none" w:sz="0" w:space="0" w:color="auto"/>
        <w:right w:val="none" w:sz="0" w:space="0" w:color="auto"/>
      </w:divBdr>
    </w:div>
    <w:div w:id="1350836967">
      <w:bodyDiv w:val="1"/>
      <w:marLeft w:val="0"/>
      <w:marRight w:val="0"/>
      <w:marTop w:val="0"/>
      <w:marBottom w:val="0"/>
      <w:divBdr>
        <w:top w:val="none" w:sz="0" w:space="0" w:color="auto"/>
        <w:left w:val="none" w:sz="0" w:space="0" w:color="auto"/>
        <w:bottom w:val="none" w:sz="0" w:space="0" w:color="auto"/>
        <w:right w:val="none" w:sz="0" w:space="0" w:color="auto"/>
      </w:divBdr>
    </w:div>
    <w:div w:id="1352760788">
      <w:bodyDiv w:val="1"/>
      <w:marLeft w:val="0"/>
      <w:marRight w:val="0"/>
      <w:marTop w:val="0"/>
      <w:marBottom w:val="0"/>
      <w:divBdr>
        <w:top w:val="none" w:sz="0" w:space="0" w:color="auto"/>
        <w:left w:val="none" w:sz="0" w:space="0" w:color="auto"/>
        <w:bottom w:val="none" w:sz="0" w:space="0" w:color="auto"/>
        <w:right w:val="none" w:sz="0" w:space="0" w:color="auto"/>
      </w:divBdr>
    </w:div>
    <w:div w:id="1358652080">
      <w:bodyDiv w:val="1"/>
      <w:marLeft w:val="0"/>
      <w:marRight w:val="0"/>
      <w:marTop w:val="0"/>
      <w:marBottom w:val="0"/>
      <w:divBdr>
        <w:top w:val="none" w:sz="0" w:space="0" w:color="auto"/>
        <w:left w:val="none" w:sz="0" w:space="0" w:color="auto"/>
        <w:bottom w:val="none" w:sz="0" w:space="0" w:color="auto"/>
        <w:right w:val="none" w:sz="0" w:space="0" w:color="auto"/>
      </w:divBdr>
    </w:div>
    <w:div w:id="1358695803">
      <w:bodyDiv w:val="1"/>
      <w:marLeft w:val="0"/>
      <w:marRight w:val="0"/>
      <w:marTop w:val="0"/>
      <w:marBottom w:val="0"/>
      <w:divBdr>
        <w:top w:val="none" w:sz="0" w:space="0" w:color="auto"/>
        <w:left w:val="none" w:sz="0" w:space="0" w:color="auto"/>
        <w:bottom w:val="none" w:sz="0" w:space="0" w:color="auto"/>
        <w:right w:val="none" w:sz="0" w:space="0" w:color="auto"/>
      </w:divBdr>
    </w:div>
    <w:div w:id="1358770715">
      <w:bodyDiv w:val="1"/>
      <w:marLeft w:val="0"/>
      <w:marRight w:val="0"/>
      <w:marTop w:val="0"/>
      <w:marBottom w:val="0"/>
      <w:divBdr>
        <w:top w:val="none" w:sz="0" w:space="0" w:color="auto"/>
        <w:left w:val="none" w:sz="0" w:space="0" w:color="auto"/>
        <w:bottom w:val="none" w:sz="0" w:space="0" w:color="auto"/>
        <w:right w:val="none" w:sz="0" w:space="0" w:color="auto"/>
      </w:divBdr>
    </w:div>
    <w:div w:id="1359504687">
      <w:bodyDiv w:val="1"/>
      <w:marLeft w:val="0"/>
      <w:marRight w:val="0"/>
      <w:marTop w:val="0"/>
      <w:marBottom w:val="0"/>
      <w:divBdr>
        <w:top w:val="none" w:sz="0" w:space="0" w:color="auto"/>
        <w:left w:val="none" w:sz="0" w:space="0" w:color="auto"/>
        <w:bottom w:val="none" w:sz="0" w:space="0" w:color="auto"/>
        <w:right w:val="none" w:sz="0" w:space="0" w:color="auto"/>
      </w:divBdr>
    </w:div>
    <w:div w:id="1359548068">
      <w:bodyDiv w:val="1"/>
      <w:marLeft w:val="0"/>
      <w:marRight w:val="0"/>
      <w:marTop w:val="0"/>
      <w:marBottom w:val="0"/>
      <w:divBdr>
        <w:top w:val="none" w:sz="0" w:space="0" w:color="auto"/>
        <w:left w:val="none" w:sz="0" w:space="0" w:color="auto"/>
        <w:bottom w:val="none" w:sz="0" w:space="0" w:color="auto"/>
        <w:right w:val="none" w:sz="0" w:space="0" w:color="auto"/>
      </w:divBdr>
    </w:div>
    <w:div w:id="1361666451">
      <w:bodyDiv w:val="1"/>
      <w:marLeft w:val="0"/>
      <w:marRight w:val="0"/>
      <w:marTop w:val="0"/>
      <w:marBottom w:val="0"/>
      <w:divBdr>
        <w:top w:val="none" w:sz="0" w:space="0" w:color="auto"/>
        <w:left w:val="none" w:sz="0" w:space="0" w:color="auto"/>
        <w:bottom w:val="none" w:sz="0" w:space="0" w:color="auto"/>
        <w:right w:val="none" w:sz="0" w:space="0" w:color="auto"/>
      </w:divBdr>
    </w:div>
    <w:div w:id="1361854698">
      <w:bodyDiv w:val="1"/>
      <w:marLeft w:val="0"/>
      <w:marRight w:val="0"/>
      <w:marTop w:val="0"/>
      <w:marBottom w:val="0"/>
      <w:divBdr>
        <w:top w:val="none" w:sz="0" w:space="0" w:color="auto"/>
        <w:left w:val="none" w:sz="0" w:space="0" w:color="auto"/>
        <w:bottom w:val="none" w:sz="0" w:space="0" w:color="auto"/>
        <w:right w:val="none" w:sz="0" w:space="0" w:color="auto"/>
      </w:divBdr>
    </w:div>
    <w:div w:id="1368138106">
      <w:bodyDiv w:val="1"/>
      <w:marLeft w:val="0"/>
      <w:marRight w:val="0"/>
      <w:marTop w:val="0"/>
      <w:marBottom w:val="0"/>
      <w:divBdr>
        <w:top w:val="none" w:sz="0" w:space="0" w:color="auto"/>
        <w:left w:val="none" w:sz="0" w:space="0" w:color="auto"/>
        <w:bottom w:val="none" w:sz="0" w:space="0" w:color="auto"/>
        <w:right w:val="none" w:sz="0" w:space="0" w:color="auto"/>
      </w:divBdr>
    </w:div>
    <w:div w:id="1371765646">
      <w:bodyDiv w:val="1"/>
      <w:marLeft w:val="0"/>
      <w:marRight w:val="0"/>
      <w:marTop w:val="0"/>
      <w:marBottom w:val="0"/>
      <w:divBdr>
        <w:top w:val="none" w:sz="0" w:space="0" w:color="auto"/>
        <w:left w:val="none" w:sz="0" w:space="0" w:color="auto"/>
        <w:bottom w:val="none" w:sz="0" w:space="0" w:color="auto"/>
        <w:right w:val="none" w:sz="0" w:space="0" w:color="auto"/>
      </w:divBdr>
    </w:div>
    <w:div w:id="1372653154">
      <w:bodyDiv w:val="1"/>
      <w:marLeft w:val="0"/>
      <w:marRight w:val="0"/>
      <w:marTop w:val="0"/>
      <w:marBottom w:val="0"/>
      <w:divBdr>
        <w:top w:val="none" w:sz="0" w:space="0" w:color="auto"/>
        <w:left w:val="none" w:sz="0" w:space="0" w:color="auto"/>
        <w:bottom w:val="none" w:sz="0" w:space="0" w:color="auto"/>
        <w:right w:val="none" w:sz="0" w:space="0" w:color="auto"/>
      </w:divBdr>
    </w:div>
    <w:div w:id="1372800340">
      <w:bodyDiv w:val="1"/>
      <w:marLeft w:val="0"/>
      <w:marRight w:val="0"/>
      <w:marTop w:val="0"/>
      <w:marBottom w:val="0"/>
      <w:divBdr>
        <w:top w:val="none" w:sz="0" w:space="0" w:color="auto"/>
        <w:left w:val="none" w:sz="0" w:space="0" w:color="auto"/>
        <w:bottom w:val="none" w:sz="0" w:space="0" w:color="auto"/>
        <w:right w:val="none" w:sz="0" w:space="0" w:color="auto"/>
      </w:divBdr>
    </w:div>
    <w:div w:id="1380940368">
      <w:bodyDiv w:val="1"/>
      <w:marLeft w:val="0"/>
      <w:marRight w:val="0"/>
      <w:marTop w:val="0"/>
      <w:marBottom w:val="0"/>
      <w:divBdr>
        <w:top w:val="none" w:sz="0" w:space="0" w:color="auto"/>
        <w:left w:val="none" w:sz="0" w:space="0" w:color="auto"/>
        <w:bottom w:val="none" w:sz="0" w:space="0" w:color="auto"/>
        <w:right w:val="none" w:sz="0" w:space="0" w:color="auto"/>
      </w:divBdr>
    </w:div>
    <w:div w:id="1381630282">
      <w:bodyDiv w:val="1"/>
      <w:marLeft w:val="0"/>
      <w:marRight w:val="0"/>
      <w:marTop w:val="0"/>
      <w:marBottom w:val="0"/>
      <w:divBdr>
        <w:top w:val="none" w:sz="0" w:space="0" w:color="auto"/>
        <w:left w:val="none" w:sz="0" w:space="0" w:color="auto"/>
        <w:bottom w:val="none" w:sz="0" w:space="0" w:color="auto"/>
        <w:right w:val="none" w:sz="0" w:space="0" w:color="auto"/>
      </w:divBdr>
    </w:div>
    <w:div w:id="1382510924">
      <w:bodyDiv w:val="1"/>
      <w:marLeft w:val="0"/>
      <w:marRight w:val="0"/>
      <w:marTop w:val="0"/>
      <w:marBottom w:val="0"/>
      <w:divBdr>
        <w:top w:val="none" w:sz="0" w:space="0" w:color="auto"/>
        <w:left w:val="none" w:sz="0" w:space="0" w:color="auto"/>
        <w:bottom w:val="none" w:sz="0" w:space="0" w:color="auto"/>
        <w:right w:val="none" w:sz="0" w:space="0" w:color="auto"/>
      </w:divBdr>
    </w:div>
    <w:div w:id="1382827840">
      <w:bodyDiv w:val="1"/>
      <w:marLeft w:val="0"/>
      <w:marRight w:val="0"/>
      <w:marTop w:val="0"/>
      <w:marBottom w:val="0"/>
      <w:divBdr>
        <w:top w:val="none" w:sz="0" w:space="0" w:color="auto"/>
        <w:left w:val="none" w:sz="0" w:space="0" w:color="auto"/>
        <w:bottom w:val="none" w:sz="0" w:space="0" w:color="auto"/>
        <w:right w:val="none" w:sz="0" w:space="0" w:color="auto"/>
      </w:divBdr>
    </w:div>
    <w:div w:id="1399939040">
      <w:bodyDiv w:val="1"/>
      <w:marLeft w:val="0"/>
      <w:marRight w:val="0"/>
      <w:marTop w:val="0"/>
      <w:marBottom w:val="0"/>
      <w:divBdr>
        <w:top w:val="none" w:sz="0" w:space="0" w:color="auto"/>
        <w:left w:val="none" w:sz="0" w:space="0" w:color="auto"/>
        <w:bottom w:val="none" w:sz="0" w:space="0" w:color="auto"/>
        <w:right w:val="none" w:sz="0" w:space="0" w:color="auto"/>
      </w:divBdr>
    </w:div>
    <w:div w:id="1401095929">
      <w:bodyDiv w:val="1"/>
      <w:marLeft w:val="0"/>
      <w:marRight w:val="0"/>
      <w:marTop w:val="0"/>
      <w:marBottom w:val="0"/>
      <w:divBdr>
        <w:top w:val="none" w:sz="0" w:space="0" w:color="auto"/>
        <w:left w:val="none" w:sz="0" w:space="0" w:color="auto"/>
        <w:bottom w:val="none" w:sz="0" w:space="0" w:color="auto"/>
        <w:right w:val="none" w:sz="0" w:space="0" w:color="auto"/>
      </w:divBdr>
    </w:div>
    <w:div w:id="1405419611">
      <w:bodyDiv w:val="1"/>
      <w:marLeft w:val="0"/>
      <w:marRight w:val="0"/>
      <w:marTop w:val="0"/>
      <w:marBottom w:val="0"/>
      <w:divBdr>
        <w:top w:val="none" w:sz="0" w:space="0" w:color="auto"/>
        <w:left w:val="none" w:sz="0" w:space="0" w:color="auto"/>
        <w:bottom w:val="none" w:sz="0" w:space="0" w:color="auto"/>
        <w:right w:val="none" w:sz="0" w:space="0" w:color="auto"/>
      </w:divBdr>
    </w:div>
    <w:div w:id="1407265422">
      <w:bodyDiv w:val="1"/>
      <w:marLeft w:val="0"/>
      <w:marRight w:val="0"/>
      <w:marTop w:val="0"/>
      <w:marBottom w:val="0"/>
      <w:divBdr>
        <w:top w:val="none" w:sz="0" w:space="0" w:color="auto"/>
        <w:left w:val="none" w:sz="0" w:space="0" w:color="auto"/>
        <w:bottom w:val="none" w:sz="0" w:space="0" w:color="auto"/>
        <w:right w:val="none" w:sz="0" w:space="0" w:color="auto"/>
      </w:divBdr>
    </w:div>
    <w:div w:id="1407607850">
      <w:bodyDiv w:val="1"/>
      <w:marLeft w:val="0"/>
      <w:marRight w:val="0"/>
      <w:marTop w:val="0"/>
      <w:marBottom w:val="0"/>
      <w:divBdr>
        <w:top w:val="none" w:sz="0" w:space="0" w:color="auto"/>
        <w:left w:val="none" w:sz="0" w:space="0" w:color="auto"/>
        <w:bottom w:val="none" w:sz="0" w:space="0" w:color="auto"/>
        <w:right w:val="none" w:sz="0" w:space="0" w:color="auto"/>
      </w:divBdr>
    </w:div>
    <w:div w:id="1408530919">
      <w:bodyDiv w:val="1"/>
      <w:marLeft w:val="0"/>
      <w:marRight w:val="0"/>
      <w:marTop w:val="0"/>
      <w:marBottom w:val="0"/>
      <w:divBdr>
        <w:top w:val="none" w:sz="0" w:space="0" w:color="auto"/>
        <w:left w:val="none" w:sz="0" w:space="0" w:color="auto"/>
        <w:bottom w:val="none" w:sz="0" w:space="0" w:color="auto"/>
        <w:right w:val="none" w:sz="0" w:space="0" w:color="auto"/>
      </w:divBdr>
    </w:div>
    <w:div w:id="1409958599">
      <w:bodyDiv w:val="1"/>
      <w:marLeft w:val="0"/>
      <w:marRight w:val="0"/>
      <w:marTop w:val="0"/>
      <w:marBottom w:val="0"/>
      <w:divBdr>
        <w:top w:val="none" w:sz="0" w:space="0" w:color="auto"/>
        <w:left w:val="none" w:sz="0" w:space="0" w:color="auto"/>
        <w:bottom w:val="none" w:sz="0" w:space="0" w:color="auto"/>
        <w:right w:val="none" w:sz="0" w:space="0" w:color="auto"/>
      </w:divBdr>
    </w:div>
    <w:div w:id="1415662861">
      <w:bodyDiv w:val="1"/>
      <w:marLeft w:val="0"/>
      <w:marRight w:val="0"/>
      <w:marTop w:val="0"/>
      <w:marBottom w:val="0"/>
      <w:divBdr>
        <w:top w:val="none" w:sz="0" w:space="0" w:color="auto"/>
        <w:left w:val="none" w:sz="0" w:space="0" w:color="auto"/>
        <w:bottom w:val="none" w:sz="0" w:space="0" w:color="auto"/>
        <w:right w:val="none" w:sz="0" w:space="0" w:color="auto"/>
      </w:divBdr>
    </w:div>
    <w:div w:id="1418866005">
      <w:bodyDiv w:val="1"/>
      <w:marLeft w:val="0"/>
      <w:marRight w:val="0"/>
      <w:marTop w:val="0"/>
      <w:marBottom w:val="0"/>
      <w:divBdr>
        <w:top w:val="none" w:sz="0" w:space="0" w:color="auto"/>
        <w:left w:val="none" w:sz="0" w:space="0" w:color="auto"/>
        <w:bottom w:val="none" w:sz="0" w:space="0" w:color="auto"/>
        <w:right w:val="none" w:sz="0" w:space="0" w:color="auto"/>
      </w:divBdr>
    </w:div>
    <w:div w:id="1419599464">
      <w:bodyDiv w:val="1"/>
      <w:marLeft w:val="0"/>
      <w:marRight w:val="0"/>
      <w:marTop w:val="0"/>
      <w:marBottom w:val="0"/>
      <w:divBdr>
        <w:top w:val="none" w:sz="0" w:space="0" w:color="auto"/>
        <w:left w:val="none" w:sz="0" w:space="0" w:color="auto"/>
        <w:bottom w:val="none" w:sz="0" w:space="0" w:color="auto"/>
        <w:right w:val="none" w:sz="0" w:space="0" w:color="auto"/>
      </w:divBdr>
    </w:div>
    <w:div w:id="1428379962">
      <w:bodyDiv w:val="1"/>
      <w:marLeft w:val="0"/>
      <w:marRight w:val="0"/>
      <w:marTop w:val="0"/>
      <w:marBottom w:val="0"/>
      <w:divBdr>
        <w:top w:val="none" w:sz="0" w:space="0" w:color="auto"/>
        <w:left w:val="none" w:sz="0" w:space="0" w:color="auto"/>
        <w:bottom w:val="none" w:sz="0" w:space="0" w:color="auto"/>
        <w:right w:val="none" w:sz="0" w:space="0" w:color="auto"/>
      </w:divBdr>
    </w:div>
    <w:div w:id="1433015602">
      <w:bodyDiv w:val="1"/>
      <w:marLeft w:val="0"/>
      <w:marRight w:val="0"/>
      <w:marTop w:val="0"/>
      <w:marBottom w:val="0"/>
      <w:divBdr>
        <w:top w:val="none" w:sz="0" w:space="0" w:color="auto"/>
        <w:left w:val="none" w:sz="0" w:space="0" w:color="auto"/>
        <w:bottom w:val="none" w:sz="0" w:space="0" w:color="auto"/>
        <w:right w:val="none" w:sz="0" w:space="0" w:color="auto"/>
      </w:divBdr>
    </w:div>
    <w:div w:id="1435705090">
      <w:bodyDiv w:val="1"/>
      <w:marLeft w:val="0"/>
      <w:marRight w:val="0"/>
      <w:marTop w:val="0"/>
      <w:marBottom w:val="0"/>
      <w:divBdr>
        <w:top w:val="none" w:sz="0" w:space="0" w:color="auto"/>
        <w:left w:val="none" w:sz="0" w:space="0" w:color="auto"/>
        <w:bottom w:val="none" w:sz="0" w:space="0" w:color="auto"/>
        <w:right w:val="none" w:sz="0" w:space="0" w:color="auto"/>
      </w:divBdr>
    </w:div>
    <w:div w:id="1440447397">
      <w:bodyDiv w:val="1"/>
      <w:marLeft w:val="0"/>
      <w:marRight w:val="0"/>
      <w:marTop w:val="0"/>
      <w:marBottom w:val="0"/>
      <w:divBdr>
        <w:top w:val="none" w:sz="0" w:space="0" w:color="auto"/>
        <w:left w:val="none" w:sz="0" w:space="0" w:color="auto"/>
        <w:bottom w:val="none" w:sz="0" w:space="0" w:color="auto"/>
        <w:right w:val="none" w:sz="0" w:space="0" w:color="auto"/>
      </w:divBdr>
    </w:div>
    <w:div w:id="1448039835">
      <w:bodyDiv w:val="1"/>
      <w:marLeft w:val="0"/>
      <w:marRight w:val="0"/>
      <w:marTop w:val="0"/>
      <w:marBottom w:val="0"/>
      <w:divBdr>
        <w:top w:val="none" w:sz="0" w:space="0" w:color="auto"/>
        <w:left w:val="none" w:sz="0" w:space="0" w:color="auto"/>
        <w:bottom w:val="none" w:sz="0" w:space="0" w:color="auto"/>
        <w:right w:val="none" w:sz="0" w:space="0" w:color="auto"/>
      </w:divBdr>
    </w:div>
    <w:div w:id="1448503957">
      <w:bodyDiv w:val="1"/>
      <w:marLeft w:val="0"/>
      <w:marRight w:val="0"/>
      <w:marTop w:val="0"/>
      <w:marBottom w:val="0"/>
      <w:divBdr>
        <w:top w:val="none" w:sz="0" w:space="0" w:color="auto"/>
        <w:left w:val="none" w:sz="0" w:space="0" w:color="auto"/>
        <w:bottom w:val="none" w:sz="0" w:space="0" w:color="auto"/>
        <w:right w:val="none" w:sz="0" w:space="0" w:color="auto"/>
      </w:divBdr>
    </w:div>
    <w:div w:id="1449741151">
      <w:bodyDiv w:val="1"/>
      <w:marLeft w:val="0"/>
      <w:marRight w:val="0"/>
      <w:marTop w:val="0"/>
      <w:marBottom w:val="0"/>
      <w:divBdr>
        <w:top w:val="none" w:sz="0" w:space="0" w:color="auto"/>
        <w:left w:val="none" w:sz="0" w:space="0" w:color="auto"/>
        <w:bottom w:val="none" w:sz="0" w:space="0" w:color="auto"/>
        <w:right w:val="none" w:sz="0" w:space="0" w:color="auto"/>
      </w:divBdr>
    </w:div>
    <w:div w:id="1451511955">
      <w:bodyDiv w:val="1"/>
      <w:marLeft w:val="0"/>
      <w:marRight w:val="0"/>
      <w:marTop w:val="0"/>
      <w:marBottom w:val="0"/>
      <w:divBdr>
        <w:top w:val="none" w:sz="0" w:space="0" w:color="auto"/>
        <w:left w:val="none" w:sz="0" w:space="0" w:color="auto"/>
        <w:bottom w:val="none" w:sz="0" w:space="0" w:color="auto"/>
        <w:right w:val="none" w:sz="0" w:space="0" w:color="auto"/>
      </w:divBdr>
    </w:div>
    <w:div w:id="1461339963">
      <w:bodyDiv w:val="1"/>
      <w:marLeft w:val="0"/>
      <w:marRight w:val="0"/>
      <w:marTop w:val="0"/>
      <w:marBottom w:val="0"/>
      <w:divBdr>
        <w:top w:val="none" w:sz="0" w:space="0" w:color="auto"/>
        <w:left w:val="none" w:sz="0" w:space="0" w:color="auto"/>
        <w:bottom w:val="none" w:sz="0" w:space="0" w:color="auto"/>
        <w:right w:val="none" w:sz="0" w:space="0" w:color="auto"/>
      </w:divBdr>
    </w:div>
    <w:div w:id="1470587076">
      <w:bodyDiv w:val="1"/>
      <w:marLeft w:val="0"/>
      <w:marRight w:val="0"/>
      <w:marTop w:val="0"/>
      <w:marBottom w:val="0"/>
      <w:divBdr>
        <w:top w:val="none" w:sz="0" w:space="0" w:color="auto"/>
        <w:left w:val="none" w:sz="0" w:space="0" w:color="auto"/>
        <w:bottom w:val="none" w:sz="0" w:space="0" w:color="auto"/>
        <w:right w:val="none" w:sz="0" w:space="0" w:color="auto"/>
      </w:divBdr>
    </w:div>
    <w:div w:id="1474447096">
      <w:bodyDiv w:val="1"/>
      <w:marLeft w:val="0"/>
      <w:marRight w:val="0"/>
      <w:marTop w:val="0"/>
      <w:marBottom w:val="0"/>
      <w:divBdr>
        <w:top w:val="none" w:sz="0" w:space="0" w:color="auto"/>
        <w:left w:val="none" w:sz="0" w:space="0" w:color="auto"/>
        <w:bottom w:val="none" w:sz="0" w:space="0" w:color="auto"/>
        <w:right w:val="none" w:sz="0" w:space="0" w:color="auto"/>
      </w:divBdr>
    </w:div>
    <w:div w:id="1474905562">
      <w:bodyDiv w:val="1"/>
      <w:marLeft w:val="0"/>
      <w:marRight w:val="0"/>
      <w:marTop w:val="0"/>
      <w:marBottom w:val="0"/>
      <w:divBdr>
        <w:top w:val="none" w:sz="0" w:space="0" w:color="auto"/>
        <w:left w:val="none" w:sz="0" w:space="0" w:color="auto"/>
        <w:bottom w:val="none" w:sz="0" w:space="0" w:color="auto"/>
        <w:right w:val="none" w:sz="0" w:space="0" w:color="auto"/>
      </w:divBdr>
    </w:div>
    <w:div w:id="1479104725">
      <w:bodyDiv w:val="1"/>
      <w:marLeft w:val="0"/>
      <w:marRight w:val="0"/>
      <w:marTop w:val="0"/>
      <w:marBottom w:val="0"/>
      <w:divBdr>
        <w:top w:val="none" w:sz="0" w:space="0" w:color="auto"/>
        <w:left w:val="none" w:sz="0" w:space="0" w:color="auto"/>
        <w:bottom w:val="none" w:sz="0" w:space="0" w:color="auto"/>
        <w:right w:val="none" w:sz="0" w:space="0" w:color="auto"/>
      </w:divBdr>
    </w:div>
    <w:div w:id="1482304608">
      <w:bodyDiv w:val="1"/>
      <w:marLeft w:val="0"/>
      <w:marRight w:val="0"/>
      <w:marTop w:val="0"/>
      <w:marBottom w:val="0"/>
      <w:divBdr>
        <w:top w:val="none" w:sz="0" w:space="0" w:color="auto"/>
        <w:left w:val="none" w:sz="0" w:space="0" w:color="auto"/>
        <w:bottom w:val="none" w:sz="0" w:space="0" w:color="auto"/>
        <w:right w:val="none" w:sz="0" w:space="0" w:color="auto"/>
      </w:divBdr>
    </w:div>
    <w:div w:id="1486431283">
      <w:bodyDiv w:val="1"/>
      <w:marLeft w:val="0"/>
      <w:marRight w:val="0"/>
      <w:marTop w:val="0"/>
      <w:marBottom w:val="0"/>
      <w:divBdr>
        <w:top w:val="none" w:sz="0" w:space="0" w:color="auto"/>
        <w:left w:val="none" w:sz="0" w:space="0" w:color="auto"/>
        <w:bottom w:val="none" w:sz="0" w:space="0" w:color="auto"/>
        <w:right w:val="none" w:sz="0" w:space="0" w:color="auto"/>
      </w:divBdr>
    </w:div>
    <w:div w:id="1486778623">
      <w:bodyDiv w:val="1"/>
      <w:marLeft w:val="0"/>
      <w:marRight w:val="0"/>
      <w:marTop w:val="0"/>
      <w:marBottom w:val="0"/>
      <w:divBdr>
        <w:top w:val="none" w:sz="0" w:space="0" w:color="auto"/>
        <w:left w:val="none" w:sz="0" w:space="0" w:color="auto"/>
        <w:bottom w:val="none" w:sz="0" w:space="0" w:color="auto"/>
        <w:right w:val="none" w:sz="0" w:space="0" w:color="auto"/>
      </w:divBdr>
    </w:div>
    <w:div w:id="1494174799">
      <w:bodyDiv w:val="1"/>
      <w:marLeft w:val="0"/>
      <w:marRight w:val="0"/>
      <w:marTop w:val="0"/>
      <w:marBottom w:val="0"/>
      <w:divBdr>
        <w:top w:val="none" w:sz="0" w:space="0" w:color="auto"/>
        <w:left w:val="none" w:sz="0" w:space="0" w:color="auto"/>
        <w:bottom w:val="none" w:sz="0" w:space="0" w:color="auto"/>
        <w:right w:val="none" w:sz="0" w:space="0" w:color="auto"/>
      </w:divBdr>
    </w:div>
    <w:div w:id="1500119420">
      <w:bodyDiv w:val="1"/>
      <w:marLeft w:val="0"/>
      <w:marRight w:val="0"/>
      <w:marTop w:val="0"/>
      <w:marBottom w:val="0"/>
      <w:divBdr>
        <w:top w:val="none" w:sz="0" w:space="0" w:color="auto"/>
        <w:left w:val="none" w:sz="0" w:space="0" w:color="auto"/>
        <w:bottom w:val="none" w:sz="0" w:space="0" w:color="auto"/>
        <w:right w:val="none" w:sz="0" w:space="0" w:color="auto"/>
      </w:divBdr>
    </w:div>
    <w:div w:id="1500273785">
      <w:bodyDiv w:val="1"/>
      <w:marLeft w:val="0"/>
      <w:marRight w:val="0"/>
      <w:marTop w:val="0"/>
      <w:marBottom w:val="0"/>
      <w:divBdr>
        <w:top w:val="none" w:sz="0" w:space="0" w:color="auto"/>
        <w:left w:val="none" w:sz="0" w:space="0" w:color="auto"/>
        <w:bottom w:val="none" w:sz="0" w:space="0" w:color="auto"/>
        <w:right w:val="none" w:sz="0" w:space="0" w:color="auto"/>
      </w:divBdr>
    </w:div>
    <w:div w:id="1509371149">
      <w:bodyDiv w:val="1"/>
      <w:marLeft w:val="0"/>
      <w:marRight w:val="0"/>
      <w:marTop w:val="0"/>
      <w:marBottom w:val="0"/>
      <w:divBdr>
        <w:top w:val="none" w:sz="0" w:space="0" w:color="auto"/>
        <w:left w:val="none" w:sz="0" w:space="0" w:color="auto"/>
        <w:bottom w:val="none" w:sz="0" w:space="0" w:color="auto"/>
        <w:right w:val="none" w:sz="0" w:space="0" w:color="auto"/>
      </w:divBdr>
    </w:div>
    <w:div w:id="1510874245">
      <w:bodyDiv w:val="1"/>
      <w:marLeft w:val="0"/>
      <w:marRight w:val="0"/>
      <w:marTop w:val="0"/>
      <w:marBottom w:val="0"/>
      <w:divBdr>
        <w:top w:val="none" w:sz="0" w:space="0" w:color="auto"/>
        <w:left w:val="none" w:sz="0" w:space="0" w:color="auto"/>
        <w:bottom w:val="none" w:sz="0" w:space="0" w:color="auto"/>
        <w:right w:val="none" w:sz="0" w:space="0" w:color="auto"/>
      </w:divBdr>
    </w:div>
    <w:div w:id="1513493124">
      <w:bodyDiv w:val="1"/>
      <w:marLeft w:val="0"/>
      <w:marRight w:val="0"/>
      <w:marTop w:val="0"/>
      <w:marBottom w:val="0"/>
      <w:divBdr>
        <w:top w:val="none" w:sz="0" w:space="0" w:color="auto"/>
        <w:left w:val="none" w:sz="0" w:space="0" w:color="auto"/>
        <w:bottom w:val="none" w:sz="0" w:space="0" w:color="auto"/>
        <w:right w:val="none" w:sz="0" w:space="0" w:color="auto"/>
      </w:divBdr>
    </w:div>
    <w:div w:id="1518077791">
      <w:bodyDiv w:val="1"/>
      <w:marLeft w:val="0"/>
      <w:marRight w:val="0"/>
      <w:marTop w:val="0"/>
      <w:marBottom w:val="0"/>
      <w:divBdr>
        <w:top w:val="none" w:sz="0" w:space="0" w:color="auto"/>
        <w:left w:val="none" w:sz="0" w:space="0" w:color="auto"/>
        <w:bottom w:val="none" w:sz="0" w:space="0" w:color="auto"/>
        <w:right w:val="none" w:sz="0" w:space="0" w:color="auto"/>
      </w:divBdr>
    </w:div>
    <w:div w:id="1518615191">
      <w:bodyDiv w:val="1"/>
      <w:marLeft w:val="0"/>
      <w:marRight w:val="0"/>
      <w:marTop w:val="0"/>
      <w:marBottom w:val="0"/>
      <w:divBdr>
        <w:top w:val="none" w:sz="0" w:space="0" w:color="auto"/>
        <w:left w:val="none" w:sz="0" w:space="0" w:color="auto"/>
        <w:bottom w:val="none" w:sz="0" w:space="0" w:color="auto"/>
        <w:right w:val="none" w:sz="0" w:space="0" w:color="auto"/>
      </w:divBdr>
    </w:div>
    <w:div w:id="1523396582">
      <w:bodyDiv w:val="1"/>
      <w:marLeft w:val="0"/>
      <w:marRight w:val="0"/>
      <w:marTop w:val="0"/>
      <w:marBottom w:val="0"/>
      <w:divBdr>
        <w:top w:val="none" w:sz="0" w:space="0" w:color="auto"/>
        <w:left w:val="none" w:sz="0" w:space="0" w:color="auto"/>
        <w:bottom w:val="none" w:sz="0" w:space="0" w:color="auto"/>
        <w:right w:val="none" w:sz="0" w:space="0" w:color="auto"/>
      </w:divBdr>
    </w:div>
    <w:div w:id="1524437500">
      <w:bodyDiv w:val="1"/>
      <w:marLeft w:val="0"/>
      <w:marRight w:val="0"/>
      <w:marTop w:val="0"/>
      <w:marBottom w:val="0"/>
      <w:divBdr>
        <w:top w:val="none" w:sz="0" w:space="0" w:color="auto"/>
        <w:left w:val="none" w:sz="0" w:space="0" w:color="auto"/>
        <w:bottom w:val="none" w:sz="0" w:space="0" w:color="auto"/>
        <w:right w:val="none" w:sz="0" w:space="0" w:color="auto"/>
      </w:divBdr>
    </w:div>
    <w:div w:id="1530030300">
      <w:bodyDiv w:val="1"/>
      <w:marLeft w:val="0"/>
      <w:marRight w:val="0"/>
      <w:marTop w:val="0"/>
      <w:marBottom w:val="0"/>
      <w:divBdr>
        <w:top w:val="none" w:sz="0" w:space="0" w:color="auto"/>
        <w:left w:val="none" w:sz="0" w:space="0" w:color="auto"/>
        <w:bottom w:val="none" w:sz="0" w:space="0" w:color="auto"/>
        <w:right w:val="none" w:sz="0" w:space="0" w:color="auto"/>
      </w:divBdr>
    </w:div>
    <w:div w:id="1532570760">
      <w:bodyDiv w:val="1"/>
      <w:marLeft w:val="0"/>
      <w:marRight w:val="0"/>
      <w:marTop w:val="0"/>
      <w:marBottom w:val="0"/>
      <w:divBdr>
        <w:top w:val="none" w:sz="0" w:space="0" w:color="auto"/>
        <w:left w:val="none" w:sz="0" w:space="0" w:color="auto"/>
        <w:bottom w:val="none" w:sz="0" w:space="0" w:color="auto"/>
        <w:right w:val="none" w:sz="0" w:space="0" w:color="auto"/>
      </w:divBdr>
    </w:div>
    <w:div w:id="1540513720">
      <w:bodyDiv w:val="1"/>
      <w:marLeft w:val="0"/>
      <w:marRight w:val="0"/>
      <w:marTop w:val="0"/>
      <w:marBottom w:val="0"/>
      <w:divBdr>
        <w:top w:val="none" w:sz="0" w:space="0" w:color="auto"/>
        <w:left w:val="none" w:sz="0" w:space="0" w:color="auto"/>
        <w:bottom w:val="none" w:sz="0" w:space="0" w:color="auto"/>
        <w:right w:val="none" w:sz="0" w:space="0" w:color="auto"/>
      </w:divBdr>
    </w:div>
    <w:div w:id="1544171999">
      <w:bodyDiv w:val="1"/>
      <w:marLeft w:val="0"/>
      <w:marRight w:val="0"/>
      <w:marTop w:val="0"/>
      <w:marBottom w:val="0"/>
      <w:divBdr>
        <w:top w:val="none" w:sz="0" w:space="0" w:color="auto"/>
        <w:left w:val="none" w:sz="0" w:space="0" w:color="auto"/>
        <w:bottom w:val="none" w:sz="0" w:space="0" w:color="auto"/>
        <w:right w:val="none" w:sz="0" w:space="0" w:color="auto"/>
      </w:divBdr>
    </w:div>
    <w:div w:id="1544369438">
      <w:bodyDiv w:val="1"/>
      <w:marLeft w:val="0"/>
      <w:marRight w:val="0"/>
      <w:marTop w:val="0"/>
      <w:marBottom w:val="0"/>
      <w:divBdr>
        <w:top w:val="none" w:sz="0" w:space="0" w:color="auto"/>
        <w:left w:val="none" w:sz="0" w:space="0" w:color="auto"/>
        <w:bottom w:val="none" w:sz="0" w:space="0" w:color="auto"/>
        <w:right w:val="none" w:sz="0" w:space="0" w:color="auto"/>
      </w:divBdr>
    </w:div>
    <w:div w:id="1549222464">
      <w:bodyDiv w:val="1"/>
      <w:marLeft w:val="0"/>
      <w:marRight w:val="0"/>
      <w:marTop w:val="0"/>
      <w:marBottom w:val="0"/>
      <w:divBdr>
        <w:top w:val="none" w:sz="0" w:space="0" w:color="auto"/>
        <w:left w:val="none" w:sz="0" w:space="0" w:color="auto"/>
        <w:bottom w:val="none" w:sz="0" w:space="0" w:color="auto"/>
        <w:right w:val="none" w:sz="0" w:space="0" w:color="auto"/>
      </w:divBdr>
    </w:div>
    <w:div w:id="1550409611">
      <w:bodyDiv w:val="1"/>
      <w:marLeft w:val="0"/>
      <w:marRight w:val="0"/>
      <w:marTop w:val="0"/>
      <w:marBottom w:val="0"/>
      <w:divBdr>
        <w:top w:val="none" w:sz="0" w:space="0" w:color="auto"/>
        <w:left w:val="none" w:sz="0" w:space="0" w:color="auto"/>
        <w:bottom w:val="none" w:sz="0" w:space="0" w:color="auto"/>
        <w:right w:val="none" w:sz="0" w:space="0" w:color="auto"/>
      </w:divBdr>
    </w:div>
    <w:div w:id="1553689389">
      <w:bodyDiv w:val="1"/>
      <w:marLeft w:val="0"/>
      <w:marRight w:val="0"/>
      <w:marTop w:val="0"/>
      <w:marBottom w:val="0"/>
      <w:divBdr>
        <w:top w:val="none" w:sz="0" w:space="0" w:color="auto"/>
        <w:left w:val="none" w:sz="0" w:space="0" w:color="auto"/>
        <w:bottom w:val="none" w:sz="0" w:space="0" w:color="auto"/>
        <w:right w:val="none" w:sz="0" w:space="0" w:color="auto"/>
      </w:divBdr>
    </w:div>
    <w:div w:id="1558975258">
      <w:bodyDiv w:val="1"/>
      <w:marLeft w:val="0"/>
      <w:marRight w:val="0"/>
      <w:marTop w:val="0"/>
      <w:marBottom w:val="0"/>
      <w:divBdr>
        <w:top w:val="none" w:sz="0" w:space="0" w:color="auto"/>
        <w:left w:val="none" w:sz="0" w:space="0" w:color="auto"/>
        <w:bottom w:val="none" w:sz="0" w:space="0" w:color="auto"/>
        <w:right w:val="none" w:sz="0" w:space="0" w:color="auto"/>
      </w:divBdr>
    </w:div>
    <w:div w:id="1562518813">
      <w:bodyDiv w:val="1"/>
      <w:marLeft w:val="0"/>
      <w:marRight w:val="0"/>
      <w:marTop w:val="0"/>
      <w:marBottom w:val="0"/>
      <w:divBdr>
        <w:top w:val="none" w:sz="0" w:space="0" w:color="auto"/>
        <w:left w:val="none" w:sz="0" w:space="0" w:color="auto"/>
        <w:bottom w:val="none" w:sz="0" w:space="0" w:color="auto"/>
        <w:right w:val="none" w:sz="0" w:space="0" w:color="auto"/>
      </w:divBdr>
    </w:div>
    <w:div w:id="1565723161">
      <w:bodyDiv w:val="1"/>
      <w:marLeft w:val="0"/>
      <w:marRight w:val="0"/>
      <w:marTop w:val="0"/>
      <w:marBottom w:val="0"/>
      <w:divBdr>
        <w:top w:val="none" w:sz="0" w:space="0" w:color="auto"/>
        <w:left w:val="none" w:sz="0" w:space="0" w:color="auto"/>
        <w:bottom w:val="none" w:sz="0" w:space="0" w:color="auto"/>
        <w:right w:val="none" w:sz="0" w:space="0" w:color="auto"/>
      </w:divBdr>
    </w:div>
    <w:div w:id="1567179051">
      <w:bodyDiv w:val="1"/>
      <w:marLeft w:val="0"/>
      <w:marRight w:val="0"/>
      <w:marTop w:val="0"/>
      <w:marBottom w:val="0"/>
      <w:divBdr>
        <w:top w:val="none" w:sz="0" w:space="0" w:color="auto"/>
        <w:left w:val="none" w:sz="0" w:space="0" w:color="auto"/>
        <w:bottom w:val="none" w:sz="0" w:space="0" w:color="auto"/>
        <w:right w:val="none" w:sz="0" w:space="0" w:color="auto"/>
      </w:divBdr>
    </w:div>
    <w:div w:id="1567648687">
      <w:bodyDiv w:val="1"/>
      <w:marLeft w:val="0"/>
      <w:marRight w:val="0"/>
      <w:marTop w:val="0"/>
      <w:marBottom w:val="0"/>
      <w:divBdr>
        <w:top w:val="none" w:sz="0" w:space="0" w:color="auto"/>
        <w:left w:val="none" w:sz="0" w:space="0" w:color="auto"/>
        <w:bottom w:val="none" w:sz="0" w:space="0" w:color="auto"/>
        <w:right w:val="none" w:sz="0" w:space="0" w:color="auto"/>
      </w:divBdr>
    </w:div>
    <w:div w:id="1568108252">
      <w:bodyDiv w:val="1"/>
      <w:marLeft w:val="0"/>
      <w:marRight w:val="0"/>
      <w:marTop w:val="0"/>
      <w:marBottom w:val="0"/>
      <w:divBdr>
        <w:top w:val="none" w:sz="0" w:space="0" w:color="auto"/>
        <w:left w:val="none" w:sz="0" w:space="0" w:color="auto"/>
        <w:bottom w:val="none" w:sz="0" w:space="0" w:color="auto"/>
        <w:right w:val="none" w:sz="0" w:space="0" w:color="auto"/>
      </w:divBdr>
    </w:div>
    <w:div w:id="1569072369">
      <w:bodyDiv w:val="1"/>
      <w:marLeft w:val="0"/>
      <w:marRight w:val="0"/>
      <w:marTop w:val="0"/>
      <w:marBottom w:val="0"/>
      <w:divBdr>
        <w:top w:val="none" w:sz="0" w:space="0" w:color="auto"/>
        <w:left w:val="none" w:sz="0" w:space="0" w:color="auto"/>
        <w:bottom w:val="none" w:sz="0" w:space="0" w:color="auto"/>
        <w:right w:val="none" w:sz="0" w:space="0" w:color="auto"/>
      </w:divBdr>
    </w:div>
    <w:div w:id="1573807774">
      <w:bodyDiv w:val="1"/>
      <w:marLeft w:val="0"/>
      <w:marRight w:val="0"/>
      <w:marTop w:val="0"/>
      <w:marBottom w:val="0"/>
      <w:divBdr>
        <w:top w:val="none" w:sz="0" w:space="0" w:color="auto"/>
        <w:left w:val="none" w:sz="0" w:space="0" w:color="auto"/>
        <w:bottom w:val="none" w:sz="0" w:space="0" w:color="auto"/>
        <w:right w:val="none" w:sz="0" w:space="0" w:color="auto"/>
      </w:divBdr>
    </w:div>
    <w:div w:id="1574196492">
      <w:bodyDiv w:val="1"/>
      <w:marLeft w:val="0"/>
      <w:marRight w:val="0"/>
      <w:marTop w:val="0"/>
      <w:marBottom w:val="0"/>
      <w:divBdr>
        <w:top w:val="none" w:sz="0" w:space="0" w:color="auto"/>
        <w:left w:val="none" w:sz="0" w:space="0" w:color="auto"/>
        <w:bottom w:val="none" w:sz="0" w:space="0" w:color="auto"/>
        <w:right w:val="none" w:sz="0" w:space="0" w:color="auto"/>
      </w:divBdr>
    </w:div>
    <w:div w:id="1574967938">
      <w:bodyDiv w:val="1"/>
      <w:marLeft w:val="0"/>
      <w:marRight w:val="0"/>
      <w:marTop w:val="0"/>
      <w:marBottom w:val="0"/>
      <w:divBdr>
        <w:top w:val="none" w:sz="0" w:space="0" w:color="auto"/>
        <w:left w:val="none" w:sz="0" w:space="0" w:color="auto"/>
        <w:bottom w:val="none" w:sz="0" w:space="0" w:color="auto"/>
        <w:right w:val="none" w:sz="0" w:space="0" w:color="auto"/>
      </w:divBdr>
    </w:div>
    <w:div w:id="1576207339">
      <w:bodyDiv w:val="1"/>
      <w:marLeft w:val="0"/>
      <w:marRight w:val="0"/>
      <w:marTop w:val="0"/>
      <w:marBottom w:val="0"/>
      <w:divBdr>
        <w:top w:val="none" w:sz="0" w:space="0" w:color="auto"/>
        <w:left w:val="none" w:sz="0" w:space="0" w:color="auto"/>
        <w:bottom w:val="none" w:sz="0" w:space="0" w:color="auto"/>
        <w:right w:val="none" w:sz="0" w:space="0" w:color="auto"/>
      </w:divBdr>
    </w:div>
    <w:div w:id="1581019093">
      <w:bodyDiv w:val="1"/>
      <w:marLeft w:val="0"/>
      <w:marRight w:val="0"/>
      <w:marTop w:val="0"/>
      <w:marBottom w:val="0"/>
      <w:divBdr>
        <w:top w:val="none" w:sz="0" w:space="0" w:color="auto"/>
        <w:left w:val="none" w:sz="0" w:space="0" w:color="auto"/>
        <w:bottom w:val="none" w:sz="0" w:space="0" w:color="auto"/>
        <w:right w:val="none" w:sz="0" w:space="0" w:color="auto"/>
      </w:divBdr>
    </w:div>
    <w:div w:id="1581523364">
      <w:bodyDiv w:val="1"/>
      <w:marLeft w:val="0"/>
      <w:marRight w:val="0"/>
      <w:marTop w:val="0"/>
      <w:marBottom w:val="0"/>
      <w:divBdr>
        <w:top w:val="none" w:sz="0" w:space="0" w:color="auto"/>
        <w:left w:val="none" w:sz="0" w:space="0" w:color="auto"/>
        <w:bottom w:val="none" w:sz="0" w:space="0" w:color="auto"/>
        <w:right w:val="none" w:sz="0" w:space="0" w:color="auto"/>
      </w:divBdr>
    </w:div>
    <w:div w:id="1584945538">
      <w:bodyDiv w:val="1"/>
      <w:marLeft w:val="0"/>
      <w:marRight w:val="0"/>
      <w:marTop w:val="0"/>
      <w:marBottom w:val="0"/>
      <w:divBdr>
        <w:top w:val="none" w:sz="0" w:space="0" w:color="auto"/>
        <w:left w:val="none" w:sz="0" w:space="0" w:color="auto"/>
        <w:bottom w:val="none" w:sz="0" w:space="0" w:color="auto"/>
        <w:right w:val="none" w:sz="0" w:space="0" w:color="auto"/>
      </w:divBdr>
    </w:div>
    <w:div w:id="1584946957">
      <w:bodyDiv w:val="1"/>
      <w:marLeft w:val="0"/>
      <w:marRight w:val="0"/>
      <w:marTop w:val="0"/>
      <w:marBottom w:val="0"/>
      <w:divBdr>
        <w:top w:val="none" w:sz="0" w:space="0" w:color="auto"/>
        <w:left w:val="none" w:sz="0" w:space="0" w:color="auto"/>
        <w:bottom w:val="none" w:sz="0" w:space="0" w:color="auto"/>
        <w:right w:val="none" w:sz="0" w:space="0" w:color="auto"/>
      </w:divBdr>
    </w:div>
    <w:div w:id="1589003773">
      <w:bodyDiv w:val="1"/>
      <w:marLeft w:val="0"/>
      <w:marRight w:val="0"/>
      <w:marTop w:val="0"/>
      <w:marBottom w:val="0"/>
      <w:divBdr>
        <w:top w:val="none" w:sz="0" w:space="0" w:color="auto"/>
        <w:left w:val="none" w:sz="0" w:space="0" w:color="auto"/>
        <w:bottom w:val="none" w:sz="0" w:space="0" w:color="auto"/>
        <w:right w:val="none" w:sz="0" w:space="0" w:color="auto"/>
      </w:divBdr>
    </w:div>
    <w:div w:id="1589343670">
      <w:bodyDiv w:val="1"/>
      <w:marLeft w:val="0"/>
      <w:marRight w:val="0"/>
      <w:marTop w:val="0"/>
      <w:marBottom w:val="0"/>
      <w:divBdr>
        <w:top w:val="none" w:sz="0" w:space="0" w:color="auto"/>
        <w:left w:val="none" w:sz="0" w:space="0" w:color="auto"/>
        <w:bottom w:val="none" w:sz="0" w:space="0" w:color="auto"/>
        <w:right w:val="none" w:sz="0" w:space="0" w:color="auto"/>
      </w:divBdr>
    </w:div>
    <w:div w:id="1591040147">
      <w:bodyDiv w:val="1"/>
      <w:marLeft w:val="0"/>
      <w:marRight w:val="0"/>
      <w:marTop w:val="0"/>
      <w:marBottom w:val="0"/>
      <w:divBdr>
        <w:top w:val="none" w:sz="0" w:space="0" w:color="auto"/>
        <w:left w:val="none" w:sz="0" w:space="0" w:color="auto"/>
        <w:bottom w:val="none" w:sz="0" w:space="0" w:color="auto"/>
        <w:right w:val="none" w:sz="0" w:space="0" w:color="auto"/>
      </w:divBdr>
    </w:div>
    <w:div w:id="1593053931">
      <w:bodyDiv w:val="1"/>
      <w:marLeft w:val="0"/>
      <w:marRight w:val="0"/>
      <w:marTop w:val="0"/>
      <w:marBottom w:val="0"/>
      <w:divBdr>
        <w:top w:val="none" w:sz="0" w:space="0" w:color="auto"/>
        <w:left w:val="none" w:sz="0" w:space="0" w:color="auto"/>
        <w:bottom w:val="none" w:sz="0" w:space="0" w:color="auto"/>
        <w:right w:val="none" w:sz="0" w:space="0" w:color="auto"/>
      </w:divBdr>
    </w:div>
    <w:div w:id="1594975018">
      <w:bodyDiv w:val="1"/>
      <w:marLeft w:val="0"/>
      <w:marRight w:val="0"/>
      <w:marTop w:val="0"/>
      <w:marBottom w:val="0"/>
      <w:divBdr>
        <w:top w:val="none" w:sz="0" w:space="0" w:color="auto"/>
        <w:left w:val="none" w:sz="0" w:space="0" w:color="auto"/>
        <w:bottom w:val="none" w:sz="0" w:space="0" w:color="auto"/>
        <w:right w:val="none" w:sz="0" w:space="0" w:color="auto"/>
      </w:divBdr>
    </w:div>
    <w:div w:id="1602489541">
      <w:bodyDiv w:val="1"/>
      <w:marLeft w:val="0"/>
      <w:marRight w:val="0"/>
      <w:marTop w:val="0"/>
      <w:marBottom w:val="0"/>
      <w:divBdr>
        <w:top w:val="none" w:sz="0" w:space="0" w:color="auto"/>
        <w:left w:val="none" w:sz="0" w:space="0" w:color="auto"/>
        <w:bottom w:val="none" w:sz="0" w:space="0" w:color="auto"/>
        <w:right w:val="none" w:sz="0" w:space="0" w:color="auto"/>
      </w:divBdr>
    </w:div>
    <w:div w:id="1603221490">
      <w:bodyDiv w:val="1"/>
      <w:marLeft w:val="0"/>
      <w:marRight w:val="0"/>
      <w:marTop w:val="0"/>
      <w:marBottom w:val="0"/>
      <w:divBdr>
        <w:top w:val="none" w:sz="0" w:space="0" w:color="auto"/>
        <w:left w:val="none" w:sz="0" w:space="0" w:color="auto"/>
        <w:bottom w:val="none" w:sz="0" w:space="0" w:color="auto"/>
        <w:right w:val="none" w:sz="0" w:space="0" w:color="auto"/>
      </w:divBdr>
    </w:div>
    <w:div w:id="1604534171">
      <w:bodyDiv w:val="1"/>
      <w:marLeft w:val="0"/>
      <w:marRight w:val="0"/>
      <w:marTop w:val="0"/>
      <w:marBottom w:val="0"/>
      <w:divBdr>
        <w:top w:val="none" w:sz="0" w:space="0" w:color="auto"/>
        <w:left w:val="none" w:sz="0" w:space="0" w:color="auto"/>
        <w:bottom w:val="none" w:sz="0" w:space="0" w:color="auto"/>
        <w:right w:val="none" w:sz="0" w:space="0" w:color="auto"/>
      </w:divBdr>
    </w:div>
    <w:div w:id="1606496370">
      <w:bodyDiv w:val="1"/>
      <w:marLeft w:val="0"/>
      <w:marRight w:val="0"/>
      <w:marTop w:val="0"/>
      <w:marBottom w:val="0"/>
      <w:divBdr>
        <w:top w:val="none" w:sz="0" w:space="0" w:color="auto"/>
        <w:left w:val="none" w:sz="0" w:space="0" w:color="auto"/>
        <w:bottom w:val="none" w:sz="0" w:space="0" w:color="auto"/>
        <w:right w:val="none" w:sz="0" w:space="0" w:color="auto"/>
      </w:divBdr>
    </w:div>
    <w:div w:id="1606575674">
      <w:bodyDiv w:val="1"/>
      <w:marLeft w:val="0"/>
      <w:marRight w:val="0"/>
      <w:marTop w:val="0"/>
      <w:marBottom w:val="0"/>
      <w:divBdr>
        <w:top w:val="none" w:sz="0" w:space="0" w:color="auto"/>
        <w:left w:val="none" w:sz="0" w:space="0" w:color="auto"/>
        <w:bottom w:val="none" w:sz="0" w:space="0" w:color="auto"/>
        <w:right w:val="none" w:sz="0" w:space="0" w:color="auto"/>
      </w:divBdr>
    </w:div>
    <w:div w:id="1608073149">
      <w:bodyDiv w:val="1"/>
      <w:marLeft w:val="0"/>
      <w:marRight w:val="0"/>
      <w:marTop w:val="0"/>
      <w:marBottom w:val="0"/>
      <w:divBdr>
        <w:top w:val="none" w:sz="0" w:space="0" w:color="auto"/>
        <w:left w:val="none" w:sz="0" w:space="0" w:color="auto"/>
        <w:bottom w:val="none" w:sz="0" w:space="0" w:color="auto"/>
        <w:right w:val="none" w:sz="0" w:space="0" w:color="auto"/>
      </w:divBdr>
    </w:div>
    <w:div w:id="1609896128">
      <w:bodyDiv w:val="1"/>
      <w:marLeft w:val="0"/>
      <w:marRight w:val="0"/>
      <w:marTop w:val="0"/>
      <w:marBottom w:val="0"/>
      <w:divBdr>
        <w:top w:val="none" w:sz="0" w:space="0" w:color="auto"/>
        <w:left w:val="none" w:sz="0" w:space="0" w:color="auto"/>
        <w:bottom w:val="none" w:sz="0" w:space="0" w:color="auto"/>
        <w:right w:val="none" w:sz="0" w:space="0" w:color="auto"/>
      </w:divBdr>
    </w:div>
    <w:div w:id="1610165610">
      <w:bodyDiv w:val="1"/>
      <w:marLeft w:val="0"/>
      <w:marRight w:val="0"/>
      <w:marTop w:val="0"/>
      <w:marBottom w:val="0"/>
      <w:divBdr>
        <w:top w:val="none" w:sz="0" w:space="0" w:color="auto"/>
        <w:left w:val="none" w:sz="0" w:space="0" w:color="auto"/>
        <w:bottom w:val="none" w:sz="0" w:space="0" w:color="auto"/>
        <w:right w:val="none" w:sz="0" w:space="0" w:color="auto"/>
      </w:divBdr>
    </w:div>
    <w:div w:id="1617758163">
      <w:bodyDiv w:val="1"/>
      <w:marLeft w:val="0"/>
      <w:marRight w:val="0"/>
      <w:marTop w:val="0"/>
      <w:marBottom w:val="0"/>
      <w:divBdr>
        <w:top w:val="none" w:sz="0" w:space="0" w:color="auto"/>
        <w:left w:val="none" w:sz="0" w:space="0" w:color="auto"/>
        <w:bottom w:val="none" w:sz="0" w:space="0" w:color="auto"/>
        <w:right w:val="none" w:sz="0" w:space="0" w:color="auto"/>
      </w:divBdr>
    </w:div>
    <w:div w:id="1621230433">
      <w:bodyDiv w:val="1"/>
      <w:marLeft w:val="0"/>
      <w:marRight w:val="0"/>
      <w:marTop w:val="0"/>
      <w:marBottom w:val="0"/>
      <w:divBdr>
        <w:top w:val="none" w:sz="0" w:space="0" w:color="auto"/>
        <w:left w:val="none" w:sz="0" w:space="0" w:color="auto"/>
        <w:bottom w:val="none" w:sz="0" w:space="0" w:color="auto"/>
        <w:right w:val="none" w:sz="0" w:space="0" w:color="auto"/>
      </w:divBdr>
    </w:div>
    <w:div w:id="1623269954">
      <w:bodyDiv w:val="1"/>
      <w:marLeft w:val="0"/>
      <w:marRight w:val="0"/>
      <w:marTop w:val="0"/>
      <w:marBottom w:val="0"/>
      <w:divBdr>
        <w:top w:val="none" w:sz="0" w:space="0" w:color="auto"/>
        <w:left w:val="none" w:sz="0" w:space="0" w:color="auto"/>
        <w:bottom w:val="none" w:sz="0" w:space="0" w:color="auto"/>
        <w:right w:val="none" w:sz="0" w:space="0" w:color="auto"/>
      </w:divBdr>
    </w:div>
    <w:div w:id="1624966644">
      <w:bodyDiv w:val="1"/>
      <w:marLeft w:val="0"/>
      <w:marRight w:val="0"/>
      <w:marTop w:val="0"/>
      <w:marBottom w:val="0"/>
      <w:divBdr>
        <w:top w:val="none" w:sz="0" w:space="0" w:color="auto"/>
        <w:left w:val="none" w:sz="0" w:space="0" w:color="auto"/>
        <w:bottom w:val="none" w:sz="0" w:space="0" w:color="auto"/>
        <w:right w:val="none" w:sz="0" w:space="0" w:color="auto"/>
      </w:divBdr>
    </w:div>
    <w:div w:id="1630091357">
      <w:bodyDiv w:val="1"/>
      <w:marLeft w:val="0"/>
      <w:marRight w:val="0"/>
      <w:marTop w:val="0"/>
      <w:marBottom w:val="0"/>
      <w:divBdr>
        <w:top w:val="none" w:sz="0" w:space="0" w:color="auto"/>
        <w:left w:val="none" w:sz="0" w:space="0" w:color="auto"/>
        <w:bottom w:val="none" w:sz="0" w:space="0" w:color="auto"/>
        <w:right w:val="none" w:sz="0" w:space="0" w:color="auto"/>
      </w:divBdr>
    </w:div>
    <w:div w:id="1638220564">
      <w:bodyDiv w:val="1"/>
      <w:marLeft w:val="0"/>
      <w:marRight w:val="0"/>
      <w:marTop w:val="0"/>
      <w:marBottom w:val="0"/>
      <w:divBdr>
        <w:top w:val="none" w:sz="0" w:space="0" w:color="auto"/>
        <w:left w:val="none" w:sz="0" w:space="0" w:color="auto"/>
        <w:bottom w:val="none" w:sz="0" w:space="0" w:color="auto"/>
        <w:right w:val="none" w:sz="0" w:space="0" w:color="auto"/>
      </w:divBdr>
    </w:div>
    <w:div w:id="1639258163">
      <w:bodyDiv w:val="1"/>
      <w:marLeft w:val="0"/>
      <w:marRight w:val="0"/>
      <w:marTop w:val="0"/>
      <w:marBottom w:val="0"/>
      <w:divBdr>
        <w:top w:val="none" w:sz="0" w:space="0" w:color="auto"/>
        <w:left w:val="none" w:sz="0" w:space="0" w:color="auto"/>
        <w:bottom w:val="none" w:sz="0" w:space="0" w:color="auto"/>
        <w:right w:val="none" w:sz="0" w:space="0" w:color="auto"/>
      </w:divBdr>
    </w:div>
    <w:div w:id="1641761581">
      <w:bodyDiv w:val="1"/>
      <w:marLeft w:val="0"/>
      <w:marRight w:val="0"/>
      <w:marTop w:val="0"/>
      <w:marBottom w:val="0"/>
      <w:divBdr>
        <w:top w:val="none" w:sz="0" w:space="0" w:color="auto"/>
        <w:left w:val="none" w:sz="0" w:space="0" w:color="auto"/>
        <w:bottom w:val="none" w:sz="0" w:space="0" w:color="auto"/>
        <w:right w:val="none" w:sz="0" w:space="0" w:color="auto"/>
      </w:divBdr>
    </w:div>
    <w:div w:id="1643345690">
      <w:bodyDiv w:val="1"/>
      <w:marLeft w:val="0"/>
      <w:marRight w:val="0"/>
      <w:marTop w:val="0"/>
      <w:marBottom w:val="0"/>
      <w:divBdr>
        <w:top w:val="none" w:sz="0" w:space="0" w:color="auto"/>
        <w:left w:val="none" w:sz="0" w:space="0" w:color="auto"/>
        <w:bottom w:val="none" w:sz="0" w:space="0" w:color="auto"/>
        <w:right w:val="none" w:sz="0" w:space="0" w:color="auto"/>
      </w:divBdr>
    </w:div>
    <w:div w:id="1643849459">
      <w:bodyDiv w:val="1"/>
      <w:marLeft w:val="0"/>
      <w:marRight w:val="0"/>
      <w:marTop w:val="0"/>
      <w:marBottom w:val="0"/>
      <w:divBdr>
        <w:top w:val="none" w:sz="0" w:space="0" w:color="auto"/>
        <w:left w:val="none" w:sz="0" w:space="0" w:color="auto"/>
        <w:bottom w:val="none" w:sz="0" w:space="0" w:color="auto"/>
        <w:right w:val="none" w:sz="0" w:space="0" w:color="auto"/>
      </w:divBdr>
    </w:div>
    <w:div w:id="1645740291">
      <w:bodyDiv w:val="1"/>
      <w:marLeft w:val="0"/>
      <w:marRight w:val="0"/>
      <w:marTop w:val="0"/>
      <w:marBottom w:val="0"/>
      <w:divBdr>
        <w:top w:val="none" w:sz="0" w:space="0" w:color="auto"/>
        <w:left w:val="none" w:sz="0" w:space="0" w:color="auto"/>
        <w:bottom w:val="none" w:sz="0" w:space="0" w:color="auto"/>
        <w:right w:val="none" w:sz="0" w:space="0" w:color="auto"/>
      </w:divBdr>
    </w:div>
    <w:div w:id="1646008236">
      <w:bodyDiv w:val="1"/>
      <w:marLeft w:val="0"/>
      <w:marRight w:val="0"/>
      <w:marTop w:val="0"/>
      <w:marBottom w:val="0"/>
      <w:divBdr>
        <w:top w:val="none" w:sz="0" w:space="0" w:color="auto"/>
        <w:left w:val="none" w:sz="0" w:space="0" w:color="auto"/>
        <w:bottom w:val="none" w:sz="0" w:space="0" w:color="auto"/>
        <w:right w:val="none" w:sz="0" w:space="0" w:color="auto"/>
      </w:divBdr>
    </w:div>
    <w:div w:id="1646273193">
      <w:bodyDiv w:val="1"/>
      <w:marLeft w:val="0"/>
      <w:marRight w:val="0"/>
      <w:marTop w:val="0"/>
      <w:marBottom w:val="0"/>
      <w:divBdr>
        <w:top w:val="none" w:sz="0" w:space="0" w:color="auto"/>
        <w:left w:val="none" w:sz="0" w:space="0" w:color="auto"/>
        <w:bottom w:val="none" w:sz="0" w:space="0" w:color="auto"/>
        <w:right w:val="none" w:sz="0" w:space="0" w:color="auto"/>
      </w:divBdr>
    </w:div>
    <w:div w:id="1648629643">
      <w:bodyDiv w:val="1"/>
      <w:marLeft w:val="0"/>
      <w:marRight w:val="0"/>
      <w:marTop w:val="0"/>
      <w:marBottom w:val="0"/>
      <w:divBdr>
        <w:top w:val="none" w:sz="0" w:space="0" w:color="auto"/>
        <w:left w:val="none" w:sz="0" w:space="0" w:color="auto"/>
        <w:bottom w:val="none" w:sz="0" w:space="0" w:color="auto"/>
        <w:right w:val="none" w:sz="0" w:space="0" w:color="auto"/>
      </w:divBdr>
    </w:div>
    <w:div w:id="1650328712">
      <w:bodyDiv w:val="1"/>
      <w:marLeft w:val="0"/>
      <w:marRight w:val="0"/>
      <w:marTop w:val="0"/>
      <w:marBottom w:val="0"/>
      <w:divBdr>
        <w:top w:val="none" w:sz="0" w:space="0" w:color="auto"/>
        <w:left w:val="none" w:sz="0" w:space="0" w:color="auto"/>
        <w:bottom w:val="none" w:sz="0" w:space="0" w:color="auto"/>
        <w:right w:val="none" w:sz="0" w:space="0" w:color="auto"/>
      </w:divBdr>
    </w:div>
    <w:div w:id="1651206269">
      <w:bodyDiv w:val="1"/>
      <w:marLeft w:val="0"/>
      <w:marRight w:val="0"/>
      <w:marTop w:val="0"/>
      <w:marBottom w:val="0"/>
      <w:divBdr>
        <w:top w:val="none" w:sz="0" w:space="0" w:color="auto"/>
        <w:left w:val="none" w:sz="0" w:space="0" w:color="auto"/>
        <w:bottom w:val="none" w:sz="0" w:space="0" w:color="auto"/>
        <w:right w:val="none" w:sz="0" w:space="0" w:color="auto"/>
      </w:divBdr>
    </w:div>
    <w:div w:id="1657762937">
      <w:bodyDiv w:val="1"/>
      <w:marLeft w:val="0"/>
      <w:marRight w:val="0"/>
      <w:marTop w:val="0"/>
      <w:marBottom w:val="0"/>
      <w:divBdr>
        <w:top w:val="none" w:sz="0" w:space="0" w:color="auto"/>
        <w:left w:val="none" w:sz="0" w:space="0" w:color="auto"/>
        <w:bottom w:val="none" w:sz="0" w:space="0" w:color="auto"/>
        <w:right w:val="none" w:sz="0" w:space="0" w:color="auto"/>
      </w:divBdr>
    </w:div>
    <w:div w:id="1659379249">
      <w:bodyDiv w:val="1"/>
      <w:marLeft w:val="0"/>
      <w:marRight w:val="0"/>
      <w:marTop w:val="0"/>
      <w:marBottom w:val="0"/>
      <w:divBdr>
        <w:top w:val="none" w:sz="0" w:space="0" w:color="auto"/>
        <w:left w:val="none" w:sz="0" w:space="0" w:color="auto"/>
        <w:bottom w:val="none" w:sz="0" w:space="0" w:color="auto"/>
        <w:right w:val="none" w:sz="0" w:space="0" w:color="auto"/>
      </w:divBdr>
    </w:div>
    <w:div w:id="1660040783">
      <w:bodyDiv w:val="1"/>
      <w:marLeft w:val="0"/>
      <w:marRight w:val="0"/>
      <w:marTop w:val="0"/>
      <w:marBottom w:val="0"/>
      <w:divBdr>
        <w:top w:val="none" w:sz="0" w:space="0" w:color="auto"/>
        <w:left w:val="none" w:sz="0" w:space="0" w:color="auto"/>
        <w:bottom w:val="none" w:sz="0" w:space="0" w:color="auto"/>
        <w:right w:val="none" w:sz="0" w:space="0" w:color="auto"/>
      </w:divBdr>
    </w:div>
    <w:div w:id="1665544739">
      <w:bodyDiv w:val="1"/>
      <w:marLeft w:val="0"/>
      <w:marRight w:val="0"/>
      <w:marTop w:val="0"/>
      <w:marBottom w:val="0"/>
      <w:divBdr>
        <w:top w:val="none" w:sz="0" w:space="0" w:color="auto"/>
        <w:left w:val="none" w:sz="0" w:space="0" w:color="auto"/>
        <w:bottom w:val="none" w:sz="0" w:space="0" w:color="auto"/>
        <w:right w:val="none" w:sz="0" w:space="0" w:color="auto"/>
      </w:divBdr>
    </w:div>
    <w:div w:id="1666782995">
      <w:bodyDiv w:val="1"/>
      <w:marLeft w:val="0"/>
      <w:marRight w:val="0"/>
      <w:marTop w:val="0"/>
      <w:marBottom w:val="0"/>
      <w:divBdr>
        <w:top w:val="none" w:sz="0" w:space="0" w:color="auto"/>
        <w:left w:val="none" w:sz="0" w:space="0" w:color="auto"/>
        <w:bottom w:val="none" w:sz="0" w:space="0" w:color="auto"/>
        <w:right w:val="none" w:sz="0" w:space="0" w:color="auto"/>
      </w:divBdr>
    </w:div>
    <w:div w:id="1668173758">
      <w:bodyDiv w:val="1"/>
      <w:marLeft w:val="0"/>
      <w:marRight w:val="0"/>
      <w:marTop w:val="0"/>
      <w:marBottom w:val="0"/>
      <w:divBdr>
        <w:top w:val="none" w:sz="0" w:space="0" w:color="auto"/>
        <w:left w:val="none" w:sz="0" w:space="0" w:color="auto"/>
        <w:bottom w:val="none" w:sz="0" w:space="0" w:color="auto"/>
        <w:right w:val="none" w:sz="0" w:space="0" w:color="auto"/>
      </w:divBdr>
    </w:div>
    <w:div w:id="1672676284">
      <w:bodyDiv w:val="1"/>
      <w:marLeft w:val="0"/>
      <w:marRight w:val="0"/>
      <w:marTop w:val="0"/>
      <w:marBottom w:val="0"/>
      <w:divBdr>
        <w:top w:val="none" w:sz="0" w:space="0" w:color="auto"/>
        <w:left w:val="none" w:sz="0" w:space="0" w:color="auto"/>
        <w:bottom w:val="none" w:sz="0" w:space="0" w:color="auto"/>
        <w:right w:val="none" w:sz="0" w:space="0" w:color="auto"/>
      </w:divBdr>
    </w:div>
    <w:div w:id="1673871485">
      <w:bodyDiv w:val="1"/>
      <w:marLeft w:val="0"/>
      <w:marRight w:val="0"/>
      <w:marTop w:val="0"/>
      <w:marBottom w:val="0"/>
      <w:divBdr>
        <w:top w:val="none" w:sz="0" w:space="0" w:color="auto"/>
        <w:left w:val="none" w:sz="0" w:space="0" w:color="auto"/>
        <w:bottom w:val="none" w:sz="0" w:space="0" w:color="auto"/>
        <w:right w:val="none" w:sz="0" w:space="0" w:color="auto"/>
      </w:divBdr>
    </w:div>
    <w:div w:id="1674529720">
      <w:bodyDiv w:val="1"/>
      <w:marLeft w:val="0"/>
      <w:marRight w:val="0"/>
      <w:marTop w:val="0"/>
      <w:marBottom w:val="0"/>
      <w:divBdr>
        <w:top w:val="none" w:sz="0" w:space="0" w:color="auto"/>
        <w:left w:val="none" w:sz="0" w:space="0" w:color="auto"/>
        <w:bottom w:val="none" w:sz="0" w:space="0" w:color="auto"/>
        <w:right w:val="none" w:sz="0" w:space="0" w:color="auto"/>
      </w:divBdr>
    </w:div>
    <w:div w:id="1677154136">
      <w:bodyDiv w:val="1"/>
      <w:marLeft w:val="0"/>
      <w:marRight w:val="0"/>
      <w:marTop w:val="0"/>
      <w:marBottom w:val="0"/>
      <w:divBdr>
        <w:top w:val="none" w:sz="0" w:space="0" w:color="auto"/>
        <w:left w:val="none" w:sz="0" w:space="0" w:color="auto"/>
        <w:bottom w:val="none" w:sz="0" w:space="0" w:color="auto"/>
        <w:right w:val="none" w:sz="0" w:space="0" w:color="auto"/>
      </w:divBdr>
    </w:div>
    <w:div w:id="1689680218">
      <w:bodyDiv w:val="1"/>
      <w:marLeft w:val="0"/>
      <w:marRight w:val="0"/>
      <w:marTop w:val="0"/>
      <w:marBottom w:val="0"/>
      <w:divBdr>
        <w:top w:val="none" w:sz="0" w:space="0" w:color="auto"/>
        <w:left w:val="none" w:sz="0" w:space="0" w:color="auto"/>
        <w:bottom w:val="none" w:sz="0" w:space="0" w:color="auto"/>
        <w:right w:val="none" w:sz="0" w:space="0" w:color="auto"/>
      </w:divBdr>
    </w:div>
    <w:div w:id="1693457854">
      <w:bodyDiv w:val="1"/>
      <w:marLeft w:val="0"/>
      <w:marRight w:val="0"/>
      <w:marTop w:val="0"/>
      <w:marBottom w:val="0"/>
      <w:divBdr>
        <w:top w:val="none" w:sz="0" w:space="0" w:color="auto"/>
        <w:left w:val="none" w:sz="0" w:space="0" w:color="auto"/>
        <w:bottom w:val="none" w:sz="0" w:space="0" w:color="auto"/>
        <w:right w:val="none" w:sz="0" w:space="0" w:color="auto"/>
      </w:divBdr>
    </w:div>
    <w:div w:id="1697586052">
      <w:bodyDiv w:val="1"/>
      <w:marLeft w:val="0"/>
      <w:marRight w:val="0"/>
      <w:marTop w:val="0"/>
      <w:marBottom w:val="0"/>
      <w:divBdr>
        <w:top w:val="none" w:sz="0" w:space="0" w:color="auto"/>
        <w:left w:val="none" w:sz="0" w:space="0" w:color="auto"/>
        <w:bottom w:val="none" w:sz="0" w:space="0" w:color="auto"/>
        <w:right w:val="none" w:sz="0" w:space="0" w:color="auto"/>
      </w:divBdr>
    </w:div>
    <w:div w:id="1697732815">
      <w:bodyDiv w:val="1"/>
      <w:marLeft w:val="0"/>
      <w:marRight w:val="0"/>
      <w:marTop w:val="0"/>
      <w:marBottom w:val="0"/>
      <w:divBdr>
        <w:top w:val="none" w:sz="0" w:space="0" w:color="auto"/>
        <w:left w:val="none" w:sz="0" w:space="0" w:color="auto"/>
        <w:bottom w:val="none" w:sz="0" w:space="0" w:color="auto"/>
        <w:right w:val="none" w:sz="0" w:space="0" w:color="auto"/>
      </w:divBdr>
    </w:div>
    <w:div w:id="1698695390">
      <w:bodyDiv w:val="1"/>
      <w:marLeft w:val="0"/>
      <w:marRight w:val="0"/>
      <w:marTop w:val="0"/>
      <w:marBottom w:val="0"/>
      <w:divBdr>
        <w:top w:val="none" w:sz="0" w:space="0" w:color="auto"/>
        <w:left w:val="none" w:sz="0" w:space="0" w:color="auto"/>
        <w:bottom w:val="none" w:sz="0" w:space="0" w:color="auto"/>
        <w:right w:val="none" w:sz="0" w:space="0" w:color="auto"/>
      </w:divBdr>
    </w:div>
    <w:div w:id="1706297519">
      <w:bodyDiv w:val="1"/>
      <w:marLeft w:val="0"/>
      <w:marRight w:val="0"/>
      <w:marTop w:val="0"/>
      <w:marBottom w:val="0"/>
      <w:divBdr>
        <w:top w:val="none" w:sz="0" w:space="0" w:color="auto"/>
        <w:left w:val="none" w:sz="0" w:space="0" w:color="auto"/>
        <w:bottom w:val="none" w:sz="0" w:space="0" w:color="auto"/>
        <w:right w:val="none" w:sz="0" w:space="0" w:color="auto"/>
      </w:divBdr>
    </w:div>
    <w:div w:id="1706372193">
      <w:bodyDiv w:val="1"/>
      <w:marLeft w:val="0"/>
      <w:marRight w:val="0"/>
      <w:marTop w:val="0"/>
      <w:marBottom w:val="0"/>
      <w:divBdr>
        <w:top w:val="none" w:sz="0" w:space="0" w:color="auto"/>
        <w:left w:val="none" w:sz="0" w:space="0" w:color="auto"/>
        <w:bottom w:val="none" w:sz="0" w:space="0" w:color="auto"/>
        <w:right w:val="none" w:sz="0" w:space="0" w:color="auto"/>
      </w:divBdr>
    </w:div>
    <w:div w:id="1706715716">
      <w:bodyDiv w:val="1"/>
      <w:marLeft w:val="0"/>
      <w:marRight w:val="0"/>
      <w:marTop w:val="0"/>
      <w:marBottom w:val="0"/>
      <w:divBdr>
        <w:top w:val="none" w:sz="0" w:space="0" w:color="auto"/>
        <w:left w:val="none" w:sz="0" w:space="0" w:color="auto"/>
        <w:bottom w:val="none" w:sz="0" w:space="0" w:color="auto"/>
        <w:right w:val="none" w:sz="0" w:space="0" w:color="auto"/>
      </w:divBdr>
    </w:div>
    <w:div w:id="1709723188">
      <w:bodyDiv w:val="1"/>
      <w:marLeft w:val="0"/>
      <w:marRight w:val="0"/>
      <w:marTop w:val="0"/>
      <w:marBottom w:val="0"/>
      <w:divBdr>
        <w:top w:val="none" w:sz="0" w:space="0" w:color="auto"/>
        <w:left w:val="none" w:sz="0" w:space="0" w:color="auto"/>
        <w:bottom w:val="none" w:sz="0" w:space="0" w:color="auto"/>
        <w:right w:val="none" w:sz="0" w:space="0" w:color="auto"/>
      </w:divBdr>
    </w:div>
    <w:div w:id="1716350493">
      <w:bodyDiv w:val="1"/>
      <w:marLeft w:val="0"/>
      <w:marRight w:val="0"/>
      <w:marTop w:val="0"/>
      <w:marBottom w:val="0"/>
      <w:divBdr>
        <w:top w:val="none" w:sz="0" w:space="0" w:color="auto"/>
        <w:left w:val="none" w:sz="0" w:space="0" w:color="auto"/>
        <w:bottom w:val="none" w:sz="0" w:space="0" w:color="auto"/>
        <w:right w:val="none" w:sz="0" w:space="0" w:color="auto"/>
      </w:divBdr>
    </w:div>
    <w:div w:id="1717658394">
      <w:bodyDiv w:val="1"/>
      <w:marLeft w:val="0"/>
      <w:marRight w:val="0"/>
      <w:marTop w:val="0"/>
      <w:marBottom w:val="0"/>
      <w:divBdr>
        <w:top w:val="none" w:sz="0" w:space="0" w:color="auto"/>
        <w:left w:val="none" w:sz="0" w:space="0" w:color="auto"/>
        <w:bottom w:val="none" w:sz="0" w:space="0" w:color="auto"/>
        <w:right w:val="none" w:sz="0" w:space="0" w:color="auto"/>
      </w:divBdr>
    </w:div>
    <w:div w:id="1719622668">
      <w:bodyDiv w:val="1"/>
      <w:marLeft w:val="0"/>
      <w:marRight w:val="0"/>
      <w:marTop w:val="0"/>
      <w:marBottom w:val="0"/>
      <w:divBdr>
        <w:top w:val="none" w:sz="0" w:space="0" w:color="auto"/>
        <w:left w:val="none" w:sz="0" w:space="0" w:color="auto"/>
        <w:bottom w:val="none" w:sz="0" w:space="0" w:color="auto"/>
        <w:right w:val="none" w:sz="0" w:space="0" w:color="auto"/>
      </w:divBdr>
    </w:div>
    <w:div w:id="1723752292">
      <w:bodyDiv w:val="1"/>
      <w:marLeft w:val="0"/>
      <w:marRight w:val="0"/>
      <w:marTop w:val="0"/>
      <w:marBottom w:val="0"/>
      <w:divBdr>
        <w:top w:val="none" w:sz="0" w:space="0" w:color="auto"/>
        <w:left w:val="none" w:sz="0" w:space="0" w:color="auto"/>
        <w:bottom w:val="none" w:sz="0" w:space="0" w:color="auto"/>
        <w:right w:val="none" w:sz="0" w:space="0" w:color="auto"/>
      </w:divBdr>
    </w:div>
    <w:div w:id="1724524260">
      <w:bodyDiv w:val="1"/>
      <w:marLeft w:val="0"/>
      <w:marRight w:val="0"/>
      <w:marTop w:val="0"/>
      <w:marBottom w:val="0"/>
      <w:divBdr>
        <w:top w:val="none" w:sz="0" w:space="0" w:color="auto"/>
        <w:left w:val="none" w:sz="0" w:space="0" w:color="auto"/>
        <w:bottom w:val="none" w:sz="0" w:space="0" w:color="auto"/>
        <w:right w:val="none" w:sz="0" w:space="0" w:color="auto"/>
      </w:divBdr>
    </w:div>
    <w:div w:id="1724907943">
      <w:bodyDiv w:val="1"/>
      <w:marLeft w:val="0"/>
      <w:marRight w:val="0"/>
      <w:marTop w:val="0"/>
      <w:marBottom w:val="0"/>
      <w:divBdr>
        <w:top w:val="none" w:sz="0" w:space="0" w:color="auto"/>
        <w:left w:val="none" w:sz="0" w:space="0" w:color="auto"/>
        <w:bottom w:val="none" w:sz="0" w:space="0" w:color="auto"/>
        <w:right w:val="none" w:sz="0" w:space="0" w:color="auto"/>
      </w:divBdr>
    </w:div>
    <w:div w:id="1733624660">
      <w:bodyDiv w:val="1"/>
      <w:marLeft w:val="0"/>
      <w:marRight w:val="0"/>
      <w:marTop w:val="0"/>
      <w:marBottom w:val="0"/>
      <w:divBdr>
        <w:top w:val="none" w:sz="0" w:space="0" w:color="auto"/>
        <w:left w:val="none" w:sz="0" w:space="0" w:color="auto"/>
        <w:bottom w:val="none" w:sz="0" w:space="0" w:color="auto"/>
        <w:right w:val="none" w:sz="0" w:space="0" w:color="auto"/>
      </w:divBdr>
    </w:div>
    <w:div w:id="1737512674">
      <w:bodyDiv w:val="1"/>
      <w:marLeft w:val="0"/>
      <w:marRight w:val="0"/>
      <w:marTop w:val="0"/>
      <w:marBottom w:val="0"/>
      <w:divBdr>
        <w:top w:val="none" w:sz="0" w:space="0" w:color="auto"/>
        <w:left w:val="none" w:sz="0" w:space="0" w:color="auto"/>
        <w:bottom w:val="none" w:sz="0" w:space="0" w:color="auto"/>
        <w:right w:val="none" w:sz="0" w:space="0" w:color="auto"/>
      </w:divBdr>
    </w:div>
    <w:div w:id="1742873932">
      <w:bodyDiv w:val="1"/>
      <w:marLeft w:val="0"/>
      <w:marRight w:val="0"/>
      <w:marTop w:val="0"/>
      <w:marBottom w:val="0"/>
      <w:divBdr>
        <w:top w:val="none" w:sz="0" w:space="0" w:color="auto"/>
        <w:left w:val="none" w:sz="0" w:space="0" w:color="auto"/>
        <w:bottom w:val="none" w:sz="0" w:space="0" w:color="auto"/>
        <w:right w:val="none" w:sz="0" w:space="0" w:color="auto"/>
      </w:divBdr>
    </w:div>
    <w:div w:id="1743523437">
      <w:bodyDiv w:val="1"/>
      <w:marLeft w:val="0"/>
      <w:marRight w:val="0"/>
      <w:marTop w:val="0"/>
      <w:marBottom w:val="0"/>
      <w:divBdr>
        <w:top w:val="none" w:sz="0" w:space="0" w:color="auto"/>
        <w:left w:val="none" w:sz="0" w:space="0" w:color="auto"/>
        <w:bottom w:val="none" w:sz="0" w:space="0" w:color="auto"/>
        <w:right w:val="none" w:sz="0" w:space="0" w:color="auto"/>
      </w:divBdr>
      <w:divsChild>
        <w:div w:id="700059877">
          <w:marLeft w:val="480"/>
          <w:marRight w:val="0"/>
          <w:marTop w:val="0"/>
          <w:marBottom w:val="0"/>
          <w:divBdr>
            <w:top w:val="none" w:sz="0" w:space="0" w:color="auto"/>
            <w:left w:val="none" w:sz="0" w:space="0" w:color="auto"/>
            <w:bottom w:val="none" w:sz="0" w:space="0" w:color="auto"/>
            <w:right w:val="none" w:sz="0" w:space="0" w:color="auto"/>
          </w:divBdr>
        </w:div>
        <w:div w:id="698314858">
          <w:marLeft w:val="480"/>
          <w:marRight w:val="0"/>
          <w:marTop w:val="0"/>
          <w:marBottom w:val="0"/>
          <w:divBdr>
            <w:top w:val="none" w:sz="0" w:space="0" w:color="auto"/>
            <w:left w:val="none" w:sz="0" w:space="0" w:color="auto"/>
            <w:bottom w:val="none" w:sz="0" w:space="0" w:color="auto"/>
            <w:right w:val="none" w:sz="0" w:space="0" w:color="auto"/>
          </w:divBdr>
        </w:div>
        <w:div w:id="1260260003">
          <w:marLeft w:val="480"/>
          <w:marRight w:val="0"/>
          <w:marTop w:val="0"/>
          <w:marBottom w:val="0"/>
          <w:divBdr>
            <w:top w:val="none" w:sz="0" w:space="0" w:color="auto"/>
            <w:left w:val="none" w:sz="0" w:space="0" w:color="auto"/>
            <w:bottom w:val="none" w:sz="0" w:space="0" w:color="auto"/>
            <w:right w:val="none" w:sz="0" w:space="0" w:color="auto"/>
          </w:divBdr>
        </w:div>
        <w:div w:id="159396376">
          <w:marLeft w:val="480"/>
          <w:marRight w:val="0"/>
          <w:marTop w:val="0"/>
          <w:marBottom w:val="0"/>
          <w:divBdr>
            <w:top w:val="none" w:sz="0" w:space="0" w:color="auto"/>
            <w:left w:val="none" w:sz="0" w:space="0" w:color="auto"/>
            <w:bottom w:val="none" w:sz="0" w:space="0" w:color="auto"/>
            <w:right w:val="none" w:sz="0" w:space="0" w:color="auto"/>
          </w:divBdr>
        </w:div>
        <w:div w:id="1436367034">
          <w:marLeft w:val="480"/>
          <w:marRight w:val="0"/>
          <w:marTop w:val="0"/>
          <w:marBottom w:val="0"/>
          <w:divBdr>
            <w:top w:val="none" w:sz="0" w:space="0" w:color="auto"/>
            <w:left w:val="none" w:sz="0" w:space="0" w:color="auto"/>
            <w:bottom w:val="none" w:sz="0" w:space="0" w:color="auto"/>
            <w:right w:val="none" w:sz="0" w:space="0" w:color="auto"/>
          </w:divBdr>
        </w:div>
        <w:div w:id="1355693257">
          <w:marLeft w:val="480"/>
          <w:marRight w:val="0"/>
          <w:marTop w:val="0"/>
          <w:marBottom w:val="0"/>
          <w:divBdr>
            <w:top w:val="none" w:sz="0" w:space="0" w:color="auto"/>
            <w:left w:val="none" w:sz="0" w:space="0" w:color="auto"/>
            <w:bottom w:val="none" w:sz="0" w:space="0" w:color="auto"/>
            <w:right w:val="none" w:sz="0" w:space="0" w:color="auto"/>
          </w:divBdr>
        </w:div>
        <w:div w:id="1950505591">
          <w:marLeft w:val="480"/>
          <w:marRight w:val="0"/>
          <w:marTop w:val="0"/>
          <w:marBottom w:val="0"/>
          <w:divBdr>
            <w:top w:val="none" w:sz="0" w:space="0" w:color="auto"/>
            <w:left w:val="none" w:sz="0" w:space="0" w:color="auto"/>
            <w:bottom w:val="none" w:sz="0" w:space="0" w:color="auto"/>
            <w:right w:val="none" w:sz="0" w:space="0" w:color="auto"/>
          </w:divBdr>
        </w:div>
        <w:div w:id="595942513">
          <w:marLeft w:val="480"/>
          <w:marRight w:val="0"/>
          <w:marTop w:val="0"/>
          <w:marBottom w:val="0"/>
          <w:divBdr>
            <w:top w:val="none" w:sz="0" w:space="0" w:color="auto"/>
            <w:left w:val="none" w:sz="0" w:space="0" w:color="auto"/>
            <w:bottom w:val="none" w:sz="0" w:space="0" w:color="auto"/>
            <w:right w:val="none" w:sz="0" w:space="0" w:color="auto"/>
          </w:divBdr>
        </w:div>
        <w:div w:id="2116049083">
          <w:marLeft w:val="480"/>
          <w:marRight w:val="0"/>
          <w:marTop w:val="0"/>
          <w:marBottom w:val="0"/>
          <w:divBdr>
            <w:top w:val="none" w:sz="0" w:space="0" w:color="auto"/>
            <w:left w:val="none" w:sz="0" w:space="0" w:color="auto"/>
            <w:bottom w:val="none" w:sz="0" w:space="0" w:color="auto"/>
            <w:right w:val="none" w:sz="0" w:space="0" w:color="auto"/>
          </w:divBdr>
        </w:div>
        <w:div w:id="539129237">
          <w:marLeft w:val="480"/>
          <w:marRight w:val="0"/>
          <w:marTop w:val="0"/>
          <w:marBottom w:val="0"/>
          <w:divBdr>
            <w:top w:val="none" w:sz="0" w:space="0" w:color="auto"/>
            <w:left w:val="none" w:sz="0" w:space="0" w:color="auto"/>
            <w:bottom w:val="none" w:sz="0" w:space="0" w:color="auto"/>
            <w:right w:val="none" w:sz="0" w:space="0" w:color="auto"/>
          </w:divBdr>
        </w:div>
        <w:div w:id="1884364620">
          <w:marLeft w:val="480"/>
          <w:marRight w:val="0"/>
          <w:marTop w:val="0"/>
          <w:marBottom w:val="0"/>
          <w:divBdr>
            <w:top w:val="none" w:sz="0" w:space="0" w:color="auto"/>
            <w:left w:val="none" w:sz="0" w:space="0" w:color="auto"/>
            <w:bottom w:val="none" w:sz="0" w:space="0" w:color="auto"/>
            <w:right w:val="none" w:sz="0" w:space="0" w:color="auto"/>
          </w:divBdr>
        </w:div>
        <w:div w:id="623317139">
          <w:marLeft w:val="480"/>
          <w:marRight w:val="0"/>
          <w:marTop w:val="0"/>
          <w:marBottom w:val="0"/>
          <w:divBdr>
            <w:top w:val="none" w:sz="0" w:space="0" w:color="auto"/>
            <w:left w:val="none" w:sz="0" w:space="0" w:color="auto"/>
            <w:bottom w:val="none" w:sz="0" w:space="0" w:color="auto"/>
            <w:right w:val="none" w:sz="0" w:space="0" w:color="auto"/>
          </w:divBdr>
        </w:div>
        <w:div w:id="1393193126">
          <w:marLeft w:val="480"/>
          <w:marRight w:val="0"/>
          <w:marTop w:val="0"/>
          <w:marBottom w:val="0"/>
          <w:divBdr>
            <w:top w:val="none" w:sz="0" w:space="0" w:color="auto"/>
            <w:left w:val="none" w:sz="0" w:space="0" w:color="auto"/>
            <w:bottom w:val="none" w:sz="0" w:space="0" w:color="auto"/>
            <w:right w:val="none" w:sz="0" w:space="0" w:color="auto"/>
          </w:divBdr>
        </w:div>
        <w:div w:id="697894793">
          <w:marLeft w:val="480"/>
          <w:marRight w:val="0"/>
          <w:marTop w:val="0"/>
          <w:marBottom w:val="0"/>
          <w:divBdr>
            <w:top w:val="none" w:sz="0" w:space="0" w:color="auto"/>
            <w:left w:val="none" w:sz="0" w:space="0" w:color="auto"/>
            <w:bottom w:val="none" w:sz="0" w:space="0" w:color="auto"/>
            <w:right w:val="none" w:sz="0" w:space="0" w:color="auto"/>
          </w:divBdr>
        </w:div>
        <w:div w:id="701593372">
          <w:marLeft w:val="480"/>
          <w:marRight w:val="0"/>
          <w:marTop w:val="0"/>
          <w:marBottom w:val="0"/>
          <w:divBdr>
            <w:top w:val="none" w:sz="0" w:space="0" w:color="auto"/>
            <w:left w:val="none" w:sz="0" w:space="0" w:color="auto"/>
            <w:bottom w:val="none" w:sz="0" w:space="0" w:color="auto"/>
            <w:right w:val="none" w:sz="0" w:space="0" w:color="auto"/>
          </w:divBdr>
        </w:div>
        <w:div w:id="113790913">
          <w:marLeft w:val="480"/>
          <w:marRight w:val="0"/>
          <w:marTop w:val="0"/>
          <w:marBottom w:val="0"/>
          <w:divBdr>
            <w:top w:val="none" w:sz="0" w:space="0" w:color="auto"/>
            <w:left w:val="none" w:sz="0" w:space="0" w:color="auto"/>
            <w:bottom w:val="none" w:sz="0" w:space="0" w:color="auto"/>
            <w:right w:val="none" w:sz="0" w:space="0" w:color="auto"/>
          </w:divBdr>
        </w:div>
        <w:div w:id="1296721735">
          <w:marLeft w:val="480"/>
          <w:marRight w:val="0"/>
          <w:marTop w:val="0"/>
          <w:marBottom w:val="0"/>
          <w:divBdr>
            <w:top w:val="none" w:sz="0" w:space="0" w:color="auto"/>
            <w:left w:val="none" w:sz="0" w:space="0" w:color="auto"/>
            <w:bottom w:val="none" w:sz="0" w:space="0" w:color="auto"/>
            <w:right w:val="none" w:sz="0" w:space="0" w:color="auto"/>
          </w:divBdr>
        </w:div>
        <w:div w:id="1055854131">
          <w:marLeft w:val="480"/>
          <w:marRight w:val="0"/>
          <w:marTop w:val="0"/>
          <w:marBottom w:val="0"/>
          <w:divBdr>
            <w:top w:val="none" w:sz="0" w:space="0" w:color="auto"/>
            <w:left w:val="none" w:sz="0" w:space="0" w:color="auto"/>
            <w:bottom w:val="none" w:sz="0" w:space="0" w:color="auto"/>
            <w:right w:val="none" w:sz="0" w:space="0" w:color="auto"/>
          </w:divBdr>
        </w:div>
        <w:div w:id="1155684891">
          <w:marLeft w:val="480"/>
          <w:marRight w:val="0"/>
          <w:marTop w:val="0"/>
          <w:marBottom w:val="0"/>
          <w:divBdr>
            <w:top w:val="none" w:sz="0" w:space="0" w:color="auto"/>
            <w:left w:val="none" w:sz="0" w:space="0" w:color="auto"/>
            <w:bottom w:val="none" w:sz="0" w:space="0" w:color="auto"/>
            <w:right w:val="none" w:sz="0" w:space="0" w:color="auto"/>
          </w:divBdr>
        </w:div>
        <w:div w:id="1567570992">
          <w:marLeft w:val="480"/>
          <w:marRight w:val="0"/>
          <w:marTop w:val="0"/>
          <w:marBottom w:val="0"/>
          <w:divBdr>
            <w:top w:val="none" w:sz="0" w:space="0" w:color="auto"/>
            <w:left w:val="none" w:sz="0" w:space="0" w:color="auto"/>
            <w:bottom w:val="none" w:sz="0" w:space="0" w:color="auto"/>
            <w:right w:val="none" w:sz="0" w:space="0" w:color="auto"/>
          </w:divBdr>
        </w:div>
        <w:div w:id="685137325">
          <w:marLeft w:val="480"/>
          <w:marRight w:val="0"/>
          <w:marTop w:val="0"/>
          <w:marBottom w:val="0"/>
          <w:divBdr>
            <w:top w:val="none" w:sz="0" w:space="0" w:color="auto"/>
            <w:left w:val="none" w:sz="0" w:space="0" w:color="auto"/>
            <w:bottom w:val="none" w:sz="0" w:space="0" w:color="auto"/>
            <w:right w:val="none" w:sz="0" w:space="0" w:color="auto"/>
          </w:divBdr>
        </w:div>
        <w:div w:id="1748501177">
          <w:marLeft w:val="480"/>
          <w:marRight w:val="0"/>
          <w:marTop w:val="0"/>
          <w:marBottom w:val="0"/>
          <w:divBdr>
            <w:top w:val="none" w:sz="0" w:space="0" w:color="auto"/>
            <w:left w:val="none" w:sz="0" w:space="0" w:color="auto"/>
            <w:bottom w:val="none" w:sz="0" w:space="0" w:color="auto"/>
            <w:right w:val="none" w:sz="0" w:space="0" w:color="auto"/>
          </w:divBdr>
        </w:div>
        <w:div w:id="2146316061">
          <w:marLeft w:val="480"/>
          <w:marRight w:val="0"/>
          <w:marTop w:val="0"/>
          <w:marBottom w:val="0"/>
          <w:divBdr>
            <w:top w:val="none" w:sz="0" w:space="0" w:color="auto"/>
            <w:left w:val="none" w:sz="0" w:space="0" w:color="auto"/>
            <w:bottom w:val="none" w:sz="0" w:space="0" w:color="auto"/>
            <w:right w:val="none" w:sz="0" w:space="0" w:color="auto"/>
          </w:divBdr>
        </w:div>
        <w:div w:id="118381959">
          <w:marLeft w:val="480"/>
          <w:marRight w:val="0"/>
          <w:marTop w:val="0"/>
          <w:marBottom w:val="0"/>
          <w:divBdr>
            <w:top w:val="none" w:sz="0" w:space="0" w:color="auto"/>
            <w:left w:val="none" w:sz="0" w:space="0" w:color="auto"/>
            <w:bottom w:val="none" w:sz="0" w:space="0" w:color="auto"/>
            <w:right w:val="none" w:sz="0" w:space="0" w:color="auto"/>
          </w:divBdr>
        </w:div>
        <w:div w:id="602806863">
          <w:marLeft w:val="480"/>
          <w:marRight w:val="0"/>
          <w:marTop w:val="0"/>
          <w:marBottom w:val="0"/>
          <w:divBdr>
            <w:top w:val="none" w:sz="0" w:space="0" w:color="auto"/>
            <w:left w:val="none" w:sz="0" w:space="0" w:color="auto"/>
            <w:bottom w:val="none" w:sz="0" w:space="0" w:color="auto"/>
            <w:right w:val="none" w:sz="0" w:space="0" w:color="auto"/>
          </w:divBdr>
        </w:div>
        <w:div w:id="1184443548">
          <w:marLeft w:val="480"/>
          <w:marRight w:val="0"/>
          <w:marTop w:val="0"/>
          <w:marBottom w:val="0"/>
          <w:divBdr>
            <w:top w:val="none" w:sz="0" w:space="0" w:color="auto"/>
            <w:left w:val="none" w:sz="0" w:space="0" w:color="auto"/>
            <w:bottom w:val="none" w:sz="0" w:space="0" w:color="auto"/>
            <w:right w:val="none" w:sz="0" w:space="0" w:color="auto"/>
          </w:divBdr>
        </w:div>
        <w:div w:id="1871796902">
          <w:marLeft w:val="480"/>
          <w:marRight w:val="0"/>
          <w:marTop w:val="0"/>
          <w:marBottom w:val="0"/>
          <w:divBdr>
            <w:top w:val="none" w:sz="0" w:space="0" w:color="auto"/>
            <w:left w:val="none" w:sz="0" w:space="0" w:color="auto"/>
            <w:bottom w:val="none" w:sz="0" w:space="0" w:color="auto"/>
            <w:right w:val="none" w:sz="0" w:space="0" w:color="auto"/>
          </w:divBdr>
        </w:div>
        <w:div w:id="1079450337">
          <w:marLeft w:val="480"/>
          <w:marRight w:val="0"/>
          <w:marTop w:val="0"/>
          <w:marBottom w:val="0"/>
          <w:divBdr>
            <w:top w:val="none" w:sz="0" w:space="0" w:color="auto"/>
            <w:left w:val="none" w:sz="0" w:space="0" w:color="auto"/>
            <w:bottom w:val="none" w:sz="0" w:space="0" w:color="auto"/>
            <w:right w:val="none" w:sz="0" w:space="0" w:color="auto"/>
          </w:divBdr>
        </w:div>
        <w:div w:id="1048605986">
          <w:marLeft w:val="480"/>
          <w:marRight w:val="0"/>
          <w:marTop w:val="0"/>
          <w:marBottom w:val="0"/>
          <w:divBdr>
            <w:top w:val="none" w:sz="0" w:space="0" w:color="auto"/>
            <w:left w:val="none" w:sz="0" w:space="0" w:color="auto"/>
            <w:bottom w:val="none" w:sz="0" w:space="0" w:color="auto"/>
            <w:right w:val="none" w:sz="0" w:space="0" w:color="auto"/>
          </w:divBdr>
        </w:div>
        <w:div w:id="1216625710">
          <w:marLeft w:val="480"/>
          <w:marRight w:val="0"/>
          <w:marTop w:val="0"/>
          <w:marBottom w:val="0"/>
          <w:divBdr>
            <w:top w:val="none" w:sz="0" w:space="0" w:color="auto"/>
            <w:left w:val="none" w:sz="0" w:space="0" w:color="auto"/>
            <w:bottom w:val="none" w:sz="0" w:space="0" w:color="auto"/>
            <w:right w:val="none" w:sz="0" w:space="0" w:color="auto"/>
          </w:divBdr>
        </w:div>
        <w:div w:id="1110667944">
          <w:marLeft w:val="480"/>
          <w:marRight w:val="0"/>
          <w:marTop w:val="0"/>
          <w:marBottom w:val="0"/>
          <w:divBdr>
            <w:top w:val="none" w:sz="0" w:space="0" w:color="auto"/>
            <w:left w:val="none" w:sz="0" w:space="0" w:color="auto"/>
            <w:bottom w:val="none" w:sz="0" w:space="0" w:color="auto"/>
            <w:right w:val="none" w:sz="0" w:space="0" w:color="auto"/>
          </w:divBdr>
        </w:div>
        <w:div w:id="779959705">
          <w:marLeft w:val="480"/>
          <w:marRight w:val="0"/>
          <w:marTop w:val="0"/>
          <w:marBottom w:val="0"/>
          <w:divBdr>
            <w:top w:val="none" w:sz="0" w:space="0" w:color="auto"/>
            <w:left w:val="none" w:sz="0" w:space="0" w:color="auto"/>
            <w:bottom w:val="none" w:sz="0" w:space="0" w:color="auto"/>
            <w:right w:val="none" w:sz="0" w:space="0" w:color="auto"/>
          </w:divBdr>
        </w:div>
        <w:div w:id="635061399">
          <w:marLeft w:val="480"/>
          <w:marRight w:val="0"/>
          <w:marTop w:val="0"/>
          <w:marBottom w:val="0"/>
          <w:divBdr>
            <w:top w:val="none" w:sz="0" w:space="0" w:color="auto"/>
            <w:left w:val="none" w:sz="0" w:space="0" w:color="auto"/>
            <w:bottom w:val="none" w:sz="0" w:space="0" w:color="auto"/>
            <w:right w:val="none" w:sz="0" w:space="0" w:color="auto"/>
          </w:divBdr>
        </w:div>
        <w:div w:id="1709720240">
          <w:marLeft w:val="480"/>
          <w:marRight w:val="0"/>
          <w:marTop w:val="0"/>
          <w:marBottom w:val="0"/>
          <w:divBdr>
            <w:top w:val="none" w:sz="0" w:space="0" w:color="auto"/>
            <w:left w:val="none" w:sz="0" w:space="0" w:color="auto"/>
            <w:bottom w:val="none" w:sz="0" w:space="0" w:color="auto"/>
            <w:right w:val="none" w:sz="0" w:space="0" w:color="auto"/>
          </w:divBdr>
        </w:div>
        <w:div w:id="1814905746">
          <w:marLeft w:val="480"/>
          <w:marRight w:val="0"/>
          <w:marTop w:val="0"/>
          <w:marBottom w:val="0"/>
          <w:divBdr>
            <w:top w:val="none" w:sz="0" w:space="0" w:color="auto"/>
            <w:left w:val="none" w:sz="0" w:space="0" w:color="auto"/>
            <w:bottom w:val="none" w:sz="0" w:space="0" w:color="auto"/>
            <w:right w:val="none" w:sz="0" w:space="0" w:color="auto"/>
          </w:divBdr>
        </w:div>
        <w:div w:id="1397821241">
          <w:marLeft w:val="480"/>
          <w:marRight w:val="0"/>
          <w:marTop w:val="0"/>
          <w:marBottom w:val="0"/>
          <w:divBdr>
            <w:top w:val="none" w:sz="0" w:space="0" w:color="auto"/>
            <w:left w:val="none" w:sz="0" w:space="0" w:color="auto"/>
            <w:bottom w:val="none" w:sz="0" w:space="0" w:color="auto"/>
            <w:right w:val="none" w:sz="0" w:space="0" w:color="auto"/>
          </w:divBdr>
        </w:div>
        <w:div w:id="336158267">
          <w:marLeft w:val="480"/>
          <w:marRight w:val="0"/>
          <w:marTop w:val="0"/>
          <w:marBottom w:val="0"/>
          <w:divBdr>
            <w:top w:val="none" w:sz="0" w:space="0" w:color="auto"/>
            <w:left w:val="none" w:sz="0" w:space="0" w:color="auto"/>
            <w:bottom w:val="none" w:sz="0" w:space="0" w:color="auto"/>
            <w:right w:val="none" w:sz="0" w:space="0" w:color="auto"/>
          </w:divBdr>
        </w:div>
        <w:div w:id="819738371">
          <w:marLeft w:val="480"/>
          <w:marRight w:val="0"/>
          <w:marTop w:val="0"/>
          <w:marBottom w:val="0"/>
          <w:divBdr>
            <w:top w:val="none" w:sz="0" w:space="0" w:color="auto"/>
            <w:left w:val="none" w:sz="0" w:space="0" w:color="auto"/>
            <w:bottom w:val="none" w:sz="0" w:space="0" w:color="auto"/>
            <w:right w:val="none" w:sz="0" w:space="0" w:color="auto"/>
          </w:divBdr>
        </w:div>
        <w:div w:id="31616346">
          <w:marLeft w:val="480"/>
          <w:marRight w:val="0"/>
          <w:marTop w:val="0"/>
          <w:marBottom w:val="0"/>
          <w:divBdr>
            <w:top w:val="none" w:sz="0" w:space="0" w:color="auto"/>
            <w:left w:val="none" w:sz="0" w:space="0" w:color="auto"/>
            <w:bottom w:val="none" w:sz="0" w:space="0" w:color="auto"/>
            <w:right w:val="none" w:sz="0" w:space="0" w:color="auto"/>
          </w:divBdr>
        </w:div>
        <w:div w:id="797456869">
          <w:marLeft w:val="480"/>
          <w:marRight w:val="0"/>
          <w:marTop w:val="0"/>
          <w:marBottom w:val="0"/>
          <w:divBdr>
            <w:top w:val="none" w:sz="0" w:space="0" w:color="auto"/>
            <w:left w:val="none" w:sz="0" w:space="0" w:color="auto"/>
            <w:bottom w:val="none" w:sz="0" w:space="0" w:color="auto"/>
            <w:right w:val="none" w:sz="0" w:space="0" w:color="auto"/>
          </w:divBdr>
        </w:div>
        <w:div w:id="446975624">
          <w:marLeft w:val="480"/>
          <w:marRight w:val="0"/>
          <w:marTop w:val="0"/>
          <w:marBottom w:val="0"/>
          <w:divBdr>
            <w:top w:val="none" w:sz="0" w:space="0" w:color="auto"/>
            <w:left w:val="none" w:sz="0" w:space="0" w:color="auto"/>
            <w:bottom w:val="none" w:sz="0" w:space="0" w:color="auto"/>
            <w:right w:val="none" w:sz="0" w:space="0" w:color="auto"/>
          </w:divBdr>
        </w:div>
        <w:div w:id="1772511126">
          <w:marLeft w:val="480"/>
          <w:marRight w:val="0"/>
          <w:marTop w:val="0"/>
          <w:marBottom w:val="0"/>
          <w:divBdr>
            <w:top w:val="none" w:sz="0" w:space="0" w:color="auto"/>
            <w:left w:val="none" w:sz="0" w:space="0" w:color="auto"/>
            <w:bottom w:val="none" w:sz="0" w:space="0" w:color="auto"/>
            <w:right w:val="none" w:sz="0" w:space="0" w:color="auto"/>
          </w:divBdr>
        </w:div>
        <w:div w:id="674847898">
          <w:marLeft w:val="480"/>
          <w:marRight w:val="0"/>
          <w:marTop w:val="0"/>
          <w:marBottom w:val="0"/>
          <w:divBdr>
            <w:top w:val="none" w:sz="0" w:space="0" w:color="auto"/>
            <w:left w:val="none" w:sz="0" w:space="0" w:color="auto"/>
            <w:bottom w:val="none" w:sz="0" w:space="0" w:color="auto"/>
            <w:right w:val="none" w:sz="0" w:space="0" w:color="auto"/>
          </w:divBdr>
        </w:div>
        <w:div w:id="443378775">
          <w:marLeft w:val="480"/>
          <w:marRight w:val="0"/>
          <w:marTop w:val="0"/>
          <w:marBottom w:val="0"/>
          <w:divBdr>
            <w:top w:val="none" w:sz="0" w:space="0" w:color="auto"/>
            <w:left w:val="none" w:sz="0" w:space="0" w:color="auto"/>
            <w:bottom w:val="none" w:sz="0" w:space="0" w:color="auto"/>
            <w:right w:val="none" w:sz="0" w:space="0" w:color="auto"/>
          </w:divBdr>
        </w:div>
        <w:div w:id="1973703937">
          <w:marLeft w:val="480"/>
          <w:marRight w:val="0"/>
          <w:marTop w:val="0"/>
          <w:marBottom w:val="0"/>
          <w:divBdr>
            <w:top w:val="none" w:sz="0" w:space="0" w:color="auto"/>
            <w:left w:val="none" w:sz="0" w:space="0" w:color="auto"/>
            <w:bottom w:val="none" w:sz="0" w:space="0" w:color="auto"/>
            <w:right w:val="none" w:sz="0" w:space="0" w:color="auto"/>
          </w:divBdr>
        </w:div>
        <w:div w:id="583874555">
          <w:marLeft w:val="480"/>
          <w:marRight w:val="0"/>
          <w:marTop w:val="0"/>
          <w:marBottom w:val="0"/>
          <w:divBdr>
            <w:top w:val="none" w:sz="0" w:space="0" w:color="auto"/>
            <w:left w:val="none" w:sz="0" w:space="0" w:color="auto"/>
            <w:bottom w:val="none" w:sz="0" w:space="0" w:color="auto"/>
            <w:right w:val="none" w:sz="0" w:space="0" w:color="auto"/>
          </w:divBdr>
        </w:div>
        <w:div w:id="710806536">
          <w:marLeft w:val="480"/>
          <w:marRight w:val="0"/>
          <w:marTop w:val="0"/>
          <w:marBottom w:val="0"/>
          <w:divBdr>
            <w:top w:val="none" w:sz="0" w:space="0" w:color="auto"/>
            <w:left w:val="none" w:sz="0" w:space="0" w:color="auto"/>
            <w:bottom w:val="none" w:sz="0" w:space="0" w:color="auto"/>
            <w:right w:val="none" w:sz="0" w:space="0" w:color="auto"/>
          </w:divBdr>
        </w:div>
        <w:div w:id="546260504">
          <w:marLeft w:val="480"/>
          <w:marRight w:val="0"/>
          <w:marTop w:val="0"/>
          <w:marBottom w:val="0"/>
          <w:divBdr>
            <w:top w:val="none" w:sz="0" w:space="0" w:color="auto"/>
            <w:left w:val="none" w:sz="0" w:space="0" w:color="auto"/>
            <w:bottom w:val="none" w:sz="0" w:space="0" w:color="auto"/>
            <w:right w:val="none" w:sz="0" w:space="0" w:color="auto"/>
          </w:divBdr>
        </w:div>
        <w:div w:id="597835006">
          <w:marLeft w:val="480"/>
          <w:marRight w:val="0"/>
          <w:marTop w:val="0"/>
          <w:marBottom w:val="0"/>
          <w:divBdr>
            <w:top w:val="none" w:sz="0" w:space="0" w:color="auto"/>
            <w:left w:val="none" w:sz="0" w:space="0" w:color="auto"/>
            <w:bottom w:val="none" w:sz="0" w:space="0" w:color="auto"/>
            <w:right w:val="none" w:sz="0" w:space="0" w:color="auto"/>
          </w:divBdr>
        </w:div>
        <w:div w:id="137191043">
          <w:marLeft w:val="480"/>
          <w:marRight w:val="0"/>
          <w:marTop w:val="0"/>
          <w:marBottom w:val="0"/>
          <w:divBdr>
            <w:top w:val="none" w:sz="0" w:space="0" w:color="auto"/>
            <w:left w:val="none" w:sz="0" w:space="0" w:color="auto"/>
            <w:bottom w:val="none" w:sz="0" w:space="0" w:color="auto"/>
            <w:right w:val="none" w:sz="0" w:space="0" w:color="auto"/>
          </w:divBdr>
        </w:div>
        <w:div w:id="1564292059">
          <w:marLeft w:val="480"/>
          <w:marRight w:val="0"/>
          <w:marTop w:val="0"/>
          <w:marBottom w:val="0"/>
          <w:divBdr>
            <w:top w:val="none" w:sz="0" w:space="0" w:color="auto"/>
            <w:left w:val="none" w:sz="0" w:space="0" w:color="auto"/>
            <w:bottom w:val="none" w:sz="0" w:space="0" w:color="auto"/>
            <w:right w:val="none" w:sz="0" w:space="0" w:color="auto"/>
          </w:divBdr>
        </w:div>
        <w:div w:id="1907909196">
          <w:marLeft w:val="480"/>
          <w:marRight w:val="0"/>
          <w:marTop w:val="0"/>
          <w:marBottom w:val="0"/>
          <w:divBdr>
            <w:top w:val="none" w:sz="0" w:space="0" w:color="auto"/>
            <w:left w:val="none" w:sz="0" w:space="0" w:color="auto"/>
            <w:bottom w:val="none" w:sz="0" w:space="0" w:color="auto"/>
            <w:right w:val="none" w:sz="0" w:space="0" w:color="auto"/>
          </w:divBdr>
        </w:div>
        <w:div w:id="556475928">
          <w:marLeft w:val="480"/>
          <w:marRight w:val="0"/>
          <w:marTop w:val="0"/>
          <w:marBottom w:val="0"/>
          <w:divBdr>
            <w:top w:val="none" w:sz="0" w:space="0" w:color="auto"/>
            <w:left w:val="none" w:sz="0" w:space="0" w:color="auto"/>
            <w:bottom w:val="none" w:sz="0" w:space="0" w:color="auto"/>
            <w:right w:val="none" w:sz="0" w:space="0" w:color="auto"/>
          </w:divBdr>
        </w:div>
        <w:div w:id="1930263900">
          <w:marLeft w:val="480"/>
          <w:marRight w:val="0"/>
          <w:marTop w:val="0"/>
          <w:marBottom w:val="0"/>
          <w:divBdr>
            <w:top w:val="none" w:sz="0" w:space="0" w:color="auto"/>
            <w:left w:val="none" w:sz="0" w:space="0" w:color="auto"/>
            <w:bottom w:val="none" w:sz="0" w:space="0" w:color="auto"/>
            <w:right w:val="none" w:sz="0" w:space="0" w:color="auto"/>
          </w:divBdr>
        </w:div>
        <w:div w:id="1677612899">
          <w:marLeft w:val="480"/>
          <w:marRight w:val="0"/>
          <w:marTop w:val="0"/>
          <w:marBottom w:val="0"/>
          <w:divBdr>
            <w:top w:val="none" w:sz="0" w:space="0" w:color="auto"/>
            <w:left w:val="none" w:sz="0" w:space="0" w:color="auto"/>
            <w:bottom w:val="none" w:sz="0" w:space="0" w:color="auto"/>
            <w:right w:val="none" w:sz="0" w:space="0" w:color="auto"/>
          </w:divBdr>
        </w:div>
        <w:div w:id="113329569">
          <w:marLeft w:val="480"/>
          <w:marRight w:val="0"/>
          <w:marTop w:val="0"/>
          <w:marBottom w:val="0"/>
          <w:divBdr>
            <w:top w:val="none" w:sz="0" w:space="0" w:color="auto"/>
            <w:left w:val="none" w:sz="0" w:space="0" w:color="auto"/>
            <w:bottom w:val="none" w:sz="0" w:space="0" w:color="auto"/>
            <w:right w:val="none" w:sz="0" w:space="0" w:color="auto"/>
          </w:divBdr>
        </w:div>
        <w:div w:id="1227955208">
          <w:marLeft w:val="480"/>
          <w:marRight w:val="0"/>
          <w:marTop w:val="0"/>
          <w:marBottom w:val="0"/>
          <w:divBdr>
            <w:top w:val="none" w:sz="0" w:space="0" w:color="auto"/>
            <w:left w:val="none" w:sz="0" w:space="0" w:color="auto"/>
            <w:bottom w:val="none" w:sz="0" w:space="0" w:color="auto"/>
            <w:right w:val="none" w:sz="0" w:space="0" w:color="auto"/>
          </w:divBdr>
        </w:div>
        <w:div w:id="2070569329">
          <w:marLeft w:val="480"/>
          <w:marRight w:val="0"/>
          <w:marTop w:val="0"/>
          <w:marBottom w:val="0"/>
          <w:divBdr>
            <w:top w:val="none" w:sz="0" w:space="0" w:color="auto"/>
            <w:left w:val="none" w:sz="0" w:space="0" w:color="auto"/>
            <w:bottom w:val="none" w:sz="0" w:space="0" w:color="auto"/>
            <w:right w:val="none" w:sz="0" w:space="0" w:color="auto"/>
          </w:divBdr>
        </w:div>
        <w:div w:id="1233001950">
          <w:marLeft w:val="480"/>
          <w:marRight w:val="0"/>
          <w:marTop w:val="0"/>
          <w:marBottom w:val="0"/>
          <w:divBdr>
            <w:top w:val="none" w:sz="0" w:space="0" w:color="auto"/>
            <w:left w:val="none" w:sz="0" w:space="0" w:color="auto"/>
            <w:bottom w:val="none" w:sz="0" w:space="0" w:color="auto"/>
            <w:right w:val="none" w:sz="0" w:space="0" w:color="auto"/>
          </w:divBdr>
        </w:div>
        <w:div w:id="1300956883">
          <w:marLeft w:val="480"/>
          <w:marRight w:val="0"/>
          <w:marTop w:val="0"/>
          <w:marBottom w:val="0"/>
          <w:divBdr>
            <w:top w:val="none" w:sz="0" w:space="0" w:color="auto"/>
            <w:left w:val="none" w:sz="0" w:space="0" w:color="auto"/>
            <w:bottom w:val="none" w:sz="0" w:space="0" w:color="auto"/>
            <w:right w:val="none" w:sz="0" w:space="0" w:color="auto"/>
          </w:divBdr>
        </w:div>
        <w:div w:id="1334454204">
          <w:marLeft w:val="480"/>
          <w:marRight w:val="0"/>
          <w:marTop w:val="0"/>
          <w:marBottom w:val="0"/>
          <w:divBdr>
            <w:top w:val="none" w:sz="0" w:space="0" w:color="auto"/>
            <w:left w:val="none" w:sz="0" w:space="0" w:color="auto"/>
            <w:bottom w:val="none" w:sz="0" w:space="0" w:color="auto"/>
            <w:right w:val="none" w:sz="0" w:space="0" w:color="auto"/>
          </w:divBdr>
        </w:div>
        <w:div w:id="1539078204">
          <w:marLeft w:val="480"/>
          <w:marRight w:val="0"/>
          <w:marTop w:val="0"/>
          <w:marBottom w:val="0"/>
          <w:divBdr>
            <w:top w:val="none" w:sz="0" w:space="0" w:color="auto"/>
            <w:left w:val="none" w:sz="0" w:space="0" w:color="auto"/>
            <w:bottom w:val="none" w:sz="0" w:space="0" w:color="auto"/>
            <w:right w:val="none" w:sz="0" w:space="0" w:color="auto"/>
          </w:divBdr>
        </w:div>
        <w:div w:id="1060906322">
          <w:marLeft w:val="480"/>
          <w:marRight w:val="0"/>
          <w:marTop w:val="0"/>
          <w:marBottom w:val="0"/>
          <w:divBdr>
            <w:top w:val="none" w:sz="0" w:space="0" w:color="auto"/>
            <w:left w:val="none" w:sz="0" w:space="0" w:color="auto"/>
            <w:bottom w:val="none" w:sz="0" w:space="0" w:color="auto"/>
            <w:right w:val="none" w:sz="0" w:space="0" w:color="auto"/>
          </w:divBdr>
        </w:div>
        <w:div w:id="1540821046">
          <w:marLeft w:val="480"/>
          <w:marRight w:val="0"/>
          <w:marTop w:val="0"/>
          <w:marBottom w:val="0"/>
          <w:divBdr>
            <w:top w:val="none" w:sz="0" w:space="0" w:color="auto"/>
            <w:left w:val="none" w:sz="0" w:space="0" w:color="auto"/>
            <w:bottom w:val="none" w:sz="0" w:space="0" w:color="auto"/>
            <w:right w:val="none" w:sz="0" w:space="0" w:color="auto"/>
          </w:divBdr>
        </w:div>
        <w:div w:id="2055150434">
          <w:marLeft w:val="480"/>
          <w:marRight w:val="0"/>
          <w:marTop w:val="0"/>
          <w:marBottom w:val="0"/>
          <w:divBdr>
            <w:top w:val="none" w:sz="0" w:space="0" w:color="auto"/>
            <w:left w:val="none" w:sz="0" w:space="0" w:color="auto"/>
            <w:bottom w:val="none" w:sz="0" w:space="0" w:color="auto"/>
            <w:right w:val="none" w:sz="0" w:space="0" w:color="auto"/>
          </w:divBdr>
        </w:div>
        <w:div w:id="302734153">
          <w:marLeft w:val="480"/>
          <w:marRight w:val="0"/>
          <w:marTop w:val="0"/>
          <w:marBottom w:val="0"/>
          <w:divBdr>
            <w:top w:val="none" w:sz="0" w:space="0" w:color="auto"/>
            <w:left w:val="none" w:sz="0" w:space="0" w:color="auto"/>
            <w:bottom w:val="none" w:sz="0" w:space="0" w:color="auto"/>
            <w:right w:val="none" w:sz="0" w:space="0" w:color="auto"/>
          </w:divBdr>
        </w:div>
        <w:div w:id="362898954">
          <w:marLeft w:val="480"/>
          <w:marRight w:val="0"/>
          <w:marTop w:val="0"/>
          <w:marBottom w:val="0"/>
          <w:divBdr>
            <w:top w:val="none" w:sz="0" w:space="0" w:color="auto"/>
            <w:left w:val="none" w:sz="0" w:space="0" w:color="auto"/>
            <w:bottom w:val="none" w:sz="0" w:space="0" w:color="auto"/>
            <w:right w:val="none" w:sz="0" w:space="0" w:color="auto"/>
          </w:divBdr>
        </w:div>
        <w:div w:id="727266980">
          <w:marLeft w:val="480"/>
          <w:marRight w:val="0"/>
          <w:marTop w:val="0"/>
          <w:marBottom w:val="0"/>
          <w:divBdr>
            <w:top w:val="none" w:sz="0" w:space="0" w:color="auto"/>
            <w:left w:val="none" w:sz="0" w:space="0" w:color="auto"/>
            <w:bottom w:val="none" w:sz="0" w:space="0" w:color="auto"/>
            <w:right w:val="none" w:sz="0" w:space="0" w:color="auto"/>
          </w:divBdr>
        </w:div>
        <w:div w:id="1293827048">
          <w:marLeft w:val="480"/>
          <w:marRight w:val="0"/>
          <w:marTop w:val="0"/>
          <w:marBottom w:val="0"/>
          <w:divBdr>
            <w:top w:val="none" w:sz="0" w:space="0" w:color="auto"/>
            <w:left w:val="none" w:sz="0" w:space="0" w:color="auto"/>
            <w:bottom w:val="none" w:sz="0" w:space="0" w:color="auto"/>
            <w:right w:val="none" w:sz="0" w:space="0" w:color="auto"/>
          </w:divBdr>
        </w:div>
        <w:div w:id="1327514996">
          <w:marLeft w:val="480"/>
          <w:marRight w:val="0"/>
          <w:marTop w:val="0"/>
          <w:marBottom w:val="0"/>
          <w:divBdr>
            <w:top w:val="none" w:sz="0" w:space="0" w:color="auto"/>
            <w:left w:val="none" w:sz="0" w:space="0" w:color="auto"/>
            <w:bottom w:val="none" w:sz="0" w:space="0" w:color="auto"/>
            <w:right w:val="none" w:sz="0" w:space="0" w:color="auto"/>
          </w:divBdr>
        </w:div>
        <w:div w:id="248543393">
          <w:marLeft w:val="480"/>
          <w:marRight w:val="0"/>
          <w:marTop w:val="0"/>
          <w:marBottom w:val="0"/>
          <w:divBdr>
            <w:top w:val="none" w:sz="0" w:space="0" w:color="auto"/>
            <w:left w:val="none" w:sz="0" w:space="0" w:color="auto"/>
            <w:bottom w:val="none" w:sz="0" w:space="0" w:color="auto"/>
            <w:right w:val="none" w:sz="0" w:space="0" w:color="auto"/>
          </w:divBdr>
        </w:div>
        <w:div w:id="1671251508">
          <w:marLeft w:val="480"/>
          <w:marRight w:val="0"/>
          <w:marTop w:val="0"/>
          <w:marBottom w:val="0"/>
          <w:divBdr>
            <w:top w:val="none" w:sz="0" w:space="0" w:color="auto"/>
            <w:left w:val="none" w:sz="0" w:space="0" w:color="auto"/>
            <w:bottom w:val="none" w:sz="0" w:space="0" w:color="auto"/>
            <w:right w:val="none" w:sz="0" w:space="0" w:color="auto"/>
          </w:divBdr>
        </w:div>
        <w:div w:id="1641574330">
          <w:marLeft w:val="480"/>
          <w:marRight w:val="0"/>
          <w:marTop w:val="0"/>
          <w:marBottom w:val="0"/>
          <w:divBdr>
            <w:top w:val="none" w:sz="0" w:space="0" w:color="auto"/>
            <w:left w:val="none" w:sz="0" w:space="0" w:color="auto"/>
            <w:bottom w:val="none" w:sz="0" w:space="0" w:color="auto"/>
            <w:right w:val="none" w:sz="0" w:space="0" w:color="auto"/>
          </w:divBdr>
        </w:div>
        <w:div w:id="1686244378">
          <w:marLeft w:val="480"/>
          <w:marRight w:val="0"/>
          <w:marTop w:val="0"/>
          <w:marBottom w:val="0"/>
          <w:divBdr>
            <w:top w:val="none" w:sz="0" w:space="0" w:color="auto"/>
            <w:left w:val="none" w:sz="0" w:space="0" w:color="auto"/>
            <w:bottom w:val="none" w:sz="0" w:space="0" w:color="auto"/>
            <w:right w:val="none" w:sz="0" w:space="0" w:color="auto"/>
          </w:divBdr>
        </w:div>
        <w:div w:id="1300915305">
          <w:marLeft w:val="480"/>
          <w:marRight w:val="0"/>
          <w:marTop w:val="0"/>
          <w:marBottom w:val="0"/>
          <w:divBdr>
            <w:top w:val="none" w:sz="0" w:space="0" w:color="auto"/>
            <w:left w:val="none" w:sz="0" w:space="0" w:color="auto"/>
            <w:bottom w:val="none" w:sz="0" w:space="0" w:color="auto"/>
            <w:right w:val="none" w:sz="0" w:space="0" w:color="auto"/>
          </w:divBdr>
        </w:div>
        <w:div w:id="1068309410">
          <w:marLeft w:val="480"/>
          <w:marRight w:val="0"/>
          <w:marTop w:val="0"/>
          <w:marBottom w:val="0"/>
          <w:divBdr>
            <w:top w:val="none" w:sz="0" w:space="0" w:color="auto"/>
            <w:left w:val="none" w:sz="0" w:space="0" w:color="auto"/>
            <w:bottom w:val="none" w:sz="0" w:space="0" w:color="auto"/>
            <w:right w:val="none" w:sz="0" w:space="0" w:color="auto"/>
          </w:divBdr>
        </w:div>
        <w:div w:id="435519265">
          <w:marLeft w:val="480"/>
          <w:marRight w:val="0"/>
          <w:marTop w:val="0"/>
          <w:marBottom w:val="0"/>
          <w:divBdr>
            <w:top w:val="none" w:sz="0" w:space="0" w:color="auto"/>
            <w:left w:val="none" w:sz="0" w:space="0" w:color="auto"/>
            <w:bottom w:val="none" w:sz="0" w:space="0" w:color="auto"/>
            <w:right w:val="none" w:sz="0" w:space="0" w:color="auto"/>
          </w:divBdr>
        </w:div>
        <w:div w:id="903225187">
          <w:marLeft w:val="480"/>
          <w:marRight w:val="0"/>
          <w:marTop w:val="0"/>
          <w:marBottom w:val="0"/>
          <w:divBdr>
            <w:top w:val="none" w:sz="0" w:space="0" w:color="auto"/>
            <w:left w:val="none" w:sz="0" w:space="0" w:color="auto"/>
            <w:bottom w:val="none" w:sz="0" w:space="0" w:color="auto"/>
            <w:right w:val="none" w:sz="0" w:space="0" w:color="auto"/>
          </w:divBdr>
        </w:div>
        <w:div w:id="795174695">
          <w:marLeft w:val="480"/>
          <w:marRight w:val="0"/>
          <w:marTop w:val="0"/>
          <w:marBottom w:val="0"/>
          <w:divBdr>
            <w:top w:val="none" w:sz="0" w:space="0" w:color="auto"/>
            <w:left w:val="none" w:sz="0" w:space="0" w:color="auto"/>
            <w:bottom w:val="none" w:sz="0" w:space="0" w:color="auto"/>
            <w:right w:val="none" w:sz="0" w:space="0" w:color="auto"/>
          </w:divBdr>
        </w:div>
        <w:div w:id="1633514838">
          <w:marLeft w:val="480"/>
          <w:marRight w:val="0"/>
          <w:marTop w:val="0"/>
          <w:marBottom w:val="0"/>
          <w:divBdr>
            <w:top w:val="none" w:sz="0" w:space="0" w:color="auto"/>
            <w:left w:val="none" w:sz="0" w:space="0" w:color="auto"/>
            <w:bottom w:val="none" w:sz="0" w:space="0" w:color="auto"/>
            <w:right w:val="none" w:sz="0" w:space="0" w:color="auto"/>
          </w:divBdr>
        </w:div>
        <w:div w:id="319237758">
          <w:marLeft w:val="480"/>
          <w:marRight w:val="0"/>
          <w:marTop w:val="0"/>
          <w:marBottom w:val="0"/>
          <w:divBdr>
            <w:top w:val="none" w:sz="0" w:space="0" w:color="auto"/>
            <w:left w:val="none" w:sz="0" w:space="0" w:color="auto"/>
            <w:bottom w:val="none" w:sz="0" w:space="0" w:color="auto"/>
            <w:right w:val="none" w:sz="0" w:space="0" w:color="auto"/>
          </w:divBdr>
        </w:div>
        <w:div w:id="579142833">
          <w:marLeft w:val="480"/>
          <w:marRight w:val="0"/>
          <w:marTop w:val="0"/>
          <w:marBottom w:val="0"/>
          <w:divBdr>
            <w:top w:val="none" w:sz="0" w:space="0" w:color="auto"/>
            <w:left w:val="none" w:sz="0" w:space="0" w:color="auto"/>
            <w:bottom w:val="none" w:sz="0" w:space="0" w:color="auto"/>
            <w:right w:val="none" w:sz="0" w:space="0" w:color="auto"/>
          </w:divBdr>
        </w:div>
        <w:div w:id="1889802759">
          <w:marLeft w:val="480"/>
          <w:marRight w:val="0"/>
          <w:marTop w:val="0"/>
          <w:marBottom w:val="0"/>
          <w:divBdr>
            <w:top w:val="none" w:sz="0" w:space="0" w:color="auto"/>
            <w:left w:val="none" w:sz="0" w:space="0" w:color="auto"/>
            <w:bottom w:val="none" w:sz="0" w:space="0" w:color="auto"/>
            <w:right w:val="none" w:sz="0" w:space="0" w:color="auto"/>
          </w:divBdr>
        </w:div>
        <w:div w:id="2074572322">
          <w:marLeft w:val="480"/>
          <w:marRight w:val="0"/>
          <w:marTop w:val="0"/>
          <w:marBottom w:val="0"/>
          <w:divBdr>
            <w:top w:val="none" w:sz="0" w:space="0" w:color="auto"/>
            <w:left w:val="none" w:sz="0" w:space="0" w:color="auto"/>
            <w:bottom w:val="none" w:sz="0" w:space="0" w:color="auto"/>
            <w:right w:val="none" w:sz="0" w:space="0" w:color="auto"/>
          </w:divBdr>
        </w:div>
        <w:div w:id="731924075">
          <w:marLeft w:val="480"/>
          <w:marRight w:val="0"/>
          <w:marTop w:val="0"/>
          <w:marBottom w:val="0"/>
          <w:divBdr>
            <w:top w:val="none" w:sz="0" w:space="0" w:color="auto"/>
            <w:left w:val="none" w:sz="0" w:space="0" w:color="auto"/>
            <w:bottom w:val="none" w:sz="0" w:space="0" w:color="auto"/>
            <w:right w:val="none" w:sz="0" w:space="0" w:color="auto"/>
          </w:divBdr>
        </w:div>
        <w:div w:id="98530328">
          <w:marLeft w:val="480"/>
          <w:marRight w:val="0"/>
          <w:marTop w:val="0"/>
          <w:marBottom w:val="0"/>
          <w:divBdr>
            <w:top w:val="none" w:sz="0" w:space="0" w:color="auto"/>
            <w:left w:val="none" w:sz="0" w:space="0" w:color="auto"/>
            <w:bottom w:val="none" w:sz="0" w:space="0" w:color="auto"/>
            <w:right w:val="none" w:sz="0" w:space="0" w:color="auto"/>
          </w:divBdr>
        </w:div>
        <w:div w:id="1876118854">
          <w:marLeft w:val="480"/>
          <w:marRight w:val="0"/>
          <w:marTop w:val="0"/>
          <w:marBottom w:val="0"/>
          <w:divBdr>
            <w:top w:val="none" w:sz="0" w:space="0" w:color="auto"/>
            <w:left w:val="none" w:sz="0" w:space="0" w:color="auto"/>
            <w:bottom w:val="none" w:sz="0" w:space="0" w:color="auto"/>
            <w:right w:val="none" w:sz="0" w:space="0" w:color="auto"/>
          </w:divBdr>
        </w:div>
        <w:div w:id="553006031">
          <w:marLeft w:val="480"/>
          <w:marRight w:val="0"/>
          <w:marTop w:val="0"/>
          <w:marBottom w:val="0"/>
          <w:divBdr>
            <w:top w:val="none" w:sz="0" w:space="0" w:color="auto"/>
            <w:left w:val="none" w:sz="0" w:space="0" w:color="auto"/>
            <w:bottom w:val="none" w:sz="0" w:space="0" w:color="auto"/>
            <w:right w:val="none" w:sz="0" w:space="0" w:color="auto"/>
          </w:divBdr>
        </w:div>
        <w:div w:id="826481895">
          <w:marLeft w:val="480"/>
          <w:marRight w:val="0"/>
          <w:marTop w:val="0"/>
          <w:marBottom w:val="0"/>
          <w:divBdr>
            <w:top w:val="none" w:sz="0" w:space="0" w:color="auto"/>
            <w:left w:val="none" w:sz="0" w:space="0" w:color="auto"/>
            <w:bottom w:val="none" w:sz="0" w:space="0" w:color="auto"/>
            <w:right w:val="none" w:sz="0" w:space="0" w:color="auto"/>
          </w:divBdr>
        </w:div>
        <w:div w:id="1516460774">
          <w:marLeft w:val="480"/>
          <w:marRight w:val="0"/>
          <w:marTop w:val="0"/>
          <w:marBottom w:val="0"/>
          <w:divBdr>
            <w:top w:val="none" w:sz="0" w:space="0" w:color="auto"/>
            <w:left w:val="none" w:sz="0" w:space="0" w:color="auto"/>
            <w:bottom w:val="none" w:sz="0" w:space="0" w:color="auto"/>
            <w:right w:val="none" w:sz="0" w:space="0" w:color="auto"/>
          </w:divBdr>
        </w:div>
        <w:div w:id="1356883583">
          <w:marLeft w:val="480"/>
          <w:marRight w:val="0"/>
          <w:marTop w:val="0"/>
          <w:marBottom w:val="0"/>
          <w:divBdr>
            <w:top w:val="none" w:sz="0" w:space="0" w:color="auto"/>
            <w:left w:val="none" w:sz="0" w:space="0" w:color="auto"/>
            <w:bottom w:val="none" w:sz="0" w:space="0" w:color="auto"/>
            <w:right w:val="none" w:sz="0" w:space="0" w:color="auto"/>
          </w:divBdr>
        </w:div>
        <w:div w:id="1223373329">
          <w:marLeft w:val="480"/>
          <w:marRight w:val="0"/>
          <w:marTop w:val="0"/>
          <w:marBottom w:val="0"/>
          <w:divBdr>
            <w:top w:val="none" w:sz="0" w:space="0" w:color="auto"/>
            <w:left w:val="none" w:sz="0" w:space="0" w:color="auto"/>
            <w:bottom w:val="none" w:sz="0" w:space="0" w:color="auto"/>
            <w:right w:val="none" w:sz="0" w:space="0" w:color="auto"/>
          </w:divBdr>
        </w:div>
        <w:div w:id="1161848995">
          <w:marLeft w:val="480"/>
          <w:marRight w:val="0"/>
          <w:marTop w:val="0"/>
          <w:marBottom w:val="0"/>
          <w:divBdr>
            <w:top w:val="none" w:sz="0" w:space="0" w:color="auto"/>
            <w:left w:val="none" w:sz="0" w:space="0" w:color="auto"/>
            <w:bottom w:val="none" w:sz="0" w:space="0" w:color="auto"/>
            <w:right w:val="none" w:sz="0" w:space="0" w:color="auto"/>
          </w:divBdr>
        </w:div>
        <w:div w:id="1722897017">
          <w:marLeft w:val="480"/>
          <w:marRight w:val="0"/>
          <w:marTop w:val="0"/>
          <w:marBottom w:val="0"/>
          <w:divBdr>
            <w:top w:val="none" w:sz="0" w:space="0" w:color="auto"/>
            <w:left w:val="none" w:sz="0" w:space="0" w:color="auto"/>
            <w:bottom w:val="none" w:sz="0" w:space="0" w:color="auto"/>
            <w:right w:val="none" w:sz="0" w:space="0" w:color="auto"/>
          </w:divBdr>
        </w:div>
        <w:div w:id="499581300">
          <w:marLeft w:val="480"/>
          <w:marRight w:val="0"/>
          <w:marTop w:val="0"/>
          <w:marBottom w:val="0"/>
          <w:divBdr>
            <w:top w:val="none" w:sz="0" w:space="0" w:color="auto"/>
            <w:left w:val="none" w:sz="0" w:space="0" w:color="auto"/>
            <w:bottom w:val="none" w:sz="0" w:space="0" w:color="auto"/>
            <w:right w:val="none" w:sz="0" w:space="0" w:color="auto"/>
          </w:divBdr>
        </w:div>
        <w:div w:id="1214737974">
          <w:marLeft w:val="480"/>
          <w:marRight w:val="0"/>
          <w:marTop w:val="0"/>
          <w:marBottom w:val="0"/>
          <w:divBdr>
            <w:top w:val="none" w:sz="0" w:space="0" w:color="auto"/>
            <w:left w:val="none" w:sz="0" w:space="0" w:color="auto"/>
            <w:bottom w:val="none" w:sz="0" w:space="0" w:color="auto"/>
            <w:right w:val="none" w:sz="0" w:space="0" w:color="auto"/>
          </w:divBdr>
        </w:div>
        <w:div w:id="751584500">
          <w:marLeft w:val="480"/>
          <w:marRight w:val="0"/>
          <w:marTop w:val="0"/>
          <w:marBottom w:val="0"/>
          <w:divBdr>
            <w:top w:val="none" w:sz="0" w:space="0" w:color="auto"/>
            <w:left w:val="none" w:sz="0" w:space="0" w:color="auto"/>
            <w:bottom w:val="none" w:sz="0" w:space="0" w:color="auto"/>
            <w:right w:val="none" w:sz="0" w:space="0" w:color="auto"/>
          </w:divBdr>
        </w:div>
        <w:div w:id="1355037998">
          <w:marLeft w:val="480"/>
          <w:marRight w:val="0"/>
          <w:marTop w:val="0"/>
          <w:marBottom w:val="0"/>
          <w:divBdr>
            <w:top w:val="none" w:sz="0" w:space="0" w:color="auto"/>
            <w:left w:val="none" w:sz="0" w:space="0" w:color="auto"/>
            <w:bottom w:val="none" w:sz="0" w:space="0" w:color="auto"/>
            <w:right w:val="none" w:sz="0" w:space="0" w:color="auto"/>
          </w:divBdr>
        </w:div>
        <w:div w:id="989333201">
          <w:marLeft w:val="480"/>
          <w:marRight w:val="0"/>
          <w:marTop w:val="0"/>
          <w:marBottom w:val="0"/>
          <w:divBdr>
            <w:top w:val="none" w:sz="0" w:space="0" w:color="auto"/>
            <w:left w:val="none" w:sz="0" w:space="0" w:color="auto"/>
            <w:bottom w:val="none" w:sz="0" w:space="0" w:color="auto"/>
            <w:right w:val="none" w:sz="0" w:space="0" w:color="auto"/>
          </w:divBdr>
        </w:div>
        <w:div w:id="117261519">
          <w:marLeft w:val="480"/>
          <w:marRight w:val="0"/>
          <w:marTop w:val="0"/>
          <w:marBottom w:val="0"/>
          <w:divBdr>
            <w:top w:val="none" w:sz="0" w:space="0" w:color="auto"/>
            <w:left w:val="none" w:sz="0" w:space="0" w:color="auto"/>
            <w:bottom w:val="none" w:sz="0" w:space="0" w:color="auto"/>
            <w:right w:val="none" w:sz="0" w:space="0" w:color="auto"/>
          </w:divBdr>
        </w:div>
        <w:div w:id="1640501557">
          <w:marLeft w:val="480"/>
          <w:marRight w:val="0"/>
          <w:marTop w:val="0"/>
          <w:marBottom w:val="0"/>
          <w:divBdr>
            <w:top w:val="none" w:sz="0" w:space="0" w:color="auto"/>
            <w:left w:val="none" w:sz="0" w:space="0" w:color="auto"/>
            <w:bottom w:val="none" w:sz="0" w:space="0" w:color="auto"/>
            <w:right w:val="none" w:sz="0" w:space="0" w:color="auto"/>
          </w:divBdr>
        </w:div>
        <w:div w:id="471141145">
          <w:marLeft w:val="480"/>
          <w:marRight w:val="0"/>
          <w:marTop w:val="0"/>
          <w:marBottom w:val="0"/>
          <w:divBdr>
            <w:top w:val="none" w:sz="0" w:space="0" w:color="auto"/>
            <w:left w:val="none" w:sz="0" w:space="0" w:color="auto"/>
            <w:bottom w:val="none" w:sz="0" w:space="0" w:color="auto"/>
            <w:right w:val="none" w:sz="0" w:space="0" w:color="auto"/>
          </w:divBdr>
        </w:div>
        <w:div w:id="1199513916">
          <w:marLeft w:val="480"/>
          <w:marRight w:val="0"/>
          <w:marTop w:val="0"/>
          <w:marBottom w:val="0"/>
          <w:divBdr>
            <w:top w:val="none" w:sz="0" w:space="0" w:color="auto"/>
            <w:left w:val="none" w:sz="0" w:space="0" w:color="auto"/>
            <w:bottom w:val="none" w:sz="0" w:space="0" w:color="auto"/>
            <w:right w:val="none" w:sz="0" w:space="0" w:color="auto"/>
          </w:divBdr>
        </w:div>
        <w:div w:id="405222140">
          <w:marLeft w:val="480"/>
          <w:marRight w:val="0"/>
          <w:marTop w:val="0"/>
          <w:marBottom w:val="0"/>
          <w:divBdr>
            <w:top w:val="none" w:sz="0" w:space="0" w:color="auto"/>
            <w:left w:val="none" w:sz="0" w:space="0" w:color="auto"/>
            <w:bottom w:val="none" w:sz="0" w:space="0" w:color="auto"/>
            <w:right w:val="none" w:sz="0" w:space="0" w:color="auto"/>
          </w:divBdr>
        </w:div>
        <w:div w:id="2002855575">
          <w:marLeft w:val="480"/>
          <w:marRight w:val="0"/>
          <w:marTop w:val="0"/>
          <w:marBottom w:val="0"/>
          <w:divBdr>
            <w:top w:val="none" w:sz="0" w:space="0" w:color="auto"/>
            <w:left w:val="none" w:sz="0" w:space="0" w:color="auto"/>
            <w:bottom w:val="none" w:sz="0" w:space="0" w:color="auto"/>
            <w:right w:val="none" w:sz="0" w:space="0" w:color="auto"/>
          </w:divBdr>
        </w:div>
        <w:div w:id="145170395">
          <w:marLeft w:val="480"/>
          <w:marRight w:val="0"/>
          <w:marTop w:val="0"/>
          <w:marBottom w:val="0"/>
          <w:divBdr>
            <w:top w:val="none" w:sz="0" w:space="0" w:color="auto"/>
            <w:left w:val="none" w:sz="0" w:space="0" w:color="auto"/>
            <w:bottom w:val="none" w:sz="0" w:space="0" w:color="auto"/>
            <w:right w:val="none" w:sz="0" w:space="0" w:color="auto"/>
          </w:divBdr>
        </w:div>
        <w:div w:id="580870166">
          <w:marLeft w:val="480"/>
          <w:marRight w:val="0"/>
          <w:marTop w:val="0"/>
          <w:marBottom w:val="0"/>
          <w:divBdr>
            <w:top w:val="none" w:sz="0" w:space="0" w:color="auto"/>
            <w:left w:val="none" w:sz="0" w:space="0" w:color="auto"/>
            <w:bottom w:val="none" w:sz="0" w:space="0" w:color="auto"/>
            <w:right w:val="none" w:sz="0" w:space="0" w:color="auto"/>
          </w:divBdr>
        </w:div>
        <w:div w:id="1352876427">
          <w:marLeft w:val="480"/>
          <w:marRight w:val="0"/>
          <w:marTop w:val="0"/>
          <w:marBottom w:val="0"/>
          <w:divBdr>
            <w:top w:val="none" w:sz="0" w:space="0" w:color="auto"/>
            <w:left w:val="none" w:sz="0" w:space="0" w:color="auto"/>
            <w:bottom w:val="none" w:sz="0" w:space="0" w:color="auto"/>
            <w:right w:val="none" w:sz="0" w:space="0" w:color="auto"/>
          </w:divBdr>
        </w:div>
        <w:div w:id="346447183">
          <w:marLeft w:val="480"/>
          <w:marRight w:val="0"/>
          <w:marTop w:val="0"/>
          <w:marBottom w:val="0"/>
          <w:divBdr>
            <w:top w:val="none" w:sz="0" w:space="0" w:color="auto"/>
            <w:left w:val="none" w:sz="0" w:space="0" w:color="auto"/>
            <w:bottom w:val="none" w:sz="0" w:space="0" w:color="auto"/>
            <w:right w:val="none" w:sz="0" w:space="0" w:color="auto"/>
          </w:divBdr>
        </w:div>
        <w:div w:id="857546006">
          <w:marLeft w:val="480"/>
          <w:marRight w:val="0"/>
          <w:marTop w:val="0"/>
          <w:marBottom w:val="0"/>
          <w:divBdr>
            <w:top w:val="none" w:sz="0" w:space="0" w:color="auto"/>
            <w:left w:val="none" w:sz="0" w:space="0" w:color="auto"/>
            <w:bottom w:val="none" w:sz="0" w:space="0" w:color="auto"/>
            <w:right w:val="none" w:sz="0" w:space="0" w:color="auto"/>
          </w:divBdr>
        </w:div>
        <w:div w:id="1481730279">
          <w:marLeft w:val="480"/>
          <w:marRight w:val="0"/>
          <w:marTop w:val="0"/>
          <w:marBottom w:val="0"/>
          <w:divBdr>
            <w:top w:val="none" w:sz="0" w:space="0" w:color="auto"/>
            <w:left w:val="none" w:sz="0" w:space="0" w:color="auto"/>
            <w:bottom w:val="none" w:sz="0" w:space="0" w:color="auto"/>
            <w:right w:val="none" w:sz="0" w:space="0" w:color="auto"/>
          </w:divBdr>
        </w:div>
        <w:div w:id="524443355">
          <w:marLeft w:val="480"/>
          <w:marRight w:val="0"/>
          <w:marTop w:val="0"/>
          <w:marBottom w:val="0"/>
          <w:divBdr>
            <w:top w:val="none" w:sz="0" w:space="0" w:color="auto"/>
            <w:left w:val="none" w:sz="0" w:space="0" w:color="auto"/>
            <w:bottom w:val="none" w:sz="0" w:space="0" w:color="auto"/>
            <w:right w:val="none" w:sz="0" w:space="0" w:color="auto"/>
          </w:divBdr>
        </w:div>
        <w:div w:id="600575767">
          <w:marLeft w:val="480"/>
          <w:marRight w:val="0"/>
          <w:marTop w:val="0"/>
          <w:marBottom w:val="0"/>
          <w:divBdr>
            <w:top w:val="none" w:sz="0" w:space="0" w:color="auto"/>
            <w:left w:val="none" w:sz="0" w:space="0" w:color="auto"/>
            <w:bottom w:val="none" w:sz="0" w:space="0" w:color="auto"/>
            <w:right w:val="none" w:sz="0" w:space="0" w:color="auto"/>
          </w:divBdr>
        </w:div>
        <w:div w:id="1865944760">
          <w:marLeft w:val="480"/>
          <w:marRight w:val="0"/>
          <w:marTop w:val="0"/>
          <w:marBottom w:val="0"/>
          <w:divBdr>
            <w:top w:val="none" w:sz="0" w:space="0" w:color="auto"/>
            <w:left w:val="none" w:sz="0" w:space="0" w:color="auto"/>
            <w:bottom w:val="none" w:sz="0" w:space="0" w:color="auto"/>
            <w:right w:val="none" w:sz="0" w:space="0" w:color="auto"/>
          </w:divBdr>
        </w:div>
        <w:div w:id="674576461">
          <w:marLeft w:val="480"/>
          <w:marRight w:val="0"/>
          <w:marTop w:val="0"/>
          <w:marBottom w:val="0"/>
          <w:divBdr>
            <w:top w:val="none" w:sz="0" w:space="0" w:color="auto"/>
            <w:left w:val="none" w:sz="0" w:space="0" w:color="auto"/>
            <w:bottom w:val="none" w:sz="0" w:space="0" w:color="auto"/>
            <w:right w:val="none" w:sz="0" w:space="0" w:color="auto"/>
          </w:divBdr>
        </w:div>
        <w:div w:id="174148031">
          <w:marLeft w:val="480"/>
          <w:marRight w:val="0"/>
          <w:marTop w:val="0"/>
          <w:marBottom w:val="0"/>
          <w:divBdr>
            <w:top w:val="none" w:sz="0" w:space="0" w:color="auto"/>
            <w:left w:val="none" w:sz="0" w:space="0" w:color="auto"/>
            <w:bottom w:val="none" w:sz="0" w:space="0" w:color="auto"/>
            <w:right w:val="none" w:sz="0" w:space="0" w:color="auto"/>
          </w:divBdr>
        </w:div>
        <w:div w:id="1404911028">
          <w:marLeft w:val="480"/>
          <w:marRight w:val="0"/>
          <w:marTop w:val="0"/>
          <w:marBottom w:val="0"/>
          <w:divBdr>
            <w:top w:val="none" w:sz="0" w:space="0" w:color="auto"/>
            <w:left w:val="none" w:sz="0" w:space="0" w:color="auto"/>
            <w:bottom w:val="none" w:sz="0" w:space="0" w:color="auto"/>
            <w:right w:val="none" w:sz="0" w:space="0" w:color="auto"/>
          </w:divBdr>
        </w:div>
        <w:div w:id="883371405">
          <w:marLeft w:val="480"/>
          <w:marRight w:val="0"/>
          <w:marTop w:val="0"/>
          <w:marBottom w:val="0"/>
          <w:divBdr>
            <w:top w:val="none" w:sz="0" w:space="0" w:color="auto"/>
            <w:left w:val="none" w:sz="0" w:space="0" w:color="auto"/>
            <w:bottom w:val="none" w:sz="0" w:space="0" w:color="auto"/>
            <w:right w:val="none" w:sz="0" w:space="0" w:color="auto"/>
          </w:divBdr>
        </w:div>
        <w:div w:id="395668755">
          <w:marLeft w:val="480"/>
          <w:marRight w:val="0"/>
          <w:marTop w:val="0"/>
          <w:marBottom w:val="0"/>
          <w:divBdr>
            <w:top w:val="none" w:sz="0" w:space="0" w:color="auto"/>
            <w:left w:val="none" w:sz="0" w:space="0" w:color="auto"/>
            <w:bottom w:val="none" w:sz="0" w:space="0" w:color="auto"/>
            <w:right w:val="none" w:sz="0" w:space="0" w:color="auto"/>
          </w:divBdr>
        </w:div>
        <w:div w:id="526020999">
          <w:marLeft w:val="480"/>
          <w:marRight w:val="0"/>
          <w:marTop w:val="0"/>
          <w:marBottom w:val="0"/>
          <w:divBdr>
            <w:top w:val="none" w:sz="0" w:space="0" w:color="auto"/>
            <w:left w:val="none" w:sz="0" w:space="0" w:color="auto"/>
            <w:bottom w:val="none" w:sz="0" w:space="0" w:color="auto"/>
            <w:right w:val="none" w:sz="0" w:space="0" w:color="auto"/>
          </w:divBdr>
        </w:div>
        <w:div w:id="1920021522">
          <w:marLeft w:val="480"/>
          <w:marRight w:val="0"/>
          <w:marTop w:val="0"/>
          <w:marBottom w:val="0"/>
          <w:divBdr>
            <w:top w:val="none" w:sz="0" w:space="0" w:color="auto"/>
            <w:left w:val="none" w:sz="0" w:space="0" w:color="auto"/>
            <w:bottom w:val="none" w:sz="0" w:space="0" w:color="auto"/>
            <w:right w:val="none" w:sz="0" w:space="0" w:color="auto"/>
          </w:divBdr>
        </w:div>
        <w:div w:id="622346890">
          <w:marLeft w:val="480"/>
          <w:marRight w:val="0"/>
          <w:marTop w:val="0"/>
          <w:marBottom w:val="0"/>
          <w:divBdr>
            <w:top w:val="none" w:sz="0" w:space="0" w:color="auto"/>
            <w:left w:val="none" w:sz="0" w:space="0" w:color="auto"/>
            <w:bottom w:val="none" w:sz="0" w:space="0" w:color="auto"/>
            <w:right w:val="none" w:sz="0" w:space="0" w:color="auto"/>
          </w:divBdr>
        </w:div>
        <w:div w:id="955020005">
          <w:marLeft w:val="480"/>
          <w:marRight w:val="0"/>
          <w:marTop w:val="0"/>
          <w:marBottom w:val="0"/>
          <w:divBdr>
            <w:top w:val="none" w:sz="0" w:space="0" w:color="auto"/>
            <w:left w:val="none" w:sz="0" w:space="0" w:color="auto"/>
            <w:bottom w:val="none" w:sz="0" w:space="0" w:color="auto"/>
            <w:right w:val="none" w:sz="0" w:space="0" w:color="auto"/>
          </w:divBdr>
        </w:div>
        <w:div w:id="1458379064">
          <w:marLeft w:val="480"/>
          <w:marRight w:val="0"/>
          <w:marTop w:val="0"/>
          <w:marBottom w:val="0"/>
          <w:divBdr>
            <w:top w:val="none" w:sz="0" w:space="0" w:color="auto"/>
            <w:left w:val="none" w:sz="0" w:space="0" w:color="auto"/>
            <w:bottom w:val="none" w:sz="0" w:space="0" w:color="auto"/>
            <w:right w:val="none" w:sz="0" w:space="0" w:color="auto"/>
          </w:divBdr>
        </w:div>
        <w:div w:id="2078625632">
          <w:marLeft w:val="480"/>
          <w:marRight w:val="0"/>
          <w:marTop w:val="0"/>
          <w:marBottom w:val="0"/>
          <w:divBdr>
            <w:top w:val="none" w:sz="0" w:space="0" w:color="auto"/>
            <w:left w:val="none" w:sz="0" w:space="0" w:color="auto"/>
            <w:bottom w:val="none" w:sz="0" w:space="0" w:color="auto"/>
            <w:right w:val="none" w:sz="0" w:space="0" w:color="auto"/>
          </w:divBdr>
        </w:div>
        <w:div w:id="1036388602">
          <w:marLeft w:val="480"/>
          <w:marRight w:val="0"/>
          <w:marTop w:val="0"/>
          <w:marBottom w:val="0"/>
          <w:divBdr>
            <w:top w:val="none" w:sz="0" w:space="0" w:color="auto"/>
            <w:left w:val="none" w:sz="0" w:space="0" w:color="auto"/>
            <w:bottom w:val="none" w:sz="0" w:space="0" w:color="auto"/>
            <w:right w:val="none" w:sz="0" w:space="0" w:color="auto"/>
          </w:divBdr>
        </w:div>
        <w:div w:id="2005811712">
          <w:marLeft w:val="480"/>
          <w:marRight w:val="0"/>
          <w:marTop w:val="0"/>
          <w:marBottom w:val="0"/>
          <w:divBdr>
            <w:top w:val="none" w:sz="0" w:space="0" w:color="auto"/>
            <w:left w:val="none" w:sz="0" w:space="0" w:color="auto"/>
            <w:bottom w:val="none" w:sz="0" w:space="0" w:color="auto"/>
            <w:right w:val="none" w:sz="0" w:space="0" w:color="auto"/>
          </w:divBdr>
        </w:div>
        <w:div w:id="669797873">
          <w:marLeft w:val="480"/>
          <w:marRight w:val="0"/>
          <w:marTop w:val="0"/>
          <w:marBottom w:val="0"/>
          <w:divBdr>
            <w:top w:val="none" w:sz="0" w:space="0" w:color="auto"/>
            <w:left w:val="none" w:sz="0" w:space="0" w:color="auto"/>
            <w:bottom w:val="none" w:sz="0" w:space="0" w:color="auto"/>
            <w:right w:val="none" w:sz="0" w:space="0" w:color="auto"/>
          </w:divBdr>
        </w:div>
        <w:div w:id="788936507">
          <w:marLeft w:val="480"/>
          <w:marRight w:val="0"/>
          <w:marTop w:val="0"/>
          <w:marBottom w:val="0"/>
          <w:divBdr>
            <w:top w:val="none" w:sz="0" w:space="0" w:color="auto"/>
            <w:left w:val="none" w:sz="0" w:space="0" w:color="auto"/>
            <w:bottom w:val="none" w:sz="0" w:space="0" w:color="auto"/>
            <w:right w:val="none" w:sz="0" w:space="0" w:color="auto"/>
          </w:divBdr>
        </w:div>
        <w:div w:id="1479691216">
          <w:marLeft w:val="480"/>
          <w:marRight w:val="0"/>
          <w:marTop w:val="0"/>
          <w:marBottom w:val="0"/>
          <w:divBdr>
            <w:top w:val="none" w:sz="0" w:space="0" w:color="auto"/>
            <w:left w:val="none" w:sz="0" w:space="0" w:color="auto"/>
            <w:bottom w:val="none" w:sz="0" w:space="0" w:color="auto"/>
            <w:right w:val="none" w:sz="0" w:space="0" w:color="auto"/>
          </w:divBdr>
        </w:div>
        <w:div w:id="2017028914">
          <w:marLeft w:val="480"/>
          <w:marRight w:val="0"/>
          <w:marTop w:val="0"/>
          <w:marBottom w:val="0"/>
          <w:divBdr>
            <w:top w:val="none" w:sz="0" w:space="0" w:color="auto"/>
            <w:left w:val="none" w:sz="0" w:space="0" w:color="auto"/>
            <w:bottom w:val="none" w:sz="0" w:space="0" w:color="auto"/>
            <w:right w:val="none" w:sz="0" w:space="0" w:color="auto"/>
          </w:divBdr>
        </w:div>
        <w:div w:id="2036493328">
          <w:marLeft w:val="480"/>
          <w:marRight w:val="0"/>
          <w:marTop w:val="0"/>
          <w:marBottom w:val="0"/>
          <w:divBdr>
            <w:top w:val="none" w:sz="0" w:space="0" w:color="auto"/>
            <w:left w:val="none" w:sz="0" w:space="0" w:color="auto"/>
            <w:bottom w:val="none" w:sz="0" w:space="0" w:color="auto"/>
            <w:right w:val="none" w:sz="0" w:space="0" w:color="auto"/>
          </w:divBdr>
        </w:div>
        <w:div w:id="1048452516">
          <w:marLeft w:val="480"/>
          <w:marRight w:val="0"/>
          <w:marTop w:val="0"/>
          <w:marBottom w:val="0"/>
          <w:divBdr>
            <w:top w:val="none" w:sz="0" w:space="0" w:color="auto"/>
            <w:left w:val="none" w:sz="0" w:space="0" w:color="auto"/>
            <w:bottom w:val="none" w:sz="0" w:space="0" w:color="auto"/>
            <w:right w:val="none" w:sz="0" w:space="0" w:color="auto"/>
          </w:divBdr>
        </w:div>
        <w:div w:id="1040477943">
          <w:marLeft w:val="480"/>
          <w:marRight w:val="0"/>
          <w:marTop w:val="0"/>
          <w:marBottom w:val="0"/>
          <w:divBdr>
            <w:top w:val="none" w:sz="0" w:space="0" w:color="auto"/>
            <w:left w:val="none" w:sz="0" w:space="0" w:color="auto"/>
            <w:bottom w:val="none" w:sz="0" w:space="0" w:color="auto"/>
            <w:right w:val="none" w:sz="0" w:space="0" w:color="auto"/>
          </w:divBdr>
        </w:div>
        <w:div w:id="268392031">
          <w:marLeft w:val="480"/>
          <w:marRight w:val="0"/>
          <w:marTop w:val="0"/>
          <w:marBottom w:val="0"/>
          <w:divBdr>
            <w:top w:val="none" w:sz="0" w:space="0" w:color="auto"/>
            <w:left w:val="none" w:sz="0" w:space="0" w:color="auto"/>
            <w:bottom w:val="none" w:sz="0" w:space="0" w:color="auto"/>
            <w:right w:val="none" w:sz="0" w:space="0" w:color="auto"/>
          </w:divBdr>
        </w:div>
        <w:div w:id="707025250">
          <w:marLeft w:val="480"/>
          <w:marRight w:val="0"/>
          <w:marTop w:val="0"/>
          <w:marBottom w:val="0"/>
          <w:divBdr>
            <w:top w:val="none" w:sz="0" w:space="0" w:color="auto"/>
            <w:left w:val="none" w:sz="0" w:space="0" w:color="auto"/>
            <w:bottom w:val="none" w:sz="0" w:space="0" w:color="auto"/>
            <w:right w:val="none" w:sz="0" w:space="0" w:color="auto"/>
          </w:divBdr>
        </w:div>
        <w:div w:id="626471600">
          <w:marLeft w:val="480"/>
          <w:marRight w:val="0"/>
          <w:marTop w:val="0"/>
          <w:marBottom w:val="0"/>
          <w:divBdr>
            <w:top w:val="none" w:sz="0" w:space="0" w:color="auto"/>
            <w:left w:val="none" w:sz="0" w:space="0" w:color="auto"/>
            <w:bottom w:val="none" w:sz="0" w:space="0" w:color="auto"/>
            <w:right w:val="none" w:sz="0" w:space="0" w:color="auto"/>
          </w:divBdr>
        </w:div>
        <w:div w:id="705834440">
          <w:marLeft w:val="480"/>
          <w:marRight w:val="0"/>
          <w:marTop w:val="0"/>
          <w:marBottom w:val="0"/>
          <w:divBdr>
            <w:top w:val="none" w:sz="0" w:space="0" w:color="auto"/>
            <w:left w:val="none" w:sz="0" w:space="0" w:color="auto"/>
            <w:bottom w:val="none" w:sz="0" w:space="0" w:color="auto"/>
            <w:right w:val="none" w:sz="0" w:space="0" w:color="auto"/>
          </w:divBdr>
        </w:div>
        <w:div w:id="1411658775">
          <w:marLeft w:val="480"/>
          <w:marRight w:val="0"/>
          <w:marTop w:val="0"/>
          <w:marBottom w:val="0"/>
          <w:divBdr>
            <w:top w:val="none" w:sz="0" w:space="0" w:color="auto"/>
            <w:left w:val="none" w:sz="0" w:space="0" w:color="auto"/>
            <w:bottom w:val="none" w:sz="0" w:space="0" w:color="auto"/>
            <w:right w:val="none" w:sz="0" w:space="0" w:color="auto"/>
          </w:divBdr>
        </w:div>
        <w:div w:id="1654599542">
          <w:marLeft w:val="480"/>
          <w:marRight w:val="0"/>
          <w:marTop w:val="0"/>
          <w:marBottom w:val="0"/>
          <w:divBdr>
            <w:top w:val="none" w:sz="0" w:space="0" w:color="auto"/>
            <w:left w:val="none" w:sz="0" w:space="0" w:color="auto"/>
            <w:bottom w:val="none" w:sz="0" w:space="0" w:color="auto"/>
            <w:right w:val="none" w:sz="0" w:space="0" w:color="auto"/>
          </w:divBdr>
        </w:div>
        <w:div w:id="1488935635">
          <w:marLeft w:val="480"/>
          <w:marRight w:val="0"/>
          <w:marTop w:val="0"/>
          <w:marBottom w:val="0"/>
          <w:divBdr>
            <w:top w:val="none" w:sz="0" w:space="0" w:color="auto"/>
            <w:left w:val="none" w:sz="0" w:space="0" w:color="auto"/>
            <w:bottom w:val="none" w:sz="0" w:space="0" w:color="auto"/>
            <w:right w:val="none" w:sz="0" w:space="0" w:color="auto"/>
          </w:divBdr>
        </w:div>
        <w:div w:id="1828669134">
          <w:marLeft w:val="480"/>
          <w:marRight w:val="0"/>
          <w:marTop w:val="0"/>
          <w:marBottom w:val="0"/>
          <w:divBdr>
            <w:top w:val="none" w:sz="0" w:space="0" w:color="auto"/>
            <w:left w:val="none" w:sz="0" w:space="0" w:color="auto"/>
            <w:bottom w:val="none" w:sz="0" w:space="0" w:color="auto"/>
            <w:right w:val="none" w:sz="0" w:space="0" w:color="auto"/>
          </w:divBdr>
        </w:div>
        <w:div w:id="1976907442">
          <w:marLeft w:val="480"/>
          <w:marRight w:val="0"/>
          <w:marTop w:val="0"/>
          <w:marBottom w:val="0"/>
          <w:divBdr>
            <w:top w:val="none" w:sz="0" w:space="0" w:color="auto"/>
            <w:left w:val="none" w:sz="0" w:space="0" w:color="auto"/>
            <w:bottom w:val="none" w:sz="0" w:space="0" w:color="auto"/>
            <w:right w:val="none" w:sz="0" w:space="0" w:color="auto"/>
          </w:divBdr>
        </w:div>
        <w:div w:id="1663387176">
          <w:marLeft w:val="480"/>
          <w:marRight w:val="0"/>
          <w:marTop w:val="0"/>
          <w:marBottom w:val="0"/>
          <w:divBdr>
            <w:top w:val="none" w:sz="0" w:space="0" w:color="auto"/>
            <w:left w:val="none" w:sz="0" w:space="0" w:color="auto"/>
            <w:bottom w:val="none" w:sz="0" w:space="0" w:color="auto"/>
            <w:right w:val="none" w:sz="0" w:space="0" w:color="auto"/>
          </w:divBdr>
        </w:div>
        <w:div w:id="441385428">
          <w:marLeft w:val="480"/>
          <w:marRight w:val="0"/>
          <w:marTop w:val="0"/>
          <w:marBottom w:val="0"/>
          <w:divBdr>
            <w:top w:val="none" w:sz="0" w:space="0" w:color="auto"/>
            <w:left w:val="none" w:sz="0" w:space="0" w:color="auto"/>
            <w:bottom w:val="none" w:sz="0" w:space="0" w:color="auto"/>
            <w:right w:val="none" w:sz="0" w:space="0" w:color="auto"/>
          </w:divBdr>
        </w:div>
        <w:div w:id="759445829">
          <w:marLeft w:val="480"/>
          <w:marRight w:val="0"/>
          <w:marTop w:val="0"/>
          <w:marBottom w:val="0"/>
          <w:divBdr>
            <w:top w:val="none" w:sz="0" w:space="0" w:color="auto"/>
            <w:left w:val="none" w:sz="0" w:space="0" w:color="auto"/>
            <w:bottom w:val="none" w:sz="0" w:space="0" w:color="auto"/>
            <w:right w:val="none" w:sz="0" w:space="0" w:color="auto"/>
          </w:divBdr>
        </w:div>
        <w:div w:id="553859126">
          <w:marLeft w:val="480"/>
          <w:marRight w:val="0"/>
          <w:marTop w:val="0"/>
          <w:marBottom w:val="0"/>
          <w:divBdr>
            <w:top w:val="none" w:sz="0" w:space="0" w:color="auto"/>
            <w:left w:val="none" w:sz="0" w:space="0" w:color="auto"/>
            <w:bottom w:val="none" w:sz="0" w:space="0" w:color="auto"/>
            <w:right w:val="none" w:sz="0" w:space="0" w:color="auto"/>
          </w:divBdr>
        </w:div>
        <w:div w:id="301738075">
          <w:marLeft w:val="480"/>
          <w:marRight w:val="0"/>
          <w:marTop w:val="0"/>
          <w:marBottom w:val="0"/>
          <w:divBdr>
            <w:top w:val="none" w:sz="0" w:space="0" w:color="auto"/>
            <w:left w:val="none" w:sz="0" w:space="0" w:color="auto"/>
            <w:bottom w:val="none" w:sz="0" w:space="0" w:color="auto"/>
            <w:right w:val="none" w:sz="0" w:space="0" w:color="auto"/>
          </w:divBdr>
        </w:div>
        <w:div w:id="1275793310">
          <w:marLeft w:val="480"/>
          <w:marRight w:val="0"/>
          <w:marTop w:val="0"/>
          <w:marBottom w:val="0"/>
          <w:divBdr>
            <w:top w:val="none" w:sz="0" w:space="0" w:color="auto"/>
            <w:left w:val="none" w:sz="0" w:space="0" w:color="auto"/>
            <w:bottom w:val="none" w:sz="0" w:space="0" w:color="auto"/>
            <w:right w:val="none" w:sz="0" w:space="0" w:color="auto"/>
          </w:divBdr>
        </w:div>
        <w:div w:id="949623396">
          <w:marLeft w:val="480"/>
          <w:marRight w:val="0"/>
          <w:marTop w:val="0"/>
          <w:marBottom w:val="0"/>
          <w:divBdr>
            <w:top w:val="none" w:sz="0" w:space="0" w:color="auto"/>
            <w:left w:val="none" w:sz="0" w:space="0" w:color="auto"/>
            <w:bottom w:val="none" w:sz="0" w:space="0" w:color="auto"/>
            <w:right w:val="none" w:sz="0" w:space="0" w:color="auto"/>
          </w:divBdr>
        </w:div>
        <w:div w:id="231896676">
          <w:marLeft w:val="480"/>
          <w:marRight w:val="0"/>
          <w:marTop w:val="0"/>
          <w:marBottom w:val="0"/>
          <w:divBdr>
            <w:top w:val="none" w:sz="0" w:space="0" w:color="auto"/>
            <w:left w:val="none" w:sz="0" w:space="0" w:color="auto"/>
            <w:bottom w:val="none" w:sz="0" w:space="0" w:color="auto"/>
            <w:right w:val="none" w:sz="0" w:space="0" w:color="auto"/>
          </w:divBdr>
        </w:div>
        <w:div w:id="2058889093">
          <w:marLeft w:val="480"/>
          <w:marRight w:val="0"/>
          <w:marTop w:val="0"/>
          <w:marBottom w:val="0"/>
          <w:divBdr>
            <w:top w:val="none" w:sz="0" w:space="0" w:color="auto"/>
            <w:left w:val="none" w:sz="0" w:space="0" w:color="auto"/>
            <w:bottom w:val="none" w:sz="0" w:space="0" w:color="auto"/>
            <w:right w:val="none" w:sz="0" w:space="0" w:color="auto"/>
          </w:divBdr>
        </w:div>
        <w:div w:id="891498776">
          <w:marLeft w:val="480"/>
          <w:marRight w:val="0"/>
          <w:marTop w:val="0"/>
          <w:marBottom w:val="0"/>
          <w:divBdr>
            <w:top w:val="none" w:sz="0" w:space="0" w:color="auto"/>
            <w:left w:val="none" w:sz="0" w:space="0" w:color="auto"/>
            <w:bottom w:val="none" w:sz="0" w:space="0" w:color="auto"/>
            <w:right w:val="none" w:sz="0" w:space="0" w:color="auto"/>
          </w:divBdr>
        </w:div>
        <w:div w:id="1894729833">
          <w:marLeft w:val="480"/>
          <w:marRight w:val="0"/>
          <w:marTop w:val="0"/>
          <w:marBottom w:val="0"/>
          <w:divBdr>
            <w:top w:val="none" w:sz="0" w:space="0" w:color="auto"/>
            <w:left w:val="none" w:sz="0" w:space="0" w:color="auto"/>
            <w:bottom w:val="none" w:sz="0" w:space="0" w:color="auto"/>
            <w:right w:val="none" w:sz="0" w:space="0" w:color="auto"/>
          </w:divBdr>
        </w:div>
        <w:div w:id="336662701">
          <w:marLeft w:val="480"/>
          <w:marRight w:val="0"/>
          <w:marTop w:val="0"/>
          <w:marBottom w:val="0"/>
          <w:divBdr>
            <w:top w:val="none" w:sz="0" w:space="0" w:color="auto"/>
            <w:left w:val="none" w:sz="0" w:space="0" w:color="auto"/>
            <w:bottom w:val="none" w:sz="0" w:space="0" w:color="auto"/>
            <w:right w:val="none" w:sz="0" w:space="0" w:color="auto"/>
          </w:divBdr>
        </w:div>
        <w:div w:id="1111121145">
          <w:marLeft w:val="480"/>
          <w:marRight w:val="0"/>
          <w:marTop w:val="0"/>
          <w:marBottom w:val="0"/>
          <w:divBdr>
            <w:top w:val="none" w:sz="0" w:space="0" w:color="auto"/>
            <w:left w:val="none" w:sz="0" w:space="0" w:color="auto"/>
            <w:bottom w:val="none" w:sz="0" w:space="0" w:color="auto"/>
            <w:right w:val="none" w:sz="0" w:space="0" w:color="auto"/>
          </w:divBdr>
        </w:div>
        <w:div w:id="1890724068">
          <w:marLeft w:val="480"/>
          <w:marRight w:val="0"/>
          <w:marTop w:val="0"/>
          <w:marBottom w:val="0"/>
          <w:divBdr>
            <w:top w:val="none" w:sz="0" w:space="0" w:color="auto"/>
            <w:left w:val="none" w:sz="0" w:space="0" w:color="auto"/>
            <w:bottom w:val="none" w:sz="0" w:space="0" w:color="auto"/>
            <w:right w:val="none" w:sz="0" w:space="0" w:color="auto"/>
          </w:divBdr>
        </w:div>
        <w:div w:id="1424034632">
          <w:marLeft w:val="480"/>
          <w:marRight w:val="0"/>
          <w:marTop w:val="0"/>
          <w:marBottom w:val="0"/>
          <w:divBdr>
            <w:top w:val="none" w:sz="0" w:space="0" w:color="auto"/>
            <w:left w:val="none" w:sz="0" w:space="0" w:color="auto"/>
            <w:bottom w:val="none" w:sz="0" w:space="0" w:color="auto"/>
            <w:right w:val="none" w:sz="0" w:space="0" w:color="auto"/>
          </w:divBdr>
        </w:div>
        <w:div w:id="1531604864">
          <w:marLeft w:val="480"/>
          <w:marRight w:val="0"/>
          <w:marTop w:val="0"/>
          <w:marBottom w:val="0"/>
          <w:divBdr>
            <w:top w:val="none" w:sz="0" w:space="0" w:color="auto"/>
            <w:left w:val="none" w:sz="0" w:space="0" w:color="auto"/>
            <w:bottom w:val="none" w:sz="0" w:space="0" w:color="auto"/>
            <w:right w:val="none" w:sz="0" w:space="0" w:color="auto"/>
          </w:divBdr>
        </w:div>
        <w:div w:id="617446328">
          <w:marLeft w:val="480"/>
          <w:marRight w:val="0"/>
          <w:marTop w:val="0"/>
          <w:marBottom w:val="0"/>
          <w:divBdr>
            <w:top w:val="none" w:sz="0" w:space="0" w:color="auto"/>
            <w:left w:val="none" w:sz="0" w:space="0" w:color="auto"/>
            <w:bottom w:val="none" w:sz="0" w:space="0" w:color="auto"/>
            <w:right w:val="none" w:sz="0" w:space="0" w:color="auto"/>
          </w:divBdr>
        </w:div>
        <w:div w:id="1817449676">
          <w:marLeft w:val="480"/>
          <w:marRight w:val="0"/>
          <w:marTop w:val="0"/>
          <w:marBottom w:val="0"/>
          <w:divBdr>
            <w:top w:val="none" w:sz="0" w:space="0" w:color="auto"/>
            <w:left w:val="none" w:sz="0" w:space="0" w:color="auto"/>
            <w:bottom w:val="none" w:sz="0" w:space="0" w:color="auto"/>
            <w:right w:val="none" w:sz="0" w:space="0" w:color="auto"/>
          </w:divBdr>
        </w:div>
        <w:div w:id="1619141626">
          <w:marLeft w:val="480"/>
          <w:marRight w:val="0"/>
          <w:marTop w:val="0"/>
          <w:marBottom w:val="0"/>
          <w:divBdr>
            <w:top w:val="none" w:sz="0" w:space="0" w:color="auto"/>
            <w:left w:val="none" w:sz="0" w:space="0" w:color="auto"/>
            <w:bottom w:val="none" w:sz="0" w:space="0" w:color="auto"/>
            <w:right w:val="none" w:sz="0" w:space="0" w:color="auto"/>
          </w:divBdr>
        </w:div>
        <w:div w:id="1206335545">
          <w:marLeft w:val="480"/>
          <w:marRight w:val="0"/>
          <w:marTop w:val="0"/>
          <w:marBottom w:val="0"/>
          <w:divBdr>
            <w:top w:val="none" w:sz="0" w:space="0" w:color="auto"/>
            <w:left w:val="none" w:sz="0" w:space="0" w:color="auto"/>
            <w:bottom w:val="none" w:sz="0" w:space="0" w:color="auto"/>
            <w:right w:val="none" w:sz="0" w:space="0" w:color="auto"/>
          </w:divBdr>
        </w:div>
        <w:div w:id="1825855956">
          <w:marLeft w:val="480"/>
          <w:marRight w:val="0"/>
          <w:marTop w:val="0"/>
          <w:marBottom w:val="0"/>
          <w:divBdr>
            <w:top w:val="none" w:sz="0" w:space="0" w:color="auto"/>
            <w:left w:val="none" w:sz="0" w:space="0" w:color="auto"/>
            <w:bottom w:val="none" w:sz="0" w:space="0" w:color="auto"/>
            <w:right w:val="none" w:sz="0" w:space="0" w:color="auto"/>
          </w:divBdr>
        </w:div>
        <w:div w:id="1081949518">
          <w:marLeft w:val="480"/>
          <w:marRight w:val="0"/>
          <w:marTop w:val="0"/>
          <w:marBottom w:val="0"/>
          <w:divBdr>
            <w:top w:val="none" w:sz="0" w:space="0" w:color="auto"/>
            <w:left w:val="none" w:sz="0" w:space="0" w:color="auto"/>
            <w:bottom w:val="none" w:sz="0" w:space="0" w:color="auto"/>
            <w:right w:val="none" w:sz="0" w:space="0" w:color="auto"/>
          </w:divBdr>
        </w:div>
        <w:div w:id="1666203001">
          <w:marLeft w:val="480"/>
          <w:marRight w:val="0"/>
          <w:marTop w:val="0"/>
          <w:marBottom w:val="0"/>
          <w:divBdr>
            <w:top w:val="none" w:sz="0" w:space="0" w:color="auto"/>
            <w:left w:val="none" w:sz="0" w:space="0" w:color="auto"/>
            <w:bottom w:val="none" w:sz="0" w:space="0" w:color="auto"/>
            <w:right w:val="none" w:sz="0" w:space="0" w:color="auto"/>
          </w:divBdr>
        </w:div>
        <w:div w:id="1777404819">
          <w:marLeft w:val="480"/>
          <w:marRight w:val="0"/>
          <w:marTop w:val="0"/>
          <w:marBottom w:val="0"/>
          <w:divBdr>
            <w:top w:val="none" w:sz="0" w:space="0" w:color="auto"/>
            <w:left w:val="none" w:sz="0" w:space="0" w:color="auto"/>
            <w:bottom w:val="none" w:sz="0" w:space="0" w:color="auto"/>
            <w:right w:val="none" w:sz="0" w:space="0" w:color="auto"/>
          </w:divBdr>
        </w:div>
        <w:div w:id="218370237">
          <w:marLeft w:val="480"/>
          <w:marRight w:val="0"/>
          <w:marTop w:val="0"/>
          <w:marBottom w:val="0"/>
          <w:divBdr>
            <w:top w:val="none" w:sz="0" w:space="0" w:color="auto"/>
            <w:left w:val="none" w:sz="0" w:space="0" w:color="auto"/>
            <w:bottom w:val="none" w:sz="0" w:space="0" w:color="auto"/>
            <w:right w:val="none" w:sz="0" w:space="0" w:color="auto"/>
          </w:divBdr>
        </w:div>
        <w:div w:id="510920280">
          <w:marLeft w:val="480"/>
          <w:marRight w:val="0"/>
          <w:marTop w:val="0"/>
          <w:marBottom w:val="0"/>
          <w:divBdr>
            <w:top w:val="none" w:sz="0" w:space="0" w:color="auto"/>
            <w:left w:val="none" w:sz="0" w:space="0" w:color="auto"/>
            <w:bottom w:val="none" w:sz="0" w:space="0" w:color="auto"/>
            <w:right w:val="none" w:sz="0" w:space="0" w:color="auto"/>
          </w:divBdr>
        </w:div>
        <w:div w:id="1995451801">
          <w:marLeft w:val="480"/>
          <w:marRight w:val="0"/>
          <w:marTop w:val="0"/>
          <w:marBottom w:val="0"/>
          <w:divBdr>
            <w:top w:val="none" w:sz="0" w:space="0" w:color="auto"/>
            <w:left w:val="none" w:sz="0" w:space="0" w:color="auto"/>
            <w:bottom w:val="none" w:sz="0" w:space="0" w:color="auto"/>
            <w:right w:val="none" w:sz="0" w:space="0" w:color="auto"/>
          </w:divBdr>
        </w:div>
        <w:div w:id="1675110474">
          <w:marLeft w:val="480"/>
          <w:marRight w:val="0"/>
          <w:marTop w:val="0"/>
          <w:marBottom w:val="0"/>
          <w:divBdr>
            <w:top w:val="none" w:sz="0" w:space="0" w:color="auto"/>
            <w:left w:val="none" w:sz="0" w:space="0" w:color="auto"/>
            <w:bottom w:val="none" w:sz="0" w:space="0" w:color="auto"/>
            <w:right w:val="none" w:sz="0" w:space="0" w:color="auto"/>
          </w:divBdr>
        </w:div>
        <w:div w:id="1094473570">
          <w:marLeft w:val="480"/>
          <w:marRight w:val="0"/>
          <w:marTop w:val="0"/>
          <w:marBottom w:val="0"/>
          <w:divBdr>
            <w:top w:val="none" w:sz="0" w:space="0" w:color="auto"/>
            <w:left w:val="none" w:sz="0" w:space="0" w:color="auto"/>
            <w:bottom w:val="none" w:sz="0" w:space="0" w:color="auto"/>
            <w:right w:val="none" w:sz="0" w:space="0" w:color="auto"/>
          </w:divBdr>
        </w:div>
        <w:div w:id="1685325266">
          <w:marLeft w:val="480"/>
          <w:marRight w:val="0"/>
          <w:marTop w:val="0"/>
          <w:marBottom w:val="0"/>
          <w:divBdr>
            <w:top w:val="none" w:sz="0" w:space="0" w:color="auto"/>
            <w:left w:val="none" w:sz="0" w:space="0" w:color="auto"/>
            <w:bottom w:val="none" w:sz="0" w:space="0" w:color="auto"/>
            <w:right w:val="none" w:sz="0" w:space="0" w:color="auto"/>
          </w:divBdr>
        </w:div>
        <w:div w:id="1442454302">
          <w:marLeft w:val="480"/>
          <w:marRight w:val="0"/>
          <w:marTop w:val="0"/>
          <w:marBottom w:val="0"/>
          <w:divBdr>
            <w:top w:val="none" w:sz="0" w:space="0" w:color="auto"/>
            <w:left w:val="none" w:sz="0" w:space="0" w:color="auto"/>
            <w:bottom w:val="none" w:sz="0" w:space="0" w:color="auto"/>
            <w:right w:val="none" w:sz="0" w:space="0" w:color="auto"/>
          </w:divBdr>
        </w:div>
        <w:div w:id="1462727985">
          <w:marLeft w:val="480"/>
          <w:marRight w:val="0"/>
          <w:marTop w:val="0"/>
          <w:marBottom w:val="0"/>
          <w:divBdr>
            <w:top w:val="none" w:sz="0" w:space="0" w:color="auto"/>
            <w:left w:val="none" w:sz="0" w:space="0" w:color="auto"/>
            <w:bottom w:val="none" w:sz="0" w:space="0" w:color="auto"/>
            <w:right w:val="none" w:sz="0" w:space="0" w:color="auto"/>
          </w:divBdr>
        </w:div>
        <w:div w:id="2006083622">
          <w:marLeft w:val="480"/>
          <w:marRight w:val="0"/>
          <w:marTop w:val="0"/>
          <w:marBottom w:val="0"/>
          <w:divBdr>
            <w:top w:val="none" w:sz="0" w:space="0" w:color="auto"/>
            <w:left w:val="none" w:sz="0" w:space="0" w:color="auto"/>
            <w:bottom w:val="none" w:sz="0" w:space="0" w:color="auto"/>
            <w:right w:val="none" w:sz="0" w:space="0" w:color="auto"/>
          </w:divBdr>
        </w:div>
        <w:div w:id="355279764">
          <w:marLeft w:val="480"/>
          <w:marRight w:val="0"/>
          <w:marTop w:val="0"/>
          <w:marBottom w:val="0"/>
          <w:divBdr>
            <w:top w:val="none" w:sz="0" w:space="0" w:color="auto"/>
            <w:left w:val="none" w:sz="0" w:space="0" w:color="auto"/>
            <w:bottom w:val="none" w:sz="0" w:space="0" w:color="auto"/>
            <w:right w:val="none" w:sz="0" w:space="0" w:color="auto"/>
          </w:divBdr>
        </w:div>
        <w:div w:id="2130511786">
          <w:marLeft w:val="480"/>
          <w:marRight w:val="0"/>
          <w:marTop w:val="0"/>
          <w:marBottom w:val="0"/>
          <w:divBdr>
            <w:top w:val="none" w:sz="0" w:space="0" w:color="auto"/>
            <w:left w:val="none" w:sz="0" w:space="0" w:color="auto"/>
            <w:bottom w:val="none" w:sz="0" w:space="0" w:color="auto"/>
            <w:right w:val="none" w:sz="0" w:space="0" w:color="auto"/>
          </w:divBdr>
        </w:div>
        <w:div w:id="78530638">
          <w:marLeft w:val="480"/>
          <w:marRight w:val="0"/>
          <w:marTop w:val="0"/>
          <w:marBottom w:val="0"/>
          <w:divBdr>
            <w:top w:val="none" w:sz="0" w:space="0" w:color="auto"/>
            <w:left w:val="none" w:sz="0" w:space="0" w:color="auto"/>
            <w:bottom w:val="none" w:sz="0" w:space="0" w:color="auto"/>
            <w:right w:val="none" w:sz="0" w:space="0" w:color="auto"/>
          </w:divBdr>
        </w:div>
        <w:div w:id="1896358629">
          <w:marLeft w:val="480"/>
          <w:marRight w:val="0"/>
          <w:marTop w:val="0"/>
          <w:marBottom w:val="0"/>
          <w:divBdr>
            <w:top w:val="none" w:sz="0" w:space="0" w:color="auto"/>
            <w:left w:val="none" w:sz="0" w:space="0" w:color="auto"/>
            <w:bottom w:val="none" w:sz="0" w:space="0" w:color="auto"/>
            <w:right w:val="none" w:sz="0" w:space="0" w:color="auto"/>
          </w:divBdr>
        </w:div>
        <w:div w:id="1115058951">
          <w:marLeft w:val="480"/>
          <w:marRight w:val="0"/>
          <w:marTop w:val="0"/>
          <w:marBottom w:val="0"/>
          <w:divBdr>
            <w:top w:val="none" w:sz="0" w:space="0" w:color="auto"/>
            <w:left w:val="none" w:sz="0" w:space="0" w:color="auto"/>
            <w:bottom w:val="none" w:sz="0" w:space="0" w:color="auto"/>
            <w:right w:val="none" w:sz="0" w:space="0" w:color="auto"/>
          </w:divBdr>
        </w:div>
        <w:div w:id="194974061">
          <w:marLeft w:val="480"/>
          <w:marRight w:val="0"/>
          <w:marTop w:val="0"/>
          <w:marBottom w:val="0"/>
          <w:divBdr>
            <w:top w:val="none" w:sz="0" w:space="0" w:color="auto"/>
            <w:left w:val="none" w:sz="0" w:space="0" w:color="auto"/>
            <w:bottom w:val="none" w:sz="0" w:space="0" w:color="auto"/>
            <w:right w:val="none" w:sz="0" w:space="0" w:color="auto"/>
          </w:divBdr>
        </w:div>
        <w:div w:id="104661257">
          <w:marLeft w:val="480"/>
          <w:marRight w:val="0"/>
          <w:marTop w:val="0"/>
          <w:marBottom w:val="0"/>
          <w:divBdr>
            <w:top w:val="none" w:sz="0" w:space="0" w:color="auto"/>
            <w:left w:val="none" w:sz="0" w:space="0" w:color="auto"/>
            <w:bottom w:val="none" w:sz="0" w:space="0" w:color="auto"/>
            <w:right w:val="none" w:sz="0" w:space="0" w:color="auto"/>
          </w:divBdr>
        </w:div>
        <w:div w:id="1355225247">
          <w:marLeft w:val="480"/>
          <w:marRight w:val="0"/>
          <w:marTop w:val="0"/>
          <w:marBottom w:val="0"/>
          <w:divBdr>
            <w:top w:val="none" w:sz="0" w:space="0" w:color="auto"/>
            <w:left w:val="none" w:sz="0" w:space="0" w:color="auto"/>
            <w:bottom w:val="none" w:sz="0" w:space="0" w:color="auto"/>
            <w:right w:val="none" w:sz="0" w:space="0" w:color="auto"/>
          </w:divBdr>
        </w:div>
        <w:div w:id="280496256">
          <w:marLeft w:val="480"/>
          <w:marRight w:val="0"/>
          <w:marTop w:val="0"/>
          <w:marBottom w:val="0"/>
          <w:divBdr>
            <w:top w:val="none" w:sz="0" w:space="0" w:color="auto"/>
            <w:left w:val="none" w:sz="0" w:space="0" w:color="auto"/>
            <w:bottom w:val="none" w:sz="0" w:space="0" w:color="auto"/>
            <w:right w:val="none" w:sz="0" w:space="0" w:color="auto"/>
          </w:divBdr>
        </w:div>
        <w:div w:id="261957086">
          <w:marLeft w:val="480"/>
          <w:marRight w:val="0"/>
          <w:marTop w:val="0"/>
          <w:marBottom w:val="0"/>
          <w:divBdr>
            <w:top w:val="none" w:sz="0" w:space="0" w:color="auto"/>
            <w:left w:val="none" w:sz="0" w:space="0" w:color="auto"/>
            <w:bottom w:val="none" w:sz="0" w:space="0" w:color="auto"/>
            <w:right w:val="none" w:sz="0" w:space="0" w:color="auto"/>
          </w:divBdr>
        </w:div>
        <w:div w:id="1228495033">
          <w:marLeft w:val="480"/>
          <w:marRight w:val="0"/>
          <w:marTop w:val="0"/>
          <w:marBottom w:val="0"/>
          <w:divBdr>
            <w:top w:val="none" w:sz="0" w:space="0" w:color="auto"/>
            <w:left w:val="none" w:sz="0" w:space="0" w:color="auto"/>
            <w:bottom w:val="none" w:sz="0" w:space="0" w:color="auto"/>
            <w:right w:val="none" w:sz="0" w:space="0" w:color="auto"/>
          </w:divBdr>
        </w:div>
        <w:div w:id="1504511741">
          <w:marLeft w:val="480"/>
          <w:marRight w:val="0"/>
          <w:marTop w:val="0"/>
          <w:marBottom w:val="0"/>
          <w:divBdr>
            <w:top w:val="none" w:sz="0" w:space="0" w:color="auto"/>
            <w:left w:val="none" w:sz="0" w:space="0" w:color="auto"/>
            <w:bottom w:val="none" w:sz="0" w:space="0" w:color="auto"/>
            <w:right w:val="none" w:sz="0" w:space="0" w:color="auto"/>
          </w:divBdr>
        </w:div>
        <w:div w:id="806895924">
          <w:marLeft w:val="480"/>
          <w:marRight w:val="0"/>
          <w:marTop w:val="0"/>
          <w:marBottom w:val="0"/>
          <w:divBdr>
            <w:top w:val="none" w:sz="0" w:space="0" w:color="auto"/>
            <w:left w:val="none" w:sz="0" w:space="0" w:color="auto"/>
            <w:bottom w:val="none" w:sz="0" w:space="0" w:color="auto"/>
            <w:right w:val="none" w:sz="0" w:space="0" w:color="auto"/>
          </w:divBdr>
        </w:div>
        <w:div w:id="2144736008">
          <w:marLeft w:val="480"/>
          <w:marRight w:val="0"/>
          <w:marTop w:val="0"/>
          <w:marBottom w:val="0"/>
          <w:divBdr>
            <w:top w:val="none" w:sz="0" w:space="0" w:color="auto"/>
            <w:left w:val="none" w:sz="0" w:space="0" w:color="auto"/>
            <w:bottom w:val="none" w:sz="0" w:space="0" w:color="auto"/>
            <w:right w:val="none" w:sz="0" w:space="0" w:color="auto"/>
          </w:divBdr>
        </w:div>
        <w:div w:id="408425725">
          <w:marLeft w:val="480"/>
          <w:marRight w:val="0"/>
          <w:marTop w:val="0"/>
          <w:marBottom w:val="0"/>
          <w:divBdr>
            <w:top w:val="none" w:sz="0" w:space="0" w:color="auto"/>
            <w:left w:val="none" w:sz="0" w:space="0" w:color="auto"/>
            <w:bottom w:val="none" w:sz="0" w:space="0" w:color="auto"/>
            <w:right w:val="none" w:sz="0" w:space="0" w:color="auto"/>
          </w:divBdr>
        </w:div>
        <w:div w:id="1043945365">
          <w:marLeft w:val="480"/>
          <w:marRight w:val="0"/>
          <w:marTop w:val="0"/>
          <w:marBottom w:val="0"/>
          <w:divBdr>
            <w:top w:val="none" w:sz="0" w:space="0" w:color="auto"/>
            <w:left w:val="none" w:sz="0" w:space="0" w:color="auto"/>
            <w:bottom w:val="none" w:sz="0" w:space="0" w:color="auto"/>
            <w:right w:val="none" w:sz="0" w:space="0" w:color="auto"/>
          </w:divBdr>
        </w:div>
        <w:div w:id="268781805">
          <w:marLeft w:val="480"/>
          <w:marRight w:val="0"/>
          <w:marTop w:val="0"/>
          <w:marBottom w:val="0"/>
          <w:divBdr>
            <w:top w:val="none" w:sz="0" w:space="0" w:color="auto"/>
            <w:left w:val="none" w:sz="0" w:space="0" w:color="auto"/>
            <w:bottom w:val="none" w:sz="0" w:space="0" w:color="auto"/>
            <w:right w:val="none" w:sz="0" w:space="0" w:color="auto"/>
          </w:divBdr>
        </w:div>
        <w:div w:id="1449398173">
          <w:marLeft w:val="480"/>
          <w:marRight w:val="0"/>
          <w:marTop w:val="0"/>
          <w:marBottom w:val="0"/>
          <w:divBdr>
            <w:top w:val="none" w:sz="0" w:space="0" w:color="auto"/>
            <w:left w:val="none" w:sz="0" w:space="0" w:color="auto"/>
            <w:bottom w:val="none" w:sz="0" w:space="0" w:color="auto"/>
            <w:right w:val="none" w:sz="0" w:space="0" w:color="auto"/>
          </w:divBdr>
        </w:div>
        <w:div w:id="2120949364">
          <w:marLeft w:val="480"/>
          <w:marRight w:val="0"/>
          <w:marTop w:val="0"/>
          <w:marBottom w:val="0"/>
          <w:divBdr>
            <w:top w:val="none" w:sz="0" w:space="0" w:color="auto"/>
            <w:left w:val="none" w:sz="0" w:space="0" w:color="auto"/>
            <w:bottom w:val="none" w:sz="0" w:space="0" w:color="auto"/>
            <w:right w:val="none" w:sz="0" w:space="0" w:color="auto"/>
          </w:divBdr>
        </w:div>
        <w:div w:id="1792942904">
          <w:marLeft w:val="480"/>
          <w:marRight w:val="0"/>
          <w:marTop w:val="0"/>
          <w:marBottom w:val="0"/>
          <w:divBdr>
            <w:top w:val="none" w:sz="0" w:space="0" w:color="auto"/>
            <w:left w:val="none" w:sz="0" w:space="0" w:color="auto"/>
            <w:bottom w:val="none" w:sz="0" w:space="0" w:color="auto"/>
            <w:right w:val="none" w:sz="0" w:space="0" w:color="auto"/>
          </w:divBdr>
        </w:div>
        <w:div w:id="645083580">
          <w:marLeft w:val="480"/>
          <w:marRight w:val="0"/>
          <w:marTop w:val="0"/>
          <w:marBottom w:val="0"/>
          <w:divBdr>
            <w:top w:val="none" w:sz="0" w:space="0" w:color="auto"/>
            <w:left w:val="none" w:sz="0" w:space="0" w:color="auto"/>
            <w:bottom w:val="none" w:sz="0" w:space="0" w:color="auto"/>
            <w:right w:val="none" w:sz="0" w:space="0" w:color="auto"/>
          </w:divBdr>
        </w:div>
        <w:div w:id="48650607">
          <w:marLeft w:val="480"/>
          <w:marRight w:val="0"/>
          <w:marTop w:val="0"/>
          <w:marBottom w:val="0"/>
          <w:divBdr>
            <w:top w:val="none" w:sz="0" w:space="0" w:color="auto"/>
            <w:left w:val="none" w:sz="0" w:space="0" w:color="auto"/>
            <w:bottom w:val="none" w:sz="0" w:space="0" w:color="auto"/>
            <w:right w:val="none" w:sz="0" w:space="0" w:color="auto"/>
          </w:divBdr>
        </w:div>
        <w:div w:id="183977635">
          <w:marLeft w:val="480"/>
          <w:marRight w:val="0"/>
          <w:marTop w:val="0"/>
          <w:marBottom w:val="0"/>
          <w:divBdr>
            <w:top w:val="none" w:sz="0" w:space="0" w:color="auto"/>
            <w:left w:val="none" w:sz="0" w:space="0" w:color="auto"/>
            <w:bottom w:val="none" w:sz="0" w:space="0" w:color="auto"/>
            <w:right w:val="none" w:sz="0" w:space="0" w:color="auto"/>
          </w:divBdr>
        </w:div>
        <w:div w:id="2082175276">
          <w:marLeft w:val="480"/>
          <w:marRight w:val="0"/>
          <w:marTop w:val="0"/>
          <w:marBottom w:val="0"/>
          <w:divBdr>
            <w:top w:val="none" w:sz="0" w:space="0" w:color="auto"/>
            <w:left w:val="none" w:sz="0" w:space="0" w:color="auto"/>
            <w:bottom w:val="none" w:sz="0" w:space="0" w:color="auto"/>
            <w:right w:val="none" w:sz="0" w:space="0" w:color="auto"/>
          </w:divBdr>
        </w:div>
        <w:div w:id="968559549">
          <w:marLeft w:val="480"/>
          <w:marRight w:val="0"/>
          <w:marTop w:val="0"/>
          <w:marBottom w:val="0"/>
          <w:divBdr>
            <w:top w:val="none" w:sz="0" w:space="0" w:color="auto"/>
            <w:left w:val="none" w:sz="0" w:space="0" w:color="auto"/>
            <w:bottom w:val="none" w:sz="0" w:space="0" w:color="auto"/>
            <w:right w:val="none" w:sz="0" w:space="0" w:color="auto"/>
          </w:divBdr>
        </w:div>
        <w:div w:id="1460807796">
          <w:marLeft w:val="480"/>
          <w:marRight w:val="0"/>
          <w:marTop w:val="0"/>
          <w:marBottom w:val="0"/>
          <w:divBdr>
            <w:top w:val="none" w:sz="0" w:space="0" w:color="auto"/>
            <w:left w:val="none" w:sz="0" w:space="0" w:color="auto"/>
            <w:bottom w:val="none" w:sz="0" w:space="0" w:color="auto"/>
            <w:right w:val="none" w:sz="0" w:space="0" w:color="auto"/>
          </w:divBdr>
        </w:div>
        <w:div w:id="8994956">
          <w:marLeft w:val="480"/>
          <w:marRight w:val="0"/>
          <w:marTop w:val="0"/>
          <w:marBottom w:val="0"/>
          <w:divBdr>
            <w:top w:val="none" w:sz="0" w:space="0" w:color="auto"/>
            <w:left w:val="none" w:sz="0" w:space="0" w:color="auto"/>
            <w:bottom w:val="none" w:sz="0" w:space="0" w:color="auto"/>
            <w:right w:val="none" w:sz="0" w:space="0" w:color="auto"/>
          </w:divBdr>
        </w:div>
        <w:div w:id="1143304458">
          <w:marLeft w:val="480"/>
          <w:marRight w:val="0"/>
          <w:marTop w:val="0"/>
          <w:marBottom w:val="0"/>
          <w:divBdr>
            <w:top w:val="none" w:sz="0" w:space="0" w:color="auto"/>
            <w:left w:val="none" w:sz="0" w:space="0" w:color="auto"/>
            <w:bottom w:val="none" w:sz="0" w:space="0" w:color="auto"/>
            <w:right w:val="none" w:sz="0" w:space="0" w:color="auto"/>
          </w:divBdr>
        </w:div>
        <w:div w:id="726876758">
          <w:marLeft w:val="480"/>
          <w:marRight w:val="0"/>
          <w:marTop w:val="0"/>
          <w:marBottom w:val="0"/>
          <w:divBdr>
            <w:top w:val="none" w:sz="0" w:space="0" w:color="auto"/>
            <w:left w:val="none" w:sz="0" w:space="0" w:color="auto"/>
            <w:bottom w:val="none" w:sz="0" w:space="0" w:color="auto"/>
            <w:right w:val="none" w:sz="0" w:space="0" w:color="auto"/>
          </w:divBdr>
        </w:div>
        <w:div w:id="1792745283">
          <w:marLeft w:val="480"/>
          <w:marRight w:val="0"/>
          <w:marTop w:val="0"/>
          <w:marBottom w:val="0"/>
          <w:divBdr>
            <w:top w:val="none" w:sz="0" w:space="0" w:color="auto"/>
            <w:left w:val="none" w:sz="0" w:space="0" w:color="auto"/>
            <w:bottom w:val="none" w:sz="0" w:space="0" w:color="auto"/>
            <w:right w:val="none" w:sz="0" w:space="0" w:color="auto"/>
          </w:divBdr>
        </w:div>
        <w:div w:id="1573000698">
          <w:marLeft w:val="480"/>
          <w:marRight w:val="0"/>
          <w:marTop w:val="0"/>
          <w:marBottom w:val="0"/>
          <w:divBdr>
            <w:top w:val="none" w:sz="0" w:space="0" w:color="auto"/>
            <w:left w:val="none" w:sz="0" w:space="0" w:color="auto"/>
            <w:bottom w:val="none" w:sz="0" w:space="0" w:color="auto"/>
            <w:right w:val="none" w:sz="0" w:space="0" w:color="auto"/>
          </w:divBdr>
        </w:div>
        <w:div w:id="761534103">
          <w:marLeft w:val="480"/>
          <w:marRight w:val="0"/>
          <w:marTop w:val="0"/>
          <w:marBottom w:val="0"/>
          <w:divBdr>
            <w:top w:val="none" w:sz="0" w:space="0" w:color="auto"/>
            <w:left w:val="none" w:sz="0" w:space="0" w:color="auto"/>
            <w:bottom w:val="none" w:sz="0" w:space="0" w:color="auto"/>
            <w:right w:val="none" w:sz="0" w:space="0" w:color="auto"/>
          </w:divBdr>
        </w:div>
        <w:div w:id="788167035">
          <w:marLeft w:val="480"/>
          <w:marRight w:val="0"/>
          <w:marTop w:val="0"/>
          <w:marBottom w:val="0"/>
          <w:divBdr>
            <w:top w:val="none" w:sz="0" w:space="0" w:color="auto"/>
            <w:left w:val="none" w:sz="0" w:space="0" w:color="auto"/>
            <w:bottom w:val="none" w:sz="0" w:space="0" w:color="auto"/>
            <w:right w:val="none" w:sz="0" w:space="0" w:color="auto"/>
          </w:divBdr>
        </w:div>
        <w:div w:id="439377807">
          <w:marLeft w:val="480"/>
          <w:marRight w:val="0"/>
          <w:marTop w:val="0"/>
          <w:marBottom w:val="0"/>
          <w:divBdr>
            <w:top w:val="none" w:sz="0" w:space="0" w:color="auto"/>
            <w:left w:val="none" w:sz="0" w:space="0" w:color="auto"/>
            <w:bottom w:val="none" w:sz="0" w:space="0" w:color="auto"/>
            <w:right w:val="none" w:sz="0" w:space="0" w:color="auto"/>
          </w:divBdr>
        </w:div>
        <w:div w:id="574703901">
          <w:marLeft w:val="480"/>
          <w:marRight w:val="0"/>
          <w:marTop w:val="0"/>
          <w:marBottom w:val="0"/>
          <w:divBdr>
            <w:top w:val="none" w:sz="0" w:space="0" w:color="auto"/>
            <w:left w:val="none" w:sz="0" w:space="0" w:color="auto"/>
            <w:bottom w:val="none" w:sz="0" w:space="0" w:color="auto"/>
            <w:right w:val="none" w:sz="0" w:space="0" w:color="auto"/>
          </w:divBdr>
        </w:div>
        <w:div w:id="186140001">
          <w:marLeft w:val="480"/>
          <w:marRight w:val="0"/>
          <w:marTop w:val="0"/>
          <w:marBottom w:val="0"/>
          <w:divBdr>
            <w:top w:val="none" w:sz="0" w:space="0" w:color="auto"/>
            <w:left w:val="none" w:sz="0" w:space="0" w:color="auto"/>
            <w:bottom w:val="none" w:sz="0" w:space="0" w:color="auto"/>
            <w:right w:val="none" w:sz="0" w:space="0" w:color="auto"/>
          </w:divBdr>
        </w:div>
        <w:div w:id="659037616">
          <w:marLeft w:val="480"/>
          <w:marRight w:val="0"/>
          <w:marTop w:val="0"/>
          <w:marBottom w:val="0"/>
          <w:divBdr>
            <w:top w:val="none" w:sz="0" w:space="0" w:color="auto"/>
            <w:left w:val="none" w:sz="0" w:space="0" w:color="auto"/>
            <w:bottom w:val="none" w:sz="0" w:space="0" w:color="auto"/>
            <w:right w:val="none" w:sz="0" w:space="0" w:color="auto"/>
          </w:divBdr>
        </w:div>
        <w:div w:id="2086023799">
          <w:marLeft w:val="480"/>
          <w:marRight w:val="0"/>
          <w:marTop w:val="0"/>
          <w:marBottom w:val="0"/>
          <w:divBdr>
            <w:top w:val="none" w:sz="0" w:space="0" w:color="auto"/>
            <w:left w:val="none" w:sz="0" w:space="0" w:color="auto"/>
            <w:bottom w:val="none" w:sz="0" w:space="0" w:color="auto"/>
            <w:right w:val="none" w:sz="0" w:space="0" w:color="auto"/>
          </w:divBdr>
        </w:div>
        <w:div w:id="540897492">
          <w:marLeft w:val="480"/>
          <w:marRight w:val="0"/>
          <w:marTop w:val="0"/>
          <w:marBottom w:val="0"/>
          <w:divBdr>
            <w:top w:val="none" w:sz="0" w:space="0" w:color="auto"/>
            <w:left w:val="none" w:sz="0" w:space="0" w:color="auto"/>
            <w:bottom w:val="none" w:sz="0" w:space="0" w:color="auto"/>
            <w:right w:val="none" w:sz="0" w:space="0" w:color="auto"/>
          </w:divBdr>
        </w:div>
        <w:div w:id="544565851">
          <w:marLeft w:val="480"/>
          <w:marRight w:val="0"/>
          <w:marTop w:val="0"/>
          <w:marBottom w:val="0"/>
          <w:divBdr>
            <w:top w:val="none" w:sz="0" w:space="0" w:color="auto"/>
            <w:left w:val="none" w:sz="0" w:space="0" w:color="auto"/>
            <w:bottom w:val="none" w:sz="0" w:space="0" w:color="auto"/>
            <w:right w:val="none" w:sz="0" w:space="0" w:color="auto"/>
          </w:divBdr>
        </w:div>
        <w:div w:id="1134178787">
          <w:marLeft w:val="480"/>
          <w:marRight w:val="0"/>
          <w:marTop w:val="0"/>
          <w:marBottom w:val="0"/>
          <w:divBdr>
            <w:top w:val="none" w:sz="0" w:space="0" w:color="auto"/>
            <w:left w:val="none" w:sz="0" w:space="0" w:color="auto"/>
            <w:bottom w:val="none" w:sz="0" w:space="0" w:color="auto"/>
            <w:right w:val="none" w:sz="0" w:space="0" w:color="auto"/>
          </w:divBdr>
        </w:div>
        <w:div w:id="1964268621">
          <w:marLeft w:val="480"/>
          <w:marRight w:val="0"/>
          <w:marTop w:val="0"/>
          <w:marBottom w:val="0"/>
          <w:divBdr>
            <w:top w:val="none" w:sz="0" w:space="0" w:color="auto"/>
            <w:left w:val="none" w:sz="0" w:space="0" w:color="auto"/>
            <w:bottom w:val="none" w:sz="0" w:space="0" w:color="auto"/>
            <w:right w:val="none" w:sz="0" w:space="0" w:color="auto"/>
          </w:divBdr>
        </w:div>
        <w:div w:id="724724024">
          <w:marLeft w:val="480"/>
          <w:marRight w:val="0"/>
          <w:marTop w:val="0"/>
          <w:marBottom w:val="0"/>
          <w:divBdr>
            <w:top w:val="none" w:sz="0" w:space="0" w:color="auto"/>
            <w:left w:val="none" w:sz="0" w:space="0" w:color="auto"/>
            <w:bottom w:val="none" w:sz="0" w:space="0" w:color="auto"/>
            <w:right w:val="none" w:sz="0" w:space="0" w:color="auto"/>
          </w:divBdr>
        </w:div>
        <w:div w:id="764694620">
          <w:marLeft w:val="480"/>
          <w:marRight w:val="0"/>
          <w:marTop w:val="0"/>
          <w:marBottom w:val="0"/>
          <w:divBdr>
            <w:top w:val="none" w:sz="0" w:space="0" w:color="auto"/>
            <w:left w:val="none" w:sz="0" w:space="0" w:color="auto"/>
            <w:bottom w:val="none" w:sz="0" w:space="0" w:color="auto"/>
            <w:right w:val="none" w:sz="0" w:space="0" w:color="auto"/>
          </w:divBdr>
        </w:div>
        <w:div w:id="98650372">
          <w:marLeft w:val="480"/>
          <w:marRight w:val="0"/>
          <w:marTop w:val="0"/>
          <w:marBottom w:val="0"/>
          <w:divBdr>
            <w:top w:val="none" w:sz="0" w:space="0" w:color="auto"/>
            <w:left w:val="none" w:sz="0" w:space="0" w:color="auto"/>
            <w:bottom w:val="none" w:sz="0" w:space="0" w:color="auto"/>
            <w:right w:val="none" w:sz="0" w:space="0" w:color="auto"/>
          </w:divBdr>
        </w:div>
        <w:div w:id="1223951832">
          <w:marLeft w:val="480"/>
          <w:marRight w:val="0"/>
          <w:marTop w:val="0"/>
          <w:marBottom w:val="0"/>
          <w:divBdr>
            <w:top w:val="none" w:sz="0" w:space="0" w:color="auto"/>
            <w:left w:val="none" w:sz="0" w:space="0" w:color="auto"/>
            <w:bottom w:val="none" w:sz="0" w:space="0" w:color="auto"/>
            <w:right w:val="none" w:sz="0" w:space="0" w:color="auto"/>
          </w:divBdr>
        </w:div>
        <w:div w:id="796528469">
          <w:marLeft w:val="480"/>
          <w:marRight w:val="0"/>
          <w:marTop w:val="0"/>
          <w:marBottom w:val="0"/>
          <w:divBdr>
            <w:top w:val="none" w:sz="0" w:space="0" w:color="auto"/>
            <w:left w:val="none" w:sz="0" w:space="0" w:color="auto"/>
            <w:bottom w:val="none" w:sz="0" w:space="0" w:color="auto"/>
            <w:right w:val="none" w:sz="0" w:space="0" w:color="auto"/>
          </w:divBdr>
        </w:div>
        <w:div w:id="970982339">
          <w:marLeft w:val="480"/>
          <w:marRight w:val="0"/>
          <w:marTop w:val="0"/>
          <w:marBottom w:val="0"/>
          <w:divBdr>
            <w:top w:val="none" w:sz="0" w:space="0" w:color="auto"/>
            <w:left w:val="none" w:sz="0" w:space="0" w:color="auto"/>
            <w:bottom w:val="none" w:sz="0" w:space="0" w:color="auto"/>
            <w:right w:val="none" w:sz="0" w:space="0" w:color="auto"/>
          </w:divBdr>
        </w:div>
        <w:div w:id="1480269170">
          <w:marLeft w:val="480"/>
          <w:marRight w:val="0"/>
          <w:marTop w:val="0"/>
          <w:marBottom w:val="0"/>
          <w:divBdr>
            <w:top w:val="none" w:sz="0" w:space="0" w:color="auto"/>
            <w:left w:val="none" w:sz="0" w:space="0" w:color="auto"/>
            <w:bottom w:val="none" w:sz="0" w:space="0" w:color="auto"/>
            <w:right w:val="none" w:sz="0" w:space="0" w:color="auto"/>
          </w:divBdr>
        </w:div>
        <w:div w:id="899555212">
          <w:marLeft w:val="480"/>
          <w:marRight w:val="0"/>
          <w:marTop w:val="0"/>
          <w:marBottom w:val="0"/>
          <w:divBdr>
            <w:top w:val="none" w:sz="0" w:space="0" w:color="auto"/>
            <w:left w:val="none" w:sz="0" w:space="0" w:color="auto"/>
            <w:bottom w:val="none" w:sz="0" w:space="0" w:color="auto"/>
            <w:right w:val="none" w:sz="0" w:space="0" w:color="auto"/>
          </w:divBdr>
        </w:div>
        <w:div w:id="1474911539">
          <w:marLeft w:val="480"/>
          <w:marRight w:val="0"/>
          <w:marTop w:val="0"/>
          <w:marBottom w:val="0"/>
          <w:divBdr>
            <w:top w:val="none" w:sz="0" w:space="0" w:color="auto"/>
            <w:left w:val="none" w:sz="0" w:space="0" w:color="auto"/>
            <w:bottom w:val="none" w:sz="0" w:space="0" w:color="auto"/>
            <w:right w:val="none" w:sz="0" w:space="0" w:color="auto"/>
          </w:divBdr>
        </w:div>
        <w:div w:id="2127580977">
          <w:marLeft w:val="480"/>
          <w:marRight w:val="0"/>
          <w:marTop w:val="0"/>
          <w:marBottom w:val="0"/>
          <w:divBdr>
            <w:top w:val="none" w:sz="0" w:space="0" w:color="auto"/>
            <w:left w:val="none" w:sz="0" w:space="0" w:color="auto"/>
            <w:bottom w:val="none" w:sz="0" w:space="0" w:color="auto"/>
            <w:right w:val="none" w:sz="0" w:space="0" w:color="auto"/>
          </w:divBdr>
        </w:div>
        <w:div w:id="863976894">
          <w:marLeft w:val="480"/>
          <w:marRight w:val="0"/>
          <w:marTop w:val="0"/>
          <w:marBottom w:val="0"/>
          <w:divBdr>
            <w:top w:val="none" w:sz="0" w:space="0" w:color="auto"/>
            <w:left w:val="none" w:sz="0" w:space="0" w:color="auto"/>
            <w:bottom w:val="none" w:sz="0" w:space="0" w:color="auto"/>
            <w:right w:val="none" w:sz="0" w:space="0" w:color="auto"/>
          </w:divBdr>
        </w:div>
        <w:div w:id="1237933834">
          <w:marLeft w:val="480"/>
          <w:marRight w:val="0"/>
          <w:marTop w:val="0"/>
          <w:marBottom w:val="0"/>
          <w:divBdr>
            <w:top w:val="none" w:sz="0" w:space="0" w:color="auto"/>
            <w:left w:val="none" w:sz="0" w:space="0" w:color="auto"/>
            <w:bottom w:val="none" w:sz="0" w:space="0" w:color="auto"/>
            <w:right w:val="none" w:sz="0" w:space="0" w:color="auto"/>
          </w:divBdr>
        </w:div>
        <w:div w:id="521017578">
          <w:marLeft w:val="480"/>
          <w:marRight w:val="0"/>
          <w:marTop w:val="0"/>
          <w:marBottom w:val="0"/>
          <w:divBdr>
            <w:top w:val="none" w:sz="0" w:space="0" w:color="auto"/>
            <w:left w:val="none" w:sz="0" w:space="0" w:color="auto"/>
            <w:bottom w:val="none" w:sz="0" w:space="0" w:color="auto"/>
            <w:right w:val="none" w:sz="0" w:space="0" w:color="auto"/>
          </w:divBdr>
        </w:div>
        <w:div w:id="1208178054">
          <w:marLeft w:val="480"/>
          <w:marRight w:val="0"/>
          <w:marTop w:val="0"/>
          <w:marBottom w:val="0"/>
          <w:divBdr>
            <w:top w:val="none" w:sz="0" w:space="0" w:color="auto"/>
            <w:left w:val="none" w:sz="0" w:space="0" w:color="auto"/>
            <w:bottom w:val="none" w:sz="0" w:space="0" w:color="auto"/>
            <w:right w:val="none" w:sz="0" w:space="0" w:color="auto"/>
          </w:divBdr>
        </w:div>
        <w:div w:id="665085324">
          <w:marLeft w:val="480"/>
          <w:marRight w:val="0"/>
          <w:marTop w:val="0"/>
          <w:marBottom w:val="0"/>
          <w:divBdr>
            <w:top w:val="none" w:sz="0" w:space="0" w:color="auto"/>
            <w:left w:val="none" w:sz="0" w:space="0" w:color="auto"/>
            <w:bottom w:val="none" w:sz="0" w:space="0" w:color="auto"/>
            <w:right w:val="none" w:sz="0" w:space="0" w:color="auto"/>
          </w:divBdr>
        </w:div>
        <w:div w:id="1584803800">
          <w:marLeft w:val="480"/>
          <w:marRight w:val="0"/>
          <w:marTop w:val="0"/>
          <w:marBottom w:val="0"/>
          <w:divBdr>
            <w:top w:val="none" w:sz="0" w:space="0" w:color="auto"/>
            <w:left w:val="none" w:sz="0" w:space="0" w:color="auto"/>
            <w:bottom w:val="none" w:sz="0" w:space="0" w:color="auto"/>
            <w:right w:val="none" w:sz="0" w:space="0" w:color="auto"/>
          </w:divBdr>
        </w:div>
        <w:div w:id="184948954">
          <w:marLeft w:val="480"/>
          <w:marRight w:val="0"/>
          <w:marTop w:val="0"/>
          <w:marBottom w:val="0"/>
          <w:divBdr>
            <w:top w:val="none" w:sz="0" w:space="0" w:color="auto"/>
            <w:left w:val="none" w:sz="0" w:space="0" w:color="auto"/>
            <w:bottom w:val="none" w:sz="0" w:space="0" w:color="auto"/>
            <w:right w:val="none" w:sz="0" w:space="0" w:color="auto"/>
          </w:divBdr>
        </w:div>
        <w:div w:id="1835754768">
          <w:marLeft w:val="480"/>
          <w:marRight w:val="0"/>
          <w:marTop w:val="0"/>
          <w:marBottom w:val="0"/>
          <w:divBdr>
            <w:top w:val="none" w:sz="0" w:space="0" w:color="auto"/>
            <w:left w:val="none" w:sz="0" w:space="0" w:color="auto"/>
            <w:bottom w:val="none" w:sz="0" w:space="0" w:color="auto"/>
            <w:right w:val="none" w:sz="0" w:space="0" w:color="auto"/>
          </w:divBdr>
        </w:div>
        <w:div w:id="929630284">
          <w:marLeft w:val="480"/>
          <w:marRight w:val="0"/>
          <w:marTop w:val="0"/>
          <w:marBottom w:val="0"/>
          <w:divBdr>
            <w:top w:val="none" w:sz="0" w:space="0" w:color="auto"/>
            <w:left w:val="none" w:sz="0" w:space="0" w:color="auto"/>
            <w:bottom w:val="none" w:sz="0" w:space="0" w:color="auto"/>
            <w:right w:val="none" w:sz="0" w:space="0" w:color="auto"/>
          </w:divBdr>
        </w:div>
        <w:div w:id="1571381742">
          <w:marLeft w:val="480"/>
          <w:marRight w:val="0"/>
          <w:marTop w:val="0"/>
          <w:marBottom w:val="0"/>
          <w:divBdr>
            <w:top w:val="none" w:sz="0" w:space="0" w:color="auto"/>
            <w:left w:val="none" w:sz="0" w:space="0" w:color="auto"/>
            <w:bottom w:val="none" w:sz="0" w:space="0" w:color="auto"/>
            <w:right w:val="none" w:sz="0" w:space="0" w:color="auto"/>
          </w:divBdr>
        </w:div>
        <w:div w:id="456990589">
          <w:marLeft w:val="480"/>
          <w:marRight w:val="0"/>
          <w:marTop w:val="0"/>
          <w:marBottom w:val="0"/>
          <w:divBdr>
            <w:top w:val="none" w:sz="0" w:space="0" w:color="auto"/>
            <w:left w:val="none" w:sz="0" w:space="0" w:color="auto"/>
            <w:bottom w:val="none" w:sz="0" w:space="0" w:color="auto"/>
            <w:right w:val="none" w:sz="0" w:space="0" w:color="auto"/>
          </w:divBdr>
        </w:div>
        <w:div w:id="2114590251">
          <w:marLeft w:val="480"/>
          <w:marRight w:val="0"/>
          <w:marTop w:val="0"/>
          <w:marBottom w:val="0"/>
          <w:divBdr>
            <w:top w:val="none" w:sz="0" w:space="0" w:color="auto"/>
            <w:left w:val="none" w:sz="0" w:space="0" w:color="auto"/>
            <w:bottom w:val="none" w:sz="0" w:space="0" w:color="auto"/>
            <w:right w:val="none" w:sz="0" w:space="0" w:color="auto"/>
          </w:divBdr>
        </w:div>
        <w:div w:id="1968468151">
          <w:marLeft w:val="480"/>
          <w:marRight w:val="0"/>
          <w:marTop w:val="0"/>
          <w:marBottom w:val="0"/>
          <w:divBdr>
            <w:top w:val="none" w:sz="0" w:space="0" w:color="auto"/>
            <w:left w:val="none" w:sz="0" w:space="0" w:color="auto"/>
            <w:bottom w:val="none" w:sz="0" w:space="0" w:color="auto"/>
            <w:right w:val="none" w:sz="0" w:space="0" w:color="auto"/>
          </w:divBdr>
        </w:div>
        <w:div w:id="1031492785">
          <w:marLeft w:val="480"/>
          <w:marRight w:val="0"/>
          <w:marTop w:val="0"/>
          <w:marBottom w:val="0"/>
          <w:divBdr>
            <w:top w:val="none" w:sz="0" w:space="0" w:color="auto"/>
            <w:left w:val="none" w:sz="0" w:space="0" w:color="auto"/>
            <w:bottom w:val="none" w:sz="0" w:space="0" w:color="auto"/>
            <w:right w:val="none" w:sz="0" w:space="0" w:color="auto"/>
          </w:divBdr>
        </w:div>
        <w:div w:id="880484789">
          <w:marLeft w:val="480"/>
          <w:marRight w:val="0"/>
          <w:marTop w:val="0"/>
          <w:marBottom w:val="0"/>
          <w:divBdr>
            <w:top w:val="none" w:sz="0" w:space="0" w:color="auto"/>
            <w:left w:val="none" w:sz="0" w:space="0" w:color="auto"/>
            <w:bottom w:val="none" w:sz="0" w:space="0" w:color="auto"/>
            <w:right w:val="none" w:sz="0" w:space="0" w:color="auto"/>
          </w:divBdr>
        </w:div>
        <w:div w:id="691497524">
          <w:marLeft w:val="480"/>
          <w:marRight w:val="0"/>
          <w:marTop w:val="0"/>
          <w:marBottom w:val="0"/>
          <w:divBdr>
            <w:top w:val="none" w:sz="0" w:space="0" w:color="auto"/>
            <w:left w:val="none" w:sz="0" w:space="0" w:color="auto"/>
            <w:bottom w:val="none" w:sz="0" w:space="0" w:color="auto"/>
            <w:right w:val="none" w:sz="0" w:space="0" w:color="auto"/>
          </w:divBdr>
        </w:div>
        <w:div w:id="1803687859">
          <w:marLeft w:val="480"/>
          <w:marRight w:val="0"/>
          <w:marTop w:val="0"/>
          <w:marBottom w:val="0"/>
          <w:divBdr>
            <w:top w:val="none" w:sz="0" w:space="0" w:color="auto"/>
            <w:left w:val="none" w:sz="0" w:space="0" w:color="auto"/>
            <w:bottom w:val="none" w:sz="0" w:space="0" w:color="auto"/>
            <w:right w:val="none" w:sz="0" w:space="0" w:color="auto"/>
          </w:divBdr>
        </w:div>
        <w:div w:id="1133018946">
          <w:marLeft w:val="480"/>
          <w:marRight w:val="0"/>
          <w:marTop w:val="0"/>
          <w:marBottom w:val="0"/>
          <w:divBdr>
            <w:top w:val="none" w:sz="0" w:space="0" w:color="auto"/>
            <w:left w:val="none" w:sz="0" w:space="0" w:color="auto"/>
            <w:bottom w:val="none" w:sz="0" w:space="0" w:color="auto"/>
            <w:right w:val="none" w:sz="0" w:space="0" w:color="auto"/>
          </w:divBdr>
        </w:div>
        <w:div w:id="1089303244">
          <w:marLeft w:val="480"/>
          <w:marRight w:val="0"/>
          <w:marTop w:val="0"/>
          <w:marBottom w:val="0"/>
          <w:divBdr>
            <w:top w:val="none" w:sz="0" w:space="0" w:color="auto"/>
            <w:left w:val="none" w:sz="0" w:space="0" w:color="auto"/>
            <w:bottom w:val="none" w:sz="0" w:space="0" w:color="auto"/>
            <w:right w:val="none" w:sz="0" w:space="0" w:color="auto"/>
          </w:divBdr>
        </w:div>
        <w:div w:id="456879741">
          <w:marLeft w:val="480"/>
          <w:marRight w:val="0"/>
          <w:marTop w:val="0"/>
          <w:marBottom w:val="0"/>
          <w:divBdr>
            <w:top w:val="none" w:sz="0" w:space="0" w:color="auto"/>
            <w:left w:val="none" w:sz="0" w:space="0" w:color="auto"/>
            <w:bottom w:val="none" w:sz="0" w:space="0" w:color="auto"/>
            <w:right w:val="none" w:sz="0" w:space="0" w:color="auto"/>
          </w:divBdr>
        </w:div>
        <w:div w:id="1428575581">
          <w:marLeft w:val="480"/>
          <w:marRight w:val="0"/>
          <w:marTop w:val="0"/>
          <w:marBottom w:val="0"/>
          <w:divBdr>
            <w:top w:val="none" w:sz="0" w:space="0" w:color="auto"/>
            <w:left w:val="none" w:sz="0" w:space="0" w:color="auto"/>
            <w:bottom w:val="none" w:sz="0" w:space="0" w:color="auto"/>
            <w:right w:val="none" w:sz="0" w:space="0" w:color="auto"/>
          </w:divBdr>
        </w:div>
        <w:div w:id="1710883466">
          <w:marLeft w:val="480"/>
          <w:marRight w:val="0"/>
          <w:marTop w:val="0"/>
          <w:marBottom w:val="0"/>
          <w:divBdr>
            <w:top w:val="none" w:sz="0" w:space="0" w:color="auto"/>
            <w:left w:val="none" w:sz="0" w:space="0" w:color="auto"/>
            <w:bottom w:val="none" w:sz="0" w:space="0" w:color="auto"/>
            <w:right w:val="none" w:sz="0" w:space="0" w:color="auto"/>
          </w:divBdr>
        </w:div>
        <w:div w:id="2114855981">
          <w:marLeft w:val="480"/>
          <w:marRight w:val="0"/>
          <w:marTop w:val="0"/>
          <w:marBottom w:val="0"/>
          <w:divBdr>
            <w:top w:val="none" w:sz="0" w:space="0" w:color="auto"/>
            <w:left w:val="none" w:sz="0" w:space="0" w:color="auto"/>
            <w:bottom w:val="none" w:sz="0" w:space="0" w:color="auto"/>
            <w:right w:val="none" w:sz="0" w:space="0" w:color="auto"/>
          </w:divBdr>
        </w:div>
        <w:div w:id="1724937404">
          <w:marLeft w:val="480"/>
          <w:marRight w:val="0"/>
          <w:marTop w:val="0"/>
          <w:marBottom w:val="0"/>
          <w:divBdr>
            <w:top w:val="none" w:sz="0" w:space="0" w:color="auto"/>
            <w:left w:val="none" w:sz="0" w:space="0" w:color="auto"/>
            <w:bottom w:val="none" w:sz="0" w:space="0" w:color="auto"/>
            <w:right w:val="none" w:sz="0" w:space="0" w:color="auto"/>
          </w:divBdr>
        </w:div>
        <w:div w:id="2087804267">
          <w:marLeft w:val="480"/>
          <w:marRight w:val="0"/>
          <w:marTop w:val="0"/>
          <w:marBottom w:val="0"/>
          <w:divBdr>
            <w:top w:val="none" w:sz="0" w:space="0" w:color="auto"/>
            <w:left w:val="none" w:sz="0" w:space="0" w:color="auto"/>
            <w:bottom w:val="none" w:sz="0" w:space="0" w:color="auto"/>
            <w:right w:val="none" w:sz="0" w:space="0" w:color="auto"/>
          </w:divBdr>
        </w:div>
        <w:div w:id="2116291785">
          <w:marLeft w:val="480"/>
          <w:marRight w:val="0"/>
          <w:marTop w:val="0"/>
          <w:marBottom w:val="0"/>
          <w:divBdr>
            <w:top w:val="none" w:sz="0" w:space="0" w:color="auto"/>
            <w:left w:val="none" w:sz="0" w:space="0" w:color="auto"/>
            <w:bottom w:val="none" w:sz="0" w:space="0" w:color="auto"/>
            <w:right w:val="none" w:sz="0" w:space="0" w:color="auto"/>
          </w:divBdr>
        </w:div>
        <w:div w:id="2032878654">
          <w:marLeft w:val="480"/>
          <w:marRight w:val="0"/>
          <w:marTop w:val="0"/>
          <w:marBottom w:val="0"/>
          <w:divBdr>
            <w:top w:val="none" w:sz="0" w:space="0" w:color="auto"/>
            <w:left w:val="none" w:sz="0" w:space="0" w:color="auto"/>
            <w:bottom w:val="none" w:sz="0" w:space="0" w:color="auto"/>
            <w:right w:val="none" w:sz="0" w:space="0" w:color="auto"/>
          </w:divBdr>
        </w:div>
        <w:div w:id="272788382">
          <w:marLeft w:val="480"/>
          <w:marRight w:val="0"/>
          <w:marTop w:val="0"/>
          <w:marBottom w:val="0"/>
          <w:divBdr>
            <w:top w:val="none" w:sz="0" w:space="0" w:color="auto"/>
            <w:left w:val="none" w:sz="0" w:space="0" w:color="auto"/>
            <w:bottom w:val="none" w:sz="0" w:space="0" w:color="auto"/>
            <w:right w:val="none" w:sz="0" w:space="0" w:color="auto"/>
          </w:divBdr>
        </w:div>
        <w:div w:id="1192960501">
          <w:marLeft w:val="480"/>
          <w:marRight w:val="0"/>
          <w:marTop w:val="0"/>
          <w:marBottom w:val="0"/>
          <w:divBdr>
            <w:top w:val="none" w:sz="0" w:space="0" w:color="auto"/>
            <w:left w:val="none" w:sz="0" w:space="0" w:color="auto"/>
            <w:bottom w:val="none" w:sz="0" w:space="0" w:color="auto"/>
            <w:right w:val="none" w:sz="0" w:space="0" w:color="auto"/>
          </w:divBdr>
        </w:div>
        <w:div w:id="1154567379">
          <w:marLeft w:val="480"/>
          <w:marRight w:val="0"/>
          <w:marTop w:val="0"/>
          <w:marBottom w:val="0"/>
          <w:divBdr>
            <w:top w:val="none" w:sz="0" w:space="0" w:color="auto"/>
            <w:left w:val="none" w:sz="0" w:space="0" w:color="auto"/>
            <w:bottom w:val="none" w:sz="0" w:space="0" w:color="auto"/>
            <w:right w:val="none" w:sz="0" w:space="0" w:color="auto"/>
          </w:divBdr>
        </w:div>
        <w:div w:id="1662276364">
          <w:marLeft w:val="480"/>
          <w:marRight w:val="0"/>
          <w:marTop w:val="0"/>
          <w:marBottom w:val="0"/>
          <w:divBdr>
            <w:top w:val="none" w:sz="0" w:space="0" w:color="auto"/>
            <w:left w:val="none" w:sz="0" w:space="0" w:color="auto"/>
            <w:bottom w:val="none" w:sz="0" w:space="0" w:color="auto"/>
            <w:right w:val="none" w:sz="0" w:space="0" w:color="auto"/>
          </w:divBdr>
        </w:div>
        <w:div w:id="545878471">
          <w:marLeft w:val="480"/>
          <w:marRight w:val="0"/>
          <w:marTop w:val="0"/>
          <w:marBottom w:val="0"/>
          <w:divBdr>
            <w:top w:val="none" w:sz="0" w:space="0" w:color="auto"/>
            <w:left w:val="none" w:sz="0" w:space="0" w:color="auto"/>
            <w:bottom w:val="none" w:sz="0" w:space="0" w:color="auto"/>
            <w:right w:val="none" w:sz="0" w:space="0" w:color="auto"/>
          </w:divBdr>
        </w:div>
        <w:div w:id="70469115">
          <w:marLeft w:val="480"/>
          <w:marRight w:val="0"/>
          <w:marTop w:val="0"/>
          <w:marBottom w:val="0"/>
          <w:divBdr>
            <w:top w:val="none" w:sz="0" w:space="0" w:color="auto"/>
            <w:left w:val="none" w:sz="0" w:space="0" w:color="auto"/>
            <w:bottom w:val="none" w:sz="0" w:space="0" w:color="auto"/>
            <w:right w:val="none" w:sz="0" w:space="0" w:color="auto"/>
          </w:divBdr>
        </w:div>
        <w:div w:id="1372996231">
          <w:marLeft w:val="480"/>
          <w:marRight w:val="0"/>
          <w:marTop w:val="0"/>
          <w:marBottom w:val="0"/>
          <w:divBdr>
            <w:top w:val="none" w:sz="0" w:space="0" w:color="auto"/>
            <w:left w:val="none" w:sz="0" w:space="0" w:color="auto"/>
            <w:bottom w:val="none" w:sz="0" w:space="0" w:color="auto"/>
            <w:right w:val="none" w:sz="0" w:space="0" w:color="auto"/>
          </w:divBdr>
        </w:div>
        <w:div w:id="1191530432">
          <w:marLeft w:val="480"/>
          <w:marRight w:val="0"/>
          <w:marTop w:val="0"/>
          <w:marBottom w:val="0"/>
          <w:divBdr>
            <w:top w:val="none" w:sz="0" w:space="0" w:color="auto"/>
            <w:left w:val="none" w:sz="0" w:space="0" w:color="auto"/>
            <w:bottom w:val="none" w:sz="0" w:space="0" w:color="auto"/>
            <w:right w:val="none" w:sz="0" w:space="0" w:color="auto"/>
          </w:divBdr>
        </w:div>
        <w:div w:id="712270969">
          <w:marLeft w:val="480"/>
          <w:marRight w:val="0"/>
          <w:marTop w:val="0"/>
          <w:marBottom w:val="0"/>
          <w:divBdr>
            <w:top w:val="none" w:sz="0" w:space="0" w:color="auto"/>
            <w:left w:val="none" w:sz="0" w:space="0" w:color="auto"/>
            <w:bottom w:val="none" w:sz="0" w:space="0" w:color="auto"/>
            <w:right w:val="none" w:sz="0" w:space="0" w:color="auto"/>
          </w:divBdr>
        </w:div>
        <w:div w:id="294145411">
          <w:marLeft w:val="480"/>
          <w:marRight w:val="0"/>
          <w:marTop w:val="0"/>
          <w:marBottom w:val="0"/>
          <w:divBdr>
            <w:top w:val="none" w:sz="0" w:space="0" w:color="auto"/>
            <w:left w:val="none" w:sz="0" w:space="0" w:color="auto"/>
            <w:bottom w:val="none" w:sz="0" w:space="0" w:color="auto"/>
            <w:right w:val="none" w:sz="0" w:space="0" w:color="auto"/>
          </w:divBdr>
        </w:div>
        <w:div w:id="1274702494">
          <w:marLeft w:val="480"/>
          <w:marRight w:val="0"/>
          <w:marTop w:val="0"/>
          <w:marBottom w:val="0"/>
          <w:divBdr>
            <w:top w:val="none" w:sz="0" w:space="0" w:color="auto"/>
            <w:left w:val="none" w:sz="0" w:space="0" w:color="auto"/>
            <w:bottom w:val="none" w:sz="0" w:space="0" w:color="auto"/>
            <w:right w:val="none" w:sz="0" w:space="0" w:color="auto"/>
          </w:divBdr>
        </w:div>
        <w:div w:id="1145001783">
          <w:marLeft w:val="480"/>
          <w:marRight w:val="0"/>
          <w:marTop w:val="0"/>
          <w:marBottom w:val="0"/>
          <w:divBdr>
            <w:top w:val="none" w:sz="0" w:space="0" w:color="auto"/>
            <w:left w:val="none" w:sz="0" w:space="0" w:color="auto"/>
            <w:bottom w:val="none" w:sz="0" w:space="0" w:color="auto"/>
            <w:right w:val="none" w:sz="0" w:space="0" w:color="auto"/>
          </w:divBdr>
        </w:div>
        <w:div w:id="1831556172">
          <w:marLeft w:val="480"/>
          <w:marRight w:val="0"/>
          <w:marTop w:val="0"/>
          <w:marBottom w:val="0"/>
          <w:divBdr>
            <w:top w:val="none" w:sz="0" w:space="0" w:color="auto"/>
            <w:left w:val="none" w:sz="0" w:space="0" w:color="auto"/>
            <w:bottom w:val="none" w:sz="0" w:space="0" w:color="auto"/>
            <w:right w:val="none" w:sz="0" w:space="0" w:color="auto"/>
          </w:divBdr>
        </w:div>
        <w:div w:id="182256188">
          <w:marLeft w:val="480"/>
          <w:marRight w:val="0"/>
          <w:marTop w:val="0"/>
          <w:marBottom w:val="0"/>
          <w:divBdr>
            <w:top w:val="none" w:sz="0" w:space="0" w:color="auto"/>
            <w:left w:val="none" w:sz="0" w:space="0" w:color="auto"/>
            <w:bottom w:val="none" w:sz="0" w:space="0" w:color="auto"/>
            <w:right w:val="none" w:sz="0" w:space="0" w:color="auto"/>
          </w:divBdr>
        </w:div>
        <w:div w:id="760956326">
          <w:marLeft w:val="480"/>
          <w:marRight w:val="0"/>
          <w:marTop w:val="0"/>
          <w:marBottom w:val="0"/>
          <w:divBdr>
            <w:top w:val="none" w:sz="0" w:space="0" w:color="auto"/>
            <w:left w:val="none" w:sz="0" w:space="0" w:color="auto"/>
            <w:bottom w:val="none" w:sz="0" w:space="0" w:color="auto"/>
            <w:right w:val="none" w:sz="0" w:space="0" w:color="auto"/>
          </w:divBdr>
        </w:div>
        <w:div w:id="285821916">
          <w:marLeft w:val="480"/>
          <w:marRight w:val="0"/>
          <w:marTop w:val="0"/>
          <w:marBottom w:val="0"/>
          <w:divBdr>
            <w:top w:val="none" w:sz="0" w:space="0" w:color="auto"/>
            <w:left w:val="none" w:sz="0" w:space="0" w:color="auto"/>
            <w:bottom w:val="none" w:sz="0" w:space="0" w:color="auto"/>
            <w:right w:val="none" w:sz="0" w:space="0" w:color="auto"/>
          </w:divBdr>
        </w:div>
        <w:div w:id="1266883299">
          <w:marLeft w:val="480"/>
          <w:marRight w:val="0"/>
          <w:marTop w:val="0"/>
          <w:marBottom w:val="0"/>
          <w:divBdr>
            <w:top w:val="none" w:sz="0" w:space="0" w:color="auto"/>
            <w:left w:val="none" w:sz="0" w:space="0" w:color="auto"/>
            <w:bottom w:val="none" w:sz="0" w:space="0" w:color="auto"/>
            <w:right w:val="none" w:sz="0" w:space="0" w:color="auto"/>
          </w:divBdr>
        </w:div>
        <w:div w:id="54670203">
          <w:marLeft w:val="480"/>
          <w:marRight w:val="0"/>
          <w:marTop w:val="0"/>
          <w:marBottom w:val="0"/>
          <w:divBdr>
            <w:top w:val="none" w:sz="0" w:space="0" w:color="auto"/>
            <w:left w:val="none" w:sz="0" w:space="0" w:color="auto"/>
            <w:bottom w:val="none" w:sz="0" w:space="0" w:color="auto"/>
            <w:right w:val="none" w:sz="0" w:space="0" w:color="auto"/>
          </w:divBdr>
        </w:div>
        <w:div w:id="2135756958">
          <w:marLeft w:val="480"/>
          <w:marRight w:val="0"/>
          <w:marTop w:val="0"/>
          <w:marBottom w:val="0"/>
          <w:divBdr>
            <w:top w:val="none" w:sz="0" w:space="0" w:color="auto"/>
            <w:left w:val="none" w:sz="0" w:space="0" w:color="auto"/>
            <w:bottom w:val="none" w:sz="0" w:space="0" w:color="auto"/>
            <w:right w:val="none" w:sz="0" w:space="0" w:color="auto"/>
          </w:divBdr>
        </w:div>
        <w:div w:id="203517596">
          <w:marLeft w:val="480"/>
          <w:marRight w:val="0"/>
          <w:marTop w:val="0"/>
          <w:marBottom w:val="0"/>
          <w:divBdr>
            <w:top w:val="none" w:sz="0" w:space="0" w:color="auto"/>
            <w:left w:val="none" w:sz="0" w:space="0" w:color="auto"/>
            <w:bottom w:val="none" w:sz="0" w:space="0" w:color="auto"/>
            <w:right w:val="none" w:sz="0" w:space="0" w:color="auto"/>
          </w:divBdr>
        </w:div>
        <w:div w:id="2005357205">
          <w:marLeft w:val="480"/>
          <w:marRight w:val="0"/>
          <w:marTop w:val="0"/>
          <w:marBottom w:val="0"/>
          <w:divBdr>
            <w:top w:val="none" w:sz="0" w:space="0" w:color="auto"/>
            <w:left w:val="none" w:sz="0" w:space="0" w:color="auto"/>
            <w:bottom w:val="none" w:sz="0" w:space="0" w:color="auto"/>
            <w:right w:val="none" w:sz="0" w:space="0" w:color="auto"/>
          </w:divBdr>
        </w:div>
        <w:div w:id="1337465824">
          <w:marLeft w:val="480"/>
          <w:marRight w:val="0"/>
          <w:marTop w:val="0"/>
          <w:marBottom w:val="0"/>
          <w:divBdr>
            <w:top w:val="none" w:sz="0" w:space="0" w:color="auto"/>
            <w:left w:val="none" w:sz="0" w:space="0" w:color="auto"/>
            <w:bottom w:val="none" w:sz="0" w:space="0" w:color="auto"/>
            <w:right w:val="none" w:sz="0" w:space="0" w:color="auto"/>
          </w:divBdr>
        </w:div>
        <w:div w:id="1888106857">
          <w:marLeft w:val="480"/>
          <w:marRight w:val="0"/>
          <w:marTop w:val="0"/>
          <w:marBottom w:val="0"/>
          <w:divBdr>
            <w:top w:val="none" w:sz="0" w:space="0" w:color="auto"/>
            <w:left w:val="none" w:sz="0" w:space="0" w:color="auto"/>
            <w:bottom w:val="none" w:sz="0" w:space="0" w:color="auto"/>
            <w:right w:val="none" w:sz="0" w:space="0" w:color="auto"/>
          </w:divBdr>
        </w:div>
        <w:div w:id="2076705397">
          <w:marLeft w:val="480"/>
          <w:marRight w:val="0"/>
          <w:marTop w:val="0"/>
          <w:marBottom w:val="0"/>
          <w:divBdr>
            <w:top w:val="none" w:sz="0" w:space="0" w:color="auto"/>
            <w:left w:val="none" w:sz="0" w:space="0" w:color="auto"/>
            <w:bottom w:val="none" w:sz="0" w:space="0" w:color="auto"/>
            <w:right w:val="none" w:sz="0" w:space="0" w:color="auto"/>
          </w:divBdr>
        </w:div>
        <w:div w:id="1168638497">
          <w:marLeft w:val="480"/>
          <w:marRight w:val="0"/>
          <w:marTop w:val="0"/>
          <w:marBottom w:val="0"/>
          <w:divBdr>
            <w:top w:val="none" w:sz="0" w:space="0" w:color="auto"/>
            <w:left w:val="none" w:sz="0" w:space="0" w:color="auto"/>
            <w:bottom w:val="none" w:sz="0" w:space="0" w:color="auto"/>
            <w:right w:val="none" w:sz="0" w:space="0" w:color="auto"/>
          </w:divBdr>
        </w:div>
        <w:div w:id="1130978678">
          <w:marLeft w:val="480"/>
          <w:marRight w:val="0"/>
          <w:marTop w:val="0"/>
          <w:marBottom w:val="0"/>
          <w:divBdr>
            <w:top w:val="none" w:sz="0" w:space="0" w:color="auto"/>
            <w:left w:val="none" w:sz="0" w:space="0" w:color="auto"/>
            <w:bottom w:val="none" w:sz="0" w:space="0" w:color="auto"/>
            <w:right w:val="none" w:sz="0" w:space="0" w:color="auto"/>
          </w:divBdr>
        </w:div>
        <w:div w:id="195775692">
          <w:marLeft w:val="480"/>
          <w:marRight w:val="0"/>
          <w:marTop w:val="0"/>
          <w:marBottom w:val="0"/>
          <w:divBdr>
            <w:top w:val="none" w:sz="0" w:space="0" w:color="auto"/>
            <w:left w:val="none" w:sz="0" w:space="0" w:color="auto"/>
            <w:bottom w:val="none" w:sz="0" w:space="0" w:color="auto"/>
            <w:right w:val="none" w:sz="0" w:space="0" w:color="auto"/>
          </w:divBdr>
        </w:div>
        <w:div w:id="1531259997">
          <w:marLeft w:val="480"/>
          <w:marRight w:val="0"/>
          <w:marTop w:val="0"/>
          <w:marBottom w:val="0"/>
          <w:divBdr>
            <w:top w:val="none" w:sz="0" w:space="0" w:color="auto"/>
            <w:left w:val="none" w:sz="0" w:space="0" w:color="auto"/>
            <w:bottom w:val="none" w:sz="0" w:space="0" w:color="auto"/>
            <w:right w:val="none" w:sz="0" w:space="0" w:color="auto"/>
          </w:divBdr>
        </w:div>
        <w:div w:id="84351038">
          <w:marLeft w:val="480"/>
          <w:marRight w:val="0"/>
          <w:marTop w:val="0"/>
          <w:marBottom w:val="0"/>
          <w:divBdr>
            <w:top w:val="none" w:sz="0" w:space="0" w:color="auto"/>
            <w:left w:val="none" w:sz="0" w:space="0" w:color="auto"/>
            <w:bottom w:val="none" w:sz="0" w:space="0" w:color="auto"/>
            <w:right w:val="none" w:sz="0" w:space="0" w:color="auto"/>
          </w:divBdr>
        </w:div>
        <w:div w:id="544295554">
          <w:marLeft w:val="480"/>
          <w:marRight w:val="0"/>
          <w:marTop w:val="0"/>
          <w:marBottom w:val="0"/>
          <w:divBdr>
            <w:top w:val="none" w:sz="0" w:space="0" w:color="auto"/>
            <w:left w:val="none" w:sz="0" w:space="0" w:color="auto"/>
            <w:bottom w:val="none" w:sz="0" w:space="0" w:color="auto"/>
            <w:right w:val="none" w:sz="0" w:space="0" w:color="auto"/>
          </w:divBdr>
        </w:div>
        <w:div w:id="1872645165">
          <w:marLeft w:val="480"/>
          <w:marRight w:val="0"/>
          <w:marTop w:val="0"/>
          <w:marBottom w:val="0"/>
          <w:divBdr>
            <w:top w:val="none" w:sz="0" w:space="0" w:color="auto"/>
            <w:left w:val="none" w:sz="0" w:space="0" w:color="auto"/>
            <w:bottom w:val="none" w:sz="0" w:space="0" w:color="auto"/>
            <w:right w:val="none" w:sz="0" w:space="0" w:color="auto"/>
          </w:divBdr>
        </w:div>
        <w:div w:id="2099709285">
          <w:marLeft w:val="480"/>
          <w:marRight w:val="0"/>
          <w:marTop w:val="0"/>
          <w:marBottom w:val="0"/>
          <w:divBdr>
            <w:top w:val="none" w:sz="0" w:space="0" w:color="auto"/>
            <w:left w:val="none" w:sz="0" w:space="0" w:color="auto"/>
            <w:bottom w:val="none" w:sz="0" w:space="0" w:color="auto"/>
            <w:right w:val="none" w:sz="0" w:space="0" w:color="auto"/>
          </w:divBdr>
        </w:div>
        <w:div w:id="28335149">
          <w:marLeft w:val="480"/>
          <w:marRight w:val="0"/>
          <w:marTop w:val="0"/>
          <w:marBottom w:val="0"/>
          <w:divBdr>
            <w:top w:val="none" w:sz="0" w:space="0" w:color="auto"/>
            <w:left w:val="none" w:sz="0" w:space="0" w:color="auto"/>
            <w:bottom w:val="none" w:sz="0" w:space="0" w:color="auto"/>
            <w:right w:val="none" w:sz="0" w:space="0" w:color="auto"/>
          </w:divBdr>
        </w:div>
        <w:div w:id="1293516356">
          <w:marLeft w:val="480"/>
          <w:marRight w:val="0"/>
          <w:marTop w:val="0"/>
          <w:marBottom w:val="0"/>
          <w:divBdr>
            <w:top w:val="none" w:sz="0" w:space="0" w:color="auto"/>
            <w:left w:val="none" w:sz="0" w:space="0" w:color="auto"/>
            <w:bottom w:val="none" w:sz="0" w:space="0" w:color="auto"/>
            <w:right w:val="none" w:sz="0" w:space="0" w:color="auto"/>
          </w:divBdr>
        </w:div>
        <w:div w:id="346369486">
          <w:marLeft w:val="480"/>
          <w:marRight w:val="0"/>
          <w:marTop w:val="0"/>
          <w:marBottom w:val="0"/>
          <w:divBdr>
            <w:top w:val="none" w:sz="0" w:space="0" w:color="auto"/>
            <w:left w:val="none" w:sz="0" w:space="0" w:color="auto"/>
            <w:bottom w:val="none" w:sz="0" w:space="0" w:color="auto"/>
            <w:right w:val="none" w:sz="0" w:space="0" w:color="auto"/>
          </w:divBdr>
        </w:div>
        <w:div w:id="1110976951">
          <w:marLeft w:val="480"/>
          <w:marRight w:val="0"/>
          <w:marTop w:val="0"/>
          <w:marBottom w:val="0"/>
          <w:divBdr>
            <w:top w:val="none" w:sz="0" w:space="0" w:color="auto"/>
            <w:left w:val="none" w:sz="0" w:space="0" w:color="auto"/>
            <w:bottom w:val="none" w:sz="0" w:space="0" w:color="auto"/>
            <w:right w:val="none" w:sz="0" w:space="0" w:color="auto"/>
          </w:divBdr>
        </w:div>
        <w:div w:id="1747411326">
          <w:marLeft w:val="480"/>
          <w:marRight w:val="0"/>
          <w:marTop w:val="0"/>
          <w:marBottom w:val="0"/>
          <w:divBdr>
            <w:top w:val="none" w:sz="0" w:space="0" w:color="auto"/>
            <w:left w:val="none" w:sz="0" w:space="0" w:color="auto"/>
            <w:bottom w:val="none" w:sz="0" w:space="0" w:color="auto"/>
            <w:right w:val="none" w:sz="0" w:space="0" w:color="auto"/>
          </w:divBdr>
        </w:div>
        <w:div w:id="1038773529">
          <w:marLeft w:val="480"/>
          <w:marRight w:val="0"/>
          <w:marTop w:val="0"/>
          <w:marBottom w:val="0"/>
          <w:divBdr>
            <w:top w:val="none" w:sz="0" w:space="0" w:color="auto"/>
            <w:left w:val="none" w:sz="0" w:space="0" w:color="auto"/>
            <w:bottom w:val="none" w:sz="0" w:space="0" w:color="auto"/>
            <w:right w:val="none" w:sz="0" w:space="0" w:color="auto"/>
          </w:divBdr>
        </w:div>
        <w:div w:id="131169793">
          <w:marLeft w:val="480"/>
          <w:marRight w:val="0"/>
          <w:marTop w:val="0"/>
          <w:marBottom w:val="0"/>
          <w:divBdr>
            <w:top w:val="none" w:sz="0" w:space="0" w:color="auto"/>
            <w:left w:val="none" w:sz="0" w:space="0" w:color="auto"/>
            <w:bottom w:val="none" w:sz="0" w:space="0" w:color="auto"/>
            <w:right w:val="none" w:sz="0" w:space="0" w:color="auto"/>
          </w:divBdr>
        </w:div>
        <w:div w:id="170411590">
          <w:marLeft w:val="480"/>
          <w:marRight w:val="0"/>
          <w:marTop w:val="0"/>
          <w:marBottom w:val="0"/>
          <w:divBdr>
            <w:top w:val="none" w:sz="0" w:space="0" w:color="auto"/>
            <w:left w:val="none" w:sz="0" w:space="0" w:color="auto"/>
            <w:bottom w:val="none" w:sz="0" w:space="0" w:color="auto"/>
            <w:right w:val="none" w:sz="0" w:space="0" w:color="auto"/>
          </w:divBdr>
        </w:div>
        <w:div w:id="178667255">
          <w:marLeft w:val="480"/>
          <w:marRight w:val="0"/>
          <w:marTop w:val="0"/>
          <w:marBottom w:val="0"/>
          <w:divBdr>
            <w:top w:val="none" w:sz="0" w:space="0" w:color="auto"/>
            <w:left w:val="none" w:sz="0" w:space="0" w:color="auto"/>
            <w:bottom w:val="none" w:sz="0" w:space="0" w:color="auto"/>
            <w:right w:val="none" w:sz="0" w:space="0" w:color="auto"/>
          </w:divBdr>
        </w:div>
        <w:div w:id="352390388">
          <w:marLeft w:val="480"/>
          <w:marRight w:val="0"/>
          <w:marTop w:val="0"/>
          <w:marBottom w:val="0"/>
          <w:divBdr>
            <w:top w:val="none" w:sz="0" w:space="0" w:color="auto"/>
            <w:left w:val="none" w:sz="0" w:space="0" w:color="auto"/>
            <w:bottom w:val="none" w:sz="0" w:space="0" w:color="auto"/>
            <w:right w:val="none" w:sz="0" w:space="0" w:color="auto"/>
          </w:divBdr>
        </w:div>
        <w:div w:id="44765680">
          <w:marLeft w:val="480"/>
          <w:marRight w:val="0"/>
          <w:marTop w:val="0"/>
          <w:marBottom w:val="0"/>
          <w:divBdr>
            <w:top w:val="none" w:sz="0" w:space="0" w:color="auto"/>
            <w:left w:val="none" w:sz="0" w:space="0" w:color="auto"/>
            <w:bottom w:val="none" w:sz="0" w:space="0" w:color="auto"/>
            <w:right w:val="none" w:sz="0" w:space="0" w:color="auto"/>
          </w:divBdr>
        </w:div>
        <w:div w:id="786583678">
          <w:marLeft w:val="480"/>
          <w:marRight w:val="0"/>
          <w:marTop w:val="0"/>
          <w:marBottom w:val="0"/>
          <w:divBdr>
            <w:top w:val="none" w:sz="0" w:space="0" w:color="auto"/>
            <w:left w:val="none" w:sz="0" w:space="0" w:color="auto"/>
            <w:bottom w:val="none" w:sz="0" w:space="0" w:color="auto"/>
            <w:right w:val="none" w:sz="0" w:space="0" w:color="auto"/>
          </w:divBdr>
        </w:div>
        <w:div w:id="421147847">
          <w:marLeft w:val="480"/>
          <w:marRight w:val="0"/>
          <w:marTop w:val="0"/>
          <w:marBottom w:val="0"/>
          <w:divBdr>
            <w:top w:val="none" w:sz="0" w:space="0" w:color="auto"/>
            <w:left w:val="none" w:sz="0" w:space="0" w:color="auto"/>
            <w:bottom w:val="none" w:sz="0" w:space="0" w:color="auto"/>
            <w:right w:val="none" w:sz="0" w:space="0" w:color="auto"/>
          </w:divBdr>
        </w:div>
        <w:div w:id="1140851097">
          <w:marLeft w:val="480"/>
          <w:marRight w:val="0"/>
          <w:marTop w:val="0"/>
          <w:marBottom w:val="0"/>
          <w:divBdr>
            <w:top w:val="none" w:sz="0" w:space="0" w:color="auto"/>
            <w:left w:val="none" w:sz="0" w:space="0" w:color="auto"/>
            <w:bottom w:val="none" w:sz="0" w:space="0" w:color="auto"/>
            <w:right w:val="none" w:sz="0" w:space="0" w:color="auto"/>
          </w:divBdr>
        </w:div>
        <w:div w:id="1279528475">
          <w:marLeft w:val="480"/>
          <w:marRight w:val="0"/>
          <w:marTop w:val="0"/>
          <w:marBottom w:val="0"/>
          <w:divBdr>
            <w:top w:val="none" w:sz="0" w:space="0" w:color="auto"/>
            <w:left w:val="none" w:sz="0" w:space="0" w:color="auto"/>
            <w:bottom w:val="none" w:sz="0" w:space="0" w:color="auto"/>
            <w:right w:val="none" w:sz="0" w:space="0" w:color="auto"/>
          </w:divBdr>
        </w:div>
        <w:div w:id="539050072">
          <w:marLeft w:val="480"/>
          <w:marRight w:val="0"/>
          <w:marTop w:val="0"/>
          <w:marBottom w:val="0"/>
          <w:divBdr>
            <w:top w:val="none" w:sz="0" w:space="0" w:color="auto"/>
            <w:left w:val="none" w:sz="0" w:space="0" w:color="auto"/>
            <w:bottom w:val="none" w:sz="0" w:space="0" w:color="auto"/>
            <w:right w:val="none" w:sz="0" w:space="0" w:color="auto"/>
          </w:divBdr>
        </w:div>
        <w:div w:id="65765129">
          <w:marLeft w:val="480"/>
          <w:marRight w:val="0"/>
          <w:marTop w:val="0"/>
          <w:marBottom w:val="0"/>
          <w:divBdr>
            <w:top w:val="none" w:sz="0" w:space="0" w:color="auto"/>
            <w:left w:val="none" w:sz="0" w:space="0" w:color="auto"/>
            <w:bottom w:val="none" w:sz="0" w:space="0" w:color="auto"/>
            <w:right w:val="none" w:sz="0" w:space="0" w:color="auto"/>
          </w:divBdr>
        </w:div>
        <w:div w:id="793404833">
          <w:marLeft w:val="480"/>
          <w:marRight w:val="0"/>
          <w:marTop w:val="0"/>
          <w:marBottom w:val="0"/>
          <w:divBdr>
            <w:top w:val="none" w:sz="0" w:space="0" w:color="auto"/>
            <w:left w:val="none" w:sz="0" w:space="0" w:color="auto"/>
            <w:bottom w:val="none" w:sz="0" w:space="0" w:color="auto"/>
            <w:right w:val="none" w:sz="0" w:space="0" w:color="auto"/>
          </w:divBdr>
        </w:div>
        <w:div w:id="2020157608">
          <w:marLeft w:val="480"/>
          <w:marRight w:val="0"/>
          <w:marTop w:val="0"/>
          <w:marBottom w:val="0"/>
          <w:divBdr>
            <w:top w:val="none" w:sz="0" w:space="0" w:color="auto"/>
            <w:left w:val="none" w:sz="0" w:space="0" w:color="auto"/>
            <w:bottom w:val="none" w:sz="0" w:space="0" w:color="auto"/>
            <w:right w:val="none" w:sz="0" w:space="0" w:color="auto"/>
          </w:divBdr>
        </w:div>
        <w:div w:id="927081420">
          <w:marLeft w:val="480"/>
          <w:marRight w:val="0"/>
          <w:marTop w:val="0"/>
          <w:marBottom w:val="0"/>
          <w:divBdr>
            <w:top w:val="none" w:sz="0" w:space="0" w:color="auto"/>
            <w:left w:val="none" w:sz="0" w:space="0" w:color="auto"/>
            <w:bottom w:val="none" w:sz="0" w:space="0" w:color="auto"/>
            <w:right w:val="none" w:sz="0" w:space="0" w:color="auto"/>
          </w:divBdr>
        </w:div>
        <w:div w:id="1476946687">
          <w:marLeft w:val="480"/>
          <w:marRight w:val="0"/>
          <w:marTop w:val="0"/>
          <w:marBottom w:val="0"/>
          <w:divBdr>
            <w:top w:val="none" w:sz="0" w:space="0" w:color="auto"/>
            <w:left w:val="none" w:sz="0" w:space="0" w:color="auto"/>
            <w:bottom w:val="none" w:sz="0" w:space="0" w:color="auto"/>
            <w:right w:val="none" w:sz="0" w:space="0" w:color="auto"/>
          </w:divBdr>
        </w:div>
        <w:div w:id="1508207187">
          <w:marLeft w:val="480"/>
          <w:marRight w:val="0"/>
          <w:marTop w:val="0"/>
          <w:marBottom w:val="0"/>
          <w:divBdr>
            <w:top w:val="none" w:sz="0" w:space="0" w:color="auto"/>
            <w:left w:val="none" w:sz="0" w:space="0" w:color="auto"/>
            <w:bottom w:val="none" w:sz="0" w:space="0" w:color="auto"/>
            <w:right w:val="none" w:sz="0" w:space="0" w:color="auto"/>
          </w:divBdr>
        </w:div>
        <w:div w:id="162477457">
          <w:marLeft w:val="480"/>
          <w:marRight w:val="0"/>
          <w:marTop w:val="0"/>
          <w:marBottom w:val="0"/>
          <w:divBdr>
            <w:top w:val="none" w:sz="0" w:space="0" w:color="auto"/>
            <w:left w:val="none" w:sz="0" w:space="0" w:color="auto"/>
            <w:bottom w:val="none" w:sz="0" w:space="0" w:color="auto"/>
            <w:right w:val="none" w:sz="0" w:space="0" w:color="auto"/>
          </w:divBdr>
        </w:div>
        <w:div w:id="608126148">
          <w:marLeft w:val="480"/>
          <w:marRight w:val="0"/>
          <w:marTop w:val="0"/>
          <w:marBottom w:val="0"/>
          <w:divBdr>
            <w:top w:val="none" w:sz="0" w:space="0" w:color="auto"/>
            <w:left w:val="none" w:sz="0" w:space="0" w:color="auto"/>
            <w:bottom w:val="none" w:sz="0" w:space="0" w:color="auto"/>
            <w:right w:val="none" w:sz="0" w:space="0" w:color="auto"/>
          </w:divBdr>
        </w:div>
        <w:div w:id="718822259">
          <w:marLeft w:val="480"/>
          <w:marRight w:val="0"/>
          <w:marTop w:val="0"/>
          <w:marBottom w:val="0"/>
          <w:divBdr>
            <w:top w:val="none" w:sz="0" w:space="0" w:color="auto"/>
            <w:left w:val="none" w:sz="0" w:space="0" w:color="auto"/>
            <w:bottom w:val="none" w:sz="0" w:space="0" w:color="auto"/>
            <w:right w:val="none" w:sz="0" w:space="0" w:color="auto"/>
          </w:divBdr>
        </w:div>
        <w:div w:id="1930501495">
          <w:marLeft w:val="480"/>
          <w:marRight w:val="0"/>
          <w:marTop w:val="0"/>
          <w:marBottom w:val="0"/>
          <w:divBdr>
            <w:top w:val="none" w:sz="0" w:space="0" w:color="auto"/>
            <w:left w:val="none" w:sz="0" w:space="0" w:color="auto"/>
            <w:bottom w:val="none" w:sz="0" w:space="0" w:color="auto"/>
            <w:right w:val="none" w:sz="0" w:space="0" w:color="auto"/>
          </w:divBdr>
        </w:div>
        <w:div w:id="25326718">
          <w:marLeft w:val="480"/>
          <w:marRight w:val="0"/>
          <w:marTop w:val="0"/>
          <w:marBottom w:val="0"/>
          <w:divBdr>
            <w:top w:val="none" w:sz="0" w:space="0" w:color="auto"/>
            <w:left w:val="none" w:sz="0" w:space="0" w:color="auto"/>
            <w:bottom w:val="none" w:sz="0" w:space="0" w:color="auto"/>
            <w:right w:val="none" w:sz="0" w:space="0" w:color="auto"/>
          </w:divBdr>
        </w:div>
        <w:div w:id="783691100">
          <w:marLeft w:val="480"/>
          <w:marRight w:val="0"/>
          <w:marTop w:val="0"/>
          <w:marBottom w:val="0"/>
          <w:divBdr>
            <w:top w:val="none" w:sz="0" w:space="0" w:color="auto"/>
            <w:left w:val="none" w:sz="0" w:space="0" w:color="auto"/>
            <w:bottom w:val="none" w:sz="0" w:space="0" w:color="auto"/>
            <w:right w:val="none" w:sz="0" w:space="0" w:color="auto"/>
          </w:divBdr>
        </w:div>
        <w:div w:id="1189945999">
          <w:marLeft w:val="480"/>
          <w:marRight w:val="0"/>
          <w:marTop w:val="0"/>
          <w:marBottom w:val="0"/>
          <w:divBdr>
            <w:top w:val="none" w:sz="0" w:space="0" w:color="auto"/>
            <w:left w:val="none" w:sz="0" w:space="0" w:color="auto"/>
            <w:bottom w:val="none" w:sz="0" w:space="0" w:color="auto"/>
            <w:right w:val="none" w:sz="0" w:space="0" w:color="auto"/>
          </w:divBdr>
        </w:div>
        <w:div w:id="1735473040">
          <w:marLeft w:val="480"/>
          <w:marRight w:val="0"/>
          <w:marTop w:val="0"/>
          <w:marBottom w:val="0"/>
          <w:divBdr>
            <w:top w:val="none" w:sz="0" w:space="0" w:color="auto"/>
            <w:left w:val="none" w:sz="0" w:space="0" w:color="auto"/>
            <w:bottom w:val="none" w:sz="0" w:space="0" w:color="auto"/>
            <w:right w:val="none" w:sz="0" w:space="0" w:color="auto"/>
          </w:divBdr>
        </w:div>
        <w:div w:id="897982897">
          <w:marLeft w:val="480"/>
          <w:marRight w:val="0"/>
          <w:marTop w:val="0"/>
          <w:marBottom w:val="0"/>
          <w:divBdr>
            <w:top w:val="none" w:sz="0" w:space="0" w:color="auto"/>
            <w:left w:val="none" w:sz="0" w:space="0" w:color="auto"/>
            <w:bottom w:val="none" w:sz="0" w:space="0" w:color="auto"/>
            <w:right w:val="none" w:sz="0" w:space="0" w:color="auto"/>
          </w:divBdr>
        </w:div>
        <w:div w:id="584148263">
          <w:marLeft w:val="480"/>
          <w:marRight w:val="0"/>
          <w:marTop w:val="0"/>
          <w:marBottom w:val="0"/>
          <w:divBdr>
            <w:top w:val="none" w:sz="0" w:space="0" w:color="auto"/>
            <w:left w:val="none" w:sz="0" w:space="0" w:color="auto"/>
            <w:bottom w:val="none" w:sz="0" w:space="0" w:color="auto"/>
            <w:right w:val="none" w:sz="0" w:space="0" w:color="auto"/>
          </w:divBdr>
        </w:div>
        <w:div w:id="651104773">
          <w:marLeft w:val="480"/>
          <w:marRight w:val="0"/>
          <w:marTop w:val="0"/>
          <w:marBottom w:val="0"/>
          <w:divBdr>
            <w:top w:val="none" w:sz="0" w:space="0" w:color="auto"/>
            <w:left w:val="none" w:sz="0" w:space="0" w:color="auto"/>
            <w:bottom w:val="none" w:sz="0" w:space="0" w:color="auto"/>
            <w:right w:val="none" w:sz="0" w:space="0" w:color="auto"/>
          </w:divBdr>
        </w:div>
        <w:div w:id="1720320339">
          <w:marLeft w:val="480"/>
          <w:marRight w:val="0"/>
          <w:marTop w:val="0"/>
          <w:marBottom w:val="0"/>
          <w:divBdr>
            <w:top w:val="none" w:sz="0" w:space="0" w:color="auto"/>
            <w:left w:val="none" w:sz="0" w:space="0" w:color="auto"/>
            <w:bottom w:val="none" w:sz="0" w:space="0" w:color="auto"/>
            <w:right w:val="none" w:sz="0" w:space="0" w:color="auto"/>
          </w:divBdr>
        </w:div>
        <w:div w:id="1179276227">
          <w:marLeft w:val="480"/>
          <w:marRight w:val="0"/>
          <w:marTop w:val="0"/>
          <w:marBottom w:val="0"/>
          <w:divBdr>
            <w:top w:val="none" w:sz="0" w:space="0" w:color="auto"/>
            <w:left w:val="none" w:sz="0" w:space="0" w:color="auto"/>
            <w:bottom w:val="none" w:sz="0" w:space="0" w:color="auto"/>
            <w:right w:val="none" w:sz="0" w:space="0" w:color="auto"/>
          </w:divBdr>
        </w:div>
        <w:div w:id="73479193">
          <w:marLeft w:val="480"/>
          <w:marRight w:val="0"/>
          <w:marTop w:val="0"/>
          <w:marBottom w:val="0"/>
          <w:divBdr>
            <w:top w:val="none" w:sz="0" w:space="0" w:color="auto"/>
            <w:left w:val="none" w:sz="0" w:space="0" w:color="auto"/>
            <w:bottom w:val="none" w:sz="0" w:space="0" w:color="auto"/>
            <w:right w:val="none" w:sz="0" w:space="0" w:color="auto"/>
          </w:divBdr>
        </w:div>
        <w:div w:id="668630991">
          <w:marLeft w:val="480"/>
          <w:marRight w:val="0"/>
          <w:marTop w:val="0"/>
          <w:marBottom w:val="0"/>
          <w:divBdr>
            <w:top w:val="none" w:sz="0" w:space="0" w:color="auto"/>
            <w:left w:val="none" w:sz="0" w:space="0" w:color="auto"/>
            <w:bottom w:val="none" w:sz="0" w:space="0" w:color="auto"/>
            <w:right w:val="none" w:sz="0" w:space="0" w:color="auto"/>
          </w:divBdr>
        </w:div>
        <w:div w:id="1311598691">
          <w:marLeft w:val="480"/>
          <w:marRight w:val="0"/>
          <w:marTop w:val="0"/>
          <w:marBottom w:val="0"/>
          <w:divBdr>
            <w:top w:val="none" w:sz="0" w:space="0" w:color="auto"/>
            <w:left w:val="none" w:sz="0" w:space="0" w:color="auto"/>
            <w:bottom w:val="none" w:sz="0" w:space="0" w:color="auto"/>
            <w:right w:val="none" w:sz="0" w:space="0" w:color="auto"/>
          </w:divBdr>
        </w:div>
        <w:div w:id="1239899377">
          <w:marLeft w:val="480"/>
          <w:marRight w:val="0"/>
          <w:marTop w:val="0"/>
          <w:marBottom w:val="0"/>
          <w:divBdr>
            <w:top w:val="none" w:sz="0" w:space="0" w:color="auto"/>
            <w:left w:val="none" w:sz="0" w:space="0" w:color="auto"/>
            <w:bottom w:val="none" w:sz="0" w:space="0" w:color="auto"/>
            <w:right w:val="none" w:sz="0" w:space="0" w:color="auto"/>
          </w:divBdr>
        </w:div>
        <w:div w:id="528223498">
          <w:marLeft w:val="480"/>
          <w:marRight w:val="0"/>
          <w:marTop w:val="0"/>
          <w:marBottom w:val="0"/>
          <w:divBdr>
            <w:top w:val="none" w:sz="0" w:space="0" w:color="auto"/>
            <w:left w:val="none" w:sz="0" w:space="0" w:color="auto"/>
            <w:bottom w:val="none" w:sz="0" w:space="0" w:color="auto"/>
            <w:right w:val="none" w:sz="0" w:space="0" w:color="auto"/>
          </w:divBdr>
        </w:div>
        <w:div w:id="1001473131">
          <w:marLeft w:val="480"/>
          <w:marRight w:val="0"/>
          <w:marTop w:val="0"/>
          <w:marBottom w:val="0"/>
          <w:divBdr>
            <w:top w:val="none" w:sz="0" w:space="0" w:color="auto"/>
            <w:left w:val="none" w:sz="0" w:space="0" w:color="auto"/>
            <w:bottom w:val="none" w:sz="0" w:space="0" w:color="auto"/>
            <w:right w:val="none" w:sz="0" w:space="0" w:color="auto"/>
          </w:divBdr>
        </w:div>
        <w:div w:id="1448357526">
          <w:marLeft w:val="480"/>
          <w:marRight w:val="0"/>
          <w:marTop w:val="0"/>
          <w:marBottom w:val="0"/>
          <w:divBdr>
            <w:top w:val="none" w:sz="0" w:space="0" w:color="auto"/>
            <w:left w:val="none" w:sz="0" w:space="0" w:color="auto"/>
            <w:bottom w:val="none" w:sz="0" w:space="0" w:color="auto"/>
            <w:right w:val="none" w:sz="0" w:space="0" w:color="auto"/>
          </w:divBdr>
        </w:div>
        <w:div w:id="1498184310">
          <w:marLeft w:val="480"/>
          <w:marRight w:val="0"/>
          <w:marTop w:val="0"/>
          <w:marBottom w:val="0"/>
          <w:divBdr>
            <w:top w:val="none" w:sz="0" w:space="0" w:color="auto"/>
            <w:left w:val="none" w:sz="0" w:space="0" w:color="auto"/>
            <w:bottom w:val="none" w:sz="0" w:space="0" w:color="auto"/>
            <w:right w:val="none" w:sz="0" w:space="0" w:color="auto"/>
          </w:divBdr>
        </w:div>
        <w:div w:id="959148303">
          <w:marLeft w:val="480"/>
          <w:marRight w:val="0"/>
          <w:marTop w:val="0"/>
          <w:marBottom w:val="0"/>
          <w:divBdr>
            <w:top w:val="none" w:sz="0" w:space="0" w:color="auto"/>
            <w:left w:val="none" w:sz="0" w:space="0" w:color="auto"/>
            <w:bottom w:val="none" w:sz="0" w:space="0" w:color="auto"/>
            <w:right w:val="none" w:sz="0" w:space="0" w:color="auto"/>
          </w:divBdr>
        </w:div>
        <w:div w:id="1802650787">
          <w:marLeft w:val="480"/>
          <w:marRight w:val="0"/>
          <w:marTop w:val="0"/>
          <w:marBottom w:val="0"/>
          <w:divBdr>
            <w:top w:val="none" w:sz="0" w:space="0" w:color="auto"/>
            <w:left w:val="none" w:sz="0" w:space="0" w:color="auto"/>
            <w:bottom w:val="none" w:sz="0" w:space="0" w:color="auto"/>
            <w:right w:val="none" w:sz="0" w:space="0" w:color="auto"/>
          </w:divBdr>
        </w:div>
        <w:div w:id="747844698">
          <w:marLeft w:val="480"/>
          <w:marRight w:val="0"/>
          <w:marTop w:val="0"/>
          <w:marBottom w:val="0"/>
          <w:divBdr>
            <w:top w:val="none" w:sz="0" w:space="0" w:color="auto"/>
            <w:left w:val="none" w:sz="0" w:space="0" w:color="auto"/>
            <w:bottom w:val="none" w:sz="0" w:space="0" w:color="auto"/>
            <w:right w:val="none" w:sz="0" w:space="0" w:color="auto"/>
          </w:divBdr>
        </w:div>
        <w:div w:id="2044401421">
          <w:marLeft w:val="480"/>
          <w:marRight w:val="0"/>
          <w:marTop w:val="0"/>
          <w:marBottom w:val="0"/>
          <w:divBdr>
            <w:top w:val="none" w:sz="0" w:space="0" w:color="auto"/>
            <w:left w:val="none" w:sz="0" w:space="0" w:color="auto"/>
            <w:bottom w:val="none" w:sz="0" w:space="0" w:color="auto"/>
            <w:right w:val="none" w:sz="0" w:space="0" w:color="auto"/>
          </w:divBdr>
        </w:div>
        <w:div w:id="1333215584">
          <w:marLeft w:val="480"/>
          <w:marRight w:val="0"/>
          <w:marTop w:val="0"/>
          <w:marBottom w:val="0"/>
          <w:divBdr>
            <w:top w:val="none" w:sz="0" w:space="0" w:color="auto"/>
            <w:left w:val="none" w:sz="0" w:space="0" w:color="auto"/>
            <w:bottom w:val="none" w:sz="0" w:space="0" w:color="auto"/>
            <w:right w:val="none" w:sz="0" w:space="0" w:color="auto"/>
          </w:divBdr>
        </w:div>
        <w:div w:id="762263166">
          <w:marLeft w:val="480"/>
          <w:marRight w:val="0"/>
          <w:marTop w:val="0"/>
          <w:marBottom w:val="0"/>
          <w:divBdr>
            <w:top w:val="none" w:sz="0" w:space="0" w:color="auto"/>
            <w:left w:val="none" w:sz="0" w:space="0" w:color="auto"/>
            <w:bottom w:val="none" w:sz="0" w:space="0" w:color="auto"/>
            <w:right w:val="none" w:sz="0" w:space="0" w:color="auto"/>
          </w:divBdr>
        </w:div>
        <w:div w:id="226115840">
          <w:marLeft w:val="480"/>
          <w:marRight w:val="0"/>
          <w:marTop w:val="0"/>
          <w:marBottom w:val="0"/>
          <w:divBdr>
            <w:top w:val="none" w:sz="0" w:space="0" w:color="auto"/>
            <w:left w:val="none" w:sz="0" w:space="0" w:color="auto"/>
            <w:bottom w:val="none" w:sz="0" w:space="0" w:color="auto"/>
            <w:right w:val="none" w:sz="0" w:space="0" w:color="auto"/>
          </w:divBdr>
        </w:div>
        <w:div w:id="741415311">
          <w:marLeft w:val="480"/>
          <w:marRight w:val="0"/>
          <w:marTop w:val="0"/>
          <w:marBottom w:val="0"/>
          <w:divBdr>
            <w:top w:val="none" w:sz="0" w:space="0" w:color="auto"/>
            <w:left w:val="none" w:sz="0" w:space="0" w:color="auto"/>
            <w:bottom w:val="none" w:sz="0" w:space="0" w:color="auto"/>
            <w:right w:val="none" w:sz="0" w:space="0" w:color="auto"/>
          </w:divBdr>
        </w:div>
        <w:div w:id="222254494">
          <w:marLeft w:val="480"/>
          <w:marRight w:val="0"/>
          <w:marTop w:val="0"/>
          <w:marBottom w:val="0"/>
          <w:divBdr>
            <w:top w:val="none" w:sz="0" w:space="0" w:color="auto"/>
            <w:left w:val="none" w:sz="0" w:space="0" w:color="auto"/>
            <w:bottom w:val="none" w:sz="0" w:space="0" w:color="auto"/>
            <w:right w:val="none" w:sz="0" w:space="0" w:color="auto"/>
          </w:divBdr>
        </w:div>
        <w:div w:id="796022123">
          <w:marLeft w:val="480"/>
          <w:marRight w:val="0"/>
          <w:marTop w:val="0"/>
          <w:marBottom w:val="0"/>
          <w:divBdr>
            <w:top w:val="none" w:sz="0" w:space="0" w:color="auto"/>
            <w:left w:val="none" w:sz="0" w:space="0" w:color="auto"/>
            <w:bottom w:val="none" w:sz="0" w:space="0" w:color="auto"/>
            <w:right w:val="none" w:sz="0" w:space="0" w:color="auto"/>
          </w:divBdr>
        </w:div>
        <w:div w:id="502356987">
          <w:marLeft w:val="480"/>
          <w:marRight w:val="0"/>
          <w:marTop w:val="0"/>
          <w:marBottom w:val="0"/>
          <w:divBdr>
            <w:top w:val="none" w:sz="0" w:space="0" w:color="auto"/>
            <w:left w:val="none" w:sz="0" w:space="0" w:color="auto"/>
            <w:bottom w:val="none" w:sz="0" w:space="0" w:color="auto"/>
            <w:right w:val="none" w:sz="0" w:space="0" w:color="auto"/>
          </w:divBdr>
        </w:div>
        <w:div w:id="1469275725">
          <w:marLeft w:val="480"/>
          <w:marRight w:val="0"/>
          <w:marTop w:val="0"/>
          <w:marBottom w:val="0"/>
          <w:divBdr>
            <w:top w:val="none" w:sz="0" w:space="0" w:color="auto"/>
            <w:left w:val="none" w:sz="0" w:space="0" w:color="auto"/>
            <w:bottom w:val="none" w:sz="0" w:space="0" w:color="auto"/>
            <w:right w:val="none" w:sz="0" w:space="0" w:color="auto"/>
          </w:divBdr>
        </w:div>
        <w:div w:id="1288659738">
          <w:marLeft w:val="480"/>
          <w:marRight w:val="0"/>
          <w:marTop w:val="0"/>
          <w:marBottom w:val="0"/>
          <w:divBdr>
            <w:top w:val="none" w:sz="0" w:space="0" w:color="auto"/>
            <w:left w:val="none" w:sz="0" w:space="0" w:color="auto"/>
            <w:bottom w:val="none" w:sz="0" w:space="0" w:color="auto"/>
            <w:right w:val="none" w:sz="0" w:space="0" w:color="auto"/>
          </w:divBdr>
        </w:div>
        <w:div w:id="233785965">
          <w:marLeft w:val="480"/>
          <w:marRight w:val="0"/>
          <w:marTop w:val="0"/>
          <w:marBottom w:val="0"/>
          <w:divBdr>
            <w:top w:val="none" w:sz="0" w:space="0" w:color="auto"/>
            <w:left w:val="none" w:sz="0" w:space="0" w:color="auto"/>
            <w:bottom w:val="none" w:sz="0" w:space="0" w:color="auto"/>
            <w:right w:val="none" w:sz="0" w:space="0" w:color="auto"/>
          </w:divBdr>
        </w:div>
        <w:div w:id="1422799746">
          <w:marLeft w:val="480"/>
          <w:marRight w:val="0"/>
          <w:marTop w:val="0"/>
          <w:marBottom w:val="0"/>
          <w:divBdr>
            <w:top w:val="none" w:sz="0" w:space="0" w:color="auto"/>
            <w:left w:val="none" w:sz="0" w:space="0" w:color="auto"/>
            <w:bottom w:val="none" w:sz="0" w:space="0" w:color="auto"/>
            <w:right w:val="none" w:sz="0" w:space="0" w:color="auto"/>
          </w:divBdr>
        </w:div>
        <w:div w:id="137918608">
          <w:marLeft w:val="480"/>
          <w:marRight w:val="0"/>
          <w:marTop w:val="0"/>
          <w:marBottom w:val="0"/>
          <w:divBdr>
            <w:top w:val="none" w:sz="0" w:space="0" w:color="auto"/>
            <w:left w:val="none" w:sz="0" w:space="0" w:color="auto"/>
            <w:bottom w:val="none" w:sz="0" w:space="0" w:color="auto"/>
            <w:right w:val="none" w:sz="0" w:space="0" w:color="auto"/>
          </w:divBdr>
        </w:div>
        <w:div w:id="1474717422">
          <w:marLeft w:val="480"/>
          <w:marRight w:val="0"/>
          <w:marTop w:val="0"/>
          <w:marBottom w:val="0"/>
          <w:divBdr>
            <w:top w:val="none" w:sz="0" w:space="0" w:color="auto"/>
            <w:left w:val="none" w:sz="0" w:space="0" w:color="auto"/>
            <w:bottom w:val="none" w:sz="0" w:space="0" w:color="auto"/>
            <w:right w:val="none" w:sz="0" w:space="0" w:color="auto"/>
          </w:divBdr>
        </w:div>
        <w:div w:id="1655834137">
          <w:marLeft w:val="480"/>
          <w:marRight w:val="0"/>
          <w:marTop w:val="0"/>
          <w:marBottom w:val="0"/>
          <w:divBdr>
            <w:top w:val="none" w:sz="0" w:space="0" w:color="auto"/>
            <w:left w:val="none" w:sz="0" w:space="0" w:color="auto"/>
            <w:bottom w:val="none" w:sz="0" w:space="0" w:color="auto"/>
            <w:right w:val="none" w:sz="0" w:space="0" w:color="auto"/>
          </w:divBdr>
        </w:div>
        <w:div w:id="2063282664">
          <w:marLeft w:val="480"/>
          <w:marRight w:val="0"/>
          <w:marTop w:val="0"/>
          <w:marBottom w:val="0"/>
          <w:divBdr>
            <w:top w:val="none" w:sz="0" w:space="0" w:color="auto"/>
            <w:left w:val="none" w:sz="0" w:space="0" w:color="auto"/>
            <w:bottom w:val="none" w:sz="0" w:space="0" w:color="auto"/>
            <w:right w:val="none" w:sz="0" w:space="0" w:color="auto"/>
          </w:divBdr>
        </w:div>
        <w:div w:id="505169949">
          <w:marLeft w:val="480"/>
          <w:marRight w:val="0"/>
          <w:marTop w:val="0"/>
          <w:marBottom w:val="0"/>
          <w:divBdr>
            <w:top w:val="none" w:sz="0" w:space="0" w:color="auto"/>
            <w:left w:val="none" w:sz="0" w:space="0" w:color="auto"/>
            <w:bottom w:val="none" w:sz="0" w:space="0" w:color="auto"/>
            <w:right w:val="none" w:sz="0" w:space="0" w:color="auto"/>
          </w:divBdr>
        </w:div>
        <w:div w:id="476918473">
          <w:marLeft w:val="480"/>
          <w:marRight w:val="0"/>
          <w:marTop w:val="0"/>
          <w:marBottom w:val="0"/>
          <w:divBdr>
            <w:top w:val="none" w:sz="0" w:space="0" w:color="auto"/>
            <w:left w:val="none" w:sz="0" w:space="0" w:color="auto"/>
            <w:bottom w:val="none" w:sz="0" w:space="0" w:color="auto"/>
            <w:right w:val="none" w:sz="0" w:space="0" w:color="auto"/>
          </w:divBdr>
        </w:div>
        <w:div w:id="1857692216">
          <w:marLeft w:val="480"/>
          <w:marRight w:val="0"/>
          <w:marTop w:val="0"/>
          <w:marBottom w:val="0"/>
          <w:divBdr>
            <w:top w:val="none" w:sz="0" w:space="0" w:color="auto"/>
            <w:left w:val="none" w:sz="0" w:space="0" w:color="auto"/>
            <w:bottom w:val="none" w:sz="0" w:space="0" w:color="auto"/>
            <w:right w:val="none" w:sz="0" w:space="0" w:color="auto"/>
          </w:divBdr>
        </w:div>
        <w:div w:id="1091927818">
          <w:marLeft w:val="480"/>
          <w:marRight w:val="0"/>
          <w:marTop w:val="0"/>
          <w:marBottom w:val="0"/>
          <w:divBdr>
            <w:top w:val="none" w:sz="0" w:space="0" w:color="auto"/>
            <w:left w:val="none" w:sz="0" w:space="0" w:color="auto"/>
            <w:bottom w:val="none" w:sz="0" w:space="0" w:color="auto"/>
            <w:right w:val="none" w:sz="0" w:space="0" w:color="auto"/>
          </w:divBdr>
        </w:div>
        <w:div w:id="1489708506">
          <w:marLeft w:val="480"/>
          <w:marRight w:val="0"/>
          <w:marTop w:val="0"/>
          <w:marBottom w:val="0"/>
          <w:divBdr>
            <w:top w:val="none" w:sz="0" w:space="0" w:color="auto"/>
            <w:left w:val="none" w:sz="0" w:space="0" w:color="auto"/>
            <w:bottom w:val="none" w:sz="0" w:space="0" w:color="auto"/>
            <w:right w:val="none" w:sz="0" w:space="0" w:color="auto"/>
          </w:divBdr>
        </w:div>
        <w:div w:id="1054621713">
          <w:marLeft w:val="480"/>
          <w:marRight w:val="0"/>
          <w:marTop w:val="0"/>
          <w:marBottom w:val="0"/>
          <w:divBdr>
            <w:top w:val="none" w:sz="0" w:space="0" w:color="auto"/>
            <w:left w:val="none" w:sz="0" w:space="0" w:color="auto"/>
            <w:bottom w:val="none" w:sz="0" w:space="0" w:color="auto"/>
            <w:right w:val="none" w:sz="0" w:space="0" w:color="auto"/>
          </w:divBdr>
        </w:div>
        <w:div w:id="1580019632">
          <w:marLeft w:val="480"/>
          <w:marRight w:val="0"/>
          <w:marTop w:val="0"/>
          <w:marBottom w:val="0"/>
          <w:divBdr>
            <w:top w:val="none" w:sz="0" w:space="0" w:color="auto"/>
            <w:left w:val="none" w:sz="0" w:space="0" w:color="auto"/>
            <w:bottom w:val="none" w:sz="0" w:space="0" w:color="auto"/>
            <w:right w:val="none" w:sz="0" w:space="0" w:color="auto"/>
          </w:divBdr>
        </w:div>
        <w:div w:id="361126676">
          <w:marLeft w:val="480"/>
          <w:marRight w:val="0"/>
          <w:marTop w:val="0"/>
          <w:marBottom w:val="0"/>
          <w:divBdr>
            <w:top w:val="none" w:sz="0" w:space="0" w:color="auto"/>
            <w:left w:val="none" w:sz="0" w:space="0" w:color="auto"/>
            <w:bottom w:val="none" w:sz="0" w:space="0" w:color="auto"/>
            <w:right w:val="none" w:sz="0" w:space="0" w:color="auto"/>
          </w:divBdr>
        </w:div>
        <w:div w:id="742916245">
          <w:marLeft w:val="480"/>
          <w:marRight w:val="0"/>
          <w:marTop w:val="0"/>
          <w:marBottom w:val="0"/>
          <w:divBdr>
            <w:top w:val="none" w:sz="0" w:space="0" w:color="auto"/>
            <w:left w:val="none" w:sz="0" w:space="0" w:color="auto"/>
            <w:bottom w:val="none" w:sz="0" w:space="0" w:color="auto"/>
            <w:right w:val="none" w:sz="0" w:space="0" w:color="auto"/>
          </w:divBdr>
        </w:div>
        <w:div w:id="1412117138">
          <w:marLeft w:val="480"/>
          <w:marRight w:val="0"/>
          <w:marTop w:val="0"/>
          <w:marBottom w:val="0"/>
          <w:divBdr>
            <w:top w:val="none" w:sz="0" w:space="0" w:color="auto"/>
            <w:left w:val="none" w:sz="0" w:space="0" w:color="auto"/>
            <w:bottom w:val="none" w:sz="0" w:space="0" w:color="auto"/>
            <w:right w:val="none" w:sz="0" w:space="0" w:color="auto"/>
          </w:divBdr>
        </w:div>
        <w:div w:id="780806400">
          <w:marLeft w:val="480"/>
          <w:marRight w:val="0"/>
          <w:marTop w:val="0"/>
          <w:marBottom w:val="0"/>
          <w:divBdr>
            <w:top w:val="none" w:sz="0" w:space="0" w:color="auto"/>
            <w:left w:val="none" w:sz="0" w:space="0" w:color="auto"/>
            <w:bottom w:val="none" w:sz="0" w:space="0" w:color="auto"/>
            <w:right w:val="none" w:sz="0" w:space="0" w:color="auto"/>
          </w:divBdr>
        </w:div>
        <w:div w:id="2086293216">
          <w:marLeft w:val="480"/>
          <w:marRight w:val="0"/>
          <w:marTop w:val="0"/>
          <w:marBottom w:val="0"/>
          <w:divBdr>
            <w:top w:val="none" w:sz="0" w:space="0" w:color="auto"/>
            <w:left w:val="none" w:sz="0" w:space="0" w:color="auto"/>
            <w:bottom w:val="none" w:sz="0" w:space="0" w:color="auto"/>
            <w:right w:val="none" w:sz="0" w:space="0" w:color="auto"/>
          </w:divBdr>
        </w:div>
        <w:div w:id="323826415">
          <w:marLeft w:val="480"/>
          <w:marRight w:val="0"/>
          <w:marTop w:val="0"/>
          <w:marBottom w:val="0"/>
          <w:divBdr>
            <w:top w:val="none" w:sz="0" w:space="0" w:color="auto"/>
            <w:left w:val="none" w:sz="0" w:space="0" w:color="auto"/>
            <w:bottom w:val="none" w:sz="0" w:space="0" w:color="auto"/>
            <w:right w:val="none" w:sz="0" w:space="0" w:color="auto"/>
          </w:divBdr>
        </w:div>
        <w:div w:id="85463637">
          <w:marLeft w:val="480"/>
          <w:marRight w:val="0"/>
          <w:marTop w:val="0"/>
          <w:marBottom w:val="0"/>
          <w:divBdr>
            <w:top w:val="none" w:sz="0" w:space="0" w:color="auto"/>
            <w:left w:val="none" w:sz="0" w:space="0" w:color="auto"/>
            <w:bottom w:val="none" w:sz="0" w:space="0" w:color="auto"/>
            <w:right w:val="none" w:sz="0" w:space="0" w:color="auto"/>
          </w:divBdr>
        </w:div>
        <w:div w:id="1403943575">
          <w:marLeft w:val="480"/>
          <w:marRight w:val="0"/>
          <w:marTop w:val="0"/>
          <w:marBottom w:val="0"/>
          <w:divBdr>
            <w:top w:val="none" w:sz="0" w:space="0" w:color="auto"/>
            <w:left w:val="none" w:sz="0" w:space="0" w:color="auto"/>
            <w:bottom w:val="none" w:sz="0" w:space="0" w:color="auto"/>
            <w:right w:val="none" w:sz="0" w:space="0" w:color="auto"/>
          </w:divBdr>
        </w:div>
        <w:div w:id="789513693">
          <w:marLeft w:val="480"/>
          <w:marRight w:val="0"/>
          <w:marTop w:val="0"/>
          <w:marBottom w:val="0"/>
          <w:divBdr>
            <w:top w:val="none" w:sz="0" w:space="0" w:color="auto"/>
            <w:left w:val="none" w:sz="0" w:space="0" w:color="auto"/>
            <w:bottom w:val="none" w:sz="0" w:space="0" w:color="auto"/>
            <w:right w:val="none" w:sz="0" w:space="0" w:color="auto"/>
          </w:divBdr>
        </w:div>
        <w:div w:id="1834836607">
          <w:marLeft w:val="480"/>
          <w:marRight w:val="0"/>
          <w:marTop w:val="0"/>
          <w:marBottom w:val="0"/>
          <w:divBdr>
            <w:top w:val="none" w:sz="0" w:space="0" w:color="auto"/>
            <w:left w:val="none" w:sz="0" w:space="0" w:color="auto"/>
            <w:bottom w:val="none" w:sz="0" w:space="0" w:color="auto"/>
            <w:right w:val="none" w:sz="0" w:space="0" w:color="auto"/>
          </w:divBdr>
        </w:div>
        <w:div w:id="946734956">
          <w:marLeft w:val="480"/>
          <w:marRight w:val="0"/>
          <w:marTop w:val="0"/>
          <w:marBottom w:val="0"/>
          <w:divBdr>
            <w:top w:val="none" w:sz="0" w:space="0" w:color="auto"/>
            <w:left w:val="none" w:sz="0" w:space="0" w:color="auto"/>
            <w:bottom w:val="none" w:sz="0" w:space="0" w:color="auto"/>
            <w:right w:val="none" w:sz="0" w:space="0" w:color="auto"/>
          </w:divBdr>
        </w:div>
        <w:div w:id="1287272527">
          <w:marLeft w:val="480"/>
          <w:marRight w:val="0"/>
          <w:marTop w:val="0"/>
          <w:marBottom w:val="0"/>
          <w:divBdr>
            <w:top w:val="none" w:sz="0" w:space="0" w:color="auto"/>
            <w:left w:val="none" w:sz="0" w:space="0" w:color="auto"/>
            <w:bottom w:val="none" w:sz="0" w:space="0" w:color="auto"/>
            <w:right w:val="none" w:sz="0" w:space="0" w:color="auto"/>
          </w:divBdr>
        </w:div>
        <w:div w:id="917443506">
          <w:marLeft w:val="480"/>
          <w:marRight w:val="0"/>
          <w:marTop w:val="0"/>
          <w:marBottom w:val="0"/>
          <w:divBdr>
            <w:top w:val="none" w:sz="0" w:space="0" w:color="auto"/>
            <w:left w:val="none" w:sz="0" w:space="0" w:color="auto"/>
            <w:bottom w:val="none" w:sz="0" w:space="0" w:color="auto"/>
            <w:right w:val="none" w:sz="0" w:space="0" w:color="auto"/>
          </w:divBdr>
        </w:div>
        <w:div w:id="274142316">
          <w:marLeft w:val="480"/>
          <w:marRight w:val="0"/>
          <w:marTop w:val="0"/>
          <w:marBottom w:val="0"/>
          <w:divBdr>
            <w:top w:val="none" w:sz="0" w:space="0" w:color="auto"/>
            <w:left w:val="none" w:sz="0" w:space="0" w:color="auto"/>
            <w:bottom w:val="none" w:sz="0" w:space="0" w:color="auto"/>
            <w:right w:val="none" w:sz="0" w:space="0" w:color="auto"/>
          </w:divBdr>
        </w:div>
        <w:div w:id="93786157">
          <w:marLeft w:val="480"/>
          <w:marRight w:val="0"/>
          <w:marTop w:val="0"/>
          <w:marBottom w:val="0"/>
          <w:divBdr>
            <w:top w:val="none" w:sz="0" w:space="0" w:color="auto"/>
            <w:left w:val="none" w:sz="0" w:space="0" w:color="auto"/>
            <w:bottom w:val="none" w:sz="0" w:space="0" w:color="auto"/>
            <w:right w:val="none" w:sz="0" w:space="0" w:color="auto"/>
          </w:divBdr>
        </w:div>
        <w:div w:id="392967217">
          <w:marLeft w:val="480"/>
          <w:marRight w:val="0"/>
          <w:marTop w:val="0"/>
          <w:marBottom w:val="0"/>
          <w:divBdr>
            <w:top w:val="none" w:sz="0" w:space="0" w:color="auto"/>
            <w:left w:val="none" w:sz="0" w:space="0" w:color="auto"/>
            <w:bottom w:val="none" w:sz="0" w:space="0" w:color="auto"/>
            <w:right w:val="none" w:sz="0" w:space="0" w:color="auto"/>
          </w:divBdr>
        </w:div>
        <w:div w:id="1278637990">
          <w:marLeft w:val="480"/>
          <w:marRight w:val="0"/>
          <w:marTop w:val="0"/>
          <w:marBottom w:val="0"/>
          <w:divBdr>
            <w:top w:val="none" w:sz="0" w:space="0" w:color="auto"/>
            <w:left w:val="none" w:sz="0" w:space="0" w:color="auto"/>
            <w:bottom w:val="none" w:sz="0" w:space="0" w:color="auto"/>
            <w:right w:val="none" w:sz="0" w:space="0" w:color="auto"/>
          </w:divBdr>
        </w:div>
        <w:div w:id="1478448914">
          <w:marLeft w:val="480"/>
          <w:marRight w:val="0"/>
          <w:marTop w:val="0"/>
          <w:marBottom w:val="0"/>
          <w:divBdr>
            <w:top w:val="none" w:sz="0" w:space="0" w:color="auto"/>
            <w:left w:val="none" w:sz="0" w:space="0" w:color="auto"/>
            <w:bottom w:val="none" w:sz="0" w:space="0" w:color="auto"/>
            <w:right w:val="none" w:sz="0" w:space="0" w:color="auto"/>
          </w:divBdr>
        </w:div>
        <w:div w:id="1739160740">
          <w:marLeft w:val="480"/>
          <w:marRight w:val="0"/>
          <w:marTop w:val="0"/>
          <w:marBottom w:val="0"/>
          <w:divBdr>
            <w:top w:val="none" w:sz="0" w:space="0" w:color="auto"/>
            <w:left w:val="none" w:sz="0" w:space="0" w:color="auto"/>
            <w:bottom w:val="none" w:sz="0" w:space="0" w:color="auto"/>
            <w:right w:val="none" w:sz="0" w:space="0" w:color="auto"/>
          </w:divBdr>
        </w:div>
        <w:div w:id="1106727284">
          <w:marLeft w:val="480"/>
          <w:marRight w:val="0"/>
          <w:marTop w:val="0"/>
          <w:marBottom w:val="0"/>
          <w:divBdr>
            <w:top w:val="none" w:sz="0" w:space="0" w:color="auto"/>
            <w:left w:val="none" w:sz="0" w:space="0" w:color="auto"/>
            <w:bottom w:val="none" w:sz="0" w:space="0" w:color="auto"/>
            <w:right w:val="none" w:sz="0" w:space="0" w:color="auto"/>
          </w:divBdr>
        </w:div>
        <w:div w:id="2003042380">
          <w:marLeft w:val="480"/>
          <w:marRight w:val="0"/>
          <w:marTop w:val="0"/>
          <w:marBottom w:val="0"/>
          <w:divBdr>
            <w:top w:val="none" w:sz="0" w:space="0" w:color="auto"/>
            <w:left w:val="none" w:sz="0" w:space="0" w:color="auto"/>
            <w:bottom w:val="none" w:sz="0" w:space="0" w:color="auto"/>
            <w:right w:val="none" w:sz="0" w:space="0" w:color="auto"/>
          </w:divBdr>
        </w:div>
        <w:div w:id="1503199819">
          <w:marLeft w:val="480"/>
          <w:marRight w:val="0"/>
          <w:marTop w:val="0"/>
          <w:marBottom w:val="0"/>
          <w:divBdr>
            <w:top w:val="none" w:sz="0" w:space="0" w:color="auto"/>
            <w:left w:val="none" w:sz="0" w:space="0" w:color="auto"/>
            <w:bottom w:val="none" w:sz="0" w:space="0" w:color="auto"/>
            <w:right w:val="none" w:sz="0" w:space="0" w:color="auto"/>
          </w:divBdr>
        </w:div>
        <w:div w:id="2105026197">
          <w:marLeft w:val="480"/>
          <w:marRight w:val="0"/>
          <w:marTop w:val="0"/>
          <w:marBottom w:val="0"/>
          <w:divBdr>
            <w:top w:val="none" w:sz="0" w:space="0" w:color="auto"/>
            <w:left w:val="none" w:sz="0" w:space="0" w:color="auto"/>
            <w:bottom w:val="none" w:sz="0" w:space="0" w:color="auto"/>
            <w:right w:val="none" w:sz="0" w:space="0" w:color="auto"/>
          </w:divBdr>
        </w:div>
        <w:div w:id="941494774">
          <w:marLeft w:val="480"/>
          <w:marRight w:val="0"/>
          <w:marTop w:val="0"/>
          <w:marBottom w:val="0"/>
          <w:divBdr>
            <w:top w:val="none" w:sz="0" w:space="0" w:color="auto"/>
            <w:left w:val="none" w:sz="0" w:space="0" w:color="auto"/>
            <w:bottom w:val="none" w:sz="0" w:space="0" w:color="auto"/>
            <w:right w:val="none" w:sz="0" w:space="0" w:color="auto"/>
          </w:divBdr>
        </w:div>
        <w:div w:id="185406014">
          <w:marLeft w:val="480"/>
          <w:marRight w:val="0"/>
          <w:marTop w:val="0"/>
          <w:marBottom w:val="0"/>
          <w:divBdr>
            <w:top w:val="none" w:sz="0" w:space="0" w:color="auto"/>
            <w:left w:val="none" w:sz="0" w:space="0" w:color="auto"/>
            <w:bottom w:val="none" w:sz="0" w:space="0" w:color="auto"/>
            <w:right w:val="none" w:sz="0" w:space="0" w:color="auto"/>
          </w:divBdr>
        </w:div>
        <w:div w:id="1765802651">
          <w:marLeft w:val="480"/>
          <w:marRight w:val="0"/>
          <w:marTop w:val="0"/>
          <w:marBottom w:val="0"/>
          <w:divBdr>
            <w:top w:val="none" w:sz="0" w:space="0" w:color="auto"/>
            <w:left w:val="none" w:sz="0" w:space="0" w:color="auto"/>
            <w:bottom w:val="none" w:sz="0" w:space="0" w:color="auto"/>
            <w:right w:val="none" w:sz="0" w:space="0" w:color="auto"/>
          </w:divBdr>
        </w:div>
        <w:div w:id="129565593">
          <w:marLeft w:val="480"/>
          <w:marRight w:val="0"/>
          <w:marTop w:val="0"/>
          <w:marBottom w:val="0"/>
          <w:divBdr>
            <w:top w:val="none" w:sz="0" w:space="0" w:color="auto"/>
            <w:left w:val="none" w:sz="0" w:space="0" w:color="auto"/>
            <w:bottom w:val="none" w:sz="0" w:space="0" w:color="auto"/>
            <w:right w:val="none" w:sz="0" w:space="0" w:color="auto"/>
          </w:divBdr>
        </w:div>
        <w:div w:id="401215562">
          <w:marLeft w:val="480"/>
          <w:marRight w:val="0"/>
          <w:marTop w:val="0"/>
          <w:marBottom w:val="0"/>
          <w:divBdr>
            <w:top w:val="none" w:sz="0" w:space="0" w:color="auto"/>
            <w:left w:val="none" w:sz="0" w:space="0" w:color="auto"/>
            <w:bottom w:val="none" w:sz="0" w:space="0" w:color="auto"/>
            <w:right w:val="none" w:sz="0" w:space="0" w:color="auto"/>
          </w:divBdr>
        </w:div>
        <w:div w:id="1716537573">
          <w:marLeft w:val="480"/>
          <w:marRight w:val="0"/>
          <w:marTop w:val="0"/>
          <w:marBottom w:val="0"/>
          <w:divBdr>
            <w:top w:val="none" w:sz="0" w:space="0" w:color="auto"/>
            <w:left w:val="none" w:sz="0" w:space="0" w:color="auto"/>
            <w:bottom w:val="none" w:sz="0" w:space="0" w:color="auto"/>
            <w:right w:val="none" w:sz="0" w:space="0" w:color="auto"/>
          </w:divBdr>
        </w:div>
        <w:div w:id="539636716">
          <w:marLeft w:val="480"/>
          <w:marRight w:val="0"/>
          <w:marTop w:val="0"/>
          <w:marBottom w:val="0"/>
          <w:divBdr>
            <w:top w:val="none" w:sz="0" w:space="0" w:color="auto"/>
            <w:left w:val="none" w:sz="0" w:space="0" w:color="auto"/>
            <w:bottom w:val="none" w:sz="0" w:space="0" w:color="auto"/>
            <w:right w:val="none" w:sz="0" w:space="0" w:color="auto"/>
          </w:divBdr>
        </w:div>
        <w:div w:id="204221226">
          <w:marLeft w:val="480"/>
          <w:marRight w:val="0"/>
          <w:marTop w:val="0"/>
          <w:marBottom w:val="0"/>
          <w:divBdr>
            <w:top w:val="none" w:sz="0" w:space="0" w:color="auto"/>
            <w:left w:val="none" w:sz="0" w:space="0" w:color="auto"/>
            <w:bottom w:val="none" w:sz="0" w:space="0" w:color="auto"/>
            <w:right w:val="none" w:sz="0" w:space="0" w:color="auto"/>
          </w:divBdr>
        </w:div>
        <w:div w:id="1892960833">
          <w:marLeft w:val="480"/>
          <w:marRight w:val="0"/>
          <w:marTop w:val="0"/>
          <w:marBottom w:val="0"/>
          <w:divBdr>
            <w:top w:val="none" w:sz="0" w:space="0" w:color="auto"/>
            <w:left w:val="none" w:sz="0" w:space="0" w:color="auto"/>
            <w:bottom w:val="none" w:sz="0" w:space="0" w:color="auto"/>
            <w:right w:val="none" w:sz="0" w:space="0" w:color="auto"/>
          </w:divBdr>
        </w:div>
        <w:div w:id="1234123215">
          <w:marLeft w:val="480"/>
          <w:marRight w:val="0"/>
          <w:marTop w:val="0"/>
          <w:marBottom w:val="0"/>
          <w:divBdr>
            <w:top w:val="none" w:sz="0" w:space="0" w:color="auto"/>
            <w:left w:val="none" w:sz="0" w:space="0" w:color="auto"/>
            <w:bottom w:val="none" w:sz="0" w:space="0" w:color="auto"/>
            <w:right w:val="none" w:sz="0" w:space="0" w:color="auto"/>
          </w:divBdr>
        </w:div>
        <w:div w:id="1379890684">
          <w:marLeft w:val="480"/>
          <w:marRight w:val="0"/>
          <w:marTop w:val="0"/>
          <w:marBottom w:val="0"/>
          <w:divBdr>
            <w:top w:val="none" w:sz="0" w:space="0" w:color="auto"/>
            <w:left w:val="none" w:sz="0" w:space="0" w:color="auto"/>
            <w:bottom w:val="none" w:sz="0" w:space="0" w:color="auto"/>
            <w:right w:val="none" w:sz="0" w:space="0" w:color="auto"/>
          </w:divBdr>
        </w:div>
        <w:div w:id="2061662458">
          <w:marLeft w:val="480"/>
          <w:marRight w:val="0"/>
          <w:marTop w:val="0"/>
          <w:marBottom w:val="0"/>
          <w:divBdr>
            <w:top w:val="none" w:sz="0" w:space="0" w:color="auto"/>
            <w:left w:val="none" w:sz="0" w:space="0" w:color="auto"/>
            <w:bottom w:val="none" w:sz="0" w:space="0" w:color="auto"/>
            <w:right w:val="none" w:sz="0" w:space="0" w:color="auto"/>
          </w:divBdr>
        </w:div>
        <w:div w:id="1007632178">
          <w:marLeft w:val="480"/>
          <w:marRight w:val="0"/>
          <w:marTop w:val="0"/>
          <w:marBottom w:val="0"/>
          <w:divBdr>
            <w:top w:val="none" w:sz="0" w:space="0" w:color="auto"/>
            <w:left w:val="none" w:sz="0" w:space="0" w:color="auto"/>
            <w:bottom w:val="none" w:sz="0" w:space="0" w:color="auto"/>
            <w:right w:val="none" w:sz="0" w:space="0" w:color="auto"/>
          </w:divBdr>
        </w:div>
        <w:div w:id="108865357">
          <w:marLeft w:val="480"/>
          <w:marRight w:val="0"/>
          <w:marTop w:val="0"/>
          <w:marBottom w:val="0"/>
          <w:divBdr>
            <w:top w:val="none" w:sz="0" w:space="0" w:color="auto"/>
            <w:left w:val="none" w:sz="0" w:space="0" w:color="auto"/>
            <w:bottom w:val="none" w:sz="0" w:space="0" w:color="auto"/>
            <w:right w:val="none" w:sz="0" w:space="0" w:color="auto"/>
          </w:divBdr>
        </w:div>
        <w:div w:id="1215581572">
          <w:marLeft w:val="480"/>
          <w:marRight w:val="0"/>
          <w:marTop w:val="0"/>
          <w:marBottom w:val="0"/>
          <w:divBdr>
            <w:top w:val="none" w:sz="0" w:space="0" w:color="auto"/>
            <w:left w:val="none" w:sz="0" w:space="0" w:color="auto"/>
            <w:bottom w:val="none" w:sz="0" w:space="0" w:color="auto"/>
            <w:right w:val="none" w:sz="0" w:space="0" w:color="auto"/>
          </w:divBdr>
        </w:div>
        <w:div w:id="1319992105">
          <w:marLeft w:val="480"/>
          <w:marRight w:val="0"/>
          <w:marTop w:val="0"/>
          <w:marBottom w:val="0"/>
          <w:divBdr>
            <w:top w:val="none" w:sz="0" w:space="0" w:color="auto"/>
            <w:left w:val="none" w:sz="0" w:space="0" w:color="auto"/>
            <w:bottom w:val="none" w:sz="0" w:space="0" w:color="auto"/>
            <w:right w:val="none" w:sz="0" w:space="0" w:color="auto"/>
          </w:divBdr>
        </w:div>
        <w:div w:id="1872523603">
          <w:marLeft w:val="480"/>
          <w:marRight w:val="0"/>
          <w:marTop w:val="0"/>
          <w:marBottom w:val="0"/>
          <w:divBdr>
            <w:top w:val="none" w:sz="0" w:space="0" w:color="auto"/>
            <w:left w:val="none" w:sz="0" w:space="0" w:color="auto"/>
            <w:bottom w:val="none" w:sz="0" w:space="0" w:color="auto"/>
            <w:right w:val="none" w:sz="0" w:space="0" w:color="auto"/>
          </w:divBdr>
        </w:div>
        <w:div w:id="413740830">
          <w:marLeft w:val="480"/>
          <w:marRight w:val="0"/>
          <w:marTop w:val="0"/>
          <w:marBottom w:val="0"/>
          <w:divBdr>
            <w:top w:val="none" w:sz="0" w:space="0" w:color="auto"/>
            <w:left w:val="none" w:sz="0" w:space="0" w:color="auto"/>
            <w:bottom w:val="none" w:sz="0" w:space="0" w:color="auto"/>
            <w:right w:val="none" w:sz="0" w:space="0" w:color="auto"/>
          </w:divBdr>
        </w:div>
        <w:div w:id="935286945">
          <w:marLeft w:val="480"/>
          <w:marRight w:val="0"/>
          <w:marTop w:val="0"/>
          <w:marBottom w:val="0"/>
          <w:divBdr>
            <w:top w:val="none" w:sz="0" w:space="0" w:color="auto"/>
            <w:left w:val="none" w:sz="0" w:space="0" w:color="auto"/>
            <w:bottom w:val="none" w:sz="0" w:space="0" w:color="auto"/>
            <w:right w:val="none" w:sz="0" w:space="0" w:color="auto"/>
          </w:divBdr>
        </w:div>
        <w:div w:id="1188644738">
          <w:marLeft w:val="480"/>
          <w:marRight w:val="0"/>
          <w:marTop w:val="0"/>
          <w:marBottom w:val="0"/>
          <w:divBdr>
            <w:top w:val="none" w:sz="0" w:space="0" w:color="auto"/>
            <w:left w:val="none" w:sz="0" w:space="0" w:color="auto"/>
            <w:bottom w:val="none" w:sz="0" w:space="0" w:color="auto"/>
            <w:right w:val="none" w:sz="0" w:space="0" w:color="auto"/>
          </w:divBdr>
        </w:div>
        <w:div w:id="1825314724">
          <w:marLeft w:val="480"/>
          <w:marRight w:val="0"/>
          <w:marTop w:val="0"/>
          <w:marBottom w:val="0"/>
          <w:divBdr>
            <w:top w:val="none" w:sz="0" w:space="0" w:color="auto"/>
            <w:left w:val="none" w:sz="0" w:space="0" w:color="auto"/>
            <w:bottom w:val="none" w:sz="0" w:space="0" w:color="auto"/>
            <w:right w:val="none" w:sz="0" w:space="0" w:color="auto"/>
          </w:divBdr>
        </w:div>
        <w:div w:id="1785493594">
          <w:marLeft w:val="480"/>
          <w:marRight w:val="0"/>
          <w:marTop w:val="0"/>
          <w:marBottom w:val="0"/>
          <w:divBdr>
            <w:top w:val="none" w:sz="0" w:space="0" w:color="auto"/>
            <w:left w:val="none" w:sz="0" w:space="0" w:color="auto"/>
            <w:bottom w:val="none" w:sz="0" w:space="0" w:color="auto"/>
            <w:right w:val="none" w:sz="0" w:space="0" w:color="auto"/>
          </w:divBdr>
        </w:div>
        <w:div w:id="1352414268">
          <w:marLeft w:val="480"/>
          <w:marRight w:val="0"/>
          <w:marTop w:val="0"/>
          <w:marBottom w:val="0"/>
          <w:divBdr>
            <w:top w:val="none" w:sz="0" w:space="0" w:color="auto"/>
            <w:left w:val="none" w:sz="0" w:space="0" w:color="auto"/>
            <w:bottom w:val="none" w:sz="0" w:space="0" w:color="auto"/>
            <w:right w:val="none" w:sz="0" w:space="0" w:color="auto"/>
          </w:divBdr>
        </w:div>
        <w:div w:id="2089307811">
          <w:marLeft w:val="480"/>
          <w:marRight w:val="0"/>
          <w:marTop w:val="0"/>
          <w:marBottom w:val="0"/>
          <w:divBdr>
            <w:top w:val="none" w:sz="0" w:space="0" w:color="auto"/>
            <w:left w:val="none" w:sz="0" w:space="0" w:color="auto"/>
            <w:bottom w:val="none" w:sz="0" w:space="0" w:color="auto"/>
            <w:right w:val="none" w:sz="0" w:space="0" w:color="auto"/>
          </w:divBdr>
        </w:div>
        <w:div w:id="1829899166">
          <w:marLeft w:val="480"/>
          <w:marRight w:val="0"/>
          <w:marTop w:val="0"/>
          <w:marBottom w:val="0"/>
          <w:divBdr>
            <w:top w:val="none" w:sz="0" w:space="0" w:color="auto"/>
            <w:left w:val="none" w:sz="0" w:space="0" w:color="auto"/>
            <w:bottom w:val="none" w:sz="0" w:space="0" w:color="auto"/>
            <w:right w:val="none" w:sz="0" w:space="0" w:color="auto"/>
          </w:divBdr>
        </w:div>
        <w:div w:id="667634878">
          <w:marLeft w:val="480"/>
          <w:marRight w:val="0"/>
          <w:marTop w:val="0"/>
          <w:marBottom w:val="0"/>
          <w:divBdr>
            <w:top w:val="none" w:sz="0" w:space="0" w:color="auto"/>
            <w:left w:val="none" w:sz="0" w:space="0" w:color="auto"/>
            <w:bottom w:val="none" w:sz="0" w:space="0" w:color="auto"/>
            <w:right w:val="none" w:sz="0" w:space="0" w:color="auto"/>
          </w:divBdr>
        </w:div>
        <w:div w:id="1042441993">
          <w:marLeft w:val="480"/>
          <w:marRight w:val="0"/>
          <w:marTop w:val="0"/>
          <w:marBottom w:val="0"/>
          <w:divBdr>
            <w:top w:val="none" w:sz="0" w:space="0" w:color="auto"/>
            <w:left w:val="none" w:sz="0" w:space="0" w:color="auto"/>
            <w:bottom w:val="none" w:sz="0" w:space="0" w:color="auto"/>
            <w:right w:val="none" w:sz="0" w:space="0" w:color="auto"/>
          </w:divBdr>
        </w:div>
        <w:div w:id="1568689100">
          <w:marLeft w:val="480"/>
          <w:marRight w:val="0"/>
          <w:marTop w:val="0"/>
          <w:marBottom w:val="0"/>
          <w:divBdr>
            <w:top w:val="none" w:sz="0" w:space="0" w:color="auto"/>
            <w:left w:val="none" w:sz="0" w:space="0" w:color="auto"/>
            <w:bottom w:val="none" w:sz="0" w:space="0" w:color="auto"/>
            <w:right w:val="none" w:sz="0" w:space="0" w:color="auto"/>
          </w:divBdr>
        </w:div>
        <w:div w:id="2040542997">
          <w:marLeft w:val="480"/>
          <w:marRight w:val="0"/>
          <w:marTop w:val="0"/>
          <w:marBottom w:val="0"/>
          <w:divBdr>
            <w:top w:val="none" w:sz="0" w:space="0" w:color="auto"/>
            <w:left w:val="none" w:sz="0" w:space="0" w:color="auto"/>
            <w:bottom w:val="none" w:sz="0" w:space="0" w:color="auto"/>
            <w:right w:val="none" w:sz="0" w:space="0" w:color="auto"/>
          </w:divBdr>
        </w:div>
        <w:div w:id="896091978">
          <w:marLeft w:val="480"/>
          <w:marRight w:val="0"/>
          <w:marTop w:val="0"/>
          <w:marBottom w:val="0"/>
          <w:divBdr>
            <w:top w:val="none" w:sz="0" w:space="0" w:color="auto"/>
            <w:left w:val="none" w:sz="0" w:space="0" w:color="auto"/>
            <w:bottom w:val="none" w:sz="0" w:space="0" w:color="auto"/>
            <w:right w:val="none" w:sz="0" w:space="0" w:color="auto"/>
          </w:divBdr>
        </w:div>
        <w:div w:id="87895435">
          <w:marLeft w:val="480"/>
          <w:marRight w:val="0"/>
          <w:marTop w:val="0"/>
          <w:marBottom w:val="0"/>
          <w:divBdr>
            <w:top w:val="none" w:sz="0" w:space="0" w:color="auto"/>
            <w:left w:val="none" w:sz="0" w:space="0" w:color="auto"/>
            <w:bottom w:val="none" w:sz="0" w:space="0" w:color="auto"/>
            <w:right w:val="none" w:sz="0" w:space="0" w:color="auto"/>
          </w:divBdr>
        </w:div>
        <w:div w:id="1266765759">
          <w:marLeft w:val="480"/>
          <w:marRight w:val="0"/>
          <w:marTop w:val="0"/>
          <w:marBottom w:val="0"/>
          <w:divBdr>
            <w:top w:val="none" w:sz="0" w:space="0" w:color="auto"/>
            <w:left w:val="none" w:sz="0" w:space="0" w:color="auto"/>
            <w:bottom w:val="none" w:sz="0" w:space="0" w:color="auto"/>
            <w:right w:val="none" w:sz="0" w:space="0" w:color="auto"/>
          </w:divBdr>
        </w:div>
        <w:div w:id="47188882">
          <w:marLeft w:val="480"/>
          <w:marRight w:val="0"/>
          <w:marTop w:val="0"/>
          <w:marBottom w:val="0"/>
          <w:divBdr>
            <w:top w:val="none" w:sz="0" w:space="0" w:color="auto"/>
            <w:left w:val="none" w:sz="0" w:space="0" w:color="auto"/>
            <w:bottom w:val="none" w:sz="0" w:space="0" w:color="auto"/>
            <w:right w:val="none" w:sz="0" w:space="0" w:color="auto"/>
          </w:divBdr>
        </w:div>
        <w:div w:id="1565407061">
          <w:marLeft w:val="480"/>
          <w:marRight w:val="0"/>
          <w:marTop w:val="0"/>
          <w:marBottom w:val="0"/>
          <w:divBdr>
            <w:top w:val="none" w:sz="0" w:space="0" w:color="auto"/>
            <w:left w:val="none" w:sz="0" w:space="0" w:color="auto"/>
            <w:bottom w:val="none" w:sz="0" w:space="0" w:color="auto"/>
            <w:right w:val="none" w:sz="0" w:space="0" w:color="auto"/>
          </w:divBdr>
        </w:div>
        <w:div w:id="1613130834">
          <w:marLeft w:val="480"/>
          <w:marRight w:val="0"/>
          <w:marTop w:val="0"/>
          <w:marBottom w:val="0"/>
          <w:divBdr>
            <w:top w:val="none" w:sz="0" w:space="0" w:color="auto"/>
            <w:left w:val="none" w:sz="0" w:space="0" w:color="auto"/>
            <w:bottom w:val="none" w:sz="0" w:space="0" w:color="auto"/>
            <w:right w:val="none" w:sz="0" w:space="0" w:color="auto"/>
          </w:divBdr>
        </w:div>
        <w:div w:id="463695442">
          <w:marLeft w:val="480"/>
          <w:marRight w:val="0"/>
          <w:marTop w:val="0"/>
          <w:marBottom w:val="0"/>
          <w:divBdr>
            <w:top w:val="none" w:sz="0" w:space="0" w:color="auto"/>
            <w:left w:val="none" w:sz="0" w:space="0" w:color="auto"/>
            <w:bottom w:val="none" w:sz="0" w:space="0" w:color="auto"/>
            <w:right w:val="none" w:sz="0" w:space="0" w:color="auto"/>
          </w:divBdr>
        </w:div>
        <w:div w:id="1670056180">
          <w:marLeft w:val="480"/>
          <w:marRight w:val="0"/>
          <w:marTop w:val="0"/>
          <w:marBottom w:val="0"/>
          <w:divBdr>
            <w:top w:val="none" w:sz="0" w:space="0" w:color="auto"/>
            <w:left w:val="none" w:sz="0" w:space="0" w:color="auto"/>
            <w:bottom w:val="none" w:sz="0" w:space="0" w:color="auto"/>
            <w:right w:val="none" w:sz="0" w:space="0" w:color="auto"/>
          </w:divBdr>
        </w:div>
        <w:div w:id="119884010">
          <w:marLeft w:val="480"/>
          <w:marRight w:val="0"/>
          <w:marTop w:val="0"/>
          <w:marBottom w:val="0"/>
          <w:divBdr>
            <w:top w:val="none" w:sz="0" w:space="0" w:color="auto"/>
            <w:left w:val="none" w:sz="0" w:space="0" w:color="auto"/>
            <w:bottom w:val="none" w:sz="0" w:space="0" w:color="auto"/>
            <w:right w:val="none" w:sz="0" w:space="0" w:color="auto"/>
          </w:divBdr>
        </w:div>
        <w:div w:id="1462381983">
          <w:marLeft w:val="480"/>
          <w:marRight w:val="0"/>
          <w:marTop w:val="0"/>
          <w:marBottom w:val="0"/>
          <w:divBdr>
            <w:top w:val="none" w:sz="0" w:space="0" w:color="auto"/>
            <w:left w:val="none" w:sz="0" w:space="0" w:color="auto"/>
            <w:bottom w:val="none" w:sz="0" w:space="0" w:color="auto"/>
            <w:right w:val="none" w:sz="0" w:space="0" w:color="auto"/>
          </w:divBdr>
        </w:div>
        <w:div w:id="1094085439">
          <w:marLeft w:val="480"/>
          <w:marRight w:val="0"/>
          <w:marTop w:val="0"/>
          <w:marBottom w:val="0"/>
          <w:divBdr>
            <w:top w:val="none" w:sz="0" w:space="0" w:color="auto"/>
            <w:left w:val="none" w:sz="0" w:space="0" w:color="auto"/>
            <w:bottom w:val="none" w:sz="0" w:space="0" w:color="auto"/>
            <w:right w:val="none" w:sz="0" w:space="0" w:color="auto"/>
          </w:divBdr>
        </w:div>
        <w:div w:id="2070227441">
          <w:marLeft w:val="480"/>
          <w:marRight w:val="0"/>
          <w:marTop w:val="0"/>
          <w:marBottom w:val="0"/>
          <w:divBdr>
            <w:top w:val="none" w:sz="0" w:space="0" w:color="auto"/>
            <w:left w:val="none" w:sz="0" w:space="0" w:color="auto"/>
            <w:bottom w:val="none" w:sz="0" w:space="0" w:color="auto"/>
            <w:right w:val="none" w:sz="0" w:space="0" w:color="auto"/>
          </w:divBdr>
        </w:div>
        <w:div w:id="571358684">
          <w:marLeft w:val="480"/>
          <w:marRight w:val="0"/>
          <w:marTop w:val="0"/>
          <w:marBottom w:val="0"/>
          <w:divBdr>
            <w:top w:val="none" w:sz="0" w:space="0" w:color="auto"/>
            <w:left w:val="none" w:sz="0" w:space="0" w:color="auto"/>
            <w:bottom w:val="none" w:sz="0" w:space="0" w:color="auto"/>
            <w:right w:val="none" w:sz="0" w:space="0" w:color="auto"/>
          </w:divBdr>
        </w:div>
        <w:div w:id="1219240880">
          <w:marLeft w:val="480"/>
          <w:marRight w:val="0"/>
          <w:marTop w:val="0"/>
          <w:marBottom w:val="0"/>
          <w:divBdr>
            <w:top w:val="none" w:sz="0" w:space="0" w:color="auto"/>
            <w:left w:val="none" w:sz="0" w:space="0" w:color="auto"/>
            <w:bottom w:val="none" w:sz="0" w:space="0" w:color="auto"/>
            <w:right w:val="none" w:sz="0" w:space="0" w:color="auto"/>
          </w:divBdr>
        </w:div>
        <w:div w:id="501090682">
          <w:marLeft w:val="480"/>
          <w:marRight w:val="0"/>
          <w:marTop w:val="0"/>
          <w:marBottom w:val="0"/>
          <w:divBdr>
            <w:top w:val="none" w:sz="0" w:space="0" w:color="auto"/>
            <w:left w:val="none" w:sz="0" w:space="0" w:color="auto"/>
            <w:bottom w:val="none" w:sz="0" w:space="0" w:color="auto"/>
            <w:right w:val="none" w:sz="0" w:space="0" w:color="auto"/>
          </w:divBdr>
        </w:div>
        <w:div w:id="510028566">
          <w:marLeft w:val="480"/>
          <w:marRight w:val="0"/>
          <w:marTop w:val="0"/>
          <w:marBottom w:val="0"/>
          <w:divBdr>
            <w:top w:val="none" w:sz="0" w:space="0" w:color="auto"/>
            <w:left w:val="none" w:sz="0" w:space="0" w:color="auto"/>
            <w:bottom w:val="none" w:sz="0" w:space="0" w:color="auto"/>
            <w:right w:val="none" w:sz="0" w:space="0" w:color="auto"/>
          </w:divBdr>
        </w:div>
        <w:div w:id="1397163281">
          <w:marLeft w:val="480"/>
          <w:marRight w:val="0"/>
          <w:marTop w:val="0"/>
          <w:marBottom w:val="0"/>
          <w:divBdr>
            <w:top w:val="none" w:sz="0" w:space="0" w:color="auto"/>
            <w:left w:val="none" w:sz="0" w:space="0" w:color="auto"/>
            <w:bottom w:val="none" w:sz="0" w:space="0" w:color="auto"/>
            <w:right w:val="none" w:sz="0" w:space="0" w:color="auto"/>
          </w:divBdr>
        </w:div>
        <w:div w:id="2040354595">
          <w:marLeft w:val="480"/>
          <w:marRight w:val="0"/>
          <w:marTop w:val="0"/>
          <w:marBottom w:val="0"/>
          <w:divBdr>
            <w:top w:val="none" w:sz="0" w:space="0" w:color="auto"/>
            <w:left w:val="none" w:sz="0" w:space="0" w:color="auto"/>
            <w:bottom w:val="none" w:sz="0" w:space="0" w:color="auto"/>
            <w:right w:val="none" w:sz="0" w:space="0" w:color="auto"/>
          </w:divBdr>
        </w:div>
        <w:div w:id="215548171">
          <w:marLeft w:val="480"/>
          <w:marRight w:val="0"/>
          <w:marTop w:val="0"/>
          <w:marBottom w:val="0"/>
          <w:divBdr>
            <w:top w:val="none" w:sz="0" w:space="0" w:color="auto"/>
            <w:left w:val="none" w:sz="0" w:space="0" w:color="auto"/>
            <w:bottom w:val="none" w:sz="0" w:space="0" w:color="auto"/>
            <w:right w:val="none" w:sz="0" w:space="0" w:color="auto"/>
          </w:divBdr>
        </w:div>
        <w:div w:id="420179934">
          <w:marLeft w:val="480"/>
          <w:marRight w:val="0"/>
          <w:marTop w:val="0"/>
          <w:marBottom w:val="0"/>
          <w:divBdr>
            <w:top w:val="none" w:sz="0" w:space="0" w:color="auto"/>
            <w:left w:val="none" w:sz="0" w:space="0" w:color="auto"/>
            <w:bottom w:val="none" w:sz="0" w:space="0" w:color="auto"/>
            <w:right w:val="none" w:sz="0" w:space="0" w:color="auto"/>
          </w:divBdr>
        </w:div>
        <w:div w:id="1140920145">
          <w:marLeft w:val="480"/>
          <w:marRight w:val="0"/>
          <w:marTop w:val="0"/>
          <w:marBottom w:val="0"/>
          <w:divBdr>
            <w:top w:val="none" w:sz="0" w:space="0" w:color="auto"/>
            <w:left w:val="none" w:sz="0" w:space="0" w:color="auto"/>
            <w:bottom w:val="none" w:sz="0" w:space="0" w:color="auto"/>
            <w:right w:val="none" w:sz="0" w:space="0" w:color="auto"/>
          </w:divBdr>
        </w:div>
        <w:div w:id="412550027">
          <w:marLeft w:val="480"/>
          <w:marRight w:val="0"/>
          <w:marTop w:val="0"/>
          <w:marBottom w:val="0"/>
          <w:divBdr>
            <w:top w:val="none" w:sz="0" w:space="0" w:color="auto"/>
            <w:left w:val="none" w:sz="0" w:space="0" w:color="auto"/>
            <w:bottom w:val="none" w:sz="0" w:space="0" w:color="auto"/>
            <w:right w:val="none" w:sz="0" w:space="0" w:color="auto"/>
          </w:divBdr>
        </w:div>
        <w:div w:id="2000189804">
          <w:marLeft w:val="480"/>
          <w:marRight w:val="0"/>
          <w:marTop w:val="0"/>
          <w:marBottom w:val="0"/>
          <w:divBdr>
            <w:top w:val="none" w:sz="0" w:space="0" w:color="auto"/>
            <w:left w:val="none" w:sz="0" w:space="0" w:color="auto"/>
            <w:bottom w:val="none" w:sz="0" w:space="0" w:color="auto"/>
            <w:right w:val="none" w:sz="0" w:space="0" w:color="auto"/>
          </w:divBdr>
        </w:div>
        <w:div w:id="1517226626">
          <w:marLeft w:val="480"/>
          <w:marRight w:val="0"/>
          <w:marTop w:val="0"/>
          <w:marBottom w:val="0"/>
          <w:divBdr>
            <w:top w:val="none" w:sz="0" w:space="0" w:color="auto"/>
            <w:left w:val="none" w:sz="0" w:space="0" w:color="auto"/>
            <w:bottom w:val="none" w:sz="0" w:space="0" w:color="auto"/>
            <w:right w:val="none" w:sz="0" w:space="0" w:color="auto"/>
          </w:divBdr>
        </w:div>
        <w:div w:id="606278742">
          <w:marLeft w:val="480"/>
          <w:marRight w:val="0"/>
          <w:marTop w:val="0"/>
          <w:marBottom w:val="0"/>
          <w:divBdr>
            <w:top w:val="none" w:sz="0" w:space="0" w:color="auto"/>
            <w:left w:val="none" w:sz="0" w:space="0" w:color="auto"/>
            <w:bottom w:val="none" w:sz="0" w:space="0" w:color="auto"/>
            <w:right w:val="none" w:sz="0" w:space="0" w:color="auto"/>
          </w:divBdr>
        </w:div>
        <w:div w:id="1102146286">
          <w:marLeft w:val="480"/>
          <w:marRight w:val="0"/>
          <w:marTop w:val="0"/>
          <w:marBottom w:val="0"/>
          <w:divBdr>
            <w:top w:val="none" w:sz="0" w:space="0" w:color="auto"/>
            <w:left w:val="none" w:sz="0" w:space="0" w:color="auto"/>
            <w:bottom w:val="none" w:sz="0" w:space="0" w:color="auto"/>
            <w:right w:val="none" w:sz="0" w:space="0" w:color="auto"/>
          </w:divBdr>
        </w:div>
        <w:div w:id="1222598079">
          <w:marLeft w:val="480"/>
          <w:marRight w:val="0"/>
          <w:marTop w:val="0"/>
          <w:marBottom w:val="0"/>
          <w:divBdr>
            <w:top w:val="none" w:sz="0" w:space="0" w:color="auto"/>
            <w:left w:val="none" w:sz="0" w:space="0" w:color="auto"/>
            <w:bottom w:val="none" w:sz="0" w:space="0" w:color="auto"/>
            <w:right w:val="none" w:sz="0" w:space="0" w:color="auto"/>
          </w:divBdr>
        </w:div>
        <w:div w:id="183906176">
          <w:marLeft w:val="480"/>
          <w:marRight w:val="0"/>
          <w:marTop w:val="0"/>
          <w:marBottom w:val="0"/>
          <w:divBdr>
            <w:top w:val="none" w:sz="0" w:space="0" w:color="auto"/>
            <w:left w:val="none" w:sz="0" w:space="0" w:color="auto"/>
            <w:bottom w:val="none" w:sz="0" w:space="0" w:color="auto"/>
            <w:right w:val="none" w:sz="0" w:space="0" w:color="auto"/>
          </w:divBdr>
        </w:div>
        <w:div w:id="1245341515">
          <w:marLeft w:val="480"/>
          <w:marRight w:val="0"/>
          <w:marTop w:val="0"/>
          <w:marBottom w:val="0"/>
          <w:divBdr>
            <w:top w:val="none" w:sz="0" w:space="0" w:color="auto"/>
            <w:left w:val="none" w:sz="0" w:space="0" w:color="auto"/>
            <w:bottom w:val="none" w:sz="0" w:space="0" w:color="auto"/>
            <w:right w:val="none" w:sz="0" w:space="0" w:color="auto"/>
          </w:divBdr>
        </w:div>
        <w:div w:id="1489203576">
          <w:marLeft w:val="480"/>
          <w:marRight w:val="0"/>
          <w:marTop w:val="0"/>
          <w:marBottom w:val="0"/>
          <w:divBdr>
            <w:top w:val="none" w:sz="0" w:space="0" w:color="auto"/>
            <w:left w:val="none" w:sz="0" w:space="0" w:color="auto"/>
            <w:bottom w:val="none" w:sz="0" w:space="0" w:color="auto"/>
            <w:right w:val="none" w:sz="0" w:space="0" w:color="auto"/>
          </w:divBdr>
        </w:div>
        <w:div w:id="728576927">
          <w:marLeft w:val="480"/>
          <w:marRight w:val="0"/>
          <w:marTop w:val="0"/>
          <w:marBottom w:val="0"/>
          <w:divBdr>
            <w:top w:val="none" w:sz="0" w:space="0" w:color="auto"/>
            <w:left w:val="none" w:sz="0" w:space="0" w:color="auto"/>
            <w:bottom w:val="none" w:sz="0" w:space="0" w:color="auto"/>
            <w:right w:val="none" w:sz="0" w:space="0" w:color="auto"/>
          </w:divBdr>
        </w:div>
        <w:div w:id="2096701874">
          <w:marLeft w:val="480"/>
          <w:marRight w:val="0"/>
          <w:marTop w:val="0"/>
          <w:marBottom w:val="0"/>
          <w:divBdr>
            <w:top w:val="none" w:sz="0" w:space="0" w:color="auto"/>
            <w:left w:val="none" w:sz="0" w:space="0" w:color="auto"/>
            <w:bottom w:val="none" w:sz="0" w:space="0" w:color="auto"/>
            <w:right w:val="none" w:sz="0" w:space="0" w:color="auto"/>
          </w:divBdr>
        </w:div>
        <w:div w:id="1210993793">
          <w:marLeft w:val="480"/>
          <w:marRight w:val="0"/>
          <w:marTop w:val="0"/>
          <w:marBottom w:val="0"/>
          <w:divBdr>
            <w:top w:val="none" w:sz="0" w:space="0" w:color="auto"/>
            <w:left w:val="none" w:sz="0" w:space="0" w:color="auto"/>
            <w:bottom w:val="none" w:sz="0" w:space="0" w:color="auto"/>
            <w:right w:val="none" w:sz="0" w:space="0" w:color="auto"/>
          </w:divBdr>
        </w:div>
        <w:div w:id="40253724">
          <w:marLeft w:val="480"/>
          <w:marRight w:val="0"/>
          <w:marTop w:val="0"/>
          <w:marBottom w:val="0"/>
          <w:divBdr>
            <w:top w:val="none" w:sz="0" w:space="0" w:color="auto"/>
            <w:left w:val="none" w:sz="0" w:space="0" w:color="auto"/>
            <w:bottom w:val="none" w:sz="0" w:space="0" w:color="auto"/>
            <w:right w:val="none" w:sz="0" w:space="0" w:color="auto"/>
          </w:divBdr>
        </w:div>
        <w:div w:id="309209294">
          <w:marLeft w:val="480"/>
          <w:marRight w:val="0"/>
          <w:marTop w:val="0"/>
          <w:marBottom w:val="0"/>
          <w:divBdr>
            <w:top w:val="none" w:sz="0" w:space="0" w:color="auto"/>
            <w:left w:val="none" w:sz="0" w:space="0" w:color="auto"/>
            <w:bottom w:val="none" w:sz="0" w:space="0" w:color="auto"/>
            <w:right w:val="none" w:sz="0" w:space="0" w:color="auto"/>
          </w:divBdr>
        </w:div>
        <w:div w:id="1823547080">
          <w:marLeft w:val="480"/>
          <w:marRight w:val="0"/>
          <w:marTop w:val="0"/>
          <w:marBottom w:val="0"/>
          <w:divBdr>
            <w:top w:val="none" w:sz="0" w:space="0" w:color="auto"/>
            <w:left w:val="none" w:sz="0" w:space="0" w:color="auto"/>
            <w:bottom w:val="none" w:sz="0" w:space="0" w:color="auto"/>
            <w:right w:val="none" w:sz="0" w:space="0" w:color="auto"/>
          </w:divBdr>
        </w:div>
        <w:div w:id="2070611780">
          <w:marLeft w:val="480"/>
          <w:marRight w:val="0"/>
          <w:marTop w:val="0"/>
          <w:marBottom w:val="0"/>
          <w:divBdr>
            <w:top w:val="none" w:sz="0" w:space="0" w:color="auto"/>
            <w:left w:val="none" w:sz="0" w:space="0" w:color="auto"/>
            <w:bottom w:val="none" w:sz="0" w:space="0" w:color="auto"/>
            <w:right w:val="none" w:sz="0" w:space="0" w:color="auto"/>
          </w:divBdr>
        </w:div>
        <w:div w:id="1469519047">
          <w:marLeft w:val="480"/>
          <w:marRight w:val="0"/>
          <w:marTop w:val="0"/>
          <w:marBottom w:val="0"/>
          <w:divBdr>
            <w:top w:val="none" w:sz="0" w:space="0" w:color="auto"/>
            <w:left w:val="none" w:sz="0" w:space="0" w:color="auto"/>
            <w:bottom w:val="none" w:sz="0" w:space="0" w:color="auto"/>
            <w:right w:val="none" w:sz="0" w:space="0" w:color="auto"/>
          </w:divBdr>
        </w:div>
        <w:div w:id="806122604">
          <w:marLeft w:val="480"/>
          <w:marRight w:val="0"/>
          <w:marTop w:val="0"/>
          <w:marBottom w:val="0"/>
          <w:divBdr>
            <w:top w:val="none" w:sz="0" w:space="0" w:color="auto"/>
            <w:left w:val="none" w:sz="0" w:space="0" w:color="auto"/>
            <w:bottom w:val="none" w:sz="0" w:space="0" w:color="auto"/>
            <w:right w:val="none" w:sz="0" w:space="0" w:color="auto"/>
          </w:divBdr>
        </w:div>
        <w:div w:id="81222288">
          <w:marLeft w:val="480"/>
          <w:marRight w:val="0"/>
          <w:marTop w:val="0"/>
          <w:marBottom w:val="0"/>
          <w:divBdr>
            <w:top w:val="none" w:sz="0" w:space="0" w:color="auto"/>
            <w:left w:val="none" w:sz="0" w:space="0" w:color="auto"/>
            <w:bottom w:val="none" w:sz="0" w:space="0" w:color="auto"/>
            <w:right w:val="none" w:sz="0" w:space="0" w:color="auto"/>
          </w:divBdr>
        </w:div>
        <w:div w:id="1532457607">
          <w:marLeft w:val="480"/>
          <w:marRight w:val="0"/>
          <w:marTop w:val="0"/>
          <w:marBottom w:val="0"/>
          <w:divBdr>
            <w:top w:val="none" w:sz="0" w:space="0" w:color="auto"/>
            <w:left w:val="none" w:sz="0" w:space="0" w:color="auto"/>
            <w:bottom w:val="none" w:sz="0" w:space="0" w:color="auto"/>
            <w:right w:val="none" w:sz="0" w:space="0" w:color="auto"/>
          </w:divBdr>
        </w:div>
        <w:div w:id="1328826973">
          <w:marLeft w:val="480"/>
          <w:marRight w:val="0"/>
          <w:marTop w:val="0"/>
          <w:marBottom w:val="0"/>
          <w:divBdr>
            <w:top w:val="none" w:sz="0" w:space="0" w:color="auto"/>
            <w:left w:val="none" w:sz="0" w:space="0" w:color="auto"/>
            <w:bottom w:val="none" w:sz="0" w:space="0" w:color="auto"/>
            <w:right w:val="none" w:sz="0" w:space="0" w:color="auto"/>
          </w:divBdr>
        </w:div>
        <w:div w:id="1899584979">
          <w:marLeft w:val="480"/>
          <w:marRight w:val="0"/>
          <w:marTop w:val="0"/>
          <w:marBottom w:val="0"/>
          <w:divBdr>
            <w:top w:val="none" w:sz="0" w:space="0" w:color="auto"/>
            <w:left w:val="none" w:sz="0" w:space="0" w:color="auto"/>
            <w:bottom w:val="none" w:sz="0" w:space="0" w:color="auto"/>
            <w:right w:val="none" w:sz="0" w:space="0" w:color="auto"/>
          </w:divBdr>
        </w:div>
        <w:div w:id="50228987">
          <w:marLeft w:val="480"/>
          <w:marRight w:val="0"/>
          <w:marTop w:val="0"/>
          <w:marBottom w:val="0"/>
          <w:divBdr>
            <w:top w:val="none" w:sz="0" w:space="0" w:color="auto"/>
            <w:left w:val="none" w:sz="0" w:space="0" w:color="auto"/>
            <w:bottom w:val="none" w:sz="0" w:space="0" w:color="auto"/>
            <w:right w:val="none" w:sz="0" w:space="0" w:color="auto"/>
          </w:divBdr>
        </w:div>
        <w:div w:id="1229219891">
          <w:marLeft w:val="480"/>
          <w:marRight w:val="0"/>
          <w:marTop w:val="0"/>
          <w:marBottom w:val="0"/>
          <w:divBdr>
            <w:top w:val="none" w:sz="0" w:space="0" w:color="auto"/>
            <w:left w:val="none" w:sz="0" w:space="0" w:color="auto"/>
            <w:bottom w:val="none" w:sz="0" w:space="0" w:color="auto"/>
            <w:right w:val="none" w:sz="0" w:space="0" w:color="auto"/>
          </w:divBdr>
        </w:div>
        <w:div w:id="616377585">
          <w:marLeft w:val="480"/>
          <w:marRight w:val="0"/>
          <w:marTop w:val="0"/>
          <w:marBottom w:val="0"/>
          <w:divBdr>
            <w:top w:val="none" w:sz="0" w:space="0" w:color="auto"/>
            <w:left w:val="none" w:sz="0" w:space="0" w:color="auto"/>
            <w:bottom w:val="none" w:sz="0" w:space="0" w:color="auto"/>
            <w:right w:val="none" w:sz="0" w:space="0" w:color="auto"/>
          </w:divBdr>
        </w:div>
        <w:div w:id="874659697">
          <w:marLeft w:val="480"/>
          <w:marRight w:val="0"/>
          <w:marTop w:val="0"/>
          <w:marBottom w:val="0"/>
          <w:divBdr>
            <w:top w:val="none" w:sz="0" w:space="0" w:color="auto"/>
            <w:left w:val="none" w:sz="0" w:space="0" w:color="auto"/>
            <w:bottom w:val="none" w:sz="0" w:space="0" w:color="auto"/>
            <w:right w:val="none" w:sz="0" w:space="0" w:color="auto"/>
          </w:divBdr>
        </w:div>
        <w:div w:id="1544564021">
          <w:marLeft w:val="480"/>
          <w:marRight w:val="0"/>
          <w:marTop w:val="0"/>
          <w:marBottom w:val="0"/>
          <w:divBdr>
            <w:top w:val="none" w:sz="0" w:space="0" w:color="auto"/>
            <w:left w:val="none" w:sz="0" w:space="0" w:color="auto"/>
            <w:bottom w:val="none" w:sz="0" w:space="0" w:color="auto"/>
            <w:right w:val="none" w:sz="0" w:space="0" w:color="auto"/>
          </w:divBdr>
        </w:div>
        <w:div w:id="1625237489">
          <w:marLeft w:val="480"/>
          <w:marRight w:val="0"/>
          <w:marTop w:val="0"/>
          <w:marBottom w:val="0"/>
          <w:divBdr>
            <w:top w:val="none" w:sz="0" w:space="0" w:color="auto"/>
            <w:left w:val="none" w:sz="0" w:space="0" w:color="auto"/>
            <w:bottom w:val="none" w:sz="0" w:space="0" w:color="auto"/>
            <w:right w:val="none" w:sz="0" w:space="0" w:color="auto"/>
          </w:divBdr>
        </w:div>
        <w:div w:id="1528523016">
          <w:marLeft w:val="480"/>
          <w:marRight w:val="0"/>
          <w:marTop w:val="0"/>
          <w:marBottom w:val="0"/>
          <w:divBdr>
            <w:top w:val="none" w:sz="0" w:space="0" w:color="auto"/>
            <w:left w:val="none" w:sz="0" w:space="0" w:color="auto"/>
            <w:bottom w:val="none" w:sz="0" w:space="0" w:color="auto"/>
            <w:right w:val="none" w:sz="0" w:space="0" w:color="auto"/>
          </w:divBdr>
        </w:div>
        <w:div w:id="2073655368">
          <w:marLeft w:val="480"/>
          <w:marRight w:val="0"/>
          <w:marTop w:val="0"/>
          <w:marBottom w:val="0"/>
          <w:divBdr>
            <w:top w:val="none" w:sz="0" w:space="0" w:color="auto"/>
            <w:left w:val="none" w:sz="0" w:space="0" w:color="auto"/>
            <w:bottom w:val="none" w:sz="0" w:space="0" w:color="auto"/>
            <w:right w:val="none" w:sz="0" w:space="0" w:color="auto"/>
          </w:divBdr>
        </w:div>
        <w:div w:id="228344876">
          <w:marLeft w:val="480"/>
          <w:marRight w:val="0"/>
          <w:marTop w:val="0"/>
          <w:marBottom w:val="0"/>
          <w:divBdr>
            <w:top w:val="none" w:sz="0" w:space="0" w:color="auto"/>
            <w:left w:val="none" w:sz="0" w:space="0" w:color="auto"/>
            <w:bottom w:val="none" w:sz="0" w:space="0" w:color="auto"/>
            <w:right w:val="none" w:sz="0" w:space="0" w:color="auto"/>
          </w:divBdr>
        </w:div>
        <w:div w:id="1544369423">
          <w:marLeft w:val="480"/>
          <w:marRight w:val="0"/>
          <w:marTop w:val="0"/>
          <w:marBottom w:val="0"/>
          <w:divBdr>
            <w:top w:val="none" w:sz="0" w:space="0" w:color="auto"/>
            <w:left w:val="none" w:sz="0" w:space="0" w:color="auto"/>
            <w:bottom w:val="none" w:sz="0" w:space="0" w:color="auto"/>
            <w:right w:val="none" w:sz="0" w:space="0" w:color="auto"/>
          </w:divBdr>
        </w:div>
        <w:div w:id="345138741">
          <w:marLeft w:val="480"/>
          <w:marRight w:val="0"/>
          <w:marTop w:val="0"/>
          <w:marBottom w:val="0"/>
          <w:divBdr>
            <w:top w:val="none" w:sz="0" w:space="0" w:color="auto"/>
            <w:left w:val="none" w:sz="0" w:space="0" w:color="auto"/>
            <w:bottom w:val="none" w:sz="0" w:space="0" w:color="auto"/>
            <w:right w:val="none" w:sz="0" w:space="0" w:color="auto"/>
          </w:divBdr>
        </w:div>
        <w:div w:id="401832814">
          <w:marLeft w:val="480"/>
          <w:marRight w:val="0"/>
          <w:marTop w:val="0"/>
          <w:marBottom w:val="0"/>
          <w:divBdr>
            <w:top w:val="none" w:sz="0" w:space="0" w:color="auto"/>
            <w:left w:val="none" w:sz="0" w:space="0" w:color="auto"/>
            <w:bottom w:val="none" w:sz="0" w:space="0" w:color="auto"/>
            <w:right w:val="none" w:sz="0" w:space="0" w:color="auto"/>
          </w:divBdr>
        </w:div>
        <w:div w:id="1202740304">
          <w:marLeft w:val="480"/>
          <w:marRight w:val="0"/>
          <w:marTop w:val="0"/>
          <w:marBottom w:val="0"/>
          <w:divBdr>
            <w:top w:val="none" w:sz="0" w:space="0" w:color="auto"/>
            <w:left w:val="none" w:sz="0" w:space="0" w:color="auto"/>
            <w:bottom w:val="none" w:sz="0" w:space="0" w:color="auto"/>
            <w:right w:val="none" w:sz="0" w:space="0" w:color="auto"/>
          </w:divBdr>
        </w:div>
        <w:div w:id="2076198527">
          <w:marLeft w:val="480"/>
          <w:marRight w:val="0"/>
          <w:marTop w:val="0"/>
          <w:marBottom w:val="0"/>
          <w:divBdr>
            <w:top w:val="none" w:sz="0" w:space="0" w:color="auto"/>
            <w:left w:val="none" w:sz="0" w:space="0" w:color="auto"/>
            <w:bottom w:val="none" w:sz="0" w:space="0" w:color="auto"/>
            <w:right w:val="none" w:sz="0" w:space="0" w:color="auto"/>
          </w:divBdr>
        </w:div>
        <w:div w:id="52235982">
          <w:marLeft w:val="480"/>
          <w:marRight w:val="0"/>
          <w:marTop w:val="0"/>
          <w:marBottom w:val="0"/>
          <w:divBdr>
            <w:top w:val="none" w:sz="0" w:space="0" w:color="auto"/>
            <w:left w:val="none" w:sz="0" w:space="0" w:color="auto"/>
            <w:bottom w:val="none" w:sz="0" w:space="0" w:color="auto"/>
            <w:right w:val="none" w:sz="0" w:space="0" w:color="auto"/>
          </w:divBdr>
        </w:div>
        <w:div w:id="224150746">
          <w:marLeft w:val="480"/>
          <w:marRight w:val="0"/>
          <w:marTop w:val="0"/>
          <w:marBottom w:val="0"/>
          <w:divBdr>
            <w:top w:val="none" w:sz="0" w:space="0" w:color="auto"/>
            <w:left w:val="none" w:sz="0" w:space="0" w:color="auto"/>
            <w:bottom w:val="none" w:sz="0" w:space="0" w:color="auto"/>
            <w:right w:val="none" w:sz="0" w:space="0" w:color="auto"/>
          </w:divBdr>
        </w:div>
        <w:div w:id="10315">
          <w:marLeft w:val="480"/>
          <w:marRight w:val="0"/>
          <w:marTop w:val="0"/>
          <w:marBottom w:val="0"/>
          <w:divBdr>
            <w:top w:val="none" w:sz="0" w:space="0" w:color="auto"/>
            <w:left w:val="none" w:sz="0" w:space="0" w:color="auto"/>
            <w:bottom w:val="none" w:sz="0" w:space="0" w:color="auto"/>
            <w:right w:val="none" w:sz="0" w:space="0" w:color="auto"/>
          </w:divBdr>
        </w:div>
        <w:div w:id="1616207307">
          <w:marLeft w:val="480"/>
          <w:marRight w:val="0"/>
          <w:marTop w:val="0"/>
          <w:marBottom w:val="0"/>
          <w:divBdr>
            <w:top w:val="none" w:sz="0" w:space="0" w:color="auto"/>
            <w:left w:val="none" w:sz="0" w:space="0" w:color="auto"/>
            <w:bottom w:val="none" w:sz="0" w:space="0" w:color="auto"/>
            <w:right w:val="none" w:sz="0" w:space="0" w:color="auto"/>
          </w:divBdr>
        </w:div>
        <w:div w:id="1695417632">
          <w:marLeft w:val="480"/>
          <w:marRight w:val="0"/>
          <w:marTop w:val="0"/>
          <w:marBottom w:val="0"/>
          <w:divBdr>
            <w:top w:val="none" w:sz="0" w:space="0" w:color="auto"/>
            <w:left w:val="none" w:sz="0" w:space="0" w:color="auto"/>
            <w:bottom w:val="none" w:sz="0" w:space="0" w:color="auto"/>
            <w:right w:val="none" w:sz="0" w:space="0" w:color="auto"/>
          </w:divBdr>
        </w:div>
        <w:div w:id="407774192">
          <w:marLeft w:val="480"/>
          <w:marRight w:val="0"/>
          <w:marTop w:val="0"/>
          <w:marBottom w:val="0"/>
          <w:divBdr>
            <w:top w:val="none" w:sz="0" w:space="0" w:color="auto"/>
            <w:left w:val="none" w:sz="0" w:space="0" w:color="auto"/>
            <w:bottom w:val="none" w:sz="0" w:space="0" w:color="auto"/>
            <w:right w:val="none" w:sz="0" w:space="0" w:color="auto"/>
          </w:divBdr>
        </w:div>
        <w:div w:id="1384255318">
          <w:marLeft w:val="480"/>
          <w:marRight w:val="0"/>
          <w:marTop w:val="0"/>
          <w:marBottom w:val="0"/>
          <w:divBdr>
            <w:top w:val="none" w:sz="0" w:space="0" w:color="auto"/>
            <w:left w:val="none" w:sz="0" w:space="0" w:color="auto"/>
            <w:bottom w:val="none" w:sz="0" w:space="0" w:color="auto"/>
            <w:right w:val="none" w:sz="0" w:space="0" w:color="auto"/>
          </w:divBdr>
        </w:div>
        <w:div w:id="1954559627">
          <w:marLeft w:val="480"/>
          <w:marRight w:val="0"/>
          <w:marTop w:val="0"/>
          <w:marBottom w:val="0"/>
          <w:divBdr>
            <w:top w:val="none" w:sz="0" w:space="0" w:color="auto"/>
            <w:left w:val="none" w:sz="0" w:space="0" w:color="auto"/>
            <w:bottom w:val="none" w:sz="0" w:space="0" w:color="auto"/>
            <w:right w:val="none" w:sz="0" w:space="0" w:color="auto"/>
          </w:divBdr>
        </w:div>
        <w:div w:id="492189053">
          <w:marLeft w:val="480"/>
          <w:marRight w:val="0"/>
          <w:marTop w:val="0"/>
          <w:marBottom w:val="0"/>
          <w:divBdr>
            <w:top w:val="none" w:sz="0" w:space="0" w:color="auto"/>
            <w:left w:val="none" w:sz="0" w:space="0" w:color="auto"/>
            <w:bottom w:val="none" w:sz="0" w:space="0" w:color="auto"/>
            <w:right w:val="none" w:sz="0" w:space="0" w:color="auto"/>
          </w:divBdr>
        </w:div>
        <w:div w:id="272250546">
          <w:marLeft w:val="480"/>
          <w:marRight w:val="0"/>
          <w:marTop w:val="0"/>
          <w:marBottom w:val="0"/>
          <w:divBdr>
            <w:top w:val="none" w:sz="0" w:space="0" w:color="auto"/>
            <w:left w:val="none" w:sz="0" w:space="0" w:color="auto"/>
            <w:bottom w:val="none" w:sz="0" w:space="0" w:color="auto"/>
            <w:right w:val="none" w:sz="0" w:space="0" w:color="auto"/>
          </w:divBdr>
        </w:div>
        <w:div w:id="1359350260">
          <w:marLeft w:val="480"/>
          <w:marRight w:val="0"/>
          <w:marTop w:val="0"/>
          <w:marBottom w:val="0"/>
          <w:divBdr>
            <w:top w:val="none" w:sz="0" w:space="0" w:color="auto"/>
            <w:left w:val="none" w:sz="0" w:space="0" w:color="auto"/>
            <w:bottom w:val="none" w:sz="0" w:space="0" w:color="auto"/>
            <w:right w:val="none" w:sz="0" w:space="0" w:color="auto"/>
          </w:divBdr>
        </w:div>
        <w:div w:id="1384021693">
          <w:marLeft w:val="480"/>
          <w:marRight w:val="0"/>
          <w:marTop w:val="0"/>
          <w:marBottom w:val="0"/>
          <w:divBdr>
            <w:top w:val="none" w:sz="0" w:space="0" w:color="auto"/>
            <w:left w:val="none" w:sz="0" w:space="0" w:color="auto"/>
            <w:bottom w:val="none" w:sz="0" w:space="0" w:color="auto"/>
            <w:right w:val="none" w:sz="0" w:space="0" w:color="auto"/>
          </w:divBdr>
        </w:div>
        <w:div w:id="1361125648">
          <w:marLeft w:val="480"/>
          <w:marRight w:val="0"/>
          <w:marTop w:val="0"/>
          <w:marBottom w:val="0"/>
          <w:divBdr>
            <w:top w:val="none" w:sz="0" w:space="0" w:color="auto"/>
            <w:left w:val="none" w:sz="0" w:space="0" w:color="auto"/>
            <w:bottom w:val="none" w:sz="0" w:space="0" w:color="auto"/>
            <w:right w:val="none" w:sz="0" w:space="0" w:color="auto"/>
          </w:divBdr>
        </w:div>
        <w:div w:id="52126125">
          <w:marLeft w:val="480"/>
          <w:marRight w:val="0"/>
          <w:marTop w:val="0"/>
          <w:marBottom w:val="0"/>
          <w:divBdr>
            <w:top w:val="none" w:sz="0" w:space="0" w:color="auto"/>
            <w:left w:val="none" w:sz="0" w:space="0" w:color="auto"/>
            <w:bottom w:val="none" w:sz="0" w:space="0" w:color="auto"/>
            <w:right w:val="none" w:sz="0" w:space="0" w:color="auto"/>
          </w:divBdr>
        </w:div>
        <w:div w:id="1536038346">
          <w:marLeft w:val="480"/>
          <w:marRight w:val="0"/>
          <w:marTop w:val="0"/>
          <w:marBottom w:val="0"/>
          <w:divBdr>
            <w:top w:val="none" w:sz="0" w:space="0" w:color="auto"/>
            <w:left w:val="none" w:sz="0" w:space="0" w:color="auto"/>
            <w:bottom w:val="none" w:sz="0" w:space="0" w:color="auto"/>
            <w:right w:val="none" w:sz="0" w:space="0" w:color="auto"/>
          </w:divBdr>
        </w:div>
        <w:div w:id="2125414896">
          <w:marLeft w:val="480"/>
          <w:marRight w:val="0"/>
          <w:marTop w:val="0"/>
          <w:marBottom w:val="0"/>
          <w:divBdr>
            <w:top w:val="none" w:sz="0" w:space="0" w:color="auto"/>
            <w:left w:val="none" w:sz="0" w:space="0" w:color="auto"/>
            <w:bottom w:val="none" w:sz="0" w:space="0" w:color="auto"/>
            <w:right w:val="none" w:sz="0" w:space="0" w:color="auto"/>
          </w:divBdr>
        </w:div>
        <w:div w:id="1078819397">
          <w:marLeft w:val="480"/>
          <w:marRight w:val="0"/>
          <w:marTop w:val="0"/>
          <w:marBottom w:val="0"/>
          <w:divBdr>
            <w:top w:val="none" w:sz="0" w:space="0" w:color="auto"/>
            <w:left w:val="none" w:sz="0" w:space="0" w:color="auto"/>
            <w:bottom w:val="none" w:sz="0" w:space="0" w:color="auto"/>
            <w:right w:val="none" w:sz="0" w:space="0" w:color="auto"/>
          </w:divBdr>
        </w:div>
        <w:div w:id="1470594250">
          <w:marLeft w:val="480"/>
          <w:marRight w:val="0"/>
          <w:marTop w:val="0"/>
          <w:marBottom w:val="0"/>
          <w:divBdr>
            <w:top w:val="none" w:sz="0" w:space="0" w:color="auto"/>
            <w:left w:val="none" w:sz="0" w:space="0" w:color="auto"/>
            <w:bottom w:val="none" w:sz="0" w:space="0" w:color="auto"/>
            <w:right w:val="none" w:sz="0" w:space="0" w:color="auto"/>
          </w:divBdr>
        </w:div>
        <w:div w:id="172381968">
          <w:marLeft w:val="480"/>
          <w:marRight w:val="0"/>
          <w:marTop w:val="0"/>
          <w:marBottom w:val="0"/>
          <w:divBdr>
            <w:top w:val="none" w:sz="0" w:space="0" w:color="auto"/>
            <w:left w:val="none" w:sz="0" w:space="0" w:color="auto"/>
            <w:bottom w:val="none" w:sz="0" w:space="0" w:color="auto"/>
            <w:right w:val="none" w:sz="0" w:space="0" w:color="auto"/>
          </w:divBdr>
        </w:div>
        <w:div w:id="675769127">
          <w:marLeft w:val="480"/>
          <w:marRight w:val="0"/>
          <w:marTop w:val="0"/>
          <w:marBottom w:val="0"/>
          <w:divBdr>
            <w:top w:val="none" w:sz="0" w:space="0" w:color="auto"/>
            <w:left w:val="none" w:sz="0" w:space="0" w:color="auto"/>
            <w:bottom w:val="none" w:sz="0" w:space="0" w:color="auto"/>
            <w:right w:val="none" w:sz="0" w:space="0" w:color="auto"/>
          </w:divBdr>
        </w:div>
        <w:div w:id="1631090762">
          <w:marLeft w:val="480"/>
          <w:marRight w:val="0"/>
          <w:marTop w:val="0"/>
          <w:marBottom w:val="0"/>
          <w:divBdr>
            <w:top w:val="none" w:sz="0" w:space="0" w:color="auto"/>
            <w:left w:val="none" w:sz="0" w:space="0" w:color="auto"/>
            <w:bottom w:val="none" w:sz="0" w:space="0" w:color="auto"/>
            <w:right w:val="none" w:sz="0" w:space="0" w:color="auto"/>
          </w:divBdr>
        </w:div>
        <w:div w:id="1543521524">
          <w:marLeft w:val="480"/>
          <w:marRight w:val="0"/>
          <w:marTop w:val="0"/>
          <w:marBottom w:val="0"/>
          <w:divBdr>
            <w:top w:val="none" w:sz="0" w:space="0" w:color="auto"/>
            <w:left w:val="none" w:sz="0" w:space="0" w:color="auto"/>
            <w:bottom w:val="none" w:sz="0" w:space="0" w:color="auto"/>
            <w:right w:val="none" w:sz="0" w:space="0" w:color="auto"/>
          </w:divBdr>
        </w:div>
        <w:div w:id="1750229415">
          <w:marLeft w:val="480"/>
          <w:marRight w:val="0"/>
          <w:marTop w:val="0"/>
          <w:marBottom w:val="0"/>
          <w:divBdr>
            <w:top w:val="none" w:sz="0" w:space="0" w:color="auto"/>
            <w:left w:val="none" w:sz="0" w:space="0" w:color="auto"/>
            <w:bottom w:val="none" w:sz="0" w:space="0" w:color="auto"/>
            <w:right w:val="none" w:sz="0" w:space="0" w:color="auto"/>
          </w:divBdr>
        </w:div>
        <w:div w:id="1677926944">
          <w:marLeft w:val="480"/>
          <w:marRight w:val="0"/>
          <w:marTop w:val="0"/>
          <w:marBottom w:val="0"/>
          <w:divBdr>
            <w:top w:val="none" w:sz="0" w:space="0" w:color="auto"/>
            <w:left w:val="none" w:sz="0" w:space="0" w:color="auto"/>
            <w:bottom w:val="none" w:sz="0" w:space="0" w:color="auto"/>
            <w:right w:val="none" w:sz="0" w:space="0" w:color="auto"/>
          </w:divBdr>
        </w:div>
        <w:div w:id="689641998">
          <w:marLeft w:val="480"/>
          <w:marRight w:val="0"/>
          <w:marTop w:val="0"/>
          <w:marBottom w:val="0"/>
          <w:divBdr>
            <w:top w:val="none" w:sz="0" w:space="0" w:color="auto"/>
            <w:left w:val="none" w:sz="0" w:space="0" w:color="auto"/>
            <w:bottom w:val="none" w:sz="0" w:space="0" w:color="auto"/>
            <w:right w:val="none" w:sz="0" w:space="0" w:color="auto"/>
          </w:divBdr>
        </w:div>
        <w:div w:id="482089582">
          <w:marLeft w:val="480"/>
          <w:marRight w:val="0"/>
          <w:marTop w:val="0"/>
          <w:marBottom w:val="0"/>
          <w:divBdr>
            <w:top w:val="none" w:sz="0" w:space="0" w:color="auto"/>
            <w:left w:val="none" w:sz="0" w:space="0" w:color="auto"/>
            <w:bottom w:val="none" w:sz="0" w:space="0" w:color="auto"/>
            <w:right w:val="none" w:sz="0" w:space="0" w:color="auto"/>
          </w:divBdr>
        </w:div>
        <w:div w:id="280038297">
          <w:marLeft w:val="480"/>
          <w:marRight w:val="0"/>
          <w:marTop w:val="0"/>
          <w:marBottom w:val="0"/>
          <w:divBdr>
            <w:top w:val="none" w:sz="0" w:space="0" w:color="auto"/>
            <w:left w:val="none" w:sz="0" w:space="0" w:color="auto"/>
            <w:bottom w:val="none" w:sz="0" w:space="0" w:color="auto"/>
            <w:right w:val="none" w:sz="0" w:space="0" w:color="auto"/>
          </w:divBdr>
        </w:div>
        <w:div w:id="2114745258">
          <w:marLeft w:val="480"/>
          <w:marRight w:val="0"/>
          <w:marTop w:val="0"/>
          <w:marBottom w:val="0"/>
          <w:divBdr>
            <w:top w:val="none" w:sz="0" w:space="0" w:color="auto"/>
            <w:left w:val="none" w:sz="0" w:space="0" w:color="auto"/>
            <w:bottom w:val="none" w:sz="0" w:space="0" w:color="auto"/>
            <w:right w:val="none" w:sz="0" w:space="0" w:color="auto"/>
          </w:divBdr>
        </w:div>
        <w:div w:id="1810245096">
          <w:marLeft w:val="480"/>
          <w:marRight w:val="0"/>
          <w:marTop w:val="0"/>
          <w:marBottom w:val="0"/>
          <w:divBdr>
            <w:top w:val="none" w:sz="0" w:space="0" w:color="auto"/>
            <w:left w:val="none" w:sz="0" w:space="0" w:color="auto"/>
            <w:bottom w:val="none" w:sz="0" w:space="0" w:color="auto"/>
            <w:right w:val="none" w:sz="0" w:space="0" w:color="auto"/>
          </w:divBdr>
        </w:div>
        <w:div w:id="1273974704">
          <w:marLeft w:val="480"/>
          <w:marRight w:val="0"/>
          <w:marTop w:val="0"/>
          <w:marBottom w:val="0"/>
          <w:divBdr>
            <w:top w:val="none" w:sz="0" w:space="0" w:color="auto"/>
            <w:left w:val="none" w:sz="0" w:space="0" w:color="auto"/>
            <w:bottom w:val="none" w:sz="0" w:space="0" w:color="auto"/>
            <w:right w:val="none" w:sz="0" w:space="0" w:color="auto"/>
          </w:divBdr>
        </w:div>
        <w:div w:id="1046562286">
          <w:marLeft w:val="480"/>
          <w:marRight w:val="0"/>
          <w:marTop w:val="0"/>
          <w:marBottom w:val="0"/>
          <w:divBdr>
            <w:top w:val="none" w:sz="0" w:space="0" w:color="auto"/>
            <w:left w:val="none" w:sz="0" w:space="0" w:color="auto"/>
            <w:bottom w:val="none" w:sz="0" w:space="0" w:color="auto"/>
            <w:right w:val="none" w:sz="0" w:space="0" w:color="auto"/>
          </w:divBdr>
        </w:div>
        <w:div w:id="1350331113">
          <w:marLeft w:val="480"/>
          <w:marRight w:val="0"/>
          <w:marTop w:val="0"/>
          <w:marBottom w:val="0"/>
          <w:divBdr>
            <w:top w:val="none" w:sz="0" w:space="0" w:color="auto"/>
            <w:left w:val="none" w:sz="0" w:space="0" w:color="auto"/>
            <w:bottom w:val="none" w:sz="0" w:space="0" w:color="auto"/>
            <w:right w:val="none" w:sz="0" w:space="0" w:color="auto"/>
          </w:divBdr>
        </w:div>
        <w:div w:id="384842777">
          <w:marLeft w:val="480"/>
          <w:marRight w:val="0"/>
          <w:marTop w:val="0"/>
          <w:marBottom w:val="0"/>
          <w:divBdr>
            <w:top w:val="none" w:sz="0" w:space="0" w:color="auto"/>
            <w:left w:val="none" w:sz="0" w:space="0" w:color="auto"/>
            <w:bottom w:val="none" w:sz="0" w:space="0" w:color="auto"/>
            <w:right w:val="none" w:sz="0" w:space="0" w:color="auto"/>
          </w:divBdr>
        </w:div>
        <w:div w:id="675885542">
          <w:marLeft w:val="480"/>
          <w:marRight w:val="0"/>
          <w:marTop w:val="0"/>
          <w:marBottom w:val="0"/>
          <w:divBdr>
            <w:top w:val="none" w:sz="0" w:space="0" w:color="auto"/>
            <w:left w:val="none" w:sz="0" w:space="0" w:color="auto"/>
            <w:bottom w:val="none" w:sz="0" w:space="0" w:color="auto"/>
            <w:right w:val="none" w:sz="0" w:space="0" w:color="auto"/>
          </w:divBdr>
        </w:div>
        <w:div w:id="1346518048">
          <w:marLeft w:val="480"/>
          <w:marRight w:val="0"/>
          <w:marTop w:val="0"/>
          <w:marBottom w:val="0"/>
          <w:divBdr>
            <w:top w:val="none" w:sz="0" w:space="0" w:color="auto"/>
            <w:left w:val="none" w:sz="0" w:space="0" w:color="auto"/>
            <w:bottom w:val="none" w:sz="0" w:space="0" w:color="auto"/>
            <w:right w:val="none" w:sz="0" w:space="0" w:color="auto"/>
          </w:divBdr>
        </w:div>
        <w:div w:id="943150925">
          <w:marLeft w:val="480"/>
          <w:marRight w:val="0"/>
          <w:marTop w:val="0"/>
          <w:marBottom w:val="0"/>
          <w:divBdr>
            <w:top w:val="none" w:sz="0" w:space="0" w:color="auto"/>
            <w:left w:val="none" w:sz="0" w:space="0" w:color="auto"/>
            <w:bottom w:val="none" w:sz="0" w:space="0" w:color="auto"/>
            <w:right w:val="none" w:sz="0" w:space="0" w:color="auto"/>
          </w:divBdr>
        </w:div>
        <w:div w:id="1270166468">
          <w:marLeft w:val="480"/>
          <w:marRight w:val="0"/>
          <w:marTop w:val="0"/>
          <w:marBottom w:val="0"/>
          <w:divBdr>
            <w:top w:val="none" w:sz="0" w:space="0" w:color="auto"/>
            <w:left w:val="none" w:sz="0" w:space="0" w:color="auto"/>
            <w:bottom w:val="none" w:sz="0" w:space="0" w:color="auto"/>
            <w:right w:val="none" w:sz="0" w:space="0" w:color="auto"/>
          </w:divBdr>
        </w:div>
        <w:div w:id="135686992">
          <w:marLeft w:val="480"/>
          <w:marRight w:val="0"/>
          <w:marTop w:val="0"/>
          <w:marBottom w:val="0"/>
          <w:divBdr>
            <w:top w:val="none" w:sz="0" w:space="0" w:color="auto"/>
            <w:left w:val="none" w:sz="0" w:space="0" w:color="auto"/>
            <w:bottom w:val="none" w:sz="0" w:space="0" w:color="auto"/>
            <w:right w:val="none" w:sz="0" w:space="0" w:color="auto"/>
          </w:divBdr>
        </w:div>
        <w:div w:id="1966304637">
          <w:marLeft w:val="480"/>
          <w:marRight w:val="0"/>
          <w:marTop w:val="0"/>
          <w:marBottom w:val="0"/>
          <w:divBdr>
            <w:top w:val="none" w:sz="0" w:space="0" w:color="auto"/>
            <w:left w:val="none" w:sz="0" w:space="0" w:color="auto"/>
            <w:bottom w:val="none" w:sz="0" w:space="0" w:color="auto"/>
            <w:right w:val="none" w:sz="0" w:space="0" w:color="auto"/>
          </w:divBdr>
        </w:div>
        <w:div w:id="15733886">
          <w:marLeft w:val="480"/>
          <w:marRight w:val="0"/>
          <w:marTop w:val="0"/>
          <w:marBottom w:val="0"/>
          <w:divBdr>
            <w:top w:val="none" w:sz="0" w:space="0" w:color="auto"/>
            <w:left w:val="none" w:sz="0" w:space="0" w:color="auto"/>
            <w:bottom w:val="none" w:sz="0" w:space="0" w:color="auto"/>
            <w:right w:val="none" w:sz="0" w:space="0" w:color="auto"/>
          </w:divBdr>
        </w:div>
        <w:div w:id="1028796226">
          <w:marLeft w:val="480"/>
          <w:marRight w:val="0"/>
          <w:marTop w:val="0"/>
          <w:marBottom w:val="0"/>
          <w:divBdr>
            <w:top w:val="none" w:sz="0" w:space="0" w:color="auto"/>
            <w:left w:val="none" w:sz="0" w:space="0" w:color="auto"/>
            <w:bottom w:val="none" w:sz="0" w:space="0" w:color="auto"/>
            <w:right w:val="none" w:sz="0" w:space="0" w:color="auto"/>
          </w:divBdr>
        </w:div>
        <w:div w:id="300578659">
          <w:marLeft w:val="480"/>
          <w:marRight w:val="0"/>
          <w:marTop w:val="0"/>
          <w:marBottom w:val="0"/>
          <w:divBdr>
            <w:top w:val="none" w:sz="0" w:space="0" w:color="auto"/>
            <w:left w:val="none" w:sz="0" w:space="0" w:color="auto"/>
            <w:bottom w:val="none" w:sz="0" w:space="0" w:color="auto"/>
            <w:right w:val="none" w:sz="0" w:space="0" w:color="auto"/>
          </w:divBdr>
        </w:div>
        <w:div w:id="852495021">
          <w:marLeft w:val="480"/>
          <w:marRight w:val="0"/>
          <w:marTop w:val="0"/>
          <w:marBottom w:val="0"/>
          <w:divBdr>
            <w:top w:val="none" w:sz="0" w:space="0" w:color="auto"/>
            <w:left w:val="none" w:sz="0" w:space="0" w:color="auto"/>
            <w:bottom w:val="none" w:sz="0" w:space="0" w:color="auto"/>
            <w:right w:val="none" w:sz="0" w:space="0" w:color="auto"/>
          </w:divBdr>
        </w:div>
        <w:div w:id="596134114">
          <w:marLeft w:val="480"/>
          <w:marRight w:val="0"/>
          <w:marTop w:val="0"/>
          <w:marBottom w:val="0"/>
          <w:divBdr>
            <w:top w:val="none" w:sz="0" w:space="0" w:color="auto"/>
            <w:left w:val="none" w:sz="0" w:space="0" w:color="auto"/>
            <w:bottom w:val="none" w:sz="0" w:space="0" w:color="auto"/>
            <w:right w:val="none" w:sz="0" w:space="0" w:color="auto"/>
          </w:divBdr>
        </w:div>
        <w:div w:id="650327571">
          <w:marLeft w:val="480"/>
          <w:marRight w:val="0"/>
          <w:marTop w:val="0"/>
          <w:marBottom w:val="0"/>
          <w:divBdr>
            <w:top w:val="none" w:sz="0" w:space="0" w:color="auto"/>
            <w:left w:val="none" w:sz="0" w:space="0" w:color="auto"/>
            <w:bottom w:val="none" w:sz="0" w:space="0" w:color="auto"/>
            <w:right w:val="none" w:sz="0" w:space="0" w:color="auto"/>
          </w:divBdr>
        </w:div>
        <w:div w:id="333723825">
          <w:marLeft w:val="480"/>
          <w:marRight w:val="0"/>
          <w:marTop w:val="0"/>
          <w:marBottom w:val="0"/>
          <w:divBdr>
            <w:top w:val="none" w:sz="0" w:space="0" w:color="auto"/>
            <w:left w:val="none" w:sz="0" w:space="0" w:color="auto"/>
            <w:bottom w:val="none" w:sz="0" w:space="0" w:color="auto"/>
            <w:right w:val="none" w:sz="0" w:space="0" w:color="auto"/>
          </w:divBdr>
        </w:div>
        <w:div w:id="1786658054">
          <w:marLeft w:val="480"/>
          <w:marRight w:val="0"/>
          <w:marTop w:val="0"/>
          <w:marBottom w:val="0"/>
          <w:divBdr>
            <w:top w:val="none" w:sz="0" w:space="0" w:color="auto"/>
            <w:left w:val="none" w:sz="0" w:space="0" w:color="auto"/>
            <w:bottom w:val="none" w:sz="0" w:space="0" w:color="auto"/>
            <w:right w:val="none" w:sz="0" w:space="0" w:color="auto"/>
          </w:divBdr>
        </w:div>
        <w:div w:id="628508309">
          <w:marLeft w:val="480"/>
          <w:marRight w:val="0"/>
          <w:marTop w:val="0"/>
          <w:marBottom w:val="0"/>
          <w:divBdr>
            <w:top w:val="none" w:sz="0" w:space="0" w:color="auto"/>
            <w:left w:val="none" w:sz="0" w:space="0" w:color="auto"/>
            <w:bottom w:val="none" w:sz="0" w:space="0" w:color="auto"/>
            <w:right w:val="none" w:sz="0" w:space="0" w:color="auto"/>
          </w:divBdr>
        </w:div>
        <w:div w:id="1340228779">
          <w:marLeft w:val="480"/>
          <w:marRight w:val="0"/>
          <w:marTop w:val="0"/>
          <w:marBottom w:val="0"/>
          <w:divBdr>
            <w:top w:val="none" w:sz="0" w:space="0" w:color="auto"/>
            <w:left w:val="none" w:sz="0" w:space="0" w:color="auto"/>
            <w:bottom w:val="none" w:sz="0" w:space="0" w:color="auto"/>
            <w:right w:val="none" w:sz="0" w:space="0" w:color="auto"/>
          </w:divBdr>
        </w:div>
        <w:div w:id="1654673163">
          <w:marLeft w:val="480"/>
          <w:marRight w:val="0"/>
          <w:marTop w:val="0"/>
          <w:marBottom w:val="0"/>
          <w:divBdr>
            <w:top w:val="none" w:sz="0" w:space="0" w:color="auto"/>
            <w:left w:val="none" w:sz="0" w:space="0" w:color="auto"/>
            <w:bottom w:val="none" w:sz="0" w:space="0" w:color="auto"/>
            <w:right w:val="none" w:sz="0" w:space="0" w:color="auto"/>
          </w:divBdr>
        </w:div>
        <w:div w:id="1754545969">
          <w:marLeft w:val="480"/>
          <w:marRight w:val="0"/>
          <w:marTop w:val="0"/>
          <w:marBottom w:val="0"/>
          <w:divBdr>
            <w:top w:val="none" w:sz="0" w:space="0" w:color="auto"/>
            <w:left w:val="none" w:sz="0" w:space="0" w:color="auto"/>
            <w:bottom w:val="none" w:sz="0" w:space="0" w:color="auto"/>
            <w:right w:val="none" w:sz="0" w:space="0" w:color="auto"/>
          </w:divBdr>
        </w:div>
        <w:div w:id="1712921731">
          <w:marLeft w:val="480"/>
          <w:marRight w:val="0"/>
          <w:marTop w:val="0"/>
          <w:marBottom w:val="0"/>
          <w:divBdr>
            <w:top w:val="none" w:sz="0" w:space="0" w:color="auto"/>
            <w:left w:val="none" w:sz="0" w:space="0" w:color="auto"/>
            <w:bottom w:val="none" w:sz="0" w:space="0" w:color="auto"/>
            <w:right w:val="none" w:sz="0" w:space="0" w:color="auto"/>
          </w:divBdr>
        </w:div>
        <w:div w:id="1734155796">
          <w:marLeft w:val="480"/>
          <w:marRight w:val="0"/>
          <w:marTop w:val="0"/>
          <w:marBottom w:val="0"/>
          <w:divBdr>
            <w:top w:val="none" w:sz="0" w:space="0" w:color="auto"/>
            <w:left w:val="none" w:sz="0" w:space="0" w:color="auto"/>
            <w:bottom w:val="none" w:sz="0" w:space="0" w:color="auto"/>
            <w:right w:val="none" w:sz="0" w:space="0" w:color="auto"/>
          </w:divBdr>
        </w:div>
        <w:div w:id="55395985">
          <w:marLeft w:val="480"/>
          <w:marRight w:val="0"/>
          <w:marTop w:val="0"/>
          <w:marBottom w:val="0"/>
          <w:divBdr>
            <w:top w:val="none" w:sz="0" w:space="0" w:color="auto"/>
            <w:left w:val="none" w:sz="0" w:space="0" w:color="auto"/>
            <w:bottom w:val="none" w:sz="0" w:space="0" w:color="auto"/>
            <w:right w:val="none" w:sz="0" w:space="0" w:color="auto"/>
          </w:divBdr>
        </w:div>
        <w:div w:id="1202590981">
          <w:marLeft w:val="480"/>
          <w:marRight w:val="0"/>
          <w:marTop w:val="0"/>
          <w:marBottom w:val="0"/>
          <w:divBdr>
            <w:top w:val="none" w:sz="0" w:space="0" w:color="auto"/>
            <w:left w:val="none" w:sz="0" w:space="0" w:color="auto"/>
            <w:bottom w:val="none" w:sz="0" w:space="0" w:color="auto"/>
            <w:right w:val="none" w:sz="0" w:space="0" w:color="auto"/>
          </w:divBdr>
        </w:div>
        <w:div w:id="8917933">
          <w:marLeft w:val="480"/>
          <w:marRight w:val="0"/>
          <w:marTop w:val="0"/>
          <w:marBottom w:val="0"/>
          <w:divBdr>
            <w:top w:val="none" w:sz="0" w:space="0" w:color="auto"/>
            <w:left w:val="none" w:sz="0" w:space="0" w:color="auto"/>
            <w:bottom w:val="none" w:sz="0" w:space="0" w:color="auto"/>
            <w:right w:val="none" w:sz="0" w:space="0" w:color="auto"/>
          </w:divBdr>
        </w:div>
        <w:div w:id="1847551129">
          <w:marLeft w:val="480"/>
          <w:marRight w:val="0"/>
          <w:marTop w:val="0"/>
          <w:marBottom w:val="0"/>
          <w:divBdr>
            <w:top w:val="none" w:sz="0" w:space="0" w:color="auto"/>
            <w:left w:val="none" w:sz="0" w:space="0" w:color="auto"/>
            <w:bottom w:val="none" w:sz="0" w:space="0" w:color="auto"/>
            <w:right w:val="none" w:sz="0" w:space="0" w:color="auto"/>
          </w:divBdr>
        </w:div>
        <w:div w:id="1585260676">
          <w:marLeft w:val="480"/>
          <w:marRight w:val="0"/>
          <w:marTop w:val="0"/>
          <w:marBottom w:val="0"/>
          <w:divBdr>
            <w:top w:val="none" w:sz="0" w:space="0" w:color="auto"/>
            <w:left w:val="none" w:sz="0" w:space="0" w:color="auto"/>
            <w:bottom w:val="none" w:sz="0" w:space="0" w:color="auto"/>
            <w:right w:val="none" w:sz="0" w:space="0" w:color="auto"/>
          </w:divBdr>
        </w:div>
        <w:div w:id="1816414021">
          <w:marLeft w:val="480"/>
          <w:marRight w:val="0"/>
          <w:marTop w:val="0"/>
          <w:marBottom w:val="0"/>
          <w:divBdr>
            <w:top w:val="none" w:sz="0" w:space="0" w:color="auto"/>
            <w:left w:val="none" w:sz="0" w:space="0" w:color="auto"/>
            <w:bottom w:val="none" w:sz="0" w:space="0" w:color="auto"/>
            <w:right w:val="none" w:sz="0" w:space="0" w:color="auto"/>
          </w:divBdr>
        </w:div>
        <w:div w:id="1191841842">
          <w:marLeft w:val="480"/>
          <w:marRight w:val="0"/>
          <w:marTop w:val="0"/>
          <w:marBottom w:val="0"/>
          <w:divBdr>
            <w:top w:val="none" w:sz="0" w:space="0" w:color="auto"/>
            <w:left w:val="none" w:sz="0" w:space="0" w:color="auto"/>
            <w:bottom w:val="none" w:sz="0" w:space="0" w:color="auto"/>
            <w:right w:val="none" w:sz="0" w:space="0" w:color="auto"/>
          </w:divBdr>
        </w:div>
        <w:div w:id="1232426249">
          <w:marLeft w:val="480"/>
          <w:marRight w:val="0"/>
          <w:marTop w:val="0"/>
          <w:marBottom w:val="0"/>
          <w:divBdr>
            <w:top w:val="none" w:sz="0" w:space="0" w:color="auto"/>
            <w:left w:val="none" w:sz="0" w:space="0" w:color="auto"/>
            <w:bottom w:val="none" w:sz="0" w:space="0" w:color="auto"/>
            <w:right w:val="none" w:sz="0" w:space="0" w:color="auto"/>
          </w:divBdr>
        </w:div>
        <w:div w:id="1562402504">
          <w:marLeft w:val="480"/>
          <w:marRight w:val="0"/>
          <w:marTop w:val="0"/>
          <w:marBottom w:val="0"/>
          <w:divBdr>
            <w:top w:val="none" w:sz="0" w:space="0" w:color="auto"/>
            <w:left w:val="none" w:sz="0" w:space="0" w:color="auto"/>
            <w:bottom w:val="none" w:sz="0" w:space="0" w:color="auto"/>
            <w:right w:val="none" w:sz="0" w:space="0" w:color="auto"/>
          </w:divBdr>
        </w:div>
        <w:div w:id="939139460">
          <w:marLeft w:val="480"/>
          <w:marRight w:val="0"/>
          <w:marTop w:val="0"/>
          <w:marBottom w:val="0"/>
          <w:divBdr>
            <w:top w:val="none" w:sz="0" w:space="0" w:color="auto"/>
            <w:left w:val="none" w:sz="0" w:space="0" w:color="auto"/>
            <w:bottom w:val="none" w:sz="0" w:space="0" w:color="auto"/>
            <w:right w:val="none" w:sz="0" w:space="0" w:color="auto"/>
          </w:divBdr>
        </w:div>
        <w:div w:id="1642804842">
          <w:marLeft w:val="480"/>
          <w:marRight w:val="0"/>
          <w:marTop w:val="0"/>
          <w:marBottom w:val="0"/>
          <w:divBdr>
            <w:top w:val="none" w:sz="0" w:space="0" w:color="auto"/>
            <w:left w:val="none" w:sz="0" w:space="0" w:color="auto"/>
            <w:bottom w:val="none" w:sz="0" w:space="0" w:color="auto"/>
            <w:right w:val="none" w:sz="0" w:space="0" w:color="auto"/>
          </w:divBdr>
        </w:div>
        <w:div w:id="218366195">
          <w:marLeft w:val="480"/>
          <w:marRight w:val="0"/>
          <w:marTop w:val="0"/>
          <w:marBottom w:val="0"/>
          <w:divBdr>
            <w:top w:val="none" w:sz="0" w:space="0" w:color="auto"/>
            <w:left w:val="none" w:sz="0" w:space="0" w:color="auto"/>
            <w:bottom w:val="none" w:sz="0" w:space="0" w:color="auto"/>
            <w:right w:val="none" w:sz="0" w:space="0" w:color="auto"/>
          </w:divBdr>
        </w:div>
        <w:div w:id="4794063">
          <w:marLeft w:val="480"/>
          <w:marRight w:val="0"/>
          <w:marTop w:val="0"/>
          <w:marBottom w:val="0"/>
          <w:divBdr>
            <w:top w:val="none" w:sz="0" w:space="0" w:color="auto"/>
            <w:left w:val="none" w:sz="0" w:space="0" w:color="auto"/>
            <w:bottom w:val="none" w:sz="0" w:space="0" w:color="auto"/>
            <w:right w:val="none" w:sz="0" w:space="0" w:color="auto"/>
          </w:divBdr>
        </w:div>
        <w:div w:id="1622689904">
          <w:marLeft w:val="480"/>
          <w:marRight w:val="0"/>
          <w:marTop w:val="0"/>
          <w:marBottom w:val="0"/>
          <w:divBdr>
            <w:top w:val="none" w:sz="0" w:space="0" w:color="auto"/>
            <w:left w:val="none" w:sz="0" w:space="0" w:color="auto"/>
            <w:bottom w:val="none" w:sz="0" w:space="0" w:color="auto"/>
            <w:right w:val="none" w:sz="0" w:space="0" w:color="auto"/>
          </w:divBdr>
        </w:div>
        <w:div w:id="75060574">
          <w:marLeft w:val="480"/>
          <w:marRight w:val="0"/>
          <w:marTop w:val="0"/>
          <w:marBottom w:val="0"/>
          <w:divBdr>
            <w:top w:val="none" w:sz="0" w:space="0" w:color="auto"/>
            <w:left w:val="none" w:sz="0" w:space="0" w:color="auto"/>
            <w:bottom w:val="none" w:sz="0" w:space="0" w:color="auto"/>
            <w:right w:val="none" w:sz="0" w:space="0" w:color="auto"/>
          </w:divBdr>
        </w:div>
        <w:div w:id="597057624">
          <w:marLeft w:val="480"/>
          <w:marRight w:val="0"/>
          <w:marTop w:val="0"/>
          <w:marBottom w:val="0"/>
          <w:divBdr>
            <w:top w:val="none" w:sz="0" w:space="0" w:color="auto"/>
            <w:left w:val="none" w:sz="0" w:space="0" w:color="auto"/>
            <w:bottom w:val="none" w:sz="0" w:space="0" w:color="auto"/>
            <w:right w:val="none" w:sz="0" w:space="0" w:color="auto"/>
          </w:divBdr>
        </w:div>
        <w:div w:id="845174375">
          <w:marLeft w:val="480"/>
          <w:marRight w:val="0"/>
          <w:marTop w:val="0"/>
          <w:marBottom w:val="0"/>
          <w:divBdr>
            <w:top w:val="none" w:sz="0" w:space="0" w:color="auto"/>
            <w:left w:val="none" w:sz="0" w:space="0" w:color="auto"/>
            <w:bottom w:val="none" w:sz="0" w:space="0" w:color="auto"/>
            <w:right w:val="none" w:sz="0" w:space="0" w:color="auto"/>
          </w:divBdr>
        </w:div>
        <w:div w:id="1278607519">
          <w:marLeft w:val="480"/>
          <w:marRight w:val="0"/>
          <w:marTop w:val="0"/>
          <w:marBottom w:val="0"/>
          <w:divBdr>
            <w:top w:val="none" w:sz="0" w:space="0" w:color="auto"/>
            <w:left w:val="none" w:sz="0" w:space="0" w:color="auto"/>
            <w:bottom w:val="none" w:sz="0" w:space="0" w:color="auto"/>
            <w:right w:val="none" w:sz="0" w:space="0" w:color="auto"/>
          </w:divBdr>
        </w:div>
        <w:div w:id="1368026100">
          <w:marLeft w:val="480"/>
          <w:marRight w:val="0"/>
          <w:marTop w:val="0"/>
          <w:marBottom w:val="0"/>
          <w:divBdr>
            <w:top w:val="none" w:sz="0" w:space="0" w:color="auto"/>
            <w:left w:val="none" w:sz="0" w:space="0" w:color="auto"/>
            <w:bottom w:val="none" w:sz="0" w:space="0" w:color="auto"/>
            <w:right w:val="none" w:sz="0" w:space="0" w:color="auto"/>
          </w:divBdr>
        </w:div>
        <w:div w:id="132796974">
          <w:marLeft w:val="480"/>
          <w:marRight w:val="0"/>
          <w:marTop w:val="0"/>
          <w:marBottom w:val="0"/>
          <w:divBdr>
            <w:top w:val="none" w:sz="0" w:space="0" w:color="auto"/>
            <w:left w:val="none" w:sz="0" w:space="0" w:color="auto"/>
            <w:bottom w:val="none" w:sz="0" w:space="0" w:color="auto"/>
            <w:right w:val="none" w:sz="0" w:space="0" w:color="auto"/>
          </w:divBdr>
        </w:div>
        <w:div w:id="1447037888">
          <w:marLeft w:val="480"/>
          <w:marRight w:val="0"/>
          <w:marTop w:val="0"/>
          <w:marBottom w:val="0"/>
          <w:divBdr>
            <w:top w:val="none" w:sz="0" w:space="0" w:color="auto"/>
            <w:left w:val="none" w:sz="0" w:space="0" w:color="auto"/>
            <w:bottom w:val="none" w:sz="0" w:space="0" w:color="auto"/>
            <w:right w:val="none" w:sz="0" w:space="0" w:color="auto"/>
          </w:divBdr>
        </w:div>
        <w:div w:id="1121924011">
          <w:marLeft w:val="480"/>
          <w:marRight w:val="0"/>
          <w:marTop w:val="0"/>
          <w:marBottom w:val="0"/>
          <w:divBdr>
            <w:top w:val="none" w:sz="0" w:space="0" w:color="auto"/>
            <w:left w:val="none" w:sz="0" w:space="0" w:color="auto"/>
            <w:bottom w:val="none" w:sz="0" w:space="0" w:color="auto"/>
            <w:right w:val="none" w:sz="0" w:space="0" w:color="auto"/>
          </w:divBdr>
        </w:div>
        <w:div w:id="876817038">
          <w:marLeft w:val="480"/>
          <w:marRight w:val="0"/>
          <w:marTop w:val="0"/>
          <w:marBottom w:val="0"/>
          <w:divBdr>
            <w:top w:val="none" w:sz="0" w:space="0" w:color="auto"/>
            <w:left w:val="none" w:sz="0" w:space="0" w:color="auto"/>
            <w:bottom w:val="none" w:sz="0" w:space="0" w:color="auto"/>
            <w:right w:val="none" w:sz="0" w:space="0" w:color="auto"/>
          </w:divBdr>
        </w:div>
        <w:div w:id="463471503">
          <w:marLeft w:val="480"/>
          <w:marRight w:val="0"/>
          <w:marTop w:val="0"/>
          <w:marBottom w:val="0"/>
          <w:divBdr>
            <w:top w:val="none" w:sz="0" w:space="0" w:color="auto"/>
            <w:left w:val="none" w:sz="0" w:space="0" w:color="auto"/>
            <w:bottom w:val="none" w:sz="0" w:space="0" w:color="auto"/>
            <w:right w:val="none" w:sz="0" w:space="0" w:color="auto"/>
          </w:divBdr>
        </w:div>
        <w:div w:id="20208137">
          <w:marLeft w:val="480"/>
          <w:marRight w:val="0"/>
          <w:marTop w:val="0"/>
          <w:marBottom w:val="0"/>
          <w:divBdr>
            <w:top w:val="none" w:sz="0" w:space="0" w:color="auto"/>
            <w:left w:val="none" w:sz="0" w:space="0" w:color="auto"/>
            <w:bottom w:val="none" w:sz="0" w:space="0" w:color="auto"/>
            <w:right w:val="none" w:sz="0" w:space="0" w:color="auto"/>
          </w:divBdr>
        </w:div>
        <w:div w:id="768937242">
          <w:marLeft w:val="480"/>
          <w:marRight w:val="0"/>
          <w:marTop w:val="0"/>
          <w:marBottom w:val="0"/>
          <w:divBdr>
            <w:top w:val="none" w:sz="0" w:space="0" w:color="auto"/>
            <w:left w:val="none" w:sz="0" w:space="0" w:color="auto"/>
            <w:bottom w:val="none" w:sz="0" w:space="0" w:color="auto"/>
            <w:right w:val="none" w:sz="0" w:space="0" w:color="auto"/>
          </w:divBdr>
        </w:div>
        <w:div w:id="410466078">
          <w:marLeft w:val="480"/>
          <w:marRight w:val="0"/>
          <w:marTop w:val="0"/>
          <w:marBottom w:val="0"/>
          <w:divBdr>
            <w:top w:val="none" w:sz="0" w:space="0" w:color="auto"/>
            <w:left w:val="none" w:sz="0" w:space="0" w:color="auto"/>
            <w:bottom w:val="none" w:sz="0" w:space="0" w:color="auto"/>
            <w:right w:val="none" w:sz="0" w:space="0" w:color="auto"/>
          </w:divBdr>
        </w:div>
        <w:div w:id="166016816">
          <w:marLeft w:val="480"/>
          <w:marRight w:val="0"/>
          <w:marTop w:val="0"/>
          <w:marBottom w:val="0"/>
          <w:divBdr>
            <w:top w:val="none" w:sz="0" w:space="0" w:color="auto"/>
            <w:left w:val="none" w:sz="0" w:space="0" w:color="auto"/>
            <w:bottom w:val="none" w:sz="0" w:space="0" w:color="auto"/>
            <w:right w:val="none" w:sz="0" w:space="0" w:color="auto"/>
          </w:divBdr>
        </w:div>
        <w:div w:id="1464540168">
          <w:marLeft w:val="480"/>
          <w:marRight w:val="0"/>
          <w:marTop w:val="0"/>
          <w:marBottom w:val="0"/>
          <w:divBdr>
            <w:top w:val="none" w:sz="0" w:space="0" w:color="auto"/>
            <w:left w:val="none" w:sz="0" w:space="0" w:color="auto"/>
            <w:bottom w:val="none" w:sz="0" w:space="0" w:color="auto"/>
            <w:right w:val="none" w:sz="0" w:space="0" w:color="auto"/>
          </w:divBdr>
        </w:div>
        <w:div w:id="1822846295">
          <w:marLeft w:val="480"/>
          <w:marRight w:val="0"/>
          <w:marTop w:val="0"/>
          <w:marBottom w:val="0"/>
          <w:divBdr>
            <w:top w:val="none" w:sz="0" w:space="0" w:color="auto"/>
            <w:left w:val="none" w:sz="0" w:space="0" w:color="auto"/>
            <w:bottom w:val="none" w:sz="0" w:space="0" w:color="auto"/>
            <w:right w:val="none" w:sz="0" w:space="0" w:color="auto"/>
          </w:divBdr>
        </w:div>
        <w:div w:id="1452743411">
          <w:marLeft w:val="480"/>
          <w:marRight w:val="0"/>
          <w:marTop w:val="0"/>
          <w:marBottom w:val="0"/>
          <w:divBdr>
            <w:top w:val="none" w:sz="0" w:space="0" w:color="auto"/>
            <w:left w:val="none" w:sz="0" w:space="0" w:color="auto"/>
            <w:bottom w:val="none" w:sz="0" w:space="0" w:color="auto"/>
            <w:right w:val="none" w:sz="0" w:space="0" w:color="auto"/>
          </w:divBdr>
        </w:div>
      </w:divsChild>
    </w:div>
    <w:div w:id="1744179135">
      <w:bodyDiv w:val="1"/>
      <w:marLeft w:val="0"/>
      <w:marRight w:val="0"/>
      <w:marTop w:val="0"/>
      <w:marBottom w:val="0"/>
      <w:divBdr>
        <w:top w:val="none" w:sz="0" w:space="0" w:color="auto"/>
        <w:left w:val="none" w:sz="0" w:space="0" w:color="auto"/>
        <w:bottom w:val="none" w:sz="0" w:space="0" w:color="auto"/>
        <w:right w:val="none" w:sz="0" w:space="0" w:color="auto"/>
      </w:divBdr>
    </w:div>
    <w:div w:id="1746343359">
      <w:bodyDiv w:val="1"/>
      <w:marLeft w:val="0"/>
      <w:marRight w:val="0"/>
      <w:marTop w:val="0"/>
      <w:marBottom w:val="0"/>
      <w:divBdr>
        <w:top w:val="none" w:sz="0" w:space="0" w:color="auto"/>
        <w:left w:val="none" w:sz="0" w:space="0" w:color="auto"/>
        <w:bottom w:val="none" w:sz="0" w:space="0" w:color="auto"/>
        <w:right w:val="none" w:sz="0" w:space="0" w:color="auto"/>
      </w:divBdr>
    </w:div>
    <w:div w:id="1749571953">
      <w:bodyDiv w:val="1"/>
      <w:marLeft w:val="0"/>
      <w:marRight w:val="0"/>
      <w:marTop w:val="0"/>
      <w:marBottom w:val="0"/>
      <w:divBdr>
        <w:top w:val="none" w:sz="0" w:space="0" w:color="auto"/>
        <w:left w:val="none" w:sz="0" w:space="0" w:color="auto"/>
        <w:bottom w:val="none" w:sz="0" w:space="0" w:color="auto"/>
        <w:right w:val="none" w:sz="0" w:space="0" w:color="auto"/>
      </w:divBdr>
    </w:div>
    <w:div w:id="1752772491">
      <w:bodyDiv w:val="1"/>
      <w:marLeft w:val="0"/>
      <w:marRight w:val="0"/>
      <w:marTop w:val="0"/>
      <w:marBottom w:val="0"/>
      <w:divBdr>
        <w:top w:val="none" w:sz="0" w:space="0" w:color="auto"/>
        <w:left w:val="none" w:sz="0" w:space="0" w:color="auto"/>
        <w:bottom w:val="none" w:sz="0" w:space="0" w:color="auto"/>
        <w:right w:val="none" w:sz="0" w:space="0" w:color="auto"/>
      </w:divBdr>
    </w:div>
    <w:div w:id="1755081999">
      <w:bodyDiv w:val="1"/>
      <w:marLeft w:val="0"/>
      <w:marRight w:val="0"/>
      <w:marTop w:val="0"/>
      <w:marBottom w:val="0"/>
      <w:divBdr>
        <w:top w:val="none" w:sz="0" w:space="0" w:color="auto"/>
        <w:left w:val="none" w:sz="0" w:space="0" w:color="auto"/>
        <w:bottom w:val="none" w:sz="0" w:space="0" w:color="auto"/>
        <w:right w:val="none" w:sz="0" w:space="0" w:color="auto"/>
      </w:divBdr>
    </w:div>
    <w:div w:id="1755197994">
      <w:bodyDiv w:val="1"/>
      <w:marLeft w:val="0"/>
      <w:marRight w:val="0"/>
      <w:marTop w:val="0"/>
      <w:marBottom w:val="0"/>
      <w:divBdr>
        <w:top w:val="none" w:sz="0" w:space="0" w:color="auto"/>
        <w:left w:val="none" w:sz="0" w:space="0" w:color="auto"/>
        <w:bottom w:val="none" w:sz="0" w:space="0" w:color="auto"/>
        <w:right w:val="none" w:sz="0" w:space="0" w:color="auto"/>
      </w:divBdr>
    </w:div>
    <w:div w:id="1760053869">
      <w:bodyDiv w:val="1"/>
      <w:marLeft w:val="0"/>
      <w:marRight w:val="0"/>
      <w:marTop w:val="0"/>
      <w:marBottom w:val="0"/>
      <w:divBdr>
        <w:top w:val="none" w:sz="0" w:space="0" w:color="auto"/>
        <w:left w:val="none" w:sz="0" w:space="0" w:color="auto"/>
        <w:bottom w:val="none" w:sz="0" w:space="0" w:color="auto"/>
        <w:right w:val="none" w:sz="0" w:space="0" w:color="auto"/>
      </w:divBdr>
    </w:div>
    <w:div w:id="1760635930">
      <w:bodyDiv w:val="1"/>
      <w:marLeft w:val="0"/>
      <w:marRight w:val="0"/>
      <w:marTop w:val="0"/>
      <w:marBottom w:val="0"/>
      <w:divBdr>
        <w:top w:val="none" w:sz="0" w:space="0" w:color="auto"/>
        <w:left w:val="none" w:sz="0" w:space="0" w:color="auto"/>
        <w:bottom w:val="none" w:sz="0" w:space="0" w:color="auto"/>
        <w:right w:val="none" w:sz="0" w:space="0" w:color="auto"/>
      </w:divBdr>
    </w:div>
    <w:div w:id="1762291190">
      <w:bodyDiv w:val="1"/>
      <w:marLeft w:val="0"/>
      <w:marRight w:val="0"/>
      <w:marTop w:val="0"/>
      <w:marBottom w:val="0"/>
      <w:divBdr>
        <w:top w:val="none" w:sz="0" w:space="0" w:color="auto"/>
        <w:left w:val="none" w:sz="0" w:space="0" w:color="auto"/>
        <w:bottom w:val="none" w:sz="0" w:space="0" w:color="auto"/>
        <w:right w:val="none" w:sz="0" w:space="0" w:color="auto"/>
      </w:divBdr>
    </w:div>
    <w:div w:id="1764062283">
      <w:bodyDiv w:val="1"/>
      <w:marLeft w:val="0"/>
      <w:marRight w:val="0"/>
      <w:marTop w:val="0"/>
      <w:marBottom w:val="0"/>
      <w:divBdr>
        <w:top w:val="none" w:sz="0" w:space="0" w:color="auto"/>
        <w:left w:val="none" w:sz="0" w:space="0" w:color="auto"/>
        <w:bottom w:val="none" w:sz="0" w:space="0" w:color="auto"/>
        <w:right w:val="none" w:sz="0" w:space="0" w:color="auto"/>
      </w:divBdr>
    </w:div>
    <w:div w:id="1772049491">
      <w:bodyDiv w:val="1"/>
      <w:marLeft w:val="0"/>
      <w:marRight w:val="0"/>
      <w:marTop w:val="0"/>
      <w:marBottom w:val="0"/>
      <w:divBdr>
        <w:top w:val="none" w:sz="0" w:space="0" w:color="auto"/>
        <w:left w:val="none" w:sz="0" w:space="0" w:color="auto"/>
        <w:bottom w:val="none" w:sz="0" w:space="0" w:color="auto"/>
        <w:right w:val="none" w:sz="0" w:space="0" w:color="auto"/>
      </w:divBdr>
    </w:div>
    <w:div w:id="1773278702">
      <w:bodyDiv w:val="1"/>
      <w:marLeft w:val="0"/>
      <w:marRight w:val="0"/>
      <w:marTop w:val="0"/>
      <w:marBottom w:val="0"/>
      <w:divBdr>
        <w:top w:val="none" w:sz="0" w:space="0" w:color="auto"/>
        <w:left w:val="none" w:sz="0" w:space="0" w:color="auto"/>
        <w:bottom w:val="none" w:sz="0" w:space="0" w:color="auto"/>
        <w:right w:val="none" w:sz="0" w:space="0" w:color="auto"/>
      </w:divBdr>
    </w:div>
    <w:div w:id="1778063530">
      <w:bodyDiv w:val="1"/>
      <w:marLeft w:val="0"/>
      <w:marRight w:val="0"/>
      <w:marTop w:val="0"/>
      <w:marBottom w:val="0"/>
      <w:divBdr>
        <w:top w:val="none" w:sz="0" w:space="0" w:color="auto"/>
        <w:left w:val="none" w:sz="0" w:space="0" w:color="auto"/>
        <w:bottom w:val="none" w:sz="0" w:space="0" w:color="auto"/>
        <w:right w:val="none" w:sz="0" w:space="0" w:color="auto"/>
      </w:divBdr>
    </w:div>
    <w:div w:id="1784691980">
      <w:bodyDiv w:val="1"/>
      <w:marLeft w:val="0"/>
      <w:marRight w:val="0"/>
      <w:marTop w:val="0"/>
      <w:marBottom w:val="0"/>
      <w:divBdr>
        <w:top w:val="none" w:sz="0" w:space="0" w:color="auto"/>
        <w:left w:val="none" w:sz="0" w:space="0" w:color="auto"/>
        <w:bottom w:val="none" w:sz="0" w:space="0" w:color="auto"/>
        <w:right w:val="none" w:sz="0" w:space="0" w:color="auto"/>
      </w:divBdr>
    </w:div>
    <w:div w:id="1785465547">
      <w:bodyDiv w:val="1"/>
      <w:marLeft w:val="0"/>
      <w:marRight w:val="0"/>
      <w:marTop w:val="0"/>
      <w:marBottom w:val="0"/>
      <w:divBdr>
        <w:top w:val="none" w:sz="0" w:space="0" w:color="auto"/>
        <w:left w:val="none" w:sz="0" w:space="0" w:color="auto"/>
        <w:bottom w:val="none" w:sz="0" w:space="0" w:color="auto"/>
        <w:right w:val="none" w:sz="0" w:space="0" w:color="auto"/>
      </w:divBdr>
    </w:div>
    <w:div w:id="1786538532">
      <w:bodyDiv w:val="1"/>
      <w:marLeft w:val="0"/>
      <w:marRight w:val="0"/>
      <w:marTop w:val="0"/>
      <w:marBottom w:val="0"/>
      <w:divBdr>
        <w:top w:val="none" w:sz="0" w:space="0" w:color="auto"/>
        <w:left w:val="none" w:sz="0" w:space="0" w:color="auto"/>
        <w:bottom w:val="none" w:sz="0" w:space="0" w:color="auto"/>
        <w:right w:val="none" w:sz="0" w:space="0" w:color="auto"/>
      </w:divBdr>
    </w:div>
    <w:div w:id="1786852565">
      <w:bodyDiv w:val="1"/>
      <w:marLeft w:val="0"/>
      <w:marRight w:val="0"/>
      <w:marTop w:val="0"/>
      <w:marBottom w:val="0"/>
      <w:divBdr>
        <w:top w:val="none" w:sz="0" w:space="0" w:color="auto"/>
        <w:left w:val="none" w:sz="0" w:space="0" w:color="auto"/>
        <w:bottom w:val="none" w:sz="0" w:space="0" w:color="auto"/>
        <w:right w:val="none" w:sz="0" w:space="0" w:color="auto"/>
      </w:divBdr>
    </w:div>
    <w:div w:id="1787121474">
      <w:bodyDiv w:val="1"/>
      <w:marLeft w:val="0"/>
      <w:marRight w:val="0"/>
      <w:marTop w:val="0"/>
      <w:marBottom w:val="0"/>
      <w:divBdr>
        <w:top w:val="none" w:sz="0" w:space="0" w:color="auto"/>
        <w:left w:val="none" w:sz="0" w:space="0" w:color="auto"/>
        <w:bottom w:val="none" w:sz="0" w:space="0" w:color="auto"/>
        <w:right w:val="none" w:sz="0" w:space="0" w:color="auto"/>
      </w:divBdr>
    </w:div>
    <w:div w:id="1789272551">
      <w:bodyDiv w:val="1"/>
      <w:marLeft w:val="0"/>
      <w:marRight w:val="0"/>
      <w:marTop w:val="0"/>
      <w:marBottom w:val="0"/>
      <w:divBdr>
        <w:top w:val="none" w:sz="0" w:space="0" w:color="auto"/>
        <w:left w:val="none" w:sz="0" w:space="0" w:color="auto"/>
        <w:bottom w:val="none" w:sz="0" w:space="0" w:color="auto"/>
        <w:right w:val="none" w:sz="0" w:space="0" w:color="auto"/>
      </w:divBdr>
    </w:div>
    <w:div w:id="1791587041">
      <w:bodyDiv w:val="1"/>
      <w:marLeft w:val="0"/>
      <w:marRight w:val="0"/>
      <w:marTop w:val="0"/>
      <w:marBottom w:val="0"/>
      <w:divBdr>
        <w:top w:val="none" w:sz="0" w:space="0" w:color="auto"/>
        <w:left w:val="none" w:sz="0" w:space="0" w:color="auto"/>
        <w:bottom w:val="none" w:sz="0" w:space="0" w:color="auto"/>
        <w:right w:val="none" w:sz="0" w:space="0" w:color="auto"/>
      </w:divBdr>
    </w:div>
    <w:div w:id="1791704325">
      <w:bodyDiv w:val="1"/>
      <w:marLeft w:val="0"/>
      <w:marRight w:val="0"/>
      <w:marTop w:val="0"/>
      <w:marBottom w:val="0"/>
      <w:divBdr>
        <w:top w:val="none" w:sz="0" w:space="0" w:color="auto"/>
        <w:left w:val="none" w:sz="0" w:space="0" w:color="auto"/>
        <w:bottom w:val="none" w:sz="0" w:space="0" w:color="auto"/>
        <w:right w:val="none" w:sz="0" w:space="0" w:color="auto"/>
      </w:divBdr>
    </w:div>
    <w:div w:id="1791775178">
      <w:bodyDiv w:val="1"/>
      <w:marLeft w:val="0"/>
      <w:marRight w:val="0"/>
      <w:marTop w:val="0"/>
      <w:marBottom w:val="0"/>
      <w:divBdr>
        <w:top w:val="none" w:sz="0" w:space="0" w:color="auto"/>
        <w:left w:val="none" w:sz="0" w:space="0" w:color="auto"/>
        <w:bottom w:val="none" w:sz="0" w:space="0" w:color="auto"/>
        <w:right w:val="none" w:sz="0" w:space="0" w:color="auto"/>
      </w:divBdr>
    </w:div>
    <w:div w:id="1795706622">
      <w:bodyDiv w:val="1"/>
      <w:marLeft w:val="0"/>
      <w:marRight w:val="0"/>
      <w:marTop w:val="0"/>
      <w:marBottom w:val="0"/>
      <w:divBdr>
        <w:top w:val="none" w:sz="0" w:space="0" w:color="auto"/>
        <w:left w:val="none" w:sz="0" w:space="0" w:color="auto"/>
        <w:bottom w:val="none" w:sz="0" w:space="0" w:color="auto"/>
        <w:right w:val="none" w:sz="0" w:space="0" w:color="auto"/>
      </w:divBdr>
    </w:div>
    <w:div w:id="1796871778">
      <w:bodyDiv w:val="1"/>
      <w:marLeft w:val="0"/>
      <w:marRight w:val="0"/>
      <w:marTop w:val="0"/>
      <w:marBottom w:val="0"/>
      <w:divBdr>
        <w:top w:val="none" w:sz="0" w:space="0" w:color="auto"/>
        <w:left w:val="none" w:sz="0" w:space="0" w:color="auto"/>
        <w:bottom w:val="none" w:sz="0" w:space="0" w:color="auto"/>
        <w:right w:val="none" w:sz="0" w:space="0" w:color="auto"/>
      </w:divBdr>
    </w:div>
    <w:div w:id="1798064973">
      <w:bodyDiv w:val="1"/>
      <w:marLeft w:val="0"/>
      <w:marRight w:val="0"/>
      <w:marTop w:val="0"/>
      <w:marBottom w:val="0"/>
      <w:divBdr>
        <w:top w:val="none" w:sz="0" w:space="0" w:color="auto"/>
        <w:left w:val="none" w:sz="0" w:space="0" w:color="auto"/>
        <w:bottom w:val="none" w:sz="0" w:space="0" w:color="auto"/>
        <w:right w:val="none" w:sz="0" w:space="0" w:color="auto"/>
      </w:divBdr>
    </w:div>
    <w:div w:id="1800997623">
      <w:bodyDiv w:val="1"/>
      <w:marLeft w:val="0"/>
      <w:marRight w:val="0"/>
      <w:marTop w:val="0"/>
      <w:marBottom w:val="0"/>
      <w:divBdr>
        <w:top w:val="none" w:sz="0" w:space="0" w:color="auto"/>
        <w:left w:val="none" w:sz="0" w:space="0" w:color="auto"/>
        <w:bottom w:val="none" w:sz="0" w:space="0" w:color="auto"/>
        <w:right w:val="none" w:sz="0" w:space="0" w:color="auto"/>
      </w:divBdr>
    </w:div>
    <w:div w:id="1805345852">
      <w:bodyDiv w:val="1"/>
      <w:marLeft w:val="0"/>
      <w:marRight w:val="0"/>
      <w:marTop w:val="0"/>
      <w:marBottom w:val="0"/>
      <w:divBdr>
        <w:top w:val="none" w:sz="0" w:space="0" w:color="auto"/>
        <w:left w:val="none" w:sz="0" w:space="0" w:color="auto"/>
        <w:bottom w:val="none" w:sz="0" w:space="0" w:color="auto"/>
        <w:right w:val="none" w:sz="0" w:space="0" w:color="auto"/>
      </w:divBdr>
    </w:div>
    <w:div w:id="1806267716">
      <w:bodyDiv w:val="1"/>
      <w:marLeft w:val="0"/>
      <w:marRight w:val="0"/>
      <w:marTop w:val="0"/>
      <w:marBottom w:val="0"/>
      <w:divBdr>
        <w:top w:val="none" w:sz="0" w:space="0" w:color="auto"/>
        <w:left w:val="none" w:sz="0" w:space="0" w:color="auto"/>
        <w:bottom w:val="none" w:sz="0" w:space="0" w:color="auto"/>
        <w:right w:val="none" w:sz="0" w:space="0" w:color="auto"/>
      </w:divBdr>
    </w:div>
    <w:div w:id="1807501460">
      <w:bodyDiv w:val="1"/>
      <w:marLeft w:val="0"/>
      <w:marRight w:val="0"/>
      <w:marTop w:val="0"/>
      <w:marBottom w:val="0"/>
      <w:divBdr>
        <w:top w:val="none" w:sz="0" w:space="0" w:color="auto"/>
        <w:left w:val="none" w:sz="0" w:space="0" w:color="auto"/>
        <w:bottom w:val="none" w:sz="0" w:space="0" w:color="auto"/>
        <w:right w:val="none" w:sz="0" w:space="0" w:color="auto"/>
      </w:divBdr>
    </w:div>
    <w:div w:id="1814440277">
      <w:bodyDiv w:val="1"/>
      <w:marLeft w:val="0"/>
      <w:marRight w:val="0"/>
      <w:marTop w:val="0"/>
      <w:marBottom w:val="0"/>
      <w:divBdr>
        <w:top w:val="none" w:sz="0" w:space="0" w:color="auto"/>
        <w:left w:val="none" w:sz="0" w:space="0" w:color="auto"/>
        <w:bottom w:val="none" w:sz="0" w:space="0" w:color="auto"/>
        <w:right w:val="none" w:sz="0" w:space="0" w:color="auto"/>
      </w:divBdr>
    </w:div>
    <w:div w:id="1815416289">
      <w:bodyDiv w:val="1"/>
      <w:marLeft w:val="0"/>
      <w:marRight w:val="0"/>
      <w:marTop w:val="0"/>
      <w:marBottom w:val="0"/>
      <w:divBdr>
        <w:top w:val="none" w:sz="0" w:space="0" w:color="auto"/>
        <w:left w:val="none" w:sz="0" w:space="0" w:color="auto"/>
        <w:bottom w:val="none" w:sz="0" w:space="0" w:color="auto"/>
        <w:right w:val="none" w:sz="0" w:space="0" w:color="auto"/>
      </w:divBdr>
    </w:div>
    <w:div w:id="1819102611">
      <w:bodyDiv w:val="1"/>
      <w:marLeft w:val="0"/>
      <w:marRight w:val="0"/>
      <w:marTop w:val="0"/>
      <w:marBottom w:val="0"/>
      <w:divBdr>
        <w:top w:val="none" w:sz="0" w:space="0" w:color="auto"/>
        <w:left w:val="none" w:sz="0" w:space="0" w:color="auto"/>
        <w:bottom w:val="none" w:sz="0" w:space="0" w:color="auto"/>
        <w:right w:val="none" w:sz="0" w:space="0" w:color="auto"/>
      </w:divBdr>
    </w:div>
    <w:div w:id="1820606392">
      <w:bodyDiv w:val="1"/>
      <w:marLeft w:val="0"/>
      <w:marRight w:val="0"/>
      <w:marTop w:val="0"/>
      <w:marBottom w:val="0"/>
      <w:divBdr>
        <w:top w:val="none" w:sz="0" w:space="0" w:color="auto"/>
        <w:left w:val="none" w:sz="0" w:space="0" w:color="auto"/>
        <w:bottom w:val="none" w:sz="0" w:space="0" w:color="auto"/>
        <w:right w:val="none" w:sz="0" w:space="0" w:color="auto"/>
      </w:divBdr>
    </w:div>
    <w:div w:id="1823692933">
      <w:bodyDiv w:val="1"/>
      <w:marLeft w:val="0"/>
      <w:marRight w:val="0"/>
      <w:marTop w:val="0"/>
      <w:marBottom w:val="0"/>
      <w:divBdr>
        <w:top w:val="none" w:sz="0" w:space="0" w:color="auto"/>
        <w:left w:val="none" w:sz="0" w:space="0" w:color="auto"/>
        <w:bottom w:val="none" w:sz="0" w:space="0" w:color="auto"/>
        <w:right w:val="none" w:sz="0" w:space="0" w:color="auto"/>
      </w:divBdr>
    </w:div>
    <w:div w:id="1826358447">
      <w:bodyDiv w:val="1"/>
      <w:marLeft w:val="0"/>
      <w:marRight w:val="0"/>
      <w:marTop w:val="0"/>
      <w:marBottom w:val="0"/>
      <w:divBdr>
        <w:top w:val="none" w:sz="0" w:space="0" w:color="auto"/>
        <w:left w:val="none" w:sz="0" w:space="0" w:color="auto"/>
        <w:bottom w:val="none" w:sz="0" w:space="0" w:color="auto"/>
        <w:right w:val="none" w:sz="0" w:space="0" w:color="auto"/>
      </w:divBdr>
    </w:div>
    <w:div w:id="1830436463">
      <w:bodyDiv w:val="1"/>
      <w:marLeft w:val="0"/>
      <w:marRight w:val="0"/>
      <w:marTop w:val="0"/>
      <w:marBottom w:val="0"/>
      <w:divBdr>
        <w:top w:val="none" w:sz="0" w:space="0" w:color="auto"/>
        <w:left w:val="none" w:sz="0" w:space="0" w:color="auto"/>
        <w:bottom w:val="none" w:sz="0" w:space="0" w:color="auto"/>
        <w:right w:val="none" w:sz="0" w:space="0" w:color="auto"/>
      </w:divBdr>
    </w:div>
    <w:div w:id="1830945146">
      <w:bodyDiv w:val="1"/>
      <w:marLeft w:val="0"/>
      <w:marRight w:val="0"/>
      <w:marTop w:val="0"/>
      <w:marBottom w:val="0"/>
      <w:divBdr>
        <w:top w:val="none" w:sz="0" w:space="0" w:color="auto"/>
        <w:left w:val="none" w:sz="0" w:space="0" w:color="auto"/>
        <w:bottom w:val="none" w:sz="0" w:space="0" w:color="auto"/>
        <w:right w:val="none" w:sz="0" w:space="0" w:color="auto"/>
      </w:divBdr>
    </w:div>
    <w:div w:id="1834493052">
      <w:bodyDiv w:val="1"/>
      <w:marLeft w:val="0"/>
      <w:marRight w:val="0"/>
      <w:marTop w:val="0"/>
      <w:marBottom w:val="0"/>
      <w:divBdr>
        <w:top w:val="none" w:sz="0" w:space="0" w:color="auto"/>
        <w:left w:val="none" w:sz="0" w:space="0" w:color="auto"/>
        <w:bottom w:val="none" w:sz="0" w:space="0" w:color="auto"/>
        <w:right w:val="none" w:sz="0" w:space="0" w:color="auto"/>
      </w:divBdr>
    </w:div>
    <w:div w:id="1841850377">
      <w:bodyDiv w:val="1"/>
      <w:marLeft w:val="0"/>
      <w:marRight w:val="0"/>
      <w:marTop w:val="0"/>
      <w:marBottom w:val="0"/>
      <w:divBdr>
        <w:top w:val="none" w:sz="0" w:space="0" w:color="auto"/>
        <w:left w:val="none" w:sz="0" w:space="0" w:color="auto"/>
        <w:bottom w:val="none" w:sz="0" w:space="0" w:color="auto"/>
        <w:right w:val="none" w:sz="0" w:space="0" w:color="auto"/>
      </w:divBdr>
    </w:div>
    <w:div w:id="1845051267">
      <w:bodyDiv w:val="1"/>
      <w:marLeft w:val="0"/>
      <w:marRight w:val="0"/>
      <w:marTop w:val="0"/>
      <w:marBottom w:val="0"/>
      <w:divBdr>
        <w:top w:val="none" w:sz="0" w:space="0" w:color="auto"/>
        <w:left w:val="none" w:sz="0" w:space="0" w:color="auto"/>
        <w:bottom w:val="none" w:sz="0" w:space="0" w:color="auto"/>
        <w:right w:val="none" w:sz="0" w:space="0" w:color="auto"/>
      </w:divBdr>
    </w:div>
    <w:div w:id="1846480020">
      <w:bodyDiv w:val="1"/>
      <w:marLeft w:val="0"/>
      <w:marRight w:val="0"/>
      <w:marTop w:val="0"/>
      <w:marBottom w:val="0"/>
      <w:divBdr>
        <w:top w:val="none" w:sz="0" w:space="0" w:color="auto"/>
        <w:left w:val="none" w:sz="0" w:space="0" w:color="auto"/>
        <w:bottom w:val="none" w:sz="0" w:space="0" w:color="auto"/>
        <w:right w:val="none" w:sz="0" w:space="0" w:color="auto"/>
      </w:divBdr>
    </w:div>
    <w:div w:id="1853062792">
      <w:bodyDiv w:val="1"/>
      <w:marLeft w:val="0"/>
      <w:marRight w:val="0"/>
      <w:marTop w:val="0"/>
      <w:marBottom w:val="0"/>
      <w:divBdr>
        <w:top w:val="none" w:sz="0" w:space="0" w:color="auto"/>
        <w:left w:val="none" w:sz="0" w:space="0" w:color="auto"/>
        <w:bottom w:val="none" w:sz="0" w:space="0" w:color="auto"/>
        <w:right w:val="none" w:sz="0" w:space="0" w:color="auto"/>
      </w:divBdr>
    </w:div>
    <w:div w:id="1857764100">
      <w:bodyDiv w:val="1"/>
      <w:marLeft w:val="0"/>
      <w:marRight w:val="0"/>
      <w:marTop w:val="0"/>
      <w:marBottom w:val="0"/>
      <w:divBdr>
        <w:top w:val="none" w:sz="0" w:space="0" w:color="auto"/>
        <w:left w:val="none" w:sz="0" w:space="0" w:color="auto"/>
        <w:bottom w:val="none" w:sz="0" w:space="0" w:color="auto"/>
        <w:right w:val="none" w:sz="0" w:space="0" w:color="auto"/>
      </w:divBdr>
    </w:div>
    <w:div w:id="1858887429">
      <w:bodyDiv w:val="1"/>
      <w:marLeft w:val="0"/>
      <w:marRight w:val="0"/>
      <w:marTop w:val="0"/>
      <w:marBottom w:val="0"/>
      <w:divBdr>
        <w:top w:val="none" w:sz="0" w:space="0" w:color="auto"/>
        <w:left w:val="none" w:sz="0" w:space="0" w:color="auto"/>
        <w:bottom w:val="none" w:sz="0" w:space="0" w:color="auto"/>
        <w:right w:val="none" w:sz="0" w:space="0" w:color="auto"/>
      </w:divBdr>
    </w:div>
    <w:div w:id="1859812605">
      <w:bodyDiv w:val="1"/>
      <w:marLeft w:val="0"/>
      <w:marRight w:val="0"/>
      <w:marTop w:val="0"/>
      <w:marBottom w:val="0"/>
      <w:divBdr>
        <w:top w:val="none" w:sz="0" w:space="0" w:color="auto"/>
        <w:left w:val="none" w:sz="0" w:space="0" w:color="auto"/>
        <w:bottom w:val="none" w:sz="0" w:space="0" w:color="auto"/>
        <w:right w:val="none" w:sz="0" w:space="0" w:color="auto"/>
      </w:divBdr>
    </w:div>
    <w:div w:id="1860311223">
      <w:bodyDiv w:val="1"/>
      <w:marLeft w:val="0"/>
      <w:marRight w:val="0"/>
      <w:marTop w:val="0"/>
      <w:marBottom w:val="0"/>
      <w:divBdr>
        <w:top w:val="none" w:sz="0" w:space="0" w:color="auto"/>
        <w:left w:val="none" w:sz="0" w:space="0" w:color="auto"/>
        <w:bottom w:val="none" w:sz="0" w:space="0" w:color="auto"/>
        <w:right w:val="none" w:sz="0" w:space="0" w:color="auto"/>
      </w:divBdr>
    </w:div>
    <w:div w:id="1861238318">
      <w:bodyDiv w:val="1"/>
      <w:marLeft w:val="0"/>
      <w:marRight w:val="0"/>
      <w:marTop w:val="0"/>
      <w:marBottom w:val="0"/>
      <w:divBdr>
        <w:top w:val="none" w:sz="0" w:space="0" w:color="auto"/>
        <w:left w:val="none" w:sz="0" w:space="0" w:color="auto"/>
        <w:bottom w:val="none" w:sz="0" w:space="0" w:color="auto"/>
        <w:right w:val="none" w:sz="0" w:space="0" w:color="auto"/>
      </w:divBdr>
    </w:div>
    <w:div w:id="1863203544">
      <w:bodyDiv w:val="1"/>
      <w:marLeft w:val="0"/>
      <w:marRight w:val="0"/>
      <w:marTop w:val="0"/>
      <w:marBottom w:val="0"/>
      <w:divBdr>
        <w:top w:val="none" w:sz="0" w:space="0" w:color="auto"/>
        <w:left w:val="none" w:sz="0" w:space="0" w:color="auto"/>
        <w:bottom w:val="none" w:sz="0" w:space="0" w:color="auto"/>
        <w:right w:val="none" w:sz="0" w:space="0" w:color="auto"/>
      </w:divBdr>
    </w:div>
    <w:div w:id="1864242158">
      <w:bodyDiv w:val="1"/>
      <w:marLeft w:val="0"/>
      <w:marRight w:val="0"/>
      <w:marTop w:val="0"/>
      <w:marBottom w:val="0"/>
      <w:divBdr>
        <w:top w:val="none" w:sz="0" w:space="0" w:color="auto"/>
        <w:left w:val="none" w:sz="0" w:space="0" w:color="auto"/>
        <w:bottom w:val="none" w:sz="0" w:space="0" w:color="auto"/>
        <w:right w:val="none" w:sz="0" w:space="0" w:color="auto"/>
      </w:divBdr>
    </w:div>
    <w:div w:id="1867253561">
      <w:bodyDiv w:val="1"/>
      <w:marLeft w:val="0"/>
      <w:marRight w:val="0"/>
      <w:marTop w:val="0"/>
      <w:marBottom w:val="0"/>
      <w:divBdr>
        <w:top w:val="none" w:sz="0" w:space="0" w:color="auto"/>
        <w:left w:val="none" w:sz="0" w:space="0" w:color="auto"/>
        <w:bottom w:val="none" w:sz="0" w:space="0" w:color="auto"/>
        <w:right w:val="none" w:sz="0" w:space="0" w:color="auto"/>
      </w:divBdr>
    </w:div>
    <w:div w:id="1869680637">
      <w:bodyDiv w:val="1"/>
      <w:marLeft w:val="0"/>
      <w:marRight w:val="0"/>
      <w:marTop w:val="0"/>
      <w:marBottom w:val="0"/>
      <w:divBdr>
        <w:top w:val="none" w:sz="0" w:space="0" w:color="auto"/>
        <w:left w:val="none" w:sz="0" w:space="0" w:color="auto"/>
        <w:bottom w:val="none" w:sz="0" w:space="0" w:color="auto"/>
        <w:right w:val="none" w:sz="0" w:space="0" w:color="auto"/>
      </w:divBdr>
    </w:div>
    <w:div w:id="1871674905">
      <w:bodyDiv w:val="1"/>
      <w:marLeft w:val="0"/>
      <w:marRight w:val="0"/>
      <w:marTop w:val="0"/>
      <w:marBottom w:val="0"/>
      <w:divBdr>
        <w:top w:val="none" w:sz="0" w:space="0" w:color="auto"/>
        <w:left w:val="none" w:sz="0" w:space="0" w:color="auto"/>
        <w:bottom w:val="none" w:sz="0" w:space="0" w:color="auto"/>
        <w:right w:val="none" w:sz="0" w:space="0" w:color="auto"/>
      </w:divBdr>
    </w:div>
    <w:div w:id="1874608069">
      <w:bodyDiv w:val="1"/>
      <w:marLeft w:val="0"/>
      <w:marRight w:val="0"/>
      <w:marTop w:val="0"/>
      <w:marBottom w:val="0"/>
      <w:divBdr>
        <w:top w:val="none" w:sz="0" w:space="0" w:color="auto"/>
        <w:left w:val="none" w:sz="0" w:space="0" w:color="auto"/>
        <w:bottom w:val="none" w:sz="0" w:space="0" w:color="auto"/>
        <w:right w:val="none" w:sz="0" w:space="0" w:color="auto"/>
      </w:divBdr>
    </w:div>
    <w:div w:id="1877305781">
      <w:bodyDiv w:val="1"/>
      <w:marLeft w:val="0"/>
      <w:marRight w:val="0"/>
      <w:marTop w:val="0"/>
      <w:marBottom w:val="0"/>
      <w:divBdr>
        <w:top w:val="none" w:sz="0" w:space="0" w:color="auto"/>
        <w:left w:val="none" w:sz="0" w:space="0" w:color="auto"/>
        <w:bottom w:val="none" w:sz="0" w:space="0" w:color="auto"/>
        <w:right w:val="none" w:sz="0" w:space="0" w:color="auto"/>
      </w:divBdr>
    </w:div>
    <w:div w:id="1878200388">
      <w:bodyDiv w:val="1"/>
      <w:marLeft w:val="0"/>
      <w:marRight w:val="0"/>
      <w:marTop w:val="0"/>
      <w:marBottom w:val="0"/>
      <w:divBdr>
        <w:top w:val="none" w:sz="0" w:space="0" w:color="auto"/>
        <w:left w:val="none" w:sz="0" w:space="0" w:color="auto"/>
        <w:bottom w:val="none" w:sz="0" w:space="0" w:color="auto"/>
        <w:right w:val="none" w:sz="0" w:space="0" w:color="auto"/>
      </w:divBdr>
    </w:div>
    <w:div w:id="1879470174">
      <w:bodyDiv w:val="1"/>
      <w:marLeft w:val="0"/>
      <w:marRight w:val="0"/>
      <w:marTop w:val="0"/>
      <w:marBottom w:val="0"/>
      <w:divBdr>
        <w:top w:val="none" w:sz="0" w:space="0" w:color="auto"/>
        <w:left w:val="none" w:sz="0" w:space="0" w:color="auto"/>
        <w:bottom w:val="none" w:sz="0" w:space="0" w:color="auto"/>
        <w:right w:val="none" w:sz="0" w:space="0" w:color="auto"/>
      </w:divBdr>
    </w:div>
    <w:div w:id="1880974041">
      <w:bodyDiv w:val="1"/>
      <w:marLeft w:val="0"/>
      <w:marRight w:val="0"/>
      <w:marTop w:val="0"/>
      <w:marBottom w:val="0"/>
      <w:divBdr>
        <w:top w:val="none" w:sz="0" w:space="0" w:color="auto"/>
        <w:left w:val="none" w:sz="0" w:space="0" w:color="auto"/>
        <w:bottom w:val="none" w:sz="0" w:space="0" w:color="auto"/>
        <w:right w:val="none" w:sz="0" w:space="0" w:color="auto"/>
      </w:divBdr>
    </w:div>
    <w:div w:id="1887643067">
      <w:bodyDiv w:val="1"/>
      <w:marLeft w:val="0"/>
      <w:marRight w:val="0"/>
      <w:marTop w:val="0"/>
      <w:marBottom w:val="0"/>
      <w:divBdr>
        <w:top w:val="none" w:sz="0" w:space="0" w:color="auto"/>
        <w:left w:val="none" w:sz="0" w:space="0" w:color="auto"/>
        <w:bottom w:val="none" w:sz="0" w:space="0" w:color="auto"/>
        <w:right w:val="none" w:sz="0" w:space="0" w:color="auto"/>
      </w:divBdr>
    </w:div>
    <w:div w:id="1901557671">
      <w:bodyDiv w:val="1"/>
      <w:marLeft w:val="0"/>
      <w:marRight w:val="0"/>
      <w:marTop w:val="0"/>
      <w:marBottom w:val="0"/>
      <w:divBdr>
        <w:top w:val="none" w:sz="0" w:space="0" w:color="auto"/>
        <w:left w:val="none" w:sz="0" w:space="0" w:color="auto"/>
        <w:bottom w:val="none" w:sz="0" w:space="0" w:color="auto"/>
        <w:right w:val="none" w:sz="0" w:space="0" w:color="auto"/>
      </w:divBdr>
    </w:div>
    <w:div w:id="1908416471">
      <w:bodyDiv w:val="1"/>
      <w:marLeft w:val="0"/>
      <w:marRight w:val="0"/>
      <w:marTop w:val="0"/>
      <w:marBottom w:val="0"/>
      <w:divBdr>
        <w:top w:val="none" w:sz="0" w:space="0" w:color="auto"/>
        <w:left w:val="none" w:sz="0" w:space="0" w:color="auto"/>
        <w:bottom w:val="none" w:sz="0" w:space="0" w:color="auto"/>
        <w:right w:val="none" w:sz="0" w:space="0" w:color="auto"/>
      </w:divBdr>
    </w:div>
    <w:div w:id="1909916796">
      <w:bodyDiv w:val="1"/>
      <w:marLeft w:val="0"/>
      <w:marRight w:val="0"/>
      <w:marTop w:val="0"/>
      <w:marBottom w:val="0"/>
      <w:divBdr>
        <w:top w:val="none" w:sz="0" w:space="0" w:color="auto"/>
        <w:left w:val="none" w:sz="0" w:space="0" w:color="auto"/>
        <w:bottom w:val="none" w:sz="0" w:space="0" w:color="auto"/>
        <w:right w:val="none" w:sz="0" w:space="0" w:color="auto"/>
      </w:divBdr>
    </w:div>
    <w:div w:id="1911696730">
      <w:bodyDiv w:val="1"/>
      <w:marLeft w:val="0"/>
      <w:marRight w:val="0"/>
      <w:marTop w:val="0"/>
      <w:marBottom w:val="0"/>
      <w:divBdr>
        <w:top w:val="none" w:sz="0" w:space="0" w:color="auto"/>
        <w:left w:val="none" w:sz="0" w:space="0" w:color="auto"/>
        <w:bottom w:val="none" w:sz="0" w:space="0" w:color="auto"/>
        <w:right w:val="none" w:sz="0" w:space="0" w:color="auto"/>
      </w:divBdr>
    </w:div>
    <w:div w:id="1914965906">
      <w:bodyDiv w:val="1"/>
      <w:marLeft w:val="0"/>
      <w:marRight w:val="0"/>
      <w:marTop w:val="0"/>
      <w:marBottom w:val="0"/>
      <w:divBdr>
        <w:top w:val="none" w:sz="0" w:space="0" w:color="auto"/>
        <w:left w:val="none" w:sz="0" w:space="0" w:color="auto"/>
        <w:bottom w:val="none" w:sz="0" w:space="0" w:color="auto"/>
        <w:right w:val="none" w:sz="0" w:space="0" w:color="auto"/>
      </w:divBdr>
    </w:div>
    <w:div w:id="1920092752">
      <w:bodyDiv w:val="1"/>
      <w:marLeft w:val="0"/>
      <w:marRight w:val="0"/>
      <w:marTop w:val="0"/>
      <w:marBottom w:val="0"/>
      <w:divBdr>
        <w:top w:val="none" w:sz="0" w:space="0" w:color="auto"/>
        <w:left w:val="none" w:sz="0" w:space="0" w:color="auto"/>
        <w:bottom w:val="none" w:sz="0" w:space="0" w:color="auto"/>
        <w:right w:val="none" w:sz="0" w:space="0" w:color="auto"/>
      </w:divBdr>
    </w:div>
    <w:div w:id="1923025343">
      <w:bodyDiv w:val="1"/>
      <w:marLeft w:val="0"/>
      <w:marRight w:val="0"/>
      <w:marTop w:val="0"/>
      <w:marBottom w:val="0"/>
      <w:divBdr>
        <w:top w:val="none" w:sz="0" w:space="0" w:color="auto"/>
        <w:left w:val="none" w:sz="0" w:space="0" w:color="auto"/>
        <w:bottom w:val="none" w:sz="0" w:space="0" w:color="auto"/>
        <w:right w:val="none" w:sz="0" w:space="0" w:color="auto"/>
      </w:divBdr>
    </w:div>
    <w:div w:id="1926841952">
      <w:bodyDiv w:val="1"/>
      <w:marLeft w:val="0"/>
      <w:marRight w:val="0"/>
      <w:marTop w:val="0"/>
      <w:marBottom w:val="0"/>
      <w:divBdr>
        <w:top w:val="none" w:sz="0" w:space="0" w:color="auto"/>
        <w:left w:val="none" w:sz="0" w:space="0" w:color="auto"/>
        <w:bottom w:val="none" w:sz="0" w:space="0" w:color="auto"/>
        <w:right w:val="none" w:sz="0" w:space="0" w:color="auto"/>
      </w:divBdr>
    </w:div>
    <w:div w:id="1929734680">
      <w:bodyDiv w:val="1"/>
      <w:marLeft w:val="0"/>
      <w:marRight w:val="0"/>
      <w:marTop w:val="0"/>
      <w:marBottom w:val="0"/>
      <w:divBdr>
        <w:top w:val="none" w:sz="0" w:space="0" w:color="auto"/>
        <w:left w:val="none" w:sz="0" w:space="0" w:color="auto"/>
        <w:bottom w:val="none" w:sz="0" w:space="0" w:color="auto"/>
        <w:right w:val="none" w:sz="0" w:space="0" w:color="auto"/>
      </w:divBdr>
    </w:div>
    <w:div w:id="1931154751">
      <w:bodyDiv w:val="1"/>
      <w:marLeft w:val="0"/>
      <w:marRight w:val="0"/>
      <w:marTop w:val="0"/>
      <w:marBottom w:val="0"/>
      <w:divBdr>
        <w:top w:val="none" w:sz="0" w:space="0" w:color="auto"/>
        <w:left w:val="none" w:sz="0" w:space="0" w:color="auto"/>
        <w:bottom w:val="none" w:sz="0" w:space="0" w:color="auto"/>
        <w:right w:val="none" w:sz="0" w:space="0" w:color="auto"/>
      </w:divBdr>
    </w:div>
    <w:div w:id="1933274672">
      <w:bodyDiv w:val="1"/>
      <w:marLeft w:val="0"/>
      <w:marRight w:val="0"/>
      <w:marTop w:val="0"/>
      <w:marBottom w:val="0"/>
      <w:divBdr>
        <w:top w:val="none" w:sz="0" w:space="0" w:color="auto"/>
        <w:left w:val="none" w:sz="0" w:space="0" w:color="auto"/>
        <w:bottom w:val="none" w:sz="0" w:space="0" w:color="auto"/>
        <w:right w:val="none" w:sz="0" w:space="0" w:color="auto"/>
      </w:divBdr>
    </w:div>
    <w:div w:id="1933467085">
      <w:bodyDiv w:val="1"/>
      <w:marLeft w:val="0"/>
      <w:marRight w:val="0"/>
      <w:marTop w:val="0"/>
      <w:marBottom w:val="0"/>
      <w:divBdr>
        <w:top w:val="none" w:sz="0" w:space="0" w:color="auto"/>
        <w:left w:val="none" w:sz="0" w:space="0" w:color="auto"/>
        <w:bottom w:val="none" w:sz="0" w:space="0" w:color="auto"/>
        <w:right w:val="none" w:sz="0" w:space="0" w:color="auto"/>
      </w:divBdr>
    </w:div>
    <w:div w:id="1940288964">
      <w:bodyDiv w:val="1"/>
      <w:marLeft w:val="0"/>
      <w:marRight w:val="0"/>
      <w:marTop w:val="0"/>
      <w:marBottom w:val="0"/>
      <w:divBdr>
        <w:top w:val="none" w:sz="0" w:space="0" w:color="auto"/>
        <w:left w:val="none" w:sz="0" w:space="0" w:color="auto"/>
        <w:bottom w:val="none" w:sz="0" w:space="0" w:color="auto"/>
        <w:right w:val="none" w:sz="0" w:space="0" w:color="auto"/>
      </w:divBdr>
    </w:div>
    <w:div w:id="1940605691">
      <w:bodyDiv w:val="1"/>
      <w:marLeft w:val="0"/>
      <w:marRight w:val="0"/>
      <w:marTop w:val="0"/>
      <w:marBottom w:val="0"/>
      <w:divBdr>
        <w:top w:val="none" w:sz="0" w:space="0" w:color="auto"/>
        <w:left w:val="none" w:sz="0" w:space="0" w:color="auto"/>
        <w:bottom w:val="none" w:sz="0" w:space="0" w:color="auto"/>
        <w:right w:val="none" w:sz="0" w:space="0" w:color="auto"/>
      </w:divBdr>
    </w:div>
    <w:div w:id="1941183978">
      <w:bodyDiv w:val="1"/>
      <w:marLeft w:val="0"/>
      <w:marRight w:val="0"/>
      <w:marTop w:val="0"/>
      <w:marBottom w:val="0"/>
      <w:divBdr>
        <w:top w:val="none" w:sz="0" w:space="0" w:color="auto"/>
        <w:left w:val="none" w:sz="0" w:space="0" w:color="auto"/>
        <w:bottom w:val="none" w:sz="0" w:space="0" w:color="auto"/>
        <w:right w:val="none" w:sz="0" w:space="0" w:color="auto"/>
      </w:divBdr>
    </w:div>
    <w:div w:id="1941377218">
      <w:bodyDiv w:val="1"/>
      <w:marLeft w:val="0"/>
      <w:marRight w:val="0"/>
      <w:marTop w:val="0"/>
      <w:marBottom w:val="0"/>
      <w:divBdr>
        <w:top w:val="none" w:sz="0" w:space="0" w:color="auto"/>
        <w:left w:val="none" w:sz="0" w:space="0" w:color="auto"/>
        <w:bottom w:val="none" w:sz="0" w:space="0" w:color="auto"/>
        <w:right w:val="none" w:sz="0" w:space="0" w:color="auto"/>
      </w:divBdr>
    </w:div>
    <w:div w:id="1944218374">
      <w:bodyDiv w:val="1"/>
      <w:marLeft w:val="0"/>
      <w:marRight w:val="0"/>
      <w:marTop w:val="0"/>
      <w:marBottom w:val="0"/>
      <w:divBdr>
        <w:top w:val="none" w:sz="0" w:space="0" w:color="auto"/>
        <w:left w:val="none" w:sz="0" w:space="0" w:color="auto"/>
        <w:bottom w:val="none" w:sz="0" w:space="0" w:color="auto"/>
        <w:right w:val="none" w:sz="0" w:space="0" w:color="auto"/>
      </w:divBdr>
    </w:div>
    <w:div w:id="1945266011">
      <w:bodyDiv w:val="1"/>
      <w:marLeft w:val="0"/>
      <w:marRight w:val="0"/>
      <w:marTop w:val="0"/>
      <w:marBottom w:val="0"/>
      <w:divBdr>
        <w:top w:val="none" w:sz="0" w:space="0" w:color="auto"/>
        <w:left w:val="none" w:sz="0" w:space="0" w:color="auto"/>
        <w:bottom w:val="none" w:sz="0" w:space="0" w:color="auto"/>
        <w:right w:val="none" w:sz="0" w:space="0" w:color="auto"/>
      </w:divBdr>
    </w:div>
    <w:div w:id="1947695496">
      <w:bodyDiv w:val="1"/>
      <w:marLeft w:val="0"/>
      <w:marRight w:val="0"/>
      <w:marTop w:val="0"/>
      <w:marBottom w:val="0"/>
      <w:divBdr>
        <w:top w:val="none" w:sz="0" w:space="0" w:color="auto"/>
        <w:left w:val="none" w:sz="0" w:space="0" w:color="auto"/>
        <w:bottom w:val="none" w:sz="0" w:space="0" w:color="auto"/>
        <w:right w:val="none" w:sz="0" w:space="0" w:color="auto"/>
      </w:divBdr>
    </w:div>
    <w:div w:id="1949582217">
      <w:bodyDiv w:val="1"/>
      <w:marLeft w:val="0"/>
      <w:marRight w:val="0"/>
      <w:marTop w:val="0"/>
      <w:marBottom w:val="0"/>
      <w:divBdr>
        <w:top w:val="none" w:sz="0" w:space="0" w:color="auto"/>
        <w:left w:val="none" w:sz="0" w:space="0" w:color="auto"/>
        <w:bottom w:val="none" w:sz="0" w:space="0" w:color="auto"/>
        <w:right w:val="none" w:sz="0" w:space="0" w:color="auto"/>
      </w:divBdr>
    </w:div>
    <w:div w:id="1951007324">
      <w:bodyDiv w:val="1"/>
      <w:marLeft w:val="0"/>
      <w:marRight w:val="0"/>
      <w:marTop w:val="0"/>
      <w:marBottom w:val="0"/>
      <w:divBdr>
        <w:top w:val="none" w:sz="0" w:space="0" w:color="auto"/>
        <w:left w:val="none" w:sz="0" w:space="0" w:color="auto"/>
        <w:bottom w:val="none" w:sz="0" w:space="0" w:color="auto"/>
        <w:right w:val="none" w:sz="0" w:space="0" w:color="auto"/>
      </w:divBdr>
    </w:div>
    <w:div w:id="1953319911">
      <w:bodyDiv w:val="1"/>
      <w:marLeft w:val="0"/>
      <w:marRight w:val="0"/>
      <w:marTop w:val="0"/>
      <w:marBottom w:val="0"/>
      <w:divBdr>
        <w:top w:val="none" w:sz="0" w:space="0" w:color="auto"/>
        <w:left w:val="none" w:sz="0" w:space="0" w:color="auto"/>
        <w:bottom w:val="none" w:sz="0" w:space="0" w:color="auto"/>
        <w:right w:val="none" w:sz="0" w:space="0" w:color="auto"/>
      </w:divBdr>
    </w:div>
    <w:div w:id="1953586627">
      <w:bodyDiv w:val="1"/>
      <w:marLeft w:val="0"/>
      <w:marRight w:val="0"/>
      <w:marTop w:val="0"/>
      <w:marBottom w:val="0"/>
      <w:divBdr>
        <w:top w:val="none" w:sz="0" w:space="0" w:color="auto"/>
        <w:left w:val="none" w:sz="0" w:space="0" w:color="auto"/>
        <w:bottom w:val="none" w:sz="0" w:space="0" w:color="auto"/>
        <w:right w:val="none" w:sz="0" w:space="0" w:color="auto"/>
      </w:divBdr>
    </w:div>
    <w:div w:id="1958831682">
      <w:bodyDiv w:val="1"/>
      <w:marLeft w:val="0"/>
      <w:marRight w:val="0"/>
      <w:marTop w:val="0"/>
      <w:marBottom w:val="0"/>
      <w:divBdr>
        <w:top w:val="none" w:sz="0" w:space="0" w:color="auto"/>
        <w:left w:val="none" w:sz="0" w:space="0" w:color="auto"/>
        <w:bottom w:val="none" w:sz="0" w:space="0" w:color="auto"/>
        <w:right w:val="none" w:sz="0" w:space="0" w:color="auto"/>
      </w:divBdr>
    </w:div>
    <w:div w:id="1961060223">
      <w:bodyDiv w:val="1"/>
      <w:marLeft w:val="0"/>
      <w:marRight w:val="0"/>
      <w:marTop w:val="0"/>
      <w:marBottom w:val="0"/>
      <w:divBdr>
        <w:top w:val="none" w:sz="0" w:space="0" w:color="auto"/>
        <w:left w:val="none" w:sz="0" w:space="0" w:color="auto"/>
        <w:bottom w:val="none" w:sz="0" w:space="0" w:color="auto"/>
        <w:right w:val="none" w:sz="0" w:space="0" w:color="auto"/>
      </w:divBdr>
    </w:div>
    <w:div w:id="1976522572">
      <w:bodyDiv w:val="1"/>
      <w:marLeft w:val="0"/>
      <w:marRight w:val="0"/>
      <w:marTop w:val="0"/>
      <w:marBottom w:val="0"/>
      <w:divBdr>
        <w:top w:val="none" w:sz="0" w:space="0" w:color="auto"/>
        <w:left w:val="none" w:sz="0" w:space="0" w:color="auto"/>
        <w:bottom w:val="none" w:sz="0" w:space="0" w:color="auto"/>
        <w:right w:val="none" w:sz="0" w:space="0" w:color="auto"/>
      </w:divBdr>
    </w:div>
    <w:div w:id="1976639111">
      <w:bodyDiv w:val="1"/>
      <w:marLeft w:val="0"/>
      <w:marRight w:val="0"/>
      <w:marTop w:val="0"/>
      <w:marBottom w:val="0"/>
      <w:divBdr>
        <w:top w:val="none" w:sz="0" w:space="0" w:color="auto"/>
        <w:left w:val="none" w:sz="0" w:space="0" w:color="auto"/>
        <w:bottom w:val="none" w:sz="0" w:space="0" w:color="auto"/>
        <w:right w:val="none" w:sz="0" w:space="0" w:color="auto"/>
      </w:divBdr>
    </w:div>
    <w:div w:id="1980106947">
      <w:bodyDiv w:val="1"/>
      <w:marLeft w:val="0"/>
      <w:marRight w:val="0"/>
      <w:marTop w:val="0"/>
      <w:marBottom w:val="0"/>
      <w:divBdr>
        <w:top w:val="none" w:sz="0" w:space="0" w:color="auto"/>
        <w:left w:val="none" w:sz="0" w:space="0" w:color="auto"/>
        <w:bottom w:val="none" w:sz="0" w:space="0" w:color="auto"/>
        <w:right w:val="none" w:sz="0" w:space="0" w:color="auto"/>
      </w:divBdr>
    </w:div>
    <w:div w:id="1983271489">
      <w:bodyDiv w:val="1"/>
      <w:marLeft w:val="0"/>
      <w:marRight w:val="0"/>
      <w:marTop w:val="0"/>
      <w:marBottom w:val="0"/>
      <w:divBdr>
        <w:top w:val="none" w:sz="0" w:space="0" w:color="auto"/>
        <w:left w:val="none" w:sz="0" w:space="0" w:color="auto"/>
        <w:bottom w:val="none" w:sz="0" w:space="0" w:color="auto"/>
        <w:right w:val="none" w:sz="0" w:space="0" w:color="auto"/>
      </w:divBdr>
    </w:div>
    <w:div w:id="1991515347">
      <w:bodyDiv w:val="1"/>
      <w:marLeft w:val="0"/>
      <w:marRight w:val="0"/>
      <w:marTop w:val="0"/>
      <w:marBottom w:val="0"/>
      <w:divBdr>
        <w:top w:val="none" w:sz="0" w:space="0" w:color="auto"/>
        <w:left w:val="none" w:sz="0" w:space="0" w:color="auto"/>
        <w:bottom w:val="none" w:sz="0" w:space="0" w:color="auto"/>
        <w:right w:val="none" w:sz="0" w:space="0" w:color="auto"/>
      </w:divBdr>
    </w:div>
    <w:div w:id="1992519841">
      <w:bodyDiv w:val="1"/>
      <w:marLeft w:val="0"/>
      <w:marRight w:val="0"/>
      <w:marTop w:val="0"/>
      <w:marBottom w:val="0"/>
      <w:divBdr>
        <w:top w:val="none" w:sz="0" w:space="0" w:color="auto"/>
        <w:left w:val="none" w:sz="0" w:space="0" w:color="auto"/>
        <w:bottom w:val="none" w:sz="0" w:space="0" w:color="auto"/>
        <w:right w:val="none" w:sz="0" w:space="0" w:color="auto"/>
      </w:divBdr>
    </w:div>
    <w:div w:id="1992829500">
      <w:bodyDiv w:val="1"/>
      <w:marLeft w:val="0"/>
      <w:marRight w:val="0"/>
      <w:marTop w:val="0"/>
      <w:marBottom w:val="0"/>
      <w:divBdr>
        <w:top w:val="none" w:sz="0" w:space="0" w:color="auto"/>
        <w:left w:val="none" w:sz="0" w:space="0" w:color="auto"/>
        <w:bottom w:val="none" w:sz="0" w:space="0" w:color="auto"/>
        <w:right w:val="none" w:sz="0" w:space="0" w:color="auto"/>
      </w:divBdr>
    </w:div>
    <w:div w:id="1995992107">
      <w:bodyDiv w:val="1"/>
      <w:marLeft w:val="0"/>
      <w:marRight w:val="0"/>
      <w:marTop w:val="0"/>
      <w:marBottom w:val="0"/>
      <w:divBdr>
        <w:top w:val="none" w:sz="0" w:space="0" w:color="auto"/>
        <w:left w:val="none" w:sz="0" w:space="0" w:color="auto"/>
        <w:bottom w:val="none" w:sz="0" w:space="0" w:color="auto"/>
        <w:right w:val="none" w:sz="0" w:space="0" w:color="auto"/>
      </w:divBdr>
    </w:div>
    <w:div w:id="1996951287">
      <w:bodyDiv w:val="1"/>
      <w:marLeft w:val="0"/>
      <w:marRight w:val="0"/>
      <w:marTop w:val="0"/>
      <w:marBottom w:val="0"/>
      <w:divBdr>
        <w:top w:val="none" w:sz="0" w:space="0" w:color="auto"/>
        <w:left w:val="none" w:sz="0" w:space="0" w:color="auto"/>
        <w:bottom w:val="none" w:sz="0" w:space="0" w:color="auto"/>
        <w:right w:val="none" w:sz="0" w:space="0" w:color="auto"/>
      </w:divBdr>
    </w:div>
    <w:div w:id="1997150811">
      <w:bodyDiv w:val="1"/>
      <w:marLeft w:val="0"/>
      <w:marRight w:val="0"/>
      <w:marTop w:val="0"/>
      <w:marBottom w:val="0"/>
      <w:divBdr>
        <w:top w:val="none" w:sz="0" w:space="0" w:color="auto"/>
        <w:left w:val="none" w:sz="0" w:space="0" w:color="auto"/>
        <w:bottom w:val="none" w:sz="0" w:space="0" w:color="auto"/>
        <w:right w:val="none" w:sz="0" w:space="0" w:color="auto"/>
      </w:divBdr>
    </w:div>
    <w:div w:id="1998413431">
      <w:bodyDiv w:val="1"/>
      <w:marLeft w:val="0"/>
      <w:marRight w:val="0"/>
      <w:marTop w:val="0"/>
      <w:marBottom w:val="0"/>
      <w:divBdr>
        <w:top w:val="none" w:sz="0" w:space="0" w:color="auto"/>
        <w:left w:val="none" w:sz="0" w:space="0" w:color="auto"/>
        <w:bottom w:val="none" w:sz="0" w:space="0" w:color="auto"/>
        <w:right w:val="none" w:sz="0" w:space="0" w:color="auto"/>
      </w:divBdr>
    </w:div>
    <w:div w:id="1999259389">
      <w:bodyDiv w:val="1"/>
      <w:marLeft w:val="0"/>
      <w:marRight w:val="0"/>
      <w:marTop w:val="0"/>
      <w:marBottom w:val="0"/>
      <w:divBdr>
        <w:top w:val="none" w:sz="0" w:space="0" w:color="auto"/>
        <w:left w:val="none" w:sz="0" w:space="0" w:color="auto"/>
        <w:bottom w:val="none" w:sz="0" w:space="0" w:color="auto"/>
        <w:right w:val="none" w:sz="0" w:space="0" w:color="auto"/>
      </w:divBdr>
    </w:div>
    <w:div w:id="2002537717">
      <w:bodyDiv w:val="1"/>
      <w:marLeft w:val="0"/>
      <w:marRight w:val="0"/>
      <w:marTop w:val="0"/>
      <w:marBottom w:val="0"/>
      <w:divBdr>
        <w:top w:val="none" w:sz="0" w:space="0" w:color="auto"/>
        <w:left w:val="none" w:sz="0" w:space="0" w:color="auto"/>
        <w:bottom w:val="none" w:sz="0" w:space="0" w:color="auto"/>
        <w:right w:val="none" w:sz="0" w:space="0" w:color="auto"/>
      </w:divBdr>
    </w:div>
    <w:div w:id="2003190842">
      <w:bodyDiv w:val="1"/>
      <w:marLeft w:val="0"/>
      <w:marRight w:val="0"/>
      <w:marTop w:val="0"/>
      <w:marBottom w:val="0"/>
      <w:divBdr>
        <w:top w:val="none" w:sz="0" w:space="0" w:color="auto"/>
        <w:left w:val="none" w:sz="0" w:space="0" w:color="auto"/>
        <w:bottom w:val="none" w:sz="0" w:space="0" w:color="auto"/>
        <w:right w:val="none" w:sz="0" w:space="0" w:color="auto"/>
      </w:divBdr>
    </w:div>
    <w:div w:id="2004427028">
      <w:bodyDiv w:val="1"/>
      <w:marLeft w:val="0"/>
      <w:marRight w:val="0"/>
      <w:marTop w:val="0"/>
      <w:marBottom w:val="0"/>
      <w:divBdr>
        <w:top w:val="none" w:sz="0" w:space="0" w:color="auto"/>
        <w:left w:val="none" w:sz="0" w:space="0" w:color="auto"/>
        <w:bottom w:val="none" w:sz="0" w:space="0" w:color="auto"/>
        <w:right w:val="none" w:sz="0" w:space="0" w:color="auto"/>
      </w:divBdr>
    </w:div>
    <w:div w:id="2007590798">
      <w:bodyDiv w:val="1"/>
      <w:marLeft w:val="0"/>
      <w:marRight w:val="0"/>
      <w:marTop w:val="0"/>
      <w:marBottom w:val="0"/>
      <w:divBdr>
        <w:top w:val="none" w:sz="0" w:space="0" w:color="auto"/>
        <w:left w:val="none" w:sz="0" w:space="0" w:color="auto"/>
        <w:bottom w:val="none" w:sz="0" w:space="0" w:color="auto"/>
        <w:right w:val="none" w:sz="0" w:space="0" w:color="auto"/>
      </w:divBdr>
    </w:div>
    <w:div w:id="2008945662">
      <w:bodyDiv w:val="1"/>
      <w:marLeft w:val="0"/>
      <w:marRight w:val="0"/>
      <w:marTop w:val="0"/>
      <w:marBottom w:val="0"/>
      <w:divBdr>
        <w:top w:val="none" w:sz="0" w:space="0" w:color="auto"/>
        <w:left w:val="none" w:sz="0" w:space="0" w:color="auto"/>
        <w:bottom w:val="none" w:sz="0" w:space="0" w:color="auto"/>
        <w:right w:val="none" w:sz="0" w:space="0" w:color="auto"/>
      </w:divBdr>
    </w:div>
    <w:div w:id="2015565362">
      <w:bodyDiv w:val="1"/>
      <w:marLeft w:val="0"/>
      <w:marRight w:val="0"/>
      <w:marTop w:val="0"/>
      <w:marBottom w:val="0"/>
      <w:divBdr>
        <w:top w:val="none" w:sz="0" w:space="0" w:color="auto"/>
        <w:left w:val="none" w:sz="0" w:space="0" w:color="auto"/>
        <w:bottom w:val="none" w:sz="0" w:space="0" w:color="auto"/>
        <w:right w:val="none" w:sz="0" w:space="0" w:color="auto"/>
      </w:divBdr>
    </w:div>
    <w:div w:id="2019111006">
      <w:bodyDiv w:val="1"/>
      <w:marLeft w:val="0"/>
      <w:marRight w:val="0"/>
      <w:marTop w:val="0"/>
      <w:marBottom w:val="0"/>
      <w:divBdr>
        <w:top w:val="none" w:sz="0" w:space="0" w:color="auto"/>
        <w:left w:val="none" w:sz="0" w:space="0" w:color="auto"/>
        <w:bottom w:val="none" w:sz="0" w:space="0" w:color="auto"/>
        <w:right w:val="none" w:sz="0" w:space="0" w:color="auto"/>
      </w:divBdr>
    </w:div>
    <w:div w:id="2020572496">
      <w:bodyDiv w:val="1"/>
      <w:marLeft w:val="0"/>
      <w:marRight w:val="0"/>
      <w:marTop w:val="0"/>
      <w:marBottom w:val="0"/>
      <w:divBdr>
        <w:top w:val="none" w:sz="0" w:space="0" w:color="auto"/>
        <w:left w:val="none" w:sz="0" w:space="0" w:color="auto"/>
        <w:bottom w:val="none" w:sz="0" w:space="0" w:color="auto"/>
        <w:right w:val="none" w:sz="0" w:space="0" w:color="auto"/>
      </w:divBdr>
    </w:div>
    <w:div w:id="2022512228">
      <w:bodyDiv w:val="1"/>
      <w:marLeft w:val="0"/>
      <w:marRight w:val="0"/>
      <w:marTop w:val="0"/>
      <w:marBottom w:val="0"/>
      <w:divBdr>
        <w:top w:val="none" w:sz="0" w:space="0" w:color="auto"/>
        <w:left w:val="none" w:sz="0" w:space="0" w:color="auto"/>
        <w:bottom w:val="none" w:sz="0" w:space="0" w:color="auto"/>
        <w:right w:val="none" w:sz="0" w:space="0" w:color="auto"/>
      </w:divBdr>
    </w:div>
    <w:div w:id="2027050688">
      <w:bodyDiv w:val="1"/>
      <w:marLeft w:val="0"/>
      <w:marRight w:val="0"/>
      <w:marTop w:val="0"/>
      <w:marBottom w:val="0"/>
      <w:divBdr>
        <w:top w:val="none" w:sz="0" w:space="0" w:color="auto"/>
        <w:left w:val="none" w:sz="0" w:space="0" w:color="auto"/>
        <w:bottom w:val="none" w:sz="0" w:space="0" w:color="auto"/>
        <w:right w:val="none" w:sz="0" w:space="0" w:color="auto"/>
      </w:divBdr>
    </w:div>
    <w:div w:id="2044481492">
      <w:bodyDiv w:val="1"/>
      <w:marLeft w:val="0"/>
      <w:marRight w:val="0"/>
      <w:marTop w:val="0"/>
      <w:marBottom w:val="0"/>
      <w:divBdr>
        <w:top w:val="none" w:sz="0" w:space="0" w:color="auto"/>
        <w:left w:val="none" w:sz="0" w:space="0" w:color="auto"/>
        <w:bottom w:val="none" w:sz="0" w:space="0" w:color="auto"/>
        <w:right w:val="none" w:sz="0" w:space="0" w:color="auto"/>
      </w:divBdr>
    </w:div>
    <w:div w:id="2051107774">
      <w:bodyDiv w:val="1"/>
      <w:marLeft w:val="0"/>
      <w:marRight w:val="0"/>
      <w:marTop w:val="0"/>
      <w:marBottom w:val="0"/>
      <w:divBdr>
        <w:top w:val="none" w:sz="0" w:space="0" w:color="auto"/>
        <w:left w:val="none" w:sz="0" w:space="0" w:color="auto"/>
        <w:bottom w:val="none" w:sz="0" w:space="0" w:color="auto"/>
        <w:right w:val="none" w:sz="0" w:space="0" w:color="auto"/>
      </w:divBdr>
    </w:div>
    <w:div w:id="2061589739">
      <w:bodyDiv w:val="1"/>
      <w:marLeft w:val="0"/>
      <w:marRight w:val="0"/>
      <w:marTop w:val="0"/>
      <w:marBottom w:val="0"/>
      <w:divBdr>
        <w:top w:val="none" w:sz="0" w:space="0" w:color="auto"/>
        <w:left w:val="none" w:sz="0" w:space="0" w:color="auto"/>
        <w:bottom w:val="none" w:sz="0" w:space="0" w:color="auto"/>
        <w:right w:val="none" w:sz="0" w:space="0" w:color="auto"/>
      </w:divBdr>
    </w:div>
    <w:div w:id="2062096190">
      <w:bodyDiv w:val="1"/>
      <w:marLeft w:val="0"/>
      <w:marRight w:val="0"/>
      <w:marTop w:val="0"/>
      <w:marBottom w:val="0"/>
      <w:divBdr>
        <w:top w:val="none" w:sz="0" w:space="0" w:color="auto"/>
        <w:left w:val="none" w:sz="0" w:space="0" w:color="auto"/>
        <w:bottom w:val="none" w:sz="0" w:space="0" w:color="auto"/>
        <w:right w:val="none" w:sz="0" w:space="0" w:color="auto"/>
      </w:divBdr>
    </w:div>
    <w:div w:id="2062709054">
      <w:bodyDiv w:val="1"/>
      <w:marLeft w:val="0"/>
      <w:marRight w:val="0"/>
      <w:marTop w:val="0"/>
      <w:marBottom w:val="0"/>
      <w:divBdr>
        <w:top w:val="none" w:sz="0" w:space="0" w:color="auto"/>
        <w:left w:val="none" w:sz="0" w:space="0" w:color="auto"/>
        <w:bottom w:val="none" w:sz="0" w:space="0" w:color="auto"/>
        <w:right w:val="none" w:sz="0" w:space="0" w:color="auto"/>
      </w:divBdr>
    </w:div>
    <w:div w:id="2066492277">
      <w:bodyDiv w:val="1"/>
      <w:marLeft w:val="0"/>
      <w:marRight w:val="0"/>
      <w:marTop w:val="0"/>
      <w:marBottom w:val="0"/>
      <w:divBdr>
        <w:top w:val="none" w:sz="0" w:space="0" w:color="auto"/>
        <w:left w:val="none" w:sz="0" w:space="0" w:color="auto"/>
        <w:bottom w:val="none" w:sz="0" w:space="0" w:color="auto"/>
        <w:right w:val="none" w:sz="0" w:space="0" w:color="auto"/>
      </w:divBdr>
    </w:div>
    <w:div w:id="2066952463">
      <w:bodyDiv w:val="1"/>
      <w:marLeft w:val="0"/>
      <w:marRight w:val="0"/>
      <w:marTop w:val="0"/>
      <w:marBottom w:val="0"/>
      <w:divBdr>
        <w:top w:val="none" w:sz="0" w:space="0" w:color="auto"/>
        <w:left w:val="none" w:sz="0" w:space="0" w:color="auto"/>
        <w:bottom w:val="none" w:sz="0" w:space="0" w:color="auto"/>
        <w:right w:val="none" w:sz="0" w:space="0" w:color="auto"/>
      </w:divBdr>
    </w:div>
    <w:div w:id="2067560277">
      <w:bodyDiv w:val="1"/>
      <w:marLeft w:val="0"/>
      <w:marRight w:val="0"/>
      <w:marTop w:val="0"/>
      <w:marBottom w:val="0"/>
      <w:divBdr>
        <w:top w:val="none" w:sz="0" w:space="0" w:color="auto"/>
        <w:left w:val="none" w:sz="0" w:space="0" w:color="auto"/>
        <w:bottom w:val="none" w:sz="0" w:space="0" w:color="auto"/>
        <w:right w:val="none" w:sz="0" w:space="0" w:color="auto"/>
      </w:divBdr>
    </w:div>
    <w:div w:id="2069452250">
      <w:bodyDiv w:val="1"/>
      <w:marLeft w:val="0"/>
      <w:marRight w:val="0"/>
      <w:marTop w:val="0"/>
      <w:marBottom w:val="0"/>
      <w:divBdr>
        <w:top w:val="none" w:sz="0" w:space="0" w:color="auto"/>
        <w:left w:val="none" w:sz="0" w:space="0" w:color="auto"/>
        <w:bottom w:val="none" w:sz="0" w:space="0" w:color="auto"/>
        <w:right w:val="none" w:sz="0" w:space="0" w:color="auto"/>
      </w:divBdr>
    </w:div>
    <w:div w:id="2070766144">
      <w:bodyDiv w:val="1"/>
      <w:marLeft w:val="0"/>
      <w:marRight w:val="0"/>
      <w:marTop w:val="0"/>
      <w:marBottom w:val="0"/>
      <w:divBdr>
        <w:top w:val="none" w:sz="0" w:space="0" w:color="auto"/>
        <w:left w:val="none" w:sz="0" w:space="0" w:color="auto"/>
        <w:bottom w:val="none" w:sz="0" w:space="0" w:color="auto"/>
        <w:right w:val="none" w:sz="0" w:space="0" w:color="auto"/>
      </w:divBdr>
    </w:div>
    <w:div w:id="2070880778">
      <w:bodyDiv w:val="1"/>
      <w:marLeft w:val="0"/>
      <w:marRight w:val="0"/>
      <w:marTop w:val="0"/>
      <w:marBottom w:val="0"/>
      <w:divBdr>
        <w:top w:val="none" w:sz="0" w:space="0" w:color="auto"/>
        <w:left w:val="none" w:sz="0" w:space="0" w:color="auto"/>
        <w:bottom w:val="none" w:sz="0" w:space="0" w:color="auto"/>
        <w:right w:val="none" w:sz="0" w:space="0" w:color="auto"/>
      </w:divBdr>
    </w:div>
    <w:div w:id="2079673430">
      <w:bodyDiv w:val="1"/>
      <w:marLeft w:val="0"/>
      <w:marRight w:val="0"/>
      <w:marTop w:val="0"/>
      <w:marBottom w:val="0"/>
      <w:divBdr>
        <w:top w:val="none" w:sz="0" w:space="0" w:color="auto"/>
        <w:left w:val="none" w:sz="0" w:space="0" w:color="auto"/>
        <w:bottom w:val="none" w:sz="0" w:space="0" w:color="auto"/>
        <w:right w:val="none" w:sz="0" w:space="0" w:color="auto"/>
      </w:divBdr>
    </w:div>
    <w:div w:id="2080512979">
      <w:bodyDiv w:val="1"/>
      <w:marLeft w:val="0"/>
      <w:marRight w:val="0"/>
      <w:marTop w:val="0"/>
      <w:marBottom w:val="0"/>
      <w:divBdr>
        <w:top w:val="none" w:sz="0" w:space="0" w:color="auto"/>
        <w:left w:val="none" w:sz="0" w:space="0" w:color="auto"/>
        <w:bottom w:val="none" w:sz="0" w:space="0" w:color="auto"/>
        <w:right w:val="none" w:sz="0" w:space="0" w:color="auto"/>
      </w:divBdr>
    </w:div>
    <w:div w:id="2081630664">
      <w:bodyDiv w:val="1"/>
      <w:marLeft w:val="0"/>
      <w:marRight w:val="0"/>
      <w:marTop w:val="0"/>
      <w:marBottom w:val="0"/>
      <w:divBdr>
        <w:top w:val="none" w:sz="0" w:space="0" w:color="auto"/>
        <w:left w:val="none" w:sz="0" w:space="0" w:color="auto"/>
        <w:bottom w:val="none" w:sz="0" w:space="0" w:color="auto"/>
        <w:right w:val="none" w:sz="0" w:space="0" w:color="auto"/>
      </w:divBdr>
    </w:div>
    <w:div w:id="2083524076">
      <w:bodyDiv w:val="1"/>
      <w:marLeft w:val="0"/>
      <w:marRight w:val="0"/>
      <w:marTop w:val="0"/>
      <w:marBottom w:val="0"/>
      <w:divBdr>
        <w:top w:val="none" w:sz="0" w:space="0" w:color="auto"/>
        <w:left w:val="none" w:sz="0" w:space="0" w:color="auto"/>
        <w:bottom w:val="none" w:sz="0" w:space="0" w:color="auto"/>
        <w:right w:val="none" w:sz="0" w:space="0" w:color="auto"/>
      </w:divBdr>
    </w:div>
    <w:div w:id="2087607328">
      <w:bodyDiv w:val="1"/>
      <w:marLeft w:val="0"/>
      <w:marRight w:val="0"/>
      <w:marTop w:val="0"/>
      <w:marBottom w:val="0"/>
      <w:divBdr>
        <w:top w:val="none" w:sz="0" w:space="0" w:color="auto"/>
        <w:left w:val="none" w:sz="0" w:space="0" w:color="auto"/>
        <w:bottom w:val="none" w:sz="0" w:space="0" w:color="auto"/>
        <w:right w:val="none" w:sz="0" w:space="0" w:color="auto"/>
      </w:divBdr>
    </w:div>
    <w:div w:id="2087651426">
      <w:bodyDiv w:val="1"/>
      <w:marLeft w:val="0"/>
      <w:marRight w:val="0"/>
      <w:marTop w:val="0"/>
      <w:marBottom w:val="0"/>
      <w:divBdr>
        <w:top w:val="none" w:sz="0" w:space="0" w:color="auto"/>
        <w:left w:val="none" w:sz="0" w:space="0" w:color="auto"/>
        <w:bottom w:val="none" w:sz="0" w:space="0" w:color="auto"/>
        <w:right w:val="none" w:sz="0" w:space="0" w:color="auto"/>
      </w:divBdr>
    </w:div>
    <w:div w:id="2092121927">
      <w:bodyDiv w:val="1"/>
      <w:marLeft w:val="0"/>
      <w:marRight w:val="0"/>
      <w:marTop w:val="0"/>
      <w:marBottom w:val="0"/>
      <w:divBdr>
        <w:top w:val="none" w:sz="0" w:space="0" w:color="auto"/>
        <w:left w:val="none" w:sz="0" w:space="0" w:color="auto"/>
        <w:bottom w:val="none" w:sz="0" w:space="0" w:color="auto"/>
        <w:right w:val="none" w:sz="0" w:space="0" w:color="auto"/>
      </w:divBdr>
    </w:div>
    <w:div w:id="2094161522">
      <w:bodyDiv w:val="1"/>
      <w:marLeft w:val="0"/>
      <w:marRight w:val="0"/>
      <w:marTop w:val="0"/>
      <w:marBottom w:val="0"/>
      <w:divBdr>
        <w:top w:val="none" w:sz="0" w:space="0" w:color="auto"/>
        <w:left w:val="none" w:sz="0" w:space="0" w:color="auto"/>
        <w:bottom w:val="none" w:sz="0" w:space="0" w:color="auto"/>
        <w:right w:val="none" w:sz="0" w:space="0" w:color="auto"/>
      </w:divBdr>
    </w:div>
    <w:div w:id="2097676704">
      <w:bodyDiv w:val="1"/>
      <w:marLeft w:val="0"/>
      <w:marRight w:val="0"/>
      <w:marTop w:val="0"/>
      <w:marBottom w:val="0"/>
      <w:divBdr>
        <w:top w:val="none" w:sz="0" w:space="0" w:color="auto"/>
        <w:left w:val="none" w:sz="0" w:space="0" w:color="auto"/>
        <w:bottom w:val="none" w:sz="0" w:space="0" w:color="auto"/>
        <w:right w:val="none" w:sz="0" w:space="0" w:color="auto"/>
      </w:divBdr>
    </w:div>
    <w:div w:id="2097821876">
      <w:bodyDiv w:val="1"/>
      <w:marLeft w:val="0"/>
      <w:marRight w:val="0"/>
      <w:marTop w:val="0"/>
      <w:marBottom w:val="0"/>
      <w:divBdr>
        <w:top w:val="none" w:sz="0" w:space="0" w:color="auto"/>
        <w:left w:val="none" w:sz="0" w:space="0" w:color="auto"/>
        <w:bottom w:val="none" w:sz="0" w:space="0" w:color="auto"/>
        <w:right w:val="none" w:sz="0" w:space="0" w:color="auto"/>
      </w:divBdr>
    </w:div>
    <w:div w:id="2098937403">
      <w:bodyDiv w:val="1"/>
      <w:marLeft w:val="0"/>
      <w:marRight w:val="0"/>
      <w:marTop w:val="0"/>
      <w:marBottom w:val="0"/>
      <w:divBdr>
        <w:top w:val="none" w:sz="0" w:space="0" w:color="auto"/>
        <w:left w:val="none" w:sz="0" w:space="0" w:color="auto"/>
        <w:bottom w:val="none" w:sz="0" w:space="0" w:color="auto"/>
        <w:right w:val="none" w:sz="0" w:space="0" w:color="auto"/>
      </w:divBdr>
    </w:div>
    <w:div w:id="2104061828">
      <w:bodyDiv w:val="1"/>
      <w:marLeft w:val="0"/>
      <w:marRight w:val="0"/>
      <w:marTop w:val="0"/>
      <w:marBottom w:val="0"/>
      <w:divBdr>
        <w:top w:val="none" w:sz="0" w:space="0" w:color="auto"/>
        <w:left w:val="none" w:sz="0" w:space="0" w:color="auto"/>
        <w:bottom w:val="none" w:sz="0" w:space="0" w:color="auto"/>
        <w:right w:val="none" w:sz="0" w:space="0" w:color="auto"/>
      </w:divBdr>
    </w:div>
    <w:div w:id="2109814160">
      <w:bodyDiv w:val="1"/>
      <w:marLeft w:val="0"/>
      <w:marRight w:val="0"/>
      <w:marTop w:val="0"/>
      <w:marBottom w:val="0"/>
      <w:divBdr>
        <w:top w:val="none" w:sz="0" w:space="0" w:color="auto"/>
        <w:left w:val="none" w:sz="0" w:space="0" w:color="auto"/>
        <w:bottom w:val="none" w:sz="0" w:space="0" w:color="auto"/>
        <w:right w:val="none" w:sz="0" w:space="0" w:color="auto"/>
      </w:divBdr>
    </w:div>
    <w:div w:id="2111460783">
      <w:bodyDiv w:val="1"/>
      <w:marLeft w:val="0"/>
      <w:marRight w:val="0"/>
      <w:marTop w:val="0"/>
      <w:marBottom w:val="0"/>
      <w:divBdr>
        <w:top w:val="none" w:sz="0" w:space="0" w:color="auto"/>
        <w:left w:val="none" w:sz="0" w:space="0" w:color="auto"/>
        <w:bottom w:val="none" w:sz="0" w:space="0" w:color="auto"/>
        <w:right w:val="none" w:sz="0" w:space="0" w:color="auto"/>
      </w:divBdr>
    </w:div>
    <w:div w:id="2112582812">
      <w:bodyDiv w:val="1"/>
      <w:marLeft w:val="0"/>
      <w:marRight w:val="0"/>
      <w:marTop w:val="0"/>
      <w:marBottom w:val="0"/>
      <w:divBdr>
        <w:top w:val="none" w:sz="0" w:space="0" w:color="auto"/>
        <w:left w:val="none" w:sz="0" w:space="0" w:color="auto"/>
        <w:bottom w:val="none" w:sz="0" w:space="0" w:color="auto"/>
        <w:right w:val="none" w:sz="0" w:space="0" w:color="auto"/>
      </w:divBdr>
    </w:div>
    <w:div w:id="2114813433">
      <w:bodyDiv w:val="1"/>
      <w:marLeft w:val="0"/>
      <w:marRight w:val="0"/>
      <w:marTop w:val="0"/>
      <w:marBottom w:val="0"/>
      <w:divBdr>
        <w:top w:val="none" w:sz="0" w:space="0" w:color="auto"/>
        <w:left w:val="none" w:sz="0" w:space="0" w:color="auto"/>
        <w:bottom w:val="none" w:sz="0" w:space="0" w:color="auto"/>
        <w:right w:val="none" w:sz="0" w:space="0" w:color="auto"/>
      </w:divBdr>
    </w:div>
    <w:div w:id="2119326581">
      <w:bodyDiv w:val="1"/>
      <w:marLeft w:val="0"/>
      <w:marRight w:val="0"/>
      <w:marTop w:val="0"/>
      <w:marBottom w:val="0"/>
      <w:divBdr>
        <w:top w:val="none" w:sz="0" w:space="0" w:color="auto"/>
        <w:left w:val="none" w:sz="0" w:space="0" w:color="auto"/>
        <w:bottom w:val="none" w:sz="0" w:space="0" w:color="auto"/>
        <w:right w:val="none" w:sz="0" w:space="0" w:color="auto"/>
      </w:divBdr>
    </w:div>
    <w:div w:id="2122990047">
      <w:bodyDiv w:val="1"/>
      <w:marLeft w:val="0"/>
      <w:marRight w:val="0"/>
      <w:marTop w:val="0"/>
      <w:marBottom w:val="0"/>
      <w:divBdr>
        <w:top w:val="none" w:sz="0" w:space="0" w:color="auto"/>
        <w:left w:val="none" w:sz="0" w:space="0" w:color="auto"/>
        <w:bottom w:val="none" w:sz="0" w:space="0" w:color="auto"/>
        <w:right w:val="none" w:sz="0" w:space="0" w:color="auto"/>
      </w:divBdr>
    </w:div>
    <w:div w:id="2127118991">
      <w:bodyDiv w:val="1"/>
      <w:marLeft w:val="0"/>
      <w:marRight w:val="0"/>
      <w:marTop w:val="0"/>
      <w:marBottom w:val="0"/>
      <w:divBdr>
        <w:top w:val="none" w:sz="0" w:space="0" w:color="auto"/>
        <w:left w:val="none" w:sz="0" w:space="0" w:color="auto"/>
        <w:bottom w:val="none" w:sz="0" w:space="0" w:color="auto"/>
        <w:right w:val="none" w:sz="0" w:space="0" w:color="auto"/>
      </w:divBdr>
    </w:div>
    <w:div w:id="2127770813">
      <w:bodyDiv w:val="1"/>
      <w:marLeft w:val="0"/>
      <w:marRight w:val="0"/>
      <w:marTop w:val="0"/>
      <w:marBottom w:val="0"/>
      <w:divBdr>
        <w:top w:val="none" w:sz="0" w:space="0" w:color="auto"/>
        <w:left w:val="none" w:sz="0" w:space="0" w:color="auto"/>
        <w:bottom w:val="none" w:sz="0" w:space="0" w:color="auto"/>
        <w:right w:val="none" w:sz="0" w:space="0" w:color="auto"/>
      </w:divBdr>
    </w:div>
    <w:div w:id="2129011445">
      <w:bodyDiv w:val="1"/>
      <w:marLeft w:val="0"/>
      <w:marRight w:val="0"/>
      <w:marTop w:val="0"/>
      <w:marBottom w:val="0"/>
      <w:divBdr>
        <w:top w:val="none" w:sz="0" w:space="0" w:color="auto"/>
        <w:left w:val="none" w:sz="0" w:space="0" w:color="auto"/>
        <w:bottom w:val="none" w:sz="0" w:space="0" w:color="auto"/>
        <w:right w:val="none" w:sz="0" w:space="0" w:color="auto"/>
      </w:divBdr>
    </w:div>
    <w:div w:id="2130855601">
      <w:bodyDiv w:val="1"/>
      <w:marLeft w:val="0"/>
      <w:marRight w:val="0"/>
      <w:marTop w:val="0"/>
      <w:marBottom w:val="0"/>
      <w:divBdr>
        <w:top w:val="none" w:sz="0" w:space="0" w:color="auto"/>
        <w:left w:val="none" w:sz="0" w:space="0" w:color="auto"/>
        <w:bottom w:val="none" w:sz="0" w:space="0" w:color="auto"/>
        <w:right w:val="none" w:sz="0" w:space="0" w:color="auto"/>
      </w:divBdr>
    </w:div>
    <w:div w:id="2140411318">
      <w:bodyDiv w:val="1"/>
      <w:marLeft w:val="0"/>
      <w:marRight w:val="0"/>
      <w:marTop w:val="0"/>
      <w:marBottom w:val="0"/>
      <w:divBdr>
        <w:top w:val="none" w:sz="0" w:space="0" w:color="auto"/>
        <w:left w:val="none" w:sz="0" w:space="0" w:color="auto"/>
        <w:bottom w:val="none" w:sz="0" w:space="0" w:color="auto"/>
        <w:right w:val="none" w:sz="0" w:space="0" w:color="auto"/>
      </w:divBdr>
    </w:div>
    <w:div w:id="2141343216">
      <w:bodyDiv w:val="1"/>
      <w:marLeft w:val="0"/>
      <w:marRight w:val="0"/>
      <w:marTop w:val="0"/>
      <w:marBottom w:val="0"/>
      <w:divBdr>
        <w:top w:val="none" w:sz="0" w:space="0" w:color="auto"/>
        <w:left w:val="none" w:sz="0" w:space="0" w:color="auto"/>
        <w:bottom w:val="none" w:sz="0" w:space="0" w:color="auto"/>
        <w:right w:val="none" w:sz="0" w:space="0" w:color="auto"/>
      </w:divBdr>
    </w:div>
    <w:div w:id="2145388904">
      <w:bodyDiv w:val="1"/>
      <w:marLeft w:val="0"/>
      <w:marRight w:val="0"/>
      <w:marTop w:val="0"/>
      <w:marBottom w:val="0"/>
      <w:divBdr>
        <w:top w:val="none" w:sz="0" w:space="0" w:color="auto"/>
        <w:left w:val="none" w:sz="0" w:space="0" w:color="auto"/>
        <w:bottom w:val="none" w:sz="0" w:space="0" w:color="auto"/>
        <w:right w:val="none" w:sz="0" w:space="0" w:color="auto"/>
      </w:divBdr>
    </w:div>
    <w:div w:id="2146313911">
      <w:bodyDiv w:val="1"/>
      <w:marLeft w:val="0"/>
      <w:marRight w:val="0"/>
      <w:marTop w:val="0"/>
      <w:marBottom w:val="0"/>
      <w:divBdr>
        <w:top w:val="none" w:sz="0" w:space="0" w:color="auto"/>
        <w:left w:val="none" w:sz="0" w:space="0" w:color="auto"/>
        <w:bottom w:val="none" w:sz="0" w:space="0" w:color="auto"/>
        <w:right w:val="none" w:sz="0" w:space="0" w:color="auto"/>
      </w:divBdr>
    </w:div>
    <w:div w:id="2146463608">
      <w:bodyDiv w:val="1"/>
      <w:marLeft w:val="0"/>
      <w:marRight w:val="0"/>
      <w:marTop w:val="0"/>
      <w:marBottom w:val="0"/>
      <w:divBdr>
        <w:top w:val="none" w:sz="0" w:space="0" w:color="auto"/>
        <w:left w:val="none" w:sz="0" w:space="0" w:color="auto"/>
        <w:bottom w:val="none" w:sz="0" w:space="0" w:color="auto"/>
        <w:right w:val="none" w:sz="0" w:space="0" w:color="auto"/>
      </w:divBdr>
    </w:div>
    <w:div w:id="2146505573">
      <w:bodyDiv w:val="1"/>
      <w:marLeft w:val="0"/>
      <w:marRight w:val="0"/>
      <w:marTop w:val="0"/>
      <w:marBottom w:val="0"/>
      <w:divBdr>
        <w:top w:val="none" w:sz="0" w:space="0" w:color="auto"/>
        <w:left w:val="none" w:sz="0" w:space="0" w:color="auto"/>
        <w:bottom w:val="none" w:sz="0" w:space="0" w:color="auto"/>
        <w:right w:val="none" w:sz="0" w:space="0" w:color="auto"/>
      </w:divBdr>
    </w:div>
    <w:div w:id="2146775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hyperlink" Target="https://www.sciencedirect.com/topics/medicine-and-dentistry/attentional-bias" TargetMode="External"/><Relationship Id="rId55" Type="http://schemas.openxmlformats.org/officeDocument/2006/relationships/hyperlink" Target="https://ovidsp-dc2-ovid-com.sheffield.idm.oclc.org/ovid-b/ovidweb.cgi?QS2=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"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tif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hyperlink" Target="https://ovidsp-dc2-ovid-com.sheffield.idm.oclc.org/ovid-b/ovidweb.cgi?QS2=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"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www.gorilla.sc/" TargetMode="Externa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emf"/><Relationship Id="rId46" Type="http://schemas.openxmlformats.org/officeDocument/2006/relationships/image" Target="media/image35.png"/><Relationship Id="rId59"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sciencedirect.com/topics/psychology/coping-strategy" TargetMode="External"/><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7C14A687C4394FB968AA7E5B24E"/>
        <w:category>
          <w:name w:val="General"/>
          <w:gallery w:val="placeholder"/>
        </w:category>
        <w:types>
          <w:type w:val="bbPlcHdr"/>
        </w:types>
        <w:behaviors>
          <w:behavior w:val="content"/>
        </w:behaviors>
        <w:guid w:val="{FF4524B7-9D1A-7345-BF9B-DBC4AB7CCC89}"/>
      </w:docPartPr>
      <w:docPartBody>
        <w:p w:rsidR="00124A4C" w:rsidRDefault="00E40971" w:rsidP="00E40971">
          <w:pPr>
            <w:pStyle w:val="E11707C14A687C4394FB968AA7E5B24E"/>
          </w:pPr>
          <w:r w:rsidRPr="008051A3">
            <w:rPr>
              <w:rStyle w:val="PlaceholderText"/>
            </w:rPr>
            <w:t>Click or tap here to enter text.</w:t>
          </w:r>
        </w:p>
      </w:docPartBody>
    </w:docPart>
    <w:docPart>
      <w:docPartPr>
        <w:name w:val="DE1179DA080434489AD9D03C8790EA02"/>
        <w:category>
          <w:name w:val="General"/>
          <w:gallery w:val="placeholder"/>
        </w:category>
        <w:types>
          <w:type w:val="bbPlcHdr"/>
        </w:types>
        <w:behaviors>
          <w:behavior w:val="content"/>
        </w:behaviors>
        <w:guid w:val="{D4DC6B18-F7FC-C441-99D9-DBA6EB76B7F0}"/>
      </w:docPartPr>
      <w:docPartBody>
        <w:p w:rsidR="00124A4C" w:rsidRDefault="00E40971" w:rsidP="00E40971">
          <w:pPr>
            <w:pStyle w:val="DE1179DA080434489AD9D03C8790EA02"/>
          </w:pPr>
          <w:r w:rsidRPr="008051A3">
            <w:rPr>
              <w:rStyle w:val="PlaceholderText"/>
            </w:rPr>
            <w:t>Click or tap here to enter text.</w:t>
          </w:r>
        </w:p>
      </w:docPartBody>
    </w:docPart>
    <w:docPart>
      <w:docPartPr>
        <w:name w:val="520A1877F09E6841B9982BB4F476029B"/>
        <w:category>
          <w:name w:val="General"/>
          <w:gallery w:val="placeholder"/>
        </w:category>
        <w:types>
          <w:type w:val="bbPlcHdr"/>
        </w:types>
        <w:behaviors>
          <w:behavior w:val="content"/>
        </w:behaviors>
        <w:guid w:val="{94D888DF-20CD-094E-8185-C63E607696DC}"/>
      </w:docPartPr>
      <w:docPartBody>
        <w:p w:rsidR="00124A4C" w:rsidRDefault="00E40971" w:rsidP="00E40971">
          <w:pPr>
            <w:pStyle w:val="520A1877F09E6841B9982BB4F476029B"/>
          </w:pPr>
          <w:r w:rsidRPr="008051A3">
            <w:rPr>
              <w:rStyle w:val="PlaceholderText"/>
            </w:rPr>
            <w:t>Click or tap here to enter text.</w:t>
          </w:r>
        </w:p>
      </w:docPartBody>
    </w:docPart>
    <w:docPart>
      <w:docPartPr>
        <w:name w:val="D121A86E8EA7D441875D2D01BB4C71C1"/>
        <w:category>
          <w:name w:val="General"/>
          <w:gallery w:val="placeholder"/>
        </w:category>
        <w:types>
          <w:type w:val="bbPlcHdr"/>
        </w:types>
        <w:behaviors>
          <w:behavior w:val="content"/>
        </w:behaviors>
        <w:guid w:val="{4FB2549A-5C7B-BC4B-B320-3783DF000FAC}"/>
      </w:docPartPr>
      <w:docPartBody>
        <w:p w:rsidR="00124A4C" w:rsidRDefault="00E40971" w:rsidP="00E40971">
          <w:pPr>
            <w:pStyle w:val="D121A86E8EA7D441875D2D01BB4C71C1"/>
          </w:pPr>
          <w:r w:rsidRPr="008051A3">
            <w:rPr>
              <w:rStyle w:val="PlaceholderText"/>
            </w:rPr>
            <w:t>Click or tap here to enter text.</w:t>
          </w:r>
        </w:p>
      </w:docPartBody>
    </w:docPart>
    <w:docPart>
      <w:docPartPr>
        <w:name w:val="9D7BA5D1CEC19F44B652ADCF5ABA0B50"/>
        <w:category>
          <w:name w:val="General"/>
          <w:gallery w:val="placeholder"/>
        </w:category>
        <w:types>
          <w:type w:val="bbPlcHdr"/>
        </w:types>
        <w:behaviors>
          <w:behavior w:val="content"/>
        </w:behaviors>
        <w:guid w:val="{23DDEC30-2EE2-A442-8491-36BE7126F2CA}"/>
      </w:docPartPr>
      <w:docPartBody>
        <w:p w:rsidR="00124A4C" w:rsidRDefault="00E40971" w:rsidP="00E40971">
          <w:pPr>
            <w:pStyle w:val="9D7BA5D1CEC19F44B652ADCF5ABA0B50"/>
          </w:pPr>
          <w:r w:rsidRPr="008051A3">
            <w:rPr>
              <w:rStyle w:val="PlaceholderText"/>
            </w:rPr>
            <w:t>Click or tap here to enter text.</w:t>
          </w:r>
        </w:p>
      </w:docPartBody>
    </w:docPart>
    <w:docPart>
      <w:docPartPr>
        <w:name w:val="4BB2C36A7BB10E42A2FE523F5FBCB862"/>
        <w:category>
          <w:name w:val="General"/>
          <w:gallery w:val="placeholder"/>
        </w:category>
        <w:types>
          <w:type w:val="bbPlcHdr"/>
        </w:types>
        <w:behaviors>
          <w:behavior w:val="content"/>
        </w:behaviors>
        <w:guid w:val="{7D6D8DFB-1384-6F40-BF76-F4F2B6C34ED1}"/>
      </w:docPartPr>
      <w:docPartBody>
        <w:p w:rsidR="00124A4C" w:rsidRDefault="00E40971" w:rsidP="00E40971">
          <w:pPr>
            <w:pStyle w:val="4BB2C36A7BB10E42A2FE523F5FBCB862"/>
          </w:pPr>
          <w:r w:rsidRPr="008051A3">
            <w:rPr>
              <w:rStyle w:val="PlaceholderText"/>
            </w:rPr>
            <w:t>Click or tap here to enter text.</w:t>
          </w:r>
        </w:p>
      </w:docPartBody>
    </w:docPart>
    <w:docPart>
      <w:docPartPr>
        <w:name w:val="9DEFD53D1C129D46BEB0F76F0FC563D8"/>
        <w:category>
          <w:name w:val="General"/>
          <w:gallery w:val="placeholder"/>
        </w:category>
        <w:types>
          <w:type w:val="bbPlcHdr"/>
        </w:types>
        <w:behaviors>
          <w:behavior w:val="content"/>
        </w:behaviors>
        <w:guid w:val="{C1179D6E-6C35-3B47-AC27-B5990AABEA97}"/>
      </w:docPartPr>
      <w:docPartBody>
        <w:p w:rsidR="00124A4C" w:rsidRDefault="00E40971" w:rsidP="00E40971">
          <w:pPr>
            <w:pStyle w:val="9DEFD53D1C129D46BEB0F76F0FC563D8"/>
          </w:pPr>
          <w:r w:rsidRPr="008051A3">
            <w:rPr>
              <w:rStyle w:val="PlaceholderText"/>
            </w:rPr>
            <w:t>Click or tap here to enter text.</w:t>
          </w:r>
        </w:p>
      </w:docPartBody>
    </w:docPart>
    <w:docPart>
      <w:docPartPr>
        <w:name w:val="57043F9F0A50A249A59F71AD51C00323"/>
        <w:category>
          <w:name w:val="General"/>
          <w:gallery w:val="placeholder"/>
        </w:category>
        <w:types>
          <w:type w:val="bbPlcHdr"/>
        </w:types>
        <w:behaviors>
          <w:behavior w:val="content"/>
        </w:behaviors>
        <w:guid w:val="{917E42EE-52F9-E147-80F4-87AC9EF03C3E}"/>
      </w:docPartPr>
      <w:docPartBody>
        <w:p w:rsidR="00124A4C" w:rsidRDefault="00E40971" w:rsidP="00E40971">
          <w:pPr>
            <w:pStyle w:val="57043F9F0A50A249A59F71AD51C00323"/>
          </w:pPr>
          <w:r w:rsidRPr="008051A3">
            <w:rPr>
              <w:rStyle w:val="PlaceholderText"/>
            </w:rPr>
            <w:t>Click or tap here to enter text.</w:t>
          </w:r>
        </w:p>
      </w:docPartBody>
    </w:docPart>
    <w:docPart>
      <w:docPartPr>
        <w:name w:val="3608C013BCF14C479DD2270DB967AA2F"/>
        <w:category>
          <w:name w:val="General"/>
          <w:gallery w:val="placeholder"/>
        </w:category>
        <w:types>
          <w:type w:val="bbPlcHdr"/>
        </w:types>
        <w:behaviors>
          <w:behavior w:val="content"/>
        </w:behaviors>
        <w:guid w:val="{B78E20FB-1EDA-1843-B900-BD0BFFF95010}"/>
      </w:docPartPr>
      <w:docPartBody>
        <w:p w:rsidR="00124A4C" w:rsidRDefault="00E40971" w:rsidP="00E40971">
          <w:pPr>
            <w:pStyle w:val="3608C013BCF14C479DD2270DB967AA2F"/>
          </w:pPr>
          <w:r w:rsidRPr="008051A3">
            <w:rPr>
              <w:rStyle w:val="PlaceholderText"/>
            </w:rPr>
            <w:t>Click or tap here to enter text.</w:t>
          </w:r>
        </w:p>
      </w:docPartBody>
    </w:docPart>
    <w:docPart>
      <w:docPartPr>
        <w:name w:val="1C00E898EB546B4A9FDB10DB9EB216E1"/>
        <w:category>
          <w:name w:val="General"/>
          <w:gallery w:val="placeholder"/>
        </w:category>
        <w:types>
          <w:type w:val="bbPlcHdr"/>
        </w:types>
        <w:behaviors>
          <w:behavior w:val="content"/>
        </w:behaviors>
        <w:guid w:val="{BA2DC61B-1B73-4347-874A-DB3F9E18A824}"/>
      </w:docPartPr>
      <w:docPartBody>
        <w:p w:rsidR="00124A4C" w:rsidRDefault="00E40971" w:rsidP="00E40971">
          <w:pPr>
            <w:pStyle w:val="1C00E898EB546B4A9FDB10DB9EB216E1"/>
          </w:pPr>
          <w:r w:rsidRPr="008051A3">
            <w:rPr>
              <w:rStyle w:val="PlaceholderText"/>
            </w:rPr>
            <w:t>Click or tap here to enter text.</w:t>
          </w:r>
        </w:p>
      </w:docPartBody>
    </w:docPart>
    <w:docPart>
      <w:docPartPr>
        <w:name w:val="F1CD3AB50FEB7549B97C565296F4C3E4"/>
        <w:category>
          <w:name w:val="General"/>
          <w:gallery w:val="placeholder"/>
        </w:category>
        <w:types>
          <w:type w:val="bbPlcHdr"/>
        </w:types>
        <w:behaviors>
          <w:behavior w:val="content"/>
        </w:behaviors>
        <w:guid w:val="{441E201A-6962-174D-999E-B9D70A8306E1}"/>
      </w:docPartPr>
      <w:docPartBody>
        <w:p w:rsidR="00124A4C" w:rsidRDefault="00E40971" w:rsidP="00E40971">
          <w:pPr>
            <w:pStyle w:val="F1CD3AB50FEB7549B97C565296F4C3E4"/>
          </w:pPr>
          <w:r w:rsidRPr="008051A3">
            <w:rPr>
              <w:rStyle w:val="PlaceholderText"/>
            </w:rPr>
            <w:t>Click or tap here to enter text.</w:t>
          </w:r>
        </w:p>
      </w:docPartBody>
    </w:docPart>
    <w:docPart>
      <w:docPartPr>
        <w:name w:val="7BCD736B0A053E41A7BFB68AD794E05C"/>
        <w:category>
          <w:name w:val="General"/>
          <w:gallery w:val="placeholder"/>
        </w:category>
        <w:types>
          <w:type w:val="bbPlcHdr"/>
        </w:types>
        <w:behaviors>
          <w:behavior w:val="content"/>
        </w:behaviors>
        <w:guid w:val="{EE436944-408D-9C48-BCAE-F618D8E7F3AF}"/>
      </w:docPartPr>
      <w:docPartBody>
        <w:p w:rsidR="00124A4C" w:rsidRDefault="00E40971" w:rsidP="00E40971">
          <w:pPr>
            <w:pStyle w:val="7BCD736B0A053E41A7BFB68AD794E05C"/>
          </w:pPr>
          <w:r w:rsidRPr="008051A3">
            <w:rPr>
              <w:rStyle w:val="PlaceholderText"/>
            </w:rPr>
            <w:t>Click or tap here to enter text.</w:t>
          </w:r>
        </w:p>
      </w:docPartBody>
    </w:docPart>
    <w:docPart>
      <w:docPartPr>
        <w:name w:val="1C857D04F34A4C43A161174575512557"/>
        <w:category>
          <w:name w:val="General"/>
          <w:gallery w:val="placeholder"/>
        </w:category>
        <w:types>
          <w:type w:val="bbPlcHdr"/>
        </w:types>
        <w:behaviors>
          <w:behavior w:val="content"/>
        </w:behaviors>
        <w:guid w:val="{7D790D76-1624-EE4E-ADE0-26F6E883F7C7}"/>
      </w:docPartPr>
      <w:docPartBody>
        <w:p w:rsidR="00124A4C" w:rsidRDefault="00E40971" w:rsidP="00E40971">
          <w:pPr>
            <w:pStyle w:val="1C857D04F34A4C43A161174575512557"/>
          </w:pPr>
          <w:r w:rsidRPr="008051A3">
            <w:rPr>
              <w:rStyle w:val="PlaceholderText"/>
            </w:rPr>
            <w:t>Click or tap here to enter text.</w:t>
          </w:r>
        </w:p>
      </w:docPartBody>
    </w:docPart>
    <w:docPart>
      <w:docPartPr>
        <w:name w:val="6DAB7A77C52B0949BC92B7ECC5F35B63"/>
        <w:category>
          <w:name w:val="General"/>
          <w:gallery w:val="placeholder"/>
        </w:category>
        <w:types>
          <w:type w:val="bbPlcHdr"/>
        </w:types>
        <w:behaviors>
          <w:behavior w:val="content"/>
        </w:behaviors>
        <w:guid w:val="{EF4FF90E-68C1-494F-B4F6-C92ABF1115FF}"/>
      </w:docPartPr>
      <w:docPartBody>
        <w:p w:rsidR="00124A4C" w:rsidRDefault="00E40971" w:rsidP="00E40971">
          <w:pPr>
            <w:pStyle w:val="6DAB7A77C52B0949BC92B7ECC5F35B63"/>
          </w:pPr>
          <w:r w:rsidRPr="008051A3">
            <w:rPr>
              <w:rStyle w:val="PlaceholderText"/>
            </w:rPr>
            <w:t>Click or tap here to enter text.</w:t>
          </w:r>
        </w:p>
      </w:docPartBody>
    </w:docPart>
    <w:docPart>
      <w:docPartPr>
        <w:name w:val="F2DB79A78C6CF74C947EB6A4F16FFA95"/>
        <w:category>
          <w:name w:val="General"/>
          <w:gallery w:val="placeholder"/>
        </w:category>
        <w:types>
          <w:type w:val="bbPlcHdr"/>
        </w:types>
        <w:behaviors>
          <w:behavior w:val="content"/>
        </w:behaviors>
        <w:guid w:val="{7CACDE69-8F0C-5044-8486-4394B9483A97}"/>
      </w:docPartPr>
      <w:docPartBody>
        <w:p w:rsidR="00124A4C" w:rsidRDefault="00E40971" w:rsidP="00E40971">
          <w:pPr>
            <w:pStyle w:val="F2DB79A78C6CF74C947EB6A4F16FFA95"/>
          </w:pPr>
          <w:r w:rsidRPr="008051A3">
            <w:rPr>
              <w:rStyle w:val="PlaceholderText"/>
            </w:rPr>
            <w:t>Click or tap here to enter text.</w:t>
          </w:r>
        </w:p>
      </w:docPartBody>
    </w:docPart>
    <w:docPart>
      <w:docPartPr>
        <w:name w:val="712761C3C0ECFC4C8B91BEFCB51C0943"/>
        <w:category>
          <w:name w:val="General"/>
          <w:gallery w:val="placeholder"/>
        </w:category>
        <w:types>
          <w:type w:val="bbPlcHdr"/>
        </w:types>
        <w:behaviors>
          <w:behavior w:val="content"/>
        </w:behaviors>
        <w:guid w:val="{71E95800-F3BA-7443-A94B-75AEA851A3AD}"/>
      </w:docPartPr>
      <w:docPartBody>
        <w:p w:rsidR="00124A4C" w:rsidRDefault="00E40971" w:rsidP="00E40971">
          <w:pPr>
            <w:pStyle w:val="712761C3C0ECFC4C8B91BEFCB51C0943"/>
          </w:pPr>
          <w:r w:rsidRPr="00150B00">
            <w:rPr>
              <w:rStyle w:val="PlaceholderText"/>
            </w:rPr>
            <w:t>Click or tap here to enter text.</w:t>
          </w:r>
        </w:p>
      </w:docPartBody>
    </w:docPart>
    <w:docPart>
      <w:docPartPr>
        <w:name w:val="ACCEC12DECEE6C4EB8A6BB26EF84CB8E"/>
        <w:category>
          <w:name w:val="General"/>
          <w:gallery w:val="placeholder"/>
        </w:category>
        <w:types>
          <w:type w:val="bbPlcHdr"/>
        </w:types>
        <w:behaviors>
          <w:behavior w:val="content"/>
        </w:behaviors>
        <w:guid w:val="{29FF8BC5-4902-C24D-8AC4-4AC9261B0157}"/>
      </w:docPartPr>
      <w:docPartBody>
        <w:p w:rsidR="00124A4C" w:rsidRDefault="00E40971" w:rsidP="00E40971">
          <w:pPr>
            <w:pStyle w:val="ACCEC12DECEE6C4EB8A6BB26EF84CB8E"/>
          </w:pPr>
          <w:r w:rsidRPr="00150B00">
            <w:rPr>
              <w:rStyle w:val="PlaceholderText"/>
            </w:rPr>
            <w:t>Click or tap here to enter text.</w:t>
          </w:r>
        </w:p>
      </w:docPartBody>
    </w:docPart>
    <w:docPart>
      <w:docPartPr>
        <w:name w:val="A39AAC158478A148B4DDFDA91D37948E"/>
        <w:category>
          <w:name w:val="General"/>
          <w:gallery w:val="placeholder"/>
        </w:category>
        <w:types>
          <w:type w:val="bbPlcHdr"/>
        </w:types>
        <w:behaviors>
          <w:behavior w:val="content"/>
        </w:behaviors>
        <w:guid w:val="{A31324B9-57A4-7944-A708-73E1D30F35EA}"/>
      </w:docPartPr>
      <w:docPartBody>
        <w:p w:rsidR="00124A4C" w:rsidRDefault="00E40971" w:rsidP="00E40971">
          <w:pPr>
            <w:pStyle w:val="A39AAC158478A148B4DDFDA91D37948E"/>
          </w:pPr>
          <w:r w:rsidRPr="00150B00">
            <w:rPr>
              <w:rStyle w:val="PlaceholderText"/>
            </w:rPr>
            <w:t>Click or tap here to enter text.</w:t>
          </w:r>
        </w:p>
      </w:docPartBody>
    </w:docPart>
    <w:docPart>
      <w:docPartPr>
        <w:name w:val="6CAF6727D216124B999E426FFEFDB49E"/>
        <w:category>
          <w:name w:val="General"/>
          <w:gallery w:val="placeholder"/>
        </w:category>
        <w:types>
          <w:type w:val="bbPlcHdr"/>
        </w:types>
        <w:behaviors>
          <w:behavior w:val="content"/>
        </w:behaviors>
        <w:guid w:val="{415AACC8-77E4-F143-990A-92E00F49207E}"/>
      </w:docPartPr>
      <w:docPartBody>
        <w:p w:rsidR="000234FB" w:rsidRDefault="00305D9E" w:rsidP="00305D9E">
          <w:pPr>
            <w:pStyle w:val="6CAF6727D216124B999E426FFEFDB49E"/>
          </w:pPr>
          <w:r w:rsidRPr="00FB29BD">
            <w:rPr>
              <w:rStyle w:val="PlaceholderText"/>
            </w:rPr>
            <w:t>Click or tap here to enter text.</w:t>
          </w:r>
        </w:p>
      </w:docPartBody>
    </w:docPart>
    <w:docPart>
      <w:docPartPr>
        <w:name w:val="36907D12E008B045A6976D77072947B8"/>
        <w:category>
          <w:name w:val="General"/>
          <w:gallery w:val="placeholder"/>
        </w:category>
        <w:types>
          <w:type w:val="bbPlcHdr"/>
        </w:types>
        <w:behaviors>
          <w:behavior w:val="content"/>
        </w:behaviors>
        <w:guid w:val="{260D6A1B-8BF7-C44D-9BC2-286FC8B04857}"/>
      </w:docPartPr>
      <w:docPartBody>
        <w:p w:rsidR="000234FB" w:rsidRDefault="00305D9E" w:rsidP="00305D9E">
          <w:pPr>
            <w:pStyle w:val="36907D12E008B045A6976D77072947B8"/>
          </w:pPr>
          <w:r w:rsidRPr="00FB29BD">
            <w:rPr>
              <w:rStyle w:val="PlaceholderText"/>
            </w:rPr>
            <w:t>Click or tap here to enter text.</w:t>
          </w:r>
        </w:p>
      </w:docPartBody>
    </w:docPart>
    <w:docPart>
      <w:docPartPr>
        <w:name w:val="DF035ABC8B081744801241D074A86180"/>
        <w:category>
          <w:name w:val="General"/>
          <w:gallery w:val="placeholder"/>
        </w:category>
        <w:types>
          <w:type w:val="bbPlcHdr"/>
        </w:types>
        <w:behaviors>
          <w:behavior w:val="content"/>
        </w:behaviors>
        <w:guid w:val="{ADDB6FFC-868A-AE46-9609-B90D27FA80EE}"/>
      </w:docPartPr>
      <w:docPartBody>
        <w:p w:rsidR="000234FB" w:rsidRDefault="00305D9E" w:rsidP="00305D9E">
          <w:pPr>
            <w:pStyle w:val="DF035ABC8B081744801241D074A86180"/>
          </w:pPr>
          <w:r w:rsidRPr="00FB29BD">
            <w:rPr>
              <w:rStyle w:val="PlaceholderText"/>
            </w:rPr>
            <w:t>Click or tap here to enter text.</w:t>
          </w:r>
        </w:p>
      </w:docPartBody>
    </w:docPart>
    <w:docPart>
      <w:docPartPr>
        <w:name w:val="32EC4D637D995D469820A64FD9418A56"/>
        <w:category>
          <w:name w:val="General"/>
          <w:gallery w:val="placeholder"/>
        </w:category>
        <w:types>
          <w:type w:val="bbPlcHdr"/>
        </w:types>
        <w:behaviors>
          <w:behavior w:val="content"/>
        </w:behaviors>
        <w:guid w:val="{984C36C3-D080-ED40-95B0-B8C2E9DC40DF}"/>
      </w:docPartPr>
      <w:docPartBody>
        <w:p w:rsidR="000234FB" w:rsidRDefault="00305D9E" w:rsidP="00305D9E">
          <w:pPr>
            <w:pStyle w:val="32EC4D637D995D469820A64FD9418A56"/>
          </w:pPr>
          <w:r w:rsidRPr="00FB29BD">
            <w:rPr>
              <w:rStyle w:val="PlaceholderText"/>
            </w:rPr>
            <w:t>Click or tap here to enter text.</w:t>
          </w:r>
        </w:p>
      </w:docPartBody>
    </w:docPart>
    <w:docPart>
      <w:docPartPr>
        <w:name w:val="DF5F66025754D640BDFD44987CE0473D"/>
        <w:category>
          <w:name w:val="General"/>
          <w:gallery w:val="placeholder"/>
        </w:category>
        <w:types>
          <w:type w:val="bbPlcHdr"/>
        </w:types>
        <w:behaviors>
          <w:behavior w:val="content"/>
        </w:behaviors>
        <w:guid w:val="{565CD58C-EFB2-1D4B-A96A-CDAD123D6CBE}"/>
      </w:docPartPr>
      <w:docPartBody>
        <w:p w:rsidR="000234FB" w:rsidRDefault="00305D9E" w:rsidP="00305D9E">
          <w:pPr>
            <w:pStyle w:val="DF5F66025754D640BDFD44987CE0473D"/>
          </w:pPr>
          <w:r w:rsidRPr="00FB29BD">
            <w:rPr>
              <w:rStyle w:val="PlaceholderText"/>
            </w:rPr>
            <w:t>Click or tap here to enter text.</w:t>
          </w:r>
        </w:p>
      </w:docPartBody>
    </w:docPart>
    <w:docPart>
      <w:docPartPr>
        <w:name w:val="971BB39E5D843840AF619AA2591EAC2F"/>
        <w:category>
          <w:name w:val="General"/>
          <w:gallery w:val="placeholder"/>
        </w:category>
        <w:types>
          <w:type w:val="bbPlcHdr"/>
        </w:types>
        <w:behaviors>
          <w:behavior w:val="content"/>
        </w:behaviors>
        <w:guid w:val="{365618FF-4A01-E44C-B14A-E1814BEDBECD}"/>
      </w:docPartPr>
      <w:docPartBody>
        <w:p w:rsidR="000234FB" w:rsidRDefault="00305D9E" w:rsidP="00305D9E">
          <w:pPr>
            <w:pStyle w:val="971BB39E5D843840AF619AA2591EAC2F"/>
          </w:pPr>
          <w:r w:rsidRPr="00FB29BD">
            <w:rPr>
              <w:rStyle w:val="PlaceholderText"/>
            </w:rPr>
            <w:t>Click or tap here to enter text.</w:t>
          </w:r>
        </w:p>
      </w:docPartBody>
    </w:docPart>
    <w:docPart>
      <w:docPartPr>
        <w:name w:val="8F882BF9D3B92D4EA6F567652D0EC42B"/>
        <w:category>
          <w:name w:val="General"/>
          <w:gallery w:val="placeholder"/>
        </w:category>
        <w:types>
          <w:type w:val="bbPlcHdr"/>
        </w:types>
        <w:behaviors>
          <w:behavior w:val="content"/>
        </w:behaviors>
        <w:guid w:val="{707D4053-BD9B-454A-90F1-129250E606D5}"/>
      </w:docPartPr>
      <w:docPartBody>
        <w:p w:rsidR="000234FB" w:rsidRDefault="00305D9E" w:rsidP="00305D9E">
          <w:pPr>
            <w:pStyle w:val="8F882BF9D3B92D4EA6F567652D0EC42B"/>
          </w:pPr>
          <w:r w:rsidRPr="00EE35F8">
            <w:rPr>
              <w:rStyle w:val="PlaceholderText"/>
            </w:rPr>
            <w:t>Click or tap here to enter text.</w:t>
          </w:r>
        </w:p>
      </w:docPartBody>
    </w:docPart>
    <w:docPart>
      <w:docPartPr>
        <w:name w:val="FC94CF2EA4BA1146B8DB314647A63BD3"/>
        <w:category>
          <w:name w:val="General"/>
          <w:gallery w:val="placeholder"/>
        </w:category>
        <w:types>
          <w:type w:val="bbPlcHdr"/>
        </w:types>
        <w:behaviors>
          <w:behavior w:val="content"/>
        </w:behaviors>
        <w:guid w:val="{D84CDF0B-B2CE-6845-8923-7F79380AEAA9}"/>
      </w:docPartPr>
      <w:docPartBody>
        <w:p w:rsidR="000234FB" w:rsidRDefault="00305D9E" w:rsidP="00305D9E">
          <w:pPr>
            <w:pStyle w:val="FC94CF2EA4BA1146B8DB314647A63BD3"/>
          </w:pPr>
          <w:r w:rsidRPr="00C6543E">
            <w:rPr>
              <w:rStyle w:val="PlaceholderText"/>
            </w:rPr>
            <w:t>Click or tap here to enter text.</w:t>
          </w:r>
        </w:p>
      </w:docPartBody>
    </w:docPart>
    <w:docPart>
      <w:docPartPr>
        <w:name w:val="36652600CD2D264D9F8DF4671AE4AD55"/>
        <w:category>
          <w:name w:val="General"/>
          <w:gallery w:val="placeholder"/>
        </w:category>
        <w:types>
          <w:type w:val="bbPlcHdr"/>
        </w:types>
        <w:behaviors>
          <w:behavior w:val="content"/>
        </w:behaviors>
        <w:guid w:val="{3E045257-598C-4F41-998A-CEA8F9958D2A}"/>
      </w:docPartPr>
      <w:docPartBody>
        <w:p w:rsidR="000234FB" w:rsidRDefault="00305D9E" w:rsidP="00305D9E">
          <w:pPr>
            <w:pStyle w:val="36652600CD2D264D9F8DF4671AE4AD55"/>
          </w:pPr>
          <w:r w:rsidRPr="00C6543E">
            <w:rPr>
              <w:rStyle w:val="PlaceholderText"/>
            </w:rPr>
            <w:t>Click or tap here to enter text.</w:t>
          </w:r>
        </w:p>
      </w:docPartBody>
    </w:docPart>
    <w:docPart>
      <w:docPartPr>
        <w:name w:val="FBBA159F651E5946AEE367087CBD9AA4"/>
        <w:category>
          <w:name w:val="General"/>
          <w:gallery w:val="placeholder"/>
        </w:category>
        <w:types>
          <w:type w:val="bbPlcHdr"/>
        </w:types>
        <w:behaviors>
          <w:behavior w:val="content"/>
        </w:behaviors>
        <w:guid w:val="{DECA16DF-2E72-3845-9EAA-DAE307A69012}"/>
      </w:docPartPr>
      <w:docPartBody>
        <w:p w:rsidR="000234FB" w:rsidRDefault="00305D9E" w:rsidP="00305D9E">
          <w:pPr>
            <w:pStyle w:val="FBBA159F651E5946AEE367087CBD9AA4"/>
          </w:pPr>
          <w:r w:rsidRPr="00C6543E">
            <w:rPr>
              <w:rStyle w:val="PlaceholderText"/>
            </w:rPr>
            <w:t>Click or tap here to enter text.</w:t>
          </w:r>
        </w:p>
      </w:docPartBody>
    </w:docPart>
    <w:docPart>
      <w:docPartPr>
        <w:name w:val="B43D0A702C49F04BA824549936DD07C7"/>
        <w:category>
          <w:name w:val="General"/>
          <w:gallery w:val="placeholder"/>
        </w:category>
        <w:types>
          <w:type w:val="bbPlcHdr"/>
        </w:types>
        <w:behaviors>
          <w:behavior w:val="content"/>
        </w:behaviors>
        <w:guid w:val="{3F8A09AF-72DE-5847-AB4D-D1E9707373FA}"/>
      </w:docPartPr>
      <w:docPartBody>
        <w:p w:rsidR="000234FB" w:rsidRDefault="00305D9E" w:rsidP="00305D9E">
          <w:pPr>
            <w:pStyle w:val="B43D0A702C49F04BA824549936DD07C7"/>
          </w:pPr>
          <w:r w:rsidRPr="00C6543E">
            <w:rPr>
              <w:rStyle w:val="PlaceholderText"/>
            </w:rPr>
            <w:t>Click or tap here to enter text.</w:t>
          </w:r>
        </w:p>
      </w:docPartBody>
    </w:docPart>
    <w:docPart>
      <w:docPartPr>
        <w:name w:val="7AB7B7ED1F149547AA5E1E28A7F4B860"/>
        <w:category>
          <w:name w:val="General"/>
          <w:gallery w:val="placeholder"/>
        </w:category>
        <w:types>
          <w:type w:val="bbPlcHdr"/>
        </w:types>
        <w:behaviors>
          <w:behavior w:val="content"/>
        </w:behaviors>
        <w:guid w:val="{A01BC527-0D68-7D46-9BFD-2A8DDA057641}"/>
      </w:docPartPr>
      <w:docPartBody>
        <w:p w:rsidR="000234FB" w:rsidRDefault="00305D9E" w:rsidP="00305D9E">
          <w:pPr>
            <w:pStyle w:val="7AB7B7ED1F149547AA5E1E28A7F4B860"/>
          </w:pPr>
          <w:r w:rsidRPr="00C6543E">
            <w:rPr>
              <w:rStyle w:val="PlaceholderText"/>
            </w:rPr>
            <w:t>Click or tap here to enter text.</w:t>
          </w:r>
        </w:p>
      </w:docPartBody>
    </w:docPart>
    <w:docPart>
      <w:docPartPr>
        <w:name w:val="00D338C70C5A54469B35231FD0892867"/>
        <w:category>
          <w:name w:val="General"/>
          <w:gallery w:val="placeholder"/>
        </w:category>
        <w:types>
          <w:type w:val="bbPlcHdr"/>
        </w:types>
        <w:behaviors>
          <w:behavior w:val="content"/>
        </w:behaviors>
        <w:guid w:val="{85A1D0D4-B0D9-544B-A74D-14F6A40C889D}"/>
      </w:docPartPr>
      <w:docPartBody>
        <w:p w:rsidR="000234FB" w:rsidRDefault="00305D9E" w:rsidP="00305D9E">
          <w:pPr>
            <w:pStyle w:val="00D338C70C5A54469B35231FD0892867"/>
          </w:pPr>
          <w:r w:rsidRPr="00C6543E">
            <w:rPr>
              <w:rStyle w:val="PlaceholderText"/>
            </w:rPr>
            <w:t>Click or tap here to enter text.</w:t>
          </w:r>
        </w:p>
      </w:docPartBody>
    </w:docPart>
    <w:docPart>
      <w:docPartPr>
        <w:name w:val="FB98565843966A4BB7E459B41C0F61A8"/>
        <w:category>
          <w:name w:val="General"/>
          <w:gallery w:val="placeholder"/>
        </w:category>
        <w:types>
          <w:type w:val="bbPlcHdr"/>
        </w:types>
        <w:behaviors>
          <w:behavior w:val="content"/>
        </w:behaviors>
        <w:guid w:val="{D8DD51E1-2FD3-2044-99E1-64B303A29704}"/>
      </w:docPartPr>
      <w:docPartBody>
        <w:p w:rsidR="000234FB" w:rsidRDefault="00305D9E" w:rsidP="00305D9E">
          <w:pPr>
            <w:pStyle w:val="FB98565843966A4BB7E459B41C0F61A8"/>
          </w:pPr>
          <w:r w:rsidRPr="008C1B8B">
            <w:rPr>
              <w:rStyle w:val="PlaceholderText"/>
            </w:rPr>
            <w:t>Click or tap here to enter text.</w:t>
          </w:r>
        </w:p>
      </w:docPartBody>
    </w:docPart>
    <w:docPart>
      <w:docPartPr>
        <w:name w:val="8555CED8CCB94F4DBB11D3EC84546996"/>
        <w:category>
          <w:name w:val="General"/>
          <w:gallery w:val="placeholder"/>
        </w:category>
        <w:types>
          <w:type w:val="bbPlcHdr"/>
        </w:types>
        <w:behaviors>
          <w:behavior w:val="content"/>
        </w:behaviors>
        <w:guid w:val="{7C61D3F2-A73C-7F4B-A4F0-8DB3BDE43975}"/>
      </w:docPartPr>
      <w:docPartBody>
        <w:p w:rsidR="000234FB" w:rsidRDefault="00305D9E" w:rsidP="00305D9E">
          <w:pPr>
            <w:pStyle w:val="8555CED8CCB94F4DBB11D3EC84546996"/>
          </w:pPr>
          <w:r w:rsidRPr="008D2F74">
            <w:rPr>
              <w:rStyle w:val="PlaceholderText"/>
            </w:rPr>
            <w:t>Click or tap here to enter text.</w:t>
          </w:r>
        </w:p>
      </w:docPartBody>
    </w:docPart>
    <w:docPart>
      <w:docPartPr>
        <w:name w:val="2321F980944B2C4D919C82A7D74CB2DA"/>
        <w:category>
          <w:name w:val="General"/>
          <w:gallery w:val="placeholder"/>
        </w:category>
        <w:types>
          <w:type w:val="bbPlcHdr"/>
        </w:types>
        <w:behaviors>
          <w:behavior w:val="content"/>
        </w:behaviors>
        <w:guid w:val="{56DBF119-2B53-C44A-967D-4BE0645947BD}"/>
      </w:docPartPr>
      <w:docPartBody>
        <w:p w:rsidR="000234FB" w:rsidRDefault="00305D9E" w:rsidP="00305D9E">
          <w:pPr>
            <w:pStyle w:val="2321F980944B2C4D919C82A7D74CB2DA"/>
          </w:pPr>
          <w:r w:rsidRPr="008D2F74">
            <w:rPr>
              <w:rStyle w:val="PlaceholderText"/>
            </w:rPr>
            <w:t>Click or tap here to enter text.</w:t>
          </w:r>
        </w:p>
      </w:docPartBody>
    </w:docPart>
    <w:docPart>
      <w:docPartPr>
        <w:name w:val="C8AC378ADD4A36438B642FC848097BE5"/>
        <w:category>
          <w:name w:val="General"/>
          <w:gallery w:val="placeholder"/>
        </w:category>
        <w:types>
          <w:type w:val="bbPlcHdr"/>
        </w:types>
        <w:behaviors>
          <w:behavior w:val="content"/>
        </w:behaviors>
        <w:guid w:val="{12110D93-89BE-894D-A5B6-DB8CC9D63617}"/>
      </w:docPartPr>
      <w:docPartBody>
        <w:p w:rsidR="000234FB" w:rsidRDefault="00305D9E" w:rsidP="00305D9E">
          <w:pPr>
            <w:pStyle w:val="C8AC378ADD4A36438B642FC848097BE5"/>
          </w:pPr>
          <w:r w:rsidRPr="008D2F74">
            <w:rPr>
              <w:rStyle w:val="PlaceholderText"/>
            </w:rPr>
            <w:t>Click or tap here to enter text.</w:t>
          </w:r>
        </w:p>
      </w:docPartBody>
    </w:docPart>
    <w:docPart>
      <w:docPartPr>
        <w:name w:val="69D690E31ADB9C4E86011D29D6602163"/>
        <w:category>
          <w:name w:val="General"/>
          <w:gallery w:val="placeholder"/>
        </w:category>
        <w:types>
          <w:type w:val="bbPlcHdr"/>
        </w:types>
        <w:behaviors>
          <w:behavior w:val="content"/>
        </w:behaviors>
        <w:guid w:val="{6E5CB390-EB1E-B14D-9DD8-73DCEC78BF0E}"/>
      </w:docPartPr>
      <w:docPartBody>
        <w:p w:rsidR="000234FB" w:rsidRDefault="00305D9E" w:rsidP="00305D9E">
          <w:pPr>
            <w:pStyle w:val="69D690E31ADB9C4E86011D29D6602163"/>
          </w:pPr>
          <w:r w:rsidRPr="008D2F74">
            <w:rPr>
              <w:rStyle w:val="PlaceholderText"/>
            </w:rPr>
            <w:t>Click or tap here to enter text.</w:t>
          </w:r>
        </w:p>
      </w:docPartBody>
    </w:docPart>
    <w:docPart>
      <w:docPartPr>
        <w:name w:val="EAC88EFCD4383D409921CA41B4D3AF22"/>
        <w:category>
          <w:name w:val="General"/>
          <w:gallery w:val="placeholder"/>
        </w:category>
        <w:types>
          <w:type w:val="bbPlcHdr"/>
        </w:types>
        <w:behaviors>
          <w:behavior w:val="content"/>
        </w:behaviors>
        <w:guid w:val="{DF933907-BAE1-3747-BBEB-76373A4F4579}"/>
      </w:docPartPr>
      <w:docPartBody>
        <w:p w:rsidR="000234FB" w:rsidRDefault="00305D9E" w:rsidP="00305D9E">
          <w:pPr>
            <w:pStyle w:val="EAC88EFCD4383D409921CA41B4D3AF22"/>
          </w:pPr>
          <w:r w:rsidRPr="008D2F74">
            <w:rPr>
              <w:rStyle w:val="PlaceholderText"/>
            </w:rPr>
            <w:t>Click or tap here to enter text.</w:t>
          </w:r>
        </w:p>
      </w:docPartBody>
    </w:docPart>
    <w:docPart>
      <w:docPartPr>
        <w:name w:val="E2A9C0042EEB2347B3AD83CB07FAAB5D"/>
        <w:category>
          <w:name w:val="General"/>
          <w:gallery w:val="placeholder"/>
        </w:category>
        <w:types>
          <w:type w:val="bbPlcHdr"/>
        </w:types>
        <w:behaviors>
          <w:behavior w:val="content"/>
        </w:behaviors>
        <w:guid w:val="{E66F82DE-8343-4045-9A63-6BD31043C9EE}"/>
      </w:docPartPr>
      <w:docPartBody>
        <w:p w:rsidR="000234FB" w:rsidRDefault="00305D9E" w:rsidP="00305D9E">
          <w:pPr>
            <w:pStyle w:val="E2A9C0042EEB2347B3AD83CB07FAAB5D"/>
          </w:pPr>
          <w:r w:rsidRPr="008D2F74">
            <w:rPr>
              <w:rStyle w:val="PlaceholderText"/>
            </w:rPr>
            <w:t>Click or tap here to enter text.</w:t>
          </w:r>
        </w:p>
      </w:docPartBody>
    </w:docPart>
    <w:docPart>
      <w:docPartPr>
        <w:name w:val="F5D7B6963B752C40B85C9FFEA6FF9B4E"/>
        <w:category>
          <w:name w:val="General"/>
          <w:gallery w:val="placeholder"/>
        </w:category>
        <w:types>
          <w:type w:val="bbPlcHdr"/>
        </w:types>
        <w:behaviors>
          <w:behavior w:val="content"/>
        </w:behaviors>
        <w:guid w:val="{7AD3730E-DC0A-AA40-9A48-921EDF8E0A26}"/>
      </w:docPartPr>
      <w:docPartBody>
        <w:p w:rsidR="000234FB" w:rsidRDefault="00305D9E" w:rsidP="00305D9E">
          <w:pPr>
            <w:pStyle w:val="F5D7B6963B752C40B85C9FFEA6FF9B4E"/>
          </w:pPr>
          <w:r w:rsidRPr="008D2F74">
            <w:rPr>
              <w:rStyle w:val="PlaceholderText"/>
            </w:rPr>
            <w:t>Click or tap here to enter text.</w:t>
          </w:r>
        </w:p>
      </w:docPartBody>
    </w:docPart>
    <w:docPart>
      <w:docPartPr>
        <w:name w:val="818D04AF82DA8242AA20B9FE3FFA80FA"/>
        <w:category>
          <w:name w:val="General"/>
          <w:gallery w:val="placeholder"/>
        </w:category>
        <w:types>
          <w:type w:val="bbPlcHdr"/>
        </w:types>
        <w:behaviors>
          <w:behavior w:val="content"/>
        </w:behaviors>
        <w:guid w:val="{064DC99A-F145-E944-A3E9-FB12D2379495}"/>
      </w:docPartPr>
      <w:docPartBody>
        <w:p w:rsidR="000234FB" w:rsidRDefault="00305D9E" w:rsidP="00305D9E">
          <w:pPr>
            <w:pStyle w:val="818D04AF82DA8242AA20B9FE3FFA80FA"/>
          </w:pPr>
          <w:r w:rsidRPr="005B3902">
            <w:rPr>
              <w:rStyle w:val="PlaceholderText"/>
            </w:rPr>
            <w:t>Click or tap here to enter text.</w:t>
          </w:r>
        </w:p>
      </w:docPartBody>
    </w:docPart>
    <w:docPart>
      <w:docPartPr>
        <w:name w:val="68F29FA7CAD6D14087A3063E37B20A5D"/>
        <w:category>
          <w:name w:val="General"/>
          <w:gallery w:val="placeholder"/>
        </w:category>
        <w:types>
          <w:type w:val="bbPlcHdr"/>
        </w:types>
        <w:behaviors>
          <w:behavior w:val="content"/>
        </w:behaviors>
        <w:guid w:val="{6D89F925-EA20-4A46-B1C9-5E61A203C78E}"/>
      </w:docPartPr>
      <w:docPartBody>
        <w:p w:rsidR="000234FB" w:rsidRDefault="00305D9E" w:rsidP="00305D9E">
          <w:pPr>
            <w:pStyle w:val="68F29FA7CAD6D14087A3063E37B20A5D"/>
          </w:pPr>
          <w:r w:rsidRPr="005B3902">
            <w:rPr>
              <w:rStyle w:val="PlaceholderText"/>
            </w:rPr>
            <w:t>Click or tap here to enter text.</w:t>
          </w:r>
        </w:p>
      </w:docPartBody>
    </w:docPart>
    <w:docPart>
      <w:docPartPr>
        <w:name w:val="6AD4D9CA207DA34C98A359F7E76D0096"/>
        <w:category>
          <w:name w:val="General"/>
          <w:gallery w:val="placeholder"/>
        </w:category>
        <w:types>
          <w:type w:val="bbPlcHdr"/>
        </w:types>
        <w:behaviors>
          <w:behavior w:val="content"/>
        </w:behaviors>
        <w:guid w:val="{0B02FC64-1F8A-1C42-9627-4E3FF4D63D9A}"/>
      </w:docPartPr>
      <w:docPartBody>
        <w:p w:rsidR="000234FB" w:rsidRDefault="00305D9E" w:rsidP="00305D9E">
          <w:pPr>
            <w:pStyle w:val="6AD4D9CA207DA34C98A359F7E76D0096"/>
          </w:pPr>
          <w:r w:rsidRPr="005B3902">
            <w:rPr>
              <w:rStyle w:val="PlaceholderText"/>
            </w:rPr>
            <w:t>Click or tap here to enter text.</w:t>
          </w:r>
        </w:p>
      </w:docPartBody>
    </w:docPart>
    <w:docPart>
      <w:docPartPr>
        <w:name w:val="EE3874D81E39474D8093428FB01C4BEE"/>
        <w:category>
          <w:name w:val="General"/>
          <w:gallery w:val="placeholder"/>
        </w:category>
        <w:types>
          <w:type w:val="bbPlcHdr"/>
        </w:types>
        <w:behaviors>
          <w:behavior w:val="content"/>
        </w:behaviors>
        <w:guid w:val="{E4AB11EB-C271-B34F-AE41-7255F19D9D83}"/>
      </w:docPartPr>
      <w:docPartBody>
        <w:p w:rsidR="000234FB" w:rsidRDefault="00305D9E" w:rsidP="00305D9E">
          <w:pPr>
            <w:pStyle w:val="EE3874D81E39474D8093428FB01C4BEE"/>
          </w:pPr>
          <w:r w:rsidRPr="005B3902">
            <w:rPr>
              <w:rStyle w:val="PlaceholderText"/>
            </w:rPr>
            <w:t>Click or tap here to enter text.</w:t>
          </w:r>
        </w:p>
      </w:docPartBody>
    </w:docPart>
    <w:docPart>
      <w:docPartPr>
        <w:name w:val="719E5BFF1104C743B278A934CD98D16E"/>
        <w:category>
          <w:name w:val="General"/>
          <w:gallery w:val="placeholder"/>
        </w:category>
        <w:types>
          <w:type w:val="bbPlcHdr"/>
        </w:types>
        <w:behaviors>
          <w:behavior w:val="content"/>
        </w:behaviors>
        <w:guid w:val="{B3C89F77-9020-F641-8068-1631D8D40591}"/>
      </w:docPartPr>
      <w:docPartBody>
        <w:p w:rsidR="000234FB" w:rsidRDefault="00305D9E" w:rsidP="00305D9E">
          <w:pPr>
            <w:pStyle w:val="719E5BFF1104C743B278A934CD98D16E"/>
          </w:pPr>
          <w:r w:rsidRPr="005B3902">
            <w:rPr>
              <w:rStyle w:val="PlaceholderText"/>
            </w:rPr>
            <w:t>Click or tap here to enter text.</w:t>
          </w:r>
        </w:p>
      </w:docPartBody>
    </w:docPart>
    <w:docPart>
      <w:docPartPr>
        <w:name w:val="FF4820B32E5F2641AB6C618C6B62ABC2"/>
        <w:category>
          <w:name w:val="General"/>
          <w:gallery w:val="placeholder"/>
        </w:category>
        <w:types>
          <w:type w:val="bbPlcHdr"/>
        </w:types>
        <w:behaviors>
          <w:behavior w:val="content"/>
        </w:behaviors>
        <w:guid w:val="{8D7330C0-3F30-3A4F-8E1D-63CC5C137994}"/>
      </w:docPartPr>
      <w:docPartBody>
        <w:p w:rsidR="000234FB" w:rsidRDefault="00305D9E" w:rsidP="00305D9E">
          <w:pPr>
            <w:pStyle w:val="FF4820B32E5F2641AB6C618C6B62ABC2"/>
          </w:pPr>
          <w:r w:rsidRPr="008C1B8B">
            <w:rPr>
              <w:rStyle w:val="PlaceholderText"/>
            </w:rPr>
            <w:t>Click or tap here to enter text.</w:t>
          </w:r>
        </w:p>
      </w:docPartBody>
    </w:docPart>
    <w:docPart>
      <w:docPartPr>
        <w:name w:val="8DD93A68769F4D43BD724334696CE810"/>
        <w:category>
          <w:name w:val="General"/>
          <w:gallery w:val="placeholder"/>
        </w:category>
        <w:types>
          <w:type w:val="bbPlcHdr"/>
        </w:types>
        <w:behaviors>
          <w:behavior w:val="content"/>
        </w:behaviors>
        <w:guid w:val="{1EF32447-3ACA-EA4D-B79F-5489041D5271}"/>
      </w:docPartPr>
      <w:docPartBody>
        <w:p w:rsidR="000234FB" w:rsidRDefault="00305D9E" w:rsidP="00305D9E">
          <w:pPr>
            <w:pStyle w:val="8DD93A68769F4D43BD724334696CE810"/>
          </w:pPr>
          <w:r w:rsidRPr="008C1B8B">
            <w:rPr>
              <w:rStyle w:val="PlaceholderText"/>
            </w:rPr>
            <w:t>Click or tap here to enter text.</w:t>
          </w:r>
        </w:p>
      </w:docPartBody>
    </w:docPart>
    <w:docPart>
      <w:docPartPr>
        <w:name w:val="60B87CFE71460B43B96E7D6CD8BC4E99"/>
        <w:category>
          <w:name w:val="General"/>
          <w:gallery w:val="placeholder"/>
        </w:category>
        <w:types>
          <w:type w:val="bbPlcHdr"/>
        </w:types>
        <w:behaviors>
          <w:behavior w:val="content"/>
        </w:behaviors>
        <w:guid w:val="{38852DA5-2A8D-2540-B4ED-32A0C34F8012}"/>
      </w:docPartPr>
      <w:docPartBody>
        <w:p w:rsidR="000234FB" w:rsidRDefault="00305D9E" w:rsidP="00305D9E">
          <w:pPr>
            <w:pStyle w:val="60B87CFE71460B43B96E7D6CD8BC4E99"/>
          </w:pPr>
          <w:r w:rsidRPr="008D2F74">
            <w:rPr>
              <w:rStyle w:val="PlaceholderText"/>
            </w:rPr>
            <w:t>Click or tap here to enter text.</w:t>
          </w:r>
        </w:p>
      </w:docPartBody>
    </w:docPart>
    <w:docPart>
      <w:docPartPr>
        <w:name w:val="1E1E07287C5EF64C90437035C6DB47A3"/>
        <w:category>
          <w:name w:val="General"/>
          <w:gallery w:val="placeholder"/>
        </w:category>
        <w:types>
          <w:type w:val="bbPlcHdr"/>
        </w:types>
        <w:behaviors>
          <w:behavior w:val="content"/>
        </w:behaviors>
        <w:guid w:val="{50B754D5-B34D-4742-81A9-F0C6CF71A22F}"/>
      </w:docPartPr>
      <w:docPartBody>
        <w:p w:rsidR="000234FB" w:rsidRDefault="00305D9E" w:rsidP="00305D9E">
          <w:pPr>
            <w:pStyle w:val="1E1E07287C5EF64C90437035C6DB47A3"/>
          </w:pPr>
          <w:r w:rsidRPr="008C1B8B">
            <w:rPr>
              <w:rStyle w:val="PlaceholderText"/>
            </w:rPr>
            <w:t>Click or tap here to enter text.</w:t>
          </w:r>
        </w:p>
      </w:docPartBody>
    </w:docPart>
    <w:docPart>
      <w:docPartPr>
        <w:name w:val="CA3957472A8D224CADF08069A797E5A6"/>
        <w:category>
          <w:name w:val="General"/>
          <w:gallery w:val="placeholder"/>
        </w:category>
        <w:types>
          <w:type w:val="bbPlcHdr"/>
        </w:types>
        <w:behaviors>
          <w:behavior w:val="content"/>
        </w:behaviors>
        <w:guid w:val="{E1ABA99B-0BF9-5C43-BF23-51108FF5D3A5}"/>
      </w:docPartPr>
      <w:docPartBody>
        <w:p w:rsidR="000234FB" w:rsidRDefault="00305D9E" w:rsidP="00305D9E">
          <w:pPr>
            <w:pStyle w:val="CA3957472A8D224CADF08069A797E5A6"/>
          </w:pPr>
          <w:r w:rsidRPr="005B3902">
            <w:rPr>
              <w:rStyle w:val="PlaceholderText"/>
            </w:rPr>
            <w:t>Click or tap here to enter text.</w:t>
          </w:r>
        </w:p>
      </w:docPartBody>
    </w:docPart>
    <w:docPart>
      <w:docPartPr>
        <w:name w:val="8BE4BDF90CE0764ABCD512CF0474614D"/>
        <w:category>
          <w:name w:val="General"/>
          <w:gallery w:val="placeholder"/>
        </w:category>
        <w:types>
          <w:type w:val="bbPlcHdr"/>
        </w:types>
        <w:behaviors>
          <w:behavior w:val="content"/>
        </w:behaviors>
        <w:guid w:val="{9B9D9A3D-661C-F043-9074-436253A5E097}"/>
      </w:docPartPr>
      <w:docPartBody>
        <w:p w:rsidR="000234FB" w:rsidRDefault="00305D9E" w:rsidP="00305D9E">
          <w:pPr>
            <w:pStyle w:val="8BE4BDF90CE0764ABCD512CF0474614D"/>
          </w:pPr>
          <w:r w:rsidRPr="005B3902">
            <w:rPr>
              <w:rStyle w:val="PlaceholderText"/>
            </w:rPr>
            <w:t>Click or tap here to enter text.</w:t>
          </w:r>
        </w:p>
      </w:docPartBody>
    </w:docPart>
    <w:docPart>
      <w:docPartPr>
        <w:name w:val="943C5FB4311C234F852A1A3DA615DB35"/>
        <w:category>
          <w:name w:val="General"/>
          <w:gallery w:val="placeholder"/>
        </w:category>
        <w:types>
          <w:type w:val="bbPlcHdr"/>
        </w:types>
        <w:behaviors>
          <w:behavior w:val="content"/>
        </w:behaviors>
        <w:guid w:val="{54F235FB-D3FA-9843-9096-87556112A5EE}"/>
      </w:docPartPr>
      <w:docPartBody>
        <w:p w:rsidR="000234FB" w:rsidRDefault="00305D9E" w:rsidP="00305D9E">
          <w:pPr>
            <w:pStyle w:val="943C5FB4311C234F852A1A3DA615DB35"/>
          </w:pPr>
          <w:r w:rsidRPr="005B3902">
            <w:rPr>
              <w:rStyle w:val="PlaceholderText"/>
            </w:rPr>
            <w:t>Click or tap here to enter text.</w:t>
          </w:r>
        </w:p>
      </w:docPartBody>
    </w:docPart>
    <w:docPart>
      <w:docPartPr>
        <w:name w:val="2F2D57DAECCB7B4E839A1812A818B3F9"/>
        <w:category>
          <w:name w:val="General"/>
          <w:gallery w:val="placeholder"/>
        </w:category>
        <w:types>
          <w:type w:val="bbPlcHdr"/>
        </w:types>
        <w:behaviors>
          <w:behavior w:val="content"/>
        </w:behaviors>
        <w:guid w:val="{7F5D7ECC-678F-DF48-8557-EDADF8273FA5}"/>
      </w:docPartPr>
      <w:docPartBody>
        <w:p w:rsidR="000234FB" w:rsidRDefault="00305D9E" w:rsidP="00305D9E">
          <w:pPr>
            <w:pStyle w:val="2F2D57DAECCB7B4E839A1812A818B3F9"/>
          </w:pPr>
          <w:r w:rsidRPr="005B3902">
            <w:rPr>
              <w:rStyle w:val="PlaceholderText"/>
            </w:rPr>
            <w:t>Click or tap here to enter text.</w:t>
          </w:r>
        </w:p>
      </w:docPartBody>
    </w:docPart>
    <w:docPart>
      <w:docPartPr>
        <w:name w:val="C06A40BACFFD4C4682438A81B474DE41"/>
        <w:category>
          <w:name w:val="General"/>
          <w:gallery w:val="placeholder"/>
        </w:category>
        <w:types>
          <w:type w:val="bbPlcHdr"/>
        </w:types>
        <w:behaviors>
          <w:behavior w:val="content"/>
        </w:behaviors>
        <w:guid w:val="{11856047-00C3-454B-9DC5-9B613DF8EB57}"/>
      </w:docPartPr>
      <w:docPartBody>
        <w:p w:rsidR="000234FB" w:rsidRDefault="00305D9E" w:rsidP="00305D9E">
          <w:pPr>
            <w:pStyle w:val="C06A40BACFFD4C4682438A81B474DE41"/>
          </w:pPr>
          <w:r w:rsidRPr="005B3902">
            <w:rPr>
              <w:rStyle w:val="PlaceholderText"/>
            </w:rPr>
            <w:t>Click or tap here to enter text.</w:t>
          </w:r>
        </w:p>
      </w:docPartBody>
    </w:docPart>
    <w:docPart>
      <w:docPartPr>
        <w:name w:val="2534F44A10A8CB4E82FD7E7430F254D2"/>
        <w:category>
          <w:name w:val="General"/>
          <w:gallery w:val="placeholder"/>
        </w:category>
        <w:types>
          <w:type w:val="bbPlcHdr"/>
        </w:types>
        <w:behaviors>
          <w:behavior w:val="content"/>
        </w:behaviors>
        <w:guid w:val="{039005B5-7AA7-5D4D-901E-F9458E6EA1CA}"/>
      </w:docPartPr>
      <w:docPartBody>
        <w:p w:rsidR="000234FB" w:rsidRDefault="00305D9E" w:rsidP="00305D9E">
          <w:pPr>
            <w:pStyle w:val="2534F44A10A8CB4E82FD7E7430F254D2"/>
          </w:pPr>
          <w:r w:rsidRPr="005B3902">
            <w:rPr>
              <w:rStyle w:val="PlaceholderText"/>
            </w:rPr>
            <w:t>Click or tap here to enter text.</w:t>
          </w:r>
        </w:p>
      </w:docPartBody>
    </w:docPart>
    <w:docPart>
      <w:docPartPr>
        <w:name w:val="DB61AD8273F4254A984ACACBE62408BE"/>
        <w:category>
          <w:name w:val="General"/>
          <w:gallery w:val="placeholder"/>
        </w:category>
        <w:types>
          <w:type w:val="bbPlcHdr"/>
        </w:types>
        <w:behaviors>
          <w:behavior w:val="content"/>
        </w:behaviors>
        <w:guid w:val="{7D975A80-1F31-604C-9139-95A951CDFA18}"/>
      </w:docPartPr>
      <w:docPartBody>
        <w:p w:rsidR="000234FB" w:rsidRDefault="00305D9E" w:rsidP="00305D9E">
          <w:pPr>
            <w:pStyle w:val="DB61AD8273F4254A984ACACBE62408BE"/>
          </w:pPr>
          <w:r w:rsidRPr="005B3902">
            <w:rPr>
              <w:rStyle w:val="PlaceholderText"/>
            </w:rPr>
            <w:t>Click or tap here to enter text.</w:t>
          </w:r>
        </w:p>
      </w:docPartBody>
    </w:docPart>
    <w:docPart>
      <w:docPartPr>
        <w:name w:val="A2B5F277A7B82A49BD2767408FA88361"/>
        <w:category>
          <w:name w:val="General"/>
          <w:gallery w:val="placeholder"/>
        </w:category>
        <w:types>
          <w:type w:val="bbPlcHdr"/>
        </w:types>
        <w:behaviors>
          <w:behavior w:val="content"/>
        </w:behaviors>
        <w:guid w:val="{373DA964-098E-8045-9DBD-B85D1352B2FB}"/>
      </w:docPartPr>
      <w:docPartBody>
        <w:p w:rsidR="000234FB" w:rsidRDefault="00305D9E" w:rsidP="00305D9E">
          <w:pPr>
            <w:pStyle w:val="A2B5F277A7B82A49BD2767408FA88361"/>
          </w:pPr>
          <w:r w:rsidRPr="005B3902">
            <w:rPr>
              <w:rStyle w:val="PlaceholderText"/>
            </w:rPr>
            <w:t>Click or tap here to enter text.</w:t>
          </w:r>
        </w:p>
      </w:docPartBody>
    </w:docPart>
    <w:docPart>
      <w:docPartPr>
        <w:name w:val="E083BE152A98EE49A87198EA29194721"/>
        <w:category>
          <w:name w:val="General"/>
          <w:gallery w:val="placeholder"/>
        </w:category>
        <w:types>
          <w:type w:val="bbPlcHdr"/>
        </w:types>
        <w:behaviors>
          <w:behavior w:val="content"/>
        </w:behaviors>
        <w:guid w:val="{36196EAF-FEE6-604C-8D51-54BB39D60291}"/>
      </w:docPartPr>
      <w:docPartBody>
        <w:p w:rsidR="000234FB" w:rsidRDefault="00305D9E" w:rsidP="00305D9E">
          <w:pPr>
            <w:pStyle w:val="E083BE152A98EE49A87198EA29194721"/>
          </w:pPr>
          <w:r w:rsidRPr="00CF08EB">
            <w:rPr>
              <w:rStyle w:val="PlaceholderText"/>
            </w:rPr>
            <w:t>Click or tap here to enter text.</w:t>
          </w:r>
        </w:p>
      </w:docPartBody>
    </w:docPart>
    <w:docPart>
      <w:docPartPr>
        <w:name w:val="71DF423F5469074FB7F07139D380EF43"/>
        <w:category>
          <w:name w:val="General"/>
          <w:gallery w:val="placeholder"/>
        </w:category>
        <w:types>
          <w:type w:val="bbPlcHdr"/>
        </w:types>
        <w:behaviors>
          <w:behavior w:val="content"/>
        </w:behaviors>
        <w:guid w:val="{AA189FDD-9584-2548-ADB0-7FEC140CD3E4}"/>
      </w:docPartPr>
      <w:docPartBody>
        <w:p w:rsidR="000234FB" w:rsidRDefault="00305D9E" w:rsidP="00305D9E">
          <w:pPr>
            <w:pStyle w:val="71DF423F5469074FB7F07139D380EF43"/>
          </w:pPr>
          <w:r w:rsidRPr="00CF08EB">
            <w:rPr>
              <w:rStyle w:val="PlaceholderText"/>
            </w:rPr>
            <w:t>Click or tap here to enter text.</w:t>
          </w:r>
        </w:p>
      </w:docPartBody>
    </w:docPart>
    <w:docPart>
      <w:docPartPr>
        <w:name w:val="67EEC3D1BE739D418825FDCE309F33B6"/>
        <w:category>
          <w:name w:val="General"/>
          <w:gallery w:val="placeholder"/>
        </w:category>
        <w:types>
          <w:type w:val="bbPlcHdr"/>
        </w:types>
        <w:behaviors>
          <w:behavior w:val="content"/>
        </w:behaviors>
        <w:guid w:val="{1CBA88B3-53D6-5845-AF25-3B15C5E8B498}"/>
      </w:docPartPr>
      <w:docPartBody>
        <w:p w:rsidR="000234FB" w:rsidRDefault="00305D9E" w:rsidP="00305D9E">
          <w:pPr>
            <w:pStyle w:val="67EEC3D1BE739D418825FDCE309F33B6"/>
          </w:pPr>
          <w:r w:rsidRPr="00CF08EB">
            <w:rPr>
              <w:rStyle w:val="PlaceholderText"/>
            </w:rPr>
            <w:t>Click or tap here to enter text.</w:t>
          </w:r>
        </w:p>
      </w:docPartBody>
    </w:docPart>
    <w:docPart>
      <w:docPartPr>
        <w:name w:val="09E955B4B7C90D4E8B6671C3E1289157"/>
        <w:category>
          <w:name w:val="General"/>
          <w:gallery w:val="placeholder"/>
        </w:category>
        <w:types>
          <w:type w:val="bbPlcHdr"/>
        </w:types>
        <w:behaviors>
          <w:behavior w:val="content"/>
        </w:behaviors>
        <w:guid w:val="{DEE1AB5D-689B-544A-B85C-EDC73DFDDAB0}"/>
      </w:docPartPr>
      <w:docPartBody>
        <w:p w:rsidR="000234FB" w:rsidRDefault="00305D9E" w:rsidP="00305D9E">
          <w:pPr>
            <w:pStyle w:val="09E955B4B7C90D4E8B6671C3E1289157"/>
          </w:pPr>
          <w:r w:rsidRPr="00CF08EB">
            <w:rPr>
              <w:rStyle w:val="PlaceholderText"/>
            </w:rPr>
            <w:t>Click or tap here to enter text.</w:t>
          </w:r>
        </w:p>
      </w:docPartBody>
    </w:docPart>
    <w:docPart>
      <w:docPartPr>
        <w:name w:val="3BBE6AC8ADF92943B7103F1B75274D1A"/>
        <w:category>
          <w:name w:val="General"/>
          <w:gallery w:val="placeholder"/>
        </w:category>
        <w:types>
          <w:type w:val="bbPlcHdr"/>
        </w:types>
        <w:behaviors>
          <w:behavior w:val="content"/>
        </w:behaviors>
        <w:guid w:val="{7E6BD877-5B55-DB4C-9355-A987E05B9BF9}"/>
      </w:docPartPr>
      <w:docPartBody>
        <w:p w:rsidR="000234FB" w:rsidRDefault="00305D9E" w:rsidP="00305D9E">
          <w:pPr>
            <w:pStyle w:val="3BBE6AC8ADF92943B7103F1B75274D1A"/>
          </w:pPr>
          <w:r w:rsidRPr="0062723E">
            <w:rPr>
              <w:rStyle w:val="PlaceholderText"/>
            </w:rPr>
            <w:t>Click or tap here to enter text.</w:t>
          </w:r>
        </w:p>
      </w:docPartBody>
    </w:docPart>
    <w:docPart>
      <w:docPartPr>
        <w:name w:val="7A08AF84354E6E41A42F57BF9E0D13F4"/>
        <w:category>
          <w:name w:val="General"/>
          <w:gallery w:val="placeholder"/>
        </w:category>
        <w:types>
          <w:type w:val="bbPlcHdr"/>
        </w:types>
        <w:behaviors>
          <w:behavior w:val="content"/>
        </w:behaviors>
        <w:guid w:val="{98914120-B358-6843-BCC9-BDA017EFB2B6}"/>
      </w:docPartPr>
      <w:docPartBody>
        <w:p w:rsidR="000234FB" w:rsidRDefault="00305D9E" w:rsidP="00305D9E">
          <w:pPr>
            <w:pStyle w:val="7A08AF84354E6E41A42F57BF9E0D13F4"/>
          </w:pPr>
          <w:r w:rsidRPr="0062723E">
            <w:rPr>
              <w:rStyle w:val="PlaceholderText"/>
            </w:rPr>
            <w:t>Click or tap here to enter text.</w:t>
          </w:r>
        </w:p>
      </w:docPartBody>
    </w:docPart>
    <w:docPart>
      <w:docPartPr>
        <w:name w:val="BA7C8A2B9A94C84B957B471B05E913FD"/>
        <w:category>
          <w:name w:val="General"/>
          <w:gallery w:val="placeholder"/>
        </w:category>
        <w:types>
          <w:type w:val="bbPlcHdr"/>
        </w:types>
        <w:behaviors>
          <w:behavior w:val="content"/>
        </w:behaviors>
        <w:guid w:val="{5266D5F8-4F4E-834B-990E-3ED9F5E09A94}"/>
      </w:docPartPr>
      <w:docPartBody>
        <w:p w:rsidR="000234FB" w:rsidRDefault="00305D9E" w:rsidP="00305D9E">
          <w:pPr>
            <w:pStyle w:val="BA7C8A2B9A94C84B957B471B05E913FD"/>
          </w:pPr>
          <w:r w:rsidRPr="008C1B8B">
            <w:rPr>
              <w:rStyle w:val="PlaceholderText"/>
            </w:rPr>
            <w:t>Click or tap here to enter text.</w:t>
          </w:r>
        </w:p>
      </w:docPartBody>
    </w:docPart>
    <w:docPart>
      <w:docPartPr>
        <w:name w:val="7A43E38A8AC6794087BB2323B558952D"/>
        <w:category>
          <w:name w:val="General"/>
          <w:gallery w:val="placeholder"/>
        </w:category>
        <w:types>
          <w:type w:val="bbPlcHdr"/>
        </w:types>
        <w:behaviors>
          <w:behavior w:val="content"/>
        </w:behaviors>
        <w:guid w:val="{B0A1D79B-BE6C-1A4D-A29C-352F0AB447B2}"/>
      </w:docPartPr>
      <w:docPartBody>
        <w:p w:rsidR="000234FB" w:rsidRDefault="00305D9E" w:rsidP="00305D9E">
          <w:pPr>
            <w:pStyle w:val="7A43E38A8AC6794087BB2323B558952D"/>
          </w:pPr>
          <w:r w:rsidRPr="008C1B8B">
            <w:rPr>
              <w:rStyle w:val="PlaceholderText"/>
            </w:rPr>
            <w:t>Click or tap here to enter text.</w:t>
          </w:r>
        </w:p>
      </w:docPartBody>
    </w:docPart>
    <w:docPart>
      <w:docPartPr>
        <w:name w:val="9F9A710FF745204C88F9D3587F9A2678"/>
        <w:category>
          <w:name w:val="General"/>
          <w:gallery w:val="placeholder"/>
        </w:category>
        <w:types>
          <w:type w:val="bbPlcHdr"/>
        </w:types>
        <w:behaviors>
          <w:behavior w:val="content"/>
        </w:behaviors>
        <w:guid w:val="{089C1527-EADC-5246-9FDA-31BF0D1DC5E5}"/>
      </w:docPartPr>
      <w:docPartBody>
        <w:p w:rsidR="000234FB" w:rsidRDefault="00305D9E" w:rsidP="00305D9E">
          <w:pPr>
            <w:pStyle w:val="9F9A710FF745204C88F9D3587F9A2678"/>
          </w:pPr>
          <w:r w:rsidRPr="008C1B8B">
            <w:rPr>
              <w:rStyle w:val="PlaceholderText"/>
            </w:rPr>
            <w:t>Click or tap here to enter text.</w:t>
          </w:r>
        </w:p>
      </w:docPartBody>
    </w:docPart>
    <w:docPart>
      <w:docPartPr>
        <w:name w:val="42A106DF8D73124DA0977A4A56EB286C"/>
        <w:category>
          <w:name w:val="General"/>
          <w:gallery w:val="placeholder"/>
        </w:category>
        <w:types>
          <w:type w:val="bbPlcHdr"/>
        </w:types>
        <w:behaviors>
          <w:behavior w:val="content"/>
        </w:behaviors>
        <w:guid w:val="{090EFAA2-03B5-0449-991E-45DAA21F43D0}"/>
      </w:docPartPr>
      <w:docPartBody>
        <w:p w:rsidR="000234FB" w:rsidRDefault="00305D9E" w:rsidP="00305D9E">
          <w:pPr>
            <w:pStyle w:val="42A106DF8D73124DA0977A4A56EB286C"/>
          </w:pPr>
          <w:r w:rsidRPr="008C1B8B">
            <w:rPr>
              <w:rStyle w:val="PlaceholderText"/>
            </w:rPr>
            <w:t>Click or tap here to enter text.</w:t>
          </w:r>
        </w:p>
      </w:docPartBody>
    </w:docPart>
    <w:docPart>
      <w:docPartPr>
        <w:name w:val="C5FC8EA4F16AB44093892E62CE18210C"/>
        <w:category>
          <w:name w:val="General"/>
          <w:gallery w:val="placeholder"/>
        </w:category>
        <w:types>
          <w:type w:val="bbPlcHdr"/>
        </w:types>
        <w:behaviors>
          <w:behavior w:val="content"/>
        </w:behaviors>
        <w:guid w:val="{5478E513-81F0-524C-8AC6-1DA9E936AA38}"/>
      </w:docPartPr>
      <w:docPartBody>
        <w:p w:rsidR="000234FB" w:rsidRDefault="00305D9E" w:rsidP="00305D9E">
          <w:pPr>
            <w:pStyle w:val="C5FC8EA4F16AB44093892E62CE18210C"/>
          </w:pPr>
          <w:r w:rsidRPr="008C1B8B">
            <w:rPr>
              <w:rStyle w:val="PlaceholderText"/>
            </w:rPr>
            <w:t>Click or tap here to enter text.</w:t>
          </w:r>
        </w:p>
      </w:docPartBody>
    </w:docPart>
    <w:docPart>
      <w:docPartPr>
        <w:name w:val="5848EFD39BCF3F49BCE26FF0D55150E8"/>
        <w:category>
          <w:name w:val="General"/>
          <w:gallery w:val="placeholder"/>
        </w:category>
        <w:types>
          <w:type w:val="bbPlcHdr"/>
        </w:types>
        <w:behaviors>
          <w:behavior w:val="content"/>
        </w:behaviors>
        <w:guid w:val="{D133BA9E-E207-E84D-84B0-295C3DB2F96F}"/>
      </w:docPartPr>
      <w:docPartBody>
        <w:p w:rsidR="000234FB" w:rsidRDefault="00305D9E" w:rsidP="00305D9E">
          <w:pPr>
            <w:pStyle w:val="5848EFD39BCF3F49BCE26FF0D55150E8"/>
          </w:pPr>
          <w:r w:rsidRPr="008C1B8B">
            <w:rPr>
              <w:rStyle w:val="PlaceholderText"/>
            </w:rPr>
            <w:t>Click or tap here to enter text.</w:t>
          </w:r>
        </w:p>
      </w:docPartBody>
    </w:docPart>
    <w:docPart>
      <w:docPartPr>
        <w:name w:val="0DCF109D29FC7044A38DBE1ED15F0C99"/>
        <w:category>
          <w:name w:val="General"/>
          <w:gallery w:val="placeholder"/>
        </w:category>
        <w:types>
          <w:type w:val="bbPlcHdr"/>
        </w:types>
        <w:behaviors>
          <w:behavior w:val="content"/>
        </w:behaviors>
        <w:guid w:val="{1A5FE53D-7247-334F-9551-322B1E3CED41}"/>
      </w:docPartPr>
      <w:docPartBody>
        <w:p w:rsidR="000234FB" w:rsidRDefault="00305D9E" w:rsidP="00305D9E">
          <w:pPr>
            <w:pStyle w:val="0DCF109D29FC7044A38DBE1ED15F0C99"/>
          </w:pPr>
          <w:r w:rsidRPr="008C1B8B">
            <w:rPr>
              <w:rStyle w:val="PlaceholderText"/>
            </w:rPr>
            <w:t>Click or tap here to enter text.</w:t>
          </w:r>
        </w:p>
      </w:docPartBody>
    </w:docPart>
    <w:docPart>
      <w:docPartPr>
        <w:name w:val="98C7F456F78B5240AF530959B8ED1D01"/>
        <w:category>
          <w:name w:val="General"/>
          <w:gallery w:val="placeholder"/>
        </w:category>
        <w:types>
          <w:type w:val="bbPlcHdr"/>
        </w:types>
        <w:behaviors>
          <w:behavior w:val="content"/>
        </w:behaviors>
        <w:guid w:val="{2395A305-E770-EB4B-985A-C11283D831B0}"/>
      </w:docPartPr>
      <w:docPartBody>
        <w:p w:rsidR="000234FB" w:rsidRDefault="00305D9E" w:rsidP="00305D9E">
          <w:pPr>
            <w:pStyle w:val="98C7F456F78B5240AF530959B8ED1D01"/>
          </w:pPr>
          <w:r w:rsidRPr="008C1B8B">
            <w:rPr>
              <w:rStyle w:val="PlaceholderText"/>
            </w:rPr>
            <w:t>Click or tap here to enter text.</w:t>
          </w:r>
        </w:p>
      </w:docPartBody>
    </w:docPart>
    <w:docPart>
      <w:docPartPr>
        <w:name w:val="ED2894A72CB6FF44B047883162B4CE7F"/>
        <w:category>
          <w:name w:val="General"/>
          <w:gallery w:val="placeholder"/>
        </w:category>
        <w:types>
          <w:type w:val="bbPlcHdr"/>
        </w:types>
        <w:behaviors>
          <w:behavior w:val="content"/>
        </w:behaviors>
        <w:guid w:val="{C306B389-7673-FC4E-A733-65CE1AE0D5B1}"/>
      </w:docPartPr>
      <w:docPartBody>
        <w:p w:rsidR="000234FB" w:rsidRDefault="00305D9E" w:rsidP="00305D9E">
          <w:pPr>
            <w:pStyle w:val="ED2894A72CB6FF44B047883162B4CE7F"/>
          </w:pPr>
          <w:r w:rsidRPr="008C1B8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D560541-85A3-604D-9368-21967F47B0DC}"/>
      </w:docPartPr>
      <w:docPartBody>
        <w:p w:rsidR="000234FB" w:rsidRDefault="00305D9E">
          <w:r w:rsidRPr="00CF08EB">
            <w:rPr>
              <w:rStyle w:val="PlaceholderText"/>
            </w:rPr>
            <w:t>Click or tap here to enter text.</w:t>
          </w:r>
        </w:p>
      </w:docPartBody>
    </w:docPart>
    <w:docPart>
      <w:docPartPr>
        <w:name w:val="6329134786F17A4197CCEA0D605B6A3C"/>
        <w:category>
          <w:name w:val="General"/>
          <w:gallery w:val="placeholder"/>
        </w:category>
        <w:types>
          <w:type w:val="bbPlcHdr"/>
        </w:types>
        <w:behaviors>
          <w:behavior w:val="content"/>
        </w:behaviors>
        <w:guid w:val="{C29DD9E9-609D-E241-8C9B-65855996F782}"/>
      </w:docPartPr>
      <w:docPartBody>
        <w:p w:rsidR="000234FB" w:rsidRDefault="00305D9E" w:rsidP="00305D9E">
          <w:pPr>
            <w:pStyle w:val="6329134786F17A4197CCEA0D605B6A3C"/>
          </w:pPr>
          <w:r w:rsidRPr="005B3902">
            <w:rPr>
              <w:rStyle w:val="PlaceholderText"/>
            </w:rPr>
            <w:t>Click or tap here to enter text.</w:t>
          </w:r>
        </w:p>
      </w:docPartBody>
    </w:docPart>
    <w:docPart>
      <w:docPartPr>
        <w:name w:val="7795D1D979ACCB4984647880CFE2E42C"/>
        <w:category>
          <w:name w:val="General"/>
          <w:gallery w:val="placeholder"/>
        </w:category>
        <w:types>
          <w:type w:val="bbPlcHdr"/>
        </w:types>
        <w:behaviors>
          <w:behavior w:val="content"/>
        </w:behaviors>
        <w:guid w:val="{E1F3FBB0-D1AE-EE4F-828A-4C09C58CA2EC}"/>
      </w:docPartPr>
      <w:docPartBody>
        <w:p w:rsidR="005F5520" w:rsidRDefault="001127BA" w:rsidP="001127BA">
          <w:pPr>
            <w:pStyle w:val="7795D1D979ACCB4984647880CFE2E42C"/>
          </w:pPr>
          <w:r w:rsidRPr="00C654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phá">
    <w:altName w:val="Calibri"/>
    <w:panose1 w:val="020B0604020202020204"/>
    <w:charset w:val="4D"/>
    <w:family w:val="auto"/>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pitch w:val="default"/>
  </w:font>
  <w:font w:name="Open Sans">
    <w:panose1 w:val="020B0604020202020204"/>
    <w:charset w:val="00"/>
    <w:family w:val="swiss"/>
    <w:pitch w:val="variable"/>
    <w:sig w:usb0="E00002EF" w:usb1="4000205B" w:usb2="00000028" w:usb3="00000000" w:csb0="0000019F" w:csb1="00000000"/>
  </w:font>
  <w:font w:name="AVENIR BOOK OBLIQUE">
    <w:panose1 w:val="02000503020000020003"/>
    <w:charset w:val="00"/>
    <w:family w:val="auto"/>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971"/>
    <w:rsid w:val="000234FB"/>
    <w:rsid w:val="001127BA"/>
    <w:rsid w:val="00124A4C"/>
    <w:rsid w:val="001C6176"/>
    <w:rsid w:val="00305D9E"/>
    <w:rsid w:val="00376B24"/>
    <w:rsid w:val="00463F84"/>
    <w:rsid w:val="005F5520"/>
    <w:rsid w:val="006655E1"/>
    <w:rsid w:val="006B4198"/>
    <w:rsid w:val="00823C55"/>
    <w:rsid w:val="0094146B"/>
    <w:rsid w:val="00966407"/>
    <w:rsid w:val="00AE646A"/>
    <w:rsid w:val="00C10A77"/>
    <w:rsid w:val="00E40971"/>
    <w:rsid w:val="00E461C8"/>
    <w:rsid w:val="00F97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27BA"/>
    <w:rPr>
      <w:color w:val="808080"/>
    </w:rPr>
  </w:style>
  <w:style w:type="paragraph" w:customStyle="1" w:styleId="E11707C14A687C4394FB968AA7E5B24E">
    <w:name w:val="E11707C14A687C4394FB968AA7E5B24E"/>
    <w:rsid w:val="00E40971"/>
  </w:style>
  <w:style w:type="paragraph" w:customStyle="1" w:styleId="DE1179DA080434489AD9D03C8790EA02">
    <w:name w:val="DE1179DA080434489AD9D03C8790EA02"/>
    <w:rsid w:val="00E40971"/>
  </w:style>
  <w:style w:type="paragraph" w:customStyle="1" w:styleId="520A1877F09E6841B9982BB4F476029B">
    <w:name w:val="520A1877F09E6841B9982BB4F476029B"/>
    <w:rsid w:val="00E40971"/>
  </w:style>
  <w:style w:type="paragraph" w:customStyle="1" w:styleId="D121A86E8EA7D441875D2D01BB4C71C1">
    <w:name w:val="D121A86E8EA7D441875D2D01BB4C71C1"/>
    <w:rsid w:val="00E40971"/>
  </w:style>
  <w:style w:type="paragraph" w:customStyle="1" w:styleId="9D7BA5D1CEC19F44B652ADCF5ABA0B50">
    <w:name w:val="9D7BA5D1CEC19F44B652ADCF5ABA0B50"/>
    <w:rsid w:val="00E40971"/>
  </w:style>
  <w:style w:type="paragraph" w:customStyle="1" w:styleId="4BB2C36A7BB10E42A2FE523F5FBCB862">
    <w:name w:val="4BB2C36A7BB10E42A2FE523F5FBCB862"/>
    <w:rsid w:val="00E40971"/>
  </w:style>
  <w:style w:type="paragraph" w:customStyle="1" w:styleId="9DEFD53D1C129D46BEB0F76F0FC563D8">
    <w:name w:val="9DEFD53D1C129D46BEB0F76F0FC563D8"/>
    <w:rsid w:val="00E40971"/>
  </w:style>
  <w:style w:type="paragraph" w:customStyle="1" w:styleId="57043F9F0A50A249A59F71AD51C00323">
    <w:name w:val="57043F9F0A50A249A59F71AD51C00323"/>
    <w:rsid w:val="00E40971"/>
  </w:style>
  <w:style w:type="paragraph" w:customStyle="1" w:styleId="3608C013BCF14C479DD2270DB967AA2F">
    <w:name w:val="3608C013BCF14C479DD2270DB967AA2F"/>
    <w:rsid w:val="00E40971"/>
  </w:style>
  <w:style w:type="paragraph" w:customStyle="1" w:styleId="1C00E898EB546B4A9FDB10DB9EB216E1">
    <w:name w:val="1C00E898EB546B4A9FDB10DB9EB216E1"/>
    <w:rsid w:val="00E40971"/>
  </w:style>
  <w:style w:type="paragraph" w:customStyle="1" w:styleId="F1CD3AB50FEB7549B97C565296F4C3E4">
    <w:name w:val="F1CD3AB50FEB7549B97C565296F4C3E4"/>
    <w:rsid w:val="00E40971"/>
  </w:style>
  <w:style w:type="paragraph" w:customStyle="1" w:styleId="7BCD736B0A053E41A7BFB68AD794E05C">
    <w:name w:val="7BCD736B0A053E41A7BFB68AD794E05C"/>
    <w:rsid w:val="00E40971"/>
  </w:style>
  <w:style w:type="paragraph" w:customStyle="1" w:styleId="1C857D04F34A4C43A161174575512557">
    <w:name w:val="1C857D04F34A4C43A161174575512557"/>
    <w:rsid w:val="00E40971"/>
  </w:style>
  <w:style w:type="paragraph" w:customStyle="1" w:styleId="6DAB7A77C52B0949BC92B7ECC5F35B63">
    <w:name w:val="6DAB7A77C52B0949BC92B7ECC5F35B63"/>
    <w:rsid w:val="00E40971"/>
  </w:style>
  <w:style w:type="paragraph" w:customStyle="1" w:styleId="F2DB79A78C6CF74C947EB6A4F16FFA95">
    <w:name w:val="F2DB79A78C6CF74C947EB6A4F16FFA95"/>
    <w:rsid w:val="00E40971"/>
  </w:style>
  <w:style w:type="paragraph" w:customStyle="1" w:styleId="712761C3C0ECFC4C8B91BEFCB51C0943">
    <w:name w:val="712761C3C0ECFC4C8B91BEFCB51C0943"/>
    <w:rsid w:val="00E40971"/>
  </w:style>
  <w:style w:type="paragraph" w:customStyle="1" w:styleId="ACCEC12DECEE6C4EB8A6BB26EF84CB8E">
    <w:name w:val="ACCEC12DECEE6C4EB8A6BB26EF84CB8E"/>
    <w:rsid w:val="00E40971"/>
  </w:style>
  <w:style w:type="paragraph" w:customStyle="1" w:styleId="A39AAC158478A148B4DDFDA91D37948E">
    <w:name w:val="A39AAC158478A148B4DDFDA91D37948E"/>
    <w:rsid w:val="00E40971"/>
  </w:style>
  <w:style w:type="paragraph" w:customStyle="1" w:styleId="1432A92FDD39B34B9BAB7D6A60056F22">
    <w:name w:val="1432A92FDD39B34B9BAB7D6A60056F22"/>
    <w:rsid w:val="00305D9E"/>
  </w:style>
  <w:style w:type="paragraph" w:customStyle="1" w:styleId="5A88D2CD8BC53046803A2BB353C80A58">
    <w:name w:val="5A88D2CD8BC53046803A2BB353C80A58"/>
    <w:rsid w:val="00305D9E"/>
  </w:style>
  <w:style w:type="paragraph" w:customStyle="1" w:styleId="6CAF6727D216124B999E426FFEFDB49E">
    <w:name w:val="6CAF6727D216124B999E426FFEFDB49E"/>
    <w:rsid w:val="00305D9E"/>
  </w:style>
  <w:style w:type="paragraph" w:customStyle="1" w:styleId="36907D12E008B045A6976D77072947B8">
    <w:name w:val="36907D12E008B045A6976D77072947B8"/>
    <w:rsid w:val="00305D9E"/>
  </w:style>
  <w:style w:type="paragraph" w:customStyle="1" w:styleId="DF035ABC8B081744801241D074A86180">
    <w:name w:val="DF035ABC8B081744801241D074A86180"/>
    <w:rsid w:val="00305D9E"/>
  </w:style>
  <w:style w:type="paragraph" w:customStyle="1" w:styleId="32EC4D637D995D469820A64FD9418A56">
    <w:name w:val="32EC4D637D995D469820A64FD9418A56"/>
    <w:rsid w:val="00305D9E"/>
  </w:style>
  <w:style w:type="paragraph" w:customStyle="1" w:styleId="DF5F66025754D640BDFD44987CE0473D">
    <w:name w:val="DF5F66025754D640BDFD44987CE0473D"/>
    <w:rsid w:val="00305D9E"/>
  </w:style>
  <w:style w:type="paragraph" w:customStyle="1" w:styleId="971BB39E5D843840AF619AA2591EAC2F">
    <w:name w:val="971BB39E5D843840AF619AA2591EAC2F"/>
    <w:rsid w:val="00305D9E"/>
  </w:style>
  <w:style w:type="paragraph" w:customStyle="1" w:styleId="8F882BF9D3B92D4EA6F567652D0EC42B">
    <w:name w:val="8F882BF9D3B92D4EA6F567652D0EC42B"/>
    <w:rsid w:val="00305D9E"/>
  </w:style>
  <w:style w:type="paragraph" w:customStyle="1" w:styleId="FC94CF2EA4BA1146B8DB314647A63BD3">
    <w:name w:val="FC94CF2EA4BA1146B8DB314647A63BD3"/>
    <w:rsid w:val="00305D9E"/>
  </w:style>
  <w:style w:type="paragraph" w:customStyle="1" w:styleId="36652600CD2D264D9F8DF4671AE4AD55">
    <w:name w:val="36652600CD2D264D9F8DF4671AE4AD55"/>
    <w:rsid w:val="00305D9E"/>
  </w:style>
  <w:style w:type="paragraph" w:customStyle="1" w:styleId="FBBA159F651E5946AEE367087CBD9AA4">
    <w:name w:val="FBBA159F651E5946AEE367087CBD9AA4"/>
    <w:rsid w:val="00305D9E"/>
  </w:style>
  <w:style w:type="paragraph" w:customStyle="1" w:styleId="B43D0A702C49F04BA824549936DD07C7">
    <w:name w:val="B43D0A702C49F04BA824549936DD07C7"/>
    <w:rsid w:val="00305D9E"/>
  </w:style>
  <w:style w:type="paragraph" w:customStyle="1" w:styleId="7AB7B7ED1F149547AA5E1E28A7F4B860">
    <w:name w:val="7AB7B7ED1F149547AA5E1E28A7F4B860"/>
    <w:rsid w:val="00305D9E"/>
  </w:style>
  <w:style w:type="paragraph" w:customStyle="1" w:styleId="00D338C70C5A54469B35231FD0892867">
    <w:name w:val="00D338C70C5A54469B35231FD0892867"/>
    <w:rsid w:val="00305D9E"/>
  </w:style>
  <w:style w:type="paragraph" w:customStyle="1" w:styleId="FB98565843966A4BB7E459B41C0F61A8">
    <w:name w:val="FB98565843966A4BB7E459B41C0F61A8"/>
    <w:rsid w:val="00305D9E"/>
  </w:style>
  <w:style w:type="paragraph" w:customStyle="1" w:styleId="8555CED8CCB94F4DBB11D3EC84546996">
    <w:name w:val="8555CED8CCB94F4DBB11D3EC84546996"/>
    <w:rsid w:val="00305D9E"/>
  </w:style>
  <w:style w:type="paragraph" w:customStyle="1" w:styleId="2321F980944B2C4D919C82A7D74CB2DA">
    <w:name w:val="2321F980944B2C4D919C82A7D74CB2DA"/>
    <w:rsid w:val="00305D9E"/>
  </w:style>
  <w:style w:type="paragraph" w:customStyle="1" w:styleId="C8AC378ADD4A36438B642FC848097BE5">
    <w:name w:val="C8AC378ADD4A36438B642FC848097BE5"/>
    <w:rsid w:val="00305D9E"/>
  </w:style>
  <w:style w:type="paragraph" w:customStyle="1" w:styleId="69D690E31ADB9C4E86011D29D6602163">
    <w:name w:val="69D690E31ADB9C4E86011D29D6602163"/>
    <w:rsid w:val="00305D9E"/>
  </w:style>
  <w:style w:type="paragraph" w:customStyle="1" w:styleId="EAC88EFCD4383D409921CA41B4D3AF22">
    <w:name w:val="EAC88EFCD4383D409921CA41B4D3AF22"/>
    <w:rsid w:val="00305D9E"/>
  </w:style>
  <w:style w:type="paragraph" w:customStyle="1" w:styleId="E2A9C0042EEB2347B3AD83CB07FAAB5D">
    <w:name w:val="E2A9C0042EEB2347B3AD83CB07FAAB5D"/>
    <w:rsid w:val="00305D9E"/>
  </w:style>
  <w:style w:type="paragraph" w:customStyle="1" w:styleId="F5D7B6963B752C40B85C9FFEA6FF9B4E">
    <w:name w:val="F5D7B6963B752C40B85C9FFEA6FF9B4E"/>
    <w:rsid w:val="00305D9E"/>
  </w:style>
  <w:style w:type="paragraph" w:customStyle="1" w:styleId="818D04AF82DA8242AA20B9FE3FFA80FA">
    <w:name w:val="818D04AF82DA8242AA20B9FE3FFA80FA"/>
    <w:rsid w:val="00305D9E"/>
  </w:style>
  <w:style w:type="paragraph" w:customStyle="1" w:styleId="68F29FA7CAD6D14087A3063E37B20A5D">
    <w:name w:val="68F29FA7CAD6D14087A3063E37B20A5D"/>
    <w:rsid w:val="00305D9E"/>
  </w:style>
  <w:style w:type="paragraph" w:customStyle="1" w:styleId="6AD4D9CA207DA34C98A359F7E76D0096">
    <w:name w:val="6AD4D9CA207DA34C98A359F7E76D0096"/>
    <w:rsid w:val="00305D9E"/>
  </w:style>
  <w:style w:type="paragraph" w:customStyle="1" w:styleId="EE3874D81E39474D8093428FB01C4BEE">
    <w:name w:val="EE3874D81E39474D8093428FB01C4BEE"/>
    <w:rsid w:val="00305D9E"/>
  </w:style>
  <w:style w:type="paragraph" w:customStyle="1" w:styleId="719E5BFF1104C743B278A934CD98D16E">
    <w:name w:val="719E5BFF1104C743B278A934CD98D16E"/>
    <w:rsid w:val="00305D9E"/>
  </w:style>
  <w:style w:type="paragraph" w:customStyle="1" w:styleId="FF4820B32E5F2641AB6C618C6B62ABC2">
    <w:name w:val="FF4820B32E5F2641AB6C618C6B62ABC2"/>
    <w:rsid w:val="00305D9E"/>
  </w:style>
  <w:style w:type="paragraph" w:customStyle="1" w:styleId="8DD93A68769F4D43BD724334696CE810">
    <w:name w:val="8DD93A68769F4D43BD724334696CE810"/>
    <w:rsid w:val="00305D9E"/>
  </w:style>
  <w:style w:type="paragraph" w:customStyle="1" w:styleId="60B87CFE71460B43B96E7D6CD8BC4E99">
    <w:name w:val="60B87CFE71460B43B96E7D6CD8BC4E99"/>
    <w:rsid w:val="00305D9E"/>
  </w:style>
  <w:style w:type="paragraph" w:customStyle="1" w:styleId="1E1E07287C5EF64C90437035C6DB47A3">
    <w:name w:val="1E1E07287C5EF64C90437035C6DB47A3"/>
    <w:rsid w:val="00305D9E"/>
  </w:style>
  <w:style w:type="paragraph" w:customStyle="1" w:styleId="CA3957472A8D224CADF08069A797E5A6">
    <w:name w:val="CA3957472A8D224CADF08069A797E5A6"/>
    <w:rsid w:val="00305D9E"/>
  </w:style>
  <w:style w:type="paragraph" w:customStyle="1" w:styleId="8BE4BDF90CE0764ABCD512CF0474614D">
    <w:name w:val="8BE4BDF90CE0764ABCD512CF0474614D"/>
    <w:rsid w:val="00305D9E"/>
  </w:style>
  <w:style w:type="paragraph" w:customStyle="1" w:styleId="943C5FB4311C234F852A1A3DA615DB35">
    <w:name w:val="943C5FB4311C234F852A1A3DA615DB35"/>
    <w:rsid w:val="00305D9E"/>
  </w:style>
  <w:style w:type="paragraph" w:customStyle="1" w:styleId="2F2D57DAECCB7B4E839A1812A818B3F9">
    <w:name w:val="2F2D57DAECCB7B4E839A1812A818B3F9"/>
    <w:rsid w:val="00305D9E"/>
  </w:style>
  <w:style w:type="paragraph" w:customStyle="1" w:styleId="C06A40BACFFD4C4682438A81B474DE41">
    <w:name w:val="C06A40BACFFD4C4682438A81B474DE41"/>
    <w:rsid w:val="00305D9E"/>
  </w:style>
  <w:style w:type="paragraph" w:customStyle="1" w:styleId="2534F44A10A8CB4E82FD7E7430F254D2">
    <w:name w:val="2534F44A10A8CB4E82FD7E7430F254D2"/>
    <w:rsid w:val="00305D9E"/>
  </w:style>
  <w:style w:type="paragraph" w:customStyle="1" w:styleId="DB61AD8273F4254A984ACACBE62408BE">
    <w:name w:val="DB61AD8273F4254A984ACACBE62408BE"/>
    <w:rsid w:val="00305D9E"/>
  </w:style>
  <w:style w:type="paragraph" w:customStyle="1" w:styleId="A2B5F277A7B82A49BD2767408FA88361">
    <w:name w:val="A2B5F277A7B82A49BD2767408FA88361"/>
    <w:rsid w:val="00305D9E"/>
  </w:style>
  <w:style w:type="paragraph" w:customStyle="1" w:styleId="E083BE152A98EE49A87198EA29194721">
    <w:name w:val="E083BE152A98EE49A87198EA29194721"/>
    <w:rsid w:val="00305D9E"/>
  </w:style>
  <w:style w:type="paragraph" w:customStyle="1" w:styleId="71DF423F5469074FB7F07139D380EF43">
    <w:name w:val="71DF423F5469074FB7F07139D380EF43"/>
    <w:rsid w:val="00305D9E"/>
  </w:style>
  <w:style w:type="paragraph" w:customStyle="1" w:styleId="67EEC3D1BE739D418825FDCE309F33B6">
    <w:name w:val="67EEC3D1BE739D418825FDCE309F33B6"/>
    <w:rsid w:val="00305D9E"/>
  </w:style>
  <w:style w:type="paragraph" w:customStyle="1" w:styleId="09E955B4B7C90D4E8B6671C3E1289157">
    <w:name w:val="09E955B4B7C90D4E8B6671C3E1289157"/>
    <w:rsid w:val="00305D9E"/>
  </w:style>
  <w:style w:type="paragraph" w:customStyle="1" w:styleId="3BBE6AC8ADF92943B7103F1B75274D1A">
    <w:name w:val="3BBE6AC8ADF92943B7103F1B75274D1A"/>
    <w:rsid w:val="00305D9E"/>
  </w:style>
  <w:style w:type="paragraph" w:customStyle="1" w:styleId="7A08AF84354E6E41A42F57BF9E0D13F4">
    <w:name w:val="7A08AF84354E6E41A42F57BF9E0D13F4"/>
    <w:rsid w:val="00305D9E"/>
  </w:style>
  <w:style w:type="paragraph" w:customStyle="1" w:styleId="BA7C8A2B9A94C84B957B471B05E913FD">
    <w:name w:val="BA7C8A2B9A94C84B957B471B05E913FD"/>
    <w:rsid w:val="00305D9E"/>
  </w:style>
  <w:style w:type="paragraph" w:customStyle="1" w:styleId="7A43E38A8AC6794087BB2323B558952D">
    <w:name w:val="7A43E38A8AC6794087BB2323B558952D"/>
    <w:rsid w:val="00305D9E"/>
  </w:style>
  <w:style w:type="paragraph" w:customStyle="1" w:styleId="9F9A710FF745204C88F9D3587F9A2678">
    <w:name w:val="9F9A710FF745204C88F9D3587F9A2678"/>
    <w:rsid w:val="00305D9E"/>
  </w:style>
  <w:style w:type="paragraph" w:customStyle="1" w:styleId="42A106DF8D73124DA0977A4A56EB286C">
    <w:name w:val="42A106DF8D73124DA0977A4A56EB286C"/>
    <w:rsid w:val="00305D9E"/>
  </w:style>
  <w:style w:type="paragraph" w:customStyle="1" w:styleId="C5FC8EA4F16AB44093892E62CE18210C">
    <w:name w:val="C5FC8EA4F16AB44093892E62CE18210C"/>
    <w:rsid w:val="00305D9E"/>
  </w:style>
  <w:style w:type="paragraph" w:customStyle="1" w:styleId="5848EFD39BCF3F49BCE26FF0D55150E8">
    <w:name w:val="5848EFD39BCF3F49BCE26FF0D55150E8"/>
    <w:rsid w:val="00305D9E"/>
  </w:style>
  <w:style w:type="paragraph" w:customStyle="1" w:styleId="0DCF109D29FC7044A38DBE1ED15F0C99">
    <w:name w:val="0DCF109D29FC7044A38DBE1ED15F0C99"/>
    <w:rsid w:val="00305D9E"/>
  </w:style>
  <w:style w:type="paragraph" w:customStyle="1" w:styleId="98C7F456F78B5240AF530959B8ED1D01">
    <w:name w:val="98C7F456F78B5240AF530959B8ED1D01"/>
    <w:rsid w:val="00305D9E"/>
  </w:style>
  <w:style w:type="paragraph" w:customStyle="1" w:styleId="ED2894A72CB6FF44B047883162B4CE7F">
    <w:name w:val="ED2894A72CB6FF44B047883162B4CE7F"/>
    <w:rsid w:val="00305D9E"/>
  </w:style>
  <w:style w:type="paragraph" w:customStyle="1" w:styleId="6329134786F17A4197CCEA0D605B6A3C">
    <w:name w:val="6329134786F17A4197CCEA0D605B6A3C"/>
    <w:rsid w:val="00305D9E"/>
  </w:style>
  <w:style w:type="paragraph" w:customStyle="1" w:styleId="7795D1D979ACCB4984647880CFE2E42C">
    <w:name w:val="7795D1D979ACCB4984647880CFE2E42C"/>
    <w:rsid w:val="001127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55A03076-A37D-A244-9F18-7D4DE669B6C8}">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53FE13F-93B4-8346-B14E-D591DB7B18C6}">
  <we:reference id="wa200003478" version="1.0.0.0" store="en-GB" storeType="OMEX"/>
  <we:alternateReferences>
    <we:reference id="wa200003478" version="1.0.0.0" store="wa200003478" storeType="OMEX"/>
  </we:alternateReferences>
  <we:properties>
    <we:property name="draftId" value="&quot;3f7d5433-36e7-4e64-8581-36be3acaa1c3&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0A1B6629-601E-494F-A9D1-4C4F309F34DB}">
  <we:reference id="wa104382081" version="1.55.1.0" store="en-US"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df44798d-7dc4-4ef4-9b30-66610e6345e6&quot;,&quot;properties&quot;:{&quot;noteIndex&quot;:0},&quot;isEdited&quot;:false,&quot;manualOverride&quot;:{&quot;isManuallyOverridden&quot;:false,&quot;citeprocText&quot;:&quot;(Joormann, 2004)&quot;,&quot;manualOverrideText&quot;:&quot;&quot;},&quot;citationItems&quot;:[{&quot;id&quot;:&quot;31878755-4ebc-396f-a860-7702cdf86259&quot;,&quot;itemData&quot;:{&quot;type&quot;:&quot;article-journal&quot;,&quot;id&quot;:&quot;31878755-4ebc-396f-a860-7702cdf86259&quot;,&quot;title&quot;:&quot;Attentional bias in dysphoria: The role of inhibitory processes&quot;,&quot;author&quot;:[{&quot;family&quot;:&quot;Joormann&quot;,&quot;given&quot;:&quot;Jutta&quot;,&quot;parse-names&quot;:false,&quot;dropping-particle&quot;:&quot;&quot;,&quot;non-dropping-particle&quot;:&quot;&quot;}],&quot;container-title&quot;:&quot;Cognition &amp; Emotion&quot;,&quot;container-title-short&quot;:&quot;Cogn Emot&quot;,&quot;DOI&quot;:&quot;10.1080/02699930244000480&quot;,&quot;ISSN&quot;:&quot;0269-9931&quot;,&quot;issued&quot;:{&quot;date-parts&quot;:[[2004]]},&quot;page&quot;:&quot;125-147&quot;,&quot;publisher&quot;:&quot;Informa UK Limited&quot;,&quot;issue&quot;:&quot;1&quot;,&quot;volume&quot;:&quot;18&quot;},&quot;isTemporary&quot;:false}],&quot;citationTag&quot;:&quot;MENDELEY_CITATION_v3_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&quot;},{&quot;citationID&quot;:&quot;MENDELEY_CITATION_c3238a2a-d57b-4d56-9791-847d596f0bff&quot;,&quot;properties&quot;:{&quot;noteIndex&quot;:0},&quot;isEdited&quot;:false,&quot;manualOverride&quot;:{&quot;isManuallyOverridden&quot;:false,&quot;citeprocText&quot;:&quot;(Bermingham et al., 2010)&quot;,&quot;manualOverrideText&quot;:&quot;&quot;},&quot;citationItems&quot;:[{&quot;id&quot;:&quot;8ddbded1-8d8c-3e08-ba8c-34765d736604&quot;,&quot;itemData&quot;:{&quot;type&quot;:&quot;article-journal&quot;,&quot;id&quot;:&quot;8ddbded1-8d8c-3e08-ba8c-34765d736604&quot;,&quot;title&quot;:&quot;The cost of somatisation among the working-age population in England for the year 2008-2009&quot;,&quot;author&quot;:[{&quot;family&quot;:&quot;Bermingham&quot;,&quot;given&quot;:&quot;Sarah L&quot;,&quot;parse-names&quot;:false,&quot;dropping-particle&quot;:&quot;&quot;,&quot;non-dropping-particle&quot;:&quot;&quot;},{&quot;family&quot;:&quot;Cohen&quot;,&quot;given&quot;:&quot;Alan&quot;,&quot;parse-names&quot;:false,&quot;dropping-particle&quot;:&quot;&quot;,&quot;non-dropping-particle&quot;:&quot;&quot;},{&quot;family&quot;:&quot;Hague&quot;,&quot;given&quot;:&quot;John&quot;,&quot;parse-names&quot;:false,&quot;dropping-particle&quot;:&quot;&quot;,&quot;non-dropping-particle&quot;:&quot;&quot;},{&quot;family&quot;:&quot;Parsonage&quot;,&quot;given&quot;:&quot;Michael&quot;,&quot;parse-names&quot;:false,&quot;dropping-particle&quot;:&quot;&quot;,&quot;non-dropping-particle&quot;:&quot;&quot;}],&quot;container-title&quot;:&quot;Mental health in family medicine&quot;,&quot;container-title-short&quot;:&quot;Ment Health Fam Med&quot;,&quot;ISSN&quot;:&quot;1756-8358\r1756-834X&quot;,&quot;PMID&quot;:&quot;22477925&quot;,&quot;URL&quot;:&quot;https://pubmed.ncbi.nlm.nih.gov/22477925&quot;,&quot;issued&quot;:{&quot;date-parts&quot;:[[2010]]},&quot;page&quot;:&quot;71-84&quot;,&quot;language&quot;:&quot;eng&quot;,&quot;abstract&quot;:&quot;Medically unexplained symptoms are one of the most commonly encountered symptoms across all healthcare settings. They are also responsible for a large proportion of disability in the workforce and decreased quality of life. These patients represent an important clinical phenomenon with considerable direct and indirect economic consequences.This study aims to calculate the economic burden of somatisation among English adults in 2008-2009.Using existing literature, estimates of prevalence, healthcare use and disability were combined in order to calculate the annual cost of healthcare use and productivity loss associated with these patients in excess of non-somatising patients.Based on the results of our analysis, the incremental health care cost incurred by somatising patients is estimated to be £3 billion. This represents approximately 10% of total NHS expenditure on these services for the working-age population in 2008-2009. The cost of sickness absence and decreased quality of life associated with these patients amounts to over £14 billion.By highlighting the magnitude of this phenomenon at each level of the health system and the considerable impact of non-healthcare costs, this study serves to draw attention to a group of patients who are frequently unrecognised or misdiagnosed by physicians who tend to repeatedly pursue organic possibilities through multiple tests, procedures and operations. As economic perspectives play an increasing role in healthcare planning, the reduction of health care use and improvement of functioning among this group of patients should be a major goal. In order to realise these goals, changed pathways and behaviour in primary and secondary care are needed, along with improved access to psychological therapy services.&quot;,&quot;publisher&quot;:&quot;Radcliffe Publishing Ltd.&quot;,&quot;issue&quot;:&quot;2&quot;,&quot;volume&quot;:&quot;7&quot;},&quot;isTemporary&quot;:false}],&quot;citationTag&quot;:&quot;MENDELEY_CITATION_v3_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&quot;},{&quot;citationID&quot;:&quot;MENDELEY_CITATION_bce6e8fa-03ee-4a49-bae3-361bd7eba95d&quot;,&quot;properties&quot;:{&quot;noteIndex&quot;:0},&quot;isEdited&quot;:false,&quot;manualOverride&quot;:{&quot;isManuallyOverridden&quot;:false,&quot;citeprocText&quot;:&quot;(Barsky et al., 2005; de Waal et al., 2006)&quot;,&quot;manualOverrideText&quot;:&quot;&quot;},&quot;citationItems&quot;:[{&quot;id&quot;:&quot;c3c14845-8c91-3fdc-a46a-dfaacd72f3f6&quot;,&quot;itemData&quot;:{&quot;type&quot;:&quot;article-journal&quot;,&quot;id&quot;:&quot;c3c14845-8c91-3fdc-a46a-dfaacd72f3f6&quot;,&quot;title&quot;:&quot;Somatization increases medical utilization and costs independent of psychiatric and medical comorbidity&quot;,&quot;author&quot;:[{&quot;family&quot;:&quot;Barsky&quot;,&quot;given&quot;:&quot;A J&quot;,&quot;parse-names&quot;:false,&quot;dropping-particle&quot;:&quot;&quot;,&quot;non-dropping-particle&quot;:&quot;&quot;},{&quot;family&quot;:&quot;Orav&quot;,&quot;given&quot;:&quot;E J&quot;,&quot;parse-names&quot;:false,&quot;dropping-particle&quot;:&quot;&quot;,&quot;non-dropping-particle&quot;:&quot;&quot;},{&quot;family&quot;:&quot;Bates&quot;,&quot;given&quot;:&quot;D W&quot;,&quot;parse-names&quot;:false,&quot;dropping-particle&quot;:&quot;&quot;,&quot;non-dropping-particle&quot;:&quot;&quot;}],&quot;container-title&quot;:&quot;Arch Gen Psychiatry&quot;,&quot;DOI&quot;:&quot;10.1001/archpsyc.62.8.903&quot;,&quot;ISSN&quot;:&quot;0003-990X (Print)\r0003-990x&quot;,&quot;PMID&quot;:&quot;16061768&quot;,&quot;issued&quot;:{&quot;date-parts&quot;:[[2005]]},&quot;page&quot;:&quot;903-910&quot;,&quot;language&quot;:&quot;eng&quot;,&quot;abstract&quot;:&quot;CONTEXT: Somatoform disorders are an important determinant of medical care utilization, but their independent effect on utilization is difficult to determine because somatizing patients frequently have psychiatric and medical comorbidity. OBJECTIVES: To assess the extent of the overlap of somatization with other psychiatric disorders; to compare the medical utilization of somatizing and nonsomatizing patients; and to determine the independent contribution of somatization alone to utilization. DESIGN: Patients were surveyed with self-report questionnaires assessing somatization and psychiatric disorder. Medical care utilization was obtained from automated encounter data for the year preceding the index visit. Medical morbidity was indexed with a computerized medical record audit. SETTING: Two hospital-affiliated primary care practices. PARTICIPANTS: Consecutive adults making scheduled visits to their primary care physicians on randomly chosen days. In all, 2668 questionnaires were distributed, and 1914 (71.7%) were returned. Of these, 1546 (80.8%) contained complete data and met eligibility criteria. MAIN OUTCOME MEASURES: Medical care utilization and costs within our hospital system in the preceding 12 months. RESULTS: Two hundred ninety-nine patients (20.5%) received a provisional diagnosis of somatization; 42.3% of these patients had no comorbid depressive or anxiety disorder. Somatizing patients, when compared with nonsomatizing patients, had more primary care visits (mean [SE], 4.90 [0.32] vs 3.43 [0.11]; P&lt;.001); more specialty visits (mean [SE], 8.13 [0.55] vs 4.90 [0.21]; P&lt;.001); more emergency department visits (mean [SE], 1.29 [0.15] vs 0.52 [0.036]; P&lt;.001); more hospital admissions (mean [SE], 0.32 [0.051] vs 0.13 [0.014]; P&lt;.001); higher inpatient costs (mean [SE], USD 3146 [USD 380] vs USD 991 [USD 193]; P&lt;.001); and higher outpatient costs (mean [SE], USD 3208 [USD 180] vs USD 1771 [USD 91]; P&lt;.001). When these results were adjusted for the presence of comorbid anxiety and depressive disorders, major medical morbidity, and sociodemographic characteristics, patients with somatoform disorder still had more primary care visits (P = .04), more specialist visits (P = .002), more emergency department visits (P&lt;.001), more hospital admissions (P&lt;.001), more ambulatory procedures (P&lt;.001), higher inpatient costs (P&lt;.001), and higher outpatient costs (P&lt;.001). When these findings are extrapolated to the national level, an estimated USD 256 billion a year in medical care costs are attributable to the incremental effect of somatization alone. CONCLUSIONS: Patients with somatization had approximately twice the outpatient and inpatient medical care utilization and twice the annual medical care costs of nonsomatizing patients. Adjusting the findings for the presence of psychiatric and medical comorbidity had relatively little effect on this association.&quot;,&quot;edition&quot;:&quot;2005/08/03&quot;,&quot;issue&quot;:&quot;8&quot;,&quot;volume&quot;:&quot;62&quot;,&quot;container-title-short&quot;:&quot;&quot;},&quot;isTemporary&quot;:false},{&quot;id&quot;:&quot;e185f5a7-1957-3098-8c25-239e407a3fb0&quot;,&quot;itemData&quot;:{&quot;type&quot;:&quot;article-journal&quot;,&quot;id&quot;:&quot;e185f5a7-1957-3098-8c25-239e407a3fb0&quot;,&quot;title&quot;:&quot;[Somatoform disorders in general practice: prevalence, functional limitations and comorbidity with anxiety and depression]&quot;,&quot;author&quot;:[{&quot;family&quot;:&quot;Waal&quot;,&quot;given&quot;:&quot;M W&quot;,&quot;parse-names&quot;:false,&quot;dropping-particle&quot;:&quot;&quot;,&quot;non-dropping-particle&quot;:&quot;de&quot;},{&quot;family&quot;:&quot;Arnold&quot;,&quot;given&quot;:&quot;I A&quot;,&quot;parse-names&quot;:false,&quot;dropping-particle&quot;:&quot;&quot;,&quot;non-dropping-particle&quot;:&quot;&quot;},{&quot;family&quot;:&quot;Eekhof&quot;,&quot;given&quot;:&quot;J A&quot;,&quot;parse-names&quot;:false,&quot;dropping-particle&quot;:&quot;&quot;,&quot;non-dropping-particle&quot;:&quot;&quot;},{&quot;family&quot;:&quot;Hemert&quot;,&quot;given&quot;:&quot;A M&quot;,&quot;parse-names&quot;:false,&quot;dropping-particle&quot;:&quot;&quot;,&quot;non-dropping-particle&quot;:&quot;van&quot;}],&quot;container-title&quot;:&quot;Ned Tijdschr Geneeskd&quot;,&quot;ISSN&quot;:&quot;0028-2162 (Print)\r0028-2162&quot;,&quot;PMID&quot;:&quot;16613251&quot;,&quot;issued&quot;:{&quot;date-parts&quot;:[[2006]]},&quot;page&quot;:&quot;671-676&quot;,&quot;language&quot;:&quot;dut&quot;,&quot;abstract&quot;:&quot;OBJECTIVE: To quantify the prevalence of, and functional impairment associated with, somatoform disorders in general practice and their comorbidity with anxiety and depression. DESIGN: Prevalence study. METHOD: In the first phase of a two-stage prevalence study from April 2000 up to December 2001, a questionnaire was completed by 1046 consecutive attendees at general practices, aged 25-79 years (n = 1778). This was followed in the second phase by a standardised diagnostic interview ('Schedules for clinical assessment in neuropsychiatry'; SCAN 2.1) in a stratified sample of 473 patients. In the analyses, the prevalence figures were estimated by weighting back to the original attending population. RESULTS: The prevalence ofsomatoform disorders was 16% (95% CI: 12.8-19.4). Comorbidity of somatoform disorders and anxiety or depression disorders was 3.3 times more likely than would be expected by chance. Somatoform disorders as well as anxiety or depressive disorders were associated with substantial functional impairment. In patients with comorbid disorders, physical symptoms, depressive symptoms and functional limitations were proportionately increased. CONCLUSION: These findings underline the importance of a comprehensive diagnostic approach covering anxiety and depressive disorders as well as somatoform disorders in general practice.&quot;,&quot;edition&quot;:&quot;2006/04/15&quot;,&quot;issue&quot;:&quot;12&quot;,&quot;volume&quot;:&quot;150&quot;,&quot;container-title-short&quot;:&quot;&quot;},&quot;isTemporary&quot;:false}],&quot;citationTag&quot;:&quot;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&quot;},{&quot;citationID&quot;:&quot;MENDELEY_CITATION_f686fb7b-f39d-4a72-9f00-818bc043c812&quot;,&quot;properties&quot;:{&quot;noteIndex&quot;:0},&quot;isEdited&quot;:false,&quot;manualOverride&quot;:{&quot;isManuallyOverridden&quot;:true,&quot;citeprocText&quot;:&quot;(T. M. Edwards et al., 2010)&quot;,&quot;manualOverrideText&quot;:&quot;(Edwards et al., 2010)&quot;},&quot;citationItems&quot;:[{&quot;id&quot;:&quot;6d02314e-fc1a-3559-8a63-d7e6290b2fe2&quot;,&quot;itemData&quot;:{&quot;type&quot;:&quot;article-journal&quot;,&quot;id&quot;:&quot;6d02314e-fc1a-3559-8a63-d7e6290b2fe2&quot;,&quot;title&quot;:&quot;The treatment of patients with medically unexplained symptoms in primary care: a review of the literature&quot;,&quot;author&quot;:[{&quot;family&quot;:&quot;Edwards&quot;,&quot;given&quot;:&quot;Todd M.&quot;,&quot;parse-names&quot;:false,&quot;dropping-particle&quot;:&quot;&quot;,&quot;non-dropping-particle&quot;:&quot;&quot;},{&quot;family&quot;:&quot;Stern&quot;,&quot;given&quot;:&quot;Anthony&quot;,&quot;parse-names&quot;:false,&quot;dropping-particle&quot;:&quot;&quot;,&quot;non-dropping-particle&quot;:&quot;&quot;},{&quot;family&quot;:&quot;Clarke&quot;,&quot;given&quot;:&quot;David D.&quot;,&quot;parse-names&quot;:false,&quot;dropping-particle&quot;:&quot;&quot;,&quot;non-dropping-particle&quot;:&quot;&quot;},{&quot;family&quot;:&quot;Ivbijaro&quot;,&quot;given&quot;:&quot;Gabriel&quot;,&quot;parse-names&quot;:false,&quot;dropping-particle&quot;:&quot;&quot;,&quot;non-dropping-particle&quot;:&quot;&quot;},{&quot;family&quot;:&quot;Kasney&quot;,&quot;given&quot;:&quot;L. Michelle&quot;,&quot;parse-names&quot;:false,&quot;dropping-particle&quot;:&quot;&quot;,&quot;non-dropping-particle&quot;:&quot;&quot;}],&quot;container-title&quot;:&quot;Mental Health in Family Medicine&quot;,&quot;container-title-short&quot;:&quot;Ment Health Fam Med&quot;,&quot;accessed&quot;:{&quot;date-parts&quot;:[[2023,4,12]]},&quot;ISSN&quot;:&quot;1756834X&quot;,&quot;PMID&quot;:&quot;22477945&quot;,&quot;URL&quot;:&quot;/pmc/articles/PMC3083260/&quot;,&quot;issued&quot;:{&quot;date-parts&quot;:[[2010,3]]},&quot;page&quot;:&quot;209&quot;,&quot;abstract&quot;:&quot;Medically unexplained symptoms (MUS) are among the most common and frustrating in primary care. Our goal was to review published evidence to guide busy general practitioners working with a culturally diverse, challenging patient population coping with MUS. A search of PubMed and PsycINFO from 1985 to the present was conducted using MUS and related terms. The literature was then organised into subcategories based on its relevance to primary care. We conclude with a description of gaps in the literature based on the literature review and the clinical experience of the authors. © 2010 Radcliffe Publishing.&quot;,&quot;publisher&quot;:&quot;Radcliffe Publishing and Wonca&quot;,&quot;issue&quot;:&quot;4&quot;,&quot;volume&quot;:&quot;7&quot;},&quot;isTemporary&quot;:false}],&quot;citationTag&quot;:&quot;MENDELEY_CITATION_v3_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&quot;},{&quot;citationID&quot;:&quot;MENDELEY_CITATION_608170ca-75df-465d-9610-2f7c67f0e84b&quot;,&quot;properties&quot;:{&quot;noteIndex&quot;:0},&quot;isEdited&quot;:false,&quot;manualOverride&quot;:{&quot;isManuallyOverridden&quot;:false,&quot;citeprocText&quot;:&quot;(American Psychiatric Association, 2013)&quot;,&quot;manualOverrideText&quot;:&quot;&quot;},&quot;citationItems&quot;:[{&quot;id&quot;:&quot;ecd49a24-d140-3c48-9de0-c4bc56526fc7&quot;,&quot;itemData&quot;:{&quot;type&quot;:&quot;book&quot;,&quot;id&quot;:&quot;ecd49a24-d140-3c48-9de0-c4bc56526fc7&quot;,&quot;title&quot;:&quot;Diagnostic and statistical manual of mental disorders: DSM-5™, 5th ed&quot;,&quot;author&quot;:[{&quot;family&quot;:&quot;American Psychiatric Association&quot;,&quot;given&quot;:&quot;DSM-5 Task Force&quot;,&quot;parse-names&quot;:false,&quot;dropping-particle&quot;:&quot;&quot;,&quot;non-dropping-particle&quot;:&quot;&quot;}],&quot;container-title&quot;:&quot;Diagnostic and statistical manual of mental disorders: DSM-5™, 5th ed.&quot;,&quot;DOI&quot;:&quot;10.1176/appi.books.9780890425596&quot;,&quot;ISBN&quot;:&quot;978-0-89042-554-1 (Hardcover); 978-0-89042-555-8 (Paperback)&quot;,&quot;issued&quot;:{&quot;date-parts&quot;:[[2013]]},&quot;publisher-place&quot;:&quot;Arlington, VA, US&quot;,&quot;number-of-pages&quot;:&quot;947, xliv, 947-xliv&quot;,&quot;abstract&quot;:&quot;The American Psychiatric Association's Diagnostic and Statistical Manual of Mental Disorders (DSM) is a classification of mental disorders with associated criteria designed to facilitate more reliable diagnoses of these disorders. Since a complete description of the underlying pathological processes is not possible for most mental disorders, it is important to emphasize that the current diagnostic criteria are the best available description of how mental disorders are expressed and can be recognized by trained clinicians. DSM is intended to serve as a practical, functional, and flexible guide for organizing information that can aid in the accurate diagnosis and treatment of mental disorders. It is a tool for clinicians, an essential educational resource for students and practitioners, and a reference for researchers in the field. (PsycINFO Database Record (c) 2019 APA, all rights reserved)&quot;,&quot;publisher&quot;:&quot;American Psychiatric Publishing, Inc.&quot;,&quot;container-title-short&quot;:&quot;&quot;},&quot;isTemporary&quot;:false}],&quot;citationTag&quot;:&quot;MENDELEY_CITATION_v3_eyJjaXRhdGlvbklEIjoiTUVOREVMRVlfQ0lUQVRJT05fNjA4MTcwY2EtNzVkZi00NjVkLTk2MTAtMmY3YzY3ZjBlODRiIiwicHJvcGVydGllcyI6eyJub3RlSW5kZXgiOjB9LCJpc0VkaXRlZCI6ZmFsc2UsIm1hbnVhbE92ZXJyaWRlIjp7ImlzTWFudWFsbHlPdmVycmlkZGVuIjpmYWxzZSwiY2l0ZXByb2NUZXh0IjoiKEFtZXJpY2FuIFBzeWNoaWF0cmljIEFzc29jaWF0aW9uLCAyMDEzKSIsIm1hbnVhbE92ZXJyaWRlVGV4dCI6IiJ9LCJjaXRhdGlvbkl0ZW1zIjpb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quot;},{&quot;citationID&quot;:&quot;MENDELEY_CITATION_cb5cdcf7-7e55-46b3-bc05-137f1af51277&quot;,&quot;properties&quot;:{&quot;noteIndex&quot;:0},&quot;isEdited&quot;:false,&quot;manualOverride&quot;:{&quot;isManuallyOverridden&quot;:false,&quot;citeprocText&quot;:&quot;(Ding &amp;#38; Kanaan, 2017)&quot;,&quot;manualOverrideText&quot;:&quot;&quot;},&quot;citationItems&quot;:[{&quot;id&quot;:&quot;953516de-65ab-3c1a-9365-786a1f31f2ee&quot;,&quot;itemData&quot;:{&quot;type&quot;:&quot;article-journal&quot;,&quot;id&quot;:&quot;953516de-65ab-3c1a-9365-786a1f31f2ee&quot;,&quot;title&quot;:&quot;Conversion disorder: A systematic review of current terminology&quot;,&quot;author&quot;:[{&quot;family&quot;:&quot;Ding&quot;,&quot;given&quot;:&quot;Juen Mei&quot;,&quot;parse-names&quot;:false,&quot;dropping-particle&quot;:&quot;&quot;,&quot;non-dropping-particle&quot;:&quot;&quot;},{&quot;family&quot;:&quot;Kanaan&quot;,&quot;given&quot;:&quot;Richard Antony Alexander&quot;,&quot;parse-names&quot;:false,&quot;dropping-particle&quot;:&quot;&quot;,&quot;non-dropping-particle&quot;:&quot;&quot;}],&quot;container-title&quot;:&quot;General Hospital Psychiatry&quot;,&quot;container-title-short&quot;:&quot;Gen Hosp Psychiatry&quot;,&quot;accessed&quot;:{&quot;date-parts&quot;:[[2023,4,12]]},&quot;DOI&quot;:&quot;10.1016/J.GENHOSPPSYCH.2016.12.009&quot;,&quot;ISSN&quot;:&quot;0163-8343&quot;,&quot;PMID&quot;:&quot;28274339&quot;,&quot;issued&quot;:{&quot;date-parts&quot;:[[2017,3,1]]},&quot;page&quot;:&quot;51-55&quot;,&quot;abstract&quot;:&quot;Objective It has been argued that the label given to unexplained neurological symptoms is an important contributor to their often poor acceptance, and there has been recent debate on proposals to change the name from conversion disorder. There have been multiple studies of layperson and clinician preference and this article aimed to review these. Design Multiple databases were searched using terms including “conversion disorder” and “terminology”, and relative preferences for the terms extracted. Results Seven articles were found which looked at clinician or layperson preferences for terminology for unexplained neurological symptoms. Most neurologists favoured terms such as “functional” and “psychogenic”, while laypeople were comfortable with “functional” but viewed “psychogenic” as more offensive; “non-epileptic/organic” was relatively popular with both groups. Conclusions “Functional” is a term that is relatively popular with both clinicians and the public. It also meets more of the other criteria proposed for an acceptable label than other popular terms – however the views of neither psychiatrists nor actual patients with the disorder were considered.&quot;,&quot;publisher&quot;:&quot;Elsevier&quot;,&quot;volume&quot;:&quot;45&quot;},&quot;isTemporary&quot;:false}],&quot;citationTag&quot;:&quot;MENDELEY_CITATION_v3_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&quot;},{&quot;citationID&quot;:&quot;MENDELEY_CITATION_acad0c15-2eb6-46b5-b04f-451a5d841181&quot;,&quot;properties&quot;:{&quot;noteIndex&quot;:0},&quot;isEdited&quot;:false,&quot;manualOverride&quot;:{&quot;isManuallyOverridden&quot;:false,&quot;citeprocText&quot;:&quot;(Galli et al., 2018)&quot;,&quot;manualOverrideText&quot;:&quot;&quot;},&quot;citationItems&quot;:[{&quot;id&quot;:&quot;e92c00b4-529a-393b-8bb2-dff15a9ec1e9&quot;,&quot;itemData&quot;:{&quot;type&quot;:&quot;article-journal&quot;,&quot;id&quot;:&quot;e92c00b4-529a-393b-8bb2-dff15a9ec1e9&quot;,&quot;title&quot;:&quot;Conversion, Factitious Disorder and Malingering: A Distinct Pattern or a Continuum?&quot;,&quot;author&quot;:[{&quot;family&quot;:&quot;Galli&quot;,&quot;given&quot;:&quot;Silvio&quot;,&quot;parse-names&quot;:false,&quot;dropping-particle&quot;:&quot;&quot;,&quot;non-dropping-particle&quot;:&quot;&quot;},{&quot;family&quot;:&quot;Tatu&quot;,&quot;given&quot;:&quot;Laurent&quot;,&quot;parse-names&quot;:false,&quot;dropping-particle&quot;:&quot;&quot;,&quot;non-dropping-particle&quot;:&quot;&quot;},{&quot;family&quot;:&quot;Bogousslavsky&quot;,&quot;given&quot;:&quot;Julien&quot;,&quot;parse-names&quot;:false,&quot;dropping-particle&quot;:&quot;&quot;,&quot;non-dropping-particle&quot;:&quot;&quot;},{&quot;family&quot;:&quot;Aybek&quot;,&quot;given&quot;:&quot;Selma&quot;,&quot;parse-names&quot;:false,&quot;dropping-particle&quot;:&quot;&quot;,&quot;non-dropping-particle&quot;:&quot;&quot;}],&quot;container-title&quot;:&quot;Frontiers of neurology and neuroscience&quot;,&quot;container-title-short&quot;:&quot;Front Neurol Neurosci&quot;,&quot;accessed&quot;:{&quot;date-parts&quot;:[[2023,4,12]]},&quot;DOI&quot;:&quot;10.1159/000475699&quot;,&quot;ISSN&quot;:&quot;1662-2804&quot;,&quot;PMID&quot;:&quot;29151092&quot;,&quot;URL&quot;:&quot;https://pubmed.ncbi.nlm.nih.gov/29151092/&quot;,&quot;issued&quot;:{&quot;date-parts&quot;:[[2018]]},&quot;page&quot;:&quot;72-80&quot;,&quot;abstract&quot;:&quot;This chapter is aimed at highlighting the recent findings concerning physiopathology, diagnosis, and management of conversion, factitious disorder, and malingering. Conversion disorder is the unintentional production of neurological symptom, whereas malingering and factitious disorder represent the voluntary production of symptoms with internal or external incentives. They have a close history and this has been frequently confounded. Practitioners are often confronted to medically unexplained symptoms; they represent almost 30% of neurologist's consultation. The first challenge is to detect them, and recent studies have confirmed the importance of \&quot;positive\&quot; clinical bedside signs based on incoherence and discordance, such as the Hoover's sign for the diagnosis of conversion disorder. Functional neuroimaging has allowed a better understanding of the pathophysiology, and highlighted abnormal cerebral activation patterns in conversion disorder in relation to motor, emotional, and limbic networks, different from feigners. This supports the theory evoked by Charcot of a \&quot;psychodynamic lesion,\&quot; which is also reflected by the new term introduced in the DSM-5: functional neurological disorder. Multidisciplinary therapy is recommended with behavioral cognitive therapy, antidepressant to treat frequent comorbid anxiety or depression, and physiotherapy. Factitious disorder and malingering should be clearly delineated from conversion disorder. Factitious disorder should be considered as a mental illness and more research on its physiopathology and treatment is needed, when malingering is a non-medical condition encountered in medico-legal cases.&quot;,&quot;publisher&quot;:&quot;Front Neurol Neurosci&quot;,&quot;volume&quot;:&quot;42&quot;},&quot;isTemporary&quot;:false}],&quot;citationTag&quot;:&quot;MENDELEY_CITATION_v3_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&quot;},{&quot;citationID&quot;:&quot;MENDELEY_CITATION_c56cb00e-9c1e-4e7c-a116-f898eff77997&quot;,&quot;properties&quot;:{&quot;noteIndex&quot;:0},&quot;isEdited&quot;:false,&quot;manualOverride&quot;:{&quot;isManuallyOverridden&quot;:false,&quot;citeprocText&quot;:&quot;(Asadi-Pooya et al., 2020; Wardrope et al., 2021)&quot;,&quot;manualOverrideText&quot;:&quot;&quot;},&quot;citationItems&quot;:[{&quot;id&quot;:&quot;ce3e4e7c-cf64-3411-8059-2c8b1bd1593f&quot;,&quot;itemData&quot;:{&quot;type&quot;:&quot;article-journal&quot;,&quot;id&quot;:&quot;ce3e4e7c-cf64-3411-8059-2c8b1bd1593f&quot;,&quot;title&quot;:&quot;Terminology for psychogenic nonepileptic seizures: Making the case for “functional seizures”&quot;,&quot;author&quot;:[{&quot;family&quot;:&quot;Asadi-Pooya&quot;,&quot;given&quot;:&quot;Ali A.&quot;,&quot;parse-names&quot;:false,&quot;dropping-particle&quot;:&quot;&quot;,&quot;non-dropping-particle&quot;:&quot;&quot;},{&quot;family&quot;:&quot;Brigo&quot;,&quot;given&quot;:&quot;Francesco&quot;,&quot;parse-names&quot;:false,&quot;dropping-particle&quot;:&quot;&quot;,&quot;non-dropping-particle&quot;:&quot;&quot;},{&quot;family&quot;:&quot;Mildon&quot;,&quot;given&quot;:&quot;Bridget&quot;,&quot;parse-names&quot;:false,&quot;dropping-particle&quot;:&quot;&quot;,&quot;non-dropping-particle&quot;:&quot;&quot;},{&quot;family&quot;:&quot;Nicholson&quot;,&quot;given&quot;:&quot;Timothy R.&quot;,&quot;parse-names&quot;:false,&quot;dropping-particle&quot;:&quot;&quot;,&quot;non-dropping-particle&quot;:&quot;&quot;}],&quot;container-title&quot;:&quot;Epilepsy &amp; Behavior&quot;,&quot;accessed&quot;:{&quot;date-parts&quot;:[[2023,4,12]]},&quot;DOI&quot;:&quot;10.1016/J.YEBEH.2019.106895&quot;,&quot;ISSN&quot;:&quot;1525-5050&quot;,&quot;PMID&quot;:&quot;31986440&quot;,&quot;issued&quot;:{&quot;date-parts&quot;:[[2020,3,1]]},&quot;page&quot;:&quot;106895&quot;,&quot;abstract&quot;:&quot;Purpose: The purpose of the study was to review the literature on the terminologies for psychogenic nonepileptic seizures (PNES) and make a proposal on the terminology of this condition. This proposal reflects the authors' own opinions. Methods: We systematically searched MEDLINE (accessed from PubMed) and EMBASE from inception to October 10, 2019 for articles written in English with a main focus on PNES (with or without discussion of other functional neurological disorders) and which either proposed or discussed the accuracy or appropriateness of PNES terminologies. Results: The search strategy reported above yielded 757 articles; 30 articles were eventually included, which were generally of low quality. “Functional seizures” (FS) appeared to be an acceptable terminology to name this condition from the perspective of patients. In addition, FS is a term that is relatively popular with clinicians. Conclusion: From the available evidence, FS meets more of the criteria proposed for an acceptable label than other popular terms in the field. While the term FS is neutral with regard to etiology and pathology (particularly regarding whether psychological or not), other terms such as “dissociative”, “conversion”, or “psychogenic” seizures are not. In addition, FS can potentially facilitate multidisciplinary (physical and psychological) management more than other terms. Adopting a universally accepted terminology to describe this disorder could standardize our approach to the illness and facilitate communication between healthcare professionals, patients, their families, carers, and the wider public.&quot;,&quot;publisher&quot;:&quot;Academic Press&quot;,&quot;volume&quot;:&quot;104&quot;,&quot;container-title-short&quot;:&quot;&quot;},&quot;isTemporary&quot;:false},{&quot;id&quot;:&quot;6674cd90-783c-3bb8-b917-4bbfa1ab2ceb&quot;,&quot;itemData&quot;:{&quot;type&quot;:&quot;article-journal&quot;,&quot;id&quot;:&quot;6674cd90-783c-3bb8-b917-4bbfa1ab2ceb&quot;,&quot;title&quot;:&quot;How to do things with words Two seminars on the naming of functional (psychogenic, non-epileptic, dissociative, conversion, …) seizures&quot;,&quot;author&quot;:[{&quot;family&quot;:&quot;Wardrope&quot;,&quot;given&quot;:&quot;Alistair&quot;,&quot;parse-names&quot;:false,&quot;dropping-particle&quot;:&quot;&quot;,&quot;non-dropping-particle&quot;:&quot;&quot;},{&quot;family&quot;:&quot;Dworetzky&quot;,&quot;given&quot;:&quot;Barbara A&quot;,&quot;parse-names&quot;:false,&quot;dropping-particle&quot;:&quot;&quot;,&quot;non-dropping-particle&quot;:&quot;&quot;},{&quot;family&quot;:&quot;Barkley&quot;,&quot;given&quot;:&quot;Gregory L&quot;,&quot;parse-names&quot;:false,&quot;dropping-particle&quot;:&quot;&quot;,&quot;non-dropping-particle&quot;:&quot;&quot;},{&quot;family&quot;:&quot;Baslet&quot;,&quot;given&quot;:&quot;Gaston&quot;,&quot;parse-names&quot;:false,&quot;dropping-particle&quot;:&quot;&quot;,&quot;non-dropping-particle&quot;:&quot;&quot;},{&quot;family&quot;:&quot;Buchhalter&quot;,&quot;given&quot;:&quot;Jeffrey&quot;,&quot;parse-names&quot;:false,&quot;dropping-particle&quot;:&quot;&quot;,&quot;non-dropping-particle&quot;:&quot;&quot;},{&quot;family&quot;:&quot;Doss&quot;,&quot;given&quot;:&quot;Julia&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Riker&quot;,&quot;given&quot;:&quot;Ellen&quot;,&quot;parse-names&quot;:false,&quot;dropping-particle&quot;:&quot;&quot;,&quot;non-dropping-particle&quot;:&quot;&quot;},{&quot;family&quot;:&quot;Roberts&quot;,&quot;given&quot;:&quot;Nicole A&quot;,&quot;parse-names&quot;:false,&quot;dropping-particle&quot;:&quot;&quot;,&quot;non-dropping-particle&quot;:&quot;&quot;},{&quot;family&quot;:&quot;Stone&quot;,&quot;given&quot;:&quot;Jon&quot;,&quot;parse-names&quot;:false,&quot;dropping-particle&quot;:&quot;&quot;,&quot;non-dropping-particle&quot;:&quot;&quot;},{&quot;family&quot;:&quot;Tolchin&quot;,&quot;given&quot;:&quot;Benjamin&quot;,&quot;parse-names&quot;:false,&quot;dropping-particle&quot;:&quot;&quot;,&quot;non-dropping-particle&quot;:&quot;&quot;},{&quot;family&quot;:&quot;Reuber&quot;,&quot;given&quot;:&quot;Markus&quot;,&quot;parse-names&quot;:false,&quot;dropping-particle&quot;:&quot;&quot;,&quot;non-dropping-particle&quot;:&quot;&quot;}],&quot;container-title&quot;:&quot;Seizure&quot;,&quot;container-title-short&quot;:&quot;Seizure&quot;,&quot;accessed&quot;:{&quot;date-parts&quot;:[[2023,4,27]]},&quot;URL&quot;:&quot;https://www.fndsociety.org/fnd-education/dec3-webinar-material.&quot;,&quot;issued&quot;:{&quot;date-parts&quot;:[[2021]]},&quot;volume&quot;:&quot;93&quot;},&quot;isTemporary&quot;:false}],&quot;citationTag&quot;:&quot;MENDELEY_CITATION_v3_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&quot;},{&quot;citationID&quot;:&quot;MENDELEY_CITATION_2b080dbf-56e7-4214-ba76-8eeef4a93c93&quot;,&quot;properties&quot;:{&quot;noteIndex&quot;:0},&quot;isEdited&quot;:false,&quot;manualOverride&quot;:{&quot;isManuallyOverridden&quot;:true,&quot;citeprocText&quot;:&quot;(M. J. Edwards et al., 2014)&quot;,&quot;manualOverrideText&quot;:&quot;(Edwards et al., 2014)&quot;},&quot;citationItems&quot;:[{&quot;id&quot;:&quot;f95dbef7-fd73-3c44-8d26-3f5f43414c48&quot;,&quot;itemData&quot;:{&quot;type&quot;:&quot;article-journal&quot;,&quot;id&quot;:&quot;f95dbef7-fd73-3c44-8d26-3f5f43414c48&quot;,&quot;title&quot;:&quot;From psychogenic movement disorder to functional movement disorder: it's time to change the name&quot;,&quot;author&quot;:[{&quot;family&quot;:&quot;Edwards&quot;,&quot;given&quot;:&quot;Mark J.&quot;,&quot;parse-names&quot;:false,&quot;dropping-particle&quot;:&quot;&quot;,&quot;non-dropping-particle&quot;:&quot;&quot;},{&quot;family&quot;:&quot;Stone&quot;,&quot;given&quot;:&quot;Jon&quot;,&quot;parse-names&quot;:false,&quot;dropping-particle&quot;:&quot;&quot;,&quot;non-dropping-particle&quot;:&quot;&quot;},{&quot;family&quot;:&quot;Lang&quot;,&quot;given&quot;:&quot;Anthony E.&quot;,&quot;parse-names&quot;:false,&quot;dropping-particle&quot;:&quot;&quot;,&quot;non-dropping-particle&quot;:&quot;&quot;}],&quot;container-title&quot;:&quot;Movement disorders : official journal of the Movement Disorder Society&quot;,&quot;container-title-short&quot;:&quot;Mov Disord&quot;,&quot;accessed&quot;:{&quot;date-parts&quot;:[[2023,5,29]]},&quot;DOI&quot;:&quot;10.1002/MDS.25562&quot;,&quot;ISSN&quot;:&quot;1531-8257&quot;,&quot;PMID&quot;:&quot;23843209&quot;,&quot;URL&quot;:&quot;https://pubmed.ncbi.nlm.nih.gov/23843209/&quot;,&quot;issued&quot;:{&quot;date-parts&quot;:[[2014]]},&quot;page&quot;:&quot;849-852&quot;,&quot;abstract&quot;:&quot;Successive attempts at rebranding may be behind at least some of the proliferation of terms we have at our disposal when describing patients with what are now most often referred to as \&quot;psychogenic,\&quot; \&quot;conversion,\&quot; or \&quot;somatoform\&quot; symptoms. The most popular term in the movement disorder literature, \&quot;psychogenic,\&quot; provides the aetiology of the disorder within the name, indicating that the symptoms are \&quot;born of the mind.\&quot; Here we argue that it is logical to stop using a term that defines the disorder with regard to a poorly defined aetiology that is not supported by current evidence, and, instead, to use a broad term-functional-not as a \&quot;polite eponym\&quot; but as a term that is freer from such assumptions and does not reinforce dualistic thinking. The main argument for change is not political or even practical, but scientific. © 2013 International Parkinson and Movement Disorder Society.&quot;,&quot;publisher&quot;:&quot;Mov Disord&quot;,&quot;issue&quot;:&quot;7&quot;,&quot;volume&quot;:&quot;29&quot;},&quot;isTemporary&quot;:false}],&quot;citationTag&quot;:&quot;MENDELEY_CITATION_v3_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&quot;},{&quot;citationID&quot;:&quot;MENDELEY_CITATION_06fa7bd3-0b0c-4a76-b4e0-fdb53f013c4d&quot;,&quot;properties&quot;:{&quot;noteIndex&quot;:0},&quot;isEdited&quot;:false,&quot;manualOverride&quot;:{&quot;isManuallyOverridden&quot;:false,&quot;citeprocText&quot;:&quot;(Asadi-Pooya et al., 2020)&quot;,&quot;manualOverrideText&quot;:&quot;&quot;},&quot;citationItems&quot;:[{&quot;id&quot;:&quot;ce3e4e7c-cf64-3411-8059-2c8b1bd1593f&quot;,&quot;itemData&quot;:{&quot;type&quot;:&quot;article-journal&quot;,&quot;id&quot;:&quot;ce3e4e7c-cf64-3411-8059-2c8b1bd1593f&quot;,&quot;title&quot;:&quot;Terminology for psychogenic nonepileptic seizures: Making the case for “functional seizures”&quot;,&quot;author&quot;:[{&quot;family&quot;:&quot;Asadi-Pooya&quot;,&quot;given&quot;:&quot;Ali A.&quot;,&quot;parse-names&quot;:false,&quot;dropping-particle&quot;:&quot;&quot;,&quot;non-dropping-particle&quot;:&quot;&quot;},{&quot;family&quot;:&quot;Brigo&quot;,&quot;given&quot;:&quot;Francesco&quot;,&quot;parse-names&quot;:false,&quot;dropping-particle&quot;:&quot;&quot;,&quot;non-dropping-particle&quot;:&quot;&quot;},{&quot;family&quot;:&quot;Mildon&quot;,&quot;given&quot;:&quot;Bridget&quot;,&quot;parse-names&quot;:false,&quot;dropping-particle&quot;:&quot;&quot;,&quot;non-dropping-particle&quot;:&quot;&quot;},{&quot;family&quot;:&quot;Nicholson&quot;,&quot;given&quot;:&quot;Timothy R.&quot;,&quot;parse-names&quot;:false,&quot;dropping-particle&quot;:&quot;&quot;,&quot;non-dropping-particle&quot;:&quot;&quot;}],&quot;container-title&quot;:&quot;Epilepsy &amp; Behavior&quot;,&quot;accessed&quot;:{&quot;date-parts&quot;:[[2023,4,12]]},&quot;DOI&quot;:&quot;10.1016/J.YEBEH.2019.106895&quot;,&quot;ISSN&quot;:&quot;1525-5050&quot;,&quot;PMID&quot;:&quot;31986440&quot;,&quot;issued&quot;:{&quot;date-parts&quot;:[[2020,3,1]]},&quot;page&quot;:&quot;106895&quot;,&quot;abstract&quot;:&quot;Purpose: The purpose of the study was to review the literature on the terminologies for psychogenic nonepileptic seizures (PNES) and make a proposal on the terminology of this condition. This proposal reflects the authors' own opinions. Methods: We systematically searched MEDLINE (accessed from PubMed) and EMBASE from inception to October 10, 2019 for articles written in English with a main focus on PNES (with or without discussion of other functional neurological disorders) and which either proposed or discussed the accuracy or appropriateness of PNES terminologies. Results: The search strategy reported above yielded 757 articles; 30 articles were eventually included, which were generally of low quality. “Functional seizures” (FS) appeared to be an acceptable terminology to name this condition from the perspective of patients. In addition, FS is a term that is relatively popular with clinicians. Conclusion: From the available evidence, FS meets more of the criteria proposed for an acceptable label than other popular terms in the field. While the term FS is neutral with regard to etiology and pathology (particularly regarding whether psychological or not), other terms such as “dissociative”, “conversion”, or “psychogenic” seizures are not. In addition, FS can potentially facilitate multidisciplinary (physical and psychological) management more than other terms. Adopting a universally accepted terminology to describe this disorder could standardize our approach to the illness and facilitate communication between healthcare professionals, patients, their families, carers, and the wider public.&quot;,&quot;publisher&quot;:&quot;Academic Press&quot;,&quot;volume&quot;:&quot;104&quot;,&quot;container-title-short&quot;:&quot;&quot;},&quot;isTemporary&quot;:false}],&quot;citationTag&quot;:&quot;MENDELEY_CITATION_v3_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&quot;},{&quot;citationID&quot;:&quot;MENDELEY_CITATION_3be89db4-5f5b-4a00-9b2b-4c87cbb0e5e0&quot;,&quot;properties&quot;:{&quot;noteIndex&quot;:0},&quot;isEdited&quot;:false,&quot;manualOverride&quot;:{&quot;isManuallyOverridden&quot;:true,&quot;citeprocText&quot;:&quot;(Akagi &amp;#38; House, 2002; Benbadis &amp;#38; Allen Hauser, 2000; Binzer et al., 1997; A. Carson &amp;#38; Lehn, 2016; R. Duncan et al., 2011; Espay, Aybek, et al., 2018; Stone et al., 2010; Szaflarski et al., 2000; Villagrán et al., 2021)&quot;,&quot;manualOverrideText&quot;:&quot;(Akagi &amp; House, 2002; Benbadis &amp; Allen Hauser, 2000; Binzer et al., 1997; Carson &amp; Lehn, 2016; Duncan et al., 2011; Espay et al., 2018; Stone et al., 2010; Szaflarski et al., 2000; Villagrán et al., 2021)&quot;},&quot;citationItems&quot;:[{&quot;id&quot;:&quot;1672c506-eb1e-3ce1-ad0c-d3256284c36a&quot;,&quot;itemData&quot;:{&quot;type&quot;:&quot;article-journal&quot;,&quot;id&quot;:&quot;1672c506-eb1e-3ce1-ad0c-d3256284c36a&quot;,&quot;title&quot;:&quot;Epidemiology&quot;,&quot;author&quot;:[{&quot;family&quot;:&quot;Carson&quot;,&quot;given&quot;:&quot;A.&quot;,&quot;parse-names&quot;:false,&quot;dropping-particle&quot;:&quot;&quot;,&quot;non-dropping-particle&quot;:&quot;&quot;},{&quot;family&quot;:&quot;Lehn&quot;,&quot;given&quot;:&quot;A.&quot;,&quot;parse-names&quot;:false,&quot;dropping-particle&quot;:&quot;&quot;,&quot;non-dropping-particle&quot;:&quot;&quot;}],&quot;container-title&quot;:&quot;Handbook of clinical neurology&quot;,&quot;container-title-short&quot;:&quot;Handb Clin Neurol&quot;,&quot;accessed&quot;:{&quot;date-parts&quot;:[[2023,4,14]]},&quot;DOI&quot;:&quot;10.1016/B978-0-12-801772-2.00005-9&quot;,&quot;ISSN&quot;:&quot;0072-9752&quot;,&quot;PMID&quot;:&quot;27719864&quot;,&quot;URL&quot;:&quot;https://pubmed.ncbi.nlm.nih.gov/27719864/&quot;,&quot;issued&quot;:{&quot;date-parts&quot;:[[2016,1,1]]},&quot;page&quot;:&quot;47-60&quot;,&quot;abstract&quot;:&quot;The epidemiology of functional neurologic disorders (FND) is complex and has been hampered over the years by a lack of clear definition, with previous definitions struggling with an uneasy mix of both physical and psychologic components. The recent changes in DSM-5 to a definition based on positive identification of physical symptoms which are incongruent and inconsistent with neurologic disease and the lack of need for any associated psychopathology represent a significant step forward in clarifying the disorder. On this basis, FND account for approximately 6% of neurology outpatient contacts and putative community incidence rates of 4–12 per 100 000 per annum. Comorbid neurologic disease occurs in around 10% of cases. The diagnosis is reliable, with revision rates less than 5%. Of note, this revision rate was consistent prior to the widespread utilization of computed tomography and magnetic resonance imaging. FND symptoms are disabling and associated with significant distress. They are more common in women and have a peak incidence between the ages of 35 and 50; however the presentation is common in men and throughout the lifespan. The issues surrounding case definition, ascertainment, misdiagnosis, and risk factors are discussed in detail.&quot;,&quot;publisher&quot;:&quot;Handb Clin Neurol&quot;,&quot;volume&quot;:&quot;139&quot;},&quot;isTemporary&quot;:false},{&quot;id&quot;:&quot;fe7cc43c-bd97-35c1-be88-68d41b68acf4&quot;,&quot;itemData&quot;:{&quot;type&quot;:&quot;article-journal&quot;,&quot;id&quot;:&quot;fe7cc43c-bd97-35c1-be88-68d41b68acf4&quot;,&quot;title&quot;:&quot;Incidence and prevalence of psychogenic nonepileptic seizures in a Norwegian county: A 10-year population-based study&quot;,&quot;author&quot;:[{&quot;family&quot;:&quot;Villagrán&quot;,&quot;given&quot;:&quot;Antonia&quot;,&quot;parse-names&quot;:false,&quot;dropping-particle&quot;:&quot;&quot;,&quot;non-dropping-particle&quot;:&quot;&quot;},{&quot;family&quot;:&quot;Eldøen&quot;,&quot;given&quot;:&quot;Guttorm&quot;,&quot;parse-names&quot;:false,&quot;dropping-particle&quot;:&quot;&quot;,&quot;non-dropping-particle&quot;:&quot;&quot;},{&quot;family&quot;:&quot;Duncan&quot;,&quot;given&quot;:&quot;Roderick&quot;,&quot;parse-names&quot;:false,&quot;dropping-particle&quot;:&quot;&quot;,&quot;non-dropping-particle&quot;:&quot;&quot;},{&quot;family&quot;:&quot;Modalsli Aaberg&quot;,&quot;given&quot;:&quot;Kari&quot;,&quot;parse-names&quot;:false,&quot;dropping-particle&quot;:&quot;&quot;,&quot;non-dropping-particle&quot;:&quot;&quot;},{&quot;family&quot;:&quot;Hofoss&quot;,&quot;given&quot;:&quot;Dag&quot;,&quot;parse-names&quot;:false,&quot;dropping-particle&quot;:&quot;&quot;,&quot;non-dropping-particle&quot;:&quot;&quot;},{&quot;family&quot;:&quot;Ingvar Lossius&quot;,&quot;given&quot;:&quot;Morten&quot;,&quot;parse-names&quot;:false,&quot;dropping-particle&quot;:&quot;&quot;,&quot;non-dropping-particle&quot;:&quot;&quot;}],&quot;accessed&quot;:{&quot;date-parts&quot;:[[2023,4,27]]},&quot;DOI&quot;:&quot;10.1111/epi.16949&quot;,&quot;issued&quot;:{&quot;date-parts&quot;:[[2021]]},&quot;abstract&quot;:&quot;Objective: This study was undertaken to measure the incidence and prevalence of active psychogenic nonepileptic seizures (PNES) in a Norwegian county. Methods: Using the Norwegian patient registry, we identified patients in Møre and Romsdal County in Norway diagnosed with F44.5 (conversion disorder with seizures or convulsions) or R56.8 (convulsions, not elsewhere classified of the patients' medical records and an assessment of diagnostic validity were performed. PNES were diagnosed according to the recommendations by the International League Against Epilepsy Nonepileptic Seizures Task Force. Point prevalence of PNES on January 1, 2020 and incidence rates for the period 2010-2019 were determined. Results: Based on PNES within the past 5 years, we found a PNES prevalence of 23.8/100 000 (95% confidence interval [CI] = 17.9-29.6), including all levels of diagnostic certainty. For the highest level of diagnostic certainty (video-electroencephalographically confirmed), the prevalence was 10.6/100 000 (95% CI = 6.7-14.5). The highest prevalence was found in the age group 15-19 years, at 59.5/100 000 (95% CI = 22.6-96.3). The mean annual incidence rate between 2010 and 2019 was 3.1/100 000/year (95% CI = 2.4-3.7). Significance: We report for the first time a population-based estimate of the prevalence of PNES. Our findings suggest that the prevalence of PNES is within the range of estimates from non-population-based data. We found a strikingly high prevalence of PNES in the 15-19-year age group. K E Y W O R D S adolescents, diagnostic coding, epidemiology, psychogenic nonepileptic seizures&quot;,&quot;container-title-short&quot;:&quot;&quot;},&quot;isTemporary&quot;:false},{&quot;id&quot;:&quot;b5b9b3ad-c3d8-3cd4-9ccd-db4bef744c57&quot;,&quot;itemData&quot;:{&quot;type&quot;:&quot;article-journal&quot;,&quot;id&quot;:&quot;b5b9b3ad-c3d8-3cd4-9ccd-db4bef744c57&quot;,&quot;title&quot;:&quot;Newly presenting psychogenic nonepileptic seizures: incidence, population characteristics, and early outcome from a prospective audit of a first seizure clinic&quot;,&quot;author&quot;:[{&quot;family&quot;:&quot;Duncan&quot;,&quot;given&quot;:&quot;Roderick&quot;,&quot;parse-names&quot;:false,&quot;dropping-particle&quot;:&quot;&quot;,&quot;non-dropping-particle&quot;:&quot;&quot;},{&quot;family&quot;:&quot;Razvi&quot;,&quot;given&quot;:&quot;Saif&quot;,&quot;parse-names&quot;:false,&quot;dropping-particle&quot;:&quot;&quot;,&quot;non-dropping-particle&quot;:&quot;&quot;},{&quot;family&quot;:&quot;Mulhern&quot;,&quot;given&quot;:&quot;Sharon&quot;,&quot;parse-names&quot;:false,&quot;dropping-particle&quot;:&quot;&quot;,&quot;non-dropping-particle&quot;:&quot;&quot;}],&quot;container-title&quot;:&quot;Epilepsy &amp; behavior : E&amp;B&quot;,&quot;container-title-short&quot;:&quot;Epilepsy Behav&quot;,&quot;accessed&quot;:{&quot;date-parts&quot;:[[2023,4,27]]},&quot;DOI&quot;:&quot;10.1016/J.YEBEH.2010.10.022&quot;,&quot;ISSN&quot;:&quot;1525-5069&quot;,&quot;PMID&quot;:&quot;21195031&quot;,&quot;URL&quot;:&quot;https://pubmed.ncbi.nlm.nih.gov/21195031/&quot;,&quot;issued&quot;:{&quot;date-parts&quot;:[[2011,2]]},&quot;page&quot;:&quot;308-311&quot;,&quot;abstract&quot;:&quot;There are few published population-based data for psychogenic nonepileptic seizures (PNES). We prospectively identified first presentations of PNES from a population of 367,566, over 3. years. PNES were diagnosed in 68 patients, in 54 of whom the diagnosis was confirmed by video/EEG recording, indicating an incidence of 4.90/100,000/year. Median diagnostic delay was 0.6 ± 0.2. year. At presentation with PNES, our patients already had high rates of psychological morbidity, medically unexplained symptoms other than PNES, and economic dependence. At 3. months postdiagnosis, 27 of 54 patients (50.0%) were spell free. For 24 of the 27 patients (88.9%), spells ceased immediately on communication of the diagnosis. At 6. months, 24 of 54 patients (44.4%) were spell free. Poor early outcome was predicted by unemployment. Our data suggest that early outcome is good in patients with recent-onset PNES, but some patients relapse quickly. © 2010 Elsevier Inc.&quot;,&quot;publisher&quot;:&quot;Epilepsy Behav&quot;,&quot;issue&quot;:&quot;2&quot;,&quot;volume&quot;:&quot;20&quot;},&quot;isTemporary&quot;:false},{&quot;id&quot;:&quot;ac19a723-c762-3753-ad9a-64e295cd8094&quot;,&quot;itemData&quot;:{&quot;type&quot;:&quot;article-journal&quot;,&quot;id&quot;:&quot;ac19a723-c762-3753-ad9a-64e295cd8094&quot;,&quot;title&quot;:&quot;The clinical epidemiology of hysteria: Vanishingly rare, or just vanishing?&quot;,&quot;author&quot;:[{&quot;family&quot;:&quot;Akagi&quot;,&quot;given&quot;:&quot;Hiroko&quot;,&quot;parse-names&quot;:false,&quot;dropping-particle&quot;:&quot;&quot;,&quot;non-dropping-particle&quot;:&quot;&quot;},{&quot;family&quot;:&quot;House&quot;,&quot;given&quot;:&quot;Allan&quot;,&quot;parse-names&quot;:false,&quot;dropping-particle&quot;:&quot;&quot;,&quot;non-dropping-particle&quot;:&quot;&quot;}],&quot;container-title&quot;:&quot;Psychological Medicine&quot;,&quot;container-title-short&quot;:&quot;Psychol Med&quot;,&quot;accessed&quot;:{&quot;date-parts&quot;:[[2023,4,14]]},&quot;DOI&quot;:&quot;10.1017/S0033291701004962&quot;,&quot;ISSN&quot;:&quot;00332917&quot;,&quot;PMID&quot;:&quot;11866315&quot;,&quot;issued&quot;:{&quot;date-parts&quot;:[[2002]]},&quot;page&quot;:&quot;191-194&quot;,&quot;publisher&quot;:&quot;Cambridge University Press&quot;,&quot;issue&quot;:&quot;2&quot;,&quot;volume&quot;:&quot;32&quot;},&quot;isTemporary&quot;:false},{&quot;id&quot;:&quot;b0ffd962-60bb-3147-8884-5f2c33fd1743&quot;,&quot;itemData&quot;:{&quot;type&quot;:&quot;article-journal&quot;,&quot;id&quot;:&quot;b0ffd962-60bb-3147-8884-5f2c33fd1743&quot;,&quot;title&quot;:&quot;An estimate of the prevalence of psychogenic non-epileptic seizures&quot;,&quot;author&quot;:[{&quot;family&quot;:&quot;Benbadis&quot;,&quot;given&quot;:&quot;Selim R.&quot;,&quot;parse-names&quot;:false,&quot;dropping-particle&quot;:&quot;&quot;,&quot;non-dropping-particle&quot;:&quot;&quot;},{&quot;family&quot;:&quot;Allen Hauser&quot;,&quot;given&quot;:&quot;W.&quot;,&quot;parse-names&quot;:false,&quot;dropping-particle&quot;:&quot;&quot;,&quot;non-dropping-particle&quot;:&quot;&quot;}],&quot;container-title&quot;:&quot;Seizure&quot;,&quot;container-title-short&quot;:&quot;Seizure&quot;,&quot;accessed&quot;:{&quot;date-parts&quot;:[[2023,4,14]]},&quot;DOI&quot;:&quot;10.1053/SEIZ.2000.0409&quot;,&quot;ISSN&quot;:&quot;1059-1311&quot;,&quot;PMID&quot;:&quot;10880289&quot;,&quot;URL&quot;:&quot;https://pubmed.ncbi.nlm.nih.gov/10880289/&quot;,&quot;issued&quot;:{&quot;date-parts&quot;:[[2000]]},&quot;page&quot;:&quot;280-281&quot;,&quot;abstract&quot;:&quot;The prevalence of psychogenic non-epileptic seizures is difficult to estimate. We propose an estimate based on a calculation. We used the following data, which are known or have been estimated, and are generally accepted. A prevalence of epilepsy of 0.5-1%; a proportion of intractable epilepsy of 20-30%; a percentage of these referred to epilepsy centers of 20-50%; and a percentage of patients referred to epilepsy centers that are psychogenic non-epileptic seizures: 10-20%. Using the low estimates, the prevalence of psychogenic non-epileptic seizures would be 1/50 000. Using the high estimates, the prevalence of psychogenic non-epileptic seizures would be 1/3000. The prevalence of psychogenic non-epileptic seizures is somewhere between 1/50 000 and 1/3000, or 2 to 33 per 100 000, making it a significant neurologic condition. (C) 2000 BEA Trading Ltd.&quot;,&quot;publisher&quot;:&quot;Seizure&quot;,&quot;issue&quot;:&quot;4&quot;,&quot;volume&quot;:&quot;9&quot;},&quot;isTemporary&quot;:false},{&quot;id&quot;:&quot;20dc0411-11ef-3fc0-a2c3-2a665cfacc3d&quot;,&quot;itemData&quot;:{&quot;type&quot;:&quot;article-journal&quot;,&quot;id&quot;:&quot;20dc0411-11ef-3fc0-a2c3-2a665cfacc3d&quot;,&quot;title&quot;:&quot;Clinical characteristics of patients with motor disability due to conversion disorder: a prospective control group study&quot;,&quot;author&quot;:[{&quot;family&quot;:&quot;Binzer&quot;,&quot;given&quot;:&quot;Michael&quot;,&quot;parse-names&quot;:false,&quot;dropping-particle&quot;:&quot;&quot;,&quot;non-dropping-particle&quot;:&quot;&quot;},{&quot;family&quot;:&quot;Andersen&quot;,&quot;given&quot;:&quot;Peter M.&quot;,&quot;parse-names&quot;:false,&quot;dropping-particle&quot;:&quot;&quot;,&quot;non-dropping-particle&quot;:&quot;&quot;},{&quot;family&quot;:&quot;Kullgren&quot;,&quot;given&quot;:&quot;Gunnar&quot;,&quot;parse-names&quot;:false,&quot;dropping-particle&quot;:&quot;&quot;,&quot;non-dropping-particle&quot;:&quot;&quot;}],&quot;container-title&quot;:&quot;Journal of neurology, neurosurgery, and psychiatry&quot;,&quot;container-title-short&quot;:&quot;J Neurol Neurosurg Psychiatry&quot;,&quot;accessed&quot;:{&quot;date-parts&quot;:[[2023,4,13]]},&quot;DOI&quot;:&quot;10.1136/JNNP.63.1.83&quot;,&quot;ISSN&quot;:&quot;0022-3050&quot;,&quot;PMID&quot;:&quot;9221972&quot;,&quot;URL&quot;:&quot;https://pubmed.ncbi.nlm.nih.gov/9221972/&quot;,&quot;issued&quot;:{&quot;date-parts&quot;:[[1997]]},&quot;page&quot;:&quot;83-88&quot;,&quot;abstract&quot;:&quot;Objectives - Previous studies have suggested associations between conversion and many different clinical characteristics. This study investigates these findings in a prospective design including a control group. Methods - Thirty consecutive patients with a recent onset of motor disability due to a conversion disorder were compared with a control group of patients with corresponding motor symptoms due to a definite organic lesion. Both groups had a similar duration of symptoms and a comparable age and sex profile and were assessed on a prospective basis. Background information about previous somatic and psychiatric disease was collected and all patients were assessed by means of a structured clinical interview linked to the diagnostic system DSM III-R, the Hamilton rating depression scale, and a special life events inventory. Results - The conversion group had a higher degree of psychopathology with 33% of the patients fulfilling the criteria for psychiatric syndromes according to DSM-III-R axis I, whereas 50% had axis II personality disorders compared with 10% and 17% respectively in the control group. Conversion patients also had significantly higher scores according to the Hamilton rating depression scale. Although patients with known neurological disease were not included in the conversion group, a concomitant somatic disorder was found in 33% of the patients and 50% complained of benign pain. The educational background in conversion patients was poor with only 13% having dropped out of high school compared with 67% in the control group. Self reported global assessment of functioning according to the axis V on DSM IV was significantly lower in conversion patients, who also registered significantly more negative life events before the onset of symptoms than controls. Logistic regression analysis showed that low education, presence of a personality disorder, and high Hamilton depression score were significantly associated with conversion disorder. Conclusion - The importance of several previously reported predisposing and precipitating factors in conversion disorder is confirmed. The results support the notion that conversion should be treated as a symptom rather than a diagnosis and that efforts should be made in diagnosing and treating possible underlying somatic and psychiatric conditions.&quot;,&quot;publisher&quot;:&quot;J Neurol Neurosurg Psychiatry&quot;,&quot;issue&quot;:&quot;1&quot;,&quot;volume&quot;:&quot;63&quot;},&quot;isTemporary&quot;:false},{&quot;id&quot;:&quot;f3bdefe1-16aa-34b9-9eed-68baadfc442b&quot;,&quot;itemData&quot;:{&quot;type&quot;:&quot;article-journal&quot;,&quot;id&quot;:&quot;f3bdefe1-16aa-34b9-9eed-68baadfc442b&quot;,&quot;title&quot;:&quot;Current Concepts in Diagnosis and Treatment of Functional Neurological Disorders&quot;,&quot;author&quot;:[{&quot;family&quot;:&quot;Espay&quot;,&quot;given&quot;:&quot;A J&quot;,&quot;parse-names&quot;:false,&quot;dropping-particle&quot;:&quot;&quot;,&quot;non-dropping-particle&quot;:&quot;&quot;},{&quot;family&quot;:&quot;Aybek&quot;,&quot;given&quot;:&quot;S&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LaFaver&quot;,&quot;given&quot;:&quot;K&quot;,&quot;parse-names&quot;:false,&quot;dropping-particle&quot;:&quot;&quot;,&quot;non-dropping-particle&quot;:&quot;&quot;},{&quot;family&quot;:&quot;LaFrance Jr.&quot;,&quot;given&quot;:&quot;W C&quot;,&quot;parse-names&quot;:false,&quot;dropping-particle&quot;:&quot;&quot;,&quot;non-dropping-particle&quot;:&quot;&quot;},{&quot;family&quot;:&quot;Lang&quot;,&quot;given&quot;:&quot;A E&quot;,&quot;parse-names&quot;:false,&quot;dropping-particle&quot;:&quot;&quot;,&quot;non-dropping-particle&quot;:&quot;&quot;},{&quot;family&quot;:&quot;Nicholson&quot;,&quot;given&quot;:&quot;T&quot;,&quot;parse-names&quot;:false,&quot;dropping-particle&quot;:&quot;&quot;,&quot;non-dropping-particle&quot;:&quot;&quot;},{&quot;family&quot;:&quot;Nielsen&quot;,&quot;given&quot;:&quot;G&quot;,&quot;parse-names&quot;:false,&quot;dropping-particle&quot;:&quot;&quot;,&quot;non-dropping-particle&quot;:&quot;&quot;},{&quot;family&quot;:&quot;Reuber&quot;,&quot;given&quot;:&quot;M&quot;,&quot;parse-names&quot;:false,&quot;dropping-particle&quot;:&quot;&quot;,&quot;non-dropping-particle&quot;:&quot;&quot;},{&quot;family&quot;:&quot;Voon&quot;,&quot;given&quot;:&quot;V&quot;,&quot;parse-names&quot;:false,&quot;dropping-particle&quot;:&quot;&quot;,&quot;non-dropping-particle&quot;:&quot;&quot;},{&quot;family&quot;:&quot;Stone&quot;,&quot;given&quot;:&quot;J&quot;,&quot;parse-names&quot;:false,&quot;dropping-particle&quot;:&quot;&quot;,&quot;non-dropping-particle&quot;:&quot;&quot;},{&quot;family&quot;:&quot;Morgante&quot;,&quot;given&quot;:&quot;F&quot;,&quot;parse-names&quot;:false,&quot;dropping-particle&quot;:&quot;&quot;,&quot;non-dropping-particle&quot;:&quot;&quot;}],&quot;container-title&quot;:&quot;JAMA Neurol&quot;,&quot;DOI&quot;:&quot;10.1001/jamaneurol.2018.1264&quot;,&quot;ISSN&quot;:&quot;2168-6149&quot;,&quot;PMID&quot;:&quot;29868890&quot;,&quot;issued&quot;:{&quot;date-parts&quot;:[[2018]]},&quot;page&quot;:&quot;1132-1141&quot;,&quot;language&quot;:&quot;eng&quot;,&quot;abstract&quot;:&quot;IMPORTANCE: Functional neurological disorders (FND) are common sources of disability in medicine. Patients have often been misdiagnosed, correctly diagnosed after lengthy delays, and/or subjected to poorly delivered diagnoses that prevent diagnostic understanding and lead to inappropriate treatments, iatrogenic harm, unnecessary and costly evaluations, and poor outcomes. OBSERVATIONS: Functional Neurological Symptom Disorder/Conversion Disorder was adopted by the Diagnostic and Statistical Manual of Mental Disorders, Fifth Edition, replacing the term psychogenic with functional and removing the criterion of psychological stress as a prerequisite for FND. A diagnosis can now be made in an inclusionary manner by identifying neurological signs that are specific to FNDs without reliance on presence or absence of psychological stressors or suggestive historical clues. The new model highlights a wider range of past sensitizing events, such as physical trauma, medical illness, or physiological/psychophysiological events. In this model, strong ideas and expectations about these events correlate with abnormal predictions of sensory data and body-focused attention. Neurobiological abnormalities include hypoactivation of the supplementary motor area and relative disconnection with areas that select or inhibit movements and are associated with a sense of agency. Promising evidence has accumulated for the benefit of specific physical rehabilitation and psychological interventions alone or in combination, but clinical trial evidence remains limited. CONCLUSIONS AND RELEVANCE: Functional neurological disorders are a neglected but potentially reversible source of disability. Further research is needed to determine the dose and duration of various interventions, the value of combination treatments and multidisciplinary therapy, and the therapeutic modality best suited for each patient.&quot;,&quot;edition&quot;:&quot;2018/06/06&quot;,&quot;issue&quot;:&quot;9&quot;,&quot;volume&quot;:&quot;75&quot;,&quot;container-title-short&quot;:&quot;&quot;},&quot;isTemporary&quot;:false},{&quot;id&quot;:&quot;caf78f84-0567-36cd-83cb-1f7e705c7d43&quot;,&quot;itemData&quot;:{&quot;type&quot;:&quot;article-journal&quot;,&quot;id&quot;:&quot;caf78f84-0567-36cd-83cb-1f7e705c7d43&quot;,&quot;title&quot;:&quot;Who is referred to neurology clinics?--the diagnoses made in 3781 new patients&quot;,&quot;author&quot;:[{&quot;family&quot;:&quot;Stone&quot;,&quot;given&quot;:&quot;J&quot;,&quot;parse-names&quot;:false,&quot;dropping-particle&quot;:&quot;&quot;,&quot;non-dropping-particle&quot;:&quot;&quot;},{&quot;family&quot;:&quot;Carson&quot;,&quot;given&quot;:&quot;A&quot;,&quot;parse-names&quot;:false,&quot;dropping-particle&quot;:&quot;&quot;,&quot;non-dropping-particle&quot;:&quot;&quot;},{&quot;family&quot;:&quot;Duncan&quot;,&quot;given&quot;:&quot;R&quot;,&quot;parse-names&quot;:false,&quot;dropping-particle&quot;:&quot;&quot;,&quot;non-dropping-particle&quot;:&quot;&quot;},{&quot;family&quot;:&quot;Roberts&quot;,&quot;given&quot;:&quot;R&quot;,&quot;parse-names&quot;:false,&quot;dropping-particle&quot;:&quot;&quot;,&quot;non-dropping-particle&quot;:&quot;&quot;},{&quot;family&quot;:&quot;Warlow&quot;,&quot;given&quot;:&quot;C&quot;,&quot;parse-names&quot;:false,&quot;dropping-particle&quot;:&quot;&quot;,&quot;non-dropping-particle&quot;:&quot;&quot;},{&quot;family&quot;:&quot;Hibberd&quot;,&quot;given&quot;:&quot;C&quot;,&quot;parse-names&quot;:false,&quot;dropping-particle&quot;:&quot;&quot;,&quot;non-dropping-particle&quot;:&quot;&quot;},{&quot;family&quot;:&quot;Coleman&quot;,&quot;given&quot;:&quot;R&quot;,&quot;parse-names&quot;:false,&quot;dropping-particle&quot;:&quot;&quot;,&quot;non-dropping-particle&quot;:&quot;&quot;},{&quot;family&quot;:&quot;Cull&quot;,&quot;given&quot;:&quot;R&quot;,&quot;parse-names&quot;:false,&quot;dropping-particle&quot;:&quot;&quot;,&quot;non-dropping-particle&quot;:&quot;&quot;},{&quot;family&quot;:&quot;Murray&quot;,&quot;given&quot;:&quot;G&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Smyth&quot;,&quot;given&quot;:&quot;R&quot;,&quot;parse-names&quot;:false,&quot;dropping-particle&quot;:&quot;&quot;,&quot;non-dropping-particle&quot;:&quot;&quot;},{&quot;family&quot;:&quot;Walker&quot;,&quot;given&quot;:&quot;J&quot;,&quot;parse-names&quot;:false,&quot;dropping-particle&quot;:&quot;&quot;,&quot;non-dropping-particle&quot;:&quot;&quot;},{&quot;family&quot;:&quot;Sharpe&quot;,&quot;given&quot;:&quot;M&quot;,&quot;parse-names&quot;:false,&quot;dropping-particle&quot;:&quot;&quot;,&quot;non-dropping-particle&quot;:&quot;&quot;}],&quot;container-title&quot;:&quot;Clin Neurol Neurosurg&quot;,&quot;DOI&quot;:&quot;10.1016/j.clineuro.2010.05.011&quot;,&quot;ISSN&quot;:&quot;0303-8467&quot;,&quot;PMID&quot;:&quot;20646830&quot;,&quot;issued&quot;:{&quot;date-parts&quot;:[[2010]]},&quot;page&quot;:&quot;747-751&quot;,&quot;language&quot;:&quot;eng&quot;,&quot;abstract&quot;:&quot;OBJECTIVE: Information on the nature and relative frequency of diagnoses made in referrals to neurology outpatient clinics is an important guide to priorities in services, teaching and research. Previous studies of this topic have been limited by being of only single centres or lacking in detail. We aimed to describe the neurological diagnoses made in a large series of referrals to neurology outpatient clinics. METHOD: Newly referred outpatients attending neurology clinics in all the NHS neurological centres in Scotland, UK were recruited over a period of 15 months. The assessing neurologists recorded the initial diagnosis they made. An additional rating of the degree to which the neurologist considered the patient's symptoms to be explained by disease was used to categorise those diagnoses that simply described a symptom such as 'fatigue'. RESULTS: Three thousand seven hundred and eighty-one patients participated (91% of those eligible). The commonest categories of diagnosis made were: headache (19%), functional and psychological symptoms (16%), epilepsy (14%), peripheral nerve disorders (11%), miscellaneous neurological disorders (10%), demyelination (7%), spinal disorders (6%), Parkinson's disease/movement disorders (6%), and syncope (4%). Detailed breakdowns of each category are provided. CONCLUSIONS: Headache, functional/psychological disorders and epilepsy are the most common diagnoses in new patient referral to neurological services. This information should be used to shape priorities for services, teaching and research.&quot;,&quot;edition&quot;:&quot;2010/07/22&quot;,&quot;issue&quot;:&quot;9&quot;,&quot;volume&quot;:&quot;112&quot;,&quot;container-title-short&quot;:&quot;&quot;},&quot;isTemporary&quot;:false},{&quot;id&quot;:&quot;aea87dd1-ef0d-3c9a-8298-9f9a9b7c809e&quot;,&quot;itemData&quot;:{&quot;type&quot;:&quot;article-journal&quot;,&quot;id&quot;:&quot;aea87dd1-ef0d-3c9a-8298-9f9a9b7c809e&quot;,&quot;title&quot;:&quot;Four-year incidence of psychogenic nonepileptic seizures in adults in hamilton county, OH&quot;,&quot;author&quot;:[{&quot;family&quot;:&quot;Szaflarski&quot;,&quot;given&quot;:&quot;Jerzy P.&quot;,&quot;parse-names&quot;:false,&quot;dropping-particle&quot;:&quot;&quot;,&quot;non-dropping-particle&quot;:&quot;&quot;},{&quot;family&quot;:&quot;Ficker&quot;,&quot;given&quot;:&quot;D. M.&quot;,&quot;parse-names&quot;:false,&quot;dropping-particle&quot;:&quot;&quot;,&quot;non-dropping-particle&quot;:&quot;&quot;},{&quot;family&quot;:&quot;Cahill&quot;,&quot;given&quot;:&quot;W. T.&quot;,&quot;parse-names&quot;:false,&quot;dropping-particle&quot;:&quot;&quot;,&quot;non-dropping-particle&quot;:&quot;&quot;},{&quot;family&quot;:&quot;Privitera&quot;,&quot;given&quot;:&quot;M. D.&quot;,&quot;parse-names&quot;:false,&quot;dropping-particle&quot;:&quot;&quot;,&quot;non-dropping-particle&quot;:&quot;&quot;}],&quot;container-title&quot;:&quot;Neurology&quot;,&quot;container-title-short&quot;:&quot;Neurology&quot;,&quot;accessed&quot;:{&quot;date-parts&quot;:[[2023,4,13]]},&quot;DOI&quot;:&quot;10.1212/WNL.55.10.1561&quot;,&quot;ISSN&quot;:&quot;0028-3878&quot;,&quot;PMID&quot;:&quot;11094115&quot;,&quot;URL&quot;:&quot;https://pubmed.ncbi.nlm.nih.gov/11094115/&quot;,&quot;issued&quot;:{&quot;date-parts&quot;:[[2000,11,28]]},&quot;page&quot;:&quot;1561-1563&quot;,&quot;abstract&quot;:&quot;In this retrospective study, the incidence of psychogenic nonepileptic seizures in Hamilton County, OH, between 1995 and 1998 was determined. The mean incidence of psychogenic nonepileptic seizures was 3.03/100,000, with the highest incidence in 1998 (4.6/100,000). Most patients with the diagnosis of psychogenic nonepileptic seizures were aged 25 to 45 years (4.38/100,000).&quot;,&quot;publisher&quot;:&quot;Neurology&quot;,&quot;issue&quot;:&quot;10&quot;,&quot;volume&quot;:&quot;55&quot;},&quot;isTemporary&quot;:false}],&quot;citationTag&quot;:&quot;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&quot;},{&quot;citationID&quot;:&quot;MENDELEY_CITATION_1ea9c692-2490-4981-8e0b-e69c498bf20a&quot;,&quot;properties&quot;:{&quot;noteIndex&quot;:0},&quot;isEdited&quot;:false,&quot;manualOverride&quot;:{&quot;isManuallyOverridden&quot;:true,&quot;citeprocText&quot;:&quot;(A. Carson &amp;#38; Lehn, 2016)&quot;,&quot;manualOverrideText&quot;:&quot;(Carson &amp; Lehn, 2016)&quot;},&quot;citationItems&quot;:[{&quot;id&quot;:&quot;1672c506-eb1e-3ce1-ad0c-d3256284c36a&quot;,&quot;itemData&quot;:{&quot;type&quot;:&quot;article-journal&quot;,&quot;id&quot;:&quot;1672c506-eb1e-3ce1-ad0c-d3256284c36a&quot;,&quot;title&quot;:&quot;Epidemiology&quot;,&quot;author&quot;:[{&quot;family&quot;:&quot;Carson&quot;,&quot;given&quot;:&quot;A.&quot;,&quot;parse-names&quot;:false,&quot;dropping-particle&quot;:&quot;&quot;,&quot;non-dropping-particle&quot;:&quot;&quot;},{&quot;family&quot;:&quot;Lehn&quot;,&quot;given&quot;:&quot;A.&quot;,&quot;parse-names&quot;:false,&quot;dropping-particle&quot;:&quot;&quot;,&quot;non-dropping-particle&quot;:&quot;&quot;}],&quot;container-title&quot;:&quot;Handbook of clinical neurology&quot;,&quot;container-title-short&quot;:&quot;Handb Clin Neurol&quot;,&quot;accessed&quot;:{&quot;date-parts&quot;:[[2023,4,14]]},&quot;DOI&quot;:&quot;10.1016/B978-0-12-801772-2.00005-9&quot;,&quot;ISSN&quot;:&quot;0072-9752&quot;,&quot;PMID&quot;:&quot;27719864&quot;,&quot;URL&quot;:&quot;https://pubmed.ncbi.nlm.nih.gov/27719864/&quot;,&quot;issued&quot;:{&quot;date-parts&quot;:[[2016,1,1]]},&quot;page&quot;:&quot;47-60&quot;,&quot;abstract&quot;:&quot;The epidemiology of functional neurologic disorders (FND) is complex and has been hampered over the years by a lack of clear definition, with previous definitions struggling with an uneasy mix of both physical and psychologic components. The recent changes in DSM-5 to a definition based on positive identification of physical symptoms which are incongruent and inconsistent with neurologic disease and the lack of need for any associated psychopathology represent a significant step forward in clarifying the disorder. On this basis, FND account for approximately 6% of neurology outpatient contacts and putative community incidence rates of 4–12 per 100 000 per annum. Comorbid neurologic disease occurs in around 10% of cases. The diagnosis is reliable, with revision rates less than 5%. Of note, this revision rate was consistent prior to the widespread utilization of computed tomography and magnetic resonance imaging. FND symptoms are disabling and associated with significant distress. They are more common in women and have a peak incidence between the ages of 35 and 50; however the presentation is common in men and throughout the lifespan. The issues surrounding case definition, ascertainment, misdiagnosis, and risk factors are discussed in detail.&quot;,&quot;publisher&quot;:&quot;Handb Clin Neurol&quot;,&quot;volume&quot;:&quot;139&quot;},&quot;isTemporary&quot;:false}],&quot;citationTag&quot;:&quot;MENDELEY_CITATION_v3_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&quot;},{&quot;citationID&quot;:&quot;MENDELEY_CITATION_5b876904-aedc-4ebc-9d16-da6ca85f90d0&quot;,&quot;properties&quot;:{&quot;noteIndex&quot;:0},&quot;isEdited&quot;:false,&quot;manualOverride&quot;:{&quot;isManuallyOverridden&quot;:true,&quot;citeprocText&quot;:&quot;(Stone et al., 2010)&quot;,&quot;manualOverrideText&quot;:&quot;Stone et al. (2010)&quot;},&quot;citationItems&quot;:[{&quot;label&quot;:&quot;page&quot;,&quot;id&quot;:&quot;caf78f84-0567-36cd-83cb-1f7e705c7d43&quot;,&quot;itemData&quot;:{&quot;type&quot;:&quot;article-journal&quot;,&quot;id&quot;:&quot;caf78f84-0567-36cd-83cb-1f7e705c7d43&quot;,&quot;title&quot;:&quot;Who is referred to neurology clinics?--the diagnoses made in 3781 new patients&quot;,&quot;author&quot;:[{&quot;family&quot;:&quot;Stone&quot;,&quot;given&quot;:&quot;J&quot;,&quot;parse-names&quot;:false,&quot;dropping-particle&quot;:&quot;&quot;,&quot;non-dropping-particle&quot;:&quot;&quot;},{&quot;family&quot;:&quot;Carson&quot;,&quot;given&quot;:&quot;A&quot;,&quot;parse-names&quot;:false,&quot;dropping-particle&quot;:&quot;&quot;,&quot;non-dropping-particle&quot;:&quot;&quot;},{&quot;family&quot;:&quot;Duncan&quot;,&quot;given&quot;:&quot;R&quot;,&quot;parse-names&quot;:false,&quot;dropping-particle&quot;:&quot;&quot;,&quot;non-dropping-particle&quot;:&quot;&quot;},{&quot;family&quot;:&quot;Roberts&quot;,&quot;given&quot;:&quot;R&quot;,&quot;parse-names&quot;:false,&quot;dropping-particle&quot;:&quot;&quot;,&quot;non-dropping-particle&quot;:&quot;&quot;},{&quot;family&quot;:&quot;Warlow&quot;,&quot;given&quot;:&quot;C&quot;,&quot;parse-names&quot;:false,&quot;dropping-particle&quot;:&quot;&quot;,&quot;non-dropping-particle&quot;:&quot;&quot;},{&quot;family&quot;:&quot;Hibberd&quot;,&quot;given&quot;:&quot;C&quot;,&quot;parse-names&quot;:false,&quot;dropping-particle&quot;:&quot;&quot;,&quot;non-dropping-particle&quot;:&quot;&quot;},{&quot;family&quot;:&quot;Coleman&quot;,&quot;given&quot;:&quot;R&quot;,&quot;parse-names&quot;:false,&quot;dropping-particle&quot;:&quot;&quot;,&quot;non-dropping-particle&quot;:&quot;&quot;},{&quot;family&quot;:&quot;Cull&quot;,&quot;given&quot;:&quot;R&quot;,&quot;parse-names&quot;:false,&quot;dropping-particle&quot;:&quot;&quot;,&quot;non-dropping-particle&quot;:&quot;&quot;},{&quot;family&quot;:&quot;Murray&quot;,&quot;given&quot;:&quot;G&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Smyth&quot;,&quot;given&quot;:&quot;R&quot;,&quot;parse-names&quot;:false,&quot;dropping-particle&quot;:&quot;&quot;,&quot;non-dropping-particle&quot;:&quot;&quot;},{&quot;family&quot;:&quot;Walker&quot;,&quot;given&quot;:&quot;J&quot;,&quot;parse-names&quot;:false,&quot;dropping-particle&quot;:&quot;&quot;,&quot;non-dropping-particle&quot;:&quot;&quot;},{&quot;family&quot;:&quot;Sharpe&quot;,&quot;given&quot;:&quot;M&quot;,&quot;parse-names&quot;:false,&quot;dropping-particle&quot;:&quot;&quot;,&quot;non-dropping-particle&quot;:&quot;&quot;}],&quot;container-title&quot;:&quot;Clin Neurol Neurosurg&quot;,&quot;DOI&quot;:&quot;10.1016/j.clineuro.2010.05.011&quot;,&quot;ISSN&quot;:&quot;0303-8467&quot;,&quot;PMID&quot;:&quot;20646830&quot;,&quot;issued&quot;:{&quot;date-parts&quot;:[[2010]]},&quot;page&quot;:&quot;747-751&quot;,&quot;language&quot;:&quot;eng&quot;,&quot;abstract&quot;:&quot;OBJECTIVE: Information on the nature and relative frequency of diagnoses made in referrals to neurology outpatient clinics is an important guide to priorities in services, teaching and research. Previous studies of this topic have been limited by being of only single centres or lacking in detail. We aimed to describe the neurological diagnoses made in a large series of referrals to neurology outpatient clinics. METHOD: Newly referred outpatients attending neurology clinics in all the NHS neurological centres in Scotland, UK were recruited over a period of 15 months. The assessing neurologists recorded the initial diagnosis they made. An additional rating of the degree to which the neurologist considered the patient's symptoms to be explained by disease was used to categorise those diagnoses that simply described a symptom such as 'fatigue'. RESULTS: Three thousand seven hundred and eighty-one patients participated (91% of those eligible). The commonest categories of diagnosis made were: headache (19%), functional and psychological symptoms (16%), epilepsy (14%), peripheral nerve disorders (11%), miscellaneous neurological disorders (10%), demyelination (7%), spinal disorders (6%), Parkinson's disease/movement disorders (6%), and syncope (4%). Detailed breakdowns of each category are provided. CONCLUSIONS: Headache, functional/psychological disorders and epilepsy are the most common diagnoses in new patient referral to neurological services. This information should be used to shape priorities for services, teaching and research.&quot;,&quot;edition&quot;:&quot;2010/07/22&quot;,&quot;issue&quot;:&quot;9&quot;,&quot;volume&quot;:&quot;112&quot;,&quot;container-title-short&quot;:&quot;&quot;},&quot;isTemporary&quot;:false,&quot;suppress-author&quot;:false}],&quot;citationTag&quot;:&quot;MENDELEY_CITATION_v3_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&quot;},{&quot;citationID&quot;:&quot;MENDELEY_CITATION_a8fd6774-6c82-4209-9fd5-75c06c5f5403&quot;,&quot;properties&quot;:{&quot;noteIndex&quot;:0},&quot;isEdited&quot;:false,&quot;manualOverride&quot;:{&quot;isManuallyOverridden&quot;:true,&quot;citeprocText&quot;:&quot;(Binzer et al., 1997; R. Duncan et al., 2011; Espay, Aybek, et al., 2018; Stone et al., 2010; Szaflarski et al., 2000)&quot;,&quot;manualOverrideText&quot;:&quot;(Binzer et al., 1997; Duncan et al., 2011; Espay et al., 2018; Stone et al., 2010; Szaflarski et al., 2000)&quot;},&quot;citationItems&quot;:[{&quot;id&quot;:&quot;aea87dd1-ef0d-3c9a-8298-9f9a9b7c809e&quot;,&quot;itemData&quot;:{&quot;type&quot;:&quot;article-journal&quot;,&quot;id&quot;:&quot;aea87dd1-ef0d-3c9a-8298-9f9a9b7c809e&quot;,&quot;title&quot;:&quot;Four-year incidence of psychogenic nonepileptic seizures in adults in hamilton county, OH&quot;,&quot;author&quot;:[{&quot;family&quot;:&quot;Szaflarski&quot;,&quot;given&quot;:&quot;Jerzy P.&quot;,&quot;parse-names&quot;:false,&quot;dropping-particle&quot;:&quot;&quot;,&quot;non-dropping-particle&quot;:&quot;&quot;},{&quot;family&quot;:&quot;Ficker&quot;,&quot;given&quot;:&quot;D. M.&quot;,&quot;parse-names&quot;:false,&quot;dropping-particle&quot;:&quot;&quot;,&quot;non-dropping-particle&quot;:&quot;&quot;},{&quot;family&quot;:&quot;Cahill&quot;,&quot;given&quot;:&quot;W. T.&quot;,&quot;parse-names&quot;:false,&quot;dropping-particle&quot;:&quot;&quot;,&quot;non-dropping-particle&quot;:&quot;&quot;},{&quot;family&quot;:&quot;Privitera&quot;,&quot;given&quot;:&quot;M. D.&quot;,&quot;parse-names&quot;:false,&quot;dropping-particle&quot;:&quot;&quot;,&quot;non-dropping-particle&quot;:&quot;&quot;}],&quot;container-title&quot;:&quot;Neurology&quot;,&quot;container-title-short&quot;:&quot;Neurology&quot;,&quot;accessed&quot;:{&quot;date-parts&quot;:[[2023,4,13]]},&quot;DOI&quot;:&quot;10.1212/WNL.55.10.1561&quot;,&quot;ISSN&quot;:&quot;0028-3878&quot;,&quot;PMID&quot;:&quot;11094115&quot;,&quot;URL&quot;:&quot;https://pubmed.ncbi.nlm.nih.gov/11094115/&quot;,&quot;issued&quot;:{&quot;date-parts&quot;:[[2000,11,28]]},&quot;page&quot;:&quot;1561-1563&quot;,&quot;abstract&quot;:&quot;In this retrospective study, the incidence of psychogenic nonepileptic seizures in Hamilton County, OH, between 1995 and 1998 was determined. The mean incidence of psychogenic nonepileptic seizures was 3.03/100,000, with the highest incidence in 1998 (4.6/100,000). Most patients with the diagnosis of psychogenic nonepileptic seizures were aged 25 to 45 years (4.38/100,000).&quot;,&quot;publisher&quot;:&quot;Neurology&quot;,&quot;issue&quot;:&quot;10&quot;,&quot;volume&quot;:&quot;55&quot;},&quot;isTemporary&quot;:false},{&quot;id&quot;:&quot;caf78f84-0567-36cd-83cb-1f7e705c7d43&quot;,&quot;itemData&quot;:{&quot;type&quot;:&quot;article-journal&quot;,&quot;id&quot;:&quot;caf78f84-0567-36cd-83cb-1f7e705c7d43&quot;,&quot;title&quot;:&quot;Who is referred to neurology clinics?--the diagnoses made in 3781 new patients&quot;,&quot;author&quot;:[{&quot;family&quot;:&quot;Stone&quot;,&quot;given&quot;:&quot;J&quot;,&quot;parse-names&quot;:false,&quot;dropping-particle&quot;:&quot;&quot;,&quot;non-dropping-particle&quot;:&quot;&quot;},{&quot;family&quot;:&quot;Carson&quot;,&quot;given&quot;:&quot;A&quot;,&quot;parse-names&quot;:false,&quot;dropping-particle&quot;:&quot;&quot;,&quot;non-dropping-particle&quot;:&quot;&quot;},{&quot;family&quot;:&quot;Duncan&quot;,&quot;given&quot;:&quot;R&quot;,&quot;parse-names&quot;:false,&quot;dropping-particle&quot;:&quot;&quot;,&quot;non-dropping-particle&quot;:&quot;&quot;},{&quot;family&quot;:&quot;Roberts&quot;,&quot;given&quot;:&quot;R&quot;,&quot;parse-names&quot;:false,&quot;dropping-particle&quot;:&quot;&quot;,&quot;non-dropping-particle&quot;:&quot;&quot;},{&quot;family&quot;:&quot;Warlow&quot;,&quot;given&quot;:&quot;C&quot;,&quot;parse-names&quot;:false,&quot;dropping-particle&quot;:&quot;&quot;,&quot;non-dropping-particle&quot;:&quot;&quot;},{&quot;family&quot;:&quot;Hibberd&quot;,&quot;given&quot;:&quot;C&quot;,&quot;parse-names&quot;:false,&quot;dropping-particle&quot;:&quot;&quot;,&quot;non-dropping-particle&quot;:&quot;&quot;},{&quot;family&quot;:&quot;Coleman&quot;,&quot;given&quot;:&quot;R&quot;,&quot;parse-names&quot;:false,&quot;dropping-particle&quot;:&quot;&quot;,&quot;non-dropping-particle&quot;:&quot;&quot;},{&quot;family&quot;:&quot;Cull&quot;,&quot;given&quot;:&quot;R&quot;,&quot;parse-names&quot;:false,&quot;dropping-particle&quot;:&quot;&quot;,&quot;non-dropping-particle&quot;:&quot;&quot;},{&quot;family&quot;:&quot;Murray&quot;,&quot;given&quot;:&quot;G&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Smyth&quot;,&quot;given&quot;:&quot;R&quot;,&quot;parse-names&quot;:false,&quot;dropping-particle&quot;:&quot;&quot;,&quot;non-dropping-particle&quot;:&quot;&quot;},{&quot;family&quot;:&quot;Walker&quot;,&quot;given&quot;:&quot;J&quot;,&quot;parse-names&quot;:false,&quot;dropping-particle&quot;:&quot;&quot;,&quot;non-dropping-particle&quot;:&quot;&quot;},{&quot;family&quot;:&quot;Sharpe&quot;,&quot;given&quot;:&quot;M&quot;,&quot;parse-names&quot;:false,&quot;dropping-particle&quot;:&quot;&quot;,&quot;non-dropping-particle&quot;:&quot;&quot;}],&quot;container-title&quot;:&quot;Clin Neurol Neurosurg&quot;,&quot;DOI&quot;:&quot;10.1016/j.clineuro.2010.05.011&quot;,&quot;ISSN&quot;:&quot;0303-8467&quot;,&quot;PMID&quot;:&quot;20646830&quot;,&quot;issued&quot;:{&quot;date-parts&quot;:[[2010]]},&quot;page&quot;:&quot;747-751&quot;,&quot;language&quot;:&quot;eng&quot;,&quot;abstract&quot;:&quot;OBJECTIVE: Information on the nature and relative frequency of diagnoses made in referrals to neurology outpatient clinics is an important guide to priorities in services, teaching and research. Previous studies of this topic have been limited by being of only single centres or lacking in detail. We aimed to describe the neurological diagnoses made in a large series of referrals to neurology outpatient clinics. METHOD: Newly referred outpatients attending neurology clinics in all the NHS neurological centres in Scotland, UK were recruited over a period of 15 months. The assessing neurologists recorded the initial diagnosis they made. An additional rating of the degree to which the neurologist considered the patient's symptoms to be explained by disease was used to categorise those diagnoses that simply described a symptom such as 'fatigue'. RESULTS: Three thousand seven hundred and eighty-one patients participated (91% of those eligible). The commonest categories of diagnosis made were: headache (19%), functional and psychological symptoms (16%), epilepsy (14%), peripheral nerve disorders (11%), miscellaneous neurological disorders (10%), demyelination (7%), spinal disorders (6%), Parkinson's disease/movement disorders (6%), and syncope (4%). Detailed breakdowns of each category are provided. CONCLUSIONS: Headache, functional/psychological disorders and epilepsy are the most common diagnoses in new patient referral to neurological services. This information should be used to shape priorities for services, teaching and research.&quot;,&quot;edition&quot;:&quot;2010/07/22&quot;,&quot;issue&quot;:&quot;9&quot;,&quot;volume&quot;:&quot;112&quot;,&quot;container-title-short&quot;:&quot;&quot;},&quot;isTemporary&quot;:false},{&quot;id&quot;:&quot;f3bdefe1-16aa-34b9-9eed-68baadfc442b&quot;,&quot;itemData&quot;:{&quot;type&quot;:&quot;article-journal&quot;,&quot;id&quot;:&quot;f3bdefe1-16aa-34b9-9eed-68baadfc442b&quot;,&quot;title&quot;:&quot;Current Concepts in Diagnosis and Treatment of Functional Neurological Disorders&quot;,&quot;author&quot;:[{&quot;family&quot;:&quot;Espay&quot;,&quot;given&quot;:&quot;A J&quot;,&quot;parse-names&quot;:false,&quot;dropping-particle&quot;:&quot;&quot;,&quot;non-dropping-particle&quot;:&quot;&quot;},{&quot;family&quot;:&quot;Aybek&quot;,&quot;given&quot;:&quot;S&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LaFaver&quot;,&quot;given&quot;:&quot;K&quot;,&quot;parse-names&quot;:false,&quot;dropping-particle&quot;:&quot;&quot;,&quot;non-dropping-particle&quot;:&quot;&quot;},{&quot;family&quot;:&quot;LaFrance Jr.&quot;,&quot;given&quot;:&quot;W C&quot;,&quot;parse-names&quot;:false,&quot;dropping-particle&quot;:&quot;&quot;,&quot;non-dropping-particle&quot;:&quot;&quot;},{&quot;family&quot;:&quot;Lang&quot;,&quot;given&quot;:&quot;A E&quot;,&quot;parse-names&quot;:false,&quot;dropping-particle&quot;:&quot;&quot;,&quot;non-dropping-particle&quot;:&quot;&quot;},{&quot;family&quot;:&quot;Nicholson&quot;,&quot;given&quot;:&quot;T&quot;,&quot;parse-names&quot;:false,&quot;dropping-particle&quot;:&quot;&quot;,&quot;non-dropping-particle&quot;:&quot;&quot;},{&quot;family&quot;:&quot;Nielsen&quot;,&quot;given&quot;:&quot;G&quot;,&quot;parse-names&quot;:false,&quot;dropping-particle&quot;:&quot;&quot;,&quot;non-dropping-particle&quot;:&quot;&quot;},{&quot;family&quot;:&quot;Reuber&quot;,&quot;given&quot;:&quot;M&quot;,&quot;parse-names&quot;:false,&quot;dropping-particle&quot;:&quot;&quot;,&quot;non-dropping-particle&quot;:&quot;&quot;},{&quot;family&quot;:&quot;Voon&quot;,&quot;given&quot;:&quot;V&quot;,&quot;parse-names&quot;:false,&quot;dropping-particle&quot;:&quot;&quot;,&quot;non-dropping-particle&quot;:&quot;&quot;},{&quot;family&quot;:&quot;Stone&quot;,&quot;given&quot;:&quot;J&quot;,&quot;parse-names&quot;:false,&quot;dropping-particle&quot;:&quot;&quot;,&quot;non-dropping-particle&quot;:&quot;&quot;},{&quot;family&quot;:&quot;Morgante&quot;,&quot;given&quot;:&quot;F&quot;,&quot;parse-names&quot;:false,&quot;dropping-particle&quot;:&quot;&quot;,&quot;non-dropping-particle&quot;:&quot;&quot;}],&quot;container-title&quot;:&quot;JAMA Neurol&quot;,&quot;DOI&quot;:&quot;10.1001/jamaneurol.2018.1264&quot;,&quot;ISSN&quot;:&quot;2168-6149&quot;,&quot;PMID&quot;:&quot;29868890&quot;,&quot;issued&quot;:{&quot;date-parts&quot;:[[2018]]},&quot;page&quot;:&quot;1132-1141&quot;,&quot;language&quot;:&quot;eng&quot;,&quot;abstract&quot;:&quot;IMPORTANCE: Functional neurological disorders (FND) are common sources of disability in medicine. Patients have often been misdiagnosed, correctly diagnosed after lengthy delays, and/or subjected to poorly delivered diagnoses that prevent diagnostic understanding and lead to inappropriate treatments, iatrogenic harm, unnecessary and costly evaluations, and poor outcomes. OBSERVATIONS: Functional Neurological Symptom Disorder/Conversion Disorder was adopted by the Diagnostic and Statistical Manual of Mental Disorders, Fifth Edition, replacing the term psychogenic with functional and removing the criterion of psychological stress as a prerequisite for FND. A diagnosis can now be made in an inclusionary manner by identifying neurological signs that are specific to FNDs without reliance on presence or absence of psychological stressors or suggestive historical clues. The new model highlights a wider range of past sensitizing events, such as physical trauma, medical illness, or physiological/psychophysiological events. In this model, strong ideas and expectations about these events correlate with abnormal predictions of sensory data and body-focused attention. Neurobiological abnormalities include hypoactivation of the supplementary motor area and relative disconnection with areas that select or inhibit movements and are associated with a sense of agency. Promising evidence has accumulated for the benefit of specific physical rehabilitation and psychological interventions alone or in combination, but clinical trial evidence remains limited. CONCLUSIONS AND RELEVANCE: Functional neurological disorders are a neglected but potentially reversible source of disability. Further research is needed to determine the dose and duration of various interventions, the value of combination treatments and multidisciplinary therapy, and the therapeutic modality best suited for each patient.&quot;,&quot;edition&quot;:&quot;2018/06/06&quot;,&quot;issue&quot;:&quot;9&quot;,&quot;volume&quot;:&quot;75&quot;,&quot;container-title-short&quot;:&quot;&quot;},&quot;isTemporary&quot;:false},{&quot;id&quot;:&quot;20dc0411-11ef-3fc0-a2c3-2a665cfacc3d&quot;,&quot;itemData&quot;:{&quot;type&quot;:&quot;article-journal&quot;,&quot;id&quot;:&quot;20dc0411-11ef-3fc0-a2c3-2a665cfacc3d&quot;,&quot;title&quot;:&quot;Clinical characteristics of patients with motor disability due to conversion disorder: a prospective control group study&quot;,&quot;author&quot;:[{&quot;family&quot;:&quot;Binzer&quot;,&quot;given&quot;:&quot;Michael&quot;,&quot;parse-names&quot;:false,&quot;dropping-particle&quot;:&quot;&quot;,&quot;non-dropping-particle&quot;:&quot;&quot;},{&quot;family&quot;:&quot;Andersen&quot;,&quot;given&quot;:&quot;Peter M.&quot;,&quot;parse-names&quot;:false,&quot;dropping-particle&quot;:&quot;&quot;,&quot;non-dropping-particle&quot;:&quot;&quot;},{&quot;family&quot;:&quot;Kullgren&quot;,&quot;given&quot;:&quot;Gunnar&quot;,&quot;parse-names&quot;:false,&quot;dropping-particle&quot;:&quot;&quot;,&quot;non-dropping-particle&quot;:&quot;&quot;}],&quot;container-title&quot;:&quot;Journal of neurology, neurosurgery, and psychiatry&quot;,&quot;container-title-short&quot;:&quot;J Neurol Neurosurg Psychiatry&quot;,&quot;accessed&quot;:{&quot;date-parts&quot;:[[2023,4,13]]},&quot;DOI&quot;:&quot;10.1136/JNNP.63.1.83&quot;,&quot;ISSN&quot;:&quot;0022-3050&quot;,&quot;PMID&quot;:&quot;9221972&quot;,&quot;URL&quot;:&quot;https://pubmed.ncbi.nlm.nih.gov/9221972/&quot;,&quot;issued&quot;:{&quot;date-parts&quot;:[[1997]]},&quot;page&quot;:&quot;83-88&quot;,&quot;abstract&quot;:&quot;Objectives - Previous studies have suggested associations between conversion and many different clinical characteristics. This study investigates these findings in a prospective design including a control group. Methods - Thirty consecutive patients with a recent onset of motor disability due to a conversion disorder were compared with a control group of patients with corresponding motor symptoms due to a definite organic lesion. Both groups had a similar duration of symptoms and a comparable age and sex profile and were assessed on a prospective basis. Background information about previous somatic and psychiatric disease was collected and all patients were assessed by means of a structured clinical interview linked to the diagnostic system DSM III-R, the Hamilton rating depression scale, and a special life events inventory. Results - The conversion group had a higher degree of psychopathology with 33% of the patients fulfilling the criteria for psychiatric syndromes according to DSM-III-R axis I, whereas 50% had axis II personality disorders compared with 10% and 17% respectively in the control group. Conversion patients also had significantly higher scores according to the Hamilton rating depression scale. Although patients with known neurological disease were not included in the conversion group, a concomitant somatic disorder was found in 33% of the patients and 50% complained of benign pain. The educational background in conversion patients was poor with only 13% having dropped out of high school compared with 67% in the control group. Self reported global assessment of functioning according to the axis V on DSM IV was significantly lower in conversion patients, who also registered significantly more negative life events before the onset of symptoms than controls. Logistic regression analysis showed that low education, presence of a personality disorder, and high Hamilton depression score were significantly associated with conversion disorder. Conclusion - The importance of several previously reported predisposing and precipitating factors in conversion disorder is confirmed. The results support the notion that conversion should be treated as a symptom rather than a diagnosis and that efforts should be made in diagnosing and treating possible underlying somatic and psychiatric conditions.&quot;,&quot;publisher&quot;:&quot;J Neurol Neurosurg Psychiatry&quot;,&quot;issue&quot;:&quot;1&quot;,&quot;volume&quot;:&quot;63&quot;},&quot;isTemporary&quot;:false},{&quot;id&quot;:&quot;b5b9b3ad-c3d8-3cd4-9ccd-db4bef744c57&quot;,&quot;itemData&quot;:{&quot;type&quot;:&quot;article-journal&quot;,&quot;id&quot;:&quot;b5b9b3ad-c3d8-3cd4-9ccd-db4bef744c57&quot;,&quot;title&quot;:&quot;Newly presenting psychogenic nonepileptic seizures: incidence, population characteristics, and early outcome from a prospective audit of a first seizure clinic&quot;,&quot;author&quot;:[{&quot;family&quot;:&quot;Duncan&quot;,&quot;given&quot;:&quot;Roderick&quot;,&quot;parse-names&quot;:false,&quot;dropping-particle&quot;:&quot;&quot;,&quot;non-dropping-particle&quot;:&quot;&quot;},{&quot;family&quot;:&quot;Razvi&quot;,&quot;given&quot;:&quot;Saif&quot;,&quot;parse-names&quot;:false,&quot;dropping-particle&quot;:&quot;&quot;,&quot;non-dropping-particle&quot;:&quot;&quot;},{&quot;family&quot;:&quot;Mulhern&quot;,&quot;given&quot;:&quot;Sharon&quot;,&quot;parse-names&quot;:false,&quot;dropping-particle&quot;:&quot;&quot;,&quot;non-dropping-particle&quot;:&quot;&quot;}],&quot;container-title&quot;:&quot;Epilepsy &amp; behavior : E&amp;B&quot;,&quot;container-title-short&quot;:&quot;Epilepsy Behav&quot;,&quot;accessed&quot;:{&quot;date-parts&quot;:[[2023,4,27]]},&quot;DOI&quot;:&quot;10.1016/J.YEBEH.2010.10.022&quot;,&quot;ISSN&quot;:&quot;1525-5069&quot;,&quot;PMID&quot;:&quot;21195031&quot;,&quot;URL&quot;:&quot;https://pubmed.ncbi.nlm.nih.gov/21195031/&quot;,&quot;issued&quot;:{&quot;date-parts&quot;:[[2011,2]]},&quot;page&quot;:&quot;308-311&quot;,&quot;abstract&quot;:&quot;There are few published population-based data for psychogenic nonepileptic seizures (PNES). We prospectively identified first presentations of PNES from a population of 367,566, over 3. years. PNES were diagnosed in 68 patients, in 54 of whom the diagnosis was confirmed by video/EEG recording, indicating an incidence of 4.90/100,000/year. Median diagnostic delay was 0.6 ± 0.2. year. At presentation with PNES, our patients already had high rates of psychological morbidity, medically unexplained symptoms other than PNES, and economic dependence. At 3. months postdiagnosis, 27 of 54 patients (50.0%) were spell free. For 24 of the 27 patients (88.9%), spells ceased immediately on communication of the diagnosis. At 6. months, 24 of 54 patients (44.4%) were spell free. Poor early outcome was predicted by unemployment. Our data suggest that early outcome is good in patients with recent-onset PNES, but some patients relapse quickly. © 2010 Elsevier Inc.&quot;,&quot;publisher&quot;:&quot;Epilepsy Behav&quot;,&quot;issue&quot;:&quot;2&quot;,&quot;volume&quot;:&quot;20&quot;},&quot;isTemporary&quot;:false}],&quot;citationTag&quot;:&quot;MENDELEY_CITATION_v3_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&quot;},{&quot;citationID&quot;:&quot;MENDELEY_CITATION_3708046d-7111-4ed1-a4f8-1ced49f9a905&quot;,&quot;properties&quot;:{&quot;noteIndex&quot;:0},&quot;isEdited&quot;:false,&quot;manualOverride&quot;:{&quot;isManuallyOverridden&quot;:false,&quot;citeprocText&quot;:&quot;(Benbadis &amp;#38; Allen Hauser, 2000)&quot;,&quot;manualOverrideText&quot;:&quot;&quot;},&quot;citationItems&quot;:[{&quot;id&quot;:&quot;b0ffd962-60bb-3147-8884-5f2c33fd1743&quot;,&quot;itemData&quot;:{&quot;type&quot;:&quot;article-journal&quot;,&quot;id&quot;:&quot;b0ffd962-60bb-3147-8884-5f2c33fd1743&quot;,&quot;title&quot;:&quot;An estimate of the prevalence of psychogenic non-epileptic seizures&quot;,&quot;author&quot;:[{&quot;family&quot;:&quot;Benbadis&quot;,&quot;given&quot;:&quot;Selim R.&quot;,&quot;parse-names&quot;:false,&quot;dropping-particle&quot;:&quot;&quot;,&quot;non-dropping-particle&quot;:&quot;&quot;},{&quot;family&quot;:&quot;Allen Hauser&quot;,&quot;given&quot;:&quot;W.&quot;,&quot;parse-names&quot;:false,&quot;dropping-particle&quot;:&quot;&quot;,&quot;non-dropping-particle&quot;:&quot;&quot;}],&quot;container-title&quot;:&quot;Seizure&quot;,&quot;container-title-short&quot;:&quot;Seizure&quot;,&quot;accessed&quot;:{&quot;date-parts&quot;:[[2023,4,14]]},&quot;DOI&quot;:&quot;10.1053/SEIZ.2000.0409&quot;,&quot;ISSN&quot;:&quot;1059-1311&quot;,&quot;PMID&quot;:&quot;10880289&quot;,&quot;URL&quot;:&quot;https://pubmed.ncbi.nlm.nih.gov/10880289/&quot;,&quot;issued&quot;:{&quot;date-parts&quot;:[[2000]]},&quot;page&quot;:&quot;280-281&quot;,&quot;abstract&quot;:&quot;The prevalence of psychogenic non-epileptic seizures is difficult to estimate. We propose an estimate based on a calculation. We used the following data, which are known or have been estimated, and are generally accepted. A prevalence of epilepsy of 0.5-1%; a proportion of intractable epilepsy of 20-30%; a percentage of these referred to epilepsy centers of 20-50%; and a percentage of patients referred to epilepsy centers that are psychogenic non-epileptic seizures: 10-20%. Using the low estimates, the prevalence of psychogenic non-epileptic seizures would be 1/50 000. Using the high estimates, the prevalence of psychogenic non-epileptic seizures would be 1/3000. The prevalence of psychogenic non-epileptic seizures is somewhere between 1/50 000 and 1/3000, or 2 to 33 per 100 000, making it a significant neurologic condition. (C) 2000 BEA Trading Ltd.&quot;,&quot;publisher&quot;:&quot;Seizure&quot;,&quot;issue&quot;:&quot;4&quot;,&quot;volume&quot;:&quot;9&quot;},&quot;isTemporary&quot;:false}],&quot;citationTag&quot;:&quot;MENDELEY_CITATION_v3_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&quot;},{&quot;citationID&quot;:&quot;MENDELEY_CITATION_2b030635-0e9b-4abd-afb3-a237ab12b67e&quot;,&quot;properties&quot;:{&quot;noteIndex&quot;:0},&quot;isEdited&quot;:false,&quot;manualOverride&quot;:{&quot;isManuallyOverridden&quot;:true,&quot;citeprocText&quot;:&quot;(Villagrán et al., 2021)&quot;,&quot;manualOverrideText&quot;:&quot;Villagrán et al. (2021)&quot;},&quot;citationItems&quot;:[{&quot;id&quot;:&quot;fe7cc43c-bd97-35c1-be88-68d41b68acf4&quot;,&quot;itemData&quot;:{&quot;type&quot;:&quot;article-journal&quot;,&quot;id&quot;:&quot;fe7cc43c-bd97-35c1-be88-68d41b68acf4&quot;,&quot;title&quot;:&quot;Incidence and prevalence of psychogenic nonepileptic seizures in a Norwegian county: A 10-year population-based study&quot;,&quot;author&quot;:[{&quot;family&quot;:&quot;Villagrán&quot;,&quot;given&quot;:&quot;Antonia&quot;,&quot;parse-names&quot;:false,&quot;dropping-particle&quot;:&quot;&quot;,&quot;non-dropping-particle&quot;:&quot;&quot;},{&quot;family&quot;:&quot;Eldøen&quot;,&quot;given&quot;:&quot;Guttorm&quot;,&quot;parse-names&quot;:false,&quot;dropping-particle&quot;:&quot;&quot;,&quot;non-dropping-particle&quot;:&quot;&quot;},{&quot;family&quot;:&quot;Duncan&quot;,&quot;given&quot;:&quot;Roderick&quot;,&quot;parse-names&quot;:false,&quot;dropping-particle&quot;:&quot;&quot;,&quot;non-dropping-particle&quot;:&quot;&quot;},{&quot;family&quot;:&quot;Modalsli Aaberg&quot;,&quot;given&quot;:&quot;Kari&quot;,&quot;parse-names&quot;:false,&quot;dropping-particle&quot;:&quot;&quot;,&quot;non-dropping-particle&quot;:&quot;&quot;},{&quot;family&quot;:&quot;Hofoss&quot;,&quot;given&quot;:&quot;Dag&quot;,&quot;parse-names&quot;:false,&quot;dropping-particle&quot;:&quot;&quot;,&quot;non-dropping-particle&quot;:&quot;&quot;},{&quot;family&quot;:&quot;Ingvar Lossius&quot;,&quot;given&quot;:&quot;Morten&quot;,&quot;parse-names&quot;:false,&quot;dropping-particle&quot;:&quot;&quot;,&quot;non-dropping-particle&quot;:&quot;&quot;}],&quot;accessed&quot;:{&quot;date-parts&quot;:[[2023,4,27]]},&quot;DOI&quot;:&quot;10.1111/epi.16949&quot;,&quot;issued&quot;:{&quot;date-parts&quot;:[[2021]]},&quot;abstract&quot;:&quot;Objective: This study was undertaken to measure the incidence and prevalence of active psychogenic nonepileptic seizures (PNES) in a Norwegian county. Methods: Using the Norwegian patient registry, we identified patients in Møre and Romsdal County in Norway diagnosed with F44.5 (conversion disorder with seizures or convulsions) or R56.8 (convulsions, not elsewhere classified of the patients' medical records and an assessment of diagnostic validity were performed. PNES were diagnosed according to the recommendations by the International League Against Epilepsy Nonepileptic Seizures Task Force. Point prevalence of PNES on January 1, 2020 and incidence rates for the period 2010-2019 were determined. Results: Based on PNES within the past 5 years, we found a PNES prevalence of 23.8/100 000 (95% confidence interval [CI] = 17.9-29.6), including all levels of diagnostic certainty. For the highest level of diagnostic certainty (video-electroencephalographically confirmed), the prevalence was 10.6/100 000 (95% CI = 6.7-14.5). The highest prevalence was found in the age group 15-19 years, at 59.5/100 000 (95% CI = 22.6-96.3). The mean annual incidence rate between 2010 and 2019 was 3.1/100 000/year (95% CI = 2.4-3.7). Significance: We report for the first time a population-based estimate of the prevalence of PNES. Our findings suggest that the prevalence of PNES is within the range of estimates from non-population-based data. We found a strikingly high prevalence of PNES in the 15-19-year age group. K E Y W O R D S adolescents, diagnostic coding, epidemiology, psychogenic nonepileptic seizures&quot;,&quot;container-title-short&quot;:&quot;&quot;},&quot;isTemporary&quot;:false}],&quot;citationTag&quot;:&quot;MENDELEY_CITATION_v3_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&quot;},{&quot;citationID&quot;:&quot;MENDELEY_CITATION_5ac6465b-0a8d-4498-96c3-17d82e153d38&quot;,&quot;properties&quot;:{&quot;noteIndex&quot;:0},&quot;isEdited&quot;:false,&quot;manualOverride&quot;:{&quot;isManuallyOverridden&quot;:false,&quot;citeprocText&quot;:&quot;(Goldstein et al., 2019)&quot;,&quot;manualOverrideText&quot;:&quot;&quot;},&quot;citationItems&quot;:[{&quot;id&quot;:&quot;560a76f3-236c-385f-982d-5873ffd8bc2a&quot;,&quot;itemData&quot;:{&quot;type&quot;:&quot;article-journal&quot;,&quot;id&quot;:&quot;560a76f3-236c-385f-982d-5873ffd8bc2a&quot;,&quot;title&quot;:&quot;Characteristics of 698 patients with dissociative seizures: A UK multicenter study&quot;,&quot;author&quot;:[{&quot;family&quot;:&quot;Goldstein&quot;,&quot;given&quot;:&quot;Laura H.&quot;,&quot;parse-names&quot;:false,&quot;dropping-particle&quot;:&quot;&quot;,&quot;non-dropping-particle&quot;:&quot;&quot;},{&quot;family&quot;:&quot;Robinson&quot;,&quot;given&quot;:&quot;Emily J.&quot;,&quot;parse-names&quot;:false,&quot;dropping-particle&quot;:&quot;&quot;,&quot;non-dropping-particle&quot;:&quot;&quot;},{&quot;family&quot;:&quot;Reuber&quot;,&quot;given&quot;:&quot;Markus&quot;,&quot;parse-names&quot;:false,&quot;dropping-particle&quot;:&quot;&quot;,&quot;non-dropping-particle&quot;:&quot;&quot;},{&quot;family&quot;:&quot;Chalder&quot;,&quot;given&quot;:&quot;Trudie&quot;,&quot;parse-names&quot;:false,&quot;dropping-particle&quot;:&quot;&quot;,&quot;non-dropping-particle&quot;:&quot;&quot;},{&quot;family&quot;:&quot;Callaghan&quot;,&quot;given&quot;:&quot;Hannah&quot;,&quot;parse-names&quot;:false,&quot;dropping-particle&quot;:&quot;&quot;,&quot;non-dropping-particle&quot;:&quot;&quot;},{&quot;family&quot;:&quot;Eastwood&quot;,&quot;given&quot;:&quot;Carole&quot;,&quot;parse-names&quot;:false,&quot;dropping-particle&quot;:&quot;&quot;,&quot;non-dropping-particle&quot;:&quot;&quot;},{&quot;family&quot;:&quot;Landau&quot;,&quot;given&quot;:&quot;Sabine&quot;,&quot;parse-names&quot;:false,&quot;dropping-particle&quot;:&quot;&quot;,&quot;non-dropping-particle&quot;:&quot;&quot;},{&quot;family&quot;:&quot;McCrone&quot;,&quot;given&quot;:&quot;Paul&quot;,&quot;parse-names&quot;:false,&quot;dropping-particle&quot;:&quot;&quot;,&quot;non-dropping-particle&quot;:&quot;&quot;},{&quot;family&quot;:&quot;Medford&quot;,&quot;given&quot;:&quot;Nick&quot;,&quot;parse-names&quot;:false,&quot;dropping-particle&quot;:&quot;&quot;,&quot;non-dropping-particle&quot;:&quot;&quot;},{&quot;family&quot;:&quot;Mellers&quot;,&quot;given&quot;:&quot;John D.C.&quot;,&quot;parse-names&quot;:false,&quot;dropping-particle&quot;:&quot;&quot;,&quot;non-dropping-particle&quot;:&quot;&quot;},{&quot;family&quot;:&quot;Moore&quot;,&quot;given&quot;:&quot;Michele&quot;,&quot;parse-names&quot;:false,&quot;dropping-particle&quot;:&quot;&quot;,&quot;non-dropping-particle&quot;:&quot;&quot;},{&quot;family&quot;:&quot;Mosweu&quot;,&quot;given&quot;:&quot;Iris&quot;,&quot;parse-names&quot;:false,&quot;dropping-particle&quot;:&quot;&quot;,&quot;non-dropping-particle&quot;:&quot;&quot;},{&quot;family&quot;:&quot;Murray&quot;,&quot;given&quot;:&quot;Joanna&quot;,&quot;parse-names&quot;:false,&quot;dropping-particle&quot;:&quot;&quot;,&quot;non-dropping-particle&quot;:&quot;&quot;},{&quot;family&quot;:&quot;Perdue&quot;,&quot;given&quot;:&quot;Iain&quot;,&quot;parse-names&quot;:false,&quot;dropping-particle&quot;:&quot;&quot;,&quot;non-dropping-particle&quot;:&quot;&quot;},{&quot;family&quot;:&quot;Pilecka&quot;,&quot;given&quot;:&quot;Izabela&quot;,&quot;parse-names&quot;:false,&quot;dropping-particle&quot;:&quot;&quot;,&quot;non-dropping-particle&quot;:&quot;&quot;},{&quot;family&quot;:&quot;Richardson&quot;,&quot;given&quot;:&quot;Mark P.&quot;,&quot;parse-names&quot;:false,&quot;dropping-particle&quot;:&quot;&quot;,&quot;non-dropping-particle&quot;:&quot;&quot;},{&quot;family&quot;:&quot;Carson&quot;,&quot;given&quot;:&quot;Alan&quot;,&quot;parse-names&quot;:false,&quot;dropping-particle&quot;:&quot;&quot;,&quot;non-dropping-particle&quot;:&quot;&quot;},{&quot;family&quot;:&quot;Stone&quot;,&quot;given&quot;:&quot;Jon&quot;,&quot;parse-names&quot;:false,&quot;dropping-particle&quot;:&quot;&quot;,&quot;non-dropping-particle&quot;:&quot;&quot;},{&quot;family&quot;:&quot;Abe&quot;,&quot;given&quot;:&quot;Anne Mary&quot;,&quot;parse-names&quot;:false,&quot;dropping-particle&quot;:&quot;&quot;,&quot;non-dropping-particle&quot;:&quot;&quot;},{&quot;family&quot;:&quot;Adab&quot;,&quot;given&quot;:&quot;Naghme&quot;,&quot;parse-names&quot;:false,&quot;dropping-particle&quot;:&quot;&quot;,&quot;non-dropping-particle&quot;:&quot;&quot;},{&quot;family&quot;:&quot;Agrawal&quot;,&quot;given&quot;:&quot;Niruj&quot;,&quot;parse-names&quot;:false,&quot;dropping-particle&quot;:&quot;&quot;,&quot;non-dropping-particle&quot;:&quot;&quot;},{&quot;family&quot;:&quot;Allroggen&quot;,&quot;given&quot;:&quot;Holger&quot;,&quot;parse-names&quot;:false,&quot;dropping-particle&quot;:&quot;&quot;,&quot;non-dropping-particle&quot;:&quot;&quot;},{&quot;family&quot;:&quot;Alvares&quot;,&quot;given&quot;:&quot;Debie&quot;,&quot;parse-names&quot;:false,&quot;dropping-particle&quot;:&quot;&quot;,&quot;non-dropping-particle&quot;:&quot;&quot;},{&quot;family&quot;:&quot;Andrews&quot;,&quot;given&quot;:&quot;Thomasin&quot;,&quot;parse-names&quot;:false,&quot;dropping-particle&quot;:&quot;&quot;,&quot;non-dropping-particle&quot;:&quot;&quot;},{&quot;family&quot;:&quot;Angus-Leppan&quot;,&quot;given&quot;:&quot;Heather&quot;,&quot;parse-names&quot;:false,&quot;dropping-particle&quot;:&quot;&quot;,&quot;non-dropping-particle&quot;:&quot;&quot;},{&quot;family&quot;:&quot;Aram&quot;,&quot;given&quot;:&quot;Julia&quot;,&quot;parse-names&quot;:false,&quot;dropping-particle&quot;:&quot;&quot;,&quot;non-dropping-particle&quot;:&quot;&quot;},{&quot;family&quot;:&quot;Armstrong&quot;,&quot;given&quot;:&quot;Richard&quot;,&quot;parse-names&quot;:false,&quot;dropping-particle&quot;:&quot;&quot;,&quot;non-dropping-particle&quot;:&quot;&quot;},{&quot;family&quot;:&quot;Atalaia&quot;,&quot;given&quot;:&quot;Antonio&quot;,&quot;parse-names&quot;:false,&quot;dropping-particle&quot;:&quot;&quot;,&quot;non-dropping-particle&quot;:&quot;&quot;},{&quot;family&quot;:&quot;Bagary&quot;,&quot;given&quot;:&quot;Manny&quot;,&quot;parse-names&quot;:false,&quot;dropping-particle&quot;:&quot;&quot;,&quot;non-dropping-particle&quot;:&quot;&quot;},{&quot;family&quot;:&quot;Bennett&quot;,&quot;given&quot;:&quot;Masha&quot;,&quot;parse-names&quot;:false,&quot;dropping-particle&quot;:&quot;&quot;,&quot;non-dropping-particle&quot;:&quot;&quot;},{&quot;family&quot;:&quot;Black&quot;,&quot;given&quot;:&quot;Tamsin&quot;,&quot;parse-names&quot;:false,&quot;dropping-particle&quot;:&quot;&quot;,&quot;non-dropping-particle&quot;:&quot;&quot;},{&quot;family&quot;:&quot;Blackburn&quot;,&quot;given&quot;:&quot;Daniel&quot;,&quot;parse-names&quot;:false,&quot;dropping-particle&quot;:&quot;&quot;,&quot;non-dropping-particle&quot;:&quot;&quot;},{&quot;family&quot;:&quot;Bodani&quot;,&quot;given&quot;:&quot;Mayur&quot;,&quot;parse-names&quot;:false,&quot;dropping-particle&quot;:&quot;&quot;,&quot;non-dropping-particle&quot;:&quot;&quot;},{&quot;family&quot;:&quot;Broadhurst&quot;,&quot;given&quot;:&quot;Mark&quot;,&quot;parse-names&quot;:false,&quot;dropping-particle&quot;:&quot;&quot;,&quot;non-dropping-particle&quot;:&quot;&quot;},{&quot;family&quot;:&quot;Brockington&quot;,&quot;given&quot;:&quot;Alice&quot;,&quot;parse-names&quot;:false,&quot;dropping-particle&quot;:&quot;&quot;,&quot;non-dropping-particle&quot;:&quot;&quot;},{&quot;family&quot;:&quot;Bruno&quot;,&quot;given&quot;:&quot;Elisa&quot;,&quot;parse-names&quot;:false,&quot;dropping-particle&quot;:&quot;&quot;,&quot;non-dropping-particle&quot;:&quot;&quot;},{&quot;family&quot;:&quot;Buckley&quot;,&quot;given&quot;:&quot;Mary&quot;,&quot;parse-names&quot;:false,&quot;dropping-particle&quot;:&quot;&quot;,&quot;non-dropping-particle&quot;:&quot;&quot;},{&quot;family&quot;:&quot;Burness&quot;,&quot;given&quot;:&quot;Christine&quot;,&quot;parse-names&quot;:false,&quot;dropping-particle&quot;:&quot;&quot;,&quot;non-dropping-particle&quot;:&quot;&quot;},{&quot;family&quot;:&quot;Chalmers&quot;,&quot;given&quot;:&quot;Richard&quot;,&quot;parse-names&quot;:false,&quot;dropping-particle&quot;:&quot;&quot;,&quot;non-dropping-particle&quot;:&quot;&quot;},{&quot;family&quot;:&quot;Chong&quot;,&quot;given&quot;:&quot;Sam&quot;,&quot;parse-names&quot;:false,&quot;dropping-particle&quot;:&quot;&quot;,&quot;non-dropping-particle&quot;:&quot;&quot;},{&quot;family&quot;:&quot;Chowdhury&quot;,&quot;given&quot;:&quot;Muhammad&quot;,&quot;parse-names&quot;:false,&quot;dropping-particle&quot;:&quot;&quot;,&quot;non-dropping-particle&quot;:&quot;&quot;},{&quot;family&quot;:&quot;Chowdury&quot;,&quot;given&quot;:&quot;Fahmida&quot;,&quot;parse-names&quot;:false,&quot;dropping-particle&quot;:&quot;&quot;,&quot;non-dropping-particle&quot;:&quot;&quot;},{&quot;family&quot;:&quot;Cikurel&quot;,&quot;given&quot;:&quot;Katia&quot;,&quot;parse-names&quot;:false,&quot;dropping-particle&quot;:&quot;&quot;,&quot;non-dropping-particle&quot;:&quot;&quot;},{&quot;family&quot;:&quot;Cocco&quot;,&quot;given&quot;:&quot;Giovanni&quot;,&quot;parse-names&quot;:false,&quot;dropping-particle&quot;:&quot;&quot;,&quot;non-dropping-particle&quot;:&quot;&quot;},{&quot;family&quot;:&quot;Cock&quot;,&quot;given&quot;:&quot;Hannah&quot;,&quot;parse-names&quot;:false,&quot;dropping-particle&quot;:&quot;&quot;,&quot;non-dropping-particle&quot;:&quot;&quot;},{&quot;family&quot;:&quot;Cooper&quot;,&quot;given&quot;:&quot;Sarah&quot;,&quot;parse-names&quot;:false,&quot;dropping-particle&quot;:&quot;&quot;,&quot;non-dropping-particle&quot;:&quot;&quot;},{&quot;family&quot;:&quot;Cope&quot;,&quot;given&quot;:&quot;Sarah&quot;,&quot;parse-names&quot;:false,&quot;dropping-particle&quot;:&quot;&quot;,&quot;non-dropping-particle&quot;:&quot;&quot;},{&quot;family&quot;:&quot;Copping&quot;,&quot;given&quot;:&quot;Amy&quot;,&quot;parse-names&quot;:false,&quot;dropping-particle&quot;:&quot;&quot;,&quot;non-dropping-particle&quot;:&quot;&quot;},{&quot;family&quot;:&quot;Day&quot;,&quot;given&quot;:&quot;Elana&quot;,&quot;parse-names&quot;:false,&quot;dropping-particle&quot;:&quot;&quot;,&quot;non-dropping-particle&quot;:&quot;&quot;},{&quot;family&quot;:&quot;Delamont&quot;,&quot;given&quot;:&quot;Robert&quot;,&quot;parse-names&quot;:false,&quot;dropping-particle&quot;:&quot;&quot;,&quot;non-dropping-particle&quot;:&quot;&quot;},{&quot;family&quot;:&quot;Dennis&quot;,&quot;given&quot;:&quot;Gary&quot;,&quot;parse-names&quot;:false,&quot;dropping-particle&quot;:&quot;&quot;,&quot;non-dropping-particle&quot;:&quot;&quot;},{&quot;family&quot;:&quot;Derry&quot;,&quot;given&quot;:&quot;Christopher&quot;,&quot;parse-names&quot;:false,&quot;dropping-particle&quot;:&quot;&quot;,&quot;non-dropping-particle&quot;:&quot;&quot;},{&quot;family&quot;:&quot;Devlin&quot;,&quot;given&quot;:&quot;Rebecca&quot;,&quot;parse-names&quot;:false,&quot;dropping-particle&quot;:&quot;&quot;,&quot;non-dropping-particle&quot;:&quot;&quot;},{&quot;family&quot;:&quot;Dickson&quot;,&quot;given&quot;:&quot;Jon M.&quot;,&quot;parse-names&quot;:false,&quot;dropping-particle&quot;:&quot;&quot;,&quot;non-dropping-particle&quot;:&quot;&quot;},{&quot;family&quot;:&quot;Diehl&quot;,&quot;given&quot;:&quot;Beate&quot;,&quot;parse-names&quot;:false,&quot;dropping-particle&quot;:&quot;&quot;,&quot;non-dropping-particle&quot;:&quot;&quot;},{&quot;family&quot;:&quot;Donnelly&quot;,&quot;given&quot;:&quot;Clare&quot;,&quot;parse-names&quot;:false,&quot;dropping-particle&quot;:&quot;&quot;,&quot;non-dropping-particle&quot;:&quot;&quot;},{&quot;family&quot;:&quot;Duncan&quot;,&quot;given&quot;:&quot;Susan&quot;,&quot;parse-names&quot;:false,&quot;dropping-particle&quot;:&quot;&quot;,&quot;non-dropping-particle&quot;:&quot;&quot;},{&quot;family&quot;:&quot;Edwards&quot;,&quot;given&quot;:&quot;Mark&quot;,&quot;parse-names&quot;:false,&quot;dropping-particle&quot;:&quot;&quot;,&quot;non-dropping-particle&quot;:&quot;&quot;},{&quot;family&quot;:&quot;Ellawella&quot;,&quot;given&quot;:&quot;Shan&quot;,&quot;parse-names&quot;:false,&quot;dropping-particle&quot;:&quot;&quot;,&quot;non-dropping-particle&quot;:&quot;&quot;},{&quot;family&quot;:&quot;Ellis&quot;,&quot;given&quot;:&quot;Cathy&quot;,&quot;parse-names&quot;:false,&quot;dropping-particle&quot;:&quot;&quot;,&quot;non-dropping-particle&quot;:&quot;&quot;},{&quot;family&quot;:&quot;Elvish&quot;,&quot;given&quot;:&quot;Jennifer&quot;,&quot;parse-names&quot;:false,&quot;dropping-particle&quot;:&quot;&quot;,&quot;non-dropping-particle&quot;:&quot;&quot;},{&quot;family&quot;:&quot;Elwes&quot;,&quot;given&quot;:&quot;Robert&quot;,&quot;parse-names&quot;:false,&quot;dropping-particle&quot;:&quot;&quot;,&quot;non-dropping-particle&quot;:&quot;&quot;},{&quot;family&quot;:&quot;Eriemo&quot;,&quot;given&quot;:&quot;Sandra&quot;,&quot;parse-names&quot;:false,&quot;dropping-particle&quot;:&quot;&quot;,&quot;non-dropping-particle&quot;:&quot;&quot;},{&quot;family&quot;:&quot;Eriksson&quot;,&quot;given&quot;:&quot;Sofia&quot;,&quot;parse-names&quot;:false,&quot;dropping-particle&quot;:&quot;&quot;,&quot;non-dropping-particle&quot;:&quot;&quot;},{&quot;family&quot;:&quot;Evans&quot;,&quot;given&quot;:&quot;Kerry&quot;,&quot;parse-names&quot;:false,&quot;dropping-particle&quot;:&quot;&quot;,&quot;non-dropping-particle&quot;:&quot;&quot;},{&quot;family&quot;:&quot;Faruqui&quot;,&quot;given&quot;:&quot;Rafey&quot;,&quot;parse-names&quot;:false,&quot;dropping-particle&quot;:&quot;&quot;,&quot;non-dropping-particle&quot;:&quot;&quot;},{&quot;family&quot;:&quot;Feehan&quot;,&quot;given&quot;:&quot;Sarah&quot;,&quot;parse-names&quot;:false,&quot;dropping-particle&quot;:&quot;&quot;,&quot;non-dropping-particle&quot;:&quot;&quot;},{&quot;family&quot;:&quot;Finnerty&quot;,&quot;given&quot;:&quot;Gerald&quot;,&quot;parse-names&quot;:false,&quot;dropping-particle&quot;:&quot;&quot;,&quot;non-dropping-particle&quot;:&quot;&quot;},{&quot;family&quot;:&quot;Flores&quot;,&quot;given&quot;:&quot;Lorena&quot;,&quot;parse-names&quot;:false,&quot;dropping-particle&quot;:&quot;&quot;,&quot;non-dropping-particle&quot;:&quot;&quot;},{&quot;family&quot;:&quot;Firth&quot;,&quot;given&quot;:&quot;Nick&quot;,&quot;parse-names&quot;:false,&quot;dropping-particle&quot;:&quot;&quot;,&quot;non-dropping-particle&quot;:&quot;&quot;},{&quot;family&quot;:&quot;Fung&quot;,&quot;given&quot;:&quot;Robert&quot;,&quot;parse-names&quot;:false,&quot;dropping-particle&quot;:&quot;&quot;,&quot;non-dropping-particle&quot;:&quot;&quot;},{&quot;family&quot;:&quot;Gardiner&quot;,&quot;given&quot;:&quot;Paula&quot;,&quot;parse-names&quot;:false,&quot;dropping-particle&quot;:&quot;&quot;,&quot;non-dropping-particle&quot;:&quot;&quot;},{&quot;family&quot;:&quot;Graham&quot;,&quot;given&quot;:&quot;Christopher&quot;,&quot;parse-names&quot;:false,&quot;dropping-particle&quot;:&quot;&quot;,&quot;non-dropping-particle&quot;:&quot;&quot;},{&quot;family&quot;:&quot;Green-Thompson&quot;,&quot;given&quot;:&quot;Zayn&quot;,&quot;parse-names&quot;:false,&quot;dropping-particle&quot;:&quot;&quot;,&quot;non-dropping-particle&quot;:&quot;&quot;},{&quot;family&quot;:&quot;Grunewald&quot;,&quot;given&quot;:&quot;Richard&quot;,&quot;parse-names&quot;:false,&quot;dropping-particle&quot;:&quot;&quot;,&quot;non-dropping-particle&quot;:&quot;&quot;},{&quot;family&quot;:&quot;Hadden&quot;,&quot;given&quot;:&quot;Robert&quot;,&quot;parse-names&quot;:false,&quot;dropping-particle&quot;:&quot;&quot;,&quot;non-dropping-particle&quot;:&quot;&quot;},{&quot;family&quot;:&quot;Hamandi&quot;,&quot;given&quot;:&quot;Khalid&quot;,&quot;parse-names&quot;:false,&quot;dropping-particle&quot;:&quot;&quot;,&quot;non-dropping-particle&quot;:&quot;&quot;},{&quot;family&quot;:&quot;Harding&quot;,&quot;given&quot;:&quot;Rachel&quot;,&quot;parse-names&quot;:false,&quot;dropping-particle&quot;:&quot;&quot;,&quot;non-dropping-particle&quot;:&quot;&quot;},{&quot;family&quot;:&quot;Harikrishnan&quot;,&quot;given&quot;:&quot;Sreedharan&quot;,&quot;parse-names&quot;:false,&quot;dropping-particle&quot;:&quot;&quot;,&quot;non-dropping-particle&quot;:&quot;&quot;},{&quot;family&quot;:&quot;Harrison&quot;,&quot;given&quot;:&quot;Simon&quot;,&quot;parse-names&quot;:false,&quot;dropping-particle&quot;:&quot;&quot;,&quot;non-dropping-particle&quot;:&quot;&quot;},{&quot;family&quot;:&quot;Healy&quot;,&quot;given&quot;:&quot;Helen&quot;,&quot;parse-names&quot;:false,&quot;dropping-particle&quot;:&quot;&quot;,&quot;non-dropping-particle&quot;:&quot;&quot;},{&quot;family&quot;:&quot;Hewamadduma&quot;,&quot;given&quot;:&quot;Channa&quot;,&quot;parse-names&quot;:false,&quot;dropping-particle&quot;:&quot;&quot;,&quot;non-dropping-particle&quot;:&quot;&quot;},{&quot;family&quot;:&quot;Higgins&quot;,&quot;given&quot;:&quot;Stephen&quot;,&quot;parse-names&quot;:false,&quot;dropping-particle&quot;:&quot;&quot;,&quot;non-dropping-particle&quot;:&quot;&quot;},{&quot;family&quot;:&quot;Howell&quot;,&quot;given&quot;:&quot;Stephen&quot;,&quot;parse-names&quot;:false,&quot;dropping-particle&quot;:&quot;&quot;,&quot;non-dropping-particle&quot;:&quot;&quot;},{&quot;family&quot;:&quot;Hunt&quot;,&quot;given&quot;:&quot;Heloise&quot;,&quot;parse-names&quot;:false,&quot;dropping-particle&quot;:&quot;&quot;,&quot;non-dropping-particle&quot;:&quot;&quot;},{&quot;family&quot;:&quot;Hussain&quot;,&quot;given&quot;:&quot;Abrar&quot;,&quot;parse-names&quot;:false,&quot;dropping-particle&quot;:&quot;&quot;,&quot;non-dropping-particle&quot;:&quot;&quot;},{&quot;family&quot;:&quot;Innocente&quot;,&quot;given&quot;:&quot;Motchila&quot;,&quot;parse-names&quot;:false,&quot;dropping-particle&quot;:&quot;&quot;,&quot;non-dropping-particle&quot;:&quot;&quot;},{&quot;family&quot;:&quot;Jensch&quot;,&quot;given&quot;:&quot;Graham&quot;,&quot;parse-names&quot;:false,&quot;dropping-particle&quot;:&quot;&quot;,&quot;non-dropping-particle&quot;:&quot;&quot;},{&quot;family&quot;:&quot;Johnson&quot;,&quot;given&quot;:&quot;Michael&quot;,&quot;parse-names&quot;:false,&quot;dropping-particle&quot;:&quot;&quot;,&quot;non-dropping-particle&quot;:&quot;&quot;},{&quot;family&quot;:&quot;Jordan&quot;,&quot;given&quot;:&quot;Harriet&quot;,&quot;parse-names&quot;:false,&quot;dropping-particle&quot;:&quot;&quot;,&quot;non-dropping-particle&quot;:&quot;&quot;},{&quot;family&quot;:&quot;Karlsson&quot;,&quot;given&quot;:&quot;Joanna&quot;,&quot;parse-names&quot;:false,&quot;dropping-particle&quot;:&quot;&quot;,&quot;non-dropping-particle&quot;:&quot;&quot;},{&quot;family&quot;:&quot;Kelso&quot;,&quot;given&quot;:&quot;Andrew&quot;,&quot;parse-names&quot;:false,&quot;dropping-particle&quot;:&quot;&quot;,&quot;non-dropping-particle&quot;:&quot;&quot;},{&quot;family&quot;:&quot;Kemp&quot;,&quot;given&quot;:&quot;Steven&quot;,&quot;parse-names&quot;:false,&quot;dropping-particle&quot;:&quot;&quot;,&quot;non-dropping-particle&quot;:&quot;&quot;},{&quot;family&quot;:&quot;Knibb&quot;,&quot;given&quot;:&quot;Jonathan&quot;,&quot;parse-names&quot;:false,&quot;dropping-particle&quot;:&quot;&quot;,&quot;non-dropping-particle&quot;:&quot;&quot;},{&quot;family&quot;:&quot;Kock&quot;,&quot;given&quot;:&quot;Norman&quot;,&quot;parse-names&quot;:false,&quot;dropping-particle&quot;:&quot;&quot;,&quot;non-dropping-particle&quot;:&quot;&quot;},{&quot;family&quot;:&quot;Koutroumanidis&quot;,&quot;given&quot;:&quot;Michael&quot;,&quot;parse-names&quot;:false,&quot;dropping-particle&quot;:&quot;&quot;,&quot;non-dropping-particle&quot;:&quot;&quot;},{&quot;family&quot;:&quot;Kovac&quot;,&quot;given&quot;:&quot;Stjepana&quot;,&quot;parse-names&quot;:false,&quot;dropping-particle&quot;:&quot;&quot;,&quot;non-dropping-particle&quot;:&quot;&quot;},{&quot;family&quot;:&quot;Kumar&quot;,&quot;given&quot;:&quot;Guru&quot;,&quot;parse-names&quot;:false,&quot;dropping-particle&quot;:&quot;&quot;,&quot;non-dropping-particle&quot;:&quot;&quot;},{&quot;family&quot;:&quot;Laker&quot;,&quot;given&quot;:&quot;Andy&quot;,&quot;parse-names&quot;:false,&quot;dropping-particle&quot;:&quot;&quot;,&quot;non-dropping-particle&quot;:&quot;&quot;},{&quot;family&quot;:&quot;Leschziner&quot;,&quot;given&quot;:&quot;Guy&quot;,&quot;parse-names&quot;:false,&quot;dropping-particle&quot;:&quot;&quot;,&quot;non-dropping-particle&quot;:&quot;&quot;},{&quot;family&quot;:&quot;Liu&quot;,&quot;given&quot;:&quot;Rebecca&quot;,&quot;parse-names&quot;:false,&quot;dropping-particle&quot;:&quot;&quot;,&quot;non-dropping-particle&quot;:&quot;&quot;},{&quot;family&quot;:&quot;Lozsadi&quot;,&quot;given&quot;:&quot;Dora&quot;,&quot;parse-names&quot;:false,&quot;dropping-particle&quot;:&quot;&quot;,&quot;non-dropping-particle&quot;:&quot;&quot;},{&quot;family&quot;:&quot;Ludwig&quot;,&quot;given&quot;:&quot;Lea&quot;,&quot;parse-names&quot;:false,&quot;dropping-particle&quot;:&quot;&quot;,&quot;non-dropping-particle&quot;:&quot;&quot;},{&quot;family&quot;:&quot;MacDonald&quot;,&quot;given&quot;:&quot;Bridget&quot;,&quot;parse-names&quot;:false,&quot;dropping-particle&quot;:&quot;&quot;,&quot;non-dropping-particle&quot;:&quot;&quot;},{&quot;family&quot;:&quot;MacGregor&quot;,&quot;given&quot;:&quot;Lindsey&quot;,&quot;parse-names&quot;:false,&quot;dropping-particle&quot;:&quot;&quot;,&quot;non-dropping-particle&quot;:&quot;&quot;},{&quot;family&quot;:&quot;Maguire&quot;,&quot;given&quot;:&quot;Melissa&quot;,&quot;parse-names&quot;:false,&quot;dropping-particle&quot;:&quot;&quot;,&quot;non-dropping-particle&quot;:&quot;&quot;},{&quot;family&quot;:&quot;Manford&quot;,&quot;given&quot;:&quot;Mark&quot;,&quot;parse-names&quot;:false,&quot;dropping-particle&quot;:&quot;&quot;,&quot;non-dropping-particle&quot;:&quot;&quot;},{&quot;family&quot;:&quot;Martino&quot;,&quot;given&quot;:&quot;Davide&quot;,&quot;parse-names&quot;:false,&quot;dropping-particle&quot;:&quot;&quot;,&quot;non-dropping-particle&quot;:&quot;&quot;},{&quot;family&quot;:&quot;McCorry&quot;,&quot;given&quot;:&quot;Dougall&quot;,&quot;parse-names&quot;:false,&quot;dropping-particle&quot;:&quot;&quot;,&quot;non-dropping-particle&quot;:&quot;&quot;},{&quot;family&quot;:&quot;McGorlick&quot;,&quot;given&quot;:&quot;Annalisa&quot;,&quot;parse-names&quot;:false,&quot;dropping-particle&quot;:&quot;&quot;,&quot;non-dropping-particle&quot;:&quot;&quot;},{&quot;family&quot;:&quot;McKeown&quot;,&quot;given&quot;:&quot;Kenneth&quot;,&quot;parse-names&quot;:false,&quot;dropping-particle&quot;:&quot;&quot;,&quot;non-dropping-particle&quot;:&quot;&quot;},{&quot;family&quot;:&quot;McKevitt&quot;,&quot;given&quot;:&quot;Fiona&quot;,&quot;parse-names&quot;:false,&quot;dropping-particle&quot;:&quot;&quot;,&quot;non-dropping-particle&quot;:&quot;&quot;},{&quot;family&quot;:&quot;Meadow&quot;,&quot;given&quot;:&quot;Anna&quot;,&quot;parse-names&quot;:false,&quot;dropping-particle&quot;:&quot;&quot;,&quot;non-dropping-particle&quot;:&quot;&quot;},{&quot;family&quot;:&quot;Memon&quot;,&quot;given&quot;:&quot;Shafqat&quot;,&quot;parse-names&quot;:false,&quot;dropping-particle&quot;:&quot;&quot;,&quot;non-dropping-particle&quot;:&quot;&quot;},{&quot;family&quot;:&quot;Miorelli&quot;,&quot;given&quot;:&quot;Ana&quot;,&quot;parse-names&quot;:false,&quot;dropping-particle&quot;:&quot;&quot;,&quot;non-dropping-particle&quot;:&quot;&quot;},{&quot;family&quot;:&quot;Mitchell&quot;,&quot;given&quot;:&quot;Clinton&quot;,&quot;parse-names&quot;:false,&quot;dropping-particle&quot;:&quot;&quot;,&quot;non-dropping-particle&quot;:&quot;&quot;},{&quot;family&quot;:&quot;Mitchell&quot;,&quot;given&quot;:&quot;Tejal N.&quot;,&quot;parse-names&quot;:false,&quot;dropping-particle&quot;:&quot;&quot;,&quot;non-dropping-particle&quot;:&quot;&quot;},{&quot;family&quot;:&quot;Moffitt&quot;,&quot;given&quot;:&quot;Virginia&quot;,&quot;parse-names&quot;:false,&quot;dropping-particle&quot;:&quot;&quot;,&quot;non-dropping-particle&quot;:&quot;&quot;},{&quot;family&quot;:&quot;Moran&quot;,&quot;given&quot;:&quot;Nicholas&quot;,&quot;parse-names&quot;:false,&quot;dropping-particle&quot;:&quot;&quot;,&quot;non-dropping-particle&quot;:&quot;&quot;},{&quot;family&quot;:&quot;Morgan-Boon&quot;,&quot;given&quot;:&quot;Aimee&quot;,&quot;parse-names&quot;:false,&quot;dropping-particle&quot;:&quot;&quot;,&quot;non-dropping-particle&quot;:&quot;&quot;},{&quot;family&quot;:&quot;Moriarty&quot;,&quot;given&quot;:&quot;John&quot;,&quot;parse-names&quot;:false,&quot;dropping-particle&quot;:&quot;&quot;,&quot;non-dropping-particle&quot;:&quot;&quot;},{&quot;family&quot;:&quot;Mula&quot;,&quot;given&quot;:&quot;Marco&quot;,&quot;parse-names&quot;:false,&quot;dropping-particle&quot;:&quot;&quot;,&quot;non-dropping-particle&quot;:&quot;&quot;},{&quot;family&quot;:&quot;Mullatti&quot;,&quot;given&quot;:&quot;Nandini&quot;,&quot;parse-names&quot;:false,&quot;dropping-particle&quot;:&quot;&quot;,&quot;non-dropping-particle&quot;:&quot;&quot;},{&quot;family&quot;:&quot;Nashef&quot;,&quot;given&quot;:&quot;Lina&quot;,&quot;parse-names&quot;:false,&quot;dropping-particle&quot;:&quot;&quot;,&quot;non-dropping-particle&quot;:&quot;&quot;},{&quot;family&quot;:&quot;O'Hara&quot;,&quot;given&quot;:&quot;Daniel&quot;,&quot;parse-names&quot;:false,&quot;dropping-particle&quot;:&quot;&quot;,&quot;non-dropping-particle&quot;:&quot;&quot;},{&quot;family&quot;:&quot;Oakley&quot;,&quot;given&quot;:&quot;Louise&quot;,&quot;parse-names&quot;:false,&quot;dropping-particle&quot;:&quot;&quot;,&quot;non-dropping-particle&quot;:&quot;&quot;},{&quot;family&quot;:&quot;O'Sullivan&quot;,&quot;given&quot;:&quot;Suzanne&quot;,&quot;parse-names&quot;:false,&quot;dropping-particle&quot;:&quot;&quot;,&quot;non-dropping-particle&quot;:&quot;&quot;},{&quot;family&quot;:&quot;Page&quot;,&quot;given&quot;:&quot;Lisa&quot;,&quot;parse-names&quot;:false,&quot;dropping-particle&quot;:&quot;&quot;,&quot;non-dropping-particle&quot;:&quot;&quot;},{&quot;family&quot;:&quot;Patel&quot;,&quot;given&quot;:&quot;Darshna&quot;,&quot;parse-names&quot;:false,&quot;dropping-particle&quot;:&quot;&quot;,&quot;non-dropping-particle&quot;:&quot;&quot;},{&quot;family&quot;:&quot;Petrochilos&quot;,&quot;given&quot;:&quot;Panayiota&quot;,&quot;parse-names&quot;:false,&quot;dropping-particle&quot;:&quot;&quot;,&quot;non-dropping-particle&quot;:&quot;&quot;},{&quot;family&quot;:&quot;Phoenix&quot;,&quot;given&quot;:&quot;Danielle&quot;,&quot;parse-names&quot;:false,&quot;dropping-particle&quot;:&quot;&quot;,&quot;non-dropping-particle&quot;:&quot;&quot;},{&quot;family&quot;:&quot;Pickerell&quot;,&quot;given&quot;:&quot;William&quot;,&quot;parse-names&quot;:false,&quot;dropping-particle&quot;:&quot;&quot;,&quot;non-dropping-particle&quot;:&quot;&quot;},{&quot;family&quot;:&quot;Pieters&quot;,&quot;given&quot;:&quot;Thirza&quot;,&quot;parse-names&quot;:false,&quot;dropping-particle&quot;:&quot;&quot;,&quot;non-dropping-particle&quot;:&quot;&quot;},{&quot;family&quot;:&quot;Poole&quot;,&quot;given&quot;:&quot;Norman&quot;,&quot;parse-names&quot;:false,&quot;dropping-particle&quot;:&quot;&quot;,&quot;non-dropping-particle&quot;:&quot;&quot;},{&quot;family&quot;:&quot;Price&quot;,&quot;given&quot;:&quot;Gary&quot;,&quot;parse-names&quot;:false,&quot;dropping-particle&quot;:&quot;&quot;,&quot;non-dropping-particle&quot;:&quot;&quot;},{&quot;family&quot;:&quot;Protheroe&quot;,&quot;given&quot;:&quot;David&quot;,&quot;parse-names&quot;:false,&quot;dropping-particle&quot;:&quot;&quot;,&quot;non-dropping-particle&quot;:&quot;&quot;},{&quot;family&quot;:&quot;Pullicino&quot;,&quot;given&quot;:&quot;Patrick&quot;,&quot;parse-names&quot;:false,&quot;dropping-particle&quot;:&quot;&quot;,&quot;non-dropping-particle&quot;:&quot;&quot;},{&quot;family&quot;:&quot;Purnell&quot;,&quot;given&quot;:&quot;James&quot;,&quot;parse-names&quot;:false,&quot;dropping-particle&quot;:&quot;&quot;,&quot;non-dropping-particle&quot;:&quot;&quot;},{&quot;family&quot;:&quot;Quirk&quot;,&quot;given&quot;:&quot;Jennifer&quot;,&quot;parse-names&quot;:false,&quot;dropping-particle&quot;:&quot;&quot;,&quot;non-dropping-particle&quot;:&quot;&quot;},{&quot;family&quot;:&quot;Rajakulendran&quot;,&quot;given&quot;:&quot;Sanjeev&quot;,&quot;parse-names&quot;:false,&quot;dropping-particle&quot;:&quot;&quot;,&quot;non-dropping-particle&quot;:&quot;&quot;},{&quot;family&quot;:&quot;Read&quot;,&quot;given&quot;:&quot;Julie&quot;,&quot;parse-names&quot;:false,&quot;dropping-particle&quot;:&quot;&quot;,&quot;non-dropping-particle&quot;:&quot;&quot;},{&quot;family&quot;:&quot;Ridha&quot;,&quot;given&quot;:&quot;Basil&quot;,&quot;parse-names&quot;:false,&quot;dropping-particle&quot;:&quot;&quot;,&quot;non-dropping-particle&quot;:&quot;&quot;},{&quot;family&quot;:&quot;Rockliffe-Fidler&quot;,&quot;given&quot;:&quot;Claire&quot;,&quot;parse-names&quot;:false,&quot;dropping-particle&quot;:&quot;&quot;,&quot;non-dropping-particle&quot;:&quot;&quot;},{&quot;family&quot;:&quot;Rowbottom&quot;,&quot;given&quot;:&quot;Carrie&quot;,&quot;parse-names&quot;:false,&quot;dropping-particle&quot;:&quot;&quot;,&quot;non-dropping-particle&quot;:&quot;&quot;},{&quot;family&quot;:&quot;Rugg-Gunn&quot;,&quot;given&quot;:&quot;Fergus&quot;,&quot;parse-names&quot;:false,&quot;dropping-particle&quot;:&quot;&quot;,&quot;non-dropping-particle&quot;:&quot;&quot;},{&quot;family&quot;:&quot;Sachar&quot;,&quot;given&quot;:&quot;Amrit&quot;,&quot;parse-names&quot;:false,&quot;dropping-particle&quot;:&quot;&quot;,&quot;non-dropping-particle&quot;:&quot;&quot;},{&quot;family&quot;:&quot;Saha&quot;,&quot;given&quot;:&quot;Romi&quot;,&quot;parse-names&quot;:false,&quot;dropping-particle&quot;:&quot;&quot;,&quot;non-dropping-particle&quot;:&quot;&quot;},{&quot;family&quot;:&quot;Saldanha&quot;,&quot;given&quot;:&quot;Gerard&quot;,&quot;parse-names&quot;:false,&quot;dropping-particle&quot;:&quot;&quot;,&quot;non-dropping-particle&quot;:&quot;&quot;},{&quot;family&quot;:&quot;Samarasekera&quot;,&quot;given&quot;:&quot;Shanika&quot;,&quot;parse-names&quot;:false,&quot;dropping-particle&quot;:&quot;&quot;,&quot;non-dropping-particle&quot;:&quot;&quot;},{&quot;family&quot;:&quot;Sanchez Sanchez&quot;,&quot;given&quot;:&quot;Violeta&quot;,&quot;parse-names&quot;:false,&quot;dropping-particle&quot;:&quot;&quot;,&quot;non-dropping-particle&quot;:&quot;&quot;},{&quot;family&quot;:&quot;Santhouse&quot;,&quot;given&quot;:&quot;Alastair&quot;,&quot;parse-names&quot;:false,&quot;dropping-particle&quot;:&quot;&quot;,&quot;non-dropping-particle&quot;:&quot;&quot;},{&quot;family&quot;:&quot;Scholes&quot;,&quot;given&quot;:&quot;Karen&quot;,&quot;parse-names&quot;:false,&quot;dropping-particle&quot;:&quot;&quot;,&quot;non-dropping-particle&quot;:&quot;&quot;},{&quot;family&quot;:&quot;Shetty&quot;,&quot;given&quot;:&quot;Abhijeeth&quot;,&quot;parse-names&quot;:false,&quot;dropping-particle&quot;:&quot;&quot;,&quot;non-dropping-particle&quot;:&quot;&quot;},{&quot;family&quot;:&quot;Shotbolt&quot;,&quot;given&quot;:&quot;Paul&quot;,&quot;parse-names&quot;:false,&quot;dropping-particle&quot;:&quot;&quot;,&quot;non-dropping-particle&quot;:&quot;&quot;},{&quot;family&quot;:&quot;Simkiss&quot;,&quot;given&quot;:&quot;Rachel&quot;,&quot;parse-names&quot;:false,&quot;dropping-particle&quot;:&quot;&quot;,&quot;non-dropping-particle&quot;:&quot;&quot;},{&quot;family&quot;:&quot;Singh&quot;,&quot;given&quot;:&quot;Jasvinder&quot;,&quot;parse-names&quot;:false,&quot;dropping-particle&quot;:&quot;&quot;,&quot;non-dropping-particle&quot;:&quot;&quot;},{&quot;family&quot;:&quot;Sivagnanasundaram&quot;,&quot;given&quot;:&quot;Jananee&quot;,&quot;parse-names&quot;:false,&quot;dropping-particle&quot;:&quot;&quot;,&quot;non-dropping-particle&quot;:&quot;&quot;},{&quot;family&quot;:&quot;Slaght&quot;,&quot;given&quot;:&quot;Sean&quot;,&quot;parse-names&quot;:false,&quot;dropping-particle&quot;:&quot;&quot;,&quot;non-dropping-particle&quot;:&quot;&quot;},{&quot;family&quot;:&quot;Smith&quot;,&quot;given&quot;:&quot;Philip&quot;,&quot;parse-names&quot;:false,&quot;dropping-particle&quot;:&quot;&quot;,&quot;non-dropping-particle&quot;:&quot;&quot;},{&quot;family&quot;:&quot;Sokhi&quot;,&quot;given&quot;:&quot;Dilraj&quot;,&quot;parse-names&quot;:false,&quot;dropping-particle&quot;:&quot;&quot;,&quot;non-dropping-particle&quot;:&quot;&quot;},{&quot;family&quot;:&quot;Stanton&quot;,&quot;given&quot;:&quot;Biba&quot;,&quot;parse-names&quot;:false,&quot;dropping-particle&quot;:&quot;&quot;,&quot;non-dropping-particle&quot;:&quot;&quot;},{&quot;family&quot;:&quot;Suvorova&quot;,&quot;given&quot;:&quot;Liya&quot;,&quot;parse-names&quot;:false,&quot;dropping-particle&quot;:&quot;&quot;,&quot;non-dropping-particle&quot;:&quot;&quot;},{&quot;family&quot;:&quot;Tahir&quot;,&quot;given&quot;:&quot;Tayyeb&quot;,&quot;parse-names&quot;:false,&quot;dropping-particle&quot;:&quot;&quot;,&quot;non-dropping-particle&quot;:&quot;&quot;},{&quot;family&quot;:&quot;Taylor&quot;,&quot;given&quot;:&quot;Ruth&quot;,&quot;parse-names&quot;:false,&quot;dropping-particle&quot;:&quot;&quot;,&quot;non-dropping-particle&quot;:&quot;&quot;},{&quot;family&quot;:&quot;Teare&quot;,&quot;given&quot;:&quot;Lara&quot;,&quot;parse-names&quot;:false,&quot;dropping-particle&quot;:&quot;&quot;,&quot;non-dropping-particle&quot;:&quot;&quot;},{&quot;family&quot;:&quot;Tedesco&quot;,&quot;given&quot;:&quot;Lorenza&quot;,&quot;parse-names&quot;:false,&quot;dropping-particle&quot;:&quot;&quot;,&quot;non-dropping-particle&quot;:&quot;&quot;},{&quot;family&quot;:&quot;Teo&quot;,&quot;given&quot;:&quot;James&quot;,&quot;parse-names&quot;:false,&quot;dropping-particle&quot;:&quot;&quot;,&quot;non-dropping-particle&quot;:&quot;&quot;},{&quot;family&quot;:&quot;Thorpe&quot;,&quot;given&quot;:&quot;John&quot;,&quot;parse-names&quot;:false,&quot;dropping-particle&quot;:&quot;&quot;,&quot;non-dropping-particle&quot;:&quot;&quot;},{&quot;family&quot;:&quot;Toplis&quot;,&quot;given&quot;:&quot;Laura&quot;,&quot;parse-names&quot;:false,&quot;dropping-particle&quot;:&quot;&quot;,&quot;non-dropping-particle&quot;:&quot;&quot;},{&quot;family&quot;:&quot;Tsakopoulou&quot;,&quot;given&quot;:&quot;Myrto&quot;,&quot;parse-names&quot;:false,&quot;dropping-particle&quot;:&quot;&quot;,&quot;non-dropping-particle&quot;:&quot;&quot;},{&quot;family&quot;:&quot;Tylova&quot;,&quot;given&quot;:&quot;Ivona&quot;,&quot;parse-names&quot;:false,&quot;dropping-particle&quot;:&quot;&quot;,&quot;non-dropping-particle&quot;:&quot;&quot;},{&quot;family&quot;:&quot;Vick&quot;,&quot;given&quot;:&quot;Tracey&quot;,&quot;parse-names&quot;:false,&quot;dropping-particle&quot;:&quot;&quot;,&quot;non-dropping-particle&quot;:&quot;&quot;},{&quot;family&quot;:&quot;Vinnicombe&quot;,&quot;given&quot;:&quot;Jane&quot;,&quot;parse-names&quot;:false,&quot;dropping-particle&quot;:&quot;&quot;,&quot;non-dropping-particle&quot;:&quot;&quot;},{&quot;family&quot;:&quot;Walker&quot;,&quot;given&quot;:&quot;Matthew&quot;,&quot;parse-names&quot;:false,&quot;dropping-particle&quot;:&quot;&quot;,&quot;non-dropping-particle&quot;:&quot;&quot;},{&quot;family&quot;:&quot;Walsh&quot;,&quot;given&quot;:&quot;Cathy&quot;,&quot;parse-names&quot;:false,&quot;dropping-particle&quot;:&quot;&quot;,&quot;non-dropping-particle&quot;:&quot;&quot;},{&quot;family&quot;:&quot;Watson&quot;,&quot;given&quot;:&quot;Gillian&quot;,&quot;parse-names&quot;:false,&quot;dropping-particle&quot;:&quot;&quot;,&quot;non-dropping-particle&quot;:&quot;&quot;},{&quot;family&quot;:&quot;Webb&quot;,&quot;given&quot;:&quot;Thomas&quot;,&quot;parse-names&quot;:false,&quot;dropping-particle&quot;:&quot;&quot;,&quot;non-dropping-particle&quot;:&quot;&quot;},{&quot;family&quot;:&quot;Wehner&quot;,&quot;given&quot;:&quot;Tim&quot;,&quot;parse-names&quot;:false,&quot;dropping-particle&quot;:&quot;&quot;,&quot;non-dropping-particle&quot;:&quot;&quot;},{&quot;family&quot;:&quot;Welch&quot;,&quot;given&quot;:&quot;Killian&quot;,&quot;parse-names&quot;:false,&quot;dropping-particle&quot;:&quot;&quot;,&quot;non-dropping-particle&quot;:&quot;&quot;},{&quot;family&quot;:&quot;Weyrich&quot;,&quot;given&quot;:&quot;Kirstin&quot;,&quot;parse-names&quot;:false,&quot;dropping-particle&quot;:&quot;&quot;,&quot;non-dropping-particle&quot;:&quot;&quot;},{&quot;family&quot;:&quot;Whittaker&quot;,&quot;given&quot;:&quot;Margaret&quot;,&quot;parse-names&quot;:false,&quot;dropping-particle&quot;:&quot;&quot;,&quot;non-dropping-particle&quot;:&quot;&quot;},{&quot;family&quot;:&quot;Wickremaratchi&quot;,&quot;given&quot;:&quot;Mirdhu&quot;,&quot;parse-names&quot;:false,&quot;dropping-particle&quot;:&quot;&quot;,&quot;non-dropping-particle&quot;:&quot;&quot;},{&quot;family&quot;:&quot;Wicks&quot;,&quot;given&quot;:&quot;Louise&quot;,&quot;parse-names&quot;:false,&quot;dropping-particle&quot;:&quot;&quot;,&quot;non-dropping-particle&quot;:&quot;&quot;}],&quot;container-title&quot;:&quot;Epilepsia&quot;,&quot;container-title-short&quot;:&quot;Epilepsia&quot;,&quot;accessed&quot;:{&quot;date-parts&quot;:[[2023,4,28]]},&quot;DOI&quot;:&quot;10.1111/EPI.16350&quot;,&quot;ISSN&quot;:&quot;1528-1167&quot;,&quot;PMID&quot;:&quot;31608436&quot;,&quot;URL&quot;:&quot;https://pubmed.ncbi.nlm.nih.gov/31608436/&quot;,&quot;issued&quot;:{&quot;date-parts&quot;:[[2019,11,1]]},&quot;page&quot;:&quot;2182-2193&quot;,&quot;abstract&quot;:&quot;Objective: We aimed to characterize the demographics of adults with dissociative (nonepileptic) seizures, placing emphasis on distribution of age at onset, male:female ratio, levels of deprivation, and dissociative seizure semiology. Methods: We collected demographic and clinical data from 698 adults with dissociative seizures recruited to the screening phase of the CODES (Cognitive Behavioural Therapy vs Standardised Medical Care for Adults With Dissociative Non-Epileptic Seizures) trial from 27 neurology/specialist epilepsy clinics in the UK. We described the cohort in terms of age, age at onset of dissociative seizures, duration of seizure disorder, level of socioeconomic deprivation, and other social and clinical demographic characteristics and their associations. Results: In what is, to date, the largest study of adults with dissociative seizures, the overall modal age at dissociative seizure onset was 19 years; median age at onset was 28 years. Although 74% of the sample was female, importantly the male:female ratio varied with age at onset, with 77% of female but only 59% of male participants developing dissociative seizures by the age of 40 years. The frequency of self-reported previous epilepsy was 27%; nearly half of these epilepsy diagnoses were retrospectively considered erroneous by clinicians. Patients with predominantly hyperkinetic dissociative seizures had a shorter disorder duration prior to diagnosis in this study than patients with hypokinetic seizures (P &lt;.001); dissociative seizure type was not associated with gender. Predominantly hyperkinetic seizures were most commonly seen in patients with symptom onset in their late teens. Thirty percent of the sample reported taking antiepileptic drugs; this was more common in men. More than 50% of the sample lived in areas characterized by the highest levels of deprivation, and more than two-thirds were unemployed. Significance: Females with dissociative seizures were more common at all ages, whereas the proportion of males increased with age at onset. This disorder was associated with socioeconomic deprivation. Those with hypokinetic dissociative seizures may be at risk for delayed diagnosis and treatment.&quot;,&quot;publisher&quot;:&quot;Epilepsia&quot;,&quot;issue&quot;:&quot;11&quot;,&quot;volume&quot;:&quot;60&quot;},&quot;isTemporary&quot;:false}],&quot;citationTag&quot;:&quot;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&quot;},{&quot;citationID&quot;:&quot;MENDELEY_CITATION_3233c241-ef11-4343-920f-80147f524108&quot;,&quot;properties&quot;:{&quot;noteIndex&quot;:0},&quot;isEdited&quot;:false,&quot;manualOverride&quot;:{&quot;isManuallyOverridden&quot;:false,&quot;citeprocText&quot;:&quot;(Bennett et al., 2021)&quot;,&quot;manualOverrideText&quot;:&quot;&quot;},&quot;citationItems&quot;:[{&quot;id&quot;:&quot;20e3ae60-ab02-325e-8af2-60f33e5374ba&quot;,&quot;itemData&quot;:{&quot;type&quot;:&quot;article-journal&quot;,&quot;id&quot;:&quot;20e3ae60-ab02-325e-8af2-60f33e5374ba&quot;,&quot;title&quot;:&quot;A practical review of functional neurological disorder (FND) for the general physician&quot;,&quot;author&quot;:[{&quot;family&quot;:&quot;Bennett&quot;,&quot;given&quot;:&quot;Karina&quot;,&quot;parse-names&quot;:false,&quot;dropping-particle&quot;:&quot;&quot;,&quot;non-dropping-particle&quot;:&quot;&quot;},{&quot;family&quot;:&quot;Diamond&quot;,&quot;given&quot;:&quot;Clare&quot;,&quot;parse-names&quot;:false,&quot;dropping-particle&quot;:&quot;&quot;,&quot;non-dropping-particle&quot;:&quot;&quot;},{&quot;family&quot;:&quot;Hoeritzauer&quot;,&quot;given&quot;:&quot;Ingrid&quot;,&quot;parse-names&quot;:false,&quot;dropping-particle&quot;:&quot;&quot;,&quot;non-dropping-particle&quot;:&quot;&quot;},{&quot;family&quot;:&quot;Gardiner&quot;,&quot;given&quot;:&quot;Paula&quot;,&quot;parse-names&quot;:false,&quot;dropping-particle&quot;:&quot;&quot;,&quot;non-dropping-particle&quot;:&quot;&quot;},{&quot;family&quot;:&quot;McWhirter&quot;,&quot;given&quot;:&quot;Laura&quot;,&quot;parse-names&quot;:false,&quot;dropping-particle&quot;:&quot;&quot;,&quot;non-dropping-particle&quot;:&quot;&quot;},{&quot;family&quot;:&quot;Carson&quot;,&quot;given&quot;:&quot;Alan&quot;,&quot;parse-names&quot;:false,&quot;dropping-particle&quot;:&quot;&quot;,&quot;non-dropping-particle&quot;:&quot;&quot;},{&quot;family&quot;:&quot;Stone&quot;,&quot;given&quot;:&quot;Jon&quot;,&quot;parse-names&quot;:false,&quot;dropping-particle&quot;:&quot;&quot;,&quot;non-dropping-particle&quot;:&quot;&quot;}],&quot;container-title&quot;:&quot;Clinical Medicine&quot;,&quot;accessed&quot;:{&quot;date-parts&quot;:[[2023,4,13]]},&quot;DOI&quot;:&quot;10.7861/CLINMED.2020-0987&quot;,&quot;ISSN&quot;:&quot;14734893&quot;,&quot;PMID&quot;:&quot;33479065&quot;,&quot;URL&quot;:&quot;/pmc/articles/PMC7850207/&quot;,&quot;issued&quot;:{&quot;date-parts&quot;:[[2021,1,1]]},&quot;page&quot;:&quot;28&quot;,&quot;abstract&quot;:&quot;We present a practical overview of functional neurological disorder (FND), its epidemiology, assessment and diagnosis, diagnostic pitfalls, treatment, aetiology and mechanism. We present an update on functional limb weakness, tremor, dystonia and other abnormal movements, dissociative seizures, functional cognitive symptoms and urinary retention, and 'scan-negative' cauda equina syndrome. The diagnosis of FND should rest on clear positive evidence, typically from a combination of physical signs on examination or the nature of seizures. In treatment of FND, clear communication of the diagnosis and the involvement of the multidisciplinary team is beneficial. We recommend that patients with FND are referred to specialists with expertise in neurological diagnosis. FND is a common presentation in emergency and acute medical settings and there are many practical elements to making a positive diagnosis and communication which are useful for all physicians to be familiar with.&quot;,&quot;publisher&quot;:&quot;Royal College of Physicians&quot;,&quot;issue&quot;:&quot;1&quot;,&quot;volume&quot;:&quot;21&quot;,&quot;container-title-short&quot;:&quot;&quot;},&quot;isTemporary&quot;:false}],&quot;citationTag&quot;:&quot;MENDELEY_CITATION_v3_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&quot;},{&quot;citationID&quot;:&quot;MENDELEY_CITATION_e94bf94f-f8e9-4c5c-a037-6e0011f7a55c&quot;,&quot;properties&quot;:{&quot;noteIndex&quot;:0},&quot;isEdited&quot;:false,&quot;manualOverride&quot;:{&quot;isManuallyOverridden&quot;:false,&quot;citeprocText&quot;:&quot;(Stone et al., 2005)&quot;,&quot;manualOverrideText&quot;:&quot;&quot;},&quot;citationItems&quot;:[{&quot;id&quot;:&quot;5b8fac1f-c2f4-3078-8f1d-960da94661da&quot;,&quot;itemData&quot;:{&quot;type&quot;:&quot;article-journal&quot;,&quot;id&quot;:&quot;5b8fac1f-c2f4-3078-8f1d-960da94661da&quot;,&quot;title&quot;:&quot;Systematic review of misdiagnosis of conversion symptoms and “hysteria”&quot;,&quot;author&quot;:[{&quot;family&quot;:&quot;Stone&quot;,&quot;given&quot;:&quot;Jon&quot;,&quot;parse-names&quot;:false,&quot;dropping-particle&quot;:&quot;&quot;,&quot;non-dropping-particle&quot;:&quot;&quot;},{&quot;family&quot;:&quot;Smyth&quot;,&quot;given&quot;:&quot;Roger&quot;,&quot;parse-names&quot;:false,&quot;dropping-particle&quot;:&quot;&quot;,&quot;non-dropping-particle&quot;:&quot;&quot;},{&quot;family&quot;:&quot;Carson&quot;,&quot;given&quot;:&quot;Alan&quot;,&quot;parse-names&quot;:false,&quot;dropping-particle&quot;:&quot;&quot;,&quot;non-dropping-particle&quot;:&quot;&quot;},{&quot;family&quot;:&quot;Lewis&quot;,&quot;given&quot;:&quot;Steff&quot;,&quot;parse-names&quot;:false,&quot;dropping-particle&quot;:&quot;&quot;,&quot;non-dropping-particle&quot;:&quot;&quot;},{&quot;family&quot;:&quot;Prescott&quot;,&quot;given&quot;:&quot;Robin&quot;,&quot;parse-names&quot;:false,&quot;dropping-particle&quot;:&quot;&quot;,&quot;non-dropping-particle&quot;:&quot;&quot;},{&quot;family&quot;:&quot;Warlow&quot;,&quot;given&quot;:&quot;Charles&quot;,&quot;parse-names&quot;:false,&quot;dropping-particle&quot;:&quot;&quot;,&quot;non-dropping-particle&quot;:&quot;&quot;},{&quot;family&quot;:&quot;Sharpe&quot;,&quot;given&quot;:&quot;Michael&quot;,&quot;parse-names&quot;:false,&quot;dropping-particle&quot;:&quot;&quot;,&quot;non-dropping-particle&quot;:&quot;&quot;}],&quot;container-title&quot;:&quot;BMJ : British Medical Journal&quot;,&quot;accessed&quot;:{&quot;date-parts&quot;:[[2023,4,28]]},&quot;DOI&quot;:&quot;10.1136/BMJ.38628.466898.55&quot;,&quot;ISSN&quot;:&quot;09598146&quot;,&quot;PMID&quot;:&quot;16223792&quot;,&quot;URL&quot;:&quot;/pmc/articles/PMC1273448/&quot;,&quot;issued&quot;:{&quot;date-parts&quot;:[[2005,10,10]]},&quot;page&quot;:&quot;989&quot;,&quot;abstract&quot;:&quot;Objective: Paralysis, seizures, and sensory symptoms that are unexplained by organic disease are commonly referred to as \&quot;conversion\&quot; symptoms. Some patients who receive this diagnosis subsequently turn out to have a disease that explains their initial presentation. We aimed to determine how frequently this misdiagnosis occurs, and whether it has become less common since the widespread availability of brain imaging. Design: Systematic review. Data sources: Medline, Embase, PsycINFO, Cinahl databases, and searches of reference lists. Review methods: We included studies published since 1965 on the diagnostic outcome of adults with motor and sensory symptoms unexplained by disease. We critically appraised these papers, and carried out a multivariate, random effect, meta-analysis of the data. Results: Twenty seven studies including a total of 1466 patients and a median duration of follow-up of five years were eligible for inclusion. Early studies were of poor quality. There was a significant (P &lt; 0.02) decline in the mean rate of misdiagnosis from the 1950s to the present day; 29% (95% confidence interval 23% to 36%) in the 1950s; 17% (12% to 24%) in the 1960s; 4% (2% to 7%) in the 1970s; 4% (2% to 6%) in the 1980s; and 4% (2% to 6%) in the 1990s. This decline was independent of age, sex, and duration of symptom in people included in the studies. Conclusions: A high rate of misdiagnosis of conversion symptoms was reported in early studies but this rate has been only 4% on average in studies of this diagnosis since 1970. This decline is probably due to improvements in study quality rather than improved diagnostic accuracy arising from the introduction of computed tomography of the brain.&quot;,&quot;publisher&quot;:&quot;BMJ Publishing Group&quot;,&quot;issue&quot;:&quot;7523&quot;,&quot;volume&quot;:&quot;331&quot;,&quot;container-title-short&quot;:&quot;&quot;},&quot;isTemporary&quot;:false}],&quot;citationTag&quot;:&quot;MENDELEY_CITATION_v3_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&quot;},{&quot;citationID&quot;:&quot;MENDELEY_CITATION_1d4a5056-e67e-45a7-993d-1ebc94f7d0cb&quot;,&quot;properties&quot;:{&quot;noteIndex&quot;:0},&quot;isEdited&quot;:false,&quot;manualOverride&quot;:{&quot;isManuallyOverridden&quot;:false,&quot;citeprocText&quot;:&quot;(Stone et al., 2009)&quot;,&quot;manualOverrideText&quot;:&quot;&quot;},&quot;citationItems&quot;:[{&quot;id&quot;:&quot;4ec7ac18-bd5c-3fd1-ba20-b9157ee983c3&quot;,&quot;itemData&quot;:{&quot;type&quot;:&quot;article-journal&quot;,&quot;id&quot;:&quot;4ec7ac18-bd5c-3fd1-ba20-b9157ee983c3&quot;,&quot;title&quot;:&quot;Symptoms 'unexplained by organic disease' in 1144 new neurology out-patients: how often does the diagnosis change at follow-up?&quot;,&quot;author&quot;:[{&quot;family&quot;:&quot;Stone&quot;,&quot;given&quot;:&quot;Jon&quot;,&quot;parse-names&quot;:false,&quot;dropping-particle&quot;:&quot;&quot;,&quot;non-dropping-particle&quot;:&quot;&quot;},{&quot;family&quot;:&quot;Carson&quot;,&quot;given&quot;:&quot;A.&quot;,&quot;parse-names&quot;:false,&quot;dropping-particle&quot;:&quot;&quot;,&quot;non-dropping-particle&quot;:&quot;&quot;},{&quot;family&quot;:&quot;Duncan&quot;,&quot;given&quot;:&quot;R.&quot;,&quot;parse-names&quot;:false,&quot;dropping-particle&quot;:&quot;&quot;,&quot;non-dropping-particle&quot;:&quot;&quot;},{&quot;family&quot;:&quot;Coleman&quot;,&quot;given&quot;:&quot;R.&quot;,&quot;parse-names&quot;:false,&quot;dropping-particle&quot;:&quot;&quot;,&quot;non-dropping-particle&quot;:&quot;&quot;},{&quot;family&quot;:&quot;Roberts&quot;,&quot;given&quot;:&quot;R.&quot;,&quot;parse-names&quot;:false,&quot;dropping-particle&quot;:&quot;&quot;,&quot;non-dropping-particle&quot;:&quot;&quot;},{&quot;family&quot;:&quot;Warlow&quot;,&quot;given&quot;:&quot;C.&quot;,&quot;parse-names&quot;:false,&quot;dropping-particle&quot;:&quot;&quot;,&quot;non-dropping-particle&quot;:&quot;&quot;},{&quot;family&quot;:&quot;Hibberd&quot;,&quot;given&quot;:&quot;C.&quot;,&quot;parse-names&quot;:false,&quot;dropping-particle&quot;:&quot;&quot;,&quot;non-dropping-particle&quot;:&quot;&quot;},{&quot;family&quot;:&quot;Murray&quot;,&quot;given&quot;:&quot;G.&quot;,&quot;parse-names&quot;:false,&quot;dropping-particle&quot;:&quot;&quot;,&quot;non-dropping-particle&quot;:&quot;&quot;},{&quot;family&quot;:&quot;Cull&quot;,&quot;given&quot;:&quot;R.&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Smyth&quot;,&quot;given&quot;:&quot;R.&quot;,&quot;parse-names&quot;:false,&quot;dropping-particle&quot;:&quot;&quot;,&quot;non-dropping-particle&quot;:&quot;&quot;},{&quot;family&quot;:&quot;Walker&quot;,&quot;given&quot;:&quot;J.&quot;,&quot;parse-names&quot;:false,&quot;dropping-particle&quot;:&quot;&quot;,&quot;non-dropping-particle&quot;:&quot;&quot;},{&quot;family&quot;:&quot;MacMahon&quot;,&quot;given&quot;:&quot;A. D.&quot;,&quot;parse-names&quot;:false,&quot;dropping-particle&quot;:&quot;&quot;,&quot;non-dropping-particle&quot;:&quot;&quot;},{&quot;family&quot;:&quot;Sharpe&quot;,&quot;given&quot;:&quot;M.&quot;,&quot;parse-names&quot;:false,&quot;dropping-particle&quot;:&quot;&quot;,&quot;non-dropping-particle&quot;:&quot;&quot;}],&quot;container-title&quot;:&quot;Brain : a journal of neurology&quot;,&quot;container-title-short&quot;:&quot;Brain&quot;,&quot;accessed&quot;:{&quot;date-parts&quot;:[[2023,4,28]]},&quot;DOI&quot;:&quot;10.1093/BRAIN/AWP220&quot;,&quot;ISSN&quot;:&quot;1460-2156&quot;,&quot;PMID&quot;:&quot;19737842&quot;,&quot;URL&quot;:&quot;https://pubmed.ncbi.nlm.nih.gov/19737842/&quot;,&quot;issued&quot;:{&quot;date-parts&quot;:[[2009,10]]},&quot;page&quot;:&quot;2878-2888&quot;,&quot;abstract&quot;:&quot;It has been previously reported that a substantial proportion of newly referred neurology out-patients have symptoms that are considered by the assessing neurologist as unexplained by 'organic disease'. There has however been much controversy about how often such patients subsequently develop a disease diagnosis that, with hindsight, would have explained the symptoms. We aimed to determine in a large sample of new neurology out-patients: (i) what proportion are assessed as having symptoms unexplained by disease and the diagnoses given to them; and (ii) how often a neurological disorder emerged which, with hindsight, explained the original symptoms. We carried out a prospective cohort study of patients referred from primary care to National Health Service neurology clinics in Scotland, UK. Measures were: (i) the proportion of patients with symptoms rated by the assessing neurologist as 'not at all' or only 'somewhat explained' by 'organic disease' and the neurological diagnoses recorded at initial assessment; and (ii) the frequency of unexpected new diagnoses made over the following 18 months (according to the primary-care physician). One thousand four hundred and forty-four patients (30 of all new patients) were rated as having symptoms 'not at all' or only 'somewhat explained' by 'organic disease'. The most common categories of diagnosis were: (i) organic neurological disease but with symptoms unexplained by it (26); (ii) headache disorders (26); and (iii) conversion symptoms (motor, sensory or non-epileptic attacks) (18). At follow-up only 4 out of 1030 patients (0.4) had acquired an organic disease diagnosis that was unexpected at initial assessment and plausibly the cause of the patients' original symptoms. Eight patients had died at follow-up; five of whom had initial diagnoses of non-epileptic attacks. Seven other types of diagnostic change with very different implications to a 'missed diagnosis' were found and a new classification of diagnostic revision is presented. One-third of new neurology out-patients are assessed as having symptoms 'unexplained by organic disease'. A new diagnosis, which with hindsight explained the original symptoms, rarely became apparent to the patient's primary care doctor in the 18 months following the initial hospital consultation.&quot;,&quot;publisher&quot;:&quot;Brain&quot;,&quot;issue&quot;:&quot;Pt 10&quot;,&quot;volume&quot;:&quot;132&quot;},&quot;isTemporary&quot;:false}],&quot;citationTag&quot;:&quot;MENDELEY_CITATION_v3_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&quot;},{&quot;citationID&quot;:&quot;MENDELEY_CITATION_a8474a0e-f150-46e4-8f83-55bbe4466b1d&quot;,&quot;properties&quot;:{&quot;noteIndex&quot;:0},&quot;isEdited&quot;:false,&quot;manualOverride&quot;:{&quot;isManuallyOverridden&quot;:true,&quot;citeprocText&quot;:&quot;(A. Carson et al., 2011)&quot;,&quot;manualOverrideText&quot;:&quot;(Carson et al., 2011)&quot;},&quot;citationItems&quot;:[{&quot;id&quot;:&quot;a477d660-7a6a-30fe-b60b-f04f13c8da1b&quot;,&quot;itemData&quot;:{&quot;type&quot;:&quot;article-journal&quot;,&quot;id&quot;:&quot;a477d660-7a6a-30fe-b60b-f04f13c8da1b&quot;,&quot;title&quot;:&quot;Disability, distress and unemployment in neurology outpatients with symptoms 'unexplained by organic disease'&quot;,&quot;author&quot;:[{&quot;family&quot;:&quot;Carson&quot;,&quot;given&quot;:&quot;A&quot;,&quot;parse-names&quot;:false,&quot;dropping-particle&quot;:&quot;&quot;,&quot;non-dropping-particle&quot;:&quot;&quot;},{&quot;family&quot;:&quot;Stone&quot;,&quot;given&quot;:&quot;J&quot;,&quot;parse-names&quot;:false,&quot;dropping-particle&quot;:&quot;&quot;,&quot;non-dropping-particle&quot;:&quot;&quot;},{&quot;family&quot;:&quot;Hibberd&quot;,&quot;given&quot;:&quot;C&quot;,&quot;parse-names&quot;:false,&quot;dropping-particle&quot;:&quot;&quot;,&quot;non-dropping-particle&quot;:&quot;&quot;},{&quot;family&quot;:&quot;Murray&quot;,&quot;given&quot;:&quot;G&quot;,&quot;parse-names&quot;:false,&quot;dropping-particle&quot;:&quot;&quot;,&quot;non-dropping-particle&quot;:&quot;&quot;},{&quot;family&quot;:&quot;Duncan&quot;,&quot;given&quot;:&quot;R&quot;,&quot;parse-names&quot;:false,&quot;dropping-particle&quot;:&quot;&quot;,&quot;non-dropping-particle&quot;:&quot;&quot;},{&quot;family&quot;:&quot;Coleman&quot;,&quot;given&quot;:&quot;R&quot;,&quot;parse-names&quot;:false,&quot;dropping-particle&quot;:&quot;&quot;,&quot;non-dropping-particle&quot;:&quot;&quot;},{&quot;family&quot;:&quot;Warlow&quot;,&quot;given&quot;:&quot;C&quot;,&quot;parse-names&quot;:false,&quot;dropping-particle&quot;:&quot;&quot;,&quot;non-dropping-particle&quot;:&quot;&quot;},{&quot;family&quot;:&quot;Roberts&quot;,&quot;given&quot;:&quot;R&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Hansen&quot;,&quot;given&quot;:&quot;C&quot;,&quot;parse-names&quot;:false,&quot;dropping-particle&quot;:&quot;&quot;,&quot;non-dropping-particle&quot;:&quot;&quot;},{&quot;family&quot;:&quot;Sharpe&quot;,&quot;given&quot;:&quot;M&quot;,&quot;parse-names&quot;:false,&quot;dropping-particle&quot;:&quot;&quot;,&quot;non-dropping-particle&quot;:&quot;&quot;}],&quot;container-title&quot;:&quot;J Neurol Neurosurg Psychiatry&quot;,&quot;DOI&quot;:&quot;10.1136/jnnp.2010.220640&quot;,&quot;ISSN&quot;:&quot;0022-3050&quot;,&quot;PMID&quot;:&quot;21257981&quot;,&quot;issued&quot;:{&quot;date-parts&quot;:[[2011]]},&quot;page&quot;:&quot;810-813&quot;,&quot;language&quot;:&quot;eng&quot;,&quot;abstract&quot;:&quot;OBJECTIVES: To determine the disability, distress and employment status of new neurology outpatients with physical symptoms unexplained by organic disease and to compare them with patients with symptoms explained by organic disease. METHODS: As part of a cohort study (the Scottish Neurological Symptoms Study) neurologists rated the extent to which each new patient's symptoms were explained by organic disease. Patients whose symptoms were rated as 'not at all' or only 'somewhat' explained by disease were considered cases, and those whose symptoms were 'largely' or 'completely' explained by disease were considered controls. All patients completed self-ratings of disability, health status (Medical Outcomes Study Short Form 12-Item Scale (SF-12)) and emotional distress (Hospital Anxiety and Depression Scale) and also reported their employment and state financial benefit status. RESULTS: 3781 patients were recruited: 1144 (30%) cases and 2637 (70%) controls. Cases had worse physical health status (SF-12 score 42 vs 44; difference in means 1.7 (95% CI -2.5 to 0.9)) and worse mental health status (SF-12 score 43 vs 47; difference in means -3.5 (95% CI -4.3 to to 2.7)). Unemployment was similar in cases and controls (50% vs 50%) but cases were more likely not to be working for health reasons (54% vs 37% of the 50% not working; OR 2.0 (95% CI 1.6 to 2.4)) and also more likely to be receiving disability-related state financial benefits (27% vs 22%; (OR 1.3, 95% CI 1.1 to 1.6)). CONCLUSIONS: New neurology patients with symptoms unexplained by organic disease have more disability-, distress- and disability-related state financial benefits than patients with symptoms explained by disease.&quot;,&quot;edition&quot;:&quot;2011/01/25&quot;,&quot;issue&quot;:&quot;7&quot;,&quot;volume&quot;:&quot;82&quot;,&quot;container-title-short&quot;:&quot;&quot;},&quot;isTemporary&quot;:false}],&quot;citationTag&quot;:&quot;MENDELEY_CITATION_v3_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&quot;},{&quot;citationID&quot;:&quot;MENDELEY_CITATION_a37f5bc3-a5fc-4941-8d75-8ff86005c03c&quot;,&quot;properties&quot;:{&quot;noteIndex&quot;:0},&quot;isEdited&quot;:false,&quot;manualOverride&quot;:{&quot;isManuallyOverridden&quot;:false,&quot;citeprocText&quot;:&quot;(Gallagher et al., 2013; Stone et al., 2010)&quot;,&quot;manualOverrideText&quot;:&quot;&quot;},&quot;citationItems&quot;:[{&quot;id&quot;:&quot;55bd78ff-1a7f-3fe9-884e-3289f7695ea3&quot;,&quot;itemData&quot;:{&quot;type&quot;:&quot;article-journal&quot;,&quot;id&quot;:&quot;55bd78ff-1a7f-3fe9-884e-3289f7695ea3&quot;,&quot;title&quot;:&quot;MEDICALLY UNEXPLAINED NEUROLOGICAL SYMPTOMS ON AN ACUTE NEUROLOGY WARD: HEALTHCARE RESOURCE UTILISATION&quot;,&quot;author&quot;:[{&quot;family&quot;:&quot;Gallagher&quot;,&quot;given&quot;:&quot;Paul&quot;,&quot;parse-names&quot;:false,&quot;dropping-particle&quot;:&quot;&quot;,&quot;non-dropping-particle&quot;:&quot;&quot;},{&quot;family&quot;:&quot;Meldrum&quot;,&quot;given&quot;:&quot;Steven&quot;,&quot;parse-names&quot;:false,&quot;dropping-particle&quot;:&quot;&quot;,&quot;non-dropping-particle&quot;:&quot;&quot;},{&quot;family&quot;:&quot;Copstick&quot;,&quot;given&quot;:&quot;Susan&quot;,&quot;parse-names&quot;:false,&quot;dropping-particle&quot;:&quot;&quot;,&quot;non-dropping-particle&quot;:&quot;&quot;},{&quot;family&quot;:&quot;Burnel&quot;,&quot;given&quot;:&quot;Adam&quot;,&quot;parse-names&quot;:false,&quot;dropping-particle&quot;:&quot;&quot;,&quot;non-dropping-particle&quot;:&quot;&quot;},{&quot;family&quot;:&quot;Matthews&quot;,&quot;given&quot;:&quot;Audrey&quot;,&quot;parse-names&quot;:false,&quot;dropping-particle&quot;:&quot;&quot;,&quot;non-dropping-particle&quot;:&quot;&quot;},{&quot;family&quot;:&quot;Brown&quot;,&quot;given&quot;:&quot;Melanie&quot;,&quot;parse-names&quot;:false,&quot;dropping-particle&quot;:&quot;&quot;,&quot;non-dropping-particle&quot;:&quot;&quot;},{&quot;family&quot;:&quot;Walker&quot;,&quot;given&quot;:&quot;Susan&quot;,&quot;parse-names&quot;:false,&quot;dropping-particle&quot;:&quot;&quot;,&quot;non-dropping-particle&quot;:&quot;&quot;},{&quot;family&quot;:&quot;Shah&quot;,&quot;given&quot;:&quot;Pushkar&quot;,&quot;parse-names&quot;:false,&quot;dropping-particle&quot;:&quot;&quot;,&quot;non-dropping-particle&quot;:&quot;&quot;},{&quot;family&quot;:&quot;Razvi&quot;,&quot;given&quot;:&quot;Saif&quot;,&quot;parse-names&quot;:false,&quot;dropping-particle&quot;:&quot;&quot;,&quot;non-dropping-particle&quot;:&quot;&quot;}],&quot;container-title&quot;:&quot;Journal of Neurology, Neurosurgery &amp;amp;amp; Psychiatry&quot;,&quot;DOI&quot;:&quot;10.1136/jnnp-2013-306573.56&quot;,&quot;URL&quot;:&quot;http://jnnp.bmj.com/content/84/11/e2.174.abstract&quot;,&quot;issued&quot;:{&quot;date-parts&quot;:[[2013]]},&quot;page&quot;:&quot;e2&quot;,&quot;abstract&quot;:&quot;Introduction Medically Unexplained Neurological Symptoms (MUNS) are the second most common diagnosis in neurology outpatient clinics, accounting for up to 16% of all referrals.1 Patients with MUNS are frequently admitted for inpatient investigation and management. We reviewed healthcare resource utilisation of patients with MUNS on an acute neurology ward in a tertiary neuroscience centre. Methods A prospective audit of patients admitted to a 19–bedded acute neurology ward, serving a population of approximately 2.2 million people, was performed. We included those with a clinical diagnosis of MUNS and no associated relevant pathology. Patients with MUNS and co–morbid neurological illness (e.g. epilepsy with non–epileptic attack disorder) or individuals assessed electively on the 20–bedded programmed investigation unit (e.g. for video telemetry) were excluded. Clinical and demographic data were collected using paper and electronic records and the national radiology database. Data were collected with respect to healthcare resource utilisation during the single inpatient stay. This included the duration of admission, neuroimaging, electroencephalography (EEG), electromyography (EMG) performed and time with physiotherapists. Results Fourteen patients (11 female, median age 39 years, range 19–56) were admitted to the acute neurology ward over a 9–month period (1st April to 31st December 2012). Eleven out of fourteen (78.6%) were transferred from other hospitals and 3 were admitted form home. Median duration in hospital prior to transfer was 5 days (range 0–15, total 51 hospital days). Patients were taking a mean of 5.4 medications (SD 3.9). Three (21.4%) had prior contact with mental health services and 1 had learning difficulties. Previous attendance at an emergency department had occurred in 6/14 (42.9%) patients (total 84 attendances; range 2–31). Nine patients (64.3%) had prior hospital admissions (total 49 admissions; mean 3.5 [SD 5.6]). A functional motor disorder was diagnosed in 9/14 (64.2%); 3/14 (21.4%) had non–epileptic attack disorder (NEAD), 1/14 (7.1%) had both a functional motor disorder and NEAD and 1 had purely sensory symptoms. Median duration of admission was 8.5 days (range 3–64 days, IQR 5.5–15). Over the 9–month period, patients with MUNS accounted for 231 bed–days, equating to 4.4% of the acute neurology ward bed capacity over this period. CT scans were performed in 9/14 (64.3%, total 12 scans); 10/14 (71.4%) had an MRI (total 22 scans, 1.6 per patient). Four (28.6%) had EEG and 4/14 also had EMG (total 7 EMGs). All 11 with functional motor and sensory MUNS had physiotherapy sessions, accounting for 118 sessions (median 5.5 sessions per patient) with 0.5–52.75 hours required for individual patients (median 3.75 hours). Conclusion Patients with MUNS accounted for 4.4% of the bed occupancy on an acute neurology ward in a tertiary neuroscience centre, with substantial healthcare resource utilisation. This study likely underestimates the overall burden of functional symptoms on the acute neurology ward as only purely functional symptoms were included. A multi–disciplinary approach is required for management of patients with MUNS and needs further study.&quot;,&quot;issue&quot;:&quot;11&quot;,&quot;volume&quot;:&quot;84&quot;,&quot;container-title-short&quot;:&quot;&quot;},&quot;isTemporary&quot;:false},{&quot;id&quot;:&quot;caf78f84-0567-36cd-83cb-1f7e705c7d43&quot;,&quot;itemData&quot;:{&quot;type&quot;:&quot;article-journal&quot;,&quot;id&quot;:&quot;caf78f84-0567-36cd-83cb-1f7e705c7d43&quot;,&quot;title&quot;:&quot;Who is referred to neurology clinics?--the diagnoses made in 3781 new patients&quot;,&quot;author&quot;:[{&quot;family&quot;:&quot;Stone&quot;,&quot;given&quot;:&quot;J&quot;,&quot;parse-names&quot;:false,&quot;dropping-particle&quot;:&quot;&quot;,&quot;non-dropping-particle&quot;:&quot;&quot;},{&quot;family&quot;:&quot;Carson&quot;,&quot;given&quot;:&quot;A&quot;,&quot;parse-names&quot;:false,&quot;dropping-particle&quot;:&quot;&quot;,&quot;non-dropping-particle&quot;:&quot;&quot;},{&quot;family&quot;:&quot;Duncan&quot;,&quot;given&quot;:&quot;R&quot;,&quot;parse-names&quot;:false,&quot;dropping-particle&quot;:&quot;&quot;,&quot;non-dropping-particle&quot;:&quot;&quot;},{&quot;family&quot;:&quot;Roberts&quot;,&quot;given&quot;:&quot;R&quot;,&quot;parse-names&quot;:false,&quot;dropping-particle&quot;:&quot;&quot;,&quot;non-dropping-particle&quot;:&quot;&quot;},{&quot;family&quot;:&quot;Warlow&quot;,&quot;given&quot;:&quot;C&quot;,&quot;parse-names&quot;:false,&quot;dropping-particle&quot;:&quot;&quot;,&quot;non-dropping-particle&quot;:&quot;&quot;},{&quot;family&quot;:&quot;Hibberd&quot;,&quot;given&quot;:&quot;C&quot;,&quot;parse-names&quot;:false,&quot;dropping-particle&quot;:&quot;&quot;,&quot;non-dropping-particle&quot;:&quot;&quot;},{&quot;family&quot;:&quot;Coleman&quot;,&quot;given&quot;:&quot;R&quot;,&quot;parse-names&quot;:false,&quot;dropping-particle&quot;:&quot;&quot;,&quot;non-dropping-particle&quot;:&quot;&quot;},{&quot;family&quot;:&quot;Cull&quot;,&quot;given&quot;:&quot;R&quot;,&quot;parse-names&quot;:false,&quot;dropping-particle&quot;:&quot;&quot;,&quot;non-dropping-particle&quot;:&quot;&quot;},{&quot;family&quot;:&quot;Murray&quot;,&quot;given&quot;:&quot;G&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Smyth&quot;,&quot;given&quot;:&quot;R&quot;,&quot;parse-names&quot;:false,&quot;dropping-particle&quot;:&quot;&quot;,&quot;non-dropping-particle&quot;:&quot;&quot;},{&quot;family&quot;:&quot;Walker&quot;,&quot;given&quot;:&quot;J&quot;,&quot;parse-names&quot;:false,&quot;dropping-particle&quot;:&quot;&quot;,&quot;non-dropping-particle&quot;:&quot;&quot;},{&quot;family&quot;:&quot;Sharpe&quot;,&quot;given&quot;:&quot;M&quot;,&quot;parse-names&quot;:false,&quot;dropping-particle&quot;:&quot;&quot;,&quot;non-dropping-particle&quot;:&quot;&quot;}],&quot;container-title&quot;:&quot;Clin Neurol Neurosurg&quot;,&quot;DOI&quot;:&quot;10.1016/j.clineuro.2010.05.011&quot;,&quot;ISSN&quot;:&quot;0303-8467&quot;,&quot;PMID&quot;:&quot;20646830&quot;,&quot;issued&quot;:{&quot;date-parts&quot;:[[2010]]},&quot;page&quot;:&quot;747-751&quot;,&quot;language&quot;:&quot;eng&quot;,&quot;abstract&quot;:&quot;OBJECTIVE: Information on the nature and relative frequency of diagnoses made in referrals to neurology outpatient clinics is an important guide to priorities in services, teaching and research. Previous studies of this topic have been limited by being of only single centres or lacking in detail. We aimed to describe the neurological diagnoses made in a large series of referrals to neurology outpatient clinics. METHOD: Newly referred outpatients attending neurology clinics in all the NHS neurological centres in Scotland, UK were recruited over a period of 15 months. The assessing neurologists recorded the initial diagnosis they made. An additional rating of the degree to which the neurologist considered the patient's symptoms to be explained by disease was used to categorise those diagnoses that simply described a symptom such as 'fatigue'. RESULTS: Three thousand seven hundred and eighty-one patients participated (91% of those eligible). The commonest categories of diagnosis made were: headache (19%), functional and psychological symptoms (16%), epilepsy (14%), peripheral nerve disorders (11%), miscellaneous neurological disorders (10%), demyelination (7%), spinal disorders (6%), Parkinson's disease/movement disorders (6%), and syncope (4%). Detailed breakdowns of each category are provided. CONCLUSIONS: Headache, functional/psychological disorders and epilepsy are the most common diagnoses in new patient referral to neurological services. This information should be used to shape priorities for services, teaching and research.&quot;,&quot;edition&quot;:&quot;2010/07/22&quot;,&quot;issue&quot;:&quot;9&quot;,&quot;volume&quot;:&quot;112&quot;,&quot;container-title-short&quot;:&quot;&quot;},&quot;isTemporary&quot;:false}],&quot;citationTag&quot;:&quot;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&quot;},{&quot;citationID&quot;:&quot;MENDELEY_CITATION_3067c51a-65b8-4aa3-ae12-dfacc7cd30c1&quot;,&quot;properties&quot;:{&quot;noteIndex&quot;:0},&quot;isEdited&quot;:false,&quot;manualOverride&quot;:{&quot;isManuallyOverridden&quot;:true,&quot;citeprocText&quot;:&quot;(Stephen et al., 2021)&quot;,&quot;manualOverrideText&quot;:&quot;(C. Stephen et al., 2021)&quot;},&quot;citationItems&quot;:[{&quot;id&quot;:&quot;334b689b-f016-3607-8f90-f1fe5b2be0b2&quot;,&quot;itemData&quot;:{&quot;type&quot;:&quot;article-journal&quot;,&quot;id&quot;:&quot;334b689b-f016-3607-8f90-f1fe5b2be0b2&quot;,&quot;title&quot;:&quot;Healthcare utilization and inpatient/emergency department costs in adult and pediatric functional neurological disorders (1584)&quot;,&quot;author&quot;:[{&quot;family&quot;:&quot;Stephen&quot;,&quot;given&quot;:&quot;Christopher&quot;,&quot;parse-names&quot;:false,&quot;dropping-particle&quot;:&quot;&quot;,&quot;non-dropping-particle&quot;:&quot;&quot;},{&quot;family&quot;:&quot;Fung&quot;,&quot;given&quot;:&quot;Vicki&quot;,&quot;parse-names&quot;:false,&quot;dropping-particle&quot;:&quot;&quot;,&quot;non-dropping-particle&quot;:&quot;&quot;},{&quot;family&quot;:&quot;Lungu&quot;,&quot;given&quot;:&quot;Codrin&quot;,&quot;parse-names&quot;:false,&quot;dropping-particle&quot;:&quot;&quot;,&quot;non-dropping-particle&quot;:&quot;&quot;},{&quot;family&quot;:&quot;Espay&quot;,&quot;given&quot;:&quot;Alberto&quot;,&quot;parse-names&quot;:false,&quot;dropping-particle&quot;:&quot;&quot;,&quot;non-dropping-particle&quot;:&quot;&quot;}],&quot;container-title&quot;:&quot;Neurology&quot;,&quot;container-title-short&quot;:&quot;Neurology&quot;,&quot;accessed&quot;:{&quot;date-parts&quot;:[[2023,4,28]]},&quot;issued&quot;:{&quot;date-parts&quot;:[[2021]]},&quot;issue&quot;:&quot;15 Supplement&quot;,&quot;volume&quot;:&quot;96&quot;},&quot;isTemporary&quot;:false}],&quot;citationTag&quot;:&quot;MENDELEY_CITATION_v3_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&quot;},{&quot;citationID&quot;:&quot;MENDELEY_CITATION_f0a807bc-a807-4a30-b023-88de1779cc87&quot;,&quot;properties&quot;:{&quot;noteIndex&quot;:0},&quot;isEdited&quot;:false,&quot;manualOverride&quot;:{&quot;isManuallyOverridden&quot;:false,&quot;citeprocText&quot;:&quot;(Dickson et al., 2017)&quot;,&quot;manualOverrideText&quot;:&quot;&quot;},&quot;citationItems&quot;:[{&quot;id&quot;:&quot;0a97872f-ad9f-3518-b8b8-db45384f576f&quot;,&quot;itemData&quot;:{&quot;type&quot;:&quot;article-journal&quot;,&quot;id&quot;:&quot;0a97872f-ad9f-3518-b8b8-db45384f576f&quot;,&quot;title&quot;:&quot;Cross-sectional study of the hospital management of adult patients with a suspected seizure (EPIC2)&quot;,&quot;author&quot;:[{&quot;family&quot;:&quot;Dickson&quot;,&quot;given&quot;:&quot;J M&quot;,&quot;parse-names&quot;:false,&quot;dropping-particle&quot;:&quot;&quot;,&quot;non-dropping-particle&quot;:&quot;&quot;},{&quot;family&quot;:&quot;Dudhill&quot;,&quot;given&quot;:&quot;H&quot;,&quot;parse-names&quot;:false,&quot;dropping-particle&quot;:&quot;&quot;,&quot;non-dropping-particle&quot;:&quot;&quot;},{&quot;family&quot;:&quot;Shewan&quot;,&quot;given&quot;:&quot;J&quot;,&quot;parse-names&quot;:false,&quot;dropping-particle&quot;:&quot;&quot;,&quot;non-dropping-particle&quot;:&quot;&quot;},{&quot;family&quot;:&quot;Mason&quot;,&quot;given&quot;:&quot;S&quot;,&quot;parse-names&quot;:false,&quot;dropping-particle&quot;:&quot;&quot;,&quot;non-dropping-particle&quot;:&quot;&quot;},{&quot;family&quot;:&quot;Grünewald&quot;,&quot;given&quot;:&quot;R A&quot;,&quot;parse-names&quot;:false,&quot;dropping-particle&quot;:&quot;&quot;,&quot;non-dropping-particle&quot;:&quot;&quot;},{&quot;family&quot;:&quot;Reuber&quot;,&quot;given&quot;:&quot;M&quot;,&quot;parse-names&quot;:false,&quot;dropping-particle&quot;:&quot;&quot;,&quot;non-dropping-particle&quot;:&quot;&quot;}],&quot;container-title&quot;:&quot;BMJ Open&quot;,&quot;container-title-short&quot;:&quot;BMJ Open&quot;,&quot;DOI&quot;:&quot;10.1136/bmjopen-2016-015696&quot;,&quot;ISSN&quot;:&quot;2044-6055&quot;,&quot;PMID&quot;:&quot;28706099&quot;,&quot;issued&quot;:{&quot;date-parts&quot;:[[2017]]},&quot;page&quot;:&quot;e015696&quot;,&quot;language&quot;:&quot;eng&quot;,&quot;abstract&quot;:&quot;OBJECTIVE: To determine the clinical characteristics, management and outcomes of patients taken to hospital by emergency ambulance after a suspected seizure. DESIGN: Quantitative cross-sectional retrospective study of a consecutive series of patients. SETTING: An acute hospital trust in a large city in England. PARTICIPANTS: In 2012-2013, the regions' ambulance service managed 605 481 emergency incidents, 74 141/605 481 originated from Sheffield (a large city in the region), 2121/74 141 (2.9%) were suspected seizures and 178/2121 occurred in May 2012. We undertook detailed analysis of the medical records of the 91/178 patients who were transported to the city's acute hospital. After undertaking a retrospective review of the medical records, the best available aetiological explanation for the seizures was determined. RESULTS: The best available aetiological explanation for 74.7% (68/91) of the incidents was an epileptic seizure, 11.0% (10/91) were psychogenic non-epileptic seizures and 9.9% (9/91) were cardiogenic events. The epileptic seizures fall into the following four categories: first epileptic seizure (13.2%, 12/91), epileptic seizure with a historical diagnosis of epilepsy (30.8%, 28/91), recurrent epileptic seizures without a historical diagnosis of epilepsy (20.9%, 19/91) and acute symptomatic seizures (9.9%, 9/91). Of those with seizures (excluding cardiogenic events), 2.4% (2/82) of patients were seizing on arrival in the Emergency Department (ED), 19.5% (16/82) were postictal and 69.5% (57/82) were alert. 63.4% (52/82) were discharged at the end of their ED attendance and 36.5% (19/52) of these had no referral or follow-up. CONCLUSIONS: Most suspected seizures are epileptic seizures but this is a diagnostically heterogeneous group. Only a small minority of patients require emergency medical care but most are transported to hospital. Few patients receive expert review and many are discharged home without referral to a specialist leaving them at risk of further seizures and the associated morbidity, mortality and health services costs of poorly controlled epilepsy.&quot;,&quot;edition&quot;:&quot;2017/07/15&quot;,&quot;issue&quot;:&quot;7&quot;,&quot;volume&quot;:&quot;7&quot;},&quot;isTemporary&quot;:false}],&quot;citationTag&quot;:&quot;MENDELEY_CITATION_v3_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&quot;},{&quot;citationID&quot;:&quot;MENDELEY_CITATION_d22a0a05-4277-4863-bf91-eedf8758fb0b&quot;,&quot;properties&quot;:{&quot;noteIndex&quot;:0},&quot;isEdited&quot;:false,&quot;manualOverride&quot;:{&quot;isManuallyOverridden&quot;:true,&quot;citeprocText&quot;:&quot;(Reuber et al., 2003; Seneviratne et al., 2019)&quot;,&quot;manualOverrideText&quot;:&quot;(Reuber, Pukrop, Mitchell, et al., 2003; Seneviratne et al., 2019)&quot;},&quot;citationItems&quot;:[{&quot;id&quot;:&quot;696eba6f-779c-375c-a280-fd70311abf47&quot;,&quot;itemData&quot;:{&quot;type&quot;:&quot;article-journal&quot;,&quot;id&quot;:&quot;696eba6f-779c-375c-a280-fd70311abf47&quot;,&quot;title&quot;:&quot;Clinical significance of recurrent psychogenic nonepileptic seizure status&quot;,&quot;author&quot;:[{&quot;family&quot;:&quot;Reuber&quot;,&quot;given&quot;:&quot;Markus&quot;,&quot;parse-names&quot;:false,&quot;dropping-particle&quot;:&quot;&quot;,&quot;non-dropping-particle&quot;:&quot;&quot;},{&quot;family&quot;:&quot;Pukrop&quot;,&quot;given&quot;:&quot;Ralf&quot;,&quot;parse-names&quot;:false,&quot;dropping-particle&quot;:&quot;&quot;,&quot;non-dropping-particle&quot;:&quot;&quot;},{&quot;family&quot;:&quot;Mitchell&quot;,&quot;given&quot;:&quot;Alex J.&quot;,&quot;parse-names&quot;:false,&quot;dropping-particle&quot;:&quot;&quot;,&quot;non-dropping-particle&quot;:&quot;&quot;},{&quot;family&quot;:&quot;Bauer&quot;,&quot;given&quot;:&quot;Jürgen&quot;,&quot;parse-names&quot;:false,&quot;dropping-particle&quot;:&quot;&quot;,&quot;non-dropping-particle&quot;:&quot;&quot;},{&quot;family&quot;:&quot;Elger&quot;,&quot;given&quot;:&quot;Christian E.&quot;,&quot;parse-names&quot;:false,&quot;dropping-particle&quot;:&quot;&quot;,&quot;non-dropping-particle&quot;:&quot;&quot;}],&quot;container-title&quot;:&quot;Journal of neurology&quot;,&quot;container-title-short&quot;:&quot;J Neurol&quot;,&quot;accessed&quot;:{&quot;date-parts&quot;:[[2023,4,28]]},&quot;DOI&quot;:&quot;10.1007/S00415-003-0224-Z&quot;,&quot;ISSN&quot;:&quot;0340-5354&quot;,&quot;PMID&quot;:&quot;14648153&quot;,&quot;URL&quot;:&quot;https://pubmed.ncbi.nlm.nih.gov/14648153/&quot;,&quot;issued&quot;:{&quot;date-parts&quot;:[[2003,11]]},&quot;page&quot;:&quot;1355-1362&quot;,&quot;abstract&quot;:&quot;To explore the clinical significance of a history of recurrent psychogenic nonepileptic seizure status (PNES-status), this study describes the frequency of PNES-status in 85 consecutive PNES patients and examines whether there are relevant differences between patients with a history of recurrent PNES-status and other PNES-patients. PNES patients were also compared with 64 patients with epilepsy. Data were extracted from hospital records and a postal questionnaire (Dimensional Assessment of Personality Pathology-Basic Questionnaire; Screening for Somatoform Symptoms; Dissociative Experience Scale). Of the PNES-patients, 77.6% reported at least one seizure &gt; 30 minutes (PNES-status), 27% admission to intensive care with status. 38.8% reported recurrent hospital admissions with status (PNES-status group), the remaining patients served as PNES-controls. The only clinical difference between the two PNES groups was that status patients were younger than PNES-controls (mean age 20.3 vs. 30.3 years, p = 0.001). Our results suggest that PNES status is common and often unrecognised. There were no substantial psychometric differences between patients with recurrent PNES-status and other PNES patients although both PNES-groups had more abnormal somatisation, dissociation and personality scores than patients with epilepsy.&quot;,&quot;publisher&quot;:&quot;J Neurol&quot;,&quot;issue&quot;:&quot;11&quot;,&quot;volume&quot;:&quot;250&quot;},&quot;isTemporary&quot;:false},{&quot;id&quot;:&quot;97c45a66-42da-33e3-b2d6-6571a0a91ac8&quot;,&quot;itemData&quot;:{&quot;type&quot;:&quot;article-journal&quot;,&quot;id&quot;:&quot;97c45a66-42da-33e3-b2d6-6571a0a91ac8&quot;,&quot;title&quot;:&quot;Medical health care utilization cost of patients presenting with psychogenic nonepileptic seizures&quot;,&quot;author&quot;:[{&quot;family&quot;:&quot;Seneviratne&quot;,&quot;given&quot;:&quot;Udaya&quot;,&quot;parse-names&quot;:false,&quot;dropping-particle&quot;:&quot;&quot;,&quot;non-dropping-particle&quot;:&quot;&quot;},{&quot;family&quot;:&quot;Low&quot;,&quot;given&quot;:&quot;Zhi Mei&quot;,&quot;parse-names&quot;:false,&quot;dropping-particle&quot;:&quot;&quot;,&quot;non-dropping-particle&quot;:&quot;&quot;},{&quot;family&quot;:&quot;Low&quot;,&quot;given&quot;:&quot;Zhi Xuen&quot;,&quot;parse-names&quot;:false,&quot;dropping-particle&quot;:&quot;&quot;,&quot;non-dropping-particle&quot;:&quot;&quot;},{&quot;family&quot;:&quot;Hehir&quot;,&quot;given&quot;:&quot;Angela&quot;,&quot;parse-names&quot;:false,&quot;dropping-particle&quot;:&quot;&quot;,&quot;non-dropping-particle&quot;:&quot;&quot;},{&quot;family&quot;:&quot;Paramaswaran&quot;,&quot;given&quot;:&quot;Sahira&quot;,&quot;parse-names&quot;:false,&quot;dropping-particle&quot;:&quot;&quot;,&quot;non-dropping-particle&quot;:&quot;&quot;},{&quot;family&quot;:&quot;Foong&quot;,&quot;given&quot;:&quot;Monica&quot;,&quot;parse-names&quot;:false,&quot;dropping-particle&quot;:&quot;&quot;,&quot;non-dropping-particle&quot;:&quot;&quot;},{&quot;family&quot;:&quot;Ma&quot;,&quot;given&quot;:&quot;Henry&quot;,&quot;parse-names&quot;:false,&quot;dropping-particle&quot;:&quot;&quot;,&quot;non-dropping-particle&quot;:&quot;&quot;},{&quot;family&quot;:&quot;Phan&quot;,&quot;given&quot;:&quot;Thanh G.&quot;,&quot;parse-names&quot;:false,&quot;dropping-particle&quot;:&quot;&quot;,&quot;non-dropping-particle&quot;:&quot;&quot;}],&quot;container-title&quot;:&quot;Epilepsia&quot;,&quot;container-title-short&quot;:&quot;Epilepsia&quot;,&quot;accessed&quot;:{&quot;date-parts&quot;:[[2023,4,28]]},&quot;DOI&quot;:&quot;10.1111/EPI.14625&quot;,&quot;ISSN&quot;:&quot;1528-1167&quot;,&quot;PMID&quot;:&quot;30577087&quot;,&quot;URL&quot;:&quot;https://pubmed.ncbi.nlm.nih.gov/30577087/&quot;,&quot;issued&quot;:{&quot;date-parts&quot;:[[2019,2,1]]},&quot;page&quot;:&quot;349-357&quot;,&quot;abstract&quot;:&quot;Objective: To investigate the health care utilization cost of patients presenting with psychogenic nonepileptic seizures (PNES) to a tertiary hospital in Australia. Methods: This is a retrospective analysis of adult patients with PNES based on video-electroencephalographic confirmation over a 5-year period. We used an itemized list to collect detailed health care utilization data. The items included emergency room visits, hospital ward admissions, intensive care unit (ICU) admissions, outpatient neurology clinic visits, medical interventions, Code Blue and Medical Emergency Team calls for seizures, medications, and investigations. We calculated the cost of each individual item separately for each individual presentation. To investigate the proportional contribution of each covariate toward the total health care utilization cost, an analysis of the relative importance in the linear regression was performed. Results: There were 39 patients, of whom seven (18%) were admitted to the ICU with suspected status epilepticus. The median total health care utilization cost per person until the diagnosis of PNES was established as 26 468 Australian dollars (AUD; 19 207 US dollars [USD]). In the item breakdown, the highest median cost was incurred by investigations (13 119 AUD = 9520 USD), followed by hospital ward management (8890 AUD = 6451 USD), ICU stay (3764 AUD = 2731 USD), outpatient neurology clinics (2200 AUD = 1596 USD), and emergency room visits (570 AUD = 413 USD). Nonepileptic psychogenic status (23%) and the duration of PNES disorder (10%) were the most significant variables contributing to the variance (R2) of the model. Significance: A considerable burden of health care utilization cost is caused by PNES. The presence of nonepileptic psychogenic status and a longer duration of the condition predict a higher cost.&quot;,&quot;publisher&quot;:&quot;Epilepsia&quot;,&quot;issue&quot;:&quot;2&quot;,&quot;volume&quot;:&quot;60&quot;},&quot;isTemporary&quot;:false}],&quot;citationTag&quot;:&quot;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&quot;},{&quot;citationID&quot;:&quot;MENDELEY_CITATION_e504aed4-ca03-4329-bad3-6d92e04f2033&quot;,&quot;properties&quot;:{&quot;noteIndex&quot;:0},&quot;isEdited&quot;:false,&quot;manualOverride&quot;:{&quot;isManuallyOverridden&quot;:false,&quot;citeprocText&quot;:&quot;(Jungilligens et al., 2021)&quot;,&quot;manualOverrideText&quot;:&quot;&quot;},&quot;citationItems&quot;:[{&quot;id&quot;:&quot;8d83a659-69be-3398-9692-0ca864373087&quot;,&quot;itemData&quot;:{&quot;type&quot;:&quot;article-journal&quot;,&quot;id&quot;:&quot;8d83a659-69be-3398-9692-0ca864373087&quot;,&quot;title&quot;:&quot;Original research: Misdiagnosis of prolonged psychogenic non-epileptic seizures as status epilepticus: epidemiology and associated risks&quot;,&quot;author&quot;:[{&quot;family&quot;:&quot;Jungilligens&quot;,&quot;given&quot;:&quot;Johannes&quot;,&quot;parse-names&quot;:false,&quot;dropping-particle&quot;:&quot;&quot;,&quot;non-dropping-particle&quot;:&quot;&quot;},{&quot;family&quot;:&quot;Michaelis&quot;,&quot;given&quot;:&quot;Rosa&quot;,&quot;parse-names&quot;:false,&quot;dropping-particle&quot;:&quot;&quot;,&quot;non-dropping-particle&quot;:&quot;&quot;},{&quot;family&quot;:&quot;Popkirov&quot;,&quot;given&quot;:&quot;Stoyan&quot;,&quot;parse-names&quot;:false,&quot;dropping-particle&quot;:&quot;&quot;,&quot;non-dropping-particle&quot;:&quot;&quot;}],&quot;container-title&quot;:&quot;Journal of Neurology, Neurosurgery, and Psychiatry&quot;,&quot;accessed&quot;:{&quot;date-parts&quot;:[[2023,4,28]]},&quot;DOI&quot;:&quot;10.1136/JNNP-2021-326443&quot;,&quot;ISSN&quot;:&quot;1468330X&quot;,&quot;PMID&quot;:&quot;34362852&quot;,&quot;URL&quot;:&quot;/pmc/articles/PMC8606439/&quot;,&quot;issued&quot;:{&quot;date-parts&quot;:[[2021]]},&quot;page&quot;:&quot;1341&quot;,&quot;abstract&quot;:&quot;Objective: To determine the epidemiology of prolonged psychogenic non-epileptic seizures (pPNES) misdiagnosed as status epilepticus, as well as the risks associated with non-indicated treatment. Methods: We performed an individual patient data analysis from the Rapid Anticonvulsant Medication Prior to Arrival Trial (RAMPART) and the Established Status Epilepticus Treatment Trial (ESETT) to assess incidence, patient characteristics and clinical course of misdiagnosed pPNES. Results: Among 980 patients aged 8 years or older diagnosed and treated for status epilepticus in RAMPART and ESETT, 79 (8.1%) were discharged with a final diagnosis of pPNES. The relative incidence was highest in adolescents and young adults (20.1%). The typical female preponderance seen in that age bracket was not evident in children and older adults. Adverse effects, including respiratory depression and intubation, were documented in 26% of patients with pPNES receiving benzodiazepines in RAMPART and 33% of patients receiving additional second-line medication in ESETT. In ESETT, patients who were treated with benzodiazepines before hospital admission had higher rates of unresponsiveness and severe adverse effects than those treated after admission, suggesting cumulative effects of accelerated treatment momentum. Across trials, one in five patients with pPNES were admitted to an intensive care unit. Conclusions: Misdiagnosis and treatment of pPNES as status epilepticus are a common and widespread problem with deleterious consequences. Mitigating it will require training of emergency staff in semiological diagnosis. Status epilepticus response protocols should incorporate appropriate diagnostic re-evaluations at each step of treatment escalation, especially in clinical trials.&quot;,&quot;publisher&quot;:&quot;BMJ Publishing Group&quot;,&quot;issue&quot;:&quot;12&quot;,&quot;volume&quot;:&quot;92&quot;,&quot;container-title-short&quot;:&quot;J Neurol Neurosurg Psychiatry&quot;},&quot;isTemporary&quot;:false}],&quot;citationTag&quot;:&quot;MENDELEY_CITATION_v3_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&quot;},{&quot;citationID&quot;:&quot;MENDELEY_CITATION_6fa10635-148d-4903-b6c8-2e3474a7ec68&quot;,&quot;properties&quot;:{&quot;noteIndex&quot;:0},&quot;isEdited&quot;:false,&quot;manualOverride&quot;:{&quot;isManuallyOverridden&quot;:true,&quot;citeprocText&quot;:&quot;(Brown &amp;#38; Reuber, 2016; Fobian &amp;#38; Elliott, 2019)&quot;,&quot;manualOverrideText&quot;:&quot;(R. J. Brown &amp; Reuber, 2016a; Fobian &amp; Elliott, 2019)&quot;},&quot;citationItems&quot;:[{&quot;id&quot;:&quot;97510102-d3fc-37ca-8abe-137482457d4a&quot;,&quot;itemData&quot;:{&quot;type&quot;:&quot;article-journal&quot;,&quot;id&quot;:&quot;97510102-d3fc-37ca-8abe-137482457d4a&quot;,&quot;title&quot;:&quot;A review of functional neurological symptom disorder etiology and the integrated etiological summary model&quot;,&quot;author&quot;:[{&quot;family&quot;:&quot;Fobian&quot;,&quot;given&quot;:&quot;Aaron D.&quot;,&quot;parse-names&quot;:false,&quot;dropping-particle&quot;:&quot;&quot;,&quot;non-dropping-particle&quot;:&quot;&quot;},{&quot;family&quot;:&quot;Elliott&quot;,&quot;given&quot;:&quot;Lindsey&quot;,&quot;parse-names&quot;:false,&quot;dropping-particle&quot;:&quot;&quot;,&quot;non-dropping-particle&quot;:&quot;&quot;}],&quot;container-title&quot;:&quot;Journal of Psychiatry &amp; Neuroscience : JPN&quot;,&quot;container-title-short&quot;:&quot;J Psychiatry Neurosci&quot;,&quot;accessed&quot;:{&quot;date-parts&quot;:[[2023,4,13]]},&quot;DOI&quot;:&quot;10.1503/JPN.170190&quot;,&quot;ISSN&quot;:&quot;14882434&quot;,&quot;PMID&quot;:&quot;30565902&quot;,&quot;URL&quot;:&quot;/pmc/articles/PMC6306282/&quot;,&quot;issued&quot;:{&quot;date-parts&quot;:[[2019]]},&quot;page&quot;:&quot;8&quot;,&quot;abstract&quot;:&quot;Functional neurological symptom disorder (FNSD) is characterized by neurological symptoms that are unexplained by other traditional neurological or medical conditions. Both physicians and patients have limited understanding of FNSD, which is often explained as a physical manifestation of psychological distress. Recently, diagnostic criteria have shifted from requiring a preceding stressor to relying on positive symptoms. Given this shift, we have provided a review of the etiology of FNSD. Predisposing factors include trauma or psychiatric symptoms, somatic symptoms, illness exposure, symptom monitoring and neurobiological factors. Neurobiological research has indicated that patients with FNSD have a decreased sense of agency and abnormal attentional focus on the affected area, both of which are modulated by beliefs and expectations about illness. Sick role and secondary gain may reinforce and maintain FNSD. The integrated etiological summary model combines research from various fields and other recent etiological models to represent the current understanding of FNSD etiology. It discusses a potential causal mechanism and informs future research and treatment.&quot;,&quot;publisher&quot;:&quot;Canadian Medical Association&quot;,&quot;issue&quot;:&quot;1&quot;,&quot;volume&quot;:&quot;44&quot;},&quot;isTemporary&quot;:false},{&quot;id&quot;:&quot;1f2aa913-ef44-3ea3-83ed-15ebe8b76a6e&quot;,&quot;itemData&quot;:{&quot;type&quot;:&quot;article-journal&quot;,&quot;id&quot;:&quot;1f2aa913-ef44-3ea3-83ed-15ebe8b76a6e&quot;,&quot;title&quot;:&quot;Psychological and psychiatric aspects of psychogenic non-epileptic seizures (PNES): A systematic review&quot;,&quot;author&quot;:[{&quot;family&quot;:&quot;Brown&quot;,&quot;given&quot;:&quot;Richard J&quot;,&quot;parse-names&quot;:false,&quot;dropping-particle&quot;:&quot;&quot;,&quot;non-dropping-particle&quot;:&quot;&quot;},{&quot;family&quot;:&quot;Reuber&quot;,&quot;given&quot;:&quot;Markus&quot;,&quot;parse-names&quot;:false,&quot;dropping-particle&quot;:&quot;&quot;,&quot;non-dropping-particle&quot;:&quot;&quot;}],&quot;container-title&quot;:&quot;Clinical psychology review&quot;,&quot;container-title-short&quot;:&quot;Clin Psychol Rev&quot;,&quot;DOI&quot;:&quot;10.1016/j.cpr.2016.01.003&quot;,&quot;ISSN&quot;:&quot;0272-7358&quot;,&quot;URL&quot;:&quot;http://eprints.whiterose.ac.uk/98748/3/CPR%20Systematic%20review%20v13%20%28revised%20version%29%20MR.pdf&quot;,&quot;issued&quot;:{&quot;date-parts&quot;:[[2016]]},&quot;page&quot;:&quot;157-182&quot;,&quot;publisher&quot;:&quot;Elsevier BV&quot;,&quot;volume&quot;:&quot;45&quot;},&quot;isTemporary&quot;:false}],&quot;citationTag&quot;:&quot;MENDELEY_CITATION_v3_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&quot;},{&quot;citationID&quot;:&quot;MENDELEY_CITATION_8eb6651b-2d43-4615-bb7d-625c67a59079&quot;,&quot;properties&quot;:{&quot;noteIndex&quot;:0},&quot;isEdited&quot;:false,&quot;manualOverride&quot;:{&quot;isManuallyOverridden&quot;:true,&quot;citeprocText&quot;:&quot;(Bodde et al., 2009)&quot;,&quot;manualOverrideText&quot;:&quot;(N. M. Bodde et al., 2009)&quot;},&quot;citationItems&quot;:[{&quot;id&quot;:&quot;f15fe506-22cb-3cec-9733-9327b1ac7274&quot;,&quot;itemData&quot;:{&quot;type&quot;:&quot;article-journal&quot;,&quot;id&quot;:&quot;f15fe506-22cb-3cec-9733-9327b1ac7274&quot;,&quot;title&quot;:&quot;Psychogenic non-epileptic seizures--definition, etiology, treatment and prognostic issues: a critical review&quot;,&quot;author&quot;:[{&quot;family&quot;:&quot;Bodde&quot;,&quot;given&quot;:&quot;N M&quot;,&quot;parse-names&quot;:false,&quot;dropping-particle&quot;:&quot;&quot;,&quot;non-dropping-particle&quot;:&quot;&quot;},{&quot;family&quot;:&quot;Brooks&quot;,&quot;given&quot;:&quot;J L&quot;,&quot;parse-names&quot;:false,&quot;dropping-particle&quot;:&quot;&quot;,&quot;non-dropping-particle&quot;:&quot;&quot;},{&quot;family&quot;:&quot;Baker&quot;,&quot;given&quot;:&quot;G A&quot;,&quot;parse-names&quot;:false,&quot;dropping-particle&quot;:&quot;&quot;,&quot;non-dropping-particle&quot;:&quot;&quot;},{&quot;family&quot;:&quot;Boon&quot;,&quot;given&quot;:&quot;P A&quot;,&quot;parse-names&quot;:false,&quot;dropping-particle&quot;:&quot;&quot;,&quot;non-dropping-particle&quot;:&quot;&quot;},{&quot;family&quot;:&quot;Hendriksen&quot;,&quot;given&quot;:&quot;J G&quot;,&quot;parse-names&quot;:false,&quot;dropping-particle&quot;:&quot;&quot;,&quot;non-dropping-particle&quot;:&quot;&quot;},{&quot;family&quot;:&quot;Mulder&quot;,&quot;given&quot;:&quot;O G&quot;,&quot;parse-names&quot;:false,&quot;dropping-particle&quot;:&quot;&quot;,&quot;non-dropping-particle&quot;:&quot;&quot;},{&quot;family&quot;:&quot;Aldenkamp&quot;,&quot;given&quot;:&quot;A P&quot;,&quot;parse-names&quot;:false,&quot;dropping-particle&quot;:&quot;&quot;,&quot;non-dropping-particle&quot;:&quot;&quot;}],&quot;container-title&quot;:&quot;Seizure&quot;,&quot;container-title-short&quot;:&quot;Seizure&quot;,&quot;DOI&quot;:&quot;10.1016/j.seizure.2009.06.006&quot;,&quot;ISSN&quot;:&quot;1059-1311&quot;,&quot;PMID&quot;:&quot;19682927&quot;,&quot;issued&quot;:{&quot;date-parts&quot;:[[2009]]},&quot;page&quot;:&quot;543-553&quot;,&quot;language&quot;:&quot;eng&quot;,&quot;abstract&quot;:&quot;In this review we systematically assess our currently available knowledge about psychogenic non-epileptic seizures (PNES) with an emphasis on the psychological mechanisms that underlie PNES, possibilities for psychological treatment as well as prognosis. Relevant studies were identified by searching the electronic databases. Case reports were not considered. 93 papers were identified; 65 of which were studies. An open non-randomized design, comparing patients with PNES to patients with epilepsy is the dominant design. A working definition for PNES is proposed. With respect to psychological etiology, a heterogeneous set of factors have been identified. Not all factors have a similar impact, though. On the basis of this review we propose a model with several factors that may interact in both the development and prolongation of PNES. These factors involve psychological etiology, vulnerability, shaping, as well as triggering and prolongation factors. A necessary first step of intervention in patients with PNES seems to be explaining the diagnosis with care. Although the evidence for the efficacy of additional treatment strategies is limited, variants of cognitive (behavioural) therapy showed to be the preferred type of treatment for most patients. The exact choice of treatment should be based on individual differences in the underlying factors. Outcome can be measured in terms of seizure occurrence (frequency, severity), but other measures might be of greater importance for the patient. Prognosis is unclear but studies consistently report that 1/3rd to 1/4th of the patients become chronic.&quot;,&quot;edition&quot;:&quot;2009/08/18&quot;,&quot;issue&quot;:&quot;8&quot;,&quot;volume&quot;:&quot;18&quot;},&quot;isTemporary&quot;:false}],&quot;citationTag&quot;:&quot;MENDELEY_CITATION_v3_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&quot;},{&quot;citationID&quot;:&quot;MENDELEY_CITATION_9e101aea-072f-491a-a2f0-f47dc4782338&quot;,&quot;properties&quot;:{&quot;noteIndex&quot;:0},&quot;isEdited&quot;:false,&quot;manualOverride&quot;:{&quot;isManuallyOverridden&quot;:false,&quot;citeprocText&quot;:&quot;(Drane et al., 2021)&quot;,&quot;manualOverrideText&quot;:&quot;&quot;},&quot;citationItems&quot;:[{&quot;id&quot;:&quot;52436105-d049-3d34-917f-3b74aa92084c&quot;,&quot;itemData&quot;:{&quot;type&quot;:&quot;article-journal&quot;,&quot;id&quot;:&quot;52436105-d049-3d34-917f-3b74aa92084c&quot;,&quot;title&quot;:&quot;A framework for understanding the pathophysiology of functional neurological disorder&quot;,&quot;author&quot;:[{&quot;family&quot;:&quot;Drane&quot;,&quot;given&quot;:&quot;Daniel L.&quot;,&quot;parse-names&quot;:false,&quot;dropping-particle&quot;:&quot;&quot;,&quot;non-dropping-particle&quot;:&quot;&quot;},{&quot;family&quot;:&quot;Fani&quot;,&quot;given&quot;:&quot;Negar&quot;,&quot;parse-names&quot;:false,&quot;dropping-particle&quot;:&quot;&quot;,&quot;non-dropping-particle&quot;:&quot;&quot;},{&quot;family&quot;:&quot;Hallett&quot;,&quot;given&quot;:&quot;Mark&quot;,&quot;parse-names&quot;:false,&quot;dropping-particle&quot;:&quot;&quot;,&quot;non-dropping-particle&quot;:&quot;&quot;},{&quot;family&quot;:&quot;Khalsa&quot;,&quot;given&quot;:&quot;Sahib S.&quot;,&quot;parse-names&quot;:false,&quot;dropping-particle&quot;:&quot;&quot;,&quot;non-dropping-particle&quot;:&quot;&quot;},{&quot;family&quot;:&quot;Perez&quot;,&quot;given&quot;:&quot;David L.&quot;,&quot;parse-names&quot;:false,&quot;dropping-particle&quot;:&quot;&quot;,&quot;non-dropping-particle&quot;:&quot;&quot;},{&quot;family&quot;:&quot;Roberts&quot;,&quot;given&quot;:&quot;Nicole A.&quot;,&quot;parse-names&quot;:false,&quot;dropping-particle&quot;:&quot;&quot;,&quot;non-dropping-particle&quot;:&quot;&quot;}],&quot;container-title&quot;:&quot;CNS Spectrums&quot;,&quot;container-title-short&quot;:&quot;CNS Spectr&quot;,&quot;accessed&quot;:{&quot;date-parts&quot;:[[2023,4,29]]},&quot;DOI&quot;:&quot;10.1017/S1092852920001789&quot;,&quot;ISSN&quot;:&quot;1092-8529&quot;,&quot;PMID&quot;:&quot;32883381&quot;,&quot;URL&quot;:&quot;https://www.cambridge.org/core/journals/cns-spectrums/article/abs/framework-for-understanding-the-pathophysiology-of-functional-neurological-disorder/C37DBE94BB9BDD90CDEBF7640EAF7D0D&quot;,&quot;issued&quot;:{&quot;date-parts&quot;:[[2021,12,4]]},&quot;page&quot;:&quot;555-561&quot;,&quot;abstract&quot;:&quot;The symptoms of functional neurological disorder (FND) are a product of its pathophysiology. The pathophysiology of FND is reflective of dysfunction within and across different brain circuits that, in turn, affects specific constructs. In this perspective article, we briefly review five constructs that are affected in FND: emotion processing (including salience), agency, attention, interoception, and predictive processing/inference. Examples of underlying neural circuits include salience, multimodal integration, and attention networks. The symptoms of each patient can be described as a combination of dysfunction in several of these networks and related processes. While we have gained a considerable understanding of FND, there is more work to be done, including determining how pathophysiological abnormalities arise as a consequence of etiologic biopsychosocial factors. To facilitate advances in this underserved and important area, we propose a pathophysiology-focused research agenda to engage government-sponsored funding agencies and foundations.&quot;,&quot;publisher&quot;:&quot;Cambridge University Press&quot;,&quot;issue&quot;:&quot;6&quot;,&quot;volume&quot;:&quot;26&quot;},&quot;isTemporary&quot;:false}],&quot;citationTag&quot;:&quot;MENDELEY_CITATION_v3_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&quot;},{&quot;citationID&quot;:&quot;MENDELEY_CITATION_a0a2d84a-1b9f-4992-a0fb-380ec0e36f3f&quot;,&quot;properties&quot;:{&quot;noteIndex&quot;:0},&quot;isEdited&quot;:false,&quot;manualOverride&quot;:{&quot;isManuallyOverridden&quot;:true,&quot;citeprocText&quot;:&quot;(Baslet, 2011)&quot;,&quot;manualOverrideText&quot;:&quot;Baslet (2011),&quot;},&quot;citationItems&quot;:[{&quot;id&quot;:&quot;10f93421-e0c9-3c8a-ae1a-1619daee1a6b&quot;,&quot;itemData&quot;:{&quot;type&quot;:&quot;article-journal&quot;,&quot;id&quot;:&quot;10f93421-e0c9-3c8a-ae1a-1619daee1a6b&quot;,&quot;title&quot;:&quot;Psychogenic non-epileptic seizures: a model of their pathogenic mechanism&quot;,&quot;author&quot;:[{&quot;family&quot;:&quot;Baslet&quot;,&quot;given&quot;:&quot;Gaston&quot;,&quot;parse-names&quot;:false,&quot;dropping-particle&quot;:&quot;&quot;,&quot;non-dropping-particle&quot;:&quot;&quot;}],&quot;container-title&quot;:&quot;Seizure&quot;,&quot;container-title-short&quot;:&quot;Seizure&quot;,&quot;accessed&quot;:{&quot;date-parts&quot;:[[2023,4,29]]},&quot;DOI&quot;:&quot;10.1016/J.SEIZURE.2010.10.032&quot;,&quot;ISSN&quot;:&quot;1532-2688&quot;,&quot;PMID&quot;:&quot;21106406&quot;,&quot;URL&quot;:&quot;https://pubmed.ncbi.nlm.nih.gov/21106406/&quot;,&quot;issued&quot;:{&quot;date-parts&quot;:[[2011,1]]},&quot;page&quot;:&quot;1-13&quot;,&quot;abstract&quot;:&quot;Psychogenic non-epileptic seizures (PNES) consist of paroxystic events facilitated by a dysfunction in emotion processing. Models explaining the pathogenic mechanisms leading to these seizure-like episodes are limited. In this article, evidence that supports dysfunction at the level of arousal tolerance, cognitive-emotional information processing and volitional control is reviewed. A hypothetical pathophysiological mechanism is discussed based on functional neuroimaging evidence from PNES-related conditions and traits. This pathophysiological model suggests an alteration in the influence and connection of brain areas involved in emotion processing onto other brain areas responsible for sensorimotor and cognitive processes. Integrating this information, PNES are conceptualized as brief episodes facilitated by an unstable cognitive-emotional attention system. During the episodes, sensorimotor and cognitive processes are modified or not properly integrated, allowing the deployment of autonomous prewired behavioral tendencies. Finally, I elaborate on how therapeutic applications could be modified based on the proposed hypothetical model, potentially improving clinical outcomes. © 2010 British Epilepsy Association.&quot;,&quot;publisher&quot;:&quot;Seizure&quot;,&quot;issue&quot;:&quot;1&quot;,&quot;volume&quot;:&quot;20&quot;},&quot;isTemporary&quot;:false}],&quot;citationTag&quot;:&quot;MENDELEY_CITATION_v3_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&quot;},{&quot;citationID&quot;:&quot;MENDELEY_CITATION_67a758aa-8bb1-4a51-8589-5019ede5d9cd&quot;,&quot;properties&quot;:{&quot;noteIndex&quot;:0},&quot;isEdited&quot;:false,&quot;manualOverride&quot;:{&quot;isManuallyOverridden&quot;:false,&quot;citeprocText&quot;:&quot;(Drane et al., 2021; Elliott &amp;#38; Charyton, 2014; Ertan et al., 2022; Pick et al., 2019; Reuber, 2009)&quot;,&quot;manualOverrideText&quot;:&quot;&quot;},&quot;citationItems&quot;:[{&quot;id&quot;:&quot;504a2427-a05f-35bd-8423-89f0e84ec6c3&quot;,&quot;itemData&quot;:{&quot;type&quot;:&quot;article-journal&quot;,&quot;id&quot;:&quot;504a2427-a05f-35bd-8423-89f0e84ec6c3&quot;,&quot;title&quot;:&quot;The Etiology of Psychogenic Non-Epileptic Seizures: Toward a Biopsychosocial Model&quot;,&quot;author&quot;:[{&quot;family&quot;:&quot;Reuber&quot;,&quot;given&quot;:&quot;Markus&quot;,&quot;parse-names&quot;:false,&quot;dropping-particle&quot;:&quot;&quot;,&quot;non-dropping-particle&quot;:&quot;&quot;}],&quot;container-title&quot;:&quot;Neurologic Clinics&quot;,&quot;container-title-short&quot;:&quot;Neurol Clin&quot;,&quot;DOI&quot;:&quot;10.1016/j.ncl.2009.06.004&quot;,&quot;ISSN&quot;:&quot;0733-8619&quot;,&quot;URL&quot;:&quot;https://doi.org/10.1016/j.ncl.2009.06.004&quot;,&quot;issued&quot;:{&quot;date-parts&quot;:[[2009]]},&quot;page&quot;:&quot;909-924&quot;,&quot;publisher&quot;:&quot;Elsevier&quot;,&quot;issue&quot;:&quot;4&quot;,&quot;volume&quot;:&quot;27&quot;},&quot;isTemporary&quot;:false},{&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id&quot;:&quot;52436105-d049-3d34-917f-3b74aa92084c&quot;,&quot;itemData&quot;:{&quot;type&quot;:&quot;article-journal&quot;,&quot;id&quot;:&quot;52436105-d049-3d34-917f-3b74aa92084c&quot;,&quot;title&quot;:&quot;A framework for understanding the pathophysiology of functional neurological disorder&quot;,&quot;author&quot;:[{&quot;family&quot;:&quot;Drane&quot;,&quot;given&quot;:&quot;Daniel L.&quot;,&quot;parse-names&quot;:false,&quot;dropping-particle&quot;:&quot;&quot;,&quot;non-dropping-particle&quot;:&quot;&quot;},{&quot;family&quot;:&quot;Fani&quot;,&quot;given&quot;:&quot;Negar&quot;,&quot;parse-names&quot;:false,&quot;dropping-particle&quot;:&quot;&quot;,&quot;non-dropping-particle&quot;:&quot;&quot;},{&quot;family&quot;:&quot;Hallett&quot;,&quot;given&quot;:&quot;Mark&quot;,&quot;parse-names&quot;:false,&quot;dropping-particle&quot;:&quot;&quot;,&quot;non-dropping-particle&quot;:&quot;&quot;},{&quot;family&quot;:&quot;Khalsa&quot;,&quot;given&quot;:&quot;Sahib S.&quot;,&quot;parse-names&quot;:false,&quot;dropping-particle&quot;:&quot;&quot;,&quot;non-dropping-particle&quot;:&quot;&quot;},{&quot;family&quot;:&quot;Perez&quot;,&quot;given&quot;:&quot;David L.&quot;,&quot;parse-names&quot;:false,&quot;dropping-particle&quot;:&quot;&quot;,&quot;non-dropping-particle&quot;:&quot;&quot;},{&quot;family&quot;:&quot;Roberts&quot;,&quot;given&quot;:&quot;Nicole A.&quot;,&quot;parse-names&quot;:false,&quot;dropping-particle&quot;:&quot;&quot;,&quot;non-dropping-particle&quot;:&quot;&quot;}],&quot;container-title&quot;:&quot;CNS Spectrums&quot;,&quot;container-title-short&quot;:&quot;CNS Spectr&quot;,&quot;accessed&quot;:{&quot;date-parts&quot;:[[2023,4,29]]},&quot;DOI&quot;:&quot;10.1017/S1092852920001789&quot;,&quot;ISSN&quot;:&quot;1092-8529&quot;,&quot;PMID&quot;:&quot;32883381&quot;,&quot;URL&quot;:&quot;https://www.cambridge.org/core/journals/cns-spectrums/article/abs/framework-for-understanding-the-pathophysiology-of-functional-neurological-disorder/C37DBE94BB9BDD90CDEBF7640EAF7D0D&quot;,&quot;issued&quot;:{&quot;date-parts&quot;:[[2021,12,4]]},&quot;page&quot;:&quot;555-561&quot;,&quot;abstract&quot;:&quot;The symptoms of functional neurological disorder (FND) are a product of its pathophysiology. The pathophysiology of FND is reflective of dysfunction within and across different brain circuits that, in turn, affects specific constructs. In this perspective article, we briefly review five constructs that are affected in FND: emotion processing (including salience), agency, attention, interoception, and predictive processing/inference. Examples of underlying neural circuits include salience, multimodal integration, and attention networks. The symptoms of each patient can be described as a combination of dysfunction in several of these networks and related processes. While we have gained a considerable understanding of FND, there is more work to be done, including determining how pathophysiological abnormalities arise as a consequence of etiologic biopsychosocial factors. To facilitate advances in this underserved and important area, we propose a pathophysiology-focused research agenda to engage government-sponsored funding agencies and foundations.&quot;,&quot;publisher&quot;:&quot;Cambridge University Press&quot;,&quot;issue&quot;:&quot;6&quot;,&quot;volume&quot;:&quot;26&quot;},&quot;isTemporary&quot;:false},{&quot;id&quot;:&quot;25371e92-a00b-366b-8ba2-94f5faffbf5e&quot;,&quot;itemData&quot;:{&quot;type&quot;:&quot;article-journal&quot;,&quot;id&quot;:&quot;25371e92-a00b-366b-8ba2-94f5faffbf5e&quot;,&quot;title&quot;:&quot;Functional (psychogenic non-epileptic/dissociative) seizures: why and how?&quot;,&quot;author&quot;:[{&quot;family&quot;:&quot;Ertan&quot;,&quot;given&quot;:&quot;Deniz&quot;,&quot;parse-names&quot;:false,&quot;dropping-particle&quot;:&quot;&quot;,&quot;non-dropping-particle&quot;:&quot;&quot;},{&quot;family&quot;:&quot;Aybek&quot;,&quot;given&quot;:&quot;Selma&quot;,&quot;parse-names&quot;:false,&quot;dropping-particle&quot;:&quot;&quot;,&quot;non-dropping-particle&quot;:&quot;&quot;},{&quot;family&quot;:&quot;LaFrance&quot;,&quot;given&quot;:&quot;W. Curt&quot;,&quot;parse-names&quot;:false,&quot;dropping-particle&quot;:&quot;&quot;,&quot;non-dropping-particle&quot;:&quot;&quot;},{&quot;family&quot;:&quot;Kanemoto&quot;,&quot;given&quot;:&quot;Kousuke&quot;,&quot;parse-names&quot;:false,&quot;dropping-particle&quot;:&quot;&quot;,&quot;non-dropping-particle&quot;:&quot;&quot;},{&quot;family&quot;:&quot;Tarrada&quot;,&quot;given&quot;:&quot;Alexis&quot;,&quot;parse-names&quot;:false,&quot;dropping-particle&quot;:&quot;&quot;,&quot;non-dropping-particle&quot;:&quot;&quot;},{&quot;family&quot;:&quot;Maillard&quot;,&quot;given&quot;:&quot;Louis&quot;,&quot;parse-names&quot;:false,&quot;dropping-particle&quot;:&quot;&quot;,&quot;non-dropping-particle&quot;:&quot;&quot;},{&quot;family&quot;:&quot;El-Hage&quot;,&quot;given&quot;:&quot;Wissam&quot;,&quot;parse-names&quot;:false,&quot;dropping-particle&quot;:&quot;&quot;,&quot;non-dropping-particle&quot;:&quot;&quot;},{&quot;family&quot;:&quot;Hingray&quot;,&quot;given&quot;:&quot;Coraline&quot;,&quot;parse-names&quot;:false,&quot;dropping-particle&quot;:&quot;&quot;,&quot;non-dropping-particle&quot;:&quot;&quot;}],&quot;container-title&quot;:&quot;Journal of neurology, neurosurgery, and psychiatry&quot;,&quot;container-title-short&quot;:&quot;J Neurol Neurosurg Psychiatry&quot;,&quot;accessed&quot;:{&quot;date-parts&quot;:[[2023,4,29]]},&quot;DOI&quot;:&quot;10.1136/JNNP-2021-326708&quot;,&quot;ISSN&quot;:&quot;1468-330X&quot;,&quot;PMID&quot;:&quot;34824146&quot;,&quot;URL&quot;:&quot;https://pubmed.ncbi.nlm.nih.gov/34824146/&quot;,&quot;issued&quot;:{&quot;date-parts&quot;:[[2022,2,1]]},&quot;page&quot;:&quot;144-157&quot;,&quot;abstract&quot;:&quot;Functional seizures (FS) known also as psychogenic non-epileptic seizures or dissociative seizures, present with ictal semiological manifestations, along with various comorbid neurological and psychological disorders. Terminology inconsistencies and discrepancies in nomenclatures of FS may reflect limitations in understanding the neuropsychiatric intricacies of this disorder. Psychological and neurobiological processes of FS are incompletely understood. Nevertheless, important advances have been made on underlying neuropsychopathophysiological mechanisms of FS. These advances provide valuable information about the underlying mechanisms of mind-body interactions. From this perspective, this narrative review summarises recent studies about aetiopathogenesis of FS at two levels: possible risk factors (why) and different aetiopathogenic models of FS (how). We divided possible risk factors for FS into three categories, namely neurobiological, psychological and cognitive risk factors. We also presented different models of FS based on psychological and neuroanatomical understanding, multilevel models and integrative understanding of FS. This work should help professionals to better understand current views on the multifactorial mechanisms involved in the development of FS. Shedding light on the different FS profiles in terms of aetiopathogenesis will help guide how best to direct therapy, based on these different underlying mechanisms.&quot;,&quot;publisher&quot;:&quot;J Neurol Neurosurg Psychiatry&quot;,&quot;issue&quot;:&quot;2&quot;,&quot;volume&quot;:&quot;93&quot;},&quot;isTemporary&quot;:false},{&quot;id&quot;:&quot;088041a6-9564-391d-a5d1-eff026da1497&quot;,&quot;itemData&quot;:{&quot;type&quot;:&quot;article-journal&quot;,&quot;id&quot;:&quot;088041a6-9564-391d-a5d1-eff026da1497&quot;,&quot;title&quot;:&quot;Biopsychosocial predictors of psychogenic non-epileptic seizures&quot;,&quot;author&quot;:[{&quot;family&quot;:&quot;Elliott&quot;,&quot;given&quot;:&quot;John O.&quot;,&quot;parse-names&quot;:false,&quot;dropping-particle&quot;:&quot;&quot;,&quot;non-dropping-particle&quot;:&quot;&quot;},{&quot;family&quot;:&quot;Charyton&quot;,&quot;given&quot;:&quot;Christine&quot;,&quot;parse-names&quot;:false,&quot;dropping-particle&quot;:&quot;&quot;,&quot;non-dropping-particle&quot;:&quot;&quot;}],&quot;container-title&quot;:&quot;Epilepsy research&quot;,&quot;container-title-short&quot;:&quot;Epilepsy Res&quot;,&quot;accessed&quot;:{&quot;date-parts&quot;:[[2023,4,29]]},&quot;DOI&quot;:&quot;10.1016/J.EPLEPSYRES.2014.09.003&quot;,&quot;ISSN&quot;:&quot;1872-6844&quot;,&quot;PMID&quot;:&quot;25262500&quot;,&quot;URL&quot;:&quot;https://pubmed.ncbi.nlm.nih.gov/25262500/&quot;,&quot;issued&quot;:{&quot;date-parts&quot;:[[2014,11,1]]},&quot;page&quot;:&quot;1543-1553&quot;,&quot;abstract&quot;:&quot;Background: Previous studies have identified numerous biological, psychological and social characteristics of persons with psychogenic non-epileptic seizures (PNES) however the strength of many of these factors have not been evaluated to determine which are predictive of the diagnosis compared to those that may only be stereotypes with limited clinical utility. Method: A retrospective chart review of persons admitted to our epilepsy monitoring unit over a 6-year period was conducted to examine predictors of a video-EEG confirmed PNES diagnosis. Results: A total of 689 patients had events leading to a diagnosis, 47% (. n=. 324) with PNES only, 12% (. n=. 84) with PNES &amp; Epilepsy and 41% (. n=. 281) with Epilepsy only. Five biological predictors of a PNES only diagnosis were found; number of years with events (OR. =. 1.10), history of head injury (OR. =. 1.91), asthma (OR. =. 2.94), gastro-esophageal reflux disease (OR. =. 1.72) and pain (OR. =. 2.25). One psychological predictor; anxiety (OR. =. 1.72) and two social predictors; being married (OR. =. 1.81) and history of physical/sexual abuse (OR. =. 3.35). Two significant biological predictors of a PNES &amp; Epilepsy diagnosis were found; migraine (OR. =. 1.83) and gastro-esophageal reflux disease (OR. =. 2.17). Conclusions: Our findings support the importance of considering the biopsychosocial model for the diagnosis and treatment of PNES or PNES with concomitant epilepsy.&quot;,&quot;publisher&quot;:&quot;Epilepsy Res&quot;,&quot;issue&quot;:&quot;9&quot;,&quot;volume&quot;:&quot;108&quot;},&quot;isTemporary&quot;:false}],&quot;citationTag&quot;:&quot;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&quot;},{&quot;citationID&quot;:&quot;MENDELEY_CITATION_5186a745-a454-4e01-96a6-6bf5b74f47e3&quot;,&quot;properties&quot;:{&quot;noteIndex&quot;:0},&quot;isEdited&quot;:false,&quot;manualOverride&quot;:{&quot;isManuallyOverridden&quot;:false,&quot;citeprocText&quot;:&quot;(Ludwig et al., 2018)&quot;,&quot;manualOverrideText&quot;:&quot;&quot;},&quot;citationItems&quot;:[{&quot;id&quot;:&quot;5e062b2e-7f86-30cf-a50a-8244523d9d3d&quot;,&quot;itemData&quot;:{&quot;type&quot;:&quot;article-journal&quot;,&quot;id&quot;:&quot;5e062b2e-7f86-30cf-a50a-8244523d9d3d&quot;,&quot;title&quot;:&quot;Stressful life events and maltreatment in conversion (functional neurological) disorder: systematic review and meta-analysis of case-control studies&quot;,&quot;author&quot;:[{&quot;family&quot;:&quot;Ludwig&quot;,&quot;given&quot;:&quot;Lea&quot;,&quot;parse-names&quot;:false,&quot;dropping-particle&quot;:&quot;&quot;,&quot;non-dropping-particle&quot;:&quot;&quot;},{&quot;family&quot;:&quot;Pasman&quot;,&quot;given&quot;:&quot;Joëlle A&quot;,&quot;parse-names&quot;:false,&quot;dropping-particle&quot;:&quot;&quot;,&quot;non-dropping-particle&quot;:&quot;&quot;},{&quot;family&quot;:&quot;Nicholson&quot;,&quot;given&quot;:&quot;Timothy&quot;,&quot;parse-names&quot;:false,&quot;dropping-particle&quot;:&quot;&quot;,&quot;non-dropping-particle&quot;:&quot;&quot;},{&quot;family&quot;:&quot;Aybek&quot;,&quot;given&quot;:&quot;Selma&quot;,&quot;parse-names&quot;:false,&quot;dropping-particle&quot;:&quot;&quot;,&quot;non-dropping-particle&quot;:&quot;&quot;},{&quot;family&quot;:&quot;David&quot;,&quot;given&quot;:&quot;Anthony S&quot;,&quot;parse-names&quot;:false,&quot;dropping-particle&quot;:&quot;&quot;,&quot;non-dropping-particle&quot;:&quot;&quot;},{&quot;family&quot;:&quot;Tuck&quot;,&quot;given&quot;:&quot;Sharon&quot;,&quot;parse-names&quot;:false,&quot;dropping-particle&quot;:&quot;&quot;,&quot;non-dropping-particle&quot;:&quot;&quot;},{&quot;family&quot;:&quot;Kanaan&quot;,&quot;given&quot;:&quot;Richard A&quot;,&quot;parse-names&quot;:false,&quot;dropping-particle&quot;:&quot;&quot;,&quot;non-dropping-particle&quot;:&quot;&quot;},{&quot;family&quot;:&quot;Roelofs&quot;,&quot;given&quot;:&quot;Karin&quot;,&quot;parse-names&quot;:false,&quot;dropping-particle&quot;:&quot;&quot;,&quot;non-dropping-particle&quot;:&quot;&quot;},{&quot;family&quot;:&quot;Carson&quot;,&quot;given&quot;:&quot;Alan&quot;,&quot;parse-names&quot;:false,&quot;dropping-particle&quot;:&quot;&quot;,&quot;non-dropping-particle&quot;:&quot;&quot;},{&quot;family&quot;:&quot;Stone&quot;,&quot;given&quot;:&quot;Jon&quot;,&quot;parse-names&quot;:false,&quot;dropping-particle&quot;:&quot;&quot;,&quot;non-dropping-particle&quot;:&quot;&quot;}],&quot;container-title&quot;:&quot;The Lancet Psychiatry&quot;,&quot;container-title-short&quot;:&quot;Lancet Psychiatry&quot;,&quot;DOI&quot;:&quot;10.1016/s2215-0366(18)30051-8&quot;,&quot;ISSN&quot;:&quot;2215-0366&quot;,&quot;issued&quot;:{&quot;date-parts&quot;:[[2018]]},&quot;page&quot;:&quot;307-320&quot;,&quot;publisher&quot;:&quot;Elsevier BV&quot;,&quot;issue&quot;:&quot;4&quot;,&quot;volume&quot;:&quot;5&quot;},&quot;isTemporary&quot;:false}],&quot;citationTag&quot;:&quot;MENDELEY_CITATION_v3_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&quot;},{&quot;citationID&quot;:&quot;MENDELEY_CITATION_8dc7a2d7-28a6-4a61-b9ad-362fc6656c08&quot;,&quot;properties&quot;:{&quot;noteIndex&quot;:0},&quot;isEdited&quot;:false,&quot;manualOverride&quot;:{&quot;isManuallyOverridden&quot;:false,&quot;citeprocText&quot;:&quot;(Cretton et al., 2020; Keynejad et al., 2019; Szaflarski &amp;#38; LaFrance, 2018; Voon et al., 2016)&quot;,&quot;manualOverrideText&quot;:&quot;&quot;},&quot;citationItems&quot;:[{&quot;id&quot;:&quot;c308057f-bbe3-35cc-8604-fa59d5566391&quot;,&quot;itemData&quot;:{&quot;type&quot;:&quot;article-journal&quot;,&quot;id&quot;:&quot;c308057f-bbe3-35cc-8604-fa59d5566391&quot;,&quot;title&quot;:&quot;What does neuroscience tell us about the conversion model of functional neurological disorders?&quot;,&quot;author&quot;:[{&quot;family&quot;:&quot;Cretton&quot;,&quot;given&quot;:&quot;Alexandre&quot;,&quot;parse-names&quot;:false,&quot;dropping-particle&quot;:&quot;&quot;,&quot;non-dropping-particle&quot;:&quot;&quot;},{&quot;family&quot;:&quot;Brown&quot;,&quot;given&quot;:&quot;Richard J.&quot;,&quot;parse-names&quot;:false,&quot;dropping-particle&quot;:&quot;&quot;,&quot;non-dropping-particle&quot;:&quot;&quot;},{&quot;family&quot;:&quot;Lafrance&quot;,&quot;given&quot;:&quot;W. Curt&quot;,&quot;parse-names&quot;:false,&quot;dropping-particle&quot;:&quot;&quot;,&quot;non-dropping-particle&quot;:&quot;&quot;},{&quot;family&quot;:&quot;Aybek&quot;,&quot;given&quot;:&quot;Selma&quot;,&quot;parse-names&quot;:false,&quot;dropping-particle&quot;:&quot;&quot;,&quot;non-dropping-particle&quot;:&quot;&quot;}],&quot;container-title&quot;:&quot;Journal of Neuropsychiatry and Clinical Neurosciences&quot;,&quot;accessed&quot;:{&quot;date-parts&quot;:[[2023,4,28]]},&quot;DOI&quot;:&quot;10.1176/APPI.NEUROPSYCH.19040089/ASSET/IMAGES/LARGE/APPI.NEUROPSYCH.19040089F2.JPEG&quot;,&quot;ISSN&quot;:&quot;15457222&quot;,&quot;PMID&quot;:&quot;31619119&quot;,&quot;URL&quot;:&quot;https://neuro.psychiatryonline.org/doi/10.1176/appi.neuropsych.19040089&quot;,&quot;issued&quot;:{&quot;date-parts&quot;:[[2020,10,17]]},&quot;page&quot;:&quot;24-32&quot;,&quot;abstract&quot;:&quot;A dualistic mind-body understanding of functional neurological disorders (FNDs), also known as conversion disorders, has led to the view that the cause of the symptom should be either psychological (psychogenic) or physical (neurogenic-“organic”). One of the most influential psychological approaches is the Freudian model of conversion, which suggests that FNDs arise from a defense process in which emotional stress is converted into physical symptoms. This conversion theory has been challenged in recent years, accompanied by a shift in emphasis toward neuro-pathophysiological models of FND and away from historical psychological concepts. In this review, the authors consider the contemporary relevance of the conversion model from the neuroscientific perspective to reconcile the role of both psychological and biological factors in FND. A narrative review of recent neuroscientific findings pertaining to the conversion model of FND, encompassing neuroimaging, cognitive psychology, biological markers, and epigenetic studies, was performed. Research on the role of psychological stressors is discussed. Neurobiological mechanisms of repression of traumatic memories and their translation into physical symptoms are then explored. Finally, the role of physical symptoms as a potential protective defense mechanism against social stressors is considered. The authors argue that the conversion concept is consistent with recent neuroscientific research findings, and the model allows psychological and neurobiological concepts to be reconciled within a single account of FND that begins to resolve the dualistic mind-body dichotomy.&quot;,&quot;publisher&quot;:&quot;American Psychiatric Association&quot;,&quot;issue&quot;:&quot;1&quot;,&quot;volume&quot;:&quot;32&quot;,&quot;container-title-short&quot;:&quot;&quot;},&quot;isTemporary&quot;:false},{&quot;id&quot;:&quot;e669209b-f747-38d3-9e80-ac673fcbb25e&quot;,&quot;itemData&quot;:{&quot;type&quot;:&quot;article-journal&quot;,&quot;id&quot;:&quot;e669209b-f747-38d3-9e80-ac673fcbb25e&quot;,&quot;title&quot;:&quot;Psychogenic Nonepileptic Seizures (PNES) as a network disorder - Evidence from neuroimaging of functional (psychogenic) neurological disorders&quot;,&quot;author&quot;:[{&quot;family&quot;:&quot;Szaflarski&quot;,&quot;given&quot;:&quot;Jerzy P.&quot;,&quot;parse-names&quot;:false,&quot;dropping-particle&quot;:&quot;&quot;,&quot;non-dropping-particle&quot;:&quot;&quot;},{&quot;family&quot;:&quot;LaFrance&quot;,&quot;given&quot;:&quot;W. Curt&quot;,&quot;parse-names&quot;:false,&quot;dropping-particle&quot;:&quot;&quot;,&quot;non-dropping-particle&quot;:&quot;&quot;}],&quot;container-title&quot;:&quot;Epilepsy Currents&quot;,&quot;container-title-short&quot;:&quot;Epilepsy Curr&quot;,&quot;accessed&quot;:{&quot;date-parts&quot;:[[2023,4,28]]},&quot;DOI&quot;:&quot;10.5698/1535-7597.18.4.211/ASSET/IMAGES/LARGE/10.5698_1535-7597.18.4.211-FIG1.JPEG&quot;,&quot;ISSN&quot;:&quot;15357511&quot;,&quot;URL&quot;:&quot;https://journals.sagepub.com/doi/10.5698/1535-7597.18.4.211&quot;,&quot;issued&quot;:{&quot;date-parts&quot;:[[2018,7,1]]},&quot;page&quot;:&quot;211-216&quot;,&quot;publisher&quot;:&quot;American Epilepsy Society&quot;,&quot;issue&quot;:&quot;4&quot;,&quot;volume&quot;:&quot;18&quot;},&quot;isTemporary&quot;:false},{&quot;id&quot;:&quot;a80cc922-b6b8-3f52-91c9-e06dc2349d66&quot;,&quot;itemData&quot;:{&quot;type&quot;:&quot;article-journal&quot;,&quot;id&quot;:&quot;a80cc922-b6b8-3f52-91c9-e06dc2349d66&quot;,&quot;title&quot;:&quot;Stress and functional neurological disorders: mechanistic insights&quot;,&quot;author&quot;:[{&quot;family&quot;:&quot;Keynejad&quot;,&quot;given&quot;:&quot;Roxanne C.&quot;,&quot;parse-names&quot;:false,&quot;dropping-particle&quot;:&quot;&quot;,&quot;non-dropping-particle&quot;:&quot;&quot;},{&quot;family&quot;:&quot;Frodl&quot;,&quot;given&quot;:&quot;Thomas&quot;,&quot;parse-names&quot;:false,&quot;dropping-particle&quot;:&quot;&quot;,&quot;non-dropping-particle&quot;:&quot;&quot;},{&quot;family&quot;:&quot;Kanaan&quot;,&quot;given&quot;:&quot;Richard&quot;,&quot;parse-names&quot;:false,&quot;dropping-particle&quot;:&quot;&quot;,&quot;non-dropping-particle&quot;:&quot;&quot;},{&quot;family&quot;:&quot;Pariante&quot;,&quot;given&quot;:&quot;Carmine&quot;,&quot;parse-names&quot;:false,&quot;dropping-particle&quot;:&quot;&quot;,&quot;non-dropping-particle&quot;:&quot;&quot;},{&quot;family&quot;:&quot;Reuber&quot;,&quot;given&quot;:&quot;Markus&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 Psychiatry&quot;,&quot;container-title-short&quot;:&quot;J Neurol Neurosurg Psychiatry&quot;,&quot;accessed&quot;:{&quot;date-parts&quot;:[[2023,4,28]]},&quot;DOI&quot;:&quot;10.1136/JNNP-2018-318297&quot;,&quot;ISSN&quot;:&quot;0022-3050&quot;,&quot;PMID&quot;:&quot;30409887&quot;,&quot;URL&quot;:&quot;https://jnnp.bmj.com/content/90/7/813&quot;,&quot;issued&quot;:{&quot;date-parts&quot;:[[2019,7,1]]},&quot;page&quot;:&quot;813-821&quot;,&quot;abstract&quot;:&quot;At the interface between mind and body, psychiatry and neurology, functional neurological disorder (FND) remains poorly understood. Formerly dominant stress-related aetiological models have been increasingly challenged, in part due to cases without any history of past or recent trauma. In this perspective article, we review current evidence for such models, and how research into the role of traumatic stress in other disorders and the neurobiology of the stress response can inform our mechanistic understanding of FND. First, we discuss the association between stress and the onset or exacerbation of a variety of physical and mental health problems. Second, we review the role of hypothalamic-pituitary-adrenal axis dysfunction in the neurobiology of ill-health, alongside evidence for similar mechanisms in FND. Third, we advocate a stress-diathesis model, in which biological susceptibility interacts with early life adversity, where FND can be precipitated by traumatic events later in life and maintained by psychological responses. We hypothesise that greater biological susceptibility to FND is associated with less severe remote and recent stress, and that FND precipitated by more severe stress is associated with lower biological vulnerability. This would explain clinical experience of variable exposure to historical and recent traumatic stress among people with FND and requires empirical investigation. A testable, evidence-based stress-diathesis model can inform nuanced understanding of how biological and psychological factors interact at the individual level, with potential to inform personalised treatment pathways. Much-needed research to establish the aetiology of FND will enhance clinical care and communication, facilitate effective treatment and inform prevention strategies.&quot;,&quot;publisher&quot;:&quot;BMJ Publishing Group Ltd&quot;,&quot;issue&quot;:&quot;7&quot;,&quot;volume&quot;:&quot;90&quot;},&quot;isTemporary&quot;:false},{&quot;id&quot;:&quot;f42f875d-9387-3285-a707-be13e67a7059&quot;,&quot;itemData&quot;:{&quot;type&quot;:&quot;article-journal&quot;,&quot;id&quot;:&quot;f42f875d-9387-3285-a707-be13e67a7059&quot;,&quot;title&quot;:&quot;Functional neuroanatomy and neurophysiology of functional neurological disorders (Conversion disorder)&quot;,&quot;author&quot;:[{&quot;family&quot;:&quot;Voon&quot;,&quot;given&quot;:&quot;Valerie&quot;,&quot;parse-names&quot;:false,&quot;dropping-particle&quot;:&quot;&quot;,&quot;non-dropping-particle&quot;:&quot;&quot;},{&quot;family&quot;:&quot;Cavanna&quot;,&quot;given&quot;:&quot;Andrea E.&quot;,&quot;parse-names&quot;:false,&quot;dropping-particle&quot;:&quot;&quot;,&quot;non-dropping-particle&quot;:&quot;&quot;},{&quot;family&quot;:&quot;Coburn&quot;,&quot;given&quot;:&quot;Kerry&quot;,&quot;parse-names&quot;:false,&quot;dropping-particle&quot;:&quot;&quot;,&quot;non-dropping-particle&quot;:&quot;&quot;},{&quot;family&quot;:&quot;Sampson&quot;,&quot;given&quot;:&quot;Shirlene&quot;,&quot;parse-names&quot;:false,&quot;dropping-particle&quot;:&quot;&quot;,&quot;non-dropping-particle&quot;:&quot;&quot;},{&quot;family&quot;:&quot;Reeve&quot;,&quot;given&quot;:&quot;Alya&quot;,&quot;parse-names&quot;:false,&quot;dropping-particle&quot;:&quot;&quot;,&quot;non-dropping-particle&quot;:&quot;&quot;},{&quot;family&quot;:&quot;Curt Lafrance&quot;,&quot;given&quot;:&quot;W.&quot;,&quot;parse-names&quot;:false,&quot;dropping-particle&quot;:&quot;&quot;,&quot;non-dropping-particle&quot;:&quot;&quot;}],&quot;container-title&quot;:&quot;Journal of Neuropsychiatry and Clinical Neurosciences&quot;,&quot;accessed&quot;:{&quot;date-parts&quot;:[[2023,4,28]]},&quot;DOI&quot;:&quot;10.1176/APPI.NEUROPSYCH.14090217/ASSET/IMAGES/LARGE/APPI.NEUROPSYCH.14090217F2.JPEG&quot;,&quot;ISSN&quot;:&quot;15457222&quot;,&quot;PMID&quot;:&quot;26900733&quot;,&quot;URL&quot;:&quot;https://neuro.psychiatryonline.org/doi/10.1176/appi.neuropsych.14090217&quot;,&quot;issued&quot;:{&quot;date-parts&quot;:[[2016,2,22]]},&quot;page&quot;:&quot;168-190&quot;,&quot;abstract&quot;:&quot;Much is known regarding the physical characteristics, comorbid symptoms, psychological makeup, and neuropsychological performance of patients with functional neurological disorders (FNDs)/conversion disorders. Gross neurostructural deficits do not account for the patients’ deficits or symptoms. This review describes the literature focusing on potential neurobiological (i.e. functional neuroanatomic/neurophysiological) findings among individuals with FND, examining neuroimaging and neurophysiological studies of patients with the various forms of motor and sensory FND. In summary, neural networks and neurophysiologic mechanisms may mediate “functional” symptoms, reflecting neurobiological and intrapsychic processes.&quot;,&quot;publisher&quot;:&quot;American Psychiatric Association&quot;,&quot;issue&quot;:&quot;3&quot;,&quot;volume&quot;:&quot;28&quot;,&quot;container-title-short&quot;:&quot;&quot;},&quot;isTemporary&quot;:false}],&quot;citationTag&quot;:&quot;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&quot;},{&quot;citationID&quot;:&quot;MENDELEY_CITATION_33691b17-7824-4b1f-b0a2-361be47be4ae&quot;,&quot;properties&quot;:{&quot;noteIndex&quot;:0},&quot;isEdited&quot;:false,&quot;manualOverride&quot;:{&quot;isManuallyOverridden&quot;:false,&quot;citeprocText&quot;:&quot;(Diez et al., 2019)&quot;,&quot;manualOverrideText&quot;:&quot;&quot;},&quot;citationItems&quot;:[{&quot;id&quot;:&quot;b72754a3-3902-3c72-852d-811c55bfed77&quot;,&quot;itemData&quot;:{&quot;type&quot;:&quot;article-journal&quot;,&quot;id&quot;:&quot;b72754a3-3902-3c72-852d-811c55bfed77&quot;,&quot;title&quot;:&quot;Corticolimbic fast-tracking: enhanced multimodal integration in functional neurological disorder&quot;,&quot;author&quot;:[{&quot;family&quot;:&quot;Diez&quot;,&quot;given&quot;:&quot;Ibai&quot;,&quot;parse-names&quot;:false,&quot;dropping-particle&quot;:&quot;&quot;,&quot;non-dropping-particle&quot;:&quot;&quot;},{&quot;family&quot;:&quot;Ortiz-Terán&quot;,&quot;given&quot;:&quot;Laura&quot;,&quot;parse-names&quot;:false,&quot;dropping-particle&quot;:&quot;&quot;,&quot;non-dropping-particle&quot;:&quot;&quot;},{&quot;family&quot;:&quot;Williams&quot;,&quot;given&quot;:&quot;Benjamin&quot;,&quot;parse-names&quot;:false,&quot;dropping-particle&quot;:&quot;&quot;,&quot;non-dropping-particle&quot;:&quot;&quot;},{&quot;family&quot;:&quot;Jalilianhasanpour&quot;,&quot;given&quot;:&quot;Rozita&quot;,&quot;parse-names&quot;:false,&quot;dropping-particle&quot;:&quot;&quot;,&quot;non-dropping-particle&quot;:&quot;&quot;},{&quot;family&quot;:&quot;Ospina&quot;,&quot;given&quot;:&quot;Juan Pablo&quot;,&quot;parse-names&quot;:false,&quot;dropping-particle&quot;:&quot;&quot;,&quot;non-dropping-particle&quot;:&quot;&quot;},{&quot;family&quot;:&quot;Dickerson&quot;,&quot;given&quot;:&quot;Bradford C&quot;,&quot;parse-names&quot;:false,&quot;dropping-particle&quot;:&quot;&quot;,&quot;non-dropping-particle&quot;:&quot;&quot;},{&quot;family&quot;:&quot;Keshavan&quot;,&quot;given&quot;:&quot;Matcheri S&quot;,&quot;parse-names&quot;:false,&quot;dropping-particle&quot;:&quot;&quot;,&quot;non-dropping-particle&quot;:&quot;&quot;},{&quot;family&quot;:&quot;LaFrance Jr&quot;,&quot;given&quot;:&quot;W Curt&quot;,&quot;parse-names&quot;:false,&quot;dropping-particle&quot;:&quot;&quot;,&quot;non-dropping-particle&quot;:&quot;&quot;},{&quot;family&quot;:&quot;Sepulcre&quot;,&quot;given&quot;:&quot;Jorge&quot;,&quot;parse-names&quot;:false,&quot;dropping-particle&quot;:&quot;&quot;,&quot;non-dropping-particle&quot;:&quot;&quot;},{&quot;family&quot;:&quot;Perez&quot;,&quot;given&quot;:&quot;David L&quot;,&quot;parse-names&quot;:false,&quot;dropping-particle&quot;:&quot;&quot;,&quot;non-dropping-particle&quot;:&quot;&quot;}],&quot;container-title&quot;:&quot;Journal of Neurology, Neurosurgery &amp;amp;amp; Psychiatry&quot;,&quot;DOI&quot;:&quot;10.1136/jnnp-2018-319657&quot;,&quot;URL&quot;:&quot;http://jnnp.bmj.com/content/90/8/929.abstract&quot;,&quot;issued&quot;:{&quot;date-parts&quot;:[[2019]]},&quot;page&quot;:&quot;929&quot;,&quot;abstract&quot;:&quot;Objective Some individuals with functional neurological disorder (FND) exhibit motor and affective disturbances, along with limbic hyper-reactivity and enhanced motor-limbic connectivity. Given that the multimodal integration network (insula, dorsal cingulate, temporoparietal junction (TPJ)) is implicated in convergent sensorimotor, affective and interoceptive processing, we hypothesised that patients with FND would exhibit altered motor and amygdalar resting-state propagation to this network. Patient-reported symptom severity and clinical outcome were also hypothesised to map onto multimodal integration areas.Methods Between-group differences in primary motor and amygdalar nuclei (laterobasal, centromedial) were examined using graph-theory stepwise functional connectivity (SFC) in 30 patients with motor FND compared with 30 healthy controls. Within-group analyses correlated functional propagation profiles with symptom severity and prospectively collected 6-month outcomes as measured by the Screening for Somatoform Symptoms Conversion Disorder subscale and Patient Health Questionnaire-15 composite score. Findings were clusterwise corrected for multiple comparisons.Results Compared with controls, patients with FND exhibited increased SFC from motor regions to the bilateral posterior insula, TPJ, middle cingulate cortex and putamen. From the right laterobasal amygdala, the FND cohort showed enhanced connectivity to the left anterior insula, periaqueductal grey and hypothalamus among other areas. In within-group analyses, symptom severity correlated with enhanced SFC from the left anterior insula to the right anterior insula and TPJ; increased SFC from the left centromedial amygdala to the right anterior insula correlated with clinical improvement. Within-group associations held controlling for depression, anxiety and antidepressant use.Conclusions These neuroimaging findings suggest potential candidate neurocircuit pathways in the pathophysiology of FND.&quot;,&quot;issue&quot;:&quot;8&quot;,&quot;volume&quot;:&quot;90&quot;,&quot;container-title-short&quot;:&quot;&quot;},&quot;isTemporary&quot;:false}],&quot;citationTag&quot;:&quot;MENDELEY_CITATION_v3_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&quot;},{&quot;citationID&quot;:&quot;MENDELEY_CITATION_950837b7-6040-4c56-9879-924266657500&quot;,&quot;properties&quot;:{&quot;noteIndex&quot;:0},&quot;isEdited&quot;:false,&quot;manualOverride&quot;:{&quot;isManuallyOverridden&quot;:true,&quot;citeprocText&quot;:&quot;(Perez et al., 2017)&quot;,&quot;manualOverrideText&quot;:&quot;(Perez, Matin, et al., 2017)&quot;},&quot;citationItems&quot;:[{&quot;id&quot;:&quot;659ff376-10fc-3c8a-96b6-a700461a2cbe&quot;,&quot;itemData&quot;:{&quot;type&quot;:&quot;article-journal&quot;,&quot;id&quot;:&quot;659ff376-10fc-3c8a-96b6-a700461a2cbe&quot;,&quot;title&quot;:&quot;Cingulo-insular structural alterations associated with psychogenic symptoms, childhood abuse and PTSD in functional neurological disorders&quot;,&quot;author&quot;:[{&quot;family&quot;:&quot;Perez&quot;,&quot;given&quot;:&quot;D L&quot;,&quot;parse-names&quot;:false,&quot;dropping-particle&quot;:&quot;&quot;,&quot;non-dropping-particle&quot;:&quot;&quot;},{&quot;family&quot;:&quot;Matin&quot;,&quot;given&quot;:&quot;N&quot;,&quot;parse-names&quot;:false,&quot;dropping-particle&quot;:&quot;&quot;,&quot;non-dropping-particle&quot;:&quot;&quot;},{&quot;family&quot;:&quot;Barsky&quot;,&quot;given&quot;:&quot;A&quot;,&quot;parse-names&quot;:false,&quot;dropping-particle&quot;:&quot;&quot;,&quot;non-dropping-particle&quot;:&quot;&quot;},{&quot;family&quot;:&quot;Costumero-Ramos&quot;,&quot;given&quot;:&quot;V&quot;,&quot;parse-names&quot;:false,&quot;dropping-particle&quot;:&quot;&quot;,&quot;non-dropping-particle&quot;:&quot;&quot;},{&quot;family&quot;:&quot;Makaretz&quot;,&quot;given&quot;:&quot;S J&quot;,&quot;parse-names&quot;:false,&quot;dropping-particle&quot;:&quot;&quot;,&quot;non-dropping-particle&quot;:&quot;&quot;},{&quot;family&quot;:&quot;Young&quot;,&quot;given&quot;:&quot;S S&quot;,&quot;parse-names&quot;:false,&quot;dropping-particle&quot;:&quot;&quot;,&quot;non-dropping-particle&quot;:&quot;&quot;},{&quot;family&quot;:&quot;Sepulcre&quot;,&quot;given&quot;:&quot;J&quot;,&quot;parse-names&quot;:false,&quot;dropping-particle&quot;:&quot;&quot;,&quot;non-dropping-particle&quot;:&quot;&quot;},{&quot;family&quot;:&quot;LaFrance Jr.&quot;,&quot;given&quot;:&quot;W C&quot;,&quot;parse-names&quot;:false,&quot;dropping-particle&quot;:&quot;&quot;,&quot;non-dropping-particle&quot;:&quot;&quot;},{&quot;family&quot;:&quot;Keshavan&quot;,&quot;given&quot;:&quot;M S&quot;,&quot;parse-names&quot;:false,&quot;dropping-particle&quot;:&quot;&quot;,&quot;non-dropping-particle&quot;:&quot;&quot;},{&quot;family&quot;:&quot;Dickerson&quot;,&quot;given&quot;:&quot;B C&quot;,&quot;parse-names&quot;:false,&quot;dropping-particle&quot;:&quot;&quot;,&quot;non-dropping-particle&quot;:&quot;&quot;}],&quot;container-title&quot;:&quot;J Neurol Neurosurg Psychiatry&quot;,&quot;DOI&quot;:&quot;10.1136/jnnp-2016-314998&quot;,&quot;ISSN&quot;:&quot;0022-3050&quot;,&quot;PMID&quot;:&quot;28416565&quot;,&quot;issued&quot;:{&quot;date-parts&quot;:[[2017]]},&quot;page&quot;:&quot;491-497&quot;,&quot;language&quot;:&quot;eng&quot;,&quot;abstract&quot;:&quot;OBJECTIVE: Adverse early-life events are predisposing factors for functional neurological disorder (FND) and post-traumatic stress disorder (PTSD). Cingulo-insular regions are implicated in the biology of both conditions and are sites of stress-mediated neuroplasticity. We hypothesised that functional neurological symptoms and the magnitude of childhood abuse would be associated with overlapping anterior cingulate cortex (ACC) and insular volumetric reductions, and that FND and PTSD symptoms would map onto distinct cingulo-insular areas. METHODS: This within-group voxel-based morphometry study probes volumetric associations with self-report measures of functional neurological symptoms, adverse life events and PTSD symptoms in 23 mixed-gender FND patients. Separate secondary analyses were also performed in the subset of 18 women with FND to account for gender-specific effects. RESULTS: Across the entire cohort, there were no statistically significant volumetric associations with self-report measures of functional neurological symptom severity or childhood abuse. In women with FND, however, parallel inverse associations were observed between left anterior insular volume and functional neurological symptoms as measured by the Patient Health Questionnaire-15 and the Screening for Somatoform Symptoms Conversion Disorder subscale. Similar inverse relationships were also appreciated between childhood abuse burden and left anterior insular volume. Across all subjects, PTSD symptom severity was inversely associated with dorsal ACC volume, and the magnitude of lifetime adverse events was inversely associated with left hippocampal volume. CONCLUSIONS: This study reveals distinct cingulo-insular alterations for FND and PTSD symptoms and may advance our understanding of FND. Potential biological convergence between stress-related neuroplasticity, functional neurological symptoms and reduced insular volume was identified.&quot;,&quot;edition&quot;:&quot;2017/04/19&quot;,&quot;issue&quot;:&quot;6&quot;,&quot;volume&quot;:&quot;88&quot;,&quot;container-title-short&quot;:&quot;&quot;},&quot;isTemporary&quot;:false}],&quot;citationTag&quot;:&quot;MENDELEY_CITATION_v3_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&quot;},{&quot;citationID&quot;:&quot;MENDELEY_CITATION_ff63d987-696f-40a7-80fa-343000e13c9e&quot;,&quot;properties&quot;:{&quot;noteIndex&quot;:0},&quot;isEdited&quot;:false,&quot;manualOverride&quot;:{&quot;isManuallyOverridden&quot;:false,&quot;citeprocText&quot;:&quot;(Pick, Rojas-Aguiluz, et al., 2020; Ricciardi et al., 2016; I. A. Williams et al., 2021)&quot;,&quot;manualOverrideText&quot;:&quot;&quot;},&quot;citationItems&quot;:[{&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id&quot;:&quot;b70aa524-e3f4-36bb-8d7e-d4df2e3d816e&quot;,&quot;itemData&quot;:{&quot;type&quot;:&quot;article-journal&quot;,&quot;id&quot;:&quot;b70aa524-e3f4-36bb-8d7e-d4df2e3d816e&quot;,&quot;title&quot;:&quot;Interoception and stress in patients with Functional Neurological Symptom Disorder&quot;,&quot;author&quot;:[{&quot;family&quot;:&quot;Williams&quot;,&quot;given&quot;:&quot;Isobel A&quot;,&quot;parse-names&quot;:false,&quot;dropping-particle&quot;:&quot;&quot;,&quot;non-dropping-particle&quot;:&quot;&quot;},{&quot;family&quot;:&quot;Reuber&quot;,&quot;given&quot;:&quot;Markus&quot;,&quot;parse-names&quot;:false,&quot;dropping-particle&quot;:&quot;&quot;,&quot;non-dropping-particle&quot;:&quot;&quot;},{&quot;family&quot;:&quot;Levita&quot;,&quot;given&quot;:&quot;Liat&quot;,&quot;parse-names&quot;:false,&quot;dropping-particle&quot;:&quot;&quot;,&quot;non-dropping-particle&quot;:&quot;&quot;}],&quot;container-title&quot;:&quot;Cognitive Neuropsychiatry&quot;,&quot;container-title-short&quot;:&quot;Cogn Neuropsychiatry&quot;,&quot;DOI&quot;:&quot;10.1080/13546805.2020.1865895&quot;,&quot;ISSN&quot;:&quot;1354-6805&quot;,&quot;issued&quot;:{&quot;date-parts&quot;:[[2021]]},&quot;page&quot;:&quot;75-94&quot;,&quot;publisher&quot;:&quot;Informa UK Limited&quot;,&quot;issue&quot;:&quot;2&quot;,&quot;volume&quot;:&quot;26&quot;},&quot;isTemporary&quot;:false},{&quot;id&quot;:&quot;fa7aca02-06ff-3659-a9ba-78805ce2800d&quot;,&quot;itemData&quot;:{&quot;type&quot;:&quot;article-journal&quot;,&quot;id&quot;:&quot;fa7aca02-06ff-3659-a9ba-78805ce2800d&quot;,&quot;title&quot;:&quot;Dissociation and interoception in functional neurological disorder&quot;,&quot;author&quot;:[{&quot;family&quot;:&quot;Pick&quot;,&quot;given&quot;:&quot;Susannah&quot;,&quot;parse-names&quot;:false,&quot;dropping-particle&quot;:&quot;&quot;,&quot;non-dropping-particle&quot;:&quot;&quot;},{&quot;family&quot;:&quot;Rojas-Aguiluz&quot;,&quot;given&quot;:&quot;Maya&quot;,&quot;parse-names&quot;:false,&quot;dropping-particle&quot;:&quot;&quot;,&quot;non-dropping-particle&quot;:&quot;&quot;},{&quot;family&quot;:&quot;Butler&quot;,&quot;given&quot;:&quot;Morgan&quot;,&quot;parse-names&quot;:false,&quot;dropping-particle&quot;:&quot;&quot;,&quot;non-dropping-particle&quot;:&quot;&quot;},{&quot;family&quot;:&quot;Mulrenan&quot;,&quot;given&quot;:&quot;Heather&quot;,&quot;parse-names&quot;:false,&quot;dropping-particle&quot;:&quot;&quot;,&quot;non-dropping-particle&quot;:&quot;&quot;},{&quot;family&quot;:&quot;Nicholson&quot;,&quot;given&quot;:&quot;Timothy R.&quot;,&quot;parse-names&quot;:false,&quot;dropping-particle&quot;:&quot;&quot;,&quot;non-dropping-particle&quot;:&quot;&quot;},{&quot;family&quot;:&quot;Goldstein&quot;,&quot;given&quot;:&quot;Laura H.&quot;,&quot;parse-names&quot;:false,&quot;dropping-particle&quot;:&quot;&quot;,&quot;non-dropping-particle&quot;:&quot;&quot;}],&quot;container-title&quot;:&quot;Cognitive Neuropsychiatry&quot;,&quot;container-title-short&quot;:&quot;Cogn Neuropsychiatry&quot;,&quot;accessed&quot;:{&quot;date-parts&quot;:[[2023,4,30]]},&quot;DOI&quot;:&quot;10.1080/13546805.2020.1791061/SUPPL_FILE/PCNP_A_1791061_SM9898.DOCX&quot;,&quot;ISSN&quot;:&quot;14640619&quot;,&quot;PMID&quot;:&quot;32635804&quot;,&quot;URL&quot;:&quot;https://www.tandfonline.com/doi/abs/10.1080/13546805.2020.1791061&quot;,&quot;issued&quot;:{&quot;date-parts&quot;:[[2020]]},&quot;page&quot;:&quot;294-311&quot;,&quot;abstract&quot;:&quot;Introduction: We aimed to examine susceptibility to dissociation and the impact of dissociation on interoceptive processing in individuals with functional neurological disorder (FND). We hypothesised that dissociative states would be elevated and interoceptive accuracy and awareness impaired at baseline in people with FND, and that such differences would be exacerbated following acute dissociation. Methods: Nineteen adults with FND were compared to 20 healthy controls. A modified heart-beat tracking task measured interoceptive accuracy and awareness (confidence) before and after a validated dissociation induction procedure. An exteroceptive processing control task was included. Mann–Whitney tests and r-values (effect size) were computed for between-group comparisons. Results: The FND group displayed elevated dissociation at baseline (p = 0.001, r = 0.528) compared to controls which increased following dissociation-induction (p &lt; 0.001, r = 0.663). Interoceptive accuracy did not differ between groups at baseline (p = 0.967, r = 0.009); however, the FND group had lower accuracy scores post-induction (p = 0.021, r = 0.379). A negative correlation (trend) between change scores for dissociation and interoceptive accuracy was noted (rs = −0.411, p = 0.057). Confidence ratings on interoceptive and exteroceptive processing tasks were lower in the FND group (p-values &lt; 0.05 or &lt;0.01, r-values 0.331–0.489). Conclusions: Individuals with FND experienced greater susceptibility to dissociation, metacognitive deficits and impaired interoceptive accuracy than controls after acute dissociation.&quot;,&quot;publisher&quot;:&quot;Routledge&quot;},&quot;isTemporary&quot;:false}],&quot;citationTag&quot;:&quot;MENDELEY_CITATION_v3_eyJjaXRhdGlvbklEIjoiTUVOREVMRVlfQ0lUQVRJT05fZmY2M2Q5ODctNjk2Zi00MGE3LTgwZmEtMzQzMDAwZTEzYzllIiwicHJvcGVydGllcyI6eyJub3RlSW5kZXgiOjB9LCJpc0VkaXRlZCI6ZmFsc2UsIm1hbnVhbE92ZXJyaWRlIjp7ImlzTWFudWFsbHlPdmVycmlkZGVuIjpmYWxzZSwiY2l0ZXByb2NUZXh0IjoiKFBpY2ssIFJvamFzLUFndWlsdXosIGV0IGFsLiwgMjAyMDsgUmljY2lhcmRpIGV0IGFsLiwgMjAxNjsgSS4gQS4gV2lsbGlhbXMgZXQgYWwuLCAyMDIxKSIsIm1hbnVhbE92ZXJyaWRlVGV4dCI6IiJ9LCJjaXRhdGlvbkl0ZW1zIjpb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&quot;},{&quot;citationID&quot;:&quot;MENDELEY_CITATION_7fba4f33-2390-4bef-bc5a-d10d9e223631&quot;,&quot;properties&quot;:{&quot;noteIndex&quot;:0},&quot;isEdited&quot;:false,&quot;manualOverride&quot;:{&quot;isManuallyOverridden&quot;:false,&quot;citeprocText&quot;:&quot;(Maurer et al., 2016; Nahab et al., 2017)&quot;,&quot;manualOverrideText&quot;:&quot;&quot;},&quot;citationItems&quot;:[{&quot;id&quot;:&quot;ad8c353d-d90c-326e-af7b-34cee3268d35&quot;,&quot;itemData&quot;:{&quot;type&quot;:&quot;article-journal&quot;,&quot;id&quot;:&quot;ad8c353d-d90c-326e-af7b-34cee3268d35&quot;,&quot;title&quot;:&quot;Impaired sense of agency in functional movement disorders: An fMRI study&quot;,&quot;author&quot;:[{&quot;family&quot;:&quot;Nahab&quot;,&quot;given&quot;:&quot;Fatta B.&quot;,&quot;parse-names&quot;:false,&quot;dropping-particle&quot;:&quot;&quot;,&quot;non-dropping-particle&quot;:&quot;&quot;},{&quot;family&quot;:&quot;Kundu&quot;,&quot;given&quot;:&quot;Prantik&quot;,&quot;parse-names&quot;:false,&quot;dropping-particle&quot;:&quot;&quot;,&quot;non-dropping-particle&quot;:&quot;&quot;},{&quot;family&quot;:&quot;Maurer&quot;,&quot;given&quot;:&quot;Carine&quot;,&quot;parse-names&quot;:false,&quot;dropping-particle&quot;:&quot;&quot;,&quot;non-dropping-particle&quot;:&quot;&quot;},{&quot;family&quot;:&quot;Shen&quot;,&quot;given&quot;:&quot;Qian&quot;,&quot;parse-names&quot;:false,&quot;dropping-particle&quot;:&quot;&quot;,&quot;non-dropping-particle&quot;:&quot;&quot;},{&quot;family&quot;:&quot;Hallett&quot;,&quot;given&quot;:&quot;Mark&quot;,&quot;parse-names&quot;:false,&quot;dropping-particle&quot;:&quot;&quot;,&quot;non-dropping-particle&quot;:&quot;&quot;}],&quot;container-title&quot;:&quot;PLoS ONE&quot;,&quot;container-title-short&quot;:&quot;PLoS One&quot;,&quot;accessed&quot;:{&quot;date-parts&quot;:[[2023,4,30]]},&quot;DOI&quot;:&quot;10.1371/JOURNAL.PONE.0172502&quot;,&quot;ISSN&quot;:&quot;19326203&quot;,&quot;PMID&quot;:&quot;28448504&quot;,&quot;URL&quot;:&quot;/pmc/articles/PMC5407819/&quot;,&quot;issued&quot;:{&quot;date-parts&quot;:[[2017,4,1]]},&quot;abstract&quot;:&quot;The sense of agency (SA) is an established framework that refers to our ability to exert and perceive control over our own actions. Having an intact SA provides the basis for the human perception of voluntariness, while impairments in SA are hypothesized to lead to the perception of movements being involuntary that may be seen many neurological or psychiatric disorders. Individuals with functional movement disorders (FMD) experience a lack of control over their movements, yet these movements appear voluntary by physiology. We used fMRI to explore whether alterations in SA in an FMD population could explain why these patients feel their movements are involuntary. We compared the FMD group to a control group that was previously collected using an ecologically valid, virtual-reality movement paradigm that could modulate SA. We found selective dysfunction of the SA neural network, whereby the dorsolateral prefrontal cortex and pre-supplementary motor area on the right did not respond differentially to the loss of movement control. These findings provide some of the strongest evidence to date for a physiological basis underlying these disabling disorders.&quot;,&quot;publisher&quot;:&quot;PLOS&quot;,&quot;issue&quot;:&quot;4&quot;,&quot;volume&quot;:&quot;12&quot;},&quot;isTemporary&quot;:false},{&quot;id&quot;:&quot;67c3a15c-6836-332a-83eb-85eb2d3672e9&quot;,&quot;itemData&quot;:{&quot;type&quot;:&quot;article-journal&quot;,&quot;id&quot;:&quot;67c3a15c-6836-332a-83eb-85eb2d3672e9&quot;,&quot;title&quot;:&quot;Impaired self-agency in functional movement disorders: A resting-state fMRI study&quot;,&quot;author&quot;:[{&quot;family&quot;:&quot;Maurer&quot;,&quot;given&quot;:&quot;Carine W.&quot;,&quot;parse-names&quot;:false,&quot;dropping-particle&quot;:&quot;&quot;,&quot;non-dropping-particle&quot;:&quot;&quot;},{&quot;family&quot;:&quot;LaFaver&quot;,&quot;given&quot;:&quot;Kathrin&quot;,&quot;parse-names&quot;:false,&quot;dropping-particle&quot;:&quot;&quot;,&quot;non-dropping-particle&quot;:&quot;&quot;},{&quot;family&quot;:&quot;Ameli&quot;,&quot;given&quot;:&quot;Rezvan&quot;,&quot;parse-names&quot;:false,&quot;dropping-particle&quot;:&quot;&quot;,&quot;non-dropping-particle&quot;:&quot;&quot;},{&quot;family&quot;:&quot;Epstein&quot;,&quot;given&quot;:&quot;Steven A.&quot;,&quot;parse-names&quot;:false,&quot;dropping-particle&quot;:&quot;&quot;,&quot;non-dropping-particle&quot;:&quot;&quot;},{&quot;family&quot;:&quot;Hallett&quot;,&quot;given&quot;:&quot;Mark&quot;,&quot;parse-names&quot;:false,&quot;dropping-particle&quot;:&quot;&quot;,&quot;non-dropping-particle&quot;:&quot;&quot;},{&quot;family&quot;:&quot;Horovitz&quot;,&quot;given&quot;:&quot;Silvina G.&quot;,&quot;parse-names&quot;:false,&quot;dropping-particle&quot;:&quot;&quot;,&quot;non-dropping-particle&quot;:&quot;&quot;}],&quot;container-title&quot;:&quot;Neurology&quot;,&quot;container-title-short&quot;:&quot;Neurology&quot;,&quot;accessed&quot;:{&quot;date-parts&quot;:[[2023,4,30]]},&quot;DOI&quot;:&quot;10.1212/WNL.0000000000002940&quot;,&quot;ISSN&quot;:&quot;1526632X&quot;,&quot;PMID&quot;:&quot;27385746&quot;,&quot;URL&quot;:&quot;/pmc/articles/PMC4977370/&quot;,&quot;issued&quot;:{&quot;date-parts&quot;:[[2016,8,8]]},&quot;page&quot;:&quot;564&quot;,&quot;abstract&quot;:&quot;Objective: To investigate the neural mechanisms underlying impaired self-agency in patients with functional movement disorders using resting-state functional MRI (fMRI). Methods: We obtained resting-state fMRI on 35 patients with clinically definite functional movement disorders and 35 age- and sex-matched healthy controls. Between-group differences in functional connectivity from the right temporo-parietal junction (TPJ), a region previously demonstrated to play a critical role in self-agency by comparing internal predictions of movement with actual external events, were assessed using t tests. All participants were screened for psychiatric diagnoses using a structured clinical interview and completed the Beck Depression Inventory and Childhood Trauma Questionnaire. Results: Compared to the healthy controls, patients with functional movement disorders showed decreased functional connectivity between the right TPJ and the right sensorimotor cortex, cerebellar vermis, bilateral supplementary motor area, and right insula. These findings were independent of depression, anxiety, and childhood trauma scores included in our assessment as covariates. Conclusions: The decreased functional connectivity between the right TPJ and bilateral sensorimotor regions observed in patients with functional movement disorders supports a model whereby impaired motor feed-forward together with altered sensory feedback from sensorimotor regions and areas of sensorimotor integration to the right TPJ contributes to patients' impaired sense of self-agency.&quot;,&quot;publisher&quot;:&quot;American Academy of Neurology&quot;,&quot;issue&quot;:&quot;6&quot;,&quot;volume&quot;:&quot;87&quot;},&quot;isTemporary&quot;:false}],&quot;citationTag&quot;:&quot;MENDELEY_CITATION_v3_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&quot;},{&quot;citationID&quot;:&quot;MENDELEY_CITATION_fa518842-719b-4c44-9311-a645cd84a809&quot;,&quot;properties&quot;:{&quot;noteIndex&quot;:0},&quot;isEdited&quot;:false,&quot;manualOverride&quot;:{&quot;isManuallyOverridden&quot;:true,&quot;citeprocText&quot;:&quot;(Reuber &amp;#38; Brown, 2017)&quot;,&quot;manualOverrideText&quot;:&quot;Reuber &amp; Brown (2017)&quot;},&quot;citationItems&quot;:[{&quot;id&quot;:&quot;0d60a79c-41c4-376c-909b-005ce084858b&quot;,&quot;itemData&quot;:{&quot;type&quot;:&quot;article-journal&quot;,&quot;id&quot;:&quot;0d60a79c-41c4-376c-909b-005ce084858b&quot;,&quot;title&quot;:&quot;Understanding psychogenic nonepileptic seizures—Phenomenology, semiology and the Integrative Cognitive Model&quot;,&quot;author&quot;:[{&quot;family&quot;:&quot;Reuber&quot;,&quot;given&quot;:&quot;Markus&quot;,&quot;parse-names&quot;:false,&quot;dropping-particle&quot;:&quot;&quot;,&quot;non-dropping-particle&quot;:&quot;&quot;},{&quot;family&quot;:&quot;Brown&quot;,&quot;given&quot;:&quot;Richard J.&quot;,&quot;parse-names&quot;:false,&quot;dropping-particle&quot;:&quot;&quot;,&quot;non-dropping-particle&quot;:&quot;&quot;}],&quot;container-title&quot;:&quot;Seizure&quot;,&quot;container-title-short&quot;:&quot;Seizure&quot;,&quot;accessed&quot;:{&quot;date-parts&quot;:[[2023,4,30]]},&quot;DOI&quot;:&quot;10.1016/J.SEIZURE.2016.10.029&quot;,&quot;ISSN&quot;:&quot;1059-1311&quot;,&quot;PMID&quot;:&quot;27988107&quot;,&quot;issued&quot;:{&quot;date-parts&quot;:[[2017,1,1]]},&quot;page&quot;:&quot;199-205&quot;,&quot;abstract&quot;:&quot;Psychogenic Nonepileptic Seizures (PNES) are one of the commonest differential diagnoses of epilepsy. This paper provides a narrative review of what has been learnt in the last 25 years regarding the visible manifestations, physiological features, subjective experiences and interactional aspects of PNES. We then explore how current insights into PNES semiology and phenomenology map onto the Integrative Cognitive Model (ICM), a new account of these phenomena that unifies previous approaches within a single explanatory framework. We discuss to what extent recent psychological and neurophysiological research is consistent with the ICM and indicate how the more detailed analysis of physiological data, connectivity analyses of EEG and functional or structural MRI data may provide greater insights into the biopsychosocial underpinnings of a disabling and under-researched disorder.&quot;,&quot;publisher&quot;:&quot;W.B. Saunders&quot;,&quot;volume&quot;:&quot;44&quot;},&quot;isTemporary&quot;:false}],&quot;citationTag&quot;:&quot;MENDELEY_CITATION_v3_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&quot;},{&quot;citationID&quot;:&quot;MENDELEY_CITATION_1bcb257e-1a9a-4753-8d74-370f518387a5&quot;,&quot;properties&quot;:{&quot;noteIndex&quot;:0},&quot;isEdited&quot;:false,&quot;manualOverride&quot;:{&quot;isManuallyOverridden&quot;:false,&quot;citeprocText&quot;:&quot;(Drane et al., 2021; Keynejad et al., 2020; Pick et al., 2019)&quot;,&quot;manualOverrideText&quot;:&quot;&quot;},&quot;citationItems&quot;:[{&quot;id&quot;:&quot;0f2a8266-b6bf-3ba0-bcee-759b7c0e9cce&quot;,&quot;itemData&quot;:{&quot;type&quot;:&quot;article-journal&quot;,&quot;id&quot;:&quot;0f2a8266-b6bf-3ba0-bcee-759b7c0e9cce&quot;,&quot;title&quot;:&quot;Attentional Processing and Interpretative Bias in Functional Neurological Disorder&quot;,&quot;author&quot;:[{&quot;family&quot;:&quot;Keynejad&quot;,&quot;given&quot;:&quot;Roxanne C.&quot;,&quot;parse-names&quot;:false,&quot;dropping-particle&quot;:&quot;&quot;,&quot;non-dropping-particle&quot;:&quot;&quot;},{&quot;family&quot;:&quot;Fenby&quot;,&quot;given&quot;:&quot;Edward&quot;,&quot;parse-names&quot;:false,&quot;dropping-particle&quot;:&quot;&quot;,&quot;non-dropping-particle&quot;:&quot;&quot;},{&quot;family&quot;:&quot;Pick&quot;,&quot;given&quot;:&quot;Susannah&quot;,&quot;parse-names&quot;:false,&quot;dropping-particle&quot;:&quot;&quot;,&quot;non-dropping-particle&quot;:&quot;&quot;},{&quot;family&quot;:&quot;Moss-Morris&quot;,&quot;given&quot;:&quot;Rona&quot;,&quot;parse-names&quot;:false,&quot;dropping-particle&quot;:&quot;&quot;,&quot;non-dropping-particle&quot;:&quot;&quot;},{&quot;family&quot;:&quot;Hirsch&quot;,&quot;given&quot;:&quot;Colette&quot;,&quot;parse-names&quot;:false,&quot;dropping-particle&quot;:&quot;&quot;,&quot;non-dropping-particle&quot;:&quot;&quot;},{&quot;family&quot;:&quot;Chalder&quot;,&quot;given&quot;:&quot;Trudie&quot;,&quot;parse-names&quot;:false,&quot;dropping-particle&quot;:&quot;&quot;,&quot;non-dropping-particle&quot;:&quot;&quot;},{&quot;family&quot;:&quot;Hughes&quot;,&quot;given&quot;:&quot;Alicia M.&quot;,&quot;parse-names&quot;:false,&quot;dropping-particle&quot;:&quot;&quot;,&quot;non-dropping-particle&quot;:&quot;&quot;},{&quot;family&quot;:&quot;Nicholson&quot;,&quot;given&quot;:&quot;Timothy R.&quot;,&quot;parse-names&quot;:false,&quot;dropping-particle&quot;:&quot;&quot;,&quot;non-dropping-particle&quot;:&quot;&quot;}],&quot;container-title&quot;:&quot;Psychosomatic Medicine&quot;,&quot;container-title-short&quot;:&quot;Psychosom Med&quot;,&quot;accessed&quot;:{&quot;date-parts&quot;:[[2023,4,30]]},&quot;DOI&quot;:&quot;10.1097/PSY.0000000000000821&quot;,&quot;ISSN&quot;:&quot;15347796&quot;,&quot;PMID&quot;:&quot;32541544&quot;,&quot;URL&quot;:&quot;https://journals.lww.com/psychosomaticmedicine/Fulltext/2020/07000/Attentional_Processing_and_Interpretative_Bias_in.7.aspx&quot;,&quot;issued&quot;:{&quot;date-parts&quot;:[[2020,7,1]]},&quot;page&quot;:&quot;586-592&quot;,&quot;abstract&quot;:&quot;Objective Altered attentional processing (automatically attending to negative or illness-relevant information) and interpretative biases (interpreting ambiguous information as negative or illness relevant) may be mechanistically involved in functional neurological disorder (FND). Common mechanisms between FND and chronic fatigue syndrome (CFS) have been proposed but not compared experimentally. Methods We compared the cognitive task performance of FND, CFS, and healthy control (HC) groups. The tasks assessed attentional bias toward illness-relevant stimuli (visual probe task), attentional control (attention network task), and somatic interpretations (interpretative bias task), alongside self-reported depression, anxiety, fatigue, and general health. Results Thirty-seven participants diagnosed with FND, 52 participants diagnosed with CFS, and 51 HC participants were included. Although participants with CFS showed attentional bias for illness-relevant stimuli relative to HC (t = -3.13, p =.002, d = 0.624), individuals with FND did not (t = -1.59, p =.118, d = 0.379). Both the FND (t = 3.08, p =.003, d = 0.759) and CFS (t = 2.74, p =.007, d = 0.548) groups displayed worse attentional control than did the HC group. Similarly, the FND (t = 3.63, p &lt;.001, d = 0.801) and CFS groups (t = 4.58, p &lt;.001, d = 0.909) showed more somatic interpretative bias than did the HC group. Conclusions Similar attentional control deficits and somatic interpretative bias in individuals with FND and CFS support potential shared mechanisms underlying symptoms. Interpretative bias toward somatic and illness-relevant stimuli in functional disorders may prove a therapeutic target.&quot;,&quot;publisher&quot;:&quot;Lippincott Williams and Wilkins&quot;,&quot;issue&quot;:&quot;6&quot;,&quot;volume&quot;:&quot;82&quot;},&quot;isTemporary&quot;:false},{&quot;id&quot;:&quot;52436105-d049-3d34-917f-3b74aa92084c&quot;,&quot;itemData&quot;:{&quot;type&quot;:&quot;article-journal&quot;,&quot;id&quot;:&quot;52436105-d049-3d34-917f-3b74aa92084c&quot;,&quot;title&quot;:&quot;A framework for understanding the pathophysiology of functional neurological disorder&quot;,&quot;author&quot;:[{&quot;family&quot;:&quot;Drane&quot;,&quot;given&quot;:&quot;Daniel L.&quot;,&quot;parse-names&quot;:false,&quot;dropping-particle&quot;:&quot;&quot;,&quot;non-dropping-particle&quot;:&quot;&quot;},{&quot;family&quot;:&quot;Fani&quot;,&quot;given&quot;:&quot;Negar&quot;,&quot;parse-names&quot;:false,&quot;dropping-particle&quot;:&quot;&quot;,&quot;non-dropping-particle&quot;:&quot;&quot;},{&quot;family&quot;:&quot;Hallett&quot;,&quot;given&quot;:&quot;Mark&quot;,&quot;parse-names&quot;:false,&quot;dropping-particle&quot;:&quot;&quot;,&quot;non-dropping-particle&quot;:&quot;&quot;},{&quot;family&quot;:&quot;Khalsa&quot;,&quot;given&quot;:&quot;Sahib S.&quot;,&quot;parse-names&quot;:false,&quot;dropping-particle&quot;:&quot;&quot;,&quot;non-dropping-particle&quot;:&quot;&quot;},{&quot;family&quot;:&quot;Perez&quot;,&quot;given&quot;:&quot;David L.&quot;,&quot;parse-names&quot;:false,&quot;dropping-particle&quot;:&quot;&quot;,&quot;non-dropping-particle&quot;:&quot;&quot;},{&quot;family&quot;:&quot;Roberts&quot;,&quot;given&quot;:&quot;Nicole A.&quot;,&quot;parse-names&quot;:false,&quot;dropping-particle&quot;:&quot;&quot;,&quot;non-dropping-particle&quot;:&quot;&quot;}],&quot;container-title&quot;:&quot;CNS Spectrums&quot;,&quot;container-title-short&quot;:&quot;CNS Spectr&quot;,&quot;accessed&quot;:{&quot;date-parts&quot;:[[2023,4,29]]},&quot;DOI&quot;:&quot;10.1017/S1092852920001789&quot;,&quot;ISSN&quot;:&quot;1092-8529&quot;,&quot;PMID&quot;:&quot;32883381&quot;,&quot;URL&quot;:&quot;https://www.cambridge.org/core/journals/cns-spectrums/article/abs/framework-for-understanding-the-pathophysiology-of-functional-neurological-disorder/C37DBE94BB9BDD90CDEBF7640EAF7D0D&quot;,&quot;issued&quot;:{&quot;date-parts&quot;:[[2021,12,4]]},&quot;page&quot;:&quot;555-561&quot;,&quot;abstract&quot;:&quot;The symptoms of functional neurological disorder (FND) are a product of its pathophysiology. The pathophysiology of FND is reflective of dysfunction within and across different brain circuits that, in turn, affects specific constructs. In this perspective article, we briefly review five constructs that are affected in FND: emotion processing (including salience), agency, attention, interoception, and predictive processing/inference. Examples of underlying neural circuits include salience, multimodal integration, and attention networks. The symptoms of each patient can be described as a combination of dysfunction in several of these networks and related processes. While we have gained a considerable understanding of FND, there is more work to be done, including determining how pathophysiological abnormalities arise as a consequence of etiologic biopsychosocial factors. To facilitate advances in this underserved and important area, we propose a pathophysiology-focused research agenda to engage government-sponsored funding agencies and foundations.&quot;,&quot;publisher&quot;:&quot;Cambridge University Press&quot;,&quot;issue&quot;:&quot;6&quot;,&quot;volume&quot;:&quot;26&quot;},&quot;isTemporary&quot;:false},{&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citationTag&quot;:&quot;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quot;},{&quot;citationID&quot;:&quot;MENDELEY_CITATION_08371233-1e76-4db4-846b-89cdf08c66e6&quot;,&quot;properties&quot;:{&quot;noteIndex&quot;:0},&quot;isEdited&quot;:false,&quot;manualOverride&quot;:{&quot;isManuallyOverridden&quot;:true,&quot;citeprocText&quot;:&quot;(A. J. Carson et al., 2012a; Gilmour et al., 2020)&quot;,&quot;manualOverrideText&quot;:&quot;(Carson et al., 2012a; Gilmour et al., 2020)&quot;},&quot;citationItems&quot;:[{&quot;id&quot;:&quot;754d157c-4dde-3923-ae60-4eb7ddfdfa51&quot;,&quot;itemData&quot;:{&quot;type&quot;:&quot;article-journal&quot;,&quot;id&quot;:&quot;754d157c-4dde-3923-ae60-4eb7ddfdfa51&quot;,&quot;title&quot;:&quot;Functional (conversion) neurological symptoms: research since the millennium&quot;,&quot;author&quot;:[{&quot;family&quot;:&quot;Carson&quot;,&quot;given&quot;:&quot;Alan J.&quot;,&quot;parse-names&quot;:false,&quot;dropping-particle&quot;:&quot;&quot;,&quot;non-dropping-particle&quot;:&quot;&quot;},{&quot;family&quot;:&quot;Brown&quot;,&quot;given&quot;:&quot;Richard&quot;,&quot;parse-names&quot;:false,&quot;dropping-particle&quot;:&quot;&quot;,&quot;non-dropping-particle&quot;:&quot;&quot;},{&quot;family&quot;:&quot;David&quot;,&quot;given&quot;:&quot;Anthony S.&quot;,&quot;parse-names&quot;:false,&quot;dropping-particle&quot;:&quot;&quot;,&quot;non-dropping-particle&quot;:&quot;&quot;},{&quot;family&quot;:&quot;Duncan&quot;,&quot;given&quot;:&quot;Roderick&quot;,&quot;parse-names&quot;:false,&quot;dropping-particle&quot;:&quot;&quot;,&quot;non-dropping-particle&quot;:&quot;&quot;},{&quot;family&quot;:&quot;Edwards&quot;,&quot;given&quot;:&quot;Mark J.&quot;,&quot;parse-names&quot;:false,&quot;dropping-particle&quot;:&quot;&quot;,&quot;non-dropping-particle&quot;:&quot;&quot;},{&quot;family&quot;:&quot;Goldstein&quot;,&quot;given&quot;:&quot;Laura H.&quot;,&quot;parse-names&quot;:false,&quot;dropping-particle&quot;:&quot;&quot;,&quot;non-dropping-particle&quot;:&quot;&quot;},{&quot;family&quot;:&quot;Grunewald&quot;,&quot;given&quot;:&quot;Richard&quot;,&quot;parse-names&quot;:false,&quot;dropping-particle&quot;:&quot;&quot;,&quot;non-dropping-particle&quot;:&quot;&quot;},{&quot;family&quot;:&quot;Howlett&quot;,&quot;given&quot;:&quot;Stephaine&quot;,&quot;parse-names&quot;:false,&quot;dropping-particle&quot;:&quot;&quot;,&quot;non-dropping-particle&quot;:&quot;&quot;},{&quot;family&quot;:&quot;Kanaan&quot;,&quot;given&quot;:&quot;Richard&quot;,&quot;parse-names&quot;:false,&quot;dropping-particle&quot;:&quot;&quot;,&quot;non-dropping-particle&quot;:&quot;&quot;},{&quot;family&quot;:&quot;Mellers&quot;,&quot;given&quot;:&quot;John&quot;,&quot;parse-names&quot;:false,&quot;dropping-particle&quot;:&quot;&quot;,&quot;non-dropping-particle&quot;:&quot;&quot;},{&quot;family&quot;:&quot;Nicholson&quot;,&quot;given&quot;:&quot;Timothy R.&quot;,&quot;parse-names&quot;:false,&quot;dropping-particle&quot;:&quot;&quot;,&quot;non-dropping-particle&quot;:&quot;&quot;},{&quot;family&quot;:&quot;Reuber&quot;,&quot;given&quot;:&quot;M.&quot;,&quot;parse-names&quot;:false,&quot;dropping-particle&quot;:&quot;&quot;,&quot;non-dropping-particle&quot;:&quot;&quot;},{&quot;family&quot;:&quot;Schrag&quot;,&quot;given&quot;:&quot;Anette Eleonore&quot;,&quot;parse-names&quot;:false,&quot;dropping-particle&quot;:&quot;&quot;,&quot;non-dropping-particle&quot;:&quot;&quot;},{&quot;family&quot;:&quot;Stone&quot;,&quot;given&quot;:&quot;Jon&quot;,&quot;parse-names&quot;:false,&quot;dropping-particle&quot;:&quot;&quot;,&quot;non-dropping-particle&quot;:&quot;&quot;},{&quot;family&quot;:&quot;Voon&quot;,&quot;given&quot;:&quot;Valerie&quot;,&quot;parse-names&quot;:false,&quot;dropping-particle&quot;:&quot;&quot;,&quot;non-dropping-particle&quot;:&quot;&quot;}],&quot;container-title&quot;:&quot;Journal of Neurology, Neurosurgery &amp; Psychiatry&quot;,&quot;container-title-short&quot;:&quot;J Neurol Neurosurg Psychiatry&quot;,&quot;accessed&quot;:{&quot;date-parts&quot;:[[2023,4,13]]},&quot;DOI&quot;:&quot;10.1136/JNNP-2011-301860&quot;,&quot;ISSN&quot;:&quot;0022-3050&quot;,&quot;PMID&quot;:&quot;22661497&quot;,&quot;URL&quot;:&quot;https://jnnp.bmj.com/content/83/8/842&quot;,&quot;issued&quot;:{&quot;date-parts&quot;:[[2012,8,1]]},&quot;page&quot;:&quot;842-850&quot;,&quot;abstract&quot;:&quot;Functional neurological symptoms (FNS) are commonly encountered but have engendered remarkably little academic interest. ‘UK-Functional Neurological Symptoms (UK-FNS)’ was an informal inaugural meeting of UK based clinicians in March 2011 with a variety of research and clinical interests in the field. This narrative review reflects the content of the meeting, and our opinion of key findings in the field since the turn of the millennium.&quot;,&quot;publisher&quot;:&quot;BMJ Publishing Group Ltd&quot;,&quot;issue&quot;:&quot;8&quot;,&quot;volume&quot;:&quot;83&quot;},&quot;isTemporary&quot;:false},{&quot;id&quot;:&quot;0bd12cdb-c5d0-3a0c-a1eb-a3bca9f8e895&quot;,&quot;itemData&quot;:{&quot;type&quot;:&quot;article-journal&quot;,&quot;id&quot;:&quot;0bd12cdb-c5d0-3a0c-a1eb-a3bca9f8e895&quot;,&quot;title&quot;:&quot;Management of functional neurological disorder&quot;,&quot;author&quot;:[{&quot;family&quot;:&quot;Gilmour&quot;,&quot;given&quot;:&quot;Gabriela S.&quot;,&quot;parse-names&quot;:false,&quot;dropping-particle&quot;:&quot;&quot;,&quot;non-dropping-particle&quot;:&quot;&quot;},{&quot;family&quot;:&quot;Nielsen&quot;,&quot;given&quot;:&quot;Glenn&quot;,&quot;parse-names&quot;:false,&quot;dropping-particle&quot;:&quot;&quot;,&quot;non-dropping-particle&quot;:&quot;&quot;},{&quot;family&quot;:&quot;Teodoro&quot;,&quot;given&quot;:&quot;Tiago&quot;,&quot;parse-names&quot;:false,&quot;dropping-particle&quot;:&quot;&quot;,&quot;non-dropping-particle&quot;:&quot;&quot;},{&quot;family&quot;:&quot;Yogarajah&quot;,&quot;given&quot;:&quot;Mahinda&quot;,&quot;parse-names&quot;:false,&quot;dropping-particle&quot;:&quot;&quot;,&quot;non-dropping-particle&quot;:&quot;&quot;},{&quot;family&quot;:&quot;Coebergh&quot;,&quot;given&quot;:&quot;Jan Adriaan&quot;,&quot;parse-names&quot;:false,&quot;dropping-particle&quot;:&quot;&quot;,&quot;non-dropping-particle&quot;:&quot;&quot;},{&quot;family&quot;:&quot;Dilley&quot;,&quot;given&quot;:&quot;Michael D.&quot;,&quot;parse-names&quot;:false,&quot;dropping-particle&quot;:&quot;&quot;,&quot;non-dropping-particle&quot;:&quot;&quot;},{&quot;family&quot;:&quot;Martino&quot;,&quot;given&quot;:&quot;Davide&quot;,&quot;parse-names&quot;:false,&quot;dropping-particle&quot;:&quot;&quot;,&quot;non-dropping-particle&quot;:&quot;&quot;},{&quot;family&quot;:&quot;Edwards&quot;,&quot;given&quot;:&quot;Mark J.&quot;,&quot;parse-names&quot;:false,&quot;dropping-particle&quot;:&quot;&quot;,&quot;non-dropping-particle&quot;:&quot;&quot;}],&quot;container-title&quot;:&quot;Journal of Neurology&quot;,&quot;container-title-short&quot;:&quot;J Neurol&quot;,&quot;accessed&quot;:{&quot;date-parts&quot;:[[2023,4,30]]},&quot;DOI&quot;:&quot;10.1007/S00415-020-09772-W/FIGURES/1&quot;,&quot;ISSN&quot;:&quot;14321459&quot;,&quot;PMID&quot;:&quot;32193596&quot;,&quot;URL&quot;:&quot;https://link.springer.com/article/10.1007/s00415-020-09772-w&quot;,&quot;issued&quot;:{&quot;date-parts&quot;:[[2020,7,1]]},&quot;page&quot;:&quot;2164-2172&quot;,&quot;abstract&quot;:&quot;Functional neurological disorder (FND) is a common cause of persistent and disabling neurological symptoms. These symptoms are varied and include abnormal control of movement, episodes of altered awareness resembling epileptic seizures and abnormal sensation and are often comorbid with chronic pain, fatigue and cognitive symptoms. There is increasing evidence for the role of neurologists in both the assessment and management of FND. The aim of this review is to discuss strategies for the management of FND by focusing on the diagnostic discussion and general principles, as well as specific treatment strategies for various FND symptoms, highlighting the role of the neurologist and proposing a structure for an interdisciplinary FND service.&quot;,&quot;publisher&quot;:&quot;Springer&quot;,&quot;issue&quot;:&quot;7&quot;,&quot;volume&quot;:&quot;267&quot;},&quot;isTemporary&quot;:false}],&quot;citationTag&quot;:&quot;MENDELEY_CITATION_v3_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&quot;},{&quot;citationID&quot;:&quot;MENDELEY_CITATION_481f5f60-0335-443e-b493-b71f0c0a08cd&quot;,&quot;properties&quot;:{&quot;noteIndex&quot;:0},&quot;isEdited&quot;:false,&quot;manualOverride&quot;:{&quot;isManuallyOverridden&quot;:true,&quot;citeprocText&quot;:&quot;(Espay, Aybek, et al., 2018)&quot;,&quot;manualOverrideText&quot;:&quot;(Espay et al., 2018)&quot;},&quot;citationItems&quot;:[{&quot;id&quot;:&quot;f3bdefe1-16aa-34b9-9eed-68baadfc442b&quot;,&quot;itemData&quot;:{&quot;type&quot;:&quot;article-journal&quot;,&quot;id&quot;:&quot;f3bdefe1-16aa-34b9-9eed-68baadfc442b&quot;,&quot;title&quot;:&quot;Current Concepts in Diagnosis and Treatment of Functional Neurological Disorders&quot;,&quot;author&quot;:[{&quot;family&quot;:&quot;Espay&quot;,&quot;given&quot;:&quot;A J&quot;,&quot;parse-names&quot;:false,&quot;dropping-particle&quot;:&quot;&quot;,&quot;non-dropping-particle&quot;:&quot;&quot;},{&quot;family&quot;:&quot;Aybek&quot;,&quot;given&quot;:&quot;S&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LaFaver&quot;,&quot;given&quot;:&quot;K&quot;,&quot;parse-names&quot;:false,&quot;dropping-particle&quot;:&quot;&quot;,&quot;non-dropping-particle&quot;:&quot;&quot;},{&quot;family&quot;:&quot;LaFrance Jr.&quot;,&quot;given&quot;:&quot;W C&quot;,&quot;parse-names&quot;:false,&quot;dropping-particle&quot;:&quot;&quot;,&quot;non-dropping-particle&quot;:&quot;&quot;},{&quot;family&quot;:&quot;Lang&quot;,&quot;given&quot;:&quot;A E&quot;,&quot;parse-names&quot;:false,&quot;dropping-particle&quot;:&quot;&quot;,&quot;non-dropping-particle&quot;:&quot;&quot;},{&quot;family&quot;:&quot;Nicholson&quot;,&quot;given&quot;:&quot;T&quot;,&quot;parse-names&quot;:false,&quot;dropping-particle&quot;:&quot;&quot;,&quot;non-dropping-particle&quot;:&quot;&quot;},{&quot;family&quot;:&quot;Nielsen&quot;,&quot;given&quot;:&quot;G&quot;,&quot;parse-names&quot;:false,&quot;dropping-particle&quot;:&quot;&quot;,&quot;non-dropping-particle&quot;:&quot;&quot;},{&quot;family&quot;:&quot;Reuber&quot;,&quot;given&quot;:&quot;M&quot;,&quot;parse-names&quot;:false,&quot;dropping-particle&quot;:&quot;&quot;,&quot;non-dropping-particle&quot;:&quot;&quot;},{&quot;family&quot;:&quot;Voon&quot;,&quot;given&quot;:&quot;V&quot;,&quot;parse-names&quot;:false,&quot;dropping-particle&quot;:&quot;&quot;,&quot;non-dropping-particle&quot;:&quot;&quot;},{&quot;family&quot;:&quot;Stone&quot;,&quot;given&quot;:&quot;J&quot;,&quot;parse-names&quot;:false,&quot;dropping-particle&quot;:&quot;&quot;,&quot;non-dropping-particle&quot;:&quot;&quot;},{&quot;family&quot;:&quot;Morgante&quot;,&quot;given&quot;:&quot;F&quot;,&quot;parse-names&quot;:false,&quot;dropping-particle&quot;:&quot;&quot;,&quot;non-dropping-particle&quot;:&quot;&quot;}],&quot;container-title&quot;:&quot;JAMA Neurol&quot;,&quot;DOI&quot;:&quot;10.1001/jamaneurol.2018.1264&quot;,&quot;ISSN&quot;:&quot;2168-6149&quot;,&quot;PMID&quot;:&quot;29868890&quot;,&quot;issued&quot;:{&quot;date-parts&quot;:[[2018]]},&quot;page&quot;:&quot;1132-1141&quot;,&quot;language&quot;:&quot;eng&quot;,&quot;abstract&quot;:&quot;IMPORTANCE: Functional neurological disorders (FND) are common sources of disability in medicine. Patients have often been misdiagnosed, correctly diagnosed after lengthy delays, and/or subjected to poorly delivered diagnoses that prevent diagnostic understanding and lead to inappropriate treatments, iatrogenic harm, unnecessary and costly evaluations, and poor outcomes. OBSERVATIONS: Functional Neurological Symptom Disorder/Conversion Disorder was adopted by the Diagnostic and Statistical Manual of Mental Disorders, Fifth Edition, replacing the term psychogenic with functional and removing the criterion of psychological stress as a prerequisite for FND. A diagnosis can now be made in an inclusionary manner by identifying neurological signs that are specific to FNDs without reliance on presence or absence of psychological stressors or suggestive historical clues. The new model highlights a wider range of past sensitizing events, such as physical trauma, medical illness, or physiological/psychophysiological events. In this model, strong ideas and expectations about these events correlate with abnormal predictions of sensory data and body-focused attention. Neurobiological abnormalities include hypoactivation of the supplementary motor area and relative disconnection with areas that select or inhibit movements and are associated with a sense of agency. Promising evidence has accumulated for the benefit of specific physical rehabilitation and psychological interventions alone or in combination, but clinical trial evidence remains limited. CONCLUSIONS AND RELEVANCE: Functional neurological disorders are a neglected but potentially reversible source of disability. Further research is needed to determine the dose and duration of various interventions, the value of combination treatments and multidisciplinary therapy, and the therapeutic modality best suited for each patient.&quot;,&quot;edition&quot;:&quot;2018/06/06&quot;,&quot;issue&quot;:&quot;9&quot;,&quot;volume&quot;:&quot;75&quot;,&quot;container-title-short&quot;:&quot;&quot;},&quot;isTemporary&quot;:false}],&quot;citationTag&quot;:&quot;MENDELEY_CITATION_v3_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&quot;},{&quot;citationID&quot;:&quot;MENDELEY_CITATION_745a7c62-09cd-4a39-b45b-b4a85b099a2a&quot;,&quot;properties&quot;:{&quot;noteIndex&quot;:0},&quot;isEdited&quot;:false,&quot;manualOverride&quot;:{&quot;isManuallyOverridden&quot;:false,&quot;citeprocText&quot;:&quot;(American Psychiatric Association, 2013)&quot;,&quot;manualOverrideText&quot;:&quot;&quot;},&quot;citationItems&quot;:[{&quot;id&quot;:&quot;ecd49a24-d140-3c48-9de0-c4bc56526fc7&quot;,&quot;itemData&quot;:{&quot;type&quot;:&quot;book&quot;,&quot;id&quot;:&quot;ecd49a24-d140-3c48-9de0-c4bc56526fc7&quot;,&quot;title&quot;:&quot;Diagnostic and statistical manual of mental disorders: DSM-5™, 5th ed&quot;,&quot;author&quot;:[{&quot;family&quot;:&quot;American Psychiatric Association&quot;,&quot;given&quot;:&quot;DSM-5 Task Force&quot;,&quot;parse-names&quot;:false,&quot;dropping-particle&quot;:&quot;&quot;,&quot;non-dropping-particle&quot;:&quot;&quot;}],&quot;container-title&quot;:&quot;Diagnostic and statistical manual of mental disorders: DSM-5™, 5th ed.&quot;,&quot;DOI&quot;:&quot;10.1176/appi.books.9780890425596&quot;,&quot;ISBN&quot;:&quot;978-0-89042-554-1 (Hardcover); 978-0-89042-555-8 (Paperback)&quot;,&quot;issued&quot;:{&quot;date-parts&quot;:[[2013]]},&quot;publisher-place&quot;:&quot;Arlington, VA, US&quot;,&quot;number-of-pages&quot;:&quot;947, xliv, 947-xliv&quot;,&quot;abstract&quot;:&quot;The American Psychiatric Association's Diagnostic and Statistical Manual of Mental Disorders (DSM) is a classification of mental disorders with associated criteria designed to facilitate more reliable diagnoses of these disorders. Since a complete description of the underlying pathological processes is not possible for most mental disorders, it is important to emphasize that the current diagnostic criteria are the best available description of how mental disorders are expressed and can be recognized by trained clinicians. DSM is intended to serve as a practical, functional, and flexible guide for organizing information that can aid in the accurate diagnosis and treatment of mental disorders. It is a tool for clinicians, an essential educational resource for students and practitioners, and a reference for researchers in the field. (PsycINFO Database Record (c) 2019 APA, all rights reserved)&quot;,&quot;publisher&quot;:&quot;American Psychiatric Publishing, Inc.&quot;,&quot;container-title-short&quot;:&quot;&quot;},&quot;isTemporary&quot;:false}],&quot;citationTag&quot;:&quot;MENDELEY_CITATION_v3_eyJjaXRhdGlvbklEIjoiTUVOREVMRVlfQ0lUQVRJT05fNzQ1YTdjNjItMDljZC00YTM5LWI0NWItYjRhODViMDk5YTJhIiwicHJvcGVydGllcyI6eyJub3RlSW5kZXgiOjB9LCJpc0VkaXRlZCI6ZmFsc2UsIm1hbnVhbE92ZXJyaWRlIjp7ImlzTWFudWFsbHlPdmVycmlkZGVuIjpmYWxzZSwiY2l0ZXByb2NUZXh0IjoiKEFtZXJpY2FuIFBzeWNoaWF0cmljIEFzc29jaWF0aW9uLCAyMDEzKSIsIm1hbnVhbE92ZXJyaWRlVGV4dCI6IiJ9LCJjaXRhdGlvbkl0ZW1zIjpb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quot;},{&quot;citationID&quot;:&quot;MENDELEY_CITATION_d1305bdb-f140-47da-979a-17c6e07db921&quot;,&quot;properties&quot;:{&quot;noteIndex&quot;:0},&quot;isEdited&quot;:false,&quot;manualOverride&quot;:{&quot;isManuallyOverridden&quot;:true,&quot;citeprocText&quot;:&quot;(Reuber &amp;#38; Brown, 2017; Reuber &amp;#38; Mayor, 2012)&quot;,&quot;manualOverrideText&quot;:&quot;(Reuber &amp; Brown, 2017; Reuber &amp; Mayor, 2012),&quot;},&quot;citationItems&quot;:[{&quot;id&quot;:&quot;a35c3170-30d3-3ce6-bcf5-42af226fbe54&quot;,&quot;itemData&quot;:{&quot;type&quot;:&quot;article-journal&quot;,&quot;id&quot;:&quot;a35c3170-30d3-3ce6-bcf5-42af226fbe54&quot;,&quot;title&quot;:&quot;Recent progress in the understanding and treatment of nonepileptic seizures&quot;,&quot;author&quot;:[{&quot;family&quot;:&quot;Reuber&quot;,&quot;given&quot;:&quot;M&quot;,&quot;parse-names&quot;:false,&quot;dropping-particle&quot;:&quot;&quot;,&quot;non-dropping-particle&quot;:&quot;&quot;},{&quot;family&quot;:&quot;Mayor&quot;,&quot;given&quot;:&quot;R&quot;,&quot;parse-names&quot;:false,&quot;dropping-particle&quot;:&quot;&quot;,&quot;non-dropping-particle&quot;:&quot;&quot;}],&quot;container-title&quot;:&quot;Curr Opin Psychiatry&quot;,&quot;DOI&quot;:&quot;10.1097/YCO.0b013e3283523db6&quot;,&quot;ISSN&quot;:&quot;0951-7367&quot;,&quot;PMID&quot;:&quot;22449769&quot;,&quot;issued&quot;:{&quot;date-parts&quot;:[[2012]]},&quot;page&quot;:&quot;244-250&quot;,&quot;language&quot;:&quot;eng&quot;,&quot;abstract&quot;:&quot;PURPOSE OF REVIEW: There has been a steady increase in the number of publications about (psychogenic) nonepileptic seizures (NES) over the past two decades. This review focuses on work published in the past 3 years. It summarizes the most important developments in terms of diagnosis, cause, clinical manifestations and treatment of NES. RECENT FINDINGS: Several recent studies demonstrate the scope and limitation of questionnaire-based and conversation analytic approaches to the differential diagnosis of epilepsy and NES. Experimental work has revealed that patients with NES have increased levels of physiological arousal at rest which are associated with abnormal mental processing. There is a growing understanding of the meaning and clinical significance of the heterogeneous manifestations of NES. Several studies document the therapeutic potential of an early and effective communication of the diagnosis of NES. A number of randomized controlled or uncontrolled long-term follow-up pilot studies suggest that different forms of psychotherapy are effective for NES. SUMMARY: Recent research has improved our understanding of NES as a biopsychosocial disorder. Clear diagnostic and management pathways for patients with NES are likely to emerge in the near future.&quot;,&quot;edition&quot;:&quot;2012/03/28&quot;,&quot;issue&quot;:&quot;3&quot;,&quot;volume&quot;:&quot;25&quot;,&quot;container-title-short&quot;:&quot;&quot;},&quot;isTemporary&quot;:false},{&quot;id&quot;:&quot;0d60a79c-41c4-376c-909b-005ce084858b&quot;,&quot;itemData&quot;:{&quot;type&quot;:&quot;article-journal&quot;,&quot;id&quot;:&quot;0d60a79c-41c4-376c-909b-005ce084858b&quot;,&quot;title&quot;:&quot;Understanding psychogenic nonepileptic seizures—Phenomenology, semiology and the Integrative Cognitive Model&quot;,&quot;author&quot;:[{&quot;family&quot;:&quot;Reuber&quot;,&quot;given&quot;:&quot;Markus&quot;,&quot;parse-names&quot;:false,&quot;dropping-particle&quot;:&quot;&quot;,&quot;non-dropping-particle&quot;:&quot;&quot;},{&quot;family&quot;:&quot;Brown&quot;,&quot;given&quot;:&quot;Richard J.&quot;,&quot;parse-names&quot;:false,&quot;dropping-particle&quot;:&quot;&quot;,&quot;non-dropping-particle&quot;:&quot;&quot;}],&quot;container-title&quot;:&quot;Seizure&quot;,&quot;container-title-short&quot;:&quot;Seizure&quot;,&quot;accessed&quot;:{&quot;date-parts&quot;:[[2023,4,30]]},&quot;DOI&quot;:&quot;10.1016/J.SEIZURE.2016.10.029&quot;,&quot;ISSN&quot;:&quot;1059-1311&quot;,&quot;PMID&quot;:&quot;27988107&quot;,&quot;issued&quot;:{&quot;date-parts&quot;:[[2017,1,1]]},&quot;page&quot;:&quot;199-205&quot;,&quot;abstract&quot;:&quot;Psychogenic Nonepileptic Seizures (PNES) are one of the commonest differential diagnoses of epilepsy. This paper provides a narrative review of what has been learnt in the last 25 years regarding the visible manifestations, physiological features, subjective experiences and interactional aspects of PNES. We then explore how current insights into PNES semiology and phenomenology map onto the Integrative Cognitive Model (ICM), a new account of these phenomena that unifies previous approaches within a single explanatory framework. We discuss to what extent recent psychological and neurophysiological research is consistent with the ICM and indicate how the more detailed analysis of physiological data, connectivity analyses of EEG and functional or structural MRI data may provide greater insights into the biopsychosocial underpinnings of a disabling and under-researched disorder.&quot;,&quot;publisher&quot;:&quot;W.B. Saunders&quot;,&quot;volume&quot;:&quot;44&quot;},&quot;isTemporary&quot;:false}],&quot;citationTag&quot;:&quot;MENDELEY_CITATION_v3_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&quot;},{&quot;citationID&quot;:&quot;MENDELEY_CITATION_2e9b0f12-68cb-4a82-8777-d11d7108eac5&quot;,&quot;properties&quot;:{&quot;noteIndex&quot;:0},&quot;isEdited&quot;:false,&quot;manualOverride&quot;:{&quot;isManuallyOverridden&quot;:false,&quot;citeprocText&quot;:&quot;(Baslet, 2011; Ertan et al., 2022)&quot;,&quot;manualOverrideText&quot;:&quot;&quot;},&quot;citationItems&quot;:[{&quot;id&quot;:&quot;10f93421-e0c9-3c8a-ae1a-1619daee1a6b&quot;,&quot;itemData&quot;:{&quot;type&quot;:&quot;article-journal&quot;,&quot;id&quot;:&quot;10f93421-e0c9-3c8a-ae1a-1619daee1a6b&quot;,&quot;title&quot;:&quot;Psychogenic non-epileptic seizures: a model of their pathogenic mechanism&quot;,&quot;author&quot;:[{&quot;family&quot;:&quot;Baslet&quot;,&quot;given&quot;:&quot;Gaston&quot;,&quot;parse-names&quot;:false,&quot;dropping-particle&quot;:&quot;&quot;,&quot;non-dropping-particle&quot;:&quot;&quot;}],&quot;container-title&quot;:&quot;Seizure&quot;,&quot;container-title-short&quot;:&quot;Seizure&quot;,&quot;accessed&quot;:{&quot;date-parts&quot;:[[2023,4,29]]},&quot;DOI&quot;:&quot;10.1016/J.SEIZURE.2010.10.032&quot;,&quot;ISSN&quot;:&quot;1532-2688&quot;,&quot;PMID&quot;:&quot;21106406&quot;,&quot;URL&quot;:&quot;https://pubmed.ncbi.nlm.nih.gov/21106406/&quot;,&quot;issued&quot;:{&quot;date-parts&quot;:[[2011,1]]},&quot;page&quot;:&quot;1-13&quot;,&quot;abstract&quot;:&quot;Psychogenic non-epileptic seizures (PNES) consist of paroxystic events facilitated by a dysfunction in emotion processing. Models explaining the pathogenic mechanisms leading to these seizure-like episodes are limited. In this article, evidence that supports dysfunction at the level of arousal tolerance, cognitive-emotional information processing and volitional control is reviewed. A hypothetical pathophysiological mechanism is discussed based on functional neuroimaging evidence from PNES-related conditions and traits. This pathophysiological model suggests an alteration in the influence and connection of brain areas involved in emotion processing onto other brain areas responsible for sensorimotor and cognitive processes. Integrating this information, PNES are conceptualized as brief episodes facilitated by an unstable cognitive-emotional attention system. During the episodes, sensorimotor and cognitive processes are modified or not properly integrated, allowing the deployment of autonomous prewired behavioral tendencies. Finally, I elaborate on how therapeutic applications could be modified based on the proposed hypothetical model, potentially improving clinical outcomes. © 2010 British Epilepsy Association.&quot;,&quot;publisher&quot;:&quot;Seizure&quot;,&quot;issue&quot;:&quot;1&quot;,&quot;volume&quot;:&quot;20&quot;},&quot;isTemporary&quot;:false},{&quot;id&quot;:&quot;25371e92-a00b-366b-8ba2-94f5faffbf5e&quot;,&quot;itemData&quot;:{&quot;type&quot;:&quot;article-journal&quot;,&quot;id&quot;:&quot;25371e92-a00b-366b-8ba2-94f5faffbf5e&quot;,&quot;title&quot;:&quot;Functional (psychogenic non-epileptic/dissociative) seizures: why and how?&quot;,&quot;author&quot;:[{&quot;family&quot;:&quot;Ertan&quot;,&quot;given&quot;:&quot;Deniz&quot;,&quot;parse-names&quot;:false,&quot;dropping-particle&quot;:&quot;&quot;,&quot;non-dropping-particle&quot;:&quot;&quot;},{&quot;family&quot;:&quot;Aybek&quot;,&quot;given&quot;:&quot;Selma&quot;,&quot;parse-names&quot;:false,&quot;dropping-particle&quot;:&quot;&quot;,&quot;non-dropping-particle&quot;:&quot;&quot;},{&quot;family&quot;:&quot;LaFrance&quot;,&quot;given&quot;:&quot;W. Curt&quot;,&quot;parse-names&quot;:false,&quot;dropping-particle&quot;:&quot;&quot;,&quot;non-dropping-particle&quot;:&quot;&quot;},{&quot;family&quot;:&quot;Kanemoto&quot;,&quot;given&quot;:&quot;Kousuke&quot;,&quot;parse-names&quot;:false,&quot;dropping-particle&quot;:&quot;&quot;,&quot;non-dropping-particle&quot;:&quot;&quot;},{&quot;family&quot;:&quot;Tarrada&quot;,&quot;given&quot;:&quot;Alexis&quot;,&quot;parse-names&quot;:false,&quot;dropping-particle&quot;:&quot;&quot;,&quot;non-dropping-particle&quot;:&quot;&quot;},{&quot;family&quot;:&quot;Maillard&quot;,&quot;given&quot;:&quot;Louis&quot;,&quot;parse-names&quot;:false,&quot;dropping-particle&quot;:&quot;&quot;,&quot;non-dropping-particle&quot;:&quot;&quot;},{&quot;family&quot;:&quot;El-Hage&quot;,&quot;given&quot;:&quot;Wissam&quot;,&quot;parse-names&quot;:false,&quot;dropping-particle&quot;:&quot;&quot;,&quot;non-dropping-particle&quot;:&quot;&quot;},{&quot;family&quot;:&quot;Hingray&quot;,&quot;given&quot;:&quot;Coraline&quot;,&quot;parse-names&quot;:false,&quot;dropping-particle&quot;:&quot;&quot;,&quot;non-dropping-particle&quot;:&quot;&quot;}],&quot;container-title&quot;:&quot;Journal of neurology, neurosurgery, and psychiatry&quot;,&quot;container-title-short&quot;:&quot;J Neurol Neurosurg Psychiatry&quot;,&quot;accessed&quot;:{&quot;date-parts&quot;:[[2023,4,29]]},&quot;DOI&quot;:&quot;10.1136/JNNP-2021-326708&quot;,&quot;ISSN&quot;:&quot;1468-330X&quot;,&quot;PMID&quot;:&quot;34824146&quot;,&quot;URL&quot;:&quot;https://pubmed.ncbi.nlm.nih.gov/34824146/&quot;,&quot;issued&quot;:{&quot;date-parts&quot;:[[2022,2,1]]},&quot;page&quot;:&quot;144-157&quot;,&quot;abstract&quot;:&quot;Functional seizures (FS) known also as psychogenic non-epileptic seizures or dissociative seizures, present with ictal semiological manifestations, along with various comorbid neurological and psychological disorders. Terminology inconsistencies and discrepancies in nomenclatures of FS may reflect limitations in understanding the neuropsychiatric intricacies of this disorder. Psychological and neurobiological processes of FS are incompletely understood. Nevertheless, important advances have been made on underlying neuropsychopathophysiological mechanisms of FS. These advances provide valuable information about the underlying mechanisms of mind-body interactions. From this perspective, this narrative review summarises recent studies about aetiopathogenesis of FS at two levels: possible risk factors (why) and different aetiopathogenic models of FS (how). We divided possible risk factors for FS into three categories, namely neurobiological, psychological and cognitive risk factors. We also presented different models of FS based on psychological and neuroanatomical understanding, multilevel models and integrative understanding of FS. This work should help professionals to better understand current views on the multifactorial mechanisms involved in the development of FS. Shedding light on the different FS profiles in terms of aetiopathogenesis will help guide how best to direct therapy, based on these different underlying mechanisms.&quot;,&quot;publisher&quot;:&quot;J Neurol Neurosurg Psychiatry&quot;,&quot;issue&quot;:&quot;2&quot;,&quot;volume&quot;:&quot;93&quot;},&quot;isTemporary&quot;:false}],&quot;citationTag&quot;:&quot;MENDELEY_CITATION_v3_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&quot;},{&quot;citationID&quot;:&quot;MENDELEY_CITATION_b8e3ae7a-bc56-495b-8886-9b7be2b75601&quot;,&quot;properties&quot;:{&quot;noteIndex&quot;:0},&quot;isEdited&quot;:false,&quot;manualOverride&quot;:{&quot;isManuallyOverridden&quot;:true,&quot;citeprocText&quot;:&quot;(Bodde et al., 2009; Popkirov et al., 2019)&quot;,&quot;manualOverrideText&quot;:&quot;(N. M. Bodde et al., 2009; Popkirov et al., 2019)&quot;},&quot;citationItems&quot;:[{&quot;id&quot;:&quot;053cd781-eda5-31f2-839d-de9afd1f1d5b&quot;,&quot;itemData&quot;:{&quot;type&quot;:&quot;article-journal&quot;,&quot;id&quot;:&quot;053cd781-eda5-31f2-839d-de9afd1f1d5b&quot;,&quot;title&quot;:&quot;The aetiology of psychogenic non-epileptic seizures: risk factors and comorbidities&quot;,&quot;author&quot;:[{&quot;family&quot;:&quot;Popkirov&quot;,&quot;given&quot;:&quot;Stoyan&quot;,&quot;parse-names&quot;:false,&quot;dropping-particle&quot;:&quot;&quot;,&quot;non-dropping-particle&quot;:&quot;&quot;},{&quot;family&quot;:&quot;Asadi-Pooya&quot;,&quot;given&quot;:&quot;Ali A.&quot;,&quot;parse-names&quot;:false,&quot;dropping-particle&quot;:&quot;&quot;,&quot;non-dropping-particle&quot;:&quot;&quot;},{&quot;family&quot;:&quot;Duncan&quot;,&quot;given&quot;:&quot;Roderick&quot;,&quot;parse-names&quot;:false,&quot;dropping-particle&quot;:&quot;&quot;,&quot;non-dropping-particle&quot;:&quot;&quot;},{&quot;family&quot;:&quot;Gigineishvili&quot;,&quot;given&quot;:&quot;David&quot;,&quot;parse-names&quot;:false,&quot;dropping-particle&quot;:&quot;&quot;,&quot;non-dropping-particle&quot;:&quot;&quot;},{&quot;family&quot;:&quot;Hingray&quot;,&quot;given&quot;:&quot;Coraline&quot;,&quot;parse-names&quot;:false,&quot;dropping-particle&quot;:&quot;&quot;,&quot;non-dropping-particle&quot;:&quot;&quot;},{&quot;family&quot;:&quot;Miguel Kanner&quot;,&quot;given&quot;:&quot;Andres&quot;,&quot;parse-names&quot;:false,&quot;dropping-particle&quot;:&quot;&quot;,&quot;non-dropping-particle&quot;:&quot;&quot;},{&quot;family&quot;:&quot;LaFrance&quot;,&quot;given&quot;:&quot;W. Curt&quot;,&quot;parse-names&quot;:false,&quot;dropping-particle&quot;:&quot;&quot;,&quot;non-dropping-particle&quot;:&quot;&quot;},{&quot;family&quot;:&quot;Pretorius&quot;,&quot;given&quot;:&quot;Chrisma&quot;,&quot;parse-names&quot;:false,&quot;dropping-particle&quot;:&quot;&quot;,&quot;non-dropping-particle&quot;:&quot;&quot;},{&quot;family&quot;:&quot;Reuber&quot;,&quot;given&quot;:&quot;Markus&quot;,&quot;parse-names&quot;:false,&quot;dropping-particle&quot;:&quot;&quot;,&quot;non-dropping-particle&quot;:&quot;&quot;}],&quot;container-title&quot;:&quot;Epileptic Disorders&quot;,&quot;accessed&quot;:{&quot;date-parts&quot;:[[2023,4,30]]},&quot;DOI&quot;:&quot;10.1684/EPD.2019.1107&quot;,&quot;ISSN&quot;:&quot;1950-6945&quot;,&quot;PMID&quot;:&quot;31843732&quot;,&quot;URL&quot;:&quot;https://onlinelibrary.wiley.com/doi/full/10.1684/epd.2019.1107&quot;,&quot;issued&quot;:{&quot;date-parts&quot;:[[2019,12,1]]},&quot;page&quot;:&quot;529-547&quot;,&quot;abstract&quot;:&quot;Psychogenic non-epileptic seizures (PNES), also known as dissociative seizures, are paroxysms of altered subjective experience, involuntary movements and reduced self-control that can resemble epileptic seizures, but have distinct clinical characteristics and a complex neuropsychiatric aetiology. They are common, accounting for over 10% of seizure emergencies and around 30% of cases in tertiary epilepsy units, but the diagnosis is often missed or delayed. The recently proposed “integrative cognitive model” accommodates current research on experiential, psychological and biological risk factors for the development of PNES, but in view of the considerable heterogeneity of presentations and medical context, it is not certain that a universal model can capture the full range of PNES manifestations. This narrative review addresses key learning objectives of the ILAE curriculum by describing the demographic profile, common risk factors (such as trauma or acute stress) and comorbid disorders (such as other dissociative and functional disorders, post-traumatic stress disorder, depressive and anxiety disorders, personality disorders, comorbid epilepsy, head injury, cognitive and sleep problems, migraine, pain, and asthma). The clinical implications of demographic and aetiological factors for diagnosis and treatment planning are addressed.&quot;,&quot;publisher&quot;:&quot;International League Against Epilepsy&quot;,&quot;issue&quot;:&quot;6&quot;,&quot;volume&quot;:&quot;21&quot;,&quot;container-title-short&quot;:&quot;&quot;},&quot;isTemporary&quot;:false},{&quot;id&quot;:&quot;f15fe506-22cb-3cec-9733-9327b1ac7274&quot;,&quot;itemData&quot;:{&quot;type&quot;:&quot;article-journal&quot;,&quot;id&quot;:&quot;f15fe506-22cb-3cec-9733-9327b1ac7274&quot;,&quot;title&quot;:&quot;Psychogenic non-epileptic seizures--definition, etiology, treatment and prognostic issues: a critical review&quot;,&quot;author&quot;:[{&quot;family&quot;:&quot;Bodde&quot;,&quot;given&quot;:&quot;N M&quot;,&quot;parse-names&quot;:false,&quot;dropping-particle&quot;:&quot;&quot;,&quot;non-dropping-particle&quot;:&quot;&quot;},{&quot;family&quot;:&quot;Brooks&quot;,&quot;given&quot;:&quot;J L&quot;,&quot;parse-names&quot;:false,&quot;dropping-particle&quot;:&quot;&quot;,&quot;non-dropping-particle&quot;:&quot;&quot;},{&quot;family&quot;:&quot;Baker&quot;,&quot;given&quot;:&quot;G A&quot;,&quot;parse-names&quot;:false,&quot;dropping-particle&quot;:&quot;&quot;,&quot;non-dropping-particle&quot;:&quot;&quot;},{&quot;family&quot;:&quot;Boon&quot;,&quot;given&quot;:&quot;P A&quot;,&quot;parse-names&quot;:false,&quot;dropping-particle&quot;:&quot;&quot;,&quot;non-dropping-particle&quot;:&quot;&quot;},{&quot;family&quot;:&quot;Hendriksen&quot;,&quot;given&quot;:&quot;J G&quot;,&quot;parse-names&quot;:false,&quot;dropping-particle&quot;:&quot;&quot;,&quot;non-dropping-particle&quot;:&quot;&quot;},{&quot;family&quot;:&quot;Mulder&quot;,&quot;given&quot;:&quot;O G&quot;,&quot;parse-names&quot;:false,&quot;dropping-particle&quot;:&quot;&quot;,&quot;non-dropping-particle&quot;:&quot;&quot;},{&quot;family&quot;:&quot;Aldenkamp&quot;,&quot;given&quot;:&quot;A P&quot;,&quot;parse-names&quot;:false,&quot;dropping-particle&quot;:&quot;&quot;,&quot;non-dropping-particle&quot;:&quot;&quot;}],&quot;container-title&quot;:&quot;Seizure&quot;,&quot;container-title-short&quot;:&quot;Seizure&quot;,&quot;DOI&quot;:&quot;10.1016/j.seizure.2009.06.006&quot;,&quot;ISSN&quot;:&quot;1059-1311&quot;,&quot;PMID&quot;:&quot;19682927&quot;,&quot;issued&quot;:{&quot;date-parts&quot;:[[2009]]},&quot;page&quot;:&quot;543-553&quot;,&quot;language&quot;:&quot;eng&quot;,&quot;abstract&quot;:&quot;In this review we systematically assess our currently available knowledge about psychogenic non-epileptic seizures (PNES) with an emphasis on the psychological mechanisms that underlie PNES, possibilities for psychological treatment as well as prognosis. Relevant studies were identified by searching the electronic databases. Case reports were not considered. 93 papers were identified; 65 of which were studies. An open non-randomized design, comparing patients with PNES to patients with epilepsy is the dominant design. A working definition for PNES is proposed. With respect to psychological etiology, a heterogeneous set of factors have been identified. Not all factors have a similar impact, though. On the basis of this review we propose a model with several factors that may interact in both the development and prolongation of PNES. These factors involve psychological etiology, vulnerability, shaping, as well as triggering and prolongation factors. A necessary first step of intervention in patients with PNES seems to be explaining the diagnosis with care. Although the evidence for the efficacy of additional treatment strategies is limited, variants of cognitive (behavioural) therapy showed to be the preferred type of treatment for most patients. The exact choice of treatment should be based on individual differences in the underlying factors. Outcome can be measured in terms of seizure occurrence (frequency, severity), but other measures might be of greater importance for the patient. Prognosis is unclear but studies consistently report that 1/3rd to 1/4th of the patients become chronic.&quot;,&quot;edition&quot;:&quot;2009/08/18&quot;,&quot;issue&quot;:&quot;8&quot;,&quot;volume&quot;:&quot;18&quot;},&quot;isTemporary&quot;:false}],&quot;citationTag&quot;:&quot;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&quot;},{&quot;citationID&quot;:&quot;MENDELEY_CITATION_cb49c9ea-a956-4570-ade7-68b9211378f3&quot;,&quot;properties&quot;:{&quot;noteIndex&quot;:0},&quot;isEdited&quot;:false,&quot;manualOverride&quot;:{&quot;isManuallyOverridden&quot;:false,&quot;citeprocText&quot;:&quot;(Blad et al., 2015; Tannemaat et al., 2013)&quot;,&quot;manualOverrideText&quot;:&quot;&quot;},&quot;citationItems&quot;:[{&quot;id&quot;:&quot;995dceba-8f0b-31f5-af72-6d2a31bcfe2b&quot;,&quot;itemData&quot;:{&quot;type&quot;:&quot;article-journal&quot;,&quot;id&quot;:&quot;995dceba-8f0b-31f5-af72-6d2a31bcfe2b&quot;,&quot;title&quot;:&quot;The semiology of tilt-induced psychogenic pseudosyncope&quot;,&quot;author&quot;:[{&quot;family&quot;:&quot;Tannemaat&quot;,&quot;given&quot;:&quot;Martijn R.&quot;,&quot;parse-names&quot;:false,&quot;dropping-particle&quot;:&quot;&quot;,&quot;non-dropping-particle&quot;:&quot;&quot;},{&quot;family&quot;:&quot;Niekerk&quot;,&quot;given&quot;:&quot;Julius&quot;,&quot;parse-names&quot;:false,&quot;dropping-particle&quot;:&quot;&quot;,&quot;non-dropping-particle&quot;:&quot;Van&quot;},{&quot;family&quot;:&quot;Reijntjes&quot;,&quot;given&quot;:&quot;Robert H.&quot;,&quot;parse-names&quot;:false,&quot;dropping-particle&quot;:&quot;&quot;,&quot;non-dropping-particle&quot;:&quot;&quot;},{&quot;family&quot;:&quot;Thijs&quot;,&quot;given&quot;:&quot;Roland D.&quot;,&quot;parse-names&quot;:false,&quot;dropping-particle&quot;:&quot;&quot;,&quot;non-dropping-particle&quot;:&quot;&quot;},{&quot;family&quot;:&quot;Sutton&quot;,&quot;given&quot;:&quot;Richard&quot;,&quot;parse-names&quot;:false,&quot;dropping-particle&quot;:&quot;&quot;,&quot;non-dropping-particle&quot;:&quot;&quot;},{&quot;family&quot;:&quot;Dijk&quot;,&quot;given&quot;:&quot;J. Gert&quot;,&quot;parse-names&quot;:false,&quot;dropping-particle&quot;:&quot;&quot;,&quot;non-dropping-particle&quot;:&quot;Van&quot;}],&quot;container-title&quot;:&quot;Neurology&quot;,&quot;container-title-short&quot;:&quot;Neurology&quot;,&quot;accessed&quot;:{&quot;date-parts&quot;:[[2023,4,30]]},&quot;DOI&quot;:&quot;10.1212/WNL.0B013E3182A1AA88&quot;,&quot;ISSN&quot;:&quot;00283878&quot;,&quot;PMID&quot;:&quot;23873974&quot;,&quot;URL&quot;:&quot;/pmc/articles/PMC3776458/&quot;,&quot;issued&quot;:{&quot;date-parts&quot;:[[2013,8,8]]},&quot;page&quot;:&quot;752&quot;,&quot;abstract&quot;:&quot;Objectives: To provide a detailed semiology to aid the clinical recognition of psychogenic pseudosyncope (PPS), which concerns episodes of apparent transient loss of consciousness (TLOC) that mimic syncope. Methods: We analyzed all consecutive tilt-table tests from 2006 to 2012 showing proven PPS, i.e., apparent TLOChad occurred without EEGchanges or a decrease in heart rate (HR) or blood pressure (BP).Weanalyzed baseline characteristics, video data, EEG, ECG, and continuous BPmeasurements on a 1-second time scale. Data were compared with those of 69 cases of tilt-induced vasovagal syncope (VVS). Results: Of 800 tilt-table tests, 43 (5.4%) resulted in PPS. The majority (74%) were women. The median duration of apparent TLOC was longer in PPS (44 seconds) than in VVS (20 seconds, p , 0.05). During the event, the eyes were closed in 97% in PPS but in only 7% in VVS (p , 0.0001). A sudden head drop or moving down the tilt table was more common in PPS than in VVS (p , 0.01), but jerking movements occurred more frequently in VVS (p , 0.0001). In PPS, both HR and BP increased before and during apparent TLOC (p , 0.0001). Conclusions: PPS is clinically distinct from VVS and can be diagnosed accurately with tilt-table testing and simultaneous EEG monitoring. Compared with VVS, eye closure during the event, long periods of apparent TLOC, and high HR and BP are highly specific for PPS. Improved understanding of the semiology of PPS as a clinical entity is vital to ensure accurate diagnosis. © 2013 American Academy of Neurology.&quot;,&quot;publisher&quot;:&quot;American Academy of Neurology&quot;,&quot;issue&quot;:&quot;8&quot;,&quot;volume&quot;:&quot;81&quot;},&quot;isTemporary&quot;:false},{&quot;id&quot;:&quot;867e921e-7196-3f19-8ec7-97ae4a67e619&quot;,&quot;itemData&quot;:{&quot;type&quot;:&quot;article-journal&quot;,&quot;id&quot;:&quot;867e921e-7196-3f19-8ec7-97ae4a67e619&quot;,&quot;title&quot;:&quot;Tilt-induced vasovagal syncope and psychogenic pseudosyncope: Overlapping clinical entities&quot;,&quot;author&quot;:[{&quot;family&quot;:&quot;Blad&quot;,&quot;given&quot;:&quot;Helene&quot;,&quot;parse-names&quot;:false,&quot;dropping-particle&quot;:&quot;&quot;,&quot;non-dropping-particle&quot;:&quot;&quot;},{&quot;family&quot;:&quot;Lamberts&quot;,&quot;given&quot;:&quot;Robert Jan&quot;,&quot;parse-names&quot;:false,&quot;dropping-particle&quot;:&quot;&quot;,&quot;non-dropping-particle&quot;:&quot;&quot;},{&quot;family&quot;:&quot;Dijk&quot;,&quot;given&quot;:&quot;J. Gert&quot;,&quot;parse-names&quot;:false,&quot;dropping-particle&quot;:&quot;Van&quot;,&quot;non-dropping-particle&quot;:&quot;&quot;},{&quot;family&quot;:&quot;Thijs&quot;,&quot;given&quot;:&quot;Roland D.&quot;,&quot;parse-names&quot;:false,&quot;dropping-particle&quot;:&quot;&quot;,&quot;non-dropping-particle&quot;:&quot;&quot;}],&quot;container-title&quot;:&quot;Neurology&quot;,&quot;container-title-short&quot;:&quot;Neurology&quot;,&quot;accessed&quot;:{&quot;date-parts&quot;:[[2023,4,30]]},&quot;DOI&quot;:&quot;10.1212/WNL.0000000000002184&quot;,&quot;ISSN&quot;:&quot;1526632X&quot;,&quot;PMID&quot;:&quot;26561288&quot;,&quot;URL&quot;:&quot;/pmc/articles/PMC4676758/&quot;,&quot;issued&quot;:{&quot;date-parts&quot;:[[2015,12,12]]},&quot;page&quot;:&quot;2006&quot;,&quot;abstract&quot;:&quot;To describe the combination of tilt-induced vasovagal syncope (VVS) and psychogenic pseudosyncope (PPS) and aid its clinical recognition. Methods: We identified people with tilt-induced VVS/PPS from 2 tertiary syncope referral centers. For each case, 3 controls with tilt-induced VVS were selected at random from the same center. Clinical characteristics were compared between both groups adjusting for multiple comparisons. Results: Of 1,164 tilt-table tests, 23 (2%) resulted in VVS/PPS; these 23 cases were compared with 69 VVS controls. VVS and PPS coincided more often than chance would predict: 2% vs 0.6%, p &lt; 0.001. Typical VVS prodromes and triggers were reported in all people with VVS/PPS and in controls with VVS. Attack frequency was significantly higher in the VVS/PPS (2 per month, range 0.1-60) than in the VVS group (0.25 per month, range 0.02-4; p &lt; 0.001). Delayed recovery of consciousness was more frequently reported in the VVS/PPS group (likelihood ratio [+LR] 8.14, 95% confidence interval [CI] 3.94-16.84), as well as episodes without prodromes (+LR 5.57, 95%CI 2.53-12.26), atypical triggers (+LR 5.00, 95%CI 2.04-12.24), eye closure (+LR 3.75, 95%CI 1.68-8.35), and apparent loss of consciousness &gt; 1 minute (+LR 2.86, 95% CI 1.98-4.13). Conclusions: VVS/PPS presents with a complex phenotype. High attack frequency, delayed recovery of consciousness, apparent loss of consciousness &gt; 1 minute, ictal eye closure, atypical triggers, and the absence of prodromes may serve as indicators that PPS coincides with VVS.&quot;,&quot;publisher&quot;:&quot;American Academy of Neurology&quot;,&quot;issue&quot;:&quot;23&quot;,&quot;volume&quot;:&quot;85&quot;},&quot;isTemporary&quot;:false}],&quot;citationTag&quot;:&quot;MENDELEY_CITATION_v3_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&quot;},{&quot;citationID&quot;:&quot;MENDELEY_CITATION_d818a4ed-64b0-4468-a27b-66ea0c33a049&quot;,&quot;properties&quot;:{&quot;noteIndex&quot;:0},&quot;isEdited&quot;:false,&quot;manualOverride&quot;:{&quot;isManuallyOverridden&quot;:false,&quot;citeprocText&quot;:&quot;(Kemp et al., 2022)&quot;,&quot;manualOverrideText&quot;:&quot;&quot;},&quot;citationItems&quot;:[{&quot;id&quot;:&quot;59bb7828-d9a3-39a0-a68a-edab8444bbaf&quot;,&quot;itemData&quot;:{&quot;type&quot;:&quot;article-journal&quot;,&quot;id&quot;:&quot;59bb7828-d9a3-39a0-a68a-edab8444bbaf&quot;,&quot;title&quot;:&quot;Functional Cognitive Disorder: Differential Diagnosis of Common Clinical Presentations&quot;,&quot;author&quot;:[{&quot;family&quot;:&quot;Kemp&quot;,&quot;given&quot;:&quot;Steven&quot;,&quot;parse-names&quot;:false,&quot;dropping-particle&quot;:&quot;&quot;,&quot;non-dropping-particle&quot;:&quot;&quot;},{&quot;family&quot;:&quot;Kapur&quot;,&quot;given&quot;:&quot;Narinder&quot;,&quot;parse-names&quot;:false,&quot;dropping-particle&quot;:&quot;&quot;,&quot;non-dropping-particle&quot;:&quot;&quot;},{&quot;family&quot;:&quot;Graham&quot;,&quot;given&quot;:&quot;Christopher D.&quot;,&quot;parse-names&quot;:false,&quot;dropping-particle&quot;:&quot;&quot;,&quot;non-dropping-particle&quot;:&quot;&quot;},{&quot;family&quot;:&quot;Reuber&quot;,&quot;given&quot;:&quot;Markus&quot;,&quot;parse-names&quot;:false,&quot;dropping-particle&quot;:&quot;&quot;,&quot;non-dropping-particle&quot;:&quot;&quot;}],&quot;container-title&quot;:&quot;Archives of clinical neuropsychology : the official journal of the National Academy of Neuropsychologists&quot;,&quot;container-title-short&quot;:&quot;Arch Clin Neuropsychol&quot;,&quot;accessed&quot;:{&quot;date-parts&quot;:[[2023,4,30]]},&quot;DOI&quot;:&quot;10.1093/ARCLIN/ACAC020&quot;,&quot;ISSN&quot;:&quot;1873-5843&quot;,&quot;PMID&quot;:&quot;35484819&quot;,&quot;URL&quot;:&quot;https://pubmed.ncbi.nlm.nih.gov/35484819/&quot;,&quot;issued&quot;:{&quot;date-parts&quot;:[[2022,9,1]]},&quot;page&quot;:&quot;1158-1176&quot;,&quot;abstract&quot;:&quot;Background: Cognitive symptoms in the absence of neurological disease are common. Functional cognitive disorder (FCD) has been conceptualized as a cognitive subtype of functional neurological disorder. Although FCD is understood as different from exaggerated or feigned cognitive complaints, previous accounts have provided little practical advice on how FCD can be separated from factitious or malingered cognitive complaints. Also, the distinction of FCD from other medical or mental health disorders that impact on cognition is an area of ongoing study and debate. Diagnostic precision is important to prevent iatrogenesis and for the development of needed treatment protocols. Method: We summarize the current literature and present seven anonymized case vignettes to characterize the challenges in this area and develop proposals for solutions. Results/Conclusions: Recognizing the limitations of categorical diagnostic systems, we position FCD as distinct from feigning and cognitive symptoms of psychiatric disorders, although with overlapping features. We set out typical clinical features and neuropsychological profiles for each category of cognitive disorder and a statistical method to analyze performance validity tests/effort tests to assist in determining feigned or invalid responding.&quot;,&quot;publisher&quot;:&quot;Arch Clin Neuropsychol&quot;,&quot;issue&quot;:&quot;6&quot;,&quot;volume&quot;:&quot;37&quot;},&quot;isTemporary&quot;:false}],&quot;citationTag&quot;:&quot;MENDELEY_CITATION_v3_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&quot;},{&quot;citationID&quot;:&quot;MENDELEY_CITATION_3a40509a-8d71-4811-8f9a-16c4c2c51c7d&quot;,&quot;properties&quot;:{&quot;noteIndex&quot;:0},&quot;isEdited&quot;:false,&quot;manualOverride&quot;:{&quot;isManuallyOverridden&quot;:false,&quot;citeprocText&quot;:&quot;(Butler et al., 2021; Ducroizet et al., 2023; Tsui et al., 2017)&quot;,&quot;manualOverrideText&quot;:&quot;&quot;},&quot;citationItems&quot;:[{&quot;id&quot;:&quot;997f9a8e-7eba-3ed8-a867-df9308f3bcd4&quot;,&quot;itemData&quot;:{&quot;type&quot;:&quot;article-journal&quot;,&quot;id&quot;:&quot;997f9a8e-7eba-3ed8-a867-df9308f3bcd4&quot;,&quot;title&quot;:&quot;Functional neurological disorder: Clinical manifestations and comorbidities; an online survey&quot;,&quot;author&quot;:[{&quot;family&quot;:&quot;Ducroizet&quot;,&quot;given&quot;:&quot;Alexandra&quot;,&quot;parse-names&quot;:false,&quot;dropping-particle&quot;:&quot;&quot;,&quot;non-dropping-particle&quot;:&quot;&quot;},{&quot;family&quot;:&quot;Zimianti&quot;,&quot;given&quot;:&quot;Ioanna&quot;,&quot;parse-names&quot;:false,&quot;dropping-particle&quot;:&quot;&quot;,&quot;non-dropping-particle&quot;:&quot;&quot;},{&quot;family&quot;:&quot;Golder&quot;,&quot;given&quot;:&quot;Dawn&quot;,&quot;parse-names&quot;:false,&quot;dropping-particle&quot;:&quot;&quot;,&quot;non-dropping-particle&quot;:&quot;&quot;},{&quot;family&quot;:&quot;Hearne&quot;,&quot;given&quot;:&quot;Kim&quot;,&quot;parse-names&quot;:false,&quot;dropping-particle&quot;:&quot;&quot;,&quot;non-dropping-particle&quot;:&quot;&quot;},{&quot;family&quot;:&quot;Edwards&quot;,&quot;given&quot;:&quot;Mark&quot;,&quot;parse-names&quot;:false,&quot;dropping-particle&quot;:&quot;&quot;,&quot;non-dropping-particle&quot;:&quot;&quot;},{&quot;family&quot;:&quot;Nielsen&quot;,&quot;given&quot;:&quot;Glenn&quot;,&quot;parse-names&quot;:false,&quot;dropping-particle&quot;:&quot;&quot;,&quot;non-dropping-particle&quot;:&quot;&quot;},{&quot;family&quot;:&quot;Coebergh&quot;,&quot;given&quot;:&quot;Jan&quot;,&quot;parse-names&quot;:false,&quot;dropping-particle&quot;:&quot;&quot;,&quot;non-dropping-particle&quot;:&quot;&quot;}],&quot;container-title&quot;:&quot;Journal of Clinical Neuroscience&quot;,&quot;accessed&quot;:{&quot;date-parts&quot;:[[2023,4,30]]},&quot;DOI&quot;:&quot;10.1016/J.JOCN.2023.02.014&quot;,&quot;ISSN&quot;:&quot;0967-5868&quot;,&quot;PMID&quot;:&quot;36871491&quot;,&quot;issued&quot;:{&quot;date-parts&quot;:[[2023,4,1]]},&quot;page&quot;:&quot;116-125&quot;,&quot;abstract&quot;:&quot;Functional Neurological Disorder (FND) is common and is often accompanied by multiple comorbid symptoms and conditions. There have been no large-scale studies exploring the change of its clinical manifestations and comorbidities. We used an online survey to assess FND patient characteristics, changes to fatigue, sleep and pain and comorbid symptoms and diagnoses, as well as treatment strategies. The survey was shared via the charities FND Action and FND Hope. 527 participants were included in the analysis. Most (97.3%) reported experiencing more than one core FND symptom. Many respondents reported associated pain (78.1%), fatigue (78.0%) and sleep disturbances (46.7%) before FND diagnosis which often increased thereafter. Rates of obesity were higher (36.9%) than in the general population. Obesity was associated with increased pain, fatigue and sleep difficulties. There was frequent weight gain after diagnosis. 50.0% of participants reported having other diagnoses prior to FND, while in 43.3% new comorbidities arise after FND diagnosis. Many respondents reported being dissatisfied with their care, expressing a wish for further follow-up from mental health (32.7%) and/or neurological services (44.3%). This large online survey further supports the phenotypic complexity of FND. High rates of pain, fatigue and sleep disturbance exist before diagnosis but monitoring for change is worthwhile. Our study identified major gaps in service provision; we highlight the importance of an open mind regarding change in symptoms; this could aid the early identification and management of co-morbidities, including obesity and migraine, which possibly have a negative impact on FND.&quot;,&quot;publisher&quot;:&quot;Churchill Livingstone&quot;,&quot;volume&quot;:&quot;110&quot;,&quot;container-title-short&quot;:&quot;&quot;},&quot;isTemporary&quot;:false},{&quot;id&quot;:&quot;192bc600-e336-3725-95c2-d36844b09f7a&quot;,&quot;itemData&quot;:{&quot;type&quot;:&quot;article-journal&quot;,&quot;id&quot;:&quot;192bc600-e336-3725-95c2-d36844b09f7a&quot;,&quot;title&quot;:&quot;Conversion Disorder, Functional Neurological Symptom Disorder, and Chronic Pain: Comorbidity, Assessment, and Treatment&quot;,&quot;author&quot;:[{&quot;family&quot;:&quot;Tsui&quot;,&quot;given&quot;:&quot;Patricia&quot;,&quot;parse-names&quot;:false,&quot;dropping-particle&quot;:&quot;&quot;,&quot;non-dropping-particle&quot;:&quot;&quot;},{&quot;family&quot;:&quot;Deptula&quot;,&quot;given&quot;:&quot;Andrew&quot;,&quot;parse-names&quot;:false,&quot;dropping-particle&quot;:&quot;&quot;,&quot;non-dropping-particle&quot;:&quot;&quot;},{&quot;family&quot;:&quot;Yuan&quot;,&quot;given&quot;:&quot;Derek Y.&quot;,&quot;parse-names&quot;:false,&quot;dropping-particle&quot;:&quot;&quot;,&quot;non-dropping-particle&quot;:&quot;&quot;}],&quot;container-title&quot;:&quot;Current Pain and Headache Reports&quot;,&quot;container-title-short&quot;:&quot;Curr Pain Headache Rep&quot;,&quot;accessed&quot;:{&quot;date-parts&quot;:[[2023,4,30]]},&quot;DOI&quot;:&quot;10.1007/S11916-017-0627-7/TABLES/1&quot;,&quot;ISSN&quot;:&quot;15343081&quot;,&quot;PMID&quot;:&quot;28434123&quot;,&quot;URL&quot;:&quot;https://link.springer.com/article/10.1007/s11916-017-0627-7&quot;,&quot;issued&quot;:{&quot;date-parts&quot;:[[2017,6,1]]},&quot;page&quot;:&quot;1-10&quot;,&quot;abstract&quot;:&quot;Purpose of Review: This paper examines the overlap of conversion disorder with chronic pain conditions, describes ways to assess for conversion disorder, and provides an overview of evidence-based treatments for conversion disorder and chronic pain, with a focus on conversion symptoms. Recent Findings: Conversion disorder is a significant problem that warrants further study, given that there are not many well-established guidelines. Accurate and timely assessment should help move treatment in a more fruitful direction and avoid unnecessary medical interventions. Advances in neuroimaging may also help further our understanding of conversion disorder. Creating a supportive environment and a collaborative treatment relationship and improving understanding of conversion symptoms appear to help individuals diagnosed with conversion disorder engage in appropriate treatments. Novel uses of earlier treatments, such as hypnosis and psychodynamic approaches, could potentially be beneficial and require a more vigorous and systematic study. Summary: There are treatments that produce significant improvements in functioning and reduction of physical symptoms from conversion disorder even for very severe cases. Hypnotherapy, cognitive behavioral therapy, and inpatient multidisciplinary treatment with intensive physiotherapy for severe cases have the most evidence to support reduction of symptoms. Components of treatment for conversion disorder overlap with treatments for chronic pain and can be used together to produce therapeutic effects for both conditions. Treatment needs to be tailored for each individual’s specific symptoms.&quot;,&quot;publisher&quot;:&quot;Current Medicine Group LLC 1&quot;,&quot;issue&quot;:&quot;6&quot;,&quot;volume&quot;:&quot;21&quot;},&quot;isTemporary&quot;:false},{&quot;id&quot;:&quot;38daa2e8-40df-3e41-9881-439c15a7c688&quot;,&quot;itemData&quot;:{&quot;type&quot;:&quot;article-journal&quot;,&quot;id&quot;:&quot;38daa2e8-40df-3e41-9881-439c15a7c688&quot;,&quot;title&quot;:&quot;International online survey of 1048 individuals with functional neurological disorder&quot;,&quot;author&quot;:[{&quot;family&quot;:&quot;Butler&quot;,&quot;given&quot;:&quot;Matthew&quot;,&quot;parse-names&quot;:false,&quot;dropping-particle&quot;:&quot;&quot;,&quot;non-dropping-particle&quot;:&quot;&quot;},{&quot;family&quot;:&quot;Shipston-Sharman&quot;,&quot;given&quot;:&quot;Oliver&quot;,&quot;parse-names&quot;:false,&quot;dropping-particle&quot;:&quot;&quot;,&quot;non-dropping-particle&quot;:&quot;&quot;},{&quot;family&quot;:&quot;Seynaeve&quot;,&quot;given&quot;:&quot;Mathieu&quot;,&quot;parse-names&quot;:false,&quot;dropping-particle&quot;:&quot;&quot;,&quot;non-dropping-particle&quot;:&quot;&quot;},{&quot;family&quot;:&quot;Bao&quot;,&quot;given&quot;:&quot;Jianan&quot;,&quot;parse-names&quot;:false,&quot;dropping-particle&quot;:&quot;&quot;,&quot;non-dropping-particle&quot;:&quot;&quot;},{&quot;family&quot;:&quot;Pick&quot;,&quot;given&quot;:&quot;Susannah&quot;,&quot;parse-names&quot;:false,&quot;dropping-particle&quot;:&quot;&quot;,&quot;non-dropping-particle&quot;:&quot;&quot;},{&quot;family&quot;:&quot;Bradley-Westguard&quot;,&quot;given&quot;:&quot;Abigail&quot;,&quot;parse-names&quot;:false,&quot;dropping-particle&quot;:&quot;&quot;,&quot;non-dropping-particle&quot;:&quot;&quot;},{&quot;family&quot;:&quot;Ilola&quot;,&quot;given&quot;:&quot;Eveliina&quot;,&quot;parse-names&quot;:false,&quot;dropping-particle&quot;:&quot;&quot;,&quot;non-dropping-particle&quot;:&quot;&quot;},{&quot;family&quot;:&quot;Mildon&quot;,&quot;given&quot;:&quot;Bridget&quot;,&quot;parse-names&quot;:false,&quot;dropping-particle&quot;:&quot;&quot;,&quot;non-dropping-particle&quot;:&quot;&quot;},{&quot;family&quot;:&quot;Golder&quot;,&quot;given&quot;:&quot;Dawn&quot;,&quot;parse-names&quot;:false,&quot;dropping-particle&quot;:&quot;&quot;,&quot;non-dropping-particle&quot;:&quot;&quot;},{&quot;family&quot;:&quot;Rucker&quot;,&quot;given&quot;:&quot;James&quot;,&quot;parse-names&quot;:false,&quot;dropping-particle&quot;:&quot;&quot;,&quot;non-dropping-particle&quot;:&quot;&quot;},{&quot;family&quot;:&quot;Stone&quot;,&quot;given&quot;:&quot;Jon&quot;,&quot;parse-names&quot;:false,&quot;dropping-particle&quot;:&quot;&quot;,&quot;non-dropping-particle&quot;:&quot;&quot;},{&quot;family&quot;:&quot;Nicholson&quot;,&quot;given&quot;:&quot;Timothy&quot;,&quot;parse-names&quot;:false,&quot;dropping-particle&quot;:&quot;&quot;,&quot;non-dropping-particle&quot;:&quot;&quot;}],&quot;container-title&quot;:&quot;European Journal of Neurology&quot;,&quot;container-title-short&quot;:&quot;Eur J Neurol&quot;,&quot;accessed&quot;:{&quot;date-parts&quot;:[[2023,4,30]]},&quot;DOI&quot;:&quot;10.1111/ENE.15018&quot;,&quot;ISSN&quot;:&quot;1468-1331&quot;,&quot;PMID&quot;:&quot;34245646&quot;,&quot;URL&quot;:&quot;https://onlinelibrary.wiley.com/doi/full/10.1111/ene.15018&quot;,&quot;issued&quot;:{&quot;date-parts&quot;:[[2021,11,1]]},&quot;page&quot;:&quot;3591-3602&quot;,&quot;abstract&quot;:&quot;Background and purpose: Functional neurological disorder (FND) is common, and symptoms can be severe. There have been no international large-scale studies of patient experiences of FND. Methods: A patient questionnaire was created to assess FND patient characteristics, symptom comorbidities and illness perceptions. Respondents were recruited internationally through an open access questionnaire via social media and patient groups over a month-long period. Results: In total, 1048 respondents from 16 countries participated. Mean age was 42 years (86% female). Median FND symptom duration was 5 years, and median time from first symptom to diagnosis was 2 years. Mean number of current symptoms (core FND and associated) was 9.9. Many respondents had associated symptoms, for example fatigue (93%), memory difficulties (80%) and headache (70%). Self-reported psychiatric comorbidities were relatively common (depression, 43%; anxiety, 51%; panic, 20%; and post-traumatic stress disorder, 22%). Most respondents reported that FND had multiple causes, including physical and psychological. Conclusions: This large survey adds further evidence that people with FND typically have high levels of multiple symptom comorbidity with resultant distress. It also supports the notion that associated physical symptoms are of particular clinical significance in FND patients. Dualistic ideas of FND were not supported by respondents, who generally preferred to conceptualize the disorder as one at the interface of mind and brain. The need for a broad approach to this poorly served patient group is highlighted. Potential selection and response biases due to distribution of the survey online, mostly via FND patient groups, are a key limitation.&quot;,&quot;publisher&quot;:&quot;John Wiley &amp; Sons, Ltd&quot;,&quot;issue&quot;:&quot;11&quot;,&quot;volume&quot;:&quot;28&quot;},&quot;isTemporary&quot;:false}],&quot;citationTag&quot;:&quot;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&quot;},{&quot;citationID&quot;:&quot;MENDELEY_CITATION_d161d3eb-5d38-4b31-8406-db4cef06d1b0&quot;,&quot;properties&quot;:{&quot;noteIndex&quot;:0},&quot;isEdited&quot;:false,&quot;manualOverride&quot;:{&quot;isManuallyOverridden&quot;:false,&quot;citeprocText&quot;:&quot;(Gelauff &amp;#38; Stone, 2016; Patron et al., 2022; Pun et al., 2020)&quot;,&quot;manualOverrideText&quot;:&quot;&quot;},&quot;citationItems&quot;:[{&quot;id&quot;:&quot;80b3ab57-f872-3679-8867-f1f08cba317e&quot;,&quot;itemData&quot;:{&quot;type&quot;:&quot;article-journal&quot;,&quot;id&quot;:&quot;80b3ab57-f872-3679-8867-f1f08cba317e&quot;,&quot;title&quot;:&quot;Psychiatric Comorbidities in Functional Neurologic Symptom Disorder&quot;,&quot;author&quot;:[{&quot;family&quot;:&quot;Patron&quot;,&quot;given&quot;:&quot;Victor German&quot;,&quot;parse-names&quot;:false,&quot;dropping-particle&quot;:&quot;&quot;,&quot;non-dropping-particle&quot;:&quot;&quot;},{&quot;family&quot;:&quot;Rustomji&quot;,&quot;given&quot;:&quot;Yazmin&quot;,&quot;parse-names&quot;:false,&quot;dropping-particle&quot;:&quot;&quot;,&quot;non-dropping-particle&quot;:&quot;&quot;},{&quot;family&quot;:&quot;Yip&quot;,&quot;given&quot;:&quot;Chadwick&quot;,&quot;parse-names&quot;:false,&quot;dropping-particle&quot;:&quot;&quot;,&quot;non-dropping-particle&quot;:&quot;&quot;},{&quot;family&quot;:&quot;Jenkins&quot;,&quot;given&quot;:&quot;Lisanne Michelle&quot;,&quot;parse-names&quot;:false,&quot;dropping-particle&quot;:&quot;&quot;,&quot;non-dropping-particle&quot;:&quot;&quot;}],&quot;container-title&quot;:&quot;Practical neurology (Fort Washington, Pa.)&quot;,&quot;container-title-short&quot;:&quot;Pract Neurol (Fort Wash Pa)&quot;,&quot;accessed&quot;:{&quot;date-parts&quot;:[[2023,4,30]]},&quot;ISSN&quot;:&quot;1540-1367 (Print)&quot;,&quot;PMID&quot;:&quot;36644502&quot;,&quot;URL&quot;:&quot;/pmc/articles/PMC9836030/&quot;,&quot;issued&quot;:{&quot;date-parts&quot;:[[2022]]},&quot;page&quot;:&quot;71&quot;,&quot;abstract&quot;:&quot;Attachment deficits in the context of psychosocial factors may explain the  presence of functional neurologic disorder.&quot;,&quot;publisher&quot;:&quot;NIH Public Access&quot;,&quot;issue&quot;:&quot;3&quot;,&quot;volume&quot;:&quot;21&quot;},&quot;isTemporary&quot;:false},{&quot;id&quot;:&quot;a9b446fe-0868-31c6-a958-fb432e6c04af&quot;,&quot;itemData&quot;:{&quot;type&quot;:&quot;article-journal&quot;,&quot;id&quot;:&quot;a9b446fe-0868-31c6-a958-fb432e6c04af&quot;,&quot;title&quot;:&quot;Psychological Profiles and Clinical Clusters of Patients Diagnosed With Functional Neurological Disorder&quot;,&quot;author&quot;:[{&quot;family&quot;:&quot;Pun&quot;,&quot;given&quot;:&quot;Paul&quot;,&quot;parse-names&quot;:false,&quot;dropping-particle&quot;:&quot;&quot;,&quot;non-dropping-particle&quot;:&quot;&quot;},{&quot;family&quot;:&quot;Frater&quot;,&quot;given&quot;:&quot;Julanne&quot;,&quot;parse-names&quot;:false,&quot;dropping-particle&quot;:&quot;&quot;,&quot;non-dropping-particle&quot;:&quot;&quot;},{&quot;family&quot;:&quot;Broughton&quot;,&quot;given&quot;:&quot;Megan&quot;,&quot;parse-names&quot;:false,&quot;dropping-particle&quot;:&quot;&quot;,&quot;non-dropping-particle&quot;:&quot;&quot;},{&quot;family&quot;:&quot;Dob&quot;,&quot;given&quot;:&quot;Rian&quot;,&quot;parse-names&quot;:false,&quot;dropping-particle&quot;:&quot;&quot;,&quot;non-dropping-particle&quot;:&quot;&quot;},{&quot;family&quot;:&quot;Lehn&quot;,&quot;given&quot;:&quot;Alexander&quot;,&quot;parse-names&quot;:false,&quot;dropping-particle&quot;:&quot;&quot;,&quot;non-dropping-particle&quot;:&quot;&quot;}],&quot;container-title&quot;:&quot;Frontiers in Neurology&quot;,&quot;container-title-short&quot;:&quot;Front Neurol&quot;,&quot;accessed&quot;:{&quot;date-parts&quot;:[[2023,4,30]]},&quot;DOI&quot;:&quot;10.3389/FNEUR.2020.580267/BIBTEX&quot;,&quot;ISSN&quot;:&quot;16642295&quot;,&quot;issued&quot;:{&quot;date-parts&quot;:[[2020,10,15]]},&quot;page&quot;:&quot;1222&quot;,&quot;abstract&quot;:&quot;Our understanding about underlying mechanisms leading to Functional Neurological Disorders (FND) has changed in recent years. While in the past these disorders were presumed to be solely due to psychological issues we know now that their development is dependent on complex interactions between biological, psychological and social factors. We present an analysis of clinical presentations and psychological profiles of patients who were seen in our FND outpatient clinic over 3 years. We aim to review the prevalence of common symptoms in the patients seen within our clinic, and to identify any common psychological or psychiatric profiles that differentiated these symptom groups. This may help to elucidate underlying mechanisms leading to the development of functional symptoms and identify the predisposing, triggering and perpetuation factors.&quot;,&quot;publisher&quot;:&quot;Frontiers Media S.A.&quot;,&quot;volume&quot;:&quot;11&quot;},&quot;isTemporary&quot;:false},{&quot;id&quot;:&quot;a6531271-122c-3a1a-a24f-3832bda47430&quot;,&quot;itemData&quot;:{&quot;type&quot;:&quot;article-journal&quot;,&quot;id&quot;:&quot;a6531271-122c-3a1a-a24f-3832bda47430&quot;,&quot;title&quot;:&quot;Prognosis of functional neurologic disorders&quot;,&quot;author&quot;:[{&quot;family&quot;:&quot;Gelauff&quot;,&quot;given&quot;:&quot;J&quot;,&quot;parse-names&quot;:false,&quot;dropping-particle&quot;:&quot;&quot;,&quot;non-dropping-particle&quot;:&quot;&quot;},{&quot;family&quot;:&quot;Stone&quot;,&quot;given&quot;:&quot;J&quot;,&quot;parse-names&quot;:false,&quot;dropping-particle&quot;:&quot;&quot;,&quot;non-dropping-particle&quot;:&quot;&quot;}],&quot;container-title&quot;:&quot;Handb Clin Neurol&quot;,&quot;DOI&quot;:&quot;10.1016/b978-0-12-801772-2.00043-6&quot;,&quot;ISSN&quot;:&quot;0072-9752 (Print)\r0072-9752&quot;,&quot;PMID&quot;:&quot;27719869&quot;,&quot;issued&quot;:{&quot;date-parts&quot;:[[2016]]},&quot;page&quot;:&quot;523-541&quot;,&quot;language&quot;:&quot;eng&quot;,&quot;abstract&quot;:&quot;The prognosis of functional (psychogenic) neurologic disorders is important in being able to help answer patients' and carers' questions, determine whether treatment is worthwhile, and to find out which factors predict outcome. We reviewed data on prognosis of functional neurologic disorders from two systematic reviews on functional motor disorders and dissociative (nonepileptic) seizures as well as additional studies on functional visual and sensory symptoms. Methodologic problems include heterogeneity in studied samples and outcome measures, diagnostic suspicion and referral bias, small size and retrospective design of available studies, possible treatments during follow-up, and literature review bias. With these caveats, the prognosis of functional neurologic disorders does appear to be generally unfavorable. In most studies, functional motor symptoms and psychogenic nonepileptic attacks remain the same or are worse in the majority of patients at follow-up. Measures of quality of life and working status were often poor at follow-up. Frequency of misdiagnosis at follow-up was as low as other neurologic and psychiatric disorders. Long duration of symptoms was the most distinct negative predictor. Early diagnosis and young age seem to predict good outcome. Emotional disorders and personality disorders were inconsistent predictors. Litigation and state benefits were found to be negative predictors in some studies, but others found they did not influence outcome.&quot;,&quot;edition&quot;:&quot;2016/10/11&quot;,&quot;volume&quot;:&quot;139&quot;,&quot;container-title-short&quot;:&quot;&quot;},&quot;isTemporary&quot;:false}],&quot;citationTag&quot;:&quot;MENDELEY_CITATION_v3_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&quot;},{&quot;citationID&quot;:&quot;MENDELEY_CITATION_494a3c31-c724-424d-a42c-107b74a2adf1&quot;,&quot;properties&quot;:{&quot;noteIndex&quot;:0},&quot;isEdited&quot;:false,&quot;manualOverride&quot;:{&quot;isManuallyOverridden&quot;:true,&quot;citeprocText&quot;:&quot;(Espay, Aybek, et al., 2018)&quot;,&quot;manualOverrideText&quot;:&quot;(Espay, Aybek et al., 2018)&quot;},&quot;citationItems&quot;:[{&quot;id&quot;:&quot;f3bdefe1-16aa-34b9-9eed-68baadfc442b&quot;,&quot;itemData&quot;:{&quot;type&quot;:&quot;article-journal&quot;,&quot;id&quot;:&quot;f3bdefe1-16aa-34b9-9eed-68baadfc442b&quot;,&quot;title&quot;:&quot;Current Concepts in Diagnosis and Treatment of Functional Neurological Disorders&quot;,&quot;author&quot;:[{&quot;family&quot;:&quot;Espay&quot;,&quot;given&quot;:&quot;A J&quot;,&quot;parse-names&quot;:false,&quot;dropping-particle&quot;:&quot;&quot;,&quot;non-dropping-particle&quot;:&quot;&quot;},{&quot;family&quot;:&quot;Aybek&quot;,&quot;given&quot;:&quot;S&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LaFaver&quot;,&quot;given&quot;:&quot;K&quot;,&quot;parse-names&quot;:false,&quot;dropping-particle&quot;:&quot;&quot;,&quot;non-dropping-particle&quot;:&quot;&quot;},{&quot;family&quot;:&quot;LaFrance Jr.&quot;,&quot;given&quot;:&quot;W C&quot;,&quot;parse-names&quot;:false,&quot;dropping-particle&quot;:&quot;&quot;,&quot;non-dropping-particle&quot;:&quot;&quot;},{&quot;family&quot;:&quot;Lang&quot;,&quot;given&quot;:&quot;A E&quot;,&quot;parse-names&quot;:false,&quot;dropping-particle&quot;:&quot;&quot;,&quot;non-dropping-particle&quot;:&quot;&quot;},{&quot;family&quot;:&quot;Nicholson&quot;,&quot;given&quot;:&quot;T&quot;,&quot;parse-names&quot;:false,&quot;dropping-particle&quot;:&quot;&quot;,&quot;non-dropping-particle&quot;:&quot;&quot;},{&quot;family&quot;:&quot;Nielsen&quot;,&quot;given&quot;:&quot;G&quot;,&quot;parse-names&quot;:false,&quot;dropping-particle&quot;:&quot;&quot;,&quot;non-dropping-particle&quot;:&quot;&quot;},{&quot;family&quot;:&quot;Reuber&quot;,&quot;given&quot;:&quot;M&quot;,&quot;parse-names&quot;:false,&quot;dropping-particle&quot;:&quot;&quot;,&quot;non-dropping-particle&quot;:&quot;&quot;},{&quot;family&quot;:&quot;Voon&quot;,&quot;given&quot;:&quot;V&quot;,&quot;parse-names&quot;:false,&quot;dropping-particle&quot;:&quot;&quot;,&quot;non-dropping-particle&quot;:&quot;&quot;},{&quot;family&quot;:&quot;Stone&quot;,&quot;given&quot;:&quot;J&quot;,&quot;parse-names&quot;:false,&quot;dropping-particle&quot;:&quot;&quot;,&quot;non-dropping-particle&quot;:&quot;&quot;},{&quot;family&quot;:&quot;Morgante&quot;,&quot;given&quot;:&quot;F&quot;,&quot;parse-names&quot;:false,&quot;dropping-particle&quot;:&quot;&quot;,&quot;non-dropping-particle&quot;:&quot;&quot;}],&quot;container-title&quot;:&quot;JAMA Neurol&quot;,&quot;DOI&quot;:&quot;10.1001/jamaneurol.2018.1264&quot;,&quot;ISSN&quot;:&quot;2168-6149&quot;,&quot;PMID&quot;:&quot;29868890&quot;,&quot;issued&quot;:{&quot;date-parts&quot;:[[2018]]},&quot;page&quot;:&quot;1132-1141&quot;,&quot;language&quot;:&quot;eng&quot;,&quot;abstract&quot;:&quot;IMPORTANCE: Functional neurological disorders (FND) are common sources of disability in medicine. Patients have often been misdiagnosed, correctly diagnosed after lengthy delays, and/or subjected to poorly delivered diagnoses that prevent diagnostic understanding and lead to inappropriate treatments, iatrogenic harm, unnecessary and costly evaluations, and poor outcomes. OBSERVATIONS: Functional Neurological Symptom Disorder/Conversion Disorder was adopted by the Diagnostic and Statistical Manual of Mental Disorders, Fifth Edition, replacing the term psychogenic with functional and removing the criterion of psychological stress as a prerequisite for FND. A diagnosis can now be made in an inclusionary manner by identifying neurological signs that are specific to FNDs without reliance on presence or absence of psychological stressors or suggestive historical clues. The new model highlights a wider range of past sensitizing events, such as physical trauma, medical illness, or physiological/psychophysiological events. In this model, strong ideas and expectations about these events correlate with abnormal predictions of sensory data and body-focused attention. Neurobiological abnormalities include hypoactivation of the supplementary motor area and relative disconnection with areas that select or inhibit movements and are associated with a sense of agency. Promising evidence has accumulated for the benefit of specific physical rehabilitation and psychological interventions alone or in combination, but clinical trial evidence remains limited. CONCLUSIONS AND RELEVANCE: Functional neurological disorders are a neglected but potentially reversible source of disability. Further research is needed to determine the dose and duration of various interventions, the value of combination treatments and multidisciplinary therapy, and the therapeutic modality best suited for each patient.&quot;,&quot;edition&quot;:&quot;2018/06/06&quot;,&quot;issue&quot;:&quot;9&quot;,&quot;volume&quot;:&quot;75&quot;,&quot;container-title-short&quot;:&quot;&quot;},&quot;isTemporary&quot;:false}],&quot;citationTag&quot;:&quot;MENDELEY_CITATION_v3_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&quot;},{&quot;citationID&quot;:&quot;MENDELEY_CITATION_73c35fd0-a4d2-4650-8a46-37d6e444ae32&quot;,&quot;properties&quot;:{&quot;noteIndex&quot;:0},&quot;isEdited&quot;:false,&quot;manualOverride&quot;:{&quot;isManuallyOverridden&quot;:false,&quot;citeprocText&quot;:&quot;(Gelauff et al., 2014; Gelauff &amp;#38; Stone, 2016)&quot;,&quot;manualOverrideText&quot;:&quot;&quot;},&quot;citationItems&quot;:[{&quot;id&quot;:&quot;a6531271-122c-3a1a-a24f-3832bda47430&quot;,&quot;itemData&quot;:{&quot;type&quot;:&quot;article-journal&quot;,&quot;id&quot;:&quot;a6531271-122c-3a1a-a24f-3832bda47430&quot;,&quot;title&quot;:&quot;Prognosis of functional neurologic disorders&quot;,&quot;author&quot;:[{&quot;family&quot;:&quot;Gelauff&quot;,&quot;given&quot;:&quot;J&quot;,&quot;parse-names&quot;:false,&quot;dropping-particle&quot;:&quot;&quot;,&quot;non-dropping-particle&quot;:&quot;&quot;},{&quot;family&quot;:&quot;Stone&quot;,&quot;given&quot;:&quot;J&quot;,&quot;parse-names&quot;:false,&quot;dropping-particle&quot;:&quot;&quot;,&quot;non-dropping-particle&quot;:&quot;&quot;}],&quot;container-title&quot;:&quot;Handb Clin Neurol&quot;,&quot;DOI&quot;:&quot;10.1016/b978-0-12-801772-2.00043-6&quot;,&quot;ISSN&quot;:&quot;0072-9752 (Print)\r0072-9752&quot;,&quot;PMID&quot;:&quot;27719869&quot;,&quot;issued&quot;:{&quot;date-parts&quot;:[[2016]]},&quot;page&quot;:&quot;523-541&quot;,&quot;language&quot;:&quot;eng&quot;,&quot;abstract&quot;:&quot;The prognosis of functional (psychogenic) neurologic disorders is important in being able to help answer patients' and carers' questions, determine whether treatment is worthwhile, and to find out which factors predict outcome. We reviewed data on prognosis of functional neurologic disorders from two systematic reviews on functional motor disorders and dissociative (nonepileptic) seizures as well as additional studies on functional visual and sensory symptoms. Methodologic problems include heterogeneity in studied samples and outcome measures, diagnostic suspicion and referral bias, small size and retrospective design of available studies, possible treatments during follow-up, and literature review bias. With these caveats, the prognosis of functional neurologic disorders does appear to be generally unfavorable. In most studies, functional motor symptoms and psychogenic nonepileptic attacks remain the same or are worse in the majority of patients at follow-up. Measures of quality of life and working status were often poor at follow-up. Frequency of misdiagnosis at follow-up was as low as other neurologic and psychiatric disorders. Long duration of symptoms was the most distinct negative predictor. Early diagnosis and young age seem to predict good outcome. Emotional disorders and personality disorders were inconsistent predictors. Litigation and state benefits were found to be negative predictors in some studies, but others found they did not influence outcome.&quot;,&quot;edition&quot;:&quot;2016/10/11&quot;,&quot;volume&quot;:&quot;139&quot;,&quot;container-title-short&quot;:&quot;&quot;},&quot;isTemporary&quot;:false},{&quot;id&quot;:&quot;171e35cf-2d20-3410-ac0b-acdccade4d42&quot;,&quot;itemData&quot;:{&quot;type&quot;:&quot;article-journal&quot;,&quot;id&quot;:&quot;171e35cf-2d20-3410-ac0b-acdccade4d42&quot;,&quot;title&quot;:&quot;The prognosis of functional (psychogenic) motor symptoms: a systematic review&quot;,&quot;author&quot;:[{&quot;family&quot;:&quot;Gelauff&quot;,&quot;given&quot;:&quot;Jeannette&quot;,&quot;parse-names&quot;:false,&quot;dropping-particle&quot;:&quot;&quot;,&quot;non-dropping-particle&quot;:&quot;&quot;},{&quot;family&quot;:&quot;Stone&quot;,&quot;given&quot;:&quot;Jon&quot;,&quot;parse-names&quot;:false,&quot;dropping-particle&quot;:&quot;&quot;,&quot;non-dropping-particle&quot;:&quot;&quot;},{&quot;family&quot;:&quot;Edwards&quot;,&quot;given&quot;:&quot;Mark&quot;,&quot;parse-names&quot;:false,&quot;dropping-particle&quot;:&quot;&quot;,&quot;non-dropping-particle&quot;:&quot;&quot;},{&quot;family&quot;:&quot;Carson&quot;,&quot;given&quot;:&quot;Alan&quot;,&quot;parse-names&quot;:false,&quot;dropping-particle&quot;:&quot;&quot;,&quot;non-dropping-particle&quot;:&quot;&quot;}],&quot;container-title&quot;:&quot;Journal of neurology, neurosurgery, and psychiatry&quot;,&quot;container-title-short&quot;:&quot;J Neurol Neurosurg Psychiatry&quot;,&quot;accessed&quot;:{&quot;date-parts&quot;:[[2023,5,7]]},&quot;DOI&quot;:&quot;10.1136/JNNP-2013-305321&quot;,&quot;ISSN&quot;:&quot;1468-330X&quot;,&quot;PMID&quot;:&quot;24029543&quot;,&quot;URL&quot;:&quot;https://pubmed.ncbi.nlm.nih.gov/24029543/&quot;,&quot;issued&quot;:{&quot;date-parts&quot;:[[2014]]},&quot;page&quot;:&quot;220-226&quot;,&quot;abstract&quot;:&quot;Background The prognosis of functional (or psychogenic) motor symptoms (weakness and movement disorder) has not been systematically reviewed. Methods We systematically reviewed PubMed for all studies of eight or more patients with functional motor symptoms reporting follow-up data longer than 6 months (excluding studies reporting specific treatments). We recorded symptom duration, physical and psychiatric comorbidity, disability, occupational functioning at follow-up and prognostic factors. Results 24 studies were included. There was heterogeneity regarding study size (number of patients (n)=10 491), follow-up duration clinical setting and data availability. Most studies (n=15) were retrospective. Reported symptom outcome was highly variable. Mean weighted follow-up duration was 7.4 years (in 13 studies where data was extractable). The mean percentage of patients same or worse at follow-up for all studies was 39%, range 10% to 90%, n=1134. Levels of physical disability and psychological comorbidity at follow-up were high. Short duration of symptoms, early diagnosis and high satisfaction with care predicted positive outcome in two studies. Gender had no effect. Delayed diagnosis and personality disorder were negatively correlated with outcome. Prognostic factors that varied between studies included age, comorbid anxiety and depression, IQ, educational status, marital status and pending litigation. Conclusions Existing follow-up studies of functional motor symptoms give us some insights regarding outcome and prognostic factors but are limited by their largely retrospective and selective nature. Overall, prognosis appears unfavourable. The severity and chronicity of functional motor symptoms argues for larger prospective studies including multiple prognostic factors at baseline in order to better understand their natural history.&quot;,&quot;publisher&quot;:&quot;J Neurol Neurosurg Psychiatry&quot;,&quot;issue&quot;:&quot;2&quot;,&quot;volume&quot;:&quot;85&quot;},&quot;isTemporary&quot;:false}],&quot;citationTag&quot;:&quot;MENDELEY_CITATION_v3_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&quot;},{&quot;citationID&quot;:&quot;MENDELEY_CITATION_9e2efaea-a729-4c15-aced-79e9002785df&quot;,&quot;properties&quot;:{&quot;noteIndex&quot;:0},&quot;isEdited&quot;:false,&quot;manualOverride&quot;:{&quot;isManuallyOverridden&quot;:false,&quot;citeprocText&quot;:&quot;(Stone et al., 2005)&quot;,&quot;manualOverrideText&quot;:&quot;&quot;},&quot;citationItems&quot;:[{&quot;id&quot;:&quot;5b8fac1f-c2f4-3078-8f1d-960da94661da&quot;,&quot;itemData&quot;:{&quot;type&quot;:&quot;article-journal&quot;,&quot;id&quot;:&quot;5b8fac1f-c2f4-3078-8f1d-960da94661da&quot;,&quot;title&quot;:&quot;Systematic review of misdiagnosis of conversion symptoms and “hysteria”&quot;,&quot;author&quot;:[{&quot;family&quot;:&quot;Stone&quot;,&quot;given&quot;:&quot;Jon&quot;,&quot;parse-names&quot;:false,&quot;dropping-particle&quot;:&quot;&quot;,&quot;non-dropping-particle&quot;:&quot;&quot;},{&quot;family&quot;:&quot;Smyth&quot;,&quot;given&quot;:&quot;Roger&quot;,&quot;parse-names&quot;:false,&quot;dropping-particle&quot;:&quot;&quot;,&quot;non-dropping-particle&quot;:&quot;&quot;},{&quot;family&quot;:&quot;Carson&quot;,&quot;given&quot;:&quot;Alan&quot;,&quot;parse-names&quot;:false,&quot;dropping-particle&quot;:&quot;&quot;,&quot;non-dropping-particle&quot;:&quot;&quot;},{&quot;family&quot;:&quot;Lewis&quot;,&quot;given&quot;:&quot;Steff&quot;,&quot;parse-names&quot;:false,&quot;dropping-particle&quot;:&quot;&quot;,&quot;non-dropping-particle&quot;:&quot;&quot;},{&quot;family&quot;:&quot;Prescott&quot;,&quot;given&quot;:&quot;Robin&quot;,&quot;parse-names&quot;:false,&quot;dropping-particle&quot;:&quot;&quot;,&quot;non-dropping-particle&quot;:&quot;&quot;},{&quot;family&quot;:&quot;Warlow&quot;,&quot;given&quot;:&quot;Charles&quot;,&quot;parse-names&quot;:false,&quot;dropping-particle&quot;:&quot;&quot;,&quot;non-dropping-particle&quot;:&quot;&quot;},{&quot;family&quot;:&quot;Sharpe&quot;,&quot;given&quot;:&quot;Michael&quot;,&quot;parse-names&quot;:false,&quot;dropping-particle&quot;:&quot;&quot;,&quot;non-dropping-particle&quot;:&quot;&quot;}],&quot;container-title&quot;:&quot;BMJ : British Medical Journal&quot;,&quot;accessed&quot;:{&quot;date-parts&quot;:[[2023,4,28]]},&quot;DOI&quot;:&quot;10.1136/BMJ.38628.466898.55&quot;,&quot;ISSN&quot;:&quot;09598146&quot;,&quot;PMID&quot;:&quot;16223792&quot;,&quot;URL&quot;:&quot;/pmc/articles/PMC1273448/&quot;,&quot;issued&quot;:{&quot;date-parts&quot;:[[2005,10,10]]},&quot;page&quot;:&quot;989&quot;,&quot;abstract&quot;:&quot;Objective: Paralysis, seizures, and sensory symptoms that are unexplained by organic disease are commonly referred to as \&quot;conversion\&quot; symptoms. Some patients who receive this diagnosis subsequently turn out to have a disease that explains their initial presentation. We aimed to determine how frequently this misdiagnosis occurs, and whether it has become less common since the widespread availability of brain imaging. Design: Systematic review. Data sources: Medline, Embase, PsycINFO, Cinahl databases, and searches of reference lists. Review methods: We included studies published since 1965 on the diagnostic outcome of adults with motor and sensory symptoms unexplained by disease. We critically appraised these papers, and carried out a multivariate, random effect, meta-analysis of the data. Results: Twenty seven studies including a total of 1466 patients and a median duration of follow-up of five years were eligible for inclusion. Early studies were of poor quality. There was a significant (P &lt; 0.02) decline in the mean rate of misdiagnosis from the 1950s to the present day; 29% (95% confidence interval 23% to 36%) in the 1950s; 17% (12% to 24%) in the 1960s; 4% (2% to 7%) in the 1970s; 4% (2% to 6%) in the 1980s; and 4% (2% to 6%) in the 1990s. This decline was independent of age, sex, and duration of symptom in people included in the studies. Conclusions: A high rate of misdiagnosis of conversion symptoms was reported in early studies but this rate has been only 4% on average in studies of this diagnosis since 1970. This decline is probably due to improvements in study quality rather than improved diagnostic accuracy arising from the introduction of computed tomography of the brain.&quot;,&quot;publisher&quot;:&quot;BMJ Publishing Group&quot;,&quot;issue&quot;:&quot;7523&quot;,&quot;volume&quot;:&quot;331&quot;,&quot;container-title-short&quot;:&quot;&quot;},&quot;isTemporary&quot;:false}],&quot;citationTag&quot;:&quot;MENDELEY_CITATION_v3_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&quot;},{&quot;citationID&quot;:&quot;MENDELEY_CITATION_4a5e0ecf-1913-4934-a52d-53a8a8ee7a9c&quot;,&quot;properties&quot;:{&quot;noteIndex&quot;:0},&quot;isEdited&quot;:false,&quot;manualOverride&quot;:{&quot;isManuallyOverridden&quot;:false,&quot;citeprocText&quot;:&quot;(American Psychiatric Association, 2013; Kanaan et al., 2010; Stone et al., 2020)&quot;,&quot;manualOverrideText&quot;:&quot;&quot;},&quot;citationItems&quot;:[{&quot;id&quot;:&quot;ecd49a24-d140-3c48-9de0-c4bc56526fc7&quot;,&quot;itemData&quot;:{&quot;type&quot;:&quot;book&quot;,&quot;id&quot;:&quot;ecd49a24-d140-3c48-9de0-c4bc56526fc7&quot;,&quot;title&quot;:&quot;Diagnostic and statistical manual of mental disorders: DSM-5™, 5th ed&quot;,&quot;author&quot;:[{&quot;family&quot;:&quot;American Psychiatric Association&quot;,&quot;given&quot;:&quot;DSM-5 Task Force&quot;,&quot;parse-names&quot;:false,&quot;dropping-particle&quot;:&quot;&quot;,&quot;non-dropping-particle&quot;:&quot;&quot;}],&quot;container-title&quot;:&quot;Diagnostic and statistical manual of mental disorders: DSM-5™, 5th ed.&quot;,&quot;DOI&quot;:&quot;10.1176/appi.books.9780890425596&quot;,&quot;ISBN&quot;:&quot;978-0-89042-554-1 (Hardcover); 978-0-89042-555-8 (Paperback)&quot;,&quot;issued&quot;:{&quot;date-parts&quot;:[[2013]]},&quot;publisher-place&quot;:&quot;Arlington, VA, US&quot;,&quot;number-of-pages&quot;:&quot;947, xliv, 947-xliv&quot;,&quot;abstract&quot;:&quot;The American Psychiatric Association's Diagnostic and Statistical Manual of Mental Disorders (DSM) is a classification of mental disorders with associated criteria designed to facilitate more reliable diagnoses of these disorders. Since a complete description of the underlying pathological processes is not possible for most mental disorders, it is important to emphasize that the current diagnostic criteria are the best available description of how mental disorders are expressed and can be recognized by trained clinicians. DSM is intended to serve as a practical, functional, and flexible guide for organizing information that can aid in the accurate diagnosis and treatment of mental disorders. It is a tool for clinicians, an essential educational resource for students and practitioners, and a reference for researchers in the field. (PsycINFO Database Record (c) 2019 APA, all rights reserved)&quot;,&quot;publisher&quot;:&quot;American Psychiatric Publishing, Inc.&quot;,&quot;container-title-short&quot;:&quot;&quot;},&quot;isTemporary&quot;:false},{&quot;id&quot;:&quot;8bf9f387-e962-3a2a-af14-47994e2a78d1&quot;,&quot;itemData&quot;:{&quot;type&quot;:&quot;chapter&quot;,&quot;id&quot;:&quot;8bf9f387-e962-3a2a-af14-47994e2a78d1&quot;,&quot;title&quot;:&quot;What's so special about conversion disorder? A problem and a proposal for diagnostic classification&quot;,&quot;author&quot;:[{&quot;family&quot;:&quot;Kanaan&quot;,&quot;given&quot;:&quot;R A&quot;,&quot;parse-names&quot;:false,&quot;dropping-particle&quot;:&quot;&quot;,&quot;non-dropping-particle&quot;:&quot;&quot;},{&quot;family&quot;:&quot;Carson&quot;,&quot;given&quot;:&quot;A&quot;,&quot;parse-names&quot;:false,&quot;dropping-particle&quot;:&quot;&quot;,&quot;non-dropping-particle&quot;:&quot;&quot;},{&quot;family&quot;:&quot;Wessely&quot;,&quot;given&quot;:&quot;S C&quot;,&quot;parse-names&quot;:false,&quot;dropping-particle&quot;:&quot;&quot;,&quot;non-dropping-particle&quot;:&quot;&quot;},{&quot;family&quot;:&quot;Nicholson&quot;,&quot;given&quot;:&quot;T R&quot;,&quot;parse-names&quot;:false,&quot;dropping-particle&quot;:&quot;&quot;,&quot;non-dropping-particle&quot;:&quot;&quot;},{&quot;family&quot;:&quot;Aybek&quot;,&quot;given&quot;:&quot;S&quot;,&quot;parse-names&quot;:false,&quot;dropping-particle&quot;:&quot;&quot;,&quot;non-dropping-particle&quot;:&quot;&quot;},{&quot;family&quot;:&quot;David&quot;,&quot;given&quot;:&quot;A S&quot;,&quot;parse-names&quot;:false,&quot;dropping-particle&quot;:&quot;&quot;,&quot;non-dropping-particle&quot;:&quot;&quot;}],&quot;container-title&quot;:&quot;Br J Psychiatry&quot;,&quot;DOI&quot;:&quot;10.1192/bjp.bp.109.073981&quot;,&quot;ISBN&quot;:&quot;1472-1465 (Electronic)\r0007-1250 (Linking)&quot;,&quot;PMID&quot;:&quot;20513849&quot;,&quot;issued&quot;:{&quot;date-parts&quot;:[[2010]]},&quot;publisher-place&quot;:&quot;England&quot;,&quot;page&quot;:&quot;427-428&quot;,&quot;language&quot;:&quot;eng&quot;,&quot;abstract&quot;:&quot;Conversion disorder presents a problem for the revisions of DSM-IV and ICD-10, for reasons that are informative about the difficulties of psychiatric classification more generally. Giving up criteria based on psychological aetiology may be a painful sacrifice but it is still the right thing to do.&quot;,&quot;issue&quot;:&quot;6&quot;,&quot;volume&quot;:&quot;196&quot;,&quot;container-title-short&quot;:&quot;&quot;},&quot;isTemporary&quot;:false},{&quot;id&quot;:&quot;f4cc527a-5cc6-388b-9c91-4ca20ccde896&quot;,&quot;itemData&quot;:{&quot;type&quot;:&quot;article-journal&quot;,&quot;id&quot;:&quot;f4cc527a-5cc6-388b-9c91-4ca20ccde896&quot;,&quot;title&quot;:&quot;Recognising and explaining functional neurological disorder&quot;,&quot;author&quot;:[{&quot;family&quot;:&quot;Stone&quot;,&quot;given&quot;:&quot;Jon&quot;,&quot;parse-names&quot;:false,&quot;dropping-particle&quot;:&quot;&quot;,&quot;non-dropping-particle&quot;:&quot;&quot;},{&quot;family&quot;:&quot;Burton&quot;,&quot;given&quot;:&quot;Chris&quot;,&quot;parse-names&quot;:false,&quot;dropping-particle&quot;:&quot;&quot;,&quot;non-dropping-particle&quot;:&quot;&quot;},{&quot;family&quot;:&quot;Carson&quot;,&quot;given&quot;:&quot;Alan&quot;,&quot;parse-names&quot;:false,&quot;dropping-particle&quot;:&quot;&quot;,&quot;non-dropping-particle&quot;:&quot;&quot;}],&quot;container-title&quot;:&quot;BMJ&quot;,&quot;accessed&quot;:{&quot;date-parts&quot;:[[2023,4,30]]},&quot;DOI&quot;:&quot;10.1136/BMJ.M3745&quot;,&quot;ISSN&quot;:&quot;1756-1833&quot;,&quot;PMID&quot;:&quot;33087335&quot;,&quot;URL&quot;:&quot;https://www.bmj.com/content/371/bmj.m3745&quot;,&quot;issued&quot;:{&quot;date-parts&quot;:[[2020,10,21]]},&quot;abstract&quot;:&quot;### What you need to know\n\nFunctional disorders are conditions whose origin arises primarily from a disorder of nervous system functioning rather than clearly identifiable pathophysiological disease—such as irritable bowel syndrome, fibromyalgia, and functional neurological disorder (FND)—they are the second commonest reason for new neurology consultations.1 FND is common in emergency settings,2 stroke,3 and rehabilitation services.4 It causes considerable physical disability and distress, and often places an economic burden both on patients and health services.5 Many clinicians have had little formal clinical education on the assessment and management of these disorders, and patients are often not offered potentially effective treatments.\n\nIn practice, FND should be diagnosed by someone with specific expertise in the diagnosis of neurological conditions. Our recommendation is to refer all patients with a suspected diagnosis of FND to secondary care. However, the diagnosis may be raised as a possibility with the patient in primary care, and knowledge of how the diagnosis is confirmed greatly aids subsequent management.\n\nIn this article we offer evidence based advice to generalists on how to recognise FND, based on clinical diagnostic and prognostic studies. Although the focus of this paper is on recognising FND, we have included a short box on management to make readers aware that there are good treatments available for FND and that some patients can get better.\n\n### Sources and selection criteria\n\nWe conducted a PubMed search of evidence for diagnosis of functional neurological disorder (FND) until June 2020, especially systematic reviews.14 …&quot;,&quot;publisher&quot;:&quot;British Medical Journal Publishing Group&quot;,&quot;volume&quot;:&quot;371&quot;,&quot;container-title-short&quot;:&quot;&quot;},&quot;isTemporary&quot;:false}],&quot;citationTag&quot;:&quot;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&quot;},{&quot;citationID&quot;:&quot;MENDELEY_CITATION_59dee868-550c-4662-a148-a795b75e0e5d&quot;,&quot;properties&quot;:{&quot;noteIndex&quot;:0},&quot;isEdited&quot;:false,&quot;manualOverride&quot;:{&quot;isManuallyOverridden&quot;:false,&quot;citeprocText&quot;:&quot;(Daum et al., 2014)&quot;,&quot;manualOverrideText&quot;:&quot;&quot;},&quot;citationItems&quot;:[{&quot;id&quot;:&quot;a306a865-ef0a-3ddd-a48e-9c09b9973c7a&quot;,&quot;itemData&quot;:{&quot;type&quot;:&quot;article-journal&quot;,&quot;id&quot;:&quot;a306a865-ef0a-3ddd-a48e-9c09b9973c7a&quot;,&quot;title&quot;:&quot;The value of 'positive' clinical signs for weakness, sensory and gait disorders in conversion disorder: a systematic and narrative review&quot;,&quot;author&quot;:[{&quot;family&quot;:&quot;Daum&quot;,&quot;given&quot;:&quot;C&quot;,&quot;parse-names&quot;:false,&quot;dropping-particle&quot;:&quot;&quot;,&quot;non-dropping-particle&quot;:&quot;&quot;},{&quot;family&quot;:&quot;Hubschmid&quot;,&quot;given&quot;:&quot;M&quot;,&quot;parse-names&quot;:false,&quot;dropping-particle&quot;:&quot;&quot;,&quot;non-dropping-particle&quot;:&quot;&quot;},{&quot;family&quot;:&quot;Aybek&quot;,&quot;given&quot;:&quot;S&quot;,&quot;parse-names&quot;:false,&quot;dropping-particle&quot;:&quot;&quot;,&quot;non-dropping-particle&quot;:&quot;&quot;}],&quot;container-title&quot;:&quot;J Neurol Neurosurg Psychiatry&quot;,&quot;DOI&quot;:&quot;10.1136/jnnp-2012-304607&quot;,&quot;ISSN&quot;:&quot;0022-3050&quot;,&quot;PMID&quot;:&quot;23467417&quot;,&quot;issued&quot;:{&quot;date-parts&quot;:[[2014]]},&quot;page&quot;:&quot;180-190&quot;,&quot;language&quot;:&quot;eng&quot;,&quot;abstract&quot;:&quot;Experts in the field of conversion disorder have suggested for the upcoming DSM-V edition to put less weight on the associated psychological factors and to emphasise the role of clinical findings. Indeed, a critical step in reaching a diagnosis of conversion disorder is careful bedside neurological examination, aimed at excluding organic signs and identifying 'positive' signs suggestive of a functional disorder. These positive signs are well known to all trained neurologists but their validity is still not established. The aim of this study is to provide current evidence regarding their sensitivity and specificity. We conducted a systematic search on motor, sensory and gait functional signs in Embase, Medline, PsycINfo from 1965 to June 2012. Studies in English, German or French reporting objective data on more than 10 participants in a controlled design were included in a systematic review. Other relevant signs are discussed in a narrative review. Eleven controlled studies (out of 147 eligible articles) describing 14 signs (7 motor, 5 sensory, 2 gait) reported low sensitivity of 8-100% but high specificity of 92-100%. Studies were evidence class III, only two had a blinded design and none reported on inter-rater reliability of the signs. Clinical signs for functional neurological symptoms are numerous but only 14 have been validated; overall they have low sensitivity but high specificity and their use should thus be recommended, especially with the introduction of the new DSM-V criteria.&quot;,&quot;edition&quot;:&quot;2013/03/08&quot;,&quot;issue&quot;:&quot;2&quot;,&quot;volume&quot;:&quot;85&quot;,&quot;container-title-short&quot;:&quot;&quot;},&quot;isTemporary&quot;:false}],&quot;citationTag&quot;:&quot;MENDELEY_CITATION_v3_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&quot;},{&quot;citationID&quot;:&quot;MENDELEY_CITATION_8d4bf1fb-1587-49eb-90f5-7c06c77414aa&quot;,&quot;properties&quot;:{&quot;noteIndex&quot;:0},&quot;isEdited&quot;:false,&quot;manualOverride&quot;:{&quot;isManuallyOverridden&quot;:true,&quot;citeprocText&quot;:&quot;(A. J. Duncan et al., 2022)&quot;,&quot;manualOverrideText&quot;:&quot;(A. J. Duncan et al., 2022), &quot;},&quot;citationItems&quot;:[{&quot;id&quot;:&quot;ffb169a0-1b21-3cbd-a6ca-1d2bff4b52a1&quot;,&quot;itemData&quot;:{&quot;type&quot;:&quot;article-journal&quot;,&quot;id&quot;:&quot;ffb169a0-1b21-3cbd-a6ca-1d2bff4b52a1&quot;,&quot;title&quot;:&quot;Predictive semiology of psychogenic non-epileptic seizures in an epilepsy monitoring unit&quot;,&quot;author&quot;:[{&quot;family&quot;:&quot;Duncan&quot;,&quot;given&quot;:&quot;Andrew J.&quot;,&quot;parse-names&quot;:false,&quot;dropping-particle&quot;:&quot;&quot;,&quot;non-dropping-particle&quot;:&quot;&quot;},{&quot;family&quot;:&quot;Peric&quot;,&quot;given&quot;:&quot;Ivana&quot;,&quot;parse-names&quot;:false,&quot;dropping-particle&quot;:&quot;&quot;,&quot;non-dropping-particle&quot;:&quot;&quot;},{&quot;family&quot;:&quot;Boston&quot;,&quot;given&quot;:&quot;Ray&quot;,&quot;parse-names&quot;:false,&quot;dropping-particle&quot;:&quot;&quot;,&quot;non-dropping-particle&quot;:&quot;&quot;},{&quot;family&quot;:&quot;Seneviratne&quot;,&quot;given&quot;:&quot;Udaya&quot;,&quot;parse-names&quot;:false,&quot;dropping-particle&quot;:&quot;&quot;,&quot;non-dropping-particle&quot;:&quot;&quot;}],&quot;container-title&quot;:&quot;Journal of neurology&quot;,&quot;container-title-short&quot;:&quot;J Neurol&quot;,&quot;accessed&quot;:{&quot;date-parts&quot;:[[2023,5,25]]},&quot;DOI&quot;:&quot;10.1007/S00415-021-10805-1&quot;,&quot;ISSN&quot;:&quot;1432-1459&quot;,&quot;PMID&quot;:&quot;34550469&quot;,&quot;URL&quot;:&quot;https://pubmed.ncbi.nlm.nih.gov/34550469/&quot;,&quot;issued&quot;:{&quot;date-parts&quot;:[[2022,4,1]]},&quot;page&quot;:&quot;2172-2178&quot;,&quot;abstract&quot;:&quot;Introduction: The diagnosis of psychogenic nonepileptic seizures (PNES) is a common clinical dilemma. We sought to assess the diagnostic value of four ictal signs commonly used in differentiating PNES from epileptic seizures (ES). Methods: We retrospectively reviewed consecutive adult video-electroencephalogram (VEM) studies conducted at a single tertiary epilepsy center between May 2009 and August 2016. Each event was assessed by a blinded rater for the presence of four signs: fluctuating course, head shaking, hip thrusting, and back arching. The final diagnosis of PNES or ES was established for each event based on clinical and VEM characteristics. All ES were pooled regardless of focal or generalized onset. We analyzed the odds ratio of each sign in PNES in comparison to ES with adjustment for repeated measures using logistic regression. Additionally, we calculated the sensitivity, specificity, predictive values, and likelihood ratios of each sign to diagnose PNES. Results: A total of 742 events from 140 VEM studies were assessed. Fluctuating course (odds ratio (OR) 37.37, 95% confidence interval (CI) 13.56–102.96, P &lt; 0.0001), head shaking (OR 2.95, 95% CI 1.26–6.79, P = 0.012), and hip thrusting (OR 4.28, 95% CI 1.21–15.18, P = 0.02) were each significantly predictive of PNES. Fluctuating course had the highest sensitivity (76.16%). Back arching (OR 1.06, 95% CI 0.35–3.20, P = 0.92) was not significantly associated with PNES. Conclusion: Fluctuating course, head shaking, and hip thrusting are semiological features significantly more common in PNES than ES. Fluctuating course is the most reliable sign. Back arching does not appear to differentiate PNES from ES.&quot;,&quot;publisher&quot;:&quot;J Neurol&quot;,&quot;issue&quot;:&quot;4&quot;,&quot;volume&quot;:&quot;269&quot;},&quot;isTemporary&quot;:false}],&quot;citationTag&quot;:&quot;MENDELEY_CITATION_v3_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&quot;},{&quot;citationID&quot;:&quot;MENDELEY_CITATION_d2458744-77fb-422a-b5a8-f0d814e1b3d6&quot;,&quot;properties&quot;:{&quot;noteIndex&quot;:0},&quot;isEdited&quot;:false,&quot;manualOverride&quot;:{&quot;isManuallyOverridden&quot;:false,&quot;citeprocText&quot;:&quot;(Daum et al., 2014)&quot;,&quot;manualOverrideText&quot;:&quot;&quot;},&quot;citationItems&quot;:[{&quot;id&quot;:&quot;a306a865-ef0a-3ddd-a48e-9c09b9973c7a&quot;,&quot;itemData&quot;:{&quot;type&quot;:&quot;article-journal&quot;,&quot;id&quot;:&quot;a306a865-ef0a-3ddd-a48e-9c09b9973c7a&quot;,&quot;title&quot;:&quot;The value of 'positive' clinical signs for weakness, sensory and gait disorders in conversion disorder: a systematic and narrative review&quot;,&quot;author&quot;:[{&quot;family&quot;:&quot;Daum&quot;,&quot;given&quot;:&quot;C&quot;,&quot;parse-names&quot;:false,&quot;dropping-particle&quot;:&quot;&quot;,&quot;non-dropping-particle&quot;:&quot;&quot;},{&quot;family&quot;:&quot;Hubschmid&quot;,&quot;given&quot;:&quot;M&quot;,&quot;parse-names&quot;:false,&quot;dropping-particle&quot;:&quot;&quot;,&quot;non-dropping-particle&quot;:&quot;&quot;},{&quot;family&quot;:&quot;Aybek&quot;,&quot;given&quot;:&quot;S&quot;,&quot;parse-names&quot;:false,&quot;dropping-particle&quot;:&quot;&quot;,&quot;non-dropping-particle&quot;:&quot;&quot;}],&quot;container-title&quot;:&quot;J Neurol Neurosurg Psychiatry&quot;,&quot;DOI&quot;:&quot;10.1136/jnnp-2012-304607&quot;,&quot;ISSN&quot;:&quot;0022-3050&quot;,&quot;PMID&quot;:&quot;23467417&quot;,&quot;issued&quot;:{&quot;date-parts&quot;:[[2014]]},&quot;page&quot;:&quot;180-190&quot;,&quot;language&quot;:&quot;eng&quot;,&quot;abstract&quot;:&quot;Experts in the field of conversion disorder have suggested for the upcoming DSM-V edition to put less weight on the associated psychological factors and to emphasise the role of clinical findings. Indeed, a critical step in reaching a diagnosis of conversion disorder is careful bedside neurological examination, aimed at excluding organic signs and identifying 'positive' signs suggestive of a functional disorder. These positive signs are well known to all trained neurologists but their validity is still not established. The aim of this study is to provide current evidence regarding their sensitivity and specificity. We conducted a systematic search on motor, sensory and gait functional signs in Embase, Medline, PsycINfo from 1965 to June 2012. Studies in English, German or French reporting objective data on more than 10 participants in a controlled design were included in a systematic review. Other relevant signs are discussed in a narrative review. Eleven controlled studies (out of 147 eligible articles) describing 14 signs (7 motor, 5 sensory, 2 gait) reported low sensitivity of 8-100% but high specificity of 92-100%. Studies were evidence class III, only two had a blinded design and none reported on inter-rater reliability of the signs. Clinical signs for functional neurological symptoms are numerous but only 14 have been validated; overall they have low sensitivity but high specificity and their use should thus be recommended, especially with the introduction of the new DSM-V criteria.&quot;,&quot;edition&quot;:&quot;2013/03/08&quot;,&quot;issue&quot;:&quot;2&quot;,&quot;volume&quot;:&quot;85&quot;,&quot;container-title-short&quot;:&quot;&quot;},&quot;isTemporary&quot;:false}],&quot;citationTag&quot;:&quot;MENDELEY_CITATION_v3_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&quot;},{&quot;citationID&quot;:&quot;MENDELEY_CITATION_9239a02f-5918-4d2b-ba9d-cadf8401e294&quot;,&quot;properties&quot;:{&quot;noteIndex&quot;:0},&quot;isEdited&quot;:false,&quot;manualOverride&quot;:{&quot;isManuallyOverridden&quot;:true,&quot;citeprocText&quot;:&quot;(Aybek &amp;#38; Perez, 2022)&quot;,&quot;manualOverrideText&quot;:&quot;(Aybek &amp; Perez, 2022),&quot;},&quot;citationItems&quot;:[{&quot;id&quot;:&quot;cef48de8-df97-3cc3-bf9f-aaf2bd1aa559&quot;,&quot;itemData&quot;:{&quot;type&quot;:&quot;article-journal&quot;,&quot;id&quot;:&quot;cef48de8-df97-3cc3-bf9f-aaf2bd1aa559&quot;,&quot;title&quot;:&quot;Diagnosis and management of functional neurological disorder&quot;,&quot;author&quot;:[{&quot;family&quot;:&quot;Aybek&quot;,&quot;given&quot;:&quot;Selma&quot;,&quot;parse-names&quot;:false,&quot;dropping-particle&quot;:&quot;&quot;,&quot;non-dropping-particle&quot;:&quot;&quot;},{&quot;family&quot;:&quot;Perez&quot;,&quot;given&quot;:&quot;David L.&quot;,&quot;parse-names&quot;:false,&quot;dropping-particle&quot;:&quot;&quot;,&quot;non-dropping-particle&quot;:&quot;&quot;}],&quot;container-title&quot;:&quot;BMJ (Clinical research ed.)&quot;,&quot;container-title-short&quot;:&quot;BMJ&quot;,&quot;accessed&quot;:{&quot;date-parts&quot;:[[2023,4,29]]},&quot;DOI&quot;:&quot;10.1136/BMJ.O64&quot;,&quot;ISSN&quot;:&quot;1756-1833&quot;,&quot;PMID&quot;:&quot;35074803&quot;,&quot;URL&quot;:&quot;https://pubmed.ncbi.nlm.nih.gov/35074803/&quot;,&quot;issued&quot;:{&quot;date-parts&quot;:[[2022,1,24]]},&quot;abstract&quot;:&quot;Functional neurological disorder (FND), previously regarded as a diagnosis of exclusion, is now a rule-in diagnosis with available treatments. This represents a major step toward destigmatizing the disorder, which was often doubted and deemed untreatable. FND is prevalent, generally affecting young and middle aged adults, and can cause severe disability in some individuals. An early diagnosis, with subsequent access to evidence based rehabilitative and/or psychological treatments, can promote recovery - albeit not all patients respond to currently available treatments. This review presents the latest advances in the use of validated rule-in examination signs to guide diagnosis, and the range of therapeutic approaches available to care for patients with FND. The article focuses on the two most frequently identified subtypes of FND: motor (weakness and/or movement disorders) and seizure type symptoms. Twenty two studies on motor and 27 studies on seizure type symptoms report high specificities of clinical signs (64-100%), and individual signs are reviewed. Rehabilitative interventions (physical and occupational therapy) are treatments of choice for functional motor symptoms, while psychotherapy is an emerging evidence based treatment across FND subtypes. The literature to date highlights heterogeneity in responses to treatment, underscoring that more research is needed to individualize treatments and develop novel interventions.&quot;,&quot;publisher&quot;:&quot;BMJ&quot;,&quot;volume&quot;:&quot;376&quot;},&quot;isTemporary&quot;:false}],&quot;citationTag&quot;:&quot;MENDELEY_CITATION_v3_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&quot;},{&quot;citationID&quot;:&quot;MENDELEY_CITATION_142b7d61-dc1e-4ff9-8c64-aaf658bedda5&quot;,&quot;properties&quot;:{&quot;noteIndex&quot;:0},&quot;isEdited&quot;:false,&quot;manualOverride&quot;:{&quot;isManuallyOverridden&quot;:false,&quot;citeprocText&quot;:&quot;(Aybek &amp;#38; Perez, 2022; Gilmour et al., 2020; Nicholson et al., 2020)&quot;,&quot;manualOverrideText&quot;:&quot;&quot;},&quot;citationItems&quot;:[{&quot;id&quot;:&quot;cef48de8-df97-3cc3-bf9f-aaf2bd1aa559&quot;,&quot;itemData&quot;:{&quot;type&quot;:&quot;article-journal&quot;,&quot;id&quot;:&quot;cef48de8-df97-3cc3-bf9f-aaf2bd1aa559&quot;,&quot;title&quot;:&quot;Diagnosis and management of functional neurological disorder&quot;,&quot;author&quot;:[{&quot;family&quot;:&quot;Aybek&quot;,&quot;given&quot;:&quot;Selma&quot;,&quot;parse-names&quot;:false,&quot;dropping-particle&quot;:&quot;&quot;,&quot;non-dropping-particle&quot;:&quot;&quot;},{&quot;family&quot;:&quot;Perez&quot;,&quot;given&quot;:&quot;David L.&quot;,&quot;parse-names&quot;:false,&quot;dropping-particle&quot;:&quot;&quot;,&quot;non-dropping-particle&quot;:&quot;&quot;}],&quot;container-title&quot;:&quot;BMJ (Clinical research ed.)&quot;,&quot;container-title-short&quot;:&quot;BMJ&quot;,&quot;accessed&quot;:{&quot;date-parts&quot;:[[2023,4,29]]},&quot;DOI&quot;:&quot;10.1136/BMJ.O64&quot;,&quot;ISSN&quot;:&quot;1756-1833&quot;,&quot;PMID&quot;:&quot;35074803&quot;,&quot;URL&quot;:&quot;https://pubmed.ncbi.nlm.nih.gov/35074803/&quot;,&quot;issued&quot;:{&quot;date-parts&quot;:[[2022,1,24]]},&quot;abstract&quot;:&quot;Functional neurological disorder (FND), previously regarded as a diagnosis of exclusion, is now a rule-in diagnosis with available treatments. This represents a major step toward destigmatizing the disorder, which was often doubted and deemed untreatable. FND is prevalent, generally affecting young and middle aged adults, and can cause severe disability in some individuals. An early diagnosis, with subsequent access to evidence based rehabilitative and/or psychological treatments, can promote recovery - albeit not all patients respond to currently available treatments. This review presents the latest advances in the use of validated rule-in examination signs to guide diagnosis, and the range of therapeutic approaches available to care for patients with FND. The article focuses on the two most frequently identified subtypes of FND: motor (weakness and/or movement disorders) and seizure type symptoms. Twenty two studies on motor and 27 studies on seizure type symptoms report high specificities of clinical signs (64-100%), and individual signs are reviewed. Rehabilitative interventions (physical and occupational therapy) are treatments of choice for functional motor symptoms, while psychotherapy is an emerging evidence based treatment across FND subtypes. The literature to date highlights heterogeneity in responses to treatment, underscoring that more research is needed to individualize treatments and develop novel interventions.&quot;,&quot;publisher&quot;:&quot;BMJ&quot;,&quot;volume&quot;:&quot;376&quot;},&quot;isTemporary&quot;:false},{&quot;id&quot;:&quot;0bd12cdb-c5d0-3a0c-a1eb-a3bca9f8e895&quot;,&quot;itemData&quot;:{&quot;type&quot;:&quot;article-journal&quot;,&quot;id&quot;:&quot;0bd12cdb-c5d0-3a0c-a1eb-a3bca9f8e895&quot;,&quot;title&quot;:&quot;Management of functional neurological disorder&quot;,&quot;author&quot;:[{&quot;family&quot;:&quot;Gilmour&quot;,&quot;given&quot;:&quot;Gabriela S.&quot;,&quot;parse-names&quot;:false,&quot;dropping-particle&quot;:&quot;&quot;,&quot;non-dropping-particle&quot;:&quot;&quot;},{&quot;family&quot;:&quot;Nielsen&quot;,&quot;given&quot;:&quot;Glenn&quot;,&quot;parse-names&quot;:false,&quot;dropping-particle&quot;:&quot;&quot;,&quot;non-dropping-particle&quot;:&quot;&quot;},{&quot;family&quot;:&quot;Teodoro&quot;,&quot;given&quot;:&quot;Tiago&quot;,&quot;parse-names&quot;:false,&quot;dropping-particle&quot;:&quot;&quot;,&quot;non-dropping-particle&quot;:&quot;&quot;},{&quot;family&quot;:&quot;Yogarajah&quot;,&quot;given&quot;:&quot;Mahinda&quot;,&quot;parse-names&quot;:false,&quot;dropping-particle&quot;:&quot;&quot;,&quot;non-dropping-particle&quot;:&quot;&quot;},{&quot;family&quot;:&quot;Coebergh&quot;,&quot;given&quot;:&quot;Jan Adriaan&quot;,&quot;parse-names&quot;:false,&quot;dropping-particle&quot;:&quot;&quot;,&quot;non-dropping-particle&quot;:&quot;&quot;},{&quot;family&quot;:&quot;Dilley&quot;,&quot;given&quot;:&quot;Michael D.&quot;,&quot;parse-names&quot;:false,&quot;dropping-particle&quot;:&quot;&quot;,&quot;non-dropping-particle&quot;:&quot;&quot;},{&quot;family&quot;:&quot;Martino&quot;,&quot;given&quot;:&quot;Davide&quot;,&quot;parse-names&quot;:false,&quot;dropping-particle&quot;:&quot;&quot;,&quot;non-dropping-particle&quot;:&quot;&quot;},{&quot;family&quot;:&quot;Edwards&quot;,&quot;given&quot;:&quot;Mark J.&quot;,&quot;parse-names&quot;:false,&quot;dropping-particle&quot;:&quot;&quot;,&quot;non-dropping-particle&quot;:&quot;&quot;}],&quot;container-title&quot;:&quot;Journal of Neurology&quot;,&quot;container-title-short&quot;:&quot;J Neurol&quot;,&quot;accessed&quot;:{&quot;date-parts&quot;:[[2023,4,30]]},&quot;DOI&quot;:&quot;10.1007/S00415-020-09772-W/FIGURES/1&quot;,&quot;ISSN&quot;:&quot;14321459&quot;,&quot;PMID&quot;:&quot;32193596&quot;,&quot;URL&quot;:&quot;https://link.springer.com/article/10.1007/s00415-020-09772-w&quot;,&quot;issued&quot;:{&quot;date-parts&quot;:[[2020,7,1]]},&quot;page&quot;:&quot;2164-2172&quot;,&quot;abstract&quot;:&quot;Functional neurological disorder (FND) is a common cause of persistent and disabling neurological symptoms. These symptoms are varied and include abnormal control of movement, episodes of altered awareness resembling epileptic seizures and abnormal sensation and are often comorbid with chronic pain, fatigue and cognitive symptoms. There is increasing evidence for the role of neurologists in both the assessment and management of FND. The aim of this review is to discuss strategies for the management of FND by focusing on the diagnostic discussion and general principles, as well as specific treatment strategies for various FND symptoms, highlighting the role of the neurologist and proposing a structure for an interdisciplinary FND service.&quot;,&quot;publisher&quot;:&quot;Springer&quot;,&quot;issue&quot;:&quot;7&quot;,&quot;volume&quot;:&quot;267&quot;},&quot;isTemporary&quot;:false},{&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citationTag&quot;:&quot;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&quot;},{&quot;citationID&quot;:&quot;MENDELEY_CITATION_b3380905-5c54-4fae-9db8-69afa4986590&quot;,&quot;properties&quot;:{&quot;noteIndex&quot;:0},&quot;isEdited&quot;:false,&quot;manualOverride&quot;:{&quot;isManuallyOverridden&quot;:true,&quot;citeprocText&quot;:&quot;(Demartini et al., 2014; Espay, Aybek, et al., 2018; Gasparini et al., 2019; LaFrance et al., 2014; McCormack et al., 2014)&quot;,&quot;manualOverrideText&quot;:&quot;(Demartini et al., 2014; Espay, Aybek et al., 2018; Gasparini et al., 2019; LaFrance et al., 2014; McCormack et al., 2014)&quot;},&quot;citationItems&quot;:[{&quot;id&quot;:&quot;f3bdefe1-16aa-34b9-9eed-68baadfc442b&quot;,&quot;itemData&quot;:{&quot;type&quot;:&quot;article-journal&quot;,&quot;id&quot;:&quot;f3bdefe1-16aa-34b9-9eed-68baadfc442b&quot;,&quot;title&quot;:&quot;Current Concepts in Diagnosis and Treatment of Functional Neurological Disorders&quot;,&quot;author&quot;:[{&quot;family&quot;:&quot;Espay&quot;,&quot;given&quot;:&quot;A J&quot;,&quot;parse-names&quot;:false,&quot;dropping-particle&quot;:&quot;&quot;,&quot;non-dropping-particle&quot;:&quot;&quot;},{&quot;family&quot;:&quot;Aybek&quot;,&quot;given&quot;:&quot;S&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LaFaver&quot;,&quot;given&quot;:&quot;K&quot;,&quot;parse-names&quot;:false,&quot;dropping-particle&quot;:&quot;&quot;,&quot;non-dropping-particle&quot;:&quot;&quot;},{&quot;family&quot;:&quot;LaFrance Jr.&quot;,&quot;given&quot;:&quot;W C&quot;,&quot;parse-names&quot;:false,&quot;dropping-particle&quot;:&quot;&quot;,&quot;non-dropping-particle&quot;:&quot;&quot;},{&quot;family&quot;:&quot;Lang&quot;,&quot;given&quot;:&quot;A E&quot;,&quot;parse-names&quot;:false,&quot;dropping-particle&quot;:&quot;&quot;,&quot;non-dropping-particle&quot;:&quot;&quot;},{&quot;family&quot;:&quot;Nicholson&quot;,&quot;given&quot;:&quot;T&quot;,&quot;parse-names&quot;:false,&quot;dropping-particle&quot;:&quot;&quot;,&quot;non-dropping-particle&quot;:&quot;&quot;},{&quot;family&quot;:&quot;Nielsen&quot;,&quot;given&quot;:&quot;G&quot;,&quot;parse-names&quot;:false,&quot;dropping-particle&quot;:&quot;&quot;,&quot;non-dropping-particle&quot;:&quot;&quot;},{&quot;family&quot;:&quot;Reuber&quot;,&quot;given&quot;:&quot;M&quot;,&quot;parse-names&quot;:false,&quot;dropping-particle&quot;:&quot;&quot;,&quot;non-dropping-particle&quot;:&quot;&quot;},{&quot;family&quot;:&quot;Voon&quot;,&quot;given&quot;:&quot;V&quot;,&quot;parse-names&quot;:false,&quot;dropping-particle&quot;:&quot;&quot;,&quot;non-dropping-particle&quot;:&quot;&quot;},{&quot;family&quot;:&quot;Stone&quot;,&quot;given&quot;:&quot;J&quot;,&quot;parse-names&quot;:false,&quot;dropping-particle&quot;:&quot;&quot;,&quot;non-dropping-particle&quot;:&quot;&quot;},{&quot;family&quot;:&quot;Morgante&quot;,&quot;given&quot;:&quot;F&quot;,&quot;parse-names&quot;:false,&quot;dropping-particle&quot;:&quot;&quot;,&quot;non-dropping-particle&quot;:&quot;&quot;}],&quot;container-title&quot;:&quot;JAMA Neurol&quot;,&quot;DOI&quot;:&quot;10.1001/jamaneurol.2018.1264&quot;,&quot;ISSN&quot;:&quot;2168-6149&quot;,&quot;PMID&quot;:&quot;29868890&quot;,&quot;issued&quot;:{&quot;date-parts&quot;:[[2018]]},&quot;page&quot;:&quot;1132-1141&quot;,&quot;language&quot;:&quot;eng&quot;,&quot;abstract&quot;:&quot;IMPORTANCE: Functional neurological disorders (FND) are common sources of disability in medicine. Patients have often been misdiagnosed, correctly diagnosed after lengthy delays, and/or subjected to poorly delivered diagnoses that prevent diagnostic understanding and lead to inappropriate treatments, iatrogenic harm, unnecessary and costly evaluations, and poor outcomes. OBSERVATIONS: Functional Neurological Symptom Disorder/Conversion Disorder was adopted by the Diagnostic and Statistical Manual of Mental Disorders, Fifth Edition, replacing the term psychogenic with functional and removing the criterion of psychological stress as a prerequisite for FND. A diagnosis can now be made in an inclusionary manner by identifying neurological signs that are specific to FNDs without reliance on presence or absence of psychological stressors or suggestive historical clues. The new model highlights a wider range of past sensitizing events, such as physical trauma, medical illness, or physiological/psychophysiological events. In this model, strong ideas and expectations about these events correlate with abnormal predictions of sensory data and body-focused attention. Neurobiological abnormalities include hypoactivation of the supplementary motor area and relative disconnection with areas that select or inhibit movements and are associated with a sense of agency. Promising evidence has accumulated for the benefit of specific physical rehabilitation and psychological interventions alone or in combination, but clinical trial evidence remains limited. CONCLUSIONS AND RELEVANCE: Functional neurological disorders are a neglected but potentially reversible source of disability. Further research is needed to determine the dose and duration of various interventions, the value of combination treatments and multidisciplinary therapy, and the therapeutic modality best suited for each patient.&quot;,&quot;edition&quot;:&quot;2018/06/06&quot;,&quot;issue&quot;:&quot;9&quot;,&quot;volume&quot;:&quot;75&quot;,&quot;container-title-short&quot;:&quot;&quot;},&quot;isTemporary&quot;:false},{&quot;id&quot;:&quot;8c46d426-4beb-34d1-8317-d41c37650f04&quot;,&quot;itemData&quot;:{&quot;type&quot;:&quot;article-journal&quot;,&quot;id&quot;:&quot;8c46d426-4beb-34d1-8317-d41c37650f04&quot;,&quot;title&quot;:&quot;Multidisciplinary treatment for functional neurological symptoms: a prospective study&quot;,&quot;author&quot;:[{&quot;family&quot;:&quot;Demartini&quot;,&quot;given&quot;:&quot;Benedetta&quot;,&quot;parse-names&quot;:false,&quot;dropping-particle&quot;:&quot;&quot;,&quot;non-dropping-particle&quot;:&quot;&quot;},{&quot;family&quot;:&quot;Batla&quot;,&quot;given&quot;:&quot;Amit&quot;,&quot;parse-names&quot;:false,&quot;dropping-particle&quot;:&quot;&quot;,&quot;non-dropping-particle&quot;:&quot;&quot;},{&quot;family&quot;:&quot;Petrochilos&quot;,&quot;given&quot;:&quot;Panayiota&quot;,&quot;parse-names&quot;:false,&quot;dropping-particle&quot;:&quot;&quot;,&quot;non-dropping-particle&quot;:&quot;&quot;},{&quot;family&quot;:&quot;Fisher&quot;,&quot;given&quot;:&quot;Linda&quot;,&quot;parse-names&quot;:false,&quot;dropping-particle&quot;:&quot;&quot;,&quot;non-dropping-particle&quot;:&quot;&quot;},{&quot;family&quot;:&quot;Edwards&quot;,&quot;given&quot;:&quot;Mark J&quot;,&quot;parse-names&quot;:false,&quot;dropping-particle&quot;:&quot;&quot;,&quot;non-dropping-particle&quot;:&quot;&quot;},{&quot;family&quot;:&quot;Joyce&quot;,&quot;given&quot;:&quot;Eileen&quot;,&quot;parse-names&quot;:false,&quot;dropping-particle&quot;:&quot;&quot;,&quot;non-dropping-particle&quot;:&quot;&quot;}],&quot;container-title&quot;:&quot;Journal of neurology&quot;,&quot;container-title-short&quot;:&quot;J Neurol&quot;,&quot;DOI&quot;:&quot;10.1007/s00415-014-7495-4&quot;,&quot;ISSN&quot;:&quot;1432-1459\r0340-5354&quot;,&quot;PMID&quot;:&quot;25239392&quot;,&quot;URL&quot;:&quot;https://pubmed.ncbi.nlm.nih.gov/25239392&quot;,&quot;issued&quot;:{&quot;date-parts&quot;:[[2014]]},&quot;page&quot;:&quot;2370-2377&quot;,&quot;language&quot;:&quot;eng&quot;,&quot;abstract&quot;:&quot;Although functional neurological symptoms are often very disabling there is limited information on outcome after treatment. Here we prospectively assessed the short- and long-term efficacy of an inpatient multidisciplinary programme for patients with FNS. We also sought to determine predictors of good outcome by assessing the responsiveness of different scales administered at admission, discharge and follow-up. Sixty-six consecutive patients were included. Assessments at admission, discharge and at 1 year follow-up (55%) included: the Health of the Nation Outcome Scale, the Hospital Anxiety and Depression Scale, the Patient Health Questionnaire-15, the Revised Illness Perception Questionnaire, the Common Neurological Symptom Questionnaire, the Fear Questionnaire and the Canadian Occupational Performance Measure. At discharge and at 1 year follow-up patients were also asked to complete five-point self-rated scales of improvement. There were significant improvements in clinician-rated mental health and functional ability. In addition, patients reported that their levels of mood and anxiety had improved and that they were less bothered by somatic symptoms in general and neurological symptoms in particular. Two-thirds of patients rated their general health such as \&quot;better\&quot; or \&quot;much better\&quot; at discharge and this improvement was maintained over the following year. Change in HoNOS score was the only measure that successfully predicted patient-rated improvement. Our data suggest that a specialized multidisciplinary inpatient programme for FNS can provide long-lasting benefits in the majority of patients. Good outcome at discharge was exclusively predicted by improvement in the HoNOS which continued to improve over the 1 year following discharge.&quot;,&quot;edition&quot;:&quot;2014/09/20&quot;,&quot;publisher&quot;:&quot;Springer Berlin Heidelberg&quot;,&quot;issue&quot;:&quot;12&quot;,&quot;volume&quot;:&quot;261&quot;},&quot;isTemporary&quot;:false},{&quot;id&quot;:&quot;b98b397b-bc68-3603-8889-1eaf87e34718&quot;,&quot;itemData&quot;:{&quot;type&quot;:&quot;article-journal&quot;,&quot;id&quot;:&quot;b98b397b-bc68-3603-8889-1eaf87e34718&quot;,&quot;title&quot;:&quot;Multicenter Pilot Treatment Trial for Psychogenic Nonepileptic Seizures: A Randomized Clinical Trial&quot;,&quot;author&quot;:[{&quot;family&quot;:&quot;LaFrance&quot;,&quot;given&quot;:&quot;W. Curt&quot;,&quot;parse-names&quot;:false,&quot;dropping-particle&quot;:&quot;&quot;,&quot;non-dropping-particle&quot;:&quot;&quot;},{&quot;family&quot;:&quot;Baird&quot;,&quot;given&quot;:&quot;Grayson L.&quot;,&quot;parse-names&quot;:false,&quot;dropping-particle&quot;:&quot;&quot;,&quot;non-dropping-particle&quot;:&quot;&quot;},{&quot;family&quot;:&quot;Barry&quot;,&quot;given&quot;:&quot;John J.&quot;,&quot;parse-names&quot;:false,&quot;dropping-particle&quot;:&quot;&quot;,&quot;non-dropping-particle&quot;:&quot;&quot;},{&quot;family&quot;:&quot;Blum&quot;,&quot;given&quot;:&quot;Andrew S.&quot;,&quot;parse-names&quot;:false,&quot;dropping-particle&quot;:&quot;&quot;,&quot;non-dropping-particle&quot;:&quot;&quot;},{&quot;family&quot;:&quot;Webb&quot;,&quot;given&quot;:&quot;Anne Frank&quot;,&quot;parse-names&quot;:false,&quot;dropping-particle&quot;:&quot;&quot;,&quot;non-dropping-particle&quot;:&quot;&quot;},{&quot;family&quot;:&quot;Keitner&quot;,&quot;given&quot;:&quot;Gabor I.&quot;,&quot;parse-names&quot;:false,&quot;dropping-particle&quot;:&quot;&quot;,&quot;non-dropping-particle&quot;:&quot;&quot;},{&quot;family&quot;:&quot;Machan&quot;,&quot;given&quot;:&quot;Jason T.&quot;,&quot;parse-names&quot;:false,&quot;dropping-particle&quot;:&quot;&quot;,&quot;non-dropping-particle&quot;:&quot;&quot;},{&quot;family&quot;:&quot;Miller&quot;,&quot;given&quot;:&quot;Ivan&quot;,&quot;parse-names&quot;:false,&quot;dropping-particle&quot;:&quot;&quot;,&quot;non-dropping-particle&quot;:&quot;&quot;},{&quot;family&quot;:&quot;Szaflarski&quot;,&quot;given&quot;:&quot;Jerzy P.&quot;,&quot;parse-names&quot;:false,&quot;dropping-particle&quot;:&quot;&quot;,&quot;non-dropping-particle&quot;:&quot;&quot;}],&quot;container-title&quot;:&quot;JAMA Psychiatry&quot;,&quot;container-title-short&quot;:&quot;JAMA Psychiatry&quot;,&quot;accessed&quot;:{&quot;date-parts&quot;:[[2023,5,29]]},&quot;DOI&quot;:&quot;10.1001/JAMAPSYCHIATRY.2014.817&quot;,&quot;ISSN&quot;:&quot;2168-622X&quot;,&quot;PMID&quot;:&quot;24989152&quot;,&quot;URL&quot;:&quot;https://jamanetwork.com/journals/jamapsychiatry/fullarticle/1884286&quot;,&quot;issued&quot;:{&quot;date-parts&quot;:[[2014,9,1]]},&quot;page&quot;:&quot;997-1005&quot;,&quot;abstract&quot;:&quot;&lt;h3&gt;Importance&lt;/h3&gt;&lt;p&gt;There is a paucity of controlled treatment trials for the treatment of conversion disorder, seizures type, also known as psychogenic nonepileptic seizures (PNES). Psychogenic nonepileptic seizures, the most common conversion disorder, are as disabling as epilepsy and are not adequately addressed or treated by mental health clinicians.&lt;/p&gt;&lt;h3&gt;Objective&lt;/h3&gt;&lt;p&gt;To evaluate different PNES treatments compared with standard medical care (treatment as usual).&lt;/p&gt;&lt;h3&gt;Design, Setting, and Participants&lt;/h3&gt;&lt;p&gt;Pilot randomized clinical trial at 3 academic medical centers with mental health clinicians trained to administer psychotherapy or psychopharmacology to outpatients with PNES. Thirty-eight participants were randomized in a blocked schedule among 3 sites to 1 of 4 treatment arms and were followed up for 16 weeks between September 2008 and February 2012; 34 were included in the analysis.&lt;/p&gt;&lt;h3&gt;Interventions&lt;/h3&gt;&lt;p&gt;Medication (flexible-dose sertraline hydrochloride) only, cognitive behavioral therapy informed psychotherapy (CBT-ip) only, CBT-ip with medication (sertraline), or treatment as usual.&lt;/p&gt;&lt;h3&gt;Main Outcomes and Measures&lt;/h3&gt;&lt;p&gt;Seizure frequency was the primary outcome; psychosocial and functioning measures, including psychiatric symptoms, social interactions, quality of life, and global functioning, were secondary outcomes. Data were collected prospectively, weekly, and with baseline, week 2, midpoint (week 8), and exit (week 16) batteries. Within-group analyses for each arm were performed on primary (seizure frequency) and secondary outcomes from treatment-blinded raters using an intention-to-treat analysis.&lt;/p&gt;&lt;h3&gt;Results&lt;/h3&gt;&lt;p&gt;The psychotherapy (CBT-ip) arm showed a 51.4% seizure reduction (&lt;i&gt;P&lt;/i&gt; = .01) and significant improvement from baseline in secondary measures including depression, anxiety, quality of life, and global functioning (&lt;i&gt;P&lt;/i&gt; &amp;lt; .001). The combined arm (CBT-ip with sertraline) showed 59.3% seizure reduction (&lt;i&gt;P&lt;/i&gt; = .008) and significant improvements in some secondary measures, including global functioning (&lt;i&gt;P&lt;/i&gt; = .007). The sertraline-only arm did not show a reduction in seizures (&lt;i&gt;P&lt;/i&gt; = .08). The treatment as usual group showed no significant seizure reduction or improvement in secondary outcome measures (&lt;i&gt;P&lt;/i&gt; = .19).&lt;/p&gt;&lt;h3&gt;Conclusions and Relevance&lt;/h3&gt;&lt;p&gt;This pilot randomized clinical trial for PNES revealed significant seizure reduction and improved comorbid symptoms and global functioning with CBT-ip for PNES without and with sertraline. There were no improvements in the sertraline-only or treatment-as-usual arms. This study supports the use of manualized psychotherapy for PNES and successful training of mental health clinicians in the treatment. Future studies could assess larger-scale intervention dissemination.&lt;/p&gt;&lt;h3&gt;Trial Registration&lt;/h3&gt;&lt;p&gt;clinicaltrials.gov Identifier:NCT00835627&lt;/p&gt;&quot;,&quot;publisher&quot;:&quot;American Medical Association&quot;,&quot;issue&quot;:&quot;9&quot;,&quot;volume&quot;:&quot;71&quot;},&quot;isTemporary&quot;:false},{&quot;id&quot;:&quot;e7dd20f1-2b5b-36ca-8116-db98dffc43b3&quot;,&quot;itemData&quot;:{&quot;type&quot;:&quot;article-journal&quot;,&quot;id&quot;:&quot;e7dd20f1-2b5b-36ca-8116-db98dffc43b3&quot;,&quot;title&quot;:&quot;Specialist inpatient treatment for severe motor conversion disorder: a retrospective comparative study&quot;,&quot;author&quot;:[{&quot;family&quot;:&quot;McCormack&quot;,&quot;given&quot;:&quot;Ruaidhri&quot;,&quot;parse-names&quot;:false,&quot;dropping-particle&quot;:&quot;&quot;,&quot;non-dropping-particle&quot;:&quot;&quot;},{&quot;family&quot;:&quot;Moriarty&quot;,&quot;given&quot;:&quot;John&quot;,&quot;parse-names&quot;:false,&quot;dropping-particle&quot;:&quot;&quot;,&quot;non-dropping-particle&quot;:&quot;&quot;},{&quot;family&quot;:&quot;Mellers&quot;,&quot;given&quot;:&quot;John D.&quot;,&quot;parse-names&quot;:false,&quot;dropping-particle&quot;:&quot;&quot;,&quot;non-dropping-particle&quot;:&quot;&quot;},{&quot;family&quot;:&quot;Shotbolt&quot;,&quot;given&quot;:&quot;Paul&quot;,&quot;parse-names&quot;:false,&quot;dropping-particle&quot;:&quot;&quot;,&quot;non-dropping-particle&quot;:&quot;&quot;},{&quot;family&quot;:&quot;Pastena&quot;,&quot;given&quot;:&quot;Rosa&quot;,&quot;parse-names&quot;:false,&quot;dropping-particle&quot;:&quot;&quot;,&quot;non-dropping-particle&quot;:&quot;&quot;},{&quot;family&quot;:&quot;Landes&quot;,&quot;given&quot;:&quot;Nadine&quot;,&quot;parse-names&quot;:false,&quot;dropping-particle&quot;:&quot;&quot;,&quot;non-dropping-particle&quot;:&quot;&quot;},{&quot;family&quot;:&quot;Goldstein&quot;,&quot;given&quot;:&quot;Laura&quot;,&quot;parse-names&quot;:false,&quot;dropping-particle&quot;:&quot;&quot;,&quot;non-dropping-particle&quot;:&quot;&quot;},{&quot;family&quot;:&quot;Fleminger&quot;,&quot;given&quot;:&quot;Simon&quot;,&quot;parse-names&quot;:false,&quot;dropping-particle&quot;:&quot;&quot;,&quot;non-dropping-particle&quot;:&quot;&quot;},{&quot;family&quot;:&quot;David&quot;,&quot;given&quot;:&quot;Anthony S.&quot;,&quot;parse-names&quot;:false,&quot;dropping-particle&quot;:&quot;&quot;,&quot;non-dropping-particle&quot;:&quot;&quot;}],&quot;container-title&quot;:&quot;Journal of Neurology, Neurosurgery &amp; Psychiatry&quot;,&quot;container-title-short&quot;:&quot;J Neurol Neurosurg Psychiatry&quot;,&quot;accessed&quot;:{&quot;date-parts&quot;:[[2023,5,29]]},&quot;DOI&quot;:&quot;10.1136/JNNP-2013-305716&quot;,&quot;ISSN&quot;:&quot;0022-3050&quot;,&quot;PMID&quot;:&quot;24124043&quot;,&quot;URL&quot;:&quot;https://jnnp.bmj.com/content/85/8/895&quot;,&quot;issued&quot;:{&quot;date-parts&quot;:[[2014,8,1]]},&quot;page&quot;:&quot;895-900&quot;,&quot;abstract&quot;:&quot;Background Gold standard protocols have yet to be established for the treatment of motor conversion disorder (MCD). There is limited evidence to support inpatient, multidisciplinary intervention in chronic, severe cases.\n\nAims To evaluate the characteristics and outcomes of MCD patients admitted to a specialist neuropsychiatric inpatient unit.\n\nMethods All patients admitted to the Lishman Unit (years 2007–2011) with a diagnosis of MCD were included. Data relevant to characteristics and status with regard to mobility, activities of daily living (ADLs) and Modified Rankin Scale (MRS) score at admission and discharge were extracted.\n\nResults Thirty-three cases (78.8% female) were included; the median duration of illness was 48 months. In comparison with brain injury patients admitted to the same unit, more cases had histories of childhood sexual abuse (36.4%, n=12), premorbid non-dissociative mental illness (81.1%, n=27) and employment as a healthcare/social-care worker (45.5%, n=15). Cases showed significant improvements in MRS scores (p&lt;0.001), mobility (p&lt;0.001) and ADL (p=0.002) following inpatient treatment.\n\nConclusions Patients with severe, long-standing MCD can achieve significant improvements in functioning after admission to a neuropsychiatry unit.&quot;,&quot;publisher&quot;:&quot;BMJ Publishing Group Ltd&quot;,&quot;issue&quot;:&quot;8&quot;,&quot;volume&quot;:&quot;85&quot;},&quot;isTemporary&quot;:false},{&quot;id&quot;:&quot;a7696b6d-3a40-333e-9899-2cac161d5ffb&quot;,&quot;itemData&quot;:{&quot;type&quot;:&quot;article-journal&quot;,&quot;id&quot;:&quot;a7696b6d-3a40-333e-9899-2cac161d5ffb&quot;,&quot;title&quot;:&quot;Management of psychogenic non-epileptic seizures: a multidisciplinary approach&quot;,&quot;author&quot;:[{&quot;family&quot;:&quot;Gasparini&quot;,&quot;given&quot;:&quot;S.&quot;,&quot;parse-names&quot;:false,&quot;dropping-particle&quot;:&quot;&quot;,&quot;non-dropping-particle&quot;:&quot;&quot;},{&quot;family&quot;:&quot;Beghi&quot;,&quot;given&quot;:&quot;E.&quot;,&quot;parse-names&quot;:false,&quot;dropping-particle&quot;:&quot;&quot;,&quot;non-dropping-particle&quot;:&quot;&quot;},{&quot;family&quot;:&quot;Ferlazzo&quot;,&quot;given&quot;:&quot;E.&quot;,&quot;parse-names&quot;:false,&quot;dropping-particle&quot;:&quot;&quot;,&quot;non-dropping-particle&quot;:&quot;&quot;},{&quot;family&quot;:&quot;Beghi&quot;,&quot;given&quot;:&quot;M.&quot;,&quot;parse-names&quot;:false,&quot;dropping-particle&quot;:&quot;&quot;,&quot;non-dropping-particle&quot;:&quot;&quot;},{&quot;family&quot;:&quot;Belcastro&quot;,&quot;given&quot;:&quot;V.&quot;,&quot;parse-names&quot;:false,&quot;dropping-particle&quot;:&quot;&quot;,&quot;non-dropping-particle&quot;:&quot;&quot;},{&quot;family&quot;:&quot;Biermann&quot;,&quot;given&quot;:&quot;K. P.&quot;,&quot;parse-names&quot;:false,&quot;dropping-particle&quot;:&quot;&quot;,&quot;non-dropping-particle&quot;:&quot;&quot;},{&quot;family&quot;:&quot;Bottini&quot;,&quot;given&quot;:&quot;G.&quot;,&quot;parse-names&quot;:false,&quot;dropping-particle&quot;:&quot;&quot;,&quot;non-dropping-particle&quot;:&quot;&quot;},{&quot;family&quot;:&quot;Capovilla&quot;,&quot;given&quot;:&quot;G.&quot;,&quot;parse-names&quot;:false,&quot;dropping-particle&quot;:&quot;&quot;,&quot;non-dropping-particle&quot;:&quot;&quot;},{&quot;family&quot;:&quot;Cervellione&quot;,&quot;given&quot;:&quot;R. A.&quot;,&quot;parse-names&quot;:false,&quot;dropping-particle&quot;:&quot;&quot;,&quot;non-dropping-particle&quot;:&quot;&quot;},{&quot;family&quot;:&quot;Cianci&quot;,&quot;given&quot;:&quot;V.&quot;,&quot;parse-names&quot;:false,&quot;dropping-particle&quot;:&quot;&quot;,&quot;non-dropping-particle&quot;:&quot;&quot;},{&quot;family&quot;:&quot;Coppola&quot;,&quot;given&quot;:&quot;G.&quot;,&quot;parse-names&quot;:false,&quot;dropping-particle&quot;:&quot;&quot;,&quot;non-dropping-particle&quot;:&quot;&quot;},{&quot;family&quot;:&quot;Cornaggia&quot;,&quot;given&quot;:&quot;C. M.&quot;,&quot;parse-names&quot;:false,&quot;dropping-particle&quot;:&quot;&quot;,&quot;non-dropping-particle&quot;:&quot;&quot;},{&quot;family&quot;:&quot;Fazio&quot;,&quot;given&quot;:&quot;P.&quot;,&quot;parse-names&quot;:false,&quot;dropping-particle&quot;:&quot;&quot;,&quot;non-dropping-particle&quot;:&quot;De&quot;},{&quot;family&quot;:&quot;Masi&quot;,&quot;given&quot;:&quot;S.&quot;,&quot;parse-names&quot;:false,&quot;dropping-particle&quot;:&quot;&quot;,&quot;non-dropping-particle&quot;:&quot;De&quot;},{&quot;family&quot;:&quot;Sarro&quot;,&quot;given&quot;:&quot;G.&quot;,&quot;parse-names&quot;:false,&quot;dropping-particle&quot;:&quot;&quot;,&quot;non-dropping-particle&quot;:&quot;De&quot;},{&quot;family&quot;:&quot;Elia&quot;,&quot;given&quot;:&quot;M.&quot;,&quot;parse-names&quot;:false,&quot;dropping-particle&quot;:&quot;&quot;,&quot;non-dropping-particle&quot;:&quot;&quot;},{&quot;family&quot;:&quot;Erba&quot;,&quot;given&quot;:&quot;G.&quot;,&quot;parse-names&quot;:false,&quot;dropping-particle&quot;:&quot;&quot;,&quot;non-dropping-particle&quot;:&quot;&quot;},{&quot;family&quot;:&quot;Fusco&quot;,&quot;given&quot;:&quot;L.&quot;,&quot;parse-names&quot;:false,&quot;dropping-particle&quot;:&quot;&quot;,&quot;non-dropping-particle&quot;:&quot;&quot;},{&quot;family&quot;:&quot;Gambardella&quot;,&quot;given&quot;:&quot;A.&quot;,&quot;parse-names&quot;:false,&quot;dropping-particle&quot;:&quot;&quot;,&quot;non-dropping-particle&quot;:&quot;&quot;},{&quot;family&quot;:&quot;Gentile&quot;,&quot;given&quot;:&quot;V.&quot;,&quot;parse-names&quot;:false,&quot;dropping-particle&quot;:&quot;&quot;,&quot;non-dropping-particle&quot;:&quot;&quot;},{&quot;family&quot;:&quot;Giallonardo&quot;,&quot;given&quot;:&quot;A. T.&quot;,&quot;parse-names&quot;:false,&quot;dropping-particle&quot;:&quot;&quot;,&quot;non-dropping-particle&quot;:&quot;&quot;},{&quot;family&quot;:&quot;Guerrini&quot;,&quot;given&quot;:&quot;R.&quot;,&quot;parse-names&quot;:false,&quot;dropping-particle&quot;:&quot;&quot;,&quot;non-dropping-particle&quot;:&quot;&quot;},{&quot;family&quot;:&quot;Ingravallo&quot;,&quot;given&quot;:&quot;F.&quot;,&quot;parse-names&quot;:false,&quot;dropping-particle&quot;:&quot;&quot;,&quot;non-dropping-particle&quot;:&quot;&quot;},{&quot;family&quot;:&quot;Iudice&quot;,&quot;given&quot;:&quot;A.&quot;,&quot;parse-names&quot;:false,&quot;dropping-particle&quot;:&quot;&quot;,&quot;non-dropping-particle&quot;:&quot;&quot;},{&quot;family&quot;:&quot;Labate&quot;,&quot;given&quot;:&quot;A.&quot;,&quot;parse-names&quot;:false,&quot;dropping-particle&quot;:&quot;&quot;,&quot;non-dropping-particle&quot;:&quot;&quot;},{&quot;family&quot;:&quot;Lucenteforte&quot;,&quot;given&quot;:&quot;E.&quot;,&quot;parse-names&quot;:false,&quot;dropping-particle&quot;:&quot;&quot;,&quot;non-dropping-particle&quot;:&quot;&quot;},{&quot;family&quot;:&quot;Magaudda&quot;,&quot;given&quot;:&quot;A.&quot;,&quot;parse-names&quot;:false,&quot;dropping-particle&quot;:&quot;&quot;,&quot;non-dropping-particle&quot;:&quot;&quot;},{&quot;family&quot;:&quot;Mumoli&quot;,&quot;given&quot;:&quot;L.&quot;,&quot;parse-names&quot;:false,&quot;dropping-particle&quot;:&quot;&quot;,&quot;non-dropping-particle&quot;:&quot;&quot;},{&quot;family&quot;:&quot;Papagno&quot;,&quot;given&quot;:&quot;C.&quot;,&quot;parse-names&quot;:false,&quot;dropping-particle&quot;:&quot;&quot;,&quot;non-dropping-particle&quot;:&quot;&quot;},{&quot;family&quot;:&quot;Pesce&quot;,&quot;given&quot;:&quot;G. B.&quot;,&quot;parse-names&quot;:false,&quot;dropping-particle&quot;:&quot;&quot;,&quot;non-dropping-particle&quot;:&quot;&quot;},{&quot;family&quot;:&quot;Pucci&quot;,&quot;given&quot;:&quot;E.&quot;,&quot;parse-names&quot;:false,&quot;dropping-particle&quot;:&quot;&quot;,&quot;non-dropping-particle&quot;:&quot;&quot;},{&quot;family&quot;:&quot;Ricci&quot;,&quot;given&quot;:&quot;P.&quot;,&quot;parse-names&quot;:false,&quot;dropping-particle&quot;:&quot;&quot;,&quot;non-dropping-particle&quot;:&quot;&quot;},{&quot;family&quot;:&quot;Romeo&quot;,&quot;given&quot;:&quot;A.&quot;,&quot;parse-names&quot;:false,&quot;dropping-particle&quot;:&quot;&quot;,&quot;non-dropping-particle&quot;:&quot;&quot;},{&quot;family&quot;:&quot;Quintas&quot;,&quot;given&quot;:&quot;R.&quot;,&quot;parse-names&quot;:false,&quot;dropping-particle&quot;:&quot;&quot;,&quot;non-dropping-particle&quot;:&quot;&quot;},{&quot;family&quot;:&quot;Sueri&quot;,&quot;given&quot;:&quot;C.&quot;,&quot;parse-names&quot;:false,&quot;dropping-particle&quot;:&quot;&quot;,&quot;non-dropping-particle&quot;:&quot;&quot;},{&quot;family&quot;:&quot;Vitaliti&quot;,&quot;given&quot;:&quot;G.&quot;,&quot;parse-names&quot;:false,&quot;dropping-particle&quot;:&quot;&quot;,&quot;non-dropping-particle&quot;:&quot;&quot;},{&quot;family&quot;:&quot;Zoia&quot;,&quot;given&quot;:&quot;R.&quot;,&quot;parse-names&quot;:false,&quot;dropping-particle&quot;:&quot;&quot;,&quot;non-dropping-particle&quot;:&quot;&quot;},{&quot;family&quot;:&quot;Aguglia&quot;,&quot;given&quot;:&quot;U.&quot;,&quot;parse-names&quot;:false,&quot;dropping-particle&quot;:&quot;&quot;,&quot;non-dropping-particle&quot;:&quot;&quot;}],&quot;container-title&quot;:&quot;European Journal of Neurology&quot;,&quot;container-title-short&quot;:&quot;Eur J Neurol&quot;,&quot;accessed&quot;:{&quot;date-parts&quot;:[[2023,5,29]]},&quot;DOI&quot;:&quot;10.1111/ENE.13818&quot;,&quot;ISSN&quot;:&quot;1468-1331&quot;,&quot;PMID&quot;:&quot;30300463&quot;,&quot;URL&quot;:&quot;https://onlinelibrary.wiley.com/doi/full/10.1111/ene.13818&quot;,&quot;issued&quot;:{&quot;date-parts&quot;:[[2019,2,1]]},&quot;page&quot;:&quot;205-e15&quot;,&quot;abstract&quot;:&quot;The International League against Epilepsy (ILAE) proposed a diagnostic scheme for psychogenic non-epileptic seizure (PNES). The debate on ethical aspects of the diagnostic procedures is ongoing, the treatment is not standardized and management might differ according to age group. The objective was to reach an expert and stakeholder consensus on PNES management. A board comprising adult and child neurologists, neuropsychologists, psychiatrists, pharmacologists, experts in forensic medicine and bioethics as well as patients’ representatives was formed. The board chose five main topics regarding PNES: diagnosis; ethical issues; psychiatric comorbidities; psychological treatment; and pharmacological treatment. After a systematic review of the literature, the board met in a consensus conference in Catanzaro (Italy). Further consultations using a model of Delphi panel were held. The global level of evidence for all topics was low. Even though most questions were formulated separately for children/adolescents and adults, no major age-related differences emerged. The board established that the approach to PNES diagnosis should comply with ILAE recommendations. Seizure induction was considered ethical, preferring the least invasive techniques. The board recommended looking carefully for mood disturbances, personality disorders and psychic trauma in persons with PNES and considering cognitive-behavioural therapy as a first-line psychological approach and pharmacological treatment to manage comorbid conditions, namely anxiety and depression. Psychogenic non-epileptic seizure management should be multidisciplinary. High-quality long-term studies are needed to standardize PNES management.&quot;,&quot;publisher&quot;:&quot;John Wiley &amp; Sons, Ltd&quot;,&quot;issue&quot;:&quot;2&quot;,&quot;volume&quot;:&quot;26&quot;},&quot;isTemporary&quot;:false}],&quot;citationTag&quot;:&quot;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&quot;},{&quot;citationID&quot;:&quot;MENDELEY_CITATION_30d1bbb8-0ab3-413c-a0e0-bd75018375b1&quot;,&quot;properties&quot;:{&quot;noteIndex&quot;:0},&quot;isEdited&quot;:false,&quot;manualOverride&quot;:{&quot;isManuallyOverridden&quot;:false,&quot;citeprocText&quot;:&quot;(Carlson &amp;#38; Nicholson, 2017)&quot;,&quot;manualOverrideText&quot;:&quot;&quot;},&quot;citationItems&quot;:[{&quot;id&quot;:&quot;6f42351e-ad1f-32ba-befd-6b27093eac22&quot;,&quot;itemData&quot;:{&quot;type&quot;:&quot;article-journal&quot;,&quot;id&quot;:&quot;6f42351e-ad1f-32ba-befd-6b27093eac22&quot;,&quot;title&quot;:&quot;Psychological interventions for psychogenic non-epileptic seizures: A meta-analysis&quot;,&quot;author&quot;:[{&quot;family&quot;:&quot;Carlson&quot;,&quot;given&quot;:&quot;Perri&quot;,&quot;parse-names&quot;:false,&quot;dropping-particle&quot;:&quot;&quot;,&quot;non-dropping-particle&quot;:&quot;&quot;},{&quot;family&quot;:&quot;Nicholson&quot;,&quot;given&quot;:&quot;Kathryn&quot;,&quot;parse-names&quot;:false,&quot;dropping-particle&quot;:&quot;&quot;,&quot;non-dropping-particle&quot;:&quot;&quot;}],&quot;container-title&quot;:&quot;Seizure&quot;,&quot;accessed&quot;:{&quot;date-parts&quot;:[[2023,5,29]]},&quot;DOI&quot;:&quot;10.1016/j.seizure.2016.12.007&quot;,&quot;ISSN&quot;:&quot;15322688&quot;,&quot;PMID&quot;:&quot;28063373&quot;,&quot;URL&quot;:&quot;http://www.seizure-journal.com/article/S1059131116303223/fulltext&quot;,&quot;issued&quot;:{&quot;date-parts&quot;:[[2017,2,1]]},&quot;page&quot;:&quot;142-150&quot;,&quot;abstract&quot;:&quot;Purpose The aim of this meta-analysis is to evaluate and synthesize the available evidence from the previous 20 years regarding the utility of psychological interventions in the management of psychogenic non-epileptic seizures (PNES). Method Studies were retrieved from MEDLINE via OvidSP and PsychINFO. Selection criteria included controlled and before-after non-controlled studies including case series, using seizure frequency as an outcome measurement. Studies were required to assess one or more types of psychological intervention for the treatment of PNES in adults. Data from 13 eligible studies was pooled to examine the effectiveness of psychological interventions in treating PNES on two primary outcomes: seizure reduction of 50% or more and seizure freedom. A meta-analysis was conducted with data extracted from 228 participants with PNES. Results Interventions reviewed in the analysis included CBT, psychodynamic therapy, paradoxical intention therapy, mindfulness and psychoeducation and eclectic interventions. Meta-analysis synthesized data from 13 studies with a total of 228 participants with PNES, of varied gender and age. Results showed 47% of people with PNES are seizure free upon completion of a psychological intervention. Additional meta-analysis synthesized data from 10 studies with a total of 137 participants with PNES. This analysis found 82% of people with PNES who complete psychological treatment experience a reduction in seizures of at least 50%. Conclusion The studies identified for this analysis were diverse in nature and quality. The findings highlight the potential for psychological interventions as a favorable alternative to the current lack of treatment options offered to people with PNES.&quot;,&quot;publisher&quot;:&quot;W.B. Saunders Ltd&quot;,&quot;volume&quot;:&quot;45&quot;,&quot;container-title-short&quot;:&quot;Seizure&quot;},&quot;isTemporary&quot;:false}],&quot;citationTag&quot;:&quot;MENDELEY_CITATION_v3_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&quot;},{&quot;citationID&quot;:&quot;MENDELEY_CITATION_aa514cb3-826e-421c-8c6d-b01fe7fc6241&quot;,&quot;properties&quot;:{&quot;noteIndex&quot;:0},&quot;isEdited&quot;:false,&quot;manualOverride&quot;:{&quot;isManuallyOverridden&quot;:false,&quot;citeprocText&quot;:&quot;(Nielsen et al., 2013)&quot;,&quot;manualOverrideText&quot;:&quot;&quot;},&quot;citationItems&quot;:[{&quot;id&quot;:&quot;975865a1-bac4-34a5-be08-1deca70ecde9&quot;,&quot;itemData&quot;:{&quot;type&quot;:&quot;article-journal&quot;,&quot;id&quot;:&quot;975865a1-bac4-34a5-be08-1deca70ecde9&quot;,&quot;title&quot;:&quot;Physiotherapy for functional (psychogenic) motor symptoms: a systematic review&quot;,&quot;author&quot;:[{&quot;family&quot;:&quot;Nielsen&quot;,&quot;given&quot;:&quot;G&quot;,&quot;parse-names&quot;:false,&quot;dropping-particle&quot;:&quot;&quot;,&quot;non-dropping-particle&quot;:&quot;&quot;},{&quot;family&quot;:&quot;Stone&quot;,&quot;given&quot;:&quot;J&quot;,&quot;parse-names&quot;:false,&quot;dropping-particle&quot;:&quot;&quot;,&quot;non-dropping-particle&quot;:&quot;&quot;},{&quot;family&quot;:&quot;Edwards&quot;,&quot;given&quot;:&quot;M J&quot;,&quot;parse-names&quot;:false,&quot;dropping-particle&quot;:&quot;&quot;,&quot;non-dropping-particle&quot;:&quot;&quot;}],&quot;container-title&quot;:&quot;J Psychosom Res&quot;,&quot;DOI&quot;:&quot;10.1016/j.jpsychores.2013.05.006&quot;,&quot;ISSN&quot;:&quot;0022-3999&quot;,&quot;PMID&quot;:&quot;23915764&quot;,&quot;issued&quot;:{&quot;date-parts&quot;:[[2013]]},&quot;page&quot;:&quot;93-102&quot;,&quot;language&quot;:&quot;eng&quot;,&quot;abstract&quot;:&quot;OBJECTIVE: Functional (psychogenic) motor symptoms (FMS), also called motor conversion disorder or non-organic motor symptoms are a common cause of disability and distress among patients attending neurology and neurorehabilitation services. Patients with FMS are often referred for physiotherapy but it is not clear whether this is effective. Here we aim to systematically review the literature regarding physiotherapy interventions for patients with functional motor symptoms. METHODS: Systematic review of databases with reference search for period 1950 to September 2012. RESULTS: There was only one controlled intervention study with a historical control group and 28 case series or reports describing interventions. The total number of patients in all studies was 373. Physiotherapy most commonly occurred in the context of multidisciplinary treatment and involved a motor learning approach. Novel approaches included the use of distraction techniques and transcutaneous electrical nerve stimulation (TENS) machine. Deceptive behavioural techniques have also been described. Most studies reported benefit from physical treatment, including some studies with long-term follow up. CONCLUSIONS: Patients with FMS are commonly encountered in neurological practice and are often referred for physiotherapy. The existing data to guide physiotherapy treatment for FMS is of low quality and limited in scope. However, it suggests potential positive effects and provides a useful resource for developing and testing physiotherapy interventions in future studies.&quot;,&quot;edition&quot;:&quot;2013/08/07&quot;,&quot;issue&quot;:&quot;2&quot;,&quot;volume&quot;:&quot;75&quot;,&quot;container-title-short&quot;:&quot;&quot;},&quot;isTemporary&quot;:false}],&quot;citationTag&quot;:&quot;MENDELEY_CITATION_v3_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&quot;},{&quot;citationID&quot;:&quot;MENDELEY_CITATION_a73a0227-cef3-4dcc-80cd-4f48a30d5fd4&quot;,&quot;properties&quot;:{&quot;noteIndex&quot;:0},&quot;isEdited&quot;:false,&quot;manualOverride&quot;:{&quot;isManuallyOverridden&quot;:false,&quot;citeprocText&quot;:&quot;(Gilmour et al., 2020)&quot;,&quot;manualOverrideText&quot;:&quot;&quot;},&quot;citationItems&quot;:[{&quot;id&quot;:&quot;0bd12cdb-c5d0-3a0c-a1eb-a3bca9f8e895&quot;,&quot;itemData&quot;:{&quot;type&quot;:&quot;article-journal&quot;,&quot;id&quot;:&quot;0bd12cdb-c5d0-3a0c-a1eb-a3bca9f8e895&quot;,&quot;title&quot;:&quot;Management of functional neurological disorder&quot;,&quot;author&quot;:[{&quot;family&quot;:&quot;Gilmour&quot;,&quot;given&quot;:&quot;Gabriela S.&quot;,&quot;parse-names&quot;:false,&quot;dropping-particle&quot;:&quot;&quot;,&quot;non-dropping-particle&quot;:&quot;&quot;},{&quot;family&quot;:&quot;Nielsen&quot;,&quot;given&quot;:&quot;Glenn&quot;,&quot;parse-names&quot;:false,&quot;dropping-particle&quot;:&quot;&quot;,&quot;non-dropping-particle&quot;:&quot;&quot;},{&quot;family&quot;:&quot;Teodoro&quot;,&quot;given&quot;:&quot;Tiago&quot;,&quot;parse-names&quot;:false,&quot;dropping-particle&quot;:&quot;&quot;,&quot;non-dropping-particle&quot;:&quot;&quot;},{&quot;family&quot;:&quot;Yogarajah&quot;,&quot;given&quot;:&quot;Mahinda&quot;,&quot;parse-names&quot;:false,&quot;dropping-particle&quot;:&quot;&quot;,&quot;non-dropping-particle&quot;:&quot;&quot;},{&quot;family&quot;:&quot;Coebergh&quot;,&quot;given&quot;:&quot;Jan Adriaan&quot;,&quot;parse-names&quot;:false,&quot;dropping-particle&quot;:&quot;&quot;,&quot;non-dropping-particle&quot;:&quot;&quot;},{&quot;family&quot;:&quot;Dilley&quot;,&quot;given&quot;:&quot;Michael D.&quot;,&quot;parse-names&quot;:false,&quot;dropping-particle&quot;:&quot;&quot;,&quot;non-dropping-particle&quot;:&quot;&quot;},{&quot;family&quot;:&quot;Martino&quot;,&quot;given&quot;:&quot;Davide&quot;,&quot;parse-names&quot;:false,&quot;dropping-particle&quot;:&quot;&quot;,&quot;non-dropping-particle&quot;:&quot;&quot;},{&quot;family&quot;:&quot;Edwards&quot;,&quot;given&quot;:&quot;Mark J.&quot;,&quot;parse-names&quot;:false,&quot;dropping-particle&quot;:&quot;&quot;,&quot;non-dropping-particle&quot;:&quot;&quot;}],&quot;container-title&quot;:&quot;Journal of Neurology&quot;,&quot;container-title-short&quot;:&quot;J Neurol&quot;,&quot;accessed&quot;:{&quot;date-parts&quot;:[[2023,4,30]]},&quot;DOI&quot;:&quot;10.1007/S00415-020-09772-W/FIGURES/1&quot;,&quot;ISSN&quot;:&quot;14321459&quot;,&quot;PMID&quot;:&quot;32193596&quot;,&quot;URL&quot;:&quot;https://link.springer.com/article/10.1007/s00415-020-09772-w&quot;,&quot;issued&quot;:{&quot;date-parts&quot;:[[2020,7,1]]},&quot;page&quot;:&quot;2164-2172&quot;,&quot;abstract&quot;:&quot;Functional neurological disorder (FND) is a common cause of persistent and disabling neurological symptoms. These symptoms are varied and include abnormal control of movement, episodes of altered awareness resembling epileptic seizures and abnormal sensation and are often comorbid with chronic pain, fatigue and cognitive symptoms. There is increasing evidence for the role of neurologists in both the assessment and management of FND. The aim of this review is to discuss strategies for the management of FND by focusing on the diagnostic discussion and general principles, as well as specific treatment strategies for various FND symptoms, highlighting the role of the neurologist and proposing a structure for an interdisciplinary FND service.&quot;,&quot;publisher&quot;:&quot;Springer&quot;,&quot;issue&quot;:&quot;7&quot;,&quot;volume&quot;:&quot;267&quot;},&quot;isTemporary&quot;:false}],&quot;citationTag&quot;:&quot;MENDELEY_CITATION_v3_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&quot;},{&quot;citationID&quot;:&quot;MENDELEY_CITATION_fd421462-ef5c-4e2a-b454-95c128cb7b21&quot;,&quot;properties&quot;:{&quot;noteIndex&quot;:0},&quot;isEdited&quot;:false,&quot;manualOverride&quot;:{&quot;isManuallyOverridden&quot;:true,&quot;citeprocText&quot;:&quot;(Gilmour et al., 2020; Goldstein et al., 2020)&quot;,&quot;manualOverrideText&quot;:&quot;(Gilmour et al., 2020; Goldstein et al., 2020a)&quot;},&quot;citationItems&quot;:[{&quot;id&quot;:&quot;16eec409-f523-3aa0-9798-f2e01d317f4e&quot;,&quot;itemData&quot;:{&quot;type&quot;:&quot;article-journal&quot;,&quot;id&quot;:&quot;16eec409-f523-3aa0-9798-f2e01d317f4e&quot;,&quot;title&quot;:&quot;Cognitive behavioural therapy for adults with dissociative seizures (CODES): a pragmatic, multicentre, randomised controlled trial&quot;,&quot;author&quot;:[{&quot;family&quot;:&quot;Goldstein&quot;,&quot;given&quot;:&quot;Laura H.&quot;,&quot;parse-names&quot;:false,&quot;dropping-particle&quot;:&quot;&quot;,&quot;non-dropping-particle&quot;:&quot;&quot;},{&quot;family&quot;:&quot;Robinson&quot;,&quot;given&quot;:&quot;Emily J.&quot;,&quot;parse-names&quot;:false,&quot;dropping-particle&quot;:&quot;&quot;,&quot;non-dropping-particle&quot;:&quot;&quot;},{&quot;family&quot;:&quot;Mellers&quot;,&quot;given&quot;:&quot;John D.C.&quot;,&quot;parse-names&quot;:false,&quot;dropping-particle&quot;:&quot;&quot;,&quot;non-dropping-particle&quot;:&quot;&quot;},{&quot;family&quot;:&quot;Stone&quot;,&quot;given&quot;:&quot;Jon&quot;,&quot;parse-names&quot;:false,&quot;dropping-particle&quot;:&quot;&quot;,&quot;non-dropping-particle&quot;:&quot;&quot;},{&quot;family&quot;:&quot;Carson&quot;,&quot;given&quot;:&quot;Alan&quot;,&quot;parse-names&quot;:false,&quot;dropping-particle&quot;:&quot;&quot;,&quot;non-dropping-particle&quot;:&quot;&quot;},{&quot;family&quot;:&quot;Reuber&quot;,&quot;given&quot;:&quot;Markus&quot;,&quot;parse-names&quot;:false,&quot;dropping-particle&quot;:&quot;&quot;,&quot;non-dropping-particle&quot;:&quot;&quot;},{&quot;family&quot;:&quot;Medford&quot;,&quot;given&quot;:&quot;Nick&quot;,&quot;parse-names&quot;:false,&quot;dropping-particle&quot;:&quot;&quot;,&quot;non-dropping-particle&quot;:&quot;&quot;},{&quot;family&quot;:&quot;McCrone&quot;,&quot;given&quot;:&quot;Paul&quot;,&quot;parse-names&quot;:false,&quot;dropping-particle&quot;:&quot;&quot;,&quot;non-dropping-particle&quot;:&quot;&quot;},{&quot;family&quot;:&quot;Murray&quot;,&quot;given&quot;:&quot;Joanna&quot;,&quot;parse-names&quot;:false,&quot;dropping-particle&quot;:&quot;&quot;,&quot;non-dropping-particle&quot;:&quot;&quot;},{&quot;family&quot;:&quot;Richardson&quot;,&quot;given&quot;:&quot;Mark P.&quot;,&quot;parse-names&quot;:false,&quot;dropping-particle&quot;:&quot;&quot;,&quot;non-dropping-particle&quot;:&quot;&quot;},{&quot;family&quot;:&quot;Pilecka&quot;,&quot;given&quot;:&quot;Izabela&quot;,&quot;parse-names&quot;:false,&quot;dropping-particle&quot;:&quot;&quot;,&quot;non-dropping-particle&quot;:&quot;&quot;},{&quot;family&quot;:&quot;Eastwood&quot;,&quot;given&quot;:&quot;Carole&quot;,&quot;parse-names&quot;:false,&quot;dropping-particle&quot;:&quot;&quot;,&quot;non-dropping-particle&quot;:&quot;&quot;},{&quot;family&quot;:&quot;Moore&quot;,&quot;given&quot;:&quot;Michele&quot;,&quot;parse-names&quot;:false,&quot;dropping-particle&quot;:&quot;&quot;,&quot;non-dropping-particle&quot;:&quot;&quot;},{&quot;family&quot;:&quot;Mosweu&quot;,&quot;given&quot;:&quot;Iris&quot;,&quot;parse-names&quot;:false,&quot;dropping-particle&quot;:&quot;&quot;,&quot;non-dropping-particle&quot;:&quot;&quot;},{&quot;family&quot;:&quot;Perdue&quot;,&quot;given&quot;:&quot;Iain&quot;,&quot;parse-names&quot;:false,&quot;dropping-particle&quot;:&quot;&quot;,&quot;non-dropping-particle&quot;:&quot;&quot;},{&quot;family&quot;:&quot;Landau&quot;,&quot;given&quot;:&quot;Sabine&quot;,&quot;parse-names&quot;:false,&quot;dropping-particle&quot;:&quot;&quot;,&quot;non-dropping-particle&quot;:&quot;&quot;},{&quot;family&quot;:&quot;Chalder&quot;,&quot;given&quot;:&quot;Trudie&quot;,&quot;parse-names&quot;:false,&quot;dropping-particle&quot;:&quot;&quot;,&quot;non-dropping-particle&quot;:&quot;&quot;},{&quot;family&quot;:&quot;Abe&quot;,&quot;given&quot;:&quot;A. M.&quot;,&quot;parse-names&quot;:false,&quot;dropping-particle&quot;:&quot;&quot;,&quot;non-dropping-particle&quot;:&quot;&quot;},{&quot;family&quot;:&quot;Adab&quot;,&quot;given&quot;:&quot;N.&quot;,&quot;parse-names&quot;:false,&quot;dropping-particle&quot;:&quot;&quot;,&quot;non-dropping-particle&quot;:&quot;&quot;},{&quot;family&quot;:&quot;Agrawal&quot;,&quot;given&quot;:&quot;N.&quot;,&quot;parse-names&quot;:false,&quot;dropping-particle&quot;:&quot;&quot;,&quot;non-dropping-particle&quot;:&quot;&quot;},{&quot;family&quot;:&quot;Allroggen&quot;,&quot;given&quot;:&quot;H.&quot;,&quot;parse-names&quot;:false,&quot;dropping-particle&quot;:&quot;&quot;,&quot;non-dropping-particle&quot;:&quot;&quot;},{&quot;family&quot;:&quot;Alvares&quot;,&quot;given&quot;:&quot;D.&quot;,&quot;parse-names&quot;:false,&quot;dropping-particle&quot;:&quot;&quot;,&quot;non-dropping-particle&quot;:&quot;&quot;},{&quot;family&quot;:&quot;Andrews&quot;,&quot;given&quot;:&quot;T.&quot;,&quot;parse-names&quot;:false,&quot;dropping-particle&quot;:&quot;&quot;,&quot;non-dropping-particle&quot;:&quot;&quot;},{&quot;family&quot;:&quot;Angus-Leppan&quot;,&quot;given&quot;:&quot;H.&quot;,&quot;parse-names&quot;:false,&quot;dropping-particle&quot;:&quot;&quot;,&quot;non-dropping-particle&quot;:&quot;&quot;},{&quot;family&quot;:&quot;Aram&quot;,&quot;given&quot;:&quot;J.&quot;,&quot;parse-names&quot;:false,&quot;dropping-particle&quot;:&quot;&quot;,&quot;non-dropping-particle&quot;:&quot;&quot;},{&quot;family&quot;:&quot;Armstrong&quot;,&quot;given&quot;:&quot;R.&quot;,&quot;parse-names&quot;:false,&quot;dropping-particle&quot;:&quot;&quot;,&quot;non-dropping-particle&quot;:&quot;&quot;},{&quot;family&quot;:&quot;Atalaia&quot;,&quot;given&quot;:&quot;A.&quot;,&quot;parse-names&quot;:false,&quot;dropping-particle&quot;:&quot;&quot;,&quot;non-dropping-particle&quot;:&quot;&quot;},{&quot;family&quot;:&quot;Bagary&quot;,&quot;given&quot;:&quot;M.&quot;,&quot;parse-names&quot;:false,&quot;dropping-particle&quot;:&quot;&quot;,&quot;non-dropping-particle&quot;:&quot;&quot;},{&quot;family&quot;:&quot;Baldellou Lopez&quot;,&quot;given&quot;:&quot;M.&quot;,&quot;parse-names&quot;:false,&quot;dropping-particle&quot;:&quot;&quot;,&quot;non-dropping-particle&quot;:&quot;&quot;},{&quot;family&quot;:&quot;Bennett&quot;,&quot;given&quot;:&quot;M.&quot;,&quot;parse-names&quot;:false,&quot;dropping-particle&quot;:&quot;&quot;,&quot;non-dropping-particle&quot;:&quot;&quot;},{&quot;family&quot;:&quot;Black&quot;,&quot;given&quot;:&quot;T.&quot;,&quot;parse-names&quot;:false,&quot;dropping-particle&quot;:&quot;&quot;,&quot;non-dropping-particle&quot;:&quot;&quot;},{&quot;family&quot;:&quot;Blackburn&quot;,&quot;given&quot;:&quot;D.&quot;,&quot;parse-names&quot;:false,&quot;dropping-particle&quot;:&quot;&quot;,&quot;non-dropping-particle&quot;:&quot;&quot;},{&quot;family&quot;:&quot;Bodani&quot;,&quot;given&quot;:&quot;M.&quot;,&quot;parse-names&quot;:false,&quot;dropping-particle&quot;:&quot;&quot;,&quot;non-dropping-particle&quot;:&quot;&quot;},{&quot;family&quot;:&quot;Broadhurst&quot;,&quot;given&quot;:&quot;M.&quot;,&quot;parse-names&quot;:false,&quot;dropping-particle&quot;:&quot;&quot;,&quot;non-dropping-particle&quot;:&quot;&quot;},{&quot;family&quot;:&quot;Brockington&quot;,&quot;given&quot;:&quot;A.&quot;,&quot;parse-names&quot;:false,&quot;dropping-particle&quot;:&quot;&quot;,&quot;non-dropping-particle&quot;:&quot;&quot;},{&quot;family&quot;:&quot;Bruno&quot;,&quot;given&quot;:&quot;E.&quot;,&quot;parse-names&quot;:false,&quot;dropping-particle&quot;:&quot;&quot;,&quot;non-dropping-particle&quot;:&quot;&quot;},{&quot;family&quot;:&quot;Buckley&quot;,&quot;given&quot;:&quot;M.&quot;,&quot;parse-names&quot;:false,&quot;dropping-particle&quot;:&quot;&quot;,&quot;non-dropping-particle&quot;:&quot;&quot;},{&quot;family&quot;:&quot;Burness&quot;,&quot;given&quot;:&quot;C.&quot;,&quot;parse-names&quot;:false,&quot;dropping-particle&quot;:&quot;&quot;,&quot;non-dropping-particle&quot;:&quot;&quot;},{&quot;family&quot;:&quot;Callaghan&quot;,&quot;given&quot;:&quot;H.&quot;,&quot;parse-names&quot;:false,&quot;dropping-particle&quot;:&quot;&quot;,&quot;non-dropping-particle&quot;:&quot;&quot;},{&quot;family&quot;:&quot;Chalmers&quot;,&quot;given&quot;:&quot;R.&quot;,&quot;parse-names&quot;:false,&quot;dropping-particle&quot;:&quot;&quot;,&quot;non-dropping-particle&quot;:&quot;&quot;},{&quot;family&quot;:&quot;Chong&quot;,&quot;given&quot;:&quot;S.&quot;,&quot;parse-names&quot;:false,&quot;dropping-particle&quot;:&quot;&quot;,&quot;non-dropping-particle&quot;:&quot;&quot;},{&quot;family&quot;:&quot;Chowdhury&quot;,&quot;given&quot;:&quot;M.&quot;,&quot;parse-names&quot;:false,&quot;dropping-particle&quot;:&quot;&quot;,&quot;non-dropping-particle&quot;:&quot;&quot;},{&quot;family&quot;:&quot;Chowdury&quot;,&quot;given&quot;:&quot;F.&quot;,&quot;parse-names&quot;:false,&quot;dropping-particle&quot;:&quot;&quot;,&quot;non-dropping-particle&quot;:&quot;&quot;},{&quot;family&quot;:&quot;Cikurel&quot;,&quot;given&quot;:&quot;K.&quot;,&quot;parse-names&quot;:false,&quot;dropping-particle&quot;:&quot;&quot;,&quot;non-dropping-particle&quot;:&quot;&quot;},{&quot;family&quot;:&quot;Cocco&quot;,&quot;given&quot;:&quot;G.&quot;,&quot;parse-names&quot;:false,&quot;dropping-particle&quot;:&quot;&quot;,&quot;non-dropping-particle&quot;:&quot;&quot;},{&quot;family&quot;:&quot;Cock&quot;,&quot;given&quot;:&quot;H.&quot;,&quot;parse-names&quot;:false,&quot;dropping-particle&quot;:&quot;&quot;,&quot;non-dropping-particle&quot;:&quot;&quot;},{&quot;family&quot;:&quot;Cooper&quot;,&quot;given&quot;:&quot;S.&quot;,&quot;parse-names&quot;:false,&quot;dropping-particle&quot;:&quot;&quot;,&quot;non-dropping-particle&quot;:&quot;&quot;},{&quot;family&quot;:&quot;Cope&quot;,&quot;given&quot;:&quot;S.&quot;,&quot;parse-names&quot;:false,&quot;dropping-particle&quot;:&quot;&quot;,&quot;non-dropping-particle&quot;:&quot;&quot;},{&quot;family&quot;:&quot;Copping&quot;,&quot;given&quot;:&quot;A.&quot;,&quot;parse-names&quot;:false,&quot;dropping-particle&quot;:&quot;&quot;,&quot;non-dropping-particle&quot;:&quot;&quot;},{&quot;family&quot;:&quot;Day&quot;,&quot;given&quot;:&quot;E.&quot;,&quot;parse-names&quot;:false,&quot;dropping-particle&quot;:&quot;&quot;,&quot;non-dropping-particle&quot;:&quot;&quot;},{&quot;family&quot;:&quot;Delamont&quot;,&quot;given&quot;:&quot;R.&quot;,&quot;parse-names&quot;:false,&quot;dropping-particle&quot;:&quot;&quot;,&quot;non-dropping-particle&quot;:&quot;&quot;},{&quot;family&quot;:&quot;Dennis&quot;,&quot;given&quot;:&quot;G.&quot;,&quot;parse-names&quot;:false,&quot;dropping-particle&quot;:&quot;&quot;,&quot;non-dropping-particle&quot;:&quot;&quot;},{&quot;family&quot;:&quot;Derry&quot;,&quot;given&quot;:&quot;C.&quot;,&quot;parse-names&quot;:false,&quot;dropping-particle&quot;:&quot;&quot;,&quot;non-dropping-particle&quot;:&quot;&quot;},{&quot;family&quot;:&quot;Devlin&quot;,&quot;given&quot;:&quot;R.&quot;,&quot;parse-names&quot;:false,&quot;dropping-particle&quot;:&quot;&quot;,&quot;non-dropping-particle&quot;:&quot;&quot;},{&quot;family&quot;:&quot;Dickson&quot;,&quot;given&quot;:&quot;J. M.&quot;,&quot;parse-names&quot;:false,&quot;dropping-particle&quot;:&quot;&quot;,&quot;non-dropping-particle&quot;:&quot;&quot;},{&quot;family&quot;:&quot;Diehl&quot;,&quot;given&quot;:&quot;B.&quot;,&quot;parse-names&quot;:false,&quot;dropping-particle&quot;:&quot;&quot;,&quot;non-dropping-particle&quot;:&quot;&quot;},{&quot;family&quot;:&quot;Donnelly&quot;,&quot;given&quot;:&quot;C.&quot;,&quot;parse-names&quot;:false,&quot;dropping-particle&quot;:&quot;&quot;,&quot;non-dropping-particle&quot;:&quot;&quot;},{&quot;family&quot;:&quot;Duncan&quot;,&quot;given&quot;:&quot;S.&quot;,&quot;parse-names&quot;:false,&quot;dropping-particle&quot;:&quot;&quot;,&quot;non-dropping-particle&quot;:&quot;&quot;},{&quot;family&quot;:&quot;Edwards&quot;,&quot;given&quot;:&quot;M.&quot;,&quot;parse-names&quot;:false,&quot;dropping-particle&quot;:&quot;&quot;,&quot;non-dropping-particle&quot;:&quot;&quot;},{&quot;family&quot;:&quot;Ellawella&quot;,&quot;given&quot;:&quot;S.&quot;,&quot;parse-names&quot;:false,&quot;dropping-particle&quot;:&quot;&quot;,&quot;non-dropping-particle&quot;:&quot;&quot;},{&quot;family&quot;:&quot;Ellis&quot;,&quot;given&quot;:&quot;C.&quot;,&quot;parse-names&quot;:false,&quot;dropping-particle&quot;:&quot;&quot;,&quot;non-dropping-particle&quot;:&quot;&quot;},{&quot;family&quot;:&quot;Elvish&quot;,&quot;given&quot;:&quot;J.&quot;,&quot;parse-names&quot;:false,&quot;dropping-particle&quot;:&quot;&quot;,&quot;non-dropping-particle&quot;:&quot;&quot;},{&quot;family&quot;:&quot;Elwes&quot;,&quot;given&quot;:&quot;R.&quot;,&quot;parse-names&quot;:false,&quot;dropping-particle&quot;:&quot;&quot;,&quot;non-dropping-particle&quot;:&quot;&quot;},{&quot;family&quot;:&quot;Eriemo&quot;,&quot;given&quot;:&quot;S.&quot;,&quot;parse-names&quot;:false,&quot;dropping-particle&quot;:&quot;&quot;,&quot;non-dropping-particle&quot;:&quot;&quot;},{&quot;family&quot;:&quot;Eriksson&quot;,&quot;given&quot;:&quot;S.&quot;,&quot;parse-names&quot;:false,&quot;dropping-particle&quot;:&quot;&quot;,&quot;non-dropping-particle&quot;:&quot;&quot;},{&quot;family&quot;:&quot;Evans&quot;,&quot;given&quot;:&quot;K.&quot;,&quot;parse-names&quot;:false,&quot;dropping-particle&quot;:&quot;&quot;,&quot;non-dropping-particle&quot;:&quot;&quot;},{&quot;family&quot;:&quot;Faruqui&quot;,&quot;given&quot;:&quot;R.&quot;,&quot;parse-names&quot;:false,&quot;dropping-particle&quot;:&quot;&quot;,&quot;non-dropping-particle&quot;:&quot;&quot;},{&quot;family&quot;:&quot;Feehan&quot;,&quot;given&quot;:&quot;S.&quot;,&quot;parse-names&quot;:false,&quot;dropping-particle&quot;:&quot;&quot;,&quot;non-dropping-particle&quot;:&quot;&quot;},{&quot;family&quot;:&quot;Finnerty&quot;,&quot;given&quot;:&quot;G.&quot;,&quot;parse-names&quot;:false,&quot;dropping-particle&quot;:&quot;&quot;,&quot;non-dropping-particle&quot;:&quot;&quot;},{&quot;family&quot;:&quot;Flores&quot;,&quot;given&quot;:&quot;L.&quot;,&quot;parse-names&quot;:false,&quot;dropping-particle&quot;:&quot;&quot;,&quot;non-dropping-particle&quot;:&quot;&quot;},{&quot;family&quot;:&quot;Firth&quot;,&quot;given&quot;:&quot;N.&quot;,&quot;parse-names&quot;:false,&quot;dropping-particle&quot;:&quot;&quot;,&quot;non-dropping-particle&quot;:&quot;&quot;},{&quot;family&quot;:&quot;Fung&quot;,&quot;given&quot;:&quot;R.&quot;,&quot;parse-names&quot;:false,&quot;dropping-particle&quot;:&quot;&quot;,&quot;non-dropping-particle&quot;:&quot;&quot;},{&quot;family&quot;:&quot;Gardiner&quot;,&quot;given&quot;:&quot;P.&quot;,&quot;parse-names&quot;:false,&quot;dropping-particle&quot;:&quot;&quot;,&quot;non-dropping-particle&quot;:&quot;&quot;},{&quot;family&quot;:&quot;Graham&quot;,&quot;given&quot;:&quot;C.&quot;,&quot;parse-names&quot;:false,&quot;dropping-particle&quot;:&quot;&quot;,&quot;non-dropping-particle&quot;:&quot;&quot;},{&quot;family&quot;:&quot;Green-Thompson&quot;,&quot;given&quot;:&quot;Z.&quot;,&quot;parse-names&quot;:false,&quot;dropping-particle&quot;:&quot;&quot;,&quot;non-dropping-particle&quot;:&quot;&quot;},{&quot;family&quot;:&quot;Grunewald&quot;,&quot;given&quot;:&quot;R.&quot;,&quot;parse-names&quot;:false,&quot;dropping-particle&quot;:&quot;&quot;,&quot;non-dropping-particle&quot;:&quot;&quot;},{&quot;family&quot;:&quot;Hadden&quot;,&quot;given&quot;:&quot;R.&quot;,&quot;parse-names&quot;:false,&quot;dropping-particle&quot;:&quot;&quot;,&quot;non-dropping-particle&quot;:&quot;&quot;},{&quot;family&quot;:&quot;Hamandi&quot;,&quot;given&quot;:&quot;K.&quot;,&quot;parse-names&quot;:false,&quot;dropping-particle&quot;:&quot;&quot;,&quot;non-dropping-particle&quot;:&quot;&quot;},{&quot;family&quot;:&quot;Harding&quot;,&quot;given&quot;:&quot;R.&quot;,&quot;parse-names&quot;:false,&quot;dropping-particle&quot;:&quot;&quot;,&quot;non-dropping-particle&quot;:&quot;&quot;},{&quot;family&quot;:&quot;Harikrishnan&quot;,&quot;given&quot;:&quot;S.&quot;,&quot;parse-names&quot;:false,&quot;dropping-particle&quot;:&quot;&quot;,&quot;non-dropping-particle&quot;:&quot;&quot;},{&quot;family&quot;:&quot;Harrison&quot;,&quot;given&quot;:&quot;S.&quot;,&quot;parse-names&quot;:false,&quot;dropping-particle&quot;:&quot;&quot;,&quot;non-dropping-particle&quot;:&quot;&quot;},{&quot;family&quot;:&quot;Healy&quot;,&quot;given&quot;:&quot;H.&quot;,&quot;parse-names&quot;:false,&quot;dropping-particle&quot;:&quot;&quot;,&quot;non-dropping-particle&quot;:&quot;&quot;},{&quot;family&quot;:&quot;Hewamadduma&quot;,&quot;given&quot;:&quot;C.&quot;,&quot;parse-names&quot;:false,&quot;dropping-particle&quot;:&quot;&quot;,&quot;non-dropping-particle&quot;:&quot;&quot;},{&quot;family&quot;:&quot;Higgins&quot;,&quot;given&quot;:&quot;S.&quot;,&quot;parse-names&quot;:false,&quot;dropping-particle&quot;:&quot;&quot;,&quot;non-dropping-particle&quot;:&quot;&quot;},{&quot;family&quot;:&quot;Howell&quot;,&quot;given&quot;:&quot;S.&quot;,&quot;parse-names&quot;:false,&quot;dropping-particle&quot;:&quot;&quot;,&quot;non-dropping-particle&quot;:&quot;&quot;},{&quot;family&quot;:&quot;Hunt&quot;,&quot;given&quot;:&quot;H.&quot;,&quot;parse-names&quot;:false,&quot;dropping-particle&quot;:&quot;&quot;,&quot;non-dropping-particle&quot;:&quot;&quot;},{&quot;family&quot;:&quot;Hussain&quot;,&quot;given&quot;:&quot;A.&quot;,&quot;parse-names&quot;:false,&quot;dropping-particle&quot;:&quot;&quot;,&quot;non-dropping-particle&quot;:&quot;&quot;},{&quot;family&quot;:&quot;Innocente&quot;,&quot;given&quot;:&quot;M.&quot;,&quot;parse-names&quot;:false,&quot;dropping-particle&quot;:&quot;&quot;,&quot;non-dropping-particle&quot;:&quot;&quot;},{&quot;family&quot;:&quot;Jensch&quot;,&quot;given&quot;:&quot;G.&quot;,&quot;parse-names&quot;:false,&quot;dropping-particle&quot;:&quot;&quot;,&quot;non-dropping-particle&quot;:&quot;&quot;},{&quot;family&quot;:&quot;Johnson&quot;,&quot;given&quot;:&quot;M.&quot;,&quot;parse-names&quot;:false,&quot;dropping-particle&quot;:&quot;&quot;,&quot;non-dropping-particle&quot;:&quot;&quot;},{&quot;family&quot;:&quot;Jordan&quot;,&quot;given&quot;:&quot;H.&quot;,&quot;parse-names&quot;:false,&quot;dropping-particle&quot;:&quot;&quot;,&quot;non-dropping-particle&quot;:&quot;&quot;},{&quot;family&quot;:&quot;Karlsson&quot;,&quot;given&quot;:&quot;J.&quot;,&quot;parse-names&quot;:false,&quot;dropping-particle&quot;:&quot;&quot;,&quot;non-dropping-particle&quot;:&quot;&quot;},{&quot;family&quot;:&quot;Kelso&quot;,&quot;given&quot;:&quot;A.&quot;,&quot;parse-names&quot;:false,&quot;dropping-particle&quot;:&quot;&quot;,&quot;non-dropping-particle&quot;:&quot;&quot;},{&quot;family&quot;:&quot;Kemp&quot;,&quot;given&quot;:&quot;S.&quot;,&quot;parse-names&quot;:false,&quot;dropping-particle&quot;:&quot;&quot;,&quot;non-dropping-particle&quot;:&quot;&quot;},{&quot;family&quot;:&quot;Knibb&quot;,&quot;given&quot;:&quot;J.&quot;,&quot;parse-names&quot;:false,&quot;dropping-particle&quot;:&quot;&quot;,&quot;non-dropping-particle&quot;:&quot;&quot;},{&quot;family&quot;:&quot;Kock&quot;,&quot;given&quot;:&quot;N.&quot;,&quot;parse-names&quot;:false,&quot;dropping-particle&quot;:&quot;&quot;,&quot;non-dropping-particle&quot;:&quot;&quot;},{&quot;family&quot;:&quot;Koutroumanidis&quot;,&quot;given&quot;:&quot;M.&quot;,&quot;parse-names&quot;:false,&quot;dropping-particle&quot;:&quot;&quot;,&quot;non-dropping-particle&quot;:&quot;&quot;},{&quot;family&quot;:&quot;Kovac&quot;,&quot;given&quot;:&quot;S.&quot;,&quot;parse-names&quot;:false,&quot;dropping-particle&quot;:&quot;&quot;,&quot;non-dropping-particle&quot;:&quot;&quot;},{&quot;family&quot;:&quot;Kumar&quot;,&quot;given&quot;:&quot;G.&quot;,&quot;parse-names&quot;:false,&quot;dropping-particle&quot;:&quot;&quot;,&quot;non-dropping-particle&quot;:&quot;&quot;},{&quot;family&quot;:&quot;Laker&quot;,&quot;given&quot;:&quot;A.&quot;,&quot;parse-names&quot;:false,&quot;dropping-particle&quot;:&quot;&quot;,&quot;non-dropping-particle&quot;:&quot;&quot;},{&quot;family&quot;:&quot;Leschziner&quot;,&quot;given&quot;:&quot;G.&quot;,&quot;parse-names&quot;:false,&quot;dropping-particle&quot;:&quot;&quot;,&quot;non-dropping-particle&quot;:&quot;&quot;},{&quot;family&quot;:&quot;Liu&quot;,&quot;given&quot;:&quot;R.&quot;,&quot;parse-names&quot;:false,&quot;dropping-particle&quot;:&quot;&quot;,&quot;non-dropping-particle&quot;:&quot;&quot;},{&quot;family&quot;:&quot;Lozsadi&quot;,&quot;given&quot;:&quot;D.&quot;,&quot;parse-names&quot;:false,&quot;dropping-particle&quot;:&quot;&quot;,&quot;non-dropping-particle&quot;:&quot;&quot;},{&quot;family&quot;:&quot;Ludwig&quot;,&quot;given&quot;:&quot;L.&quot;,&quot;parse-names&quot;:false,&quot;dropping-particle&quot;:&quot;&quot;,&quot;non-dropping-particle&quot;:&quot;&quot;},{&quot;family&quot;:&quot;MacDonald&quot;,&quot;given&quot;:&quot;B.&quot;,&quot;parse-names&quot;:false,&quot;dropping-particle&quot;:&quot;&quot;,&quot;non-dropping-particle&quot;:&quot;&quot;},{&quot;family&quot;:&quot;MacGregor&quot;,&quot;given&quot;:&quot;L.&quot;,&quot;parse-names&quot;:false,&quot;dropping-particle&quot;:&quot;&quot;,&quot;non-dropping-particle&quot;:&quot;&quot;},{&quot;family&quot;:&quot;Maguire&quot;,&quot;given&quot;:&quot;M.&quot;,&quot;parse-names&quot;:false,&quot;dropping-particle&quot;:&quot;&quot;,&quot;non-dropping-particle&quot;:&quot;&quot;},{&quot;family&quot;:&quot;Manford&quot;,&quot;given&quot;:&quot;M.&quot;,&quot;parse-names&quot;:false,&quot;dropping-particle&quot;:&quot;&quot;,&quot;non-dropping-particle&quot;:&quot;&quot;},{&quot;family&quot;:&quot;Martino&quot;,&quot;given&quot;:&quot;D.&quot;,&quot;parse-names&quot;:false,&quot;dropping-particle&quot;:&quot;&quot;,&quot;non-dropping-particle&quot;:&quot;&quot;},{&quot;family&quot;:&quot;McCorry&quot;,&quot;given&quot;:&quot;D.&quot;,&quot;parse-names&quot;:false,&quot;dropping-particle&quot;:&quot;&quot;,&quot;non-dropping-particle&quot;:&quot;&quot;},{&quot;family&quot;:&quot;McGorlick&quot;,&quot;given&quot;:&quot;A.&quot;,&quot;parse-names&quot;:false,&quot;dropping-particle&quot;:&quot;&quot;,&quot;non-dropping-particle&quot;:&quot;&quot;},{&quot;family&quot;:&quot;McKeown&quot;,&quot;given&quot;:&quot;K.&quot;,&quot;parse-names&quot;:false,&quot;dropping-particle&quot;:&quot;&quot;,&quot;non-dropping-particle&quot;:&quot;&quot;},{&quot;family&quot;:&quot;McKevitt&quot;,&quot;given&quot;:&quot;F.&quot;,&quot;parse-names&quot;:false,&quot;dropping-particle&quot;:&quot;&quot;,&quot;non-dropping-particle&quot;:&quot;&quot;},{&quot;family&quot;:&quot;Meadow&quot;,&quot;given&quot;:&quot;A.&quot;,&quot;parse-names&quot;:false,&quot;dropping-particle&quot;:&quot;&quot;,&quot;non-dropping-particle&quot;:&quot;&quot;},{&quot;family&quot;:&quot;Memon&quot;,&quot;given&quot;:&quot;S.&quot;,&quot;parse-names&quot;:false,&quot;dropping-particle&quot;:&quot;&quot;,&quot;non-dropping-particle&quot;:&quot;&quot;},{&quot;family&quot;:&quot;Miorelli&quot;,&quot;given&quot;:&quot;A.&quot;,&quot;parse-names&quot;:false,&quot;dropping-particle&quot;:&quot;&quot;,&quot;non-dropping-particle&quot;:&quot;&quot;},{&quot;family&quot;:&quot;Mitchell&quot;,&quot;given&quot;:&quot;C.&quot;,&quot;parse-names&quot;:false,&quot;dropping-particle&quot;:&quot;&quot;,&quot;non-dropping-particle&quot;:&quot;&quot;},{&quot;family&quot;:&quot;Mitchell&quot;,&quot;given&quot;:&quot;T. N.&quot;,&quot;parse-names&quot;:false,&quot;dropping-particle&quot;:&quot;&quot;,&quot;non-dropping-particle&quot;:&quot;&quot;},{&quot;family&quot;:&quot;Moffitt&quot;,&quot;given&quot;:&quot;V.&quot;,&quot;parse-names&quot;:false,&quot;dropping-particle&quot;:&quot;&quot;,&quot;non-dropping-particle&quot;:&quot;&quot;},{&quot;family&quot;:&quot;Moran&quot;,&quot;given&quot;:&quot;N.&quot;,&quot;parse-names&quot;:false,&quot;dropping-particle&quot;:&quot;&quot;,&quot;non-dropping-particle&quot;:&quot;&quot;},{&quot;family&quot;:&quot;Morgan-Boon&quot;,&quot;given&quot;:&quot;A.&quot;,&quot;parse-names&quot;:false,&quot;dropping-particle&quot;:&quot;&quot;,&quot;non-dropping-particle&quot;:&quot;&quot;},{&quot;family&quot;:&quot;Moriarty&quot;,&quot;given&quot;:&quot;J.&quot;,&quot;parse-names&quot;:false,&quot;dropping-particle&quot;:&quot;&quot;,&quot;non-dropping-particle&quot;:&quot;&quot;},{&quot;family&quot;:&quot;Mula&quot;,&quot;given&quot;:&quot;M.&quot;,&quot;parse-names&quot;:false,&quot;dropping-particle&quot;:&quot;&quot;,&quot;non-dropping-particle&quot;:&quot;&quot;},{&quot;family&quot;:&quot;Mullatti&quot;,&quot;given&quot;:&quot;N.&quot;,&quot;parse-names&quot;:false,&quot;dropping-particle&quot;:&quot;&quot;,&quot;non-dropping-particle&quot;:&quot;&quot;},{&quot;family&quot;:&quot;Nashef&quot;,&quot;given&quot;:&quot;L.&quot;,&quot;parse-names&quot;:false,&quot;dropping-particle&quot;:&quot;&quot;,&quot;non-dropping-particle&quot;:&quot;&quot;},{&quot;family&quot;:&quot;O'Hara&quot;,&quot;given&quot;:&quot;D.&quot;,&quot;parse-names&quot;:false,&quot;dropping-particle&quot;:&quot;&quot;,&quot;non-dropping-particle&quot;:&quot;&quot;},{&quot;family&quot;:&quot;Oakley&quot;,&quot;given&quot;:&quot;L.&quot;,&quot;parse-names&quot;:false,&quot;dropping-particle&quot;:&quot;&quot;,&quot;non-dropping-particle&quot;:&quot;&quot;},{&quot;family&quot;:&quot;O'Sullivan&quot;,&quot;given&quot;:&quot;S.&quot;,&quot;parse-names&quot;:false,&quot;dropping-particle&quot;:&quot;&quot;,&quot;non-dropping-particle&quot;:&quot;&quot;},{&quot;family&quot;:&quot;Page&quot;,&quot;given&quot;:&quot;L.&quot;,&quot;parse-names&quot;:false,&quot;dropping-particle&quot;:&quot;&quot;,&quot;non-dropping-particle&quot;:&quot;&quot;},{&quot;family&quot;:&quot;Patel&quot;,&quot;given&quot;:&quot;D.&quot;,&quot;parse-names&quot;:false,&quot;dropping-particle&quot;:&quot;&quot;,&quot;non-dropping-particle&quot;:&quot;&quot;},{&quot;family&quot;:&quot;Petrochilos&quot;,&quot;given&quot;:&quot;P.&quot;,&quot;parse-names&quot;:false,&quot;dropping-particle&quot;:&quot;&quot;,&quot;non-dropping-particle&quot;:&quot;&quot;},{&quot;family&quot;:&quot;Phoenix&quot;,&quot;given&quot;:&quot;D.&quot;,&quot;parse-names&quot;:false,&quot;dropping-particle&quot;:&quot;&quot;,&quot;non-dropping-particle&quot;:&quot;&quot;},{&quot;family&quot;:&quot;Pickerell&quot;,&quot;given&quot;:&quot;W.&quot;,&quot;parse-names&quot;:false,&quot;dropping-particle&quot;:&quot;&quot;,&quot;non-dropping-particle&quot;:&quot;&quot;},{&quot;family&quot;:&quot;Pieters&quot;,&quot;given&quot;:&quot;T.&quot;,&quot;parse-names&quot;:false,&quot;dropping-particle&quot;:&quot;&quot;,&quot;non-dropping-particle&quot;:&quot;&quot;},{&quot;family&quot;:&quot;Poole&quot;,&quot;given&quot;:&quot;N.&quot;,&quot;parse-names&quot;:false,&quot;dropping-particle&quot;:&quot;&quot;,&quot;non-dropping-particle&quot;:&quot;&quot;},{&quot;family&quot;:&quot;Price&quot;,&quot;given&quot;:&quot;G.&quot;,&quot;parse-names&quot;:false,&quot;dropping-particle&quot;:&quot;&quot;,&quot;non-dropping-particle&quot;:&quot;&quot;},{&quot;family&quot;:&quot;Protheroe&quot;,&quot;given&quot;:&quot;D.&quot;,&quot;parse-names&quot;:false,&quot;dropping-particle&quot;:&quot;&quot;,&quot;non-dropping-particle&quot;:&quot;&quot;},{&quot;family&quot;:&quot;Pullicino&quot;,&quot;given&quot;:&quot;P.&quot;,&quot;parse-names&quot;:false,&quot;dropping-particle&quot;:&quot;&quot;,&quot;non-dropping-particle&quot;:&quot;&quot;},{&quot;family&quot;:&quot;Purnell&quot;,&quot;given&quot;:&quot;J.&quot;,&quot;parse-names&quot;:false,&quot;dropping-particle&quot;:&quot;&quot;,&quot;non-dropping-particle&quot;:&quot;&quot;},{&quot;family&quot;:&quot;Quirk&quot;,&quot;given&quot;:&quot;J.&quot;,&quot;parse-names&quot;:false,&quot;dropping-particle&quot;:&quot;&quot;,&quot;non-dropping-particle&quot;:&quot;&quot;},{&quot;family&quot;:&quot;Rajakulendran&quot;,&quot;given&quot;:&quot;S.&quot;,&quot;parse-names&quot;:false,&quot;dropping-particle&quot;:&quot;&quot;,&quot;non-dropping-particle&quot;:&quot;&quot;},{&quot;family&quot;:&quot;Read&quot;,&quot;given&quot;:&quot;J.&quot;,&quot;parse-names&quot;:false,&quot;dropping-particle&quot;:&quot;&quot;,&quot;non-dropping-particle&quot;:&quot;&quot;},{&quot;family&quot;:&quot;Ridha&quot;,&quot;given&quot;:&quot;B.&quot;,&quot;parse-names&quot;:false,&quot;dropping-particle&quot;:&quot;&quot;,&quot;non-dropping-particle&quot;:&quot;&quot;},{&quot;family&quot;:&quot;Rockliffe-Fidler&quot;,&quot;given&quot;:&quot;C.&quot;,&quot;parse-names&quot;:false,&quot;dropping-particle&quot;:&quot;&quot;,&quot;non-dropping-particle&quot;:&quot;&quot;},{&quot;family&quot;:&quot;Rowbottom&quot;,&quot;given&quot;:&quot;C.&quot;,&quot;parse-names&quot;:false,&quot;dropping-particle&quot;:&quot;&quot;,&quot;non-dropping-particle&quot;:&quot;&quot;},{&quot;family&quot;:&quot;Rugg-Gunn&quot;,&quot;given&quot;:&quot;F.&quot;,&quot;parse-names&quot;:false,&quot;dropping-particle&quot;:&quot;&quot;,&quot;non-dropping-particle&quot;:&quot;&quot;},{&quot;family&quot;:&quot;Sachar&quot;,&quot;given&quot;:&quot;A.&quot;,&quot;parse-names&quot;:false,&quot;dropping-particle&quot;:&quot;&quot;,&quot;non-dropping-particle&quot;:&quot;&quot;},{&quot;family&quot;:&quot;Saha&quot;,&quot;given&quot;:&quot;R.&quot;,&quot;parse-names&quot;:false,&quot;dropping-particle&quot;:&quot;&quot;,&quot;non-dropping-particle&quot;:&quot;&quot;},{&quot;family&quot;:&quot;Saldanha&quot;,&quot;given&quot;:&quot;G.&quot;,&quot;parse-names&quot;:false,&quot;dropping-particle&quot;:&quot;&quot;,&quot;non-dropping-particle&quot;:&quot;&quot;},{&quot;family&quot;:&quot;Samarasekera&quot;,&quot;given&quot;:&quot;S.&quot;,&quot;parse-names&quot;:false,&quot;dropping-particle&quot;:&quot;&quot;,&quot;non-dropping-particle&quot;:&quot;&quot;},{&quot;family&quot;:&quot;Sanchez Sanchez&quot;,&quot;given&quot;:&quot;V.&quot;,&quot;parse-names&quot;:false,&quot;dropping-particle&quot;:&quot;&quot;,&quot;non-dropping-particle&quot;:&quot;&quot;},{&quot;family&quot;:&quot;Santhouse&quot;,&quot;given&quot;:&quot;A.&quot;,&quot;parse-names&quot;:false,&quot;dropping-particle&quot;:&quot;&quot;,&quot;non-dropping-particle&quot;:&quot;&quot;},{&quot;family&quot;:&quot;Scholes&quot;,&quot;given&quot;:&quot;K.&quot;,&quot;parse-names&quot;:false,&quot;dropping-particle&quot;:&quot;&quot;,&quot;non-dropping-particle&quot;:&quot;&quot;},{&quot;family&quot;:&quot;Shetty&quot;,&quot;given&quot;:&quot;A.&quot;,&quot;parse-names&quot;:false,&quot;dropping-particle&quot;:&quot;&quot;,&quot;non-dropping-particle&quot;:&quot;&quot;},{&quot;family&quot;:&quot;Shotbolt&quot;,&quot;given&quot;:&quot;P.&quot;,&quot;parse-names&quot;:false,&quot;dropping-particle&quot;:&quot;&quot;,&quot;non-dropping-particle&quot;:&quot;&quot;},{&quot;family&quot;:&quot;Simkiss&quot;,&quot;given&quot;:&quot;R.&quot;,&quot;parse-names&quot;:false,&quot;dropping-particle&quot;:&quot;&quot;,&quot;non-dropping-particle&quot;:&quot;&quot;},{&quot;family&quot;:&quot;Singh&quot;,&quot;given&quot;:&quot;J.&quot;,&quot;parse-names&quot;:false,&quot;dropping-particle&quot;:&quot;&quot;,&quot;non-dropping-particle&quot;:&quot;&quot;},{&quot;family&quot;:&quot;Sivagnanasundaram&quot;,&quot;given&quot;:&quot;J.&quot;,&quot;parse-names&quot;:false,&quot;dropping-particle&quot;:&quot;&quot;,&quot;non-dropping-particle&quot;:&quot;&quot;},{&quot;family&quot;:&quot;Slaght&quot;,&quot;given&quot;:&quot;S.&quot;,&quot;parse-names&quot;:false,&quot;dropping-particle&quot;:&quot;&quot;,&quot;non-dropping-particle&quot;:&quot;&quot;},{&quot;family&quot;:&quot;Smith&quot;,&quot;given&quot;:&quot;P.&quot;,&quot;parse-names&quot;:false,&quot;dropping-particle&quot;:&quot;&quot;,&quot;non-dropping-particle&quot;:&quot;&quot;},{&quot;family&quot;:&quot;Sokhi&quot;,&quot;given&quot;:&quot;D.&quot;,&quot;parse-names&quot;:false,&quot;dropping-particle&quot;:&quot;&quot;,&quot;non-dropping-particle&quot;:&quot;&quot;},{&quot;family&quot;:&quot;Stanton&quot;,&quot;given&quot;:&quot;B.&quot;,&quot;parse-names&quot;:false,&quot;dropping-particle&quot;:&quot;&quot;,&quot;non-dropping-particle&quot;:&quot;&quot;},{&quot;family&quot;:&quot;Suvorova&quot;,&quot;given&quot;:&quot;L.&quot;,&quot;parse-names&quot;:false,&quot;dropping-particle&quot;:&quot;&quot;,&quot;non-dropping-particle&quot;:&quot;&quot;},{&quot;family&quot;:&quot;Tahir&quot;,&quot;given&quot;:&quot;T.&quot;,&quot;parse-names&quot;:false,&quot;dropping-particle&quot;:&quot;&quot;,&quot;non-dropping-particle&quot;:&quot;&quot;},{&quot;family&quot;:&quot;Taylor&quot;,&quot;given&quot;:&quot;R.&quot;,&quot;parse-names&quot;:false,&quot;dropping-particle&quot;:&quot;&quot;,&quot;non-dropping-particle&quot;:&quot;&quot;},{&quot;family&quot;:&quot;Teare&quot;,&quot;given&quot;:&quot;L.&quot;,&quot;parse-names&quot;:false,&quot;dropping-particle&quot;:&quot;&quot;,&quot;non-dropping-particle&quot;:&quot;&quot;},{&quot;family&quot;:&quot;Tedesco&quot;,&quot;given&quot;:&quot;L.&quot;,&quot;parse-names&quot;:false,&quot;dropping-particle&quot;:&quot;&quot;,&quot;non-dropping-particle&quot;:&quot;&quot;},{&quot;family&quot;:&quot;Teo&quot;,&quot;given&quot;:&quot;J.&quot;,&quot;parse-names&quot;:false,&quot;dropping-particle&quot;:&quot;&quot;,&quot;non-dropping-particle&quot;:&quot;&quot;},{&quot;family&quot;:&quot;Thorpe&quot;,&quot;given&quot;:&quot;J.&quot;,&quot;parse-names&quot;:false,&quot;dropping-particle&quot;:&quot;&quot;,&quot;non-dropping-particle&quot;:&quot;&quot;},{&quot;family&quot;:&quot;Toplis&quot;,&quot;given&quot;:&quot;L.&quot;,&quot;parse-names&quot;:false,&quot;dropping-particle&quot;:&quot;&quot;,&quot;non-dropping-particle&quot;:&quot;&quot;},{&quot;family&quot;:&quot;Tsakopoulou&quot;,&quot;given&quot;:&quot;M.&quot;,&quot;parse-names&quot;:false,&quot;dropping-particle&quot;:&quot;&quot;,&quot;non-dropping-particle&quot;:&quot;&quot;},{&quot;family&quot;:&quot;Tylova&quot;,&quot;given&quot;:&quot;I.&quot;,&quot;parse-names&quot;:false,&quot;dropping-particle&quot;:&quot;&quot;,&quot;non-dropping-particle&quot;:&quot;&quot;},{&quot;family&quot;:&quot;Vick&quot;,&quot;given&quot;:&quot;T.&quot;,&quot;parse-names&quot;:false,&quot;dropping-particle&quot;:&quot;&quot;,&quot;non-dropping-particle&quot;:&quot;&quot;},{&quot;family&quot;:&quot;Vinnicombe&quot;,&quot;given&quot;:&quot;J.&quot;,&quot;parse-names&quot;:false,&quot;dropping-particle&quot;:&quot;&quot;,&quot;non-dropping-particle&quot;:&quot;&quot;},{&quot;family&quot;:&quot;Walker&quot;,&quot;given&quot;:&quot;M.&quot;,&quot;parse-names&quot;:false,&quot;dropping-particle&quot;:&quot;&quot;,&quot;non-dropping-particle&quot;:&quot;&quot;},{&quot;family&quot;:&quot;Walsh&quot;,&quot;given&quot;:&quot;C.&quot;,&quot;parse-names&quot;:false,&quot;dropping-particle&quot;:&quot;&quot;,&quot;non-dropping-particle&quot;:&quot;&quot;},{&quot;family&quot;:&quot;Watson&quot;,&quot;given&quot;:&quot;G.&quot;,&quot;parse-names&quot;:false,&quot;dropping-particle&quot;:&quot;&quot;,&quot;non-dropping-particle&quot;:&quot;&quot;},{&quot;family&quot;:&quot;Webb&quot;,&quot;given&quot;:&quot;T.&quot;,&quot;parse-names&quot;:false,&quot;dropping-particle&quot;:&quot;&quot;,&quot;non-dropping-particle&quot;:&quot;&quot;},{&quot;family&quot;:&quot;Wehner&quot;,&quot;given&quot;:&quot;T.&quot;,&quot;parse-names&quot;:false,&quot;dropping-particle&quot;:&quot;&quot;,&quot;non-dropping-particle&quot;:&quot;&quot;},{&quot;family&quot;:&quot;Welch&quot;,&quot;given&quot;:&quot;K.&quot;,&quot;parse-names&quot;:false,&quot;dropping-particle&quot;:&quot;&quot;,&quot;non-dropping-particle&quot;:&quot;&quot;},{&quot;family&quot;:&quot;Weyrich&quot;,&quot;given&quot;:&quot;K.&quot;,&quot;parse-names&quot;:false,&quot;dropping-particle&quot;:&quot;&quot;,&quot;non-dropping-particle&quot;:&quot;&quot;},{&quot;family&quot;:&quot;Whittaker&quot;,&quot;given&quot;:&quot;M.&quot;,&quot;parse-names&quot;:false,&quot;dropping-particle&quot;:&quot;&quot;,&quot;non-dropping-particle&quot;:&quot;&quot;},{&quot;family&quot;:&quot;Wickremaratchi&quot;,&quot;given&quot;:&quot;M.&quot;,&quot;parse-names&quot;:false,&quot;dropping-particle&quot;:&quot;&quot;,&quot;non-dropping-particle&quot;:&quot;&quot;},{&quot;family&quot;:&quot;Wicks&quot;,&quot;given&quot;:&quot;L.&quot;,&quot;parse-names&quot;:false,&quot;dropping-particle&quot;:&quot;&quot;,&quot;non-dropping-particle&quot;:&quot;&quot;},{&quot;family&quot;:&quot;Yogarajah&quot;,&quot;given&quot;:&quot;M.&quot;,&quot;parse-names&quot;:false,&quot;dropping-particle&quot;:&quot;&quot;,&quot;non-dropping-particle&quot;:&quot;&quot;}],&quot;container-title&quot;:&quot;The lancet. Psychiatry&quot;,&quot;container-title-short&quot;:&quot;Lancet Psychiatry&quot;,&quot;accessed&quot;:{&quot;date-parts&quot;:[[2023,5,29]]},&quot;DOI&quot;:&quot;10.1016/S2215-0366(20)30128-0&quot;,&quot;ISSN&quot;:&quot;2215-0374&quot;,&quot;PMID&quot;:&quot;32445688&quot;,&quot;URL&quot;:&quot;https://pubmed.ncbi.nlm.nih.gov/32445688/&quot;,&quot;issued&quot;:{&quot;date-parts&quot;:[[2020,6,1]]},&quot;page&quot;:&quot;491-505&quot;,&quot;abstract&quot;:&quot;Background: Dissociative seizures are paroxysmal events resembling epilepsy or syncope with characteristic features that allow them to be distinguished from other medical conditions. We aimed to compare the effectiveness of cognitive behavioural therapy (CBT) plus standardised medical care with standardised medical care alone for the reduction of dissociative seizure frequency. Methods: In this pragmatic, parallel-arm, multicentre randomised controlled trial, we initially recruited participants at 27 neurology or epilepsy services in England, Scotland, and Wales. Adults (≥18 years) who had dissociative seizures in the previous 8 weeks and no epileptic seizures in the previous 12 months were subsequently randomly assigned (1:1) from 17 liaison or neuropsychiatry services following psychiatric assessment, to receive standardised medical care or CBT plus standardised medical care, using a web-based system. Randomisation was stratified by neuropsychiatry or liaison psychiatry recruitment site. The trial manager, chief investigator, all treating clinicians, and patients were aware of treatment allocation, but outcome data collectors and trial statisticians were unaware of treatment allocation. Patients were followed up 6 months and 12 months after randomisation. The primary outcome was monthly dissociative seizure frequency (ie, frequency in the previous 4 weeks) assessed at 12 months. Secondary outcomes assessed at 12 months were: seizure severity (intensity) and bothersomeness; longest period of seizure freedom in the previous 6 months; complete seizure freedom in the previous 3 months; a greater than 50% reduction in seizure frequency relative to baseline; changes in dissociative seizures (rated by others); health-related quality of life; psychosocial functioning; psychiatric symptoms, psychological distress, and somatic symptom burden; and clinical impression of improvement and satisfaction. p values and statistical significance for outcomes were reported without correction for multiple comparisons as per our protocol. Primary and secondary outcomes were assessed in the intention-to-treat population with multiple imputation for missing observations. This trial is registered with the International Standard Randomised Controlled Trial registry, ISRCTN05681227, and ClinicalTrials.gov, NCT02325544. Findings: Between Jan 16, 2015, and May 31, 2017, we randomly assigned 368 patients to receive CBT plus standardised medical care (n=186) or standardised medical care alone (n=182); of whom 313 had primary outcome data at 12 months (156 [84%] of 186 patients in the CBT plus standardised medical care group and 157 [86%] of 182 patients in the standardised medical care group). At 12 months, no significant difference in monthly dissociative seizure frequency was identified between the groups (median 4 seizures [IQR 0–20] in the CBT plus standardised medical care group vs 7 seizures [1–35] in the standardised medical care group; estimated incidence rate ratio [IRR] 0·78 [95% CI 0·56–1·09]; p=0·144). Dissociative seizures were rated as less bothersome in the CBT plus standardised medical care group than the standardised medical care group (estimated mean difference −0·53 [95% CI −0·97 to −0·08]; p=0·020). The CBT plus standardised medical care group had a longer period of dissociative seizure freedom in the previous 6 months (estimated IRR 1·64 [95% CI 1·22 to 2·20]; p=0·001), reported better health-related quality of life on the EuroQoL-5 Dimensions-5 Level Health Today visual analogue scale (estimated mean difference 6·16 [95% CI 1·48 to 10·84]; p=0·010), less impairment in psychosocial functioning on the Work and Social Adjustment Scale (estimated mean difference −4·12 [95% CI −6·35 to −1·89]; p&lt;0·001), less overall psychological distress than the standardised medical care group on the Clinical Outcomes in Routine Evaluation-10 scale (estimated mean difference −1·65 [95% CI −2·96 to −0·35]; p=0·013), and fewer somatic symptoms on the modified Patient Health Questionnaire-15 scale (estimated mean difference −1·67 [95% CI −2·90 to −0·44]; p=0·008). Clinical improvement at 12 months was greater in the CBT plus standardised medical care group than the standardised medical care alone group as reported by patients (estimated mean difference 0·66 [95% CI 0·26 to 1·04]; p=0·001) and by clinicians (estimated mean difference 0·47 [95% CI 0·21 to 0·73]; p&lt;0·001), and the CBT plus standardised medical care group had greater satisfaction with treatment than did the standardised medical care group (estimated mean difference 0·90 [95% CI 0·48 to 1·31]; p&lt;0·001). No significant differences in patient-reported seizure severity (estimated mean difference −0·11 [95% CI −0·50 to 0·29]; p=0·593) or seizure freedom in the last 3 months of the study (estimated odds ratio [OR] 1·77 [95% CI 0·93 to 3·37]; p=0·083) were identified between the groups. Furthermore, no significant differences were identified in the proportion of patients who had a more than 50% reduction in dissociative seizure frequency compared with baseline (OR 1·27 [95% CI 0·80 to 2·02]; p=0·313). Additionally, the 12-item Short Form survey–version 2 scores (estimated mean difference for the Physical Component Summary score 1·78 [95% CI −0·37 to 3·92]; p=0·105; estimated mean difference for the Mental Component Summary score 2·22 [95% CI −0·30 to 4·75]; p=0·084), the Generalised Anxiety Disorder-7 scale score (estimated mean difference −1·09 [95% CI −2·27 to 0·09]; p=0·069), and the Patient Health Questionnaire-9 scale depression score (estimated mean difference −1·10 [95% CI −2·41 to 0·21]; p=0·099) did not differ significantly between groups. Changes in dissociative seizures (rated by others) could not be assessed due to insufficient data. During the 12-month period, the number of adverse events was similar between the groups: 57 (31%) of 186 participants in the CBT plus standardised medical care group reported 97 adverse events and 53 (29%) of 182 participants in the standardised medical care group reported 79 adverse events. Interpretation: CBT plus standardised medical care had no statistically significant advantage compared with standardised medical care alone for the reduction of monthly seizures. However, improvements were observed in a number of clinically relevant secondary outcomes following CBT plus standardised medical care when compared with standardised medical care alone. Thus, adults with dissociative seizures might benefit from the addition of dissociative seizure-specific CBT to specialist care from neurologists and psychiatrists. Future work is needed to identify patients who would benefit most from a dissociative seizure-specific CBT approach. Funding: National Institute for Health Research, Health Technology Assessment programme.&quot;,&quot;publisher&quot;:&quot;Lancet Psychiatry&quot;,&quot;issue&quot;:&quot;6&quot;,&quot;volume&quot;:&quot;7&quot;},&quot;isTemporary&quot;:false},{&quot;id&quot;:&quot;0bd12cdb-c5d0-3a0c-a1eb-a3bca9f8e895&quot;,&quot;itemData&quot;:{&quot;type&quot;:&quot;article-journal&quot;,&quot;id&quot;:&quot;0bd12cdb-c5d0-3a0c-a1eb-a3bca9f8e895&quot;,&quot;title&quot;:&quot;Management of functional neurological disorder&quot;,&quot;author&quot;:[{&quot;family&quot;:&quot;Gilmour&quot;,&quot;given&quot;:&quot;Gabriela S.&quot;,&quot;parse-names&quot;:false,&quot;dropping-particle&quot;:&quot;&quot;,&quot;non-dropping-particle&quot;:&quot;&quot;},{&quot;family&quot;:&quot;Nielsen&quot;,&quot;given&quot;:&quot;Glenn&quot;,&quot;parse-names&quot;:false,&quot;dropping-particle&quot;:&quot;&quot;,&quot;non-dropping-particle&quot;:&quot;&quot;},{&quot;family&quot;:&quot;Teodoro&quot;,&quot;given&quot;:&quot;Tiago&quot;,&quot;parse-names&quot;:false,&quot;dropping-particle&quot;:&quot;&quot;,&quot;non-dropping-particle&quot;:&quot;&quot;},{&quot;family&quot;:&quot;Yogarajah&quot;,&quot;given&quot;:&quot;Mahinda&quot;,&quot;parse-names&quot;:false,&quot;dropping-particle&quot;:&quot;&quot;,&quot;non-dropping-particle&quot;:&quot;&quot;},{&quot;family&quot;:&quot;Coebergh&quot;,&quot;given&quot;:&quot;Jan Adriaan&quot;,&quot;parse-names&quot;:false,&quot;dropping-particle&quot;:&quot;&quot;,&quot;non-dropping-particle&quot;:&quot;&quot;},{&quot;family&quot;:&quot;Dilley&quot;,&quot;given&quot;:&quot;Michael D.&quot;,&quot;parse-names&quot;:false,&quot;dropping-particle&quot;:&quot;&quot;,&quot;non-dropping-particle&quot;:&quot;&quot;},{&quot;family&quot;:&quot;Martino&quot;,&quot;given&quot;:&quot;Davide&quot;,&quot;parse-names&quot;:false,&quot;dropping-particle&quot;:&quot;&quot;,&quot;non-dropping-particle&quot;:&quot;&quot;},{&quot;family&quot;:&quot;Edwards&quot;,&quot;given&quot;:&quot;Mark J.&quot;,&quot;parse-names&quot;:false,&quot;dropping-particle&quot;:&quot;&quot;,&quot;non-dropping-particle&quot;:&quot;&quot;}],&quot;container-title&quot;:&quot;Journal of Neurology&quot;,&quot;container-title-short&quot;:&quot;J Neurol&quot;,&quot;accessed&quot;:{&quot;date-parts&quot;:[[2023,4,30]]},&quot;DOI&quot;:&quot;10.1007/S00415-020-09772-W/FIGURES/1&quot;,&quot;ISSN&quot;:&quot;14321459&quot;,&quot;PMID&quot;:&quot;32193596&quot;,&quot;URL&quot;:&quot;https://link.springer.com/article/10.1007/s00415-020-09772-w&quot;,&quot;issued&quot;:{&quot;date-parts&quot;:[[2020,7,1]]},&quot;page&quot;:&quot;2164-2172&quot;,&quot;abstract&quot;:&quot;Functional neurological disorder (FND) is a common cause of persistent and disabling neurological symptoms. These symptoms are varied and include abnormal control of movement, episodes of altered awareness resembling epileptic seizures and abnormal sensation and are often comorbid with chronic pain, fatigue and cognitive symptoms. There is increasing evidence for the role of neurologists in both the assessment and management of FND. The aim of this review is to discuss strategies for the management of FND by focusing on the diagnostic discussion and general principles, as well as specific treatment strategies for various FND symptoms, highlighting the role of the neurologist and proposing a structure for an interdisciplinary FND service.&quot;,&quot;publisher&quot;:&quot;Springer&quot;,&quot;issue&quot;:&quot;7&quot;,&quot;volume&quot;:&quot;267&quot;},&quot;isTemporary&quot;:false}],&quot;citationTag&quot;:&quot;MENDELEY_CITATION_v3_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&quot;},{&quot;citationID&quot;:&quot;MENDELEY_CITATION_aa1e559e-ede8-4ece-8d0d-6a382848c294&quot;,&quot;properties&quot;:{&quot;noteIndex&quot;:0},&quot;isEdited&quot;:false,&quot;manualOverride&quot;:{&quot;isManuallyOverridden&quot;:true,&quot;citeprocText&quot;:&quot;(Lin &amp;#38; Espay, 2021; O’connell et al., 2020)&quot;,&quot;manualOverrideText&quot;:&quot;(Lin &amp; Espay, 2021; O'Connell et al., 2020)&quot;},&quot;citationItems&quot;:[{&quot;id&quot;:&quot;9ef9357d-dc39-3d6a-84c7-b36011a342dd&quot;,&quot;itemData&quot;:{&quot;type&quot;:&quot;article-journal&quot;,&quot;id&quot;:&quot;9ef9357d-dc39-3d6a-84c7-b36011a342dd&quot;,&quot;title&quot;:&quot;Remote delivery of cognitive behavioral therapy to patients with functional neurological disorders: Promise and challenges&quot;,&quot;author&quot;:[{&quot;family&quot;:&quot;Lin&quot;,&quot;given&quot;:&quot;Amanda&quot;,&quot;parse-names&quot;:false,&quot;dropping-particle&quot;:&quot;&quot;,&quot;non-dropping-particle&quot;:&quot;&quot;},{&quot;family&quot;:&quot;Espay&quot;,&quot;given&quot;:&quot;Alberto J.&quot;,&quot;parse-names&quot;:false,&quot;dropping-particle&quot;:&quot;&quot;,&quot;non-dropping-particle&quot;:&quot;&quot;}],&quot;container-title&quot;:&quot;Epilepsy &amp; Behavior Reports&quot;,&quot;container-title-short&quot;:&quot;Epilepsy Behav Rep&quot;,&quot;accessed&quot;:{&quot;date-parts&quot;:[[2023,5,31]]},&quot;DOI&quot;:&quot;10.1016/J.EBR.2021.100469&quot;,&quot;ISSN&quot;:&quot;25899864&quot;,&quot;PMID&quot;:&quot;34409282&quot;,&quot;URL&quot;:&quot;/pmc/articles/PMC8361291/&quot;,&quot;issued&quot;:{&quot;date-parts&quot;:[[2021,1,1]]},&quot;abstract&quot;:&quot;Functional neurological disorders (FND) are an important source of healthcare utilization and morbidity. While there are no formal guidelines for treating these disorders, cognitive behavioral therapy (CBT) is emerging as a safe and effective treatment. Currently, there is a global shortage of CBT providers, with only a small subset trained in and comfortable with treating patients with FND. We highlight four types of remote CBT delivery to patients with FND to alleviate the access obstacle: workbooks, internet-guided CBT, app-based CBT, and teletherapy. CBT workbooks and teletherapy have been studied in FND, with preliminary studies suggesting efficacy; internet-guided CBT and app-based CBT have not but have been effectively used in patients with psychiatric disorders, particularly depression, anxiety, and post-traumatic disorders. As these disorders are often comorbid and share overlapping neurobiology with FND, internet-guided CBT and app-based CBT represent promising delivery options of CBT for FND. Although remotely-delivered CBT is unlikely to replace in-person CBT and there are technical and logistical challenges to overcome prior to widespread deployment, it holds promise as an adjunct treatment when in-person CBT is inaccessible. We propose a rational approach to future allocation of remote CBT treatment options and highlight important research gaps to bridge beforehand.&quot;,&quot;publisher&quot;:&quot;Elsevier&quot;,&quot;volume&quot;:&quot;16&quot;},&quot;isTemporary&quot;:false},{&quot;id&quot;:&quot;b2c075d4-373a-3b28-af4f-d9e37ecf384a&quot;,&quot;itemData&quot;:{&quot;type&quot;:&quot;article-journal&quot;,&quot;id&quot;:&quot;b2c075d4-373a-3b28-af4f-d9e37ecf384a&quot;,&quot;title&quot;:&quot;Outpatient cbt for motor functional neurological disorder and other neuropsychiatric conditions: A retrospective case comparison&quot;,&quot;author&quot;:[{&quot;family&quot;:&quot;O’connell&quot;,&quot;given&quot;:&quot;Nicola&quot;,&quot;parse-names&quot;:false,&quot;dropping-particle&quot;:&quot;&quot;,&quot;non-dropping-particle&quot;:&quot;&quot;},{&quot;family&quot;:&quot;Watson&quot;,&quot;given&quot;:&quot;Gillian&quot;,&quot;parse-names&quot;:false,&quot;dropping-particle&quot;:&quot;&quot;,&quot;non-dropping-particle&quot;:&quot;&quot;},{&quot;family&quot;:&quot;Grey&quot;,&quot;given&quot;:&quot;Clare&quot;,&quot;parse-names&quot;:false,&quot;dropping-particle&quot;:&quot;&quot;,&quot;non-dropping-particle&quot;:&quot;&quot;},{&quot;family&quot;:&quot;Pastena&quot;,&quot;given&quot;:&quot;Rosa&quot;,&quot;parse-names&quot;:false,&quot;dropping-particle&quot;:&quot;&quot;,&quot;non-dropping-particle&quot;:&quot;&quot;},{&quot;family&quot;:&quot;McKeown&quot;,&quot;given&quot;:&quot;Kenneth&quot;,&quot;parse-names&quot;:false,&quot;dropping-particle&quot;:&quot;&quot;,&quot;non-dropping-particle&quot;:&quot;&quot;},{&quot;family&quot;:&quot;David&quot;,&quot;given&quot;:&quot;Anthony S.&quot;,&quot;parse-names&quot;:false,&quot;dropping-particle&quot;:&quot;&quot;,&quot;non-dropping-particle&quot;:&quot;&quot;}],&quot;container-title&quot;:&quot;Journal of Neuropsychiatry and Clinical Neurosciences&quot;,&quot;accessed&quot;:{&quot;date-parts&quot;:[[2023,5,31]]},&quot;DOI&quot;:&quot;10.1176/APPI.NEUROPSYCH.19030067/ASSET/IMAGES/LARGE/APPI.NEUROPSYCH.19030067F1.JPEG&quot;,&quot;ISSN&quot;:&quot;15457222&quot;,&quot;PMID&quot;:&quot;31466518&quot;,&quot;URL&quot;:&quot;https://neuro.psychiatryonline.org/doi/10.1176/appi.neuropsych.19030067&quot;,&quot;issued&quot;:{&quot;date-parts&quot;:[[2020,8,30]]},&quot;page&quot;:&quot;58-66&quot;,&quot;abstract&quot;:&quot;Objective: No gold-standard treatment exists for motor functional neurological disorder (mFND), and limited evidence has been found for the effectiveness of cognitive-behavioral therapy (CBT) in treating the disorder. This study examined sociodemographic and clinical characteristics, treatment outcomes, and treatment dropout among patients with and without mFND who received CBT in a neuropsychiatric outpatient clinic in the United Kingdom. Methods: Data from a large anonymized psychiatric register were used to identify patients who received outpatient CBT in a neuropsychiatry clinic between 2006 and 2016 and who had either mFND (N=98) or other neuropsychiatric conditions (ONP) (N=76, control group). The study examined sociodemographic characteristics, physical symptom improvement, and changes in clinical outcome and scores on three instruments measuring psychological distress, psychiatric sequelae of brain injury, and depression. Results: The most common mFND symptoms were weakness, pain, and tremors. A logistic regression analysis found no sociodemographic differences between patients with mFND who dropped out early and those who completed CBT. Pre-and post-CBT scores on the three instruments were available for only a small subset of patients; both mFND and ONP patients showed significant improvements in overall scores. A logistic regression analysis found only a single predictor of symptom improvement in the mFND group: acceptance of a psychological explanation of symptoms prior to treatment. Conclusions: Improvements in physical and psychological functioning were similar for patients with mFND and patients with ONP who were treated in a specialist CBT clinic. This study provides evidence that CBT is feasible and effective for some patients with mFND.&quot;,&quot;publisher&quot;:&quot;American Psychiatric Association&quot;,&quot;issue&quot;:&quot;1&quot;,&quot;volume&quot;:&quot;32&quot;,&quot;container-title-short&quot;:&quot;&quot;},&quot;isTemporary&quot;:false}],&quot;citationTag&quot;:&quot;MENDELEY_CITATION_v3_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&quot;},{&quot;citationID&quot;:&quot;MENDELEY_CITATION_43abc9e5-a1c3-45a3-ad55-86a08354ff44&quot;,&quot;properties&quot;:{&quot;noteIndex&quot;:0},&quot;isEdited&quot;:false,&quot;manualOverride&quot;:{&quot;isManuallyOverridden&quot;:false,&quot;citeprocText&quot;:&quot;(Martlew et al., 2014)&quot;,&quot;manualOverrideText&quot;:&quot;&quot;},&quot;citationItems&quot;:[{&quot;id&quot;:&quot;61aad6a3-2243-3291-b1f3-0f92d89b48da&quot;,&quot;itemData&quot;:{&quot;type&quot;:&quot;article-journal&quot;,&quot;id&quot;:&quot;61aad6a3-2243-3291-b1f3-0f92d89b48da&quot;,&quot;title&quot;:&quot;Psychological and behavioural treatments for adults with non-epileptic attack disorder&quot;,&quot;author&quot;:[{&quot;family&quot;:&quot;Martlew&quot;,&quot;given&quot;:&quot;Jayne&quot;,&quot;parse-names&quot;:false,&quot;dropping-particle&quot;:&quot;&quot;,&quot;non-dropping-particle&quot;:&quot;&quot;},{&quot;family&quot;:&quot;Pulman&quot;,&quot;given&quot;:&quot;Jennifer&quot;,&quot;parse-names&quot;:false,&quot;dropping-particle&quot;:&quot;&quot;,&quot;non-dropping-particle&quot;:&quot;&quot;},{&quot;family&quot;:&quot;Marson&quot;,&quot;given&quot;:&quot;Anthony G.&quot;,&quot;parse-names&quot;:false,&quot;dropping-particle&quot;:&quot;&quot;,&quot;non-dropping-particle&quot;:&quot;&quot;}],&quot;container-title&quot;:&quot;The Cochrane database of systematic reviews&quot;,&quot;container-title-short&quot;:&quot;Cochrane Database Syst Rev&quot;,&quot;accessed&quot;:{&quot;date-parts&quot;:[[2023,5,31]]},&quot;DOI&quot;:&quot;10.1002/14651858.CD006370.PUB2&quot;,&quot;ISSN&quot;:&quot;1469-493X&quot;,&quot;PMID&quot;:&quot;24519702&quot;,&quot;URL&quot;:&quot;https://pubmed.ncbi.nlm.nih.gov/24519702/&quot;,&quot;issued&quot;:{&quot;date-parts&quot;:[[2014,2,11]]},&quot;abstract&quot;:&quot;Background: Psychogenic non-epileptic seizures, also known as non-epileptic attack disorder (NEAD), have the outward appearance of epilepsy in the absence of physiological or electroencephalographic correlates. Non-epileptic seizures can occur in isolation or in combination with epileptic seizures. The development and maintenance of non-epileptic seizures has been well documented and there is a growing literature on the treatment of non-epileptic seizures which includes non-psychological (including anti-anxiety and antidepressant pharmacological treatment) and psychological therapies (including cognitive behavioural therapy (CBT), hypnotherapy and paradoxical therapy). Various treatment methodologies have been tried with variable success. The purpose of this Cochrane review was to establish the evidence base for the treatment of non-epileptic seizures with behavioural and psychological therapies only. Objectives: To assess whether behavioural or psychological treatments for non-epileptic seizures or NEAD result in a reduction in the frequency of seizures or improvement in quality of life, or both, and whether any treatment is significantly more effective than others. Search methods: We searched the Cochrane Epilepsy Group's Specialised Register (4 February 2013), the Cochrane Central Register of Controlled Trials (CENTRAL) (The Cochrane Library 2013, Issue 1) (January 2013), MEDLINE (1946 to 4 February 2013), PsycINFO (4 February 2013) and SCOPUS (4 February 2013). No language restrictions were imposed. We checked the reference lists of retrieved studies for additional reports of relevant studies Selection criteria: Randomised controlled trials (RCTs) and before and after controlled and non-controlled studies were eligible for inclusion. Studies were required to assess one or more types of behavioural or psychological interventions, or both, for the treatment of non-epileptic seizures. Studies of childhood non-epileptic seizures were excluded from our review. Data collection and analysis: Two review authors (JM, JP) independently assessed the trials for inclusion and extracted data. Outcomes included reduction in seizure frequency and improvements in quality of life. Main results: Twelve studies, with a total of 343 participants, met our inclusion criteria (four RCTs and eight before and after non-controlled studies). Of the four RCTs, one examined patients with non-epileptic seizures and three had a mixed diagnosis (pseudoseizures, conversion disorder and somatisation disorder). Most of the non-randomised studies used non-epileptic seizure patients exclusively. Overall, five studies examined the effectiveness of psychotherapy, three examined CBT, two investigated hypnosis, one assessed paradoxical intention and one had a mixed intervention design. We classified two included studies as low risk of bias, one as unclear and nine as high risk of bias. Meta-analysis could not be undertaken due to the heterogeneity of design and interventions. Most included studies reported improved outcomes for the intervention under investigation. One RCT investigating the effectiveness of CBT in this patient group found a significant reduction in seizure frequency compared to controls (P &lt; 0.001). Authors' conclusions: There is little reliable evidence to support the use of any treatment, including CBT, in the treatment of non-epileptic seizures. Further randomised controlled trials of CBT and other interventions are needed.&quot;,&quot;publisher&quot;:&quot;Cochrane Database Syst Rev&quot;,&quot;issue&quot;:&quot;2&quot;,&quot;volume&quot;:&quot;2014&quot;},&quot;isTemporary&quot;:false}],&quot;citationTag&quot;:&quot;MENDELEY_CITATION_v3_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&quot;},{&quot;citationID&quot;:&quot;MENDELEY_CITATION_0b849397-6726-4cb6-b77a-aee47168d622&quot;,&quot;properties&quot;:{&quot;noteIndex&quot;:0},&quot;isEdited&quot;:false,&quot;manualOverride&quot;:{&quot;isManuallyOverridden&quot;:true,&quot;citeprocText&quot;:&quot;(Goldstein et al., 2020)&quot;,&quot;manualOverrideText&quot;:&quot;(Goldstein et al., 2020a)&quot;},&quot;citationItems&quot;:[{&quot;id&quot;:&quot;16eec409-f523-3aa0-9798-f2e01d317f4e&quot;,&quot;itemData&quot;:{&quot;type&quot;:&quot;article-journal&quot;,&quot;id&quot;:&quot;16eec409-f523-3aa0-9798-f2e01d317f4e&quot;,&quot;title&quot;:&quot;Cognitive behavioural therapy for adults with dissociative seizures (CODES): a pragmatic, multicentre, randomised controlled trial&quot;,&quot;author&quot;:[{&quot;family&quot;:&quot;Goldstein&quot;,&quot;given&quot;:&quot;Laura H.&quot;,&quot;parse-names&quot;:false,&quot;dropping-particle&quot;:&quot;&quot;,&quot;non-dropping-particle&quot;:&quot;&quot;},{&quot;family&quot;:&quot;Robinson&quot;,&quot;given&quot;:&quot;Emily J.&quot;,&quot;parse-names&quot;:false,&quot;dropping-particle&quot;:&quot;&quot;,&quot;non-dropping-particle&quot;:&quot;&quot;},{&quot;family&quot;:&quot;Mellers&quot;,&quot;given&quot;:&quot;John D.C.&quot;,&quot;parse-names&quot;:false,&quot;dropping-particle&quot;:&quot;&quot;,&quot;non-dropping-particle&quot;:&quot;&quot;},{&quot;family&quot;:&quot;Stone&quot;,&quot;given&quot;:&quot;Jon&quot;,&quot;parse-names&quot;:false,&quot;dropping-particle&quot;:&quot;&quot;,&quot;non-dropping-particle&quot;:&quot;&quot;},{&quot;family&quot;:&quot;Carson&quot;,&quot;given&quot;:&quot;Alan&quot;,&quot;parse-names&quot;:false,&quot;dropping-particle&quot;:&quot;&quot;,&quot;non-dropping-particle&quot;:&quot;&quot;},{&quot;family&quot;:&quot;Reuber&quot;,&quot;given&quot;:&quot;Markus&quot;,&quot;parse-names&quot;:false,&quot;dropping-particle&quot;:&quot;&quot;,&quot;non-dropping-particle&quot;:&quot;&quot;},{&quot;family&quot;:&quot;Medford&quot;,&quot;given&quot;:&quot;Nick&quot;,&quot;parse-names&quot;:false,&quot;dropping-particle&quot;:&quot;&quot;,&quot;non-dropping-particle&quot;:&quot;&quot;},{&quot;family&quot;:&quot;McCrone&quot;,&quot;given&quot;:&quot;Paul&quot;,&quot;parse-names&quot;:false,&quot;dropping-particle&quot;:&quot;&quot;,&quot;non-dropping-particle&quot;:&quot;&quot;},{&quot;family&quot;:&quot;Murray&quot;,&quot;given&quot;:&quot;Joanna&quot;,&quot;parse-names&quot;:false,&quot;dropping-particle&quot;:&quot;&quot;,&quot;non-dropping-particle&quot;:&quot;&quot;},{&quot;family&quot;:&quot;Richardson&quot;,&quot;given&quot;:&quot;Mark P.&quot;,&quot;parse-names&quot;:false,&quot;dropping-particle&quot;:&quot;&quot;,&quot;non-dropping-particle&quot;:&quot;&quot;},{&quot;family&quot;:&quot;Pilecka&quot;,&quot;given&quot;:&quot;Izabela&quot;,&quot;parse-names&quot;:false,&quot;dropping-particle&quot;:&quot;&quot;,&quot;non-dropping-particle&quot;:&quot;&quot;},{&quot;family&quot;:&quot;Eastwood&quot;,&quot;given&quot;:&quot;Carole&quot;,&quot;parse-names&quot;:false,&quot;dropping-particle&quot;:&quot;&quot;,&quot;non-dropping-particle&quot;:&quot;&quot;},{&quot;family&quot;:&quot;Moore&quot;,&quot;given&quot;:&quot;Michele&quot;,&quot;parse-names&quot;:false,&quot;dropping-particle&quot;:&quot;&quot;,&quot;non-dropping-particle&quot;:&quot;&quot;},{&quot;family&quot;:&quot;Mosweu&quot;,&quot;given&quot;:&quot;Iris&quot;,&quot;parse-names&quot;:false,&quot;dropping-particle&quot;:&quot;&quot;,&quot;non-dropping-particle&quot;:&quot;&quot;},{&quot;family&quot;:&quot;Perdue&quot;,&quot;given&quot;:&quot;Iain&quot;,&quot;parse-names&quot;:false,&quot;dropping-particle&quot;:&quot;&quot;,&quot;non-dropping-particle&quot;:&quot;&quot;},{&quot;family&quot;:&quot;Landau&quot;,&quot;given&quot;:&quot;Sabine&quot;,&quot;parse-names&quot;:false,&quot;dropping-particle&quot;:&quot;&quot;,&quot;non-dropping-particle&quot;:&quot;&quot;},{&quot;family&quot;:&quot;Chalder&quot;,&quot;given&quot;:&quot;Trudie&quot;,&quot;parse-names&quot;:false,&quot;dropping-particle&quot;:&quot;&quot;,&quot;non-dropping-particle&quot;:&quot;&quot;},{&quot;family&quot;:&quot;Abe&quot;,&quot;given&quot;:&quot;A. M.&quot;,&quot;parse-names&quot;:false,&quot;dropping-particle&quot;:&quot;&quot;,&quot;non-dropping-particle&quot;:&quot;&quot;},{&quot;family&quot;:&quot;Adab&quot;,&quot;given&quot;:&quot;N.&quot;,&quot;parse-names&quot;:false,&quot;dropping-particle&quot;:&quot;&quot;,&quot;non-dropping-particle&quot;:&quot;&quot;},{&quot;family&quot;:&quot;Agrawal&quot;,&quot;given&quot;:&quot;N.&quot;,&quot;parse-names&quot;:false,&quot;dropping-particle&quot;:&quot;&quot;,&quot;non-dropping-particle&quot;:&quot;&quot;},{&quot;family&quot;:&quot;Allroggen&quot;,&quot;given&quot;:&quot;H.&quot;,&quot;parse-names&quot;:false,&quot;dropping-particle&quot;:&quot;&quot;,&quot;non-dropping-particle&quot;:&quot;&quot;},{&quot;family&quot;:&quot;Alvares&quot;,&quot;given&quot;:&quot;D.&quot;,&quot;parse-names&quot;:false,&quot;dropping-particle&quot;:&quot;&quot;,&quot;non-dropping-particle&quot;:&quot;&quot;},{&quot;family&quot;:&quot;Andrews&quot;,&quot;given&quot;:&quot;T.&quot;,&quot;parse-names&quot;:false,&quot;dropping-particle&quot;:&quot;&quot;,&quot;non-dropping-particle&quot;:&quot;&quot;},{&quot;family&quot;:&quot;Angus-Leppan&quot;,&quot;given&quot;:&quot;H.&quot;,&quot;parse-names&quot;:false,&quot;dropping-particle&quot;:&quot;&quot;,&quot;non-dropping-particle&quot;:&quot;&quot;},{&quot;family&quot;:&quot;Aram&quot;,&quot;given&quot;:&quot;J.&quot;,&quot;parse-names&quot;:false,&quot;dropping-particle&quot;:&quot;&quot;,&quot;non-dropping-particle&quot;:&quot;&quot;},{&quot;family&quot;:&quot;Armstrong&quot;,&quot;given&quot;:&quot;R.&quot;,&quot;parse-names&quot;:false,&quot;dropping-particle&quot;:&quot;&quot;,&quot;non-dropping-particle&quot;:&quot;&quot;},{&quot;family&quot;:&quot;Atalaia&quot;,&quot;given&quot;:&quot;A.&quot;,&quot;parse-names&quot;:false,&quot;dropping-particle&quot;:&quot;&quot;,&quot;non-dropping-particle&quot;:&quot;&quot;},{&quot;family&quot;:&quot;Bagary&quot;,&quot;given&quot;:&quot;M.&quot;,&quot;parse-names&quot;:false,&quot;dropping-particle&quot;:&quot;&quot;,&quot;non-dropping-particle&quot;:&quot;&quot;},{&quot;family&quot;:&quot;Baldellou Lopez&quot;,&quot;given&quot;:&quot;M.&quot;,&quot;parse-names&quot;:false,&quot;dropping-particle&quot;:&quot;&quot;,&quot;non-dropping-particle&quot;:&quot;&quot;},{&quot;family&quot;:&quot;Bennett&quot;,&quot;given&quot;:&quot;M.&quot;,&quot;parse-names&quot;:false,&quot;dropping-particle&quot;:&quot;&quot;,&quot;non-dropping-particle&quot;:&quot;&quot;},{&quot;family&quot;:&quot;Black&quot;,&quot;given&quot;:&quot;T.&quot;,&quot;parse-names&quot;:false,&quot;dropping-particle&quot;:&quot;&quot;,&quot;non-dropping-particle&quot;:&quot;&quot;},{&quot;family&quot;:&quot;Blackburn&quot;,&quot;given&quot;:&quot;D.&quot;,&quot;parse-names&quot;:false,&quot;dropping-particle&quot;:&quot;&quot;,&quot;non-dropping-particle&quot;:&quot;&quot;},{&quot;family&quot;:&quot;Bodani&quot;,&quot;given&quot;:&quot;M.&quot;,&quot;parse-names&quot;:false,&quot;dropping-particle&quot;:&quot;&quot;,&quot;non-dropping-particle&quot;:&quot;&quot;},{&quot;family&quot;:&quot;Broadhurst&quot;,&quot;given&quot;:&quot;M.&quot;,&quot;parse-names&quot;:false,&quot;dropping-particle&quot;:&quot;&quot;,&quot;non-dropping-particle&quot;:&quot;&quot;},{&quot;family&quot;:&quot;Brockington&quot;,&quot;given&quot;:&quot;A.&quot;,&quot;parse-names&quot;:false,&quot;dropping-particle&quot;:&quot;&quot;,&quot;non-dropping-particle&quot;:&quot;&quot;},{&quot;family&quot;:&quot;Bruno&quot;,&quot;given&quot;:&quot;E.&quot;,&quot;parse-names&quot;:false,&quot;dropping-particle&quot;:&quot;&quot;,&quot;non-dropping-particle&quot;:&quot;&quot;},{&quot;family&quot;:&quot;Buckley&quot;,&quot;given&quot;:&quot;M.&quot;,&quot;parse-names&quot;:false,&quot;dropping-particle&quot;:&quot;&quot;,&quot;non-dropping-particle&quot;:&quot;&quot;},{&quot;family&quot;:&quot;Burness&quot;,&quot;given&quot;:&quot;C.&quot;,&quot;parse-names&quot;:false,&quot;dropping-particle&quot;:&quot;&quot;,&quot;non-dropping-particle&quot;:&quot;&quot;},{&quot;family&quot;:&quot;Callaghan&quot;,&quot;given&quot;:&quot;H.&quot;,&quot;parse-names&quot;:false,&quot;dropping-particle&quot;:&quot;&quot;,&quot;non-dropping-particle&quot;:&quot;&quot;},{&quot;family&quot;:&quot;Chalmers&quot;,&quot;given&quot;:&quot;R.&quot;,&quot;parse-names&quot;:false,&quot;dropping-particle&quot;:&quot;&quot;,&quot;non-dropping-particle&quot;:&quot;&quot;},{&quot;family&quot;:&quot;Chong&quot;,&quot;given&quot;:&quot;S.&quot;,&quot;parse-names&quot;:false,&quot;dropping-particle&quot;:&quot;&quot;,&quot;non-dropping-particle&quot;:&quot;&quot;},{&quot;family&quot;:&quot;Chowdhury&quot;,&quot;given&quot;:&quot;M.&quot;,&quot;parse-names&quot;:false,&quot;dropping-particle&quot;:&quot;&quot;,&quot;non-dropping-particle&quot;:&quot;&quot;},{&quot;family&quot;:&quot;Chowdury&quot;,&quot;given&quot;:&quot;F.&quot;,&quot;parse-names&quot;:false,&quot;dropping-particle&quot;:&quot;&quot;,&quot;non-dropping-particle&quot;:&quot;&quot;},{&quot;family&quot;:&quot;Cikurel&quot;,&quot;given&quot;:&quot;K.&quot;,&quot;parse-names&quot;:false,&quot;dropping-particle&quot;:&quot;&quot;,&quot;non-dropping-particle&quot;:&quot;&quot;},{&quot;family&quot;:&quot;Cocco&quot;,&quot;given&quot;:&quot;G.&quot;,&quot;parse-names&quot;:false,&quot;dropping-particle&quot;:&quot;&quot;,&quot;non-dropping-particle&quot;:&quot;&quot;},{&quot;family&quot;:&quot;Cock&quot;,&quot;given&quot;:&quot;H.&quot;,&quot;parse-names&quot;:false,&quot;dropping-particle&quot;:&quot;&quot;,&quot;non-dropping-particle&quot;:&quot;&quot;},{&quot;family&quot;:&quot;Cooper&quot;,&quot;given&quot;:&quot;S.&quot;,&quot;parse-names&quot;:false,&quot;dropping-particle&quot;:&quot;&quot;,&quot;non-dropping-particle&quot;:&quot;&quot;},{&quot;family&quot;:&quot;Cope&quot;,&quot;given&quot;:&quot;S.&quot;,&quot;parse-names&quot;:false,&quot;dropping-particle&quot;:&quot;&quot;,&quot;non-dropping-particle&quot;:&quot;&quot;},{&quot;family&quot;:&quot;Copping&quot;,&quot;given&quot;:&quot;A.&quot;,&quot;parse-names&quot;:false,&quot;dropping-particle&quot;:&quot;&quot;,&quot;non-dropping-particle&quot;:&quot;&quot;},{&quot;family&quot;:&quot;Day&quot;,&quot;given&quot;:&quot;E.&quot;,&quot;parse-names&quot;:false,&quot;dropping-particle&quot;:&quot;&quot;,&quot;non-dropping-particle&quot;:&quot;&quot;},{&quot;family&quot;:&quot;Delamont&quot;,&quot;given&quot;:&quot;R.&quot;,&quot;parse-names&quot;:false,&quot;dropping-particle&quot;:&quot;&quot;,&quot;non-dropping-particle&quot;:&quot;&quot;},{&quot;family&quot;:&quot;Dennis&quot;,&quot;given&quot;:&quot;G.&quot;,&quot;parse-names&quot;:false,&quot;dropping-particle&quot;:&quot;&quot;,&quot;non-dropping-particle&quot;:&quot;&quot;},{&quot;family&quot;:&quot;Derry&quot;,&quot;given&quot;:&quot;C.&quot;,&quot;parse-names&quot;:false,&quot;dropping-particle&quot;:&quot;&quot;,&quot;non-dropping-particle&quot;:&quot;&quot;},{&quot;family&quot;:&quot;Devlin&quot;,&quot;given&quot;:&quot;R.&quot;,&quot;parse-names&quot;:false,&quot;dropping-particle&quot;:&quot;&quot;,&quot;non-dropping-particle&quot;:&quot;&quot;},{&quot;family&quot;:&quot;Dickson&quot;,&quot;given&quot;:&quot;J. M.&quot;,&quot;parse-names&quot;:false,&quot;dropping-particle&quot;:&quot;&quot;,&quot;non-dropping-particle&quot;:&quot;&quot;},{&quot;family&quot;:&quot;Diehl&quot;,&quot;given&quot;:&quot;B.&quot;,&quot;parse-names&quot;:false,&quot;dropping-particle&quot;:&quot;&quot;,&quot;non-dropping-particle&quot;:&quot;&quot;},{&quot;family&quot;:&quot;Donnelly&quot;,&quot;given&quot;:&quot;C.&quot;,&quot;parse-names&quot;:false,&quot;dropping-particle&quot;:&quot;&quot;,&quot;non-dropping-particle&quot;:&quot;&quot;},{&quot;family&quot;:&quot;Duncan&quot;,&quot;given&quot;:&quot;S.&quot;,&quot;parse-names&quot;:false,&quot;dropping-particle&quot;:&quot;&quot;,&quot;non-dropping-particle&quot;:&quot;&quot;},{&quot;family&quot;:&quot;Edwards&quot;,&quot;given&quot;:&quot;M.&quot;,&quot;parse-names&quot;:false,&quot;dropping-particle&quot;:&quot;&quot;,&quot;non-dropping-particle&quot;:&quot;&quot;},{&quot;family&quot;:&quot;Ellawella&quot;,&quot;given&quot;:&quot;S.&quot;,&quot;parse-names&quot;:false,&quot;dropping-particle&quot;:&quot;&quot;,&quot;non-dropping-particle&quot;:&quot;&quot;},{&quot;family&quot;:&quot;Ellis&quot;,&quot;given&quot;:&quot;C.&quot;,&quot;parse-names&quot;:false,&quot;dropping-particle&quot;:&quot;&quot;,&quot;non-dropping-particle&quot;:&quot;&quot;},{&quot;family&quot;:&quot;Elvish&quot;,&quot;given&quot;:&quot;J.&quot;,&quot;parse-names&quot;:false,&quot;dropping-particle&quot;:&quot;&quot;,&quot;non-dropping-particle&quot;:&quot;&quot;},{&quot;family&quot;:&quot;Elwes&quot;,&quot;given&quot;:&quot;R.&quot;,&quot;parse-names&quot;:false,&quot;dropping-particle&quot;:&quot;&quot;,&quot;non-dropping-particle&quot;:&quot;&quot;},{&quot;family&quot;:&quot;Eriemo&quot;,&quot;given&quot;:&quot;S.&quot;,&quot;parse-names&quot;:false,&quot;dropping-particle&quot;:&quot;&quot;,&quot;non-dropping-particle&quot;:&quot;&quot;},{&quot;family&quot;:&quot;Eriksson&quot;,&quot;given&quot;:&quot;S.&quot;,&quot;parse-names&quot;:false,&quot;dropping-particle&quot;:&quot;&quot;,&quot;non-dropping-particle&quot;:&quot;&quot;},{&quot;family&quot;:&quot;Evans&quot;,&quot;given&quot;:&quot;K.&quot;,&quot;parse-names&quot;:false,&quot;dropping-particle&quot;:&quot;&quot;,&quot;non-dropping-particle&quot;:&quot;&quot;},{&quot;family&quot;:&quot;Faruqui&quot;,&quot;given&quot;:&quot;R.&quot;,&quot;parse-names&quot;:false,&quot;dropping-particle&quot;:&quot;&quot;,&quot;non-dropping-particle&quot;:&quot;&quot;},{&quot;family&quot;:&quot;Feehan&quot;,&quot;given&quot;:&quot;S.&quot;,&quot;parse-names&quot;:false,&quot;dropping-particle&quot;:&quot;&quot;,&quot;non-dropping-particle&quot;:&quot;&quot;},{&quot;family&quot;:&quot;Finnerty&quot;,&quot;given&quot;:&quot;G.&quot;,&quot;parse-names&quot;:false,&quot;dropping-particle&quot;:&quot;&quot;,&quot;non-dropping-particle&quot;:&quot;&quot;},{&quot;family&quot;:&quot;Flores&quot;,&quot;given&quot;:&quot;L.&quot;,&quot;parse-names&quot;:false,&quot;dropping-particle&quot;:&quot;&quot;,&quot;non-dropping-particle&quot;:&quot;&quot;},{&quot;family&quot;:&quot;Firth&quot;,&quot;given&quot;:&quot;N.&quot;,&quot;parse-names&quot;:false,&quot;dropping-particle&quot;:&quot;&quot;,&quot;non-dropping-particle&quot;:&quot;&quot;},{&quot;family&quot;:&quot;Fung&quot;,&quot;given&quot;:&quot;R.&quot;,&quot;parse-names&quot;:false,&quot;dropping-particle&quot;:&quot;&quot;,&quot;non-dropping-particle&quot;:&quot;&quot;},{&quot;family&quot;:&quot;Gardiner&quot;,&quot;given&quot;:&quot;P.&quot;,&quot;parse-names&quot;:false,&quot;dropping-particle&quot;:&quot;&quot;,&quot;non-dropping-particle&quot;:&quot;&quot;},{&quot;family&quot;:&quot;Graham&quot;,&quot;given&quot;:&quot;C.&quot;,&quot;parse-names&quot;:false,&quot;dropping-particle&quot;:&quot;&quot;,&quot;non-dropping-particle&quot;:&quot;&quot;},{&quot;family&quot;:&quot;Green-Thompson&quot;,&quot;given&quot;:&quot;Z.&quot;,&quot;parse-names&quot;:false,&quot;dropping-particle&quot;:&quot;&quot;,&quot;non-dropping-particle&quot;:&quot;&quot;},{&quot;family&quot;:&quot;Grunewald&quot;,&quot;given&quot;:&quot;R.&quot;,&quot;parse-names&quot;:false,&quot;dropping-particle&quot;:&quot;&quot;,&quot;non-dropping-particle&quot;:&quot;&quot;},{&quot;family&quot;:&quot;Hadden&quot;,&quot;given&quot;:&quot;R.&quot;,&quot;parse-names&quot;:false,&quot;dropping-particle&quot;:&quot;&quot;,&quot;non-dropping-particle&quot;:&quot;&quot;},{&quot;family&quot;:&quot;Hamandi&quot;,&quot;given&quot;:&quot;K.&quot;,&quot;parse-names&quot;:false,&quot;dropping-particle&quot;:&quot;&quot;,&quot;non-dropping-particle&quot;:&quot;&quot;},{&quot;family&quot;:&quot;Harding&quot;,&quot;given&quot;:&quot;R.&quot;,&quot;parse-names&quot;:false,&quot;dropping-particle&quot;:&quot;&quot;,&quot;non-dropping-particle&quot;:&quot;&quot;},{&quot;family&quot;:&quot;Harikrishnan&quot;,&quot;given&quot;:&quot;S.&quot;,&quot;parse-names&quot;:false,&quot;dropping-particle&quot;:&quot;&quot;,&quot;non-dropping-particle&quot;:&quot;&quot;},{&quot;family&quot;:&quot;Harrison&quot;,&quot;given&quot;:&quot;S.&quot;,&quot;parse-names&quot;:false,&quot;dropping-particle&quot;:&quot;&quot;,&quot;non-dropping-particle&quot;:&quot;&quot;},{&quot;family&quot;:&quot;Healy&quot;,&quot;given&quot;:&quot;H.&quot;,&quot;parse-names&quot;:false,&quot;dropping-particle&quot;:&quot;&quot;,&quot;non-dropping-particle&quot;:&quot;&quot;},{&quot;family&quot;:&quot;Hewamadduma&quot;,&quot;given&quot;:&quot;C.&quot;,&quot;parse-names&quot;:false,&quot;dropping-particle&quot;:&quot;&quot;,&quot;non-dropping-particle&quot;:&quot;&quot;},{&quot;family&quot;:&quot;Higgins&quot;,&quot;given&quot;:&quot;S.&quot;,&quot;parse-names&quot;:false,&quot;dropping-particle&quot;:&quot;&quot;,&quot;non-dropping-particle&quot;:&quot;&quot;},{&quot;family&quot;:&quot;Howell&quot;,&quot;given&quot;:&quot;S.&quot;,&quot;parse-names&quot;:false,&quot;dropping-particle&quot;:&quot;&quot;,&quot;non-dropping-particle&quot;:&quot;&quot;},{&quot;family&quot;:&quot;Hunt&quot;,&quot;given&quot;:&quot;H.&quot;,&quot;parse-names&quot;:false,&quot;dropping-particle&quot;:&quot;&quot;,&quot;non-dropping-particle&quot;:&quot;&quot;},{&quot;family&quot;:&quot;Hussain&quot;,&quot;given&quot;:&quot;A.&quot;,&quot;parse-names&quot;:false,&quot;dropping-particle&quot;:&quot;&quot;,&quot;non-dropping-particle&quot;:&quot;&quot;},{&quot;family&quot;:&quot;Innocente&quot;,&quot;given&quot;:&quot;M.&quot;,&quot;parse-names&quot;:false,&quot;dropping-particle&quot;:&quot;&quot;,&quot;non-dropping-particle&quot;:&quot;&quot;},{&quot;family&quot;:&quot;Jensch&quot;,&quot;given&quot;:&quot;G.&quot;,&quot;parse-names&quot;:false,&quot;dropping-particle&quot;:&quot;&quot;,&quot;non-dropping-particle&quot;:&quot;&quot;},{&quot;family&quot;:&quot;Johnson&quot;,&quot;given&quot;:&quot;M.&quot;,&quot;parse-names&quot;:false,&quot;dropping-particle&quot;:&quot;&quot;,&quot;non-dropping-particle&quot;:&quot;&quot;},{&quot;family&quot;:&quot;Jordan&quot;,&quot;given&quot;:&quot;H.&quot;,&quot;parse-names&quot;:false,&quot;dropping-particle&quot;:&quot;&quot;,&quot;non-dropping-particle&quot;:&quot;&quot;},{&quot;family&quot;:&quot;Karlsson&quot;,&quot;given&quot;:&quot;J.&quot;,&quot;parse-names&quot;:false,&quot;dropping-particle&quot;:&quot;&quot;,&quot;non-dropping-particle&quot;:&quot;&quot;},{&quot;family&quot;:&quot;Kelso&quot;,&quot;given&quot;:&quot;A.&quot;,&quot;parse-names&quot;:false,&quot;dropping-particle&quot;:&quot;&quot;,&quot;non-dropping-particle&quot;:&quot;&quot;},{&quot;family&quot;:&quot;Kemp&quot;,&quot;given&quot;:&quot;S.&quot;,&quot;parse-names&quot;:false,&quot;dropping-particle&quot;:&quot;&quot;,&quot;non-dropping-particle&quot;:&quot;&quot;},{&quot;family&quot;:&quot;Knibb&quot;,&quot;given&quot;:&quot;J.&quot;,&quot;parse-names&quot;:false,&quot;dropping-particle&quot;:&quot;&quot;,&quot;non-dropping-particle&quot;:&quot;&quot;},{&quot;family&quot;:&quot;Kock&quot;,&quot;given&quot;:&quot;N.&quot;,&quot;parse-names&quot;:false,&quot;dropping-particle&quot;:&quot;&quot;,&quot;non-dropping-particle&quot;:&quot;&quot;},{&quot;family&quot;:&quot;Koutroumanidis&quot;,&quot;given&quot;:&quot;M.&quot;,&quot;parse-names&quot;:false,&quot;dropping-particle&quot;:&quot;&quot;,&quot;non-dropping-particle&quot;:&quot;&quot;},{&quot;family&quot;:&quot;Kovac&quot;,&quot;given&quot;:&quot;S.&quot;,&quot;parse-names&quot;:false,&quot;dropping-particle&quot;:&quot;&quot;,&quot;non-dropping-particle&quot;:&quot;&quot;},{&quot;family&quot;:&quot;Kumar&quot;,&quot;given&quot;:&quot;G.&quot;,&quot;parse-names&quot;:false,&quot;dropping-particle&quot;:&quot;&quot;,&quot;non-dropping-particle&quot;:&quot;&quot;},{&quot;family&quot;:&quot;Laker&quot;,&quot;given&quot;:&quot;A.&quot;,&quot;parse-names&quot;:false,&quot;dropping-particle&quot;:&quot;&quot;,&quot;non-dropping-particle&quot;:&quot;&quot;},{&quot;family&quot;:&quot;Leschziner&quot;,&quot;given&quot;:&quot;G.&quot;,&quot;parse-names&quot;:false,&quot;dropping-particle&quot;:&quot;&quot;,&quot;non-dropping-particle&quot;:&quot;&quot;},{&quot;family&quot;:&quot;Liu&quot;,&quot;given&quot;:&quot;R.&quot;,&quot;parse-names&quot;:false,&quot;dropping-particle&quot;:&quot;&quot;,&quot;non-dropping-particle&quot;:&quot;&quot;},{&quot;family&quot;:&quot;Lozsadi&quot;,&quot;given&quot;:&quot;D.&quot;,&quot;parse-names&quot;:false,&quot;dropping-particle&quot;:&quot;&quot;,&quot;non-dropping-particle&quot;:&quot;&quot;},{&quot;family&quot;:&quot;Ludwig&quot;,&quot;given&quot;:&quot;L.&quot;,&quot;parse-names&quot;:false,&quot;dropping-particle&quot;:&quot;&quot;,&quot;non-dropping-particle&quot;:&quot;&quot;},{&quot;family&quot;:&quot;MacDonald&quot;,&quot;given&quot;:&quot;B.&quot;,&quot;parse-names&quot;:false,&quot;dropping-particle&quot;:&quot;&quot;,&quot;non-dropping-particle&quot;:&quot;&quot;},{&quot;family&quot;:&quot;MacGregor&quot;,&quot;given&quot;:&quot;L.&quot;,&quot;parse-names&quot;:false,&quot;dropping-particle&quot;:&quot;&quot;,&quot;non-dropping-particle&quot;:&quot;&quot;},{&quot;family&quot;:&quot;Maguire&quot;,&quot;given&quot;:&quot;M.&quot;,&quot;parse-names&quot;:false,&quot;dropping-particle&quot;:&quot;&quot;,&quot;non-dropping-particle&quot;:&quot;&quot;},{&quot;family&quot;:&quot;Manford&quot;,&quot;given&quot;:&quot;M.&quot;,&quot;parse-names&quot;:false,&quot;dropping-particle&quot;:&quot;&quot;,&quot;non-dropping-particle&quot;:&quot;&quot;},{&quot;family&quot;:&quot;Martino&quot;,&quot;given&quot;:&quot;D.&quot;,&quot;parse-names&quot;:false,&quot;dropping-particle&quot;:&quot;&quot;,&quot;non-dropping-particle&quot;:&quot;&quot;},{&quot;family&quot;:&quot;McCorry&quot;,&quot;given&quot;:&quot;D.&quot;,&quot;parse-names&quot;:false,&quot;dropping-particle&quot;:&quot;&quot;,&quot;non-dropping-particle&quot;:&quot;&quot;},{&quot;family&quot;:&quot;McGorlick&quot;,&quot;given&quot;:&quot;A.&quot;,&quot;parse-names&quot;:false,&quot;dropping-particle&quot;:&quot;&quot;,&quot;non-dropping-particle&quot;:&quot;&quot;},{&quot;family&quot;:&quot;McKeown&quot;,&quot;given&quot;:&quot;K.&quot;,&quot;parse-names&quot;:false,&quot;dropping-particle&quot;:&quot;&quot;,&quot;non-dropping-particle&quot;:&quot;&quot;},{&quot;family&quot;:&quot;McKevitt&quot;,&quot;given&quot;:&quot;F.&quot;,&quot;parse-names&quot;:false,&quot;dropping-particle&quot;:&quot;&quot;,&quot;non-dropping-particle&quot;:&quot;&quot;},{&quot;family&quot;:&quot;Meadow&quot;,&quot;given&quot;:&quot;A.&quot;,&quot;parse-names&quot;:false,&quot;dropping-particle&quot;:&quot;&quot;,&quot;non-dropping-particle&quot;:&quot;&quot;},{&quot;family&quot;:&quot;Memon&quot;,&quot;given&quot;:&quot;S.&quot;,&quot;parse-names&quot;:false,&quot;dropping-particle&quot;:&quot;&quot;,&quot;non-dropping-particle&quot;:&quot;&quot;},{&quot;family&quot;:&quot;Miorelli&quot;,&quot;given&quot;:&quot;A.&quot;,&quot;parse-names&quot;:false,&quot;dropping-particle&quot;:&quot;&quot;,&quot;non-dropping-particle&quot;:&quot;&quot;},{&quot;family&quot;:&quot;Mitchell&quot;,&quot;given&quot;:&quot;C.&quot;,&quot;parse-names&quot;:false,&quot;dropping-particle&quot;:&quot;&quot;,&quot;non-dropping-particle&quot;:&quot;&quot;},{&quot;family&quot;:&quot;Mitchell&quot;,&quot;given&quot;:&quot;T. N.&quot;,&quot;parse-names&quot;:false,&quot;dropping-particle&quot;:&quot;&quot;,&quot;non-dropping-particle&quot;:&quot;&quot;},{&quot;family&quot;:&quot;Moffitt&quot;,&quot;given&quot;:&quot;V.&quot;,&quot;parse-names&quot;:false,&quot;dropping-particle&quot;:&quot;&quot;,&quot;non-dropping-particle&quot;:&quot;&quot;},{&quot;family&quot;:&quot;Moran&quot;,&quot;given&quot;:&quot;N.&quot;,&quot;parse-names&quot;:false,&quot;dropping-particle&quot;:&quot;&quot;,&quot;non-dropping-particle&quot;:&quot;&quot;},{&quot;family&quot;:&quot;Morgan-Boon&quot;,&quot;given&quot;:&quot;A.&quot;,&quot;parse-names&quot;:false,&quot;dropping-particle&quot;:&quot;&quot;,&quot;non-dropping-particle&quot;:&quot;&quot;},{&quot;family&quot;:&quot;Moriarty&quot;,&quot;given&quot;:&quot;J.&quot;,&quot;parse-names&quot;:false,&quot;dropping-particle&quot;:&quot;&quot;,&quot;non-dropping-particle&quot;:&quot;&quot;},{&quot;family&quot;:&quot;Mula&quot;,&quot;given&quot;:&quot;M.&quot;,&quot;parse-names&quot;:false,&quot;dropping-particle&quot;:&quot;&quot;,&quot;non-dropping-particle&quot;:&quot;&quot;},{&quot;family&quot;:&quot;Mullatti&quot;,&quot;given&quot;:&quot;N.&quot;,&quot;parse-names&quot;:false,&quot;dropping-particle&quot;:&quot;&quot;,&quot;non-dropping-particle&quot;:&quot;&quot;},{&quot;family&quot;:&quot;Nashef&quot;,&quot;given&quot;:&quot;L.&quot;,&quot;parse-names&quot;:false,&quot;dropping-particle&quot;:&quot;&quot;,&quot;non-dropping-particle&quot;:&quot;&quot;},{&quot;family&quot;:&quot;O'Hara&quot;,&quot;given&quot;:&quot;D.&quot;,&quot;parse-names&quot;:false,&quot;dropping-particle&quot;:&quot;&quot;,&quot;non-dropping-particle&quot;:&quot;&quot;},{&quot;family&quot;:&quot;Oakley&quot;,&quot;given&quot;:&quot;L.&quot;,&quot;parse-names&quot;:false,&quot;dropping-particle&quot;:&quot;&quot;,&quot;non-dropping-particle&quot;:&quot;&quot;},{&quot;family&quot;:&quot;O'Sullivan&quot;,&quot;given&quot;:&quot;S.&quot;,&quot;parse-names&quot;:false,&quot;dropping-particle&quot;:&quot;&quot;,&quot;non-dropping-particle&quot;:&quot;&quot;},{&quot;family&quot;:&quot;Page&quot;,&quot;given&quot;:&quot;L.&quot;,&quot;parse-names&quot;:false,&quot;dropping-particle&quot;:&quot;&quot;,&quot;non-dropping-particle&quot;:&quot;&quot;},{&quot;family&quot;:&quot;Patel&quot;,&quot;given&quot;:&quot;D.&quot;,&quot;parse-names&quot;:false,&quot;dropping-particle&quot;:&quot;&quot;,&quot;non-dropping-particle&quot;:&quot;&quot;},{&quot;family&quot;:&quot;Petrochilos&quot;,&quot;given&quot;:&quot;P.&quot;,&quot;parse-names&quot;:false,&quot;dropping-particle&quot;:&quot;&quot;,&quot;non-dropping-particle&quot;:&quot;&quot;},{&quot;family&quot;:&quot;Phoenix&quot;,&quot;given&quot;:&quot;D.&quot;,&quot;parse-names&quot;:false,&quot;dropping-particle&quot;:&quot;&quot;,&quot;non-dropping-particle&quot;:&quot;&quot;},{&quot;family&quot;:&quot;Pickerell&quot;,&quot;given&quot;:&quot;W.&quot;,&quot;parse-names&quot;:false,&quot;dropping-particle&quot;:&quot;&quot;,&quot;non-dropping-particle&quot;:&quot;&quot;},{&quot;family&quot;:&quot;Pieters&quot;,&quot;given&quot;:&quot;T.&quot;,&quot;parse-names&quot;:false,&quot;dropping-particle&quot;:&quot;&quot;,&quot;non-dropping-particle&quot;:&quot;&quot;},{&quot;family&quot;:&quot;Poole&quot;,&quot;given&quot;:&quot;N.&quot;,&quot;parse-names&quot;:false,&quot;dropping-particle&quot;:&quot;&quot;,&quot;non-dropping-particle&quot;:&quot;&quot;},{&quot;family&quot;:&quot;Price&quot;,&quot;given&quot;:&quot;G.&quot;,&quot;parse-names&quot;:false,&quot;dropping-particle&quot;:&quot;&quot;,&quot;non-dropping-particle&quot;:&quot;&quot;},{&quot;family&quot;:&quot;Protheroe&quot;,&quot;given&quot;:&quot;D.&quot;,&quot;parse-names&quot;:false,&quot;dropping-particle&quot;:&quot;&quot;,&quot;non-dropping-particle&quot;:&quot;&quot;},{&quot;family&quot;:&quot;Pullicino&quot;,&quot;given&quot;:&quot;P.&quot;,&quot;parse-names&quot;:false,&quot;dropping-particle&quot;:&quot;&quot;,&quot;non-dropping-particle&quot;:&quot;&quot;},{&quot;family&quot;:&quot;Purnell&quot;,&quot;given&quot;:&quot;J.&quot;,&quot;parse-names&quot;:false,&quot;dropping-particle&quot;:&quot;&quot;,&quot;non-dropping-particle&quot;:&quot;&quot;},{&quot;family&quot;:&quot;Quirk&quot;,&quot;given&quot;:&quot;J.&quot;,&quot;parse-names&quot;:false,&quot;dropping-particle&quot;:&quot;&quot;,&quot;non-dropping-particle&quot;:&quot;&quot;},{&quot;family&quot;:&quot;Rajakulendran&quot;,&quot;given&quot;:&quot;S.&quot;,&quot;parse-names&quot;:false,&quot;dropping-particle&quot;:&quot;&quot;,&quot;non-dropping-particle&quot;:&quot;&quot;},{&quot;family&quot;:&quot;Read&quot;,&quot;given&quot;:&quot;J.&quot;,&quot;parse-names&quot;:false,&quot;dropping-particle&quot;:&quot;&quot;,&quot;non-dropping-particle&quot;:&quot;&quot;},{&quot;family&quot;:&quot;Ridha&quot;,&quot;given&quot;:&quot;B.&quot;,&quot;parse-names&quot;:false,&quot;dropping-particle&quot;:&quot;&quot;,&quot;non-dropping-particle&quot;:&quot;&quot;},{&quot;family&quot;:&quot;Rockliffe-Fidler&quot;,&quot;given&quot;:&quot;C.&quot;,&quot;parse-names&quot;:false,&quot;dropping-particle&quot;:&quot;&quot;,&quot;non-dropping-particle&quot;:&quot;&quot;},{&quot;family&quot;:&quot;Rowbottom&quot;,&quot;given&quot;:&quot;C.&quot;,&quot;parse-names&quot;:false,&quot;dropping-particle&quot;:&quot;&quot;,&quot;non-dropping-particle&quot;:&quot;&quot;},{&quot;family&quot;:&quot;Rugg-Gunn&quot;,&quot;given&quot;:&quot;F.&quot;,&quot;parse-names&quot;:false,&quot;dropping-particle&quot;:&quot;&quot;,&quot;non-dropping-particle&quot;:&quot;&quot;},{&quot;family&quot;:&quot;Sachar&quot;,&quot;given&quot;:&quot;A.&quot;,&quot;parse-names&quot;:false,&quot;dropping-particle&quot;:&quot;&quot;,&quot;non-dropping-particle&quot;:&quot;&quot;},{&quot;family&quot;:&quot;Saha&quot;,&quot;given&quot;:&quot;R.&quot;,&quot;parse-names&quot;:false,&quot;dropping-particle&quot;:&quot;&quot;,&quot;non-dropping-particle&quot;:&quot;&quot;},{&quot;family&quot;:&quot;Saldanha&quot;,&quot;given&quot;:&quot;G.&quot;,&quot;parse-names&quot;:false,&quot;dropping-particle&quot;:&quot;&quot;,&quot;non-dropping-particle&quot;:&quot;&quot;},{&quot;family&quot;:&quot;Samarasekera&quot;,&quot;given&quot;:&quot;S.&quot;,&quot;parse-names&quot;:false,&quot;dropping-particle&quot;:&quot;&quot;,&quot;non-dropping-particle&quot;:&quot;&quot;},{&quot;family&quot;:&quot;Sanchez Sanchez&quot;,&quot;given&quot;:&quot;V.&quot;,&quot;parse-names&quot;:false,&quot;dropping-particle&quot;:&quot;&quot;,&quot;non-dropping-particle&quot;:&quot;&quot;},{&quot;family&quot;:&quot;Santhouse&quot;,&quot;given&quot;:&quot;A.&quot;,&quot;parse-names&quot;:false,&quot;dropping-particle&quot;:&quot;&quot;,&quot;non-dropping-particle&quot;:&quot;&quot;},{&quot;family&quot;:&quot;Scholes&quot;,&quot;given&quot;:&quot;K.&quot;,&quot;parse-names&quot;:false,&quot;dropping-particle&quot;:&quot;&quot;,&quot;non-dropping-particle&quot;:&quot;&quot;},{&quot;family&quot;:&quot;Shetty&quot;,&quot;given&quot;:&quot;A.&quot;,&quot;parse-names&quot;:false,&quot;dropping-particle&quot;:&quot;&quot;,&quot;non-dropping-particle&quot;:&quot;&quot;},{&quot;family&quot;:&quot;Shotbolt&quot;,&quot;given&quot;:&quot;P.&quot;,&quot;parse-names&quot;:false,&quot;dropping-particle&quot;:&quot;&quot;,&quot;non-dropping-particle&quot;:&quot;&quot;},{&quot;family&quot;:&quot;Simkiss&quot;,&quot;given&quot;:&quot;R.&quot;,&quot;parse-names&quot;:false,&quot;dropping-particle&quot;:&quot;&quot;,&quot;non-dropping-particle&quot;:&quot;&quot;},{&quot;family&quot;:&quot;Singh&quot;,&quot;given&quot;:&quot;J.&quot;,&quot;parse-names&quot;:false,&quot;dropping-particle&quot;:&quot;&quot;,&quot;non-dropping-particle&quot;:&quot;&quot;},{&quot;family&quot;:&quot;Sivagnanasundaram&quot;,&quot;given&quot;:&quot;J.&quot;,&quot;parse-names&quot;:false,&quot;dropping-particle&quot;:&quot;&quot;,&quot;non-dropping-particle&quot;:&quot;&quot;},{&quot;family&quot;:&quot;Slaght&quot;,&quot;given&quot;:&quot;S.&quot;,&quot;parse-names&quot;:false,&quot;dropping-particle&quot;:&quot;&quot;,&quot;non-dropping-particle&quot;:&quot;&quot;},{&quot;family&quot;:&quot;Smith&quot;,&quot;given&quot;:&quot;P.&quot;,&quot;parse-names&quot;:false,&quot;dropping-particle&quot;:&quot;&quot;,&quot;non-dropping-particle&quot;:&quot;&quot;},{&quot;family&quot;:&quot;Sokhi&quot;,&quot;given&quot;:&quot;D.&quot;,&quot;parse-names&quot;:false,&quot;dropping-particle&quot;:&quot;&quot;,&quot;non-dropping-particle&quot;:&quot;&quot;},{&quot;family&quot;:&quot;Stanton&quot;,&quot;given&quot;:&quot;B.&quot;,&quot;parse-names&quot;:false,&quot;dropping-particle&quot;:&quot;&quot;,&quot;non-dropping-particle&quot;:&quot;&quot;},{&quot;family&quot;:&quot;Suvorova&quot;,&quot;given&quot;:&quot;L.&quot;,&quot;parse-names&quot;:false,&quot;dropping-particle&quot;:&quot;&quot;,&quot;non-dropping-particle&quot;:&quot;&quot;},{&quot;family&quot;:&quot;Tahir&quot;,&quot;given&quot;:&quot;T.&quot;,&quot;parse-names&quot;:false,&quot;dropping-particle&quot;:&quot;&quot;,&quot;non-dropping-particle&quot;:&quot;&quot;},{&quot;family&quot;:&quot;Taylor&quot;,&quot;given&quot;:&quot;R.&quot;,&quot;parse-names&quot;:false,&quot;dropping-particle&quot;:&quot;&quot;,&quot;non-dropping-particle&quot;:&quot;&quot;},{&quot;family&quot;:&quot;Teare&quot;,&quot;given&quot;:&quot;L.&quot;,&quot;parse-names&quot;:false,&quot;dropping-particle&quot;:&quot;&quot;,&quot;non-dropping-particle&quot;:&quot;&quot;},{&quot;family&quot;:&quot;Tedesco&quot;,&quot;given&quot;:&quot;L.&quot;,&quot;parse-names&quot;:false,&quot;dropping-particle&quot;:&quot;&quot;,&quot;non-dropping-particle&quot;:&quot;&quot;},{&quot;family&quot;:&quot;Teo&quot;,&quot;given&quot;:&quot;J.&quot;,&quot;parse-names&quot;:false,&quot;dropping-particle&quot;:&quot;&quot;,&quot;non-dropping-particle&quot;:&quot;&quot;},{&quot;family&quot;:&quot;Thorpe&quot;,&quot;given&quot;:&quot;J.&quot;,&quot;parse-names&quot;:false,&quot;dropping-particle&quot;:&quot;&quot;,&quot;non-dropping-particle&quot;:&quot;&quot;},{&quot;family&quot;:&quot;Toplis&quot;,&quot;given&quot;:&quot;L.&quot;,&quot;parse-names&quot;:false,&quot;dropping-particle&quot;:&quot;&quot;,&quot;non-dropping-particle&quot;:&quot;&quot;},{&quot;family&quot;:&quot;Tsakopoulou&quot;,&quot;given&quot;:&quot;M.&quot;,&quot;parse-names&quot;:false,&quot;dropping-particle&quot;:&quot;&quot;,&quot;non-dropping-particle&quot;:&quot;&quot;},{&quot;family&quot;:&quot;Tylova&quot;,&quot;given&quot;:&quot;I.&quot;,&quot;parse-names&quot;:false,&quot;dropping-particle&quot;:&quot;&quot;,&quot;non-dropping-particle&quot;:&quot;&quot;},{&quot;family&quot;:&quot;Vick&quot;,&quot;given&quot;:&quot;T.&quot;,&quot;parse-names&quot;:false,&quot;dropping-particle&quot;:&quot;&quot;,&quot;non-dropping-particle&quot;:&quot;&quot;},{&quot;family&quot;:&quot;Vinnicombe&quot;,&quot;given&quot;:&quot;J.&quot;,&quot;parse-names&quot;:false,&quot;dropping-particle&quot;:&quot;&quot;,&quot;non-dropping-particle&quot;:&quot;&quot;},{&quot;family&quot;:&quot;Walker&quot;,&quot;given&quot;:&quot;M.&quot;,&quot;parse-names&quot;:false,&quot;dropping-particle&quot;:&quot;&quot;,&quot;non-dropping-particle&quot;:&quot;&quot;},{&quot;family&quot;:&quot;Walsh&quot;,&quot;given&quot;:&quot;C.&quot;,&quot;parse-names&quot;:false,&quot;dropping-particle&quot;:&quot;&quot;,&quot;non-dropping-particle&quot;:&quot;&quot;},{&quot;family&quot;:&quot;Watson&quot;,&quot;given&quot;:&quot;G.&quot;,&quot;parse-names&quot;:false,&quot;dropping-particle&quot;:&quot;&quot;,&quot;non-dropping-particle&quot;:&quot;&quot;},{&quot;family&quot;:&quot;Webb&quot;,&quot;given&quot;:&quot;T.&quot;,&quot;parse-names&quot;:false,&quot;dropping-particle&quot;:&quot;&quot;,&quot;non-dropping-particle&quot;:&quot;&quot;},{&quot;family&quot;:&quot;Wehner&quot;,&quot;given&quot;:&quot;T.&quot;,&quot;parse-names&quot;:false,&quot;dropping-particle&quot;:&quot;&quot;,&quot;non-dropping-particle&quot;:&quot;&quot;},{&quot;family&quot;:&quot;Welch&quot;,&quot;given&quot;:&quot;K.&quot;,&quot;parse-names&quot;:false,&quot;dropping-particle&quot;:&quot;&quot;,&quot;non-dropping-particle&quot;:&quot;&quot;},{&quot;family&quot;:&quot;Weyrich&quot;,&quot;given&quot;:&quot;K.&quot;,&quot;parse-names&quot;:false,&quot;dropping-particle&quot;:&quot;&quot;,&quot;non-dropping-particle&quot;:&quot;&quot;},{&quot;family&quot;:&quot;Whittaker&quot;,&quot;given&quot;:&quot;M.&quot;,&quot;parse-names&quot;:false,&quot;dropping-particle&quot;:&quot;&quot;,&quot;non-dropping-particle&quot;:&quot;&quot;},{&quot;family&quot;:&quot;Wickremaratchi&quot;,&quot;given&quot;:&quot;M.&quot;,&quot;parse-names&quot;:false,&quot;dropping-particle&quot;:&quot;&quot;,&quot;non-dropping-particle&quot;:&quot;&quot;},{&quot;family&quot;:&quot;Wicks&quot;,&quot;given&quot;:&quot;L.&quot;,&quot;parse-names&quot;:false,&quot;dropping-particle&quot;:&quot;&quot;,&quot;non-dropping-particle&quot;:&quot;&quot;},{&quot;family&quot;:&quot;Yogarajah&quot;,&quot;given&quot;:&quot;M.&quot;,&quot;parse-names&quot;:false,&quot;dropping-particle&quot;:&quot;&quot;,&quot;non-dropping-particle&quot;:&quot;&quot;}],&quot;container-title&quot;:&quot;The lancet. Psychiatry&quot;,&quot;container-title-short&quot;:&quot;Lancet Psychiatry&quot;,&quot;accessed&quot;:{&quot;date-parts&quot;:[[2023,5,29]]},&quot;DOI&quot;:&quot;10.1016/S2215-0366(20)30128-0&quot;,&quot;ISSN&quot;:&quot;2215-0374&quot;,&quot;PMID&quot;:&quot;32445688&quot;,&quot;URL&quot;:&quot;https://pubmed.ncbi.nlm.nih.gov/32445688/&quot;,&quot;issued&quot;:{&quot;date-parts&quot;:[[2020,6,1]]},&quot;page&quot;:&quot;491-505&quot;,&quot;abstract&quot;:&quot;Background: Dissociative seizures are paroxysmal events resembling epilepsy or syncope with characteristic features that allow them to be distinguished from other medical conditions. We aimed to compare the effectiveness of cognitive behavioural therapy (CBT) plus standardised medical care with standardised medical care alone for the reduction of dissociative seizure frequency. Methods: In this pragmatic, parallel-arm, multicentre randomised controlled trial, we initially recruited participants at 27 neurology or epilepsy services in England, Scotland, and Wales. Adults (≥18 years) who had dissociative seizures in the previous 8 weeks and no epileptic seizures in the previous 12 months were subsequently randomly assigned (1:1) from 17 liaison or neuropsychiatry services following psychiatric assessment, to receive standardised medical care or CBT plus standardised medical care, using a web-based system. Randomisation was stratified by neuropsychiatry or liaison psychiatry recruitment site. The trial manager, chief investigator, all treating clinicians, and patients were aware of treatment allocation, but outcome data collectors and trial statisticians were unaware of treatment allocation. Patients were followed up 6 months and 12 months after randomisation. The primary outcome was monthly dissociative seizure frequency (ie, frequency in the previous 4 weeks) assessed at 12 months. Secondary outcomes assessed at 12 months were: seizure severity (intensity) and bothersomeness; longest period of seizure freedom in the previous 6 months; complete seizure freedom in the previous 3 months; a greater than 50% reduction in seizure frequency relative to baseline; changes in dissociative seizures (rated by others); health-related quality of life; psychosocial functioning; psychiatric symptoms, psychological distress, and somatic symptom burden; and clinical impression of improvement and satisfaction. p values and statistical significance for outcomes were reported without correction for multiple comparisons as per our protocol. Primary and secondary outcomes were assessed in the intention-to-treat population with multiple imputation for missing observations. This trial is registered with the International Standard Randomised Controlled Trial registry, ISRCTN05681227, and ClinicalTrials.gov, NCT02325544. Findings: Between Jan 16, 2015, and May 31, 2017, we randomly assigned 368 patients to receive CBT plus standardised medical care (n=186) or standardised medical care alone (n=182); of whom 313 had primary outcome data at 12 months (156 [84%] of 186 patients in the CBT plus standardised medical care group and 157 [86%] of 182 patients in the standardised medical care group). At 12 months, no significant difference in monthly dissociative seizure frequency was identified between the groups (median 4 seizures [IQR 0–20] in the CBT plus standardised medical care group vs 7 seizures [1–35] in the standardised medical care group; estimated incidence rate ratio [IRR] 0·78 [95% CI 0·56–1·09]; p=0·144). Dissociative seizures were rated as less bothersome in the CBT plus standardised medical care group than the standardised medical care group (estimated mean difference −0·53 [95% CI −0·97 to −0·08]; p=0·020). The CBT plus standardised medical care group had a longer period of dissociative seizure freedom in the previous 6 months (estimated IRR 1·64 [95% CI 1·22 to 2·20]; p=0·001), reported better health-related quality of life on the EuroQoL-5 Dimensions-5 Level Health Today visual analogue scale (estimated mean difference 6·16 [95% CI 1·48 to 10·84]; p=0·010), less impairment in psychosocial functioning on the Work and Social Adjustment Scale (estimated mean difference −4·12 [95% CI −6·35 to −1·89]; p&lt;0·001), less overall psychological distress than the standardised medical care group on the Clinical Outcomes in Routine Evaluation-10 scale (estimated mean difference −1·65 [95% CI −2·96 to −0·35]; p=0·013), and fewer somatic symptoms on the modified Patient Health Questionnaire-15 scale (estimated mean difference −1·67 [95% CI −2·90 to −0·44]; p=0·008). Clinical improvement at 12 months was greater in the CBT plus standardised medical care group than the standardised medical care alone group as reported by patients (estimated mean difference 0·66 [95% CI 0·26 to 1·04]; p=0·001) and by clinicians (estimated mean difference 0·47 [95% CI 0·21 to 0·73]; p&lt;0·001), and the CBT plus standardised medical care group had greater satisfaction with treatment than did the standardised medical care group (estimated mean difference 0·90 [95% CI 0·48 to 1·31]; p&lt;0·001). No significant differences in patient-reported seizure severity (estimated mean difference −0·11 [95% CI −0·50 to 0·29]; p=0·593) or seizure freedom in the last 3 months of the study (estimated odds ratio [OR] 1·77 [95% CI 0·93 to 3·37]; p=0·083) were identified between the groups. Furthermore, no significant differences were identified in the proportion of patients who had a more than 50% reduction in dissociative seizure frequency compared with baseline (OR 1·27 [95% CI 0·80 to 2·02]; p=0·313). Additionally, the 12-item Short Form survey–version 2 scores (estimated mean difference for the Physical Component Summary score 1·78 [95% CI −0·37 to 3·92]; p=0·105; estimated mean difference for the Mental Component Summary score 2·22 [95% CI −0·30 to 4·75]; p=0·084), the Generalised Anxiety Disorder-7 scale score (estimated mean difference −1·09 [95% CI −2·27 to 0·09]; p=0·069), and the Patient Health Questionnaire-9 scale depression score (estimated mean difference −1·10 [95% CI −2·41 to 0·21]; p=0·099) did not differ significantly between groups. Changes in dissociative seizures (rated by others) could not be assessed due to insufficient data. During the 12-month period, the number of adverse events was similar between the groups: 57 (31%) of 186 participants in the CBT plus standardised medical care group reported 97 adverse events and 53 (29%) of 182 participants in the standardised medical care group reported 79 adverse events. Interpretation: CBT plus standardised medical care had no statistically significant advantage compared with standardised medical care alone for the reduction of monthly seizures. However, improvements were observed in a number of clinically relevant secondary outcomes following CBT plus standardised medical care when compared with standardised medical care alone. Thus, adults with dissociative seizures might benefit from the addition of dissociative seizure-specific CBT to specialist care from neurologists and psychiatrists. Future work is needed to identify patients who would benefit most from a dissociative seizure-specific CBT approach. Funding: National Institute for Health Research, Health Technology Assessment programme.&quot;,&quot;publisher&quot;:&quot;Lancet Psychiatry&quot;,&quot;issue&quot;:&quot;6&quot;,&quot;volume&quot;:&quot;7&quot;},&quot;isTemporary&quot;:false}],&quot;citationTag&quot;:&quot;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&quot;},{&quot;citationID&quot;:&quot;MENDELEY_CITATION_fb63ba01-ddbe-4003-9ef0-9e5515fdfb90&quot;,&quot;properties&quot;:{&quot;noteIndex&quot;:0},&quot;isEdited&quot;:false,&quot;manualOverride&quot;:{&quot;isManuallyOverridden&quot;:false,&quot;citeprocText&quot;:&quot;(Perez, 2020; Pick et al., 2016)&quot;,&quot;manualOverrideText&quot;:&quot;&quot;},&quot;citationItems&quot;:[{&quot;id&quot;:&quot;10e679e8-d27d-378c-b34f-984a9bef858e&quot;,&quot;itemData&quot;:{&quot;type&quot;:&quot;article-journal&quot;,&quot;id&quot;:&quot;10e679e8-d27d-378c-b34f-984a9bef858e&quot;,&quot;title&quot;:&quot;Emotion and dissociative seizures: A phenomenological analysis of patients' perspectives&quot;,&quot;author&quot;:[{&quot;family&quot;:&quot;Pick&quot;,&quot;given&quot;:&quot;S&quot;,&quot;parse-names&quot;:false,&quot;dropping-particle&quot;:&quot;&quot;,&quot;non-dropping-particle&quot;:&quot;&quot;},{&quot;family&quot;:&quot;Mellers&quot;,&quot;given&quot;:&quot;J D&quot;,&quot;parse-names&quot;:false,&quot;dropping-particle&quot;:&quot;&quot;,&quot;non-dropping-particle&quot;:&quot;&quot;},{&quot;family&quot;:&quot;Goldstein&quot;,&quot;given&quot;:&quot;L H&quot;,&quot;parse-names&quot;:false,&quot;dropping-particle&quot;:&quot;&quot;,&quot;non-dropping-particle&quot;:&quot;&quot;}],&quot;container-title&quot;:&quot;Epilepsy Behav&quot;,&quot;DOI&quot;:&quot;10.1016/j.yebeh.2015.12.010&quot;,&quot;ISSN&quot;:&quot;1525-5050&quot;,&quot;PMID&quot;:&quot;26799918&quot;,&quot;issued&quot;:{&quot;date-parts&quot;:[[2016]]},&quot;page&quot;:&quot;5-14&quot;,&quot;language&quot;:&quot;eng&quot;,&quot;abstract&quot;:&quot;Quantitative research has indicated that patients with dissociative seizures (DS) show altered responses to emotional stimuli, in addition to considerable emotional distress and dysregulation. The present study sought to further explore emotional processes in this population, to extend previous findings, and to provide a phenomenological insight into patients' perspectives on these issues. Semistructured interviews were carried out with 15 patients with DS, and the principles of interpretative phenomenological analysis (IPA) were adopted in data analysis. Key themes elicited included: i) general emotional functioning; ii) adverse (stressful/traumatic) life experiences; iii) the role of emotions in DS; iv) relating to others; and v) resilience, protective factors, and coping mechanisms. The clinical and theoretical implications of the findings are discussed.&quot;,&quot;edition&quot;:&quot;2016/01/23&quot;,&quot;volume&quot;:&quot;56&quot;,&quot;container-title-short&quot;:&quot;&quot;},&quot;isTemporary&quot;:false},{&quot;id&quot;:&quot;652c2810-e6e3-3293-826d-3fb32634f9ac&quot;,&quot;itemData&quot;:{&quot;type&quot;:&quot;article-journal&quot;,&quot;id&quot;:&quot;652c2810-e6e3-3293-826d-3fb32634f9ac&quot;,&quot;title&quot;:&quot;The CODES trial for dissociative seizures: a landmark study and inflection point&quot;,&quot;author&quot;:[{&quot;family&quot;:&quot;Perez&quot;,&quot;given&quot;:&quot;David L&quot;,&quot;parse-names&quot;:false,&quot;dropping-particle&quot;:&quot;&quot;,&quot;non-dropping-particle&quot;:&quot;&quot;}],&quot;container-title&quot;:&quot;The Lancet Psychiatry&quot;,&quot;container-title-short&quot;:&quot;Lancet Psychiatry&quot;,&quot;DOI&quot;:&quot;10.1016/s2215-0366(20)30143-7&quot;,&quot;ISSN&quot;:&quot;2215-0366&quot;,&quot;issued&quot;:{&quot;date-parts&quot;:[[2020]]},&quot;page&quot;:&quot;464-465&quot;,&quot;publisher&quot;:&quot;Elsevier BV&quot;,&quot;issue&quot;:&quot;6&quot;,&quot;volume&quot;:&quot;7&quot;},&quot;isTemporary&quot;:false}],&quot;citationTag&quot;:&quot;MENDELEY_CITATION_v3_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&quot;},{&quot;citationID&quot;:&quot;MENDELEY_CITATION_6fa155f6-4dbf-4eda-9735-54397104a403&quot;,&quot;properties&quot;:{&quot;noteIndex&quot;:0},&quot;isEdited&quot;:false,&quot;manualOverride&quot;:{&quot;isManuallyOverridden&quot;:true,&quot;citeprocText&quot;:&quot;(Nielsen et al., 2013; Nielsen, Ricciardi, et al., 2015)&quot;,&quot;manualOverrideText&quot;:&quot;(Nielsen et al., 2013; Nielsen, Ricciardi et al., 2015)&quot;},&quot;citationItems&quot;:[{&quot;id&quot;:&quot;a29065a7-3e11-3aea-a1a2-d667072c6779&quot;,&quot;itemData&quot;:{&quot;type&quot;:&quot;article-journal&quot;,&quot;id&quot;:&quot;a29065a7-3e11-3aea-a1a2-d667072c6779&quot;,&quot;title&quot;:&quot;Outcomes of a 5-day physiotherapy programme for functional (psychogenic) motor disorders&quot;,&quot;author&quot;:[{&quot;family&quot;:&quot;Nielsen&quot;,&quot;given&quot;:&quot;G.&quot;,&quot;parse-names&quot;:false,&quot;dropping-particle&quot;:&quot;&quot;,&quot;non-dropping-particle&quot;:&quot;&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Hunter&quot;,&quot;given&quot;:&quot;R.&quot;,&quot;parse-names&quot;:false,&quot;dropping-particle&quot;:&quot;&quot;,&quot;non-dropping-particle&quot;:&quot;&quot;},{&quot;family&quot;:&quot;Joyce&quot;,&quot;given&quot;:&quot;E.&quot;,&quot;parse-names&quot;:false,&quot;dropping-particle&quot;:&quot;&quot;,&quot;non-dropping-particle&quot;:&quot;&quot;},{&quot;family&quot;:&quot;Edwards&quot;,&quot;given&quot;:&quot;M. J.&quot;,&quot;parse-names&quot;:false,&quot;dropping-particle&quot;:&quot;&quot;,&quot;non-dropping-particle&quot;:&quot;&quot;}],&quot;container-title&quot;:&quot;Journal of Neurology&quot;,&quot;container-title-short&quot;:&quot;J Neurol&quot;,&quot;accessed&quot;:{&quot;date-parts&quot;:[[2023,5,29]]},&quot;DOI&quot;:&quot;10.1007/s00415-014-7631-1&quot;,&quot;ISSN&quot;:&quot;14321459&quot;,&quot;PMID&quot;:&quot;25557282&quot;,&quot;issued&quot;:{&quot;date-parts&quot;:[[2015,3,18]]},&quot;page&quot;:&quot;674-681&quot;,&quot;abstract&quot;:&quot;Patients with functional motor disorder (FMD) are commonly seen by physiotherapists and there is growing evidence to support a physical rehabilitation approach. There are, however, few descriptions in the literature of the content of successful physiotherapy treatment. This prospective cohort study reports the practicalities and outcomes of a pilot 5-day physiotherapy programme. Patients were referred from a specialist movement disorders clinic. The treatment consisted of education and movement retraining, with a long-term self-management focus. Education and movement retraining was based on a pathophysiological model for FMD that stresses the importance of self-focussed attention and illness belief. Patients were assessed at baseline, end of treatment and 3-month follow-up. 47 patients completed the programme, mean symptom duration was 5.5 years, 64 % were unemployed due to ill health. At the end of treatment, 65 % rated their symptoms as “very much improved” or “much improved”, this reduced to 55 % at 3 months. At follow-up, there was a significant improvement in physical domains of the SF-36, Berg Balance Scale and 10 Metre Timed Walk. Measures of mental health did not change. This prospective cohort study adds to the growing evidence that supports the use of specialist physiotherapy treatment for FMD. Improvements here were made despite the cohort having characteristics associated with poor prognosis. We argue that specific treatment techniques are important and have the potential to improve physical function, quality of life and may prove to be a cost-effective treatment for selected patients with FMD.&quot;,&quot;publisher&quot;:&quot;Dr. Dietrich Steinkopff Verlag GmbH and Co. KG&quot;,&quot;issue&quot;:&quot;3&quot;,&quot;volume&quot;:&quot;262&quot;},&quot;isTemporary&quot;:false},{&quot;id&quot;:&quot;975865a1-bac4-34a5-be08-1deca70ecde9&quot;,&quot;itemData&quot;:{&quot;type&quot;:&quot;article-journal&quot;,&quot;id&quot;:&quot;975865a1-bac4-34a5-be08-1deca70ecde9&quot;,&quot;title&quot;:&quot;Physiotherapy for functional (psychogenic) motor symptoms: a systematic review&quot;,&quot;author&quot;:[{&quot;family&quot;:&quot;Nielsen&quot;,&quot;given&quot;:&quot;G&quot;,&quot;parse-names&quot;:false,&quot;dropping-particle&quot;:&quot;&quot;,&quot;non-dropping-particle&quot;:&quot;&quot;},{&quot;family&quot;:&quot;Stone&quot;,&quot;given&quot;:&quot;J&quot;,&quot;parse-names&quot;:false,&quot;dropping-particle&quot;:&quot;&quot;,&quot;non-dropping-particle&quot;:&quot;&quot;},{&quot;family&quot;:&quot;Edwards&quot;,&quot;given&quot;:&quot;M J&quot;,&quot;parse-names&quot;:false,&quot;dropping-particle&quot;:&quot;&quot;,&quot;non-dropping-particle&quot;:&quot;&quot;}],&quot;container-title&quot;:&quot;J Psychosom Res&quot;,&quot;DOI&quot;:&quot;10.1016/j.jpsychores.2013.05.006&quot;,&quot;ISSN&quot;:&quot;0022-3999&quot;,&quot;PMID&quot;:&quot;23915764&quot;,&quot;issued&quot;:{&quot;date-parts&quot;:[[2013]]},&quot;page&quot;:&quot;93-102&quot;,&quot;language&quot;:&quot;eng&quot;,&quot;abstract&quot;:&quot;OBJECTIVE: Functional (psychogenic) motor symptoms (FMS), also called motor conversion disorder or non-organic motor symptoms are a common cause of disability and distress among patients attending neurology and neurorehabilitation services. Patients with FMS are often referred for physiotherapy but it is not clear whether this is effective. Here we aim to systematically review the literature regarding physiotherapy interventions for patients with functional motor symptoms. METHODS: Systematic review of databases with reference search for period 1950 to September 2012. RESULTS: There was only one controlled intervention study with a historical control group and 28 case series or reports describing interventions. The total number of patients in all studies was 373. Physiotherapy most commonly occurred in the context of multidisciplinary treatment and involved a motor learning approach. Novel approaches included the use of distraction techniques and transcutaneous electrical nerve stimulation (TENS) machine. Deceptive behavioural techniques have also been described. Most studies reported benefit from physical treatment, including some studies with long-term follow up. CONCLUSIONS: Patients with FMS are commonly encountered in neurological practice and are often referred for physiotherapy. The existing data to guide physiotherapy treatment for FMS is of low quality and limited in scope. However, it suggests potential positive effects and provides a useful resource for developing and testing physiotherapy interventions in future studies.&quot;,&quot;edition&quot;:&quot;2013/08/07&quot;,&quot;issue&quot;:&quot;2&quot;,&quot;volume&quot;:&quot;75&quot;,&quot;container-title-short&quot;:&quot;&quot;},&quot;isTemporary&quot;:false}],&quot;citationTag&quot;:&quot;MENDELEY_CITATION_v3_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&quot;},{&quot;citationID&quot;:&quot;MENDELEY_CITATION_1fc4eef2-b3f5-41cc-a7ad-f4358bbc9ec5&quot;,&quot;properties&quot;:{&quot;noteIndex&quot;:0},&quot;isEdited&quot;:false,&quot;manualOverride&quot;:{&quot;isManuallyOverridden&quot;:false,&quot;citeprocText&quot;:&quot;(Molero-Mateo &amp;#38; Molina-Rueda, 2023)&quot;,&quot;manualOverrideText&quot;:&quot;&quot;},&quot;citationItems&quot;:[{&quot;id&quot;:&quot;14a38eca-69f8-37fc-8e84-7295cd1271fc&quot;,&quot;itemData&quot;:{&quot;type&quot;:&quot;article-journal&quot;,&quot;id&quot;:&quot;14a38eca-69f8-37fc-8e84-7295cd1271fc&quot;,&quot;title&quot;:&quot;Physiotherapy for patients with functional movement disorder: a systematic review.&quot;,&quot;author&quot;:[{&quot;family&quot;:&quot;Molero-Mateo&quot;,&quot;given&quot;:&quot;P&quot;,&quot;parse-names&quot;:false,&quot;dropping-particle&quot;:&quot;&quot;,&quot;non-dropping-particle&quot;:&quot;&quot;},{&quot;family&quot;:&quot;Molina-Rueda&quot;,&quot;given&quot;:&quot;F&quot;,&quot;parse-names&quot;:false,&quot;dropping-particle&quot;:&quot;&quot;,&quot;non-dropping-particle&quot;:&quot;&quot;}],&quot;container-title&quot;:&quot;Neurologia&quot;,&quot;accessed&quot;:{&quot;date-parts&quot;:[[2023,5,29]]},&quot;DOI&quot;:&quot;10.1016/j.nrleng.2022.01.008&quot;,&quot;ISSN&quot;:&quot;2173-5808&quot;,&quot;PMID&quot;:&quot;37116691&quot;,&quot;URL&quot;:&quot;http://www.ncbi.nlm.nih.gov/pubmed/37116691&quot;,&quot;issued&quot;:{&quot;date-parts&quot;:[[2023,4,27]]},&quot;abstract&quot;:&quot;INTRODUCTION Functional movement disorder (FMD), a type of functional neurological disorder, is a common reason for consultation with the neurology department. The efficacy of physiotherapy for motor rehabilitation of these patients has been widely studied. The aim of this review is to analyse the available evidence on the effects of physiotherapy on motor symptoms, activity (gait, mobility, balance), perceived health, quality of life, and the cognitive/emotional state of patients with FMD. METHODS This review follows the PRISMA recommendations. Four electronic databases were searched for relevant articles. Our review included randomised controlled trials investigating the effects of a specialised physiotherapy intervention alone or in combination with other therapies as part of a multidisciplinary approach, with results compared against standard physiotherapy. RESULTS We reviewed 4 studies, including a total of 188 patients. We gathered data on the study population, outcome measures, protocols, and results. According to the Oxford quality scoring system, 3 studies had moderate methodological quality (3-4/5) and the remaining study presented poor methodological quality (&lt; 3). CONCLUSIONS Physiotherapy improves motor symptoms, activity, perceived health, and quality of life in patients with FMD.&quot;,&quot;container-title-short&quot;:&quot;&quot;},&quot;isTemporary&quot;:false}],&quot;citationTag&quot;:&quot;MENDELEY_CITATION_v3_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&quot;},{&quot;citationID&quot;:&quot;MENDELEY_CITATION_d42c250b-2510-4748-acc3-357863a0bd88&quot;,&quot;properties&quot;:{&quot;noteIndex&quot;:0},&quot;isEdited&quot;:false,&quot;manualOverride&quot;:{&quot;isManuallyOverridden&quot;:true,&quot;citeprocText&quot;:&quot;(Jacob et al., 2018; Nielsen, Ricciardi, et al., 2015; Nielsen, Stone, et al., 2015; Ricciardi &amp;#38; Edwards, 2014)&quot;,&quot;manualOverrideText&quot;:&quot;(Jacob et al., 2018; Nielsen, Ricciardi et al., 2015; Nielsen, Stone, et al., 2015; Ricciardi &amp; Edwards, 2014)&quot;},&quot;citationItems&quot;:[{&quot;id&quot;:&quot;de85860f-c952-3419-ab74-0804f16ee47c&quot;,&quot;itemData&quot;:{&quot;type&quot;:&quot;article-journal&quot;,&quot;id&quot;:&quot;de85860f-c952-3419-ab74-0804f16ee47c&quot;,&quot;title&quot;:&quot;Motor Retraining (MoRe) for Functional Movement Disorders: Outcomes From a 1-Week Multidisciplinary Rehabilitation Program&quot;,&quot;author&quot;:[{&quot;family&quot;:&quot;Jacob&quot;,&quot;given&quot;:&quot;Alexandra E.&quot;,&quot;parse-names&quot;:false,&quot;dropping-particle&quot;:&quot;&quot;,&quot;non-dropping-particle&quot;:&quot;&quot;},{&quot;family&quot;:&quot;Kaelin&quot;,&quot;given&quot;:&quot;Darryl L.&quot;,&quot;parse-names&quot;:false,&quot;dropping-particle&quot;:&quot;&quot;,&quot;non-dropping-particle&quot;:&quot;&quot;},{&quot;family&quot;:&quot;Roach&quot;,&quot;given&quot;:&quot;Abbey R.&quot;,&quot;parse-names&quot;:false,&quot;dropping-particle&quot;:&quot;&quot;,&quot;non-dropping-particle&quot;:&quot;&quot;},{&quot;family&quot;:&quot;Ziegler&quot;,&quot;given&quot;:&quot;Craig H.&quot;,&quot;parse-names&quot;:false,&quot;dropping-particle&quot;:&quot;&quot;,&quot;non-dropping-particle&quot;:&quot;&quot;},{&quot;family&quot;:&quot;LaFaver&quot;,&quot;given&quot;:&quot;Kathrin&quot;,&quot;parse-names&quot;:false,&quot;dropping-particle&quot;:&quot;&quot;,&quot;non-dropping-particle&quot;:&quot;&quot;}],&quot;container-title&quot;:&quot;PM and R&quot;,&quot;accessed&quot;:{&quot;date-parts&quot;:[[2023,5,29]]},&quot;DOI&quot;:&quot;10.1016/j.pmrj.2018.05.011&quot;,&quot;ISSN&quot;:&quot;19341482&quot;,&quot;PMID&quot;:&quot;29783067&quot;,&quot;issued&quot;:{&quot;date-parts&quot;:[[2018,11,1]]},&quot;page&quot;:&quot;1164-1172&quot;,&quot;abstract&quot;:&quot;Background: Functional movement disorders (FMDs) are conditions of abnormal motor control thought to be caused by psychological factors. These disorders are commonly seen in neurologic practice, and prognosis is often poor. No consensus treatment guidelines have been established; however, the role of physical therapy in addition to psychotherapy has increasingly been recognized. This study reports patient outcomes from a multidisciplinary FMD treatment program using motor retraining (MoRe) strategies. Objective: To assess outcomes of FMD patients undergoing a multidisciplinary treatment program and determine factors predictive of treatment success. Design: Retrospective chart review. Setting: University-affiliated rehabilitation institute. Patients: Thirty-two consecutive FMD patients admitted to the MoRe program from July 2014–July 2016. Intervention: Patients participated in a 1-week, multidisciplinary inpatient treatment program with daily physical, occupational, speech therapy, and psychotherapy interventions. Main Outcome Measurements: Primary outcome measures were changes in the patient-rated Clinical Global Impression Scale (CGI) and the physician-rated Psychogenic Movement Disorder Rating Scale (PMDRS) based on review of standardized patient videos. Measurements were taken as part of the clinical evaluation of the program. Results: Twenty-four of the 32 patients were female with a mean age of 49.1 (±14.2) years and mean symptom duration of 7.4 (±10.8) years. Most common movement phenomenologies were abnormal gait (31.2%), hyperkinetic movements (31.2%), and dystonia (31.2%). At discharge, 86.7% of patients reported symptom improvement on the CGI, and self-reported improvement was maintained in 69.2% at the 6-month follow-up. PMDRS scores improved by 59.1% from baseline to discharge. Longer duration of symptoms, history of abuse, and comorbid psychiatric disorders were not significant predictors of treatment outcomes. Conclusions: The majority of FMD patients experienced improvement from a 1-week multidisciplinary inpatient rehabilitation program. Treatment outcomes were not negatively correlated with longer disease duration or psychiatric comorbidities. The results from our study are encouraging, although further long-term prospective randomized studies are needed. Level of Evidence: III&quot;,&quot;publisher&quot;:&quot;Elsevier Inc.&quot;,&quot;issue&quot;:&quot;11&quot;,&quot;volume&quot;:&quot;10&quot;,&quot;container-title-short&quot;:&quot;&quot;},&quot;isTemporary&quot;:false},{&quot;id&quot;:&quot;a29065a7-3e11-3aea-a1a2-d667072c6779&quot;,&quot;itemData&quot;:{&quot;type&quot;:&quot;article-journal&quot;,&quot;id&quot;:&quot;a29065a7-3e11-3aea-a1a2-d667072c6779&quot;,&quot;title&quot;:&quot;Outcomes of a 5-day physiotherapy programme for functional (psychogenic) motor disorders&quot;,&quot;author&quot;:[{&quot;family&quot;:&quot;Nielsen&quot;,&quot;given&quot;:&quot;G.&quot;,&quot;parse-names&quot;:false,&quot;dropping-particle&quot;:&quot;&quot;,&quot;non-dropping-particle&quot;:&quot;&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Hunter&quot;,&quot;given&quot;:&quot;R.&quot;,&quot;parse-names&quot;:false,&quot;dropping-particle&quot;:&quot;&quot;,&quot;non-dropping-particle&quot;:&quot;&quot;},{&quot;family&quot;:&quot;Joyce&quot;,&quot;given&quot;:&quot;E.&quot;,&quot;parse-names&quot;:false,&quot;dropping-particle&quot;:&quot;&quot;,&quot;non-dropping-particle&quot;:&quot;&quot;},{&quot;family&quot;:&quot;Edwards&quot;,&quot;given&quot;:&quot;M. J.&quot;,&quot;parse-names&quot;:false,&quot;dropping-particle&quot;:&quot;&quot;,&quot;non-dropping-particle&quot;:&quot;&quot;}],&quot;container-title&quot;:&quot;Journal of Neurology&quot;,&quot;container-title-short&quot;:&quot;J Neurol&quot;,&quot;accessed&quot;:{&quot;date-parts&quot;:[[2023,5,29]]},&quot;DOI&quot;:&quot;10.1007/s00415-014-7631-1&quot;,&quot;ISSN&quot;:&quot;14321459&quot;,&quot;PMID&quot;:&quot;25557282&quot;,&quot;issued&quot;:{&quot;date-parts&quot;:[[2015,3,18]]},&quot;page&quot;:&quot;674-681&quot;,&quot;abstract&quot;:&quot;Patients with functional motor disorder (FMD) are commonly seen by physiotherapists and there is growing evidence to support a physical rehabilitation approach. There are, however, few descriptions in the literature of the content of successful physiotherapy treatment. This prospective cohort study reports the practicalities and outcomes of a pilot 5-day physiotherapy programme. Patients were referred from a specialist movement disorders clinic. The treatment consisted of education and movement retraining, with a long-term self-management focus. Education and movement retraining was based on a pathophysiological model for FMD that stresses the importance of self-focussed attention and illness belief. Patients were assessed at baseline, end of treatment and 3-month follow-up. 47 patients completed the programme, mean symptom duration was 5.5 years, 64 % were unemployed due to ill health. At the end of treatment, 65 % rated their symptoms as “very much improved” or “much improved”, this reduced to 55 % at 3 months. At follow-up, there was a significant improvement in physical domains of the SF-36, Berg Balance Scale and 10 Metre Timed Walk. Measures of mental health did not change. This prospective cohort study adds to the growing evidence that supports the use of specialist physiotherapy treatment for FMD. Improvements here were made despite the cohort having characteristics associated with poor prognosis. We argue that specific treatment techniques are important and have the potential to improve physical function, quality of life and may prove to be a cost-effective treatment for selected patients with FMD.&quot;,&quot;publisher&quot;:&quot;Dr. Dietrich Steinkopff Verlag GmbH and Co. KG&quot;,&quot;issue&quot;:&quot;3&quot;,&quot;volume&quot;:&quot;262&quot;},&quot;isTemporary&quot;:false},{&quot;id&quot;:&quot;a6a1244b-6b9d-34dc-945a-81951d120662&quot;,&quot;itemData&quot;:{&quot;type&quot;:&quot;article-journal&quot;,&quot;id&quot;:&quot;a6a1244b-6b9d-34dc-945a-81951d120662&quot;,&quot;title&quot;:&quot;Physiotherapy for functional motor disorders: a consensus recommendation&quot;,&quot;author&quot;:[{&quot;family&quot;:&quot;Nielsen&quot;,&quot;given&quot;:&quot;Glenn&quot;,&quot;parse-names&quot;:false,&quot;dropping-particle&quot;:&quot;&quot;,&quot;non-dropping-particle&quot;:&quot;&quot;},{&quot;family&quot;:&quot;Stone&quot;,&quot;given&quot;:&quot;Jon&quot;,&quot;parse-names&quot;:false,&quot;dropping-particle&quot;:&quot;&quot;,&quot;non-dropping-particle&quot;:&quot;&quot;},{&quot;family&quot;:&quot;Matthews&quot;,&quot;given&quot;:&quot;Audrey&quot;,&quot;parse-names&quot;:false,&quot;dropping-particle&quot;:&quot;&quot;,&quot;non-dropping-particle&quot;:&quot;&quot;},{&quot;family&quot;:&quot;Brown&quot;,&quot;given&quot;:&quot;Melanie&quot;,&quot;parse-names&quot;:false,&quot;dropping-particle&quot;:&quot;&quot;,&quot;non-dropping-particle&quot;:&quot;&quot;},{&quot;family&quot;:&quot;Sparkes&quot;,&quot;given&quot;:&quot;Chris&quot;,&quot;parse-names&quot;:false,&quot;dropping-particle&quot;:&quot;&quot;,&quot;non-dropping-particle&quot;:&quot;&quot;},{&quot;family&quot;:&quot;Farmer&quot;,&quot;given&quot;:&quot;Ross&quot;,&quot;parse-names&quot;:false,&quot;dropping-particle&quot;:&quot;&quot;,&quot;non-dropping-particle&quot;:&quot;&quot;},{&quot;family&quot;:&quot;Masterton&quot;,&quot;given&quot;:&quot;Lindsay&quot;,&quot;parse-names&quot;:false,&quot;dropping-particle&quot;:&quot;&quot;,&quot;non-dropping-particle&quot;:&quot;&quot;},{&quot;family&quot;:&quot;Duncan&quot;,&quot;given&quot;:&quot;Linsey&quot;,&quot;parse-names&quot;:false,&quot;dropping-particle&quot;:&quot;&quot;,&quot;non-dropping-particle&quot;:&quot;&quot;},{&quot;family&quot;:&quot;Winters&quot;,&quot;given&quot;:&quot;Alisa&quot;,&quot;parse-names&quot;:false,&quot;dropping-particle&quot;:&quot;&quot;,&quot;non-dropping-particle&quot;:&quot;&quot;},{&quot;family&quot;:&quot;Daniell&quot;,&quot;given&quot;:&quot;Laura&quot;,&quot;parse-names&quot;:false,&quot;dropping-particle&quot;:&quot;&quot;,&quot;non-dropping-particle&quot;:&quot;&quot;},{&quot;family&quot;:&quot;Lumsden&quot;,&quot;given&quot;:&quot;Carrie&quot;,&quot;parse-names&quot;:false,&quot;dropping-particle&quot;:&quot;&quot;,&quot;non-dropping-particle&quot;:&quot;&quot;},{&quot;family&quot;:&quot;Carson&quot;,&quot;given&quot;:&quot;Alan&quot;,&quot;parse-names&quot;:false,&quot;dropping-particle&quot;:&quot;&quot;,&quot;non-dropping-particle&quot;:&quot;&quot;},{&quot;family&quot;:&quot;David&quot;,&quot;given&quot;:&quot;Anthony S.&quot;,&quot;parse-names&quot;:false,&quot;dropping-particle&quot;:&quot;&quot;,&quot;non-dropping-particle&quot;:&quot;&quot;},{&quot;family&quot;:&quot;Edwards&quot;,&quot;given&quot;:&quot;Mark&quot;,&quot;parse-names&quot;:false,&quot;dropping-particle&quot;:&quot;&quot;,&quot;non-dropping-particle&quot;:&quot;&quot;}],&quot;container-title&quot;:&quot;Journal of neurology, neurosurgery, and psychiatry&quot;,&quot;container-title-short&quot;:&quot;J Neurol Neurosurg Psychiatry&quot;,&quot;accessed&quot;:{&quot;date-parts&quot;:[[2023,5,29]]},&quot;DOI&quot;:&quot;10.1136/JNNP-2014-309255&quot;,&quot;ISSN&quot;:&quot;1468-330X&quot;,&quot;PMID&quot;:&quot;25433033&quot;,&quot;URL&quot;:&quot;https://pubmed.ncbi.nlm.nih.gov/25433033/&quot;,&quot;issued&quot;:{&quot;date-parts&quot;:[[2015,10,1]]},&quot;page&quot;:&quot;1113-1119&quot;,&quot;abstract&quot;:&quot;Background: Patients with functional motor disorder (FMD) including weakness and paralysis are commonly referred to physiotherapists. There is growing evidence that physiotherapy is an effective treatment, but the existing literature has limited explanations of what physiotherapy should consist of and there are insufficient data to produce evidence-based guidelines. We aim to address this issue by presenting recommendations for physiotherapy treatment. Methods: A meeting was held between physiotherapists, neurologists and neuropsychiatrists, all with extensive experience in treating FMD. A set of consensus recommendations were produced based on existing evidence and experience. Results: We recommend that physiotherapy treatment is based on a biopsychosocial aetiological framework. Treatment should address illness beliefs, self-directed attention and abnormal habitual movement patterns through a process of education, movement retraining and self-management strategies within a positive and non-judgemental context. We provide specific examples of these strategies for different symptoms. Conclusions: Physiotherapy has a key role in the multidisciplinary management of patients with FMD. There appear to be specific physiotherapy techniques which are useful in FMD and which are amenable to and require prospective evaluation. The processes involved in referral, treatment and discharge from physiotherapy should be considered carefully as a part of a treatment package.&quot;,&quot;publisher&quot;:&quot;J Neurol Neurosurg Psychiatry&quot;,&quot;issue&quot;:&quot;10&quot;,&quot;volume&quot;:&quot;86&quot;},&quot;isTemporary&quot;:false},{&quot;id&quot;:&quot;9fcdc44d-c099-396b-bfe1-59bc567deda2&quot;,&quot;itemData&quot;:{&quot;type&quot;:&quot;article-journal&quot;,&quot;id&quot;:&quot;9fcdc44d-c099-396b-bfe1-59bc567deda2&quot;,&quot;title&quot;:&quot;Treatment of functional (psychogenic) movement disorders&quot;,&quot;author&quot;:[{&quot;family&quot;:&quot;Ricciardi&quot;,&quot;given&quot;:&quot;Luciana&quot;,&quot;parse-names&quot;:false,&quot;dropping-particle&quot;:&quot;&quot;,&quot;non-dropping-particle&quot;:&quot;&quot;},{&quot;family&quot;:&quot;Edwards&quot;,&quot;given&quot;:&quot;Mark J.&quot;,&quot;parse-names&quot;:false,&quot;dropping-particle&quot;:&quot;&quot;,&quot;non-dropping-particle&quot;:&quot;&quot;}],&quot;container-title&quot;:&quot;Neurotherapeutics : the journal of the American Society for Experimental NeuroTherapeutics&quot;,&quot;container-title-short&quot;:&quot;Neurotherapeutics&quot;,&quot;accessed&quot;:{&quot;date-parts&quot;:[[2023,5,29]]},&quot;DOI&quot;:&quot;10.1007/S13311-013-0246-X&quot;,&quot;ISSN&quot;:&quot;1878-7479&quot;,&quot;PMID&quot;:&quot;24356785&quot;,&quot;URL&quot;:&quot;https://pubmed.ncbi.nlm.nih.gov/24356785/&quot;,&quot;issued&quot;:{&quot;date-parts&quot;:[[2014,1]]},&quot;page&quot;:&quot;201-207&quot;,&quot;abstract&quot;:&quot;Functional (psychogenic) movement disorders are a common source of disability and distress. Despite this, little systematic evidence is available to guide treatment decisions. This situation is likely to have been influenced by the \&quot;no man's land\&quot; that such patients occupy between neurologists and psychiatrists, often with neither side feeling a clear responsibility or ability to direct management. The aim of this narrative review is to provide an overview of the current state of the evidence regarding management of functional movement disorders. This reveals that there is some evidence to support the use of specific forms of cognitive behavioral therapy and physiotherapy. Such treatments may be facilitated in selected patients with the use of antidepressant medication, and may be more effective for those with severe symptoms when given as part of inpatient multidisciplinary rehabilitation. Other treatments, for example hypnosis and transcranial magnetic stimulation, are of interest, but further evidence is required regarding mechanism of effect and long-term benefit. Though prognosis is poor in general, improvement in symptoms is possible in patients with functional movement disorders, and there is a clear challenge to clinicians and therapists involved in their care to conduct and advocate for high-quality clinical trials. © 2013 The American Society for Experimental NeuroTherapeutics, Inc.&quot;,&quot;publisher&quot;:&quot;Neurotherapeutics&quot;,&quot;issue&quot;:&quot;1&quot;,&quot;volume&quot;:&quot;11&quot;},&quot;isTemporary&quot;:false}],&quot;citationTag&quot;:&quot;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&quot;},{&quot;citationID&quot;:&quot;MENDELEY_CITATION_1c986660-e192-4fc7-a901-ead7a5a14118&quot;,&quot;properties&quot;:{&quot;noteIndex&quot;:0},&quot;isEdited&quot;:false,&quot;manualOverride&quot;:{&quot;isManuallyOverridden&quot;:true,&quot;citeprocText&quot;:&quot;(Espay, Maloney, et al., 2018)&quot;,&quot;manualOverrideText&quot;:&quot;(Espay, Maloney et al., 2018)&quot;},&quot;citationItems&quot;:[{&quot;id&quot;:&quot;7affd50b-4a93-3f07-b167-fadeec08810d&quot;,&quot;itemData&quot;:{&quot;type&quot;:&quot;article-journal&quot;,&quot;id&quot;:&quot;7affd50b-4a93-3f07-b167-fadeec08810d&quot;,&quot;title&quot;:&quot;Dysfunction in emotion processing underlies functional (psychogenic) dystonia&quot;,&quot;author&quot;:[{&quot;family&quot;:&quot;Espay&quot;,&quot;given&quot;:&quot;Alberto J.&quot;,&quot;parse-names&quot;:false,&quot;dropping-particle&quot;:&quot;&quot;,&quot;non-dropping-particle&quot;:&quot;&quot;},{&quot;family&quot;:&quot;Maloney&quot;,&quot;given&quot;:&quot;Thomas&quot;,&quot;parse-names&quot;:false,&quot;dropping-particle&quot;:&quot;&quot;,&quot;non-dropping-particle&quot;:&quot;&quot;},{&quot;family&quot;:&quot;Vannest&quot;,&quot;given&quot;:&quot;Jennifer&quot;,&quot;parse-names&quot;:false,&quot;dropping-particle&quot;:&quot;&quot;,&quot;non-dropping-particle&quot;:&quot;&quot;},{&quot;family&quot;:&quot;Norris&quot;,&quot;given&quot;:&quot;Matthew M.&quot;,&quot;parse-names&quot;:false,&quot;dropping-particle&quot;:&quot;&quot;,&quot;non-dropping-particle&quot;:&quot;&quot;},{&quot;family&quot;:&quot;Eliassen&quot;,&quot;given&quot;:&quot;James C.&quot;,&quot;parse-names&quot;:false,&quot;dropping-particle&quot;:&quot;&quot;,&quot;non-dropping-particle&quot;:&quot;&quot;},{&quot;family&quot;:&quot;Neefus&quot;,&quot;given&quot;:&quot;Erin&quot;,&quot;parse-names&quot;:false,&quot;dropping-particle&quot;:&quot;&quot;,&quot;non-dropping-particle&quot;:&quot;&quot;},{&quot;family&quot;:&quot;Allendorfer&quot;,&quot;given&quot;:&quot;Jane B.&quot;,&quot;parse-names&quot;:false,&quot;dropping-particle&quot;:&quot;&quot;,&quot;non-dropping-particle&quot;:&quot;&quot;},{&quot;family&quot;:&quot;Chen&quot;,&quot;given&quot;:&quot;Robert&quot;,&quot;parse-names&quot;:false,&quot;dropping-particle&quot;:&quot;&quot;,&quot;non-dropping-particle&quot;:&quot;&quot;},{&quot;family&quot;:&quot;Szaflarski&quot;,&quot;given&quot;:&quot;Jerzy P.&quot;,&quot;parse-names&quot;:false,&quot;dropping-particle&quot;:&quot;&quot;,&quot;non-dropping-particle&quot;:&quot;&quot;}],&quot;container-title&quot;:&quot;Movement disorders : official journal of the Movement Disorder Society&quot;,&quot;container-title-short&quot;:&quot;Mov Disord&quot;,&quot;accessed&quot;:{&quot;date-parts&quot;:[[2023,4,29]]},&quot;DOI&quot;:&quot;10.1002/MDS.27217&quot;,&quot;ISSN&quot;:&quot;15318257&quot;,&quot;PMID&quot;:&quot;29124784&quot;,&quot;URL&quot;:&quot;/pmc/articles/PMC5767134/&quot;,&quot;issued&quot;:{&quot;date-parts&quot;:[[2018,1,1]]},&quot;page&quot;:&quot;136&quot;,&quot;abstract&quot;:&quot;Objective: We sought to determine whether abnormalities in emotion processing underlie functional (psychogenic) dystonia, one of the most common functional movement disorders. Methods: Motor and emotion circuits were examined in 12 participants with functional dystonia, 12 with primary organic dystonia, and 25 healthy controls using functional magnetic resonance imaging at 4T and a finger-tapping task (motor task), a basic emotion-recognition task (emotional faces task), and an intense-emotion stimuli task. Results: There were no differences in motor task activation between groups. In the faces task, when compared with the other groups, functional dystonia patients showed areas of decreased activation in the right middle temporal gyrus and bilateral precuneus and increased activation in the right inferior frontal gyrus, bilateral occipital cortex and fusiform gyrus, and bilateral cerebellum. In the intense-emotion task, when compared with the other groups, functional dystonia patients showed decreased activation in the left insular and left motor cortices (compared to organic dystonia, they showed an additional decrease in activation in the right opercular cortex and right motor cortex) and increased activation in the left fusiform gyrus. Conclusions: Functional dystonia patients exhibited stimulus-dependent altered activation in networks involved in motor preparation and execution, spatial cognition, and attentional control. These results support the presence of network dysfunction in functional dystonia. © 2017 International Parkinson and Movement Disorder Society.&quot;,&quot;publisher&quot;:&quot;NIH Public Access&quot;,&quot;issue&quot;:&quot;1&quot;,&quot;volume&quot;:&quot;33&quot;},&quot;isTemporary&quot;:false}],&quot;citationTag&quot;:&quot;MENDELEY_CITATION_v3_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&quot;},{&quot;citationID&quot;:&quot;MENDELEY_CITATION_64c6b15c-b356-4637-a9c9-d360918984a7&quot;,&quot;properties&quot;:{&quot;noteIndex&quot;:0},&quot;isEdited&quot;:false,&quot;manualOverride&quot;:{&quot;isManuallyOverridden&quot;:true,&quot;citeprocText&quot;:&quot;(Espay, Aybek, et al., 2018; Gasparini et al., 2019)&quot;,&quot;manualOverrideText&quot;:&quot;(Espay, Aybek et al., 2018; Gasparini et al., 2019)&quot;},&quot;citationItems&quot;:[{&quot;id&quot;:&quot;f3bdefe1-16aa-34b9-9eed-68baadfc442b&quot;,&quot;itemData&quot;:{&quot;type&quot;:&quot;article-journal&quot;,&quot;id&quot;:&quot;f3bdefe1-16aa-34b9-9eed-68baadfc442b&quot;,&quot;title&quot;:&quot;Current Concepts in Diagnosis and Treatment of Functional Neurological Disorders&quot;,&quot;author&quot;:[{&quot;family&quot;:&quot;Espay&quot;,&quot;given&quot;:&quot;A J&quot;,&quot;parse-names&quot;:false,&quot;dropping-particle&quot;:&quot;&quot;,&quot;non-dropping-particle&quot;:&quot;&quot;},{&quot;family&quot;:&quot;Aybek&quot;,&quot;given&quot;:&quot;S&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LaFaver&quot;,&quot;given&quot;:&quot;K&quot;,&quot;parse-names&quot;:false,&quot;dropping-particle&quot;:&quot;&quot;,&quot;non-dropping-particle&quot;:&quot;&quot;},{&quot;family&quot;:&quot;LaFrance Jr.&quot;,&quot;given&quot;:&quot;W C&quot;,&quot;parse-names&quot;:false,&quot;dropping-particle&quot;:&quot;&quot;,&quot;non-dropping-particle&quot;:&quot;&quot;},{&quot;family&quot;:&quot;Lang&quot;,&quot;given&quot;:&quot;A E&quot;,&quot;parse-names&quot;:false,&quot;dropping-particle&quot;:&quot;&quot;,&quot;non-dropping-particle&quot;:&quot;&quot;},{&quot;family&quot;:&quot;Nicholson&quot;,&quot;given&quot;:&quot;T&quot;,&quot;parse-names&quot;:false,&quot;dropping-particle&quot;:&quot;&quot;,&quot;non-dropping-particle&quot;:&quot;&quot;},{&quot;family&quot;:&quot;Nielsen&quot;,&quot;given&quot;:&quot;G&quot;,&quot;parse-names&quot;:false,&quot;dropping-particle&quot;:&quot;&quot;,&quot;non-dropping-particle&quot;:&quot;&quot;},{&quot;family&quot;:&quot;Reuber&quot;,&quot;given&quot;:&quot;M&quot;,&quot;parse-names&quot;:false,&quot;dropping-particle&quot;:&quot;&quot;,&quot;non-dropping-particle&quot;:&quot;&quot;},{&quot;family&quot;:&quot;Voon&quot;,&quot;given&quot;:&quot;V&quot;,&quot;parse-names&quot;:false,&quot;dropping-particle&quot;:&quot;&quot;,&quot;non-dropping-particle&quot;:&quot;&quot;},{&quot;family&quot;:&quot;Stone&quot;,&quot;given&quot;:&quot;J&quot;,&quot;parse-names&quot;:false,&quot;dropping-particle&quot;:&quot;&quot;,&quot;non-dropping-particle&quot;:&quot;&quot;},{&quot;family&quot;:&quot;Morgante&quot;,&quot;given&quot;:&quot;F&quot;,&quot;parse-names&quot;:false,&quot;dropping-particle&quot;:&quot;&quot;,&quot;non-dropping-particle&quot;:&quot;&quot;}],&quot;container-title&quot;:&quot;JAMA Neurol&quot;,&quot;DOI&quot;:&quot;10.1001/jamaneurol.2018.1264&quot;,&quot;ISSN&quot;:&quot;2168-6149&quot;,&quot;PMID&quot;:&quot;29868890&quot;,&quot;issued&quot;:{&quot;date-parts&quot;:[[2018]]},&quot;page&quot;:&quot;1132-1141&quot;,&quot;language&quot;:&quot;eng&quot;,&quot;abstract&quot;:&quot;IMPORTANCE: Functional neurological disorders (FND) are common sources of disability in medicine. Patients have often been misdiagnosed, correctly diagnosed after lengthy delays, and/or subjected to poorly delivered diagnoses that prevent diagnostic understanding and lead to inappropriate treatments, iatrogenic harm, unnecessary and costly evaluations, and poor outcomes. OBSERVATIONS: Functional Neurological Symptom Disorder/Conversion Disorder was adopted by the Diagnostic and Statistical Manual of Mental Disorders, Fifth Edition, replacing the term psychogenic with functional and removing the criterion of psychological stress as a prerequisite for FND. A diagnosis can now be made in an inclusionary manner by identifying neurological signs that are specific to FNDs without reliance on presence or absence of psychological stressors or suggestive historical clues. The new model highlights a wider range of past sensitizing events, such as physical trauma, medical illness, or physiological/psychophysiological events. In this model, strong ideas and expectations about these events correlate with abnormal predictions of sensory data and body-focused attention. Neurobiological abnormalities include hypoactivation of the supplementary motor area and relative disconnection with areas that select or inhibit movements and are associated with a sense of agency. Promising evidence has accumulated for the benefit of specific physical rehabilitation and psychological interventions alone or in combination, but clinical trial evidence remains limited. CONCLUSIONS AND RELEVANCE: Functional neurological disorders are a neglected but potentially reversible source of disability. Further research is needed to determine the dose and duration of various interventions, the value of combination treatments and multidisciplinary therapy, and the therapeutic modality best suited for each patient.&quot;,&quot;edition&quot;:&quot;2018/06/06&quot;,&quot;issue&quot;:&quot;9&quot;,&quot;volume&quot;:&quot;75&quot;,&quot;container-title-short&quot;:&quot;&quot;},&quot;isTemporary&quot;:false},{&quot;id&quot;:&quot;a7696b6d-3a40-333e-9899-2cac161d5ffb&quot;,&quot;itemData&quot;:{&quot;type&quot;:&quot;article-journal&quot;,&quot;id&quot;:&quot;a7696b6d-3a40-333e-9899-2cac161d5ffb&quot;,&quot;title&quot;:&quot;Management of psychogenic non-epileptic seizures: a multidisciplinary approach&quot;,&quot;author&quot;:[{&quot;family&quot;:&quot;Gasparini&quot;,&quot;given&quot;:&quot;S.&quot;,&quot;parse-names&quot;:false,&quot;dropping-particle&quot;:&quot;&quot;,&quot;non-dropping-particle&quot;:&quot;&quot;},{&quot;family&quot;:&quot;Beghi&quot;,&quot;given&quot;:&quot;E.&quot;,&quot;parse-names&quot;:false,&quot;dropping-particle&quot;:&quot;&quot;,&quot;non-dropping-particle&quot;:&quot;&quot;},{&quot;family&quot;:&quot;Ferlazzo&quot;,&quot;given&quot;:&quot;E.&quot;,&quot;parse-names&quot;:false,&quot;dropping-particle&quot;:&quot;&quot;,&quot;non-dropping-particle&quot;:&quot;&quot;},{&quot;family&quot;:&quot;Beghi&quot;,&quot;given&quot;:&quot;M.&quot;,&quot;parse-names&quot;:false,&quot;dropping-particle&quot;:&quot;&quot;,&quot;non-dropping-particle&quot;:&quot;&quot;},{&quot;family&quot;:&quot;Belcastro&quot;,&quot;given&quot;:&quot;V.&quot;,&quot;parse-names&quot;:false,&quot;dropping-particle&quot;:&quot;&quot;,&quot;non-dropping-particle&quot;:&quot;&quot;},{&quot;family&quot;:&quot;Biermann&quot;,&quot;given&quot;:&quot;K. P.&quot;,&quot;parse-names&quot;:false,&quot;dropping-particle&quot;:&quot;&quot;,&quot;non-dropping-particle&quot;:&quot;&quot;},{&quot;family&quot;:&quot;Bottini&quot;,&quot;given&quot;:&quot;G.&quot;,&quot;parse-names&quot;:false,&quot;dropping-particle&quot;:&quot;&quot;,&quot;non-dropping-particle&quot;:&quot;&quot;},{&quot;family&quot;:&quot;Capovilla&quot;,&quot;given&quot;:&quot;G.&quot;,&quot;parse-names&quot;:false,&quot;dropping-particle&quot;:&quot;&quot;,&quot;non-dropping-particle&quot;:&quot;&quot;},{&quot;family&quot;:&quot;Cervellione&quot;,&quot;given&quot;:&quot;R. A.&quot;,&quot;parse-names&quot;:false,&quot;dropping-particle&quot;:&quot;&quot;,&quot;non-dropping-particle&quot;:&quot;&quot;},{&quot;family&quot;:&quot;Cianci&quot;,&quot;given&quot;:&quot;V.&quot;,&quot;parse-names&quot;:false,&quot;dropping-particle&quot;:&quot;&quot;,&quot;non-dropping-particle&quot;:&quot;&quot;},{&quot;family&quot;:&quot;Coppola&quot;,&quot;given&quot;:&quot;G.&quot;,&quot;parse-names&quot;:false,&quot;dropping-particle&quot;:&quot;&quot;,&quot;non-dropping-particle&quot;:&quot;&quot;},{&quot;family&quot;:&quot;Cornaggia&quot;,&quot;given&quot;:&quot;C. M.&quot;,&quot;parse-names&quot;:false,&quot;dropping-particle&quot;:&quot;&quot;,&quot;non-dropping-particle&quot;:&quot;&quot;},{&quot;family&quot;:&quot;Fazio&quot;,&quot;given&quot;:&quot;P.&quot;,&quot;parse-names&quot;:false,&quot;dropping-particle&quot;:&quot;&quot;,&quot;non-dropping-particle&quot;:&quot;De&quot;},{&quot;family&quot;:&quot;Masi&quot;,&quot;given&quot;:&quot;S.&quot;,&quot;parse-names&quot;:false,&quot;dropping-particle&quot;:&quot;&quot;,&quot;non-dropping-particle&quot;:&quot;De&quot;},{&quot;family&quot;:&quot;Sarro&quot;,&quot;given&quot;:&quot;G.&quot;,&quot;parse-names&quot;:false,&quot;dropping-particle&quot;:&quot;&quot;,&quot;non-dropping-particle&quot;:&quot;De&quot;},{&quot;family&quot;:&quot;Elia&quot;,&quot;given&quot;:&quot;M.&quot;,&quot;parse-names&quot;:false,&quot;dropping-particle&quot;:&quot;&quot;,&quot;non-dropping-particle&quot;:&quot;&quot;},{&quot;family&quot;:&quot;Erba&quot;,&quot;given&quot;:&quot;G.&quot;,&quot;parse-names&quot;:false,&quot;dropping-particle&quot;:&quot;&quot;,&quot;non-dropping-particle&quot;:&quot;&quot;},{&quot;family&quot;:&quot;Fusco&quot;,&quot;given&quot;:&quot;L.&quot;,&quot;parse-names&quot;:false,&quot;dropping-particle&quot;:&quot;&quot;,&quot;non-dropping-particle&quot;:&quot;&quot;},{&quot;family&quot;:&quot;Gambardella&quot;,&quot;given&quot;:&quot;A.&quot;,&quot;parse-names&quot;:false,&quot;dropping-particle&quot;:&quot;&quot;,&quot;non-dropping-particle&quot;:&quot;&quot;},{&quot;family&quot;:&quot;Gentile&quot;,&quot;given&quot;:&quot;V.&quot;,&quot;parse-names&quot;:false,&quot;dropping-particle&quot;:&quot;&quot;,&quot;non-dropping-particle&quot;:&quot;&quot;},{&quot;family&quot;:&quot;Giallonardo&quot;,&quot;given&quot;:&quot;A. T.&quot;,&quot;parse-names&quot;:false,&quot;dropping-particle&quot;:&quot;&quot;,&quot;non-dropping-particle&quot;:&quot;&quot;},{&quot;family&quot;:&quot;Guerrini&quot;,&quot;given&quot;:&quot;R.&quot;,&quot;parse-names&quot;:false,&quot;dropping-particle&quot;:&quot;&quot;,&quot;non-dropping-particle&quot;:&quot;&quot;},{&quot;family&quot;:&quot;Ingravallo&quot;,&quot;given&quot;:&quot;F.&quot;,&quot;parse-names&quot;:false,&quot;dropping-particle&quot;:&quot;&quot;,&quot;non-dropping-particle&quot;:&quot;&quot;},{&quot;family&quot;:&quot;Iudice&quot;,&quot;given&quot;:&quot;A.&quot;,&quot;parse-names&quot;:false,&quot;dropping-particle&quot;:&quot;&quot;,&quot;non-dropping-particle&quot;:&quot;&quot;},{&quot;family&quot;:&quot;Labate&quot;,&quot;given&quot;:&quot;A.&quot;,&quot;parse-names&quot;:false,&quot;dropping-particle&quot;:&quot;&quot;,&quot;non-dropping-particle&quot;:&quot;&quot;},{&quot;family&quot;:&quot;Lucenteforte&quot;,&quot;given&quot;:&quot;E.&quot;,&quot;parse-names&quot;:false,&quot;dropping-particle&quot;:&quot;&quot;,&quot;non-dropping-particle&quot;:&quot;&quot;},{&quot;family&quot;:&quot;Magaudda&quot;,&quot;given&quot;:&quot;A.&quot;,&quot;parse-names&quot;:false,&quot;dropping-particle&quot;:&quot;&quot;,&quot;non-dropping-particle&quot;:&quot;&quot;},{&quot;family&quot;:&quot;Mumoli&quot;,&quot;given&quot;:&quot;L.&quot;,&quot;parse-names&quot;:false,&quot;dropping-particle&quot;:&quot;&quot;,&quot;non-dropping-particle&quot;:&quot;&quot;},{&quot;family&quot;:&quot;Papagno&quot;,&quot;given&quot;:&quot;C.&quot;,&quot;parse-names&quot;:false,&quot;dropping-particle&quot;:&quot;&quot;,&quot;non-dropping-particle&quot;:&quot;&quot;},{&quot;family&quot;:&quot;Pesce&quot;,&quot;given&quot;:&quot;G. B.&quot;,&quot;parse-names&quot;:false,&quot;dropping-particle&quot;:&quot;&quot;,&quot;non-dropping-particle&quot;:&quot;&quot;},{&quot;family&quot;:&quot;Pucci&quot;,&quot;given&quot;:&quot;E.&quot;,&quot;parse-names&quot;:false,&quot;dropping-particle&quot;:&quot;&quot;,&quot;non-dropping-particle&quot;:&quot;&quot;},{&quot;family&quot;:&quot;Ricci&quot;,&quot;given&quot;:&quot;P.&quot;,&quot;parse-names&quot;:false,&quot;dropping-particle&quot;:&quot;&quot;,&quot;non-dropping-particle&quot;:&quot;&quot;},{&quot;family&quot;:&quot;Romeo&quot;,&quot;given&quot;:&quot;A.&quot;,&quot;parse-names&quot;:false,&quot;dropping-particle&quot;:&quot;&quot;,&quot;non-dropping-particle&quot;:&quot;&quot;},{&quot;family&quot;:&quot;Quintas&quot;,&quot;given&quot;:&quot;R.&quot;,&quot;parse-names&quot;:false,&quot;dropping-particle&quot;:&quot;&quot;,&quot;non-dropping-particle&quot;:&quot;&quot;},{&quot;family&quot;:&quot;Sueri&quot;,&quot;given&quot;:&quot;C.&quot;,&quot;parse-names&quot;:false,&quot;dropping-particle&quot;:&quot;&quot;,&quot;non-dropping-particle&quot;:&quot;&quot;},{&quot;family&quot;:&quot;Vitaliti&quot;,&quot;given&quot;:&quot;G.&quot;,&quot;parse-names&quot;:false,&quot;dropping-particle&quot;:&quot;&quot;,&quot;non-dropping-particle&quot;:&quot;&quot;},{&quot;family&quot;:&quot;Zoia&quot;,&quot;given&quot;:&quot;R.&quot;,&quot;parse-names&quot;:false,&quot;dropping-particle&quot;:&quot;&quot;,&quot;non-dropping-particle&quot;:&quot;&quot;},{&quot;family&quot;:&quot;Aguglia&quot;,&quot;given&quot;:&quot;U.&quot;,&quot;parse-names&quot;:false,&quot;dropping-particle&quot;:&quot;&quot;,&quot;non-dropping-particle&quot;:&quot;&quot;}],&quot;container-title&quot;:&quot;European Journal of Neurology&quot;,&quot;container-title-short&quot;:&quot;Eur J Neurol&quot;,&quot;accessed&quot;:{&quot;date-parts&quot;:[[2023,5,29]]},&quot;DOI&quot;:&quot;10.1111/ENE.13818&quot;,&quot;ISSN&quot;:&quot;1468-1331&quot;,&quot;PMID&quot;:&quot;30300463&quot;,&quot;URL&quot;:&quot;https://onlinelibrary.wiley.com/doi/full/10.1111/ene.13818&quot;,&quot;issued&quot;:{&quot;date-parts&quot;:[[2019,2,1]]},&quot;page&quot;:&quot;205-e15&quot;,&quot;abstract&quot;:&quot;The International League against Epilepsy (ILAE) proposed a diagnostic scheme for psychogenic non-epileptic seizure (PNES). The debate on ethical aspects of the diagnostic procedures is ongoing, the treatment is not standardized and management might differ according to age group. The objective was to reach an expert and stakeholder consensus on PNES management. A board comprising adult and child neurologists, neuropsychologists, psychiatrists, pharmacologists, experts in forensic medicine and bioethics as well as patients’ representatives was formed. The board chose five main topics regarding PNES: diagnosis; ethical issues; psychiatric comorbidities; psychological treatment; and pharmacological treatment. After a systematic review of the literature, the board met in a consensus conference in Catanzaro (Italy). Further consultations using a model of Delphi panel were held. The global level of evidence for all topics was low. Even though most questions were formulated separately for children/adolescents and adults, no major age-related differences emerged. The board established that the approach to PNES diagnosis should comply with ILAE recommendations. Seizure induction was considered ethical, preferring the least invasive techniques. The board recommended looking carefully for mood disturbances, personality disorders and psychic trauma in persons with PNES and considering cognitive-behavioural therapy as a first-line psychological approach and pharmacological treatment to manage comorbid conditions, namely anxiety and depression. Psychogenic non-epileptic seizure management should be multidisciplinary. High-quality long-term studies are needed to standardize PNES management.&quot;,&quot;publisher&quot;:&quot;John Wiley &amp; Sons, Ltd&quot;,&quot;issue&quot;:&quot;2&quot;,&quot;volume&quot;:&quot;26&quot;},&quot;isTemporary&quot;:false}],&quot;citationTag&quot;:&quot;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&quot;},{&quot;citationID&quot;:&quot;MENDELEY_CITATION_6c77b652-a0e0-458c-9fad-c95d87e1e240&quot;,&quot;properties&quot;:{&quot;noteIndex&quot;:0},&quot;isEdited&quot;:false,&quot;manualOverride&quot;:{&quot;isManuallyOverridden&quot;:false,&quot;citeprocText&quot;:&quot;(Gasparini et al., 2019)&quot;,&quot;manualOverrideText&quot;:&quot;&quot;},&quot;citationItems&quot;:[{&quot;id&quot;:&quot;a7696b6d-3a40-333e-9899-2cac161d5ffb&quot;,&quot;itemData&quot;:{&quot;type&quot;:&quot;article-journal&quot;,&quot;id&quot;:&quot;a7696b6d-3a40-333e-9899-2cac161d5ffb&quot;,&quot;title&quot;:&quot;Management of psychogenic non-epileptic seizures: a multidisciplinary approach&quot;,&quot;author&quot;:[{&quot;family&quot;:&quot;Gasparini&quot;,&quot;given&quot;:&quot;S.&quot;,&quot;parse-names&quot;:false,&quot;dropping-particle&quot;:&quot;&quot;,&quot;non-dropping-particle&quot;:&quot;&quot;},{&quot;family&quot;:&quot;Beghi&quot;,&quot;given&quot;:&quot;E.&quot;,&quot;parse-names&quot;:false,&quot;dropping-particle&quot;:&quot;&quot;,&quot;non-dropping-particle&quot;:&quot;&quot;},{&quot;family&quot;:&quot;Ferlazzo&quot;,&quot;given&quot;:&quot;E.&quot;,&quot;parse-names&quot;:false,&quot;dropping-particle&quot;:&quot;&quot;,&quot;non-dropping-particle&quot;:&quot;&quot;},{&quot;family&quot;:&quot;Beghi&quot;,&quot;given&quot;:&quot;M.&quot;,&quot;parse-names&quot;:false,&quot;dropping-particle&quot;:&quot;&quot;,&quot;non-dropping-particle&quot;:&quot;&quot;},{&quot;family&quot;:&quot;Belcastro&quot;,&quot;given&quot;:&quot;V.&quot;,&quot;parse-names&quot;:false,&quot;dropping-particle&quot;:&quot;&quot;,&quot;non-dropping-particle&quot;:&quot;&quot;},{&quot;family&quot;:&quot;Biermann&quot;,&quot;given&quot;:&quot;K. P.&quot;,&quot;parse-names&quot;:false,&quot;dropping-particle&quot;:&quot;&quot;,&quot;non-dropping-particle&quot;:&quot;&quot;},{&quot;family&quot;:&quot;Bottini&quot;,&quot;given&quot;:&quot;G.&quot;,&quot;parse-names&quot;:false,&quot;dropping-particle&quot;:&quot;&quot;,&quot;non-dropping-particle&quot;:&quot;&quot;},{&quot;family&quot;:&quot;Capovilla&quot;,&quot;given&quot;:&quot;G.&quot;,&quot;parse-names&quot;:false,&quot;dropping-particle&quot;:&quot;&quot;,&quot;non-dropping-particle&quot;:&quot;&quot;},{&quot;family&quot;:&quot;Cervellione&quot;,&quot;given&quot;:&quot;R. A.&quot;,&quot;parse-names&quot;:false,&quot;dropping-particle&quot;:&quot;&quot;,&quot;non-dropping-particle&quot;:&quot;&quot;},{&quot;family&quot;:&quot;Cianci&quot;,&quot;given&quot;:&quot;V.&quot;,&quot;parse-names&quot;:false,&quot;dropping-particle&quot;:&quot;&quot;,&quot;non-dropping-particle&quot;:&quot;&quot;},{&quot;family&quot;:&quot;Coppola&quot;,&quot;given&quot;:&quot;G.&quot;,&quot;parse-names&quot;:false,&quot;dropping-particle&quot;:&quot;&quot;,&quot;non-dropping-particle&quot;:&quot;&quot;},{&quot;family&quot;:&quot;Cornaggia&quot;,&quot;given&quot;:&quot;C. M.&quot;,&quot;parse-names&quot;:false,&quot;dropping-particle&quot;:&quot;&quot;,&quot;non-dropping-particle&quot;:&quot;&quot;},{&quot;family&quot;:&quot;Fazio&quot;,&quot;given&quot;:&quot;P.&quot;,&quot;parse-names&quot;:false,&quot;dropping-particle&quot;:&quot;&quot;,&quot;non-dropping-particle&quot;:&quot;De&quot;},{&quot;family&quot;:&quot;Masi&quot;,&quot;given&quot;:&quot;S.&quot;,&quot;parse-names&quot;:false,&quot;dropping-particle&quot;:&quot;&quot;,&quot;non-dropping-particle&quot;:&quot;De&quot;},{&quot;family&quot;:&quot;Sarro&quot;,&quot;given&quot;:&quot;G.&quot;,&quot;parse-names&quot;:false,&quot;dropping-particle&quot;:&quot;&quot;,&quot;non-dropping-particle&quot;:&quot;De&quot;},{&quot;family&quot;:&quot;Elia&quot;,&quot;given&quot;:&quot;M.&quot;,&quot;parse-names&quot;:false,&quot;dropping-particle&quot;:&quot;&quot;,&quot;non-dropping-particle&quot;:&quot;&quot;},{&quot;family&quot;:&quot;Erba&quot;,&quot;given&quot;:&quot;G.&quot;,&quot;parse-names&quot;:false,&quot;dropping-particle&quot;:&quot;&quot;,&quot;non-dropping-particle&quot;:&quot;&quot;},{&quot;family&quot;:&quot;Fusco&quot;,&quot;given&quot;:&quot;L.&quot;,&quot;parse-names&quot;:false,&quot;dropping-particle&quot;:&quot;&quot;,&quot;non-dropping-particle&quot;:&quot;&quot;},{&quot;family&quot;:&quot;Gambardella&quot;,&quot;given&quot;:&quot;A.&quot;,&quot;parse-names&quot;:false,&quot;dropping-particle&quot;:&quot;&quot;,&quot;non-dropping-particle&quot;:&quot;&quot;},{&quot;family&quot;:&quot;Gentile&quot;,&quot;given&quot;:&quot;V.&quot;,&quot;parse-names&quot;:false,&quot;dropping-particle&quot;:&quot;&quot;,&quot;non-dropping-particle&quot;:&quot;&quot;},{&quot;family&quot;:&quot;Giallonardo&quot;,&quot;given&quot;:&quot;A. T.&quot;,&quot;parse-names&quot;:false,&quot;dropping-particle&quot;:&quot;&quot;,&quot;non-dropping-particle&quot;:&quot;&quot;},{&quot;family&quot;:&quot;Guerrini&quot;,&quot;given&quot;:&quot;R.&quot;,&quot;parse-names&quot;:false,&quot;dropping-particle&quot;:&quot;&quot;,&quot;non-dropping-particle&quot;:&quot;&quot;},{&quot;family&quot;:&quot;Ingravallo&quot;,&quot;given&quot;:&quot;F.&quot;,&quot;parse-names&quot;:false,&quot;dropping-particle&quot;:&quot;&quot;,&quot;non-dropping-particle&quot;:&quot;&quot;},{&quot;family&quot;:&quot;Iudice&quot;,&quot;given&quot;:&quot;A.&quot;,&quot;parse-names&quot;:false,&quot;dropping-particle&quot;:&quot;&quot;,&quot;non-dropping-particle&quot;:&quot;&quot;},{&quot;family&quot;:&quot;Labate&quot;,&quot;given&quot;:&quot;A.&quot;,&quot;parse-names&quot;:false,&quot;dropping-particle&quot;:&quot;&quot;,&quot;non-dropping-particle&quot;:&quot;&quot;},{&quot;family&quot;:&quot;Lucenteforte&quot;,&quot;given&quot;:&quot;E.&quot;,&quot;parse-names&quot;:false,&quot;dropping-particle&quot;:&quot;&quot;,&quot;non-dropping-particle&quot;:&quot;&quot;},{&quot;family&quot;:&quot;Magaudda&quot;,&quot;given&quot;:&quot;A.&quot;,&quot;parse-names&quot;:false,&quot;dropping-particle&quot;:&quot;&quot;,&quot;non-dropping-particle&quot;:&quot;&quot;},{&quot;family&quot;:&quot;Mumoli&quot;,&quot;given&quot;:&quot;L.&quot;,&quot;parse-names&quot;:false,&quot;dropping-particle&quot;:&quot;&quot;,&quot;non-dropping-particle&quot;:&quot;&quot;},{&quot;family&quot;:&quot;Papagno&quot;,&quot;given&quot;:&quot;C.&quot;,&quot;parse-names&quot;:false,&quot;dropping-particle&quot;:&quot;&quot;,&quot;non-dropping-particle&quot;:&quot;&quot;},{&quot;family&quot;:&quot;Pesce&quot;,&quot;given&quot;:&quot;G. B.&quot;,&quot;parse-names&quot;:false,&quot;dropping-particle&quot;:&quot;&quot;,&quot;non-dropping-particle&quot;:&quot;&quot;},{&quot;family&quot;:&quot;Pucci&quot;,&quot;given&quot;:&quot;E.&quot;,&quot;parse-names&quot;:false,&quot;dropping-particle&quot;:&quot;&quot;,&quot;non-dropping-particle&quot;:&quot;&quot;},{&quot;family&quot;:&quot;Ricci&quot;,&quot;given&quot;:&quot;P.&quot;,&quot;parse-names&quot;:false,&quot;dropping-particle&quot;:&quot;&quot;,&quot;non-dropping-particle&quot;:&quot;&quot;},{&quot;family&quot;:&quot;Romeo&quot;,&quot;given&quot;:&quot;A.&quot;,&quot;parse-names&quot;:false,&quot;dropping-particle&quot;:&quot;&quot;,&quot;non-dropping-particle&quot;:&quot;&quot;},{&quot;family&quot;:&quot;Quintas&quot;,&quot;given&quot;:&quot;R.&quot;,&quot;parse-names&quot;:false,&quot;dropping-particle&quot;:&quot;&quot;,&quot;non-dropping-particle&quot;:&quot;&quot;},{&quot;family&quot;:&quot;Sueri&quot;,&quot;given&quot;:&quot;C.&quot;,&quot;parse-names&quot;:false,&quot;dropping-particle&quot;:&quot;&quot;,&quot;non-dropping-particle&quot;:&quot;&quot;},{&quot;family&quot;:&quot;Vitaliti&quot;,&quot;given&quot;:&quot;G.&quot;,&quot;parse-names&quot;:false,&quot;dropping-particle&quot;:&quot;&quot;,&quot;non-dropping-particle&quot;:&quot;&quot;},{&quot;family&quot;:&quot;Zoia&quot;,&quot;given&quot;:&quot;R.&quot;,&quot;parse-names&quot;:false,&quot;dropping-particle&quot;:&quot;&quot;,&quot;non-dropping-particle&quot;:&quot;&quot;},{&quot;family&quot;:&quot;Aguglia&quot;,&quot;given&quot;:&quot;U.&quot;,&quot;parse-names&quot;:false,&quot;dropping-particle&quot;:&quot;&quot;,&quot;non-dropping-particle&quot;:&quot;&quot;}],&quot;container-title&quot;:&quot;European Journal of Neurology&quot;,&quot;container-title-short&quot;:&quot;Eur J Neurol&quot;,&quot;accessed&quot;:{&quot;date-parts&quot;:[[2023,5,29]]},&quot;DOI&quot;:&quot;10.1111/ENE.13818&quot;,&quot;ISSN&quot;:&quot;1468-1331&quot;,&quot;PMID&quot;:&quot;30300463&quot;,&quot;URL&quot;:&quot;https://onlinelibrary.wiley.com/doi/full/10.1111/ene.13818&quot;,&quot;issued&quot;:{&quot;date-parts&quot;:[[2019,2,1]]},&quot;page&quot;:&quot;205-e15&quot;,&quot;abstract&quot;:&quot;The International League against Epilepsy (ILAE) proposed a diagnostic scheme for psychogenic non-epileptic seizure (PNES). The debate on ethical aspects of the diagnostic procedures is ongoing, the treatment is not standardized and management might differ according to age group. The objective was to reach an expert and stakeholder consensus on PNES management. A board comprising adult and child neurologists, neuropsychologists, psychiatrists, pharmacologists, experts in forensic medicine and bioethics as well as patients’ representatives was formed. The board chose five main topics regarding PNES: diagnosis; ethical issues; psychiatric comorbidities; psychological treatment; and pharmacological treatment. After a systematic review of the literature, the board met in a consensus conference in Catanzaro (Italy). Further consultations using a model of Delphi panel were held. The global level of evidence for all topics was low. Even though most questions were formulated separately for children/adolescents and adults, no major age-related differences emerged. The board established that the approach to PNES diagnosis should comply with ILAE recommendations. Seizure induction was considered ethical, preferring the least invasive techniques. The board recommended looking carefully for mood disturbances, personality disorders and psychic trauma in persons with PNES and considering cognitive-behavioural therapy as a first-line psychological approach and pharmacological treatment to manage comorbid conditions, namely anxiety and depression. Psychogenic non-epileptic seizure management should be multidisciplinary. High-quality long-term studies are needed to standardize PNES management.&quot;,&quot;publisher&quot;:&quot;John Wiley &amp; Sons, Ltd&quot;,&quot;issue&quot;:&quot;2&quot;,&quot;volume&quot;:&quot;26&quot;},&quot;isTemporary&quot;:false}],&quot;citationTag&quot;:&quot;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&quot;},{&quot;citationID&quot;:&quot;MENDELEY_CITATION_e79b12d6-6508-4cf4-8e15-b0ffc3e54e46&quot;,&quot;properties&quot;:{&quot;noteIndex&quot;:0},&quot;isEdited&quot;:false,&quot;manualOverride&quot;:{&quot;isManuallyOverridden&quot;:false,&quot;citeprocText&quot;:&quot;(Gilmour et al., 2020; Stone, 2016)&quot;,&quot;manualOverrideText&quot;:&quot;&quot;},&quot;citationItems&quot;:[{&quot;id&quot;:&quot;50732250-306d-391e-94ed-19d5cad1a73d&quot;,&quot;itemData&quot;:{&quot;type&quot;:&quot;article-journal&quot;,&quot;id&quot;:&quot;50732250-306d-391e-94ed-19d5cad1a73d&quot;,&quot;title&quot;:&quot;Functional neurological disorders: the neurological assessment as treatment&quot;,&quot;author&quot;:[{&quot;family&quot;:&quot;Stone&quot;,&quot;given&quot;:&quot;Jon&quot;,&quot;parse-names&quot;:false,&quot;dropping-particle&quot;:&quot;&quot;,&quot;non-dropping-particle&quot;:&quot;&quot;}],&quot;container-title&quot;:&quot;Practical neurology&quot;,&quot;container-title-short&quot;:&quot;Pract Neurol&quot;,&quot;accessed&quot;:{&quot;date-parts&quot;:[[2023,5,31]]},&quot;DOI&quot;:&quot;10.1136/PRACTNEUROL-2015-001241&quot;,&quot;ISSN&quot;:&quot;1474-7766&quot;,&quot;PMID&quot;:&quot;26715762&quot;,&quot;URL&quot;:&quot;https://pubmed.ncbi.nlm.nih.gov/26715762/&quot;,&quot;issued&quot;:{&quot;date-parts&quot;:[[2016,2,1]]},&quot;page&quot;:&quot;7-17&quot;,&quot;abstract&quot;:&quot;The neurologist’s role in patients with functional disorders has traditionally been limited to making the diagnosis, excluding a ‘disease’ and pronouncing the symptoms to be ‘non-organic’ or ‘psychogenic’. In this article, I argue that there are multiple opportunities during routine assessment of a patient with a functional disorder for the neurologist to take the lead with treatment. These opportunities occur throughout history taking, during the examination and, with greatest potential for treatment, at the end of the consultation. Elements of the neurologist’s discussion that may be most useful include (a) emphasis that symptoms are genuine, common and potentially reversible; (b) explanation of the positive nature of the diagnosis (ie, not a diagnosis of exclusion); (c) simple advice about distraction techniques, self-help techniques and sources of information; (d) referral on to appropriate physiotherapy and/or psychological services; and (e) offering outpatient review. I also discuss how new diagnostic criteria for Diagnostic and Statistical Manual of Mental Disorders-5 and changes proposed for International Classification of Diseases may facilitate changes that allow neurologists to bring their management of patients with functional disorders in line with other multidisciplinary neurological disorders in the outpatient clinic.&quot;,&quot;publisher&quot;:&quot;Pract Neurol&quot;,&quot;issue&quot;:&quot;1&quot;,&quot;volume&quot;:&quot;16&quot;},&quot;isTemporary&quot;:false},{&quot;id&quot;:&quot;0bd12cdb-c5d0-3a0c-a1eb-a3bca9f8e895&quot;,&quot;itemData&quot;:{&quot;type&quot;:&quot;article-journal&quot;,&quot;id&quot;:&quot;0bd12cdb-c5d0-3a0c-a1eb-a3bca9f8e895&quot;,&quot;title&quot;:&quot;Management of functional neurological disorder&quot;,&quot;author&quot;:[{&quot;family&quot;:&quot;Gilmour&quot;,&quot;given&quot;:&quot;Gabriela S.&quot;,&quot;parse-names&quot;:false,&quot;dropping-particle&quot;:&quot;&quot;,&quot;non-dropping-particle&quot;:&quot;&quot;},{&quot;family&quot;:&quot;Nielsen&quot;,&quot;given&quot;:&quot;Glenn&quot;,&quot;parse-names&quot;:false,&quot;dropping-particle&quot;:&quot;&quot;,&quot;non-dropping-particle&quot;:&quot;&quot;},{&quot;family&quot;:&quot;Teodoro&quot;,&quot;given&quot;:&quot;Tiago&quot;,&quot;parse-names&quot;:false,&quot;dropping-particle&quot;:&quot;&quot;,&quot;non-dropping-particle&quot;:&quot;&quot;},{&quot;family&quot;:&quot;Yogarajah&quot;,&quot;given&quot;:&quot;Mahinda&quot;,&quot;parse-names&quot;:false,&quot;dropping-particle&quot;:&quot;&quot;,&quot;non-dropping-particle&quot;:&quot;&quot;},{&quot;family&quot;:&quot;Coebergh&quot;,&quot;given&quot;:&quot;Jan Adriaan&quot;,&quot;parse-names&quot;:false,&quot;dropping-particle&quot;:&quot;&quot;,&quot;non-dropping-particle&quot;:&quot;&quot;},{&quot;family&quot;:&quot;Dilley&quot;,&quot;given&quot;:&quot;Michael D.&quot;,&quot;parse-names&quot;:false,&quot;dropping-particle&quot;:&quot;&quot;,&quot;non-dropping-particle&quot;:&quot;&quot;},{&quot;family&quot;:&quot;Martino&quot;,&quot;given&quot;:&quot;Davide&quot;,&quot;parse-names&quot;:false,&quot;dropping-particle&quot;:&quot;&quot;,&quot;non-dropping-particle&quot;:&quot;&quot;},{&quot;family&quot;:&quot;Edwards&quot;,&quot;given&quot;:&quot;Mark J.&quot;,&quot;parse-names&quot;:false,&quot;dropping-particle&quot;:&quot;&quot;,&quot;non-dropping-particle&quot;:&quot;&quot;}],&quot;container-title&quot;:&quot;Journal of Neurology&quot;,&quot;container-title-short&quot;:&quot;J Neurol&quot;,&quot;accessed&quot;:{&quot;date-parts&quot;:[[2023,4,30]]},&quot;DOI&quot;:&quot;10.1007/S00415-020-09772-W/FIGURES/1&quot;,&quot;ISSN&quot;:&quot;14321459&quot;,&quot;PMID&quot;:&quot;32193596&quot;,&quot;URL&quot;:&quot;https://link.springer.com/article/10.1007/s00415-020-09772-w&quot;,&quot;issued&quot;:{&quot;date-parts&quot;:[[2020,7,1]]},&quot;page&quot;:&quot;2164-2172&quot;,&quot;abstract&quot;:&quot;Functional neurological disorder (FND) is a common cause of persistent and disabling neurological symptoms. These symptoms are varied and include abnormal control of movement, episodes of altered awareness resembling epileptic seizures and abnormal sensation and are often comorbid with chronic pain, fatigue and cognitive symptoms. There is increasing evidence for the role of neurologists in both the assessment and management of FND. The aim of this review is to discuss strategies for the management of FND by focusing on the diagnostic discussion and general principles, as well as specific treatment strategies for various FND symptoms, highlighting the role of the neurologist and proposing a structure for an interdisciplinary FND service.&quot;,&quot;publisher&quot;:&quot;Springer&quot;,&quot;issue&quot;:&quot;7&quot;,&quot;volume&quot;:&quot;267&quot;},&quot;isTemporary&quot;:false}],&quot;citationTag&quot;:&quot;MENDELEY_CITATION_v3_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&quot;},{&quot;citationID&quot;:&quot;MENDELEY_CITATION_e37e1f5a-1783-4d98-a1d2-a2034ff0795c&quot;,&quot;properties&quot;:{&quot;noteIndex&quot;:0},&quot;isEdited&quot;:false,&quot;manualOverride&quot;:{&quot;isManuallyOverridden&quot;:true,&quot;citeprocText&quot;:&quot;(Gilmour et al., 2020)&quot;,&quot;manualOverrideText&quot;:&quot;(Gilmour et al., 2020).&quot;},&quot;citationItems&quot;:[{&quot;id&quot;:&quot;0bd12cdb-c5d0-3a0c-a1eb-a3bca9f8e895&quot;,&quot;itemData&quot;:{&quot;type&quot;:&quot;article-journal&quot;,&quot;id&quot;:&quot;0bd12cdb-c5d0-3a0c-a1eb-a3bca9f8e895&quot;,&quot;title&quot;:&quot;Management of functional neurological disorder&quot;,&quot;author&quot;:[{&quot;family&quot;:&quot;Gilmour&quot;,&quot;given&quot;:&quot;Gabriela S.&quot;,&quot;parse-names&quot;:false,&quot;dropping-particle&quot;:&quot;&quot;,&quot;non-dropping-particle&quot;:&quot;&quot;},{&quot;family&quot;:&quot;Nielsen&quot;,&quot;given&quot;:&quot;Glenn&quot;,&quot;parse-names&quot;:false,&quot;dropping-particle&quot;:&quot;&quot;,&quot;non-dropping-particle&quot;:&quot;&quot;},{&quot;family&quot;:&quot;Teodoro&quot;,&quot;given&quot;:&quot;Tiago&quot;,&quot;parse-names&quot;:false,&quot;dropping-particle&quot;:&quot;&quot;,&quot;non-dropping-particle&quot;:&quot;&quot;},{&quot;family&quot;:&quot;Yogarajah&quot;,&quot;given&quot;:&quot;Mahinda&quot;,&quot;parse-names&quot;:false,&quot;dropping-particle&quot;:&quot;&quot;,&quot;non-dropping-particle&quot;:&quot;&quot;},{&quot;family&quot;:&quot;Coebergh&quot;,&quot;given&quot;:&quot;Jan Adriaan&quot;,&quot;parse-names&quot;:false,&quot;dropping-particle&quot;:&quot;&quot;,&quot;non-dropping-particle&quot;:&quot;&quot;},{&quot;family&quot;:&quot;Dilley&quot;,&quot;given&quot;:&quot;Michael D.&quot;,&quot;parse-names&quot;:false,&quot;dropping-particle&quot;:&quot;&quot;,&quot;non-dropping-particle&quot;:&quot;&quot;},{&quot;family&quot;:&quot;Martino&quot;,&quot;given&quot;:&quot;Davide&quot;,&quot;parse-names&quot;:false,&quot;dropping-particle&quot;:&quot;&quot;,&quot;non-dropping-particle&quot;:&quot;&quot;},{&quot;family&quot;:&quot;Edwards&quot;,&quot;given&quot;:&quot;Mark J.&quot;,&quot;parse-names&quot;:false,&quot;dropping-particle&quot;:&quot;&quot;,&quot;non-dropping-particle&quot;:&quot;&quot;}],&quot;container-title&quot;:&quot;Journal of Neurology&quot;,&quot;container-title-short&quot;:&quot;J Neurol&quot;,&quot;accessed&quot;:{&quot;date-parts&quot;:[[2023,4,30]]},&quot;DOI&quot;:&quot;10.1007/S00415-020-09772-W/FIGURES/1&quot;,&quot;ISSN&quot;:&quot;14321459&quot;,&quot;PMID&quot;:&quot;32193596&quot;,&quot;URL&quot;:&quot;https://link.springer.com/article/10.1007/s00415-020-09772-w&quot;,&quot;issued&quot;:{&quot;date-parts&quot;:[[2020,7,1]]},&quot;page&quot;:&quot;2164-2172&quot;,&quot;abstract&quot;:&quot;Functional neurological disorder (FND) is a common cause of persistent and disabling neurological symptoms. These symptoms are varied and include abnormal control of movement, episodes of altered awareness resembling epileptic seizures and abnormal sensation and are often comorbid with chronic pain, fatigue and cognitive symptoms. There is increasing evidence for the role of neurologists in both the assessment and management of FND. The aim of this review is to discuss strategies for the management of FND by focusing on the diagnostic discussion and general principles, as well as specific treatment strategies for various FND symptoms, highlighting the role of the neurologist and proposing a structure for an interdisciplinary FND service.&quot;,&quot;publisher&quot;:&quot;Springer&quot;,&quot;issue&quot;:&quot;7&quot;,&quot;volume&quot;:&quot;267&quot;},&quot;isTemporary&quot;:false}],&quot;citationTag&quot;:&quot;MENDELEY_CITATION_v3_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&quot;},{&quot;citationID&quot;:&quot;MENDELEY_CITATION_f45350bd-9e00-4a03-9399-bdb0e7cde334&quot;,&quot;properties&quot;:{&quot;noteIndex&quot;:0},&quot;isEdited&quot;:false,&quot;manualOverride&quot;:{&quot;isManuallyOverridden&quot;:false,&quot;citeprocText&quot;:&quot;(Hinson et al., 2005)&quot;,&quot;manualOverrideText&quot;:&quot;&quot;},&quot;citationItems&quot;:[{&quot;id&quot;:&quot;5cd9d775-171f-3df4-8def-da35eef3cefe&quot;,&quot;itemData&quot;:{&quot;type&quot;:&quot;article-journal&quot;,&quot;id&quot;:&quot;5cd9d775-171f-3df4-8def-da35eef3cefe&quot;,&quot;title&quot;:&quot;Rating scale for psychogenic movement disorders: Scale development and clinimetric testing&quot;,&quot;author&quot;:[{&quot;family&quot;:&quot;Hinson&quot;,&quot;given&quot;:&quot;Vanessa K&quot;,&quot;parse-names&quot;:false,&quot;dropping-particle&quot;:&quot;&quot;,&quot;non-dropping-particle&quot;:&quot;&quot;},{&quot;family&quot;:&quot;Cubo&quot;,&quot;given&quot;:&quot;Esther&quot;,&quot;parse-names&quot;:false,&quot;dropping-particle&quot;:&quot;&quot;,&quot;non-dropping-particle&quot;:&quot;&quot;},{&quot;family&quot;:&quot;Comella&quot;,&quot;given&quot;:&quot;Cynthia L&quot;,&quot;parse-names&quot;:false,&quot;dropping-particle&quot;:&quot;&quot;,&quot;non-dropping-particle&quot;:&quot;&quot;},{&quot;family&quot;:&quot;Goetz&quot;,&quot;given&quot;:&quot;Christopher G&quot;,&quot;parse-names&quot;:false,&quot;dropping-particle&quot;:&quot;&quot;,&quot;non-dropping-particle&quot;:&quot;&quot;},{&quot;family&quot;:&quot;Leurgans&quot;,&quot;given&quot;:&quot;Sue&quot;,&quot;parse-names&quot;:false,&quot;dropping-particle&quot;:&quot;&quot;,&quot;non-dropping-particle&quot;:&quot;&quot;}],&quot;container-title&quot;:&quot;Movement Disorders&quot;,&quot;DOI&quot;:&quot;10.1002/mds.20650&quot;,&quot;ISSN&quot;:&quot;0885-3185&quot;,&quot;URL&quot;:&quot;https://onlinelibrary.wiley.com/doi/abs/10.1002/mds.20650&quot;,&quot;issued&quot;:{&quot;date-parts&quot;:[[2005]]},&quot;page&quot;:&quot;1592-1597&quot;,&quot;abstract&quot;:&quot;Abstract We developed and tested the clinimetric properties of a scale for psychogenic movement disorders (PMDs). PMDs are disabling but lack any generally accepted treatment strategies. To develop treatments, means of assessing disease severity must be provided. No scale to assess PMDs existed. The PMD scale developed here rates 10 phenomena (rest tremor, action tremor, dystonia, chorea, bradykinesia, myoclonus, tics, athetosis, ballism, cerebellar incoordination), 2 functions (gait, speech), and 14 body regions. To study interrater agreement, three movement disorder neurologists independently rated 88 videotapes of PMD patients. Data analysis was performed using a kappa coefficient of agreement, Kendall's coefficient of concordance, Spearman correlations, and intraclass correlation coefficients. Validity and scale responsiveness were tested as well. All phenomena and speech and gait dysfunction occurred in the patient sample. A wide range of affected body regions, severity, and incapacitation was captured. Ratings showed excellent interrater reliability for presence or absence of each phenomenon (κ range, 0.63 to 0.86). Kendall's concordance coefficients for phenomenology, function, and total PMD scores were 0.92, 0.93, and 0.91. Spearman correlations between raters ranged from 0.86 to 0.90. The scale was responsive to changes that occurred as a result of a neuropsychiatric intervention. The PMD scale adequately captures the complex movements of PMDs and can be used to assess PMDs and test the efficacy of intervention strategies. © 2005 Movement Disorder Society&quot;,&quot;issue&quot;:&quot;12&quot;,&quot;volume&quot;:&quot;20&quot;,&quot;container-title-short&quot;:&quot;&quot;},&quot;isTemporary&quot;:false}],&quot;citationTag&quot;:&quot;MENDELEY_CITATION_v3_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&quot;},{&quot;citationID&quot;:&quot;MENDELEY_CITATION_0bb9f07a-76bf-47eb-9588-c4e3d195a270&quot;,&quot;properties&quot;:{&quot;noteIndex&quot;:0},&quot;isEdited&quot;:false,&quot;manualOverride&quot;:{&quot;isManuallyOverridden&quot;:false,&quot;citeprocText&quot;:&quot;(Nielsen et al., 2017)&quot;,&quot;manualOverrideText&quot;:&quot;&quot;},&quot;citationItems&quot;:[{&quot;id&quot;:&quot;e172b895-b803-35a5-8958-17e46842f83d&quot;,&quot;itemData&quot;:{&quot;type&quot;:&quot;article-journal&quot;,&quot;id&quot;:&quot;e172b895-b803-35a5-8958-17e46842f83d&quot;,&quot;title&quot;:&quot;A Simplified Version of the Psychogenic Movement Disorders Rating Scale: The Simplified Functional Movement Disorders Rating Scale (S-FMDRS)&quot;,&quot;author&quot;:[{&quot;family&quot;:&quot;Nielsen&quot;,&quot;given&quot;:&quot;Glenn&quot;,&quot;parse-names&quot;:false,&quot;dropping-particle&quot;:&quot;&quot;,&quot;non-dropping-particle&quot;:&quot;&quot;},{&quot;family&quot;:&quot;Ricciardi&quot;,&quot;given&quot;:&quot;Luciana&quot;,&quot;parse-names&quot;:false,&quot;dropping-particle&quot;:&quot;&quot;,&quot;non-dropping-particle&quot;:&quot;&quot;},{&quot;family&quot;:&quot;Meppelink&quot;,&quot;given&quot;:&quot;Anne Marthe&quot;,&quot;parse-names&quot;:false,&quot;dropping-particle&quot;:&quot;&quot;,&quot;non-dropping-particle&quot;:&quot;&quot;},{&quot;family&quot;:&quot;Holt&quot;,&quot;given&quot;:&quot;Kate&quot;,&quot;parse-names&quot;:false,&quot;dropping-particle&quot;:&quot;&quot;,&quot;non-dropping-particle&quot;:&quot;&quot;},{&quot;family&quot;:&quot;Teodoro&quot;,&quot;given&quot;:&quot;Tiago&quot;,&quot;parse-names&quot;:false,&quot;dropping-particle&quot;:&quot;&quot;,&quot;non-dropping-particle&quot;:&quot;&quot;},{&quot;family&quot;:&quot;Edwards&quot;,&quot;given&quot;:&quot;Mark&quot;,&quot;parse-names&quot;:false,&quot;dropping-particle&quot;:&quot;&quot;,&quot;non-dropping-particle&quot;:&quot;&quot;}],&quot;container-title&quot;:&quot;Movement Disorders Clinical Practice&quot;,&quot;container-title-short&quot;:&quot;Mov Disord Clin Pract&quot;,&quot;DOI&quot;:&quot;10.1002/mdc3.12475&quot;,&quot;ISSN&quot;:&quot;2330-1619&quot;,&quot;URL&quot;:&quot;https://onlinelibrary.wiley.com/doi/abs/10.1002/mdc3.12475&quot;,&quot;issued&quot;:{&quot;date-parts&quot;:[[2017]]},&quot;page&quot;:&quot;710-716&quot;,&quot;abstract&quot;:&quot;Abstract Background The Psychogenic Movement Disorders Rating Scale (PMDRS) has potential as a useful objective assessment in clinical research, but the current scale has limitations. We developed a simplified version (S-FMDRS) and assessed inter-rater reliability, concurrent validity, and sensitivity. Methods Fifty-two videos of subjects with functional (psychogenic) movement disorders (FMD) were rated according to the PMDRS and S-FMDRS by three neurologists. Inter-rater reliability was assessed using intraclass correlation coefficient (ICC). Agreement of symptomatic body regions and movement disorder classification was assessed using Light's kappa. Spearman's correlation coefficient was used to assess concurrent validity. A physiotherapist also rated videos on the S-FMDRS. The simplified scale was piloted in a feasibility study of physiotherapy for FMD to assess sensitivity. Results ICC of total scores was 0.84 for the original scale and 0.85 for the simplified scale. Light's kappa for agreement of symptomatic body regions and movement disorder classification was moderate to low. Concurrent validity was demonstrated by Spearman's correlation between the two scales ranging from 0.84 to 0.95. The simplified scale was sensitive to change, with an effect size in the feasibility study of 0.79. Inter-rater reliability between physiotherapist and neurologist was high (ICC 0.85). Discussion Both versions of the scale had good inter-rater reliability for the total score. Low agreement on movement disorder classification and identification of symptomatic body regions support our argument for a simplified scale. Conclusions The S-FMDRS has high inter-rater reliability and good sensitivity to change. Further psychometric evaluation is warranted.&quot;,&quot;issue&quot;:&quot;5&quot;,&quot;volume&quot;:&quot;4&quot;},&quot;isTemporary&quot;:false}],&quot;citationTag&quot;:&quot;MENDELEY_CITATION_v3_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&quot;},{&quot;citationID&quot;:&quot;MENDELEY_CITATION_ca5c50eb-93b9-4bfa-ac9c-4e84802199d2&quot;,&quot;properties&quot;:{&quot;noteIndex&quot;:0},&quot;isEdited&quot;:false,&quot;manualOverride&quot;:{&quot;isManuallyOverridden&quot;:false,&quot;citeprocText&quot;:&quot;(Espay, Maloney, et al., 2018; Ijaz et al., 2017; Sarfraz &amp;#38; Ijaz, 2014)&quot;,&quot;manualOverrideText&quot;:&quot;&quot;},&quot;citationItems&quot;:[{&quot;id&quot;:&quot;7affd50b-4a93-3f07-b167-fadeec08810d&quot;,&quot;itemData&quot;:{&quot;type&quot;:&quot;article-journal&quot;,&quot;id&quot;:&quot;7affd50b-4a93-3f07-b167-fadeec08810d&quot;,&quot;title&quot;:&quot;Dysfunction in emotion processing underlies functional (psychogenic) dystonia&quot;,&quot;author&quot;:[{&quot;family&quot;:&quot;Espay&quot;,&quot;given&quot;:&quot;Alberto J.&quot;,&quot;parse-names&quot;:false,&quot;dropping-particle&quot;:&quot;&quot;,&quot;non-dropping-particle&quot;:&quot;&quot;},{&quot;family&quot;:&quot;Maloney&quot;,&quot;given&quot;:&quot;Thomas&quot;,&quot;parse-names&quot;:false,&quot;dropping-particle&quot;:&quot;&quot;,&quot;non-dropping-particle&quot;:&quot;&quot;},{&quot;family&quot;:&quot;Vannest&quot;,&quot;given&quot;:&quot;Jennifer&quot;,&quot;parse-names&quot;:false,&quot;dropping-particle&quot;:&quot;&quot;,&quot;non-dropping-particle&quot;:&quot;&quot;},{&quot;family&quot;:&quot;Norris&quot;,&quot;given&quot;:&quot;Matthew M.&quot;,&quot;parse-names&quot;:false,&quot;dropping-particle&quot;:&quot;&quot;,&quot;non-dropping-particle&quot;:&quot;&quot;},{&quot;family&quot;:&quot;Eliassen&quot;,&quot;given&quot;:&quot;James C.&quot;,&quot;parse-names&quot;:false,&quot;dropping-particle&quot;:&quot;&quot;,&quot;non-dropping-particle&quot;:&quot;&quot;},{&quot;family&quot;:&quot;Neefus&quot;,&quot;given&quot;:&quot;Erin&quot;,&quot;parse-names&quot;:false,&quot;dropping-particle&quot;:&quot;&quot;,&quot;non-dropping-particle&quot;:&quot;&quot;},{&quot;family&quot;:&quot;Allendorfer&quot;,&quot;given&quot;:&quot;Jane B.&quot;,&quot;parse-names&quot;:false,&quot;dropping-particle&quot;:&quot;&quot;,&quot;non-dropping-particle&quot;:&quot;&quot;},{&quot;family&quot;:&quot;Chen&quot;,&quot;given&quot;:&quot;Robert&quot;,&quot;parse-names&quot;:false,&quot;dropping-particle&quot;:&quot;&quot;,&quot;non-dropping-particle&quot;:&quot;&quot;},{&quot;family&quot;:&quot;Szaflarski&quot;,&quot;given&quot;:&quot;Jerzy P.&quot;,&quot;parse-names&quot;:false,&quot;dropping-particle&quot;:&quot;&quot;,&quot;non-dropping-particle&quot;:&quot;&quot;}],&quot;container-title&quot;:&quot;Movement disorders : official journal of the Movement Disorder Society&quot;,&quot;container-title-short&quot;:&quot;Mov Disord&quot;,&quot;accessed&quot;:{&quot;date-parts&quot;:[[2023,4,29]]},&quot;DOI&quot;:&quot;10.1002/MDS.27217&quot;,&quot;ISSN&quot;:&quot;15318257&quot;,&quot;PMID&quot;:&quot;29124784&quot;,&quot;URL&quot;:&quot;/pmc/articles/PMC5767134/&quot;,&quot;issued&quot;:{&quot;date-parts&quot;:[[2018,1,1]]},&quot;page&quot;:&quot;136&quot;,&quot;abstract&quot;:&quot;Objective: We sought to determine whether abnormalities in emotion processing underlie functional (psychogenic) dystonia, one of the most common functional movement disorders. Methods: Motor and emotion circuits were examined in 12 participants with functional dystonia, 12 with primary organic dystonia, and 25 healthy controls using functional magnetic resonance imaging at 4T and a finger-tapping task (motor task), a basic emotion-recognition task (emotional faces task), and an intense-emotion stimuli task. Results: There were no differences in motor task activation between groups. In the faces task, when compared with the other groups, functional dystonia patients showed areas of decreased activation in the right middle temporal gyrus and bilateral precuneus and increased activation in the right inferior frontal gyrus, bilateral occipital cortex and fusiform gyrus, and bilateral cerebellum. In the intense-emotion task, when compared with the other groups, functional dystonia patients showed decreased activation in the left insular and left motor cortices (compared to organic dystonia, they showed an additional decrease in activation in the right opercular cortex and right motor cortex) and increased activation in the left fusiform gyrus. Conclusions: Functional dystonia patients exhibited stimulus-dependent altered activation in networks involved in motor preparation and execution, spatial cognition, and attentional control. These results support the presence of network dysfunction in functional dystonia. © 2017 International Parkinson and Movement Disorder Society.&quot;,&quot;publisher&quot;:&quot;NIH Public Access&quot;,&quot;issue&quot;:&quot;1&quot;,&quot;volume&quot;:&quot;33&quot;},&quot;isTemporary&quot;:false},{&quot;id&quot;:&quot;5911e1ee-ada4-325e-ad63-f5b5be105676&quot;,&quot;itemData&quot;:{&quot;type&quot;:&quot;article-journal&quot;,&quot;id&quot;:&quot;5911e1ee-ada4-325e-ad63-f5b5be105676&quot;,&quot;title&quot;:&quot;Psychometric properties of Conversion Disorder Scale- Revised (CDS) for children&quot;,&quot;author&quot;:[{&quot;family&quot;:&quot;Ijaz&quot;,&quot;given&quot;:&quot;T&quot;,&quot;parse-names&quot;:false,&quot;dropping-particle&quot;:&quot;&quot;,&quot;non-dropping-particle&quot;:&quot;&quot;},{&quot;family&quot;:&quot;Nasir&quot;,&quot;given&quot;:&quot;A&quot;,&quot;parse-names&quot;:false,&quot;dropping-particle&quot;:&quot;&quot;,&quot;non-dropping-particle&quot;:&quot;&quot;},{&quot;family&quot;:&quot;Sarfraz&quot;,&quot;given&quot;:&quot;N&quot;,&quot;parse-names&quot;:false,&quot;dropping-particle&quot;:&quot;&quot;,&quot;non-dropping-particle&quot;:&quot;&quot;},{&quot;family&quot;:&quot;Ijaz&quot;,&quot;given&quot;:&quot;S&quot;,&quot;parse-names&quot;:false,&quot;dropping-particle&quot;:&quot;&quot;,&quot;non-dropping-particle&quot;:&quot;&quot;}],&quot;container-title&quot;:&quot;J Pak Med Assoc&quot;,&quot;ISSN&quot;:&quot;0030-9982 (Print)\r0030-9982&quot;,&quot;PMID&quot;:&quot;28507360&quot;,&quot;issued&quot;:{&quot;date-parts&quot;:[[2017]]},&quot;page&quot;:&quot;725-730&quot;,&quot;language&quot;:&quot;eng&quot;,&quot;abstract&quot;:&quot;OBJECTIVE: To revise conversion disorder scale and to establish the psychometric properties of the revised scale. METHODS: This case-control study was conducted from February to June, 2014, at the Government College University, Lahore, Pakistan, and comprised schoolchildren and children with conversion disorder. In order to generate items for revised version of conversion disorder scale, seven practising mental health professionals were consulted. A list of 42 items was finalised for expert ratings. After empirical validation, a scale of 40 items was administered on the participants and factor analysis was conducted. RESULTS: Of the240 participants, 120(50%) were schoolchildren (controls group) and 120(50%)were children with conversion disorder (clinical group).The results of factor analysis revealed five factors (swallowing and speech symptoms, motor symptoms, sensory symptoms, weakness and fatigue, and mixed symptoms) and retention of all 40 items of revised version of conversion disorder scale. Concurrent validity of the revised scale was found to be 0.81 which was significantly high. Similarly, discriminant validity of the scale was also high as both clinical and control groups had significant difference (p&lt;0.001) in scores. Cronbach's alpha of scale was a=0.91 while item total correlation ranged from 0.50 to 0.80. The sensitivity and specificity analysis indicated that the revised conversion disorder scale was 76% sensitive to predicting conversion disorder while specificity showed that the scale was 73% accurate in specifying participants of the control group. CONCLUSIONS: The revised version of conversion disorder scale was a reliable and valid tool to be used for screening of children with conversion disorder.&quot;,&quot;edition&quot;:&quot;2017/05/17&quot;,&quot;issue&quot;:&quot;5&quot;,&quot;volume&quot;:&quot;67&quot;,&quot;container-title-short&quot;:&quot;&quot;},&quot;isTemporary&quot;:false},{&quot;id&quot;:&quot;6c36422e-ea61-3a00-afb3-372e4fe4ecd5&quot;,&quot;itemData&quot;:{&quot;type&quot;:&quot;article-journal&quot;,&quot;id&quot;:&quot;6c36422e-ea61-3a00-afb3-372e4fe4ecd5&quot;,&quot;title&quot;:&quot;Development of conversion disorder scale for children&quot;,&quot;author&quot;:[{&quot;family&quot;:&quot;Sarfraz&quot;,&quot;given&quot;:&quot;N&quot;,&quot;parse-names&quot;:false,&quot;dropping-particle&quot;:&quot;&quot;,&quot;non-dropping-particle&quot;:&quot;&quot;},{&quot;family&quot;:&quot;Ijaz&quot;,&quot;given&quot;:&quot;T&quot;,&quot;parse-names&quot;:false,&quot;dropping-particle&quot;:&quot;&quot;,&quot;non-dropping-particle&quot;:&quot;&quot;}],&quot;container-title&quot;:&quot;Journal of Behavioural Sciences&quot;,&quot;chapter-number&quot;:&quot;44&quot;,&quot;issued&quot;:{&quot;date-parts&quot;:[[2014]]},&quot;page&quot;:&quot;12&quot;,&quot;volume&quot;:&quot;24&quot;,&quot;container-title-short&quot;:&quot;&quot;},&quot;isTemporary&quot;:false}],&quot;citationTag&quot;:&quot;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&quot;},{&quot;citationID&quot;:&quot;MENDELEY_CITATION_d9088d70-2862-4ada-afdc-1a6635fc2dd9&quot;,&quot;properties&quot;:{&quot;noteIndex&quot;:0},&quot;isEdited&quot;:false,&quot;manualOverride&quot;:{&quot;isManuallyOverridden&quot;:false,&quot;citeprocText&quot;:&quot;(Baizabal-Carvallo et al., 2019; Nicholson et al., 2020)&quot;,&quot;manualOverrideText&quot;:&quot;&quot;},&quot;citationItems&quot;:[{&quot;id&quot;:&quot;2766f6c3-7816-3a07-a116-c4040e6043db&quot;,&quot;itemData&quot;:{&quot;type&quot;:&quot;article-journal&quot;,&quot;id&quot;:&quot;2766f6c3-7816-3a07-a116-c4040e6043db&quot;,&quot;title&quot;:&quot;Pathogenesis and pathophysiology of functional (psychogenic) movement disorders&quot;,&quot;author&quot;:[{&quot;family&quot;:&quot;Baizabal-Carvallo&quot;,&quot;given&quot;:&quot;J F&quot;,&quot;parse-names&quot;:false,&quot;dropping-particle&quot;:&quot;&quot;,&quot;non-dropping-particle&quot;:&quot;&quot;},{&quot;family&quot;:&quot;Hallett&quot;,&quot;given&quot;:&quot;M&quot;,&quot;parse-names&quot;:false,&quot;dropping-particle&quot;:&quot;&quot;,&quot;non-dropping-particle&quot;:&quot;&quot;},{&quot;family&quot;:&quot;Jankovic&quot;,&quot;given&quot;:&quot;J&quot;,&quot;parse-names&quot;:false,&quot;dropping-particle&quot;:&quot;&quot;,&quot;non-dropping-particle&quot;:&quot;&quot;}],&quot;container-title&quot;:&quot;Neurobiol Dis&quot;,&quot;DOI&quot;:&quot;10.1016/j.nbd.2019.02.013&quot;,&quot;ISSN&quot;:&quot;0969-9961&quot;,&quot;PMID&quot;:&quot;30798005&quot;,&quot;issued&quot;:{&quot;date-parts&quot;:[[2019]]},&quot;page&quot;:&quot;32-44&quot;,&quot;language&quot;:&quot;eng&quot;,&quot;abstract&quot;:&quot;Functional movement disorders (FMDs), known over time as \&quot;hysteria\&quot;, \&quot;dissociative\&quot;, \&quot;conversion\&quot;, \&quot;somatoform\&quot;, \&quot;non-organic\&quot; and \&quot;psychogenic\&quot; disorders, are characterized by having a voluntary quality, being modifiable by attention and distraction but perceived by the patient as involuntary. Although a high prevalence of depression and anxiety is observed in these patients, a definitive role of psychiatric disorders in FMDs has not been proven, and many patients do not endorse such manifestations. Stressful events, social influences and minor trauma may precede the onset of FMDs, but their pathogenic mechanisms are unclear. Patients with FMDs have several abnormalities in their neurobiology including strengthened connectivity between the limbic and motor networks. Additionally, there is altered top-down regulation of motor activities and increased activation of areas implicated in self-awareness, self-monitoring, and active motor inhibition such as the cingulate and insular cortex. Decreased activation of the supplementary motor area (SMA) and pre-SMA, implicated in motor control and preparation, is another finding. The sense of agency defined as the feeling of controlling external events through one's own action also seems to be impaired in individuals with FMDs. Correlating with this is a loss of intentional binding, a subjective time compression between intentional action and its sensory consequences. Organic and functional dystonia may be difficult to differentiate since they share diverse neurophysiological features including decreased cortical inhibition, and similar local field potentials in the globus pallidus and thalamus; although increased cortical plasticity is observed only in patients with organic dystonia. Advances in the pathogenesis and pathophysiology of FMDs may be helpful to understand the nature of these disorders and plan further treatment strategies.&quot;,&quot;edition&quot;:&quot;2019/02/25&quot;,&quot;volume&quot;:&quot;127&quot;,&quot;container-title-short&quot;:&quot;&quot;},&quot;isTemporary&quot;:false},{&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citationTag&quot;:&quot;MENDELEY_CITATION_v3_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quot;},{&quot;citationID&quot;:&quot;MENDELEY_CITATION_a49b1320-a80a-465e-ab84-74b820bd7560&quot;,&quot;properties&quot;:{&quot;noteIndex&quot;:0},&quot;isEdited&quot;:false,&quot;manualOverride&quot;:{&quot;isManuallyOverridden&quot;:false,&quot;citeprocText&quot;:&quot;(Busner &amp;#38; Targum, 2007)&quot;,&quot;manualOverrideText&quot;:&quot;&quot;},&quot;citationItems&quot;:[{&quot;id&quot;:&quot;b2730413-cf59-3761-9763-924ed539717c&quot;,&quot;itemData&quot;:{&quot;type&quot;:&quot;article-journal&quot;,&quot;id&quot;:&quot;b2730413-cf59-3761-9763-924ed539717c&quot;,&quot;title&quot;:&quot;The Clinical Global Impressions Scale: Applying a Research Tool in Clinical Practice&quot;,&quot;author&quot;:[{&quot;family&quot;:&quot;Busner&quot;,&quot;given&quot;:&quot;Joan&quot;,&quot;parse-names&quot;:false,&quot;dropping-particle&quot;:&quot;&quot;,&quot;non-dropping-particle&quot;:&quot;&quot;},{&quot;family&quot;:&quot;Targum&quot;,&quot;given&quot;:&quot;Steven D.&quot;,&quot;parse-names&quot;:false,&quot;dropping-particle&quot;:&quot;&quot;,&quot;non-dropping-particle&quot;:&quot;&quot;}],&quot;container-title&quot;:&quot;Psychiatry (Edgmont)&quot;,&quot;accessed&quot;:{&quot;date-parts&quot;:[[2023,6,10]]},&quot;ISSN&quot;:&quot;1555-5194&quot;,&quot;PMID&quot;:&quot;20526405&quot;,&quot;URL&quot;:&quot;/pmc/articles/PMC2880930/&quot;,&quot;issued&quot;:{&quot;date-parts&quot;:[[2007,7]]},&quot;page&quot;:&quot;28&quot;,&quot;abstract&quot;:&quot;OBJECTIVE This paper reviews the potential value in daily clinical practice of an easily applied research tool, the Clinical Global Impressions (CGI) Scale, for the nonresearcher clinician to quantify and track patient progress and treatment response over time. METHOD The instrument is described and sample patient scenarios are provided with scoring rationales and a practical charting system. CONCLUSION The CGI severity and improvement scales offer a readily understood, practical measurement tool that can easily be administered by a clinician in a busy clinical practice setting.&quot;,&quot;publisher&quot;:&quot;Matrix Medical Communications&quot;,&quot;issue&quot;:&quot;7&quot;,&quot;volume&quot;:&quot;4&quot;,&quot;container-title-short&quot;:&quot;&quot;},&quot;isTemporary&quot;:false}],&quot;citationTag&quot;:&quot;MENDELEY_CITATION_v3_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&quot;},{&quot;citationID&quot;:&quot;MENDELEY_CITATION_1cfb4f19-022e-4705-ac10-cfc175615d96&quot;,&quot;properties&quot;:{&quot;noteIndex&quot;:0},&quot;isEdited&quot;:false,&quot;manualOverride&quot;:{&quot;isManuallyOverridden&quot;:false,&quot;citeprocText&quot;:&quot;(Nicholson et al., 2020)&quot;,&quot;manualOverrideText&quot;:&quot;&quot;},&quot;citationItems&quot;:[{&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citationTag&quot;:&quot;MENDELEY_CITATION_v3_eyJjaXRhdGlvbklEIjoiTUVOREVMRVlfQ0lUQVRJT05fMWNmYjRmMTktMDIyZS00NzA1LWFjMTAtY2ZjMTc1NjE1ZDk2IiwicHJvcGVydGllcyI6eyJub3RlSW5kZXgiOjB9LCJpc0VkaXRlZCI6ZmFsc2UsIm1hbnVhbE92ZXJyaWRlIjp7ImlzTWFudWFsbHlPdmVycmlkZGVuIjpmYWxzZSwiY2l0ZXByb2NUZXh0IjoiKE5pY2hvbHNvbi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quot;},{&quot;citationID&quot;:&quot;MENDELEY_CITATION_c58193b9-a280-4e8c-ae4e-25c69f05c781&quot;,&quot;properties&quot;:{&quot;noteIndex&quot;:0},&quot;isEdited&quot;:false,&quot;manualOverride&quot;:{&quot;isManuallyOverridden&quot;:false,&quot;citeprocText&quot;:&quot;(Gelauff et al., 2014)&quot;,&quot;manualOverrideText&quot;:&quot;&quot;},&quot;citationItems&quot;:[{&quot;id&quot;:&quot;171e35cf-2d20-3410-ac0b-acdccade4d42&quot;,&quot;itemData&quot;:{&quot;type&quot;:&quot;article-journal&quot;,&quot;id&quot;:&quot;171e35cf-2d20-3410-ac0b-acdccade4d42&quot;,&quot;title&quot;:&quot;The prognosis of functional (psychogenic) motor symptoms: a systematic review&quot;,&quot;author&quot;:[{&quot;family&quot;:&quot;Gelauff&quot;,&quot;given&quot;:&quot;Jeannette&quot;,&quot;parse-names&quot;:false,&quot;dropping-particle&quot;:&quot;&quot;,&quot;non-dropping-particle&quot;:&quot;&quot;},{&quot;family&quot;:&quot;Stone&quot;,&quot;given&quot;:&quot;Jon&quot;,&quot;parse-names&quot;:false,&quot;dropping-particle&quot;:&quot;&quot;,&quot;non-dropping-particle&quot;:&quot;&quot;},{&quot;family&quot;:&quot;Edwards&quot;,&quot;given&quot;:&quot;Mark&quot;,&quot;parse-names&quot;:false,&quot;dropping-particle&quot;:&quot;&quot;,&quot;non-dropping-particle&quot;:&quot;&quot;},{&quot;family&quot;:&quot;Carson&quot;,&quot;given&quot;:&quot;Alan&quot;,&quot;parse-names&quot;:false,&quot;dropping-particle&quot;:&quot;&quot;,&quot;non-dropping-particle&quot;:&quot;&quot;}],&quot;container-title&quot;:&quot;Journal of neurology, neurosurgery, and psychiatry&quot;,&quot;container-title-short&quot;:&quot;J Neurol Neurosurg Psychiatry&quot;,&quot;accessed&quot;:{&quot;date-parts&quot;:[[2023,5,7]]},&quot;DOI&quot;:&quot;10.1136/JNNP-2013-305321&quot;,&quot;ISSN&quot;:&quot;1468-330X&quot;,&quot;PMID&quot;:&quot;24029543&quot;,&quot;URL&quot;:&quot;https://pubmed.ncbi.nlm.nih.gov/24029543/&quot;,&quot;issued&quot;:{&quot;date-parts&quot;:[[2014]]},&quot;page&quot;:&quot;220-226&quot;,&quot;abstract&quot;:&quot;Background The prognosis of functional (or psychogenic) motor symptoms (weakness and movement disorder) has not been systematically reviewed. Methods We systematically reviewed PubMed for all studies of eight or more patients with functional motor symptoms reporting follow-up data longer than 6 months (excluding studies reporting specific treatments). We recorded symptom duration, physical and psychiatric comorbidity, disability, occupational functioning at follow-up and prognostic factors. Results 24 studies were included. There was heterogeneity regarding study size (number of patients (n)=10 491), follow-up duration clinical setting and data availability. Most studies (n=15) were retrospective. Reported symptom outcome was highly variable. Mean weighted follow-up duration was 7.4 years (in 13 studies where data was extractable). The mean percentage of patients same or worse at follow-up for all studies was 39%, range 10% to 90%, n=1134. Levels of physical disability and psychological comorbidity at follow-up were high. Short duration of symptoms, early diagnosis and high satisfaction with care predicted positive outcome in two studies. Gender had no effect. Delayed diagnosis and personality disorder were negatively correlated with outcome. Prognostic factors that varied between studies included age, comorbid anxiety and depression, IQ, educational status, marital status and pending litigation. Conclusions Existing follow-up studies of functional motor symptoms give us some insights regarding outcome and prognostic factors but are limited by their largely retrospective and selective nature. Overall, prognosis appears unfavourable. The severity and chronicity of functional motor symptoms argues for larger prospective studies including multiple prognostic factors at baseline in order to better understand their natural history.&quot;,&quot;publisher&quot;:&quot;J Neurol Neurosurg Psychiatry&quot;,&quot;issue&quot;:&quot;2&quot;,&quot;volume&quot;:&quot;85&quot;},&quot;isTemporary&quot;:false}],&quot;citationTag&quot;:&quot;MENDELEY_CITATION_v3_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&quot;},{&quot;citationID&quot;:&quot;MENDELEY_CITATION_d62f4583-b1b8-4880-ba2d-abfb9437e908&quot;,&quot;properties&quot;:{&quot;noteIndex&quot;:0},&quot;isEdited&quot;:false,&quot;manualOverride&quot;:{&quot;isManuallyOverridden&quot;:true,&quot;citeprocText&quot;:&quot;(Allendorfer et al., 2019; Kotwas et al., 2019; Latreille et al., 2019; Novakova et al., 2017; Pareés et al., 2012; Pick et al., 2018; Pouretemad et al., 1998)&quot;,&quot;manualOverrideText&quot;:&quot;(Allendorfer et al., 2019; Kotwas et al., 2019; Latreille et al., 2019; Novakova et al., 2017; Pareés et al., 2012; Pick et al., 2018a; Pouretemad et al., 1998)&quot;},&quot;citationItems&quot;:[{&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id&quot;:&quot;281a6a8d-6d51-3726-9d25-5158d10cefa7&quot;,&quot;itemData&quot;:{&quot;type&quot;:&quot;article-journal&quot;,&quot;id&quot;:&quot;281a6a8d-6d51-3726-9d25-5158d10cefa7&quot;,&quot;title&quot;:&quot;Subjective and physiological response to emotions in temporal lobe epilepsy and psychogenic non-epileptic seizures&quot;,&quot;author&quot;:[{&quot;family&quot;:&quot;Kotwas&quot;,&quot;given&quot;:&quot;I&quot;,&quot;parse-names&quot;:false,&quot;dropping-particle&quot;:&quot;&quot;,&quot;non-dropping-particle&quot;:&quot;&quot;},{&quot;family&quot;:&quot;Micoulaud-Franchi&quot;,&quot;given&quot;:&quot;J A&quot;,&quot;parse-names&quot;:false,&quot;dropping-particle&quot;:&quot;&quot;,&quot;non-dropping-particle&quot;:&quot;&quot;},{&quot;family&quot;:&quot;Khalfa&quot;,&quot;given&quot;:&quot;S&quot;,&quot;parse-names&quot;:false,&quot;dropping-particle&quot;:&quot;&quot;,&quot;non-dropping-particle&quot;:&quot;&quot;},{&quot;family&quot;:&quot;McGonigal&quot;,&quot;given&quot;:&quot;A&quot;,&quot;parse-names&quot;:false,&quot;dropping-particle&quot;:&quot;&quot;,&quot;non-dropping-particle&quot;:&quot;&quot;},{&quot;family&quot;:&quot;Bastien-Toniazzo&quot;,&quot;given&quot;:&quot;M&quot;,&quot;parse-names&quot;:false,&quot;dropping-particle&quot;:&quot;&quot;,&quot;non-dropping-particle&quot;:&quot;&quot;},{&quot;family&quot;:&quot;Bartolomei&quot;,&quot;given&quot;:&quot;F&quot;,&quot;parse-names&quot;:false,&quot;dropping-particle&quot;:&quot;&quot;,&quot;non-dropping-particle&quot;:&quot;&quot;}],&quot;container-title&quot;:&quot;J Affect Disord&quot;,&quot;DOI&quot;:&quot;10.1016/j.jad.2018.10.004&quot;,&quot;ISSN&quot;:&quot;0165-0327&quot;,&quot;PMID&quot;:&quot;30312840&quot;,&quot;issued&quot;:{&quot;date-parts&quot;:[[2019]]},&quot;page&quot;:&quot;46-53&quot;,&quot;language&quot;:&quot;eng&quot;,&quot;abstract&quot;:&quot;BACKGROUND: Temporal lobe epilepsy (TLE) and psychogenic non-epileptic seizures (PNES) are conditions frequently associated with dysfunction in emotional regulation leading to increased risk of affective disorders. This study investigates emotional processing with an objective measure of emotional reactivity in patients with TLE and patients with PNES. METHODS: 34 patients with TLE and 14 patients with PNES were evaluated on skin conductance responses (SCR) to emotions induced by short films and compared to 34 healthy controls. An attention and a suppression condition were performed while viewing the films. RESULTS: The both groups of patients disclosed lower SCR to emotions compared to controls, mainly in suppression condition. While TLE patients had lower SCR in attention condition than controls for fear, sadness and happiness, PNES had lower SCR only for happiness. In suppression condition, both had lower SCR than controls except for peacefulness in both groups and sadness in PNES. Subjective evaluations revealed that both patient's groups scored a higher intensity for sadness than controls in attention and lower for in fear and disgust in suppression only in TLE. LIMITATIONS: The sample size in the PNES group and the lack of a control group with similar levels of mood symptoms limited the interpretation of our results. CONCLUSION: As no correlation were found between SCR to emotions and scores of affective disorders, this pattern of responses might be underpinned by specific pathophysiological and cognitive mechanisms related to TLE and to PNES. Thus, therapeutic approaches targeting emotional autonomic responses can be of interest in the management of these conditions.&quot;,&quot;edition&quot;:&quot;2018/10/13&quot;,&quot;volume&quot;:&quot;244&quot;,&quot;container-title-short&quot;:&quot;&quot;},&quot;isTemporary&quot;:false},{&quot;id&quot;:&quot;64c59d17-f316-3777-8899-d7f2d2a493a0&quot;,&quot;itemData&quot;:{&quot;type&quot;:&quot;article-journal&quot;,&quot;id&quot;:&quot;64c59d17-f316-3777-8899-d7f2d2a493a0&quot;,&quot;title&quot;:&quot;Sleep disturbances in patients with psychogenic non-epileptic seizures: Is it all subjective? A prospective pilot study of sleep-wake patterns&quot;,&quot;author&quot;:[{&quot;family&quot;:&quot;Latreille&quot;,&quot;given&quot;:&quot;Véronique&quot;,&quot;parse-names&quot;:false,&quot;dropping-particle&quot;:&quot;&quot;,&quot;non-dropping-particle&quot;:&quot;&quot;},{&quot;family&quot;:&quot;Dworetzky&quot;,&quot;given&quot;:&quot;Barbara A&quot;,&quot;parse-names&quot;:false,&quot;dropping-particle&quot;:&quot;&quot;,&quot;non-dropping-particle&quot;:&quot;&quot;},{&quot;family&quot;:&quot;Baslet&quot;,&quot;given&quot;:&quot;Gaston&quot;,&quot;parse-names&quot;:false,&quot;dropping-particle&quot;:&quot;&quot;,&quot;non-dropping-particle&quot;:&quot;&quot;},{&quot;family&quot;:&quot;Pavlova&quot;,&quot;given&quot;:&quot;Milena&quot;,&quot;parse-names&quot;:false,&quot;dropping-particle&quot;:&quot;&quot;,&quot;non-dropping-particle&quot;:&quot;&quot;}],&quot;container-title&quot;:&quot;Seizure&quot;,&quot;container-title-short&quot;:&quot;Seizure&quot;,&quot;DOI&quot;:&quot;10.1016/j.seizure.2019.01.016&quot;,&quot;ISSN&quot;:&quot;1059-1311&quot;,&quot;issued&quot;:{&quot;date-parts&quot;:[[2019]]},&quot;page&quot;:&quot;124-128&quot;,&quot;publisher&quot;:&quot;Elsevier BV&quot;,&quot;volume&quot;:&quot;65&quot;},&quot;isTemporary&quot;:false},{&quot;id&quot;:&quot;d6067ae8-0b9d-326f-b78b-8e4a23ee68a2&quot;,&quot;itemData&quot;:{&quot;type&quot;:&quot;article-journal&quot;,&quot;id&quot;:&quot;d6067ae8-0b9d-326f-b78b-8e4a23ee68a2&quot;,&quot;title&quot;:&quot;Diurnal patterns and relationships between physiological and self-reported stress in patients with epilepsy and psychogenic non-epileptic seizures&quot;,&quot;author&quot;:[{&quot;family&quot;:&quot;Novakova&quot;,&quot;given&quot;:&quot;B&quot;,&quot;parse-names&quot;:false,&quot;dropping-particle&quot;:&quot;&quot;,&quot;non-dropping-particle&quot;:&quot;&quot;},{&quot;family&quot;:&quot;Harris&quot;,&quot;given&quot;:&quot;P R&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7.03.006&quot;,&quot;ISSN&quot;:&quot;1525-5050&quot;,&quot;PMID&quot;:&quot;28432961&quot;,&quot;issued&quot;:{&quot;date-parts&quot;:[[2017]]},&quot;page&quot;:&quot;204-211&quot;,&quot;language&quot;:&quot;eng&quot;,&quot;abstract&quot;:&quot;PURPOSE: Patients with epilepsy and those with psychogenic non-epileptic seizures (PNES) experience high levels of stress and stress is one of the most frequently self-identified seizure precipitants. Although stress is a multifaceted phenomenon, few studies have systematically examined its different components in patients with seizures. The aim of this study was therefore to describe diurnal patterns of psychological and physiological measures of stress in patients with epilepsy and patients with PNES, and explore their relationships to each other in order to improve our understanding of the mechanisms underlying stress and seizure occurrence in these patients. METHOD: A range of stress markers including self-reported stress, salivary cortisol, and heart rate variability (HRV) were explored in adult patients with refractory epilepsy (N=22) and those with PNES (N=23) undergoing three- to five-day video-telemetry. RESULTS: A diurnal pattern was observed in the physiological measures, characterized by higher levels of physiological arousal in the mornings and lower levels at night in both patients with epilepsy and PNES. The physiological measures (cortisol and HRV) were associated with each other in patients with epilepsy; no close relationship was found with self-reported stress in either of the two patient groups. CONCLUSION: The findings contribute to and expand on previous studies of the patterns of stress in patients with seizures. The results also indicate a discrepancy between patients' physiological responses and their subjective stress perceptions, suggesting that simple self-reports cannot be used as a proxy of physiological arousal in patients with seizures and stress. Stress in these patient groups should be studied using a combination of complementary measures.&quot;,&quot;edition&quot;:&quot;2017/04/23&quot;,&quot;issue&quot;:&quot;Pt A&quot;,&quot;volume&quot;:&quot;70&quot;,&quot;container-title-short&quot;:&quot;&quot;},&quot;isTemporary&quot;:false},{&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id&quot;:&quot;86566697-1b64-318c-a326-c7e05239587b&quot;,&quot;itemData&quot;:{&quot;type&quot;:&quot;article-journal&quot;,&quot;id&quot;:&quot;86566697-1b64-318c-a326-c7e05239587b&quot;,&quot;title&quot;:&quot;Autonomic and subjective responsivity to emotional images in people with dissociative seizures&quot;,&quot;author&quot;:[{&quot;family&quot;:&quot;Pick&quot;,&quot;given&quot;:&quot;S&quot;,&quot;parse-names&quot;:false,&quot;dropping-particle&quot;:&quot;&quot;,&quot;non-dropping-particle&quot;:&quot;&quot;},{&quot;family&quot;:&quot;Mellers&quot;,&quot;given&quot;:&quot;J D C&quot;,&quot;parse-names&quot;:false,&quot;dropping-particle&quot;:&quot;&quot;,&quot;non-dropping-particle&quot;:&quot;&quot;},{&quot;family&quot;:&quot;Goldstein&quot;,&quot;given&quot;:&quot;L H&quot;,&quot;parse-names&quot;:false,&quot;dropping-particle&quot;:&quot;&quot;,&quot;non-dropping-particle&quot;:&quot;&quot;}],&quot;container-title&quot;:&quot;J Neuropsychol&quot;,&quot;DOI&quot;:&quot;10.1111/jnp.12144&quot;,&quot;ISSN&quot;:&quot;1748-6645 (Print)\r1748-6645&quot;,&quot;PMID&quot;:&quot;29285879&quot;,&quot;issued&quot;:{&quot;date-parts&quot;:[[2018]]},&quot;page&quot;:&quot;341-355&quot;,&quot;language&quot;:&quot;eng&quot;,&quot;abstract&quot;:&quot;People with dissociative seizures (DS) report a range of difficulties in emotional functioning and exhibit altered responding to emotional facial expressions in experimental tasks. We extended this research by investigating subjective and autonomic reactivity (ratings of emotional valence, arousal and skin conductance responses [SCRs]) to general emotional images in 39 people with DS relative to 42 healthy control participants, whilst controlling for anxiety, depression, cognitive functioning and, where relevant, medication use. It was predicted that greater subjective negativity and arousal and increased SCRs in response to the affective pictures would be observed in the DS group. The DS group as a whole did not differ from controls in their subjective responses of valence and arousal. However, SCR amplitudes were greater in 'autonomic responders' with DS relative to 'autonomic responders' in the control group. A positive correlation was also observed between SCRs for highly arousing negative pictures and self-reported ictal autonomic arousal, in DS 'autonomic responders'. In the DS subgroup of autonomic 'non-responders', differences in subjective responses were observed for some conditions, compared to control 'non-responders'. The findings indicate unaffected subjective responses to emotional images in people with DS overall. However, within the group of people with DS, there may be subgroups characterized by differences in emotional responding. One subgroup (i.e., 'autonomic responders') exhibit heightened autonomic responses but intact subjective emotional experience, whilst another subgroup (i.e., 'autonomic non-responders') seem to experience greater subjective negativity and arousal for some emotional stimuli, despite less frequent autonomic reactions. The current results suggest that therapeutic interventions targeting awareness and regulation of physiological arousal and subjective emotional experience could be of value in some people with this disorder.&quot;,&quot;edition&quot;:&quot;2017/12/30&quot;,&quot;issue&quot;:&quot;2&quot;,&quot;volume&quot;:&quot;12&quot;,&quot;container-title-short&quot;:&quot;&quot;},&quot;isTemporary&quot;:false},{&quot;id&quot;:&quot;65acea36-82ba-3481-9ee4-3deb6e7ea5dd&quot;,&quot;itemData&quot;:{&quot;type&quot;:&quot;article-journal&quot;,&quot;id&quot;:&quot;65acea36-82ba-3481-9ee4-3deb6e7ea5dd&quot;,&quot;title&quot;:&quot;Impaired sensorimotor gating in patients with non-epileptic seizures&quot;,&quot;author&quot;:[{&quot;family&quot;:&quot;Pouretemad&quot;,&quot;given&quot;:&quot;H R&quot;,&quot;parse-names&quot;:false,&quot;dropping-particle&quot;:&quot;&quot;,&quot;non-dropping-particle&quot;:&quot;&quot;},{&quot;family&quot;:&quot;Thompson&quot;,&quot;given&quot;:&quot;P J&quot;,&quot;parse-names&quot;:false,&quot;dropping-particle&quot;:&quot;&quot;,&quot;non-dropping-particle&quot;:&quot;&quot;},{&quot;family&quot;:&quot;Fenwick&quot;,&quot;given&quot;:&quot;P B&quot;,&quot;parse-names&quot;:false,&quot;dropping-particle&quot;:&quot;&quot;,&quot;non-dropping-particle&quot;:&quot;&quot;}],&quot;container-title&quot;:&quot;Epilepsy Res&quot;,&quot;DOI&quot;:&quot;10.1016/s0920-1211(98)00014-x&quot;,&quot;ISSN&quot;:&quot;0920-1211 (Print)\r0920-1211&quot;,&quot;PMID&quot;:&quot;9696296&quot;,&quot;issued&quot;:{&quot;date-parts&quot;:[[1998]]},&quot;page&quot;:&quot;1-12&quot;,&quot;language&quot;:&quot;eng&quot;,&quot;abstract&quot;:&quot;The aim of the study was to identify possible disturbances of sensorimotor gating and habituation of the eye blink startle response, in patients with non-epileptic seizures (NES). Prepulse inhibition (PPI) of the startle reflex, as an operational measure of sensorimotor gating and habituation was studied in 21 patients with NES and in 22 healthy control subjects. Six NES patients were taking antiepileptic drugs at the time of testing. PPI was significantly impaired in the NES group compared to the control group, with deficits being greater in unmedicated patients. There was a trend for medicated NES patients to show higher PPI than unmedicated patients, but this was not significant. Habituation was intact in both medicated and unmedicated NES patients. It is proposed that deficits of information processing related to sensorimotor gating in patients with NES may be associated with abnormalities within the limbic system-basal ganglia circuitry which has been shown to be the substrate of 'gating' assessed by PPI. It was also found that NES patients had greater psychopathology than the control group when rated by the Traumatic Symptom Checklist (TSC-40). Overall, the anxiety subscale was the only element that was negatively correlated with PPI. It is suggested that anxiety may contribute to impairment of PPI in patients with NES.&quot;,&quot;edition&quot;:&quot;1998/08/08&quot;,&quot;issue&quot;:&quot;1&quot;,&quot;volume&quot;:&quot;31&quot;,&quot;container-title-short&quot;:&quot;&quot;},&quot;isTemporary&quot;:false}],&quot;citationTag&quot;:&quot;MENDELEY_CITATION_v3_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&quot;},{&quot;citationID&quot;:&quot;MENDELEY_CITATION_0e54ad21-ca6c-44de-9469-90258ed038e1&quot;,&quot;properties&quot;:{&quot;noteIndex&quot;:0},&quot;isEdited&quot;:false,&quot;manualOverride&quot;:{&quot;isManuallyOverridden&quot;:false,&quot;citeprocText&quot;:&quot;(Hallett et al., 2022; Kranick et al., 2011)&quot;,&quot;manualOverrideText&quot;:&quot;&quot;},&quot;citationItems&quot;:[{&quot;id&quot;:&quot;85443744-8e34-331e-a6cf-816270540b25&quot;,&quot;itemData&quot;:{&quot;type&quot;:&quot;article-journal&quot;,&quot;id&quot;:&quot;85443744-8e34-331e-a6cf-816270540b25&quot;,&quot;title&quot;:&quot;Psychogenic Movement Disorders and Motor Conversion: A Roadmap for Collaboration Between Neurology and Psychiatry&quot;,&quot;author&quot;:[{&quot;family&quot;:&quot;Kranick&quot;,&quot;given&quot;:&quot;Sarah M.&quot;,&quot;parse-names&quot;:false,&quot;dropping-particle&quot;:&quot;&quot;,&quot;non-dropping-particle&quot;:&quot;&quot;},{&quot;family&quot;:&quot;Gorrindo&quot;,&quot;given&quot;:&quot;Tristan&quot;,&quot;parse-names&quot;:false,&quot;dropping-particle&quot;:&quot;&quot;,&quot;non-dropping-particle&quot;:&quot;&quot;},{&quot;family&quot;:&quot;Hallett&quot;,&quot;given&quot;:&quot;Mark&quot;,&quot;parse-names&quot;:false,&quot;dropping-particle&quot;:&quot;&quot;,&quot;non-dropping-particle&quot;:&quot;&quot;}],&quot;container-title&quot;:&quot;Psychosomatics&quot;,&quot;container-title-short&quot;:&quot;Psychosomatics&quot;,&quot;accessed&quot;:{&quot;date-parts&quot;:[[2023,5,29]]},&quot;DOI&quot;:&quot;10.1016/J.PSYM.2010.12.017&quot;,&quot;ISSN&quot;:&quot;0033-3182&quot;,&quot;PMID&quot;:&quot;21397102&quot;,&quot;issued&quot;:{&quot;date-parts&quot;:[[2011,3,1]]},&quot;page&quot;:&quot;109-116&quot;,&quot;abstract&quot;:&quot;Background: There are a host of vague terms to describe psychologically-mediated symptoms that mimic neurological disease, such as \&quot;functional,\&quot; \&quot;non-organic,\&quot; \&quot;psychogenic,\&quot; or \&quot;medically unexplained.\&quot; None of these terms has a direct translation in psychiatric classification, and psychiatrists are often faced with patients who do not believe in a psychological origin for their symptoms. Objective: Within the framework of psychogenic movement disorders, we discuss the roadblocks to effective collaboration and treatment in these patients and the current state of the literature regarding diagnosis and treatment. Results: We describe the approach to these patients from the perspective of neurology and psychiatry, illustrating the differences in terminology and categorization. Conclusion: Psychogenic movement disorders represent a unique opportunity for these fields to collaborate in the care of a potentially curable but significantly disabling disorder. © 2011 The Academy of Psychosomatic Medicine.&quot;,&quot;publisher&quot;:&quot;Elsevier&quot;,&quot;issue&quot;:&quot;2&quot;,&quot;volume&quot;:&quot;52&quot;},&quot;isTemporary&quot;:false},{&quot;id&quot;:&quot;9110f77d-1604-32c0-af7a-96aee14178f3&quot;,&quot;itemData&quot;:{&quot;type&quot;:&quot;article-journal&quot;,&quot;id&quot;:&quot;9110f77d-1604-32c0-af7a-96aee14178f3&quot;,&quot;title&quot;:&quot;Functional neurological disorder: new subtypes and shared mechanisms&quot;,&quot;author&quot;:[{&quot;family&quot;:&quot;Hallett&quot;,&quot;given&quot;:&quot;Mark&quot;,&quot;parse-names&quot;:false,&quot;dropping-particle&quot;:&quot;&quot;,&quot;non-dropping-particle&quot;:&quot;&quot;},{&quot;family&quot;:&quot;Aybek&quot;,&quot;given&quot;:&quot;Selma&quot;,&quot;parse-names&quot;:false,&quot;dropping-particle&quot;:&quot;&quot;,&quot;non-dropping-particle&quot;:&quot;&quot;},{&quot;family&quot;:&quot;Dworetzky&quot;,&quot;given&quot;:&quot;Barbara A.&quot;,&quot;parse-names&quot;:false,&quot;dropping-particle&quot;:&quot;&quot;,&quot;non-dropping-particle&quot;:&quot;&quot;},{&quot;family&quot;:&quot;McWhirter&quot;,&quot;given&quot;:&quot;Laura&quot;,&quot;parse-names&quot;:false,&quot;dropping-particle&quot;:&quot;&quot;,&quot;non-dropping-particle&quot;:&quot;&quot;},{&quot;family&quot;:&quot;Staab&quot;,&quot;given&quot;:&quot;Jeffrey P.&quot;,&quot;parse-names&quot;:false,&quot;dropping-particle&quot;:&quot;&quot;,&quot;non-dropping-particle&quot;:&quot;&quot;},{&quot;family&quot;:&quot;Stone&quot;,&quot;given&quot;:&quot;Jon&quot;,&quot;parse-names&quot;:false,&quot;dropping-particle&quot;:&quot;&quot;,&quot;non-dropping-particle&quot;:&quot;&quot;}],&quot;container-title&quot;:&quot;The Lancet. Neurology&quot;,&quot;container-title-short&quot;:&quot;Lancet Neurol&quot;,&quot;accessed&quot;:{&quot;date-parts&quot;:[[2023,5,29]]},&quot;DOI&quot;:&quot;10.1016/S1474-4422(21)00422-1&quot;,&quot;ISSN&quot;:&quot;1474-4465&quot;,&quot;PMID&quot;:&quot;35430029&quot;,&quot;URL&quot;:&quot;https://pubmed.ncbi.nlm.nih.gov/35430029/&quot;,&quot;issued&quot;:{&quot;date-parts&quot;:[[2022,6,1]]},&quot;page&quot;:&quot;537-550&quot;,&quot;abstract&quot;:&quot;Functional neurological disorder is common in neurological practice. A new approach to the positive diagnosis of this disorder focuses on recognisable patterns of genuinely experienced symptoms and signs that show variability within the same task and between different tasks over time. Psychological stressors are common risk factors for functional neurological disorder, but are often absent. Four entities—functional seizures, functional movement disorders, persistent perceptual postural dizziness, and functional cognitive disorder—show similarities in aetiology and pathophysiology and are variants of a disorder at the interface between neurology and psychiatry. All four entities have distinctive features and can be diagnosed with the support of clinical neurophysiological studies and other biomarkers. The pathophysiology of functional neurological disorder includes overactivity of the limbic system, the development of an internal symptom model as part of a predictive coding framework, and dysfunction of brain networks that gives movement the sense of voluntariness. Evidence supports tailored multidisciplinary treatment that can involve physical and psychological therapy approaches.&quot;,&quot;publisher&quot;:&quot;Lancet Neurol&quot;,&quot;issue&quot;:&quot;6&quot;,&quot;volume&quot;:&quot;21&quot;},&quot;isTemporary&quot;:false}],&quot;citationTag&quot;:&quot;MENDELEY_CITATION_v3_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&quot;},{&quot;citationID&quot;:&quot;MENDELEY_CITATION_dca5044b-6237-4baa-95d5-3080fdaaa096&quot;,&quot;properties&quot;:{&quot;noteIndex&quot;:0},&quot;isEdited&quot;:false,&quot;manualOverride&quot;:{&quot;isManuallyOverridden&quot;:false,&quot;citeprocText&quot;:&quot;(Gargon, 2016; Haeffel &amp;#38; Howard, 2010; Pareés et al., 2012)&quot;,&quot;manualOverrideText&quot;:&quot;&quot;},&quot;citationItems&quot;:[{&quot;id&quot;:&quot;c83cad44-97b9-3727-97b2-8f327f6ed3e5&quot;,&quot;itemData&quot;:{&quot;type&quot;:&quot;article-journal&quot;,&quot;id&quot;:&quot;c83cad44-97b9-3727-97b2-8f327f6ed3e5&quot;,&quot;title&quot;:&quot;Self-report: psychology's four-letter word&quot;,&quot;author&quot;:[{&quot;family&quot;:&quot;Haeffel&quot;,&quot;given&quot;:&quot;G J&quot;,&quot;parse-names&quot;:false,&quot;dropping-particle&quot;:&quot;&quot;,&quot;non-dropping-particle&quot;:&quot;&quot;},{&quot;family&quot;:&quot;Howard&quot;,&quot;given&quot;:&quot;G S&quot;,&quot;parse-names&quot;:false,&quot;dropping-particle&quot;:&quot;&quot;,&quot;non-dropping-particle&quot;:&quot;&quot;}],&quot;container-title&quot;:&quot;Am J Psychol&quot;,&quot;DOI&quot;:&quot;10.5406/amerjpsyc.123.2.0181&quot;,&quot;ISSN&quot;:&quot;0002-9556 (Print)\r0002-9556&quot;,&quot;PMID&quot;:&quot;20518434&quot;,&quot;issued&quot;:{&quot;date-parts&quot;:[[2010]]},&quot;page&quot;:&quot;181-188&quot;,&quot;language&quot;:&quot;eng&quot;,&quot;abstract&quot;:&quot;Self-report continues to be one of the most widely used measurement strategies in psychology despite longstanding concerns about its validity and scientific rigor. In this article, the merits of self-report are examined from a philosophy of science perspective. A framework is also provided for evaluating self-report measures. Specifically, four issues are presented that can be used as a decision aid when making choices about measurement.&quot;,&quot;edition&quot;:&quot;2010/06/04&quot;,&quot;issue&quot;:&quot;2&quot;,&quot;volume&quot;:&quot;123&quot;,&quot;container-title-short&quot;:&quot;&quot;},&quot;isTemporary&quot;:false},{&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id&quot;:&quot;08bc9e7b-6572-3f73-b092-c84c8a6a91ca&quot;,&quot;itemData&quot;:{&quot;type&quot;:&quot;article-journal&quot;,&quot;id&quot;:&quot;08bc9e7b-6572-3f73-b092-c84c8a6a91ca&quot;,&quot;title&quot;:&quot;The COMET (Core Outcome Measures in Effectiveness Trials) Initiative&quot;,&quot;author&quot;:[{&quot;family&quot;:&quot;Gargon&quot;,&quot;given&quot;:&quot;Elizabeth&quot;,&quot;parse-names&quot;:false,&quot;dropping-particle&quot;:&quot;&quot;,&quot;non-dropping-particle&quot;:&quot;&quot;}],&quot;container-title&quot;:&quot;Maturitas&quot;,&quot;container-title-short&quot;:&quot;Maturitas&quot;,&quot;accessed&quot;:{&quot;date-parts&quot;:[[2023,6,10]]},&quot;DOI&quot;:&quot;10.1016/j.maturitas.2016.06.007&quot;,&quot;ISSN&quot;:&quot;18734111&quot;,&quot;URL&quot;:&quot;http://www.maturitas.org/article/S0378512216301396/fulltext&quot;,&quot;issued&quot;:{&quot;date-parts&quot;:[[2016,9,1]]},&quot;page&quot;:&quot;91-92&quot;,&quot;publisher&quot;:&quot;Elsevier Ireland Ltd&quot;,&quot;volume&quot;:&quot;91&quot;},&quot;isTemporary&quot;:false}],&quot;citationTag&quot;:&quot;MENDELEY_CITATION_v3_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&quot;},{&quot;citationID&quot;:&quot;MENDELEY_CITATION_447e80ba-e3b1-4836-9856-333d53461c6b&quot;,&quot;properties&quot;:{&quot;noteIndex&quot;:0},&quot;isEdited&quot;:false,&quot;manualOverride&quot;:{&quot;isManuallyOverridden&quot;:false,&quot;citeprocText&quot;:&quot;(Nicholson et al., 2020; Pick, Anderson, et al., 2020)&quot;,&quot;manualOverrideText&quot;:&quot;&quot;},&quot;citationItems&quot;:[{&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id&quot;:&quot;9efeb79a-71d9-3505-8b13-ff928235f0b6&quot;,&quot;itemData&quot;:{&quot;type&quot;:&quot;article-journal&quot;,&quot;id&quot;:&quot;9efeb79a-71d9-3505-8b13-ff928235f0b6&quot;,&quot;title&quot;:&quot;Outcome measurement in functional neurological disorder: a systematic review and recommendations. LID - jnnp-2019-322180 [pii] LID - 10.1136/jnnp-2019-322180 [doi]&quot;,&quot;author&quot;:[{&quot;family&quot;:&quot;Pick&quot;,&quot;given&quot;:&quot;Susannah&quot;,&quot;parse-names&quot;:false,&quot;dropping-particle&quot;:&quot;&quot;,&quot;non-dropping-particle&quot;:&quot;&quot;},{&quot;family&quot;:&quot;Anderson&quot;,&quot;given&quot;:&quot;D&quot;,&quot;parse-names&quot;:false,&quot;dropping-particle&quot;:&quot;&quot;,&quot;non-dropping-particle&quot;:&quot;&quot;},{&quot;family&quot;:&quot;Asadi-Pooya&quot;,&quot;given&quot;:&quot;A&quot;,&quot;parse-names&quot;:false,&quot;dropping-particle&quot;:&quot;&quot;,&quot;non-dropping-particle&quot;:&quot;&quot;},{&quot;family&quot;:&quot;Aybek&quot;,&quot;given&quot;:&quot;S&quot;,&quot;parse-names&quot;:false,&quot;dropping-particle&quot;:&quot;&quot;,&quot;non-dropping-particle&quot;:&quot;&quot;},{&quot;family&quot;:&quot;Baslet&quot;,&quot;given&quot;:&quot;G&quot;,&quot;parse-names&quot;:false,&quot;dropping-particle&quot;:&quot;&quot;,&quot;non-dropping-particle&quot;:&quot;&quot;},{&quot;family&quot;:&quot;Bloem&quot;,&quot;given&quot;:&quot;B&quot;,&quot;parse-names&quot;:false,&quot;dropping-particle&quot;:&quot;&quot;,&quot;non-dropping-particle&quot;:&quot;&quot;},{&quot;family&quot;:&quot;Bradley-Westguard&quot;,&quot;given&quot;:&quot;&quot;,&quot;parse-names&quot;:false,&quot;dropping-particle&quot;:&quot;&quot;,&quot;non-dropping-particle&quot;:&quot;&quot;},{&quot;family&quot;:&quot;Brown&quot;,&quot;given&quot;:&quot;Richard&quot;,&quot;parse-names&quot;:false,&quot;dropping-particle&quot;:&quot;&quot;,&quot;non-dropping-particle&quot;:&quot;&quot;},{&quot;family&quot;:&quot;Brown&quot;,&quot;given&quot;:&quot;Rj Auid-Orcid&quot;,&quot;parse-names&quot;:false,&quot;dropping-particle&quot;:&quot;&quot;,&quot;non-dropping-particle&quot;:&quot;&quot;},{&quot;family&quot;:&quot;Carson&quot;,&quot;given&quot;:&quot;Aj Auid-Orcid&quot;,&quot;parse-names&quot;:false,&quot;dropping-particle&quot;:&quot;&quot;,&quot;non-dropping-particle&quot;:&quot;&quot;},{&quot;family&quot;:&quot;Chalder&quot;,&quot;given&quot;:&quot;T Auid-Orcid&quot;,&quot;parse-names&quot;:false,&quot;dropping-particle&quot;:&quot;&quot;,&quot;non-dropping-particle&quot;:&quot;&quot;},{&quot;family&quot;:&quot;Damianova&quot;,&quot;given&quot;:&quot;M&quot;,&quot;parse-names&quot;:false,&quot;dropping-particle&quot;:&quot;&quot;,&quot;non-dropping-particle&quot;:&quot;&quot;},{&quot;family&quot;:&quot;David&quot;,&quot;given&quot;:&quot;As Auid-Orcid X&quot;,&quot;parse-names&quot;:false,&quot;dropping-particle&quot;:&quot;&quot;,&quot;non-dropping-particle&quot;:&quot;&quot;},{&quot;family&quot;:&quot;Edwards&quot;,&quot;given&quot;:&quot;Mj Auid-Orcid&quot;,&quot;parse-names&quot;:false,&quot;dropping-particle&quot;:&quot;&quot;,&quot;non-dropping-particle&quot;:&quot;&quot;},{&quot;family&quot;:&quot;Epstein&quot;,&quot;given&quot;:&quot;S A&quot;,&quot;parse-names&quot;:false,&quot;dropping-particle&quot;:&quot;&quot;,&quot;non-dropping-particle&quot;:&quot;&quot;},{&quot;family&quot;:&quot;Espay&quot;,&quot;given&quot;:&quot;Aj Auid-Orcid X&quot;,&quot;parse-names&quot;:false,&quot;dropping-particle&quot;:&quot;&quot;,&quot;non-dropping-particle&quot;:&quot;&quot;},{&quot;family&quot;:&quot;Garcin&quot;,&quot;given&quot;:&quot;B Auid-Orcid&quot;,&quot;parse-names&quot;:false,&quot;dropping-particle&quot;:&quot;&quot;,&quot;non-dropping-particle&quot;:&quot;&quot;},{&quot;family&quot;:&quot;Goldstein&quot;,&quot;given&quot;:&quot;Lh Auid-Orcid&quot;,&quot;parse-names&quot;:false,&quot;dropping-particle&quot;:&quot;&quot;,&quot;non-dropping-particle&quot;:&quot;&quot;},{&quot;family&quot;:&quot;Hallett&quot;,&quot;given&quot;:&quot;M Auid-Orcid&quot;,&quot;parse-names&quot;:false,&quot;dropping-particle&quot;:&quot;&quot;,&quot;non-dropping-particle&quot;:&quot;&quot;},{&quot;family&quot;:&quot;Jankovic&quot;,&quot;given&quot;:&quot;J Auid-Orcid&quot;,&quot;parse-names&quot;:false,&quot;dropping-particle&quot;:&quot;&quot;,&quot;non-dropping-particle&quot;:&quot;&quot;},{&quot;family&quot;:&quot;Joyce&quot;,&quot;given&quot;:&quot;Em Auid-Orcid&quot;,&quot;parse-names&quot;:false,&quot;dropping-particle&quot;:&quot;&quot;,&quot;non-dropping-particle&quot;:&quot;&quot;},{&quot;family&quot;:&quot;Kanaan&quot;,&quot;given&quot;:&quot;Ra Auid-Orcid&quot;,&quot;parse-names&quot;:false,&quot;dropping-particle&quot;:&quot;&quot;,&quot;non-dropping-particle&quot;:&quot;&quot;},{&quot;family&quot;:&quot;Keynejad&quot;,&quot;given&quot;:&quot;Rc Auid-Orcid&quot;,&quot;parse-names&quot;:false,&quot;dropping-particle&quot;:&quot;&quot;,&quot;non-dropping-particle&quot;:&quot;&quot;},{&quot;family&quot;:&quot;Kozlowska&quot;,&quot;given&quot;:&quot;K Auid-Orcid&quot;,&quot;parse-names&quot;:false,&quot;dropping-particle&quot;:&quot;&quot;,&quot;non-dropping-particle&quot;:&quot;&quot;},{&quot;family&quot;:&quot;LaFaver&quot;,&quot;given&quot;:&quot;K Auid-Orcid X&quot;,&quot;parse-names&quot;:false,&quot;dropping-particle&quot;:&quot;&quot;,&quot;non-dropping-particle&quot;:&quot;&quot;},{&quot;family&quot;:&quot;LaFrance&quot;,&quot;given&quot;:&quot;W C Jr Auid-Orcid&quot;,&quot;parse-names&quot;:false,&quot;dropping-particle&quot;:&quot;&quot;,&quot;non-dropping-particle&quot;:&quot;&quot;},{&quot;family&quot;:&quot;Lang&quot;,&quot;given&quot;:&quot;Ae Auid-Orcid&quot;,&quot;parse-names&quot;:false,&quot;dropping-particle&quot;:&quot;&quot;,&quot;non-dropping-particle&quot;:&quot;&quot;},{&quot;family&quot;:&quot;Lehn&quot;,&quot;given&quot;:&quot;A Auid-Orcid&quot;,&quot;parse-names&quot;:false,&quot;dropping-particle&quot;:&quot;&quot;,&quot;non-dropping-particle&quot;:&quot;&quot;},{&quot;family&quot;:&quot;Lidstone&quot;,&quot;given&quot;:&quot;S Auid-Orcid&quot;,&quot;parse-names&quot;:false,&quot;dropping-particle&quot;:&quot;&quot;,&quot;non-dropping-particle&quot;:&quot;&quot;},{&quot;family&quot;:&quot;Maurer&quot;,&quot;given&quot;:&quot;Cw Auid-Orcid&quot;,&quot;parse-names&quot;:false,&quot;dropping-particle&quot;:&quot;&quot;,&quot;non-dropping-particle&quot;:&quot;&quot;},{&quot;family&quot;:&quot;Mildon&quot;,&quot;given&quot;:&quot;B Auid-Orcid&quot;,&quot;parse-names&quot;:false,&quot;dropping-particle&quot;:&quot;&quot;,&quot;non-dropping-particle&quot;:&quot;&quot;},{&quot;family&quot;:&quot;Morgante&quot;,&quot;given&quot;:&quot;F Auid-Orcid&quot;,&quot;parse-names&quot;:false,&quot;dropping-particle&quot;:&quot;&quot;,&quot;non-dropping-particle&quot;:&quot;&quot;},{&quot;family&quot;:&quot;Myers&quot;,&quot;given&quot;:&quot;L Auid-Orcid&quot;,&quot;parse-names&quot;:false,&quot;dropping-particle&quot;:&quot;&quot;,&quot;non-dropping-particle&quot;:&quot;&quot;},{&quot;family&quot;:&quot;Nicholson&quot;,&quot;given&quot;:&quot;C Auid-Orcid&quot;,&quot;parse-names&quot;:false,&quot;dropping-particle&quot;:&quot;&quot;,&quot;non-dropping-particle&quot;:&quot;&quot;},{&quot;family&quot;:&quot;Nielsen&quot;,&quot;given&quot;:&quot;G Auid-Orcid&quot;,&quot;parse-names&quot;:false,&quot;dropping-particle&quot;:&quot;&quot;,&quot;non-dropping-particle&quot;:&quot;&quot;},{&quot;family&quot;:&quot;Perez&quot;,&quot;given&quot;:&quot;Dl Auid-Orcid X&quot;,&quot;parse-names&quot;:false,&quot;dropping-particle&quot;:&quot;&quot;,&quot;non-dropping-particle&quot;:&quot;&quot;},{&quot;family&quot;:&quot;Popkirov&quot;,&quot;given&quot;:&quot;S Auid-Orcid&quot;,&quot;parse-names&quot;:false,&quot;dropping-particle&quot;:&quot;&quot;,&quot;non-dropping-particle&quot;:&quot;&quot;},{&quot;family&quot;:&quot;Reuber&quot;,&quot;given&quot;:&quot;M Auid-Orcid&quot;,&quot;parse-names&quot;:false,&quot;dropping-particle&quot;:&quot;&quot;,&quot;non-dropping-particle&quot;:&quot;&quot;},{&quot;family&quot;:&quot;Rommelfanger&quot;,&quot;given&quot;:&quot;Ks Auid-Orcid&quot;,&quot;parse-names&quot;:false,&quot;dropping-particle&quot;:&quot;&quot;,&quot;non-dropping-particle&quot;:&quot;&quot;},{&quot;family&quot;:&quot;Schwingenshuh&quot;,&quot;given&quot;:&quot;P Auid-Orcid&quot;,&quot;parse-names&quot;:false,&quot;dropping-particle&quot;:&quot;&quot;,&quot;non-dropping-particle&quot;:&quot;&quot;},{&quot;family&quot;:&quot;Serranova&quot;,&quot;given&quot;:&quot;T Auid-Orcid&quot;,&quot;parse-names&quot;:false,&quot;dropping-particle&quot;:&quot;&quot;,&quot;non-dropping-particle&quot;:&quot;&quot;},{&quot;family&quot;:&quot;Shotbolt&quot;,&quot;given&quot;:&quot;P Auid-Orcid X&quot;,&quot;parse-names&quot;:false,&quot;dropping-particle&quot;:&quot;&quot;,&quot;non-dropping-particle&quot;:&quot;&quot;},{&quot;family&quot;:&quot;Stebbins&quot;,&quot;given&quot;:&quot;Gt Auid-Orcid&quot;,&quot;parse-names&quot;:false,&quot;dropping-particle&quot;:&quot;&quot;,&quot;non-dropping-particle&quot;:&quot;&quot;},{&quot;family&quot;:&quot;Stone&quot;,&quot;given&quot;:&quot;J Auid-Orcid&quot;,&quot;parse-names&quot;:false,&quot;dropping-particle&quot;:&quot;&quot;,&quot;non-dropping-particle&quot;:&quot;&quot;},{&quot;family&quot;:&quot;Tijssen&quot;,&quot;given&quot;:&quot;Ma Auid-Orcid X&quot;,&quot;parse-names&quot;:false,&quot;dropping-particle&quot;:&quot;&quot;,&quot;non-dropping-particle&quot;:&quot;&quot;},{&quot;family&quot;:&quot;Tinazzi&quot;,&quot;given&quot;:&quot;M Auid-Orcid&quot;,&quot;parse-names&quot;:false,&quot;dropping-particle&quot;:&quot;&quot;,&quot;non-dropping-particle&quot;:&quot;&quot;},{&quot;family&quot;:&quot;Nicholson&quot;,&quot;given&quot;:&quot;Tr Auid-Orcid&quot;,&quot;parse-names&quot;:false,&quot;dropping-particle&quot;:&quot;&quot;,&quot;non-dropping-particle&quot;:&quot;&quot;},{&quot;family&quot;:&quot;Psychiatry&quot;,&quot;given&quot;:&quot;J Neurol Neurosurg&quot;,&quot;parse-names&quot;:false,&quot;dropping-particle&quot;:&quot;&quot;,&quot;non-dropping-particle&quot;:&quot;&quot;}],&quot;issued&quot;:{&quot;date-parts&quot;:[[2020]]},&quot;language&quot;:&quot;eng&quot;,&quot;abstract&quot;:&quot;OBJECTIVES: We aimed to identify existing outcome measures for functional neurological disorder (FND), to inform the development of recommendations and to guide future research on FND outcomes. METHODS: A systematic review was conducted to identify existing FND-specific outcome measures and the most common measurement domains and measures in previous treatment studies. Searches of Embase, MEDLINE and PsycINFO were conducted between January 1965 and June 2019. The findings were discussed during two international meetings of the FND-Core Outcome Measures group. RESULTS: Five FND-specific measures were identified-three clinician-rated and two patient-rated-but their measurement properties have not been rigorously evaluated. No single measure was identified for use across the range of FND symptoms in adults. Across randomised controlled trials (k=40) and observational treatment studies (k=40), outcome measures most often assessed core FND symptom change. Other domains measured commonly were additional physical and psychological symptoms, life impact (ie, quality of life, disability and general functioning) and health economics/cost-utility (eg, healthcare resource use and quality-adjusted life years). CONCLUSIONS: There are few well-validated FND-specific outcome measures. Thus, at present, we recommend that existing outcome measures, known to be reliable, valid and responsive in FND or closely related populations, are used to capture key outcome domains. Increased consistency in outcome measurement will facilitate comparison of treatment effects across FND symptom types and treatment modalities. Future work needs to more rigorously validate outcome measures used in this population.&quot;,&quot;issue&quot;:&quot;1468-330X (Electronic)&quot;,&quot;container-title-short&quot;:&quot;&quot;},&quot;isTemporary&quot;:false}],&quot;citationTag&quot;:&quot;MENDELEY_CITATION_v3_eyJjaXRhdGlvbklEIjoiTUVOREVMRVlfQ0lUQVRJT05fNDQ3ZTgwYmEtZTNiMS00ODM2LTk4NTYtMzMzZDUzNDYxYzZiIiwicHJvcGVydGllcyI6eyJub3RlSW5kZXgiOjB9LCJpc0VkaXRlZCI6ZmFsc2UsIm1hbnVhbE92ZXJyaWRlIjp7ImlzTWFudWFsbHlPdmVycmlkZGVuIjpmYWxzZSwiY2l0ZXByb2NUZXh0IjoiKE5pY2hvbHNvbiBldCBhbC4sIDIwMjA7IFBpY2ssIEFuZGVyc29uLC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&quot;},{&quot;citationID&quot;:&quot;MENDELEY_CITATION_93f4355d-b770-4af0-9ff3-c183c0f18acf&quot;,&quot;properties&quot;:{&quot;noteIndex&quot;:0},&quot;isEdited&quot;:false,&quot;manualOverride&quot;:{&quot;isManuallyOverridden&quot;:false,&quot;citeprocText&quot;:&quot;(Gelauff et al., 2014; Jalilianhasanpour et al., 2019; Patron et al., 2022; Walther et al., 2020)&quot;,&quot;manualOverrideText&quot;:&quot;&quot;},&quot;citationItems&quot;:[{&quot;id&quot;:&quot;80b3ab57-f872-3679-8867-f1f08cba317e&quot;,&quot;itemData&quot;:{&quot;type&quot;:&quot;article-journal&quot;,&quot;id&quot;:&quot;80b3ab57-f872-3679-8867-f1f08cba317e&quot;,&quot;title&quot;:&quot;Psychiatric Comorbidities in Functional Neurologic Symptom Disorder&quot;,&quot;author&quot;:[{&quot;family&quot;:&quot;Patron&quot;,&quot;given&quot;:&quot;Victor German&quot;,&quot;parse-names&quot;:false,&quot;dropping-particle&quot;:&quot;&quot;,&quot;non-dropping-particle&quot;:&quot;&quot;},{&quot;family&quot;:&quot;Rustomji&quot;,&quot;given&quot;:&quot;Yazmin&quot;,&quot;parse-names&quot;:false,&quot;dropping-particle&quot;:&quot;&quot;,&quot;non-dropping-particle&quot;:&quot;&quot;},{&quot;family&quot;:&quot;Yip&quot;,&quot;given&quot;:&quot;Chadwick&quot;,&quot;parse-names&quot;:false,&quot;dropping-particle&quot;:&quot;&quot;,&quot;non-dropping-particle&quot;:&quot;&quot;},{&quot;family&quot;:&quot;Jenkins&quot;,&quot;given&quot;:&quot;Lisanne Michelle&quot;,&quot;parse-names&quot;:false,&quot;dropping-particle&quot;:&quot;&quot;,&quot;non-dropping-particle&quot;:&quot;&quot;}],&quot;container-title&quot;:&quot;Practical neurology (Fort Washington, Pa.)&quot;,&quot;container-title-short&quot;:&quot;Pract Neurol (Fort Wash Pa)&quot;,&quot;accessed&quot;:{&quot;date-parts&quot;:[[2023,4,30]]},&quot;ISSN&quot;:&quot;1540-1367 (Print)&quot;,&quot;PMID&quot;:&quot;36644502&quot;,&quot;URL&quot;:&quot;/pmc/articles/PMC9836030/&quot;,&quot;issued&quot;:{&quot;date-parts&quot;:[[2022]]},&quot;page&quot;:&quot;71&quot;,&quot;abstract&quot;:&quot;Attachment deficits in the context of psychosocial factors may explain the  presence of functional neurologic disorder.&quot;,&quot;publisher&quot;:&quot;NIH Public Access&quot;,&quot;issue&quot;:&quot;3&quot;,&quot;volume&quot;:&quot;21&quot;},&quot;isTemporary&quot;:false},{&quot;id&quot;:&quot;171e35cf-2d20-3410-ac0b-acdccade4d42&quot;,&quot;itemData&quot;:{&quot;type&quot;:&quot;article-journal&quot;,&quot;id&quot;:&quot;171e35cf-2d20-3410-ac0b-acdccade4d42&quot;,&quot;title&quot;:&quot;The prognosis of functional (psychogenic) motor symptoms: a systematic review&quot;,&quot;author&quot;:[{&quot;family&quot;:&quot;Gelauff&quot;,&quot;given&quot;:&quot;Jeannette&quot;,&quot;parse-names&quot;:false,&quot;dropping-particle&quot;:&quot;&quot;,&quot;non-dropping-particle&quot;:&quot;&quot;},{&quot;family&quot;:&quot;Stone&quot;,&quot;given&quot;:&quot;Jon&quot;,&quot;parse-names&quot;:false,&quot;dropping-particle&quot;:&quot;&quot;,&quot;non-dropping-particle&quot;:&quot;&quot;},{&quot;family&quot;:&quot;Edwards&quot;,&quot;given&quot;:&quot;Mark&quot;,&quot;parse-names&quot;:false,&quot;dropping-particle&quot;:&quot;&quot;,&quot;non-dropping-particle&quot;:&quot;&quot;},{&quot;family&quot;:&quot;Carson&quot;,&quot;given&quot;:&quot;Alan&quot;,&quot;parse-names&quot;:false,&quot;dropping-particle&quot;:&quot;&quot;,&quot;non-dropping-particle&quot;:&quot;&quot;}],&quot;container-title&quot;:&quot;Journal of neurology, neurosurgery, and psychiatry&quot;,&quot;container-title-short&quot;:&quot;J Neurol Neurosurg Psychiatry&quot;,&quot;accessed&quot;:{&quot;date-parts&quot;:[[2023,5,7]]},&quot;DOI&quot;:&quot;10.1136/JNNP-2013-305321&quot;,&quot;ISSN&quot;:&quot;1468-330X&quot;,&quot;PMID&quot;:&quot;24029543&quot;,&quot;URL&quot;:&quot;https://pubmed.ncbi.nlm.nih.gov/24029543/&quot;,&quot;issued&quot;:{&quot;date-parts&quot;:[[2014]]},&quot;page&quot;:&quot;220-226&quot;,&quot;abstract&quot;:&quot;Background The prognosis of functional (or psychogenic) motor symptoms (weakness and movement disorder) has not been systematically reviewed. Methods We systematically reviewed PubMed for all studies of eight or more patients with functional motor symptoms reporting follow-up data longer than 6 months (excluding studies reporting specific treatments). We recorded symptom duration, physical and psychiatric comorbidity, disability, occupational functioning at follow-up and prognostic factors. Results 24 studies were included. There was heterogeneity regarding study size (number of patients (n)=10 491), follow-up duration clinical setting and data availability. Most studies (n=15) were retrospective. Reported symptom outcome was highly variable. Mean weighted follow-up duration was 7.4 years (in 13 studies where data was extractable). The mean percentage of patients same or worse at follow-up for all studies was 39%, range 10% to 90%, n=1134. Levels of physical disability and psychological comorbidity at follow-up were high. Short duration of symptoms, early diagnosis and high satisfaction with care predicted positive outcome in two studies. Gender had no effect. Delayed diagnosis and personality disorder were negatively correlated with outcome. Prognostic factors that varied between studies included age, comorbid anxiety and depression, IQ, educational status, marital status and pending litigation. Conclusions Existing follow-up studies of functional motor symptoms give us some insights regarding outcome and prognostic factors but are limited by their largely retrospective and selective nature. Overall, prognosis appears unfavourable. The severity and chronicity of functional motor symptoms argues for larger prospective studies including multiple prognostic factors at baseline in order to better understand their natural history.&quot;,&quot;publisher&quot;:&quot;J Neurol Neurosurg Psychiatry&quot;,&quot;issue&quot;:&quot;2&quot;,&quot;volume&quot;:&quot;85&quot;},&quot;isTemporary&quot;:false},{&quot;id&quot;:&quot;11fe359f-0c81-3a9e-a1cf-b59671cf3b17&quot;,&quot;itemData&quot;:{&quot;type&quot;:&quot;article-journal&quot;,&quot;id&quot;:&quot;11fe359f-0c81-3a9e-a1cf-b59671cf3b17&quot;,&quot;title&quot;:&quot;Secure Attachment and Depression Predict 6-Month Outcome in Motor Functional Neurological Disorders: A Prospective Pilot Study&quot;,&quot;author&quot;:[{&quot;family&quot;:&quot;Jalilianhasanpour&quot;,&quot;given&quot;:&quot;Rozita&quot;,&quot;parse-names&quot;:false,&quot;dropping-particle&quot;:&quot;&quot;,&quot;non-dropping-particle&quot;:&quot;&quot;},{&quot;family&quot;:&quot;Ospina&quot;,&quot;given&quot;:&quot;Juan Pablo&quot;,&quot;parse-names&quot;:false,&quot;dropping-particle&quot;:&quot;&quot;,&quot;non-dropping-particle&quot;:&quot;&quot;},{&quot;family&quot;:&quot;Williams&quot;,&quot;given&quot;:&quot;Benjamin&quot;,&quot;parse-names&quot;:false,&quot;dropping-particle&quot;:&quot;&quot;,&quot;non-dropping-particle&quot;:&quot;&quot;},{&quot;family&quot;:&quot;Mello&quot;,&quot;given&quot;:&quot;Julie&quot;,&quot;parse-names&quot;:false,&quot;dropping-particle&quot;:&quot;&quot;,&quot;non-dropping-particle&quot;:&quot;&quot;},{&quot;family&quot;:&quot;MacLean&quot;,&quot;given&quot;:&quot;Julie&quot;,&quot;parse-names&quot;:false,&quot;dropping-particle&quot;:&quot;&quot;,&quot;non-dropping-particle&quot;:&quot;&quot;},{&quot;family&quot;:&quot;Ranford&quot;,&quot;given&quot;:&quot;Jessica&quot;,&quot;parse-names&quot;:false,&quot;dropping-particle&quot;:&quot;&quot;,&quot;non-dropping-particle&quot;:&quot;&quot;},{&quot;family&quot;:&quot;Fricchione&quot;,&quot;given&quot;:&quot;Gregory L.&quot;,&quot;parse-names&quot;:false,&quot;dropping-particle&quot;:&quot;&quot;,&quot;non-dropping-particle&quot;:&quot;&quot;},{&quot;family&quot;:&quot;LaFrance&quot;,&quot;given&quot;:&quot;W. Curt&quot;,&quot;parse-names&quot;:false,&quot;dropping-particle&quot;:&quot;&quot;,&quot;non-dropping-particle&quot;:&quot;&quot;},{&quot;family&quot;:&quot;Perez&quot;,&quot;given&quot;:&quot;David L.&quot;,&quot;parse-names&quot;:false,&quot;dropping-particle&quot;:&quot;&quot;,&quot;non-dropping-particle&quot;:&quot;&quot;}],&quot;container-title&quot;:&quot;Psychosomatics&quot;,&quot;container-title-short&quot;:&quot;Psychosomatics&quot;,&quot;accessed&quot;:{&quot;date-parts&quot;:[[2023,6,10]]},&quot;DOI&quot;:&quot;10.1016/J.PSYM.2018.08.004&quot;,&quot;ISSN&quot;:&quot;1545-7206&quot;,&quot;PMID&quot;:&quot;30342702&quot;,&quot;URL&quot;:&quot;https://pubmed.ncbi.nlm.nih.gov/30342702/&quot;,&quot;issued&quot;:{&quot;date-parts&quot;:[[2019,7,1]]},&quot;page&quot;:&quot;365-375&quot;,&quot;abstract&quot;:&quot;Background: The relationships between baseline neuropsychiatric factors and clinical outcome in patients with functional neurological disorder (FND)/conversion disorder remain poorly understood. Objective: This prospective, naturalistic pilot study investigated links between predisposing vulnerabilities (risk factors) and clinical outcome in patients with motor FND engaged in usual care within a subspecialty FND clinic. Methods: Thirty-four patients with motor FND were enrolled and completed baseline and 6-month follow-up psychometric questionnaires. Univariate screening tests followed by multivariate linear regression analyses were used to investigate neuropsychiatric predictors of 6-month clinical outcome in patients with motor FND. Results: In univariate analyses, baseline secure attachment traits and depression as measured by the Relationship Scales Questionnaire and Beck Depression Inventory-II positively correlated with improved Patient Health Questionnaire-15 scores. In a multivariate linear regression analysis adjusting for the interval time between baseline and follow-up data collection, baseline secure attachment and depression scores independently predicted improvements in Patient Health Questionnaire-15 scores. In additional analyses, patients with a diagnosis of psychogenic nonepileptic seizures compared to individuals with other motor FND subtypes showed a trend toward worse 6-month physical health outcomes as measured by the Short Form Health Survey-36. Conclusion: Future large-scale, multi-site longitudinal studies are needed to comprehensively investigate neuropsychiatric predictors of clinical outcome in patients with motor FND, including functional weakness, functional movement disorders, and psychogenic nonepileptic seizures.&quot;,&quot;publisher&quot;:&quot;Psychosomatics&quot;,&quot;issue&quot;:&quot;4&quot;,&quot;volume&quot;:&quot;60&quot;},&quot;isTemporary&quot;:false},{&quot;id&quot;:&quot;f91f7966-cf71-349f-9c1a-1f6f267d43d7&quot;,&quot;itemData&quot;:{&quot;type&quot;:&quot;article-journal&quot;,&quot;id&quot;:&quot;f91f7966-cf71-349f-9c1a-1f6f267d43d7&quot;,&quot;title&quot;:&quot;Psychosocial long-term outcome in patients with psychogenic non-epileptic seizures&quot;,&quot;author&quot;:[{&quot;family&quot;:&quot;Walther&quot;,&quot;given&quot;:&quot;Katrin&quot;,&quot;parse-names&quot;:false,&quot;dropping-particle&quot;:&quot;&quot;,&quot;non-dropping-particle&quot;:&quot;&quot;},{&quot;family&quot;:&quot;Volbers&quot;,&quot;given&quot;:&quot;Bastian&quot;,&quot;parse-names&quot;:false,&quot;dropping-particle&quot;:&quot;&quot;,&quot;non-dropping-particle&quot;:&quot;&quot;},{&quot;family&quot;:&quot;Erdmann&quot;,&quot;given&quot;:&quot;Laura&quot;,&quot;parse-names&quot;:false,&quot;dropping-particle&quot;:&quot;&quot;,&quot;non-dropping-particle&quot;:&quot;&quot;},{&quot;family&quot;:&quot;Kurzbuch&quot;,&quot;given&quot;:&quot;Katrin&quot;,&quot;parse-names&quot;:false,&quot;dropping-particle&quot;:&quot;&quot;,&quot;non-dropping-particle&quot;:&quot;&quot;},{&quot;family&quot;:&quot;Lang&quot;,&quot;given&quot;:&quot;Johannes D.&quot;,&quot;parse-names&quot;:false,&quot;dropping-particle&quot;:&quot;&quot;,&quot;non-dropping-particle&quot;:&quot;&quot;},{&quot;family&quot;:&quot;Mueller&quot;,&quot;given&quot;:&quot;Tamara M.&quot;,&quot;parse-names&quot;:false,&quot;dropping-particle&quot;:&quot;&quot;,&quot;non-dropping-particle&quot;:&quot;&quot;},{&quot;family&quot;:&quot;Reindl&quot;,&quot;given&quot;:&quot;Caroline&quot;,&quot;parse-names&quot;:false,&quot;dropping-particle&quot;:&quot;&quot;,&quot;non-dropping-particle&quot;:&quot;&quot;},{&quot;family&quot;:&quot;Schwarz&quot;,&quot;given&quot;:&quot;Michael&quot;,&quot;parse-names&quot;:false,&quot;dropping-particle&quot;:&quot;&quot;,&quot;non-dropping-particle&quot;:&quot;&quot;},{&quot;family&quot;:&quot;Schwab&quot;,&quot;given&quot;:&quot;Stefan&quot;,&quot;parse-names&quot;:false,&quot;dropping-particle&quot;:&quot;&quot;,&quot;non-dropping-particle&quot;:&quot;&quot;},{&quot;family&quot;:&quot;Hamer&quot;,&quot;given&quot;:&quot;Hajo M.&quot;,&quot;parse-names&quot;:false,&quot;dropping-particle&quot;:&quot;&quot;,&quot;non-dropping-particle&quot;:&quot;&quot;}],&quot;container-title&quot;:&quot;Seizure&quot;,&quot;container-title-short&quot;:&quot;Seizure&quot;,&quot;accessed&quot;:{&quot;date-parts&quot;:[[2023,6,10]]},&quot;DOI&quot;:&quot;10.1016/J.SEIZURE.2020.09.014&quot;,&quot;ISSN&quot;:&quot;1532-2688&quot;,&quot;PMID&quot;:&quot;33181426&quot;,&quot;URL&quot;:&quot;https://pubmed.ncbi.nlm.nih.gov/33181426/&quot;,&quot;issued&quot;:{&quot;date-parts&quot;:[[2020,12,1]]},&quot;page&quot;:&quot;187-192&quot;,&quot;abstract&quot;:&quot;Purpose: To evaluate psychosocial long-term outcome in patients diagnosed with psychogenic nonepileptic seizures (PNES) and to predict outcome of PNES, economic status, and quality of life (QoL) at follow-up. Methods: Patients diagnosed with PNES in the video-EEG-monitoring unit at our Epilepsy center between 2002–2016 were contacted by phone 1–16 years after communicating the diagnosis. Patients underwent a structured interview asking for current PNES status, psychosocial situation (economic status, marital status, setting of living, driving), depression, and QoL. Results: Of 70 PNES patients without comorbid epilepsy (age: 41.1 ± 13.5 years; 74 % female, follow-up: 5.2 ± 4.2 years), 23 patients (33 %) reported to be free of PNES during the last 12 months. Patients with cessation of PNES were younger at PNES onset (p &lt; .01) and diagnosis (p &lt; .01) and had a higher education (p &lt; .05). At follow-up, the proportion of economically active patients only increased in individuals with cessation of PNES (p &lt; .001) while an increased number of patients with persisting PNES relied on governmental support (p &lt; .001). Cessation of PNES was associated with better mood (p &lt; .01) and QoL (p &lt; .001). In multiple regression models, cessation of PNES was only predicted by younger age at onset, while good economic outcome was determined by younger age and good economic status at diagnosis and cessation of PNES at follow-up. Good QoL at follow-up was predicted by low depressive symptoms, freedom of PNES, and economic activity at follow-up. Conclusion: Long-term outcome in patients with PNES remains to be poor and the majority of patients continue to have PNES. Cessation of PNES was associated with good economic outcome, mood, and QoL.&quot;,&quot;publisher&quot;:&quot;Seizure&quot;,&quot;volume&quot;:&quot;83&quot;},&quot;isTemporary&quot;:false}],&quot;citationTag&quot;:&quot;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&quot;},{&quot;citationID&quot;:&quot;MENDELEY_CITATION_e22d6912-cb63-405f-b36c-493f64b80af9&quot;,&quot;properties&quot;:{&quot;noteIndex&quot;:0},&quot;isEdited&quot;:false,&quot;manualOverride&quot;:{&quot;isManuallyOverridden&quot;:false,&quot;citeprocText&quot;:&quot;(Nicholson et al., 2020)&quot;,&quot;manualOverrideText&quot;:&quot;&quot;},&quot;citationItems&quot;:[{&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citationTag&quot;:&quot;MENDELEY_CITATION_v3_eyJjaXRhdGlvbklEIjoiTUVOREVMRVlfQ0lUQVRJT05fZTIyZDY5MTItY2I2My00MDVmLWIzNmMtNDkzZjY0YjgwYWY5IiwicHJvcGVydGllcyI6eyJub3RlSW5kZXgiOjB9LCJpc0VkaXRlZCI6ZmFsc2UsIm1hbnVhbE92ZXJyaWRlIjp7ImlzTWFudWFsbHlPdmVycmlkZGVuIjpmYWxzZSwiY2l0ZXByb2NUZXh0IjoiKE5pY2hvbHNvbi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quot;},{&quot;citationID&quot;:&quot;MENDELEY_CITATION_bc7d8732-888c-46c4-9efe-7aae6cebbd24&quot;,&quot;properties&quot;:{&quot;noteIndex&quot;:0},&quot;isEdited&quot;:false,&quot;manualOverride&quot;:{&quot;isManuallyOverridden&quot;:true,&quot;citeprocText&quot;:&quot;(A. J. Carson et al., 2012b; Nicholson et al., 2020; Pick, Anderson, et al., 2020)&quot;,&quot;manualOverrideText&quot;:&quot;(Carson et al., 2012b; Nicholson et al., 2020; Pick, Anderson, et al., 2020)&quot;},&quot;citationItems&quot;:[{&quot;id&quot;:&quot;9f62948f-4293-35a0-bcd7-ecb5cbe72a34&quot;,&quot;itemData&quot;:{&quot;type&quot;:&quot;article-journal&quot;,&quot;id&quot;:&quot;9f62948f-4293-35a0-bcd7-ecb5cbe72a34&quot;,&quot;title&quot;:&quot;Functional (conversion) neurological symptoms: research since the millennium&quot;,&quot;author&quot;:[{&quot;family&quot;:&quot;Carson&quot;,&quot;given&quot;:&quot;A J&quot;,&quot;parse-names&quot;:false,&quot;dropping-particle&quot;:&quot;&quot;,&quot;non-dropping-particle&quot;:&quot;&quot;},{&quot;family&quot;:&quot;Brown&quot;,&quot;given&quot;:&quot;R&quot;,&quot;parse-names&quot;:false,&quot;dropping-particle&quot;:&quot;&quot;,&quot;non-dropping-particle&quot;:&quot;&quot;},{&quot;family&quot;:&quot;David&quot;,&quot;given&quot;:&quot;A S&quot;,&quot;parse-names&quot;:false,&quot;dropping-particle&quot;:&quot;&quot;,&quot;non-dropping-particle&quot;:&quot;&quot;},{&quot;family&quot;:&quot;Duncan&quot;,&quot;given&quot;:&quot;R&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Grunewald&quot;,&quot;given&quot;:&quot;R&quot;,&quot;parse-names&quot;:false,&quot;dropping-particle&quot;:&quot;&quot;,&quot;non-dropping-particle&quot;:&quot;&quot;},{&quot;family&quot;:&quot;Howlett&quot;,&quot;given&quot;:&quot;S&quot;,&quot;parse-names&quot;:false,&quot;dropping-particle&quot;:&quot;&quot;,&quot;non-dropping-particle&quot;:&quot;&quot;},{&quot;family&quot;:&quot;Kanaan&quot;,&quot;given&quot;:&quot;R&quot;,&quot;parse-names&quot;:false,&quot;dropping-particle&quot;:&quot;&quot;,&quot;non-dropping-particle&quot;:&quot;&quot;},{&quot;family&quot;:&quot;Mellers&quot;,&quot;given&quot;:&quot;J&quot;,&quot;parse-names&quot;:false,&quot;dropping-particle&quot;:&quot;&quot;,&quot;non-dropping-particle&quot;:&quot;&quot;},{&quot;family&quot;:&quot;Nicholson&quot;,&quot;given&quot;:&quot;T R&quot;,&quot;parse-names&quot;:false,&quot;dropping-particle&quot;:&quot;&quot;,&quot;non-dropping-particle&quot;:&quot;&quot;},{&quot;family&quot;:&quot;Reuber&quot;,&quot;given&quot;:&quot;M&quot;,&quot;parse-names&quot;:false,&quot;dropping-particle&quot;:&quot;&quot;,&quot;non-dropping-particle&quot;:&quot;&quot;},{&quot;family&quot;:&quot;Schrag&quot;,&quot;given&quot;:&quot;A E&quot;,&quot;parse-names&quot;:false,&quot;dropping-particle&quot;:&quot;&quot;,&quot;non-dropping-particle&quot;:&quot;&quot;},{&quot;family&quot;:&quot;Stone&quot;,&quot;given&quot;:&quot;J&quot;,&quot;parse-names&quot;:false,&quot;dropping-particle&quot;:&quot;&quot;,&quot;non-dropping-particle&quot;:&quot;&quot;},{&quot;family&quot;:&quot;Voon&quot;,&quot;given&quot;:&quot;V&quot;,&quot;parse-names&quot;:false,&quot;dropping-particle&quot;:&quot;&quot;,&quot;non-dropping-particle&quot;:&quot;&quot;}],&quot;container-title&quot;:&quot;J Neurol Neurosurg Psychiatry&quot;,&quot;DOI&quot;:&quot;10.1136/jnnp-2011-301860&quot;,&quot;ISSN&quot;:&quot;0022-3050&quot;,&quot;PMID&quot;:&quot;22661497&quot;,&quot;issued&quot;:{&quot;date-parts&quot;:[[2012]]},&quot;page&quot;:&quot;842-850&quot;,&quot;language&quot;:&quot;eng&quot;,&quot;abstract&quot;:&quot;Functional neurological symptoms (FNS) are commonly encountered but have engendered remarkably little academic interest. 'UK-Functional Neurological Symptoms (UK-FNS)' was an informal inaugural meeting of UK based clinicians in March 2011 with a variety of research and clinical interests in the field. This narrative review reflects the content of the meeting, and our opinion of key findings in the field since the turn of the millennium.&quot;,&quot;edition&quot;:&quot;2012/06/05&quot;,&quot;issue&quot;:&quot;8&quot;,&quot;volume&quot;:&quot;83&quot;,&quot;container-title-short&quot;:&quot;&quot;},&quot;isTemporary&quot;:false},{&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id&quot;:&quot;9efeb79a-71d9-3505-8b13-ff928235f0b6&quot;,&quot;itemData&quot;:{&quot;type&quot;:&quot;article-journal&quot;,&quot;id&quot;:&quot;9efeb79a-71d9-3505-8b13-ff928235f0b6&quot;,&quot;title&quot;:&quot;Outcome measurement in functional neurological disorder: a systematic review and recommendations. LID - jnnp-2019-322180 [pii] LID - 10.1136/jnnp-2019-322180 [doi]&quot;,&quot;author&quot;:[{&quot;family&quot;:&quot;Pick&quot;,&quot;given&quot;:&quot;Susannah&quot;,&quot;parse-names&quot;:false,&quot;dropping-particle&quot;:&quot;&quot;,&quot;non-dropping-particle&quot;:&quot;&quot;},{&quot;family&quot;:&quot;Anderson&quot;,&quot;given&quot;:&quot;D&quot;,&quot;parse-names&quot;:false,&quot;dropping-particle&quot;:&quot;&quot;,&quot;non-dropping-particle&quot;:&quot;&quot;},{&quot;family&quot;:&quot;Asadi-Pooya&quot;,&quot;given&quot;:&quot;A&quot;,&quot;parse-names&quot;:false,&quot;dropping-particle&quot;:&quot;&quot;,&quot;non-dropping-particle&quot;:&quot;&quot;},{&quot;family&quot;:&quot;Aybek&quot;,&quot;given&quot;:&quot;S&quot;,&quot;parse-names&quot;:false,&quot;dropping-particle&quot;:&quot;&quot;,&quot;non-dropping-particle&quot;:&quot;&quot;},{&quot;family&quot;:&quot;Baslet&quot;,&quot;given&quot;:&quot;G&quot;,&quot;parse-names&quot;:false,&quot;dropping-particle&quot;:&quot;&quot;,&quot;non-dropping-particle&quot;:&quot;&quot;},{&quot;family&quot;:&quot;Bloem&quot;,&quot;given&quot;:&quot;B&quot;,&quot;parse-names&quot;:false,&quot;dropping-particle&quot;:&quot;&quot;,&quot;non-dropping-particle&quot;:&quot;&quot;},{&quot;family&quot;:&quot;Bradley-Westguard&quot;,&quot;given&quot;:&quot;&quot;,&quot;parse-names&quot;:false,&quot;dropping-particle&quot;:&quot;&quot;,&quot;non-dropping-particle&quot;:&quot;&quot;},{&quot;family&quot;:&quot;Brown&quot;,&quot;given&quot;:&quot;Richard&quot;,&quot;parse-names&quot;:false,&quot;dropping-particle&quot;:&quot;&quot;,&quot;non-dropping-particle&quot;:&quot;&quot;},{&quot;family&quot;:&quot;Brown&quot;,&quot;given&quot;:&quot;Rj Auid-Orcid&quot;,&quot;parse-names&quot;:false,&quot;dropping-particle&quot;:&quot;&quot;,&quot;non-dropping-particle&quot;:&quot;&quot;},{&quot;family&quot;:&quot;Carson&quot;,&quot;given&quot;:&quot;Aj Auid-Orcid&quot;,&quot;parse-names&quot;:false,&quot;dropping-particle&quot;:&quot;&quot;,&quot;non-dropping-particle&quot;:&quot;&quot;},{&quot;family&quot;:&quot;Chalder&quot;,&quot;given&quot;:&quot;T Auid-Orcid&quot;,&quot;parse-names&quot;:false,&quot;dropping-particle&quot;:&quot;&quot;,&quot;non-dropping-particle&quot;:&quot;&quot;},{&quot;family&quot;:&quot;Damianova&quot;,&quot;given&quot;:&quot;M&quot;,&quot;parse-names&quot;:false,&quot;dropping-particle&quot;:&quot;&quot;,&quot;non-dropping-particle&quot;:&quot;&quot;},{&quot;family&quot;:&quot;David&quot;,&quot;given&quot;:&quot;As Auid-Orcid X&quot;,&quot;parse-names&quot;:false,&quot;dropping-particle&quot;:&quot;&quot;,&quot;non-dropping-particle&quot;:&quot;&quot;},{&quot;family&quot;:&quot;Edwards&quot;,&quot;given&quot;:&quot;Mj Auid-Orcid&quot;,&quot;parse-names&quot;:false,&quot;dropping-particle&quot;:&quot;&quot;,&quot;non-dropping-particle&quot;:&quot;&quot;},{&quot;family&quot;:&quot;Epstein&quot;,&quot;given&quot;:&quot;S A&quot;,&quot;parse-names&quot;:false,&quot;dropping-particle&quot;:&quot;&quot;,&quot;non-dropping-particle&quot;:&quot;&quot;},{&quot;family&quot;:&quot;Espay&quot;,&quot;given&quot;:&quot;Aj Auid-Orcid X&quot;,&quot;parse-names&quot;:false,&quot;dropping-particle&quot;:&quot;&quot;,&quot;non-dropping-particle&quot;:&quot;&quot;},{&quot;family&quot;:&quot;Garcin&quot;,&quot;given&quot;:&quot;B Auid-Orcid&quot;,&quot;parse-names&quot;:false,&quot;dropping-particle&quot;:&quot;&quot;,&quot;non-dropping-particle&quot;:&quot;&quot;},{&quot;family&quot;:&quot;Goldstein&quot;,&quot;given&quot;:&quot;Lh Auid-Orcid&quot;,&quot;parse-names&quot;:false,&quot;dropping-particle&quot;:&quot;&quot;,&quot;non-dropping-particle&quot;:&quot;&quot;},{&quot;family&quot;:&quot;Hallett&quot;,&quot;given&quot;:&quot;M Auid-Orcid&quot;,&quot;parse-names&quot;:false,&quot;dropping-particle&quot;:&quot;&quot;,&quot;non-dropping-particle&quot;:&quot;&quot;},{&quot;family&quot;:&quot;Jankovic&quot;,&quot;given&quot;:&quot;J Auid-Orcid&quot;,&quot;parse-names&quot;:false,&quot;dropping-particle&quot;:&quot;&quot;,&quot;non-dropping-particle&quot;:&quot;&quot;},{&quot;family&quot;:&quot;Joyce&quot;,&quot;given&quot;:&quot;Em Auid-Orcid&quot;,&quot;parse-names&quot;:false,&quot;dropping-particle&quot;:&quot;&quot;,&quot;non-dropping-particle&quot;:&quot;&quot;},{&quot;family&quot;:&quot;Kanaan&quot;,&quot;given&quot;:&quot;Ra Auid-Orcid&quot;,&quot;parse-names&quot;:false,&quot;dropping-particle&quot;:&quot;&quot;,&quot;non-dropping-particle&quot;:&quot;&quot;},{&quot;family&quot;:&quot;Keynejad&quot;,&quot;given&quot;:&quot;Rc Auid-Orcid&quot;,&quot;parse-names&quot;:false,&quot;dropping-particle&quot;:&quot;&quot;,&quot;non-dropping-particle&quot;:&quot;&quot;},{&quot;family&quot;:&quot;Kozlowska&quot;,&quot;given&quot;:&quot;K Auid-Orcid&quot;,&quot;parse-names&quot;:false,&quot;dropping-particle&quot;:&quot;&quot;,&quot;non-dropping-particle&quot;:&quot;&quot;},{&quot;family&quot;:&quot;LaFaver&quot;,&quot;given&quot;:&quot;K Auid-Orcid X&quot;,&quot;parse-names&quot;:false,&quot;dropping-particle&quot;:&quot;&quot;,&quot;non-dropping-particle&quot;:&quot;&quot;},{&quot;family&quot;:&quot;LaFrance&quot;,&quot;given&quot;:&quot;W C Jr Auid-Orcid&quot;,&quot;parse-names&quot;:false,&quot;dropping-particle&quot;:&quot;&quot;,&quot;non-dropping-particle&quot;:&quot;&quot;},{&quot;family&quot;:&quot;Lang&quot;,&quot;given&quot;:&quot;Ae Auid-Orcid&quot;,&quot;parse-names&quot;:false,&quot;dropping-particle&quot;:&quot;&quot;,&quot;non-dropping-particle&quot;:&quot;&quot;},{&quot;family&quot;:&quot;Lehn&quot;,&quot;given&quot;:&quot;A Auid-Orcid&quot;,&quot;parse-names&quot;:false,&quot;dropping-particle&quot;:&quot;&quot;,&quot;non-dropping-particle&quot;:&quot;&quot;},{&quot;family&quot;:&quot;Lidstone&quot;,&quot;given&quot;:&quot;S Auid-Orcid&quot;,&quot;parse-names&quot;:false,&quot;dropping-particle&quot;:&quot;&quot;,&quot;non-dropping-particle&quot;:&quot;&quot;},{&quot;family&quot;:&quot;Maurer&quot;,&quot;given&quot;:&quot;Cw Auid-Orcid&quot;,&quot;parse-names&quot;:false,&quot;dropping-particle&quot;:&quot;&quot;,&quot;non-dropping-particle&quot;:&quot;&quot;},{&quot;family&quot;:&quot;Mildon&quot;,&quot;given&quot;:&quot;B Auid-Orcid&quot;,&quot;parse-names&quot;:false,&quot;dropping-particle&quot;:&quot;&quot;,&quot;non-dropping-particle&quot;:&quot;&quot;},{&quot;family&quot;:&quot;Morgante&quot;,&quot;given&quot;:&quot;F Auid-Orcid&quot;,&quot;parse-names&quot;:false,&quot;dropping-particle&quot;:&quot;&quot;,&quot;non-dropping-particle&quot;:&quot;&quot;},{&quot;family&quot;:&quot;Myers&quot;,&quot;given&quot;:&quot;L Auid-Orcid&quot;,&quot;parse-names&quot;:false,&quot;dropping-particle&quot;:&quot;&quot;,&quot;non-dropping-particle&quot;:&quot;&quot;},{&quot;family&quot;:&quot;Nicholson&quot;,&quot;given&quot;:&quot;C Auid-Orcid&quot;,&quot;parse-names&quot;:false,&quot;dropping-particle&quot;:&quot;&quot;,&quot;non-dropping-particle&quot;:&quot;&quot;},{&quot;family&quot;:&quot;Nielsen&quot;,&quot;given&quot;:&quot;G Auid-Orcid&quot;,&quot;parse-names&quot;:false,&quot;dropping-particle&quot;:&quot;&quot;,&quot;non-dropping-particle&quot;:&quot;&quot;},{&quot;family&quot;:&quot;Perez&quot;,&quot;given&quot;:&quot;Dl Auid-Orcid X&quot;,&quot;parse-names&quot;:false,&quot;dropping-particle&quot;:&quot;&quot;,&quot;non-dropping-particle&quot;:&quot;&quot;},{&quot;family&quot;:&quot;Popkirov&quot;,&quot;given&quot;:&quot;S Auid-Orcid&quot;,&quot;parse-names&quot;:false,&quot;dropping-particle&quot;:&quot;&quot;,&quot;non-dropping-particle&quot;:&quot;&quot;},{&quot;family&quot;:&quot;Reuber&quot;,&quot;given&quot;:&quot;M Auid-Orcid&quot;,&quot;parse-names&quot;:false,&quot;dropping-particle&quot;:&quot;&quot;,&quot;non-dropping-particle&quot;:&quot;&quot;},{&quot;family&quot;:&quot;Rommelfanger&quot;,&quot;given&quot;:&quot;Ks Auid-Orcid&quot;,&quot;parse-names&quot;:false,&quot;dropping-particle&quot;:&quot;&quot;,&quot;non-dropping-particle&quot;:&quot;&quot;},{&quot;family&quot;:&quot;Schwingenshuh&quot;,&quot;given&quot;:&quot;P Auid-Orcid&quot;,&quot;parse-names&quot;:false,&quot;dropping-particle&quot;:&quot;&quot;,&quot;non-dropping-particle&quot;:&quot;&quot;},{&quot;family&quot;:&quot;Serranova&quot;,&quot;given&quot;:&quot;T Auid-Orcid&quot;,&quot;parse-names&quot;:false,&quot;dropping-particle&quot;:&quot;&quot;,&quot;non-dropping-particle&quot;:&quot;&quot;},{&quot;family&quot;:&quot;Shotbolt&quot;,&quot;given&quot;:&quot;P Auid-Orcid X&quot;,&quot;parse-names&quot;:false,&quot;dropping-particle&quot;:&quot;&quot;,&quot;non-dropping-particle&quot;:&quot;&quot;},{&quot;family&quot;:&quot;Stebbins&quot;,&quot;given&quot;:&quot;Gt Auid-Orcid&quot;,&quot;parse-names&quot;:false,&quot;dropping-particle&quot;:&quot;&quot;,&quot;non-dropping-particle&quot;:&quot;&quot;},{&quot;family&quot;:&quot;Stone&quot;,&quot;given&quot;:&quot;J Auid-Orcid&quot;,&quot;parse-names&quot;:false,&quot;dropping-particle&quot;:&quot;&quot;,&quot;non-dropping-particle&quot;:&quot;&quot;},{&quot;family&quot;:&quot;Tijssen&quot;,&quot;given&quot;:&quot;Ma Auid-Orcid X&quot;,&quot;parse-names&quot;:false,&quot;dropping-particle&quot;:&quot;&quot;,&quot;non-dropping-particle&quot;:&quot;&quot;},{&quot;family&quot;:&quot;Tinazzi&quot;,&quot;given&quot;:&quot;M Auid-Orcid&quot;,&quot;parse-names&quot;:false,&quot;dropping-particle&quot;:&quot;&quot;,&quot;non-dropping-particle&quot;:&quot;&quot;},{&quot;family&quot;:&quot;Nicholson&quot;,&quot;given&quot;:&quot;Tr Auid-Orcid&quot;,&quot;parse-names&quot;:false,&quot;dropping-particle&quot;:&quot;&quot;,&quot;non-dropping-particle&quot;:&quot;&quot;},{&quot;family&quot;:&quot;Psychiatry&quot;,&quot;given&quot;:&quot;J Neurol Neurosurg&quot;,&quot;parse-names&quot;:false,&quot;dropping-particle&quot;:&quot;&quot;,&quot;non-dropping-particle&quot;:&quot;&quot;}],&quot;issued&quot;:{&quot;date-parts&quot;:[[2020]]},&quot;language&quot;:&quot;eng&quot;,&quot;abstract&quot;:&quot;OBJECTIVES: We aimed to identify existing outcome measures for functional neurological disorder (FND), to inform the development of recommendations and to guide future research on FND outcomes. METHODS: A systematic review was conducted to identify existing FND-specific outcome measures and the most common measurement domains and measures in previous treatment studies. Searches of Embase, MEDLINE and PsycINFO were conducted between January 1965 and June 2019. The findings were discussed during two international meetings of the FND-Core Outcome Measures group. RESULTS: Five FND-specific measures were identified-three clinician-rated and two patient-rated-but their measurement properties have not been rigorously evaluated. No single measure was identified for use across the range of FND symptoms in adults. Across randomised controlled trials (k=40) and observational treatment studies (k=40), outcome measures most often assessed core FND symptom change. Other domains measured commonly were additional physical and psychological symptoms, life impact (ie, quality of life, disability and general functioning) and health economics/cost-utility (eg, healthcare resource use and quality-adjusted life years). CONCLUSIONS: There are few well-validated FND-specific outcome measures. Thus, at present, we recommend that existing outcome measures, known to be reliable, valid and responsive in FND or closely related populations, are used to capture key outcome domains. Increased consistency in outcome measurement will facilitate comparison of treatment effects across FND symptom types and treatment modalities. Future work needs to more rigorously validate outcome measures used in this population.&quot;,&quot;issue&quot;:&quot;1468-330X (Electronic)&quot;,&quot;container-title-short&quot;:&quot;&quot;},&quot;isTemporary&quot;:false}],&quot;citationTag&quot;:&quot;MENDELEY_CITATION_v3_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&quot;},{&quot;citationID&quot;:&quot;MENDELEY_CITATION_506f6cb3-b225-4ff0-8578-b31c6d20bc4d&quot;,&quot;properties&quot;:{&quot;noteIndex&quot;:0},&quot;isEdited&quot;:false,&quot;manualOverride&quot;:{&quot;isManuallyOverridden&quot;:true,&quot;citeprocText&quot;:&quot;(LaFrance et al., 2014; Nicholson et al., 2020; Perez, 2020; Pick, Anderson, et al., 2020)&quot;,&quot;manualOverrideText&quot;:&quot;(LaFrance et al., 2014; Nicholson et al., 2020; Perez, 2020; Pick, Anderson et al., 2020)&quot;},&quot;citationItems&quot;:[{&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id&quot;:&quot;9efeb79a-71d9-3505-8b13-ff928235f0b6&quot;,&quot;itemData&quot;:{&quot;type&quot;:&quot;article-journal&quot;,&quot;id&quot;:&quot;9efeb79a-71d9-3505-8b13-ff928235f0b6&quot;,&quot;title&quot;:&quot;Outcome measurement in functional neurological disorder: a systematic review and recommendations. LID - jnnp-2019-322180 [pii] LID - 10.1136/jnnp-2019-322180 [doi]&quot;,&quot;author&quot;:[{&quot;family&quot;:&quot;Pick&quot;,&quot;given&quot;:&quot;Susannah&quot;,&quot;parse-names&quot;:false,&quot;dropping-particle&quot;:&quot;&quot;,&quot;non-dropping-particle&quot;:&quot;&quot;},{&quot;family&quot;:&quot;Anderson&quot;,&quot;given&quot;:&quot;D&quot;,&quot;parse-names&quot;:false,&quot;dropping-particle&quot;:&quot;&quot;,&quot;non-dropping-particle&quot;:&quot;&quot;},{&quot;family&quot;:&quot;Asadi-Pooya&quot;,&quot;given&quot;:&quot;A&quot;,&quot;parse-names&quot;:false,&quot;dropping-particle&quot;:&quot;&quot;,&quot;non-dropping-particle&quot;:&quot;&quot;},{&quot;family&quot;:&quot;Aybek&quot;,&quot;given&quot;:&quot;S&quot;,&quot;parse-names&quot;:false,&quot;dropping-particle&quot;:&quot;&quot;,&quot;non-dropping-particle&quot;:&quot;&quot;},{&quot;family&quot;:&quot;Baslet&quot;,&quot;given&quot;:&quot;G&quot;,&quot;parse-names&quot;:false,&quot;dropping-particle&quot;:&quot;&quot;,&quot;non-dropping-particle&quot;:&quot;&quot;},{&quot;family&quot;:&quot;Bloem&quot;,&quot;given&quot;:&quot;B&quot;,&quot;parse-names&quot;:false,&quot;dropping-particle&quot;:&quot;&quot;,&quot;non-dropping-particle&quot;:&quot;&quot;},{&quot;family&quot;:&quot;Bradley-Westguard&quot;,&quot;given&quot;:&quot;&quot;,&quot;parse-names&quot;:false,&quot;dropping-particle&quot;:&quot;&quot;,&quot;non-dropping-particle&quot;:&quot;&quot;},{&quot;family&quot;:&quot;Brown&quot;,&quot;given&quot;:&quot;Richard&quot;,&quot;parse-names&quot;:false,&quot;dropping-particle&quot;:&quot;&quot;,&quot;non-dropping-particle&quot;:&quot;&quot;},{&quot;family&quot;:&quot;Brown&quot;,&quot;given&quot;:&quot;Rj Auid-Orcid&quot;,&quot;parse-names&quot;:false,&quot;dropping-particle&quot;:&quot;&quot;,&quot;non-dropping-particle&quot;:&quot;&quot;},{&quot;family&quot;:&quot;Carson&quot;,&quot;given&quot;:&quot;Aj Auid-Orcid&quot;,&quot;parse-names&quot;:false,&quot;dropping-particle&quot;:&quot;&quot;,&quot;non-dropping-particle&quot;:&quot;&quot;},{&quot;family&quot;:&quot;Chalder&quot;,&quot;given&quot;:&quot;T Auid-Orcid&quot;,&quot;parse-names&quot;:false,&quot;dropping-particle&quot;:&quot;&quot;,&quot;non-dropping-particle&quot;:&quot;&quot;},{&quot;family&quot;:&quot;Damianova&quot;,&quot;given&quot;:&quot;M&quot;,&quot;parse-names&quot;:false,&quot;dropping-particle&quot;:&quot;&quot;,&quot;non-dropping-particle&quot;:&quot;&quot;},{&quot;family&quot;:&quot;David&quot;,&quot;given&quot;:&quot;As Auid-Orcid X&quot;,&quot;parse-names&quot;:false,&quot;dropping-particle&quot;:&quot;&quot;,&quot;non-dropping-particle&quot;:&quot;&quot;},{&quot;family&quot;:&quot;Edwards&quot;,&quot;given&quot;:&quot;Mj Auid-Orcid&quot;,&quot;parse-names&quot;:false,&quot;dropping-particle&quot;:&quot;&quot;,&quot;non-dropping-particle&quot;:&quot;&quot;},{&quot;family&quot;:&quot;Epstein&quot;,&quot;given&quot;:&quot;S A&quot;,&quot;parse-names&quot;:false,&quot;dropping-particle&quot;:&quot;&quot;,&quot;non-dropping-particle&quot;:&quot;&quot;},{&quot;family&quot;:&quot;Espay&quot;,&quot;given&quot;:&quot;Aj Auid-Orcid X&quot;,&quot;parse-names&quot;:false,&quot;dropping-particle&quot;:&quot;&quot;,&quot;non-dropping-particle&quot;:&quot;&quot;},{&quot;family&quot;:&quot;Garcin&quot;,&quot;given&quot;:&quot;B Auid-Orcid&quot;,&quot;parse-names&quot;:false,&quot;dropping-particle&quot;:&quot;&quot;,&quot;non-dropping-particle&quot;:&quot;&quot;},{&quot;family&quot;:&quot;Goldstein&quot;,&quot;given&quot;:&quot;Lh Auid-Orcid&quot;,&quot;parse-names&quot;:false,&quot;dropping-particle&quot;:&quot;&quot;,&quot;non-dropping-particle&quot;:&quot;&quot;},{&quot;family&quot;:&quot;Hallett&quot;,&quot;given&quot;:&quot;M Auid-Orcid&quot;,&quot;parse-names&quot;:false,&quot;dropping-particle&quot;:&quot;&quot;,&quot;non-dropping-particle&quot;:&quot;&quot;},{&quot;family&quot;:&quot;Jankovic&quot;,&quot;given&quot;:&quot;J Auid-Orcid&quot;,&quot;parse-names&quot;:false,&quot;dropping-particle&quot;:&quot;&quot;,&quot;non-dropping-particle&quot;:&quot;&quot;},{&quot;family&quot;:&quot;Joyce&quot;,&quot;given&quot;:&quot;Em Auid-Orcid&quot;,&quot;parse-names&quot;:false,&quot;dropping-particle&quot;:&quot;&quot;,&quot;non-dropping-particle&quot;:&quot;&quot;},{&quot;family&quot;:&quot;Kanaan&quot;,&quot;given&quot;:&quot;Ra Auid-Orcid&quot;,&quot;parse-names&quot;:false,&quot;dropping-particle&quot;:&quot;&quot;,&quot;non-dropping-particle&quot;:&quot;&quot;},{&quot;family&quot;:&quot;Keynejad&quot;,&quot;given&quot;:&quot;Rc Auid-Orcid&quot;,&quot;parse-names&quot;:false,&quot;dropping-particle&quot;:&quot;&quot;,&quot;non-dropping-particle&quot;:&quot;&quot;},{&quot;family&quot;:&quot;Kozlowska&quot;,&quot;given&quot;:&quot;K Auid-Orcid&quot;,&quot;parse-names&quot;:false,&quot;dropping-particle&quot;:&quot;&quot;,&quot;non-dropping-particle&quot;:&quot;&quot;},{&quot;family&quot;:&quot;LaFaver&quot;,&quot;given&quot;:&quot;K Auid-Orcid X&quot;,&quot;parse-names&quot;:false,&quot;dropping-particle&quot;:&quot;&quot;,&quot;non-dropping-particle&quot;:&quot;&quot;},{&quot;family&quot;:&quot;LaFrance&quot;,&quot;given&quot;:&quot;W C Jr Auid-Orcid&quot;,&quot;parse-names&quot;:false,&quot;dropping-particle&quot;:&quot;&quot;,&quot;non-dropping-particle&quot;:&quot;&quot;},{&quot;family&quot;:&quot;Lang&quot;,&quot;given&quot;:&quot;Ae Auid-Orcid&quot;,&quot;parse-names&quot;:false,&quot;dropping-particle&quot;:&quot;&quot;,&quot;non-dropping-particle&quot;:&quot;&quot;},{&quot;family&quot;:&quot;Lehn&quot;,&quot;given&quot;:&quot;A Auid-Orcid&quot;,&quot;parse-names&quot;:false,&quot;dropping-particle&quot;:&quot;&quot;,&quot;non-dropping-particle&quot;:&quot;&quot;},{&quot;family&quot;:&quot;Lidstone&quot;,&quot;given&quot;:&quot;S Auid-Orcid&quot;,&quot;parse-names&quot;:false,&quot;dropping-particle&quot;:&quot;&quot;,&quot;non-dropping-particle&quot;:&quot;&quot;},{&quot;family&quot;:&quot;Maurer&quot;,&quot;given&quot;:&quot;Cw Auid-Orcid&quot;,&quot;parse-names&quot;:false,&quot;dropping-particle&quot;:&quot;&quot;,&quot;non-dropping-particle&quot;:&quot;&quot;},{&quot;family&quot;:&quot;Mildon&quot;,&quot;given&quot;:&quot;B Auid-Orcid&quot;,&quot;parse-names&quot;:false,&quot;dropping-particle&quot;:&quot;&quot;,&quot;non-dropping-particle&quot;:&quot;&quot;},{&quot;family&quot;:&quot;Morgante&quot;,&quot;given&quot;:&quot;F Auid-Orcid&quot;,&quot;parse-names&quot;:false,&quot;dropping-particle&quot;:&quot;&quot;,&quot;non-dropping-particle&quot;:&quot;&quot;},{&quot;family&quot;:&quot;Myers&quot;,&quot;given&quot;:&quot;L Auid-Orcid&quot;,&quot;parse-names&quot;:false,&quot;dropping-particle&quot;:&quot;&quot;,&quot;non-dropping-particle&quot;:&quot;&quot;},{&quot;family&quot;:&quot;Nicholson&quot;,&quot;given&quot;:&quot;C Auid-Orcid&quot;,&quot;parse-names&quot;:false,&quot;dropping-particle&quot;:&quot;&quot;,&quot;non-dropping-particle&quot;:&quot;&quot;},{&quot;family&quot;:&quot;Nielsen&quot;,&quot;given&quot;:&quot;G Auid-Orcid&quot;,&quot;parse-names&quot;:false,&quot;dropping-particle&quot;:&quot;&quot;,&quot;non-dropping-particle&quot;:&quot;&quot;},{&quot;family&quot;:&quot;Perez&quot;,&quot;given&quot;:&quot;Dl Auid-Orcid X&quot;,&quot;parse-names&quot;:false,&quot;dropping-particle&quot;:&quot;&quot;,&quot;non-dropping-particle&quot;:&quot;&quot;},{&quot;family&quot;:&quot;Popkirov&quot;,&quot;given&quot;:&quot;S Auid-Orcid&quot;,&quot;parse-names&quot;:false,&quot;dropping-particle&quot;:&quot;&quot;,&quot;non-dropping-particle&quot;:&quot;&quot;},{&quot;family&quot;:&quot;Reuber&quot;,&quot;given&quot;:&quot;M Auid-Orcid&quot;,&quot;parse-names&quot;:false,&quot;dropping-particle&quot;:&quot;&quot;,&quot;non-dropping-particle&quot;:&quot;&quot;},{&quot;family&quot;:&quot;Rommelfanger&quot;,&quot;given&quot;:&quot;Ks Auid-Orcid&quot;,&quot;parse-names&quot;:false,&quot;dropping-particle&quot;:&quot;&quot;,&quot;non-dropping-particle&quot;:&quot;&quot;},{&quot;family&quot;:&quot;Schwingenshuh&quot;,&quot;given&quot;:&quot;P Auid-Orcid&quot;,&quot;parse-names&quot;:false,&quot;dropping-particle&quot;:&quot;&quot;,&quot;non-dropping-particle&quot;:&quot;&quot;},{&quot;family&quot;:&quot;Serranova&quot;,&quot;given&quot;:&quot;T Auid-Orcid&quot;,&quot;parse-names&quot;:false,&quot;dropping-particle&quot;:&quot;&quot;,&quot;non-dropping-particle&quot;:&quot;&quot;},{&quot;family&quot;:&quot;Shotbolt&quot;,&quot;given&quot;:&quot;P Auid-Orcid X&quot;,&quot;parse-names&quot;:false,&quot;dropping-particle&quot;:&quot;&quot;,&quot;non-dropping-particle&quot;:&quot;&quot;},{&quot;family&quot;:&quot;Stebbins&quot;,&quot;given&quot;:&quot;Gt Auid-Orcid&quot;,&quot;parse-names&quot;:false,&quot;dropping-particle&quot;:&quot;&quot;,&quot;non-dropping-particle&quot;:&quot;&quot;},{&quot;family&quot;:&quot;Stone&quot;,&quot;given&quot;:&quot;J Auid-Orcid&quot;,&quot;parse-names&quot;:false,&quot;dropping-particle&quot;:&quot;&quot;,&quot;non-dropping-particle&quot;:&quot;&quot;},{&quot;family&quot;:&quot;Tijssen&quot;,&quot;given&quot;:&quot;Ma Auid-Orcid X&quot;,&quot;parse-names&quot;:false,&quot;dropping-particle&quot;:&quot;&quot;,&quot;non-dropping-particle&quot;:&quot;&quot;},{&quot;family&quot;:&quot;Tinazzi&quot;,&quot;given&quot;:&quot;M Auid-Orcid&quot;,&quot;parse-names&quot;:false,&quot;dropping-particle&quot;:&quot;&quot;,&quot;non-dropping-particle&quot;:&quot;&quot;},{&quot;family&quot;:&quot;Nicholson&quot;,&quot;given&quot;:&quot;Tr Auid-Orcid&quot;,&quot;parse-names&quot;:false,&quot;dropping-particle&quot;:&quot;&quot;,&quot;non-dropping-particle&quot;:&quot;&quot;},{&quot;family&quot;:&quot;Psychiatry&quot;,&quot;given&quot;:&quot;J Neurol Neurosurg&quot;,&quot;parse-names&quot;:false,&quot;dropping-particle&quot;:&quot;&quot;,&quot;non-dropping-particle&quot;:&quot;&quot;}],&quot;issued&quot;:{&quot;date-parts&quot;:[[2020]]},&quot;language&quot;:&quot;eng&quot;,&quot;abstract&quot;:&quot;OBJECTIVES: We aimed to identify existing outcome measures for functional neurological disorder (FND), to inform the development of recommendations and to guide future research on FND outcomes. METHODS: A systematic review was conducted to identify existing FND-specific outcome measures and the most common measurement domains and measures in previous treatment studies. Searches of Embase, MEDLINE and PsycINFO were conducted between January 1965 and June 2019. The findings were discussed during two international meetings of the FND-Core Outcome Measures group. RESULTS: Five FND-specific measures were identified-three clinician-rated and two patient-rated-but their measurement properties have not been rigorously evaluated. No single measure was identified for use across the range of FND symptoms in adults. Across randomised controlled trials (k=40) and observational treatment studies (k=40), outcome measures most often assessed core FND symptom change. Other domains measured commonly were additional physical and psychological symptoms, life impact (ie, quality of life, disability and general functioning) and health economics/cost-utility (eg, healthcare resource use and quality-adjusted life years). CONCLUSIONS: There are few well-validated FND-specific outcome measures. Thus, at present, we recommend that existing outcome measures, known to be reliable, valid and responsive in FND or closely related populations, are used to capture key outcome domains. Increased consistency in outcome measurement will facilitate comparison of treatment effects across FND symptom types and treatment modalities. Future work needs to more rigorously validate outcome measures used in this population.&quot;,&quot;issue&quot;:&quot;1468-330X (Electronic)&quot;,&quot;container-title-short&quot;:&quot;&quot;},&quot;isTemporary&quot;:false},{&quot;id&quot;:&quot;652c2810-e6e3-3293-826d-3fb32634f9ac&quot;,&quot;itemData&quot;:{&quot;type&quot;:&quot;article-journal&quot;,&quot;id&quot;:&quot;652c2810-e6e3-3293-826d-3fb32634f9ac&quot;,&quot;title&quot;:&quot;The CODES trial for dissociative seizures: a landmark study and inflection point&quot;,&quot;author&quot;:[{&quot;family&quot;:&quot;Perez&quot;,&quot;given&quot;:&quot;David L&quot;,&quot;parse-names&quot;:false,&quot;dropping-particle&quot;:&quot;&quot;,&quot;non-dropping-particle&quot;:&quot;&quot;}],&quot;container-title&quot;:&quot;The Lancet Psychiatry&quot;,&quot;container-title-short&quot;:&quot;Lancet Psychiatry&quot;,&quot;DOI&quot;:&quot;10.1016/s2215-0366(20)30143-7&quot;,&quot;ISSN&quot;:&quot;2215-0366&quot;,&quot;issued&quot;:{&quot;date-parts&quot;:[[2020]]},&quot;page&quot;:&quot;464-465&quot;,&quot;publisher&quot;:&quot;Elsevier BV&quot;,&quot;issue&quot;:&quot;6&quot;,&quot;volume&quot;:&quot;7&quot;},&quot;isTemporary&quot;:false},{&quot;id&quot;:&quot;b98b397b-bc68-3603-8889-1eaf87e34718&quot;,&quot;itemData&quot;:{&quot;type&quot;:&quot;article-journal&quot;,&quot;id&quot;:&quot;b98b397b-bc68-3603-8889-1eaf87e34718&quot;,&quot;title&quot;:&quot;Multicenter Pilot Treatment Trial for Psychogenic Nonepileptic Seizures: A Randomized Clinical Trial&quot;,&quot;author&quot;:[{&quot;family&quot;:&quot;LaFrance&quot;,&quot;given&quot;:&quot;W. Curt&quot;,&quot;parse-names&quot;:false,&quot;dropping-particle&quot;:&quot;&quot;,&quot;non-dropping-particle&quot;:&quot;&quot;},{&quot;family&quot;:&quot;Baird&quot;,&quot;given&quot;:&quot;Grayson L.&quot;,&quot;parse-names&quot;:false,&quot;dropping-particle&quot;:&quot;&quot;,&quot;non-dropping-particle&quot;:&quot;&quot;},{&quot;family&quot;:&quot;Barry&quot;,&quot;given&quot;:&quot;John J.&quot;,&quot;parse-names&quot;:false,&quot;dropping-particle&quot;:&quot;&quot;,&quot;non-dropping-particle&quot;:&quot;&quot;},{&quot;family&quot;:&quot;Blum&quot;,&quot;given&quot;:&quot;Andrew S.&quot;,&quot;parse-names&quot;:false,&quot;dropping-particle&quot;:&quot;&quot;,&quot;non-dropping-particle&quot;:&quot;&quot;},{&quot;family&quot;:&quot;Webb&quot;,&quot;given&quot;:&quot;Anne Frank&quot;,&quot;parse-names&quot;:false,&quot;dropping-particle&quot;:&quot;&quot;,&quot;non-dropping-particle&quot;:&quot;&quot;},{&quot;family&quot;:&quot;Keitner&quot;,&quot;given&quot;:&quot;Gabor I.&quot;,&quot;parse-names&quot;:false,&quot;dropping-particle&quot;:&quot;&quot;,&quot;non-dropping-particle&quot;:&quot;&quot;},{&quot;family&quot;:&quot;Machan&quot;,&quot;given&quot;:&quot;Jason T.&quot;,&quot;parse-names&quot;:false,&quot;dropping-particle&quot;:&quot;&quot;,&quot;non-dropping-particle&quot;:&quot;&quot;},{&quot;family&quot;:&quot;Miller&quot;,&quot;given&quot;:&quot;Ivan&quot;,&quot;parse-names&quot;:false,&quot;dropping-particle&quot;:&quot;&quot;,&quot;non-dropping-particle&quot;:&quot;&quot;},{&quot;family&quot;:&quot;Szaflarski&quot;,&quot;given&quot;:&quot;Jerzy P.&quot;,&quot;parse-names&quot;:false,&quot;dropping-particle&quot;:&quot;&quot;,&quot;non-dropping-particle&quot;:&quot;&quot;}],&quot;container-title&quot;:&quot;JAMA Psychiatry&quot;,&quot;container-title-short&quot;:&quot;JAMA Psychiatry&quot;,&quot;accessed&quot;:{&quot;date-parts&quot;:[[2023,5,29]]},&quot;DOI&quot;:&quot;10.1001/JAMAPSYCHIATRY.2014.817&quot;,&quot;ISSN&quot;:&quot;2168-622X&quot;,&quot;PMID&quot;:&quot;24989152&quot;,&quot;URL&quot;:&quot;https://jamanetwork.com/journals/jamapsychiatry/fullarticle/1884286&quot;,&quot;issued&quot;:{&quot;date-parts&quot;:[[2014,9,1]]},&quot;page&quot;:&quot;997-1005&quot;,&quot;abstract&quot;:&quot;&lt;h3&gt;Importance&lt;/h3&gt;&lt;p&gt;There is a paucity of controlled treatment trials for the treatment of conversion disorder, seizures type, also known as psychogenic nonepileptic seizures (PNES). Psychogenic nonepileptic seizures, the most common conversion disorder, are as disabling as epilepsy and are not adequately addressed or treated by mental health clinicians.&lt;/p&gt;&lt;h3&gt;Objective&lt;/h3&gt;&lt;p&gt;To evaluate different PNES treatments compared with standard medical care (treatment as usual).&lt;/p&gt;&lt;h3&gt;Design, Setting, and Participants&lt;/h3&gt;&lt;p&gt;Pilot randomized clinical trial at 3 academic medical centers with mental health clinicians trained to administer psychotherapy or psychopharmacology to outpatients with PNES. Thirty-eight participants were randomized in a blocked schedule among 3 sites to 1 of 4 treatment arms and were followed up for 16 weeks between September 2008 and February 2012; 34 were included in the analysis.&lt;/p&gt;&lt;h3&gt;Interventions&lt;/h3&gt;&lt;p&gt;Medication (flexible-dose sertraline hydrochloride) only, cognitive behavioral therapy informed psychotherapy (CBT-ip) only, CBT-ip with medication (sertraline), or treatment as usual.&lt;/p&gt;&lt;h3&gt;Main Outcomes and Measures&lt;/h3&gt;&lt;p&gt;Seizure frequency was the primary outcome; psychosocial and functioning measures, including psychiatric symptoms, social interactions, quality of life, and global functioning, were secondary outcomes. Data were collected prospectively, weekly, and with baseline, week 2, midpoint (week 8), and exit (week 16) batteries. Within-group analyses for each arm were performed on primary (seizure frequency) and secondary outcomes from treatment-blinded raters using an intention-to-treat analysis.&lt;/p&gt;&lt;h3&gt;Results&lt;/h3&gt;&lt;p&gt;The psychotherapy (CBT-ip) arm showed a 51.4% seizure reduction (&lt;i&gt;P&lt;/i&gt; = .01) and significant improvement from baseline in secondary measures including depression, anxiety, quality of life, and global functioning (&lt;i&gt;P&lt;/i&gt; &amp;lt; .001). The combined arm (CBT-ip with sertraline) showed 59.3% seizure reduction (&lt;i&gt;P&lt;/i&gt; = .008) and significant improvements in some secondary measures, including global functioning (&lt;i&gt;P&lt;/i&gt; = .007). The sertraline-only arm did not show a reduction in seizures (&lt;i&gt;P&lt;/i&gt; = .08). The treatment as usual group showed no significant seizure reduction or improvement in secondary outcome measures (&lt;i&gt;P&lt;/i&gt; = .19).&lt;/p&gt;&lt;h3&gt;Conclusions and Relevance&lt;/h3&gt;&lt;p&gt;This pilot randomized clinical trial for PNES revealed significant seizure reduction and improved comorbid symptoms and global functioning with CBT-ip for PNES without and with sertraline. There were no improvements in the sertraline-only or treatment-as-usual arms. This study supports the use of manualized psychotherapy for PNES and successful training of mental health clinicians in the treatment. Future studies could assess larger-scale intervention dissemination.&lt;/p&gt;&lt;h3&gt;Trial Registration&lt;/h3&gt;&lt;p&gt;clinicaltrials.gov Identifier:NCT00835627&lt;/p&gt;&quot;,&quot;publisher&quot;:&quot;American Medical Association&quot;,&quot;issue&quot;:&quot;9&quot;,&quot;volume&quot;:&quot;71&quot;},&quot;isTemporary&quot;:false}],&quot;citationTag&quot;:&quot;MENDELEY_CITATION_v3_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&quot;},{&quot;citationID&quot;:&quot;MENDELEY_CITATION_7bbeb2b9-6875-4055-b0b8-49a3fc84a0e3&quot;,&quot;properties&quot;:{&quot;noteIndex&quot;:0},&quot;isEdited&quot;:false,&quot;manualOverride&quot;:{&quot;isManuallyOverridden&quot;:true,&quot;citeprocText&quot;:&quot;(Espay, Aybek, et al., 2018; Pick, Anderson, et al., 2020)&quot;,&quot;manualOverrideText&quot;:&quot;(Espay et al., 2018; Pick et al., 2020)&quot;},&quot;citationItems&quot;:[{&quot;id&quot;:&quot;9efeb79a-71d9-3505-8b13-ff928235f0b6&quot;,&quot;itemData&quot;:{&quot;type&quot;:&quot;article-journal&quot;,&quot;id&quot;:&quot;9efeb79a-71d9-3505-8b13-ff928235f0b6&quot;,&quot;title&quot;:&quot;Outcome measurement in functional neurological disorder: a systematic review and recommendations. LID - jnnp-2019-322180 [pii] LID - 10.1136/jnnp-2019-322180 [doi]&quot;,&quot;author&quot;:[{&quot;family&quot;:&quot;Pick&quot;,&quot;given&quot;:&quot;Susannah&quot;,&quot;parse-names&quot;:false,&quot;dropping-particle&quot;:&quot;&quot;,&quot;non-dropping-particle&quot;:&quot;&quot;},{&quot;family&quot;:&quot;Anderson&quot;,&quot;given&quot;:&quot;D&quot;,&quot;parse-names&quot;:false,&quot;dropping-particle&quot;:&quot;&quot;,&quot;non-dropping-particle&quot;:&quot;&quot;},{&quot;family&quot;:&quot;Asadi-Pooya&quot;,&quot;given&quot;:&quot;A&quot;,&quot;parse-names&quot;:false,&quot;dropping-particle&quot;:&quot;&quot;,&quot;non-dropping-particle&quot;:&quot;&quot;},{&quot;family&quot;:&quot;Aybek&quot;,&quot;given&quot;:&quot;S&quot;,&quot;parse-names&quot;:false,&quot;dropping-particle&quot;:&quot;&quot;,&quot;non-dropping-particle&quot;:&quot;&quot;},{&quot;family&quot;:&quot;Baslet&quot;,&quot;given&quot;:&quot;G&quot;,&quot;parse-names&quot;:false,&quot;dropping-particle&quot;:&quot;&quot;,&quot;non-dropping-particle&quot;:&quot;&quot;},{&quot;family&quot;:&quot;Bloem&quot;,&quot;given&quot;:&quot;B&quot;,&quot;parse-names&quot;:false,&quot;dropping-particle&quot;:&quot;&quot;,&quot;non-dropping-particle&quot;:&quot;&quot;},{&quot;family&quot;:&quot;Bradley-Westguard&quot;,&quot;given&quot;:&quot;&quot;,&quot;parse-names&quot;:false,&quot;dropping-particle&quot;:&quot;&quot;,&quot;non-dropping-particle&quot;:&quot;&quot;},{&quot;family&quot;:&quot;Brown&quot;,&quot;given&quot;:&quot;Richard&quot;,&quot;parse-names&quot;:false,&quot;dropping-particle&quot;:&quot;&quot;,&quot;non-dropping-particle&quot;:&quot;&quot;},{&quot;family&quot;:&quot;Brown&quot;,&quot;given&quot;:&quot;Rj Auid-Orcid&quot;,&quot;parse-names&quot;:false,&quot;dropping-particle&quot;:&quot;&quot;,&quot;non-dropping-particle&quot;:&quot;&quot;},{&quot;family&quot;:&quot;Carson&quot;,&quot;given&quot;:&quot;Aj Auid-Orcid&quot;,&quot;parse-names&quot;:false,&quot;dropping-particle&quot;:&quot;&quot;,&quot;non-dropping-particle&quot;:&quot;&quot;},{&quot;family&quot;:&quot;Chalder&quot;,&quot;given&quot;:&quot;T Auid-Orcid&quot;,&quot;parse-names&quot;:false,&quot;dropping-particle&quot;:&quot;&quot;,&quot;non-dropping-particle&quot;:&quot;&quot;},{&quot;family&quot;:&quot;Damianova&quot;,&quot;given&quot;:&quot;M&quot;,&quot;parse-names&quot;:false,&quot;dropping-particle&quot;:&quot;&quot;,&quot;non-dropping-particle&quot;:&quot;&quot;},{&quot;family&quot;:&quot;David&quot;,&quot;given&quot;:&quot;As Auid-Orcid X&quot;,&quot;parse-names&quot;:false,&quot;dropping-particle&quot;:&quot;&quot;,&quot;non-dropping-particle&quot;:&quot;&quot;},{&quot;family&quot;:&quot;Edwards&quot;,&quot;given&quot;:&quot;Mj Auid-Orcid&quot;,&quot;parse-names&quot;:false,&quot;dropping-particle&quot;:&quot;&quot;,&quot;non-dropping-particle&quot;:&quot;&quot;},{&quot;family&quot;:&quot;Epstein&quot;,&quot;given&quot;:&quot;S A&quot;,&quot;parse-names&quot;:false,&quot;dropping-particle&quot;:&quot;&quot;,&quot;non-dropping-particle&quot;:&quot;&quot;},{&quot;family&quot;:&quot;Espay&quot;,&quot;given&quot;:&quot;Aj Auid-Orcid X&quot;,&quot;parse-names&quot;:false,&quot;dropping-particle&quot;:&quot;&quot;,&quot;non-dropping-particle&quot;:&quot;&quot;},{&quot;family&quot;:&quot;Garcin&quot;,&quot;given&quot;:&quot;B Auid-Orcid&quot;,&quot;parse-names&quot;:false,&quot;dropping-particle&quot;:&quot;&quot;,&quot;non-dropping-particle&quot;:&quot;&quot;},{&quot;family&quot;:&quot;Goldstein&quot;,&quot;given&quot;:&quot;Lh Auid-Orcid&quot;,&quot;parse-names&quot;:false,&quot;dropping-particle&quot;:&quot;&quot;,&quot;non-dropping-particle&quot;:&quot;&quot;},{&quot;family&quot;:&quot;Hallett&quot;,&quot;given&quot;:&quot;M Auid-Orcid&quot;,&quot;parse-names&quot;:false,&quot;dropping-particle&quot;:&quot;&quot;,&quot;non-dropping-particle&quot;:&quot;&quot;},{&quot;family&quot;:&quot;Jankovic&quot;,&quot;given&quot;:&quot;J Auid-Orcid&quot;,&quot;parse-names&quot;:false,&quot;dropping-particle&quot;:&quot;&quot;,&quot;non-dropping-particle&quot;:&quot;&quot;},{&quot;family&quot;:&quot;Joyce&quot;,&quot;given&quot;:&quot;Em Auid-Orcid&quot;,&quot;parse-names&quot;:false,&quot;dropping-particle&quot;:&quot;&quot;,&quot;non-dropping-particle&quot;:&quot;&quot;},{&quot;family&quot;:&quot;Kanaan&quot;,&quot;given&quot;:&quot;Ra Auid-Orcid&quot;,&quot;parse-names&quot;:false,&quot;dropping-particle&quot;:&quot;&quot;,&quot;non-dropping-particle&quot;:&quot;&quot;},{&quot;family&quot;:&quot;Keynejad&quot;,&quot;given&quot;:&quot;Rc Auid-Orcid&quot;,&quot;parse-names&quot;:false,&quot;dropping-particle&quot;:&quot;&quot;,&quot;non-dropping-particle&quot;:&quot;&quot;},{&quot;family&quot;:&quot;Kozlowska&quot;,&quot;given&quot;:&quot;K Auid-Orcid&quot;,&quot;parse-names&quot;:false,&quot;dropping-particle&quot;:&quot;&quot;,&quot;non-dropping-particle&quot;:&quot;&quot;},{&quot;family&quot;:&quot;LaFaver&quot;,&quot;given&quot;:&quot;K Auid-Orcid X&quot;,&quot;parse-names&quot;:false,&quot;dropping-particle&quot;:&quot;&quot;,&quot;non-dropping-particle&quot;:&quot;&quot;},{&quot;family&quot;:&quot;LaFrance&quot;,&quot;given&quot;:&quot;W C Jr Auid-Orcid&quot;,&quot;parse-names&quot;:false,&quot;dropping-particle&quot;:&quot;&quot;,&quot;non-dropping-particle&quot;:&quot;&quot;},{&quot;family&quot;:&quot;Lang&quot;,&quot;given&quot;:&quot;Ae Auid-Orcid&quot;,&quot;parse-names&quot;:false,&quot;dropping-particle&quot;:&quot;&quot;,&quot;non-dropping-particle&quot;:&quot;&quot;},{&quot;family&quot;:&quot;Lehn&quot;,&quot;given&quot;:&quot;A Auid-Orcid&quot;,&quot;parse-names&quot;:false,&quot;dropping-particle&quot;:&quot;&quot;,&quot;non-dropping-particle&quot;:&quot;&quot;},{&quot;family&quot;:&quot;Lidstone&quot;,&quot;given&quot;:&quot;S Auid-Orcid&quot;,&quot;parse-names&quot;:false,&quot;dropping-particle&quot;:&quot;&quot;,&quot;non-dropping-particle&quot;:&quot;&quot;},{&quot;family&quot;:&quot;Maurer&quot;,&quot;given&quot;:&quot;Cw Auid-Orcid&quot;,&quot;parse-names&quot;:false,&quot;dropping-particle&quot;:&quot;&quot;,&quot;non-dropping-particle&quot;:&quot;&quot;},{&quot;family&quot;:&quot;Mildon&quot;,&quot;given&quot;:&quot;B Auid-Orcid&quot;,&quot;parse-names&quot;:false,&quot;dropping-particle&quot;:&quot;&quot;,&quot;non-dropping-particle&quot;:&quot;&quot;},{&quot;family&quot;:&quot;Morgante&quot;,&quot;given&quot;:&quot;F Auid-Orcid&quot;,&quot;parse-names&quot;:false,&quot;dropping-particle&quot;:&quot;&quot;,&quot;non-dropping-particle&quot;:&quot;&quot;},{&quot;family&quot;:&quot;Myers&quot;,&quot;given&quot;:&quot;L Auid-Orcid&quot;,&quot;parse-names&quot;:false,&quot;dropping-particle&quot;:&quot;&quot;,&quot;non-dropping-particle&quot;:&quot;&quot;},{&quot;family&quot;:&quot;Nicholson&quot;,&quot;given&quot;:&quot;C Auid-Orcid&quot;,&quot;parse-names&quot;:false,&quot;dropping-particle&quot;:&quot;&quot;,&quot;non-dropping-particle&quot;:&quot;&quot;},{&quot;family&quot;:&quot;Nielsen&quot;,&quot;given&quot;:&quot;G Auid-Orcid&quot;,&quot;parse-names&quot;:false,&quot;dropping-particle&quot;:&quot;&quot;,&quot;non-dropping-particle&quot;:&quot;&quot;},{&quot;family&quot;:&quot;Perez&quot;,&quot;given&quot;:&quot;Dl Auid-Orcid X&quot;,&quot;parse-names&quot;:false,&quot;dropping-particle&quot;:&quot;&quot;,&quot;non-dropping-particle&quot;:&quot;&quot;},{&quot;family&quot;:&quot;Popkirov&quot;,&quot;given&quot;:&quot;S Auid-Orcid&quot;,&quot;parse-names&quot;:false,&quot;dropping-particle&quot;:&quot;&quot;,&quot;non-dropping-particle&quot;:&quot;&quot;},{&quot;family&quot;:&quot;Reuber&quot;,&quot;given&quot;:&quot;M Auid-Orcid&quot;,&quot;parse-names&quot;:false,&quot;dropping-particle&quot;:&quot;&quot;,&quot;non-dropping-particle&quot;:&quot;&quot;},{&quot;family&quot;:&quot;Rommelfanger&quot;,&quot;given&quot;:&quot;Ks Auid-Orcid&quot;,&quot;parse-names&quot;:false,&quot;dropping-particle&quot;:&quot;&quot;,&quot;non-dropping-particle&quot;:&quot;&quot;},{&quot;family&quot;:&quot;Schwingenshuh&quot;,&quot;given&quot;:&quot;P Auid-Orcid&quot;,&quot;parse-names&quot;:false,&quot;dropping-particle&quot;:&quot;&quot;,&quot;non-dropping-particle&quot;:&quot;&quot;},{&quot;family&quot;:&quot;Serranova&quot;,&quot;given&quot;:&quot;T Auid-Orcid&quot;,&quot;parse-names&quot;:false,&quot;dropping-particle&quot;:&quot;&quot;,&quot;non-dropping-particle&quot;:&quot;&quot;},{&quot;family&quot;:&quot;Shotbolt&quot;,&quot;given&quot;:&quot;P Auid-Orcid X&quot;,&quot;parse-names&quot;:false,&quot;dropping-particle&quot;:&quot;&quot;,&quot;non-dropping-particle&quot;:&quot;&quot;},{&quot;family&quot;:&quot;Stebbins&quot;,&quot;given&quot;:&quot;Gt Auid-Orcid&quot;,&quot;parse-names&quot;:false,&quot;dropping-particle&quot;:&quot;&quot;,&quot;non-dropping-particle&quot;:&quot;&quot;},{&quot;family&quot;:&quot;Stone&quot;,&quot;given&quot;:&quot;J Auid-Orcid&quot;,&quot;parse-names&quot;:false,&quot;dropping-particle&quot;:&quot;&quot;,&quot;non-dropping-particle&quot;:&quot;&quot;},{&quot;family&quot;:&quot;Tijssen&quot;,&quot;given&quot;:&quot;Ma Auid-Orcid X&quot;,&quot;parse-names&quot;:false,&quot;dropping-particle&quot;:&quot;&quot;,&quot;non-dropping-particle&quot;:&quot;&quot;},{&quot;family&quot;:&quot;Tinazzi&quot;,&quot;given&quot;:&quot;M Auid-Orcid&quot;,&quot;parse-names&quot;:false,&quot;dropping-particle&quot;:&quot;&quot;,&quot;non-dropping-particle&quot;:&quot;&quot;},{&quot;family&quot;:&quot;Nicholson&quot;,&quot;given&quot;:&quot;Tr Auid-Orcid&quot;,&quot;parse-names&quot;:false,&quot;dropping-particle&quot;:&quot;&quot;,&quot;non-dropping-particle&quot;:&quot;&quot;},{&quot;family&quot;:&quot;Psychiatry&quot;,&quot;given&quot;:&quot;J Neurol Neurosurg&quot;,&quot;parse-names&quot;:false,&quot;dropping-particle&quot;:&quot;&quot;,&quot;non-dropping-particle&quot;:&quot;&quot;}],&quot;issued&quot;:{&quot;date-parts&quot;:[[2020]]},&quot;language&quot;:&quot;eng&quot;,&quot;abstract&quot;:&quot;OBJECTIVES: We aimed to identify existing outcome measures for functional neurological disorder (FND), to inform the development of recommendations and to guide future research on FND outcomes. METHODS: A systematic review was conducted to identify existing FND-specific outcome measures and the most common measurement domains and measures in previous treatment studies. Searches of Embase, MEDLINE and PsycINFO were conducted between January 1965 and June 2019. The findings were discussed during two international meetings of the FND-Core Outcome Measures group. RESULTS: Five FND-specific measures were identified-three clinician-rated and two patient-rated-but their measurement properties have not been rigorously evaluated. No single measure was identified for use across the range of FND symptoms in adults. Across randomised controlled trials (k=40) and observational treatment studies (k=40), outcome measures most often assessed core FND symptom change. Other domains measured commonly were additional physical and psychological symptoms, life impact (ie, quality of life, disability and general functioning) and health economics/cost-utility (eg, healthcare resource use and quality-adjusted life years). CONCLUSIONS: There are few well-validated FND-specific outcome measures. Thus, at present, we recommend that existing outcome measures, known to be reliable, valid and responsive in FND or closely related populations, are used to capture key outcome domains. Increased consistency in outcome measurement will facilitate comparison of treatment effects across FND symptom types and treatment modalities. Future work needs to more rigorously validate outcome measures used in this population.&quot;,&quot;issue&quot;:&quot;1468-330X (Electronic)&quot;,&quot;container-title-short&quot;:&quot;&quot;},&quot;isTemporary&quot;:false},{&quot;id&quot;:&quot;f3bdefe1-16aa-34b9-9eed-68baadfc442b&quot;,&quot;itemData&quot;:{&quot;type&quot;:&quot;article-journal&quot;,&quot;id&quot;:&quot;f3bdefe1-16aa-34b9-9eed-68baadfc442b&quot;,&quot;title&quot;:&quot;Current Concepts in Diagnosis and Treatment of Functional Neurological Disorders&quot;,&quot;author&quot;:[{&quot;family&quot;:&quot;Espay&quot;,&quot;given&quot;:&quot;A J&quot;,&quot;parse-names&quot;:false,&quot;dropping-particle&quot;:&quot;&quot;,&quot;non-dropping-particle&quot;:&quot;&quot;},{&quot;family&quot;:&quot;Aybek&quot;,&quot;given&quot;:&quot;S&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LaFaver&quot;,&quot;given&quot;:&quot;K&quot;,&quot;parse-names&quot;:false,&quot;dropping-particle&quot;:&quot;&quot;,&quot;non-dropping-particle&quot;:&quot;&quot;},{&quot;family&quot;:&quot;LaFrance Jr.&quot;,&quot;given&quot;:&quot;W C&quot;,&quot;parse-names&quot;:false,&quot;dropping-particle&quot;:&quot;&quot;,&quot;non-dropping-particle&quot;:&quot;&quot;},{&quot;family&quot;:&quot;Lang&quot;,&quot;given&quot;:&quot;A E&quot;,&quot;parse-names&quot;:false,&quot;dropping-particle&quot;:&quot;&quot;,&quot;non-dropping-particle&quot;:&quot;&quot;},{&quot;family&quot;:&quot;Nicholson&quot;,&quot;given&quot;:&quot;T&quot;,&quot;parse-names&quot;:false,&quot;dropping-particle&quot;:&quot;&quot;,&quot;non-dropping-particle&quot;:&quot;&quot;},{&quot;family&quot;:&quot;Nielsen&quot;,&quot;given&quot;:&quot;G&quot;,&quot;parse-names&quot;:false,&quot;dropping-particle&quot;:&quot;&quot;,&quot;non-dropping-particle&quot;:&quot;&quot;},{&quot;family&quot;:&quot;Reuber&quot;,&quot;given&quot;:&quot;M&quot;,&quot;parse-names&quot;:false,&quot;dropping-particle&quot;:&quot;&quot;,&quot;non-dropping-particle&quot;:&quot;&quot;},{&quot;family&quot;:&quot;Voon&quot;,&quot;given&quot;:&quot;V&quot;,&quot;parse-names&quot;:false,&quot;dropping-particle&quot;:&quot;&quot;,&quot;non-dropping-particle&quot;:&quot;&quot;},{&quot;family&quot;:&quot;Stone&quot;,&quot;given&quot;:&quot;J&quot;,&quot;parse-names&quot;:false,&quot;dropping-particle&quot;:&quot;&quot;,&quot;non-dropping-particle&quot;:&quot;&quot;},{&quot;family&quot;:&quot;Morgante&quot;,&quot;given&quot;:&quot;F&quot;,&quot;parse-names&quot;:false,&quot;dropping-particle&quot;:&quot;&quot;,&quot;non-dropping-particle&quot;:&quot;&quot;}],&quot;container-title&quot;:&quot;JAMA Neurol&quot;,&quot;DOI&quot;:&quot;10.1001/jamaneurol.2018.1264&quot;,&quot;ISSN&quot;:&quot;2168-6149&quot;,&quot;PMID&quot;:&quot;29868890&quot;,&quot;issued&quot;:{&quot;date-parts&quot;:[[2018]]},&quot;page&quot;:&quot;1132-1141&quot;,&quot;language&quot;:&quot;eng&quot;,&quot;abstract&quot;:&quot;IMPORTANCE: Functional neurological disorders (FND) are common sources of disability in medicine. Patients have often been misdiagnosed, correctly diagnosed after lengthy delays, and/or subjected to poorly delivered diagnoses that prevent diagnostic understanding and lead to inappropriate treatments, iatrogenic harm, unnecessary and costly evaluations, and poor outcomes. OBSERVATIONS: Functional Neurological Symptom Disorder/Conversion Disorder was adopted by the Diagnostic and Statistical Manual of Mental Disorders, Fifth Edition, replacing the term psychogenic with functional and removing the criterion of psychological stress as a prerequisite for FND. A diagnosis can now be made in an inclusionary manner by identifying neurological signs that are specific to FNDs without reliance on presence or absence of psychological stressors or suggestive historical clues. The new model highlights a wider range of past sensitizing events, such as physical trauma, medical illness, or physiological/psychophysiological events. In this model, strong ideas and expectations about these events correlate with abnormal predictions of sensory data and body-focused attention. Neurobiological abnormalities include hypoactivation of the supplementary motor area and relative disconnection with areas that select or inhibit movements and are associated with a sense of agency. Promising evidence has accumulated for the benefit of specific physical rehabilitation and psychological interventions alone or in combination, but clinical trial evidence remains limited. CONCLUSIONS AND RELEVANCE: Functional neurological disorders are a neglected but potentially reversible source of disability. Further research is needed to determine the dose and duration of various interventions, the value of combination treatments and multidisciplinary therapy, and the therapeutic modality best suited for each patient.&quot;,&quot;edition&quot;:&quot;2018/06/06&quot;,&quot;issue&quot;:&quot;9&quot;,&quot;volume&quot;:&quot;75&quot;,&quot;container-title-short&quot;:&quot;&quot;},&quot;isTemporary&quot;:false}],&quot;citationTag&quot;:&quot;MENDELEY_CITATION_v3_eyJjaXRhdGlvbklEIjoiTUVOREVMRVlfQ0lUQVRJT05fN2JiZWIyYjktNjg3NS00MDU1LWIwYjgtNDlhM2ZjODRhMGUzIiwicHJvcGVydGllcyI6eyJub3RlSW5kZXgiOjB9LCJpc0VkaXRlZCI6ZmFsc2UsIm1hbnVhbE92ZXJyaWRlIjp7ImlzTWFudWFsbHlPdmVycmlkZGVuIjp0cnVlLCJjaXRlcHJvY1RleHQiOiIoRXNwYXksIEF5YmVrLCBldCBhbC4sIDIwMTg7IFBpY2ssIEFuZGVyc29uLCBldCBhbC4sIDIwMjApIiwibWFudWFsT3ZlcnJpZGVUZXh0IjoiKEVzcGF5IGV0IGFsLiwgMjAxODsgUGljayBldCBhbC4sIDIwMjApIn0sImNpdGF0aW9uSXRlbXMiOlt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LHsiaWQiOiJmM2JkZWZlMS0xNmFhLTM0YjktOWVlZC02OGJhYWRmYzQ0MmIiLCJpdGVtRGF0YSI6eyJ0eXBlIjoiYXJ0aWNsZS1qb3VybmFsIiwiaWQiOiJmM2JkZWZlMS0xNmFhLTM0YjktOWVlZC02OGJhYWRmYzQ0MmIiLCJ0aXRsZSI6IkN1cnJlbnQgQ29uY2VwdHMgaW4gRGlhZ25vc2lzIGFuZCBUcmVhdG1lbnQgb2YgRnVuY3Rpb25hbCBOZXVyb2xvZ2ljYWwgRGlzb3JkZXJzIiwiYXV0aG9yIjpbeyJmYW1pbHkiOiJFc3BheSIsImdpdmVuIjoiQSBKIiwicGFyc2UtbmFtZXMiOmZhbHNlLCJkcm9wcGluZy1wYXJ0aWNsZSI6IiIsIm5vbi1kcm9wcGluZy1wYXJ0aWNsZSI6IiJ9LHsiZmFtaWx5IjoiQXliZWsiLCJnaXZlbiI6IlM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&quot;},{&quot;citationID&quot;:&quot;MENDELEY_CITATION_ae035cbe-7102-4e9a-9003-c6bee2244ed5&quot;,&quot;properties&quot;:{&quot;noteIndex&quot;:0},&quot;isEdited&quot;:false,&quot;manualOverride&quot;:{&quot;isManuallyOverridden&quot;:false,&quot;citeprocText&quot;:&quot;(Asadi-Pooya et al., 2021; Elliott &amp;#38; Charyton, 2014; Pick et al., 2019)&quot;,&quot;manualOverrideText&quot;:&quot;&quot;},&quot;citationItems&quot;:[{&quot;id&quot;:&quot;088041a6-9564-391d-a5d1-eff026da1497&quot;,&quot;itemData&quot;:{&quot;type&quot;:&quot;article-journal&quot;,&quot;id&quot;:&quot;088041a6-9564-391d-a5d1-eff026da1497&quot;,&quot;title&quot;:&quot;Biopsychosocial predictors of psychogenic non-epileptic seizures&quot;,&quot;author&quot;:[{&quot;family&quot;:&quot;Elliott&quot;,&quot;given&quot;:&quot;John O.&quot;,&quot;parse-names&quot;:false,&quot;dropping-particle&quot;:&quot;&quot;,&quot;non-dropping-particle&quot;:&quot;&quot;},{&quot;family&quot;:&quot;Charyton&quot;,&quot;given&quot;:&quot;Christine&quot;,&quot;parse-names&quot;:false,&quot;dropping-particle&quot;:&quot;&quot;,&quot;non-dropping-particle&quot;:&quot;&quot;}],&quot;container-title&quot;:&quot;Epilepsy research&quot;,&quot;container-title-short&quot;:&quot;Epilepsy Res&quot;,&quot;accessed&quot;:{&quot;date-parts&quot;:[[2023,4,29]]},&quot;DOI&quot;:&quot;10.1016/J.EPLEPSYRES.2014.09.003&quot;,&quot;ISSN&quot;:&quot;1872-6844&quot;,&quot;PMID&quot;:&quot;25262500&quot;,&quot;URL&quot;:&quot;https://pubmed.ncbi.nlm.nih.gov/25262500/&quot;,&quot;issued&quot;:{&quot;date-parts&quot;:[[2014,11,1]]},&quot;page&quot;:&quot;1543-1553&quot;,&quot;abstract&quot;:&quot;Background: Previous studies have identified numerous biological, psychological and social characteristics of persons with psychogenic non-epileptic seizures (PNES) however the strength of many of these factors have not been evaluated to determine which are predictive of the diagnosis compared to those that may only be stereotypes with limited clinical utility. Method: A retrospective chart review of persons admitted to our epilepsy monitoring unit over a 6-year period was conducted to examine predictors of a video-EEG confirmed PNES diagnosis. Results: A total of 689 patients had events leading to a diagnosis, 47% (. n=. 324) with PNES only, 12% (. n=. 84) with PNES &amp; Epilepsy and 41% (. n=. 281) with Epilepsy only. Five biological predictors of a PNES only diagnosis were found; number of years with events (OR. =. 1.10), history of head injury (OR. =. 1.91), asthma (OR. =. 2.94), gastro-esophageal reflux disease (OR. =. 1.72) and pain (OR. =. 2.25). One psychological predictor; anxiety (OR. =. 1.72) and two social predictors; being married (OR. =. 1.81) and history of physical/sexual abuse (OR. =. 3.35). Two significant biological predictors of a PNES &amp; Epilepsy diagnosis were found; migraine (OR. =. 1.83) and gastro-esophageal reflux disease (OR. =. 2.17). Conclusions: Our findings support the importance of considering the biopsychosocial model for the diagnosis and treatment of PNES or PNES with concomitant epilepsy.&quot;,&quot;publisher&quot;:&quot;Epilepsy Res&quot;,&quot;issue&quot;:&quot;9&quot;,&quot;volume&quot;:&quot;108&quot;},&quot;isTemporary&quot;:false},{&quot;id&quot;:&quot;68b1323f-e848-3f3d-b64d-8e3da8bf9f1d&quot;,&quot;itemData&quot;:{&quot;type&quot;:&quot;article-journal&quot;,&quot;id&quot;:&quot;68b1323f-e848-3f3d-b64d-8e3da8bf9f1d&quot;,&quot;title&quot;:&quot;Social aspects of life in patients with functional seizures: Closing the gap in the biopsychosocial formulation&quot;,&quot;author&quot;:[{&quot;family&quot;:&quot;Asadi-Pooya&quot;,&quot;given&quot;:&quot;Ali A.&quot;,&quot;parse-names&quot;:false,&quot;dropping-particle&quot;:&quot;&quot;,&quot;non-dropping-particle&quot;:&quot;&quot;},{&quot;family&quot;:&quot;Brigo&quot;,&quot;given&quot;:&quot;Francesco&quot;,&quot;parse-names&quot;:false,&quot;dropping-particle&quot;:&quot;&quot;,&quot;non-dropping-particle&quot;:&quot;&quot;},{&quot;family&quot;:&quot;Kozlowska&quot;,&quot;given&quot;:&quot;Kasia&quot;,&quot;parse-names&quot;:false,&quot;dropping-particle&quot;:&quot;&quot;,&quot;non-dropping-particle&quot;:&quot;&quot;},{&quot;family&quot;:&quot;Perez&quot;,&quot;given&quot;:&quot;David L.&quot;,&quot;parse-names&quot;:false,&quot;dropping-particle&quot;:&quot;&quot;,&quot;non-dropping-particle&quot;:&quot;&quot;},{&quot;family&quot;:&quot;Pretorius&quot;,&quot;given&quot;:&quot;Chrisma&quot;,&quot;parse-names&quot;:false,&quot;dropping-particle&quot;:&quot;&quot;,&quot;non-dropping-particle&quot;:&quot;&quot;},{&quot;family&quot;:&quot;Sawchuk&quot;,&quot;given&quot;:&quot;Tyson&quot;,&quot;parse-names&quot;:false,&quot;dropping-particle&quot;:&quot;&quot;,&quot;non-dropping-particle&quot;:&quot;&quot;},{&quot;family&quot;:&quot;Saxena&quot;,&quot;given&quot;:&quot;Aneeta&quot;,&quot;parse-names&quot;:false,&quot;dropping-particle&quot;:&quot;&quot;,&quot;non-dropping-particle&quot;:&quot;&quot;},{&quot;family&quot;:&quot;Tolchin&quot;,&quot;given&quot;:&quot;Benjamin&quot;,&quot;parse-names&quot;:false,&quot;dropping-particle&quot;:&quot;&quot;,&quot;non-dropping-particle&quot;:&quot;&quot;},{&quot;family&quot;:&quot;Valente&quot;,&quot;given&quot;:&quot;Kette D.&quot;,&quot;parse-names&quot;:false,&quot;dropping-particle&quot;:&quot;&quot;,&quot;non-dropping-particle&quot;:&quot;&quot;}],&quot;container-title&quot;:&quot;Epilepsy &amp; Behavior&quot;,&quot;accessed&quot;:{&quot;date-parts&quot;:[[2023,5,11]]},&quot;DOI&quot;:&quot;10.1016/J.YEBEH.2021.107903&quot;,&quot;ISSN&quot;:&quot;1525-5050&quot;,&quot;PMID&quot;:&quot;33740497&quot;,&quot;issued&quot;:{&quot;date-parts&quot;:[[2021,4,1]]},&quot;page&quot;:&quot;107903&quot;,&quot;abstract&quot;:&quot;The human, as a biological system, is an open system embedded within larger systems —including the family, culture, and socio-political environment. In this context, a patient with functional seizures (FS) is embedded in relationships, educational/professional institutions, culture, and society. Both connection to these broader systems and the quality of these connections, as well as the soundness of each system in and of itself, influence the health and well-being of patients in positive or negative ways. The social aspects of life are important determinants of health and quality of life across the lifespan. The current narrative review brings out several overarching themes in patients with FS. Sections on attachment, marriage, social networking, and stigma highlight the central roles of supportive and affirmative relationships across the lifespan. The section on education underscores the importance of keeping children and youth with FS connected within their school environments, as well as managing any barriers – learning difficulties, school response to FS events, stigma, etc.—that can diminish this connection. Finally, the sections on employment and driving highlight the value of being an active participant in one's society. In summary, FS impacts patients across most social aspects of life domains regardless of age — factors that are important when developing biopsychosocial formulations. This review concludes that the multidisciplinary management of FS requires careful assessment of social aspects of life in patients which can then be targeted for treatment, to improve their quality of life, facilitating recovery, and reducing the risk of relapse.&quot;,&quot;publisher&quot;:&quot;Academic Press&quot;,&quot;volume&quot;:&quot;117&quot;,&quot;container-title-short&quot;:&quot;&quot;},&quot;isTemporary&quot;:false},{&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citationTag&quot;:&quot;MENDELEY_CITATION_v3_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quot;},{&quot;citationID&quot;:&quot;MENDELEY_CITATION_738292bd-fb9d-43fa-a229-a7365c3f49fd&quot;,&quot;properties&quot;:{&quot;noteIndex&quot;:0},&quot;isEdited&quot;:false,&quot;manualOverride&quot;:{&quot;isManuallyOverridden&quot;:false,&quot;citeprocText&quot;:&quot;(Pick et al., 2016; Pretorius, 2016; Pretorius &amp;#38; Sparrow, 2015)&quot;,&quot;manualOverrideText&quot;:&quot;&quot;},&quot;citationItems&quot;:[{&quot;id&quot;:&quot;10e679e8-d27d-378c-b34f-984a9bef858e&quot;,&quot;itemData&quot;:{&quot;type&quot;:&quot;article-journal&quot;,&quot;id&quot;:&quot;10e679e8-d27d-378c-b34f-984a9bef858e&quot;,&quot;title&quot;:&quot;Emotion and dissociative seizures: A phenomenological analysis of patients' perspectives&quot;,&quot;author&quot;:[{&quot;family&quot;:&quot;Pick&quot;,&quot;given&quot;:&quot;S&quot;,&quot;parse-names&quot;:false,&quot;dropping-particle&quot;:&quot;&quot;,&quot;non-dropping-particle&quot;:&quot;&quot;},{&quot;family&quot;:&quot;Mellers&quot;,&quot;given&quot;:&quot;J D&quot;,&quot;parse-names&quot;:false,&quot;dropping-particle&quot;:&quot;&quot;,&quot;non-dropping-particle&quot;:&quot;&quot;},{&quot;family&quot;:&quot;Goldstein&quot;,&quot;given&quot;:&quot;L H&quot;,&quot;parse-names&quot;:false,&quot;dropping-particle&quot;:&quot;&quot;,&quot;non-dropping-particle&quot;:&quot;&quot;}],&quot;container-title&quot;:&quot;Epilepsy Behav&quot;,&quot;DOI&quot;:&quot;10.1016/j.yebeh.2015.12.010&quot;,&quot;ISSN&quot;:&quot;1525-5050&quot;,&quot;PMID&quot;:&quot;26799918&quot;,&quot;issued&quot;:{&quot;date-parts&quot;:[[2016]]},&quot;page&quot;:&quot;5-14&quot;,&quot;language&quot;:&quot;eng&quot;,&quot;abstract&quot;:&quot;Quantitative research has indicated that patients with dissociative seizures (DS) show altered responses to emotional stimuli, in addition to considerable emotional distress and dysregulation. The present study sought to further explore emotional processes in this population, to extend previous findings, and to provide a phenomenological insight into patients' perspectives on these issues. Semistructured interviews were carried out with 15 patients with DS, and the principles of interpretative phenomenological analysis (IPA) were adopted in data analysis. Key themes elicited included: i) general emotional functioning; ii) adverse (stressful/traumatic) life experiences; iii) the role of emotions in DS; iv) relating to others; and v) resilience, protective factors, and coping mechanisms. The clinical and theoretical implications of the findings are discussed.&quot;,&quot;edition&quot;:&quot;2016/01/23&quot;,&quot;volume&quot;:&quot;56&quot;,&quot;container-title-short&quot;:&quot;&quot;},&quot;isTemporary&quot;:false},{&quot;id&quot;:&quot;a2a1e8c6-060b-3860-8e8a-94f7c4601fad&quot;,&quot;itemData&quot;:{&quot;type&quot;:&quot;article-journal&quot;,&quot;id&quot;:&quot;a2a1e8c6-060b-3860-8e8a-94f7c4601fad&quot;,&quot;title&quot;:&quot;Barriers and facilitators to reaching a diagnosis of PNES from the patients’ perspective: Preliminary findings&quot;,&quot;author&quot;:[{&quot;family&quot;:&quot;Pretorius&quot;,&quot;given&quot;:&quot;Chrisma&quot;,&quot;parse-names&quot;:false,&quot;dropping-particle&quot;:&quot;&quot;,&quot;non-dropping-particle&quot;:&quot;&quot;}],&quot;container-title&quot;:&quot;Seizure&quot;,&quot;container-title-short&quot;:&quot;Seizure&quot;,&quot;accessed&quot;:{&quot;date-parts&quot;:[[2023,5,4]]},&quot;DOI&quot;:&quot;10.1016/J.SEIZURE.2016.03.007&quot;,&quot;ISSN&quot;:&quot;1059-1311&quot;,&quot;PMID&quot;:&quot;27039015&quot;,&quot;issued&quot;:{&quot;date-parts&quot;:[[2016,5,1]]},&quot;page&quot;:&quot;1-6&quot;,&quot;abstract&quot;:&quot;Purpose: This qualitative study aimed at examining the subjective experiences of patients during the complicated and often prolonged diagnostic process of psychogenic non-epileptic seizures (PNES). Methods: Thematic analyses were used to explore the semi-structured interviews that were conducted with ten individuals who have been diagnosed with PNES. Results: Six main themes, namely inexpert healthcare providers, limited medical insurance and loss of independence were identified as barriers, while social support, comprehensive medical insurance and knowledgeable healthcare providers were identified as facilitators through the process of thematic analysis. Conclusions: The patients' perspectives revealed that an earlier diagnosis of PNES is essential to address the loss of independence and limit inappropriate and potentially harmful treatment as well as the costly burden of this condition on both the patient and the healthcare system. It was evident in this study that healthcare providers play an essential role in the subjective experiences of these individuals during the diagnostic process. The implementation of continuous education programmes for healthcare providers in particular could contribute positively to the diagnostic process of PNES for patients.&quot;,&quot;publisher&quot;:&quot;W.B. Saunders&quot;,&quot;volume&quot;:&quot;38&quot;},&quot;isTemporary&quot;:false},{&quot;id&quot;:&quot;46a66565-509f-323a-9d6e-48f23a26d6e2&quot;,&quot;itemData&quot;:{&quot;type&quot;:&quot;article-journal&quot;,&quot;id&quot;:&quot;46a66565-509f-323a-9d6e-48f23a26d6e2&quot;,&quot;title&quot;:&quot;Life after being diagnosed with psychogenic non-epileptic seizures (PNES): A South African perspective&quot;,&quot;author&quot;:[{&quot;family&quot;:&quot;Pretorius&quot;,&quot;given&quot;:&quot;Chrisma&quot;,&quot;parse-names&quot;:false,&quot;dropping-particle&quot;:&quot;&quot;,&quot;non-dropping-particle&quot;:&quot;&quot;},{&quot;family&quot;:&quot;Sparrow&quot;,&quot;given&quot;:&quot;Melissa&quot;,&quot;parse-names&quot;:false,&quot;dropping-particle&quot;:&quot;&quot;,&quot;non-dropping-particle&quot;:&quot;&quot;}],&quot;container-title&quot;:&quot;Seizure&quot;,&quot;container-title-short&quot;:&quot;Seizure&quot;,&quot;accessed&quot;:{&quot;date-parts&quot;:[[2023,5,4]]},&quot;DOI&quot;:&quot;10.1016/J.SEIZURE.2015.05.008&quot;,&quot;ISSN&quot;:&quot;1059-1311&quot;,&quot;PMID&quot;:&quot;26216682&quot;,&quot;issued&quot;:{&quot;date-parts&quot;:[[2015,8,1]]},&quot;page&quot;:&quot;32-41&quot;,&quot;abstract&quot;:&quot;Purpose The aim of the study was to explore the life experiences of South Africans who have been diagnosed as having PNES, with a focus on the aspects of the challenges which these individuals face, as well as the resources and coping strategies which are either made available to them or used by them in order to cope with PNES. Methods Ten semi-structured interviews were analysed by means of thematic analysis in order to explore themes around challenges and resources for those diagnosed with PNES. Results Various challenges were revealed by participants, as well as the resources used in order to deal with these challenges associated with being diagnosed with PNES. Some of the challenges included unexpected seizures, medical professionals, belief systems as well as family. However, resources to counteract these challenges were social support, medical professional as well as religion and spirituality. Conclusion Although many challenges are encountered by those who are diagnosed with PNES, there are substantial resources from which these individuals draw in order to live fulfilling and satisfactory lives. As more information and research is accumulated, more resources may become available to benefit these individuals and allow them to recover from PNES. It should be noted that medical professionals were described as both a challenge as well as a resource for people with PNES. Therefore, we can conclude that these individuals are key in the experiences of those who have been diagnosed with PNES, and that they play a role on not only a diagnostic level, but also in providing support, information, as well as therapeutic benefits.&quot;,&quot;publisher&quot;:&quot;W.B. Saunders&quot;,&quot;volume&quot;:&quot;30&quot;},&quot;isTemporary&quot;:false}],&quot;citationTag&quot;:&quot;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&quot;},{&quot;citationID&quot;:&quot;MENDELEY_CITATION_5b1d0a76-5e72-4acd-ba38-5f7572721a4a&quot;,&quot;properties&quot;:{&quot;noteIndex&quot;:0},&quot;isEdited&quot;:false,&quot;manualOverride&quot;:{&quot;isManuallyOverridden&quot;:false,&quot;citeprocText&quot;:&quot;(De Vet et al., 2011)&quot;,&quot;manualOverrideText&quot;:&quot;&quot;},&quot;citationItems&quot;:[{&quot;id&quot;:&quot;325fe4c6-9959-3041-bbb4-e5a2f9049681&quot;,&quot;itemData&quot;:{&quot;type&quot;:&quot;article-journal&quot;,&quot;id&quot;:&quot;325fe4c6-9959-3041-bbb4-e5a2f9049681&quot;,&quot;title&quot;:&quot;Measurement in Medicine: A Practical Guide&quot;,&quot;author&quot;:[{&quot;family&quot;:&quot;Vet&quot;,&quot;given&quot;:&quot;Henrica C.W.&quot;,&quot;parse-names&quot;:false,&quot;dropping-particle&quot;:&quot;&quot;,&quot;non-dropping-particle&quot;:&quot;De&quot;},{&quot;family&quot;:&quot;Terwee&quot;,&quot;given&quot;:&quot;Caroline B.&quot;,&quot;parse-names&quot;:false,&quot;dropping-particle&quot;:&quot;&quot;,&quot;non-dropping-particle&quot;:&quot;&quot;},{&quot;family&quot;:&quot;Mokkink&quot;,&quot;given&quot;:&quot;Lidwine B.&quot;,&quot;parse-names&quot;:false,&quot;dropping-particle&quot;:&quot;&quot;,&quot;non-dropping-particle&quot;:&quot;&quot;},{&quot;family&quot;:&quot;Knol&quot;,&quot;given&quot;:&quot;Dirk L.&quot;,&quot;parse-names&quot;:false,&quot;dropping-particle&quot;:&quot;&quot;,&quot;non-dropping-particle&quot;:&quot;&quot;}],&quot;container-title&quot;:&quot;Measurement in Medicine: A Practical Guide&quot;,&quot;accessed&quot;:{&quot;date-parts&quot;:[[2023,6,10]]},&quot;DOI&quot;:&quot;10.1017/CBO9780511996214&quot;,&quot;ISBN&quot;:&quot;9780521133852&quot;,&quot;URL&quot;:&quot;https://www.cambridge.org/core/books/measurement-in-medicine/8BD913A1DA0ECCBA951AC4C1F719BCC5&quot;,&quot;issued&quot;:{&quot;date-parts&quot;:[[2011,1,1]]},&quot;page&quot;:&quot;1-338&quot;,&quot;abstract&quot;:&quot;The success of the Apgar score demonstrates the astounding power of an appropriate clinical instrument. This down-to-earth book provides practical advice, underpinned by theoretical principles, on developing and evaluating measurement instruments in all fields of medicine. It equips you to choose the most appropriate instrument for specific purposes. The book covers measurement theories, methods and criteria for evaluating and selecting instruments. It provides methods to assess measurement properties, such as reliability, validity and responsiveness, and interpret the results. Worked examples and end-of-chapter assignments use real data and well-known instruments to build your skills at implementation and interpretation through hands-on analysis of real-life cases. All data and solutions are available online. This is a perfect course book for students and a perfect companion for professionals/researchers in the medical and health sciences who care about the quality and meaning of the measurements they perform.&quot;,&quot;publisher&quot;:&quot;Cambridge University Press&quot;,&quot;container-title-short&quot;:&quot;&quot;},&quot;isTemporary&quot;:false}],&quot;citationTag&quot;:&quot;MENDELEY_CITATION_v3_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&quot;},{&quot;citationID&quot;:&quot;MENDELEY_CITATION_9f4731c9-8664-481e-a6a5-441411c14243&quot;,&quot;properties&quot;:{&quot;noteIndex&quot;:0},&quot;isEdited&quot;:false,&quot;manualOverride&quot;:{&quot;isManuallyOverridden&quot;:false,&quot;citeprocText&quot;:&quot;(Dallocchio et al., 2016)&quot;,&quot;manualOverrideText&quot;:&quot;&quot;},&quot;citationItems&quot;:[{&quot;id&quot;:&quot;738d2ecc-8a6b-3290-b6a7-3d332600850e&quot;,&quot;itemData&quot;:{&quot;type&quot;:&quot;article-journal&quot;,&quot;id&quot;:&quot;738d2ecc-8a6b-3290-b6a7-3d332600850e&quot;,&quot;title&quot;:&quot;Cognitive behavioural therapy and adjunctive physical activity for functional movement disorders (Conversion Disorder): A pilot, single-blinded, randomized study&quot;,&quot;author&quot;:[{&quot;family&quot;:&quot;Dallocchio&quot;,&quot;given&quot;:&quot;Carlo&quot;,&quot;parse-names&quot;:false,&quot;dropping-particle&quot;:&quot;&quot;,&quot;non-dropping-particle&quot;:&quot;&quot;},{&quot;family&quot;:&quot;Tinazzi&quot;,&quot;given&quot;:&quot;Michele&quot;,&quot;parse-names&quot;:false,&quot;dropping-particle&quot;:&quot;&quot;,&quot;non-dropping-particle&quot;:&quot;&quot;},{&quot;family&quot;:&quot;Bombieri&quot;,&quot;given&quot;:&quot;Federica&quot;,&quot;parse-names&quot;:false,&quot;dropping-particle&quot;:&quot;&quot;,&quot;non-dropping-particle&quot;:&quot;&quot;},{&quot;family&quot;:&quot;Arnó&quot;,&quot;given&quot;:&quot;Natale&quot;,&quot;parse-names&quot;:false,&quot;dropping-particle&quot;:&quot;&quot;,&quot;non-dropping-particle&quot;:&quot;&quot;},{&quot;family&quot;:&quot;Erro&quot;,&quot;given&quot;:&quot;Roberto&quot;,&quot;parse-names&quot;:false,&quot;dropping-particle&quot;:&quot;&quot;,&quot;non-dropping-particle&quot;:&quot;&quot;}],&quot;container-title&quot;:&quot;Psychotherapy and Psychosomatics&quot;,&quot;container-title-short&quot;:&quot;Psychother Psychosom&quot;,&quot;accessed&quot;:{&quot;date-parts&quot;:[[2023,6,7]]},&quot;DOI&quot;:&quot;10.1159/000446660&quot;,&quot;ISSN&quot;:&quot;14230348&quot;,&quot;PMID&quot;:&quot;27744440&quot;,&quot;issued&quot;:{&quot;date-parts&quot;:[[2016,10,1]]},&quot;page&quot;:&quot;381-383&quot;,&quot;publisher&quot;:&quot;S. Karger AG&quot;,&quot;issue&quot;:&quot;6&quot;,&quot;volume&quot;:&quot;85&quot;},&quot;isTemporary&quot;:false}],&quot;citationTag&quot;:&quot;MENDELEY_CITATION_v3_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&quot;},{&quot;citationID&quot;:&quot;MENDELEY_CITATION_4614b91d-3b4b-4688-9d31-eb692cba1241&quot;,&quot;properties&quot;:{&quot;noteIndex&quot;:0},&quot;isEdited&quot;:false,&quot;manualOverride&quot;:{&quot;isManuallyOverridden&quot;:true,&quot;citeprocText&quot;:&quot;(Cella et al., 2010)&quot;,&quot;manualOverrideText&quot;:&quot;(D. Cella et al., 2010)&quot;},&quot;citationItems&quot;:[{&quot;id&quot;:&quot;3b9634d1-65bf-3b58-820a-e7a94b1a2f3c&quot;,&quot;itemData&quot;:{&quot;type&quot;:&quot;article-journal&quot;,&quot;id&quot;:&quot;3b9634d1-65bf-3b58-820a-e7a94b1a2f3c&quot;,&quot;title&quot;:&quot;The Patient-Reported Outcomes Measurement Information System (PROMIS) developed and tested its first wave of adult self-reported health outcome item banks: 2005-2008&quot;,&quot;author&quot;:[{&quot;family&quot;:&quot;Cella&quot;,&quot;given&quot;:&quot;David&quot;,&quot;parse-names&quot;:false,&quot;dropping-particle&quot;:&quot;&quot;,&quot;non-dropping-particle&quot;:&quot;&quot;},{&quot;family&quot;:&quot;Riley&quot;,&quot;given&quot;:&quot;William&quot;,&quot;parse-names&quot;:false,&quot;dropping-particle&quot;:&quot;&quot;,&quot;non-dropping-particle&quot;:&quot;&quot;},{&quot;family&quot;:&quot;Stone&quot;,&quot;given&quot;:&quot;Arthur&quot;,&quot;parse-names&quot;:false,&quot;dropping-particle&quot;:&quot;&quot;,&quot;non-dropping-particle&quot;:&quot;&quot;},{&quot;family&quot;:&quot;Rothrock&quot;,&quot;given&quot;:&quot;Nan&quot;,&quot;parse-names&quot;:false,&quot;dropping-particle&quot;:&quot;&quot;,&quot;non-dropping-particle&quot;:&quot;&quot;},{&quot;family&quot;:&quot;Reeve&quot;,&quot;given&quot;:&quot;Bryce&quot;,&quot;parse-names&quot;:false,&quot;dropping-particle&quot;:&quot;&quot;,&quot;non-dropping-particle&quot;:&quot;&quot;},{&quot;family&quot;:&quot;Yount&quot;,&quot;given&quot;:&quot;Susan&quot;,&quot;parse-names&quot;:false,&quot;dropping-particle&quot;:&quot;&quot;,&quot;non-dropping-particle&quot;:&quot;&quot;},{&quot;family&quot;:&quot;Amtmann&quot;,&quot;given&quot;:&quot;Dagmar&quot;,&quot;parse-names&quot;:false,&quot;dropping-particle&quot;:&quot;&quot;,&quot;non-dropping-particle&quot;:&quot;&quot;},{&quot;family&quot;:&quot;Bode&quot;,&quot;given&quot;:&quot;Rita&quot;,&quot;parse-names&quot;:false,&quot;dropping-particle&quot;:&quot;&quot;,&quot;non-dropping-particle&quot;:&quot;&quot;},{&quot;family&quot;:&quot;Buysse&quot;,&quot;given&quot;:&quot;Daniel&quot;,&quot;parse-names&quot;:false,&quot;dropping-particle&quot;:&quot;&quot;,&quot;non-dropping-particle&quot;:&quot;&quot;},{&quot;family&quot;:&quot;Choi&quot;,&quot;given&quot;:&quot;Seung&quot;,&quot;parse-names&quot;:false,&quot;dropping-particle&quot;:&quot;&quot;,&quot;non-dropping-particle&quot;:&quot;&quot;},{&quot;family&quot;:&quot;Cook&quot;,&quot;given&quot;:&quot;Karon&quot;,&quot;parse-names&quot;:false,&quot;dropping-particle&quot;:&quot;&quot;,&quot;non-dropping-particle&quot;:&quot;&quot;},{&quot;family&quot;:&quot;Devellis&quot;,&quot;given&quot;:&quot;Robert&quot;,&quot;parse-names&quot;:false,&quot;dropping-particle&quot;:&quot;&quot;,&quot;non-dropping-particle&quot;:&quot;&quot;},{&quot;family&quot;:&quot;Dewalt&quot;,&quot;given&quot;:&quot;Darren&quot;,&quot;parse-names&quot;:false,&quot;dropping-particle&quot;:&quot;&quot;,&quot;non-dropping-particle&quot;:&quot;&quot;},{&quot;family&quot;:&quot;Fries&quot;,&quot;given&quot;:&quot;James F.&quot;,&quot;parse-names&quot;:false,&quot;dropping-particle&quot;:&quot;&quot;,&quot;non-dropping-particle&quot;:&quot;&quot;},{&quot;family&quot;:&quot;Gershon&quot;,&quot;given&quot;:&quot;Richard&quot;,&quot;parse-names&quot;:false,&quot;dropping-particle&quot;:&quot;&quot;,&quot;non-dropping-particle&quot;:&quot;&quot;},{&quot;family&quot;:&quot;Hahn&quot;,&quot;given&quot;:&quot;Elizabeth A.&quot;,&quot;parse-names&quot;:false,&quot;dropping-particle&quot;:&quot;&quot;,&quot;non-dropping-particle&quot;:&quot;&quot;},{&quot;family&quot;:&quot;Lai&quot;,&quot;given&quot;:&quot;Jin Shei&quot;,&quot;parse-names&quot;:false,&quot;dropping-particle&quot;:&quot;&quot;,&quot;non-dropping-particle&quot;:&quot;&quot;},{&quot;family&quot;:&quot;Pilkonis&quot;,&quot;given&quot;:&quot;Paul&quot;,&quot;parse-names&quot;:false,&quot;dropping-particle&quot;:&quot;&quot;,&quot;non-dropping-particle&quot;:&quot;&quot;},{&quot;family&quot;:&quot;Revicki&quot;,&quot;given&quot;:&quot;Dennis&quot;,&quot;parse-names&quot;:false,&quot;dropping-particle&quot;:&quot;&quot;,&quot;non-dropping-particle&quot;:&quot;&quot;},{&quot;family&quot;:&quot;Rose&quot;,&quot;given&quot;:&quot;Matthias&quot;,&quot;parse-names&quot;:false,&quot;dropping-particle&quot;:&quot;&quot;,&quot;non-dropping-particle&quot;:&quot;&quot;},{&quot;family&quot;:&quot;Weinfurt&quot;,&quot;given&quot;:&quot;Kevin&quot;,&quot;parse-names&quot;:false,&quot;dropping-particle&quot;:&quot;&quot;,&quot;non-dropping-particle&quot;:&quot;&quot;},{&quot;family&quot;:&quot;Hays&quot;,&quot;given&quot;:&quot;Ron&quot;,&quot;parse-names&quot;:false,&quot;dropping-particle&quot;:&quot;&quot;,&quot;non-dropping-particle&quot;:&quot;&quot;}],&quot;container-title&quot;:&quot;Journal of clinical epidemiology&quot;,&quot;container-title-short&quot;:&quot;J Clin Epidemiol&quot;,&quot;accessed&quot;:{&quot;date-parts&quot;:[[2023,4,17]]},&quot;DOI&quot;:&quot;10.1016/J.JCLINEPI.2010.04.011&quot;,&quot;ISSN&quot;:&quot;1878-5921&quot;,&quot;PMID&quot;:&quot;20685078&quot;,&quot;URL&quot;:&quot;https://pubmed.ncbi.nlm.nih.gov/20685078/&quot;,&quot;issued&quot;:{&quot;date-parts&quot;:[[2010,11]]},&quot;page&quot;:&quot;1179-1194&quot;,&quot;abstract&quot;:&quot;Objectives: Patient-reported outcomes (PROs) are essential when evaluating many new treatments in health care; yet, current measures have been limited by a lack of precision, standardization, and comparability of scores across studies and diseases. The Patient-Reported Outcomes Measurement Information System (PROMIS) provides item banks that offer the potential for efficient (minimizes item number without compromising reliability), flexible (enables optional use of interchangeable items), and precise (has minimal error in estimate) measurement of commonly studied PROs. We report results from the first large-scale testing of PROMIS items. Study Design and Setting: Fourteen item pools were tested in the U.S. general population and clinical groups using an online panel and clinic recruitment. A scale-setting subsample was created reflecting demographics proportional to the 2000 U.S. census. Results: Using item-response theory (graded response model), 11 item banks were calibrated on a sample of 21,133, measuring components of self-reported physical, mental, and social health, along with a 10-item Global Health Scale. Short forms from each bank were developed and compared with the overall bank and with other well-validated and widely accepted (\&quot;legacy\&quot;) measures. All item banks demonstrated good reliability across most of the score distributions. Construct validity was supported by moderate to strong correlations with legacy measures. Conclusion: PROMIS item banks and their short forms provide evidence that they are reliable and precise measures of generic symptoms and functional reports comparable to legacy instruments. Further testing will continue to validate and test PROMIS items and banks in diverse clinical populations. © 2010 Elsevier Inc. All rights reserved.&quot;,&quot;publisher&quot;:&quot;J Clin Epidemiol&quot;,&quot;issue&quot;:&quot;11&quot;,&quot;volume&quot;:&quot;63&quot;},&quot;isTemporary&quot;:false}],&quot;citationTag&quot;:&quot;MENDELEY_CITATION_v3_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&quot;},{&quot;citationID&quot;:&quot;MENDELEY_CITATION_0cc475b9-7ab8-4c4e-b53d-202690417b9d&quot;,&quot;properties&quot;:{&quot;noteIndex&quot;:0},&quot;isEdited&quot;:false,&quot;manualOverride&quot;:{&quot;isManuallyOverridden&quot;:false,&quot;citeprocText&quot;:&quot;(Nicholson et al., 2020)&quot;,&quot;manualOverrideText&quot;:&quot;&quot;},&quot;citationItems&quot;:[{&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citationTag&quot;:&quot;MENDELEY_CITATION_v3_eyJjaXRhdGlvbklEIjoiTUVOREVMRVlfQ0lUQVRJT05fMGNjNDc1YjktN2FiOC00YzRlLWI1M2QtMjAyNjkwNDE3YjlkIiwicHJvcGVydGllcyI6eyJub3RlSW5kZXgiOjB9LCJpc0VkaXRlZCI6ZmFsc2UsIm1hbnVhbE92ZXJyaWRlIjp7ImlzTWFudWFsbHlPdmVycmlkZGVuIjpmYWxzZSwiY2l0ZXByb2NUZXh0IjoiKE5pY2hvbHNvbi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quot;},{&quot;citationID&quot;:&quot;MENDELEY_CITATION_6d6a1519-6bff-456a-86d5-9406bc0d6546&quot;,&quot;properties&quot;:{&quot;noteIndex&quot;:0},&quot;isEdited&quot;:false,&quot;manualOverride&quot;:{&quot;isManuallyOverridden&quot;:false,&quot;citeprocText&quot;:&quot;(Pick, Anderson, et al., 2020)&quot;,&quot;manualOverrideText&quot;:&quot;&quot;},&quot;citationItems&quot;:[{&quot;id&quot;:&quot;9efeb79a-71d9-3505-8b13-ff928235f0b6&quot;,&quot;itemData&quot;:{&quot;type&quot;:&quot;article-journal&quot;,&quot;id&quot;:&quot;9efeb79a-71d9-3505-8b13-ff928235f0b6&quot;,&quot;title&quot;:&quot;Outcome measurement in functional neurological disorder: a systematic review and recommendations. LID - jnnp-2019-322180 [pii] LID - 10.1136/jnnp-2019-322180 [doi]&quot;,&quot;author&quot;:[{&quot;family&quot;:&quot;Pick&quot;,&quot;given&quot;:&quot;Susannah&quot;,&quot;parse-names&quot;:false,&quot;dropping-particle&quot;:&quot;&quot;,&quot;non-dropping-particle&quot;:&quot;&quot;},{&quot;family&quot;:&quot;Anderson&quot;,&quot;given&quot;:&quot;D&quot;,&quot;parse-names&quot;:false,&quot;dropping-particle&quot;:&quot;&quot;,&quot;non-dropping-particle&quot;:&quot;&quot;},{&quot;family&quot;:&quot;Asadi-Pooya&quot;,&quot;given&quot;:&quot;A&quot;,&quot;parse-names&quot;:false,&quot;dropping-particle&quot;:&quot;&quot;,&quot;non-dropping-particle&quot;:&quot;&quot;},{&quot;family&quot;:&quot;Aybek&quot;,&quot;given&quot;:&quot;S&quot;,&quot;parse-names&quot;:false,&quot;dropping-particle&quot;:&quot;&quot;,&quot;non-dropping-particle&quot;:&quot;&quot;},{&quot;family&quot;:&quot;Baslet&quot;,&quot;given&quot;:&quot;G&quot;,&quot;parse-names&quot;:false,&quot;dropping-particle&quot;:&quot;&quot;,&quot;non-dropping-particle&quot;:&quot;&quot;},{&quot;family&quot;:&quot;Bloem&quot;,&quot;given&quot;:&quot;B&quot;,&quot;parse-names&quot;:false,&quot;dropping-particle&quot;:&quot;&quot;,&quot;non-dropping-particle&quot;:&quot;&quot;},{&quot;family&quot;:&quot;Bradley-Westguard&quot;,&quot;given&quot;:&quot;&quot;,&quot;parse-names&quot;:false,&quot;dropping-particle&quot;:&quot;&quot;,&quot;non-dropping-particle&quot;:&quot;&quot;},{&quot;family&quot;:&quot;Brown&quot;,&quot;given&quot;:&quot;Richard&quot;,&quot;parse-names&quot;:false,&quot;dropping-particle&quot;:&quot;&quot;,&quot;non-dropping-particle&quot;:&quot;&quot;},{&quot;family&quot;:&quot;Brown&quot;,&quot;given&quot;:&quot;Rj Auid-Orcid&quot;,&quot;parse-names&quot;:false,&quot;dropping-particle&quot;:&quot;&quot;,&quot;non-dropping-particle&quot;:&quot;&quot;},{&quot;family&quot;:&quot;Carson&quot;,&quot;given&quot;:&quot;Aj Auid-Orcid&quot;,&quot;parse-names&quot;:false,&quot;dropping-particle&quot;:&quot;&quot;,&quot;non-dropping-particle&quot;:&quot;&quot;},{&quot;family&quot;:&quot;Chalder&quot;,&quot;given&quot;:&quot;T Auid-Orcid&quot;,&quot;parse-names&quot;:false,&quot;dropping-particle&quot;:&quot;&quot;,&quot;non-dropping-particle&quot;:&quot;&quot;},{&quot;family&quot;:&quot;Damianova&quot;,&quot;given&quot;:&quot;M&quot;,&quot;parse-names&quot;:false,&quot;dropping-particle&quot;:&quot;&quot;,&quot;non-dropping-particle&quot;:&quot;&quot;},{&quot;family&quot;:&quot;David&quot;,&quot;given&quot;:&quot;As Auid-Orcid X&quot;,&quot;parse-names&quot;:false,&quot;dropping-particle&quot;:&quot;&quot;,&quot;non-dropping-particle&quot;:&quot;&quot;},{&quot;family&quot;:&quot;Edwards&quot;,&quot;given&quot;:&quot;Mj Auid-Orcid&quot;,&quot;parse-names&quot;:false,&quot;dropping-particle&quot;:&quot;&quot;,&quot;non-dropping-particle&quot;:&quot;&quot;},{&quot;family&quot;:&quot;Epstein&quot;,&quot;given&quot;:&quot;S A&quot;,&quot;parse-names&quot;:false,&quot;dropping-particle&quot;:&quot;&quot;,&quot;non-dropping-particle&quot;:&quot;&quot;},{&quot;family&quot;:&quot;Espay&quot;,&quot;given&quot;:&quot;Aj Auid-Orcid X&quot;,&quot;parse-names&quot;:false,&quot;dropping-particle&quot;:&quot;&quot;,&quot;non-dropping-particle&quot;:&quot;&quot;},{&quot;family&quot;:&quot;Garcin&quot;,&quot;given&quot;:&quot;B Auid-Orcid&quot;,&quot;parse-names&quot;:false,&quot;dropping-particle&quot;:&quot;&quot;,&quot;non-dropping-particle&quot;:&quot;&quot;},{&quot;family&quot;:&quot;Goldstein&quot;,&quot;given&quot;:&quot;Lh Auid-Orcid&quot;,&quot;parse-names&quot;:false,&quot;dropping-particle&quot;:&quot;&quot;,&quot;non-dropping-particle&quot;:&quot;&quot;},{&quot;family&quot;:&quot;Hallett&quot;,&quot;given&quot;:&quot;M Auid-Orcid&quot;,&quot;parse-names&quot;:false,&quot;dropping-particle&quot;:&quot;&quot;,&quot;non-dropping-particle&quot;:&quot;&quot;},{&quot;family&quot;:&quot;Jankovic&quot;,&quot;given&quot;:&quot;J Auid-Orcid&quot;,&quot;parse-names&quot;:false,&quot;dropping-particle&quot;:&quot;&quot;,&quot;non-dropping-particle&quot;:&quot;&quot;},{&quot;family&quot;:&quot;Joyce&quot;,&quot;given&quot;:&quot;Em Auid-Orcid&quot;,&quot;parse-names&quot;:false,&quot;dropping-particle&quot;:&quot;&quot;,&quot;non-dropping-particle&quot;:&quot;&quot;},{&quot;family&quot;:&quot;Kanaan&quot;,&quot;given&quot;:&quot;Ra Auid-Orcid&quot;,&quot;parse-names&quot;:false,&quot;dropping-particle&quot;:&quot;&quot;,&quot;non-dropping-particle&quot;:&quot;&quot;},{&quot;family&quot;:&quot;Keynejad&quot;,&quot;given&quot;:&quot;Rc Auid-Orcid&quot;,&quot;parse-names&quot;:false,&quot;dropping-particle&quot;:&quot;&quot;,&quot;non-dropping-particle&quot;:&quot;&quot;},{&quot;family&quot;:&quot;Kozlowska&quot;,&quot;given&quot;:&quot;K Auid-Orcid&quot;,&quot;parse-names&quot;:false,&quot;dropping-particle&quot;:&quot;&quot;,&quot;non-dropping-particle&quot;:&quot;&quot;},{&quot;family&quot;:&quot;LaFaver&quot;,&quot;given&quot;:&quot;K Auid-Orcid X&quot;,&quot;parse-names&quot;:false,&quot;dropping-particle&quot;:&quot;&quot;,&quot;non-dropping-particle&quot;:&quot;&quot;},{&quot;family&quot;:&quot;LaFrance&quot;,&quot;given&quot;:&quot;W C Jr Auid-Orcid&quot;,&quot;parse-names&quot;:false,&quot;dropping-particle&quot;:&quot;&quot;,&quot;non-dropping-particle&quot;:&quot;&quot;},{&quot;family&quot;:&quot;Lang&quot;,&quot;given&quot;:&quot;Ae Auid-Orcid&quot;,&quot;parse-names&quot;:false,&quot;dropping-particle&quot;:&quot;&quot;,&quot;non-dropping-particle&quot;:&quot;&quot;},{&quot;family&quot;:&quot;Lehn&quot;,&quot;given&quot;:&quot;A Auid-Orcid&quot;,&quot;parse-names&quot;:false,&quot;dropping-particle&quot;:&quot;&quot;,&quot;non-dropping-particle&quot;:&quot;&quot;},{&quot;family&quot;:&quot;Lidstone&quot;,&quot;given&quot;:&quot;S Auid-Orcid&quot;,&quot;parse-names&quot;:false,&quot;dropping-particle&quot;:&quot;&quot;,&quot;non-dropping-particle&quot;:&quot;&quot;},{&quot;family&quot;:&quot;Maurer&quot;,&quot;given&quot;:&quot;Cw Auid-Orcid&quot;,&quot;parse-names&quot;:false,&quot;dropping-particle&quot;:&quot;&quot;,&quot;non-dropping-particle&quot;:&quot;&quot;},{&quot;family&quot;:&quot;Mildon&quot;,&quot;given&quot;:&quot;B Auid-Orcid&quot;,&quot;parse-names&quot;:false,&quot;dropping-particle&quot;:&quot;&quot;,&quot;non-dropping-particle&quot;:&quot;&quot;},{&quot;family&quot;:&quot;Morgante&quot;,&quot;given&quot;:&quot;F Auid-Orcid&quot;,&quot;parse-names&quot;:false,&quot;dropping-particle&quot;:&quot;&quot;,&quot;non-dropping-particle&quot;:&quot;&quot;},{&quot;family&quot;:&quot;Myers&quot;,&quot;given&quot;:&quot;L Auid-Orcid&quot;,&quot;parse-names&quot;:false,&quot;dropping-particle&quot;:&quot;&quot;,&quot;non-dropping-particle&quot;:&quot;&quot;},{&quot;family&quot;:&quot;Nicholson&quot;,&quot;given&quot;:&quot;C Auid-Orcid&quot;,&quot;parse-names&quot;:false,&quot;dropping-particle&quot;:&quot;&quot;,&quot;non-dropping-particle&quot;:&quot;&quot;},{&quot;family&quot;:&quot;Nielsen&quot;,&quot;given&quot;:&quot;G Auid-Orcid&quot;,&quot;parse-names&quot;:false,&quot;dropping-particle&quot;:&quot;&quot;,&quot;non-dropping-particle&quot;:&quot;&quot;},{&quot;family&quot;:&quot;Perez&quot;,&quot;given&quot;:&quot;Dl Auid-Orcid X&quot;,&quot;parse-names&quot;:false,&quot;dropping-particle&quot;:&quot;&quot;,&quot;non-dropping-particle&quot;:&quot;&quot;},{&quot;family&quot;:&quot;Popkirov&quot;,&quot;given&quot;:&quot;S Auid-Orcid&quot;,&quot;parse-names&quot;:false,&quot;dropping-particle&quot;:&quot;&quot;,&quot;non-dropping-particle&quot;:&quot;&quot;},{&quot;family&quot;:&quot;Reuber&quot;,&quot;given&quot;:&quot;M Auid-Orcid&quot;,&quot;parse-names&quot;:false,&quot;dropping-particle&quot;:&quot;&quot;,&quot;non-dropping-particle&quot;:&quot;&quot;},{&quot;family&quot;:&quot;Rommelfanger&quot;,&quot;given&quot;:&quot;Ks Auid-Orcid&quot;,&quot;parse-names&quot;:false,&quot;dropping-particle&quot;:&quot;&quot;,&quot;non-dropping-particle&quot;:&quot;&quot;},{&quot;family&quot;:&quot;Schwingenshuh&quot;,&quot;given&quot;:&quot;P Auid-Orcid&quot;,&quot;parse-names&quot;:false,&quot;dropping-particle&quot;:&quot;&quot;,&quot;non-dropping-particle&quot;:&quot;&quot;},{&quot;family&quot;:&quot;Serranova&quot;,&quot;given&quot;:&quot;T Auid-Orcid&quot;,&quot;parse-names&quot;:false,&quot;dropping-particle&quot;:&quot;&quot;,&quot;non-dropping-particle&quot;:&quot;&quot;},{&quot;family&quot;:&quot;Shotbolt&quot;,&quot;given&quot;:&quot;P Auid-Orcid X&quot;,&quot;parse-names&quot;:false,&quot;dropping-particle&quot;:&quot;&quot;,&quot;non-dropping-particle&quot;:&quot;&quot;},{&quot;family&quot;:&quot;Stebbins&quot;,&quot;given&quot;:&quot;Gt Auid-Orcid&quot;,&quot;parse-names&quot;:false,&quot;dropping-particle&quot;:&quot;&quot;,&quot;non-dropping-particle&quot;:&quot;&quot;},{&quot;family&quot;:&quot;Stone&quot;,&quot;given&quot;:&quot;J Auid-Orcid&quot;,&quot;parse-names&quot;:false,&quot;dropping-particle&quot;:&quot;&quot;,&quot;non-dropping-particle&quot;:&quot;&quot;},{&quot;family&quot;:&quot;Tijssen&quot;,&quot;given&quot;:&quot;Ma Auid-Orcid X&quot;,&quot;parse-names&quot;:false,&quot;dropping-particle&quot;:&quot;&quot;,&quot;non-dropping-particle&quot;:&quot;&quot;},{&quot;family&quot;:&quot;Tinazzi&quot;,&quot;given&quot;:&quot;M Auid-Orcid&quot;,&quot;parse-names&quot;:false,&quot;dropping-particle&quot;:&quot;&quot;,&quot;non-dropping-particle&quot;:&quot;&quot;},{&quot;family&quot;:&quot;Nicholson&quot;,&quot;given&quot;:&quot;Tr Auid-Orcid&quot;,&quot;parse-names&quot;:false,&quot;dropping-particle&quot;:&quot;&quot;,&quot;non-dropping-particle&quot;:&quot;&quot;},{&quot;family&quot;:&quot;Psychiatry&quot;,&quot;given&quot;:&quot;J Neurol Neurosurg&quot;,&quot;parse-names&quot;:false,&quot;dropping-particle&quot;:&quot;&quot;,&quot;non-dropping-particle&quot;:&quot;&quot;}],&quot;issued&quot;:{&quot;date-parts&quot;:[[2020]]},&quot;language&quot;:&quot;eng&quot;,&quot;abstract&quot;:&quot;OBJECTIVES: We aimed to identify existing outcome measures for functional neurological disorder (FND), to inform the development of recommendations and to guide future research on FND outcomes. METHODS: A systematic review was conducted to identify existing FND-specific outcome measures and the most common measurement domains and measures in previous treatment studies. Searches of Embase, MEDLINE and PsycINFO were conducted between January 1965 and June 2019. The findings were discussed during two international meetings of the FND-Core Outcome Measures group. RESULTS: Five FND-specific measures were identified-three clinician-rated and two patient-rated-but their measurement properties have not been rigorously evaluated. No single measure was identified for use across the range of FND symptoms in adults. Across randomised controlled trials (k=40) and observational treatment studies (k=40), outcome measures most often assessed core FND symptom change. Other domains measured commonly were additional physical and psychological symptoms, life impact (ie, quality of life, disability and general functioning) and health economics/cost-utility (eg, healthcare resource use and quality-adjusted life years). CONCLUSIONS: There are few well-validated FND-specific outcome measures. Thus, at present, we recommend that existing outcome measures, known to be reliable, valid and responsive in FND or closely related populations, are used to capture key outcome domains. Increased consistency in outcome measurement will facilitate comparison of treatment effects across FND symptom types and treatment modalities. Future work needs to more rigorously validate outcome measures used in this population.&quot;,&quot;issue&quot;:&quot;1468-330X (Electronic)&quot;,&quot;container-title-short&quot;:&quot;&quot;},&quot;isTemporary&quot;:false}],&quot;citationTag&quot;:&quot;MENDELEY_CITATION_v3_eyJjaXRhdGlvbklEIjoiTUVOREVMRVlfQ0lUQVRJT05fNmQ2YTE1MTktNmJmZi00NTZhLTg2ZDUtOTQwNmJjMGQ2NTQ2IiwicHJvcGVydGllcyI6eyJub3RlSW5kZXgiOjB9LCJpc0VkaXRlZCI6ZmFsc2UsIm1hbnVhbE92ZXJyaWRlIjp7ImlzTWFudWFsbHlPdmVycmlkZGVuIjpmYWxzZSwiY2l0ZXByb2NUZXh0IjoiKFBpY2ssIEFuZGVyc29uLCBldCBhbC4sIDIwMjApIiwibWFudWFsT3ZlcnJpZGVUZXh0IjoiIn0sImNpdGF0aW9uSXRlbXMiOlt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XX0=&quot;},{&quot;citationID&quot;:&quot;MENDELEY_CITATION_b1c88544-aa97-464d-82c2-0e3d09d873bb&quot;,&quot;properties&quot;:{&quot;noteIndex&quot;:0},&quot;isEdited&quot;:false,&quot;manualOverride&quot;:{&quot;isManuallyOverridden&quot;:true,&quot;citeprocText&quot;:&quot;(Cella et al., 2010; Gargon et al., 2021)&quot;,&quot;manualOverrideText&quot;:&quot;(D. Cella et al., 2010; Gargon et al., 2021)&quot;},&quot;citationItems&quot;:[{&quot;id&quot;:&quot;744af6d4-5f0d-3cef-b37e-3aa45f64f632&quot;,&quot;itemData&quot;:{&quot;type&quot;:&quot;article-journal&quot;,&quot;id&quot;:&quot;744af6d4-5f0d-3cef-b37e-3aa45f64f632&quot;,&quot;title&quot;:&quot;Choosing important health outcomes for comparative effectiveness research: 6th annual update to a systematic review of core outcome sets for research&quot;,&quot;author&quot;:[{&quot;family&quot;:&quot;Gargon&quot;,&quot;given&quot;:&quot;Elizabeth&quot;,&quot;parse-names&quot;:false,&quot;dropping-particle&quot;:&quot;&quot;,&quot;non-dropping-particle&quot;:&quot;&quot;},{&quot;family&quot;:&quot;Gorst&quot;,&quot;given&quot;:&quot;Sarah L.&quot;,&quot;parse-names&quot;:false,&quot;dropping-particle&quot;:&quot;&quot;,&quot;non-dropping-particle&quot;:&quot;&quot;},{&quot;family&quot;:&quot;Matvienko-Sikar&quot;,&quot;given&quot;:&quot;Karen&quot;,&quot;parse-names&quot;:false,&quot;dropping-particle&quot;:&quot;&quot;,&quot;non-dropping-particle&quot;:&quot;&quot;},{&quot;family&quot;:&quot;Williamson&quot;,&quot;given&quot;:&quot;Paula R.&quot;,&quot;parse-names&quot;:false,&quot;dropping-particle&quot;:&quot;&quot;,&quot;non-dropping-particle&quot;:&quot;&quot;}],&quot;container-title&quot;:&quot;PLOS ONE&quot;,&quot;container-title-short&quot;:&quot;PLoS One&quot;,&quot;accessed&quot;:{&quot;date-parts&quot;:[[2023,4,17]]},&quot;DOI&quot;:&quot;10.1371/JOURNAL.PONE.0244878&quot;,&quot;ISBN&quot;:&quot;1111111111&quot;,&quot;ISSN&quot;:&quot;1932-6203&quot;,&quot;PMID&quot;:&quot;33434219&quot;,&quot;URL&quot;:&quot;https://journals.plos.org/plosone/article?id=10.1371/journal.pone.0244878&quot;,&quot;issued&quot;:{&quot;date-parts&quot;:[[2021,1,1]]},&quot;page&quot;:&quot;e0244878&quot;,&quot;abstract&quot;:&quot;Background An annual update to a systematic review of core outcome sets (COS) for research ensures that the COMET database is up-to-date. The aims of this study were to: (i) identify COS that were published or indexed in 2019 and to describe the methodological approaches used in these studies; (ii) investigate whether children have been included as participants in published COS development studies, and which methods have been used to facilitate their participation; iii) update a previous exercise to identify COS relevant to the most burdensome global diseases and injuries.   Methods MEDLINE and SCOPUS were searched to identify studies published or indexed between (and inclusive of) January 2019 and December 2019. Automated screening methods were used to rank the citations in order of relevance; the top 25% in ranked priority order were screened for eligibility. COS were assessed against each of the Core Outcome Set-STAndards for Development (COS-STAD). A search of the COMET database was undertaken to identify COS relevant to the 25 leading causes of disease burden.   Results Thirty-three studies, describing the development of 37 COS, were included in this update. These studies have been added to the COMET database, which now contains 370 published (1981–2019) COS studies for clinical research. Six (18%) of the 33 studies in this update were deemed to have met all of the minimum standards for COS development (range = 4 to 12 criteria, median = 9 criteria). Of the 370 COS studies published to date, 82 COS have been developed for paediatric health conditions and children would have been eligible to participate in 68/82 of these studies. Eleven of these 68 (16%) COS studies have included children as participants within the development process, most commonly through participation in Delphi surveys. Relevant COS were identified for 22/25 leading causes of global disease burden.   Conclusion There has been a demonstrated increase in COS developed for both research and routine practice, and consistently high inclusion of patient participants. COS developed for paediatric conditions need to further incorporate the perspectives of children, alongside parents and other adults, and adopt research methods fit for this purpose. COS developers should consider the gaps identified in this update as priorities for COS development.&quot;,&quot;publisher&quot;:&quot;Public Library of Science&quot;,&quot;issue&quot;:&quot;1&quot;,&quot;volume&quot;:&quot;16&quot;},&quot;isTemporary&quot;:false},{&quot;id&quot;:&quot;3b9634d1-65bf-3b58-820a-e7a94b1a2f3c&quot;,&quot;itemData&quot;:{&quot;type&quot;:&quot;article-journal&quot;,&quot;id&quot;:&quot;3b9634d1-65bf-3b58-820a-e7a94b1a2f3c&quot;,&quot;title&quot;:&quot;The Patient-Reported Outcomes Measurement Information System (PROMIS) developed and tested its first wave of adult self-reported health outcome item banks: 2005-2008&quot;,&quot;author&quot;:[{&quot;family&quot;:&quot;Cella&quot;,&quot;given&quot;:&quot;David&quot;,&quot;parse-names&quot;:false,&quot;dropping-particle&quot;:&quot;&quot;,&quot;non-dropping-particle&quot;:&quot;&quot;},{&quot;family&quot;:&quot;Riley&quot;,&quot;given&quot;:&quot;William&quot;,&quot;parse-names&quot;:false,&quot;dropping-particle&quot;:&quot;&quot;,&quot;non-dropping-particle&quot;:&quot;&quot;},{&quot;family&quot;:&quot;Stone&quot;,&quot;given&quot;:&quot;Arthur&quot;,&quot;parse-names&quot;:false,&quot;dropping-particle&quot;:&quot;&quot;,&quot;non-dropping-particle&quot;:&quot;&quot;},{&quot;family&quot;:&quot;Rothrock&quot;,&quot;given&quot;:&quot;Nan&quot;,&quot;parse-names&quot;:false,&quot;dropping-particle&quot;:&quot;&quot;,&quot;non-dropping-particle&quot;:&quot;&quot;},{&quot;family&quot;:&quot;Reeve&quot;,&quot;given&quot;:&quot;Bryce&quot;,&quot;parse-names&quot;:false,&quot;dropping-particle&quot;:&quot;&quot;,&quot;non-dropping-particle&quot;:&quot;&quot;},{&quot;family&quot;:&quot;Yount&quot;,&quot;given&quot;:&quot;Susan&quot;,&quot;parse-names&quot;:false,&quot;dropping-particle&quot;:&quot;&quot;,&quot;non-dropping-particle&quot;:&quot;&quot;},{&quot;family&quot;:&quot;Amtmann&quot;,&quot;given&quot;:&quot;Dagmar&quot;,&quot;parse-names&quot;:false,&quot;dropping-particle&quot;:&quot;&quot;,&quot;non-dropping-particle&quot;:&quot;&quot;},{&quot;family&quot;:&quot;Bode&quot;,&quot;given&quot;:&quot;Rita&quot;,&quot;parse-names&quot;:false,&quot;dropping-particle&quot;:&quot;&quot;,&quot;non-dropping-particle&quot;:&quot;&quot;},{&quot;family&quot;:&quot;Buysse&quot;,&quot;given&quot;:&quot;Daniel&quot;,&quot;parse-names&quot;:false,&quot;dropping-particle&quot;:&quot;&quot;,&quot;non-dropping-particle&quot;:&quot;&quot;},{&quot;family&quot;:&quot;Choi&quot;,&quot;given&quot;:&quot;Seung&quot;,&quot;parse-names&quot;:false,&quot;dropping-particle&quot;:&quot;&quot;,&quot;non-dropping-particle&quot;:&quot;&quot;},{&quot;family&quot;:&quot;Cook&quot;,&quot;given&quot;:&quot;Karon&quot;,&quot;parse-names&quot;:false,&quot;dropping-particle&quot;:&quot;&quot;,&quot;non-dropping-particle&quot;:&quot;&quot;},{&quot;family&quot;:&quot;Devellis&quot;,&quot;given&quot;:&quot;Robert&quot;,&quot;parse-names&quot;:false,&quot;dropping-particle&quot;:&quot;&quot;,&quot;non-dropping-particle&quot;:&quot;&quot;},{&quot;family&quot;:&quot;Dewalt&quot;,&quot;given&quot;:&quot;Darren&quot;,&quot;parse-names&quot;:false,&quot;dropping-particle&quot;:&quot;&quot;,&quot;non-dropping-particle&quot;:&quot;&quot;},{&quot;family&quot;:&quot;Fries&quot;,&quot;given&quot;:&quot;James F.&quot;,&quot;parse-names&quot;:false,&quot;dropping-particle&quot;:&quot;&quot;,&quot;non-dropping-particle&quot;:&quot;&quot;},{&quot;family&quot;:&quot;Gershon&quot;,&quot;given&quot;:&quot;Richard&quot;,&quot;parse-names&quot;:false,&quot;dropping-particle&quot;:&quot;&quot;,&quot;non-dropping-particle&quot;:&quot;&quot;},{&quot;family&quot;:&quot;Hahn&quot;,&quot;given&quot;:&quot;Elizabeth A.&quot;,&quot;parse-names&quot;:false,&quot;dropping-particle&quot;:&quot;&quot;,&quot;non-dropping-particle&quot;:&quot;&quot;},{&quot;family&quot;:&quot;Lai&quot;,&quot;given&quot;:&quot;Jin Shei&quot;,&quot;parse-names&quot;:false,&quot;dropping-particle&quot;:&quot;&quot;,&quot;non-dropping-particle&quot;:&quot;&quot;},{&quot;family&quot;:&quot;Pilkonis&quot;,&quot;given&quot;:&quot;Paul&quot;,&quot;parse-names&quot;:false,&quot;dropping-particle&quot;:&quot;&quot;,&quot;non-dropping-particle&quot;:&quot;&quot;},{&quot;family&quot;:&quot;Revicki&quot;,&quot;given&quot;:&quot;Dennis&quot;,&quot;parse-names&quot;:false,&quot;dropping-particle&quot;:&quot;&quot;,&quot;non-dropping-particle&quot;:&quot;&quot;},{&quot;family&quot;:&quot;Rose&quot;,&quot;given&quot;:&quot;Matthias&quot;,&quot;parse-names&quot;:false,&quot;dropping-particle&quot;:&quot;&quot;,&quot;non-dropping-particle&quot;:&quot;&quot;},{&quot;family&quot;:&quot;Weinfurt&quot;,&quot;given&quot;:&quot;Kevin&quot;,&quot;parse-names&quot;:false,&quot;dropping-particle&quot;:&quot;&quot;,&quot;non-dropping-particle&quot;:&quot;&quot;},{&quot;family&quot;:&quot;Hays&quot;,&quot;given&quot;:&quot;Ron&quot;,&quot;parse-names&quot;:false,&quot;dropping-particle&quot;:&quot;&quot;,&quot;non-dropping-particle&quot;:&quot;&quot;}],&quot;container-title&quot;:&quot;Journal of clinical epidemiology&quot;,&quot;container-title-short&quot;:&quot;J Clin Epidemiol&quot;,&quot;accessed&quot;:{&quot;date-parts&quot;:[[2023,4,17]]},&quot;DOI&quot;:&quot;10.1016/J.JCLINEPI.2010.04.011&quot;,&quot;ISSN&quot;:&quot;1878-5921&quot;,&quot;PMID&quot;:&quot;20685078&quot;,&quot;URL&quot;:&quot;https://pubmed.ncbi.nlm.nih.gov/20685078/&quot;,&quot;issued&quot;:{&quot;date-parts&quot;:[[2010,11]]},&quot;page&quot;:&quot;1179-1194&quot;,&quot;abstract&quot;:&quot;Objectives: Patient-reported outcomes (PROs) are essential when evaluating many new treatments in health care; yet, current measures have been limited by a lack of precision, standardization, and comparability of scores across studies and diseases. The Patient-Reported Outcomes Measurement Information System (PROMIS) provides item banks that offer the potential for efficient (minimizes item number without compromising reliability), flexible (enables optional use of interchangeable items), and precise (has minimal error in estimate) measurement of commonly studied PROs. We report results from the first large-scale testing of PROMIS items. Study Design and Setting: Fourteen item pools were tested in the U.S. general population and clinical groups using an online panel and clinic recruitment. A scale-setting subsample was created reflecting demographics proportional to the 2000 U.S. census. Results: Using item-response theory (graded response model), 11 item banks were calibrated on a sample of 21,133, measuring components of self-reported physical, mental, and social health, along with a 10-item Global Health Scale. Short forms from each bank were developed and compared with the overall bank and with other well-validated and widely accepted (\&quot;legacy\&quot;) measures. All item banks demonstrated good reliability across most of the score distributions. Construct validity was supported by moderate to strong correlations with legacy measures. Conclusion: PROMIS item banks and their short forms provide evidence that they are reliable and precise measures of generic symptoms and functional reports comparable to legacy instruments. Further testing will continue to validate and test PROMIS items and banks in diverse clinical populations. © 2010 Elsevier Inc. All rights reserved.&quot;,&quot;publisher&quot;:&quot;J Clin Epidemiol&quot;,&quot;issue&quot;:&quot;11&quot;,&quot;volume&quot;:&quot;63&quot;},&quot;isTemporary&quot;:false}],&quot;citationTag&quot;:&quot;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&quot;},{&quot;citationID&quot;:&quot;MENDELEY_CITATION_111b6b76-a30a-409c-9dc1-1b788983c105&quot;,&quot;properties&quot;:{&quot;noteIndex&quot;:0},&quot;isEdited&quot;:false,&quot;manualOverride&quot;:{&quot;isManuallyOverridden&quot;:false,&quot;citeprocText&quot;:&quot;(Nicholson et al., 2020; Pick, Anderson, et al., 2020)&quot;,&quot;manualOverrideText&quot;:&quot;&quot;},&quot;citationItems&quot;:[{&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id&quot;:&quot;9efeb79a-71d9-3505-8b13-ff928235f0b6&quot;,&quot;itemData&quot;:{&quot;type&quot;:&quot;article-journal&quot;,&quot;id&quot;:&quot;9efeb79a-71d9-3505-8b13-ff928235f0b6&quot;,&quot;title&quot;:&quot;Outcome measurement in functional neurological disorder: a systematic review and recommendations. LID - jnnp-2019-322180 [pii] LID - 10.1136/jnnp-2019-322180 [doi]&quot;,&quot;author&quot;:[{&quot;family&quot;:&quot;Pick&quot;,&quot;given&quot;:&quot;S Auid-Orcid&quot;,&quot;parse-names&quot;:false,&quot;dropping-particle&quot;:&quot;&quot;,&quot;non-dropping-particle&quot;:&quot;&quot;},{&quot;family&quot;:&quot;Anderson&quot;,&quot;given&quot;:&quot;D G&quot;,&quot;parse-names&quot;:false,&quot;dropping-particle&quot;:&quot;&quot;,&quot;non-dropping-particle&quot;:&quot;&quot;},{&quot;family&quot;:&quot;Asadi-Pooya&quot;,&quot;given&quot;:&quot;Aa Auid-Orcid&quot;,&quot;parse-names&quot;:false,&quot;dropping-particle&quot;:&quot;&quot;,&quot;non-dropping-particle&quot;:&quot;&quot;},{&quot;family&quot;:&quot;Aybek&quot;,&quot;given&quot;:&quot;S Auid-Orcid&quot;,&quot;parse-names&quot;:false,&quot;dropping-particle&quot;:&quot;&quot;,&quot;non-dropping-particle&quot;:&quot;&quot;},{&quot;family&quot;:&quot;Baslet&quot;,&quot;given&quot;:&quot;G&quot;,&quot;parse-names&quot;:false,&quot;dropping-particle&quot;:&quot;&quot;,&quot;non-dropping-particle&quot;:&quot;&quot;},{&quot;family&quot;:&quot;Bloem&quot;,&quot;given&quot;:&quot;Br Auid-Orcid&quot;,&quot;parse-names&quot;:false,&quot;dropping-particle&quot;:&quot;&quot;,&quot;non-dropping-particle&quot;:&quot;&quot;},{&quot;family&quot;:&quot;Bradley-Westguard A Fau - Brown&quot;,&quot;given&quot;:&quot;Richard J&quot;,&quot;parse-names&quot;:false,&quot;dropping-particle&quot;:&quot;&quot;,&quot;non-dropping-particle&quot;:&quot;&quot;},{&quot;family&quot;:&quot;Brown&quot;,&quot;given&quot;:&quot;Rj Auid-Orcid&quot;,&quot;parse-names&quot;:false,&quot;dropping-particle&quot;:&quot;&quot;,&quot;non-dropping-particle&quot;:&quot;&quot;},{&quot;family&quot;:&quot;Carson&quot;,&quot;given&quot;:&quot;Aj Auid-Orcid&quot;,&quot;parse-names&quot;:false,&quot;dropping-particle&quot;:&quot;&quot;,&quot;non-dropping-particle&quot;:&quot;&quot;},{&quot;family&quot;:&quot;Chalder&quot;,&quot;given&quot;:&quot;T Auid-Orcid&quot;,&quot;parse-names&quot;:false,&quot;dropping-particle&quot;:&quot;&quot;,&quot;non-dropping-particle&quot;:&quot;&quot;},{&quot;family&quot;:&quot;Damianova&quot;,&quot;given&quot;:&quot;M&quot;,&quot;parse-names&quot;:false,&quot;dropping-particle&quot;:&quot;&quot;,&quot;non-dropping-particle&quot;:&quot;&quot;},{&quot;family&quot;:&quot;David&quot;,&quot;given&quot;:&quot;As Auid-Orcid X&quot;,&quot;parse-names&quot;:false,&quot;dropping-particle&quot;:&quot;&quot;,&quot;non-dropping-particle&quot;:&quot;&quot;},{&quot;family&quot;:&quot;Edwards&quot;,&quot;given&quot;:&quot;Mj Auid-Orcid&quot;,&quot;parse-names&quot;:false,&quot;dropping-particle&quot;:&quot;&quot;,&quot;non-dropping-particle&quot;:&quot;&quot;},{&quot;family&quot;:&quot;Epstein&quot;,&quot;given&quot;:&quot;S A&quot;,&quot;parse-names&quot;:false,&quot;dropping-particle&quot;:&quot;&quot;,&quot;non-dropping-particle&quot;:&quot;&quot;},{&quot;family&quot;:&quot;Espay&quot;,&quot;given&quot;:&quot;Aj Auid-Orcid X&quot;,&quot;parse-names&quot;:false,&quot;dropping-particle&quot;:&quot;&quot;,&quot;non-dropping-particle&quot;:&quot;&quot;},{&quot;family&quot;:&quot;Garcin&quot;,&quot;given&quot;:&quot;B Auid-Orcid&quot;,&quot;parse-names&quot;:false,&quot;dropping-particle&quot;:&quot;&quot;,&quot;non-dropping-particle&quot;:&quot;&quot;},{&quot;family&quot;:&quot;Goldstein&quot;,&quot;given&quot;:&quot;Lh Auid-Orcid&quot;,&quot;parse-names&quot;:false,&quot;dropping-particle&quot;:&quot;&quot;,&quot;non-dropping-particle&quot;:&quot;&quot;},{&quot;family&quot;:&quot;Hallett&quot;,&quot;given&quot;:&quot;M Auid-Orcid&quot;,&quot;parse-names&quot;:false,&quot;dropping-particle&quot;:&quot;&quot;,&quot;non-dropping-particle&quot;:&quot;&quot;},{&quot;family&quot;:&quot;Jankovic&quot;,&quot;given&quot;:&quot;J Auid-Orcid&quot;,&quot;parse-names&quot;:false,&quot;dropping-particle&quot;:&quot;&quot;,&quot;non-dropping-particle&quot;:&quot;&quot;},{&quot;family&quot;:&quot;Joyce&quot;,&quot;given&quot;:&quot;Em Auid-Orcid&quot;,&quot;parse-names&quot;:false,&quot;dropping-particle&quot;:&quot;&quot;,&quot;non-dropping-particle&quot;:&quot;&quot;},{&quot;family&quot;:&quot;Kanaan&quot;,&quot;given&quot;:&quot;Ra Auid-Orcid&quot;,&quot;parse-names&quot;:false,&quot;dropping-particle&quot;:&quot;&quot;,&quot;non-dropping-particle&quot;:&quot;&quot;},{&quot;family&quot;:&quot;Keynejad&quot;,&quot;given&quot;:&quot;Rc Auid-Orcid&quot;,&quot;parse-names&quot;:false,&quot;dropping-particle&quot;:&quot;&quot;,&quot;non-dropping-particle&quot;:&quot;&quot;},{&quot;family&quot;:&quot;Kozlowska&quot;,&quot;given&quot;:&quot;K Auid-Orcid&quot;,&quot;parse-names&quot;:false,&quot;dropping-particle&quot;:&quot;&quot;,&quot;non-dropping-particle&quot;:&quot;&quot;},{&quot;family&quot;:&quot;LaFaver&quot;,&quot;given&quot;:&quot;K Auid-Orcid X&quot;,&quot;parse-names&quot;:false,&quot;dropping-particle&quot;:&quot;&quot;,&quot;non-dropping-particle&quot;:&quot;&quot;},{&quot;family&quot;:&quot;LaFrance&quot;,&quot;given&quot;:&quot;W C Jr Auid-Orcid&quot;,&quot;parse-names&quot;:false,&quot;dropping-particle&quot;:&quot;&quot;,&quot;non-dropping-particle&quot;:&quot;&quot;},{&quot;family&quot;:&quot;Lang&quot;,&quot;given&quot;:&quot;Ae Auid-Orcid&quot;,&quot;parse-names&quot;:false,&quot;dropping-particle&quot;:&quot;&quot;,&quot;non-dropping-particle&quot;:&quot;&quot;},{&quot;family&quot;:&quot;Lehn&quot;,&quot;given&quot;:&quot;A Auid-Orcid&quot;,&quot;parse-names&quot;:false,&quot;dropping-particle&quot;:&quot;&quot;,&quot;non-dropping-particle&quot;:&quot;&quot;},{&quot;family&quot;:&quot;Lidstone&quot;,&quot;given&quot;:&quot;S Auid-Orcid&quot;,&quot;parse-names&quot;:false,&quot;dropping-particle&quot;:&quot;&quot;,&quot;non-dropping-particle&quot;:&quot;&quot;},{&quot;family&quot;:&quot;Maurer&quot;,&quot;given&quot;:&quot;Cw Auid-Orcid&quot;,&quot;parse-names&quot;:false,&quot;dropping-particle&quot;:&quot;&quot;,&quot;non-dropping-particle&quot;:&quot;&quot;},{&quot;family&quot;:&quot;Mildon&quot;,&quot;given&quot;:&quot;B Auid-Orcid&quot;,&quot;parse-names&quot;:false,&quot;dropping-particle&quot;:&quot;&quot;,&quot;non-dropping-particle&quot;:&quot;&quot;},{&quot;family&quot;:&quot;Morgante&quot;,&quot;given&quot;:&quot;F Auid-Orcid&quot;,&quot;parse-names&quot;:false,&quot;dropping-particle&quot;:&quot;&quot;,&quot;non-dropping-particle&quot;:&quot;&quot;},{&quot;family&quot;:&quot;Myers&quot;,&quot;given&quot;:&quot;L Auid-Orcid&quot;,&quot;parse-names&quot;:false,&quot;dropping-particle&quot;:&quot;&quot;,&quot;non-dropping-particle&quot;:&quot;&quot;},{&quot;family&quot;:&quot;Nicholson&quot;,&quot;given&quot;:&quot;C Auid-Orcid&quot;,&quot;parse-names&quot;:false,&quot;dropping-particle&quot;:&quot;&quot;,&quot;non-dropping-particle&quot;:&quot;&quot;},{&quot;family&quot;:&quot;Nielsen&quot;,&quot;given&quot;:&quot;G Auid-Orcid&quot;,&quot;parse-names&quot;:false,&quot;dropping-particle&quot;:&quot;&quot;,&quot;non-dropping-particle&quot;:&quot;&quot;},{&quot;family&quot;:&quot;Perez&quot;,&quot;given&quot;:&quot;Dl Auid-Orcid X&quot;,&quot;parse-names&quot;:false,&quot;dropping-particle&quot;:&quot;&quot;,&quot;non-dropping-particle&quot;:&quot;&quot;},{&quot;family&quot;:&quot;Popkirov&quot;,&quot;given&quot;:&quot;S Auid-Orcid&quot;,&quot;parse-names&quot;:false,&quot;dropping-particle&quot;:&quot;&quot;,&quot;non-dropping-particle&quot;:&quot;&quot;},{&quot;family&quot;:&quot;Reuber&quot;,&quot;given&quot;:&quot;M Auid-Orcid&quot;,&quot;parse-names&quot;:false,&quot;dropping-particle&quot;:&quot;&quot;,&quot;non-dropping-particle&quot;:&quot;&quot;},{&quot;family&quot;:&quot;Rommelfanger&quot;,&quot;given&quot;:&quot;Ks Auid-Orcid&quot;,&quot;parse-names&quot;:false,&quot;dropping-particle&quot;:&quot;&quot;,&quot;non-dropping-particle&quot;:&quot;&quot;},{&quot;family&quot;:&quot;Schwingenshuh&quot;,&quot;given&quot;:&quot;P Auid-Orcid&quot;,&quot;parse-names&quot;:false,&quot;dropping-particle&quot;:&quot;&quot;,&quot;non-dropping-particle&quot;:&quot;&quot;},{&quot;family&quot;:&quot;Serranova&quot;,&quot;given&quot;:&quot;T Auid-Orcid&quot;,&quot;parse-names&quot;:false,&quot;dropping-particle&quot;:&quot;&quot;,&quot;non-dropping-particle&quot;:&quot;&quot;},{&quot;family&quot;:&quot;Shotbolt&quot;,&quot;given&quot;:&quot;P Auid-Orcid X&quot;,&quot;parse-names&quot;:false,&quot;dropping-particle&quot;:&quot;&quot;,&quot;non-dropping-particle&quot;:&quot;&quot;},{&quot;family&quot;:&quot;Stebbins&quot;,&quot;given&quot;:&quot;Gt Auid-Orcid&quot;,&quot;parse-names&quot;:false,&quot;dropping-particle&quot;:&quot;&quot;,&quot;non-dropping-particle&quot;:&quot;&quot;},{&quot;family&quot;:&quot;Stone&quot;,&quot;given&quot;:&quot;J Auid-Orcid&quot;,&quot;parse-names&quot;:false,&quot;dropping-particle&quot;:&quot;&quot;,&quot;non-dropping-particle&quot;:&quot;&quot;},{&quot;family&quot;:&quot;Tijssen&quot;,&quot;given&quot;:&quot;Ma Auid-Orcid X&quot;,&quot;parse-names&quot;:false,&quot;dropping-particle&quot;:&quot;&quot;,&quot;non-dropping-particle&quot;:&quot;&quot;},{&quot;family&quot;:&quot;Tinazzi&quot;,&quot;given&quot;:&quot;M Auid-Orcid&quot;,&quot;parse-names&quot;:false,&quot;dropping-particle&quot;:&quot;&quot;,&quot;non-dropping-particle&quot;:&quot;&quot;},{&quot;family&quot;:&quot;Nicholson&quot;,&quot;given&quot;:&quot;Tr Auid-Orcid&quot;,&quot;parse-names&quot;:false,&quot;dropping-particle&quot;:&quot;&quot;,&quot;non-dropping-particle&quot;:&quot;&quot;},{&quot;family&quot;:&quot;Psychiatry&quot;,&quot;given&quot;:&quot;J Neurol Neurosurg&quot;,&quot;parse-names&quot;:false,&quot;dropping-particle&quot;:&quot;&quot;,&quot;non-dropping-particle&quot;:&quot;&quot;}],&quot;issued&quot;:{&quot;date-parts&quot;:[[2020]]},&quot;language&quot;:&quot;eng&quot;,&quot;abstract&quot;:&quot;OBJECTIVES: We aimed to identify existing outcome measures for functional neurological disorder (FND), to inform the development of recommendations and to guide future research on FND outcomes. METHODS: A systematic review was conducted to identify existing FND-specific outcome measures and the most common measurement domains and measures in previous treatment studies. Searches of Embase, MEDLINE and PsycINFO were conducted between January 1965 and June 2019. The findings were discussed during two international meetings of the FND-Core Outcome Measures group. RESULTS: Five FND-specific measures were identified-three clinician-rated and two patient-rated-but their measurement properties have not been rigorously evaluated. No single measure was identified for use across the range of FND symptoms in adults. Across randomised controlled trials (k=40) and observational treatment studies (k=40), outcome measures most often assessed core FND symptom change. Other domains measured commonly were additional physical and psychological symptoms, life impact (ie, quality of life, disability and general functioning) and health economics/cost-utility (eg, healthcare resource use and quality-adjusted life years). CONCLUSIONS: There are few well-validated FND-specific outcome measures. Thus, at present, we recommend that existing outcome measures, known to be reliable, valid and responsive in FND or closely related populations, are used to capture key outcome domains. Increased consistency in outcome measurement will facilitate comparison of treatment effects across FND symptom types and treatment modalities. Future work needs to more rigorously validate outcome measures used in this population.&quot;,&quot;issue&quot;:&quot;1468-330X (Electronic)&quot;,&quot;container-title-short&quot;:&quot;&quot;},&quot;isTemporary&quot;:false}],&quot;citationTag&quot;:&quot;MENDELEY_CITATION_v3_eyJjaXRhdGlvbklEIjoiTUVOREVMRVlfQ0lUQVRJT05fMTExYjZiNzYtYTMwYS00MDljLTlkYzEtMWI3ODg5ODNjMTA1IiwicHJvcGVydGllcyI6eyJub3RlSW5kZXgiOjB9LCJpc0VkaXRlZCI6ZmFsc2UsIm1hbnVhbE92ZXJyaWRlIjp7ImlzTWFudWFsbHlPdmVycmlkZGVuIjpmYWxzZSwiY2l0ZXByb2NUZXh0IjoiKE5pY2hvbHNvbiBldCBhbC4sIDIwMjA7IFBpY2ssIEFuZGVyc29uLCBldCBhbC4sIDIwMjApIiwibWFudWFsT3ZlcnJpZGVUZXh0IjoiIn0sImNpdGF0aW9uSXRlbXMiOlt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&quot;},{&quot;citationID&quot;:&quot;MENDELEY_CITATION_1271afc3-6258-47ef-9b66-4968d60bd5c5&quot;,&quot;properties&quot;:{&quot;noteIndex&quot;:0},&quot;isEdited&quot;:false,&quot;manualOverride&quot;:{&quot;isManuallyOverridden&quot;:true,&quot;citeprocText&quot;:&quot;(Whitehead &amp;#38; Ali, 2010)&quot;,&quot;manualOverrideText&quot;:&quot;(S. J. Whitehead &amp; Ali, 2010)&quot;},&quot;citationItems&quot;:[{&quot;id&quot;:&quot;dc67dc58-b7cc-36e6-83c4-17aa9bc8956a&quot;,&quot;itemData&quot;:{&quot;type&quot;:&quot;article-journal&quot;,&quot;id&quot;:&quot;dc67dc58-b7cc-36e6-83c4-17aa9bc8956a&quot;,&quot;title&quot;:&quot;Health outcomes in economic evaluation: the QALY and utilities&quot;,&quot;author&quot;:[{&quot;family&quot;:&quot;Whitehead&quot;,&quot;given&quot;:&quot;Sarah J.&quot;,&quot;parse-names&quot;:false,&quot;dropping-particle&quot;:&quot;&quot;,&quot;non-dropping-particle&quot;:&quot;&quot;},{&quot;family&quot;:&quot;Ali&quot;,&quot;given&quot;:&quot;Shehzad&quot;,&quot;parse-names&quot;:false,&quot;dropping-particle&quot;:&quot;&quot;,&quot;non-dropping-particle&quot;:&quot;&quot;}],&quot;container-title&quot;:&quot;British Medical Bulletin&quot;,&quot;container-title-short&quot;:&quot;Br Med Bull&quot;,&quot;accessed&quot;:{&quot;date-parts&quot;:[[2023,4,28]]},&quot;DOI&quot;:&quot;10.1093/BMB/LDQ033&quot;,&quot;ISSN&quot;:&quot;0007-1420&quot;,&quot;PMID&quot;:&quot;21037243&quot;,&quot;URL&quot;:&quot;https://academic.oup.com/bmb/article/96/1/5/300011&quot;,&quot;issued&quot;:{&quot;date-parts&quot;:[[2010,12,1]]},&quot;page&quot;:&quot;5-21&quot;,&quot;abstract&quot;:&quot;The quality-adjusted life year (QALY) is routinely used as a summary measure of health outcome for economic evaluation, which incorporates the impact on both the quantity and quality of life. Key studies relating to the QALY and utility measurement are the sources of data. Areas of agreement include the need for a standard measure of health outcome to enable comparisons across different disease areas and populations, and the methods used for valuing health states in utility measurement. Areas of controversy include the limitation of the QALY approach in terms of the health benefits it can capture, its blindness towards equity concerns, the underlying theoretical assumptions and the most appropriate generic preference-based measure of utility. There is growing debate relating to whether a QALY is the same regardless of who accrues it, and also the issue as to who should value health states. Research is required to further enhance the QALY approach to deal with challenges relating to equity-weighted utility maximization and testing the validity of underlying assumptions. Issues around choosing between condition-specific measures and generic instruments also merit further investigation. © 2010 The Author.&quot;,&quot;publisher&quot;:&quot;Oxford Academic&quot;,&quot;issue&quot;:&quot;1&quot;,&quot;volume&quot;:&quot;96&quot;},&quot;isTemporary&quot;:false}],&quot;citationTag&quot;:&quot;MENDELEY_CITATION_v3_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&quot;},{&quot;citationID&quot;:&quot;MENDELEY_CITATION_06577af5-466e-4857-9a48-3dd99ebf24a5&quot;,&quot;properties&quot;:{&quot;noteIndex&quot;:0},&quot;isEdited&quot;:false,&quot;manualOverride&quot;:{&quot;isManuallyOverridden&quot;:false,&quot;citeprocText&quot;:&quot;(Hagger &amp;#38; Orbell, 2003; Leventhal et al., 1984)&quot;,&quot;manualOverrideText&quot;:&quot;&quot;},&quot;citationItems&quot;:[{&quot;id&quot;:&quot;281ebf0d-e649-35bb-9995-ec221f437e5c&quot;,&quot;itemData&quot;:{&quot;type&quot;:&quot;chapter&quot;,&quot;id&quot;:&quot;281ebf0d-e649-35bb-9995-ec221f437e5c&quot;,&quot;title&quot;:&quot; Illness representation and coping with health threats. &quot;,&quot;author&quot;:[{&quot;family&quot;:&quot;Leventhal&quot;,&quot;given&quot;:&quot;H&quot;,&quot;parse-names&quot;:false,&quot;dropping-particle&quot;:&quot;&quot;,&quot;non-dropping-particle&quot;:&quot;&quot;},{&quot;family&quot;:&quot;Nerenz&quot;,&quot;given&quot;:&quot;D R&quot;,&quot;parse-names&quot;:false,&quot;dropping-particle&quot;:&quot;&quot;,&quot;non-dropping-particle&quot;:&quot;&quot;},{&quot;family&quot;:&quot;Steele&quot;,&quot;given&quot;:&quot;D J&quot;,&quot;parse-names&quot;:false,&quot;dropping-particle&quot;:&quot;&quot;,&quot;non-dropping-particle&quot;:&quot;&quot;}],&quot;container-title&quot;:&quot;Handbook of Psychology and Health&quot;,&quot;editor&quot;:[{&quot;family&quot;:&quot;A. Baum &amp; J. E. Singer&quot;,&quot;given&quot;:&quot;S E Taylor&quot;,&quot;parse-names&quot;:false,&quot;dropping-particle&quot;:&quot;&quot;,&quot;non-dropping-particle&quot;:&quot;&quot;}],&quot;issued&quot;:{&quot;date-parts&quot;:[[1984]]},&quot;publisher-place&quot;:&quot;Hillsdale, NJ&quot;,&quot;page&quot;:&quot;219-252&quot;,&quot;publisher&quot;:&quot;Lawrence Erlbaum Associates&quot;,&quot;container-title-short&quot;:&quot;&quot;},&quot;isTemporary&quot;:false},{&quot;id&quot;:&quot;1cbc7e5e-84ef-34e2-a945-080742b8af80&quot;,&quot;itemData&quot;:{&quot;type&quot;:&quot;article-journal&quot;,&quot;id&quot;:&quot;1cbc7e5e-84ef-34e2-a945-080742b8af80&quot;,&quot;title&quot;:&quot;A meta-analytic review of the common-sense model of illness representations&quot;,&quot;author&quot;:[{&quot;family&quot;:&quot;Hagger&quot;,&quot;given&quot;:&quot;Martin S&quot;,&quot;parse-names&quot;:false,&quot;dropping-particle&quot;:&quot;&quot;,&quot;non-dropping-particle&quot;:&quot;&quot;},{&quot;family&quot;:&quot;Orbell&quot;,&quot;given&quot;:&quot;Sheina&quot;,&quot;parse-names&quot;:false,&quot;dropping-particle&quot;:&quot;&quot;,&quot;non-dropping-particle&quot;:&quot;&quot;}],&quot;container-title&quot;:&quot;Psychology &amp; Health&quot;,&quot;container-title-short&quot;:&quot;Psychol Health&quot;,&quot;DOI&quot;:&quot;10.1080/088704403100081321&quot;,&quot;ISSN&quot;:&quot;1476-8321(Electronic),0887-0446(Print)&quot;,&quot;issued&quot;:{&quot;date-parts&quot;:[[2003]]},&quot;publisher-place&quot;:&quot;United Kingdom&quot;,&quot;page&quot;:&quot;141-184&quot;,&quot;abstract&quot;:&quot;A meta-analysis of 45 empirical studies adopting the Common Sense Model (CSM) of illness representations is presented. The average corrected intercorrelation matrix showed that the CSM illness cognition dimensions of consequences, control/cure, identity and timeline followed a logical pattern supporting their construct and discriminant validity across illness types. Examining the average corrected correlation coefficients across the studies revealed that perceptions of a strong illness identity were positively related to the use of coping strategies of avoidance and emotion expression. Perceived controllability of the illness was associated with cognitive reappraisal, expressing emotions and problem-focused coping strategies. Perceptions of the illness as highly symptomatic, having a chronic timeline and serious consequences was correlated with avoidance and expressing emotions coping strategies. Perceptions that the illness was curable/controllable was positively related to the adaptive outcomes of psychological well-being, social functioning and vitality and negatively related to psychological distress and disease state. Illness consequences, timeline and identity exhibited negative relationships with psychological well being, role and social functioning and vitality. (PsycINFO Database Record (c) 2016 APA, all rights reserved)&quot;,&quot;publisher&quot;:&quot;Taylor &amp; Francis&quot;,&quot;issue&quot;:&quot;2&quot;,&quot;volume&quot;:&quot;18&quot;},&quot;isTemporary&quot;:false}],&quot;citationTag&quot;:&quot;MENDELEY_CITATION_v3_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&quot;},{&quot;citationID&quot;:&quot;MENDELEY_CITATION_f363b748-6acd-4f02-b5f3-1e36a0248671&quot;,&quot;properties&quot;:{&quot;noteIndex&quot;:0},&quot;isEdited&quot;:false,&quot;manualOverride&quot;:{&quot;isManuallyOverridden&quot;:false,&quot;citeprocText&quot;:&quot;(Valderas et al., 2008)&quot;,&quot;manualOverrideText&quot;:&quot;&quot;},&quot;citationItems&quot;:[{&quot;id&quot;:&quot;b4458ea8-9f18-3014-8beb-54c03022d3a2&quot;,&quot;itemData&quot;:{&quot;type&quot;:&quot;article-journal&quot;,&quot;id&quot;:&quot;b4458ea8-9f18-3014-8beb-54c03022d3a2&quot;,&quot;title&quot;:&quot;The impact of measuring patient-reported outcomes in clinical practice: a systematic review of the literature&quot;,&quot;author&quot;:[{&quot;family&quot;:&quot;Valderas&quot;,&quot;given&quot;:&quot;J. M.&quot;,&quot;parse-names&quot;:false,&quot;dropping-particle&quot;:&quot;&quot;,&quot;non-dropping-particle&quot;:&quot;&quot;},{&quot;family&quot;:&quot;Kotzeva&quot;,&quot;given&quot;:&quot;A.&quot;,&quot;parse-names&quot;:false,&quot;dropping-particle&quot;:&quot;&quot;,&quot;non-dropping-particle&quot;:&quot;&quot;},{&quot;family&quot;:&quot;Espallargues&quot;,&quot;given&quot;:&quot;M.&quot;,&quot;parse-names&quot;:false,&quot;dropping-particle&quot;:&quot;&quot;,&quot;non-dropping-particle&quot;:&quot;&quot;},{&quot;family&quot;:&quot;Guyatt&quot;,&quot;given&quot;:&quot;G.&quot;,&quot;parse-names&quot;:false,&quot;dropping-particle&quot;:&quot;&quot;,&quot;non-dropping-particle&quot;:&quot;&quot;},{&quot;family&quot;:&quot;Ferrans&quot;,&quot;given&quot;:&quot;C. E.&quot;,&quot;parse-names&quot;:false,&quot;dropping-particle&quot;:&quot;&quot;,&quot;non-dropping-particle&quot;:&quot;&quot;},{&quot;family&quot;:&quot;Halyard&quot;,&quot;given&quot;:&quot;M. Y.&quot;,&quot;parse-names&quot;:false,&quot;dropping-particle&quot;:&quot;&quot;,&quot;non-dropping-particle&quot;:&quot;&quot;},{&quot;family&quot;:&quot;Revicki&quot;,&quot;given&quot;:&quot;D. A.&quot;,&quot;parse-names&quot;:false,&quot;dropping-particle&quot;:&quot;&quot;,&quot;non-dropping-particle&quot;:&quot;&quot;},{&quot;family&quot;:&quot;Symonds&quot;,&quot;given&quot;:&quot;T.&quot;,&quot;parse-names&quot;:false,&quot;dropping-particle&quot;:&quot;&quot;,&quot;non-dropping-particle&quot;:&quot;&quot;},{&quot;family&quot;:&quot;Parada&quot;,&quot;given&quot;:&quot;A.&quot;,&quot;parse-names&quot;:false,&quot;dropping-particle&quot;:&quot;&quot;,&quot;non-dropping-particle&quot;:&quot;&quot;},{&quot;family&quot;:&quot;Alonso&quot;,&quot;given&quot;:&quot;J.&quot;,&quot;parse-names&quot;:false,&quot;dropping-particle&quot;:&quot;&quot;,&quot;non-dropping-particle&quot;:&quot;&quot;}],&quot;container-title&quot;:&quot;Quality of life research : an international journal of quality of life aspects of treatment, care and rehabilitation&quot;,&quot;container-title-short&quot;:&quot;Qual Life Res&quot;,&quot;accessed&quot;:{&quot;date-parts&quot;:[[2023,6,4]]},&quot;DOI&quot;:&quot;10.1007/S11136-007-9295-0&quot;,&quot;ISSN&quot;:&quot;0962-9343&quot;,&quot;PMID&quot;:&quot;18175207&quot;,&quot;URL&quot;:&quot;https://pubmed.ncbi.nlm.nih.gov/18175207/&quot;,&quot;issued&quot;:{&quot;date-parts&quot;:[[2008,3]]},&quot;page&quot;:&quot;179-193&quot;,&quot;abstract&quot;:&quot;Objective: The purpose of this paper is to summarize the best evidence regarding the impact of providing patient-reported outcomes (PRO) information to health care professionals in daily clinical practice. Methods: Systematic review of randomized clinical trials (Medline, Cochrane Library; reference lists of previous systematic reviews; and requests to authors and experts in the field). Results: Out of 1,861 identified references published between 1978 and 2007, 34 articles corresponding to 28 original studies proved eligible. Most trials (19) were conducted in primary care settings performed in the USA (21) and assessed adult patients (25). Information provided to professionals included generic health status (10), mental health (14), and other (6). Most studies suffered from methodologic limitations, including analysis that did not correspond with the unit of allocation. In most trials, the impact of PRO was limited. Fifteen of 23 studies (65%) measuring process of care observed at least one significant result favoring the intervention, as did eight of 17 (47%) that measured outcomes of care. Conclusions: Methodological concerns limit the strength of inference regarding the impact of providing PRO information to clinicians. Results suggest great heterogeneity of impact; contexts and interventions that will yield important benefits remain to be clearly defined. © 2007 Springer Science+Business Media B.V.&quot;,&quot;publisher&quot;:&quot;Qual Life Res&quot;,&quot;issue&quot;:&quot;2&quot;,&quot;volume&quot;:&quot;17&quot;},&quot;isTemporary&quot;:false}],&quot;citationTag&quot;:&quot;MENDELEY_CITATION_v3_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&quot;},{&quot;citationID&quot;:&quot;MENDELEY_CITATION_884b5ce3-7f53-4f9e-b732-d34c3dddbe69&quot;,&quot;properties&quot;:{&quot;noteIndex&quot;:0},&quot;isEdited&quot;:false,&quot;manualOverride&quot;:{&quot;isManuallyOverridden&quot;:false,&quot;citeprocText&quot;:&quot;(Birmingham et al., 2017; Hansagi et al., 2001; Royal College of Emergency Medicine, 2017)&quot;,&quot;manualOverrideText&quot;:&quot;&quot;},&quot;citationItems&quot;:[{&quot;id&quot;:&quot;b2ac3ba2-95f0-3aba-9095-a838bb057080&quot;,&quot;itemData&quot;:{&quot;type&quot;:&quot;article-journal&quot;,&quot;id&quot;:&quot;b2ac3ba2-95f0-3aba-9095-a838bb057080&quot;,&quot;title&quot;:&quot;Emergency department use and barriers to wellness: A survey of emergency department frequent users&quot;,&quot;author&quot;:[{&quot;family&quot;:&quot;Birmingham&quot;,&quot;given&quot;:&quot;Lauren E.&quot;,&quot;parse-names&quot;:false,&quot;dropping-particle&quot;:&quot;&quot;,&quot;non-dropping-particle&quot;:&quot;&quot;},{&quot;family&quot;:&quot;Cochran&quot;,&quot;given&quot;:&quot;Thaddeus&quot;,&quot;parse-names&quot;:false,&quot;dropping-particle&quot;:&quot;&quot;,&quot;non-dropping-particle&quot;:&quot;&quot;},{&quot;family&quot;:&quot;Frey&quot;,&quot;given&quot;:&quot;Jennifer A.&quot;,&quot;parse-names&quot;:false,&quot;dropping-particle&quot;:&quot;&quot;,&quot;non-dropping-particle&quot;:&quot;&quot;},{&quot;family&quot;:&quot;Stiffler&quot;,&quot;given&quot;:&quot;Kirk A.&quot;,&quot;parse-names&quot;:false,&quot;dropping-particle&quot;:&quot;&quot;,&quot;non-dropping-particle&quot;:&quot;&quot;},{&quot;family&quot;:&quot;Wilber&quot;,&quot;given&quot;:&quot;Scott T.&quot;,&quot;parse-names&quot;:false,&quot;dropping-particle&quot;:&quot;&quot;,&quot;non-dropping-particle&quot;:&quot;&quot;}],&quot;container-title&quot;:&quot;BMC Emergency Medicine&quot;,&quot;container-title-short&quot;:&quot;BMC Emerg Med&quot;,&quot;accessed&quot;:{&quot;date-parts&quot;:[[2023,6,10]]},&quot;DOI&quot;:&quot;10.1186/S12873-017-0126-5/TABLES/5&quot;,&quot;ISSN&quot;:&quot;1471227X&quot;,&quot;PMID&quot;:&quot;28486935&quot;,&quot;URL&quot;:&quot;https://bmcemergmed.biomedcentral.com/articles/10.1186/s12873-017-0126-5&quot;,&quot;issued&quot;:{&quot;date-parts&quot;:[[2017,5,10]]},&quot;page&quot;:&quot;1-8&quot;,&quot;abstract&quot;:&quot;Background: There is no common understanding of how needs of emergency department (ED) frequent users differ from other patients. This study sought to examine how to best serve this population. Examinations of why ED frequent users present to the ED, what barriers to care exist, and what service offerings may help these patients achieve an optimal level of health were conducted. Methods: We performed a prospective study of frequent ED users in an adult only, level 1 trauma center with approximately 90,000 visits per year. Frequent ED users were defined as those who make four or more ED visits in a 12month period. Participants were administered a piloted structured interview by a trained researcher querying demographics, ED usage, perceived barriers to care, and potential aids to maintaining health. Results: Of 1,523 screened patients, 297 were identified as frequent ED users. One hundred frequent ED users were enrolled. The mean age was 48years (95% CI 45-51). The majority of subjects were female (64%, 64/100, 95% CI 55-73%), white (61%, 60/98, 95% CI 52-71%) and insured by Medicaid (55%, 47/86, 95% CI 44-65%) or Medicare (23%, 20/86, 95% CI 14-32%). Subjects had a median of 6 ED visits, and 2 inpatient admissions in the past 12months at this hospital. Most frequent ED users (61%, 59/96, 95% CI 52-71%) stated the primary reason for their visit was that they felt that their health problem could only be treated in an ED. Transportation presented as a major barrier to few patients (7%, 7/95, 95% CI 3-14%). Subjects stated that \&quot;after-hours options, besides the ED for minor health issues\&quot; (63%, 60/95, 95% CI 53-73%) and having \&quot;a nurse to work with you one-on-one to help manage health care needs\&quot; (53%, 50/95, 95% CI 43-63%) would be most helpful in achieving optimal health. Conclusion: This study characterized ED frequent users and identified several opportunities to better serve this population. By understanding barriers to care from the patient perspective, health systems can potentially address unmet needs that prevent wellness in this population.&quot;,&quot;publisher&quot;:&quot;BioMed Central Ltd.&quot;,&quot;issue&quot;:&quot;1&quot;,&quot;volume&quot;:&quot;17&quot;},&quot;isTemporary&quot;:false},{&quot;id&quot;:&quot;2fe9af3b-d63e-3676-ad88-ccce391f1ec7&quot;,&quot;itemData&quot;:{&quot;type&quot;:&quot;article-journal&quot;,&quot;id&quot;:&quot;2fe9af3b-d63e-3676-ad88-ccce391f1ec7&quot;,&quot;title&quot;:&quot;Frequent use of the hospital emergency department is indicative of high use of other health care services&quot;,&quot;author&quot;:[{&quot;family&quot;:&quot;Hansagi&quot;,&quot;given&quot;:&quot;Helen&quot;,&quot;parse-names&quot;:false,&quot;dropping-particle&quot;:&quot;&quot;,&quot;non-dropping-particle&quot;:&quot;&quot;},{&quot;family&quot;:&quot;Olsson&quot;,&quot;given&quot;:&quot;Mariann&quot;,&quot;parse-names&quot;:false,&quot;dropping-particle&quot;:&quot;&quot;,&quot;non-dropping-particle&quot;:&quot;&quot;},{&quot;family&quot;:&quot;Sjöberg&quot;,&quot;given&quot;:&quot;Stefan&quot;,&quot;parse-names&quot;:false,&quot;dropping-particle&quot;:&quot;&quot;,&quot;non-dropping-particle&quot;:&quot;&quot;},{&quot;family&quot;:&quot;Tomson&quot;,&quot;given&quot;:&quot;Ylva&quot;,&quot;parse-names&quot;:false,&quot;dropping-particle&quot;:&quot;&quot;,&quot;non-dropping-particle&quot;:&quot;&quot;},{&quot;family&quot;:&quot;Göransson&quot;,&quot;given&quot;:&quot;Sara&quot;,&quot;parse-names&quot;:false,&quot;dropping-particle&quot;:&quot;&quot;,&quot;non-dropping-particle&quot;:&quot;&quot;}],&quot;container-title&quot;:&quot;Annals of Emergency Medicine&quot;,&quot;container-title-short&quot;:&quot;Ann Emerg Med&quot;,&quot;accessed&quot;:{&quot;date-parts&quot;:[[2023,6,10]]},&quot;DOI&quot;:&quot;10.1067/MEM.2001.111762&quot;,&quot;ISSN&quot;:&quot;0196-0644&quot;,&quot;PMID&quot;:&quot;11385324&quot;,&quot;issued&quot;:{&quot;date-parts&quot;:[[2001,6,1]]},&quot;page&quot;:&quot;561-567&quot;,&quot;abstract&quot;:&quot;Study objective: We sought to determine the proportion of emergency department patients who frequently use the ED and to compare their frequency of use of other health care services at non-ED sites. Methods: A computerized patient database covering all ambulatory visits and hospital admissions at all care facilities in the county of Stockholm, Sweden, was used. Frequent ED patients were defined as those making 4 or more visits in a 12-month period. Results: Frequent users comprised 4% of total ED patients, accounting for 18% of the ED visits. The ED was the only source of ambulatory care for 13% of frequent versus 27% of rare ED users (1 ED visit). Primary care visits were made by 72% of frequent ED users versus 57% by rare ED visitors. The corresponding figures for hospital admission were 80% and 36%, respectively. Frequent ED visitors were also more likely to use other care facilities repeatedly: their odds ratio (adjusted for age and sex) was 3.43 (95% confidence interval [Cl] 3.10 to 3.78) for 5 or more primary care visits and 29.98 (95% Cl 26.33 to 34.15) for 5 or more hospital admissions. In addition, heavy users had an elevated mortality (standardized mortality ratio 1.55; 95% Cl 1.26 to 1.90). Conclusion: High ED use patients are also high users of other health care services, presumably because they are sicker than average. A further indication of serious ill health is their higher than expected mortality. This knowledge might be helpful for care providers in their endeavors to find appropriate ways of meeting the needs of this vulnerable patient category.&quot;,&quot;publisher&quot;:&quot;Mosby&quot;,&quot;issue&quot;:&quot;6&quot;,&quot;volume&quot;:&quot;37&quot;},&quot;isTemporary&quot;:false},{&quot;id&quot;:&quot;970aeffc-ea15-3f4b-bbbb-7aae649a8637&quot;,&quot;itemData&quot;:{&quot;type&quot;:&quot;article-journal&quot;,&quot;id&quot;:&quot;970aeffc-ea15-3f4b-bbbb-7aae649a8637&quot;,&quot;title&quot;:&quot;Frequent Attenders in the Emergency\nDepartment.&quot;,&quot;author&quot;:[{&quot;family&quot;:&quot;Royal College of Emergency Medicine&quot;,&quot;given&quot;:&quot;&quot;,&quot;parse-names&quot;:false,&quot;dropping-particle&quot;:&quot;&quot;,&quot;non-dropping-particle&quot;:&quot;&quot;}],&quot;accessed&quot;:{&quot;date-parts&quot;:[[2023,5,7]]},&quot;URL&quot;:&quot;https://rcem.ac.uk/wp-content/uploads/2021/10/Frequent_Attenders_in_the_ED_Aug2017.pdf&quot;,&quot;issued&quot;:{&quot;date-parts&quot;:[[2017]]}},&quot;isTemporary&quot;:false}],&quot;citationTag&quot;:&quot;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&quot;},{&quot;citationID&quot;:&quot;MENDELEY_CITATION_266a085f-875f-4c88-a716-6dcb97756ac9&quot;,&quot;properties&quot;:{&quot;noteIndex&quot;:0},&quot;isEdited&quot;:false,&quot;manualOverride&quot;:{&quot;isManuallyOverridden&quot;:true,&quot;citeprocText&quot;:&quot;(Morley et al., 2018)&quot;,&quot;manualOverrideText&quot;:&quot;Morley et al. (2018)&quot;},&quot;citationItems&quot;:[{&quot;id&quot;:&quot;15184a88-91f1-309f-bbea-0321a98ba92c&quot;,&quot;itemData&quot;:{&quot;type&quot;:&quot;article-journal&quot;,&quot;id&quot;:&quot;15184a88-91f1-309f-bbea-0321a98ba92c&quot;,&quot;title&quot;:&quot;Emergency department crowding: A systematic review of causes, consequences and solutions&quot;,&quot;author&quot;:[{&quot;family&quot;:&quot;Morley&quot;,&quot;given&quot;:&quot;Claire&quot;,&quot;parse-names&quot;:false,&quot;dropping-particle&quot;:&quot;&quot;,&quot;non-dropping-particle&quot;:&quot;&quot;},{&quot;family&quot;:&quot;Unwin&quot;,&quot;given&quot;:&quot;Maria&quot;,&quot;parse-names&quot;:false,&quot;dropping-particle&quot;:&quot;&quot;,&quot;non-dropping-particle&quot;:&quot;&quot;},{&quot;family&quot;:&quot;Peterson&quot;,&quot;given&quot;:&quot;Gregory M.&quot;,&quot;parse-names&quot;:false,&quot;dropping-particle&quot;:&quot;&quot;,&quot;non-dropping-particle&quot;:&quot;&quot;},{&quot;family&quot;:&quot;Stankovich&quot;,&quot;given&quot;:&quot;Jim&quot;,&quot;parse-names&quot;:false,&quot;dropping-particle&quot;:&quot;&quot;,&quot;non-dropping-particle&quot;:&quot;&quot;},{&quot;family&quot;:&quot;Kinsman&quot;,&quot;given&quot;:&quot;Leigh&quot;,&quot;parse-names&quot;:false,&quot;dropping-particle&quot;:&quot;&quot;,&quot;non-dropping-particle&quot;:&quot;&quot;}],&quot;container-title&quot;:&quot;PLoS ONE&quot;,&quot;container-title-short&quot;:&quot;PLoS One&quot;,&quot;accessed&quot;:{&quot;date-parts&quot;:[[2023,6,10]]},&quot;DOI&quot;:&quot;10.1371/JOURNAL.PONE.0203316&quot;,&quot;ISSN&quot;:&quot;19326203&quot;,&quot;PMID&quot;:&quot;30161242&quot;,&quot;URL&quot;:&quot;/pmc/articles/PMC6117060/&quot;,&quot;issued&quot;:{&quot;date-parts&quot;:[[2018,8,1]]},&quot;abstract&quot;:&quot;Background Emergency department crowding is a major global healthcare issue. There is much debate as to the causes of the phenomenon, leading to difficulties in developing successful, targeted solutions. Aim The aim of this systematic review was to critically analyse and summarise the findings of peer-reviewed research studies investigating the causes and consequences of, and solutions to, emergency department crowding. Method The Preferred Reporting Items for Systematic Reviews and Meta-Analyses (PRISMA) guidelines were followed. A structured search of four databases (Medline, CINAHL, EMBASE and Web of Science) was undertaken to identify peer-reviewed research publications aimed at investigating the causes or consequences of, or solutions to, emergency department crowding, published between January 2000 and June 2018. Two reviewers used validated critical appraisal tools to independently assess the quality of the studies. The study protocol was registered with the International prospective register of systematic reviews (PROSPERO 2017: CRD42017073439). Results From 4,131 identified studies and 162 full text reviews, 102 studies met the inclusion criteria. The majority were retrospective cohort studies, with the greatest proportion (51%) trialling or modelling potential solutions to emergency department crowding. Fourteen studies examined causes and 40 investigated consequences. Two studies looked at both causes and consequences, and two investigated causes and solutions. Conclusions The negative consequences of ED crowding are well established, including poorer patient outcomes and the inability of staff to adhere to guideline-recommended treatment. This review identified a mismatch between causes and solutions. The majority of identified causes related to the number and type of people attending ED and timely discharge from ED, while reported solutions focused on efficient patient flow within the ED. Solutions aimed at the introduction of whole-of-system initiatives to meet timed patient disposition targets, as well as extended hours of primary care, demonstrated promising outcomes. While the review identified increased presentations by the elderly with complex and chronic conditions as an emerging and widespread driver of crowding, more research is required to isolate the precise local factors leading to ED crowding, with system-wide solutions tailored to address identified causes.&quot;,&quot;publisher&quot;:&quot;PLOS&quot;,&quot;issue&quot;:&quot;8&quot;,&quot;volume&quot;:&quot;13&quot;},&quot;isTemporary&quot;:false}],&quot;citationTag&quot;:&quot;MENDELEY_CITATION_v3_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&quot;},{&quot;citationID&quot;:&quot;MENDELEY_CITATION_bb2da608-7ce4-4cb6-b1fa-0ec8431a150c&quot;,&quot;properties&quot;:{&quot;noteIndex&quot;:0},&quot;isEdited&quot;:false,&quot;manualOverride&quot;:{&quot;isManuallyOverridden&quot;:false,&quot;citeprocText&quot;:&quot;(Asadi-Pooya et al., 2014; Bermingham et al., 2010; A. Carson et al., 2011)&quot;,&quot;manualOverrideText&quot;:&quot;&quot;},&quot;citationItems&quot;:[{&quot;id&quot;:&quot;3f1e69f7-9ecd-339e-abfe-7545c1de6a95&quot;,&quot;itemData&quot;:{&quot;type&quot;:&quot;article-journal&quot;,&quot;id&quot;:&quot;3f1e69f7-9ecd-339e-abfe-7545c1de6a95&quot;,&quot;title&quot;:&quot;Ictal injury in psychogenic non-epileptic seizures&quot;,&quot;author&quot;:[{&quot;family&quot;:&quot;Asadi-Pooya&quot;,&quot;given&quot;:&quot;A A&quot;,&quot;parse-names&quot;:false,&quot;dropping-particle&quot;:&quot;&quot;,&quot;non-dropping-particle&quot;:&quot;&quot;},{&quot;family&quot;:&quot;Emami&quot;,&quot;given&quot;:&quot;M&quot;,&quot;parse-names&quot;:false,&quot;dropping-particle&quot;:&quot;&quot;,&quot;non-dropping-particle&quot;:&quot;&quot;},{&quot;family&quot;:&quot;Emami&quot;,&quot;given&quot;:&quot;Y&quot;,&quot;parse-names&quot;:false,&quot;dropping-particle&quot;:&quot;&quot;,&quot;non-dropping-particle&quot;:&quot;&quot;}],&quot;container-title&quot;:&quot;Seizure&quot;,&quot;container-title-short&quot;:&quot;Seizure&quot;,&quot;DOI&quot;:&quot;10.1016/j.seizure.2014.02.001&quot;,&quot;ISSN&quot;:&quot;1059-1311&quot;,&quot;PMID&quot;:&quot;24602798&quot;,&quot;issued&quot;:{&quot;date-parts&quot;:[[2014]]},&quot;page&quot;:&quot;363-366&quot;,&quot;language&quot;:&quot;eng&quot;,&quot;abstract&quot;:&quot;PURPOSE: Whilst ictal injuries in psychogenic non-epileptic seizures (PNES) have been reported previously, very few studies have described the spectrum of ictal injuries in these patients. In the current study, we tried to determine the spectrum of reported ictal injuries associated with PNES and to investigate the possible associated risk factors. METHODS: All patients with PNES were recruited prospectively in the outpatient epilepsy clinic at Shiraz University of Medical Sciences, between 2008 and 2013. The diagnosis was made by clinical assessment and ictal video-EEG recordings. We asked all patients and their caregivers about history of any minor (e.g., tongue biting, bruises, and lacerations) or major (e.g., burns and fractures) physical injuries associated with their seizures, since their disease started. Clinical variables, factors potentially predisposing to PNES and video-EEG recordings of all patients were analyzed. RESULTS: Two hundred and eleven patients were studied. Sixty-five patients (30.8%) reported injuries with one or more of their attacks. The most common type of reported injury was tongue biting. Lacerations, bruises, limb fractures, dental injury, and burn were also reported. CONCLUSION: PNES commonly produce physical injuries. Despite the shibboleth that injuries rarely occur during PNES, mild injuries commonly happen and even severe injuries such as fractures and burns are not uncommonly reported in these patients. Patients with more dramatic seizure manifestations (e.g., urinary incontinence) were more likely to report ictal injuries.&quot;,&quot;edition&quot;:&quot;2014/03/08&quot;,&quot;issue&quot;:&quot;5&quot;,&quot;volume&quot;:&quot;23&quot;},&quot;isTemporary&quot;:false},{&quot;id&quot;:&quot;8ddbded1-8d8c-3e08-ba8c-34765d736604&quot;,&quot;itemData&quot;:{&quot;type&quot;:&quot;article-journal&quot;,&quot;id&quot;:&quot;8ddbded1-8d8c-3e08-ba8c-34765d736604&quot;,&quot;title&quot;:&quot;The cost of somatisation among the working-age population in England for the year 2008-2009&quot;,&quot;author&quot;:[{&quot;family&quot;:&quot;Bermingham&quot;,&quot;given&quot;:&quot;Sarah L&quot;,&quot;parse-names&quot;:false,&quot;dropping-particle&quot;:&quot;&quot;,&quot;non-dropping-particle&quot;:&quot;&quot;},{&quot;family&quot;:&quot;Cohen&quot;,&quot;given&quot;:&quot;Alan&quot;,&quot;parse-names&quot;:false,&quot;dropping-particle&quot;:&quot;&quot;,&quot;non-dropping-particle&quot;:&quot;&quot;},{&quot;family&quot;:&quot;Hague&quot;,&quot;given&quot;:&quot;John&quot;,&quot;parse-names&quot;:false,&quot;dropping-particle&quot;:&quot;&quot;,&quot;non-dropping-particle&quot;:&quot;&quot;},{&quot;family&quot;:&quot;Parsonage&quot;,&quot;given&quot;:&quot;Michael&quot;,&quot;parse-names&quot;:false,&quot;dropping-particle&quot;:&quot;&quot;,&quot;non-dropping-particle&quot;:&quot;&quot;}],&quot;container-title&quot;:&quot;Mental health in family medicine&quot;,&quot;container-title-short&quot;:&quot;Ment Health Fam Med&quot;,&quot;ISSN&quot;:&quot;1756-8358\r1756-834X&quot;,&quot;PMID&quot;:&quot;22477925&quot;,&quot;URL&quot;:&quot;https://pubmed.ncbi.nlm.nih.gov/22477925&quot;,&quot;issued&quot;:{&quot;date-parts&quot;:[[2010]]},&quot;page&quot;:&quot;71-84&quot;,&quot;language&quot;:&quot;eng&quot;,&quot;abstract&quot;:&quot;Medically unexplained symptoms are one of the most commonly encountered symptoms across all healthcare settings. They are also responsible for a large proportion of disability in the workforce and decreased quality of life. These patients represent an important clinical phenomenon with considerable direct and indirect economic consequences.This study aims to calculate the economic burden of somatisation among English adults in 2008-2009.Using existing literature, estimates of prevalence, healthcare use and disability were combined in order to calculate the annual cost of healthcare use and productivity loss associated with these patients in excess of non-somatising patients.Based on the results of our analysis, the incremental health care cost incurred by somatising patients is estimated to be £3 billion. This represents approximately 10% of total NHS expenditure on these services for the working-age population in 2008-2009. The cost of sickness absence and decreased quality of life associated with these patients amounts to over £14 billion.By highlighting the magnitude of this phenomenon at each level of the health system and the considerable impact of non-healthcare costs, this study serves to draw attention to a group of patients who are frequently unrecognised or misdiagnosed by physicians who tend to repeatedly pursue organic possibilities through multiple tests, procedures and operations. As economic perspectives play an increasing role in healthcare planning, the reduction of health care use and improvement of functioning among this group of patients should be a major goal. In order to realise these goals, changed pathways and behaviour in primary and secondary care are needed, along with improved access to psychological therapy services.&quot;,&quot;publisher&quot;:&quot;Radcliffe Publishing Ltd.&quot;,&quot;issue&quot;:&quot;2&quot;,&quot;volume&quot;:&quot;7&quot;},&quot;isTemporary&quot;:false},{&quot;id&quot;:&quot;a477d660-7a6a-30fe-b60b-f04f13c8da1b&quot;,&quot;itemData&quot;:{&quot;type&quot;:&quot;article-journal&quot;,&quot;id&quot;:&quot;a477d660-7a6a-30fe-b60b-f04f13c8da1b&quot;,&quot;title&quot;:&quot;Disability, distress and unemployment in neurology outpatients with symptoms 'unexplained by organic disease'&quot;,&quot;author&quot;:[{&quot;family&quot;:&quot;Carson&quot;,&quot;given&quot;:&quot;A&quot;,&quot;parse-names&quot;:false,&quot;dropping-particle&quot;:&quot;&quot;,&quot;non-dropping-particle&quot;:&quot;&quot;},{&quot;family&quot;:&quot;Stone&quot;,&quot;given&quot;:&quot;J&quot;,&quot;parse-names&quot;:false,&quot;dropping-particle&quot;:&quot;&quot;,&quot;non-dropping-particle&quot;:&quot;&quot;},{&quot;family&quot;:&quot;Hibberd&quot;,&quot;given&quot;:&quot;C&quot;,&quot;parse-names&quot;:false,&quot;dropping-particle&quot;:&quot;&quot;,&quot;non-dropping-particle&quot;:&quot;&quot;},{&quot;family&quot;:&quot;Murray&quot;,&quot;given&quot;:&quot;G&quot;,&quot;parse-names&quot;:false,&quot;dropping-particle&quot;:&quot;&quot;,&quot;non-dropping-particle&quot;:&quot;&quot;},{&quot;family&quot;:&quot;Duncan&quot;,&quot;given&quot;:&quot;R&quot;,&quot;parse-names&quot;:false,&quot;dropping-particle&quot;:&quot;&quot;,&quot;non-dropping-particle&quot;:&quot;&quot;},{&quot;family&quot;:&quot;Coleman&quot;,&quot;given&quot;:&quot;R&quot;,&quot;parse-names&quot;:false,&quot;dropping-particle&quot;:&quot;&quot;,&quot;non-dropping-particle&quot;:&quot;&quot;},{&quot;family&quot;:&quot;Warlow&quot;,&quot;given&quot;:&quot;C&quot;,&quot;parse-names&quot;:false,&quot;dropping-particle&quot;:&quot;&quot;,&quot;non-dropping-particle&quot;:&quot;&quot;},{&quot;family&quot;:&quot;Roberts&quot;,&quot;given&quot;:&quot;R&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Hansen&quot;,&quot;given&quot;:&quot;C&quot;,&quot;parse-names&quot;:false,&quot;dropping-particle&quot;:&quot;&quot;,&quot;non-dropping-particle&quot;:&quot;&quot;},{&quot;family&quot;:&quot;Sharpe&quot;,&quot;given&quot;:&quot;M&quot;,&quot;parse-names&quot;:false,&quot;dropping-particle&quot;:&quot;&quot;,&quot;non-dropping-particle&quot;:&quot;&quot;}],&quot;container-title&quot;:&quot;J Neurol Neurosurg Psychiatry&quot;,&quot;DOI&quot;:&quot;10.1136/jnnp.2010.220640&quot;,&quot;ISSN&quot;:&quot;0022-3050&quot;,&quot;PMID&quot;:&quot;21257981&quot;,&quot;issued&quot;:{&quot;date-parts&quot;:[[2011]]},&quot;page&quot;:&quot;810-813&quot;,&quot;language&quot;:&quot;eng&quot;,&quot;abstract&quot;:&quot;OBJECTIVES: To determine the disability, distress and employment status of new neurology outpatients with physical symptoms unexplained by organic disease and to compare them with patients with symptoms explained by organic disease. METHODS: As part of a cohort study (the Scottish Neurological Symptoms Study) neurologists rated the extent to which each new patient's symptoms were explained by organic disease. Patients whose symptoms were rated as 'not at all' or only 'somewhat' explained by disease were considered cases, and those whose symptoms were 'largely' or 'completely' explained by disease were considered controls. All patients completed self-ratings of disability, health status (Medical Outcomes Study Short Form 12-Item Scale (SF-12)) and emotional distress (Hospital Anxiety and Depression Scale) and also reported their employment and state financial benefit status. RESULTS: 3781 patients were recruited: 1144 (30%) cases and 2637 (70%) controls. Cases had worse physical health status (SF-12 score 42 vs 44; difference in means 1.7 (95% CI -2.5 to 0.9)) and worse mental health status (SF-12 score 43 vs 47; difference in means -3.5 (95% CI -4.3 to to 2.7)). Unemployment was similar in cases and controls (50% vs 50%) but cases were more likely not to be working for health reasons (54% vs 37% of the 50% not working; OR 2.0 (95% CI 1.6 to 2.4)) and also more likely to be receiving disability-related state financial benefits (27% vs 22%; (OR 1.3, 95% CI 1.1 to 1.6)). CONCLUSIONS: New neurology patients with symptoms unexplained by organic disease have more disability-, distress- and disability-related state financial benefits than patients with symptoms explained by disease.&quot;,&quot;edition&quot;:&quot;2011/01/25&quot;,&quot;issue&quot;:&quot;7&quot;,&quot;volume&quot;:&quot;82&quot;,&quot;container-title-short&quot;:&quot;&quot;},&quot;isTemporary&quot;:false}],&quot;citationTag&quot;:&quot;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&quot;},{&quot;citationID&quot;:&quot;MENDELEY_CITATION_8bc2cf83-9e81-441b-9b13-eeeab676e41d&quot;,&quot;properties&quot;:{&quot;noteIndex&quot;:0},&quot;isEdited&quot;:false,&quot;manualOverride&quot;:{&quot;isManuallyOverridden&quot;:false,&quot;citeprocText&quot;:&quot;(Dickson et al., 2017; Gallagher et al., 2013; Merkler et al., 2016; Perez &amp;#38; LaFrance Jr., 2016)&quot;,&quot;manualOverrideText&quot;:&quot;&quot;},&quot;citationItems&quot;:[{&quot;id&quot;:&quot;55bd78ff-1a7f-3fe9-884e-3289f7695ea3&quot;,&quot;itemData&quot;:{&quot;type&quot;:&quot;article-journal&quot;,&quot;id&quot;:&quot;55bd78ff-1a7f-3fe9-884e-3289f7695ea3&quot;,&quot;title&quot;:&quot;MEDICALLY UNEXPLAINED NEUROLOGICAL SYMPTOMS ON AN ACUTE NEUROLOGY WARD: HEALTHCARE RESOURCE UTILISATION&quot;,&quot;author&quot;:[{&quot;family&quot;:&quot;Gallagher&quot;,&quot;given&quot;:&quot;Paul&quot;,&quot;parse-names&quot;:false,&quot;dropping-particle&quot;:&quot;&quot;,&quot;non-dropping-particle&quot;:&quot;&quot;},{&quot;family&quot;:&quot;Meldrum&quot;,&quot;given&quot;:&quot;Steven&quot;,&quot;parse-names&quot;:false,&quot;dropping-particle&quot;:&quot;&quot;,&quot;non-dropping-particle&quot;:&quot;&quot;},{&quot;family&quot;:&quot;Copstick&quot;,&quot;given&quot;:&quot;Susan&quot;,&quot;parse-names&quot;:false,&quot;dropping-particle&quot;:&quot;&quot;,&quot;non-dropping-particle&quot;:&quot;&quot;},{&quot;family&quot;:&quot;Burnel&quot;,&quot;given&quot;:&quot;Adam&quot;,&quot;parse-names&quot;:false,&quot;dropping-particle&quot;:&quot;&quot;,&quot;non-dropping-particle&quot;:&quot;&quot;},{&quot;family&quot;:&quot;Matthews&quot;,&quot;given&quot;:&quot;Audrey&quot;,&quot;parse-names&quot;:false,&quot;dropping-particle&quot;:&quot;&quot;,&quot;non-dropping-particle&quot;:&quot;&quot;},{&quot;family&quot;:&quot;Brown&quot;,&quot;given&quot;:&quot;Melanie&quot;,&quot;parse-names&quot;:false,&quot;dropping-particle&quot;:&quot;&quot;,&quot;non-dropping-particle&quot;:&quot;&quot;},{&quot;family&quot;:&quot;Walker&quot;,&quot;given&quot;:&quot;Susan&quot;,&quot;parse-names&quot;:false,&quot;dropping-particle&quot;:&quot;&quot;,&quot;non-dropping-particle&quot;:&quot;&quot;},{&quot;family&quot;:&quot;Shah&quot;,&quot;given&quot;:&quot;Pushkar&quot;,&quot;parse-names&quot;:false,&quot;dropping-particle&quot;:&quot;&quot;,&quot;non-dropping-particle&quot;:&quot;&quot;},{&quot;family&quot;:&quot;Razvi&quot;,&quot;given&quot;:&quot;Saif&quot;,&quot;parse-names&quot;:false,&quot;dropping-particle&quot;:&quot;&quot;,&quot;non-dropping-particle&quot;:&quot;&quot;}],&quot;container-title&quot;:&quot;Journal of Neurology, Neurosurgery &amp;amp;amp; Psychiatry&quot;,&quot;DOI&quot;:&quot;10.1136/jnnp-2013-306573.56&quot;,&quot;URL&quot;:&quot;http://jnnp.bmj.com/content/84/11/e2.174.abstract&quot;,&quot;issued&quot;:{&quot;date-parts&quot;:[[2013]]},&quot;page&quot;:&quot;e2&quot;,&quot;abstract&quot;:&quot;Introduction Medically Unexplained Neurological Symptoms (MUNS) are the second most common diagnosis in neurology outpatient clinics, accounting for up to 16% of all referrals.1 Patients with MUNS are frequently admitted for inpatient investigation and management. We reviewed healthcare resource utilisation of patients with MUNS on an acute neurology ward in a tertiary neuroscience centre. Methods A prospective audit of patients admitted to a 19–bedded acute neurology ward, serving a population of approximately 2.2 million people, was performed. We included those with a clinical diagnosis of MUNS and no associated relevant pathology. Patients with MUNS and co–morbid neurological illness (e.g. epilepsy with non–epileptic attack disorder) or individuals assessed electively on the 20–bedded programmed investigation unit (e.g. for video telemetry) were excluded. Clinical and demographic data were collected using paper and electronic records and the national radiology database. Data were collected with respect to healthcare resource utilisation during the single inpatient stay. This included the duration of admission, neuroimaging, electroencephalography (EEG), electromyography (EMG) performed and time with physiotherapists. Results Fourteen patients (11 female, median age 39 years, range 19–56) were admitted to the acute neurology ward over a 9–month period (1st April to 31st December 2012). Eleven out of fourteen (78.6%) were transferred from other hospitals and 3 were admitted form home. Median duration in hospital prior to transfer was 5 days (range 0–15, total 51 hospital days). Patients were taking a mean of 5.4 medications (SD 3.9). Three (21.4%) had prior contact with mental health services and 1 had learning difficulties. Previous attendance at an emergency department had occurred in 6/14 (42.9%) patients (total 84 attendances; range 2–31). Nine patients (64.3%) had prior hospital admissions (total 49 admissions; mean 3.5 [SD 5.6]). A functional motor disorder was diagnosed in 9/14 (64.2%); 3/14 (21.4%) had non–epileptic attack disorder (NEAD), 1/14 (7.1%) had both a functional motor disorder and NEAD and 1 had purely sensory symptoms. Median duration of admission was 8.5 days (range 3–64 days, IQR 5.5–15). Over the 9–month period, patients with MUNS accounted for 231 bed–days, equating to 4.4% of the acute neurology ward bed capacity over this period. CT scans were performed in 9/14 (64.3%, total 12 scans); 10/14 (71.4%) had an MRI (total 22 scans, 1.6 per patient). Four (28.6%) had EEG and 4/14 also had EMG (total 7 EMGs). All 11 with functional motor and sensory MUNS had physiotherapy sessions, accounting for 118 sessions (median 5.5 sessions per patient) with 0.5–52.75 hours required for individual patients (median 3.75 hours). Conclusion Patients with MUNS accounted for 4.4% of the bed occupancy on an acute neurology ward in a tertiary neuroscience centre, with substantial healthcare resource utilisation. This study likely underestimates the overall burden of functional symptoms on the acute neurology ward as only purely functional symptoms were included. A multi–disciplinary approach is required for management of patients with MUNS and needs further study.&quot;,&quot;issue&quot;:&quot;11&quot;,&quot;volume&quot;:&quot;84&quot;,&quot;container-title-short&quot;:&quot;&quot;},&quot;isTemporary&quot;:false},{&quot;id&quot;:&quot;4eac23d5-a047-35ff-8a4d-6893f7df2ef9&quot;,&quot;itemData&quot;:{&quot;type&quot;:&quot;article-journal&quot;,&quot;id&quot;:&quot;4eac23d5-a047-35ff-8a4d-6893f7df2ef9&quot;,&quot;title&quot;:&quot;Hospital revisit rate after a diagnosis of conversion disorder&quot;,&quot;author&quot;:[{&quot;family&quot;:&quot;Merkler&quot;,&quot;given&quot;:&quot;A E&quot;,&quot;parse-names&quot;:false,&quot;dropping-particle&quot;:&quot;&quot;,&quot;non-dropping-particle&quot;:&quot;&quot;},{&quot;family&quot;:&quot;Parikh&quot;,&quot;given&quot;:&quot;N S&quot;,&quot;parse-names&quot;:false,&quot;dropping-particle&quot;:&quot;&quot;,&quot;non-dropping-particle&quot;:&quot;&quot;},{&quot;family&quot;:&quot;Chaudhry&quot;,&quot;given&quot;:&quot;S&quot;,&quot;parse-names&quot;:false,&quot;dropping-particle&quot;:&quot;&quot;,&quot;non-dropping-particle&quot;:&quot;&quot;},{&quot;family&quot;:&quot;Chait&quot;,&quot;given&quot;:&quot;A&quot;,&quot;parse-names&quot;:false,&quot;dropping-particle&quot;:&quot;&quot;,&quot;non-dropping-particle&quot;:&quot;&quot;},{&quot;family&quot;:&quot;Allen&quot;,&quot;given&quot;:&quot;N C&quot;,&quot;parse-names&quot;:false,&quot;dropping-particle&quot;:&quot;&quot;,&quot;non-dropping-particle&quot;:&quot;&quot;},{&quot;family&quot;:&quot;Navi&quot;,&quot;given&quot;:&quot;B B&quot;,&quot;parse-names&quot;:false,&quot;dropping-particle&quot;:&quot;&quot;,&quot;non-dropping-particle&quot;:&quot;&quot;},{&quot;family&quot;:&quot;Kamel&quot;,&quot;given&quot;:&quot;H&quot;,&quot;parse-names&quot;:false,&quot;dropping-particle&quot;:&quot;&quot;,&quot;non-dropping-particle&quot;:&quot;&quot;}],&quot;container-title&quot;:&quot;J Neurol Neurosurg Psychiatry&quot;,&quot;DOI&quot;:&quot;10.1136/jnnp-2014-310181&quot;,&quot;ISSN&quot;:&quot;0022-3050&quot;,&quot;PMID&quot;:&quot;25855400&quot;,&quot;issued&quot;:{&quot;date-parts&quot;:[[2016]]},&quot;page&quot;:&quot;363-366&quot;,&quot;language&quot;:&quot;eng&quot;,&quot;abstract&quot;:&quot;OBJECTIVE: To estimate the hospital revisit rate of patients diagnosed with conversion disorder (CD). METHODS: Using administrative data, we identified all patients discharged from California, Florida and New York emergency departments (EDs) and acute care hospitals between 2005 and 2011 with a primary discharge diagnosis of CD. Patients discharged with a primary diagnosis of seizure or transient global amnesia (TGA) served as control groups. Our primary outcome was the rate of repeat ED visits and hospital admissions after initial presentation. Poisson regression was used to compare rates between diagnosis groups while adjusting for demographic characteristics. RESULTS: We identified 7946 patients discharged with a primary diagnosis of CD. During a mean follow-up of 3.0 (±1.6) years, patients with CD had a median of three (IQR, 1-9) ED or inpatient revisits, compared with 0 (IQR, 0-2) in patients with TGA and 3 (IQR, 1-7) in those with seizures. Revisit rates were 18.25 (95% CI, 18.10 to 18.40) visits per 100 patients per month in those with CD, 3.90 (95% CI, 3.84 to 3.95) in those with TGA and 17.78 (95% CI, 17.75 to 17.81) in those with seizures. As compared to CD, the incidence rate ratio for repeat ED visits or hospitalisations was 0.89 (95% CI, 0.86 to 0.93) for seizure disorder and 0.32 (95% CI 0.31 to 0.34) for TGA. CONCLUSIONS: CD is associated with a substantial hospital revisit rate. Our findings suggest that CD is not an acute, time-limited response to stress, but rather that CD is a manifestation of a broader pattern of chronic neuropsychiatric disease.&quot;,&quot;edition&quot;:&quot;2015/04/10&quot;,&quot;issue&quot;:&quot;4&quot;,&quot;volume&quot;:&quot;87&quot;,&quot;container-title-short&quot;:&quot;&quot;},&quot;isTemporary&quot;:false},{&quot;id&quot;:&quot;0a97872f-ad9f-3518-b8b8-db45384f576f&quot;,&quot;itemData&quot;:{&quot;type&quot;:&quot;article-journal&quot;,&quot;id&quot;:&quot;0a97872f-ad9f-3518-b8b8-db45384f576f&quot;,&quot;title&quot;:&quot;Cross-sectional study of the hospital management of adult patients with a suspected seizure (EPIC2)&quot;,&quot;author&quot;:[{&quot;family&quot;:&quot;Dickson&quot;,&quot;given&quot;:&quot;J M&quot;,&quot;parse-names&quot;:false,&quot;dropping-particle&quot;:&quot;&quot;,&quot;non-dropping-particle&quot;:&quot;&quot;},{&quot;family&quot;:&quot;Dudhill&quot;,&quot;given&quot;:&quot;H&quot;,&quot;parse-names&quot;:false,&quot;dropping-particle&quot;:&quot;&quot;,&quot;non-dropping-particle&quot;:&quot;&quot;},{&quot;family&quot;:&quot;Shewan&quot;,&quot;given&quot;:&quot;J&quot;,&quot;parse-names&quot;:false,&quot;dropping-particle&quot;:&quot;&quot;,&quot;non-dropping-particle&quot;:&quot;&quot;},{&quot;family&quot;:&quot;Mason&quot;,&quot;given&quot;:&quot;S&quot;,&quot;parse-names&quot;:false,&quot;dropping-particle&quot;:&quot;&quot;,&quot;non-dropping-particle&quot;:&quot;&quot;},{&quot;family&quot;:&quot;Grünewald&quot;,&quot;given&quot;:&quot;R A&quot;,&quot;parse-names&quot;:false,&quot;dropping-particle&quot;:&quot;&quot;,&quot;non-dropping-particle&quot;:&quot;&quot;},{&quot;family&quot;:&quot;Reuber&quot;,&quot;given&quot;:&quot;M&quot;,&quot;parse-names&quot;:false,&quot;dropping-particle&quot;:&quot;&quot;,&quot;non-dropping-particle&quot;:&quot;&quot;}],&quot;container-title&quot;:&quot;BMJ Open&quot;,&quot;container-title-short&quot;:&quot;BMJ Open&quot;,&quot;DOI&quot;:&quot;10.1136/bmjopen-2016-015696&quot;,&quot;ISSN&quot;:&quot;2044-6055&quot;,&quot;PMID&quot;:&quot;28706099&quot;,&quot;issued&quot;:{&quot;date-parts&quot;:[[2017]]},&quot;page&quot;:&quot;e015696&quot;,&quot;language&quot;:&quot;eng&quot;,&quot;abstract&quot;:&quot;OBJECTIVE: To determine the clinical characteristics, management and outcomes of patients taken to hospital by emergency ambulance after a suspected seizure. DESIGN: Quantitative cross-sectional retrospective study of a consecutive series of patients. SETTING: An acute hospital trust in a large city in England. PARTICIPANTS: In 2012-2013, the regions' ambulance service managed 605 481 emergency incidents, 74 141/605 481 originated from Sheffield (a large city in the region), 2121/74 141 (2.9%) were suspected seizures and 178/2121 occurred in May 2012. We undertook detailed analysis of the medical records of the 91/178 patients who were transported to the city's acute hospital. After undertaking a retrospective review of the medical records, the best available aetiological explanation for the seizures was determined. RESULTS: The best available aetiological explanation for 74.7% (68/91) of the incidents was an epileptic seizure, 11.0% (10/91) were psychogenic non-epileptic seizures and 9.9% (9/91) were cardiogenic events. The epileptic seizures fall into the following four categories: first epileptic seizure (13.2%, 12/91), epileptic seizure with a historical diagnosis of epilepsy (30.8%, 28/91), recurrent epileptic seizures without a historical diagnosis of epilepsy (20.9%, 19/91) and acute symptomatic seizures (9.9%, 9/91). Of those with seizures (excluding cardiogenic events), 2.4% (2/82) of patients were seizing on arrival in the Emergency Department (ED), 19.5% (16/82) were postictal and 69.5% (57/82) were alert. 63.4% (52/82) were discharged at the end of their ED attendance and 36.5% (19/52) of these had no referral or follow-up. CONCLUSIONS: Most suspected seizures are epileptic seizures but this is a diagnostically heterogeneous group. Only a small minority of patients require emergency medical care but most are transported to hospital. Few patients receive expert review and many are discharged home without referral to a specialist leaving them at risk of further seizures and the associated morbidity, mortality and health services costs of poorly controlled epilepsy.&quot;,&quot;edition&quot;:&quot;2017/07/15&quot;,&quot;issue&quot;:&quot;7&quot;,&quot;volume&quot;:&quot;7&quot;},&quot;isTemporary&quot;:false},{&quot;id&quot;:&quot;f87b5cba-1f0c-3f0e-9fd0-e78623e6a20b&quot;,&quot;itemData&quot;:{&quot;type&quot;:&quot;article-journal&quot;,&quot;id&quot;:&quot;f87b5cba-1f0c-3f0e-9fd0-e78623e6a20b&quot;,&quot;title&quot;:&quot;Nonepileptic seizures: an updated review&quot;,&quot;author&quot;:[{&quot;family&quot;:&quot;Perez&quot;,&quot;given&quot;:&quot;David L&quot;,&quot;parse-names&quot;:false,&quot;dropping-particle&quot;:&quot;&quot;,&quot;non-dropping-particle&quot;:&quot;&quot;},{&quot;family&quot;:&quot;LaFrance Jr.&quot;,&quot;given&quot;:&quot;W Curt&quot;,&quot;parse-names&quot;:false,&quot;dropping-particle&quot;:&quot;&quot;,&quot;non-dropping-particle&quot;:&quot;&quot;}],&quot;container-title&quot;:&quot;CNS spectrums&quot;,&quot;container-title-short&quot;:&quot;CNS Spectr&quot;,&quot;DOI&quot;:&quot;10.1017/S109285291600002X&quot;,&quot;ISSN&quot;:&quot;1092-8529&quot;,&quot;PMID&quot;:&quot;26996600&quot;,&quot;URL&quot;:&quot;https://pubmed.ncbi.nlm.nih.gov/26996600&quot;,&quot;issued&quot;:{&quot;date-parts&quot;:[[2016]]},&quot;page&quot;:&quot;239-246&quot;,&quot;language&quot;:&quot;eng&quot;,&quot;abstract&quot;:&quot;Psychogenic nonepileptic seizures (PNES) are a functional neurological disorder/conversion disorder subtype, which are neurobehavioral conditions at the interface of neurology and psychiatry. Significant advancements over the past decade have been made in the diagnosis, management, and neurobiological understanding of PNES. This article reviews published PNES research focusing on semiologic features that distinguish PNES from epileptic seizures, consensus diagnostic criteria, the intersection of PNES and other comorbidities, neurobiological studies, evidence-based treatment interventions, and outcome studies. Epidemiology and healthcare utilization studies highlight a continued unmet medical need in the comprehensive care of PNES. Consensus guidelines for diagnostic certainty are based on clinical history, semiology of witnessed typical event(s), and EEG findings. While certain semiologic features may aid in the diagnosis of PNES, the gold standard remains capturing a typical event on video electroencephalography (EEG) showing the absence of epileptiform activity with history and semiology consistent with PNES. Medical-neurologic and psychiatric comorbidities are prevalent in PNES; these should be assessed in diagnostic evaluations and integrated into treatment interventions and prognostic considerations. Several studies, including a pilot, multicenter, randomized clinical trial, have now demonstrated that a cognitive behavioral therapy-informed psychotherapy is an efficacious treatment for PNES, and additional efforts are necessary to evaluate the utility of pharmacologic and other psychotherapy treatments. Neuroimaging studies, while requiring replication, suggest that PNES may occur in the context of alterations within and across sensorimotor, emotion regulation/processing, cognitive control, and multimodal integration brain systems. Future research could investigate similarities and differences between PNES and other somatic symptom disorders.&quot;,&quot;edition&quot;:&quot;2016/03/21&quot;,&quot;issue&quot;:&quot;3&quot;,&quot;volume&quot;:&quot;21&quot;},&quot;isTemporary&quot;:false}],&quot;citationTag&quot;:&quot;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&quot;},{&quot;citationID&quot;:&quot;MENDELEY_CITATION_3e4edb92-0b79-444b-a735-701515b39d8d&quot;,&quot;properties&quot;:{&quot;noteIndex&quot;:0},&quot;isEdited&quot;:false,&quot;manualOverride&quot;:{&quot;isManuallyOverridden&quot;:false,&quot;citeprocText&quot;:&quot;(Cuoco et al., 2023)&quot;,&quot;manualOverrideText&quot;:&quot;&quot;},&quot;citationItems&quot;:[{&quot;id&quot;:&quot;06d4c6fe-211d-305f-a14d-cbfeb953a991&quot;,&quot;itemData&quot;:{&quot;type&quot;:&quot;article-journal&quot;,&quot;id&quot;:&quot;06d4c6fe-211d-305f-a14d-cbfeb953a991&quot;,&quot;title&quot;:&quot;Higher Health Service Costs Associated With Delayed Diagnosis of Functional Neurological Disorder&quot;,&quot;author&quot;:[{&quot;family&quot;:&quot;Cuoco&quot;,&quot;given&quot;:&quot;Sofia&quot;,&quot;parse-names&quot;:false,&quot;dropping-particle&quot;:&quot;&quot;,&quot;non-dropping-particle&quot;:&quot;&quot;},{&quot;family&quot;:&quot;Scannapieco&quot;,&quot;given&quot;:&quot;Sara&quot;,&quot;parse-names&quot;:false,&quot;dropping-particle&quot;:&quot;&quot;,&quot;non-dropping-particle&quot;:&quot;&quot;},{&quot;family&quot;:&quot;Carotenuto&quot;,&quot;given&quot;:&quot;Imma&quot;,&quot;parse-names&quot;:false,&quot;dropping-particle&quot;:&quot;&quot;,&quot;non-dropping-particle&quot;:&quot;&quot;},{&quot;family&quot;:&quot;Picillo&quot;,&quot;given&quot;:&quot;Marina&quot;,&quot;parse-names&quot;:false,&quot;dropping-particle&quot;:&quot;&quot;,&quot;non-dropping-particle&quot;:&quot;&quot;},{&quot;family&quot;:&quot;Pellecchia&quot;,&quot;given&quot;:&quot;Maria Teresa&quot;,&quot;parse-names&quot;:false,&quot;dropping-particle&quot;:&quot;&quot;,&quot;non-dropping-particle&quot;:&quot;&quot;},{&quot;family&quot;:&quot;Barone&quot;,&quot;given&quot;:&quot;Paolo&quot;,&quot;parse-names&quot;:false,&quot;dropping-particle&quot;:&quot;&quot;,&quot;non-dropping-particle&quot;:&quot;&quot;},{&quot;family&quot;:&quot;Erro&quot;,&quot;given&quot;:&quot;Roberto&quot;,&quot;parse-names&quot;:false,&quot;dropping-particle&quot;:&quot;&quot;,&quot;non-dropping-particle&quot;:&quot;&quot;}],&quot;container-title&quot;:&quot;The Journal of neuropsychiatry and clinical neurosciences&quot;,&quot;container-title-short&quot;:&quot;J Neuropsychiatry Clin Neurosci&quot;,&quot;accessed&quot;:{&quot;date-parts&quot;:[[2023,4,28]]},&quot;DOI&quot;:&quot;10.1176/APPI.NEUROPSYCH.21110288/ASSET/IMAGES/LARGE/APPI.NEUROPSYCH.21110288F1.JPEG&quot;,&quot;ISSN&quot;:&quot;15457222&quot;,&quot;PMID&quot;:&quot;35989570&quot;,&quot;URL&quot;:&quot;https://neuro.psychiatryonline.org/doi/10.1176/appi.neuropsych.21110288&quot;,&quot;issued&quot;:{&quot;date-parts&quot;:[[2023,12,1]]},&quot;page&quot;:&quot;86-91&quot;,&quot;abstract&quot;:&quot;OBJECTIVE: Functional neurological disorder (FND) is frequently encountered in clinical practice but commonly misdiagnosed, which might lead to higher direct costs for the health care system. The investigators analyzed the direct costs associated with the diagnosis of FND compared with costs associated with other neurological conditions and explored possible cost trends related to the clinical and demographic features of FND. METHODS: Consecutive patients attending a general neurology clinic were recruited and underwent a structured assessment aimed to collect information pertaining to their demographic and clinical characteristics, as well as data regarding their prior diagnostic processes (e.g., the number of consulted specialists, number and type of investigations, emergency department visits, etc.). The costs were hence calculated and compared between the study groups. RESULTS: A total of 155 consecutive patients were recruited; of these, 18.6% had FND, 55.84% had one or more other neurological disorder (OND), and 27.10% presented with comorbid FND and OND. The total prediagnostic costs (in euros [€]) were higher in the FND group compared with the OND group (median=€289, interquartile range [IQR] €385 vs. median=€98, IQR €216; Mann-Whitney U=879.5, p=0.04). There was a higher diagnostic delay in the FND group compared with the OND group (median=48 months, IQR 60 months vs. median=12 months, IQR 6 months; Mann-Whitney U=162.00, p&lt;0.01). Diagnostic delay significantly correlated with the total costs in the entire study sample (Spearman's ρ=0.25, p=0.003) but more strongly in the FND group (Spearman's ρ=0.81, p&lt;0.001). In the FND group, higher numbers of investigations and costs were associated with the presence of a physiological or psychological trigger and multiple symptoms. CONCLUSIONS: Delayed diagnosis of FND significantly affects health care system costs, and raising awareness about FND to improve the diagnostic process and outcomes is necessary.&quot;,&quot;publisher&quot;:&quot;NLM (Medline)&quot;,&quot;issue&quot;:&quot;1&quot;,&quot;volume&quot;:&quot;35&quot;},&quot;isTemporary&quot;:false}],&quot;citationTag&quot;:&quot;MENDELEY_CITATION_v3_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&quot;},{&quot;citationID&quot;:&quot;MENDELEY_CITATION_e1e51547-6a23-4b2a-8f19-c3377997a9f2&quot;,&quot;properties&quot;:{&quot;noteIndex&quot;:0},&quot;isEdited&quot;:false,&quot;manualOverride&quot;:{&quot;isManuallyOverridden&quot;:false,&quot;citeprocText&quot;:&quot;(Greenfield et al., 2020)&quot;,&quot;manualOverrideText&quot;:&quot;&quot;},&quot;citationItems&quot;:[{&quot;id&quot;:&quot;9946fef1-6a4e-3856-9e73-fd15e9df504f&quot;,&quot;itemData&quot;:{&quot;type&quot;:&quot;article-journal&quot;,&quot;id&quot;:&quot;9946fef1-6a4e-3856-9e73-fd15e9df504f&quot;,&quot;title&quot;:&quot;Frequent attendances at emergency departments in England&quot;,&quot;author&quot;:[{&quot;family&quot;:&quot;Greenfield&quot;,&quot;given&quot;:&quot;Geva&quot;,&quot;parse-names&quot;:false,&quot;dropping-particle&quot;:&quot;&quot;,&quot;non-dropping-particle&quot;:&quot;&quot;},{&quot;family&quot;:&quot;Blair&quot;,&quot;given&quot;:&quot;Mitch&quot;,&quot;parse-names&quot;:false,&quot;dropping-particle&quot;:&quot;&quot;,&quot;non-dropping-particle&quot;:&quot;&quot;},{&quot;family&quot;:&quot;Aylin&quot;,&quot;given&quot;:&quot;Paul P&quot;,&quot;parse-names&quot;:false,&quot;dropping-particle&quot;:&quot;&quot;,&quot;non-dropping-particle&quot;:&quot;&quot;},{&quot;family&quot;:&quot;Saxena&quot;,&quot;given&quot;:&quot;Sonia&quot;,&quot;parse-names&quot;:false,&quot;dropping-particle&quot;:&quot;&quot;,&quot;non-dropping-particle&quot;:&quot;&quot;},{&quot;family&quot;:&quot;Majeed&quot;,&quot;given&quot;:&quot;Azeem&quot;,&quot;parse-names&quot;:false,&quot;dropping-particle&quot;:&quot;&quot;,&quot;non-dropping-particle&quot;:&quot;&quot;},{&quot;family&quot;:&quot;Hoffman&quot;,&quot;given&quot;:&quot;Maurice&quot;,&quot;parse-names&quot;:false,&quot;dropping-particle&quot;:&quot;&quot;,&quot;non-dropping-particle&quot;:&quot;&quot;},{&quot;family&quot;:&quot;Bottle&quot;,&quot;given&quot;:&quot;Alex&quot;,&quot;parse-names&quot;:false,&quot;dropping-particle&quot;:&quot;&quot;,&quot;non-dropping-particle&quot;:&quot;&quot;}],&quot;container-title&quot;:&quot;Emerg Med J&quot;,&quot;accessed&quot;:{&quot;date-parts&quot;:[[2023,6,7]]},&quot;DOI&quot;:&quot;10.1136/emermed-2018-208189&quot;,&quot;URL&quot;:&quot;https://www.&quot;,&quot;issued&quot;:{&quot;date-parts&quot;:[[2020]]},&quot;page&quot;:&quot;597-599&quot;,&quot;volume&quot;:&quot;37&quot;,&quot;container-title-short&quot;:&quot;&quot;},&quot;isTemporary&quot;:false}],&quot;citationTag&quot;:&quot;MENDELEY_CITATION_v3_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&quot;},{&quot;citationID&quot;:&quot;MENDELEY_CITATION_cc3d824e-0a0c-459a-aaa9-4e15e04fa774&quot;,&quot;properties&quot;:{&quot;noteIndex&quot;:0},&quot;isEdited&quot;:false,&quot;manualOverride&quot;:{&quot;isManuallyOverridden&quot;:false,&quot;citeprocText&quot;:&quot;(Diez et al., 2019; Jalilianhasanpour et al., 2018; Ricciardi et al., 2016; I. A. Williams, Howlett, et al., 2018; I. A. Williams, Levita, et al., 2018)&quot;,&quot;manualOverrideText&quot;:&quot;&quot;},&quot;citationItems&quot;:[{&quot;id&quot;:&quot;b72754a3-3902-3c72-852d-811c55bfed77&quot;,&quot;itemData&quot;:{&quot;type&quot;:&quot;article-journal&quot;,&quot;id&quot;:&quot;b72754a3-3902-3c72-852d-811c55bfed77&quot;,&quot;title&quot;:&quot;Corticolimbic fast-tracking: enhanced multimodal integration in functional neurological disorder&quot;,&quot;author&quot;:[{&quot;family&quot;:&quot;Diez&quot;,&quot;given&quot;:&quot;Ibai&quot;,&quot;parse-names&quot;:false,&quot;dropping-particle&quot;:&quot;&quot;,&quot;non-dropping-particle&quot;:&quot;&quot;},{&quot;family&quot;:&quot;Ortiz-Terán&quot;,&quot;given&quot;:&quot;Laura&quot;,&quot;parse-names&quot;:false,&quot;dropping-particle&quot;:&quot;&quot;,&quot;non-dropping-particle&quot;:&quot;&quot;},{&quot;family&quot;:&quot;Williams&quot;,&quot;given&quot;:&quot;Benjamin&quot;,&quot;parse-names&quot;:false,&quot;dropping-particle&quot;:&quot;&quot;,&quot;non-dropping-particle&quot;:&quot;&quot;},{&quot;family&quot;:&quot;Jalilianhasanpour&quot;,&quot;given&quot;:&quot;Rozita&quot;,&quot;parse-names&quot;:false,&quot;dropping-particle&quot;:&quot;&quot;,&quot;non-dropping-particle&quot;:&quot;&quot;},{&quot;family&quot;:&quot;Ospina&quot;,&quot;given&quot;:&quot;Juan Pablo&quot;,&quot;parse-names&quot;:false,&quot;dropping-particle&quot;:&quot;&quot;,&quot;non-dropping-particle&quot;:&quot;&quot;},{&quot;family&quot;:&quot;Dickerson&quot;,&quot;given&quot;:&quot;Bradford C&quot;,&quot;parse-names&quot;:false,&quot;dropping-particle&quot;:&quot;&quot;,&quot;non-dropping-particle&quot;:&quot;&quot;},{&quot;family&quot;:&quot;Keshavan&quot;,&quot;given&quot;:&quot;Matcheri S&quot;,&quot;parse-names&quot;:false,&quot;dropping-particle&quot;:&quot;&quot;,&quot;non-dropping-particle&quot;:&quot;&quot;},{&quot;family&quot;:&quot;LaFrance Jr&quot;,&quot;given&quot;:&quot;W Curt&quot;,&quot;parse-names&quot;:false,&quot;dropping-particle&quot;:&quot;&quot;,&quot;non-dropping-particle&quot;:&quot;&quot;},{&quot;family&quot;:&quot;Sepulcre&quot;,&quot;given&quot;:&quot;Jorge&quot;,&quot;parse-names&quot;:false,&quot;dropping-particle&quot;:&quot;&quot;,&quot;non-dropping-particle&quot;:&quot;&quot;},{&quot;family&quot;:&quot;Perez&quot;,&quot;given&quot;:&quot;David L&quot;,&quot;parse-names&quot;:false,&quot;dropping-particle&quot;:&quot;&quot;,&quot;non-dropping-particle&quot;:&quot;&quot;}],&quot;container-title&quot;:&quot;Journal of Neurology, Neurosurgery &amp;amp;amp; Psychiatry&quot;,&quot;DOI&quot;:&quot;10.1136/jnnp-2018-319657&quot;,&quot;URL&quot;:&quot;http://jnnp.bmj.com/content/90/8/929.abstract&quot;,&quot;issued&quot;:{&quot;date-parts&quot;:[[2019]]},&quot;page&quot;:&quot;929&quot;,&quot;abstract&quot;:&quot;Objective Some individuals with functional neurological disorder (FND) exhibit motor and affective disturbances, along with limbic hyper-reactivity and enhanced motor-limbic connectivity. Given that the multimodal integration network (insula, dorsal cingulate, temporoparietal junction (TPJ)) is implicated in convergent sensorimotor, affective and interoceptive processing, we hypothesised that patients with FND would exhibit altered motor and amygdalar resting-state propagation to this network. Patient-reported symptom severity and clinical outcome were also hypothesised to map onto multimodal integration areas.Methods Between-group differences in primary motor and amygdalar nuclei (laterobasal, centromedial) were examined using graph-theory stepwise functional connectivity (SFC) in 30 patients with motor FND compared with 30 healthy controls. Within-group analyses correlated functional propagation profiles with symptom severity and prospectively collected 6-month outcomes as measured by the Screening for Somatoform Symptoms Conversion Disorder subscale and Patient Health Questionnaire-15 composite score. Findings were clusterwise corrected for multiple comparisons.Results Compared with controls, patients with FND exhibited increased SFC from motor regions to the bilateral posterior insula, TPJ, middle cingulate cortex and putamen. From the right laterobasal amygdala, the FND cohort showed enhanced connectivity to the left anterior insula, periaqueductal grey and hypothalamus among other areas. In within-group analyses, symptom severity correlated with enhanced SFC from the left anterior insula to the right anterior insula and TPJ; increased SFC from the left centromedial amygdala to the right anterior insula correlated with clinical improvement. Within-group associations held controlling for depression, anxiety and antidepressant use.Conclusions These neuroimaging findings suggest potential candidate neurocircuit pathways in the pathophysiology of FND.&quot;,&quot;issue&quot;:&quot;8&quot;,&quot;volume&quot;:&quot;90&quot;,&quot;container-title-short&quot;:&quot;&quot;},&quot;isTemporary&quot;:false},{&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id&quot;:&quot;f9d09752-671f-3015-b521-c857e072f0b9&quot;,&quot;itemData&quot;:{&quot;type&quot;:&quot;article-journal&quot;,&quot;id&quot;:&quot;f9d09752-671f-3015-b521-c857e072f0b9&quot;,&quot;title&quot;:&quot;Emotion dysregulation in patients with psychogenic nonepileptic seizures: A systematic review based on the extended process model&quot;,&quot;author&quot;:[{&quot;family&quot;:&quot;Williams&quot;,&quot;given&quot;:&quot;I A&quot;,&quot;parse-names&quot;:false,&quot;dropping-particle&quot;:&quot;&quot;,&quot;non-dropping-particle&quot;:&quot;&quot;},{&quot;family&quot;:&quot;Levita&quot;,&quot;given&quot;:&quot;L&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8.06.049&quot;,&quot;ISSN&quot;:&quot;1525-5050&quot;,&quot;PMID&quot;:&quot;30075361&quot;,&quot;issued&quot;:{&quot;date-parts&quot;:[[2018]]},&quot;page&quot;:&quot;37-48&quot;,&quot;language&quot;:&quot;eng&quot;,&quot;abstract&quot;:&quot;Psychogenic nonepileptic seizures (PNES) are characterized by paroxysmal alterations in motor and sensory functions resembling epileptic seizures, but are not caused by epileptiform activity. In recent years, there has been increasing scientific interest in emotion dysregulation in patients with PNES (pwPNES), but the literature has not yet been interpreted within a broader model of emotion dysregulation. The aim of this review was therefore to synthesize the existing literature on emotion dysregulation in pwPNES within the extended process model (EPM) of emotion regulation. METHODS: PubMed and Web of Science were searched for studies relevant to emotion dysregulation as defined by the EPM. These studies were subjected to a bespoke quality appraisal tool. Studies of acceptable quality were categorized to the different stages of the EPM and critically appraised. RESULTS: Studies of emotion regulation in pwPNES were generally of low quality - a finding largely driven by small sample sizes. However, there was evidence of emotion dysregulation characterized by deficits in the identification of patients' own emotional states, as well as the selection and implementation of maladaptive regulatory strategies, and altered exteroceptive emotional processing. However, heterogeneity in findings suggests that emotion dysregulation is likely linked to other psychological factors and not common to all pwPNES. SIGNIFICANCE: This review suggests that while pwPNES are likely to experience emotion dysregulation as defined by the EPM, there is variability in the distribution of regulatory deficits in this patient population, and a person-centered approach should be taken when working with these patients. There is a need for more high quality and better-powered studies in this area.&quot;,&quot;edition&quot;:&quot;2018/08/04&quot;,&quot;volume&quot;:&quot;86&quot;,&quot;container-title-short&quot;:&quot;&quot;},&quot;isTemporary&quot;:false},{&quot;id&quot;:&quot;56ea5c3f-2bc0-308d-a671-4ac9e023db42&quot;,&quot;itemData&quot;:{&quot;type&quot;:&quot;article-journal&quot;,&quot;id&quot;:&quot;56ea5c3f-2bc0-308d-a671-4ac9e023db42&quot;,&quot;title&quot;:&quot;Changes in Emotion Processing following Brief Augmented Psychodynamic Interpersonal Therapy for Functional Neurological Symptoms&quot;,&quot;author&quot;:[{&quot;family&quot;:&quot;Williams&quot;,&quot;given&quot;:&quot;Isobel Anne&quot;,&quot;parse-names&quot;:false,&quot;dropping-particle&quot;:&quot;&quot;,&quot;non-dropping-particle&quot;:&quot;&quot;},{&quot;family&quot;:&quot;Howlett&quot;,&quot;given&quot;:&quot;Stephanie&quot;,&quot;parse-names&quot;:false,&quot;dropping-particle&quot;:&quot;&quot;,&quot;non-dropping-particle&quot;:&quot;&quot;},{&quot;family&quot;:&quot;Levita&quot;,&quot;given&quot;:&quot;Liat&quot;,&quot;parse-names&quot;:false,&quot;dropping-particle&quot;:&quot;&quot;,&quot;non-dropping-particle&quot;:&quot;&quot;},{&quot;family&quot;:&quot;Reuber&quot;,&quot;given&quot;:&quot;Markus&quot;,&quot;parse-names&quot;:false,&quot;dropping-particle&quot;:&quot;&quot;,&quot;non-dropping-particle&quot;:&quot;&quot;}],&quot;container-title&quot;:&quot;Behavioural and cognitive psychotherapy&quot;,&quot;DOI&quot;:&quot;10.1017/s1352465817000807&quot;,&quot;ISSN&quot;:&quot;1352-4658&quot;,&quot;issued&quot;:{&quot;date-parts&quot;:[[2018]]},&quot;page&quot;:&quot;350-366&quot;,&quot;publisher&quot;:&quot;Cambridge University Press (CUP)&quot;,&quot;issue&quot;:&quot;3&quot;,&quot;volume&quot;:&quot;46&quot;,&quot;container-title-short&quot;:&quot;&quot;},&quot;isTemporary&quot;:false},{&quot;id&quot;:&quot;dab53be6-05f3-37fd-bf70-02764909ab73&quot;,&quot;itemData&quot;:{&quot;type&quot;:&quot;article-journal&quot;,&quot;id&quot;:&quot;dab53be6-05f3-37fd-bf70-02764909ab73&quot;,&quot;title&quot;:&quot;Resilience linked to personality dimensions, alexithymia and affective symptoms in motor functional neurological disorders&quot;,&quot;author&quot;:[{&quot;family&quot;:&quot;Jalilianhasanpour&quot;,&quot;given&quot;:&quot;R&quot;,&quot;parse-names&quot;:false,&quot;dropping-particle&quot;:&quot;&quot;,&quot;non-dropping-particle&quot;:&quot;&quot;},{&quot;family&quot;:&quot;Williams&quot;,&quot;given&quot;:&quot;B&quot;,&quot;parse-names&quot;:false,&quot;dropping-particle&quot;:&quot;&quot;,&quot;non-dropping-particle&quot;:&quot;&quot;},{&quot;family&quot;:&quot;Gilman&quot;,&quot;given&quot;:&quot;I&quot;,&quot;parse-names&quot;:false,&quot;dropping-particle&quot;:&quot;&quot;,&quot;non-dropping-particle&quot;:&quot;&quot;},{&quot;family&quot;:&quot;Burke&quot;,&quot;given&quot;:&quot;M J&quot;,&quot;parse-names&quot;:false,&quot;dropping-particle&quot;:&quot;&quot;,&quot;non-dropping-particle&quot;:&quot;&quot;},{&quot;family&quot;:&quot;Glass&quot;,&quot;given&quot;:&quot;S&quot;,&quot;parse-names&quot;:false,&quot;dropping-particle&quot;:&quot;&quot;,&quot;non-dropping-particle&quot;:&quot;&quot;},{&quot;family&quot;:&quot;Fricchione&quot;,&quot;given&quot;:&quot;G L&quot;,&quot;parse-names&quot;:false,&quot;dropping-particle&quot;:&quot;&quot;,&quot;non-dropping-particle&quot;:&quot;&quot;},{&quot;family&quot;:&quot;Keshavan&quot;,&quot;given&quot;:&quot;M S&quot;,&quot;parse-names&quot;:false,&quot;dropping-particle&quot;:&quot;&quot;,&quot;non-dropping-particle&quot;:&quot;&quot;},{&quot;family&quot;:&quot;LaFrance Jr.&quot;,&quot;given&quot;:&quot;W C&quot;,&quot;parse-names&quot;:false,&quot;dropping-particle&quot;:&quot;&quot;,&quot;non-dropping-particle&quot;:&quot;&quot;},{&quot;family&quot;:&quot;Perez&quot;,&quot;given&quot;:&quot;D L&quot;,&quot;parse-names&quot;:false,&quot;dropping-particle&quot;:&quot;&quot;,&quot;non-dropping-particle&quot;:&quot;&quot;}],&quot;container-title&quot;:&quot;J Psychosom Res&quot;,&quot;DOI&quot;:&quot;10.1016/j.jpsychores.2018.02.005&quot;,&quot;ISSN&quot;:&quot;0022-3999 (Print)\r0022-3999&quot;,&quot;PMID&quot;:&quot;29502765&quot;,&quot;issued&quot;:{&quot;date-parts&quot;:[[2018]]},&quot;page&quot;:&quot;55-61&quot;,&quot;language&quot;:&quot;eng&quot;,&quot;abstract&quot;:&quot;OBJECTIVE: Reduced resilience, a construct associated with maladaptive stress coping and a predisposing vulnerability for Functional Neurological Disorders (FND), has been under-studied compared to other neuropsychiatric factors in FND. This prospective case-control study investigated self-reported resilience in patients with FND compared to controls and examined relationships between resilience and affective symptoms, personality traits, alexithymia, health status and adverse life event burden. METHODS: 50 individuals with motor FND and 47 healthy controls participated. A univariate test followed by a logistic regression analysis investigated group-level differences in Connor-Davidson Resilience Scale (CD-RISC) scores. For within-group analyses performed separately in patients with FND and controls, univariate screening tests followed by multivariate linear regression analyses examined factors associated with self-reported resilience. RESULTS: Adjusting for age, gender, education status, ethnicity and lifetime adverse event burden, patients with FND reported reduced resilience compared to controls. Within-group analyses in patients with FND showed that individual-differences in mental health, extraversion, conscientiousness, and openness positively correlated with CD-RISC scores; post-traumatic stress disorder symptom severity, depression, anxiety, alexithymia and neuroticism scores negatively correlated with CD-RISC scores. Extraversion independently predicted resilience scores in patients with FND. In control subjects, univariate associations were appreciated between CD-RISC scores and gender, personality traits, anxiety, alexithymia and physical health; conscientiousness independently predicted resilience in controls. CONCLUSION: Patients with FND reported reduced resilience, and CD-RISC scores covaried with other important predisposing vulnerabilities for the development of FND. Future research should investigate if the CD-RISC is predictive of clinical outcomes in patients with FND.&quot;,&quot;edition&quot;:&quot;2018/03/06&quot;,&quot;volume&quot;:&quot;107&quot;,&quot;container-title-short&quot;:&quot;&quot;},&quot;isTemporary&quot;:false}],&quot;citationTag&quot;:&quot;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&quot;},{&quot;citationID&quot;:&quot;MENDELEY_CITATION_3c856589-46b2-4cf8-8d54-efeb67c45730&quot;,&quot;properties&quot;:{&quot;noteIndex&quot;:0},&quot;isEdited&quot;:false,&quot;manualOverride&quot;:{&quot;isManuallyOverridden&quot;:false,&quot;citeprocText&quot;:&quot;(Diez et al., 2019; Pick et al., 2019)&quot;,&quot;manualOverrideText&quot;:&quot;&quot;},&quot;citationItems&quot;:[{&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id&quot;:&quot;b72754a3-3902-3c72-852d-811c55bfed77&quot;,&quot;itemData&quot;:{&quot;type&quot;:&quot;article-journal&quot;,&quot;id&quot;:&quot;b72754a3-3902-3c72-852d-811c55bfed77&quot;,&quot;title&quot;:&quot;Corticolimbic fast-tracking: enhanced multimodal integration in functional neurological disorder&quot;,&quot;author&quot;:[{&quot;family&quot;:&quot;Diez&quot;,&quot;given&quot;:&quot;Ibai&quot;,&quot;parse-names&quot;:false,&quot;dropping-particle&quot;:&quot;&quot;,&quot;non-dropping-particle&quot;:&quot;&quot;},{&quot;family&quot;:&quot;Ortiz-Terán&quot;,&quot;given&quot;:&quot;Laura&quot;,&quot;parse-names&quot;:false,&quot;dropping-particle&quot;:&quot;&quot;,&quot;non-dropping-particle&quot;:&quot;&quot;},{&quot;family&quot;:&quot;Williams&quot;,&quot;given&quot;:&quot;Benjamin&quot;,&quot;parse-names&quot;:false,&quot;dropping-particle&quot;:&quot;&quot;,&quot;non-dropping-particle&quot;:&quot;&quot;},{&quot;family&quot;:&quot;Jalilianhasanpour&quot;,&quot;given&quot;:&quot;Rozita&quot;,&quot;parse-names&quot;:false,&quot;dropping-particle&quot;:&quot;&quot;,&quot;non-dropping-particle&quot;:&quot;&quot;},{&quot;family&quot;:&quot;Ospina&quot;,&quot;given&quot;:&quot;Juan Pablo&quot;,&quot;parse-names&quot;:false,&quot;dropping-particle&quot;:&quot;&quot;,&quot;non-dropping-particle&quot;:&quot;&quot;},{&quot;family&quot;:&quot;Dickerson&quot;,&quot;given&quot;:&quot;Bradford C&quot;,&quot;parse-names&quot;:false,&quot;dropping-particle&quot;:&quot;&quot;,&quot;non-dropping-particle&quot;:&quot;&quot;},{&quot;family&quot;:&quot;Keshavan&quot;,&quot;given&quot;:&quot;Matcheri S&quot;,&quot;parse-names&quot;:false,&quot;dropping-particle&quot;:&quot;&quot;,&quot;non-dropping-particle&quot;:&quot;&quot;},{&quot;family&quot;:&quot;LaFrance Jr&quot;,&quot;given&quot;:&quot;W Curt&quot;,&quot;parse-names&quot;:false,&quot;dropping-particle&quot;:&quot;&quot;,&quot;non-dropping-particle&quot;:&quot;&quot;},{&quot;family&quot;:&quot;Sepulcre&quot;,&quot;given&quot;:&quot;Jorge&quot;,&quot;parse-names&quot;:false,&quot;dropping-particle&quot;:&quot;&quot;,&quot;non-dropping-particle&quot;:&quot;&quot;},{&quot;family&quot;:&quot;Perez&quot;,&quot;given&quot;:&quot;David L&quot;,&quot;parse-names&quot;:false,&quot;dropping-particle&quot;:&quot;&quot;,&quot;non-dropping-particle&quot;:&quot;&quot;}],&quot;container-title&quot;:&quot;Journal of Neurology, Neurosurgery &amp;amp;amp; Psychiatry&quot;,&quot;DOI&quot;:&quot;10.1136/jnnp-2018-319657&quot;,&quot;URL&quot;:&quot;http://jnnp.bmj.com/content/90/8/929.abstract&quot;,&quot;issued&quot;:{&quot;date-parts&quot;:[[2019]]},&quot;page&quot;:&quot;929&quot;,&quot;abstract&quot;:&quot;Objective Some individuals with functional neurological disorder (FND) exhibit motor and affective disturbances, along with limbic hyper-reactivity and enhanced motor-limbic connectivity. Given that the multimodal integration network (insula, dorsal cingulate, temporoparietal junction (TPJ)) is implicated in convergent sensorimotor, affective and interoceptive processing, we hypothesised that patients with FND would exhibit altered motor and amygdalar resting-state propagation to this network. Patient-reported symptom severity and clinical outcome were also hypothesised to map onto multimodal integration areas.Methods Between-group differences in primary motor and amygdalar nuclei (laterobasal, centromedial) were examined using graph-theory stepwise functional connectivity (SFC) in 30 patients with motor FND compared with 30 healthy controls. Within-group analyses correlated functional propagation profiles with symptom severity and prospectively collected 6-month outcomes as measured by the Screening for Somatoform Symptoms Conversion Disorder subscale and Patient Health Questionnaire-15 composite score. Findings were clusterwise corrected for multiple comparisons.Results Compared with controls, patients with FND exhibited increased SFC from motor regions to the bilateral posterior insula, TPJ, middle cingulate cortex and putamen. From the right laterobasal amygdala, the FND cohort showed enhanced connectivity to the left anterior insula, periaqueductal grey and hypothalamus among other areas. In within-group analyses, symptom severity correlated with enhanced SFC from the left anterior insula to the right anterior insula and TPJ; increased SFC from the left centromedial amygdala to the right anterior insula correlated with clinical improvement. Within-group associations held controlling for depression, anxiety and antidepressant use.Conclusions These neuroimaging findings suggest potential candidate neurocircuit pathways in the pathophysiology of FND.&quot;,&quot;issue&quot;:&quot;8&quot;,&quot;volume&quot;:&quot;90&quot;,&quot;container-title-short&quot;:&quot;&quot;},&quot;isTemporary&quot;:false}],&quot;citationTag&quot;:&quot;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&quot;},{&quot;citationID&quot;:&quot;MENDELEY_CITATION_009d6d10-27dc-450a-adb7-6ca2840939c4&quot;,&quot;properties&quot;:{&quot;noteIndex&quot;:0},&quot;isEdited&quot;:false,&quot;manualOverride&quot;:{&quot;isManuallyOverridden&quot;:true,&quot;citeprocText&quot;:&quot;(Allendorfer et al., 2019; Aybek et al., 2015; Brown &amp;#38; Reuber, 2016; Hassa et al., 2017; I. A. Williams et al., 2021)&quot;,&quot;manualOverrideText&quot;:&quot;(Allendorfer et al., 2019; Aybek et al., 2015; R. J. Brown &amp; Reuber, 2016a; Hassa et al., 2017; I. A. Williams et al., 2021)&quot;},&quot;citationItems&quot;:[{&quot;id&quot;:&quot;8203da8e-7703-3acc-bd6e-5a1637213b34&quot;,&quot;itemData&quot;:{&quot;type&quot;:&quot;article-journal&quot;,&quot;id&quot;:&quot;8203da8e-7703-3acc-bd6e-5a1637213b34&quot;,&quot;title&quot;:&quot;Emotion-motion interactions in conversion disorder: an FMRI study&quot;,&quot;author&quot;:[{&quot;family&quot;:&quot;Aybek&quot;,&quot;given&quot;:&quot;Selma&quot;,&quot;parse-names&quot;:false,&quot;dropping-particle&quot;:&quot;&quot;,&quot;non-dropping-particle&quot;:&quot;&quot;},{&quot;family&quot;:&quot;Nicholson&quot;,&quot;given&quot;:&quot;Timothy R&quot;,&quot;parse-names&quot;:false,&quot;dropping-particle&quot;:&quot;&quot;,&quot;non-dropping-particle&quot;:&quot;&quot;},{&quot;family&quot;:&quot;O'Daly&quot;,&quot;given&quot;:&quot;Owen&quot;,&quot;parse-names&quot;:false,&quot;dropping-particle&quot;:&quot;&quot;,&quot;non-dropping-particle&quot;:&quot;&quot;},{&quot;family&quot;:&quot;Zelaya&quot;,&quot;given&quot;:&quot;Fernando&quot;,&quot;parse-names&quot;:false,&quot;dropping-particle&quot;:&quot;&quot;,&quot;non-dropping-particle&quot;:&quot;&quot;},{&quot;family&quot;:&quot;Kanaan&quot;,&quot;given&quot;:&quot;Richard A&quot;,&quot;parse-names&quot;:false,&quot;dropping-particle&quot;:&quot;&quot;,&quot;non-dropping-particle&quot;:&quot;&quot;},{&quot;family&quot;:&quot;David&quot;,&quot;given&quot;:&quot;Anthony S&quot;,&quot;parse-names&quot;:false,&quot;dropping-particle&quot;:&quot;&quot;,&quot;non-dropping-particle&quot;:&quot;&quot;}],&quot;container-title&quot;:&quot;PloS one&quot;,&quot;container-title-short&quot;:&quot;PLoS One&quot;,&quot;DOI&quot;:&quot;10.1371/journal.pone.0123273&quot;,&quot;ISSN&quot;:&quot;1932-6203&quot;,&quot;PMID&quot;:&quot;25859660&quot;,&quot;URL&quot;:&quot;https://pubmed.ncbi.nlm.nih.gov/25859660&quot;,&quot;issued&quot;:{&quot;date-parts&quot;:[[2015]]},&quot;page&quot;:&quot;e0123273-e0123273&quot;,&quot;language&quot;:&quot;eng&quot;,&quot;abstract&quot;:&quot;OBJECTIVES: To evaluate the neural correlates of implicit processing of negative emotions in motor conversion disorder (CD) patients. METHODS: An event related fMRI task was completed by 12 motor CD patients and 14 matched healthy controls using standardised stimuli of faces with fearful and sad emotional expressions in comparison to faces with neutral expressions. Temporal changes in the sensitivity to stimuli were also modelled and tested in the two groups. RESULTS: We found increased amygdala activation to negative emotions in CD compared to healthy controls in region of interest analyses, which persisted over time consistent with previous findings using emotional paradigms. Furthermore during whole brain analyses we found significantly increased activation in CD patients in areas involved in the 'freeze response' to fear (periaqueductal grey matter), and areas involved in self-awareness and motor control (cingulate gyrus and supplementary motor area). CONCLUSIONS: In contrast to healthy controls, CD patients exhibited increased response amplitude to fearful stimuli over time, suggesting abnormal emotional regulation (failure of habituation / sensitization). Patients with CD also activated midbrain and frontal structures that could reflect an abnormal behavioral-motor response to negative including threatening stimuli. This suggests a mechanism linking emotions to motor dysfunction in CD.&quot;,&quot;publisher&quot;:&quot;Public Library of Science&quot;,&quot;issue&quot;:&quot;4&quot;,&quot;volume&quot;:&quot;10&quot;},&quot;isTemporary&quot;:false},{&quot;id&quot;:&quot;b70aa524-e3f4-36bb-8d7e-d4df2e3d816e&quot;,&quot;itemData&quot;:{&quot;type&quot;:&quot;article-journal&quot;,&quot;id&quot;:&quot;b70aa524-e3f4-36bb-8d7e-d4df2e3d816e&quot;,&quot;title&quot;:&quot;Interoception and stress in patients with Functional Neurological Symptom Disorder&quot;,&quot;author&quot;:[{&quot;family&quot;:&quot;Williams&quot;,&quot;given&quot;:&quot;Isobel A&quot;,&quot;parse-names&quot;:false,&quot;dropping-particle&quot;:&quot;&quot;,&quot;non-dropping-particle&quot;:&quot;&quot;},{&quot;family&quot;:&quot;Reuber&quot;,&quot;given&quot;:&quot;Markus&quot;,&quot;parse-names&quot;:false,&quot;dropping-particle&quot;:&quot;&quot;,&quot;non-dropping-particle&quot;:&quot;&quot;},{&quot;family&quot;:&quot;Levita&quot;,&quot;given&quot;:&quot;Liat&quot;,&quot;parse-names&quot;:false,&quot;dropping-particle&quot;:&quot;&quot;,&quot;non-dropping-particle&quot;:&quot;&quot;}],&quot;container-title&quot;:&quot;Cognitive Neuropsychiatry&quot;,&quot;container-title-short&quot;:&quot;Cogn Neuropsychiatry&quot;,&quot;DOI&quot;:&quot;10.1080/13546805.2020.1865895&quot;,&quot;ISSN&quot;:&quot;1354-6805&quot;,&quot;issued&quot;:{&quot;date-parts&quot;:[[2021]]},&quot;page&quot;:&quot;75-94&quot;,&quot;publisher&quot;:&quot;Informa UK Limited&quot;,&quot;issue&quot;:&quot;2&quot;,&quot;volume&quot;:&quot;26&quot;},&quot;isTemporary&quot;:false},{&quot;id&quot;:&quot;1f2aa913-ef44-3ea3-83ed-15ebe8b76a6e&quot;,&quot;itemData&quot;:{&quot;type&quot;:&quot;article-journal&quot;,&quot;id&quot;:&quot;1f2aa913-ef44-3ea3-83ed-15ebe8b76a6e&quot;,&quot;title&quot;:&quot;Psychological and psychiatric aspects of psychogenic non-epileptic seizures (PNES): A systematic review&quot;,&quot;author&quot;:[{&quot;family&quot;:&quot;Brown&quot;,&quot;given&quot;:&quot;Richard J&quot;,&quot;parse-names&quot;:false,&quot;dropping-particle&quot;:&quot;&quot;,&quot;non-dropping-particle&quot;:&quot;&quot;},{&quot;family&quot;:&quot;Reuber&quot;,&quot;given&quot;:&quot;Markus&quot;,&quot;parse-names&quot;:false,&quot;dropping-particle&quot;:&quot;&quot;,&quot;non-dropping-particle&quot;:&quot;&quot;}],&quot;container-title&quot;:&quot;Clinical psychology review&quot;,&quot;container-title-short&quot;:&quot;Clin Psychol Rev&quot;,&quot;DOI&quot;:&quot;10.1016/j.cpr.2016.01.003&quot;,&quot;ISSN&quot;:&quot;0272-7358&quot;,&quot;URL&quot;:&quot;http://eprints.whiterose.ac.uk/98748/3/CPR%20Systematic%20review%20v13%20%28revised%20version%29%20MR.pdf&quot;,&quot;issued&quot;:{&quot;date-parts&quot;:[[2016]]},&quot;page&quot;:&quot;157-182&quot;,&quot;publisher&quot;:&quot;Elsevier BV&quot;,&quot;volume&quot;:&quot;45&quot;},&quot;isTemporary&quot;:false},{&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id&quot;:&quot;8ba901ff-2377-3db6-8333-5922d82fda19&quot;,&quot;itemData&quot;:{&quot;type&quot;:&quot;article-journal&quot;,&quot;id&quot;:&quot;8ba901ff-2377-3db6-8333-5922d82fda19&quot;,&quot;title&quot;:&quot;Symptom-specific amygdala hyperactivity modulates motor control network in conversion disorder&quot;,&quot;author&quot;:[{&quot;family&quot;:&quot;Hassa&quot;,&quot;given&quot;:&quot;Thomas&quot;,&quot;parse-names&quot;:false,&quot;dropping-particle&quot;:&quot;&quot;,&quot;non-dropping-particle&quot;:&quot;&quot;},{&quot;family&quot;:&quot;Sebastian&quot;,&quot;given&quot;:&quot;Alexandra&quot;,&quot;parse-names&quot;:false,&quot;dropping-particle&quot;:&quot;&quot;,&quot;non-dropping-particle&quot;:&quot;&quot;},{&quot;family&quot;:&quot;Liepert&quot;,&quot;given&quot;:&quot;Joachim&quot;,&quot;parse-names&quot;:false,&quot;dropping-particle&quot;:&quot;&quot;,&quot;non-dropping-particle&quot;:&quot;&quot;},{&quot;family&quot;:&quot;Weiller&quot;,&quot;given&quot;:&quot;Cornelius&quot;,&quot;parse-names&quot;:false,&quot;dropping-particle&quot;:&quot;&quot;,&quot;non-dropping-particle&quot;:&quot;&quot;},{&quot;family&quot;:&quot;Schmidt&quot;,&quot;given&quot;:&quot;Roger&quot;,&quot;parse-names&quot;:false,&quot;dropping-particle&quot;:&quot;&quot;,&quot;non-dropping-particle&quot;:&quot;&quot;},{&quot;family&quot;:&quot;Tüscher&quot;,&quot;given&quot;:&quot;Oliver&quot;,&quot;parse-names&quot;:false,&quot;dropping-particle&quot;:&quot;&quot;,&quot;non-dropping-particle&quot;:&quot;&quot;}],&quot;container-title&quot;:&quot;NeuroImage : Clinical&quot;,&quot;container-title-short&quot;:&quot;Neuroimage Clin&quot;,&quot;accessed&quot;:{&quot;date-parts&quot;:[[2023,4,29]]},&quot;DOI&quot;:&quot;10.1016/J.NICL.2017.04.004&quot;,&quot;ISSN&quot;:&quot;22131582&quot;,&quot;PMID&quot;:&quot;28529870&quot;,&quot;URL&quot;:&quot;/pmc/articles/PMC5429234/&quot;,&quot;issued&quot;:{&quot;date-parts&quot;:[[2017]]},&quot;page&quot;:&quot;143&quot;,&quot;abstract&quot;:&quot;Initial historical accounts as well as recent data suggest that emotion processing is dysfunctional in conversion disorder patients and that this alteration may be the pathomechanistic neurocognitive basis for symptoms in conversion disorder. However, to date evidence of direct interaction of altered negative emotion processing with motor control networks in conversion disorder is still lacking. To specifically study the neural correlates of emotion processing interacting with motor networks we used a task combining emotional and sensorimotor stimuli both separately as well as simultaneously during functional magnetic resonance imaging in a well characterized group of 13 conversion disorder patients with functional hemiparesis and 19 demographically matched healthy controls. We performed voxelwise statistical parametrical mapping for a priori regions of interest within emotion processing and motor control networks. Psychophysiological interaction (PPI) was used to test altered functional connectivity of emotion and motor control networks. Only during simultaneous emotional stimulation and passive movement of the affected hand patients displayed left amygdala hyperactivity. PPI revealed increased functional connectivity in patients between the left amygdala and the (pre-)supplemental motor area and the subthalamic nucleus, key regions within the motor control network. These findings suggest a novel mechanistic direct link between dysregulated emotion processing and motor control circuitry in conversion disorder.&quot;,&quot;publisher&quot;:&quot;Elsevier&quot;,&quot;volume&quot;:&quot;15&quot;},&quot;isTemporary&quot;:false}],&quot;citationTag&quot;:&quot;MENDELEY_CITATION_v3_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&quot;},{&quot;citationID&quot;:&quot;MENDELEY_CITATION_72b2b863-a4af-4cc1-9cd0-56280840115a&quot;,&quot;properties&quot;:{&quot;noteIndex&quot;:0},&quot;isEdited&quot;:false,&quot;manualOverride&quot;:{&quot;isManuallyOverridden&quot;:true,&quot;citeprocText&quot;:&quot;(Espay, Maloney, et al., 2018; Sojka et al., 2018, 2019; Szaflarski et al., 2018)&quot;,&quot;manualOverrideText&quot;:&quot;(Espay, Maloney et al., 2018; Sojka et al., 2018, 2019; Szaflarski et al., 2018)&quot;},&quot;citationItems&quot;:[{&quot;id&quot;:&quot;378e4c0d-f792-3032-a3c6-6d9b80e2f1c5&quot;,&quot;itemData&quot;:{&quot;type&quot;:&quot;article-journal&quot;,&quot;id&quot;:&quot;378e4c0d-f792-3032-a3c6-6d9b80e2f1c5&quot;,&quot;title&quot;:&quot;Processing of Emotion in Functional Neurological Disorder&quot;,&quot;author&quot;:[{&quot;family&quot;:&quot;Sojka&quot;,&quot;given&quot;:&quot;Petr&quot;,&quot;parse-names&quot;:false,&quot;dropping-particle&quot;:&quot;&quot;,&quot;non-dropping-particle&quot;:&quot;&quot;},{&quot;family&quot;:&quot;Bareš&quot;,&quot;given&quot;:&quot;Martin&quot;,&quot;parse-names&quot;:false,&quot;dropping-particle&quot;:&quot;&quot;,&quot;non-dropping-particle&quot;:&quot;&quot;},{&quot;family&quot;:&quot;Kašpárek&quot;,&quot;given&quot;:&quot;Tomáš&quot;,&quot;parse-names&quot;:false,&quot;dropping-particle&quot;:&quot;&quot;,&quot;non-dropping-particle&quot;:&quot;&quot;},{&quot;family&quot;:&quot;Světlák&quot;,&quot;given&quot;:&quot;Miroslav&quot;,&quot;parse-names&quot;:false,&quot;dropping-particle&quot;:&quot;&quot;,&quot;non-dropping-particle&quot;:&quot;&quot;}],&quot;container-title&quot;:&quot;Frontiers in psychiatry&quot;,&quot;container-title-short&quot;:&quot;Front Psychiatry&quot;,&quot;DOI&quot;:&quot;10.3389/fpsyt.2018.00479&quot;,&quot;ISSN&quot;:&quot;1664-0640&quot;,&quot;PMID&quot;:&quot;30344497&quot;,&quot;URL&quot;:&quot;https://pubmed.ncbi.nlm.nih.gov/30344497&quot;,&quot;issued&quot;:{&quot;date-parts&quot;:[[2018]]},&quot;page&quot;:&quot;479&quot;,&quot;language&quot;:&quot;eng&quot;,&quot;abstract&quot;:&quot;Emotions have traditionally been considered crucial in the development of functional neurological disorder, but the evidence underpinning this association is not clear. We aimed to summarize evidence for association between functional neurological disorder and emotions as formulated by Breuer and Freud in their conception of hysterical conversion. Based on a systematic literature search, we identified 34 controlled studies and categorized them into four groups: (i) autonomic arousal, (ii) emotion-motion interactions, (iii) social modulation of symptoms, and (iv) bodily awareness in FND. We found evidence for autonomic dysregulation in FND; convergent neuroimaging findings implicate abnormal limbic-motor interactions in response to emotional stimuli in FND. Our results do not provide enough empirical evidence for social modulation of the symptoms, but there is a clinical support for the role of suggestion and placebo in FND. Our results provide evidence for abnormal bodily awareness in FND. Based on these findings, we propose that functional neurological symptoms are forms of emotional reactions shaped into symptoms by previous experience with illness and possibly reinforced by actual social contexts. Additional research should investigate the effect of social context on the intensity of functional neurological symptoms and associated brain regions.&quot;,&quot;publisher&quot;:&quot;Frontiers Media S.A.&quot;,&quot;volume&quot;:&quot;9&quot;},&quot;isTemporary&quot;:false},{&quot;id&quot;:&quot;4cf4ab26-16f8-35e6-80f1-1ca086ce380d&quot;,&quot;itemData&quot;:{&quot;type&quot;:&quot;article-journal&quot;,&quot;id&quot;:&quot;4cf4ab26-16f8-35e6-80f1-1ca086ce380d&quot;,&quot;title&quot;:&quot;Processing of Emotions in Functional Movement Disorder: An Exploratory fMRI Study&quot;,&quot;author&quot;:[{&quot;family&quot;:&quot;Sojka&quot;,&quot;given&quot;:&quot;Petr&quot;,&quot;parse-names&quot;:false,&quot;dropping-particle&quot;:&quot;&quot;,&quot;non-dropping-particle&quot;:&quot;&quot;},{&quot;family&quot;:&quot;Lošák&quot;,&quot;given&quot;:&quot;Jan&quot;,&quot;parse-names&quot;:false,&quot;dropping-particle&quot;:&quot;&quot;,&quot;non-dropping-particle&quot;:&quot;&quot;},{&quot;family&quot;:&quot;Lamoš&quot;,&quot;given&quot;:&quot;Martin&quot;,&quot;parse-names&quot;:false,&quot;dropping-particle&quot;:&quot;&quot;,&quot;non-dropping-particle&quot;:&quot;&quot;},{&quot;family&quot;:&quot;Bareš&quot;,&quot;given&quot;:&quot;Martin&quot;,&quot;parse-names&quot;:false,&quot;dropping-particle&quot;:&quot;&quot;,&quot;non-dropping-particle&quot;:&quot;&quot;},{&quot;family&quot;:&quot;Kašpárek&quot;,&quot;given&quot;:&quot;Tomáš&quot;,&quot;parse-names&quot;:false,&quot;dropping-particle&quot;:&quot;&quot;,&quot;non-dropping-particle&quot;:&quot;&quot;},{&quot;family&quot;:&quot;Brázdil&quot;,&quot;given&quot;:&quot;M&quot;,&quot;parse-names&quot;:false,&quot;dropping-particle&quot;:&quot;&quot;,&quot;non-dropping-particle&quot;:&quot;&quot;},{&quot;family&quot;:&quot;Baláž&quot;,&quot;given&quot;:&quot;M&quot;,&quot;parse-names&quot;:false,&quot;dropping-particle&quot;:&quot;&quot;,&quot;non-dropping-particle&quot;:&quot;&quot;},{&quot;family&quot;:&quot;Světlák&quot;,&quot;given&quot;:&quot;Miroslav&quot;,&quot;parse-names&quot;:false,&quot;dropping-particle&quot;:&quot;&quot;,&quot;non-dropping-particle&quot;:&quot;&quot;},{&quot;family&quot;:&quot;Kočvarová&quot;,&quot;given&quot;:&quot;J&quot;,&quot;parse-names&quot;:false,&quot;dropping-particle&quot;:&quot;&quot;,&quot;non-dropping-particle&quot;:&quot;&quot;},{&quot;family&quot;:&quot;Fialová&quot;,&quot;given&quot;:&quot;J&quot;,&quot;parse-names&quot;:false,&quot;dropping-particle&quot;:&quot;&quot;,&quot;non-dropping-particle&quot;:&quot;&quot;}],&quot;container-title&quot;:&quot;Frontiers in Neurology&quot;,&quot;container-title-short&quot;:&quot;Front Neurol&quot;,&quot;DOI&quot;:&quot;10.3389/fneur.2019.00861&quot;,&quot;ISSN&quot;:&quot;1664-2295&quot;,&quot;URL&quot;:&quot;https://www.frontiersin.org/articles/10.3389/fneur.2019.00861/pdf&quot;,&quot;issued&quot;:{&quot;date-parts&quot;:[[2019]]},&quot;publisher&quot;:&quot;Frontiers Media SA&quot;,&quot;volume&quot;:&quot;10&quot;},&quot;isTemporary&quot;:false},{&quot;id&quot;:&quot;edcc3986-2c21-323e-854b-dff0907b5a53&quot;,&quot;itemData&quot;:{&quot;type&quot;:&quot;article-journal&quot;,&quot;id&quot;:&quot;edcc3986-2c21-323e-854b-dff0907b5a53&quot;,&quot;title&quot;:&quot;Facial emotion processing in patients with seizure disorders&quot;,&quot;author&quot;:[{&quot;family&quot;:&quot;Szaflarski&quot;,&quot;given&quot;:&quot;J P&quot;,&quot;parse-names&quot;:false,&quot;dropping-particle&quot;:&quot;&quot;,&quot;non-dropping-particle&quot;:&quot;&quot;},{&quot;family&quot;:&quot;Allendorfer&quot;,&quot;given&quot;:&quot;J B&quot;,&quot;parse-names&quot;:false,&quot;dropping-particle&quot;:&quot;&quot;,&quot;non-dropping-particle&quot;:&quot;&quot;},{&quot;family&quot;:&quot;Nenert&quot;,&quot;given&quot;:&quot;R&quot;,&quot;parse-names&quot;:false,&quot;dropping-particle&quot;:&quot;&quot;,&quot;non-dropping-particle&quot;:&quot;&quot;},{&quot;family&quot;:&quot;LaFrance Jr.&quot;,&quot;given&quot;:&quot;W C&quot;,&quot;parse-names&quot;:false,&quot;dropping-particle&quot;:&quot;&quot;,&quot;non-dropping-particle&quot;:&quot;&quot;},{&quot;family&quot;:&quot;Barkan&quot;,&quot;given&quot;:&quot;H I&quot;,&quot;parse-names&quot;:false,&quot;dropping-particle&quot;:&quot;&quot;,&quot;non-dropping-particle&quot;:&quot;&quot;},{&quot;family&quot;:&quot;DeWolfe&quot;,&quot;given&quot;:&quot;J&quot;,&quot;parse-names&quot;:false,&quot;dropping-particle&quot;:&quot;&quot;,&quot;non-dropping-particle&quot;:&quot;&quot;},{&quot;family&quot;:&quot;Pati&quot;,&quot;given&quot;:&quot;S&quot;,&quot;parse-names&quot;:false,&quot;dropping-particle&quot;:&quot;&quot;,&quot;non-dropping-particle&quot;:&quot;&quot;},{&quot;family&quot;:&quot;Thomas&quot;,&quot;given&quot;:&quot;A E&quot;,&quot;parse-names&quot;:false,&quot;dropping-particle&quot;:&quot;&quot;,&quot;non-dropping-particle&quot;:&quot;&quot;},{&quot;family&quot;:&quot;Hoef&quot;,&quot;given&quot;:&quot;L&quot;,&quot;parse-names&quot;:false,&quot;dropping-particle&quot;:&quot;&quot;,&quot;non-dropping-particle&quot;:&quot;Ver&quot;}],&quot;container-title&quot;:&quot;Epilepsy Behav&quot;,&quot;DOI&quot;:&quot;10.1016/j.yebeh.2017.12.004&quot;,&quot;ISSN&quot;:&quot;1525-5050&quot;,&quot;PMID&quot;:&quot;29309953&quot;,&quot;issued&quot;:{&quot;date-parts&quot;:[[2018]]},&quot;page&quot;:&quot;193-204&quot;,&quot;language&quot;:&quot;eng&quot;,&quot;abstract&quot;:&quot;Studies of emotion processing are needed to better understand the pathophysiology of psychogenic nonepileptic seizures (PNES). We examined the differences in facial emotion processing between 12 patients with PNES, 12 patients with temporal lobe epilepsy (TLE), and 24 matched healthy controls (HCs) using fMRI with emotional faces task (EFT) (happy/sad/fearful/neutral) and resting state connectivity. Compared with TLE, patients with PNES exhibited increased fMRI response to happy, neutral, and fearful faces in visual, temporal, and/or parietal regions and decreased fMRI response to sad faces in the putamen bilaterally. Regions showing significant differences between PNES and TLE were used as functional seed regions of interest (ROIs), in addition to amygdala structural seed ROIs for resting state functional connectivity analyses. Whole brain analyses showed that compared with TLE and HCs, patients with PNES exhibited increased functional connectivity of the functional seed ROIs to several brain regions, particularly to cerebellar, visual, motor, and frontotemporal regions. Connectograms showed increased functional connections between left parahippocampal gyrus/uncus ROIs and right temporal ROIs in PNES compared with both the TLE and HC groups. Resting state functional connectivity of the left and right amygdala to various brain regions including emotion regulation and motor control circuits was increased in PNES when compared with those with TLE. This study provides preliminary evidence that patients with PNES exhibit altered facial emotion processing compared with patients with TLE and HCs and increased amygdala functional connectivity compared with TLE. These findings identify potential key differences in facial emotion processing reflective of neurophysiologic markers of neural circuitry alterations that can be used to generate further hypotheses for developing studies that examine the contributions of emotion processing to the development and maintenance of PNES.&quot;,&quot;edition&quot;:&quot;2018/01/09&quot;,&quot;volume&quot;:&quot;79&quot;,&quot;container-title-short&quot;:&quot;&quot;},&quot;isTemporary&quot;:false},{&quot;id&quot;:&quot;7affd50b-4a93-3f07-b167-fadeec08810d&quot;,&quot;itemData&quot;:{&quot;type&quot;:&quot;article-journal&quot;,&quot;id&quot;:&quot;7affd50b-4a93-3f07-b167-fadeec08810d&quot;,&quot;title&quot;:&quot;Dysfunction in emotion processing underlies functional (psychogenic) dystonia&quot;,&quot;author&quot;:[{&quot;family&quot;:&quot;Espay&quot;,&quot;given&quot;:&quot;Alberto J.&quot;,&quot;parse-names&quot;:false,&quot;dropping-particle&quot;:&quot;&quot;,&quot;non-dropping-particle&quot;:&quot;&quot;},{&quot;family&quot;:&quot;Maloney&quot;,&quot;given&quot;:&quot;Thomas&quot;,&quot;parse-names&quot;:false,&quot;dropping-particle&quot;:&quot;&quot;,&quot;non-dropping-particle&quot;:&quot;&quot;},{&quot;family&quot;:&quot;Vannest&quot;,&quot;given&quot;:&quot;Jennifer&quot;,&quot;parse-names&quot;:false,&quot;dropping-particle&quot;:&quot;&quot;,&quot;non-dropping-particle&quot;:&quot;&quot;},{&quot;family&quot;:&quot;Norris&quot;,&quot;given&quot;:&quot;Matthew M.&quot;,&quot;parse-names&quot;:false,&quot;dropping-particle&quot;:&quot;&quot;,&quot;non-dropping-particle&quot;:&quot;&quot;},{&quot;family&quot;:&quot;Eliassen&quot;,&quot;given&quot;:&quot;James C.&quot;,&quot;parse-names&quot;:false,&quot;dropping-particle&quot;:&quot;&quot;,&quot;non-dropping-particle&quot;:&quot;&quot;},{&quot;family&quot;:&quot;Neefus&quot;,&quot;given&quot;:&quot;Erin&quot;,&quot;parse-names&quot;:false,&quot;dropping-particle&quot;:&quot;&quot;,&quot;non-dropping-particle&quot;:&quot;&quot;},{&quot;family&quot;:&quot;Allendorfer&quot;,&quot;given&quot;:&quot;Jane B.&quot;,&quot;parse-names&quot;:false,&quot;dropping-particle&quot;:&quot;&quot;,&quot;non-dropping-particle&quot;:&quot;&quot;},{&quot;family&quot;:&quot;Chen&quot;,&quot;given&quot;:&quot;Robert&quot;,&quot;parse-names&quot;:false,&quot;dropping-particle&quot;:&quot;&quot;,&quot;non-dropping-particle&quot;:&quot;&quot;},{&quot;family&quot;:&quot;Szaflarski&quot;,&quot;given&quot;:&quot;Jerzy P.&quot;,&quot;parse-names&quot;:false,&quot;dropping-particle&quot;:&quot;&quot;,&quot;non-dropping-particle&quot;:&quot;&quot;}],&quot;container-title&quot;:&quot;Movement disorders : official journal of the Movement Disorder Society&quot;,&quot;container-title-short&quot;:&quot;Mov Disord&quot;,&quot;accessed&quot;:{&quot;date-parts&quot;:[[2023,4,29]]},&quot;DOI&quot;:&quot;10.1002/MDS.27217&quot;,&quot;ISSN&quot;:&quot;15318257&quot;,&quot;PMID&quot;:&quot;29124784&quot;,&quot;URL&quot;:&quot;/pmc/articles/PMC5767134/&quot;,&quot;issued&quot;:{&quot;date-parts&quot;:[[2018,1,1]]},&quot;page&quot;:&quot;136&quot;,&quot;abstract&quot;:&quot;Objective: We sought to determine whether abnormalities in emotion processing underlie functional (psychogenic) dystonia, one of the most common functional movement disorders. Methods: Motor and emotion circuits were examined in 12 participants with functional dystonia, 12 with primary organic dystonia, and 25 healthy controls using functional magnetic resonance imaging at 4T and a finger-tapping task (motor task), a basic emotion-recognition task (emotional faces task), and an intense-emotion stimuli task. Results: There were no differences in motor task activation between groups. In the faces task, when compared with the other groups, functional dystonia patients showed areas of decreased activation in the right middle temporal gyrus and bilateral precuneus and increased activation in the right inferior frontal gyrus, bilateral occipital cortex and fusiform gyrus, and bilateral cerebellum. In the intense-emotion task, when compared with the other groups, functional dystonia patients showed decreased activation in the left insular and left motor cortices (compared to organic dystonia, they showed an additional decrease in activation in the right opercular cortex and right motor cortex) and increased activation in the left fusiform gyrus. Conclusions: Functional dystonia patients exhibited stimulus-dependent altered activation in networks involved in motor preparation and execution, spatial cognition, and attentional control. These results support the presence of network dysfunction in functional dystonia. © 2017 International Parkinson and Movement Disorder Society.&quot;,&quot;publisher&quot;:&quot;NIH Public Access&quot;,&quot;issue&quot;:&quot;1&quot;,&quot;volume&quot;:&quot;33&quot;},&quot;isTemporary&quot;:false}],&quot;citationTag&quot;:&quot;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&quot;},{&quot;citationID&quot;:&quot;MENDELEY_CITATION_c790ffbf-bb73-443a-b27d-ada60289adc6&quot;,&quot;properties&quot;:{&quot;noteIndex&quot;:0},&quot;isEdited&quot;:false,&quot;manualOverride&quot;:{&quot;isManuallyOverridden&quot;:false,&quot;citeprocText&quot;:&quot;(Aybek et al., 2015; Diez et al., 2019; Perez et al., 2018)&quot;,&quot;manualOverrideText&quot;:&quot;&quot;},&quot;citationItems&quot;:[{&quot;id&quot;:&quot;8203da8e-7703-3acc-bd6e-5a1637213b34&quot;,&quot;itemData&quot;:{&quot;type&quot;:&quot;article-journal&quot;,&quot;id&quot;:&quot;8203da8e-7703-3acc-bd6e-5a1637213b34&quot;,&quot;title&quot;:&quot;Emotion-motion interactions in conversion disorder: an FMRI study&quot;,&quot;author&quot;:[{&quot;family&quot;:&quot;Aybek&quot;,&quot;given&quot;:&quot;Selma&quot;,&quot;parse-names&quot;:false,&quot;dropping-particle&quot;:&quot;&quot;,&quot;non-dropping-particle&quot;:&quot;&quot;},{&quot;family&quot;:&quot;Nicholson&quot;,&quot;given&quot;:&quot;Timothy R&quot;,&quot;parse-names&quot;:false,&quot;dropping-particle&quot;:&quot;&quot;,&quot;non-dropping-particle&quot;:&quot;&quot;},{&quot;family&quot;:&quot;O'Daly&quot;,&quot;given&quot;:&quot;Owen&quot;,&quot;parse-names&quot;:false,&quot;dropping-particle&quot;:&quot;&quot;,&quot;non-dropping-particle&quot;:&quot;&quot;},{&quot;family&quot;:&quot;Zelaya&quot;,&quot;given&quot;:&quot;Fernando&quot;,&quot;parse-names&quot;:false,&quot;dropping-particle&quot;:&quot;&quot;,&quot;non-dropping-particle&quot;:&quot;&quot;},{&quot;family&quot;:&quot;Kanaan&quot;,&quot;given&quot;:&quot;Richard A&quot;,&quot;parse-names&quot;:false,&quot;dropping-particle&quot;:&quot;&quot;,&quot;non-dropping-particle&quot;:&quot;&quot;},{&quot;family&quot;:&quot;David&quot;,&quot;given&quot;:&quot;Anthony S&quot;,&quot;parse-names&quot;:false,&quot;dropping-particle&quot;:&quot;&quot;,&quot;non-dropping-particle&quot;:&quot;&quot;}],&quot;container-title&quot;:&quot;PloS one&quot;,&quot;container-title-short&quot;:&quot;PLoS One&quot;,&quot;DOI&quot;:&quot;10.1371/journal.pone.0123273&quot;,&quot;ISSN&quot;:&quot;1932-6203&quot;,&quot;PMID&quot;:&quot;25859660&quot;,&quot;URL&quot;:&quot;https://pubmed.ncbi.nlm.nih.gov/25859660&quot;,&quot;issued&quot;:{&quot;date-parts&quot;:[[2015]]},&quot;page&quot;:&quot;e0123273-e0123273&quot;,&quot;language&quot;:&quot;eng&quot;,&quot;abstract&quot;:&quot;OBJECTIVES: To evaluate the neural correlates of implicit processing of negative emotions in motor conversion disorder (CD) patients. METHODS: An event related fMRI task was completed by 12 motor CD patients and 14 matched healthy controls using standardised stimuli of faces with fearful and sad emotional expressions in comparison to faces with neutral expressions. Temporal changes in the sensitivity to stimuli were also modelled and tested in the two groups. RESULTS: We found increased amygdala activation to negative emotions in CD compared to healthy controls in region of interest analyses, which persisted over time consistent with previous findings using emotional paradigms. Furthermore during whole brain analyses we found significantly increased activation in CD patients in areas involved in the 'freeze response' to fear (periaqueductal grey matter), and areas involved in self-awareness and motor control (cingulate gyrus and supplementary motor area). CONCLUSIONS: In contrast to healthy controls, CD patients exhibited increased response amplitude to fearful stimuli over time, suggesting abnormal emotional regulation (failure of habituation / sensitization). Patients with CD also activated midbrain and frontal structures that could reflect an abnormal behavioral-motor response to negative including threatening stimuli. This suggests a mechanism linking emotions to motor dysfunction in CD.&quot;,&quot;publisher&quot;:&quot;Public Library of Science&quot;,&quot;issue&quot;:&quot;4&quot;,&quot;volume&quot;:&quot;10&quot;},&quot;isTemporary&quot;:false},{&quot;id&quot;:&quot;4840780f-9bb4-39db-a51c-b43187e2c0d4&quot;,&quot;itemData&quot;:{&quot;type&quot;:&quot;article-journal&quot;,&quot;id&quot;:&quot;4840780f-9bb4-39db-a51c-b43187e2c0d4&quot;,&quot;title&quot;:&quot;Cortical thickness alterations linked to somatoform and psychological dissociation in functional neurological disorders&quot;,&quot;author&quot;:[{&quot;family&quot;:&quot;Perez&quot;,&quot;given&quot;:&quot;David L&quot;,&quot;parse-names&quot;:false,&quot;dropping-particle&quot;:&quot;&quot;,&quot;non-dropping-particle&quot;:&quot;&quot;},{&quot;family&quot;:&quot;Matin&quot;,&quot;given&quot;:&quot;Nassim&quot;,&quot;parse-names&quot;:false,&quot;dropping-particle&quot;:&quot;&quot;,&quot;non-dropping-particle&quot;:&quot;&quot;},{&quot;family&quot;:&quot;Williams&quot;,&quot;given&quot;:&quot;Benjamin&quot;,&quot;parse-names&quot;:false,&quot;dropping-particle&quot;:&quot;&quot;,&quot;non-dropping-particle&quot;:&quot;&quot;},{&quot;family&quot;:&quot;Tanev&quot;,&quot;given&quot;:&quot;Kaloyan&quot;,&quot;parse-names&quot;:false,&quot;dropping-particle&quot;:&quot;&quot;,&quot;non-dropping-particle&quot;:&quot;&quot;},{&quot;family&quot;:&quot;Makris&quot;,&quot;given&quot;:&quot;Nikos&quot;,&quot;parse-names&quot;:false,&quot;dropping-particle&quot;:&quot;&quot;,&quot;non-dropping-particle&quot;:&quot;&quot;},{&quot;family&quot;:&quot;LaFrance Jr.&quot;,&quot;given&quot;:&quot;W Curt&quot;,&quot;parse-names&quot;:false,&quot;dropping-particle&quot;:&quot;&quot;,&quot;non-dropping-particle&quot;:&quot;&quot;},{&quot;family&quot;:&quot;Dickerson&quot;,&quot;given&quot;:&quot;Bradford C&quot;,&quot;parse-names&quot;:false,&quot;dropping-particle&quot;:&quot;&quot;,&quot;non-dropping-particle&quot;:&quot;&quot;}],&quot;container-title&quot;:&quot;Human brain mapping&quot;,&quot;container-title-short&quot;:&quot;Hum Brain Mapp&quot;,&quot;DOI&quot;:&quot;10.1002/hbm.23853&quot;,&quot;ISSN&quot;:&quot;1097-0193\r1065-9471&quot;,&quot;PMID&quot;:&quot;29080235&quot;,&quot;URL&quot;:&quot;https://pubmed.ncbi.nlm.nih.gov/29080235&quot;,&quot;issued&quot;:{&quot;date-parts&quot;:[[2018]]},&quot;page&quot;:&quot;428-439&quot;,&quot;language&quot;:&quot;eng&quot;,&quot;abstract&quot;:&quot;BACKGROUND: Links between dissociation and functional neurological disorder (FND)/conversion disorder are well-established, yet the pathophysiology of dissociation remains poorly understood. This MRI study investigated structural alterations associated with somatoform and psychological dissociation in FND. We hypothesized that multimodal, paralimbic cingulo-insular regions would relate to the severity of somatoform dissociation in patients with FND. METHODS: FreeSurfer cortical thickness and subcortical volumetric analyses were performed in 26 patients with motor FND and 27 matched healthy controls. Patients with high dissociation as measured by the Somatoform Dissociation Questionnaire-20 (SDQ) or Dissociative Experiences Scale (DES) were compared to controls in stratified analyses. Within-group analyses were also performed with SDQ and DES scores in patients with FND. All cortical thickness analyses were whole-brain corrected at the cluster-wise level. RESULTS: Patients with FND and high somatoform dissociation (SDQ &gt; 35) showed reduced left caudal anterior cingulate cortex (ACC) cortical thickness compared to controls. In within-group analyses, SDQ scores inversely correlated with left caudal ACC cortical thickness in patients with FND. Depersonalization/derealization scores positively correlated with right lateral occipital cortical thickness. Both within-group findings remained statistically significant controlling for trait anxiety/depression, borderline personality disorder and post-traumatic stress disorder, adverse life events, and motor FND subtypes in post-hoc analyses. CONCLUSION: Using complementary between-group and within-group analyses, an inverse association between somatoform dissociation and left caudal ACC cortical thickness was observed in patients with FND. A positive relationship was also appreciated between depersonalization/derealization severity and cortical thickness in visual association areas. These findings advance our neuropathobiological understanding of dissociation in FND. Hum Brain Mapp 39:428-439, 2018. © 2017 Wiley Periodicals, Inc.&quot;,&quot;edition&quot;:&quot;2017/10/28&quot;,&quot;issue&quot;:&quot;1&quot;,&quot;volume&quot;:&quot;39&quot;},&quot;isTemporary&quot;:false},{&quot;id&quot;:&quot;b72754a3-3902-3c72-852d-811c55bfed77&quot;,&quot;itemData&quot;:{&quot;type&quot;:&quot;article-journal&quot;,&quot;id&quot;:&quot;b72754a3-3902-3c72-852d-811c55bfed77&quot;,&quot;title&quot;:&quot;Corticolimbic fast-tracking: enhanced multimodal integration in functional neurological disorder&quot;,&quot;author&quot;:[{&quot;family&quot;:&quot;Diez&quot;,&quot;given&quot;:&quot;Ibai&quot;,&quot;parse-names&quot;:false,&quot;dropping-particle&quot;:&quot;&quot;,&quot;non-dropping-particle&quot;:&quot;&quot;},{&quot;family&quot;:&quot;Ortiz-Terán&quot;,&quot;given&quot;:&quot;Laura&quot;,&quot;parse-names&quot;:false,&quot;dropping-particle&quot;:&quot;&quot;,&quot;non-dropping-particle&quot;:&quot;&quot;},{&quot;family&quot;:&quot;Williams&quot;,&quot;given&quot;:&quot;Benjamin&quot;,&quot;parse-names&quot;:false,&quot;dropping-particle&quot;:&quot;&quot;,&quot;non-dropping-particle&quot;:&quot;&quot;},{&quot;family&quot;:&quot;Jalilianhasanpour&quot;,&quot;given&quot;:&quot;Rozita&quot;,&quot;parse-names&quot;:false,&quot;dropping-particle&quot;:&quot;&quot;,&quot;non-dropping-particle&quot;:&quot;&quot;},{&quot;family&quot;:&quot;Ospina&quot;,&quot;given&quot;:&quot;Juan Pablo&quot;,&quot;parse-names&quot;:false,&quot;dropping-particle&quot;:&quot;&quot;,&quot;non-dropping-particle&quot;:&quot;&quot;},{&quot;family&quot;:&quot;Dickerson&quot;,&quot;given&quot;:&quot;Bradford C&quot;,&quot;parse-names&quot;:false,&quot;dropping-particle&quot;:&quot;&quot;,&quot;non-dropping-particle&quot;:&quot;&quot;},{&quot;family&quot;:&quot;Keshavan&quot;,&quot;given&quot;:&quot;Matcheri S&quot;,&quot;parse-names&quot;:false,&quot;dropping-particle&quot;:&quot;&quot;,&quot;non-dropping-particle&quot;:&quot;&quot;},{&quot;family&quot;:&quot;LaFrance Jr&quot;,&quot;given&quot;:&quot;W Curt&quot;,&quot;parse-names&quot;:false,&quot;dropping-particle&quot;:&quot;&quot;,&quot;non-dropping-particle&quot;:&quot;&quot;},{&quot;family&quot;:&quot;Sepulcre&quot;,&quot;given&quot;:&quot;Jorge&quot;,&quot;parse-names&quot;:false,&quot;dropping-particle&quot;:&quot;&quot;,&quot;non-dropping-particle&quot;:&quot;&quot;},{&quot;family&quot;:&quot;Perez&quot;,&quot;given&quot;:&quot;David L&quot;,&quot;parse-names&quot;:false,&quot;dropping-particle&quot;:&quot;&quot;,&quot;non-dropping-particle&quot;:&quot;&quot;}],&quot;container-title&quot;:&quot;Journal of Neurology, Neurosurgery &amp;amp;amp; Psychiatry&quot;,&quot;DOI&quot;:&quot;10.1136/jnnp-2018-319657&quot;,&quot;URL&quot;:&quot;http://jnnp.bmj.com/content/90/8/929.abstract&quot;,&quot;issued&quot;:{&quot;date-parts&quot;:[[2019]]},&quot;page&quot;:&quot;929&quot;,&quot;abstract&quot;:&quot;Objective Some individuals with functional neurological disorder (FND) exhibit motor and affective disturbances, along with limbic hyper-reactivity and enhanced motor-limbic connectivity. Given that the multimodal integration network (insula, dorsal cingulate, temporoparietal junction (TPJ)) is implicated in convergent sensorimotor, affective and interoceptive processing, we hypothesised that patients with FND would exhibit altered motor and amygdalar resting-state propagation to this network. Patient-reported symptom severity and clinical outcome were also hypothesised to map onto multimodal integration areas.Methods Between-group differences in primary motor and amygdalar nuclei (laterobasal, centromedial) were examined using graph-theory stepwise functional connectivity (SFC) in 30 patients with motor FND compared with 30 healthy controls. Within-group analyses correlated functional propagation profiles with symptom severity and prospectively collected 6-month outcomes as measured by the Screening for Somatoform Symptoms Conversion Disorder subscale and Patient Health Questionnaire-15 composite score. Findings were clusterwise corrected for multiple comparisons.Results Compared with controls, patients with FND exhibited increased SFC from motor regions to the bilateral posterior insula, TPJ, middle cingulate cortex and putamen. From the right laterobasal amygdala, the FND cohort showed enhanced connectivity to the left anterior insula, periaqueductal grey and hypothalamus among other areas. In within-group analyses, symptom severity correlated with enhanced SFC from the left anterior insula to the right anterior insula and TPJ; increased SFC from the left centromedial amygdala to the right anterior insula correlated with clinical improvement. Within-group associations held controlling for depression, anxiety and antidepressant use.Conclusions These neuroimaging findings suggest potential candidate neurocircuit pathways in the pathophysiology of FND.&quot;,&quot;issue&quot;:&quot;8&quot;,&quot;volume&quot;:&quot;90&quot;,&quot;container-title-short&quot;:&quot;&quot;},&quot;isTemporary&quot;:false}],&quot;citationTag&quot;:&quot;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&quot;},{&quot;citationID&quot;:&quot;MENDELEY_CITATION_f0eb5f27-f575-474b-b8c1-cf623e359408&quot;,&quot;properties&quot;:{&quot;noteIndex&quot;:0},&quot;isEdited&quot;:false,&quot;manualOverride&quot;:{&quot;isManuallyOverridden&quot;:true,&quot;citeprocText&quot;:&quot;(Ospina, Jalilianhasanpour, et al., 2019; Ospina, Larson, et al., 2019; Perez et al., 2017, 2018; B. Williams et al., 2018)&quot;,&quot;manualOverrideText&quot;:&quot;(Ospina, Jalilianhasanpour et al., 2019; Ospina, Larson, et al., 2019; Perez et al., 2017, 2018; B. Williams et al., 2018)&quot;},&quot;citationItems&quot;:[{&quot;id&quot;:&quot;659ff376-10fc-3c8a-96b6-a700461a2cbe&quot;,&quot;itemData&quot;:{&quot;type&quot;:&quot;article-journal&quot;,&quot;id&quot;:&quot;659ff376-10fc-3c8a-96b6-a700461a2cbe&quot;,&quot;title&quot;:&quot;Cingulo-insular structural alterations associated with psychogenic symptoms, childhood abuse and PTSD in functional neurological disorders&quot;,&quot;author&quot;:[{&quot;family&quot;:&quot;Perez&quot;,&quot;given&quot;:&quot;D L&quot;,&quot;parse-names&quot;:false,&quot;dropping-particle&quot;:&quot;&quot;,&quot;non-dropping-particle&quot;:&quot;&quot;},{&quot;family&quot;:&quot;Matin&quot;,&quot;given&quot;:&quot;N&quot;,&quot;parse-names&quot;:false,&quot;dropping-particle&quot;:&quot;&quot;,&quot;non-dropping-particle&quot;:&quot;&quot;},{&quot;family&quot;:&quot;Barsky&quot;,&quot;given&quot;:&quot;A&quot;,&quot;parse-names&quot;:false,&quot;dropping-particle&quot;:&quot;&quot;,&quot;non-dropping-particle&quot;:&quot;&quot;},{&quot;family&quot;:&quot;Costumero-Ramos&quot;,&quot;given&quot;:&quot;V&quot;,&quot;parse-names&quot;:false,&quot;dropping-particle&quot;:&quot;&quot;,&quot;non-dropping-particle&quot;:&quot;&quot;},{&quot;family&quot;:&quot;Makaretz&quot;,&quot;given&quot;:&quot;S J&quot;,&quot;parse-names&quot;:false,&quot;dropping-particle&quot;:&quot;&quot;,&quot;non-dropping-particle&quot;:&quot;&quot;},{&quot;family&quot;:&quot;Young&quot;,&quot;given&quot;:&quot;S S&quot;,&quot;parse-names&quot;:false,&quot;dropping-particle&quot;:&quot;&quot;,&quot;non-dropping-particle&quot;:&quot;&quot;},{&quot;family&quot;:&quot;Sepulcre&quot;,&quot;given&quot;:&quot;J&quot;,&quot;parse-names&quot;:false,&quot;dropping-particle&quot;:&quot;&quot;,&quot;non-dropping-particle&quot;:&quot;&quot;},{&quot;family&quot;:&quot;LaFrance Jr.&quot;,&quot;given&quot;:&quot;W C&quot;,&quot;parse-names&quot;:false,&quot;dropping-particle&quot;:&quot;&quot;,&quot;non-dropping-particle&quot;:&quot;&quot;},{&quot;family&quot;:&quot;Keshavan&quot;,&quot;given&quot;:&quot;M S&quot;,&quot;parse-names&quot;:false,&quot;dropping-particle&quot;:&quot;&quot;,&quot;non-dropping-particle&quot;:&quot;&quot;},{&quot;family&quot;:&quot;Dickerson&quot;,&quot;given&quot;:&quot;B C&quot;,&quot;parse-names&quot;:false,&quot;dropping-particle&quot;:&quot;&quot;,&quot;non-dropping-particle&quot;:&quot;&quot;}],&quot;container-title&quot;:&quot;J Neurol Neurosurg Psychiatry&quot;,&quot;DOI&quot;:&quot;10.1136/jnnp-2016-314998&quot;,&quot;ISSN&quot;:&quot;0022-3050&quot;,&quot;PMID&quot;:&quot;28416565&quot;,&quot;issued&quot;:{&quot;date-parts&quot;:[[2017]]},&quot;page&quot;:&quot;491-497&quot;,&quot;language&quot;:&quot;eng&quot;,&quot;abstract&quot;:&quot;OBJECTIVE: Adverse early-life events are predisposing factors for functional neurological disorder (FND) and post-traumatic stress disorder (PTSD). Cingulo-insular regions are implicated in the biology of both conditions and are sites of stress-mediated neuroplasticity. We hypothesised that functional neurological symptoms and the magnitude of childhood abuse would be associated with overlapping anterior cingulate cortex (ACC) and insular volumetric reductions, and that FND and PTSD symptoms would map onto distinct cingulo-insular areas. METHODS: This within-group voxel-based morphometry study probes volumetric associations with self-report measures of functional neurological symptoms, adverse life events and PTSD symptoms in 23 mixed-gender FND patients. Separate secondary analyses were also performed in the subset of 18 women with FND to account for gender-specific effects. RESULTS: Across the entire cohort, there were no statistically significant volumetric associations with self-report measures of functional neurological symptom severity or childhood abuse. In women with FND, however, parallel inverse associations were observed between left anterior insular volume and functional neurological symptoms as measured by the Patient Health Questionnaire-15 and the Screening for Somatoform Symptoms Conversion Disorder subscale. Similar inverse relationships were also appreciated between childhood abuse burden and left anterior insular volume. Across all subjects, PTSD symptom severity was inversely associated with dorsal ACC volume, and the magnitude of lifetime adverse events was inversely associated with left hippocampal volume. CONCLUSIONS: This study reveals distinct cingulo-insular alterations for FND and PTSD symptoms and may advance our understanding of FND. Potential biological convergence between stress-related neuroplasticity, functional neurological symptoms and reduced insular volume was identified.&quot;,&quot;edition&quot;:&quot;2017/04/19&quot;,&quot;issue&quot;:&quot;6&quot;,&quot;volume&quot;:&quot;88&quot;,&quot;container-title-short&quot;:&quot;&quot;},&quot;isTemporary&quot;:false},{&quot;id&quot;:&quot;23455e9d-fd76-3e42-9516-ee858f6ec26e&quot;,&quot;itemData&quot;:{&quot;type&quot;:&quot;article-journal&quot;,&quot;id&quot;:&quot;23455e9d-fd76-3e42-9516-ee858f6ec26e&quot;,&quot;title&quot;:&quot;Individual differences in corticolimbic structural profiles linked to insecure attachment and coping styles in motor functional neurological disorders&quot;,&quot;author&quot;:[{&quot;family&quot;:&quot;Williams&quot;,&quot;given&quot;:&quot;B&quot;,&quot;parse-names&quot;:false,&quot;dropping-particle&quot;:&quot;&quot;,&quot;non-dropping-particle&quot;:&quot;&quot;},{&quot;family&quot;:&quot;Jalilianhasanpour&quot;,&quot;given&quot;:&quot;R&quot;,&quot;parse-names&quot;:false,&quot;dropping-particle&quot;:&quot;&quot;,&quot;non-dropping-particle&quot;:&quot;&quot;},{&quot;family&quot;:&quot;Matin&quot;,&quot;given&quot;:&quot;N&quot;,&quot;parse-names&quot;:false,&quot;dropping-particle&quot;:&quot;&quot;,&quot;non-dropping-particle&quot;:&quot;&quot;},{&quot;family&quot;:&quot;Fricchione&quot;,&quot;given&quot;:&quot;G L&quot;,&quot;parse-names&quot;:false,&quot;dropping-particle&quot;:&quot;&quot;,&quot;non-dropping-particle&quot;:&quot;&quot;},{&quot;family&quot;:&quot;Sepulcre&quot;,&quot;given&quot;:&quot;J&quot;,&quot;parse-names&quot;:false,&quot;dropping-particle&quot;:&quot;&quot;,&quot;non-dropping-particle&quot;:&quot;&quot;},{&quot;family&quot;:&quot;Keshavan&quot;,&quot;given&quot;:&quot;M S&quot;,&quot;parse-names&quot;:false,&quot;dropping-particle&quot;:&quot;&quot;,&quot;non-dropping-particle&quot;:&quot;&quot;},{&quot;family&quot;:&quot;LaFrance Jr.&quot;,&quot;given&quot;:&quot;W C&quot;,&quot;parse-names&quot;:false,&quot;dropping-particle&quot;:&quot;&quot;,&quot;non-dropping-particle&quot;:&quot;&quot;},{&quot;family&quot;:&quot;Dickerson&quot;,&quot;given&quot;:&quot;B C&quot;,&quot;parse-names&quot;:false,&quot;dropping-particle&quot;:&quot;&quot;,&quot;non-dropping-particle&quot;:&quot;&quot;},{&quot;family&quot;:&quot;Perez&quot;,&quot;given&quot;:&quot;D L&quot;,&quot;parse-names&quot;:false,&quot;dropping-particle&quot;:&quot;&quot;,&quot;non-dropping-particle&quot;:&quot;&quot;}],&quot;container-title&quot;:&quot;J Psychiatr Res&quot;,&quot;DOI&quot;:&quot;10.1016/j.jpsychires.2018.04.006&quot;,&quot;ISSN&quot;:&quot;0022-3956 (Print)\r0022-3956&quot;,&quot;PMID&quot;:&quot;29702433&quot;,&quot;issued&quot;:{&quot;date-parts&quot;:[[2018]]},&quot;page&quot;:&quot;230-237&quot;,&quot;language&quot;:&quot;eng&quot;,&quot;abstract&quot;:&quot;BACKGROUND: Insecure attachment and maladaptive coping are important predisposing vulnerabilities for Functional Neurological Disorders (FND)/Conversion Disorder, yet no prior structural neuroimaging studies have investigated biomarkers associated with these risk factors in FND populations. This magnetic resonance imaging study examined cortical thickness and subcortical volumes associated with self-reported attachment and coping styles in patients with FND. We hypothesized that insecure attachment and maladaptive coping would relate to limbic-paralimbic structural alterations. METHODS: FreeSurfer cortical thickness and subcortical volumetric analyses were performed in 26 patients with motor FND (21 women; 5 men) and 27 healthy controls (22 women; 5 men). For between-group comparisons, patients with FND were stratified by Relationship Scales Questionnaire, Ways of Coping Scale-Revised, and Connor-Davidson Resilience Scale scores. Within-group analyses were also performed in patients with FND. All analyses were performed in the complete cohort and separately in women only to evaluate for gender-specific effects. Cortical thickness analyses were whole-brain corrected at the cluster-wise level; subcortical analyses were Bonferroni corrected. RESULTS: In women with FND, dismissing attachment correlated with reduced left parahippocampal cortical thickness. Confrontive coping was associated with reduced right hippocampal volume, while accepting responsibility positively correlated with right precentral gyrus cortical thickness. These findings held adjusting for anti-depressant use. All FND-related findings were within the normal range when compared to healthy women. CONCLUSION: These observations connect individual-differences in limbic-paralimbic and premotor structures to attachment and coping styles in FND. The relationship between parahippocampal thickness and dismissing attachment may indicate aberrant social-emotional and contextual appraisal in women with FND.&quot;,&quot;edition&quot;:&quot;2018/04/28&quot;,&quot;volume&quot;:&quot;102&quot;,&quot;container-title-short&quot;:&quot;&quot;},&quot;isTemporary&quot;:false},{&quot;id&quot;:&quot;bd2b434b-2c02-3c2c-b80c-17554582167b&quot;,&quot;itemData&quot;:{&quot;type&quot;:&quot;article-journal&quot;,&quot;id&quot;:&quot;bd2b434b-2c02-3c2c-b80c-17554582167b&quot;,&quot;title&quot;:&quot;Individual differences in social network size linked to nucleus accumbens and hippocampal volumes in functional neurological disorder: A pilot study&quot;,&quot;author&quot;:[{&quot;family&quot;:&quot;Ospina&quot;,&quot;given&quot;:&quot;Juan Pablo&quot;,&quot;parse-names&quot;:false,&quot;dropping-particle&quot;:&quot;&quot;,&quot;non-dropping-particle&quot;:&quot;&quot;},{&quot;family&quot;:&quot;Larson&quot;,&quot;given&quot;:&quot;Anna G&quot;,&quot;parse-names&quot;:false,&quot;dropping-particle&quot;:&quot;&quot;,&quot;non-dropping-particle&quot;:&quot;&quot;},{&quot;family&quot;:&quot;Jalilianhasanpour&quot;,&quot;given&quot;:&quot;Rozita&quot;,&quot;parse-names&quot;:false,&quot;dropping-particle&quot;:&quot;&quot;,&quot;non-dropping-particle&quot;:&quot;&quot;},{&quot;family&quot;:&quot;Williams&quot;,&quot;given&quot;:&quot;Benjamin&quot;,&quot;parse-names&quot;:false,&quot;dropping-particle&quot;:&quot;&quot;,&quot;non-dropping-particle&quot;:&quot;&quot;},{&quot;family&quot;:&quot;Diez&quot;,&quot;given&quot;:&quot;Ibai&quot;,&quot;parse-names&quot;:false,&quot;dropping-particle&quot;:&quot;&quot;,&quot;non-dropping-particle&quot;:&quot;&quot;},{&quot;family&quot;:&quot;Dhand&quot;,&quot;given&quot;:&quot;Amar&quot;,&quot;parse-names&quot;:false,&quot;dropping-particle&quot;:&quot;&quot;,&quot;non-dropping-particle&quot;:&quot;&quot;},{&quot;family&quot;:&quot;Dickerson&quot;,&quot;given&quot;:&quot;Bradford C&quot;,&quot;parse-names&quot;:false,&quot;dropping-particle&quot;:&quot;&quot;,&quot;non-dropping-particle&quot;:&quot;&quot;},{&quot;family&quot;:&quot;Perez&quot;,&quot;given&quot;:&quot;David L&quot;,&quot;parse-names&quot;:false,&quot;dropping-particle&quot;:&quot;&quot;,&quot;non-dropping-particle&quot;:&quot;&quot;}],&quot;container-title&quot;:&quot;Journal of Affective Disorders&quot;,&quot;container-title-short&quot;:&quot;J Affect Disord&quot;,&quot;DOI&quot;:&quot;10.1016/j.jad.2019.07.061&quot;,&quot;ISSN&quot;:&quot;0165-0327&quot;,&quot;issued&quot;:{&quot;date-parts&quot;:[[2019]]},&quot;page&quot;:&quot;50-54&quot;,&quot;publisher&quot;:&quot;Elsevier BV&quot;,&quot;volume&quot;:&quot;258&quot;},&quot;isTemporary&quot;:false},{&quot;id&quot;:&quot;4840780f-9bb4-39db-a51c-b43187e2c0d4&quot;,&quot;itemData&quot;:{&quot;type&quot;:&quot;article-journal&quot;,&quot;id&quot;:&quot;4840780f-9bb4-39db-a51c-b43187e2c0d4&quot;,&quot;title&quot;:&quot;Cortical thickness alterations linked to somatoform and psychological dissociation in functional neurological disorders&quot;,&quot;author&quot;:[{&quot;family&quot;:&quot;Perez&quot;,&quot;given&quot;:&quot;David L&quot;,&quot;parse-names&quot;:false,&quot;dropping-particle&quot;:&quot;&quot;,&quot;non-dropping-particle&quot;:&quot;&quot;},{&quot;family&quot;:&quot;Matin&quot;,&quot;given&quot;:&quot;Nassim&quot;,&quot;parse-names&quot;:false,&quot;dropping-particle&quot;:&quot;&quot;,&quot;non-dropping-particle&quot;:&quot;&quot;},{&quot;family&quot;:&quot;Williams&quot;,&quot;given&quot;:&quot;Benjamin&quot;,&quot;parse-names&quot;:false,&quot;dropping-particle&quot;:&quot;&quot;,&quot;non-dropping-particle&quot;:&quot;&quot;},{&quot;family&quot;:&quot;Tanev&quot;,&quot;given&quot;:&quot;Kaloyan&quot;,&quot;parse-names&quot;:false,&quot;dropping-particle&quot;:&quot;&quot;,&quot;non-dropping-particle&quot;:&quot;&quot;},{&quot;family&quot;:&quot;Makris&quot;,&quot;given&quot;:&quot;Nikos&quot;,&quot;parse-names&quot;:false,&quot;dropping-particle&quot;:&quot;&quot;,&quot;non-dropping-particle&quot;:&quot;&quot;},{&quot;family&quot;:&quot;LaFrance Jr.&quot;,&quot;given&quot;:&quot;W Curt&quot;,&quot;parse-names&quot;:false,&quot;dropping-particle&quot;:&quot;&quot;,&quot;non-dropping-particle&quot;:&quot;&quot;},{&quot;family&quot;:&quot;Dickerson&quot;,&quot;given&quot;:&quot;Bradford C&quot;,&quot;parse-names&quot;:false,&quot;dropping-particle&quot;:&quot;&quot;,&quot;non-dropping-particle&quot;:&quot;&quot;}],&quot;container-title&quot;:&quot;Human brain mapping&quot;,&quot;container-title-short&quot;:&quot;Hum Brain Mapp&quot;,&quot;DOI&quot;:&quot;10.1002/hbm.23853&quot;,&quot;ISSN&quot;:&quot;1097-0193\r1065-9471&quot;,&quot;PMID&quot;:&quot;29080235&quot;,&quot;URL&quot;:&quot;https://pubmed.ncbi.nlm.nih.gov/29080235&quot;,&quot;issued&quot;:{&quot;date-parts&quot;:[[2018]]},&quot;page&quot;:&quot;428-439&quot;,&quot;language&quot;:&quot;eng&quot;,&quot;abstract&quot;:&quot;BACKGROUND: Links between dissociation and functional neurological disorder (FND)/conversion disorder are well-established, yet the pathophysiology of dissociation remains poorly understood. This MRI study investigated structural alterations associated with somatoform and psychological dissociation in FND. We hypothesized that multimodal, paralimbic cingulo-insular regions would relate to the severity of somatoform dissociation in patients with FND. METHODS: FreeSurfer cortical thickness and subcortical volumetric analyses were performed in 26 patients with motor FND and 27 matched healthy controls. Patients with high dissociation as measured by the Somatoform Dissociation Questionnaire-20 (SDQ) or Dissociative Experiences Scale (DES) were compared to controls in stratified analyses. Within-group analyses were also performed with SDQ and DES scores in patients with FND. All cortical thickness analyses were whole-brain corrected at the cluster-wise level. RESULTS: Patients with FND and high somatoform dissociation (SDQ &gt; 35) showed reduced left caudal anterior cingulate cortex (ACC) cortical thickness compared to controls. In within-group analyses, SDQ scores inversely correlated with left caudal ACC cortical thickness in patients with FND. Depersonalization/derealization scores positively correlated with right lateral occipital cortical thickness. Both within-group findings remained statistically significant controlling for trait anxiety/depression, borderline personality disorder and post-traumatic stress disorder, adverse life events, and motor FND subtypes in post-hoc analyses. CONCLUSION: Using complementary between-group and within-group analyses, an inverse association between somatoform dissociation and left caudal ACC cortical thickness was observed in patients with FND. A positive relationship was also appreciated between depersonalization/derealization severity and cortical thickness in visual association areas. These findings advance our neuropathobiological understanding of dissociation in FND. Hum Brain Mapp 39:428-439, 2018. © 2017 Wiley Periodicals, Inc.&quot;,&quot;edition&quot;:&quot;2017/10/28&quot;,&quot;issue&quot;:&quot;1&quot;,&quot;volume&quot;:&quot;39&quot;},&quot;isTemporary&quot;:false},{&quot;id&quot;:&quot;2bdbeee9-03be-3c18-a1e9-b1a8ae5b4986&quot;,&quot;itemData&quot;:{&quot;type&quot;:&quot;article-journal&quot;,&quot;id&quot;:&quot;2bdbeee9-03be-3c18-a1e9-b1a8ae5b4986&quot;,&quot;title&quot;:&quot;The role of the anterior and midcingulate cortex in the neurobiology of functional neurologic disorder&quot;,&quot;author&quot;:[{&quot;family&quot;:&quot;Ospina&quot;,&quot;given&quot;:&quot;J P&quot;,&quot;parse-names&quot;:false,&quot;dropping-particle&quot;:&quot;&quot;,&quot;non-dropping-particle&quot;:&quot;&quot;},{&quot;family&quot;:&quot;Jalilianhasanpour&quot;,&quot;given&quot;:&quot;R&quot;,&quot;parse-names&quot;:false,&quot;dropping-particle&quot;:&quot;&quot;,&quot;non-dropping-particle&quot;:&quot;&quot;},{&quot;family&quot;:&quot;Perez&quot;,&quot;given&quot;:&quot;D L&quot;,&quot;parse-names&quot;:false,&quot;dropping-particle&quot;:&quot;&quot;,&quot;non-dropping-particle&quot;:&quot;&quot;}],&quot;container-title&quot;:&quot;Handb Clin Neurol&quot;,&quot;DOI&quot;:&quot;10.1016/b978-0-444-64196-0.00014-5&quot;,&quot;ISSN&quot;:&quot;0072-9752 (Print)\r0072-9752&quot;,&quot;PMID&quot;:&quot;31731915&quot;,&quot;issued&quot;:{&quot;date-parts&quot;:[[2019]]},&quot;page&quot;:&quot;267-279&quot;,&quot;language&quot;:&quot;eng&quot;,&quot;abstract&quot;:&quot;Functional neurologic disorder (FND)/conversion disorder is a prevalent and disabling condition at the intersection of neurology and psychiatry. Clinicians often report feeling ill-equipped treating patients with FND, perpetuated by a historically limited understanding of neurobiologic disease mechanisms. In this review, we summarize the neuroimaging literature across the spectrum of sensorimotor FND, including functional imaging studies during rest, sensorimotor performance, and emotional-processing tasks as well as structural magnetic resonance imaging findings. Particular attention is given to studies implicating the anterior and middle cingulate cortex and related salience network structures (insula, amygdala, and periaqueductal gray) in the neurobiology of FND. Neuroimaging studies identify cingulo-insular functional alterations during rest, motor performance, and emotion processing in FND populations. The literature also supports that patients with FND exhibit heightened amygdalar and periaqueductal gray reactivity to emotionally valenced stimuli, enhanced coupling between amygdalar and motor control areas, and increased amygdalar volumes. The structural neuroimaging literature also implicates cingulo-insular areas in the pathophysiology of FND, though these findings require replication and clarification. While more research is needed to fully elucidate the pathophysiology of FND, salience network alterations appear present in some FND populations and can be contextualized using biopsychosocial models for FND.&quot;,&quot;edition&quot;:&quot;2019/11/17&quot;,&quot;volume&quot;:&quot;166&quot;,&quot;container-title-short&quot;:&quot;&quot;},&quot;isTemporary&quot;:false}],&quot;citationTag&quot;:&quot;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&quot;},{&quot;citationID&quot;:&quot;MENDELEY_CITATION_2f742254-709c-43fc-95a2-602b8ae5f6f9&quot;,&quot;properties&quot;:{&quot;noteIndex&quot;:0},&quot;isEdited&quot;:false,&quot;manualOverride&quot;:{&quot;isManuallyOverridden&quot;:false,&quot;citeprocText&quot;:&quot;(Bègue et al., 2019)&quot;,&quot;manualOverrideText&quot;:&quot;&quot;},&quot;citationItems&quot;:[{&quot;id&quot;:&quot;2f8ccf21-2866-3c95-9f3b-8c660ec1d4ce&quot;,&quot;itemData&quot;:{&quot;type&quot;:&quot;article-journal&quot;,&quot;id&quot;:&quot;2f8ccf21-2866-3c95-9f3b-8c660ec1d4ce&quot;,&quot;title&quot;:&quot;Structural alterations in functional neurological disorder and related conditions: a software and hardware problem?&quot;,&quot;author&quot;:[{&quot;family&quot;:&quot;Bègue&quot;,&quot;given&quot;:&quot;Indrit&quot;,&quot;parse-names&quot;:false,&quot;dropping-particle&quot;:&quot;&quot;,&quot;non-dropping-particle&quot;:&quot;&quot;},{&quot;family&quot;:&quot;Adams&quot;,&quot;given&quot;:&quot;Caitlin&quot;,&quot;parse-names&quot;:false,&quot;dropping-particle&quot;:&quot;&quot;,&quot;non-dropping-particle&quot;:&quot;&quot;},{&quot;family&quot;:&quot;Stone&quot;,&quot;given&quot;:&quot;Jon&quot;,&quot;parse-names&quot;:false,&quot;dropping-particle&quot;:&quot;&quot;,&quot;non-dropping-particle&quot;:&quot;&quot;},{&quot;family&quot;:&quot;Perez&quot;,&quot;given&quot;:&quot;David L&quot;,&quot;parse-names&quot;:false,&quot;dropping-particle&quot;:&quot;&quot;,&quot;non-dropping-particle&quot;:&quot;&quot;}],&quot;container-title&quot;:&quot;NeuroImage: Clinical&quot;,&quot;container-title-short&quot;:&quot;Neuroimage Clin&quot;,&quot;DOI&quot;:&quot;https://doi.org/10.1016/j.nicl.2019.101798&quot;,&quot;ISSN&quot;:&quot;2213-1582&quot;,&quot;URL&quot;:&quot;http://www.sciencedirect.com/science/article/pii/S2213158219301482&quot;,&quot;issued&quot;:{&quot;date-parts&quot;:[[2019]]},&quot;page&quot;:&quot;101798&quot;,&quot;abstract&quot;:&quot;Functional neurological (conversion) disorder (FND) is a condition at the interface of neurology and psychiatry. A “software” vs. “hardware” analogy describes abnormal neurobiological mechanisms occurring in the context of intact macroscopic brain structure. While useful for explanatory and treatment models, this framework may require more nuanced considerations in the context of quantitative structural neuroimaging findings in FND. Moreover, high co-occurrence of FND and somatic symptom disorders (SSD) as defined in DSM-IV (somatization disorder, somatoform pain disorder, and undifferentiated somatoform disorder; referred to as SSD for brevity in this article) raises the possibility of a partially overlapping pathophysiology. In this systematic review, we use a transdiagnostic approach to review and appraise the structural neuroimaging literature in FND and SSD. While larger sample size studies are needed for definitive characterization, this article highlights that individuals with FND and SSD may exhibit sensorimotor, prefrontal, striatal-thalamic, paralimbic, and limbic structural alterations. The structural neuroimaging literature is contextualized within the neurobiology of stress-related neuroplasticity, gender differences, psychiatric comorbidities, and the greater spectrum of functional somatic disorders. Future directions that could accelerate the characterization of the pathophysiology of FND and DSM-5 SSD are outlined, including “disease staging” discussions to contextualize subgroups with or without structural changes. Emerging neuroimaging evidence suggests that some individuals with FND and SSD may have a “software” and “hardware” problem, although if structural alterations are present the neural mechanisms of functional disorders remain distinct from lesional neurological conditions. Furthermore, it remains unclear whether structural alterations relate to predisposing vulnerabilities or consequences of the disorder.&quot;,&quot;volume&quot;:&quot;22&quot;},&quot;isTemporary&quot;:false}],&quot;citationTag&quot;:&quot;MENDELEY_CITATION_v3_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&quot;},{&quot;citationID&quot;:&quot;MENDELEY_CITATION_d546075c-7cff-4120-bc05-68b3a7ded104&quot;,&quot;properties&quot;:{&quot;noteIndex&quot;:0},&quot;isEdited&quot;:false,&quot;manualOverride&quot;:{&quot;isManuallyOverridden&quot;:true,&quot;citeprocText&quot;:&quot;(Demartini et al., 2014; Novakova et al., 2015; Pick et al., 2016, 2019; Ricciardi et al., 2016)&quot;,&quot;manualOverrideText&quot;:&quot;(Demartini et al., 2014; Novakova et al., 2015; Pick et al., 2016, 2019; Ricciardi et al., 2016; Sojka et al., 2018; I. A. Williams, Levita, et al., 2018)&quot;},&quot;citationItems&quot;:[{&quot;id&quot;:&quot;62aa4e34-7098-37f7-a677-00a07becf205&quot;,&quot;itemData&quot;:{&quot;type&quot;:&quot;article-journal&quot;,&quot;id&quot;:&quot;62aa4e34-7098-37f7-a677-00a07becf205&quot;,&quot;title&quot;:&quot;Emotion processing and psychogenic non-epileptic seizures: A cross-sectional comparison of patients and healthy controls&quot;,&quot;author&quot;:[{&quot;family&quot;:&quot;Novakova&quot;,&quot;given&quot;:&quot;B&quot;,&quot;parse-names&quot;:false,&quot;dropping-particle&quot;:&quot;&quot;,&quot;non-dropping-particle&quot;:&quot;&quot;},{&quot;family&quot;:&quot;Howlett&quot;,&quot;given&quot;:&quot;S&quot;,&quot;parse-names&quot;:false,&quot;dropping-particle&quot;:&quot;&quot;,&quot;non-dropping-particle&quot;:&quot;&quot;},{&quot;family&quot;:&quot;Baker&quot;,&quot;given&quot;:&quot;R&quot;,&quot;parse-names&quot;:false,&quot;dropping-particle&quot;:&quot;&quot;,&quot;non-dropping-particle&quot;:&quot;&quot;},{&quot;family&quot;:&quot;Reuber&quot;,&quot;given&quot;:&quot;M&quot;,&quot;parse-names&quot;:false,&quot;dropping-particle&quot;:&quot;&quot;,&quot;non-dropping-particle&quot;:&quot;&quot;}],&quot;container-title&quot;:&quot;Seizure&quot;,&quot;container-title-short&quot;:&quot;Seizure&quot;,&quot;DOI&quot;:&quot;10.1016/j.seizure.2015.03.007&quot;,&quot;ISSN&quot;:&quot;1059-1311&quot;,&quot;PMID&quot;:&quot;26076837&quot;,&quot;issued&quot;:{&quot;date-parts&quot;:[[2015]]},&quot;page&quot;:&quot;4-10&quot;,&quot;language&quot;:&quot;eng&quot;,&quot;abstract&quot;:&quot;PURPOSE: This exploratory study aimed to examine emotion-processing styles in patients with psychogenic non-epileptic seizures (PNES), compared to healthy individuals, and to explore associations of emotion processing with other psychological measures and seizure frequency, using the new Emotional Processing Scale (EPS-25), which had not previously been used in this patient group. METHODS: Fifty consecutive patients with PNES referred for psychotherapy completed a set of self-report questionnaires, including the Emotional Processing Scale (EPS-25), Clinical Outcome in Routine Evaluation (CORE-10), Short Form-36 (SF-36), Patient Health Questionnaire (PHQ-15), and Brief Illness Perception Questionnaire (BIPQ). Responses on the EPS-25 were compared to data from 224 healthy controls. RESULTS: Patients with PNES had greater emotion processing deficits across all dimensions of the EPS-25 than healthy individuals (suppression/unprocessed emotion/unregulated emotion/avoidance/impoverished emotional experience). Impaired emotion processing was highly correlated with psychological distress, more frequent and severe somatic symptoms, and a more threatening understanding of the symptoms. Emotion processing problems were also associated with reduced health-related quality of life on the mental health (but not the physical health) component of the SF-36. The unregulated emotions sub-scale of the EPS was associated with lower seizure frequency. CONCLUSION: The results showed clear impairments of emotion processing in patients with PNES compared to healthy individuals, which were associated with greater psychological distress and reduced mental health functioning. These findings seem to support the face validity of the EPS-25 as a measure for PNES patients and its potential as a tool to assess the effectiveness of psychological interventions.&quot;,&quot;edition&quot;:&quot;2015/06/17&quot;,&quot;volume&quot;:&quot;29&quot;},&quot;isTemporary&quot;:false},{&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id&quot;:&quot;8c46d426-4beb-34d1-8317-d41c37650f04&quot;,&quot;itemData&quot;:{&quot;type&quot;:&quot;article-journal&quot;,&quot;id&quot;:&quot;8c46d426-4beb-34d1-8317-d41c37650f04&quot;,&quot;title&quot;:&quot;Multidisciplinary treatment for functional neurological symptoms: a prospective study&quot;,&quot;author&quot;:[{&quot;family&quot;:&quot;Demartini&quot;,&quot;given&quot;:&quot;Benedetta&quot;,&quot;parse-names&quot;:false,&quot;dropping-particle&quot;:&quot;&quot;,&quot;non-dropping-particle&quot;:&quot;&quot;},{&quot;family&quot;:&quot;Batla&quot;,&quot;given&quot;:&quot;Amit&quot;,&quot;parse-names&quot;:false,&quot;dropping-particle&quot;:&quot;&quot;,&quot;non-dropping-particle&quot;:&quot;&quot;},{&quot;family&quot;:&quot;Petrochilos&quot;,&quot;given&quot;:&quot;Panayiota&quot;,&quot;parse-names&quot;:false,&quot;dropping-particle&quot;:&quot;&quot;,&quot;non-dropping-particle&quot;:&quot;&quot;},{&quot;family&quot;:&quot;Fisher&quot;,&quot;given&quot;:&quot;Linda&quot;,&quot;parse-names&quot;:false,&quot;dropping-particle&quot;:&quot;&quot;,&quot;non-dropping-particle&quot;:&quot;&quot;},{&quot;family&quot;:&quot;Edwards&quot;,&quot;given&quot;:&quot;Mark J&quot;,&quot;parse-names&quot;:false,&quot;dropping-particle&quot;:&quot;&quot;,&quot;non-dropping-particle&quot;:&quot;&quot;},{&quot;family&quot;:&quot;Joyce&quot;,&quot;given&quot;:&quot;Eileen&quot;,&quot;parse-names&quot;:false,&quot;dropping-particle&quot;:&quot;&quot;,&quot;non-dropping-particle&quot;:&quot;&quot;}],&quot;container-title&quot;:&quot;Journal of neurology&quot;,&quot;container-title-short&quot;:&quot;J Neurol&quot;,&quot;DOI&quot;:&quot;10.1007/s00415-014-7495-4&quot;,&quot;ISSN&quot;:&quot;1432-1459\r0340-5354&quot;,&quot;PMID&quot;:&quot;25239392&quot;,&quot;URL&quot;:&quot;https://pubmed.ncbi.nlm.nih.gov/25239392&quot;,&quot;issued&quot;:{&quot;date-parts&quot;:[[2014]]},&quot;page&quot;:&quot;2370-2377&quot;,&quot;language&quot;:&quot;eng&quot;,&quot;abstract&quot;:&quot;Although functional neurological symptoms are often very disabling there is limited information on outcome after treatment. Here we prospectively assessed the short- and long-term efficacy of an inpatient multidisciplinary programme for patients with FNS. We also sought to determine predictors of good outcome by assessing the responsiveness of different scales administered at admission, discharge and follow-up. Sixty-six consecutive patients were included. Assessments at admission, discharge and at 1 year follow-up (55%) included: the Health of the Nation Outcome Scale, the Hospital Anxiety and Depression Scale, the Patient Health Questionnaire-15, the Revised Illness Perception Questionnaire, the Common Neurological Symptom Questionnaire, the Fear Questionnaire and the Canadian Occupational Performance Measure. At discharge and at 1 year follow-up patients were also asked to complete five-point self-rated scales of improvement. There were significant improvements in clinician-rated mental health and functional ability. In addition, patients reported that their levels of mood and anxiety had improved and that they were less bothered by somatic symptoms in general and neurological symptoms in particular. Two-thirds of patients rated their general health such as \&quot;better\&quot; or \&quot;much better\&quot; at discharge and this improvement was maintained over the following year. Change in HoNOS score was the only measure that successfully predicted patient-rated improvement. Our data suggest that a specialized multidisciplinary inpatient programme for FNS can provide long-lasting benefits in the majority of patients. Good outcome at discharge was exclusively predicted by improvement in the HoNOS which continued to improve over the 1 year following discharge.&quot;,&quot;edition&quot;:&quot;2014/09/20&quot;,&quot;publisher&quot;:&quot;Springer Berlin Heidelberg&quot;,&quot;issue&quot;:&quot;12&quot;,&quot;volume&quot;:&quot;261&quot;},&quot;isTemporary&quot;:false},{&quot;id&quot;:&quot;10e679e8-d27d-378c-b34f-984a9bef858e&quot;,&quot;itemData&quot;:{&quot;type&quot;:&quot;article-journal&quot;,&quot;id&quot;:&quot;10e679e8-d27d-378c-b34f-984a9bef858e&quot;,&quot;title&quot;:&quot;Emotion and dissociative seizures: A phenomenological analysis of patients' perspectives&quot;,&quot;author&quot;:[{&quot;family&quot;:&quot;Pick&quot;,&quot;given&quot;:&quot;S&quot;,&quot;parse-names&quot;:false,&quot;dropping-particle&quot;:&quot;&quot;,&quot;non-dropping-particle&quot;:&quot;&quot;},{&quot;family&quot;:&quot;Mellers&quot;,&quot;given&quot;:&quot;J D&quot;,&quot;parse-names&quot;:false,&quot;dropping-particle&quot;:&quot;&quot;,&quot;non-dropping-particle&quot;:&quot;&quot;},{&quot;family&quot;:&quot;Goldstein&quot;,&quot;given&quot;:&quot;L H&quot;,&quot;parse-names&quot;:false,&quot;dropping-particle&quot;:&quot;&quot;,&quot;non-dropping-particle&quot;:&quot;&quot;}],&quot;container-title&quot;:&quot;Epilepsy Behav&quot;,&quot;DOI&quot;:&quot;10.1016/j.yebeh.2015.12.010&quot;,&quot;ISSN&quot;:&quot;1525-5050&quot;,&quot;PMID&quot;:&quot;26799918&quot;,&quot;issued&quot;:{&quot;date-parts&quot;:[[2016]]},&quot;page&quot;:&quot;5-14&quot;,&quot;language&quot;:&quot;eng&quot;,&quot;abstract&quot;:&quot;Quantitative research has indicated that patients with dissociative seizures (DS) show altered responses to emotional stimuli, in addition to considerable emotional distress and dysregulation. The present study sought to further explore emotional processes in this population, to extend previous findings, and to provide a phenomenological insight into patients' perspectives on these issues. Semistructured interviews were carried out with 15 patients with DS, and the principles of interpretative phenomenological analysis (IPA) were adopted in data analysis. Key themes elicited included: i) general emotional functioning; ii) adverse (stressful/traumatic) life experiences; iii) the role of emotions in DS; iv) relating to others; and v) resilience, protective factors, and coping mechanisms. The clinical and theoretical implications of the findings are discussed.&quot;,&quot;edition&quot;:&quot;2016/01/23&quot;,&quot;volume&quot;:&quot;56&quot;,&quot;container-title-short&quot;:&quot;&quot;},&quot;isTemporary&quot;:false},{&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citationTag&quot;:&quot;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quot;},{&quot;citationID&quot;:&quot;MENDELEY_CITATION_4b877e42-c910-4a31-8e89-04dd3fae9992&quot;,&quot;properties&quot;:{&quot;noteIndex&quot;:0},&quot;isEdited&quot;:false,&quot;manualOverride&quot;:{&quot;isManuallyOverridden&quot;:false,&quot;citeprocText&quot;:&quot;(Bajestan &amp;#38; W. Curt  LaFrance, 2016; Graham et al., 2017)&quot;,&quot;manualOverrideText&quot;:&quot;&quot;},&quot;citationItems&quot;:[{&quot;id&quot;:&quot;9067443d-bcfe-3938-8998-43f45b2007b6&quot;,&quot;itemData&quot;:{&quot;type&quot;:&quot;article-journal&quot;,&quot;id&quot;:&quot;9067443d-bcfe-3938-8998-43f45b2007b6&quot;,&quot;title&quot;:&quot;Clinical Approaches to Psychogenic Nonepileptic Seizures&quot;,&quot;author&quot;:[{&quot;family&quot;:&quot;Bajestan&quot;,&quot;given&quot;:&quot;Sepideh N&quot;,&quot;parse-names&quot;:false,&quot;dropping-particle&quot;:&quot;&quot;,&quot;non-dropping-particle&quot;:&quot;&quot;},{&quot;family&quot;:&quot;W. Curt  LaFrance&quot;,&quot;given&quot;:&quot;Jr.&quot;,&quot;parse-names&quot;:false,&quot;dropping-particle&quot;:&quot;&quot;,&quot;non-dropping-particle&quot;:&quot;&quot;}],&quot;container-title&quot;:&quot;https://doi.org/10.1176/appi.focus.20160020&quot;,&quot;accessed&quot;:{&quot;date-parts&quot;:[[2023,6,10]]},&quot;DOI&quot;:&quot;10.1176/APPI.FOCUS.20160020&quot;,&quot;ISSN&quot;:&quot;1541-4094&quot;,&quot;URL&quot;:&quot;https://focus.psychiatryonline.org/doi/10.1176/appi.focus.20160020&quot;,&quot;issued&quot;:{&quot;date-parts&quot;:[[2016,10,13]]},&quot;page&quot;:&quot;422-431&quot;,&quot;abstract&quot;:&quot;Psychogenic nonepileptic seizures (PNES) are a subtype of conversion disorder (also called functional neurological symptom disorder in DSM-5). Patients with PNES are high utilizers of health care and can have disability levels similar to those of patients with epilepsy. PNES is a common, complex neuropsychiatric somatoform disorder at the interface of neurology and psychiatry disciplines and is largely overlooked and avoided by mental health providers. Despite advances in establishing accurate diagnosis and evidence-based treatments, recent knowledge about PNES has not been well translated into clinical practice. Long diagnostic delays have been associated with poor prognosis. Recent advances in possible neurophysiological biomarkers include functional MRI studies that show abnormalities in emotional, cognitive, executive, and sensorimotor neurocircuits. Although the gold standard for diagnosis is video electroencephalograph, this test is underused by psychiatrists. The International League Against Epilepsy proposed a staged approach to PNES diagnosis using history, semiologic features, and EEG. Thorough psychiatric assessment can identify relevant biopsychosocial and predisposing, precipitating, and perpetuating factors, as well as assess the comorbid psychiatric disorders, which can inform a treatment plan. Clear and thoughtful delivery of diagnosis is the first step in treatment. Regular follow-up with the patient's neurologist, in addition to treatment by mental health professionals familiar with somatic symptom disorders, is recommended. Psychotherapy is the mainstay of treatment, and randomized clinical trials using cognitive-behavioral therapies reveal significant reduction in seizures and other psychiatric symptoms. After centuries, mental health providers now have access to the tools to diagnose and effectively treat PNES and other conversion disorders.&quot;,&quot;publisher&quot;:&quot;American Psychiatric AssociationArlington, VA&quot;,&quot;issue&quot;:&quot;4&quot;,&quot;volume&quot;:&quot;14&quot;,&quot;container-title-short&quot;:&quot;&quot;},&quot;isTemporary&quot;:false},{&quot;id&quot;:&quot;aeaca39e-ead8-3f3b-a5df-c6cc23eff9c2&quot;,&quot;itemData&quot;:{&quot;type&quot;:&quot;article-journal&quot;,&quot;id&quot;:&quot;aeaca39e-ead8-3f3b-a5df-c6cc23eff9c2&quot;,&quot;title&quot;:&quot;Using Acceptance and Commitment Therapy to Improve Outcomes in Functional Movement Disorders: A Case Study&quot;,&quot;author&quot;:[{&quot;family&quot;:&quot;Graham&quot;,&quot;given&quot;:&quot;Christopher D.&quot;,&quot;parse-names&quot;:false,&quot;dropping-particle&quot;:&quot;&quot;,&quot;non-dropping-particle&quot;:&quot;&quot;},{&quot;family&quot;:&quot;Stuart&quot;,&quot;given&quot;:&quot;Simon R.&quot;,&quot;parse-names&quot;:false,&quot;dropping-particle&quot;:&quot;&quot;,&quot;non-dropping-particle&quot;:&quot;&quot;},{&quot;family&quot;:&quot;O'Hara&quot;,&quot;given&quot;:&quot;Daniel J.&quot;,&quot;parse-names&quot;:false,&quot;dropping-particle&quot;:&quot;&quot;,&quot;non-dropping-particle&quot;:&quot;&quot;},{&quot;family&quot;:&quot;Kemp&quot;,&quot;given&quot;:&quot;Steven&quot;,&quot;parse-names&quot;:false,&quot;dropping-particle&quot;:&quot;&quot;,&quot;non-dropping-particle&quot;:&quot;&quot;}],&quot;container-title&quot;:&quot;Clinical Case Studies&quot;,&quot;container-title-short&quot;:&quot;Clin Case Stud&quot;,&quot;accessed&quot;:{&quot;date-parts&quot;:[[2023,6,10]]},&quot;DOI&quot;:&quot;10.1177/1534650117706544&quot;,&quot;ISSN&quot;:&quot;15523802&quot;,&quot;URL&quot;:&quot;https://www.researchgate.net/publication/316235948_Using_Acceptance_and_Commitment_Therapy_ACT_to_improve_outcomes_in_functional_movement_disorders_A_case_study&quot;,&quot;issued&quot;:{&quot;date-parts&quot;:[[2017,10,1]]},&quot;page&quot;:&quot;401-416&quot;,&quot;abstract&quot;:&quot;Although there are many theories of functional movement disorders (FMD), the causes and prognosis remain unclear, and there are no treatments with high-quality empirical support. Acceptance and commitment therapy (ACT) is an acceptance-based behavior therapy which, via altering a process called psychological flexibility, aims to support behaviors that are consistent with a person's overarching values - even in difficult, uncertain, or immutable contexts. It may, therefore, have pragmatic benefits in the context of FMD. We outline the theoretical basis for ACT and detail a case study of a brief (six session) intervention for increasing personally meaningful activity with FMD. The participant was in her early 20s and had been diagnosed with functional propriospinal myoclonus. ACT techniques including relational framing, defusion, and mindfulness exercises were used to increase psychological flexibility, with the goal of enabling effective functioning within the difficult context created by FMD. Following treatment, the participant showed a reliable change/clinical recovery in psychological flexibility (Acceptance and Action Questionnaire II [AAQ-II]), FMD symptom interference (Work and Social Adjustment Scale [WSAS]; primary outcome), and mood (Clinical Outcomes in Routine Evaluation 10-item scale [CORE-10]; secondary outcome). This case study demonstrates an approach that focuses first on improving functioning with FMD, as opposed to eliminating or controlling symptoms.&quot;,&quot;publisher&quot;:&quot;SAGE Publications Inc.&quot;,&quot;issue&quot;:&quot;5&quot;,&quot;volume&quot;:&quot;16&quot;},&quot;isTemporary&quot;:false}],&quot;citationTag&quot;:&quot;MENDELEY_CITATION_v3_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&quot;},{&quot;citationID&quot;:&quot;MENDELEY_CITATION_d454eebe-b9f2-4de8-bc17-42574f823848&quot;,&quot;properties&quot;:{&quot;noteIndex&quot;:0},&quot;isEdited&quot;:false,&quot;manualOverride&quot;:{&quot;isManuallyOverridden&quot;:false,&quot;citeprocText&quot;:&quot;(American Psychiatric Association, 2013)&quot;,&quot;manualOverrideText&quot;:&quot;&quot;},&quot;citationItems&quot;:[{&quot;id&quot;:&quot;ecd49a24-d140-3c48-9de0-c4bc56526fc7&quot;,&quot;itemData&quot;:{&quot;type&quot;:&quot;book&quot;,&quot;id&quot;:&quot;ecd49a24-d140-3c48-9de0-c4bc56526fc7&quot;,&quot;title&quot;:&quot;Diagnostic and statistical manual of mental disorders: DSM-5™, 5th ed&quot;,&quot;author&quot;:[{&quot;family&quot;:&quot;American Psychiatric Association&quot;,&quot;given&quot;:&quot;DSM-5 Task Force&quot;,&quot;parse-names&quot;:false,&quot;dropping-particle&quot;:&quot;&quot;,&quot;non-dropping-particle&quot;:&quot;&quot;}],&quot;container-title&quot;:&quot;Diagnostic and statistical manual of mental disorders: DSM-5™, 5th ed.&quot;,&quot;DOI&quot;:&quot;10.1176/appi.books.9780890425596&quot;,&quot;ISBN&quot;:&quot;978-0-89042-554-1 (Hardcover); 978-0-89042-555-8 (Paperback)&quot;,&quot;issued&quot;:{&quot;date-parts&quot;:[[2013]]},&quot;publisher-place&quot;:&quot;Arlington, VA, US&quot;,&quot;number-of-pages&quot;:&quot;947, xliv, 947-xliv&quot;,&quot;abstract&quot;:&quot;The American Psychiatric Association's Diagnostic and Statistical Manual of Mental Disorders (DSM) is a classification of mental disorders with associated criteria designed to facilitate more reliable diagnoses of these disorders. Since a complete description of the underlying pathological processes is not possible for most mental disorders, it is important to emphasize that the current diagnostic criteria are the best available description of how mental disorders are expressed and can be recognized by trained clinicians. DSM is intended to serve as a practical, functional, and flexible guide for organizing information that can aid in the accurate diagnosis and treatment of mental disorders. It is a tool for clinicians, an essential educational resource for students and practitioners, and a reference for researchers in the field. (PsycINFO Database Record (c) 2019 APA, all rights reserved)&quot;,&quot;publisher&quot;:&quot;American Psychiatric Publishing, Inc.&quot;,&quot;container-title-short&quot;:&quot;&quot;},&quot;isTemporary&quot;:false}],&quot;citationTag&quot;:&quot;MENDELEY_CITATION_v3_eyJjaXRhdGlvbklEIjoiTUVOREVMRVlfQ0lUQVRJT05fZDQ1NGVlYmUtYjlmMi00ZGU4LWJjMTctNDI1NzRmODIzODQ4IiwicHJvcGVydGllcyI6eyJub3RlSW5kZXgiOjB9LCJpc0VkaXRlZCI6ZmFsc2UsIm1hbnVhbE92ZXJyaWRlIjp7ImlzTWFudWFsbHlPdmVycmlkZGVuIjpmYWxzZSwiY2l0ZXByb2NUZXh0IjoiKEFtZXJpY2FuIFBzeWNoaWF0cmljIEFzc29jaWF0aW9uLCAyMDEzKSIsIm1hbnVhbE92ZXJyaWRlVGV4dCI6IiJ9LCJjaXRhdGlvbkl0ZW1zIjpb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quot;},{&quot;citationID&quot;:&quot;MENDELEY_CITATION_9e910d84-ca01-4d33-9d7a-240696690f9a&quot;,&quot;properties&quot;:{&quot;noteIndex&quot;:0},&quot;isEdited&quot;:false,&quot;manualOverride&quot;:{&quot;isManuallyOverridden&quot;:false,&quot;citeprocText&quot;:&quot;(American Psychiatric Association, 2013; Kanaan et al., 2010; Stone et al., 2010, 2011)&quot;,&quot;manualOverrideText&quot;:&quot;&quot;},&quot;citationItems&quot;:[{&quot;id&quot;:&quot;8bf9f387-e962-3a2a-af14-47994e2a78d1&quot;,&quot;itemData&quot;:{&quot;type&quot;:&quot;chapter&quot;,&quot;id&quot;:&quot;8bf9f387-e962-3a2a-af14-47994e2a78d1&quot;,&quot;title&quot;:&quot;What's so special about conversion disorder? A problem and a proposal for diagnostic classification&quot;,&quot;author&quot;:[{&quot;family&quot;:&quot;Kanaan&quot;,&quot;given&quot;:&quot;R A&quot;,&quot;parse-names&quot;:false,&quot;dropping-particle&quot;:&quot;&quot;,&quot;non-dropping-particle&quot;:&quot;&quot;},{&quot;family&quot;:&quot;Carson&quot;,&quot;given&quot;:&quot;A&quot;,&quot;parse-names&quot;:false,&quot;dropping-particle&quot;:&quot;&quot;,&quot;non-dropping-particle&quot;:&quot;&quot;},{&quot;family&quot;:&quot;Wessely&quot;,&quot;given&quot;:&quot;S C&quot;,&quot;parse-names&quot;:false,&quot;dropping-particle&quot;:&quot;&quot;,&quot;non-dropping-particle&quot;:&quot;&quot;},{&quot;family&quot;:&quot;Nicholson&quot;,&quot;given&quot;:&quot;T R&quot;,&quot;parse-names&quot;:false,&quot;dropping-particle&quot;:&quot;&quot;,&quot;non-dropping-particle&quot;:&quot;&quot;},{&quot;family&quot;:&quot;Aybek&quot;,&quot;given&quot;:&quot;S&quot;,&quot;parse-names&quot;:false,&quot;dropping-particle&quot;:&quot;&quot;,&quot;non-dropping-particle&quot;:&quot;&quot;},{&quot;family&quot;:&quot;David&quot;,&quot;given&quot;:&quot;A S&quot;,&quot;parse-names&quot;:false,&quot;dropping-particle&quot;:&quot;&quot;,&quot;non-dropping-particle&quot;:&quot;&quot;}],&quot;container-title&quot;:&quot;Br J Psychiatry&quot;,&quot;DOI&quot;:&quot;10.1192/bjp.bp.109.073981&quot;,&quot;ISBN&quot;:&quot;1472-1465 (Electronic)\r0007-1250 (Linking)&quot;,&quot;PMID&quot;:&quot;20513849&quot;,&quot;issued&quot;:{&quot;date-parts&quot;:[[2010]]},&quot;publisher-place&quot;:&quot;England&quot;,&quot;page&quot;:&quot;427-428&quot;,&quot;language&quot;:&quot;eng&quot;,&quot;abstract&quot;:&quot;Conversion disorder presents a problem for the revisions of DSM-IV and ICD-10, for reasons that are informative about the difficulties of psychiatric classification more generally. Giving up criteria based on psychological aetiology may be a painful sacrifice but it is still the right thing to do.&quot;,&quot;issue&quot;:&quot;6&quot;,&quot;volume&quot;:&quot;196&quot;,&quot;container-title-short&quot;:&quot;&quot;},&quot;isTemporary&quot;:false},{&quot;id&quot;:&quot;caf78f84-0567-36cd-83cb-1f7e705c7d43&quot;,&quot;itemData&quot;:{&quot;type&quot;:&quot;article-journal&quot;,&quot;id&quot;:&quot;caf78f84-0567-36cd-83cb-1f7e705c7d43&quot;,&quot;title&quot;:&quot;Who is referred to neurology clinics?--the diagnoses made in 3781 new patients&quot;,&quot;author&quot;:[{&quot;family&quot;:&quot;Stone&quot;,&quot;given&quot;:&quot;J&quot;,&quot;parse-names&quot;:false,&quot;dropping-particle&quot;:&quot;&quot;,&quot;non-dropping-particle&quot;:&quot;&quot;},{&quot;family&quot;:&quot;Carson&quot;,&quot;given&quot;:&quot;A&quot;,&quot;parse-names&quot;:false,&quot;dropping-particle&quot;:&quot;&quot;,&quot;non-dropping-particle&quot;:&quot;&quot;},{&quot;family&quot;:&quot;Duncan&quot;,&quot;given&quot;:&quot;R&quot;,&quot;parse-names&quot;:false,&quot;dropping-particle&quot;:&quot;&quot;,&quot;non-dropping-particle&quot;:&quot;&quot;},{&quot;family&quot;:&quot;Roberts&quot;,&quot;given&quot;:&quot;R&quot;,&quot;parse-names&quot;:false,&quot;dropping-particle&quot;:&quot;&quot;,&quot;non-dropping-particle&quot;:&quot;&quot;},{&quot;family&quot;:&quot;Warlow&quot;,&quot;given&quot;:&quot;C&quot;,&quot;parse-names&quot;:false,&quot;dropping-particle&quot;:&quot;&quot;,&quot;non-dropping-particle&quot;:&quot;&quot;},{&quot;family&quot;:&quot;Hibberd&quot;,&quot;given&quot;:&quot;C&quot;,&quot;parse-names&quot;:false,&quot;dropping-particle&quot;:&quot;&quot;,&quot;non-dropping-particle&quot;:&quot;&quot;},{&quot;family&quot;:&quot;Coleman&quot;,&quot;given&quot;:&quot;R&quot;,&quot;parse-names&quot;:false,&quot;dropping-particle&quot;:&quot;&quot;,&quot;non-dropping-particle&quot;:&quot;&quot;},{&quot;family&quot;:&quot;Cull&quot;,&quot;given&quot;:&quot;R&quot;,&quot;parse-names&quot;:false,&quot;dropping-particle&quot;:&quot;&quot;,&quot;non-dropping-particle&quot;:&quot;&quot;},{&quot;family&quot;:&quot;Murray&quot;,&quot;given&quot;:&quot;G&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Smyth&quot;,&quot;given&quot;:&quot;R&quot;,&quot;parse-names&quot;:false,&quot;dropping-particle&quot;:&quot;&quot;,&quot;non-dropping-particle&quot;:&quot;&quot;},{&quot;family&quot;:&quot;Walker&quot;,&quot;given&quot;:&quot;J&quot;,&quot;parse-names&quot;:false,&quot;dropping-particle&quot;:&quot;&quot;,&quot;non-dropping-particle&quot;:&quot;&quot;},{&quot;family&quot;:&quot;Sharpe&quot;,&quot;given&quot;:&quot;M&quot;,&quot;parse-names&quot;:false,&quot;dropping-particle&quot;:&quot;&quot;,&quot;non-dropping-particle&quot;:&quot;&quot;}],&quot;container-title&quot;:&quot;Clin Neurol Neurosurg&quot;,&quot;DOI&quot;:&quot;10.1016/j.clineuro.2010.05.011&quot;,&quot;ISSN&quot;:&quot;0303-8467&quot;,&quot;PMID&quot;:&quot;20646830&quot;,&quot;issued&quot;:{&quot;date-parts&quot;:[[2010]]},&quot;page&quot;:&quot;747-751&quot;,&quot;language&quot;:&quot;eng&quot;,&quot;abstract&quot;:&quot;OBJECTIVE: Information on the nature and relative frequency of diagnoses made in referrals to neurology outpatient clinics is an important guide to priorities in services, teaching and research. Previous studies of this topic have been limited by being of only single centres or lacking in detail. We aimed to describe the neurological diagnoses made in a large series of referrals to neurology outpatient clinics. METHOD: Newly referred outpatients attending neurology clinics in all the NHS neurological centres in Scotland, UK were recruited over a period of 15 months. The assessing neurologists recorded the initial diagnosis they made. An additional rating of the degree to which the neurologist considered the patient's symptoms to be explained by disease was used to categorise those diagnoses that simply described a symptom such as 'fatigue'. RESULTS: Three thousand seven hundred and eighty-one patients participated (91% of those eligible). The commonest categories of diagnosis made were: headache (19%), functional and psychological symptoms (16%), epilepsy (14%), peripheral nerve disorders (11%), miscellaneous neurological disorders (10%), demyelination (7%), spinal disorders (6%), Parkinson's disease/movement disorders (6%), and syncope (4%). Detailed breakdowns of each category are provided. CONCLUSIONS: Headache, functional/psychological disorders and epilepsy are the most common diagnoses in new patient referral to neurological services. This information should be used to shape priorities for services, teaching and research.&quot;,&quot;edition&quot;:&quot;2010/07/22&quot;,&quot;issue&quot;:&quot;9&quot;,&quot;volume&quot;:&quot;112&quot;,&quot;container-title-short&quot;:&quot;&quot;},&quot;isTemporary&quot;:false},{&quot;id&quot;:&quot;015f09d4-1cfe-3d76-9e4a-8824068f16df&quot;,&quot;itemData&quot;:{&quot;type&quot;:&quot;article-journal&quot;,&quot;id&quot;:&quot;015f09d4-1cfe-3d76-9e4a-8824068f16df&quot;,&quot;title&quot;:&quot;Conversion Disorder: Current problems and potential solutions for DSM-5&quot;,&quot;author&quot;:[{&quot;family&quot;:&quot;Stone&quot;,&quot;given&quot;:&quot;Jon&quot;,&quot;parse-names&quot;:false,&quot;dropping-particle&quot;:&quot;&quot;,&quot;non-dropping-particle&quot;:&quot;&quot;},{&quot;family&quot;:&quot;LaFrance&quot;,&quot;given&quot;:&quot;W Curt&quot;,&quot;parse-names&quot;:false,&quot;dropping-particle&quot;:&quot;&quot;,&quot;non-dropping-particle&quot;:&quot;&quot;},{&quot;family&quot;:&quot;Brown&quot;,&quot;given&quot;:&quot;Richard&quot;,&quot;parse-names&quot;:false,&quot;dropping-particle&quot;:&quot;&quot;,&quot;non-dropping-particle&quot;:&quot;&quot;},{&quot;family&quot;:&quot;Spiegel&quot;,&quot;given&quot;:&quot;David&quot;,&quot;parse-names&quot;:false,&quot;dropping-particle&quot;:&quot;&quot;,&quot;non-dropping-particle&quot;:&quot;&quot;},{&quot;family&quot;:&quot;Levenson&quot;,&quot;given&quot;:&quot;James L&quot;,&quot;parse-names&quot;:false,&quot;dropping-particle&quot;:&quot;&quot;,&quot;non-dropping-particle&quot;:&quot;&quot;},{&quot;family&quot;:&quot;Sharpe&quot;,&quot;given&quot;:&quot;Michael&quot;,&quot;parse-names&quot;:false,&quot;dropping-particle&quot;:&quot;&quot;,&quot;non-dropping-particle&quot;:&quot;&quot;}],&quot;container-title&quot;:&quot;Journal of Psychosomatic Research&quot;,&quot;container-title-short&quot;:&quot;J Psychosom Res&quot;,&quot;DOI&quot;:&quot;https://doi.org/10.1016/j.jpsychores.2011.07.005&quot;,&quot;ISSN&quot;:&quot;0022-3999&quot;,&quot;URL&quot;:&quot;http://www.sciencedirect.com/science/article/pii/S0022399911002133&quot;,&quot;issued&quot;:{&quot;date-parts&quot;:[[2011]]},&quot;page&quot;:&quot;369-376&quot;,&quot;abstract&quot;:&quot;Conversion disorder in the Diagnostic and Statistical Manual of Mental Disorders (DSM-IV-TR) describes neurological symptoms, including weakness, numbness and events resembling epilepsy or syncope, which can be positively identified as not being due to recognised neurological disease. This review combines perspectives from psychiatry, psychology and neurology to identify and discuss key problems with the current diagnostic DSM-IV criteria for conversion disorder and to make the following proposals for DSM-5: (a) abandoning the label “conversion disorder” and replacing it with an alternative term that is both theoretically neutral and potentially more acceptable to patients and practitioners; (b) relegating the requirements for “association of psychological factors” and the “exclusion of feigning” to the accompanying text; (c) adding a criterion requiring clinical findings of internal inconsistency or incongruity with recognised neurological or medical disease and altering the current ‘disease exclusion’ criteria to one in which the symptom must not be ‘better explained’ by a disease if present, (d) adding a ‘cognitive symptoms’ subtype. We also discuss whether conversion symptoms are better classified with other somatic symptom disorders or with dissociative disorders and how we might address the potential heterogeneity of conversion symptoms in classification.&quot;,&quot;issue&quot;:&quot;6&quot;,&quot;volume&quot;:&quot;71&quot;},&quot;isTemporary&quot;:false},{&quot;id&quot;:&quot;ecd49a24-d140-3c48-9de0-c4bc56526fc7&quot;,&quot;itemData&quot;:{&quot;type&quot;:&quot;book&quot;,&quot;id&quot;:&quot;ecd49a24-d140-3c48-9de0-c4bc56526fc7&quot;,&quot;title&quot;:&quot;Diagnostic and statistical manual of mental disorders: DSM-5™, 5th ed&quot;,&quot;author&quot;:[{&quot;family&quot;:&quot;American Psychiatric Association&quot;,&quot;given&quot;:&quot;DSM-5 Task Force&quot;,&quot;parse-names&quot;:false,&quot;dropping-particle&quot;:&quot;&quot;,&quot;non-dropping-particle&quot;:&quot;&quot;}],&quot;container-title&quot;:&quot;Diagnostic and statistical manual of mental disorders: DSM-5™, 5th ed.&quot;,&quot;DOI&quot;:&quot;10.1176/appi.books.9780890425596&quot;,&quot;ISBN&quot;:&quot;978-0-89042-554-1 (Hardcover); 978-0-89042-555-8 (Paperback)&quot;,&quot;issued&quot;:{&quot;date-parts&quot;:[[2013]]},&quot;publisher-place&quot;:&quot;Arlington, VA, US&quot;,&quot;number-of-pages&quot;:&quot;947, xliv, 947-xliv&quot;,&quot;abstract&quot;:&quot;The American Psychiatric Association's Diagnostic and Statistical Manual of Mental Disorders (DSM) is a classification of mental disorders with associated criteria designed to facilitate more reliable diagnoses of these disorders. Since a complete description of the underlying pathological processes is not possible for most mental disorders, it is important to emphasize that the current diagnostic criteria are the best available description of how mental disorders are expressed and can be recognized by trained clinicians. DSM is intended to serve as a practical, functional, and flexible guide for organizing information that can aid in the accurate diagnosis and treatment of mental disorders. It is a tool for clinicians, an essential educational resource for students and practitioners, and a reference for researchers in the field. (PsycINFO Database Record (c) 2019 APA, all rights reserved)&quot;,&quot;publisher&quot;:&quot;American Psychiatric Publishing, Inc.&quot;,&quot;container-title-short&quot;:&quot;&quot;},&quot;isTemporary&quot;:false}],&quot;citationTag&quot;:&quot;MENDELEY_CITATION_v3_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&quot;},{&quot;citationID&quot;:&quot;MENDELEY_CITATION_caa2b751-6dce-46ed-9fdb-a03f7d4606f2&quot;,&quot;properties&quot;:{&quot;noteIndex&quot;:0},&quot;isEdited&quot;:false,&quot;manualOverride&quot;:{&quot;isManuallyOverridden&quot;:false,&quot;citeprocText&quot;:&quot;(Stone et al., 2010)&quot;,&quot;manualOverrideText&quot;:&quot;&quot;},&quot;citationItems&quot;:[{&quot;id&quot;:&quot;caf78f84-0567-36cd-83cb-1f7e705c7d43&quot;,&quot;itemData&quot;:{&quot;type&quot;:&quot;article-journal&quot;,&quot;id&quot;:&quot;caf78f84-0567-36cd-83cb-1f7e705c7d43&quot;,&quot;title&quot;:&quot;Who is referred to neurology clinics?--the diagnoses made in 3781 new patients&quot;,&quot;author&quot;:[{&quot;family&quot;:&quot;Stone&quot;,&quot;given&quot;:&quot;J&quot;,&quot;parse-names&quot;:false,&quot;dropping-particle&quot;:&quot;&quot;,&quot;non-dropping-particle&quot;:&quot;&quot;},{&quot;family&quot;:&quot;Carson&quot;,&quot;given&quot;:&quot;A&quot;,&quot;parse-names&quot;:false,&quot;dropping-particle&quot;:&quot;&quot;,&quot;non-dropping-particle&quot;:&quot;&quot;},{&quot;family&quot;:&quot;Duncan&quot;,&quot;given&quot;:&quot;R&quot;,&quot;parse-names&quot;:false,&quot;dropping-particle&quot;:&quot;&quot;,&quot;non-dropping-particle&quot;:&quot;&quot;},{&quot;family&quot;:&quot;Roberts&quot;,&quot;given&quot;:&quot;R&quot;,&quot;parse-names&quot;:false,&quot;dropping-particle&quot;:&quot;&quot;,&quot;non-dropping-particle&quot;:&quot;&quot;},{&quot;family&quot;:&quot;Warlow&quot;,&quot;given&quot;:&quot;C&quot;,&quot;parse-names&quot;:false,&quot;dropping-particle&quot;:&quot;&quot;,&quot;non-dropping-particle&quot;:&quot;&quot;},{&quot;family&quot;:&quot;Hibberd&quot;,&quot;given&quot;:&quot;C&quot;,&quot;parse-names&quot;:false,&quot;dropping-particle&quot;:&quot;&quot;,&quot;non-dropping-particle&quot;:&quot;&quot;},{&quot;family&quot;:&quot;Coleman&quot;,&quot;given&quot;:&quot;R&quot;,&quot;parse-names&quot;:false,&quot;dropping-particle&quot;:&quot;&quot;,&quot;non-dropping-particle&quot;:&quot;&quot;},{&quot;family&quot;:&quot;Cull&quot;,&quot;given&quot;:&quot;R&quot;,&quot;parse-names&quot;:false,&quot;dropping-particle&quot;:&quot;&quot;,&quot;non-dropping-particle&quot;:&quot;&quot;},{&quot;family&quot;:&quot;Murray&quot;,&quot;given&quot;:&quot;G&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Smyth&quot;,&quot;given&quot;:&quot;R&quot;,&quot;parse-names&quot;:false,&quot;dropping-particle&quot;:&quot;&quot;,&quot;non-dropping-particle&quot;:&quot;&quot;},{&quot;family&quot;:&quot;Walker&quot;,&quot;given&quot;:&quot;J&quot;,&quot;parse-names&quot;:false,&quot;dropping-particle&quot;:&quot;&quot;,&quot;non-dropping-particle&quot;:&quot;&quot;},{&quot;family&quot;:&quot;Sharpe&quot;,&quot;given&quot;:&quot;M&quot;,&quot;parse-names&quot;:false,&quot;dropping-particle&quot;:&quot;&quot;,&quot;non-dropping-particle&quot;:&quot;&quot;}],&quot;container-title&quot;:&quot;Clin Neurol Neurosurg&quot;,&quot;DOI&quot;:&quot;10.1016/j.clineuro.2010.05.011&quot;,&quot;ISSN&quot;:&quot;0303-8467&quot;,&quot;PMID&quot;:&quot;20646830&quot;,&quot;issued&quot;:{&quot;date-parts&quot;:[[2010]]},&quot;page&quot;:&quot;747-751&quot;,&quot;language&quot;:&quot;eng&quot;,&quot;abstract&quot;:&quot;OBJECTIVE: Information on the nature and relative frequency of diagnoses made in referrals to neurology outpatient clinics is an important guide to priorities in services, teaching and research. Previous studies of this topic have been limited by being of only single centres or lacking in detail. We aimed to describe the neurological diagnoses made in a large series of referrals to neurology outpatient clinics. METHOD: Newly referred outpatients attending neurology clinics in all the NHS neurological centres in Scotland, UK were recruited over a period of 15 months. The assessing neurologists recorded the initial diagnosis they made. An additional rating of the degree to which the neurologist considered the patient's symptoms to be explained by disease was used to categorise those diagnoses that simply described a symptom such as 'fatigue'. RESULTS: Three thousand seven hundred and eighty-one patients participated (91% of those eligible). The commonest categories of diagnosis made were: headache (19%), functional and psychological symptoms (16%), epilepsy (14%), peripheral nerve disorders (11%), miscellaneous neurological disorders (10%), demyelination (7%), spinal disorders (6%), Parkinson's disease/movement disorders (6%), and syncope (4%). Detailed breakdowns of each category are provided. CONCLUSIONS: Headache, functional/psychological disorders and epilepsy are the most common diagnoses in new patient referral to neurological services. This information should be used to shape priorities for services, teaching and research.&quot;,&quot;edition&quot;:&quot;2010/07/22&quot;,&quot;issue&quot;:&quot;9&quot;,&quot;volume&quot;:&quot;112&quot;,&quot;container-title-short&quot;:&quot;&quot;},&quot;isTemporary&quot;:false}],&quot;citationTag&quot;:&quot;MENDELEY_CITATION_v3_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&quot;},{&quot;citationID&quot;:&quot;MENDELEY_CITATION_e3719fbe-f768-411d-ac39-5c8680a835bc&quot;,&quot;properties&quot;:{&quot;noteIndex&quot;:0},&quot;isEdited&quot;:false,&quot;manualOverride&quot;:{&quot;isManuallyOverridden&quot;:true,&quot;citeprocText&quot;:&quot;(Carson et al., 2012; Reuber et al., 2003)&quot;,&quot;manualOverrideText&quot;:&quot;(A. J. Carson et al., 2012a; Reuber, Pukrop, Bauer, et al., 2003)&quot;},&quot;citationItems&quot;:[{&quot;id&quot;:&quot;754d157c-4dde-3923-ae60-4eb7ddfdfa51&quot;,&quot;itemData&quot;:{&quot;type&quot;:&quot;article-journal&quot;,&quot;id&quot;:&quot;754d157c-4dde-3923-ae60-4eb7ddfdfa51&quot;,&quot;title&quot;:&quot;Functional (conversion) neurological symptoms: research since the millennium&quot;,&quot;author&quot;:[{&quot;family&quot;:&quot;Carson&quot;,&quot;given&quot;:&quot;Alan J.&quot;,&quot;parse-names&quot;:false,&quot;dropping-particle&quot;:&quot;&quot;,&quot;non-dropping-particle&quot;:&quot;&quot;},{&quot;family&quot;:&quot;Brown&quot;,&quot;given&quot;:&quot;Richard&quot;,&quot;parse-names&quot;:false,&quot;dropping-particle&quot;:&quot;&quot;,&quot;non-dropping-particle&quot;:&quot;&quot;},{&quot;family&quot;:&quot;David&quot;,&quot;given&quot;:&quot;Anthony S.&quot;,&quot;parse-names&quot;:false,&quot;dropping-particle&quot;:&quot;&quot;,&quot;non-dropping-particle&quot;:&quot;&quot;},{&quot;family&quot;:&quot;Duncan&quot;,&quot;given&quot;:&quot;Roderick&quot;,&quot;parse-names&quot;:false,&quot;dropping-particle&quot;:&quot;&quot;,&quot;non-dropping-particle&quot;:&quot;&quot;},{&quot;family&quot;:&quot;Edwards&quot;,&quot;given&quot;:&quot;Mark J.&quot;,&quot;parse-names&quot;:false,&quot;dropping-particle&quot;:&quot;&quot;,&quot;non-dropping-particle&quot;:&quot;&quot;},{&quot;family&quot;:&quot;Goldstein&quot;,&quot;given&quot;:&quot;Laura H.&quot;,&quot;parse-names&quot;:false,&quot;dropping-particle&quot;:&quot;&quot;,&quot;non-dropping-particle&quot;:&quot;&quot;},{&quot;family&quot;:&quot;Grunewald&quot;,&quot;given&quot;:&quot;Richard&quot;,&quot;parse-names&quot;:false,&quot;dropping-particle&quot;:&quot;&quot;,&quot;non-dropping-particle&quot;:&quot;&quot;},{&quot;family&quot;:&quot;Howlett&quot;,&quot;given&quot;:&quot;Stephaine&quot;,&quot;parse-names&quot;:false,&quot;dropping-particle&quot;:&quot;&quot;,&quot;non-dropping-particle&quot;:&quot;&quot;},{&quot;family&quot;:&quot;Kanaan&quot;,&quot;given&quot;:&quot;Richard&quot;,&quot;parse-names&quot;:false,&quot;dropping-particle&quot;:&quot;&quot;,&quot;non-dropping-particle&quot;:&quot;&quot;},{&quot;family&quot;:&quot;Mellers&quot;,&quot;given&quot;:&quot;John&quot;,&quot;parse-names&quot;:false,&quot;dropping-particle&quot;:&quot;&quot;,&quot;non-dropping-particle&quot;:&quot;&quot;},{&quot;family&quot;:&quot;Nicholson&quot;,&quot;given&quot;:&quot;Timothy R.&quot;,&quot;parse-names&quot;:false,&quot;dropping-particle&quot;:&quot;&quot;,&quot;non-dropping-particle&quot;:&quot;&quot;},{&quot;family&quot;:&quot;Reuber&quot;,&quot;given&quot;:&quot;M.&quot;,&quot;parse-names&quot;:false,&quot;dropping-particle&quot;:&quot;&quot;,&quot;non-dropping-particle&quot;:&quot;&quot;},{&quot;family&quot;:&quot;Schrag&quot;,&quot;given&quot;:&quot;Anette Eleonore&quot;,&quot;parse-names&quot;:false,&quot;dropping-particle&quot;:&quot;&quot;,&quot;non-dropping-particle&quot;:&quot;&quot;},{&quot;family&quot;:&quot;Stone&quot;,&quot;given&quot;:&quot;Jon&quot;,&quot;parse-names&quot;:false,&quot;dropping-particle&quot;:&quot;&quot;,&quot;non-dropping-particle&quot;:&quot;&quot;},{&quot;family&quot;:&quot;Voon&quot;,&quot;given&quot;:&quot;Valerie&quot;,&quot;parse-names&quot;:false,&quot;dropping-particle&quot;:&quot;&quot;,&quot;non-dropping-particle&quot;:&quot;&quot;}],&quot;container-title&quot;:&quot;Journal of Neurology, Neurosurgery &amp; Psychiatry&quot;,&quot;container-title-short&quot;:&quot;J Neurol Neurosurg Psychiatry&quot;,&quot;accessed&quot;:{&quot;date-parts&quot;:[[2023,4,13]]},&quot;DOI&quot;:&quot;10.1136/JNNP-2011-301860&quot;,&quot;ISSN&quot;:&quot;0022-3050&quot;,&quot;PMID&quot;:&quot;22661497&quot;,&quot;URL&quot;:&quot;https://jnnp.bmj.com/content/83/8/842&quot;,&quot;issued&quot;:{&quot;date-parts&quot;:[[2012,8,1]]},&quot;page&quot;:&quot;842-850&quot;,&quot;abstract&quot;:&quot;Functional neurological symptoms (FNS) are commonly encountered but have engendered remarkably little academic interest. ‘UK-Functional Neurological Symptoms (UK-FNS)’ was an informal inaugural meeting of UK based clinicians in March 2011 with a variety of research and clinical interests in the field. This narrative review reflects the content of the meeting, and our opinion of key findings in the field since the turn of the millennium.&quot;,&quot;publisher&quot;:&quot;BMJ Publishing Group Ltd&quot;,&quot;issue&quot;:&quot;8&quot;,&quot;volume&quot;:&quot;83&quot;},&quot;isTemporary&quot;:false},{&quot;id&quot;:&quot;6d5b1f6f-b47a-3d60-8412-670cbd7dfe0e&quot;,&quot;itemData&quot;:{&quot;type&quot;:&quot;article-journal&quot;,&quot;id&quot;:&quot;6d5b1f6f-b47a-3d60-8412-670cbd7dfe0e&quot;,&quot;title&quot;:&quot;Outcome in psychogenic nonepileptic seizures: 1 to 10-year follow-up in 164 patients&quot;,&quot;author&quot;:[{&quot;family&quot;:&quot;Reuber&quot;,&quot;given&quot;:&quot;Markus&quot;,&quot;parse-names&quot;:false,&quot;dropping-particle&quot;:&quot;&quot;,&quot;non-dropping-particle&quot;:&quot;&quot;},{&quot;family&quot;:&quot;Pukrop&quot;,&quot;given&quot;:&quot;Ralf&quot;,&quot;parse-names&quot;:false,&quot;dropping-particle&quot;:&quot;&quot;,&quot;non-dropping-particle&quot;:&quot;&quot;},{&quot;family&quot;:&quot;Bauer&quot;,&quot;given&quot;:&quot;J�Rgen&quot;,&quot;parse-names&quot;:false,&quot;dropping-particle&quot;:&quot;&quot;,&quot;non-dropping-particle&quot;:&quot;&quot;},{&quot;family&quot;:&quot;Helmstaedter&quot;,&quot;given&quot;:&quot;Christoph&quot;,&quot;parse-names&quot;:false,&quot;dropping-particle&quot;:&quot;&quot;,&quot;non-dropping-particle&quot;:&quot;&quot;},{&quot;family&quot;:&quot;Tessendorf&quot;,&quot;given&quot;:&quot;Natalie&quot;,&quot;parse-names&quot;:false,&quot;dropping-particle&quot;:&quot;&quot;,&quot;non-dropping-particle&quot;:&quot;&quot;},{&quot;family&quot;:&quot;Elger&quot;,&quot;given&quot;:&quot;Christian Erich&quot;,&quot;parse-names&quot;:false,&quot;dropping-particle&quot;:&quot;&quot;,&quot;non-dropping-particle&quot;:&quot;&quot;}],&quot;container-title&quot;:&quot;Annals of Neurology&quot;,&quot;container-title-short&quot;:&quot;Ann Neurol&quot;,&quot;DOI&quot;:&quot;10.1002/ana.3000&quot;,&quot;ISSN&quot;:&quot;0364-5134&quot;,&quot;issued&quot;:{&quot;date-parts&quot;:[[2003]]},&quot;page&quot;:&quot;305-311&quot;,&quot;publisher&quot;:&quot;Wiley&quot;,&quot;issue&quot;:&quot;3&quot;,&quot;volume&quot;:&quot;53&quot;},&quot;isTemporary&quot;:false}],&quot;citationTag&quot;:&quot;MENDELEY_CITATION_v3_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&quot;},{&quot;citationID&quot;:&quot;MENDELEY_CITATION_a32a44ad-5bd6-46b2-a921-478bb6f0e917&quot;,&quot;properties&quot;:{&quot;noteIndex&quot;:0},&quot;isEdited&quot;:false,&quot;manualOverride&quot;:{&quot;isManuallyOverridden&quot;:false,&quot;citeprocText&quot;:&quot;(Baizabal-Carvallo et al., 2019; Nicholson et al., 2020)&quot;,&quot;manualOverrideText&quot;:&quot;&quot;},&quot;citationItems&quot;:[{&quot;id&quot;:&quot;2766f6c3-7816-3a07-a116-c4040e6043db&quot;,&quot;itemData&quot;:{&quot;type&quot;:&quot;article-journal&quot;,&quot;id&quot;:&quot;2766f6c3-7816-3a07-a116-c4040e6043db&quot;,&quot;title&quot;:&quot;Pathogenesis and pathophysiology of functional (psychogenic) movement disorders&quot;,&quot;author&quot;:[{&quot;family&quot;:&quot;Baizabal-Carvallo&quot;,&quot;given&quot;:&quot;J F&quot;,&quot;parse-names&quot;:false,&quot;dropping-particle&quot;:&quot;&quot;,&quot;non-dropping-particle&quot;:&quot;&quot;},{&quot;family&quot;:&quot;Hallett&quot;,&quot;given&quot;:&quot;M&quot;,&quot;parse-names&quot;:false,&quot;dropping-particle&quot;:&quot;&quot;,&quot;non-dropping-particle&quot;:&quot;&quot;},{&quot;family&quot;:&quot;Jankovic&quot;,&quot;given&quot;:&quot;J&quot;,&quot;parse-names&quot;:false,&quot;dropping-particle&quot;:&quot;&quot;,&quot;non-dropping-particle&quot;:&quot;&quot;}],&quot;container-title&quot;:&quot;Neurobiol Dis&quot;,&quot;DOI&quot;:&quot;10.1016/j.nbd.2019.02.013&quot;,&quot;ISSN&quot;:&quot;0969-9961&quot;,&quot;PMID&quot;:&quot;30798005&quot;,&quot;issued&quot;:{&quot;date-parts&quot;:[[2019]]},&quot;page&quot;:&quot;32-44&quot;,&quot;language&quot;:&quot;eng&quot;,&quot;abstract&quot;:&quot;Functional movement disorders (FMDs), known over time as \&quot;hysteria\&quot;, \&quot;dissociative\&quot;, \&quot;conversion\&quot;, \&quot;somatoform\&quot;, \&quot;non-organic\&quot; and \&quot;psychogenic\&quot; disorders, are characterized by having a voluntary quality, being modifiable by attention and distraction but perceived by the patient as involuntary. Although a high prevalence of depression and anxiety is observed in these patients, a definitive role of psychiatric disorders in FMDs has not been proven, and many patients do not endorse such manifestations. Stressful events, social influences and minor trauma may precede the onset of FMDs, but their pathogenic mechanisms are unclear. Patients with FMDs have several abnormalities in their neurobiology including strengthened connectivity between the limbic and motor networks. Additionally, there is altered top-down regulation of motor activities and increased activation of areas implicated in self-awareness, self-monitoring, and active motor inhibition such as the cingulate and insular cortex. Decreased activation of the supplementary motor area (SMA) and pre-SMA, implicated in motor control and preparation, is another finding. The sense of agency defined as the feeling of controlling external events through one's own action also seems to be impaired in individuals with FMDs. Correlating with this is a loss of intentional binding, a subjective time compression between intentional action and its sensory consequences. Organic and functional dystonia may be difficult to differentiate since they share diverse neurophysiological features including decreased cortical inhibition, and similar local field potentials in the globus pallidus and thalamus; although increased cortical plasticity is observed only in patients with organic dystonia. Advances in the pathogenesis and pathophysiology of FMDs may be helpful to understand the nature of these disorders and plan further treatment strategies.&quot;,&quot;edition&quot;:&quot;2019/02/25&quot;,&quot;volume&quot;:&quot;127&quot;,&quot;container-title-short&quot;:&quot;&quot;},&quot;isTemporary&quot;:false},{&quot;id&quot;:&quot;d426fb1e-6eed-34b0-92e9-af043ccce7fd&quot;,&quot;itemData&quot;:{&quot;type&quot;:&quot;article-journal&quot;,&quot;id&quot;:&quot;d426fb1e-6eed-34b0-92e9-af043ccce7fd&quot;,&quot;title&quot;:&quot;Outcome Measures for Functional Neurological Disorder: A Review of the Theoretical Complexities&quot;,&quot;author&quot;:[{&quot;family&quot;:&quot;Nicholson&quot;,&quot;given&quot;:&quot;T R&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Mildon&quot;,&quot;given&quot;:&quot;B&quot;,&quot;parse-names&quot;:false,&quot;dropping-particle&quot;:&quot;&quot;,&quot;non-dropping-particle&quot;:&quot;&quot;},{&quot;family&quot;:&quot;Nielsen&quot;,&quot;given&quot;:&quot;G&quot;,&quot;parse-names&quot;:false,&quot;dropping-particle&quot;:&quot;&quot;,&quot;non-dropping-particle&quot;:&quot;&quot;},{&quot;family&quot;:&quot;Nicholson&quot;,&quot;given&quot;:&quot;C&quot;,&quot;parse-names&quot;:false,&quot;dropping-particle&quot;:&quot;&quot;,&quot;non-dropping-particle&quot;:&quot;&quot;},{&quot;family&quot;:&quot;Perez&quot;,&quot;given&quot;:&quot;D L&quot;,&quot;parse-names&quot;:false,&quot;dropping-particle&quot;:&quot;&quot;,&quot;non-dropping-particle&quot;:&quot;&quot;},{&quot;family&quot;:&quot;Pick&quot;,&quot;given&quot;:&quot;S&quot;,&quot;parse-names&quot;:false,&quot;dropping-particle&quot;:&quot;&quot;,&quot;non-dropping-particle&quot;:&quot;&quot;},{&quot;family&quot;:&quot;Stone&quot;,&quot;given&quot;:&quot;J&quot;,&quot;parse-names&quot;:false,&quot;dropping-particle&quot;:&quot;&quot;,&quot;non-dropping-particle&quot;:&quot;&quot;}],&quot;container-title&quot;:&quot;J Neuropsychiatry Clin Neurosci&quot;,&quot;DOI&quot;:&quot;10.1176/appi.neuropsych.19060128&quot;,&quot;ISSN&quot;:&quot;0895-0172&quot;,&quot;PMID&quot;:&quot;31865871&quot;,&quot;issued&quot;:{&quot;date-parts&quot;:[[2020]]},&quot;page&quot;:&quot;33-42&quot;,&quot;language&quot;:&quot;eng&quot;,&quot;abstract&quot;:&quot;The development and selection of optimal outcome measures is increasingly recognized as a key component of evidence-based medicine, particularly the need for the development of a standardized set of measures for use in clinical trials. This process is particularly complex for functional neurological disorder (FND) for several reasons. FND can present with a wide range of symptoms that resemble the full spectrum of other neurological disorders. Additional physical (e.g., pain, fatigue) and psychological (e.g., depression, anxiety) symptoms are commonly associated with FND, which also can be highly disabling with implications for prognosis, and warrant concurrent assessment, despite an unclear etiological relationship with FND. Furthermore, several unique clinical aspects of FND make it likely that the usual prioritization of \&quot;objective\&quot; (or clinician-rated) over \&quot;subjective\&quot; (or patient-rated) measures might not be appropriate. Self-report measures may be more clinically meaningful in this patient population. Despite being a common and disabling disorder, there has been little research into outcome measures in FND, and to date trials have largely used measures designed for the assessment of other disorders. An international FND Core Outcome Measure group (FND-COM) has been established to develop a consensus battery of outcomes for FND: a \&quot;core outcome set.\&quot; In this perspective article, the authors reviewed the process of outcome measure development and selection before considering the specific features of FND affecting the development of a core outcome set, as well as a research agenda to optimize outcome measurement in this complex neuropsychiatric disorder.&quot;,&quot;edition&quot;:&quot;2019/12/24&quot;,&quot;issue&quot;:&quot;1&quot;,&quot;volume&quot;:&quot;32&quot;,&quot;container-title-short&quot;:&quot;&quot;},&quot;isTemporary&quot;:false}],&quot;citationTag&quot;:&quot;MENDELEY_CITATION_v3_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&quot;},{&quot;citationID&quot;:&quot;MENDELEY_CITATION_250d1467-afea-4bc3-a6f3-a3ddfa322c28&quot;,&quot;properties&quot;:{&quot;noteIndex&quot;:0},&quot;isEdited&quot;:false,&quot;manualOverride&quot;:{&quot;isManuallyOverridden&quot;:true,&quot;citeprocText&quot;:&quot;(Pick et al., 2020)&quot;,&quot;manualOverrideText&quot;:&quot;(Pick, Anderson, et al., 2020)&quot;},&quot;citationItems&quot;:[{&quot;id&quot;:&quot;9efeb79a-71d9-3505-8b13-ff928235f0b6&quot;,&quot;itemData&quot;:{&quot;type&quot;:&quot;article-journal&quot;,&quot;id&quot;:&quot;9efeb79a-71d9-3505-8b13-ff928235f0b6&quot;,&quot;title&quot;:&quot;Outcome measurement in functional neurological disorder: a systematic review and recommendations. LID - jnnp-2019-322180 [pii] LID - 10.1136/jnnp-2019-322180 [doi]&quot;,&quot;author&quot;:[{&quot;family&quot;:&quot;Pick&quot;,&quot;given&quot;:&quot;Susannah&quot;,&quot;parse-names&quot;:false,&quot;dropping-particle&quot;:&quot;&quot;,&quot;non-dropping-particle&quot;:&quot;&quot;},{&quot;family&quot;:&quot;Anderson&quot;,&quot;given&quot;:&quot;D&quot;,&quot;parse-names&quot;:false,&quot;dropping-particle&quot;:&quot;&quot;,&quot;non-dropping-particle&quot;:&quot;&quot;},{&quot;family&quot;:&quot;Asadi-Pooya&quot;,&quot;given&quot;:&quot;A&quot;,&quot;parse-names&quot;:false,&quot;dropping-particle&quot;:&quot;&quot;,&quot;non-dropping-particle&quot;:&quot;&quot;},{&quot;family&quot;:&quot;Aybek&quot;,&quot;given&quot;:&quot;S&quot;,&quot;parse-names&quot;:false,&quot;dropping-particle&quot;:&quot;&quot;,&quot;non-dropping-particle&quot;:&quot;&quot;},{&quot;family&quot;:&quot;Baslet&quot;,&quot;given&quot;:&quot;G&quot;,&quot;parse-names&quot;:false,&quot;dropping-particle&quot;:&quot;&quot;,&quot;non-dropping-particle&quot;:&quot;&quot;},{&quot;family&quot;:&quot;Bloem&quot;,&quot;given&quot;:&quot;B&quot;,&quot;parse-names&quot;:false,&quot;dropping-particle&quot;:&quot;&quot;,&quot;non-dropping-particle&quot;:&quot;&quot;},{&quot;family&quot;:&quot;Bradley-Westguard&quot;,&quot;given&quot;:&quot;&quot;,&quot;parse-names&quot;:false,&quot;dropping-particle&quot;:&quot;&quot;,&quot;non-dropping-particle&quot;:&quot;&quot;},{&quot;family&quot;:&quot;Brown&quot;,&quot;given&quot;:&quot;Richard&quot;,&quot;parse-names&quot;:false,&quot;dropping-particle&quot;:&quot;&quot;,&quot;non-dropping-particle&quot;:&quot;&quot;},{&quot;family&quot;:&quot;Brown&quot;,&quot;given&quot;:&quot;Rj Auid-Orcid&quot;,&quot;parse-names&quot;:false,&quot;dropping-particle&quot;:&quot;&quot;,&quot;non-dropping-particle&quot;:&quot;&quot;},{&quot;family&quot;:&quot;Carson&quot;,&quot;given&quot;:&quot;Aj Auid-Orcid&quot;,&quot;parse-names&quot;:false,&quot;dropping-particle&quot;:&quot;&quot;,&quot;non-dropping-particle&quot;:&quot;&quot;},{&quot;family&quot;:&quot;Chalder&quot;,&quot;given&quot;:&quot;T Auid-Orcid&quot;,&quot;parse-names&quot;:false,&quot;dropping-particle&quot;:&quot;&quot;,&quot;non-dropping-particle&quot;:&quot;&quot;},{&quot;family&quot;:&quot;Damianova&quot;,&quot;given&quot;:&quot;M&quot;,&quot;parse-names&quot;:false,&quot;dropping-particle&quot;:&quot;&quot;,&quot;non-dropping-particle&quot;:&quot;&quot;},{&quot;family&quot;:&quot;David&quot;,&quot;given&quot;:&quot;As Auid-Orcid X&quot;,&quot;parse-names&quot;:false,&quot;dropping-particle&quot;:&quot;&quot;,&quot;non-dropping-particle&quot;:&quot;&quot;},{&quot;family&quot;:&quot;Edwards&quot;,&quot;given&quot;:&quot;Mj Auid-Orcid&quot;,&quot;parse-names&quot;:false,&quot;dropping-particle&quot;:&quot;&quot;,&quot;non-dropping-particle&quot;:&quot;&quot;},{&quot;family&quot;:&quot;Epstein&quot;,&quot;given&quot;:&quot;S A&quot;,&quot;parse-names&quot;:false,&quot;dropping-particle&quot;:&quot;&quot;,&quot;non-dropping-particle&quot;:&quot;&quot;},{&quot;family&quot;:&quot;Espay&quot;,&quot;given&quot;:&quot;Aj Auid-Orcid X&quot;,&quot;parse-names&quot;:false,&quot;dropping-particle&quot;:&quot;&quot;,&quot;non-dropping-particle&quot;:&quot;&quot;},{&quot;family&quot;:&quot;Garcin&quot;,&quot;given&quot;:&quot;B Auid-Orcid&quot;,&quot;parse-names&quot;:false,&quot;dropping-particle&quot;:&quot;&quot;,&quot;non-dropping-particle&quot;:&quot;&quot;},{&quot;family&quot;:&quot;Goldstein&quot;,&quot;given&quot;:&quot;Lh Auid-Orcid&quot;,&quot;parse-names&quot;:false,&quot;dropping-particle&quot;:&quot;&quot;,&quot;non-dropping-particle&quot;:&quot;&quot;},{&quot;family&quot;:&quot;Hallett&quot;,&quot;given&quot;:&quot;M Auid-Orcid&quot;,&quot;parse-names&quot;:false,&quot;dropping-particle&quot;:&quot;&quot;,&quot;non-dropping-particle&quot;:&quot;&quot;},{&quot;family&quot;:&quot;Jankovic&quot;,&quot;given&quot;:&quot;J Auid-Orcid&quot;,&quot;parse-names&quot;:false,&quot;dropping-particle&quot;:&quot;&quot;,&quot;non-dropping-particle&quot;:&quot;&quot;},{&quot;family&quot;:&quot;Joyce&quot;,&quot;given&quot;:&quot;Em Auid-Orcid&quot;,&quot;parse-names&quot;:false,&quot;dropping-particle&quot;:&quot;&quot;,&quot;non-dropping-particle&quot;:&quot;&quot;},{&quot;family&quot;:&quot;Kanaan&quot;,&quot;given&quot;:&quot;Ra Auid-Orcid&quot;,&quot;parse-names&quot;:false,&quot;dropping-particle&quot;:&quot;&quot;,&quot;non-dropping-particle&quot;:&quot;&quot;},{&quot;family&quot;:&quot;Keynejad&quot;,&quot;given&quot;:&quot;Rc Auid-Orcid&quot;,&quot;parse-names&quot;:false,&quot;dropping-particle&quot;:&quot;&quot;,&quot;non-dropping-particle&quot;:&quot;&quot;},{&quot;family&quot;:&quot;Kozlowska&quot;,&quot;given&quot;:&quot;K Auid-Orcid&quot;,&quot;parse-names&quot;:false,&quot;dropping-particle&quot;:&quot;&quot;,&quot;non-dropping-particle&quot;:&quot;&quot;},{&quot;family&quot;:&quot;LaFaver&quot;,&quot;given&quot;:&quot;K Auid-Orcid X&quot;,&quot;parse-names&quot;:false,&quot;dropping-particle&quot;:&quot;&quot;,&quot;non-dropping-particle&quot;:&quot;&quot;},{&quot;family&quot;:&quot;LaFrance&quot;,&quot;given&quot;:&quot;W C Jr Auid-Orcid&quot;,&quot;parse-names&quot;:false,&quot;dropping-particle&quot;:&quot;&quot;,&quot;non-dropping-particle&quot;:&quot;&quot;},{&quot;family&quot;:&quot;Lang&quot;,&quot;given&quot;:&quot;Ae Auid-Orcid&quot;,&quot;parse-names&quot;:false,&quot;dropping-particle&quot;:&quot;&quot;,&quot;non-dropping-particle&quot;:&quot;&quot;},{&quot;family&quot;:&quot;Lehn&quot;,&quot;given&quot;:&quot;A Auid-Orcid&quot;,&quot;parse-names&quot;:false,&quot;dropping-particle&quot;:&quot;&quot;,&quot;non-dropping-particle&quot;:&quot;&quot;},{&quot;family&quot;:&quot;Lidstone&quot;,&quot;given&quot;:&quot;S Auid-Orcid&quot;,&quot;parse-names&quot;:false,&quot;dropping-particle&quot;:&quot;&quot;,&quot;non-dropping-particle&quot;:&quot;&quot;},{&quot;family&quot;:&quot;Maurer&quot;,&quot;given&quot;:&quot;Cw Auid-Orcid&quot;,&quot;parse-names&quot;:false,&quot;dropping-particle&quot;:&quot;&quot;,&quot;non-dropping-particle&quot;:&quot;&quot;},{&quot;family&quot;:&quot;Mildon&quot;,&quot;given&quot;:&quot;B Auid-Orcid&quot;,&quot;parse-names&quot;:false,&quot;dropping-particle&quot;:&quot;&quot;,&quot;non-dropping-particle&quot;:&quot;&quot;},{&quot;family&quot;:&quot;Morgante&quot;,&quot;given&quot;:&quot;F Auid-Orcid&quot;,&quot;parse-names&quot;:false,&quot;dropping-particle&quot;:&quot;&quot;,&quot;non-dropping-particle&quot;:&quot;&quot;},{&quot;family&quot;:&quot;Myers&quot;,&quot;given&quot;:&quot;L Auid-Orcid&quot;,&quot;parse-names&quot;:false,&quot;dropping-particle&quot;:&quot;&quot;,&quot;non-dropping-particle&quot;:&quot;&quot;},{&quot;family&quot;:&quot;Nicholson&quot;,&quot;given&quot;:&quot;C Auid-Orcid&quot;,&quot;parse-names&quot;:false,&quot;dropping-particle&quot;:&quot;&quot;,&quot;non-dropping-particle&quot;:&quot;&quot;},{&quot;family&quot;:&quot;Nielsen&quot;,&quot;given&quot;:&quot;G Auid-Orcid&quot;,&quot;parse-names&quot;:false,&quot;dropping-particle&quot;:&quot;&quot;,&quot;non-dropping-particle&quot;:&quot;&quot;},{&quot;family&quot;:&quot;Perez&quot;,&quot;given&quot;:&quot;Dl Auid-Orcid X&quot;,&quot;parse-names&quot;:false,&quot;dropping-particle&quot;:&quot;&quot;,&quot;non-dropping-particle&quot;:&quot;&quot;},{&quot;family&quot;:&quot;Popkirov&quot;,&quot;given&quot;:&quot;S Auid-Orcid&quot;,&quot;parse-names&quot;:false,&quot;dropping-particle&quot;:&quot;&quot;,&quot;non-dropping-particle&quot;:&quot;&quot;},{&quot;family&quot;:&quot;Reuber&quot;,&quot;given&quot;:&quot;M Auid-Orcid&quot;,&quot;parse-names&quot;:false,&quot;dropping-particle&quot;:&quot;&quot;,&quot;non-dropping-particle&quot;:&quot;&quot;},{&quot;family&quot;:&quot;Rommelfanger&quot;,&quot;given&quot;:&quot;Ks Auid-Orcid&quot;,&quot;parse-names&quot;:false,&quot;dropping-particle&quot;:&quot;&quot;,&quot;non-dropping-particle&quot;:&quot;&quot;},{&quot;family&quot;:&quot;Schwingenshuh&quot;,&quot;given&quot;:&quot;P Auid-Orcid&quot;,&quot;parse-names&quot;:false,&quot;dropping-particle&quot;:&quot;&quot;,&quot;non-dropping-particle&quot;:&quot;&quot;},{&quot;family&quot;:&quot;Serranova&quot;,&quot;given&quot;:&quot;T Auid-Orcid&quot;,&quot;parse-names&quot;:false,&quot;dropping-particle&quot;:&quot;&quot;,&quot;non-dropping-particle&quot;:&quot;&quot;},{&quot;family&quot;:&quot;Shotbolt&quot;,&quot;given&quot;:&quot;P Auid-Orcid X&quot;,&quot;parse-names&quot;:false,&quot;dropping-particle&quot;:&quot;&quot;,&quot;non-dropping-particle&quot;:&quot;&quot;},{&quot;family&quot;:&quot;Stebbins&quot;,&quot;given&quot;:&quot;Gt Auid-Orcid&quot;,&quot;parse-names&quot;:false,&quot;dropping-particle&quot;:&quot;&quot;,&quot;non-dropping-particle&quot;:&quot;&quot;},{&quot;family&quot;:&quot;Stone&quot;,&quot;given&quot;:&quot;J Auid-Orcid&quot;,&quot;parse-names&quot;:false,&quot;dropping-particle&quot;:&quot;&quot;,&quot;non-dropping-particle&quot;:&quot;&quot;},{&quot;family&quot;:&quot;Tijssen&quot;,&quot;given&quot;:&quot;Ma Auid-Orcid X&quot;,&quot;parse-names&quot;:false,&quot;dropping-particle&quot;:&quot;&quot;,&quot;non-dropping-particle&quot;:&quot;&quot;},{&quot;family&quot;:&quot;Tinazzi&quot;,&quot;given&quot;:&quot;M Auid-Orcid&quot;,&quot;parse-names&quot;:false,&quot;dropping-particle&quot;:&quot;&quot;,&quot;non-dropping-particle&quot;:&quot;&quot;},{&quot;family&quot;:&quot;Nicholson&quot;,&quot;given&quot;:&quot;Tr Auid-Orcid&quot;,&quot;parse-names&quot;:false,&quot;dropping-particle&quot;:&quot;&quot;,&quot;non-dropping-particle&quot;:&quot;&quot;},{&quot;family&quot;:&quot;Psychiatry&quot;,&quot;given&quot;:&quot;J Neurol Neurosurg&quot;,&quot;parse-names&quot;:false,&quot;dropping-particle&quot;:&quot;&quot;,&quot;non-dropping-particle&quot;:&quot;&quot;}],&quot;issued&quot;:{&quot;date-parts&quot;:[[2020]]},&quot;language&quot;:&quot;eng&quot;,&quot;abstract&quot;:&quot;OBJECTIVES: We aimed to identify existing outcome measures for functional neurological disorder (FND), to inform the development of recommendations and to guide future research on FND outcomes. METHODS: A systematic review was conducted to identify existing FND-specific outcome measures and the most common measurement domains and measures in previous treatment studies. Searches of Embase, MEDLINE and PsycINFO were conducted between January 1965 and June 2019. The findings were discussed during two international meetings of the FND-Core Outcome Measures group. RESULTS: Five FND-specific measures were identified-three clinician-rated and two patient-rated-but their measurement properties have not been rigorously evaluated. No single measure was identified for use across the range of FND symptoms in adults. Across randomised controlled trials (k=40) and observational treatment studies (k=40), outcome measures most often assessed core FND symptom change. Other domains measured commonly were additional physical and psychological symptoms, life impact (ie, quality of life, disability and general functioning) and health economics/cost-utility (eg, healthcare resource use and quality-adjusted life years). CONCLUSIONS: There are few well-validated FND-specific outcome measures. Thus, at present, we recommend that existing outcome measures, known to be reliable, valid and responsive in FND or closely related populations, are used to capture key outcome domains. Increased consistency in outcome measurement will facilitate comparison of treatment effects across FND symptom types and treatment modalities. Future work needs to more rigorously validate outcome measures used in this population.&quot;,&quot;issue&quot;:&quot;1468-330X (Electronic)&quot;,&quot;container-title-short&quot;:&quot;&quot;},&quot;isTemporary&quot;:false}],&quot;citationTag&quot;:&quot;MENDELEY_CITATION_v3_eyJjaXRhdGlvbklEIjoiTUVOREVMRVlfQ0lUQVRJT05fMjUwZDE0NjctYWZlYS00YmMzLWE2ZjMtYTNkZGZhMzIyYzI4IiwicHJvcGVydGllcyI6eyJub3RlSW5kZXgiOjB9LCJpc0VkaXRlZCI6ZmFsc2UsIm1hbnVhbE92ZXJyaWRlIjp7ImlzTWFudWFsbHlPdmVycmlkZGVuIjp0cnVlLCJjaXRlcHJvY1RleHQiOiIoUGljayBldCBhbC4sIDIwMjApIiwibWFudWFsT3ZlcnJpZGVUZXh0IjoiKFBpY2ssIEFuZGVyc29uLCBldCBhbC4sIDIwMjApIn0sImNpdGF0aW9uSXRlbXMiOlt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XX0=&quot;},{&quot;citationID&quot;:&quot;MENDELEY_CITATION_c4257f10-e9a2-4304-8dd4-a1f70124813e&quot;,&quot;properties&quot;:{&quot;noteIndex&quot;:0},&quot;isEdited&quot;:false,&quot;manualOverride&quot;:{&quot;isManuallyOverridden&quot;:false,&quot;citeprocText&quot;:&quot;(Benbadis, 2009; Pareés et al., 2012)&quot;,&quot;manualOverrideText&quot;:&quot;&quot;},&quot;citationItems&quot;:[{&quot;id&quot;:&quot;5dd811d6-05d3-3844-a37e-2a22693c254a&quot;,&quot;itemData&quot;:{&quot;type&quot;:&quot;article-journal&quot;,&quot;id&quot;:&quot;5dd811d6-05d3-3844-a37e-2a22693c254a&quot;,&quot;title&quot;:&quot;Provocative techniques should be used for the diagnosis of psychogenic nonepileptic seizures&quot;,&quot;author&quot;:[{&quot;family&quot;:&quot;Benbadis&quot;,&quot;given&quot;:&quot;S R&quot;,&quot;parse-names&quot;:false,&quot;dropping-particle&quot;:&quot;&quot;,&quot;non-dropping-particle&quot;:&quot;&quot;}],&quot;container-title&quot;:&quot;Epilepsy Behav&quot;,&quot;DOI&quot;:&quot;10.1016/j.yebeh.2009.02.002&quot;,&quot;ISSN&quot;:&quot;1525-5050&quot;,&quot;PMID&quot;:&quot;19435570&quot;,&quot;issued&quot;:{&quot;date-parts&quot;:[[2009]]},&quot;page&quot;:&quot;106-9; discussion 115-8&quot;,&quot;language&quot;:&quot;eng&quot;,&quot;abstract&quot;:&quot;Many epilepsy centers use provocative techniques (inductions) during EEG-video monitoring to aid in the diagnosis of psychogenic nonepileptic seizures. Provocative techniques are not always necessary, and they should only be used when they help establish the diagnosis. There are several situations where inductions have significant advantages. When attacks do not occur spontaneously, provocative techniques can turn an inconclusive evaluation into a diagnostic one. Triggering an attack with induction can shorten the evaluation, decreasing its cost and reducing waiting time in the monitoring unit. Patients with infrequent episodes (that do not occur frequently enough to obtain a spontaneous event during monitoring) can be scheduled for a brief outpatient monitoring with induction. In clinical scenarios where symptoms are consistent with a ''simple partial\&quot; seizure, the very presence of suggestibility is in itself a very strong additional argument to support a psychogenic etiology. The arguments against inductions are mainly based on ethical concerns. While these concerns have some validity, they are, in the real world, far outweighed by the alternatives. It is far more unethical to not obtain a definitive diagnosis when it would be possible, since the consequences of perpetuating the wrong diagnosis are many and serious. Even with placebo the benefits far outweigh the very minor ethical theoretical concerns, and the use of placebo is not even necessary. When correctly performed and interpreted, the specificity of inductions is over 90%. All tests have limitations, with some false positives and false negatives. Like all other tests, inductions must be used appropriately and with awareness of their limitations.&quot;,&quot;edition&quot;:&quot;2009/05/14&quot;,&quot;issue&quot;:&quot;2&quot;,&quot;volume&quot;:&quot;15&quot;,&quot;container-title-short&quot;:&quot;&quot;},&quot;isTemporary&quot;:false},{&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citationTag&quot;:&quot;MENDELEY_CITATION_v3_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&quot;},{&quot;citationID&quot;:&quot;MENDELEY_CITATION_fa97dd33-524a-41ef-9c38-c45f096b6441&quot;,&quot;properties&quot;:{&quot;noteIndex&quot;:0},&quot;isEdited&quot;:false,&quot;manualOverride&quot;:{&quot;isManuallyOverridden&quot;:true,&quot;citeprocText&quot;:&quot;(Brown &amp;#38; Reuber, 2016b; Keynejad et al., 2019)&quot;,&quot;manualOverrideText&quot;:&quot;(R. J. Brown &amp; Reuber, 2016b; Keynejad et al., 2019)&quot;},&quot;citationItems&quot;:[{&quot;id&quot;:&quot;b267082d-3c50-3bdc-8417-9920ed32ca61&quot;,&quot;itemData&quot;:{&quot;type&quot;:&quot;article-journal&quot;,&quot;id&quot;:&quot;b267082d-3c50-3bdc-8417-9920ed32ca61&quot;,&quot;title&quot;:&quot;Towards an integrative theory of psychogenic non-epileptic seizures (PNES)&quot;,&quot;author&quot;:[{&quot;family&quot;:&quot;Brown&quot;,&quot;given&quot;:&quot;Richard J.&quot;,&quot;parse-names&quot;:false,&quot;dropping-particle&quot;:&quot;&quot;,&quot;non-dropping-particle&quot;:&quot;&quot;},{&quot;family&quot;:&quot;Reuber&quot;,&quot;given&quot;:&quot;Markus&quot;,&quot;parse-names&quot;:false,&quot;dropping-particle&quot;:&quot;&quot;,&quot;non-dropping-particle&quot;:&quot;&quot;}],&quot;container-title&quot;:&quot;Clinical psychology review&quot;,&quot;container-title-short&quot;:&quot;Clin Psychol Rev&quot;,&quot;accessed&quot;:{&quot;date-parts&quot;:[[2023,6,10]]},&quot;DOI&quot;:&quot;10.1016/J.CPR.2016.06.003&quot;,&quot;ISSN&quot;:&quot;1873-7811&quot;,&quot;PMID&quot;:&quot;27340856&quot;,&quot;URL&quot;:&quot;https://pubmed.ncbi.nlm.nih.gov/27340856/&quot;,&quot;issued&quot;:{&quot;date-parts&quot;:[[2016,7,1]]},&quot;page&quot;:&quot;55-70&quot;,&quot;abstract&quot;:&quot;Psychogenic Nonepileptic Seizures (PNES) superficially resemble epileptic seizures but are thought to have a psychological rather than epileptic basis. Patients with PNES vary widely in terms of background, personality profiles, comorbidities, response to treatment and outcomes. Previous accounts interpreting these seizures as the activation of dissociated material, a physical manifestation of emotional distress, hard-wired reflex responses, or learned behaviours cannot explain key features of the phenomenon. Drawing on a brief reviewof the literature on etiology, correlates and phenomenology of PNES, this paper integrates existing approaches and data within a novel explanatory framework that applies to all PNES patients with subjectively involuntary seizures. Following the Integrative Cognitive Model of medically unexplained symptoms, we suggest that the central feature of all PNES is the automatic activation of a mental representation of seizures (the \&quot;seizure scaffold\&quot;) in the context of a high level inhibitory processing dysfunction. This often arises in response to elevated autonomic arousal, and may disrupt the individual's awareness of distressing material, but can become divorced from abnormal autonomic and emotional activity. This model accounts both for existing findings and the heterogeneity of patients with PNES, whilst leading to a number of novel hypotheses against which it can be evaluated.&quot;,&quot;publisher&quot;:&quot;Clin Psychol Rev&quot;,&quot;volume&quot;:&quot;47&quot;},&quot;isTemporary&quot;:false},{&quot;id&quot;:&quot;a80cc922-b6b8-3f52-91c9-e06dc2349d66&quot;,&quot;itemData&quot;:{&quot;type&quot;:&quot;article-journal&quot;,&quot;id&quot;:&quot;a80cc922-b6b8-3f52-91c9-e06dc2349d66&quot;,&quot;title&quot;:&quot;Stress and functional neurological disorders: mechanistic insights&quot;,&quot;author&quot;:[{&quot;family&quot;:&quot;Keynejad&quot;,&quot;given&quot;:&quot;Roxanne C.&quot;,&quot;parse-names&quot;:false,&quot;dropping-particle&quot;:&quot;&quot;,&quot;non-dropping-particle&quot;:&quot;&quot;},{&quot;family&quot;:&quot;Frodl&quot;,&quot;given&quot;:&quot;Thomas&quot;,&quot;parse-names&quot;:false,&quot;dropping-particle&quot;:&quot;&quot;,&quot;non-dropping-particle&quot;:&quot;&quot;},{&quot;family&quot;:&quot;Kanaan&quot;,&quot;given&quot;:&quot;Richard&quot;,&quot;parse-names&quot;:false,&quot;dropping-particle&quot;:&quot;&quot;,&quot;non-dropping-particle&quot;:&quot;&quot;},{&quot;family&quot;:&quot;Pariante&quot;,&quot;given&quot;:&quot;Carmine&quot;,&quot;parse-names&quot;:false,&quot;dropping-particle&quot;:&quot;&quot;,&quot;non-dropping-particle&quot;:&quot;&quot;},{&quot;family&quot;:&quot;Reuber&quot;,&quot;given&quot;:&quot;Markus&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 Psychiatry&quot;,&quot;container-title-short&quot;:&quot;J Neurol Neurosurg Psychiatry&quot;,&quot;accessed&quot;:{&quot;date-parts&quot;:[[2023,4,28]]},&quot;DOI&quot;:&quot;10.1136/JNNP-2018-318297&quot;,&quot;ISSN&quot;:&quot;0022-3050&quot;,&quot;PMID&quot;:&quot;30409887&quot;,&quot;URL&quot;:&quot;https://jnnp.bmj.com/content/90/7/813&quot;,&quot;issued&quot;:{&quot;date-parts&quot;:[[2019,7,1]]},&quot;page&quot;:&quot;813-821&quot;,&quot;abstract&quot;:&quot;At the interface between mind and body, psychiatry and neurology, functional neurological disorder (FND) remains poorly understood. Formerly dominant stress-related aetiological models have been increasingly challenged, in part due to cases without any history of past or recent trauma. In this perspective article, we review current evidence for such models, and how research into the role of traumatic stress in other disorders and the neurobiology of the stress response can inform our mechanistic understanding of FND. First, we discuss the association between stress and the onset or exacerbation of a variety of physical and mental health problems. Second, we review the role of hypothalamic-pituitary-adrenal axis dysfunction in the neurobiology of ill-health, alongside evidence for similar mechanisms in FND. Third, we advocate a stress-diathesis model, in which biological susceptibility interacts with early life adversity, where FND can be precipitated by traumatic events later in life and maintained by psychological responses. We hypothesise that greater biological susceptibility to FND is associated with less severe remote and recent stress, and that FND precipitated by more severe stress is associated with lower biological vulnerability. This would explain clinical experience of variable exposure to historical and recent traumatic stress among people with FND and requires empirical investigation. A testable, evidence-based stress-diathesis model can inform nuanced understanding of how biological and psychological factors interact at the individual level, with potential to inform personalised treatment pathways. Much-needed research to establish the aetiology of FND will enhance clinical care and communication, facilitate effective treatment and inform prevention strategies.&quot;,&quot;publisher&quot;:&quot;BMJ Publishing Group Ltd&quot;,&quot;issue&quot;:&quot;7&quot;,&quot;volume&quot;:&quot;90&quot;},&quot;isTemporary&quot;:false}],&quot;citationTag&quot;:&quot;MENDELEY_CITATION_v3_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&quot;},{&quot;citationID&quot;:&quot;MENDELEY_CITATION_693df015-827a-4405-99e3-e79f5e2b07b9&quot;,&quot;properties&quot;:{&quot;noteIndex&quot;:0},&quot;isEdited&quot;:false,&quot;manualOverride&quot;:{&quot;isManuallyOverridden&quot;:true,&quot;citeprocText&quot;:&quot;(Bakvis et al., 2009, 2011; Demartini et al., 2016; Testa et al., 2012; I. A. Williams et al., 2018)&quot;,&quot;manualOverrideText&quot;:&quot;(Bakvis et al., 2009, 2011; Demartini et al., 2016; Testa et al., 2012; I. A. Williams, Levita, et al., 2018)&quot;},&quot;citationItems&quot;:[{&quot;id&quot;:&quot;82d2b97f-c95d-391e-9154-5e4ac51ddba3&quot;,&quot;itemData&quot;:{&quot;type&quot;:&quot;article-journal&quot;,&quot;id&quot;:&quot;82d2b97f-c95d-391e-9154-5e4ac51ddba3&quot;,&quot;title&quot;:&quot;Psychogenic non-epileptic seizures and functional motor symptoms: A common phenomenology?&quot;,&quot;author&quot;:[{&quot;family&quot;:&quot;Demartini&quot;,&quot;given&quot;:&quot;B&quot;,&quot;parse-names&quot;:false,&quot;dropping-particle&quot;:&quot;&quot;,&quot;non-dropping-particle&quot;:&quot;&quot;},{&quot;family&quot;:&quot;Goeta&quot;,&quot;given&quot;:&quot;D&quot;,&quot;parse-names&quot;:false,&quot;dropping-particle&quot;:&quot;&quot;,&quot;non-dropping-particle&quot;:&quot;&quot;},{&quot;family&quot;:&quot;Barbieri&quot;,&quot;given&quot;:&quot;V&quot;,&quot;parse-names&quot;:false,&quot;dropping-particle&quot;:&quot;&quot;,&quot;non-dropping-particle&quot;:&quot;&quot;},{&quot;family&quot;:&quot;Ricciardi&quot;,&quot;given&quot;:&quot;L&quot;,&quot;parse-names&quot;:false,&quot;dropping-particle&quot;:&quot;&quot;,&quot;non-dropping-particle&quot;:&quot;&quot;},{&quot;family&quot;:&quot;Canevini&quot;,&quot;given&quot;:&quot;M P&quot;,&quot;parse-names&quot;:false,&quot;dropping-particle&quot;:&quot;&quot;,&quot;non-dropping-particle&quot;:&quot;&quot;},{&quot;family&quot;:&quot;Turner&quot;,&quot;given&quot;:&quot;K&quot;,&quot;parse-names&quot;:false,&quot;dropping-particle&quot;:&quot;&quot;,&quot;non-dropping-particle&quot;:&quot;&quot;},{&quot;family&quot;:&quot;D'Agostino&quot;,&quot;given&quot;:&quot;A&quot;,&quot;parse-names&quot;:false,&quot;dropping-particle&quot;:&quot;&quot;,&quot;non-dropping-particle&quot;:&quot;&quot;},{&quot;family&quot;:&quot;Romito&quot;,&quot;given&quot;:&quot;L&quot;,&quot;parse-names&quot;:false,&quot;dropping-particle&quot;:&quot;&quot;,&quot;non-dropping-particle&quot;:&quot;&quot;},{&quot;family&quot;:&quot;Gambini&quot;,&quot;given&quot;:&quot;O&quot;,&quot;parse-names&quot;:false,&quot;dropping-particle&quot;:&quot;&quot;,&quot;non-dropping-particle&quot;:&quot;&quot;}],&quot;container-title&quot;:&quot;J Neurol Sci&quot;,&quot;DOI&quot;:&quot;10.1016/j.jns.2016.06.045&quot;,&quot;ISSN&quot;:&quot;0022-510x&quot;,&quot;PMID&quot;:&quot;27538601&quot;,&quot;issued&quot;:{&quot;date-parts&quot;:[[2016]]},&quot;page&quot;:&quot;49-54&quot;,&quot;language&quot;:&quot;eng&quot;,&quot;abstract&quot;:&quot;OBJECTIVE: Recent studies have attempted to compare patients affected by psychogenic non-epileptic seizures (PNES) to patients affected by functional motor symptoms (FMS) from a demographic, clinical and psychological perspective. Nevertheless, results are quite controversial and significant conclusions have not been drawn. The aim of our study was to evaluate the phenomenology of psychology of the two groups assessing levels of dissociation and its subcomponents, alexithymia and interoceptive sensitivity in patients with PNES and in patients with FMS. METHODS: We conducted a cross-sectional study recruiting 20 patients with PNES, 20 patients with FMS and 20 healthy subjects as a control group. All subjects underwent: Dissociative Experience Scale (DES), Somatoform Dissociation Questionnaire (SDQ-20), Cambridge Depersonalization Scale (CDS), Toronto Alexithymia Scale (TAS-20), Hamilton Rating Scale for Depression (HAM-D), Hamilton Rating Scale for anxiety (HAM-A), heart beat detection task. RESULTS: Our data suggest that PNES group scored significantly higher than the healthy control group on a measure of detachment (CDS). Also at the DES, a measure of psychoform dissociation, PNES patients scored significantly higher than healthy subjects. On the other hand patients affected by FMS scored significantly higher than the healthy control group on the SDQ but they did not report more experiences of detachment on the CDS. Patients affected by PNES and FMS were significantly more alexithymic than healthy controls, with a third of them scoring &gt;61 on the TAS-20. SIGNIFICANCE: Our data show different psychological mechanisms underlying patients with PNES and patients with FMS. This might lead also to potential implications for treatment.&quot;,&quot;edition&quot;:&quot;2016/08/20&quot;,&quot;volume&quot;:&quot;368&quot;,&quot;container-title-short&quot;:&quot;&quot;},&quot;isTemporary&quot;:false},{&quot;id&quot;:&quot;9d760acb-3a66-38f5-8899-b1cb95d9f3a5&quot;,&quot;itemData&quot;:{&quot;type&quot;:&quot;article-journal&quot;,&quot;id&quot;:&quot;9d760acb-3a66-38f5-8899-b1cb95d9f3a5&quot;,&quot;title&quot;:&quot;Automatic avoidance tendencies in patients with Psychogenic Non Epileptic Seizures&quot;,&quot;author&quot;:[{&quot;family&quot;:&quot;Bakvis&quot;,&quot;given&quot;:&quot;Patricia&quot;,&quot;parse-names&quot;:false,&quot;dropping-particle&quot;:&quot;&quot;,&quot;non-dropping-particle&quot;:&quot;&quot;},{&quot;family&quot;:&quot;Spinhoven&quot;,&quot;given&quot;:&quot;Philip&quot;,&quot;parse-names&quot;:false,&quot;dropping-particle&quot;:&quot;&quot;,&quot;non-dropping-particle&quot;:&quot;&quot;},{&quot;family&quot;:&quot;Zitman&quot;,&quot;given&quot;:&quot;F G&quot;,&quot;parse-names&quot;:false,&quot;dropping-particle&quot;:&quot;&quot;,&quot;non-dropping-particle&quot;:&quot;&quot;},{&quot;family&quot;:&quot;Roelofs&quot;,&quot;given&quot;:&quot;Karin&quot;,&quot;parse-names&quot;:false,&quot;dropping-particle&quot;:&quot;&quot;,&quot;non-dropping-particle&quot;:&quot;&quot;}],&quot;container-title&quot;:&quot;Seizure&quot;,&quot;container-title-short&quot;:&quot;Seizure&quot;,&quot;DOI&quot;:&quot;https://doi.org/10.1016/j.seizure.2011.06.006&quot;,&quot;ISSN&quot;:&quot;1059-1311&quot;,&quot;URL&quot;:&quot;http://www.sciencedirect.com/science/article/pii/S1059131111001658&quot;,&quot;issued&quot;:{&quot;date-parts&quot;:[[2011]]},&quot;page&quot;:&quot;628-634&quot;,&quot;abstract&quot;:&quot;Introduction Psychogenic Non Epileptic Seizures (PNES) have been theorized to reflect a learned pattern of avoidant behavior to deal with stressors. Although such observation may be relevant for our understanding of the etiology of PNES, evidence for this theory is largely build on self-report investigations and no studies have systematically tested actual avoidance behavior in patients with PNES. In this study, we tested automatic threat avoidance tendencies in relation to stress and cortisol levels in patients with PNES and healthy controls (HCs). Methods The approach and avoidance (AA) task was administered to 12 patients with PNES and 20 matched HCs at baseline and following stress-induction using the Cold Pressor Test (CPT). The AA task requires participants to evaluate the emotional valence of pictures of angry and happy faces by making arm movements (arm flexion or extension) that are either affect-congruent (avoid-angry; approach-happy) or affect-incongruent (approach-angry; avoid-happy) with their intuitive action tendencies. Saliva cortisol was measured throughout the experiment. Results Patients, but not HCs, showed increased approach-avoidance congruency-effects for angry faces on the AA task at baseline, with relatively slower approach of angry faces, which was overall associated with basal pre-task cortisol. This congruency-effect disappeared after the CPT. Discussion The present findings provide an objective confirmation of previous suggestions from self-report studies indicating that PNES patients show relatively increased avoidance tendencies to social threat cues. The registering of threat avoidance behavior may prove to be a clinically valuable contribution to evaluate psychological treatment effectiveness and perhaps even PNES prognosis.&quot;,&quot;issue&quot;:&quot;8&quot;,&quot;volume&quot;:&quot;20&quot;},&quot;isTemporary&quot;:false},{&quot;id&quot;:&quot;3c24f0e1-88ed-3f1b-b500-698f4c348a0f&quot;,&quot;itemData&quot;:{&quot;type&quot;:&quot;article-journal&quot;,&quot;id&quot;:&quot;3c24f0e1-88ed-3f1b-b500-698f4c348a0f&quot;,&quot;title&quot;:&quot;Trauma, stress, and preconscious threat processing in patients with psychogenic nonepileptic seizures&quot;,&quot;author&quot;:[{&quot;family&quot;:&quot;Bakvis&quot;,&quot;given&quot;:&quot;P&quot;,&quot;parse-names&quot;:false,&quot;dropping-particle&quot;:&quot;&quot;,&quot;non-dropping-particle&quot;:&quot;&quot;},{&quot;family&quot;:&quot;Roelofs&quot;,&quot;given&quot;:&quot;K&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Swinkels&quot;,&quot;given&quot;:&quot;W A&quot;,&quot;parse-names&quot;:false,&quot;dropping-particle&quot;:&quot;&quot;,&quot;non-dropping-particle&quot;:&quot;&quot;},{&quot;family&quot;:&quot;Spinhoven&quot;,&quot;given&quot;:&quot;P&quot;,&quot;parse-names&quot;:false,&quot;dropping-particle&quot;:&quot;&quot;,&quot;non-dropping-particle&quot;:&quot;&quot;}],&quot;container-title&quot;:&quot;Epilepsia&quot;,&quot;container-title-short&quot;:&quot;Epilepsia&quot;,&quot;DOI&quot;:&quot;10.1111/j.1528-1167.2008.01862.x&quot;,&quot;ISSN&quot;:&quot;0013-9580&quot;,&quot;PMID&quot;:&quot;19170739&quot;,&quot;issued&quot;:{&quot;date-parts&quot;:[[2009]]},&quot;page&quot;:&quot;1001-1011&quot;,&quot;language&quot;:&quot;eng&quot;,&quot;abstract&quot;:&quot;PURPOSE: Psychogenic nonepileptic seizures (PNES) have long been considered as paroxysmal dissociative symptoms characterized by an alteration of attentional functions caused by severe stress or trauma. Although interpersonal trauma is common in PNES, the proposed relation between trauma and attentional functions remains under explored. We examined the attentional processing of social threat in PNES in relation to interpersonal trauma and acute psychological stress. METHODS: A masked emotional Stroop test, comparing color-naming latencies for backwardly masked angry, neutral, and happy faces, was administered to 19 unmedicated patients with PNES and 20 matched healthy controls, at baseline and in a stress condition. Stress was induced by means of the Trier Social Stress Test and physiologic stress parameters, such as heart rate variability (HRV) and cortisol, were measured throughout the experiment. RESULTS: No group differences related to the acute stress induction were found. Compared to controls, however, patients displayed a positive attentional bias for masked angry faces at baseline, which was correlated to self-reported sexual trauma. Moreover, patients showed lower HRV at baseline and during recovery. DISCUSSION: These findings are suggestive of a state of hypervigilance in patients with PNES. The relation with self-reported trauma, moreover, offers the first evidence linking psychological risk factors to altered information processing in PNES.&quot;,&quot;edition&quot;:&quot;2009/01/28&quot;,&quot;issue&quot;:&quot;5&quot;,&quot;volume&quot;:&quot;50&quot;},&quot;isTemporary&quot;:false},{&quot;id&quot;:&quot;85a4fe4e-f107-3695-9a53-23e119f02c38&quot;,&quot;itemData&quot;:{&quot;type&quot;:&quot;article-journal&quot;,&quot;id&quot;:&quot;85a4fe4e-f107-3695-9a53-23e119f02c38&quot;,&quot;title&quot;:&quot;Stressful life event appraisal and coping in patients with psychogenic seizures and those with epilepsy&quot;,&quot;author&quot;:[{&quot;family&quot;:&quot;Testa&quot;,&quot;given&quot;:&quot;S M&quot;,&quot;parse-names&quot;:false,&quot;dropping-particle&quot;:&quot;&quot;,&quot;non-dropping-particle&quot;:&quot;&quot;},{&quot;family&quot;:&quot;Krauss&quot;,&quot;given&quot;:&quot;G L&quot;,&quot;parse-names&quot;:false,&quot;dropping-particle&quot;:&quot;&quot;,&quot;non-dropping-particle&quot;:&quot;&quot;},{&quot;family&quot;:&quot;Lesser&quot;,&quot;given&quot;:&quot;R P&quot;,&quot;parse-names&quot;:false,&quot;dropping-particle&quot;:&quot;&quot;,&quot;non-dropping-particle&quot;:&quot;&quot;},{&quot;family&quot;:&quot;Brandt&quot;,&quot;given&quot;:&quot;J&quot;,&quot;parse-names&quot;:false,&quot;dropping-particle&quot;:&quot;&quot;,&quot;non-dropping-particle&quot;:&quot;&quot;}],&quot;container-title&quot;:&quot;Seizure&quot;,&quot;container-title-short&quot;:&quot;Seizure&quot;,&quot;DOI&quot;:&quot;10.1016/j.seizure.2012.02.002&quot;,&quot;ISSN&quot;:&quot;1059-1311&quot;,&quot;PMID&quot;:&quot;22425423&quot;,&quot;issued&quot;:{&quot;date-parts&quot;:[[2012]]},&quot;page&quot;:&quot;282-287&quot;,&quot;language&quot;:&quot;eng&quot;,&quot;abstract&quot;:&quot;Understanding stress and coping among individuals with psychogenic nonepileptic seizures (PNES) may have important treatment implications. 40 patients with PNES, 20 with epilepsy (EPIL), and 40 healthy control (HC) participants reported the frequency of various stressful life events (both positive and negative) and appraised the distress these events induced. They also described their habitual coping behaviors. PNES patients reported no more frequent stressful life events than EPIL patients or HC. In addition, the stressors they experienced are not objectively more severe. However, they reported more severe distress due to negative life events, especially in the domains of work, social functioning, legal matters, and health. PNES patients also engaged in less planning and active coping than HC. Neither of these two coping behaviors was associated with distress ratings. The PNES group did not engage in more denial than either group. However, greater denial among PNES patients was associated with greater perceived distress. Coping in PNES is characterized by elevated levels of perceived distress and fewer action strategies than are normally employed to reduce the impact of a stressor. These findings may inform cognitive behavioral therapy of PNES patients.&quot;,&quot;edition&quot;:&quot;2012/03/20&quot;,&quot;issue&quot;:&quot;4&quot;,&quot;volume&quot;:&quot;21&quot;},&quot;isTemporary&quot;:false},{&quot;id&quot;:&quot;f9d09752-671f-3015-b521-c857e072f0b9&quot;,&quot;itemData&quot;:{&quot;type&quot;:&quot;article-journal&quot;,&quot;id&quot;:&quot;f9d09752-671f-3015-b521-c857e072f0b9&quot;,&quot;title&quot;:&quot;Emotion dysregulation in patients with psychogenic nonepileptic seizures: A systematic review based on the extended process model&quot;,&quot;author&quot;:[{&quot;family&quot;:&quot;Williams&quot;,&quot;given&quot;:&quot;I A&quot;,&quot;parse-names&quot;:false,&quot;dropping-particle&quot;:&quot;&quot;,&quot;non-dropping-particle&quot;:&quot;&quot;},{&quot;family&quot;:&quot;Levita&quot;,&quot;given&quot;:&quot;L&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8.06.049&quot;,&quot;ISSN&quot;:&quot;1525-5050&quot;,&quot;PMID&quot;:&quot;30075361&quot;,&quot;issued&quot;:{&quot;date-parts&quot;:[[2018]]},&quot;page&quot;:&quot;37-48&quot;,&quot;language&quot;:&quot;eng&quot;,&quot;abstract&quot;:&quot;Psychogenic nonepileptic seizures (PNES) are characterized by paroxysmal alterations in motor and sensory functions resembling epileptic seizures, but are not caused by epileptiform activity. In recent years, there has been increasing scientific interest in emotion dysregulation in patients with PNES (pwPNES), but the literature has not yet been interpreted within a broader model of emotion dysregulation. The aim of this review was therefore to synthesize the existing literature on emotion dysregulation in pwPNES within the extended process model (EPM) of emotion regulation. METHODS: PubMed and Web of Science were searched for studies relevant to emotion dysregulation as defined by the EPM. These studies were subjected to a bespoke quality appraisal tool. Studies of acceptable quality were categorized to the different stages of the EPM and critically appraised. RESULTS: Studies of emotion regulation in pwPNES were generally of low quality - a finding largely driven by small sample sizes. However, there was evidence of emotion dysregulation characterized by deficits in the identification of patients' own emotional states, as well as the selection and implementation of maladaptive regulatory strategies, and altered exteroceptive emotional processing. However, heterogeneity in findings suggests that emotion dysregulation is likely linked to other psychological factors and not common to all pwPNES. SIGNIFICANCE: This review suggests that while pwPNES are likely to experience emotion dysregulation as defined by the EPM, there is variability in the distribution of regulatory deficits in this patient population, and a person-centered approach should be taken when working with these patients. There is a need for more high quality and better-powered studies in this area.&quot;,&quot;edition&quot;:&quot;2018/08/04&quot;,&quot;volume&quot;:&quot;86&quot;,&quot;container-title-short&quot;:&quot;&quot;},&quot;isTemporary&quot;:false}],&quot;citationTag&quot;:&quot;MENDELEY_CITATION_v3_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&quot;},{&quot;citationID&quot;:&quot;MENDELEY_CITATION_ec555049-8b26-42c5-9b74-ab0b31516e98&quot;,&quot;properties&quot;:{&quot;noteIndex&quot;:0},&quot;isEdited&quot;:false,&quot;manualOverride&quot;:{&quot;isManuallyOverridden&quot;:false,&quot;citeprocText&quot;:&quot;(Ponnusamy et al., 2012)&quot;,&quot;manualOverrideText&quot;:&quot;&quot;},&quot;citationItems&quot;:[{&quot;id&quot;:&quot;754e52ad-703a-3e99-b34c-7655356fc7f4&quot;,&quot;itemData&quot;:{&quot;type&quot;:&quot;article-journal&quot;,&quot;id&quot;:&quot;754e52ad-703a-3e99-b34c-7655356fc7f4&quot;,&quot;title&quot;:&quot;Comparison of heart rate variability parameters during complex partial seizures and psychogenic nonepileptic seizures&quot;,&quot;author&quot;:[{&quot;family&quot;:&quot;Ponnusamy&quot;,&quot;given&quot;:&quot;Athi&quot;,&quot;parse-names&quot;:false,&quot;dropping-particle&quot;:&quot;&quot;,&quot;non-dropping-particle&quot;:&quot;&quot;},{&quot;family&quot;:&quot;Marques&quot;,&quot;given&quot;:&quot;Jefferson L B&quot;,&quot;parse-names&quot;:false,&quot;dropping-particle&quot;:&quot;&quot;,&quot;non-dropping-particle&quot;:&quot;&quot;},{&quot;family&quot;:&quot;Reuber&quot;,&quot;given&quot;:&quot;Markus&quot;,&quot;parse-names&quot;:false,&quot;dropping-particle&quot;:&quot;&quot;,&quot;non-dropping-particle&quot;:&quot;&quot;}],&quot;container-title&quot;:&quot;Epilepsia&quot;,&quot;container-title-short&quot;:&quot;Epilepsia&quot;,&quot;DOI&quot;:&quot;10.1111/j.1528-1167.2012.03518.x&quot;,&quot;ISSN&quot;:&quot;0013-9580&quot;,&quot;issued&quot;:{&quot;date-parts&quot;:[[2012]]},&quot;page&quot;:&quot;1314-1321&quot;,&quot;publisher&quot;:&quot;Wiley&quot;,&quot;issue&quot;:&quot;8&quot;,&quot;volume&quot;:&quot;53&quot;},&quot;isTemporary&quot;:false}],&quot;citationTag&quot;:&quot;MENDELEY_CITATION_v3_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&quot;},{&quot;citationID&quot;:&quot;MENDELEY_CITATION_e0ce1606-2a09-4e1f-802d-671e4a5df681&quot;,&quot;properties&quot;:{&quot;noteIndex&quot;:0},&quot;isEdited&quot;:false,&quot;manualOverride&quot;:{&quot;isManuallyOverridden&quot;:false,&quot;citeprocText&quot;:&quot;(Pick et al., 2019)&quot;,&quot;manualOverrideText&quot;:&quot;&quot;},&quot;citationItems&quot;:[{&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citationTag&quot;:&quot;MENDELEY_CITATION_v3_eyJjaXRhdGlvbklEIjoiTUVOREVMRVlfQ0lUQVRJT05fZTBjZTE2MDYtMmEwOS00ZTFmLTgwMmQtNjcxZTRhNWRmNjgxIiwicHJvcGVydGllcyI6eyJub3RlSW5kZXgiOjB9LCJpc0VkaXRlZCI6ZmFsc2UsIm1hbnVhbE92ZXJyaWRlIjp7ImlzTWFudWFsbHlPdmVycmlkZGVuIjpmYWxzZSwiY2l0ZXByb2NUZXh0IjoiKFBpY2sgZXQgYWwuLCAyMDE5KSIsIm1hbnVhbE92ZXJyaWRlVGV4dCI6IiJ9LCJjaXRhdGlvbkl0ZW1zIjpb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quot;},{&quot;citationID&quot;:&quot;MENDELEY_CITATION_62ece866-a61f-4182-b8b0-898e320086d9&quot;,&quot;properties&quot;:{&quot;noteIndex&quot;:0},&quot;isEdited&quot;:false,&quot;manualOverride&quot;:{&quot;isManuallyOverridden&quot;:false,&quot;citeprocText&quot;:&quot;(Apazoglou et al., 2017; K. Roelofs &amp;#38; Pasman, 2016)&quot;,&quot;manualOverrideText&quot;:&quot;&quot;},&quot;citationItems&quot;:[{&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id&quot;:&quot;29b8a3db-686a-3be3-8b7a-aae25ad85e52&quot;,&quot;itemData&quot;:{&quot;type&quot;:&quot;article-journal&quot;,&quot;id&quot;:&quot;29b8a3db-686a-3be3-8b7a-aae25ad85e52&quot;,&quot;title&quot;:&quot;Stress, childhood trauma, and cognitive functions in functional neurologic disorders&quot;,&quot;author&quot;:[{&quot;family&quot;:&quot;Roelofs&quot;,&quot;given&quot;:&quot;K&quot;,&quot;parse-names&quot;:false,&quot;dropping-particle&quot;:&quot;&quot;,&quot;non-dropping-particle&quot;:&quot;&quot;},{&quot;family&quot;:&quot;Pasman&quot;,&quot;given&quot;:&quot;J&quot;,&quot;parse-names&quot;:false,&quot;dropping-particle&quot;:&quot;&quot;,&quot;non-dropping-particle&quot;:&quot;&quot;}],&quot;container-title&quot;:&quot;Handb Clin Neurol&quot;,&quot;DOI&quot;:&quot;10.1016/b978-0-12-801772-2.00013-8&quot;,&quot;ISSN&quot;:&quot;0072-9752 (Print)\r0072-9752&quot;,&quot;PMID&quot;:&quot;27719835&quot;,&quot;issued&quot;:{&quot;date-parts&quot;:[[2016]]},&quot;page&quot;:&quot;139-155&quot;,&quot;language&quot;:&quot;eng&quot;,&quot;abstract&quot;:&quot;Conversion disorder (CD) has traditionally been ascribed to psychologic factors such as trauma, stress, or emotional conflict. Although reference to the psychologic origin of CD has been removed from the criteria list in DSM-5, many theories still incorporate CD as originating from adverse events. This chapter provides a critical review of the literature on stressful life events in CD and discusses current cognitive and neurobiologic models linking psychologic stressors with conversion symptomatology. In addition, we propose a neurobiologic stress model integrating those cognitive models with neuroendocrine stress research and propose that stress and stress-induced changes in hypothalamus-pituitary-adrenal (HPA) axis function may result in cognitive alterations, that in turn contribute to experiencing conversion symptoms. Experimental studies indeed suggest that basal as well as stress-induced changes in HPA axis responding lead to alterations in attentional processing in CD. Although those changes are stronger in traumatized patients, similar patterns have been observed in patients who do not report a history of traumatic events. We conclude that, whereas adverse events may play an important role in many cases of CD, a substantial proportion of patients do not report a history of traumatization or recent stressful events. Studies integrating effects of stress on cognitive functioning in CD are scarce. We propose that, instead of focusing research on defining etiologic events in terms of symptom-eliciting events, future research should work towards an integrated mechanistic account, assessing alterations in cognitive and biologic stress systems in an integrated manner in patients with CD. Such an account may not only serve early symptom detection, it might also provide a starting point for better-targeted interventions.&quot;,&quot;edition&quot;:&quot;2016/10/11&quot;,&quot;volume&quot;:&quot;139&quot;,&quot;container-title-short&quot;:&quot;&quot;},&quot;isTemporary&quot;:false}],&quot;citationTag&quot;:&quot;MENDELEY_CITATION_v3_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&quot;},{&quot;citationID&quot;:&quot;MENDELEY_CITATION_1a529113-1dd0-4fec-ab67-2f0beaf223a1&quot;,&quot;properties&quot;:{&quot;noteIndex&quot;:0},&quot;isEdited&quot;:false,&quot;manualOverride&quot;:{&quot;isManuallyOverridden&quot;:false,&quot;citeprocText&quot;:&quot;(Bègue et al., 2019; J. J. Roelofs et al., 2019)&quot;,&quot;manualOverrideText&quot;:&quot;&quot;},&quot;citationItems&quot;:[{&quot;id&quot;:&quot;2f8ccf21-2866-3c95-9f3b-8c660ec1d4ce&quot;,&quot;itemData&quot;:{&quot;type&quot;:&quot;article-journal&quot;,&quot;id&quot;:&quot;2f8ccf21-2866-3c95-9f3b-8c660ec1d4ce&quot;,&quot;title&quot;:&quot;Structural alterations in functional neurological disorder and related conditions: a software and hardware problem?&quot;,&quot;author&quot;:[{&quot;family&quot;:&quot;Bègue&quot;,&quot;given&quot;:&quot;Indrit&quot;,&quot;parse-names&quot;:false,&quot;dropping-particle&quot;:&quot;&quot;,&quot;non-dropping-particle&quot;:&quot;&quot;},{&quot;family&quot;:&quot;Adams&quot;,&quot;given&quot;:&quot;Caitlin&quot;,&quot;parse-names&quot;:false,&quot;dropping-particle&quot;:&quot;&quot;,&quot;non-dropping-particle&quot;:&quot;&quot;},{&quot;family&quot;:&quot;Stone&quot;,&quot;given&quot;:&quot;Jon&quot;,&quot;parse-names&quot;:false,&quot;dropping-particle&quot;:&quot;&quot;,&quot;non-dropping-particle&quot;:&quot;&quot;},{&quot;family&quot;:&quot;Perez&quot;,&quot;given&quot;:&quot;David L&quot;,&quot;parse-names&quot;:false,&quot;dropping-particle&quot;:&quot;&quot;,&quot;non-dropping-particle&quot;:&quot;&quot;}],&quot;container-title&quot;:&quot;NeuroImage: Clinical&quot;,&quot;container-title-short&quot;:&quot;Neuroimage Clin&quot;,&quot;DOI&quot;:&quot;https://doi.org/10.1016/j.nicl.2019.101798&quot;,&quot;ISSN&quot;:&quot;2213-1582&quot;,&quot;URL&quot;:&quot;http://www.sciencedirect.com/science/article/pii/S2213158219301482&quot;,&quot;issued&quot;:{&quot;date-parts&quot;:[[2019]]},&quot;page&quot;:&quot;101798&quot;,&quot;abstract&quot;:&quot;Functional neurological (conversion) disorder (FND) is a condition at the interface of neurology and psychiatry. A “software” vs. “hardware” analogy describes abnormal neurobiological mechanisms occurring in the context of intact macroscopic brain structure. While useful for explanatory and treatment models, this framework may require more nuanced considerations in the context of quantitative structural neuroimaging findings in FND. Moreover, high co-occurrence of FND and somatic symptom disorders (SSD) as defined in DSM-IV (somatization disorder, somatoform pain disorder, and undifferentiated somatoform disorder; referred to as SSD for brevity in this article) raises the possibility of a partially overlapping pathophysiology. In this systematic review, we use a transdiagnostic approach to review and appraise the structural neuroimaging literature in FND and SSD. While larger sample size studies are needed for definitive characterization, this article highlights that individuals with FND and SSD may exhibit sensorimotor, prefrontal, striatal-thalamic, paralimbic, and limbic structural alterations. The structural neuroimaging literature is contextualized within the neurobiology of stress-related neuroplasticity, gender differences, psychiatric comorbidities, and the greater spectrum of functional somatic disorders. Future directions that could accelerate the characterization of the pathophysiology of FND and DSM-5 SSD are outlined, including “disease staging” discussions to contextualize subgroups with or without structural changes. Emerging neuroimaging evidence suggests that some individuals with FND and SSD may have a “software” and “hardware” problem, although if structural alterations are present the neural mechanisms of functional disorders remain distinct from lesional neurological conditions. Furthermore, it remains unclear whether structural alterations relate to predisposing vulnerabilities or consequences of the disorder.&quot;,&quot;volume&quot;:&quot;22&quot;},&quot;isTemporary&quot;:false},{&quot;id&quot;:&quot;9316dd6d-fc99-332a-b6f4-4d0942baa889&quot;,&quot;itemData&quot;:{&quot;type&quot;:&quot;article-journal&quot;,&quot;id&quot;:&quot;9316dd6d-fc99-332a-b6f4-4d0942baa889&quot;,&quot;title&quot;:&quot;Neuroimaging in Functional Movement Disorders&quot;,&quot;author&quot;:[{&quot;family&quot;:&quot;Roelofs&quot;,&quot;given&quot;:&quot;Jacob J&quot;,&quot;parse-names&quot;:false,&quot;dropping-particle&quot;:&quot;&quot;,&quot;non-dropping-particle&quot;:&quot;&quot;},{&quot;family&quot;:&quot;Teodoro&quot;,&quot;given&quot;:&quot;Tiago&quot;,&quot;parse-names&quot;:false,&quot;dropping-particle&quot;:&quot;&quot;,&quot;non-dropping-particle&quot;:&quot;&quot;},{&quot;family&quot;:&quot;Edwards&quot;,&quot;given&quot;:&quot;Mark J&quot;,&quot;parse-names&quot;:false,&quot;dropping-particle&quot;:&quot;&quot;,&quot;non-dropping-particle&quot;:&quot;&quot;}],&quot;container-title&quot;:&quot;Current neurology and neuroscience reports&quot;,&quot;container-title-short&quot;:&quot;Curr Neurol Neurosci Rep&quot;,&quot;DOI&quot;:&quot;10.1007/s11910-019-0926-y&quot;,&quot;ISSN&quot;:&quot;1534-6293\r1528-4042&quot;,&quot;PMID&quot;:&quot;30747347&quot;,&quot;URL&quot;:&quot;https://pubmed.ncbi.nlm.nih.gov/30747347&quot;,&quot;issued&quot;:{&quot;date-parts&quot;:[[2019]]},&quot;page&quot;:&quot;12&quot;,&quot;language&quot;:&quot;eng&quot;,&quot;abstract&quot;:&quot;PURPOSE OF REVIEW: Functional movement disorders are common and disabling causes of abnormal movement control. Here, we review the current state of the evidence on the use of neuroimaging in Functional movement disorders, particularly its role in helping to unravel the pathophysiology of this enigmatic condition. RECENT FINDINGS: In recent years, there has been a shift in thinking about functional movement disorder, away from a focus on high-level psychological precipitants as in Freudian conversion theories, or even an implicit belief they are 'put-on' for secondary gain. New research has emphasised novel neurobiological models incorporating emotional processing, self-representation and agency. Neuroimaging has provided new insights into functional movement disorders, supporting emerging neurobiological theories implicating dysfunctional emotional processing, self-image and sense of agency. Recent studies have also found subtle structural brain changes in patients with functional disorders, arguing against a strict functional/structural dichotomy.&quot;,&quot;publisher&quot;:&quot;Springer US&quot;,&quot;issue&quot;:&quot;3&quot;,&quot;volume&quot;:&quot;19&quot;},&quot;isTemporary&quot;:false}],&quot;citationTag&quot;:&quot;MENDELEY_CITATION_v3_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&quot;},{&quot;citationID&quot;:&quot;MENDELEY_CITATION_8f6d091e-eabb-4393-9cee-9be55531f614&quot;,&quot;properties&quot;:{&quot;noteIndex&quot;:0},&quot;isEdited&quot;:false,&quot;manualOverride&quot;:{&quot;isManuallyOverridden&quot;:true,&quot;citeprocText&quot;:&quot;(Bègue et al., 2019; Brown &amp;#38; Reuber, 2016b)&quot;,&quot;manualOverrideText&quot;:&quot;(Bègue et al., 2019; R. J. Brown &amp; Reuber, 2016b)&quot;},&quot;citationItems&quot;:[{&quot;id&quot;:&quot;b267082d-3c50-3bdc-8417-9920ed32ca61&quot;,&quot;itemData&quot;:{&quot;type&quot;:&quot;article-journal&quot;,&quot;id&quot;:&quot;b267082d-3c50-3bdc-8417-9920ed32ca61&quot;,&quot;title&quot;:&quot;Towards an integrative theory of psychogenic non-epileptic seizures (PNES)&quot;,&quot;author&quot;:[{&quot;family&quot;:&quot;Brown&quot;,&quot;given&quot;:&quot;Richard J.&quot;,&quot;parse-names&quot;:false,&quot;dropping-particle&quot;:&quot;&quot;,&quot;non-dropping-particle&quot;:&quot;&quot;},{&quot;family&quot;:&quot;Reuber&quot;,&quot;given&quot;:&quot;Markus&quot;,&quot;parse-names&quot;:false,&quot;dropping-particle&quot;:&quot;&quot;,&quot;non-dropping-particle&quot;:&quot;&quot;}],&quot;container-title&quot;:&quot;Clinical psychology review&quot;,&quot;container-title-short&quot;:&quot;Clin Psychol Rev&quot;,&quot;accessed&quot;:{&quot;date-parts&quot;:[[2023,6,10]]},&quot;DOI&quot;:&quot;10.1016/J.CPR.2016.06.003&quot;,&quot;ISSN&quot;:&quot;1873-7811&quot;,&quot;PMID&quot;:&quot;27340856&quot;,&quot;URL&quot;:&quot;https://pubmed.ncbi.nlm.nih.gov/27340856/&quot;,&quot;issued&quot;:{&quot;date-parts&quot;:[[2016,7,1]]},&quot;page&quot;:&quot;55-70&quot;,&quot;abstract&quot;:&quot;Psychogenic Nonepileptic Seizures (PNES) superficially resemble epileptic seizures but are thought to have a psychological rather than epileptic basis. Patients with PNES vary widely in terms of background, personality profiles, comorbidities, response to treatment and outcomes. Previous accounts interpreting these seizures as the activation of dissociated material, a physical manifestation of emotional distress, hard-wired reflex responses, or learned behaviours cannot explain key features of the phenomenon. Drawing on a brief reviewof the literature on etiology, correlates and phenomenology of PNES, this paper integrates existing approaches and data within a novel explanatory framework that applies to all PNES patients with subjectively involuntary seizures. Following the Integrative Cognitive Model of medically unexplained symptoms, we suggest that the central feature of all PNES is the automatic activation of a mental representation of seizures (the \&quot;seizure scaffold\&quot;) in the context of a high level inhibitory processing dysfunction. This often arises in response to elevated autonomic arousal, and may disrupt the individual's awareness of distressing material, but can become divorced from abnormal autonomic and emotional activity. This model accounts both for existing findings and the heterogeneity of patients with PNES, whilst leading to a number of novel hypotheses against which it can be evaluated.&quot;,&quot;publisher&quot;:&quot;Clin Psychol Rev&quot;,&quot;volume&quot;:&quot;47&quot;},&quot;isTemporary&quot;:false},{&quot;id&quot;:&quot;2f8ccf21-2866-3c95-9f3b-8c660ec1d4ce&quot;,&quot;itemData&quot;:{&quot;type&quot;:&quot;article-journal&quot;,&quot;id&quot;:&quot;2f8ccf21-2866-3c95-9f3b-8c660ec1d4ce&quot;,&quot;title&quot;:&quot;Structural alterations in functional neurological disorder and related conditions: a software and hardware problem?&quot;,&quot;author&quot;:[{&quot;family&quot;:&quot;Bègue&quot;,&quot;given&quot;:&quot;Indrit&quot;,&quot;parse-names&quot;:false,&quot;dropping-particle&quot;:&quot;&quot;,&quot;non-dropping-particle&quot;:&quot;&quot;},{&quot;family&quot;:&quot;Adams&quot;,&quot;given&quot;:&quot;Caitlin&quot;,&quot;parse-names&quot;:false,&quot;dropping-particle&quot;:&quot;&quot;,&quot;non-dropping-particle&quot;:&quot;&quot;},{&quot;family&quot;:&quot;Stone&quot;,&quot;given&quot;:&quot;Jon&quot;,&quot;parse-names&quot;:false,&quot;dropping-particle&quot;:&quot;&quot;,&quot;non-dropping-particle&quot;:&quot;&quot;},{&quot;family&quot;:&quot;Perez&quot;,&quot;given&quot;:&quot;David L&quot;,&quot;parse-names&quot;:false,&quot;dropping-particle&quot;:&quot;&quot;,&quot;non-dropping-particle&quot;:&quot;&quot;}],&quot;container-title&quot;:&quot;NeuroImage: Clinical&quot;,&quot;container-title-short&quot;:&quot;Neuroimage Clin&quot;,&quot;DOI&quot;:&quot;https://doi.org/10.1016/j.nicl.2019.101798&quot;,&quot;ISSN&quot;:&quot;2213-1582&quot;,&quot;URL&quot;:&quot;http://www.sciencedirect.com/science/article/pii/S2213158219301482&quot;,&quot;issued&quot;:{&quot;date-parts&quot;:[[2019]]},&quot;page&quot;:&quot;101798&quot;,&quot;abstract&quot;:&quot;Functional neurological (conversion) disorder (FND) is a condition at the interface of neurology and psychiatry. A “software” vs. “hardware” analogy describes abnormal neurobiological mechanisms occurring in the context of intact macroscopic brain structure. While useful for explanatory and treatment models, this framework may require more nuanced considerations in the context of quantitative structural neuroimaging findings in FND. Moreover, high co-occurrence of FND and somatic symptom disorders (SSD) as defined in DSM-IV (somatization disorder, somatoform pain disorder, and undifferentiated somatoform disorder; referred to as SSD for brevity in this article) raises the possibility of a partially overlapping pathophysiology. In this systematic review, we use a transdiagnostic approach to review and appraise the structural neuroimaging literature in FND and SSD. While larger sample size studies are needed for definitive characterization, this article highlights that individuals with FND and SSD may exhibit sensorimotor, prefrontal, striatal-thalamic, paralimbic, and limbic structural alterations. The structural neuroimaging literature is contextualized within the neurobiology of stress-related neuroplasticity, gender differences, psychiatric comorbidities, and the greater spectrum of functional somatic disorders. Future directions that could accelerate the characterization of the pathophysiology of FND and DSM-5 SSD are outlined, including “disease staging” discussions to contextualize subgroups with or without structural changes. Emerging neuroimaging evidence suggests that some individuals with FND and SSD may have a “software” and “hardware” problem, although if structural alterations are present the neural mechanisms of functional disorders remain distinct from lesional neurological conditions. Furthermore, it remains unclear whether structural alterations relate to predisposing vulnerabilities or consequences of the disorder.&quot;,&quot;volume&quot;:&quot;22&quot;},&quot;isTemporary&quot;:false}],&quot;citationTag&quot;:&quot;MENDELEY_CITATION_v3_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&quot;},{&quot;citationID&quot;:&quot;MENDELEY_CITATION_4d3357ff-b7a4-49a9-9f04-902c2ab9e996&quot;,&quot;properties&quot;:{&quot;noteIndex&quot;:0},&quot;isEdited&quot;:false,&quot;manualOverride&quot;:{&quot;isManuallyOverridden&quot;:true,&quot;citeprocText&quot;:&quot;(Brown &amp;#38; Reuber, 2016a)&quot;,&quot;manualOverrideText&quot;:&quot;(R. J. Brown &amp; Reuber, 2016a)&quot;},&quot;citationItems&quot;:[{&quot;id&quot;:&quot;1f2aa913-ef44-3ea3-83ed-15ebe8b76a6e&quot;,&quot;itemData&quot;:{&quot;type&quot;:&quot;article-journal&quot;,&quot;id&quot;:&quot;1f2aa913-ef44-3ea3-83ed-15ebe8b76a6e&quot;,&quot;title&quot;:&quot;Psychological and psychiatric aspects of psychogenic non-epileptic seizures (PNES): A systematic review&quot;,&quot;author&quot;:[{&quot;family&quot;:&quot;Brown&quot;,&quot;given&quot;:&quot;Richard J&quot;,&quot;parse-names&quot;:false,&quot;dropping-particle&quot;:&quot;&quot;,&quot;non-dropping-particle&quot;:&quot;&quot;},{&quot;family&quot;:&quot;Reuber&quot;,&quot;given&quot;:&quot;Markus&quot;,&quot;parse-names&quot;:false,&quot;dropping-particle&quot;:&quot;&quot;,&quot;non-dropping-particle&quot;:&quot;&quot;}],&quot;container-title&quot;:&quot;Clinical psychology review&quot;,&quot;container-title-short&quot;:&quot;Clin Psychol Rev&quot;,&quot;DOI&quot;:&quot;10.1016/j.cpr.2016.01.003&quot;,&quot;ISSN&quot;:&quot;0272-7358&quot;,&quot;URL&quot;:&quot;http://eprints.whiterose.ac.uk/98748/3/CPR%20Systematic%20review%20v13%20%28revised%20version%29%20MR.pdf&quot;,&quot;issued&quot;:{&quot;date-parts&quot;:[[2016]]},&quot;page&quot;:&quot;157-182&quot;,&quot;publisher&quot;:&quot;Elsevier BV&quot;,&quot;volume&quot;:&quot;45&quot;},&quot;isTemporary&quot;:false}],&quot;citationTag&quot;:&quot;MENDELEY_CITATION_v3_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&quot;},{&quot;citationID&quot;:&quot;MENDELEY_CITATION_b78a8591-1902-4fee-b588-5ea07b8a7b93&quot;,&quot;properties&quot;:{&quot;noteIndex&quot;:0},&quot;isEdited&quot;:false,&quot;manualOverride&quot;:{&quot;isManuallyOverridden&quot;:true,&quot;citeprocText&quot;:&quot;(Brown &amp;#38; Reuber, 2016b)&quot;,&quot;manualOverrideText&quot;:&quot;(R. J. Brown &amp; Reuber, 2016b)&quot;},&quot;citationItems&quot;:[{&quot;id&quot;:&quot;b267082d-3c50-3bdc-8417-9920ed32ca61&quot;,&quot;itemData&quot;:{&quot;type&quot;:&quot;article-journal&quot;,&quot;id&quot;:&quot;b267082d-3c50-3bdc-8417-9920ed32ca61&quot;,&quot;title&quot;:&quot;Towards an integrative theory of psychogenic non-epileptic seizures (PNES)&quot;,&quot;author&quot;:[{&quot;family&quot;:&quot;Brown&quot;,&quot;given&quot;:&quot;Richard J.&quot;,&quot;parse-names&quot;:false,&quot;dropping-particle&quot;:&quot;&quot;,&quot;non-dropping-particle&quot;:&quot;&quot;},{&quot;family&quot;:&quot;Reuber&quot;,&quot;given&quot;:&quot;Markus&quot;,&quot;parse-names&quot;:false,&quot;dropping-particle&quot;:&quot;&quot;,&quot;non-dropping-particle&quot;:&quot;&quot;}],&quot;container-title&quot;:&quot;Clinical psychology review&quot;,&quot;container-title-short&quot;:&quot;Clin Psychol Rev&quot;,&quot;accessed&quot;:{&quot;date-parts&quot;:[[2023,6,10]]},&quot;DOI&quot;:&quot;10.1016/J.CPR.2016.06.003&quot;,&quot;ISSN&quot;:&quot;1873-7811&quot;,&quot;PMID&quot;:&quot;27340856&quot;,&quot;URL&quot;:&quot;https://pubmed.ncbi.nlm.nih.gov/27340856/&quot;,&quot;issued&quot;:{&quot;date-parts&quot;:[[2016,7,1]]},&quot;page&quot;:&quot;55-70&quot;,&quot;abstract&quot;:&quot;Psychogenic Nonepileptic Seizures (PNES) superficially resemble epileptic seizures but are thought to have a psychological rather than epileptic basis. Patients with PNES vary widely in terms of background, personality profiles, comorbidities, response to treatment and outcomes. Previous accounts interpreting these seizures as the activation of dissociated material, a physical manifestation of emotional distress, hard-wired reflex responses, or learned behaviours cannot explain key features of the phenomenon. Drawing on a brief reviewof the literature on etiology, correlates and phenomenology of PNES, this paper integrates existing approaches and data within a novel explanatory framework that applies to all PNES patients with subjectively involuntary seizures. Following the Integrative Cognitive Model of medically unexplained symptoms, we suggest that the central feature of all PNES is the automatic activation of a mental representation of seizures (the \&quot;seizure scaffold\&quot;) in the context of a high level inhibitory processing dysfunction. This often arises in response to elevated autonomic arousal, and may disrupt the individual's awareness of distressing material, but can become divorced from abnormal autonomic and emotional activity. This model accounts both for existing findings and the heterogeneity of patients with PNES, whilst leading to a number of novel hypotheses against which it can be evaluated.&quot;,&quot;publisher&quot;:&quot;Clin Psychol Rev&quot;,&quot;volume&quot;:&quot;47&quot;},&quot;isTemporary&quot;:false}],&quot;citationTag&quot;:&quot;MENDELEY_CITATION_v3_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&quot;},{&quot;citationID&quot;:&quot;MENDELEY_CITATION_ea7e19af-ef6c-429a-9f8e-cd93ed145556&quot;,&quot;properties&quot;:{&quot;noteIndex&quot;:0},&quot;isEdited&quot;:false,&quot;manualOverride&quot;:{&quot;isManuallyOverridden&quot;:false,&quot;citeprocText&quot;:&quot;(Fahn &amp;#38; Williams, 1988)&quot;,&quot;manualOverrideText&quot;:&quot;&quot;},&quot;citationItems&quot;:[{&quot;id&quot;:&quot;a422dadb-2060-39f5-8b72-eb9e2c9fdf76&quot;,&quot;itemData&quot;:{&quot;type&quot;:&quot;article-journal&quot;,&quot;id&quot;:&quot;a422dadb-2060-39f5-8b72-eb9e2c9fdf76&quot;,&quot;title&quot;:&quot;Psychogenic dystonia&quot;,&quot;author&quot;:[{&quot;family&quot;:&quot;Fahn&quot;,&quot;given&quot;:&quot;S&quot;,&quot;parse-names&quot;:false,&quot;dropping-particle&quot;:&quot;&quot;,&quot;non-dropping-particle&quot;:&quot;&quot;},{&quot;family&quot;:&quot;Williams&quot;,&quot;given&quot;:&quot;D T&quot;,&quot;parse-names&quot;:false,&quot;dropping-particle&quot;:&quot;&quot;,&quot;non-dropping-particle&quot;:&quot;&quot;}],&quot;container-title&quot;:&quot;Adv Neurol&quot;,&quot;ISSN&quot;:&quot;0091-3952 (Print)\r0091-3952&quot;,&quot;PMID&quot;:&quot;3400501&quot;,&quot;issued&quot;:{&quot;date-parts&quot;:[[1988]]},&quot;page&quot;:&quot;431-455&quot;,&quot;language&quot;:&quot;eng&quot;,&quot;edition&quot;:&quot;1988/01/01&quot;,&quot;volume&quot;:&quot;50&quot;,&quot;container-title-short&quot;:&quot;&quot;},&quot;isTemporary&quot;:false}],&quot;citationTag&quot;:&quot;MENDELEY_CITATION_v3_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&quot;},{&quot;citationID&quot;:&quot;MENDELEY_CITATION_965f5d6b-914f-4d56-bdaa-6df80e3e6a38&quot;,&quot;properties&quot;:{&quot;noteIndex&quot;:0},&quot;isEdited&quot;:false,&quot;manualOverride&quot;:{&quot;isManuallyOverridden&quot;:false,&quot;citeprocText&quot;:&quot;(D. T. Williams et al., 1995)&quot;,&quot;manualOverrideText&quot;:&quot;&quot;},&quot;citationItems&quot;:[{&quot;id&quot;:&quot;8cfc2c91-9e8a-3156-8494-9a0d6081677d&quot;,&quot;itemData&quot;:{&quot;type&quot;:&quot;article-journal&quot;,&quot;id&quot;:&quot;8cfc2c91-9e8a-3156-8494-9a0d6081677d&quot;,&quot;title&quot;:&quot;Phenomenology and psychopathology related to psychogenic movement disorders&quot;,&quot;author&quot;:[{&quot;family&quot;:&quot;Williams&quot;,&quot;given&quot;:&quot;D T&quot;,&quot;parse-names&quot;:false,&quot;dropping-particle&quot;:&quot;&quot;,&quot;non-dropping-particle&quot;:&quot;&quot;},{&quot;family&quot;:&quot;Ford&quot;,&quot;given&quot;:&quot;B&quot;,&quot;parse-names&quot;:false,&quot;dropping-particle&quot;:&quot;&quot;,&quot;non-dropping-particle&quot;:&quot;&quot;},{&quot;family&quot;:&quot;Fahn&quot;,&quot;given&quot;:&quot;S&quot;,&quot;parse-names&quot;:false,&quot;dropping-particle&quot;:&quot;&quot;,&quot;non-dropping-particle&quot;:&quot;&quot;}],&quot;container-title&quot;:&quot;Adv Neurol&quot;,&quot;ISSN&quot;:&quot;0091-3952 (Print)\r0091-3952&quot;,&quot;PMID&quot;:&quot;7872143&quot;,&quot;issued&quot;:{&quot;date-parts&quot;:[[1995]]},&quot;page&quot;:&quot;231-257&quot;,&quot;language&quot;:&quot;eng&quot;,&quot;edition&quot;:&quot;1995/01/01&quot;,&quot;volume&quot;:&quot;65&quot;,&quot;container-title-short&quot;:&quot;&quot;},&quot;isTemporary&quot;:false}],&quot;citationTag&quot;:&quot;MENDELEY_CITATION_v3_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&quot;},{&quot;citationID&quot;:&quot;MENDELEY_CITATION_8d10e0c0-373a-457d-90b5-2b437ce8810e&quot;,&quot;properties&quot;:{&quot;noteIndex&quot;:0},&quot;isEdited&quot;:false,&quot;manualOverride&quot;:{&quot;isManuallyOverridden&quot;:false,&quot;citeprocText&quot;:&quot;(D. T. Williams et al., 1995)&quot;,&quot;manualOverrideText&quot;:&quot;&quot;},&quot;citationItems&quot;:[{&quot;id&quot;:&quot;8cfc2c91-9e8a-3156-8494-9a0d6081677d&quot;,&quot;itemData&quot;:{&quot;type&quot;:&quot;article-journal&quot;,&quot;id&quot;:&quot;8cfc2c91-9e8a-3156-8494-9a0d6081677d&quot;,&quot;title&quot;:&quot;Phenomenology and psychopathology related to psychogenic movement disorders&quot;,&quot;author&quot;:[{&quot;family&quot;:&quot;Williams&quot;,&quot;given&quot;:&quot;D T&quot;,&quot;parse-names&quot;:false,&quot;dropping-particle&quot;:&quot;&quot;,&quot;non-dropping-particle&quot;:&quot;&quot;},{&quot;family&quot;:&quot;Ford&quot;,&quot;given&quot;:&quot;B&quot;,&quot;parse-names&quot;:false,&quot;dropping-particle&quot;:&quot;&quot;,&quot;non-dropping-particle&quot;:&quot;&quot;},{&quot;family&quot;:&quot;Fahn&quot;,&quot;given&quot;:&quot;S&quot;,&quot;parse-names&quot;:false,&quot;dropping-particle&quot;:&quot;&quot;,&quot;non-dropping-particle&quot;:&quot;&quot;}],&quot;container-title&quot;:&quot;Adv Neurol&quot;,&quot;ISSN&quot;:&quot;0091-3952 (Print)\r0091-3952&quot;,&quot;PMID&quot;:&quot;7872143&quot;,&quot;issued&quot;:{&quot;date-parts&quot;:[[1995]]},&quot;page&quot;:&quot;231-257&quot;,&quot;language&quot;:&quot;eng&quot;,&quot;edition&quot;:&quot;1995/01/01&quot;,&quot;volume&quot;:&quot;65&quot;,&quot;container-title-short&quot;:&quot;&quot;},&quot;isTemporary&quot;:false}],&quot;citationTag&quot;:&quot;MENDELEY_CITATION_v3_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&quot;},{&quot;citationID&quot;:&quot;MENDELEY_CITATION_df2d839c-4820-4f73-97ac-77733c2d491c&quot;,&quot;properties&quot;:{&quot;noteIndex&quot;:0},&quot;isEdited&quot;:false,&quot;manualOverride&quot;:{&quot;isManuallyOverridden&quot;:false,&quot;citeprocText&quot;:&quot;(Lafrance et al., 2013)&quot;,&quot;manualOverrideText&quot;:&quot;&quot;},&quot;citationItems&quot;:[{&quot;id&quot;:&quot;acdfeb98-a8ed-3e05-ae5b-6929bc42f0da&quot;,&quot;itemData&quot;:{&quot;type&quot;:&quot;article-journal&quot;,&quot;id&quot;:&quot;acdfeb98-a8ed-3e05-ae5b-6929bc42f0da&quot;,&quot;title&quot;:&quot;Minimum requirements for the diagnosis of psychogenic nonepileptic seizures: A staged approach&quot;,&quot;author&quot;:[{&quot;family&quot;:&quot;Lafrance&quot;,&quot;given&quot;:&quot;W Curt&quot;,&quot;parse-names&quot;:false,&quot;dropping-particle&quot;:&quot;&quot;,&quot;non-dropping-particle&quot;:&quot;&quot;},{&quot;family&quot;:&quot;Baker&quot;,&quot;given&quot;:&quot;Gus A&quot;,&quot;parse-names&quot;:false,&quot;dropping-particle&quot;:&quot;&quot;,&quot;non-dropping-particle&quot;:&quot;&quot;},{&quot;family&quot;:&quot;Duncan&quot;,&quot;given&quot;:&quot;Rod&quot;,&quot;parse-names&quot;:false,&quot;dropping-particle&quot;:&quot;&quot;,&quot;non-dropping-particle&quot;:&quot;&quot;},{&quot;family&quot;:&quot;Goldstein&quot;,&quot;given&quot;:&quot;Laura H&quot;,&quot;parse-names&quot;:false,&quot;dropping-particle&quot;:&quot;&quot;,&quot;non-dropping-particle&quot;:&quot;&quot;},{&quot;family&quot;:&quot;Reuber&quot;,&quot;given&quot;:&quot;Markus&quot;,&quot;parse-names&quot;:false,&quot;dropping-particle&quot;:&quot;&quot;,&quot;non-dropping-particle&quot;:&quot;&quot;}],&quot;container-title&quot;:&quot;Epilepsia&quot;,&quot;container-title-short&quot;:&quot;Epilepsia&quot;,&quot;DOI&quot;:&quot;10.1111/epi.12356&quot;,&quot;ISSN&quot;:&quot;0013-9580&quot;,&quot;URL&quot;:&quot;https://onlinelibrary.wiley.com/doi/pdf/10.1111/epi.12356&quot;,&quot;issued&quot;:{&quot;date-parts&quot;:[[2013]]},&quot;page&quot;:&quot;2005-2018&quot;,&quot;publisher&quot;:&quot;Wiley&quot;,&quot;issue&quot;:&quot;11&quot;,&quot;volume&quot;:&quot;54&quot;},&quot;isTemporary&quot;:false}],&quot;citationTag&quot;:&quot;MENDELEY_CITATION_v3_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&quot;},{&quot;citationID&quot;:&quot;MENDELEY_CITATION_9cffb721-a938-4d23-87ce-a4ffdaf92d3f&quot;,&quot;properties&quot;:{&quot;noteIndex&quot;:0},&quot;isEdited&quot;:false,&quot;manualOverride&quot;:{&quot;isManuallyOverridden&quot;:true,&quot;citeprocText&quot;:&quot;(Allendorfer et al., 2019; Apazoglou et al., 2017; Bakvis et al., 2009, 2011; Pick et al., 2018)&quot;,&quot;manualOverrideText&quot;:&quot;(Allendorfer et al., 2019; Apazoglou et al., 2017; Bakvis et al., 2009, 2011; Pick et al., 2018a)&quot;},&quot;citationItems&quot;:[{&quot;id&quot;:&quot;9d760acb-3a66-38f5-8899-b1cb95d9f3a5&quot;,&quot;itemData&quot;:{&quot;type&quot;:&quot;article-journal&quot;,&quot;id&quot;:&quot;9d760acb-3a66-38f5-8899-b1cb95d9f3a5&quot;,&quot;title&quot;:&quot;Automatic avoidance tendencies in patients with Psychogenic Non Epileptic Seizures&quot;,&quot;author&quot;:[{&quot;family&quot;:&quot;Bakvis&quot;,&quot;given&quot;:&quot;Patricia&quot;,&quot;parse-names&quot;:false,&quot;dropping-particle&quot;:&quot;&quot;,&quot;non-dropping-particle&quot;:&quot;&quot;},{&quot;family&quot;:&quot;Spinhoven&quot;,&quot;given&quot;:&quot;Philip&quot;,&quot;parse-names&quot;:false,&quot;dropping-particle&quot;:&quot;&quot;,&quot;non-dropping-particle&quot;:&quot;&quot;},{&quot;family&quot;:&quot;Zitman&quot;,&quot;given&quot;:&quot;F G&quot;,&quot;parse-names&quot;:false,&quot;dropping-particle&quot;:&quot;&quot;,&quot;non-dropping-particle&quot;:&quot;&quot;},{&quot;family&quot;:&quot;Roelofs&quot;,&quot;given&quot;:&quot;Karin&quot;,&quot;parse-names&quot;:false,&quot;dropping-particle&quot;:&quot;&quot;,&quot;non-dropping-particle&quot;:&quot;&quot;}],&quot;container-title&quot;:&quot;Seizure&quot;,&quot;container-title-short&quot;:&quot;Seizure&quot;,&quot;DOI&quot;:&quot;https://doi.org/10.1016/j.seizure.2011.06.006&quot;,&quot;ISSN&quot;:&quot;1059-1311&quot;,&quot;URL&quot;:&quot;http://www.sciencedirect.com/science/article/pii/S1059131111001658&quot;,&quot;issued&quot;:{&quot;date-parts&quot;:[[2011]]},&quot;page&quot;:&quot;628-634&quot;,&quot;abstract&quot;:&quot;Introduction Psychogenic Non Epileptic Seizures (PNES) have been theorized to reflect a learned pattern of avoidant behavior to deal with stressors. Although such observation may be relevant for our understanding of the etiology of PNES, evidence for this theory is largely build on self-report investigations and no studies have systematically tested actual avoidance behavior in patients with PNES. In this study, we tested automatic threat avoidance tendencies in relation to stress and cortisol levels in patients with PNES and healthy controls (HCs). Methods The approach and avoidance (AA) task was administered to 12 patients with PNES and 20 matched HCs at baseline and following stress-induction using the Cold Pressor Test (CPT). The AA task requires participants to evaluate the emotional valence of pictures of angry and happy faces by making arm movements (arm flexion or extension) that are either affect-congruent (avoid-angry; approach-happy) or affect-incongruent (approach-angry; avoid-happy) with their intuitive action tendencies. Saliva cortisol was measured throughout the experiment. Results Patients, but not HCs, showed increased approach-avoidance congruency-effects for angry faces on the AA task at baseline, with relatively slower approach of angry faces, which was overall associated with basal pre-task cortisol. This congruency-effect disappeared after the CPT. Discussion The present findings provide an objective confirmation of previous suggestions from self-report studies indicating that PNES patients show relatively increased avoidance tendencies to social threat cues. The registering of threat avoidance behavior may prove to be a clinically valuable contribution to evaluate psychological treatment effectiveness and perhaps even PNES prognosis.&quot;,&quot;issue&quot;:&quot;8&quot;,&quot;volume&quot;:&quot;20&quot;},&quot;isTemporary&quot;:false},{&quot;id&quot;:&quot;3c24f0e1-88ed-3f1b-b500-698f4c348a0f&quot;,&quot;itemData&quot;:{&quot;type&quot;:&quot;article-journal&quot;,&quot;id&quot;:&quot;3c24f0e1-88ed-3f1b-b500-698f4c348a0f&quot;,&quot;title&quot;:&quot;Trauma, stress, and preconscious threat processing in patients with psychogenic nonepileptic seizures&quot;,&quot;author&quot;:[{&quot;family&quot;:&quot;Bakvis&quot;,&quot;given&quot;:&quot;P&quot;,&quot;parse-names&quot;:false,&quot;dropping-particle&quot;:&quot;&quot;,&quot;non-dropping-particle&quot;:&quot;&quot;},{&quot;family&quot;:&quot;Roelofs&quot;,&quot;given&quot;:&quot;K&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Swinkels&quot;,&quot;given&quot;:&quot;W A&quot;,&quot;parse-names&quot;:false,&quot;dropping-particle&quot;:&quot;&quot;,&quot;non-dropping-particle&quot;:&quot;&quot;},{&quot;family&quot;:&quot;Spinhoven&quot;,&quot;given&quot;:&quot;P&quot;,&quot;parse-names&quot;:false,&quot;dropping-particle&quot;:&quot;&quot;,&quot;non-dropping-particle&quot;:&quot;&quot;}],&quot;container-title&quot;:&quot;Epilepsia&quot;,&quot;container-title-short&quot;:&quot;Epilepsia&quot;,&quot;DOI&quot;:&quot;10.1111/j.1528-1167.2008.01862.x&quot;,&quot;ISSN&quot;:&quot;0013-9580&quot;,&quot;PMID&quot;:&quot;19170739&quot;,&quot;issued&quot;:{&quot;date-parts&quot;:[[2009]]},&quot;page&quot;:&quot;1001-1011&quot;,&quot;language&quot;:&quot;eng&quot;,&quot;abstract&quot;:&quot;PURPOSE: Psychogenic nonepileptic seizures (PNES) have long been considered as paroxysmal dissociative symptoms characterized by an alteration of attentional functions caused by severe stress or trauma. Although interpersonal trauma is common in PNES, the proposed relation between trauma and attentional functions remains under explored. We examined the attentional processing of social threat in PNES in relation to interpersonal trauma and acute psychological stress. METHODS: A masked emotional Stroop test, comparing color-naming latencies for backwardly masked angry, neutral, and happy faces, was administered to 19 unmedicated patients with PNES and 20 matched healthy controls, at baseline and in a stress condition. Stress was induced by means of the Trier Social Stress Test and physiologic stress parameters, such as heart rate variability (HRV) and cortisol, were measured throughout the experiment. RESULTS: No group differences related to the acute stress induction were found. Compared to controls, however, patients displayed a positive attentional bias for masked angry faces at baseline, which was correlated to self-reported sexual trauma. Moreover, patients showed lower HRV at baseline and during recovery. DISCUSSION: These findings are suggestive of a state of hypervigilance in patients with PNES. The relation with self-reported trauma, moreover, offers the first evidence linking psychological risk factors to altered information processing in PNES.&quot;,&quot;edition&quot;:&quot;2009/01/28&quot;,&quot;issue&quot;:&quot;5&quot;,&quot;volume&quot;:&quot;50&quot;},&quot;isTemporary&quot;:false},{&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id&quot;:&quot;86566697-1b64-318c-a326-c7e05239587b&quot;,&quot;itemData&quot;:{&quot;type&quot;:&quot;article-journal&quot;,&quot;id&quot;:&quot;86566697-1b64-318c-a326-c7e05239587b&quot;,&quot;title&quot;:&quot;Autonomic and subjective responsivity to emotional images in people with dissociative seizures&quot;,&quot;author&quot;:[{&quot;family&quot;:&quot;Pick&quot;,&quot;given&quot;:&quot;S&quot;,&quot;parse-names&quot;:false,&quot;dropping-particle&quot;:&quot;&quot;,&quot;non-dropping-particle&quot;:&quot;&quot;},{&quot;family&quot;:&quot;Mellers&quot;,&quot;given&quot;:&quot;J D C&quot;,&quot;parse-names&quot;:false,&quot;dropping-particle&quot;:&quot;&quot;,&quot;non-dropping-particle&quot;:&quot;&quot;},{&quot;family&quot;:&quot;Goldstein&quot;,&quot;given&quot;:&quot;L H&quot;,&quot;parse-names&quot;:false,&quot;dropping-particle&quot;:&quot;&quot;,&quot;non-dropping-particle&quot;:&quot;&quot;}],&quot;container-title&quot;:&quot;J Neuropsychol&quot;,&quot;DOI&quot;:&quot;10.1111/jnp.12144&quot;,&quot;ISSN&quot;:&quot;1748-6645 (Print)\r1748-6645&quot;,&quot;PMID&quot;:&quot;29285879&quot;,&quot;issued&quot;:{&quot;date-parts&quot;:[[2018]]},&quot;page&quot;:&quot;341-355&quot;,&quot;language&quot;:&quot;eng&quot;,&quot;abstract&quot;:&quot;People with dissociative seizures (DS) report a range of difficulties in emotional functioning and exhibit altered responding to emotional facial expressions in experimental tasks. We extended this research by investigating subjective and autonomic reactivity (ratings of emotional valence, arousal and skin conductance responses [SCRs]) to general emotional images in 39 people with DS relative to 42 healthy control participants, whilst controlling for anxiety, depression, cognitive functioning and, where relevant, medication use. It was predicted that greater subjective negativity and arousal and increased SCRs in response to the affective pictures would be observed in the DS group. The DS group as a whole did not differ from controls in their subjective responses of valence and arousal. However, SCR amplitudes were greater in 'autonomic responders' with DS relative to 'autonomic responders' in the control group. A positive correlation was also observed between SCRs for highly arousing negative pictures and self-reported ictal autonomic arousal, in DS 'autonomic responders'. In the DS subgroup of autonomic 'non-responders', differences in subjective responses were observed for some conditions, compared to control 'non-responders'. The findings indicate unaffected subjective responses to emotional images in people with DS overall. However, within the group of people with DS, there may be subgroups characterized by differences in emotional responding. One subgroup (i.e., 'autonomic responders') exhibit heightened autonomic responses but intact subjective emotional experience, whilst another subgroup (i.e., 'autonomic non-responders') seem to experience greater subjective negativity and arousal for some emotional stimuli, despite less frequent autonomic reactions. The current results suggest that therapeutic interventions targeting awareness and regulation of physiological arousal and subjective emotional experience could be of value in some people with this disorder.&quot;,&quot;edition&quot;:&quot;2017/12/30&quot;,&quot;issue&quot;:&quot;2&quot;,&quot;volume&quot;:&quot;12&quot;,&quot;container-title-short&quot;:&quot;&quot;},&quot;isTemporary&quot;:false}],&quot;citationTag&quot;:&quot;MENDELEY_CITATION_v3_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LH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&quot;},{&quot;citationID&quot;:&quot;MENDELEY_CITATION_6b4b68cd-c0c6-4fe3-bcce-454a786534bd&quot;,&quot;properties&quot;:{&quot;noteIndex&quot;:0},&quot;isEdited&quot;:false,&quot;manualOverride&quot;:{&quot;isManuallyOverridden&quot;:true,&quot;citeprocText&quot;:&quot;(Pick et al., 2018)&quot;,&quot;manualOverrideText&quot;:&quot;(Pick et al., 2018a)&quot;},&quot;citationItems&quot;:[{&quot;id&quot;:&quot;86566697-1b64-318c-a326-c7e05239587b&quot;,&quot;itemData&quot;:{&quot;type&quot;:&quot;article-journal&quot;,&quot;id&quot;:&quot;86566697-1b64-318c-a326-c7e05239587b&quot;,&quot;title&quot;:&quot;Autonomic and subjective responsivity to emotional images in people with dissociative seizures&quot;,&quot;author&quot;:[{&quot;family&quot;:&quot;Pick&quot;,&quot;given&quot;:&quot;S&quot;,&quot;parse-names&quot;:false,&quot;dropping-particle&quot;:&quot;&quot;,&quot;non-dropping-particle&quot;:&quot;&quot;},{&quot;family&quot;:&quot;Mellers&quot;,&quot;given&quot;:&quot;J D C&quot;,&quot;parse-names&quot;:false,&quot;dropping-particle&quot;:&quot;&quot;,&quot;non-dropping-particle&quot;:&quot;&quot;},{&quot;family&quot;:&quot;Goldstein&quot;,&quot;given&quot;:&quot;L H&quot;,&quot;parse-names&quot;:false,&quot;dropping-particle&quot;:&quot;&quot;,&quot;non-dropping-particle&quot;:&quot;&quot;}],&quot;container-title&quot;:&quot;J Neuropsychol&quot;,&quot;DOI&quot;:&quot;10.1111/jnp.12144&quot;,&quot;ISSN&quot;:&quot;1748-6645 (Print)\r1748-6645&quot;,&quot;PMID&quot;:&quot;29285879&quot;,&quot;issued&quot;:{&quot;date-parts&quot;:[[2018]]},&quot;page&quot;:&quot;341-355&quot;,&quot;language&quot;:&quot;eng&quot;,&quot;abstract&quot;:&quot;People with dissociative seizures (DS) report a range of difficulties in emotional functioning and exhibit altered responding to emotional facial expressions in experimental tasks. We extended this research by investigating subjective and autonomic reactivity (ratings of emotional valence, arousal and skin conductance responses [SCRs]) to general emotional images in 39 people with DS relative to 42 healthy control participants, whilst controlling for anxiety, depression, cognitive functioning and, where relevant, medication use. It was predicted that greater subjective negativity and arousal and increased SCRs in response to the affective pictures would be observed in the DS group. The DS group as a whole did not differ from controls in their subjective responses of valence and arousal. However, SCR amplitudes were greater in 'autonomic responders' with DS relative to 'autonomic responders' in the control group. A positive correlation was also observed between SCRs for highly arousing negative pictures and self-reported ictal autonomic arousal, in DS 'autonomic responders'. In the DS subgroup of autonomic 'non-responders', differences in subjective responses were observed for some conditions, compared to control 'non-responders'. The findings indicate unaffected subjective responses to emotional images in people with DS overall. However, within the group of people with DS, there may be subgroups characterized by differences in emotional responding. One subgroup (i.e., 'autonomic responders') exhibit heightened autonomic responses but intact subjective emotional experience, whilst another subgroup (i.e., 'autonomic non-responders') seem to experience greater subjective negativity and arousal for some emotional stimuli, despite less frequent autonomic reactions. The current results suggest that therapeutic interventions targeting awareness and regulation of physiological arousal and subjective emotional experience could be of value in some people with this disorder.&quot;,&quot;edition&quot;:&quot;2017/12/30&quot;,&quot;issue&quot;:&quot;2&quot;,&quot;volume&quot;:&quot;12&quot;,&quot;container-title-short&quot;:&quot;&quot;},&quot;isTemporary&quot;:false}],&quot;citationTag&quot;:&quot;MENDELEY_CITATION_v3_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&quot;},{&quot;citationID&quot;:&quot;MENDELEY_CITATION_8282aabe-42cf-42c5-af65-118f5f436349&quot;,&quot;properties&quot;:{&quot;noteIndex&quot;:0},&quot;isEdited&quot;:false,&quot;manualOverride&quot;:{&quot;isManuallyOverridden&quot;:false,&quot;citeprocText&quot;:&quot;(Bakvis et al., 2010; Maurer et al., 2015; Novakova et al., 2017)&quot;,&quot;manualOverrideText&quot;:&quot;&quot;},&quot;citationItems&quot;:[{&quot;id&quot;:&quot;737384fa-ba8a-3ec9-9aac-1c0b1a24da86&quot;,&quot;itemData&quot;:{&quot;type&quot;:&quot;article-journal&quot;,&quot;id&quot;:&quot;737384fa-ba8a-3ec9-9aac-1c0b1a24da86&quot;,&quot;title&quot;:&quot;Basal hypercortisolism and trauma in patients with psychogenic nonepileptic seizures&quot;,&quot;author&quot;:[{&quot;family&quot;:&quot;Bakvis&quot;,&quot;given&quot;:&quot;P&quot;,&quot;parse-names&quot;:false,&quot;dropping-particle&quot;:&quot;&quot;,&quot;non-dropping-particle&quot;:&quot;&quot;},{&quot;family&quot;:&quot;Spinhoven&quot;,&quot;given&quot;:&quot;P&quot;,&quot;parse-names&quot;:false,&quot;dropping-particle&quot;:&quot;&quot;,&quot;non-dropping-particle&quot;:&quot;&quot;},{&quot;family&quot;:&quot;Giltay&quot;,&quot;given&quot;:&quot;E J&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Zitman&quot;,&quot;given&quot;:&quot;F G&quot;,&quot;parse-names&quot;:false,&quot;dropping-particle&quot;:&quot;&quot;,&quot;non-dropping-particle&quot;:&quot;&quot;},{&quot;family&quot;:&quot;Roelofs&quot;,&quot;given&quot;:&quot;K&quot;,&quot;parse-names&quot;:false,&quot;dropping-particle&quot;:&quot;&quot;,&quot;non-dropping-particle&quot;:&quot;&quot;}],&quot;container-title&quot;:&quot;Epilepsia&quot;,&quot;container-title-short&quot;:&quot;Epilepsia&quot;,&quot;DOI&quot;:&quot;10.1111/j.1528-1167.2009.02394.x&quot;,&quot;ISSN&quot;:&quot;0013-9580&quot;,&quot;PMID&quot;:&quot;19889016&quot;,&quot;issued&quot;:{&quot;date-parts&quot;:[[2010]]},&quot;page&quot;:&quot;752-759&quot;,&quot;language&quot;:&quot;eng&quot;,&quot;abstract&quot;:&quot;PURPOSE: Several studies have indicated that psychogenic nonepileptic seizures (PNES) are associated with psychological trauma, but only a few studies have examined the associations with neurobiologic stress systems, such as the hypothalamus-pituitary-adrenal (HPA) axis and its end-product cortisol. We tested several relevant HPA-axis functions in patients with PNES and related them to trauma history. METHODS: Cortisol awakening curve, basal diurnal cortisol, and negative cortisol feedback (using a 1 mg dexamethasone suppression test) were examined in 18 patients with PNES and 19 matched healthy controls (HCs) using saliva cortisol sampling on two consecutive days at 19 time points. Concomitant sympathetic nervous system (SNS) activity was assessed by analyzing saliva alpha-amylase (sAA). RESULTS: Patients with PNES showed significantly increased basal diurnal cortisol levels compared to HCs. This effect was driven mainly by patients reporting sexual trauma who showed a trend toward higher cortisol levels as compared to patients without a sexual trauma report. Importantly, the increased basal diurnal cortisol levels in patients were not explained by depression, medication, or smoking, or by current seizures or group differences in SNS activity. DISCUSSION: This is the first study showing that basal hypercortisolism in patients with PNES is independent of the acute occurrence of seizures. In addition, basal hypercortisolism was more pronounced in traumatized patients with PNES as compared to nontraumatized patients with PNES. These findings suggest that HPA-axis activity provides a significant neurobiologic marker for PNES.&quot;,&quot;edition&quot;:&quot;2009/11/06&quot;,&quot;issue&quot;:&quot;5&quot;,&quot;volume&quot;:&quot;51&quot;},&quot;isTemporary&quot;:false},{&quot;id&quot;:&quot;9114bc80-72f6-3af5-b0fc-65fb81e62bc1&quot;,&quot;itemData&quot;:{&quot;type&quot;:&quot;article-journal&quot;,&quot;id&quot;:&quot;9114bc80-72f6-3af5-b0fc-65fb81e62bc1&quot;,&quot;title&quot;:&quot;A biological measure of stress levels in patients with functional movement disorders&quot;,&quot;author&quot;:[{&quot;family&quot;:&quot;Maurer&quot;,&quot;given&quot;:&quot;Carine W&quot;,&quot;parse-names&quot;:false,&quot;dropping-particle&quot;:&quot;&quot;,&quot;non-dropping-particle&quot;:&quot;&quot;},{&quot;family&quot;:&quot;LaFaver&quot;,&quot;given&quot;:&quot;Kathrin&quot;,&quot;parse-names&quot;:false,&quot;dropping-particle&quot;:&quot;&quot;,&quot;non-dropping-particle&quot;:&quot;&quot;},{&quot;family&quot;:&quot;Ameli&quot;,&quot;given&quot;:&quot;Rezvan&quot;,&quot;parse-names&quot;:false,&quot;dropping-particle&quot;:&quot;&quot;,&quot;non-dropping-particle&quot;:&quot;&quot;},{&quot;family&quot;:&quot;Toledo&quot;,&quot;given&quot;:&quot;Ryan&quot;,&quot;parse-names&quot;:false,&quot;dropping-particle&quot;:&quot;&quot;,&quot;non-dropping-particle&quot;:&quot;&quot;},{&quot;family&quot;:&quot;Hallett&quot;,&quot;given&quot;:&quot;Mark&quot;,&quot;parse-names&quot;:false,&quot;dropping-particle&quot;:&quot;&quot;,&quot;non-dropping-particle&quot;:&quot;&quot;}],&quot;container-title&quot;:&quot;Parkinsonism &amp; related disorders&quot;,&quot;container-title-short&quot;:&quot;Parkinsonism Relat Disord&quot;,&quot;DOI&quot;:&quot;10.1016/j.parkreldis.2015.06.017&quot;,&quot;ISSN&quot;:&quot;1873-5126\r1353-8020&quot;,&quot;PMID&quot;:&quot;26117436&quot;,&quot;URL&quot;:&quot;https://pubmed.ncbi.nlm.nih.gov/26117436&quot;,&quot;issued&quot;:{&quot;date-parts&quot;:[[2015]]},&quot;page&quot;:&quot;1072-1075&quot;,&quot;language&quot;:&quot;eng&quot;,&quot;abstract&quot;:&quot;INTRODUCTION: While the presence of co-existing psychological stressors has historically been used as a supportive factor in the diagnosis of functional neurological disorders, many patients with functional neurological disorders deny the presence of these stressors. The stress response circuitry in these patients remains largely unexplored. METHODS: We performed an observational study examining biological stress levels in patients with functional movement disorders as compared with matched healthy controls. Specifically, we compared levels of circulating cortisol, the end-product of the hypothalamic-pituitary-adrenal axis. Salivary cortisol samples were collected from patients with \&quot;clinically definite\&quot; functional movement disorders (n = 33) and their age- and sex-matched controls (n = 33). Collections were performed at five standardized time points, reflecting participants' diurnal cortisol cycles. To rule out confounders, participants also underwent extensive psychological assessment including Structured Clinical Interview for Diagnostic and Statistical Manual of Mental Disorders, Hamilton Anxiety Rating Scale, and Hamilton Rating Scale for Depression. RESULTS: Patients with functional movement disorders did not differ from matched controls with respect to levels of circulating cortisol. CONCLUSION: We demonstrate that current stress levels are not altered in patients with functional movement disorders. Our results warrant careful review of current management of patients with functional neurological symptoms, and suggest that the insistence on heightened stress levels in these patients is unjustified.&quot;,&quot;edition&quot;:&quot;2015/06/21&quot;,&quot;issue&quot;:&quot;9&quot;,&quot;volume&quot;:&quot;21&quot;},&quot;isTemporary&quot;:false},{&quot;id&quot;:&quot;d6067ae8-0b9d-326f-b78b-8e4a23ee68a2&quot;,&quot;itemData&quot;:{&quot;type&quot;:&quot;article-journal&quot;,&quot;id&quot;:&quot;d6067ae8-0b9d-326f-b78b-8e4a23ee68a2&quot;,&quot;title&quot;:&quot;Diurnal patterns and relationships between physiological and self-reported stress in patients with epilepsy and psychogenic non-epileptic seizures&quot;,&quot;author&quot;:[{&quot;family&quot;:&quot;Novakova&quot;,&quot;given&quot;:&quot;B&quot;,&quot;parse-names&quot;:false,&quot;dropping-particle&quot;:&quot;&quot;,&quot;non-dropping-particle&quot;:&quot;&quot;},{&quot;family&quot;:&quot;Harris&quot;,&quot;given&quot;:&quot;P R&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7.03.006&quot;,&quot;ISSN&quot;:&quot;1525-5050&quot;,&quot;PMID&quot;:&quot;28432961&quot;,&quot;issued&quot;:{&quot;date-parts&quot;:[[2017]]},&quot;page&quot;:&quot;204-211&quot;,&quot;language&quot;:&quot;eng&quot;,&quot;abstract&quot;:&quot;PURPOSE: Patients with epilepsy and those with psychogenic non-epileptic seizures (PNES) experience high levels of stress and stress is one of the most frequently self-identified seizure precipitants. Although stress is a multifaceted phenomenon, few studies have systematically examined its different components in patients with seizures. The aim of this study was therefore to describe diurnal patterns of psychological and physiological measures of stress in patients with epilepsy and patients with PNES, and explore their relationships to each other in order to improve our understanding of the mechanisms underlying stress and seizure occurrence in these patients. METHOD: A range of stress markers including self-reported stress, salivary cortisol, and heart rate variability (HRV) were explored in adult patients with refractory epilepsy (N=22) and those with PNES (N=23) undergoing three- to five-day video-telemetry. RESULTS: A diurnal pattern was observed in the physiological measures, characterized by higher levels of physiological arousal in the mornings and lower levels at night in both patients with epilepsy and PNES. The physiological measures (cortisol and HRV) were associated with each other in patients with epilepsy; no close relationship was found with self-reported stress in either of the two patient groups. CONCLUSION: The findings contribute to and expand on previous studies of the patterns of stress in patients with seizures. The results also indicate a discrepancy between patients' physiological responses and their subjective stress perceptions, suggesting that simple self-reports cannot be used as a proxy of physiological arousal in patients with seizures and stress. Stress in these patient groups should be studied using a combination of complementary measures.&quot;,&quot;edition&quot;:&quot;2017/04/23&quot;,&quot;issue&quot;:&quot;Pt A&quot;,&quot;volume&quot;:&quot;70&quot;,&quot;container-title-short&quot;:&quot;&quot;},&quot;isTemporary&quot;:false}],&quot;citationTag&quot;:&quot;MENDELEY_CITATION_v3_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&quot;},{&quot;citationID&quot;:&quot;MENDELEY_CITATION_c0f6f8d5-9ee1-493f-9fb9-b1f2e9c51614&quot;,&quot;properties&quot;:{&quot;noteIndex&quot;:0},&quot;isEdited&quot;:false,&quot;manualOverride&quot;:{&quot;isManuallyOverridden&quot;:true,&quot;citeprocText&quot;:&quot;(Allendorfer et al., 2019; Apazoglou et al., 2017; Bakvis et al., 2009; Maurer et al., 2015; Pick et al., 2018)&quot;,&quot;manualOverrideText&quot;:&quot;(Allendorfer et al., 2019; Apazoglou et al., 2017; Bakvis et al., 2009; Maurer et al., 2015; Pick et al., 2018a)&quot;},&quot;citationItems&quot;:[{&quot;id&quot;:&quot;3c24f0e1-88ed-3f1b-b500-698f4c348a0f&quot;,&quot;itemData&quot;:{&quot;type&quot;:&quot;article-journal&quot;,&quot;id&quot;:&quot;3c24f0e1-88ed-3f1b-b500-698f4c348a0f&quot;,&quot;title&quot;:&quot;Trauma, stress, and preconscious threat processing in patients with psychogenic nonepileptic seizures&quot;,&quot;author&quot;:[{&quot;family&quot;:&quot;Bakvis&quot;,&quot;given&quot;:&quot;P&quot;,&quot;parse-names&quot;:false,&quot;dropping-particle&quot;:&quot;&quot;,&quot;non-dropping-particle&quot;:&quot;&quot;},{&quot;family&quot;:&quot;Roelofs&quot;,&quot;given&quot;:&quot;K&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Swinkels&quot;,&quot;given&quot;:&quot;W A&quot;,&quot;parse-names&quot;:false,&quot;dropping-particle&quot;:&quot;&quot;,&quot;non-dropping-particle&quot;:&quot;&quot;},{&quot;family&quot;:&quot;Spinhoven&quot;,&quot;given&quot;:&quot;P&quot;,&quot;parse-names&quot;:false,&quot;dropping-particle&quot;:&quot;&quot;,&quot;non-dropping-particle&quot;:&quot;&quot;}],&quot;container-title&quot;:&quot;Epilepsia&quot;,&quot;container-title-short&quot;:&quot;Epilepsia&quot;,&quot;DOI&quot;:&quot;10.1111/j.1528-1167.2008.01862.x&quot;,&quot;ISSN&quot;:&quot;0013-9580&quot;,&quot;PMID&quot;:&quot;19170739&quot;,&quot;issued&quot;:{&quot;date-parts&quot;:[[2009]]},&quot;page&quot;:&quot;1001-1011&quot;,&quot;language&quot;:&quot;eng&quot;,&quot;abstract&quot;:&quot;PURPOSE: Psychogenic nonepileptic seizures (PNES) have long been considered as paroxysmal dissociative symptoms characterized by an alteration of attentional functions caused by severe stress or trauma. Although interpersonal trauma is common in PNES, the proposed relation between trauma and attentional functions remains under explored. We examined the attentional processing of social threat in PNES in relation to interpersonal trauma and acute psychological stress. METHODS: A masked emotional Stroop test, comparing color-naming latencies for backwardly masked angry, neutral, and happy faces, was administered to 19 unmedicated patients with PNES and 20 matched healthy controls, at baseline and in a stress condition. Stress was induced by means of the Trier Social Stress Test and physiologic stress parameters, such as heart rate variability (HRV) and cortisol, were measured throughout the experiment. RESULTS: No group differences related to the acute stress induction were found. Compared to controls, however, patients displayed a positive attentional bias for masked angry faces at baseline, which was correlated to self-reported sexual trauma. Moreover, patients showed lower HRV at baseline and during recovery. DISCUSSION: These findings are suggestive of a state of hypervigilance in patients with PNES. The relation with self-reported trauma, moreover, offers the first evidence linking psychological risk factors to altered information processing in PNES.&quot;,&quot;edition&quot;:&quot;2009/01/28&quot;,&quot;issue&quot;:&quot;5&quot;,&quot;volume&quot;:&quot;50&quot;},&quot;isTemporary&quot;:false},{&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id&quot;:&quot;9114bc80-72f6-3af5-b0fc-65fb81e62bc1&quot;,&quot;itemData&quot;:{&quot;type&quot;:&quot;article-journal&quot;,&quot;id&quot;:&quot;9114bc80-72f6-3af5-b0fc-65fb81e62bc1&quot;,&quot;title&quot;:&quot;A biological measure of stress levels in patients with functional movement disorders&quot;,&quot;author&quot;:[{&quot;family&quot;:&quot;Maurer&quot;,&quot;given&quot;:&quot;Carine W&quot;,&quot;parse-names&quot;:false,&quot;dropping-particle&quot;:&quot;&quot;,&quot;non-dropping-particle&quot;:&quot;&quot;},{&quot;family&quot;:&quot;LaFaver&quot;,&quot;given&quot;:&quot;Kathrin&quot;,&quot;parse-names&quot;:false,&quot;dropping-particle&quot;:&quot;&quot;,&quot;non-dropping-particle&quot;:&quot;&quot;},{&quot;family&quot;:&quot;Ameli&quot;,&quot;given&quot;:&quot;Rezvan&quot;,&quot;parse-names&quot;:false,&quot;dropping-particle&quot;:&quot;&quot;,&quot;non-dropping-particle&quot;:&quot;&quot;},{&quot;family&quot;:&quot;Toledo&quot;,&quot;given&quot;:&quot;Ryan&quot;,&quot;parse-names&quot;:false,&quot;dropping-particle&quot;:&quot;&quot;,&quot;non-dropping-particle&quot;:&quot;&quot;},{&quot;family&quot;:&quot;Hallett&quot;,&quot;given&quot;:&quot;Mark&quot;,&quot;parse-names&quot;:false,&quot;dropping-particle&quot;:&quot;&quot;,&quot;non-dropping-particle&quot;:&quot;&quot;}],&quot;container-title&quot;:&quot;Parkinsonism &amp; related disorders&quot;,&quot;container-title-short&quot;:&quot;Parkinsonism Relat Disord&quot;,&quot;DOI&quot;:&quot;10.1016/j.parkreldis.2015.06.017&quot;,&quot;ISSN&quot;:&quot;1873-5126\r1353-8020&quot;,&quot;PMID&quot;:&quot;26117436&quot;,&quot;URL&quot;:&quot;https://pubmed.ncbi.nlm.nih.gov/26117436&quot;,&quot;issued&quot;:{&quot;date-parts&quot;:[[2015]]},&quot;page&quot;:&quot;1072-1075&quot;,&quot;language&quot;:&quot;eng&quot;,&quot;abstract&quot;:&quot;INTRODUCTION: While the presence of co-existing psychological stressors has historically been used as a supportive factor in the diagnosis of functional neurological disorders, many patients with functional neurological disorders deny the presence of these stressors. The stress response circuitry in these patients remains largely unexplored. METHODS: We performed an observational study examining biological stress levels in patients with functional movement disorders as compared with matched healthy controls. Specifically, we compared levels of circulating cortisol, the end-product of the hypothalamic-pituitary-adrenal axis. Salivary cortisol samples were collected from patients with \&quot;clinically definite\&quot; functional movement disorders (n = 33) and their age- and sex-matched controls (n = 33). Collections were performed at five standardized time points, reflecting participants' diurnal cortisol cycles. To rule out confounders, participants also underwent extensive psychological assessment including Structured Clinical Interview for Diagnostic and Statistical Manual of Mental Disorders, Hamilton Anxiety Rating Scale, and Hamilton Rating Scale for Depression. RESULTS: Patients with functional movement disorders did not differ from matched controls with respect to levels of circulating cortisol. CONCLUSION: We demonstrate that current stress levels are not altered in patients with functional movement disorders. Our results warrant careful review of current management of patients with functional neurological symptoms, and suggest that the insistence on heightened stress levels in these patients is unjustified.&quot;,&quot;edition&quot;:&quot;2015/06/21&quot;,&quot;issue&quot;:&quot;9&quot;,&quot;volume&quot;:&quot;21&quot;},&quot;isTemporary&quot;:false},{&quot;id&quot;:&quot;86566697-1b64-318c-a326-c7e05239587b&quot;,&quot;itemData&quot;:{&quot;type&quot;:&quot;article-journal&quot;,&quot;id&quot;:&quot;86566697-1b64-318c-a326-c7e05239587b&quot;,&quot;title&quot;:&quot;Autonomic and subjective responsivity to emotional images in people with dissociative seizures&quot;,&quot;author&quot;:[{&quot;family&quot;:&quot;Pick&quot;,&quot;given&quot;:&quot;S&quot;,&quot;parse-names&quot;:false,&quot;dropping-particle&quot;:&quot;&quot;,&quot;non-dropping-particle&quot;:&quot;&quot;},{&quot;family&quot;:&quot;Mellers&quot;,&quot;given&quot;:&quot;J D C&quot;,&quot;parse-names&quot;:false,&quot;dropping-particle&quot;:&quot;&quot;,&quot;non-dropping-particle&quot;:&quot;&quot;},{&quot;family&quot;:&quot;Goldstein&quot;,&quot;given&quot;:&quot;L H&quot;,&quot;parse-names&quot;:false,&quot;dropping-particle&quot;:&quot;&quot;,&quot;non-dropping-particle&quot;:&quot;&quot;}],&quot;container-title&quot;:&quot;J Neuropsychol&quot;,&quot;DOI&quot;:&quot;10.1111/jnp.12144&quot;,&quot;ISSN&quot;:&quot;1748-6645 (Print)\r1748-6645&quot;,&quot;PMID&quot;:&quot;29285879&quot;,&quot;issued&quot;:{&quot;date-parts&quot;:[[2018]]},&quot;page&quot;:&quot;341-355&quot;,&quot;language&quot;:&quot;eng&quot;,&quot;abstract&quot;:&quot;People with dissociative seizures (DS) report a range of difficulties in emotional functioning and exhibit altered responding to emotional facial expressions in experimental tasks. We extended this research by investigating subjective and autonomic reactivity (ratings of emotional valence, arousal and skin conductance responses [SCRs]) to general emotional images in 39 people with DS relative to 42 healthy control participants, whilst controlling for anxiety, depression, cognitive functioning and, where relevant, medication use. It was predicted that greater subjective negativity and arousal and increased SCRs in response to the affective pictures would be observed in the DS group. The DS group as a whole did not differ from controls in their subjective responses of valence and arousal. However, SCR amplitudes were greater in 'autonomic responders' with DS relative to 'autonomic responders' in the control group. A positive correlation was also observed between SCRs for highly arousing negative pictures and self-reported ictal autonomic arousal, in DS 'autonomic responders'. In the DS subgroup of autonomic 'non-responders', differences in subjective responses were observed for some conditions, compared to control 'non-responders'. The findings indicate unaffected subjective responses to emotional images in people with DS overall. However, within the group of people with DS, there may be subgroups characterized by differences in emotional responding. One subgroup (i.e., 'autonomic responders') exhibit heightened autonomic responses but intact subjective emotional experience, whilst another subgroup (i.e., 'autonomic non-responders') seem to experience greater subjective negativity and arousal for some emotional stimuli, despite less frequent autonomic reactions. The current results suggest that therapeutic interventions targeting awareness and regulation of physiological arousal and subjective emotional experience could be of value in some people with this disorder.&quot;,&quot;edition&quot;:&quot;2017/12/30&quot;,&quot;issue&quot;:&quot;2&quot;,&quot;volume&quot;:&quot;12&quot;,&quot;container-title-short&quot;:&quot;&quot;},&quot;isTemporary&quot;:false}],&quot;citationTag&quot;:&quot;MENDELEY_CITATION_v3_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LH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&quot;},{&quot;citationID&quot;:&quot;MENDELEY_CITATION_4bf059bd-4a5f-45af-9ae8-c55bb8193bce&quot;,&quot;properties&quot;:{&quot;noteIndex&quot;:0},&quot;isEdited&quot;:false,&quot;manualOverride&quot;:{&quot;isManuallyOverridden&quot;:false,&quot;citeprocText&quot;:&quot;(Demartini et al., 2016; Herrero et al., 2020; Koreki et al., 2020; Kotwas et al., 2019; Ricciardi et al., 2016; Roberts et al., 2012; Roberts Ph.D. et al., 2020; I. A. Williams et al., 2021)&quot;,&quot;manualOverrideText&quot;:&quot;&quot;},&quot;citationItems&quot;:[{&quot;id&quot;:&quot;82d2b97f-c95d-391e-9154-5e4ac51ddba3&quot;,&quot;itemData&quot;:{&quot;type&quot;:&quot;article-journal&quot;,&quot;id&quot;:&quot;82d2b97f-c95d-391e-9154-5e4ac51ddba3&quot;,&quot;title&quot;:&quot;Psychogenic non-epileptic seizures and functional motor symptoms: A common phenomenology?&quot;,&quot;author&quot;:[{&quot;family&quot;:&quot;Demartini&quot;,&quot;given&quot;:&quot;B&quot;,&quot;parse-names&quot;:false,&quot;dropping-particle&quot;:&quot;&quot;,&quot;non-dropping-particle&quot;:&quot;&quot;},{&quot;family&quot;:&quot;Goeta&quot;,&quot;given&quot;:&quot;D&quot;,&quot;parse-names&quot;:false,&quot;dropping-particle&quot;:&quot;&quot;,&quot;non-dropping-particle&quot;:&quot;&quot;},{&quot;family&quot;:&quot;Barbieri&quot;,&quot;given&quot;:&quot;V&quot;,&quot;parse-names&quot;:false,&quot;dropping-particle&quot;:&quot;&quot;,&quot;non-dropping-particle&quot;:&quot;&quot;},{&quot;family&quot;:&quot;Ricciardi&quot;,&quot;given&quot;:&quot;L&quot;,&quot;parse-names&quot;:false,&quot;dropping-particle&quot;:&quot;&quot;,&quot;non-dropping-particle&quot;:&quot;&quot;},{&quot;family&quot;:&quot;Canevini&quot;,&quot;given&quot;:&quot;M P&quot;,&quot;parse-names&quot;:false,&quot;dropping-particle&quot;:&quot;&quot;,&quot;non-dropping-particle&quot;:&quot;&quot;},{&quot;family&quot;:&quot;Turner&quot;,&quot;given&quot;:&quot;K&quot;,&quot;parse-names&quot;:false,&quot;dropping-particle&quot;:&quot;&quot;,&quot;non-dropping-particle&quot;:&quot;&quot;},{&quot;family&quot;:&quot;D'Agostino&quot;,&quot;given&quot;:&quot;A&quot;,&quot;parse-names&quot;:false,&quot;dropping-particle&quot;:&quot;&quot;,&quot;non-dropping-particle&quot;:&quot;&quot;},{&quot;family&quot;:&quot;Romito&quot;,&quot;given&quot;:&quot;L&quot;,&quot;parse-names&quot;:false,&quot;dropping-particle&quot;:&quot;&quot;,&quot;non-dropping-particle&quot;:&quot;&quot;},{&quot;family&quot;:&quot;Gambini&quot;,&quot;given&quot;:&quot;O&quot;,&quot;parse-names&quot;:false,&quot;dropping-particle&quot;:&quot;&quot;,&quot;non-dropping-particle&quot;:&quot;&quot;}],&quot;container-title&quot;:&quot;J Neurol Sci&quot;,&quot;DOI&quot;:&quot;10.1016/j.jns.2016.06.045&quot;,&quot;ISSN&quot;:&quot;0022-510x&quot;,&quot;PMID&quot;:&quot;27538601&quot;,&quot;issued&quot;:{&quot;date-parts&quot;:[[2016]]},&quot;page&quot;:&quot;49-54&quot;,&quot;language&quot;:&quot;eng&quot;,&quot;abstract&quot;:&quot;OBJECTIVE: Recent studies have attempted to compare patients affected by psychogenic non-epileptic seizures (PNES) to patients affected by functional motor symptoms (FMS) from a demographic, clinical and psychological perspective. Nevertheless, results are quite controversial and significant conclusions have not been drawn. The aim of our study was to evaluate the phenomenology of psychology of the two groups assessing levels of dissociation and its subcomponents, alexithymia and interoceptive sensitivity in patients with PNES and in patients with FMS. METHODS: We conducted a cross-sectional study recruiting 20 patients with PNES, 20 patients with FMS and 20 healthy subjects as a control group. All subjects underwent: Dissociative Experience Scale (DES), Somatoform Dissociation Questionnaire (SDQ-20), Cambridge Depersonalization Scale (CDS), Toronto Alexithymia Scale (TAS-20), Hamilton Rating Scale for Depression (HAM-D), Hamilton Rating Scale for anxiety (HAM-A), heart beat detection task. RESULTS: Our data suggest that PNES group scored significantly higher than the healthy control group on a measure of detachment (CDS). Also at the DES, a measure of psychoform dissociation, PNES patients scored significantly higher than healthy subjects. On the other hand patients affected by FMS scored significantly higher than the healthy control group on the SDQ but they did not report more experiences of detachment on the CDS. Patients affected by PNES and FMS were significantly more alexithymic than healthy controls, with a third of them scoring &gt;61 on the TAS-20. SIGNIFICANCE: Our data show different psychological mechanisms underlying patients with PNES and patients with FMS. This might lead also to potential implications for treatment.&quot;,&quot;edition&quot;:&quot;2016/08/20&quot;,&quot;volume&quot;:&quot;368&quot;,&quot;container-title-short&quot;:&quot;&quot;},&quot;isTemporary&quot;:false},{&quot;id&quot;:&quot;20348da3-f01a-32ae-bc5b-cec7bbb3f147&quot;,&quot;itemData&quot;:{&quot;type&quot;:&quot;article-journal&quot;,&quot;id&quot;:&quot;20348da3-f01a-32ae-bc5b-cec7bbb3f147&quot;,&quot;title&quot;:&quot;Trait and state interoceptive abnormalities are associated with dissociation and seizure frequency in patients with functional seizures&quot;,&quot;author&quot;:[{&quot;family&quot;:&quot;Koreki&quot;,&quot;given&quot;:&quot;Akihiro&quot;,&quot;parse-names&quot;:false,&quot;dropping-particle&quot;:&quot;&quot;,&quot;non-dropping-particle&quot;:&quot;&quot;},{&quot;family&quot;:&quot;Garfkinel&quot;,&quot;given&quot;:&quot;Sarah N&quot;,&quot;parse-names&quot;:false,&quot;dropping-particle&quot;:&quot;&quot;,&quot;non-dropping-particle&quot;:&quot;&quot;},{&quot;family&quot;:&quot;Mula&quot;,&quot;given&quot;:&quot;Marco&quot;,&quot;parse-names&quot;:false,&quot;dropping-particle&quot;:&quot;&quot;,&quot;non-dropping-particle&quot;:&quot;&quot;},{&quot;family&quot;:&quot;Agrawal&quot;,&quot;given&quot;:&quot;Niruj&quot;,&quot;parse-names&quot;:false,&quot;dropping-particle&quot;:&quot;&quot;,&quot;non-dropping-particle&quot;:&quot;&quot;},{&quot;family&quot;:&quot;Cope&quot;,&quot;given&quot;:&quot;Sarah&quot;,&quot;parse-names&quot;:false,&quot;dropping-particle&quot;:&quot;&quot;,&quot;non-dropping-particle&quot;:&quot;&quot;},{&quot;family&quot;:&quot;Eilon&quot;,&quot;given&quot;:&quot;Talia&quot;,&quot;parse-names&quot;:false,&quot;dropping-particle&quot;:&quot;&quot;,&quot;non-dropping-particle&quot;:&quot;&quot;},{&quot;family&quot;:&quot;Gould Van Praag&quot;,&quot;given&quot;:&quot;Cassandra&quot;,&quot;parse-names&quot;:false,&quot;dropping-particle&quot;:&quot;&quot;,&quot;non-dropping-particle&quot;:&quot;&quot;},{&quot;family&quot;:&quot;Critchley&quot;,&quot;given&quot;:&quot;Hugo D&quot;,&quot;parse-names&quot;:false,&quot;dropping-particle&quot;:&quot;&quot;,&quot;non-dropping-particle&quot;:&quot;&quot;},{&quot;family&quot;:&quot;Edwards&quot;,&quot;given&quot;:&quot;Mark&quot;,&quot;parse-names&quot;:false,&quot;dropping-particle&quot;:&quot;&quot;,&quot;non-dropping-particle&quot;:&quot;&quot;},{&quot;family&quot;:&quot;Yogarajah&quot;,&quot;given&quot;:&quot;Mahinda&quot;,&quot;parse-names&quot;:false,&quot;dropping-particle&quot;:&quot;&quot;,&quot;non-dropping-particle&quot;:&quot;&quot;}],&quot;container-title&quot;:&quot;Epilepsia&quot;,&quot;container-title-short&quot;:&quot;Epilepsia&quot;,&quot;DOI&quot;:&quot;10.1111/epi.16532&quot;,&quot;ISSN&quot;:&quot;0013-9580&quot;,&quot;issued&quot;:{&quot;date-parts&quot;:[[2020]]},&quot;page&quot;:&quot;1156-1165&quot;,&quot;publisher&quot;:&quot;Wiley&quot;,&quot;issue&quot;:&quot;6&quot;,&quot;volume&quot;:&quot;61&quot;},&quot;isTemporary&quot;:false},{&quot;id&quot;:&quot;281a6a8d-6d51-3726-9d25-5158d10cefa7&quot;,&quot;itemData&quot;:{&quot;type&quot;:&quot;article-journal&quot;,&quot;id&quot;:&quot;281a6a8d-6d51-3726-9d25-5158d10cefa7&quot;,&quot;title&quot;:&quot;Subjective and physiological response to emotions in temporal lobe epilepsy and psychogenic non-epileptic seizures&quot;,&quot;author&quot;:[{&quot;family&quot;:&quot;Kotwas&quot;,&quot;given&quot;:&quot;I&quot;,&quot;parse-names&quot;:false,&quot;dropping-particle&quot;:&quot;&quot;,&quot;non-dropping-particle&quot;:&quot;&quot;},{&quot;family&quot;:&quot;Micoulaud-Franchi&quot;,&quot;given&quot;:&quot;J A&quot;,&quot;parse-names&quot;:false,&quot;dropping-particle&quot;:&quot;&quot;,&quot;non-dropping-particle&quot;:&quot;&quot;},{&quot;family&quot;:&quot;Khalfa&quot;,&quot;given&quot;:&quot;S&quot;,&quot;parse-names&quot;:false,&quot;dropping-particle&quot;:&quot;&quot;,&quot;non-dropping-particle&quot;:&quot;&quot;},{&quot;family&quot;:&quot;McGonigal&quot;,&quot;given&quot;:&quot;A&quot;,&quot;parse-names&quot;:false,&quot;dropping-particle&quot;:&quot;&quot;,&quot;non-dropping-particle&quot;:&quot;&quot;},{&quot;family&quot;:&quot;Bastien-Toniazzo&quot;,&quot;given&quot;:&quot;M&quot;,&quot;parse-names&quot;:false,&quot;dropping-particle&quot;:&quot;&quot;,&quot;non-dropping-particle&quot;:&quot;&quot;},{&quot;family&quot;:&quot;Bartolomei&quot;,&quot;given&quot;:&quot;F&quot;,&quot;parse-names&quot;:false,&quot;dropping-particle&quot;:&quot;&quot;,&quot;non-dropping-particle&quot;:&quot;&quot;}],&quot;container-title&quot;:&quot;J Affect Disord&quot;,&quot;DOI&quot;:&quot;10.1016/j.jad.2018.10.004&quot;,&quot;ISSN&quot;:&quot;0165-0327&quot;,&quot;PMID&quot;:&quot;30312840&quot;,&quot;issued&quot;:{&quot;date-parts&quot;:[[2019]]},&quot;page&quot;:&quot;46-53&quot;,&quot;language&quot;:&quot;eng&quot;,&quot;abstract&quot;:&quot;BACKGROUND: Temporal lobe epilepsy (TLE) and psychogenic non-epileptic seizures (PNES) are conditions frequently associated with dysfunction in emotional regulation leading to increased risk of affective disorders. This study investigates emotional processing with an objective measure of emotional reactivity in patients with TLE and patients with PNES. METHODS: 34 patients with TLE and 14 patients with PNES were evaluated on skin conductance responses (SCR) to emotions induced by short films and compared to 34 healthy controls. An attention and a suppression condition were performed while viewing the films. RESULTS: The both groups of patients disclosed lower SCR to emotions compared to controls, mainly in suppression condition. While TLE patients had lower SCR in attention condition than controls for fear, sadness and happiness, PNES had lower SCR only for happiness. In suppression condition, both had lower SCR than controls except for peacefulness in both groups and sadness in PNES. Subjective evaluations revealed that both patient's groups scored a higher intensity for sadness than controls in attention and lower for in fear and disgust in suppression only in TLE. LIMITATIONS: The sample size in the PNES group and the lack of a control group with similar levels of mood symptoms limited the interpretation of our results. CONCLUSION: As no correlation were found between SCR to emotions and scores of affective disorders, this pattern of responses might be underpinned by specific pathophysiological and cognitive mechanisms related to TLE and to PNES. Thus, therapeutic approaches targeting emotional autonomic responses can be of interest in the management of these conditions.&quot;,&quot;edition&quot;:&quot;2018/10/13&quot;,&quot;volume&quot;:&quot;244&quot;,&quot;container-title-short&quot;:&quot;&quot;},&quot;isTemporary&quot;:false},{&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id&quot;:&quot;d540554a-09cd-3c71-b0da-36947513e00d&quot;,&quot;itemData&quot;:{&quot;type&quot;:&quot;article-journal&quot;,&quot;id&quot;:&quot;d540554a-09cd-3c71-b0da-36947513e00d&quot;,&quot;title&quot;:&quot;Emotion in psychogenic nonepileptic seizures: responses to affective pictures&quot;,&quot;author&quot;:[{&quot;family&quot;:&quot;Roberts&quot;,&quot;given&quot;:&quot;N A&quot;,&quot;parse-names&quot;:false,&quot;dropping-particle&quot;:&quot;&quot;,&quot;non-dropping-particle&quot;:&quot;&quot;},{&quot;family&quot;:&quot;Burleson&quot;,&quot;given&quot;:&quot;M H&quot;,&quot;parse-names&quot;:false,&quot;dropping-particle&quot;:&quot;&quot;,&quot;non-dropping-particle&quot;:&quot;&quot;},{&quot;family&quot;:&quot;Weber&quot;,&quot;given&quot;:&quot;D J&quot;,&quot;parse-names&quot;:false,&quot;dropping-particle&quot;:&quot;&quot;,&quot;non-dropping-particle&quot;:&quot;&quot;},{&quot;family&quot;:&quot;Larson&quot;,&quot;given&quot;:&quot;A&quot;,&quot;parse-names&quot;:false,&quot;dropping-particle&quot;:&quot;&quot;,&quot;non-dropping-particle&quot;:&quot;&quot;},{&quot;family&quot;:&quot;Sergeant&quot;,&quot;given&quot;:&quot;K&quot;,&quot;parse-names&quot;:false,&quot;dropping-particle&quot;:&quot;&quot;,&quot;non-dropping-particle&quot;:&quot;&quot;},{&quot;family&quot;:&quot;Devine&quot;,&quot;given&quot;:&quot;M J&quot;,&quot;parse-names&quot;:false,&quot;dropping-particle&quot;:&quot;&quot;,&quot;non-dropping-particle&quot;:&quot;&quot;},{&quot;family&quot;:&quot;Vincelette&quot;,&quot;given&quot;:&quot;T M&quot;,&quot;parse-names&quot;:false,&quot;dropping-particle&quot;:&quot;&quot;,&quot;non-dropping-particle&quot;:&quot;&quot;},{&quot;family&quot;:&quot;Wang&quot;,&quot;given&quot;:&quot;N C&quot;,&quot;parse-names&quot;:false,&quot;dropping-particle&quot;:&quot;&quot;,&quot;non-dropping-particle&quot;:&quot;&quot;}],&quot;container-title&quot;:&quot;Epilepsy Behav&quot;,&quot;DOI&quot;:&quot;10.1016/j.yebeh.2012.03.018&quot;,&quot;ISSN&quot;:&quot;1525-5050&quot;,&quot;PMID&quot;:&quot;22520585&quot;,&quot;issued&quot;:{&quot;date-parts&quot;:[[2012]]},&quot;page&quot;:&quot;107-115&quot;,&quot;language&quot;:&quot;eng&quot;,&quot;abstract&quot;:&quot;We examined emotional responses to standard affective pictures in 18 psychogenic nonepileptic seizure (PNES) patients. Given reports of trauma and posttraumatic stress symptoms (PTS) in many PNES patients, comparison groups were seizure-free individuals high and low in PTS (PTS-high, PTS-low; n=18 per group). Patients with psychogenic nonepileptic seizures (1) reported more emotional intensity to neutral and pleasant pictures than PTS-low and more intensity to neutral pictures than PTS-high, and (2) showed less positive emotional behavior to pleasant pictures than PTS-high. Groups did not differ in pleasantness/unpleasantness ratings, negative emotional behavior, cardiac interbeat interval, or respiratory sinus arrhythmia (RSA) reactivity to the pictures. Patients with psychogenic nonepileptic seizures reported more general emotion regulation difficulties and showed lower baseline RSA than PTS-low but not PTS-high. In sum, intense emotional experience and diminished positive emotional behavior characterized PNES patients' emotional responses.&quot;,&quot;edition&quot;:&quot;2012/04/24&quot;,&quot;issue&quot;:&quot;1&quot;,&quot;volume&quot;:&quot;24&quot;,&quot;container-title-short&quot;:&quot;&quot;},&quot;isTemporary&quot;:false},{&quot;id&quot;:&quot;3bd0c1eb-1f68-345e-928e-34ae34206c7f&quot;,&quot;itemData&quot;:{&quot;type&quot;:&quot;article-journal&quot;,&quot;id&quot;:&quot;3bd0c1eb-1f68-345e-928e-34ae34206c7f&quot;,&quot;title&quot;:&quot;Emotional Reactivity as a Vulnerability for Psychogenic Nonepileptic Seizures? Responses While Reliving Specific Emotions&quot;,&quot;author&quot;:[{&quot;family&quot;:&quot;Roberts Ph.D.&quot;,&quot;given&quot;:&quot;&quot;,&quot;parse-names&quot;:false,&quot;dropping-particle&quot;:&quot;&quot;,&quot;non-dropping-particle&quot;:&quot;&quot;},{&quot;family&quot;:&quot;Mary H. Burleson Ph.D.&quot;,&quot;given&quot;:&quot;&quot;,&quot;parse-names&quot;:false,&quot;dropping-particle&quot;:&quot;&quot;,&quot;non-dropping-particle&quot;:&quot;&quot;},{&quot;family&quot;:&quot;Dhannia L. Torres Ph.D.&quot;,&quot;given&quot;:&quot;&quot;,&quot;parse-names&quot;:false,&quot;dropping-particle&quot;:&quot;&quot;,&quot;non-dropping-particle&quot;:&quot;&quot;},{&quot;family&quot;:&quot;David K. Parkhurst M.S.&quot;,&quot;given&quot;:&quot;&quot;,&quot;parse-names&quot;:false,&quot;dropping-particle&quot;:&quot;&quot;,&quot;non-dropping-particle&quot;:&quot;&quot;},{&quot;family&quot;:&quot;Robin Garrett Psy.D.&quot;,&quot;given&quot;:&quot;&quot;,&quot;parse-names&quot;:false,&quot;dropping-particle&quot;:&quot;&quot;,&quot;non-dropping-particle&quot;:&quot;&quot;},{&quot;family&quot;:&quot;Lauren B. Mitchell B.A.&quot;,&quot;given&quot;:&quot;&quot;,&quot;parse-names&quot;:false,&quot;dropping-particle&quot;:&quot;&quot;,&quot;non-dropping-particle&quot;:&quot;&quot;},{&quot;family&quot;:&quot;Cayla J. Duncan M.S.&quot;,&quot;given&quot;:&quot;&quot;,&quot;parse-names&quot;:false,&quot;dropping-particle&quot;:&quot;&quot;,&quot;non-dropping-particle&quot;:&quot;&quot;},{&quot;family&quot;:&quot;Mallory Mintert M.S.&quot;,&quot;given&quot;:&quot;&quot;,&quot;parse-names&quot;:false,&quot;dropping-particle&quot;:&quot;&quot;,&quot;non-dropping-particle&quot;:&quot;&quot;},{&quot;family&quot;:&quot;Norman C. Wang M.D.&quot;,&quot;given&quot;:&quot;&quot;,&quot;parse-names&quot;:false,&quot;dropping-particle&quot;:&quot;&quot;,&quot;non-dropping-particle&quot;:&quot;&quot;}],&quot;container-title&quot;:&quot;The Journal of Neuropsychiatry and Clinical Neurosciences&quot;,&quot;container-title-short&quot;:&quot;J Neuropsychiatry Clin Neurosci&quot;,&quot;DOI&quot;:&quot;10.1176/appi.neuropsych.19040084&quot;,&quot;PMID&quot;:&quot;31662092&quot;,&quot;URL&quot;:&quot;https://neuro.psychiatryonline.org/doi/abs/10.1176/appi.neuropsych.19040084&quot;,&quot;issued&quot;:{&quot;date-parts&quot;:[[2020]]},&quot;page&quot;:&quot;95-100&quot;,&quot;abstract&quot;:&quot;Objective:Dysfunction in emotional processes is a hypothesized contributor to functional neurological disorders (FNDs), yet few studies have evoked real-time emotion during multimethod assessment incorporating subjective, behavioral, and psychophysiological indicators. This approach may reveal clinical and neurobiological vulnerability to FND and clarify how dysfunctional emotional processes serve as perpetuating factors.Methods:Eleven participants with video-EEG-confirmed diagnoses of psychogenic nonepileptic seizures (PNES) were compared with 49 seizure-free trauma control subjects (TCs) with or without clinically elevated posttraumatic stress symptoms (25 clinically elevated [TC-clin], 24 not clinically elevated [TC-nonclin]). Participants recalled and described memories evoking anger, shame, happiness, and neutral feelings.Results:Even though PNES patients and TCs reported similar amounts of emotional experience, PNES patients reported more difficulty reliving emotions and were less likely to complete the relived shame task. During and after reliving happiness, PNES and TC-clin groups showed respiratory sinus arrhythmia (RSA) decreases, indicating parasympathetic withdrawal, whereas the TC-nonclin group showed RSA increases.Conclusions:Findings from this pilot study are consistent with previous research and clinical observations that emotional engagement may be more effortful for PNES patients. Patterns of RSA change, which may also point to greater effortful engagement, were similar in PNES and TC-clin groups, suggesting that traumatic stress reactions may play a part. At the same time, experience of greater difficulty or avoidance may be even greater among PNES patients. Especially when regulatory resources are already limited, accumulated effort, coupled with self-threatening contexts such as shame, may be particularly problematic for those with PNES and perhaps other FNDs.&quot;,&quot;issue&quot;:&quot;1&quot;,&quot;volume&quot;:&quot;32&quot;},&quot;isTemporary&quot;:false},{&quot;id&quot;:&quot;995facf9-645e-3520-9042-ab779afb2473&quot;,&quot;itemData&quot;:{&quot;type&quot;:&quot;article-journal&quot;,&quot;id&quot;:&quot;995facf9-645e-3520-9042-ab779afb2473&quot;,&quot;title&quot;:&quot;Skin conductance response and emotional response in women with psychogenic non-epileptic seizures&quot;,&quot;author&quot;:[{&quot;family&quot;:&quot;Herrero&quot;,&quot;given&quot;:&quot;Hugo&quot;,&quot;parse-names&quot;:false,&quot;dropping-particle&quot;:&quot;&quot;,&quot;non-dropping-particle&quot;:&quot;&quot;},{&quot;family&quot;:&quot;Tarrada&quot;,&quot;given&quot;:&quot;Alexis&quot;,&quot;parse-names&quot;:false,&quot;dropping-particle&quot;:&quot;&quot;,&quot;non-dropping-particle&quot;:&quot;&quot;},{&quot;family&quot;:&quot;Haffen&quot;,&quot;given&quot;:&quot;Emmanuel&quot;,&quot;parse-names&quot;:false,&quot;dropping-particle&quot;:&quot;&quot;,&quot;non-dropping-particle&quot;:&quot;&quot;},{&quot;family&quot;:&quot;Mignot&quot;,&quot;given&quot;:&quot;Thibault&quot;,&quot;parse-names&quot;:false,&quot;dropping-particle&quot;:&quot;&quot;,&quot;non-dropping-particle&quot;:&quot;&quot;},{&quot;family&quot;:&quot;Sense&quot;,&quot;given&quot;:&quot;Charlotte&quot;,&quot;parse-names&quot;:false,&quot;dropping-particle&quot;:&quot;&quot;,&quot;non-dropping-particle&quot;:&quot;&quot;},{&quot;family&quot;:&quot;Schwan&quot;,&quot;given&quot;:&quot;Raymund&quot;,&quot;parse-names&quot;:false,&quot;dropping-particle&quot;:&quot;&quot;,&quot;non-dropping-particle&quot;:&quot;&quot;},{&quot;family&quot;:&quot;El-Hage&quot;,&quot;given&quot;:&quot;Wissam&quot;,&quot;parse-names&quot;:false,&quot;dropping-particle&quot;:&quot;&quot;,&quot;non-dropping-particle&quot;:&quot;&quot;},{&quot;family&quot;:&quot;Maillard&quot;,&quot;given&quot;:&quot;Louis&quot;,&quot;parse-names&quot;:false,&quot;dropping-particle&quot;:&quot;&quot;,&quot;non-dropping-particle&quot;:&quot;&quot;},{&quot;family&quot;:&quot;Hingray&quot;,&quot;given&quot;:&quot;Coraline&quot;,&quot;parse-names&quot;:false,&quot;dropping-particle&quot;:&quot;&quot;,&quot;non-dropping-particle&quot;:&quot;&quot;}],&quot;container-title&quot;:&quot;Seizure&quot;,&quot;container-title-short&quot;:&quot;Seizure&quot;,&quot;DOI&quot;:&quot;https://doi.org/10.1016/j.seizure.2020.07.028&quot;,&quot;ISSN&quot;:&quot;1059-1311&quot;,&quot;URL&quot;:&quot;http://www.sciencedirect.com/science/article/pii/S105913112030234X&quot;,&quot;issued&quot;:{&quot;date-parts&quot;:[[2020]]},&quot;page&quot;:&quot;123-131&quot;,&quot;abstract&quot;:&quot;Purpose Recent etiopathogenic models place emotional dysregulation at the core of psychogenic nonepileptic seizure (PNES). Our purpose was to assess physiological, cognitive, and behavioral emotional responses of PNES patients. Methods This study compared three types of emotional responses to visual emotional stimuli between 34 female PNES group and 34 matched healthy controls: physiological response measured by skin conductance response (SCR) (rate, amplitude and latency) and heart rate deceleration; cognitive response measured by valence and arousal elicited by the images; and behavioural response measured by latency of ratings. The groups were characterized on psychiatric comorbidities, traumatic history, alexithymia, and dissociation. Results Compared to controls, PNES group displayed lower SCR for all images (p = 0.038), shorter amplitude of heart rate deceleration (p = 0.024) and faster arousal rating for all images (p = 0.019), but no difference on cognitive rating of images. Within-groups analyses showed only in PNES subjects increased rate (+19.35%, p = 0.046) SCR for negative stimuli with strong arousal compared to negative with low arousal. PNES physiological response (SCR and heart rate deceleration) was negatively correlated to dissociation tendency (r=-0.48, p = 0.0083) and alexithymia (r=-0.44, p = 0.012)). For cognitive response, no correlation was found. Conclusion These results are in favour of a lower physiological emotional response but with an over-reactivity at behavioral level contrasting with similar cognitive assessment. For strong aversive stimuli, PNES might present a trend to overreact at physiological and behavioural levels. Our results suggest that dissociation and difficulty in describing feelings are associated with an altered physiological response in PNES women only.&quot;,&quot;volume&quot;:&quot;81&quot;},&quot;isTemporary&quot;:false},{&quot;id&quot;:&quot;b70aa524-e3f4-36bb-8d7e-d4df2e3d816e&quot;,&quot;itemData&quot;:{&quot;type&quot;:&quot;article-journal&quot;,&quot;id&quot;:&quot;b70aa524-e3f4-36bb-8d7e-d4df2e3d816e&quot;,&quot;title&quot;:&quot;Interoception and stress in patients with Functional Neurological Symptom Disorder&quot;,&quot;author&quot;:[{&quot;family&quot;:&quot;Williams&quot;,&quot;given&quot;:&quot;Isobel A&quot;,&quot;parse-names&quot;:false,&quot;dropping-particle&quot;:&quot;&quot;,&quot;non-dropping-particle&quot;:&quot;&quot;},{&quot;family&quot;:&quot;Reuber&quot;,&quot;given&quot;:&quot;Markus&quot;,&quot;parse-names&quot;:false,&quot;dropping-particle&quot;:&quot;&quot;,&quot;non-dropping-particle&quot;:&quot;&quot;},{&quot;family&quot;:&quot;Levita&quot;,&quot;given&quot;:&quot;Liat&quot;,&quot;parse-names&quot;:false,&quot;dropping-particle&quot;:&quot;&quot;,&quot;non-dropping-particle&quot;:&quot;&quot;}],&quot;container-title&quot;:&quot;Cognitive Neuropsychiatry&quot;,&quot;container-title-short&quot;:&quot;Cogn Neuropsychiatry&quot;,&quot;DOI&quot;:&quot;10.1080/13546805.2020.1865895&quot;,&quot;ISSN&quot;:&quot;1354-6805&quot;,&quot;issued&quot;:{&quot;date-parts&quot;:[[2021]]},&quot;page&quot;:&quot;75-94&quot;,&quot;publisher&quot;:&quot;Informa UK Limited&quot;,&quot;issue&quot;:&quot;2&quot;,&quot;volume&quot;:&quot;26&quot;},&quot;isTemporary&quot;:false}],&quot;citationTag&quot;:&quot;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&quot;},{&quot;citationID&quot;:&quot;MENDELEY_CITATION_a27d5e01-7c21-47a7-a2c2-7d436e5567fb&quot;,&quot;properties&quot;:{&quot;noteIndex&quot;:0},&quot;isEdited&quot;:false,&quot;manualOverride&quot;:{&quot;isManuallyOverridden&quot;:false,&quot;citeprocText&quot;:&quot;(Demartini et al., 2016; Koreki et al., 2020; Ricciardi et al., 2016; I. A. Williams et al., 2021)&quot;,&quot;manualOverrideText&quot;:&quot;&quot;},&quot;citationItems&quot;:[{&quot;id&quot;:&quot;82d2b97f-c95d-391e-9154-5e4ac51ddba3&quot;,&quot;itemData&quot;:{&quot;type&quot;:&quot;article-journal&quot;,&quot;id&quot;:&quot;82d2b97f-c95d-391e-9154-5e4ac51ddba3&quot;,&quot;title&quot;:&quot;Psychogenic non-epileptic seizures and functional motor symptoms: A common phenomenology?&quot;,&quot;author&quot;:[{&quot;family&quot;:&quot;Demartini&quot;,&quot;given&quot;:&quot;B&quot;,&quot;parse-names&quot;:false,&quot;dropping-particle&quot;:&quot;&quot;,&quot;non-dropping-particle&quot;:&quot;&quot;},{&quot;family&quot;:&quot;Goeta&quot;,&quot;given&quot;:&quot;D&quot;,&quot;parse-names&quot;:false,&quot;dropping-particle&quot;:&quot;&quot;,&quot;non-dropping-particle&quot;:&quot;&quot;},{&quot;family&quot;:&quot;Barbieri&quot;,&quot;given&quot;:&quot;V&quot;,&quot;parse-names&quot;:false,&quot;dropping-particle&quot;:&quot;&quot;,&quot;non-dropping-particle&quot;:&quot;&quot;},{&quot;family&quot;:&quot;Ricciardi&quot;,&quot;given&quot;:&quot;L&quot;,&quot;parse-names&quot;:false,&quot;dropping-particle&quot;:&quot;&quot;,&quot;non-dropping-particle&quot;:&quot;&quot;},{&quot;family&quot;:&quot;Canevini&quot;,&quot;given&quot;:&quot;M P&quot;,&quot;parse-names&quot;:false,&quot;dropping-particle&quot;:&quot;&quot;,&quot;non-dropping-particle&quot;:&quot;&quot;},{&quot;family&quot;:&quot;Turner&quot;,&quot;given&quot;:&quot;K&quot;,&quot;parse-names&quot;:false,&quot;dropping-particle&quot;:&quot;&quot;,&quot;non-dropping-particle&quot;:&quot;&quot;},{&quot;family&quot;:&quot;D'Agostino&quot;,&quot;given&quot;:&quot;A&quot;,&quot;parse-names&quot;:false,&quot;dropping-particle&quot;:&quot;&quot;,&quot;non-dropping-particle&quot;:&quot;&quot;},{&quot;family&quot;:&quot;Romito&quot;,&quot;given&quot;:&quot;L&quot;,&quot;parse-names&quot;:false,&quot;dropping-particle&quot;:&quot;&quot;,&quot;non-dropping-particle&quot;:&quot;&quot;},{&quot;family&quot;:&quot;Gambini&quot;,&quot;given&quot;:&quot;O&quot;,&quot;parse-names&quot;:false,&quot;dropping-particle&quot;:&quot;&quot;,&quot;non-dropping-particle&quot;:&quot;&quot;}],&quot;container-title&quot;:&quot;J Neurol Sci&quot;,&quot;DOI&quot;:&quot;10.1016/j.jns.2016.06.045&quot;,&quot;ISSN&quot;:&quot;0022-510x&quot;,&quot;PMID&quot;:&quot;27538601&quot;,&quot;issued&quot;:{&quot;date-parts&quot;:[[2016]]},&quot;page&quot;:&quot;49-54&quot;,&quot;language&quot;:&quot;eng&quot;,&quot;abstract&quot;:&quot;OBJECTIVE: Recent studies have attempted to compare patients affected by psychogenic non-epileptic seizures (PNES) to patients affected by functional motor symptoms (FMS) from a demographic, clinical and psychological perspective. Nevertheless, results are quite controversial and significant conclusions have not been drawn. The aim of our study was to evaluate the phenomenology of psychology of the two groups assessing levels of dissociation and its subcomponents, alexithymia and interoceptive sensitivity in patients with PNES and in patients with FMS. METHODS: We conducted a cross-sectional study recruiting 20 patients with PNES, 20 patients with FMS and 20 healthy subjects as a control group. All subjects underwent: Dissociative Experience Scale (DES), Somatoform Dissociation Questionnaire (SDQ-20), Cambridge Depersonalization Scale (CDS), Toronto Alexithymia Scale (TAS-20), Hamilton Rating Scale for Depression (HAM-D), Hamilton Rating Scale for anxiety (HAM-A), heart beat detection task. RESULTS: Our data suggest that PNES group scored significantly higher than the healthy control group on a measure of detachment (CDS). Also at the DES, a measure of psychoform dissociation, PNES patients scored significantly higher than healthy subjects. On the other hand patients affected by FMS scored significantly higher than the healthy control group on the SDQ but they did not report more experiences of detachment on the CDS. Patients affected by PNES and FMS were significantly more alexithymic than healthy controls, with a third of them scoring &gt;61 on the TAS-20. SIGNIFICANCE: Our data show different psychological mechanisms underlying patients with PNES and patients with FMS. This might lead also to potential implications for treatment.&quot;,&quot;edition&quot;:&quot;2016/08/20&quot;,&quot;volume&quot;:&quot;368&quot;,&quot;container-title-short&quot;:&quot;&quot;},&quot;isTemporary&quot;:false},{&quot;id&quot;:&quot;20348da3-f01a-32ae-bc5b-cec7bbb3f147&quot;,&quot;itemData&quot;:{&quot;type&quot;:&quot;article-journal&quot;,&quot;id&quot;:&quot;20348da3-f01a-32ae-bc5b-cec7bbb3f147&quot;,&quot;title&quot;:&quot;Trait and state interoceptive abnormalities are associated with dissociation and seizure frequency in patients with functional seizures&quot;,&quot;author&quot;:[{&quot;family&quot;:&quot;Koreki&quot;,&quot;given&quot;:&quot;Akihiro&quot;,&quot;parse-names&quot;:false,&quot;dropping-particle&quot;:&quot;&quot;,&quot;non-dropping-particle&quot;:&quot;&quot;},{&quot;family&quot;:&quot;Garfkinel&quot;,&quot;given&quot;:&quot;Sarah N&quot;,&quot;parse-names&quot;:false,&quot;dropping-particle&quot;:&quot;&quot;,&quot;non-dropping-particle&quot;:&quot;&quot;},{&quot;family&quot;:&quot;Mula&quot;,&quot;given&quot;:&quot;Marco&quot;,&quot;parse-names&quot;:false,&quot;dropping-particle&quot;:&quot;&quot;,&quot;non-dropping-particle&quot;:&quot;&quot;},{&quot;family&quot;:&quot;Agrawal&quot;,&quot;given&quot;:&quot;Niruj&quot;,&quot;parse-names&quot;:false,&quot;dropping-particle&quot;:&quot;&quot;,&quot;non-dropping-particle&quot;:&quot;&quot;},{&quot;family&quot;:&quot;Cope&quot;,&quot;given&quot;:&quot;Sarah&quot;,&quot;parse-names&quot;:false,&quot;dropping-particle&quot;:&quot;&quot;,&quot;non-dropping-particle&quot;:&quot;&quot;},{&quot;family&quot;:&quot;Eilon&quot;,&quot;given&quot;:&quot;Talia&quot;,&quot;parse-names&quot;:false,&quot;dropping-particle&quot;:&quot;&quot;,&quot;non-dropping-particle&quot;:&quot;&quot;},{&quot;family&quot;:&quot;Gould Van Praag&quot;,&quot;given&quot;:&quot;Cassandra&quot;,&quot;parse-names&quot;:false,&quot;dropping-particle&quot;:&quot;&quot;,&quot;non-dropping-particle&quot;:&quot;&quot;},{&quot;family&quot;:&quot;Critchley&quot;,&quot;given&quot;:&quot;Hugo D&quot;,&quot;parse-names&quot;:false,&quot;dropping-particle&quot;:&quot;&quot;,&quot;non-dropping-particle&quot;:&quot;&quot;},{&quot;family&quot;:&quot;Edwards&quot;,&quot;given&quot;:&quot;Mark&quot;,&quot;parse-names&quot;:false,&quot;dropping-particle&quot;:&quot;&quot;,&quot;non-dropping-particle&quot;:&quot;&quot;},{&quot;family&quot;:&quot;Yogarajah&quot;,&quot;given&quot;:&quot;Mahinda&quot;,&quot;parse-names&quot;:false,&quot;dropping-particle&quot;:&quot;&quot;,&quot;non-dropping-particle&quot;:&quot;&quot;}],&quot;container-title&quot;:&quot;Epilepsia&quot;,&quot;container-title-short&quot;:&quot;Epilepsia&quot;,&quot;DOI&quot;:&quot;10.1111/epi.16532&quot;,&quot;ISSN&quot;:&quot;0013-9580&quot;,&quot;issued&quot;:{&quot;date-parts&quot;:[[2020]]},&quot;page&quot;:&quot;1156-1165&quot;,&quot;publisher&quot;:&quot;Wiley&quot;,&quot;issue&quot;:&quot;6&quot;,&quot;volume&quot;:&quot;61&quot;},&quot;isTemporary&quot;:false},{&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id&quot;:&quot;b70aa524-e3f4-36bb-8d7e-d4df2e3d816e&quot;,&quot;itemData&quot;:{&quot;type&quot;:&quot;article-journal&quot;,&quot;id&quot;:&quot;b70aa524-e3f4-36bb-8d7e-d4df2e3d816e&quot;,&quot;title&quot;:&quot;Interoception and stress in patients with Functional Neurological Symptom Disorder&quot;,&quot;author&quot;:[{&quot;family&quot;:&quot;Williams&quot;,&quot;given&quot;:&quot;Isobel A&quot;,&quot;parse-names&quot;:false,&quot;dropping-particle&quot;:&quot;&quot;,&quot;non-dropping-particle&quot;:&quot;&quot;},{&quot;family&quot;:&quot;Reuber&quot;,&quot;given&quot;:&quot;Markus&quot;,&quot;parse-names&quot;:false,&quot;dropping-particle&quot;:&quot;&quot;,&quot;non-dropping-particle&quot;:&quot;&quot;},{&quot;family&quot;:&quot;Levita&quot;,&quot;given&quot;:&quot;Liat&quot;,&quot;parse-names&quot;:false,&quot;dropping-particle&quot;:&quot;&quot;,&quot;non-dropping-particle&quot;:&quot;&quot;}],&quot;container-title&quot;:&quot;Cognitive Neuropsychiatry&quot;,&quot;container-title-short&quot;:&quot;Cogn Neuropsychiatry&quot;,&quot;DOI&quot;:&quot;10.1080/13546805.2020.1865895&quot;,&quot;ISSN&quot;:&quot;1354-6805&quot;,&quot;issued&quot;:{&quot;date-parts&quot;:[[2021]]},&quot;page&quot;:&quot;75-94&quot;,&quot;publisher&quot;:&quot;Informa UK Limited&quot;,&quot;issue&quot;:&quot;2&quot;,&quot;volume&quot;:&quot;26&quot;},&quot;isTemporary&quot;:false}],&quot;citationTag&quot;:&quot;MENDELEY_CITATION_v3_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&quot;},{&quot;citationID&quot;:&quot;MENDELEY_CITATION_85d165ba-6ecd-4484-bb23-c7ffc79dc675&quot;,&quot;properties&quot;:{&quot;noteIndex&quot;:0},&quot;isEdited&quot;:false,&quot;manualOverride&quot;:{&quot;isManuallyOverridden&quot;:false,&quot;citeprocText&quot;:&quot;(Herrero et al., 2020; Kotwas et al., 2019)&quot;,&quot;manualOverrideText&quot;:&quot;&quot;},&quot;citationItems&quot;:[{&quot;id&quot;:&quot;281a6a8d-6d51-3726-9d25-5158d10cefa7&quot;,&quot;itemData&quot;:{&quot;type&quot;:&quot;article-journal&quot;,&quot;id&quot;:&quot;281a6a8d-6d51-3726-9d25-5158d10cefa7&quot;,&quot;title&quot;:&quot;Subjective and physiological response to emotions in temporal lobe epilepsy and psychogenic non-epileptic seizures&quot;,&quot;author&quot;:[{&quot;family&quot;:&quot;Kotwas&quot;,&quot;given&quot;:&quot;I&quot;,&quot;parse-names&quot;:false,&quot;dropping-particle&quot;:&quot;&quot;,&quot;non-dropping-particle&quot;:&quot;&quot;},{&quot;family&quot;:&quot;Micoulaud-Franchi&quot;,&quot;given&quot;:&quot;J A&quot;,&quot;parse-names&quot;:false,&quot;dropping-particle&quot;:&quot;&quot;,&quot;non-dropping-particle&quot;:&quot;&quot;},{&quot;family&quot;:&quot;Khalfa&quot;,&quot;given&quot;:&quot;S&quot;,&quot;parse-names&quot;:false,&quot;dropping-particle&quot;:&quot;&quot;,&quot;non-dropping-particle&quot;:&quot;&quot;},{&quot;family&quot;:&quot;McGonigal&quot;,&quot;given&quot;:&quot;A&quot;,&quot;parse-names&quot;:false,&quot;dropping-particle&quot;:&quot;&quot;,&quot;non-dropping-particle&quot;:&quot;&quot;},{&quot;family&quot;:&quot;Bastien-Toniazzo&quot;,&quot;given&quot;:&quot;M&quot;,&quot;parse-names&quot;:false,&quot;dropping-particle&quot;:&quot;&quot;,&quot;non-dropping-particle&quot;:&quot;&quot;},{&quot;family&quot;:&quot;Bartolomei&quot;,&quot;given&quot;:&quot;F&quot;,&quot;parse-names&quot;:false,&quot;dropping-particle&quot;:&quot;&quot;,&quot;non-dropping-particle&quot;:&quot;&quot;}],&quot;container-title&quot;:&quot;J Affect Disord&quot;,&quot;DOI&quot;:&quot;10.1016/j.jad.2018.10.004&quot;,&quot;ISSN&quot;:&quot;0165-0327&quot;,&quot;PMID&quot;:&quot;30312840&quot;,&quot;issued&quot;:{&quot;date-parts&quot;:[[2019]]},&quot;page&quot;:&quot;46-53&quot;,&quot;language&quot;:&quot;eng&quot;,&quot;abstract&quot;:&quot;BACKGROUND: Temporal lobe epilepsy (TLE) and psychogenic non-epileptic seizures (PNES) are conditions frequently associated with dysfunction in emotional regulation leading to increased risk of affective disorders. This study investigates emotional processing with an objective measure of emotional reactivity in patients with TLE and patients with PNES. METHODS: 34 patients with TLE and 14 patients with PNES were evaluated on skin conductance responses (SCR) to emotions induced by short films and compared to 34 healthy controls. An attention and a suppression condition were performed while viewing the films. RESULTS: The both groups of patients disclosed lower SCR to emotions compared to controls, mainly in suppression condition. While TLE patients had lower SCR in attention condition than controls for fear, sadness and happiness, PNES had lower SCR only for happiness. In suppression condition, both had lower SCR than controls except for peacefulness in both groups and sadness in PNES. Subjective evaluations revealed that both patient's groups scored a higher intensity for sadness than controls in attention and lower for in fear and disgust in suppression only in TLE. LIMITATIONS: The sample size in the PNES group and the lack of a control group with similar levels of mood symptoms limited the interpretation of our results. CONCLUSION: As no correlation were found between SCR to emotions and scores of affective disorders, this pattern of responses might be underpinned by specific pathophysiological and cognitive mechanisms related to TLE and to PNES. Thus, therapeutic approaches targeting emotional autonomic responses can be of interest in the management of these conditions.&quot;,&quot;edition&quot;:&quot;2018/10/13&quot;,&quot;volume&quot;:&quot;244&quot;,&quot;container-title-short&quot;:&quot;&quot;},&quot;isTemporary&quot;:false},{&quot;id&quot;:&quot;995facf9-645e-3520-9042-ab779afb2473&quot;,&quot;itemData&quot;:{&quot;type&quot;:&quot;article-journal&quot;,&quot;id&quot;:&quot;995facf9-645e-3520-9042-ab779afb2473&quot;,&quot;title&quot;:&quot;Skin conductance response and emotional response in women with psychogenic non-epileptic seizures&quot;,&quot;author&quot;:[{&quot;family&quot;:&quot;Herrero&quot;,&quot;given&quot;:&quot;Hugo&quot;,&quot;parse-names&quot;:false,&quot;dropping-particle&quot;:&quot;&quot;,&quot;non-dropping-particle&quot;:&quot;&quot;},{&quot;family&quot;:&quot;Tarrada&quot;,&quot;given&quot;:&quot;Alexis&quot;,&quot;parse-names&quot;:false,&quot;dropping-particle&quot;:&quot;&quot;,&quot;non-dropping-particle&quot;:&quot;&quot;},{&quot;family&quot;:&quot;Haffen&quot;,&quot;given&quot;:&quot;Emmanuel&quot;,&quot;parse-names&quot;:false,&quot;dropping-particle&quot;:&quot;&quot;,&quot;non-dropping-particle&quot;:&quot;&quot;},{&quot;family&quot;:&quot;Mignot&quot;,&quot;given&quot;:&quot;Thibault&quot;,&quot;parse-names&quot;:false,&quot;dropping-particle&quot;:&quot;&quot;,&quot;non-dropping-particle&quot;:&quot;&quot;},{&quot;family&quot;:&quot;Sense&quot;,&quot;given&quot;:&quot;Charlotte&quot;,&quot;parse-names&quot;:false,&quot;dropping-particle&quot;:&quot;&quot;,&quot;non-dropping-particle&quot;:&quot;&quot;},{&quot;family&quot;:&quot;Schwan&quot;,&quot;given&quot;:&quot;Raymund&quot;,&quot;parse-names&quot;:false,&quot;dropping-particle&quot;:&quot;&quot;,&quot;non-dropping-particle&quot;:&quot;&quot;},{&quot;family&quot;:&quot;El-Hage&quot;,&quot;given&quot;:&quot;Wissam&quot;,&quot;parse-names&quot;:false,&quot;dropping-particle&quot;:&quot;&quot;,&quot;non-dropping-particle&quot;:&quot;&quot;},{&quot;family&quot;:&quot;Maillard&quot;,&quot;given&quot;:&quot;Louis&quot;,&quot;parse-names&quot;:false,&quot;dropping-particle&quot;:&quot;&quot;,&quot;non-dropping-particle&quot;:&quot;&quot;},{&quot;family&quot;:&quot;Hingray&quot;,&quot;given&quot;:&quot;Coraline&quot;,&quot;parse-names&quot;:false,&quot;dropping-particle&quot;:&quot;&quot;,&quot;non-dropping-particle&quot;:&quot;&quot;}],&quot;container-title&quot;:&quot;Seizure&quot;,&quot;container-title-short&quot;:&quot;Seizure&quot;,&quot;DOI&quot;:&quot;https://doi.org/10.1016/j.seizure.2020.07.028&quot;,&quot;ISSN&quot;:&quot;1059-1311&quot;,&quot;URL&quot;:&quot;http://www.sciencedirect.com/science/article/pii/S105913112030234X&quot;,&quot;issued&quot;:{&quot;date-parts&quot;:[[2020]]},&quot;page&quot;:&quot;123-131&quot;,&quot;abstract&quot;:&quot;Purpose Recent etiopathogenic models place emotional dysregulation at the core of psychogenic nonepileptic seizure (PNES). Our purpose was to assess physiological, cognitive, and behavioral emotional responses of PNES patients. Methods This study compared three types of emotional responses to visual emotional stimuli between 34 female PNES group and 34 matched healthy controls: physiological response measured by skin conductance response (SCR) (rate, amplitude and latency) and heart rate deceleration; cognitive response measured by valence and arousal elicited by the images; and behavioural response measured by latency of ratings. The groups were characterized on psychiatric comorbidities, traumatic history, alexithymia, and dissociation. Results Compared to controls, PNES group displayed lower SCR for all images (p = 0.038), shorter amplitude of heart rate deceleration (p = 0.024) and faster arousal rating for all images (p = 0.019), but no difference on cognitive rating of images. Within-groups analyses showed only in PNES subjects increased rate (+19.35%, p = 0.046) SCR for negative stimuli with strong arousal compared to negative with low arousal. PNES physiological response (SCR and heart rate deceleration) was negatively correlated to dissociation tendency (r=-0.48, p = 0.0083) and alexithymia (r=-0.44, p = 0.012)). For cognitive response, no correlation was found. Conclusion These results are in favour of a lower physiological emotional response but with an over-reactivity at behavioral level contrasting with similar cognitive assessment. For strong aversive stimuli, PNES might present a trend to overreact at physiological and behavioural levels. Our results suggest that dissociation and difficulty in describing feelings are associated with an altered physiological response in PNES women only.&quot;,&quot;volume&quot;:&quot;81&quot;},&quot;isTemporary&quot;:false}],&quot;citationTag&quot;:&quot;MENDELEY_CITATION_v3_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quot;},{&quot;citationID&quot;:&quot;MENDELEY_CITATION_4c2ee008-60e9-47b4-883d-a5cef00d9932&quot;,&quot;properties&quot;:{&quot;noteIndex&quot;:0},&quot;isEdited&quot;:false,&quot;manualOverride&quot;:{&quot;isManuallyOverridden&quot;:false,&quot;citeprocText&quot;:&quot;(Roberts et al., 2012; Roberts Ph.D. et al., 2020)&quot;,&quot;manualOverrideText&quot;:&quot;&quot;},&quot;citationItems&quot;:[{&quot;id&quot;:&quot;d540554a-09cd-3c71-b0da-36947513e00d&quot;,&quot;itemData&quot;:{&quot;type&quot;:&quot;article-journal&quot;,&quot;id&quot;:&quot;d540554a-09cd-3c71-b0da-36947513e00d&quot;,&quot;title&quot;:&quot;Emotion in psychogenic nonepileptic seizures: responses to affective pictures&quot;,&quot;author&quot;:[{&quot;family&quot;:&quot;Roberts&quot;,&quot;given&quot;:&quot;N A&quot;,&quot;parse-names&quot;:false,&quot;dropping-particle&quot;:&quot;&quot;,&quot;non-dropping-particle&quot;:&quot;&quot;},{&quot;family&quot;:&quot;Burleson&quot;,&quot;given&quot;:&quot;M H&quot;,&quot;parse-names&quot;:false,&quot;dropping-particle&quot;:&quot;&quot;,&quot;non-dropping-particle&quot;:&quot;&quot;},{&quot;family&quot;:&quot;Weber&quot;,&quot;given&quot;:&quot;D J&quot;,&quot;parse-names&quot;:false,&quot;dropping-particle&quot;:&quot;&quot;,&quot;non-dropping-particle&quot;:&quot;&quot;},{&quot;family&quot;:&quot;Larson&quot;,&quot;given&quot;:&quot;A&quot;,&quot;parse-names&quot;:false,&quot;dropping-particle&quot;:&quot;&quot;,&quot;non-dropping-particle&quot;:&quot;&quot;},{&quot;family&quot;:&quot;Sergeant&quot;,&quot;given&quot;:&quot;K&quot;,&quot;parse-names&quot;:false,&quot;dropping-particle&quot;:&quot;&quot;,&quot;non-dropping-particle&quot;:&quot;&quot;},{&quot;family&quot;:&quot;Devine&quot;,&quot;given&quot;:&quot;M J&quot;,&quot;parse-names&quot;:false,&quot;dropping-particle&quot;:&quot;&quot;,&quot;non-dropping-particle&quot;:&quot;&quot;},{&quot;family&quot;:&quot;Vincelette&quot;,&quot;given&quot;:&quot;T M&quot;,&quot;parse-names&quot;:false,&quot;dropping-particle&quot;:&quot;&quot;,&quot;non-dropping-particle&quot;:&quot;&quot;},{&quot;family&quot;:&quot;Wang&quot;,&quot;given&quot;:&quot;N C&quot;,&quot;parse-names&quot;:false,&quot;dropping-particle&quot;:&quot;&quot;,&quot;non-dropping-particle&quot;:&quot;&quot;}],&quot;container-title&quot;:&quot;Epilepsy Behav&quot;,&quot;DOI&quot;:&quot;10.1016/j.yebeh.2012.03.018&quot;,&quot;ISSN&quot;:&quot;1525-5050&quot;,&quot;PMID&quot;:&quot;22520585&quot;,&quot;issued&quot;:{&quot;date-parts&quot;:[[2012]]},&quot;page&quot;:&quot;107-115&quot;,&quot;language&quot;:&quot;eng&quot;,&quot;abstract&quot;:&quot;We examined emotional responses to standard affective pictures in 18 psychogenic nonepileptic seizure (PNES) patients. Given reports of trauma and posttraumatic stress symptoms (PTS) in many PNES patients, comparison groups were seizure-free individuals high and low in PTS (PTS-high, PTS-low; n=18 per group). Patients with psychogenic nonepileptic seizures (1) reported more emotional intensity to neutral and pleasant pictures than PTS-low and more intensity to neutral pictures than PTS-high, and (2) showed less positive emotional behavior to pleasant pictures than PTS-high. Groups did not differ in pleasantness/unpleasantness ratings, negative emotional behavior, cardiac interbeat interval, or respiratory sinus arrhythmia (RSA) reactivity to the pictures. Patients with psychogenic nonepileptic seizures reported more general emotion regulation difficulties and showed lower baseline RSA than PTS-low but not PTS-high. In sum, intense emotional experience and diminished positive emotional behavior characterized PNES patients' emotional responses.&quot;,&quot;edition&quot;:&quot;2012/04/24&quot;,&quot;issue&quot;:&quot;1&quot;,&quot;volume&quot;:&quot;24&quot;,&quot;container-title-short&quot;:&quot;&quot;},&quot;isTemporary&quot;:false},{&quot;id&quot;:&quot;3bd0c1eb-1f68-345e-928e-34ae34206c7f&quot;,&quot;itemData&quot;:{&quot;type&quot;:&quot;article-journal&quot;,&quot;id&quot;:&quot;3bd0c1eb-1f68-345e-928e-34ae34206c7f&quot;,&quot;title&quot;:&quot;Emotional Reactivity as a Vulnerability for Psychogenic Nonepileptic Seizures? Responses While Reliving Specific Emotions&quot;,&quot;author&quot;:[{&quot;family&quot;:&quot;Roberts Ph.D.&quot;,&quot;given&quot;:&quot;&quot;,&quot;parse-names&quot;:false,&quot;dropping-particle&quot;:&quot;&quot;,&quot;non-dropping-particle&quot;:&quot;&quot;},{&quot;family&quot;:&quot;Mary H. Burleson Ph.D.&quot;,&quot;given&quot;:&quot;&quot;,&quot;parse-names&quot;:false,&quot;dropping-particle&quot;:&quot;&quot;,&quot;non-dropping-particle&quot;:&quot;&quot;},{&quot;family&quot;:&quot;Dhannia L. Torres Ph.D.&quot;,&quot;given&quot;:&quot;&quot;,&quot;parse-names&quot;:false,&quot;dropping-particle&quot;:&quot;&quot;,&quot;non-dropping-particle&quot;:&quot;&quot;},{&quot;family&quot;:&quot;David K. Parkhurst M.S.&quot;,&quot;given&quot;:&quot;&quot;,&quot;parse-names&quot;:false,&quot;dropping-particle&quot;:&quot;&quot;,&quot;non-dropping-particle&quot;:&quot;&quot;},{&quot;family&quot;:&quot;Robin Garrett Psy.D.&quot;,&quot;given&quot;:&quot;&quot;,&quot;parse-names&quot;:false,&quot;dropping-particle&quot;:&quot;&quot;,&quot;non-dropping-particle&quot;:&quot;&quot;},{&quot;family&quot;:&quot;Lauren B. Mitchell B.A.&quot;,&quot;given&quot;:&quot;&quot;,&quot;parse-names&quot;:false,&quot;dropping-particle&quot;:&quot;&quot;,&quot;non-dropping-particle&quot;:&quot;&quot;},{&quot;family&quot;:&quot;Cayla J. Duncan M.S.&quot;,&quot;given&quot;:&quot;&quot;,&quot;parse-names&quot;:false,&quot;dropping-particle&quot;:&quot;&quot;,&quot;non-dropping-particle&quot;:&quot;&quot;},{&quot;family&quot;:&quot;Mallory Mintert M.S.&quot;,&quot;given&quot;:&quot;&quot;,&quot;parse-names&quot;:false,&quot;dropping-particle&quot;:&quot;&quot;,&quot;non-dropping-particle&quot;:&quot;&quot;},{&quot;family&quot;:&quot;Norman C. Wang M.D.&quot;,&quot;given&quot;:&quot;&quot;,&quot;parse-names&quot;:false,&quot;dropping-particle&quot;:&quot;&quot;,&quot;non-dropping-particle&quot;:&quot;&quot;}],&quot;container-title&quot;:&quot;The Journal of Neuropsychiatry and Clinical Neurosciences&quot;,&quot;container-title-short&quot;:&quot;J Neuropsychiatry Clin Neurosci&quot;,&quot;DOI&quot;:&quot;10.1176/appi.neuropsych.19040084&quot;,&quot;PMID&quot;:&quot;31662092&quot;,&quot;URL&quot;:&quot;https://neuro.psychiatryonline.org/doi/abs/10.1176/appi.neuropsych.19040084&quot;,&quot;issued&quot;:{&quot;date-parts&quot;:[[2020]]},&quot;page&quot;:&quot;95-100&quot;,&quot;abstract&quot;:&quot;Objective:Dysfunction in emotional processes is a hypothesized contributor to functional neurological disorders (FNDs), yet few studies have evoked real-time emotion during multimethod assessment incorporating subjective, behavioral, and psychophysiological indicators. This approach may reveal clinical and neurobiological vulnerability to FND and clarify how dysfunctional emotional processes serve as perpetuating factors.Methods:Eleven participants with video-EEG-confirmed diagnoses of psychogenic nonepileptic seizures (PNES) were compared with 49 seizure-free trauma control subjects (TCs) with or without clinically elevated posttraumatic stress symptoms (25 clinically elevated [TC-clin], 24 not clinically elevated [TC-nonclin]). Participants recalled and described memories evoking anger, shame, happiness, and neutral feelings.Results:Even though PNES patients and TCs reported similar amounts of emotional experience, PNES patients reported more difficulty reliving emotions and were less likely to complete the relived shame task. During and after reliving happiness, PNES and TC-clin groups showed respiratory sinus arrhythmia (RSA) decreases, indicating parasympathetic withdrawal, whereas the TC-nonclin group showed RSA increases.Conclusions:Findings from this pilot study are consistent with previous research and clinical observations that emotional engagement may be more effortful for PNES patients. Patterns of RSA change, which may also point to greater effortful engagement, were similar in PNES and TC-clin groups, suggesting that traumatic stress reactions may play a part. At the same time, experience of greater difficulty or avoidance may be even greater among PNES patients. Especially when regulatory resources are already limited, accumulated effort, coupled with self-threatening contexts such as shame, may be particularly problematic for those with PNES and perhaps other FNDs.&quot;,&quot;issue&quot;:&quot;1&quot;,&quot;volume&quot;:&quot;32&quot;},&quot;isTemporary&quot;:false}],&quot;citationTag&quot;:&quot;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&quot;},{&quot;citationID&quot;:&quot;MENDELEY_CITATION_120ff61c-9a7e-4fdb-96f5-5980f51dea47&quot;,&quot;properties&quot;:{&quot;noteIndex&quot;:0},&quot;isEdited&quot;:false,&quot;manualOverride&quot;:{&quot;isManuallyOverridden&quot;:false,&quot;citeprocText&quot;:&quot;(Herrero et al., 2020; Roberts et al., 2012)&quot;,&quot;manualOverrideText&quot;:&quot;&quot;},&quot;citationItems&quot;:[{&quot;id&quot;:&quot;d540554a-09cd-3c71-b0da-36947513e00d&quot;,&quot;itemData&quot;:{&quot;type&quot;:&quot;article-journal&quot;,&quot;id&quot;:&quot;d540554a-09cd-3c71-b0da-36947513e00d&quot;,&quot;title&quot;:&quot;Emotion in psychogenic nonepileptic seizures: responses to affective pictures&quot;,&quot;author&quot;:[{&quot;family&quot;:&quot;Roberts&quot;,&quot;given&quot;:&quot;N A&quot;,&quot;parse-names&quot;:false,&quot;dropping-particle&quot;:&quot;&quot;,&quot;non-dropping-particle&quot;:&quot;&quot;},{&quot;family&quot;:&quot;Burleson&quot;,&quot;given&quot;:&quot;M H&quot;,&quot;parse-names&quot;:false,&quot;dropping-particle&quot;:&quot;&quot;,&quot;non-dropping-particle&quot;:&quot;&quot;},{&quot;family&quot;:&quot;Weber&quot;,&quot;given&quot;:&quot;D J&quot;,&quot;parse-names&quot;:false,&quot;dropping-particle&quot;:&quot;&quot;,&quot;non-dropping-particle&quot;:&quot;&quot;},{&quot;family&quot;:&quot;Larson&quot;,&quot;given&quot;:&quot;A&quot;,&quot;parse-names&quot;:false,&quot;dropping-particle&quot;:&quot;&quot;,&quot;non-dropping-particle&quot;:&quot;&quot;},{&quot;family&quot;:&quot;Sergeant&quot;,&quot;given&quot;:&quot;K&quot;,&quot;parse-names&quot;:false,&quot;dropping-particle&quot;:&quot;&quot;,&quot;non-dropping-particle&quot;:&quot;&quot;},{&quot;family&quot;:&quot;Devine&quot;,&quot;given&quot;:&quot;M J&quot;,&quot;parse-names&quot;:false,&quot;dropping-particle&quot;:&quot;&quot;,&quot;non-dropping-particle&quot;:&quot;&quot;},{&quot;family&quot;:&quot;Vincelette&quot;,&quot;given&quot;:&quot;T M&quot;,&quot;parse-names&quot;:false,&quot;dropping-particle&quot;:&quot;&quot;,&quot;non-dropping-particle&quot;:&quot;&quot;},{&quot;family&quot;:&quot;Wang&quot;,&quot;given&quot;:&quot;N C&quot;,&quot;parse-names&quot;:false,&quot;dropping-particle&quot;:&quot;&quot;,&quot;non-dropping-particle&quot;:&quot;&quot;}],&quot;container-title&quot;:&quot;Epilepsy Behav&quot;,&quot;DOI&quot;:&quot;10.1016/j.yebeh.2012.03.018&quot;,&quot;ISSN&quot;:&quot;1525-5050&quot;,&quot;PMID&quot;:&quot;22520585&quot;,&quot;issued&quot;:{&quot;date-parts&quot;:[[2012]]},&quot;page&quot;:&quot;107-115&quot;,&quot;language&quot;:&quot;eng&quot;,&quot;abstract&quot;:&quot;We examined emotional responses to standard affective pictures in 18 psychogenic nonepileptic seizure (PNES) patients. Given reports of trauma and posttraumatic stress symptoms (PTS) in many PNES patients, comparison groups were seizure-free individuals high and low in PTS (PTS-high, PTS-low; n=18 per group). Patients with psychogenic nonepileptic seizures (1) reported more emotional intensity to neutral and pleasant pictures than PTS-low and more intensity to neutral pictures than PTS-high, and (2) showed less positive emotional behavior to pleasant pictures than PTS-high. Groups did not differ in pleasantness/unpleasantness ratings, negative emotional behavior, cardiac interbeat interval, or respiratory sinus arrhythmia (RSA) reactivity to the pictures. Patients with psychogenic nonepileptic seizures reported more general emotion regulation difficulties and showed lower baseline RSA than PTS-low but not PTS-high. In sum, intense emotional experience and diminished positive emotional behavior characterized PNES patients' emotional responses.&quot;,&quot;edition&quot;:&quot;2012/04/24&quot;,&quot;issue&quot;:&quot;1&quot;,&quot;volume&quot;:&quot;24&quot;,&quot;container-title-short&quot;:&quot;&quot;},&quot;isTemporary&quot;:false},{&quot;id&quot;:&quot;995facf9-645e-3520-9042-ab779afb2473&quot;,&quot;itemData&quot;:{&quot;type&quot;:&quot;article-journal&quot;,&quot;id&quot;:&quot;995facf9-645e-3520-9042-ab779afb2473&quot;,&quot;title&quot;:&quot;Skin conductance response and emotional response in women with psychogenic non-epileptic seizures&quot;,&quot;author&quot;:[{&quot;family&quot;:&quot;Herrero&quot;,&quot;given&quot;:&quot;Hugo&quot;,&quot;parse-names&quot;:false,&quot;dropping-particle&quot;:&quot;&quot;,&quot;non-dropping-particle&quot;:&quot;&quot;},{&quot;family&quot;:&quot;Tarrada&quot;,&quot;given&quot;:&quot;Alexis&quot;,&quot;parse-names&quot;:false,&quot;dropping-particle&quot;:&quot;&quot;,&quot;non-dropping-particle&quot;:&quot;&quot;},{&quot;family&quot;:&quot;Haffen&quot;,&quot;given&quot;:&quot;Emmanuel&quot;,&quot;parse-names&quot;:false,&quot;dropping-particle&quot;:&quot;&quot;,&quot;non-dropping-particle&quot;:&quot;&quot;},{&quot;family&quot;:&quot;Mignot&quot;,&quot;given&quot;:&quot;Thibault&quot;,&quot;parse-names&quot;:false,&quot;dropping-particle&quot;:&quot;&quot;,&quot;non-dropping-particle&quot;:&quot;&quot;},{&quot;family&quot;:&quot;Sense&quot;,&quot;given&quot;:&quot;Charlotte&quot;,&quot;parse-names&quot;:false,&quot;dropping-particle&quot;:&quot;&quot;,&quot;non-dropping-particle&quot;:&quot;&quot;},{&quot;family&quot;:&quot;Schwan&quot;,&quot;given&quot;:&quot;Raymund&quot;,&quot;parse-names&quot;:false,&quot;dropping-particle&quot;:&quot;&quot;,&quot;non-dropping-particle&quot;:&quot;&quot;},{&quot;family&quot;:&quot;El-Hage&quot;,&quot;given&quot;:&quot;Wissam&quot;,&quot;parse-names&quot;:false,&quot;dropping-particle&quot;:&quot;&quot;,&quot;non-dropping-particle&quot;:&quot;&quot;},{&quot;family&quot;:&quot;Maillard&quot;,&quot;given&quot;:&quot;Louis&quot;,&quot;parse-names&quot;:false,&quot;dropping-particle&quot;:&quot;&quot;,&quot;non-dropping-particle&quot;:&quot;&quot;},{&quot;family&quot;:&quot;Hingray&quot;,&quot;given&quot;:&quot;Coraline&quot;,&quot;parse-names&quot;:false,&quot;dropping-particle&quot;:&quot;&quot;,&quot;non-dropping-particle&quot;:&quot;&quot;}],&quot;container-title&quot;:&quot;Seizure&quot;,&quot;container-title-short&quot;:&quot;Seizure&quot;,&quot;DOI&quot;:&quot;https://doi.org/10.1016/j.seizure.2020.07.028&quot;,&quot;ISSN&quot;:&quot;1059-1311&quot;,&quot;URL&quot;:&quot;http://www.sciencedirect.com/science/article/pii/S105913112030234X&quot;,&quot;issued&quot;:{&quot;date-parts&quot;:[[2020]]},&quot;page&quot;:&quot;123-131&quot;,&quot;abstract&quot;:&quot;Purpose Recent etiopathogenic models place emotional dysregulation at the core of psychogenic nonepileptic seizure (PNES). Our purpose was to assess physiological, cognitive, and behavioral emotional responses of PNES patients. Methods This study compared three types of emotional responses to visual emotional stimuli between 34 female PNES group and 34 matched healthy controls: physiological response measured by skin conductance response (SCR) (rate, amplitude and latency) and heart rate deceleration; cognitive response measured by valence and arousal elicited by the images; and behavioural response measured by latency of ratings. The groups were characterized on psychiatric comorbidities, traumatic history, alexithymia, and dissociation. Results Compared to controls, PNES group displayed lower SCR for all images (p = 0.038), shorter amplitude of heart rate deceleration (p = 0.024) and faster arousal rating for all images (p = 0.019), but no difference on cognitive rating of images. Within-groups analyses showed only in PNES subjects increased rate (+19.35%, p = 0.046) SCR for negative stimuli with strong arousal compared to negative with low arousal. PNES physiological response (SCR and heart rate deceleration) was negatively correlated to dissociation tendency (r=-0.48, p = 0.0083) and alexithymia (r=-0.44, p = 0.012)). For cognitive response, no correlation was found. Conclusion These results are in favour of a lower physiological emotional response but with an over-reactivity at behavioral level contrasting with similar cognitive assessment. For strong aversive stimuli, PNES might present a trend to overreact at physiological and behavioural levels. Our results suggest that dissociation and difficulty in describing feelings are associated with an altered physiological response in PNES women only.&quot;,&quot;volume&quot;:&quot;81&quot;},&quot;isTemporary&quot;:false}],&quot;citationTag&quot;:&quot;MENDELEY_CITATION_v3_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quot;},{&quot;citationID&quot;:&quot;MENDELEY_CITATION_e01257cf-cfa0-4efe-b3ac-e7fd5484001a&quot;,&quot;properties&quot;:{&quot;noteIndex&quot;:0},&quot;isEdited&quot;:false,&quot;manualOverride&quot;:{&quot;isManuallyOverridden&quot;:false,&quot;citeprocText&quot;:&quot;(Herrero et al., 2020)&quot;,&quot;manualOverrideText&quot;:&quot;&quot;},&quot;citationItems&quot;:[{&quot;id&quot;:&quot;995facf9-645e-3520-9042-ab779afb2473&quot;,&quot;itemData&quot;:{&quot;type&quot;:&quot;article-journal&quot;,&quot;id&quot;:&quot;995facf9-645e-3520-9042-ab779afb2473&quot;,&quot;title&quot;:&quot;Skin conductance response and emotional response in women with psychogenic non-epileptic seizures&quot;,&quot;author&quot;:[{&quot;family&quot;:&quot;Herrero&quot;,&quot;given&quot;:&quot;Hugo&quot;,&quot;parse-names&quot;:false,&quot;dropping-particle&quot;:&quot;&quot;,&quot;non-dropping-particle&quot;:&quot;&quot;},{&quot;family&quot;:&quot;Tarrada&quot;,&quot;given&quot;:&quot;Alexis&quot;,&quot;parse-names&quot;:false,&quot;dropping-particle&quot;:&quot;&quot;,&quot;non-dropping-particle&quot;:&quot;&quot;},{&quot;family&quot;:&quot;Haffen&quot;,&quot;given&quot;:&quot;Emmanuel&quot;,&quot;parse-names&quot;:false,&quot;dropping-particle&quot;:&quot;&quot;,&quot;non-dropping-particle&quot;:&quot;&quot;},{&quot;family&quot;:&quot;Mignot&quot;,&quot;given&quot;:&quot;Thibault&quot;,&quot;parse-names&quot;:false,&quot;dropping-particle&quot;:&quot;&quot;,&quot;non-dropping-particle&quot;:&quot;&quot;},{&quot;family&quot;:&quot;Sense&quot;,&quot;given&quot;:&quot;Charlotte&quot;,&quot;parse-names&quot;:false,&quot;dropping-particle&quot;:&quot;&quot;,&quot;non-dropping-particle&quot;:&quot;&quot;},{&quot;family&quot;:&quot;Schwan&quot;,&quot;given&quot;:&quot;Raymund&quot;,&quot;parse-names&quot;:false,&quot;dropping-particle&quot;:&quot;&quot;,&quot;non-dropping-particle&quot;:&quot;&quot;},{&quot;family&quot;:&quot;El-Hage&quot;,&quot;given&quot;:&quot;Wissam&quot;,&quot;parse-names&quot;:false,&quot;dropping-particle&quot;:&quot;&quot;,&quot;non-dropping-particle&quot;:&quot;&quot;},{&quot;family&quot;:&quot;Maillard&quot;,&quot;given&quot;:&quot;Louis&quot;,&quot;parse-names&quot;:false,&quot;dropping-particle&quot;:&quot;&quot;,&quot;non-dropping-particle&quot;:&quot;&quot;},{&quot;family&quot;:&quot;Hingray&quot;,&quot;given&quot;:&quot;Coraline&quot;,&quot;parse-names&quot;:false,&quot;dropping-particle&quot;:&quot;&quot;,&quot;non-dropping-particle&quot;:&quot;&quot;}],&quot;container-title&quot;:&quot;Seizure&quot;,&quot;container-title-short&quot;:&quot;Seizure&quot;,&quot;DOI&quot;:&quot;https://doi.org/10.1016/j.seizure.2020.07.028&quot;,&quot;ISSN&quot;:&quot;1059-1311&quot;,&quot;URL&quot;:&quot;http://www.sciencedirect.com/science/article/pii/S105913112030234X&quot;,&quot;issued&quot;:{&quot;date-parts&quot;:[[2020]]},&quot;page&quot;:&quot;123-131&quot;,&quot;abstract&quot;:&quot;Purpose Recent etiopathogenic models place emotional dysregulation at the core of psychogenic nonepileptic seizure (PNES). Our purpose was to assess physiological, cognitive, and behavioral emotional responses of PNES patients. Methods This study compared three types of emotional responses to visual emotional stimuli between 34 female PNES group and 34 matched healthy controls: physiological response measured by skin conductance response (SCR) (rate, amplitude and latency) and heart rate deceleration; cognitive response measured by valence and arousal elicited by the images; and behavioural response measured by latency of ratings. The groups were characterized on psychiatric comorbidities, traumatic history, alexithymia, and dissociation. Results Compared to controls, PNES group displayed lower SCR for all images (p = 0.038), shorter amplitude of heart rate deceleration (p = 0.024) and faster arousal rating for all images (p = 0.019), but no difference on cognitive rating of images. Within-groups analyses showed only in PNES subjects increased rate (+19.35%, p = 0.046) SCR for negative stimuli with strong arousal compared to negative with low arousal. PNES physiological response (SCR and heart rate deceleration) was negatively correlated to dissociation tendency (r=-0.48, p = 0.0083) and alexithymia (r=-0.44, p = 0.012)). For cognitive response, no correlation was found. Conclusion These results are in favour of a lower physiological emotional response but with an over-reactivity at behavioral level contrasting with similar cognitive assessment. For strong aversive stimuli, PNES might present a trend to overreact at physiological and behavioural levels. Our results suggest that dissociation and difficulty in describing feelings are associated with an altered physiological response in PNES women only.&quot;,&quot;volume&quot;:&quot;81&quot;},&quot;isTemporary&quot;:false}],&quot;citationTag&quot;:&quot;MENDELEY_CITATION_v3_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&quot;},{&quot;citationID&quot;:&quot;MENDELEY_CITATION_983db173-8aef-43bf-8b10-39c6e69b9a2b&quot;,&quot;properties&quot;:{&quot;noteIndex&quot;:0},&quot;isEdited&quot;:false,&quot;manualOverride&quot;:{&quot;isManuallyOverridden&quot;:false,&quot;citeprocText&quot;:&quot;(Kramer et al., 2019; Pareés et al., 2012)&quot;,&quot;manualOverrideText&quot;:&quot;&quot;},&quot;citationItems&quot;:[{&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id&quot;:&quot;f2d0289a-19de-36ed-b70b-3b54690ef958&quot;,&quot;itemData&quot;:{&quot;type&quot;:&quot;article-journal&quot;,&quot;id&quot;:&quot;f2d0289a-19de-36ed-b70b-3b54690ef958&quot;,&quot;title&quot;:&quot;Similar association between objective and subjective symptoms in functional and organic tremor&quot;,&quot;author&quot;:[{&quot;family&quot;:&quot;Kramer&quot;,&quot;given&quot;:&quot;Gerrit&quot;,&quot;parse-names&quot;:false,&quot;dropping-particle&quot;:&quot;&quot;,&quot;non-dropping-particle&quot;:&quot;&quot;},{&quot;family&quot;:&quot;Dominguez-Vega&quot;,&quot;given&quot;:&quot;Zeus T&quot;,&quot;parse-names&quot;:false,&quot;dropping-particle&quot;:&quot;&quot;,&quot;non-dropping-particle&quot;:&quot;&quot;},{&quot;family&quot;:&quot;Laarhoven&quot;,&quot;given&quot;:&quot;Heleen S A&quot;,&quot;parse-names&quot;:false,&quot;dropping-particle&quot;:&quot;&quot;,&quot;non-dropping-particle&quot;:&quot;&quot;},{&quot;family&quot;:&quot;Brandsma&quot;,&quot;given&quot;:&quot;Rick&quot;,&quot;parse-names&quot;:false,&quot;dropping-particle&quot;:&quot;&quot;,&quot;non-dropping-particle&quot;:&quot;&quot;},{&quot;family&quot;:&quot;Smit&quot;,&quot;given&quot;:&quot;Marenka&quot;,&quot;parse-names&quot;:false,&quot;dropping-particle&quot;:&quot;&quot;,&quot;non-dropping-particle&quot;:&quot;&quot;},{&quot;family&quot;:&quot;Stouwe&quot;,&quot;given&quot;:&quot;A M Madelein&quot;,&quot;parse-names&quot;:false,&quot;dropping-particle&quot;:&quot;&quot;,&quot;non-dropping-particle&quot;:&quot;van der&quot;},{&quot;family&quot;:&quot;Elting&quot;,&quot;given&quot;:&quot;Jan Willem J&quot;,&quot;parse-names&quot;:false,&quot;dropping-particle&quot;:&quot;&quot;,&quot;non-dropping-particle&quot;:&quot;&quot;},{&quot;family&quot;:&quot;Maurits&quot;,&quot;given&quot;:&quot;Natasha M&quot;,&quot;parse-names&quot;:false,&quot;dropping-particle&quot;:&quot;&quot;,&quot;non-dropping-particle&quot;:&quot;&quot;},{&quot;family&quot;:&quot;Rosmalen&quot;,&quot;given&quot;:&quot;Judith G M&quot;,&quot;parse-names&quot;:false,&quot;dropping-particle&quot;:&quot;&quot;,&quot;non-dropping-particle&quot;:&quot;&quot;},{&quot;family&quot;:&quot;Tijssen&quot;,&quot;given&quot;:&quot;Marina A J&quot;,&quot;parse-names&quot;:false,&quot;dropping-particle&quot;:&quot;&quot;,&quot;non-dropping-particle&quot;:&quot;&quot;}],&quot;container-title&quot;:&quot;Parkinsonism &amp; related disorders&quot;,&quot;container-title-short&quot;:&quot;Parkinsonism Relat Disord&quot;,&quot;DOI&quot;:&quot;10.1016/j.parkreldis.2019.05.026&quot;,&quot;ISSN&quot;:&quot;1353-8020&quot;,&quot;URL&quot;:&quot;https://doi.org/10.1016/j.parkreldis.2019.05.026&quot;,&quot;issued&quot;:{&quot;date-parts&quot;:[[2019]]},&quot;page&quot;:&quot;2-7&quot;,&quot;abstract&quot;:&quot;BackgroundA previous study reported a dramatic mismatch in objectively detected and self-reported tremor duration in patients with functional tremor. As these findings have an important and widespread impact in both clinical care and research, we conducted a validation study with a longer study duration and a larger sample of patients.&quot;,&quot;publisher&quot;:&quot;Elsevier&quot;,&quot;volume&quot;:&quot;64&quot;},&quot;isTemporary&quot;:false}],&quot;citationTag&quot;:&quot;MENDELEY_CITATION_v3_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&quot;},{&quot;citationID&quot;:&quot;MENDELEY_CITATION_a41ce40c-6f39-443d-a338-50fe0256a486&quot;,&quot;properties&quot;:{&quot;noteIndex&quot;:0},&quot;isEdited&quot;:false,&quot;manualOverride&quot;:{&quot;isManuallyOverridden&quot;:false,&quot;citeprocText&quot;:&quot;(Bakvis et al., 2011; Demartini et al., 2016; Roberts Ph.D. et al., 2020)&quot;,&quot;manualOverrideText&quot;:&quot;&quot;},&quot;citationItems&quot;:[{&quot;id&quot;:&quot;82d2b97f-c95d-391e-9154-5e4ac51ddba3&quot;,&quot;itemData&quot;:{&quot;type&quot;:&quot;article-journal&quot;,&quot;id&quot;:&quot;82d2b97f-c95d-391e-9154-5e4ac51ddba3&quot;,&quot;title&quot;:&quot;Psychogenic non-epileptic seizures and functional motor symptoms: A common phenomenology?&quot;,&quot;author&quot;:[{&quot;family&quot;:&quot;Demartini&quot;,&quot;given&quot;:&quot;B&quot;,&quot;parse-names&quot;:false,&quot;dropping-particle&quot;:&quot;&quot;,&quot;non-dropping-particle&quot;:&quot;&quot;},{&quot;family&quot;:&quot;Goeta&quot;,&quot;given&quot;:&quot;D&quot;,&quot;parse-names&quot;:false,&quot;dropping-particle&quot;:&quot;&quot;,&quot;non-dropping-particle&quot;:&quot;&quot;},{&quot;family&quot;:&quot;Barbieri&quot;,&quot;given&quot;:&quot;V&quot;,&quot;parse-names&quot;:false,&quot;dropping-particle&quot;:&quot;&quot;,&quot;non-dropping-particle&quot;:&quot;&quot;},{&quot;family&quot;:&quot;Ricciardi&quot;,&quot;given&quot;:&quot;L&quot;,&quot;parse-names&quot;:false,&quot;dropping-particle&quot;:&quot;&quot;,&quot;non-dropping-particle&quot;:&quot;&quot;},{&quot;family&quot;:&quot;Canevini&quot;,&quot;given&quot;:&quot;M P&quot;,&quot;parse-names&quot;:false,&quot;dropping-particle&quot;:&quot;&quot;,&quot;non-dropping-particle&quot;:&quot;&quot;},{&quot;family&quot;:&quot;Turner&quot;,&quot;given&quot;:&quot;K&quot;,&quot;parse-names&quot;:false,&quot;dropping-particle&quot;:&quot;&quot;,&quot;non-dropping-particle&quot;:&quot;&quot;},{&quot;family&quot;:&quot;D'Agostino&quot;,&quot;given&quot;:&quot;A&quot;,&quot;parse-names&quot;:false,&quot;dropping-particle&quot;:&quot;&quot;,&quot;non-dropping-particle&quot;:&quot;&quot;},{&quot;family&quot;:&quot;Romito&quot;,&quot;given&quot;:&quot;L&quot;,&quot;parse-names&quot;:false,&quot;dropping-particle&quot;:&quot;&quot;,&quot;non-dropping-particle&quot;:&quot;&quot;},{&quot;family&quot;:&quot;Gambini&quot;,&quot;given&quot;:&quot;O&quot;,&quot;parse-names&quot;:false,&quot;dropping-particle&quot;:&quot;&quot;,&quot;non-dropping-particle&quot;:&quot;&quot;}],&quot;container-title&quot;:&quot;J Neurol Sci&quot;,&quot;DOI&quot;:&quot;10.1016/j.jns.2016.06.045&quot;,&quot;ISSN&quot;:&quot;0022-510x&quot;,&quot;PMID&quot;:&quot;27538601&quot;,&quot;issued&quot;:{&quot;date-parts&quot;:[[2016]]},&quot;page&quot;:&quot;49-54&quot;,&quot;language&quot;:&quot;eng&quot;,&quot;abstract&quot;:&quot;OBJECTIVE: Recent studies have attempted to compare patients affected by psychogenic non-epileptic seizures (PNES) to patients affected by functional motor symptoms (FMS) from a demographic, clinical and psychological perspective. Nevertheless, results are quite controversial and significant conclusions have not been drawn. The aim of our study was to evaluate the phenomenology of psychology of the two groups assessing levels of dissociation and its subcomponents, alexithymia and interoceptive sensitivity in patients with PNES and in patients with FMS. METHODS: We conducted a cross-sectional study recruiting 20 patients with PNES, 20 patients with FMS and 20 healthy subjects as a control group. All subjects underwent: Dissociative Experience Scale (DES), Somatoform Dissociation Questionnaire (SDQ-20), Cambridge Depersonalization Scale (CDS), Toronto Alexithymia Scale (TAS-20), Hamilton Rating Scale for Depression (HAM-D), Hamilton Rating Scale for anxiety (HAM-A), heart beat detection task. RESULTS: Our data suggest that PNES group scored significantly higher than the healthy control group on a measure of detachment (CDS). Also at the DES, a measure of psychoform dissociation, PNES patients scored significantly higher than healthy subjects. On the other hand patients affected by FMS scored significantly higher than the healthy control group on the SDQ but they did not report more experiences of detachment on the CDS. Patients affected by PNES and FMS were significantly more alexithymic than healthy controls, with a third of them scoring &gt;61 on the TAS-20. SIGNIFICANCE: Our data show different psychological mechanisms underlying patients with PNES and patients with FMS. This might lead also to potential implications for treatment.&quot;,&quot;edition&quot;:&quot;2016/08/20&quot;,&quot;volume&quot;:&quot;368&quot;,&quot;container-title-short&quot;:&quot;&quot;},&quot;isTemporary&quot;:false},{&quot;id&quot;:&quot;9d760acb-3a66-38f5-8899-b1cb95d9f3a5&quot;,&quot;itemData&quot;:{&quot;type&quot;:&quot;article-journal&quot;,&quot;id&quot;:&quot;9d760acb-3a66-38f5-8899-b1cb95d9f3a5&quot;,&quot;title&quot;:&quot;Automatic avoidance tendencies in patients with Psychogenic Non Epileptic Seizures&quot;,&quot;author&quot;:[{&quot;family&quot;:&quot;Bakvis&quot;,&quot;given&quot;:&quot;Patricia&quot;,&quot;parse-names&quot;:false,&quot;dropping-particle&quot;:&quot;&quot;,&quot;non-dropping-particle&quot;:&quot;&quot;},{&quot;family&quot;:&quot;Spinhoven&quot;,&quot;given&quot;:&quot;Philip&quot;,&quot;parse-names&quot;:false,&quot;dropping-particle&quot;:&quot;&quot;,&quot;non-dropping-particle&quot;:&quot;&quot;},{&quot;family&quot;:&quot;Zitman&quot;,&quot;given&quot;:&quot;F G&quot;,&quot;parse-names&quot;:false,&quot;dropping-particle&quot;:&quot;&quot;,&quot;non-dropping-particle&quot;:&quot;&quot;},{&quot;family&quot;:&quot;Roelofs&quot;,&quot;given&quot;:&quot;Karin&quot;,&quot;parse-names&quot;:false,&quot;dropping-particle&quot;:&quot;&quot;,&quot;non-dropping-particle&quot;:&quot;&quot;}],&quot;container-title&quot;:&quot;Seizure&quot;,&quot;container-title-short&quot;:&quot;Seizure&quot;,&quot;DOI&quot;:&quot;https://doi.org/10.1016/j.seizure.2011.06.006&quot;,&quot;ISSN&quot;:&quot;1059-1311&quot;,&quot;URL&quot;:&quot;http://www.sciencedirect.com/science/article/pii/S1059131111001658&quot;,&quot;issued&quot;:{&quot;date-parts&quot;:[[2011]]},&quot;page&quot;:&quot;628-634&quot;,&quot;abstract&quot;:&quot;Introduction Psychogenic Non Epileptic Seizures (PNES) have been theorized to reflect a learned pattern of avoidant behavior to deal with stressors. Although such observation may be relevant for our understanding of the etiology of PNES, evidence for this theory is largely build on self-report investigations and no studies have systematically tested actual avoidance behavior in patients with PNES. In this study, we tested automatic threat avoidance tendencies in relation to stress and cortisol levels in patients with PNES and healthy controls (HCs). Methods The approach and avoidance (AA) task was administered to 12 patients with PNES and 20 matched HCs at baseline and following stress-induction using the Cold Pressor Test (CPT). The AA task requires participants to evaluate the emotional valence of pictures of angry and happy faces by making arm movements (arm flexion or extension) that are either affect-congruent (avoid-angry; approach-happy) or affect-incongruent (approach-angry; avoid-happy) with their intuitive action tendencies. Saliva cortisol was measured throughout the experiment. Results Patients, but not HCs, showed increased approach-avoidance congruency-effects for angry faces on the AA task at baseline, with relatively slower approach of angry faces, which was overall associated with basal pre-task cortisol. This congruency-effect disappeared after the CPT. Discussion The present findings provide an objective confirmation of previous suggestions from self-report studies indicating that PNES patients show relatively increased avoidance tendencies to social threat cues. The registering of threat avoidance behavior may prove to be a clinically valuable contribution to evaluate psychological treatment effectiveness and perhaps even PNES prognosis.&quot;,&quot;issue&quot;:&quot;8&quot;,&quot;volume&quot;:&quot;20&quot;},&quot;isTemporary&quot;:false},{&quot;id&quot;:&quot;3bd0c1eb-1f68-345e-928e-34ae34206c7f&quot;,&quot;itemData&quot;:{&quot;type&quot;:&quot;article-journal&quot;,&quot;id&quot;:&quot;3bd0c1eb-1f68-345e-928e-34ae34206c7f&quot;,&quot;title&quot;:&quot;Emotional Reactivity as a Vulnerability for Psychogenic Nonepileptic Seizures? Responses While Reliving Specific Emotions&quot;,&quot;author&quot;:[{&quot;family&quot;:&quot;Roberts Ph.D.&quot;,&quot;given&quot;:&quot;&quot;,&quot;parse-names&quot;:false,&quot;dropping-particle&quot;:&quot;&quot;,&quot;non-dropping-particle&quot;:&quot;&quot;},{&quot;family&quot;:&quot;Mary H. Burleson Ph.D.&quot;,&quot;given&quot;:&quot;&quot;,&quot;parse-names&quot;:false,&quot;dropping-particle&quot;:&quot;&quot;,&quot;non-dropping-particle&quot;:&quot;&quot;},{&quot;family&quot;:&quot;Dhannia L. Torres Ph.D.&quot;,&quot;given&quot;:&quot;&quot;,&quot;parse-names&quot;:false,&quot;dropping-particle&quot;:&quot;&quot;,&quot;non-dropping-particle&quot;:&quot;&quot;},{&quot;family&quot;:&quot;David K. Parkhurst M.S.&quot;,&quot;given&quot;:&quot;&quot;,&quot;parse-names&quot;:false,&quot;dropping-particle&quot;:&quot;&quot;,&quot;non-dropping-particle&quot;:&quot;&quot;},{&quot;family&quot;:&quot;Robin Garrett Psy.D.&quot;,&quot;given&quot;:&quot;&quot;,&quot;parse-names&quot;:false,&quot;dropping-particle&quot;:&quot;&quot;,&quot;non-dropping-particle&quot;:&quot;&quot;},{&quot;family&quot;:&quot;Lauren B. Mitchell B.A.&quot;,&quot;given&quot;:&quot;&quot;,&quot;parse-names&quot;:false,&quot;dropping-particle&quot;:&quot;&quot;,&quot;non-dropping-particle&quot;:&quot;&quot;},{&quot;family&quot;:&quot;Cayla J. Duncan M.S.&quot;,&quot;given&quot;:&quot;&quot;,&quot;parse-names&quot;:false,&quot;dropping-particle&quot;:&quot;&quot;,&quot;non-dropping-particle&quot;:&quot;&quot;},{&quot;family&quot;:&quot;Mallory Mintert M.S.&quot;,&quot;given&quot;:&quot;&quot;,&quot;parse-names&quot;:false,&quot;dropping-particle&quot;:&quot;&quot;,&quot;non-dropping-particle&quot;:&quot;&quot;},{&quot;family&quot;:&quot;Norman C. Wang M.D.&quot;,&quot;given&quot;:&quot;&quot;,&quot;parse-names&quot;:false,&quot;dropping-particle&quot;:&quot;&quot;,&quot;non-dropping-particle&quot;:&quot;&quot;}],&quot;container-title&quot;:&quot;The Journal of Neuropsychiatry and Clinical Neurosciences&quot;,&quot;container-title-short&quot;:&quot;J Neuropsychiatry Clin Neurosci&quot;,&quot;DOI&quot;:&quot;10.1176/appi.neuropsych.19040084&quot;,&quot;PMID&quot;:&quot;31662092&quot;,&quot;URL&quot;:&quot;https://neuro.psychiatryonline.org/doi/abs/10.1176/appi.neuropsych.19040084&quot;,&quot;issued&quot;:{&quot;date-parts&quot;:[[2020]]},&quot;page&quot;:&quot;95-100&quot;,&quot;abstract&quot;:&quot;Objective:Dysfunction in emotional processes is a hypothesized contributor to functional neurological disorders (FNDs), yet few studies have evoked real-time emotion during multimethod assessment incorporating subjective, behavioral, and psychophysiological indicators. This approach may reveal clinical and neurobiological vulnerability to FND and clarify how dysfunctional emotional processes serve as perpetuating factors.Methods:Eleven participants with video-EEG-confirmed diagnoses of psychogenic nonepileptic seizures (PNES) were compared with 49 seizure-free trauma control subjects (TCs) with or without clinically elevated posttraumatic stress symptoms (25 clinically elevated [TC-clin], 24 not clinically elevated [TC-nonclin]). Participants recalled and described memories evoking anger, shame, happiness, and neutral feelings.Results:Even though PNES patients and TCs reported similar amounts of emotional experience, PNES patients reported more difficulty reliving emotions and were less likely to complete the relived shame task. During and after reliving happiness, PNES and TC-clin groups showed respiratory sinus arrhythmia (RSA) decreases, indicating parasympathetic withdrawal, whereas the TC-nonclin group showed RSA increases.Conclusions:Findings from this pilot study are consistent with previous research and clinical observations that emotional engagement may be more effortful for PNES patients. Patterns of RSA change, which may also point to greater effortful engagement, were similar in PNES and TC-clin groups, suggesting that traumatic stress reactions may play a part. At the same time, experience of greater difficulty or avoidance may be even greater among PNES patients. Especially when regulatory resources are already limited, accumulated effort, coupled with self-threatening contexts such as shame, may be particularly problematic for those with PNES and perhaps other FNDs.&quot;,&quot;issue&quot;:&quot;1&quot;,&quot;volume&quot;:&quot;32&quot;},&quot;isTemporary&quot;:false}],&quot;citationTag&quot;:&quot;MENDELEY_CITATION_v3_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&quot;},{&quot;citationID&quot;:&quot;MENDELEY_CITATION_6b4f232e-c303-4072-9608-48dda70e26c9&quot;,&quot;properties&quot;:{&quot;noteIndex&quot;:0},&quot;isEdited&quot;:false,&quot;manualOverride&quot;:{&quot;isManuallyOverridden&quot;:false,&quot;citeprocText&quot;:&quot;(Allendorfer et al., 2019; Apazoglou et al., 2017; Herrero et al., 2020; Kotwas et al., 2019; Kramer et al., 2019; Maurer et al., 2015; Novakova et al., 2017; Pareés et al., 2012; Ricciardi et al., 2016; I. A. Williams et al., 2021)&quot;,&quot;manualOverrideText&quot;:&quot;&quot;},&quot;citationItems&quot;:[{&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id&quot;:&quot;9114bc80-72f6-3af5-b0fc-65fb81e62bc1&quot;,&quot;itemData&quot;:{&quot;type&quot;:&quot;article-journal&quot;,&quot;id&quot;:&quot;9114bc80-72f6-3af5-b0fc-65fb81e62bc1&quot;,&quot;title&quot;:&quot;A biological measure of stress levels in patients with functional movement disorders&quot;,&quot;author&quot;:[{&quot;family&quot;:&quot;Maurer&quot;,&quot;given&quot;:&quot;Carine W&quot;,&quot;parse-names&quot;:false,&quot;dropping-particle&quot;:&quot;&quot;,&quot;non-dropping-particle&quot;:&quot;&quot;},{&quot;family&quot;:&quot;LaFaver&quot;,&quot;given&quot;:&quot;Kathrin&quot;,&quot;parse-names&quot;:false,&quot;dropping-particle&quot;:&quot;&quot;,&quot;non-dropping-particle&quot;:&quot;&quot;},{&quot;family&quot;:&quot;Ameli&quot;,&quot;given&quot;:&quot;Rezvan&quot;,&quot;parse-names&quot;:false,&quot;dropping-particle&quot;:&quot;&quot;,&quot;non-dropping-particle&quot;:&quot;&quot;},{&quot;family&quot;:&quot;Toledo&quot;,&quot;given&quot;:&quot;Ryan&quot;,&quot;parse-names&quot;:false,&quot;dropping-particle&quot;:&quot;&quot;,&quot;non-dropping-particle&quot;:&quot;&quot;},{&quot;family&quot;:&quot;Hallett&quot;,&quot;given&quot;:&quot;Mark&quot;,&quot;parse-names&quot;:false,&quot;dropping-particle&quot;:&quot;&quot;,&quot;non-dropping-particle&quot;:&quot;&quot;}],&quot;container-title&quot;:&quot;Parkinsonism &amp; related disorders&quot;,&quot;container-title-short&quot;:&quot;Parkinsonism Relat Disord&quot;,&quot;DOI&quot;:&quot;10.1016/j.parkreldis.2015.06.017&quot;,&quot;ISSN&quot;:&quot;1873-5126\r1353-8020&quot;,&quot;PMID&quot;:&quot;26117436&quot;,&quot;URL&quot;:&quot;https://pubmed.ncbi.nlm.nih.gov/26117436&quot;,&quot;issued&quot;:{&quot;date-parts&quot;:[[2015]]},&quot;page&quot;:&quot;1072-1075&quot;,&quot;language&quot;:&quot;eng&quot;,&quot;abstract&quot;:&quot;INTRODUCTION: While the presence of co-existing psychological stressors has historically been used as a supportive factor in the diagnosis of functional neurological disorders, many patients with functional neurological disorders deny the presence of these stressors. The stress response circuitry in these patients remains largely unexplored. METHODS: We performed an observational study examining biological stress levels in patients with functional movement disorders as compared with matched healthy controls. Specifically, we compared levels of circulating cortisol, the end-product of the hypothalamic-pituitary-adrenal axis. Salivary cortisol samples were collected from patients with \&quot;clinically definite\&quot; functional movement disorders (n = 33) and their age- and sex-matched controls (n = 33). Collections were performed at five standardized time points, reflecting participants' diurnal cortisol cycles. To rule out confounders, participants also underwent extensive psychological assessment including Structured Clinical Interview for Diagnostic and Statistical Manual of Mental Disorders, Hamilton Anxiety Rating Scale, and Hamilton Rating Scale for Depression. RESULTS: Patients with functional movement disorders did not differ from matched controls with respect to levels of circulating cortisol. CONCLUSION: We demonstrate that current stress levels are not altered in patients with functional movement disorders. Our results warrant careful review of current management of patients with functional neurological symptoms, and suggest that the insistence on heightened stress levels in these patients is unjustified.&quot;,&quot;edition&quot;:&quot;2015/06/21&quot;,&quot;issue&quot;:&quot;9&quot;,&quot;volume&quot;:&quot;21&quot;},&quot;isTemporary&quot;:false},{&quot;id&quot;:&quot;d6067ae8-0b9d-326f-b78b-8e4a23ee68a2&quot;,&quot;itemData&quot;:{&quot;type&quot;:&quot;article-journal&quot;,&quot;id&quot;:&quot;d6067ae8-0b9d-326f-b78b-8e4a23ee68a2&quot;,&quot;title&quot;:&quot;Diurnal patterns and relationships between physiological and self-reported stress in patients with epilepsy and psychogenic non-epileptic seizures&quot;,&quot;author&quot;:[{&quot;family&quot;:&quot;Novakova&quot;,&quot;given&quot;:&quot;B&quot;,&quot;parse-names&quot;:false,&quot;dropping-particle&quot;:&quot;&quot;,&quot;non-dropping-particle&quot;:&quot;&quot;},{&quot;family&quot;:&quot;Harris&quot;,&quot;given&quot;:&quot;P R&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7.03.006&quot;,&quot;ISSN&quot;:&quot;1525-5050&quot;,&quot;PMID&quot;:&quot;28432961&quot;,&quot;issued&quot;:{&quot;date-parts&quot;:[[2017]]},&quot;page&quot;:&quot;204-211&quot;,&quot;language&quot;:&quot;eng&quot;,&quot;abstract&quot;:&quot;PURPOSE: Patients with epilepsy and those with psychogenic non-epileptic seizures (PNES) experience high levels of stress and stress is one of the most frequently self-identified seizure precipitants. Although stress is a multifaceted phenomenon, few studies have systematically examined its different components in patients with seizures. The aim of this study was therefore to describe diurnal patterns of psychological and physiological measures of stress in patients with epilepsy and patients with PNES, and explore their relationships to each other in order to improve our understanding of the mechanisms underlying stress and seizure occurrence in these patients. METHOD: A range of stress markers including self-reported stress, salivary cortisol, and heart rate variability (HRV) were explored in adult patients with refractory epilepsy (N=22) and those with PNES (N=23) undergoing three- to five-day video-telemetry. RESULTS: A diurnal pattern was observed in the physiological measures, characterized by higher levels of physiological arousal in the mornings and lower levels at night in both patients with epilepsy and PNES. The physiological measures (cortisol and HRV) were associated with each other in patients with epilepsy; no close relationship was found with self-reported stress in either of the two patient groups. CONCLUSION: The findings contribute to and expand on previous studies of the patterns of stress in patients with seizures. The results also indicate a discrepancy between patients' physiological responses and their subjective stress perceptions, suggesting that simple self-reports cannot be used as a proxy of physiological arousal in patients with seizures and stress. Stress in these patient groups should be studied using a combination of complementary measures.&quot;,&quot;edition&quot;:&quot;2017/04/23&quot;,&quot;issue&quot;:&quot;Pt A&quot;,&quot;volume&quot;:&quot;70&quot;,&quot;container-title-short&quot;:&quot;&quot;},&quot;isTemporary&quot;:false},{&quot;id&quot;:&quot;281a6a8d-6d51-3726-9d25-5158d10cefa7&quot;,&quot;itemData&quot;:{&quot;type&quot;:&quot;article-journal&quot;,&quot;id&quot;:&quot;281a6a8d-6d51-3726-9d25-5158d10cefa7&quot;,&quot;title&quot;:&quot;Subjective and physiological response to emotions in temporal lobe epilepsy and psychogenic non-epileptic seizures&quot;,&quot;author&quot;:[{&quot;family&quot;:&quot;Kotwas&quot;,&quot;given&quot;:&quot;I&quot;,&quot;parse-names&quot;:false,&quot;dropping-particle&quot;:&quot;&quot;,&quot;non-dropping-particle&quot;:&quot;&quot;},{&quot;family&quot;:&quot;Micoulaud-Franchi&quot;,&quot;given&quot;:&quot;J A&quot;,&quot;parse-names&quot;:false,&quot;dropping-particle&quot;:&quot;&quot;,&quot;non-dropping-particle&quot;:&quot;&quot;},{&quot;family&quot;:&quot;Khalfa&quot;,&quot;given&quot;:&quot;S&quot;,&quot;parse-names&quot;:false,&quot;dropping-particle&quot;:&quot;&quot;,&quot;non-dropping-particle&quot;:&quot;&quot;},{&quot;family&quot;:&quot;McGonigal&quot;,&quot;given&quot;:&quot;A&quot;,&quot;parse-names&quot;:false,&quot;dropping-particle&quot;:&quot;&quot;,&quot;non-dropping-particle&quot;:&quot;&quot;},{&quot;family&quot;:&quot;Bastien-Toniazzo&quot;,&quot;given&quot;:&quot;M&quot;,&quot;parse-names&quot;:false,&quot;dropping-particle&quot;:&quot;&quot;,&quot;non-dropping-particle&quot;:&quot;&quot;},{&quot;family&quot;:&quot;Bartolomei&quot;,&quot;given&quot;:&quot;F&quot;,&quot;parse-names&quot;:false,&quot;dropping-particle&quot;:&quot;&quot;,&quot;non-dropping-particle&quot;:&quot;&quot;}],&quot;container-title&quot;:&quot;J Affect Disord&quot;,&quot;DOI&quot;:&quot;10.1016/j.jad.2018.10.004&quot;,&quot;ISSN&quot;:&quot;0165-0327&quot;,&quot;PMID&quot;:&quot;30312840&quot;,&quot;issued&quot;:{&quot;date-parts&quot;:[[2019]]},&quot;page&quot;:&quot;46-53&quot;,&quot;language&quot;:&quot;eng&quot;,&quot;abstract&quot;:&quot;BACKGROUND: Temporal lobe epilepsy (TLE) and psychogenic non-epileptic seizures (PNES) are conditions frequently associated with dysfunction in emotional regulation leading to increased risk of affective disorders. This study investigates emotional processing with an objective measure of emotional reactivity in patients with TLE and patients with PNES. METHODS: 34 patients with TLE and 14 patients with PNES were evaluated on skin conductance responses (SCR) to emotions induced by short films and compared to 34 healthy controls. An attention and a suppression condition were performed while viewing the films. RESULTS: The both groups of patients disclosed lower SCR to emotions compared to controls, mainly in suppression condition. While TLE patients had lower SCR in attention condition than controls for fear, sadness and happiness, PNES had lower SCR only for happiness. In suppression condition, both had lower SCR than controls except for peacefulness in both groups and sadness in PNES. Subjective evaluations revealed that both patient's groups scored a higher intensity for sadness than controls in attention and lower for in fear and disgust in suppression only in TLE. LIMITATIONS: The sample size in the PNES group and the lack of a control group with similar levels of mood symptoms limited the interpretation of our results. CONCLUSION: As no correlation were found between SCR to emotions and scores of affective disorders, this pattern of responses might be underpinned by specific pathophysiological and cognitive mechanisms related to TLE and to PNES. Thus, therapeutic approaches targeting emotional autonomic responses can be of interest in the management of these conditions.&quot;,&quot;edition&quot;:&quot;2018/10/13&quot;,&quot;volume&quot;:&quot;244&quot;,&quot;container-title-short&quot;:&quot;&quot;},&quot;isTemporary&quot;:false},{&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id&quot;:&quot;995facf9-645e-3520-9042-ab779afb2473&quot;,&quot;itemData&quot;:{&quot;type&quot;:&quot;article-journal&quot;,&quot;id&quot;:&quot;995facf9-645e-3520-9042-ab779afb2473&quot;,&quot;title&quot;:&quot;Skin conductance response and emotional response in women with psychogenic non-epileptic seizures&quot;,&quot;author&quot;:[{&quot;family&quot;:&quot;Herrero&quot;,&quot;given&quot;:&quot;Hugo&quot;,&quot;parse-names&quot;:false,&quot;dropping-particle&quot;:&quot;&quot;,&quot;non-dropping-particle&quot;:&quot;&quot;},{&quot;family&quot;:&quot;Tarrada&quot;,&quot;given&quot;:&quot;Alexis&quot;,&quot;parse-names&quot;:false,&quot;dropping-particle&quot;:&quot;&quot;,&quot;non-dropping-particle&quot;:&quot;&quot;},{&quot;family&quot;:&quot;Haffen&quot;,&quot;given&quot;:&quot;Emmanuel&quot;,&quot;parse-names&quot;:false,&quot;dropping-particle&quot;:&quot;&quot;,&quot;non-dropping-particle&quot;:&quot;&quot;},{&quot;family&quot;:&quot;Mignot&quot;,&quot;given&quot;:&quot;Thibault&quot;,&quot;parse-names&quot;:false,&quot;dropping-particle&quot;:&quot;&quot;,&quot;non-dropping-particle&quot;:&quot;&quot;},{&quot;family&quot;:&quot;Sense&quot;,&quot;given&quot;:&quot;Charlotte&quot;,&quot;parse-names&quot;:false,&quot;dropping-particle&quot;:&quot;&quot;,&quot;non-dropping-particle&quot;:&quot;&quot;},{&quot;family&quot;:&quot;Schwan&quot;,&quot;given&quot;:&quot;Raymund&quot;,&quot;parse-names&quot;:false,&quot;dropping-particle&quot;:&quot;&quot;,&quot;non-dropping-particle&quot;:&quot;&quot;},{&quot;family&quot;:&quot;El-Hage&quot;,&quot;given&quot;:&quot;Wissam&quot;,&quot;parse-names&quot;:false,&quot;dropping-particle&quot;:&quot;&quot;,&quot;non-dropping-particle&quot;:&quot;&quot;},{&quot;family&quot;:&quot;Maillard&quot;,&quot;given&quot;:&quot;Louis&quot;,&quot;parse-names&quot;:false,&quot;dropping-particle&quot;:&quot;&quot;,&quot;non-dropping-particle&quot;:&quot;&quot;},{&quot;family&quot;:&quot;Hingray&quot;,&quot;given&quot;:&quot;Coraline&quot;,&quot;parse-names&quot;:false,&quot;dropping-particle&quot;:&quot;&quot;,&quot;non-dropping-particle&quot;:&quot;&quot;}],&quot;container-title&quot;:&quot;Seizure&quot;,&quot;container-title-short&quot;:&quot;Seizure&quot;,&quot;DOI&quot;:&quot;https://doi.org/10.1016/j.seizure.2020.07.028&quot;,&quot;ISSN&quot;:&quot;1059-1311&quot;,&quot;URL&quot;:&quot;http://www.sciencedirect.com/science/article/pii/S105913112030234X&quot;,&quot;issued&quot;:{&quot;date-parts&quot;:[[2020]]},&quot;page&quot;:&quot;123-131&quot;,&quot;abstract&quot;:&quot;Purpose Recent etiopathogenic models place emotional dysregulation at the core of psychogenic nonepileptic seizure (PNES). Our purpose was to assess physiological, cognitive, and behavioral emotional responses of PNES patients. Methods This study compared three types of emotional responses to visual emotional stimuli between 34 female PNES group and 34 matched healthy controls: physiological response measured by skin conductance response (SCR) (rate, amplitude and latency) and heart rate deceleration; cognitive response measured by valence and arousal elicited by the images; and behavioural response measured by latency of ratings. The groups were characterized on psychiatric comorbidities, traumatic history, alexithymia, and dissociation. Results Compared to controls, PNES group displayed lower SCR for all images (p = 0.038), shorter amplitude of heart rate deceleration (p = 0.024) and faster arousal rating for all images (p = 0.019), but no difference on cognitive rating of images. Within-groups analyses showed only in PNES subjects increased rate (+19.35%, p = 0.046) SCR for negative stimuli with strong arousal compared to negative with low arousal. PNES physiological response (SCR and heart rate deceleration) was negatively correlated to dissociation tendency (r=-0.48, p = 0.0083) and alexithymia (r=-0.44, p = 0.012)). For cognitive response, no correlation was found. Conclusion These results are in favour of a lower physiological emotional response but with an over-reactivity at behavioral level contrasting with similar cognitive assessment. For strong aversive stimuli, PNES might present a trend to overreact at physiological and behavioural levels. Our results suggest that dissociation and difficulty in describing feelings are associated with an altered physiological response in PNES women only.&quot;,&quot;volume&quot;:&quot;81&quot;},&quot;isTemporary&quot;:false},{&quot;id&quot;:&quot;b70aa524-e3f4-36bb-8d7e-d4df2e3d816e&quot;,&quot;itemData&quot;:{&quot;type&quot;:&quot;article-journal&quot;,&quot;id&quot;:&quot;b70aa524-e3f4-36bb-8d7e-d4df2e3d816e&quot;,&quot;title&quot;:&quot;Interoception and stress in patients with Functional Neurological Symptom Disorder&quot;,&quot;author&quot;:[{&quot;family&quot;:&quot;Williams&quot;,&quot;given&quot;:&quot;Isobel A&quot;,&quot;parse-names&quot;:false,&quot;dropping-particle&quot;:&quot;&quot;,&quot;non-dropping-particle&quot;:&quot;&quot;},{&quot;family&quot;:&quot;Reuber&quot;,&quot;given&quot;:&quot;Markus&quot;,&quot;parse-names&quot;:false,&quot;dropping-particle&quot;:&quot;&quot;,&quot;non-dropping-particle&quot;:&quot;&quot;},{&quot;family&quot;:&quot;Levita&quot;,&quot;given&quot;:&quot;Liat&quot;,&quot;parse-names&quot;:false,&quot;dropping-particle&quot;:&quot;&quot;,&quot;non-dropping-particle&quot;:&quot;&quot;}],&quot;container-title&quot;:&quot;Cognitive Neuropsychiatry&quot;,&quot;container-title-short&quot;:&quot;Cogn Neuropsychiatry&quot;,&quot;DOI&quot;:&quot;10.1080/13546805.2020.1865895&quot;,&quot;ISSN&quot;:&quot;1354-6805&quot;,&quot;issued&quot;:{&quot;date-parts&quot;:[[2021]]},&quot;page&quot;:&quot;75-94&quot;,&quot;publisher&quot;:&quot;Informa UK Limited&quot;,&quot;issue&quot;:&quot;2&quot;,&quot;volume&quot;:&quot;26&quot;},&quot;isTemporary&quot;:false},{&quot;id&quot;:&quot;f2d0289a-19de-36ed-b70b-3b54690ef958&quot;,&quot;itemData&quot;:{&quot;type&quot;:&quot;article-journal&quot;,&quot;id&quot;:&quot;f2d0289a-19de-36ed-b70b-3b54690ef958&quot;,&quot;title&quot;:&quot;Similar association between objective and subjective symptoms in functional and organic tremor&quot;,&quot;author&quot;:[{&quot;family&quot;:&quot;Kramer&quot;,&quot;given&quot;:&quot;Gerrit&quot;,&quot;parse-names&quot;:false,&quot;dropping-particle&quot;:&quot;&quot;,&quot;non-dropping-particle&quot;:&quot;&quot;},{&quot;family&quot;:&quot;Dominguez-Vega&quot;,&quot;given&quot;:&quot;Zeus T&quot;,&quot;parse-names&quot;:false,&quot;dropping-particle&quot;:&quot;&quot;,&quot;non-dropping-particle&quot;:&quot;&quot;},{&quot;family&quot;:&quot;Laarhoven&quot;,&quot;given&quot;:&quot;Heleen S A&quot;,&quot;parse-names&quot;:false,&quot;dropping-particle&quot;:&quot;&quot;,&quot;non-dropping-particle&quot;:&quot;&quot;},{&quot;family&quot;:&quot;Brandsma&quot;,&quot;given&quot;:&quot;Rick&quot;,&quot;parse-names&quot;:false,&quot;dropping-particle&quot;:&quot;&quot;,&quot;non-dropping-particle&quot;:&quot;&quot;},{&quot;family&quot;:&quot;Smit&quot;,&quot;given&quot;:&quot;Marenka&quot;,&quot;parse-names&quot;:false,&quot;dropping-particle&quot;:&quot;&quot;,&quot;non-dropping-particle&quot;:&quot;&quot;},{&quot;family&quot;:&quot;Stouwe&quot;,&quot;given&quot;:&quot;A M Madelein&quot;,&quot;parse-names&quot;:false,&quot;dropping-particle&quot;:&quot;&quot;,&quot;non-dropping-particle&quot;:&quot;van der&quot;},{&quot;family&quot;:&quot;Elting&quot;,&quot;given&quot;:&quot;Jan Willem J&quot;,&quot;parse-names&quot;:false,&quot;dropping-particle&quot;:&quot;&quot;,&quot;non-dropping-particle&quot;:&quot;&quot;},{&quot;family&quot;:&quot;Maurits&quot;,&quot;given&quot;:&quot;Natasha M&quot;,&quot;parse-names&quot;:false,&quot;dropping-particle&quot;:&quot;&quot;,&quot;non-dropping-particle&quot;:&quot;&quot;},{&quot;family&quot;:&quot;Rosmalen&quot;,&quot;given&quot;:&quot;Judith G M&quot;,&quot;parse-names&quot;:false,&quot;dropping-particle&quot;:&quot;&quot;,&quot;non-dropping-particle&quot;:&quot;&quot;},{&quot;family&quot;:&quot;Tijssen&quot;,&quot;given&quot;:&quot;Marina A J&quot;,&quot;parse-names&quot;:false,&quot;dropping-particle&quot;:&quot;&quot;,&quot;non-dropping-particle&quot;:&quot;&quot;}],&quot;container-title&quot;:&quot;Parkinsonism &amp; related disorders&quot;,&quot;container-title-short&quot;:&quot;Parkinsonism Relat Disord&quot;,&quot;DOI&quot;:&quot;10.1016/j.parkreldis.2019.05.026&quot;,&quot;ISSN&quot;:&quot;1353-8020&quot;,&quot;URL&quot;:&quot;https://doi.org/10.1016/j.parkreldis.2019.05.026&quot;,&quot;issued&quot;:{&quot;date-parts&quot;:[[2019]]},&quot;page&quot;:&quot;2-7&quot;,&quot;abstract&quot;:&quot;BackgroundA previous study reported a dramatic mismatch in objectively detected and self-reported tremor duration in patients with functional tremor. As these findings have an important and widespread impact in both clinical care and research, we conducted a validation study with a longer study duration and a larger sample of patients.&quot;,&quot;publisher&quot;:&quot;Elsevier&quot;,&quot;volume&quot;:&quot;64&quot;},&quot;isTemporary&quot;:false}],&quot;citationTag&quot;:&quot;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Sx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&quot;},{&quot;citationID&quot;:&quot;MENDELEY_CITATION_a1f78287-06c0-4736-acd3-eeda8a4bc41a&quot;,&quot;properties&quot;:{&quot;noteIndex&quot;:0},&quot;isEdited&quot;:false,&quot;manualOverride&quot;:{&quot;isManuallyOverridden&quot;:false,&quot;citeprocText&quot;:&quot;(Allendorfer et al., 2019; Apazoglou et al., 2017; Bakvis et al., 2009; Herrero et al., 2020)&quot;,&quot;manualOverrideText&quot;:&quot;&quot;},&quot;citationItems&quot;:[{&quot;id&quot;:&quot;3c24f0e1-88ed-3f1b-b500-698f4c348a0f&quot;,&quot;itemData&quot;:{&quot;type&quot;:&quot;article-journal&quot;,&quot;id&quot;:&quot;3c24f0e1-88ed-3f1b-b500-698f4c348a0f&quot;,&quot;title&quot;:&quot;Trauma, stress, and preconscious threat processing in patients with psychogenic nonepileptic seizures&quot;,&quot;author&quot;:[{&quot;family&quot;:&quot;Bakvis&quot;,&quot;given&quot;:&quot;P&quot;,&quot;parse-names&quot;:false,&quot;dropping-particle&quot;:&quot;&quot;,&quot;non-dropping-particle&quot;:&quot;&quot;},{&quot;family&quot;:&quot;Roelofs&quot;,&quot;given&quot;:&quot;K&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Swinkels&quot;,&quot;given&quot;:&quot;W A&quot;,&quot;parse-names&quot;:false,&quot;dropping-particle&quot;:&quot;&quot;,&quot;non-dropping-particle&quot;:&quot;&quot;},{&quot;family&quot;:&quot;Spinhoven&quot;,&quot;given&quot;:&quot;P&quot;,&quot;parse-names&quot;:false,&quot;dropping-particle&quot;:&quot;&quot;,&quot;non-dropping-particle&quot;:&quot;&quot;}],&quot;container-title&quot;:&quot;Epilepsia&quot;,&quot;container-title-short&quot;:&quot;Epilepsia&quot;,&quot;DOI&quot;:&quot;10.1111/j.1528-1167.2008.01862.x&quot;,&quot;ISSN&quot;:&quot;0013-9580&quot;,&quot;PMID&quot;:&quot;19170739&quot;,&quot;issued&quot;:{&quot;date-parts&quot;:[[2009]]},&quot;page&quot;:&quot;1001-1011&quot;,&quot;language&quot;:&quot;eng&quot;,&quot;abstract&quot;:&quot;PURPOSE: Psychogenic nonepileptic seizures (PNES) have long been considered as paroxysmal dissociative symptoms characterized by an alteration of attentional functions caused by severe stress or trauma. Although interpersonal trauma is common in PNES, the proposed relation between trauma and attentional functions remains under explored. We examined the attentional processing of social threat in PNES in relation to interpersonal trauma and acute psychological stress. METHODS: A masked emotional Stroop test, comparing color-naming latencies for backwardly masked angry, neutral, and happy faces, was administered to 19 unmedicated patients with PNES and 20 matched healthy controls, at baseline and in a stress condition. Stress was induced by means of the Trier Social Stress Test and physiologic stress parameters, such as heart rate variability (HRV) and cortisol, were measured throughout the experiment. RESULTS: No group differences related to the acute stress induction were found. Compared to controls, however, patients displayed a positive attentional bias for masked angry faces at baseline, which was correlated to self-reported sexual trauma. Moreover, patients showed lower HRV at baseline and during recovery. DISCUSSION: These findings are suggestive of a state of hypervigilance in patients with PNES. The relation with self-reported trauma, moreover, offers the first evidence linking psychological risk factors to altered information processing in PNES.&quot;,&quot;edition&quot;:&quot;2009/01/28&quot;,&quot;issue&quot;:&quot;5&quot;,&quot;volume&quot;:&quot;50&quot;},&quot;isTemporary&quot;:false},{&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id&quot;:&quot;995facf9-645e-3520-9042-ab779afb2473&quot;,&quot;itemData&quot;:{&quot;type&quot;:&quot;article-journal&quot;,&quot;id&quot;:&quot;995facf9-645e-3520-9042-ab779afb2473&quot;,&quot;title&quot;:&quot;Skin conductance response and emotional response in women with psychogenic non-epileptic seizures&quot;,&quot;author&quot;:[{&quot;family&quot;:&quot;Herrero&quot;,&quot;given&quot;:&quot;Hugo&quot;,&quot;parse-names&quot;:false,&quot;dropping-particle&quot;:&quot;&quot;,&quot;non-dropping-particle&quot;:&quot;&quot;},{&quot;family&quot;:&quot;Tarrada&quot;,&quot;given&quot;:&quot;Alexis&quot;,&quot;parse-names&quot;:false,&quot;dropping-particle&quot;:&quot;&quot;,&quot;non-dropping-particle&quot;:&quot;&quot;},{&quot;family&quot;:&quot;Haffen&quot;,&quot;given&quot;:&quot;Emmanuel&quot;,&quot;parse-names&quot;:false,&quot;dropping-particle&quot;:&quot;&quot;,&quot;non-dropping-particle&quot;:&quot;&quot;},{&quot;family&quot;:&quot;Mignot&quot;,&quot;given&quot;:&quot;Thibault&quot;,&quot;parse-names&quot;:false,&quot;dropping-particle&quot;:&quot;&quot;,&quot;non-dropping-particle&quot;:&quot;&quot;},{&quot;family&quot;:&quot;Sense&quot;,&quot;given&quot;:&quot;Charlotte&quot;,&quot;parse-names&quot;:false,&quot;dropping-particle&quot;:&quot;&quot;,&quot;non-dropping-particle&quot;:&quot;&quot;},{&quot;family&quot;:&quot;Schwan&quot;,&quot;given&quot;:&quot;Raymund&quot;,&quot;parse-names&quot;:false,&quot;dropping-particle&quot;:&quot;&quot;,&quot;non-dropping-particle&quot;:&quot;&quot;},{&quot;family&quot;:&quot;El-Hage&quot;,&quot;given&quot;:&quot;Wissam&quot;,&quot;parse-names&quot;:false,&quot;dropping-particle&quot;:&quot;&quot;,&quot;non-dropping-particle&quot;:&quot;&quot;},{&quot;family&quot;:&quot;Maillard&quot;,&quot;given&quot;:&quot;Louis&quot;,&quot;parse-names&quot;:false,&quot;dropping-particle&quot;:&quot;&quot;,&quot;non-dropping-particle&quot;:&quot;&quot;},{&quot;family&quot;:&quot;Hingray&quot;,&quot;given&quot;:&quot;Coraline&quot;,&quot;parse-names&quot;:false,&quot;dropping-particle&quot;:&quot;&quot;,&quot;non-dropping-particle&quot;:&quot;&quot;}],&quot;container-title&quot;:&quot;Seizure&quot;,&quot;container-title-short&quot;:&quot;Seizure&quot;,&quot;DOI&quot;:&quot;https://doi.org/10.1016/j.seizure.2020.07.028&quot;,&quot;ISSN&quot;:&quot;1059-1311&quot;,&quot;URL&quot;:&quot;http://www.sciencedirect.com/science/article/pii/S105913112030234X&quot;,&quot;issued&quot;:{&quot;date-parts&quot;:[[2020]]},&quot;page&quot;:&quot;123-131&quot;,&quot;abstract&quot;:&quot;Purpose Recent etiopathogenic models place emotional dysregulation at the core of psychogenic nonepileptic seizure (PNES). Our purpose was to assess physiological, cognitive, and behavioral emotional responses of PNES patients. Methods This study compared three types of emotional responses to visual emotional stimuli between 34 female PNES group and 34 matched healthy controls: physiological response measured by skin conductance response (SCR) (rate, amplitude and latency) and heart rate deceleration; cognitive response measured by valence and arousal elicited by the images; and behavioural response measured by latency of ratings. The groups were characterized on psychiatric comorbidities, traumatic history, alexithymia, and dissociation. Results Compared to controls, PNES group displayed lower SCR for all images (p = 0.038), shorter amplitude of heart rate deceleration (p = 0.024) and faster arousal rating for all images (p = 0.019), but no difference on cognitive rating of images. Within-groups analyses showed only in PNES subjects increased rate (+19.35%, p = 0.046) SCR for negative stimuli with strong arousal compared to negative with low arousal. PNES physiological response (SCR and heart rate deceleration) was negatively correlated to dissociation tendency (r=-0.48, p = 0.0083) and alexithymia (r=-0.44, p = 0.012)). For cognitive response, no correlation was found. Conclusion These results are in favour of a lower physiological emotional response but with an over-reactivity at behavioral level contrasting with similar cognitive assessment. For strong aversive stimuli, PNES might present a trend to overreact at physiological and behavioural levels. Our results suggest that dissociation and difficulty in describing feelings are associated with an altered physiological response in PNES women only.&quot;,&quot;volume&quot;:&quot;81&quot;},&quot;isTemporary&quot;:false}],&quot;citationTag&quot;:&quot;MENDELEY_CITATION_v3_eyJjaXRhdGlvbklEIjoiTUVOREVMRVlfQ0lUQVRJT05fYTFmNzgyODctMDZjMC00NzM2LWFjZDMtZWVkYThhNGJjNDFhIiwicHJvcGVydGllcyI6eyJub3RlSW5kZXgiOjB9LCJpc0VkaXRlZCI6ZmFsc2UsIm1hbnVhbE92ZXJyaWRlIjp7ImlzTWFudWFsbHlPdmVycmlkZGVuIjpmYWxzZSwiY2l0ZXByb2NUZXh0IjoiKEFsbGVuZG9yZmVyIGV0IGFsLiwgMjAxOTsgQXBhem9nbG91IGV0IGFsLiwgMjAxNzsgQmFrdmlzIGV0IGFsLiwgMjAwOTsgSGVycmVybyBldCBhbC4sIDIwMjApIiwibWFudWFsT3ZlcnJpZGVUZXh0Ijoi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LH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Sx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quot;},{&quot;citationID&quot;:&quot;MENDELEY_CITATION_ea4c1645-3a9a-4796-8a9e-23d8f7db1927&quot;,&quot;properties&quot;:{&quot;noteIndex&quot;:0},&quot;isEdited&quot;:false,&quot;manualOverride&quot;:{&quot;isManuallyOverridden&quot;:true,&quot;citeprocText&quot;:&quot;(Herrero et al., 2020)&quot;,&quot;manualOverrideText&quot;:&quot;Herrero et al. (2020)&quot;},&quot;citationItems&quot;:[{&quot;id&quot;:&quot;995facf9-645e-3520-9042-ab779afb2473&quot;,&quot;itemData&quot;:{&quot;type&quot;:&quot;article-journal&quot;,&quot;id&quot;:&quot;995facf9-645e-3520-9042-ab779afb2473&quot;,&quot;title&quot;:&quot;Skin conductance response and emotional response in women with psychogenic non-epileptic seizures&quot;,&quot;author&quot;:[{&quot;family&quot;:&quot;Herrero&quot;,&quot;given&quot;:&quot;Hugo&quot;,&quot;parse-names&quot;:false,&quot;dropping-particle&quot;:&quot;&quot;,&quot;non-dropping-particle&quot;:&quot;&quot;},{&quot;family&quot;:&quot;Tarrada&quot;,&quot;given&quot;:&quot;Alexis&quot;,&quot;parse-names&quot;:false,&quot;dropping-particle&quot;:&quot;&quot;,&quot;non-dropping-particle&quot;:&quot;&quot;},{&quot;family&quot;:&quot;Haffen&quot;,&quot;given&quot;:&quot;Emmanuel&quot;,&quot;parse-names&quot;:false,&quot;dropping-particle&quot;:&quot;&quot;,&quot;non-dropping-particle&quot;:&quot;&quot;},{&quot;family&quot;:&quot;Mignot&quot;,&quot;given&quot;:&quot;Thibault&quot;,&quot;parse-names&quot;:false,&quot;dropping-particle&quot;:&quot;&quot;,&quot;non-dropping-particle&quot;:&quot;&quot;},{&quot;family&quot;:&quot;Sense&quot;,&quot;given&quot;:&quot;Charlotte&quot;,&quot;parse-names&quot;:false,&quot;dropping-particle&quot;:&quot;&quot;,&quot;non-dropping-particle&quot;:&quot;&quot;},{&quot;family&quot;:&quot;Schwan&quot;,&quot;given&quot;:&quot;Raymund&quot;,&quot;parse-names&quot;:false,&quot;dropping-particle&quot;:&quot;&quot;,&quot;non-dropping-particle&quot;:&quot;&quot;},{&quot;family&quot;:&quot;El-Hage&quot;,&quot;given&quot;:&quot;Wissam&quot;,&quot;parse-names&quot;:false,&quot;dropping-particle&quot;:&quot;&quot;,&quot;non-dropping-particle&quot;:&quot;&quot;},{&quot;family&quot;:&quot;Maillard&quot;,&quot;given&quot;:&quot;Louis&quot;,&quot;parse-names&quot;:false,&quot;dropping-particle&quot;:&quot;&quot;,&quot;non-dropping-particle&quot;:&quot;&quot;},{&quot;family&quot;:&quot;Hingray&quot;,&quot;given&quot;:&quot;Coraline&quot;,&quot;parse-names&quot;:false,&quot;dropping-particle&quot;:&quot;&quot;,&quot;non-dropping-particle&quot;:&quot;&quot;}],&quot;container-title&quot;:&quot;Seizure&quot;,&quot;container-title-short&quot;:&quot;Seizure&quot;,&quot;DOI&quot;:&quot;https://doi.org/10.1016/j.seizure.2020.07.028&quot;,&quot;ISSN&quot;:&quot;1059-1311&quot;,&quot;URL&quot;:&quot;http://www.sciencedirect.com/science/article/pii/S105913112030234X&quot;,&quot;issued&quot;:{&quot;date-parts&quot;:[[2020]]},&quot;page&quot;:&quot;123-131&quot;,&quot;abstract&quot;:&quot;Purpose Recent etiopathogenic models place emotional dysregulation at the core of psychogenic nonepileptic seizure (PNES). Our purpose was to assess physiological, cognitive, and behavioral emotional responses of PNES patients. Methods This study compared three types of emotional responses to visual emotional stimuli between 34 female PNES group and 34 matched healthy controls: physiological response measured by skin conductance response (SCR) (rate, amplitude and latency) and heart rate deceleration; cognitive response measured by valence and arousal elicited by the images; and behavioural response measured by latency of ratings. The groups were characterized on psychiatric comorbidities, traumatic history, alexithymia, and dissociation. Results Compared to controls, PNES group displayed lower SCR for all images (p = 0.038), shorter amplitude of heart rate deceleration (p = 0.024) and faster arousal rating for all images (p = 0.019), but no difference on cognitive rating of images. Within-groups analyses showed only in PNES subjects increased rate (+19.35%, p = 0.046) SCR for negative stimuli with strong arousal compared to negative with low arousal. PNES physiological response (SCR and heart rate deceleration) was negatively correlated to dissociation tendency (r=-0.48, p = 0.0083) and alexithymia (r=-0.44, p = 0.012)). For cognitive response, no correlation was found. Conclusion These results are in favour of a lower physiological emotional response but with an over-reactivity at behavioral level contrasting with similar cognitive assessment. For strong aversive stimuli, PNES might present a trend to overreact at physiological and behavioural levels. Our results suggest that dissociation and difficulty in describing feelings are associated with an altered physiological response in PNES women only.&quot;,&quot;volume&quot;:&quot;81&quot;},&quot;isTemporary&quot;:false}],&quot;citationTag&quot;:&quot;MENDELEY_CITATION_v3_eyJjaXRhdGlvbklEIjoiTUVOREVMRVlfQ0lUQVRJT05fZWE0YzE2NDUtM2E5YS00Nzk2LThhOWUtMjNkOGY3ZGIxOTI3IiwicHJvcGVydGllcyI6eyJub3RlSW5kZXgiOjB9LCJpc0VkaXRlZCI6ZmFsc2UsIm1hbnVhbE92ZXJyaWRlIjp7ImlzTWFudWFsbHlPdmVycmlkZGVuIjp0cnVlLCJjaXRlcHJvY1RleHQiOiIoSGVycmVybyBldCBhbC4sIDIwMjApIiwibWFudWFsT3ZlcnJpZGVUZXh0IjoiSGVycmVybyBldCBhbC4gKDIwMjApIn0sImNpdGF0aW9uSXRlbXMiOlt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quot;},{&quot;citationID&quot;:&quot;MENDELEY_CITATION_974c46ea-64de-4393-b715-4c74aaa3becf&quot;,&quot;properties&quot;:{&quot;noteIndex&quot;:0},&quot;isEdited&quot;:false,&quot;manualOverride&quot;:{&quot;isManuallyOverridden&quot;:true,&quot;citeprocText&quot;:&quot;(Allendorfer et al., 2019)&quot;,&quot;manualOverrideText&quot;:&quot;Allendorfer et al. (2019)&quot;},&quot;citationItems&quot;:[{&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citationTag&quot;:&quot;MENDELEY_CITATION_v3_eyJjaXRhdGlvbklEIjoiTUVOREVMRVlfQ0lUQVRJT05fOTc0YzQ2ZWEtNjRkZS00MzkzLWI3MTUtNGM3NGFhYTNiZWNmIiwicHJvcGVydGllcyI6eyJub3RlSW5kZXgiOjB9LCJpc0VkaXRlZCI6ZmFsc2UsIm1hbnVhbE92ZXJyaWRlIjp7ImlzTWFudWFsbHlPdmVycmlkZGVuIjp0cnVlLCJjaXRlcHJvY1RleHQiOiIoQWxsZW5kb3JmZXIgZXQgYWwuLCAyMDE5KSIsIm1hbnVhbE92ZXJyaWRlVGV4dCI6IkFsbGVuZG9yZmVyIGV0IGFsLiAoMjAxOSkifSwiY2l0YXRpb25JdGVtcyI6W3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V19&quot;},{&quot;citationID&quot;:&quot;MENDELEY_CITATION_419203c8-cd08-432a-b986-186955f685d2&quot;,&quot;properties&quot;:{&quot;noteIndex&quot;:0},&quot;isEdited&quot;:false,&quot;manualOverride&quot;:{&quot;isManuallyOverridden&quot;:false,&quot;citeprocText&quot;:&quot;(Bakvis et al., 2009)&quot;,&quot;manualOverrideText&quot;:&quot;&quot;},&quot;citationItems&quot;:[{&quot;id&quot;:&quot;3c24f0e1-88ed-3f1b-b500-698f4c348a0f&quot;,&quot;itemData&quot;:{&quot;type&quot;:&quot;article-journal&quot;,&quot;id&quot;:&quot;3c24f0e1-88ed-3f1b-b500-698f4c348a0f&quot;,&quot;title&quot;:&quot;Trauma, stress, and preconscious threat processing in patients with psychogenic nonepileptic seizures&quot;,&quot;author&quot;:[{&quot;family&quot;:&quot;Bakvis&quot;,&quot;given&quot;:&quot;P&quot;,&quot;parse-names&quot;:false,&quot;dropping-particle&quot;:&quot;&quot;,&quot;non-dropping-particle&quot;:&quot;&quot;},{&quot;family&quot;:&quot;Roelofs&quot;,&quot;given&quot;:&quot;K&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Swinkels&quot;,&quot;given&quot;:&quot;W A&quot;,&quot;parse-names&quot;:false,&quot;dropping-particle&quot;:&quot;&quot;,&quot;non-dropping-particle&quot;:&quot;&quot;},{&quot;family&quot;:&quot;Spinhoven&quot;,&quot;given&quot;:&quot;P&quot;,&quot;parse-names&quot;:false,&quot;dropping-particle&quot;:&quot;&quot;,&quot;non-dropping-particle&quot;:&quot;&quot;}],&quot;container-title&quot;:&quot;Epilepsia&quot;,&quot;container-title-short&quot;:&quot;Epilepsia&quot;,&quot;DOI&quot;:&quot;10.1111/j.1528-1167.2008.01862.x&quot;,&quot;ISSN&quot;:&quot;0013-9580&quot;,&quot;PMID&quot;:&quot;19170739&quot;,&quot;issued&quot;:{&quot;date-parts&quot;:[[2009]]},&quot;page&quot;:&quot;1001-1011&quot;,&quot;language&quot;:&quot;eng&quot;,&quot;abstract&quot;:&quot;PURPOSE: Psychogenic nonepileptic seizures (PNES) have long been considered as paroxysmal dissociative symptoms characterized by an alteration of attentional functions caused by severe stress or trauma. Although interpersonal trauma is common in PNES, the proposed relation between trauma and attentional functions remains under explored. We examined the attentional processing of social threat in PNES in relation to interpersonal trauma and acute psychological stress. METHODS: A masked emotional Stroop test, comparing color-naming latencies for backwardly masked angry, neutral, and happy faces, was administered to 19 unmedicated patients with PNES and 20 matched healthy controls, at baseline and in a stress condition. Stress was induced by means of the Trier Social Stress Test and physiologic stress parameters, such as heart rate variability (HRV) and cortisol, were measured throughout the experiment. RESULTS: No group differences related to the acute stress induction were found. Compared to controls, however, patients displayed a positive attentional bias for masked angry faces at baseline, which was correlated to self-reported sexual trauma. Moreover, patients showed lower HRV at baseline and during recovery. DISCUSSION: These findings are suggestive of a state of hypervigilance in patients with PNES. The relation with self-reported trauma, moreover, offers the first evidence linking psychological risk factors to altered information processing in PNES.&quot;,&quot;edition&quot;:&quot;2009/01/28&quot;,&quot;issue&quot;:&quot;5&quot;,&quot;volume&quot;:&quot;50&quot;},&quot;isTemporary&quot;:false}],&quot;citationTag&quot;:&quot;MENDELEY_CITATION_v3_eyJjaXRhdGlvbklEIjoiTUVOREVMRVlfQ0lUQVRJT05fNDE5MjAzYzgtY2QwOC00MzJhLWI5ODYtMTg2OTU1ZjY4NWQyIiwicHJvcGVydGllcyI6eyJub3RlSW5kZXgiOjB9LCJpc0VkaXRlZCI6ZmFsc2UsIm1hbnVhbE92ZXJyaWRlIjp7ImlzTWFudWFsbHlPdmVycmlkZGVuIjpmYWxzZSwiY2l0ZXByb2NUZXh0IjoiKEJha3ZpcyBldCBhbC4sIDIwMDkpIiwibWFudWFsT3ZlcnJpZGVUZXh0Ijoi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V19&quot;},{&quot;citationID&quot;:&quot;MENDELEY_CITATION_6dfa5f8e-5a70-4779-8eee-591f94ad0057&quot;,&quot;properties&quot;:{&quot;noteIndex&quot;:0},&quot;isEdited&quot;:false,&quot;manualOverride&quot;:{&quot;isManuallyOverridden&quot;:false,&quot;citeprocText&quot;:&quot;(Apazoglou et al., 2017)&quot;,&quot;manualOverrideText&quot;:&quot;&quot;},&quot;citationItems&quot;:[{&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citationTag&quot;:&quot;MENDELEY_CITATION_v3_eyJjaXRhdGlvbklEIjoiTUVOREVMRVlfQ0lUQVRJT05fNmRmYTVmOGUtNWE3MC00Nzc5LThlZWUtNTkxZjk0YWQwMDU3IiwicHJvcGVydGllcyI6eyJub3RlSW5kZXgiOjB9LCJpc0VkaXRlZCI6ZmFsc2UsIm1hbnVhbE92ZXJyaWRlIjp7ImlzTWFudWFsbHlPdmVycmlkZGVuIjpmYWxzZSwiY2l0ZXByb2NUZXh0IjoiKEFwYXpvZ2xvdSBldCBhbC4sIDIwMTcpIiwibWFudWFsT3ZlcnJpZGVUZXh0IjoiIn0sImNpdGF0aW9uSXRlbXMiOlt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XX0=&quot;},{&quot;citationID&quot;:&quot;MENDELEY_CITATION_92edb2e3-290a-4977-b5bd-91417e2683c7&quot;,&quot;properties&quot;:{&quot;noteIndex&quot;:0},&quot;isEdited&quot;:false,&quot;manualOverride&quot;:{&quot;isManuallyOverridden&quot;:true,&quot;citeprocText&quot;:&quot;(Allendorfer et al., 2019)&quot;,&quot;manualOverrideText&quot;:&quot;Allendorfer et al. (2019)&quot;},&quot;citationItems&quot;:[{&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citationTag&quot;:&quot;MENDELEY_CITATION_v3_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&quot;},{&quot;citationID&quot;:&quot;MENDELEY_CITATION_52ea33a0-8a03-441f-9704-f309595b8ddb&quot;,&quot;properties&quot;:{&quot;noteIndex&quot;:0},&quot;isEdited&quot;:false,&quot;manualOverride&quot;:{&quot;isManuallyOverridden&quot;:true,&quot;citeprocText&quot;:&quot;(Apazoglou et al., 2017)&quot;,&quot;manualOverrideText&quot;:&quot;Apazoglou et al. (2017)&quot;},&quot;citationItems&quot;:[{&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citationTag&quot;:&quot;MENDELEY_CITATION_v3_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&quot;},{&quot;citationID&quot;:&quot;MENDELEY_CITATION_b38540aa-a84d-48e6-a61c-e01c40a9587a&quot;,&quot;properties&quot;:{&quot;noteIndex&quot;:0},&quot;isEdited&quot;:false,&quot;manualOverride&quot;:{&quot;isManuallyOverridden&quot;:true,&quot;citeprocText&quot;:&quot;(Bakvis et al., 2009)&quot;,&quot;manualOverrideText&quot;:&quot;Bakvis et al. (2009)&quot;},&quot;citationItems&quot;:[{&quot;id&quot;:&quot;3c24f0e1-88ed-3f1b-b500-698f4c348a0f&quot;,&quot;itemData&quot;:{&quot;type&quot;:&quot;article-journal&quot;,&quot;id&quot;:&quot;3c24f0e1-88ed-3f1b-b500-698f4c348a0f&quot;,&quot;title&quot;:&quot;Trauma, stress, and preconscious threat processing in patients with psychogenic nonepileptic seizures&quot;,&quot;author&quot;:[{&quot;family&quot;:&quot;Bakvis&quot;,&quot;given&quot;:&quot;P&quot;,&quot;parse-names&quot;:false,&quot;dropping-particle&quot;:&quot;&quot;,&quot;non-dropping-particle&quot;:&quot;&quot;},{&quot;family&quot;:&quot;Roelofs&quot;,&quot;given&quot;:&quot;K&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Swinkels&quot;,&quot;given&quot;:&quot;W A&quot;,&quot;parse-names&quot;:false,&quot;dropping-particle&quot;:&quot;&quot;,&quot;non-dropping-particle&quot;:&quot;&quot;},{&quot;family&quot;:&quot;Spinhoven&quot;,&quot;given&quot;:&quot;P&quot;,&quot;parse-names&quot;:false,&quot;dropping-particle&quot;:&quot;&quot;,&quot;non-dropping-particle&quot;:&quot;&quot;}],&quot;container-title&quot;:&quot;Epilepsia&quot;,&quot;container-title-short&quot;:&quot;Epilepsia&quot;,&quot;DOI&quot;:&quot;10.1111/j.1528-1167.2008.01862.x&quot;,&quot;ISSN&quot;:&quot;0013-9580&quot;,&quot;PMID&quot;:&quot;19170739&quot;,&quot;issued&quot;:{&quot;date-parts&quot;:[[2009]]},&quot;page&quot;:&quot;1001-1011&quot;,&quot;language&quot;:&quot;eng&quot;,&quot;abstract&quot;:&quot;PURPOSE: Psychogenic nonepileptic seizures (PNES) have long been considered as paroxysmal dissociative symptoms characterized by an alteration of attentional functions caused by severe stress or trauma. Although interpersonal trauma is common in PNES, the proposed relation between trauma and attentional functions remains under explored. We examined the attentional processing of social threat in PNES in relation to interpersonal trauma and acute psychological stress. METHODS: A masked emotional Stroop test, comparing color-naming latencies for backwardly masked angry, neutral, and happy faces, was administered to 19 unmedicated patients with PNES and 20 matched healthy controls, at baseline and in a stress condition. Stress was induced by means of the Trier Social Stress Test and physiologic stress parameters, such as heart rate variability (HRV) and cortisol, were measured throughout the experiment. RESULTS: No group differences related to the acute stress induction were found. Compared to controls, however, patients displayed a positive attentional bias for masked angry faces at baseline, which was correlated to self-reported sexual trauma. Moreover, patients showed lower HRV at baseline and during recovery. DISCUSSION: These findings are suggestive of a state of hypervigilance in patients with PNES. The relation with self-reported trauma, moreover, offers the first evidence linking psychological risk factors to altered information processing in PNES.&quot;,&quot;edition&quot;:&quot;2009/01/28&quot;,&quot;issue&quot;:&quot;5&quot;,&quot;volume&quot;:&quot;50&quot;},&quot;isTemporary&quot;:false}],&quot;citationTag&quot;:&quot;MENDELEY_CITATION_v3_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&quot;},{&quot;citationID&quot;:&quot;MENDELEY_CITATION_ce98e534-f041-44f2-8870-9b931a89b05e&quot;,&quot;properties&quot;:{&quot;noteIndex&quot;:0},&quot;isEdited&quot;:false,&quot;manualOverride&quot;:{&quot;isManuallyOverridden&quot;:false,&quot;citeprocText&quot;:&quot;(Allendorfer et al., 2019; Apazoglou et al., 2017; Maurer et al., 2015; Novakova et al., 2017)&quot;,&quot;manualOverrideText&quot;:&quot;&quot;},&quot;citationItems&quot;:[{&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id&quot;:&quot;9114bc80-72f6-3af5-b0fc-65fb81e62bc1&quot;,&quot;itemData&quot;:{&quot;type&quot;:&quot;article-journal&quot;,&quot;id&quot;:&quot;9114bc80-72f6-3af5-b0fc-65fb81e62bc1&quot;,&quot;title&quot;:&quot;A biological measure of stress levels in patients with functional movement disorders&quot;,&quot;author&quot;:[{&quot;family&quot;:&quot;Maurer&quot;,&quot;given&quot;:&quot;Carine W&quot;,&quot;parse-names&quot;:false,&quot;dropping-particle&quot;:&quot;&quot;,&quot;non-dropping-particle&quot;:&quot;&quot;},{&quot;family&quot;:&quot;LaFaver&quot;,&quot;given&quot;:&quot;Kathrin&quot;,&quot;parse-names&quot;:false,&quot;dropping-particle&quot;:&quot;&quot;,&quot;non-dropping-particle&quot;:&quot;&quot;},{&quot;family&quot;:&quot;Ameli&quot;,&quot;given&quot;:&quot;Rezvan&quot;,&quot;parse-names&quot;:false,&quot;dropping-particle&quot;:&quot;&quot;,&quot;non-dropping-particle&quot;:&quot;&quot;},{&quot;family&quot;:&quot;Toledo&quot;,&quot;given&quot;:&quot;Ryan&quot;,&quot;parse-names&quot;:false,&quot;dropping-particle&quot;:&quot;&quot;,&quot;non-dropping-particle&quot;:&quot;&quot;},{&quot;family&quot;:&quot;Hallett&quot;,&quot;given&quot;:&quot;Mark&quot;,&quot;parse-names&quot;:false,&quot;dropping-particle&quot;:&quot;&quot;,&quot;non-dropping-particle&quot;:&quot;&quot;}],&quot;container-title&quot;:&quot;Parkinsonism &amp; related disorders&quot;,&quot;container-title-short&quot;:&quot;Parkinsonism Relat Disord&quot;,&quot;DOI&quot;:&quot;10.1016/j.parkreldis.2015.06.017&quot;,&quot;ISSN&quot;:&quot;1873-5126\r1353-8020&quot;,&quot;PMID&quot;:&quot;26117436&quot;,&quot;URL&quot;:&quot;https://pubmed.ncbi.nlm.nih.gov/26117436&quot;,&quot;issued&quot;:{&quot;date-parts&quot;:[[2015]]},&quot;page&quot;:&quot;1072-1075&quot;,&quot;language&quot;:&quot;eng&quot;,&quot;abstract&quot;:&quot;INTRODUCTION: While the presence of co-existing psychological stressors has historically been used as a supportive factor in the diagnosis of functional neurological disorders, many patients with functional neurological disorders deny the presence of these stressors. The stress response circuitry in these patients remains largely unexplored. METHODS: We performed an observational study examining biological stress levels in patients with functional movement disorders as compared with matched healthy controls. Specifically, we compared levels of circulating cortisol, the end-product of the hypothalamic-pituitary-adrenal axis. Salivary cortisol samples were collected from patients with \&quot;clinically definite\&quot; functional movement disorders (n = 33) and their age- and sex-matched controls (n = 33). Collections were performed at five standardized time points, reflecting participants' diurnal cortisol cycles. To rule out confounders, participants also underwent extensive psychological assessment including Structured Clinical Interview for Diagnostic and Statistical Manual of Mental Disorders, Hamilton Anxiety Rating Scale, and Hamilton Rating Scale for Depression. RESULTS: Patients with functional movement disorders did not differ from matched controls with respect to levels of circulating cortisol. CONCLUSION: We demonstrate that current stress levels are not altered in patients with functional movement disorders. Our results warrant careful review of current management of patients with functional neurological symptoms, and suggest that the insistence on heightened stress levels in these patients is unjustified.&quot;,&quot;edition&quot;:&quot;2015/06/21&quot;,&quot;issue&quot;:&quot;9&quot;,&quot;volume&quot;:&quot;21&quot;},&quot;isTemporary&quot;:false},{&quot;id&quot;:&quot;d6067ae8-0b9d-326f-b78b-8e4a23ee68a2&quot;,&quot;itemData&quot;:{&quot;type&quot;:&quot;article-journal&quot;,&quot;id&quot;:&quot;d6067ae8-0b9d-326f-b78b-8e4a23ee68a2&quot;,&quot;title&quot;:&quot;Diurnal patterns and relationships between physiological and self-reported stress in patients with epilepsy and psychogenic non-epileptic seizures&quot;,&quot;author&quot;:[{&quot;family&quot;:&quot;Novakova&quot;,&quot;given&quot;:&quot;B&quot;,&quot;parse-names&quot;:false,&quot;dropping-particle&quot;:&quot;&quot;,&quot;non-dropping-particle&quot;:&quot;&quot;},{&quot;family&quot;:&quot;Harris&quot;,&quot;given&quot;:&quot;P R&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7.03.006&quot;,&quot;ISSN&quot;:&quot;1525-5050&quot;,&quot;PMID&quot;:&quot;28432961&quot;,&quot;issued&quot;:{&quot;date-parts&quot;:[[2017]]},&quot;page&quot;:&quot;204-211&quot;,&quot;language&quot;:&quot;eng&quot;,&quot;abstract&quot;:&quot;PURPOSE: Patients with epilepsy and those with psychogenic non-epileptic seizures (PNES) experience high levels of stress and stress is one of the most frequently self-identified seizure precipitants. Although stress is a multifaceted phenomenon, few studies have systematically examined its different components in patients with seizures. The aim of this study was therefore to describe diurnal patterns of psychological and physiological measures of stress in patients with epilepsy and patients with PNES, and explore their relationships to each other in order to improve our understanding of the mechanisms underlying stress and seizure occurrence in these patients. METHOD: A range of stress markers including self-reported stress, salivary cortisol, and heart rate variability (HRV) were explored in adult patients with refractory epilepsy (N=22) and those with PNES (N=23) undergoing three- to five-day video-telemetry. RESULTS: A diurnal pattern was observed in the physiological measures, characterized by higher levels of physiological arousal in the mornings and lower levels at night in both patients with epilepsy and PNES. The physiological measures (cortisol and HRV) were associated with each other in patients with epilepsy; no close relationship was found with self-reported stress in either of the two patient groups. CONCLUSION: The findings contribute to and expand on previous studies of the patterns of stress in patients with seizures. The results also indicate a discrepancy between patients' physiological responses and their subjective stress perceptions, suggesting that simple self-reports cannot be used as a proxy of physiological arousal in patients with seizures and stress. Stress in these patient groups should be studied using a combination of complementary measures.&quot;,&quot;edition&quot;:&quot;2017/04/23&quot;,&quot;issue&quot;:&quot;Pt A&quot;,&quot;volume&quot;:&quot;70&quot;,&quot;container-title-short&quot;:&quot;&quot;},&quot;isTemporary&quot;:false}],&quot;citationTag&quot;:&quot;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&quot;},{&quot;citationID&quot;:&quot;MENDELEY_CITATION_4b475660-7c69-40a1-95bd-30c3c45504ed&quot;,&quot;properties&quot;:{&quot;noteIndex&quot;:0},&quot;isEdited&quot;:false,&quot;manualOverride&quot;:{&quot;isManuallyOverridden&quot;:true,&quot;citeprocText&quot;:&quot;(Pick et al., 2018)&quot;,&quot;manualOverrideText&quot;:&quot;(Pick et al., 2018a)&quot;},&quot;citationItems&quot;:[{&quot;id&quot;:&quot;86566697-1b64-318c-a326-c7e05239587b&quot;,&quot;itemData&quot;:{&quot;type&quot;:&quot;article-journal&quot;,&quot;id&quot;:&quot;86566697-1b64-318c-a326-c7e05239587b&quot;,&quot;title&quot;:&quot;Autonomic and subjective responsivity to emotional images in people with dissociative seizures&quot;,&quot;author&quot;:[{&quot;family&quot;:&quot;Pick&quot;,&quot;given&quot;:&quot;S&quot;,&quot;parse-names&quot;:false,&quot;dropping-particle&quot;:&quot;&quot;,&quot;non-dropping-particle&quot;:&quot;&quot;},{&quot;family&quot;:&quot;Mellers&quot;,&quot;given&quot;:&quot;J D C&quot;,&quot;parse-names&quot;:false,&quot;dropping-particle&quot;:&quot;&quot;,&quot;non-dropping-particle&quot;:&quot;&quot;},{&quot;family&quot;:&quot;Goldstein&quot;,&quot;given&quot;:&quot;L H&quot;,&quot;parse-names&quot;:false,&quot;dropping-particle&quot;:&quot;&quot;,&quot;non-dropping-particle&quot;:&quot;&quot;}],&quot;container-title&quot;:&quot;J Neuropsychol&quot;,&quot;DOI&quot;:&quot;10.1111/jnp.12144&quot;,&quot;ISSN&quot;:&quot;1748-6645 (Print)\r1748-6645&quot;,&quot;PMID&quot;:&quot;29285879&quot;,&quot;issued&quot;:{&quot;date-parts&quot;:[[2018]]},&quot;page&quot;:&quot;341-355&quot;,&quot;language&quot;:&quot;eng&quot;,&quot;abstract&quot;:&quot;People with dissociative seizures (DS) report a range of difficulties in emotional functioning and exhibit altered responding to emotional facial expressions in experimental tasks. We extended this research by investigating subjective and autonomic reactivity (ratings of emotional valence, arousal and skin conductance responses [SCRs]) to general emotional images in 39 people with DS relative to 42 healthy control participants, whilst controlling for anxiety, depression, cognitive functioning and, where relevant, medication use. It was predicted that greater subjective negativity and arousal and increased SCRs in response to the affective pictures would be observed in the DS group. The DS group as a whole did not differ from controls in their subjective responses of valence and arousal. However, SCR amplitudes were greater in 'autonomic responders' with DS relative to 'autonomic responders' in the control group. A positive correlation was also observed between SCRs for highly arousing negative pictures and self-reported ictal autonomic arousal, in DS 'autonomic responders'. In the DS subgroup of autonomic 'non-responders', differences in subjective responses were observed for some conditions, compared to control 'non-responders'. The findings indicate unaffected subjective responses to emotional images in people with DS overall. However, within the group of people with DS, there may be subgroups characterized by differences in emotional responding. One subgroup (i.e., 'autonomic responders') exhibit heightened autonomic responses but intact subjective emotional experience, whilst another subgroup (i.e., 'autonomic non-responders') seem to experience greater subjective negativity and arousal for some emotional stimuli, despite less frequent autonomic reactions. The current results suggest that therapeutic interventions targeting awareness and regulation of physiological arousal and subjective emotional experience could be of value in some people with this disorder.&quot;,&quot;edition&quot;:&quot;2017/12/30&quot;,&quot;issue&quot;:&quot;2&quot;,&quot;volume&quot;:&quot;12&quot;,&quot;container-title-short&quot;:&quot;&quot;},&quot;isTemporary&quot;:false}],&quot;citationTag&quot;:&quot;MENDELEY_CITATION_v3_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&quot;},{&quot;citationID&quot;:&quot;MENDELEY_CITATION_6b83f6b0-982a-46a4-a0fd-73550a8e6f9b&quot;,&quot;properties&quot;:{&quot;noteIndex&quot;:0},&quot;isEdited&quot;:false,&quot;manualOverride&quot;:{&quot;isManuallyOverridden&quot;:false,&quot;citeprocText&quot;:&quot;(Apazoglou et al., 2017)&quot;,&quot;manualOverrideText&quot;:&quot;&quot;},&quot;citationItems&quot;:[{&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citationTag&quot;:&quot;MENDELEY_CITATION_v3_eyJjaXRhdGlvbklEIjoiTUVOREVMRVlfQ0lUQVRJT05fNmI4M2Y2YjAtOTgyYS00NmE0LWEwZmQtNzM1NTBhOGU2ZjliIiwicHJvcGVydGllcyI6eyJub3RlSW5kZXgiOjB9LCJpc0VkaXRlZCI6ZmFsc2UsIm1hbnVhbE92ZXJyaWRlIjp7ImlzTWFudWFsbHlPdmVycmlkZGVuIjpmYWxzZSwiY2l0ZXByb2NUZXh0IjoiKEFwYXpvZ2xvdSBldCBhbC4sIDIwMTcpIiwibWFudWFsT3ZlcnJpZGVUZXh0IjoiIn0sImNpdGF0aW9uSXRlbXMiOlt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XX0=&quot;},{&quot;citationID&quot;:&quot;MENDELEY_CITATION_e9e66a58-90b0-4145-abd8-827f66a3d78c&quot;,&quot;properties&quot;:{&quot;noteIndex&quot;:0},&quot;isEdited&quot;:false,&quot;manualOverride&quot;:{&quot;isManuallyOverridden&quot;:false,&quot;citeprocText&quot;:&quot;(Maurer et al., 2015)&quot;,&quot;manualOverrideText&quot;:&quot;&quot;},&quot;citationItems&quot;:[{&quot;id&quot;:&quot;9114bc80-72f6-3af5-b0fc-65fb81e62bc1&quot;,&quot;itemData&quot;:{&quot;type&quot;:&quot;article-journal&quot;,&quot;id&quot;:&quot;9114bc80-72f6-3af5-b0fc-65fb81e62bc1&quot;,&quot;title&quot;:&quot;A biological measure of stress levels in patients with functional movement disorders&quot;,&quot;author&quot;:[{&quot;family&quot;:&quot;Maurer&quot;,&quot;given&quot;:&quot;Carine W&quot;,&quot;parse-names&quot;:false,&quot;dropping-particle&quot;:&quot;&quot;,&quot;non-dropping-particle&quot;:&quot;&quot;},{&quot;family&quot;:&quot;LaFaver&quot;,&quot;given&quot;:&quot;Kathrin&quot;,&quot;parse-names&quot;:false,&quot;dropping-particle&quot;:&quot;&quot;,&quot;non-dropping-particle&quot;:&quot;&quot;},{&quot;family&quot;:&quot;Ameli&quot;,&quot;given&quot;:&quot;Rezvan&quot;,&quot;parse-names&quot;:false,&quot;dropping-particle&quot;:&quot;&quot;,&quot;non-dropping-particle&quot;:&quot;&quot;},{&quot;family&quot;:&quot;Toledo&quot;,&quot;given&quot;:&quot;Ryan&quot;,&quot;parse-names&quot;:false,&quot;dropping-particle&quot;:&quot;&quot;,&quot;non-dropping-particle&quot;:&quot;&quot;},{&quot;family&quot;:&quot;Hallett&quot;,&quot;given&quot;:&quot;Mark&quot;,&quot;parse-names&quot;:false,&quot;dropping-particle&quot;:&quot;&quot;,&quot;non-dropping-particle&quot;:&quot;&quot;}],&quot;container-title&quot;:&quot;Parkinsonism &amp; related disorders&quot;,&quot;container-title-short&quot;:&quot;Parkinsonism Relat Disord&quot;,&quot;DOI&quot;:&quot;10.1016/j.parkreldis.2015.06.017&quot;,&quot;ISSN&quot;:&quot;1873-5126\r1353-8020&quot;,&quot;PMID&quot;:&quot;26117436&quot;,&quot;URL&quot;:&quot;https://pubmed.ncbi.nlm.nih.gov/26117436&quot;,&quot;issued&quot;:{&quot;date-parts&quot;:[[2015]]},&quot;page&quot;:&quot;1072-1075&quot;,&quot;language&quot;:&quot;eng&quot;,&quot;abstract&quot;:&quot;INTRODUCTION: While the presence of co-existing psychological stressors has historically been used as a supportive factor in the diagnosis of functional neurological disorders, many patients with functional neurological disorders deny the presence of these stressors. The stress response circuitry in these patients remains largely unexplored. METHODS: We performed an observational study examining biological stress levels in patients with functional movement disorders as compared with matched healthy controls. Specifically, we compared levels of circulating cortisol, the end-product of the hypothalamic-pituitary-adrenal axis. Salivary cortisol samples were collected from patients with \&quot;clinically definite\&quot; functional movement disorders (n = 33) and their age- and sex-matched controls (n = 33). Collections were performed at five standardized time points, reflecting participants' diurnal cortisol cycles. To rule out confounders, participants also underwent extensive psychological assessment including Structured Clinical Interview for Diagnostic and Statistical Manual of Mental Disorders, Hamilton Anxiety Rating Scale, and Hamilton Rating Scale for Depression. RESULTS: Patients with functional movement disorders did not differ from matched controls with respect to levels of circulating cortisol. CONCLUSION: We demonstrate that current stress levels are not altered in patients with functional movement disorders. Our results warrant careful review of current management of patients with functional neurological symptoms, and suggest that the insistence on heightened stress levels in these patients is unjustified.&quot;,&quot;edition&quot;:&quot;2015/06/21&quot;,&quot;issue&quot;:&quot;9&quot;,&quot;volume&quot;:&quot;21&quot;},&quot;isTemporary&quot;:false}],&quot;citationTag&quot;:&quot;MENDELEY_CITATION_v3_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&quot;},{&quot;citationID&quot;:&quot;MENDELEY_CITATION_b76cc510-8bd3-444d-afc4-0b537f3a0a32&quot;,&quot;properties&quot;:{&quot;noteIndex&quot;:0},&quot;isEdited&quot;:false,&quot;manualOverride&quot;:{&quot;isManuallyOverridden&quot;:true,&quot;citeprocText&quot;:&quot;(Ricciardi et al., 2016)&quot;,&quot;manualOverrideText&quot;:&quot;Ricciardi et al. (2016)&quot;},&quot;citationItems&quot;:[{&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citationTag&quot;:&quot;MENDELEY_CITATION_v3_eyJjaXRhdGlvbklEIjoiTUVOREVMRVlfQ0lUQVRJT05fYjc2Y2M1MTAtOGJkMy00NDRkLWFmYzQtMGI1MzdmM2EwYTMyIiwicHJvcGVydGllcyI6eyJub3RlSW5kZXgiOjB9LCJpc0VkaXRlZCI6ZmFsc2UsIm1hbnVhbE92ZXJyaWRlIjp7ImlzTWFudWFsbHlPdmVycmlkZGVuIjp0cnVlLCJjaXRlcHJvY1RleHQiOiIoUmljY2lhcmRpIGV0IGFsLiwgMjAxNikiLCJtYW51YWxPdmVycmlkZVRleHQiOiJSaWNjaWFyZGkgZXQgYWwuICgyMDE2KSJ9LCJjaXRhdGlvbkl0ZW1zIjpb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V19&quot;},{&quot;citationID&quot;:&quot;MENDELEY_CITATION_006cf608-3d28-45d3-a8a0-5460f3264450&quot;,&quot;properties&quot;:{&quot;noteIndex&quot;:0},&quot;isEdited&quot;:false,&quot;manualOverride&quot;:{&quot;isManuallyOverridden&quot;:true,&quot;citeprocText&quot;:&quot;(I. A. Williams et al., 2021)&quot;,&quot;manualOverrideText&quot;:&quot;I. A. Williams et al. (2021)&quot;},&quot;citationItems&quot;:[{&quot;id&quot;:&quot;b70aa524-e3f4-36bb-8d7e-d4df2e3d816e&quot;,&quot;itemData&quot;:{&quot;type&quot;:&quot;article-journal&quot;,&quot;id&quot;:&quot;b70aa524-e3f4-36bb-8d7e-d4df2e3d816e&quot;,&quot;title&quot;:&quot;Interoception and stress in patients with Functional Neurological Symptom Disorder&quot;,&quot;author&quot;:[{&quot;family&quot;:&quot;Williams&quot;,&quot;given&quot;:&quot;Isobel A&quot;,&quot;parse-names&quot;:false,&quot;dropping-particle&quot;:&quot;&quot;,&quot;non-dropping-particle&quot;:&quot;&quot;},{&quot;family&quot;:&quot;Reuber&quot;,&quot;given&quot;:&quot;Markus&quot;,&quot;parse-names&quot;:false,&quot;dropping-particle&quot;:&quot;&quot;,&quot;non-dropping-particle&quot;:&quot;&quot;},{&quot;family&quot;:&quot;Levita&quot;,&quot;given&quot;:&quot;Liat&quot;,&quot;parse-names&quot;:false,&quot;dropping-particle&quot;:&quot;&quot;,&quot;non-dropping-particle&quot;:&quot;&quot;}],&quot;container-title&quot;:&quot;Cognitive Neuropsychiatry&quot;,&quot;container-title-short&quot;:&quot;Cogn Neuropsychiatry&quot;,&quot;DOI&quot;:&quot;10.1080/13546805.2020.1865895&quot;,&quot;ISSN&quot;:&quot;1354-6805&quot;,&quot;issued&quot;:{&quot;date-parts&quot;:[[2021]]},&quot;page&quot;:&quot;75-94&quot;,&quot;publisher&quot;:&quot;Informa UK Limited&quot;,&quot;issue&quot;:&quot;2&quot;,&quot;volume&quot;:&quot;26&quot;},&quot;isTemporary&quot;:false}],&quot;citationTag&quot;:&quot;MENDELEY_CITATION_v3_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&quot;},{&quot;citationID&quot;:&quot;MENDELEY_CITATION_daaffb11-e4c8-4618-98ef-a15f8d10bdac&quot;,&quot;properties&quot;:{&quot;noteIndex&quot;:0},&quot;isEdited&quot;:false,&quot;manualOverride&quot;:{&quot;isManuallyOverridden&quot;:true,&quot;citeprocText&quot;:&quot;(Kotwas et al., 2019)&quot;,&quot;manualOverrideText&quot;:&quot;Kotwas et al. (2019)&quot;},&quot;citationItems&quot;:[{&quot;id&quot;:&quot;281a6a8d-6d51-3726-9d25-5158d10cefa7&quot;,&quot;itemData&quot;:{&quot;type&quot;:&quot;article-journal&quot;,&quot;id&quot;:&quot;281a6a8d-6d51-3726-9d25-5158d10cefa7&quot;,&quot;title&quot;:&quot;Subjective and physiological response to emotions in temporal lobe epilepsy and psychogenic non-epileptic seizures&quot;,&quot;author&quot;:[{&quot;family&quot;:&quot;Kotwas&quot;,&quot;given&quot;:&quot;I&quot;,&quot;parse-names&quot;:false,&quot;dropping-particle&quot;:&quot;&quot;,&quot;non-dropping-particle&quot;:&quot;&quot;},{&quot;family&quot;:&quot;Micoulaud-Franchi&quot;,&quot;given&quot;:&quot;J A&quot;,&quot;parse-names&quot;:false,&quot;dropping-particle&quot;:&quot;&quot;,&quot;non-dropping-particle&quot;:&quot;&quot;},{&quot;family&quot;:&quot;Khalfa&quot;,&quot;given&quot;:&quot;S&quot;,&quot;parse-names&quot;:false,&quot;dropping-particle&quot;:&quot;&quot;,&quot;non-dropping-particle&quot;:&quot;&quot;},{&quot;family&quot;:&quot;McGonigal&quot;,&quot;given&quot;:&quot;A&quot;,&quot;parse-names&quot;:false,&quot;dropping-particle&quot;:&quot;&quot;,&quot;non-dropping-particle&quot;:&quot;&quot;},{&quot;family&quot;:&quot;Bastien-Toniazzo&quot;,&quot;given&quot;:&quot;M&quot;,&quot;parse-names&quot;:false,&quot;dropping-particle&quot;:&quot;&quot;,&quot;non-dropping-particle&quot;:&quot;&quot;},{&quot;family&quot;:&quot;Bartolomei&quot;,&quot;given&quot;:&quot;F&quot;,&quot;parse-names&quot;:false,&quot;dropping-particle&quot;:&quot;&quot;,&quot;non-dropping-particle&quot;:&quot;&quot;}],&quot;container-title&quot;:&quot;J Affect Disord&quot;,&quot;DOI&quot;:&quot;10.1016/j.jad.2018.10.004&quot;,&quot;ISSN&quot;:&quot;0165-0327&quot;,&quot;PMID&quot;:&quot;30312840&quot;,&quot;issued&quot;:{&quot;date-parts&quot;:[[2019]]},&quot;page&quot;:&quot;46-53&quot;,&quot;language&quot;:&quot;eng&quot;,&quot;abstract&quot;:&quot;BACKGROUND: Temporal lobe epilepsy (TLE) and psychogenic non-epileptic seizures (PNES) are conditions frequently associated with dysfunction in emotional regulation leading to increased risk of affective disorders. This study investigates emotional processing with an objective measure of emotional reactivity in patients with TLE and patients with PNES. METHODS: 34 patients with TLE and 14 patients with PNES were evaluated on skin conductance responses (SCR) to emotions induced by short films and compared to 34 healthy controls. An attention and a suppression condition were performed while viewing the films. RESULTS: The both groups of patients disclosed lower SCR to emotions compared to controls, mainly in suppression condition. While TLE patients had lower SCR in attention condition than controls for fear, sadness and happiness, PNES had lower SCR only for happiness. In suppression condition, both had lower SCR than controls except for peacefulness in both groups and sadness in PNES. Subjective evaluations revealed that both patient's groups scored a higher intensity for sadness than controls in attention and lower for in fear and disgust in suppression only in TLE. LIMITATIONS: The sample size in the PNES group and the lack of a control group with similar levels of mood symptoms limited the interpretation of our results. CONCLUSION: As no correlation were found between SCR to emotions and scores of affective disorders, this pattern of responses might be underpinned by specific pathophysiological and cognitive mechanisms related to TLE and to PNES. Thus, therapeutic approaches targeting emotional autonomic responses can be of interest in the management of these conditions.&quot;,&quot;edition&quot;:&quot;2018/10/13&quot;,&quot;volume&quot;:&quot;244&quot;,&quot;container-title-short&quot;:&quot;&quot;},&quot;isTemporary&quot;:false}],&quot;citationTag&quot;:&quot;MENDELEY_CITATION_v3_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&quot;},{&quot;citationID&quot;:&quot;MENDELEY_CITATION_66f9a181-51b8-4acd-ab69-8c3867d08bbd&quot;,&quot;properties&quot;:{&quot;noteIndex&quot;:0},&quot;isEdited&quot;:false,&quot;manualOverride&quot;:{&quot;isManuallyOverridden&quot;:true,&quot;citeprocText&quot;:&quot;(Herrero et al., 2020)&quot;,&quot;manualOverrideText&quot;:&quot;Herrero et al. (2020)&quot;},&quot;citationItems&quot;:[{&quot;id&quot;:&quot;995facf9-645e-3520-9042-ab779afb2473&quot;,&quot;itemData&quot;:{&quot;type&quot;:&quot;article-journal&quot;,&quot;id&quot;:&quot;995facf9-645e-3520-9042-ab779afb2473&quot;,&quot;title&quot;:&quot;Skin conductance response and emotional response in women with psychogenic non-epileptic seizures&quot;,&quot;author&quot;:[{&quot;family&quot;:&quot;Herrero&quot;,&quot;given&quot;:&quot;Hugo&quot;,&quot;parse-names&quot;:false,&quot;dropping-particle&quot;:&quot;&quot;,&quot;non-dropping-particle&quot;:&quot;&quot;},{&quot;family&quot;:&quot;Tarrada&quot;,&quot;given&quot;:&quot;Alexis&quot;,&quot;parse-names&quot;:false,&quot;dropping-particle&quot;:&quot;&quot;,&quot;non-dropping-particle&quot;:&quot;&quot;},{&quot;family&quot;:&quot;Haffen&quot;,&quot;given&quot;:&quot;Emmanuel&quot;,&quot;parse-names&quot;:false,&quot;dropping-particle&quot;:&quot;&quot;,&quot;non-dropping-particle&quot;:&quot;&quot;},{&quot;family&quot;:&quot;Mignot&quot;,&quot;given&quot;:&quot;Thibault&quot;,&quot;parse-names&quot;:false,&quot;dropping-particle&quot;:&quot;&quot;,&quot;non-dropping-particle&quot;:&quot;&quot;},{&quot;family&quot;:&quot;Sense&quot;,&quot;given&quot;:&quot;Charlotte&quot;,&quot;parse-names&quot;:false,&quot;dropping-particle&quot;:&quot;&quot;,&quot;non-dropping-particle&quot;:&quot;&quot;},{&quot;family&quot;:&quot;Schwan&quot;,&quot;given&quot;:&quot;Raymund&quot;,&quot;parse-names&quot;:false,&quot;dropping-particle&quot;:&quot;&quot;,&quot;non-dropping-particle&quot;:&quot;&quot;},{&quot;family&quot;:&quot;El-Hage&quot;,&quot;given&quot;:&quot;Wissam&quot;,&quot;parse-names&quot;:false,&quot;dropping-particle&quot;:&quot;&quot;,&quot;non-dropping-particle&quot;:&quot;&quot;},{&quot;family&quot;:&quot;Maillard&quot;,&quot;given&quot;:&quot;Louis&quot;,&quot;parse-names&quot;:false,&quot;dropping-particle&quot;:&quot;&quot;,&quot;non-dropping-particle&quot;:&quot;&quot;},{&quot;family&quot;:&quot;Hingray&quot;,&quot;given&quot;:&quot;Coraline&quot;,&quot;parse-names&quot;:false,&quot;dropping-particle&quot;:&quot;&quot;,&quot;non-dropping-particle&quot;:&quot;&quot;}],&quot;container-title&quot;:&quot;Seizure&quot;,&quot;container-title-short&quot;:&quot;Seizure&quot;,&quot;DOI&quot;:&quot;https://doi.org/10.1016/j.seizure.2020.07.028&quot;,&quot;ISSN&quot;:&quot;1059-1311&quot;,&quot;URL&quot;:&quot;http://www.sciencedirect.com/science/article/pii/S105913112030234X&quot;,&quot;issued&quot;:{&quot;date-parts&quot;:[[2020]]},&quot;page&quot;:&quot;123-131&quot;,&quot;abstract&quot;:&quot;Purpose Recent etiopathogenic models place emotional dysregulation at the core of psychogenic nonepileptic seizure (PNES). Our purpose was to assess physiological, cognitive, and behavioral emotional responses of PNES patients. Methods This study compared three types of emotional responses to visual emotional stimuli between 34 female PNES group and 34 matched healthy controls: physiological response measured by skin conductance response (SCR) (rate, amplitude and latency) and heart rate deceleration; cognitive response measured by valence and arousal elicited by the images; and behavioural response measured by latency of ratings. The groups were characterized on psychiatric comorbidities, traumatic history, alexithymia, and dissociation. Results Compared to controls, PNES group displayed lower SCR for all images (p = 0.038), shorter amplitude of heart rate deceleration (p = 0.024) and faster arousal rating for all images (p = 0.019), but no difference on cognitive rating of images. Within-groups analyses showed only in PNES subjects increased rate (+19.35%, p = 0.046) SCR for negative stimuli with strong arousal compared to negative with low arousal. PNES physiological response (SCR and heart rate deceleration) was negatively correlated to dissociation tendency (r=-0.48, p = 0.0083) and alexithymia (r=-0.44, p = 0.012)). For cognitive response, no correlation was found. Conclusion These results are in favour of a lower physiological emotional response but with an over-reactivity at behavioral level contrasting with similar cognitive assessment. For strong aversive stimuli, PNES might present a trend to overreact at physiological and behavioural levels. Our results suggest that dissociation and difficulty in describing feelings are associated with an altered physiological response in PNES women only.&quot;,&quot;volume&quot;:&quot;81&quot;},&quot;isTemporary&quot;:false}],&quot;citationTag&quot;:&quot;MENDELEY_CITATION_v3_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&quot;},{&quot;citationID&quot;:&quot;MENDELEY_CITATION_47297e9d-c36a-4a7a-9de7-662a7083432a&quot;,&quot;properties&quot;:{&quot;noteIndex&quot;:0},&quot;isEdited&quot;:false,&quot;manualOverride&quot;:{&quot;isManuallyOverridden&quot;:true,&quot;citeprocText&quot;:&quot;(Pareés et al., 2012)&quot;,&quot;manualOverrideText&quot;:&quot;Pareés et al. (2012)&quot;},&quot;citationItems&quot;:[{&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citationTag&quot;:&quot;MENDELEY_CITATION_v3_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&quot;},{&quot;citationID&quot;:&quot;MENDELEY_CITATION_dc00d767-1b12-4be3-b36b-a3c2ba8e88ed&quot;,&quot;properties&quot;:{&quot;noteIndex&quot;:0},&quot;isEdited&quot;:false,&quot;manualOverride&quot;:{&quot;isManuallyOverridden&quot;:true,&quot;citeprocText&quot;:&quot;(Kramer et al., 2019)&quot;,&quot;manualOverrideText&quot;:&quot;Kramer et al. (2019)&quot;},&quot;citationItems&quot;:[{&quot;id&quot;:&quot;f2d0289a-19de-36ed-b70b-3b54690ef958&quot;,&quot;itemData&quot;:{&quot;type&quot;:&quot;article-journal&quot;,&quot;id&quot;:&quot;f2d0289a-19de-36ed-b70b-3b54690ef958&quot;,&quot;title&quot;:&quot;Similar association between objective and subjective symptoms in functional and organic tremor&quot;,&quot;author&quot;:[{&quot;family&quot;:&quot;Kramer&quot;,&quot;given&quot;:&quot;Gerrit&quot;,&quot;parse-names&quot;:false,&quot;dropping-particle&quot;:&quot;&quot;,&quot;non-dropping-particle&quot;:&quot;&quot;},{&quot;family&quot;:&quot;Dominguez-Vega&quot;,&quot;given&quot;:&quot;Zeus T&quot;,&quot;parse-names&quot;:false,&quot;dropping-particle&quot;:&quot;&quot;,&quot;non-dropping-particle&quot;:&quot;&quot;},{&quot;family&quot;:&quot;Laarhoven&quot;,&quot;given&quot;:&quot;Heleen S A&quot;,&quot;parse-names&quot;:false,&quot;dropping-particle&quot;:&quot;&quot;,&quot;non-dropping-particle&quot;:&quot;&quot;},{&quot;family&quot;:&quot;Brandsma&quot;,&quot;given&quot;:&quot;Rick&quot;,&quot;parse-names&quot;:false,&quot;dropping-particle&quot;:&quot;&quot;,&quot;non-dropping-particle&quot;:&quot;&quot;},{&quot;family&quot;:&quot;Smit&quot;,&quot;given&quot;:&quot;Marenka&quot;,&quot;parse-names&quot;:false,&quot;dropping-particle&quot;:&quot;&quot;,&quot;non-dropping-particle&quot;:&quot;&quot;},{&quot;family&quot;:&quot;Stouwe&quot;,&quot;given&quot;:&quot;A M Madelein&quot;,&quot;parse-names&quot;:false,&quot;dropping-particle&quot;:&quot;&quot;,&quot;non-dropping-particle&quot;:&quot;van der&quot;},{&quot;family&quot;:&quot;Elting&quot;,&quot;given&quot;:&quot;Jan Willem J&quot;,&quot;parse-names&quot;:false,&quot;dropping-particle&quot;:&quot;&quot;,&quot;non-dropping-particle&quot;:&quot;&quot;},{&quot;family&quot;:&quot;Maurits&quot;,&quot;given&quot;:&quot;Natasha M&quot;,&quot;parse-names&quot;:false,&quot;dropping-particle&quot;:&quot;&quot;,&quot;non-dropping-particle&quot;:&quot;&quot;},{&quot;family&quot;:&quot;Rosmalen&quot;,&quot;given&quot;:&quot;Judith G M&quot;,&quot;parse-names&quot;:false,&quot;dropping-particle&quot;:&quot;&quot;,&quot;non-dropping-particle&quot;:&quot;&quot;},{&quot;family&quot;:&quot;Tijssen&quot;,&quot;given&quot;:&quot;Marina A J&quot;,&quot;parse-names&quot;:false,&quot;dropping-particle&quot;:&quot;&quot;,&quot;non-dropping-particle&quot;:&quot;&quot;}],&quot;container-title&quot;:&quot;Parkinsonism &amp; related disorders&quot;,&quot;container-title-short&quot;:&quot;Parkinsonism Relat Disord&quot;,&quot;DOI&quot;:&quot;10.1016/j.parkreldis.2019.05.026&quot;,&quot;ISSN&quot;:&quot;1353-8020&quot;,&quot;URL&quot;:&quot;https://doi.org/10.1016/j.parkreldis.2019.05.026&quot;,&quot;issued&quot;:{&quot;date-parts&quot;:[[2019]]},&quot;page&quot;:&quot;2-7&quot;,&quot;abstract&quot;:&quot;BackgroundA previous study reported a dramatic mismatch in objectively detected and self-reported tremor duration in patients with functional tremor. As these findings have an important and widespread impact in both clinical care and research, we conducted a validation study with a longer study duration and a larger sample of patients.&quot;,&quot;publisher&quot;:&quot;Elsevier&quot;,&quot;volume&quot;:&quot;64&quot;},&quot;isTemporary&quot;:false}],&quot;citationTag&quot;:&quot;MENDELEY_CITATION_v3_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&quot;},{&quot;citationID&quot;:&quot;MENDELEY_CITATION_75f5a4f1-b56c-4eb2-8794-d7636f6f7a0a&quot;,&quot;properties&quot;:{&quot;noteIndex&quot;:0},&quot;isEdited&quot;:false,&quot;manualOverride&quot;:{&quot;isManuallyOverridden&quot;:true,&quot;citeprocText&quot;:&quot;(Pareés et al., 2012)&quot;,&quot;manualOverrideText&quot;:&quot;Pareés et al. (2012)&quot;},&quot;citationItems&quot;:[{&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citationTag&quot;:&quot;MENDELEY_CITATION_v3_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&quot;},{&quot;citationID&quot;:&quot;MENDELEY_CITATION_e5e95a1b-5724-455b-bb83-5449113508ef&quot;,&quot;properties&quot;:{&quot;noteIndex&quot;:0},&quot;isEdited&quot;:false,&quot;manualOverride&quot;:{&quot;isManuallyOverridden&quot;:true,&quot;citeprocText&quot;:&quot;(Kramer et al., 2019)&quot;,&quot;manualOverrideText&quot;:&quot;Kramer et al. (2019)&quot;},&quot;citationItems&quot;:[{&quot;id&quot;:&quot;f2d0289a-19de-36ed-b70b-3b54690ef958&quot;,&quot;itemData&quot;:{&quot;type&quot;:&quot;article-journal&quot;,&quot;id&quot;:&quot;f2d0289a-19de-36ed-b70b-3b54690ef958&quot;,&quot;title&quot;:&quot;Similar association between objective and subjective symptoms in functional and organic tremor&quot;,&quot;author&quot;:[{&quot;family&quot;:&quot;Kramer&quot;,&quot;given&quot;:&quot;Gerrit&quot;,&quot;parse-names&quot;:false,&quot;dropping-particle&quot;:&quot;&quot;,&quot;non-dropping-particle&quot;:&quot;&quot;},{&quot;family&quot;:&quot;Dominguez-Vega&quot;,&quot;given&quot;:&quot;Zeus T&quot;,&quot;parse-names&quot;:false,&quot;dropping-particle&quot;:&quot;&quot;,&quot;non-dropping-particle&quot;:&quot;&quot;},{&quot;family&quot;:&quot;Laarhoven&quot;,&quot;given&quot;:&quot;Heleen S A&quot;,&quot;parse-names&quot;:false,&quot;dropping-particle&quot;:&quot;&quot;,&quot;non-dropping-particle&quot;:&quot;&quot;},{&quot;family&quot;:&quot;Brandsma&quot;,&quot;given&quot;:&quot;Rick&quot;,&quot;parse-names&quot;:false,&quot;dropping-particle&quot;:&quot;&quot;,&quot;non-dropping-particle&quot;:&quot;&quot;},{&quot;family&quot;:&quot;Smit&quot;,&quot;given&quot;:&quot;Marenka&quot;,&quot;parse-names&quot;:false,&quot;dropping-particle&quot;:&quot;&quot;,&quot;non-dropping-particle&quot;:&quot;&quot;},{&quot;family&quot;:&quot;Stouwe&quot;,&quot;given&quot;:&quot;A M Madelein&quot;,&quot;parse-names&quot;:false,&quot;dropping-particle&quot;:&quot;&quot;,&quot;non-dropping-particle&quot;:&quot;van der&quot;},{&quot;family&quot;:&quot;Elting&quot;,&quot;given&quot;:&quot;Jan Willem J&quot;,&quot;parse-names&quot;:false,&quot;dropping-particle&quot;:&quot;&quot;,&quot;non-dropping-particle&quot;:&quot;&quot;},{&quot;family&quot;:&quot;Maurits&quot;,&quot;given&quot;:&quot;Natasha M&quot;,&quot;parse-names&quot;:false,&quot;dropping-particle&quot;:&quot;&quot;,&quot;non-dropping-particle&quot;:&quot;&quot;},{&quot;family&quot;:&quot;Rosmalen&quot;,&quot;given&quot;:&quot;Judith G M&quot;,&quot;parse-names&quot;:false,&quot;dropping-particle&quot;:&quot;&quot;,&quot;non-dropping-particle&quot;:&quot;&quot;},{&quot;family&quot;:&quot;Tijssen&quot;,&quot;given&quot;:&quot;Marina A J&quot;,&quot;parse-names&quot;:false,&quot;dropping-particle&quot;:&quot;&quot;,&quot;non-dropping-particle&quot;:&quot;&quot;}],&quot;container-title&quot;:&quot;Parkinsonism &amp; related disorders&quot;,&quot;container-title-short&quot;:&quot;Parkinsonism Relat Disord&quot;,&quot;DOI&quot;:&quot;10.1016/j.parkreldis.2019.05.026&quot;,&quot;ISSN&quot;:&quot;1353-8020&quot;,&quot;URL&quot;:&quot;https://doi.org/10.1016/j.parkreldis.2019.05.026&quot;,&quot;issued&quot;:{&quot;date-parts&quot;:[[2019]]},&quot;page&quot;:&quot;2-7&quot;,&quot;abstract&quot;:&quot;BackgroundA previous study reported a dramatic mismatch in objectively detected and self-reported tremor duration in patients with functional tremor. As these findings have an important and widespread impact in both clinical care and research, we conducted a validation study with a longer study duration and a larger sample of patients.&quot;,&quot;publisher&quot;:&quot;Elsevier&quot;,&quot;volume&quot;:&quot;64&quot;},&quot;isTemporary&quot;:false}],&quot;citationTag&quot;:&quot;MENDELEY_CITATION_v3_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&quot;},{&quot;citationID&quot;:&quot;MENDELEY_CITATION_64f5d66a-496a-4da6-994c-ddaaf7a09104&quot;,&quot;properties&quot;:{&quot;noteIndex&quot;:0},&quot;isEdited&quot;:false,&quot;manualOverride&quot;:{&quot;isManuallyOverridden&quot;:true,&quot;citeprocText&quot;:&quot;(Pareés et al., 2012)&quot;,&quot;manualOverrideText&quot;:&quot;Pareés et al. (2012)&quot;},&quot;citationItems&quot;:[{&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citationTag&quot;:&quot;MENDELEY_CITATION_v3_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&quot;},{&quot;citationID&quot;:&quot;MENDELEY_CITATION_b80f6383-d977-4dbd-ad33-8b1b3effc6c9&quot;,&quot;properties&quot;:{&quot;noteIndex&quot;:0},&quot;isEdited&quot;:false,&quot;manualOverride&quot;:{&quot;isManuallyOverridden&quot;:false,&quot;citeprocText&quot;:&quot;(Keynejad et al., 2019; Pick et al., 2019; Sojka et al., 2018)&quot;,&quot;manualOverrideText&quot;:&quot;&quot;},&quot;citationItems&quot;:[{&quot;id&quot;:&quot;a80cc922-b6b8-3f52-91c9-e06dc2349d66&quot;,&quot;itemData&quot;:{&quot;type&quot;:&quot;article-journal&quot;,&quot;id&quot;:&quot;a80cc922-b6b8-3f52-91c9-e06dc2349d66&quot;,&quot;title&quot;:&quot;Stress and functional neurological disorders: mechanistic insights&quot;,&quot;author&quot;:[{&quot;family&quot;:&quot;Keynejad&quot;,&quot;given&quot;:&quot;Roxanne C.&quot;,&quot;parse-names&quot;:false,&quot;dropping-particle&quot;:&quot;&quot;,&quot;non-dropping-particle&quot;:&quot;&quot;},{&quot;family&quot;:&quot;Frodl&quot;,&quot;given&quot;:&quot;Thomas&quot;,&quot;parse-names&quot;:false,&quot;dropping-particle&quot;:&quot;&quot;,&quot;non-dropping-particle&quot;:&quot;&quot;},{&quot;family&quot;:&quot;Kanaan&quot;,&quot;given&quot;:&quot;Richard&quot;,&quot;parse-names&quot;:false,&quot;dropping-particle&quot;:&quot;&quot;,&quot;non-dropping-particle&quot;:&quot;&quot;},{&quot;family&quot;:&quot;Pariante&quot;,&quot;given&quot;:&quot;Carmine&quot;,&quot;parse-names&quot;:false,&quot;dropping-particle&quot;:&quot;&quot;,&quot;non-dropping-particle&quot;:&quot;&quot;},{&quot;family&quot;:&quot;Reuber&quot;,&quot;given&quot;:&quot;Markus&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 Psychiatry&quot;,&quot;container-title-short&quot;:&quot;J Neurol Neurosurg Psychiatry&quot;,&quot;accessed&quot;:{&quot;date-parts&quot;:[[2023,4,28]]},&quot;DOI&quot;:&quot;10.1136/JNNP-2018-318297&quot;,&quot;ISSN&quot;:&quot;0022-3050&quot;,&quot;PMID&quot;:&quot;30409887&quot;,&quot;URL&quot;:&quot;https://jnnp.bmj.com/content/90/7/813&quot;,&quot;issued&quot;:{&quot;date-parts&quot;:[[2019,7,1]]},&quot;page&quot;:&quot;813-821&quot;,&quot;abstract&quot;:&quot;At the interface between mind and body, psychiatry and neurology, functional neurological disorder (FND) remains poorly understood. Formerly dominant stress-related aetiological models have been increasingly challenged, in part due to cases without any history of past or recent trauma. In this perspective article, we review current evidence for such models, and how research into the role of traumatic stress in other disorders and the neurobiology of the stress response can inform our mechanistic understanding of FND. First, we discuss the association between stress and the onset or exacerbation of a variety of physical and mental health problems. Second, we review the role of hypothalamic-pituitary-adrenal axis dysfunction in the neurobiology of ill-health, alongside evidence for similar mechanisms in FND. Third, we advocate a stress-diathesis model, in which biological susceptibility interacts with early life adversity, where FND can be precipitated by traumatic events later in life and maintained by psychological responses. We hypothesise that greater biological susceptibility to FND is associated with less severe remote and recent stress, and that FND precipitated by more severe stress is associated with lower biological vulnerability. This would explain clinical experience of variable exposure to historical and recent traumatic stress among people with FND and requires empirical investigation. A testable, evidence-based stress-diathesis model can inform nuanced understanding of how biological and psychological factors interact at the individual level, with potential to inform personalised treatment pathways. Much-needed research to establish the aetiology of FND will enhance clinical care and communication, facilitate effective treatment and inform prevention strategies.&quot;,&quot;publisher&quot;:&quot;BMJ Publishing Group Ltd&quot;,&quot;issue&quot;:&quot;7&quot;,&quot;volume&quot;:&quot;90&quot;},&quot;isTemporary&quot;:false},{&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id&quot;:&quot;378e4c0d-f792-3032-a3c6-6d9b80e2f1c5&quot;,&quot;itemData&quot;:{&quot;type&quot;:&quot;article-journal&quot;,&quot;id&quot;:&quot;378e4c0d-f792-3032-a3c6-6d9b80e2f1c5&quot;,&quot;title&quot;:&quot;Processing of Emotion in Functional Neurological Disorder&quot;,&quot;author&quot;:[{&quot;family&quot;:&quot;Sojka&quot;,&quot;given&quot;:&quot;Petr&quot;,&quot;parse-names&quot;:false,&quot;dropping-particle&quot;:&quot;&quot;,&quot;non-dropping-particle&quot;:&quot;&quot;},{&quot;family&quot;:&quot;Bareš&quot;,&quot;given&quot;:&quot;Martin&quot;,&quot;parse-names&quot;:false,&quot;dropping-particle&quot;:&quot;&quot;,&quot;non-dropping-particle&quot;:&quot;&quot;},{&quot;family&quot;:&quot;Kašpárek&quot;,&quot;given&quot;:&quot;Tomáš&quot;,&quot;parse-names&quot;:false,&quot;dropping-particle&quot;:&quot;&quot;,&quot;non-dropping-particle&quot;:&quot;&quot;},{&quot;family&quot;:&quot;Světlák&quot;,&quot;given&quot;:&quot;Miroslav&quot;,&quot;parse-names&quot;:false,&quot;dropping-particle&quot;:&quot;&quot;,&quot;non-dropping-particle&quot;:&quot;&quot;}],&quot;container-title&quot;:&quot;Frontiers in psychiatry&quot;,&quot;container-title-short&quot;:&quot;Front Psychiatry&quot;,&quot;DOI&quot;:&quot;10.3389/fpsyt.2018.00479&quot;,&quot;ISSN&quot;:&quot;1664-0640&quot;,&quot;PMID&quot;:&quot;30344497&quot;,&quot;URL&quot;:&quot;https://pubmed.ncbi.nlm.nih.gov/30344497&quot;,&quot;issued&quot;:{&quot;date-parts&quot;:[[2018]]},&quot;page&quot;:&quot;479&quot;,&quot;language&quot;:&quot;eng&quot;,&quot;abstract&quot;:&quot;Emotions have traditionally been considered crucial in the development of functional neurological disorder, but the evidence underpinning this association is not clear. We aimed to summarize evidence for association between functional neurological disorder and emotions as formulated by Breuer and Freud in their conception of hysterical conversion. Based on a systematic literature search, we identified 34 controlled studies and categorized them into four groups: (i) autonomic arousal, (ii) emotion-motion interactions, (iii) social modulation of symptoms, and (iv) bodily awareness in FND. We found evidence for autonomic dysregulation in FND; convergent neuroimaging findings implicate abnormal limbic-motor interactions in response to emotional stimuli in FND. Our results do not provide enough empirical evidence for social modulation of the symptoms, but there is a clinical support for the role of suggestion and placebo in FND. Our results provide evidence for abnormal bodily awareness in FND. Based on these findings, we propose that functional neurological symptoms are forms of emotional reactions shaped into symptoms by previous experience with illness and possibly reinforced by actual social contexts. Additional research should investigate the effect of social context on the intensity of functional neurological symptoms and associated brain regions.&quot;,&quot;publisher&quot;:&quot;Frontiers Media S.A.&quot;,&quot;volume&quot;:&quot;9&quot;},&quot;isTemporary&quot;:false}],&quot;citationTag&quot;:&quot;MENDELEY_CITATION_v3_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&quot;},{&quot;citationID&quot;:&quot;MENDELEY_CITATION_f84d26ab-54d6-451a-a265-6f89e06463ed&quot;,&quot;properties&quot;:{&quot;noteIndex&quot;:0},&quot;isEdited&quot;:false,&quot;manualOverride&quot;:{&quot;isManuallyOverridden&quot;:false,&quot;citeprocText&quot;:&quot;(Keynejad et al., 2019)&quot;,&quot;manualOverrideText&quot;:&quot;&quot;},&quot;citationItems&quot;:[{&quot;id&quot;:&quot;a80cc922-b6b8-3f52-91c9-e06dc2349d66&quot;,&quot;itemData&quot;:{&quot;type&quot;:&quot;article-journal&quot;,&quot;id&quot;:&quot;a80cc922-b6b8-3f52-91c9-e06dc2349d66&quot;,&quot;title&quot;:&quot;Stress and functional neurological disorders: mechanistic insights&quot;,&quot;author&quot;:[{&quot;family&quot;:&quot;Keynejad&quot;,&quot;given&quot;:&quot;Roxanne C.&quot;,&quot;parse-names&quot;:false,&quot;dropping-particle&quot;:&quot;&quot;,&quot;non-dropping-particle&quot;:&quot;&quot;},{&quot;family&quot;:&quot;Frodl&quot;,&quot;given&quot;:&quot;Thomas&quot;,&quot;parse-names&quot;:false,&quot;dropping-particle&quot;:&quot;&quot;,&quot;non-dropping-particle&quot;:&quot;&quot;},{&quot;family&quot;:&quot;Kanaan&quot;,&quot;given&quot;:&quot;Richard&quot;,&quot;parse-names&quot;:false,&quot;dropping-particle&quot;:&quot;&quot;,&quot;non-dropping-particle&quot;:&quot;&quot;},{&quot;family&quot;:&quot;Pariante&quot;,&quot;given&quot;:&quot;Carmine&quot;,&quot;parse-names&quot;:false,&quot;dropping-particle&quot;:&quot;&quot;,&quot;non-dropping-particle&quot;:&quot;&quot;},{&quot;family&quot;:&quot;Reuber&quot;,&quot;given&quot;:&quot;Markus&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 Psychiatry&quot;,&quot;container-title-short&quot;:&quot;J Neurol Neurosurg Psychiatry&quot;,&quot;accessed&quot;:{&quot;date-parts&quot;:[[2023,4,28]]},&quot;DOI&quot;:&quot;10.1136/JNNP-2018-318297&quot;,&quot;ISSN&quot;:&quot;0022-3050&quot;,&quot;PMID&quot;:&quot;30409887&quot;,&quot;URL&quot;:&quot;https://jnnp.bmj.com/content/90/7/813&quot;,&quot;issued&quot;:{&quot;date-parts&quot;:[[2019,7,1]]},&quot;page&quot;:&quot;813-821&quot;,&quot;abstract&quot;:&quot;At the interface between mind and body, psychiatry and neurology, functional neurological disorder (FND) remains poorly understood. Formerly dominant stress-related aetiological models have been increasingly challenged, in part due to cases without any history of past or recent trauma. In this perspective article, we review current evidence for such models, and how research into the role of traumatic stress in other disorders and the neurobiology of the stress response can inform our mechanistic understanding of FND. First, we discuss the association between stress and the onset or exacerbation of a variety of physical and mental health problems. Second, we review the role of hypothalamic-pituitary-adrenal axis dysfunction in the neurobiology of ill-health, alongside evidence for similar mechanisms in FND. Third, we advocate a stress-diathesis model, in which biological susceptibility interacts with early life adversity, where FND can be precipitated by traumatic events later in life and maintained by psychological responses. We hypothesise that greater biological susceptibility to FND is associated with less severe remote and recent stress, and that FND precipitated by more severe stress is associated with lower biological vulnerability. This would explain clinical experience of variable exposure to historical and recent traumatic stress among people with FND and requires empirical investigation. A testable, evidence-based stress-diathesis model can inform nuanced understanding of how biological and psychological factors interact at the individual level, with potential to inform personalised treatment pathways. Much-needed research to establish the aetiology of FND will enhance clinical care and communication, facilitate effective treatment and inform prevention strategies.&quot;,&quot;publisher&quot;:&quot;BMJ Publishing Group Ltd&quot;,&quot;issue&quot;:&quot;7&quot;,&quot;volume&quot;:&quot;90&quot;},&quot;isTemporary&quot;:false}],&quot;citationTag&quot;:&quot;MENDELEY_CITATION_v3_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&quot;},{&quot;citationID&quot;:&quot;MENDELEY_CITATION_5cdd1918-62a7-47f4-8694-f8e0a00a406d&quot;,&quot;properties&quot;:{&quot;noteIndex&quot;:0},&quot;isEdited&quot;:false,&quot;manualOverride&quot;:{&quot;isManuallyOverridden&quot;:true,&quot;citeprocText&quot;:&quot;(Edwards et al., 2012)&quot;,&quot;manualOverrideText&quot;:&quot;(M. J. Edwards et al., 2012)&quot;},&quot;citationItems&quot;:[{&quot;id&quot;:&quot;3e043986-c338-34f6-bdec-2a339f1b9d51&quot;,&quot;itemData&quot;:{&quot;type&quot;:&quot;article-journal&quot;,&quot;id&quot;:&quot;3e043986-c338-34f6-bdec-2a339f1b9d51&quot;,&quot;title&quot;:&quot;A Bayesian account of 'hysteria'&quot;,&quot;author&quot;:[{&quot;family&quot;:&quot;Edwards&quot;,&quot;given&quot;:&quot;M J&quot;,&quot;parse-names&quot;:false,&quot;dropping-particle&quot;:&quot;&quot;,&quot;non-dropping-particle&quot;:&quot;&quot;},{&quot;family&quot;:&quot;Adams&quot;,&quot;given&quot;:&quot;R A&quot;,&quot;parse-names&quot;:false,&quot;dropping-particle&quot;:&quot;&quot;,&quot;non-dropping-particle&quot;:&quot;&quot;},{&quot;family&quot;:&quot;Brown&quot;,&quot;given&quot;:&quot;H&quot;,&quot;parse-names&quot;:false,&quot;dropping-particle&quot;:&quot;&quot;,&quot;non-dropping-particle&quot;:&quot;&quot;},{&quot;family&quot;:&quot;Pareés&quot;,&quot;given&quot;:&quot;I&quot;,&quot;parse-names&quot;:false,&quot;dropping-particle&quot;:&quot;&quot;,&quot;non-dropping-particle&quot;:&quot;&quot;},{&quot;family&quot;:&quot;Friston&quot;,&quot;given&quot;:&quot;K J&quot;,&quot;parse-names&quot;:false,&quot;dropping-particle&quot;:&quot;&quot;,&quot;non-dropping-particle&quot;:&quot;&quot;}],&quot;container-title&quot;:&quot;Brain&quot;,&quot;DOI&quot;:&quot;10.1093/brain/aws129&quot;,&quot;ISSN&quot;:&quot;0006-8950 (Print)\r0006-8950&quot;,&quot;PMID&quot;:&quot;22641838&quot;,&quot;issued&quot;:{&quot;date-parts&quot;:[[2012]]},&quot;page&quot;:&quot;3495-3512&quot;,&quot;language&quot;:&quot;eng&quot;,&quot;abstract&quot;:&quot;This article provides a neurobiological account of symptoms that have been called 'hysterical', 'psychogenic' or 'medically unexplained', which we will call functional motor and sensory symptoms. We use a neurobiologically informed model of hierarchical Bayesian inference in the brain to explain functional motor and sensory symptoms in terms of perception and action arising from inference based on prior beliefs and sensory information. This explanation exploits the key balance between prior beliefs and sensory evidence that is mediated by (body focused) attention, symptom expectations, physical and emotional experiences and beliefs about illness. Crucially, this furnishes an explanation at three different levels: (i) underlying neuromodulatory (synaptic) mechanisms; (ii) cognitive and experiential processes (attention and attribution of agency); and (iii) formal computations that underlie perceptual inference (representation of uncertainty or precision). Our explanation involves primary and secondary failures of inference; the primary failure is the (autonomous) emergence of a percept or belief that is held with undue certainty (precision) following top-down attentional modulation of synaptic gain. This belief can constitute a sensory percept (or its absence) or induce movement (or its absence). The secondary failure of inference is when the ensuing percept (and any somatosensory consequences) is falsely inferred to be a symptom to explain why its content was not predicted by the source of attentional modulation. This account accommodates several fundamental observations about functional motor and sensory symptoms, including: (i) their induction and maintenance by attention; (ii) their modification by expectation, prior experience and cultural beliefs and (iii) their involuntary and symptomatic nature.&quot;,&quot;edition&quot;:&quot;2012/05/30&quot;,&quot;issue&quot;:&quot;Pt 11&quot;,&quot;volume&quot;:&quot;135&quot;,&quot;container-title-short&quot;:&quot;&quot;},&quot;isTemporary&quot;:false}],&quot;citationTag&quot;:&quot;MENDELEY_CITATION_v3_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&quot;},{&quot;citationID&quot;:&quot;MENDELEY_CITATION_05b23e9d-b06c-4a51-8177-a3cc183dd69f&quot;,&quot;properties&quot;:{&quot;noteIndex&quot;:0},&quot;isEdited&quot;:false,&quot;manualOverride&quot;:{&quot;isManuallyOverridden&quot;:false,&quot;citeprocText&quot;:&quot;(Demartini et al., 2016; Koreki et al., 2020; Ricciardi et al., 2016)&quot;,&quot;manualOverrideText&quot;:&quot;&quot;},&quot;citationItems&quot;:[{&quot;id&quot;:&quot;82d2b97f-c95d-391e-9154-5e4ac51ddba3&quot;,&quot;itemData&quot;:{&quot;type&quot;:&quot;article-journal&quot;,&quot;id&quot;:&quot;82d2b97f-c95d-391e-9154-5e4ac51ddba3&quot;,&quot;title&quot;:&quot;Psychogenic non-epileptic seizures and functional motor symptoms: A common phenomenology?&quot;,&quot;author&quot;:[{&quot;family&quot;:&quot;Demartini&quot;,&quot;given&quot;:&quot;B&quot;,&quot;parse-names&quot;:false,&quot;dropping-particle&quot;:&quot;&quot;,&quot;non-dropping-particle&quot;:&quot;&quot;},{&quot;family&quot;:&quot;Goeta&quot;,&quot;given&quot;:&quot;D&quot;,&quot;parse-names&quot;:false,&quot;dropping-particle&quot;:&quot;&quot;,&quot;non-dropping-particle&quot;:&quot;&quot;},{&quot;family&quot;:&quot;Barbieri&quot;,&quot;given&quot;:&quot;V&quot;,&quot;parse-names&quot;:false,&quot;dropping-particle&quot;:&quot;&quot;,&quot;non-dropping-particle&quot;:&quot;&quot;},{&quot;family&quot;:&quot;Ricciardi&quot;,&quot;given&quot;:&quot;L&quot;,&quot;parse-names&quot;:false,&quot;dropping-particle&quot;:&quot;&quot;,&quot;non-dropping-particle&quot;:&quot;&quot;},{&quot;family&quot;:&quot;Canevini&quot;,&quot;given&quot;:&quot;M P&quot;,&quot;parse-names&quot;:false,&quot;dropping-particle&quot;:&quot;&quot;,&quot;non-dropping-particle&quot;:&quot;&quot;},{&quot;family&quot;:&quot;Turner&quot;,&quot;given&quot;:&quot;K&quot;,&quot;parse-names&quot;:false,&quot;dropping-particle&quot;:&quot;&quot;,&quot;non-dropping-particle&quot;:&quot;&quot;},{&quot;family&quot;:&quot;D'Agostino&quot;,&quot;given&quot;:&quot;A&quot;,&quot;parse-names&quot;:false,&quot;dropping-particle&quot;:&quot;&quot;,&quot;non-dropping-particle&quot;:&quot;&quot;},{&quot;family&quot;:&quot;Romito&quot;,&quot;given&quot;:&quot;L&quot;,&quot;parse-names&quot;:false,&quot;dropping-particle&quot;:&quot;&quot;,&quot;non-dropping-particle&quot;:&quot;&quot;},{&quot;family&quot;:&quot;Gambini&quot;,&quot;given&quot;:&quot;O&quot;,&quot;parse-names&quot;:false,&quot;dropping-particle&quot;:&quot;&quot;,&quot;non-dropping-particle&quot;:&quot;&quot;}],&quot;container-title&quot;:&quot;J Neurol Sci&quot;,&quot;DOI&quot;:&quot;10.1016/j.jns.2016.06.045&quot;,&quot;ISSN&quot;:&quot;0022-510x&quot;,&quot;PMID&quot;:&quot;27538601&quot;,&quot;issued&quot;:{&quot;date-parts&quot;:[[2016]]},&quot;page&quot;:&quot;49-54&quot;,&quot;language&quot;:&quot;eng&quot;,&quot;abstract&quot;:&quot;OBJECTIVE: Recent studies have attempted to compare patients affected by psychogenic non-epileptic seizures (PNES) to patients affected by functional motor symptoms (FMS) from a demographic, clinical and psychological perspective. Nevertheless, results are quite controversial and significant conclusions have not been drawn. The aim of our study was to evaluate the phenomenology of psychology of the two groups assessing levels of dissociation and its subcomponents, alexithymia and interoceptive sensitivity in patients with PNES and in patients with FMS. METHODS: We conducted a cross-sectional study recruiting 20 patients with PNES, 20 patients with FMS and 20 healthy subjects as a control group. All subjects underwent: Dissociative Experience Scale (DES), Somatoform Dissociation Questionnaire (SDQ-20), Cambridge Depersonalization Scale (CDS), Toronto Alexithymia Scale (TAS-20), Hamilton Rating Scale for Depression (HAM-D), Hamilton Rating Scale for anxiety (HAM-A), heart beat detection task. RESULTS: Our data suggest that PNES group scored significantly higher than the healthy control group on a measure of detachment (CDS). Also at the DES, a measure of psychoform dissociation, PNES patients scored significantly higher than healthy subjects. On the other hand patients affected by FMS scored significantly higher than the healthy control group on the SDQ but they did not report more experiences of detachment on the CDS. Patients affected by PNES and FMS were significantly more alexithymic than healthy controls, with a third of them scoring &gt;61 on the TAS-20. SIGNIFICANCE: Our data show different psychological mechanisms underlying patients with PNES and patients with FMS. This might lead also to potential implications for treatment.&quot;,&quot;edition&quot;:&quot;2016/08/20&quot;,&quot;volume&quot;:&quot;368&quot;,&quot;container-title-short&quot;:&quot;&quot;},&quot;isTemporary&quot;:false},{&quot;id&quot;:&quot;20348da3-f01a-32ae-bc5b-cec7bbb3f147&quot;,&quot;itemData&quot;:{&quot;type&quot;:&quot;article-journal&quot;,&quot;id&quot;:&quot;20348da3-f01a-32ae-bc5b-cec7bbb3f147&quot;,&quot;title&quot;:&quot;Trait and state interoceptive abnormalities are associated with dissociation and seizure frequency in patients with functional seizures&quot;,&quot;author&quot;:[{&quot;family&quot;:&quot;Koreki&quot;,&quot;given&quot;:&quot;Akihiro&quot;,&quot;parse-names&quot;:false,&quot;dropping-particle&quot;:&quot;&quot;,&quot;non-dropping-particle&quot;:&quot;&quot;},{&quot;family&quot;:&quot;Garfkinel&quot;,&quot;given&quot;:&quot;Sarah N&quot;,&quot;parse-names&quot;:false,&quot;dropping-particle&quot;:&quot;&quot;,&quot;non-dropping-particle&quot;:&quot;&quot;},{&quot;family&quot;:&quot;Mula&quot;,&quot;given&quot;:&quot;Marco&quot;,&quot;parse-names&quot;:false,&quot;dropping-particle&quot;:&quot;&quot;,&quot;non-dropping-particle&quot;:&quot;&quot;},{&quot;family&quot;:&quot;Agrawal&quot;,&quot;given&quot;:&quot;Niruj&quot;,&quot;parse-names&quot;:false,&quot;dropping-particle&quot;:&quot;&quot;,&quot;non-dropping-particle&quot;:&quot;&quot;},{&quot;family&quot;:&quot;Cope&quot;,&quot;given&quot;:&quot;Sarah&quot;,&quot;parse-names&quot;:false,&quot;dropping-particle&quot;:&quot;&quot;,&quot;non-dropping-particle&quot;:&quot;&quot;},{&quot;family&quot;:&quot;Eilon&quot;,&quot;given&quot;:&quot;Talia&quot;,&quot;parse-names&quot;:false,&quot;dropping-particle&quot;:&quot;&quot;,&quot;non-dropping-particle&quot;:&quot;&quot;},{&quot;family&quot;:&quot;Gould Van Praag&quot;,&quot;given&quot;:&quot;Cassandra&quot;,&quot;parse-names&quot;:false,&quot;dropping-particle&quot;:&quot;&quot;,&quot;non-dropping-particle&quot;:&quot;&quot;},{&quot;family&quot;:&quot;Critchley&quot;,&quot;given&quot;:&quot;Hugo D&quot;,&quot;parse-names&quot;:false,&quot;dropping-particle&quot;:&quot;&quot;,&quot;non-dropping-particle&quot;:&quot;&quot;},{&quot;family&quot;:&quot;Edwards&quot;,&quot;given&quot;:&quot;Mark&quot;,&quot;parse-names&quot;:false,&quot;dropping-particle&quot;:&quot;&quot;,&quot;non-dropping-particle&quot;:&quot;&quot;},{&quot;family&quot;:&quot;Yogarajah&quot;,&quot;given&quot;:&quot;Mahinda&quot;,&quot;parse-names&quot;:false,&quot;dropping-particle&quot;:&quot;&quot;,&quot;non-dropping-particle&quot;:&quot;&quot;}],&quot;container-title&quot;:&quot;Epilepsia&quot;,&quot;container-title-short&quot;:&quot;Epilepsia&quot;,&quot;DOI&quot;:&quot;10.1111/epi.16532&quot;,&quot;ISSN&quot;:&quot;0013-9580&quot;,&quot;issued&quot;:{&quot;date-parts&quot;:[[2020]]},&quot;page&quot;:&quot;1156-1165&quot;,&quot;publisher&quot;:&quot;Wiley&quot;,&quot;issue&quot;:&quot;6&quot;,&quot;volume&quot;:&quot;61&quot;},&quot;isTemporary&quot;:false},{&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citationTag&quot;:&quot;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&quot;},{&quot;citationID&quot;:&quot;MENDELEY_CITATION_cbe91fa8-1df9-4c0e-94c4-0fdba04aa6e5&quot;,&quot;properties&quot;:{&quot;noteIndex&quot;:0},&quot;isEdited&quot;:false,&quot;manualOverride&quot;:{&quot;isManuallyOverridden&quot;:false,&quot;citeprocText&quot;:&quot;(Gupta &amp;#38; Lang, 2009; Pareés et al., 2012)&quot;,&quot;manualOverrideText&quot;:&quot;&quot;},&quot;citationItems&quot;:[{&quot;id&quot;:&quot;7d0c08be-a0df-3c60-8d5a-6ca91cb7014e&quot;,&quot;itemData&quot;:{&quot;type&quot;:&quot;article-journal&quot;,&quot;id&quot;:&quot;7d0c08be-a0df-3c60-8d5a-6ca91cb7014e&quot;,&quot;title&quot;:&quot;Believing is perceiving: mismatch between self-report and actigraphy in psychogenic tremor&quot;,&quot;author&quot;:[{&quot;family&quot;:&quot;Pareés&quot;,&quot;given&quot;:&quot;I&quot;,&quot;parse-names&quot;:false,&quot;dropping-particle&quot;:&quot;&quot;,&quot;non-dropping-particle&quot;:&quot;&quot;},{&quot;family&quot;:&quot;Saifee&quot;,&quot;given&quot;:&quot;T A&quot;,&quot;parse-names&quot;:false,&quot;dropping-particle&quot;:&quot;&quot;,&quot;non-dropping-particle&quot;:&quot;&quot;},{&quot;family&quot;:&quot;Kassavetis&quot;,&quot;given&quot;:&quot;P&quot;,&quot;parse-names&quot;:false,&quot;dropping-particle&quot;:&quot;&quot;,&quot;non-dropping-particle&quot;:&quot;&quot;},{&quot;family&quot;:&quot;Kojovic&quot;,&quot;given&quot;:&quot;M&quot;,&quot;parse-names&quot;:false,&quot;dropping-particle&quot;:&quot;&quot;,&quot;non-dropping-particle&quot;:&quot;&quot;},{&quot;family&quot;:&quot;Rubio-Agusti&quot;,&quot;given&quot;:&quot;I&quot;,&quot;parse-names&quot;:false,&quot;dropping-particle&quot;:&quot;&quot;,&quot;non-dropping-particle&quot;:&quot;&quot;},{&quot;family&quot;:&quot;Rothwell&quot;,&quot;given&quot;:&quot;J C&quot;,&quot;parse-names&quot;:false,&quot;dropping-particle&quot;:&quot;&quot;,&quot;non-dropping-particle&quot;:&quot;&quot;},{&quot;family&quot;:&quot;Bhatia&quot;,&quot;given&quot;:&quot;K P&quot;,&quot;parse-names&quot;:false,&quot;dropping-particle&quot;:&quot;&quot;,&quot;non-dropping-particle&quot;:&quot;&quot;},{&quot;family&quot;:&quot;Edwards&quot;,&quot;given&quot;:&quot;M J&quot;,&quot;parse-names&quot;:false,&quot;dropping-particle&quot;:&quot;&quot;,&quot;non-dropping-particle&quot;:&quot;&quot;}],&quot;container-title&quot;:&quot;Brain&quot;,&quot;DOI&quot;:&quot;10.1093/brain/awr292&quot;,&quot;ISSN&quot;:&quot;0006-8950&quot;,&quot;PMID&quot;:&quot;22075068&quot;,&quot;issued&quot;:{&quot;date-parts&quot;:[[2012]]},&quot;page&quot;:&quot;117-123&quot;,&quot;language&quot;:&quot;eng&quot;,&quot;abstract&quot;:&quot;We assessed the duration and severity of tremor in a real-life ambulatory setting in patients with psychogenic and organic tremor by actigraphy, and compared this with self-reports of tremor over the same period. Ten participants with psychogenic tremor and eight with organic tremor, diagnosed using standardized clinical criteria, were studied. In an explicit design, participants were asked to wear a small actigraph capable of continuously monitoring tremor duration and intensity for 5 days while keeping a diary of their estimates of tremor duration during the same period. Eight patients with psychogenic tremor and all patients with organic tremor completed the study. Psychogenic patients reported significantly more of the waking day with tremor compared with patients with organic tremor (83.5 ± 14.0% of the waking day versus 58.0 ± 19.0% of the waking day; P &lt; 0.01), despite having almost no tremor recorded by actigraphy (3.9 ± 3.7% of the waking day versus 24.8 ± 7.7% of the waking day; P = 0.001). Patients with organic tremor reported 28% more tremor than actigraphy recordings, whereas patients with psychogenic tremor reported 65% more tremor than actigraphy. These data demonstrate that patients with psychogenic tremor fail to accurately perceive that they do not have tremor most of the day. The explicit study design we employed does not support the hypothesis that these patients are malingering. We discuss how these data can be understood within models of active inference in the brain to provide a neurobiological framework for understanding the mechanism of psychogenic tremor.&quot;,&quot;edition&quot;:&quot;2011/11/15&quot;,&quot;issue&quot;:&quot;Pt 1&quot;,&quot;volume&quot;:&quot;135&quot;,&quot;container-title-short&quot;:&quot;&quot;},&quot;isTemporary&quot;:false},{&quot;id&quot;:&quot;7dbd99ed-fab5-327c-81ed-e3911bc437b1&quot;,&quot;itemData&quot;:{&quot;type&quot;:&quot;article-journal&quot;,&quot;id&quot;:&quot;7dbd99ed-fab5-327c-81ed-e3911bc437b1&quot;,&quot;title&quot;:&quot;Psychogenic movement disorders&quot;,&quot;author&quot;:[{&quot;family&quot;:&quot;Gupta&quot;,&quot;given&quot;:&quot;Amitabh&quot;,&quot;parse-names&quot;:false,&quot;dropping-particle&quot;:&quot;&quot;,&quot;non-dropping-particle&quot;:&quot;&quot;},{&quot;family&quot;:&quot;Lang&quot;,&quot;given&quot;:&quot;Anthony E&quot;,&quot;parse-names&quot;:false,&quot;dropping-particle&quot;:&quot;&quot;,&quot;non-dropping-particle&quot;:&quot;&quot;}],&quot;container-title&quot;:&quot;Current Opinion in Neurology&quot;,&quot;container-title-short&quot;:&quot;Curr Opin Neurol&quot;,&quot;DOI&quot;:&quot;10.1097/WCO.0b013e32832dc169&quot;,&quot;ISSN&quot;:&quot;1350-7540&quot;,&quot;PMID&quot;:&quot;00019052-200908000-00015&quot;,&quot;URL&quot;:&quot;https://journals.lww.com/co-neurology/Fulltext/2009/08000/Psychogenic_movement_disorders.15.aspx&quot;,&quot;issued&quot;:{&quot;date-parts&quot;:[[2009]]},&quot;page&quot;:&quot;430-436&quot;,&quot;abstract&quot;:&quot;Purpose of review This review summarizes the progress made in the area of psychogenic movement disorders (PMDs) over the past 2 years, and a simplified classification of diagnostic certainty is proposed that incorporates electrophysiological assessment. Recent findings Functional magnetic resonance imaging studies have demonstrated altered blood flow in conversion disorders that may reflect changes in synaptic activity. Electrophysiological testing shows limitations in distinguishing between psychogenic and organic propriospinal myoclonus and dystonia. Recent evidence cautions against the uncritical acceptance of all cases of posttraumatic myoclonus and ‘jumpy stump’ as being organic in nature. ‘Essential palatal tremor’ is recognized as a rather heterogeneous group of tremors that includes psychogenic tremor. Two recent studies evaluating the long-term prognosis of psychogenic tremor differ in the degree of unfavorable outcome. Different groups of PMDs might have distinctive gait characteristics with prognostic, diagnostic, or therapeutic value. Two recent reviews provide comprehensive information on the understudied area of PMDs in children. Summary The diagnosis of PMDs should not be regarded as a diagnosis of exclusion. Careful clinical assessment is critical, and imaging or electrophysiological studies may provide important insights and confirmation of the diagnosis though some cases remain challenging and current assessments fail to provide needed clarification. Treatment is often delayed, contributing to a largely unfavorable long-term outcome. Well designed randomized control trials that validate and compare therapeutic options are urgently required.&quot;,&quot;issue&quot;:&quot;4&quot;,&quot;volume&quot;:&quot;22&quot;},&quot;isTemporary&quot;:false}],&quot;citationTag&quot;:&quot;MENDELEY_CITATION_v3_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&quot;},{&quot;citationID&quot;:&quot;MENDELEY_CITATION_06c00cfb-9213-44d1-8a49-4d7e3ef3fe79&quot;,&quot;properties&quot;:{&quot;noteIndex&quot;:0},&quot;isEdited&quot;:false,&quot;manualOverride&quot;:{&quot;isManuallyOverridden&quot;:false,&quot;citeprocText&quot;:&quot;(Goedendorp et al., 2013; Marcus et al., 2007; Rief &amp;#38; Broadbent, 2007; Rief &amp;#38; Martin, 2014)&quot;,&quot;manualOverrideText&quot;:&quot;&quot;},&quot;citationItems&quot;:[{&quot;id&quot;:&quot;ff9a70dc-10c3-3e56-b48a-fa12ff63e1a6&quot;,&quot;itemData&quot;:{&quot;type&quot;:&quot;article-journal&quot;,&quot;id&quot;:&quot;ff9a70dc-10c3-3e56-b48a-fa12ff63e1a6&quot;,&quot;title&quot;:&quot;Does neuropsychological test performance predict outcome of cognitive behavior therapy for Chronic Fatigue Syndrome and what is the role of underperformance?&quot;,&quot;author&quot;:[{&quot;family&quot;:&quot;Goedendorp&quot;,&quot;given&quot;:&quot;Martine M&quot;,&quot;parse-names&quot;:false,&quot;dropping-particle&quot;:&quot;&quot;,&quot;non-dropping-particle&quot;:&quot;&quot;},{&quot;family&quot;:&quot;Werf&quot;,&quot;given&quot;:&quot;Sieberen P&quot;,&quot;parse-names&quot;:false,&quot;dropping-particle&quot;:&quot;&quot;,&quot;non-dropping-particle&quot;:&quot;van der&quot;},{&quot;family&quot;:&quot;Bleijenberg&quot;,&quot;given&quot;:&quot;Gijs&quot;,&quot;parse-names&quot;:false,&quot;dropping-particle&quot;:&quot;&quot;,&quot;non-dropping-particle&quot;:&quot;&quot;},{&quot;family&quot;:&quot;Tummers&quot;,&quot;given&quot;:&quot;Marcia&quot;,&quot;parse-names&quot;:false,&quot;dropping-particle&quot;:&quot;&quot;,&quot;non-dropping-particle&quot;:&quot;&quot;},{&quot;family&quot;:&quot;Knoop&quot;,&quot;given&quot;:&quot;Hans&quot;,&quot;parse-names&quot;:false,&quot;dropping-particle&quot;:&quot;&quot;,&quot;non-dropping-particle&quot;:&quot;&quot;}],&quot;container-title&quot;:&quot;Journal of Psychosomatic Research&quot;,&quot;container-title-short&quot;:&quot;J Psychosom Res&quot;,&quot;DOI&quot;:&quot;https://doi.org/10.1016/j.jpsychores.2013.07.011&quot;,&quot;ISSN&quot;:&quot;0022-3999&quot;,&quot;URL&quot;:&quot;http://www.sciencedirect.com/science/article/pii/S002239991300295X&quot;,&quot;issued&quot;:{&quot;date-parts&quot;:[[2013]]},&quot;page&quot;:&quot;242-248&quot;,&quot;abstract&quot;:&quot;Objective A subgroup of patients with Chronic Fatigue Syndrome (CFS) has cognitive impairments, reflected by deviant neuropsychological test performance. However, abnormal test scores can also be caused by suboptimal effort. We hypothesized that worse neuropsychological test performance and underperformance were related to each other and to a smaller reduction in fatigue, functional impairments, physical limitations and higher dropout rates following cognitive behavior therapy (CBT) for CFS. Methods Data were drawn from a previous trial, in which CFS patients were randomized to two conditions; 1) guided self-instruction and additional CBT (n=84) or 2) waiting period followed by regular CBT for CFS (n=85). Underperformance was assessed using the Amsterdam Short Term Memory Test (&lt;84). To test neuropsychological test performance, the Symbol Digit Modalities Task, a simple reaction time task and a choice reaction time task were used. Interaction effects were determined between underperformance and neuropsychological test performance on therapy outcomes. Results Underperformance was associated to worse neuropsychological test performance, but there were no significant interaction effects of these two factors by therapy on fatigue severity, functional impairments and physical limitations, but there was a significant main effect of underperformance on functional impairments, physical limitations and dropout rates. Conclusion Underperformance or neuropsychological test performance was not related to the change in fatigue, functional impairments, and physical limitations following CBT for CFS. However, underperforming patients did drop out more often. Therapists should pay attention to beliefs and behavioral or environmental factors that might maintain underperformance and increase the risk of dropout.&quot;,&quot;issue&quot;:&quot;3&quot;,&quot;volume&quot;:&quot;75&quot;},&quot;isTemporary&quot;:false},{&quot;id&quot;:&quot;8ce90bbf-4518-3b47-a1f9-344c3bcf0ee5&quot;,&quot;itemData&quot;:{&quot;type&quot;:&quot;article-journal&quot;,&quot;id&quot;:&quot;8ce90bbf-4518-3b47-a1f9-344c3bcf0ee5&quot;,&quot;title&quot;:&quot;Cognitive and perceptual variables in hypochondriasis and health anxiety: a systematic review&quot;,&quot;author&quot;:[{&quot;family&quot;:&quot;Marcus&quot;,&quot;given&quot;:&quot;D K&quot;,&quot;parse-names&quot;:false,&quot;dropping-particle&quot;:&quot;&quot;,&quot;non-dropping-particle&quot;:&quot;&quot;},{&quot;family&quot;:&quot;Gurley&quot;,&quot;given&quot;:&quot;J R&quot;,&quot;parse-names&quot;:false,&quot;dropping-particle&quot;:&quot;&quot;,&quot;non-dropping-particle&quot;:&quot;&quot;},{&quot;family&quot;:&quot;Marchi&quot;,&quot;given&quot;:&quot;M M&quot;,&quot;parse-names&quot;:false,&quot;dropping-particle&quot;:&quot;&quot;,&quot;non-dropping-particle&quot;:&quot;&quot;},{&quot;family&quot;:&quot;Bauer&quot;,&quot;given&quot;:&quot;C&quot;,&quot;parse-names&quot;:false,&quot;dropping-particle&quot;:&quot;&quot;,&quot;non-dropping-particle&quot;:&quot;&quot;}],&quot;container-title&quot;:&quot;Clin Psychol Rev&quot;,&quot;DOI&quot;:&quot;10.1016/j.cpr.2006.09.003&quot;,&quot;ISSN&quot;:&quot;0272-7358 (Print)\r0272-7358&quot;,&quot;PMID&quot;:&quot;17084495&quot;,&quot;issued&quot;:{&quot;date-parts&quot;:[[2007]]},&quot;page&quot;:&quot;127-139&quot;,&quot;language&quot;:&quot;eng&quot;,&quot;abstract&quot;:&quot;This review examined (a) whether hypochondriacal/health-anxious individuals hold distinct assumptions about health and illness, (b) if triggering these assumptions leads to increased hypochondriacal concerns, and (c) whether these individuals perceive their bodily sensations differently from others (i.e., experience greater somatosensory amplification). There was clear evidence that health anxiety is related dysfunctional health-related beliefs. Few studies have examined how hypochondriacal concerns are triggered, and inconsistent results emerged from those that have. Health anxiety is also associated with self-reported higher levels of somatosensory amplification. However, there was little evidence that individuals high in health anxiety are actually more accurate perceivers of the their own autonomic processes. Although the results generally supported the central tenets of the cognitive-behavioral model of hypochondriasis and health anxiety, further research will be necessary to determine whether these beliefs are specific to hypochondriasis and to identify any cognitive processes that may be unique to hypochondriasis.&quot;,&quot;edition&quot;:&quot;2006/11/07&quot;,&quot;issue&quot;:&quot;2&quot;,&quot;volume&quot;:&quot;27&quot;,&quot;container-title-short&quot;:&quot;&quot;},&quot;isTemporary&quot;:false},{&quot;id&quot;:&quot;f05834de-9100-393d-817d-19b29cc39b43&quot;,&quot;itemData&quot;:{&quot;type&quot;:&quot;article-journal&quot;,&quot;id&quot;:&quot;f05834de-9100-393d-817d-19b29cc39b43&quot;,&quot;title&quot;:&quot;Explaining medically unexplained symptoms-models and mechanisms&quot;,&quot;author&quot;:[{&quot;family&quot;:&quot;Rief&quot;,&quot;given&quot;:&quot;W&quot;,&quot;parse-names&quot;:false,&quot;dropping-particle&quot;:&quot;&quot;,&quot;non-dropping-particle&quot;:&quot;&quot;},{&quot;family&quot;:&quot;Broadbent&quot;,&quot;given&quot;:&quot;E&quot;,&quot;parse-names&quot;:false,&quot;dropping-particle&quot;:&quot;&quot;,&quot;non-dropping-particle&quot;:&quot;&quot;}],&quot;container-title&quot;:&quot;Clin Psychol Rev&quot;,&quot;DOI&quot;:&quot;10.1016/j.cpr.2007.07.005&quot;,&quot;ISSN&quot;:&quot;0272-7358 (Print)\r0272-7358&quot;,&quot;PMID&quot;:&quot;17716793&quot;,&quot;issued&quot;:{&quot;date-parts&quot;:[[2007]]},&quot;page&quot;:&quot;821-841&quot;,&quot;language&quot;:&quot;eng&quot;,&quot;abstract&quot;:&quot;We summarize the psychological mechanisms that have been linked to the development and maintenance of medically unexplained symptoms (MUS). Many models postulate that patients with MUS misinterpret physical sensations and show other cognitive abnormalities (e.g., an over-exclusive concept of health) that play a major role in symptom development. While there is strong evidence for the role of cognitive aspects, there is less evidence for their interaction with perceptual features (e.g., perceptual sensitivity, lowered perceptual threshold). Modern neuroimaging techniques show that the expectation of symptoms leads to the activation of brain areas corresponding to symptom perception, while distraction from symptoms reduces brain activity in perception areas. The frequently postulated monocausal organic attribution for physical sensations by patients with MUS needs to be modified, as many patients report multiple symptom attributions, including psychological. Symptom attributions and causal models depend on memorized concepts, and so memory processes need to be investigated in more detail. Aberrations in memory processes not only offer a link to understanding perceptual processes, but are also involved in doctor-patient interaction. This encounter is characterized by unsuccessful medical reassurance, which again involves memory processes. We conclude that psychological mechanisms such as expectation, distraction, and memory processes need to be integrated with biological models to aid understanding of MUS.&quot;,&quot;edition&quot;:&quot;2007/08/25&quot;,&quot;issue&quot;:&quot;7&quot;,&quot;volume&quot;:&quot;27&quot;,&quot;container-title-short&quot;:&quot;&quot;},&quot;isTemporary&quot;:false},{&quot;id&quot;:&quot;896987ea-79e2-3d3c-a244-cd7ed2f06f96&quot;,&quot;itemData&quot;:{&quot;type&quot;:&quot;article-journal&quot;,&quot;id&quot;:&quot;896987ea-79e2-3d3c-a244-cd7ed2f06f96&quot;,&quot;title&quot;:&quot;How to use the new DSM-5 somatic symptom disorder diagnosis in research and practice: a critical evaluation and a proposal for modifications&quot;,&quot;author&quot;:[{&quot;family&quot;:&quot;Rief&quot;,&quot;given&quot;:&quot;W&quot;,&quot;parse-names&quot;:false,&quot;dropping-particle&quot;:&quot;&quot;,&quot;non-dropping-particle&quot;:&quot;&quot;},{&quot;family&quot;:&quot;Martin&quot;,&quot;given&quot;:&quot;A&quot;,&quot;parse-names&quot;:false,&quot;dropping-particle&quot;:&quot;&quot;,&quot;non-dropping-particle&quot;:&quot;&quot;}],&quot;container-title&quot;:&quot;Annu Rev Clin Psychol&quot;,&quot;DOI&quot;:&quot;10.1146/annurev-clinpsy-032813-153745&quot;,&quot;ISSN&quot;:&quot;1548-5943&quot;,&quot;PMID&quot;:&quot;24387234&quot;,&quot;issued&quot;:{&quot;date-parts&quot;:[[2014]]},&quot;page&quot;:&quot;339-367&quot;,&quot;language&quot;:&quot;eng&quot;,&quot;abstract&quot;:&quot;The fifth edition of the Diagnostic and Statistical Manual of Mental Disorders (DSM-5) changed the term \&quot;somatoform disorders\&quot; to \&quot;somatic symptom and related disorders\&quot; and further modified diagnostic labels and criteria. We review evidence for the validity of the new criteria, specifically of somatic symptom disorder (SSD), and present a critical discussion of unsolved and new problems. We also provide an update of mechanisms and interventions that have been empirically evaluated in somatoform disorders. For many mechanisms, it is unclear whether their role can be easily transposed to SSD. Therefore more research is needed on the similarities and differences between medically unexplained and medically explained conditions. To overcome the obvious shortcomings of the current classification, we offer a modification of this DSM-5 section as well as a crossover system to apply these criteria for somatic symptom and related disorders. This proposal allows working with DSM-5 but also continuing successful lines of research with concepts such as hypochondriasis/illness anxiety, chronic pain, and medically unexplained versus medically explained syndromes.&quot;,&quot;edition&quot;:&quot;2014/01/07&quot;,&quot;volume&quot;:&quot;10&quot;,&quot;container-title-short&quot;:&quot;&quot;},&quot;isTemporary&quot;:false}],&quot;citationTag&quot;:&quot;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&quot;},{&quot;citationID&quot;:&quot;MENDELEY_CITATION_97936907-80df-49db-a375-9a6e23bb3cba&quot;,&quot;properties&quot;:{&quot;noteIndex&quot;:0},&quot;isEdited&quot;:false,&quot;manualOverride&quot;:{&quot;isManuallyOverridden&quot;:true,&quot;citeprocText&quot;:&quot;(Bewley et al., 2005; Edwards et al., 2012; Goedendorp et al., 2013; Gupta &amp;#38; Lang, 2009; Marcus et al., 2007; Rief &amp;#38; Broadbent, 2007; Rief &amp;#38; Martin, 2014)&quot;,&quot;manualOverrideText&quot;:&quot;(Bewley et al., 2005; M. J. Edwards et al., 2012; Goedendorp et al., 2013; Gupta &amp; Lang, 2009; Marcus et al., 2007; Rief &amp; Broadbent, 2007; Rief &amp; Martin, 2014)&quot;},&quot;citationItems&quot;:[{&quot;id&quot;:&quot;3e043986-c338-34f6-bdec-2a339f1b9d51&quot;,&quot;itemData&quot;:{&quot;type&quot;:&quot;article-journal&quot;,&quot;id&quot;:&quot;3e043986-c338-34f6-bdec-2a339f1b9d51&quot;,&quot;title&quot;:&quot;A Bayesian account of 'hysteria'&quot;,&quot;author&quot;:[{&quot;family&quot;:&quot;Edwards&quot;,&quot;given&quot;:&quot;M J&quot;,&quot;parse-names&quot;:false,&quot;dropping-particle&quot;:&quot;&quot;,&quot;non-dropping-particle&quot;:&quot;&quot;},{&quot;family&quot;:&quot;Adams&quot;,&quot;given&quot;:&quot;R A&quot;,&quot;parse-names&quot;:false,&quot;dropping-particle&quot;:&quot;&quot;,&quot;non-dropping-particle&quot;:&quot;&quot;},{&quot;family&quot;:&quot;Brown&quot;,&quot;given&quot;:&quot;H&quot;,&quot;parse-names&quot;:false,&quot;dropping-particle&quot;:&quot;&quot;,&quot;non-dropping-particle&quot;:&quot;&quot;},{&quot;family&quot;:&quot;Pareés&quot;,&quot;given&quot;:&quot;I&quot;,&quot;parse-names&quot;:false,&quot;dropping-particle&quot;:&quot;&quot;,&quot;non-dropping-particle&quot;:&quot;&quot;},{&quot;family&quot;:&quot;Friston&quot;,&quot;given&quot;:&quot;K J&quot;,&quot;parse-names&quot;:false,&quot;dropping-particle&quot;:&quot;&quot;,&quot;non-dropping-particle&quot;:&quot;&quot;}],&quot;container-title&quot;:&quot;Brain&quot;,&quot;DOI&quot;:&quot;10.1093/brain/aws129&quot;,&quot;ISSN&quot;:&quot;0006-8950 (Print)\r0006-8950&quot;,&quot;PMID&quot;:&quot;22641838&quot;,&quot;issued&quot;:{&quot;date-parts&quot;:[[2012]]},&quot;page&quot;:&quot;3495-3512&quot;,&quot;language&quot;:&quot;eng&quot;,&quot;abstract&quot;:&quot;This article provides a neurobiological account of symptoms that have been called 'hysterical', 'psychogenic' or 'medically unexplained', which we will call functional motor and sensory symptoms. We use a neurobiologically informed model of hierarchical Bayesian inference in the brain to explain functional motor and sensory symptoms in terms of perception and action arising from inference based on prior beliefs and sensory information. This explanation exploits the key balance between prior beliefs and sensory evidence that is mediated by (body focused) attention, symptom expectations, physical and emotional experiences and beliefs about illness. Crucially, this furnishes an explanation at three different levels: (i) underlying neuromodulatory (synaptic) mechanisms; (ii) cognitive and experiential processes (attention and attribution of agency); and (iii) formal computations that underlie perceptual inference (representation of uncertainty or precision). Our explanation involves primary and secondary failures of inference; the primary failure is the (autonomous) emergence of a percept or belief that is held with undue certainty (precision) following top-down attentional modulation of synaptic gain. This belief can constitute a sensory percept (or its absence) or induce movement (or its absence). The secondary failure of inference is when the ensuing percept (and any somatosensory consequences) is falsely inferred to be a symptom to explain why its content was not predicted by the source of attentional modulation. This account accommodates several fundamental observations about functional motor and sensory symptoms, including: (i) their induction and maintenance by attention; (ii) their modification by expectation, prior experience and cultural beliefs and (iii) their involuntary and symptomatic nature.&quot;,&quot;edition&quot;:&quot;2012/05/30&quot;,&quot;issue&quot;:&quot;Pt 11&quot;,&quot;volume&quot;:&quot;135&quot;,&quot;container-title-short&quot;:&quot;&quot;},&quot;isTemporary&quot;:false},{&quot;id&quot;:&quot;7dbd99ed-fab5-327c-81ed-e3911bc437b1&quot;,&quot;itemData&quot;:{&quot;type&quot;:&quot;article-journal&quot;,&quot;id&quot;:&quot;7dbd99ed-fab5-327c-81ed-e3911bc437b1&quot;,&quot;title&quot;:&quot;Psychogenic movement disorders&quot;,&quot;author&quot;:[{&quot;family&quot;:&quot;Gupta&quot;,&quot;given&quot;:&quot;Amitabh&quot;,&quot;parse-names&quot;:false,&quot;dropping-particle&quot;:&quot;&quot;,&quot;non-dropping-particle&quot;:&quot;&quot;},{&quot;family&quot;:&quot;Lang&quot;,&quot;given&quot;:&quot;Anthony E&quot;,&quot;parse-names&quot;:false,&quot;dropping-particle&quot;:&quot;&quot;,&quot;non-dropping-particle&quot;:&quot;&quot;}],&quot;container-title&quot;:&quot;Current Opinion in Neurology&quot;,&quot;container-title-short&quot;:&quot;Curr Opin Neurol&quot;,&quot;DOI&quot;:&quot;10.1097/WCO.0b013e32832dc169&quot;,&quot;ISSN&quot;:&quot;1350-7540&quot;,&quot;PMID&quot;:&quot;00019052-200908000-00015&quot;,&quot;URL&quot;:&quot;https://journals.lww.com/co-neurology/Fulltext/2009/08000/Psychogenic_movement_disorders.15.aspx&quot;,&quot;issued&quot;:{&quot;date-parts&quot;:[[2009]]},&quot;page&quot;:&quot;430-436&quot;,&quot;abstract&quot;:&quot;Purpose of review This review summarizes the progress made in the area of psychogenic movement disorders (PMDs) over the past 2 years, and a simplified classification of diagnostic certainty is proposed that incorporates electrophysiological assessment. Recent findings Functional magnetic resonance imaging studies have demonstrated altered blood flow in conversion disorders that may reflect changes in synaptic activity. Electrophysiological testing shows limitations in distinguishing between psychogenic and organic propriospinal myoclonus and dystonia. Recent evidence cautions against the uncritical acceptance of all cases of posttraumatic myoclonus and ‘jumpy stump’ as being organic in nature. ‘Essential palatal tremor’ is recognized as a rather heterogeneous group of tremors that includes psychogenic tremor. Two recent studies evaluating the long-term prognosis of psychogenic tremor differ in the degree of unfavorable outcome. Different groups of PMDs might have distinctive gait characteristics with prognostic, diagnostic, or therapeutic value. Two recent reviews provide comprehensive information on the understudied area of PMDs in children. Summary The diagnosis of PMDs should not be regarded as a diagnosis of exclusion. Careful clinical assessment is critical, and imaging or electrophysiological studies may provide important insights and confirmation of the diagnosis though some cases remain challenging and current assessments fail to provide needed clarification. Treatment is often delayed, contributing to a largely unfavorable long-term outcome. Well designed randomized control trials that validate and compare therapeutic options are urgently required.&quot;,&quot;issue&quot;:&quot;4&quot;,&quot;volume&quot;:&quot;22&quot;},&quot;isTemporary&quot;:false},{&quot;id&quot;:&quot;ff9a70dc-10c3-3e56-b48a-fa12ff63e1a6&quot;,&quot;itemData&quot;:{&quot;type&quot;:&quot;article-journal&quot;,&quot;id&quot;:&quot;ff9a70dc-10c3-3e56-b48a-fa12ff63e1a6&quot;,&quot;title&quot;:&quot;Does neuropsychological test performance predict outcome of cognitive behavior therapy for Chronic Fatigue Syndrome and what is the role of underperformance?&quot;,&quot;author&quot;:[{&quot;family&quot;:&quot;Goedendorp&quot;,&quot;given&quot;:&quot;Martine M&quot;,&quot;parse-names&quot;:false,&quot;dropping-particle&quot;:&quot;&quot;,&quot;non-dropping-particle&quot;:&quot;&quot;},{&quot;family&quot;:&quot;Werf&quot;,&quot;given&quot;:&quot;Sieberen P&quot;,&quot;parse-names&quot;:false,&quot;dropping-particle&quot;:&quot;&quot;,&quot;non-dropping-particle&quot;:&quot;van der&quot;},{&quot;family&quot;:&quot;Bleijenberg&quot;,&quot;given&quot;:&quot;Gijs&quot;,&quot;parse-names&quot;:false,&quot;dropping-particle&quot;:&quot;&quot;,&quot;non-dropping-particle&quot;:&quot;&quot;},{&quot;family&quot;:&quot;Tummers&quot;,&quot;given&quot;:&quot;Marcia&quot;,&quot;parse-names&quot;:false,&quot;dropping-particle&quot;:&quot;&quot;,&quot;non-dropping-particle&quot;:&quot;&quot;},{&quot;family&quot;:&quot;Knoop&quot;,&quot;given&quot;:&quot;Hans&quot;,&quot;parse-names&quot;:false,&quot;dropping-particle&quot;:&quot;&quot;,&quot;non-dropping-particle&quot;:&quot;&quot;}],&quot;container-title&quot;:&quot;Journal of Psychosomatic Research&quot;,&quot;container-title-short&quot;:&quot;J Psychosom Res&quot;,&quot;DOI&quot;:&quot;https://doi.org/10.1016/j.jpsychores.2013.07.011&quot;,&quot;ISSN&quot;:&quot;0022-3999&quot;,&quot;URL&quot;:&quot;http://www.sciencedirect.com/science/article/pii/S002239991300295X&quot;,&quot;issued&quot;:{&quot;date-parts&quot;:[[2013]]},&quot;page&quot;:&quot;242-248&quot;,&quot;abstract&quot;:&quot;Objective A subgroup of patients with Chronic Fatigue Syndrome (CFS) has cognitive impairments, reflected by deviant neuropsychological test performance. However, abnormal test scores can also be caused by suboptimal effort. We hypothesized that worse neuropsychological test performance and underperformance were related to each other and to a smaller reduction in fatigue, functional impairments, physical limitations and higher dropout rates following cognitive behavior therapy (CBT) for CFS. Methods Data were drawn from a previous trial, in which CFS patients were randomized to two conditions; 1) guided self-instruction and additional CBT (n=84) or 2) waiting period followed by regular CBT for CFS (n=85). Underperformance was assessed using the Amsterdam Short Term Memory Test (&lt;84). To test neuropsychological test performance, the Symbol Digit Modalities Task, a simple reaction time task and a choice reaction time task were used. Interaction effects were determined between underperformance and neuropsychological test performance on therapy outcomes. Results Underperformance was associated to worse neuropsychological test performance, but there were no significant interaction effects of these two factors by therapy on fatigue severity, functional impairments and physical limitations, but there was a significant main effect of underperformance on functional impairments, physical limitations and dropout rates. Conclusion Underperformance or neuropsychological test performance was not related to the change in fatigue, functional impairments, and physical limitations following CBT for CFS. However, underperforming patients did drop out more often. Therapists should pay attention to beliefs and behavioral or environmental factors that might maintain underperformance and increase the risk of dropout.&quot;,&quot;issue&quot;:&quot;3&quot;,&quot;volume&quot;:&quot;75&quot;},&quot;isTemporary&quot;:false},{&quot;id&quot;:&quot;8ce90bbf-4518-3b47-a1f9-344c3bcf0ee5&quot;,&quot;itemData&quot;:{&quot;type&quot;:&quot;article-journal&quot;,&quot;id&quot;:&quot;8ce90bbf-4518-3b47-a1f9-344c3bcf0ee5&quot;,&quot;title&quot;:&quot;Cognitive and perceptual variables in hypochondriasis and health anxiety: a systematic review&quot;,&quot;author&quot;:[{&quot;family&quot;:&quot;Marcus&quot;,&quot;given&quot;:&quot;D K&quot;,&quot;parse-names&quot;:false,&quot;dropping-particle&quot;:&quot;&quot;,&quot;non-dropping-particle&quot;:&quot;&quot;},{&quot;family&quot;:&quot;Gurley&quot;,&quot;given&quot;:&quot;J R&quot;,&quot;parse-names&quot;:false,&quot;dropping-particle&quot;:&quot;&quot;,&quot;non-dropping-particle&quot;:&quot;&quot;},{&quot;family&quot;:&quot;Marchi&quot;,&quot;given&quot;:&quot;M M&quot;,&quot;parse-names&quot;:false,&quot;dropping-particle&quot;:&quot;&quot;,&quot;non-dropping-particle&quot;:&quot;&quot;},{&quot;family&quot;:&quot;Bauer&quot;,&quot;given&quot;:&quot;C&quot;,&quot;parse-names&quot;:false,&quot;dropping-particle&quot;:&quot;&quot;,&quot;non-dropping-particle&quot;:&quot;&quot;}],&quot;container-title&quot;:&quot;Clin Psychol Rev&quot;,&quot;DOI&quot;:&quot;10.1016/j.cpr.2006.09.003&quot;,&quot;ISSN&quot;:&quot;0272-7358 (Print)\r0272-7358&quot;,&quot;PMID&quot;:&quot;17084495&quot;,&quot;issued&quot;:{&quot;date-parts&quot;:[[2007]]},&quot;page&quot;:&quot;127-139&quot;,&quot;language&quot;:&quot;eng&quot;,&quot;abstract&quot;:&quot;This review examined (a) whether hypochondriacal/health-anxious individuals hold distinct assumptions about health and illness, (b) if triggering these assumptions leads to increased hypochondriacal concerns, and (c) whether these individuals perceive their bodily sensations differently from others (i.e., experience greater somatosensory amplification). There was clear evidence that health anxiety is related dysfunctional health-related beliefs. Few studies have examined how hypochondriacal concerns are triggered, and inconsistent results emerged from those that have. Health anxiety is also associated with self-reported higher levels of somatosensory amplification. However, there was little evidence that individuals high in health anxiety are actually more accurate perceivers of the their own autonomic processes. Although the results generally supported the central tenets of the cognitive-behavioral model of hypochondriasis and health anxiety, further research will be necessary to determine whether these beliefs are specific to hypochondriasis and to identify any cognitive processes that may be unique to hypochondriasis.&quot;,&quot;edition&quot;:&quot;2006/11/07&quot;,&quot;issue&quot;:&quot;2&quot;,&quot;volume&quot;:&quot;27&quot;,&quot;container-title-short&quot;:&quot;&quot;},&quot;isTemporary&quot;:false},{&quot;id&quot;:&quot;f05834de-9100-393d-817d-19b29cc39b43&quot;,&quot;itemData&quot;:{&quot;type&quot;:&quot;article-journal&quot;,&quot;id&quot;:&quot;f05834de-9100-393d-817d-19b29cc39b43&quot;,&quot;title&quot;:&quot;Explaining medically unexplained symptoms-models and mechanisms&quot;,&quot;author&quot;:[{&quot;family&quot;:&quot;Rief&quot;,&quot;given&quot;:&quot;W&quot;,&quot;parse-names&quot;:false,&quot;dropping-particle&quot;:&quot;&quot;,&quot;non-dropping-particle&quot;:&quot;&quot;},{&quot;family&quot;:&quot;Broadbent&quot;,&quot;given&quot;:&quot;E&quot;,&quot;parse-names&quot;:false,&quot;dropping-particle&quot;:&quot;&quot;,&quot;non-dropping-particle&quot;:&quot;&quot;}],&quot;container-title&quot;:&quot;Clin Psychol Rev&quot;,&quot;DOI&quot;:&quot;10.1016/j.cpr.2007.07.005&quot;,&quot;ISSN&quot;:&quot;0272-7358 (Print)\r0272-7358&quot;,&quot;PMID&quot;:&quot;17716793&quot;,&quot;issued&quot;:{&quot;date-parts&quot;:[[2007]]},&quot;page&quot;:&quot;821-841&quot;,&quot;language&quot;:&quot;eng&quot;,&quot;abstract&quot;:&quot;We summarize the psychological mechanisms that have been linked to the development and maintenance of medically unexplained symptoms (MUS). Many models postulate that patients with MUS misinterpret physical sensations and show other cognitive abnormalities (e.g., an over-exclusive concept of health) that play a major role in symptom development. While there is strong evidence for the role of cognitive aspects, there is less evidence for their interaction with perceptual features (e.g., perceptual sensitivity, lowered perceptual threshold). Modern neuroimaging techniques show that the expectation of symptoms leads to the activation of brain areas corresponding to symptom perception, while distraction from symptoms reduces brain activity in perception areas. The frequently postulated monocausal organic attribution for physical sensations by patients with MUS needs to be modified, as many patients report multiple symptom attributions, including psychological. Symptom attributions and causal models depend on memorized concepts, and so memory processes need to be investigated in more detail. Aberrations in memory processes not only offer a link to understanding perceptual processes, but are also involved in doctor-patient interaction. This encounter is characterized by unsuccessful medical reassurance, which again involves memory processes. We conclude that psychological mechanisms such as expectation, distraction, and memory processes need to be integrated with biological models to aid understanding of MUS.&quot;,&quot;edition&quot;:&quot;2007/08/25&quot;,&quot;issue&quot;:&quot;7&quot;,&quot;volume&quot;:&quot;27&quot;,&quot;container-title-short&quot;:&quot;&quot;},&quot;isTemporary&quot;:false},{&quot;id&quot;:&quot;896987ea-79e2-3d3c-a244-cd7ed2f06f96&quot;,&quot;itemData&quot;:{&quot;type&quot;:&quot;article-journal&quot;,&quot;id&quot;:&quot;896987ea-79e2-3d3c-a244-cd7ed2f06f96&quot;,&quot;title&quot;:&quot;How to use the new DSM-5 somatic symptom disorder diagnosis in research and practice: a critical evaluation and a proposal for modifications&quot;,&quot;author&quot;:[{&quot;family&quot;:&quot;Rief&quot;,&quot;given&quot;:&quot;W&quot;,&quot;parse-names&quot;:false,&quot;dropping-particle&quot;:&quot;&quot;,&quot;non-dropping-particle&quot;:&quot;&quot;},{&quot;family&quot;:&quot;Martin&quot;,&quot;given&quot;:&quot;A&quot;,&quot;parse-names&quot;:false,&quot;dropping-particle&quot;:&quot;&quot;,&quot;non-dropping-particle&quot;:&quot;&quot;}],&quot;container-title&quot;:&quot;Annu Rev Clin Psychol&quot;,&quot;DOI&quot;:&quot;10.1146/annurev-clinpsy-032813-153745&quot;,&quot;ISSN&quot;:&quot;1548-5943&quot;,&quot;PMID&quot;:&quot;24387234&quot;,&quot;issued&quot;:{&quot;date-parts&quot;:[[2014]]},&quot;page&quot;:&quot;339-367&quot;,&quot;language&quot;:&quot;eng&quot;,&quot;abstract&quot;:&quot;The fifth edition of the Diagnostic and Statistical Manual of Mental Disorders (DSM-5) changed the term \&quot;somatoform disorders\&quot; to \&quot;somatic symptom and related disorders\&quot; and further modified diagnostic labels and criteria. We review evidence for the validity of the new criteria, specifically of somatic symptom disorder (SSD), and present a critical discussion of unsolved and new problems. We also provide an update of mechanisms and interventions that have been empirically evaluated in somatoform disorders. For many mechanisms, it is unclear whether their role can be easily transposed to SSD. Therefore more research is needed on the similarities and differences between medically unexplained and medically explained conditions. To overcome the obvious shortcomings of the current classification, we offer a modification of this DSM-5 section as well as a crossover system to apply these criteria for somatic symptom and related disorders. This proposal allows working with DSM-5 but also continuing successful lines of research with concepts such as hypochondriasis/illness anxiety, chronic pain, and medically unexplained versus medically explained syndromes.&quot;,&quot;edition&quot;:&quot;2014/01/07&quot;,&quot;volume&quot;:&quot;10&quot;,&quot;container-title-short&quot;:&quot;&quot;},&quot;isTemporary&quot;:false},{&quot;id&quot;:&quot;989fdd90-7ca9-3941-8b23-e086af8ba4fa&quot;,&quot;itemData&quot;:{&quot;type&quot;:&quot;article-journal&quot;,&quot;id&quot;:&quot;989fdd90-7ca9-3941-8b23-e086af8ba4fa&quot;,&quot;title&quot;:&quot;Does alexithymia differentiate between patients with nonepileptic seizures, patients with epilepsy, and nonpatient controls?&quot;,&quot;author&quot;:[{&quot;family&quot;:&quot;Bewley&quot;,&quot;given&quot;:&quot;Jane&quot;,&quot;parse-names&quot;:false,&quot;dropping-particle&quot;:&quot;&quot;,&quot;non-dropping-particle&quot;:&quot;&quot;},{&quot;family&quot;:&quot;Murphy&quot;,&quot;given&quot;:&quot;Philip N&quot;,&quot;parse-names&quot;:false,&quot;dropping-particle&quot;:&quot;&quot;,&quot;non-dropping-particle&quot;:&quot;&quot;},{&quot;family&quot;:&quot;Mallows&quot;,&quot;given&quot;:&quot;Jenna&quot;,&quot;parse-names&quot;:false,&quot;dropping-particle&quot;:&quot;&quot;,&quot;non-dropping-particle&quot;:&quot;&quot;},{&quot;family&quot;:&quot;Baker&quot;,&quot;given&quot;:&quot;Gus A&quot;,&quot;parse-names&quot;:false,&quot;dropping-particle&quot;:&quot;&quot;,&quot;non-dropping-particle&quot;:&quot;&quot;}],&quot;container-title&quot;:&quot;Epilepsy &amp; Behavior&quot;,&quot;DOI&quot;:&quot;10.1016/j.yebeh.2005.06.006&quot;,&quot;ISSN&quot;:&quot;1525-5050&quot;,&quot;issued&quot;:{&quot;date-parts&quot;:[[2005]]},&quot;page&quot;:&quot;430-437&quot;,&quot;publisher&quot;:&quot;Elsevier BV&quot;,&quot;issue&quot;:&quot;3&quot;,&quot;volume&quot;:&quot;7&quot;,&quot;container-title-short&quot;:&quot;&quot;},&quot;isTemporary&quot;:false}],&quot;citationTag&quot;:&quot;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&quot;},{&quot;citationID&quot;:&quot;MENDELEY_CITATION_0e339fbb-c246-43e4-a692-790700a4d8d6&quot;,&quot;properties&quot;:{&quot;noteIndex&quot;:0},&quot;isEdited&quot;:false,&quot;manualOverride&quot;:{&quot;isManuallyOverridden&quot;:true,&quot;citeprocText&quot;:&quot;(Allendorfer et al., 2019; Apazoglou et al., 2017; Novakova et al., 2017; Pick et al., 2018)&quot;,&quot;manualOverrideText&quot;:&quot;(Allendorfer et al., 2019; Apazoglou et al., 2017; Novakova et al., 2017; Pick et al., 2018a)&quot;},&quot;citationItems&quot;:[{&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id&quot;:&quot;4d6e25df-581e-3961-9db4-bb0ccec6e193&quot;,&quot;itemData&quot;:{&quot;type&quot;:&quot;article-journal&quot;,&quot;id&quot;:&quot;4d6e25df-581e-3961-9db4-bb0ccec6e193&quot;,&quot;title&quot;:&quot;FMRI response to acute psychological stress differentiates patients with psychogenic non-epileptic seizures from healthy controls - A biochemical and neuroimaging biomarker study&quot;,&quot;author&quot;:[{&quot;family&quot;:&quot;Allendorfer&quot;,&quot;given&quot;:&quot;Jane B&quot;,&quot;parse-names&quot;:false,&quot;dropping-particle&quot;:&quot;&quot;,&quot;non-dropping-particle&quot;:&quot;&quot;},{&quot;family&quot;:&quot;Nenert&quot;,&quot;given&quot;:&quot;Rodolphe&quot;,&quot;parse-names&quot;:false,&quot;dropping-particle&quot;:&quot;&quot;,&quot;non-dropping-particle&quot;:&quot;&quot;},{&quot;family&quot;:&quot;Hernando&quot;,&quot;given&quot;:&quot;Kathleen A&quot;,&quot;parse-names&quot;:false,&quot;dropping-particle&quot;:&quot;&quot;,&quot;non-dropping-particle&quot;:&quot;&quot;},{&quot;family&quot;:&quot;DeWolfe&quot;,&quot;given&quot;:&quot;Jennifer L&quot;,&quot;parse-names&quot;:false,&quot;dropping-particle&quot;:&quot;&quot;,&quot;non-dropping-particle&quot;:&quot;&quot;},{&quot;family&quot;:&quot;Pati&quot;,&quot;given&quot;:&quot;Sandipan&quot;,&quot;parse-names&quot;:false,&quot;dropping-particle&quot;:&quot;&quot;,&quot;non-dropping-particle&quot;:&quot;&quot;},{&quot;family&quot;:&quot;Thomas&quot;,&quot;given&quot;:&quot;Ashley E&quot;,&quot;parse-names&quot;:false,&quot;dropping-particle&quot;:&quot;&quot;,&quot;non-dropping-particle&quot;:&quot;&quot;},{&quot;family&quot;:&quot;Billeaud&quot;,&quot;given&quot;:&quot;Neil&quot;,&quot;parse-names&quot;:false,&quot;dropping-particle&quot;:&quot;&quot;,&quot;non-dropping-particle&quot;:&quot;&quot;},{&quot;family&quot;:&quot;Martin&quot;,&quot;given&quot;:&quot;Roy C&quot;,&quot;parse-names&quot;:false,&quot;dropping-particle&quot;:&quot;&quot;,&quot;non-dropping-particle&quot;:&quot;&quot;},{&quot;family&quot;:&quot;Szaflarski&quot;,&quot;given&quot;:&quot;Jerzy P&quot;,&quot;parse-names&quot;:false,&quot;dropping-particle&quot;:&quot;&quot;,&quot;non-dropping-particle&quot;:&quot;&quot;}],&quot;container-title&quot;:&quot;NeuroImage. Clinical&quot;,&quot;container-title-short&quot;:&quot;Neuroimage Clin&quot;,&quot;DOI&quot;:&quot;10.1016/j.nicl.2019.101967&quot;,&quot;ISSN&quot;:&quot;2213-1582&quot;,&quot;PMID&quot;:&quot;31446314&quot;,&quot;URL&quot;:&quot;http://europepmc.org/abstract/MED/31446314&quot;,&quot;issued&quot;:{&quot;date-parts&quot;:[[2019]]},&quot;page&quot;:&quot;101967&quot;,&quot;language&quot;:&quot;eng&quot;,&quot;volume&quot;:&quot;24&quot;},&quot;isTemporary&quot;:false},{&quot;id&quot;:&quot;d6067ae8-0b9d-326f-b78b-8e4a23ee68a2&quot;,&quot;itemData&quot;:{&quot;type&quot;:&quot;article-journal&quot;,&quot;id&quot;:&quot;d6067ae8-0b9d-326f-b78b-8e4a23ee68a2&quot;,&quot;title&quot;:&quot;Diurnal patterns and relationships between physiological and self-reported stress in patients with epilepsy and psychogenic non-epileptic seizures&quot;,&quot;author&quot;:[{&quot;family&quot;:&quot;Novakova&quot;,&quot;given&quot;:&quot;B&quot;,&quot;parse-names&quot;:false,&quot;dropping-particle&quot;:&quot;&quot;,&quot;non-dropping-particle&quot;:&quot;&quot;},{&quot;family&quot;:&quot;Harris&quot;,&quot;given&quot;:&quot;P R&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7.03.006&quot;,&quot;ISSN&quot;:&quot;1525-5050&quot;,&quot;PMID&quot;:&quot;28432961&quot;,&quot;issued&quot;:{&quot;date-parts&quot;:[[2017]]},&quot;page&quot;:&quot;204-211&quot;,&quot;language&quot;:&quot;eng&quot;,&quot;abstract&quot;:&quot;PURPOSE: Patients with epilepsy and those with psychogenic non-epileptic seizures (PNES) experience high levels of stress and stress is one of the most frequently self-identified seizure precipitants. Although stress is a multifaceted phenomenon, few studies have systematically examined its different components in patients with seizures. The aim of this study was therefore to describe diurnal patterns of psychological and physiological measures of stress in patients with epilepsy and patients with PNES, and explore their relationships to each other in order to improve our understanding of the mechanisms underlying stress and seizure occurrence in these patients. METHOD: A range of stress markers including self-reported stress, salivary cortisol, and heart rate variability (HRV) were explored in adult patients with refractory epilepsy (N=22) and those with PNES (N=23) undergoing three- to five-day video-telemetry. RESULTS: A diurnal pattern was observed in the physiological measures, characterized by higher levels of physiological arousal in the mornings and lower levels at night in both patients with epilepsy and PNES. The physiological measures (cortisol and HRV) were associated with each other in patients with epilepsy; no close relationship was found with self-reported stress in either of the two patient groups. CONCLUSION: The findings contribute to and expand on previous studies of the patterns of stress in patients with seizures. The results also indicate a discrepancy between patients' physiological responses and their subjective stress perceptions, suggesting that simple self-reports cannot be used as a proxy of physiological arousal in patients with seizures and stress. Stress in these patient groups should be studied using a combination of complementary measures.&quot;,&quot;edition&quot;:&quot;2017/04/23&quot;,&quot;issue&quot;:&quot;Pt A&quot;,&quot;volume&quot;:&quot;70&quot;,&quot;container-title-short&quot;:&quot;&quot;},&quot;isTemporary&quot;:false},{&quot;id&quot;:&quot;86566697-1b64-318c-a326-c7e05239587b&quot;,&quot;itemData&quot;:{&quot;type&quot;:&quot;article-journal&quot;,&quot;id&quot;:&quot;86566697-1b64-318c-a326-c7e05239587b&quot;,&quot;title&quot;:&quot;Autonomic and subjective responsivity to emotional images in people with dissociative seizures&quot;,&quot;author&quot;:[{&quot;family&quot;:&quot;Pick&quot;,&quot;given&quot;:&quot;S&quot;,&quot;parse-names&quot;:false,&quot;dropping-particle&quot;:&quot;&quot;,&quot;non-dropping-particle&quot;:&quot;&quot;},{&quot;family&quot;:&quot;Mellers&quot;,&quot;given&quot;:&quot;J D C&quot;,&quot;parse-names&quot;:false,&quot;dropping-particle&quot;:&quot;&quot;,&quot;non-dropping-particle&quot;:&quot;&quot;},{&quot;family&quot;:&quot;Goldstein&quot;,&quot;given&quot;:&quot;L H&quot;,&quot;parse-names&quot;:false,&quot;dropping-particle&quot;:&quot;&quot;,&quot;non-dropping-particle&quot;:&quot;&quot;}],&quot;container-title&quot;:&quot;J Neuropsychol&quot;,&quot;DOI&quot;:&quot;10.1111/jnp.12144&quot;,&quot;ISSN&quot;:&quot;1748-6645 (Print)\r1748-6645&quot;,&quot;PMID&quot;:&quot;29285879&quot;,&quot;issued&quot;:{&quot;date-parts&quot;:[[2018]]},&quot;page&quot;:&quot;341-355&quot;,&quot;language&quot;:&quot;eng&quot;,&quot;abstract&quot;:&quot;People with dissociative seizures (DS) report a range of difficulties in emotional functioning and exhibit altered responding to emotional facial expressions in experimental tasks. We extended this research by investigating subjective and autonomic reactivity (ratings of emotional valence, arousal and skin conductance responses [SCRs]) to general emotional images in 39 people with DS relative to 42 healthy control participants, whilst controlling for anxiety, depression, cognitive functioning and, where relevant, medication use. It was predicted that greater subjective negativity and arousal and increased SCRs in response to the affective pictures would be observed in the DS group. The DS group as a whole did not differ from controls in their subjective responses of valence and arousal. However, SCR amplitudes were greater in 'autonomic responders' with DS relative to 'autonomic responders' in the control group. A positive correlation was also observed between SCRs for highly arousing negative pictures and self-reported ictal autonomic arousal, in DS 'autonomic responders'. In the DS subgroup of autonomic 'non-responders', differences in subjective responses were observed for some conditions, compared to control 'non-responders'. The findings indicate unaffected subjective responses to emotional images in people with DS overall. However, within the group of people with DS, there may be subgroups characterized by differences in emotional responding. One subgroup (i.e., 'autonomic responders') exhibit heightened autonomic responses but intact subjective emotional experience, whilst another subgroup (i.e., 'autonomic non-responders') seem to experience greater subjective negativity and arousal for some emotional stimuli, despite less frequent autonomic reactions. The current results suggest that therapeutic interventions targeting awareness and regulation of physiological arousal and subjective emotional experience could be of value in some people with this disorder.&quot;,&quot;edition&quot;:&quot;2017/12/30&quot;,&quot;issue&quot;:&quot;2&quot;,&quot;volume&quot;:&quot;12&quot;},&quot;isTemporary&quot;:false}],&quot;citationTag&quot;:&quot;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&quot;},{&quot;citationID&quot;:&quot;MENDELEY_CITATION_ab5f8c52-9fe0-4808-96eb-6fb78b7afe12&quot;,&quot;properties&quot;:{&quot;noteIndex&quot;:0},&quot;isEdited&quot;:false,&quot;manualOverride&quot;:{&quot;isManuallyOverridden&quot;:false,&quot;citeprocText&quot;:&quot;(Dimaro et al., 2014)&quot;,&quot;manualOverrideText&quot;:&quot;&quot;},&quot;citationItems&quot;:[{&quot;id&quot;:&quot;53a2d08d-a04a-3346-8fcc-a50bddd7b125&quot;,&quot;itemData&quot;:{&quot;type&quot;:&quot;article-journal&quot;,&quot;id&quot;:&quot;53a2d08d-a04a-3346-8fcc-a50bddd7b125&quot;,&quot;title&quot;:&quot;Anxiety and avoidance in psychogenic nonepileptic seizures: The role of implicit and explicit anxiety&quot;,&quot;author&quot;:[{&quot;family&quot;:&quot;Dimaro&quot;,&quot;given&quot;:&quot;Lian&quot;,&quot;parse-names&quot;:false,&quot;dropping-particle&quot;:&quot;V&quot;,&quot;non-dropping-particle&quot;:&quot;&quot;},{&quot;family&quot;:&quot;Dawson&quot;,&quot;given&quot;:&quot;David L&quot;,&quot;parse-names&quot;:false,&quot;dropping-particle&quot;:&quot;&quot;,&quot;non-dropping-particle&quot;:&quot;&quot;},{&quot;family&quot;:&quot;Roberts&quot;,&quot;given&quot;:&quot;Nicole A&quot;,&quot;parse-names&quot;:false,&quot;dropping-particle&quot;:&quot;&quot;,&quot;non-dropping-particle&quot;:&quot;&quot;},{&quot;family&quot;:&quot;Brown&quot;,&quot;given&quot;:&quot;Ian&quot;,&quot;parse-names&quot;:false,&quot;dropping-particle&quot;:&quot;&quot;,&quot;non-dropping-particle&quot;:&quot;&quot;},{&quot;family&quot;:&quot;Moghaddam&quot;,&quot;given&quot;:&quot;Nima G&quot;,&quot;parse-names&quot;:false,&quot;dropping-particle&quot;:&quot;&quot;,&quot;non-dropping-particle&quot;:&quot;&quot;},{&quot;family&quot;:&quot;Reuber&quot;,&quot;given&quot;:&quot;Markus&quot;,&quot;parse-names&quot;:false,&quot;dropping-particle&quot;:&quot;&quot;,&quot;non-dropping-particle&quot;:&quot;&quot;}],&quot;container-title&quot;:&quot;Epilepsy &amp; Behavior&quot;,&quot;DOI&quot;:&quot;10.1016/j.yebeh.2014.02.016&quot;,&quot;ISSN&quot;:&quot;1525-5050&quot;,&quot;URL&quot;:&quot;http://eprints.lincoln.ac.uk/13571/7/13571%20Dimaro%20Anxiety%20NEAD%20Published%20for%20Archiving%202014.pdf&quot;,&quot;issued&quot;:{&quot;date-parts&quot;:[[2014]]},&quot;page&quot;:&quot;77-86&quot;,&quot;publisher&quot;:&quot;Elsevier BV&quot;,&quot;volume&quot;:&quot;33&quot;,&quot;container-title-short&quot;:&quot;&quot;},&quot;isTemporary&quot;:false}],&quot;citationTag&quot;:&quot;MENDELEY_CITATION_v3_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&quot;},{&quot;citationID&quot;:&quot;MENDELEY_CITATION_1b38a9fa-0c50-4352-b59c-15c6f02b763a&quot;,&quot;properties&quot;:{&quot;noteIndex&quot;:0},&quot;isEdited&quot;:false,&quot;manualOverride&quot;:{&quot;isManuallyOverridden&quot;:false,&quot;citeprocText&quot;:&quot;(Goldstein &amp;#38; Mellers, 2006)&quot;,&quot;manualOverrideText&quot;:&quot;&quot;},&quot;citationItems&quot;:[{&quot;id&quot;:&quot;6fef1b74-992e-3377-a619-2f6781fcbe8c&quot;,&quot;itemData&quot;:{&quot;type&quot;:&quot;article-journal&quot;,&quot;id&quot;:&quot;6fef1b74-992e-3377-a619-2f6781fcbe8c&quot;,&quot;title&quot;:&quot;Ictal symptoms of anxiety, avoidance behaviour, and dissociation in patients with dissociative seizures&quot;,&quot;author&quot;:[{&quot;family&quot;:&quot;Goldstein&quot;,&quot;given&quot;:&quot;L H&quot;,&quot;parse-names&quot;:false,&quot;dropping-particle&quot;:&quot;&quot;,&quot;non-dropping-particle&quot;:&quot;&quot;},{&quot;family&quot;:&quot;Mellers&quot;,&quot;given&quot;:&quot;J D&quot;,&quot;parse-names&quot;:false,&quot;dropping-particle&quot;:&quot;&quot;,&quot;non-dropping-particle&quot;:&quot;&quot;}],&quot;container-title&quot;:&quot;J Neurol Neurosurg Psychiatry&quot;,&quot;DOI&quot;:&quot;10.1136/jnnp.2005.066878&quot;,&quot;ISSN&quot;:&quot;0022-3050 (Print)\r0022-3050&quot;,&quot;PMID&quot;:&quot;16614021&quot;,&quot;issued&quot;:{&quot;date-parts&quot;:[[2006]]},&quot;page&quot;:&quot;616-621&quot;,&quot;language&quot;:&quot;eng&quot;,&quot;abstract&quot;:&quot;OBJECTIVE: To examine anxiety related seizure symptoms and avoidance behaviour in adults with dissociative (psychogenic non-epileptic) seizures (DS) in comparison with a group suffering from partial epilepsy. METHODS: 25 DS and 19 epilepsy patients completed an attack symptom measure, the hospital anxiety and depression scale, the dissociative experiences scale, and the fear questionnaire. RESULTS: DS patients reported the presence of significantly greater numbers of somatic symptoms of anxiety during their attacks than the epilepsy group, despite not reporting subjectively higher levels of anxiety. The DS patients also reported higher levels of agoraphobic-type avoidance behaviour than the epilepsy group. Measures of dissociation were higher in the DS group, who also reported greater symptoms of depression. CONCLUSIONS: The findings support a model whereby DS occur as a paroxysmal, dissociative response to heightened arousal in the absence of raised general anxiety levels. The model has practical implications for clinical assessment and treatment: in clinical practice, inquiry about these symptoms may help in the diagnosis of DS; with respect to treatment, the anxiety related symptoms and avoidance behaviour prevalent in DS are a potential focus for a cognitive behavioural approach analogous to that used in the treatment of other anxiety disorders.&quot;,&quot;edition&quot;:&quot;2006/04/15&quot;,&quot;issue&quot;:&quot;5&quot;,&quot;volume&quot;:&quot;77&quot;,&quot;container-title-short&quot;:&quot;&quot;},&quot;isTemporary&quot;:false}],&quot;citationTag&quot;:&quot;MENDELEY_CITATION_v3_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&quot;},{&quot;citationID&quot;:&quot;MENDELEY_CITATION_966ae929-4166-4780-8957-defd27f296ae&quot;,&quot;properties&quot;:{&quot;noteIndex&quot;:0},&quot;isEdited&quot;:false,&quot;manualOverride&quot;:{&quot;isManuallyOverridden&quot;:false,&quot;citeprocText&quot;:&quot;(Frank et al., 2011; Goverover et al., 2005; Rueda et al., 2015; Zeintl et al., 2006)&quot;,&quot;manualOverrideText&quot;:&quot;&quot;},&quot;citationItems&quot;:[{&quot;id&quot;:&quot;e27ff285-0a49-37a0-a845-7d3c5ed4be81&quot;,&quot;itemData&quot;:{&quot;type&quot;:&quot;article-journal&quot;,&quot;id&quot;:&quot;e27ff285-0a49-37a0-a845-7d3c5ed4be81&quot;,&quot;title&quot;:&quot;Self-rated and informant-rated everyday function in comparison to objective markers of Alzheimer's disease&quot;,&quot;author&quot;:[{&quot;family&quot;:&quot;Rueda&quot;,&quot;given&quot;:&quot;A D&quot;,&quot;parse-names&quot;:false,&quot;dropping-particle&quot;:&quot;&quot;,&quot;non-dropping-particle&quot;:&quot;&quot;},{&quot;family&quot;:&quot;Lau&quot;,&quot;given&quot;:&quot;K M&quot;,&quot;parse-names&quot;:false,&quot;dropping-particle&quot;:&quot;&quot;,&quot;non-dropping-particle&quot;:&quot;&quot;},{&quot;family&quot;:&quot;Saito&quot;,&quot;given&quot;:&quot;N&quot;,&quot;parse-names&quot;:false,&quot;dropping-particle&quot;:&quot;&quot;,&quot;non-dropping-particle&quot;:&quot;&quot;},{&quot;family&quot;:&quot;Harvey&quot;,&quot;given&quot;:&quot;D&quot;,&quot;parse-names&quot;:false,&quot;dropping-particle&quot;:&quot;&quot;,&quot;non-dropping-particle&quot;:&quot;&quot;},{&quot;family&quot;:&quot;Risacher&quot;,&quot;given&quot;:&quot;S L&quot;,&quot;parse-names&quot;:false,&quot;dropping-particle&quot;:&quot;&quot;,&quot;non-dropping-particle&quot;:&quot;&quot;},{&quot;family&quot;:&quot;Aisen&quot;,&quot;given&quot;:&quot;P S&quot;,&quot;parse-names&quot;:false,&quot;dropping-particle&quot;:&quot;&quot;,&quot;non-dropping-particle&quot;:&quot;&quot;},{&quot;family&quot;:&quot;Petersen&quot;,&quot;given&quot;:&quot;R C&quot;,&quot;parse-names&quot;:false,&quot;dropping-particle&quot;:&quot;&quot;,&quot;non-dropping-particle&quot;:&quot;&quot;},{&quot;family&quot;:&quot;Saykin&quot;,&quot;given&quot;:&quot;A J&quot;,&quot;parse-names&quot;:false,&quot;dropping-particle&quot;:&quot;&quot;,&quot;non-dropping-particle&quot;:&quot;&quot;},{&quot;family&quot;:&quot;Farias&quot;,&quot;given&quot;:&quot;S T&quot;,&quot;parse-names&quot;:false,&quot;dropping-particle&quot;:&quot;&quot;,&quot;non-dropping-particle&quot;:&quot;&quot;}],&quot;container-title&quot;:&quot;Alzheimers Dement&quot;,&quot;DOI&quot;:&quot;10.1016/j.jalz.2014.09.002&quot;,&quot;ISSN&quot;:&quot;1552-5260 (Print)\r1552-5260&quot;,&quot;PMID&quot;:&quot;25449531&quot;,&quot;issued&quot;:{&quot;date-parts&quot;:[[2015]]},&quot;page&quot;:&quot;1080-1089&quot;,&quot;language&quot;:&quot;eng&quot;,&quot;abstract&quot;:&quot;It is recognized that individuals with mild cognitive impairment (MCI) already demonstrate difficulty in aspects of daily functioning, which predicts disease progression. This study examined the relationship between self- versus informant-report of functional ability, and how those reports relate to objective disease measures across the disease spectrum (i.e. cognitively normal, MCI, Alzheimer's disease). A total of 1080 subjects with self- and/or informant-rated Everyday Cognition questionnaires were included. Objective measures included cognitive functioning, structural brain atrophy, cerebrospinal fluid abnormalities, and a marker of amyloid deposition using positron emission tomography with [18F]AV45 (florbetapir). Overall, informant-report was consistently more associated with objective markers of disease than self-report although self-reported functional status may still have some utility in early disease.&quot;,&quot;edition&quot;:&quot;2014/12/03&quot;,&quot;issue&quot;:&quot;9&quot;,&quot;volume&quot;:&quot;11&quot;,&quot;container-title-short&quot;:&quot;&quot;},&quot;isTemporary&quot;:false},{&quot;id&quot;:&quot;3748e05e-849b-38f0-a243-cb6a5f36fd5e&quot;,&quot;itemData&quot;:{&quot;type&quot;:&quot;article-journal&quot;,&quot;id&quot;:&quot;3748e05e-849b-38f0-a243-cb6a5f36fd5e&quot;,&quot;title&quot;:&quot;Prospective Memory Complaints Can Be Predicted by Prospective Memory Performance in Older Adults&quot;,&quot;author&quot;:[{&quot;family&quot;:&quot;Zeintl&quot;,&quot;given&quot;:&quot;M&quot;,&quot;parse-names&quot;:false,&quot;dropping-particle&quot;:&quot;&quot;,&quot;non-dropping-particle&quot;:&quot;&quot;},{&quot;family&quot;:&quot;Kliegel&quot;,&quot;given&quot;:&quot;M&quot;,&quot;parse-names&quot;:false,&quot;dropping-particle&quot;:&quot;&quot;,&quot;non-dropping-particle&quot;:&quot;&quot;},{&quot;family&quot;:&quot;Rast&quot;,&quot;given&quot;:&quot;P&quot;,&quot;parse-names&quot;:false,&quot;dropping-particle&quot;:&quot;&quot;,&quot;non-dropping-particle&quot;:&quot;&quot;},{&quot;family&quot;:&quot;Zimprich&quot;,&quot;given&quot;:&quot;D&quot;,&quot;parse-names&quot;:false,&quot;dropping-particle&quot;:&quot;&quot;,&quot;non-dropping-particle&quot;:&quot;&quot;}],&quot;container-title&quot;:&quot;Dementia and Geriatric Cognitive Disorders&quot;,&quot;container-title-short&quot;:&quot;Dement Geriatr Cogn Disord&quot;,&quot;DOI&quot;:&quot;10.1159/000094915&quot;,&quot;ISSN&quot;:&quot;1420-8008&quot;,&quot;URL&quot;:&quot;https://www.karger.com/DOI/10.1159/000094915&quot;,&quot;issued&quot;:{&quot;date-parts&quot;:[[2006]]},&quot;page&quot;:&quot;209-215&quot;,&quot;abstract&quot;:&quot;&lt;i&gt;Background/Aims:&lt;/i&gt; The aim of this study was to explore if prospective memory complaints reflect actual prospective memory performance in older adults. &lt;i&gt;Methods:&lt;/i&gt; Three hundred and sixty-four older adults aged 65–80 years were investigated with regard to prospective memory complaints, prospective memory test performance, self-reported depressive symptoms, and self-reported memory capacity. &lt;i&gt;Results:&lt;/i&gt; Separate analyses revealed that about half of the participants showed a significant relation between subjective and objective prospective memory. &lt;i&gt;Conclusion:&lt;/i&gt; Older adults appear to be heterogeneous with regard to the association between objective and subjective prospective memory. For older adults with relatively few depressive symptoms and memory concerns, prospective memory complaints may serve as a valid criterion in the assessment of prospective memory ability.&quot;,&quot;issue&quot;:&quot;3&quot;,&quot;volume&quot;:&quot;22&quot;},&quot;isTemporary&quot;:false},{&quot;id&quot;:&quot;13be7b05-9d2e-3700-b9a6-fbe6d0c6cf2e&quot;,&quot;itemData&quot;:{&quot;type&quot;:&quot;article-journal&quot;,&quot;id&quot;:&quot;13be7b05-9d2e-3700-b9a6-fbe6d0c6cf2e&quot;,&quot;title&quot;:&quot;The Relation Between Subjective and Objective Measures of Everyday Life Activities in Persons With Multiple Sclerosis&quot;,&quot;author&quot;:[{&quot;family&quot;:&quot;Goverover&quot;,&quot;given&quot;:&quot;Yael&quot;,&quot;parse-names&quot;:false,&quot;dropping-particle&quot;:&quot;&quot;,&quot;non-dropping-particle&quot;:&quot;&quot;},{&quot;family&quot;:&quot;Kalmar&quot;,&quot;given&quot;:&quot;Jessica&quot;,&quot;parse-names&quot;:false,&quot;dropping-particle&quot;:&quot;&quot;,&quot;non-dropping-particle&quot;:&quot;&quot;},{&quot;family&quot;:&quot;Gaudino-Goering&quot;,&quot;given&quot;:&quot;Elizabeth&quot;,&quot;parse-names&quot;:false,&quot;dropping-particle&quot;:&quot;&quot;,&quot;non-dropping-particle&quot;:&quot;&quot;},{&quot;family&quot;:&quot;Shawaryn&quot;,&quot;given&quot;:&quot;Marla&quot;,&quot;parse-names&quot;:false,&quot;dropping-particle&quot;:&quot;&quot;,&quot;non-dropping-particle&quot;:&quot;&quot;},{&quot;family&quot;:&quot;Moore&quot;,&quot;given&quot;:&quot;Nancy B&quot;,&quot;parse-names&quot;:false,&quot;dropping-particle&quot;:&quot;&quot;,&quot;non-dropping-particle&quot;:&quot;&quot;},{&quot;family&quot;:&quot;Halper&quot;,&quot;given&quot;:&quot;June&quot;,&quot;parse-names&quot;:false,&quot;dropping-particle&quot;:&quot;&quot;,&quot;non-dropping-particle&quot;:&quot;&quot;},{&quot;family&quot;:&quot;DeLuca&quot;,&quot;given&quot;:&quot;John&quot;,&quot;parse-names&quot;:false,&quot;dropping-particle&quot;:&quot;&quot;,&quot;non-dropping-particle&quot;:&quot;&quot;}],&quot;container-title&quot;:&quot;Archives of Physical Medicine and Rehabilitation&quot;,&quot;container-title-short&quot;:&quot;Arch Phys Med Rehabil&quot;,&quot;DOI&quot;:&quot;https://doi.org/10.1016/j.apmr.2005.05.016&quot;,&quot;ISSN&quot;:&quot;0003-9993&quot;,&quot;URL&quot;:&quot;http://www.sciencedirect.com/science/article/pii/S0003999305005228&quot;,&quot;issued&quot;:{&quot;date-parts&quot;:[[2005]]},&quot;page&quot;:&quot;2303-2308&quot;,&quot;abstract&quot;:&quot;Goverover Y, Kalmar J, Gaudino-Goering E, Shawaryn M, Moore NB, Halper J, DeLuca J. The relation between subjective and objective measures of everyday life activities in persons with multiple sclerosis. Objectives To investigate the relation between subjective and objective performance-based measures of functional status in persons with multiple sclerosis (MS), and to compare their performance with healthy controls. Design A between-groups design, using a correlational approach to examine the relation between objective and subjective measures of functional capacity. Setting Outpatient rehabilitation research institution. Participants Seventy-four subjects with clinically definite MS and 35 healthy controls. Interventions Not applicable. Main Outcome Measures The Executive Function Performance Test (EFPT), Functional Assessment of Multiple Sclerosis (FAMS), and Functional Behavior Profile (FBP). Results&quot;,&quot;issue&quot;:&quot;12&quot;,&quot;volume&quot;:&quot;86&quot;},&quot;isTemporary&quot;:false},{&quot;id&quot;:&quot;bd7cb330-5f76-3882-ab53-7740ecbe0174&quot;,&quot;itemData&quot;:{&quot;type&quot;:&quot;article-journal&quot;,&quot;id&quot;:&quot;bd7cb330-5f76-3882-ab53-7740ecbe0174&quot;,&quot;title&quot;:&quot;Patient self-report for evaluating mild cognitive impairment and prodromal Alzheimer's disease&quot;,&quot;author&quot;:[{&quot;family&quot;:&quot;Frank&quot;,&quot;given&quot;:&quot;Lori&quot;,&quot;parse-names&quot;:false,&quot;dropping-particle&quot;:&quot;&quot;,&quot;non-dropping-particle&quot;:&quot;&quot;},{&quot;family&quot;:&quot;Lenderking&quot;,&quot;given&quot;:&quot;William R&quot;,&quot;parse-names&quot;:false,&quot;dropping-particle&quot;:&quot;&quot;,&quot;non-dropping-particle&quot;:&quot;&quot;},{&quot;family&quot;:&quot;Howard&quot;,&quot;given&quot;:&quot;Kellee&quot;,&quot;parse-names&quot;:false,&quot;dropping-particle&quot;:&quot;&quot;,&quot;non-dropping-particle&quot;:&quot;&quot;},{&quot;family&quot;:&quot;Cantillon&quot;,&quot;given&quot;:&quot;Marc&quot;,&quot;parse-names&quot;:false,&quot;dropping-particle&quot;:&quot;&quot;,&quot;non-dropping-particle&quot;:&quot;&quot;}],&quot;container-title&quot;:&quot;Alzheimer's research &amp; therapy&quot;,&quot;container-title-short&quot;:&quot;Alzheimers Res Ther&quot;,&quot;DOI&quot;:&quot;10.1186/alzrt97&quot;,&quot;ISSN&quot;:&quot;1758-9193&quot;,&quot;PMID&quot;:&quot;22152342&quot;,&quot;URL&quot;:&quot;https://pubmed.ncbi.nlm.nih.gov/22152342&quot;,&quot;issued&quot;:{&quot;date-parts&quot;:[[2011]]},&quot;page&quot;:&quot;35&quot;,&quot;language&quot;:&quot;eng&quot;,&quot;abstract&quot;:&quot;Patient-reported outcome (PRO) measures are used to evaluate disease and treatments in many therapeutic areas, capturing relevant aspects of the disorder not obtainable through clinician or informant report, including those for which patients may have a greater level of awareness than those around them. Using PRO measures in mild cognitive impairment (MCI) and prodromal Alzheimer's disease (AD) presents challenges given the presence of cognitive impairment and loss of insight. This overview presents issues relevant to the value of patient report with emphasis on the role of insight. Complex activities of daily living functioning and executive functioning emerge as areas of particular promise for obtaining patient self-report. The full promise of patient self-report has yet to be realized in MCI and prodromal AD, however, in part because of lack of PRO measures developed specifically for mild disease, limited use of best practices in new measure development, and limited attention to psychometric evaluation. Resolving different diagnostic definitions and improving clinical understanding of MCI and prodromal AD will also be critical to the development and use of PRO measures.&quot;,&quot;publisher&quot;:&quot;BioMed Central&quot;,&quot;issue&quot;:&quot;6&quot;,&quot;volume&quot;:&quot;3&quot;},&quot;isTemporary&quot;:false}],&quot;citationTag&quot;:&quot;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&quot;},{&quot;citationID&quot;:&quot;MENDELEY_CITATION_13980f88-2766-4d95-9317-f500dace18a1&quot;,&quot;properties&quot;:{&quot;noteIndex&quot;:0},&quot;isEdited&quot;:false,&quot;manualOverride&quot;:{&quot;isManuallyOverridden&quot;:false,&quot;citeprocText&quot;:&quot;(van der Hiele et al., 2012; Visser &amp;#38; van der Hiele, 2014)&quot;,&quot;manualOverrideText&quot;:&quot;&quot;},&quot;citationItems&quot;:[{&quot;id&quot;:&quot;a8ee11fb-9874-34e6-9968-a93253133a96&quot;,&quot;itemData&quot;:{&quot;type&quot;:&quot;article-journal&quot;,&quot;id&quot;:&quot;a8ee11fb-9874-34e6-9968-a93253133a96&quot;,&quot;title&quot;:&quot;Self-reports of executive functioning in multiple sclerosis: to trust or not to trust&quot;,&quot;author&quot;:[{&quot;family&quot;:&quot;Visser&quot;,&quot;given&quot;:&quot;L H&quot;,&quot;parse-names&quot;:false,&quot;dropping-particle&quot;:&quot;&quot;,&quot;non-dropping-particle&quot;:&quot;&quot;},{&quot;family&quot;:&quot;Hiele&quot;,&quot;given&quot;:&quot;K&quot;,&quot;parse-names&quot;:false,&quot;dropping-particle&quot;:&quot;&quot;,&quot;non-dropping-particle&quot;:&quot;van der&quot;}],&quot;container-title&quot;:&quot;Neurodegener Dis Manag&quot;,&quot;DOI&quot;:&quot;10.2217/nmt.14.15&quot;,&quot;ISSN&quot;:&quot;1758-2024&quot;,&quot;PMID&quot;:&quot;24832026&quot;,&quot;issued&quot;:{&quot;date-parts&quot;:[[2014]]},&quot;page&quot;:&quot;109-111&quot;,&quot;language&quot;:&quot;eng&quot;,&quot;edition&quot;:&quot;2014/05/17&quot;,&quot;issue&quot;:&quot;2&quot;,&quot;volume&quot;:&quot;4&quot;,&quot;container-title-short&quot;:&quot;&quot;},&quot;isTemporary&quot;:false},{&quot;id&quot;:&quot;2caeec47-f8e9-3103-b921-9d6feb79c758&quot;,&quot;itemData&quot;:{&quot;type&quot;:&quot;article-journal&quot;,&quot;id&quot;:&quot;2caeec47-f8e9-3103-b921-9d6feb79c758&quot;,&quot;title&quot;:&quot;The relationship between self-reported executive performance and psychological characteristics in multiple sclerosis&quot;,&quot;author&quot;:[{&quot;family&quot;:&quot;Hiele&quot;,&quot;given&quot;:&quot;K&quot;,&quot;parse-names&quot;:false,&quot;dropping-particle&quot;:&quot;&quot;,&quot;non-dropping-particle&quot;:&quot;van der&quot;},{&quot;family&quot;:&quot;Spliethoff-Kamminga&quot;,&quot;given&quot;:&quot;N G&quot;,&quot;parse-names&quot;:false,&quot;dropping-particle&quot;:&quot;&quot;,&quot;non-dropping-particle&quot;:&quot;&quot;},{&quot;family&quot;:&quot;Ruimschotel&quot;,&quot;given&quot;:&quot;R P&quot;,&quot;parse-names&quot;:false,&quot;dropping-particle&quot;:&quot;&quot;,&quot;non-dropping-particle&quot;:&quot;&quot;},{&quot;family&quot;:&quot;Middelkoop&quot;,&quot;given&quot;:&quot;H A&quot;,&quot;parse-names&quot;:false,&quot;dropping-particle&quot;:&quot;&quot;,&quot;non-dropping-particle&quot;:&quot;&quot;},{&quot;family&quot;:&quot;Visser&quot;,&quot;given&quot;:&quot;L H&quot;,&quot;parse-names&quot;:false,&quot;dropping-particle&quot;:&quot;&quot;,&quot;non-dropping-particle&quot;:&quot;&quot;}],&quot;container-title&quot;:&quot;Eur J Neurol&quot;,&quot;DOI&quot;:&quot;10.1111/j.1468-1331.2011.03538.x&quot;,&quot;ISSN&quot;:&quot;1351-5101&quot;,&quot;PMID&quot;:&quot;22008452&quot;,&quot;issued&quot;:{&quot;date-parts&quot;:[[2012]]},&quot;page&quot;:&quot;562-569&quot;,&quot;language&quot;:&quot;eng&quot;,&quot;abstract&quot;:&quot;BACKGROUND AND PURPOSE: Self-reports of cognitive functioning are not always related to objective measures. We examined psychological characteristics of patients with multiple sclerosis (MS) who underestimate, overestimate or accurately estimate their executive performance. METHODS: The first phase was an inventory of cognitive complaints by means of self-reported (and partner-reported) questionnaires. At the second phase (January-October 2009), 114 of the 128 participants met the inclusion and exclusion criteria and underwent cognitive and neurological assessments. RESULTS: A total of 19% (N = 22) of participants reported subjective executive impairment, whilst 81% (N = 92) reported no subjective executive impairment. Based on Behavioural Assessment of the Dysexecutive Syndrome-Dysexecutive Questionnaire self-reports, 67% (N = 76) of the participants accurately reported no subjective executive impairment, 14% (N = 16) overestimated, and 15% underestimated (N = 17) their executive performance; 78% of the informants accurately reported no subjective executive impairment, 15% overestimated the patient's executive performance, and 4% underestimated the patient's executive performance. Patients with MS underestimating their executive performance were characterized by more depression (F(2,106 = 12.9, P &lt; 0.001), anxiety (F(2,105) = 7.4, P = 0.001) and psychosocial stress (F(2,103) = 17.8, P &lt; 0.001), more often used the coping style 'disclosure of emotions' (H(2) = 12.1, P = 0.002) than accurate estimators and overestimators and displayed a more passive reaction pattern (F(2,104) = 4.4, P = 0.014) than accurate estimators. CONCLUSIONS: Self-reports of executive performance are generally reliable, but 29% of patients with MS underestimated or overestimated their abilities. It is especially important to identify underestimators as they display underlying psychological problems and dysfunctional coping styles in need of further psychological treatment. Informants are valuable in this respect, but should not be seen as the 'gold standard' to identify cognitive impairment.&quot;,&quot;edition&quot;:&quot;2011/10/20&quot;,&quot;issue&quot;:&quot;4&quot;,&quot;volume&quot;:&quot;19&quot;,&quot;container-title-short&quot;:&quot;&quot;},&quot;isTemporary&quot;:false}],&quot;citationTag&quot;:&quot;MENDELEY_CITATION_v3_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&quot;},{&quot;citationID&quot;:&quot;MENDELEY_CITATION_483651ba-a19c-476e-8f30-9eae2f5a6c99&quot;,&quot;properties&quot;:{&quot;noteIndex&quot;:0},&quot;isEdited&quot;:false,&quot;manualOverride&quot;:{&quot;isManuallyOverridden&quot;:false,&quot;citeprocText&quot;:&quot;(Koerts et al., 2011; Shulman et al., 2006)&quot;,&quot;manualOverrideText&quot;:&quot;&quot;},&quot;citationItems&quot;:[{&quot;id&quot;:&quot;b1c62f43-f83e-3069-98fa-f5f061f0bd13&quot;,&quot;itemData&quot;:{&quot;type&quot;:&quot;article-journal&quot;,&quot;id&quot;:&quot;b1c62f43-f83e-3069-98fa-f5f061f0bd13&quot;,&quot;title&quot;:&quot;Subjective report versus objective measurement of activities of daily living in Parkinson's disease&quot;,&quot;author&quot;:[{&quot;family&quot;:&quot;Shulman&quot;,&quot;given&quot;:&quot;Lisa M&quot;,&quot;parse-names&quot;:false,&quot;dropping-particle&quot;:&quot;&quot;,&quot;non-dropping-particle&quot;:&quot;&quot;},{&quot;family&quot;:&quot;Pretzer-Aboff&quot;,&quot;given&quot;:&quot;Ingrid&quot;,&quot;parse-names&quot;:false,&quot;dropping-particle&quot;:&quot;&quot;,&quot;non-dropping-particle&quot;:&quot;&quot;},{&quot;family&quot;:&quot;Anderson&quot;,&quot;given&quot;:&quot;Karen E&quot;,&quot;parse-names&quot;:false,&quot;dropping-particle&quot;:&quot;&quot;,&quot;non-dropping-particle&quot;:&quot;&quot;},{&quot;family&quot;:&quot;Stevenson&quot;,&quot;given&quot;:&quot;Rashida&quot;,&quot;parse-names&quot;:false,&quot;dropping-particle&quot;:&quot;&quot;,&quot;non-dropping-particle&quot;:&quot;&quot;},{&quot;family&quot;:&quot;Vaughan&quot;,&quot;given&quot;:&quot;Christopher G&quot;,&quot;parse-names&quot;:false,&quot;dropping-particle&quot;:&quot;&quot;,&quot;non-dropping-particle&quot;:&quot;&quot;},{&quot;family&quot;:&quot;Gruber-Baldini&quot;,&quot;given&quot;:&quot;Ann L&quot;,&quot;parse-names&quot;:false,&quot;dropping-particle&quot;:&quot;&quot;,&quot;non-dropping-particle&quot;:&quot;&quot;},{&quot;family&quot;:&quot;Reich&quot;,&quot;given&quot;:&quot;Stephen G&quot;,&quot;parse-names&quot;:false,&quot;dropping-particle&quot;:&quot;&quot;,&quot;non-dropping-particle&quot;:&quot;&quot;},{&quot;family&quot;:&quot;Weiner&quot;,&quot;given&quot;:&quot;William J&quot;,&quot;parse-names&quot;:false,&quot;dropping-particle&quot;:&quot;&quot;,&quot;non-dropping-particle&quot;:&quot;&quot;}],&quot;container-title&quot;:&quot;Movement Disorders&quot;,&quot;DOI&quot;:&quot;10.1002/mds.20803&quot;,&quot;ISSN&quot;:&quot;0885-3185&quot;,&quot;URL&quot;:&quot;https://onlinelibrary.wiley.com/doi/abs/10.1002/mds.20803&quot;,&quot;issued&quot;:{&quot;date-parts&quot;:[[2006]]},&quot;page&quot;:&quot;794-799&quot;,&quot;abstract&quot;:&quot;Abstract We compared subjective self-reports with objective performance ratings of activities of daily living (ADLs) and instrumental ADLs (IADLs) in patients with Parkinson's disease (PD) and identified variables associated with discordance of ratings between these two methods. Seventy-six PD patients completed a modified Older Americans Resources and Services scale, assessing ADLs and IADLs. These results were compared with structured performance tests of walking, eating, dressing, money, and medicine management administered in the clinic. Patient performance was rated on a five-point Likert-type scale, ranging from 1 = no difficulty to 5 = completely unable to perform task. Significant differences were found between patients and clinicians' ratings on all tasks except walking. On the other four tasks, paired group t tests showed that patients reported better function compared with the clinician rating of medication management (1.33 vs. 2.80), eating (1.53 vs. 1.76), dressing (1.64 vs. 1.86), and managing money (1.44 vs. 2.06). A discrepancy was found between patients subjective reporting of ADL and IADL function and objective ratings. Patients overestimated their function on four of five tasks. Further study is necessary to identify whether subjective or objective performance ratings are more reflective of actual daily function. © 2006 Movement Disorder Society&quot;,&quot;issue&quot;:&quot;6&quot;,&quot;volume&quot;:&quot;21&quot;,&quot;container-title-short&quot;:&quot;&quot;},&quot;isTemporary&quot;:false},{&quot;id&quot;:&quot;26f56925-0239-3d2f-a2c3-18fbd4563a9a&quot;,&quot;itemData&quot;:{&quot;type&quot;:&quot;article-journal&quot;,&quot;id&quot;:&quot;26f56925-0239-3d2f-a2c3-18fbd4563a9a&quot;,&quot;title&quot;:&quot;Subjective and objective assessment of executive functions in Parkinson's disease&quot;,&quot;author&quot;:[{&quot;family&quot;:&quot;Koerts&quot;,&quot;given&quot;:&quot;J&quot;,&quot;parse-names&quot;:false,&quot;dropping-particle&quot;:&quot;&quot;,&quot;non-dropping-particle&quot;:&quot;&quot;},{&quot;family&quot;:&quot;Tucha&quot;,&quot;given&quot;:&quot;L&quot;,&quot;parse-names&quot;:false,&quot;dropping-particle&quot;:&quot;&quot;,&quot;non-dropping-particle&quot;:&quot;&quot;},{&quot;family&quot;:&quot;Leenders&quot;,&quot;given&quot;:&quot;K L&quot;,&quot;parse-names&quot;:false,&quot;dropping-particle&quot;:&quot;&quot;,&quot;non-dropping-particle&quot;:&quot;&quot;},{&quot;family&quot;:&quot;Beilen&quot;,&quot;given&quot;:&quot;M&quot;,&quot;parse-names&quot;:false,&quot;dropping-particle&quot;:&quot;&quot;,&quot;non-dropping-particle&quot;:&quot;van&quot;},{&quot;family&quot;:&quot;Brouwer&quot;,&quot;given&quot;:&quot;W H&quot;,&quot;parse-names&quot;:false,&quot;dropping-particle&quot;:&quot;&quot;,&quot;non-dropping-particle&quot;:&quot;&quot;},{&quot;family&quot;:&quot;Tucha&quot;,&quot;given&quot;:&quot;O&quot;,&quot;parse-names&quot;:false,&quot;dropping-particle&quot;:&quot;&quot;,&quot;non-dropping-particle&quot;:&quot;&quot;}],&quot;container-title&quot;:&quot;J Neurol Sci&quot;,&quot;DOI&quot;:&quot;10.1016/j.jns.2011.07.009&quot;,&quot;ISSN&quot;:&quot;0022-510x&quot;,&quot;PMID&quot;:&quot;21807381&quot;,&quot;issued&quot;:{&quot;date-parts&quot;:[[2011]]},&quot;page&quot;:&quot;172-175&quot;,&quot;language&quot;:&quot;eng&quot;,&quot;abstract&quot;:&quot;Impairments in executive functions (EF) in Parkinson's disease (PD) will have a negative influence on daily life. For the assessment objective and subjective measurement approaches are used. It is however unknown whether these approaches contribute in a different way to the assessment of EF in PD. Thirty-nine PD patients and 24 healthy participants completed the Dysexecutive questionnaire (DEX; subjective measure) and the Frontal Assessment Battery (FAB; objective measure). PD patients showed impaired EF (FAB) and reported more problems with EF in daily life (DEX) than healthy participants. The performance on the FAB could however not be explained by the problems with EF that were reported by PD patients (DEX) and vice versa. In conclusion, not all PD patients who show impairments in EF report them and not all PD patients who report problems with EF in daily life show impairments according to objective measurement. Both measures thus contribute in a different way to the assessment of EF in PD patients. However, it has to be considered that the FAB is not a critical test to assess cognition in PD, since these patients also suffer from posterior abnormalities including memory and visuo-spatial deficits which are strong predictors for PD dementia.&quot;,&quot;edition&quot;:&quot;2011/08/03&quot;,&quot;issue&quot;:&quot;1-2&quot;,&quot;volume&quot;:&quot;310&quot;,&quot;container-title-short&quot;:&quot;&quot;},&quot;isTemporary&quot;:false}],&quot;citationTag&quot;:&quot;MENDELEY_CITATION_v3_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&quot;},{&quot;citationID&quot;:&quot;MENDELEY_CITATION_cdcb6a6f-1a90-42cf-917b-2974a353917d&quot;,&quot;properties&quot;:{&quot;noteIndex&quot;:0},&quot;isEdited&quot;:false,&quot;manualOverride&quot;:{&quot;isManuallyOverridden&quot;:true,&quot;citeprocText&quot;:&quot;(Michaelis et al., 2017)&quot;,&quot;manualOverrideText&quot;:&quot;(Michaelis, Niedermann, et al., 2017)&quot;},&quot;citationItems&quot;:[{&quot;id&quot;:&quot;f879b038-3c86-3733-8f3f-d49ff2cdbf20&quot;,&quot;itemData&quot;:{&quot;type&quot;:&quot;article-journal&quot;,&quot;id&quot;:&quot;f879b038-3c86-3733-8f3f-d49ff2cdbf20&quot;,&quot;title&quot;:&quot;How Can We Enhance the Sense of Self-Efficacy in Epilepsy Individual Responses from 2 Qualitative Case Reports&quot;,&quot;author&quot;:[{&quot;family&quot;:&quot;Michaelis&quot;,&quot;given&quot;:&quot;R&quot;,&quot;parse-names&quot;:false,&quot;dropping-particle&quot;:&quot;&quot;,&quot;non-dropping-particle&quot;:&quot;&quot;},{&quot;family&quot;:&quot;Niedermann&quot;,&quot;given&quot;:&quot;C&quot;,&quot;parse-names&quot;:false,&quot;dropping-particle&quot;:&quot;&quot;,&quot;non-dropping-particle&quot;:&quot;&quot;},{&quot;family&quot;:&quot;Berger&quot;,&quot;given&quot;:&quot;B&quot;,&quot;parse-names&quot;:false,&quot;dropping-particle&quot;:&quot;&quot;,&quot;non-dropping-particle&quot;:&quot;&quot;}],&quot;container-title&quot;:&quot;Complement Med Res&quot;,&quot;DOI&quot;:&quot;10.1159/000468986&quot;,&quot;ISSN&quot;:&quot;2504-2092&quot;,&quot;PMID&quot;:&quot;28848132&quot;,&quot;issued&quot;:{&quot;date-parts&quot;:[[2017]]},&quot;page&quot;:&quot;215-224&quot;,&quot;language&quot;:&quot;eng&quot;,&quot;abstract&quot;:&quot;BACKGROUND: Epilepsy is a serious, common and chronic neurological condition characterized by an increased disposition to suffer occasional seizures. Psychological interventions may enhance the well-being of individuals with epilepsy. So far, no qualitative study has investigated the complex effects of psychotherapeutic interventions in epilepsy. METHODS: This study examined the questions as to if and how the participation in a patient-centered 6-month resource-oriented mindfulness-based intervention would enhance an individual's well-being and sense of self-efficacy. Pre- and post-intervention semi-structured interviews were conducted with a total of 9 participants. Qualitative data analysis (Mayring) in an inter-professional group was combined with the evaluation of the Quality of Life in Epilepsy Inventory-31. The case reports follow the CAse REport Guidelines for Anthroposophic Art Therapies (CARE-AAT). To show the diverse nature of individual intervention objectives, we chose the single case study format, contrasting 2 participants with diagnosed focal epilepsy. RESULTS: Pre-intervention deductive and inductive outcome categories revealed high levels of stress regarding personal seizure experience and loss of autonomy, for both participants. Post-intervention interviews consist of increased seizure-related self-efficacy and self-awareness: while minimizing the debilitating impact of the seizures on her life was relevant to Iris, Carl developed a personalized aura interruption technique. CONCLUSIONS: These qualitative case analyses suggest that enhanced psychological well-being and even positive medical results may be achieved when epilepsy care focuses on the wishes that are most meaningful to the individual. The possibility of improving the quantitative evaluation of the effects of psychotherapeutic interventions needs to be explored.&quot;,&quot;edition&quot;:&quot;2017/08/30&quot;,&quot;issue&quot;:&quot;4&quot;,&quot;volume&quot;:&quot;24&quot;,&quot;container-title-short&quot;:&quot;&quot;},&quot;isTemporary&quot;:false}],&quot;citationTag&quot;:&quot;MENDELEY_CITATION_v3_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&quot;},{&quot;citationID&quot;:&quot;MENDELEY_CITATION_4cce898d-181f-48f1-b67c-7476603fc2e7&quot;,&quot;properties&quot;:{&quot;noteIndex&quot;:0},&quot;isEdited&quot;:false,&quot;manualOverride&quot;:{&quot;isManuallyOverridden&quot;:false,&quot;citeprocText&quot;:&quot;(Haeffel &amp;#38; Howard, 2010)&quot;,&quot;manualOverrideText&quot;:&quot;&quot;},&quot;citationItems&quot;:[{&quot;id&quot;:&quot;c83cad44-97b9-3727-97b2-8f327f6ed3e5&quot;,&quot;itemData&quot;:{&quot;type&quot;:&quot;article-journal&quot;,&quot;id&quot;:&quot;c83cad44-97b9-3727-97b2-8f327f6ed3e5&quot;,&quot;title&quot;:&quot;Self-report: psychology's four-letter word&quot;,&quot;author&quot;:[{&quot;family&quot;:&quot;Haeffel&quot;,&quot;given&quot;:&quot;G J&quot;,&quot;parse-names&quot;:false,&quot;dropping-particle&quot;:&quot;&quot;,&quot;non-dropping-particle&quot;:&quot;&quot;},{&quot;family&quot;:&quot;Howard&quot;,&quot;given&quot;:&quot;G S&quot;,&quot;parse-names&quot;:false,&quot;dropping-particle&quot;:&quot;&quot;,&quot;non-dropping-particle&quot;:&quot;&quot;}],&quot;container-title&quot;:&quot;Am J Psychol&quot;,&quot;DOI&quot;:&quot;10.5406/amerjpsyc.123.2.0181&quot;,&quot;ISSN&quot;:&quot;0002-9556 (Print)\r0002-9556&quot;,&quot;PMID&quot;:&quot;20518434&quot;,&quot;issued&quot;:{&quot;date-parts&quot;:[[2010]]},&quot;page&quot;:&quot;181-188&quot;,&quot;language&quot;:&quot;eng&quot;,&quot;abstract&quot;:&quot;Self-report continues to be one of the most widely used measurement strategies in psychology despite longstanding concerns about its validity and scientific rigor. In this article, the merits of self-report are examined from a philosophy of science perspective. A framework is also provided for evaluating self-report measures. Specifically, four issues are presented that can be used as a decision aid when making choices about measurement.&quot;,&quot;edition&quot;:&quot;2010/06/04&quot;,&quot;issue&quot;:&quot;2&quot;,&quot;volume&quot;:&quot;123&quot;,&quot;container-title-short&quot;:&quot;&quot;},&quot;isTemporary&quot;:false}],&quot;citationTag&quot;:&quot;MENDELEY_CITATION_v3_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&quot;},{&quot;citationID&quot;:&quot;MENDELEY_CITATION_c489a848-d250-425d-aeb2-9834390079af&quot;,&quot;properties&quot;:{&quot;noteIndex&quot;:0},&quot;isEdited&quot;:false,&quot;manualOverride&quot;:{&quot;isManuallyOverridden&quot;:false,&quot;citeprocText&quot;:&quot;(Johansson et al., 2006)&quot;,&quot;manualOverrideText&quot;:&quot;&quot;},&quot;citationItems&quot;:[{&quot;id&quot;:&quot;b36d3e2a-08c1-3398-b82b-5f59d478ddf3&quot;,&quot;itemData&quot;:{&quot;type&quot;:&quot;article-journal&quot;,&quot;id&quot;:&quot;b36d3e2a-08c1-3398-b82b-5f59d478ddf3&quot;,&quot;title&quot;:&quot;How something can be said about telling more than we can know: on choice blindness and introspection&quot;,&quot;author&quot;:[{&quot;family&quot;:&quot;Johansson&quot;,&quot;given&quot;:&quot;P&quot;,&quot;parse-names&quot;:false,&quot;dropping-particle&quot;:&quot;&quot;,&quot;non-dropping-particle&quot;:&quot;&quot;},{&quot;family&quot;:&quot;Hall&quot;,&quot;given&quot;:&quot;L&quot;,&quot;parse-names&quot;:false,&quot;dropping-particle&quot;:&quot;&quot;,&quot;non-dropping-particle&quot;:&quot;&quot;},{&quot;family&quot;:&quot;Sikström&quot;,&quot;given&quot;:&quot;S&quot;,&quot;parse-names&quot;:false,&quot;dropping-particle&quot;:&quot;&quot;,&quot;non-dropping-particle&quot;:&quot;&quot;},{&quot;family&quot;:&quot;Tärning&quot;,&quot;given&quot;:&quot;B&quot;,&quot;parse-names&quot;:false,&quot;dropping-particle&quot;:&quot;&quot;,&quot;non-dropping-particle&quot;:&quot;&quot;},{&quot;family&quot;:&quot;Lind&quot;,&quot;given&quot;:&quot;A&quot;,&quot;parse-names&quot;:false,&quot;dropping-particle&quot;:&quot;&quot;,&quot;non-dropping-particle&quot;:&quot;&quot;}],&quot;container-title&quot;:&quot;Conscious Cogn&quot;,&quot;DOI&quot;:&quot;10.1016/j.concog.2006.09.004&quot;,&quot;ISSN&quot;:&quot;1053-8100 (Print)\r1053-8100&quot;,&quot;PMID&quot;:&quot;17049881&quot;,&quot;issued&quot;:{&quot;date-parts&quot;:[[2006]]},&quot;page&quot;:&quot;673-92; discussion 693-9&quot;,&quot;language&quot;:&quot;eng&quot;,&quot;abstract&quot;:&quot;The legacy of Nisbett and Wilson's classic article, Telling More Than We Can Know: Verbal Reports on Mental Processes (1977), is mixed. It is perhaps the most cited article in the recent history of consciousness studies, yet no empirical research program currently exists that continues the work presented in the article. To remedy this, we have introduced an experimental paradigm we call choice blindness [Johansson, P., Hall, L., Sikström, S., &amp; Olsson, A. (2005). Failure to detect mismatches between intention and outcome in a simple decision task. Science, 310(5745), 116-119.]. In the choice blindness paradigm participants fail to notice mismatches between their intended choice and the outcome they are presented with, while nevertheless offering introspectively derived reasons for why they chose the way they did. In this article, we use word-frequency and latent semantic analysis (LSA) to investigate a corpus of introspective reports collected within the choice blindness paradigm. We contrast the introspective reasons given in non-manipulated vs. manipulated trials, but find very few differences between these two groups of reports.&quot;,&quot;edition&quot;:&quot;2006/10/20&quot;,&quot;issue&quot;:&quot;4&quot;,&quot;volume&quot;:&quot;15&quot;,&quot;container-title-short&quot;:&quot;&quot;},&quot;isTemporary&quot;:false}],&quot;citationTag&quot;:&quot;MENDELEY_CITATION_v3_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&quot;},{&quot;citationID&quot;:&quot;MENDELEY_CITATION_d7201ea7-7dae-427f-8ac6-5dd3dc657db6&quot;,&quot;properties&quot;:{&quot;noteIndex&quot;:0},&quot;isEdited&quot;:false,&quot;manualOverride&quot;:{&quot;isManuallyOverridden&quot;:true,&quot;citeprocText&quot;:&quot;(Brown &amp;#38; Reuber, 2016a)&quot;,&quot;manualOverrideText&quot;:&quot;(R. J. Brown &amp; Reuber, 2016a)&quot;},&quot;citationItems&quot;:[{&quot;id&quot;:&quot;1f2aa913-ef44-3ea3-83ed-15ebe8b76a6e&quot;,&quot;itemData&quot;:{&quot;type&quot;:&quot;article-journal&quot;,&quot;id&quot;:&quot;1f2aa913-ef44-3ea3-83ed-15ebe8b76a6e&quot;,&quot;title&quot;:&quot;Psychological and psychiatric aspects of psychogenic non-epileptic seizures (PNES): A systematic review&quot;,&quot;author&quot;:[{&quot;family&quot;:&quot;Brown&quot;,&quot;given&quot;:&quot;Richard J&quot;,&quot;parse-names&quot;:false,&quot;dropping-particle&quot;:&quot;&quot;,&quot;non-dropping-particle&quot;:&quot;&quot;},{&quot;family&quot;:&quot;Reuber&quot;,&quot;given&quot;:&quot;Markus&quot;,&quot;parse-names&quot;:false,&quot;dropping-particle&quot;:&quot;&quot;,&quot;non-dropping-particle&quot;:&quot;&quot;}],&quot;container-title&quot;:&quot;Clinical psychology review&quot;,&quot;container-title-short&quot;:&quot;Clin Psychol Rev&quot;,&quot;DOI&quot;:&quot;10.1016/j.cpr.2016.01.003&quot;,&quot;ISSN&quot;:&quot;0272-7358&quot;,&quot;URL&quot;:&quot;http://eprints.whiterose.ac.uk/98748/3/CPR%20Systematic%20review%20v13%20%28revised%20version%29%20MR.pdf&quot;,&quot;issued&quot;:{&quot;date-parts&quot;:[[2016]]},&quot;page&quot;:&quot;157-182&quot;,&quot;publisher&quot;:&quot;Elsevier BV&quot;,&quot;volume&quot;:&quot;45&quot;},&quot;isTemporary&quot;:false}],&quot;citationTag&quot;:&quot;MENDELEY_CITATION_v3_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&quot;},{&quot;citationID&quot;:&quot;MENDELEY_CITATION_253a1ef1-e5d5-4482-a171-3087830acd15&quot;,&quot;properties&quot;:{&quot;noteIndex&quot;:0},&quot;isEdited&quot;:false,&quot;manualOverride&quot;:{&quot;isManuallyOverridden&quot;:false,&quot;citeprocText&quot;:&quot;(Daum et al., 2014)&quot;,&quot;manualOverrideText&quot;:&quot;&quot;},&quot;citationItems&quot;:[{&quot;id&quot;:&quot;a306a865-ef0a-3ddd-a48e-9c09b9973c7a&quot;,&quot;itemData&quot;:{&quot;type&quot;:&quot;article-journal&quot;,&quot;id&quot;:&quot;a306a865-ef0a-3ddd-a48e-9c09b9973c7a&quot;,&quot;title&quot;:&quot;The value of 'positive' clinical signs for weakness, sensory and gait disorders in conversion disorder: a systematic and narrative review&quot;,&quot;author&quot;:[{&quot;family&quot;:&quot;Daum&quot;,&quot;given&quot;:&quot;C&quot;,&quot;parse-names&quot;:false,&quot;dropping-particle&quot;:&quot;&quot;,&quot;non-dropping-particle&quot;:&quot;&quot;},{&quot;family&quot;:&quot;Hubschmid&quot;,&quot;given&quot;:&quot;M&quot;,&quot;parse-names&quot;:false,&quot;dropping-particle&quot;:&quot;&quot;,&quot;non-dropping-particle&quot;:&quot;&quot;},{&quot;family&quot;:&quot;Aybek&quot;,&quot;given&quot;:&quot;S&quot;,&quot;parse-names&quot;:false,&quot;dropping-particle&quot;:&quot;&quot;,&quot;non-dropping-particle&quot;:&quot;&quot;}],&quot;container-title&quot;:&quot;J Neurol Neurosurg Psychiatry&quot;,&quot;DOI&quot;:&quot;10.1136/jnnp-2012-304607&quot;,&quot;ISSN&quot;:&quot;0022-3050&quot;,&quot;PMID&quot;:&quot;23467417&quot;,&quot;issued&quot;:{&quot;date-parts&quot;:[[2014]]},&quot;page&quot;:&quot;180-190&quot;,&quot;language&quot;:&quot;eng&quot;,&quot;abstract&quot;:&quot;Experts in the field of conversion disorder have suggested for the upcoming DSM-V edition to put less weight on the associated psychological factors and to emphasise the role of clinical findings. Indeed, a critical step in reaching a diagnosis of conversion disorder is careful bedside neurological examination, aimed at excluding organic signs and identifying 'positive' signs suggestive of a functional disorder. These positive signs are well known to all trained neurologists but their validity is still not established. The aim of this study is to provide current evidence regarding their sensitivity and specificity. We conducted a systematic search on motor, sensory and gait functional signs in Embase, Medline, PsycINfo from 1965 to June 2012. Studies in English, German or French reporting objective data on more than 10 participants in a controlled design were included in a systematic review. Other relevant signs are discussed in a narrative review. Eleven controlled studies (out of 147 eligible articles) describing 14 signs (7 motor, 5 sensory, 2 gait) reported low sensitivity of 8-100% but high specificity of 92-100%. Studies were evidence class III, only two had a blinded design and none reported on inter-rater reliability of the signs. Clinical signs for functional neurological symptoms are numerous but only 14 have been validated; overall they have low sensitivity but high specificity and their use should thus be recommended, especially with the introduction of the new DSM-V criteria.&quot;,&quot;edition&quot;:&quot;2013/03/08&quot;,&quot;issue&quot;:&quot;2&quot;,&quot;volume&quot;:&quot;85&quot;,&quot;container-title-short&quot;:&quot;&quot;},&quot;isTemporary&quot;:false}],&quot;citationTag&quot;:&quot;MENDELEY_CITATION_v3_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&quot;},{&quot;citationID&quot;:&quot;MENDELEY_CITATION_cae589f7-db34-43b4-a737-c88c71c16737&quot;,&quot;properties&quot;:{&quot;noteIndex&quot;:0},&quot;isEdited&quot;:false,&quot;manualOverride&quot;:{&quot;isManuallyOverridden&quot;:false,&quot;citeprocText&quot;:&quot;(Novakova et al., 2017; Ricciardi et al., 2016; Roberts et al., 2012)&quot;,&quot;manualOverrideText&quot;:&quot;&quot;},&quot;citationItems&quot;:[{&quot;id&quot;:&quot;d6067ae8-0b9d-326f-b78b-8e4a23ee68a2&quot;,&quot;itemData&quot;:{&quot;type&quot;:&quot;article-journal&quot;,&quot;id&quot;:&quot;d6067ae8-0b9d-326f-b78b-8e4a23ee68a2&quot;,&quot;title&quot;:&quot;Diurnal patterns and relationships between physiological and self-reported stress in patients with epilepsy and psychogenic non-epileptic seizures&quot;,&quot;author&quot;:[{&quot;family&quot;:&quot;Novakova&quot;,&quot;given&quot;:&quot;B&quot;,&quot;parse-names&quot;:false,&quot;dropping-particle&quot;:&quot;&quot;,&quot;non-dropping-particle&quot;:&quot;&quot;},{&quot;family&quot;:&quot;Harris&quot;,&quot;given&quot;:&quot;P R&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7.03.006&quot;,&quot;ISSN&quot;:&quot;1525-5050&quot;,&quot;PMID&quot;:&quot;28432961&quot;,&quot;issued&quot;:{&quot;date-parts&quot;:[[2017]]},&quot;page&quot;:&quot;204-211&quot;,&quot;language&quot;:&quot;eng&quot;,&quot;abstract&quot;:&quot;PURPOSE: Patients with epilepsy and those with psychogenic non-epileptic seizures (PNES) experience high levels of stress and stress is one of the most frequently self-identified seizure precipitants. Although stress is a multifaceted phenomenon, few studies have systematically examined its different components in patients with seizures. The aim of this study was therefore to describe diurnal patterns of psychological and physiological measures of stress in patients with epilepsy and patients with PNES, and explore their relationships to each other in order to improve our understanding of the mechanisms underlying stress and seizure occurrence in these patients. METHOD: A range of stress markers including self-reported stress, salivary cortisol, and heart rate variability (HRV) were explored in adult patients with refractory epilepsy (N=22) and those with PNES (N=23) undergoing three- to five-day video-telemetry. RESULTS: A diurnal pattern was observed in the physiological measures, characterized by higher levels of physiological arousal in the mornings and lower levels at night in both patients with epilepsy and PNES. The physiological measures (cortisol and HRV) were associated with each other in patients with epilepsy; no close relationship was found with self-reported stress in either of the two patient groups. CONCLUSION: The findings contribute to and expand on previous studies of the patterns of stress in patients with seizures. The results also indicate a discrepancy between patients' physiological responses and their subjective stress perceptions, suggesting that simple self-reports cannot be used as a proxy of physiological arousal in patients with seizures and stress. Stress in these patient groups should be studied using a combination of complementary measures.&quot;,&quot;edition&quot;:&quot;2017/04/23&quot;,&quot;issue&quot;:&quot;Pt A&quot;,&quot;volume&quot;:&quot;70&quot;,&quot;container-title-short&quot;:&quot;&quot;},&quot;isTemporary&quot;:false},{&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id&quot;:&quot;d540554a-09cd-3c71-b0da-36947513e00d&quot;,&quot;itemData&quot;:{&quot;type&quot;:&quot;article-journal&quot;,&quot;id&quot;:&quot;d540554a-09cd-3c71-b0da-36947513e00d&quot;,&quot;title&quot;:&quot;Emotion in psychogenic nonepileptic seizures: responses to affective pictures&quot;,&quot;author&quot;:[{&quot;family&quot;:&quot;Roberts&quot;,&quot;given&quot;:&quot;N A&quot;,&quot;parse-names&quot;:false,&quot;dropping-particle&quot;:&quot;&quot;,&quot;non-dropping-particle&quot;:&quot;&quot;},{&quot;family&quot;:&quot;Burleson&quot;,&quot;given&quot;:&quot;M H&quot;,&quot;parse-names&quot;:false,&quot;dropping-particle&quot;:&quot;&quot;,&quot;non-dropping-particle&quot;:&quot;&quot;},{&quot;family&quot;:&quot;Weber&quot;,&quot;given&quot;:&quot;D J&quot;,&quot;parse-names&quot;:false,&quot;dropping-particle&quot;:&quot;&quot;,&quot;non-dropping-particle&quot;:&quot;&quot;},{&quot;family&quot;:&quot;Larson&quot;,&quot;given&quot;:&quot;A&quot;,&quot;parse-names&quot;:false,&quot;dropping-particle&quot;:&quot;&quot;,&quot;non-dropping-particle&quot;:&quot;&quot;},{&quot;family&quot;:&quot;Sergeant&quot;,&quot;given&quot;:&quot;K&quot;,&quot;parse-names&quot;:false,&quot;dropping-particle&quot;:&quot;&quot;,&quot;non-dropping-particle&quot;:&quot;&quot;},{&quot;family&quot;:&quot;Devine&quot;,&quot;given&quot;:&quot;M J&quot;,&quot;parse-names&quot;:false,&quot;dropping-particle&quot;:&quot;&quot;,&quot;non-dropping-particle&quot;:&quot;&quot;},{&quot;family&quot;:&quot;Vincelette&quot;,&quot;given&quot;:&quot;T M&quot;,&quot;parse-names&quot;:false,&quot;dropping-particle&quot;:&quot;&quot;,&quot;non-dropping-particle&quot;:&quot;&quot;},{&quot;family&quot;:&quot;Wang&quot;,&quot;given&quot;:&quot;N C&quot;,&quot;parse-names&quot;:false,&quot;dropping-particle&quot;:&quot;&quot;,&quot;non-dropping-particle&quot;:&quot;&quot;}],&quot;container-title&quot;:&quot;Epilepsy Behav&quot;,&quot;DOI&quot;:&quot;10.1016/j.yebeh.2012.03.018&quot;,&quot;ISSN&quot;:&quot;1525-5050&quot;,&quot;PMID&quot;:&quot;22520585&quot;,&quot;issued&quot;:{&quot;date-parts&quot;:[[2012]]},&quot;page&quot;:&quot;107-115&quot;,&quot;language&quot;:&quot;eng&quot;,&quot;abstract&quot;:&quot;We examined emotional responses to standard affective pictures in 18 psychogenic nonepileptic seizure (PNES) patients. Given reports of trauma and posttraumatic stress symptoms (PTS) in many PNES patients, comparison groups were seizure-free individuals high and low in PTS (PTS-high, PTS-low; n=18 per group). Patients with psychogenic nonepileptic seizures (1) reported more emotional intensity to neutral and pleasant pictures than PTS-low and more intensity to neutral pictures than PTS-high, and (2) showed less positive emotional behavior to pleasant pictures than PTS-high. Groups did not differ in pleasantness/unpleasantness ratings, negative emotional behavior, cardiac interbeat interval, or respiratory sinus arrhythmia (RSA) reactivity to the pictures. Patients with psychogenic nonepileptic seizures reported more general emotion regulation difficulties and showed lower baseline RSA than PTS-low but not PTS-high. In sum, intense emotional experience and diminished positive emotional behavior characterized PNES patients' emotional responses.&quot;,&quot;edition&quot;:&quot;2012/04/24&quot;,&quot;issue&quot;:&quot;1&quot;,&quot;volume&quot;:&quot;24&quot;,&quot;container-title-short&quot;:&quot;&quot;},&quot;isTemporary&quot;:false}],&quot;citationTag&quot;:&quot;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&quot;},{&quot;citationID&quot;:&quot;MENDELEY_CITATION_796a933d-6a8a-46b8-b6ea-067fe7ad6b9e&quot;,&quot;properties&quot;:{&quot;noteIndex&quot;:0},&quot;isEdited&quot;:false,&quot;manualOverride&quot;:{&quot;isManuallyOverridden&quot;:false,&quot;citeprocText&quot;:&quot;(Bandura, 2004)&quot;,&quot;manualOverrideText&quot;:&quot;&quot;},&quot;citationItems&quot;:[{&quot;id&quot;:&quot;b7ab418c-3bc3-3f28-91ea-24ae4f0e8a4b&quot;,&quot;itemData&quot;:{&quot;type&quot;:&quot;article-journal&quot;,&quot;id&quot;:&quot;b7ab418c-3bc3-3f28-91ea-24ae4f0e8a4b&quot;,&quot;title&quot;:&quot;Health Promotion by Social Cognitive Means&quot;,&quot;author&quot;:[{&quot;family&quot;:&quot;Bandura&quot;,&quot;given&quot;:&quot;Albert&quot;,&quot;parse-names&quot;:false,&quot;dropping-particle&quot;:&quot;&quot;,&quot;non-dropping-particle&quot;:&quot;&quot;}],&quot;container-title&quot;:&quot;Health Education &amp; Behavior&quot;,&quot;DOI&quot;:&quot;10.1177/1090198104263660&quot;,&quot;ISSN&quot;:&quot;1090-1981&quot;,&quot;URL&quot;:&quot;https://doi.org/10.1177/1090198104263660&quot;,&quot;issued&quot;:{&quot;date-parts&quot;:[[2004]]},&quot;page&quot;:&quot;143-164&quot;,&quot;abstract&quot;:&quot;This article examines health promotion and disease prevention from the perspective of social cognitive theory. This theory posits a multifaceted causal structure in which self-efficacy beliefs operate together with goals, outcome expectations, and perceived environmental impediments and facilitators in the regulation of human motivation, behavior, and well-being. Belief in one?s efficacy to exercise control is a common pathway through which psychosocial influences affect health functioning. This core belief affects each of the basic processes of personal change?whether people even consider changing their health habits, whether they mobilize the motivation and perseverance needed to succeed should they do so, their ability to recover from setbacks and relapses, and how well they maintain the habit changes they have achieved. Human health is a social matter, not just an individual one. A comprehensive approach to health promotion also requires changing the practices of social systems that have widespread effects on human health.&quot;,&quot;publisher&quot;:&quot;SAGE Publications Inc&quot;,&quot;issue&quot;:&quot;2&quot;,&quot;volume&quot;:&quot;31&quot;,&quot;container-title-short&quot;:&quot;&quot;},&quot;isTemporary&quot;:false}],&quot;citationTag&quot;:&quot;MENDELEY_CITATION_v3_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&quot;},{&quot;citationID&quot;:&quot;MENDELEY_CITATION_de0b7a5b-47c8-4a12-b5aa-e5a49123f508&quot;,&quot;properties&quot;:{&quot;noteIndex&quot;:0},&quot;isEdited&quot;:false,&quot;manualOverride&quot;:{&quot;isManuallyOverridden&quot;:false,&quot;citeprocText&quot;:&quot;(Michaelis, Niedermann, et al., 2017)&quot;,&quot;manualOverrideText&quot;:&quot;&quot;},&quot;citationItems&quot;:[{&quot;id&quot;:&quot;f879b038-3c86-3733-8f3f-d49ff2cdbf20&quot;,&quot;itemData&quot;:{&quot;type&quot;:&quot;article-journal&quot;,&quot;id&quot;:&quot;f879b038-3c86-3733-8f3f-d49ff2cdbf20&quot;,&quot;title&quot;:&quot;How Can We Enhance the Sense of Self-Efficacy in Epilepsy Individual Responses from 2 Qualitative Case Reports&quot;,&quot;author&quot;:[{&quot;family&quot;:&quot;Michaelis&quot;,&quot;given&quot;:&quot;R&quot;,&quot;parse-names&quot;:false,&quot;dropping-particle&quot;:&quot;&quot;,&quot;non-dropping-particle&quot;:&quot;&quot;},{&quot;family&quot;:&quot;Niedermann&quot;,&quot;given&quot;:&quot;C&quot;,&quot;parse-names&quot;:false,&quot;dropping-particle&quot;:&quot;&quot;,&quot;non-dropping-particle&quot;:&quot;&quot;},{&quot;family&quot;:&quot;Berger&quot;,&quot;given&quot;:&quot;B&quot;,&quot;parse-names&quot;:false,&quot;dropping-particle&quot;:&quot;&quot;,&quot;non-dropping-particle&quot;:&quot;&quot;}],&quot;container-title&quot;:&quot;Complement Med Res&quot;,&quot;DOI&quot;:&quot;10.1159/000468986&quot;,&quot;ISSN&quot;:&quot;2504-2092&quot;,&quot;PMID&quot;:&quot;28848132&quot;,&quot;issued&quot;:{&quot;date-parts&quot;:[[2017]]},&quot;page&quot;:&quot;215-224&quot;,&quot;language&quot;:&quot;eng&quot;,&quot;abstract&quot;:&quot;BACKGROUND: Epilepsy is a serious, common and chronic neurological condition characterized by an increased disposition to suffer occasional seizures. Psychological interventions may enhance the well-being of individuals with epilepsy. So far, no qualitative study has investigated the complex effects of psychotherapeutic interventions in epilepsy. METHODS: This study examined the questions as to if and how the participation in a patient-centered 6-month resource-oriented mindfulness-based intervention would enhance an individual's well-being and sense of self-efficacy. Pre- and post-intervention semi-structured interviews were conducted with a total of 9 participants. Qualitative data analysis (Mayring) in an inter-professional group was combined with the evaluation of the Quality of Life in Epilepsy Inventory-31. The case reports follow the CAse REport Guidelines for Anthroposophic Art Therapies (CARE-AAT). To show the diverse nature of individual intervention objectives, we chose the single case study format, contrasting 2 participants with diagnosed focal epilepsy. RESULTS: Pre-intervention deductive and inductive outcome categories revealed high levels of stress regarding personal seizure experience and loss of autonomy, for both participants. Post-intervention interviews consist of increased seizure-related self-efficacy and self-awareness: while minimizing the debilitating impact of the seizures on her life was relevant to Iris, Carl developed a personalized aura interruption technique. CONCLUSIONS: These qualitative case analyses suggest that enhanced psychological well-being and even positive medical results may be achieved when epilepsy care focuses on the wishes that are most meaningful to the individual. The possibility of improving the quantitative evaluation of the effects of psychotherapeutic interventions needs to be explored.&quot;,&quot;edition&quot;:&quot;2017/08/30&quot;,&quot;issue&quot;:&quot;4&quot;,&quot;volume&quot;:&quot;24&quot;,&quot;container-title-short&quot;:&quot;&quot;},&quot;isTemporary&quot;:false}],&quot;citationTag&quot;:&quot;MENDELEY_CITATION_v3_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&quot;},{&quot;citationID&quot;:&quot;MENDELEY_CITATION_3cb8162b-0b85-49f2-84a5-962635e24b5c&quot;,&quot;properties&quot;:{&quot;noteIndex&quot;:0},&quot;isEdited&quot;:false,&quot;manualOverride&quot;:{&quot;isManuallyOverridden&quot;:true,&quot;citeprocText&quot;:&quot;(Bandura, 2004; Michaelis, Niedermann, et al., 2017)&quot;,&quot;manualOverrideText&quot;:&quot;(Bandura, 2004; Michaelis, Niedermann et al., 2017),&quot;},&quot;citationItems&quot;:[{&quot;id&quot;:&quot;f879b038-3c86-3733-8f3f-d49ff2cdbf20&quot;,&quot;itemData&quot;:{&quot;type&quot;:&quot;article-journal&quot;,&quot;id&quot;:&quot;f879b038-3c86-3733-8f3f-d49ff2cdbf20&quot;,&quot;title&quot;:&quot;How Can We Enhance the Sense of Self-Efficacy in Epilepsy Individual Responses from 2 Qualitative Case Reports&quot;,&quot;author&quot;:[{&quot;family&quot;:&quot;Michaelis&quot;,&quot;given&quot;:&quot;R&quot;,&quot;parse-names&quot;:false,&quot;dropping-particle&quot;:&quot;&quot;,&quot;non-dropping-particle&quot;:&quot;&quot;},{&quot;family&quot;:&quot;Niedermann&quot;,&quot;given&quot;:&quot;C&quot;,&quot;parse-names&quot;:false,&quot;dropping-particle&quot;:&quot;&quot;,&quot;non-dropping-particle&quot;:&quot;&quot;},{&quot;family&quot;:&quot;Berger&quot;,&quot;given&quot;:&quot;B&quot;,&quot;parse-names&quot;:false,&quot;dropping-particle&quot;:&quot;&quot;,&quot;non-dropping-particle&quot;:&quot;&quot;}],&quot;container-title&quot;:&quot;Complement Med Res&quot;,&quot;DOI&quot;:&quot;10.1159/000468986&quot;,&quot;ISSN&quot;:&quot;2504-2092&quot;,&quot;PMID&quot;:&quot;28848132&quot;,&quot;issued&quot;:{&quot;date-parts&quot;:[[2017]]},&quot;page&quot;:&quot;215-224&quot;,&quot;language&quot;:&quot;eng&quot;,&quot;abstract&quot;:&quot;BACKGROUND: Epilepsy is a serious, common and chronic neurological condition characterized by an increased disposition to suffer occasional seizures. Psychological interventions may enhance the well-being of individuals with epilepsy. So far, no qualitative study has investigated the complex effects of psychotherapeutic interventions in epilepsy. METHODS: This study examined the questions as to if and how the participation in a patient-centered 6-month resource-oriented mindfulness-based intervention would enhance an individual's well-being and sense of self-efficacy. Pre- and post-intervention semi-structured interviews were conducted with a total of 9 participants. Qualitative data analysis (Mayring) in an inter-professional group was combined with the evaluation of the Quality of Life in Epilepsy Inventory-31. The case reports follow the CAse REport Guidelines for Anthroposophic Art Therapies (CARE-AAT). To show the diverse nature of individual intervention objectives, we chose the single case study format, contrasting 2 participants with diagnosed focal epilepsy. RESULTS: Pre-intervention deductive and inductive outcome categories revealed high levels of stress regarding personal seizure experience and loss of autonomy, for both participants. Post-intervention interviews consist of increased seizure-related self-efficacy and self-awareness: while minimizing the debilitating impact of the seizures on her life was relevant to Iris, Carl developed a personalized aura interruption technique. CONCLUSIONS: These qualitative case analyses suggest that enhanced psychological well-being and even positive medical results may be achieved when epilepsy care focuses on the wishes that are most meaningful to the individual. The possibility of improving the quantitative evaluation of the effects of psychotherapeutic interventions needs to be explored.&quot;,&quot;edition&quot;:&quot;2017/08/30&quot;,&quot;issue&quot;:&quot;4&quot;,&quot;volume&quot;:&quot;24&quot;,&quot;container-title-short&quot;:&quot;&quot;},&quot;isTemporary&quot;:false},{&quot;id&quot;:&quot;b7ab418c-3bc3-3f28-91ea-24ae4f0e8a4b&quot;,&quot;itemData&quot;:{&quot;type&quot;:&quot;article-journal&quot;,&quot;id&quot;:&quot;b7ab418c-3bc3-3f28-91ea-24ae4f0e8a4b&quot;,&quot;title&quot;:&quot;Health Promotion by Social Cognitive Means&quot;,&quot;author&quot;:[{&quot;family&quot;:&quot;Bandura&quot;,&quot;given&quot;:&quot;Albert&quot;,&quot;parse-names&quot;:false,&quot;dropping-particle&quot;:&quot;&quot;,&quot;non-dropping-particle&quot;:&quot;&quot;}],&quot;container-title&quot;:&quot;Health Education &amp; Behavior&quot;,&quot;DOI&quot;:&quot;10.1177/1090198104263660&quot;,&quot;ISSN&quot;:&quot;1090-1981&quot;,&quot;URL&quot;:&quot;https://doi.org/10.1177/1090198104263660&quot;,&quot;issued&quot;:{&quot;date-parts&quot;:[[2004]]},&quot;page&quot;:&quot;143-164&quot;,&quot;abstract&quot;:&quot;This article examines health promotion and disease prevention from the perspective of social cognitive theory. This theory posits a multifaceted causal structure in which self-efficacy beliefs operate together with goals, outcome expectations, and perceived environmental impediments and facilitators in the regulation of human motivation, behavior, and well-being. Belief in one?s efficacy to exercise control is a common pathway through which psychosocial influences affect health functioning. This core belief affects each of the basic processes of personal change?whether people even consider changing their health habits, whether they mobilize the motivation and perseverance needed to succeed should they do so, their ability to recover from setbacks and relapses, and how well they maintain the habit changes they have achieved. Human health is a social matter, not just an individual one. A comprehensive approach to health promotion also requires changing the practices of social systems that have widespread effects on human health.&quot;,&quot;publisher&quot;:&quot;SAGE Publications Inc&quot;,&quot;issue&quot;:&quot;2&quot;,&quot;volume&quot;:&quot;31&quot;,&quot;container-title-short&quot;:&quot;&quot;},&quot;isTemporary&quot;:false}],&quot;citationTag&quot;:&quot;MENDELEY_CITATION_v3_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&quot;},{&quot;citationID&quot;:&quot;MENDELEY_CITATION_c10b8abd-d87d-42cd-84a7-08c3e041d5d6&quot;,&quot;properties&quot;:{&quot;noteIndex&quot;:0},&quot;isEdited&quot;:false,&quot;manualOverride&quot;:{&quot;isManuallyOverridden&quot;:false,&quot;citeprocText&quot;:&quot;(Priebe et al., 2014; Prüfer et al., 2013)&quot;,&quot;manualOverrideText&quot;:&quot;&quot;},&quot;citationItems&quot;:[{&quot;id&quot;:&quot;10ba7fae-3c99-342a-940d-eaf9cb78b225&quot;,&quot;itemData&quot;:{&quot;type&quot;:&quot;article-journal&quot;,&quot;id&quot;:&quot;10ba7fae-3c99-342a-940d-eaf9cb78b225&quot;,&quot;title&quot;:&quot;What Do Resource-Oriented Approaches Mean to General Practitioners and How Can They Be Facilitated in Primary Care? A Qualitative Study&quot;,&quot;author&quot;:[{&quot;family&quot;:&quot;Prüfer&quot;,&quot;given&quot;:&quot;Franziska&quot;,&quot;parse-names&quot;:false,&quot;dropping-particle&quot;:&quot;&quot;,&quot;non-dropping-particle&quot;:&quot;&quot;},{&quot;family&quot;:&quot;Joos&quot;,&quot;given&quot;:&quot;Stefanie&quot;,&quot;parse-names&quot;:false,&quot;dropping-particle&quot;:&quot;&quot;,&quot;non-dropping-particle&quot;:&quot;&quot;},{&quot;family&quot;:&quot;Miksch&quot;,&quot;given&quot;:&quot;Antje&quot;,&quot;parse-names&quot;:false,&quot;dropping-particle&quot;:&quot;&quot;,&quot;non-dropping-particle&quot;:&quot;&quot;}],&quot;container-title&quot;:&quot;Evidence-based Complementary and Alternative Medicine : eCAM&quot;,&quot;container-title-short&quot;:&quot;Evid Based Complement Alternat Med&quot;,&quot;accessed&quot;:{&quot;date-parts&quot;:[[2023,5,4]]},&quot;DOI&quot;:&quot;10.1155/2013/187641&quot;,&quot;ISSN&quot;:&quot;1741427X&quot;,&quot;PMID&quot;:&quot;23986779&quot;,&quot;URL&quot;:&quot;/pmc/articles/PMC3748733/&quot;,&quot;issued&quot;:{&quot;date-parts&quot;:[[2013]]},&quot;abstract&quot;:&quot;Although resource orientation, as a part of health promotion, should play a major role in general practice, the anchoring and realization of resource-oriented approaches remain small in Germany. The aim of this study was to analyze what resource orientation means to general practitioners (GPs) and develop strategies as to how this can be facilitated in GP practice. Within a qualitative research approach, 19 semi-structured telephone interviews were recorded, transcribed, and analyzed using qualitative content analysis. Within the interviews, the inclusion of the patients' individual resources is described as core competence of GPs. Supporting the patients' disease coping strategies and self-help were seen as important by GPs. However, perceptions as to which resources are considered to be fundamental ranged widely across the participant group. The results confirm the important role of resource-oriented approaches in general practice. However, a general definition of resource orientation is needed. In addition, working conditions for GPs need to be taken into account to ensure that these contribute to a healthy work-life balance. The need for GP training was identified to improve communication skills. Further integration of GPs in health promotion and communal structures would be beneficial. © 2013 Franziska Prüfer et al.&quot;,&quot;publisher&quot;:&quot;Hindawi Limited&quot;,&quot;volume&quot;:&quot;2013&quot;},&quot;isTemporary&quot;:false},{&quot;id&quot;:&quot;af9be7f2-07e0-31ba-8f71-ba518f729646&quot;,&quot;itemData&quot;:{&quot;type&quot;:&quot;article-journal&quot;,&quot;id&quot;:&quot;af9be7f2-07e0-31ba-8f71-ba518f729646&quot;,&quot;title&quot;:&quot;Resource-oriented therapeutic models in psychiatry: conceptual review&quot;,&quot;author&quot;:[{&quot;family&quot;:&quot;Priebe&quot;,&quot;given&quot;:&quot;Stefan&quot;,&quot;parse-names&quot;:false,&quot;dropping-particle&quot;:&quot;&quot;,&quot;non-dropping-particle&quot;:&quot;&quot;},{&quot;family&quot;:&quot;Omer&quot;,&quot;given&quot;:&quot;Serif&quot;,&quot;parse-names&quot;:false,&quot;dropping-particle&quot;:&quot;&quot;,&quot;non-dropping-particle&quot;:&quot;&quot;},{&quot;family&quot;:&quot;Giacco&quot;,&quot;given&quot;:&quot;Domenico&quot;,&quot;parse-names&quot;:false,&quot;dropping-particle&quot;:&quot;&quot;,&quot;non-dropping-particle&quot;:&quot;&quot;},{&quot;family&quot;:&quot;Slade&quot;,&quot;given&quot;:&quot;Mike&quot;,&quot;parse-names&quot;:false,&quot;dropping-particle&quot;:&quot;&quot;,&quot;non-dropping-particle&quot;:&quot;&quot;}],&quot;container-title&quot;:&quot;The British Journal of Psychiatry&quot;,&quot;accessed&quot;:{&quot;date-parts&quot;:[[2023,5,4]]},&quot;DOI&quot;:&quot;10.1192/BJP.BP.113.135038&quot;,&quot;ISSN&quot;:&quot;0007-1250&quot;,&quot;PMID&quot;:&quot;24692752&quot;,&quot;URL&quot;:&quot;https://www.cambridge.org/core/journals/the-british-journal-of-psychiatry/article/resourceoriented-therapeutic-models-in-psychiatry-conceptual-review/8F57C7C17891B0A89B1968D9FDBBFF99&quot;,&quot;issued&quot;:{&quot;date-parts&quot;:[[2014]]},&quot;page&quot;:&quot;256-261&quot;,&quot;abstract&quot;:&quot;BackgroundLike other medical specialties, psychiatry has traditionally sought to develop treatments targeted at ameliorating a deficit of the patient. However, there are different therapeutic models that focus on utilising patients' personal and social resources instead of ameliorating presumed deficits. A synopsis of such models might help to guide further research and improve therapeutic interventions.AimsTo conduct a conceptual review of resource-oriented therapeutic models in psychiatry, in order to identify their shared characteristics.MethodThe literature was searched to identify a range of resource-oriented therapeutic models, particularly for patients with severe mental illness. Key texts for each model were analysed using a narrative approach to synthesise the concepts and their characteristics.ResultsTen models were included: befriending, client-centred therapy, creative music therapy, open dialogue, peer support workers, positive psychotherapy, self-help groups, solution-focused therapy, systemic family therapy and therapeutic communities. Six types of resources were utilised: social relationships, patients' decision-making ability, experiential knowledge, patients' individual strengths, recreational activities and self-actualising tendencies. Social relationships are a key resource in all the models, including relationships with professionals, peers, friends and family. Two relationship dimensions – reciprocity and expertise – differed across the models.ConclusionsThe review suggests that a range of different therapeutic models in psychiatry address resources rather than deficits. In various ways, they all utilise social relationships to induce therapeutic change. A better understanding of how social relationships affect mental health may inform the development and application of resource-oriented approaches.&quot;,&quot;publisher&quot;:&quot;Cambridge University Press&quot;,&quot;issue&quot;:&quot;4&quot;,&quot;volume&quot;:&quot;204&quot;,&quot;container-title-short&quot;:&quot;&quot;},&quot;isTemporary&quot;:false}],&quot;citationTag&quot;:&quot;MENDELEY_CITATION_v3_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&quot;},{&quot;citationID&quot;:&quot;MENDELEY_CITATION_c48d1e9e-7bdc-4390-9f41-bec99dd00285&quot;,&quot;properties&quot;:{&quot;noteIndex&quot;:0},&quot;isEdited&quot;:false,&quot;manualOverride&quot;:{&quot;isManuallyOverridden&quot;:true,&quot;citeprocText&quot;:&quot;(Pick et al., 2020)&quot;,&quot;manualOverrideText&quot;:&quot;(Pick, Anderson, et al., 2020)&quot;},&quot;citationItems&quot;:[{&quot;id&quot;:&quot;9efeb79a-71d9-3505-8b13-ff928235f0b6&quot;,&quot;itemData&quot;:{&quot;type&quot;:&quot;article-journal&quot;,&quot;id&quot;:&quot;9efeb79a-71d9-3505-8b13-ff928235f0b6&quot;,&quot;title&quot;:&quot;Outcome measurement in functional neurological disorder: a systematic review and recommendations. LID - jnnp-2019-322180 [pii] LID - 10.1136/jnnp-2019-322180 [doi]&quot;,&quot;author&quot;:[{&quot;family&quot;:&quot;Pick&quot;,&quot;given&quot;:&quot;Susannah&quot;,&quot;parse-names&quot;:false,&quot;dropping-particle&quot;:&quot;&quot;,&quot;non-dropping-particle&quot;:&quot;&quot;},{&quot;family&quot;:&quot;Anderson&quot;,&quot;given&quot;:&quot;D&quot;,&quot;parse-names&quot;:false,&quot;dropping-particle&quot;:&quot;&quot;,&quot;non-dropping-particle&quot;:&quot;&quot;},{&quot;family&quot;:&quot;Asadi-Pooya&quot;,&quot;given&quot;:&quot;A&quot;,&quot;parse-names&quot;:false,&quot;dropping-particle&quot;:&quot;&quot;,&quot;non-dropping-particle&quot;:&quot;&quot;},{&quot;family&quot;:&quot;Aybek&quot;,&quot;given&quot;:&quot;S&quot;,&quot;parse-names&quot;:false,&quot;dropping-particle&quot;:&quot;&quot;,&quot;non-dropping-particle&quot;:&quot;&quot;},{&quot;family&quot;:&quot;Baslet&quot;,&quot;given&quot;:&quot;G&quot;,&quot;parse-names&quot;:false,&quot;dropping-particle&quot;:&quot;&quot;,&quot;non-dropping-particle&quot;:&quot;&quot;},{&quot;family&quot;:&quot;Bloem&quot;,&quot;given&quot;:&quot;B&quot;,&quot;parse-names&quot;:false,&quot;dropping-particle&quot;:&quot;&quot;,&quot;non-dropping-particle&quot;:&quot;&quot;},{&quot;family&quot;:&quot;Bradley-Westguard&quot;,&quot;given&quot;:&quot;&quot;,&quot;parse-names&quot;:false,&quot;dropping-particle&quot;:&quot;&quot;,&quot;non-dropping-particle&quot;:&quot;&quot;},{&quot;family&quot;:&quot;Brown&quot;,&quot;given&quot;:&quot;Richard&quot;,&quot;parse-names&quot;:false,&quot;dropping-particle&quot;:&quot;&quot;,&quot;non-dropping-particle&quot;:&quot;&quot;},{&quot;family&quot;:&quot;Brown&quot;,&quot;given&quot;:&quot;Rj Auid-Orcid&quot;,&quot;parse-names&quot;:false,&quot;dropping-particle&quot;:&quot;&quot;,&quot;non-dropping-particle&quot;:&quot;&quot;},{&quot;family&quot;:&quot;Carson&quot;,&quot;given&quot;:&quot;Aj Auid-Orcid&quot;,&quot;parse-names&quot;:false,&quot;dropping-particle&quot;:&quot;&quot;,&quot;non-dropping-particle&quot;:&quot;&quot;},{&quot;family&quot;:&quot;Chalder&quot;,&quot;given&quot;:&quot;T Auid-Orcid&quot;,&quot;parse-names&quot;:false,&quot;dropping-particle&quot;:&quot;&quot;,&quot;non-dropping-particle&quot;:&quot;&quot;},{&quot;family&quot;:&quot;Damianova&quot;,&quot;given&quot;:&quot;M&quot;,&quot;parse-names&quot;:false,&quot;dropping-particle&quot;:&quot;&quot;,&quot;non-dropping-particle&quot;:&quot;&quot;},{&quot;family&quot;:&quot;David&quot;,&quot;given&quot;:&quot;As Auid-Orcid X&quot;,&quot;parse-names&quot;:false,&quot;dropping-particle&quot;:&quot;&quot;,&quot;non-dropping-particle&quot;:&quot;&quot;},{&quot;family&quot;:&quot;Edwards&quot;,&quot;given&quot;:&quot;Mj Auid-Orcid&quot;,&quot;parse-names&quot;:false,&quot;dropping-particle&quot;:&quot;&quot;,&quot;non-dropping-particle&quot;:&quot;&quot;},{&quot;family&quot;:&quot;Epstein&quot;,&quot;given&quot;:&quot;S A&quot;,&quot;parse-names&quot;:false,&quot;dropping-particle&quot;:&quot;&quot;,&quot;non-dropping-particle&quot;:&quot;&quot;},{&quot;family&quot;:&quot;Espay&quot;,&quot;given&quot;:&quot;Aj Auid-Orcid X&quot;,&quot;parse-names&quot;:false,&quot;dropping-particle&quot;:&quot;&quot;,&quot;non-dropping-particle&quot;:&quot;&quot;},{&quot;family&quot;:&quot;Garcin&quot;,&quot;given&quot;:&quot;B Auid-Orcid&quot;,&quot;parse-names&quot;:false,&quot;dropping-particle&quot;:&quot;&quot;,&quot;non-dropping-particle&quot;:&quot;&quot;},{&quot;family&quot;:&quot;Goldstein&quot;,&quot;given&quot;:&quot;Lh Auid-Orcid&quot;,&quot;parse-names&quot;:false,&quot;dropping-particle&quot;:&quot;&quot;,&quot;non-dropping-particle&quot;:&quot;&quot;},{&quot;family&quot;:&quot;Hallett&quot;,&quot;given&quot;:&quot;M Auid-Orcid&quot;,&quot;parse-names&quot;:false,&quot;dropping-particle&quot;:&quot;&quot;,&quot;non-dropping-particle&quot;:&quot;&quot;},{&quot;family&quot;:&quot;Jankovic&quot;,&quot;given&quot;:&quot;J Auid-Orcid&quot;,&quot;parse-names&quot;:false,&quot;dropping-particle&quot;:&quot;&quot;,&quot;non-dropping-particle&quot;:&quot;&quot;},{&quot;family&quot;:&quot;Joyce&quot;,&quot;given&quot;:&quot;Em Auid-Orcid&quot;,&quot;parse-names&quot;:false,&quot;dropping-particle&quot;:&quot;&quot;,&quot;non-dropping-particle&quot;:&quot;&quot;},{&quot;family&quot;:&quot;Kanaan&quot;,&quot;given&quot;:&quot;Ra Auid-Orcid&quot;,&quot;parse-names&quot;:false,&quot;dropping-particle&quot;:&quot;&quot;,&quot;non-dropping-particle&quot;:&quot;&quot;},{&quot;family&quot;:&quot;Keynejad&quot;,&quot;given&quot;:&quot;Rc Auid-Orcid&quot;,&quot;parse-names&quot;:false,&quot;dropping-particle&quot;:&quot;&quot;,&quot;non-dropping-particle&quot;:&quot;&quot;},{&quot;family&quot;:&quot;Kozlowska&quot;,&quot;given&quot;:&quot;K Auid-Orcid&quot;,&quot;parse-names&quot;:false,&quot;dropping-particle&quot;:&quot;&quot;,&quot;non-dropping-particle&quot;:&quot;&quot;},{&quot;family&quot;:&quot;LaFaver&quot;,&quot;given&quot;:&quot;K Auid-Orcid X&quot;,&quot;parse-names&quot;:false,&quot;dropping-particle&quot;:&quot;&quot;,&quot;non-dropping-particle&quot;:&quot;&quot;},{&quot;family&quot;:&quot;LaFrance&quot;,&quot;given&quot;:&quot;W C Jr Auid-Orcid&quot;,&quot;parse-names&quot;:false,&quot;dropping-particle&quot;:&quot;&quot;,&quot;non-dropping-particle&quot;:&quot;&quot;},{&quot;family&quot;:&quot;Lang&quot;,&quot;given&quot;:&quot;Ae Auid-Orcid&quot;,&quot;parse-names&quot;:false,&quot;dropping-particle&quot;:&quot;&quot;,&quot;non-dropping-particle&quot;:&quot;&quot;},{&quot;family&quot;:&quot;Lehn&quot;,&quot;given&quot;:&quot;A Auid-Orcid&quot;,&quot;parse-names&quot;:false,&quot;dropping-particle&quot;:&quot;&quot;,&quot;non-dropping-particle&quot;:&quot;&quot;},{&quot;family&quot;:&quot;Lidstone&quot;,&quot;given&quot;:&quot;S Auid-Orcid&quot;,&quot;parse-names&quot;:false,&quot;dropping-particle&quot;:&quot;&quot;,&quot;non-dropping-particle&quot;:&quot;&quot;},{&quot;family&quot;:&quot;Maurer&quot;,&quot;given&quot;:&quot;Cw Auid-Orcid&quot;,&quot;parse-names&quot;:false,&quot;dropping-particle&quot;:&quot;&quot;,&quot;non-dropping-particle&quot;:&quot;&quot;},{&quot;family&quot;:&quot;Mildon&quot;,&quot;given&quot;:&quot;B Auid-Orcid&quot;,&quot;parse-names&quot;:false,&quot;dropping-particle&quot;:&quot;&quot;,&quot;non-dropping-particle&quot;:&quot;&quot;},{&quot;family&quot;:&quot;Morgante&quot;,&quot;given&quot;:&quot;F Auid-Orcid&quot;,&quot;parse-names&quot;:false,&quot;dropping-particle&quot;:&quot;&quot;,&quot;non-dropping-particle&quot;:&quot;&quot;},{&quot;family&quot;:&quot;Myers&quot;,&quot;given&quot;:&quot;L Auid-Orcid&quot;,&quot;parse-names&quot;:false,&quot;dropping-particle&quot;:&quot;&quot;,&quot;non-dropping-particle&quot;:&quot;&quot;},{&quot;family&quot;:&quot;Nicholson&quot;,&quot;given&quot;:&quot;C Auid-Orcid&quot;,&quot;parse-names&quot;:false,&quot;dropping-particle&quot;:&quot;&quot;,&quot;non-dropping-particle&quot;:&quot;&quot;},{&quot;family&quot;:&quot;Nielsen&quot;,&quot;given&quot;:&quot;G Auid-Orcid&quot;,&quot;parse-names&quot;:false,&quot;dropping-particle&quot;:&quot;&quot;,&quot;non-dropping-particle&quot;:&quot;&quot;},{&quot;family&quot;:&quot;Perez&quot;,&quot;given&quot;:&quot;Dl Auid-Orcid X&quot;,&quot;parse-names&quot;:false,&quot;dropping-particle&quot;:&quot;&quot;,&quot;non-dropping-particle&quot;:&quot;&quot;},{&quot;family&quot;:&quot;Popkirov&quot;,&quot;given&quot;:&quot;S Auid-Orcid&quot;,&quot;parse-names&quot;:false,&quot;dropping-particle&quot;:&quot;&quot;,&quot;non-dropping-particle&quot;:&quot;&quot;},{&quot;family&quot;:&quot;Reuber&quot;,&quot;given&quot;:&quot;M Auid-Orcid&quot;,&quot;parse-names&quot;:false,&quot;dropping-particle&quot;:&quot;&quot;,&quot;non-dropping-particle&quot;:&quot;&quot;},{&quot;family&quot;:&quot;Rommelfanger&quot;,&quot;given&quot;:&quot;Ks Auid-Orcid&quot;,&quot;parse-names&quot;:false,&quot;dropping-particle&quot;:&quot;&quot;,&quot;non-dropping-particle&quot;:&quot;&quot;},{&quot;family&quot;:&quot;Schwingenshuh&quot;,&quot;given&quot;:&quot;P Auid-Orcid&quot;,&quot;parse-names&quot;:false,&quot;dropping-particle&quot;:&quot;&quot;,&quot;non-dropping-particle&quot;:&quot;&quot;},{&quot;family&quot;:&quot;Serranova&quot;,&quot;given&quot;:&quot;T Auid-Orcid&quot;,&quot;parse-names&quot;:false,&quot;dropping-particle&quot;:&quot;&quot;,&quot;non-dropping-particle&quot;:&quot;&quot;},{&quot;family&quot;:&quot;Shotbolt&quot;,&quot;given&quot;:&quot;P Auid-Orcid X&quot;,&quot;parse-names&quot;:false,&quot;dropping-particle&quot;:&quot;&quot;,&quot;non-dropping-particle&quot;:&quot;&quot;},{&quot;family&quot;:&quot;Stebbins&quot;,&quot;given&quot;:&quot;Gt Auid-Orcid&quot;,&quot;parse-names&quot;:false,&quot;dropping-particle&quot;:&quot;&quot;,&quot;non-dropping-particle&quot;:&quot;&quot;},{&quot;family&quot;:&quot;Stone&quot;,&quot;given&quot;:&quot;J Auid-Orcid&quot;,&quot;parse-names&quot;:false,&quot;dropping-particle&quot;:&quot;&quot;,&quot;non-dropping-particle&quot;:&quot;&quot;},{&quot;family&quot;:&quot;Tijssen&quot;,&quot;given&quot;:&quot;Ma Auid-Orcid X&quot;,&quot;parse-names&quot;:false,&quot;dropping-particle&quot;:&quot;&quot;,&quot;non-dropping-particle&quot;:&quot;&quot;},{&quot;family&quot;:&quot;Tinazzi&quot;,&quot;given&quot;:&quot;M Auid-Orcid&quot;,&quot;parse-names&quot;:false,&quot;dropping-particle&quot;:&quot;&quot;,&quot;non-dropping-particle&quot;:&quot;&quot;},{&quot;family&quot;:&quot;Nicholson&quot;,&quot;given&quot;:&quot;Tr Auid-Orcid&quot;,&quot;parse-names&quot;:false,&quot;dropping-particle&quot;:&quot;&quot;,&quot;non-dropping-particle&quot;:&quot;&quot;},{&quot;family&quot;:&quot;Psychiatry&quot;,&quot;given&quot;:&quot;J Neurol Neurosurg&quot;,&quot;parse-names&quot;:false,&quot;dropping-particle&quot;:&quot;&quot;,&quot;non-dropping-particle&quot;:&quot;&quot;}],&quot;issued&quot;:{&quot;date-parts&quot;:[[2020]]},&quot;language&quot;:&quot;eng&quot;,&quot;abstract&quot;:&quot;OBJECTIVES: We aimed to identify existing outcome measures for functional neurological disorder (FND), to inform the development of recommendations and to guide future research on FND outcomes. METHODS: A systematic review was conducted to identify existing FND-specific outcome measures and the most common measurement domains and measures in previous treatment studies. Searches of Embase, MEDLINE and PsycINFO were conducted between January 1965 and June 2019. The findings were discussed during two international meetings of the FND-Core Outcome Measures group. RESULTS: Five FND-specific measures were identified-three clinician-rated and two patient-rated-but their measurement properties have not been rigorously evaluated. No single measure was identified for use across the range of FND symptoms in adults. Across randomised controlled trials (k=40) and observational treatment studies (k=40), outcome measures most often assessed core FND symptom change. Other domains measured commonly were additional physical and psychological symptoms, life impact (ie, quality of life, disability and general functioning) and health economics/cost-utility (eg, healthcare resource use and quality-adjusted life years). CONCLUSIONS: There are few well-validated FND-specific outcome measures. Thus, at present, we recommend that existing outcome measures, known to be reliable, valid and responsive in FND or closely related populations, are used to capture key outcome domains. Increased consistency in outcome measurement will facilitate comparison of treatment effects across FND symptom types and treatment modalities. Future work needs to more rigorously validate outcome measures used in this population.&quot;,&quot;issue&quot;:&quot;1468-330X (Electronic)&quot;,&quot;container-title-short&quot;:&quot;&quot;},&quot;isTemporary&quot;:false}],&quot;citationTag&quot;:&quot;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&quot;},{&quot;citationID&quot;:&quot;MENDELEY_CITATION_372639a0-416f-42a1-81f6-e6259391fb80&quot;,&quot;properties&quot;:{&quot;noteIndex&quot;:0},&quot;isEdited&quot;:false,&quot;manualOverride&quot;:{&quot;isManuallyOverridden&quot;:false,&quot;citeprocText&quot;:&quot;(Schwarzer &amp;#38; Fuchs, 1996)&quot;,&quot;manualOverrideText&quot;:&quot;&quot;},&quot;citationItems&quot;:[{&quot;id&quot;:&quot;fe92c07f-0cc9-3eb0-9675-64b42bd9f15b&quot;,&quot;itemData&quot;:{&quot;type&quot;:&quot;article-journal&quot;,&quot;id&quot;:&quot;fe92c07f-0cc9-3eb0-9675-64b42bd9f15b&quot;,&quot;title&quot;:&quot;Self-efficacy and health behaviours.&quot;,&quot;author&quot;:[{&quot;family&quot;:&quot;Schwarzer&quot;,&quot;given&quot;:&quot;R.&quot;,&quot;parse-names&quot;:false,&quot;dropping-particle&quot;:&quot;&quot;,&quot;non-dropping-particle&quot;:&quot;&quot;},{&quot;family&quot;:&quot;Fuchs&quot;,&quot;given&quot;:&quot;R.&quot;,&quot;parse-names&quot;:false,&quot;dropping-particle&quot;:&quot;&quot;,&quot;non-dropping-particle&quot;:&quot;&quot;}],&quot;accessed&quot;:{&quot;date-parts&quot;:[[2023,5,4]]},&quot;DOI&quot;:&quot;10.4324/9781315800820-10&quot;,&quot;issued&quot;:{&quot;date-parts&quot;:[[1996]]},&quot;container-title-short&quot;:&quot;&quot;},&quot;isTemporary&quot;:false}],&quot;citationTag&quot;:&quot;MENDELEY_CITATION_v3_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&quot;},{&quot;citationID&quot;:&quot;MENDELEY_CITATION_fc6dbdb3-125a-4f75-b7c5-b6f4a41f45f4&quot;,&quot;properties&quot;:{&quot;noteIndex&quot;:0},&quot;isEdited&quot;:false,&quot;manualOverride&quot;:{&quot;isManuallyOverridden&quot;:true,&quot;citeprocText&quot;:&quot;(Michaelis et al., 2019)&quot;,&quot;manualOverrideText&quot;:&quot;Michaelis et al. (2019)&quot;},&quot;citationItems&quot;:[{&quot;id&quot;:&quot;ced2fe03-042f-3d88-aca0-3dec434159d1&quot;,&quot;itemData&quot;:{&quot;type&quot;:&quot;article-journal&quot;,&quot;id&quot;:&quot;ced2fe03-042f-3d88-aca0-3dec434159d1&quot;,&quot;title&quot;:&quot;Development of a patient-reported outcome measure for psychotherapeutic interventions in people with seizures: A mixed methods study&quot;,&quot;author&quot;:[{&quot;family&quot;:&quot;Michaelis&quot;,&quot;given&quot;:&quot;R&quot;,&quot;parse-names&quot;:false,&quot;dropping-particle&quot;:&quot;&quot;,&quot;non-dropping-particle&quot;:&quot;&quot;},{&quot;family&quot;:&quot;Meyer&quot;,&quot;given&quot;:&quot;S&quot;,&quot;parse-names&quot;:false,&quot;dropping-particle&quot;:&quot;&quot;,&quot;non-dropping-particle&quot;:&quot;&quot;},{&quot;family&quot;:&quot;Reuber&quot;,&quot;given&quot;:&quot;M&quot;,&quot;parse-names&quot;:false,&quot;dropping-particle&quot;:&quot;&quot;,&quot;non-dropping-particle&quot;:&quot;&quot;},{&quot;family&quot;:&quot;Schöne&quot;,&quot;given&quot;:&quot;C&quot;,&quot;parse-names&quot;:false,&quot;dropping-particle&quot;:&quot;&quot;,&quot;non-dropping-particle&quot;:&quot;&quot;}],&quot;container-title&quot;:&quot;Epilepsy Behav&quot;,&quot;DOI&quot;:&quot;10.1016/j.yebeh.2019.106464&quot;,&quot;ISSN&quot;:&quot;1525-5050&quot;,&quot;PMID&quot;:&quot;31421518&quot;,&quot;issued&quot;:{&quot;date-parts&quot;:[[2019]]},&quot;page&quot;:&quot;106464&quot;,&quot;language&quot;:&quot;eng&quot;,&quot;abstract&quot;:&quot;BACKGROUND: Generic or even disease-specific quality of life measures are unlikely to be equally responsive to different epilepsy treatment modalities, such as pharmacotherapy, surgery, or psychotherapy. The purpose of the present study was to summarize the development of a patient-reported outcome measure (PROM) designed to be particularly sensitive to change mediated by psychotherapeutic interventions in people with seizures. METHODS: The development of this instrument involved seven steps: (1) Development of a candidate item set based on the outcome of previous qualitative research, (2) initial quantitative-descriptive study yielding an assessment of content validity by clinical experts, (3) qualitative-descriptive posttherapy cognitive debriefing interviews with patients with epileptic and/or nonepileptic seizures (NES), (4) English translation, (5) elicitation of qualitative feedback from international experts, (6) assessment of internal consistency and correlation with similar previously validated generic and epilepsy-specific measures in a pilot study, and (7) final expert content validity rating. RESULTS: (1) The candidate item set comprised 29 stem items; five of which were followed by a follow-up (FU) item that refers to the statement of the stem item. (2) Eight clinical experts assessed content validity. Informed by rating and experts' qualitative comments, 15 items remained unchanged, eleven underwent substantial revisions, three were excluded, and six added. (3) Cognitive debriefing interviews were conducted with 14 patients with epilepsy and/or NES. Based on the interviewees' feedback, 29 of 32 items remained unchanged, two were excluded, one reworded, and four added. (4) The forwards-backwards English translation prompted substantial revision of two items because the verbatim back translation of the corresponding English items was conceptually more convincing than the original German wording. (5) The international experts identified problems with item comprehensibility/clarity of four stem and three FU items that were subsequently reworded. Ten items were added to incorporate their qualitative feedback resulting in a total of 44 items. (6) Thirty-one patients with epilepsy participated in the pilot study. The overall internal consistency of the self-Efficacy, Assertiveness, Social support, self-awareness, and hElpful thinking in people with seizures (EASE) was very good (α = 0.92). Analysis at item-level revealed problems with inverted and self-evident items. Based on this analysis, three items were eliminated and two items were revised (one FU item was turned into a stem item) resulting in a total of 42 items. (7) The second content validity rating showed final item-content validity indices (I-CVIs) between 0.38 and 1 and an excellent mean CVI of 0.92 at scale level (S-CVI/ave). Fourteen stem items were substantially revised by incorporating the experts' qualitative feedback, three items with low I-CVIs were excluded, and one item was added. The final questionnaire consisted of 40 stem items; eight of which include at least one FU item. CONCLUSION: Based on these results, the EASE is valid in terms of content, internally consistent, clear, and acceptable to patients with seizures. The measure has now been developed to the stage at which the validity and reliability as well as the psychometric properties and factorial structure of the new instrument can be assessed in larger patient groups in a prospective clinical study.&quot;,&quot;edition&quot;:&quot;2019/08/20&quot;,&quot;volume&quot;:&quot;99&quot;,&quot;container-title-short&quot;:&quot;&quot;},&quot;isTemporary&quot;:false}],&quot;citationTag&quot;:&quot;MENDELEY_CITATION_v3_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&quot;},{&quot;citationID&quot;:&quot;MENDELEY_CITATION_73580991-6635-4bef-b8f8-20d9b213ffb8&quot;,&quot;properties&quot;:{&quot;noteIndex&quot;:0},&quot;isEdited&quot;:false,&quot;manualOverride&quot;:{&quot;isManuallyOverridden&quot;:false,&quot;citeprocText&quot;:&quot;(Michaelis et al., 2019)&quot;,&quot;manualOverrideText&quot;:&quot;&quot;},&quot;citationItems&quot;:[{&quot;id&quot;:&quot;ced2fe03-042f-3d88-aca0-3dec434159d1&quot;,&quot;itemData&quot;:{&quot;type&quot;:&quot;article-journal&quot;,&quot;id&quot;:&quot;ced2fe03-042f-3d88-aca0-3dec434159d1&quot;,&quot;title&quot;:&quot;Development of a patient-reported outcome measure for psychotherapeutic interventions in people with seizures: A mixed methods study&quot;,&quot;author&quot;:[{&quot;family&quot;:&quot;Michaelis&quot;,&quot;given&quot;:&quot;R&quot;,&quot;parse-names&quot;:false,&quot;dropping-particle&quot;:&quot;&quot;,&quot;non-dropping-particle&quot;:&quot;&quot;},{&quot;family&quot;:&quot;Meyer&quot;,&quot;given&quot;:&quot;S&quot;,&quot;parse-names&quot;:false,&quot;dropping-particle&quot;:&quot;&quot;,&quot;non-dropping-particle&quot;:&quot;&quot;},{&quot;family&quot;:&quot;Reuber&quot;,&quot;given&quot;:&quot;M&quot;,&quot;parse-names&quot;:false,&quot;dropping-particle&quot;:&quot;&quot;,&quot;non-dropping-particle&quot;:&quot;&quot;},{&quot;family&quot;:&quot;Schöne&quot;,&quot;given&quot;:&quot;C&quot;,&quot;parse-names&quot;:false,&quot;dropping-particle&quot;:&quot;&quot;,&quot;non-dropping-particle&quot;:&quot;&quot;}],&quot;container-title&quot;:&quot;Epilepsy Behav&quot;,&quot;DOI&quot;:&quot;10.1016/j.yebeh.2019.106464&quot;,&quot;ISSN&quot;:&quot;1525-5050&quot;,&quot;PMID&quot;:&quot;31421518&quot;,&quot;issued&quot;:{&quot;date-parts&quot;:[[2019]]},&quot;page&quot;:&quot;106464&quot;,&quot;language&quot;:&quot;eng&quot;,&quot;abstract&quot;:&quot;BACKGROUND: Generic or even disease-specific quality of life measures are unlikely to be equally responsive to different epilepsy treatment modalities, such as pharmacotherapy, surgery, or psychotherapy. The purpose of the present study was to summarize the development of a patient-reported outcome measure (PROM) designed to be particularly sensitive to change mediated by psychotherapeutic interventions in people with seizures. METHODS: The development of this instrument involved seven steps: (1) Development of a candidate item set based on the outcome of previous qualitative research, (2) initial quantitative-descriptive study yielding an assessment of content validity by clinical experts, (3) qualitative-descriptive posttherapy cognitive debriefing interviews with patients with epileptic and/or nonepileptic seizures (NES), (4) English translation, (5) elicitation of qualitative feedback from international experts, (6) assessment of internal consistency and correlation with similar previously validated generic and epilepsy-specific measures in a pilot study, and (7) final expert content validity rating. RESULTS: (1) The candidate item set comprised 29 stem items; five of which were followed by a follow-up (FU) item that refers to the statement of the stem item. (2) Eight clinical experts assessed content validity. Informed by rating and experts' qualitative comments, 15 items remained unchanged, eleven underwent substantial revisions, three were excluded, and six added. (3) Cognitive debriefing interviews were conducted with 14 patients with epilepsy and/or NES. Based on the interviewees' feedback, 29 of 32 items remained unchanged, two were excluded, one reworded, and four added. (4) The forwards-backwards English translation prompted substantial revision of two items because the verbatim back translation of the corresponding English items was conceptually more convincing than the original German wording. (5) The international experts identified problems with item comprehensibility/clarity of four stem and three FU items that were subsequently reworded. Ten items were added to incorporate their qualitative feedback resulting in a total of 44 items. (6) Thirty-one patients with epilepsy participated in the pilot study. The overall internal consistency of the self-Efficacy, Assertiveness, Social support, self-awareness, and hElpful thinking in people with seizures (EASE) was very good (α = 0.92). Analysis at item-level revealed problems with inverted and self-evident items. Based on this analysis, three items were eliminated and two items were revised (one FU item was turned into a stem item) resulting in a total of 42 items. (7) The second content validity rating showed final item-content validity indices (I-CVIs) between 0.38 and 1 and an excellent mean CVI of 0.92 at scale level (S-CVI/ave). Fourteen stem items were substantially revised by incorporating the experts' qualitative feedback, three items with low I-CVIs were excluded, and one item was added. The final questionnaire consisted of 40 stem items; eight of which include at least one FU item. CONCLUSION: Based on these results, the EASE is valid in terms of content, internally consistent, clear, and acceptable to patients with seizures. The measure has now been developed to the stage at which the validity and reliability as well as the psychometric properties and factorial structure of the new instrument can be assessed in larger patient groups in a prospective clinical study.&quot;,&quot;edition&quot;:&quot;2019/08/20&quot;,&quot;volume&quot;:&quot;99&quot;,&quot;container-title-short&quot;:&quot;&quot;},&quot;isTemporary&quot;:false}],&quot;citationTag&quot;:&quot;MENDELEY_CITATION_v3_eyJjaXRhdGlvbklEIjoiTUVOREVMRVlfQ0lUQVRJT05fNzM1ODA5OTEtNjYzNS00YmVmLWI4ZjgtMjBkOWIyMTNmZmI4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quot;},{&quot;citationID&quot;:&quot;MENDELEY_CITATION_5983f505-bae8-47e8-8db4-dcfa09e7cbd1&quot;,&quot;properties&quot;:{&quot;noteIndex&quot;:0},&quot;isEdited&quot;:false,&quot;manualOverride&quot;:{&quot;isManuallyOverridden&quot;:false,&quot;citeprocText&quot;:&quot;(Michaelis et al., 2019)&quot;,&quot;manualOverrideText&quot;:&quot;&quot;},&quot;citationItems&quot;:[{&quot;id&quot;:&quot;ced2fe03-042f-3d88-aca0-3dec434159d1&quot;,&quot;itemData&quot;:{&quot;type&quot;:&quot;article-journal&quot;,&quot;id&quot;:&quot;ced2fe03-042f-3d88-aca0-3dec434159d1&quot;,&quot;title&quot;:&quot;Development of a patient-reported outcome measure for psychotherapeutic interventions in people with seizures: A mixed methods study&quot;,&quot;author&quot;:[{&quot;family&quot;:&quot;Michaelis&quot;,&quot;given&quot;:&quot;R&quot;,&quot;parse-names&quot;:false,&quot;dropping-particle&quot;:&quot;&quot;,&quot;non-dropping-particle&quot;:&quot;&quot;},{&quot;family&quot;:&quot;Meyer&quot;,&quot;given&quot;:&quot;S&quot;,&quot;parse-names&quot;:false,&quot;dropping-particle&quot;:&quot;&quot;,&quot;non-dropping-particle&quot;:&quot;&quot;},{&quot;family&quot;:&quot;Reuber&quot;,&quot;given&quot;:&quot;M&quot;,&quot;parse-names&quot;:false,&quot;dropping-particle&quot;:&quot;&quot;,&quot;non-dropping-particle&quot;:&quot;&quot;},{&quot;family&quot;:&quot;Schöne&quot;,&quot;given&quot;:&quot;C&quot;,&quot;parse-names&quot;:false,&quot;dropping-particle&quot;:&quot;&quot;,&quot;non-dropping-particle&quot;:&quot;&quot;}],&quot;container-title&quot;:&quot;Epilepsy Behav&quot;,&quot;DOI&quot;:&quot;10.1016/j.yebeh.2019.106464&quot;,&quot;ISSN&quot;:&quot;1525-5050&quot;,&quot;PMID&quot;:&quot;31421518&quot;,&quot;issued&quot;:{&quot;date-parts&quot;:[[2019]]},&quot;page&quot;:&quot;106464&quot;,&quot;language&quot;:&quot;eng&quot;,&quot;abstract&quot;:&quot;BACKGROUND: Generic or even disease-specific quality of life measures are unlikely to be equally responsive to different epilepsy treatment modalities, such as pharmacotherapy, surgery, or psychotherapy. The purpose of the present study was to summarize the development of a patient-reported outcome measure (PROM) designed to be particularly sensitive to change mediated by psychotherapeutic interventions in people with seizures. METHODS: The development of this instrument involved seven steps: (1) Development of a candidate item set based on the outcome of previous qualitative research, (2) initial quantitative-descriptive study yielding an assessment of content validity by clinical experts, (3) qualitative-descriptive posttherapy cognitive debriefing interviews with patients with epileptic and/or nonepileptic seizures (NES), (4) English translation, (5) elicitation of qualitative feedback from international experts, (6) assessment of internal consistency and correlation with similar previously validated generic and epilepsy-specific measures in a pilot study, and (7) final expert content validity rating. RESULTS: (1) The candidate item set comprised 29 stem items; five of which were followed by a follow-up (FU) item that refers to the statement of the stem item. (2) Eight clinical experts assessed content validity. Informed by rating and experts' qualitative comments, 15 items remained unchanged, eleven underwent substantial revisions, three were excluded, and six added. (3) Cognitive debriefing interviews were conducted with 14 patients with epilepsy and/or NES. Based on the interviewees' feedback, 29 of 32 items remained unchanged, two were excluded, one reworded, and four added. (4) The forwards-backwards English translation prompted substantial revision of two items because the verbatim back translation of the corresponding English items was conceptually more convincing than the original German wording. (5) The international experts identified problems with item comprehensibility/clarity of four stem and three FU items that were subsequently reworded. Ten items were added to incorporate their qualitative feedback resulting in a total of 44 items. (6) Thirty-one patients with epilepsy participated in the pilot study. The overall internal consistency of the self-Efficacy, Assertiveness, Social support, self-awareness, and hElpful thinking in people with seizures (EASE) was very good (α = 0.92). Analysis at item-level revealed problems with inverted and self-evident items. Based on this analysis, three items were eliminated and two items were revised (one FU item was turned into a stem item) resulting in a total of 42 items. (7) The second content validity rating showed final item-content validity indices (I-CVIs) between 0.38 and 1 and an excellent mean CVI of 0.92 at scale level (S-CVI/ave). Fourteen stem items were substantially revised by incorporating the experts' qualitative feedback, three items with low I-CVIs were excluded, and one item was added. The final questionnaire consisted of 40 stem items; eight of which include at least one FU item. CONCLUSION: Based on these results, the EASE is valid in terms of content, internally consistent, clear, and acceptable to patients with seizures. The measure has now been developed to the stage at which the validity and reliability as well as the psychometric properties and factorial structure of the new instrument can be assessed in larger patient groups in a prospective clinical study.&quot;,&quot;edition&quot;:&quot;2019/08/20&quot;,&quot;volume&quot;:&quot;99&quot;,&quot;container-title-short&quot;:&quot;&quot;},&quot;isTemporary&quot;:false}],&quot;citationTag&quot;:&quot;MENDELEY_CITATION_v3_eyJjaXRhdGlvbklEIjoiTUVOREVMRVlfQ0lUQVRJT05fNTk4M2Y1MDUtYmFlOC00N2U4LThkYjQtZGNmYTA5ZTdjYmQx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quot;},{&quot;citationID&quot;:&quot;MENDELEY_CITATION_e862dcdb-da2a-43a4-a425-6f9073bde660&quot;,&quot;properties&quot;:{&quot;noteIndex&quot;:0},&quot;isEdited&quot;:false,&quot;manualOverride&quot;:{&quot;isManuallyOverridden&quot;:false,&quot;citeprocText&quot;:&quot;(Michaelis et al., 2019)&quot;,&quot;manualOverrideText&quot;:&quot;&quot;},&quot;citationItems&quot;:[{&quot;id&quot;:&quot;ced2fe03-042f-3d88-aca0-3dec434159d1&quot;,&quot;itemData&quot;:{&quot;type&quot;:&quot;article-journal&quot;,&quot;id&quot;:&quot;ced2fe03-042f-3d88-aca0-3dec434159d1&quot;,&quot;title&quot;:&quot;Development of a patient-reported outcome measure for psychotherapeutic interventions in people with seizures: A mixed methods study&quot;,&quot;author&quot;:[{&quot;family&quot;:&quot;Michaelis&quot;,&quot;given&quot;:&quot;R&quot;,&quot;parse-names&quot;:false,&quot;dropping-particle&quot;:&quot;&quot;,&quot;non-dropping-particle&quot;:&quot;&quot;},{&quot;family&quot;:&quot;Meyer&quot;,&quot;given&quot;:&quot;S&quot;,&quot;parse-names&quot;:false,&quot;dropping-particle&quot;:&quot;&quot;,&quot;non-dropping-particle&quot;:&quot;&quot;},{&quot;family&quot;:&quot;Reuber&quot;,&quot;given&quot;:&quot;M&quot;,&quot;parse-names&quot;:false,&quot;dropping-particle&quot;:&quot;&quot;,&quot;non-dropping-particle&quot;:&quot;&quot;},{&quot;family&quot;:&quot;Schöne&quot;,&quot;given&quot;:&quot;C&quot;,&quot;parse-names&quot;:false,&quot;dropping-particle&quot;:&quot;&quot;,&quot;non-dropping-particle&quot;:&quot;&quot;}],&quot;container-title&quot;:&quot;Epilepsy Behav&quot;,&quot;DOI&quot;:&quot;10.1016/j.yebeh.2019.106464&quot;,&quot;ISSN&quot;:&quot;1525-5050&quot;,&quot;PMID&quot;:&quot;31421518&quot;,&quot;issued&quot;:{&quot;date-parts&quot;:[[2019]]},&quot;page&quot;:&quot;106464&quot;,&quot;language&quot;:&quot;eng&quot;,&quot;abstract&quot;:&quot;BACKGROUND: Generic or even disease-specific quality of life measures are unlikely to be equally responsive to different epilepsy treatment modalities, such as pharmacotherapy, surgery, or psychotherapy. The purpose of the present study was to summarize the development of a patient-reported outcome measure (PROM) designed to be particularly sensitive to change mediated by psychotherapeutic interventions in people with seizures. METHODS: The development of this instrument involved seven steps: (1) Development of a candidate item set based on the outcome of previous qualitative research, (2) initial quantitative-descriptive study yielding an assessment of content validity by clinical experts, (3) qualitative-descriptive posttherapy cognitive debriefing interviews with patients with epileptic and/or nonepileptic seizures (NES), (4) English translation, (5) elicitation of qualitative feedback from international experts, (6) assessment of internal consistency and correlation with similar previously validated generic and epilepsy-specific measures in a pilot study, and (7) final expert content validity rating. RESULTS: (1) The candidate item set comprised 29 stem items; five of which were followed by a follow-up (FU) item that refers to the statement of the stem item. (2) Eight clinical experts assessed content validity. Informed by rating and experts' qualitative comments, 15 items remained unchanged, eleven underwent substantial revisions, three were excluded, and six added. (3) Cognitive debriefing interviews were conducted with 14 patients with epilepsy and/or NES. Based on the interviewees' feedback, 29 of 32 items remained unchanged, two were excluded, one reworded, and four added. (4) The forwards-backwards English translation prompted substantial revision of two items because the verbatim back translation of the corresponding English items was conceptually more convincing than the original German wording. (5) The international experts identified problems with item comprehensibility/clarity of four stem and three FU items that were subsequently reworded. Ten items were added to incorporate their qualitative feedback resulting in a total of 44 items. (6) Thirty-one patients with epilepsy participated in the pilot study. The overall internal consistency of the self-Efficacy, Assertiveness, Social support, self-awareness, and hElpful thinking in people with seizures (EASE) was very good (α = 0.92). Analysis at item-level revealed problems with inverted and self-evident items. Based on this analysis, three items were eliminated and two items were revised (one FU item was turned into a stem item) resulting in a total of 42 items. (7) The second content validity rating showed final item-content validity indices (I-CVIs) between 0.38 and 1 and an excellent mean CVI of 0.92 at scale level (S-CVI/ave). Fourteen stem items were substantially revised by incorporating the experts' qualitative feedback, three items with low I-CVIs were excluded, and one item was added. The final questionnaire consisted of 40 stem items; eight of which include at least one FU item. CONCLUSION: Based on these results, the EASE is valid in terms of content, internally consistent, clear, and acceptable to patients with seizures. The measure has now been developed to the stage at which the validity and reliability as well as the psychometric properties and factorial structure of the new instrument can be assessed in larger patient groups in a prospective clinical study.&quot;,&quot;edition&quot;:&quot;2019/08/20&quot;,&quot;volume&quot;:&quot;99&quot;,&quot;container-title-short&quot;:&quot;&quot;},&quot;isTemporary&quot;:false}],&quot;citationTag&quot;:&quot;MENDELEY_CITATION_v3_eyJjaXRhdGlvbklEIjoiTUVOREVMRVlfQ0lUQVRJT05fZTg2MmRjZGItZGEyYS00M2E0LWE0MjUtNmY5MDczYmRlNjYw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quot;},{&quot;citationID&quot;:&quot;MENDELEY_CITATION_276bf57c-dcb2-4208-bfa3-0b1c63a7562d&quot;,&quot;properties&quot;:{&quot;noteIndex&quot;:0},&quot;isEdited&quot;:false,&quot;manualOverride&quot;:{&quot;isManuallyOverridden&quot;:false,&quot;citeprocText&quot;:&quot;(Dilorio et al., 1992; Hagger &amp;#38; Orbell, 2003; Pretorius, 2016; Pretorius &amp;#38; Sparrow, 2015)&quot;,&quot;manualOverrideText&quot;:&quot;&quot;},&quot;citationItems&quot;:[{&quot;id&quot;:&quot;46a66565-509f-323a-9d6e-48f23a26d6e2&quot;,&quot;itemData&quot;:{&quot;type&quot;:&quot;article-journal&quot;,&quot;id&quot;:&quot;46a66565-509f-323a-9d6e-48f23a26d6e2&quot;,&quot;title&quot;:&quot;Life after being diagnosed with psychogenic non-epileptic seizures (PNES): A South African perspective&quot;,&quot;author&quot;:[{&quot;family&quot;:&quot;Pretorius&quot;,&quot;given&quot;:&quot;Chrisma&quot;,&quot;parse-names&quot;:false,&quot;dropping-particle&quot;:&quot;&quot;,&quot;non-dropping-particle&quot;:&quot;&quot;},{&quot;family&quot;:&quot;Sparrow&quot;,&quot;given&quot;:&quot;Melissa&quot;,&quot;parse-names&quot;:false,&quot;dropping-particle&quot;:&quot;&quot;,&quot;non-dropping-particle&quot;:&quot;&quot;}],&quot;container-title&quot;:&quot;Seizure&quot;,&quot;container-title-short&quot;:&quot;Seizure&quot;,&quot;accessed&quot;:{&quot;date-parts&quot;:[[2023,5,4]]},&quot;DOI&quot;:&quot;10.1016/J.SEIZURE.2015.05.008&quot;,&quot;ISSN&quot;:&quot;1059-1311&quot;,&quot;PMID&quot;:&quot;26216682&quot;,&quot;issued&quot;:{&quot;date-parts&quot;:[[2015,8,1]]},&quot;page&quot;:&quot;32-41&quot;,&quot;abstract&quot;:&quot;Purpose The aim of the study was to explore the life experiences of South Africans who have been diagnosed as having PNES, with a focus on the aspects of the challenges which these individuals face, as well as the resources and coping strategies which are either made available to them or used by them in order to cope with PNES. Methods Ten semi-structured interviews were analysed by means of thematic analysis in order to explore themes around challenges and resources for those diagnosed with PNES. Results Various challenges were revealed by participants, as well as the resources used in order to deal with these challenges associated with being diagnosed with PNES. Some of the challenges included unexpected seizures, medical professionals, belief systems as well as family. However, resources to counteract these challenges were social support, medical professional as well as religion and spirituality. Conclusion Although many challenges are encountered by those who are diagnosed with PNES, there are substantial resources from which these individuals draw in order to live fulfilling and satisfactory lives. As more information and research is accumulated, more resources may become available to benefit these individuals and allow them to recover from PNES. It should be noted that medical professionals were described as both a challenge as well as a resource for people with PNES. Therefore, we can conclude that these individuals are key in the experiences of those who have been diagnosed with PNES, and that they play a role on not only a diagnostic level, but also in providing support, information, as well as therapeutic benefits.&quot;,&quot;publisher&quot;:&quot;W.B. Saunders&quot;,&quot;volume&quot;:&quot;30&quot;},&quot;isTemporary&quot;:false},{&quot;id&quot;:&quot;a2a1e8c6-060b-3860-8e8a-94f7c4601fad&quot;,&quot;itemData&quot;:{&quot;type&quot;:&quot;article-journal&quot;,&quot;id&quot;:&quot;a2a1e8c6-060b-3860-8e8a-94f7c4601fad&quot;,&quot;title&quot;:&quot;Barriers and facilitators to reaching a diagnosis of PNES from the patients’ perspective: Preliminary findings&quot;,&quot;author&quot;:[{&quot;family&quot;:&quot;Pretorius&quot;,&quot;given&quot;:&quot;Chrisma&quot;,&quot;parse-names&quot;:false,&quot;dropping-particle&quot;:&quot;&quot;,&quot;non-dropping-particle&quot;:&quot;&quot;}],&quot;container-title&quot;:&quot;Seizure&quot;,&quot;container-title-short&quot;:&quot;Seizure&quot;,&quot;accessed&quot;:{&quot;date-parts&quot;:[[2023,5,4]]},&quot;DOI&quot;:&quot;10.1016/J.SEIZURE.2016.03.007&quot;,&quot;ISSN&quot;:&quot;1059-1311&quot;,&quot;PMID&quot;:&quot;27039015&quot;,&quot;issued&quot;:{&quot;date-parts&quot;:[[2016,5,1]]},&quot;page&quot;:&quot;1-6&quot;,&quot;abstract&quot;:&quot;Purpose: This qualitative study aimed at examining the subjective experiences of patients during the complicated and often prolonged diagnostic process of psychogenic non-epileptic seizures (PNES). Methods: Thematic analyses were used to explore the semi-structured interviews that were conducted with ten individuals who have been diagnosed with PNES. Results: Six main themes, namely inexpert healthcare providers, limited medical insurance and loss of independence were identified as barriers, while social support, comprehensive medical insurance and knowledgeable healthcare providers were identified as facilitators through the process of thematic analysis. Conclusions: The patients' perspectives revealed that an earlier diagnosis of PNES is essential to address the loss of independence and limit inappropriate and potentially harmful treatment as well as the costly burden of this condition on both the patient and the healthcare system. It was evident in this study that healthcare providers play an essential role in the subjective experiences of these individuals during the diagnostic process. The implementation of continuous education programmes for healthcare providers in particular could contribute positively to the diagnostic process of PNES for patients.&quot;,&quot;publisher&quot;:&quot;W.B. Saunders&quot;,&quot;volume&quot;:&quot;38&quot;},&quot;isTemporary&quot;:false},{&quot;id&quot;:&quot;3d69f90d-c02a-3bcb-b5f6-4f9178ed37a8&quot;,&quot;itemData&quot;:{&quot;type&quot;:&quot;article-journal&quot;,&quot;id&quot;:&quot;3d69f90d-c02a-3bcb-b5f6-4f9178ed37a8&quot;,&quot;title&quot;:&quot;Self-Efficacy and Social Support in Self-Management of Epilepsy&quot;,&quot;author&quot;:[{&quot;family&quot;:&quot;Dilorio&quot;,&quot;given&quot;:&quot;Colleen&quot;,&quot;parse-names&quot;:false,&quot;dropping-particle&quot;:&quot;&quot;,&quot;non-dropping-particle&quot;:&quot;&quot;},{&quot;family&quot;:&quot;Faherty&quot;,&quot;given&quot;:&quot;Barbara&quot;,&quot;parse-names&quot;:false,&quot;dropping-particle&quot;:&quot;&quot;,&quot;non-dropping-particle&quot;:&quot;&quot;},{&quot;family&quot;:&quot;Manteuffel&quot;,&quot;given&quot;:&quot;Brigitte&quot;,&quot;parse-names&quot;:false,&quot;dropping-particle&quot;:&quot;&quot;,&quot;non-dropping-particle&quot;:&quot;&quot;},{&quot;family&quot;:&quot;Hoeffer&quot;,&quot;given&quot;:&quot;Beverly&quot;,&quot;parse-names&quot;:false,&quot;dropping-particle&quot;:&quot;&quot;,&quot;non-dropping-particle&quot;:&quot;&quot;},{&quot;family&quot;:&quot;Hilbert&quot;,&quot;given&quot;:&quot;Gail A.&quot;,&quot;parse-names&quot;:false,&quot;dropping-particle&quot;:&quot;&quot;,&quot;non-dropping-particle&quot;:&quot;&quot;}],&quot;container-title&quot;:&quot;Western Journal of Nursing Research&quot;,&quot;container-title-short&quot;:&quot;West J Nurs Res&quot;,&quot;accessed&quot;:{&quot;date-parts&quot;:[[2023,5,3]]},&quot;DOI&quot;:&quot;10.1177/019394599201400303/ASSET/019394599201400303.FP.PNG_V03&quot;,&quot;ISSN&quot;:&quot;15528456&quot;,&quot;PMID&quot;:&quot;1615646&quot;,&quot;URL&quot;:&quot;https://journals.sagepub.com/doi/abs/10.1177/019394599201400303?journalCode=wjna&quot;,&quot;issued&quot;:{&quot;date-parts&quot;:[[1992,6,1]]},&quot;page&quot;:&quot;292-307&quot;,&quot;publisher&quot;:&quot;SAGE PUBLICATIONS, INC.2455 Teller Road, Newbury Park, CA 91320&quot;,&quot;issue&quot;:&quot;3&quot;,&quot;volume&quot;:&quot;14&quot;},&quot;isTemporary&quot;:false},{&quot;id&quot;:&quot;1cbc7e5e-84ef-34e2-a945-080742b8af80&quot;,&quot;itemData&quot;:{&quot;type&quot;:&quot;article-journal&quot;,&quot;id&quot;:&quot;1cbc7e5e-84ef-34e2-a945-080742b8af80&quot;,&quot;title&quot;:&quot;A meta-analytic review of the common-sense model of illness representations&quot;,&quot;author&quot;:[{&quot;family&quot;:&quot;Hagger&quot;,&quot;given&quot;:&quot;Martin S&quot;,&quot;parse-names&quot;:false,&quot;dropping-particle&quot;:&quot;&quot;,&quot;non-dropping-particle&quot;:&quot;&quot;},{&quot;family&quot;:&quot;Orbell&quot;,&quot;given&quot;:&quot;Sheina&quot;,&quot;parse-names&quot;:false,&quot;dropping-particle&quot;:&quot;&quot;,&quot;non-dropping-particle&quot;:&quot;&quot;}],&quot;container-title&quot;:&quot;Psychology &amp; Health&quot;,&quot;container-title-short&quot;:&quot;Psychol Health&quot;,&quot;DOI&quot;:&quot;10.1080/088704403100081321&quot;,&quot;ISSN&quot;:&quot;1476-8321(Electronic),0887-0446(Print)&quot;,&quot;issued&quot;:{&quot;date-parts&quot;:[[2003]]},&quot;publisher-place&quot;:&quot;United Kingdom&quot;,&quot;page&quot;:&quot;141-184&quot;,&quot;abstract&quot;:&quot;A meta-analysis of 45 empirical studies adopting the Common Sense Model (CSM) of illness representations is presented. The average corrected intercorrelation matrix showed that the CSM illness cognition dimensions of consequences, control/cure, identity and timeline followed a logical pattern supporting their construct and discriminant validity across illness types. Examining the average corrected correlation coefficients across the studies revealed that perceptions of a strong illness identity were positively related to the use of coping strategies of avoidance and emotion expression. Perceived controllability of the illness was associated with cognitive reappraisal, expressing emotions and problem-focused coping strategies. Perceptions of the illness as highly symptomatic, having a chronic timeline and serious consequences was correlated with avoidance and expressing emotions coping strategies. Perceptions that the illness was curable/controllable was positively related to the adaptive outcomes of psychological well-being, social functioning and vitality and negatively related to psychological distress and disease state. Illness consequences, timeline and identity exhibited negative relationships with psychological well being, role and social functioning and vitality. (PsycINFO Database Record (c) 2016 APA, all rights reserved)&quot;,&quot;publisher&quot;:&quot;Taylor &amp; Francis&quot;,&quot;issue&quot;:&quot;2&quot;,&quot;volume&quot;:&quot;18&quot;},&quot;isTemporary&quot;:false}],&quot;citationTag&quot;:&quot;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&quot;},{&quot;citationID&quot;:&quot;MENDELEY_CITATION_28d0b1e2-ff59-4210-b220-9594fd0ebd87&quot;,&quot;properties&quot;:{&quot;noteIndex&quot;:0},&quot;isEdited&quot;:false,&quot;manualOverride&quot;:{&quot;isManuallyOverridden&quot;:true,&quot;citeprocText&quot;:&quot;(Baslet et al., 2015; Kotwas et al., 2016; Lundgren et al., 2008)&quot;,&quot;manualOverrideText&quot;:&quot;(Baslet et al., 2015; Kotwas et al., 2016; Lundgren et al., 2008),&quot;},&quot;citationItems&quot;:[{&quot;id&quot;:&quot;ba5c1a1a-c5df-34f2-a4f0-2bc8e10f468c&quot;,&quot;itemData&quot;:{&quot;type&quot;:&quot;article-journal&quot;,&quot;id&quot;:&quot;ba5c1a1a-c5df-34f2-a4f0-2bc8e10f468c&quot;,&quot;title&quot;:&quot;Evaluation of mediators of change in the treatment of epilepsy with acceptance and commitment therapy&quot;,&quot;author&quot;:[{&quot;family&quot;:&quot;Lundgren&quot;,&quot;given&quot;:&quot;Tobias&quot;,&quot;parse-names&quot;:false,&quot;dropping-particle&quot;:&quot;&quot;,&quot;non-dropping-particle&quot;:&quot;&quot;},{&quot;family&quot;:&quot;Dahl&quot;,&quot;given&quot;:&quot;Jo Anne&quot;,&quot;parse-names&quot;:false,&quot;dropping-particle&quot;:&quot;&quot;,&quot;non-dropping-particle&quot;:&quot;&quot;},{&quot;family&quot;:&quot;Hayes&quot;,&quot;given&quot;:&quot;Steven C.&quot;,&quot;parse-names&quot;:false,&quot;dropping-particle&quot;:&quot;&quot;,&quot;non-dropping-particle&quot;:&quot;&quot;}],&quot;container-title&quot;:&quot;Journal of Behavioral Medicine&quot;,&quot;container-title-short&quot;:&quot;J Behav Med&quot;,&quot;accessed&quot;:{&quot;date-parts&quot;:[[2023,5,4]]},&quot;DOI&quot;:&quot;10.1007/S10865-008-9151-X/TABLES/4&quot;,&quot;ISSN&quot;:&quot;01607715&quot;,&quot;PMID&quot;:&quot;18320301&quot;,&quot;URL&quot;:&quot;https://link.springer.com/article/10.1007/s10865-008-9151-x&quot;,&quot;issued&quot;:{&quot;date-parts&quot;:[[2008,6,6]]},&quot;page&quot;:&quot;225-235&quot;,&quot;abstract&quot;:&quot;The present study examined the mediators of change accounting for outcomes of a previously published study on acceptance and commitment therapy for the self-management of epilepsy and its life restricting impact. Conducted with 27 poor South Africans, a 9-h ACT protocol that included seizure management methods was shown to greatly reduce epileptic seizures and to increase quality of life over the next year as compared to an attention placebo control. A series of bootstrapped non-parametric multiple mediator tests showed that pre to follow-up changes in: seizures, quality of life, and well-being outcomes were mediated to a degree by ACT process measures of epilepsy-related acceptance or defusion, values attainment, persistence in the face of barriers, or their combination. The results of this study contribute to the understanding of the contextual conditioning mechanisms at work for those suffering from epilepsy and may show that helping people live vital lives may also help to reduce seizures. © 2008 Springer Science+Business Media, LLC.&quot;,&quot;publisher&quot;:&quot;Springer&quot;,&quot;issue&quot;:&quot;3&quot;,&quot;volume&quot;:&quot;31&quot;},&quot;isTemporary&quot;:false},{&quot;id&quot;:&quot;bb2aac29-7d79-3aff-8bac-a4af548c2fbd&quot;,&quot;itemData&quot;:{&quot;type&quot;:&quot;article-journal&quot;,&quot;id&quot;:&quot;bb2aac29-7d79-3aff-8bac-a4af548c2fbd&quot;,&quot;title&quot;:&quot;Treatment of psychogenic nonepileptic seizures: updated review and findings from a mindfulness-based intervention case series&quot;,&quot;author&quot;:[{&quot;family&quot;:&quot;Baslet&quot;,&quot;given&quot;:&quot;Gaston&quot;,&quot;parse-names&quot;:false,&quot;dropping-particle&quot;:&quot;&quot;,&quot;non-dropping-particle&quot;:&quot;&quot;},{&quot;family&quot;:&quot;Dworetzky&quot;,&quot;given&quot;:&quot;Barbara&quot;,&quot;parse-names&quot;:false,&quot;dropping-particle&quot;:&quot;&quot;,&quot;non-dropping-particle&quot;:&quot;&quot;},{&quot;family&quot;:&quot;Perez&quot;,&quot;given&quot;:&quot;David L.&quot;,&quot;parse-names&quot;:false,&quot;dropping-particle&quot;:&quot;&quot;,&quot;non-dropping-particle&quot;:&quot;&quot;},{&quot;family&quot;:&quot;Oser&quot;,&quot;given&quot;:&quot;Megan&quot;,&quot;parse-names&quot;:false,&quot;dropping-particle&quot;:&quot;&quot;,&quot;non-dropping-particle&quot;:&quot;&quot;}],&quot;container-title&quot;:&quot;Clinical EEG and neuroscience&quot;,&quot;container-title-short&quot;:&quot;Clin EEG Neurosci&quot;,&quot;accessed&quot;:{&quot;date-parts&quot;:[[2023,5,4]]},&quot;DOI&quot;:&quot;10.1177/1550059414557025&quot;,&quot;ISSN&quot;:&quot;1550-0594&quot;,&quot;PMID&quot;:&quot;25465435&quot;,&quot;URL&quot;:&quot;https://pubmed.ncbi.nlm.nih.gov/25465435/&quot;,&quot;issued&quot;:{&quot;date-parts&quot;:[[2015,1,19]]},&quot;page&quot;:&quot;54-64&quot;,&quot;abstract&quot;:&quot;Psychogenic nonepileptic seizures (PNES) were first described in the medical literature in the 19th century, as seizure-like attacks not related to an identified central nervous system lesion, and are currently classified as a conversion disorder, according to the Diagnostic and Statistical Manual of Mental Disorders, fifth edition (DSM-5). While a universally accepted and unifying etiological model does not yet exist, several risk factors have been identified. Management of PNES should be based on interdisciplinary collaboration, targeting modifiable risk factors. The first treatment phase in PNES is patient engagement, which is challenging given the demonstrated low rates of treatment retention. Acute interventions constitute the next phase in treatment, and most research studies focus on short-term evidence-based interventions. Randomized controlled pilot trials support cognitive-behavioral therapy. Other psychotherapeutic and psychopharmacological interventions have been less well-studied using controlled and uncontrolled trials. Within the discussion of acute interventions, we present a preliminary evaluation for feasibility of a mindfulness-based psychotherapy protocol in a very small sample of PNES patients. We demonstrated in 6 subjects that this intervention is feasible in real-life clinical scenarios and warrants further investigation in larger scale studies. The final treatment phase is long-term follow-up. Long-term outcome studies in PNES show that a significant proportion of patients remains symptomatic and experiences continued impairments in quality of life and functionality. We believe that PNES should be understood as a disease that requires different types of intervention during the various phases of treatment.&quot;,&quot;publisher&quot;:&quot;Clin EEG Neurosci&quot;,&quot;issue&quot;:&quot;1&quot;,&quot;volume&quot;:&quot;46&quot;},&quot;isTemporary&quot;:false},{&quot;id&quot;:&quot;f987bcc5-2396-32d3-bb58-87d8591c3ea2&quot;,&quot;itemData&quot;:{&quot;type&quot;:&quot;article-journal&quot;,&quot;id&quot;:&quot;f987bcc5-2396-32d3-bb58-87d8591c3ea2&quot;,&quot;title&quot;:&quot;Self-control of epileptic seizures by nonpharmacological strategies&quot;,&quot;author&quot;:[{&quot;family&quot;:&quot;Kotwas&quot;,&quot;given&quot;:&quot;Iliana&quot;,&quot;parse-names&quot;:false,&quot;dropping-particle&quot;:&quot;&quot;,&quot;non-dropping-particle&quot;:&quot;&quot;},{&quot;family&quot;:&quot;McGonigal&quot;,&quot;given&quot;:&quot;Aileen&quot;,&quot;parse-names&quot;:false,&quot;dropping-particle&quot;:&quot;&quot;,&quot;non-dropping-particle&quot;:&quot;&quot;},{&quot;family&quot;:&quot;Trebuchon&quot;,&quot;given&quot;:&quot;Agnès&quot;,&quot;parse-names&quot;:false,&quot;dropping-particle&quot;:&quot;&quot;,&quot;non-dropping-particle&quot;:&quot;&quot;},{&quot;family&quot;:&quot;Bastien-Toniazzo&quot;,&quot;given&quot;:&quot;Mireille&quot;,&quot;parse-names&quot;:false,&quot;dropping-particle&quot;:&quot;&quot;,&quot;non-dropping-particle&quot;:&quot;&quot;},{&quot;family&quot;:&quot;Nagai&quot;,&quot;given&quot;:&quot;Yoko&quot;,&quot;parse-names&quot;:false,&quot;dropping-particle&quot;:&quot;&quot;,&quot;non-dropping-particle&quot;:&quot;&quot;},{&quot;family&quot;:&quot;Bartolomei&quot;,&quot;given&quot;:&quot;Fabrice&quot;,&quot;parse-names&quot;:false,&quot;dropping-particle&quot;:&quot;&quot;,&quot;non-dropping-particle&quot;:&quot;&quot;},{&quot;family&quot;:&quot;Micoulaud-Franchi&quot;,&quot;given&quot;:&quot;Jean Arthur&quot;,&quot;parse-names&quot;:false,&quot;dropping-particle&quot;:&quot;&quot;,&quot;non-dropping-particle&quot;:&quot;&quot;}],&quot;container-title&quot;:&quot;Epilepsy &amp; Behavior&quot;,&quot;accessed&quot;:{&quot;date-parts&quot;:[[2023,5,3]]},&quot;DOI&quot;:&quot;10.1016/J.YEBEH.2015.12.023&quot;,&quot;ISSN&quot;:&quot;1525-5050&quot;,&quot;PMID&quot;:&quot;26780213&quot;,&quot;issued&quot;:{&quot;date-parts&quot;:[[2016,2,1]]},&quot;page&quot;:&quot;157-164&quot;,&quot;abstract&quot;:&quot;Despite the unpredictability of epileptic seizures, many patients report that they can anticipate seizure occurrence. Using certain alert symptoms (i.e., auras, prodromes, precipitant factors), patients can adopt behaviors to avoid injury during and after the seizure or may implement spontaneous cognitive and emotional strategies to try to control the seizure itself. From the patient's view point, potential means of enhancing seizure prediction and developing seizure control supports are seen as very important issues, especially when the epilepsy is drug-resistant. In this review, we first describe how some patients anticipate their seizures and whether this is effective in terms of seizure prediction. Secondly, we examine how these anticipatory elements might help patients to prevent or control their seizures and how the patient's neuropsychological profile, specifically parameters of perceived self-control (PSC) and locus of control (LOC), might impact these strategies and quality of life (QOL). Thirdly, we review the external supports that can help patients to better predict seizures. Finally, we look at nonpharmacological means of increasing perceived self-control and achieving potential reduction of seizure frequency (i.e., stress-based and arousal-based strategies). In the past few years, various approaches for detection and control of seizures have gained greater interest, but more research is needed to confirm a positive effect on seizure frequency as well as on QOL.&quot;,&quot;publisher&quot;:&quot;Academic Press&quot;,&quot;volume&quot;:&quot;55&quot;,&quot;container-title-short&quot;:&quot;&quot;},&quot;isTemporary&quot;:false}],&quot;citationTag&quot;:&quot;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&quot;},{&quot;citationID&quot;:&quot;MENDELEY_CITATION_b54660a6-8789-4356-8221-a2c4b1eeee9f&quot;,&quot;properties&quot;:{&quot;noteIndex&quot;:0},&quot;isEdited&quot;:false,&quot;manualOverride&quot;:{&quot;isManuallyOverridden&quot;:false,&quot;citeprocText&quot;:&quot;(Rawlings et al., 2017)&quot;,&quot;manualOverrideText&quot;:&quot;&quot;},&quot;citationItems&quot;:[{&quot;id&quot;:&quot;9ebc13d0-bbb8-3c6b-bbe0-6b4896e93051&quot;,&quot;itemData&quot;:{&quot;type&quot;:&quot;article-journal&quot;,&quot;id&quot;:&quot;9ebc13d0-bbb8-3c6b-bbe0-6b4896e93051&quot;,&quot;title&quot;:&quot;Written accounts of living with psychogenic nonepileptic seizures: A thematic analysis&quot;,&quot;author&quot;:[{&quot;family&quot;:&quot;Rawlings&quot;,&quot;given&quot;:&quot;Gregg H&quot;,&quot;parse-names&quot;:false,&quot;dropping-particle&quot;:&quot;&quot;,&quot;non-dropping-particle&quot;:&quot;&quot;},{&quot;family&quot;:&quot;Brown&quot;,&quot;given&quot;:&quot;Ian&quot;,&quot;parse-names&quot;:false,&quot;dropping-particle&quot;:&quot;&quot;,&quot;non-dropping-particle&quot;:&quot;&quot;},{&quot;family&quot;:&quot;Stone&quot;,&quot;given&quot;:&quot;Brendan&quot;,&quot;parse-names&quot;:false,&quot;dropping-particle&quot;:&quot;&quot;,&quot;non-dropping-particle&quot;:&quot;&quot;},{&quot;family&quot;:&quot;Reuber&quot;,&quot;given&quot;:&quot;Markus&quot;,&quot;parse-names&quot;:false,&quot;dropping-particle&quot;:&quot;&quot;,&quot;non-dropping-particle&quot;:&quot;&quot;}],&quot;container-title&quot;:&quot;Seizure: European Journal of Epilepsy&quot;,&quot;accessed&quot;:{&quot;date-parts&quot;:[[2023,5,4]]},&quot;DOI&quot;:&quot;10.1016/j.seizure.2017.06.006&quot;,&quot;URL&quot;:&quot;http://dx.doi.org/10.1016/j.seizure.2017.06.006&quot;,&quot;issued&quot;:{&quot;date-parts&quot;:[[2017]]},&quot;page&quot;:&quot;83-91&quot;,&quot;abstract&quot;:&quot;Available online xxx Keywords: Psychogenic nonepileptic seizures Nonepileptic attack disorder Dissociative seizures Qualitative Stigma Thematic A B S T R A C T Purpose: Qualitative studies examining lived experiences of psychogenic nonepileptic seizures (PNES) have predominantly relied on datasets collected using clinical or research interviews. This study pursued a different approach by investigating individuals' written accounts of their condition. Methods: Participants (n = 19) were recruited from membership-led organisations for individuals living with seizures and from a United Kingdom hospital. Participants were instructed to produce four pieces of writing: 1) about their thoughts and feelings about their condition; 2) a letter to their condition; 3) a letter to their younger self; and 4) about a personal value. All writings were analysed using thematic analysis. Results: Six main-themes emerged from the data. Theme 1: 'living with PNES' demonstrated that all participants presented the condition as having a debilitating effect. Theme 2: 'Emotions' revealed that individuals were struggling with anxiety, low mood and self-worth. Theme 3: 'Seizure symptoms' showed variability was a prominent feature in the description of ictal events. Theme 4: 'Treatment and outcomes' demonstrated that individual's perception of diagnosis and therapy differed greatly. Theme 5: 'Causation and development' revealed that the majority of participants spontaneously reported experiencing a traumatic event in the past. Theme 6: 'Lack of understanding' by themselves, the public and healthcare professionals appeared to pose considerable challenges to participants. Conclusions: Qualitative research has an important role to play for improving our understanding of PNES. The findings contribute to the literature by highlighting the nature of stigma that people with PNES experience, and also their proneness to demonstrate problems with self-worth.&quot;,&quot;volume&quot;:&quot;50&quot;,&quot;container-title-short&quot;:&quot;&quot;},&quot;isTemporary&quot;:false}],&quot;citationTag&quot;:&quot;MENDELEY_CITATION_v3_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&quot;},{&quot;citationID&quot;:&quot;MENDELEY_CITATION_13511151-e066-42b5-bda5-f871ac8b76fb&quot;,&quot;properties&quot;:{&quot;noteIndex&quot;:0},&quot;isEdited&quot;:false,&quot;manualOverride&quot;:{&quot;isManuallyOverridden&quot;:false,&quot;citeprocText&quot;:&quot;(Bandura, 1977)&quot;,&quot;manualOverrideText&quot;:&quot;&quot;},&quot;citationItems&quot;:[{&quot;id&quot;:&quot;f68d7ea4-84a4-3f3f-b2fa-c36c83ed820d&quot;,&quot;itemData&quot;:{&quot;type&quot;:&quot;article-journal&quot;,&quot;id&quot;:&quot;f68d7ea4-84a4-3f3f-b2fa-c36c83ed820d&quot;,&quot;title&quot;:&quot;Self-efficacy: Toward a unifying theory of behavioral change&quot;,&quot;author&quot;:[{&quot;family&quot;:&quot;Bandura&quot;,&quot;given&quot;:&quot;Albert&quot;,&quot;parse-names&quot;:false,&quot;dropping-particle&quot;:&quot;&quot;,&quot;non-dropping-particle&quot;:&quot;&quot;}],&quot;container-title&quot;:&quot;Psychological Review&quot;,&quot;container-title-short&quot;:&quot;Psychol Rev&quot;,&quot;accessed&quot;:{&quot;date-parts&quot;:[[2023,5,5]]},&quot;DOI&quot;:&quot;10.1037/0033-295X.84.2.191&quot;,&quot;ISSN&quot;:&quot;0033295X&quot;,&quot;PMID&quot;:&quot;847061&quot;,&quot;issued&quot;:{&quot;date-parts&quot;:[[1977,3]]},&quot;page&quot;:&quot;191-215&quot;,&quot;abstract&quot;:&quot;Presents an integrative theoretical framework to explain and to predict psychological changes achieved by different modes of treatment. This theory states that psychological procedures, whatever their form, alter the level and strength of self-efficacy. It is hypothesized that expectations of personal efficacy determine whether coping behavior will be initiated, how much effort will be expended, and how long it will be sustained in the face of obstacles and aversive experiences. Persistence in activities that are subjectively threatening but in fact relatively safe produces, through experiences of mastery, further enhancement of self-efficacy and corresponding reductions in defensive behavior. In the proposed model, expectations of personal efficacy are derived from 4 principal sources of information: performance accomplishments, vicarious experience, verbal persuasion, and physiological states. Factors influencing the cognitive processing of efficacy information arise from enactive, vicarious, exhortative, and emotive sources. The differential power of diverse therapeutic procedures is analyzed in terms of the postulated cognitive mechanism of operation. Findings are reported from microanalyses of enactive, vicarious, and emotive modes of treatment that support the hypothesized relationship between perceived self-efficacy and behavioral changes. (21/2 p ref) (PsycINFO Database Record (c) 2006 APA, all rights reserved). © 1977 American Psychological Association.&quot;,&quot;issue&quot;:&quot;2&quot;,&quot;volume&quot;:&quot;84&quot;},&quot;isTemporary&quot;:false}],&quot;citationTag&quot;:&quot;MENDELEY_CITATION_v3_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&quot;},{&quot;citationID&quot;:&quot;MENDELEY_CITATION_f727159a-879b-4f43-a67f-7700a5f7d893&quot;,&quot;properties&quot;:{&quot;noteIndex&quot;:0},&quot;isEdited&quot;:false,&quot;manualOverride&quot;:{&quot;isManuallyOverridden&quot;:false,&quot;citeprocText&quot;:&quot;(Bandura, 1977)&quot;,&quot;manualOverrideText&quot;:&quot;&quot;},&quot;citationItems&quot;:[{&quot;id&quot;:&quot;f68d7ea4-84a4-3f3f-b2fa-c36c83ed820d&quot;,&quot;itemData&quot;:{&quot;type&quot;:&quot;article-journal&quot;,&quot;id&quot;:&quot;f68d7ea4-84a4-3f3f-b2fa-c36c83ed820d&quot;,&quot;title&quot;:&quot;Self-efficacy: Toward a unifying theory of behavioral change&quot;,&quot;author&quot;:[{&quot;family&quot;:&quot;Bandura&quot;,&quot;given&quot;:&quot;Albert&quot;,&quot;parse-names&quot;:false,&quot;dropping-particle&quot;:&quot;&quot;,&quot;non-dropping-particle&quot;:&quot;&quot;}],&quot;container-title&quot;:&quot;Psychological Review&quot;,&quot;container-title-short&quot;:&quot;Psychol Rev&quot;,&quot;accessed&quot;:{&quot;date-parts&quot;:[[2023,5,5]]},&quot;DOI&quot;:&quot;10.1037/0033-295X.84.2.191&quot;,&quot;ISSN&quot;:&quot;0033295X&quot;,&quot;PMID&quot;:&quot;847061&quot;,&quot;issued&quot;:{&quot;date-parts&quot;:[[1977,3]]},&quot;page&quot;:&quot;191-215&quot;,&quot;abstract&quot;:&quot;Presents an integrative theoretical framework to explain and to predict psychological changes achieved by different modes of treatment. This theory states that psychological procedures, whatever their form, alter the level and strength of self-efficacy. It is hypothesized that expectations of personal efficacy determine whether coping behavior will be initiated, how much effort will be expended, and how long it will be sustained in the face of obstacles and aversive experiences. Persistence in activities that are subjectively threatening but in fact relatively safe produces, through experiences of mastery, further enhancement of self-efficacy and corresponding reductions in defensive behavior. In the proposed model, expectations of personal efficacy are derived from 4 principal sources of information: performance accomplishments, vicarious experience, verbal persuasion, and physiological states. Factors influencing the cognitive processing of efficacy information arise from enactive, vicarious, exhortative, and emotive sources. The differential power of diverse therapeutic procedures is analyzed in terms of the postulated cognitive mechanism of operation. Findings are reported from microanalyses of enactive, vicarious, and emotive modes of treatment that support the hypothesized relationship between perceived self-efficacy and behavioral changes. (21/2 p ref) (PsycINFO Database Record (c) 2006 APA, all rights reserved). © 1977 American Psychological Association.&quot;,&quot;issue&quot;:&quot;2&quot;,&quot;volume&quot;:&quot;84&quot;},&quot;isTemporary&quot;:false}],&quot;citationTag&quot;:&quot;MENDELEY_CITATION_v3_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&quot;},{&quot;citationID&quot;:&quot;MENDELEY_CITATION_e5d05d5e-3785-4241-b58f-33ebc4543400&quot;,&quot;properties&quot;:{&quot;noteIndex&quot;:0},&quot;isEdited&quot;:false,&quot;manualOverride&quot;:{&quot;isManuallyOverridden&quot;:false,&quot;citeprocText&quot;:&quot;(Bandura, 1977, 1989, 2004; Bandura et al., 1999)&quot;,&quot;manualOverrideText&quot;:&quot;&quot;},&quot;citationItems&quot;:[{&quot;id&quot;:&quot;f68d7ea4-84a4-3f3f-b2fa-c36c83ed820d&quot;,&quot;itemData&quot;:{&quot;type&quot;:&quot;article-journal&quot;,&quot;id&quot;:&quot;f68d7ea4-84a4-3f3f-b2fa-c36c83ed820d&quot;,&quot;title&quot;:&quot;Self-efficacy: Toward a unifying theory of behavioral change&quot;,&quot;author&quot;:[{&quot;family&quot;:&quot;Bandura&quot;,&quot;given&quot;:&quot;Albert&quot;,&quot;parse-names&quot;:false,&quot;dropping-particle&quot;:&quot;&quot;,&quot;non-dropping-particle&quot;:&quot;&quot;}],&quot;container-title&quot;:&quot;Psychological Review&quot;,&quot;container-title-short&quot;:&quot;Psychol Rev&quot;,&quot;accessed&quot;:{&quot;date-parts&quot;:[[2023,5,5]]},&quot;DOI&quot;:&quot;10.1037/0033-295X.84.2.191&quot;,&quot;ISSN&quot;:&quot;0033295X&quot;,&quot;PMID&quot;:&quot;847061&quot;,&quot;issued&quot;:{&quot;date-parts&quot;:[[1977,3]]},&quot;page&quot;:&quot;191-215&quot;,&quot;abstract&quot;:&quot;Presents an integrative theoretical framework to explain and to predict psychological changes achieved by different modes of treatment. This theory states that psychological procedures, whatever their form, alter the level and strength of self-efficacy. It is hypothesized that expectations of personal efficacy determine whether coping behavior will be initiated, how much effort will be expended, and how long it will be sustained in the face of obstacles and aversive experiences. Persistence in activities that are subjectively threatening but in fact relatively safe produces, through experiences of mastery, further enhancement of self-efficacy and corresponding reductions in defensive behavior. In the proposed model, expectations of personal efficacy are derived from 4 principal sources of information: performance accomplishments, vicarious experience, verbal persuasion, and physiological states. Factors influencing the cognitive processing of efficacy information arise from enactive, vicarious, exhortative, and emotive sources. The differential power of diverse therapeutic procedures is analyzed in terms of the postulated cognitive mechanism of operation. Findings are reported from microanalyses of enactive, vicarious, and emotive modes of treatment that support the hypothesized relationship between perceived self-efficacy and behavioral changes. (21/2 p ref) (PsycINFO Database Record (c) 2006 APA, all rights reserved). © 1977 American Psychological Association.&quot;,&quot;issue&quot;:&quot;2&quot;,&quot;volume&quot;:&quot;84&quot;},&quot;isTemporary&quot;:false},{&quot;id&quot;:&quot;ec6d6c86-47ab-3df3-9fc2-eb70cf38b30f&quot;,&quot;itemData&quot;:{&quot;type&quot;:&quot;article-journal&quot;,&quot;id&quot;:&quot;ec6d6c86-47ab-3df3-9fc2-eb70cf38b30f&quot;,&quot;title&quot;:&quot;Regulation of Cognitive Processes Through Perceived Self-Efficacy&quot;,&quot;author&quot;:[{&quot;family&quot;:&quot;Bandura&quot;,&quot;given&quot;:&quot;Albert&quot;,&quot;parse-names&quot;:false,&quot;dropping-particle&quot;:&quot;&quot;,&quot;non-dropping-particle&quot;:&quot;&quot;}],&quot;container-title&quot;:&quot;Developmental Psychology&quot;,&quot;container-title-short&quot;:&quot;Dev Psychol&quot;,&quot;accessed&quot;:{&quot;date-parts&quot;:[[2023,5,5]]},&quot;DOI&quot;:&quot;10.1037/0012-1649.25.5.729&quot;,&quot;ISSN&quot;:&quot;00121649&quot;,&quot;issued&quot;:{&quot;date-parts&quot;:[[1989]]},&quot;page&quot;:&quot;729-735&quot;,&quot;abstract&quot;:&quot;The articles included in the special series in this issue of Developmental Psychology demonstrate that perceived self-efficacy for memory functioning is an important facet of metamemory. Self-beliefs of efficacy can enhance or impair performance through their effects on cognitive, affective, or motivational intervening processes. This commentary addresses a number of issues concerning the extension of self-efficacy theory to memory functioning. These include the following: the multidimensionality and measurement of perceived memory capabilities; the veridicality of memory self-appraisal; the efficacious exercise of personal control over memory functioning; the psychosocial processes by which people preserve a favorable sense of memory self-efficacy over the life span; and strategies for generalizing the impact of training in memory skills.&quot;,&quot;issue&quot;:&quot;5&quot;,&quot;volume&quot;:&quot;25&quot;},&quot;isTemporary&quot;:false},{&quot;id&quot;:&quot;525f312f-5ac1-3a8f-b8af-d01a6985fc70&quot;,&quot;itemData&quot;:{&quot;type&quot;:&quot;article-journal&quot;,&quot;id&quot;:&quot;525f312f-5ac1-3a8f-b8af-d01a6985fc70&quot;,&quot;title&quot;:&quot;Self-Efficacy: The Exercise of Control&quot;,&quot;author&quot;:[{&quot;family&quot;:&quot;Bandura&quot;,&quot;given&quot;:&quot;Albert&quot;,&quot;parse-names&quot;:false,&quot;dropping-particle&quot;:&quot;&quot;,&quot;non-dropping-particle&quot;:&quot;&quot;},{&quot;family&quot;:&quot;Freeman&quot;,&quot;given&quot;:&quot;W. H.&quot;,&quot;parse-names&quot;:false,&quot;dropping-particle&quot;:&quot;&quot;,&quot;non-dropping-particle&quot;:&quot;&quot;},{&quot;family&quot;:&quot;Lightsey&quot;,&quot;given&quot;:&quot;Richard&quot;,&quot;parse-names&quot;:false,&quot;dropping-particle&quot;:&quot;&quot;,&quot;non-dropping-particle&quot;:&quot;&quot;}],&quot;container-title&quot;:&quot;Journal of Cognitive Psychotherapy&quot;,&quot;container-title-short&quot;:&quot;J Cogn Psychother&quot;,&quot;accessed&quot;:{&quot;date-parts&quot;:[[2023,5,5]]},&quot;DOI&quot;:&quot;10.1891/0889-8391.13.2.158&quot;,&quot;ISSN&quot;:&quot;0889-8391&quot;,&quot;URL&quot;:&quot;https://connect.springerpub.com/content&quot;,&quot;issued&quot;:{&quot;date-parts&quot;:[[1999,1,1]]},&quot;page&quot;:&quot;158-166&quot;,&quot;abstract&quot;:&quot;Deals with the four major ways in perceiving self-efficacy that regulates human functioning. Brief explanations; Four main ways to accomplish self-efficacy; Examples of the way self-efficacy works in psychological treatment.&quot;,&quot;publisher&quot;:&quot;Springer&quot;,&quot;issue&quot;:&quot;2&quot;,&quot;volume&quot;:&quot;13&quot;},&quot;isTemporary&quot;:false},{&quot;id&quot;:&quot;b7ab418c-3bc3-3f28-91ea-24ae4f0e8a4b&quot;,&quot;itemData&quot;:{&quot;type&quot;:&quot;article-journal&quot;,&quot;id&quot;:&quot;b7ab418c-3bc3-3f28-91ea-24ae4f0e8a4b&quot;,&quot;title&quot;:&quot;Health Promotion by Social Cognitive Means&quot;,&quot;author&quot;:[{&quot;family&quot;:&quot;Bandura&quot;,&quot;given&quot;:&quot;Albert&quot;,&quot;parse-names&quot;:false,&quot;dropping-particle&quot;:&quot;&quot;,&quot;non-dropping-particle&quot;:&quot;&quot;}],&quot;container-title&quot;:&quot;Health Education &amp; Behavior&quot;,&quot;DOI&quot;:&quot;10.1177/1090198104263660&quot;,&quot;ISSN&quot;:&quot;1090-1981&quot;,&quot;URL&quot;:&quot;https://doi.org/10.1177/1090198104263660&quot;,&quot;issued&quot;:{&quot;date-parts&quot;:[[2004]]},&quot;page&quot;:&quot;143-164&quot;,&quot;abstract&quot;:&quot;This article examines health promotion and disease prevention from the perspective of social cognitive theory. This theory posits a multifaceted causal structure in which self-efficacy beliefs operate together with goals, outcome expectations, and perceived environmental impediments and facilitators in the regulation of human motivation, behavior, and well-being. Belief in one?s efficacy to exercise control is a common pathway through which psychosocial influences affect health functioning. This core belief affects each of the basic processes of personal change?whether people even consider changing their health habits, whether they mobilize the motivation and perseverance needed to succeed should they do so, their ability to recover from setbacks and relapses, and how well they maintain the habit changes they have achieved. Human health is a social matter, not just an individual one. A comprehensive approach to health promotion also requires changing the practices of social systems that have widespread effects on human health.&quot;,&quot;publisher&quot;:&quot;SAGE Publications Inc&quot;,&quot;issue&quot;:&quot;2&quot;,&quot;volume&quot;:&quot;31&quot;,&quot;container-title-short&quot;:&quot;&quot;},&quot;isTemporary&quot;:false}],&quot;citationTag&quot;:&quot;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&quot;},{&quot;citationID&quot;:&quot;MENDELEY_CITATION_236f1a1e-8e65-4515-a5fb-297a2964c2b0&quot;,&quot;properties&quot;:{&quot;noteIndex&quot;:0},&quot;isEdited&quot;:false,&quot;manualOverride&quot;:{&quot;isManuallyOverridden&quot;:true,&quot;citeprocText&quot;:&quot;(Rawlings et al., 2017)&quot;,&quot;manualOverrideText&quot;:&quot;Rawlings et al. (2017)&quot;},&quot;citationItems&quot;:[{&quot;id&quot;:&quot;9ebc13d0-bbb8-3c6b-bbe0-6b4896e93051&quot;,&quot;itemData&quot;:{&quot;type&quot;:&quot;article-journal&quot;,&quot;id&quot;:&quot;9ebc13d0-bbb8-3c6b-bbe0-6b4896e93051&quot;,&quot;title&quot;:&quot;Written accounts of living with psychogenic nonepileptic seizures: A thematic analysis&quot;,&quot;author&quot;:[{&quot;family&quot;:&quot;Rawlings&quot;,&quot;given&quot;:&quot;Gregg H&quot;,&quot;parse-names&quot;:false,&quot;dropping-particle&quot;:&quot;&quot;,&quot;non-dropping-particle&quot;:&quot;&quot;},{&quot;family&quot;:&quot;Brown&quot;,&quot;given&quot;:&quot;Ian&quot;,&quot;parse-names&quot;:false,&quot;dropping-particle&quot;:&quot;&quot;,&quot;non-dropping-particle&quot;:&quot;&quot;},{&quot;family&quot;:&quot;Stone&quot;,&quot;given&quot;:&quot;Brendan&quot;,&quot;parse-names&quot;:false,&quot;dropping-particle&quot;:&quot;&quot;,&quot;non-dropping-particle&quot;:&quot;&quot;},{&quot;family&quot;:&quot;Reuber&quot;,&quot;given&quot;:&quot;Markus&quot;,&quot;parse-names&quot;:false,&quot;dropping-particle&quot;:&quot;&quot;,&quot;non-dropping-particle&quot;:&quot;&quot;}],&quot;container-title&quot;:&quot;Seizure: European Journal of Epilepsy&quot;,&quot;accessed&quot;:{&quot;date-parts&quot;:[[2023,5,4]]},&quot;DOI&quot;:&quot;10.1016/j.seizure.2017.06.006&quot;,&quot;URL&quot;:&quot;http://dx.doi.org/10.1016/j.seizure.2017.06.006&quot;,&quot;issued&quot;:{&quot;date-parts&quot;:[[2017]]},&quot;page&quot;:&quot;83-91&quot;,&quot;abstract&quot;:&quot;Available online xxx Keywords: Psychogenic nonepileptic seizures Nonepileptic attack disorder Dissociative seizures Qualitative Stigma Thematic A B S T R A C T Purpose: Qualitative studies examining lived experiences of psychogenic nonepileptic seizures (PNES) have predominantly relied on datasets collected using clinical or research interviews. This study pursued a different approach by investigating individuals' written accounts of their condition. Methods: Participants (n = 19) were recruited from membership-led organisations for individuals living with seizures and from a United Kingdom hospital. Participants were instructed to produce four pieces of writing: 1) about their thoughts and feelings about their condition; 2) a letter to their condition; 3) a letter to their younger self; and 4) about a personal value. All writings were analysed using thematic analysis. Results: Six main-themes emerged from the data. Theme 1: 'living with PNES' demonstrated that all participants presented the condition as having a debilitating effect. Theme 2: 'Emotions' revealed that individuals were struggling with anxiety, low mood and self-worth. Theme 3: 'Seizure symptoms' showed variability was a prominent feature in the description of ictal events. Theme 4: 'Treatment and outcomes' demonstrated that individual's perception of diagnosis and therapy differed greatly. Theme 5: 'Causation and development' revealed that the majority of participants spontaneously reported experiencing a traumatic event in the past. Theme 6: 'Lack of understanding' by themselves, the public and healthcare professionals appeared to pose considerable challenges to participants. Conclusions: Qualitative research has an important role to play for improving our understanding of PNES. The findings contribute to the literature by highlighting the nature of stigma that people with PNES experience, and also their proneness to demonstrate problems with self-worth.&quot;,&quot;volume&quot;:&quot;50&quot;,&quot;container-title-short&quot;:&quot;&quot;},&quot;isTemporary&quot;:false}],&quot;citationTag&quot;:&quot;MENDELEY_CITATION_v3_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&quot;},{&quot;citationID&quot;:&quot;MENDELEY_CITATION_9b06699e-2e98-4c5f-a956-ba2537cc4e6c&quot;,&quot;properties&quot;:{&quot;noteIndex&quot;:0},&quot;isEdited&quot;:false,&quot;manualOverride&quot;:{&quot;isManuallyOverridden&quot;:true,&quot;citeprocText&quot;:&quot;(Chen et al., 2010)&quot;,&quot;manualOverrideText&quot;:&quot;(H. F. Chen et al., 2010)&quot;},&quot;citationItems&quot;:[{&quot;id&quot;:&quot;ef5dee26-958d-3ad2-a751-d53d9af9dc43&quot;,&quot;itemData&quot;:{&quot;type&quot;:&quot;article-journal&quot;,&quot;id&quot;:&quot;ef5dee26-958d-3ad2-a751-d53d9af9dc43&quot;,&quot;title&quot;:&quot;The relationships among medicine symptom distress, self-efficacy, patient-provider relationship, and medication compliance in patients with epilepsy&quot;,&quot;author&quot;:[{&quot;family&quot;:&quot;Chen&quot;,&quot;given&quot;:&quot;Hsiu Fang&quot;,&quot;parse-names&quot;:false,&quot;dropping-particle&quot;:&quot;&quot;,&quot;non-dropping-particle&quot;:&quot;&quot;},{&quot;family&quot;:&quot;Tsai&quot;,&quot;given&quot;:&quot;Yun Fang&quot;,&quot;parse-names&quot;:false,&quot;dropping-particle&quot;:&quot;&quot;,&quot;non-dropping-particle&quot;:&quot;&quot;},{&quot;family&quot;:&quot;Lin&quot;,&quot;given&quot;:&quot;Yea Pyng&quot;,&quot;parse-names&quot;:false,&quot;dropping-particle&quot;:&quot;&quot;,&quot;non-dropping-particle&quot;:&quot;&quot;},{&quot;family&quot;:&quot;Shih&quot;,&quot;given&quot;:&quot;Mo Song&quot;,&quot;parse-names&quot;:false,&quot;dropping-particle&quot;:&quot;&quot;,&quot;non-dropping-particle&quot;:&quot;&quot;},{&quot;family&quot;:&quot;Chen&quot;,&quot;given&quot;:&quot;Jui Chen&quot;,&quot;parse-names&quot;:false,&quot;dropping-particle&quot;:&quot;&quot;,&quot;non-dropping-particle&quot;:&quot;&quot;}],&quot;container-title&quot;:&quot;Epilepsy &amp; behavior : E&amp;B&quot;,&quot;container-title-short&quot;:&quot;Epilepsy Behav&quot;,&quot;accessed&quot;:{&quot;date-parts&quot;:[[2023,5,7]]},&quot;DOI&quot;:&quot;10.1016/J.YEBEH.2010.06.007&quot;,&quot;ISSN&quot;:&quot;1525-5069&quot;,&quot;PMID&quot;:&quot;20719572&quot;,&quot;URL&quot;:&quot;https://pubmed.ncbi.nlm.nih.gov/20719572/&quot;,&quot;issued&quot;:{&quot;date-parts&quot;:[[2010,9]]},&quot;page&quot;:&quot;43-49&quot;,&quot;abstract&quot;:&quot;The purpose of this study was to investigate the relationships among medicine symptom distress, self-efficacy, patient-provider relationship, and medication compliance in patients with epilepsy. Patients with epilepsy (n=357) were recruited using convenience sampling from three medical centers in northern Taiwan. Results showed significant differences in relationships between medication compliance and the following factors: gender, employment status, comorbid chronic diseases, self-driving, daily drug dosing frequency, seizure after a missed dose, and self-efficacy. Logistic regression analysis indicated that comorbid chronic disease, self-driving, seizure after a missed dose, and self-efficacy were significantly associated with medication compliance. These data suggest that health care providers of patients with epilepsy pay more attention to treatment of comorbid chronic diseases, the safety issues of self-driving, seizures occurring after missed doses, and awareness of self-efficacy. © 2010 Elsevier Inc.&quot;,&quot;publisher&quot;:&quot;Epilepsy Behav&quot;,&quot;issue&quot;:&quot;1&quot;,&quot;volume&quot;:&quot;19&quot;},&quot;isTemporary&quot;:false}],&quot;citationTag&quot;:&quot;MENDELEY_CITATION_v3_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&quot;},{&quot;citationID&quot;:&quot;MENDELEY_CITATION_ba484117-ce8f-4532-b603-801404938353&quot;,&quot;properties&quot;:{&quot;noteIndex&quot;:0},&quot;isEdited&quot;:false,&quot;manualOverride&quot;:{&quot;isManuallyOverridden&quot;:false,&quot;citeprocText&quot;:&quot;(Kobau &amp;#38; Dilorio, 2003)&quot;,&quot;manualOverrideText&quot;:&quot;&quot;},&quot;citationItems&quot;:[{&quot;id&quot;:&quot;0110ff99-f982-3007-b9ba-57132a542da5&quot;,&quot;itemData&quot;:{&quot;type&quot;:&quot;article-journal&quot;,&quot;id&quot;:&quot;0110ff99-f982-3007-b9ba-57132a542da5&quot;,&quot;title&quot;:&quot;Epilepsy self-management: A comparison of self-efficacy and outcome expectancy for medication adherence and lifestyle behaviors among people with epilepsy&quot;,&quot;author&quot;:[{&quot;family&quot;:&quot;Kobau&quot;,&quot;given&quot;:&quot;Rosemari&quot;,&quot;parse-names&quot;:false,&quot;dropping-particle&quot;:&quot;&quot;,&quot;non-dropping-particle&quot;:&quot;&quot;},{&quot;family&quot;:&quot;Dilorio&quot;,&quot;given&quot;:&quot;Colleen&quot;,&quot;parse-names&quot;:false,&quot;dropping-particle&quot;:&quot;&quot;,&quot;non-dropping-particle&quot;:&quot;&quot;}],&quot;container-title&quot;:&quot;Epilepsy and Behavior&quot;,&quot;accessed&quot;:{&quot;date-parts&quot;:[[2023,5,7]]},&quot;DOI&quot;:&quot;10.1016/S1525-5050(03)00057-X&quot;,&quot;ISSN&quot;:&quot;15255050&quot;,&quot;PMID&quot;:&quot;12791322&quot;,&quot;URL&quot;:&quot;https://pubmed.ncbi.nlm.nih.gov/12791322/&quot;,&quot;issued&quot;:{&quot;date-parts&quot;:[[2003]]},&quot;page&quot;:&quot;217-225&quot;,&quot;abstract&quot;:&quot;The purpose of this study was to describe self-efficacy beliefs and outcome expectancies toward medication, seizure, and lifestyle management behaviors among 108 adults with epilepsy. Participants responded to an adapted version of the Epilepsy Self-Efficacy and Epilepsy Outcome Expectancy scales. Modifiable behavioral risk factors such as confidence for following medication dosing schedule, planning for medication refills, coping with adverse effects of medication, getting sufficient sleep, avoiding alcohol, and obtaining social support were identified. A larger proportion of persons reported higher self-efficacy for medication management behaviors than for healthful lifestyle behaviors. Findings from this study extend previous research on chronic disease that showed that individuals may be adherent with medication therapy, but not with healthful lifestyle behaviors necessary for the prevention and treatment of chronic disease. Individuals with low self-efficacy would benefit from interventions that increase efficacy beliefs to enhance their ability to adopt and maintain good self-management practices. © 2003 Elsevier Science (USA). All rights reserved.&quot;,&quot;publisher&quot;:&quot;Academic Press Inc.&quot;,&quot;issue&quot;:&quot;3&quot;,&quot;volume&quot;:&quot;4&quot;,&quot;container-title-short&quot;:&quot;&quot;},&quot;isTemporary&quot;:false}],&quot;citationTag&quot;:&quot;MENDELEY_CITATION_v3_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&quot;},{&quot;citationID&quot;:&quot;MENDELEY_CITATION_d39801d4-8935-4afb-a54a-7fc57e741886&quot;,&quot;properties&quot;:{&quot;noteIndex&quot;:0},&quot;isEdited&quot;:false,&quot;manualOverride&quot;:{&quot;isManuallyOverridden&quot;:false,&quot;citeprocText&quot;:&quot;(Hagger &amp;#38; Orbell, 2003)&quot;,&quot;manualOverrideText&quot;:&quot;&quot;},&quot;citationItems&quot;:[{&quot;id&quot;:&quot;1cbc7e5e-84ef-34e2-a945-080742b8af80&quot;,&quot;itemData&quot;:{&quot;type&quot;:&quot;article-journal&quot;,&quot;id&quot;:&quot;1cbc7e5e-84ef-34e2-a945-080742b8af80&quot;,&quot;title&quot;:&quot;A meta-analytic review of the common-sense model of illness representations&quot;,&quot;author&quot;:[{&quot;family&quot;:&quot;Hagger&quot;,&quot;given&quot;:&quot;Martin S&quot;,&quot;parse-names&quot;:false,&quot;dropping-particle&quot;:&quot;&quot;,&quot;non-dropping-particle&quot;:&quot;&quot;},{&quot;family&quot;:&quot;Orbell&quot;,&quot;given&quot;:&quot;Sheina&quot;,&quot;parse-names&quot;:false,&quot;dropping-particle&quot;:&quot;&quot;,&quot;non-dropping-particle&quot;:&quot;&quot;}],&quot;container-title&quot;:&quot;Psychology &amp; Health&quot;,&quot;container-title-short&quot;:&quot;Psychol Health&quot;,&quot;DOI&quot;:&quot;10.1080/088704403100081321&quot;,&quot;ISSN&quot;:&quot;1476-8321(Electronic),0887-0446(Print)&quot;,&quot;issued&quot;:{&quot;date-parts&quot;:[[2003]]},&quot;publisher-place&quot;:&quot;United Kingdom&quot;,&quot;page&quot;:&quot;141-184&quot;,&quot;abstract&quot;:&quot;A meta-analysis of 45 empirical studies adopting the Common Sense Model (CSM) of illness representations is presented. The average corrected intercorrelation matrix showed that the CSM illness cognition dimensions of consequences, control/cure, identity and timeline followed a logical pattern supporting their construct and discriminant validity across illness types. Examining the average corrected correlation coefficients across the studies revealed that perceptions of a strong illness identity were positively related to the use of coping strategies of avoidance and emotion expression. Perceived controllability of the illness was associated with cognitive reappraisal, expressing emotions and problem-focused coping strategies. Perceptions of the illness as highly symptomatic, having a chronic timeline and serious consequences was correlated with avoidance and expressing emotions coping strategies. Perceptions that the illness was curable/controllable was positively related to the adaptive outcomes of psychological well-being, social functioning and vitality and negatively related to psychological distress and disease state. Illness consequences, timeline and identity exhibited negative relationships with psychological well being, role and social functioning and vitality. (PsycINFO Database Record (c) 2016 APA, all rights reserved)&quot;,&quot;publisher&quot;:&quot;Taylor &amp; Francis&quot;,&quot;issue&quot;:&quot;2&quot;,&quot;volume&quot;:&quot;18&quot;},&quot;isTemporary&quot;:false}],&quot;citationTag&quot;:&quot;MENDELEY_CITATION_v3_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&quot;},{&quot;citationID&quot;:&quot;MENDELEY_CITATION_c9dd978f-0da9-41c2-88e3-03002a4d0df3&quot;,&quot;properties&quot;:{&quot;noteIndex&quot;:0},&quot;isEdited&quot;:false,&quot;manualOverride&quot;:{&quot;isManuallyOverridden&quot;:false,&quot;citeprocText&quot;:&quot;(Cohen &amp;#38; Wills, 1985)&quot;,&quot;manualOverrideText&quot;:&quot;&quot;},&quot;citationItems&quot;:[{&quot;id&quot;:&quot;30596878-5d0d-33be-94ef-75f839fed4b9&quot;,&quot;itemData&quot;:{&quot;type&quot;:&quot;article-journal&quot;,&quot;id&quot;:&quot;30596878-5d0d-33be-94ef-75f839fed4b9&quot;,&quot;title&quot;:&quot;Stress, Social Support, and the Buffering Hypothesis&quot;,&quot;author&quot;:[{&quot;family&quot;:&quot;Cohen&quot;,&quot;given&quot;:&quot;Sheldon&quot;,&quot;parse-names&quot;:false,&quot;dropping-particle&quot;:&quot;&quot;,&quot;non-dropping-particle&quot;:&quot;&quot;},{&quot;family&quot;:&quot;Wills&quot;,&quot;given&quot;:&quot;Thomas Ashby&quot;,&quot;parse-names&quot;:false,&quot;dropping-particle&quot;:&quot;&quot;,&quot;non-dropping-particle&quot;:&quot;&quot;}],&quot;container-title&quot;:&quot;Psychological Bulletin&quot;,&quot;container-title-short&quot;:&quot;Psychol Bull&quot;,&quot;accessed&quot;:{&quot;date-parts&quot;:[[2023,5,7]]},&quot;DOI&quot;:&quot;10.1037/0033-2909.98.2.310&quot;,&quot;ISSN&quot;:&quot;00332909&quot;,&quot;PMID&quot;:&quot;3901065&quot;,&quot;issued&quot;:{&quot;date-parts&quot;:[[1985,9]]},&quot;page&quot;:&quot;310-357&quot;,&quot;abstract&quot;:&quot;The purpose of this article is to determine whether the positive association between social support and well-being is attributable more to an overall beneficial effect of support (main- or direct-effect model) or to a process of support protecting persons from potentially adverse effects of stressful events (buffering model). The review of studies is organized according to (a) whether a measure assesses support structure or function, and (b) the degree of specificity (vs. globality) of the scale. By structure we mean simply the existence of relationships, and by function we mean the extent to which one's interpersonal relationships provide particular resources. Special attention is paid to methodological characteristics that are requisite for a fair comparison of the models. The review concludes that there is evidence consistent with both models. Evidence for a buffering model is found when the social support measure assesses the perceived availability of interpersonal resources that are responsive to the needs elicited by stressful events. Evidence for a main effect model is found when the support measure assesses a person's degree of integration in a large social network. Both conceptualizations of social support are correct in some respects, but each represents a different process through which social support may affect well-being. Implications of these conclusions for theories of social support processes and for the design of preventive interventions are discussed. © 1985 American Psychological Association.&quot;,&quot;issue&quot;:&quot;2&quot;,&quot;volume&quot;:&quot;98&quot;},&quot;isTemporary&quot;:false}],&quot;citationTag&quot;:&quot;MENDELEY_CITATION_v3_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&quot;},{&quot;citationID&quot;:&quot;MENDELEY_CITATION_c3e503a2-72aa-4fff-bbbc-6ff199165838&quot;,&quot;properties&quot;:{&quot;noteIndex&quot;:0},&quot;isEdited&quot;:false,&quot;manualOverride&quot;:{&quot;isManuallyOverridden&quot;:false,&quot;citeprocText&quot;:&quot;(Cohen, 2004; Uchino, 2006)&quot;,&quot;manualOverrideText&quot;:&quot;&quot;},&quot;citationItems&quot;:[{&quot;id&quot;:&quot;67896b61-cf24-3d6c-a9e5-7e1ec17767af&quot;,&quot;itemData&quot;:{&quot;type&quot;:&quot;article-journal&quot;,&quot;id&quot;:&quot;67896b61-cf24-3d6c-a9e5-7e1ec17767af&quot;,&quot;title&quot;:&quot;Social relationships and health&quot;,&quot;author&quot;:[{&quot;family&quot;:&quot;Cohen&quot;,&quot;given&quot;:&quot;Sheldon&quot;,&quot;parse-names&quot;:false,&quot;dropping-particle&quot;:&quot;&quot;,&quot;non-dropping-particle&quot;:&quot;&quot;}],&quot;container-title&quot;:&quot;American Psychologist&quot;,&quot;accessed&quot;:{&quot;date-parts&quot;:[[2023,5,7]]},&quot;DOI&quot;:&quot;10.1037/0003-066X.59.8.676&quot;,&quot;ISSN&quot;:&quot;0003066X&quot;,&quot;PMID&quot;:&quot;15554821&quot;,&quot;issued&quot;:{&quot;date-parts&quot;:[[2004,11]]},&quot;page&quot;:&quot;676-684&quot;,&quot;abstract&quot;:&quot;The author discusses 3 variables that assess different aspects of social relationships-social support, social integration, and negative interaction. The author argues that all 3 are associated with health outcomes, that these variables each influence health through different mechanisms, and that associations between these variables and health are not spurious findings attributable to our personalities. This argument suggests a broader view of how to intervene in social networks to improve health. This includes facilitating both social integration and social support by creating and nurturing both close (strong) and peripheral (weak) ties within natural social networks and reducing opportunities for negative social interaction. Finally, the author emphasizes the necessity to understand more about who benefits most and least from social-connectedness interventions.&quot;,&quot;issue&quot;:&quot;8&quot;,&quot;volume&quot;:&quot;59&quot;,&quot;container-title-short&quot;:&quot;&quot;},&quot;isTemporary&quot;:false},{&quot;id&quot;:&quot;10c69a16-6c79-35b7-a8a9-9a1e9105c8b0&quot;,&quot;itemData&quot;:{&quot;type&quot;:&quot;article-journal&quot;,&quot;id&quot;:&quot;10c69a16-6c79-35b7-a8a9-9a1e9105c8b0&quot;,&quot;title&quot;:&quot;Social Support and Health: A Review of Physiological Processes Potentially Underlying Links to Disease Outcomes&quot;,&quot;author&quot;:[{&quot;family&quot;:&quot;Uchino&quot;,&quot;given&quot;:&quot;Bert N&quot;,&quot;parse-names&quot;:false,&quot;dropping-particle&quot;:&quot;&quot;,&quot;non-dropping-particle&quot;:&quot;&quot;}],&quot;container-title&quot;:&quot;Journal of Behavioral Medicine&quot;,&quot;container-title-short&quot;:&quot;J Behav Med&quot;,&quot;accessed&quot;:{&quot;date-parts&quot;:[[2023,5,7]]},&quot;DOI&quot;:&quot;10.1007/s10865-006-9056-5&quot;,&quot;issued&quot;:{&quot;date-parts&quot;:[[2006]]},&quot;abstract&quot;:&quot;Social support has been reliably related to lower rates of morbidity and mortality. An important issue concerns the physiological mechanisms by which support influences such health endpoints. In this review, I examine evidence linking social support to changes in cardio-vascular, neuroendocrine, and immune function. Consistent with epidemiological evidence, social support appears to be related to more positive \&quot;biological profiles\&quot; across these disease-relevant systems. Recent research on immune-mediated inflammatory processes is also starting to provide data on more integrative physiological mechanisms potentially linking social support to health. The implications of these links, along with future research directions are discussed.&quot;,&quot;issue&quot;:&quot;4&quot;,&quot;volume&quot;:&quot;29&quot;},&quot;isTemporary&quot;:false}],&quot;citationTag&quot;:&quot;MENDELEY_CITATION_v3_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&quot;},{&quot;citationID&quot;:&quot;MENDELEY_CITATION_aa6ceb83-43de-4d1f-8741-d8d7f3e97d36&quot;,&quot;properties&quot;:{&quot;noteIndex&quot;:0},&quot;isEdited&quot;:false,&quot;manualOverride&quot;:{&quot;isManuallyOverridden&quot;:false,&quot;citeprocText&quot;:&quot;(Ozbay et al., 2007)&quot;,&quot;manualOverrideText&quot;:&quot;&quot;},&quot;citationItems&quot;:[{&quot;id&quot;:&quot;af210f44-a4dc-357a-80d3-7930c7a9dc3e&quot;,&quot;itemData&quot;:{&quot;type&quot;:&quot;article-journal&quot;,&quot;id&quot;:&quot;af210f44-a4dc-357a-80d3-7930c7a9dc3e&quot;,&quot;title&quot;:&quot;Social Support and Resilience to Stress: From Neurobiology to Clinical Practice&quot;,&quot;author&quot;:[{&quot;family&quot;:&quot;Ozbay&quot;,&quot;given&quot;:&quot;Fatih&quot;,&quot;parse-names&quot;:false,&quot;dropping-particle&quot;:&quot;&quot;,&quot;non-dropping-particle&quot;:&quot;&quot;},{&quot;family&quot;:&quot;Johnson&quot;,&quot;given&quot;:&quot;Douglas C.&quot;,&quot;parse-names&quot;:false,&quot;dropping-particle&quot;:&quot;&quot;,&quot;non-dropping-particle&quot;:&quot;&quot;},{&quot;family&quot;:&quot;Dimoulas&quot;,&quot;given&quot;:&quot;Eleni&quot;,&quot;parse-names&quot;:false,&quot;dropping-particle&quot;:&quot;&quot;,&quot;non-dropping-particle&quot;:&quot;&quot;},{&quot;family&quot;:&quot;C.A. Morgan&quot;,&quot;given&quot;:&quot;III&quot;,&quot;parse-names&quot;:false,&quot;dropping-particle&quot;:&quot;&quot;,&quot;non-dropping-particle&quot;:&quot;&quot;},{&quot;family&quot;:&quot;Charney&quot;,&quot;given&quot;:&quot;Dennis&quot;,&quot;parse-names&quot;:false,&quot;dropping-particle&quot;:&quot;&quot;,&quot;non-dropping-particle&quot;:&quot;&quot;},{&quot;family&quot;:&quot;Southwick&quot;,&quot;given&quot;:&quot;Steven&quot;,&quot;parse-names&quot;:false,&quot;dropping-particle&quot;:&quot;&quot;,&quot;non-dropping-particle&quot;:&quot;&quot;}],&quot;container-title&quot;:&quot;Psychiatry (Edgmont)&quot;,&quot;accessed&quot;:{&quot;date-parts&quot;:[[2023,5,7]]},&quot;ISSN&quot;:&quot;1555-5194&quot;,&quot;PMID&quot;:&quot;20806028&quot;,&quot;URL&quot;:&quot;/pmc/articles/PMC2921311/&quot;,&quot;issued&quot;:{&quot;date-parts&quot;:[[2007,5]]},&quot;page&quot;:&quot;35&quot;,&quot;abstract&quot;:&quot;Numerous studies indicate social support is essential for maintaining physical and psychological health. The harmful consequences of poor social support and the protective effects of good social support in mental illness have been well documented. Social support may moderate genetic and environmental vulnerabilities and confer resilience to stress, possibly via its effects on the hypothalamic-pituitary-adrenocortical (HPA) system, the noradrenergic system, and central oxytocin pathways. There is a substantial need for additional research and development of specific interventions aiming to increase social support for psychiatrically ill and at-risk populations.&quot;,&quot;publisher&quot;:&quot;Matrix Medical Communications&quot;,&quot;issue&quot;:&quot;5&quot;,&quot;volume&quot;:&quot;4&quot;,&quot;container-title-short&quot;:&quot;&quot;},&quot;isTemporary&quot;:false}],&quot;citationTag&quot;:&quot;MENDELEY_CITATION_v3_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&quot;},{&quot;citationID&quot;:&quot;MENDELEY_CITATION_2a679a81-9d57-4ed0-9560-c25c26b81724&quot;,&quot;properties&quot;:{&quot;noteIndex&quot;:0},&quot;isEdited&quot;:false,&quot;manualOverride&quot;:{&quot;isManuallyOverridden&quot;:false,&quot;citeprocText&quot;:&quot;(Holt-Lunstad &amp;#38; Lefler, 2020)&quot;,&quot;manualOverrideText&quot;:&quot;&quot;},&quot;citationItems&quot;:[{&quot;id&quot;:&quot;6be0b4ad-848c-3e8f-9e95-d90f5d94ea9f&quot;,&quot;itemData&quot;:{&quot;type&quot;:&quot;article-journal&quot;,&quot;id&quot;:&quot;6be0b4ad-848c-3e8f-9e95-d90f5d94ea9f&quot;,&quot;title&quot;:&quot;Social Integration&quot;,&quot;author&quot;:[{&quot;family&quot;:&quot;Holt-Lunstad&quot;,&quot;given&quot;:&quot;Julianne&quot;,&quot;parse-names&quot;:false,&quot;dropping-particle&quot;:&quot;&quot;,&quot;non-dropping-particle&quot;:&quot;&quot;},{&quot;family&quot;:&quot;Lefler&quot;,&quot;given&quot;:&quot;Mckay&quot;,&quot;parse-names&quot;:false,&quot;dropping-particle&quot;:&quot;&quot;,&quot;non-dropping-particle&quot;:&quot;&quot;}],&quot;container-title&quot;:&quot;Encyclopedia of Gerontology and Population Aging&quot;,&quot;accessed&quot;:{&quot;date-parts&quot;:[[2023,5,7]]},&quot;DOI&quot;:&quot;10.1007/978-3-319-69892-2_646-2&quot;,&quot;URL&quot;:&quot;https://link.springer.com/referenceworkentry/10.1007/978-3-319-69892-2_646-2&quot;,&quot;issued&quot;:{&quot;date-parts&quot;:[[2020]]},&quot;page&quot;:&quot;1-11&quot;,&quot;publisher&quot;:&quot;Springer, Cham&quot;,&quot;container-title-short&quot;:&quot;&quot;},&quot;isTemporary&quot;:false}],&quot;citationTag&quot;:&quot;MENDELEY_CITATION_v3_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&quot;},{&quot;citationID&quot;:&quot;MENDELEY_CITATION_5ac8517f-e906-4b18-b333-8c85e62bb08a&quot;,&quot;properties&quot;:{&quot;noteIndex&quot;:0},&quot;isEdited&quot;:false,&quot;manualOverride&quot;:{&quot;isManuallyOverridden&quot;:false,&quot;citeprocText&quot;:&quot;(Wills &amp;#38; Shinar, 2015)&quot;,&quot;manualOverrideText&quot;:&quot;&quot;},&quot;citationItems&quot;:[{&quot;id&quot;:&quot;a675a45e-ec7a-3f16-86ee-133a4a20f994&quot;,&quot;itemData&quot;:{&quot;type&quot;:&quot;article-journal&quot;,&quot;id&quot;:&quot;a675a45e-ec7a-3f16-86ee-133a4a20f994&quot;,&quot;title&quot;:&quot;Measuring Perceived and Received Social Support&quot;,&quot;author&quot;:[{&quot;family&quot;:&quot;Wills&quot;,&quot;given&quot;:&quot;Thomas A.&quot;,&quot;parse-names&quot;:false,&quot;dropping-particle&quot;:&quot;&quot;,&quot;non-dropping-particle&quot;:&quot;&quot;},{&quot;family&quot;:&quot;Shinar&quot;,&quot;given&quot;:&quot;Ori&quot;,&quot;parse-names&quot;:false,&quot;dropping-particle&quot;:&quot;&quot;,&quot;non-dropping-particle&quot;:&quot;&quot;}],&quot;container-title&quot;:&quot;Social Support Measurement and Intervention&quot;,&quot;accessed&quot;:{&quot;date-parts&quot;:[[2023,5,7]]},&quot;DOI&quot;:&quot;10.1093/MED:PSYCH/9780195126709.003.0004&quot;,&quot;issued&quot;:{&quot;date-parts&quot;:[[2015,12,2]]},&quot;page&quot;:&quot;86-135&quot;,&quot;abstract&quot;:&quot;Surgery and pharmaceuticals are not the only effective procedures we have to improve our health. The natural human tendency to care for fellow humans, to support them with social networks, has proven to be a powerful treatment as well. As a result, the areas of application for social support intervention have expanded dramatically during the past 20 years. As these areas have expanded, so too has the literature on the theory and measurement of social support. Yet, the literature has focussed on very particular areas. Investigators in the social sciences have mainly focused on the protection that social support confers in the context of stressful life events and transitions, whereas studies in the health sciences have concentrated on the effects of social networks and supports on population mortality and morbidity. Although no single theoretical framework has been widely accepted, there is consensus that both the psychological sense of support and actual expressions of support play critical roles in maintaining health and well being. This book is a state-of-the-art resource for the selection and development of strategies for social support assessment and intervention. Designed for use by behavioral and medical scientists conducting studies of physical illness, psychological adjustment, and psychiatric illness in human populations, this volume presents a broad conceptual framework addressing the role of social support in mental and physical health. The book is divided into four sections. The first provides some historical context as well as a conceptual overview of how social support might influence mental and physical health. The second discusses techniques for measuring social networks and support, and the third addresses the design of different types of support interventions. The final section presents some general comments on the volume and its implications for social support research and intervention. This resource is meant to aid researchers in understanding the conceptual criteria on which measurement and intervention decisions should be made when studying the relations between social support and health. Furthermore, the information provided on both measurement and intervention will be valuable to practitioners interested in designing and evaluating prevention and treatment initiatives. Sponsored by the Fetzer Institute as a follow up to their successful 1995 publication, Measuring Stress, this book will provide the most up to date research on the effects of social support interventions on physical and mental health.&quot;,&quot;publisher&quot;:&quot;Oxford University Press&quot;,&quot;container-title-short&quot;:&quot;&quot;},&quot;isTemporary&quot;:false}],&quot;citationTag&quot;:&quot;MENDELEY_CITATION_v3_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&quot;},{&quot;citationID&quot;:&quot;MENDELEY_CITATION_f97c6d85-3b28-441d-81d4-4fb495651b98&quot;,&quot;properties&quot;:{&quot;noteIndex&quot;:0},&quot;isEdited&quot;:false,&quot;manualOverride&quot;:{&quot;isManuallyOverridden&quot;:false,&quot;citeprocText&quot;:&quot;(Mohr et al., 2004)&quot;,&quot;manualOverrideText&quot;:&quot;&quot;},&quot;citationItems&quot;:[{&quot;id&quot;:&quot;d1d601a4-a21e-30f5-b88b-390be9432e80&quot;,&quot;itemData&quot;:{&quot;type&quot;:&quot;article-journal&quot;,&quot;id&quot;:&quot;d1d601a4-a21e-30f5-b88b-390be9432e80&quot;,&quot;title&quot;:&quot;The relationship between social support, depression and treatment for depression in people with multiple sclerosis&quot;,&quot;author&quot;:[{&quot;family&quot;:&quot;Mohr&quot;,&quot;given&quot;:&quot;David C.&quot;,&quot;parse-names&quot;:false,&quot;dropping-particle&quot;:&quot;&quot;,&quot;non-dropping-particle&quot;:&quot;&quot;},{&quot;family&quot;:&quot;Classen&quot;,&quot;given&quot;:&quot;C.&quot;,&quot;parse-names&quot;:false,&quot;dropping-particle&quot;:&quot;&quot;,&quot;non-dropping-particle&quot;:&quot;&quot;},{&quot;family&quot;:&quot;Barrera&quot;,&quot;given&quot;:&quot;M.&quot;,&quot;parse-names&quot;:false,&quot;dropping-particle&quot;:&quot;&quot;,&quot;non-dropping-particle&quot;:&quot;&quot;}],&quot;container-title&quot;:&quot;Psychological medicine&quot;,&quot;container-title-short&quot;:&quot;Psychol Med&quot;,&quot;accessed&quot;:{&quot;date-parts&quot;:[[2023,5,7]]},&quot;DOI&quot;:&quot;10.1017/S0033291703001235&quot;,&quot;ISSN&quot;:&quot;0033-2917&quot;,&quot;PMID&quot;:&quot;15259838&quot;,&quot;URL&quot;:&quot;https://pubmed.ncbi.nlm.nih.gov/15259838/&quot;,&quot;issued&quot;:{&quot;date-parts&quot;:[[2004,4]]},&quot;page&quot;:&quot;533-541&quot;,&quot;abstract&quot;:&quot;Background. Studies have been fairly consistent in finding a relationship between social support and depression. However, little is known about the relationship between depression and social support in the context of treatment for depression. This study examined the effects of treatment for depression on social support among patients with multiple sclerosis (MS). Method. Sixty-three moderately depressed MS patients received 16 weeks of cognitive behaviour therapy (CBT), supportive expressive group psychotherapy (SEGP) or sertraline. Depression was measured using the Beck Depression Inventory and social support was measured using Arizona Social Support Interview Schedule. Results. Treatment for depression was associated with significant increases in perceived social support, utilized social support and satisfaction with support, as well as reduction in need for emotional support. There were no significant changes in structural support or need for physical support. There were also no differences in change in social support across treatments. All changes in social support were fully explained by depression. Improvements in utilized social support and satisfaction with social support were fully mediated by improvements in depression. Baseline depression predicted improvements in perceived support and need for emotional support. Conclusions. These findings suggest that improvements in social support among MS patients during treatment for depression can be explained by depression. However, different domains of social support may be differentially sensitive to changes in depression. © 2004 Cambridge University Press.&quot;,&quot;publisher&quot;:&quot;Psychol Med&quot;,&quot;issue&quot;:&quot;3&quot;,&quot;volume&quot;:&quot;34&quot;},&quot;isTemporary&quot;:false}],&quot;citationTag&quot;:&quot;MENDELEY_CITATION_v3_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&quot;},{&quot;citationID&quot;:&quot;MENDELEY_CITATION_4bcf5f62-177a-4850-b7a1-9d25ecf6d275&quot;,&quot;properties&quot;:{&quot;noteIndex&quot;:0},&quot;isEdited&quot;:false,&quot;manualOverride&quot;:{&quot;isManuallyOverridden&quot;:true,&quot;citeprocText&quot;:&quot;(Walker et al., 2012)&quot;,&quot;manualOverrideText&quot;:&quot;(E. R. Walker et al., 2012)&quot;},&quot;citationItems&quot;:[{&quot;id&quot;:&quot;031dce12-d2f5-333e-8705-4fd0aa50d43a&quot;,&quot;itemData&quot;:{&quot;type&quot;:&quot;article-journal&quot;,&quot;id&quot;:&quot;031dce12-d2f5-333e-8705-4fd0aa50d43a&quot;,&quot;title&quot;:&quot;Social support for self-management behaviors among people with epilepsy: a content analysis of the WebEase program&quot;,&quot;author&quot;:[{&quot;family&quot;:&quot;Walker&quot;,&quot;given&quot;:&quot;Elizabeth Reisinger&quot;,&quot;parse-names&quot;:false,&quot;dropping-particle&quot;:&quot;&quot;,&quot;non-dropping-particle&quot;:&quot;&quot;},{&quot;family&quot;:&quot;Bamps&quot;,&quot;given&quot;:&quot;Yvan&quot;,&quot;parse-names&quot;:false,&quot;dropping-particle&quot;:&quot;&quot;,&quot;non-dropping-particle&quot;:&quot;&quot;},{&quot;family&quot;:&quot;Burdett&quot;,&quot;given&quot;:&quot;Andrea&quot;,&quot;parse-names&quot;:false,&quot;dropping-particle&quot;:&quot;&quot;,&quot;non-dropping-particle&quot;:&quot;&quot;},{&quot;family&quot;:&quot;Rothkopf&quot;,&quot;given&quot;:&quot;Jennifer&quot;,&quot;parse-names&quot;:false,&quot;dropping-particle&quot;:&quot;&quot;,&quot;non-dropping-particle&quot;:&quot;&quot;},{&quot;family&quot;:&quot;DiIorio&quot;,&quot;given&quot;:&quot;Colleen&quot;,&quot;parse-names&quot;:false,&quot;dropping-particle&quot;:&quot;&quot;,&quot;non-dropping-particle&quot;:&quot;&quot;}],&quot;container-title&quot;:&quot;Epilepsy &amp; behavior : E&amp;B&quot;,&quot;container-title-short&quot;:&quot;Epilepsy Behav&quot;,&quot;accessed&quot;:{&quot;date-parts&quot;:[[2023,5,7]]},&quot;DOI&quot;:&quot;10.1016/J.YEBEH.2012.01.006&quot;,&quot;ISSN&quot;:&quot;1525-5069&quot;,&quot;PMID&quot;:&quot;22364762&quot;,&quot;URL&quot;:&quot;https://pubmed.ncbi.nlm.nih.gov/22364762/&quot;,&quot;issued&quot;:{&quot;date-parts&quot;:[[2012,3]]},&quot;page&quot;:&quot;285-290&quot;,&quot;abstract&quot;:&quot;Social support is an important component in managing epilepsy; however little is known about support provided to people with epilepsy. This study examined whom people with epilepsy identify as supportive, and how those individuals support people with epilepsy's self-management efforts. Data come from the WebEase project, an effective online epilepsy self-management program. People with epilepsy who participated in the pilot (n = 35) and efficacy trials (n = 118) were included. A content analysis was conducted on responses to open-ended questions related to support. The majority of participants provided information about their supporters. The number of support providers ranged from 0 to 6, with about 12% indicating no support. Parents and significant others were most commonly listed as supporters. Support providers mainly offer emotional and instrumental support, reminders and aid for taking medication, and support for self-management strategies. These results could be useful for interventions aimed at bolstering support in order to improve self-management. © 2012 Elsevier Inc.&quot;,&quot;publisher&quot;:&quot;Epilepsy Behav&quot;,&quot;issue&quot;:&quot;3&quot;,&quot;volume&quot;:&quot;23&quot;},&quot;isTemporary&quot;:false}],&quot;citationTag&quot;:&quot;MENDELEY_CITATION_v3_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&quot;},{&quot;citationID&quot;:&quot;MENDELEY_CITATION_1d7de8b0-ad47-4d84-83aa-7530cb05f62b&quot;,&quot;properties&quot;:{&quot;noteIndex&quot;:0},&quot;isEdited&quot;:false,&quot;manualOverride&quot;:{&quot;isManuallyOverridden&quot;:false,&quot;citeprocText&quot;:&quot;(Mondal et al., 2020)&quot;,&quot;manualOverrideText&quot;:&quot;&quot;},&quot;citationItems&quot;:[{&quot;id&quot;:&quot;2ee45ac4-9959-39fc-a8ee-5ac640a39686&quot;,&quot;itemData&quot;:{&quot;type&quot;:&quot;article-journal&quot;,&quot;id&quot;:&quot;2ee45ac4-9959-39fc-a8ee-5ac640a39686&quot;,&quot;title&quot;:&quot;Relationship between Perceived Social Support and Severity of Symptoms in Persons with Somatoform Disorder&quot;,&quot;author&quot;:[{&quot;family&quot;:&quot;Mondal&quot;,&quot;given&quot;:&quot;Arijit&quot;,&quot;parse-names&quot;:false,&quot;dropping-particle&quot;:&quot;&quot;,&quot;non-dropping-particle&quot;:&quot;&quot;},{&quot;family&quot;:&quot;Das&quot;,&quot;given&quot;:&quot;Saswati&quot;,&quot;parse-names&quot;:false,&quot;dropping-particle&quot;:&quot;&quot;,&quot;non-dropping-particle&quot;:&quot;&quot;},{&quot;family&quot;:&quot;Sankar Mandal&quot;,&quot;given&quot;:&quot;Uday&quot;,&quot;parse-names&quot;:false,&quot;dropping-particle&quot;:&quot;&quot;,&quot;non-dropping-particle&quot;:&quot;&quot;},{&quot;family&quot;:&quot;Nath&quot;,&quot;given&quot;:&quot;Saswati&quot;,&quot;parse-names&quot;:false,&quot;dropping-particle&quot;:&quot;&quot;,&quot;non-dropping-particle&quot;:&quot;&quot;}],&quot;container-title&quot;:&quot;Jemds.com Original Research Article J. Evolution Med. Dent. Sci&quot;,&quot;accessed&quot;:{&quot;date-parts&quot;:[[2023,5,7]]},&quot;DOI&quot;:&quot;10.14260/jemds/2020/73&quot;,&quot;URL&quot;:&quot;https://www.researchgate.net/publication/340241355&quot;,&quot;issued&quot;:{&quot;date-parts&quot;:[[2020]]},&quot;page&quot;:&quot;2020&quot;,&quot;abstract&quot;:&quot;BACKGROUND Somatization is a common problem in primary health care leading to disproportionately heavy demands on health services. Patients with somatoform disorder account for about 20% of the workload in general practice. In somatoform disorder multiple or unexplained physical symptoms cause substantial disability in patients, while their psychiatric distress remains unrecognised and untreated. Studies have shown that good perceived social support improves the well-being of a person and also affects the outcome of treatment in somatoform disorder. Our study aimed at investigating relationship of severity of somatic symptoms and perceived social support in people with somatoform disorder.&quot;,&quot;volume&quot;:&quot;9&quot;,&quot;container-title-short&quot;:&quot;&quot;},&quot;isTemporary&quot;:false}],&quot;citationTag&quot;:&quot;MENDELEY_CITATION_v3_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&quot;},{&quot;citationID&quot;:&quot;MENDELEY_CITATION_118b65ae-902c-4578-a0b4-481eb6ecd549&quot;,&quot;properties&quot;:{&quot;noteIndex&quot;:0},&quot;isEdited&quot;:false,&quot;manualOverride&quot;:{&quot;isManuallyOverridden&quot;:false,&quot;citeprocText&quot;:&quot;(Cohen &amp;#38; Wills, 1985; Thoits, 2011)&quot;,&quot;manualOverrideText&quot;:&quot;&quot;},&quot;citationItems&quot;:[{&quot;id&quot;:&quot;30596878-5d0d-33be-94ef-75f839fed4b9&quot;,&quot;itemData&quot;:{&quot;type&quot;:&quot;article-journal&quot;,&quot;id&quot;:&quot;30596878-5d0d-33be-94ef-75f839fed4b9&quot;,&quot;title&quot;:&quot;Stress, Social Support, and the Buffering Hypothesis&quot;,&quot;author&quot;:[{&quot;family&quot;:&quot;Cohen&quot;,&quot;given&quot;:&quot;Sheldon&quot;,&quot;parse-names&quot;:false,&quot;dropping-particle&quot;:&quot;&quot;,&quot;non-dropping-particle&quot;:&quot;&quot;},{&quot;family&quot;:&quot;Wills&quot;,&quot;given&quot;:&quot;Thomas Ashby&quot;,&quot;parse-names&quot;:false,&quot;dropping-particle&quot;:&quot;&quot;,&quot;non-dropping-particle&quot;:&quot;&quot;}],&quot;container-title&quot;:&quot;Psychological Bulletin&quot;,&quot;container-title-short&quot;:&quot;Psychol Bull&quot;,&quot;accessed&quot;:{&quot;date-parts&quot;:[[2023,5,7]]},&quot;DOI&quot;:&quot;10.1037/0033-2909.98.2.310&quot;,&quot;ISSN&quot;:&quot;00332909&quot;,&quot;PMID&quot;:&quot;3901065&quot;,&quot;issued&quot;:{&quot;date-parts&quot;:[[1985,9]]},&quot;page&quot;:&quot;310-357&quot;,&quot;abstract&quot;:&quot;The purpose of this article is to determine whether the positive association between social support and well-being is attributable more to an overall beneficial effect of support (main- or direct-effect model) or to a process of support protecting persons from potentially adverse effects of stressful events (buffering model). The review of studies is organized according to (a) whether a measure assesses support structure or function, and (b) the degree of specificity (vs. globality) of the scale. By structure we mean simply the existence of relationships, and by function we mean the extent to which one's interpersonal relationships provide particular resources. Special attention is paid to methodological characteristics that are requisite for a fair comparison of the models. The review concludes that there is evidence consistent with both models. Evidence for a buffering model is found when the social support measure assesses the perceived availability of interpersonal resources that are responsive to the needs elicited by stressful events. Evidence for a main effect model is found when the support measure assesses a person's degree of integration in a large social network. Both conceptualizations of social support are correct in some respects, but each represents a different process through which social support may affect well-being. Implications of these conclusions for theories of social support processes and for the design of preventive interventions are discussed. © 1985 American Psychological Association.&quot;,&quot;issue&quot;:&quot;2&quot;,&quot;volume&quot;:&quot;98&quot;},&quot;isTemporary&quot;:false},{&quot;id&quot;:&quot;f55118ea-3a63-3b98-a835-40f45108ae47&quot;,&quot;itemData&quot;:{&quot;type&quot;:&quot;article-journal&quot;,&quot;id&quot;:&quot;f55118ea-3a63-3b98-a835-40f45108ae47&quot;,&quot;title&quot;:&quot;Mechanisms linking social ties and support to physical and mental health&quot;,&quot;author&quot;:[{&quot;family&quot;:&quot;Thoits&quot;,&quot;given&quot;:&quot;Peggy A.&quot;,&quot;parse-names&quot;:false,&quot;dropping-particle&quot;:&quot;&quot;,&quot;non-dropping-particle&quot;:&quot;&quot;}],&quot;container-title&quot;:&quot;Journal of health and social behavior&quot;,&quot;container-title-short&quot;:&quot;J Health Soc Behav&quot;,&quot;accessed&quot;:{&quot;date-parts&quot;:[[2023,5,3]]},&quot;DOI&quot;:&quot;10.1177/0022146510395592&quot;,&quot;ISSN&quot;:&quot;2150-6000&quot;,&quot;PMID&quot;:&quot;21673143&quot;,&quot;URL&quot;:&quot;https://pubmed.ncbi.nlm.nih.gov/21673143/&quot;,&quot;issued&quot;:{&quot;date-parts&quot;:[[2011,6]]},&quot;page&quot;:&quot;145-161&quot;,&quot;abstract&quot;:&quot;Over the past 30 years investigators have called repeatedly for research on the mechanisms through which social relationships and social support improve physical and psychological well-being, both directly and as stress buffers. I describe seven possible mechanisms: social influence/social comparison, social control, role-based purpose and meaning (mattering), self-esteem, sense of control, belonging and companionship, and perceived support availability. Stress-buffering processes also involve these mechanisms. I argue that there are two broad types of support, emotional sustenance and active coping assistance, and two broad categories of supporters, significant others and experientially similar others, who specialize in supplying different types of support to distressed individuals. Emotionally sustaining behaviors and instrumental aid from significant others and empathy, active coping assistance, and role modeling from similar others should be most efficacious in alleviating the physical and emotional impacts of stressors. © American Sociological Association 2011.&quot;,&quot;publisher&quot;:&quot;J Health Soc Behav&quot;,&quot;issue&quot;:&quot;2&quot;,&quot;volume&quot;:&quot;52&quot;},&quot;isTemporary&quot;:false}],&quot;citationTag&quot;:&quot;MENDELEY_CITATION_v3_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&quot;},{&quot;citationID&quot;:&quot;MENDELEY_CITATION_0cdd8e97-faf5-4a16-9617-3a730ad3c46c&quot;,&quot;properties&quot;:{&quot;noteIndex&quot;:0},&quot;isEdited&quot;:false,&quot;manualOverride&quot;:{&quot;isManuallyOverridden&quot;:false,&quot;citeprocText&quot;:&quot;(Bandura et al., 1999)&quot;,&quot;manualOverrideText&quot;:&quot;&quot;},&quot;citationItems&quot;:[{&quot;id&quot;:&quot;525f312f-5ac1-3a8f-b8af-d01a6985fc70&quot;,&quot;itemData&quot;:{&quot;type&quot;:&quot;article-journal&quot;,&quot;id&quot;:&quot;525f312f-5ac1-3a8f-b8af-d01a6985fc70&quot;,&quot;title&quot;:&quot;Self-Efficacy: The Exercise of Control&quot;,&quot;author&quot;:[{&quot;family&quot;:&quot;Bandura&quot;,&quot;given&quot;:&quot;Albert&quot;,&quot;parse-names&quot;:false,&quot;dropping-particle&quot;:&quot;&quot;,&quot;non-dropping-particle&quot;:&quot;&quot;},{&quot;family&quot;:&quot;Freeman&quot;,&quot;given&quot;:&quot;W. H.&quot;,&quot;parse-names&quot;:false,&quot;dropping-particle&quot;:&quot;&quot;,&quot;non-dropping-particle&quot;:&quot;&quot;},{&quot;family&quot;:&quot;Lightsey&quot;,&quot;given&quot;:&quot;Richard&quot;,&quot;parse-names&quot;:false,&quot;dropping-particle&quot;:&quot;&quot;,&quot;non-dropping-particle&quot;:&quot;&quot;}],&quot;container-title&quot;:&quot;Journal of Cognitive Psychotherapy&quot;,&quot;container-title-short&quot;:&quot;J Cogn Psychother&quot;,&quot;accessed&quot;:{&quot;date-parts&quot;:[[2023,5,5]]},&quot;DOI&quot;:&quot;10.1891/0889-8391.13.2.158&quot;,&quot;ISSN&quot;:&quot;0889-8391&quot;,&quot;URL&quot;:&quot;https://connect.springerpub.com/content&quot;,&quot;issued&quot;:{&quot;date-parts&quot;:[[1999,1,1]]},&quot;page&quot;:&quot;158-166&quot;,&quot;abstract&quot;:&quot;Deals with the four major ways in perceiving self-efficacy that regulates human functioning. Brief explanations; Four main ways to accomplish self-efficacy; Examples of the way self-efficacy works in psychological treatment.&quot;,&quot;publisher&quot;:&quot;Springer&quot;,&quot;issue&quot;:&quot;2&quot;,&quot;volume&quot;:&quot;13&quot;},&quot;isTemporary&quot;:false}],&quot;citationTag&quot;:&quot;MENDELEY_CITATION_v3_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&quot;},{&quot;citationID&quot;:&quot;MENDELEY_CITATION_bb3f5f36-d672-4a8d-8134-c371c29f1d40&quot;,&quot;properties&quot;:{&quot;noteIndex&quot;:0},&quot;isEdited&quot;:false,&quot;manualOverride&quot;:{&quot;isManuallyOverridden&quot;:true,&quot;citeprocText&quot;:&quot;(Anderson et al., 2007; Luszczynska et al., 2007)&quot;,&quot;manualOverrideText&quot;:&quot;(E. S. Anderson et al., 2007; Luszczynska et al., 2007)&quot;},&quot;citationItems&quot;:[{&quot;id&quot;:&quot;d68ee56e-0667-3191-9fa6-822d82cd7489&quot;,&quot;itemData&quot;:{&quot;type&quot;:&quot;article-journal&quot;,&quot;id&quot;:&quot;d68ee56e-0667-3191-9fa6-822d82cd7489&quot;,&quot;title&quot;:&quot;Received social support, self-efficacy, and finding benefits in disease as predictors of physical functioning and adherence to antiretroviral therapy&quot;,&quot;author&quot;:[{&quot;family&quot;:&quot;Luszczynska&quot;,&quot;given&quot;:&quot;Aleksandra&quot;,&quot;parse-names&quot;:false,&quot;dropping-particle&quot;:&quot;&quot;,&quot;non-dropping-particle&quot;:&quot;&quot;},{&quot;family&quot;:&quot;Sarkar&quot;,&quot;given&quot;:&quot;Yagnaseni&quot;,&quot;parse-names&quot;:false,&quot;dropping-particle&quot;:&quot;&quot;,&quot;non-dropping-particle&quot;:&quot;&quot;},{&quot;family&quot;:&quot;Knoll&quot;,&quot;given&quot;:&quot;Nina&quot;,&quot;parse-names&quot;:false,&quot;dropping-particle&quot;:&quot;&quot;,&quot;non-dropping-particle&quot;:&quot;&quot;}],&quot;container-title&quot;:&quot;Patient Education and Counseling&quot;,&quot;container-title-short&quot;:&quot;Patient Educ Couns&quot;,&quot;accessed&quot;:{&quot;date-parts&quot;:[[2023,5,7]]},&quot;DOI&quot;:&quot;10.1016/J.PEC.2006.10.002&quot;,&quot;ISSN&quot;:&quot;0738-3991&quot;,&quot;PMID&quot;:&quot;17097259&quot;,&quot;issued&quot;:{&quot;date-parts&quot;:[[2007,4,1]]},&quot;page&quot;:&quot;37-42&quot;,&quot;abstract&quot;:&quot;Objective: The study investigated whether received social support, self-efficacy, and finding benefits in disease are related to physical functioning and adherence to antiretroviral medication among men and women infected with HIV. Methods: Data were collected among 104 patients of three HIV clinics in India. The measures included general self-efficacy scale, Berlin social support scales, questionnaire on taking antiretroviral medication, and SF-20 (physical functioning). Results: The results of path analysis and mediation analysis revealed that finding benefits and self-efficacy were directly related to both adherence and physical functioning. Additionally, finding benefits mediated the relation between patients' self-efficacy and adherence as well as physical functioning. Although received support was unrelated to adherence directly, effects of received support on adherence were mediated by self-efficacy. Conclusions: Besides personal and social resources, benefit finding was related to better adherence to antiretroviral medication. Practice implications: Identifying patients receiving low social support, with weak general self-efficacy and finding no benefits in being diagnosed with HIV may help to elicit those people who are at risk for poorer adherence and physical functioning. © 2006 Elsevier Ireland Ltd. All rights reserved.&quot;,&quot;publisher&quot;:&quot;Elsevier&quot;,&quot;issue&quot;:&quot;1&quot;,&quot;volume&quot;:&quot;66&quot;},&quot;isTemporary&quot;:false},{&quot;id&quot;:&quot;7347939c-2761-3e7e-b266-c25a51117b40&quot;,&quot;itemData&quot;:{&quot;type&quot;:&quot;article-journal&quot;,&quot;id&quot;:&quot;7347939c-2761-3e7e-b266-c25a51117b40&quot;,&quot;title&quot;:&quot;Self-regulation, self-efficacy, outcome expectations, and social support: Social cognitive theory and nutrition behavior&quot;,&quot;author&quot;:[{&quot;family&quot;:&quot;Anderson&quot;,&quot;given&quot;:&quot;Eileen S.&quot;,&quot;parse-names&quot;:false,&quot;dropping-particle&quot;:&quot;&quot;,&quot;non-dropping-particle&quot;:&quot;&quot;},{&quot;family&quot;:&quot;Winett&quot;,&quot;given&quot;:&quot;Richard A.&quot;,&quot;parse-names&quot;:false,&quot;dropping-particle&quot;:&quot;&quot;,&quot;non-dropping-particle&quot;:&quot;&quot;},{&quot;family&quot;:&quot;Wojcik&quot;,&quot;given&quot;:&quot;Janet R.&quot;,&quot;parse-names&quot;:false,&quot;dropping-particle&quot;:&quot;&quot;,&quot;non-dropping-particle&quot;:&quot;&quot;}],&quot;container-title&quot;:&quot;Annals of Behavioral Medicine&quot;,&quot;accessed&quot;:{&quot;date-parts&quot;:[[2023,5,7]]},&quot;DOI&quot;:&quot;10.1007/BF02874555/METRICS&quot;,&quot;ISSN&quot;:&quot;08836612&quot;,&quot;PMID&quot;:&quot;18020940&quot;,&quot;URL&quot;:&quot;https://link.springer.com/article/10.1007/BF02874555&quot;,&quot;issued&quot;:{&quot;date-parts&quot;:[[2007]]},&quot;page&quot;:&quot;304-312&quot;,&quot;abstract&quot;:&quot;Background: Understanding the need for and accessibility to healthier foods have not improved the overall diets of the U.S. population. Social cognitive theory (SCT) may explain how other variables, such as self-regulation and self-efficacy, may be key to integrating healthier nutrition into U.S. lifestyles. Purpose: To determine how SCT accounts for the nutritional content of food purchases and consumption among adults in a health promotion study. Methods: Participants were 712 churchgoers (18% African American, 66% female, 79% overweight or obese) from 14 churches in southwestern Virginia participating in the baseline phase of a larger health promotion study. Data were collected on the nutrition related social support, self-efficacy, outcome expectations, and self-regulation components of SCT, as well as on the fat, fiber, fruit, and vegetable content of food-shopping receipts and food frequency questionnaires. These data were used to test the fit of models ordered as prescribed by SCT and subjected to structural equation analysis. Results: SCT provided a good fit to the data explaining 35%, 52%, and 59% of observed variance in percent calories from fat, fiber g/1000 kcals and fruit and vegetable servings/1000 kcals. Participants' age, gender, socioeconomic status, social support, self-efficacy, negative outcome expectations, and self-regulation made important contributions to their nutrition behavior - a configuration of influences consistent with SCT Conclusions: These results suggest a pivotal role for self-regulatory behavior in the healthier food choices of adults. Interventions effective at garnering family support, increasing nutrition related self-efficacy, and overcoming negative outcome expectations should be more successful at helping adults enact the self-regulatory behaviors essential to buying and eating healthier foods. © 2007 by The Society of Behavioral Medicine.&quot;,&quot;publisher&quot;:&quot;Springer&quot;,&quot;issue&quot;:&quot;3&quot;,&quot;volume&quot;:&quot;34&quot;,&quot;container-title-short&quot;:&quot;&quot;},&quot;isTemporary&quot;:false}],&quot;citationTag&quot;:&quot;MENDELEY_CITATION_v3_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&quot;},{&quot;citationID&quot;:&quot;MENDELEY_CITATION_a5fea32a-fd0b-44ea-9a61-82429c29243f&quot;,&quot;properties&quot;:{&quot;noteIndex&quot;:0},&quot;isEdited&quot;:false,&quot;manualOverride&quot;:{&quot;isManuallyOverridden&quot;:true,&quot;citeprocText&quot;:&quot;(Bandura et al., 1999)&quot;,&quot;manualOverrideText&quot;:&quot;Bandura et al. (1999)&quot;},&quot;citationItems&quot;:[{&quot;id&quot;:&quot;525f312f-5ac1-3a8f-b8af-d01a6985fc70&quot;,&quot;itemData&quot;:{&quot;type&quot;:&quot;article-journal&quot;,&quot;id&quot;:&quot;525f312f-5ac1-3a8f-b8af-d01a6985fc70&quot;,&quot;title&quot;:&quot;Self-Efficacy: The Exercise of Control&quot;,&quot;author&quot;:[{&quot;family&quot;:&quot;Bandura&quot;,&quot;given&quot;:&quot;Albert&quot;,&quot;parse-names&quot;:false,&quot;dropping-particle&quot;:&quot;&quot;,&quot;non-dropping-particle&quot;:&quot;&quot;},{&quot;family&quot;:&quot;Freeman&quot;,&quot;given&quot;:&quot;W. H.&quot;,&quot;parse-names&quot;:false,&quot;dropping-particle&quot;:&quot;&quot;,&quot;non-dropping-particle&quot;:&quot;&quot;},{&quot;family&quot;:&quot;Lightsey&quot;,&quot;given&quot;:&quot;Richard&quot;,&quot;parse-names&quot;:false,&quot;dropping-particle&quot;:&quot;&quot;,&quot;non-dropping-particle&quot;:&quot;&quot;}],&quot;container-title&quot;:&quot;Journal of Cognitive Psychotherapy&quot;,&quot;container-title-short&quot;:&quot;J Cogn Psychother&quot;,&quot;accessed&quot;:{&quot;date-parts&quot;:[[2023,5,5]]},&quot;DOI&quot;:&quot;10.1891/0889-8391.13.2.158&quot;,&quot;ISSN&quot;:&quot;0889-8391&quot;,&quot;URL&quot;:&quot;https://connect.springerpub.com/content&quot;,&quot;issued&quot;:{&quot;date-parts&quot;:[[1999,1,1]]},&quot;page&quot;:&quot;158-166&quot;,&quot;abstract&quot;:&quot;Deals with the four major ways in perceiving self-efficacy that regulates human functioning. Brief explanations; Four main ways to accomplish self-efficacy; Examples of the way self-efficacy works in psychological treatment.&quot;,&quot;publisher&quot;:&quot;Springer&quot;,&quot;issue&quot;:&quot;2&quot;,&quot;volume&quot;:&quot;13&quot;},&quot;isTemporary&quot;:false}],&quot;citationTag&quot;:&quot;MENDELEY_CITATION_v3_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&quot;},{&quot;citationID&quot;:&quot;MENDELEY_CITATION_60816a03-1d92-4c06-a5f0-ed0abd2dcec8&quot;,&quot;properties&quot;:{&quot;noteIndex&quot;:0},&quot;isEdited&quot;:false,&quot;manualOverride&quot;:{&quot;isManuallyOverridden&quot;:false,&quot;citeprocText&quot;:&quot;(Bandura, 2004; Schwarzer &amp;#38; Luszczynska, 2003)&quot;,&quot;manualOverrideText&quot;:&quot;&quot;},&quot;citationItems&quot;:[{&quot;id&quot;:&quot;b7ab418c-3bc3-3f28-91ea-24ae4f0e8a4b&quot;,&quot;itemData&quot;:{&quot;type&quot;:&quot;article-journal&quot;,&quot;id&quot;:&quot;b7ab418c-3bc3-3f28-91ea-24ae4f0e8a4b&quot;,&quot;title&quot;:&quot;Health Promotion by Social Cognitive Means&quot;,&quot;author&quot;:[{&quot;family&quot;:&quot;Bandura&quot;,&quot;given&quot;:&quot;Albert&quot;,&quot;parse-names&quot;:false,&quot;dropping-particle&quot;:&quot;&quot;,&quot;non-dropping-particle&quot;:&quot;&quot;}],&quot;container-title&quot;:&quot;Health Education &amp; Behavior&quot;,&quot;DOI&quot;:&quot;10.1177/1090198104263660&quot;,&quot;ISSN&quot;:&quot;1090-1981&quot;,&quot;URL&quot;:&quot;https://doi.org/10.1177/1090198104263660&quot;,&quot;issued&quot;:{&quot;date-parts&quot;:[[2004]]},&quot;page&quot;:&quot;143-164&quot;,&quot;abstract&quot;:&quot;This article examines health promotion and disease prevention from the perspective of social cognitive theory. This theory posits a multifaceted causal structure in which self-efficacy beliefs operate together with goals, outcome expectations, and perceived environmental impediments and facilitators in the regulation of human motivation, behavior, and well-being. Belief in one?s efficacy to exercise control is a common pathway through which psychosocial influences affect health functioning. This core belief affects each of the basic processes of personal change?whether people even consider changing their health habits, whether they mobilize the motivation and perseverance needed to succeed should they do so, their ability to recover from setbacks and relapses, and how well they maintain the habit changes they have achieved. Human health is a social matter, not just an individual one. A comprehensive approach to health promotion also requires changing the practices of social systems that have widespread effects on human health.&quot;,&quot;publisher&quot;:&quot;SAGE Publications Inc&quot;,&quot;issue&quot;:&quot;2&quot;,&quot;volume&quot;:&quot;31&quot;,&quot;container-title-short&quot;:&quot;&quot;},&quot;isTemporary&quot;:false},{&quot;id&quot;:&quot;e5ff28c3-c9b1-368a-b7fd-d395c079b646&quot;,&quot;itemData&quot;:{&quot;type&quot;:&quot;article-journal&quot;,&quot;id&quot;:&quot;e5ff28c3-c9b1-368a-b7fd-d395c079b646&quot;,&quot;title&quot;:&quot;Self-Efficacy and Health Behavior Theories&quot;,&quot;author&quot;:[{&quot;family&quot;:&quot;Schwarzer&quot;,&quot;given&quot;:&quot;Ralf&quot;,&quot;parse-names&quot;:false,&quot;dropping-particle&quot;:&quot;&quot;,&quot;non-dropping-particle&quot;:&quot;&quot;},{&quot;family&quot;:&quot;Luszczynska&quot;,&quot;given&quot;:&quot;Aleksandra&quot;,&quot;parse-names&quot;:false,&quot;dropping-particle&quot;:&quot;&quot;,&quot;non-dropping-particle&quot;:&quot;&quot;}],&quot;accessed&quot;:{&quot;date-parts&quot;:[[2023,4,24]]},&quot;issued&quot;:{&quot;date-parts&quot;:[[2003]]},&quot;abstract&quot;:&quot;Most prominent health behavior theories include self-efficacy (or similar constructs). Self-efficacy is a proximal and direct predictor of intention and of behavior. According to Social Cognitive Theory (SCT; Bandura, 1997), a personal sense of control facilitates a change of health behavior. Self-efficacy pertains to a sense of control over one's environment and behavior. Self-efficacy beliefs are cognitions that determine whether health behavior change will be initiated, how much effort will be expended, and how long it will be sustained in the face of obstacles and failures. Self-efficacy influences the effort one puts forth to change risk behavior and the persistence to continue striving despite barriers and setbacks that may undermine motivation. Self-efficacy is directly related to health behavior, but it also affects health behaviors indirectly through its impact on goals. Self-efficacy influences the challenges that people take on as well as how high they set their goals (e.g., \&quot;I intend to reduce my smoking,\&quot; or \&quot;I intend to quit smoking altogether\&quot;). Individuals with strong self-efficacy select more challenging goals (DeVellis &amp; DeVellis, 2000). They focus on opportunities, not on obstacles (e.g., \&quot;At my university there is a smoking ban, anyway,\&quot; instead of \&quot;There are still a lot of ashtrays at my university.\&quot;). According to the Theory of Planned Behavior (TPB; Ajzen, 1991), intention is the most proximal predictor of behavior. Cognitions that affect a specific intention are attitudes,&quot;,&quot;container-title-short&quot;:&quot;&quot;},&quot;isTemporary&quot;:false}],&quot;citationTag&quot;:&quot;MENDELEY_CITATION_v3_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&quot;},{&quot;citationID&quot;:&quot;MENDELEY_CITATION_2bf67f75-e708-4095-a06d-5e2270b5be02&quot;,&quot;properties&quot;:{&quot;noteIndex&quot;:0},&quot;isEdited&quot;:false,&quot;manualOverride&quot;:{&quot;isManuallyOverridden&quot;:false,&quot;citeprocText&quot;:&quot;(Folkman &amp;#38; Lazarus, 1985)&quot;,&quot;manualOverrideText&quot;:&quot;&quot;},&quot;citationItems&quot;:[{&quot;id&quot;:&quot;b898fd0f-9b6d-3492-83b2-828ff4aa3439&quot;,&quot;itemData&quot;:{&quot;type&quot;:&quot;article-journal&quot;,&quot;id&quot;:&quot;b898fd0f-9b6d-3492-83b2-828ff4aa3439&quot;,&quot;title&quot;:&quot;If It Changes It Must Be a Process. Study of Emotion and Coping During Three Stages of a College Examination&quot;,&quot;author&quot;:[{&quot;family&quot;:&quot;Folkman&quot;,&quot;given&quot;:&quot;Susan&quot;,&quot;parse-names&quot;:false,&quot;dropping-particle&quot;:&quot;&quot;,&quot;non-dropping-particle&quot;:&quot;&quot;},{&quot;family&quot;:&quot;Lazarus&quot;,&quot;given&quot;:&quot;Richard S.&quot;,&quot;parse-names&quot;:false,&quot;dropping-particle&quot;:&quot;&quot;,&quot;non-dropping-particle&quot;:&quot;&quot;}],&quot;container-title&quot;:&quot;Journal of Personality and Social Psychology&quot;,&quot;container-title-short&quot;:&quot;J Pers Soc Psychol&quot;,&quot;accessed&quot;:{&quot;date-parts&quot;:[[2023,5,7]]},&quot;DOI&quot;:&quot;10.1037/0022-3514.48.1.150&quot;,&quot;ISSN&quot;:&quot;00223514&quot;,&quot;PMID&quot;:&quot;2980281&quot;,&quot;issued&quot;:{&quot;date-parts&quot;:[[1985,1]]},&quot;page&quot;:&quot;150-170&quot;,&quot;abstract&quot;:&quot;This natural experiment provides substantial evidence for the following major themes, which are based on a cognitively oriented, process-centered theory of stress and coping: First, a stressful encounter should be viewed as a dynamic, unfolding process, not as a static, unitary event. Emotion and coping (including the use of social support) were assessed at three stages of a midterm examination: the anticipation stage before the exam, the waiting stage after the exam and before grades were announced, and after grades were posted. For the group as a whole there were significant changes in emotions and coping (including the use of social support) across the three stages. Second, people experience seemingly contradictory emotions and states of mind during every stage of an encounter. In this study, for example, subjects experienced both threat emotions and challenge emotions. The complexity of emotions and their cognitive appraisals reflects ambiguity regarding the multifaceted nature of the exam and its meanings, especially during the anticipation stage. Third, coping is a complex process. On the average, subjects used combinations of most of the available forms of problem-focused coping and emotion-focused coping at every stage of the exam. Different forms of coping were salient during the anticipation and waiting stages. Problem-focused coping and emphasizing the positive were more prominent during the former, and distancing more prominent during the latter. Finally, despite normatively shared emotional reactions at each stage, substantial individual differences remained. Using selected appraisal and coping variables, and taking grade point averages (GPA) into account, approximately 48% of the variances in threat and challenge emotions at the anticipation stage was explained. Controlling for variance due to the grade received, appraisal, and coping variables accounted for 28% of the variance in positive and negative emotions at the outcome stage. Including grade, 57% of the variance in positive emotions at outcome and 61% of the negative emotions at outcome were explained. © 1985 American Psychological Association.&quot;,&quot;issue&quot;:&quot;1&quot;,&quot;volume&quot;:&quot;48&quot;},&quot;isTemporary&quot;:false}],&quot;citationTag&quot;:&quot;MENDELEY_CITATION_v3_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&quot;},{&quot;citationID&quot;:&quot;MENDELEY_CITATION_0dc4130c-d582-4eac-a47a-382ed4fcf3b2&quot;,&quot;properties&quot;:{&quot;noteIndex&quot;:0},&quot;isEdited&quot;:false,&quot;manualOverride&quot;:{&quot;isManuallyOverridden&quot;:false,&quot;citeprocText&quot;:&quot;(Tong et al., 2016)&quot;,&quot;manualOverrideText&quot;:&quot;&quot;},&quot;citationItems&quot;:[{&quot;id&quot;:&quot;384d0b65-5bf7-37df-b63e-0719f38001e3&quot;,&quot;itemData&quot;:{&quot;type&quot;:&quot;article-journal&quot;,&quot;id&quot;:&quot;384d0b65-5bf7-37df-b63e-0719f38001e3&quot;,&quot;title&quot;:&quot;Social support for people with epilepsy in China&quot;,&quot;author&quot;:[{&quot;family&quot;:&quot;Tong&quot;,&quot;given&quot;:&quot;Xin&quot;,&quot;parse-names&quot;:false,&quot;dropping-particle&quot;:&quot;&quot;,&quot;non-dropping-particle&quot;:&quot;&quot;},{&quot;family&quot;:&quot;Chen&quot;,&quot;given&quot;:&quot;Jiani&quot;,&quot;parse-names&quot;:false,&quot;dropping-particle&quot;:&quot;&quot;,&quot;non-dropping-particle&quot;:&quot;&quot;},{&quot;family&quot;:&quot;Park&quot;,&quot;given&quot;:&quot;Sung Pa&quot;,&quot;parse-names&quot;:false,&quot;dropping-particle&quot;:&quot;&quot;,&quot;non-dropping-particle&quot;:&quot;&quot;},{&quot;family&quot;:&quot;Wang&quot;,&quot;given&quot;:&quot;Xi&quot;,&quot;parse-names&quot;:false,&quot;dropping-particle&quot;:&quot;&quot;,&quot;non-dropping-particle&quot;:&quot;&quot;},{&quot;family&quot;:&quot;Wang&quot;,&quot;given&quot;:&quot;Chiyi&quot;,&quot;parse-names&quot;:false,&quot;dropping-particle&quot;:&quot;&quot;,&quot;non-dropping-particle&quot;:&quot;&quot;},{&quot;family&quot;:&quot;Su&quot;,&quot;given&quot;:&quot;Minglian&quot;,&quot;parse-names&quot;:false,&quot;dropping-particle&quot;:&quot;&quot;,&quot;non-dropping-particle&quot;:&quot;&quot;},{&quot;family&quot;:&quot;Zhou&quot;,&quot;given&quot;:&quot;Dong&quot;,&quot;parse-names&quot;:false,&quot;dropping-particle&quot;:&quot;&quot;,&quot;non-dropping-particle&quot;:&quot;&quot;}],&quot;container-title&quot;:&quot;Epilepsy &amp; behavior : E&amp;B&quot;,&quot;container-title-short&quot;:&quot;Epilepsy Behav&quot;,&quot;accessed&quot;:{&quot;date-parts&quot;:[[2023,5,7]]},&quot;DOI&quot;:&quot;10.1016/J.YEBEH.2016.08.010&quot;,&quot;ISSN&quot;:&quot;1525-5069&quot;,&quot;PMID&quot;:&quot;27764733&quot;,&quot;URL&quot;:&quot;https://pubmed.ncbi.nlm.nih.gov/27764733/&quot;,&quot;issued&quot;:{&quot;date-parts&quot;:[[2016,11,1]]},&quot;page&quot;:&quot;224-232&quot;,&quot;abstract&quot;:&quot;The aim of this study was to better understand social support in adult people with epilepsy (PWE) in China and to explore the factors related to weaker or stronger social support in PWE when compared with a group of matching healthy controls. Consecutively, we recruited PWE from the epilepsy outpatient clinic of the West China Hospital and healthy controls from nearby urban and rural areas. People with epilepsy and healthy controls were gender- and age-matched. Each participant was interviewed and completed the following instruments: the Social Support Rating Scale (SSRS) and the Hospital Anxiety and Depression Scale (HADS). In addition, we measured quality of life (QoL) in PWE using the Quality of Life in Epilepsy Inventory (QOLIE-31). We compared the SSRS scores between PWE and healthy controls and searched for relevant factors using correlation and regression analyses. The results showed that PWE scored lower on the SSRS than healthy controls. For PWE, early onset and depression were related to weaker social support. In healthy controls, being married and being psychiatrically healthy (i.e., scored lower on the HADS) were related to stronger support. Family members, especially parents and spouses, were the most powerful supporters for PWE and healthy people, but PWE relied on their families to a greater extent. Early intervention and psychiatric treatment are important to address and improve social support for PWE.&quot;,&quot;publisher&quot;:&quot;Epilepsy Behav&quot;,&quot;issue&quot;:&quot;Pt A&quot;,&quot;volume&quot;:&quot;64&quot;},&quot;isTemporary&quot;:false}],&quot;citationTag&quot;:&quot;MENDELEY_CITATION_v3_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&quot;},{&quot;citationID&quot;:&quot;MENDELEY_CITATION_a2297ec1-dcef-4a2e-a46b-8bcd064e939e&quot;,&quot;properties&quot;:{&quot;noteIndex&quot;:0},&quot;isEdited&quot;:false,&quot;manualOverride&quot;:{&quot;isManuallyOverridden&quot;:false,&quot;citeprocText&quot;:&quot;(Dilorio et al., 1992; Dilorio &amp;#38; Faherty, 1994)&quot;,&quot;manualOverrideText&quot;:&quot;&quot;},&quot;citationItems&quot;:[{&quot;id&quot;:&quot;3d69f90d-c02a-3bcb-b5f6-4f9178ed37a8&quot;,&quot;itemData&quot;:{&quot;type&quot;:&quot;article-journal&quot;,&quot;id&quot;:&quot;3d69f90d-c02a-3bcb-b5f6-4f9178ed37a8&quot;,&quot;title&quot;:&quot;Self-Efficacy and Social Support in Self-Management of Epilepsy&quot;,&quot;author&quot;:[{&quot;family&quot;:&quot;Dilorio&quot;,&quot;given&quot;:&quot;Colleen&quot;,&quot;parse-names&quot;:false,&quot;dropping-particle&quot;:&quot;&quot;,&quot;non-dropping-particle&quot;:&quot;&quot;},{&quot;family&quot;:&quot;Faherty&quot;,&quot;given&quot;:&quot;Barbara&quot;,&quot;parse-names&quot;:false,&quot;dropping-particle&quot;:&quot;&quot;,&quot;non-dropping-particle&quot;:&quot;&quot;},{&quot;family&quot;:&quot;Manteuffel&quot;,&quot;given&quot;:&quot;Brigitte&quot;,&quot;parse-names&quot;:false,&quot;dropping-particle&quot;:&quot;&quot;,&quot;non-dropping-particle&quot;:&quot;&quot;},{&quot;family&quot;:&quot;Hoeffer&quot;,&quot;given&quot;:&quot;Beverly&quot;,&quot;parse-names&quot;:false,&quot;dropping-particle&quot;:&quot;&quot;,&quot;non-dropping-particle&quot;:&quot;&quot;},{&quot;family&quot;:&quot;Hilbert&quot;,&quot;given&quot;:&quot;Gail A.&quot;,&quot;parse-names&quot;:false,&quot;dropping-particle&quot;:&quot;&quot;,&quot;non-dropping-particle&quot;:&quot;&quot;}],&quot;container-title&quot;:&quot;Western Journal of Nursing Research&quot;,&quot;container-title-short&quot;:&quot;West J Nurs Res&quot;,&quot;accessed&quot;:{&quot;date-parts&quot;:[[2023,5,3]]},&quot;DOI&quot;:&quot;10.1177/019394599201400303/ASSET/019394599201400303.FP.PNG_V03&quot;,&quot;ISSN&quot;:&quot;15528456&quot;,&quot;PMID&quot;:&quot;1615646&quot;,&quot;URL&quot;:&quot;https://journals.sagepub.com/doi/abs/10.1177/019394599201400303?journalCode=wjna&quot;,&quot;issued&quot;:{&quot;date-parts&quot;:[[1992,6,1]]},&quot;page&quot;:&quot;292-307&quot;,&quot;publisher&quot;:&quot;SAGE PUBLICATIONS, INC.2455 Teller Road, Newbury Park, CA 91320&quot;,&quot;issue&quot;:&quot;3&quot;,&quot;volume&quot;:&quot;14&quot;},&quot;isTemporary&quot;:false},{&quot;id&quot;:&quot;94a04e6f-4ff7-30a4-8511-1b4430215612&quot;,&quot;itemData&quot;:{&quot;type&quot;:&quot;article-journal&quot;,&quot;id&quot;:&quot;94a04e6f-4ff7-30a4-8511-1b4430215612&quot;,&quot;title&quot;:&quot;Epilepsy self-management: Partial replication and extension&quot;,&quot;author&quot;:[{&quot;family&quot;:&quot;Dilorio&quot;,&quot;given&quot;:&quot;Colleen&quot;,&quot;parse-names&quot;:false,&quot;dropping-particle&quot;:&quot;&quot;,&quot;non-dropping-particle&quot;:&quot;&quot;},{&quot;family&quot;:&quot;Faherty&quot;,&quot;given&quot;:&quot;Barbara&quot;,&quot;parse-names&quot;:false,&quot;dropping-particle&quot;:&quot;&quot;,&quot;non-dropping-particle&quot;:&quot;&quot;}],&quot;container-title&quot;:&quot;Research in Nursing &amp; Health&quot;,&quot;container-title-short&quot;:&quot;Res Nurs Health&quot;,&quot;accessed&quot;:{&quot;date-parts&quot;:[[2023,5,7]]},&quot;DOI&quot;:&quot;10.1002/NUR.4770170304&quot;,&quot;ISSN&quot;:&quot;1098-240X&quot;,&quot;PMID&quot;:&quot;8184128&quot;,&quot;URL&quot;:&quot;https://onlinelibrary.wiley.com/doi/full/10.1002/nur.4770170304&quot;,&quot;issued&quot;:{&quot;date-parts&quot;:[[1994,6,1]]},&quot;page&quot;:&quot;167-174&quot;,&quot;abstract&quot;:&quot;The purpose of this study was to determine the association between selected social cognitive variables and self‐management behaviors among a sample of adults with epilepsy. The study, based on Social Cognitive Theory, was a partial replication and extension of a previous study that explored the role of self‐efficacy and social support in epilepsy self‐management. The variables examined in the present study were self‐efficacy, social support, regimen‐specific support, self‐esteem, and self‐management. Data collected from 80 adults attending an epilepsy clinic were analyzed using correlation and regression procedures. Statistically significant relationships were found between self‐efficacy and self‐management and between regimen‐specific support and self‐management. Regression analyses revealed that self‐efficacy and regimen‐specific support made significant contributions to the variance in self‐management, whereas social support and self‐esteem did not. Copyright © 1994 Wiley Periodicals, Inc., A Wiley Company&quot;,&quot;publisher&quot;:&quot;John Wiley &amp; Sons, Ltd&quot;,&quot;issue&quot;:&quot;3&quot;,&quot;volume&quot;:&quot;17&quot;},&quot;isTemporary&quot;:false}],&quot;citationTag&quot;:&quot;MENDELEY_CITATION_v3_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&quot;},{&quot;citationID&quot;:&quot;MENDELEY_CITATION_68271973-5825-41b6-89f8-f645cfecb904&quot;,&quot;properties&quot;:{&quot;noteIndex&quot;:0},&quot;isEdited&quot;:false,&quot;manualOverride&quot;:{&quot;isManuallyOverridden&quot;:false,&quot;citeprocText&quot;:&quot;(Pretorius, 2016; Pretorius &amp;#38; Sparrow, 2015; Vaidya-Mathur et al., 2016)&quot;,&quot;manualOverrideText&quot;:&quot;&quot;},&quot;citationItems&quot;:[{&quot;id&quot;:&quot;46a66565-509f-323a-9d6e-48f23a26d6e2&quot;,&quot;itemData&quot;:{&quot;type&quot;:&quot;article-journal&quot;,&quot;id&quot;:&quot;46a66565-509f-323a-9d6e-48f23a26d6e2&quot;,&quot;title&quot;:&quot;Life after being diagnosed with psychogenic non-epileptic seizures (PNES): A South African perspective&quot;,&quot;author&quot;:[{&quot;family&quot;:&quot;Pretorius&quot;,&quot;given&quot;:&quot;Chrisma&quot;,&quot;parse-names&quot;:false,&quot;dropping-particle&quot;:&quot;&quot;,&quot;non-dropping-particle&quot;:&quot;&quot;},{&quot;family&quot;:&quot;Sparrow&quot;,&quot;given&quot;:&quot;Melissa&quot;,&quot;parse-names&quot;:false,&quot;dropping-particle&quot;:&quot;&quot;,&quot;non-dropping-particle&quot;:&quot;&quot;}],&quot;container-title&quot;:&quot;Seizure&quot;,&quot;container-title-short&quot;:&quot;Seizure&quot;,&quot;accessed&quot;:{&quot;date-parts&quot;:[[2023,5,4]]},&quot;DOI&quot;:&quot;10.1016/J.SEIZURE.2015.05.008&quot;,&quot;ISSN&quot;:&quot;1059-1311&quot;,&quot;PMID&quot;:&quot;26216682&quot;,&quot;issued&quot;:{&quot;date-parts&quot;:[[2015,8,1]]},&quot;page&quot;:&quot;32-41&quot;,&quot;abstract&quot;:&quot;Purpose The aim of the study was to explore the life experiences of South Africans who have been diagnosed as having PNES, with a focus on the aspects of the challenges which these individuals face, as well as the resources and coping strategies which are either made available to them or used by them in order to cope with PNES. Methods Ten semi-structured interviews were analysed by means of thematic analysis in order to explore themes around challenges and resources for those diagnosed with PNES. Results Various challenges were revealed by participants, as well as the resources used in order to deal with these challenges associated with being diagnosed with PNES. Some of the challenges included unexpected seizures, medical professionals, belief systems as well as family. However, resources to counteract these challenges were social support, medical professional as well as religion and spirituality. Conclusion Although many challenges are encountered by those who are diagnosed with PNES, there are substantial resources from which these individuals draw in order to live fulfilling and satisfactory lives. As more information and research is accumulated, more resources may become available to benefit these individuals and allow them to recover from PNES. It should be noted that medical professionals were described as both a challenge as well as a resource for people with PNES. Therefore, we can conclude that these individuals are key in the experiences of those who have been diagnosed with PNES, and that they play a role on not only a diagnostic level, but also in providing support, information, as well as therapeutic benefits.&quot;,&quot;publisher&quot;:&quot;W.B. Saunders&quot;,&quot;volume&quot;:&quot;30&quot;},&quot;isTemporary&quot;:false},{&quot;id&quot;:&quot;a2a1e8c6-060b-3860-8e8a-94f7c4601fad&quot;,&quot;itemData&quot;:{&quot;type&quot;:&quot;article-journal&quot;,&quot;id&quot;:&quot;a2a1e8c6-060b-3860-8e8a-94f7c4601fad&quot;,&quot;title&quot;:&quot;Barriers and facilitators to reaching a diagnosis of PNES from the patients’ perspective: Preliminary findings&quot;,&quot;author&quot;:[{&quot;family&quot;:&quot;Pretorius&quot;,&quot;given&quot;:&quot;Chrisma&quot;,&quot;parse-names&quot;:false,&quot;dropping-particle&quot;:&quot;&quot;,&quot;non-dropping-particle&quot;:&quot;&quot;}],&quot;container-title&quot;:&quot;Seizure&quot;,&quot;container-title-short&quot;:&quot;Seizure&quot;,&quot;accessed&quot;:{&quot;date-parts&quot;:[[2023,5,4]]},&quot;DOI&quot;:&quot;10.1016/J.SEIZURE.2016.03.007&quot;,&quot;ISSN&quot;:&quot;1059-1311&quot;,&quot;PMID&quot;:&quot;27039015&quot;,&quot;issued&quot;:{&quot;date-parts&quot;:[[2016,5,1]]},&quot;page&quot;:&quot;1-6&quot;,&quot;abstract&quot;:&quot;Purpose: This qualitative study aimed at examining the subjective experiences of patients during the complicated and often prolonged diagnostic process of psychogenic non-epileptic seizures (PNES). Methods: Thematic analyses were used to explore the semi-structured interviews that were conducted with ten individuals who have been diagnosed with PNES. Results: Six main themes, namely inexpert healthcare providers, limited medical insurance and loss of independence were identified as barriers, while social support, comprehensive medical insurance and knowledgeable healthcare providers were identified as facilitators through the process of thematic analysis. Conclusions: The patients' perspectives revealed that an earlier diagnosis of PNES is essential to address the loss of independence and limit inappropriate and potentially harmful treatment as well as the costly burden of this condition on both the patient and the healthcare system. It was evident in this study that healthcare providers play an essential role in the subjective experiences of these individuals during the diagnostic process. The implementation of continuous education programmes for healthcare providers in particular could contribute positively to the diagnostic process of PNES for patients.&quot;,&quot;publisher&quot;:&quot;W.B. Saunders&quot;,&quot;volume&quot;:&quot;38&quot;},&quot;isTemporary&quot;:false},{&quot;id&quot;:&quot;328f74fc-61dc-3347-87ec-49f3a5ce5d20&quot;,&quot;itemData&quot;:{&quot;type&quot;:&quot;article-journal&quot;,&quot;id&quot;:&quot;328f74fc-61dc-3347-87ec-49f3a5ce5d20&quot;,&quot;title&quot;:&quot;Socialization characteristics in patients with psychogenic nonepileptic seizures (PNES)&quot;,&quot;author&quot;:[{&quot;family&quot;:&quot;Vaidya-Mathur&quot;,&quot;given&quot;:&quot;Urmi&quot;,&quot;parse-names&quot;:false,&quot;dropping-particle&quot;:&quot;&quot;,&quot;non-dropping-particle&quot;:&quot;&quot;},{&quot;family&quot;:&quot;Myers&quot;,&quot;given&quot;:&quot;Lorna&quot;,&quot;parse-names&quot;:false,&quot;dropping-particle&quot;:&quot;&quot;,&quot;non-dropping-particle&quot;:&quot;&quot;},{&quot;family&quot;:&quot;Laban-Grant&quot;,&quot;given&quot;:&quot;Olgica&quot;,&quot;parse-names&quot;:false,&quot;dropping-particle&quot;:&quot;&quot;,&quot;non-dropping-particle&quot;:&quot;&quot;},{&quot;family&quot;:&quot;Lancman&quot;,&quot;given&quot;:&quot;Marcelo&quot;,&quot;parse-names&quot;:false,&quot;dropping-particle&quot;:&quot;&quot;,&quot;non-dropping-particle&quot;:&quot;&quot;},{&quot;family&quot;:&quot;Lancman&quot;,&quot;given&quot;:&quot;Martin&quot;,&quot;parse-names&quot;:false,&quot;dropping-particle&quot;:&quot;&quot;,&quot;non-dropping-particle&quot;:&quot;&quot;},{&quot;family&quot;:&quot;Jones&quot;,&quot;given&quot;:&quot;Jace&quot;,&quot;parse-names&quot;:false,&quot;dropping-particle&quot;:&quot;&quot;,&quot;non-dropping-particle&quot;:&quot;&quot;}],&quot;container-title&quot;:&quot;Epilepsy &amp; behavior : E&amp;B&quot;,&quot;container-title-short&quot;:&quot;Epilepsy Behav&quot;,&quot;accessed&quot;:{&quot;date-parts&quot;:[[2023,5,7]]},&quot;DOI&quot;:&quot;10.1016/J.YEBEH.2015.12.032&quot;,&quot;ISSN&quot;:&quot;1525-5069&quot;,&quot;PMID&quot;:&quot;26844647&quot;,&quot;URL&quot;:&quot;https://pubmed.ncbi.nlm.nih.gov/26844647/&quot;,&quot;issued&quot;:{&quot;date-parts&quot;:[[2016]]},&quot;page&quot;:&quot;59-65&quot;,&quot;abstract&quot;:&quot;Objective The purpose of this study was to describe social behaviors and preferences in adults with psychogenic nonepileptic seizures (PNES) including self-reported use of various socialization mediums (face-to-face and indirect communication) as well as perceived social barriers. Methods One hundred forty-one consecutive patients with a diagnosis of PNES that was later confirmed through inpatient video-EEG monitoring were administered a questionnaire on the day of their first outpatient appointment. The questionnaire was designed to assess preferences in socialization practices, frequency of interpersonal contact, use of social media, and perceived barriers to socialization. The survey was developed to gain a better understanding of the socialization behaviors and preferences of our patients for the future development of customized activities in our wellness program. Results Contrary to prevalent assumptions that patients with PNES tend to be socially isolated, our responders reported that they were in fact quite socially connected (72.2% reported daily communication with friends and family via telephone, 68.54% saw relatives in person weekly, 65.28% saw friends weekly, and 51.2% reported using the computer daily to socialize). Facebook was the preferred online social media. Indoor/solitary activities were most common with 57.44% stating that they watch TV/read/use the computer. The primary barriers to socialization that respondents endorsed were driving prohibition and medication side effects. Respondents expressed the greatest interest in online support groups or educational programs (29.46%), office-based support groups (28.57%), and volunteering (23.21%). Conclusion Although it has been speculated that social isolation is a significant problem for patients with PNES, considerable participation in social activities was reported. Characteristics of socialization practices may be more nuanced than first believed. When addressing therapeutic interventions with this group of patients in the future, it might be beneficial to offer both distance-based options as well as face-to-face options for treatment and support depending on age and personal preference.&quot;,&quot;publisher&quot;:&quot;Epilepsy Behav&quot;,&quot;volume&quot;:&quot;56&quot;},&quot;isTemporary&quot;:false}],&quot;citationTag&quot;:&quot;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&quot;},{&quot;citationID&quot;:&quot;MENDELEY_CITATION_485f5e70-50c0-4f3a-9400-c1372613f1b7&quot;,&quot;properties&quot;:{&quot;noteIndex&quot;:0},&quot;isEdited&quot;:false,&quot;manualOverride&quot;:{&quot;isManuallyOverridden&quot;:true,&quot;citeprocText&quot;:&quot;(Williams et al., 2018)&quot;,&quot;manualOverrideText&quot;:&quot;(I. A. Williams, Levita, et al., 2018)&quot;},&quot;citationItems&quot;:[{&quot;id&quot;:&quot;f9d09752-671f-3015-b521-c857e072f0b9&quot;,&quot;itemData&quot;:{&quot;type&quot;:&quot;article-journal&quot;,&quot;id&quot;:&quot;f9d09752-671f-3015-b521-c857e072f0b9&quot;,&quot;title&quot;:&quot;Emotion dysregulation in patients with psychogenic nonepileptic seizures: A systematic review based on the extended process model&quot;,&quot;author&quot;:[{&quot;family&quot;:&quot;Williams&quot;,&quot;given&quot;:&quot;I A&quot;,&quot;parse-names&quot;:false,&quot;dropping-particle&quot;:&quot;&quot;,&quot;non-dropping-particle&quot;:&quot;&quot;},{&quot;family&quot;:&quot;Levita&quot;,&quot;given&quot;:&quot;L&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8.06.049&quot;,&quot;ISSN&quot;:&quot;1525-5050&quot;,&quot;PMID&quot;:&quot;30075361&quot;,&quot;issued&quot;:{&quot;date-parts&quot;:[[2018]]},&quot;page&quot;:&quot;37-48&quot;,&quot;language&quot;:&quot;eng&quot;,&quot;abstract&quot;:&quot;Psychogenic nonepileptic seizures (PNES) are characterized by paroxysmal alterations in motor and sensory functions resembling epileptic seizures, but are not caused by epileptiform activity. In recent years, there has been increasing scientific interest in emotion dysregulation in patients with PNES (pwPNES), but the literature has not yet been interpreted within a broader model of emotion dysregulation. The aim of this review was therefore to synthesize the existing literature on emotion dysregulation in pwPNES within the extended process model (EPM) of emotion regulation. METHODS: PubMed and Web of Science were searched for studies relevant to emotion dysregulation as defined by the EPM. These studies were subjected to a bespoke quality appraisal tool. Studies of acceptable quality were categorized to the different stages of the EPM and critically appraised. RESULTS: Studies of emotion regulation in pwPNES were generally of low quality - a finding largely driven by small sample sizes. However, there was evidence of emotion dysregulation characterized by deficits in the identification of patients' own emotional states, as well as the selection and implementation of maladaptive regulatory strategies, and altered exteroceptive emotional processing. However, heterogeneity in findings suggests that emotion dysregulation is likely linked to other psychological factors and not common to all pwPNES. SIGNIFICANCE: This review suggests that while pwPNES are likely to experience emotion dysregulation as defined by the EPM, there is variability in the distribution of regulatory deficits in this patient population, and a person-centered approach should be taken when working with these patients. There is a need for more high quality and better-powered studies in this area.&quot;,&quot;edition&quot;:&quot;2018/08/04&quot;,&quot;volume&quot;:&quot;86&quot;,&quot;container-title-short&quot;:&quot;&quot;},&quot;isTemporary&quot;:false}],&quot;citationTag&quot;:&quot;MENDELEY_CITATION_v3_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&quot;},{&quot;citationID&quot;:&quot;MENDELEY_CITATION_3c38bf81-a257-4492-b4f4-694ece78902e&quot;,&quot;properties&quot;:{&quot;noteIndex&quot;:0},&quot;isEdited&quot;:false,&quot;manualOverride&quot;:{&quot;isManuallyOverridden&quot;:false,&quot;citeprocText&quot;:&quot;(Cameron, 2002; Craig, 2002)&quot;,&quot;manualOverrideText&quot;:&quot;&quot;},&quot;citationItems&quot;:[{&quot;id&quot;:&quot;3cf1a717-31fa-369b-ae9a-727ca5e5d8d2&quot;,&quot;itemData&quot;:{&quot;type&quot;:&quot;book&quot;,&quot;id&quot;:&quot;3cf1a717-31fa-369b-ae9a-727ca5e5d8d2&quot;,&quot;title&quot;:&quot;Visceral sensory neuroscience: Interoception&quot;,&quot;author&quot;:[{&quot;family&quot;:&quot;Cameron&quot;,&quot;given&quot;:&quot;Oliver G&quot;,&quot;parse-names&quot;:false,&quot;dropping-particle&quot;:&quot;&quot;,&quot;non-dropping-particle&quot;:&quot;&quot;}],&quot;container-title&quot;:&quot;Visceral sensory neuroscience: Interoception.&quot;,&quot;ISBN&quot;:&quot;0-19-513601-2 (Hardcover)&quot;,&quot;issued&quot;:{&quot;date-parts&quot;:[[2002]]},&quot;publisher-place&quot;:&quot;New York, NY, US&quot;,&quot;number-of-pages&quot;:&quot;359, xii, 359-xii&quot;,&quot;abstract&quot;:&quot;It has been known for over a century that there is an afferent (body-to-brain), as well as an efferent (brain-to-body), component to the visceral-autonomic nervous system. Despite the fundamental importance of bodily afferent information--sometimes interoception--to central nervous system control of visceral organ function, emotional-motivational process, and dysfunction of these processes, including psychosomatic disorders, its role did not receive much attention until quite recently. This is the first comprehensive review of this topic and it covers both neurobiological and psychobiological aspects. The author first defines the issues and gives an historical background starting with the James-Lange theory of emotion, and addresses learning and motivation, roots in Pavlovian conditioning research, and operating conditioning of visceral function. In the second section he reviews recent scientific findings in neural basis of visceral perception and studies in cardiovascular-respiratory and alimentary interoception. Finally, he discusses several related areas of research and theory including drug state issues, interoception and psychiatric disorders, and bodily consciousness, and suggests directions for future investigation. (PsycINFO Database Record (c) 2019 APA, all rights reserved)&quot;,&quot;publisher&quot;:&quot;Oxford University Press&quot;,&quot;container-title-short&quot;:&quot;&quot;},&quot;isTemporary&quot;:false},{&quot;id&quot;:&quot;c61fba18-be5c-3666-ba74-f2db501ff364&quot;,&quot;itemData&quot;:{&quot;type&quot;:&quot;article-journal&quot;,&quot;id&quot;:&quot;c61fba18-be5c-3666-ba74-f2db501ff364&quot;,&quot;title&quot;:&quot;How do you feel? Interoception: the sense of the physiological condition of the body&quot;,&quot;author&quot;:[{&quot;family&quot;:&quot;Craig&quot;,&quot;given&quot;:&quot;A D&quot;,&quot;parse-names&quot;:false,&quot;dropping-particle&quot;:&quot;&quot;,&quot;non-dropping-particle&quot;:&quot;&quot;}],&quot;container-title&quot;:&quot;Nat Rev Neurosci&quot;,&quot;DOI&quot;:&quot;10.1038/nrn894&quot;,&quot;ISSN&quot;:&quot;1471-003X (Print)\r1471-003x&quot;,&quot;PMID&quot;:&quot;12154366&quot;,&quot;issued&quot;:{&quot;date-parts&quot;:[[2002]]},&quot;page&quot;:&quot;655-666&quot;,&quot;language&quot;:&quot;eng&quot;,&quot;abstract&quot;:&quot;As humans, we perceive feelings from our bodies that relate our state of well-being, our energy and stress levels, our mood and disposition. How do we have these feelings? What neural processes do they represent? Recent functional anatomical work has detailed an afferent neural system in primates and in humans that represents all aspects of the physiological condition of the physical body. This system constitutes a representation of 'the material me', and might provide a foundation for subjective feelings, emotion and self-awareness.&quot;,&quot;edition&quot;:&quot;2002/08/03&quot;,&quot;issue&quot;:&quot;8&quot;,&quot;volume&quot;:&quot;3&quot;,&quot;container-title-short&quot;:&quot;&quot;},&quot;isTemporary&quot;:false}],&quot;citationTag&quot;:&quot;MENDELEY_CITATION_v3_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&quot;},{&quot;citationID&quot;:&quot;MENDELEY_CITATION_880f49f0-f950-41a0-8987-ea454945cd9d&quot;,&quot;properties&quot;:{&quot;noteIndex&quot;:0},&quot;isEdited&quot;:false,&quot;manualOverride&quot;:{&quot;isManuallyOverridden&quot;:true,&quot;citeprocText&quot;:&quot;(Ricciardi et al., 2016)&quot;,&quot;manualOverrideText&quot;:&quot;Ricciardi et al. (2016)&quot;},&quot;citationItems&quot;:[{&quot;id&quot;:&quot;99aacbb9-8e38-33c1-a119-e7f84d49ebad&quot;,&quot;itemData&quot;:{&quot;type&quot;:&quot;article-journal&quot;,&quot;id&quot;:&quot;99aacbb9-8e38-33c1-a119-e7f84d49ebad&quot;,&quot;title&quot;:&quot;Interoceptive awareness in patients with functional neurological symptoms&quot;,&quot;author&quot;:[{&quot;family&quot;:&quot;Ricciardi&quot;,&quot;given&quot;:&quot;L&quot;,&quot;parse-names&quot;:false,&quot;dropping-particle&quot;:&quot;&quot;,&quot;non-dropping-particle&quot;:&quot;&quot;},{&quot;family&quot;:&quot;Demartini&quot;,&quot;given&quot;:&quot;B&quot;,&quot;parse-names&quot;:false,&quot;dropping-particle&quot;:&quot;&quot;,&quot;non-dropping-particle&quot;:&quot;&quot;},{&quot;family&quot;:&quot;Crucianelli&quot;,&quot;given&quot;:&quot;L&quot;,&quot;parse-names&quot;:false,&quot;dropping-particle&quot;:&quot;&quot;,&quot;non-dropping-particle&quot;:&quot;&quot;},{&quot;family&quot;:&quot;Krahé&quot;,&quot;given&quot;:&quot;C&quot;,&quot;parse-names&quot;:false,&quot;dropping-particle&quot;:&quot;&quot;,&quot;non-dropping-particle&quot;:&quot;&quot;},{&quot;family&quot;:&quot;Edwards&quot;,&quot;given&quot;:&quot;M J&quot;,&quot;parse-names&quot;:false,&quot;dropping-particle&quot;:&quot;&quot;,&quot;non-dropping-particle&quot;:&quot;&quot;},{&quot;family&quot;:&quot;Fotopoulou&quot;,&quot;given&quot;:&quot;A&quot;,&quot;parse-names&quot;:false,&quot;dropping-particle&quot;:&quot;&quot;,&quot;non-dropping-particle&quot;:&quot;&quot;}],&quot;container-title&quot;:&quot;Biol Psychol&quot;,&quot;DOI&quot;:&quot;10.1016/j.biopsycho.2015.10.009&quot;,&quot;ISSN&quot;:&quot;0301-0511&quot;,&quot;PMID&quot;:&quot;26528552&quot;,&quot;issued&quot;:{&quot;date-parts&quot;:[[2016]]},&quot;page&quot;:&quot;68-74&quot;,&quot;language&quot;:&quot;eng&quot;,&quot;abstract&quot;:&quot;Historically, emotional factors, such as trauma or psychological conflict, have been suggested as causal factors of functional motor disorders (FMD). More recent approaches have instead stressed potential neural and cognitive abnormalities in the allocation and maintenance of attention. Yet these studies have mostly focused on how attention is allocated to exteroceptive signals about the state of the body. Given the proposed important role of interoception for emotion, the study of FMD patients' ability to monitor their interoceptive signals may serve as a useful, mechanistic link between studies that aim to identify key emotional factors in FMD, and those that examine specific sensorimotor or cognitive abnormalities. In the current study, we compared the interoceptive awareness of a group of individuals with FMD (N=16) with a group of healthy controls (N=17). We employed a commonly used heartbeat detection task which tracks the level of concordance between one's heart rate and its subjective perception, as a proxy for interoceptive awareness more generally. We found that FMD patients have lower interoceptive accuracy than healthy subjects, and such reduced interoceptive accuracy was predictive of their depressive symptoms, as well as their tendency to focus on the external features of their body (self-objectification). Contary to our predictions, interoceptive accuracy was not predictive of alexithymia. These results suggest a potental trade-off between the allocation of attention to internal versus external aspects of the body in FMD. More generally, they warrant further investigation of interoceptive awareness in this population, as a means to understand their emotional abnormalities at a more mechanistic level than studies concentrating on traumatic life events and related risk factors.&quot;,&quot;edition&quot;:&quot;2015/11/04&quot;,&quot;volume&quot;:&quot;113&quot;,&quot;container-title-short&quot;:&quot;&quot;},&quot;isTemporary&quot;:false}],&quot;citationTag&quot;:&quot;MENDELEY_CITATION_v3_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&quot;},{&quot;citationID&quot;:&quot;MENDELEY_CITATION_7eae5703-c021-4658-988c-3e8c54ce96c1&quot;,&quot;properties&quot;:{&quot;noteIndex&quot;:0},&quot;isEdited&quot;:false,&quot;manualOverride&quot;:{&quot;isManuallyOverridden&quot;:true,&quot;citeprocText&quot;:&quot;(Williams et al., 2018)&quot;,&quot;manualOverrideText&quot;:&quot;Williams et al. (2018)&quot;},&quot;citationItems&quot;:[{&quot;id&quot;:&quot;f9d09752-671f-3015-b521-c857e072f0b9&quot;,&quot;itemData&quot;:{&quot;type&quot;:&quot;article-journal&quot;,&quot;id&quot;:&quot;f9d09752-671f-3015-b521-c857e072f0b9&quot;,&quot;title&quot;:&quot;Emotion dysregulation in patients with psychogenic nonepileptic seizures: A systematic review based on the extended process model&quot;,&quot;author&quot;:[{&quot;family&quot;:&quot;Williams&quot;,&quot;given&quot;:&quot;I A&quot;,&quot;parse-names&quot;:false,&quot;dropping-particle&quot;:&quot;&quot;,&quot;non-dropping-particle&quot;:&quot;&quot;},{&quot;family&quot;:&quot;Levita&quot;,&quot;given&quot;:&quot;L&quot;,&quot;parse-names&quot;:false,&quot;dropping-particle&quot;:&quot;&quot;,&quot;non-dropping-particle&quot;:&quot;&quot;},{&quot;family&quot;:&quot;Reuber&quot;,&quot;given&quot;:&quot;M&quot;,&quot;parse-names&quot;:false,&quot;dropping-particle&quot;:&quot;&quot;,&quot;non-dropping-particle&quot;:&quot;&quot;}],&quot;container-title&quot;:&quot;Epilepsy Behav&quot;,&quot;DOI&quot;:&quot;10.1016/j.yebeh.2018.06.049&quot;,&quot;ISSN&quot;:&quot;1525-5050&quot;,&quot;PMID&quot;:&quot;30075361&quot;,&quot;issued&quot;:{&quot;date-parts&quot;:[[2018]]},&quot;page&quot;:&quot;37-48&quot;,&quot;language&quot;:&quot;eng&quot;,&quot;abstract&quot;:&quot;Psychogenic nonepileptic seizures (PNES) are characterized by paroxysmal alterations in motor and sensory functions resembling epileptic seizures, but are not caused by epileptiform activity. In recent years, there has been increasing scientific interest in emotion dysregulation in patients with PNES (pwPNES), but the literature has not yet been interpreted within a broader model of emotion dysregulation. The aim of this review was therefore to synthesize the existing literature on emotion dysregulation in pwPNES within the extended process model (EPM) of emotion regulation. METHODS: PubMed and Web of Science were searched for studies relevant to emotion dysregulation as defined by the EPM. These studies were subjected to a bespoke quality appraisal tool. Studies of acceptable quality were categorized to the different stages of the EPM and critically appraised. RESULTS: Studies of emotion regulation in pwPNES were generally of low quality - a finding largely driven by small sample sizes. However, there was evidence of emotion dysregulation characterized by deficits in the identification of patients' own emotional states, as well as the selection and implementation of maladaptive regulatory strategies, and altered exteroceptive emotional processing. However, heterogeneity in findings suggests that emotion dysregulation is likely linked to other psychological factors and not common to all pwPNES. SIGNIFICANCE: This review suggests that while pwPNES are likely to experience emotion dysregulation as defined by the EPM, there is variability in the distribution of regulatory deficits in this patient population, and a person-centered approach should be taken when working with these patients. There is a need for more high quality and better-powered studies in this area.&quot;,&quot;edition&quot;:&quot;2018/08/04&quot;,&quot;volume&quot;:&quot;86&quot;,&quot;container-title-short&quot;:&quot;&quot;},&quot;isTemporary&quot;:false}],&quot;citationTag&quot;:&quot;MENDELEY_CITATION_v3_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&quot;},{&quot;citationID&quot;:&quot;MENDELEY_CITATION_c8597bf0-5889-42df-bf7c-e700cbb70bb2&quot;,&quot;properties&quot;:{&quot;noteIndex&quot;:0},&quot;isEdited&quot;:false,&quot;manualOverride&quot;:{&quot;isManuallyOverridden&quot;:false,&quot;citeprocText&quot;:&quot;(Apazoglou et al., 2017)&quot;,&quot;manualOverrideText&quot;:&quot;&quot;},&quot;citationItems&quot;:[{&quot;id&quot;:&quot;15e93752-9bd3-3381-b435-4e49355f874d&quot;,&quot;itemData&quot;:{&quot;type&quot;:&quot;article-journal&quot;,&quot;id&quot;:&quot;15e93752-9bd3-3381-b435-4e49355f874d&quot;,&quot;title&quot;:&quot;Biological and perceived stress in motor functional neurological disorders&quot;,&quot;author&quot;:[{&quot;family&quot;:&quot;Apazoglou&quot;,&quot;given&quot;:&quot;K&quot;,&quot;parse-names&quot;:false,&quot;dropping-particle&quot;:&quot;&quot;,&quot;non-dropping-particle&quot;:&quot;&quot;},{&quot;family&quot;:&quot;Mazzola&quot;,&quot;given&quot;:&quot;V&quot;,&quot;parse-names&quot;:false,&quot;dropping-particle&quot;:&quot;&quot;,&quot;non-dropping-particle&quot;:&quot;&quot;},{&quot;family&quot;:&quot;Wegrzyk&quot;,&quot;given&quot;:&quot;J&quot;,&quot;parse-names&quot;:false,&quot;dropping-particle&quot;:&quot;&quot;,&quot;non-dropping-particle&quot;:&quot;&quot;},{&quot;family&quot;:&quot;Frasca Polara&quot;,&quot;given&quot;:&quot;G&quot;,&quot;parse-names&quot;:false,&quot;dropping-particle&quot;:&quot;&quot;,&quot;non-dropping-particle&quot;:&quot;&quot;},{&quot;family&quot;:&quot;Aybek&quot;,&quot;given&quot;:&quot;S&quot;,&quot;parse-names&quot;:false,&quot;dropping-particle&quot;:&quot;&quot;,&quot;non-dropping-particle&quot;:&quot;&quot;}],&quot;container-title&quot;:&quot;Psychoneuroendocrinology&quot;,&quot;container-title-short&quot;:&quot;Psychoneuroendocrinology&quot;,&quot;DOI&quot;:&quot;10.1016/j.psyneuen.2017.08.023&quot;,&quot;ISSN&quot;:&quot;0306-4530&quot;,&quot;PMID&quot;:&quot;28863348&quot;,&quot;issued&quot;:{&quot;date-parts&quot;:[[2017]]},&quot;page&quot;:&quot;142-150&quot;,&quot;language&quot;:&quot;eng&quot;,&quot;abstract&quot;:&quot;BACKGROUND: Current models explaining motor functional neurological disorders (FND) integrate both the neurobiological mechanisms underlying symptoms production and the role of psychosocial stressors. Imaging studies have suggested abnormal motor control linked to impaired emotional and stress regulation. However, little is known on the biological stress regulation in FND. Our aim was to study the biological and perceived response to stress in patients with motor FND. METHODS: Sixteen patients with motor FND (DSM-5 criteria) and fifteen healthy controls underwent the Trier Social Stress Test. Hypothalamo-pituitary-adrenal axis (HPA) response was evaluated with salivary cortisol and autonomous sympathetic response with salivary alpha-amylase. Area under the curve was computed to reflect background levels (AUCg) and change over time (AUCi). Life adversities and perceived subjective stress on a visual analog scale (VAS) were correlated with biological responses. RESULTS: FND patients had significantly higher background levels (AUCg) of both stress markers (cortisol and amylase) than controls. The biological response (AUCi) to stress did not differ between groups for both markers but the subjective response showed an interaction effect with patients reporting higher levels of stress than controls. After stress, controls showed a strong correlation between subjective and objective sympathetic values (amylase) but not patients. The number and subjective impact of adverse life events correlated with cortisol AUCg in patients only. CONCLUSION: This study confirms a baseline HPA-axis and sympathetic hyperarousal state in motor FND related to life adversities. During a social stress, dissociation between perceived stress and biological markers was observed in patients only, reflecting a dysregulation of interoception capacity, which might represent an endophenotype of this disorder.&quot;,&quot;edition&quot;:&quot;2017/09/02&quot;,&quot;volume&quot;:&quot;85&quot;},&quot;isTemporary&quot;:false}],&quot;citationTag&quot;:&quot;MENDELEY_CITATION_v3_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&quot;},{&quot;citationID&quot;:&quot;MENDELEY_CITATION_820c50c3-301a-4e90-99a0-0276c99d0f19&quot;,&quot;properties&quot;:{&quot;noteIndex&quot;:0},&quot;isEdited&quot;:false,&quot;manualOverride&quot;:{&quot;isManuallyOverridden&quot;:true,&quot;citeprocText&quot;:&quot;(Bogaerts et al., 2010; Pollatos et al., 2011)&quot;,&quot;manualOverrideText&quot;:&quot;(Bogaerts et al., 2010; Pollatos et al., 2011),&quot;},&quot;citationItems&quot;:[{&quot;id&quot;:&quot;0b4822ae-6c91-3560-a8c5-54e5642814d2&quot;,&quot;itemData&quot;:{&quot;type&quot;:&quot;article-journal&quot;,&quot;id&quot;:&quot;0b4822ae-6c91-3560-a8c5-54e5642814d2&quot;,&quot;title&quot;:&quot;Distorted symptom perception in patients with medically unexplained symptoms&quot;,&quot;author&quot;:[{&quot;family&quot;:&quot;Bogaerts&quot;,&quot;given&quot;:&quot;K&quot;,&quot;parse-names&quot;:false,&quot;dropping-particle&quot;:&quot;&quot;,&quot;non-dropping-particle&quot;:&quot;&quot;},{&quot;family&quot;:&quot;Eylen&quot;,&quot;given&quot;:&quot;L&quot;,&quot;parse-names&quot;:false,&quot;dropping-particle&quot;:&quot;&quot;,&quot;non-dropping-particle&quot;:&quot;Van&quot;},{&quot;family&quot;:&quot;Li&quot;,&quot;given&quot;:&quot;W&quot;,&quot;parse-names&quot;:false,&quot;dropping-particle&quot;:&quot;&quot;,&quot;non-dropping-particle&quot;:&quot;&quot;},{&quot;family&quot;:&quot;Bresseleers&quot;,&quot;given&quot;:&quot;J&quot;,&quot;parse-names&quot;:false,&quot;dropping-particle&quot;:&quot;&quot;,&quot;non-dropping-particle&quot;:&quot;&quot;},{&quot;family&quot;:&quot;Diest&quot;,&quot;given&quot;:&quot;I&quot;,&quot;parse-names&quot;:false,&quot;dropping-particle&quot;:&quot;&quot;,&quot;non-dropping-particle&quot;:&quot;Van&quot;},{&quot;family&quot;:&quot;Peuter&quot;,&quot;given&quot;:&quot;S&quot;,&quot;parse-names&quot;:false,&quot;dropping-particle&quot;:&quot;&quot;,&quot;non-dropping-particle&quot;:&quot;De&quot;},{&quot;family&quot;:&quot;Stans&quot;,&quot;given&quot;:&quot;L&quot;,&quot;parse-names&quot;:false,&quot;dropping-particle&quot;:&quot;&quot;,&quot;non-dropping-particle&quot;:&quot;&quot;},{&quot;family&quot;:&quot;Decramer&quot;,&quot;given&quot;:&quot;M&quot;,&quot;parse-names&quot;:false,&quot;dropping-particle&quot;:&quot;&quot;,&quot;non-dropping-particle&quot;:&quot;&quot;},{&quot;family&quot;:&quot;Bergh&quot;,&quot;given&quot;:&quot;O&quot;,&quot;parse-names&quot;:false,&quot;dropping-particle&quot;:&quot;&quot;,&quot;non-dropping-particle&quot;:&quot;Van den&quot;}],&quot;container-title&quot;:&quot;J Abnorm Psychol&quot;,&quot;DOI&quot;:&quot;10.1037/a0017780&quot;,&quot;ISSN&quot;:&quot;0021-843x&quot;,&quot;PMID&quot;:&quot;20141259&quot;,&quot;issued&quot;:{&quot;date-parts&quot;:[[2010]]},&quot;page&quot;:&quot;226-234&quot;,&quot;language&quot;:&quot;eng&quot;,&quot;abstract&quot;:&quot;The present study investigated differences in symptom perception between a clinical sample with medically unexplained symptoms (MUS) and a matched healthy control group. Participants (N = 58, 29 patients) were told that they would inhale different gas mixtures that might induce symptoms. Next, they went through 2 subsequent rebreathing trials consisting of a baseline (60 s room air breathing), a rebreathing phase (150 s, which gradually increased ventilation, PCO2 in the blood, and perceived dyspnea), and a recovery phase (150 s, returning to room air breathing). Breathing behavior was continuously monitored, and dyspnea was rated every 10 s. The within-subject correlations between dyspnea on the one hand and end-tidal CO2 and minute ventilation on the other were used to index the degree to which perceived dyspnea was related to specific relevant respiratory changes. The results showed that perceived symptoms were less strongly related to relevant physiological parameters in MUS patients than in healthy persons, specifically when afferent physiological input was relatively weak. This suggests a stronger role for top-down psychological processes in the symptom perception of patients with MUS.&quot;,&quot;edition&quot;:&quot;2010/02/10&quot;,&quot;issue&quot;:&quot;1&quot;,&quot;volume&quot;:&quot;119&quot;,&quot;container-title-short&quot;:&quot;&quot;},&quot;isTemporary&quot;:false},{&quot;id&quot;:&quot;cda166d5-856b-322c-864d-740a85fde9e4&quot;,&quot;itemData&quot;:{&quot;type&quot;:&quot;article-journal&quot;,&quot;id&quot;:&quot;cda166d5-856b-322c-864d-740a85fde9e4&quot;,&quot;title&quot;:&quot;Autonomic imbalance is associated with reduced facial recognition in somatoform disorders&quot;,&quot;author&quot;:[{&quot;family&quot;:&quot;Pollatos&quot;,&quot;given&quot;:&quot;O&quot;,&quot;parse-names&quot;:false,&quot;dropping-particle&quot;:&quot;&quot;,&quot;non-dropping-particle&quot;:&quot;&quot;},{&quot;family&quot;:&quot;Herbert&quot;,&quot;given&quot;:&quot;B M&quot;,&quot;parse-names&quot;:false,&quot;dropping-particle&quot;:&quot;&quot;,&quot;non-dropping-particle&quot;:&quot;&quot;},{&quot;family&quot;:&quot;Wankner&quot;,&quot;given&quot;:&quot;S&quot;,&quot;parse-names&quot;:false,&quot;dropping-particle&quot;:&quot;&quot;,&quot;non-dropping-particle&quot;:&quot;&quot;},{&quot;family&quot;:&quot;Dietel&quot;,&quot;given&quot;:&quot;A&quot;,&quot;parse-names&quot;:false,&quot;dropping-particle&quot;:&quot;&quot;,&quot;non-dropping-particle&quot;:&quot;&quot;},{&quot;family&quot;:&quot;Wachsmuth&quot;,&quot;given&quot;:&quot;C&quot;,&quot;parse-names&quot;:false,&quot;dropping-particle&quot;:&quot;&quot;,&quot;non-dropping-particle&quot;:&quot;&quot;},{&quot;family&quot;:&quot;Henningsen&quot;,&quot;given&quot;:&quot;P&quot;,&quot;parse-names&quot;:false,&quot;dropping-particle&quot;:&quot;&quot;,&quot;non-dropping-particle&quot;:&quot;&quot;},{&quot;family&quot;:&quot;Sack&quot;,&quot;given&quot;:&quot;M&quot;,&quot;parse-names&quot;:false,&quot;dropping-particle&quot;:&quot;&quot;,&quot;non-dropping-particle&quot;:&quot;&quot;}],&quot;container-title&quot;:&quot;J Psychosom Res&quot;,&quot;DOI&quot;:&quot;10.1016/j.jpsychores.2011.03.012&quot;,&quot;ISSN&quot;:&quot;0022-3999&quot;,&quot;PMID&quot;:&quot;21911100&quot;,&quot;issued&quot;:{&quot;date-parts&quot;:[[2011]]},&quot;page&quot;:&quot;232-239&quot;,&quot;language&quot;:&quot;eng&quot;,&quot;abstract&quot;:&quot;OBJECTIVES: Somatoform disorders are characterized by the presence of multiple somatic symptoms. While the accuracy of perceiving bodily signal (interoceptive awareness) is only sparely investigated in somatoform disorders, recent research has associated autonomic imbalance with cognitive and emotional difficulties in stress-related diseases. This study aimed to investigate how sympathovagal reactivity interacts with performance in recognizing emotions in faces (facial recognition task). METHODS: Using a facial recognition and appraisal task, skin conductance levels (SCLs), heart rate (HR) and heart rate variability (HRV) were assessed in 26 somatoform patients and compared to healthy controls. Interoceptive awareness was assessed by a heartbeat detection task. RESULTS: We found evidence for a sympathovagal imbalance in somatoform disorders characterized by low parasympathetic reactivity during emotional tasks and increased sympathetic activation during baseline. Somatoform patients exhibited a reduced recognition performance for neutral and sad emotional expressions only. Possible confounding variables such as alexithymia, anxiety or depression were taken into account. Interoceptive awareness was reduced in somatoform patients. CONCLUSIONS: Our data demonstrate an imbalance in sympathovagal activation in somatoform disorders associated with decreased parasympathetic activation. This might account for difficulties in processing of sad and neutral facial expressions in somatoform patients which might be a pathogenic mechanism for increased everyday vulnerability.&quot;,&quot;edition&quot;:&quot;2011/09/14&quot;,&quot;issue&quot;:&quot;4&quot;,&quot;volume&quot;:&quot;71&quot;,&quot;container-title-short&quot;:&quot;&quot;},&quot;isTemporary&quot;:false}],&quot;citationTag&quot;:&quot;MENDELEY_CITATION_v3_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&quot;},{&quot;citationID&quot;:&quot;MENDELEY_CITATION_b9e45660-ba75-4e2e-914b-ae5ed9cc8664&quot;,&quot;properties&quot;:{&quot;noteIndex&quot;:0},&quot;isEdited&quot;:false,&quot;manualOverride&quot;:{&quot;isManuallyOverridden&quot;:false,&quot;citeprocText&quot;:&quot;(Schaefer et al., 2014)&quot;,&quot;manualOverrideText&quot;:&quot;&quot;},&quot;citationItems&quot;:[{&quot;id&quot;:&quot;7c47e34b-3289-32af-a56e-3adb753a4a18&quot;,&quot;itemData&quot;:{&quot;type&quot;:&quot;article-journal&quot;,&quot;id&quot;:&quot;7c47e34b-3289-32af-a56e-3adb753a4a18&quot;,&quot;title&quot;:&quot;Improving heartbeat perception in patients with medically unexplained symptoms reduces symptom distress&quot;,&quot;author&quot;:[{&quot;family&quot;:&quot;Schaefer&quot;,&quot;given&quot;:&quot;Manuela&quot;,&quot;parse-names&quot;:false,&quot;dropping-particle&quot;:&quot;&quot;,&quot;non-dropping-particle&quot;:&quot;&quot;},{&quot;family&quot;:&quot;Egloff&quot;,&quot;given&quot;:&quot;Boris&quot;,&quot;parse-names&quot;:false,&quot;dropping-particle&quot;:&quot;&quot;,&quot;non-dropping-particle&quot;:&quot;&quot;},{&quot;family&quot;:&quot;Gerlach&quot;,&quot;given&quot;:&quot;Alexander L&quot;,&quot;parse-names&quot;:false,&quot;dropping-particle&quot;:&quot;&quot;,&quot;non-dropping-particle&quot;:&quot;&quot;},{&quot;family&quot;:&quot;Witthöft&quot;,&quot;given&quot;:&quot;Michael&quot;,&quot;parse-names&quot;:false,&quot;dropping-particle&quot;:&quot;&quot;,&quot;non-dropping-particle&quot;:&quot;&quot;}],&quot;container-title&quot;:&quot;Biological Psychology&quot;,&quot;container-title-short&quot;:&quot;Biol Psychol&quot;,&quot;DOI&quot;:&quot;https://doi.org/10.1016/j.biopsycho.2014.05.012&quot;,&quot;ISSN&quot;:&quot;0301-0511&quot;,&quot;URL&quot;:&quot;http://www.sciencedirect.com/science/article/pii/S0301051114001549&quot;,&quot;issued&quot;:{&quot;date-parts&quot;:[[2014]]},&quot;page&quot;:&quot;69-76&quot;,&quot;abstract&quot;:&quot;Distortions in interoceptive accuracy have been linked to somatoform disorders. In line with cognitive theories of symptom formation in somatoform disorders, decreases in interoceptive accuracy have recently been observed to co-occur with more severe symptom reports. The current study tested the hypothesis that experimentally increasing interoceptive accuracy should decrease symptom severity in somatoform disorders. Twenty-nine patients with somatoform disorders were instructed in a newly developed heartbeat perception training procedure. Heartbeat perception, as a proxy for interoceptive accuracy, was assessed with a mental tracking task. Although there were no significant differences between the training group and a waiting control group (n=23) regarding increases in heartbeat perception, health anxiety served as a moderator and significant reductions in state symptom reports were observed after training. These findings suggest a relation between lower interoceptive accuracy and the perception of bodily symptoms in somatoform disorders.&quot;,&quot;volume&quot;:&quot;101&quot;},&quot;isTemporary&quot;:false}],&quot;citationTag&quot;:&quot;MENDELEY_CITATION_v3_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&quot;},{&quot;citationID&quot;:&quot;MENDELEY_CITATION_c8c19ec9-d6d3-48da-926a-87d10858fdd2&quot;,&quot;properties&quot;:{&quot;noteIndex&quot;:0},&quot;isEdited&quot;:false,&quot;manualOverride&quot;:{&quot;isManuallyOverridden&quot;:true,&quot;citeprocText&quot;:&quot;(Demartini et al., 2014)&quot;,&quot;manualOverrideText&quot;:&quot;(Demartini, Batla, et al., 2014)&quot;},&quot;citationItems&quot;:[{&quot;id&quot;:&quot;8c46d426-4beb-34d1-8317-d41c37650f04&quot;,&quot;itemData&quot;:{&quot;type&quot;:&quot;article-journal&quot;,&quot;id&quot;:&quot;8c46d426-4beb-34d1-8317-d41c37650f04&quot;,&quot;title&quot;:&quot;Multidisciplinary treatment for functional neurological symptoms: a prospective study&quot;,&quot;author&quot;:[{&quot;family&quot;:&quot;Demartini&quot;,&quot;given&quot;:&quot;Benedetta&quot;,&quot;parse-names&quot;:false,&quot;dropping-particle&quot;:&quot;&quot;,&quot;non-dropping-particle&quot;:&quot;&quot;},{&quot;family&quot;:&quot;Batla&quot;,&quot;given&quot;:&quot;Amit&quot;,&quot;parse-names&quot;:false,&quot;dropping-particle&quot;:&quot;&quot;,&quot;non-dropping-particle&quot;:&quot;&quot;},{&quot;family&quot;:&quot;Petrochilos&quot;,&quot;given&quot;:&quot;Panayiota&quot;,&quot;parse-names&quot;:false,&quot;dropping-particle&quot;:&quot;&quot;,&quot;non-dropping-particle&quot;:&quot;&quot;},{&quot;family&quot;:&quot;Fisher&quot;,&quot;given&quot;:&quot;Linda&quot;,&quot;parse-names&quot;:false,&quot;dropping-particle&quot;:&quot;&quot;,&quot;non-dropping-particle&quot;:&quot;&quot;},{&quot;family&quot;:&quot;Edwards&quot;,&quot;given&quot;:&quot;Mark J&quot;,&quot;parse-names&quot;:false,&quot;dropping-particle&quot;:&quot;&quot;,&quot;non-dropping-particle&quot;:&quot;&quot;},{&quot;family&quot;:&quot;Joyce&quot;,&quot;given&quot;:&quot;Eileen&quot;,&quot;parse-names&quot;:false,&quot;dropping-particle&quot;:&quot;&quot;,&quot;non-dropping-particle&quot;:&quot;&quot;}],&quot;container-title&quot;:&quot;Journal of neurology&quot;,&quot;container-title-short&quot;:&quot;J Neurol&quot;,&quot;DOI&quot;:&quot;10.1007/s00415-014-7495-4&quot;,&quot;ISSN&quot;:&quot;1432-1459\r0340-5354&quot;,&quot;PMID&quot;:&quot;25239392&quot;,&quot;URL&quot;:&quot;https://pubmed.ncbi.nlm.nih.gov/25239392&quot;,&quot;issued&quot;:{&quot;date-parts&quot;:[[2014]]},&quot;page&quot;:&quot;2370-2377&quot;,&quot;language&quot;:&quot;eng&quot;,&quot;abstract&quot;:&quot;Although functional neurological symptoms are often very disabling there is limited information on outcome after treatment. Here we prospectively assessed the short- and long-term efficacy of an inpatient multidisciplinary programme for patients with FNS. We also sought to determine predictors of good outcome by assessing the responsiveness of different scales administered at admission, discharge and follow-up. Sixty-six consecutive patients were included. Assessments at admission, discharge and at 1 year follow-up (55%) included: the Health of the Nation Outcome Scale, the Hospital Anxiety and Depression Scale, the Patient Health Questionnaire-15, the Revised Illness Perception Questionnaire, the Common Neurological Symptom Questionnaire, the Fear Questionnaire and the Canadian Occupational Performance Measure. At discharge and at 1 year follow-up patients were also asked to complete five-point self-rated scales of improvement. There were significant improvements in clinician-rated mental health and functional ability. In addition, patients reported that their levels of mood and anxiety had improved and that they were less bothered by somatic symptoms in general and neurological symptoms in particular. Two-thirds of patients rated their general health such as \&quot;better\&quot; or \&quot;much better\&quot; at discharge and this improvement was maintained over the following year. Change in HoNOS score was the only measure that successfully predicted patient-rated improvement. Our data suggest that a specialized multidisciplinary inpatient programme for FNS can provide long-lasting benefits in the majority of patients. Good outcome at discharge was exclusively predicted by improvement in the HoNOS which continued to improve over the 1 year following discharge.&quot;,&quot;edition&quot;:&quot;2014/09/20&quot;,&quot;publisher&quot;:&quot;Springer Berlin Heidelberg&quot;,&quot;issue&quot;:&quot;12&quot;,&quot;volume&quot;:&quot;261&quot;},&quot;isTemporary&quot;:false}],&quot;citationTag&quot;:&quot;MENDELEY_CITATION_v3_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&quot;},{&quot;citationID&quot;:&quot;MENDELEY_CITATION_4b3fb9aa-5be7-43ba-bf71-b0b1a71b3589&quot;,&quot;properties&quot;:{&quot;noteIndex&quot;:0},&quot;isEdited&quot;:false,&quot;manualOverride&quot;:{&quot;isManuallyOverridden&quot;:false,&quot;citeprocText&quot;:&quot;(Kabat-Zinn, 2003)&quot;,&quot;manualOverrideText&quot;:&quot;&quot;},&quot;citationItems&quot;:[{&quot;id&quot;:&quot;c74fb021-612f-3930-adf6-8fe8362e6a1d&quot;,&quot;itemData&quot;:{&quot;type&quot;:&quot;article-journal&quot;,&quot;id&quot;:&quot;c74fb021-612f-3930-adf6-8fe8362e6a1d&quot;,&quot;title&quot;:&quot;Mindfulness-based interventions in context: Past, present, and future.&quot;,&quot;author&quot;:[{&quot;family&quot;:&quot;Kabat-Zinn&quot;,&quot;given&quot;:&quot;Jon&quot;,&quot;parse-names&quot;:false,&quot;dropping-particle&quot;:&quot;&quot;,&quot;non-dropping-particle&quot;:&quot;&quot;}],&quot;container-title&quot;:&quot;Clinical Psychology: Science and Practice&quot;,&quot;accessed&quot;:{&quot;date-parts&quot;:[[2023,5,7]]},&quot;DOI&quot;:&quot;10.1093/CLIPSY.BPG016&quot;,&quot;ISSN&quot;:&quot;0969-5893&quot;,&quot;issued&quot;:{&quot;date-parts&quot;:[[2003,22]]},&quot;page&quot;:&quot;144-156&quot;,&quot;abstract&quot;:&quot;Baer's review (2003; this issue) suggests that mindf ulness-based interventions are clinically efficacious, but that better designed studies are now needed to substantiate the field and place it on a firm foundation for future growth. Her review, coupled with other lines of evidence, suggests that interest in incorporating mindfulness into clinical interventions in medicine and psychology is growing. It is thus important that professionals coming to this field understand some of the unique factors associated with the delivery of mindfulness-based interventions and the potential conceptual and practical pitfalls of not recognizing the features of this broadly unfamiliar landscape. This commentary highlights and contextualizes (1) what exactly mindfulness is, (2) where it came from, (3) how it came to be introduced into medicine and health care, (4) issues of cross-cultural sensitivity and understanding in the study of meditative practices stemming from other cultures and in applications of them in novel settings, (5) why it is important for people who are teaching mind-fulness to practice themselves, (6) results from 3 recent studies from the Center for Mindfulness in Medicine, Health Care, and Society not reviewed by Baer but which raise a number of key questions about clinical applicability, study design, and mechanism of action, and (7) current opportunities for professional training and development in mindfulness and its clinical applications.&quot;,&quot;publisher&quot;:&quot;American Psychological Association (APA)&quot;,&quot;issue&quot;:&quot;2&quot;,&quot;volume&quot;:&quot;10&quot;,&quot;container-title-short&quot;:&quot;&quot;},&quot;isTemporary&quot;:false}],&quot;citationTag&quot;:&quot;MENDELEY_CITATION_v3_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&quot;},{&quot;citationID&quot;:&quot;MENDELEY_CITATION_53e421d3-d071-4056-96be-196a400f6e33&quot;,&quot;properties&quot;:{&quot;noteIndex&quot;:0},&quot;isEdited&quot;:false,&quot;manualOverride&quot;:{&quot;isManuallyOverridden&quot;:false,&quot;citeprocText&quot;:&quot;(Vago &amp;#38; Silbersweig, 2012)&quot;,&quot;manualOverrideText&quot;:&quot;&quot;},&quot;citationItems&quot;:[{&quot;id&quot;:&quot;6dc36c32-c5b1-30f7-83ef-92d8bbe20f95&quot;,&quot;itemData&quot;:{&quot;type&quot;:&quot;article-journal&quot;,&quot;id&quot;:&quot;6dc36c32-c5b1-30f7-83ef-92d8bbe20f95&quot;,&quot;title&quot;:&quot;Self-awareness, self-regulation, and self-transcendence (S-ART): a framework for understanding the neurobiological mechanisms of mindfulness&quot;,&quot;author&quot;:[{&quot;family&quot;:&quot;Vago&quot;,&quot;given&quot;:&quot;&quot;,&quot;parse-names&quot;:false,&quot;dropping-particle&quot;:&quot;&quot;,&quot;non-dropping-particle&quot;:&quot;&quot;},{&quot;family&quot;:&quot;Silbersweig&quot;,&quot;given&quot;:&quot;&quot;,&quot;parse-names&quot;:false,&quot;dropping-particle&quot;:&quot;&quot;,&quot;non-dropping-particle&quot;:&quot;&quot;}],&quot;container-title&quot;:&quot;Frontiers in human neuroscience&quot;,&quot;container-title-short&quot;:&quot;Front Hum Neurosci&quot;,&quot;accessed&quot;:{&quot;date-parts&quot;:[[2023,5,7]]},&quot;DOI&quot;:&quot;10.3389/FNHUM.2012.00296&quot;,&quot;ISSN&quot;:&quot;1662-5161&quot;,&quot;PMID&quot;:&quot;23112770&quot;,&quot;URL&quot;:&quot;https://pubmed.ncbi.nlm.nih.gov/23112770/&quot;,&quot;issued&quot;:{&quot;date-parts&quot;:[[2012,10,5]]},&quot;abstract&quot;:&quot;Mindfulness-as a state, trait, process, type of meditation, and intervention has proven to be beneficial across a diverse group of psychological disorders as well as for general stress reduction. Yet, there remains a lack of clarity in the operationalization of this construct, and underlying mechanisms. Here, we provide an integrative theoretical framework and systems-based neurobiological model that explains the mechanisms by which mindfulness reduces biases related to self-processing and creates a sustainable healthy mind. Mindfulness is described through systematic mental training that develops meta-awareness (self-awareness), an ability to effectively modulate one's behavior (self-regulation), and the development of a positive relationship between self and other that transcends self-focused needs and increases prosocial characteristics (self-transcendence). This framework of self-awareness, regulation, and transcendence (S-ART) illustrates a method for becoming aware of the conditions that cause (and remove) distortions or biases. The development of S-ART through meditation is proposed to modulate self-specifying and narrative self-networks through an integrative fronto-parietal control network. Relevant perceptual, cognitive, emotional, and behavioral neuropsychological processes are highlighted, including intention and motivation, attention regulation, emotion regulation, extinction and reconsolidation, prosociality, non-attachment and decentering. The S-ART framework and neurobiological model is based on our growing understanding of the mechanisms for neurocognition, empirical literature, and through dismantling the specific meditation practices thought to cultivate mindfulness. The proposed framework will inform future research in the contemplative sciences and target specific areas for development in the treatment of psychological disorders. © 2012 Vago and David.&quot;,&quot;publisher&quot;:&quot;Front Hum Neurosci&quot;,&quot;issue&quot;:&quot;OCTOBER 2012&quot;,&quot;volume&quot;:&quot;6&quot;},&quot;isTemporary&quot;:false}],&quot;citationTag&quot;:&quot;MENDELEY_CITATION_v3_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&quot;},{&quot;citationID&quot;:&quot;MENDELEY_CITATION_0a9ee4b5-2925-4d12-b52b-ed0200925498&quot;,&quot;properties&quot;:{&quot;noteIndex&quot;:0},&quot;isEdited&quot;:false,&quot;manualOverride&quot;:{&quot;isManuallyOverridden&quot;:false,&quot;citeprocText&quot;:&quot;(Bishop et al., 2006)&quot;,&quot;manualOverrideText&quot;:&quot;&quot;},&quot;citationItems&quot;:[{&quot;id&quot;:&quot;ff670f15-5597-3468-a6e8-1c3c8b4491cf&quot;,&quot;itemData&quot;:{&quot;type&quot;:&quot;article-journal&quot;,&quot;id&quot;:&quot;ff670f15-5597-3468-a6e8-1c3c8b4491cf&quot;,&quot;title&quot;:&quot;Mindfulness: A Proposed Operational Definition&quot;,&quot;author&quot;:[{&quot;family&quot;:&quot;Bishop&quot;,&quot;given&quot;:&quot;Scott R&quot;,&quot;parse-names&quot;:false,&quot;dropping-particle&quot;:&quot;&quot;,&quot;non-dropping-particle&quot;:&quot;&quot;},{&quot;family&quot;:&quot;Lau&quot;,&quot;given&quot;:&quot;Mark&quot;,&quot;parse-names&quot;:false,&quot;dropping-particle&quot;:&quot;&quot;,&quot;non-dropping-particle&quot;:&quot;&quot;},{&quot;family&quot;:&quot;Shapiro&quot;,&quot;given&quot;:&quot;Shauna&quot;,&quot;parse-names&quot;:false,&quot;dropping-particle&quot;:&quot;&quot;,&quot;non-dropping-particle&quot;:&quot;&quot;},{&quot;family&quot;:&quot;Carlson&quot;,&quot;given&quot;:&quot;Linda&quot;,&quot;parse-names&quot;:false,&quot;dropping-particle&quot;:&quot;&quot;,&quot;non-dropping-particle&quot;:&quot;&quot;},{&quot;family&quot;:&quot;Anderson&quot;,&quot;given&quot;:&quot;Nicole D&quot;,&quot;parse-names&quot;:false,&quot;dropping-particle&quot;:&quot;&quot;,&quot;non-dropping-particle&quot;:&quot;&quot;},{&quot;family&quot;:&quot;Carmody&quot;,&quot;given&quot;:&quot;James&quot;,&quot;parse-names&quot;:false,&quot;dropping-particle&quot;:&quot;&quot;,&quot;non-dropping-particle&quot;:&quot;&quot;},{&quot;family&quot;:&quot;Segal&quot;,&quot;given&quot;:&quot;Zindel&quot;,&quot;parse-names&quot;:false,&quot;dropping-particle&quot;:&quot;V&quot;,&quot;non-dropping-particle&quot;:&quot;&quot;},{&quot;family&quot;:&quot;Abbey&quot;,&quot;given&quot;:&quot;Susan&quot;,&quot;parse-names&quot;:false,&quot;dropping-particle&quot;:&quot;&quot;,&quot;non-dropping-particle&quot;:&quot;&quot;},{&quot;family&quot;:&quot;Speca&quot;,&quot;given&quot;:&quot;Michael&quot;,&quot;parse-names&quot;:false,&quot;dropping-particle&quot;:&quot;&quot;,&quot;non-dropping-particle&quot;:&quot;&quot;},{&quot;family&quot;:&quot;Velting&quot;,&quot;given&quot;:&quot;Drew&quot;,&quot;parse-names&quot;:false,&quot;dropping-particle&quot;:&quot;&quot;,&quot;non-dropping-particle&quot;:&quot;&quot;},{&quot;family&quot;:&quot;Devins&quot;,&quot;given&quot;:&quot;Gerald&quot;,&quot;parse-names&quot;:false,&quot;dropping-particle&quot;:&quot;&quot;,&quot;non-dropping-particle&quot;:&quot;&quot;}],&quot;container-title&quot;:&quot;Clinical Psychology: Science and Practice&quot;,&quot;DOI&quot;:&quot;10.1093/clipsy.bph077&quot;,&quot;ISSN&quot;:&quot;0969-5893&quot;,&quot;issued&quot;:{&quot;date-parts&quot;:[[2006]]},&quot;page&quot;:&quot;230-241&quot;,&quot;publisher&quot;:&quot;Wiley&quot;,&quot;issue&quot;:&quot;3&quot;,&quot;volume&quot;:&quot;11&quot;,&quot;container-title-short&quot;:&quot;&quot;},&quot;isTemporary&quot;:false}],&quot;citationTag&quot;:&quot;MENDELEY_CITATION_v3_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&quot;},{&quot;citationID&quot;:&quot;MENDELEY_CITATION_61da576a-6bc0-4fa4-9a45-1315c3e9d45c&quot;,&quot;properties&quot;:{&quot;noteIndex&quot;:0},&quot;isEdited&quot;:false,&quot;manualOverride&quot;:{&quot;isManuallyOverridden&quot;:true,&quot;citeprocText&quot;:&quot;(Esch, 2014)&quot;,&quot;manualOverrideText&quot;:&quot;Esch (2014)&quot;},&quot;citationItems&quot;:[{&quot;id&quot;:&quot;96d6d2dd-2628-3394-aa95-d79c65eedde0&quot;,&quot;itemData&quot;:{&quot;type&quot;:&quot;article-journal&quot;,&quot;id&quot;:&quot;96d6d2dd-2628-3394-aa95-d79c65eedde0&quot;,&quot;title&quot;:&quot;The Neurobiology of Meditation and Mindfulness&quot;,&quot;author&quot;:[{&quot;family&quot;:&quot;Esch&quot;,&quot;given&quot;:&quot;Tobias&quot;,&quot;parse-names&quot;:false,&quot;dropping-particle&quot;:&quot;&quot;,&quot;non-dropping-particle&quot;:&quot;&quot;}],&quot;accessed&quot;:{&quot;date-parts&quot;:[[2023,5,25]]},&quot;DOI&quot;:&quot;10.1007/978-3-319-01634-4_9&quot;,&quot;issued&quot;:{&quot;date-parts&quot;:[[2014]]},&quot;page&quot;:&quot;153-173&quot;,&quot;abstract&quot;:&quot;(from the chapter) Neurobiological effects of meditation and mindfulness can be detected in the brain as functional and also structural alterations in grey and white matter, particularly in areas related to attention and memory, interoception and sensory processing, or self- and auto-regulation (including control of stress and emotions). On the molecular level, dopamine and melatonin are found to increase, serotonin activity is modulated, and Cortisol as well as norepinephrine have been proven lo decrease. These findings are reflected in functional and structural changes documented by imaging techniques such as fMRI or EEG. They may be relevant for medicine and health care, especially with reference to therapeutic strategies for behavior change and life-style modification, or in association with stress regulation and the treatment of addiction. Neuronal mechanisms of mindfulness can be divided into four areas: Attention regulation, body awareness, emotion regulation and self-perception. (PsycINFO Database Record (c) 2014 APA, all rights reserved)&quot;,&quot;container-title-short&quot;:&quot;&quot;},&quot;isTemporary&quot;:false}],&quot;citationTag&quot;:&quot;MENDELEY_CITATION_v3_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&quot;},{&quot;citationID&quot;:&quot;MENDELEY_CITATION_aa587ffe-3b52-4332-9a7a-0c4af8c26d8e&quot;,&quot;properties&quot;:{&quot;noteIndex&quot;:0},&quot;isEdited&quot;:false,&quot;manualOverride&quot;:{&quot;isManuallyOverridden&quot;:false,&quot;citeprocText&quot;:&quot;(Schulz &amp;#38; Vögele, 2015)&quot;,&quot;manualOverrideText&quot;:&quot;&quot;},&quot;citationItems&quot;:[{&quot;id&quot;:&quot;b4691fd5-5725-31a7-ac4c-1c10e70c457b&quot;,&quot;itemData&quot;:{&quot;type&quot;:&quot;article-journal&quot;,&quot;id&quot;:&quot;b4691fd5-5725-31a7-ac4c-1c10e70c457b&quot;,&quot;title&quot;:&quot;Interoception and stress&quot;,&quot;author&quot;:[{&quot;family&quot;:&quot;Schulz&quot;,&quot;given&quot;:&quot;André&quot;,&quot;parse-names&quot;:false,&quot;dropping-particle&quot;:&quot;&quot;,&quot;non-dropping-particle&quot;:&quot;&quot;},{&quot;family&quot;:&quot;Vögele&quot;,&quot;given&quot;:&quot;Claus&quot;,&quot;parse-names&quot;:false,&quot;dropping-particle&quot;:&quot;&quot;,&quot;non-dropping-particle&quot;:&quot;&quot;}],&quot;container-title&quot;:&quot;Frontiers in Psychology&quot;,&quot;container-title-short&quot;:&quot;Front Psychol&quot;,&quot;accessed&quot;:{&quot;date-parts&quot;:[[2023,5,7]]},&quot;DOI&quot;:&quot;10.3389/FPSYG.2015.00993&quot;,&quot;ISSN&quot;:&quot;16641078&quot;,&quot;PMID&quot;:&quot;26257668&quot;,&quot;URL&quot;:&quot;/pmc/articles/PMC4507149/&quot;,&quot;issued&quot;:{&quot;date-parts&quot;:[[2015,7,20]]},&quot;page&quot;:&quot;993&quot;,&quot;abstract&quot;:&quot;Afferent neural signals are continuously transmitted from visceral organs to the brain. Interoception refers to the processing of visceral-afferent neural signals by the central nervous system, which can finally result in the conscious perception of bodily processes. Interoception can, therefore, be described as a prominent example of information processing on the ascending branch of the brain-body axis. Stress responses involve a complex neuro-behavioral cascade, which is elicited when the organism is confronted with a potentially harmful stimulus. As this stress cascade comprises a range of neural and endocrine pathways, stress can be conceptualized as a communication process on the descending branch of the brain-body axis. Interoception and stress are, therefore, associated via the bi-directional transmission of information on the brain- body axis. It could be argued that excessive and/or enduring activation (e.g., by acute or chronic stress) of neural circuits, which are responsible for successful communication on the brain-body axis, induces malfunction and dysregulation of these information processes. As a consequence, interoceptive signal processing may be altered, resulting n physical symptoms contributing to the development and/or maintenance of body- related mental disorders, which are associated with stress. In the current paper, we summarize findings on psychobiological processes underlying acute and chronic stress and their interaction with interoception. While focusing on the role of the physiological stress axes (hypothalamic-pituitary-adrenocortical axis and autonomic nervous system), psychological factors in acute and chronic stress are also discussed. We propose a positive feedback model involving stress (in particular early life or chronic stress, as well as major adverse events), the dysregulation of physiological stress axes, altered perception of bodily sensations, and the generation of physical symptoms, which may in turn facilitate stress.&quot;,&quot;publisher&quot;:&quot;Frontiers Media SA&quot;,&quot;volume&quot;:&quot;6&quot;},&quot;isTemporary&quot;:false}],&quot;citationTag&quot;:&quot;MENDELEY_CITATION_v3_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&quot;},{&quot;citationID&quot;:&quot;MENDELEY_CITATION_4338c3b9-a91d-4b41-a92f-dff5fa1ae51a&quot;,&quot;properties&quot;:{&quot;noteIndex&quot;:0},&quot;isEdited&quot;:false,&quot;manualOverride&quot;:{&quot;isManuallyOverridden&quot;:false,&quot;citeprocText&quot;:&quot;(Michaelis et al., 2018)&quot;,&quot;manualOverrideText&quot;:&quot;&quot;},&quot;citationItems&quot;:[{&quot;id&quot;:&quot;1a73f8fa-6364-36bc-a00f-f6d5e1ca0468&quot;,&quot;itemData&quot;:{&quot;type&quot;:&quot;article-journal&quot;,&quot;id&quot;:&quot;1a73f8fa-6364-36bc-a00f-f6d5e1ca0468&quot;,&quot;title&quot;:&quot;\&quot;Seizures have become a means of somehow learning things about myself\&quot; - A qualitative study of the development of self-efficacy and mastery during a psychotherapeutic intervention for people with epilepsy&quot;,&quot;author&quot;:[{&quot;family&quot;:&quot;Michaelis&quot;,&quot;given&quot;:&quot;Rosa&quot;,&quot;parse-names&quot;:false,&quot;dropping-particle&quot;:&quot;&quot;,&quot;non-dropping-particle&quot;:&quot;&quot;},{&quot;family&quot;:&quot;Niedermann&quot;,&quot;given&quot;:&quot;Christina&quot;,&quot;parse-names&quot;:false,&quot;dropping-particle&quot;:&quot;&quot;,&quot;non-dropping-particle&quot;:&quot;&quot;},{&quot;family&quot;:&quot;Reuber&quot;,&quot;given&quot;:&quot;Markus&quot;,&quot;parse-names&quot;:false,&quot;dropping-particle&quot;:&quot;&quot;,&quot;non-dropping-particle&quot;:&quot;&quot;},{&quot;family&quot;:&quot;Kuthe&quot;,&quot;given&quot;:&quot;Martin&quot;,&quot;parse-names&quot;:false,&quot;dropping-particle&quot;:&quot;&quot;,&quot;non-dropping-particle&quot;:&quot;&quot;},{&quot;family&quot;:&quot;Berger&quot;,&quot;given&quot;:&quot;Bettina&quot;,&quot;parse-names&quot;:false,&quot;dropping-particle&quot;:&quot;&quot;,&quot;non-dropping-particle&quot;:&quot;&quot;}],&quot;container-title&quot;:&quot;Epilepsy &amp; behavior : E&amp;B&quot;,&quot;container-title-short&quot;:&quot;Epilepsy Behav&quot;,&quot;accessed&quot;:{&quot;date-parts&quot;:[[2023,5,7]]},&quot;DOI&quot;:&quot;10.1016/J.YEBEH.2018.04.019&quot;,&quot;ISSN&quot;:&quot;1525-5069&quot;,&quot;PMID&quot;:&quot;29803945&quot;,&quot;URL&quot;:&quot;https://pubmed.ncbi.nlm.nih.gov/29803945/&quot;,&quot;issued&quot;:{&quot;date-parts&quot;:[[2018,7,1]]},&quot;page&quot;:&quot;152-161&quot;,&quot;abstract&quot;:&quot;Background: Psychological interventions may enhance health-related quality of life in people with epilepsy. The concepts of self-efficacy and mastery may be particularly relevant in the context of epilepsy. To date, the investigation of psychological interventions has not included a qualitative analysis of the effects of such interventions on the interrelation between mastery and general and epilepsy-specific self-efficacy. This qualitative study aimed to explore the relationship between the lived experiences of these concepts in people with epilepsy who participated in a resource-oriented and mindfulness-based psychotherapeutic intervention delivered on a one-to-one basis in an outpatient setting. Methods: Semi-structured pre- and postintervention interviews were conducted with people with epilepsy who participated in a six-month resource-oriented and mindfulness-based intervention. The formulation of intervention goals was based on the preintervention interviews. The intervention involved regular one-to-one interactions with the therapist, journal-keeping, and mindfulness-based relaxation. Qualitative content analysis of pre- and posttherapy interviews was conducted to characterize changes in subjective experiences. Results: Nine people with epilepsy aged 18–59 years participated in 9 to 22 (median 13) sessions. The following six main themes emerged: (A) Encouragement of individual solutions, (B) Awareness of the link of personal traits with seizure-related worries, (C) How to develop self-efficacy, (D) Shaping everyday life in a way that is good for oneself (general self-efficacy), (E) Coping with seizures (seizure-related self-efficacy), (F) Epilepsy as a means of increasing self-knowledge and control over one's life (sense of mastery). The patients’ development of self-efficacy was motivated by their personal initial goals and facilitated by the encouragement to find individual solutions and an increased awareness of the link of personal traits with seizure-related worries. A sense of mastery only emerged through the development of general self-efficacy and as a result of the active self-examination prompted by the challenge of living with epilepsy. Conclusion: The qualitative differences observed before and after a psychotherapeutic intervention for individuals with epilepsy increase our understanding of the complex process of psychotherapy-associated change involving self-efficacy and mastery and highlight the contribution that qualitative research approaches can make.&quot;,&quot;publisher&quot;:&quot;Epilepsy Behav&quot;,&quot;volume&quot;:&quot;84&quot;},&quot;isTemporary&quot;:false}],&quot;citationTag&quot;:&quot;MENDELEY_CITATION_v3_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&quot;},{&quot;citationID&quot;:&quot;MENDELEY_CITATION_5860c5b8-1189-4045-b43f-eaaaea7ea933&quot;,&quot;properties&quot;:{&quot;noteIndex&quot;:0},&quot;isEdited&quot;:false,&quot;manualOverride&quot;:{&quot;isManuallyOverridden&quot;:false,&quot;citeprocText&quot;:&quot;(Kotwas et al., 2016)&quot;,&quot;manualOverrideText&quot;:&quot;&quot;},&quot;citationItems&quot;:[{&quot;id&quot;:&quot;f987bcc5-2396-32d3-bb58-87d8591c3ea2&quot;,&quot;itemData&quot;:{&quot;type&quot;:&quot;article-journal&quot;,&quot;id&quot;:&quot;f987bcc5-2396-32d3-bb58-87d8591c3ea2&quot;,&quot;title&quot;:&quot;Self-control of epileptic seizures by nonpharmacological strategies&quot;,&quot;author&quot;:[{&quot;family&quot;:&quot;Kotwas&quot;,&quot;given&quot;:&quot;Iliana&quot;,&quot;parse-names&quot;:false,&quot;dropping-particle&quot;:&quot;&quot;,&quot;non-dropping-particle&quot;:&quot;&quot;},{&quot;family&quot;:&quot;McGonigal&quot;,&quot;given&quot;:&quot;Aileen&quot;,&quot;parse-names&quot;:false,&quot;dropping-particle&quot;:&quot;&quot;,&quot;non-dropping-particle&quot;:&quot;&quot;},{&quot;family&quot;:&quot;Trebuchon&quot;,&quot;given&quot;:&quot;Agnès&quot;,&quot;parse-names&quot;:false,&quot;dropping-particle&quot;:&quot;&quot;,&quot;non-dropping-particle&quot;:&quot;&quot;},{&quot;family&quot;:&quot;Bastien-Toniazzo&quot;,&quot;given&quot;:&quot;Mireille&quot;,&quot;parse-names&quot;:false,&quot;dropping-particle&quot;:&quot;&quot;,&quot;non-dropping-particle&quot;:&quot;&quot;},{&quot;family&quot;:&quot;Nagai&quot;,&quot;given&quot;:&quot;Yoko&quot;,&quot;parse-names&quot;:false,&quot;dropping-particle&quot;:&quot;&quot;,&quot;non-dropping-particle&quot;:&quot;&quot;},{&quot;family&quot;:&quot;Bartolomei&quot;,&quot;given&quot;:&quot;Fabrice&quot;,&quot;parse-names&quot;:false,&quot;dropping-particle&quot;:&quot;&quot;,&quot;non-dropping-particle&quot;:&quot;&quot;},{&quot;family&quot;:&quot;Micoulaud-Franchi&quot;,&quot;given&quot;:&quot;Jean Arthur&quot;,&quot;parse-names&quot;:false,&quot;dropping-particle&quot;:&quot;&quot;,&quot;non-dropping-particle&quot;:&quot;&quot;}],&quot;container-title&quot;:&quot;Epilepsy &amp; Behavior&quot;,&quot;accessed&quot;:{&quot;date-parts&quot;:[[2023,5,3]]},&quot;DOI&quot;:&quot;10.1016/J.YEBEH.2015.12.023&quot;,&quot;ISSN&quot;:&quot;1525-5050&quot;,&quot;PMID&quot;:&quot;26780213&quot;,&quot;issued&quot;:{&quot;date-parts&quot;:[[2016,2,1]]},&quot;page&quot;:&quot;157-164&quot;,&quot;abstract&quot;:&quot;Despite the unpredictability of epileptic seizures, many patients report that they can anticipate seizure occurrence. Using certain alert symptoms (i.e., auras, prodromes, precipitant factors), patients can adopt behaviors to avoid injury during and after the seizure or may implement spontaneous cognitive and emotional strategies to try to control the seizure itself. From the patient's view point, potential means of enhancing seizure prediction and developing seizure control supports are seen as very important issues, especially when the epilepsy is drug-resistant. In this review, we first describe how some patients anticipate their seizures and whether this is effective in terms of seizure prediction. Secondly, we examine how these anticipatory elements might help patients to prevent or control their seizures and how the patient's neuropsychological profile, specifically parameters of perceived self-control (PSC) and locus of control (LOC), might impact these strategies and quality of life (QOL). Thirdly, we review the external supports that can help patients to better predict seizures. Finally, we look at nonpharmacological means of increasing perceived self-control and achieving potential reduction of seizure frequency (i.e., stress-based and arousal-based strategies). In the past few years, various approaches for detection and control of seizures have gained greater interest, but more research is needed to confirm a positive effect on seizure frequency as well as on QOL.&quot;,&quot;publisher&quot;:&quot;Academic Press&quot;,&quot;volume&quot;:&quot;55&quot;,&quot;container-title-short&quot;:&quot;&quot;},&quot;isTemporary&quot;:false}],&quot;citationTag&quot;:&quot;MENDELEY_CITATION_v3_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&quot;},{&quot;citationID&quot;:&quot;MENDELEY_CITATION_b4300e01-248f-403c-a47b-07daeee19dbc&quot;,&quot;properties&quot;:{&quot;noteIndex&quot;:0},&quot;isEdited&quot;:false,&quot;manualOverride&quot;:{&quot;isManuallyOverridden&quot;:false,&quot;citeprocText&quot;:&quot;(Mackay et al., 2017)&quot;,&quot;manualOverrideText&quot;:&quot;&quot;},&quot;citationItems&quot;:[{&quot;id&quot;:&quot;77cc45a2-31b1-3632-bc04-77b888991bcb&quot;,&quot;itemData&quot;:{&quot;type&quot;:&quot;article-journal&quot;,&quot;id&quot;:&quot;77cc45a2-31b1-3632-bc04-77b888991bcb&quot;,&quot;title&quot;:&quot;Seizure self-prediction: Myth or missed opportunity?&quot;,&quot;author&quot;:[{&quot;family&quot;:&quot;Mackay&quot;,&quot;given&quot;:&quot;Michael&quot;,&quot;parse-names&quot;:false,&quot;dropping-particle&quot;:&quot;&quot;,&quot;non-dropping-particle&quot;:&quot;&quot;},{&quot;family&quot;:&quot;Mahlaba&quot;,&quot;given&quot;:&quot;Hector&quot;,&quot;parse-names&quot;:false,&quot;dropping-particle&quot;:&quot;&quot;,&quot;non-dropping-particle&quot;:&quot;&quot;},{&quot;family&quot;:&quot;Gavillet&quot;,&quot;given&quot;:&quot;Erika&quot;,&quot;parse-names&quot;:false,&quot;dropping-particle&quot;:&quot;&quot;,&quot;non-dropping-particle&quot;:&quot;&quot;},{&quot;family&quot;:&quot;Whittaker&quot;,&quot;given&quot;:&quot;Roger G.&quot;,&quot;parse-names&quot;:false,&quot;dropping-particle&quot;:&quot;&quot;,&quot;non-dropping-particle&quot;:&quot;&quot;}],&quot;container-title&quot;:&quot;Seizure&quot;,&quot;container-title-short&quot;:&quot;Seizure&quot;,&quot;accessed&quot;:{&quot;date-parts&quot;:[[2023,5,3]]},&quot;DOI&quot;:&quot;10.1016/J.SEIZURE.2017.08.011&quot;,&quot;ISSN&quot;:&quot;1532-2688&quot;,&quot;PMID&quot;:&quot;28892758&quot;,&quot;URL&quot;:&quot;https://pubmed.ncbi.nlm.nih.gov/28892758/&quot;,&quot;issued&quot;:{&quot;date-parts&quot;:[[2017,10,1]]},&quot;page&quot;:&quot;180-185&quot;,&quot;abstract&quot;:&quot;Purpose Many patients report being able to predict their own seizures, and yet most seizures appear to strike out of the blue. This inherent contradiction makes the topic of seizure self-prediction controversial as well as difficult to study. Here we review the evidence for whether this ability exists, how many patients are capable of self-prediction and the nature of this capability, and whether this could provide a target for intervention. Methods Systematic searches of bibliographic databases including MEDLINE, EMBASE and PsycINFO through OVID were performed to identify relevant papers which were then screened by the study authors for inclusion in the study. 18 papers were selected for inclusion as the focus of this review. Results On the basis of two studies, between 17% and 41% of patients demonstrate a significantly greater than chance ability to predict an upcoming seizure in the following 12-h time window. This risk is correlated with self-reported anxiety, stress, sleep deprivation, mood and certain prodromal symptoms. However, there is no evidence for any subjective experience which directly heralds an imminent seizure. Thus, while patients may be aware of seizure risk, and have some ability to predict seizure occurrence over a wide time window, they are unable to subjectively recognise seizure onset in advance. Conclusion Utilising subjectively acquired knowledge of seizure risk may provide a widely implementable tool for targeted intervention. The risk fluctuates over a time course appropriate for pharmacotherapy which may improve seizure control and the side-effect profile of anti-epileptic medication.&quot;,&quot;publisher&quot;:&quot;Seizure&quot;,&quot;volume&quot;:&quot;51&quot;},&quot;isTemporary&quot;:false}],&quot;citationTag&quot;:&quot;MENDELEY_CITATION_v3_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&quot;},{&quot;citationID&quot;:&quot;MENDELEY_CITATION_0b834790-9426-4524-9a1e-a21ca053c48e&quot;,&quot;properties&quot;:{&quot;noteIndex&quot;:0},&quot;isEdited&quot;:false,&quot;manualOverride&quot;:{&quot;isManuallyOverridden&quot;:false,&quot;citeprocText&quot;:&quot;(Baslet et al., 2015)&quot;,&quot;manualOverrideText&quot;:&quot;&quot;},&quot;citationItems&quot;:[{&quot;id&quot;:&quot;bb2aac29-7d79-3aff-8bac-a4af548c2fbd&quot;,&quot;itemData&quot;:{&quot;type&quot;:&quot;article-journal&quot;,&quot;id&quot;:&quot;bb2aac29-7d79-3aff-8bac-a4af548c2fbd&quot;,&quot;title&quot;:&quot;Treatment of psychogenic nonepileptic seizures: updated review and findings from a mindfulness-based intervention case series&quot;,&quot;author&quot;:[{&quot;family&quot;:&quot;Baslet&quot;,&quot;given&quot;:&quot;Gaston&quot;,&quot;parse-names&quot;:false,&quot;dropping-particle&quot;:&quot;&quot;,&quot;non-dropping-particle&quot;:&quot;&quot;},{&quot;family&quot;:&quot;Dworetzky&quot;,&quot;given&quot;:&quot;Barbara&quot;,&quot;parse-names&quot;:false,&quot;dropping-particle&quot;:&quot;&quot;,&quot;non-dropping-particle&quot;:&quot;&quot;},{&quot;family&quot;:&quot;Perez&quot;,&quot;given&quot;:&quot;David L.&quot;,&quot;parse-names&quot;:false,&quot;dropping-particle&quot;:&quot;&quot;,&quot;non-dropping-particle&quot;:&quot;&quot;},{&quot;family&quot;:&quot;Oser&quot;,&quot;given&quot;:&quot;Megan&quot;,&quot;parse-names&quot;:false,&quot;dropping-particle&quot;:&quot;&quot;,&quot;non-dropping-particle&quot;:&quot;&quot;}],&quot;container-title&quot;:&quot;Clinical EEG and neuroscience&quot;,&quot;container-title-short&quot;:&quot;Clin EEG Neurosci&quot;,&quot;accessed&quot;:{&quot;date-parts&quot;:[[2023,5,4]]},&quot;DOI&quot;:&quot;10.1177/1550059414557025&quot;,&quot;ISSN&quot;:&quot;1550-0594&quot;,&quot;PMID&quot;:&quot;25465435&quot;,&quot;URL&quot;:&quot;https://pubmed.ncbi.nlm.nih.gov/25465435/&quot;,&quot;issued&quot;:{&quot;date-parts&quot;:[[2015,1,19]]},&quot;page&quot;:&quot;54-64&quot;,&quot;abstract&quot;:&quot;Psychogenic nonepileptic seizures (PNES) were first described in the medical literature in the 19th century, as seizure-like attacks not related to an identified central nervous system lesion, and are currently classified as a conversion disorder, according to the Diagnostic and Statistical Manual of Mental Disorders, fifth edition (DSM-5). While a universally accepted and unifying etiological model does not yet exist, several risk factors have been identified. Management of PNES should be based on interdisciplinary collaboration, targeting modifiable risk factors. The first treatment phase in PNES is patient engagement, which is challenging given the demonstrated low rates of treatment retention. Acute interventions constitute the next phase in treatment, and most research studies focus on short-term evidence-based interventions. Randomized controlled pilot trials support cognitive-behavioral therapy. Other psychotherapeutic and psychopharmacological interventions have been less well-studied using controlled and uncontrolled trials. Within the discussion of acute interventions, we present a preliminary evaluation for feasibility of a mindfulness-based psychotherapy protocol in a very small sample of PNES patients. We demonstrated in 6 subjects that this intervention is feasible in real-life clinical scenarios and warrants further investigation in larger scale studies. The final treatment phase is long-term follow-up. Long-term outcome studies in PNES show that a significant proportion of patients remains symptomatic and experiences continued impairments in quality of life and functionality. We believe that PNES should be understood as a disease that requires different types of intervention during the various phases of treatment.&quot;,&quot;publisher&quot;:&quot;Clin EEG Neurosci&quot;,&quot;issue&quot;:&quot;1&quot;,&quot;volume&quot;:&quot;46&quot;},&quot;isTemporary&quot;:false}],&quot;citationTag&quot;:&quot;MENDELEY_CITATION_v3_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&quot;},{&quot;citationID&quot;:&quot;MENDELEY_CITATION_af53a4d1-a5e2-4724-9739-af4803367d98&quot;,&quot;properties&quot;:{&quot;noteIndex&quot;:0},&quot;isEdited&quot;:false,&quot;manualOverride&quot;:{&quot;isManuallyOverridden&quot;:false,&quot;citeprocText&quot;:&quot;(Perez &amp;#38; LaFrance Jr., 2016)&quot;,&quot;manualOverrideText&quot;:&quot;&quot;},&quot;citationItems&quot;:[{&quot;id&quot;:&quot;f87b5cba-1f0c-3f0e-9fd0-e78623e6a20b&quot;,&quot;itemData&quot;:{&quot;type&quot;:&quot;article-journal&quot;,&quot;id&quot;:&quot;f87b5cba-1f0c-3f0e-9fd0-e78623e6a20b&quot;,&quot;title&quot;:&quot;Nonepileptic seizures: an updated review&quot;,&quot;author&quot;:[{&quot;family&quot;:&quot;Perez&quot;,&quot;given&quot;:&quot;David L&quot;,&quot;parse-names&quot;:false,&quot;dropping-particle&quot;:&quot;&quot;,&quot;non-dropping-particle&quot;:&quot;&quot;},{&quot;family&quot;:&quot;LaFrance Jr.&quot;,&quot;given&quot;:&quot;W Curt&quot;,&quot;parse-names&quot;:false,&quot;dropping-particle&quot;:&quot;&quot;,&quot;non-dropping-particle&quot;:&quot;&quot;}],&quot;container-title&quot;:&quot;CNS spectrums&quot;,&quot;container-title-short&quot;:&quot;CNS Spectr&quot;,&quot;DOI&quot;:&quot;10.1017/S109285291600002X&quot;,&quot;ISSN&quot;:&quot;1092-8529&quot;,&quot;PMID&quot;:&quot;26996600&quot;,&quot;URL&quot;:&quot;https://pubmed.ncbi.nlm.nih.gov/26996600&quot;,&quot;issued&quot;:{&quot;date-parts&quot;:[[2016]]},&quot;page&quot;:&quot;239-246&quot;,&quot;language&quot;:&quot;eng&quot;,&quot;abstract&quot;:&quot;Psychogenic nonepileptic seizures (PNES) are a functional neurological disorder/conversion disorder subtype, which are neurobehavioral conditions at the interface of neurology and psychiatry. Significant advancements over the past decade have been made in the diagnosis, management, and neurobiological understanding of PNES. This article reviews published PNES research focusing on semiologic features that distinguish PNES from epileptic seizures, consensus diagnostic criteria, the intersection of PNES and other comorbidities, neurobiological studies, evidence-based treatment interventions, and outcome studies. Epidemiology and healthcare utilization studies highlight a continued unmet medical need in the comprehensive care of PNES. Consensus guidelines for diagnostic certainty are based on clinical history, semiology of witnessed typical event(s), and EEG findings. While certain semiologic features may aid in the diagnosis of PNES, the gold standard remains capturing a typical event on video electroencephalography (EEG) showing the absence of epileptiform activity with history and semiology consistent with PNES. Medical-neurologic and psychiatric comorbidities are prevalent in PNES; these should be assessed in diagnostic evaluations and integrated into treatment interventions and prognostic considerations. Several studies, including a pilot, multicenter, randomized clinical trial, have now demonstrated that a cognitive behavioral therapy-informed psychotherapy is an efficacious treatment for PNES, and additional efforts are necessary to evaluate the utility of pharmacologic and other psychotherapy treatments. Neuroimaging studies, while requiring replication, suggest that PNES may occur in the context of alterations within and across sensorimotor, emotion regulation/processing, cognitive control, and multimodal integration brain systems. Future research could investigate similarities and differences between PNES and other somatic symptom disorders.&quot;,&quot;edition&quot;:&quot;2016/03/21&quot;,&quot;issue&quot;:&quot;3&quot;,&quot;volume&quot;:&quot;21&quot;},&quot;isTemporary&quot;:false}],&quot;citationTag&quot;:&quot;MENDELEY_CITATION_v3_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&quot;},{&quot;citationID&quot;:&quot;MENDELEY_CITATION_96178d20-f73b-4a0b-98d8-f745538fcfae&quot;,&quot;properties&quot;:{&quot;noteIndex&quot;:0},&quot;isEdited&quot;:false,&quot;manualOverride&quot;:{&quot;isManuallyOverridden&quot;:false,&quot;citeprocText&quot;:&quot;(Lundgren et al., 2008)&quot;,&quot;manualOverrideText&quot;:&quot;&quot;},&quot;citationItems&quot;:[{&quot;id&quot;:&quot;ba5c1a1a-c5df-34f2-a4f0-2bc8e10f468c&quot;,&quot;itemData&quot;:{&quot;type&quot;:&quot;article-journal&quot;,&quot;id&quot;:&quot;ba5c1a1a-c5df-34f2-a4f0-2bc8e10f468c&quot;,&quot;title&quot;:&quot;Evaluation of mediators of change in the treatment of epilepsy with acceptance and commitment therapy&quot;,&quot;author&quot;:[{&quot;family&quot;:&quot;Lundgren&quot;,&quot;given&quot;:&quot;Tobias&quot;,&quot;parse-names&quot;:false,&quot;dropping-particle&quot;:&quot;&quot;,&quot;non-dropping-particle&quot;:&quot;&quot;},{&quot;family&quot;:&quot;Dahl&quot;,&quot;given&quot;:&quot;Jo Anne&quot;,&quot;parse-names&quot;:false,&quot;dropping-particle&quot;:&quot;&quot;,&quot;non-dropping-particle&quot;:&quot;&quot;},{&quot;family&quot;:&quot;Hayes&quot;,&quot;given&quot;:&quot;Steven C.&quot;,&quot;parse-names&quot;:false,&quot;dropping-particle&quot;:&quot;&quot;,&quot;non-dropping-particle&quot;:&quot;&quot;}],&quot;container-title&quot;:&quot;Journal of Behavioral Medicine&quot;,&quot;container-title-short&quot;:&quot;J Behav Med&quot;,&quot;accessed&quot;:{&quot;date-parts&quot;:[[2023,5,4]]},&quot;DOI&quot;:&quot;10.1007/S10865-008-9151-X/TABLES/4&quot;,&quot;ISSN&quot;:&quot;01607715&quot;,&quot;PMID&quot;:&quot;18320301&quot;,&quot;URL&quot;:&quot;https://link.springer.com/article/10.1007/s10865-008-9151-x&quot;,&quot;issued&quot;:{&quot;date-parts&quot;:[[2008,6,6]]},&quot;page&quot;:&quot;225-235&quot;,&quot;abstract&quot;:&quot;The present study examined the mediators of change accounting for outcomes of a previously published study on acceptance and commitment therapy for the self-management of epilepsy and its life restricting impact. Conducted with 27 poor South Africans, a 9-h ACT protocol that included seizure management methods was shown to greatly reduce epileptic seizures and to increase quality of life over the next year as compared to an attention placebo control. A series of bootstrapped non-parametric multiple mediator tests showed that pre to follow-up changes in: seizures, quality of life, and well-being outcomes were mediated to a degree by ACT process measures of epilepsy-related acceptance or defusion, values attainment, persistence in the face of barriers, or their combination. The results of this study contribute to the understanding of the contextual conditioning mechanisms at work for those suffering from epilepsy and may show that helping people live vital lives may also help to reduce seizures. © 2008 Springer Science+Business Media, LLC.&quot;,&quot;publisher&quot;:&quot;Springer&quot;,&quot;issue&quot;:&quot;3&quot;,&quot;volume&quot;:&quot;31&quot;},&quot;isTemporary&quot;:false}],&quot;citationTag&quot;:&quot;MENDELEY_CITATION_v3_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&quot;},{&quot;citationID&quot;:&quot;MENDELEY_CITATION_b8e963fa-793a-45f4-9019-496dc146639a&quot;,&quot;properties&quot;:{&quot;noteIndex&quot;:0},&quot;isEdited&quot;:false,&quot;manualOverride&quot;:{&quot;isManuallyOverridden&quot;:false,&quot;citeprocText&quot;:&quot;(Ludwig et al., 2018; Pick et al., 2019)&quot;,&quot;manualOverrideText&quot;:&quot;&quot;},&quot;citationItems&quot;:[{&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id&quot;:&quot;5e062b2e-7f86-30cf-a50a-8244523d9d3d&quot;,&quot;itemData&quot;:{&quot;type&quot;:&quot;article-journal&quot;,&quot;id&quot;:&quot;5e062b2e-7f86-30cf-a50a-8244523d9d3d&quot;,&quot;title&quot;:&quot;Stressful life events and maltreatment in conversion (functional neurological) disorder: systematic review and meta-analysis of case-control studies&quot;,&quot;author&quot;:[{&quot;family&quot;:&quot;Ludwig&quot;,&quot;given&quot;:&quot;Lea&quot;,&quot;parse-names&quot;:false,&quot;dropping-particle&quot;:&quot;&quot;,&quot;non-dropping-particle&quot;:&quot;&quot;},{&quot;family&quot;:&quot;Pasman&quot;,&quot;given&quot;:&quot;Joëlle A&quot;,&quot;parse-names&quot;:false,&quot;dropping-particle&quot;:&quot;&quot;,&quot;non-dropping-particle&quot;:&quot;&quot;},{&quot;family&quot;:&quot;Nicholson&quot;,&quot;given&quot;:&quot;Timothy&quot;,&quot;parse-names&quot;:false,&quot;dropping-particle&quot;:&quot;&quot;,&quot;non-dropping-particle&quot;:&quot;&quot;},{&quot;family&quot;:&quot;Aybek&quot;,&quot;given&quot;:&quot;Selma&quot;,&quot;parse-names&quot;:false,&quot;dropping-particle&quot;:&quot;&quot;,&quot;non-dropping-particle&quot;:&quot;&quot;},{&quot;family&quot;:&quot;David&quot;,&quot;given&quot;:&quot;Anthony S&quot;,&quot;parse-names&quot;:false,&quot;dropping-particle&quot;:&quot;&quot;,&quot;non-dropping-particle&quot;:&quot;&quot;},{&quot;family&quot;:&quot;Tuck&quot;,&quot;given&quot;:&quot;Sharon&quot;,&quot;parse-names&quot;:false,&quot;dropping-particle&quot;:&quot;&quot;,&quot;non-dropping-particle&quot;:&quot;&quot;},{&quot;family&quot;:&quot;Kanaan&quot;,&quot;given&quot;:&quot;Richard A&quot;,&quot;parse-names&quot;:false,&quot;dropping-particle&quot;:&quot;&quot;,&quot;non-dropping-particle&quot;:&quot;&quot;},{&quot;family&quot;:&quot;Roelofs&quot;,&quot;given&quot;:&quot;Karin&quot;,&quot;parse-names&quot;:false,&quot;dropping-particle&quot;:&quot;&quot;,&quot;non-dropping-particle&quot;:&quot;&quot;},{&quot;family&quot;:&quot;Carson&quot;,&quot;given&quot;:&quot;Alan&quot;,&quot;parse-names&quot;:false,&quot;dropping-particle&quot;:&quot;&quot;,&quot;non-dropping-particle&quot;:&quot;&quot;},{&quot;family&quot;:&quot;Stone&quot;,&quot;given&quot;:&quot;Jon&quot;,&quot;parse-names&quot;:false,&quot;dropping-particle&quot;:&quot;&quot;,&quot;non-dropping-particle&quot;:&quot;&quot;}],&quot;container-title&quot;:&quot;The Lancet Psychiatry&quot;,&quot;container-title-short&quot;:&quot;Lancet Psychiatry&quot;,&quot;DOI&quot;:&quot;10.1016/s2215-0366(18)30051-8&quot;,&quot;ISSN&quot;:&quot;2215-0366&quot;,&quot;issued&quot;:{&quot;date-parts&quot;:[[2018]]},&quot;page&quot;:&quot;307-320&quot;,&quot;publisher&quot;:&quot;Elsevier BV&quot;,&quot;issue&quot;:&quot;4&quot;,&quot;volume&quot;:&quot;5&quot;},&quot;isTemporary&quot;:false}],&quot;citationTag&quot;:&quot;MENDELEY_CITATION_v3_eyJjaXRhdGlvbklEIjoiTUVOREVMRVlfQ0lUQVRJT05fYjhlOTYzZmEtNzkzYS00NWY0LTkwMTktNDk2ZGMxNDY2MzlhIiwicHJvcGVydGllcyI6eyJub3RlSW5kZXgiOjB9LCJpc0VkaXRlZCI6ZmFsc2UsIm1hbnVhbE92ZXJyaWRlIjp7ImlzTWFudWFsbHlPdmVycmlkZGVuIjpmYWxzZSwiY2l0ZXByb2NUZXh0IjoiKEx1ZHdpZyBldCBhbC4sIDIwMTg7IFBpY2sgZXQgYWwuLCAyMDE5KSIsIm1hbnVhbE92ZXJyaWRlVGV4dCI6IiJ9LCJjaXRhdGlvbkl0ZW1zIjpb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&quot;},{&quot;citationID&quot;:&quot;MENDELEY_CITATION_4e7d1ca5-27dd-49a1-8414-80bd59702f58&quot;,&quot;properties&quot;:{&quot;noteIndex&quot;:0},&quot;isEdited&quot;:false,&quot;manualOverride&quot;:{&quot;isManuallyOverridden&quot;:false,&quot;citeprocText&quot;:&quot;(W. E. Whitehead et al., 1977)&quot;,&quot;manualOverrideText&quot;:&quot;&quot;},&quot;citationItems&quot;:[{&quot;id&quot;:&quot;d8487ab8-7736-3065-854c-ab42c1f6c059&quot;,&quot;itemData&quot;:{&quot;type&quot;:&quot;article-journal&quot;,&quot;id&quot;:&quot;d8487ab8-7736-3065-854c-ab42c1f6c059&quot;,&quot;title&quot;:&quot;Relation of heart rate control to heartbeat perception&quot;,&quot;author&quot;:[{&quot;family&quot;:&quot;Whitehead&quot;,&quot;given&quot;:&quot;William E.&quot;,&quot;parse-names&quot;:false,&quot;dropping-particle&quot;:&quot;&quot;,&quot;non-dropping-particle&quot;:&quot;&quot;},{&quot;family&quot;:&quot;Drescher&quot;,&quot;given&quot;:&quot;Vincent M.&quot;,&quot;parse-names&quot;:false,&quot;dropping-particle&quot;:&quot;&quot;,&quot;non-dropping-particle&quot;:&quot;&quot;},{&quot;family&quot;:&quot;Heiman&quot;,&quot;given&quot;:&quot;Peter&quot;,&quot;parse-names&quot;:false,&quot;dropping-particle&quot;:&quot;&quot;,&quot;non-dropping-particle&quot;:&quot;&quot;},{&quot;family&quot;:&quot;Blackwell&quot;,&quot;given&quot;:&quot;Barry&quot;,&quot;parse-names&quot;:false,&quot;dropping-particle&quot;:&quot;&quot;,&quot;non-dropping-particle&quot;:&quot;&quot;}],&quot;container-title&quot;:&quot;Biofeedback and Self-Regulation&quot;,&quot;container-title-short&quot;:&quot;Biofeedback Self Regul&quot;,&quot;accessed&quot;:{&quot;date-parts&quot;:[[2023,5,7]]},&quot;DOI&quot;:&quot;10.1007/BF00998623/METRICS&quot;,&quot;ISSN&quot;:&quot;15733270&quot;,&quot;URL&quot;:&quot;https://link.springer.com/article/10.1007/BF00998623&quot;,&quot;issued&quot;:{&quot;date-parts&quot;:[[1977,12,1]]},&quot;page&quot;:&quot;371-392&quot;,&quot;abstract&quot;:&quot;The relation of heartbeat perception to voluntary control of heart rate (HR) and to learning of enhanced HR control during feedback was studied in three experiments. In Experiment I heartbeat perception was unrelated to voluntary control of HR but was negatively correlated with HR learning. Experiments II and III showed that heartbeat perception was unrelated to either initial voluntary control or learning and suggested that sampling error accounted for the negative correlation in Experiment I. Experiment I also demonstrated that learned increases in HR are retained for at least 10 weeks following feedback training. Autonomic Perception Questionnaire scores were not predictive of voluntary HR control or learning. © 1978 Plenum Publishing Corporation.&quot;,&quot;publisher&quot;:&quot;Kluwer Academic Publishers-Plenum Publishers&quot;,&quot;issue&quot;:&quot;4&quot;,&quot;volume&quot;:&quot;2&quot;},&quot;isTemporary&quot;:false}],&quot;citationTag&quot;:&quot;MENDELEY_CITATION_v3_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&quot;},{&quot;citationID&quot;:&quot;MENDELEY_CITATION_c19083fc-def5-4c86-b89f-398d63525700&quot;,&quot;properties&quot;:{&quot;noteIndex&quot;:0},&quot;isEdited&quot;:false,&quot;manualOverride&quot;:{&quot;isManuallyOverridden&quot;:false,&quot;citeprocText&quot;:&quot;(Leising et al., 2009)&quot;,&quot;manualOverrideText&quot;:&quot;&quot;},&quot;citationItems&quot;:[{&quot;id&quot;:&quot;bae6197b-ab05-3a24-b90f-2745bfe6ba65&quot;,&quot;itemData&quot;:{&quot;type&quot;:&quot;article-journal&quot;,&quot;id&quot;:&quot;bae6197b-ab05-3a24-b90f-2745bfe6ba65&quot;,&quot;title&quot;:&quot;The Toronto Alexithymia Scale (TAS-20): A measure of general psychological distress&quot;,&quot;author&quot;:[{&quot;family&quot;:&quot;Leising&quot;,&quot;given&quot;:&quot;Daniel&quot;,&quot;parse-names&quot;:false,&quot;dropping-particle&quot;:&quot;&quot;,&quot;non-dropping-particle&quot;:&quot;&quot;},{&quot;family&quot;:&quot;Grande&quot;,&quot;given&quot;:&quot;Tilman&quot;,&quot;parse-names&quot;:false,&quot;dropping-particle&quot;:&quot;&quot;,&quot;non-dropping-particle&quot;:&quot;&quot;},{&quot;family&quot;:&quot;Faber&quot;,&quot;given&quot;:&quot;Rainer&quot;,&quot;parse-names&quot;:false,&quot;dropping-particle&quot;:&quot;&quot;,&quot;non-dropping-particle&quot;:&quot;&quot;}],&quot;container-title&quot;:&quot;Journal of Research in Personality&quot;,&quot;container-title-short&quot;:&quot;J Res Pers&quot;,&quot;accessed&quot;:{&quot;date-parts&quot;:[[2023,5,7]]},&quot;DOI&quot;:&quot;10.1016/J.JRP.2009.03.009&quot;,&quot;ISSN&quot;:&quot;00926566&quot;,&quot;issued&quot;:{&quot;date-parts&quot;:[[2009,8]]},&quot;page&quot;:&quot;707-710&quot;,&quot;abstract&quot;:&quot;The Toronto Alexithymia Scale (Bagby, R. M., Parker, J. D. A., &amp; Taylor, G. J. (1994). The twenty-item Toronto Alexithymia Scale-I. Item selection and cross-validation of the factor structure. Journal of Psychosomatic Research, 38, 23-32.) is the most commonly used measure of Alexithymia (= difficulties identifying and describing one's own feelings). Sixty-three persons (34 psychiatric inpatients, 29 healthy controls) first filled in the TAS-20 and were then interviewed about their interpersonal relationships. Two raters coded the emotional experiences that the participants reported during these interviews. Contrary to expectations, participants with higher TAS-20 scores reported more emotions (particularly negative ones), and more different emotions, questioning the validity of the TAS-20 as a measure of Alexithymia. Based on correlation patterns and a joint factor analysis with two well-established measures of psychopathology, it is concluded that the TAS-20 assesses a general psychological distress factor. © 2009 Elsevier Inc. All rights reserved.&quot;,&quot;issue&quot;:&quot;4&quot;,&quot;volume&quot;:&quot;43&quot;},&quot;isTemporary&quot;:false}],&quot;citationTag&quot;:&quot;MENDELEY_CITATION_v3_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&quot;},{&quot;citationID&quot;:&quot;MENDELEY_CITATION_6c09eece-1b5f-4cf0-92d2-3be7c0d78b4c&quot;,&quot;properties&quot;:{&quot;noteIndex&quot;:0},&quot;isEdited&quot;:false,&quot;manualOverride&quot;:{&quot;isManuallyOverridden&quot;:false,&quot;citeprocText&quot;:&quot;(Link &amp;#38; Phelan, 2001)&quot;,&quot;manualOverrideText&quot;:&quot;&quot;},&quot;citationItems&quot;:[{&quot;id&quot;:&quot;89e47956-ef02-352a-8a0f-36afa0650cb2&quot;,&quot;itemData&quot;:{&quot;type&quot;:&quot;article-journal&quot;,&quot;id&quot;:&quot;89e47956-ef02-352a-8a0f-36afa0650cb2&quot;,&quot;title&quot;:&quot;Conceptualizing stigma&quot;,&quot;author&quot;:[{&quot;family&quot;:&quot;Link&quot;,&quot;given&quot;:&quot;Bruce G.&quot;,&quot;parse-names&quot;:false,&quot;dropping-particle&quot;:&quot;&quot;,&quot;non-dropping-particle&quot;:&quot;&quot;},{&quot;family&quot;:&quot;Phelan&quot;,&quot;given&quot;:&quot;Jo C.&quot;,&quot;parse-names&quot;:false,&quot;dropping-particle&quot;:&quot;&quot;,&quot;non-dropping-particle&quot;:&quot;&quot;}],&quot;container-title&quot;:&quot;Annual Review of Sociology&quot;,&quot;container-title-short&quot;:&quot;Annu Rev Sociol&quot;,&quot;accessed&quot;:{&quot;date-parts&quot;:[[2023,5,7]]},&quot;DOI&quot;:&quot;10.1146/ANNUREV.SOC.27.1.363&quot;,&quot;ISSN&quot;:&quot;03600572&quot;,&quot;issued&quot;:{&quot;date-parts&quot;:[[2001]]},&quot;page&quot;:&quot;363-385&quot;,&quot;abstract&quot;:&quot;Social science research on stigma has grown dramatically over the past two decades, particularly in social psychology, where researchers have elucidated the ways in which people construct cognitive categories and link those categories to stereotyped beliefs. In the midst of this growth, the stigma concept has been criticized as being too vaguely defined and individually focused. In response to these criticisms, we define stigma as the co-occurrence of its components-labeling, stereotyping, separation, status loss, and discrimination-and further indicate that for stigmatization to occur, power must be exercised. The stigma concept we construct has implications for understanding several core issues in stigma research, ranging from the definition of the concept to the reasons stigma sometimes represents a very persistent predicament in the lives of persons affected by it. Finally, because there are so many stigmatized circumstances and because stigmatizing processes can affect multiple domains of people's lives, stigmatization probably has a dramatic bearing on the distribution of life chances in such areas as earnings, housing, criminal involvement, health, and life itself. It follows that social scientists who are interested in understanding the distribution of such life chances should also be interested in stigma. Copyright © 2001 by Annual Reviews. All rights reserved.&quot;,&quot;publisher&quot;:&quot;Annual Reviews Inc.&quot;,&quot;volume&quot;:&quot;27&quot;},&quot;isTemporary&quot;:false}],&quot;citationTag&quot;:&quot;MENDELEY_CITATION_v3_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&quot;},{&quot;citationID&quot;:&quot;MENDELEY_CITATION_26ee096a-f3e1-44c1-83ed-130f48f81a33&quot;,&quot;properties&quot;:{&quot;noteIndex&quot;:0},&quot;isEdited&quot;:false,&quot;manualOverride&quot;:{&quot;isManuallyOverridden&quot;:false,&quot;citeprocText&quot;:&quot;(Estroff et al., 2004; Link &amp;#38; Phelan, 2001)&quot;,&quot;manualOverrideText&quot;:&quot;&quot;},&quot;citationItems&quot;:[{&quot;id&quot;:&quot;89e47956-ef02-352a-8a0f-36afa0650cb2&quot;,&quot;itemData&quot;:{&quot;type&quot;:&quot;article-journal&quot;,&quot;id&quot;:&quot;89e47956-ef02-352a-8a0f-36afa0650cb2&quot;,&quot;title&quot;:&quot;Conceptualizing stigma&quot;,&quot;author&quot;:[{&quot;family&quot;:&quot;Link&quot;,&quot;given&quot;:&quot;Bruce G.&quot;,&quot;parse-names&quot;:false,&quot;dropping-particle&quot;:&quot;&quot;,&quot;non-dropping-particle&quot;:&quot;&quot;},{&quot;family&quot;:&quot;Phelan&quot;,&quot;given&quot;:&quot;Jo C.&quot;,&quot;parse-names&quot;:false,&quot;dropping-particle&quot;:&quot;&quot;,&quot;non-dropping-particle&quot;:&quot;&quot;}],&quot;container-title&quot;:&quot;Annual Review of Sociology&quot;,&quot;container-title-short&quot;:&quot;Annu Rev Sociol&quot;,&quot;accessed&quot;:{&quot;date-parts&quot;:[[2023,5,7]]},&quot;DOI&quot;:&quot;10.1146/ANNUREV.SOC.27.1.363&quot;,&quot;ISSN&quot;:&quot;03600572&quot;,&quot;issued&quot;:{&quot;date-parts&quot;:[[2001]]},&quot;page&quot;:&quot;363-385&quot;,&quot;abstract&quot;:&quot;Social science research on stigma has grown dramatically over the past two decades, particularly in social psychology, where researchers have elucidated the ways in which people construct cognitive categories and link those categories to stereotyped beliefs. In the midst of this growth, the stigma concept has been criticized as being too vaguely defined and individually focused. In response to these criticisms, we define stigma as the co-occurrence of its components-labeling, stereotyping, separation, status loss, and discrimination-and further indicate that for stigmatization to occur, power must be exercised. The stigma concept we construct has implications for understanding several core issues in stigma research, ranging from the definition of the concept to the reasons stigma sometimes represents a very persistent predicament in the lives of persons affected by it. Finally, because there are so many stigmatized circumstances and because stigmatizing processes can affect multiple domains of people's lives, stigmatization probably has a dramatic bearing on the distribution of life chances in such areas as earnings, housing, criminal involvement, health, and life itself. It follows that social scientists who are interested in understanding the distribution of such life chances should also be interested in stigma. Copyright © 2001 by Annual Reviews. All rights reserved.&quot;,&quot;publisher&quot;:&quot;Annual Reviews Inc.&quot;,&quot;volume&quot;:&quot;27&quot;},&quot;isTemporary&quot;:false},{&quot;id&quot;:&quot;d0071e32-e419-38a6-bb76-70b49f9b4e5d&quot;,&quot;itemData&quot;:{&quot;type&quot;:&quot;article-journal&quot;,&quot;id&quot;:&quot;d0071e32-e419-38a6-bb76-70b49f9b4e5d&quot;,&quot;title&quot;:&quot;From stigma to discrimination: an analysis of community efforts to reduce the negative consequences of having a psychiatric disorder and label&quot;,&quot;author&quot;:[{&quot;family&quot;:&quot;Estroff&quot;,&quot;given&quot;:&quot;Sue E.&quot;,&quot;parse-names&quot;:false,&quot;dropping-particle&quot;:&quot;&quot;,&quot;non-dropping-particle&quot;:&quot;&quot;},{&quot;family&quot;:&quot;Penn&quot;,&quot;given&quot;:&quot;David L.&quot;,&quot;parse-names&quot;:false,&quot;dropping-particle&quot;:&quot;&quot;,&quot;non-dropping-particle&quot;:&quot;&quot;},{&quot;family&quot;:&quot;Toporek&quot;,&quot;given&quot;:&quot;Julie R.&quot;,&quot;parse-names&quot;:false,&quot;dropping-particle&quot;:&quot;&quot;,&quot;non-dropping-particle&quot;:&quot;&quot;}],&quot;container-title&quot;:&quot;Schizophrenia bulletin&quot;,&quot;container-title-short&quot;:&quot;Schizophr Bull&quot;,&quot;accessed&quot;:{&quot;date-parts&quot;:[[2023,5,7]]},&quot;DOI&quot;:&quot;10.1093/OXFORDJOURNALS.SCHBUL.A007097&quot;,&quot;ISSN&quot;:&quot;0586-7614&quot;,&quot;PMID&quot;:&quot;15631242&quot;,&quot;URL&quot;:&quot;https://pubmed.ncbi.nlm.nih.gov/15631242/&quot;,&quot;issued&quot;:{&quot;date-parts&quot;:[[2004]]},&quot;page&quot;:&quot;493-509&quot;,&quot;abstract&quot;:&quot;Discrimination related to psychiatric disorders and people diagnosed with them is receiving increased interest and attention from researchers, policy makers, and the general public. There are diverse views about how best to alter and reduce what all parties agree are personally painful, socially wasteful, and morally inexcusable practices that surround people with psychiatric disorders. We report the results of a first step national survey of noteworthy on-the-ground efforts to reduce the negative consequences of having a psychiatric disorder and label. The sample consists of non-traditional, innovative local efforts along with well-known programs. Nominations of exemplary antistigma and antidiscrimination efforts were solicited from a national data base developed for this project. Next, an expert consensus panel selected 36 exemplary programs from among 102 nominations. A descriptive analysis and summary of the shared qualities of exemplary programs are provided.&quot;,&quot;publisher&quot;:&quot;Schizophr Bull&quot;,&quot;issue&quot;:&quot;3&quot;,&quot;volume&quot;:&quot;30&quot;},&quot;isTemporary&quot;:false}],&quot;citationTag&quot;:&quot;MENDELEY_CITATION_v3_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&quot;},{&quot;citationID&quot;:&quot;MENDELEY_CITATION_76206985-3602-4b94-9d98-e95c9df30051&quot;,&quot;properties&quot;:{&quot;noteIndex&quot;:0},&quot;isEdited&quot;:false,&quot;manualOverride&quot;:{&quot;isManuallyOverridden&quot;:false,&quot;citeprocText&quot;:&quot;(Byrne, 2000)&quot;,&quot;manualOverrideText&quot;:&quot;&quot;},&quot;citationItems&quot;:[{&quot;id&quot;:&quot;d24c24ae-9fef-3b53-9135-fb19761096f7&quot;,&quot;itemData&quot;:{&quot;type&quot;:&quot;article-journal&quot;,&quot;id&quot;:&quot;d24c24ae-9fef-3b53-9135-fb19761096f7&quot;,&quot;title&quot;:&quot;Stigma of mental illness and ways of diminishing it&quot;,&quot;author&quot;:[{&quot;family&quot;:&quot;Byrne&quot;,&quot;given&quot;:&quot;Peter&quot;,&quot;parse-names&quot;:false,&quot;dropping-particle&quot;:&quot;&quot;,&quot;non-dropping-particle&quot;:&quot;&quot;}],&quot;accessed&quot;:{&quot;date-parts&quot;:[[2023,5,7]]},&quot;issued&quot;:{&quot;date-parts&quot;:[[2000]]},&quot;page&quot;:&quot;65-72&quot;,&quot;volume&quot;:&quot;6&quot;,&quot;container-title-short&quot;:&quot;&quot;},&quot;isTemporary&quot;:false}],&quot;citationTag&quot;:&quot;MENDELEY_CITATION_v3_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&quot;},{&quot;citationID&quot;:&quot;MENDELEY_CITATION_d103fc0b-f030-4675-9cf8-f7df4dde7404&quot;,&quot;properties&quot;:{&quot;noteIndex&quot;:0},&quot;isEdited&quot;:false,&quot;manualOverride&quot;:{&quot;isManuallyOverridden&quot;:true,&quot;citeprocText&quot;:&quot;(Major &amp;#38; O’Brien, 2005)&quot;,&quot;manualOverrideText&quot;:&quot;(Major &amp; O'Brien, 2005)&quot;},&quot;citationItems&quot;:[{&quot;id&quot;:&quot;6ff0e712-6d7b-3816-9379-368e3ffff9e3&quot;,&quot;itemData&quot;:{&quot;type&quot;:&quot;article-journal&quot;,&quot;id&quot;:&quot;6ff0e712-6d7b-3816-9379-368e3ffff9e3&quot;,&quot;title&quot;:&quot;The social psychology of stigma&quot;,&quot;author&quot;:[{&quot;family&quot;:&quot;Major&quot;,&quot;given&quot;:&quot;Brenda&quot;,&quot;parse-names&quot;:false,&quot;dropping-particle&quot;:&quot;&quot;,&quot;non-dropping-particle&quot;:&quot;&quot;},{&quot;family&quot;:&quot;O'Brien&quot;,&quot;given&quot;:&quot;Laurie T.&quot;,&quot;parse-names&quot;:false,&quot;dropping-particle&quot;:&quot;&quot;,&quot;non-dropping-particle&quot;:&quot;&quot;}],&quot;container-title&quot;:&quot;Annual review of psychology&quot;,&quot;container-title-short&quot;:&quot;Annu Rev Psychol&quot;,&quot;accessed&quot;:{&quot;date-parts&quot;:[[2023,5,7]]},&quot;DOI&quot;:&quot;10.1146/ANNUREV.PSYCH.56.091103.070137&quot;,&quot;ISSN&quot;:&quot;0066-4308&quot;,&quot;PMID&quot;:&quot;15709941&quot;,&quot;URL&quot;:&quot;https://pubmed.ncbi.nlm.nih.gov/15709941/&quot;,&quot;issued&quot;:{&quot;date-parts&quot;:[[2005]]},&quot;page&quot;:&quot;393-421&quot;,&quot;abstract&quot;:&quot;This chapter addresses the psychological effects of social stigma. Stigma directly affects the stigmatized via mechanisms of discrimination, expectancy confirmation, and automatic stereotype activation, and indirectly via threats to personal and social identity. We review and organize recent theory and empirical research within an identity threat model of stigma. This model posits that situational cues, collective representations of one's stigma status, and personal beliefs and motives shape appraisals of the significance of stigma-relevant situations for well-being. Identity threat results when stigma-relevant Stressors are appraised as potentially harmful to one's social identity and as exceeding one's coping resources. Identity threat creates involuntary stress responses and motivates attempts at threat reduction through coping strategies. Stress responses and coping efforts affect important outcomes such as self-esteem, academic achievement, and health. Identity threat perspectives help to explain the tremendous variability across people, groups, and situations in responses to stigma.&quot;,&quot;publisher&quot;:&quot;Annu Rev Psychol&quot;,&quot;volume&quot;:&quot;56&quot;},&quot;isTemporary&quot;:false}],&quot;citationTag&quot;:&quot;MENDELEY_CITATION_v3_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&quot;},{&quot;citationID&quot;:&quot;MENDELEY_CITATION_a112b656-3218-408e-9006-f7712bd589db&quot;,&quot;properties&quot;:{&quot;noteIndex&quot;:0},&quot;isEdited&quot;:false,&quot;manualOverride&quot;:{&quot;isManuallyOverridden&quot;:true,&quot;citeprocText&quot;:&quot;(Smith et al., 2008)&quot;,&quot;manualOverrideText&quot;:&quot;(R. Smith et al., 2008)&quot;},&quot;citationItems&quot;:[{&quot;id&quot;:&quot;4d5394a9-fcda-318e-8baa-d2a4cf918cd2&quot;,&quot;itemData&quot;:{&quot;type&quot;:&quot;article-journal&quot;,&quot;id&quot;:&quot;4d5394a9-fcda-318e-8baa-d2a4cf918cd2&quot;,&quot;title&quot;:&quot;A meta-analysis of disclosure of one's HIV-positive status, stigma and social support&quot;,&quot;author&quot;:[{&quot;family&quot;:&quot;Smith&quot;,&quot;given&quot;:&quot;Rachel&quot;,&quot;parse-names&quot;:false,&quot;dropping-particle&quot;:&quot;&quot;,&quot;non-dropping-particle&quot;:&quot;&quot;},{&quot;family&quot;:&quot;Rossetto&quot;,&quot;given&quot;:&quot;Kelly&quot;,&quot;parse-names&quot;:false,&quot;dropping-particle&quot;:&quot;&quot;,&quot;non-dropping-particle&quot;:&quot;&quot;},{&quot;family&quot;:&quot;Peterson&quot;,&quot;given&quot;:&quot;Brittany L.&quot;,&quot;parse-names&quot;:false,&quot;dropping-particle&quot;:&quot;&quot;,&quot;non-dropping-particle&quot;:&quot;&quot;}],&quot;container-title&quot;:&quot;AIDS care&quot;,&quot;container-title-short&quot;:&quot;AIDS Care&quot;,&quot;accessed&quot;:{&quot;date-parts&quot;:[[2023,5,7]]},&quot;DOI&quot;:&quot;10.1080/09540120801926977&quot;,&quot;ISSN&quot;:&quot;1360-0451&quot;,&quot;PMID&quot;:&quot;18608080&quot;,&quot;URL&quot;:&quot;https://pubmed.ncbi.nlm.nih.gov/18608080/&quot;,&quot;issued&quot;:{&quot;date-parts&quot;:[[2008,11]]},&quot;page&quot;:&quot;1266-1275&quot;,&quot;abstract&quot;:&quot;This study provides an analysis of the relationships among perceived stigma, reported disclosure and perceived social support for those living with HIV. The meta-analytic summary of 21 studies (4104 participants) showed, as predicted, a positive, heterogeneous correlation between disclosure and social support (ŕ=.159), a negative, heterogeneous correlation between stigma and social support (ŕ=-.344) and a negative, homogenous correlation between stigma and disclosure (ŕ=-.189). The heterogeneity of the first two relationships indicates the presence of moderators, which may include participants' age and publications' year. © 2008 Taylor &amp; Francis.&quot;,&quot;publisher&quot;:&quot;AIDS Care&quot;,&quot;issue&quot;:&quot;10&quot;,&quot;volume&quot;:&quot;20&quot;},&quot;isTemporary&quot;:false}],&quot;citationTag&quot;:&quot;MENDELEY_CITATION_v3_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&quot;},{&quot;citationID&quot;:&quot;MENDELEY_CITATION_18d8256e-3a45-40c2-9a5d-1cc216b286d7&quot;,&quot;properties&quot;:{&quot;noteIndex&quot;:0},&quot;isEdited&quot;:false,&quot;manualOverride&quot;:{&quot;isManuallyOverridden&quot;:false,&quot;citeprocText&quot;:&quot;(Kleim et al., 2008)&quot;,&quot;manualOverrideText&quot;:&quot;&quot;},&quot;citationItems&quot;:[{&quot;id&quot;:&quot;01c64ea9-dfd3-345d-9294-ebcc0a91c691&quot;,&quot;itemData&quot;:{&quot;type&quot;:&quot;article-journal&quot;,&quot;id&quot;:&quot;01c64ea9-dfd3-345d-9294-ebcc0a91c691&quot;,&quot;title&quot;:&quot;Perceived stigma predicts low self-efficacy and poor coping in schizophrenia&quot;,&quot;author&quot;:[{&quot;family&quot;:&quot;Kleim&quot;,&quot;given&quot;:&quot;Birgit&quot;,&quot;parse-names&quot;:false,&quot;dropping-particle&quot;:&quot;&quot;,&quot;non-dropping-particle&quot;:&quot;&quot;},{&quot;family&quot;:&quot;Vauth&quot;,&quot;given&quot;:&quot;Roland&quot;,&quot;parse-names&quot;:false,&quot;dropping-particle&quot;:&quot;&quot;,&quot;non-dropping-particle&quot;:&quot;&quot;},{&quot;family&quot;:&quot;Adam&quot;,&quot;given&quot;:&quot;Gundula&quot;,&quot;parse-names&quot;:false,&quot;dropping-particle&quot;:&quot;&quot;,&quot;non-dropping-particle&quot;:&quot;&quot;},{&quot;family&quot;:&quot;Stieglitz&quot;,&quot;given&quot;:&quot;Rolf Dieter&quot;,&quot;parse-names&quot;:false,&quot;dropping-particle&quot;:&quot;&quot;,&quot;non-dropping-particle&quot;:&quot;&quot;},{&quot;family&quot;:&quot;Hayward&quot;,&quot;given&quot;:&quot;Peter&quot;,&quot;parse-names&quot;:false,&quot;dropping-particle&quot;:&quot;&quot;,&quot;non-dropping-particle&quot;:&quot;&quot;},{&quot;family&quot;:&quot;Corrigan&quot;,&quot;given&quot;:&quot;Patrick&quot;,&quot;parse-names&quot;:false,&quot;dropping-particle&quot;:&quot;&quot;,&quot;non-dropping-particle&quot;:&quot;&quot;}],&quot;container-title&quot;:&quot;Journal of Mental Health&quot;,&quot;accessed&quot;:{&quot;date-parts&quot;:[[2023,5,7]]},&quot;DOI&quot;:&quot;10.1080/09638230701506283&quot;,&quot;ISSN&quot;:&quot;09638237&quot;,&quot;issued&quot;:{&quot;date-parts&quot;:[[2008,10]]},&quot;page&quot;:&quot;482-491&quot;,&quot;abstract&quot;:&quot;Background: The stigma of mental illness has been shown to be a barrier to recovery in schizophrenia. Aims: The present study aimed to examine the influence of perceived stigma on self-efficacy and the coping styles of secrecy and withdrawal over and above selected sociodemographic and clinical variables and psychopathology. Method: Outpatients diagnosed with schizophrenia (N = 127) filled in measures of perceived stigma, secrecy and withdrawal as coping modi, positive and negative symptom severity, self-efficacy, depression and insight into psychosis. Results: Perceived stigma accounted for a significant amount of variance in secrecy and withdrawal, as well as low self-efficacy, over and above the amount of variance explained by positive and negative symptomatology, depression, insight, age and gender. Conclusion: Our findings demonstrate the negative influence of stigma perceived by persons with schizophrenia on self-efficacy and coping. Clinicians should offer guidance in functional coping with perceived stigma in order to reduce the effect of stigma on patients' lives. © Shadowfax Publishing and Informa UK Ltd.&quot;,&quot;issue&quot;:&quot;5&quot;,&quot;volume&quot;:&quot;17&quot;,&quot;container-title-short&quot;:&quot;&quot;},&quot;isTemporary&quot;:false}],&quot;citationTag&quot;:&quot;MENDELEY_CITATION_v3_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&quot;},{&quot;citationID&quot;:&quot;MENDELEY_CITATION_43f5271e-4cbb-4521-adf2-aa47b6154693&quot;,&quot;properties&quot;:{&quot;noteIndex&quot;:0},&quot;isEdited&quot;:false,&quot;manualOverride&quot;:{&quot;isManuallyOverridden&quot;:false,&quot;citeprocText&quot;:&quot;(Macduffie et al., 2020)&quot;,&quot;manualOverrideText&quot;:&quot;&quot;},&quot;citationItems&quot;:[{&quot;id&quot;:&quot;74debba0-e504-3c96-8e7b-483e6e1e4bed&quot;,&quot;itemData&quot;:{&quot;type&quot;:&quot;article-journal&quot;,&quot;id&quot;:&quot;74debba0-e504-3c96-8e7b-483e6e1e4bed&quot;,&quot;title&quot;:&quot;Stigma and functional neurological disorder: a research agenda targeting the clinical encounter&quot;,&quot;author&quot;:[{&quot;family&quot;:&quot;Macduffie&quot;,&quot;given&quot;:&quot;Katherine E.&quot;,&quot;parse-names&quot;:false,&quot;dropping-particle&quot;:&quot;&quot;,&quot;non-dropping-particle&quot;:&quot;&quot;},{&quot;family&quot;:&quot;Grubbs&quot;,&quot;given&quot;:&quot;Lindsey&quot;,&quot;parse-names&quot;:false,&quot;dropping-particle&quot;:&quot;&quot;,&quot;non-dropping-particle&quot;:&quot;&quot;},{&quot;family&quot;:&quot;Best&quot;,&quot;given&quot;:&quot;Tammyjo&quot;,&quot;parse-names&quot;:false,&quot;dropping-particle&quot;:&quot;&quot;,&quot;non-dropping-particle&quot;:&quot;&quot;},{&quot;family&quot;:&quot;Laroche&quot;,&quot;given&quot;:&quot;Suzette&quot;,&quot;parse-names&quot;:false,&quot;dropping-particle&quot;:&quot;&quot;,&quot;non-dropping-particle&quot;:&quot;&quot;},{&quot;family&quot;:&quot;Mildon&quot;,&quot;given&quot;:&quot;Bridget&quot;,&quot;parse-names&quot;:false,&quot;dropping-particle&quot;:&quot;&quot;,&quot;non-dropping-particle&quot;:&quot;&quot;},{&quot;family&quot;:&quot;Myers&quot;,&quot;given&quot;:&quot;Lorna&quot;,&quot;parse-names&quot;:false,&quot;dropping-particle&quot;:&quot;&quot;,&quot;non-dropping-particle&quot;:&quot;&quot;},{&quot;family&quot;:&quot;Stafford&quot;,&quot;given&quot;:&quot;Elizabeth&quot;,&quot;parse-names&quot;:false,&quot;dropping-particle&quot;:&quot;&quot;,&quot;non-dropping-particle&quot;:&quot;&quot;},{&quot;family&quot;:&quot;Rommelfanger&quot;,&quot;given&quot;:&quot;Karen S.&quot;,&quot;parse-names&quot;:false,&quot;dropping-particle&quot;:&quot;&quot;,&quot;non-dropping-particle&quot;:&quot;&quot;}],&quot;container-title&quot;:&quot;CNS spectrums&quot;,&quot;container-title-short&quot;:&quot;CNS Spectr&quot;,&quot;accessed&quot;:{&quot;date-parts&quot;:[[2023,5,7]]},&quot;DOI&quot;:&quot;10.1017/S1092852920002084&quot;,&quot;ISSN&quot;:&quot;1092-8529&quot;,&quot;PMID&quot;:&quot;33267932&quot;,&quot;URL&quot;:&quot;https://pubmed.ncbi.nlm.nih.gov/33267932/&quot;,&quot;issued&quot;:{&quot;date-parts&quot;:[[2020,12,3]]},&quot;page&quot;:&quot;587-592&quot;,&quot;abstract&quot;:&quot;Stigma against patients with functional neurological disorder (FND) presents obstacles to diagnosis, treatment, and research. The lack of biomarkers and the potential for symptoms to be misunderstood, invalidated, or dismissed can leave patients, families, and healthcare professionals at a loss. Stigma exacerbates suffering and unmet needs of patients and families, and can result in poor clinical management and prolonged, repetitive use of healthcare resources. Our current understanding of stigma in FND comes from surveys documenting frustration experienced by providers and distressing healthcare interactions experienced by patients. However, little is known about the origins of FND stigma, its prevalence across different healthcare contexts, its impact on patient health outcomes, and optimal methods for reduction. In this paper, we set forth a research agenda directed at better understanding the prevalence and context of stigma, clarifying its impact on patients and providers, and promoting best practices for stigma reduction.&quot;,&quot;publisher&quot;:&quot;CNS Spectr&quot;,&quot;issue&quot;:&quot;6&quot;,&quot;volume&quot;:&quot;26&quot;},&quot;isTemporary&quot;:false}],&quot;citationTag&quot;:&quot;MENDELEY_CITATION_v3_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&quot;},{&quot;citationID&quot;:&quot;MENDELEY_CITATION_f710d0d8-a94c-4fea-951a-9532fde7d4d2&quot;,&quot;properties&quot;:{&quot;noteIndex&quot;:0},&quot;isEdited&quot;:false,&quot;manualOverride&quot;:{&quot;isManuallyOverridden&quot;:false,&quot;citeprocText&quot;:&quot;(Karakis et al., 2020; Rawlings et al., 2017)&quot;,&quot;manualOverrideText&quot;:&quot;&quot;},&quot;citationItems&quot;:[{&quot;id&quot;:&quot;e398ee69-27dd-3268-a535-08a6ac9f9d5f&quot;,&quot;itemData&quot;:{&quot;type&quot;:&quot;article-journal&quot;,&quot;id&quot;:&quot;e398ee69-27dd-3268-a535-08a6ac9f9d5f&quot;,&quot;title&quot;:&quot;Stigma in psychogenic nonepileptic seizures&quot;,&quot;author&quot;:[{&quot;family&quot;:&quot;Karakis&quot;,&quot;given&quot;:&quot;Ioannis&quot;,&quot;parse-names&quot;:false,&quot;dropping-particle&quot;:&quot;&quot;,&quot;non-dropping-particle&quot;:&quot;&quot;},{&quot;family&quot;:&quot;Janocko&quot;,&quot;given&quot;:&quot;Nicholas J.&quot;,&quot;parse-names&quot;:false,&quot;dropping-particle&quot;:&quot;&quot;,&quot;non-dropping-particle&quot;:&quot;&quot;},{&quot;family&quot;:&quot;Morton&quot;,&quot;given&quot;:&quot;Matthew L.&quot;,&quot;parse-names&quot;:false,&quot;dropping-particle&quot;:&quot;&quot;,&quot;non-dropping-particle&quot;:&quot;&quot;},{&quot;family&quot;:&quot;Groover&quot;,&quot;given&quot;:&quot;Olivia&quot;,&quot;parse-names&quot;:false,&quot;dropping-particle&quot;:&quot;&quot;,&quot;non-dropping-particle&quot;:&quot;&quot;},{&quot;family&quot;:&quot;Teagarden&quot;,&quot;given&quot;:&quot;Diane L.&quot;,&quot;parse-names&quot;:false,&quot;dropping-particle&quot;:&quot;&quot;,&quot;non-dropping-particle&quot;:&quot;&quot;},{&quot;family&quot;:&quot;Villarreal&quot;,&quot;given&quot;:&quot;Hannah K.&quot;,&quot;parse-names&quot;:false,&quot;dropping-particle&quot;:&quot;&quot;,&quot;non-dropping-particle&quot;:&quot;&quot;},{&quot;family&quot;:&quot;Loring&quot;,&quot;given&quot;:&quot;David W.&quot;,&quot;parse-names&quot;:false,&quot;dropping-particle&quot;:&quot;&quot;,&quot;non-dropping-particle&quot;:&quot;&quot;},{&quot;family&quot;:&quot;Drane&quot;,&quot;given&quot;:&quot;Daniel L.&quot;,&quot;parse-names&quot;:false,&quot;dropping-particle&quot;:&quot;&quot;,&quot;non-dropping-particle&quot;:&quot;&quot;}],&quot;container-title&quot;:&quot;Epilepsy &amp; behavior : E&amp;B&quot;,&quot;container-title-short&quot;:&quot;Epilepsy Behav&quot;,&quot;accessed&quot;:{&quot;date-parts&quot;:[[2023,5,3]]},&quot;DOI&quot;:&quot;10.1016/J.YEBEH.2020.107269&quot;,&quot;ISSN&quot;:&quot;1525-5069&quot;,&quot;PMID&quot;:&quot;32650291&quot;,&quot;URL&quot;:&quot;https://pubmed.ncbi.nlm.nih.gov/32650291/&quot;,&quot;issued&quot;:{&quot;date-parts&quot;:[[2020,10,1]]},&quot;abstract&quot;:&quot;Objective: There is scarce literature on stigma in families living with psychogenic nonepileptic seizures (PNES). Using a cohort of patients with epileptic seizures (ES) and their caregivers as controls, we aimed to quantify the level of patient and caregiver stigma in PNES and identify associations of patient and caregiver characteristics with it. Methods: Patients with PNES and ES and their caregivers completed surveys about demographic, clinical, and psychosocial characteristics. Multivariate regression analysis was used to identify correlates of patient and caregiver stigma. Results: Forty-three patients with PNES and 165 patients with ES were recruited. Compared with patients with ES, patients with PNES had shorter disease duration, higher seizure frequency, normal diagnostic data, poorer psychosocial health, and fewer antiseizure medications (ASMs). A total of 76.5% of patients with PNES and 59.5% of patients with ES felt stigmatized. Patient stigma level was higher in patients with PNES compared with those with ES, and it was negatively associated with patient quality of life (QOL). Additionally, 28 caregivers of patients with PNES and 99 caregivers of patients with ES were recruited. There were no significant demographic, caregiving, or psychosocial differences between the two caregiver cohorts. Seventy-two percent of caregivers of patients with PNES and 47% of caregivers of patients with ES felt stigmatized. Caregiver stigma level was also higher in caregivers of patients with PNES compared with caregivers of patients with ES, and it was negatively associated with patient QOL and positively associated with patient and caregiver anxiety. Conclusion: Compared with those with ES, patients and caregivers living with PNES experience stigma more frequently and to a higher extent. Patient QOL emerges as a consistent correlate of that stigma.&quot;,&quot;publisher&quot;:&quot;Epilepsy Behav&quot;,&quot;volume&quot;:&quot;111&quot;},&quot;isTemporary&quot;:false},{&quot;id&quot;:&quot;9ebc13d0-bbb8-3c6b-bbe0-6b4896e93051&quot;,&quot;itemData&quot;:{&quot;type&quot;:&quot;article-journal&quot;,&quot;id&quot;:&quot;9ebc13d0-bbb8-3c6b-bbe0-6b4896e93051&quot;,&quot;title&quot;:&quot;Written accounts of living with psychogenic nonepileptic seizures: A thematic analysis&quot;,&quot;author&quot;:[{&quot;family&quot;:&quot;Rawlings&quot;,&quot;given&quot;:&quot;Gregg H&quot;,&quot;parse-names&quot;:false,&quot;dropping-particle&quot;:&quot;&quot;,&quot;non-dropping-particle&quot;:&quot;&quot;},{&quot;family&quot;:&quot;Brown&quot;,&quot;given&quot;:&quot;Ian&quot;,&quot;parse-names&quot;:false,&quot;dropping-particle&quot;:&quot;&quot;,&quot;non-dropping-particle&quot;:&quot;&quot;},{&quot;family&quot;:&quot;Stone&quot;,&quot;given&quot;:&quot;Brendan&quot;,&quot;parse-names&quot;:false,&quot;dropping-particle&quot;:&quot;&quot;,&quot;non-dropping-particle&quot;:&quot;&quot;},{&quot;family&quot;:&quot;Reuber&quot;,&quot;given&quot;:&quot;Markus&quot;,&quot;parse-names&quot;:false,&quot;dropping-particle&quot;:&quot;&quot;,&quot;non-dropping-particle&quot;:&quot;&quot;}],&quot;container-title&quot;:&quot;Seizure: European Journal of Epilepsy&quot;,&quot;accessed&quot;:{&quot;date-parts&quot;:[[2023,5,4]]},&quot;DOI&quot;:&quot;10.1016/j.seizure.2017.06.006&quot;,&quot;URL&quot;:&quot;http://dx.doi.org/10.1016/j.seizure.2017.06.006&quot;,&quot;issued&quot;:{&quot;date-parts&quot;:[[2017]]},&quot;page&quot;:&quot;83-91&quot;,&quot;abstract&quot;:&quot;Available online xxx Keywords: Psychogenic nonepileptic seizures Nonepileptic attack disorder Dissociative seizures Qualitative Stigma Thematic A B S T R A C T Purpose: Qualitative studies examining lived experiences of psychogenic nonepileptic seizures (PNES) have predominantly relied on datasets collected using clinical or research interviews. This study pursued a different approach by investigating individuals' written accounts of their condition. Methods: Participants (n = 19) were recruited from membership-led organisations for individuals living with seizures and from a United Kingdom hospital. Participants were instructed to produce four pieces of writing: 1) about their thoughts and feelings about their condition; 2) a letter to their condition; 3) a letter to their younger self; and 4) about a personal value. All writings were analysed using thematic analysis. Results: Six main-themes emerged from the data. Theme 1: 'living with PNES' demonstrated that all participants presented the condition as having a debilitating effect. Theme 2: 'Emotions' revealed that individuals were struggling with anxiety, low mood and self-worth. Theme 3: 'Seizure symptoms' showed variability was a prominent feature in the description of ictal events. Theme 4: 'Treatment and outcomes' demonstrated that individual's perception of diagnosis and therapy differed greatly. Theme 5: 'Causation and development' revealed that the majority of participants spontaneously reported experiencing a traumatic event in the past. Theme 6: 'Lack of understanding' by themselves, the public and healthcare professionals appeared to pose considerable challenges to participants. Conclusions: Qualitative research has an important role to play for improving our understanding of PNES. The findings contribute to the literature by highlighting the nature of stigma that people with PNES experience, and also their proneness to demonstrate problems with self-worth.&quot;,&quot;volume&quot;:&quot;50&quot;,&quot;container-title-short&quot;:&quot;&quot;},&quot;isTemporary&quot;:false}],&quot;citationTag&quot;:&quot;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&quot;},{&quot;citationID&quot;:&quot;MENDELEY_CITATION_e72311ed-bf51-444b-a987-7a2a07c2705e&quot;,&quot;properties&quot;:{&quot;noteIndex&quot;:0},&quot;isEdited&quot;:false,&quot;manualOverride&quot;:{&quot;isManuallyOverridden&quot;:false,&quot;citeprocText&quot;:&quot;(Rawlings et al., 2017)&quot;,&quot;manualOverrideText&quot;:&quot;&quot;},&quot;citationItems&quot;:[{&quot;id&quot;:&quot;9ebc13d0-bbb8-3c6b-bbe0-6b4896e93051&quot;,&quot;itemData&quot;:{&quot;type&quot;:&quot;article-journal&quot;,&quot;id&quot;:&quot;9ebc13d0-bbb8-3c6b-bbe0-6b4896e93051&quot;,&quot;title&quot;:&quot;Written accounts of living with psychogenic nonepileptic seizures: A thematic analysis&quot;,&quot;author&quot;:[{&quot;family&quot;:&quot;Rawlings&quot;,&quot;given&quot;:&quot;Gregg H&quot;,&quot;parse-names&quot;:false,&quot;dropping-particle&quot;:&quot;&quot;,&quot;non-dropping-particle&quot;:&quot;&quot;},{&quot;family&quot;:&quot;Brown&quot;,&quot;given&quot;:&quot;Ian&quot;,&quot;parse-names&quot;:false,&quot;dropping-particle&quot;:&quot;&quot;,&quot;non-dropping-particle&quot;:&quot;&quot;},{&quot;family&quot;:&quot;Stone&quot;,&quot;given&quot;:&quot;Brendan&quot;,&quot;parse-names&quot;:false,&quot;dropping-particle&quot;:&quot;&quot;,&quot;non-dropping-particle&quot;:&quot;&quot;},{&quot;family&quot;:&quot;Reuber&quot;,&quot;given&quot;:&quot;Markus&quot;,&quot;parse-names&quot;:false,&quot;dropping-particle&quot;:&quot;&quot;,&quot;non-dropping-particle&quot;:&quot;&quot;}],&quot;container-title&quot;:&quot;Seizure: European Journal of Epilepsy&quot;,&quot;accessed&quot;:{&quot;date-parts&quot;:[[2023,5,4]]},&quot;DOI&quot;:&quot;10.1016/j.seizure.2017.06.006&quot;,&quot;URL&quot;:&quot;http://dx.doi.org/10.1016/j.seizure.2017.06.006&quot;,&quot;issued&quot;:{&quot;date-parts&quot;:[[2017]]},&quot;page&quot;:&quot;83-91&quot;,&quot;abstract&quot;:&quot;Available online xxx Keywords: Psychogenic nonepileptic seizures Nonepileptic attack disorder Dissociative seizures Qualitative Stigma Thematic A B S T R A C T Purpose: Qualitative studies examining lived experiences of psychogenic nonepileptic seizures (PNES) have predominantly relied on datasets collected using clinical or research interviews. This study pursued a different approach by investigating individuals' written accounts of their condition. Methods: Participants (n = 19) were recruited from membership-led organisations for individuals living with seizures and from a United Kingdom hospital. Participants were instructed to produce four pieces of writing: 1) about their thoughts and feelings about their condition; 2) a letter to their condition; 3) a letter to their younger self; and 4) about a personal value. All writings were analysed using thematic analysis. Results: Six main-themes emerged from the data. Theme 1: 'living with PNES' demonstrated that all participants presented the condition as having a debilitating effect. Theme 2: 'Emotions' revealed that individuals were struggling with anxiety, low mood and self-worth. Theme 3: 'Seizure symptoms' showed variability was a prominent feature in the description of ictal events. Theme 4: 'Treatment and outcomes' demonstrated that individual's perception of diagnosis and therapy differed greatly. Theme 5: 'Causation and development' revealed that the majority of participants spontaneously reported experiencing a traumatic event in the past. Theme 6: 'Lack of understanding' by themselves, the public and healthcare professionals appeared to pose considerable challenges to participants. Conclusions: Qualitative research has an important role to play for improving our understanding of PNES. The findings contribute to the literature by highlighting the nature of stigma that people with PNES experience, and also their proneness to demonstrate problems with self-worth.&quot;,&quot;volume&quot;:&quot;50&quot;,&quot;container-title-short&quot;:&quot;&quot;},&quot;isTemporary&quot;:false}],&quot;citationTag&quot;:&quot;MENDELEY_CITATION_v3_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&quot;},{&quot;citationID&quot;:&quot;MENDELEY_CITATION_39ee076c-5693-41d5-bc61-56fdd4b347a9&quot;,&quot;properties&quot;:{&quot;noteIndex&quot;:0},&quot;isEdited&quot;:false,&quot;manualOverride&quot;:{&quot;isManuallyOverridden&quot;:false,&quot;citeprocText&quot;:&quot;(Gelauff et al., 2014)&quot;,&quot;manualOverrideText&quot;:&quot;&quot;},&quot;citationItems&quot;:[{&quot;id&quot;:&quot;171e35cf-2d20-3410-ac0b-acdccade4d42&quot;,&quot;itemData&quot;:{&quot;type&quot;:&quot;article-journal&quot;,&quot;id&quot;:&quot;171e35cf-2d20-3410-ac0b-acdccade4d42&quot;,&quot;title&quot;:&quot;The prognosis of functional (psychogenic) motor symptoms: a systematic review&quot;,&quot;author&quot;:[{&quot;family&quot;:&quot;Gelauff&quot;,&quot;given&quot;:&quot;Jeannette&quot;,&quot;parse-names&quot;:false,&quot;dropping-particle&quot;:&quot;&quot;,&quot;non-dropping-particle&quot;:&quot;&quot;},{&quot;family&quot;:&quot;Stone&quot;,&quot;given&quot;:&quot;Jon&quot;,&quot;parse-names&quot;:false,&quot;dropping-particle&quot;:&quot;&quot;,&quot;non-dropping-particle&quot;:&quot;&quot;},{&quot;family&quot;:&quot;Edwards&quot;,&quot;given&quot;:&quot;Mark&quot;,&quot;parse-names&quot;:false,&quot;dropping-particle&quot;:&quot;&quot;,&quot;non-dropping-particle&quot;:&quot;&quot;},{&quot;family&quot;:&quot;Carson&quot;,&quot;given&quot;:&quot;Alan&quot;,&quot;parse-names&quot;:false,&quot;dropping-particle&quot;:&quot;&quot;,&quot;non-dropping-particle&quot;:&quot;&quot;}],&quot;container-title&quot;:&quot;Journal of neurology, neurosurgery, and psychiatry&quot;,&quot;container-title-short&quot;:&quot;J Neurol Neurosurg Psychiatry&quot;,&quot;accessed&quot;:{&quot;date-parts&quot;:[[2023,5,7]]},&quot;DOI&quot;:&quot;10.1136/JNNP-2013-305321&quot;,&quot;ISSN&quot;:&quot;1468-330X&quot;,&quot;PMID&quot;:&quot;24029543&quot;,&quot;URL&quot;:&quot;https://pubmed.ncbi.nlm.nih.gov/24029543/&quot;,&quot;issued&quot;:{&quot;date-parts&quot;:[[2014]]},&quot;page&quot;:&quot;220-226&quot;,&quot;abstract&quot;:&quot;Background The prognosis of functional (or psychogenic) motor symptoms (weakness and movement disorder) has not been systematically reviewed. Methods We systematically reviewed PubMed for all studies of eight or more patients with functional motor symptoms reporting follow-up data longer than 6 months (excluding studies reporting specific treatments). We recorded symptom duration, physical and psychiatric comorbidity, disability, occupational functioning at follow-up and prognostic factors. Results 24 studies were included. There was heterogeneity regarding study size (number of patients (n)=10 491), follow-up duration clinical setting and data availability. Most studies (n=15) were retrospective. Reported symptom outcome was highly variable. Mean weighted follow-up duration was 7.4 years (in 13 studies where data was extractable). The mean percentage of patients same or worse at follow-up for all studies was 39%, range 10% to 90%, n=1134. Levels of physical disability and psychological comorbidity at follow-up were high. Short duration of symptoms, early diagnosis and high satisfaction with care predicted positive outcome in two studies. Gender had no effect. Delayed diagnosis and personality disorder were negatively correlated with outcome. Prognostic factors that varied between studies included age, comorbid anxiety and depression, IQ, educational status, marital status and pending litigation. Conclusions Existing follow-up studies of functional motor symptoms give us some insights regarding outcome and prognostic factors but are limited by their largely retrospective and selective nature. Overall, prognosis appears unfavourable. The severity and chronicity of functional motor symptoms argues for larger prospective studies including multiple prognostic factors at baseline in order to better understand their natural history.&quot;,&quot;publisher&quot;:&quot;J Neurol Neurosurg Psychiatry&quot;,&quot;issue&quot;:&quot;2&quot;,&quot;volume&quot;:&quot;85&quot;},&quot;isTemporary&quot;:false}],&quot;citationTag&quot;:&quot;MENDELEY_CITATION_v3_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&quot;},{&quot;citationID&quot;:&quot;MENDELEY_CITATION_cd0f3dc3-dfab-45c9-96ae-3ad9eb591105&quot;,&quot;properties&quot;:{&quot;noteIndex&quot;:0},&quot;isEdited&quot;:false,&quot;manualOverride&quot;:{&quot;isManuallyOverridden&quot;:false,&quot;citeprocText&quot;:&quot;(Karakis et al., 2020; Robson et al., 2018)&quot;,&quot;manualOverrideText&quot;:&quot;&quot;},&quot;citationItems&quot;:[{&quot;id&quot;:&quot;938af643-ba74-37c7-a8b5-7af5edb7f28c&quot;,&quot;itemData&quot;:{&quot;type&quot;:&quot;article-journal&quot;,&quot;id&quot;:&quot;938af643-ba74-37c7-a8b5-7af5edb7f28c&quot;,&quot;title&quot;:&quot;Health related quality of life of people with non-epileptic seizures: The role of socio-demographic characteristics and stigma&quot;,&quot;author&quot;:[{&quot;family&quot;:&quot;Robson&quot;,&quot;given&quot;:&quot;Catherine&quot;,&quot;parse-names&quot;:false,&quot;dropping-particle&quot;:&quot;&quot;,&quot;non-dropping-particle&quot;:&quot;&quot;},{&quot;family&quot;:&quot;Myers&quot;,&quot;given&quot;:&quot;Lorna&quot;,&quot;parse-names&quot;:false,&quot;dropping-particle&quot;:&quot;&quot;,&quot;non-dropping-particle&quot;:&quot;&quot;},{&quot;family&quot;:&quot;Pretorius&quot;,&quot;given&quot;:&quot;Chrisma&quot;,&quot;parse-names&quot;:false,&quot;dropping-particle&quot;:&quot;&quot;,&quot;non-dropping-particle&quot;:&quot;&quot;},{&quot;family&quot;:&quot;Lian&quot;,&quot;given&quot;:&quot;Olaug S.&quot;,&quot;parse-names&quot;:false,&quot;dropping-particle&quot;:&quot;&quot;,&quot;non-dropping-particle&quot;:&quot;&quot;},{&quot;family&quot;:&quot;Reuber&quot;,&quot;given&quot;:&quot;Markus&quot;,&quot;parse-names&quot;:false,&quot;dropping-particle&quot;:&quot;&quot;,&quot;non-dropping-particle&quot;:&quot;&quot;}],&quot;container-title&quot;:&quot;Seizure&quot;,&quot;container-title-short&quot;:&quot;Seizure&quot;,&quot;accessed&quot;:{&quot;date-parts&quot;:[[2023,5,7]]},&quot;DOI&quot;:&quot;10.1016/J.SEIZURE.2018.01.001&quot;,&quot;ISSN&quot;:&quot;1532-2688&quot;,&quot;PMID&quot;:&quot;29414141&quot;,&quot;URL&quot;:&quot;https://pubmed.ncbi.nlm.nih.gov/29414141/&quot;,&quot;issued&quot;:{&quot;date-parts&quot;:[[2018,2,1]]},&quot;page&quot;:&quot;93-99&quot;,&quot;abstract&quot;:&quot;Purpose: People with non-epileptic seizures (NES) consistently report poorer Health-Related Quality of Life (HRQoL) than people with epilepsy. Yet, unlike in epilepsy, knowledge of how social factors influence the HRQoL of adults with NES is limited. To add to the evidence base, this study explores the relationship between HRQoL and perceived stigma among adults with NES, and the role of socio-demographic characteristics. Methods: Data was gathered from a survey of 115 people living with the condition, recruited from online support groups. Participants provided socio-demographic and health-related data and completed a series of questions investigating their HRQoL (QOLIE-31) and stigma perceptions (10-item Epilepsy Stigma Scale). Results: Participants were found to experience high levels of perceived stigma (median 5.2, mean 4.9). A significant and moderate inverse correlation was observed between HRQoL and stigma (rs − 0.474, p = &lt; 0.001); suggesting higher perceptions of stigma contribute to poorer HRQoL among adults with NES. Stigma perceptions were found to be most strongly associated with the seizure worry (rs = − 0.479), emotional wellbeing (rs = − 0.421), and social functioning (rs = 0.407) HRQoL domains. Participants who reported being in employment or education were found to have significantly better HRQoL than those who were not (p = &lt; 0.001). Conclusion: More (qualitative and quantitative) research is justified to understand how – and why – those with the condition experience stigmatisation, and the factors that impede and help facilitate the participation of people with NES in education and employment.&quot;,&quot;publisher&quot;:&quot;Seizure&quot;,&quot;volume&quot;:&quot;55&quot;},&quot;isTemporary&quot;:false},{&quot;id&quot;:&quot;e398ee69-27dd-3268-a535-08a6ac9f9d5f&quot;,&quot;itemData&quot;:{&quot;type&quot;:&quot;article-journal&quot;,&quot;id&quot;:&quot;e398ee69-27dd-3268-a535-08a6ac9f9d5f&quot;,&quot;title&quot;:&quot;Stigma in psychogenic nonepileptic seizures&quot;,&quot;author&quot;:[{&quot;family&quot;:&quot;Karakis&quot;,&quot;given&quot;:&quot;Ioannis&quot;,&quot;parse-names&quot;:false,&quot;dropping-particle&quot;:&quot;&quot;,&quot;non-dropping-particle&quot;:&quot;&quot;},{&quot;family&quot;:&quot;Janocko&quot;,&quot;given&quot;:&quot;Nicholas J.&quot;,&quot;parse-names&quot;:false,&quot;dropping-particle&quot;:&quot;&quot;,&quot;non-dropping-particle&quot;:&quot;&quot;},{&quot;family&quot;:&quot;Morton&quot;,&quot;given&quot;:&quot;Matthew L.&quot;,&quot;parse-names&quot;:false,&quot;dropping-particle&quot;:&quot;&quot;,&quot;non-dropping-particle&quot;:&quot;&quot;},{&quot;family&quot;:&quot;Groover&quot;,&quot;given&quot;:&quot;Olivia&quot;,&quot;parse-names&quot;:false,&quot;dropping-particle&quot;:&quot;&quot;,&quot;non-dropping-particle&quot;:&quot;&quot;},{&quot;family&quot;:&quot;Teagarden&quot;,&quot;given&quot;:&quot;Diane L.&quot;,&quot;parse-names&quot;:false,&quot;dropping-particle&quot;:&quot;&quot;,&quot;non-dropping-particle&quot;:&quot;&quot;},{&quot;family&quot;:&quot;Villarreal&quot;,&quot;given&quot;:&quot;Hannah K.&quot;,&quot;parse-names&quot;:false,&quot;dropping-particle&quot;:&quot;&quot;,&quot;non-dropping-particle&quot;:&quot;&quot;},{&quot;family&quot;:&quot;Loring&quot;,&quot;given&quot;:&quot;David W.&quot;,&quot;parse-names&quot;:false,&quot;dropping-particle&quot;:&quot;&quot;,&quot;non-dropping-particle&quot;:&quot;&quot;},{&quot;family&quot;:&quot;Drane&quot;,&quot;given&quot;:&quot;Daniel L.&quot;,&quot;parse-names&quot;:false,&quot;dropping-particle&quot;:&quot;&quot;,&quot;non-dropping-particle&quot;:&quot;&quot;}],&quot;container-title&quot;:&quot;Epilepsy &amp; behavior : E&amp;B&quot;,&quot;container-title-short&quot;:&quot;Epilepsy Behav&quot;,&quot;accessed&quot;:{&quot;date-parts&quot;:[[2023,5,3]]},&quot;DOI&quot;:&quot;10.1016/J.YEBEH.2020.107269&quot;,&quot;ISSN&quot;:&quot;1525-5069&quot;,&quot;PMID&quot;:&quot;32650291&quot;,&quot;URL&quot;:&quot;https://pubmed.ncbi.nlm.nih.gov/32650291/&quot;,&quot;issued&quot;:{&quot;date-parts&quot;:[[2020,10,1]]},&quot;abstract&quot;:&quot;Objective: There is scarce literature on stigma in families living with psychogenic nonepileptic seizures (PNES). Using a cohort of patients with epileptic seizures (ES) and their caregivers as controls, we aimed to quantify the level of patient and caregiver stigma in PNES and identify associations of patient and caregiver characteristics with it. Methods: Patients with PNES and ES and their caregivers completed surveys about demographic, clinical, and psychosocial characteristics. Multivariate regression analysis was used to identify correlates of patient and caregiver stigma. Results: Forty-three patients with PNES and 165 patients with ES were recruited. Compared with patients with ES, patients with PNES had shorter disease duration, higher seizure frequency, normal diagnostic data, poorer psychosocial health, and fewer antiseizure medications (ASMs). A total of 76.5% of patients with PNES and 59.5% of patients with ES felt stigmatized. Patient stigma level was higher in patients with PNES compared with those with ES, and it was negatively associated with patient quality of life (QOL). Additionally, 28 caregivers of patients with PNES and 99 caregivers of patients with ES were recruited. There were no significant demographic, caregiving, or psychosocial differences between the two caregiver cohorts. Seventy-two percent of caregivers of patients with PNES and 47% of caregivers of patients with ES felt stigmatized. Caregiver stigma level was also higher in caregivers of patients with PNES compared with caregivers of patients with ES, and it was negatively associated with patient QOL and positively associated with patient and caregiver anxiety. Conclusion: Compared with those with ES, patients and caregivers living with PNES experience stigma more frequently and to a higher extent. Patient QOL emerges as a consistent correlate of that stigma.&quot;,&quot;publisher&quot;:&quot;Epilepsy Behav&quot;,&quot;volume&quot;:&quot;111&quot;},&quot;isTemporary&quot;:false}],&quot;citationTag&quot;:&quot;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&quot;},{&quot;citationID&quot;:&quot;MENDELEY_CITATION_ef6f8414-3c59-48b3-871d-5145fad14672&quot;,&quot;properties&quot;:{&quot;noteIndex&quot;:0},&quot;isEdited&quot;:false,&quot;manualOverride&quot;:{&quot;isManuallyOverridden&quot;:false,&quot;citeprocText&quot;:&quot;(Kaggwa et al., 2023; Karakis et al., 2020)&quot;,&quot;manualOverrideText&quot;:&quot;&quot;},&quot;citationItems&quot;:[{&quot;id&quot;:&quot;e035a668-2f6c-39cb-b5f7-84e17356e4ad&quot;,&quot;itemData&quot;:{&quot;type&quot;:&quot;article-journal&quot;,&quot;id&quot;:&quot;e035a668-2f6c-39cb-b5f7-84e17356e4ad&quot;,&quot;title&quot;:&quot;Involvement and burden of informal caregivers of patients with mental illness: the mediating role of affiliated stigma&quot;,&quot;author&quot;:[{&quot;family&quot;:&quot;Kaggwa&quot;,&quot;given&quot;:&quot;Mark Mohan&quot;,&quot;parse-names&quot;:false,&quot;dropping-particle&quot;:&quot;&quot;,&quot;non-dropping-particle&quot;:&quot;&quot;},{&quot;family&quot;:&quot;Najjuka&quot;,&quot;given&quot;:&quot;Sarah Maria&quot;,&quot;parse-names&quot;:false,&quot;dropping-particle&quot;:&quot;&quot;,&quot;non-dropping-particle&quot;:&quot;&quot;},{&quot;family&quot;:&quot;Mamun&quot;,&quot;given&quot;:&quot;Mohammed A.&quot;,&quot;parse-names&quot;:false,&quot;dropping-particle&quot;:&quot;&quot;,&quot;non-dropping-particle&quot;:&quot;&quot;},{&quot;family&quot;:&quot;Griffiths&quot;,&quot;given&quot;:&quot;Mark D.&quot;,&quot;parse-names&quot;:false,&quot;dropping-particle&quot;:&quot;&quot;,&quot;non-dropping-particle&quot;:&quot;&quot;},{&quot;family&quot;:&quot;Nyemara&quot;,&quot;given&quot;:&quot;Novatus&quot;,&quot;parse-names&quot;:false,&quot;dropping-particle&quot;:&quot;&quot;,&quot;non-dropping-particle&quot;:&quot;&quot;},{&quot;family&quot;:&quot;Ashaba&quot;,&quot;given&quot;:&quot;Scholastic&quot;,&quot;parse-names&quot;:false,&quot;dropping-particle&quot;:&quot;&quot;,&quot;non-dropping-particle&quot;:&quot;&quot;}],&quot;container-title&quot;:&quot;BMC Psychiatry&quot;,&quot;container-title-short&quot;:&quot;BMC Psychiatry&quot;,&quot;accessed&quot;:{&quot;date-parts&quot;:[[2023,5,7]]},&quot;DOI&quot;:&quot;10.1186/S12888-023-04553-X/TABLES/4&quot;,&quot;ISSN&quot;:&quot;1471244X&quot;,&quot;PMID&quot;:&quot;36703121&quot;,&quot;URL&quot;:&quot;https://bmcpsychiatry.biomedcentral.com/articles/10.1186/s12888-023-04553-x&quot;,&quot;issued&quot;:{&quot;date-parts&quot;:[[2023,12,1]]},&quot;page&quot;:&quot;1-9&quot;,&quot;abstract&quot;:&quot;Background: The fear and lack of understanding of mental illness can lead to stigma. The stigma of mental illness affects not only individuals who suffer from it, but also the caregivers. Stigma among caregivers can lead to delay in seeking care, poor adherence to treatment and a high risk of relapse. Caregivers of patients with mental illness are at an increased risk of distress due to the burden to stigma and caregiving burden. An increase in caregivers’ burden can lead to a reduction in caregivers’ involvement. There is a relationship between caregivers’ involvement, burden, and affiliated stigma. The present study examined the mediating role of affiliated stigma in the relationship between caregivers’ burden and involvement among informal caregivers of hospital-admitted patients with mental illness in Uganda. Methods: A cross-sectional study was conducted among 428 informal caregivers (mean age: 39.6 years [SD±14.6]; females = 62.1%). Information was collected regarding sociodemographic characteristics, affiliated stigma, and the involvement and burden of informal caregivers. Results: The findings indicate that affiliated stigma serves as a full mediator between the caregiver’s roles and involvement (β=15.97, p&lt;0.001). Being female increased the caregivers’ burden of caregiving (β= -0.23, p&lt;0.001). Conclusion: The findings in the present study suggest that intervention to address affiliated stigma among caregivers of patients with mental illness should be incorporated into mainstream mental health care to reduce the caregiving burden.&quot;,&quot;publisher&quot;:&quot;BioMed Central Ltd&quot;,&quot;issue&quot;:&quot;1&quot;,&quot;volume&quot;:&quot;23&quot;},&quot;isTemporary&quot;:false},{&quot;id&quot;:&quot;e398ee69-27dd-3268-a535-08a6ac9f9d5f&quot;,&quot;itemData&quot;:{&quot;type&quot;:&quot;article-journal&quot;,&quot;id&quot;:&quot;e398ee69-27dd-3268-a535-08a6ac9f9d5f&quot;,&quot;title&quot;:&quot;Stigma in psychogenic nonepileptic seizures&quot;,&quot;author&quot;:[{&quot;family&quot;:&quot;Karakis&quot;,&quot;given&quot;:&quot;Ioannis&quot;,&quot;parse-names&quot;:false,&quot;dropping-particle&quot;:&quot;&quot;,&quot;non-dropping-particle&quot;:&quot;&quot;},{&quot;family&quot;:&quot;Janocko&quot;,&quot;given&quot;:&quot;Nicholas J.&quot;,&quot;parse-names&quot;:false,&quot;dropping-particle&quot;:&quot;&quot;,&quot;non-dropping-particle&quot;:&quot;&quot;},{&quot;family&quot;:&quot;Morton&quot;,&quot;given&quot;:&quot;Matthew L.&quot;,&quot;parse-names&quot;:false,&quot;dropping-particle&quot;:&quot;&quot;,&quot;non-dropping-particle&quot;:&quot;&quot;},{&quot;family&quot;:&quot;Groover&quot;,&quot;given&quot;:&quot;Olivia&quot;,&quot;parse-names&quot;:false,&quot;dropping-particle&quot;:&quot;&quot;,&quot;non-dropping-particle&quot;:&quot;&quot;},{&quot;family&quot;:&quot;Teagarden&quot;,&quot;given&quot;:&quot;Diane L.&quot;,&quot;parse-names&quot;:false,&quot;dropping-particle&quot;:&quot;&quot;,&quot;non-dropping-particle&quot;:&quot;&quot;},{&quot;family&quot;:&quot;Villarreal&quot;,&quot;given&quot;:&quot;Hannah K.&quot;,&quot;parse-names&quot;:false,&quot;dropping-particle&quot;:&quot;&quot;,&quot;non-dropping-particle&quot;:&quot;&quot;},{&quot;family&quot;:&quot;Loring&quot;,&quot;given&quot;:&quot;David W.&quot;,&quot;parse-names&quot;:false,&quot;dropping-particle&quot;:&quot;&quot;,&quot;non-dropping-particle&quot;:&quot;&quot;},{&quot;family&quot;:&quot;Drane&quot;,&quot;given&quot;:&quot;Daniel L.&quot;,&quot;parse-names&quot;:false,&quot;dropping-particle&quot;:&quot;&quot;,&quot;non-dropping-particle&quot;:&quot;&quot;}],&quot;container-title&quot;:&quot;Epilepsy &amp; behavior : E&amp;B&quot;,&quot;container-title-short&quot;:&quot;Epilepsy Behav&quot;,&quot;accessed&quot;:{&quot;date-parts&quot;:[[2023,5,3]]},&quot;DOI&quot;:&quot;10.1016/J.YEBEH.2020.107269&quot;,&quot;ISSN&quot;:&quot;1525-5069&quot;,&quot;PMID&quot;:&quot;32650291&quot;,&quot;URL&quot;:&quot;https://pubmed.ncbi.nlm.nih.gov/32650291/&quot;,&quot;issued&quot;:{&quot;date-parts&quot;:[[2020,10,1]]},&quot;abstract&quot;:&quot;Objective: There is scarce literature on stigma in families living with psychogenic nonepileptic seizures (PNES). Using a cohort of patients with epileptic seizures (ES) and their caregivers as controls, we aimed to quantify the level of patient and caregiver stigma in PNES and identify associations of patient and caregiver characteristics with it. Methods: Patients with PNES and ES and their caregivers completed surveys about demographic, clinical, and psychosocial characteristics. Multivariate regression analysis was used to identify correlates of patient and caregiver stigma. Results: Forty-three patients with PNES and 165 patients with ES were recruited. Compared with patients with ES, patients with PNES had shorter disease duration, higher seizure frequency, normal diagnostic data, poorer psychosocial health, and fewer antiseizure medications (ASMs). A total of 76.5% of patients with PNES and 59.5% of patients with ES felt stigmatized. Patient stigma level was higher in patients with PNES compared with those with ES, and it was negatively associated with patient quality of life (QOL). Additionally, 28 caregivers of patients with PNES and 99 caregivers of patients with ES were recruited. There were no significant demographic, caregiving, or psychosocial differences between the two caregiver cohorts. Seventy-two percent of caregivers of patients with PNES and 47% of caregivers of patients with ES felt stigmatized. Caregiver stigma level was also higher in caregivers of patients with PNES compared with caregivers of patients with ES, and it was negatively associated with patient QOL and positively associated with patient and caregiver anxiety. Conclusion: Compared with those with ES, patients and caregivers living with PNES experience stigma more frequently and to a higher extent. Patient QOL emerges as a consistent correlate of that stigma.&quot;,&quot;publisher&quot;:&quot;Epilepsy Behav&quot;,&quot;volume&quot;:&quot;111&quot;},&quot;isTemporary&quot;:false}],&quot;citationTag&quot;:&quot;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&quot;},{&quot;citationID&quot;:&quot;MENDELEY_CITATION_e03b7e65-60a7-473c-a38a-a746d0cbaf9e&quot;,&quot;properties&quot;:{&quot;noteIndex&quot;:0},&quot;isEdited&quot;:false,&quot;manualOverride&quot;:{&quot;isManuallyOverridden&quot;:false,&quot;citeprocText&quot;:&quot;(Gelauff et al., 2014; Stone et al., 2002; K. Whitehead et al., 2013)&quot;,&quot;manualOverrideText&quot;:&quot;&quot;},&quot;citationItems&quot;:[{&quot;id&quot;:&quot;171e35cf-2d20-3410-ac0b-acdccade4d42&quot;,&quot;itemData&quot;:{&quot;type&quot;:&quot;article-journal&quot;,&quot;id&quot;:&quot;171e35cf-2d20-3410-ac0b-acdccade4d42&quot;,&quot;title&quot;:&quot;The prognosis of functional (psychogenic) motor symptoms: a systematic review&quot;,&quot;author&quot;:[{&quot;family&quot;:&quot;Gelauff&quot;,&quot;given&quot;:&quot;Jeannette&quot;,&quot;parse-names&quot;:false,&quot;dropping-particle&quot;:&quot;&quot;,&quot;non-dropping-particle&quot;:&quot;&quot;},{&quot;family&quot;:&quot;Stone&quot;,&quot;given&quot;:&quot;Jon&quot;,&quot;parse-names&quot;:false,&quot;dropping-particle&quot;:&quot;&quot;,&quot;non-dropping-particle&quot;:&quot;&quot;},{&quot;family&quot;:&quot;Edwards&quot;,&quot;given&quot;:&quot;Mark&quot;,&quot;parse-names&quot;:false,&quot;dropping-particle&quot;:&quot;&quot;,&quot;non-dropping-particle&quot;:&quot;&quot;},{&quot;family&quot;:&quot;Carson&quot;,&quot;given&quot;:&quot;Alan&quot;,&quot;parse-names&quot;:false,&quot;dropping-particle&quot;:&quot;&quot;,&quot;non-dropping-particle&quot;:&quot;&quot;}],&quot;container-title&quot;:&quot;Journal of neurology, neurosurgery, and psychiatry&quot;,&quot;container-title-short&quot;:&quot;J Neurol Neurosurg Psychiatry&quot;,&quot;accessed&quot;:{&quot;date-parts&quot;:[[2023,5,7]]},&quot;DOI&quot;:&quot;10.1136/JNNP-2013-305321&quot;,&quot;ISSN&quot;:&quot;1468-330X&quot;,&quot;PMID&quot;:&quot;24029543&quot;,&quot;URL&quot;:&quot;https://pubmed.ncbi.nlm.nih.gov/24029543/&quot;,&quot;issued&quot;:{&quot;date-parts&quot;:[[2014]]},&quot;page&quot;:&quot;220-226&quot;,&quot;abstract&quot;:&quot;Background The prognosis of functional (or psychogenic) motor symptoms (weakness and movement disorder) has not been systematically reviewed. Methods We systematically reviewed PubMed for all studies of eight or more patients with functional motor symptoms reporting follow-up data longer than 6 months (excluding studies reporting specific treatments). We recorded symptom duration, physical and psychiatric comorbidity, disability, occupational functioning at follow-up and prognostic factors. Results 24 studies were included. There was heterogeneity regarding study size (number of patients (n)=10 491), follow-up duration clinical setting and data availability. Most studies (n=15) were retrospective. Reported symptom outcome was highly variable. Mean weighted follow-up duration was 7.4 years (in 13 studies where data was extractable). The mean percentage of patients same or worse at follow-up for all studies was 39%, range 10% to 90%, n=1134. Levels of physical disability and psychological comorbidity at follow-up were high. Short duration of symptoms, early diagnosis and high satisfaction with care predicted positive outcome in two studies. Gender had no effect. Delayed diagnosis and personality disorder were negatively correlated with outcome. Prognostic factors that varied between studies included age, comorbid anxiety and depression, IQ, educational status, marital status and pending litigation. Conclusions Existing follow-up studies of functional motor symptoms give us some insights regarding outcome and prognostic factors but are limited by their largely retrospective and selective nature. Overall, prognosis appears unfavourable. The severity and chronicity of functional motor symptoms argues for larger prospective studies including multiple prognostic factors at baseline in order to better understand their natural history.&quot;,&quot;publisher&quot;:&quot;J Neurol Neurosurg Psychiatry&quot;,&quot;issue&quot;:&quot;2&quot;,&quot;volume&quot;:&quot;85&quot;},&quot;isTemporary&quot;:false},{&quot;id&quot;:&quot;068251c2-5ccd-390a-aca1-b28016228d63&quot;,&quot;itemData&quot;:{&quot;type&quot;:&quot;article-journal&quot;,&quot;id&quot;:&quot;068251c2-5ccd-390a-aca1-b28016228d63&quot;,&quot;title&quot;:&quot;What should we say to patients with symptoms unexplained by disease? The \&quot;number needed to offend\&quot;&quot;,&quot;author&quot;:[{&quot;family&quot;:&quot;Stone&quot;,&quot;given&quot;:&quot;Jon&quot;,&quot;parse-names&quot;:false,&quot;dropping-particle&quot;:&quot;&quot;,&quot;non-dropping-particle&quot;:&quot;&quot;},{&quot;family&quot;:&quot;Wojcik&quot;,&quot;given&quot;:&quot;Wojtek&quot;,&quot;parse-names&quot;:false,&quot;dropping-particle&quot;:&quot;&quot;,&quot;non-dropping-particle&quot;:&quot;&quot;},{&quot;family&quot;:&quot;Durrance&quot;,&quot;given&quot;:&quot;Daniel&quot;,&quot;parse-names&quot;:false,&quot;dropping-particle&quot;:&quot;&quot;,&quot;non-dropping-particle&quot;:&quot;&quot;},{&quot;family&quot;:&quot;Carson&quot;,&quot;given&quot;:&quot;Alan&quot;,&quot;parse-names&quot;:false,&quot;dropping-particle&quot;:&quot;&quot;,&quot;non-dropping-particle&quot;:&quot;&quot;},{&quot;family&quot;:&quot;Lewis&quot;,&quot;given&quot;:&quot;Steff&quot;,&quot;parse-names&quot;:false,&quot;dropping-particle&quot;:&quot;&quot;,&quot;non-dropping-particle&quot;:&quot;&quot;},{&quot;family&quot;:&quot;MacKenzie&quot;,&quot;given&quot;:&quot;Lesley&quot;,&quot;parse-names&quot;:false,&quot;dropping-particle&quot;:&quot;&quot;,&quot;non-dropping-particle&quot;:&quot;&quot;},{&quot;family&quot;:&quot;Warlow&quot;,&quot;given&quot;:&quot;Charles P.&quot;,&quot;parse-names&quot;:false,&quot;dropping-particle&quot;:&quot;&quot;,&quot;non-dropping-particle&quot;:&quot;&quot;},{&quot;family&quot;:&quot;Sharpe&quot;,&quot;given&quot;:&quot;Michael&quot;,&quot;parse-names&quot;:false,&quot;dropping-particle&quot;:&quot;&quot;,&quot;non-dropping-particle&quot;:&quot;&quot;}],&quot;container-title&quot;:&quot;BMJ (Clinical research ed.)&quot;,&quot;container-title-short&quot;:&quot;BMJ&quot;,&quot;accessed&quot;:{&quot;date-parts&quot;:[[2023,5,7]]},&quot;DOI&quot;:&quot;10.1136/BMJ.325.7378.1449&quot;,&quot;ISSN&quot;:&quot;1756-1833&quot;,&quot;PMID&quot;:&quot;12493661&quot;,&quot;URL&quot;:&quot;https://pubmed.ncbi.nlm.nih.gov/12493661/&quot;,&quot;issued&quot;:{&quot;date-parts&quot;:[[2002,12,21]]},&quot;page&quot;:&quot;1449-1450&quot;,&quot;publisher&quot;:&quot;BMJ&quot;,&quot;issue&quot;:&quot;7378&quot;,&quot;volume&quot;:&quot;325&quot;},&quot;isTemporary&quot;:false},{&quot;id&quot;:&quot;ec3168df-7357-38a3-b02f-a00c25d5f7ff&quot;,&quot;itemData&quot;:{&quot;type&quot;:&quot;article-journal&quot;,&quot;id&quot;:&quot;ec3168df-7357-38a3-b02f-a00c25d5f7ff&quot;,&quot;title&quot;:&quot;Patients' and neurologists' perception of epilepsy and psychogenic nonepileptic seizures&quot;,&quot;author&quot;:[{&quot;family&quot;:&quot;Whitehead&quot;,&quot;given&quot;:&quot;Kimberley&quot;,&quot;parse-names&quot;:false,&quot;dropping-particle&quot;:&quot;&quot;,&quot;non-dropping-particle&quot;:&quot;&quot;},{&quot;family&quot;:&quot;Kandler&quot;,&quot;given&quot;:&quot;Rosalind&quot;,&quot;parse-names&quot;:false,&quot;dropping-particle&quot;:&quot;&quot;,&quot;non-dropping-particle&quot;:&quot;&quot;},{&quot;family&quot;:&quot;Reuber&quot;,&quot;given&quot;:&quot;Markus&quot;,&quot;parse-names&quot;:false,&quot;dropping-particle&quot;:&quot;&quot;,&quot;non-dropping-particle&quot;:&quot;&quot;}],&quot;container-title&quot;:&quot;Epilepsia&quot;,&quot;container-title-short&quot;:&quot;Epilepsia&quot;,&quot;accessed&quot;:{&quot;date-parts&quot;:[[2023,5,7]]},&quot;DOI&quot;:&quot;10.1111/EPI.12087&quot;,&quot;ISSN&quot;:&quot;1528-1167&quot;,&quot;PMID&quot;:&quot;23346922&quot;,&quot;URL&quot;:&quot;https://onlinelibrary.wiley.com/doi/full/10.1111/epi.12087&quot;,&quot;issued&quot;:{&quot;date-parts&quot;:[[2013,4,1]]},&quot;page&quot;:&quot;708-717&quot;,&quot;abstract&quot;:&quot;Purpose Although differences in illness perceptions between neurologists and patients with epilepsy or psychogenic nonepileptic seizures (PNES) are likely to be clinically relevant, this is the first study to attempt a direct comparison. In addition, this study compares the illness perceptions of patients with epilepsy with those of patients with PNES. Methods Thirty-four patients with epilepsy, 40 patients with PNES, and 45 neurologists were recruited. All patient participants completed versions of the illness perception questionnaire revised (IPQ-R) adapted for epileptic or nonepileptic seizure disorders, single-item symptom attribution question (SAQ), Hospital Anxiety and Depression Scale (HADS), Quality of Life in Epilepsy-31 (QOLIE-31), and Liverpool Seizure Severity Scale (LSSS). Participating neurologists completed two versions of the IPQ-R and two SAQs for epileptic and nonepileptic seizure disorders. Key Findings Differences in illness perceptions between patients with epilepsy and patients with PNES were minor compared to those between patients with either seizure disorder and neurologists. Neurologists considered both seizure disorders more treatable and more amenable to personal control than did the patients themselves. Neurologists had much more polarized views of the etiology of both conditions; whereas patients mostly considered the causes of their seizure disorders as partially \&quot;physical\&quot; and partially \&quot;psychological,\&quot; neurologists perceived epilepsy as an essentially \&quot;physical\&quot; and PNES as a clearly \&quot;psychological\&quot; problem. Significance There are considerable differences between the illness perceptions of patients with seizure disorders and their doctors, which could represent barriers to successful clinical management. In particular, a discrepancy between neurologists' and patients' beliefs about the personal control that patients may be able to exert over PNES could contribute to the confusion or anger some patients report after the diagnosis has been explained to them. Furthermore, patients' endorsement of \&quot;physical\&quot; causes for PNES may reflect an unrealistic faith in the effectiveness of \&quot;physical\&quot; treatments and could be a cause of tension in patients' relationship with their doctor, for instance when the neurologist attempts to withdraw antiepileptic drug treatment or refers patients for psychological interventions. © 2012 International League Against Epilepsy.&quot;,&quot;publisher&quot;:&quot;John Wiley &amp; Sons, Ltd&quot;,&quot;issue&quot;:&quot;4&quot;,&quot;volume&quot;:&quot;54&quot;},&quot;isTemporary&quot;:false}],&quot;citationTag&quot;:&quot;MENDELEY_CITATION_v3_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&quot;},{&quot;citationID&quot;:&quot;MENDELEY_CITATION_a898decd-52ef-4752-92b4-17843e05ef44&quot;,&quot;properties&quot;:{&quot;noteIndex&quot;:0},&quot;isEdited&quot;:false,&quot;manualOverride&quot;:{&quot;isManuallyOverridden&quot;:false,&quot;citeprocText&quot;:&quot;(Macduffie et al., 2020; Perez et al., 2021; Rommelfanger et al., 2017)&quot;,&quot;manualOverrideText&quot;:&quot;&quot;},&quot;citationItems&quot;:[{&quot;id&quot;:&quot;c17e3ec5-4500-37e6-9777-0c7b98fb2855&quot;,&quot;itemData&quot;:{&quot;type&quot;:&quot;article-journal&quot;,&quot;id&quot;:&quot;c17e3ec5-4500-37e6-9777-0c7b98fb2855&quot;,&quot;title&quot;:&quot;Decade of progress in motor functional neurological disorder: continuing the momentum&quot;,&quot;author&quot;:[{&quot;family&quot;:&quot;Perez&quot;,&quot;given&quot;:&quot;David L.&quot;,&quot;parse-names&quot;:false,&quot;dropping-particle&quot;:&quot;&quot;,&quot;non-dropping-particle&quot;:&quot;&quot;},{&quot;family&quot;:&quot;Edwards&quot;,&quot;given&quot;:&quot;Mark J.&quot;,&quot;parse-names&quot;:false,&quot;dropping-particle&quot;:&quot;&quot;,&quot;non-dropping-particle&quot;:&quot;&quot;},{&quot;family&quot;:&quot;Nielsen&quot;,&quot;given&quot;:&quot;Glenn&quot;,&quot;parse-names&quot;:false,&quot;dropping-particle&quot;:&quot;&quot;,&quot;non-dropping-particle&quot;:&quot;&quot;},{&quot;family&quot;:&quot;Kozlowska&quot;,&quot;given&quot;:&quot;Kasia&quot;,&quot;parse-names&quot;:false,&quot;dropping-particle&quot;:&quot;&quot;,&quot;non-dropping-particle&quot;:&quot;&quot;},{&quot;family&quot;:&quot;Hallett&quot;,&quot;given&quot;:&quot;Mark&quot;,&quot;parse-names&quot;:false,&quot;dropping-particle&quot;:&quot;&quot;,&quot;non-dropping-particle&quot;:&quot;&quot;},{&quot;family&quot;:&quot;Curt Lafrance&quot;,&quot;given&quot;:&quot;W.&quot;,&quot;parse-names&quot;:false,&quot;dropping-particle&quot;:&quot;&quot;,&quot;non-dropping-particle&quot;:&quot;&quot;}],&quot;container-title&quot;:&quot;Journal of Neurology, Neurosurgery &amp; Psychiatry&quot;,&quot;container-title-short&quot;:&quot;J Neurol Neurosurg Psychiatry&quot;,&quot;accessed&quot;:{&quot;date-parts&quot;:[[2023,5,7]]},&quot;DOI&quot;:&quot;10.1136/JNNP-2020-323953&quot;,&quot;ISSN&quot;:&quot;0022-3050&quot;,&quot;PMID&quot;:&quot;33722822&quot;,&quot;URL&quot;:&quot;https://jnnp.bmj.com/content/92/6/668&quot;,&quot;issued&quot;:{&quot;date-parts&quot;:[[2021,6,1]]},&quot;page&quot;:&quot;668-677&quot;,&quot;abstract&quot;:&quot;Functional neurological disorder (FND) is a prevalent, disabling and costly condition at the neurology–psychiatry intersection. After being marginalised in the late 20th century, there has been renewed interest in this field. In this article, we review advances that have occurred over the past decade (2011–2020) across diagnosis, mechanisms, aetiologies, treatments and stigma in patients with motor FND (mFND, that is, functional movement disorder and functional limb weakness). In each content area, we also discuss the implications of recent advances and suggest future directions that will help continue the momentum of the past decade. In diagnosis, a major advance has been the emphasis on rule-in physical signs that are specific for hyperkinetic and hypokinetic functional motor symptoms. Mechanistically, greater importance has been given to determining ‘how’ functional neurological symptoms develop, highlighting roles for misdirected attention, expectation and self-agency, as well as abnormal influences of emotion/threat processing brain areas on motor control circuits. Aetiologically, while roles for adverse life experiences remain of interest in mFND, there is recognition of other aetiologic contributors, and efforts are needed to investigate links between aetiological factors and mechanisms. This decade has seen the first randomised controlled trials for physiotherapy, multidisciplinary rehabilitation and psychotherapy performed in the field, with consensus recommendations for physiotherapy, occupational therapy and outcome measures also published. Across patients, clinicians, healthcare systems and society, stigma remains a major concern. While challenges persist, a patient-centred integrated clinical neuroscience approach is primed to carry forward the momentum of the past decade into the future.&quot;,&quot;publisher&quot;:&quot;BMJ Publishing Group Ltd&quot;,&quot;issue&quot;:&quot;6&quot;,&quot;volume&quot;:&quot;92&quot;},&quot;isTemporary&quot;:false},{&quot;id&quot;:&quot;be2703b2-e316-39c0-a272-291db14964c8&quot;,&quot;itemData&quot;:{&quot;type&quot;:&quot;article-journal&quot;,&quot;id&quot;:&quot;be2703b2-e316-39c0-a272-291db14964c8&quot;,&quot;title&quot;:&quot;Disentangling stigma from functional neurological disorders: Conference report and roadmap for the future&quot;,&quot;author&quot;:[{&quot;family&quot;:&quot;Rommelfanger&quot;,&quot;given&quot;:&quot;Karen S.&quot;,&quot;parse-names&quot;:false,&quot;dropping-particle&quot;:&quot;&quot;,&quot;non-dropping-particle&quot;:&quot;&quot;},{&quot;family&quot;:&quot;Factor&quot;,&quot;given&quot;:&quot;Stewart A.&quot;,&quot;parse-names&quot;:false,&quot;dropping-particle&quot;:&quot;&quot;,&quot;non-dropping-particle&quot;:&quot;&quot;},{&quot;family&quot;:&quot;LaRoche&quot;,&quot;given&quot;:&quot;Suzette&quot;,&quot;parse-names&quot;:false,&quot;dropping-particle&quot;:&quot;&quot;,&quot;non-dropping-particle&quot;:&quot;&quot;},{&quot;family&quot;:&quot;Rosen&quot;,&quot;given&quot;:&quot;Phyllis&quot;,&quot;parse-names&quot;:false,&quot;dropping-particle&quot;:&quot;&quot;,&quot;non-dropping-particle&quot;:&quot;&quot;},{&quot;family&quot;:&quot;Young&quot;,&quot;given&quot;:&quot;Raymond&quot;,&quot;parse-names&quot;:false,&quot;dropping-particle&quot;:&quot;&quot;,&quot;non-dropping-particle&quot;:&quot;&quot;},{&quot;family&quot;:&quot;Rapaport&quot;,&quot;given&quot;:&quot;Mark H.&quot;,&quot;parse-names&quot;:false,&quot;dropping-particle&quot;:&quot;&quot;,&quot;non-dropping-particle&quot;:&quot;&quot;}],&quot;container-title&quot;:&quot;Frontiers in Neurology&quot;,&quot;container-title-short&quot;:&quot;Front Neurol&quot;,&quot;accessed&quot;:{&quot;date-parts&quot;:[[2023,5,3]]},&quot;DOI&quot;:&quot;10.3389/FNEUR.2017.00106/BIBTEX&quot;,&quot;ISSN&quot;:&quot;16642295&quot;,&quot;issued&quot;:{&quot;date-parts&quot;:[[2017,3,29]]},&quot;page&quot;:&quot;106&quot;,&quot;abstract&quot;:&quot;A multidisciplinary expert review of key issues and future directions from the conference \&quot;Controversial labels and clinical uncertainties: psychogenic disorders, conversion disorder, and functional symptoms.\&quot; On October 9 and 10, 2015, a conference entitled \&quot;Controversial labels and clinical uncertainties: psychogenic disorders, conversion disorder, and functional symptoms\&quot; was held at the Center for Ethics, Emory University, Atlanta, GA, USA. This conference brought together a select group of 30 distinguished thought leaders and practitioners, including ethicists, researchers, clinicians, humanities scholars, and advocates to discuss the unique challenges and controversies related to the diagnosis, treatment, and stigma for patients with what is currently recognized as functional (\&quot;psychogenic\&quot;) neurological disorders. Our group of experts explored the conflicts and ethical tensions within health care that must be addressed in order to advance care for these disorders. What follows is a reflection on the conversations between conference attendees outlining key challenges and value conflicts in the diagnosis and treatment of patients with functional disorders. With this report, we aim to provide a roadmap for reducing stigma and improving care for functional neurological disorders (FND). A path forward would involve (1) setting a multifactorial research agenda that equally prioritized access to effective psychotherapy as well as identification of novel biomarkers; (2) empowering patients with FND to be heard and to drive changes in care; and (3) reducing isolation for clinicians by providing formal training and setting up multidisciplinary care teams and support networks.&quot;,&quot;publisher&quot;:&quot;Frontiers Research Foundation&quot;,&quot;issue&quot;:&quot;MAR&quot;,&quot;volume&quot;:&quot;8&quot;},&quot;isTemporary&quot;:false},{&quot;id&quot;:&quot;74debba0-e504-3c96-8e7b-483e6e1e4bed&quot;,&quot;itemData&quot;:{&quot;type&quot;:&quot;article-journal&quot;,&quot;id&quot;:&quot;74debba0-e504-3c96-8e7b-483e6e1e4bed&quot;,&quot;title&quot;:&quot;Stigma and functional neurological disorder: a research agenda targeting the clinical encounter&quot;,&quot;author&quot;:[{&quot;family&quot;:&quot;Macduffie&quot;,&quot;given&quot;:&quot;Katherine E.&quot;,&quot;parse-names&quot;:false,&quot;dropping-particle&quot;:&quot;&quot;,&quot;non-dropping-particle&quot;:&quot;&quot;},{&quot;family&quot;:&quot;Grubbs&quot;,&quot;given&quot;:&quot;Lindsey&quot;,&quot;parse-names&quot;:false,&quot;dropping-particle&quot;:&quot;&quot;,&quot;non-dropping-particle&quot;:&quot;&quot;},{&quot;family&quot;:&quot;Best&quot;,&quot;given&quot;:&quot;Tammyjo&quot;,&quot;parse-names&quot;:false,&quot;dropping-particle&quot;:&quot;&quot;,&quot;non-dropping-particle&quot;:&quot;&quot;},{&quot;family&quot;:&quot;Laroche&quot;,&quot;given&quot;:&quot;Suzette&quot;,&quot;parse-names&quot;:false,&quot;dropping-particle&quot;:&quot;&quot;,&quot;non-dropping-particle&quot;:&quot;&quot;},{&quot;family&quot;:&quot;Mildon&quot;,&quot;given&quot;:&quot;Bridget&quot;,&quot;parse-names&quot;:false,&quot;dropping-particle&quot;:&quot;&quot;,&quot;non-dropping-particle&quot;:&quot;&quot;},{&quot;family&quot;:&quot;Myers&quot;,&quot;given&quot;:&quot;Lorna&quot;,&quot;parse-names&quot;:false,&quot;dropping-particle&quot;:&quot;&quot;,&quot;non-dropping-particle&quot;:&quot;&quot;},{&quot;family&quot;:&quot;Stafford&quot;,&quot;given&quot;:&quot;Elizabeth&quot;,&quot;parse-names&quot;:false,&quot;dropping-particle&quot;:&quot;&quot;,&quot;non-dropping-particle&quot;:&quot;&quot;},{&quot;family&quot;:&quot;Rommelfanger&quot;,&quot;given&quot;:&quot;Karen S.&quot;,&quot;parse-names&quot;:false,&quot;dropping-particle&quot;:&quot;&quot;,&quot;non-dropping-particle&quot;:&quot;&quot;}],&quot;container-title&quot;:&quot;CNS spectrums&quot;,&quot;container-title-short&quot;:&quot;CNS Spectr&quot;,&quot;accessed&quot;:{&quot;date-parts&quot;:[[2023,5,7]]},&quot;DOI&quot;:&quot;10.1017/S1092852920002084&quot;,&quot;ISSN&quot;:&quot;1092-8529&quot;,&quot;PMID&quot;:&quot;33267932&quot;,&quot;URL&quot;:&quot;https://pubmed.ncbi.nlm.nih.gov/33267932/&quot;,&quot;issued&quot;:{&quot;date-parts&quot;:[[2020,12,3]]},&quot;page&quot;:&quot;587-592&quot;,&quot;abstract&quot;:&quot;Stigma against patients with functional neurological disorder (FND) presents obstacles to diagnosis, treatment, and research. The lack of biomarkers and the potential for symptoms to be misunderstood, invalidated, or dismissed can leave patients, families, and healthcare professionals at a loss. Stigma exacerbates suffering and unmet needs of patients and families, and can result in poor clinical management and prolonged, repetitive use of healthcare resources. Our current understanding of stigma in FND comes from surveys documenting frustration experienced by providers and distressing healthcare interactions experienced by patients. However, little is known about the origins of FND stigma, its prevalence across different healthcare contexts, its impact on patient health outcomes, and optimal methods for reduction. In this paper, we set forth a research agenda directed at better understanding the prevalence and context of stigma, clarifying its impact on patients and providers, and promoting best practices for stigma reduction.&quot;,&quot;publisher&quot;:&quot;CNS Spectr&quot;,&quot;issue&quot;:&quot;6&quot;,&quot;volume&quot;:&quot;26&quot;},&quot;isTemporary&quot;:false}],&quot;citationTag&quot;:&quot;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&quot;},{&quot;citationID&quot;:&quot;MENDELEY_CITATION_789c71eb-eac5-4ff2-abb8-ed5ba81fdd66&quot;,&quot;properties&quot;:{&quot;noteIndex&quot;:0},&quot;isEdited&quot;:false,&quot;manualOverride&quot;:{&quot;isManuallyOverridden&quot;:false,&quot;citeprocText&quot;:&quot;(Shahwan et al., 2022; Stuart, 2016)&quot;,&quot;manualOverrideText&quot;:&quot;&quot;},&quot;citationItems&quot;:[{&quot;id&quot;:&quot;64178ff6-745c-3c29-bed1-5c597d6883b6&quot;,&quot;itemData&quot;:{&quot;type&quot;:&quot;article-journal&quot;,&quot;id&quot;:&quot;64178ff6-745c-3c29-bed1-5c597d6883b6&quot;,&quot;title&quot;:&quot;Strategies to Reduce Mental Illness Stigma: Perspectives of People with Lived Experience and Caregivers&quot;,&quot;author&quot;:[{&quot;family&quot;:&quot;Shahwan&quot;,&quot;given&quot;:&quot;Shazana&quot;,&quot;parse-names&quot;:false,&quot;dropping-particle&quot;:&quot;&quot;,&quot;non-dropping-particle&quot;:&quot;&quot;},{&quot;family&quot;:&quot;Goh&quot;,&quot;given&quot;:&quot;Chong Min Janrius&quot;,&quot;parse-names&quot;:false,&quot;dropping-particle&quot;:&quot;&quot;,&quot;non-dropping-particle&quot;:&quot;&quot;},{&quot;family&quot;:&quot;Tan&quot;,&quot;given&quot;:&quot;Gregory Tee Hng&quot;,&quot;parse-names&quot;:false,&quot;dropping-particle&quot;:&quot;&quot;,&quot;non-dropping-particle&quot;:&quot;&quot;},{&quot;family&quot;:&quot;Ong&quot;,&quot;given&quot;:&quot;Wei Jie&quot;,&quot;parse-names&quot;:false,&quot;dropping-particle&quot;:&quot;&quot;,&quot;non-dropping-particle&quot;:&quot;&quot;},{&quot;family&quot;:&quot;Chong&quot;,&quot;given&quot;:&quot;Siow Ann&quot;,&quot;parse-names&quot;:false,&quot;dropping-particle&quot;:&quot;&quot;,&quot;non-dropping-particle&quot;:&quot;&quot;},{&quot;family&quot;:&quot;Subramaniam&quot;,&quot;given&quot;:&quot;Mythily&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3,5,7]]},&quot;DOI&quot;:&quot;10.3390/IJERPH19031632&quot;,&quot;ISSN&quot;:&quot;16604601&quot;,&quot;PMID&quot;:&quot;35162655&quot;,&quot;URL&quot;:&quot;/pmc/articles/PMC8835394/&quot;,&quot;issued&quot;:{&quot;date-parts&quot;:[[2022,2,1]]},&quot;abstract&quot;:&quot;Background: Reducing the stigma surrounding mental illness is a global public health priority. Traditionally, anti-stigma campaigns were led by mental health professionals/organisations and had an emphasis on increasing mental health literacy. More recently, it has been argued that people with lived experience have much to contribute in terms of extending and strengthening these efforts. The purpose of this paper was to elicit views and suggestions from people with lived experience (PWLE) as well as from informal caregivers of people with mental health conditions, on effective strategies to combat the stigma surrounding mental illness. Methods: Six focus group discussions (FGDs) were carried out with PWLE recruited at outpatient services at the Institute of Mental Health, Singapore, and five FGDs were carried out with informal caregivers who responded to advertisements for the study between March and November 2018. In all, the sample comprised 42 PWLE and 31 caregivers. All the FGDs were transcribed verbatim and were analysed using thematic analysis. A pragmatic approach was adopted for the study, and the researchers did not assume any particular philosophical orientation. Results: Four overarching themes depicting strategies to combat stigma were identified through thematic analysis. They were (1) raising mental health aware-ness, (2) social contact, (3) advocacy by influential figures or groups, and (4) the legislation of anti-discriminatory laws. Conclusions: These strategies were in line with approaches that have been used internationally to disrupt the process of stigma. Our study has further identified nuanced details on how these strategies can be carried out as well as possible areas of priority in the Singapore landscape.&quot;,&quot;publisher&quot;:&quot;Multidisciplinary Digital Publishing Institute  (MDPI)&quot;,&quot;issue&quot;:&quot;3&quot;,&quot;volume&quot;:&quot;19&quot;},&quot;isTemporary&quot;:false},{&quot;id&quot;:&quot;4a215c3b-ad48-3913-84a5-79cf5c9bd145&quot;,&quot;itemData&quot;:{&quot;type&quot;:&quot;article-journal&quot;,&quot;id&quot;:&quot;4a215c3b-ad48-3913-84a5-79cf5c9bd145&quot;,&quot;title&quot;:&quot;Reducing the stigma of mental illness&quot;,&quot;author&quot;:[{&quot;family&quot;:&quot;Stuart&quot;,&quot;given&quot;:&quot;H.&quot;,&quot;parse-names&quot;:false,&quot;dropping-particle&quot;:&quot;&quot;,&quot;non-dropping-particle&quot;:&quot;&quot;}],&quot;container-title&quot;:&quot;Global Mental Health&quot;,&quot;accessed&quot;:{&quot;date-parts&quot;:[[2023,5,7]]},&quot;DOI&quot;:&quot;10.1017/GMH.2016.11&quot;,&quot;ISSN&quot;:&quot;2054-4251&quot;,&quot;PMID&quot;:&quot;28596886&quot;,&quot;URL&quot;:&quot;/pmc/articles/PMC5314742/&quot;,&quot;issued&quot;:{&quot;date-parts&quot;:[[2016,5,10]]},&quot;page&quot;:&quot;e17&quot;,&quot;abstract&quot;:&quot;&lt;p&gt;This paper presents a narrative review of anti-stigma programming using examples from different countries to understand and describe current best practices in the field. Results highlight the importance of targeting the behavioural outcomes of the stigmatization process (discrimination and social inequity), which is consistent with rights-based or social justice models that emphasize social and economic equity for people with disabilities (such as equitable access to services, education, work, etc.). They also call into question large public education approaches in favour of more targeted contact-based interventions. Finally, to add to the research base on best practices, anti-stigma programs are encouraged to create alliances with university researchers in order to critically evaluate their activities and build better, evidence informed practices.&lt;/p&gt;&quot;,&quot;publisher&quot;:&quot;Cambridge University Press&quot;,&quot;volume&quot;:&quot;3&quot;,&quot;container-title-short&quot;:&quot;&quot;},&quot;isTemporary&quot;:false}],&quot;citationTag&quot;:&quot;MENDELEY_CITATION_v3_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&quot;},{&quot;citationID&quot;:&quot;MENDELEY_CITATION_732a9380-9d8a-47a1-a990-af2b861b4fbd&quot;,&quot;properties&quot;:{&quot;noteIndex&quot;:0},&quot;isEdited&quot;:false,&quot;manualOverride&quot;:{&quot;isManuallyOverridden&quot;:false,&quot;citeprocText&quot;:&quot;(Macduffie et al., 2020; Rommelfanger et al., 2017)&quot;,&quot;manualOverrideText&quot;:&quot;&quot;},&quot;citationItems&quot;:[{&quot;id&quot;:&quot;be2703b2-e316-39c0-a272-291db14964c8&quot;,&quot;itemData&quot;:{&quot;type&quot;:&quot;article-journal&quot;,&quot;id&quot;:&quot;be2703b2-e316-39c0-a272-291db14964c8&quot;,&quot;title&quot;:&quot;Disentangling stigma from functional neurological disorders: Conference report and roadmap for the future&quot;,&quot;author&quot;:[{&quot;family&quot;:&quot;Rommelfanger&quot;,&quot;given&quot;:&quot;Karen S.&quot;,&quot;parse-names&quot;:false,&quot;dropping-particle&quot;:&quot;&quot;,&quot;non-dropping-particle&quot;:&quot;&quot;},{&quot;family&quot;:&quot;Factor&quot;,&quot;given&quot;:&quot;Stewart A.&quot;,&quot;parse-names&quot;:false,&quot;dropping-particle&quot;:&quot;&quot;,&quot;non-dropping-particle&quot;:&quot;&quot;},{&quot;family&quot;:&quot;LaRoche&quot;,&quot;given&quot;:&quot;Suzette&quot;,&quot;parse-names&quot;:false,&quot;dropping-particle&quot;:&quot;&quot;,&quot;non-dropping-particle&quot;:&quot;&quot;},{&quot;family&quot;:&quot;Rosen&quot;,&quot;given&quot;:&quot;Phyllis&quot;,&quot;parse-names&quot;:false,&quot;dropping-particle&quot;:&quot;&quot;,&quot;non-dropping-particle&quot;:&quot;&quot;},{&quot;family&quot;:&quot;Young&quot;,&quot;given&quot;:&quot;Raymond&quot;,&quot;parse-names&quot;:false,&quot;dropping-particle&quot;:&quot;&quot;,&quot;non-dropping-particle&quot;:&quot;&quot;},{&quot;family&quot;:&quot;Rapaport&quot;,&quot;given&quot;:&quot;Mark H.&quot;,&quot;parse-names&quot;:false,&quot;dropping-particle&quot;:&quot;&quot;,&quot;non-dropping-particle&quot;:&quot;&quot;}],&quot;container-title&quot;:&quot;Frontiers in Neurology&quot;,&quot;container-title-short&quot;:&quot;Front Neurol&quot;,&quot;accessed&quot;:{&quot;date-parts&quot;:[[2023,5,3]]},&quot;DOI&quot;:&quot;10.3389/FNEUR.2017.00106/BIBTEX&quot;,&quot;ISSN&quot;:&quot;16642295&quot;,&quot;issued&quot;:{&quot;date-parts&quot;:[[2017,3,29]]},&quot;page&quot;:&quot;106&quot;,&quot;abstract&quot;:&quot;A multidisciplinary expert review of key issues and future directions from the conference \&quot;Controversial labels and clinical uncertainties: psychogenic disorders, conversion disorder, and functional symptoms.\&quot; On October 9 and 10, 2015, a conference entitled \&quot;Controversial labels and clinical uncertainties: psychogenic disorders, conversion disorder, and functional symptoms\&quot; was held at the Center for Ethics, Emory University, Atlanta, GA, USA. This conference brought together a select group of 30 distinguished thought leaders and practitioners, including ethicists, researchers, clinicians, humanities scholars, and advocates to discuss the unique challenges and controversies related to the diagnosis, treatment, and stigma for patients with what is currently recognized as functional (\&quot;psychogenic\&quot;) neurological disorders. Our group of experts explored the conflicts and ethical tensions within health care that must be addressed in order to advance care for these disorders. What follows is a reflection on the conversations between conference attendees outlining key challenges and value conflicts in the diagnosis and treatment of patients with functional disorders. With this report, we aim to provide a roadmap for reducing stigma and improving care for functional neurological disorders (FND). A path forward would involve (1) setting a multifactorial research agenda that equally prioritized access to effective psychotherapy as well as identification of novel biomarkers; (2) empowering patients with FND to be heard and to drive changes in care; and (3) reducing isolation for clinicians by providing formal training and setting up multidisciplinary care teams and support networks.&quot;,&quot;publisher&quot;:&quot;Frontiers Research Foundation&quot;,&quot;issue&quot;:&quot;MAR&quot;,&quot;volume&quot;:&quot;8&quot;},&quot;isTemporary&quot;:false},{&quot;id&quot;:&quot;74debba0-e504-3c96-8e7b-483e6e1e4bed&quot;,&quot;itemData&quot;:{&quot;type&quot;:&quot;article-journal&quot;,&quot;id&quot;:&quot;74debba0-e504-3c96-8e7b-483e6e1e4bed&quot;,&quot;title&quot;:&quot;Stigma and functional neurological disorder: a research agenda targeting the clinical encounter&quot;,&quot;author&quot;:[{&quot;family&quot;:&quot;Macduffie&quot;,&quot;given&quot;:&quot;Katherine E.&quot;,&quot;parse-names&quot;:false,&quot;dropping-particle&quot;:&quot;&quot;,&quot;non-dropping-particle&quot;:&quot;&quot;},{&quot;family&quot;:&quot;Grubbs&quot;,&quot;given&quot;:&quot;Lindsey&quot;,&quot;parse-names&quot;:false,&quot;dropping-particle&quot;:&quot;&quot;,&quot;non-dropping-particle&quot;:&quot;&quot;},{&quot;family&quot;:&quot;Best&quot;,&quot;given&quot;:&quot;Tammyjo&quot;,&quot;parse-names&quot;:false,&quot;dropping-particle&quot;:&quot;&quot;,&quot;non-dropping-particle&quot;:&quot;&quot;},{&quot;family&quot;:&quot;Laroche&quot;,&quot;given&quot;:&quot;Suzette&quot;,&quot;parse-names&quot;:false,&quot;dropping-particle&quot;:&quot;&quot;,&quot;non-dropping-particle&quot;:&quot;&quot;},{&quot;family&quot;:&quot;Mildon&quot;,&quot;given&quot;:&quot;Bridget&quot;,&quot;parse-names&quot;:false,&quot;dropping-particle&quot;:&quot;&quot;,&quot;non-dropping-particle&quot;:&quot;&quot;},{&quot;family&quot;:&quot;Myers&quot;,&quot;given&quot;:&quot;Lorna&quot;,&quot;parse-names&quot;:false,&quot;dropping-particle&quot;:&quot;&quot;,&quot;non-dropping-particle&quot;:&quot;&quot;},{&quot;family&quot;:&quot;Stafford&quot;,&quot;given&quot;:&quot;Elizabeth&quot;,&quot;parse-names&quot;:false,&quot;dropping-particle&quot;:&quot;&quot;,&quot;non-dropping-particle&quot;:&quot;&quot;},{&quot;family&quot;:&quot;Rommelfanger&quot;,&quot;given&quot;:&quot;Karen S.&quot;,&quot;parse-names&quot;:false,&quot;dropping-particle&quot;:&quot;&quot;,&quot;non-dropping-particle&quot;:&quot;&quot;}],&quot;container-title&quot;:&quot;CNS spectrums&quot;,&quot;container-title-short&quot;:&quot;CNS Spectr&quot;,&quot;accessed&quot;:{&quot;date-parts&quot;:[[2023,5,7]]},&quot;DOI&quot;:&quot;10.1017/S1092852920002084&quot;,&quot;ISSN&quot;:&quot;1092-8529&quot;,&quot;PMID&quot;:&quot;33267932&quot;,&quot;URL&quot;:&quot;https://pubmed.ncbi.nlm.nih.gov/33267932/&quot;,&quot;issued&quot;:{&quot;date-parts&quot;:[[2020,12,3]]},&quot;page&quot;:&quot;587-592&quot;,&quot;abstract&quot;:&quot;Stigma against patients with functional neurological disorder (FND) presents obstacles to diagnosis, treatment, and research. The lack of biomarkers and the potential for symptoms to be misunderstood, invalidated, or dismissed can leave patients, families, and healthcare professionals at a loss. Stigma exacerbates suffering and unmet needs of patients and families, and can result in poor clinical management and prolonged, repetitive use of healthcare resources. Our current understanding of stigma in FND comes from surveys documenting frustration experienced by providers and distressing healthcare interactions experienced by patients. However, little is known about the origins of FND stigma, its prevalence across different healthcare contexts, its impact on patient health outcomes, and optimal methods for reduction. In this paper, we set forth a research agenda directed at better understanding the prevalence and context of stigma, clarifying its impact on patients and providers, and promoting best practices for stigma reduction.&quot;,&quot;publisher&quot;:&quot;CNS Spectr&quot;,&quot;issue&quot;:&quot;6&quot;,&quot;volume&quot;:&quot;26&quot;},&quot;isTemporary&quot;:false}],&quot;citationTag&quot;:&quot;MENDELEY_CITATION_v3_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&quot;},{&quot;citationID&quot;:&quot;MENDELEY_CITATION_9540af28-2c1e-4743-b175-247e4cb39b31&quot;,&quot;properties&quot;:{&quot;noteIndex&quot;:0},&quot;isEdited&quot;:false,&quot;manualOverride&quot;:{&quot;isManuallyOverridden&quot;:false,&quot;citeprocText&quot;:&quot;(Looper &amp;#38; Kirmayer, 2004; Rawlings et al., 2017)&quot;,&quot;manualOverrideText&quot;:&quot;&quot;},&quot;citationItems&quot;:[{&quot;id&quot;:&quot;19a2ffef-b2c8-3596-8998-c83bab216090&quot;,&quot;itemData&quot;:{&quot;type&quot;:&quot;article-journal&quot;,&quot;id&quot;:&quot;19a2ffef-b2c8-3596-8998-c83bab216090&quot;,&quot;title&quot;:&quot;Perceived stigma in functional somatic syndromes and comparable medical conditions&quot;,&quot;author&quot;:[{&quot;family&quot;:&quot;Looper&quot;,&quot;given&quot;:&quot;Karl J.&quot;,&quot;parse-names&quot;:false,&quot;dropping-particle&quot;:&quot;&quot;,&quot;non-dropping-particle&quot;:&quot;&quot;},{&quot;family&quot;:&quot;Kirmayer&quot;,&quot;given&quot;:&quot;Laurence J.&quot;,&quot;parse-names&quot;:false,&quot;dropping-particle&quot;:&quot;&quot;,&quot;non-dropping-particle&quot;:&quot;&quot;}],&quot;container-title&quot;:&quot;Journal of Psychosomatic Research&quot;,&quot;container-title-short&quot;:&quot;J Psychosom Res&quot;,&quot;accessed&quot;:{&quot;date-parts&quot;:[[2023,5,7]]},&quot;DOI&quot;:&quot;10.1016/j.jpsychores.2004.03.005&quot;,&quot;ISSN&quot;:&quot;00223999&quot;,&quot;PMID&quot;:&quot;15518673&quot;,&quot;URL&quot;:&quot;https://pubmed.ncbi.nlm.nih.gov/15518673/&quot;,&quot;issued&quot;:{&quot;date-parts&quot;:[[2004,10]]},&quot;page&quot;:&quot;373-378&quot;,&quot;abstract&quot;:&quot;Objective To determine if patients with functional somatic syndromes (FSS) perceive greater levels of stigma than patients with comparable medical conditions that have a clear medical pathology. Methods Patients with chronic fatigue syndrome (CFS), fibromyalgia (FM), or irritable bowel syndrome (IBS) were compared to multiple sclerosis (MS), rheumatoid arthritis (RA), and inflammatory bowel disease (IBS), respectively. Results There were greater levels of perceived stigma in the combined group of FSS compared to the medical control group. When each FSS was compared to its matched control group, only CFS had a higher level of perceived stigma. These results remained when controlling for other variables relevant to stigma. Conclusions The higher level of perceived stigma in CFS may be due to the ambiguity of its status as a medical condition. The absence of this effect in FM and IBS is consistent with a greater level of acceptance of these disorders as medical illnesses. © 2004 Elsevier Inc. All rights reserved.&quot;,&quot;publisher&quot;:&quot;J Psychosom Res&quot;,&quot;issue&quot;:&quot;4&quot;,&quot;volume&quot;:&quot;57&quot;},&quot;isTemporary&quot;:false},{&quot;id&quot;:&quot;9ebc13d0-bbb8-3c6b-bbe0-6b4896e93051&quot;,&quot;itemData&quot;:{&quot;type&quot;:&quot;article-journal&quot;,&quot;id&quot;:&quot;9ebc13d0-bbb8-3c6b-bbe0-6b4896e93051&quot;,&quot;title&quot;:&quot;Written accounts of living with psychogenic nonepileptic seizures: A thematic analysis&quot;,&quot;author&quot;:[{&quot;family&quot;:&quot;Rawlings&quot;,&quot;given&quot;:&quot;Gregg H&quot;,&quot;parse-names&quot;:false,&quot;dropping-particle&quot;:&quot;&quot;,&quot;non-dropping-particle&quot;:&quot;&quot;},{&quot;family&quot;:&quot;Brown&quot;,&quot;given&quot;:&quot;Ian&quot;,&quot;parse-names&quot;:false,&quot;dropping-particle&quot;:&quot;&quot;,&quot;non-dropping-particle&quot;:&quot;&quot;},{&quot;family&quot;:&quot;Stone&quot;,&quot;given&quot;:&quot;Brendan&quot;,&quot;parse-names&quot;:false,&quot;dropping-particle&quot;:&quot;&quot;,&quot;non-dropping-particle&quot;:&quot;&quot;},{&quot;family&quot;:&quot;Reuber&quot;,&quot;given&quot;:&quot;Markus&quot;,&quot;parse-names&quot;:false,&quot;dropping-particle&quot;:&quot;&quot;,&quot;non-dropping-particle&quot;:&quot;&quot;}],&quot;container-title&quot;:&quot;Seizure: European Journal of Epilepsy&quot;,&quot;accessed&quot;:{&quot;date-parts&quot;:[[2023,5,4]]},&quot;DOI&quot;:&quot;10.1016/j.seizure.2017.06.006&quot;,&quot;URL&quot;:&quot;http://dx.doi.org/10.1016/j.seizure.2017.06.006&quot;,&quot;issued&quot;:{&quot;date-parts&quot;:[[2017]]},&quot;page&quot;:&quot;83-91&quot;,&quot;abstract&quot;:&quot;Available online xxx Keywords: Psychogenic nonepileptic seizures Nonepileptic attack disorder Dissociative seizures Qualitative Stigma Thematic A B S T R A C T Purpose: Qualitative studies examining lived experiences of psychogenic nonepileptic seizures (PNES) have predominantly relied on datasets collected using clinical or research interviews. This study pursued a different approach by investigating individuals' written accounts of their condition. Methods: Participants (n = 19) were recruited from membership-led organisations for individuals living with seizures and from a United Kingdom hospital. Participants were instructed to produce four pieces of writing: 1) about their thoughts and feelings about their condition; 2) a letter to their condition; 3) a letter to their younger self; and 4) about a personal value. All writings were analysed using thematic analysis. Results: Six main-themes emerged from the data. Theme 1: 'living with PNES' demonstrated that all participants presented the condition as having a debilitating effect. Theme 2: 'Emotions' revealed that individuals were struggling with anxiety, low mood and self-worth. Theme 3: 'Seizure symptoms' showed variability was a prominent feature in the description of ictal events. Theme 4: 'Treatment and outcomes' demonstrated that individual's perception of diagnosis and therapy differed greatly. Theme 5: 'Causation and development' revealed that the majority of participants spontaneously reported experiencing a traumatic event in the past. Theme 6: 'Lack of understanding' by themselves, the public and healthcare professionals appeared to pose considerable challenges to participants. Conclusions: Qualitative research has an important role to play for improving our understanding of PNES. The findings contribute to the literature by highlighting the nature of stigma that people with PNES experience, and also their proneness to demonstrate problems with self-worth.&quot;,&quot;volume&quot;:&quot;50&quot;,&quot;container-title-short&quot;:&quot;&quot;},&quot;isTemporary&quot;:false}],&quot;citationTag&quot;:&quot;MENDELEY_CITATION_v3_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&quot;},{&quot;citationID&quot;:&quot;MENDELEY_CITATION_6579f75b-b7a0-470a-a6b9-bf38c1ae3010&quot;,&quot;properties&quot;:{&quot;noteIndex&quot;:0},&quot;isEdited&quot;:false,&quot;manualOverride&quot;:{&quot;isManuallyOverridden&quot;:false,&quot;citeprocText&quot;:&quot;(Michaelis, Tang, et al., 2017; Shih, 2004)&quot;,&quot;manualOverrideText&quot;:&quot;&quot;},&quot;citationItems&quot;:[{&quot;id&quot;:&quot;a5b0d3a1-0b12-3c0a-b8ef-8a16aea7e320&quot;,&quot;itemData&quot;:{&quot;type&quot;:&quot;article-journal&quot;,&quot;id&quot;:&quot;a5b0d3a1-0b12-3c0a-b8ef-8a16aea7e320&quot;,&quot;title&quot;:&quot;Psychological treatments for people with epilepsy&quot;,&quot;author&quot;:[{&quot;family&quot;:&quot;Michaelis&quot;,&quot;given&quot;:&quot;R&quot;,&quot;parse-names&quot;:false,&quot;dropping-particle&quot;:&quot;&quot;,&quot;non-dropping-particle&quot;:&quot;&quot;},{&quot;family&quot;:&quot;Tang&quot;,&quot;given&quot;:&quot;V&quot;,&quot;parse-names&quot;:false,&quot;dropping-particle&quot;:&quot;&quot;,&quot;non-dropping-particle&quot;:&quot;&quot;},{&quot;family&quot;:&quot;Wagner&quot;,&quot;given&quot;:&quot;J L&quot;,&quot;parse-names&quot;:false,&quot;dropping-particle&quot;:&quot;&quot;,&quot;non-dropping-particle&quot;:&quot;&quot;},{&quot;family&quot;:&quot;Modi&quot;,&quot;given&quot;:&quot;A C&quot;,&quot;parse-names&quot;:false,&quot;dropping-particle&quot;:&quot;&quot;,&quot;non-dropping-particle&quot;:&quot;&quot;},{&quot;family&quot;:&quot;LaFrance Jr.&quot;,&quot;given&quot;:&quot;W C&quot;,&quot;parse-names&quot;:false,&quot;dropping-particle&quot;:&quot;&quot;,&quot;non-dropping-particle&quot;:&quot;&quot;},{&quot;family&quot;:&quot;Goldstein&quot;,&quot;given&quot;:&quot;L H&quot;,&quot;parse-names&quot;:false,&quot;dropping-particle&quot;:&quot;&quot;,&quot;non-dropping-particle&quot;:&quot;&quot;},{&quot;family&quot;:&quot;Lundgren&quot;,&quot;given&quot;:&quot;T&quot;,&quot;parse-names&quot;:false,&quot;dropping-particle&quot;:&quot;&quot;,&quot;non-dropping-particle&quot;:&quot;&quot;},{&quot;family&quot;:&quot;Reuber&quot;,&quot;given&quot;:&quot;M&quot;,&quot;parse-names&quot;:false,&quot;dropping-particle&quot;:&quot;&quot;,&quot;non-dropping-particle&quot;:&quot;&quot;}],&quot;container-title&quot;:&quot;Cochrane Database Syst Rev&quot;,&quot;DOI&quot;:&quot;10.1002/14651858.CD012081.pub2&quot;,&quot;ISSN&quot;:&quot;1361-6137&quot;,&quot;PMID&quot;:&quot;29078005&quot;,&quot;issued&quot;:{&quot;date-parts&quot;:[[2017]]},&quot;page&quot;:&quot;Cd012081&quot;,&quot;language&quot;:&quot;eng&quot;,&quot;abstract&quot;:&quot;BACKGROUND: Given the significant impact epilepsy can have on the health-related quality of life (HRQoL) of individuals with epilepsy and their families, there is great clinical interest in evidence-based psychological treatments, aimed at enhancing psychological well-being in people with epilepsy. A review of the current evidence was needed to assess the effects of psychological treatments for people with epilepsy on HRQoL outcomes, in order to inform future therapeutic recommendations and research designs. OBJECTIVES: To assess the effects of psychological treatments for people with epilepsy on HRQoL outcomes. SEARCH METHODS: We searched the following databases on 20 September 2016, without language restrictions: Cochrane Epilepsy Group Specialized Register, CENTRAL, MEDLINE PsycINFO, ClinicalTrials.gov, WHO International Clinical Trials Registry Platform (ICTRP). We screened the references from included studies and relevant reviews, and contacted researchers in the field for unpublished studies. SELECTION CRITERIA: We considered randomized controlled trials (RCTs) and quasi-RCTs for this review. HRQoL was the main outcome measure. For the operational definition of 'psychological treatments', we included a broad range of treatments that used psychological or behavioral techniques designed to improve HRQoL, seizure frequency and severity, and psychiatric comorbidities for adults and children with epilepsy, compared to treatment as usual (TAU) or an active control group. DATA COLLECTION AND ANALYSIS: We used standard methodological procedures expected by the Cochrane Collaboration. MAIN RESULTS: We included 24 completed RCTs, with a total of 2439 participants. Eleven studies investigated psychological interventions, such as cognitive, behavioral, and mindfulness-based interventions. The remaining studies were classified as educational interventions (N = 7), self-management interventions (N = 3), adherence interventions (N = 1), and mixed interventions (N = 2). Two studies investigated interventions for children and adolescents, and five studies investigated interventions for adolescents and adults. Based on satisfactory clinical and methodological homogeneity, we pooled data from six adult studies, two studies on adolescents and adults, and one on adolescents and young adults (468 participants) for HRQoL, measured with the Quality of Life in Epilepsy-31 (QOLIE-31). We found significant mean changes for the QOLIE-31 total score and six subscales (emotional well-being, energy and fatigue, overall QoL, seizure worry, medication effects, and cognitive functioning). The mean changes of the QOLIE-31 total score (mean improvement of 5.68 points (95% CI 3.11 to 8.24; P &lt; 0.0001), and three subscales, emotional well-being (mean improvement of 7.03 points (95% CI 2.51 to 11.54; P = 0.002); energy and Fatigue (mean improvement of 6.90 points (95% CI 3.49 to 10.31; P &lt; 0.0001); and overall QoL (mean improvement of 6.47 points (95% CI 2.68 to 10.25; P = 0.0008) exceeded the threshold of minimally important change (MIC), indicating a clinically meaningful post-intervention improvement of QoL. We downgraded the quality of the evidence provided by the meta-analysis because of serious risk of bias in some of the included studies. Consequentially, these results provided evidence of moderate quality that psychological treatments for adults with epilepsy may enhance overall QoL in people with epilepsy. AUTHORS' CONCLUSIONS: Implications for practice: Psychological interventions and self-management interventions improved QoL, and emotional well-being, and reduced fatigue in adults and adolescents with epilepsy. Adjunctive use of psychological treatments for adults and adolescents with epilepsy may provide additional benefits to QoL in those who incorporate patient-centered management. IMPLICATIONS FOR RESEARCH: Authors should strictly adhere to the CONSORT guidelines to improve the quality of reporting on their interventions. A thorough description of the intervention protocol is necessary to ensure reproducibility.When researching psychological treatments for people with epilepsy, the use of Quality of Life in Epilepsy Inventories (QOLIE-31, QOLIE-31-P, and QOLIE-89) would increase comparability. There is a critical gap in pediatric RCTs for psychological treatments, particularly those that use an epilepsy-specific measure of HRQoL.Finally, in order to increase the overall quality of study designs, adequate randomization with allocation concealment and blinded outcome assessment should be pursued when conducting RCTs. As attrition is often high in research that requires active participant participation, an intention-to-treat analysis should be carried out.&quot;,&quot;edition&quot;:&quot;2017/10/28&quot;,&quot;issue&quot;:&quot;10&quot;,&quot;volume&quot;:&quot;10&quot;,&quot;container-title-short&quot;:&quot;&quot;},&quot;isTemporary&quot;:false},{&quot;id&quot;:&quot;392ec6d5-4f10-384b-b076-76c59a731786&quot;,&quot;itemData&quot;:{&quot;type&quot;:&quot;article-journal&quot;,&quot;id&quot;:&quot;392ec6d5-4f10-384b-b076-76c59a731786&quot;,&quot;title&quot;:&quot;Positive Stigma: Examining Resilience and Empowerment in Overcoming Stigma&quot;,&quot;author&quot;:[{&quot;family&quot;:&quot;Shih&quot;,&quot;given&quot;:&quot;Margaret&quot;,&quot;parse-names&quot;:false,&quot;dropping-particle&quot;:&quot;&quot;,&quot;non-dropping-particle&quot;:&quot;&quot;}],&quot;container-title&quot;:&quot;http://dx.doi.org/10.1177/0002716203260099&quot;,&quot;accessed&quot;:{&quot;date-parts&quot;:[[2023,5,7]]},&quot;DOI&quot;:&quot;10.1177/0002716203260099&quot;,&quot;ISSN&quot;:&quot;00027162&quot;,&quot;URL&quot;:&quot;https://journals.sagepub.com/doi/10.1177/0002716203260099&quot;,&quot;issued&quot;:{&quot;date-parts&quot;:[[2004,1,1]]},&quot;page&quot;:&quot;175-185&quot;,&quot;abstract&quot;:&quot;The traditional literature on stigma focuses on identifying factors contributing to the harmful impact of stigmas on the lives of stigmatized individuals. This focus, however, cannot explain the ma...&quot;,&quot;publisher&quot;:&quot;SAGE Publications&quot;,&quot;volume&quot;:&quot;591&quot;,&quot;container-title-short&quot;:&quot;&quot;},&quot;isTemporary&quot;:false}],&quot;citationTag&quot;:&quot;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&quot;},{&quot;citationID&quot;:&quot;MENDELEY_CITATION_1a546822-6eb7-427e-b2e4-6986e780d7e6&quot;,&quot;properties&quot;:{&quot;noteIndex&quot;:0},&quot;isEdited&quot;:false,&quot;manualOverride&quot;:{&quot;isManuallyOverridden&quot;:false,&quot;citeprocText&quot;:&quot;(Moss-Morris et al., 2010)&quot;,&quot;manualOverrideText&quot;:&quot;&quot;},&quot;citationItems&quot;:[{&quot;id&quot;:&quot;f41f6370-8129-3577-9a0d-41e872f9b5eb&quot;,&quot;itemData&quot;:{&quot;type&quot;:&quot;article-journal&quot;,&quot;id&quot;:&quot;f41f6370-8129-3577-9a0d-41e872f9b5eb&quot;,&quot;title&quot;:&quot;The Revised Illness Perception Questionnaire (IPQ-R)&quot;,&quot;author&quot;:[{&quot;family&quot;:&quot;Moss-Morris&quot;,&quot;given&quot;:&quot;Rona&quot;,&quot;parse-names&quot;:false,&quot;dropping-particle&quot;:&quot;&quot;,&quot;non-dropping-particle&quot;:&quot;&quot;},{&quot;family&quot;:&quot;Weinman&quot;,&quot;given&quot;:&quot;John&quot;,&quot;parse-names&quot;:false,&quot;dropping-particle&quot;:&quot;&quot;,&quot;non-dropping-particle&quot;:&quot;&quot;},{&quot;family&quot;:&quot;Petrie&quot;,&quot;given&quot;:&quot;Keith&quot;,&quot;parse-names&quot;:false,&quot;dropping-particle&quot;:&quot;&quot;,&quot;non-dropping-particle&quot;:&quot;&quot;},{&quot;family&quot;:&quot;Horne&quot;,&quot;given&quot;:&quot;Robert&quot;,&quot;parse-names&quot;:false,&quot;dropping-particle&quot;:&quot;&quot;,&quot;non-dropping-particle&quot;:&quot;&quot;},{&quot;family&quot;:&quot;Cameron&quot;,&quot;given&quot;:&quot;Linda&quot;,&quot;parse-names&quot;:false,&quot;dropping-particle&quot;:&quot;&quot;,&quot;non-dropping-particle&quot;:&quot;&quot;},{&quot;family&quot;:&quot;Buick&quot;,&quot;given&quot;:&quot;Deanna&quot;,&quot;parse-names&quot;:false,&quot;dropping-particle&quot;:&quot;&quot;,&quot;non-dropping-particle&quot;:&quot;&quot;}],&quot;container-title&quot;:&quot;https://doi.org/10.1080/08870440290001494&quot;,&quot;accessed&quot;:{&quot;date-parts&quot;:[[2023,5,7]]},&quot;DOI&quot;:&quot;10.1080/08870440290001494&quot;,&quot;ISSN&quot;:&quot;08870446&quot;,&quot;URL&quot;:&quot;https://www.tandfonline.com/doi/abs/10.1080/08870440290001494&quot;,&quot;issued&quot;:{&quot;date-parts&quot;:[[2010,2]]},&quot;page&quot;:&quot;1-16&quot;,&quot;abstract&quot;:&quot;This paper presents a revised version of the Illness Perception Questionnaire (IPQ-R), a recently developed and widely used quantitative measure of the five components of illness representations in...&quot;,&quot;publisher&quot;:&quot; Taylor &amp; Francis Group &quot;,&quot;issue&quot;:&quot;1&quot;,&quot;volume&quot;:&quot;17&quot;,&quot;container-title-short&quot;:&quot;&quot;},&quot;isTemporary&quot;:false}],&quot;citationTag&quot;:&quot;MENDELEY_CITATION_v3_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&quot;},{&quot;citationID&quot;:&quot;MENDELEY_CITATION_1710fc62-0196-492a-a918-df5bde1e9f7e&quot;,&quot;properties&quot;:{&quot;noteIndex&quot;:0},&quot;isEdited&quot;:false,&quot;manualOverride&quot;:{&quot;isManuallyOverridden&quot;:true,&quot;citeprocText&quot;:&quot;(Curtiss &amp;#38; Klemanski, 2014)&quot;,&quot;manualOverrideText&quot;:&quot;Curtiss &amp; Klemanski (2014)&quot;},&quot;citationItems&quot;:[{&quot;id&quot;:&quot;5a4893c4-b005-33de-bdd8-d907529568b7&quot;,&quot;itemData&quot;:{&quot;type&quot;:&quot;article-journal&quot;,&quot;id&quot;:&quot;5a4893c4-b005-33de-bdd8-d907529568b7&quot;,&quot;title&quot;:&quot;Factor Analysis of the Five Facet Mindfulness Questionnaire in a Heterogeneous Clinical Sample&quot;,&quot;author&quot;:[{&quot;family&quot;:&quot;Curtiss&quot;,&quot;given&quot;:&quot;Joshua&quot;,&quot;parse-names&quot;:false,&quot;dropping-particle&quot;:&quot;&quot;,&quot;non-dropping-particle&quot;:&quot;&quot;},{&quot;family&quot;:&quot;Klemanski&quot;,&quot;given&quot;:&quot;David H.&quot;,&quot;parse-names&quot;:false,&quot;dropping-particle&quot;:&quot;&quot;,&quot;non-dropping-particle&quot;:&quot;&quot;}],&quot;container-title&quot;:&quot;Journal of Psychopathology and Behavioral Assessment&quot;,&quot;container-title-short&quot;:&quot;J Psychopathol Behav Assess&quot;,&quot;accessed&quot;:{&quot;date-parts&quot;:[[2023,5,7]]},&quot;DOI&quot;:&quot;10.1007/S10862-014-9429-Y/TABLES/4&quot;,&quot;ISSN&quot;:&quot;15733505&quot;,&quot;URL&quot;:&quot;https://link.springer.com/article/10.1007/s10862-014-9429-y&quot;,&quot;issued&quot;:{&quot;date-parts&quot;:[[2014,10,29]]},&quot;page&quot;:&quot;683-694&quot;,&quot;abstract&quot;:&quot;This study assesses the facet structure and psychometric properties of the Five Facet Mindfulness Questionnaire (FFMQ) with a heterogeneous clinical sample of individuals with mood and anxiety disorders. Various factor models of the FFMQ were submitted to confirmatory factor analyses (CFA). A four factor hierarchical solution, consisting of an overall mindfulness construct subsuming at least four factors, was adopted. Both internal consistency and convergent and discriminant validity were assessed. Along with demonstrating good internal consistency, the facets of the FFMQ were appropriately associated with other psychological constructs. Many mindfulness facets exhibited inverse relationships with emotion dysregulation, emotional avoidance, and psychological distress. The observe facet appeared to assume a role antagonistic to overall mindfulness within a clinical sample, as it exhibited a positive relationship with anxious arousal and no relationship with two other mindfulness facets. Findings support the notion of mindfulness as a multifaceted construct, the structure of which alters in the context of psychopathology.&quot;,&quot;publisher&quot;:&quot;Springer Science and Business Media, LLC&quot;,&quot;issue&quot;:&quot;4&quot;,&quot;volume&quot;:&quot;36&quot;},&quot;isTemporary&quot;:false}],&quot;citationTag&quot;:&quot;MENDELEY_CITATION_v3_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&quot;},{&quot;citationID&quot;:&quot;MENDELEY_CITATION_b44a9f9b-f7fd-4a85-8a88-9216bb94f0a0&quot;,&quot;properties&quot;:{&quot;noteIndex&quot;:0},&quot;isEdited&quot;:false,&quot;manualOverride&quot;:{&quot;isManuallyOverridden&quot;:true,&quot;citeprocText&quot;:&quot;(Smit, 1998)&quot;,&quot;manualOverrideText&quot;:&quot;Smit (1998)&quot;},&quot;citationItems&quot;:[{&quot;id&quot;:&quot;14c5a0d1-5b71-3c58-ab6d-5c37afe773ee&quot;,&quot;itemData&quot;:{&quot;type&quot;:&quot;article-journal&quot;,&quot;id&quot;:&quot;14c5a0d1-5b71-3c58-ab6d-5c37afe773ee&quot;,&quot;title&quot;:&quot;Confirmatory factor analysis of the General Self-Efficacy Scale&quot;,&quot;author&quot;:[{&quot;family&quot;:&quot;Smit&quot;,&quot;given&quot;:&quot;Johannes H&quot;,&quot;parse-names&quot;:false,&quot;dropping-particle&quot;:&quot;&quot;,&quot;non-dropping-particle&quot;:&quot;&quot;}],&quot;container-title&quot;:&quot;Article in Behaviour Research and Therapy&quot;,&quot;accessed&quot;:{&quot;date-parts&quot;:[[2023,5,7]]},&quot;DOI&quot;:&quot;10.1016/S0005-7967(98)00025-4&quot;,&quot;URL&quot;:&quot;https://www.researchgate.net/publication/13641581&quot;,&quot;issued&quot;:{&quot;date-parts&quot;:[[1998]]},&quot;container-title-short&quot;:&quot;&quot;},&quot;isTemporary&quot;:false}],&quot;citationTag&quot;:&quot;MENDELEY_CITATION_v3_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&quot;},{&quot;citationID&quot;:&quot;MENDELEY_CITATION_317f6942-018a-435e-8b53-082f4a53a692&quot;,&quot;properties&quot;:{&quot;noteIndex&quot;:0},&quot;isEdited&quot;:false,&quot;manualOverride&quot;:{&quot;isManuallyOverridden&quot;:false,&quot;citeprocText&quot;:&quot;(Andrich, 1988)&quot;,&quot;manualOverrideText&quot;:&quot;&quot;},&quot;citationItems&quot;:[{&quot;id&quot;:&quot;6dd2fe7b-7181-3f91-b7f8-afeae40f8481&quot;,&quot;itemData&quot;:{&quot;type&quot;:&quot;article-journal&quot;,&quot;id&quot;:&quot;6dd2fe7b-7181-3f91-b7f8-afeae40f8481&quot;,&quot;title&quot;:&quot;Rasch Models for Measurement&quot;,&quot;author&quot;:[{&quot;family&quot;:&quot;Andrich&quot;,&quot;given&quot;:&quot;David&quot;,&quot;parse-names&quot;:false,&quot;dropping-particle&quot;:&quot;&quot;,&quot;non-dropping-particle&quot;:&quot;&quot;}],&quot;container-title&quot;:&quot;Rasch Models for Measurement&quot;,&quot;accessed&quot;:{&quot;date-parts&quot;:[[2023,5,7]]},&quot;DOI&quot;:&quot;10.4135/9781412985598&quot;,&quot;ISBN&quot;:&quot;9781412985598&quot;,&quot;issued&quot;:{&quot;date-parts&quot;:[[1988,7,15]]},&quot;abstract&quot;:&quot;The Rasch models arise from the a priori requirements that, from the responses of a class of persons to a class of items, the comparison between locations of persons should be independent of the relative locations of items, and vice versa. Arising from these requirements, a general model for responses in ordered categories, of which responses in two ordered categories are a special case, follows. Deviations of empirical responses from the model are then taken to violate these requirements of invariance. Ideally, these violations are corrected empirically rather than by using a more complicated model to account for the data. ?? 2010 Elsevier Ltd. All rights reserved.&quot;,&quot;publisher&quot;:&quot;SAGE Publications, Inc.&quot;,&quot;container-title-short&quot;:&quot;&quot;},&quot;isTemporary&quot;:false}],&quot;citationTag&quot;:&quot;MENDELEY_CITATION_v3_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&quot;},{&quot;citationID&quot;:&quot;MENDELEY_CITATION_87a1a092-26d5-4167-9e72-bc4dab5fc977&quot;,&quot;properties&quot;:{&quot;noteIndex&quot;:0},&quot;isEdited&quot;:false,&quot;manualOverride&quot;:{&quot;isManuallyOverridden&quot;:false,&quot;citeprocText&quot;:&quot;(Boone et al., 2014)&quot;,&quot;manualOverrideText&quot;:&quot;&quot;},&quot;citationItems&quot;:[{&quot;id&quot;:&quot;27808d31-d533-3dfd-a0c8-bdd89d917a83&quot;,&quot;itemData&quot;:{&quot;type&quot;:&quot;book&quot;,&quot;id&quot;:&quot;27808d31-d533-3dfd-a0c8-bdd89d917a83&quot;,&quot;title&quot;:&quot;Rasch analysis in the human sciences&quot;,&quot;author&quot;:[{&quot;family&quot;:&quot;Boone&quot;,&quot;given&quot;:&quot;William J.&quot;,&quot;parse-names&quot;:false,&quot;dropping-particle&quot;:&quot;&quot;,&quot;non-dropping-particle&quot;:&quot;&quot;},{&quot;family&quot;:&quot;Yale&quot;,&quot;given&quot;:&quot;Melissa S.&quot;,&quot;parse-names&quot;:false,&quot;dropping-particle&quot;:&quot;&quot;,&quot;non-dropping-particle&quot;:&quot;&quot;},{&quot;family&quot;:&quot;Staver&quot;,&quot;given&quot;:&quot;John R.&quot;,&quot;parse-names&quot;:false,&quot;dropping-particle&quot;:&quot;&quot;,&quot;non-dropping-particle&quot;:&quot;&quot;}],&quot;container-title&quot;:&quot;Rasch Analysis in the Human Sciences&quot;,&quot;accessed&quot;:{&quot;date-parts&quot;:[[2023,3,10]]},&quot;DOI&quot;:&quot;10.1007/978-94-007-6857-4&quot;,&quot;ISBN&quot;:&quot;9789400768574&quot;,&quot;issued&quot;:{&quot;date-parts&quot;:[[2014,1,1]]},&quot;number-of-pages&quot;:&quot;1-482&quot;,&quot;abstract&quot;:&quot;Rasch Analysis in the Human Sciences helps individuals, both students and researchers, master the key concepts and resources needed to use Rasch techniques for analyzing data from assessments to measure variables such as abilities, attitudes, and personality traits. Upon completion of the text, readers will be able to confidently evaluate the strengths and weakness of existing instrumentation, compute linear person measures and item measures, interpret Wright Maps, utilize Rasch software, and understand what it means to measure in the Human Sciences. Each of the 24 chapters presents a key concept using a mix of theory and application of user-friendly Rasch software. Chapters also include a beginning and ending dialogue between two typical researchers learning Rasch, \&quot;Formative Assessment Check Points,\&quot; sample data files, an extensive set of application activities with answers, a one paragraph sample research article text integrating the chapter topic, quick-tips, and suggested readings. Rasch Analysis in the Human Sciences will be an essential resource for anyone wishing to begin, or expand, their learning of Rasch measurement techniques, be it in the Health Sciences, Market Research, Education, or Psychology.&quot;,&quot;publisher&quot;:&quot;Springer Netherlands&quot;,&quot;container-title-short&quot;:&quot;&quot;},&quot;isTemporary&quot;:false}],&quot;citationTag&quot;:&quot;MENDELEY_CITATION_v3_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&quot;},{&quot;citationID&quot;:&quot;MENDELEY_CITATION_b248c690-604a-4338-90d7-39cac8af6467&quot;,&quot;properties&quot;:{&quot;noteIndex&quot;:0},&quot;isEdited&quot;:false,&quot;manualOverride&quot;:{&quot;isManuallyOverridden&quot;:true,&quot;citeprocText&quot;:&quot;(Rasch, 1960)&quot;,&quot;manualOverrideText&quot;:&quot;(G. Rasch, 1960)&quot;},&quot;citationItems&quot;:[{&quot;id&quot;:&quot;256ec9df-ebe7-32c4-9609-57aa33145d23&quot;,&quot;itemData&quot;:{&quot;type&quot;:&quot;book&quot;,&quot;id&quot;:&quot;256ec9df-ebe7-32c4-9609-57aa33145d23&quot;,&quot;title&quot;:&quot;Probabilistic model for some intelligence and achievement tests&quot;,&quot;author&quot;:[{&quot;family&quot;:&quot;Rasch&quot;,&quot;given&quot;:&quot;George&quot;,&quot;parse-names&quot;:false,&quot;dropping-particle&quot;:&quot;&quot;,&quot;non-dropping-particle&quot;:&quot;&quot;}],&quot;issued&quot;:{&quot;date-parts&quot;:[[1960]]},&quot;publisher-place&quot;:&quot;Copenhagen&quot;,&quot;publisher&quot;:&quot;Danish Institute for Educational Research&quot;,&quot;container-title-short&quot;:&quot;&quot;},&quot;isTemporary&quot;:false}],&quot;citationTag&quot;:&quot;MENDELEY_CITATION_v3_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&quot;},{&quot;citationID&quot;:&quot;MENDELEY_CITATION_d320c2f3-a4f9-4f94-93ad-ca9641abdaca&quot;,&quot;properties&quot;:{&quot;noteIndex&quot;:0},&quot;isEdited&quot;:false,&quot;manualOverride&quot;:{&quot;isManuallyOverridden&quot;:false,&quot;citeprocText&quot;:&quot;(B. Wright &amp;#38; Stone, 1979)&quot;,&quot;manualOverrideText&quot;:&quot;&quot;},&quot;citationItems&quot;:[{&quot;id&quot;:&quot;ec73836e-7759-3987-a3b8-db329a08b56a&quot;,&quot;itemData&quot;:{&quot;type&quot;:&quot;article-journal&quot;,&quot;id&quot;:&quot;ec73836e-7759-3987-a3b8-db329a08b56a&quot;,&quot;title&quot;:&quot;Best test design&quot;,&quot;author&quot;:[{&quot;family&quot;:&quot;Wright&quot;,&quot;given&quot;:&quot;Benjamin&quot;,&quot;parse-names&quot;:false,&quot;dropping-particle&quot;:&quot;&quot;,&quot;non-dropping-particle&quot;:&quot;&quot;},{&quot;family&quot;:&quot;Stone&quot;,&quot;given&quot;:&quot;Mark&quot;,&quot;parse-names&quot;:false,&quot;dropping-particle&quot;:&quot;&quot;,&quot;non-dropping-particle&quot;:&quot;&quot;}],&quot;container-title&quot;:&quot;Measurement and statistics&quot;,&quot;accessed&quot;:{&quot;date-parts&quot;:[[2023,5,7]]},&quot;URL&quot;:&quot;https://research.acer.edu.au/measurement/1&quot;,&quot;issued&quot;:{&quot;date-parts&quot;:[[1979,1,1]]},&quot;container-title-short&quot;:&quot;&quot;},&quot;isTemporary&quot;:false}],&quot;citationTag&quot;:&quot;MENDELEY_CITATION_v3_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&quot;},{&quot;citationID&quot;:&quot;MENDELEY_CITATION_2c50116e-82e5-4c37-9ed3-740722a57b78&quot;,&quot;properties&quot;:{&quot;noteIndex&quot;:0},&quot;isEdited&quot;:false,&quot;manualOverride&quot;:{&quot;isManuallyOverridden&quot;:true,&quot;citeprocText&quot;:&quot;(B. D. Wright &amp;#38; Masters, 1982)&quot;,&quot;manualOverrideText&quot;:&quot;Wright &amp; Masters (1982)&quot;},&quot;citationItems&quot;:[{&quot;id&quot;:&quot;51e88af9-41ea-3057-962d-47fcb035c342&quot;,&quot;itemData&quot;:{&quot;type&quot;:&quot;article-journal&quot;,&quot;id&quot;:&quot;51e88af9-41ea-3057-962d-47fcb035c342&quot;,&quot;title&quot;:&quot;Rating scale analysis: Rasch measurement. Chicago: Mesa Press.&quot;,&quot;author&quot;:[{&quot;family&quot;:&quot;Wright&quot;,&quot;given&quot;:&quot;Benjamin D.&quot;,&quot;parse-names&quot;:false,&quot;dropping-particle&quot;:&quot;&quot;,&quot;non-dropping-particle&quot;:&quot;&quot;},{&quot;family&quot;:&quot;Masters&quot;,&quot;given&quot;:&quot;Geofferey N&quot;,&quot;parse-names&quot;:false,&quot;dropping-particle&quot;:&quot;&quot;,&quot;non-dropping-particle&quot;:&quot;&quot;}],&quot;accessed&quot;:{&quot;date-parts&quot;:[[2023,5,7]]},&quot;ISBN&quot;:&quot;9780941938013&quot;,&quot;issued&quot;:{&quot;date-parts&quot;:[[1982]]},&quot;abstract&quot;:&quot;This book is a text about constructing variables and making measures. The basis is the measurement philosophy of G. Rasch. The text begins by outlining the essentials for measurement, examining data and developing models for measuring, and covers estimation procedures, verifying variables and supervising measures. The authors extend Rasch item analysis and person measurement to attitude questionnaires, performance ratings and other ordered category data.&quot;,&quot;publisher&quot;:&quot;MESA Press&quot;,&quot;container-title-short&quot;:&quot;&quot;},&quot;isTemporary&quot;:false}],&quot;citationTag&quot;:&quot;MENDELEY_CITATION_v3_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&quot;},{&quot;citationID&quot;:&quot;MENDELEY_CITATION_049335d5-7356-4b7d-8a8c-c0ba277c2eef&quot;,&quot;properties&quot;:{&quot;noteIndex&quot;:0},&quot;isEdited&quot;:false,&quot;manualOverride&quot;:{&quot;isManuallyOverridden&quot;:false,&quot;citeprocText&quot;:&quot;(Boone &amp;#38; Staver, 2020)&quot;,&quot;manualOverrideText&quot;:&quot;&quot;},&quot;citationItems&quot;:[{&quot;id&quot;:&quot;8fd143ba-ee0d-38be-8546-8b1533a64937&quot;,&quot;itemData&quot;:{&quot;type&quot;:&quot;article-journal&quot;,&quot;id&quot;:&quot;8fd143ba-ee0d-38be-8546-8b1533a64937&quot;,&quot;title&quot;:&quot;Advances in Rasch Analyses in the Human Sciences&quot;,&quot;author&quot;:[{&quot;family&quot;:&quot;Boone&quot;,&quot;given&quot;:&quot;William J.&quot;,&quot;parse-names&quot;:false,&quot;dropping-particle&quot;:&quot;&quot;,&quot;non-dropping-particle&quot;:&quot;&quot;},{&quot;family&quot;:&quot;Staver&quot;,&quot;given&quot;:&quot;John R.&quot;,&quot;parse-names&quot;:false,&quot;dropping-particle&quot;:&quot;&quot;,&quot;non-dropping-particle&quot;:&quot;&quot;}],&quot;container-title&quot;:&quot;Advances in Rasch Analyses in the Human Sciences&quot;,&quot;accessed&quot;:{&quot;date-parts&quot;:[[2023,5,7]]},&quot;DOI&quot;:&quot;10.1007/978-3-030-43420-5&quot;,&quot;issued&quot;:{&quot;date-parts&quot;:[[2020]]},&quot;abstract&quot;:&quot;… of respondents, they must also use Rasch methods. I hope for each reader this book provides something of use—be it a technique to use for a Rasch analysis needed for a paper or talk, …&quot;,&quot;publisher&quot;:&quot;Springer International Publishing&quot;,&quot;container-title-short&quot;:&quot;&quot;},&quot;isTemporary&quot;:false}],&quot;citationTag&quot;:&quot;MENDELEY_CITATION_v3_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&quot;},{&quot;citationID&quot;:&quot;MENDELEY_CITATION_24a73b9e-f8dd-4a35-a2b1-1ad9dd73c8e9&quot;,&quot;properties&quot;:{&quot;noteIndex&quot;:0},&quot;isEdited&quot;:false,&quot;manualOverride&quot;:{&quot;isManuallyOverridden&quot;:false,&quot;citeprocText&quot;:&quot;(Michaelis et al., 2019)&quot;,&quot;manualOverrideText&quot;:&quot;&quot;},&quot;citationItems&quot;:[{&quot;id&quot;:&quot;ced2fe03-042f-3d88-aca0-3dec434159d1&quot;,&quot;itemData&quot;:{&quot;type&quot;:&quot;article-journal&quot;,&quot;id&quot;:&quot;ced2fe03-042f-3d88-aca0-3dec434159d1&quot;,&quot;title&quot;:&quot;Development of a patient-reported outcome measure for psychotherapeutic interventions in people with seizures: A mixed methods study&quot;,&quot;author&quot;:[{&quot;family&quot;:&quot;Michaelis&quot;,&quot;given&quot;:&quot;R&quot;,&quot;parse-names&quot;:false,&quot;dropping-particle&quot;:&quot;&quot;,&quot;non-dropping-particle&quot;:&quot;&quot;},{&quot;family&quot;:&quot;Meyer&quot;,&quot;given&quot;:&quot;S&quot;,&quot;parse-names&quot;:false,&quot;dropping-particle&quot;:&quot;&quot;,&quot;non-dropping-particle&quot;:&quot;&quot;},{&quot;family&quot;:&quot;Reuber&quot;,&quot;given&quot;:&quot;M&quot;,&quot;parse-names&quot;:false,&quot;dropping-particle&quot;:&quot;&quot;,&quot;non-dropping-particle&quot;:&quot;&quot;},{&quot;family&quot;:&quot;Schöne&quot;,&quot;given&quot;:&quot;C&quot;,&quot;parse-names&quot;:false,&quot;dropping-particle&quot;:&quot;&quot;,&quot;non-dropping-particle&quot;:&quot;&quot;}],&quot;container-title&quot;:&quot;Epilepsy Behav&quot;,&quot;DOI&quot;:&quot;10.1016/j.yebeh.2019.106464&quot;,&quot;ISSN&quot;:&quot;1525-5050&quot;,&quot;PMID&quot;:&quot;31421518&quot;,&quot;issued&quot;:{&quot;date-parts&quot;:[[2019]]},&quot;page&quot;:&quot;106464&quot;,&quot;language&quot;:&quot;eng&quot;,&quot;abstract&quot;:&quot;BACKGROUND: Generic or even disease-specific quality of life measures are unlikely to be equally responsive to different epilepsy treatment modalities, such as pharmacotherapy, surgery, or psychotherapy. The purpose of the present study was to summarize the development of a patient-reported outcome measure (PROM) designed to be particularly sensitive to change mediated by psychotherapeutic interventions in people with seizures. METHODS: The development of this instrument involved seven steps: (1) Development of a candidate item set based on the outcome of previous qualitative research, (2) initial quantitative-descriptive study yielding an assessment of content validity by clinical experts, (3) qualitative-descriptive posttherapy cognitive debriefing interviews with patients with epileptic and/or nonepileptic seizures (NES), (4) English translation, (5) elicitation of qualitative feedback from international experts, (6) assessment of internal consistency and correlation with similar previously validated generic and epilepsy-specific measures in a pilot study, and (7) final expert content validity rating. RESULTS: (1) The candidate item set comprised 29 stem items; five of which were followed by a follow-up (FU) item that refers to the statement of the stem item. (2) Eight clinical experts assessed content validity. Informed by rating and experts' qualitative comments, 15 items remained unchanged, eleven underwent substantial revisions, three were excluded, and six added. (3) Cognitive debriefing interviews were conducted with 14 patients with epilepsy and/or NES. Based on the interviewees' feedback, 29 of 32 items remained unchanged, two were excluded, one reworded, and four added. (4) The forwards-backwards English translation prompted substantial revision of two items because the verbatim back translation of the corresponding English items was conceptually more convincing than the original German wording. (5) The international experts identified problems with item comprehensibility/clarity of four stem and three FU items that were subsequently reworded. Ten items were added to incorporate their qualitative feedback resulting in a total of 44 items. (6) Thirty-one patients with epilepsy participated in the pilot study. The overall internal consistency of the self-Efficacy, Assertiveness, Social support, self-awareness, and hElpful thinking in people with seizures (EASE) was very good (α = 0.92). Analysis at item-level revealed problems with inverted and self-evident items. Based on this analysis, three items were eliminated and two items were revised (one FU item was turned into a stem item) resulting in a total of 42 items. (7) The second content validity rating showed final item-content validity indices (I-CVIs) between 0.38 and 1 and an excellent mean CVI of 0.92 at scale level (S-CVI/ave). Fourteen stem items were substantially revised by incorporating the experts' qualitative feedback, three items with low I-CVIs were excluded, and one item was added. The final questionnaire consisted of 40 stem items; eight of which include at least one FU item. CONCLUSION: Based on these results, the EASE is valid in terms of content, internally consistent, clear, and acceptable to patients with seizures. The measure has now been developed to the stage at which the validity and reliability as well as the psychometric properties and factorial structure of the new instrument can be assessed in larger patient groups in a prospective clinical study.&quot;,&quot;edition&quot;:&quot;2019/08/20&quot;,&quot;volume&quot;:&quot;99&quot;,&quot;container-title-short&quot;:&quot;&quot;},&quot;isTemporary&quot;:false}],&quot;citationTag&quot;:&quot;MENDELEY_CITATION_v3_eyJjaXRhdGlvbklEIjoiTUVOREVMRVlfQ0lUQVRJT05fMjRhNzNiOWUtZjhkZC00YTM1LWEyYjEtMWFkOWRkNzNjOGU5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quot;},{&quot;citationID&quot;:&quot;MENDELEY_CITATION_7f651d29-7a1c-4d85-8319-c11c14a54ad5&quot;,&quot;properties&quot;:{&quot;noteIndex&quot;:0},&quot;isEdited&quot;:false,&quot;manualOverride&quot;:{&quot;isManuallyOverridden&quot;:false,&quot;citeprocText&quot;:&quot;(Spitzer et al., 2006)&quot;,&quot;manualOverrideText&quot;:&quot;&quot;},&quot;citationItems&quot;:[{&quot;id&quot;:&quot;37550a47-907d-3b8d-8a79-41c47dd908d0&quot;,&quot;itemData&quot;:{&quot;type&quot;:&quot;article-journal&quot;,&quot;id&quot;:&quot;37550a47-907d-3b8d-8a79-41c47dd908d0&quot;,&quot;title&quot;:&quot;A Brief Measure for Assessing Generalized Anxiety Disorder: The GAD-7&quot;,&quot;author&quot;:[{&quot;family&quot;:&quot;Spitzer&quot;,&quot;given&quot;:&quot;Robert L&quot;,&quot;parse-names&quot;:false,&quot;dropping-particle&quot;:&quot;&quot;,&quot;non-dropping-particle&quot;:&quot;&quot;},{&quot;family&quot;:&quot;Kroenke&quot;,&quot;given&quot;:&quot;Kurt&quot;,&quot;parse-names&quot;:false,&quot;dropping-particle&quot;:&quot;&quot;,&quot;non-dropping-particle&quot;:&quot;&quot;},{&quot;family&quot;:&quot;Williams&quot;,&quot;given&quot;:&quot;Janet B W&quot;,&quot;parse-names&quot;:false,&quot;dropping-particle&quot;:&quot;&quot;,&quot;non-dropping-particle&quot;:&quot;&quot;},{&quot;family&quot;:&quot;Löwe&quot;,&quot;given&quot;:&quot;Bernd&quot;,&quot;parse-names&quot;:false,&quot;dropping-particle&quot;:&quot;&quot;,&quot;non-dropping-particle&quot;:&quot;&quot;}],&quot;container-title&quot;:&quot;Archives of Internal Medicine&quot;,&quot;container-title-short&quot;:&quot;Arch Intern Med&quot;,&quot;DOI&quot;:&quot;10.1001/archinte.166.10.1092&quot;,&quot;ISSN&quot;:&quot;0003-9926&quot;,&quot;URL&quot;:&quot;https://doi.org/10.1001/archinte.166.10.1092&quot;,&quot;issued&quot;:{&quot;date-parts&quot;:[[2006]]},&quot;page&quot;:&quot;1092-1097&quot;,&quot;abstract&quot;:&quot;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The GAD-7 is a valid and efficient tool for screening for GAD and assessing its severity in clinical practice and research.Arch Intern Med. 2006;166:1092-1097--&gt;&quot;,&quot;issue&quot;:&quot;10&quot;,&quot;volume&quot;:&quot;166&quot;},&quot;isTemporary&quot;:false}],&quot;citationTag&quot;:&quot;MENDELEY_CITATION_v3_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&quot;},{&quot;citationID&quot;:&quot;MENDELEY_CITATION_cf0a0a77-efc9-4199-8b21-bee15c6f58e9&quot;,&quot;properties&quot;:{&quot;noteIndex&quot;:0},&quot;isEdited&quot;:false,&quot;manualOverride&quot;:{&quot;isManuallyOverridden&quot;:false,&quot;citeprocText&quot;:&quot;(Vijay et al., 2014)&quot;,&quot;manualOverrideText&quot;:&quot;&quot;},&quot;citationItems&quot;:[{&quot;id&quot;:&quot;de0b63fb-2327-303f-aace-ceb50e74d9ea&quot;,&quot;itemData&quot;:{&quot;type&quot;:&quot;article-journal&quot;,&quot;id&quot;:&quot;de0b63fb-2327-303f-aace-ceb50e74d9ea&quot;,&quot;title&quot;:&quot;A study of worry and functional somatic symptoms in generalized anxiety disorder&quot;,&quot;author&quot;:[{&quot;family&quot;:&quot;Vijay&quot;,&quot;given&quot;:&quot;K G&quot;,&quot;parse-names&quot;:false,&quot;dropping-particle&quot;:&quot;&quot;,&quot;non-dropping-particle&quot;:&quot;&quot;},{&quot;family&quot;:&quot;Avasthi&quot;,&quot;given&quot;:&quot;Ajit&quot;,&quot;parse-names&quot;:false,&quot;dropping-particle&quot;:&quot;&quot;,&quot;non-dropping-particle&quot;:&quot;&quot;},{&quot;family&quot;:&quot;Grover&quot;,&quot;given&quot;:&quot;Sandeep&quot;,&quot;parse-names&quot;:false,&quot;dropping-particle&quot;:&quot;&quot;,&quot;non-dropping-particle&quot;:&quot;&quot;}],&quot;container-title&quot;:&quot;Asian Journal of Psychiatry&quot;,&quot;DOI&quot;:&quot;10.1016/j.ajp.2014.05.011&quot;,&quot;ISSN&quot;:&quot;1876-2026(Electronic),1876-2018(Print)&quot;,&quot;issued&quot;:{&quot;date-parts&quot;:[[2014]]},&quot;publisher-place&quot;:&quot;Netherlands&quot;,&quot;page&quot;:&quot;50-52&quot;,&quot;abstract&quot;:&quot;Objective: To study the phenomenon of worry and functional somatic symptoms in Generalized Anxiety Disorder (GAD). Method: 40 subjects with the diagnosis of GAD were assessed by using Penn State Worry Questionnaire (PSWQ) and Bradford Somatic Inventory (BSI). Severity of GAD was rated on Generalized Anxiety Disorder -7 (GAD-7) scale. Results: The mean total score on PSWQ was 59.62. All patients had somatic symptoms and the minimum number of somatic symptoms noted in a patient was 11 and maximum was 38. Seventy-five percent of the patients had more than 22 somatic symptoms as per BSI. Majority of the patients (90%) scored more than 10 on GAD-7 scale. Conclusion: Future nosological systems should not limit assessment of somatic symptoms to a list of 6 symptoms only in patients with GAD and should try to operationalise the definition of excessive worry by taking into consideration the common types of worries. (PsycINFO Database Record (c) 2016 APA, all rights reserved)&quot;,&quot;publisher&quot;:&quot;Elsevier Science&quot;,&quot;volume&quot;:&quot;11&quot;,&quot;container-title-short&quot;:&quot;Asian J Psychiatr&quot;},&quot;isTemporary&quot;:false}],&quot;citationTag&quot;:&quot;MENDELEY_CITATION_v3_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&quot;},{&quot;citationID&quot;:&quot;MENDELEY_CITATION_4788522b-a43a-4332-beca-8ee1537e742d&quot;,&quot;properties&quot;:{&quot;noteIndex&quot;:0},&quot;isEdited&quot;:false,&quot;manualOverride&quot;:{&quot;isManuallyOverridden&quot;:true,&quot;citeprocText&quot;:&quot;(Kroenke et al., 2010)&quot;,&quot;manualOverrideText&quot;:&quot;(Kroenke et al., 2010a)&quot;},&quot;citationItems&quot;:[{&quot;id&quot;:&quot;445b1852-7f0e-3026-9299-9e3c785d23c8&quot;,&quot;itemData&quot;:{&quot;type&quot;:&quot;article-journal&quot;,&quot;id&quot;:&quot;445b1852-7f0e-3026-9299-9e3c785d23c8&quot;,&quot;title&quot;:&quot;The Patient Health Questionnaire Somatic, Anxiety, and Depressive Symptom Scales: a systematic review&quot;,&quot;author&quot;:[{&quot;family&quot;:&quot;Kroenke&quot;,&quot;given&quot;:&quot;Kurt&quot;,&quot;parse-names&quot;:false,&quot;dropping-particle&quot;:&quot;&quot;,&quot;non-dropping-particle&quot;:&quot;&quot;},{&quot;family&quot;:&quot;Spitzer&quot;,&quot;given&quot;:&quot;Robert L&quot;,&quot;parse-names&quot;:false,&quot;dropping-particle&quot;:&quot;&quot;,&quot;non-dropping-particle&quot;:&quot;&quot;},{&quot;family&quot;:&quot;Williams&quot;,&quot;given&quot;:&quot;Janet B W&quot;,&quot;parse-names&quot;:false,&quot;dropping-particle&quot;:&quot;&quot;,&quot;non-dropping-particle&quot;:&quot;&quot;},{&quot;family&quot;:&quot;Löwe&quot;,&quot;given&quot;:&quot;Bernd&quot;,&quot;parse-names&quot;:false,&quot;dropping-particle&quot;:&quot;&quot;,&quot;non-dropping-particle&quot;:&quot;&quot;}],&quot;container-title&quot;:&quot;General Hospital Psychiatry&quot;,&quot;DOI&quot;:&quot;https://doi.org/10.1016/j.genhosppsych.2010.03.006&quot;,&quot;ISSN&quot;:&quot;0163-8343&quot;,&quot;URL&quot;:&quot;http://www.sciencedirect.com/science/article/pii/S0163834310000563&quot;,&quot;issued&quot;:{&quot;date-parts&quot;:[[2010]]},&quot;page&quot;:&quot;345-359&quot;,&quot;abstract&quot;:&quot;Background Depression, anxiety and somatization are the most common mental disorders in primary care as well as medical specialty populations; each is present in at least 5–10% of patients and frequently comorbid with one another. An efficient means for measuring and monitoring all three conditions would be desirable. Methods Evidence regarding the psychometric and pragmatic characteristics of the Patient Health Questionnaire (PHQ)-9 depression, generalized anxiety disorder (GAD)-7 anxiety and PHQ-15 somatic symptom scales are synthesized from two sources: (1) four multisite cross-sectional studies (three conducted in primary care and one in obstetric-gynecology practices) comprising 9740 patients, and (2) key studies from the literature that have studied these scales. Results The PHQ-9 and its abbreviated eight-item (PHQ-8) and two-item (PHQ-2) versions have good sensitivity and specificity for detecting depressive disorders. Likewise, the GAD-7 and its abbreviated two-item (GAD-2) version have good operating characteristics for detecting generalized anxiety, panic, social anxiety and post-traumatic stress disorder. The optimal cutpoint is ≥10 on the parent scales (PHQ-9 and GAD-7) and ≥3 on the ultra-brief versions (PHQ-2 and GAD-2). The PHQ-15 is equal or superior to other brief measures for assessing somatic symptoms and screening for somatoform disorders. Cutpoints of 5, 10 and 15 represent mild, moderate and severe symptom levels on all three scales. Sensitivity to change is well-established for the PHQ-9 and emerging albeit not yet definitive for the GAD-7 and PHQ-15. Conclusions The PHQ-9, GAD-7 and PHQ-15 are brief well-validated measures for detecting and monitoring depression, anxiety and somatization.&quot;,&quot;issue&quot;:&quot;4&quot;,&quot;volume&quot;:&quot;32&quot;,&quot;container-title-short&quot;:&quot;Gen Hosp Psychiatry&quot;},&quot;isTemporary&quot;:false}],&quot;citationTag&quot;:&quot;MENDELEY_CITATION_v3_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&quot;},{&quot;citationID&quot;:&quot;MENDELEY_CITATION_92413029-f965-41c8-96c7-792f70f989d1&quot;,&quot;properties&quot;:{&quot;noteIndex&quot;:0},&quot;isEdited&quot;:false,&quot;manualOverride&quot;:{&quot;isManuallyOverridden&quot;:false,&quot;citeprocText&quot;:&quot;(Beard &amp;#38; Björgvinsson, 2014)&quot;,&quot;manualOverrideText&quot;:&quot;&quot;},&quot;citationItems&quot;:[{&quot;id&quot;:&quot;8bf1c7ec-7896-3b66-96bc-5ae65bdcbc90&quot;,&quot;itemData&quot;:{&quot;type&quot;:&quot;article-journal&quot;,&quot;id&quot;:&quot;8bf1c7ec-7896-3b66-96bc-5ae65bdcbc90&quot;,&quot;title&quot;:&quot;Beyond generalized anxiety disorder: psychometric properties of the GAD-7 in a heterogeneous psychiatric sample&quot;,&quot;author&quot;:[{&quot;family&quot;:&quot;Beard&quot;,&quot;given&quot;:&quot;C&quot;,&quot;parse-names&quot;:false,&quot;dropping-particle&quot;:&quot;&quot;,&quot;non-dropping-particle&quot;:&quot;&quot;},{&quot;family&quot;:&quot;Björgvinsson&quot;,&quot;given&quot;:&quot;T&quot;,&quot;parse-names&quot;:false,&quot;dropping-particle&quot;:&quot;&quot;,&quot;non-dropping-particle&quot;:&quot;&quot;}],&quot;container-title&quot;:&quot;J Anxiety Disord&quot;,&quot;DOI&quot;:&quot;10.1016/j.janxdis.2014.06.002&quot;,&quot;ISSN&quot;:&quot;0887-6185&quot;,&quot;PMID&quot;:&quot;24983795&quot;,&quot;issued&quot;:{&quot;date-parts&quot;:[[2014]]},&quot;page&quot;:&quot;547-552&quot;,&quot;language&quot;:&quot;eng&quot;,&quot;abstract&quot;:&quot;BACKGROUND: Although developed as a screener for Generalized Anxiety Disorder (GAD) in primary care, the GAD-7 is now commonly used as a measure of general anxiety symptoms across various settings and populations. However, little is known about its psychometric properties when used in such heterogeneous samples. We examined the internal consistency, convergent validity, sensitivity and specificity, sensitivity to change, and structure of the GAD-7 in patients receiving brief, intensive CBT treatment in a partial hospital setting. We also examined the properties of a modified version that assessed symptoms over the past 24-h. METHODS: Participants (n=1082) completed the GAD-7 upon admission and discharge from a partial hospital program. They also completed measures of worry, depression, and well being and a structured diagnostic interview. We examined psychometric properties in the total sample and separately for patients with GAD, post-traumatic stress disorder, Social Anxiety Disorder (SAD), and panic disorder. RESULTS: Internal consistency and convergent validity were good for the total sample and each anxiety disorder group. The GAD-7 demonstrated poor specificity and a high false positive rate for all anxiety disorders. Sensitivity to change was generally good. Factor analysis revealed that a one-factor structure did not fit the data well. The 24-h version performed similarly to the original version. CONCLUSIONS: The GAD-7 performed well as a measure of anxiety symptom severity, but not as a screener in this psychiatric sample. It is a useful outcome measure for hetereogenous samples, but it may not perform as well specifically for individuals with SAD. A modified version of the GAD-7 that assessed anxiety symptoms over the past 24-h appears to be a reliable and valid modification.&quot;,&quot;edition&quot;:&quot;2014/07/02&quot;,&quot;issue&quot;:&quot;6&quot;,&quot;volume&quot;:&quot;28&quot;,&quot;container-title-short&quot;:&quot;&quot;},&quot;isTemporary&quot;:false}],&quot;citationTag&quot;:&quot;MENDELEY_CITATION_v3_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&quot;},{&quot;citationID&quot;:&quot;MENDELEY_CITATION_736a9ffc-298e-4e39-84c7-2204fde09145&quot;,&quot;properties&quot;:{&quot;noteIndex&quot;:0},&quot;isEdited&quot;:false,&quot;manualOverride&quot;:{&quot;isManuallyOverridden&quot;:false,&quot;citeprocText&quot;:&quot;(Goldstein et al., 2023)&quot;,&quot;manualOverrideText&quot;:&quot;&quot;},&quot;citationItems&quot;:[{&quot;id&quot;:&quot;73be880c-8752-32ed-9c2a-ab17cf9030b2&quot;,&quot;itemData&quot;:{&quot;type&quot;:&quot;article-journal&quot;,&quot;id&quot;:&quot;73be880c-8752-32ed-9c2a-ab17cf9030b2&quot;,&quot;title&quot;:&quot;Performance of the GAD-7 in adults with dissociative seizures&quot;,&quot;author&quot;:[{&quot;family&quot;:&quot;Goldstein&quot;,&quot;given&quot;:&quot;Laura H.&quot;,&quot;parse-names&quot;:false,&quot;dropping-particle&quot;:&quot;&quot;,&quot;non-dropping-particle&quot;:&quot;&quot;},{&quot;family&quot;:&quot;Vitoratou&quot;,&quot;given&quot;:&quot;Silia&quot;,&quot;parse-names&quot;:false,&quot;dropping-particle&quot;:&quot;&quot;,&quot;non-dropping-particle&quot;:&quot;&quot;},{&quot;family&quot;:&quot;Stone&quot;,&quot;given&quot;:&quot;Jon&quot;,&quot;parse-names&quot;:false,&quot;dropping-particle&quot;:&quot;&quot;,&quot;non-dropping-particle&quot;:&quot;&quot;},{&quot;family&quot;:&quot;Chalder&quot;,&quot;given&quot;:&quot;Trudie&quot;,&quot;parse-names&quot;:false,&quot;dropping-particle&quot;:&quot;&quot;,&quot;non-dropping-particle&quot;:&quot;&quot;},{&quot;family&quot;:&quot;Baldellou Lopez&quot;,&quot;given&quot;:&quot;Maria&quot;,&quot;parse-names&quot;:false,&quot;dropping-particle&quot;:&quot;&quot;,&quot;non-dropping-particle&quot;:&quot;&quot;},{&quot;family&quot;:&quot;Carson&quot;,&quot;given&quot;:&quot;Alan&quot;,&quot;parse-names&quot;:false,&quot;dropping-particle&quot;:&quot;&quot;,&quot;non-dropping-particle&quot;:&quot;&quot;},{&quot;family&quot;:&quot;Reuber&quot;,&quot;given&quot;:&quot;Markus&quot;,&quot;parse-names&quot;:false,&quot;dropping-particle&quot;:&quot;&quot;,&quot;non-dropping-particle&quot;:&quot;&quot;}],&quot;container-title&quot;:&quot;Seizure&quot;,&quot;container-title-short&quot;:&quot;Seizure&quot;,&quot;accessed&quot;:{&quot;date-parts&quot;:[[2023,5,2]]},&quot;DOI&quot;:&quot;10.1016/J.SEIZURE.2022.11.011&quot;,&quot;ISSN&quot;:&quot;1532-2688&quot;,&quot;PMID&quot;:&quot;36462456&quot;,&quot;URL&quot;:&quot;https://pubmed.ncbi.nlm.nih.gov/36462456/&quot;,&quot;issued&quot;:{&quot;date-parts&quot;:[[2023,1,1]]},&quot;page&quot;:&quot;15-21&quot;,&quot;abstract&quot;:&quot;Purpose: Little is known about the accuracy of the GAD-7, a self-report anxiety measure, in detecting generalised anxiety disorder (GAD) in people with dissociative seizures (DS). We evaluated the reliability, validity and uniformity of the GAD-7 using a diagnosis of GAD on the Mini-International Neuropsychiatric Interview as a reference. Methods: We assessed 368 adults with DS at the pre-randomisation phase of the CODES trial. Factor analysis for categorical data assessed GAD-7 uniformity. Diagnostic accuracy was assessed by estimating the area under the curve (AUC). We evaluated discriminant validity, reviewed data on convergent validity and calculated internal consistency. We explored correlations between GAD-7 scores and monthly DS frequency, frequency of severe seizures and measures of behavioural and emotional avoidance. Results: Internal consistency of the GAD-7 was high (α = 0.92). Factor analysis elicited one main factor and general measurement invariance. Diagnostic accuracy was fair (AUC = 0.72) but the best balance of sensitivity and specificity occurred at a cut-off of ≥12 and still had a specificity rate of only 68%. Discriminant and convergent validity were good. GAD-7 scores correlated positively with DS frequency, severe seizure frequency, behavioural and emotional avoidance (all p &lt; 0.001). Conclusion: Findings regarding internal consistency and factor structure parallel previous psychometric evaluations of the GAD-7. Correlations between GAD-7 scores and DS occurrence/severity and avoidance are evidence of the concept validity of GAD-7 and provide further support for a fear-avoidance treatment model for DS. However, the utility of the GAD-7 as a diagnostic instrument for generalised anxiety disorder is limited in patients with DS.&quot;,&quot;publisher&quot;:&quot;Seizure&quot;,&quot;volume&quot;:&quot;104&quot;},&quot;isTemporary&quot;:false}],&quot;citationTag&quot;:&quot;MENDELEY_CITATION_v3_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&quot;},{&quot;citationID&quot;:&quot;MENDELEY_CITATION_48fd68a9-f628-42b3-9c22-6c9ae2e8d95a&quot;,&quot;properties&quot;:{&quot;noteIndex&quot;:0},&quot;isEdited&quot;:false,&quot;manualOverride&quot;:{&quot;isManuallyOverridden&quot;:true,&quot;citeprocText&quot;:&quot;(Kroenke et al., 2001)&quot;,&quot;manualOverrideText&quot;:&quot;(Kroenke et al., 2001a)&quot;},&quot;citationItems&quot;:[{&quot;id&quot;:&quot;5fc25744-a0dd-3bfa-b136-b59420231b1d&quot;,&quot;itemData&quot;:{&quot;type&quot;:&quot;article-journal&quot;,&quot;id&quot;:&quot;5fc25744-a0dd-3bfa-b136-b59420231b1d&quot;,&quot;title&quot;:&quot;The PHQ-9: validity of a brief depression severity measure&quot;,&quot;author&quot;:[{&quot;family&quot;:&quot;Kroenke&quot;,&quot;given&quot;:&quot;K&quot;,&quot;parse-names&quot;:false,&quot;dropping-particle&quot;:&quot;&quot;,&quot;non-dropping-particle&quot;:&quot;&quot;},{&quot;family&quot;:&quot;Spitzer&quot;,&quot;given&quot;:&quot;R L&quot;,&quot;parse-names&quot;:false,&quot;dropping-particle&quot;:&quot;&quot;,&quot;non-dropping-particle&quot;:&quot;&quot;},{&quot;family&quot;:&quot;Williams&quot;,&quot;given&quot;:&quot;J B&quot;,&quot;parse-names&quot;:false,&quot;dropping-particle&quot;:&quot;&quot;,&quot;non-dropping-particle&quot;:&quot;&quot;}],&quot;container-title&quot;:&quot;J Gen Intern Med&quot;,&quot;DOI&quot;:&quot;10.1046/j.1525-1497.2001.016009606.x&quot;,&quot;ISSN&quot;:&quot;0884-8734 (Print)\r0884-8734&quot;,&quot;PMID&quot;:&quot;11556941&quot;,&quot;issued&quot;:{&quot;date-parts&quot;:[[2001]]},&quot;page&quot;:&quot;606-613&quot;,&quot;language&quot;:&quot;eng&quot;,&quot;abstract&quot;:&quot;OBJECTIVE: While considerable attention has focused on improving the detection of depression, assessment of severity is also important in guiding treatment decisions. Therefore, we examined the validity of a brief, new measure of depression severity. MEASUREMENTS: The Patient Health Questionnaire (PHQ) is a self-administered version of the PRIME-MD diagnostic instrument for common mental disorders. The PHQ-9 is the depression module, which scores each of the 9 DSM-IV criteria as \&quot;0\&quot; (not at all) to \&quot;3\&quot;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 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 CONCLUSION: In addition to making criteria-based diagnoses of depressive disorders, the PHQ-9 is also a reliable and valid measure of depression severity. These characteristics plus its brevity make the PHQ-9 a useful clinical and research tool.&quot;,&quot;edition&quot;:&quot;2001/09/15&quot;,&quot;issue&quot;:&quot;9&quot;,&quot;volume&quot;:&quot;16&quot;,&quot;container-title-short&quot;:&quot;&quot;},&quot;isTemporary&quot;:false}],&quot;citationTag&quot;:&quot;MENDELEY_CITATION_v3_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&quot;},{&quot;citationID&quot;:&quot;MENDELEY_CITATION_8b27993d-e592-4b1c-8594-490ce7f9522a&quot;,&quot;properties&quot;:{&quot;noteIndex&quot;:0},&quot;isEdited&quot;:false,&quot;manualOverride&quot;:{&quot;isManuallyOverridden&quot;:true,&quot;citeprocText&quot;:&quot;(Chen et al., 2010)&quot;,&quot;manualOverrideText&quot;:&quot;(S. Chen et al., 2010)&quot;},&quot;citationItems&quot;:[{&quot;id&quot;:&quot;41713723-1885-3485-aa5a-37c4476ee8fa&quot;,&quot;itemData&quot;:{&quot;type&quot;:&quot;article-journal&quot;,&quot;id&quot;:&quot;41713723-1885-3485-aa5a-37c4476ee8fa&quot;,&quot;title&quot;:&quot;Reliability and validity of the PHQ-9 for screening late-life depression in Chinese primary care&quot;,&quot;author&quot;:[{&quot;family&quot;:&quot;Chen&quot;,&quot;given&quot;:&quot;Shulin&quot;,&quot;parse-names&quot;:false,&quot;dropping-particle&quot;:&quot;&quot;,&quot;non-dropping-particle&quot;:&quot;&quot;},{&quot;family&quot;:&quot;Chiu&quot;,&quot;given&quot;:&quot;Helen&quot;,&quot;parse-names&quot;:false,&quot;dropping-particle&quot;:&quot;&quot;,&quot;non-dropping-particle&quot;:&quot;&quot;},{&quot;family&quot;:&quot;Xu&quot;,&quot;given&quot;:&quot;Baihua&quot;,&quot;parse-names&quot;:false,&quot;dropping-particle&quot;:&quot;&quot;,&quot;non-dropping-particle&quot;:&quot;&quot;},{&quot;family&quot;:&quot;Ma&quot;,&quot;given&quot;:&quot;Yan&quot;,&quot;parse-names&quot;:false,&quot;dropping-particle&quot;:&quot;&quot;,&quot;non-dropping-particle&quot;:&quot;&quot;},{&quot;family&quot;:&quot;Jin&quot;,&quot;given&quot;:&quot;Tao&quot;,&quot;parse-names&quot;:false,&quot;dropping-particle&quot;:&quot;&quot;,&quot;non-dropping-particle&quot;:&quot;&quot;},{&quot;family&quot;:&quot;Wu&quot;,&quot;given&quot;:&quot;Manhua&quot;,&quot;parse-names&quot;:false,&quot;dropping-particle&quot;:&quot;&quot;,&quot;non-dropping-particle&quot;:&quot;&quot;},{&quot;family&quot;:&quot;Conwell&quot;,&quot;given&quot;:&quot;Yeates&quot;,&quot;parse-names&quot;:false,&quot;dropping-particle&quot;:&quot;&quot;,&quot;non-dropping-particle&quot;:&quot;&quot;}],&quot;container-title&quot;:&quot;International Journal of Geriatric Psychiatry&quot;,&quot;DOI&quot;:&quot;10.1002/gps.2442&quot;,&quot;ISSN&quot;:&quot;0885-6230&quot;,&quot;URL&quot;:&quot;https://doi.org/10.1002/gps.2442&quot;,&quot;issued&quot;:{&quot;date-parts&quot;:[[2010]]},&quot;page&quot;:&quot;1127-1133&quot;,&quot;abstract&quot;:&quot;Abstract Objective The aim of this study was to examine the reliability and validation of the 9-item Patient Health Questionnaire (PHQ-9) for late-life depression in Chinese primary care. Methods In the primary care clinics (PCCs) of Hangzhou city, we recruited 364 older patients (aged ≥?60) for the PHQ-9 screening. Then 77 of them were further interviewed with Structured Clinical Interview for DSM Disorders (SCID) for the diagnosis of major depression in late life. Statistic strategies for the feasibility, reliability, validity, and receiver operating characteristic curve were performed. Results The mean administration time was 7.5?min, and the Cronbach's α was 0.91. The optimal cut-off score of PHQ-9?≥?9 revealed a sensitivity of 0.86, specificity of 0.77, and positive likelihood ratio of 5.73. The area under the curve (AUC) in this study was 0.92 (SD?=?0.02, 95% CI 0.88?0.96). The PHQ-2 also revealed good sensitivity (0.84) and specificity (0.90) at the cut-off point≥?3. Conclusions The PHQ-9 performs well and has acceptable psychometric properties for screening of patients with late-life depression in Chinese primary care settings. Copyright ? 2009 John Wiley &amp; Sons, Ltd.&quot;,&quot;publisher&quot;:&quot;John Wiley &amp; Sons, Ltd&quot;,&quot;issue&quot;:&quot;11&quot;,&quot;volume&quot;:&quot;25&quot;,&quot;container-title-short&quot;:&quot;Int J Geriatr Psychiatry&quot;},&quot;isTemporary&quot;:false}],&quot;citationTag&quot;:&quot;MENDELEY_CITATION_v3_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&quot;},{&quot;citationID&quot;:&quot;MENDELEY_CITATION_54c8b877-652b-4d15-94d9-927cebbafca8&quot;,&quot;properties&quot;:{&quot;noteIndex&quot;:0},&quot;isEdited&quot;:false,&quot;manualOverride&quot;:{&quot;isManuallyOverridden&quot;:false,&quot;citeprocText&quot;:&quot;(Baldellou Lopez et al., 2021)&quot;,&quot;manualOverrideText&quot;:&quot;&quot;},&quot;citationItems&quot;:[{&quot;id&quot;:&quot;a6a7dfca-bd83-3c17-8f77-11694a0a2db2&quot;,&quot;itemData&quot;:{&quot;type&quot;:&quot;article-journal&quot;,&quot;id&quot;:&quot;a6a7dfca-bd83-3c17-8f77-11694a0a2db2&quot;,&quot;title&quot;:&quot;Validation of the PHQ-9 in adults with dissociative seizures&quot;,&quot;author&quot;:[{&quot;family&quot;:&quot;Baldellou Lopez&quot;,&quot;given&quot;:&quot;Maria&quot;,&quot;parse-names&quot;:false,&quot;dropping-particle&quot;:&quot;&quot;,&quot;non-dropping-particle&quot;:&quot;&quot;},{&quot;family&quot;:&quot;Goldstein&quot;,&quot;given&quot;:&quot;Laura H.&quot;,&quot;parse-names&quot;:false,&quot;dropping-particle&quot;:&quot;&quot;,&quot;non-dropping-particle&quot;:&quot;&quot;},{&quot;family&quot;:&quot;Robinson&quot;,&quot;given&quot;:&quot;Emily J.&quot;,&quot;parse-names&quot;:false,&quot;dropping-particle&quot;:&quot;&quot;,&quot;non-dropping-particle&quot;:&quot;&quot;},{&quot;family&quot;:&quot;Vitoratou&quot;,&quot;given&quot;:&quot;Silia&quot;,&quot;parse-names&quot;:false,&quot;dropping-particle&quot;:&quot;&quot;,&quot;non-dropping-particle&quot;:&quot;&quot;},{&quot;family&quot;:&quot;Chalder&quot;,&quot;given&quot;:&quot;Trudie&quot;,&quot;parse-names&quot;:false,&quot;dropping-particle&quot;:&quot;&quot;,&quot;non-dropping-particle&quot;:&quot;&quot;},{&quot;family&quot;:&quot;Carson&quot;,&quot;given&quot;:&quot;Alan&quot;,&quot;parse-names&quot;:false,&quot;dropping-particle&quot;:&quot;&quot;,&quot;non-dropping-particle&quot;:&quot;&quot;},{&quot;family&quot;:&quot;Stone&quot;,&quot;given&quot;:&quot;Jon&quot;,&quot;parse-names&quot;:false,&quot;dropping-particle&quot;:&quot;&quot;,&quot;non-dropping-particle&quot;:&quot;&quot;},{&quot;family&quot;:&quot;Reuber&quot;,&quot;given&quot;:&quot;Markus&quot;,&quot;parse-names&quot;:false,&quot;dropping-particle&quot;:&quot;&quot;,&quot;non-dropping-particle&quot;:&quot;&quot;}],&quot;container-title&quot;:&quot;Journal of psychosomatic research&quot;,&quot;container-title-short&quot;:&quot;J Psychosom Res&quot;,&quot;accessed&quot;:{&quot;date-parts&quot;:[[2023,5,2]]},&quot;DOI&quot;:&quot;10.1016/J.JPSYCHORES.2021.110487&quot;,&quot;ISSN&quot;:&quot;1879-1360&quot;,&quot;PMID&quot;:&quot;33932719&quot;,&quot;URL&quot;:&quot;https://pubmed.ncbi.nlm.nih.gov/33932719/&quot;,&quot;issued&quot;:{&quot;date-parts&quot;:[[2021,7,1]]},&quot;abstract&quot;:&quot;Background: The PHQ-9 is a self-administered depression screening instrument. Little is known about its utility and accuracy in detecting depression in adults with dissociative seizures (DS). Objectives: Using the Mini – International Neuropsychiatric Interview as a reference, we evaluated the diagnostic accuracy of the PHQ-9 in adults with DS, and examined its convergent and discriminant validity and uniformity. Methods: Our sample comprised 368 people with DS who completed the pre-randomisation assessment of the CODES trial. The uniformity of the PHQ-9 was determined using factor analysis for categorical data. Optimal cut-offs were determined using the area under the curve (AUC), Youden Index, and diagnostic odds ratio (DOR). Convergent and discriminant validity were assessed against pre-randomisation measures. Results: Internal consistency of the PHQ-9 was high (α = 0.87). While the diagnostic odds ratio suggested that a cut-off of ≥10 had the best predictive performance (DOR = 14.7), specificity at this cut off was only 0.49. AUC (0.74) and Youden Index (0.48) suggested a ≥ 13 cut-off would yield an optimal sensitivity (0.81) and specificity (0.67) balance. However, a cut-off score of ≥20 would be required to match specificity resulting from a cut-off of ≥13 in other medical conditions. We found good convergent and discriminant validity and one main factor for the PHQ-9. Conclusions: In terms of internal consistency and structure, our findings were consistent with previous validation studies but indicated that a higher cut-off would be required to identify DS patients with depression with similar specificity achieved with PHQ-9 screening in different clinical and non-clinical populations.&quot;,&quot;publisher&quot;:&quot;J Psychosom Res&quot;,&quot;volume&quot;:&quot;146&quot;},&quot;isTemporary&quot;:false}],&quot;citationTag&quot;:&quot;MENDELEY_CITATION_v3_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&quot;},{&quot;citationID&quot;:&quot;MENDELEY_CITATION_b64e97a7-921d-4899-8d57-8d5c98801edf&quot;,&quot;properties&quot;:{&quot;noteIndex&quot;:0},&quot;isEdited&quot;:false,&quot;manualOverride&quot;:{&quot;isManuallyOverridden&quot;:false,&quot;citeprocText&quot;:&quot;(Hinz et al., 2017; Kroenke et al., 2002)&quot;,&quot;manualOverrideText&quot;:&quot;&quot;},&quot;citationItems&quot;:[{&quot;id&quot;:&quot;0b403c9c-671a-3c1b-b1ae-a5eda398e552&quot;,&quot;itemData&quot;:{&quot;type&quot;:&quot;article-journal&quot;,&quot;id&quot;:&quot;0b403c9c-671a-3c1b-b1ae-a5eda398e552&quot;,&quot;title&quot;:&quot;The PHQ-15: validity of a new measure for evaluating the severity of somatic symptoms&quot;,&quot;author&quot;:[{&quot;family&quot;:&quot;Kroenke&quot;,&quot;given&quot;:&quot;K&quot;,&quot;parse-names&quot;:false,&quot;dropping-particle&quot;:&quot;&quot;,&quot;non-dropping-particle&quot;:&quot;&quot;},{&quot;family&quot;:&quot;Spitzer&quot;,&quot;given&quot;:&quot;R L&quot;,&quot;parse-names&quot;:false,&quot;dropping-particle&quot;:&quot;&quot;,&quot;non-dropping-particle&quot;:&quot;&quot;},{&quot;family&quot;:&quot;Williams&quot;,&quot;given&quot;:&quot;J B&quot;,&quot;parse-names&quot;:false,&quot;dropping-particle&quot;:&quot;&quot;,&quot;non-dropping-particle&quot;:&quot;&quot;}],&quot;container-title&quot;:&quot;Psychosom Med&quot;,&quot;DOI&quot;:&quot;10.1097/00006842-200203000-00008&quot;,&quot;ISSN&quot;:&quot;0033-3174 (Print)\r0033-3174&quot;,&quot;PMID&quot;:&quot;11914441&quot;,&quot;issued&quot;:{&quot;date-parts&quot;:[[2002]]},&quot;page&quot;:&quot;258-266&quot;,&quot;language&quot;:&quot;eng&quot;,&quot;abstract&quot;:&quot;OBJECTIVE: Somatization is prevalent in primary care and is associated with substantial functional impairment and healthcare utilization. However, instruments for identifying and monitoring somatic symptoms are few in number and not widely used. Therefore, we examined the validity of a brief measure of the severity of somatic symptoms. METHODS: The Patient Health Questionnaire (PHQ) is a self-administered version of the PRIME-MD diagnostic instrument for common mental disorders. The PHQ-15 comprises 15 somatic symptoms from the PHQ, each symptom scored from 0 (\&quot;not bothered at all\&quot;) to 2 (\&quot;bothered a lot\&quot;). The PHQ-15 was administered to 6000 patients in eight general internal medicine and family practice clinics and seven obstetrics-gynecology clinics. Outcomes included functional status as assessed by the 20-item Short-Form General Health Survey (SF-20), self-reported sick days and clinic visits, and symptom-related difficulty. RESULTS: As PHQ-15 somatic symptom severity increased, there was a substantial stepwise decrement in functional status on all six SF-20 subscales. Also, symptom-related difficulty, sick days, and healthcare utilization increased. PHQ-15 scores of 5, 10, 15, represented cutoff points for low, medium, and high somatic symptom severity, respectively. Somatic and depressive symptom severity had differential effects on outcomes. Results were similar in the primary care and obstetrics-gynecology samples. CONCLUSIONS: The PHQ-15 is a brief, self-administered questionnaire that may be useful in screening for somatization and in monitoring somatic symptom severity in clinical practice and research.&quot;,&quot;edition&quot;:&quot;2002/03/27&quot;,&quot;issue&quot;:&quot;2&quot;,&quot;volume&quot;:&quot;64&quot;,&quot;container-title-short&quot;:&quot;&quot;},&quot;isTemporary&quot;:false},{&quot;id&quot;:&quot;e0100c0f-10b1-37b4-a7f6-dc333adaddec&quot;,&quot;itemData&quot;:{&quot;type&quot;:&quot;article-journal&quot;,&quot;id&quot;:&quot;e0100c0f-10b1-37b4-a7f6-dc333adaddec&quot;,&quot;title&quot;:&quot;Frequency of somatic symptoms in the general population: Normative values for the Patient Health Questionnaire-15 (PHQ-15)&quot;,&quot;author&quot;:[{&quot;family&quot;:&quot;Hinz&quot;,&quot;given&quot;:&quot;A&quot;,&quot;parse-names&quot;:false,&quot;dropping-particle&quot;:&quot;&quot;,&quot;non-dropping-particle&quot;:&quot;&quot;},{&quot;family&quot;:&quot;Ernst&quot;,&quot;given&quot;:&quot;J&quot;,&quot;parse-names&quot;:false,&quot;dropping-particle&quot;:&quot;&quot;,&quot;non-dropping-particle&quot;:&quot;&quot;},{&quot;family&quot;:&quot;Glaesmer&quot;,&quot;given&quot;:&quot;H&quot;,&quot;parse-names&quot;:false,&quot;dropping-particle&quot;:&quot;&quot;,&quot;non-dropping-particle&quot;:&quot;&quot;},{&quot;family&quot;:&quot;Brähler&quot;,&quot;given&quot;:&quot;E&quot;,&quot;parse-names&quot;:false,&quot;dropping-particle&quot;:&quot;&quot;,&quot;non-dropping-particle&quot;:&quot;&quot;},{&quot;family&quot;:&quot;Rauscher&quot;,&quot;given&quot;:&quot;F G&quot;,&quot;parse-names&quot;:false,&quot;dropping-particle&quot;:&quot;&quot;,&quot;non-dropping-particle&quot;:&quot;&quot;},{&quot;family&quot;:&quot;Petrowski&quot;,&quot;given&quot;:&quot;K&quot;,&quot;parse-names&quot;:false,&quot;dropping-particle&quot;:&quot;&quot;,&quot;non-dropping-particle&quot;:&quot;&quot;},{&quot;family&quot;:&quot;Kocalevent&quot;,&quot;given&quot;:&quot;R D&quot;,&quot;parse-names&quot;:false,&quot;dropping-particle&quot;:&quot;&quot;,&quot;non-dropping-particle&quot;:&quot;&quot;}],&quot;container-title&quot;:&quot;J Psychosom Res&quot;,&quot;DOI&quot;:&quot;10.1016/j.jpsychores.2016.12.017&quot;,&quot;ISSN&quot;:&quot;0022-3999&quot;,&quot;PMID&quot;:&quot;28545789&quot;,&quot;issued&quot;:{&quot;date-parts&quot;:[[2017]]},&quot;page&quot;:&quot;27-31&quot;,&quot;language&quot;:&quot;eng&quot;,&quot;abstract&quot;:&quot;BACKGROUND: The PHQ-15 is widely used as an open access screening instrument for somatic symptoms in different health care settings. The objectives of the study were to contribute to the construct validity and to generate normative data for the PHQ-15. METHODS: The survey was conducted in the general population in Germany from August 2011 to November 2014 (n=9250). All participants underwent an extensive core assessment including a set of questionnaires. RESULTS: Men reported significantly less (p&lt;0.001) physical symptoms than women (4.6 [SD=3.6] vs. 6.3 [SD=4.1]). The PHQ-15 total score was strongly correlated with the physical component of quality of life (r=-0.58), fatigue (r=0.56), anxiety (r=0.54) and sleep problems (r=0.54). While high socioeconomic status was associated with low prevalences of all complaints, obesity was associated with some of the complaints, especially shortness of breath and pain in arms, legs, and joints. Normative data for the PHQ-15 were generated for men and women. CONCLUSIONS: This investigation confirms the burden caused by somatic symptoms in terms of impaired physical quality of life. In association with psychosocial consequences such as anxiety as well as sleep problems, future studies should also focus on the disease burden of somatic symptoms. In addition, the normative data provide a framework for the interpretation and comparison with other populations.&quot;,&quot;edition&quot;:&quot;2017/05/27&quot;,&quot;volume&quot;:&quot;96&quot;,&quot;container-title-short&quot;:&quot;&quot;},&quot;isTemporary&quot;:false}],&quot;citationTag&quot;:&quot;MENDELEY_CITATION_v3_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&quot;},{&quot;citationID&quot;:&quot;MENDELEY_CITATION_2e708d04-7487-41d8-89c1-1b54e2efba37&quot;,&quot;properties&quot;:{&quot;noteIndex&quot;:0},&quot;isEdited&quot;:false,&quot;manualOverride&quot;:{&quot;isManuallyOverridden&quot;:false,&quot;citeprocText&quot;:&quot;(Kroenke et al., 2002)&quot;,&quot;manualOverrideText&quot;:&quot;&quot;},&quot;citationItems&quot;:[{&quot;id&quot;:&quot;0b403c9c-671a-3c1b-b1ae-a5eda398e552&quot;,&quot;itemData&quot;:{&quot;type&quot;:&quot;article-journal&quot;,&quot;id&quot;:&quot;0b403c9c-671a-3c1b-b1ae-a5eda398e552&quot;,&quot;title&quot;:&quot;The PHQ-15: validity of a new measure for evaluating the severity of somatic symptoms&quot;,&quot;author&quot;:[{&quot;family&quot;:&quot;Kroenke&quot;,&quot;given&quot;:&quot;K&quot;,&quot;parse-names&quot;:false,&quot;dropping-particle&quot;:&quot;&quot;,&quot;non-dropping-particle&quot;:&quot;&quot;},{&quot;family&quot;:&quot;Spitzer&quot;,&quot;given&quot;:&quot;R L&quot;,&quot;parse-names&quot;:false,&quot;dropping-particle&quot;:&quot;&quot;,&quot;non-dropping-particle&quot;:&quot;&quot;},{&quot;family&quot;:&quot;Williams&quot;,&quot;given&quot;:&quot;J B&quot;,&quot;parse-names&quot;:false,&quot;dropping-particle&quot;:&quot;&quot;,&quot;non-dropping-particle&quot;:&quot;&quot;}],&quot;container-title&quot;:&quot;Psychosom Med&quot;,&quot;DOI&quot;:&quot;10.1097/00006842-200203000-00008&quot;,&quot;ISSN&quot;:&quot;0033-3174 (Print)\r0033-3174&quot;,&quot;PMID&quot;:&quot;11914441&quot;,&quot;issued&quot;:{&quot;date-parts&quot;:[[2002]]},&quot;page&quot;:&quot;258-266&quot;,&quot;language&quot;:&quot;eng&quot;,&quot;abstract&quot;:&quot;OBJECTIVE: Somatization is prevalent in primary care and is associated with substantial functional impairment and healthcare utilization. However, instruments for identifying and monitoring somatic symptoms are few in number and not widely used. Therefore, we examined the validity of a brief measure of the severity of somatic symptoms. METHODS: The Patient Health Questionnaire (PHQ) is a self-administered version of the PRIME-MD diagnostic instrument for common mental disorders. The PHQ-15 comprises 15 somatic symptoms from the PHQ, each symptom scored from 0 (\&quot;not bothered at all\&quot;) to 2 (\&quot;bothered a lot\&quot;). The PHQ-15 was administered to 6000 patients in eight general internal medicine and family practice clinics and seven obstetrics-gynecology clinics. Outcomes included functional status as assessed by the 20-item Short-Form General Health Survey (SF-20), self-reported sick days and clinic visits, and symptom-related difficulty. RESULTS: As PHQ-15 somatic symptom severity increased, there was a substantial stepwise decrement in functional status on all six SF-20 subscales. Also, symptom-related difficulty, sick days, and healthcare utilization increased. PHQ-15 scores of 5, 10, 15, represented cutoff points for low, medium, and high somatic symptom severity, respectively. Somatic and depressive symptom severity had differential effects on outcomes. Results were similar in the primary care and obstetrics-gynecology samples. CONCLUSIONS: The PHQ-15 is a brief, self-administered questionnaire that may be useful in screening for somatization and in monitoring somatic symptom severity in clinical practice and research.&quot;,&quot;edition&quot;:&quot;2002/03/27&quot;,&quot;issue&quot;:&quot;2&quot;,&quot;volume&quot;:&quot;64&quot;,&quot;container-title-short&quot;:&quot;&quot;},&quot;isTemporary&quot;:false}],&quot;citationTag&quot;:&quot;MENDELEY_CITATION_v3_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&quot;},{&quot;citationID&quot;:&quot;MENDELEY_CITATION_ff09bf07-30d1-42df-a17a-a9958dd808fd&quot;,&quot;properties&quot;:{&quot;noteIndex&quot;:0},&quot;isEdited&quot;:false,&quot;manualOverride&quot;:{&quot;isManuallyOverridden&quot;:true,&quot;citeprocText&quot;:&quot;(Goldstein et al., 2020; Novakova et al., 2015; Reuber et al., 2007)&quot;,&quot;manualOverrideText&quot;:&quot;(Goldstein et al., 2020b; Novakova et al., 2015; Reuber, Burness, et al., 2007)&quot;},&quot;citationItems&quot;:[{&quot;id&quot;:&quot;3bc1970e-f5cd-3f77-8f3d-7bf411161b4d&quot;,&quot;itemData&quot;:{&quot;type&quot;:&quot;article-journal&quot;,&quot;id&quot;:&quot;3bc1970e-f5cd-3f77-8f3d-7bf411161b4d&quot;,&quot;title&quot;:&quot;Tailored psychotherapy for patients with functional neurological symptoms: a pilot study&quot;,&quot;author&quot;:[{&quot;family&quot;:&quot;Reuber&quot;,&quot;given&quot;:&quot;M&quot;,&quot;parse-names&quot;:false,&quot;dropping-particle&quot;:&quot;&quot;,&quot;non-dropping-particle&quot;:&quot;&quot;},{&quot;family&quot;:&quot;Burness&quot;,&quot;given&quot;:&quot;C&quot;,&quot;parse-names&quot;:false,&quot;dropping-particle&quot;:&quot;&quot;,&quot;non-dropping-particle&quot;:&quot;&quot;},{&quot;family&quot;:&quot;Howlett&quot;,&quot;given&quot;:&quot;S&quot;,&quot;parse-names&quot;:false,&quot;dropping-particle&quot;:&quot;&quot;,&quot;non-dropping-particle&quot;:&quot;&quot;},{&quot;family&quot;:&quot;Brazier&quot;,&quot;given&quot;:&quot;J&quot;,&quot;parse-names&quot;:false,&quot;dropping-particle&quot;:&quot;&quot;,&quot;non-dropping-particle&quot;:&quot;&quot;},{&quot;family&quot;:&quot;Grünewald&quot;,&quot;given&quot;:&quot;R&quot;,&quot;parse-names&quot;:false,&quot;dropping-particle&quot;:&quot;&quot;,&quot;non-dropping-particle&quot;:&quot;&quot;}],&quot;container-title&quot;:&quot;J Psychosom Res&quot;,&quot;DOI&quot;:&quot;10.1016/j.jpsychores.2007.06.013&quot;,&quot;ISSN&quot;:&quot;0022-3999 (Print)\r0022-3999&quot;,&quot;PMID&quot;:&quot;18061753&quot;,&quot;issued&quot;:{&quot;date-parts&quot;:[[2007]]},&quot;page&quot;:&quot;625-632&quot;,&quot;language&quot;:&quot;eng&quot;,&quot;abstract&quot;:&quot;OBJECTIVE: The objective of this study was to assess whether individually tailored psychotherapy for patients with functional neurological symptoms is associated with improvements in patient-centered measures of emotional well-being, quality of life, as well as somatic symptoms and whether this treatment modality is likely to be cost-effective. METHODS: We conducted an uncontrolled prospective pilot study of consecutive patients with functional symptoms referred from neurology outpatient clinics to a single psychotherapist using validated questionnaires [Clinical Outcomes in Routine Evaluation Outcome Measure (CORE-OM), Short Function (SF)-36 Health Survey, and Patient Health Questionnaire (PHQ)-15]. Patients had a median of 6 treatment sessions (range=1-24). Ninety-one patients completed questionnaires at referral, 63 did at the end of treatment, and 34 did at follow-up after 6 months. Significant improvements were seen on all measures and were maintained at follow-up (CORE-OM, P=.003; SF-36, P&lt;.001; PHQ-15, P=.001). Significance was not lost in an intention-to-treat analysis. Of all the patients, 49.2% improved by at least 1 S.D. in at least one of the measures. The number of patients needed to be treated to see an improvement of at least 1 S.D. in one of the three outcome measures was 2; that in two measures, 3.9; and that in all measures, 7. The mean cost of the intervention was pound231; the cost per quality-adjusted life year was estimated as pound5,328. RESULTS: Psychotherapy was associated with significant improvements in patient-centered measures, which seemed to be achieved at a comparatively low cost. CONCLUSIONS: The results indicate that psychotherapy may be a cost-effective intervention for patients presenting with functional neurological symptoms. The findings warrant further assessment of this treatment with a randomized and controlled trial.&quot;,&quot;edition&quot;:&quot;2007/12/07&quot;,&quot;issue&quot;:&quot;6&quot;,&quot;volume&quot;:&quot;63&quot;,&quot;container-title-short&quot;:&quot;&quot;},&quot;isTemporary&quot;:false},{&quot;id&quot;:&quot;62aa4e34-7098-37f7-a677-00a07becf205&quot;,&quot;itemData&quot;:{&quot;type&quot;:&quot;article-journal&quot;,&quot;id&quot;:&quot;62aa4e34-7098-37f7-a677-00a07becf205&quot;,&quot;title&quot;:&quot;Emotion processing and psychogenic non-epileptic seizures: A cross-sectional comparison of patients and healthy controls&quot;,&quot;author&quot;:[{&quot;family&quot;:&quot;Novakova&quot;,&quot;given&quot;:&quot;B&quot;,&quot;parse-names&quot;:false,&quot;dropping-particle&quot;:&quot;&quot;,&quot;non-dropping-particle&quot;:&quot;&quot;},{&quot;family&quot;:&quot;Howlett&quot;,&quot;given&quot;:&quot;S&quot;,&quot;parse-names&quot;:false,&quot;dropping-particle&quot;:&quot;&quot;,&quot;non-dropping-particle&quot;:&quot;&quot;},{&quot;family&quot;:&quot;Baker&quot;,&quot;given&quot;:&quot;R&quot;,&quot;parse-names&quot;:false,&quot;dropping-particle&quot;:&quot;&quot;,&quot;non-dropping-particle&quot;:&quot;&quot;},{&quot;family&quot;:&quot;Reuber&quot;,&quot;given&quot;:&quot;M&quot;,&quot;parse-names&quot;:false,&quot;dropping-particle&quot;:&quot;&quot;,&quot;non-dropping-particle&quot;:&quot;&quot;}],&quot;container-title&quot;:&quot;Seizure&quot;,&quot;container-title-short&quot;:&quot;Seizure&quot;,&quot;DOI&quot;:&quot;10.1016/j.seizure.2015.03.007&quot;,&quot;ISSN&quot;:&quot;1059-1311&quot;,&quot;PMID&quot;:&quot;26076837&quot;,&quot;issued&quot;:{&quot;date-parts&quot;:[[2015]]},&quot;page&quot;:&quot;4-10&quot;,&quot;language&quot;:&quot;eng&quot;,&quot;abstract&quot;:&quot;PURPOSE: This exploratory study aimed to examine emotion-processing styles in patients with psychogenic non-epileptic seizures (PNES), compared to healthy individuals, and to explore associations of emotion processing with other psychological measures and seizure frequency, using the new Emotional Processing Scale (EPS-25), which had not previously been used in this patient group. METHODS: Fifty consecutive patients with PNES referred for psychotherapy completed a set of self-report questionnaires, including the Emotional Processing Scale (EPS-25), Clinical Outcome in Routine Evaluation (CORE-10), Short Form-36 (SF-36), Patient Health Questionnaire (PHQ-15), and Brief Illness Perception Questionnaire (BIPQ). Responses on the EPS-25 were compared to data from 224 healthy controls. RESULTS: Patients with PNES had greater emotion processing deficits across all dimensions of the EPS-25 than healthy individuals (suppression/unprocessed emotion/unregulated emotion/avoidance/impoverished emotional experience). Impaired emotion processing was highly correlated with psychological distress, more frequent and severe somatic symptoms, and a more threatening understanding of the symptoms. Emotion processing problems were also associated with reduced health-related quality of life on the mental health (but not the physical health) component of the SF-36. The unregulated emotions sub-scale of the EPS was associated with lower seizure frequency. CONCLUSION: The results showed clear impairments of emotion processing in patients with PNES compared to healthy individuals, which were associated with greater psychological distress and reduced mental health functioning. These findings seem to support the face validity of the EPS-25 as a measure for PNES patients and its potential as a tool to assess the effectiveness of psychological interventions.&quot;,&quot;edition&quot;:&quot;2015/06/17&quot;,&quot;volume&quot;:&quot;29&quot;},&quot;isTemporary&quot;:false},{&quot;id&quot;:&quot;4bee7395-db70-3458-8486-9ac98145b9a7&quot;,&quot;itemData&quot;:{&quot;type&quot;:&quot;article-journal&quot;,&quot;id&quot;:&quot;4bee7395-db70-3458-8486-9ac98145b9a7&quot;,&quot;title&quot;:&quot;Cognitive behavioural therapy for adults with dissociative seizures (CODES): a pragmatic, multicentre, randomised controlled trial&quot;,&quot;author&quot;:[{&quot;family&quot;:&quot;Goldstein&quot;,&quot;given&quot;:&quot;Laura H&quot;,&quot;parse-names&quot;:false,&quot;dropping-particle&quot;:&quot;&quot;,&quot;non-dropping-particle&quot;:&quot;&quot;},{&quot;family&quot;:&quot;Robinson&quot;,&quot;given&quot;:&quot;Emily J&quot;,&quot;parse-names&quot;:false,&quot;dropping-particle&quot;:&quot;&quot;,&quot;non-dropping-particle&quot;:&quot;&quot;},{&quot;family&quot;:&quot;Mellers&quot;,&quot;given&quot;:&quot;John D C&quot;,&quot;parse-names&quot;:false,&quot;dropping-particle&quot;:&quot;&quot;,&quot;non-dropping-particle&quot;:&quot;&quot;},{&quot;family&quot;:&quot;Stone&quot;,&quot;given&quot;:&quot;Jon&quot;,&quot;parse-names&quot;:false,&quot;dropping-particle&quot;:&quot;&quot;,&quot;non-dropping-particle&quot;:&quot;&quot;},{&quot;family&quot;:&quot;Carson&quot;,&quot;given&quot;:&quot;Alan&quot;,&quot;parse-names&quot;:false,&quot;dropping-particle&quot;:&quot;&quot;,&quot;non-dropping-particle&quot;:&quot;&quot;},{&quot;family&quot;:&quot;Reuber&quot;,&quot;given&quot;:&quot;Markus&quot;,&quot;parse-names&quot;:false,&quot;dropping-particle&quot;:&quot;&quot;,&quot;non-dropping-particle&quot;:&quot;&quot;},{&quot;family&quot;:&quot;Medford&quot;,&quot;given&quot;:&quot;Nick&quot;,&quot;parse-names&quot;:false,&quot;dropping-particle&quot;:&quot;&quot;,&quot;non-dropping-particle&quot;:&quot;&quot;},{&quot;family&quot;:&quot;Mccrone&quot;,&quot;given&quot;:&quot;Paul&quot;,&quot;parse-names&quot;:false,&quot;dropping-particle&quot;:&quot;&quot;,&quot;non-dropping-particle&quot;:&quot;&quot;},{&quot;family&quot;:&quot;Murray&quot;,&quot;given&quot;:&quot;Joanna&quot;,&quot;parse-names&quot;:false,&quot;dropping-particle&quot;:&quot;&quot;,&quot;non-dropping-particle&quot;:&quot;&quot;},{&quot;family&quot;:&quot;Richardson&quot;,&quot;given&quot;:&quot;Mark P&quot;,&quot;parse-names&quot;:false,&quot;dropping-particle&quot;:&quot;&quot;,&quot;non-dropping-particle&quot;:&quot;&quot;},{&quot;family&quot;:&quot;Pilecka&quot;,&quot;given&quot;:&quot;Izabela&quot;,&quot;parse-names&quot;:false,&quot;dropping-particle&quot;:&quot;&quot;,&quot;non-dropping-particle&quot;:&quot;&quot;},{&quot;family&quot;:&quot;Eastwood&quot;,&quot;given&quot;:&quot;Carole&quot;,&quot;parse-names&quot;:false,&quot;dropping-particle&quot;:&quot;&quot;,&quot;non-dropping-particle&quot;:&quot;&quot;},{&quot;family&quot;:&quot;Moore&quot;,&quot;given&quot;:&quot;Michele&quot;,&quot;parse-names&quot;:false,&quot;dropping-particle&quot;:&quot;&quot;,&quot;non-dropping-particle&quot;:&quot;&quot;},{&quot;family&quot;:&quot;Mosweu&quot;,&quot;given&quot;:&quot;Iris&quot;,&quot;parse-names&quot;:false,&quot;dropping-particle&quot;:&quot;&quot;,&quot;non-dropping-particle&quot;:&quot;&quot;},{&quot;family&quot;:&quot;Perdue&quot;,&quot;given&quot;:&quot;Iain&quot;,&quot;parse-names&quot;:false,&quot;dropping-particle&quot;:&quot;&quot;,&quot;non-dropping-particle&quot;:&quot;&quot;},{&quot;family&quot;:&quot;Landau&quot;,&quot;given&quot;:&quot;Sabine&quot;,&quot;parse-names&quot;:false,&quot;dropping-particle&quot;:&quot;&quot;,&quot;non-dropping-particle&quot;:&quot;&quot;},{&quot;family&quot;:&quot;Chalder&quot;,&quot;given&quot;:&quot;Trudie&quot;,&quot;parse-names&quot;:false,&quot;dropping-particle&quot;:&quot;&quot;,&quot;non-dropping-particle&quot;:&quot;&quot;},{&quot;family&quot;:&quot;Abe&quot;,&quot;given&quot;:&quot;A-M&quot;,&quot;parse-names&quot;:false,&quot;dropping-particle&quot;:&quot;&quot;,&quot;non-dropping-particle&quot;:&quot;&quot;},{&quot;family&quot;:&quot;Adab&quot;,&quot;given&quot;:&quot;N&quot;,&quot;parse-names&quot;:false,&quot;dropping-particle&quot;:&quot;&quot;,&quot;non-dropping-particle&quot;:&quot;&quot;},{&quot;family&quot;:&quot;Agrawal&quot;,&quot;given&quot;:&quot;N&quot;,&quot;parse-names&quot;:false,&quot;dropping-particle&quot;:&quot;&quot;,&quot;non-dropping-particle&quot;:&quot;&quot;},{&quot;family&quot;:&quot;Allroggen&quot;,&quot;given&quot;:&quot;H&quot;,&quot;parse-names&quot;:false,&quot;dropping-particle&quot;:&quot;&quot;,&quot;non-dropping-particle&quot;:&quot;&quot;},{&quot;family&quot;:&quot;Alvares&quot;,&quot;given&quot;:&quot;D&quot;,&quot;parse-names&quot;:false,&quot;dropping-particle&quot;:&quot;&quot;,&quot;non-dropping-particle&quot;:&quot;&quot;},{&quot;family&quot;:&quot;Andrews&quot;,&quot;given&quot;:&quot;T&quot;,&quot;parse-names&quot;:false,&quot;dropping-particle&quot;:&quot;&quot;,&quot;non-dropping-particle&quot;:&quot;&quot;},{&quot;family&quot;:&quot;Angus-Leppan&quot;,&quot;given&quot;:&quot;H&quot;,&quot;parse-names&quot;:false,&quot;dropping-particle&quot;:&quot;&quot;,&quot;non-dropping-particle&quot;:&quot;&quot;},{&quot;family&quot;:&quot;Aram&quot;,&quot;given&quot;:&quot;J&quot;,&quot;parse-names&quot;:false,&quot;dropping-particle&quot;:&quot;&quot;,&quot;non-dropping-particle&quot;:&quot;&quot;},{&quot;family&quot;:&quot;Armstrong&quot;,&quot;given&quot;:&quot;R&quot;,&quot;parse-names&quot;:false,&quot;dropping-particle&quot;:&quot;&quot;,&quot;non-dropping-particle&quot;:&quot;&quot;},{&quot;family&quot;:&quot;Atalaia&quot;,&quot;given&quot;:&quot;A&quot;,&quot;parse-names&quot;:false,&quot;dropping-particle&quot;:&quot;&quot;,&quot;non-dropping-particle&quot;:&quot;&quot;},{&quot;family&quot;:&quot;Bagary&quot;,&quot;given&quot;:&quot;M&quot;,&quot;parse-names&quot;:false,&quot;dropping-particle&quot;:&quot;&quot;,&quot;non-dropping-particle&quot;:&quot;&quot;},{&quot;family&quot;:&quot;Baldellou Lopez&quot;,&quot;given&quot;:&quot;M&quot;,&quot;parse-names&quot;:false,&quot;dropping-particle&quot;:&quot;&quot;,&quot;non-dropping-particle&quot;:&quot;&quot;},{&quot;family&quot;:&quot;Bennett&quot;,&quot;given&quot;:&quot;M&quot;,&quot;parse-names&quot;:false,&quot;dropping-particle&quot;:&quot;&quot;,&quot;non-dropping-particle&quot;:&quot;&quot;},{&quot;family&quot;:&quot;Black&quot;,&quot;given&quot;:&quot;T&quot;,&quot;parse-names&quot;:false,&quot;dropping-particle&quot;:&quot;&quot;,&quot;non-dropping-particle&quot;:&quot;&quot;},{&quot;family&quot;:&quot;Blackburn&quot;,&quot;given&quot;:&quot;D&quot;,&quot;parse-names&quot;:false,&quot;dropping-particle&quot;:&quot;&quot;,&quot;non-dropping-particle&quot;:&quot;&quot;},{&quot;family&quot;:&quot;Bodani&quot;,&quot;given&quot;:&quot;M&quot;,&quot;parse-names&quot;:false,&quot;dropping-particle&quot;:&quot;&quot;,&quot;non-dropping-particle&quot;:&quot;&quot;},{&quot;family&quot;:&quot;Broadhurst&quot;,&quot;given&quot;:&quot;M&quot;,&quot;parse-names&quot;:false,&quot;dropping-particle&quot;:&quot;&quot;,&quot;non-dropping-particle&quot;:&quot;&quot;},{&quot;family&quot;:&quot;Brockington&quot;,&quot;given&quot;:&quot;A&quot;,&quot;parse-names&quot;:false,&quot;dropping-particle&quot;:&quot;&quot;,&quot;non-dropping-particle&quot;:&quot;&quot;},{&quot;family&quot;:&quot;Bruno&quot;,&quot;given&quot;:&quot;E&quot;,&quot;parse-names&quot;:false,&quot;dropping-particle&quot;:&quot;&quot;,&quot;non-dropping-particle&quot;:&quot;&quot;},{&quot;family&quot;:&quot;Buckley&quot;,&quot;given&quot;:&quot;M&quot;,&quot;parse-names&quot;:false,&quot;dropping-particle&quot;:&quot;&quot;,&quot;non-dropping-particle&quot;:&quot;&quot;},{&quot;family&quot;:&quot;Burness&quot;,&quot;given&quot;:&quot;C&quot;,&quot;parse-names&quot;:false,&quot;dropping-particle&quot;:&quot;&quot;,&quot;non-dropping-particle&quot;:&quot;&quot;},{&quot;family&quot;:&quot;Callaghan&quot;,&quot;given&quot;:&quot;H&quot;,&quot;parse-names&quot;:false,&quot;dropping-particle&quot;:&quot;&quot;,&quot;non-dropping-particle&quot;:&quot;&quot;},{&quot;family&quot;:&quot;Chalmers&quot;,&quot;given&quot;:&quot;R&quot;,&quot;parse-names&quot;:false,&quot;dropping-particle&quot;:&quot;&quot;,&quot;non-dropping-particle&quot;:&quot;&quot;},{&quot;family&quot;:&quot;Chong&quot;,&quot;given&quot;:&quot;S&quot;,&quot;parse-names&quot;:false,&quot;dropping-particle&quot;:&quot;&quot;,&quot;non-dropping-particle&quot;:&quot;&quot;},{&quot;family&quot;:&quot;Chowdhury&quot;,&quot;given&quot;:&quot;M&quot;,&quot;parse-names&quot;:false,&quot;dropping-particle&quot;:&quot;&quot;,&quot;non-dropping-particle&quot;:&quot;&quot;},{&quot;family&quot;:&quot;Chowdury&quot;,&quot;given&quot;:&quot;F&quot;,&quot;parse-names&quot;:false,&quot;dropping-particle&quot;:&quot;&quot;,&quot;non-dropping-particle&quot;:&quot;&quot;},{&quot;family&quot;:&quot;Cikurel&quot;,&quot;given&quot;:&quot;K&quot;,&quot;parse-names&quot;:false,&quot;dropping-particle&quot;:&quot;&quot;,&quot;non-dropping-particle&quot;:&quot;&quot;},{&quot;family&quot;:&quot;Cocco&quot;,&quot;given&quot;:&quot;G&quot;,&quot;parse-names&quot;:false,&quot;dropping-particle&quot;:&quot;&quot;,&quot;non-dropping-particle&quot;:&quot;&quot;},{&quot;family&quot;:&quot;Cock&quot;,&quot;given&quot;:&quot;H&quot;,&quot;parse-names&quot;:false,&quot;dropping-particle&quot;:&quot;&quot;,&quot;non-dropping-particle&quot;:&quot;&quot;},{&quot;family&quot;:&quot;Cooper&quot;,&quot;given&quot;:&quot;S&quot;,&quot;parse-names&quot;:false,&quot;dropping-particle&quot;:&quot;&quot;,&quot;non-dropping-particle&quot;:&quot;&quot;},{&quot;family&quot;:&quot;Cope&quot;,&quot;given&quot;:&quot;S&quot;,&quot;parse-names&quot;:false,&quot;dropping-particle&quot;:&quot;&quot;,&quot;non-dropping-particle&quot;:&quot;&quot;},{&quot;family&quot;:&quot;Copping&quot;,&quot;given&quot;:&quot;A&quot;,&quot;parse-names&quot;:false,&quot;dropping-particle&quot;:&quot;&quot;,&quot;non-dropping-particle&quot;:&quot;&quot;},{&quot;family&quot;:&quot;Day&quot;,&quot;given&quot;:&quot;E&quot;,&quot;parse-names&quot;:false,&quot;dropping-particle&quot;:&quot;&quot;,&quot;non-dropping-particle&quot;:&quot;&quot;},{&quot;family&quot;:&quot;Delamont&quot;,&quot;given&quot;:&quot;R&quot;,&quot;parse-names&quot;:false,&quot;dropping-particle&quot;:&quot;&quot;,&quot;non-dropping-particle&quot;:&quot;&quot;},{&quot;family&quot;:&quot;Dennis&quot;,&quot;given&quot;:&quot;G&quot;,&quot;parse-names&quot;:false,&quot;dropping-particle&quot;:&quot;&quot;,&quot;non-dropping-particle&quot;:&quot;&quot;},{&quot;family&quot;:&quot;Derry&quot;,&quot;given&quot;:&quot;C&quot;,&quot;parse-names&quot;:false,&quot;dropping-particle&quot;:&quot;&quot;,&quot;non-dropping-particle&quot;:&quot;&quot;},{&quot;family&quot;:&quot;Devlin&quot;,&quot;given&quot;:&quot;R&quot;,&quot;parse-names&quot;:false,&quot;dropping-particle&quot;:&quot;&quot;,&quot;non-dropping-particle&quot;:&quot;&quot;},{&quot;family&quot;:&quot;Dickson&quot;,&quot;given&quot;:&quot;J M&quot;,&quot;parse-names&quot;:false,&quot;dropping-particle&quot;:&quot;&quot;,&quot;non-dropping-particle&quot;:&quot;&quot;},{&quot;family&quot;:&quot;Diehl&quot;,&quot;given&quot;:&quot;B&quot;,&quot;parse-names&quot;:false,&quot;dropping-particle&quot;:&quot;&quot;,&quot;non-dropping-particle&quot;:&quot;&quot;},{&quot;family&quot;:&quot;Donnelly&quot;,&quot;given&quot;:&quot;C&quot;,&quot;parse-names&quot;:false,&quot;dropping-particle&quot;:&quot;&quot;,&quot;non-dropping-particle&quot;:&quot;&quot;},{&quot;family&quot;:&quot;Duncan&quot;,&quot;given&quot;:&quot;S&quot;,&quot;parse-names&quot;:false,&quot;dropping-particle&quot;:&quot;&quot;,&quot;non-dropping-particle&quot;:&quot;&quot;},{&quot;family&quot;:&quot;Edwards&quot;,&quot;given&quot;:&quot;M&quot;,&quot;parse-names&quot;:false,&quot;dropping-particle&quot;:&quot;&quot;,&quot;non-dropping-particle&quot;:&quot;&quot;},{&quot;family&quot;:&quot;Ellawella&quot;,&quot;given&quot;:&quot;S&quot;,&quot;parse-names&quot;:false,&quot;dropping-particle&quot;:&quot;&quot;,&quot;non-dropping-particle&quot;:&quot;&quot;},{&quot;family&quot;:&quot;Ellis&quot;,&quot;given&quot;:&quot;C&quot;,&quot;parse-names&quot;:false,&quot;dropping-particle&quot;:&quot;&quot;,&quot;non-dropping-particle&quot;:&quot;&quot;},{&quot;family&quot;:&quot;Elvish&quot;,&quot;given&quot;:&quot;J&quot;,&quot;parse-names&quot;:false,&quot;dropping-particle&quot;:&quot;&quot;,&quot;non-dropping-particle&quot;:&quot;&quot;},{&quot;family&quot;:&quot;Elwes&quot;,&quot;given&quot;:&quot;R&quot;,&quot;parse-names&quot;:false,&quot;dropping-particle&quot;:&quot;&quot;,&quot;non-dropping-particle&quot;:&quot;&quot;},{&quot;family&quot;:&quot;Eriemo&quot;,&quot;given&quot;:&quot;S&quot;,&quot;parse-names&quot;:false,&quot;dropping-particle&quot;:&quot;&quot;,&quot;non-dropping-particle&quot;:&quot;&quot;},{&quot;family&quot;:&quot;Eriksson&quot;,&quot;given&quot;:&quot;S&quot;,&quot;parse-names&quot;:false,&quot;dropping-particle&quot;:&quot;&quot;,&quot;non-dropping-particle&quot;:&quot;&quot;},{&quot;family&quot;:&quot;Evans&quot;,&quot;given&quot;:&quot;K&quot;,&quot;parse-names&quot;:false,&quot;dropping-particle&quot;:&quot;&quot;,&quot;non-dropping-particle&quot;:&quot;&quot;},{&quot;family&quot;:&quot;Faruqui&quot;,&quot;given&quot;:&quot;R&quot;,&quot;parse-names&quot;:false,&quot;dropping-particle&quot;:&quot;&quot;,&quot;non-dropping-particle&quot;:&quot;&quot;},{&quot;family&quot;:&quot;Feehan&quot;,&quot;given&quot;:&quot;S&quot;,&quot;parse-names&quot;:false,&quot;dropping-particle&quot;:&quot;&quot;,&quot;non-dropping-particle&quot;:&quot;&quot;},{&quot;family&quot;:&quot;Finnerty&quot;,&quot;given&quot;:&quot;G&quot;,&quot;parse-names&quot;:false,&quot;dropping-particle&quot;:&quot;&quot;,&quot;non-dropping-particle&quot;:&quot;&quot;},{&quot;family&quot;:&quot;Flores&quot;,&quot;given&quot;:&quot;L&quot;,&quot;parse-names&quot;:false,&quot;dropping-particle&quot;:&quot;&quot;,&quot;non-dropping-particle&quot;:&quot;&quot;},{&quot;family&quot;:&quot;Firth&quot;,&quot;given&quot;:&quot;N&quot;,&quot;parse-names&quot;:false,&quot;dropping-particle&quot;:&quot;&quot;,&quot;non-dropping-particle&quot;:&quot;&quot;},{&quot;family&quot;:&quot;Fung&quot;,&quot;given&quot;:&quot;R&quot;,&quot;parse-names&quot;:false,&quot;dropping-particle&quot;:&quot;&quot;,&quot;non-dropping-particle&quot;:&quot;&quot;},{&quot;family&quot;:&quot;Gardiner&quot;,&quot;given&quot;:&quot;P&quot;,&quot;parse-names&quot;:false,&quot;dropping-particle&quot;:&quot;&quot;,&quot;non-dropping-particle&quot;:&quot;&quot;},{&quot;family&quot;:&quot;Graham&quot;,&quot;given&quot;:&quot;C&quot;,&quot;parse-names&quot;:false,&quot;dropping-particle&quot;:&quot;&quot;,&quot;non-dropping-particle&quot;:&quot;&quot;},{&quot;family&quot;:&quot;Green-Thompson&quot;,&quot;given&quot;:&quot;Z&quot;,&quot;parse-names&quot;:false,&quot;dropping-particle&quot;:&quot;&quot;,&quot;non-dropping-particle&quot;:&quot;&quot;},{&quot;family&quot;:&quot;Grunewald&quot;,&quot;given&quot;:&quot;R&quot;,&quot;parse-names&quot;:false,&quot;dropping-particle&quot;:&quot;&quot;,&quot;non-dropping-particle&quot;:&quot;&quot;},{&quot;family&quot;:&quot;Hadden&quot;,&quot;given&quot;:&quot;R&quot;,&quot;parse-names&quot;:false,&quot;dropping-particle&quot;:&quot;&quot;,&quot;non-dropping-particle&quot;:&quot;&quot;},{&quot;family&quot;:&quot;Hamandi&quot;,&quot;given&quot;:&quot;K&quot;,&quot;parse-names&quot;:false,&quot;dropping-particle&quot;:&quot;&quot;,&quot;non-dropping-particle&quot;:&quot;&quot;},{&quot;family&quot;:&quot;Harding&quot;,&quot;given&quot;:&quot;R&quot;,&quot;parse-names&quot;:false,&quot;dropping-particle&quot;:&quot;&quot;,&quot;non-dropping-particle&quot;:&quot;&quot;},{&quot;family&quot;:&quot;Harikrishnan&quot;,&quot;given&quot;:&quot;S&quot;,&quot;parse-names&quot;:false,&quot;dropping-particle&quot;:&quot;&quot;,&quot;non-dropping-particle&quot;:&quot;&quot;},{&quot;family&quot;:&quot;Harrison&quot;,&quot;given&quot;:&quot;S&quot;,&quot;parse-names&quot;:false,&quot;dropping-particle&quot;:&quot;&quot;,&quot;non-dropping-particle&quot;:&quot;&quot;},{&quot;family&quot;:&quot;Healy&quot;,&quot;given&quot;:&quot;H&quot;,&quot;parse-names&quot;:false,&quot;dropping-particle&quot;:&quot;&quot;,&quot;non-dropping-particle&quot;:&quot;&quot;},{&quot;family&quot;:&quot;Hewamadduma&quot;,&quot;given&quot;:&quot;C&quot;,&quot;parse-names&quot;:false,&quot;dropping-particle&quot;:&quot;&quot;,&quot;non-dropping-particle&quot;:&quot;&quot;},{&quot;family&quot;:&quot;Higgins&quot;,&quot;given&quot;:&quot;S&quot;,&quot;parse-names&quot;:false,&quot;dropping-particle&quot;:&quot;&quot;,&quot;non-dropping-particle&quot;:&quot;&quot;},{&quot;family&quot;:&quot;Howell&quot;,&quot;given&quot;:&quot;S&quot;,&quot;parse-names&quot;:false,&quot;dropping-particle&quot;:&quot;&quot;,&quot;non-dropping-particle&quot;:&quot;&quot;},{&quot;family&quot;:&quot;Hunt&quot;,&quot;given&quot;:&quot;H&quot;,&quot;parse-names&quot;:false,&quot;dropping-particle&quot;:&quot;&quot;,&quot;non-dropping-particle&quot;:&quot;&quot;},{&quot;family&quot;:&quot;Hussain&quot;,&quot;given&quot;:&quot;A&quot;,&quot;parse-names&quot;:false,&quot;dropping-particle&quot;:&quot;&quot;,&quot;non-dropping-particle&quot;:&quot;&quot;},{&quot;family&quot;:&quot;Innocente&quot;,&quot;given&quot;:&quot;M&quot;,&quot;parse-names&quot;:false,&quot;dropping-particle&quot;:&quot;&quot;,&quot;non-dropping-particle&quot;:&quot;&quot;},{&quot;family&quot;:&quot;Jensch&quot;,&quot;given&quot;:&quot;G&quot;,&quot;parse-names&quot;:false,&quot;dropping-particle&quot;:&quot;&quot;,&quot;non-dropping-particle&quot;:&quot;&quot;},{&quot;family&quot;:&quot;Johnson&quot;,&quot;given&quot;:&quot;M&quot;,&quot;parse-names&quot;:false,&quot;dropping-particle&quot;:&quot;&quot;,&quot;non-dropping-particle&quot;:&quot;&quot;},{&quot;family&quot;:&quot;Jordan&quot;,&quot;given&quot;:&quot;H&quot;,&quot;parse-names&quot;:false,&quot;dropping-particle&quot;:&quot;&quot;,&quot;non-dropping-particle&quot;:&quot;&quot;},{&quot;family&quot;:&quot;Karlsson&quot;,&quot;given&quot;:&quot;J&quot;,&quot;parse-names&quot;:false,&quot;dropping-particle&quot;:&quot;&quot;,&quot;non-dropping-particle&quot;:&quot;&quot;},{&quot;family&quot;:&quot;Kelso&quot;,&quot;given&quot;:&quot;A&quot;,&quot;parse-names&quot;:false,&quot;dropping-particle&quot;:&quot;&quot;,&quot;non-dropping-particle&quot;:&quot;&quot;},{&quot;family&quot;:&quot;Kemp&quot;,&quot;given&quot;:&quot;S&quot;,&quot;parse-names&quot;:false,&quot;dropping-particle&quot;:&quot;&quot;,&quot;non-dropping-particle&quot;:&quot;&quot;},{&quot;family&quot;:&quot;Knibb&quot;,&quot;given&quot;:&quot;J&quot;,&quot;parse-names&quot;:false,&quot;dropping-particle&quot;:&quot;&quot;,&quot;non-dropping-particle&quot;:&quot;&quot;},{&quot;family&quot;:&quot;Kock&quot;,&quot;given&quot;:&quot;N&quot;,&quot;parse-names&quot;:false,&quot;dropping-particle&quot;:&quot;&quot;,&quot;non-dropping-particle&quot;:&quot;&quot;},{&quot;family&quot;:&quot;Koutroumanidis&quot;,&quot;given&quot;:&quot;M&quot;,&quot;parse-names&quot;:false,&quot;dropping-particle&quot;:&quot;&quot;,&quot;non-dropping-particle&quot;:&quot;&quot;},{&quot;family&quot;:&quot;Kovac&quot;,&quot;given&quot;:&quot;S&quot;,&quot;parse-names&quot;:false,&quot;dropping-particle&quot;:&quot;&quot;,&quot;non-dropping-particle&quot;:&quot;&quot;},{&quot;family&quot;:&quot;Kumar&quot;,&quot;given&quot;:&quot;G&quot;,&quot;parse-names&quot;:false,&quot;dropping-particle&quot;:&quot;&quot;,&quot;non-dropping-particle&quot;:&quot;&quot;},{&quot;family&quot;:&quot;Laker&quot;,&quot;given&quot;:&quot;A&quot;,&quot;parse-names&quot;:false,&quot;dropping-particle&quot;:&quot;&quot;,&quot;non-dropping-particle&quot;:&quot;&quot;},{&quot;family&quot;:&quot;Leschziner&quot;,&quot;given&quot;:&quot;G&quot;,&quot;parse-names&quot;:false,&quot;dropping-particle&quot;:&quot;&quot;,&quot;non-dropping-particle&quot;:&quot;&quot;},{&quot;family&quot;:&quot;Liu&quot;,&quot;given&quot;:&quot;R&quot;,&quot;parse-names&quot;:false,&quot;dropping-particle&quot;:&quot;&quot;,&quot;non-dropping-particle&quot;:&quot;&quot;},{&quot;family&quot;:&quot;Lozsadi&quot;,&quot;given&quot;:&quot;D&quot;,&quot;parse-names&quot;:false,&quot;dropping-particle&quot;:&quot;&quot;,&quot;non-dropping-particle&quot;:&quot;&quot;},{&quot;family&quot;:&quot;Ludwig&quot;,&quot;given&quot;:&quot;L&quot;,&quot;parse-names&quot;:false,&quot;dropping-particle&quot;:&quot;&quot;,&quot;non-dropping-particle&quot;:&quot;&quot;},{&quot;family&quot;:&quot;Macdonald&quot;,&quot;given&quot;:&quot;B&quot;,&quot;parse-names&quot;:false,&quot;dropping-particle&quot;:&quot;&quot;,&quot;non-dropping-particle&quot;:&quot;&quot;},{&quot;family&quot;:&quot;Macgregor&quot;,&quot;given&quot;:&quot;L&quot;,&quot;parse-names&quot;:false,&quot;dropping-particle&quot;:&quot;&quot;,&quot;non-dropping-particle&quot;:&quot;&quot;},{&quot;family&quot;:&quot;Maguire&quot;,&quot;given&quot;:&quot;M&quot;,&quot;parse-names&quot;:false,&quot;dropping-particle&quot;:&quot;&quot;,&quot;non-dropping-particle&quot;:&quot;&quot;},{&quot;family&quot;:&quot;Manford&quot;,&quot;given&quot;:&quot;M&quot;,&quot;parse-names&quot;:false,&quot;dropping-particle&quot;:&quot;&quot;,&quot;non-dropping-particle&quot;:&quot;&quot;},{&quot;family&quot;:&quot;Martino&quot;,&quot;given&quot;:&quot;D&quot;,&quot;parse-names&quot;:false,&quot;dropping-particle&quot;:&quot;&quot;,&quot;non-dropping-particle&quot;:&quot;&quot;},{&quot;family&quot;:&quot;Mccorry&quot;,&quot;given&quot;:&quot;D&quot;,&quot;parse-names&quot;:false,&quot;dropping-particle&quot;:&quot;&quot;,&quot;non-dropping-particle&quot;:&quot;&quot;},{&quot;family&quot;:&quot;Mcgorlick&quot;,&quot;given&quot;:&quot;A&quot;,&quot;parse-names&quot;:false,&quot;dropping-particle&quot;:&quot;&quot;,&quot;non-dropping-particle&quot;:&quot;&quot;},{&quot;family&quot;:&quot;Mckeown&quot;,&quot;given&quot;:&quot;K&quot;,&quot;parse-names&quot;:false,&quot;dropping-particle&quot;:&quot;&quot;,&quot;non-dropping-particle&quot;:&quot;&quot;},{&quot;family&quot;:&quot;Mckevitt&quot;,&quot;given&quot;:&quot;F&quot;,&quot;parse-names&quot;:false,&quot;dropping-particle&quot;:&quot;&quot;,&quot;non-dropping-particle&quot;:&quot;&quot;},{&quot;family&quot;:&quot;Meadow&quot;,&quot;given&quot;:&quot;A&quot;,&quot;parse-names&quot;:false,&quot;dropping-particle&quot;:&quot;&quot;,&quot;non-dropping-particle&quot;:&quot;&quot;},{&quot;family&quot;:&quot;Memon&quot;,&quot;given&quot;:&quot;S&quot;,&quot;parse-names&quot;:false,&quot;dropping-particle&quot;:&quot;&quot;,&quot;non-dropping-particle&quot;:&quot;&quot;},{&quot;family&quot;:&quot;Miorelli&quot;,&quot;given&quot;:&quot;A&quot;,&quot;parse-names&quot;:false,&quot;dropping-particle&quot;:&quot;&quot;,&quot;non-dropping-particle&quot;:&quot;&quot;},{&quot;family&quot;:&quot;Mitchell&quot;,&quot;given&quot;:&quot;C&quot;,&quot;parse-names&quot;:false,&quot;dropping-particle&quot;:&quot;&quot;,&quot;non-dropping-particle&quot;:&quot;&quot;},{&quot;family&quot;:&quot;Mitchell&quot;,&quot;given&quot;:&quot;T N&quot;,&quot;parse-names&quot;:false,&quot;dropping-particle&quot;:&quot;&quot;,&quot;non-dropping-particle&quot;:&quot;&quot;},{&quot;family&quot;:&quot;Moffitt&quot;,&quot;given&quot;:&quot;V&quot;,&quot;parse-names&quot;:false,&quot;dropping-particle&quot;:&quot;&quot;,&quot;non-dropping-particle&quot;:&quot;&quot;},{&quot;family&quot;:&quot;Moran&quot;,&quot;given&quot;:&quot;N&quot;,&quot;parse-names&quot;:false,&quot;dropping-particle&quot;:&quot;&quot;,&quot;non-dropping-particle&quot;:&quot;&quot;},{&quot;family&quot;:&quot;Morgan-Boon&quot;,&quot;given&quot;:&quot;A&quot;,&quot;parse-names&quot;:false,&quot;dropping-particle&quot;:&quot;&quot;,&quot;non-dropping-particle&quot;:&quot;&quot;},{&quot;family&quot;:&quot;Moriarty&quot;,&quot;given&quot;:&quot;J&quot;,&quot;parse-names&quot;:false,&quot;dropping-particle&quot;:&quot;&quot;,&quot;non-dropping-particle&quot;:&quot;&quot;},{&quot;family&quot;:&quot;Mula&quot;,&quot;given&quot;:&quot;M&quot;,&quot;parse-names&quot;:false,&quot;dropping-particle&quot;:&quot;&quot;,&quot;non-dropping-particle&quot;:&quot;&quot;},{&quot;family&quot;:&quot;Mullatti&quot;,&quot;given&quot;:&quot;N&quot;,&quot;parse-names&quot;:false,&quot;dropping-particle&quot;:&quot;&quot;,&quot;non-dropping-particle&quot;:&quot;&quot;},{&quot;family&quot;:&quot;Nashef&quot;,&quot;given&quot;:&quot;L&quot;,&quot;parse-names&quot;:false,&quot;dropping-particle&quot;:&quot;&quot;,&quot;non-dropping-particle&quot;:&quot;&quot;},{&quot;family&quot;:&quot;O'Hara&quot;,&quot;given&quot;:&quot;D&quot;,&quot;parse-names&quot;:false,&quot;dropping-particle&quot;:&quot;&quot;,&quot;non-dropping-particle&quot;:&quot;&quot;},{&quot;family&quot;:&quot;Oakley&quot;,&quot;given&quot;:&quot;L&quot;,&quot;parse-names&quot;:false,&quot;dropping-particle&quot;:&quot;&quot;,&quot;non-dropping-particle&quot;:&quot;&quot;},{&quot;family&quot;:&quot;O'Sullivan&quot;,&quot;given&quot;:&quot;S&quot;,&quot;parse-names&quot;:false,&quot;dropping-particle&quot;:&quot;&quot;,&quot;non-dropping-particle&quot;:&quot;&quot;},{&quot;family&quot;:&quot;Page&quot;,&quot;given&quot;:&quot;L&quot;,&quot;parse-names&quot;:false,&quot;dropping-particle&quot;:&quot;&quot;,&quot;non-dropping-particle&quot;:&quot;&quot;},{&quot;family&quot;:&quot;Patel&quot;,&quot;given&quot;:&quot;D&quot;,&quot;parse-names&quot;:false,&quot;dropping-particle&quot;:&quot;&quot;,&quot;non-dropping-particle&quot;:&quot;&quot;},{&quot;family&quot;:&quot;Petrochilos&quot;,&quot;given&quot;:&quot;P&quot;,&quot;parse-names&quot;:false,&quot;dropping-particle&quot;:&quot;&quot;,&quot;non-dropping-particle&quot;:&quot;&quot;},{&quot;family&quot;:&quot;Phoenix&quot;,&quot;given&quot;:&quot;D&quot;,&quot;parse-names&quot;:false,&quot;dropping-particle&quot;:&quot;&quot;,&quot;non-dropping-particle&quot;:&quot;&quot;},{&quot;family&quot;:&quot;Pickerell&quot;,&quot;given&quot;:&quot;W&quot;,&quot;parse-names&quot;:false,&quot;dropping-particle&quot;:&quot;&quot;,&quot;non-dropping-particle&quot;:&quot;&quot;},{&quot;family&quot;:&quot;Pieters&quot;,&quot;given&quot;:&quot;T&quot;,&quot;parse-names&quot;:false,&quot;dropping-particle&quot;:&quot;&quot;,&quot;non-dropping-particle&quot;:&quot;&quot;},{&quot;family&quot;:&quot;Poole&quot;,&quot;given&quot;:&quot;N&quot;,&quot;parse-names&quot;:false,&quot;dropping-particle&quot;:&quot;&quot;,&quot;non-dropping-particle&quot;:&quot;&quot;},{&quot;family&quot;:&quot;Price&quot;,&quot;given&quot;:&quot;G&quot;,&quot;parse-names&quot;:false,&quot;dropping-particle&quot;:&quot;&quot;,&quot;non-dropping-particle&quot;:&quot;&quot;},{&quot;family&quot;:&quot;Protheroe&quot;,&quot;given&quot;:&quot;D&quot;,&quot;parse-names&quot;:false,&quot;dropping-particle&quot;:&quot;&quot;,&quot;non-dropping-particle&quot;:&quot;&quot;},{&quot;family&quot;:&quot;Pullicino&quot;,&quot;given&quot;:&quot;P&quot;,&quot;parse-names&quot;:false,&quot;dropping-particle&quot;:&quot;&quot;,&quot;non-dropping-particle&quot;:&quot;&quot;},{&quot;family&quot;:&quot;Purnell&quot;,&quot;given&quot;:&quot;J&quot;,&quot;parse-names&quot;:false,&quot;dropping-particle&quot;:&quot;&quot;,&quot;non-dropping-particle&quot;:&quot;&quot;},{&quot;family&quot;:&quot;Quirk&quot;,&quot;given&quot;:&quot;J&quot;,&quot;parse-names&quot;:false,&quot;dropping-particle&quot;:&quot;&quot;,&quot;non-dropping-particle&quot;:&quot;&quot;},{&quot;family&quot;:&quot;Rajakulendran&quot;,&quot;given&quot;:&quot;S&quot;,&quot;parse-names&quot;:false,&quot;dropping-particle&quot;:&quot;&quot;,&quot;non-dropping-particle&quot;:&quot;&quot;},{&quot;family&quot;:&quot;Read&quot;,&quot;given&quot;:&quot;J&quot;,&quot;parse-names&quot;:false,&quot;dropping-particle&quot;:&quot;&quot;,&quot;non-dropping-particle&quot;:&quot;&quot;},{&quot;family&quot;:&quot;Ridha&quot;,&quot;given&quot;:&quot;B&quot;,&quot;parse-names&quot;:false,&quot;dropping-particle&quot;:&quot;&quot;,&quot;non-dropping-particle&quot;:&quot;&quot;},{&quot;family&quot;:&quot;Rockliffe-Fidler&quot;,&quot;given&quot;:&quot;C&quot;,&quot;parse-names&quot;:false,&quot;dropping-particle&quot;:&quot;&quot;,&quot;non-dropping-particle&quot;:&quot;&quot;},{&quot;family&quot;:&quot;Rowbottom&quot;,&quot;given&quot;:&quot;C&quot;,&quot;parse-names&quot;:false,&quot;dropping-particle&quot;:&quot;&quot;,&quot;non-dropping-particle&quot;:&quot;&quot;},{&quot;family&quot;:&quot;Rugg-Gunn&quot;,&quot;given&quot;:&quot;F&quot;,&quot;parse-names&quot;:false,&quot;dropping-particle&quot;:&quot;&quot;,&quot;non-dropping-particle&quot;:&quot;&quot;},{&quot;family&quot;:&quot;Sachar&quot;,&quot;given&quot;:&quot;A&quot;,&quot;parse-names&quot;:false,&quot;dropping-particle&quot;:&quot;&quot;,&quot;non-dropping-particle&quot;:&quot;&quot;},{&quot;family&quot;:&quot;Saha&quot;,&quot;given&quot;:&quot;R&quot;,&quot;parse-names&quot;:false,&quot;dropping-particle&quot;:&quot;&quot;,&quot;non-dropping-particle&quot;:&quot;&quot;},{&quot;family&quot;:&quot;Saldanha&quot;,&quot;given&quot;:&quot;G&quot;,&quot;parse-names&quot;:false,&quot;dropping-particle&quot;:&quot;&quot;,&quot;non-dropping-particle&quot;:&quot;&quot;},{&quot;family&quot;:&quot;Samarasekera&quot;,&quot;given&quot;:&quot;S&quot;,&quot;parse-names&quot;:false,&quot;dropping-particle&quot;:&quot;&quot;,&quot;non-dropping-particle&quot;:&quot;&quot;},{&quot;family&quot;:&quot;Sanchez Sanchez&quot;,&quot;given&quot;:&quot;V&quot;,&quot;parse-names&quot;:false,&quot;dropping-particle&quot;:&quot;&quot;,&quot;non-dropping-particle&quot;:&quot;&quot;},{&quot;family&quot;:&quot;Santhouse&quot;,&quot;given&quot;:&quot;A&quot;,&quot;parse-names&quot;:false,&quot;dropping-particle&quot;:&quot;&quot;,&quot;non-dropping-particle&quot;:&quot;&quot;},{&quot;family&quot;:&quot;Scholes&quot;,&quot;given&quot;:&quot;K&quot;,&quot;parse-names&quot;:false,&quot;dropping-particle&quot;:&quot;&quot;,&quot;non-dropping-particle&quot;:&quot;&quot;},{&quot;family&quot;:&quot;Shetty&quot;,&quot;given&quot;:&quot;A&quot;,&quot;parse-names&quot;:false,&quot;dropping-particle&quot;:&quot;&quot;,&quot;non-dropping-particle&quot;:&quot;&quot;},{&quot;family&quot;:&quot;Shotbolt&quot;,&quot;given&quot;:&quot;P&quot;,&quot;parse-names&quot;:false,&quot;dropping-particle&quot;:&quot;&quot;,&quot;non-dropping-particle&quot;:&quot;&quot;},{&quot;family&quot;:&quot;Simkiss&quot;,&quot;given&quot;:&quot;R&quot;,&quot;parse-names&quot;:false,&quot;dropping-particle&quot;:&quot;&quot;,&quot;non-dropping-particle&quot;:&quot;&quot;},{&quot;family&quot;:&quot;Singh&quot;,&quot;given&quot;:&quot;J&quot;,&quot;parse-names&quot;:false,&quot;dropping-particle&quot;:&quot;&quot;,&quot;non-dropping-particle&quot;:&quot;&quot;},{&quot;family&quot;:&quot;Sivagnanasundaram&quot;,&quot;given&quot;:&quot;J&quot;,&quot;parse-names&quot;:false,&quot;dropping-particle&quot;:&quot;&quot;,&quot;non-dropping-particle&quot;:&quot;&quot;},{&quot;family&quot;:&quot;Slaght&quot;,&quot;given&quot;:&quot;S&quot;,&quot;parse-names&quot;:false,&quot;dropping-particle&quot;:&quot;&quot;,&quot;non-dropping-particle&quot;:&quot;&quot;},{&quot;family&quot;:&quot;Smith&quot;,&quot;given&quot;:&quot;P&quot;,&quot;parse-names&quot;:false,&quot;dropping-particle&quot;:&quot;&quot;,&quot;non-dropping-particle&quot;:&quot;&quot;},{&quot;family&quot;:&quot;Sokhi&quot;,&quot;given&quot;:&quot;D&quot;,&quot;parse-names&quot;:false,&quot;dropping-particle&quot;:&quot;&quot;,&quot;non-dropping-particle&quot;:&quot;&quot;},{&quot;family&quot;:&quot;Stanton&quot;,&quot;given&quot;:&quot;B&quot;,&quot;parse-names&quot;:false,&quot;dropping-particle&quot;:&quot;&quot;,&quot;non-dropping-particle&quot;:&quot;&quot;},{&quot;family&quot;:&quot;Suvorova&quot;,&quot;given&quot;:&quot;L&quot;,&quot;parse-names&quot;:false,&quot;dropping-particle&quot;:&quot;&quot;,&quot;non-dropping-particle&quot;:&quot;&quot;},{&quot;family&quot;:&quot;Tahir&quot;,&quot;given&quot;:&quot;T&quot;,&quot;parse-names&quot;:false,&quot;dropping-particle&quot;:&quot;&quot;,&quot;non-dropping-particle&quot;:&quot;&quot;},{&quot;family&quot;:&quot;Taylor&quot;,&quot;given&quot;:&quot;R&quot;,&quot;parse-names&quot;:false,&quot;dropping-particle&quot;:&quot;&quot;,&quot;non-dropping-particle&quot;:&quot;&quot;},{&quot;family&quot;:&quot;Teare&quot;,&quot;given&quot;:&quot;L&quot;,&quot;parse-names&quot;:false,&quot;dropping-particle&quot;:&quot;&quot;,&quot;non-dropping-particle&quot;:&quot;&quot;},{&quot;family&quot;:&quot;Tedesco&quot;,&quot;given&quot;:&quot;L&quot;,&quot;parse-names&quot;:false,&quot;dropping-particle&quot;:&quot;&quot;,&quot;non-dropping-particle&quot;:&quot;&quot;},{&quot;family&quot;:&quot;Teo&quot;,&quot;given&quot;:&quot;J&quot;,&quot;parse-names&quot;:false,&quot;dropping-particle&quot;:&quot;&quot;,&quot;non-dropping-particle&quot;:&quot;&quot;},{&quot;family&quot;:&quot;Thorpe&quot;,&quot;given&quot;:&quot;J&quot;,&quot;parse-names&quot;:false,&quot;dropping-particle&quot;:&quot;&quot;,&quot;non-dropping-particle&quot;:&quot;&quot;},{&quot;family&quot;:&quot;Toplis&quot;,&quot;given&quot;:&quot;L&quot;,&quot;parse-names&quot;:false,&quot;dropping-particle&quot;:&quot;&quot;,&quot;non-dropping-particle&quot;:&quot;&quot;},{&quot;family&quot;:&quot;Tsakopoulou&quot;,&quot;given&quot;:&quot;M&quot;,&quot;parse-names&quot;:false,&quot;dropping-particle&quot;:&quot;&quot;,&quot;non-dropping-particle&quot;:&quot;&quot;},{&quot;family&quot;:&quot;Tylova&quot;,&quot;given&quot;:&quot;I&quot;,&quot;parse-names&quot;:false,&quot;dropping-particle&quot;:&quot;&quot;,&quot;non-dropping-particle&quot;:&quot;&quot;},{&quot;family&quot;:&quot;Vick&quot;,&quot;given&quot;:&quot;T&quot;,&quot;parse-names&quot;:false,&quot;dropping-particle&quot;:&quot;&quot;,&quot;non-dropping-particle&quot;:&quot;&quot;},{&quot;family&quot;:&quot;Vinnicombe&quot;,&quot;given&quot;:&quot;J&quot;,&quot;parse-names&quot;:false,&quot;dropping-particle&quot;:&quot;&quot;,&quot;non-dropping-particle&quot;:&quot;&quot;},{&quot;family&quot;:&quot;Walker&quot;,&quot;given&quot;:&quot;M&quot;,&quot;parse-names&quot;:false,&quot;dropping-particle&quot;:&quot;&quot;,&quot;non-dropping-particle&quot;:&quot;&quot;},{&quot;family&quot;:&quot;Walsh&quot;,&quot;given&quot;:&quot;C&quot;,&quot;parse-names&quot;:false,&quot;dropping-particle&quot;:&quot;&quot;,&quot;non-dropping-particle&quot;:&quot;&quot;},{&quot;family&quot;:&quot;Watson&quot;,&quot;given&quot;:&quot;G&quot;,&quot;parse-names&quot;:false,&quot;dropping-particle&quot;:&quot;&quot;,&quot;non-dropping-particle&quot;:&quot;&quot;},{&quot;family&quot;:&quot;Webb&quot;,&quot;given&quot;:&quot;T&quot;,&quot;parse-names&quot;:false,&quot;dropping-particle&quot;:&quot;&quot;,&quot;non-dropping-particle&quot;:&quot;&quot;},{&quot;family&quot;:&quot;Wehner&quot;,&quot;given&quot;:&quot;T&quot;,&quot;parse-names&quot;:false,&quot;dropping-particle&quot;:&quot;&quot;,&quot;non-dropping-particle&quot;:&quot;&quot;},{&quot;family&quot;:&quot;Welch&quot;,&quot;given&quot;:&quot;K&quot;,&quot;parse-names&quot;:false,&quot;dropping-particle&quot;:&quot;&quot;,&quot;non-dropping-particle&quot;:&quot;&quot;},{&quot;family&quot;:&quot;Weyrich&quot;,&quot;given&quot;:&quot;K&quot;,&quot;parse-names&quot;:false,&quot;dropping-particle&quot;:&quot;&quot;,&quot;non-dropping-particle&quot;:&quot;&quot;},{&quot;family&quot;:&quot;Whittaker&quot;,&quot;given&quot;:&quot;M&quot;,&quot;parse-names&quot;:false,&quot;dropping-particle&quot;:&quot;&quot;,&quot;non-dropping-particle&quot;:&quot;&quot;},{&quot;family&quot;:&quot;Wickremaratchi&quot;,&quot;given&quot;:&quot;M&quot;,&quot;parse-names&quot;:false,&quot;dropping-particle&quot;:&quot;&quot;,&quot;non-dropping-particle&quot;:&quot;&quot;},{&quot;family&quot;:&quot;Wicks&quot;,&quot;given&quot;:&quot;L&quot;,&quot;parse-names&quot;:false,&quot;dropping-particle&quot;:&quot;&quot;,&quot;non-dropping-particle&quot;:&quot;&quot;},{&quot;family&quot;:&quot;Yogarajah&quot;,&quot;given&quot;:&quot;M&quot;,&quot;parse-names&quot;:false,&quot;dropping-particle&quot;:&quot;&quot;,&quot;non-dropping-particle&quot;:&quot;&quot;}],&quot;container-title&quot;:&quot;The Lancet Psychiatry&quot;,&quot;container-title-short&quot;:&quot;Lancet Psychiatry&quot;,&quot;DOI&quot;:&quot;10.1016/s2215-0366(20)30128-0&quot;,&quot;ISSN&quot;:&quot;2215-0366&quot;,&quot;issued&quot;:{&quot;date-parts&quot;:[[2020]]},&quot;page&quot;:&quot;491-505&quot;,&quot;publisher&quot;:&quot;Elsevier BV&quot;,&quot;issue&quot;:&quot;6&quot;,&quot;volume&quot;:&quot;7&quot;},&quot;isTemporary&quot;:false}],&quot;citationTag&quot;:&quot;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&quot;},{&quot;citationID&quot;:&quot;MENDELEY_CITATION_ad5975b1-e4a6-4c48-afb3-0d289f8db60d&quot;,&quot;properties&quot;:{&quot;noteIndex&quot;:0},&quot;isEdited&quot;:false,&quot;manualOverride&quot;:{&quot;isManuallyOverridden&quot;:true,&quot;citeprocText&quot;:&quot;(Blevins et al., 2015)&quot;,&quot;manualOverrideText&quot;:&quot;(2015)&quot;},&quot;citationItems&quot;:[{&quot;id&quot;:&quot;fcd82a6e-84fd-329a-b5fb-d999bb752edb&quot;,&quot;itemData&quot;:{&quot;type&quot;:&quot;article-journal&quot;,&quot;id&quot;:&quot;fcd82a6e-84fd-329a-b5fb-d999bb752edb&quot;,&quot;title&quot;:&quot;The Posttraumatic Stress Disorder Checklist for DSM-5 (PCL-5): Development and Initial Psychometric Evaluation&quot;,&quot;author&quot;:[{&quot;family&quot;:&quot;Blevins&quot;,&quot;given&quot;:&quot;Christy A&quot;,&quot;parse-names&quot;:false,&quot;dropping-particle&quot;:&quot;&quot;,&quot;non-dropping-particle&quot;:&quot;&quot;},{&quot;family&quot;:&quot;Weathers&quot;,&quot;given&quot;:&quot;Frank W&quot;,&quot;parse-names&quot;:false,&quot;dropping-particle&quot;:&quot;&quot;,&quot;non-dropping-particle&quot;:&quot;&quot;},{&quot;family&quot;:&quot;Davis&quot;,&quot;given&quot;:&quot;Margaret T&quot;,&quot;parse-names&quot;:false,&quot;dropping-particle&quot;:&quot;&quot;,&quot;non-dropping-particle&quot;:&quot;&quot;},{&quot;family&quot;:&quot;Witte&quot;,&quot;given&quot;:&quot;Tracy K&quot;,&quot;parse-names&quot;:false,&quot;dropping-particle&quot;:&quot;&quot;,&quot;non-dropping-particle&quot;:&quot;&quot;},{&quot;family&quot;:&quot;Domino&quot;,&quot;given&quot;:&quot;Jessica L&quot;,&quot;parse-names&quot;:false,&quot;dropping-particle&quot;:&quot;&quot;,&quot;non-dropping-particle&quot;:&quot;&quot;}],&quot;container-title&quot;:&quot;Journal of Traumatic Stress&quot;,&quot;container-title-short&quot;:&quot;J Trauma Stress&quot;,&quot;DOI&quot;:&quot;10.1002/jts.22059&quot;,&quot;ISSN&quot;:&quot;0894-9867&quot;,&quot;URL&quot;:&quot;https://doi.org/10.1002/jts.22059&quot;,&quot;issued&quot;:{&quot;date-parts&quot;:[[2015]]},&quot;page&quot;:&quot;489-498&quot;,&quot;abstract&quot;:&quot;Abstract The Posttraumatic Stress Disorder Checklist (PCL) is a widely used DSM-correspondent self-report measure of PTSD symptoms. The PCL was recently revised to reflect DSM-5 changes to the PTSD criteria. In this article, the authors describe the development and initial psychometric evaluation of the PCL for DSM-5 (PCL-5). Psychometric properties of the PCL-5 were examined in 2 studies involving trauma-exposed college students. In Study 1 (N = 278), PCL-5 scores exhibited strong internal consistency (α = .94), test-retest reliability (r = .82), and convergent (rs = .74 to .85) and discriminant (rs = .31 to .60) validity. In addition, confirmatory factor analyses indicated adequate fit with the DSM-5 4-factor model, ?2(164) = 455.83, p &lt; .001, standardized root mean square residual (SRMR) = .07, root mean squared error of approximation (RMSEA) = .08, comparative fit index (CFI) = .86, and Tucker-Lewis index (TLI) = .84, and superior fit with recently proposed 6-factor, ?2 (164) = 318.37, p &lt; .001, SRMR = .05, RMSEA = .06, CFI = .92, and TLI = .90, and 7-factor, ?2 (164) = 291.32, p &lt; .001, SRMR = .05, RMSEA = .06, CFI = .93, and TLI = .91, models. In Study 2 (N = 558), PCL-5 scores demonstrated similarly strong reliability and validity. Overall, results indicate that the PCL-5 is a psychometrically sound measure of PTSD symptoms. Implications for use of the PCL-5 in a variety of assessment contexts are discussed.&quot;,&quot;publisher&quot;:&quot;John Wiley &amp; Sons, Ltd&quot;,&quot;issue&quot;:&quot;6&quot;,&quot;volume&quot;:&quot;28&quot;},&quot;isTemporary&quot;:false}],&quot;citationTag&quot;:&quot;MENDELEY_CITATION_v3_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&quot;},{&quot;citationID&quot;:&quot;MENDELEY_CITATION_e6795f18-3057-4caf-a533-7cd0f8d29f9b&quot;,&quot;properties&quot;:{&quot;noteIndex&quot;:0},&quot;isEdited&quot;:false,&quot;manualOverride&quot;:{&quot;isManuallyOverridden&quot;:false,&quot;citeprocText&quot;:&quot;(Gray et al., 2020; Jalilianhasanpour et al., 2018)&quot;,&quot;manualOverrideText&quot;:&quot;&quot;},&quot;citationItems&quot;:[{&quot;id&quot;:&quot;dab53be6-05f3-37fd-bf70-02764909ab73&quot;,&quot;itemData&quot;:{&quot;type&quot;:&quot;article-journal&quot;,&quot;id&quot;:&quot;dab53be6-05f3-37fd-bf70-02764909ab73&quot;,&quot;title&quot;:&quot;Resilience linked to personality dimensions, alexithymia and affective symptoms in motor functional neurological disorders&quot;,&quot;author&quot;:[{&quot;family&quot;:&quot;Jalilianhasanpour&quot;,&quot;given&quot;:&quot;R&quot;,&quot;parse-names&quot;:false,&quot;dropping-particle&quot;:&quot;&quot;,&quot;non-dropping-particle&quot;:&quot;&quot;},{&quot;family&quot;:&quot;Williams&quot;,&quot;given&quot;:&quot;B&quot;,&quot;parse-names&quot;:false,&quot;dropping-particle&quot;:&quot;&quot;,&quot;non-dropping-particle&quot;:&quot;&quot;},{&quot;family&quot;:&quot;Gilman&quot;,&quot;given&quot;:&quot;I&quot;,&quot;parse-names&quot;:false,&quot;dropping-particle&quot;:&quot;&quot;,&quot;non-dropping-particle&quot;:&quot;&quot;},{&quot;family&quot;:&quot;Burke&quot;,&quot;given&quot;:&quot;M J&quot;,&quot;parse-names&quot;:false,&quot;dropping-particle&quot;:&quot;&quot;,&quot;non-dropping-particle&quot;:&quot;&quot;},{&quot;family&quot;:&quot;Glass&quot;,&quot;given&quot;:&quot;S&quot;,&quot;parse-names&quot;:false,&quot;dropping-particle&quot;:&quot;&quot;,&quot;non-dropping-particle&quot;:&quot;&quot;},{&quot;family&quot;:&quot;Fricchione&quot;,&quot;given&quot;:&quot;G L&quot;,&quot;parse-names&quot;:false,&quot;dropping-particle&quot;:&quot;&quot;,&quot;non-dropping-particle&quot;:&quot;&quot;},{&quot;family&quot;:&quot;Keshavan&quot;,&quot;given&quot;:&quot;M S&quot;,&quot;parse-names&quot;:false,&quot;dropping-particle&quot;:&quot;&quot;,&quot;non-dropping-particle&quot;:&quot;&quot;},{&quot;family&quot;:&quot;LaFrance Jr.&quot;,&quot;given&quot;:&quot;W C&quot;,&quot;parse-names&quot;:false,&quot;dropping-particle&quot;:&quot;&quot;,&quot;non-dropping-particle&quot;:&quot;&quot;},{&quot;family&quot;:&quot;Perez&quot;,&quot;given&quot;:&quot;D L&quot;,&quot;parse-names&quot;:false,&quot;dropping-particle&quot;:&quot;&quot;,&quot;non-dropping-particle&quot;:&quot;&quot;}],&quot;container-title&quot;:&quot;J Psychosom Res&quot;,&quot;DOI&quot;:&quot;10.1016/j.jpsychores.2018.02.005&quot;,&quot;ISSN&quot;:&quot;0022-3999 (Print)\r0022-3999&quot;,&quot;PMID&quot;:&quot;29502765&quot;,&quot;issued&quot;:{&quot;date-parts&quot;:[[2018]]},&quot;page&quot;:&quot;55-61&quot;,&quot;language&quot;:&quot;eng&quot;,&quot;abstract&quot;:&quot;OBJECTIVE: Reduced resilience, a construct associated with maladaptive stress coping and a predisposing vulnerability for Functional Neurological Disorders (FND), has been under-studied compared to other neuropsychiatric factors in FND. This prospective case-control study investigated self-reported resilience in patients with FND compared to controls and examined relationships between resilience and affective symptoms, personality traits, alexithymia, health status and adverse life event burden. METHODS: 50 individuals with motor FND and 47 healthy controls participated. A univariate test followed by a logistic regression analysis investigated group-level differences in Connor-Davidson Resilience Scale (CD-RISC) scores. For within-group analyses performed separately in patients with FND and controls, univariate screening tests followed by multivariate linear regression analyses examined factors associated with self-reported resilience. RESULTS: Adjusting for age, gender, education status, ethnicity and lifetime adverse event burden, patients with FND reported reduced resilience compared to controls. Within-group analyses in patients with FND showed that individual-differences in mental health, extraversion, conscientiousness, and openness positively correlated with CD-RISC scores; post-traumatic stress disorder symptom severity, depression, anxiety, alexithymia and neuroticism scores negatively correlated with CD-RISC scores. Extraversion independently predicted resilience scores in patients with FND. In control subjects, univariate associations were appreciated between CD-RISC scores and gender, personality traits, anxiety, alexithymia and physical health; conscientiousness independently predicted resilience in controls. CONCLUSION: Patients with FND reported reduced resilience, and CD-RISC scores covaried with other important predisposing vulnerabilities for the development of FND. Future research should investigate if the CD-RISC is predictive of clinical outcomes in patients with FND.&quot;,&quot;edition&quot;:&quot;2018/03/06&quot;,&quot;volume&quot;:&quot;107&quot;,&quot;container-title-short&quot;:&quot;&quot;},&quot;isTemporary&quot;:false},{&quot;id&quot;:&quot;13cdc8b2-f486-3c92-aa2e-745438c6fbbd&quot;,&quot;itemData&quot;:{&quot;type&quot;:&quot;article-journal&quot;,&quot;id&quot;:&quot;13cdc8b2-f486-3c92-aa2e-745438c6fbbd&quot;,&quot;title&quot;:&quot;Symptoms of posttraumatic stress disorder in patients with functional neurological symptom disorder&quot;,&quot;author&quot;:[{&quot;family&quot;:&quot;Gray&quot;,&quot;given&quot;:&quot;C&quot;,&quot;parse-names&quot;:false,&quot;dropping-particle&quot;:&quot;&quot;,&quot;non-dropping-particle&quot;:&quot;&quot;},{&quot;family&quot;:&quot;Calderbank&quot;,&quot;given&quot;:&quot;A&quot;,&quot;parse-names&quot;:false,&quot;dropping-particle&quot;:&quot;&quot;,&quot;non-dropping-particle&quot;:&quot;&quot;},{&quot;family&quot;:&quot;Adewusi&quot;,&quot;given&quot;:&quot;J&quot;,&quot;parse-names&quot;:false,&quot;dropping-particle&quot;:&quot;&quot;,&quot;non-dropping-particle&quot;:&quot;&quot;},{&quot;family&quot;:&quot;Hughes&quot;,&quot;given&quot;:&quot;R&quot;,&quot;parse-names&quot;:false,&quot;dropping-particle&quot;:&quot;&quot;,&quot;non-dropping-particle&quot;:&quot;&quot;},{&quot;family&quot;:&quot;Reuber&quot;,&quot;given&quot;:&quot;M&quot;,&quot;parse-names&quot;:false,&quot;dropping-particle&quot;:&quot;&quot;,&quot;non-dropping-particle&quot;:&quot;&quot;}],&quot;container-title&quot;:&quot;J Psychosom Res&quot;,&quot;DOI&quot;:&quot;10.1016/j.jpsychores.2019.109907&quot;,&quot;ISSN&quot;:&quot;0022-3999&quot;,&quot;PMID&quot;:&quot;31901839&quot;,&quot;issued&quot;:{&quot;date-parts&quot;:[[2020]]},&quot;page&quot;:&quot;109907&quot;,&quot;language&quot;:&quot;eng&quot;,&quot;abstract&quot;:&quot;OBJECTIVE: To describe prevalence and relevance of Post-Traumatic Stress Disorder (PTSD) symptoms in Functional Neurological Symptom Disorder (FNSD) and explore differences in PTSD symptom scores between subgroups with Psychogenic Non-Epileptic Seizures (PNES) or other FNSD. METHODS: This cross-sectional study evaluated data from 430 consecutive patients referred to a specialist psychotherapy service (69.3% female, 56% with PNES/44% with other FNSD). We analysed self-reported symptoms of Post-Traumatic Stress Disorder (PTSD Civilian Checklist, PCLC), depression (PHQ-9), anxiety (GAD-7), physical symptoms (PHQ-15), social functioning (WSAS), and health related quality of life (SF-36). Relationships between PTSD scores, diagnosis and other measures were examined. Independent associations of PTSD scores were identified using multilinear regression. RESULTS: Symptom scores likely to indicate clinical PTSD were reported by 60.7% of patients with no difference between PNES and FNSD subgroups. Those potentially symptomatic of PTSD were less likely to be living with a partner OR 2.95 (95% CI 1.83-4.04), or to be in employment OR 2.23 (95% CI 1.46-3.41) than less symptomatic patients. There were higher levels of anxiety (r = 0.62), depression (r = 0.63) and somatic symptoms (r = 0.45) and lower quality of life scores (r = 0.48) in patients with high PTSD symptom scores (p &lt; .0001 for all comparisons). Anxiety, depression and somatic symptoms made independent contributions to the variance of PTSD symptoms. CONCLUSION: There is a high prevalence of PTSD symptoms in patient with FNSD regardless of whether they have PNES. Trauma and PTSD symptoms are negatively correlated with quality of life. Self-report instruments for anxiety, depression and somatic symptoms may predict the presence of PTSD.&quot;,&quot;edition&quot;:&quot;2020/01/07&quot;,&quot;volume&quot;:&quot;129&quot;,&quot;container-title-short&quot;:&quot;&quot;},&quot;isTemporary&quot;:false}],&quot;citationTag&quot;:&quot;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&quot;},{&quot;citationID&quot;:&quot;MENDELEY_CITATION_3492e553-d4ea-47be-ba9f-a6e4ecce11f7&quot;,&quot;properties&quot;:{&quot;noteIndex&quot;:0},&quot;isEdited&quot;:false,&quot;manualOverride&quot;:{&quot;isManuallyOverridden&quot;:false,&quot;citeprocText&quot;:&quot;(Mundt et al., 2002)&quot;,&quot;manualOverrideText&quot;:&quot;&quot;},&quot;citationItems&quot;:[{&quot;id&quot;:&quot;34fa3fd1-c7da-314e-a0e0-33c9339588f1&quot;,&quot;itemData&quot;:{&quot;type&quot;:&quot;article-journal&quot;,&quot;id&quot;:&quot;34fa3fd1-c7da-314e-a0e0-33c9339588f1&quot;,&quot;title&quot;:&quot;The Work and Social Adjustment Scale: a simple measure of impairment in functioning&quot;,&quot;author&quot;:[{&quot;family&quot;:&quot;Mundt&quot;,&quot;given&quot;:&quot;J C&quot;,&quot;parse-names&quot;:false,&quot;dropping-particle&quot;:&quot;&quot;,&quot;non-dropping-particle&quot;:&quot;&quot;},{&quot;family&quot;:&quot;Marks&quot;,&quot;given&quot;:&quot;I M&quot;,&quot;parse-names&quot;:false,&quot;dropping-particle&quot;:&quot;&quot;,&quot;non-dropping-particle&quot;:&quot;&quot;},{&quot;family&quot;:&quot;Shear&quot;,&quot;given&quot;:&quot;M K&quot;,&quot;parse-names&quot;:false,&quot;dropping-particle&quot;:&quot;&quot;,&quot;non-dropping-particle&quot;:&quot;&quot;},{&quot;family&quot;:&quot;Greist&quot;,&quot;given&quot;:&quot;J H&quot;,&quot;parse-names&quot;:false,&quot;dropping-particle&quot;:&quot;&quot;,&quot;non-dropping-particle&quot;:&quot;&quot;}],&quot;container-title&quot;:&quot;Br J Psychiatry&quot;,&quot;DOI&quot;:&quot;10.1192/bjp.180.5.461&quot;,&quot;ISSN&quot;:&quot;0007-1250 (Print)\r0007-1250&quot;,&quot;PMID&quot;:&quot;11983645&quot;,&quot;issued&quot;:{&quot;date-parts&quot;:[[2002]]},&quot;page&quot;:&quot;461-464&quot;,&quot;language&quot;:&quot;eng&quot;,&quot;abstract&quot;:&quot;BACKGROUND: Patients' perspectives concerning impaired functioning provide important information. AIMS; To evaluate the reliability and validity of the Work and Social Adjustment Scale (WSAS). METHOD: Data from two studies were analysed. Reliability analyses included internal scale consistency, test-retest and parallel forms. Convergent and criterion validities were examined with respect to disorder severity. RESULTS: Cronbach's alpha measure of internal scale consistency ranged from 0.70 to 0.94. Test-retest correlation was 0.73. Interactive voice response administrations of the WSAS gave correlations of 0.81 and 0.86 with clinician interviews. Correlations of WSAS with severity of depression and obsessive-compulsive disorder symptoms were 0.76 and 0.61, respectively. The scores were sensitive to patient differences in disorder severity and treatment-related change. CONCLUSIONS: The WSAS is a simple, reliable and valid measure of impaired functioning. It is a sensitive and useful outcome measure offering the potential for readily interpretable comparisons across studies and disorders.&quot;,&quot;edition&quot;:&quot;2002/05/02&quot;,&quot;volume&quot;:&quot;180&quot;,&quot;container-title-short&quot;:&quot;&quot;},&quot;isTemporary&quot;:false}],&quot;citationTag&quot;:&quot;MENDELEY_CITATION_v3_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&quot;},{&quot;citationID&quot;:&quot;MENDELEY_CITATION_dfa4db20-1fae-4d2e-a203-878cab2c74c1&quot;,&quot;properties&quot;:{&quot;noteIndex&quot;:0},&quot;isEdited&quot;:false,&quot;manualOverride&quot;:{&quot;isManuallyOverridden&quot;:true,&quot;citeprocText&quot;:&quot;(Cella et al., 2011; Goldstein et al., 2020)&quot;,&quot;manualOverrideText&quot;:&quot;(M. Cella et al., 2011; Goldstein et al., 2020b)&quot;},&quot;citationItems&quot;:[{&quot;id&quot;:&quot;0c0b139d-009f-332a-b5a8-406e901bf24a&quot;,&quot;itemData&quot;:{&quot;type&quot;:&quot;article-journal&quot;,&quot;id&quot;:&quot;0c0b139d-009f-332a-b5a8-406e901bf24a&quot;,&quot;title&quot;:&quot;Measuring disability in patients with chronic fatigue syndrome: reliability and validity of the Work and Social Adjustment Scale&quot;,&quot;author&quot;:[{&quot;family&quot;:&quot;Cella&quot;,&quot;given&quot;:&quot;M&quot;,&quot;parse-names&quot;:false,&quot;dropping-particle&quot;:&quot;&quot;,&quot;non-dropping-particle&quot;:&quot;&quot;},{&quot;family&quot;:&quot;Sharpe&quot;,&quot;given&quot;:&quot;M&quot;,&quot;parse-names&quot;:false,&quot;dropping-particle&quot;:&quot;&quot;,&quot;non-dropping-particle&quot;:&quot;&quot;},{&quot;family&quot;:&quot;Chalder&quot;,&quot;given&quot;:&quot;T&quot;,&quot;parse-names&quot;:false,&quot;dropping-particle&quot;:&quot;&quot;,&quot;non-dropping-particle&quot;:&quot;&quot;}],&quot;container-title&quot;:&quot;J Psychosom Res&quot;,&quot;DOI&quot;:&quot;10.1016/j.jpsychores.2011.02.009&quot;,&quot;ISSN&quot;:&quot;0022-3999&quot;,&quot;PMID&quot;:&quot;21843745&quot;,&quot;issued&quot;:{&quot;date-parts&quot;:[[2011]]},&quot;page&quot;:&quot;124-128&quot;,&quot;language&quot;:&quot;eng&quot;,&quot;abstract&quot;:&quot;BACKGROUND: Disability is a defining feature of chronic conditions, and it is an increasingly used measure of therapy effectiveness. The Work and Social Adjustment Scale (WSAS) is a simple and clear measure of disability. Although the scale is widely used, no study has yet investigated its psychometric properties in patients with chronic fatigue syndrome (CFS). METHODS: Data from two samples of patients were used, one from a multicenter randomized controlled clinical trial of treatments for CFS (n =639) and the other from a clinic that specializes in CFS (n=384). All patients completed the WSAS as well as other measures. RESULTS: Internal consistency and the Spearman-Brown split-half coefficient values indicated that the scale is reliable. CFS patients who had comorbid diagnoses of depression, anxiety or fibromyalgia had higher WSAS scores. High levels of disability were associated with high number of physical symptoms, severe fatigue, depression, anxiety, poor sleep quality and poor physical fitness, with correlation coefficients ranging between 0.41 and 0.11. Lower scores on the WSAS were modestly associated with better physical functioning as well as higher levels of physical capacity as assessed by a walking test. Sensitivity to change was evaluated in a subgroup of patients who had undergone a course of cognitive behavioral therapy. Disability significantly decreased after therapy and remained stable at follow-ups. CONCLUSION: The WSAS is a reliable and valid assessment tool for disability in patients with CFS.&quot;,&quot;edition&quot;:&quot;2011/08/17&quot;,&quot;issue&quot;:&quot;3&quot;,&quot;volume&quot;:&quot;71&quot;,&quot;container-title-short&quot;:&quot;&quot;},&quot;isTemporary&quot;:false},{&quot;id&quot;:&quot;4bee7395-db70-3458-8486-9ac98145b9a7&quot;,&quot;itemData&quot;:{&quot;type&quot;:&quot;article-journal&quot;,&quot;id&quot;:&quot;4bee7395-db70-3458-8486-9ac98145b9a7&quot;,&quot;title&quot;:&quot;Cognitive behavioural therapy for adults with dissociative seizures (CODES): a pragmatic, multicentre, randomised controlled trial&quot;,&quot;author&quot;:[{&quot;family&quot;:&quot;Goldstein&quot;,&quot;given&quot;:&quot;Laura H&quot;,&quot;parse-names&quot;:false,&quot;dropping-particle&quot;:&quot;&quot;,&quot;non-dropping-particle&quot;:&quot;&quot;},{&quot;family&quot;:&quot;Robinson&quot;,&quot;given&quot;:&quot;Emily J&quot;,&quot;parse-names&quot;:false,&quot;dropping-particle&quot;:&quot;&quot;,&quot;non-dropping-particle&quot;:&quot;&quot;},{&quot;family&quot;:&quot;Mellers&quot;,&quot;given&quot;:&quot;John D C&quot;,&quot;parse-names&quot;:false,&quot;dropping-particle&quot;:&quot;&quot;,&quot;non-dropping-particle&quot;:&quot;&quot;},{&quot;family&quot;:&quot;Stone&quot;,&quot;given&quot;:&quot;Jon&quot;,&quot;parse-names&quot;:false,&quot;dropping-particle&quot;:&quot;&quot;,&quot;non-dropping-particle&quot;:&quot;&quot;},{&quot;family&quot;:&quot;Carson&quot;,&quot;given&quot;:&quot;Alan&quot;,&quot;parse-names&quot;:false,&quot;dropping-particle&quot;:&quot;&quot;,&quot;non-dropping-particle&quot;:&quot;&quot;},{&quot;family&quot;:&quot;Reuber&quot;,&quot;given&quot;:&quot;Markus&quot;,&quot;parse-names&quot;:false,&quot;dropping-particle&quot;:&quot;&quot;,&quot;non-dropping-particle&quot;:&quot;&quot;},{&quot;family&quot;:&quot;Medford&quot;,&quot;given&quot;:&quot;Nick&quot;,&quot;parse-names&quot;:false,&quot;dropping-particle&quot;:&quot;&quot;,&quot;non-dropping-particle&quot;:&quot;&quot;},{&quot;family&quot;:&quot;Mccrone&quot;,&quot;given&quot;:&quot;Paul&quot;,&quot;parse-names&quot;:false,&quot;dropping-particle&quot;:&quot;&quot;,&quot;non-dropping-particle&quot;:&quot;&quot;},{&quot;family&quot;:&quot;Murray&quot;,&quot;given&quot;:&quot;Joanna&quot;,&quot;parse-names&quot;:false,&quot;dropping-particle&quot;:&quot;&quot;,&quot;non-dropping-particle&quot;:&quot;&quot;},{&quot;family&quot;:&quot;Richardson&quot;,&quot;given&quot;:&quot;Mark P&quot;,&quot;parse-names&quot;:false,&quot;dropping-particle&quot;:&quot;&quot;,&quot;non-dropping-particle&quot;:&quot;&quot;},{&quot;family&quot;:&quot;Pilecka&quot;,&quot;given&quot;:&quot;Izabela&quot;,&quot;parse-names&quot;:false,&quot;dropping-particle&quot;:&quot;&quot;,&quot;non-dropping-particle&quot;:&quot;&quot;},{&quot;family&quot;:&quot;Eastwood&quot;,&quot;given&quot;:&quot;Carole&quot;,&quot;parse-names&quot;:false,&quot;dropping-particle&quot;:&quot;&quot;,&quot;non-dropping-particle&quot;:&quot;&quot;},{&quot;family&quot;:&quot;Moore&quot;,&quot;given&quot;:&quot;Michele&quot;,&quot;parse-names&quot;:false,&quot;dropping-particle&quot;:&quot;&quot;,&quot;non-dropping-particle&quot;:&quot;&quot;},{&quot;family&quot;:&quot;Mosweu&quot;,&quot;given&quot;:&quot;Iris&quot;,&quot;parse-names&quot;:false,&quot;dropping-particle&quot;:&quot;&quot;,&quot;non-dropping-particle&quot;:&quot;&quot;},{&quot;family&quot;:&quot;Perdue&quot;,&quot;given&quot;:&quot;Iain&quot;,&quot;parse-names&quot;:false,&quot;dropping-particle&quot;:&quot;&quot;,&quot;non-dropping-particle&quot;:&quot;&quot;},{&quot;family&quot;:&quot;Landau&quot;,&quot;given&quot;:&quot;Sabine&quot;,&quot;parse-names&quot;:false,&quot;dropping-particle&quot;:&quot;&quot;,&quot;non-dropping-particle&quot;:&quot;&quot;},{&quot;family&quot;:&quot;Chalder&quot;,&quot;given&quot;:&quot;Trudie&quot;,&quot;parse-names&quot;:false,&quot;dropping-particle&quot;:&quot;&quot;,&quot;non-dropping-particle&quot;:&quot;&quot;},{&quot;family&quot;:&quot;Abe&quot;,&quot;given&quot;:&quot;A-M&quot;,&quot;parse-names&quot;:false,&quot;dropping-particle&quot;:&quot;&quot;,&quot;non-dropping-particle&quot;:&quot;&quot;},{&quot;family&quot;:&quot;Adab&quot;,&quot;given&quot;:&quot;N&quot;,&quot;parse-names&quot;:false,&quot;dropping-particle&quot;:&quot;&quot;,&quot;non-dropping-particle&quot;:&quot;&quot;},{&quot;family&quot;:&quot;Agrawal&quot;,&quot;given&quot;:&quot;N&quot;,&quot;parse-names&quot;:false,&quot;dropping-particle&quot;:&quot;&quot;,&quot;non-dropping-particle&quot;:&quot;&quot;},{&quot;family&quot;:&quot;Allroggen&quot;,&quot;given&quot;:&quot;H&quot;,&quot;parse-names&quot;:false,&quot;dropping-particle&quot;:&quot;&quot;,&quot;non-dropping-particle&quot;:&quot;&quot;},{&quot;family&quot;:&quot;Alvares&quot;,&quot;given&quot;:&quot;D&quot;,&quot;parse-names&quot;:false,&quot;dropping-particle&quot;:&quot;&quot;,&quot;non-dropping-particle&quot;:&quot;&quot;},{&quot;family&quot;:&quot;Andrews&quot;,&quot;given&quot;:&quot;T&quot;,&quot;parse-names&quot;:false,&quot;dropping-particle&quot;:&quot;&quot;,&quot;non-dropping-particle&quot;:&quot;&quot;},{&quot;family&quot;:&quot;Angus-Leppan&quot;,&quot;given&quot;:&quot;H&quot;,&quot;parse-names&quot;:false,&quot;dropping-particle&quot;:&quot;&quot;,&quot;non-dropping-particle&quot;:&quot;&quot;},{&quot;family&quot;:&quot;Aram&quot;,&quot;given&quot;:&quot;J&quot;,&quot;parse-names&quot;:false,&quot;dropping-particle&quot;:&quot;&quot;,&quot;non-dropping-particle&quot;:&quot;&quot;},{&quot;family&quot;:&quot;Armstrong&quot;,&quot;given&quot;:&quot;R&quot;,&quot;parse-names&quot;:false,&quot;dropping-particle&quot;:&quot;&quot;,&quot;non-dropping-particle&quot;:&quot;&quot;},{&quot;family&quot;:&quot;Atalaia&quot;,&quot;given&quot;:&quot;A&quot;,&quot;parse-names&quot;:false,&quot;dropping-particle&quot;:&quot;&quot;,&quot;non-dropping-particle&quot;:&quot;&quot;},{&quot;family&quot;:&quot;Bagary&quot;,&quot;given&quot;:&quot;M&quot;,&quot;parse-names&quot;:false,&quot;dropping-particle&quot;:&quot;&quot;,&quot;non-dropping-particle&quot;:&quot;&quot;},{&quot;family&quot;:&quot;Baldellou Lopez&quot;,&quot;given&quot;:&quot;M&quot;,&quot;parse-names&quot;:false,&quot;dropping-particle&quot;:&quot;&quot;,&quot;non-dropping-particle&quot;:&quot;&quot;},{&quot;family&quot;:&quot;Bennett&quot;,&quot;given&quot;:&quot;M&quot;,&quot;parse-names&quot;:false,&quot;dropping-particle&quot;:&quot;&quot;,&quot;non-dropping-particle&quot;:&quot;&quot;},{&quot;family&quot;:&quot;Black&quot;,&quot;given&quot;:&quot;T&quot;,&quot;parse-names&quot;:false,&quot;dropping-particle&quot;:&quot;&quot;,&quot;non-dropping-particle&quot;:&quot;&quot;},{&quot;family&quot;:&quot;Blackburn&quot;,&quot;given&quot;:&quot;D&quot;,&quot;parse-names&quot;:false,&quot;dropping-particle&quot;:&quot;&quot;,&quot;non-dropping-particle&quot;:&quot;&quot;},{&quot;family&quot;:&quot;Bodani&quot;,&quot;given&quot;:&quot;M&quot;,&quot;parse-names&quot;:false,&quot;dropping-particle&quot;:&quot;&quot;,&quot;non-dropping-particle&quot;:&quot;&quot;},{&quot;family&quot;:&quot;Broadhurst&quot;,&quot;given&quot;:&quot;M&quot;,&quot;parse-names&quot;:false,&quot;dropping-particle&quot;:&quot;&quot;,&quot;non-dropping-particle&quot;:&quot;&quot;},{&quot;family&quot;:&quot;Brockington&quot;,&quot;given&quot;:&quot;A&quot;,&quot;parse-names&quot;:false,&quot;dropping-particle&quot;:&quot;&quot;,&quot;non-dropping-particle&quot;:&quot;&quot;},{&quot;family&quot;:&quot;Bruno&quot;,&quot;given&quot;:&quot;E&quot;,&quot;parse-names&quot;:false,&quot;dropping-particle&quot;:&quot;&quot;,&quot;non-dropping-particle&quot;:&quot;&quot;},{&quot;family&quot;:&quot;Buckley&quot;,&quot;given&quot;:&quot;M&quot;,&quot;parse-names&quot;:false,&quot;dropping-particle&quot;:&quot;&quot;,&quot;non-dropping-particle&quot;:&quot;&quot;},{&quot;family&quot;:&quot;Burness&quot;,&quot;given&quot;:&quot;C&quot;,&quot;parse-names&quot;:false,&quot;dropping-particle&quot;:&quot;&quot;,&quot;non-dropping-particle&quot;:&quot;&quot;},{&quot;family&quot;:&quot;Callaghan&quot;,&quot;given&quot;:&quot;H&quot;,&quot;parse-names&quot;:false,&quot;dropping-particle&quot;:&quot;&quot;,&quot;non-dropping-particle&quot;:&quot;&quot;},{&quot;family&quot;:&quot;Chalmers&quot;,&quot;given&quot;:&quot;R&quot;,&quot;parse-names&quot;:false,&quot;dropping-particle&quot;:&quot;&quot;,&quot;non-dropping-particle&quot;:&quot;&quot;},{&quot;family&quot;:&quot;Chong&quot;,&quot;given&quot;:&quot;S&quot;,&quot;parse-names&quot;:false,&quot;dropping-particle&quot;:&quot;&quot;,&quot;non-dropping-particle&quot;:&quot;&quot;},{&quot;family&quot;:&quot;Chowdhury&quot;,&quot;given&quot;:&quot;M&quot;,&quot;parse-names&quot;:false,&quot;dropping-particle&quot;:&quot;&quot;,&quot;non-dropping-particle&quot;:&quot;&quot;},{&quot;family&quot;:&quot;Chowdury&quot;,&quot;given&quot;:&quot;F&quot;,&quot;parse-names&quot;:false,&quot;dropping-particle&quot;:&quot;&quot;,&quot;non-dropping-particle&quot;:&quot;&quot;},{&quot;family&quot;:&quot;Cikurel&quot;,&quot;given&quot;:&quot;K&quot;,&quot;parse-names&quot;:false,&quot;dropping-particle&quot;:&quot;&quot;,&quot;non-dropping-particle&quot;:&quot;&quot;},{&quot;family&quot;:&quot;Cocco&quot;,&quot;given&quot;:&quot;G&quot;,&quot;parse-names&quot;:false,&quot;dropping-particle&quot;:&quot;&quot;,&quot;non-dropping-particle&quot;:&quot;&quot;},{&quot;family&quot;:&quot;Cock&quot;,&quot;given&quot;:&quot;H&quot;,&quot;parse-names&quot;:false,&quot;dropping-particle&quot;:&quot;&quot;,&quot;non-dropping-particle&quot;:&quot;&quot;},{&quot;family&quot;:&quot;Cooper&quot;,&quot;given&quot;:&quot;S&quot;,&quot;parse-names&quot;:false,&quot;dropping-particle&quot;:&quot;&quot;,&quot;non-dropping-particle&quot;:&quot;&quot;},{&quot;family&quot;:&quot;Cope&quot;,&quot;given&quot;:&quot;S&quot;,&quot;parse-names&quot;:false,&quot;dropping-particle&quot;:&quot;&quot;,&quot;non-dropping-particle&quot;:&quot;&quot;},{&quot;family&quot;:&quot;Copping&quot;,&quot;given&quot;:&quot;A&quot;,&quot;parse-names&quot;:false,&quot;dropping-particle&quot;:&quot;&quot;,&quot;non-dropping-particle&quot;:&quot;&quot;},{&quot;family&quot;:&quot;Day&quot;,&quot;given&quot;:&quot;E&quot;,&quot;parse-names&quot;:false,&quot;dropping-particle&quot;:&quot;&quot;,&quot;non-dropping-particle&quot;:&quot;&quot;},{&quot;family&quot;:&quot;Delamont&quot;,&quot;given&quot;:&quot;R&quot;,&quot;parse-names&quot;:false,&quot;dropping-particle&quot;:&quot;&quot;,&quot;non-dropping-particle&quot;:&quot;&quot;},{&quot;family&quot;:&quot;Dennis&quot;,&quot;given&quot;:&quot;G&quot;,&quot;parse-names&quot;:false,&quot;dropping-particle&quot;:&quot;&quot;,&quot;non-dropping-particle&quot;:&quot;&quot;},{&quot;family&quot;:&quot;Derry&quot;,&quot;given&quot;:&quot;C&quot;,&quot;parse-names&quot;:false,&quot;dropping-particle&quot;:&quot;&quot;,&quot;non-dropping-particle&quot;:&quot;&quot;},{&quot;family&quot;:&quot;Devlin&quot;,&quot;given&quot;:&quot;R&quot;,&quot;parse-names&quot;:false,&quot;dropping-particle&quot;:&quot;&quot;,&quot;non-dropping-particle&quot;:&quot;&quot;},{&quot;family&quot;:&quot;Dickson&quot;,&quot;given&quot;:&quot;J M&quot;,&quot;parse-names&quot;:false,&quot;dropping-particle&quot;:&quot;&quot;,&quot;non-dropping-particle&quot;:&quot;&quot;},{&quot;family&quot;:&quot;Diehl&quot;,&quot;given&quot;:&quot;B&quot;,&quot;parse-names&quot;:false,&quot;dropping-particle&quot;:&quot;&quot;,&quot;non-dropping-particle&quot;:&quot;&quot;},{&quot;family&quot;:&quot;Donnelly&quot;,&quot;given&quot;:&quot;C&quot;,&quot;parse-names&quot;:false,&quot;dropping-particle&quot;:&quot;&quot;,&quot;non-dropping-particle&quot;:&quot;&quot;},{&quot;family&quot;:&quot;Duncan&quot;,&quot;given&quot;:&quot;S&quot;,&quot;parse-names&quot;:false,&quot;dropping-particle&quot;:&quot;&quot;,&quot;non-dropping-particle&quot;:&quot;&quot;},{&quot;family&quot;:&quot;Edwards&quot;,&quot;given&quot;:&quot;M&quot;,&quot;parse-names&quot;:false,&quot;dropping-particle&quot;:&quot;&quot;,&quot;non-dropping-particle&quot;:&quot;&quot;},{&quot;family&quot;:&quot;Ellawella&quot;,&quot;given&quot;:&quot;S&quot;,&quot;parse-names&quot;:false,&quot;dropping-particle&quot;:&quot;&quot;,&quot;non-dropping-particle&quot;:&quot;&quot;},{&quot;family&quot;:&quot;Ellis&quot;,&quot;given&quot;:&quot;C&quot;,&quot;parse-names&quot;:false,&quot;dropping-particle&quot;:&quot;&quot;,&quot;non-dropping-particle&quot;:&quot;&quot;},{&quot;family&quot;:&quot;Elvish&quot;,&quot;given&quot;:&quot;J&quot;,&quot;parse-names&quot;:false,&quot;dropping-particle&quot;:&quot;&quot;,&quot;non-dropping-particle&quot;:&quot;&quot;},{&quot;family&quot;:&quot;Elwes&quot;,&quot;given&quot;:&quot;R&quot;,&quot;parse-names&quot;:false,&quot;dropping-particle&quot;:&quot;&quot;,&quot;non-dropping-particle&quot;:&quot;&quot;},{&quot;family&quot;:&quot;Eriemo&quot;,&quot;given&quot;:&quot;S&quot;,&quot;parse-names&quot;:false,&quot;dropping-particle&quot;:&quot;&quot;,&quot;non-dropping-particle&quot;:&quot;&quot;},{&quot;family&quot;:&quot;Eriksson&quot;,&quot;given&quot;:&quot;S&quot;,&quot;parse-names&quot;:false,&quot;dropping-particle&quot;:&quot;&quot;,&quot;non-dropping-particle&quot;:&quot;&quot;},{&quot;family&quot;:&quot;Evans&quot;,&quot;given&quot;:&quot;K&quot;,&quot;parse-names&quot;:false,&quot;dropping-particle&quot;:&quot;&quot;,&quot;non-dropping-particle&quot;:&quot;&quot;},{&quot;family&quot;:&quot;Faruqui&quot;,&quot;given&quot;:&quot;R&quot;,&quot;parse-names&quot;:false,&quot;dropping-particle&quot;:&quot;&quot;,&quot;non-dropping-particle&quot;:&quot;&quot;},{&quot;family&quot;:&quot;Feehan&quot;,&quot;given&quot;:&quot;S&quot;,&quot;parse-names&quot;:false,&quot;dropping-particle&quot;:&quot;&quot;,&quot;non-dropping-particle&quot;:&quot;&quot;},{&quot;family&quot;:&quot;Finnerty&quot;,&quot;given&quot;:&quot;G&quot;,&quot;parse-names&quot;:false,&quot;dropping-particle&quot;:&quot;&quot;,&quot;non-dropping-particle&quot;:&quot;&quot;},{&quot;family&quot;:&quot;Flores&quot;,&quot;given&quot;:&quot;L&quot;,&quot;parse-names&quot;:false,&quot;dropping-particle&quot;:&quot;&quot;,&quot;non-dropping-particle&quot;:&quot;&quot;},{&quot;family&quot;:&quot;Firth&quot;,&quot;given&quot;:&quot;N&quot;,&quot;parse-names&quot;:false,&quot;dropping-particle&quot;:&quot;&quot;,&quot;non-dropping-particle&quot;:&quot;&quot;},{&quot;family&quot;:&quot;Fung&quot;,&quot;given&quot;:&quot;R&quot;,&quot;parse-names&quot;:false,&quot;dropping-particle&quot;:&quot;&quot;,&quot;non-dropping-particle&quot;:&quot;&quot;},{&quot;family&quot;:&quot;Gardiner&quot;,&quot;given&quot;:&quot;P&quot;,&quot;parse-names&quot;:false,&quot;dropping-particle&quot;:&quot;&quot;,&quot;non-dropping-particle&quot;:&quot;&quot;},{&quot;family&quot;:&quot;Graham&quot;,&quot;given&quot;:&quot;C&quot;,&quot;parse-names&quot;:false,&quot;dropping-particle&quot;:&quot;&quot;,&quot;non-dropping-particle&quot;:&quot;&quot;},{&quot;family&quot;:&quot;Green-Thompson&quot;,&quot;given&quot;:&quot;Z&quot;,&quot;parse-names&quot;:false,&quot;dropping-particle&quot;:&quot;&quot;,&quot;non-dropping-particle&quot;:&quot;&quot;},{&quot;family&quot;:&quot;Grunewald&quot;,&quot;given&quot;:&quot;R&quot;,&quot;parse-names&quot;:false,&quot;dropping-particle&quot;:&quot;&quot;,&quot;non-dropping-particle&quot;:&quot;&quot;},{&quot;family&quot;:&quot;Hadden&quot;,&quot;given&quot;:&quot;R&quot;,&quot;parse-names&quot;:false,&quot;dropping-particle&quot;:&quot;&quot;,&quot;non-dropping-particle&quot;:&quot;&quot;},{&quot;family&quot;:&quot;Hamandi&quot;,&quot;given&quot;:&quot;K&quot;,&quot;parse-names&quot;:false,&quot;dropping-particle&quot;:&quot;&quot;,&quot;non-dropping-particle&quot;:&quot;&quot;},{&quot;family&quot;:&quot;Harding&quot;,&quot;given&quot;:&quot;R&quot;,&quot;parse-names&quot;:false,&quot;dropping-particle&quot;:&quot;&quot;,&quot;non-dropping-particle&quot;:&quot;&quot;},{&quot;family&quot;:&quot;Harikrishnan&quot;,&quot;given&quot;:&quot;S&quot;,&quot;parse-names&quot;:false,&quot;dropping-particle&quot;:&quot;&quot;,&quot;non-dropping-particle&quot;:&quot;&quot;},{&quot;family&quot;:&quot;Harrison&quot;,&quot;given&quot;:&quot;S&quot;,&quot;parse-names&quot;:false,&quot;dropping-particle&quot;:&quot;&quot;,&quot;non-dropping-particle&quot;:&quot;&quot;},{&quot;family&quot;:&quot;Healy&quot;,&quot;given&quot;:&quot;H&quot;,&quot;parse-names&quot;:false,&quot;dropping-particle&quot;:&quot;&quot;,&quot;non-dropping-particle&quot;:&quot;&quot;},{&quot;family&quot;:&quot;Hewamadduma&quot;,&quot;given&quot;:&quot;C&quot;,&quot;parse-names&quot;:false,&quot;dropping-particle&quot;:&quot;&quot;,&quot;non-dropping-particle&quot;:&quot;&quot;},{&quot;family&quot;:&quot;Higgins&quot;,&quot;given&quot;:&quot;S&quot;,&quot;parse-names&quot;:false,&quot;dropping-particle&quot;:&quot;&quot;,&quot;non-dropping-particle&quot;:&quot;&quot;},{&quot;family&quot;:&quot;Howell&quot;,&quot;given&quot;:&quot;S&quot;,&quot;parse-names&quot;:false,&quot;dropping-particle&quot;:&quot;&quot;,&quot;non-dropping-particle&quot;:&quot;&quot;},{&quot;family&quot;:&quot;Hunt&quot;,&quot;given&quot;:&quot;H&quot;,&quot;parse-names&quot;:false,&quot;dropping-particle&quot;:&quot;&quot;,&quot;non-dropping-particle&quot;:&quot;&quot;},{&quot;family&quot;:&quot;Hussain&quot;,&quot;given&quot;:&quot;A&quot;,&quot;parse-names&quot;:false,&quot;dropping-particle&quot;:&quot;&quot;,&quot;non-dropping-particle&quot;:&quot;&quot;},{&quot;family&quot;:&quot;Innocente&quot;,&quot;given&quot;:&quot;M&quot;,&quot;parse-names&quot;:false,&quot;dropping-particle&quot;:&quot;&quot;,&quot;non-dropping-particle&quot;:&quot;&quot;},{&quot;family&quot;:&quot;Jensch&quot;,&quot;given&quot;:&quot;G&quot;,&quot;parse-names&quot;:false,&quot;dropping-particle&quot;:&quot;&quot;,&quot;non-dropping-particle&quot;:&quot;&quot;},{&quot;family&quot;:&quot;Johnson&quot;,&quot;given&quot;:&quot;M&quot;,&quot;parse-names&quot;:false,&quot;dropping-particle&quot;:&quot;&quot;,&quot;non-dropping-particle&quot;:&quot;&quot;},{&quot;family&quot;:&quot;Jordan&quot;,&quot;given&quot;:&quot;H&quot;,&quot;parse-names&quot;:false,&quot;dropping-particle&quot;:&quot;&quot;,&quot;non-dropping-particle&quot;:&quot;&quot;},{&quot;family&quot;:&quot;Karlsson&quot;,&quot;given&quot;:&quot;J&quot;,&quot;parse-names&quot;:false,&quot;dropping-particle&quot;:&quot;&quot;,&quot;non-dropping-particle&quot;:&quot;&quot;},{&quot;family&quot;:&quot;Kelso&quot;,&quot;given&quot;:&quot;A&quot;,&quot;parse-names&quot;:false,&quot;dropping-particle&quot;:&quot;&quot;,&quot;non-dropping-particle&quot;:&quot;&quot;},{&quot;family&quot;:&quot;Kemp&quot;,&quot;given&quot;:&quot;S&quot;,&quot;parse-names&quot;:false,&quot;dropping-particle&quot;:&quot;&quot;,&quot;non-dropping-particle&quot;:&quot;&quot;},{&quot;family&quot;:&quot;Knibb&quot;,&quot;given&quot;:&quot;J&quot;,&quot;parse-names&quot;:false,&quot;dropping-particle&quot;:&quot;&quot;,&quot;non-dropping-particle&quot;:&quot;&quot;},{&quot;family&quot;:&quot;Kock&quot;,&quot;given&quot;:&quot;N&quot;,&quot;parse-names&quot;:false,&quot;dropping-particle&quot;:&quot;&quot;,&quot;non-dropping-particle&quot;:&quot;&quot;},{&quot;family&quot;:&quot;Koutroumanidis&quot;,&quot;given&quot;:&quot;M&quot;,&quot;parse-names&quot;:false,&quot;dropping-particle&quot;:&quot;&quot;,&quot;non-dropping-particle&quot;:&quot;&quot;},{&quot;family&quot;:&quot;Kovac&quot;,&quot;given&quot;:&quot;S&quot;,&quot;parse-names&quot;:false,&quot;dropping-particle&quot;:&quot;&quot;,&quot;non-dropping-particle&quot;:&quot;&quot;},{&quot;family&quot;:&quot;Kumar&quot;,&quot;given&quot;:&quot;G&quot;,&quot;parse-names&quot;:false,&quot;dropping-particle&quot;:&quot;&quot;,&quot;non-dropping-particle&quot;:&quot;&quot;},{&quot;family&quot;:&quot;Laker&quot;,&quot;given&quot;:&quot;A&quot;,&quot;parse-names&quot;:false,&quot;dropping-particle&quot;:&quot;&quot;,&quot;non-dropping-particle&quot;:&quot;&quot;},{&quot;family&quot;:&quot;Leschziner&quot;,&quot;given&quot;:&quot;G&quot;,&quot;parse-names&quot;:false,&quot;dropping-particle&quot;:&quot;&quot;,&quot;non-dropping-particle&quot;:&quot;&quot;},{&quot;family&quot;:&quot;Liu&quot;,&quot;given&quot;:&quot;R&quot;,&quot;parse-names&quot;:false,&quot;dropping-particle&quot;:&quot;&quot;,&quot;non-dropping-particle&quot;:&quot;&quot;},{&quot;family&quot;:&quot;Lozsadi&quot;,&quot;given&quot;:&quot;D&quot;,&quot;parse-names&quot;:false,&quot;dropping-particle&quot;:&quot;&quot;,&quot;non-dropping-particle&quot;:&quot;&quot;},{&quot;family&quot;:&quot;Ludwig&quot;,&quot;given&quot;:&quot;L&quot;,&quot;parse-names&quot;:false,&quot;dropping-particle&quot;:&quot;&quot;,&quot;non-dropping-particle&quot;:&quot;&quot;},{&quot;family&quot;:&quot;Macdonald&quot;,&quot;given&quot;:&quot;B&quot;,&quot;parse-names&quot;:false,&quot;dropping-particle&quot;:&quot;&quot;,&quot;non-dropping-particle&quot;:&quot;&quot;},{&quot;family&quot;:&quot;Macgregor&quot;,&quot;given&quot;:&quot;L&quot;,&quot;parse-names&quot;:false,&quot;dropping-particle&quot;:&quot;&quot;,&quot;non-dropping-particle&quot;:&quot;&quot;},{&quot;family&quot;:&quot;Maguire&quot;,&quot;given&quot;:&quot;M&quot;,&quot;parse-names&quot;:false,&quot;dropping-particle&quot;:&quot;&quot;,&quot;non-dropping-particle&quot;:&quot;&quot;},{&quot;family&quot;:&quot;Manford&quot;,&quot;given&quot;:&quot;M&quot;,&quot;parse-names&quot;:false,&quot;dropping-particle&quot;:&quot;&quot;,&quot;non-dropping-particle&quot;:&quot;&quot;},{&quot;family&quot;:&quot;Martino&quot;,&quot;given&quot;:&quot;D&quot;,&quot;parse-names&quot;:false,&quot;dropping-particle&quot;:&quot;&quot;,&quot;non-dropping-particle&quot;:&quot;&quot;},{&quot;family&quot;:&quot;Mccorry&quot;,&quot;given&quot;:&quot;D&quot;,&quot;parse-names&quot;:false,&quot;dropping-particle&quot;:&quot;&quot;,&quot;non-dropping-particle&quot;:&quot;&quot;},{&quot;family&quot;:&quot;Mcgorlick&quot;,&quot;given&quot;:&quot;A&quot;,&quot;parse-names&quot;:false,&quot;dropping-particle&quot;:&quot;&quot;,&quot;non-dropping-particle&quot;:&quot;&quot;},{&quot;family&quot;:&quot;Mckeown&quot;,&quot;given&quot;:&quot;K&quot;,&quot;parse-names&quot;:false,&quot;dropping-particle&quot;:&quot;&quot;,&quot;non-dropping-particle&quot;:&quot;&quot;},{&quot;family&quot;:&quot;Mckevitt&quot;,&quot;given&quot;:&quot;F&quot;,&quot;parse-names&quot;:false,&quot;dropping-particle&quot;:&quot;&quot;,&quot;non-dropping-particle&quot;:&quot;&quot;},{&quot;family&quot;:&quot;Meadow&quot;,&quot;given&quot;:&quot;A&quot;,&quot;parse-names&quot;:false,&quot;dropping-particle&quot;:&quot;&quot;,&quot;non-dropping-particle&quot;:&quot;&quot;},{&quot;family&quot;:&quot;Memon&quot;,&quot;given&quot;:&quot;S&quot;,&quot;parse-names&quot;:false,&quot;dropping-particle&quot;:&quot;&quot;,&quot;non-dropping-particle&quot;:&quot;&quot;},{&quot;family&quot;:&quot;Miorelli&quot;,&quot;given&quot;:&quot;A&quot;,&quot;parse-names&quot;:false,&quot;dropping-particle&quot;:&quot;&quot;,&quot;non-dropping-particle&quot;:&quot;&quot;},{&quot;family&quot;:&quot;Mitchell&quot;,&quot;given&quot;:&quot;C&quot;,&quot;parse-names&quot;:false,&quot;dropping-particle&quot;:&quot;&quot;,&quot;non-dropping-particle&quot;:&quot;&quot;},{&quot;family&quot;:&quot;Mitchell&quot;,&quot;given&quot;:&quot;T N&quot;,&quot;parse-names&quot;:false,&quot;dropping-particle&quot;:&quot;&quot;,&quot;non-dropping-particle&quot;:&quot;&quot;},{&quot;family&quot;:&quot;Moffitt&quot;,&quot;given&quot;:&quot;V&quot;,&quot;parse-names&quot;:false,&quot;dropping-particle&quot;:&quot;&quot;,&quot;non-dropping-particle&quot;:&quot;&quot;},{&quot;family&quot;:&quot;Moran&quot;,&quot;given&quot;:&quot;N&quot;,&quot;parse-names&quot;:false,&quot;dropping-particle&quot;:&quot;&quot;,&quot;non-dropping-particle&quot;:&quot;&quot;},{&quot;family&quot;:&quot;Morgan-Boon&quot;,&quot;given&quot;:&quot;A&quot;,&quot;parse-names&quot;:false,&quot;dropping-particle&quot;:&quot;&quot;,&quot;non-dropping-particle&quot;:&quot;&quot;},{&quot;family&quot;:&quot;Moriarty&quot;,&quot;given&quot;:&quot;J&quot;,&quot;parse-names&quot;:false,&quot;dropping-particle&quot;:&quot;&quot;,&quot;non-dropping-particle&quot;:&quot;&quot;},{&quot;family&quot;:&quot;Mula&quot;,&quot;given&quot;:&quot;M&quot;,&quot;parse-names&quot;:false,&quot;dropping-particle&quot;:&quot;&quot;,&quot;non-dropping-particle&quot;:&quot;&quot;},{&quot;family&quot;:&quot;Mullatti&quot;,&quot;given&quot;:&quot;N&quot;,&quot;parse-names&quot;:false,&quot;dropping-particle&quot;:&quot;&quot;,&quot;non-dropping-particle&quot;:&quot;&quot;},{&quot;family&quot;:&quot;Nashef&quot;,&quot;given&quot;:&quot;L&quot;,&quot;parse-names&quot;:false,&quot;dropping-particle&quot;:&quot;&quot;,&quot;non-dropping-particle&quot;:&quot;&quot;},{&quot;family&quot;:&quot;O'Hara&quot;,&quot;given&quot;:&quot;D&quot;,&quot;parse-names&quot;:false,&quot;dropping-particle&quot;:&quot;&quot;,&quot;non-dropping-particle&quot;:&quot;&quot;},{&quot;family&quot;:&quot;Oakley&quot;,&quot;given&quot;:&quot;L&quot;,&quot;parse-names&quot;:false,&quot;dropping-particle&quot;:&quot;&quot;,&quot;non-dropping-particle&quot;:&quot;&quot;},{&quot;family&quot;:&quot;O'Sullivan&quot;,&quot;given&quot;:&quot;S&quot;,&quot;parse-names&quot;:false,&quot;dropping-particle&quot;:&quot;&quot;,&quot;non-dropping-particle&quot;:&quot;&quot;},{&quot;family&quot;:&quot;Page&quot;,&quot;given&quot;:&quot;L&quot;,&quot;parse-names&quot;:false,&quot;dropping-particle&quot;:&quot;&quot;,&quot;non-dropping-particle&quot;:&quot;&quot;},{&quot;family&quot;:&quot;Patel&quot;,&quot;given&quot;:&quot;D&quot;,&quot;parse-names&quot;:false,&quot;dropping-particle&quot;:&quot;&quot;,&quot;non-dropping-particle&quot;:&quot;&quot;},{&quot;family&quot;:&quot;Petrochilos&quot;,&quot;given&quot;:&quot;P&quot;,&quot;parse-names&quot;:false,&quot;dropping-particle&quot;:&quot;&quot;,&quot;non-dropping-particle&quot;:&quot;&quot;},{&quot;family&quot;:&quot;Phoenix&quot;,&quot;given&quot;:&quot;D&quot;,&quot;parse-names&quot;:false,&quot;dropping-particle&quot;:&quot;&quot;,&quot;non-dropping-particle&quot;:&quot;&quot;},{&quot;family&quot;:&quot;Pickerell&quot;,&quot;given&quot;:&quot;W&quot;,&quot;parse-names&quot;:false,&quot;dropping-particle&quot;:&quot;&quot;,&quot;non-dropping-particle&quot;:&quot;&quot;},{&quot;family&quot;:&quot;Pieters&quot;,&quot;given&quot;:&quot;T&quot;,&quot;parse-names&quot;:false,&quot;dropping-particle&quot;:&quot;&quot;,&quot;non-dropping-particle&quot;:&quot;&quot;},{&quot;family&quot;:&quot;Poole&quot;,&quot;given&quot;:&quot;N&quot;,&quot;parse-names&quot;:false,&quot;dropping-particle&quot;:&quot;&quot;,&quot;non-dropping-particle&quot;:&quot;&quot;},{&quot;family&quot;:&quot;Price&quot;,&quot;given&quot;:&quot;G&quot;,&quot;parse-names&quot;:false,&quot;dropping-particle&quot;:&quot;&quot;,&quot;non-dropping-particle&quot;:&quot;&quot;},{&quot;family&quot;:&quot;Protheroe&quot;,&quot;given&quot;:&quot;D&quot;,&quot;parse-names&quot;:false,&quot;dropping-particle&quot;:&quot;&quot;,&quot;non-dropping-particle&quot;:&quot;&quot;},{&quot;family&quot;:&quot;Pullicino&quot;,&quot;given&quot;:&quot;P&quot;,&quot;parse-names&quot;:false,&quot;dropping-particle&quot;:&quot;&quot;,&quot;non-dropping-particle&quot;:&quot;&quot;},{&quot;family&quot;:&quot;Purnell&quot;,&quot;given&quot;:&quot;J&quot;,&quot;parse-names&quot;:false,&quot;dropping-particle&quot;:&quot;&quot;,&quot;non-dropping-particle&quot;:&quot;&quot;},{&quot;family&quot;:&quot;Quirk&quot;,&quot;given&quot;:&quot;J&quot;,&quot;parse-names&quot;:false,&quot;dropping-particle&quot;:&quot;&quot;,&quot;non-dropping-particle&quot;:&quot;&quot;},{&quot;family&quot;:&quot;Rajakulendran&quot;,&quot;given&quot;:&quot;S&quot;,&quot;parse-names&quot;:false,&quot;dropping-particle&quot;:&quot;&quot;,&quot;non-dropping-particle&quot;:&quot;&quot;},{&quot;family&quot;:&quot;Read&quot;,&quot;given&quot;:&quot;J&quot;,&quot;parse-names&quot;:false,&quot;dropping-particle&quot;:&quot;&quot;,&quot;non-dropping-particle&quot;:&quot;&quot;},{&quot;family&quot;:&quot;Ridha&quot;,&quot;given&quot;:&quot;B&quot;,&quot;parse-names&quot;:false,&quot;dropping-particle&quot;:&quot;&quot;,&quot;non-dropping-particle&quot;:&quot;&quot;},{&quot;family&quot;:&quot;Rockliffe-Fidler&quot;,&quot;given&quot;:&quot;C&quot;,&quot;parse-names&quot;:false,&quot;dropping-particle&quot;:&quot;&quot;,&quot;non-dropping-particle&quot;:&quot;&quot;},{&quot;family&quot;:&quot;Rowbottom&quot;,&quot;given&quot;:&quot;C&quot;,&quot;parse-names&quot;:false,&quot;dropping-particle&quot;:&quot;&quot;,&quot;non-dropping-particle&quot;:&quot;&quot;},{&quot;family&quot;:&quot;Rugg-Gunn&quot;,&quot;given&quot;:&quot;F&quot;,&quot;parse-names&quot;:false,&quot;dropping-particle&quot;:&quot;&quot;,&quot;non-dropping-particle&quot;:&quot;&quot;},{&quot;family&quot;:&quot;Sachar&quot;,&quot;given&quot;:&quot;A&quot;,&quot;parse-names&quot;:false,&quot;dropping-particle&quot;:&quot;&quot;,&quot;non-dropping-particle&quot;:&quot;&quot;},{&quot;family&quot;:&quot;Saha&quot;,&quot;given&quot;:&quot;R&quot;,&quot;parse-names&quot;:false,&quot;dropping-particle&quot;:&quot;&quot;,&quot;non-dropping-particle&quot;:&quot;&quot;},{&quot;family&quot;:&quot;Saldanha&quot;,&quot;given&quot;:&quot;G&quot;,&quot;parse-names&quot;:false,&quot;dropping-particle&quot;:&quot;&quot;,&quot;non-dropping-particle&quot;:&quot;&quot;},{&quot;family&quot;:&quot;Samarasekera&quot;,&quot;given&quot;:&quot;S&quot;,&quot;parse-names&quot;:false,&quot;dropping-particle&quot;:&quot;&quot;,&quot;non-dropping-particle&quot;:&quot;&quot;},{&quot;family&quot;:&quot;Sanchez Sanchez&quot;,&quot;given&quot;:&quot;V&quot;,&quot;parse-names&quot;:false,&quot;dropping-particle&quot;:&quot;&quot;,&quot;non-dropping-particle&quot;:&quot;&quot;},{&quot;family&quot;:&quot;Santhouse&quot;,&quot;given&quot;:&quot;A&quot;,&quot;parse-names&quot;:false,&quot;dropping-particle&quot;:&quot;&quot;,&quot;non-dropping-particle&quot;:&quot;&quot;},{&quot;family&quot;:&quot;Scholes&quot;,&quot;given&quot;:&quot;K&quot;,&quot;parse-names&quot;:false,&quot;dropping-particle&quot;:&quot;&quot;,&quot;non-dropping-particle&quot;:&quot;&quot;},{&quot;family&quot;:&quot;Shetty&quot;,&quot;given&quot;:&quot;A&quot;,&quot;parse-names&quot;:false,&quot;dropping-particle&quot;:&quot;&quot;,&quot;non-dropping-particle&quot;:&quot;&quot;},{&quot;family&quot;:&quot;Shotbolt&quot;,&quot;given&quot;:&quot;P&quot;,&quot;parse-names&quot;:false,&quot;dropping-particle&quot;:&quot;&quot;,&quot;non-dropping-particle&quot;:&quot;&quot;},{&quot;family&quot;:&quot;Simkiss&quot;,&quot;given&quot;:&quot;R&quot;,&quot;parse-names&quot;:false,&quot;dropping-particle&quot;:&quot;&quot;,&quot;non-dropping-particle&quot;:&quot;&quot;},{&quot;family&quot;:&quot;Singh&quot;,&quot;given&quot;:&quot;J&quot;,&quot;parse-names&quot;:false,&quot;dropping-particle&quot;:&quot;&quot;,&quot;non-dropping-particle&quot;:&quot;&quot;},{&quot;family&quot;:&quot;Sivagnanasundaram&quot;,&quot;given&quot;:&quot;J&quot;,&quot;parse-names&quot;:false,&quot;dropping-particle&quot;:&quot;&quot;,&quot;non-dropping-particle&quot;:&quot;&quot;},{&quot;family&quot;:&quot;Slaght&quot;,&quot;given&quot;:&quot;S&quot;,&quot;parse-names&quot;:false,&quot;dropping-particle&quot;:&quot;&quot;,&quot;non-dropping-particle&quot;:&quot;&quot;},{&quot;family&quot;:&quot;Smith&quot;,&quot;given&quot;:&quot;P&quot;,&quot;parse-names&quot;:false,&quot;dropping-particle&quot;:&quot;&quot;,&quot;non-dropping-particle&quot;:&quot;&quot;},{&quot;family&quot;:&quot;Sokhi&quot;,&quot;given&quot;:&quot;D&quot;,&quot;parse-names&quot;:false,&quot;dropping-particle&quot;:&quot;&quot;,&quot;non-dropping-particle&quot;:&quot;&quot;},{&quot;family&quot;:&quot;Stanton&quot;,&quot;given&quot;:&quot;B&quot;,&quot;parse-names&quot;:false,&quot;dropping-particle&quot;:&quot;&quot;,&quot;non-dropping-particle&quot;:&quot;&quot;},{&quot;family&quot;:&quot;Suvorova&quot;,&quot;given&quot;:&quot;L&quot;,&quot;parse-names&quot;:false,&quot;dropping-particle&quot;:&quot;&quot;,&quot;non-dropping-particle&quot;:&quot;&quot;},{&quot;family&quot;:&quot;Tahir&quot;,&quot;given&quot;:&quot;T&quot;,&quot;parse-names&quot;:false,&quot;dropping-particle&quot;:&quot;&quot;,&quot;non-dropping-particle&quot;:&quot;&quot;},{&quot;family&quot;:&quot;Taylor&quot;,&quot;given&quot;:&quot;R&quot;,&quot;parse-names&quot;:false,&quot;dropping-particle&quot;:&quot;&quot;,&quot;non-dropping-particle&quot;:&quot;&quot;},{&quot;family&quot;:&quot;Teare&quot;,&quot;given&quot;:&quot;L&quot;,&quot;parse-names&quot;:false,&quot;dropping-particle&quot;:&quot;&quot;,&quot;non-dropping-particle&quot;:&quot;&quot;},{&quot;family&quot;:&quot;Tedesco&quot;,&quot;given&quot;:&quot;L&quot;,&quot;parse-names&quot;:false,&quot;dropping-particle&quot;:&quot;&quot;,&quot;non-dropping-particle&quot;:&quot;&quot;},{&quot;family&quot;:&quot;Teo&quot;,&quot;given&quot;:&quot;J&quot;,&quot;parse-names&quot;:false,&quot;dropping-particle&quot;:&quot;&quot;,&quot;non-dropping-particle&quot;:&quot;&quot;},{&quot;family&quot;:&quot;Thorpe&quot;,&quot;given&quot;:&quot;J&quot;,&quot;parse-names&quot;:false,&quot;dropping-particle&quot;:&quot;&quot;,&quot;non-dropping-particle&quot;:&quot;&quot;},{&quot;family&quot;:&quot;Toplis&quot;,&quot;given&quot;:&quot;L&quot;,&quot;parse-names&quot;:false,&quot;dropping-particle&quot;:&quot;&quot;,&quot;non-dropping-particle&quot;:&quot;&quot;},{&quot;family&quot;:&quot;Tsakopoulou&quot;,&quot;given&quot;:&quot;M&quot;,&quot;parse-names&quot;:false,&quot;dropping-particle&quot;:&quot;&quot;,&quot;non-dropping-particle&quot;:&quot;&quot;},{&quot;family&quot;:&quot;Tylova&quot;,&quot;given&quot;:&quot;I&quot;,&quot;parse-names&quot;:false,&quot;dropping-particle&quot;:&quot;&quot;,&quot;non-dropping-particle&quot;:&quot;&quot;},{&quot;family&quot;:&quot;Vick&quot;,&quot;given&quot;:&quot;T&quot;,&quot;parse-names&quot;:false,&quot;dropping-particle&quot;:&quot;&quot;,&quot;non-dropping-particle&quot;:&quot;&quot;},{&quot;family&quot;:&quot;Vinnicombe&quot;,&quot;given&quot;:&quot;J&quot;,&quot;parse-names&quot;:false,&quot;dropping-particle&quot;:&quot;&quot;,&quot;non-dropping-particle&quot;:&quot;&quot;},{&quot;family&quot;:&quot;Walker&quot;,&quot;given&quot;:&quot;M&quot;,&quot;parse-names&quot;:false,&quot;dropping-particle&quot;:&quot;&quot;,&quot;non-dropping-particle&quot;:&quot;&quot;},{&quot;family&quot;:&quot;Walsh&quot;,&quot;given&quot;:&quot;C&quot;,&quot;parse-names&quot;:false,&quot;dropping-particle&quot;:&quot;&quot;,&quot;non-dropping-particle&quot;:&quot;&quot;},{&quot;family&quot;:&quot;Watson&quot;,&quot;given&quot;:&quot;G&quot;,&quot;parse-names&quot;:false,&quot;dropping-particle&quot;:&quot;&quot;,&quot;non-dropping-particle&quot;:&quot;&quot;},{&quot;family&quot;:&quot;Webb&quot;,&quot;given&quot;:&quot;T&quot;,&quot;parse-names&quot;:false,&quot;dropping-particle&quot;:&quot;&quot;,&quot;non-dropping-particle&quot;:&quot;&quot;},{&quot;family&quot;:&quot;Wehner&quot;,&quot;given&quot;:&quot;T&quot;,&quot;parse-names&quot;:false,&quot;dropping-particle&quot;:&quot;&quot;,&quot;non-dropping-particle&quot;:&quot;&quot;},{&quot;family&quot;:&quot;Welch&quot;,&quot;given&quot;:&quot;K&quot;,&quot;parse-names&quot;:false,&quot;dropping-particle&quot;:&quot;&quot;,&quot;non-dropping-particle&quot;:&quot;&quot;},{&quot;family&quot;:&quot;Weyrich&quot;,&quot;given&quot;:&quot;K&quot;,&quot;parse-names&quot;:false,&quot;dropping-particle&quot;:&quot;&quot;,&quot;non-dropping-particle&quot;:&quot;&quot;},{&quot;family&quot;:&quot;Whittaker&quot;,&quot;given&quot;:&quot;M&quot;,&quot;parse-names&quot;:false,&quot;dropping-particle&quot;:&quot;&quot;,&quot;non-dropping-particle&quot;:&quot;&quot;},{&quot;family&quot;:&quot;Wickremaratchi&quot;,&quot;given&quot;:&quot;M&quot;,&quot;parse-names&quot;:false,&quot;dropping-particle&quot;:&quot;&quot;,&quot;non-dropping-particle&quot;:&quot;&quot;},{&quot;family&quot;:&quot;Wicks&quot;,&quot;given&quot;:&quot;L&quot;,&quot;parse-names&quot;:false,&quot;dropping-particle&quot;:&quot;&quot;,&quot;non-dropping-particle&quot;:&quot;&quot;},{&quot;family&quot;:&quot;Yogarajah&quot;,&quot;given&quot;:&quot;M&quot;,&quot;parse-names&quot;:false,&quot;dropping-particle&quot;:&quot;&quot;,&quot;non-dropping-particle&quot;:&quot;&quot;}],&quot;container-title&quot;:&quot;The Lancet Psychiatry&quot;,&quot;container-title-short&quot;:&quot;Lancet Psychiatry&quot;,&quot;DOI&quot;:&quot;10.1016/s2215-0366(20)30128-0&quot;,&quot;ISSN&quot;:&quot;2215-0366&quot;,&quot;issued&quot;:{&quot;date-parts&quot;:[[2020]]},&quot;page&quot;:&quot;491-505&quot;,&quot;publisher&quot;:&quot;Elsevier BV&quot;,&quot;issue&quot;:&quot;6&quot;,&quot;volume&quot;:&quot;7&quot;},&quot;isTemporary&quot;:false}],&quot;citationTag&quot;:&quot;MENDELEY_CITATION_v3_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&quot;},{&quot;citationID&quot;:&quot;MENDELEY_CITATION_58e8df3a-edd6-4046-847a-aa56599af6ba&quot;,&quot;properties&quot;:{&quot;noteIndex&quot;:0},&quot;isEdited&quot;:false,&quot;manualOverride&quot;:{&quot;isManuallyOverridden&quot;:false,&quot;citeprocText&quot;:&quot;(EuroQol, 1990; van Reenen M &amp;#38; Janssen, 2015; Whynes, 2008)&quot;,&quot;manualOverrideText&quot;:&quot;&quot;},&quot;citationItems&quot;:[{&quot;id&quot;:&quot;d7faf792-4059-3ebb-a458-ac88524031d1&quot;,&quot;itemData&quot;:{&quot;type&quot;:&quot;article-journal&quot;,&quot;id&quot;:&quot;d7faf792-4059-3ebb-a458-ac88524031d1&quot;,&quot;title&quot;:&quot;EuroQol--a new facility for the measurement of health-related quality of life&quot;,&quot;author&quot;:[{&quot;family&quot;:&quot;EuroQol&quot;,&quot;given&quot;:&quot;&quot;,&quot;parse-names&quot;:false,&quot;dropping-particle&quot;:&quot;&quot;,&quot;non-dropping-particle&quot;:&quot;&quot;}],&quot;container-title&quot;:&quot;Health Policy&quot;,&quot;container-title-short&quot;:&quot;Health Policy (New York)&quot;,&quot;DOI&quot;:&quot;10.1016/0168-8510(90)90421-9&quot;,&quot;ISSN&quot;:&quot;0168-8510 (Print)\r0168-8510&quot;,&quot;PMID&quot;:&quot;10109801&quot;,&quot;issued&quot;:{&quot;date-parts&quot;:[[1990]]},&quot;page&quot;:&quot;199-208&quot;,&quot;language&quot;:&quot;eng&quot;,&quot;abstract&quot;:&quot;In the course of developing a standardised, non-disease-specific instrument for describing and valuing health states (based on the items in Table 1), the EuroQol Group (whose members are listed in the Appendix) conducted postal surveys in England, The Netherlands and Sweden which indicate a striking similarity in the relative valuations attached to 14 different health states. The data were collected using a visual analogue scale similar to a thermometer. The EuroQol instrument is intended to complement other quality-of-life measures and to facilitate the collection of a common data set for reference purposes. Others interested in participating in the extension of this work are invited to contact the EuroQol Group.&quot;,&quot;edition&quot;:&quot;1990/11/05&quot;,&quot;issue&quot;:&quot;3&quot;,&quot;volume&quot;:&quot;16&quot;},&quot;isTemporary&quot;:false},{&quot;id&quot;:&quot;04851211-563c-31df-9578-dd405ea09aeb&quot;,&quot;itemData&quot;:{&quot;type&quot;:&quot;article&quot;,&quot;id&quot;:&quot;04851211-563c-31df-9578-dd405ea09aeb&quot;,&quot;title&quot;:&quot;EQ-5D-5L User Guide, Basic Information on how to use the EQ-5D-5L instrument.&quot;,&quot;author&quot;:[{&quot;family&quot;:&quot;Reenen M&quot;,&quot;given&quot;:&quot;&quot;,&quot;parse-names&quot;:false,&quot;dropping-particle&quot;:&quot;&quot;,&quot;non-dropping-particle&quot;:&quot;van&quot;},{&quot;family&quot;:&quot;Janssen&quot;,&quot;given&quot;:&quot;B&quot;,&quot;parse-names&quot;:false,&quot;dropping-particle&quot;:&quot;&quot;,&quot;non-dropping-particle&quot;:&quot;&quot;}],&quot;issued&quot;:{&quot;date-parts&quot;:[[2015]]},&quot;publisher&quot;:&quot;EuroQol Research Foundation&quot;,&quot;volume&quot;:&quot;2.1&quot;,&quot;container-title-short&quot;:&quot;&quot;},&quot;isTemporary&quot;:false},{&quot;id&quot;:&quot;9ce003c1-4587-3734-834d-17b03bd917c9&quot;,&quot;itemData&quot;:{&quot;type&quot;:&quot;article-journal&quot;,&quot;id&quot;:&quot;9ce003c1-4587-3734-834d-17b03bd917c9&quot;,&quot;title&quot;:&quot;Correspondence between EQ-5D health state classifications and EQ VAS scores&quot;,&quot;author&quot;:[{&quot;family&quot;:&quot;Whynes&quot;,&quot;given&quot;:&quot;D K&quot;,&quot;parse-names&quot;:false,&quot;dropping-particle&quot;:&quot;&quot;,&quot;non-dropping-particle&quot;:&quot;&quot;}],&quot;container-title&quot;:&quot;Health Qual Life Outcomes&quot;,&quot;DOI&quot;:&quot;10.1186/1477-7525-6-94&quot;,&quot;ISSN&quot;:&quot;1477-7525&quot;,&quot;PMID&quot;:&quot;18992139&quot;,&quot;issued&quot;:{&quot;date-parts&quot;:[[2008]]},&quot;page&quot;:&quot;94&quot;,&quot;language&quot;:&quot;eng&quot;,&quot;abstract&quot;:&quot;BACKGROUND: The EQ-5D health-related quality of life instrument comprises a health state classification followed by a health evaluation using a visual analogue scale (VAS). The EQ-5D has been employed frequently in economic evaluations, yet the relationship between the two parts of the instrument remains ill-understood. In this paper, we examine the correspondence between VAS scores and health state classifications for a large sample, and identify variables which contribute to determining the VAS scores independently of the health states as classified. METHODS: A UK trial of management of low-grade abnormalities detected on screening for cervical pre-cancer (TOMBOLA) provided EQ-5D data for over 3,000 women. Information on distress and multi-dimensional health locus of control had been collected using other instruments. A linear regression model was fitted, with VAS score as the dependent variable. Independent variables comprised EQ-5D health state classifications, distress, locus of control, and socio-demographic characteristics. Equivalent EQ-5D and distress data, collected at twelve months, were available for over 2,000 of the women, enabling us to predict changes in VAS score over time from changes in EQ-5D classification and distress. RESULTS: In addition to EQ-5D health state classification, VAS score was influenced by the subject's perceived locus of control, and by her age, educational attainment, ethnic origin and smoking behaviour. Although the EQ-5D classification includes a distress dimension, the independent measure of distress was an additional determinant of VAS score. Changes in VAS score over time were explained by changes in both EQ-5D severities and distress. Women allocated to the experimental management arm of the trial reported an increase in VAS score, independently of any changes in health state and distress. CONCLUSION: In this sample, EQ VAS scores were predictable from the EQ-5D health state classification, although there also existed other group variables which contributed systematically and independently towards determining such scores. These variables comprised psychological disposition, socio-demographic factors such as age and education, clinically-important distress, and the clinical intervention itself. TRIAL REGISTRATION: ISRCTN34841617.&quot;,&quot;edition&quot;:&quot;2008/11/11&quot;,&quot;volume&quot;:&quot;6&quot;,&quot;container-title-short&quot;:&quot;&quot;},&quot;isTemporary&quot;:false}],&quot;citationTag&quot;:&quot;MENDELEY_CITATION_v3_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&quot;},{&quot;citationID&quot;:&quot;MENDELEY_CITATION_c409f442-5e21-473a-b43f-b06c82f8f66c&quot;,&quot;properties&quot;:{&quot;noteIndex&quot;:0},&quot;isEdited&quot;:false,&quot;manualOverride&quot;:{&quot;isManuallyOverridden&quot;:true,&quot;citeprocText&quot;:&quot;(Helgeson &amp;#38; Fritz, 1998)&quot;,&quot;manualOverrideText&quot;:&quot;(1998)&quot;},&quot;citationItems&quot;:[{&quot;id&quot;:&quot;9aa8d068-a68d-34f5-ac32-5b7e0b02391b&quot;,&quot;itemData&quot;:{&quot;type&quot;:&quot;article-journal&quot;,&quot;id&quot;:&quot;9aa8d068-a68d-34f5-ac32-5b7e0b02391b&quot;,&quot;title&quot;:&quot;A theory of unmitigated communion&quot;,&quot;author&quot;:[{&quot;family&quot;:&quot;Helgeson&quot;,&quot;given&quot;:&quot;Vicki S&quot;,&quot;parse-names&quot;:false,&quot;dropping-particle&quot;:&quot;&quot;,&quot;non-dropping-particle&quot;:&quot;&quot;},{&quot;family&quot;:&quot;Fritz&quot;,&quot;given&quot;:&quot;Heidi L&quot;,&quot;parse-names&quot;:false,&quot;dropping-particle&quot;:&quot;&quot;,&quot;non-dropping-particle&quot;:&quot;&quot;}],&quot;container-title&quot;:&quot;Personality and social psychology review&quot;,&quot;DOI&quot;:&quot;10.1207/s15327957pspr0203_2&quot;,&quot;ISSN&quot;:&quot;1088-8683&quot;,&quot;issued&quot;:{&quot;date-parts&quot;:[[1998]]},&quot;publisher-place&quot;:&quot;United States&quot;,&quot;page&quot;:&quot;173-183&quot;,&quot;abstract&quot;:&quot;Research has established that women suffer more often than men from depression. Sex role socialization has been offered as one explanation for this sex difference, but traditional measures of female gender-related traits are not related to depressive symptoms. We argue that thus far research has failed to distinguish the traditional measure of female gender-related traits, communion, from another set of gender-related traits, unmitigated communion. Unmitigated communion is a focus on and involvement with others to the exclusion of the self. Unmitigated communion, but not communion, is related to psychological distress, including depressive symptoms, and accounts for sex differences in distress. We examine the relation of unmitigated communion to communion as well as other personality constructs and then describe the cognitive and behavioral features of unmitigated communion. We note the implications of unmitigated communion for physical and psychological well-being and speculate on possible origins.&quot;,&quot;publisher&quot;:&quot;United States&quot;,&quot;issue&quot;:&quot;3&quot;,&quot;volume&quot;:&quot;2&quot;,&quot;container-title-short&quot;:&quot;&quot;},&quot;isTemporary&quot;:false}],&quot;citationTag&quot;:&quot;MENDELEY_CITATION_v3_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&quot;},{&quot;citationID&quot;:&quot;MENDELEY_CITATION_faf54767-9918-4b74-b3c7-59f739fdd8e0&quot;,&quot;properties&quot;:{&quot;noteIndex&quot;:0},&quot;isEdited&quot;:false,&quot;manualOverride&quot;:{&quot;isManuallyOverridden&quot;:false,&quot;citeprocText&quot;:&quot;(Michaelis et al., 2019)&quot;,&quot;manualOverrideText&quot;:&quot;&quot;},&quot;citationItems&quot;:[{&quot;id&quot;:&quot;ced2fe03-042f-3d88-aca0-3dec434159d1&quot;,&quot;itemData&quot;:{&quot;type&quot;:&quot;article-journal&quot;,&quot;id&quot;:&quot;ced2fe03-042f-3d88-aca0-3dec434159d1&quot;,&quot;title&quot;:&quot;Development of a patient-reported outcome measure for psychotherapeutic interventions in people with seizures: A mixed methods study&quot;,&quot;author&quot;:[{&quot;family&quot;:&quot;Michaelis&quot;,&quot;given&quot;:&quot;R&quot;,&quot;parse-names&quot;:false,&quot;dropping-particle&quot;:&quot;&quot;,&quot;non-dropping-particle&quot;:&quot;&quot;},{&quot;family&quot;:&quot;Meyer&quot;,&quot;given&quot;:&quot;S&quot;,&quot;parse-names&quot;:false,&quot;dropping-particle&quot;:&quot;&quot;,&quot;non-dropping-particle&quot;:&quot;&quot;},{&quot;family&quot;:&quot;Reuber&quot;,&quot;given&quot;:&quot;M&quot;,&quot;parse-names&quot;:false,&quot;dropping-particle&quot;:&quot;&quot;,&quot;non-dropping-particle&quot;:&quot;&quot;},{&quot;family&quot;:&quot;Schöne&quot;,&quot;given&quot;:&quot;C&quot;,&quot;parse-names&quot;:false,&quot;dropping-particle&quot;:&quot;&quot;,&quot;non-dropping-particle&quot;:&quot;&quot;}],&quot;container-title&quot;:&quot;Epilepsy Behav&quot;,&quot;DOI&quot;:&quot;10.1016/j.yebeh.2019.106464&quot;,&quot;ISSN&quot;:&quot;1525-5050&quot;,&quot;PMID&quot;:&quot;31421518&quot;,&quot;issued&quot;:{&quot;date-parts&quot;:[[2019]]},&quot;page&quot;:&quot;106464&quot;,&quot;language&quot;:&quot;eng&quot;,&quot;abstract&quot;:&quot;BACKGROUND: Generic or even disease-specific quality of life measures are unlikely to be equally responsive to different epilepsy treatment modalities, such as pharmacotherapy, surgery, or psychotherapy. The purpose of the present study was to summarize the development of a patient-reported outcome measure (PROM) designed to be particularly sensitive to change mediated by psychotherapeutic interventions in people with seizures. METHODS: The development of this instrument involved seven steps: (1) Development of a candidate item set based on the outcome of previous qualitative research, (2) initial quantitative-descriptive study yielding an assessment of content validity by clinical experts, (3) qualitative-descriptive posttherapy cognitive debriefing interviews with patients with epileptic and/or nonepileptic seizures (NES), (4) English translation, (5) elicitation of qualitative feedback from international experts, (6) assessment of internal consistency and correlation with similar previously validated generic and epilepsy-specific measures in a pilot study, and (7) final expert content validity rating. RESULTS: (1) The candidate item set comprised 29 stem items; five of which were followed by a follow-up (FU) item that refers to the statement of the stem item. (2) Eight clinical experts assessed content validity. Informed by rating and experts' qualitative comments, 15 items remained unchanged, eleven underwent substantial revisions, three were excluded, and six added. (3) Cognitive debriefing interviews were conducted with 14 patients with epilepsy and/or NES. Based on the interviewees' feedback, 29 of 32 items remained unchanged, two were excluded, one reworded, and four added. (4) The forwards-backwards English translation prompted substantial revision of two items because the verbatim back translation of the corresponding English items was conceptually more convincing than the original German wording. (5) The international experts identified problems with item comprehensibility/clarity of four stem and three FU items that were subsequently reworded. Ten items were added to incorporate their qualitative feedback resulting in a total of 44 items. (6) Thirty-one patients with epilepsy participated in the pilot study. The overall internal consistency of the self-Efficacy, Assertiveness, Social support, self-awareness, and hElpful thinking in people with seizures (EASE) was very good (α = 0.92). Analysis at item-level revealed problems with inverted and self-evident items. Based on this analysis, three items were eliminated and two items were revised (one FU item was turned into a stem item) resulting in a total of 42 items. (7) The second content validity rating showed final item-content validity indices (I-CVIs) between 0.38 and 1 and an excellent mean CVI of 0.92 at scale level (S-CVI/ave). Fourteen stem items were substantially revised by incorporating the experts' qualitative feedback, three items with low I-CVIs were excluded, and one item was added. The final questionnaire consisted of 40 stem items; eight of which include at least one FU item. CONCLUSION: Based on these results, the EASE is valid in terms of content, internally consistent, clear, and acceptable to patients with seizures. The measure has now been developed to the stage at which the validity and reliability as well as the psychometric properties and factorial structure of the new instrument can be assessed in larger patient groups in a prospective clinical study.&quot;,&quot;edition&quot;:&quot;2019/08/20&quot;,&quot;volume&quot;:&quot;99&quot;,&quot;container-title-short&quot;:&quot;&quot;},&quot;isTemporary&quot;:false}],&quot;citationTag&quot;:&quot;MENDELEY_CITATION_v3_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&quot;},{&quot;citationID&quot;:&quot;MENDELEY_CITATION_04c29293-03e0-44ac-848a-58f65d55f1c5&quot;,&quot;properties&quot;:{&quot;noteIndex&quot;:0},&quot;isEdited&quot;:false,&quot;manualOverride&quot;:{&quot;isManuallyOverridden&quot;:false,&quot;citeprocText&quot;:&quot;(RStudio Team, 2019)&quot;,&quot;manualOverrideText&quot;:&quot;&quot;},&quot;citationItems&quot;:[{&quot;id&quot;:&quot;06b70c30-cec6-3589-a774-d8dbcaca5262&quot;,&quot;itemData&quot;:{&quot;type&quot;:&quot;article&quot;,&quot;id&quot;:&quot;06b70c30-cec6-3589-a774-d8dbcaca5262&quot;,&quot;title&quot;:&quot;RStudio: Integrated Development for R&quot;,&quot;author&quot;:[{&quot;family&quot;:&quot;RStudio Team&quot;,&quot;given&quot;:&quot;&quot;,&quot;parse-names&quot;:false,&quot;dropping-particle&quot;:&quot;&quot;,&quot;non-dropping-particle&quot;:&quot;&quot;}],&quot;number&quot;:&quot;3.6&quot;,&quot;accessed&quot;:{&quot;date-parts&quot;:[[2023,5,2]]},&quot;URL&quot;:&quot;http://www.rstudio.com/&quot;,&quot;issued&quot;:{&quot;date-parts&quot;:[[2019]]},&quot;publisher-place&quot;:&quot;Boston, MA&quot;,&quot;publisher&quot;:&quot;RStudio, Inc.&quot;,&quot;container-title-short&quot;:&quot;&quot;},&quot;isTemporary&quot;:false}],&quot;citationTag&quot;:&quot;MENDELEY_CITATION_v3_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&quot;},{&quot;citationID&quot;:&quot;MENDELEY_CITATION_1730777e-2356-415b-9968-d512cc137723&quot;,&quot;properties&quot;:{&quot;noteIndex&quot;:0},&quot;isEdited&quot;:false,&quot;manualOverride&quot;:{&quot;isManuallyOverridden&quot;:false,&quot;citeprocText&quot;:&quot;(J. M. Linacre, 2022)&quot;,&quot;manualOverrideText&quot;:&quot;&quot;},&quot;citationItems&quot;:[{&quot;id&quot;:&quot;b0376302-4699-3b80-8000-94b2153a1201&quot;,&quot;itemData&quot;:{&quot;type&quot;:&quot;article&quot;,&quot;id&quot;:&quot;b0376302-4699-3b80-8000-94b2153a1201&quot;,&quot;title&quot;:&quot;Winsteps® Rasch measurement computer program&quot;,&quot;author&quot;:[{&quot;family&quot;:&quot;Linacre&quot;,&quot;given&quot;:&quot;J. M.&quot;,&quot;parse-names&quot;:false,&quot;dropping-particle&quot;:&quot;&quot;,&quot;non-dropping-particle&quot;:&quot;&quot;}],&quot;number&quot;:&quot;(Version 5.2.3)&quot;,&quot;issued&quot;:{&quot;date-parts&quot;:[[2022]]},&quot;publisher-place&quot;:&quot;Portland, Oregon&quot;,&quot;publisher&quot;:&quot;Winsteps.com&quot;,&quot;container-title-short&quot;:&quot;&quot;},&quot;isTemporary&quot;:false}],&quot;citationTag&quot;:&quot;MENDELEY_CITATION_v3_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&quot;},{&quot;citationID&quot;:&quot;MENDELEY_CITATION_458a5b4f-680c-4e11-92c2-46ccacd08394&quot;,&quot;properties&quot;:{&quot;noteIndex&quot;:0},&quot;isEdited&quot;:false,&quot;manualOverride&quot;:{&quot;isManuallyOverridden&quot;:false,&quot;citeprocText&quot;:&quot;(&lt;i&gt;IBM SPSS Statistics for Windows,&lt;/i&gt; 2020)&quot;,&quot;manualOverrideText&quot;:&quot;&quot;},&quot;citationItems&quot;:[{&quot;id&quot;:&quot;a4a88619-86dc-3246-aa5b-df9c07f46a3c&quot;,&quot;itemData&quot;:{&quot;type&quot;:&quot;article&quot;,&quot;id&quot;:&quot;a4a88619-86dc-3246-aa5b-df9c07f46a3c&quot;,&quot;title&quot;:&quot;IBM SPSS Statistics for Windows,&quot;,&quot;number&quot;:&quot;27.0&quot;,&quot;issued&quot;:{&quot;date-parts&quot;:[[2020]]},&quot;publisher-place&quot;:&quot;Armonk, NY&quot;,&quot;publisher&quot;:&quot;IBM Corp&quot;,&quot;container-title-short&quot;:&quot;&quot;},&quot;isTemporary&quot;:false}],&quot;citationTag&quot;:&quot;MENDELEY_CITATION_v3_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&quot;},{&quot;citationID&quot;:&quot;MENDELEY_CITATION_bd166694-8ecc-42ce-9dd6-c86df74905f0&quot;,&quot;properties&quot;:{&quot;noteIndex&quot;:0},&quot;isEdited&quot;:false,&quot;manualOverride&quot;:{&quot;isManuallyOverridden&quot;:false,&quot;citeprocText&quot;:&quot;(Lorenzo-Seva, 2021)&quot;,&quot;manualOverrideText&quot;:&quot;&quot;},&quot;citationItems&quot;:[{&quot;id&quot;:&quot;c7474b13-ceb0-37ac-8375-c96a36d3c5bc&quot;,&quot;itemData&quot;:{&quot;type&quot;:&quot;article-journal&quot;,&quot;id&quot;:&quot;c7474b13-ceb0-37ac-8375-c96a36d3c5bc&quot;,&quot;title&quot;:&quot;SOLOMON: a method for splitting a sample into equivalent subsamples in factor analysis&quot;,&quot;author&quot;:[{&quot;family&quot;:&quot;Lorenzo-Seva&quot;,&quot;given&quot;:&quot;Urbano&quot;,&quot;parse-names&quot;:false,&quot;dropping-particle&quot;:&quot;&quot;,&quot;non-dropping-particle&quot;:&quot;&quot;}],&quot;container-title&quot;:&quot;Behavior Research Methods&quot;,&quot;accessed&quot;:{&quot;date-parts&quot;:[[2022,8,5]]},&quot;DOI&quot;:&quot;10.3758/S13428-021-01750-Y/TABLES/4&quot;,&quot;ISSN&quot;:&quot;15543528&quot;,&quot;URL&quot;:&quot;https://link.springer.com/article/10.3758/s13428-021-01750-y&quot;,&quot;issued&quot;:{&quot;date-parts&quot;:[[2021,12,16]]},&quot;page&quot;:&quot;1-13&quot;,&quot;abstract&quot;:&quot;Nowadays, exploratory and confirmatory factor analyses are two important consecutive steps in an overall analysis process. The overall analysis should start with an exploratory factor analysis that explores the data and establishes a hypothesis for the factor model in the population. Then, the analysis process should be continued with a confirmatory factor analysis to assess whether the hypothesis proposed in the exploratory step is plausible in the population. To carry out the analysis, researchers usually collect a single sample, and then split it into two halves. As no specific splitting methods have been proposed to date in the context of factor analysis, researchers use a random split approach. In this paper we propose a method to split samples into equivalent subsamples similar to one that has already been proposed in the context of multivariate regression analysis. The method was tested in simulation studies and in real datasets.&quot;,&quot;publisher&quot;:&quot;Springer&quot;,&quot;volume&quot;:&quot;1&quot;,&quot;container-title-short&quot;:&quot;Behav Res Methods&quot;},&quot;isTemporary&quot;:false}],&quot;citationTag&quot;:&quot;MENDELEY_CITATION_v3_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&quot;},{&quot;citationID&quot;:&quot;MENDELEY_CITATION_225ac9f8-c30a-4648-b0aa-d08a19255b1a&quot;,&quot;properties&quot;:{&quot;noteIndex&quot;:0},&quot;isEdited&quot;:false,&quot;manualOverride&quot;:{&quot;isManuallyOverridden&quot;:false,&quot;citeprocText&quot;:&quot;(Rubin, 2009)&quot;,&quot;manualOverrideText&quot;:&quot;&quot;},&quot;citationItems&quot;:[{&quot;id&quot;:&quot;bbbd612b-d10a-3501-966a-a826de6e38d8&quot;,&quot;itemData&quot;:{&quot;type&quot;:&quot;book&quot;,&quot;id&quot;:&quot;bbbd612b-d10a-3501-966a-a826de6e38d8&quot;,&quot;title&quot;:&quot;Multiple Imputation for Nonresponse in Surveys&quot;,&quot;author&quot;:[{&quot;family&quot;:&quot;Rubin&quot;,&quot;given&quot;:&quot;Donald B.&quot;,&quot;parse-names&quot;:false,&quot;dropping-particle&quot;:&quot;&quot;,&quot;non-dropping-particle&quot;:&quot;&quot;}],&quot;issued&quot;:{&quot;date-parts&quot;:[[2009]]},&quot;publisher&quot;:&quot;Wiley&quot;,&quot;container-title-short&quot;:&quot;&quot;},&quot;isTemporary&quot;:false}],&quot;citationTag&quot;:&quot;MENDELEY_CITATION_v3_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&quot;},{&quot;citationID&quot;:&quot;MENDELEY_CITATION_881232de-423a-4ee6-aa87-10d147288f05&quot;,&quot;properties&quot;:{&quot;noteIndex&quot;:0},&quot;isEdited&quot;:false,&quot;manualOverride&quot;:{&quot;isManuallyOverridden&quot;:true,&quot;citeprocText&quot;:&quot;(van Buuren, 2007)&quot;,&quot;manualOverrideText&quot;:&quot; van Buuren (2007)&quot;},&quot;citationItems&quot;:[{&quot;id&quot;:&quot;65a61da1-c490-3ab4-8a6b-3de4591ad744&quot;,&quot;itemData&quot;:{&quot;type&quot;:&quot;article-journal&quot;,&quot;id&quot;:&quot;65a61da1-c490-3ab4-8a6b-3de4591ad744&quot;,&quot;title&quot;:&quot;Multiple imputation of discrete and continuous data by fully conditional specification&quot;,&quot;author&quot;:[{&quot;family&quot;:&quot;Buuren&quot;,&quot;given&quot;:&quot;Stef&quot;,&quot;parse-names&quot;:false,&quot;dropping-particle&quot;:&quot;&quot;,&quot;non-dropping-particle&quot;:&quot;van&quot;}],&quot;container-title&quot;:&quot;Statistical Methods in Medical Research&quot;,&quot;container-title-short&quot;:&quot;Stat Methods Med Res&quot;,&quot;accessed&quot;:{&quot;date-parts&quot;:[[2022,10,21]]},&quot;DOI&quot;:&quot;10.1177/0962280206074463&quot;,&quot;URL&quot;:&quot;www.scopus.com,&quot;,&quot;issued&quot;:{&quot;date-parts&quot;:[[2007]]},&quot;page&quot;:&quot;219-242&quot;,&quot;abstract&quot;:&quot;The goal of multiple imputation is to provide valid inferences for statistical estimates from incomplete data. To achieve that goal, imputed values should preserve the structure in the data, as well as the uncertainty about this structure, and include any knowledge about the process that generated the missing data. Two approaches for imputing multivariate data exist: joint modeling (JM) and fully conditional specification (FCS). JM is based on parametric statistical theory, and leads to imputation procedures whose statistical properties are known. JM is theoretically sound, but the joint model may lack flexibility needed to represent typical data features, potentially leading to bias. FCS is a semi-parametric and flexible alternative that specifies the multivariate model by a series of conditional models, one for each incomplete variable. FCS provides tremendous flexibility and is easy to apply, but its statistical properties are difficult to establish. Simulation work shows that FCS behaves very well in the cases studied. The present paper reviews and compares the approaches. JM and FCS were applied to pubertal development data of 3801 Dutch girls that had missing data on menarche (two categories), breast development (five categories) and pubic hair development (six stages). Imputations for these data were created under two models: a multivariate normal model with rounding and a conditionally specified discrete model. The JM approach introduced biases in the reference curves, whereas FCS did not. The paper concludes that FCS is a useful and easily applied flexible alternative to JM when no convenient and realistic joint distribution can be specified.&quot;,&quot;volume&quot;:&quot;16&quot;},&quot;isTemporary&quot;:false}],&quot;citationTag&quot;:&quot;MENDELEY_CITATION_v3_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&quot;},{&quot;citationID&quot;:&quot;MENDELEY_CITATION_d639956c-a970-4a65-84ee-c009173ba590&quot;,&quot;properties&quot;:{&quot;noteIndex&quot;:0},&quot;isEdited&quot;:false,&quot;manualOverride&quot;:{&quot;isManuallyOverridden&quot;:true,&quot;citeprocText&quot;:&quot;(van Buuren &amp;#38; Groothuis-Oudshoorn, 2011)&quot;,&quot;manualOverrideText&quot;:&quot;Van Buuren &amp; Groothuis-Oudshoorn (2011)&quot;},&quot;citationItems&quot;:[{&quot;id&quot;:&quot;34d00349-5661-3a0a-8828-a37ae46f233e&quot;,&quot;itemData&quot;:{&quot;type&quot;:&quot;article-journal&quot;,&quot;id&quot;:&quot;34d00349-5661-3a0a-8828-a37ae46f233e&quot;,&quot;title&quot;:&quot;mice: Multivariate Imputation by Chained Equations in R&quot;,&quot;author&quot;:[{&quot;family&quot;:&quot;Buuren&quot;,&quot;given&quot;:&quot;Stef&quot;,&quot;parse-names&quot;:false,&quot;dropping-particle&quot;:&quot;&quot;,&quot;non-dropping-particle&quot;:&quot;van&quot;},{&quot;family&quot;:&quot;Groothuis-Oudshoorn&quot;,&quot;given&quot;:&quot;Karin&quot;,&quot;parse-names&quot;:false,&quot;dropping-particle&quot;:&quot;&quot;,&quot;non-dropping-particle&quot;:&quot;&quot;}],&quot;container-title&quot;:&quot;Journal of Statistical Software&quot;,&quot;container-title-short&quot;:&quot;J Stat Softw&quot;,&quot;accessed&quot;:{&quot;date-parts&quot;:[[2022,10,21]]},&quot;DOI&quot;:&quot;10.18637/JSS.V045.I03&quot;,&quot;ISSN&quot;:&quot;1548-7660&quot;,&quot;URL&quot;:&quot;https://www.jstatsoft.org/index.php/jss/article/view/v045i03&quot;,&quot;issued&quot;:{&quot;date-parts&quot;:[[2011,12,12]]},&quot;page&quot;:&quot;1-67&quot;,&quot;abstract&quot;:&quot;The R package mice imputes incomplete multivariate data by chained equations. The software mice 1.0 appeared in the year 2000 as an S-PLUS library, and in 2001 as an R package. mice 1.0 introduced predictor selection, passive imputation and automatic pooling. This article documents mice, which extends the functionality of mice 1.0 in several ways. In mice, the analysis of imputed data is made completely general, whereas the range of models under which pooling works is substantially extended. mice adds new functionality for imputing multilevel data, automatic predictor selection, data handling, post-processing imputed values, specialized pooling routines, model selection tools, and diagnostic graphs. Imputation of categorical data is improved in order to bypass problems caused by perfect prediction. Special attention is paid to transformations, sum scores, indices and interactions using passive imputation, and to the proper setup of the predictor matrix. mice can be downloaded from the Comprehensive R Archive Network. This article provides a hands-on, stepwise approach to solve applied incomplete data problems.&quot;,&quot;issue&quot;:&quot;3&quot;,&quot;volume&quot;:&quot;45&quot;},&quot;isTemporary&quot;:false}],&quot;citationTag&quot;:&quot;MENDELEY_CITATION_v3_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&quot;},{&quot;citationID&quot;:&quot;MENDELEY_CITATION_a8a97f52-7726-4a43-b935-c2ddc86ffaff&quot;,&quot;properties&quot;:{&quot;noteIndex&quot;:0},&quot;isEdited&quot;:false,&quot;manualOverride&quot;:{&quot;isManuallyOverridden&quot;:true,&quot;citeprocText&quot;:&quot;(Costello &amp;#38; Osborne, 2005)&quot;,&quot;manualOverrideText&quot;:&quot;Costello &amp; Osborne (2005)&quot;},&quot;citationItems&quot;:[{&quot;id&quot;:&quot;b88a8748-1efe-3bf2-99af-ebac50d92f2e&quot;,&quot;itemData&quot;:{&quot;type&quot;:&quot;article-journal&quot;,&quot;id&quot;:&quot;b88a8748-1efe-3bf2-99af-ebac50d92f2e&quot;,&quot;title&quot;:&quot;Best practices in exploratory factor analysis: four recommendations for getting the most from your analysis&quot;,&quot;author&quot;:[{&quot;family&quot;:&quot;Costello&quot;,&quot;given&quot;:&quot;Anna B&quot;,&quot;parse-names&quot;:false,&quot;dropping-particle&quot;:&quot;&quot;,&quot;non-dropping-particle&quot;:&quot;&quot;},{&quot;family&quot;:&quot;Osborne&quot;,&quot;given&quot;:&quot;Jason&quot;,&quot;parse-names&quot;:false,&quot;dropping-particle&quot;:&quot;&quot;,&quot;non-dropping-particle&quot;:&quot;&quot;}],&quot;container-title&quot;:&quot;Research, and Evaluation Practical Assessment, Research, and Evaluation&quot;,&quot;accessed&quot;:{&quot;date-parts&quot;:[[2022,8,24]]},&quot;DOI&quot;:&quot;10.7275/jyj1-4868&quot;,&quot;issued&quot;:{&quot;date-parts&quot;:[[2005]]},&quot;page&quot;:&quot;7&quot;,&quot;volume&quot;:&quot;10&quot;,&quot;container-title-short&quot;:&quot;&quot;},&quot;isTemporary&quot;:false}],&quot;citationTag&quot;:&quot;MENDELEY_CITATION_v3_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&quot;},{&quot;citationID&quot;:&quot;MENDELEY_CITATION_122dab3d-1b64-486a-b2b4-837ef30e88c3&quot;,&quot;properties&quot;:{&quot;noteIndex&quot;:0},&quot;isEdited&quot;:false,&quot;manualOverride&quot;:{&quot;isManuallyOverridden&quot;:false,&quot;citeprocText&quot;:&quot;(Worthington &amp;#38; Whittaker, 2006)&quot;,&quot;manualOverrideText&quot;:&quot;&quot;},&quot;citationItems&quot;:[{&quot;id&quot;:&quot;cf74618c-220b-3f59-817e-e701c612b2c8&quot;,&quot;itemData&quot;:{&quot;type&quot;:&quot;article-journal&quot;,&quot;id&quot;:&quot;cf74618c-220b-3f59-817e-e701c612b2c8&quot;,&quot;title&quot;:&quot;Scale Development Research A Content Analysis and Recommendations for Best Practices&quot;,&quot;author&quot;:[{&quot;family&quot;:&quot;Worthington&quot;,&quot;given&quot;:&quot;Roger L&quot;,&quot;parse-names&quot;:false,&quot;dropping-particle&quot;:&quot;&quot;,&quot;non-dropping-particle&quot;:&quot;&quot;},{&quot;family&quot;:&quot;Whittaker&quot;,&quot;given&quot;:&quot;Tiffany A&quot;,&quot;parse-names&quot;:false,&quot;dropping-particle&quot;:&quot;&quot;,&quot;non-dropping-particle&quot;:&quot;&quot;}],&quot;DOI&quot;:&quot;10.1177/0011000006288127&quot;,&quot;issued&quot;:{&quot;date-parts&quot;:[[2006]]},&quot;abstract&quot;:&quot;The authors conducted a content analysis on new scale development articles appearing in the Journal of Counseling Psychology during 10 years (1995 to 2004). The authors analyze and discuss characteristics of the exploratory and confirmatory factor analysis procedures in these scale development studies with respect to sample characteristics, factorability, extraction methods, rotation methods, item deletion or retention, factor retention, and model fit indexes. The authors uncovered a variety of specific practices that were at variance with the current literature on factor analysis or structural equation modeling. They make recommendations for best practices in scale development research in counseling psychology using exploratory and confirmatory factor analysis.&quot;,&quot;container-title-short&quot;:&quot;&quot;},&quot;isTemporary&quot;:false}],&quot;citationTag&quot;:&quot;MENDELEY_CITATION_v3_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&quot;},{&quot;citationID&quot;:&quot;MENDELEY_CITATION_45c45e4c-c6a9-4218-9df8-16788aecac2b&quot;,&quot;properties&quot;:{&quot;noteIndex&quot;:0},&quot;isEdited&quot;:false,&quot;manualOverride&quot;:{&quot;isManuallyOverridden&quot;:false,&quot;citeprocText&quot;:&quot;(Watkins, 2018)&quot;,&quot;manualOverrideText&quot;:&quot;&quot;},&quot;citationItems&quot;:[{&quot;id&quot;:&quot;e2f56fd6-8e97-3ddd-b37b-0c069416da75&quot;,&quot;itemData&quot;:{&quot;type&quot;:&quot;article-journal&quot;,&quot;id&quot;:&quot;e2f56fd6-8e97-3ddd-b37b-0c069416da75&quot;,&quot;title&quot;:&quot;Exploratory Factor Analysis: A Guide to Best Practice&quot;,&quot;author&quot;:[{&quot;family&quot;:&quot;Watkins&quot;,&quot;given&quot;:&quot;Marley W.&quot;,&quot;parse-names&quot;:false,&quot;dropping-particle&quot;:&quot;&quot;,&quot;non-dropping-particle&quot;:&quot;&quot;}],&quot;container-title&quot;:&quot;https://doi.org/10.1177/0095798418771807&quot;,&quot;accessed&quot;:{&quot;date-parts&quot;:[[2022,10,21]]},&quot;DOI&quot;:&quot;10.1177/0095798418771807&quot;,&quot;ISSN&quot;:&quot;15524558&quot;,&quot;URL&quot;:&quot;https://journals.sagepub.com/doi/full/10.1177/0095798418771807&quot;,&quot;issued&quot;:{&quot;date-parts&quot;:[[2018,4,27]]},&quot;page&quot;:&quot;219-246&quot;,&quot;abstract&quot;:&quot;Exploratory factor analysis (EFA) is a multivariate statistical method that has become a fundamental tool in the development and validation of psychological theories and measurements. However, rese...&quot;,&quot;publisher&quot;:&quot;SAGE PublicationsSage CA: Los Angeles, CA&quot;,&quot;issue&quot;:&quot;3&quot;,&quot;volume&quot;:&quot;44&quot;,&quot;container-title-short&quot;:&quot;&quot;},&quot;isTemporary&quot;:false}],&quot;citationTag&quot;:&quot;MENDELEY_CITATION_v3_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&quot;},{&quot;citationID&quot;:&quot;MENDELEY_CITATION_03cd721c-23fd-43f3-adc1-bdc3625c0f97&quot;,&quot;properties&quot;:{&quot;noteIndex&quot;:0},&quot;isEdited&quot;:false,&quot;manualOverride&quot;:{&quot;isManuallyOverridden&quot;:false,&quot;citeprocText&quot;:&quot;(Kaiser, 1960)&quot;,&quot;manualOverrideText&quot;:&quot;&quot;},&quot;citationItems&quot;:[{&quot;id&quot;:&quot;4f9d5f3b-55e1-3ea5-8261-a8da1acc1cdb&quot;,&quot;itemData&quot;:{&quot;type&quot;:&quot;article-journal&quot;,&quot;id&quot;:&quot;4f9d5f3b-55e1-3ea5-8261-a8da1acc1cdb&quot;,&quot;title&quot;:&quot;The application of electronic computers to factor analysis.&quot;,&quot;author&quot;:[{&quot;family&quot;:&quot;Kaiser&quot;,&quot;given&quot;:&quot;Henry F&quot;,&quot;parse-names&quot;:false,&quot;dropping-particle&quot;:&quot;&quot;,&quot;non-dropping-particle&quot;:&quot;&quot;}],&quot;container-title&quot;:&quot;Educational and Psychological Measurement&quot;,&quot;container-title-short&quot;:&quot;Educ Psychol Meas&quot;,&quot;DOI&quot;:&quot;10.1177/001316446002000116&quot;,&quot;ISSN&quot;:&quot;1552-3888(Electronic),0013-1644(Print)&quot;,&quot;issued&quot;:{&quot;date-parts&quot;:[[1960]]},&quot;publisher-place&quot;:&quot;US&quot;,&quot;page&quot;:&quot;141-151&quot;,&quot;abstract&quot;:&quot;Electronic computers facilitate greatly carrying out factor analysis. Computers will help in solving the communality problem and the question of the number of factors as well as the question of arbitrary factoring and the problem of rotation. \&quot;Cloacal short-cuts will not be necessary and the powerful methods of Guttman will be feasible.\&quot; A library of programs essential for factor analysis is described, and the use of medium sized computers as the IBM 650 deprecated for factor analysis. (PsycINFO Database Record (c) 2016 APA, all rights reserved)&quot;,&quot;publisher&quot;:&quot;Sage Publications&quot;,&quot;volume&quot;:&quot;20&quot;},&quot;isTemporary&quot;:false}],&quot;citationTag&quot;:&quot;MENDELEY_CITATION_v3_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&quot;},{&quot;citationID&quot;:&quot;MENDELEY_CITATION_bd562dac-8893-46e6-9896-0f669ec7a45c&quot;,&quot;properties&quot;:{&quot;noteIndex&quot;:0},&quot;isEdited&quot;:false,&quot;manualOverride&quot;:{&quot;isManuallyOverridden&quot;:false,&quot;citeprocText&quot;:&quot;(Cattell, 1966)&quot;,&quot;manualOverrideText&quot;:&quot;&quot;},&quot;citationItems&quot;:[{&quot;id&quot;:&quot;2fff554c-8402-340b-aa45-eeb076c54a35&quot;,&quot;itemData&quot;:{&quot;type&quot;:&quot;article-journal&quot;,&quot;id&quot;:&quot;2fff554c-8402-340b-aa45-eeb076c54a35&quot;,&quot;title&quot;:&quot;The Scree Test For The Number Of Factors&quot;,&quot;author&quot;:[{&quot;family&quot;:&quot;Cattell&quot;,&quot;given&quot;:&quot;Raymond B&quot;,&quot;parse-names&quot;:false,&quot;dropping-particle&quot;:&quot;&quot;,&quot;non-dropping-particle&quot;:&quot;&quot;}],&quot;container-title&quot;:&quot;Multivariate Behavioral Research&quot;,&quot;container-title-short&quot;:&quot;Multivariate Behav Res&quot;,&quot;DOI&quot;:&quot;10.1207/s15327906mbr0102_10&quot;,&quot;ISSN&quot;:&quot;0027-3171&quot;,&quot;URL&quot;:&quot;https://doi.org/10.1207/s15327906mbr0102_10&quot;,&quot;issued&quot;:{&quot;date-parts&quot;:[[1966,4,1]]},&quot;page&quot;:&quot;245-276&quot;,&quot;publisher&quot;:&quot;Routledge&quot;,&quot;issue&quot;:&quot;2&quot;,&quot;volume&quot;:&quot;1&quot;},&quot;isTemporary&quot;:false}],&quot;citationTag&quot;:&quot;MENDELEY_CITATION_v3_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&quot;},{&quot;citationID&quot;:&quot;MENDELEY_CITATION_03a5aee8-4f36-49d9-8389-4a694fe86e43&quot;,&quot;properties&quot;:{&quot;noteIndex&quot;:0},&quot;isEdited&quot;:false,&quot;manualOverride&quot;:{&quot;isManuallyOverridden&quot;:false,&quot;citeprocText&quot;:&quot;(Horn, 1965)&quot;,&quot;manualOverrideText&quot;:&quot;&quot;},&quot;citationItems&quot;:[{&quot;id&quot;:&quot;39e77d27-3f33-33da-b99f-120ea5a8e023&quot;,&quot;itemData&quot;:{&quot;type&quot;:&quot;article-journal&quot;,&quot;id&quot;:&quot;39e77d27-3f33-33da-b99f-120ea5a8e023&quot;,&quot;title&quot;:&quot;A rationale and test for the number of factors in factor analysis&quot;,&quot;author&quot;:[{&quot;family&quot;:&quot;Horn&quot;,&quot;given&quot;:&quot;John L&quot;,&quot;parse-names&quot;:false,&quot;dropping-particle&quot;:&quot;&quot;,&quot;non-dropping-particle&quot;:&quot;&quot;}],&quot;container-title&quot;:&quot;Psychometrika&quot;,&quot;container-title-short&quot;:&quot;Psychometrika&quot;,&quot;DOI&quot;:&quot;10.1007/BF02289447&quot;,&quot;ISSN&quot;:&quot;1860-0980&quot;,&quot;URL&quot;:&quot;https://doi.org/10.1007/BF02289447&quot;,&quot;issued&quot;:{&quot;date-parts&quot;:[[1965]]},&quot;page&quot;:&quot;179-185&quot;,&quot;abstract&quot;:&quot;It is suggested that if Guttman's latent-root-one lower bound estimate for the rank of a correlation matrix is accepted as a psychometric upper bound, following the proofs and arguments of Kaiser and Dickman, then the rank for a sample matrix should be estimated by subtracting out the component in the latent roots which can be attributed to sampling error, and least-squares “capitalization” on this error, in the calculation of the correlations and the roots. A procedure based on the generation of random variables is given for estimating the component which needs to be subtracted.&quot;,&quot;issue&quot;:&quot;2&quot;,&quot;volume&quot;:&quot;30&quot;},&quot;isTemporary&quot;:false}],&quot;citationTag&quot;:&quot;MENDELEY_CITATION_v3_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&quot;},{&quot;citationID&quot;:&quot;MENDELEY_CITATION_96814db2-aa29-4999-b6c1-1e3772d17a5a&quot;,&quot;properties&quot;:{&quot;noteIndex&quot;:0},&quot;isEdited&quot;:false,&quot;manualOverride&quot;:{&quot;isManuallyOverridden&quot;:false,&quot;citeprocText&quot;:&quot;(Kaiser, 1970)&quot;,&quot;manualOverrideText&quot;:&quot;&quot;},&quot;citationItems&quot;:[{&quot;id&quot;:&quot;1abdcc41-d304-3771-a6f5-160b114e840b&quot;,&quot;itemData&quot;:{&quot;type&quot;:&quot;article-journal&quot;,&quot;id&quot;:&quot;1abdcc41-d304-3771-a6f5-160b114e840b&quot;,&quot;title&quot;:&quot;A second generation little jiffy&quot;,&quot;author&quot;:[{&quot;family&quot;:&quot;Kaiser&quot;,&quot;given&quot;:&quot;Henry F&quot;,&quot;parse-names&quot;:false,&quot;dropping-particle&quot;:&quot;&quot;,&quot;non-dropping-particle&quot;:&quot;&quot;}],&quot;container-title&quot;:&quot;Psychometrika&quot;,&quot;container-title-short&quot;:&quot;Psychometrika&quot;,&quot;DOI&quot;:&quot;10.1007/BF02291817&quot;,&quot;ISSN&quot;:&quot;1860-0980&quot;,&quot;URL&quot;:&quot;https://doi.org/10.1007/BF02291817&quot;,&quot;issued&quot;:{&quot;date-parts&quot;:[[1970]]},&quot;page&quot;:&quot;401-415&quot;,&quot;issue&quot;:&quot;4&quot;,&quot;volume&quot;:&quot;35&quot;},&quot;isTemporary&quot;:false}],&quot;citationTag&quot;:&quot;MENDELEY_CITATION_v3_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&quot;},{&quot;citationID&quot;:&quot;MENDELEY_CITATION_67aba034-728b-46c4-a6b4-6c4fbc4b43a3&quot;,&quot;properties&quot;:{&quot;noteIndex&quot;:0},&quot;isEdited&quot;:false,&quot;manualOverride&quot;:{&quot;isManuallyOverridden&quot;:false,&quot;citeprocText&quot;:&quot;(Costello &amp;#38; Osborne, 2005)&quot;,&quot;manualOverrideText&quot;:&quot;&quot;},&quot;citationItems&quot;:[{&quot;id&quot;:&quot;b88a8748-1efe-3bf2-99af-ebac50d92f2e&quot;,&quot;itemData&quot;:{&quot;type&quot;:&quot;article-journal&quot;,&quot;id&quot;:&quot;b88a8748-1efe-3bf2-99af-ebac50d92f2e&quot;,&quot;title&quot;:&quot;Best practices in exploratory factor analysis: four recommendations for getting the most from your analysis&quot;,&quot;author&quot;:[{&quot;family&quot;:&quot;Costello&quot;,&quot;given&quot;:&quot;Anna B&quot;,&quot;parse-names&quot;:false,&quot;dropping-particle&quot;:&quot;&quot;,&quot;non-dropping-particle&quot;:&quot;&quot;},{&quot;family&quot;:&quot;Osborne&quot;,&quot;given&quot;:&quot;Jason&quot;,&quot;parse-names&quot;:false,&quot;dropping-particle&quot;:&quot;&quot;,&quot;non-dropping-particle&quot;:&quot;&quot;}],&quot;container-title&quot;:&quot;Research, and Evaluation Practical Assessment, Research, and Evaluation&quot;,&quot;accessed&quot;:{&quot;date-parts&quot;:[[2022,8,24]]},&quot;DOI&quot;:&quot;10.7275/jyj1-4868&quot;,&quot;issued&quot;:{&quot;date-parts&quot;:[[2005]]},&quot;page&quot;:&quot;7&quot;,&quot;volume&quot;:&quot;10&quot;,&quot;container-title-short&quot;:&quot;&quot;},&quot;isTemporary&quot;:false}],&quot;citationTag&quot;:&quot;MENDELEY_CITATION_v3_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&quot;},{&quot;citationID&quot;:&quot;MENDELEY_CITATION_c543aa5a-8ccc-44bb-9de0-842c2ae1579b&quot;,&quot;properties&quot;:{&quot;noteIndex&quot;:0},&quot;isEdited&quot;:false,&quot;manualOverride&quot;:{&quot;isManuallyOverridden&quot;:true,&quot;citeprocText&quot;:&quot;(Hu &amp;#38; Bentler, 2009)&quot;,&quot;manualOverrideText&quot;:&quot;Hu &amp; Bentler (2009)&quot;},&quot;citationItems&quot;:[{&quot;id&quot;:&quot;3e82870f-6807-34f4-b12f-25620a00f15d&quot;,&quot;itemData&quot;:{&quot;type&quot;:&quot;article-journal&quot;,&quot;id&quot;:&quot;3e82870f-6807-34f4-b12f-25620a00f15d&quot;,&quot;title&quot;:&quot;Cutoff criteria for fit indexes in covariance structure analysis: Conventional criteria versus new alternatives&quot;,&quot;author&quot;:[{&quot;family&quot;:&quot;Hu&quot;,&quot;given&quot;:&quot;Li Tze&quot;,&quot;parse-names&quot;:false,&quot;dropping-particle&quot;:&quot;&quot;,&quot;non-dropping-particle&quot;:&quot;&quot;},{&quot;family&quot;:&quot;Bentler&quot;,&quot;given&quot;:&quot;Peter M.&quot;,&quot;parse-names&quot;:false,&quot;dropping-particle&quot;:&quot;&quot;,&quot;non-dropping-particle&quot;:&quot;&quot;}],&quot;container-title&quot;:&quot;https://doi.org/10.1080/10705519909540118&quot;,&quot;accessed&quot;:{&quot;date-parts&quot;:[[2023,3,6]]},&quot;DOI&quot;:&quot;10.1080/10705519909540118&quot;,&quot;ISSN&quot;:&quot;10705511&quot;,&quot;URL&quot;:&quot;https://www.tandfonline.com/doi/abs/10.1080/10705519909540118&quot;,&quot;issued&quot;:{&quot;date-parts&quot;:[[2009]]},&quot;page&quot;:&quot;1-55&quot;,&quot;abstract&quot;:&quot;This article examines the adequacy of the “rules of thumb” conventional cutoff criteria and several new alternatives for various fit indexes used to evaluate model fit in practice. Using a 2‐index ...&quot;,&quot;publisher&quot;:&quot; Taylor &amp; Francis Group &quot;,&quot;issue&quot;:&quot;1&quot;,&quot;volume&quot;:&quot;6&quot;,&quot;container-title-short&quot;:&quot;&quot;},&quot;isTemporary&quot;:false}],&quot;citationTag&quot;:&quot;MENDELEY_CITATION_v3_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&quot;},{&quot;citationID&quot;:&quot;MENDELEY_CITATION_3acb780c-e97e-4761-bc8b-41ffbf722c83&quot;,&quot;properties&quot;:{&quot;noteIndex&quot;:0},&quot;isEdited&quot;:false,&quot;manualOverride&quot;:{&quot;isManuallyOverridden&quot;:true,&quot;citeprocText&quot;:&quot;(Brown, 2015)&quot;,&quot;manualOverrideText&quot;:&quot;Brown (2015)&quot;},&quot;citationItems&quot;:[{&quot;id&quot;:&quot;ce3ba36a-c5c9-3369-a3bf-a076369901af&quot;,&quot;itemData&quot;:{&quot;type&quot;:&quot;book&quot;,&quot;id&quot;:&quot;ce3ba36a-c5c9-3369-a3bf-a076369901af&quot;,&quot;title&quot;:&quot;Confirmatory factor analysis for applied research, 2nd ed.&quot;,&quot;author&quot;:[{&quot;family&quot;:&quot;Brown&quot;,&quot;given&quot;:&quot;Timothy&quot;,&quot;parse-names&quot;:false,&quot;dropping-particle&quot;:&quot;&quot;,&quot;non-dropping-particle&quot;:&quot;&quot;}],&quot;issued&quot;:{&quot;date-parts&quot;:[[2015]]},&quot;edition&quot;:&quot;2&quot;,&quot;publisher&quot;:&quot;Guildford Press&quot;,&quot;container-title-short&quot;:&quot;&quot;},&quot;isTemporary&quot;:false}],&quot;citationTag&quot;:&quot;MENDELEY_CITATION_v3_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&quot;},{&quot;citationID&quot;:&quot;MENDELEY_CITATION_aec098b0-2497-4787-905b-82d5c3e0c16d&quot;,&quot;properties&quot;:{&quot;noteIndex&quot;:0},&quot;isEdited&quot;:false,&quot;manualOverride&quot;:{&quot;isManuallyOverridden&quot;:true,&quot;citeprocText&quot;:&quot;(Cabrera-Nguyen, 2010)&quot;,&quot;manualOverrideText&quot;:&quot;Cabrera-Nguyen (2010)&quot;},&quot;citationItems&quot;:[{&quot;id&quot;:&quot;1c9671c2-a28b-37f0-b03f-aaef9261a311&quot;,&quot;itemData&quot;:{&quot;type&quot;:&quot;article-journal&quot;,&quot;id&quot;:&quot;1c9671c2-a28b-37f0-b03f-aaef9261a311&quot;,&quot;title&quot;:&quot;Author Guidelines for Reporting Scale Development and Validation Results in the Journal of the Society for Social Work and Research&quot;,&quot;author&quot;:[{&quot;family&quot;:&quot;Cabrera-Nguyen&quot;,&quot;given&quot;:&quot;Peter&quot;,&quot;parse-names&quot;:false,&quot;dropping-particle&quot;:&quot;&quot;,&quot;non-dropping-particle&quot;:&quot;&quot;}],&quot;container-title&quot;:&quot;https://doi.org/10.5243/jsswr.2010.8&quot;,&quot;accessed&quot;:{&quot;date-parts&quot;:[[2023,3,6]]},&quot;DOI&quot;:&quot;10.5243/JSSWR.2010.8&quot;,&quot;ISSN&quot;:&quot;2334-2315&quot;,&quot;URL&quot;:&quot;https://www.journals.uchicago.edu/doi/10.5243/jsswr.2010.8&quot;,&quot;issued&quot;:{&quot;date-parts&quot;:[[2010,1]]},&quot;page&quot;:&quot;99-103&quot;,&quot;abstract&quot;:&quot;Reliable and valid measurement is critical for advancing social work research and evidence-based social work practice. However, the quality of available evidence is largely determined by the study designs used in intervention research. A well-designed intervention study includes optimal sampling techniques, data analysis using appropriate statistical methods, steps to enhance internal and external validity, and psychometrically sound assessment instruments. Ensuring intervention studies include assessment instruments with strong psychometric properties may, ultimately, enable practitioners to assess client target problems with greater precision. Further, increasing the availability of instruments with demonstrated reliability and validity may also help practitioners select evidence-based interventions that best match the needs of their clients. Therefore, it is important for social work researchers engaged in scale development and validation to conduct their research and report their findings in a reliable manner that allows other researchers to replicate those findings. The guidelines presented in this article are intended to assist JSSWR authors in this endeavor.&quot;,&quot;publisher&quot;:&quot;University of Chicago PressChicago, IL&quot;,&quot;issue&quot;:&quot;2&quot;,&quot;volume&quot;:&quot;1&quot;,&quot;container-title-short&quot;:&quot;&quot;},&quot;isTemporary&quot;:false}],&quot;citationTag&quot;:&quot;MENDELEY_CITATION_v3_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&quot;},{&quot;citationID&quot;:&quot;MENDELEY_CITATION_a795e2a5-54ba-437e-b05b-7c88c00e8db3&quot;,&quot;properties&quot;:{&quot;noteIndex&quot;:0},&quot;isEdited&quot;:false,&quot;manualOverride&quot;:{&quot;isManuallyOverridden&quot;:false,&quot;citeprocText&quot;:&quot;(T. Bond &amp;#38; Fox, 2015)&quot;,&quot;manualOverrideText&quot;:&quot;&quot;},&quot;citationItems&quot;:[{&quot;id&quot;:&quot;d704a8f4-9257-3cc9-b259-acc913913089&quot;,&quot;itemData&quot;:{&quot;type&quot;:&quot;article-journal&quot;,&quot;id&quot;:&quot;d704a8f4-9257-3cc9-b259-acc913913089&quot;,&quot;title&quot;:&quot;Applying the Rasch Model : Fundamental Measurement in the Human Sciences, Third Edition&quot;,&quot;author&quot;:[{&quot;family&quot;:&quot;Bond&quot;,&quot;given&quot;:&quot;Trevor&quot;,&quot;parse-names&quot;:false,&quot;dropping-particle&quot;:&quot;&quot;,&quot;non-dropping-particle&quot;:&quot;&quot;},{&quot;family&quot;:&quot;Fox&quot;,&quot;given&quot;:&quot;Christine&quot;,&quot;parse-names&quot;:false,&quot;dropping-particle&quot;:&quot;&quot;,&quot;non-dropping-particle&quot;:&quot;&quot;}],&quot;container-title&quot;:&quot;Applying the Rasch Model&quot;,&quot;accessed&quot;:{&quot;date-parts&quot;:[[2022,10,21]]},&quot;DOI&quot;:&quot;10.4324/9781315814698&quot;,&quot;ISBN&quot;:&quot;9781315814698&quot;,&quot;URL&quot;:&quot;https://www.taylorfrancis.com/books/mono/10.4324/9781315814698/applying-rasch-model-trevor-bond&quot;,&quot;issued&quot;:{&quot;date-parts&quot;:[[2015,6,5]]},&quot;abstract&quot;:&quot;Cited over 1900 times, this classic text facilitates a deep understanding of the Rasch model. The authors review the crucial properties of the model and demonstrate its use with a variety of examples from education, psychology, and health. A glossary and numerous illustrations aid the reader's understanding. Readers learn how to apply Rasch analysis so they can perform their own analyses and interpret the results. The authors present an accessible overview that does not require a mathematical background. \n\nHighlights of the new edition include:\n-More learning tools to strengthen readers’ understanding including chapter introductions, boldfaced key terms, chapter summaries, activities, and suggested readings.\n-Divided chapters (4, 6, 7 &amp; 8) into basic and extended understanding sections so readers can select the level most appropriate for their needs and to provide more in-depth investigations of key topics.\n-A website at www.routledge.com/9780415833424 that features free Rasch software, data sets, an Invariance worksheet, detailed instructions for key analyses, and links to related sources.\n-Greater emphasis on the role of Rasch measurement as a priori in the construction of scales and its use post hoc to reveal the extent to which interval scale measurement is instantiated in existing data sets.\n-Emphasizes the importance of interval level measurement data and demonstrates how Rasch measurement is used to examine measurement invariance.\n-Insights from other Rasch scholars via innovative applications (Ch. 9).\n-Extended discussion of invariance now reviews DIF, DPF, and anchoring (ch. 5). \n-Revised Rating Scale Model material now based on the analysis of the CEAQ (ch.6).\n-Clarifies the relationships between Rasch measurement, True Score Theory, and Item Response Theory by reviewing their commonalities and differences (Ch.13).\n-Provides more detail on how to conduct a Rasch analysis so readers can use the techniques on their own (Appendix B).\n\nIntended as a text for graduate courses in measurement, item response theory, (advanced) research methods or quantitative analysis taught in psychology, education, human development, business, and other social and health sciences, professionals in these areas also appreciate the book‘s accessible introduction.&quot;,&quot;publisher&quot;:&quot;Routledge&quot;,&quot;container-title-short&quot;:&quot;&quot;},&quot;isTemporary&quot;:false}],&quot;citationTag&quot;:&quot;MENDELEY_CITATION_v3_eyJjaXRhdGlvbklEIjoiTUVOREVMRVlfQ0lUQVRJT05fYTc5NWUyYTUtNTRiYS00MzdlLWIwNWItN2M4OGMwMGU4ZGIzIiwicHJvcGVydGllcyI6eyJub3RlSW5kZXgiOjB9LCJpc0VkaXRlZCI6ZmFsc2UsIm1hbnVhbE92ZXJyaWRlIjp7ImlzTWFudWFsbHlPdmVycmlkZGVuIjpmYWxzZSwiY2l0ZXByb2NUZXh0IjoiKFQuIEJvbmQgJiMzODsgRm94LCAyMDE1KSIsIm1hbnVhbE92ZXJyaWRlVGV4dCI6IiJ9LCJjaXRhdGlvbkl0ZW1zIjpb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V19&quot;},{&quot;citationID&quot;:&quot;MENDELEY_CITATION_321caf96-218d-4621-824a-e2163cac6c71&quot;,&quot;properties&quot;:{&quot;noteIndex&quot;:0},&quot;isEdited&quot;:false,&quot;manualOverride&quot;:{&quot;isManuallyOverridden&quot;:false,&quot;citeprocText&quot;:&quot;(T. G. Bond et al., 2020; Hobart &amp;#38; Cano, 2009)&quot;,&quot;manualOverrideText&quot;:&quot;&quot;},&quot;citationItems&quot;:[{&quot;id&quot;:&quot;e94ef7b9-3585-3ef4-a5e1-0d430909edae&quot;,&quot;itemData&quot;:{&quot;type&quot;:&quot;article-journal&quot;,&quot;id&quot;:&quot;e94ef7b9-3585-3ef4-a5e1-0d430909edae&quot;,&quot;title&quot;:&quot;Applying the rasch model: Fundamental measurement in the human sciences&quot;,&quot;author&quot;:[{&quot;family&quot;:&quot;Bond&quot;,&quot;given&quot;:&quot;Trevor G.&quot;,&quot;parse-names&quot;:false,&quot;dropping-particle&quot;:&quot;&quot;,&quot;non-dropping-particle&quot;:&quot;&quot;},{&quot;family&quot;:&quot;Yan&quot;,&quot;given&quot;:&quot;Zi&quot;,&quot;parse-names&quot;:false,&quot;dropping-particle&quot;:&quot;&quot;,&quot;non-dropping-particle&quot;:&quot;&quot;},{&quot;family&quot;:&quot;Heene&quot;,&quot;given&quot;:&quot;Moritz&quot;,&quot;parse-names&quot;:false,&quot;dropping-particle&quot;:&quot;&quot;,&quot;non-dropping-particle&quot;:&quot;&quot;}],&quot;container-title&quot;:&quot;Applying the Rasch Model: Fundamental Measurement in the Human Sciences&quot;,&quot;accessed&quot;:{&quot;date-parts&quot;:[[2022,10,21]]},&quot;DOI&quot;:&quot;10.4324/9780429030499/APPLYING-RASCH-MODEL-TREVOR-BOND-ZI-YAN-MORITZ-HEENE&quot;,&quot;ISBN&quot;:&quot;9780429641510&quot;,&quot;URL&quot;:&quot;https://www.taylorfrancis.com/books/mono/10.4324/9780429030499/applying-rasch-model-trevor-bond-zi-yan-moritz-heene&quot;,&quot;issued&quot;:{&quot;date-parts&quot;:[[2020,7,20]]},&quot;page&quot;:&quot;1-348&quot;,&quot;abstract&quot;:&quot;Recognised as the most influential publication in the field, ARM facilitates deep understanding of the Rasch model and its practical applications. The authors review the crucial properties of the model and demonstrate its use with examples across the human sciences. Readers will be able to understand and critically evaluate Rasch measurement research, perform their own Rasch analyses and interpret their results. The glossary and illustrations support that understanding, and the accessible approach means that it is ideal for readers without a mathematical background. Highlights of the new edition include: More learning tools to strengthen readers' understanding including chapter introductions, boldfaced key terms, chapter summaries, activities and suggested readings. Greater emphasis on the use of R packages; readers can download the R code from the Routledge website. Explores the distinction between numerical values, quantity and units, to understand the measurement and the role of the Rasch logit scale (Chapter 4). A new four-option data set from the IASQ (Instrumental Attitude towards Self-assessment Questionnaire) for the Rating Scale Model (RSM) analysis exemplar (Chapter 6). Clarifies the relationship between Rasch measurement, path analysis and SEM, with a host of new examples of Rasch measurement applied across health sciences, education and psychology (Chapter 10). Intended as a text for graduate courses in measurement, item response theory, (advanced) research methods or quantitative analysis taught in psychology, education, human development, business, and other social and health sciences. Professionals in these areas will also appreciate the book's accessible introduction.&quot;,&quot;publisher&quot;:&quot;Taylor and Francis&quot;,&quot;container-title-short&quot;:&quot;&quot;},&quot;isTemporary&quot;:false},{&quot;id&quot;:&quot;f0be4cb3-2406-3fbb-a067-f6b98c3c0375&quot;,&quot;itemData&quot;:{&quot;type&quot;:&quot;article-journal&quot;,&quot;id&quot;:&quot;f0be4cb3-2406-3fbb-a067-f6b98c3c0375&quot;,&quot;title&quot;:&quot;Improving the evaluation of therapeutic interventions in multiple sclerosis: the role of new psychometric methods&quot;,&quot;author&quot;:[{&quot;family&quot;:&quot;Hobart&quot;,&quot;given&quot;:&quot;J.&quot;,&quot;parse-names&quot;:false,&quot;dropping-particle&quot;:&quot;&quot;,&quot;non-dropping-particle&quot;:&quot;&quot;},{&quot;family&quot;:&quot;Cano&quot;,&quot;given&quot;:&quot;S.&quot;,&quot;parse-names&quot;:false,&quot;dropping-particle&quot;:&quot;&quot;,&quot;non-dropping-particle&quot;:&quot;&quot;}],&quot;container-title&quot;:&quot;Health Technology Assessment&quot;,&quot;container-title-short&quot;:&quot;Health Technol Assess (Rockv)&quot;,&quot;accessed&quot;:{&quot;date-parts&quot;:[[2022,10,21]]},&quot;DOI&quot;:&quot;10.3310/HTA13120&quot;,&quot;ISSN&quot;:&quot;ISSN: 2046-4924&quot;,&quot;PMID&quot;:&quot;19216837&quot;,&quot;URL&quot;:&quot;www.hta.ac.uk&quot;,&quot;issued&quot;:{&quot;date-parts&quot;:[[2009,3,2]]},&quot;page&quot;:&quot;1-200&quot;,&quot;abstract&quot;:&quot;Objectives In this monograph we examine the added value of new psychometric methods (Rasch measurement and Item Response Theory) over traditional psychometric approaches by comparing and contrasting their psychometric evaluations of existing sets of rating scale data. We have concentrated on Rasch measurement rather than Item Response Theory because we believe that it is the more advantageous method for health measurement from a conceptual, theoretical and practical perspective. Our intention is to provide an authoritative document that describes the principles of Rasch measurement and the practice of Rasch analysis in a clear, detailed, non-technical form that is accurate and accessible to clinicians and researchers in health measurement. Review methods A comparison was undertaken of traditional and new psychometric methods in five large sets of rating scale data: (1) evaluation of the Rivermead Mobility Index (RMI) in data from 666 participants in the Cannabis in Multiple Sclerosis (CAMS) study; (2) evaluation of the Multiple Sclerosis Impact Scale (MSIS-29) in data from 1725 people with multiple sclerosis; (3) evaluation of test–retest reliability of MSIS-29 in data from 150 people with multiple sclerosis; (4) examination of the use of Rasch analysis to equate scales purporting to measure the same health construct in 585 people with multiple sclerosis; and (5) comparison of relative responsiveness of the Barthel Index and Functional Independence Measure in data from 1400 people undergoing neurorehabilitation. Results Both Rasch measurement and Item Response Theory are conceptually and theoretically superior to traditional psychometric methods. Findings from each of the five studies show that Rasch analysis is empirically superior to traditional psychometric methods for evaluating rating scales, developing rating scales, analysing rating scale data, understanding and measuring stability and change, and understanding the health constructs we seek to quantify. Conclusions There is considerable added value in using Rasch analysis rather than traditional psychometric methods in health measurement. Future research directions include the need to reproduce our findings in a range of clinical populations, detailed head-to-head comparisons of Rasch analysis and Item Response Theory, and the application of Rasch analysis to clinical practice.&quot;,&quot;publisher&quot;:&quot;National Co-ordinating Centre for HTA&quot;,&quot;issue&quot;:&quot;12&quot;,&quot;volume&quot;:&quot;13&quot;},&quot;isTemporary&quot;:false}],&quot;citationTag&quot;:&quot;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&quot;},{&quot;citationID&quot;:&quot;MENDELEY_CITATION_c51d8930-41f9-4b6e-9b97-23a61e5428b5&quot;,&quot;properties&quot;:{&quot;noteIndex&quot;:0},&quot;isEdited&quot;:false,&quot;manualOverride&quot;:{&quot;isManuallyOverridden&quot;:false,&quot;citeprocText&quot;:&quot;(T. Bond &amp;#38; Fox, 2015)&quot;,&quot;manualOverrideText&quot;:&quot;&quot;},&quot;citationItems&quot;:[{&quot;id&quot;:&quot;d704a8f4-9257-3cc9-b259-acc913913089&quot;,&quot;itemData&quot;:{&quot;type&quot;:&quot;article-journal&quot;,&quot;id&quot;:&quot;d704a8f4-9257-3cc9-b259-acc913913089&quot;,&quot;title&quot;:&quot;Applying the Rasch Model : Fundamental Measurement in the Human Sciences, Third Edition&quot;,&quot;author&quot;:[{&quot;family&quot;:&quot;Bond&quot;,&quot;given&quot;:&quot;Trevor&quot;,&quot;parse-names&quot;:false,&quot;dropping-particle&quot;:&quot;&quot;,&quot;non-dropping-particle&quot;:&quot;&quot;},{&quot;family&quot;:&quot;Fox&quot;,&quot;given&quot;:&quot;Christine&quot;,&quot;parse-names&quot;:false,&quot;dropping-particle&quot;:&quot;&quot;,&quot;non-dropping-particle&quot;:&quot;&quot;}],&quot;container-title&quot;:&quot;Applying the Rasch Model&quot;,&quot;accessed&quot;:{&quot;date-parts&quot;:[[2022,10,21]]},&quot;DOI&quot;:&quot;10.4324/9781315814698&quot;,&quot;ISBN&quot;:&quot;9781315814698&quot;,&quot;URL&quot;:&quot;https://www.taylorfrancis.com/books/mono/10.4324/9781315814698/applying-rasch-model-trevor-bond&quot;,&quot;issued&quot;:{&quot;date-parts&quot;:[[2015,6,5]]},&quot;abstract&quot;:&quot;Cited over 1900 times, this classic text facilitates a deep understanding of the Rasch model. The authors review the crucial properties of the model and demonstrate its use with a variety of examples from education, psychology, and health. A glossary and numerous illustrations aid the reader's understanding. Readers learn how to apply Rasch analysis so they can perform their own analyses and interpret the results. The authors present an accessible overview that does not require a mathematical background. \n\nHighlights of the new edition include:\n-More learning tools to strengthen readers’ understanding including chapter introductions, boldfaced key terms, chapter summaries, activities, and suggested readings.\n-Divided chapters (4, 6, 7 &amp; 8) into basic and extended understanding sections so readers can select the level most appropriate for their needs and to provide more in-depth investigations of key topics.\n-A website at www.routledge.com/9780415833424 that features free Rasch software, data sets, an Invariance worksheet, detailed instructions for key analyses, and links to related sources.\n-Greater emphasis on the role of Rasch measurement as a priori in the construction of scales and its use post hoc to reveal the extent to which interval scale measurement is instantiated in existing data sets.\n-Emphasizes the importance of interval level measurement data and demonstrates how Rasch measurement is used to examine measurement invariance.\n-Insights from other Rasch scholars via innovative applications (Ch. 9).\n-Extended discussion of invariance now reviews DIF, DPF, and anchoring (ch. 5). \n-Revised Rating Scale Model material now based on the analysis of the CEAQ (ch.6).\n-Clarifies the relationships between Rasch measurement, True Score Theory, and Item Response Theory by reviewing their commonalities and differences (Ch.13).\n-Provides more detail on how to conduct a Rasch analysis so readers can use the techniques on their own (Appendix B).\n\nIntended as a text for graduate courses in measurement, item response theory, (advanced) research methods or quantitative analysis taught in psychology, education, human development, business, and other social and health sciences, professionals in these areas also appreciate the book‘s accessible introduction.&quot;,&quot;publisher&quot;:&quot;Routledge&quot;,&quot;container-title-short&quot;:&quot;&quot;},&quot;isTemporary&quot;:false}],&quot;citationTag&quot;:&quot;MENDELEY_CITATION_v3_eyJjaXRhdGlvbklEIjoiTUVOREVMRVlfQ0lUQVRJT05fYzUxZDg5MzAtNDFmOS00YjZlLTliOTctMjNhNjFlNTQyOGI1IiwicHJvcGVydGllcyI6eyJub3RlSW5kZXgiOjB9LCJpc0VkaXRlZCI6ZmFsc2UsIm1hbnVhbE92ZXJyaWRlIjp7ImlzTWFudWFsbHlPdmVycmlkZGVuIjpmYWxzZSwiY2l0ZXByb2NUZXh0IjoiKFQuIEJvbmQgJiMzODsgRm94LCAyMDE1KSIsIm1hbnVhbE92ZXJyaWRlVGV4dCI6IiJ9LCJjaXRhdGlvbkl0ZW1zIjpb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V19&quot;},{&quot;citationID&quot;:&quot;MENDELEY_CITATION_f748686f-c8ce-4618-9e40-601e01f38889&quot;,&quot;properties&quot;:{&quot;noteIndex&quot;:0},&quot;isEdited&quot;:false,&quot;manualOverride&quot;:{&quot;isManuallyOverridden&quot;:false,&quot;citeprocText&quot;:&quot;(Tennant et al., 2004)&quot;,&quot;manualOverrideText&quot;:&quot;&quot;},&quot;citationItems&quot;:[{&quot;id&quot;:&quot;96ab2102-df81-310f-a1bd-92d7980ca3cc&quot;,&quot;itemData&quot;:{&quot;type&quot;:&quot;article-journal&quot;,&quot;id&quot;:&quot;96ab2102-df81-310f-a1bd-92d7980ca3cc&quot;,&quot;title&quot;:&quot;Application of Rasch Analysis in the Development and Application of Quality of Life Instruments&quot;,&quot;author&quot;:[{&quot;family&quot;:&quot;Tennant&quot;,&quot;given&quot;:&quot;Alan&quot;,&quot;parse-names&quot;:false,&quot;dropping-particle&quot;:&quot;&quot;,&quot;non-dropping-particle&quot;:&quot;&quot;},{&quot;family&quot;:&quot;McKenna&quot;,&quot;given&quot;:&quot;Stephen P&quot;,&quot;parse-names&quot;:false,&quot;dropping-particle&quot;:&quot;&quot;,&quot;non-dropping-particle&quot;:&quot;&quot;},{&quot;family&quot;:&quot;Hagell&quot;,&quot;given&quot;:&quot;Peter&quot;,&quot;parse-names&quot;:false,&quot;dropping-particle&quot;:&quot;&quot;,&quot;non-dropping-particle&quot;:&quot;&quot;}],&quot;container-title&quot;:&quot;Value in Health&quot;,&quot;accessed&quot;:{&quot;date-parts&quot;:[[2022,10,21]]},&quot;DOI&quot;:&quot;10.1111/j.1524-4733.2004.7s106.x&quot;,&quot;issued&quot;:{&quot;date-parts&quot;:[[2004]]},&quot;page&quot;:&quot;S22-S26&quot;,&quot;abstract&quot;:&quot;This paper discusses recent advances that have been made in the field of psychometrics, specifically, the application of Rasch analysis to the instrument development process. It emphasizes the importance of assessing the fundamental scaling properties of an instrument prior to consideration of traditional psychometric indicators. The paper introduces Rasch analysis and shows how it has been applied in the development of needs-based measures in order to ensure that they provide unidimensional measurement. By ensuring that scales are based on the same measurement model and that they fit the Rasch model it is possible for QoL scores to be compared across diseases by means of cocalibration and item banking. Keywords: classical test theory, differential item functioning , needs-based quality of life, Rasch analysis, undimensionality. As long as primitive counts and raw scores are routinely mistaken for measures by our colleagues in social, educational, and health research, there is no hope of their professional activities ever developing into a reliable or useful science [1]. A crucial aspect of the application of the needs model is that it has been allied with the most advanced psychometric methods. This paper argues the case for the use of Rasch analysis to ensure that scales are unidimensional [2], a fundamental requirement of construct validity [3]. The paper gives an overview of the nature of Rasch analysis and shows how it aids valid across-disease comparisons of quality of life (QoL) by means of co-calibration and the development of item banks. Over the last two decades an analytical approach has been adopted that is pivotal to both judging the quality of existing outcome instruments and in developing new instruments. This approach is called Rasch analysis, after its originator, a Danish mathematician. He developed Poisson models for reading, intelligence, and achievement tests, the last becoming known as the Rasch model [2]. Rasch analysis has been employed in the development of most of the needs-based QoL instruments, to ensure that the resulting scales are unidimensional. Only the earliest developed needs-based measures did not benefit from this approach and studies are underway to ensure that earlier measures are updated to fit the Rasch model [4]. The quest for measurement is an important part of advancing science, and the type of measurement, which allows for arithmetic operations such as addition and subtraction, is known as fundamental measurement [5]. Most outcome measures used in health care are ordinal in nature, precluding such arithmetic operations [6]. Many such measures focus on attributes that are not directly measurable, such as pain, self-esteem, or quality of life. These measures give a \&quot;manifest score\&quot; of the construct being measured. Consequently, most outcomes are expressed as ordinal manifest scores, indicating some rank on a perceived underlying latent trait. Although there is a substantial body of nonpara-metric statistics to analyze such information, the importance of the calculation of change scores in clinical trial analysis (and attributes of measurement such as the \&quot;effect size\&quot; [7]), which require normally distributed interval-level measurement, gives urgency to achieving a quality of measurement that will sustain such arithmetic operations. In order to achieve such fundamental measurement certain properties are required. These are reviewed in detail elsewhere [8,9] but essentially they are: • the numerical properties of order (one mark on the ruler represents more or less of the construct than another); • addition (points on rulers may be added together); and&quot;,&quot;volume&quot;:&quot;7&quot;,&quot;container-title-short&quot;:&quot;&quot;},&quot;isTemporary&quot;:false}],&quot;citationTag&quot;:&quot;MENDELEY_CITATION_v3_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&quot;},{&quot;citationID&quot;:&quot;MENDELEY_CITATION_01d17904-bf89-462f-b0b1-09c6cf3ba70a&quot;,&quot;properties&quot;:{&quot;noteIndex&quot;:0},&quot;isEdited&quot;:false,&quot;manualOverride&quot;:{&quot;isManuallyOverridden&quot;:false,&quot;citeprocText&quot;:&quot;(Bessing et al., 2022; T. Bond &amp;#38; Fox, 2015; Morris et al., 2017)&quot;,&quot;manualOverrideText&quot;:&quot;&quot;},&quot;citationItems&quot;:[{&quot;id&quot;:&quot;8474d4ca-35e2-36c0-93e6-85662ec5d4ae&quot;,&quot;itemData&quot;:{&quot;type&quot;:&quot;article-journal&quot;,&quot;id&quot;:&quot;8474d4ca-35e2-36c0-93e6-85662ec5d4ae&quot;,&quot;title&quot;:&quot;Measurement Properties of the Health Literacy Questionnaire in the Understanding Multiple Sclerosis Massive Open Online Course Cohort: A Rasch Analysis&quot;,&quot;author&quot;:[{&quot;family&quot;:&quot;Bessing&quot;,&quot;given&quot;:&quot;Barnabas&quot;,&quot;parse-names&quot;:false,&quot;dropping-particle&quot;:&quot;&quot;,&quot;non-dropping-particle&quot;:&quot;&quot;},{&quot;family&quot;:&quot;Honan&quot;,&quot;given&quot;:&quot;Cynthia A.&quot;,&quot;parse-names&quot;:false,&quot;dropping-particle&quot;:&quot;&quot;,&quot;non-dropping-particle&quot;:&quot;&quot;},{&quot;family&quot;:&quot;Mei&quot;,&quot;given&quot;:&quot;Ingrid&quot;,&quot;parse-names&quot;:false,&quot;dropping-particle&quot;:&quot;&quot;,&quot;non-dropping-particle&quot;:&quot;van der&quot;},{&quot;family&quot;:&quot;Taylor&quot;,&quot;given&quot;:&quot;Bruce&quot;,&quot;parse-names&quot;:false,&quot;dropping-particle&quot;:&quot;v.&quot;,&quot;non-dropping-particle&quot;:&quot;&quot;},{&quot;family&quot;:&quot;Claflin&quot;,&quot;given&quot;:&quot;Suzi B.&quot;,&quot;parse-names&quot;:false,&quot;dropping-particle&quot;:&quot;&quot;,&quot;non-dropping-particle&quot;:&quot;&quot;}],&quot;container-title&quot;:&quot;Health literacy research and practice&quot;,&quot;container-title-short&quot;:&quot;Health Lit Res Pract&quot;,&quot;accessed&quot;:{&quot;date-parts&quot;:[[2022,10,21]]},&quot;DOI&quot;:&quot;10.3928/24748307-20220720-01&quot;,&quot;ISSN&quot;:&quot;24748307&quot;,&quot;PMID&quot;:&quot;35943837&quot;,&quot;issued&quot;:{&quot;date-parts&quot;:[[2022,7,1]]},&quot;page&quot;:&quot;e200-e212&quot;,&quot;abstract&quot;:&quot;BACKGROUND: Online health education and other electronic health improvement strategies are developing rapidly, highlighting the growing need for valid scales to assess health literacy (HL). One comprehensive HL scale is the Health Literacy Questionnaire (HLQ), but little is known about its measurement properties in online health education cohorts. OBJECTIVE: The purpose of this study was to determine if the multidimensional HLQ is an appropriate tool to measure HL in a cohort of Understanding Multiple Sclerosis (MS) online course enrollees. METHODS: Participants who enrolled in the first two open enrollments of the Understanding MS online course completed the HLQ (N = 1,182) in an online survey prior to beginning course materials. We used Rasch analysis to assess the measurement properties of the HLQ. KEY RESULTS: The nine Domains of the HLQ each had ordered category function and a good fit with the Rasch model. Each domain was one-dimensional and exhibited good internal consistency and reliability. None of the 44 individual items of the HLQ demonstrated item bias or local dependency. However, while the overall fit was good, few measurement gaps were identified in this cohort for participants in each of the nine Domains, meaning that the HLQ may have low measurement precision in some participants. CONCLUSION: Our analysis of the HLQ indicated acceptable measurement properties in a cohort of Understanding MS online course enrollees. Although reliable information on nine separate constructs of HL was obtainable in the current study indicating that the HLQ can be used in similar cohorts, its limitations must be also considered. [HLRP: Health Literacy Research and Practice. 2022;6(3):e200-e212.] Plain Language Summary: In this study, we have shown that the HLQ is suitable for measuring HL in an online public health educational platforms for chronic diseases including multiple sclerosis. This finding adds to the evidence that the HLQ can be widely used in measuring HL in different settings, populations, and health educational platforms.&quot;,&quot;publisher&quot;:&quot;NLM (Medline)&quot;,&quot;issue&quot;:&quot;3&quot;,&quot;volume&quot;:&quot;6&quot;},&quot;isTemporary&quot;:false},{&quot;id&quot;:&quot;d704a8f4-9257-3cc9-b259-acc913913089&quot;,&quot;itemData&quot;:{&quot;type&quot;:&quot;article-journal&quot;,&quot;id&quot;:&quot;d704a8f4-9257-3cc9-b259-acc913913089&quot;,&quot;title&quot;:&quot;Applying the Rasch Model : Fundamental Measurement in the Human Sciences, Third Edition&quot;,&quot;author&quot;:[{&quot;family&quot;:&quot;Bond&quot;,&quot;given&quot;:&quot;Trevor&quot;,&quot;parse-names&quot;:false,&quot;dropping-particle&quot;:&quot;&quot;,&quot;non-dropping-particle&quot;:&quot;&quot;},{&quot;family&quot;:&quot;Fox&quot;,&quot;given&quot;:&quot;Christine&quot;,&quot;parse-names&quot;:false,&quot;dropping-particle&quot;:&quot;&quot;,&quot;non-dropping-particle&quot;:&quot;&quot;}],&quot;container-title&quot;:&quot;Applying the Rasch Model&quot;,&quot;accessed&quot;:{&quot;date-parts&quot;:[[2022,10,21]]},&quot;DOI&quot;:&quot;10.4324/9781315814698&quot;,&quot;ISBN&quot;:&quot;9781315814698&quot;,&quot;URL&quot;:&quot;https://www.taylorfrancis.com/books/mono/10.4324/9781315814698/applying-rasch-model-trevor-bond&quot;,&quot;issued&quot;:{&quot;date-parts&quot;:[[2015,6,5]]},&quot;abstract&quot;:&quot;Cited over 1900 times, this classic text facilitates a deep understanding of the Rasch model. The authors review the crucial properties of the model and demonstrate its use with a variety of examples from education, psychology, and health. A glossary and numerous illustrations aid the reader's understanding. Readers learn how to apply Rasch analysis so they can perform their own analyses and interpret the results. The authors present an accessible overview that does not require a mathematical background. \n\nHighlights of the new edition include:\n-More learning tools to strengthen readers’ understanding including chapter introductions, boldfaced key terms, chapter summaries, activities, and suggested readings.\n-Divided chapters (4, 6, 7 &amp; 8) into basic and extended understanding sections so readers can select the level most appropriate for their needs and to provide more in-depth investigations of key topics.\n-A website at www.routledge.com/9780415833424 that features free Rasch software, data sets, an Invariance worksheet, detailed instructions for key analyses, and links to related sources.\n-Greater emphasis on the role of Rasch measurement as a priori in the construction of scales and its use post hoc to reveal the extent to which interval scale measurement is instantiated in existing data sets.\n-Emphasizes the importance of interval level measurement data and demonstrates how Rasch measurement is used to examine measurement invariance.\n-Insights from other Rasch scholars via innovative applications (Ch. 9).\n-Extended discussion of invariance now reviews DIF, DPF, and anchoring (ch. 5). \n-Revised Rating Scale Model material now based on the analysis of the CEAQ (ch.6).\n-Clarifies the relationships between Rasch measurement, True Score Theory, and Item Response Theory by reviewing their commonalities and differences (Ch.13).\n-Provides more detail on how to conduct a Rasch analysis so readers can use the techniques on their own (Appendix B).\n\nIntended as a text for graduate courses in measurement, item response theory, (advanced) research methods or quantitative analysis taught in psychology, education, human development, business, and other social and health sciences, professionals in these areas also appreciate the book‘s accessible introduction.&quot;,&quot;publisher&quot;:&quot;Routledge&quot;,&quot;container-title-short&quot;:&quot;&quot;},&quot;isTemporary&quot;:false},{&quot;id&quot;:&quot;7763a4b4-3271-3e2f-9bea-f64978d14847&quot;,&quot;itemData&quot;:{&quot;type&quot;:&quot;article-journal&quot;,&quot;id&quot;:&quot;7763a4b4-3271-3e2f-9bea-f64978d14847&quot;,&quot;title&quot;:&quot;Measurement properties of the Health Literacy Questionnaire (HLQ) among older adults who present to the emergency department after a fall: A Rasch analysis&quot;,&quot;author&quot;:[{&quot;family&quot;:&quot;Morris&quot;,&quot;given&quot;:&quot;Rebecca L.&quot;,&quot;parse-names&quot;:false,&quot;dropping-particle&quot;:&quot;&quot;,&quot;non-dropping-particle&quot;:&quot;&quot;},{&quot;family&quot;:&quot;Soh&quot;,&quot;given&quot;:&quot;Sze Ee&quot;,&quot;parse-names&quot;:false,&quot;dropping-particle&quot;:&quot;&quot;,&quot;non-dropping-particle&quot;:&quot;&quot;},{&quot;family&quot;:&quot;Hill&quot;,&quot;given&quot;:&quot;Keith D.&quot;,&quot;parse-names&quot;:false,&quot;dropping-particle&quot;:&quot;&quot;,&quot;non-dropping-particle&quot;:&quot;&quot;},{&quot;family&quot;:&quot;Buchbinder&quot;,&quot;given&quot;:&quot;Rachelle&quot;,&quot;parse-names&quot;:false,&quot;dropping-particle&quot;:&quot;&quot;,&quot;non-dropping-particle&quot;:&quot;&quot;},{&quot;family&quot;:&quot;Lowthian&quot;,&quot;given&quot;:&quot;Judy A.&quot;,&quot;parse-names&quot;:false,&quot;dropping-particle&quot;:&quot;&quot;,&quot;non-dropping-particle&quot;:&quot;&quot;},{&quot;family&quot;:&quot;Redfern&quot;,&quot;given&quot;:&quot;Julie&quot;,&quot;parse-names&quot;:false,&quot;dropping-particle&quot;:&quot;&quot;,&quot;non-dropping-particle&quot;:&quot;&quot;},{&quot;family&quot;:&quot;Etherton-Beer&quot;,&quot;given&quot;:&quot;Christopher D.&quot;,&quot;parse-names&quot;:false,&quot;dropping-particle&quot;:&quot;&quot;,&quot;non-dropping-particle&quot;:&quot;&quot;},{&quot;family&quot;:&quot;Hill&quot;,&quot;given&quot;:&quot;Anne Marie&quot;,&quot;parse-names&quot;:false,&quot;dropping-particle&quot;:&quot;&quot;,&quot;non-dropping-particle&quot;:&quot;&quot;},{&quot;family&quot;:&quot;Osborne&quot;,&quot;given&quot;:&quot;Richard H.&quot;,&quot;parse-names&quot;:false,&quot;dropping-particle&quot;:&quot;&quot;,&quot;non-dropping-particle&quot;:&quot;&quot;},{&quot;family&quot;:&quot;Arendts&quot;,&quot;given&quot;:&quot;Glenn&quot;,&quot;parse-names&quot;:false,&quot;dropping-particle&quot;:&quot;&quot;,&quot;non-dropping-particle&quot;:&quot;&quot;},{&quot;family&quot;:&quot;Barker&quot;,&quot;given&quot;:&quot;Anna L.&quot;,&quot;parse-names&quot;:false,&quot;dropping-particle&quot;:&quot;&quot;,&quot;non-dropping-particle&quot;:&quot;&quot;}],&quot;container-title&quot;:&quot;BMC Health Services Research&quot;,&quot;container-title-short&quot;:&quot;BMC Health Serv Res&quot;,&quot;accessed&quot;:{&quot;date-parts&quot;:[[2022,10,21]]},&quot;DOI&quot;:&quot;10.1186/S12913-017-2520-9/FIGURES/2&quot;,&quot;ISSN&quot;:&quot;14726963&quot;,&quot;PMID&quot;:&quot;28851344&quot;,&quot;URL&quot;:&quot;https://bmchealthservres.biomedcentral.com/articles/10.1186/s12913-017-2520-9&quot;,&quot;issued&quot;:{&quot;date-parts&quot;:[[2017,8,29]]},&quot;page&quot;:&quot;1-11&quot;,&quot;abstract&quot;:&quot;Background: Health literacy is an important concept associated with participation in preventive health initiatives, such as falls prevention programs. A comprehensive health literacy measurement tool, appropriate for this population, is required. The aim of this study was to evaluate the measurement properties of the Health Literacy Questionnaire (HLQ) in a cohort of older adults who presented to a hospital emergency department (ED) after a fall. Methods: Older adults who presented to an ED after a fall had their health literacy assessed using the HLQ (n = 433). Data were collected as part of a multi-centre randomised controlled trial of a falls prevention program. Measurement properties of the HLQ were assessed using Rasch analysis. Results: All nine scales of the HLQ were unidimensional, with good internal consistency reliability. No item bias was found for most items (43 of 44). A degree of overall misfit to the Rasch model was evident for six of the nine HLQ scales. The majority of misfit indicated content overlap between some items and does not compromise measurement. A measurement gap was identified for this cohort at mid to high HLQ score. Conclusions: The HLQ demonstrated good measurement properties in a cohort of older adults who presented to an ED after a fall. The summation of the HLQ items within each scale, providing unbiased information on nine separate areas of health literacy, is supported. Clinicians, researchers and policy makers may have confidence using the HLQ scale scores to gain information about health literacy in older people presenting to the ED after a fall. Trial registration: This study was registered with the Australian New Zealand Clinical Trials Registry, number ACTRN12614000336684 (27 March 2014).&quot;,&quot;publisher&quot;:&quot;BioMed Central Ltd.&quot;,&quot;issue&quot;:&quot;1&quot;,&quot;volume&quot;:&quot;17&quot;},&quot;isTemporary&quot;:false}],&quot;citationTag&quot;:&quot;MENDELEY_CITATION_v3_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&quot;},{&quot;citationID&quot;:&quot;MENDELEY_CITATION_947677ac-660f-454d-b2e7-c70476f913bc&quot;,&quot;properties&quot;:{&quot;noteIndex&quot;:0},&quot;isEdited&quot;:false,&quot;manualOverride&quot;:{&quot;isManuallyOverridden&quot;:true,&quot;citeprocText&quot;:&quot;(Rasch, 1993)&quot;,&quot;manualOverrideText&quot;:&quot;(G. (Georg) Rasch, 1993)&quot;},&quot;citationItems&quot;:[{&quot;id&quot;:&quot;2297a9b3-0182-34c6-9fc9-43aa9ef473ab&quot;,&quot;itemData&quot;:{&quot;type&quot;:&quot;article-journal&quot;,&quot;id&quot;:&quot;2297a9b3-0182-34c6-9fc9-43aa9ef473ab&quot;,&quot;title&quot;:&quot;Probabilistic Models for Some Intelligence and Attainment Tests.&quot;,&quot;author&quot;:[{&quot;family&quot;:&quot;Rasch&quot;,&quot;given&quot;:&quot;G. (Georg)&quot;,&quot;parse-names&quot;:false,&quot;dropping-particle&quot;:&quot;&quot;,&quot;non-dropping-particle&quot;:&quot;&quot;}],&quot;accessed&quot;:{&quot;date-parts&quot;:[[2023,3,6]]},&quot;ISBN&quot;:&quot;0-941938-05-0&quot;,&quot;issued&quot;:{&quot;date-parts&quot;:[[1993]]},&quot;page&quot;:&quot;199&quot;,&quot;abstract&quot;:&quot;The psychometric research done by G. Rasch between 1951 and 1959, which is explained and illustrated in this book, takes psychometrics from being purely descriptive to being a science of objective measurement. Individual centered statistics require models in which each individual is characterized separately and from which, given adequate data, individual parameters can be estimated. It is further essential that comparisons between individuals become independent of the particular instruments used within the same class. This work demonstrates possibilities for building models that meet these demands. Part A, Chapters 1 through 7, discusses the basic principles with as little reference to mathematics as is practical. Part B, Chapters 8 through 10, then gives a full account of the  mathematical background of these models. The following chapters are presented: (1) \&quot;Introduction\&quot;; (2) \&quot;Oral Reading Tests. A Model for Misreadings\&quot;; (3) \&quot;Oral Reading Tests. A Model&quot;,&quot;publisher&quot;:&quot;MESA Press, 5835 S. Kimbark Ave., Chicago, IL 60637; e-mail: MESA@uchicago.edu; web address: www.rasch.org; telephone: 773-702-1596 fax: 773-834-0326 ($20).&quot;,&quot;container-title-short&quot;:&quot;&quot;},&quot;isTemporary&quot;:false}],&quot;citationTag&quot;:&quot;MENDELEY_CITATION_v3_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&quot;},{&quot;citationID&quot;:&quot;MENDELEY_CITATION_f304908d-a8b5-4929-9334-5687e1ef30cf&quot;,&quot;properties&quot;:{&quot;noteIndex&quot;:0},&quot;isEdited&quot;:false,&quot;manualOverride&quot;:{&quot;isManuallyOverridden&quot;:false,&quot;citeprocText&quot;:&quot;(Andrich, 1978)&quot;,&quot;manualOverrideText&quot;:&quot;&quot;},&quot;citationItems&quot;:[{&quot;id&quot;:&quot;c8bcf9ce-2069-3493-b761-af5eac8d3c77&quot;,&quot;itemData&quot;:{&quot;type&quot;:&quot;article-journal&quot;,&quot;id&quot;:&quot;c8bcf9ce-2069-3493-b761-af5eac8d3c77&quot;,&quot;title&quot;:&quot;A rating formulation for ordered response categories&quot;,&quot;author&quot;:[{&quot;family&quot;:&quot;Andrich&quot;,&quot;given&quot;:&quot;David&quot;,&quot;parse-names&quot;:false,&quot;dropping-particle&quot;:&quot;&quot;,&quot;non-dropping-particle&quot;:&quot;&quot;}],&quot;container-title&quot;:&quot;Psychometrika&quot;,&quot;container-title-short&quot;:&quot;Psychometrika&quot;,&quot;accessed&quot;:{&quot;date-parts&quot;:[[2023,3,6]]},&quot;DOI&quot;:&quot;10.1007/BF02293814/METRICS&quot;,&quot;ISSN&quot;:&quot;00333123&quot;,&quot;URL&quot;:&quot;https://link.springer.com/article/10.1007/BF02293814&quot;,&quot;issued&quot;:{&quot;date-parts&quot;:[[1978,12]]},&quot;page&quot;:&quot;561-573&quot;,&quot;abstract&quot;:&quot;A rating response mechanism for ordered categories, which is related to the traditional threshold formulation but distinctively different from it, is formulated. In addition to the subject and item parameters two other sets of parameters, which can be interpreted in terms of thresholds on a latent continuum and discriminations at the thresholds, are obtained. These parameters are identified with the category coefficients and the scoring function of the Rasch model for polychotomous responses in which the latent trait is assumed uni-dimensional. In the case where the threshold discriminations are equal, the scoring of successive categories by the familiar assignment of successive integers is justified. In the case where distances between thresholds are also equal, a simple pattern of category coefficients is shown to follow. © 1978 Psychometric Society.&quot;,&quot;publisher&quot;:&quot;Springer-Verlag&quot;,&quot;issue&quot;:&quot;4&quot;,&quot;volume&quot;:&quot;43&quot;},&quot;isTemporary&quot;:false}],&quot;citationTag&quot;:&quot;MENDELEY_CITATION_v3_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&quot;},{&quot;citationID&quot;:&quot;MENDELEY_CITATION_5c8ba091-8188-4f20-8da3-94e6b766bde4&quot;,&quot;properties&quot;:{&quot;noteIndex&quot;:0},&quot;isEdited&quot;:false,&quot;manualOverride&quot;:{&quot;isManuallyOverridden&quot;:false,&quot;citeprocText&quot;:&quot;(Masters, 1982)&quot;,&quot;manualOverrideText&quot;:&quot;&quot;},&quot;citationItems&quot;:[{&quot;id&quot;:&quot;d4390ba0-453b-3d61-8300-3265240e49c4&quot;,&quot;itemData&quot;:{&quot;type&quot;:&quot;article-journal&quot;,&quot;id&quot;:&quot;d4390ba0-453b-3d61-8300-3265240e49c4&quot;,&quot;title&quot;:&quot;A rasch model for partial credit scoring&quot;,&quot;author&quot;:[{&quot;family&quot;:&quot;Masters&quot;,&quot;given&quot;:&quot;Geoff N.&quot;,&quot;parse-names&quot;:false,&quot;dropping-particle&quot;:&quot;&quot;,&quot;non-dropping-particle&quot;:&quot;&quot;}],&quot;container-title&quot;:&quot;Psychometrika&quot;,&quot;container-title-short&quot;:&quot;Psychometrika&quot;,&quot;accessed&quot;:{&quot;date-parts&quot;:[[2023,3,6]]},&quot;DOI&quot;:&quot;10.1007/BF02296272/METRICS&quot;,&quot;ISSN&quot;:&quot;00333123&quot;,&quot;URL&quot;:&quot;https://link.springer.com/article/10.1007/BF02296272&quot;,&quot;issued&quot;:{&quot;date-parts&quot;:[[1982,6]]},&quot;page&quot;:&quot;149-174&quot;,&quot;abstract&quot;:&quot;A unidimensional latent trait model for responses scored in two or more ordered categories is developed. This \&quot;Partial Credit\&quot; model is a member of the family of latent trait models which share the property of parameter separability and so permit \&quot;specifically objective\&quot; comparisons of persons and items. The model can be viewed as an extension of Andrich's Rating Scale model to situations in which ordered response alternatives are free to vary in number and structure from item to item. The difference between the parameters in this model and the \&quot;category boundaries\&quot; in Samejima's Graded Response model is demonstrated. An unconditional maximum likelihood procedure for estimating the model parameters is developed. © 1982 The Psychometric Society.&quot;,&quot;publisher&quot;:&quot;Springer-Verlag&quot;,&quot;issue&quot;:&quot;2&quot;,&quot;volume&quot;:&quot;47&quot;},&quot;isTemporary&quot;:false}],&quot;citationTag&quot;:&quot;MENDELEY_CITATION_v3_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&quot;},{&quot;citationID&quot;:&quot;MENDELEY_CITATION_4336b27a-2ad3-43ba-913f-efa876dc9872&quot;,&quot;properties&quot;:{&quot;noteIndex&quot;:0},&quot;isEdited&quot;:false,&quot;manualOverride&quot;:{&quot;isManuallyOverridden&quot;:false,&quot;citeprocText&quot;:&quot;(J. M. Linacre, 2022)&quot;,&quot;manualOverrideText&quot;:&quot;&quot;},&quot;citationItems&quot;:[{&quot;id&quot;:&quot;b0376302-4699-3b80-8000-94b2153a1201&quot;,&quot;itemData&quot;:{&quot;type&quot;:&quot;article&quot;,&quot;id&quot;:&quot;b0376302-4699-3b80-8000-94b2153a1201&quot;,&quot;title&quot;:&quot;Winsteps® Rasch measurement computer program&quot;,&quot;author&quot;:[{&quot;family&quot;:&quot;Linacre&quot;,&quot;given&quot;:&quot;J. M.&quot;,&quot;parse-names&quot;:false,&quot;dropping-particle&quot;:&quot;&quot;,&quot;non-dropping-particle&quot;:&quot;&quot;}],&quot;number&quot;:&quot;(Version 5.2.3)&quot;,&quot;issued&quot;:{&quot;date-parts&quot;:[[2022]]},&quot;publisher-place&quot;:&quot;Portland, Oregon&quot;,&quot;publisher&quot;:&quot;Winsteps.com&quot;,&quot;container-title-short&quot;:&quot;&quot;},&quot;isTemporary&quot;:false}],&quot;citationTag&quot;:&quot;MENDELEY_CITATION_v3_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&quot;},{&quot;citationID&quot;:&quot;MENDELEY_CITATION_dfdc379d-e48a-4677-8509-5b0326413d86&quot;,&quot;properties&quot;:{&quot;noteIndex&quot;:0},&quot;isEdited&quot;:false,&quot;manualOverride&quot;:{&quot;isManuallyOverridden&quot;:false,&quot;citeprocText&quot;:&quot;(J. M. Linacre, 2022)&quot;,&quot;manualOverrideText&quot;:&quot;&quot;},&quot;citationItems&quot;:[{&quot;id&quot;:&quot;b0376302-4699-3b80-8000-94b2153a1201&quot;,&quot;itemData&quot;:{&quot;type&quot;:&quot;article&quot;,&quot;id&quot;:&quot;b0376302-4699-3b80-8000-94b2153a1201&quot;,&quot;title&quot;:&quot;Winsteps® Rasch measurement computer program&quot;,&quot;author&quot;:[{&quot;family&quot;:&quot;Linacre&quot;,&quot;given&quot;:&quot;J. M.&quot;,&quot;parse-names&quot;:false,&quot;dropping-particle&quot;:&quot;&quot;,&quot;non-dropping-particle&quot;:&quot;&quot;}],&quot;number&quot;:&quot;(Version 5.2.3)&quot;,&quot;issued&quot;:{&quot;date-parts&quot;:[[2022]]},&quot;publisher-place&quot;:&quot;Portland, Oregon&quot;,&quot;publisher&quot;:&quot;Winsteps.com&quot;,&quot;container-title-short&quot;:&quot;&quot;},&quot;isTemporary&quot;:false}],&quot;citationTag&quot;:&quot;MENDELEY_CITATION_v3_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&quot;},{&quot;citationID&quot;:&quot;MENDELEY_CITATION_a4bcc460-0332-4f50-b0d9-f0879ac9c8eb&quot;,&quot;properties&quot;:{&quot;noteIndex&quot;:0},&quot;isEdited&quot;:false,&quot;manualOverride&quot;:{&quot;isManuallyOverridden&quot;:false,&quot;citeprocText&quot;:&quot;(J. M. Linacre, 2002)&quot;,&quot;manualOverrideText&quot;:&quot;&quot;},&quot;citationItems&quot;:[{&quot;id&quot;:&quot;86dbcd9d-a7db-37f0-bfa5-9f48c0ccfa62&quot;,&quot;itemData&quot;:{&quot;type&quot;:&quot;article-journal&quot;,&quot;id&quot;:&quot;86dbcd9d-a7db-37f0-bfa5-9f48c0ccfa62&quot;,&quot;title&quot;:&quot;Optimizing Rating Scale Category Effectiveness&quot;,&quot;author&quot;:[{&quot;family&quot;:&quot;Linacre&quot;,&quot;given&quot;:&quot;John M&quot;,&quot;parse-names&quot;:false,&quot;dropping-particle&quot;:&quot;&quot;,&quot;non-dropping-particle&quot;:&quot;&quot;}],&quot;container-title&quot;:&quot;Journal of Applied Measurement&quot;,&quot;container-title-short&quot;:&quot;J Appl Meas&quot;,&quot;accessed&quot;:{&quot;date-parts&quot;:[[2023,3,6]]},&quot;issued&quot;:{&quot;date-parts&quot;:[[2002]]},&quot;page&quot;:&quot;85-106&quot;,&quot;abstract&quot;:&quot;Rating scales are employed as a means of extracting more information out of an item than would be obtained from a mere \&quot;yes/no\&quot;, \&quot;right/wrong\&quot; or other dichotomy. But does this additional information increase measurement accuracy and precision? Eight guidelines are suggested to aid the analyst in optimizing the manner in which rating scales categories cooperate in order to improve the utility of the resultant measures. Though these guidelines are presented within the context of Rasch analysis, they reflect aspects of rating scale functioning which impact all methods of analysis. The guidelines feature rating-scale-based data such as category frequency, ordering, rating-to-measure inferential coherence, and the quality of the scale from measurement and statistical perspectives. The manner in which the guidelines prompt recategorization or reconceptualization of the rating scale is indicated. Utilization of the guidelines is illustrated through their application to two published data sets.&quot;,&quot;issue&quot;:&quot;1&quot;,&quot;volume&quot;:&quot;3&quot;},&quot;isTemporary&quot;:false}],&quot;citationTag&quot;:&quot;MENDELEY_CITATION_v3_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&quot;},{&quot;citationID&quot;:&quot;MENDELEY_CITATION_f4a02869-a0e8-41a7-821d-58939aed5f47&quot;,&quot;properties&quot;:{&quot;noteIndex&quot;:0},&quot;isEdited&quot;:false,&quot;manualOverride&quot;:{&quot;isManuallyOverridden&quot;:false,&quot;citeprocText&quot;:&quot;(J. M. Linacre, 2002)&quot;,&quot;manualOverrideText&quot;:&quot;&quot;},&quot;citationItems&quot;:[{&quot;id&quot;:&quot;86dbcd9d-a7db-37f0-bfa5-9f48c0ccfa62&quot;,&quot;itemData&quot;:{&quot;type&quot;:&quot;article-journal&quot;,&quot;id&quot;:&quot;86dbcd9d-a7db-37f0-bfa5-9f48c0ccfa62&quot;,&quot;title&quot;:&quot;Optimizing Rating Scale Category Effectiveness&quot;,&quot;author&quot;:[{&quot;family&quot;:&quot;Linacre&quot;,&quot;given&quot;:&quot;John M&quot;,&quot;parse-names&quot;:false,&quot;dropping-particle&quot;:&quot;&quot;,&quot;non-dropping-particle&quot;:&quot;&quot;}],&quot;container-title&quot;:&quot;Journal of Applied Measurement&quot;,&quot;container-title-short&quot;:&quot;J Appl Meas&quot;,&quot;accessed&quot;:{&quot;date-parts&quot;:[[2023,3,6]]},&quot;issued&quot;:{&quot;date-parts&quot;:[[2002]]},&quot;page&quot;:&quot;85-106&quot;,&quot;abstract&quot;:&quot;Rating scales are employed as a means of extracting more information out of an item than would be obtained from a mere \&quot;yes/no\&quot;, \&quot;right/wrong\&quot; or other dichotomy. But does this additional information increase measurement accuracy and precision? Eight guidelines are suggested to aid the analyst in optimizing the manner in which rating scales categories cooperate in order to improve the utility of the resultant measures. Though these guidelines are presented within the context of Rasch analysis, they reflect aspects of rating scale functioning which impact all methods of analysis. The guidelines feature rating-scale-based data such as category frequency, ordering, rating-to-measure inferential coherence, and the quality of the scale from measurement and statistical perspectives. The manner in which the guidelines prompt recategorization or reconceptualization of the rating scale is indicated. Utilization of the guidelines is illustrated through their application to two published data sets.&quot;,&quot;issue&quot;:&quot;1&quot;,&quot;volume&quot;:&quot;3&quot;},&quot;isTemporary&quot;:false}],&quot;citationTag&quot;:&quot;MENDELEY_CITATION_v3_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&quot;},{&quot;citationID&quot;:&quot;MENDELEY_CITATION_a8f1ff52-457b-4628-80ed-921a8e21364a&quot;,&quot;properties&quot;:{&quot;noteIndex&quot;:0},&quot;isEdited&quot;:false,&quot;manualOverride&quot;:{&quot;isManuallyOverridden&quot;:false,&quot;citeprocText&quot;:&quot;(J. M. Linacre, 2022)&quot;,&quot;manualOverrideText&quot;:&quot;&quot;},&quot;citationItems&quot;:[{&quot;id&quot;:&quot;b0376302-4699-3b80-8000-94b2153a1201&quot;,&quot;itemData&quot;:{&quot;type&quot;:&quot;article&quot;,&quot;id&quot;:&quot;b0376302-4699-3b80-8000-94b2153a1201&quot;,&quot;title&quot;:&quot;Winsteps® Rasch measurement computer program&quot;,&quot;author&quot;:[{&quot;family&quot;:&quot;Linacre&quot;,&quot;given&quot;:&quot;J. M.&quot;,&quot;parse-names&quot;:false,&quot;dropping-particle&quot;:&quot;&quot;,&quot;non-dropping-particle&quot;:&quot;&quot;}],&quot;number&quot;:&quot;(Version 5.2.3)&quot;,&quot;issued&quot;:{&quot;date-parts&quot;:[[2022]]},&quot;publisher-place&quot;:&quot;Portland, Oregon&quot;,&quot;publisher&quot;:&quot;Winsteps.com&quot;,&quot;container-title-short&quot;:&quot;&quot;},&quot;isTemporary&quot;:false}],&quot;citationTag&quot;:&quot;MENDELEY_CITATION_v3_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&quot;},{&quot;citationID&quot;:&quot;MENDELEY_CITATION_f57585f6-9457-4059-b281-649e955197d5&quot;,&quot;properties&quot;:{&quot;noteIndex&quot;:0},&quot;isEdited&quot;:false,&quot;manualOverride&quot;:{&quot;isManuallyOverridden&quot;:true,&quot;citeprocText&quot;:&quot;(B. Wright &amp;#38; Linacre, 1994)&quot;,&quot;manualOverrideText&quot;:&quot;Wright &amp; Linacre (1994)&quot;},&quot;citationItems&quot;:[{&quot;id&quot;:&quot;87a773d3-2969-376c-ab79-67dcc3a41d3e&quot;,&quot;itemData&quot;:{&quot;type&quot;:&quot;article-journal&quot;,&quot;id&quot;:&quot;87a773d3-2969-376c-ab79-67dcc3a41d3e&quot;,&quot;title&quot;:&quot;Reasonable mean-square fit values&quot;,&quot;author&quot;:[{&quot;family&quot;:&quot;Wright&quot;,&quot;given&quot;:&quot;B&quot;,&quot;parse-names&quot;:false,&quot;dropping-particle&quot;:&quot;&quot;,&quot;non-dropping-particle&quot;:&quot;&quot;},{&quot;family&quot;:&quot;Linacre&quot;,&quot;given&quot;:&quot;JM&quot;,&quot;parse-names&quot;:false,&quot;dropping-particle&quot;:&quot;&quot;,&quot;non-dropping-particle&quot;:&quot;&quot;}],&quot;container-title&quot;:&quot;Rasch Measurement Transaction&quot;,&quot;issued&quot;:{&quot;date-parts&quot;:[[1994]]},&quot;page&quot;:&quot;370-371&quot;,&quot;volume&quot;:&quot;8&quot;,&quot;container-title-short&quot;:&quot;&quot;},&quot;isTemporary&quot;:false}],&quot;citationTag&quot;:&quot;MENDELEY_CITATION_v3_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&quot;},{&quot;citationID&quot;:&quot;MENDELEY_CITATION_f8981825-8114-43b3-b3cc-833595253688&quot;,&quot;properties&quot;:{&quot;noteIndex&quot;:0},&quot;isEdited&quot;:false,&quot;manualOverride&quot;:{&quot;isManuallyOverridden&quot;:true,&quot;citeprocText&quot;:&quot;(Smith et al., 1998)&quot;,&quot;manualOverrideText&quot;:&quot;Smith et al. (1998)&quot;},&quot;citationItems&quot;:[{&quot;id&quot;:&quot;8b3afb4c-00b9-3021-8539-ff9014128371&quot;,&quot;itemData&quot;:{&quot;type&quot;:&quot;article-journal&quot;,&quot;id&quot;:&quot;8b3afb4c-00b9-3021-8539-ff9014128371&quot;,&quot;title&quot;:&quot;Using item mean squares to evaluate fit to the Rasch model.&quot;,&quot;author&quot;:[{&quot;family&quot;:&quot;Smith&quot;,&quot;given&quot;:&quot;R. M.&quot;,&quot;parse-names&quot;:false,&quot;dropping-particle&quot;:&quot;&quot;,&quot;non-dropping-particle&quot;:&quot;&quot;},{&quot;family&quot;:&quot;Schumacker&quot;,&quot;given&quot;:&quot;R.&quot;,&quot;parse-names&quot;:false,&quot;dropping-particle&quot;:&quot;&quot;,&quot;non-dropping-particle&quot;:&quot;&quot;},{&quot;family&quot;:&quot;Bush&quot;,&quot;given&quot;:&quot;M.&quot;,&quot;parse-names&quot;:false,&quot;dropping-particle&quot;:&quot;&quot;,&quot;non-dropping-particle&quot;:&quot;&quot;}],&quot;container-title&quot;:&quot;Journal of outcome measurement&quot;,&quot;container-title-short&quot;:&quot;J Outcome Meas&quot;,&quot;accessed&quot;:{&quot;date-parts&quot;:[[2023,5,4]]},&quot;issued&quot;:{&quot;date-parts&quot;:[[1998]]}},&quot;isTemporary&quot;:false}],&quot;citationTag&quot;:&quot;MENDELEY_CITATION_v3_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&quot;},{&quot;citationID&quot;:&quot;MENDELEY_CITATION_b4a87a11-f716-4dea-b5e6-0e37827cd053&quot;,&quot;properties&quot;:{&quot;noteIndex&quot;:0},&quot;isEdited&quot;:false,&quot;manualOverride&quot;:{&quot;isManuallyOverridden&quot;:true,&quot;citeprocText&quot;:&quot;(B. Wright &amp;#38; Linacre, 1994)&quot;,&quot;manualOverrideText&quot;:&quot;Wright &amp; Linacre (1994)&quot;},&quot;citationItems&quot;:[{&quot;id&quot;:&quot;87a773d3-2969-376c-ab79-67dcc3a41d3e&quot;,&quot;itemData&quot;:{&quot;type&quot;:&quot;article-journal&quot;,&quot;id&quot;:&quot;87a773d3-2969-376c-ab79-67dcc3a41d3e&quot;,&quot;title&quot;:&quot;Reasonable mean-square fit values&quot;,&quot;author&quot;:[{&quot;family&quot;:&quot;Wright&quot;,&quot;given&quot;:&quot;B&quot;,&quot;parse-names&quot;:false,&quot;dropping-particle&quot;:&quot;&quot;,&quot;non-dropping-particle&quot;:&quot;&quot;},{&quot;family&quot;:&quot;Linacre&quot;,&quot;given&quot;:&quot;JM&quot;,&quot;parse-names&quot;:false,&quot;dropping-particle&quot;:&quot;&quot;,&quot;non-dropping-particle&quot;:&quot;&quot;}],&quot;container-title&quot;:&quot;Rasch Measurement Transaction&quot;,&quot;issued&quot;:{&quot;date-parts&quot;:[[1994]]},&quot;page&quot;:&quot;370-371&quot;,&quot;volume&quot;:&quot;8&quot;,&quot;container-title-short&quot;:&quot;&quot;},&quot;isTemporary&quot;:false}],&quot;citationTag&quot;:&quot;MENDELEY_CITATION_v3_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&quot;},{&quot;citationID&quot;:&quot;MENDELEY_CITATION_61fb7fd3-f903-42da-87a4-655fa1f79c41&quot;,&quot;properties&quot;:{&quot;noteIndex&quot;:0},&quot;isEdited&quot;:false,&quot;manualOverride&quot;:{&quot;isManuallyOverridden&quot;:false,&quot;citeprocText&quot;:&quot;(T. G. Bond &amp;#38; Fox, 2007)&quot;,&quot;manualOverrideText&quot;:&quot;&quot;},&quot;citationItems&quot;:[{&quot;id&quot;:&quot;2852c214-c68e-33f9-b767-c99a120db8c9&quot;,&quot;itemData&quot;:{&quot;type&quot;:&quot;article-journal&quot;,&quot;id&quot;:&quot;2852c214-c68e-33f9-b767-c99a120db8c9&quot;,&quot;title&quot;:&quot;Applying the Rasch Model: Fundamental Measurement in the Human Sciences Second Edition&quot;,&quot;author&quot;:[{&quot;family&quot;:&quot;Bond&quot;,&quot;given&quot;:&quot;Trevor G&quot;,&quot;parse-names&quot;:false,&quot;dropping-particle&quot;:&quot;&quot;,&quot;non-dropping-particle&quot;:&quot;&quot;},{&quot;family&quot;:&quot;Fox&quot;,&quot;given&quot;:&quot;Christine M&quot;,&quot;parse-names&quot;:false,&quot;dropping-particle&quot;:&quot;&quot;,&quot;non-dropping-particle&quot;:&quot;&quot;}],&quot;accessed&quot;:{&quot;date-parts&quot;:[[2023,5,4]]},&quot;ISBN&quot;:&quot;978·0805854626&quot;,&quot;URL&quot;:&quot;www.erlbaum.coOl&quot;,&quot;issued&quot;:{&quot;date-parts&quot;:[[2007]]},&quot;container-title-short&quot;:&quot;&quot;},&quot;isTemporary&quot;:false}],&quot;citationTag&quot;:&quot;MENDELEY_CITATION_v3_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&quot;},{&quot;citationID&quot;:&quot;MENDELEY_CITATION_b024d30b-c6f2-4b68-98be-38f2e7f4e385&quot;,&quot;properties&quot;:{&quot;noteIndex&quot;:0},&quot;isEdited&quot;:false,&quot;manualOverride&quot;:{&quot;isManuallyOverridden&quot;:false,&quot;citeprocText&quot;:&quot;(Mousavi &amp;#38; Cui, 2020; Tennant et al., 2007)&quot;,&quot;manualOverrideText&quot;:&quot;&quot;},&quot;citationItems&quot;:[{&quot;id&quot;:&quot;0d92d1d8-168d-3b40-8732-45361a27cdab&quot;,&quot;itemData&quot;:{&quot;type&quot;:&quot;article-journal&quot;,&quot;id&quot;:&quot;0d92d1d8-168d-3b40-8732-45361a27cdab&quot;,&quot;title&quot;:&quot;The Rasch measurement model in rheumatology: what is it and why use it? When should it be applied, and what should one look for in a Rasch paper?&quot;,&quot;author&quot;:[{&quot;family&quot;:&quot;Tennant&quot;,&quot;given&quot;:&quot;A&quot;,&quot;parse-names&quot;:false,&quot;dropping-particle&quot;:&quot;&quot;,&quot;non-dropping-particle&quot;:&quot;&quot;},{&quot;family&quot;:&quot;Research&quot;,&quot;given&quot;:&quot;PG Conaghan - Arthritis Care &amp;&quot;,&quot;parse-names&quot;:false,&quot;dropping-particle&quot;:&quot;&quot;,&quot;non-dropping-particle&quot;:&quot;&quot;},{&quot;family&quot;:&quot;2007&quot;,&quot;given&quot;:&quot;undefined&quot;,&quot;parse-names&quot;:false,&quot;dropping-particle&quot;:&quot;&quot;,&quot;non-dropping-particle&quot;:&quot;&quot;}],&quot;container-title&quot;:&quot;spoergeskemaer.dk&quot;,&quot;accessed&quot;:{&quot;date-parts&quot;:[[2023,3,6]]},&quot;DOI&quot;:&quot;10.1002/art.23108&quot;,&quot;URL&quot;:&quot;https://www.spoergeskemaer.dk/wp-content/uploads/Tennant-2007.pdf&quot;,&quot;issued&quot;:{&quot;date-parts&quot;:[[2007,12,15]]},&quot;page&quot;:&quot;1358-1362&quot;,&quot;issue&quot;:&quot;8&quot;,&quot;volume&quot;:&quot;57&quot;,&quot;container-title-short&quot;:&quot;&quot;},&quot;isTemporary&quot;:false},{&quot;id&quot;:&quot;0c19fb33-91d5-320c-9bc4-77b867e1f604&quot;,&quot;itemData&quot;:{&quot;type&quot;:&quot;article-journal&quot;,&quot;id&quot;:&quot;0c19fb33-91d5-320c-9bc4-77b867e1f604&quot;,&quot;title&quot;:&quot;The Effect of Person Misfit on Item Parameter Estimation and Classification Accuracy: A Simulation Study&quot;,&quot;author&quot;:[{&quot;family&quot;:&quot;Mousavi&quot;,&quot;given&quot;:&quot;Amin&quot;,&quot;parse-names&quot;:false,&quot;dropping-particle&quot;:&quot;&quot;,&quot;non-dropping-particle&quot;:&quot;&quot;},{&quot;family&quot;:&quot;Cui&quot;,&quot;given&quot;:&quot;Ying&quot;,&quot;parse-names&quot;:false,&quot;dropping-particle&quot;:&quot;&quot;,&quot;non-dropping-particle&quot;:&quot;&quot;}],&quot;container-title&quot;:&quot;Education Sciences 2020, Vol. 10, Page 324&quot;,&quot;accessed&quot;:{&quot;date-parts&quot;:[[2023,3,6]]},&quot;DOI&quot;:&quot;10.3390/EDUCSCI10110324&quot;,&quot;ISSN&quot;:&quot;2227-7102&quot;,&quot;URL&quot;:&quot;https://www.mdpi.com/2227-7102/10/11/324/htm&quot;,&quot;issued&quot;:{&quot;date-parts&quot;:[[2020,11,9]]},&quot;page&quot;:&quot;324&quot;,&quot;abstract&quot;:&quot;Often, important decisions regarding accountability and placement of students in performance categories are made on the basis of test scores generated from tests, therefore, it is important to evaluate the validity of the inferences derived from test results. One of the threats to the validity of such inferences is aberrant responding. Several person fit indices were developed to detect aberrant responding on educational and psychological tests. The majority of the person fit literature has been focused on creating and evaluating new indices. The aim of this study was to assess the effect of aberrant responding on the accuracy of estimated item parameters and refining estimations by using person fit statistics by means of simulation. Our results showed that the presence of aberrant response patterns created bias in the both b and a parameters at the item level and affected the classification of students, particularly high-performing students, into performance categories regardless of whether aberrant response patterns were present in the data or were removed. The results differed by test length and the percentage of students with aberrant response patterns. Practical and theoretical implications are discussed.&quot;,&quot;publisher&quot;:&quot;Multidisciplinary Digital Publishing Institute&quot;,&quot;issue&quot;:&quot;11&quot;,&quot;volume&quot;:&quot;10&quot;,&quot;container-title-short&quot;:&quot;&quot;},&quot;isTemporary&quot;:false}],&quot;citationTag&quot;:&quot;MENDELEY_CITATION_v3_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&quot;},{&quot;citationID&quot;:&quot;MENDELEY_CITATION_ca5eb509-c151-48a7-97b6-ead602eb45c0&quot;,&quot;properties&quot;:{&quot;noteIndex&quot;:0},&quot;isEdited&quot;:false,&quot;manualOverride&quot;:{&quot;isManuallyOverridden&quot;:false,&quot;citeprocText&quot;:&quot;(T. G. Bond et al., 2020; Mousavi &amp;#38; Cui, 2020)&quot;,&quot;manualOverrideText&quot;:&quot;&quot;},&quot;citationItems&quot;:[{&quot;id&quot;:&quot;e94ef7b9-3585-3ef4-a5e1-0d430909edae&quot;,&quot;itemData&quot;:{&quot;type&quot;:&quot;article-journal&quot;,&quot;id&quot;:&quot;e94ef7b9-3585-3ef4-a5e1-0d430909edae&quot;,&quot;title&quot;:&quot;Applying the rasch model: Fundamental measurement in the human sciences&quot;,&quot;author&quot;:[{&quot;family&quot;:&quot;Bond&quot;,&quot;given&quot;:&quot;Trevor G.&quot;,&quot;parse-names&quot;:false,&quot;dropping-particle&quot;:&quot;&quot;,&quot;non-dropping-particle&quot;:&quot;&quot;},{&quot;family&quot;:&quot;Yan&quot;,&quot;given&quot;:&quot;Zi&quot;,&quot;parse-names&quot;:false,&quot;dropping-particle&quot;:&quot;&quot;,&quot;non-dropping-particle&quot;:&quot;&quot;},{&quot;family&quot;:&quot;Heene&quot;,&quot;given&quot;:&quot;Moritz&quot;,&quot;parse-names&quot;:false,&quot;dropping-particle&quot;:&quot;&quot;,&quot;non-dropping-particle&quot;:&quot;&quot;}],&quot;container-title&quot;:&quot;Applying the Rasch Model: Fundamental Measurement in the Human Sciences&quot;,&quot;accessed&quot;:{&quot;date-parts&quot;:[[2022,10,21]]},&quot;DOI&quot;:&quot;10.4324/9780429030499/APPLYING-RASCH-MODEL-TREVOR-BOND-ZI-YAN-MORITZ-HEENE&quot;,&quot;ISBN&quot;:&quot;9780429641510&quot;,&quot;URL&quot;:&quot;https://www.taylorfrancis.com/books/mono/10.4324/9780429030499/applying-rasch-model-trevor-bond-zi-yan-moritz-heene&quot;,&quot;issued&quot;:{&quot;date-parts&quot;:[[2020,7,20]]},&quot;page&quot;:&quot;1-348&quot;,&quot;abstract&quot;:&quot;Recognised as the most influential publication in the field, ARM facilitates deep understanding of the Rasch model and its practical applications. The authors review the crucial properties of the model and demonstrate its use with examples across the human sciences. Readers will be able to understand and critically evaluate Rasch measurement research, perform their own Rasch analyses and interpret their results. The glossary and illustrations support that understanding, and the accessible approach means that it is ideal for readers without a mathematical background. Highlights of the new edition include: More learning tools to strengthen readers' understanding including chapter introductions, boldfaced key terms, chapter summaries, activities and suggested readings. Greater emphasis on the use of R packages; readers can download the R code from the Routledge website. Explores the distinction between numerical values, quantity and units, to understand the measurement and the role of the Rasch logit scale (Chapter 4). A new four-option data set from the IASQ (Instrumental Attitude towards Self-assessment Questionnaire) for the Rating Scale Model (RSM) analysis exemplar (Chapter 6). Clarifies the relationship between Rasch measurement, path analysis and SEM, with a host of new examples of Rasch measurement applied across health sciences, education and psychology (Chapter 10). Intended as a text for graduate courses in measurement, item response theory, (advanced) research methods or quantitative analysis taught in psychology, education, human development, business, and other social and health sciences. Professionals in these areas will also appreciate the book's accessible introduction.&quot;,&quot;publisher&quot;:&quot;Taylor and Francis&quot;,&quot;container-title-short&quot;:&quot;&quot;},&quot;isTemporary&quot;:false},{&quot;id&quot;:&quot;0c19fb33-91d5-320c-9bc4-77b867e1f604&quot;,&quot;itemData&quot;:{&quot;type&quot;:&quot;article-journal&quot;,&quot;id&quot;:&quot;0c19fb33-91d5-320c-9bc4-77b867e1f604&quot;,&quot;title&quot;:&quot;The Effect of Person Misfit on Item Parameter Estimation and Classification Accuracy: A Simulation Study&quot;,&quot;author&quot;:[{&quot;family&quot;:&quot;Mousavi&quot;,&quot;given&quot;:&quot;Amin&quot;,&quot;parse-names&quot;:false,&quot;dropping-particle&quot;:&quot;&quot;,&quot;non-dropping-particle&quot;:&quot;&quot;},{&quot;family&quot;:&quot;Cui&quot;,&quot;given&quot;:&quot;Ying&quot;,&quot;parse-names&quot;:false,&quot;dropping-particle&quot;:&quot;&quot;,&quot;non-dropping-particle&quot;:&quot;&quot;}],&quot;container-title&quot;:&quot;Education Sciences 2020, Vol. 10, Page 324&quot;,&quot;accessed&quot;:{&quot;date-parts&quot;:[[2023,3,6]]},&quot;DOI&quot;:&quot;10.3390/EDUCSCI10110324&quot;,&quot;ISSN&quot;:&quot;2227-7102&quot;,&quot;URL&quot;:&quot;https://www.mdpi.com/2227-7102/10/11/324/htm&quot;,&quot;issued&quot;:{&quot;date-parts&quot;:[[2020,11,9]]},&quot;page&quot;:&quot;324&quot;,&quot;abstract&quot;:&quot;Often, important decisions regarding accountability and placement of students in performance categories are made on the basis of test scores generated from tests, therefore, it is important to evaluate the validity of the inferences derived from test results. One of the threats to the validity of such inferences is aberrant responding. Several person fit indices were developed to detect aberrant responding on educational and psychological tests. The majority of the person fit literature has been focused on creating and evaluating new indices. The aim of this study was to assess the effect of aberrant responding on the accuracy of estimated item parameters and refining estimations by using person fit statistics by means of simulation. Our results showed that the presence of aberrant response patterns created bias in the both b and a parameters at the item level and affected the classification of students, particularly high-performing students, into performance categories regardless of whether aberrant response patterns were present in the data or were removed. The results differed by test length and the percentage of students with aberrant response patterns. Practical and theoretical implications are discussed.&quot;,&quot;publisher&quot;:&quot;Multidisciplinary Digital Publishing Institute&quot;,&quot;issue&quot;:&quot;11&quot;,&quot;volume&quot;:&quot;10&quot;,&quot;container-title-short&quot;:&quot;&quot;},&quot;isTemporary&quot;:false}],&quot;citationTag&quot;:&quot;MENDELEY_CITATION_v3_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&quot;},{&quot;citationID&quot;:&quot;MENDELEY_CITATION_4d76fb4e-4290-41c1-a825-f189ade4640b&quot;,&quot;properties&quot;:{&quot;noteIndex&quot;:0},&quot;isEdited&quot;:false,&quot;manualOverride&quot;:{&quot;isManuallyOverridden&quot;:false,&quot;citeprocText&quot;:&quot;(B. D. Wright &amp;#38; Mesa, 1979)&quot;,&quot;manualOverrideText&quot;:&quot;&quot;},&quot;citationItems&quot;:[{&quot;id&quot;:&quot;1fdb9029-f434-3120-a751-ebfc444e76c7&quot;,&quot;itemData&quot;:{&quot;type&quot;:&quot;article-journal&quot;,&quot;id&quot;:&quot;1fdb9029-f434-3120-a751-ebfc444e76c7&quot;,&quot;title&quot;:&quot;Best test design&quot;,&quot;author&quot;:[{&quot;family&quot;:&quot;Wright&quot;,&quot;given&quot;:&quot;Benjamin D&quot;,&quot;parse-names&quot;:false,&quot;dropping-particle&quot;:&quot;&quot;,&quot;non-dropping-particle&quot;:&quot;&quot;},{&quot;family&quot;:&quot;Mesa&quot;,&quot;given&quot;:&quot;Mark H Stone&quot;,&quot;parse-names&quot;:false,&quot;dropping-particle&quot;:&quot;&quot;,&quot;non-dropping-particle&quot;:&quot;&quot;}],&quot;accessed&quot;:{&quot;date-parts&quot;:[[2023,3,6]]},&quot;URL&quot;:&quot;https://research.acer.edu.au/measurement/1/&quot;,&quot;issued&quot;:{&quot;date-parts&quot;:[[1979]]},&quot;container-title-short&quot;:&quot;&quot;},&quot;isTemporary&quot;:false}],&quot;citationTag&quot;:&quot;MENDELEY_CITATION_v3_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&quot;},{&quot;citationID&quot;:&quot;MENDELEY_CITATION_ecb4f2f7-86ca-492a-b693-6e6707d94002&quot;,&quot;properties&quot;:{&quot;noteIndex&quot;:0},&quot;isEdited&quot;:false,&quot;manualOverride&quot;:{&quot;isManuallyOverridden&quot;:false,&quot;citeprocText&quot;:&quot;(J. Linacre, 2019)&quot;,&quot;manualOverrideText&quot;:&quot;&quot;},&quot;citationItems&quot;:[{&quot;id&quot;:&quot;ad106e4b-4238-3ce2-8185-2074ae8cca21&quot;,&quot;itemData&quot;:{&quot;type&quot;:&quot;article&quot;,&quot;id&quot;:&quot;ad106e4b-4238-3ce2-8185-2074ae8cca21&quot;,&quot;title&quot;:&quot;Winsteps® Rasch measurement computer program User's Guide&quot;,&quot;author&quot;:[{&quot;family&quot;:&quot;Linacre&quot;,&quot;given&quot;:&quot;J&quot;,&quot;parse-names&quot;:false,&quot;dropping-particle&quot;:&quot;&quot;,&quot;non-dropping-particle&quot;:&quot;&quot;}],&quot;issued&quot;:{&quot;date-parts&quot;:[[2019]]},&quot;publisher-place&quot;:&quot;Beaverton, Oregon&quot;,&quot;publisher&quot;:&quot;Winsteps.com&quot;,&quot;container-title-short&quot;:&quot;&quot;},&quot;isTemporary&quot;:false}],&quot;citationTag&quot;:&quot;MENDELEY_CITATION_v3_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&quot;},{&quot;citationID&quot;:&quot;MENDELEY_CITATION_1f5e779e-cee6-405e-ba16-6b321d54201f&quot;,&quot;properties&quot;:{&quot;noteIndex&quot;:0},&quot;isEdited&quot;:false,&quot;manualOverride&quot;:{&quot;isManuallyOverridden&quot;:false,&quot;citeprocText&quot;:&quot;(T. Bond &amp;#38; Fox, 2015)&quot;,&quot;manualOverrideText&quot;:&quot;&quot;},&quot;citationItems&quot;:[{&quot;id&quot;:&quot;d704a8f4-9257-3cc9-b259-acc913913089&quot;,&quot;itemData&quot;:{&quot;type&quot;:&quot;article-journal&quot;,&quot;id&quot;:&quot;d704a8f4-9257-3cc9-b259-acc913913089&quot;,&quot;title&quot;:&quot;Applying the Rasch Model : Fundamental Measurement in the Human Sciences, Third Edition&quot;,&quot;author&quot;:[{&quot;family&quot;:&quot;Bond&quot;,&quot;given&quot;:&quot;Trevor&quot;,&quot;parse-names&quot;:false,&quot;dropping-particle&quot;:&quot;&quot;,&quot;non-dropping-particle&quot;:&quot;&quot;},{&quot;family&quot;:&quot;Fox&quot;,&quot;given&quot;:&quot;Christine&quot;,&quot;parse-names&quot;:false,&quot;dropping-particle&quot;:&quot;&quot;,&quot;non-dropping-particle&quot;:&quot;&quot;}],&quot;container-title&quot;:&quot;Applying the Rasch Model&quot;,&quot;accessed&quot;:{&quot;date-parts&quot;:[[2022,10,21]]},&quot;DOI&quot;:&quot;10.4324/9781315814698&quot;,&quot;ISBN&quot;:&quot;9781315814698&quot;,&quot;URL&quot;:&quot;https://www.taylorfrancis.com/books/mono/10.4324/9781315814698/applying-rasch-model-trevor-bond&quot;,&quot;issued&quot;:{&quot;date-parts&quot;:[[2015,6,5]]},&quot;abstract&quot;:&quot;Cited over 1900 times, this classic text facilitates a deep understanding of the Rasch model. The authors review the crucial properties of the model and demonstrate its use with a variety of examples from education, psychology, and health. A glossary and numerous illustrations aid the reader's understanding. Readers learn how to apply Rasch analysis so they can perform their own analyses and interpret the results. The authors present an accessible overview that does not require a mathematical background. \n\nHighlights of the new edition include:\n-More learning tools to strengthen readers’ understanding including chapter introductions, boldfaced key terms, chapter summaries, activities, and suggested readings.\n-Divided chapters (4, 6, 7 &amp; 8) into basic and extended understanding sections so readers can select the level most appropriate for their needs and to provide more in-depth investigations of key topics.\n-A website at www.routledge.com/9780415833424 that features free Rasch software, data sets, an Invariance worksheet, detailed instructions for key analyses, and links to related sources.\n-Greater emphasis on the role of Rasch measurement as a priori in the construction of scales and its use post hoc to reveal the extent to which interval scale measurement is instantiated in existing data sets.\n-Emphasizes the importance of interval level measurement data and demonstrates how Rasch measurement is used to examine measurement invariance.\n-Insights from other Rasch scholars via innovative applications (Ch. 9).\n-Extended discussion of invariance now reviews DIF, DPF, and anchoring (ch. 5). \n-Revised Rating Scale Model material now based on the analysis of the CEAQ (ch.6).\n-Clarifies the relationships between Rasch measurement, True Score Theory, and Item Response Theory by reviewing their commonalities and differences (Ch.13).\n-Provides more detail on how to conduct a Rasch analysis so readers can use the techniques on their own (Appendix B).\n\nIntended as a text for graduate courses in measurement, item response theory, (advanced) research methods or quantitative analysis taught in psychology, education, human development, business, and other social and health sciences, professionals in these areas also appreciate the book‘s accessible introduction.&quot;,&quot;publisher&quot;:&quot;Routledge&quot;,&quot;container-title-short&quot;:&quot;&quot;},&quot;isTemporary&quot;:false}],&quot;citationTag&quot;:&quot;MENDELEY_CITATION_v3_eyJjaXRhdGlvbklEIjoiTUVOREVMRVlfQ0lUQVRJT05fMWY1ZTc3OWUtY2VlNi00MDVlLWJhMTYtNmIzMjFkNTQyMDFmIiwicHJvcGVydGllcyI6eyJub3RlSW5kZXgiOjB9LCJpc0VkaXRlZCI6ZmFsc2UsIm1hbnVhbE92ZXJyaWRlIjp7ImlzTWFudWFsbHlPdmVycmlkZGVuIjpmYWxzZSwiY2l0ZXByb2NUZXh0IjoiKFQuIEJvbmQgJiMzODsgRm94LCAyMDE1KSIsIm1hbnVhbE92ZXJyaWRlVGV4dCI6IiJ9LCJjaXRhdGlvbkl0ZW1zIjpb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V19&quot;},{&quot;citationID&quot;:&quot;MENDELEY_CITATION_c5607a3d-c2b0-47cb-b513-8058c8b85e72&quot;,&quot;properties&quot;:{&quot;noteIndex&quot;:0},&quot;isEdited&quot;:false,&quot;manualOverride&quot;:{&quot;isManuallyOverridden&quot;:false,&quot;citeprocText&quot;:&quot;(Baghaei, 2008)&quot;,&quot;manualOverrideText&quot;:&quot;&quot;},&quot;citationItems&quot;:[{&quot;id&quot;:&quot;b6e329aa-99a2-3c31-afce-3dad34cc87b5&quot;,&quot;itemData&quot;:{&quot;type&quot;:&quot;article-journal&quot;,&quot;id&quot;:&quot;b6e329aa-99a2-3c31-afce-3dad34cc87b5&quot;,&quot;title&quot;:&quot;Local dependency and Rasch measures&quot;,&quot;author&quot;:[{&quot;family&quot;:&quot;Baghaei&quot;,&quot;given&quot;:&quot;Purya&quot;,&quot;parse-names&quot;:false,&quot;dropping-particle&quot;:&quot;&quot;,&quot;non-dropping-particle&quot;:&quot;&quot;}],&quot;container-title&quot;:&quot;Rasch Measurement Transactions&quot;,&quot;accessed&quot;:{&quot;date-parts&quot;:[[2023,3,6]]},&quot;URL&quot;:&quot;https://www.researchgate.net/publication/267330191_Local_dependency_and_Rasch_measures&quot;,&quot;issued&quot;:{&quot;date-parts&quot;:[[2008]]},&quot;page&quot;:&quot;1105-1106&quot;,&quot;issue&quot;:&quot;3&quot;,&quot;volume&quot;:&quot;21&quot;,&quot;container-title-short&quot;:&quot;&quot;},&quot;isTemporary&quot;:false}],&quot;citationTag&quot;:&quot;MENDELEY_CITATION_v3_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&quot;},{&quot;citationID&quot;:&quot;MENDELEY_CITATION_b6a04673-7f0f-4c55-b815-32576909973c&quot;,&quot;properties&quot;:{&quot;noteIndex&quot;:0},&quot;isEdited&quot;:false,&quot;manualOverride&quot;:{&quot;isManuallyOverridden&quot;:false,&quot;citeprocText&quot;:&quot;(Fan &amp;#38; Bond, 2019)&quot;,&quot;manualOverrideText&quot;:&quot;&quot;},&quot;citationItems&quot;:[{&quot;id&quot;:&quot;4c423c49-08b1-3fb6-b1dd-edeaa1f08f43&quot;,&quot;itemData&quot;:{&quot;type&quot;:&quot;chapter&quot;,&quot;id&quot;:&quot;4c423c49-08b1-3fb6-b1dd-edeaa1f08f43&quot;,&quot;title&quot;:&quot;Applying Rasch measurement in language assessment: Unidimensionality and local independence&quot;,&quot;author&quot;:[{&quot;family&quot;:&quot;Fan&quot;,&quot;given&quot;:&quot;Jason&quot;,&quot;parse-names&quot;:false,&quot;dropping-particle&quot;:&quot;&quot;,&quot;non-dropping-particle&quot;:&quot;&quot;},{&quot;family&quot;:&quot;Bond&quot;,&quot;given&quot;:&quot;Trevor&quot;,&quot;parse-names&quot;:false,&quot;dropping-particle&quot;:&quot;&quot;,&quot;non-dropping-particle&quot;:&quot;&quot;}],&quot;container-title&quot;:&quot;Quantitative Data Analysis for Language Assessment Volume I: Fundamental Techniques&quot;,&quot;accessed&quot;:{&quot;date-parts&quot;:[[2023,3,8]]},&quot;DOI&quot;:&quot;10.4324/9781315187815-5/APPLYING-RASCH-MEASUREMENT-LANGUAGE-ASSESSMENT-JASON-FAN-TREVOR-BOND&quot;,&quot;ISBN&quot;:&quot;9781351741231&quot;,&quot;URL&quot;:&quot;https://www.taylorfrancis.com/chapters/edit/10.4324/9781315187815-5/applying-rasch-measurement-language-assessment-jason-fan-trevor-bond&quot;,&quot;issued&quot;:{&quot;date-parts&quot;:[[2019,1,1]]},&quot;page&quot;:&quot;83-102&quot;,&quot;abstract&quot;:&quot;In applying the Rasch model to language assessment data, it is important to note that unidimensionality and local independence are two crucial measurement requirements that should be addressed. This chapter focuses on these two requirements for unidimensional Rasch measurement and illustrates how they should be investigated in language assessment research. The chapter first explains the concepts and reviews recent studies in language assessment that include the examination of these two principles. It then uses a language test dataset to illustrate how these two measurement properties are investigated. While the empirical evidence for unidimensionality is manifold, that for local independence is more indirect. The chapter concludes by discussing how violations of these two principles should be addressed in language assessment development and research.&quot;,&quot;edition&quot;:&quot;1&quot;,&quot;publisher&quot;:&quot;Taylor and Francis&quot;,&quot;container-title-short&quot;:&quot;&quot;},&quot;isTemporary&quot;:false}],&quot;citationTag&quot;:&quot;MENDELEY_CITATION_v3_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&quot;},{&quot;citationID&quot;:&quot;MENDELEY_CITATION_f59a000a-707f-49ea-aef3-a7b305a21800&quot;,&quot;properties&quot;:{&quot;noteIndex&quot;:0},&quot;isEdited&quot;:false,&quot;manualOverride&quot;:{&quot;isManuallyOverridden&quot;:false,&quot;citeprocText&quot;:&quot;(Streiner et al., 2015)&quot;,&quot;manualOverrideText&quot;:&quot;&quot;},&quot;citationItems&quot;:[{&quot;id&quot;:&quot;f98fe6ce-fd4a-36fb-ac93-de9728c1dc9e&quot;,&quot;itemData&quot;:{&quot;type&quot;:&quot;book&quot;,&quot;id&quot;:&quot;f98fe6ce-fd4a-36fb-ac93-de9728c1dc9e&quot;,&quot;title&quot;:&quot;Health measurement scales: a practical guide to their development and use&quot;,&quot;author&quot;:[{&quot;family&quot;:&quot;Streiner&quot;,&quot;given&quot;:&quot;DL&quot;,&quot;parse-names&quot;:false,&quot;dropping-particle&quot;:&quot;&quot;,&quot;non-dropping-particle&quot;:&quot;&quot;},{&quot;family&quot;:&quot;Norman&quot;,&quot;given&quot;:&quot;GR&quot;,&quot;parse-names&quot;:false,&quot;dropping-particle&quot;:&quot;&quot;,&quot;non-dropping-particle&quot;:&quot;&quot;},{&quot;family&quot;:&quot;Cairney&quot;,&quot;given&quot;:&quot;J&quot;,&quot;parse-names&quot;:false,&quot;dropping-particle&quot;:&quot;&quot;,&quot;non-dropping-particle&quot;:&quot;&quot;}],&quot;accessed&quot;:{&quot;date-parts&quot;:[[2023,3,8]]},&quot;URL&quot;:&quot;https://books.google.com/books?hl=en&amp;lr=&amp;id=JH3OBAAAQBAJ&amp;oi=fnd&amp;pg=PP1&amp;dq=.+Health+Measurement+Scales:+A+practical+guide+to+their+development+and+use.Oxford+University+Press,+2015doi:10.1093/med/9780199685219.001.0001.&amp;ots=tk4Euk9Ial&amp;sig=-k_JYXSq5y6i4m_fbp64Em2Dy-4&quot;,&quot;issued&quot;:{&quot;date-parts&quot;:[[2015]]},&quot;container-title-short&quot;:&quot;&quot;},&quot;isTemporary&quot;:false}],&quot;citationTag&quot;:&quot;MENDELEY_CITATION_v3_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&quot;},{&quot;citationID&quot;:&quot;MENDELEY_CITATION_99e7b87b-9130-42a3-a177-afdd49ae14c1&quot;,&quot;properties&quot;:{&quot;noteIndex&quot;:0},&quot;isEdited&quot;:false,&quot;manualOverride&quot;:{&quot;isManuallyOverridden&quot;:false,&quot;citeprocText&quot;:&quot;(Finger et al., 2012)&quot;,&quot;manualOverrideText&quot;:&quot;&quot;},&quot;citationItems&quot;:[{&quot;id&quot;:&quot;fe92985c-0cea-351c-aaa6-3971578a5486&quot;,&quot;itemData&quot;:{&quot;type&quot;:&quot;article-journal&quot;,&quot;id&quot;:&quot;fe92985c-0cea-351c-aaa6-3971578a5486&quot;,&quot;title&quot;:&quot;Rasch Analysis Reveals Problems with Multiplicative Scoring in the Macular Disease Quality of Life Questionnaire&quot;,&quot;author&quot;:[{&quot;family&quot;:&quot;Finger&quot;,&quot;given&quot;:&quot;Robert P.&quot;,&quot;parse-names&quot;:false,&quot;dropping-particle&quot;:&quot;&quot;,&quot;non-dropping-particle&quot;:&quot;&quot;},{&quot;family&quot;:&quot;Fenwick&quot;,&quot;given&quot;:&quot;Eva&quot;,&quot;parse-names&quot;:false,&quot;dropping-particle&quot;:&quot;&quot;,&quot;non-dropping-particle&quot;:&quot;&quot;},{&quot;family&quot;:&quot;Pesudovs&quot;,&quot;given&quot;:&quot;Konrad&quot;,&quot;parse-names&quot;:false,&quot;dropping-particle&quot;:&quot;&quot;,&quot;non-dropping-particle&quot;:&quot;&quot;},{&quot;family&quot;:&quot;Marella&quot;,&quot;given&quot;:&quot;Manjula&quot;,&quot;parse-names&quot;:false,&quot;dropping-particle&quot;:&quot;&quot;,&quot;non-dropping-particle&quot;:&quot;&quot;},{&quot;family&quot;:&quot;Lamoureux&quot;,&quot;given&quot;:&quot;Ecosse L.&quot;,&quot;parse-names&quot;:false,&quot;dropping-particle&quot;:&quot;&quot;,&quot;non-dropping-particle&quot;:&quot;&quot;},{&quot;family&quot;:&quot;Holz&quot;,&quot;given&quot;:&quot;Frank G.&quot;,&quot;parse-names&quot;:false,&quot;dropping-particle&quot;:&quot;&quot;,&quot;non-dropping-particle&quot;:&quot;&quot;}],&quot;container-title&quot;:&quot;Ophthalmology&quot;,&quot;container-title-short&quot;:&quot;Ophthalmology&quot;,&quot;accessed&quot;:{&quot;date-parts&quot;:[[2023,3,8]]},&quot;DOI&quot;:&quot;10.1016/J.OPHTHA.2012.05.031&quot;,&quot;ISSN&quot;:&quot;0161-6420&quot;,&quot;PMID&quot;:&quot;22968142&quot;,&quot;issued&quot;:{&quot;date-parts&quot;:[[2012,11,1]]},&quot;page&quot;:&quot;2351-2357&quot;,&quot;abstract&quot;:&quot;Purpose: To evaluate validity and psychometric characteristics of the Macular Disease Quality of Life questionnaire (MacDQoL), a multiplicative rating scale designed to measure vision-related quality of life (VRQoL) in macular diseases and age-related macular degeneration (AMD). Design: Cross-sectional study. Participants: We included 108 patients with neovascular AMD at baseline before ranibizumab treatment. Methods: The psychometric properties of the MacDQoL were assessed using Rasch analysis, exploring key indices such as response category functioning, instrument unidimensionality, discriminant ability, and targeting of item difficulty to patient ability. Main Outcome Measures: Measurement characteristics of the MacDQoL. Results: In the MacDQoL's native form, the majority of response categories were underutilized and thresholds disordered. This could not be remedied without eliminating the importance ratings owing to the ambiguous nature of the response categories. Scaling problems were resolved by using the impairment rating scale only and collapsing response categories to 4. However, the MacDQoL was multidimensional, necessitating the omission of a number of items and splitting it into an activity limitation and mobility and a socioemotional well-being scale. This improved the psychometric parameters of the revised MacDQoL, although no correlation with clinical measures such as visual acuity was found. Conclusions: The multiplicative rating scale of the MacDQoL is flawed and does not provide scientific measurement of VRQoL. Measurement can be restored with a series of revisions to the instrument. This study reinforces the importance of considering rating scale design when choosing patient reported outcomes instruments for healthcare research. Financial Disclosure(s): The authors have no proprietary or commercial interest in any of the materials discussed in this article. © 2012 American Academy of Ophthalmology.&quot;,&quot;publisher&quot;:&quot;Elsevier&quot;,&quot;issue&quot;:&quot;11&quot;,&quot;volume&quot;:&quot;119&quot;},&quot;isTemporary&quot;:false}],&quot;citationTag&quot;:&quot;MENDELEY_CITATION_v3_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&quot;},{&quot;citationID&quot;:&quot;MENDELEY_CITATION_e269acc2-23a0-4339-bac9-05f714fef8d8&quot;,&quot;properties&quot;:{&quot;noteIndex&quot;:0},&quot;isEdited&quot;:false,&quot;manualOverride&quot;:{&quot;isManuallyOverridden&quot;:true,&quot;citeprocText&quot;:&quot;(Fisher, 2007)&quot;,&quot;manualOverrideText&quot;:&quot;(Fisher, 2007).&quot;},&quot;citationItems&quot;:[{&quot;id&quot;:&quot;1600de08-312a-38f7-80bb-80d084be4344&quot;,&quot;itemData&quot;:{&quot;type&quot;:&quot;article&quot;,&quot;id&quot;:&quot;1600de08-312a-38f7-80bb-80d084be4344&quot;,&quot;title&quot;:&quot;Rating Scale Instrument Quality Criteria&quot;,&quot;author&quot;:[{&quot;family&quot;:&quot;Fisher&quot;,&quot;given&quot;:&quot;W.P Jnr&quot;,&quot;parse-names&quot;:false,&quot;dropping-particle&quot;:&quot;&quot;,&quot;non-dropping-particle&quot;:&quot;&quot;}],&quot;container-title&quot;:&quot;Rasch Measurement Transactions&quot;,&quot;accessed&quot;:{&quot;date-parts&quot;:[[2023,3,10]]},&quot;URL&quot;:&quot;https://www.rasch.org/rmt/rmt211m.htm&quot;,&quot;issued&quot;:{&quot;date-parts&quot;:[[2007]]},&quot;page&quot;:&quot;1095-1095&quot;,&quot;issue&quot;:&quot;1&quot;,&quot;volume&quot;:&quot;21&quot;,&quot;container-title-short&quot;:&quot;&quot;},&quot;isTemporary&quot;:false}],&quot;citationTag&quot;:&quot;MENDELEY_CITATION_v3_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&quot;},{&quot;citationID&quot;:&quot;MENDELEY_CITATION_e2544e4d-fbcd-4e6a-9ecf-7be3913ed835&quot;,&quot;properties&quot;:{&quot;noteIndex&quot;:0},&quot;isEdited&quot;:false,&quot;manualOverride&quot;:{&quot;isManuallyOverridden&quot;:false,&quot;citeprocText&quot;:&quot;(T. G. Bond et al., 2020)&quot;,&quot;manualOverrideText&quot;:&quot;&quot;},&quot;citationItems&quot;:[{&quot;id&quot;:&quot;e94ef7b9-3585-3ef4-a5e1-0d430909edae&quot;,&quot;itemData&quot;:{&quot;type&quot;:&quot;article-journal&quot;,&quot;id&quot;:&quot;e94ef7b9-3585-3ef4-a5e1-0d430909edae&quot;,&quot;title&quot;:&quot;Applying the rasch model: Fundamental measurement in the human sciences&quot;,&quot;author&quot;:[{&quot;family&quot;:&quot;Bond&quot;,&quot;given&quot;:&quot;Trevor G.&quot;,&quot;parse-names&quot;:false,&quot;dropping-particle&quot;:&quot;&quot;,&quot;non-dropping-particle&quot;:&quot;&quot;},{&quot;family&quot;:&quot;Yan&quot;,&quot;given&quot;:&quot;Zi&quot;,&quot;parse-names&quot;:false,&quot;dropping-particle&quot;:&quot;&quot;,&quot;non-dropping-particle&quot;:&quot;&quot;},{&quot;family&quot;:&quot;Heene&quot;,&quot;given&quot;:&quot;Moritz&quot;,&quot;parse-names&quot;:false,&quot;dropping-particle&quot;:&quot;&quot;,&quot;non-dropping-particle&quot;:&quot;&quot;}],&quot;container-title&quot;:&quot;Applying the Rasch Model: Fundamental Measurement in the Human Sciences&quot;,&quot;accessed&quot;:{&quot;date-parts&quot;:[[2022,10,21]]},&quot;DOI&quot;:&quot;10.4324/9780429030499/APPLYING-RASCH-MODEL-TREVOR-BOND-ZI-YAN-MORITZ-HEENE&quot;,&quot;ISBN&quot;:&quot;9780429641510&quot;,&quot;URL&quot;:&quot;https://www.taylorfrancis.com/books/mono/10.4324/9780429030499/applying-rasch-model-trevor-bond-zi-yan-moritz-heene&quot;,&quot;issued&quot;:{&quot;date-parts&quot;:[[2020,7,20]]},&quot;page&quot;:&quot;1-348&quot;,&quot;abstract&quot;:&quot;Recognised as the most influential publication in the field, ARM facilitates deep understanding of the Rasch model and its practical applications. The authors review the crucial properties of the model and demonstrate its use with examples across the human sciences. Readers will be able to understand and critically evaluate Rasch measurement research, perform their own Rasch analyses and interpret their results. The glossary and illustrations support that understanding, and the accessible approach means that it is ideal for readers without a mathematical background. Highlights of the new edition include: More learning tools to strengthen readers' understanding including chapter introductions, boldfaced key terms, chapter summaries, activities and suggested readings. Greater emphasis on the use of R packages; readers can download the R code from the Routledge website. Explores the distinction between numerical values, quantity and units, to understand the measurement and the role of the Rasch logit scale (Chapter 4). A new four-option data set from the IASQ (Instrumental Attitude towards Self-assessment Questionnaire) for the Rating Scale Model (RSM) analysis exemplar (Chapter 6). Clarifies the relationship between Rasch measurement, path analysis and SEM, with a host of new examples of Rasch measurement applied across health sciences, education and psychology (Chapter 10). Intended as a text for graduate courses in measurement, item response theory, (advanced) research methods or quantitative analysis taught in psychology, education, human development, business, and other social and health sciences. Professionals in these areas will also appreciate the book's accessible introduction.&quot;,&quot;publisher&quot;:&quot;Taylor and Francis&quot;,&quot;container-title-short&quot;:&quot;&quot;},&quot;isTemporary&quot;:false}],&quot;citationTag&quot;:&quot;MENDELEY_CITATION_v3_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&quot;},{&quot;citationID&quot;:&quot;MENDELEY_CITATION_85488f5e-6dc6-4cd1-913c-452d32ead062&quot;,&quot;properties&quot;:{&quot;noteIndex&quot;:0},&quot;isEdited&quot;:false,&quot;manualOverride&quot;:{&quot;isManuallyOverridden&quot;:false,&quot;citeprocText&quot;:&quot;(Boone et al., 2014)&quot;,&quot;manualOverrideText&quot;:&quot;&quot;},&quot;citationItems&quot;:[{&quot;id&quot;:&quot;27808d31-d533-3dfd-a0c8-bdd89d917a83&quot;,&quot;itemData&quot;:{&quot;type&quot;:&quot;book&quot;,&quot;id&quot;:&quot;27808d31-d533-3dfd-a0c8-bdd89d917a83&quot;,&quot;title&quot;:&quot;Rasch analysis in the human sciences&quot;,&quot;author&quot;:[{&quot;family&quot;:&quot;Boone&quot;,&quot;given&quot;:&quot;William J.&quot;,&quot;parse-names&quot;:false,&quot;dropping-particle&quot;:&quot;&quot;,&quot;non-dropping-particle&quot;:&quot;&quot;},{&quot;family&quot;:&quot;Yale&quot;,&quot;given&quot;:&quot;Melissa S.&quot;,&quot;parse-names&quot;:false,&quot;dropping-particle&quot;:&quot;&quot;,&quot;non-dropping-particle&quot;:&quot;&quot;},{&quot;family&quot;:&quot;Staver&quot;,&quot;given&quot;:&quot;John R.&quot;,&quot;parse-names&quot;:false,&quot;dropping-particle&quot;:&quot;&quot;,&quot;non-dropping-particle&quot;:&quot;&quot;}],&quot;container-title&quot;:&quot;Rasch Analysis in the Human Sciences&quot;,&quot;accessed&quot;:{&quot;date-parts&quot;:[[2023,3,10]]},&quot;DOI&quot;:&quot;10.1007/978-94-007-6857-4&quot;,&quot;ISBN&quot;:&quot;9789400768574&quot;,&quot;issued&quot;:{&quot;date-parts&quot;:[[2014,1,1]]},&quot;number-of-pages&quot;:&quot;1-482&quot;,&quot;abstract&quot;:&quot;Rasch Analysis in the Human Sciences helps individuals, both students and researchers, master the key concepts and resources needed to use Rasch techniques for analyzing data from assessments to measure variables such as abilities, attitudes, and personality traits. Upon completion of the text, readers will be able to confidently evaluate the strengths and weakness of existing instrumentation, compute linear person measures and item measures, interpret Wright Maps, utilize Rasch software, and understand what it means to measure in the Human Sciences. Each of the 24 chapters presents a key concept using a mix of theory and application of user-friendly Rasch software. Chapters also include a beginning and ending dialogue between two typical researchers learning Rasch, \&quot;Formative Assessment Check Points,\&quot; sample data files, an extensive set of application activities with answers, a one paragraph sample research article text integrating the chapter topic, quick-tips, and suggested readings. Rasch Analysis in the Human Sciences will be an essential resource for anyone wishing to begin, or expand, their learning of Rasch measurement techniques, be it in the Health Sciences, Market Research, Education, or Psychology.&quot;,&quot;publisher&quot;:&quot;Springer Netherlands&quot;,&quot;container-title-short&quot;:&quot;&quot;},&quot;isTemporary&quot;:false}],&quot;citationTag&quot;:&quot;MENDELEY_CITATION_v3_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&quot;},{&quot;citationID&quot;:&quot;MENDELEY_CITATION_647ccb1f-bef7-49c4-b28f-b536b537c36b&quot;,&quot;properties&quot;:{&quot;noteIndex&quot;:0},&quot;isEdited&quot;:false,&quot;manualOverride&quot;:{&quot;isManuallyOverridden&quot;:false,&quot;citeprocText&quot;:&quot;(T. Bond &amp;#38; Fox, 2015)&quot;,&quot;manualOverrideText&quot;:&quot;&quot;},&quot;citationItems&quot;:[{&quot;id&quot;:&quot;d704a8f4-9257-3cc9-b259-acc913913089&quot;,&quot;itemData&quot;:{&quot;type&quot;:&quot;article-journal&quot;,&quot;id&quot;:&quot;d704a8f4-9257-3cc9-b259-acc913913089&quot;,&quot;title&quot;:&quot;Applying the Rasch Model : Fundamental Measurement in the Human Sciences, Third Edition&quot;,&quot;author&quot;:[{&quot;family&quot;:&quot;Bond&quot;,&quot;given&quot;:&quot;Trevor&quot;,&quot;parse-names&quot;:false,&quot;dropping-particle&quot;:&quot;&quot;,&quot;non-dropping-particle&quot;:&quot;&quot;},{&quot;family&quot;:&quot;Fox&quot;,&quot;given&quot;:&quot;Christine&quot;,&quot;parse-names&quot;:false,&quot;dropping-particle&quot;:&quot;&quot;,&quot;non-dropping-particle&quot;:&quot;&quot;}],&quot;container-title&quot;:&quot;Applying the Rasch Model&quot;,&quot;accessed&quot;:{&quot;date-parts&quot;:[[2022,10,21]]},&quot;DOI&quot;:&quot;10.4324/9781315814698&quot;,&quot;ISBN&quot;:&quot;9781315814698&quot;,&quot;URL&quot;:&quot;https://www.taylorfrancis.com/books/mono/10.4324/9781315814698/applying-rasch-model-trevor-bond&quot;,&quot;issued&quot;:{&quot;date-parts&quot;:[[2015,6,5]]},&quot;abstract&quot;:&quot;Cited over 1900 times, this classic text facilitates a deep understanding of the Rasch model. The authors review the crucial properties of the model and demonstrate its use with a variety of examples from education, psychology, and health. A glossary and numerous illustrations aid the reader's understanding. Readers learn how to apply Rasch analysis so they can perform their own analyses and interpret the results. The authors present an accessible overview that does not require a mathematical background. \n\nHighlights of the new edition include:\n-More learning tools to strengthen readers’ understanding including chapter introductions, boldfaced key terms, chapter summaries, activities, and suggested readings.\n-Divided chapters (4, 6, 7 &amp; 8) into basic and extended understanding sections so readers can select the level most appropriate for their needs and to provide more in-depth investigations of key topics.\n-A website at www.routledge.com/9780415833424 that features free Rasch software, data sets, an Invariance worksheet, detailed instructions for key analyses, and links to related sources.\n-Greater emphasis on the role of Rasch measurement as a priori in the construction of scales and its use post hoc to reveal the extent to which interval scale measurement is instantiated in existing data sets.\n-Emphasizes the importance of interval level measurement data and demonstrates how Rasch measurement is used to examine measurement invariance.\n-Insights from other Rasch scholars via innovative applications (Ch. 9).\n-Extended discussion of invariance now reviews DIF, DPF, and anchoring (ch. 5). \n-Revised Rating Scale Model material now based on the analysis of the CEAQ (ch.6).\n-Clarifies the relationships between Rasch measurement, True Score Theory, and Item Response Theory by reviewing their commonalities and differences (Ch.13).\n-Provides more detail on how to conduct a Rasch analysis so readers can use the techniques on their own (Appendix B).\n\nIntended as a text for graduate courses in measurement, item response theory, (advanced) research methods or quantitative analysis taught in psychology, education, human development, business, and other social and health sciences, professionals in these areas also appreciate the book‘s accessible introduction.&quot;,&quot;publisher&quot;:&quot;Routledge&quot;,&quot;container-title-short&quot;:&quot;&quot;},&quot;isTemporary&quot;:false}],&quot;citationTag&quot;:&quot;MENDELEY_CITATION_v3_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&quot;},{&quot;citationID&quot;:&quot;MENDELEY_CITATION_ddcfad5f-9e54-4391-bb90-9a2262617723&quot;,&quot;properties&quot;:{&quot;noteIndex&quot;:0},&quot;isEdited&quot;:false,&quot;manualOverride&quot;:{&quot;isManuallyOverridden&quot;:false,&quot;citeprocText&quot;:&quot;(Abma et al., 2016)&quot;,&quot;manualOverrideText&quot;:&quot;&quot;},&quot;citationItems&quot;:[{&quot;id&quot;:&quot;47226915-b043-347f-8ff1-0b6701b89e9a&quot;,&quot;itemData&quot;:{&quot;type&quot;:&quot;article-journal&quot;,&quot;id&quot;:&quot;47226915-b043-347f-8ff1-0b6701b89e9a&quot;,&quot;title&quot;:&quot;Appraising convergent validity of patient-reported outcome measures in systematic reviews: Constructing hypotheses and interpreting outcomes&quot;,&quot;author&quot;:[{&quot;family&quot;:&quot;Abma&quot;,&quot;given&quot;:&quot;Inger L.&quot;,&quot;parse-names&quot;:false,&quot;dropping-particle&quot;:&quot;&quot;,&quot;non-dropping-particle&quot;:&quot;&quot;},{&quot;family&quot;:&quot;Rovers&quot;,&quot;given&quot;:&quot;Maroeska&quot;,&quot;parse-names&quot;:false,&quot;dropping-particle&quot;:&quot;&quot;,&quot;non-dropping-particle&quot;:&quot;&quot;},{&quot;family&quot;:&quot;Wees&quot;,&quot;given&quot;:&quot;Philip J.&quot;,&quot;parse-names&quot;:false,&quot;dropping-particle&quot;:&quot;&quot;,&quot;non-dropping-particle&quot;:&quot;Van Der&quot;}],&quot;container-title&quot;:&quot;BMC Research Notes&quot;,&quot;container-title-short&quot;:&quot;BMC Res Notes&quot;,&quot;accessed&quot;:{&quot;date-parts&quot;:[[2023,5,6]]},&quot;DOI&quot;:&quot;10.1186/S13104-016-2034-2/METRICS&quot;,&quot;ISSN&quot;:&quot;17560500&quot;,&quot;PMID&quot;:&quot;27094345&quot;,&quot;URL&quot;:&quot;https://bmcresnotes.biomedcentral.com/articles/10.1186/s13104-016-2034-2&quot;,&quot;issued&quot;:{&quot;date-parts&quot;:[[2016,4,19]]},&quot;page&quot;:&quot;1-5&quot;,&quot;abstract&quot;:&quot;Purpose: Convergent validity is one type of validity that is commonly assessed for patient-reported outcome measures (PROMs). It is assessed by means of \&quot;hypothesis testing\&quot;: determining whether the scores of the instrument under study correlate with other instruments in the way that one would expect. Authors of systematic reviews on measurement properties for PROMs may encounter validation articles which do not state hypotheses by which convergent validity can be tested. The information in these articles can therefore not be readily used to determine the adequacy of convergent validity. We suggest that in these cases, reviewers construct their own hypotheses. However, constructing hypotheses and interpreting outcomes is not always straightforward, and we wish to aid reviewers based on our own recent experiences with a systematic review on measurement properties. Recommendations: We have the following recommendations for authors of a systematic review on measurement properties who wish to construct hypotheses for convergent validity: take an active role in judging the suitability of the comparator instruments of validation articles; be transparent about which hypotheses were constructed, the underlying assumptions on which they are based, and whether they were constructed by the authors of the validation article or by the reviewer; discuss unmet hypotheses, especially if convergent validity is judged to be inadequate; and when synthesizing data, add up the results of all hypotheses for one instrument, rather than judging convergent validity per study.&quot;,&quot;publisher&quot;:&quot;BioMed Central Ltd.&quot;,&quot;issue&quot;:&quot;1&quot;,&quot;volume&quot;:&quot;9&quot;},&quot;isTemporary&quot;:false}],&quot;citationTag&quot;:&quot;MENDELEY_CITATION_v3_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&quot;},{&quot;citationID&quot;:&quot;MENDELEY_CITATION_f331acff-767d-4418-8840-9757bf4d95a1&quot;,&quot;properties&quot;:{&quot;noteIndex&quot;:0},&quot;isEdited&quot;:false,&quot;manualOverride&quot;:{&quot;isManuallyOverridden&quot;:false,&quot;citeprocText&quot;:&quot;(Mokkink et al., 2010)&quot;,&quot;manualOverrideText&quot;:&quot;&quot;},&quot;citationItems&quot;:[{&quot;id&quot;:&quot;a920b4c4-6e09-3611-a26e-37313d1b85c2&quot;,&quot;itemData&quot;:{&quot;type&quot;:&quot;article-journal&quot;,&quot;id&quot;:&quot;a920b4c4-6e09-3611-a26e-37313d1b85c2&quot;,&quot;title&quot;:&quot;The COSMIN study reached international consensus on taxonomy, terminology, and definitions of measurement properties for health-related patient-reported outcomes&quot;,&quot;author&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family&quot;:&quot;Patrick&quot;,&quot;given&quot;:&quot;Donald L.&quot;,&quot;parse-names&quot;:false,&quot;dropping-particle&quot;:&quot;&quot;,&quot;non-dropping-particle&quot;:&quot;&quot;},{&quot;family&quot;:&quot;Alonso&quot;,&quot;given&quot;:&quot;Jordi&quot;,&quot;parse-names&quot;:false,&quot;dropping-particle&quot;:&quot;&quot;,&quot;non-dropping-particle&quot;:&quot;&quot;},{&quot;family&quot;:&quot;Stratford&quot;,&quot;given&quot;:&quot;Paul W.&quot;,&quot;parse-names&quot;:false,&quot;dropping-particle&quot;:&quot;&quot;,&quot;non-dropping-particle&quot;:&quot;&quot;},{&quot;family&quot;:&quot;Knol&quot;,&quot;given&quot;:&quot;Dirk L.&quot;,&quot;parse-names&quot;:false,&quot;dropping-particle&quot;:&quot;&quot;,&quot;non-dropping-particle&quot;:&quot;&quot;},{&quot;family&quot;:&quot;Bouter&quot;,&quot;given&quot;:&quot;Lex M.&quot;,&quot;parse-names&quot;:false,&quot;dropping-particle&quot;:&quot;&quot;,&quot;non-dropping-particle&quot;:&quot;&quot;},{&quot;family&quot;:&quot;Vet&quot;,&quot;given&quot;:&quot;Henrica C.W.&quot;,&quot;parse-names&quot;:false,&quot;dropping-particle&quot;:&quot;&quot;,&quot;non-dropping-particle&quot;:&quot;de&quot;}],&quot;container-title&quot;:&quot;Journal of Clinical Epidemiology&quot;,&quot;container-title-short&quot;:&quot;J Clin Epidemiol&quot;,&quot;accessed&quot;:{&quot;date-parts&quot;:[[2023,5,6]]},&quot;DOI&quot;:&quot;10.1016/j.jclinepi.2010.02.006&quot;,&quot;ISSN&quot;:&quot;08954356&quot;,&quot;PMID&quot;:&quot;20494804&quot;,&quot;URL&quot;:&quot;http://www.jclinepi.com/article/S0895435610000909/fulltext&quot;,&quot;issued&quot;:{&quot;date-parts&quot;:[[2010,7,1]]},&quot;page&quot;:&quot;737-745&quot;,&quot;abstract&quot;:&quo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quot;reliability\&quot; and \&quot;structural validity,\&quot;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quot;,&quot;publisher&quot;:&quot;Elsevier&quot;,&quot;issue&quot;:&quot;7&quot;,&quot;volume&quot;:&quot;63&quot;},&quot;isTemporary&quot;:false}],&quot;citationTag&quot;:&quot;MENDELEY_CITATION_v3_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&quot;},{&quot;citationID&quot;:&quot;MENDELEY_CITATION_0a12bc33-9212-4a99-a813-aa9df42c8713&quot;,&quot;properties&quot;:{&quot;noteIndex&quot;:0},&quot;isEdited&quot;:false,&quot;manualOverride&quot;:{&quot;isManuallyOverridden&quot;:false,&quot;citeprocText&quot;:&quot;(Hayton et al., 2004)&quot;,&quot;manualOverrideText&quot;:&quot;&quot;},&quot;citationItems&quot;:[{&quot;id&quot;:&quot;79421d85-7c69-312b-8836-cb2dea64b2b4&quot;,&quot;itemData&quot;:{&quot;type&quot;:&quot;article-journal&quot;,&quot;id&quot;:&quot;79421d85-7c69-312b-8836-cb2dea64b2b4&quot;,&quot;title&quot;:&quot;Factor Retention Decisions in Exploratory Factor Analysis: a Tutorial on Parallel Analysis&quot;,&quot;author&quot;:[{&quot;family&quot;:&quot;Hayton&quot;,&quot;given&quot;:&quot;James C&quot;,&quot;parse-names&quot;:false,&quot;dropping-particle&quot;:&quot;&quot;,&quot;non-dropping-particle&quot;:&quot;&quot;},{&quot;family&quot;:&quot;Allen&quot;,&quot;given&quot;:&quot;David G&quot;,&quot;parse-names&quot;:false,&quot;dropping-particle&quot;:&quot;&quot;,&quot;non-dropping-particle&quot;:&quot;&quot;},{&quot;family&quot;:&quot;Scarpello&quot;,&quot;given&quot;:&quot;Vida&quot;,&quot;parse-names&quot;:false,&quot;dropping-particle&quot;:&quot;&quot;,&quot;non-dropping-particle&quot;:&quot;&quot;}],&quot;container-title&quot;:&quot;Organizational Research Methods&quot;,&quot;container-title-short&quot;:&quot;Organ Res Methods&quot;,&quot;DOI&quot;:&quot;10.1177/1094428104263675&quot;,&quot;URL&quot;:&quot;https://doi.org/10.1177/1094428104263675&quot;,&quot;issued&quot;:{&quot;date-parts&quot;:[[2004]]},&quot;page&quot;:&quot;191-205&quot;,&quot;abstract&quot;:&quot; The decision of how many factors to retain is a critical component of exploratory factor analysis. Evidence is presented that parallel analysis is one of the most accurate factor retention methods while also being one of the most underutilized in management and organizational research. Therefore, a step-by-step guide to performing parallel analysis is described, and an example is provided using data from the Minnesota Satisfaction Questionnaire. Recommendations for making factor retention decisions are discussed. &quot;,&quot;issue&quot;:&quot;2&quot;,&quot;volume&quot;:&quot;7&quot;},&quot;isTemporary&quot;:false}],&quot;citationTag&quot;:&quot;MENDELEY_CITATION_v3_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&quot;},{&quot;citationID&quot;:&quot;MENDELEY_CITATION_cc309f8a-14b4-4b02-8623-ab28741b3aa5&quot;,&quot;properties&quot;:{&quot;noteIndex&quot;:0},&quot;isEdited&quot;:false,&quot;manualOverride&quot;:{&quot;isManuallyOverridden&quot;:false,&quot;citeprocText&quot;:&quot;(Bandura, 1977)&quot;,&quot;manualOverrideText&quot;:&quot;&quot;},&quot;citationItems&quot;:[{&quot;id&quot;:&quot;f68d7ea4-84a4-3f3f-b2fa-c36c83ed820d&quot;,&quot;itemData&quot;:{&quot;type&quot;:&quot;article-journal&quot;,&quot;id&quot;:&quot;f68d7ea4-84a4-3f3f-b2fa-c36c83ed820d&quot;,&quot;title&quot;:&quot;Self-efficacy: Toward a unifying theory of behavioral change&quot;,&quot;author&quot;:[{&quot;family&quot;:&quot;Bandura&quot;,&quot;given&quot;:&quot;Albert&quot;,&quot;parse-names&quot;:false,&quot;dropping-particle&quot;:&quot;&quot;,&quot;non-dropping-particle&quot;:&quot;&quot;}],&quot;container-title&quot;:&quot;Psychological Review&quot;,&quot;container-title-short&quot;:&quot;Psychol Rev&quot;,&quot;accessed&quot;:{&quot;date-parts&quot;:[[2023,5,5]]},&quot;DOI&quot;:&quot;10.1037/0033-295X.84.2.191&quot;,&quot;ISSN&quot;:&quot;0033295X&quot;,&quot;PMID&quot;:&quot;847061&quot;,&quot;issued&quot;:{&quot;date-parts&quot;:[[1977,3]]},&quot;page&quot;:&quot;191-215&quot;,&quot;abstract&quot;:&quot;Presents an integrative theoretical framework to explain and to predict psychological changes achieved by different modes of treatment. This theory states that psychological procedures, whatever their form, alter the level and strength of self-efficacy. It is hypothesized that expectations of personal efficacy determine whether coping behavior will be initiated, how much effort will be expended, and how long it will be sustained in the face of obstacles and aversive experiences. Persistence in activities that are subjectively threatening but in fact relatively safe produces, through experiences of mastery, further enhancement of self-efficacy and corresponding reductions in defensive behavior. In the proposed model, expectations of personal efficacy are derived from 4 principal sources of information: performance accomplishments, vicarious experience, verbal persuasion, and physiological states. Factors influencing the cognitive processing of efficacy information arise from enactive, vicarious, exhortative, and emotive sources. The differential power of diverse therapeutic procedures is analyzed in terms of the postulated cognitive mechanism of operation. Findings are reported from microanalyses of enactive, vicarious, and emotive modes of treatment that support the hypothesized relationship between perceived self-efficacy and behavioral changes. (21/2 p ref) (PsycINFO Database Record (c) 2006 APA, all rights reserved). © 1977 American Psychological Association.&quot;,&quot;issue&quot;:&quot;2&quot;,&quot;volume&quot;:&quot;84&quot;},&quot;isTemporary&quot;:false}],&quot;citationTag&quot;:&quot;MENDELEY_CITATION_v3_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&quot;},{&quot;citationID&quot;:&quot;MENDELEY_CITATION_d53ee753-8a74-4512-be1a-b964cb022f30&quot;,&quot;properties&quot;:{&quot;noteIndex&quot;:0},&quot;isEdited&quot;:false,&quot;manualOverride&quot;:{&quot;isManuallyOverridden&quot;:false,&quot;citeprocText&quot;:&quot;(Abraham et al., 2014; Crellin et al., 2014; Dilorio et al., 1992; Kobau &amp;#38; Dilorio, 2003; Lee &amp;#38; Oh, 2020; Motl &amp;#38; Snook, 2008)&quot;,&quot;manualOverrideText&quot;:&quot;&quot;},&quot;citationItems&quot;:[{&quot;id&quot;:&quot;2e62c70b-f93f-3845-a9b9-1cf0c48f696a&quot;,&quot;itemData&quot;:{&quot;type&quot;:&quot;article-journal&quot;,&quot;id&quot;:&quot;2e62c70b-f93f-3845-a9b9-1cf0c48f696a&quot;,&quot;title&quot;:&quot;Self-efficacy and health-related quality of life in family carers of people with dementia: a systematic review&quot;,&quot;author&quot;:[{&quot;family&quot;:&quot;Crellin&quot;,&quot;given&quot;:&quot;Nadia E.&quot;,&quot;parse-names&quot;:false,&quot;dropping-particle&quot;:&quot;&quot;,&quot;non-dropping-particle&quot;:&quot;&quot;},{&quot;family&quot;:&quot;Orrell&quot;,&quot;given&quot;:&quot;Martin&quot;,&quot;parse-names&quot;:false,&quot;dropping-particle&quot;:&quot;&quot;,&quot;non-dropping-particle&quot;:&quot;&quot;},{&quot;family&quot;:&quot;McDermott&quot;,&quot;given&quot;:&quot;Orii&quot;,&quot;parse-names&quot;:false,&quot;dropping-particle&quot;:&quot;&quot;,&quot;non-dropping-particle&quot;:&quot;&quot;},{&quot;family&quot;:&quot;Charlesworth&quot;,&quot;given&quot;:&quot;Georgina&quot;,&quot;parse-names&quot;:false,&quot;dropping-particle&quot;:&quot;&quot;,&quot;non-dropping-particle&quot;:&quot;&quot;}],&quot;container-title&quot;:&quot;Aging &amp; mental health&quot;,&quot;container-title-short&quot;:&quot;Aging Ment Health&quot;,&quot;accessed&quot;:{&quot;date-parts&quot;:[[2023,5,9]]},&quot;DOI&quot;:&quot;10.1080/13607863.2014.915921&quot;,&quot;ISSN&quot;:&quot;1364-6915&quot;,&quot;PMID&quot;:&quot;24943873&quot;,&quot;URL&quot;:&quot;https://pubmed.ncbi.nlm.nih.gov/24943873/&quot;,&quot;issued&quot;:{&quot;date-parts&quot;:[[2014,11,5]]},&quot;page&quot;:&quot;954-969&quot;,&quot;abstract&quot;:&quot;Objectives: This review aims to explore the role of self-efficacy (SE) in the health-related quality of life (QoL) of family carers of people with dementia.\nMethods: A systematic review of literature identified a range of qualitative and quantitative studies. Search terms related to caring, SE, and dementia. Narrative synthesis was adopted to synthesise the findings.\nResults: Twenty-two studies met the full inclusion criteria, these included 17 quantitative, four qualitative, and one mixed-method study. A model describing the role of task/domain-specific SE beliefs in family carer health-related QoL was constructed. This model was informed by review findings and discussed in the context of existing conceptual models of carer adaptation and empirical research. Review findings offer support for the application of the SE theory to caring and for the two-factor view of carer appraisals and well-being. Findings do not support the independence of the negative and positive pathways. The review was valuable in highlighting methodological challenges confronting this area of research, particularly the conceptualisation and measurement issues surrounding both SE and health-related QoL.\nConclusions: The model might have theoretical implications in guiding future research and advancing theoretical models of caring. It might also have clinical implications in facilitating the development of carer support services aimed at improving SE. The review highlights the need for future research, particularly longitudinal research, and further exploration of domain/task-specific SE beliefs, the influence of carer characteristics, and other mediating/moderating variables.&quot;,&quot;publisher&quot;:&quot;Aging Ment Health&quot;,&quot;issue&quot;:&quot;8&quot;,&quot;volume&quot;:&quot;18&quot;},&quot;isTemporary&quot;:false},{&quot;id&quot;:&quot;fd0f990a-2f4b-3caf-874e-e29f0fae4c2b&quot;,&quot;itemData&quot;:{&quot;type&quot;:&quot;article-journal&quot;,&quot;id&quot;:&quot;fd0f990a-2f4b-3caf-874e-e29f0fae4c2b&quot;,&quot;title&quot;:&quot;Physical Activity, Self-Efficacy, and Quality of Life in Multiple Sclerosis&quot;,&quot;author&quot;:[{&quot;family&quot;:&quot;Motl&quot;,&quot;given&quot;:&quot;Robert W.&quot;,&quot;parse-names&quot;:false,&quot;dropping-particle&quot;:&quot;&quot;,&quot;non-dropping-particle&quot;:&quot;&quot;},{&quot;family&quot;:&quot;Snook&quot;,&quot;given&quot;:&quot;Erin M.&quot;,&quot;parse-names&quot;:false,&quot;dropping-particle&quot;:&quot;&quot;,&quot;non-dropping-particle&quot;:&quot;&quot;}],&quot;container-title&quot;:&quot;Annals of Behavioral Medicine&quot;,&quot;accessed&quot;:{&quot;date-parts&quot;:[[2023,5,9]]},&quot;DOI&quot;:&quot;10.1007/S12160-007-9006-7&quot;,&quot;ISSN&quot;:&quot;0883-6612&quot;,&quot;PMID&quot;:&quot;18347911&quot;,&quot;URL&quot;:&quot;https://academic.oup.com/abm/article/35/1/111/4430761&quot;,&quot;issued&quot;:{&quot;date-parts&quot;:[[2008,2,1]]},&quot;page&quot;:&quot;111-115&quot;,&quot;abstract&quot;:&quot;Background: Quality of life (QOL) is compromised among individuals with multiple sclerosis (MS). Self-efficacy and physical activity have been positively associated with QOL in persons with MS, and based on a social cognitive perspective, the relationship between physical activity and QOL might be indirect and accounted for by self-efficacy. Purpose: We tested the hypothesis that physical activity would be indirectly associated with QOL through a pathway that included self-efficacy. Methods: Participants were 133 individuals with a definite diagnosis of MS who completed the Godin Leisure-Time Exercise Questionnaire, Multiple Sclerosis Self-Efficacy scale, and Multiple Sclerosis Impact Scale. Results: Path analysis indicated that those with MS who were more physically active had greater self-efficacy for function and control, and self-efficacy for function and control were associated with greater physical and psychological components of QOL. Conclusions: Our findings support physical activity as a possible modifiable behavior for mitigating reductions of QOL by improving self-efficacy in individuals with MS. © 2008 The Society of Behavioral Medicine.&quot;,&quot;publisher&quot;:&quot;Oxford Academic&quot;,&quot;issue&quot;:&quot;1&quot;,&quot;volume&quot;:&quot;35&quot;,&quot;container-title-short&quot;:&quot;&quot;},&quot;isTemporary&quot;:false},{&quot;id&quot;:&quot;31d05cd9-6b74-32ed-b01f-e865b2ec5742&quot;,&quot;itemData&quot;:{&quot;type&quot;:&quot;article-journal&quot;,&quot;id&quot;:&quot;31d05cd9-6b74-32ed-b01f-e865b2ec5742&quot;,&quot;title&quot;:&quot;Health-Related Quality of Life in Older Adults: Its Association with Health Literacy, Self-Efficacy, Social Support, and Health-Promoting Behavior&quot;,&quot;author&quot;:[{&quot;family&quot;:&quot;Lee&quot;,&quot;given&quot;:&quot;Myung Kyung&quot;,&quot;parse-names&quot;:false,&quot;dropping-particle&quot;:&quot;&quot;,&quot;non-dropping-particle&quot;:&quot;&quot;},{&quot;family&quot;:&quot;Oh&quot;,&quot;given&quot;:&quot;Jihyun&quot;,&quot;parse-names&quot;:false,&quot;dropping-particle&quot;:&quot;&quot;,&quot;non-dropping-particle&quot;:&quot;&quot;}],&quot;container-title&quot;:&quot;Healthcare 2020, Vol. 8, Page 407&quot;,&quot;accessed&quot;:{&quot;date-parts&quot;:[[2023,5,9]]},&quot;DOI&quot;:&quot;10.3390/HEALTHCARE8040407&quot;,&quot;ISSN&quot;:&quot;2227-9032&quot;,&quot;URL&quot;:&quot;https://www.mdpi.com/2227-9032/8/4/407/htm&quot;,&quot;issued&quot;:{&quot;date-parts&quot;:[[2020,10,16]]},&quot;page&quot;:&quot;407&quot;,&quot;abstract&quot;:&quot;This cross-sectional study aimed to explore the relationships among sociodemographics, health literacy, self-efficacy, social support, health-promoting behavior, and health-related quality of life (HRQOL) in older adults. A total of 240 older adults aged &amp;gt;65 years were recruited from three community senior welfare centers in South Korea. Standardized self-administered questionnaires measuring sociodemographic characteristics, health literacy, social support, self-efficacy, health-promoting behavior, and health-related quality of life were distributed to older adults. Multiple regression analyses with stepwise selection was used to determine the factors affecting health-related quality of life. Factors affecting a higher physical component score of HRQOL were a higher comprehension level of and numeracy in health literacy, physical health-promoting behavior, perceived emotional-informational support, and a lesser number of comorbidities. Factors affecting a higher mental component score of HRQOL were a higher comprehension level of and numeracy in health literacy, self-efficacy, physical health-promoting behavior, perceived emotional-informational support, and a lesser number of comorbidities. To improve HRQOL among older adults, nursing interventions are required to measure health literacy, empower physical health-promoting behavior and self-efficacy, and enhance emotional-informational support from family or other resources.&quot;,&quot;publisher&quot;:&quot;Multidisciplinary Digital Publishing Institute&quot;,&quot;issue&quot;:&quot;4&quot;,&quot;volume&quot;:&quot;8&quot;,&quot;container-title-short&quot;:&quot;&quot;},&quot;isTemporary&quot;:false},{&quot;id&quot;:&quot;c10372fd-5d06-3be2-b97d-a2b5f6302eba&quot;,&quot;itemData&quot;:{&quot;type&quot;:&quot;article-journal&quot;,&quot;id&quot;:&quot;c10372fd-5d06-3be2-b97d-a2b5f6302eba&quot;,&quot;title&quot;:&quot;Self-efficacy and Quality of Life among People with Bipolar Disorder&quot;,&quot;author&quot;:[{&quot;family&quot;:&quot;Abraham&quot;,&quot;given&quot;:&quot;Kristen M.&quot;,&quot;parse-names&quot;:false,&quot;dropping-particle&quot;:&quot;&quot;,&quot;non-dropping-particle&quot;:&quot;&quot;},{&quot;family&quot;:&quot;Miller&quot;,&quot;given&quot;:&quot;Christopher J.&quot;,&quot;parse-names&quot;:false,&quot;dropping-particle&quot;:&quot;&quot;,&quot;non-dropping-particle&quot;:&quot;&quot;},{&quot;family&quot;:&quot;Birgenheir&quot;,&quot;given&quot;:&quot;Denis G.&quot;,&quot;parse-names&quot;:false,&quot;dropping-particle&quot;:&quot;&quot;,&quot;non-dropping-particle&quot;:&quot;&quot;},{&quot;family&quot;:&quot;Lai&quot;,&quot;given&quot;:&quot;Zongshan&quot;,&quot;parse-names&quot;:false,&quot;dropping-particle&quot;:&quot;&quot;,&quot;non-dropping-particle&quot;:&quot;&quot;},{&quot;family&quot;:&quot;Kilbourne&quot;,&quot;given&quot;:&quot;Amy M.&quot;,&quot;parse-names&quot;:false,&quot;dropping-particle&quot;:&quot;&quot;,&quot;non-dropping-particle&quot;:&quot;&quot;}],&quot;container-title&quot;:&quot;The Journal of nervous and mental disease&quot;,&quot;container-title-short&quot;:&quot;J Nerv Ment Dis&quot;,&quot;accessed&quot;:{&quot;date-parts&quot;:[[2023,5,9]]},&quot;DOI&quot;:&quot;10.1097/NMD.0000000000000165&quot;,&quot;ISSN&quot;:&quot;1539736X&quot;,&quot;PMID&quot;:&quot;25010107&quot;,&quot;URL&quot;:&quot;/pmc/articles/PMC4133989/&quot;,&quot;issued&quot;:{&quot;date-parts&quot;:[[2014]]},&quot;page&quot;:&quot;583&quot;,&quot;abstract&quot;:&quot;People with bipolar disorders report a lower quality of life than the general population does, and few mutable factors associated with health-related quality of life (HRQoL) among people with bipolar disorders have been identified. Using a cross-sectional design, these analyses examined whether self-efficacy was associated with mental and physical HRQoL in a sample of 141 patients with bipolar disorder who completed baseline assessments for two randomized controlled trials. Multiple linear regression analyses indicated that higher levels of self-efficacy were associated with higher mental and physical HRQoL, after controlling for demographic factors and clinical factors (including mood symptoms, comorbid medical conditions, and substance use). Future research should examine whether targeted treatments that aim to improve self-efficacy (such as self-management interventions) lead to improvements in HRQoL among people with bipolar disorder and other serious mental illnesses. © 2014 by Lippincott Williams and Wilkins.&quot;,&quot;publisher&quot;:&quot;NIH Public Access&quot;,&quot;issue&quot;:&quot;8&quot;,&quot;volume&quot;:&quot;202&quot;},&quot;isTemporary&quot;:false},{&quot;id&quot;:&quot;0110ff99-f982-3007-b9ba-57132a542da5&quot;,&quot;itemData&quot;:{&quot;type&quot;:&quot;article-journal&quot;,&quot;id&quot;:&quot;0110ff99-f982-3007-b9ba-57132a542da5&quot;,&quot;title&quot;:&quot;Epilepsy self-management: A comparison of self-efficacy and outcome expectancy for medication adherence and lifestyle behaviors among people with epilepsy&quot;,&quot;author&quot;:[{&quot;family&quot;:&quot;Kobau&quot;,&quot;given&quot;:&quot;Rosemari&quot;,&quot;parse-names&quot;:false,&quot;dropping-particle&quot;:&quot;&quot;,&quot;non-dropping-particle&quot;:&quot;&quot;},{&quot;family&quot;:&quot;Dilorio&quot;,&quot;given&quot;:&quot;Colleen&quot;,&quot;parse-names&quot;:false,&quot;dropping-particle&quot;:&quot;&quot;,&quot;non-dropping-particle&quot;:&quot;&quot;}],&quot;container-title&quot;:&quot;Epilepsy and Behavior&quot;,&quot;accessed&quot;:{&quot;date-parts&quot;:[[2023,5,7]]},&quot;DOI&quot;:&quot;10.1016/S1525-5050(03)00057-X&quot;,&quot;ISSN&quot;:&quot;15255050&quot;,&quot;PMID&quot;:&quot;12791322&quot;,&quot;URL&quot;:&quot;https://pubmed.ncbi.nlm.nih.gov/12791322/&quot;,&quot;issued&quot;:{&quot;date-parts&quot;:[[2003]]},&quot;page&quot;:&quot;217-225&quot;,&quot;abstract&quot;:&quot;The purpose of this study was to describe self-efficacy beliefs and outcome expectancies toward medication, seizure, and lifestyle management behaviors among 108 adults with epilepsy. Participants responded to an adapted version of the Epilepsy Self-Efficacy and Epilepsy Outcome Expectancy scales. Modifiable behavioral risk factors such as confidence for following medication dosing schedule, planning for medication refills, coping with adverse effects of medication, getting sufficient sleep, avoiding alcohol, and obtaining social support were identified. A larger proportion of persons reported higher self-efficacy for medication management behaviors than for healthful lifestyle behaviors. Findings from this study extend previous research on chronic disease that showed that individuals may be adherent with medication therapy, but not with healthful lifestyle behaviors necessary for the prevention and treatment of chronic disease. Individuals with low self-efficacy would benefit from interventions that increase efficacy beliefs to enhance their ability to adopt and maintain good self-management practices. © 2003 Elsevier Science (USA). All rights reserved.&quot;,&quot;publisher&quot;:&quot;Academic Press Inc.&quot;,&quot;issue&quot;:&quot;3&quot;,&quot;volume&quot;:&quot;4&quot;,&quot;container-title-short&quot;:&quot;&quot;},&quot;isTemporary&quot;:false},{&quot;id&quot;:&quot;3d69f90d-c02a-3bcb-b5f6-4f9178ed37a8&quot;,&quot;itemData&quot;:{&quot;type&quot;:&quot;article-journal&quot;,&quot;id&quot;:&quot;3d69f90d-c02a-3bcb-b5f6-4f9178ed37a8&quot;,&quot;title&quot;:&quot;Self-Efficacy and Social Support in Self-Management of Epilepsy&quot;,&quot;author&quot;:[{&quot;family&quot;:&quot;Dilorio&quot;,&quot;given&quot;:&quot;Colleen&quot;,&quot;parse-names&quot;:false,&quot;dropping-particle&quot;:&quot;&quot;,&quot;non-dropping-particle&quot;:&quot;&quot;},{&quot;family&quot;:&quot;Faherty&quot;,&quot;given&quot;:&quot;Barbara&quot;,&quot;parse-names&quot;:false,&quot;dropping-particle&quot;:&quot;&quot;,&quot;non-dropping-particle&quot;:&quot;&quot;},{&quot;family&quot;:&quot;Manteuffel&quot;,&quot;given&quot;:&quot;Brigitte&quot;,&quot;parse-names&quot;:false,&quot;dropping-particle&quot;:&quot;&quot;,&quot;non-dropping-particle&quot;:&quot;&quot;},{&quot;family&quot;:&quot;Hoeffer&quot;,&quot;given&quot;:&quot;Beverly&quot;,&quot;parse-names&quot;:false,&quot;dropping-particle&quot;:&quot;&quot;,&quot;non-dropping-particle&quot;:&quot;&quot;},{&quot;family&quot;:&quot;Hilbert&quot;,&quot;given&quot;:&quot;Gail A.&quot;,&quot;parse-names&quot;:false,&quot;dropping-particle&quot;:&quot;&quot;,&quot;non-dropping-particle&quot;:&quot;&quot;}],&quot;container-title&quot;:&quot;Western Journal of Nursing Research&quot;,&quot;container-title-short&quot;:&quot;West J Nurs Res&quot;,&quot;accessed&quot;:{&quot;date-parts&quot;:[[2023,5,3]]},&quot;DOI&quot;:&quot;10.1177/019394599201400303/ASSET/019394599201400303.FP.PNG_V03&quot;,&quot;ISSN&quot;:&quot;15528456&quot;,&quot;PMID&quot;:&quot;1615646&quot;,&quot;URL&quot;:&quot;https://journals.sagepub.com/doi/abs/10.1177/019394599201400303?journalCode=wjna&quot;,&quot;issued&quot;:{&quot;date-parts&quot;:[[1992,6,1]]},&quot;page&quot;:&quot;292-307&quot;,&quot;publisher&quot;:&quot;SAGE PUBLICATIONS, INC.2455 Teller Road, Newbury Park, CA 91320&quot;,&quot;issue&quot;:&quot;3&quot;,&quot;volume&quot;:&quot;14&quot;},&quot;isTemporary&quot;:false}],&quot;citationTag&quot;:&quot;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&quot;},{&quot;citationID&quot;:&quot;MENDELEY_CITATION_11030879-f93d-4cf4-ba70-54c3d70e00bb&quot;,&quot;properties&quot;:{&quot;noteIndex&quot;:0},&quot;isEdited&quot;:false,&quot;manualOverride&quot;:{&quot;isManuallyOverridden&quot;:false,&quot;citeprocText&quot;:&quot;(Ames &amp;#38; Flynn, 2007; Speed et al., 2017)&quot;,&quot;manualOverrideText&quot;:&quot;&quot;},&quot;citationItems&quot;:[{&quot;id&quot;:&quot;de486a7e-d57a-3512-9da7-2ec011d08f5a&quot;,&quot;itemData&quot;:{&quot;type&quot;:&quot;article-journal&quot;,&quot;id&quot;:&quot;de486a7e-d57a-3512-9da7-2ec011d08f5a&quot;,&quot;title&quot;:&quot;Assertiveness Training: A Forgotten Evidence-Based Treatment&quot;,&quot;author&quot;:[{&quot;family&quot;:&quot;Speed&quot;,&quot;given&quot;:&quot;Brittany C&quot;,&quot;parse-names&quot;:false,&quot;dropping-particle&quot;:&quot;&quot;,&quot;non-dropping-particle&quot;:&quot;&quot;},{&quot;family&quot;:&quot;Goldstein&quot;,&quot;given&quot;:&quot;Brandon L&quot;,&quot;parse-names&quot;:false,&quot;dropping-particle&quot;:&quot;&quot;,&quot;non-dropping-particle&quot;:&quot;&quot;},{&quot;family&quot;:&quot;Goldfried&quot;,&quot;given&quot;:&quot;Marvin R&quot;,&quot;parse-names&quot;:false,&quot;dropping-particle&quot;:&quot;&quot;,&quot;non-dropping-particle&quot;:&quot;&quot;}],&quot;accessed&quot;:{&quot;date-parts&quot;:[[2023,5,9]]},&quot;DOI&quot;:&quot;10.1111/cpsp.12216&quot;,&quot;issued&quot;:{&quot;date-parts&quot;:[[2017]]},&quot;abstract&quot;:&quot;The current article discusses assertiveness training, a once highly popular area of investigation that has been neglected in recent years by the field of psychotherapy. A substantial body of research indicates that assertive-ness is a relevant factor associated with a variety of clinical problems, populations, and contexts, and that assertiveness training is a valuable transdiagnostic intervention. Despite its demonstrated importance, research on assertiveness and assertiveness training as a stand-alone treatment within clinical psychology has diminished drastically. We review the history of assertiveness training, revisit early research evidence for assertiveness training in treating various clinical problems, discuss the current status of assertiveness training, consider issues of clinical implementation, and comment on how the variables accounting for unassertiveness map onto the NIMH RDoC funding priorities.&quot;,&quot;container-title-short&quot;:&quot;&quot;},&quot;isTemporary&quot;:false},{&quot;id&quot;:&quot;82acb4fc-5f60-36b5-b8d4-1c59af4b9b8b&quot;,&quot;itemData&quot;:{&quot;type&quot;:&quot;article-journal&quot;,&quot;id&quot;:&quot;82acb4fc-5f60-36b5-b8d4-1c59af4b9b8b&quot;,&quot;title&quot;:&quot;PERSONALITY PROCESSES AND INDIVIDUAL DIFFERENCES What Breaks a Leader: The Curvilinear Relation Between Assertiveness and Leadership&quot;,&quot;author&quot;:[{&quot;family&quot;:&quot;Ames&quot;,&quot;given&quot;:&quot;Daniel R&quot;,&quot;parse-names&quot;:false,&quot;dropping-particle&quot;:&quot;&quot;,&quot;non-dropping-particle&quot;:&quot;&quot;},{&quot;family&quot;:&quot;Flynn&quot;,&quot;given&quot;:&quot;Francis J&quot;,&quot;parse-names&quot;:false,&quot;dropping-particle&quot;:&quot;&quot;,&quot;non-dropping-particle&quot;:&quot;&quot;}],&quot;accessed&quot;:{&quot;date-parts&quot;:[[2023,5,9]]},&quot;DOI&quot;:&quot;10.1037/0022-3514.92.2.307&quot;,&quot;issued&quot;:{&quot;date-parts&quot;:[[2007]]},&quot;abstract&quot;:&quot;The authors propose that individual differences in assertiveness play a critical role in perceptions about leaders. In contrast to prior work that focused on linear effects, the authors argue that individuals seen either as markedly low in assertiveness or as high in assertiveness are generally appraised as less effective leaders. Moreover, the authors claim that observers' perceptions of leaders as having too much or too little assertiveness are widespread. The authors linked the curvilinear effects of assertiveness to underlying tradeoffs between social outcomes (a high level of assertiveness worsens relationships) and instrumental outcomes (a low level of assertiveness limits goal achievement). In 3 studies, the authors used qualitative and quantitative approaches and found support for their account. The results suggest that assertiveness (and other constructs with nonlinear effects) might have been overlooked in research that has been focused on identifying what makes a leader rather than on identifying what breaks a leader.&quot;,&quot;container-title-short&quot;:&quot;&quot;},&quot;isTemporary&quot;:false}],&quot;citationTag&quot;:&quot;MENDELEY_CITATION_v3_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&quot;},{&quot;citationID&quot;:&quot;MENDELEY_CITATION_75d2dea5-b217-4236-9273-8beedfabc87e&quot;,&quot;properties&quot;:{&quot;noteIndex&quot;:0},&quot;isEdited&quot;:false,&quot;manualOverride&quot;:{&quot;isManuallyOverridden&quot;:true,&quot;citeprocText&quot;:&quot;(Myers et al., 2022)&quot;,&quot;manualOverrideText&quot;:&quot;(Myers et al., 2022). &quot;},&quot;citationItems&quot;:[{&quot;id&quot;:&quot;2d582fdb-019b-3567-a0f0-e29974ac9bd2&quot;,&quot;itemData&quot;:{&quot;type&quot;:&quot;article-journal&quot;,&quot;id&quot;:&quot;2d582fdb-019b-3567-a0f0-e29974ac9bd2&quot;,&quot;title&quot;:&quot;Shame in the treatment of patients with psychogenic nonepileptic seizures: The elephant in the room&quot;,&quot;author&quot;:[{&quot;family&quot;:&quot;Myers&quot;,&quot;given&quot;:&quot;Lorna&quot;,&quot;parse-names&quot;:false,&quot;dropping-particle&quot;:&quot;&quot;,&quot;non-dropping-particle&quot;:&quot;&quot;},{&quot;family&quot;:&quot;Gray&quot;,&quot;given&quot;:&quot;Cordelia&quot;,&quot;parse-names&quot;:false,&quot;dropping-particle&quot;:&quot;&quot;,&quot;non-dropping-particle&quot;:&quot;&quot;},{&quot;family&quot;:&quot;Roberts&quot;,&quot;given&quot;:&quot;Nicole&quot;,&quot;parse-names&quot;:false,&quot;dropping-particle&quot;:&quot;&quot;,&quot;non-dropping-particle&quot;:&quot;&quot;},{&quot;family&quot;:&quot;Levita&quot;,&quot;given&quot;:&quot;Liat&quot;,&quot;parse-names&quot;:false,&quot;dropping-particle&quot;:&quot;&quot;,&quot;non-dropping-particle&quot;:&quot;&quot;},{&quot;family&quot;:&quot;Reuber&quot;,&quot;given&quot;:&quot;Markus&quot;,&quot;parse-names&quot;:false,&quot;dropping-particle&quot;:&quot;&quot;,&quot;non-dropping-particle&quot;:&quot;&quot;}],&quot;container-title&quot;:&quot;Seizure&quot;,&quot;container-title-short&quot;:&quot;Seizure&quot;,&quot;accessed&quot;:{&quot;date-parts&quot;:[[2023,5,9]]},&quot;DOI&quot;:&quot;10.1016/J.SEIZURE.2021.10.018&quot;,&quot;ISSN&quot;:&quot;1532-2688&quot;,&quot;PMID&quot;:&quot;34876339&quot;,&quot;URL&quot;:&quot;https://pubmed.ncbi.nlm.nih.gov/34876339/&quot;,&quot;issued&quot;:{&quot;date-parts&quot;:[[2022,1,1]]},&quot;page&quot;:&quot;176-182&quot;,&quot;abstract&quot;:&quot;Previous research has established a link between psychogenic nonepileptic seizures (also known as dissociative or functional seizures) and abnormal emotion processing. In a companion article to this multidisciplinary narrative review, we have argued that, in the context of a biopsychosocial understanding of the condition, the emotion of shame is particularly likely to contribute to the aetiology, manifestation, semiology and perpetuation of psychogenic non-epileptic seizures (PNES). Here we demonstrate how unrecognised and unaddressed shame may cause difficulties when clinicians explain the diagnosis, attempt to engage patients in psychological treatment, construct a diagnostic formulation and undertake psychotherapy. Case vignettes are used to bring theoretical considerations to life and to illustrate the complex interactions which may be observed between high shame proneness, chronic and dysregulated shame, stigma and PNES. The particular focus on shame does not mean that recent explanatory models of PNES are obsolete. Rather, we demonstrate how the inclusion of shame helps to embed the emotional, cognitive and behavioural aspects of the Integrative Cognitive Model (ICM) of PNES in a social / interpersonal context. While we describe how a number of different psychotherapeutic approaches can help to address shame-related processes we conclude that specific modalities are less important than the eventual enhancement of emotional literacy and tolerance through a healing relationship with the psychotherapist.&quot;,&quot;publisher&quot;:&quot;Seizure&quot;,&quot;volume&quot;:&quot;94&quot;},&quot;isTemporary&quot;:false}],&quot;citationTag&quot;:&quot;MENDELEY_CITATION_v3_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&quot;},{&quot;citationID&quot;:&quot;MENDELEY_CITATION_6735c448-63fc-4d8f-af78-35267f5c1b85&quot;,&quot;properties&quot;:{&quot;noteIndex&quot;:0},&quot;isEdited&quot;:false,&quot;manualOverride&quot;:{&quot;isManuallyOverridden&quot;:false,&quot;citeprocText&quot;:&quot;(Bakvis et al., 2009; Bewley et al., 2005; Steffen-Klatt et al., 2019)&quot;,&quot;manualOverrideText&quot;:&quot;&quot;},&quot;citationItems&quot;:[{&quot;id&quot;:&quot;3c24f0e1-88ed-3f1b-b500-698f4c348a0f&quot;,&quot;itemData&quot;:{&quot;type&quot;:&quot;article-journal&quot;,&quot;id&quot;:&quot;3c24f0e1-88ed-3f1b-b500-698f4c348a0f&quot;,&quot;title&quot;:&quot;Trauma, stress, and preconscious threat processing in patients with psychogenic nonepileptic seizures&quot;,&quot;author&quot;:[{&quot;family&quot;:&quot;Bakvis&quot;,&quot;given&quot;:&quot;P&quot;,&quot;parse-names&quot;:false,&quot;dropping-particle&quot;:&quot;&quot;,&quot;non-dropping-particle&quot;:&quot;&quot;},{&quot;family&quot;:&quot;Roelofs&quot;,&quot;given&quot;:&quot;K&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Swinkels&quot;,&quot;given&quot;:&quot;W A&quot;,&quot;parse-names&quot;:false,&quot;dropping-particle&quot;:&quot;&quot;,&quot;non-dropping-particle&quot;:&quot;&quot;},{&quot;family&quot;:&quot;Spinhoven&quot;,&quot;given&quot;:&quot;P&quot;,&quot;parse-names&quot;:false,&quot;dropping-particle&quot;:&quot;&quot;,&quot;non-dropping-particle&quot;:&quot;&quot;}],&quot;container-title&quot;:&quot;Epilepsia&quot;,&quot;container-title-short&quot;:&quot;Epilepsia&quot;,&quot;DOI&quot;:&quot;10.1111/j.1528-1167.2008.01862.x&quot;,&quot;ISSN&quot;:&quot;0013-9580&quot;,&quot;PMID&quot;:&quot;19170739&quot;,&quot;issued&quot;:{&quot;date-parts&quot;:[[2009]]},&quot;page&quot;:&quot;1001-1011&quot;,&quot;language&quot;:&quot;eng&quot;,&quot;abstract&quot;:&quot;PURPOSE: Psychogenic nonepileptic seizures (PNES) have long been considered as paroxysmal dissociative symptoms characterized by an alteration of attentional functions caused by severe stress or trauma. Although interpersonal trauma is common in PNES, the proposed relation between trauma and attentional functions remains under explored. We examined the attentional processing of social threat in PNES in relation to interpersonal trauma and acute psychological stress. METHODS: A masked emotional Stroop test, comparing color-naming latencies for backwardly masked angry, neutral, and happy faces, was administered to 19 unmedicated patients with PNES and 20 matched healthy controls, at baseline and in a stress condition. Stress was induced by means of the Trier Social Stress Test and physiologic stress parameters, such as heart rate variability (HRV) and cortisol, were measured throughout the experiment. RESULTS: No group differences related to the acute stress induction were found. Compared to controls, however, patients displayed a positive attentional bias for masked angry faces at baseline, which was correlated to self-reported sexual trauma. Moreover, patients showed lower HRV at baseline and during recovery. DISCUSSION: These findings are suggestive of a state of hypervigilance in patients with PNES. The relation with self-reported trauma, moreover, offers the first evidence linking psychological risk factors to altered information processing in PNES.&quot;,&quot;edition&quot;:&quot;2009/01/28&quot;,&quot;issue&quot;:&quot;5&quot;,&quot;volume&quot;:&quot;50&quot;},&quot;isTemporary&quot;:false},{&quot;id&quot;:&quot;989fdd90-7ca9-3941-8b23-e086af8ba4fa&quot;,&quot;itemData&quot;:{&quot;type&quot;:&quot;article-journal&quot;,&quot;id&quot;:&quot;989fdd90-7ca9-3941-8b23-e086af8ba4fa&quot;,&quot;title&quot;:&quot;Does alexithymia differentiate between patients with nonepileptic seizures, patients with epilepsy, and nonpatient controls?&quot;,&quot;author&quot;:[{&quot;family&quot;:&quot;Bewley&quot;,&quot;given&quot;:&quot;Jane&quot;,&quot;parse-names&quot;:false,&quot;dropping-particle&quot;:&quot;&quot;,&quot;non-dropping-particle&quot;:&quot;&quot;},{&quot;family&quot;:&quot;Murphy&quot;,&quot;given&quot;:&quot;Philip N&quot;,&quot;parse-names&quot;:false,&quot;dropping-particle&quot;:&quot;&quot;,&quot;non-dropping-particle&quot;:&quot;&quot;},{&quot;family&quot;:&quot;Mallows&quot;,&quot;given&quot;:&quot;Jenna&quot;,&quot;parse-names&quot;:false,&quot;dropping-particle&quot;:&quot;&quot;,&quot;non-dropping-particle&quot;:&quot;&quot;},{&quot;family&quot;:&quot;Baker&quot;,&quot;given&quot;:&quot;Gus A&quot;,&quot;parse-names&quot;:false,&quot;dropping-particle&quot;:&quot;&quot;,&quot;non-dropping-particle&quot;:&quot;&quot;}],&quot;container-title&quot;:&quot;Epilepsy &amp; Behavior&quot;,&quot;DOI&quot;:&quot;10.1016/j.yebeh.2005.06.006&quot;,&quot;ISSN&quot;:&quot;1525-5050&quot;,&quot;issued&quot;:{&quot;date-parts&quot;:[[2005]]},&quot;page&quot;:&quot;430-437&quot;,&quot;publisher&quot;:&quot;Elsevier BV&quot;,&quot;issue&quot;:&quot;3&quot;,&quot;volume&quot;:&quot;7&quot;,&quot;container-title-short&quot;:&quot;&quot;},&quot;isTemporary&quot;:false},{&quot;id&quot;:&quot;3e0b8480-716a-347d-b728-01fde60c444a&quot;,&quot;itemData&quot;:{&quot;type&quot;:&quot;article-journal&quot;,&quot;id&quot;:&quot;3e0b8480-716a-347d-b728-01fde60c444a&quot;,&quot;title&quot;:&quot;The impact of adverse childhood experience on symptom severity in patients with functional neurological symptom disorder (FNSD)&quot;,&quot;author&quot;:[{&quot;family&quot;:&quot;Steffen-Klatt&quot;,&quot;given&quot;:&quot;Astrid&quot;,&quot;parse-names&quot;:false,&quot;dropping-particle&quot;:&quot;&quot;,&quot;non-dropping-particle&quot;:&quot;&quot;},{&quot;family&quot;:&quot;Fiess&quot;,&quot;given&quot;:&quot;Johanna&quot;,&quot;parse-names&quot;:false,&quot;dropping-particle&quot;:&quot;&quot;,&quot;non-dropping-particle&quot;:&quot;&quot;},{&quot;family&quot;:&quot;Beckh&quot;,&quot;given&quot;:&quot;Johanna&quot;,&quot;parse-names&quot;:false,&quot;dropping-particle&quot;:&quot;&quot;,&quot;non-dropping-particle&quot;:&quot;&quot;},{&quot;family&quot;:&quot;Schmidt&quot;,&quot;given&quot;:&quot;Roger&quot;,&quot;parse-names&quot;:false,&quot;dropping-particle&quot;:&quot;&quot;,&quot;non-dropping-particle&quot;:&quot;&quot;},{&quot;family&quot;:&quot;Rockstroh&quot;,&quot;given&quot;:&quot;Brigitte&quot;,&quot;parse-names&quot;:false,&quot;dropping-particle&quot;:&quot;&quot;,&quot;non-dropping-particle&quot;:&quot;&quot;}],&quot;container-title&quot;:&quot;Mental Health &amp; Prevention&quot;,&quot;container-title-short&quot;:&quot;Ment Health Prev&quot;,&quot;accessed&quot;:{&quot;date-parts&quot;:[[2023,5,9]]},&quot;DOI&quot;:&quot;10.1016/J.MHP.2018.09.004&quot;,&quot;ISSN&quot;:&quot;2212-6570&quot;,&quot;issued&quot;:{&quot;date-parts&quot;:[[2019,3,1]]},&quot;page&quot;:&quot;169-175&quot;,&quot;abstract&quot;:&quot;Theoretical background: Adverse childhood experiences (ACE), especially traumatic ACE have been assumed to play a particular role for patients with functional neurological symptoms (FNS): Emotional responses to traumata hypothetically affect (or ‘convert’ into) bodily symptoms. The present study examined this hypothesis scrutinizing the specific impact of (1) traumatic experiences compared to other adversities such as neglect, (2) early childhood compared to adolescent adverse experiences, (3) on FNS compared to psychological symptoms such as depressive and trauma-related symptoms. Methods: Neglect and abuse experiences during childhood and adolescence were assessed in 82 patients diagnosed with functional neurological symptom disorder (FNSD) and 82 healthy comparison participants (HC) together with self-rated FNS (indexed by somatoform dissociative symptoms, SDQ-20), depressive (BDI) and posttraumatic stress symptoms (PDS). Emotion processing was assessed with the TAS-26, which captures the ability to identify and describe one's own emotions (described as alexithymia), Results: Patients reported more ACE than HC independent of type and age period, more severe functional neurological symptoms and more alexithymia. Alexithymia mediated not only the relationship between ACE and FNS, but also the relationship between ACE and depressive and ACE and trauma-related symptom severity in cases and controls. Conclusion: Results emphasize the impact of neglect and abuse on FNSD, and strengthen the proposed ACE influence on affect regulation with its mediating role for symptom expression in support of the conversion concept. The similar impact of ACE on FNS, depressive and trauma-related symptoms suggest a sensitizing impact of childhood adversities on mental health.&quot;,&quot;publisher&quot;:&quot;Elsevier&quot;,&quot;volume&quot;:&quot;13&quot;},&quot;isTemporary&quot;:false}],&quot;citationTag&quot;:&quot;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&quot;},{&quot;citationID&quot;:&quot;MENDELEY_CITATION_92a3c192-0ebf-4ace-afec-aa341833ba9c&quot;,&quot;properties&quot;:{&quot;noteIndex&quot;:0},&quot;isEdited&quot;:false,&quot;manualOverride&quot;:{&quot;isManuallyOverridden&quot;:false,&quot;citeprocText&quot;:&quot;(Ricciardi et al., 2015)&quot;,&quot;manualOverrideText&quot;:&quot;&quot;},&quot;citationItems&quot;:[{&quot;id&quot;:&quot;128efc76-600f-3f09-a499-3b13b8b65336&quot;,&quot;itemData&quot;:{&quot;type&quot;:&quot;article-journal&quot;,&quot;id&quot;:&quot;128efc76-600f-3f09-a499-3b13b8b65336&quot;,&quot;title&quot;:&quot;Alexithymia in neurological disease: A review&quot;,&quot;author&quot;:[{&quot;family&quot;:&quot;Ricciardi&quot;,&quot;given&quot;:&quot;Lucia&quot;,&quot;parse-names&quot;:false,&quot;dropping-particle&quot;:&quot;&quot;,&quot;non-dropping-particle&quot;:&quot;&quot;},{&quot;family&quot;:&quot;Demartini&quot;,&quot;given&quot;:&quot;Benedetta&quot;,&quot;parse-names&quot;:false,&quot;dropping-particle&quot;:&quot;&quot;,&quot;non-dropping-particle&quot;:&quot;&quot;},{&quot;family&quot;:&quot;Fotopoulou&quot;,&quot;given&quot;:&quot;Aikaterini&quot;,&quot;parse-names&quot;:false,&quot;dropping-particle&quot;:&quot;&quot;,&quot;non-dropping-particle&quot;:&quot;&quot;},{&quot;family&quot;:&quot;Edwards&quot;,&quot;given&quot;:&quot;Mark J.&quot;,&quot;parse-names&quot;:false,&quot;dropping-particle&quot;:&quot;&quot;,&quot;non-dropping-particle&quot;:&quot;&quot;}],&quot;container-title&quot;:&quot;Journal of Neuropsychiatry and Clinical Neurosciences&quot;,&quot;accessed&quot;:{&quot;date-parts&quot;:[[2023,5,9]]},&quot;DOI&quot;:&quot;10.1176/APPI.NEUROPSYCH.14070169/SUPPL_FILE/APPI.NEUROPSYCH.14070169.DS001.PDF&quot;,&quot;ISSN&quot;:&quot;15457222&quot;,&quot;PMID&quot;:&quot;25658681&quot;,&quot;URL&quot;:&quot;https://neuro.psychiatryonline.org/doi/10.1176/appi.neuropsych.14070169&quot;,&quot;issued&quot;:{&quot;date-parts&quot;:[[2015,8,26]]},&quot;page&quot;:&quot;179-187&quot;,&quot;abstract&quot;:&quot;Objective: Alexithymia has been considered a personality trait characterized by difficulties identifying and describing feelings and an externally oriented thinking style. A high rate of alexithymia is reported among patients with psychiatric and psychosomatic disorders. In this review, the authors examined the literature regarding the prevalence and importance of alexithymia in patients with neurological disorders. Methods: A systematic search of the computerized databases MEDLINE and PubMed was conducted in order to identify papers on alexithymia in neurological disease. Key search terms used included “traumatic brain injury,” “head trauma,” “head injury,” “stroke,” “epilepsy,” “brain tumor,” “multiple sclerosis,” “Alzheimer’s disease,” “Parkinson’s disease,” “Huntington’s disease,” “Gilles de la Tourette syndrome,” “dystonia,” “psychogenic movement disorders,” “functional movement disorders,” “nonepileptic attacks,” and “nonepileptic seizures.” These search terms were paired with “alexithymia.” Results: Alexithymia seems to be a common feature of neurological disease, with most evidence available for patients with traumatic brain injury, stroke, and epilepsy. However, it is not clear how independent it is from affective disorders such as depression and anxiety, which are themselves very common in neurological conditions. Conclusions: Identification of alexithymia could be relevant for prognosis and therapeutic decisions in patients with neurological disease and is certainly worthy of further study. Tools with which to measure alexithymia and delineation from affective disorders and apathy are important methodological issues for future work.&quot;,&quot;publisher&quot;:&quot;American Psychiatric Association&quot;,&quot;issue&quot;:&quot;3&quot;,&quot;volume&quot;:&quot;27&quot;,&quot;container-title-short&quot;:&quot;&quot;},&quot;isTemporary&quot;:false}],&quot;citationTag&quot;:&quot;MENDELEY_CITATION_v3_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&quot;},{&quot;citationID&quot;:&quot;MENDELEY_CITATION_3dbd3e9a-84d3-4c3a-84fc-a25de765ab4e&quot;,&quot;properties&quot;:{&quot;noteIndex&quot;:0},&quot;isEdited&quot;:false,&quot;manualOverride&quot;:{&quot;isManuallyOverridden&quot;:false,&quot;citeprocText&quot;:&quot;(Aybek et al., 2015)&quot;,&quot;manualOverrideText&quot;:&quot;&quot;},&quot;citationItems&quot;:[{&quot;id&quot;:&quot;8203da8e-7703-3acc-bd6e-5a1637213b34&quot;,&quot;itemData&quot;:{&quot;type&quot;:&quot;article-journal&quot;,&quot;id&quot;:&quot;8203da8e-7703-3acc-bd6e-5a1637213b34&quot;,&quot;title&quot;:&quot;Emotion-motion interactions in conversion disorder: an FMRI study&quot;,&quot;author&quot;:[{&quot;family&quot;:&quot;Aybek&quot;,&quot;given&quot;:&quot;Selma&quot;,&quot;parse-names&quot;:false,&quot;dropping-particle&quot;:&quot;&quot;,&quot;non-dropping-particle&quot;:&quot;&quot;},{&quot;family&quot;:&quot;Nicholson&quot;,&quot;given&quot;:&quot;Timothy R&quot;,&quot;parse-names&quot;:false,&quot;dropping-particle&quot;:&quot;&quot;,&quot;non-dropping-particle&quot;:&quot;&quot;},{&quot;family&quot;:&quot;O'Daly&quot;,&quot;given&quot;:&quot;Owen&quot;,&quot;parse-names&quot;:false,&quot;dropping-particle&quot;:&quot;&quot;,&quot;non-dropping-particle&quot;:&quot;&quot;},{&quot;family&quot;:&quot;Zelaya&quot;,&quot;given&quot;:&quot;Fernando&quot;,&quot;parse-names&quot;:false,&quot;dropping-particle&quot;:&quot;&quot;,&quot;non-dropping-particle&quot;:&quot;&quot;},{&quot;family&quot;:&quot;Kanaan&quot;,&quot;given&quot;:&quot;Richard A&quot;,&quot;parse-names&quot;:false,&quot;dropping-particle&quot;:&quot;&quot;,&quot;non-dropping-particle&quot;:&quot;&quot;},{&quot;family&quot;:&quot;David&quot;,&quot;given&quot;:&quot;Anthony S&quot;,&quot;parse-names&quot;:false,&quot;dropping-particle&quot;:&quot;&quot;,&quot;non-dropping-particle&quot;:&quot;&quot;}],&quot;container-title&quot;:&quot;PloS one&quot;,&quot;container-title-short&quot;:&quot;PLoS One&quot;,&quot;DOI&quot;:&quot;10.1371/journal.pone.0123273&quot;,&quot;ISSN&quot;:&quot;1932-6203&quot;,&quot;PMID&quot;:&quot;25859660&quot;,&quot;URL&quot;:&quot;https://pubmed.ncbi.nlm.nih.gov/25859660&quot;,&quot;issued&quot;:{&quot;date-parts&quot;:[[2015]]},&quot;page&quot;:&quot;e0123273-e0123273&quot;,&quot;language&quot;:&quot;eng&quot;,&quot;abstract&quot;:&quot;OBJECTIVES: To evaluate the neural correlates of implicit processing of negative emotions in motor conversion disorder (CD) patients. METHODS: An event related fMRI task was completed by 12 motor CD patients and 14 matched healthy controls using standardised stimuli of faces with fearful and sad emotional expressions in comparison to faces with neutral expressions. Temporal changes in the sensitivity to stimuli were also modelled and tested in the two groups. RESULTS: We found increased amygdala activation to negative emotions in CD compared to healthy controls in region of interest analyses, which persisted over time consistent with previous findings using emotional paradigms. Furthermore during whole brain analyses we found significantly increased activation in CD patients in areas involved in the 'freeze response' to fear (periaqueductal grey matter), and areas involved in self-awareness and motor control (cingulate gyrus and supplementary motor area). CONCLUSIONS: In contrast to healthy controls, CD patients exhibited increased response amplitude to fearful stimuli over time, suggesting abnormal emotional regulation (failure of habituation / sensitization). Patients with CD also activated midbrain and frontal structures that could reflect an abnormal behavioral-motor response to negative including threatening stimuli. This suggests a mechanism linking emotions to motor dysfunction in CD.&quot;,&quot;publisher&quot;:&quot;Public Library of Science&quot;,&quot;issue&quot;:&quot;4&quot;,&quot;volume&quot;:&quot;10&quot;},&quot;isTemporary&quot;:false}],&quot;citationTag&quot;:&quot;MENDELEY_CITATION_v3_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&quot;},{&quot;citationID&quot;:&quot;MENDELEY_CITATION_ff68ec75-fb00-48b1-8796-225e3d5859c2&quot;,&quot;properties&quot;:{&quot;noteIndex&quot;:0},&quot;isEdited&quot;:false,&quot;manualOverride&quot;:{&quot;isManuallyOverridden&quot;:false,&quot;citeprocText&quot;:&quot;(Pick et al., 2019)&quot;,&quot;manualOverrideText&quot;:&quot;&quot;},&quot;citationItems&quot;:[{&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citationTag&quot;:&quot;MENDELEY_CITATION_v3_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&quot;},{&quot;citationID&quot;:&quot;MENDELEY_CITATION_c6a4dda4-6f34-4a70-a433-6e8166473cd0&quot;,&quot;properties&quot;:{&quot;noteIndex&quot;:0},&quot;isEdited&quot;:false,&quot;manualOverride&quot;:{&quot;isManuallyOverridden&quot;:false,&quot;citeprocText&quot;:&quot;(Barrett et al., 2001)&quot;,&quot;manualOverrideText&quot;:&quot;&quot;},&quot;citationItems&quot;:[{&quot;id&quot;:&quot;83a84448-68c3-3335-89e0-39625bdbda51&quot;,&quot;itemData&quot;:{&quot;type&quot;:&quot;article-journal&quot;,&quot;id&quot;:&quot;83a84448-68c3-3335-89e0-39625bdbda51&quot;,&quot;title&quot;:&quot;Knowing what you're feeling and knowing what to do about it: Mapping the relation between emotion differentiation and emotion regulation&quot;,&quot;author&quot;:[{&quot;family&quot;:&quot;Barrett&quot;,&quot;given&quot;:&quot;L. F.&quot;,&quot;parse-names&quot;:false,&quot;dropping-particle&quot;:&quot;&quot;,&quot;non-dropping-particle&quot;:&quot;&quot;},{&quot;family&quot;:&quot;Gross&quot;,&quot;given&quot;:&quot;J.&quot;,&quot;parse-names&quot;:false,&quot;dropping-particle&quot;:&quot;&quot;,&quot;non-dropping-particle&quot;:&quot;&quot;},{&quot;family&quot;:&quot;Christensen&quot;,&quot;given&quot;:&quot;T. C.&quot;,&quot;parse-names&quot;:false,&quot;dropping-particle&quot;:&quot;&quot;,&quot;non-dropping-particle&quot;:&quot;&quot;},{&quot;family&quot;:&quot;Benvenuto&quot;,&quot;given&quot;:&quot;M.&quot;,&quot;parse-names&quot;:false,&quot;dropping-particle&quot;:&quot;&quot;,&quot;non-dropping-particle&quot;:&quot;&quot;}],&quot;container-title&quot;:&quot;Cognition and Emotion&quot;,&quot;container-title-short&quot;:&quot;Cogn Emot&quot;,&quot;accessed&quot;:{&quot;date-parts&quot;:[[2023,5,9]]},&quot;DOI&quot;:&quot;10.1080/02699930143000239&quot;,&quot;ISSN&quot;:&quot;02699931&quot;,&quot;issued&quot;:{&quot;date-parts&quot;:[[2001]]},&quot;page&quot;:&quot;713-724&quot;,&quot;abstract&quot;:&quot;Individuals differ considerably in their emotion experience. Some experience emotions in a highly differentiated manner, clearly distinguishing among a variety of negative and positive discrete emotions. Others experience emotions in a relatively undifferentiated manner, treating a range of like-valence terms as interchangeable. Drawing on self-regulation theory, we hypothesised that individuals with highly differentiated emotion experience should be better able to regulate emotions than individuals with poorly differentiated emotion experience. In particular, we hypothesised that emotion differentiation and emotion regulation would be positively related in the context of intense negative emotions, where the press for emotion regulation is generally greatest. To test this hypothesis, participants' negative and positive emotion differentiation was assessed using a 14-day diary protocol. Participants' regulation of negative and positive emotions was assessed using laboratory measures. As predicted, negative emotion differentiation was positively related to the frequency of negative emotion regulation, particularly at higher levels of emotional intensity.&quot;,&quot;issue&quot;:&quot;6&quot;,&quot;volume&quot;:&quot;15&quot;},&quot;isTemporary&quot;:false}],&quot;citationTag&quot;:&quot;MENDELEY_CITATION_v3_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&quot;},{&quot;citationID&quot;:&quot;MENDELEY_CITATION_10bd5f74-ede7-4266-b5c7-1751ae9d7e65&quot;,&quot;properties&quot;:{&quot;noteIndex&quot;:0},&quot;isEdited&quot;:false,&quot;manualOverride&quot;:{&quot;isManuallyOverridden&quot;:false,&quot;citeprocText&quot;:&quot;(Subic-Wrana et al., 2014)&quot;,&quot;manualOverrideText&quot;:&quot;&quot;},&quot;citationItems&quot;:[{&quot;id&quot;:&quot;25198080-f420-32bc-ae91-1dfa160074bf&quot;,&quot;itemData&quot;:{&quot;type&quot;:&quot;article-journal&quot;,&quot;id&quot;:&quot;25198080-f420-32bc-ae91-1dfa160074bf&quot;,&quot;title&quot;:&quot;How is emotional awareness related to emotion regulation strategies and self-reported negative affect in the general population?&quot;,&quot;author&quot;:[{&quot;family&quot;:&quot;Subic-Wrana&quot;,&quot;given&quot;:&quot;Claudia&quot;,&quot;parse-names&quot;:false,&quot;dropping-particle&quot;:&quot;&quot;,&quot;non-dropping-particle&quot;:&quot;&quot;},{&quot;family&quot;:&quot;Beutel&quot;,&quot;given&quot;:&quot;Manfred E.&quot;,&quot;parse-names&quot;:false,&quot;dropping-particle&quot;:&quot;&quot;,&quot;non-dropping-particle&quot;:&quot;&quot;},{&quot;family&quot;:&quot;Brähler&quot;,&quot;given&quot;:&quot;Elmar&quot;,&quot;parse-names&quot;:false,&quot;dropping-particle&quot;:&quot;&quot;,&quot;non-dropping-particle&quot;:&quot;&quot;},{&quot;family&quot;:&quot;Stöbel-Richter&quot;,&quot;given&quot;:&quot;Yve&quot;,&quot;parse-names&quot;:false,&quot;dropping-particle&quot;:&quot;&quot;,&quot;non-dropping-particle&quot;:&quot;&quot;},{&quot;family&quot;:&quot;Knebel&quot;,&quot;given&quot;:&quot;Achim&quot;,&quot;parse-names&quot;:false,&quot;dropping-particle&quot;:&quot;&quot;,&quot;non-dropping-particle&quot;:&quot;&quot;},{&quot;family&quot;:&quot;Lane&quot;,&quot;given&quot;:&quot;Richard D.&quot;,&quot;parse-names&quot;:false,&quot;dropping-particle&quot;:&quot;&quot;,&quot;non-dropping-particle&quot;:&quot;&quot;},{&quot;family&quot;:&quot;Wiltink&quot;,&quot;given&quot;:&quot;Jörg&quot;,&quot;parse-names&quot;:false,&quot;dropping-particle&quot;:&quot;&quot;,&quot;non-dropping-particle&quot;:&quot;&quot;}],&quot;container-title&quot;:&quot;PLoS ONE&quot;,&quot;container-title-short&quot;:&quot;PLoS One&quot;,&quot;accessed&quot;:{&quot;date-parts&quot;:[[2023,5,9]]},&quot;DOI&quot;:&quot;10.1371/JOURNAL.PONE.0091846&quot;,&quot;ISSN&quot;:&quot;19326203&quot;,&quot;PMID&quot;:&quot;24637792&quot;,&quot;issued&quot;:{&quot;date-parts&quot;:[[2014,3,17]]},&quot;abstract&quot;:&quot;Objective: The Levels of Emotional Awareness Scale (LEAS) as a performance task discriminates between implicit or subconscious and explicit or conscious levels of emotional awareness. An impaired awareness of one's feeling states may influence emotion regulation strategies and self-reports of negative emotions. To determine this influence, we applied the LEAS and self-report measures for emotion regulation strategies and negative affect in a representative sample of the German general population. Sample and Methods: A short version of the LEAS, the Hospital Anxiety and Depression Scale (HADS) and the Emotion Regulation Questionnaire (ERQ), assessing reappraisal and suppression as emotion regulation strategies, were presented to N= 2524 participants of a representative German community study. The questionnaire data were analyzed with regard to the level of emotional awareness. Results: LEAS scores were independent from depression, but related to self-reported anxiety. Although of small or medium effect size, different correlational patters between emotion regulation strategies and negative affectivity were related to implict and explict levels of emotional awareness. In participants with implicit emotional awareness, suppression was related to higher anxiety and depression, whereas in participants with explicit emotional awareness, in addition to a positive relationship of suppression and depression, we found a negative relationship of reappraisal to depression. These findings were independent of age. In women high use of suppression and little use of reappraisal were more strongly related to negative affect than in men. Discussion: Our first findings suggest that conscious awareness of emotions may be a precondition for the use of reappraisal as an adaptive emotion regulation strategy. They encourage further research in the relation between subconsious and conscious emotional awareness and the prefarance of adaptive or maladaptive emotion regulation strategies The correlational trends found in a representative sample of the general population may become more pronounced in clinical samples. Copyright: © 2014 Subic-Wrana et al.&quot;,&quot;publisher&quot;:&quot;Public Library of Science&quot;,&quot;issue&quot;:&quot;3&quot;,&quot;volume&quot;:&quot;9&quot;},&quot;isTemporary&quot;:false}],&quot;citationTag&quot;:&quot;MENDELEY_CITATION_v3_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&quot;},{&quot;citationID&quot;:&quot;MENDELEY_CITATION_caed4d8f-27be-4dcd-9ee9-56733d4a5717&quot;,&quot;properties&quot;:{&quot;noteIndex&quot;:0},&quot;isEdited&quot;:false,&quot;manualOverride&quot;:{&quot;isManuallyOverridden&quot;:false,&quot;citeprocText&quot;:&quot;(Speed et al., 2017)&quot;,&quot;manualOverrideText&quot;:&quot;&quot;},&quot;citationItems&quot;:[{&quot;id&quot;:&quot;de486a7e-d57a-3512-9da7-2ec011d08f5a&quot;,&quot;itemData&quot;:{&quot;type&quot;:&quot;article-journal&quot;,&quot;id&quot;:&quot;de486a7e-d57a-3512-9da7-2ec011d08f5a&quot;,&quot;title&quot;:&quot;Assertiveness Training: A Forgotten Evidence-Based Treatment&quot;,&quot;author&quot;:[{&quot;family&quot;:&quot;Speed&quot;,&quot;given&quot;:&quot;Brittany C&quot;,&quot;parse-names&quot;:false,&quot;dropping-particle&quot;:&quot;&quot;,&quot;non-dropping-particle&quot;:&quot;&quot;},{&quot;family&quot;:&quot;Goldstein&quot;,&quot;given&quot;:&quot;Brandon L&quot;,&quot;parse-names&quot;:false,&quot;dropping-particle&quot;:&quot;&quot;,&quot;non-dropping-particle&quot;:&quot;&quot;},{&quot;family&quot;:&quot;Goldfried&quot;,&quot;given&quot;:&quot;Marvin R&quot;,&quot;parse-names&quot;:false,&quot;dropping-particle&quot;:&quot;&quot;,&quot;non-dropping-particle&quot;:&quot;&quot;}],&quot;accessed&quot;:{&quot;date-parts&quot;:[[2023,5,9]]},&quot;DOI&quot;:&quot;10.1111/cpsp.12216&quot;,&quot;issued&quot;:{&quot;date-parts&quot;:[[2017]]},&quot;abstract&quot;:&quot;The current article discusses assertiveness training, a once highly popular area of investigation that has been neglected in recent years by the field of psychotherapy. A substantial body of research indicates that assertive-ness is a relevant factor associated with a variety of clinical problems, populations, and contexts, and that assertiveness training is a valuable transdiagnostic intervention. Despite its demonstrated importance, research on assertiveness and assertiveness training as a stand-alone treatment within clinical psychology has diminished drastically. We review the history of assertiveness training, revisit early research evidence for assertiveness training in treating various clinical problems, discuss the current status of assertiveness training, consider issues of clinical implementation, and comment on how the variables accounting for unassertiveness map onto the NIMH RDoC funding priorities.&quot;,&quot;container-title-short&quot;:&quot;&quot;},&quot;isTemporary&quot;:false}],&quot;citationTag&quot;:&quot;MENDELEY_CITATION_v3_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&quot;},{&quot;citationID&quot;:&quot;MENDELEY_CITATION_dfbe6ea1-f7fe-4789-ada6-92555ce8d6ef&quot;,&quot;properties&quot;:{&quot;noteIndex&quot;:0},&quot;isEdited&quot;:false,&quot;manualOverride&quot;:{&quot;isManuallyOverridden&quot;:false,&quot;citeprocText&quot;:&quot;(Bazydlo &amp;#38; Eccles, 2022)&quot;,&quot;manualOverrideText&quot;:&quot;&quot;},&quot;citationItems&quot;:[{&quot;id&quot;:&quot;17bf82a3-da67-3975-9f6f-dea1fb604365&quot;,&quot;itemData&quot;:{&quot;type&quot;:&quot;article-journal&quot;,&quot;id&quot;:&quot;17bf82a3-da67-3975-9f6f-dea1fb604365&quot;,&quot;title&quot;:&quot;Living with functional movement disorders: a tale of three battles. An interpretative phenomenological analysis&quot;,&quot;author&quot;:[{&quot;family&quot;:&quot;Bazydlo&quot;,&quot;given&quot;:&quot;Sylwia&quot;,&quot;parse-names&quot;:false,&quot;dropping-particle&quot;:&quot;&quot;,&quot;non-dropping-particle&quot;:&quot;&quot;},{&quot;family&quot;:&quot;Eccles&quot;,&quot;given&quot;:&quot;Fiona J.R.&quot;,&quot;parse-names&quot;:false,&quot;dropping-particle&quot;:&quot;&quot;,&quot;non-dropping-particle&quot;:&quot;&quot;}],&quot;container-title&quot;:&quot;https://doi.org/10.1080/08870446.2022.2130312&quot;,&quot;accessed&quot;:{&quot;date-parts&quot;:[[2023,5,25]]},&quot;DOI&quot;:&quot;10.1080/08870446.2022.2130312&quot;,&quot;ISSN&quot;:&quot;14768321&quot;,&quot;URL&quot;:&quot;https://www.tandfonline.com/doi/abs/10.1080/08870446.2022.2130312&quot;,&quot;issued&quot;:{&quot;date-parts&quot;:[[2022]]},&quot;abstract&quot;:&quot;Functional movement disorders (FMD) have poor prognosis and high physical and psychological co-morbidity. Their pathogenesis remains unclear, clinicians often find them difficult to treat, and lack...&quot;,&quot;publisher&quot;:&quot;Routledge&quot;,&quot;container-title-short&quot;:&quot;&quot;},&quot;isTemporary&quot;:false}],&quot;citationTag&quot;:&quot;MENDELEY_CITATION_v3_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&quot;},{&quot;citationID&quot;:&quot;MENDELEY_CITATION_ac723661-72a7-4524-8fec-583543937a8d&quot;,&quot;properties&quot;:{&quot;noteIndex&quot;:0},&quot;isEdited&quot;:false,&quot;manualOverride&quot;:{&quot;isManuallyOverridden&quot;:false,&quot;citeprocText&quot;:&quot;(Lackner &amp;#38; Fresco, 2016)&quot;,&quot;manualOverrideText&quot;:&quot;&quot;},&quot;citationItems&quot;:[{&quot;id&quot;:&quot;9b19fe5a-1353-30ef-b294-0c31e8a63e83&quot;,&quot;itemData&quot;:{&quot;type&quot;:&quot;article-journal&quot;,&quot;id&quot;:&quot;9b19fe5a-1353-30ef-b294-0c31e8a63e83&quot;,&quot;title&quot;:&quot;Interaction effect of brooding rumination and interoceptive awareness on depression and anxiety symptoms&quot;,&quot;author&quot;:[{&quot;family&quot;:&quot;Lackner&quot;,&quot;given&quot;:&quot;Ryan J.&quot;,&quot;parse-names&quot;:false,&quot;dropping-particle&quot;:&quot;&quot;,&quot;non-dropping-particle&quot;:&quot;&quot;},{&quot;family&quot;:&quot;Fresco&quot;,&quot;given&quot;:&quot;David M.&quot;,&quot;parse-names&quot;:false,&quot;dropping-particle&quot;:&quot;&quot;,&quot;non-dropping-particle&quot;:&quot;&quot;}],&quot;container-title&quot;:&quot;Behaviour research and therapy&quot;,&quot;accessed&quot;:{&quot;date-parts&quot;:[[2023,5,9]]},&quot;DOI&quot;:&quot;10.1016/J.BRAT.2016.08.007&quot;,&quot;ISSN&quot;:&quot;1873-622X&quot;,&quot;PMID&quot;:&quot;27567108&quot;,&quot;URL&quot;:&quot;https://pubmed.ncbi.nlm.nih.gov/27567108/&quot;,&quot;issued&quot;:{&quot;date-parts&quot;:[[2016,10,1]]},&quot;page&quot;:&quot;43-52&quot;,&quot;abstract&quot;:&quot;Awareness of the body (i.e., interoceptive awareness) and self-referential thought represent two distinct, yet habitually integrated aspects of self. A recent neuroanatomical and processing model for depression and anxiety incorporates the connections between increased but low fidelity afferent interoceptive input with self-referential and belief-based states. A deeper understanding of how self-referential processes are integrated with interoceptive processes may ultimately aid in our understanding of altered, maladaptive views of the self – a shared experience of individuals with mood and anxiety disorders. Thus, the purpose of the current study was to examine how negative self-referential processing (i.e., brooding rumination) relates to interoception in the context of affective psychopathology. Undergraduate students (N = 82) completed an interoception task (heartbeat counting) in addition to self-reported measures of rumination and depression and anxiety symptoms. Results indicated an interaction effect of brooding rumination and interoceptive awareness on depression and anxiety-related distress. Specifically, high levels of brooding rumination coupled with low levels of interoceptive awareness were associated with the highest levels of depression and anxiety-related distress, whereas low levels of brooding rumination coupled with high levels of interoceptive awareness were associated with lower levels of depression and anxiety-related distress. The findings provide further support for the conceptualization of anxiety and depression as conditions involving the integration of interoceptive processes and negative self-referential processes.&quot;,&quot;publisher&quot;:&quot;Behav Res Ther&quot;,&quot;volume&quot;:&quot;85&quot;,&quot;container-title-short&quot;:&quot;&quot;},&quot;isTemporary&quot;:false}],&quot;citationTag&quot;:&quot;MENDELEY_CITATION_v3_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&quot;},{&quot;citationID&quot;:&quot;MENDELEY_CITATION_9fb38802-1d23-4c12-9669-5a9f865505b2&quot;,&quot;properties&quot;:{&quot;noteIndex&quot;:0},&quot;isEdited&quot;:false,&quot;manualOverride&quot;:{&quot;isManuallyOverridden&quot;:false,&quot;citeprocText&quot;:&quot;(Lange et al., 1975)&quot;,&quot;manualOverrideText&quot;:&quot;&quot;},&quot;citationItems&quot;:[{&quot;id&quot;:&quot;1892e5b8-fb16-31a2-ad56-25ccb2ca46df&quot;,&quot;itemData&quot;:{&quot;type&quot;:&quot;article-journal&quot;,&quot;id&quot;:&quot;1892e5b8-fb16-31a2-ad56-25ccb2ca46df&quot;,&quot;title&quot;:&quot;Cognitive-Behavioral Assertion Training Procedures&quot;,&quot;author&quot;:[{&quot;family&quot;:&quot;Lange&quot;,&quot;given&quot;:&quot;Arthur J.&quot;,&quot;parse-names&quot;:false,&quot;dropping-particle&quot;:&quot;&quot;,&quot;non-dropping-particle&quot;:&quot;&quot;},{&quot;family&quot;:&quot;Rimm&quot;,&quot;given&quot;:&quot;David C.&quot;,&quot;parse-names&quot;:false,&quot;dropping-particle&quot;:&quot;&quot;,&quot;non-dropping-particle&quot;:&quot;&quot;},{&quot;family&quot;:&quot;Loxley&quot;,&quot;given&quot;:&quot;Janet&quot;,&quot;parse-names&quot;:false,&quot;dropping-particle&quot;:&quot;&quot;,&quot;non-dropping-particle&quot;:&quot;&quot;}],&quot;container-title&quot;:&quot;The Counseling Psychologist&quot;,&quot;container-title-short&quot;:&quot;Couns Psychol&quot;,&quot;accessed&quot;:{&quot;date-parts&quot;:[[2023,5,10]]},&quot;DOI&quot;:&quot;10.1177/001100007500500406/ASSET/001100007500500406.FP.PNG_V03&quot;,&quot;ISSN&quot;:&quot;15523861&quot;,&quot;URL&quot;:&quot;https://journals.sagepub.com/doi/abs/10.1177/001100007500500406&quot;,&quot;issued&quot;:{&quot;date-parts&quot;:[[1975,12,1]]},&quot;page&quot;:&quot;37-41&quot;,&quot;publisher&quot;:&quot;Sage PublicationsSage CA: Thousand Oaks, CA&quot;,&quot;issue&quot;:&quot;4&quot;,&quot;volume&quot;:&quot;5&quot;},&quot;isTemporary&quot;:false}],&quot;citationTag&quot;:&quot;MENDELEY_CITATION_v3_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&quot;},{&quot;citationID&quot;:&quot;MENDELEY_CITATION_e01a10f3-68f7-4c64-bf10-440e0adbd099&quot;,&quot;properties&quot;:{&quot;noteIndex&quot;:0},&quot;isEdited&quot;:false,&quot;manualOverride&quot;:{&quot;isManuallyOverridden&quot;:false,&quot;citeprocText&quot;:&quot;(Eslami et al., 2016; Speed et al., 2017)&quot;,&quot;manualOverrideText&quot;:&quot;&quot;},&quot;citationItems&quot;:[{&quot;id&quot;:&quot;be8b3ad9-6831-3261-a9c4-57908a7f170e&quot;,&quot;itemData&quot;:{&quot;type&quot;:&quot;article-journal&quot;,&quot;id&quot;:&quot;be8b3ad9-6831-3261-a9c4-57908a7f170e&quot;,&quot;title&quot;:&quot;The Effectiveness of Assertiveness Training on the Levels of Stress, Anxiety, and Depression of High School Students&quot;,&quot;author&quot;:[{&quot;family&quot;:&quot;Eslami&quot;,&quot;given&quot;:&quot;Ahmad Ali&quot;,&quot;parse-names&quot;:false,&quot;dropping-particle&quot;:&quot;&quot;,&quot;non-dropping-particle&quot;:&quot;&quot;},{&quot;family&quot;:&quot;Rabiei&quot;,&quot;given&quot;:&quot;Leili&quot;,&quot;parse-names&quot;:false,&quot;dropping-particle&quot;:&quot;&quot;,&quot;non-dropping-particle&quot;:&quot;&quot;},{&quot;family&quot;:&quot;Afzali&quot;,&quot;given&quot;:&quot;Seyed Mohammad&quot;,&quot;parse-names&quot;:false,&quot;dropping-particle&quot;:&quot;&quot;,&quot;non-dropping-particle&quot;:&quot;&quot;},{&quot;family&quot;:&quot;Hamidizadeh&quot;,&quot;given&quot;:&quot;Saeed&quot;,&quot;parse-names&quot;:false,&quot;dropping-particle&quot;:&quot;&quot;,&quot;non-dropping-particle&quot;:&quot;&quot;},{&quot;family&quot;:&quot;Masoudi&quot;,&quot;given&quot;:&quot;Reza&quot;,&quot;parse-names&quot;:false,&quot;dropping-particle&quot;:&quot;&quot;,&quot;non-dropping-particle&quot;:&quot;&quot;}],&quot;container-title&quot;:&quot;Iranian Red Crescent Medical Journal&quot;,&quot;container-title-short&quot;:&quot;Iran Red Crescent Med J&quot;,&quot;accessed&quot;:{&quot;date-parts&quot;:[[2023,5,10]]},&quot;DOI&quot;:&quot;10.5812/IRCMJ.21096&quot;,&quot;ISSN&quot;:&quot;20741812&quot;,&quot;PMID&quot;:&quot;26889390&quot;,&quot;URL&quot;:&quot;/pmc/articles/PMC4752719/&quot;,&quot;issued&quot;:{&quot;date-parts&quot;:[[2016,1,1]]},&quot;page&quot;:&quot;1-10&quot;,&quot;abstract&quot;:&quot;Background: Adolescence is a transition period from childhood to early adulthood. Because of the immense pressure imposed on adolescents due to the complications and ambiguities of this transition, their level of excitement increases and sometimes it appears in the form of sensitivity and intense excitement. Objectives: This study aimed at determining the effectiveness of assertiveness training on the levels of stress, anxiety, and depression of high school students. Materials and Methods: This quasi-experimental study was conducted on high school students of Isfahan in academic year 2012 -13. A total of 126 second grade high school students were collected according to simple random sampling method and divided into two groups: experimental with 63 participants and control with the same number. Data gathering instruments included a demographic questionnaire, Gambill-Richey assertiveness scale, and depression anxiety stress scales (DASS-21). Assertiveness training was carried out on the experimental group in 8 sessions; after 8 weeks, posttest was carried out on both groups. Statistical tests such as independent t test, repeated measures ANOVA, Chi-square test, and the Mann-Whitney test were used to interpret and analyze the data. Results: The Chi-square and Mann-Whitney tests did not show significant statistical differences between the two groups in terms of demographic variables (P = 0.05). Repeated measures ANOVA showed no significant difference between the mean scores for assertiveness before (100.23 ± 7.37), immediately after (101.57 ± 16.06), and 2 months after (100.77 ± 12.50) the intervention in the control group. However, the same test found a significant difference between the mean score for assertiveness in the experimental group before (101.6 ± 9.1), immediately after (96.47 ± 10.84), and 2 months after (95.41 ± 8.37) implementing the training program (P = 0.002). The independent t test showed no significant difference in the mean score for anxiety and stress between two groups before the assertiveness training program; however, 2 months after the intervention, the mean score for anxiety in the experimental group was found significantly lower than the control group. As for the mean score for depression, the independent t test showed no significant difference between two groups before training; however, despite the decrease in the mean scores for depression in the experimental group following the intervention, the difference was not significant (P = 0.09). Conclusions: The results of the current study show that conducting assertive training in high school students decreases their anxiety, stress, and depression. Given that high school years are among the most sensitive stages of one’s life plus the fact that conducting such training programs besides their safe and low cost nature are effective and practical, it is highly recommended that such programs be carried out among high school adolescents.&quot;,&quot;publisher&quot;:&quot;Brieflands&quot;,&quot;issue&quot;:&quot;1&quot;,&quot;volume&quot;:&quot;18&quot;},&quot;isTemporary&quot;:false},{&quot;id&quot;:&quot;de486a7e-d57a-3512-9da7-2ec011d08f5a&quot;,&quot;itemData&quot;:{&quot;type&quot;:&quot;article-journal&quot;,&quot;id&quot;:&quot;de486a7e-d57a-3512-9da7-2ec011d08f5a&quot;,&quot;title&quot;:&quot;Assertiveness Training: A Forgotten Evidence-Based Treatment&quot;,&quot;author&quot;:[{&quot;family&quot;:&quot;Speed&quot;,&quot;given&quot;:&quot;Brittany C&quot;,&quot;parse-names&quot;:false,&quot;dropping-particle&quot;:&quot;&quot;,&quot;non-dropping-particle&quot;:&quot;&quot;},{&quot;family&quot;:&quot;Goldstein&quot;,&quot;given&quot;:&quot;Brandon L&quot;,&quot;parse-names&quot;:false,&quot;dropping-particle&quot;:&quot;&quot;,&quot;non-dropping-particle&quot;:&quot;&quot;},{&quot;family&quot;:&quot;Goldfried&quot;,&quot;given&quot;:&quot;Marvin R&quot;,&quot;parse-names&quot;:false,&quot;dropping-particle&quot;:&quot;&quot;,&quot;non-dropping-particle&quot;:&quot;&quot;}],&quot;accessed&quot;:{&quot;date-parts&quot;:[[2023,5,9]]},&quot;DOI&quot;:&quot;10.1111/cpsp.12216&quot;,&quot;issued&quot;:{&quot;date-parts&quot;:[[2017]]},&quot;abstract&quot;:&quot;The current article discusses assertiveness training, a once highly popular area of investigation that has been neglected in recent years by the field of psychotherapy. A substantial body of research indicates that assertive-ness is a relevant factor associated with a variety of clinical problems, populations, and contexts, and that assertiveness training is a valuable transdiagnostic intervention. Despite its demonstrated importance, research on assertiveness and assertiveness training as a stand-alone treatment within clinical psychology has diminished drastically. We review the history of assertiveness training, revisit early research evidence for assertiveness training in treating various clinical problems, discuss the current status of assertiveness training, consider issues of clinical implementation, and comment on how the variables accounting for unassertiveness map onto the NIMH RDoC funding priorities.&quot;,&quot;container-title-short&quot;:&quot;&quot;},&quot;isTemporary&quot;:false}],&quot;citationTag&quot;:&quot;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&quot;},{&quot;citationID&quot;:&quot;MENDELEY_CITATION_5b1efa5f-e4cc-4218-ade5-43e346365d77&quot;,&quot;properties&quot;:{&quot;noteIndex&quot;:0},&quot;isEdited&quot;:false,&quot;manualOverride&quot;:{&quot;isManuallyOverridden&quot;:false,&quot;citeprocText&quot;:&quot;(Gray et al., 2020; Petrochilos et al., 2020)&quot;,&quot;manualOverrideText&quot;:&quot;&quot;},&quot;citationItems&quot;:[{&quot;id&quot;:&quot;2b108c77-1fc6-31b9-bef0-b70eb5a03408&quot;,&quot;itemData&quot;:{&quot;type&quot;:&quot;article-journal&quot;,&quot;id&quot;:&quot;2b108c77-1fc6-31b9-bef0-b70eb5a03408&quot;,&quot;title&quot;:&quot;Outcomes of a 5-week individualised MDT outpatient (day-patient) treatment programme for functional neurological symptom disorder (FNSD)&quot;,&quot;author&quot;:[{&quot;family&quot;:&quot;Petrochilos&quot;,&quot;given&quot;:&quot;Panayiota&quot;,&quot;parse-names&quot;:false,&quot;dropping-particle&quot;:&quot;&quot;,&quot;non-dropping-particle&quot;:&quot;&quot;},{&quot;family&quot;:&quot;Elmalem&quot;,&quot;given&quot;:&quot;M. S.&quot;,&quot;parse-names&quot;:false,&quot;dropping-particle&quot;:&quot;&quot;,&quot;non-dropping-particle&quot;:&quot;&quot;},{&quot;family&quot;:&quot;Patel&quot;,&quot;given&quot;:&quot;D.&quot;,&quot;parse-names&quot;:false,&quot;dropping-particle&quot;:&quot;&quot;,&quot;non-dropping-particle&quot;:&quot;&quot;},{&quot;family&quot;:&quot;Louissaint&quot;,&quot;given&quot;:&quot;H.&quot;,&quot;parse-names&quot;:false,&quot;dropping-particle&quot;:&quot;&quot;,&quot;non-dropping-particle&quot;:&quot;&quot;},{&quot;family&quot;:&quot;Hayward&quot;,&quot;given&quot;:&quot;K.&quot;,&quot;parse-names&quot;:false,&quot;dropping-particle&quot;:&quot;&quot;,&quot;non-dropping-particle&quot;:&quot;&quot;},{&quot;family&quot;:&quot;Ranu&quot;,&quot;given&quot;:&quot;J.&quot;,&quot;parse-names&quot;:false,&quot;dropping-particle&quot;:&quot;&quot;,&quot;non-dropping-particle&quot;:&quot;&quot;},{&quot;family&quot;:&quot;Selai&quot;,&quot;given&quot;:&quot;C.&quot;,&quot;parse-names&quot;:false,&quot;dropping-particle&quot;:&quot;&quot;,&quot;non-dropping-particle&quot;:&quot;&quot;}],&quot;container-title&quot;:&quot;Journal of Neurology&quot;,&quot;container-title-short&quot;:&quot;J Neurol&quot;,&quot;accessed&quot;:{&quot;date-parts&quot;:[[2023,5,10]]},&quot;DOI&quot;:&quot;10.1007/S00415-020-09874-5/FIGURES/2&quot;,&quot;ISSN&quot;:&quot;14321459&quot;,&quot;PMID&quot;:&quot;32410018&quot;,&quot;URL&quot;:&quot;https://link.springer.com/article/10.1007/s00415-020-09874-5&quot;,&quot;issued&quot;:{&quot;date-parts&quot;:[[2020,9,1]]},&quot;page&quot;:&quot;2655-2666&quot;,&quot;abstract&quot;:&quot;Aim: We report results from a 5-week MDT treatment programme, with individualised sessions, for a selected group of patients with FNSD, delivered in a neuropsychiatric outpatient setting. Primary aims were to (1) reduce symptoms, (2) improve functional performance and (3) improve health status. Methods: Treatment involved individual sessions of neuropsychiatry, cognitive behavioural therapy, physiotherapy, occupational-therapy, education and family meetings. Outcome measures collected at the beginning and end of treatment and at 6 months, were patient and clinician reported. Aims were assessed by the following: symptom reduction (PHQ15, PHQ9, GAD7, SPIN, Rosenberg); health and social functioning (HONOS, WSAS); functional performance (COPM); health status (EQ-5D-5L) and patient-rated perception of improvement (CGI). Results: Analyses of 78 patients completing the programme and attending a 6-month review revealed high-baseline levels of disability compared to EQ-5DL population norms and high rates of disability and psychopathology as indicated by the WSAS and mental health indices (PHQ9, GAD7, SPIN, Rosenberg’s self-esteem). At baseline, 92.3% met the IAPT caseness threshold for depression and 71% met the IAPT caseness threshold for anxiety. A Friedman ANOVA over the three time points and Dunn-Bonferroni post hoc tests indicated statistically significant improvements from admission to discharge and admission to 6-month follow-up. Sustained improvements were seen in somatic symptoms (PHQ15), depression (PHQ9), anxiety (GAD7), health and social functioning (HONOS), functionality (COPM), health status (EQ-5D-5L) and patient-rated clinical global improvement (CGI). Conclusion: An MDT can effectively deliver an outpatient programme for FNSD which can serve as an alternative to costlier inpatient programmes. Early identification and treatment of co-morbidities is advised.&quot;,&quot;publisher&quot;:&quot;Springer&quot;,&quot;issue&quot;:&quot;9&quot;,&quot;volume&quot;:&quot;267&quot;},&quot;isTemporary&quot;:false},{&quot;id&quot;:&quot;13cdc8b2-f486-3c92-aa2e-745438c6fbbd&quot;,&quot;itemData&quot;:{&quot;type&quot;:&quot;article-journal&quot;,&quot;id&quot;:&quot;13cdc8b2-f486-3c92-aa2e-745438c6fbbd&quot;,&quot;title&quot;:&quot;Symptoms of posttraumatic stress disorder in patients with functional neurological symptom disorder&quot;,&quot;author&quot;:[{&quot;family&quot;:&quot;Gray&quot;,&quot;given&quot;:&quot;C&quot;,&quot;parse-names&quot;:false,&quot;dropping-particle&quot;:&quot;&quot;,&quot;non-dropping-particle&quot;:&quot;&quot;},{&quot;family&quot;:&quot;Calderbank&quot;,&quot;given&quot;:&quot;A&quot;,&quot;parse-names&quot;:false,&quot;dropping-particle&quot;:&quot;&quot;,&quot;non-dropping-particle&quot;:&quot;&quot;},{&quot;family&quot;:&quot;Adewusi&quot;,&quot;given&quot;:&quot;J&quot;,&quot;parse-names&quot;:false,&quot;dropping-particle&quot;:&quot;&quot;,&quot;non-dropping-particle&quot;:&quot;&quot;},{&quot;family&quot;:&quot;Hughes&quot;,&quot;given&quot;:&quot;R&quot;,&quot;parse-names&quot;:false,&quot;dropping-particle&quot;:&quot;&quot;,&quot;non-dropping-particle&quot;:&quot;&quot;},{&quot;family&quot;:&quot;Reuber&quot;,&quot;given&quot;:&quot;M&quot;,&quot;parse-names&quot;:false,&quot;dropping-particle&quot;:&quot;&quot;,&quot;non-dropping-particle&quot;:&quot;&quot;}],&quot;container-title&quot;:&quot;J Psychosom Res&quot;,&quot;DOI&quot;:&quot;10.1016/j.jpsychores.2019.109907&quot;,&quot;ISSN&quot;:&quot;0022-3999&quot;,&quot;PMID&quot;:&quot;31901839&quot;,&quot;issued&quot;:{&quot;date-parts&quot;:[[2020]]},&quot;page&quot;:&quot;109907&quot;,&quot;language&quot;:&quot;eng&quot;,&quot;abstract&quot;:&quot;OBJECTIVE: To describe prevalence and relevance of Post-Traumatic Stress Disorder (PTSD) symptoms in Functional Neurological Symptom Disorder (FNSD) and explore differences in PTSD symptom scores between subgroups with Psychogenic Non-Epileptic Seizures (PNES) or other FNSD. METHODS: This cross-sectional study evaluated data from 430 consecutive patients referred to a specialist psychotherapy service (69.3% female, 56% with PNES/44% with other FNSD). We analysed self-reported symptoms of Post-Traumatic Stress Disorder (PTSD Civilian Checklist, PCLC), depression (PHQ-9), anxiety (GAD-7), physical symptoms (PHQ-15), social functioning (WSAS), and health related quality of life (SF-36). Relationships between PTSD scores, diagnosis and other measures were examined. Independent associations of PTSD scores were identified using multilinear regression. RESULTS: Symptom scores likely to indicate clinical PTSD were reported by 60.7% of patients with no difference between PNES and FNSD subgroups. Those potentially symptomatic of PTSD were less likely to be living with a partner OR 2.95 (95% CI 1.83-4.04), or to be in employment OR 2.23 (95% CI 1.46-3.41) than less symptomatic patients. There were higher levels of anxiety (r = 0.62), depression (r = 0.63) and somatic symptoms (r = 0.45) and lower quality of life scores (r = 0.48) in patients with high PTSD symptom scores (p &lt; .0001 for all comparisons). Anxiety, depression and somatic symptoms made independent contributions to the variance of PTSD symptoms. CONCLUSION: There is a high prevalence of PTSD symptoms in patient with FNSD regardless of whether they have PNES. Trauma and PTSD symptoms are negatively correlated with quality of life. Self-report instruments for anxiety, depression and somatic symptoms may predict the presence of PTSD.&quot;,&quot;edition&quot;:&quot;2020/01/07&quot;,&quot;volume&quot;:&quot;129&quot;,&quot;container-title-short&quot;:&quot;&quot;},&quot;isTemporary&quot;:false}],&quot;citationTag&quot;:&quot;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&quot;},{&quot;citationID&quot;:&quot;MENDELEY_CITATION_e03a2a48-6b29-4586-868a-011c2e2f737f&quot;,&quot;properties&quot;:{&quot;noteIndex&quot;:0},&quot;isEdited&quot;:false,&quot;manualOverride&quot;:{&quot;isManuallyOverridden&quot;:true,&quot;citeprocText&quot;:&quot;(Dimaro et al., 2015)&quot;,&quot;manualOverrideText&quot;:&quot;(Dimaro et al., 2015).&quot;},&quot;citationItems&quot;:[{&quot;id&quot;:&quot;f74bd651-cd37-3e88-8d0d-c96c9ec22289&quot;,&quot;itemData&quot;:{&quot;type&quot;:&quot;article-journal&quot;,&quot;id&quot;:&quot;f74bd651-cd37-3e88-8d0d-c96c9ec22289&quot;,&quot;title&quot;:&quot;Implicit and explicit self-esteem discrepancies in people with psychogenic nonepileptic seizures&quot;,&quot;author&quot;:[{&quot;family&quot;:&quot;Dimaro&quot;,&quot;given&quot;:&quot;Lian&quot;,&quot;parse-names&quot;:false,&quot;dropping-particle&quot;:&quot;V.&quot;,&quot;non-dropping-particle&quot;:&quot;&quot;},{&quot;family&quot;:&quot;Roberts&quot;,&quot;given&quot;:&quot;Nicole A.&quot;,&quot;parse-names&quot;:false,&quot;dropping-particle&quot;:&quot;&quot;,&quot;non-dropping-particle&quot;:&quot;&quot;},{&quot;family&quot;:&quot;Moghaddam&quot;,&quot;given&quot;:&quot;Nima G.&quot;,&quot;parse-names&quot;:false,&quot;dropping-particle&quot;:&quot;&quot;,&quot;non-dropping-particle&quot;:&quot;&quot;},{&quot;family&quot;:&quot;Dawson&quot;,&quot;given&quot;:&quot;David L.&quot;,&quot;parse-names&quot;:false,&quot;dropping-particle&quot;:&quot;&quot;,&quot;non-dropping-particle&quot;:&quot;&quot;},{&quot;family&quot;:&quot;Brown&quot;,&quot;given&quot;:&quot;Ian&quot;,&quot;parse-names&quot;:false,&quot;dropping-particle&quot;:&quot;&quot;,&quot;non-dropping-particle&quot;:&quot;&quot;},{&quot;family&quot;:&quot;Reuber&quot;,&quot;given&quot;:&quot;Markus&quot;,&quot;parse-names&quot;:false,&quot;dropping-particle&quot;:&quot;&quot;,&quot;non-dropping-particle&quot;:&quot;&quot;}],&quot;container-title&quot;:&quot;Epilepsy &amp; behavior : E&amp;B&quot;,&quot;container-title-short&quot;:&quot;Epilepsy Behav&quot;,&quot;accessed&quot;:{&quot;date-parts&quot;:[[2023,5,8]]},&quot;DOI&quot;:&quot;10.1016/J.YEBEH.2015.03.032&quot;,&quot;ISSN&quot;:&quot;1525-5069&quot;,&quot;PMID&quot;:&quot;25922151&quot;,&quot;URL&quot;:&quot;https://pubmed.ncbi.nlm.nih.gov/25922151/&quot;,&quot;issued&quot;:{&quot;date-parts&quot;:[[2015,5,1]]},&quot;page&quot;:&quot;109-117&quot;,&quot;abstract&quot;:&quot;Purpose: Self-esteem (SE), or one's sense of competence and worth, is reduced in many mental and physical disorders. Low SE is associated with perceived stigma and disability and poor treatment outcomes. The present study examined implicit and explicit SE (automatic and deliberate views about the self) in people with epilepsy and people with psychogenic nonepileptic seizures (PNESs). Discrepancies between implicit SE and explicit SE have been found to correlate with psychological distress in disorders often associated with PNESs but are relatively unexplored in PNESs. We hypothesized that, compared with epilepsy, PNESs would be associated with lower self-reported SE and greater discrepancies between implicit SE and explicit SE. Methods: Thirty adults with PNESs, 25 adults with epilepsy, and 31 controls without a history of seizures were asked to complete the Rosenberg Self-esteem Scale as a measure of explicit SE and an Implicit Relational Assessment Procedure as a measure of implicit SE. The State-Trait Anxiety Inventory and Patient Health Questionnaire-15 (a somatic symptom inventory) were also administered. Results: We found significant group differences in explicit (p&lt;0.001) but not implicit SE. Patients with PNESs reported lower SE than the other groups. No group differences were found in implicit SE. Implicit-explicit SE discrepancies were larger in the group with PNESs than in the other groups (p&lt;0.001). Higher frequency of PNESs (but not epileptic seizures) was associated with lower explicit SE (rs=-.83, p&lt;0.01) and greater SE discrepancies (i.e., lower explicit relative to implicit SE; rs=.65, p&lt;0.01). These relationships remained significant when controlling for anxiety and somatization. Conclusion: Patients with PNESs had lower explicit SE than those with epilepsy or healthy controls. In keeping with our expectations, there were greater discrepancies between implicit SE and explicit SE among patients with PNESs than in the other groups. Our results, including the strong relationship between PNES frequency, anxiety, and explicit-implicit SE discrepancies, support the interpretation that PNESs serve to reduce cognitive dissonance, perhaps protecting patients' implicit SE.&quot;,&quot;publisher&quot;:&quot;Epilepsy Behav&quot;,&quot;volume&quot;:&quot;46&quot;},&quot;isTemporary&quot;:false}],&quot;citationTag&quot;:&quot;MENDELEY_CITATION_v3_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&quot;},{&quot;citationID&quot;:&quot;MENDELEY_CITATION_21c75c5a-d770-4fce-b249-f1cf5d165664&quot;,&quot;properties&quot;:{&quot;noteIndex&quot;:0},&quot;isEdited&quot;:false,&quot;manualOverride&quot;:{&quot;isManuallyOverridden&quot;:true,&quot;citeprocText&quot;:&quot;(Baslet et al., 2015; O’Connell et al., 2019; Pick et al., 2019; Williams et al., 2018)&quot;,&quot;manualOverrideText&quot;:&quot;(Baslet et al., 2015; O'Connell et al., 2019; Pick et al., 2019; Williams et al., 2018)&quot;},&quot;citationItems&quot;:[{&quot;id&quot;:&quot;3a1cd904-e752-32ef-8b61-04a217ad831b&quot;,&quot;itemData&quot;:{&quot;type&quot;:&quot;article-journal&quot;,&quot;id&quot;:&quot;3a1cd904-e752-32ef-8b61-04a217ad831b&quot;,&quot;title&quot;:&quot;Outpatient CBT for Motor Functional Neurological Disorder and Other Neuropsychiatric Conditions: A Retrospective Case Comparison&quot;,&quot;author&quot;:[{&quot;family&quot;:&quot;O’Connell&quot;,&quot;given&quot;:&quot;Nicola&quot;,&quot;parse-names&quot;:false,&quot;dropping-particle&quot;:&quot;&quot;,&quot;non-dropping-particle&quot;:&quot;&quot;},{&quot;family&quot;:&quot;Watson&quot;,&quot;given&quot;:&quot;Gillian&quot;,&quot;parse-names&quot;:false,&quot;dropping-particle&quot;:&quot;&quot;,&quot;non-dropping-particle&quot;:&quot;&quot;},{&quot;family&quot;:&quot;Grey&quot;,&quot;given&quot;:&quot;Clare&quot;,&quot;parse-names&quot;:false,&quot;dropping-particle&quot;:&quot;&quot;,&quot;non-dropping-particle&quot;:&quot;&quot;},{&quot;family&quot;:&quot;Pastena&quot;,&quot;given&quot;:&quot;Rosa&quot;,&quot;parse-names&quot;:false,&quot;dropping-particle&quot;:&quot;&quot;,&quot;non-dropping-particle&quot;:&quot;&quot;},{&quot;family&quot;:&quot;McKeown&quot;,&quot;given&quot;:&quot;Kenneth&quot;,&quot;parse-names&quot;:false,&quot;dropping-particle&quot;:&quot;&quot;,&quot;non-dropping-particle&quot;:&quot;&quot;},{&quot;family&quot;:&quot;David&quot;,&quot;given&quot;:&quot;Anthony S&quot;,&quot;parse-names&quot;:false,&quot;dropping-particle&quot;:&quot;&quot;,&quot;non-dropping-particle&quot;:&quot;&quot;}],&quot;container-title&quot;:&quot;The Journal of Neuropsychiatry and Clinical Neurosciences&quot;,&quot;container-title-short&quot;:&quot;J Neuropsychiatry Clin Neurosci&quot;,&quot;DOI&quot;:&quot;10.1176/appi.neuropsych.19030067&quot;,&quot;ISSN&quot;:&quot;0895-0172&quot;,&quot;URL&quot;:&quot;https://doi.org/10.1176/appi.neuropsych.19030067&quot;,&quot;issued&quot;:{&quot;date-parts&quot;:[[2019]]},&quot;page&quot;:&quot;58-66&quot;,&quot;abstract&quot;:&quot;Objective:No gold-standard treatment exists for motor functional neurological disorder (mFND), and limited evidence has been found for the effectiveness of cognitive-behavioral therapy (CBT) in treating the disorder. This study examined sociodemographic and clinical characteristics, treatment outcomes, and treatment dropout among patients with and without mFND who received CBT in a neuropsychiatric outpatient clinic in the United Kingdom.Methods:Data from a large anonymized psychiatric register were used to identify patients who received outpatient CBT in a neuropsychiatry clinic between 2006 and 2016 and who had either mFND (N=98) or other neuropsychiatric conditions (ONP) (N=76, control group). The study examined sociodemographic characteristics, physical symptom improvement, and changes in clinical outcome and scores on three instruments measuring psychological distress, psychiatric sequelae of brain injury, and depression.Results:The most common mFND symptoms were weakness, pain, and tremors. A logistic regression analysis found no sociodemographic differences between patients with mFND who dropped out early and those who completed CBT. Pre- and post-CBT scores on the three instruments were available for only a small subset of patients; both mFND and ONP patients showed significant improvements in overall scores. A logistic regression analysis found only a single predictor of symptom improvement in the mFND group: acceptance of a psychological explanation of symptoms prior to treatment.Conclusions:Improvements in physical and psychological functioning were similar for patients with mFND and patients with ONP who were treated in a specialist CBT clinic. This study provides evidence that CBT is feasible and effective for some patients with mFND.&quot;,&quot;publisher&quot;:&quot;American Psychiatric Publishing&quot;,&quot;issue&quot;:&quot;1&quot;,&quot;volume&quot;:&quot;32&quot;},&quot;isTemporary&quot;:false},{&quot;id&quot;:&quot;bb2aac29-7d79-3aff-8bac-a4af548c2fbd&quot;,&quot;itemData&quot;:{&quot;type&quot;:&quot;article-journal&quot;,&quot;id&quot;:&quot;bb2aac29-7d79-3aff-8bac-a4af548c2fbd&quot;,&quot;title&quot;:&quot;Treatment of psychogenic nonepileptic seizures: updated review and findings from a mindfulness-based intervention case series&quot;,&quot;author&quot;:[{&quot;family&quot;:&quot;Baslet&quot;,&quot;given&quot;:&quot;Gaston&quot;,&quot;parse-names&quot;:false,&quot;dropping-particle&quot;:&quot;&quot;,&quot;non-dropping-particle&quot;:&quot;&quot;},{&quot;family&quot;:&quot;Dworetzky&quot;,&quot;given&quot;:&quot;Barbara&quot;,&quot;parse-names&quot;:false,&quot;dropping-particle&quot;:&quot;&quot;,&quot;non-dropping-particle&quot;:&quot;&quot;},{&quot;family&quot;:&quot;Perez&quot;,&quot;given&quot;:&quot;David L.&quot;,&quot;parse-names&quot;:false,&quot;dropping-particle&quot;:&quot;&quot;,&quot;non-dropping-particle&quot;:&quot;&quot;},{&quot;family&quot;:&quot;Oser&quot;,&quot;given&quot;:&quot;Megan&quot;,&quot;parse-names&quot;:false,&quot;dropping-particle&quot;:&quot;&quot;,&quot;non-dropping-particle&quot;:&quot;&quot;}],&quot;container-title&quot;:&quot;Clinical EEG and neuroscience&quot;,&quot;container-title-short&quot;:&quot;Clin EEG Neurosci&quot;,&quot;accessed&quot;:{&quot;date-parts&quot;:[[2023,5,4]]},&quot;DOI&quot;:&quot;10.1177/1550059414557025&quot;,&quot;ISSN&quot;:&quot;1550-0594&quot;,&quot;PMID&quot;:&quot;25465435&quot;,&quot;URL&quot;:&quot;https://pubmed.ncbi.nlm.nih.gov/25465435/&quot;,&quot;issued&quot;:{&quot;date-parts&quot;:[[2015,1,19]]},&quot;page&quot;:&quot;54-64&quot;,&quot;abstract&quot;:&quot;Psychogenic nonepileptic seizures (PNES) were first described in the medical literature in the 19th century, as seizure-like attacks not related to an identified central nervous system lesion, and are currently classified as a conversion disorder, according to the Diagnostic and Statistical Manual of Mental Disorders, fifth edition (DSM-5). While a universally accepted and unifying etiological model does not yet exist, several risk factors have been identified. Management of PNES should be based on interdisciplinary collaboration, targeting modifiable risk factors. The first treatment phase in PNES is patient engagement, which is challenging given the demonstrated low rates of treatment retention. Acute interventions constitute the next phase in treatment, and most research studies focus on short-term evidence-based interventions. Randomized controlled pilot trials support cognitive-behavioral therapy. Other psychotherapeutic and psychopharmacological interventions have been less well-studied using controlled and uncontrolled trials. Within the discussion of acute interventions, we present a preliminary evaluation for feasibility of a mindfulness-based psychotherapy protocol in a very small sample of PNES patients. We demonstrated in 6 subjects that this intervention is feasible in real-life clinical scenarios and warrants further investigation in larger scale studies. The final treatment phase is long-term follow-up. Long-term outcome studies in PNES show that a significant proportion of patients remains symptomatic and experiences continued impairments in quality of life and functionality. We believe that PNES should be understood as a disease that requires different types of intervention during the various phases of treatment.&quot;,&quot;publisher&quot;:&quot;Clin EEG Neurosci&quot;,&quot;issue&quot;:&quot;1&quot;,&quot;volume&quot;:&quot;46&quot;},&quot;isTemporary&quot;:false},{&quot;id&quot;:&quot;d96d90ce-bd93-355c-ad8c-df41c50544e1&quot;,&quot;itemData&quot;:{&quot;type&quot;:&quot;article-journal&quot;,&quot;id&quot;:&quot;d96d90ce-bd93-355c-ad8c-df41c50544e1&quot;,&quot;title&quot;:&quot;Emotional processing in functional neurological disorder: a review, biopsychosocial model and research agenda&quot;,&quot;author&quot;:[{&quot;family&quot;:&quot;Pick&quot;,&quot;given&quot;:&quot;Susannah&quot;,&quot;parse-names&quot;:false,&quot;dropping-particle&quot;:&quot;&quot;,&quot;non-dropping-particle&quot;:&quot;&quot;},{&quot;family&quot;:&quot;Goldstein&quot;,&quot;given&quot;:&quot;Laura H&quot;,&quot;parse-names&quot;:false,&quot;dropping-particle&quot;:&quot;&quot;,&quot;non-dropping-particle&quot;:&quot;&quot;},{&quot;family&quot;:&quot;Perez&quot;,&quot;given&quot;:&quot;David L&quot;,&quot;parse-names&quot;:false,&quot;dropping-particle&quot;:&quot;&quot;,&quot;non-dropping-particle&quot;:&quot;&quot;},{&quot;family&quot;:&quot;Nicholson&quot;,&quot;given&quot;:&quot;Timothy R&quot;,&quot;parse-names&quot;:false,&quot;dropping-particle&quot;:&quot;&quot;,&quot;non-dropping-particle&quot;:&quot;&quot;}],&quot;container-title&quot;:&quot;Journal of Neurology, Neurosurgery &amp;amp;amp; Psychiatry&quot;,&quot;DOI&quot;:&quot;10.1136/jnnp-2018-319201&quot;,&quot;URL&quot;:&quot;http://jnnp.bmj.com/content/90/6/704.abstract&quot;,&quot;issued&quot;:{&quot;date-parts&quot;:[[2019]]},&quot;page&quot;:&quot;704&quot;,&quot;abstract&quot;:&quot;Functional neurological disorder (FND) is a common and highly disabling disorder, but its aetiology remains enigmatic. Conceptually, there has been reduced emphasis on the role of psychosocial stressors in recent years, with a corresponding increase in neurobiological explanations. However, a wealth of evidence supports the role of psychosocial adversities (eg, stressful life events, interpersonal difficulties) as important risk factors for FND. Therefore, there is a need to integrate psychosocial (environmental) and neurobiological factors (eg, sensorimotor and cognitive functions) in contemporary models of FND. Altered emotional processing may represent a key link between psychosocial risk factors and core features of FND. Here, we summarise and critically appraise experimental studies of emotional processing in FND using behavioural, psychophysiological and/or neuroimaging measures in conjunction with affective processing tasks. We propose that enhanced preconscious (implicit) processing of emotionally salient stimuli, associated with elevated limbic reactivity (eg, amygdala), may contribute to the initiation of basic affective/defensive responses via hypothalamic and brainstem pathways (eg, periaqueductal grey). In parallel, affect-related brain areas may simultaneously exert a disruptive influence on neurocircuits involved in voluntary motor control, awareness and emotional regulation (eg, sensorimotor, salience, central executive networks). Limbic-paralimbic disturbances in patients with FND may represent one of several neurobiological adaptations linked to early, severe and/or prolonged psychosocial adversity. This perspective integrates neurobiological and psychosocial factors in FND and proposes a research agenda, highlighting the need for replication of existing findings, multimodal sampling across emotional response domains and further examination of emotional influences on sensorimotor and cognitive functions in FND populations.&quot;,&quot;issue&quot;:&quot;6&quot;,&quot;volume&quot;:&quot;90&quot;,&quot;container-title-short&quot;:&quot;&quot;},&quot;isTemporary&quot;:false},{&quot;id&quot;:&quot;56ea5c3f-2bc0-308d-a671-4ac9e023db42&quot;,&quot;itemData&quot;:{&quot;type&quot;:&quot;article-journal&quot;,&quot;id&quot;:&quot;56ea5c3f-2bc0-308d-a671-4ac9e023db42&quot;,&quot;title&quot;:&quot;Changes in Emotion Processing following Brief Augmented Psychodynamic Interpersonal Therapy for Functional Neurological Symptoms&quot;,&quot;author&quot;:[{&quot;family&quot;:&quot;Williams&quot;,&quot;given&quot;:&quot;Isobel Anne&quot;,&quot;parse-names&quot;:false,&quot;dropping-particle&quot;:&quot;&quot;,&quot;non-dropping-particle&quot;:&quot;&quot;},{&quot;family&quot;:&quot;Howlett&quot;,&quot;given&quot;:&quot;Stephanie&quot;,&quot;parse-names&quot;:false,&quot;dropping-particle&quot;:&quot;&quot;,&quot;non-dropping-particle&quot;:&quot;&quot;},{&quot;family&quot;:&quot;Levita&quot;,&quot;given&quot;:&quot;Liat&quot;,&quot;parse-names&quot;:false,&quot;dropping-particle&quot;:&quot;&quot;,&quot;non-dropping-particle&quot;:&quot;&quot;},{&quot;family&quot;:&quot;Reuber&quot;,&quot;given&quot;:&quot;Markus&quot;,&quot;parse-names&quot;:false,&quot;dropping-particle&quot;:&quot;&quot;,&quot;non-dropping-particle&quot;:&quot;&quot;}],&quot;container-title&quot;:&quot;Behavioural and cognitive psychotherapy&quot;,&quot;DOI&quot;:&quot;10.1017/s1352465817000807&quot;,&quot;ISSN&quot;:&quot;1352-4658&quot;,&quot;issued&quot;:{&quot;date-parts&quot;:[[2018]]},&quot;page&quot;:&quot;350-366&quot;,&quot;publisher&quot;:&quot;Cambridge University Press (CUP)&quot;,&quot;issue&quot;:&quot;3&quot;,&quot;volume&quot;:&quot;46&quot;,&quot;container-title-short&quot;:&quot;&quot;},&quot;isTemporary&quot;:false}],&quot;citationTag&quot;:&quot;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&quot;},{&quot;citationID&quot;:&quot;MENDELEY_CITATION_13a7eb93-cfca-4361-a8ea-e81e0d1556ef&quot;,&quot;properties&quot;:{&quot;noteIndex&quot;:0},&quot;isEdited&quot;:false,&quot;manualOverride&quot;:{&quot;isManuallyOverridden&quot;:false,&quot;citeprocText&quot;:&quot;(Reuber et al., 2022)&quot;,&quot;manualOverrideText&quot;:&quot;&quot;},&quot;citationItems&quot;:[{&quot;id&quot;:&quot;6fcdf496-069c-3295-8529-c188d4e5fbdc&quot;,&quot;itemData&quot;:{&quot;type&quot;:&quot;article-journal&quot;,&quot;id&quot;:&quot;6fcdf496-069c-3295-8529-c188d4e5fbdc&quot;,&quot;title&quot;:&quot;Shame in patients with psychogenic nonepileptic seizure: A narrative review&quot;,&quot;author&quot;:[{&quot;family&quot;:&quot;Reuber&quot;,&quot;given&quot;:&quot;M&quot;,&quot;parse-names&quot;:false,&quot;dropping-particle&quot;:&quot;&quot;,&quot;non-dropping-particle&quot;:&quot;&quot;},{&quot;family&quot;:&quot;Roberts&quot;,&quot;given&quot;:&quot;Nicole A&quot;,&quot;parse-names&quot;:false,&quot;dropping-particle&quot;:&quot;&quot;,&quot;non-dropping-particle&quot;:&quot;&quot;},{&quot;family&quot;:&quot;Levita&quot;,&quot;given&quot;:&quot;Liat&quot;,&quot;parse-names&quot;:false,&quot;dropping-particle&quot;:&quot;&quot;,&quot;non-dropping-particle&quot;:&quot;&quot;},{&quot;family&quot;:&quot;Gray&quot;,&quot;given&quot;:&quot;Cordelia&quot;,&quot;parse-names&quot;:false,&quot;dropping-particle&quot;:&quot;&quot;,&quot;non-dropping-particle&quot;:&quot;&quot;},{&quot;family&quot;:&quot;Myers&quot;,&quot;given&quot;:&quot;Lorna&quot;,&quot;parse-names&quot;:false,&quot;dropping-particle&quot;:&quot;&quot;,&quot;non-dropping-particle&quot;:&quot;&quot;}],&quot;container-title&quot;:&quot;Seizure: European Journal of Epilepsy&quot;,&quot;accessed&quot;:{&quot;date-parts&quot;:[[2023,5,8]]},&quot;DOI&quot;:&quot;10.1016/j.seizure.2021.10.017&quot;,&quot;URL&quot;:&quot;http://www.elsevier.com/open-access/userlicense/1.0/&quot;,&quot;issued&quot;:{&quot;date-parts&quot;:[[2022]]},&quot;page&quot;:&quot;165-175&quot;,&quot;abstract&quot;:&quot;A R T I C L E I N F O Keywords: Dissociation Conversion Emotion processing Shame-proneness Functional neurological symptom disorder Nonepileptic attack disorder Psychogenic nonepileptic seizures A B S T R A C T Psychogenic Nonepileptic Seizures (PNES) have been linked to dysregulated emotions and arousal. However, the question which emotions may be most relevant has received much less attention. In this multidisciplinary narrative review, we argue that the self-conscious emotion of shame is likely to be of particular importance for PNES. We summarize current concepts of the development of shame processing and its relationship with other emotional states. We demonstrate the potential of acute shame to cause a sudden disruption of normal cognitive function and trigger powerful behavioral, cognitive, physiological and secondary emotional responses which closely resemble key components of PNES. These responses may lead to the development of shame avoidance strategies which can become disabling in themselves. We discuss how excessive shame proneness and shame dysregulation are linked to several psychopathologies often associated with PNES (including depression and PTSD) and how they may predispose to, precipitate and perpetuate PNES disorders, not least by interacting with stigma. We consider current knowledge of the neurobiological underpinnings of shame and PNES. We explore how shame could be the link between PNES and a heterogeneous range of possible etiological factors, and how it may link historical aversive experiences with individual PNES events occurring much later and without apparent external trigger. We argue that, in view of the potential direct links between shame and PNES, the well-documented associations of shame with common comorbidities of this seizure disorder and the well-characterized relationship between chronic shame and stigma, there is a compelling case to pay greater attention to shame in relation to PNES. Its role in the treatment of patients with PNES is discussed in a separate, linked review incorporating case vignettes to highlight the complex interactions of different but interlinked shame-related issues in individual patients&quot;,&quot;volume&quot;:&quot;94&quot;,&quot;container-title-short&quot;:&quot;&quot;},&quot;isTemporary&quot;:false}],&quot;citationTag&quot;:&quot;MENDELEY_CITATION_v3_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&quot;},{&quot;citationID&quot;:&quot;MENDELEY_CITATION_50c30d57-cca2-47da-bef0-713626460b91&quot;,&quot;properties&quot;:{&quot;noteIndex&quot;:0},&quot;isEdited&quot;:false,&quot;manualOverride&quot;:{&quot;isManuallyOverridden&quot;:false,&quot;citeprocText&quot;:&quot;(Dolezal &amp;#38; Lyons, 2017)&quot;,&quot;manualOverrideText&quot;:&quot;&quot;},&quot;citationItems&quot;:[{&quot;id&quot;:&quot;b6d1b206-cdfe-3ea9-a937-6ebe0a0bc0cc&quot;,&quot;itemData&quot;:{&quot;type&quot;:&quot;article-journal&quot;,&quot;id&quot;:&quot;b6d1b206-cdfe-3ea9-a937-6ebe0a0bc0cc&quot;,&quot;title&quot;:&quot;Health-related shame: an affective determinant of health?&quot;,&quot;author&quot;:[{&quot;family&quot;:&quot;Dolezal&quot;,&quot;given&quot;:&quot;Luna&quot;,&quot;parse-names&quot;:false,&quot;dropping-particle&quot;:&quot;&quot;,&quot;non-dropping-particle&quot;:&quot;&quot;},{&quot;family&quot;:&quot;Lyons&quot;,&quot;given&quot;:&quot;Barry&quot;,&quot;parse-names&quot;:false,&quot;dropping-particle&quot;:&quot;&quot;,&quot;non-dropping-particle&quot;:&quot;&quot;}],&quot;container-title&quot;:&quot;Medical Humanities&quot;,&quot;container-title-short&quot;:&quot;Med Humanit&quot;,&quot;accessed&quot;:{&quot;date-parts&quot;:[[2023,5,8]]},&quot;DOI&quot;:&quot;10.1136/MEDHUM-2017-011186&quot;,&quot;ISSN&quot;:&quot;1468-215X&quot;,&quot;PMID&quot;:&quot;28596218&quot;,&quot;URL&quot;:&quot;https://mh.bmj.com/content/43/4/257&quot;,&quot;issued&quot;:{&quot;date-parts&quot;:[[2017,12,1]]},&quot;page&quot;:&quot;257-263&quot;,&quot;abstract&quot;:&quot;Despite shame being recognised as a powerful force in the clinical encounter, it is underacknowledged, under-researched and undertheorised in the contexts of health and medicine. In this paper we make two claims. The first is that emotional or affective states, in particular shame, can have a significant impact on health, illness and health-related behaviours. We outline four possible processes through which this might occur: (1) acute shame avoidance behaviour; (2) chronic shame health-related behaviours; (3) stigma and social status threat and (4) biological mechanisms. Second, we postulate that shame's influence is so insidious, pervasive and pernicious, and so critical to clinical and political discourse around health, that it is imperative that its vital role in health, health-related behaviours and illness be recognised and assimilated into medical, social and political consciousness and practice. In essence, we argue that its impact is sufficiently powerful for it to be considered an affective determinant of health, and provide three justifications for this. We conclude with a proposal for a research agenda that aims to extend the state of knowledge of health-related shame.&quot;,&quot;publisher&quot;:&quot;Institute of Medical Ethics&quot;,&quot;issue&quot;:&quot;4&quot;,&quot;volume&quot;:&quot;43&quot;},&quot;isTemporary&quot;:false}],&quot;citationTag&quot;:&quot;MENDELEY_CITATION_v3_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&quot;},{&quot;citationID&quot;:&quot;MENDELEY_CITATION_d41957e0-8863-4e16-8f83-58d92adcb4d6&quot;,&quot;properties&quot;:{&quot;noteIndex&quot;:0},&quot;isEdited&quot;:false,&quot;manualOverride&quot;:{&quot;isManuallyOverridden&quot;:false,&quot;citeprocText&quot;:&quot;(Andrews et al., 2000)&quot;,&quot;manualOverrideText&quot;:&quot;&quot;},&quot;citationItems&quot;:[{&quot;id&quot;:&quot;ee2d472b-51f2-3bd1-9b82-1cf601b5baa6&quot;,&quot;itemData&quot;:{&quot;type&quot;:&quot;article-journal&quot;,&quot;id&quot;:&quot;ee2d472b-51f2-3bd1-9b82-1cf601b5baa6&quot;,&quot;title&quot;:&quot;Why does the burden of disease persist? Relating the burden of anxiety and depression to effectiveness of treatment.&quot;,&quot;author&quot;:[{&quot;family&quot;:&quot;Andrews&quot;,&quot;given&quot;:&quot;G.&quot;,&quot;parse-names&quot;:false,&quot;dropping-particle&quot;:&quot;&quot;,&quot;non-dropping-particle&quot;:&quot;&quot;},{&quot;family&quot;:&quot;Sanderson&quot;,&quot;given&quot;:&quot;K.&quot;,&quot;parse-names&quot;:false,&quot;dropping-particle&quot;:&quot;&quot;,&quot;non-dropping-particle&quot;:&quot;&quot;},{&quot;family&quot;:&quot;Slade&quot;,&quot;given&quot;:&quot;T.&quot;,&quot;parse-names&quot;:false,&quot;dropping-particle&quot;:&quot;&quot;,&quot;non-dropping-particle&quot;:&quot;&quot;},{&quot;family&quot;:&quot;Issakidis&quot;,&quot;given&quot;:&quot;C.&quot;,&quot;parse-names&quot;:false,&quot;dropping-particle&quot;:&quot;&quot;,&quot;non-dropping-particle&quot;:&quot;&quot;}],&quot;container-title&quot;:&quot;Bulletin of the World Health Organization&quot;,&quot;container-title-short&quot;:&quot;Bull World Health Organ&quot;,&quot;accessed&quot;:{&quot;date-parts&quot;:[[2023,5,25]]},&quot;DOI&quot;:&quot;10.1080/000486700536&quot;,&quot;ISSN&quot;:&quot;00429686&quot;,&quot;PMID&quot;:&quot;10885163&quot;,&quot;URL&quot;:&quot;/pmc/articles/PMC2560749/?report=abstract&quot;,&quot;issued&quot;:{&quot;date-parts&quot;:[[2000]]},&quot;page&quot;:&quot;446&quot;,&quot;abstract&quot;:&quot;Why does the burden of mental disorders persist in established market economies? There are four possibilities: the burden estimates are wrong; there are no effective treatments; people do not receive treatment; or people do not receive effective treatments. Data from the Australian National Survey of Mental Health and Wellbeing about the two commonest mental disorders, generalized anxiety disorder and depression, have been used in examining these issues. The burden of mental disorders in Australia is third in importance after heart disease and cancer, and anxiety and depressive disorders account for more than half of that burden. The efficacy of treatments for both disorders has been established. However, of those surveyed, 40% with current disorders did not seek treatment in the previous year and only 45% were offered a treatment that could have been beneficial. Treatment was not predictive of disorders that remitted during the year. The burden therefore persists for two reasons: too many people do not seek treatment and, when they do, efficacious treatments are not always used effectively.&quot;,&quot;publisher&quot;:&quot;World Health Organization&quot;,&quot;issue&quot;:&quot;4&quot;,&quot;volume&quot;:&quot;78&quot;},&quot;isTemporary&quot;:false}],&quot;citationTag&quot;:&quot;MENDELEY_CITATION_v3_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&quot;},{&quot;citationID&quot;:&quot;MENDELEY_CITATION_4b6ba778-8421-4b7e-9bd0-b60739eba7d6&quot;,&quot;properties&quot;:{&quot;noteIndex&quot;:0},&quot;isEdited&quot;:false,&quot;manualOverride&quot;:{&quot;isManuallyOverridden&quot;:false,&quot;citeprocText&quot;:&quot;(Helgeson &amp;#38; Fritz, 1999)&quot;,&quot;manualOverrideText&quot;:&quot;&quot;},&quot;citationItems&quot;:[{&quot;id&quot;:&quot;2bfc15da-25af-34b1-8368-2722630b4d2f&quot;,&quot;itemData&quot;:{&quot;type&quot;:&quot;article-journal&quot;,&quot;id&quot;:&quot;2bfc15da-25af-34b1-8368-2722630b4d2f&quot;,&quot;title&quot;:&quot;Unmitigated Agency and Unmitigated Communion: Distinctions from Agency and Communion&quot;,&quot;author&quot;:[{&quot;family&quot;:&quot;Helgeson&quot;,&quot;given&quot;:&quot;Vicki S.&quot;,&quot;parse-names&quot;:false,&quot;dropping-particle&quot;:&quot;&quot;,&quot;non-dropping-particle&quot;:&quot;&quot;},{&quot;family&quot;:&quot;Fritz&quot;,&quot;given&quot;:&quot;Heidi L.&quot;,&quot;parse-names&quot;:false,&quot;dropping-particle&quot;:&quot;&quot;,&quot;non-dropping-particle&quot;:&quot;&quot;}],&quot;container-title&quot;:&quot;Journal of Research in Personality&quot;,&quot;container-title-short&quot;:&quot;J Res Pers&quot;,&quot;accessed&quot;:{&quot;date-parts&quot;:[[2023,5,24]]},&quot;DOI&quot;:&quot;10.1006/JRPE.1999.2241&quot;,&quot;ISSN&quot;:&quot;0092-6566&quot;,&quot;issued&quot;:{&quot;date-parts&quot;:[[1999,6,1]]},&quot;page&quot;:&quot;131-158&quot;,&quot;abstract&quot;:&quot;The purpose of this paper is to establish the importance of distinguishing unmitigated agency and unmitigated communion from agency and communion. First, we examine the empirical overlap and distinctions among the four constructs. Then, we demonstrate the differential association of unmitigated agency, unmitigated communion, agency, and communion to relationship and health outcomes. We conclude that only unmitigated agency and unmitigated communion are associated with relationship difficulties and poor health. Finally, we distinguish between the difficulties of the unmitigated agency and the unmitigated communion individual by focusing on interpersonal problems. © 1999 Academic Press.&quot;,&quot;publisher&quot;:&quot;Academic Press&quot;,&quot;issue&quot;:&quot;2&quot;,&quot;volume&quot;:&quot;33&quot;},&quot;isTemporary&quot;:false}],&quot;citationTag&quot;:&quot;MENDELEY_CITATION_v3_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&quot;},{&quot;citationID&quot;:&quot;MENDELEY_CITATION_db7068ae-d99d-494a-88b0-4c6f6570c219&quot;,&quot;properties&quot;:{&quot;noteIndex&quot;:0},&quot;isEdited&quot;:false,&quot;manualOverride&quot;:{&quot;isManuallyOverridden&quot;:false,&quot;citeprocText&quot;:&quot;(Reuber et al., 2022)&quot;,&quot;manualOverrideText&quot;:&quot;&quot;},&quot;citationItems&quot;:[{&quot;id&quot;:&quot;6fcdf496-069c-3295-8529-c188d4e5fbdc&quot;,&quot;itemData&quot;:{&quot;type&quot;:&quot;article-journal&quot;,&quot;id&quot;:&quot;6fcdf496-069c-3295-8529-c188d4e5fbdc&quot;,&quot;title&quot;:&quot;Shame in patients with psychogenic nonepileptic seizure: A narrative review&quot;,&quot;author&quot;:[{&quot;family&quot;:&quot;Reuber&quot;,&quot;given&quot;:&quot;M&quot;,&quot;parse-names&quot;:false,&quot;dropping-particle&quot;:&quot;&quot;,&quot;non-dropping-particle&quot;:&quot;&quot;},{&quot;family&quot;:&quot;Roberts&quot;,&quot;given&quot;:&quot;Nicole A&quot;,&quot;parse-names&quot;:false,&quot;dropping-particle&quot;:&quot;&quot;,&quot;non-dropping-particle&quot;:&quot;&quot;},{&quot;family&quot;:&quot;Levita&quot;,&quot;given&quot;:&quot;Liat&quot;,&quot;parse-names&quot;:false,&quot;dropping-particle&quot;:&quot;&quot;,&quot;non-dropping-particle&quot;:&quot;&quot;},{&quot;family&quot;:&quot;Gray&quot;,&quot;given&quot;:&quot;Cordelia&quot;,&quot;parse-names&quot;:false,&quot;dropping-particle&quot;:&quot;&quot;,&quot;non-dropping-particle&quot;:&quot;&quot;},{&quot;family&quot;:&quot;Myers&quot;,&quot;given&quot;:&quot;Lorna&quot;,&quot;parse-names&quot;:false,&quot;dropping-particle&quot;:&quot;&quot;,&quot;non-dropping-particle&quot;:&quot;&quot;}],&quot;container-title&quot;:&quot;Seizure: European Journal of Epilepsy&quot;,&quot;accessed&quot;:{&quot;date-parts&quot;:[[2023,5,8]]},&quot;DOI&quot;:&quot;10.1016/j.seizure.2021.10.017&quot;,&quot;URL&quot;:&quot;http://www.elsevier.com/open-access/userlicense/1.0/&quot;,&quot;issued&quot;:{&quot;date-parts&quot;:[[2022]]},&quot;page&quot;:&quot;165-175&quot;,&quot;abstract&quot;:&quot;A R T I C L E I N F O Keywords: Dissociation Conversion Emotion processing Shame-proneness Functional neurological symptom disorder Nonepileptic attack disorder Psychogenic nonepileptic seizures A B S T R A C T Psychogenic Nonepileptic Seizures (PNES) have been linked to dysregulated emotions and arousal. However, the question which emotions may be most relevant has received much less attention. In this multidisciplinary narrative review, we argue that the self-conscious emotion of shame is likely to be of particular importance for PNES. We summarize current concepts of the development of shame processing and its relationship with other emotional states. We demonstrate the potential of acute shame to cause a sudden disruption of normal cognitive function and trigger powerful behavioral, cognitive, physiological and secondary emotional responses which closely resemble key components of PNES. These responses may lead to the development of shame avoidance strategies which can become disabling in themselves. We discuss how excessive shame proneness and shame dysregulation are linked to several psychopathologies often associated with PNES (including depression and PTSD) and how they may predispose to, precipitate and perpetuate PNES disorders, not least by interacting with stigma. We consider current knowledge of the neurobiological underpinnings of shame and PNES. We explore how shame could be the link between PNES and a heterogeneous range of possible etiological factors, and how it may link historical aversive experiences with individual PNES events occurring much later and without apparent external trigger. We argue that, in view of the potential direct links between shame and PNES, the well-documented associations of shame with common comorbidities of this seizure disorder and the well-characterized relationship between chronic shame and stigma, there is a compelling case to pay greater attention to shame in relation to PNES. Its role in the treatment of patients with PNES is discussed in a separate, linked review incorporating case vignettes to highlight the complex interactions of different but interlinked shame-related issues in individual patients&quot;,&quot;volume&quot;:&quot;94&quot;,&quot;container-title-short&quot;:&quot;&quot;},&quot;isTemporary&quot;:false}],&quot;citationTag&quot;:&quot;MENDELEY_CITATION_v3_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&quot;},{&quot;citationID&quot;:&quot;MENDELEY_CITATION_181aaed0-ff63-4c66-9a53-b1223d5c79bd&quot;,&quot;properties&quot;:{&quot;noteIndex&quot;:0},&quot;isEdited&quot;:false,&quot;manualOverride&quot;:{&quot;isManuallyOverridden&quot;:false,&quot;citeprocText&quot;:&quot;(Gilbert, 2009)&quot;,&quot;manualOverrideText&quot;:&quot;&quot;},&quot;citationItems&quot;:[{&quot;id&quot;:&quot;f2e097b1-3c2f-3fcf-921b-92e29abec2fd&quot;,&quot;itemData&quot;:{&quot;type&quot;:&quot;article-journal&quot;,&quot;id&quot;:&quot;f2e097b1-3c2f-3fcf-921b-92e29abec2fd&quot;,&quot;title&quot;:&quot;Introducing compassion-focused therapy&quot;,&quot;author&quot;:[{&quot;family&quot;:&quot;Gilbert&quot;,&quot;given&quot;:&quot;Paul&quot;,&quot;parse-names&quot;:false,&quot;dropping-particle&quot;:&quot;&quot;,&quot;non-dropping-particle&quot;:&quot;&quot;}],&quot;container-title&quot;:&quot;Advances in Psychiatric Treatment&quot;,&quot;accessed&quot;:{&quot;date-parts&quot;:[[2023,5,10]]},&quot;DOI&quot;:&quot;10.1192/APT.BP.107.005264&quot;,&quot;ISSN&quot;:&quot;1355-5146&quot;,&quot;URL&quot;:&quot;https://www.cambridge.org/core/journals/advances-in-psychiatric-treatment/article/introducing-compassionfocused-therapy/ECBC8B7B87E90ABB58C4530CDEE04088&quot;,&quot;issued&quot;:{&quot;date-parts&quot;:[[2009]]},&quot;page&quot;:&quot;199-208&quot;,&quot;abstract&quot;:&quot;Shame and self-criticism are transdiagnostic problems. People who experience them may struggle to feel relieved, reassured or safe. Research suggests that a specialised affect regulation system (or systems) underpins feelings of reassurance, safeness and well-being. It is believed to have evolved with attachment systems and, in particular, the ability to register and respond with calming and a sense of well-being to being cared for. In compassion-focused therapy it is hypothesised that this affect regulation system is poorly accessible in people with high shame and self-criticism, in whom the ‘threat’ affect regulation system dominates orientation to their inner and outer worlds. Compassion-focused therapy is an integrated and multimodal approach that draws from evolutionary, social, developmental and Buddhist psychology, and neuroscience. One of its key concerns is to use compassionate mind training to help people develop and work with experiences of inner warmth, safeness and soothing, via compassion and self-compassion.&quot;,&quot;publisher&quot;:&quot;Cambridge University Press&quot;,&quot;issue&quot;:&quot;3&quot;,&quot;volume&quot;:&quot;15&quot;,&quot;container-title-short&quot;:&quot;&quot;},&quot;isTemporary&quot;:false}],&quot;citationTag&quot;:&quot;MENDELEY_CITATION_v3_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&quot;},{&quot;citationID&quot;:&quot;MENDELEY_CITATION_2e025213-5297-4d20-b3b3-f343fe6c0f3c&quot;,&quot;properties&quot;:{&quot;noteIndex&quot;:0},&quot;isEdited&quot;:false,&quot;manualOverride&quot;:{&quot;isManuallyOverridden&quot;:false,&quot;citeprocText&quot;:&quot;(Cobb, 1976)&quot;,&quot;manualOverrideText&quot;:&quot;&quot;},&quot;citationItems&quot;:[{&quot;id&quot;:&quot;6ebb30a4-90d1-3e94-a316-cbc636d866b5&quot;,&quot;itemData&quot;:{&quot;type&quot;:&quot;article-journal&quot;,&quot;id&quot;:&quot;6ebb30a4-90d1-3e94-a316-cbc636d866b5&quot;,&quot;title&quot;:&quot;Social support as a moderator of life stress&quot;,&quot;author&quot;:[{&quot;family&quot;:&quot;Cobb&quot;,&quot;given&quot;:&quot;S.&quot;,&quot;parse-names&quot;:false,&quot;dropping-particle&quot;:&quot;&quot;,&quot;non-dropping-particle&quot;:&quot;&quot;}],&quot;container-title&quot;:&quot;Psychosomatic Medicine&quot;,&quot;container-title-short&quot;:&quot;Psychosom Med&quot;,&quot;accessed&quot;:{&quot;date-parts&quot;:[[2023,5,11]]},&quot;DOI&quot;:&quot;10.1097/00006842-197609000-00003&quot;,&quot;ISSN&quot;:&quot;00333174&quot;,&quot;PMID&quot;:&quot;981490&quot;,&quot;issued&quot;:{&quot;date-parts&quot;:[[1976]]},&quot;page&quot;:&quot;300-314&quot;,&quot;abstract&quot;:&quot;Social support is defined as information leading the subject to believe that he is cared for and loved, esteemed, and a member of a network of mutual obligations. The evidence that supportive interactions among people are protective against the health consequences of life stress is reviewed. It appears that social support can protect people in crisis from a wide variety of pathological states: from low birth weight to death, from arthritis through tuberculosis to depression, alcoholism, and the social breakdown syndrome. Furthermore, social support may reduce the amount of medication required, accelerate recovery, and facilitate compliance with prescribed medical regimens.&quot;,&quot;issue&quot;:&quot;5&quot;,&quot;volume&quot;:&quot;38&quot;},&quot;isTemporary&quot;:false}],&quot;citationTag&quot;:&quot;MENDELEY_CITATION_v3_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&quot;},{&quot;citationID&quot;:&quot;MENDELEY_CITATION_414e8aac-48fd-42b0-a484-a7a353e5929c&quot;,&quot;properties&quot;:{&quot;noteIndex&quot;:0},&quot;isEdited&quot;:false,&quot;manualOverride&quot;:{&quot;isManuallyOverridden&quot;:false,&quot;citeprocText&quot;:&quot;(Cohen &amp;#38; Wills, 1985; Mondal et al., 2020; Thoits, 2011)&quot;,&quot;manualOverrideText&quot;:&quot;&quot;},&quot;citationItems&quot;:[{&quot;id&quot;:&quot;30596878-5d0d-33be-94ef-75f839fed4b9&quot;,&quot;itemData&quot;:{&quot;type&quot;:&quot;article-journal&quot;,&quot;id&quot;:&quot;30596878-5d0d-33be-94ef-75f839fed4b9&quot;,&quot;title&quot;:&quot;Stress, Social Support, and the Buffering Hypothesis&quot;,&quot;author&quot;:[{&quot;family&quot;:&quot;Cohen&quot;,&quot;given&quot;:&quot;Sheldon&quot;,&quot;parse-names&quot;:false,&quot;dropping-particle&quot;:&quot;&quot;,&quot;non-dropping-particle&quot;:&quot;&quot;},{&quot;family&quot;:&quot;Wills&quot;,&quot;given&quot;:&quot;Thomas Ashby&quot;,&quot;parse-names&quot;:false,&quot;dropping-particle&quot;:&quot;&quot;,&quot;non-dropping-particle&quot;:&quot;&quot;}],&quot;container-title&quot;:&quot;Psychological Bulletin&quot;,&quot;container-title-short&quot;:&quot;Psychol Bull&quot;,&quot;accessed&quot;:{&quot;date-parts&quot;:[[2023,5,7]]},&quot;DOI&quot;:&quot;10.1037/0033-2909.98.2.310&quot;,&quot;ISSN&quot;:&quot;00332909&quot;,&quot;PMID&quot;:&quot;3901065&quot;,&quot;issued&quot;:{&quot;date-parts&quot;:[[1985,9]]},&quot;page&quot;:&quot;310-357&quot;,&quot;abstract&quot;:&quot;The purpose of this article is to determine whether the positive association between social support and well-being is attributable more to an overall beneficial effect of support (main- or direct-effect model) or to a process of support protecting persons from potentially adverse effects of stressful events (buffering model). The review of studies is organized according to (a) whether a measure assesses support structure or function, and (b) the degree of specificity (vs. globality) of the scale. By structure we mean simply the existence of relationships, and by function we mean the extent to which one's interpersonal relationships provide particular resources. Special attention is paid to methodological characteristics that are requisite for a fair comparison of the models. The review concludes that there is evidence consistent with both models. Evidence for a buffering model is found when the social support measure assesses the perceived availability of interpersonal resources that are responsive to the needs elicited by stressful events. Evidence for a main effect model is found when the support measure assesses a person's degree of integration in a large social network. Both conceptualizations of social support are correct in some respects, but each represents a different process through which social support may affect well-being. Implications of these conclusions for theories of social support processes and for the design of preventive interventions are discussed. © 1985 American Psychological Association.&quot;,&quot;issue&quot;:&quot;2&quot;,&quot;volume&quot;:&quot;98&quot;},&quot;isTemporary&quot;:false},{&quot;id&quot;:&quot;f55118ea-3a63-3b98-a835-40f45108ae47&quot;,&quot;itemData&quot;:{&quot;type&quot;:&quot;article-journal&quot;,&quot;id&quot;:&quot;f55118ea-3a63-3b98-a835-40f45108ae47&quot;,&quot;title&quot;:&quot;Mechanisms linking social ties and support to physical and mental health&quot;,&quot;author&quot;:[{&quot;family&quot;:&quot;Thoits&quot;,&quot;given&quot;:&quot;Peggy A.&quot;,&quot;parse-names&quot;:false,&quot;dropping-particle&quot;:&quot;&quot;,&quot;non-dropping-particle&quot;:&quot;&quot;}],&quot;container-title&quot;:&quot;Journal of health and social behavior&quot;,&quot;container-title-short&quot;:&quot;J Health Soc Behav&quot;,&quot;accessed&quot;:{&quot;date-parts&quot;:[[2023,5,3]]},&quot;DOI&quot;:&quot;10.1177/0022146510395592&quot;,&quot;ISSN&quot;:&quot;2150-6000&quot;,&quot;PMID&quot;:&quot;21673143&quot;,&quot;URL&quot;:&quot;https://pubmed.ncbi.nlm.nih.gov/21673143/&quot;,&quot;issued&quot;:{&quot;date-parts&quot;:[[2011,6]]},&quot;page&quot;:&quot;145-161&quot;,&quot;abstract&quot;:&quot;Over the past 30 years investigators have called repeatedly for research on the mechanisms through which social relationships and social support improve physical and psychological well-being, both directly and as stress buffers. I describe seven possible mechanisms: social influence/social comparison, social control, role-based purpose and meaning (mattering), self-esteem, sense of control, belonging and companionship, and perceived support availability. Stress-buffering processes also involve these mechanisms. I argue that there are two broad types of support, emotional sustenance and active coping assistance, and two broad categories of supporters, significant others and experientially similar others, who specialize in supplying different types of support to distressed individuals. Emotionally sustaining behaviors and instrumental aid from significant others and empathy, active coping assistance, and role modeling from similar others should be most efficacious in alleviating the physical and emotional impacts of stressors. © American Sociological Association 2011.&quot;,&quot;publisher&quot;:&quot;J Health Soc Behav&quot;,&quot;issue&quot;:&quot;2&quot;,&quot;volume&quot;:&quot;52&quot;},&quot;isTemporary&quot;:false},{&quot;id&quot;:&quot;2ee45ac4-9959-39fc-a8ee-5ac640a39686&quot;,&quot;itemData&quot;:{&quot;type&quot;:&quot;article-journal&quot;,&quot;id&quot;:&quot;2ee45ac4-9959-39fc-a8ee-5ac640a39686&quot;,&quot;title&quot;:&quot;Relationship between Perceived Social Support and Severity of Symptoms in Persons with Somatoform Disorder&quot;,&quot;author&quot;:[{&quot;family&quot;:&quot;Mondal&quot;,&quot;given&quot;:&quot;Arijit&quot;,&quot;parse-names&quot;:false,&quot;dropping-particle&quot;:&quot;&quot;,&quot;non-dropping-particle&quot;:&quot;&quot;},{&quot;family&quot;:&quot;Das&quot;,&quot;given&quot;:&quot;Saswati&quot;,&quot;parse-names&quot;:false,&quot;dropping-particle&quot;:&quot;&quot;,&quot;non-dropping-particle&quot;:&quot;&quot;},{&quot;family&quot;:&quot;Sankar Mandal&quot;,&quot;given&quot;:&quot;Uday&quot;,&quot;parse-names&quot;:false,&quot;dropping-particle&quot;:&quot;&quot;,&quot;non-dropping-particle&quot;:&quot;&quot;},{&quot;family&quot;:&quot;Nath&quot;,&quot;given&quot;:&quot;Saswati&quot;,&quot;parse-names&quot;:false,&quot;dropping-particle&quot;:&quot;&quot;,&quot;non-dropping-particle&quot;:&quot;&quot;}],&quot;container-title&quot;:&quot;Jemds.com Original Research Article J. Evolution Med. Dent. Sci&quot;,&quot;accessed&quot;:{&quot;date-parts&quot;:[[2023,5,7]]},&quot;DOI&quot;:&quot;10.14260/jemds/2020/73&quot;,&quot;URL&quot;:&quot;https://www.researchgate.net/publication/340241355&quot;,&quot;issued&quot;:{&quot;date-parts&quot;:[[2020]]},&quot;page&quot;:&quot;2020&quot;,&quot;abstract&quot;:&quot;BACKGROUND Somatization is a common problem in primary health care leading to disproportionately heavy demands on health services. Patients with somatoform disorder account for about 20% of the workload in general practice. In somatoform disorder multiple or unexplained physical symptoms cause substantial disability in patients, while their psychiatric distress remains unrecognised and untreated. Studies have shown that good perceived social support improves the well-being of a person and also affects the outcome of treatment in somatoform disorder. Our study aimed at investigating relationship of severity of somatic symptoms and perceived social support in people with somatoform disorder.&quot;,&quot;volume&quot;:&quot;9&quot;,&quot;container-title-short&quot;:&quot;&quot;},&quot;isTemporary&quot;:false}],&quot;citationTag&quot;:&quot;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&quot;},{&quot;citationID&quot;:&quot;MENDELEY_CITATION_f6d0dc24-6573-4f3b-a104-a3e87b642368&quot;,&quot;properties&quot;:{&quot;noteIndex&quot;:0},&quot;isEdited&quot;:false,&quot;manualOverride&quot;:{&quot;isManuallyOverridden&quot;:false,&quot;citeprocText&quot;:&quot;(Dhand et al., 2016; Suurmeijer et al., 2001)&quot;,&quot;manualOverrideText&quot;:&quot;&quot;},&quot;citationItems&quot;:[{&quot;id&quot;:&quot;4bdf8f0b-9efd-3483-92fe-e52d8b22f805&quot;,&quot;itemData&quot;:{&quot;type&quot;:&quot;article-journal&quot;,&quot;id&quot;:&quot;4bdf8f0b-9efd-3483-92fe-e52d8b22f805&quot;,&quot;title&quot;:&quot;Social functioning, psychological functioning, and quality of life in epilepsy&quot;,&quot;author&quot;:[{&quot;family&quot;:&quot;Suurmeijer&quot;,&quot;given&quot;:&quot;Theo P.B.M.&quot;,&quot;parse-names&quot;:false,&quot;dropping-particle&quot;:&quot;&quot;,&quot;non-dropping-particle&quot;:&quot;&quot;},{&quot;family&quot;:&quot;Reuvekamp&quot;,&quot;given&quot;:&quot;Marieke F.&quot;,&quot;parse-names&quot;:false,&quot;dropping-particle&quot;:&quot;&quot;,&quot;non-dropping-particle&quot;:&quot;&quot;},{&quot;family&quot;:&quot;Aldenkamp&quot;,&quot;given&quot;:&quot;Bert P.&quot;,&quot;parse-names&quot;:false,&quot;dropping-particle&quot;:&quot;&quot;,&quot;non-dropping-particle&quot;:&quot;&quot;}],&quot;container-title&quot;:&quot;Epilepsia&quot;,&quot;container-title-short&quot;:&quot;Epilepsia&quot;,&quot;accessed&quot;:{&quot;date-parts&quot;:[[2023,5,12]]},&quot;DOI&quot;:&quot;10.1046/J.1528-1157.2001.37000.X&quot;,&quot;ISSN&quot;:&quot;00139580&quot;,&quot;PMID&quot;:&quot;11580765&quot;,&quot;issued&quot;:{&quot;date-parts&quot;:[[2001]]},&quot;page&quot;:&quot;1160-1168&quot;,&quot;abstract&quot;:&quot;Summary: Purpose: Part of our research intended to explain \&quot;Quality of Life\&quot; (QoL) differences between people with epilepsy. To this end, a series of already existing generic and disease-specific health status measures were used. In this study, they were considered as determinants of people's QoL, whereas QoL itself was conceived as a general \&quot;value judgment\&quot; about one's life. Methods: From the records of four outpatient clinics, 210 persons with epilepsy were randomly selected. During their visit to the outpatient clinic, they completed a questionnaire assessing, among other things, health perceptions and social and psychological functioning. Additional information about their medical and psychosocial status was gathered from the patient files. Data were analysed by using a hierarchical regression analysis. Results: In decreasing order of importance, \&quot;psychological distress,\&quot; \&quot;loneliness,\&quot; \&quot;adjustment and coping,\&quot; and \&quot;stigma perception\&quot; appeared to contribute most significantly to the outcome QoL as judged by the patients themselves, regardless of their physical status. In the final model, none of the clinical variables (onset, seizure frequency, side effects of antiepileptic drugs) contributed significantly anymore to the patients' \&quot;quality-of-life judgement.\&quot; Apparently the effect of other variables such as seizure frequency and health perceptions, medication and side effects, life fulfilment, self-esteem, and mastery is mediated by these variables. Conclusions: Because all of the variance in QoL of the patients was explained by the psychosocial variables included in this study, health professionals should be aware of the significance of the psychosocial functioning of the patients and the role it plays in the achievement of a good QoL. Both informal and professional support may be an adjunct to conventional treatment. In future research, this issue should be given high priority.&quot;,&quot;issue&quot;:&quot;9&quot;,&quot;volume&quot;:&quot;42&quot;},&quot;isTemporary&quot;:false},{&quot;id&quot;:&quot;40337433-8f9c-3dd8-a7a4-53a9b51762f5&quot;,&quot;itemData&quot;:{&quot;type&quot;:&quot;article-journal&quot;,&quot;id&quot;:&quot;40337433-8f9c-3dd8-a7a4-53a9b51762f5&quot;,&quot;title&quot;:&quot;Social networks and neurological illness&quot;,&quot;author&quot;:[{&quot;family&quot;:&quot;Dhand&quot;,&quot;given&quot;:&quot;Amar&quot;,&quot;parse-names&quot;:false,&quot;dropping-particle&quot;:&quot;&quot;,&quot;non-dropping-particle&quot;:&quot;&quot;},{&quot;family&quot;:&quot;Luke&quot;,&quot;given&quot;:&quot;Douglas A.&quot;,&quot;parse-names&quot;:false,&quot;dropping-particle&quot;:&quot;&quot;,&quot;non-dropping-particle&quot;:&quot;&quot;},{&quot;family&quot;:&quot;Lang&quot;,&quot;given&quot;:&quot;Catherine E.&quot;,&quot;parse-names&quot;:false,&quot;dropping-particle&quot;:&quot;&quot;,&quot;non-dropping-particle&quot;:&quot;&quot;},{&quot;family&quot;:&quot;Lee&quot;,&quot;given&quot;:&quot;Jin Moo&quot;,&quot;parse-names&quot;:false,&quot;dropping-particle&quot;:&quot;&quot;,&quot;non-dropping-particle&quot;:&quot;&quot;}],&quot;container-title&quot;:&quot;Nature Reviews Neurology 2016 12:10&quot;,&quot;accessed&quot;:{&quot;date-parts&quot;:[[2023,5,12]]},&quot;DOI&quot;:&quot;10.1038/nrneurol.2016.119&quot;,&quot;ISSN&quot;:&quot;1759-4766&quot;,&quot;PMID&quot;:&quot;27615420&quot;,&quot;URL&quot;:&quot;https://www.nature.com/articles/nrneurol.2016.119&quot;,&quot;issued&quot;:{&quot;date-parts&quot;:[[2016,9,12]]},&quot;page&quot;:&quot;605-612&quot;,&quot;abstract&quot;:&quot;Drawing on data from social network studies, Dhand and colleagues suggest that focusing on a patient's personal network can help identify individuals at risk of poor health outcomes. The authors provide an overview of the terminology used in social network studies, discuss social network structures that put patients at risk, and suggest how social network research might be applied in the neurology clinic. Every patient is embedded in a social network of interpersonal connections that influence health outcomes. Neurologists routinely need to engage with a patient's family and friends due to the nature of the illness and its social sequelae. Social isolation is a potent determinant of poor health and neurobiological changes, and its effects can be comparable to those of traditional risk factors. It would seem reasonable, therefore, to map and follow the personal networks of neurology patients. This approach reveals influential people, their habits, and linkage patterns that could facilitate or limit health behaviours. Personal network information can be particularly valuable to enhance risk factor management, medication adherence, and functional recovery. Here, we propose an agenda for research and clinical practice that includes mapping the networks of patients with diverse neurological disorders, evaluating the impact of the networks on patient outcomes, and testing network interventions.&quot;,&quot;publisher&quot;:&quot;Nature Publishing Group&quot;,&quot;issue&quot;:&quot;10&quot;,&quot;volume&quot;:&quot;12&quot;,&quot;container-title-short&quot;:&quot;&quot;},&quot;isTemporary&quot;:false}],&quot;citationTag&quot;:&quot;MENDELEY_CITATION_v3_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&quot;},{&quot;citationID&quot;:&quot;MENDELEY_CITATION_53a37b8d-2c07-437f-b26f-3b1f1515529a&quot;,&quot;properties&quot;:{&quot;noteIndex&quot;:0},&quot;isEdited&quot;:false,&quot;manualOverride&quot;:{&quot;isManuallyOverridden&quot;:true,&quot;citeprocText&quot;:&quot;(Bakvis et al., 2009, 2011; Ludwig et al., 2018; Roelofs &amp;#38; Pasman, 2016)&quot;,&quot;manualOverrideText&quot;:&quot;(Bakvis et al., 2009, 2011; Ludwig et al., 2018; K. Roelofs &amp; Pasman, 2016)&quot;},&quot;citationItems&quot;:[{&quot;id&quot;:&quot;3c24f0e1-88ed-3f1b-b500-698f4c348a0f&quot;,&quot;itemData&quot;:{&quot;type&quot;:&quot;article-journal&quot;,&quot;id&quot;:&quot;3c24f0e1-88ed-3f1b-b500-698f4c348a0f&quot;,&quot;title&quot;:&quot;Trauma, stress, and preconscious threat processing in patients with psychogenic nonepileptic seizures&quot;,&quot;author&quot;:[{&quot;family&quot;:&quot;Bakvis&quot;,&quot;given&quot;:&quot;P&quot;,&quot;parse-names&quot;:false,&quot;dropping-particle&quot;:&quot;&quot;,&quot;non-dropping-particle&quot;:&quot;&quot;},{&quot;family&quot;:&quot;Roelofs&quot;,&quot;given&quot;:&quot;K&quot;,&quot;parse-names&quot;:false,&quot;dropping-particle&quot;:&quot;&quot;,&quot;non-dropping-particle&quot;:&quot;&quot;},{&quot;family&quot;:&quot;Kuyk&quot;,&quot;given&quot;:&quot;J&quot;,&quot;parse-names&quot;:false,&quot;dropping-particle&quot;:&quot;&quot;,&quot;non-dropping-particle&quot;:&quot;&quot;},{&quot;family&quot;:&quot;Edelbroek&quot;,&quot;given&quot;:&quot;P M&quot;,&quot;parse-names&quot;:false,&quot;dropping-particle&quot;:&quot;&quot;,&quot;non-dropping-particle&quot;:&quot;&quot;},{&quot;family&quot;:&quot;Swinkels&quot;,&quot;given&quot;:&quot;W A&quot;,&quot;parse-names&quot;:false,&quot;dropping-particle&quot;:&quot;&quot;,&quot;non-dropping-particle&quot;:&quot;&quot;},{&quot;family&quot;:&quot;Spinhoven&quot;,&quot;given&quot;:&quot;P&quot;,&quot;parse-names&quot;:false,&quot;dropping-particle&quot;:&quot;&quot;,&quot;non-dropping-particle&quot;:&quot;&quot;}],&quot;container-title&quot;:&quot;Epilepsia&quot;,&quot;container-title-short&quot;:&quot;Epilepsia&quot;,&quot;DOI&quot;:&quot;10.1111/j.1528-1167.2008.01862.x&quot;,&quot;ISSN&quot;:&quot;0013-9580&quot;,&quot;PMID&quot;:&quot;19170739&quot;,&quot;issued&quot;:{&quot;date-parts&quot;:[[2009]]},&quot;page&quot;:&quot;1001-1011&quot;,&quot;language&quot;:&quot;eng&quot;,&quot;abstract&quot;:&quot;PURPOSE: Psychogenic nonepileptic seizures (PNES) have long been considered as paroxysmal dissociative symptoms characterized by an alteration of attentional functions caused by severe stress or trauma. Although interpersonal trauma is common in PNES, the proposed relation between trauma and attentional functions remains under explored. We examined the attentional processing of social threat in PNES in relation to interpersonal trauma and acute psychological stress. METHODS: A masked emotional Stroop test, comparing color-naming latencies for backwardly masked angry, neutral, and happy faces, was administered to 19 unmedicated patients with PNES and 20 matched healthy controls, at baseline and in a stress condition. Stress was induced by means of the Trier Social Stress Test and physiologic stress parameters, such as heart rate variability (HRV) and cortisol, were measured throughout the experiment. RESULTS: No group differences related to the acute stress induction were found. Compared to controls, however, patients displayed a positive attentional bias for masked angry faces at baseline, which was correlated to self-reported sexual trauma. Moreover, patients showed lower HRV at baseline and during recovery. DISCUSSION: These findings are suggestive of a state of hypervigilance in patients with PNES. The relation with self-reported trauma, moreover, offers the first evidence linking psychological risk factors to altered information processing in PNES.&quot;,&quot;edition&quot;:&quot;2009/01/28&quot;,&quot;issue&quot;:&quot;5&quot;,&quot;volume&quot;:&quot;50&quot;},&quot;isTemporary&quot;:false},{&quot;id&quot;:&quot;9d760acb-3a66-38f5-8899-b1cb95d9f3a5&quot;,&quot;itemData&quot;:{&quot;type&quot;:&quot;article-journal&quot;,&quot;id&quot;:&quot;9d760acb-3a66-38f5-8899-b1cb95d9f3a5&quot;,&quot;title&quot;:&quot;Automatic avoidance tendencies in patients with Psychogenic Non Epileptic Seizures&quot;,&quot;author&quot;:[{&quot;family&quot;:&quot;Bakvis&quot;,&quot;given&quot;:&quot;Patricia&quot;,&quot;parse-names&quot;:false,&quot;dropping-particle&quot;:&quot;&quot;,&quot;non-dropping-particle&quot;:&quot;&quot;},{&quot;family&quot;:&quot;Spinhoven&quot;,&quot;given&quot;:&quot;Philip&quot;,&quot;parse-names&quot;:false,&quot;dropping-particle&quot;:&quot;&quot;,&quot;non-dropping-particle&quot;:&quot;&quot;},{&quot;family&quot;:&quot;Zitman&quot;,&quot;given&quot;:&quot;F G&quot;,&quot;parse-names&quot;:false,&quot;dropping-particle&quot;:&quot;&quot;,&quot;non-dropping-particle&quot;:&quot;&quot;},{&quot;family&quot;:&quot;Roelofs&quot;,&quot;given&quot;:&quot;Karin&quot;,&quot;parse-names&quot;:false,&quot;dropping-particle&quot;:&quot;&quot;,&quot;non-dropping-particle&quot;:&quot;&quot;}],&quot;container-title&quot;:&quot;Seizure&quot;,&quot;container-title-short&quot;:&quot;Seizure&quot;,&quot;DOI&quot;:&quot;https://doi.org/10.1016/j.seizure.2011.06.006&quot;,&quot;ISSN&quot;:&quot;1059-1311&quot;,&quot;URL&quot;:&quot;http://www.sciencedirect.com/science/article/pii/S1059131111001658&quot;,&quot;issued&quot;:{&quot;date-parts&quot;:[[2011]]},&quot;page&quot;:&quot;628-634&quot;,&quot;abstract&quot;:&quot;Introduction Psychogenic Non Epileptic Seizures (PNES) have been theorized to reflect a learned pattern of avoidant behavior to deal with stressors. Although such observation may be relevant for our understanding of the etiology of PNES, evidence for this theory is largely build on self-report investigations and no studies have systematically tested actual avoidance behavior in patients with PNES. In this study, we tested automatic threat avoidance tendencies in relation to stress and cortisol levels in patients with PNES and healthy controls (HCs). Methods The approach and avoidance (AA) task was administered to 12 patients with PNES and 20 matched HCs at baseline and following stress-induction using the Cold Pressor Test (CPT). The AA task requires participants to evaluate the emotional valence of pictures of angry and happy faces by making arm movements (arm flexion or extension) that are either affect-congruent (avoid-angry; approach-happy) or affect-incongruent (approach-angry; avoid-happy) with their intuitive action tendencies. Saliva cortisol was measured throughout the experiment. Results Patients, but not HCs, showed increased approach-avoidance congruency-effects for angry faces on the AA task at baseline, with relatively slower approach of angry faces, which was overall associated with basal pre-task cortisol. This congruency-effect disappeared after the CPT. Discussion The present findings provide an objective confirmation of previous suggestions from self-report studies indicating that PNES patients show relatively increased avoidance tendencies to social threat cues. The registering of threat avoidance behavior may prove to be a clinically valuable contribution to evaluate psychological treatment effectiveness and perhaps even PNES prognosis.&quot;,&quot;issue&quot;:&quot;8&quot;,&quot;volume&quot;:&quot;20&quot;},&quot;isTemporary&quot;:false},{&quot;id&quot;:&quot;29b8a3db-686a-3be3-8b7a-aae25ad85e52&quot;,&quot;itemData&quot;:{&quot;type&quot;:&quot;article-journal&quot;,&quot;id&quot;:&quot;29b8a3db-686a-3be3-8b7a-aae25ad85e52&quot;,&quot;title&quot;:&quot;Stress, childhood trauma, and cognitive functions in functional neurologic disorders&quot;,&quot;author&quot;:[{&quot;family&quot;:&quot;Roelofs&quot;,&quot;given&quot;:&quot;K&quot;,&quot;parse-names&quot;:false,&quot;dropping-particle&quot;:&quot;&quot;,&quot;non-dropping-particle&quot;:&quot;&quot;},{&quot;family&quot;:&quot;Pasman&quot;,&quot;given&quot;:&quot;J&quot;,&quot;parse-names&quot;:false,&quot;dropping-particle&quot;:&quot;&quot;,&quot;non-dropping-particle&quot;:&quot;&quot;}],&quot;container-title&quot;:&quot;Handb Clin Neurol&quot;,&quot;DOI&quot;:&quot;10.1016/b978-0-12-801772-2.00013-8&quot;,&quot;ISSN&quot;:&quot;0072-9752 (Print)\r0072-9752&quot;,&quot;PMID&quot;:&quot;27719835&quot;,&quot;issued&quot;:{&quot;date-parts&quot;:[[2016]]},&quot;page&quot;:&quot;139-155&quot;,&quot;language&quot;:&quot;eng&quot;,&quot;abstract&quot;:&quot;Conversion disorder (CD) has traditionally been ascribed to psychologic factors such as trauma, stress, or emotional conflict. Although reference to the psychologic origin of CD has been removed from the criteria list in DSM-5, many theories still incorporate CD as originating from adverse events. This chapter provides a critical review of the literature on stressful life events in CD and discusses current cognitive and neurobiologic models linking psychologic stressors with conversion symptomatology. In addition, we propose a neurobiologic stress model integrating those cognitive models with neuroendocrine stress research and propose that stress and stress-induced changes in hypothalamus-pituitary-adrenal (HPA) axis function may result in cognitive alterations, that in turn contribute to experiencing conversion symptoms. Experimental studies indeed suggest that basal as well as stress-induced changes in HPA axis responding lead to alterations in attentional processing in CD. Although those changes are stronger in traumatized patients, similar patterns have been observed in patients who do not report a history of traumatic events. We conclude that, whereas adverse events may play an important role in many cases of CD, a substantial proportion of patients do not report a history of traumatization or recent stressful events. Studies integrating effects of stress on cognitive functioning in CD are scarce. We propose that, instead of focusing research on defining etiologic events in terms of symptom-eliciting events, future research should work towards an integrated mechanistic account, assessing alterations in cognitive and biologic stress systems in an integrated manner in patients with CD. Such an account may not only serve early symptom detection, it might also provide a starting point for better-targeted interventions.&quot;,&quot;edition&quot;:&quot;2016/10/11&quot;,&quot;volume&quot;:&quot;139&quot;,&quot;container-title-short&quot;:&quot;&quot;},&quot;isTemporary&quot;:false},{&quot;id&quot;:&quot;5e062b2e-7f86-30cf-a50a-8244523d9d3d&quot;,&quot;itemData&quot;:{&quot;type&quot;:&quot;article-journal&quot;,&quot;id&quot;:&quot;5e062b2e-7f86-30cf-a50a-8244523d9d3d&quot;,&quot;title&quot;:&quot;Stressful life events and maltreatment in conversion (functional neurological) disorder: systematic review and meta-analysis of case-control studies&quot;,&quot;author&quot;:[{&quot;family&quot;:&quot;Ludwig&quot;,&quot;given&quot;:&quot;Lea&quot;,&quot;parse-names&quot;:false,&quot;dropping-particle&quot;:&quot;&quot;,&quot;non-dropping-particle&quot;:&quot;&quot;},{&quot;family&quot;:&quot;Pasman&quot;,&quot;given&quot;:&quot;Joëlle A&quot;,&quot;parse-names&quot;:false,&quot;dropping-particle&quot;:&quot;&quot;,&quot;non-dropping-particle&quot;:&quot;&quot;},{&quot;family&quot;:&quot;Nicholson&quot;,&quot;given&quot;:&quot;Timothy&quot;,&quot;parse-names&quot;:false,&quot;dropping-particle&quot;:&quot;&quot;,&quot;non-dropping-particle&quot;:&quot;&quot;},{&quot;family&quot;:&quot;Aybek&quot;,&quot;given&quot;:&quot;Selma&quot;,&quot;parse-names&quot;:false,&quot;dropping-particle&quot;:&quot;&quot;,&quot;non-dropping-particle&quot;:&quot;&quot;},{&quot;family&quot;:&quot;David&quot;,&quot;given&quot;:&quot;Anthony S&quot;,&quot;parse-names&quot;:false,&quot;dropping-particle&quot;:&quot;&quot;,&quot;non-dropping-particle&quot;:&quot;&quot;},{&quot;family&quot;:&quot;Tuck&quot;,&quot;given&quot;:&quot;Sharon&quot;,&quot;parse-names&quot;:false,&quot;dropping-particle&quot;:&quot;&quot;,&quot;non-dropping-particle&quot;:&quot;&quot;},{&quot;family&quot;:&quot;Kanaan&quot;,&quot;given&quot;:&quot;Richard A&quot;,&quot;parse-names&quot;:false,&quot;dropping-particle&quot;:&quot;&quot;,&quot;non-dropping-particle&quot;:&quot;&quot;},{&quot;family&quot;:&quot;Roelofs&quot;,&quot;given&quot;:&quot;Karin&quot;,&quot;parse-names&quot;:false,&quot;dropping-particle&quot;:&quot;&quot;,&quot;non-dropping-particle&quot;:&quot;&quot;},{&quot;family&quot;:&quot;Carson&quot;,&quot;given&quot;:&quot;Alan&quot;,&quot;parse-names&quot;:false,&quot;dropping-particle&quot;:&quot;&quot;,&quot;non-dropping-particle&quot;:&quot;&quot;},{&quot;family&quot;:&quot;Stone&quot;,&quot;given&quot;:&quot;Jon&quot;,&quot;parse-names&quot;:false,&quot;dropping-particle&quot;:&quot;&quot;,&quot;non-dropping-particle&quot;:&quot;&quot;}],&quot;container-title&quot;:&quot;The Lancet Psychiatry&quot;,&quot;container-title-short&quot;:&quot;Lancet Psychiatry&quot;,&quot;DOI&quot;:&quot;10.1016/s2215-0366(18)30051-8&quot;,&quot;ISSN&quot;:&quot;2215-0366&quot;,&quot;issued&quot;:{&quot;date-parts&quot;:[[2018]]},&quot;page&quot;:&quot;307-320&quot;,&quot;publisher&quot;:&quot;Elsevier BV&quot;,&quot;issue&quot;:&quot;4&quot;,&quot;volume&quot;:&quot;5&quot;},&quot;isTemporary&quot;:false}],&quot;citationTag&quot;:&quot;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&quot;},{&quot;citationID&quot;:&quot;MENDELEY_CITATION_71311941-445b-4268-aacf-d9c8639b6619&quot;,&quot;properties&quot;:{&quot;noteIndex&quot;:0},&quot;isEdited&quot;:false,&quot;manualOverride&quot;:{&quot;isManuallyOverridden&quot;:false,&quot;citeprocText&quot;:&quot;(Elliott et al., 2011)&quot;,&quot;manualOverrideText&quot;:&quot;&quot;},&quot;citationItems&quot;:[{&quot;id&quot;:&quot;44ac50e2-ae47-3ec4-ae7a-64e5fd5a4071&quot;,&quot;itemData&quot;:{&quot;type&quot;:&quot;article-journal&quot;,&quot;id&quot;:&quot;44ac50e2-ae47-3ec4-ae7a-64e5fd5a4071&quot;,&quot;title&quot;:&quot;The impact of marital status on epilepsy-related health concerns&quot;,&quot;author&quot;:[{&quot;family&quot;:&quot;Elliott&quot;,&quot;given&quot;:&quot;John O.&quot;,&quot;parse-names&quot;:false,&quot;dropping-particle&quot;:&quot;&quot;,&quot;non-dropping-particle&quot;:&quot;&quot;},{&quot;family&quot;:&quot;Charyton&quot;,&quot;given&quot;:&quot;Christine&quot;,&quot;parse-names&quot;:false,&quot;dropping-particle&quot;:&quot;&quot;,&quot;non-dropping-particle&quot;:&quot;&quot;},{&quot;family&quot;:&quot;McAuley&quot;,&quot;given&quot;:&quot;James W.&quot;,&quot;parse-names&quot;:false,&quot;dropping-particle&quot;:&quot;&quot;,&quot;non-dropping-particle&quot;:&quot;&quot;},{&quot;family&quot;:&quot;Shneker&quot;,&quot;given&quot;:&quot;Bassel F.&quot;,&quot;parse-names&quot;:false,&quot;dropping-particle&quot;:&quot;&quot;,&quot;non-dropping-particle&quot;:&quot;&quot;}],&quot;container-title&quot;:&quot;Epilepsy Research&quot;,&quot;container-title-short&quot;:&quot;Epilepsy Res&quot;,&quot;accessed&quot;:{&quot;date-parts&quot;:[[2023,5,11]]},&quot;DOI&quot;:&quot;10.1016/J.EPLEPSYRES.2011.03.016&quot;,&quot;ISSN&quot;:&quot;09201211&quot;,&quot;PMID&quot;:&quot;21530176&quot;,&quot;issued&quot;:{&quot;date-parts&quot;:[[2011,8]]},&quot;page&quot;:&quot;200-206&quot;,&quot;abstract&quot;:&quot;Social support from marriage has been linked with better health outcomes. Persons with epilepsy (PWE) are significantly less likely to be married than persons without epilepsy. No previous studies have examined the impact of marriage on epilepsy-related health concerns. Outpatient PWE (n=267) were asked to identify their top five concerns on the Epilepsy Foundation Concerns Index. After controlling for clinical factors (seizure frequency, age of epilepsy diagnosis and disability status) PWE who were married were significantly less likely to report \&quot; Fear of being injured during a seizure\&quot; Odds Ratio (OR) 0.33, \&quot; Holding down a job\&quot; OR 0.29, \&quot; Getting the work or education you want\&quot; OR 0.29, \&quot; Medical costs of your epilepsy\&quot; OR 0.21 and \&quot; Lack of people's understanding of epilepsy\&quot; OR 0.27. Once we controlled for both clinical factors and demographic factors only one concern \&quot; Medical costs of your epilepsy\&quot; OR 0.24 remained significant. Our findings support several theories examining the health benefits of marriage related to selection, protection and economic resources. PWE are particularly prone to economic disparities due to lower educational attainment and unemployment. Earlier intervention especially for those with childhood onset epilepsy may help mitigate these disparities and their impact on social relationships and marriage. © 2011 Elsevier B.V.&quot;,&quot;issue&quot;:&quot;3&quot;,&quot;volume&quot;:&quot;95&quot;},&quot;isTemporary&quot;:false}],&quot;citationTag&quot;:&quot;MENDELEY_CITATION_v3_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&quot;},{&quot;citationID&quot;:&quot;MENDELEY_CITATION_b432d6ee-e23f-4629-92db-94aae01e794b&quot;,&quot;properties&quot;:{&quot;noteIndex&quot;:0},&quot;isEdited&quot;:false,&quot;manualOverride&quot;:{&quot;isManuallyOverridden&quot;:true,&quot;citeprocText&quot;:&quot;(Reuber et al., 2007)&quot;,&quot;manualOverrideText&quot;:&quot;(Reuber, Howlett, et al., 2007)&quot;},&quot;citationItems&quot;:[{&quot;id&quot;:&quot;c5a09204-5c47-3354-9503-53fb6419ab51&quot;,&quot;itemData&quot;:{&quot;type&quot;:&quot;article-journal&quot;,&quot;id&quot;:&quot;c5a09204-5c47-3354-9503-53fb6419ab51&quot;,&quot;title&quot;:&quot;Non-Epileptic Seizures and Other Functional Neurological Symptoms: Predisposing, Precipitating, and Perpetuating Factors&quot;,&quot;author&quot;:[{&quot;family&quot;:&quot;Reuber&quot;,&quot;given&quot;:&quot;Markus&quot;,&quot;parse-names&quot;:false,&quot;dropping-particle&quot;:&quot;&quot;,&quot;non-dropping-particle&quot;:&quot;&quot;},{&quot;family&quot;:&quot;Howlett&quot;,&quot;given&quot;:&quot;Stephanie&quot;,&quot;parse-names&quot;:false,&quot;dropping-particle&quot;:&quot;&quot;,&quot;non-dropping-particle&quot;:&quot;&quot;},{&quot;family&quot;:&quot;Khan&quot;,&quot;given&quot;:&quot;Ajjaz&quot;,&quot;parse-names&quot;:false,&quot;dropping-particle&quot;:&quot;&quot;,&quot;non-dropping-particle&quot;:&quot;&quot;},{&quot;family&quot;:&quot;Grünewald&quot;,&quot;given&quot;:&quot;Richard&quot;,&quot;parse-names&quot;:false,&quot;dropping-particle&quot;:&quot;&quot;,&quot;non-dropping-particle&quot;:&quot;&quot;}],&quot;container-title&quot;:&quot;Psychosomatics&quot;,&quot;container-title-short&quot;:&quot;Psychosomatics&quot;,&quot;DOI&quot;:&quot;10.1176/appi.psy.48.3.230&quot;,&quot;issued&quot;:{&quot;date-parts&quot;:[[2007]]},&quot;page&quot;:&quot;230-238&quot;,&quot;volume&quot;:&quot;48&quot;},&quot;isTemporary&quot;:false}],&quot;citationTag&quot;:&quot;MENDELEY_CITATION_v3_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&quot;},{&quot;citationID&quot;:&quot;MENDELEY_CITATION_9e874bb4-bea7-471b-8012-7b1ae324ac40&quot;,&quot;properties&quot;:{&quot;noteIndex&quot;:0},&quot;isEdited&quot;:false,&quot;manualOverride&quot;:{&quot;isManuallyOverridden&quot;:true,&quot;citeprocText&quot;:&quot;(Bodde et al., 2007; Gray et al., 2020; Pick et al., 2016; Robson et al., 2018; Vaidya-Mathur et al., 2016)&quot;,&quot;manualOverrideText&quot;:&quot;(N. M. G. Bodde et al., 2007; Gray et al., 2020; Pick et al., 2016; Robson et al., 2018; Vaidya-Mathur et al., 2016)&quot;},&quot;citationItems&quot;:[{&quot;id&quot;:&quot;938af643-ba74-37c7-a8b5-7af5edb7f28c&quot;,&quot;itemData&quot;:{&quot;type&quot;:&quot;article-journal&quot;,&quot;id&quot;:&quot;938af643-ba74-37c7-a8b5-7af5edb7f28c&quot;,&quot;title&quot;:&quot;Health related quality of life of people with non-epileptic seizures: The role of socio-demographic characteristics and stigma&quot;,&quot;author&quot;:[{&quot;family&quot;:&quot;Robson&quot;,&quot;given&quot;:&quot;Catherine&quot;,&quot;parse-names&quot;:false,&quot;dropping-particle&quot;:&quot;&quot;,&quot;non-dropping-particle&quot;:&quot;&quot;},{&quot;family&quot;:&quot;Myers&quot;,&quot;given&quot;:&quot;Lorna&quot;,&quot;parse-names&quot;:false,&quot;dropping-particle&quot;:&quot;&quot;,&quot;non-dropping-particle&quot;:&quot;&quot;},{&quot;family&quot;:&quot;Pretorius&quot;,&quot;given&quot;:&quot;Chrisma&quot;,&quot;parse-names&quot;:false,&quot;dropping-particle&quot;:&quot;&quot;,&quot;non-dropping-particle&quot;:&quot;&quot;},{&quot;family&quot;:&quot;Lian&quot;,&quot;given&quot;:&quot;Olaug S.&quot;,&quot;parse-names&quot;:false,&quot;dropping-particle&quot;:&quot;&quot;,&quot;non-dropping-particle&quot;:&quot;&quot;},{&quot;family&quot;:&quot;Reuber&quot;,&quot;given&quot;:&quot;Markus&quot;,&quot;parse-names&quot;:false,&quot;dropping-particle&quot;:&quot;&quot;,&quot;non-dropping-particle&quot;:&quot;&quot;}],&quot;container-title&quot;:&quot;Seizure&quot;,&quot;container-title-short&quot;:&quot;Seizure&quot;,&quot;accessed&quot;:{&quot;date-parts&quot;:[[2023,5,7]]},&quot;DOI&quot;:&quot;10.1016/J.SEIZURE.2018.01.001&quot;,&quot;ISSN&quot;:&quot;1532-2688&quot;,&quot;PMID&quot;:&quot;29414141&quot;,&quot;URL&quot;:&quot;https://pubmed.ncbi.nlm.nih.gov/29414141/&quot;,&quot;issued&quot;:{&quot;date-parts&quot;:[[2018,2,1]]},&quot;page&quot;:&quot;93-99&quot;,&quot;abstract&quot;:&quot;Purpose: People with non-epileptic seizures (NES) consistently report poorer Health-Related Quality of Life (HRQoL) than people with epilepsy. Yet, unlike in epilepsy, knowledge of how social factors influence the HRQoL of adults with NES is limited. To add to the evidence base, this study explores the relationship between HRQoL and perceived stigma among adults with NES, and the role of socio-demographic characteristics. Methods: Data was gathered from a survey of 115 people living with the condition, recruited from online support groups. Participants provided socio-demographic and health-related data and completed a series of questions investigating their HRQoL (QOLIE-31) and stigma perceptions (10-item Epilepsy Stigma Scale). Results: Participants were found to experience high levels of perceived stigma (median 5.2, mean 4.9). A significant and moderate inverse correlation was observed between HRQoL and stigma (rs − 0.474, p = &lt; 0.001); suggesting higher perceptions of stigma contribute to poorer HRQoL among adults with NES. Stigma perceptions were found to be most strongly associated with the seizure worry (rs = − 0.479), emotional wellbeing (rs = − 0.421), and social functioning (rs = 0.407) HRQoL domains. Participants who reported being in employment or education were found to have significantly better HRQoL than those who were not (p = &lt; 0.001). Conclusion: More (qualitative and quantitative) research is justified to understand how – and why – those with the condition experience stigmatisation, and the factors that impede and help facilitate the participation of people with NES in education and employment.&quot;,&quot;publisher&quot;:&quot;Seizure&quot;,&quot;volume&quot;:&quot;55&quot;},&quot;isTemporary&quot;:false},{&quot;id&quot;:&quot;328f74fc-61dc-3347-87ec-49f3a5ce5d20&quot;,&quot;itemData&quot;:{&quot;type&quot;:&quot;article-journal&quot;,&quot;id&quot;:&quot;328f74fc-61dc-3347-87ec-49f3a5ce5d20&quot;,&quot;title&quot;:&quot;Socialization characteristics in patients with psychogenic nonepileptic seizures (PNES)&quot;,&quot;author&quot;:[{&quot;family&quot;:&quot;Vaidya-Mathur&quot;,&quot;given&quot;:&quot;Urmi&quot;,&quot;parse-names&quot;:false,&quot;dropping-particle&quot;:&quot;&quot;,&quot;non-dropping-particle&quot;:&quot;&quot;},{&quot;family&quot;:&quot;Myers&quot;,&quot;given&quot;:&quot;Lorna&quot;,&quot;parse-names&quot;:false,&quot;dropping-particle&quot;:&quot;&quot;,&quot;non-dropping-particle&quot;:&quot;&quot;},{&quot;family&quot;:&quot;Laban-Grant&quot;,&quot;given&quot;:&quot;Olgica&quot;,&quot;parse-names&quot;:false,&quot;dropping-particle&quot;:&quot;&quot;,&quot;non-dropping-particle&quot;:&quot;&quot;},{&quot;family&quot;:&quot;Lancman&quot;,&quot;given&quot;:&quot;Marcelo&quot;,&quot;parse-names&quot;:false,&quot;dropping-particle&quot;:&quot;&quot;,&quot;non-dropping-particle&quot;:&quot;&quot;},{&quot;family&quot;:&quot;Lancman&quot;,&quot;given&quot;:&quot;Martin&quot;,&quot;parse-names&quot;:false,&quot;dropping-particle&quot;:&quot;&quot;,&quot;non-dropping-particle&quot;:&quot;&quot;},{&quot;family&quot;:&quot;Jones&quot;,&quot;given&quot;:&quot;Jace&quot;,&quot;parse-names&quot;:false,&quot;dropping-particle&quot;:&quot;&quot;,&quot;non-dropping-particle&quot;:&quot;&quot;}],&quot;container-title&quot;:&quot;Epilepsy &amp; behavior : E&amp;B&quot;,&quot;container-title-short&quot;:&quot;Epilepsy Behav&quot;,&quot;accessed&quot;:{&quot;date-parts&quot;:[[2023,5,7]]},&quot;DOI&quot;:&quot;10.1016/J.YEBEH.2015.12.032&quot;,&quot;ISSN&quot;:&quot;1525-5069&quot;,&quot;PMID&quot;:&quot;26844647&quot;,&quot;URL&quot;:&quot;https://pubmed.ncbi.nlm.nih.gov/26844647/&quot;,&quot;issued&quot;:{&quot;date-parts&quot;:[[2016]]},&quot;page&quot;:&quot;59-65&quot;,&quot;abstract&quot;:&quot;Objective The purpose of this study was to describe social behaviors and preferences in adults with psychogenic nonepileptic seizures (PNES) including self-reported use of various socialization mediums (face-to-face and indirect communication) as well as perceived social barriers. Methods One hundred forty-one consecutive patients with a diagnosis of PNES that was later confirmed through inpatient video-EEG monitoring were administered a questionnaire on the day of their first outpatient appointment. The questionnaire was designed to assess preferences in socialization practices, frequency of interpersonal contact, use of social media, and perceived barriers to socialization. The survey was developed to gain a better understanding of the socialization behaviors and preferences of our patients for the future development of customized activities in our wellness program. Results Contrary to prevalent assumptions that patients with PNES tend to be socially isolated, our responders reported that they were in fact quite socially connected (72.2% reported daily communication with friends and family via telephone, 68.54% saw relatives in person weekly, 65.28% saw friends weekly, and 51.2% reported using the computer daily to socialize). Facebook was the preferred online social media. Indoor/solitary activities were most common with 57.44% stating that they watch TV/read/use the computer. The primary barriers to socialization that respondents endorsed were driving prohibition and medication side effects. Respondents expressed the greatest interest in online support groups or educational programs (29.46%), office-based support groups (28.57%), and volunteering (23.21%). Conclusion Although it has been speculated that social isolation is a significant problem for patients with PNES, considerable participation in social activities was reported. Characteristics of socialization practices may be more nuanced than first believed. When addressing therapeutic interventions with this group of patients in the future, it might be beneficial to offer both distance-based options as well as face-to-face options for treatment and support depending on age and personal preference.&quot;,&quot;publisher&quot;:&quot;Epilepsy Behav&quot;,&quot;volume&quot;:&quot;56&quot;},&quot;isTemporary&quot;:false},{&quot;id&quot;:&quot;295489a3-3684-3d2e-9fe3-1c71c422ec2e&quot;,&quot;itemData&quot;:{&quot;type&quot;:&quot;article-journal&quot;,&quot;id&quot;:&quot;295489a3-3684-3d2e-9fe3-1c71c422ec2e&quot;,&quot;title&quot;:&quot;Factors involved in the long-term prognosis of psychogenic nonepileptic seizures&quot;,&quot;author&quot;:[{&quot;family&quot;:&quot;Bodde&quot;,&quot;given&quot;:&quot;Nynke M.G.&quot;,&quot;parse-names&quot;:false,&quot;dropping-particle&quot;:&quot;&quot;,&quot;non-dropping-particle&quot;:&quot;&quot;},{&quot;family&quot;:&quot;Janssen&quot;,&quot;given&quot;:&quot;August M.A.J.&quot;,&quot;parse-names&quot;:false,&quot;dropping-particle&quot;:&quot;&quot;,&quot;non-dropping-particle&quot;:&quot;&quot;},{&quot;family&quot;:&quot;Theuns&quot;,&quot;given&quot;:&quot;Cees&quot;,&quot;parse-names&quot;:false,&quot;dropping-particle&quot;:&quot;&quot;,&quot;non-dropping-particle&quot;:&quot;&quot;},{&quot;family&quot;:&quot;Vanhoutvin&quot;,&quot;given&quot;:&quot;Joseph F.G.&quot;,&quot;parse-names&quot;:false,&quot;dropping-particle&quot;:&quot;&quot;,&quot;non-dropping-particle&quot;:&quot;&quot;},{&quot;family&quot;:&quot;Boon&quot;,&quot;given&quot;:&quot;Paul A.J.M.&quot;,&quot;parse-names&quot;:false,&quot;dropping-particle&quot;:&quot;&quot;,&quot;non-dropping-particle&quot;:&quot;&quot;},{&quot;family&quot;:&quot;Aldenkamp&quot;,&quot;given&quot;:&quot;Albert P.&quot;,&quot;parse-names&quot;:false,&quot;dropping-particle&quot;:&quot;&quot;,&quot;non-dropping-particle&quot;:&quot;&quot;}],&quot;container-title&quot;:&quot;Journal of Psychosomatic Research&quot;,&quot;container-title-short&quot;:&quot;J Psychosom Res&quot;,&quot;accessed&quot;:{&quot;date-parts&quot;:[[2023,5,12]]},&quot;DOI&quot;:&quot;10.1016/J.JPSYCHORES.2006.11.015&quot;,&quot;ISSN&quot;:&quot;0022-3999&quot;,&quot;PMID&quot;:&quot;17467409&quot;,&quot;issued&quot;:{&quot;date-parts&quot;:[[2007,5,1]]},&quot;page&quot;:&quot;545-551&quot;,&quot;abstract&quot;:&quot;Introduction: Information on the long-term effects of psychogenic nonepileptic seizures (PNES) is limited. We therefore reassessed 22 patients 4-6 years after the initial diagnosis of PNES in a tertiary referral epilepsy center. The diagnosis was confirmed using clinical description and additional electroencephalogram investigations in 1998, 1999, and 2000. Patients with epilepsy and PNES as comorbid symptoms were not included. Reassessments were aimed at seizure reduction and possible psychogenic factors. Methods: Three psychological tests were used at baseline at the time of diagnosis and repeated at end point. These three tests assessed different \&quot;levels\&quot; of psychological function [i.e., complaints (The Symptoms Check List Revised), coping strategy (The Dissociation Questionnaire), and personality factors/psychopathology Nederlandse Verkorte MMPI]. Results: Twenty-two patients were included. Seizure frequency showed statistically significant reduction. At the time of diagnosis, none of the patients was seizure-free or had only yearly seizures, whereas at end point, 7 of 22 patients were completely in remission and 3 patients had only occasional seizures. The number of patients with daily seizures dropped from nine to two. It has not been fully clarified which factors caused this improvement, but the common denominators are that a definitive expert diagnosis in a tertiary center was made and all possible efforts were made to inform the patient in a respectful manner about the diagnosis. In addition to seizure reduction, there was improvement on different levels of psychological function, showing reduction in psychological distress, reduction in dissociative features such as amnesia, increase in self-control, reduction in feelings of dissatisfaction and passive avoidant behavior, and a more active attitude towards social contact. Conclusion: In the long term, the patients with PNES who were included in our study have more self-control and approach social contact with a more self-confident attitude. This does not necessary reflect a causal relationship with the observed seizure reduction. Nonetheless, it is noteworthy that, post aut propter, the eradication of a symptom (i.e., seizures) with social consequences is followed by or is associated with a more confident social attitude. This opens possibilities for treatment strategies. © 2007 Elsevier Inc. All rights reserved.&quot;,&quot;publisher&quot;:&quot;Elsevier&quot;,&quot;issue&quot;:&quot;5&quot;,&quot;volume&quot;:&quot;62&quot;},&quot;isTemporary&quot;:false},{&quot;id&quot;:&quot;10e679e8-d27d-378c-b34f-984a9bef858e&quot;,&quot;itemData&quot;:{&quot;type&quot;:&quot;article-journal&quot;,&quot;id&quot;:&quot;10e679e8-d27d-378c-b34f-984a9bef858e&quot;,&quot;title&quot;:&quot;Emotion and dissociative seizures: A phenomenological analysis of patients' perspectives&quot;,&quot;author&quot;:[{&quot;family&quot;:&quot;Pick&quot;,&quot;given&quot;:&quot;S&quot;,&quot;parse-names&quot;:false,&quot;dropping-particle&quot;:&quot;&quot;,&quot;non-dropping-particle&quot;:&quot;&quot;},{&quot;family&quot;:&quot;Mellers&quot;,&quot;given&quot;:&quot;J D&quot;,&quot;parse-names&quot;:false,&quot;dropping-particle&quot;:&quot;&quot;,&quot;non-dropping-particle&quot;:&quot;&quot;},{&quot;family&quot;:&quot;Goldstein&quot;,&quot;given&quot;:&quot;L H&quot;,&quot;parse-names&quot;:false,&quot;dropping-particle&quot;:&quot;&quot;,&quot;non-dropping-particle&quot;:&quot;&quot;}],&quot;container-title&quot;:&quot;Epilepsy Behav&quot;,&quot;DOI&quot;:&quot;10.1016/j.yebeh.2015.12.010&quot;,&quot;ISSN&quot;:&quot;1525-5050&quot;,&quot;PMID&quot;:&quot;26799918&quot;,&quot;issued&quot;:{&quot;date-parts&quot;:[[2016]]},&quot;page&quot;:&quot;5-14&quot;,&quot;language&quot;:&quot;eng&quot;,&quot;abstract&quot;:&quot;Quantitative research has indicated that patients with dissociative seizures (DS) show altered responses to emotional stimuli, in addition to considerable emotional distress and dysregulation. The present study sought to further explore emotional processes in this population, to extend previous findings, and to provide a phenomenological insight into patients' perspectives on these issues. Semistructured interviews were carried out with 15 patients with DS, and the principles of interpretative phenomenological analysis (IPA) were adopted in data analysis. Key themes elicited included: i) general emotional functioning; ii) adverse (stressful/traumatic) life experiences; iii) the role of emotions in DS; iv) relating to others; and v) resilience, protective factors, and coping mechanisms. The clinical and theoretical implications of the findings are discussed.&quot;,&quot;edition&quot;:&quot;2016/01/23&quot;,&quot;volume&quot;:&quot;56&quot;,&quot;container-title-short&quot;:&quot;&quot;},&quot;isTemporary&quot;:false},{&quot;id&quot;:&quot;13cdc8b2-f486-3c92-aa2e-745438c6fbbd&quot;,&quot;itemData&quot;:{&quot;type&quot;:&quot;article-journal&quot;,&quot;id&quot;:&quot;13cdc8b2-f486-3c92-aa2e-745438c6fbbd&quot;,&quot;title&quot;:&quot;Symptoms of posttraumatic stress disorder in patients with functional neurological symptom disorder&quot;,&quot;author&quot;:[{&quot;family&quot;:&quot;Gray&quot;,&quot;given&quot;:&quot;C&quot;,&quot;parse-names&quot;:false,&quot;dropping-particle&quot;:&quot;&quot;,&quot;non-dropping-particle&quot;:&quot;&quot;},{&quot;family&quot;:&quot;Calderbank&quot;,&quot;given&quot;:&quot;A&quot;,&quot;parse-names&quot;:false,&quot;dropping-particle&quot;:&quot;&quot;,&quot;non-dropping-particle&quot;:&quot;&quot;},{&quot;family&quot;:&quot;Adewusi&quot;,&quot;given&quot;:&quot;J&quot;,&quot;parse-names&quot;:false,&quot;dropping-particle&quot;:&quot;&quot;,&quot;non-dropping-particle&quot;:&quot;&quot;},{&quot;family&quot;:&quot;Hughes&quot;,&quot;given&quot;:&quot;R&quot;,&quot;parse-names&quot;:false,&quot;dropping-particle&quot;:&quot;&quot;,&quot;non-dropping-particle&quot;:&quot;&quot;},{&quot;family&quot;:&quot;Reuber&quot;,&quot;given&quot;:&quot;M&quot;,&quot;parse-names&quot;:false,&quot;dropping-particle&quot;:&quot;&quot;,&quot;non-dropping-particle&quot;:&quot;&quot;}],&quot;container-title&quot;:&quot;J Psychosom Res&quot;,&quot;DOI&quot;:&quot;10.1016/j.jpsychores.2019.109907&quot;,&quot;ISSN&quot;:&quot;0022-3999&quot;,&quot;PMID&quot;:&quot;31901839&quot;,&quot;issued&quot;:{&quot;date-parts&quot;:[[2020]]},&quot;page&quot;:&quot;109907&quot;,&quot;language&quot;:&quot;eng&quot;,&quot;abstract&quot;:&quot;OBJECTIVE: To describe prevalence and relevance of Post-Traumatic Stress Disorder (PTSD) symptoms in Functional Neurological Symptom Disorder (FNSD) and explore differences in PTSD symptom scores between subgroups with Psychogenic Non-Epileptic Seizures (PNES) or other FNSD. METHODS: This cross-sectional study evaluated data from 430 consecutive patients referred to a specialist psychotherapy service (69.3% female, 56% with PNES/44% with other FNSD). We analysed self-reported symptoms of Post-Traumatic Stress Disorder (PTSD Civilian Checklist, PCLC), depression (PHQ-9), anxiety (GAD-7), physical symptoms (PHQ-15), social functioning (WSAS), and health related quality of life (SF-36). Relationships between PTSD scores, diagnosis and other measures were examined. Independent associations of PTSD scores were identified using multilinear regression. RESULTS: Symptom scores likely to indicate clinical PTSD were reported by 60.7% of patients with no difference between PNES and FNSD subgroups. Those potentially symptomatic of PTSD were less likely to be living with a partner OR 2.95 (95% CI 1.83-4.04), or to be in employment OR 2.23 (95% CI 1.46-3.41) than less symptomatic patients. There were higher levels of anxiety (r = 0.62), depression (r = 0.63) and somatic symptoms (r = 0.45) and lower quality of life scores (r = 0.48) in patients with high PTSD symptom scores (p &lt; .0001 for all comparisons). Anxiety, depression and somatic symptoms made independent contributions to the variance of PTSD symptoms. CONCLUSION: There is a high prevalence of PTSD symptoms in patient with FNSD regardless of whether they have PNES. Trauma and PTSD symptoms are negatively correlated with quality of life. Self-report instruments for anxiety, depression and somatic symptoms may predict the presence of PTSD.&quot;,&quot;edition&quot;:&quot;2020/01/07&quot;,&quot;volume&quot;:&quot;129&quot;},&quot;isTemporary&quot;:false}],&quot;citationTag&quot;:&quot;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&quot;},{&quot;citationID&quot;:&quot;MENDELEY_CITATION_94c70df4-c3b6-42ee-9bfb-b39b9a2908c1&quot;,&quot;properties&quot;:{&quot;noteIndex&quot;:0},&quot;isEdited&quot;:false,&quot;manualOverride&quot;:{&quot;isManuallyOverridden&quot;:false,&quot;citeprocText&quot;:&quot;(Vaidya-Mathur et al., 2016)&quot;,&quot;manualOverrideText&quot;:&quot;&quot;},&quot;citationItems&quot;:[{&quot;id&quot;:&quot;328f74fc-61dc-3347-87ec-49f3a5ce5d20&quot;,&quot;itemData&quot;:{&quot;type&quot;:&quot;article-journal&quot;,&quot;id&quot;:&quot;328f74fc-61dc-3347-87ec-49f3a5ce5d20&quot;,&quot;title&quot;:&quot;Socialization characteristics in patients with psychogenic nonepileptic seizures (PNES)&quot;,&quot;author&quot;:[{&quot;family&quot;:&quot;Vaidya-Mathur&quot;,&quot;given&quot;:&quot;Urmi&quot;,&quot;parse-names&quot;:false,&quot;dropping-particle&quot;:&quot;&quot;,&quot;non-dropping-particle&quot;:&quot;&quot;},{&quot;family&quot;:&quot;Myers&quot;,&quot;given&quot;:&quot;Lorna&quot;,&quot;parse-names&quot;:false,&quot;dropping-particle&quot;:&quot;&quot;,&quot;non-dropping-particle&quot;:&quot;&quot;},{&quot;family&quot;:&quot;Laban-Grant&quot;,&quot;given&quot;:&quot;Olgica&quot;,&quot;parse-names&quot;:false,&quot;dropping-particle&quot;:&quot;&quot;,&quot;non-dropping-particle&quot;:&quot;&quot;},{&quot;family&quot;:&quot;Lancman&quot;,&quot;given&quot;:&quot;Marcelo&quot;,&quot;parse-names&quot;:false,&quot;dropping-particle&quot;:&quot;&quot;,&quot;non-dropping-particle&quot;:&quot;&quot;},{&quot;family&quot;:&quot;Lancman&quot;,&quot;given&quot;:&quot;Martin&quot;,&quot;parse-names&quot;:false,&quot;dropping-particle&quot;:&quot;&quot;,&quot;non-dropping-particle&quot;:&quot;&quot;},{&quot;family&quot;:&quot;Jones&quot;,&quot;given&quot;:&quot;Jace&quot;,&quot;parse-names&quot;:false,&quot;dropping-particle&quot;:&quot;&quot;,&quot;non-dropping-particle&quot;:&quot;&quot;}],&quot;container-title&quot;:&quot;Epilepsy &amp; behavior : E&amp;B&quot;,&quot;container-title-short&quot;:&quot;Epilepsy Behav&quot;,&quot;accessed&quot;:{&quot;date-parts&quot;:[[2023,5,7]]},&quot;DOI&quot;:&quot;10.1016/J.YEBEH.2015.12.032&quot;,&quot;ISSN&quot;:&quot;1525-5069&quot;,&quot;PMID&quot;:&quot;26844647&quot;,&quot;URL&quot;:&quot;https://pubmed.ncbi.nlm.nih.gov/26844647/&quot;,&quot;issued&quot;:{&quot;date-parts&quot;:[[2016]]},&quot;page&quot;:&quot;59-65&quot;,&quot;abstract&quot;:&quot;Objective The purpose of this study was to describe social behaviors and preferences in adults with psychogenic nonepileptic seizures (PNES) including self-reported use of various socialization mediums (face-to-face and indirect communication) as well as perceived social barriers. Methods One hundred forty-one consecutive patients with a diagnosis of PNES that was later confirmed through inpatient video-EEG monitoring were administered a questionnaire on the day of their first outpatient appointment. The questionnaire was designed to assess preferences in socialization practices, frequency of interpersonal contact, use of social media, and perceived barriers to socialization. The survey was developed to gain a better understanding of the socialization behaviors and preferences of our patients for the future development of customized activities in our wellness program. Results Contrary to prevalent assumptions that patients with PNES tend to be socially isolated, our responders reported that they were in fact quite socially connected (72.2% reported daily communication with friends and family via telephone, 68.54% saw relatives in person weekly, 65.28% saw friends weekly, and 51.2% reported using the computer daily to socialize). Facebook was the preferred online social media. Indoor/solitary activities were most common with 57.44% stating that they watch TV/read/use the computer. The primary barriers to socialization that respondents endorsed were driving prohibition and medication side effects. Respondents expressed the greatest interest in online support groups or educational programs (29.46%), office-based support groups (28.57%), and volunteering (23.21%). Conclusion Although it has been speculated that social isolation is a significant problem for patients with PNES, considerable participation in social activities was reported. Characteristics of socialization practices may be more nuanced than first believed. When addressing therapeutic interventions with this group of patients in the future, it might be beneficial to offer both distance-based options as well as face-to-face options for treatment and support depending on age and personal preference.&quot;,&quot;publisher&quot;:&quot;Epilepsy Behav&quot;,&quot;volume&quot;:&quot;56&quot;},&quot;isTemporary&quot;:false}],&quot;citationTag&quot;:&quot;MENDELEY_CITATION_v3_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&quot;},{&quot;citationID&quot;:&quot;MENDELEY_CITATION_21d0aefe-542d-4b24-b38f-afd2418294b9&quot;,&quot;properties&quot;:{&quot;noteIndex&quot;:0},&quot;isEdited&quot;:false,&quot;manualOverride&quot;:{&quot;isManuallyOverridden&quot;:false,&quot;citeprocText&quot;:&quot;(Asadi-Pooya et al., 2021)&quot;,&quot;manualOverrideText&quot;:&quot;&quot;},&quot;citationItems&quot;:[{&quot;id&quot;:&quot;68b1323f-e848-3f3d-b64d-8e3da8bf9f1d&quot;,&quot;itemData&quot;:{&quot;type&quot;:&quot;article-journal&quot;,&quot;id&quot;:&quot;68b1323f-e848-3f3d-b64d-8e3da8bf9f1d&quot;,&quot;title&quot;:&quot;Social aspects of life in patients with functional seizures: Closing the gap in the biopsychosocial formulation&quot;,&quot;author&quot;:[{&quot;family&quot;:&quot;Asadi-Pooya&quot;,&quot;given&quot;:&quot;Ali A.&quot;,&quot;parse-names&quot;:false,&quot;dropping-particle&quot;:&quot;&quot;,&quot;non-dropping-particle&quot;:&quot;&quot;},{&quot;family&quot;:&quot;Brigo&quot;,&quot;given&quot;:&quot;Francesco&quot;,&quot;parse-names&quot;:false,&quot;dropping-particle&quot;:&quot;&quot;,&quot;non-dropping-particle&quot;:&quot;&quot;},{&quot;family&quot;:&quot;Kozlowska&quot;,&quot;given&quot;:&quot;Kasia&quot;,&quot;parse-names&quot;:false,&quot;dropping-particle&quot;:&quot;&quot;,&quot;non-dropping-particle&quot;:&quot;&quot;},{&quot;family&quot;:&quot;Perez&quot;,&quot;given&quot;:&quot;David L.&quot;,&quot;parse-names&quot;:false,&quot;dropping-particle&quot;:&quot;&quot;,&quot;non-dropping-particle&quot;:&quot;&quot;},{&quot;family&quot;:&quot;Pretorius&quot;,&quot;given&quot;:&quot;Chrisma&quot;,&quot;parse-names&quot;:false,&quot;dropping-particle&quot;:&quot;&quot;,&quot;non-dropping-particle&quot;:&quot;&quot;},{&quot;family&quot;:&quot;Sawchuk&quot;,&quot;given&quot;:&quot;Tyson&quot;,&quot;parse-names&quot;:false,&quot;dropping-particle&quot;:&quot;&quot;,&quot;non-dropping-particle&quot;:&quot;&quot;},{&quot;family&quot;:&quot;Saxena&quot;,&quot;given&quot;:&quot;Aneeta&quot;,&quot;parse-names&quot;:false,&quot;dropping-particle&quot;:&quot;&quot;,&quot;non-dropping-particle&quot;:&quot;&quot;},{&quot;family&quot;:&quot;Tolchin&quot;,&quot;given&quot;:&quot;Benjamin&quot;,&quot;parse-names&quot;:false,&quot;dropping-particle&quot;:&quot;&quot;,&quot;non-dropping-particle&quot;:&quot;&quot;},{&quot;family&quot;:&quot;Valente&quot;,&quot;given&quot;:&quot;Kette D.&quot;,&quot;parse-names&quot;:false,&quot;dropping-particle&quot;:&quot;&quot;,&quot;non-dropping-particle&quot;:&quot;&quot;}],&quot;container-title&quot;:&quot;Epilepsy &amp; Behavior&quot;,&quot;accessed&quot;:{&quot;date-parts&quot;:[[2023,5,11]]},&quot;DOI&quot;:&quot;10.1016/J.YEBEH.2021.107903&quot;,&quot;ISSN&quot;:&quot;1525-5050&quot;,&quot;PMID&quot;:&quot;33740497&quot;,&quot;issued&quot;:{&quot;date-parts&quot;:[[2021,4,1]]},&quot;page&quot;:&quot;107903&quot;,&quot;abstract&quot;:&quot;The human, as a biological system, is an open system embedded within larger systems —including the family, culture, and socio-political environment. In this context, a patient with functional seizures (FS) is embedded in relationships, educational/professional institutions, culture, and society. Both connection to these broader systems and the quality of these connections, as well as the soundness of each system in and of itself, influence the health and well-being of patients in positive or negative ways. The social aspects of life are important determinants of health and quality of life across the lifespan. The current narrative review brings out several overarching themes in patients with FS. Sections on attachment, marriage, social networking, and stigma highlight the central roles of supportive and affirmative relationships across the lifespan. The section on education underscores the importance of keeping children and youth with FS connected within their school environments, as well as managing any barriers – learning difficulties, school response to FS events, stigma, etc.—that can diminish this connection. Finally, the sections on employment and driving highlight the value of being an active participant in one's society. In summary, FS impacts patients across most social aspects of life domains regardless of age — factors that are important when developing biopsychosocial formulations. This review concludes that the multidisciplinary management of FS requires careful assessment of social aspects of life in patients which can then be targeted for treatment, to improve their quality of life, facilitating recovery, and reducing the risk of relapse.&quot;,&quot;publisher&quot;:&quot;Academic Press&quot;,&quot;volume&quot;:&quot;117&quot;,&quot;container-title-short&quot;:&quot;&quot;},&quot;isTemporary&quot;:false}],&quot;citationTag&quot;:&quot;MENDELEY_CITATION_v3_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&quot;},{&quot;citationID&quot;:&quot;MENDELEY_CITATION_bb12349c-e393-450b-8ea7-ddd91c7f71d7&quot;,&quot;properties&quot;:{&quot;noteIndex&quot;:0},&quot;isEdited&quot;:false,&quot;manualOverride&quot;:{&quot;isManuallyOverridden&quot;:true,&quot;citeprocText&quot;:&quot;(Reuber et al., 2007)&quot;,&quot;manualOverrideText&quot;:&quot;(Reuber, Howlett, et al., 2007)&quot;},&quot;citationItems&quot;:[{&quot;id&quot;:&quot;c5a09204-5c47-3354-9503-53fb6419ab51&quot;,&quot;itemData&quot;:{&quot;type&quot;:&quot;article-journal&quot;,&quot;id&quot;:&quot;c5a09204-5c47-3354-9503-53fb6419ab51&quot;,&quot;title&quot;:&quot;Non-Epileptic Seizures and Other Functional Neurological Symptoms: Predisposing, Precipitating, and Perpetuating Factors&quot;,&quot;author&quot;:[{&quot;family&quot;:&quot;Reuber&quot;,&quot;given&quot;:&quot;Markus&quot;,&quot;parse-names&quot;:false,&quot;dropping-particle&quot;:&quot;&quot;,&quot;non-dropping-particle&quot;:&quot;&quot;},{&quot;family&quot;:&quot;Howlett&quot;,&quot;given&quot;:&quot;Stephanie&quot;,&quot;parse-names&quot;:false,&quot;dropping-particle&quot;:&quot;&quot;,&quot;non-dropping-particle&quot;:&quot;&quot;},{&quot;family&quot;:&quot;Khan&quot;,&quot;given&quot;:&quot;Ajjaz&quot;,&quot;parse-names&quot;:false,&quot;dropping-particle&quot;:&quot;&quot;,&quot;non-dropping-particle&quot;:&quot;&quot;},{&quot;family&quot;:&quot;Grünewald&quot;,&quot;given&quot;:&quot;Richard&quot;,&quot;parse-names&quot;:false,&quot;dropping-particle&quot;:&quot;&quot;,&quot;non-dropping-particle&quot;:&quot;&quot;}],&quot;container-title&quot;:&quot;Psychosomatics&quot;,&quot;container-title-short&quot;:&quot;Psychosomatics&quot;,&quot;DOI&quot;:&quot;10.1176/appi.psy.48.3.230&quot;,&quot;issued&quot;:{&quot;date-parts&quot;:[[2007]]},&quot;page&quot;:&quot;230-238&quot;,&quot;volume&quot;:&quot;48&quot;},&quot;isTemporary&quot;:false}],&quot;citationTag&quot;:&quot;MENDELEY_CITATION_v3_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&quot;},{&quot;citationID&quot;:&quot;MENDELEY_CITATION_fe5396e1-8503-4a4a-84b5-afd19b0a9aab&quot;,&quot;properties&quot;:{&quot;noteIndex&quot;:0},&quot;isEdited&quot;:false,&quot;manualOverride&quot;:{&quot;isManuallyOverridden&quot;:false,&quot;citeprocText&quot;:&quot;(Engel, 1977)&quot;,&quot;manualOverrideText&quot;:&quot;&quot;},&quot;citationItems&quot;:[{&quot;id&quot;:&quot;7452da47-3025-33ed-89ac-e6f57bf066fc&quot;,&quot;itemData&quot;:{&quot;type&quot;:&quot;article-journal&quot;,&quot;id&quot;:&quot;7452da47-3025-33ed-89ac-e6f57bf066fc&quot;,&quot;title&quot;:&quot;The Need for a New Medical Model: A Challenge for Biomedicine&quot;,&quot;author&quot;:[{&quot;family&quot;:&quot;Engel&quot;,&quot;given&quot;:&quot;George L.&quot;,&quot;parse-names&quot;:false,&quot;dropping-particle&quot;:&quot;&quot;,&quot;non-dropping-particle&quot;:&quot;&quot;}],&quot;container-title&quot;:&quot;Science&quot;,&quot;container-title-short&quot;:&quot;Science (1979)&quot;,&quot;accessed&quot;:{&quot;date-parts&quot;:[[2023,5,12]]},&quot;DOI&quot;:&quot;10.1126/SCIENCE.847460&quot;,&quot;ISSN&quot;:&quot;00368075&quot;,&quot;PMID&quot;:&quot;847460&quot;,&quot;URL&quot;:&quot;https://www.science.org/doi/10.1126/science.847460&quot;,&quot;issued&quot;:{&quot;date-parts&quot;:[[1977]]},&quot;page&quot;:&quot;129-136&quot;,&quot;abstract&quot;:&quot;The dominant model of disease today is biomedical, and it leaves no room within its framework for the social, psychological, and behavioral dimensions of illness. A biopsychosocial model is propose...&quot;,&quot;publisher&quot;:&quot;\n        American Association for the Advancement of Science\n      &quot;,&quot;issue&quot;:&quot;4286&quot;,&quot;volume&quot;:&quot;196&quot;},&quot;isTemporary&quot;:false}],&quot;citationTag&quot;:&quot;MENDELEY_CITATION_v3_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&quot;},{&quot;citationID&quot;:&quot;MENDELEY_CITATION_64691c31-d03f-44af-80c3-f47c30fab068&quot;,&quot;properties&quot;:{&quot;noteIndex&quot;:0},&quot;isEdited&quot;:false,&quot;manualOverride&quot;:{&quot;isManuallyOverridden&quot;:false,&quot;citeprocText&quot;:&quot;(Brugha, 2010)&quot;,&quot;manualOverrideText&quot;:&quot;&quot;},&quot;citationItems&quot;:[{&quot;id&quot;:&quot;99586ea9-3fb2-3752-a097-5ec1c1ab511f&quot;,&quot;itemData&quot;:{&quot;type&quot;:&quot;article-journal&quot;,&quot;id&quot;:&quot;99586ea9-3fb2-3752-a097-5ec1c1ab511f&quot;,&quot;title&quot;:&quot;Social Support&quot;,&quot;author&quot;:[{&quot;family&quot;:&quot;Brugha&quot;,&quot;given&quot;:&quot;Traolach S.&quot;,&quot;parse-names&quot;:false,&quot;dropping-particle&quot;:&quot;&quot;,&quot;non-dropping-particle&quot;:&quot;&quot;}],&quot;container-title&quot;:&quot;Principles of Social Psychiatry: Second Edition&quot;,&quot;accessed&quot;:{&quot;date-parts&quot;:[[2023,5,12]]},&quot;DOI&quot;:&quot;10.1002/9780470684214.CH35&quot;,&quot;ISBN&quot;:&quot;9780470697139&quot;,&quot;URL&quot;:&quot;https://onlinelibrary.wiley.com/doi/full/10.1002/9780470684214.ch35&quot;,&quot;issued&quot;:{&quot;date-parts&quot;:[[2010,3,28]]},&quot;page&quot;:&quot;461-476&quot;,&quot;publisher&quot;:&quot;John Wiley &amp; Sons, Ltd&quot;,&quot;container-title-short&quot;:&quot;&quot;},&quot;isTemporary&quot;:false}],&quot;citationTag&quot;:&quot;MENDELEY_CITATION_v3_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&quot;},{&quot;citationID&quot;:&quot;MENDELEY_CITATION_f8189179-6294-4a86-b546-3c226597b23d&quot;,&quot;properties&quot;:{&quot;noteIndex&quot;:0},&quot;isEdited&quot;:false,&quot;manualOverride&quot;:{&quot;isManuallyOverridden&quot;:false,&quot;citeprocText&quot;:&quot;(Fobian &amp;#38; Elliott, 2019)&quot;,&quot;manualOverrideText&quot;:&quot;&quot;},&quot;citationItems&quot;:[{&quot;id&quot;:&quot;97510102-d3fc-37ca-8abe-137482457d4a&quot;,&quot;itemData&quot;:{&quot;type&quot;:&quot;article-journal&quot;,&quot;id&quot;:&quot;97510102-d3fc-37ca-8abe-137482457d4a&quot;,&quot;title&quot;:&quot;A review of functional neurological symptom disorder etiology and the integrated etiological summary model&quot;,&quot;author&quot;:[{&quot;family&quot;:&quot;Fobian&quot;,&quot;given&quot;:&quot;Aaron D.&quot;,&quot;parse-names&quot;:false,&quot;dropping-particle&quot;:&quot;&quot;,&quot;non-dropping-particle&quot;:&quot;&quot;},{&quot;family&quot;:&quot;Elliott&quot;,&quot;given&quot;:&quot;Lindsey&quot;,&quot;parse-names&quot;:false,&quot;dropping-particle&quot;:&quot;&quot;,&quot;non-dropping-particle&quot;:&quot;&quot;}],&quot;container-title&quot;:&quot;Journal of Psychiatry &amp; Neuroscience : JPN&quot;,&quot;container-title-short&quot;:&quot;J Psychiatry Neurosci&quot;,&quot;accessed&quot;:{&quot;date-parts&quot;:[[2023,4,13]]},&quot;DOI&quot;:&quot;10.1503/JPN.170190&quot;,&quot;ISSN&quot;:&quot;14882434&quot;,&quot;PMID&quot;:&quot;30565902&quot;,&quot;URL&quot;:&quot;/pmc/articles/PMC6306282/&quot;,&quot;issued&quot;:{&quot;date-parts&quot;:[[2019]]},&quot;page&quot;:&quot;8&quot;,&quot;abstract&quot;:&quot;Functional neurological symptom disorder (FNSD) is characterized by neurological symptoms that are unexplained by other traditional neurological or medical conditions. Both physicians and patients have limited understanding of FNSD, which is often explained as a physical manifestation of psychological distress. Recently, diagnostic criteria have shifted from requiring a preceding stressor to relying on positive symptoms. Given this shift, we have provided a review of the etiology of FNSD. Predisposing factors include trauma or psychiatric symptoms, somatic symptoms, illness exposure, symptom monitoring and neurobiological factors. Neurobiological research has indicated that patients with FNSD have a decreased sense of agency and abnormal attentional focus on the affected area, both of which are modulated by beliefs and expectations about illness. Sick role and secondary gain may reinforce and maintain FNSD. The integrated etiological summary model combines research from various fields and other recent etiological models to represent the current understanding of FNSD etiology. It discusses a potential causal mechanism and informs future research and treatment.&quot;,&quot;publisher&quot;:&quot;Canadian Medical Association&quot;,&quot;issue&quot;:&quot;1&quot;,&quot;volume&quot;:&quot;44&quot;},&quot;isTemporary&quot;:false}],&quot;citationTag&quot;:&quot;MENDELEY_CITATION_v3_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&quot;},{&quot;citationID&quot;:&quot;MENDELEY_CITATION_2f0b4478-bf38-4cb7-abcc-a1bf70b721d9&quot;,&quot;properties&quot;:{&quot;noteIndex&quot;:0},&quot;isEdited&quot;:false,&quot;manualOverride&quot;:{&quot;isManuallyOverridden&quot;:true,&quot;citeprocText&quot;:&quot;(Ospina et al., 2019)&quot;,&quot;manualOverrideText&quot;:&quot;(Ospina, Jalilianhasanpour, et al., 2019)&quot;},&quot;citationItems&quot;:[{&quot;id&quot;:&quot;2bdbeee9-03be-3c18-a1e9-b1a8ae5b4986&quot;,&quot;itemData&quot;:{&quot;type&quot;:&quot;article-journal&quot;,&quot;id&quot;:&quot;2bdbeee9-03be-3c18-a1e9-b1a8ae5b4986&quot;,&quot;title&quot;:&quot;The role of the anterior and midcingulate cortex in the neurobiology of functional neurologic disorder&quot;,&quot;author&quot;:[{&quot;family&quot;:&quot;Ospina&quot;,&quot;given&quot;:&quot;J P&quot;,&quot;parse-names&quot;:false,&quot;dropping-particle&quot;:&quot;&quot;,&quot;non-dropping-particle&quot;:&quot;&quot;},{&quot;family&quot;:&quot;Jalilianhasanpour&quot;,&quot;given&quot;:&quot;R&quot;,&quot;parse-names&quot;:false,&quot;dropping-particle&quot;:&quot;&quot;,&quot;non-dropping-particle&quot;:&quot;&quot;},{&quot;family&quot;:&quot;Perez&quot;,&quot;given&quot;:&quot;D L&quot;,&quot;parse-names&quot;:false,&quot;dropping-particle&quot;:&quot;&quot;,&quot;non-dropping-particle&quot;:&quot;&quot;}],&quot;container-title&quot;:&quot;Handb Clin Neurol&quot;,&quot;DOI&quot;:&quot;10.1016/b978-0-444-64196-0.00014-5&quot;,&quot;ISSN&quot;:&quot;0072-9752 (Print)\r0072-9752&quot;,&quot;PMID&quot;:&quot;31731915&quot;,&quot;issued&quot;:{&quot;date-parts&quot;:[[2019]]},&quot;page&quot;:&quot;267-279&quot;,&quot;language&quot;:&quot;eng&quot;,&quot;abstract&quot;:&quot;Functional neurologic disorder (FND)/conversion disorder is a prevalent and disabling condition at the intersection of neurology and psychiatry. Clinicians often report feeling ill-equipped treating patients with FND, perpetuated by a historically limited understanding of neurobiologic disease mechanisms. In this review, we summarize the neuroimaging literature across the spectrum of sensorimotor FND, including functional imaging studies during rest, sensorimotor performance, and emotional-processing tasks as well as structural magnetic resonance imaging findings. Particular attention is given to studies implicating the anterior and middle cingulate cortex and related salience network structures (insula, amygdala, and periaqueductal gray) in the neurobiology of FND. Neuroimaging studies identify cingulo-insular functional alterations during rest, motor performance, and emotion processing in FND populations. The literature also supports that patients with FND exhibit heightened amygdalar and periaqueductal gray reactivity to emotionally valenced stimuli, enhanced coupling between amygdalar and motor control areas, and increased amygdalar volumes. The structural neuroimaging literature also implicates cingulo-insular areas in the pathophysiology of FND, though these findings require replication and clarification. While more research is needed to fully elucidate the pathophysiology of FND, salience network alterations appear present in some FND populations and can be contextualized using biopsychosocial models for FND.&quot;,&quot;edition&quot;:&quot;2019/11/17&quot;,&quot;volume&quot;:&quot;166&quot;,&quot;container-title-short&quot;:&quot;&quot;},&quot;isTemporary&quot;:false}],&quot;citationTag&quot;:&quot;MENDELEY_CITATION_v3_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&quot;},{&quot;citationID&quot;:&quot;MENDELEY_CITATION_e90077c1-6046-41f2-b7c6-cf5e2d27c9b8&quot;,&quot;properties&quot;:{&quot;noteIndex&quot;:0},&quot;isEdited&quot;:false,&quot;manualOverride&quot;:{&quot;isManuallyOverridden&quot;:true,&quot;citeprocText&quot;:&quot;(Bodde et al., 2007)&quot;,&quot;manualOverrideText&quot;:&quot;(N. M. G. Bodde et al., 2007)&quot;},&quot;citationItems&quot;:[{&quot;id&quot;:&quot;295489a3-3684-3d2e-9fe3-1c71c422ec2e&quot;,&quot;itemData&quot;:{&quot;type&quot;:&quot;article-journal&quot;,&quot;id&quot;:&quot;295489a3-3684-3d2e-9fe3-1c71c422ec2e&quot;,&quot;title&quot;:&quot;Factors involved in the long-term prognosis of psychogenic nonepileptic seizures&quot;,&quot;author&quot;:[{&quot;family&quot;:&quot;Bodde&quot;,&quot;given&quot;:&quot;Nynke M.G.&quot;,&quot;parse-names&quot;:false,&quot;dropping-particle&quot;:&quot;&quot;,&quot;non-dropping-particle&quot;:&quot;&quot;},{&quot;family&quot;:&quot;Janssen&quot;,&quot;given&quot;:&quot;August M.A.J.&quot;,&quot;parse-names&quot;:false,&quot;dropping-particle&quot;:&quot;&quot;,&quot;non-dropping-particle&quot;:&quot;&quot;},{&quot;family&quot;:&quot;Theuns&quot;,&quot;given&quot;:&quot;Cees&quot;,&quot;parse-names&quot;:false,&quot;dropping-particle&quot;:&quot;&quot;,&quot;non-dropping-particle&quot;:&quot;&quot;},{&quot;family&quot;:&quot;Vanhoutvin&quot;,&quot;given&quot;:&quot;Joseph F.G.&quot;,&quot;parse-names&quot;:false,&quot;dropping-particle&quot;:&quot;&quot;,&quot;non-dropping-particle&quot;:&quot;&quot;},{&quot;family&quot;:&quot;Boon&quot;,&quot;given&quot;:&quot;Paul A.J.M.&quot;,&quot;parse-names&quot;:false,&quot;dropping-particle&quot;:&quot;&quot;,&quot;non-dropping-particle&quot;:&quot;&quot;},{&quot;family&quot;:&quot;Aldenkamp&quot;,&quot;given&quot;:&quot;Albert P.&quot;,&quot;parse-names&quot;:false,&quot;dropping-particle&quot;:&quot;&quot;,&quot;non-dropping-particle&quot;:&quot;&quot;}],&quot;container-title&quot;:&quot;Journal of Psychosomatic Research&quot;,&quot;container-title-short&quot;:&quot;J Psychosom Res&quot;,&quot;accessed&quot;:{&quot;date-parts&quot;:[[2023,5,12]]},&quot;DOI&quot;:&quot;10.1016/J.JPSYCHORES.2006.11.015&quot;,&quot;ISSN&quot;:&quot;0022-3999&quot;,&quot;PMID&quot;:&quot;17467409&quot;,&quot;issued&quot;:{&quot;date-parts&quot;:[[2007,5,1]]},&quot;page&quot;:&quot;545-551&quot;,&quot;abstract&quot;:&quot;Introduction: Information on the long-term effects of psychogenic nonepileptic seizures (PNES) is limited. We therefore reassessed 22 patients 4-6 years after the initial diagnosis of PNES in a tertiary referral epilepsy center. The diagnosis was confirmed using clinical description and additional electroencephalogram investigations in 1998, 1999, and 2000. Patients with epilepsy and PNES as comorbid symptoms were not included. Reassessments were aimed at seizure reduction and possible psychogenic factors. Methods: Three psychological tests were used at baseline at the time of diagnosis and repeated at end point. These three tests assessed different \&quot;levels\&quot; of psychological function [i.e., complaints (The Symptoms Check List Revised), coping strategy (The Dissociation Questionnaire), and personality factors/psychopathology Nederlandse Verkorte MMPI]. Results: Twenty-two patients were included. Seizure frequency showed statistically significant reduction. At the time of diagnosis, none of the patients was seizure-free or had only yearly seizures, whereas at end point, 7 of 22 patients were completely in remission and 3 patients had only occasional seizures. The number of patients with daily seizures dropped from nine to two. It has not been fully clarified which factors caused this improvement, but the common denominators are that a definitive expert diagnosis in a tertiary center was made and all possible efforts were made to inform the patient in a respectful manner about the diagnosis. In addition to seizure reduction, there was improvement on different levels of psychological function, showing reduction in psychological distress, reduction in dissociative features such as amnesia, increase in self-control, reduction in feelings of dissatisfaction and passive avoidant behavior, and a more active attitude towards social contact. Conclusion: In the long term, the patients with PNES who were included in our study have more self-control and approach social contact with a more self-confident attitude. This does not necessary reflect a causal relationship with the observed seizure reduction. Nonetheless, it is noteworthy that, post aut propter, the eradication of a symptom (i.e., seizures) with social consequences is followed by or is associated with a more confident social attitude. This opens possibilities for treatment strategies. © 2007 Elsevier Inc. All rights reserved.&quot;,&quot;publisher&quot;:&quot;Elsevier&quot;,&quot;issue&quot;:&quot;5&quot;,&quot;volume&quot;:&quot;62&quot;},&quot;isTemporary&quot;:false}],&quot;citationTag&quot;:&quot;MENDELEY_CITATION_v3_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&quot;},{&quot;citationID&quot;:&quot;MENDELEY_CITATION_9e1e8df7-f393-4cdc-beaf-7388113b8717&quot;,&quot;properties&quot;:{&quot;noteIndex&quot;:0},&quot;isEdited&quot;:false,&quot;manualOverride&quot;:{&quot;isManuallyOverridden&quot;:false,&quot;citeprocText&quot;:&quot;(Ahern et al., 2009)&quot;,&quot;manualOverrideText&quot;:&quot;&quot;},&quot;citationItems&quot;:[{&quot;id&quot;:&quot;af45247b-3fce-38cd-8308-48e0a9ad7f22&quot;,&quot;itemData&quot;:{&quot;type&quot;:&quot;article-journal&quot;,&quot;id&quot;:&quot;af45247b-3fce-38cd-8308-48e0a9ad7f22&quot;,&quot;title&quot;:&quot;Attitudes of neuroscience nurses toward patients with conversion symptoms&quot;,&quot;author&quot;:[{&quot;family&quot;:&quot;Ahern&quot;,&quot;given&quot;:&quot;Lisa&quot;,&quot;parse-names&quot;:false,&quot;dropping-particle&quot;:&quot;&quot;,&quot;non-dropping-particle&quot;:&quot;&quot;},{&quot;family&quot;:&quot;Stone&quot;,&quot;given&quot;:&quot;Jon&quot;,&quot;parse-names&quot;:false,&quot;dropping-particle&quot;:&quot;&quot;,&quot;non-dropping-particle&quot;:&quot;&quot;},{&quot;family&quot;:&quot;Sharpe&quot;,&quot;given&quot;:&quot;Michael C.&quot;,&quot;parse-names&quot;:false,&quot;dropping-particle&quot;:&quot;&quot;,&quot;non-dropping-particle&quot;:&quot;&quot;}],&quot;container-title&quot;:&quot;Psychosomatics&quot;,&quot;container-title-short&quot;:&quot;Psychosomatics&quot;,&quot;accessed&quot;:{&quot;date-parts&quot;:[[2023,5,11]]},&quot;DOI&quot;:&quot;10.1176/APPI.PSY.50.4.336&quot;,&quot;ISSN&quot;:&quot;1545-7206&quot;,&quot;PMID&quot;:&quot;19687173&quot;,&quot;URL&quot;:&quot;https://pubmed.ncbi.nlm.nih.gov/19687173/&quot;,&quot;issued&quot;:{&quot;date-parts&quot;:[[2009]]},&quot;page&quot;:&quot;336-339&quot;,&quot;abstract&quot;:&quot;Background: Patients with conversion symptoms on neurology wards often report negative interactions with nursing staff. Objective/Method: The authors therefore systematically studied, by means of an anonymous questionnaire, the attitudes of neuroscience nurses (N 68) toward these patients. Results: Negative attitudes were common: 16% disagreed that conversion symptoms were \&quot;real;\&quot; 46% thought the patients were \&quot;manipulative;\&quot; and 34% disagreed that neurology was \&quot;an appropriate place\&quot; for these patients. Levels of self-perceived knowledge were low. Conclusion: These negative attitudes toward patients are likely to impair effective management. Illness beliefs of patients with conversion symptoms need to be understood in the context of the beliefs of the health professionals looking after them. © 2009 The Academy of Psychosomatic Medicine.&quot;,&quot;publisher&quot;:&quot;Psychosomatics&quot;,&quot;issue&quot;:&quot;4&quot;,&quot;volume&quot;:&quot;50&quot;},&quot;isTemporary&quot;:false}],&quot;citationTag&quot;:&quot;MENDELEY_CITATION_v3_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&quot;},{&quot;citationID&quot;:&quot;MENDELEY_CITATION_758f4255-9eba-4c34-bf6c-dfc26e69310a&quot;,&quot;properties&quot;:{&quot;noteIndex&quot;:0},&quot;isEdited&quot;:false,&quot;manualOverride&quot;:{&quot;isManuallyOverridden&quot;:false,&quot;citeprocText&quot;:&quot;(Pick et al., 2016; Shahwan et al., 2022)&quot;,&quot;manualOverrideText&quot;:&quot;&quot;},&quot;citationItems&quot;:[{&quot;id&quot;:&quot;64178ff6-745c-3c29-bed1-5c597d6883b6&quot;,&quot;itemData&quot;:{&quot;type&quot;:&quot;article-journal&quot;,&quot;id&quot;:&quot;64178ff6-745c-3c29-bed1-5c597d6883b6&quot;,&quot;title&quot;:&quot;Strategies to Reduce Mental Illness Stigma: Perspectives of People with Lived Experience and Caregivers&quot;,&quot;author&quot;:[{&quot;family&quot;:&quot;Shahwan&quot;,&quot;given&quot;:&quot;Shazana&quot;,&quot;parse-names&quot;:false,&quot;dropping-particle&quot;:&quot;&quot;,&quot;non-dropping-particle&quot;:&quot;&quot;},{&quot;family&quot;:&quot;Goh&quot;,&quot;given&quot;:&quot;Chong Min Janrius&quot;,&quot;parse-names&quot;:false,&quot;dropping-particle&quot;:&quot;&quot;,&quot;non-dropping-particle&quot;:&quot;&quot;},{&quot;family&quot;:&quot;Tan&quot;,&quot;given&quot;:&quot;Gregory Tee Hng&quot;,&quot;parse-names&quot;:false,&quot;dropping-particle&quot;:&quot;&quot;,&quot;non-dropping-particle&quot;:&quot;&quot;},{&quot;family&quot;:&quot;Ong&quot;,&quot;given&quot;:&quot;Wei Jie&quot;,&quot;parse-names&quot;:false,&quot;dropping-particle&quot;:&quot;&quot;,&quot;non-dropping-particle&quot;:&quot;&quot;},{&quot;family&quot;:&quot;Chong&quot;,&quot;given&quot;:&quot;Siow Ann&quot;,&quot;parse-names&quot;:false,&quot;dropping-particle&quot;:&quot;&quot;,&quot;non-dropping-particle&quot;:&quot;&quot;},{&quot;family&quot;:&quot;Subramaniam&quot;,&quot;given&quot;:&quot;Mythily&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3,5,7]]},&quot;DOI&quot;:&quot;10.3390/IJERPH19031632&quot;,&quot;ISSN&quot;:&quot;16604601&quot;,&quot;PMID&quot;:&quot;35162655&quot;,&quot;URL&quot;:&quot;/pmc/articles/PMC8835394/&quot;,&quot;issued&quot;:{&quot;date-parts&quot;:[[2022,2,1]]},&quot;abstract&quot;:&quot;Background: Reducing the stigma surrounding mental illness is a global public health priority. Traditionally, anti-stigma campaigns were led by mental health professionals/organisations and had an emphasis on increasing mental health literacy. More recently, it has been argued that people with lived experience have much to contribute in terms of extending and strengthening these efforts. The purpose of this paper was to elicit views and suggestions from people with lived experience (PWLE) as well as from informal caregivers of people with mental health conditions, on effective strategies to combat the stigma surrounding mental illness. Methods: Six focus group discussions (FGDs) were carried out with PWLE recruited at outpatient services at the Institute of Mental Health, Singapore, and five FGDs were carried out with informal caregivers who responded to advertisements for the study between March and November 2018. In all, the sample comprised 42 PWLE and 31 caregivers. All the FGDs were transcribed verbatim and were analysed using thematic analysis. A pragmatic approach was adopted for the study, and the researchers did not assume any particular philosophical orientation. Results: Four overarching themes depicting strategies to combat stigma were identified through thematic analysis. They were (1) raising mental health aware-ness, (2) social contact, (3) advocacy by influential figures or groups, and (4) the legislation of anti-discriminatory laws. Conclusions: These strategies were in line with approaches that have been used internationally to disrupt the process of stigma. Our study has further identified nuanced details on how these strategies can be carried out as well as possible areas of priority in the Singapore landscape.&quot;,&quot;publisher&quot;:&quot;Multidisciplinary Digital Publishing Institute  (MDPI)&quot;,&quot;issue&quot;:&quot;3&quot;,&quot;volume&quot;:&quot;19&quot;},&quot;isTemporary&quot;:false},{&quot;id&quot;:&quot;10e679e8-d27d-378c-b34f-984a9bef858e&quot;,&quot;itemData&quot;:{&quot;type&quot;:&quot;article-journal&quot;,&quot;id&quot;:&quot;10e679e8-d27d-378c-b34f-984a9bef858e&quot;,&quot;title&quot;:&quot;Emotion and dissociative seizures: A phenomenological analysis of patients' perspectives&quot;,&quot;author&quot;:[{&quot;family&quot;:&quot;Pick&quot;,&quot;given&quot;:&quot;S&quot;,&quot;parse-names&quot;:false,&quot;dropping-particle&quot;:&quot;&quot;,&quot;non-dropping-particle&quot;:&quot;&quot;},{&quot;family&quot;:&quot;Mellers&quot;,&quot;given&quot;:&quot;J D&quot;,&quot;parse-names&quot;:false,&quot;dropping-particle&quot;:&quot;&quot;,&quot;non-dropping-particle&quot;:&quot;&quot;},{&quot;family&quot;:&quot;Goldstein&quot;,&quot;given&quot;:&quot;L H&quot;,&quot;parse-names&quot;:false,&quot;dropping-particle&quot;:&quot;&quot;,&quot;non-dropping-particle&quot;:&quot;&quot;}],&quot;container-title&quot;:&quot;Epilepsy Behav&quot;,&quot;DOI&quot;:&quot;10.1016/j.yebeh.2015.12.010&quot;,&quot;ISSN&quot;:&quot;1525-5050&quot;,&quot;PMID&quot;:&quot;26799918&quot;,&quot;issued&quot;:{&quot;date-parts&quot;:[[2016]]},&quot;page&quot;:&quot;5-14&quot;,&quot;language&quot;:&quot;eng&quot;,&quot;abstract&quot;:&quot;Quantitative research has indicated that patients with dissociative seizures (DS) show altered responses to emotional stimuli, in addition to considerable emotional distress and dysregulation. The present study sought to further explore emotional processes in this population, to extend previous findings, and to provide a phenomenological insight into patients' perspectives on these issues. Semistructured interviews were carried out with 15 patients with DS, and the principles of interpretative phenomenological analysis (IPA) were adopted in data analysis. Key themes elicited included: i) general emotional functioning; ii) adverse (stressful/traumatic) life experiences; iii) the role of emotions in DS; iv) relating to others; and v) resilience, protective factors, and coping mechanisms. The clinical and theoretical implications of the findings are discussed.&quot;,&quot;edition&quot;:&quot;2016/01/23&quot;,&quot;volume&quot;:&quot;56&quot;,&quot;container-title-short&quot;:&quot;&quot;},&quot;isTemporary&quot;:false}],&quot;citationTag&quot;:&quot;MENDELEY_CITATION_v3_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&quot;},{&quot;citationID&quot;:&quot;MENDELEY_CITATION_6ef837c5-cda1-46cd-baee-488c6de3e147&quot;,&quot;properties&quot;:{&quot;noteIndex&quot;:0},&quot;isEdited&quot;:false,&quot;manualOverride&quot;:{&quot;isManuallyOverridden&quot;:false,&quot;citeprocText&quot;:&quot;(Robson et al., 2018)&quot;,&quot;manualOverrideText&quot;:&quot;&quot;},&quot;citationItems&quot;:[{&quot;id&quot;:&quot;938af643-ba74-37c7-a8b5-7af5edb7f28c&quot;,&quot;itemData&quot;:{&quot;type&quot;:&quot;article-journal&quot;,&quot;id&quot;:&quot;938af643-ba74-37c7-a8b5-7af5edb7f28c&quot;,&quot;title&quot;:&quot;Health related quality of life of people with non-epileptic seizures: The role of socio-demographic characteristics and stigma&quot;,&quot;author&quot;:[{&quot;family&quot;:&quot;Robson&quot;,&quot;given&quot;:&quot;Catherine&quot;,&quot;parse-names&quot;:false,&quot;dropping-particle&quot;:&quot;&quot;,&quot;non-dropping-particle&quot;:&quot;&quot;},{&quot;family&quot;:&quot;Myers&quot;,&quot;given&quot;:&quot;Lorna&quot;,&quot;parse-names&quot;:false,&quot;dropping-particle&quot;:&quot;&quot;,&quot;non-dropping-particle&quot;:&quot;&quot;},{&quot;family&quot;:&quot;Pretorius&quot;,&quot;given&quot;:&quot;Chrisma&quot;,&quot;parse-names&quot;:false,&quot;dropping-particle&quot;:&quot;&quot;,&quot;non-dropping-particle&quot;:&quot;&quot;},{&quot;family&quot;:&quot;Lian&quot;,&quot;given&quot;:&quot;Olaug S.&quot;,&quot;parse-names&quot;:false,&quot;dropping-particle&quot;:&quot;&quot;,&quot;non-dropping-particle&quot;:&quot;&quot;},{&quot;family&quot;:&quot;Reuber&quot;,&quot;given&quot;:&quot;Markus&quot;,&quot;parse-names&quot;:false,&quot;dropping-particle&quot;:&quot;&quot;,&quot;non-dropping-particle&quot;:&quot;&quot;}],&quot;container-title&quot;:&quot;Seizure&quot;,&quot;container-title-short&quot;:&quot;Seizure&quot;,&quot;accessed&quot;:{&quot;date-parts&quot;:[[2023,5,7]]},&quot;DOI&quot;:&quot;10.1016/J.SEIZURE.2018.01.001&quot;,&quot;ISSN&quot;:&quot;1532-2688&quot;,&quot;PMID&quot;:&quot;29414141&quot;,&quot;URL&quot;:&quot;https://pubmed.ncbi.nlm.nih.gov/29414141/&quot;,&quot;issued&quot;:{&quot;date-parts&quot;:[[2018,2,1]]},&quot;page&quot;:&quot;93-99&quot;,&quot;abstract&quot;:&quot;Purpose: People with non-epileptic seizures (NES) consistently report poorer Health-Related Quality of Life (HRQoL) than people with epilepsy. Yet, unlike in epilepsy, knowledge of how social factors influence the HRQoL of adults with NES is limited. To add to the evidence base, this study explores the relationship between HRQoL and perceived stigma among adults with NES, and the role of socio-demographic characteristics. Methods: Data was gathered from a survey of 115 people living with the condition, recruited from online support groups. Participants provided socio-demographic and health-related data and completed a series of questions investigating their HRQoL (QOLIE-31) and stigma perceptions (10-item Epilepsy Stigma Scale). Results: Participants were found to experience high levels of perceived stigma (median 5.2, mean 4.9). A significant and moderate inverse correlation was observed between HRQoL and stigma (rs − 0.474, p = &lt; 0.001); suggesting higher perceptions of stigma contribute to poorer HRQoL among adults with NES. Stigma perceptions were found to be most strongly associated with the seizure worry (rs = − 0.479), emotional wellbeing (rs = − 0.421), and social functioning (rs = 0.407) HRQoL domains. Participants who reported being in employment or education were found to have significantly better HRQoL than those who were not (p = &lt; 0.001). Conclusion: More (qualitative and quantitative) research is justified to understand how – and why – those with the condition experience stigmatisation, and the factors that impede and help facilitate the participation of people with NES in education and employment.&quot;,&quot;publisher&quot;:&quot;Seizure&quot;,&quot;volume&quot;:&quot;55&quot;},&quot;isTemporary&quot;:false}],&quot;citationTag&quot;:&quot;MENDELEY_CITATION_v3_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&quot;},{&quot;citationID&quot;:&quot;MENDELEY_CITATION_cf899f8f-9c4e-435f-92a4-d40a6ebdeaf0&quot;,&quot;properties&quot;:{&quot;noteIndex&quot;:0},&quot;isEdited&quot;:false,&quot;manualOverride&quot;:{&quot;isManuallyOverridden&quot;:false,&quot;citeprocText&quot;:&quot;(Tenny et al., 2022)&quot;,&quot;manualOverrideText&quot;:&quot;&quot;},&quot;citationItems&quot;:[{&quot;id&quot;:&quot;e723a0d9-afab-3c16-a6d7-8b3afd7aa27e&quot;,&quot;itemData&quot;:{&quot;type&quot;:&quot;article-journal&quot;,&quot;id&quot;:&quot;e723a0d9-afab-3c16-a6d7-8b3afd7aa27e&quot;,&quot;title&quot;:&quot;Qualitative Study&quot;,&quot;author&quot;:[{&quot;family&quot;:&quot;Tenny&quot;,&quot;given&quot;:&quot;Steven&quot;,&quot;parse-names&quot;:false,&quot;dropping-particle&quot;:&quot;&quot;,&quot;non-dropping-particle&quot;:&quot;&quot;},{&quot;family&quot;:&quot;Brannan&quot;,&quot;given&quot;:&quot;Janelle M.&quot;,&quot;parse-names&quot;:false,&quot;dropping-particle&quot;:&quot;&quot;,&quot;non-dropping-particle&quot;:&quot;&quot;},{&quot;family&quot;:&quot;Brannan&quot;,&quot;given&quot;:&quot;Grace D.&quot;,&quot;parse-names&quot;:false,&quot;dropping-particle&quot;:&quot;&quot;,&quot;non-dropping-particle&quot;:&quot;&quot;}],&quot;accessed&quot;:{&quot;date-parts&quot;:[[2023,5,25]]},&quot;PMID&quot;:&quot;29262162&quot;,&quot;URL&quot;:&quot;https://www.ncbi.nlm.nih.gov/books/NBK470395/&quot;,&quot;issued&quot;:{&quot;date-parts&quot;:[[2022,9,18]]},&quot;abstract&quot;:&quot;Qualitative research is a type of research that explores and provides deeper insights into real-world problems.[1] Instead of collecting numerical data points or intervene or introduce treatments just like in quantitative research, qualitative research helps generate hypotheses as well as further investigate and understand quantitative data. Qualitative research gathers participants' experiences, perceptions, and behavior. It answers the hows and whys instead of how many or how much. It could be structured as a stand-alone study, purely relying on qualitative data or it could be part of mixed-methods research that combines qualitative and quantitative data. This review introduces the readers to some basic concepts, definitions, terminology, and application of qualitative research.\n\nQualitative research at its core, ask open-ended questions whose answers are not easily put into numbers such as ‘how’ and ‘why’.[2] Due to the open-ended nature of the research questions at hand, qualitative research design is often not linear in the same way quantitative design is.[2] One of the strengths of qualitative research is its ability to explain processes and patterns of human behavior that can be difficult to quantify.[3] Phenomena such as experiences, attitudes, and behaviors can be difficult to accurately capture quantitatively, whereas a qualitative approach allows participants themselves to explain how, why, or what they were thinking, feeling, and experiencing at a certain time or during an event of interest. Quantifying qualitative data certainly is possible, but at its core, qualitative data is looking for themes and patterns that can be difficult to quantify and it is important to ensure that the context and narrative of qualitative work are not lost by trying to quantify something that is not meant to be quantified.\n\nHowever, while qualitative research is sometimes placed in opposition to quantitative research, where they are necessarily opposites and therefore ‘compete’ against each other and the philosophical paradigms associated with each, qualitative and quantitative work are not necessarily opposites nor are they incompatible.[4] While qualitative and quantitative approaches are different, they are not necessarily opposites, and they are certainly not mutually exclusive. For instance, qualitative research can help expand and deepen understanding of data or results obtained from quantitative analysis. For example, say a quantitative analysis has determined that there is a correlation between length of stay and level of patient satisfaction, but why does this correlation exist? This dual-focus scenario shows one way in which qualitative and quantitative research could be integrated together.&quot;,&quot;publisher&quot;:&quot;StatPearls Publishing&quot;,&quot;container-title-short&quot;:&quot;&quot;},&quot;isTemporary&quot;:false}],&quot;citationTag&quot;:&quot;MENDELEY_CITATION_v3_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&quot;},{&quot;citationID&quot;:&quot;MENDELEY_CITATION_7566014d-f4b9-42c4-8032-091ec8acc9eb&quot;,&quot;properties&quot;:{&quot;noteIndex&quot;:0},&quot;isEdited&quot;:false,&quot;manualOverride&quot;:{&quot;isManuallyOverridden&quot;:true,&quot;citeprocText&quot;:&quot;(Greenfield et al., 2020; Krieg et al., 2016; Moe et al., 2017; &lt;i&gt;NHS England » Next Steps in Increasing Capacity and Operational Resilience in Urgent and Emergency Care Ahead of Winter&lt;/i&gt;, n.d.; &lt;i&gt;NHS England » Technical Guidance for Refreshing NHS Plans 2018/19 Annex A: Commissioning for Quality and Innovation (CQUIN) Indicator Specification 2017-2019&lt;/i&gt;, n.d.)&quot;,&quot;manualOverrideText&quot;:&quot;(Greenfield et al., 2020; Krieg et al., 2016; Moe et al., 2017; NHS England ; NHS England. 2017-2019; 2018/2019)&quot;},&quot;citationItems&quot;:[{&quot;id&quot;:&quot;ab7c0827-3a71-394a-acd0-27d05c5aac79&quot;,&quot;itemData&quot;:{&quot;type&quot;:&quot;webpage&quot;,&quot;id&quot;:&quot;ab7c0827-3a71-394a-acd0-27d05c5aac79&quot;,&quot;title&quot;:&quot;NHS England » Next steps in increasing capacity and operational resilience in urgent and emergency care ahead of winter&quot;,&quot;accessed&quot;:{&quot;date-parts&quot;:[[2023,6,7]]},&quot;URL&quot;:&quot;https://www.england.nhs.uk/long-read/next-steps-in-increasing-capacity-and-operational-resilience-in-urgent-and-emergency-care-ahead-of-winter/&quot;,&quot;container-title-short&quot;:&quot;&quot;},&quot;isTemporary&quot;:false},{&quot;id&quot;:&quot;e366a801-af33-3a44-b0ea-dd0bb6e47d14&quot;,&quot;itemData&quot;:{&quot;type&quot;:&quot;webpage&quot;,&quot;id&quot;:&quot;e366a801-af33-3a44-b0ea-dd0bb6e47d14&quot;,&quot;title&quot;:&quot;NHS England » Technical guidance for refreshing NHS Plans 2018/19 annex A: Commissioning for Quality and Innovation (CQUIN) indicator specification 2017-2019&quot;,&quot;accessed&quot;:{&quot;date-parts&quot;:[[2023,6,7]]},&quot;URL&quot;:&quot;https://www.england.nhs.uk/publication/cquin-indicator-specification/&quot;,&quot;container-title-short&quot;:&quot;&quot;},&quot;isTemporary&quot;:false},{&quot;id&quot;:&quot;43fada00-d565-3bbe-8775-3b13fc681759&quot;,&quot;itemData&quot;:{&quot;type&quot;:&quot;article-journal&quot;,&quot;id&quot;:&quot;43fada00-d565-3bbe-8775-3b13fc681759&quot;,&quot;title&quot;:&quot;Effectiveness of Interventions to Decrease Emergency Department Visits by Adult Frequent Users: A Systematic Review&quot;,&quot;author&quot;:[{&quot;family&quot;:&quot;Moe&quot;,&quot;given&quot;:&quot;Jessica&quot;,&quot;parse-names&quot;:false,&quot;dropping-particle&quot;:&quot;&quot;,&quot;non-dropping-particle&quot;:&quot;&quot;},{&quot;family&quot;:&quot;Kirkland&quot;,&quot;given&quot;:&quot;Scott W.&quot;,&quot;parse-names&quot;:false,&quot;dropping-particle&quot;:&quot;&quot;,&quot;non-dropping-particle&quot;:&quot;&quot;},{&quot;family&quot;:&quot;Rawe&quot;,&quot;given&quot;:&quot;Erin&quot;,&quot;parse-names&quot;:false,&quot;dropping-particle&quot;:&quot;&quot;,&quot;non-dropping-particle&quot;:&quot;&quot;},{&quot;family&quot;:&quot;Ospina&quot;,&quot;given&quot;:&quot;Maria B.&quot;,&quot;parse-names&quot;:false,&quot;dropping-particle&quot;:&quot;&quot;,&quot;non-dropping-particle&quot;:&quot;&quot;},{&quot;family&quot;:&quot;Vandermeer&quot;,&quot;given&quot;:&quot;Ben&quot;,&quot;parse-names&quot;:false,&quot;dropping-particle&quot;:&quot;&quot;,&quot;non-dropping-particle&quot;:&quot;&quot;},{&quot;family&quot;:&quot;Campbell&quot;,&quot;given&quot;:&quot;Sandy&quot;,&quot;parse-names&quot;:false,&quot;dropping-particle&quot;:&quot;&quot;,&quot;non-dropping-particle&quot;:&quot;&quot;},{&quot;family&quot;:&quot;Rowe&quot;,&quot;given&quot;:&quot;Brian H.&quot;,&quot;parse-names&quot;:false,&quot;dropping-particle&quot;:&quot;&quot;,&quot;non-dropping-particle&quot;:&quot;&quot;}],&quot;container-title&quot;:&quot;Academic emergency medicine : official journal of the Society for Academic Emergency Medicine&quot;,&quot;container-title-short&quot;:&quot;Acad Emerg Med&quot;,&quot;accessed&quot;:{&quot;date-parts&quot;:[[2023,6,7]]},&quot;DOI&quot;:&quot;10.1111/ACEM.13060&quot;,&quot;ISSN&quot;:&quot;1553-2712&quot;,&quot;PMID&quot;:&quot;27473387&quot;,&quot;URL&quot;:&quot;https://pubmed.ncbi.nlm.nih.gov/27473387/&quot;,&quot;issued&quot;:{&quot;date-parts&quot;:[[2017,1,1]]},&quot;page&quot;:&quot;40-52&quot;,&quot;abstract&quot;:&quot;Objectives: Frequent emergency department (ED) users are high-risk and high-resource-utilizing patients. This systematic review evaluates effectiveness of interventions targeting adult frequent ED users in reducing visit frequency and improving patient outcomes. Methods: An a priori protocol was published in PROSPERO. Two independent reviewers screened, selected, rated quality, and extracted data. Third-party adjudication resolved disagreements. Rate ratios of post- versus pre-intervention ED visits were calculated. Data sources were from a comprehensive search that included seven databases and the gray literature. Eligibility criteria for selecting studies included experimental studies assessing the effect of interventions on frequent users’ ED visits and patient-oriented outcomes. Results: A total of 6,865 citations were identified and 31 studies included. Designs were noncontrolled (n = 21) and controlled (n = 4) before–after studies and randomized controlled trials (n = 6). Frequent user definitions varied considerably and risk of bias was moderate to high. Studies examined general frequent users or those with psychiatric comorbidities, chronic disease, or low socioeconomic status or the elderly. Interventions included case management (n = 18), care plans (n = 8), diversion strategies (n = 3), printout case notes (n = 1), and social work visits (n = 1). Post- versus pre-intervention rate ratios were calculated for 25 studies and indicated a significant visit decrease in 21 (84%) of these studies. The median rate ratio was 0.63 (interquartile range = 0.41 to 0.71), indicating that the general effect of the interventions described was to decrease ED visits post-intervention. Significant visit decreases were found for a majority of studies in subgroup analyses based on 6- or 12-month follow-up, definition thresholds, clinical frequent user subgroups, and intervention types. Studies reporting homelessness found consistent improvements in stable housing. Overall, interstudy heterogeneity was high. Conclusions: Interventions targeting frequent ED users appear to decrease ED visits and may improve stable housing. Future research should examine cost-effectiveness and adopt standardized definitions.&quot;,&quot;publisher&quot;:&quot;Acad Emerg Med&quot;,&quot;issue&quot;:&quot;1&quot;,&quot;volume&quot;:&quot;24&quot;},&quot;isTemporary&quot;:false},{&quot;id&quot;:&quot;9946fef1-6a4e-3856-9e73-fd15e9df504f&quot;,&quot;itemData&quot;:{&quot;type&quot;:&quot;article-journal&quot;,&quot;id&quot;:&quot;9946fef1-6a4e-3856-9e73-fd15e9df504f&quot;,&quot;title&quot;:&quot;Frequent attendances at emergency departments in England&quot;,&quot;author&quot;:[{&quot;family&quot;:&quot;Greenfield&quot;,&quot;given&quot;:&quot;Geva&quot;,&quot;parse-names&quot;:false,&quot;dropping-particle&quot;:&quot;&quot;,&quot;non-dropping-particle&quot;:&quot;&quot;},{&quot;family&quot;:&quot;Blair&quot;,&quot;given&quot;:&quot;Mitch&quot;,&quot;parse-names&quot;:false,&quot;dropping-particle&quot;:&quot;&quot;,&quot;non-dropping-particle&quot;:&quot;&quot;},{&quot;family&quot;:&quot;Aylin&quot;,&quot;given&quot;:&quot;Paul P&quot;,&quot;parse-names&quot;:false,&quot;dropping-particle&quot;:&quot;&quot;,&quot;non-dropping-particle&quot;:&quot;&quot;},{&quot;family&quot;:&quot;Saxena&quot;,&quot;given&quot;:&quot;Sonia&quot;,&quot;parse-names&quot;:false,&quot;dropping-particle&quot;:&quot;&quot;,&quot;non-dropping-particle&quot;:&quot;&quot;},{&quot;family&quot;:&quot;Majeed&quot;,&quot;given&quot;:&quot;Azeem&quot;,&quot;parse-names&quot;:false,&quot;dropping-particle&quot;:&quot;&quot;,&quot;non-dropping-particle&quot;:&quot;&quot;},{&quot;family&quot;:&quot;Hoffman&quot;,&quot;given&quot;:&quot;Maurice&quot;,&quot;parse-names&quot;:false,&quot;dropping-particle&quot;:&quot;&quot;,&quot;non-dropping-particle&quot;:&quot;&quot;},{&quot;family&quot;:&quot;Bottle&quot;,&quot;given&quot;:&quot;Alex&quot;,&quot;parse-names&quot;:false,&quot;dropping-particle&quot;:&quot;&quot;,&quot;non-dropping-particle&quot;:&quot;&quot;}],&quot;container-title&quot;:&quot;Emerg Med J&quot;,&quot;accessed&quot;:{&quot;date-parts&quot;:[[2023,6,7]]},&quot;DOI&quot;:&quot;10.1136/emermed-2018-208189&quot;,&quot;URL&quot;:&quot;https://www.&quot;,&quot;issued&quot;:{&quot;date-parts&quot;:[[2020]]},&quot;page&quot;:&quot;597-599&quot;,&quot;volume&quot;:&quot;37&quot;,&quot;container-title-short&quot;:&quot;&quot;},&quot;isTemporary&quot;:false},{&quot;id&quot;:&quot;e526d4e7-a9e1-3875-98e1-eb7ee33fcb28&quot;,&quot;itemData&quot;:{&quot;type&quot;:&quot;article-journal&quot;,&quot;id&quot;:&quot;e526d4e7-a9e1-3875-98e1-eb7ee33fcb28&quot;,&quot;title&quot;:&quot;Individual predictors of frequent emergency department use: a scoping review&quot;,&quot;author&quot;:[{&quot;family&quot;:&quot;Krieg&quot;,&quot;given&quot;:&quot;Cynthia&quot;,&quot;parse-names&quot;:false,&quot;dropping-particle&quot;:&quot;&quot;,&quot;non-dropping-particle&quot;:&quot;&quot;},{&quot;family&quot;:&quot;Hudon&quot;,&quot;given&quot;:&quot;Catherine&quot;,&quot;parse-names&quot;:false,&quot;dropping-particle&quot;:&quot;&quot;,&quot;non-dropping-particle&quot;:&quot;&quot;},{&quot;family&quot;:&quot;Chouinard&quot;,&quot;given&quot;:&quot;Maud Christine&quot;,&quot;parse-names&quot;:false,&quot;dropping-particle&quot;:&quot;&quot;,&quot;non-dropping-particle&quot;:&quot;&quot;},{&quot;family&quot;:&quot;Dufour&quot;,&quot;given&quot;:&quot;Isabelle&quot;,&quot;parse-names&quot;:false,&quot;dropping-particle&quot;:&quot;&quot;,&quot;non-dropping-particle&quot;:&quot;&quot;}],&quot;container-title&quot;:&quot;BMC health services research&quot;,&quot;container-title-short&quot;:&quot;BMC Health Serv Res&quot;,&quot;accessed&quot;:{&quot;date-parts&quot;:[[2023,6,7]]},&quot;DOI&quot;:&quot;10.1186/S12913-016-1852-1&quot;,&quot;ISSN&quot;:&quot;1472-6963&quot;,&quot;PMID&quot;:&quot;27765045&quot;,&quot;URL&quot;:&quot;https://pubmed.ncbi.nlm.nih.gov/27765045/&quot;,&quot;issued&quot;:{&quot;date-parts&quot;:[[2016,10,20]]},&quot;abstract&quot;:&quot;Background: A small proportion of patients use an excessively large amount of emergency care resources which often results in emergency department (ED) overcrowding, decreased quality of care and efficiency. There is a need to better identify these patients in order to target those who will benefit most from interventions adapted to their specific needs. We aimed to identify the predictive factors of short-term frequent use of ED (over a 1-year period) and chronic frequent use of ED (over a multiple-year period) and to highlight recurring characteristics in patients. Methods: A scoping review was performed of all relevant articles found in Medline published between 1979 and 2015 (Ovid). This scoping review included a total of 20 studies, of these, 16 articles focussed on frequent ED users and four others on chronic frequent ED users. Results: A majority of articles confirm that patients who frequently visit the ED are persons of low socioeconomic status. Both frequent and chronic frequent ED users show high levels of health care use (other than the ED) and suffer from multiple physical and mental conditions. Conclusions: This research highlights which individual factors predict frequent emergency department use. Further research is needed to better characterize and understand chronic frequent users as well as the health issues and unmet medical needs that lead to chronic frequent ED use.&quot;,&quot;publisher&quot;:&quot;BMC Health Serv Res&quot;,&quot;issue&quot;:&quot;1&quot;,&quot;volume&quot;:&quot;16&quot;},&quot;isTemporary&quot;:false}],&quot;citationTag&quot;:&quot;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&quot;},{&quot;citationID&quot;:&quot;MENDELEY_CITATION_67841db4-a8da-4805-9d90-8b039e3b81c1&quot;,&quot;properties&quot;:{&quot;noteIndex&quot;:0},&quot;isEdited&quot;:false,&quot;manualOverride&quot;:{&quot;isManuallyOverridden&quot;:true,&quot;citeprocText&quot;:&quot;(Anderson et al., 2019; Merkler et al., 2016; Reuber et al., 2003)&quot;,&quot;manualOverrideText&quot;:&quot;(J. R. Anderson et al., 2019; Merkler et al., 2016; Reuber, Pukrop, Mitchell, et al., 2003)&quot;},&quot;citationItems&quot;:[{&quot;id&quot;:&quot;d347ed5c-cb8d-3636-bb82-223765ecc2c6&quot;,&quot;itemData&quot;:{&quot;type&quot;:&quot;article-journal&quot;,&quot;id&quot;:&quot;d347ed5c-cb8d-3636-bb82-223765ecc2c6&quot;,&quot;title&quot;:&quot;Functional (Psychogenic) Neurological Disorders: Assessment and Acute Management in the Emergency Department&quot;,&quot;author&quot;:[{&quot;family&quot;:&quot;Anderson&quot;,&quot;given&quot;:&quot;J R&quot;,&quot;parse-names&quot;:false,&quot;dropping-particle&quot;:&quot;&quot;,&quot;non-dropping-particle&quot;:&quot;&quot;},{&quot;family&quot;:&quot;Nakhate&quot;,&quot;given&quot;:&quot;V&quot;,&quot;parse-names&quot;:false,&quot;dropping-particle&quot;:&quot;&quot;,&quot;non-dropping-particle&quot;:&quot;&quot;},{&quot;family&quot;:&quot;Stephen&quot;,&quot;given&quot;:&quot;C D&quot;,&quot;parse-names&quot;:false,&quot;dropping-particle&quot;:&quot;&quot;,&quot;non-dropping-particle&quot;:&quot;&quot;},{&quot;family&quot;:&quot;Perez&quot;,&quot;given&quot;:&quot;D L&quot;,&quot;parse-names&quot;:false,&quot;dropping-particle&quot;:&quot;&quot;,&quot;non-dropping-particle&quot;:&quot;&quot;}],&quot;container-title&quot;:&quot;Semin Neurol&quot;,&quot;DOI&quot;:&quot;10.1055/s-0038-1676844&quot;,&quot;ISSN&quot;:&quot;0271-8235&quot;,&quot;PMID&quot;:&quot;30743296&quot;,&quot;issued&quot;:{&quot;date-parts&quot;:[[2019]]},&quot;page&quot;:&quot;102-114&quot;,&quot;language&quot;:&quot;eng&quot;,&quot;abstract&quot;:&quot;Functional neurological disorders (FND) are complex and prevalent neuropsychiatric conditions. Importantly, some patients with FND develop acute onset symptoms requiring emergency department (ED) evaluations. Historically, FND was a \&quot;rule-out\&quot; diagnosis, making assessment and management in the ED difficult. While the rapid triage of potential neurological emergencies remains the initial task, advancements have altered the approach to FND. FND is now a \&quot;rule-in\&quot; diagnosis based on validated neurological examination signs and semiological features. In this perspective article, we review signs and semiological features that can help guide the initial assessment of FND in the acute setting. Thereafter, we outline potential approaches to introduce a suspected diagnosis of FND to patients in the ED, while emphasizing the need for a comprehensive neurological evaluation. Physical and occupational therapy may be useful adjunct assessments in some individuals. Notably, clinicians in the ED setting are important members of the interdisciplinary approach to FND.&quot;,&quot;edition&quot;:&quot;2019/02/12&quot;,&quot;issue&quot;:&quot;1&quot;,&quot;volume&quot;:&quot;39&quot;,&quot;container-title-short&quot;:&quot;&quot;},&quot;isTemporary&quot;:false},{&quot;id&quot;:&quot;4eac23d5-a047-35ff-8a4d-6893f7df2ef9&quot;,&quot;itemData&quot;:{&quot;type&quot;:&quot;article-journal&quot;,&quot;id&quot;:&quot;4eac23d5-a047-35ff-8a4d-6893f7df2ef9&quot;,&quot;title&quot;:&quot;Hospital revisit rate after a diagnosis of conversion disorder&quot;,&quot;author&quot;:[{&quot;family&quot;:&quot;Merkler&quot;,&quot;given&quot;:&quot;A E&quot;,&quot;parse-names&quot;:false,&quot;dropping-particle&quot;:&quot;&quot;,&quot;non-dropping-particle&quot;:&quot;&quot;},{&quot;family&quot;:&quot;Parikh&quot;,&quot;given&quot;:&quot;N S&quot;,&quot;parse-names&quot;:false,&quot;dropping-particle&quot;:&quot;&quot;,&quot;non-dropping-particle&quot;:&quot;&quot;},{&quot;family&quot;:&quot;Chaudhry&quot;,&quot;given&quot;:&quot;S&quot;,&quot;parse-names&quot;:false,&quot;dropping-particle&quot;:&quot;&quot;,&quot;non-dropping-particle&quot;:&quot;&quot;},{&quot;family&quot;:&quot;Chait&quot;,&quot;given&quot;:&quot;A&quot;,&quot;parse-names&quot;:false,&quot;dropping-particle&quot;:&quot;&quot;,&quot;non-dropping-particle&quot;:&quot;&quot;},{&quot;family&quot;:&quot;Allen&quot;,&quot;given&quot;:&quot;N C&quot;,&quot;parse-names&quot;:false,&quot;dropping-particle&quot;:&quot;&quot;,&quot;non-dropping-particle&quot;:&quot;&quot;},{&quot;family&quot;:&quot;Navi&quot;,&quot;given&quot;:&quot;B B&quot;,&quot;parse-names&quot;:false,&quot;dropping-particle&quot;:&quot;&quot;,&quot;non-dropping-particle&quot;:&quot;&quot;},{&quot;family&quot;:&quot;Kamel&quot;,&quot;given&quot;:&quot;H&quot;,&quot;parse-names&quot;:false,&quot;dropping-particle&quot;:&quot;&quot;,&quot;non-dropping-particle&quot;:&quot;&quot;}],&quot;container-title&quot;:&quot;J Neurol Neurosurg Psychiatry&quot;,&quot;DOI&quot;:&quot;10.1136/jnnp-2014-310181&quot;,&quot;ISSN&quot;:&quot;0022-3050&quot;,&quot;PMID&quot;:&quot;25855400&quot;,&quot;issued&quot;:{&quot;date-parts&quot;:[[2016]]},&quot;page&quot;:&quot;363-366&quot;,&quot;language&quot;:&quot;eng&quot;,&quot;abstract&quot;:&quot;OBJECTIVE: To estimate the hospital revisit rate of patients diagnosed with conversion disorder (CD). METHODS: Using administrative data, we identified all patients discharged from California, Florida and New York emergency departments (EDs) and acute care hospitals between 2005 and 2011 with a primary discharge diagnosis of CD. Patients discharged with a primary diagnosis of seizure or transient global amnesia (TGA) served as control groups. Our primary outcome was the rate of repeat ED visits and hospital admissions after initial presentation. Poisson regression was used to compare rates between diagnosis groups while adjusting for demographic characteristics. RESULTS: We identified 7946 patients discharged with a primary diagnosis of CD. During a mean follow-up of 3.0 (±1.6) years, patients with CD had a median of three (IQR, 1-9) ED or inpatient revisits, compared with 0 (IQR, 0-2) in patients with TGA and 3 (IQR, 1-7) in those with seizures. Revisit rates were 18.25 (95% CI, 18.10 to 18.40) visits per 100 patients per month in those with CD, 3.90 (95% CI, 3.84 to 3.95) in those with TGA and 17.78 (95% CI, 17.75 to 17.81) in those with seizures. As compared to CD, the incidence rate ratio for repeat ED visits or hospitalisations was 0.89 (95% CI, 0.86 to 0.93) for seizure disorder and 0.32 (95% CI 0.31 to 0.34) for TGA. CONCLUSIONS: CD is associated with a substantial hospital revisit rate. Our findings suggest that CD is not an acute, time-limited response to stress, but rather that CD is a manifestation of a broader pattern of chronic neuropsychiatric disease.&quot;,&quot;edition&quot;:&quot;2015/04/10&quot;,&quot;issue&quot;:&quot;4&quot;,&quot;volume&quot;:&quot;87&quot;,&quot;container-title-short&quot;:&quot;&quot;},&quot;isTemporary&quot;:false},{&quot;id&quot;:&quot;696eba6f-779c-375c-a280-fd70311abf47&quot;,&quot;itemData&quot;:{&quot;type&quot;:&quot;article-journal&quot;,&quot;id&quot;:&quot;696eba6f-779c-375c-a280-fd70311abf47&quot;,&quot;title&quot;:&quot;Clinical significance of recurrent psychogenic nonepileptic seizure status&quot;,&quot;author&quot;:[{&quot;family&quot;:&quot;Reuber&quot;,&quot;given&quot;:&quot;Markus&quot;,&quot;parse-names&quot;:false,&quot;dropping-particle&quot;:&quot;&quot;,&quot;non-dropping-particle&quot;:&quot;&quot;},{&quot;family&quot;:&quot;Pukrop&quot;,&quot;given&quot;:&quot;Ralf&quot;,&quot;parse-names&quot;:false,&quot;dropping-particle&quot;:&quot;&quot;,&quot;non-dropping-particle&quot;:&quot;&quot;},{&quot;family&quot;:&quot;Mitchell&quot;,&quot;given&quot;:&quot;Alex J.&quot;,&quot;parse-names&quot;:false,&quot;dropping-particle&quot;:&quot;&quot;,&quot;non-dropping-particle&quot;:&quot;&quot;},{&quot;family&quot;:&quot;Bauer&quot;,&quot;given&quot;:&quot;Jürgen&quot;,&quot;parse-names&quot;:false,&quot;dropping-particle&quot;:&quot;&quot;,&quot;non-dropping-particle&quot;:&quot;&quot;},{&quot;family&quot;:&quot;Elger&quot;,&quot;given&quot;:&quot;Christian E.&quot;,&quot;parse-names&quot;:false,&quot;dropping-particle&quot;:&quot;&quot;,&quot;non-dropping-particle&quot;:&quot;&quot;}],&quot;container-title&quot;:&quot;Journal of neurology&quot;,&quot;container-title-short&quot;:&quot;J Neurol&quot;,&quot;accessed&quot;:{&quot;date-parts&quot;:[[2023,4,28]]},&quot;DOI&quot;:&quot;10.1007/S00415-003-0224-Z&quot;,&quot;ISSN&quot;:&quot;0340-5354&quot;,&quot;PMID&quot;:&quot;14648153&quot;,&quot;URL&quot;:&quot;https://pubmed.ncbi.nlm.nih.gov/14648153/&quot;,&quot;issued&quot;:{&quot;date-parts&quot;:[[2003,11]]},&quot;page&quot;:&quot;1355-1362&quot;,&quot;abstract&quot;:&quot;To explore the clinical significance of a history of recurrent psychogenic nonepileptic seizure status (PNES-status), this study describes the frequency of PNES-status in 85 consecutive PNES patients and examines whether there are relevant differences between patients with a history of recurrent PNES-status and other PNES-patients. PNES patients were also compared with 64 patients with epilepsy. Data were extracted from hospital records and a postal questionnaire (Dimensional Assessment of Personality Pathology-Basic Questionnaire; Screening for Somatoform Symptoms; Dissociative Experience Scale). Of the PNES-patients, 77.6% reported at least one seizure &gt; 30 minutes (PNES-status), 27% admission to intensive care with status. 38.8% reported recurrent hospital admissions with status (PNES-status group), the remaining patients served as PNES-controls. The only clinical difference between the two PNES groups was that status patients were younger than PNES-controls (mean age 20.3 vs. 30.3 years, p = 0.001). Our results suggest that PNES status is common and often unrecognised. There were no substantial psychometric differences between patients with recurrent PNES-status and other PNES patients although both PNES-groups had more abnormal somatisation, dissociation and personality scores than patients with epilepsy.&quot;,&quot;publisher&quot;:&quot;J Neurol&quot;,&quot;issue&quot;:&quot;11&quot;,&quot;volume&quot;:&quot;250&quot;},&quot;isTemporary&quot;:false}],&quot;citationTag&quot;:&quot;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&quot;},{&quot;citationID&quot;:&quot;MENDELEY_CITATION_5817727c-2dae-4556-bb59-a4ef171439f4&quot;,&quot;properties&quot;:{&quot;noteIndex&quot;:0},&quot;isEdited&quot;:false,&quot;manualOverride&quot;:{&quot;isManuallyOverridden&quot;:false,&quot;citeprocText&quot;:&quot;(Gallagher et al., 2013; Merkler et al., 2016; Perez &amp;#38; LaFrance Jr., 2016)&quot;,&quot;manualOverrideText&quot;:&quot;&quot;},&quot;citationItems&quot;:[{&quot;id&quot;:&quot;55bd78ff-1a7f-3fe9-884e-3289f7695ea3&quot;,&quot;itemData&quot;:{&quot;type&quot;:&quot;article-journal&quot;,&quot;id&quot;:&quot;55bd78ff-1a7f-3fe9-884e-3289f7695ea3&quot;,&quot;title&quot;:&quot;MEDICALLY UNEXPLAINED NEUROLOGICAL SYMPTOMS ON AN ACUTE NEUROLOGY WARD: HEALTHCARE RESOURCE UTILISATION&quot;,&quot;author&quot;:[{&quot;family&quot;:&quot;Gallagher&quot;,&quot;given&quot;:&quot;Paul&quot;,&quot;parse-names&quot;:false,&quot;dropping-particle&quot;:&quot;&quot;,&quot;non-dropping-particle&quot;:&quot;&quot;},{&quot;family&quot;:&quot;Meldrum&quot;,&quot;given&quot;:&quot;Steven&quot;,&quot;parse-names&quot;:false,&quot;dropping-particle&quot;:&quot;&quot;,&quot;non-dropping-particle&quot;:&quot;&quot;},{&quot;family&quot;:&quot;Copstick&quot;,&quot;given&quot;:&quot;Susan&quot;,&quot;parse-names&quot;:false,&quot;dropping-particle&quot;:&quot;&quot;,&quot;non-dropping-particle&quot;:&quot;&quot;},{&quot;family&quot;:&quot;Burnel&quot;,&quot;given&quot;:&quot;Adam&quot;,&quot;parse-names&quot;:false,&quot;dropping-particle&quot;:&quot;&quot;,&quot;non-dropping-particle&quot;:&quot;&quot;},{&quot;family&quot;:&quot;Matthews&quot;,&quot;given&quot;:&quot;Audrey&quot;,&quot;parse-names&quot;:false,&quot;dropping-particle&quot;:&quot;&quot;,&quot;non-dropping-particle&quot;:&quot;&quot;},{&quot;family&quot;:&quot;Brown&quot;,&quot;given&quot;:&quot;Melanie&quot;,&quot;parse-names&quot;:false,&quot;dropping-particle&quot;:&quot;&quot;,&quot;non-dropping-particle&quot;:&quot;&quot;},{&quot;family&quot;:&quot;Walker&quot;,&quot;given&quot;:&quot;Susan&quot;,&quot;parse-names&quot;:false,&quot;dropping-particle&quot;:&quot;&quot;,&quot;non-dropping-particle&quot;:&quot;&quot;},{&quot;family&quot;:&quot;Shah&quot;,&quot;given&quot;:&quot;Pushkar&quot;,&quot;parse-names&quot;:false,&quot;dropping-particle&quot;:&quot;&quot;,&quot;non-dropping-particle&quot;:&quot;&quot;},{&quot;family&quot;:&quot;Razvi&quot;,&quot;given&quot;:&quot;Saif&quot;,&quot;parse-names&quot;:false,&quot;dropping-particle&quot;:&quot;&quot;,&quot;non-dropping-particle&quot;:&quot;&quot;}],&quot;container-title&quot;:&quot;Journal of Neurology, Neurosurgery &amp;amp;amp; Psychiatry&quot;,&quot;DOI&quot;:&quot;10.1136/jnnp-2013-306573.56&quot;,&quot;URL&quot;:&quot;http://jnnp.bmj.com/content/84/11/e2.174.abstract&quot;,&quot;issued&quot;:{&quot;date-parts&quot;:[[2013]]},&quot;page&quot;:&quot;e2&quot;,&quot;abstract&quot;:&quot;Introduction Medically Unexplained Neurological Symptoms (MUNS) are the second most common diagnosis in neurology outpatient clinics, accounting for up to 16% of all referrals.1 Patients with MUNS are frequently admitted for inpatient investigation and management. We reviewed healthcare resource utilisation of patients with MUNS on an acute neurology ward in a tertiary neuroscience centre. Methods A prospective audit of patients admitted to a 19–bedded acute neurology ward, serving a population of approximately 2.2 million people, was performed. We included those with a clinical diagnosis of MUNS and no associated relevant pathology. Patients with MUNS and co–morbid neurological illness (e.g. epilepsy with non–epileptic attack disorder) or individuals assessed electively on the 20–bedded programmed investigation unit (e.g. for video telemetry) were excluded. Clinical and demographic data were collected using paper and electronic records and the national radiology database. Data were collected with respect to healthcare resource utilisation during the single inpatient stay. This included the duration of admission, neuroimaging, electroencephalography (EEG), electromyography (EMG) performed and time with physiotherapists. Results Fourteen patients (11 female, median age 39 years, range 19–56) were admitted to the acute neurology ward over a 9–month period (1st April to 31st December 2012). Eleven out of fourteen (78.6%) were transferred from other hospitals and 3 were admitted form home. Median duration in hospital prior to transfer was 5 days (range 0–15, total 51 hospital days). Patients were taking a mean of 5.4 medications (SD 3.9). Three (21.4%) had prior contact with mental health services and 1 had learning difficulties. Previous attendance at an emergency department had occurred in 6/14 (42.9%) patients (total 84 attendances; range 2–31). Nine patients (64.3%) had prior hospital admissions (total 49 admissions; mean 3.5 [SD 5.6]). A functional motor disorder was diagnosed in 9/14 (64.2%); 3/14 (21.4%) had non–epileptic attack disorder (NEAD), 1/14 (7.1%) had both a functional motor disorder and NEAD and 1 had purely sensory symptoms. Median duration of admission was 8.5 days (range 3–64 days, IQR 5.5–15). Over the 9–month period, patients with MUNS accounted for 231 bed–days, equating to 4.4% of the acute neurology ward bed capacity over this period. CT scans were performed in 9/14 (64.3%, total 12 scans); 10/14 (71.4%) had an MRI (total 22 scans, 1.6 per patient). Four (28.6%) had EEG and 4/14 also had EMG (total 7 EMGs). All 11 with functional motor and sensory MUNS had physiotherapy sessions, accounting for 118 sessions (median 5.5 sessions per patient) with 0.5–52.75 hours required for individual patients (median 3.75 hours). Conclusion Patients with MUNS accounted for 4.4% of the bed occupancy on an acute neurology ward in a tertiary neuroscience centre, with substantial healthcare resource utilisation. This study likely underestimates the overall burden of functional symptoms on the acute neurology ward as only purely functional symptoms were included. A multi–disciplinary approach is required for management of patients with MUNS and needs further study.&quot;,&quot;issue&quot;:&quot;11&quot;,&quot;volume&quot;:&quot;84&quot;,&quot;container-title-short&quot;:&quot;&quot;},&quot;isTemporary&quot;:false},{&quot;id&quot;:&quot;4eac23d5-a047-35ff-8a4d-6893f7df2ef9&quot;,&quot;itemData&quot;:{&quot;type&quot;:&quot;article-journal&quot;,&quot;id&quot;:&quot;4eac23d5-a047-35ff-8a4d-6893f7df2ef9&quot;,&quot;title&quot;:&quot;Hospital revisit rate after a diagnosis of conversion disorder&quot;,&quot;author&quot;:[{&quot;family&quot;:&quot;Merkler&quot;,&quot;given&quot;:&quot;A E&quot;,&quot;parse-names&quot;:false,&quot;dropping-particle&quot;:&quot;&quot;,&quot;non-dropping-particle&quot;:&quot;&quot;},{&quot;family&quot;:&quot;Parikh&quot;,&quot;given&quot;:&quot;N S&quot;,&quot;parse-names&quot;:false,&quot;dropping-particle&quot;:&quot;&quot;,&quot;non-dropping-particle&quot;:&quot;&quot;},{&quot;family&quot;:&quot;Chaudhry&quot;,&quot;given&quot;:&quot;S&quot;,&quot;parse-names&quot;:false,&quot;dropping-particle&quot;:&quot;&quot;,&quot;non-dropping-particle&quot;:&quot;&quot;},{&quot;family&quot;:&quot;Chait&quot;,&quot;given&quot;:&quot;A&quot;,&quot;parse-names&quot;:false,&quot;dropping-particle&quot;:&quot;&quot;,&quot;non-dropping-particle&quot;:&quot;&quot;},{&quot;family&quot;:&quot;Allen&quot;,&quot;given&quot;:&quot;N C&quot;,&quot;parse-names&quot;:false,&quot;dropping-particle&quot;:&quot;&quot;,&quot;non-dropping-particle&quot;:&quot;&quot;},{&quot;family&quot;:&quot;Navi&quot;,&quot;given&quot;:&quot;B B&quot;,&quot;parse-names&quot;:false,&quot;dropping-particle&quot;:&quot;&quot;,&quot;non-dropping-particle&quot;:&quot;&quot;},{&quot;family&quot;:&quot;Kamel&quot;,&quot;given&quot;:&quot;H&quot;,&quot;parse-names&quot;:false,&quot;dropping-particle&quot;:&quot;&quot;,&quot;non-dropping-particle&quot;:&quot;&quot;}],&quot;container-title&quot;:&quot;J Neurol Neurosurg Psychiatry&quot;,&quot;DOI&quot;:&quot;10.1136/jnnp-2014-310181&quot;,&quot;ISSN&quot;:&quot;0022-3050&quot;,&quot;PMID&quot;:&quot;25855400&quot;,&quot;issued&quot;:{&quot;date-parts&quot;:[[2016]]},&quot;page&quot;:&quot;363-366&quot;,&quot;language&quot;:&quot;eng&quot;,&quot;abstract&quot;:&quot;OBJECTIVE: To estimate the hospital revisit rate of patients diagnosed with conversion disorder (CD). METHODS: Using administrative data, we identified all patients discharged from California, Florida and New York emergency departments (EDs) and acute care hospitals between 2005 and 2011 with a primary discharge diagnosis of CD. Patients discharged with a primary diagnosis of seizure or transient global amnesia (TGA) served as control groups. Our primary outcome was the rate of repeat ED visits and hospital admissions after initial presentation. Poisson regression was used to compare rates between diagnosis groups while adjusting for demographic characteristics. RESULTS: We identified 7946 patients discharged with a primary diagnosis of CD. During a mean follow-up of 3.0 (±1.6) years, patients with CD had a median of three (IQR, 1-9) ED or inpatient revisits, compared with 0 (IQR, 0-2) in patients with TGA and 3 (IQR, 1-7) in those with seizures. Revisit rates were 18.25 (95% CI, 18.10 to 18.40) visits per 100 patients per month in those with CD, 3.90 (95% CI, 3.84 to 3.95) in those with TGA and 17.78 (95% CI, 17.75 to 17.81) in those with seizures. As compared to CD, the incidence rate ratio for repeat ED visits or hospitalisations was 0.89 (95% CI, 0.86 to 0.93) for seizure disorder and 0.32 (95% CI 0.31 to 0.34) for TGA. CONCLUSIONS: CD is associated with a substantial hospital revisit rate. Our findings suggest that CD is not an acute, time-limited response to stress, but rather that CD is a manifestation of a broader pattern of chronic neuropsychiatric disease.&quot;,&quot;edition&quot;:&quot;2015/04/10&quot;,&quot;issue&quot;:&quot;4&quot;,&quot;volume&quot;:&quot;87&quot;,&quot;container-title-short&quot;:&quot;&quot;},&quot;isTemporary&quot;:false},{&quot;id&quot;:&quot;f87b5cba-1f0c-3f0e-9fd0-e78623e6a20b&quot;,&quot;itemData&quot;:{&quot;type&quot;:&quot;article-journal&quot;,&quot;id&quot;:&quot;f87b5cba-1f0c-3f0e-9fd0-e78623e6a20b&quot;,&quot;title&quot;:&quot;Nonepileptic seizures: an updated review&quot;,&quot;author&quot;:[{&quot;family&quot;:&quot;Perez&quot;,&quot;given&quot;:&quot;David L&quot;,&quot;parse-names&quot;:false,&quot;dropping-particle&quot;:&quot;&quot;,&quot;non-dropping-particle&quot;:&quot;&quot;},{&quot;family&quot;:&quot;LaFrance Jr.&quot;,&quot;given&quot;:&quot;W Curt&quot;,&quot;parse-names&quot;:false,&quot;dropping-particle&quot;:&quot;&quot;,&quot;non-dropping-particle&quot;:&quot;&quot;}],&quot;container-title&quot;:&quot;CNS spectrums&quot;,&quot;container-title-short&quot;:&quot;CNS Spectr&quot;,&quot;DOI&quot;:&quot;10.1017/S109285291600002X&quot;,&quot;ISSN&quot;:&quot;1092-8529&quot;,&quot;PMID&quot;:&quot;26996600&quot;,&quot;URL&quot;:&quot;https://pubmed.ncbi.nlm.nih.gov/26996600&quot;,&quot;issued&quot;:{&quot;date-parts&quot;:[[2016]]},&quot;page&quot;:&quot;239-246&quot;,&quot;language&quot;:&quot;eng&quot;,&quot;abstract&quot;:&quot;Psychogenic nonepileptic seizures (PNES) are a functional neurological disorder/conversion disorder subtype, which are neurobehavioral conditions at the interface of neurology and psychiatry. Significant advancements over the past decade have been made in the diagnosis, management, and neurobiological understanding of PNES. This article reviews published PNES research focusing on semiologic features that distinguish PNES from epileptic seizures, consensus diagnostic criteria, the intersection of PNES and other comorbidities, neurobiological studies, evidence-based treatment interventions, and outcome studies. Epidemiology and healthcare utilization studies highlight a continued unmet medical need in the comprehensive care of PNES. Consensus guidelines for diagnostic certainty are based on clinical history, semiology of witnessed typical event(s), and EEG findings. While certain semiologic features may aid in the diagnosis of PNES, the gold standard remains capturing a typical event on video electroencephalography (EEG) showing the absence of epileptiform activity with history and semiology consistent with PNES. Medical-neurologic and psychiatric comorbidities are prevalent in PNES; these should be assessed in diagnostic evaluations and integrated into treatment interventions and prognostic considerations. Several studies, including a pilot, multicenter, randomized clinical trial, have now demonstrated that a cognitive behavioral therapy-informed psychotherapy is an efficacious treatment for PNES, and additional efforts are necessary to evaluate the utility of pharmacologic and other psychotherapy treatments. Neuroimaging studies, while requiring replication, suggest that PNES may occur in the context of alterations within and across sensorimotor, emotion regulation/processing, cognitive control, and multimodal integration brain systems. Future research could investigate similarities and differences between PNES and other somatic symptom disorders.&quot;,&quot;edition&quot;:&quot;2016/03/21&quot;,&quot;issue&quot;:&quot;3&quot;,&quot;volume&quot;:&quot;21&quot;},&quot;isTemporary&quot;:false}],&quot;citationTag&quot;:&quot;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&quot;},{&quot;citationID&quot;:&quot;MENDELEY_CITATION_b6136964-791a-4036-822e-afba4fd00704&quot;,&quot;properties&quot;:{&quot;noteIndex&quot;:0},&quot;isEdited&quot;:false,&quot;manualOverride&quot;:{&quot;isManuallyOverridden&quot;:false,&quot;citeprocText&quot;:&quot;(Fitzsimmon et al., 2017)&quot;,&quot;manualOverrideText&quot;:&quot;&quot;},&quot;citationItems&quot;:[{&quot;id&quot;:&quot;dae741a5-0098-3842-9538-a172e4837d4c&quot;,&quot;itemData&quot;:{&quot;type&quot;:&quot;article-journal&quot;,&quot;id&quot;:&quot;dae741a5-0098-3842-9538-a172e4837d4c&quot;,&quot;title&quot;:&quot;3 Non-epileptic seizures in the emergency department: an audit&quot;,&quot;author&quot;:[{&quot;family&quot;:&quot;Fitzsimmon&quot;,&quot;given&quot;:&quot;Sophie&quot;,&quot;parse-names&quot;:false,&quot;dropping-particle&quot;:&quot;&quot;,&quot;non-dropping-particle&quot;:&quot;&quot;},{&quot;family&quot;:&quot;Page&quot;,&quot;given&quot;:&quot;Lisa&quot;,&quot;parse-names&quot;:false,&quot;dropping-particle&quot;:&quot;&quot;,&quot;non-dropping-particle&quot;:&quot;&quot;},{&quot;family&quot;:&quot;Aram&quot;,&quot;given&quot;:&quot;Julia&quot;,&quot;parse-names&quot;:false,&quot;dropping-particle&quot;:&quot;&quot;,&quot;non-dropping-particle&quot;:&quot;&quot;}],&quot;container-title&quot;:&quot;Journal of Neurology, Neurosurgery &amp;amp; Psychiatry&quot;,&quot;DOI&quot;:&quot;10.1136/jnnp-2017-BNPA.63&quot;,&quot;URL&quot;:&quot;https://jnnp.bmj.com/content/jnnp/88/8/A28.3.full.pdf&quot;,&quot;issued&quot;:{&quot;date-parts&quot;:[[2017]]},&quot;page&quot;:&quot;A28-A29&quot;,&quot;abstract&quot;:&quot;Objective Non-epileptic seizures (NES) commonly present via the emergency department (ED) and may lead to inappropriate and/or costly treatment. This baseline audit aimed to determine the prevalence of NES presenting to the ED of the Royal Sussex County Hospital, a tertiary centre in Brighton, over the course of one year. It also recorded whether these patients were being flagged on the electronic patient records (EPR) system and what management they received.Method A list of all patients presenting to the ED over a 1 year period with any of the keywords ‘seizure’ ‘fit’ ‘epilepsy’ in the presenting complaint was generated using the EPR system. We classified the seizures as epilepsy, NES, mixed, secondary, or awaiting diagnosis by: searching electronic discharge summaries and electronic psychiatry patient records, cross-checking with neurology and neuropsychiatry services, and notes review. Once the NES patients were identified, we quantified the number who had been flagged on the EPR and recorded the management they received during their hospital admission.Results Out of 1242 presentations of seizures to the ED over the course of a year, 101 were NES (8.1%). This accounted for 42 of 908 patients who presented with seizures (4.6%). 13 of these patients were flagged on the EPR system. 43% of this group of NES patients attended the ED more than once over the course of the year. There were 31 admissions of NES patients over the year (45.2% with a known diagnosis of NES at admission, 54.8% without a firm diagnosis), ranging from 1 to 33 days in length. Those with a firm diagnosis of NES at the time of admission had an average length of stay of 2 days and had no emergency calls put out; those without a firm diagnosis had an average length of stay of 6 days and 3% had between 1 and 4 medical emergency calls during their admission.Conclusions Non-epileptic seizures make up an important proportion of seizure presentations to the ED, and these patients commonly re-present. It is important that such patients are flagged with a clear management plan in place if the diagnosis of NES is established, and if needed neurological and neuropsychiatric assessment is not delayed in order to minimise harmful interventions and length of stay.&quot;,&quot;issue&quot;:&quot;8&quot;,&quot;volume&quot;:&quot;88&quot;,&quot;container-title-short&quot;:&quot;&quot;},&quot;isTemporary&quot;:false}],&quot;citationTag&quot;:&quot;MENDELEY_CITATION_v3_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&quot;},{&quot;citationID&quot;:&quot;MENDELEY_CITATION_2faed674-56a2-4a5d-8c2e-24dd48fe7176&quot;,&quot;properties&quot;:{&quot;noteIndex&quot;:0},&quot;isEdited&quot;:false,&quot;manualOverride&quot;:{&quot;isManuallyOverridden&quot;:false,&quot;citeprocText&quot;:&quot;(Merkler et al., 2016; Perez &amp;#38; LaFrance Jr., 2016)&quot;,&quot;manualOverrideText&quot;:&quot;&quot;},&quot;citationItems&quot;:[{&quot;id&quot;:&quot;4eac23d5-a047-35ff-8a4d-6893f7df2ef9&quot;,&quot;itemData&quot;:{&quot;type&quot;:&quot;article-journal&quot;,&quot;id&quot;:&quot;4eac23d5-a047-35ff-8a4d-6893f7df2ef9&quot;,&quot;title&quot;:&quot;Hospital revisit rate after a diagnosis of conversion disorder&quot;,&quot;author&quot;:[{&quot;family&quot;:&quot;Merkler&quot;,&quot;given&quot;:&quot;A E&quot;,&quot;parse-names&quot;:false,&quot;dropping-particle&quot;:&quot;&quot;,&quot;non-dropping-particle&quot;:&quot;&quot;},{&quot;family&quot;:&quot;Parikh&quot;,&quot;given&quot;:&quot;N S&quot;,&quot;parse-names&quot;:false,&quot;dropping-particle&quot;:&quot;&quot;,&quot;non-dropping-particle&quot;:&quot;&quot;},{&quot;family&quot;:&quot;Chaudhry&quot;,&quot;given&quot;:&quot;S&quot;,&quot;parse-names&quot;:false,&quot;dropping-particle&quot;:&quot;&quot;,&quot;non-dropping-particle&quot;:&quot;&quot;},{&quot;family&quot;:&quot;Chait&quot;,&quot;given&quot;:&quot;A&quot;,&quot;parse-names&quot;:false,&quot;dropping-particle&quot;:&quot;&quot;,&quot;non-dropping-particle&quot;:&quot;&quot;},{&quot;family&quot;:&quot;Allen&quot;,&quot;given&quot;:&quot;N C&quot;,&quot;parse-names&quot;:false,&quot;dropping-particle&quot;:&quot;&quot;,&quot;non-dropping-particle&quot;:&quot;&quot;},{&quot;family&quot;:&quot;Navi&quot;,&quot;given&quot;:&quot;B B&quot;,&quot;parse-names&quot;:false,&quot;dropping-particle&quot;:&quot;&quot;,&quot;non-dropping-particle&quot;:&quot;&quot;},{&quot;family&quot;:&quot;Kamel&quot;,&quot;given&quot;:&quot;H&quot;,&quot;parse-names&quot;:false,&quot;dropping-particle&quot;:&quot;&quot;,&quot;non-dropping-particle&quot;:&quot;&quot;}],&quot;container-title&quot;:&quot;J Neurol Neurosurg Psychiatry&quot;,&quot;DOI&quot;:&quot;10.1136/jnnp-2014-310181&quot;,&quot;ISSN&quot;:&quot;0022-3050&quot;,&quot;PMID&quot;:&quot;25855400&quot;,&quot;issued&quot;:{&quot;date-parts&quot;:[[2016]]},&quot;page&quot;:&quot;363-366&quot;,&quot;language&quot;:&quot;eng&quot;,&quot;abstract&quot;:&quot;OBJECTIVE: To estimate the hospital revisit rate of patients diagnosed with conversion disorder (CD). METHODS: Using administrative data, we identified all patients discharged from California, Florida and New York emergency departments (EDs) and acute care hospitals between 2005 and 2011 with a primary discharge diagnosis of CD. Patients discharged with a primary diagnosis of seizure or transient global amnesia (TGA) served as control groups. Our primary outcome was the rate of repeat ED visits and hospital admissions after initial presentation. Poisson regression was used to compare rates between diagnosis groups while adjusting for demographic characteristics. RESULTS: We identified 7946 patients discharged with a primary diagnosis of CD. During a mean follow-up of 3.0 (±1.6) years, patients with CD had a median of three (IQR, 1-9) ED or inpatient revisits, compared with 0 (IQR, 0-2) in patients with TGA and 3 (IQR, 1-7) in those with seizures. Revisit rates were 18.25 (95% CI, 18.10 to 18.40) visits per 100 patients per month in those with CD, 3.90 (95% CI, 3.84 to 3.95) in those with TGA and 17.78 (95% CI, 17.75 to 17.81) in those with seizures. As compared to CD, the incidence rate ratio for repeat ED visits or hospitalisations was 0.89 (95% CI, 0.86 to 0.93) for seizure disorder and 0.32 (95% CI 0.31 to 0.34) for TGA. CONCLUSIONS: CD is associated with a substantial hospital revisit rate. Our findings suggest that CD is not an acute, time-limited response to stress, but rather that CD is a manifestation of a broader pattern of chronic neuropsychiatric disease.&quot;,&quot;edition&quot;:&quot;2015/04/10&quot;,&quot;issue&quot;:&quot;4&quot;,&quot;volume&quot;:&quot;87&quot;,&quot;container-title-short&quot;:&quot;&quot;},&quot;isTemporary&quot;:false},{&quot;id&quot;:&quot;f87b5cba-1f0c-3f0e-9fd0-e78623e6a20b&quot;,&quot;itemData&quot;:{&quot;type&quot;:&quot;article-journal&quot;,&quot;id&quot;:&quot;f87b5cba-1f0c-3f0e-9fd0-e78623e6a20b&quot;,&quot;title&quot;:&quot;Nonepileptic seizures: an updated review&quot;,&quot;author&quot;:[{&quot;family&quot;:&quot;Perez&quot;,&quot;given&quot;:&quot;David L&quot;,&quot;parse-names&quot;:false,&quot;dropping-particle&quot;:&quot;&quot;,&quot;non-dropping-particle&quot;:&quot;&quot;},{&quot;family&quot;:&quot;LaFrance Jr.&quot;,&quot;given&quot;:&quot;W Curt&quot;,&quot;parse-names&quot;:false,&quot;dropping-particle&quot;:&quot;&quot;,&quot;non-dropping-particle&quot;:&quot;&quot;}],&quot;container-title&quot;:&quot;CNS spectrums&quot;,&quot;container-title-short&quot;:&quot;CNS Spectr&quot;,&quot;DOI&quot;:&quot;10.1017/S109285291600002X&quot;,&quot;ISSN&quot;:&quot;1092-8529&quot;,&quot;PMID&quot;:&quot;26996600&quot;,&quot;URL&quot;:&quot;https://pubmed.ncbi.nlm.nih.gov/26996600&quot;,&quot;issued&quot;:{&quot;date-parts&quot;:[[2016]]},&quot;page&quot;:&quot;239-246&quot;,&quot;language&quot;:&quot;eng&quot;,&quot;abstract&quot;:&quot;Psychogenic nonepileptic seizures (PNES) are a functional neurological disorder/conversion disorder subtype, which are neurobehavioral conditions at the interface of neurology and psychiatry. Significant advancements over the past decade have been made in the diagnosis, management, and neurobiological understanding of PNES. This article reviews published PNES research focusing on semiologic features that distinguish PNES from epileptic seizures, consensus diagnostic criteria, the intersection of PNES and other comorbidities, neurobiological studies, evidence-based treatment interventions, and outcome studies. Epidemiology and healthcare utilization studies highlight a continued unmet medical need in the comprehensive care of PNES. Consensus guidelines for diagnostic certainty are based on clinical history, semiology of witnessed typical event(s), and EEG findings. While certain semiologic features may aid in the diagnosis of PNES, the gold standard remains capturing a typical event on video electroencephalography (EEG) showing the absence of epileptiform activity with history and semiology consistent with PNES. Medical-neurologic and psychiatric comorbidities are prevalent in PNES; these should be assessed in diagnostic evaluations and integrated into treatment interventions and prognostic considerations. Several studies, including a pilot, multicenter, randomized clinical trial, have now demonstrated that a cognitive behavioral therapy-informed psychotherapy is an efficacious treatment for PNES, and additional efforts are necessary to evaluate the utility of pharmacologic and other psychotherapy treatments. Neuroimaging studies, while requiring replication, suggest that PNES may occur in the context of alterations within and across sensorimotor, emotion regulation/processing, cognitive control, and multimodal integration brain systems. Future research could investigate similarities and differences between PNES and other somatic symptom disorders.&quot;,&quot;edition&quot;:&quot;2016/03/21&quot;,&quot;issue&quot;:&quot;3&quot;,&quot;volume&quot;:&quot;21&quot;},&quot;isTemporary&quot;:false}],&quot;citationTag&quot;:&quot;MENDELEY_CITATION_v3_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&quot;},{&quot;citationID&quot;:&quot;MENDELEY_CITATION_bce4e25e-d011-471d-8227-acf46edf19c6&quot;,&quot;properties&quot;:{&quot;noteIndex&quot;:0},&quot;isEdited&quot;:false,&quot;manualOverride&quot;:{&quot;isManuallyOverridden&quot;:true,&quot;citeprocText&quot;:&quot;(American Psychiatric Association, 2013; Brown &amp;#38; Reuber, 2016)&quot;,&quot;manualOverrideText&quot;:&quot;(American Psychiatric Association, 2013; R. J. Brown &amp; Reuber, 2016a)&quot;},&quot;citationItems&quot;:[{&quot;id&quot;:&quot;ecd49a24-d140-3c48-9de0-c4bc56526fc7&quot;,&quot;itemData&quot;:{&quot;type&quot;:&quot;book&quot;,&quot;id&quot;:&quot;ecd49a24-d140-3c48-9de0-c4bc56526fc7&quot;,&quot;title&quot;:&quot;Diagnostic and statistical manual of mental disorders: DSM-5™, 5th ed&quot;,&quot;author&quot;:[{&quot;family&quot;:&quot;American Psychiatric Association&quot;,&quot;given&quot;:&quot;DSM-5 Task Force&quot;,&quot;parse-names&quot;:false,&quot;dropping-particle&quot;:&quot;&quot;,&quot;non-dropping-particle&quot;:&quot;&quot;}],&quot;container-title&quot;:&quot;Diagnostic and statistical manual of mental disorders: DSM-5™, 5th ed.&quot;,&quot;DOI&quot;:&quot;10.1176/appi.books.9780890425596&quot;,&quot;ISBN&quot;:&quot;978-0-89042-554-1 (Hardcover); 978-0-89042-555-8 (Paperback)&quot;,&quot;issued&quot;:{&quot;date-parts&quot;:[[2013]]},&quot;publisher-place&quot;:&quot;Arlington, VA, US&quot;,&quot;number-of-pages&quot;:&quot;947, xliv, 947-xliv&quot;,&quot;abstract&quot;:&quot;The American Psychiatric Association's Diagnostic and Statistical Manual of Mental Disorders (DSM) is a classification of mental disorders with associated criteria designed to facilitate more reliable diagnoses of these disorders. Since a complete description of the underlying pathological processes is not possible for most mental disorders, it is important to emphasize that the current diagnostic criteria are the best available description of how mental disorders are expressed and can be recognized by trained clinicians. DSM is intended to serve as a practical, functional, and flexible guide for organizing information that can aid in the accurate diagnosis and treatment of mental disorders. It is a tool for clinicians, an essential educational resource for students and practitioners, and a reference for researchers in the field. (PsycINFO Database Record (c) 2019 APA, all rights reserved)&quot;,&quot;publisher&quot;:&quot;American Psychiatric Publishing, Inc.&quot;,&quot;container-title-short&quot;:&quot;&quot;},&quot;isTemporary&quot;:false},{&quot;id&quot;:&quot;1f2aa913-ef44-3ea3-83ed-15ebe8b76a6e&quot;,&quot;itemData&quot;:{&quot;type&quot;:&quot;article-journal&quot;,&quot;id&quot;:&quot;1f2aa913-ef44-3ea3-83ed-15ebe8b76a6e&quot;,&quot;title&quot;:&quot;Psychological and psychiatric aspects of psychogenic non-epileptic seizures (PNES): A systematic review&quot;,&quot;author&quot;:[{&quot;family&quot;:&quot;Brown&quot;,&quot;given&quot;:&quot;Richard J&quot;,&quot;parse-names&quot;:false,&quot;dropping-particle&quot;:&quot;&quot;,&quot;non-dropping-particle&quot;:&quot;&quot;},{&quot;family&quot;:&quot;Reuber&quot;,&quot;given&quot;:&quot;Markus&quot;,&quot;parse-names&quot;:false,&quot;dropping-particle&quot;:&quot;&quot;,&quot;non-dropping-particle&quot;:&quot;&quot;}],&quot;container-title&quot;:&quot;Clinical psychology review&quot;,&quot;container-title-short&quot;:&quot;Clin Psychol Rev&quot;,&quot;DOI&quot;:&quot;10.1016/j.cpr.2016.01.003&quot;,&quot;ISSN&quot;:&quot;0272-7358&quot;,&quot;URL&quot;:&quot;http://eprints.whiterose.ac.uk/98748/3/CPR%20Systematic%20review%20v13%20%28revised%20version%29%20MR.pdf&quot;,&quot;issued&quot;:{&quot;date-parts&quot;:[[2016]]},&quot;page&quot;:&quot;157-182&quot;,&quot;publisher&quot;:&quot;Elsevier BV&quot;,&quot;volume&quot;:&quot;45&quot;},&quot;isTemporary&quot;:false}],&quot;citationTag&quot;:&quot;MENDELEY_CITATION_v3_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&quot;},{&quot;citationID&quot;:&quot;MENDELEY_CITATION_74e0a0d6-8018-4d00-9888-918492a2ff41&quot;,&quot;properties&quot;:{&quot;noteIndex&quot;:0},&quot;isEdited&quot;:false,&quot;manualOverride&quot;:{&quot;isManuallyOverridden&quot;:true,&quot;citeprocText&quot;:&quot;(Carson et al., 2011; Stone et al., 2011)&quot;,&quot;manualOverrideText&quot;:&quot;(A. Carson et al., 2011; Stone et al., 2011)&quot;},&quot;citationItems&quot;:[{&quot;id&quot;:&quot;a477d660-7a6a-30fe-b60b-f04f13c8da1b&quot;,&quot;itemData&quot;:{&quot;type&quot;:&quot;article-journal&quot;,&quot;id&quot;:&quot;a477d660-7a6a-30fe-b60b-f04f13c8da1b&quot;,&quot;title&quot;:&quot;Disability, distress and unemployment in neurology outpatients with symptoms 'unexplained by organic disease'&quot;,&quot;author&quot;:[{&quot;family&quot;:&quot;Carson&quot;,&quot;given&quot;:&quot;A&quot;,&quot;parse-names&quot;:false,&quot;dropping-particle&quot;:&quot;&quot;,&quot;non-dropping-particle&quot;:&quot;&quot;},{&quot;family&quot;:&quot;Stone&quot;,&quot;given&quot;:&quot;J&quot;,&quot;parse-names&quot;:false,&quot;dropping-particle&quot;:&quot;&quot;,&quot;non-dropping-particle&quot;:&quot;&quot;},{&quot;family&quot;:&quot;Hibberd&quot;,&quot;given&quot;:&quot;C&quot;,&quot;parse-names&quot;:false,&quot;dropping-particle&quot;:&quot;&quot;,&quot;non-dropping-particle&quot;:&quot;&quot;},{&quot;family&quot;:&quot;Murray&quot;,&quot;given&quot;:&quot;G&quot;,&quot;parse-names&quot;:false,&quot;dropping-particle&quot;:&quot;&quot;,&quot;non-dropping-particle&quot;:&quot;&quot;},{&quot;family&quot;:&quot;Duncan&quot;,&quot;given&quot;:&quot;R&quot;,&quot;parse-names&quot;:false,&quot;dropping-particle&quot;:&quot;&quot;,&quot;non-dropping-particle&quot;:&quot;&quot;},{&quot;family&quot;:&quot;Coleman&quot;,&quot;given&quot;:&quot;R&quot;,&quot;parse-names&quot;:false,&quot;dropping-particle&quot;:&quot;&quot;,&quot;non-dropping-particle&quot;:&quot;&quot;},{&quot;family&quot;:&quot;Warlow&quot;,&quot;given&quot;:&quot;C&quot;,&quot;parse-names&quot;:false,&quot;dropping-particle&quot;:&quot;&quot;,&quot;non-dropping-particle&quot;:&quot;&quot;},{&quot;family&quot;:&quot;Roberts&quot;,&quot;given&quot;:&quot;R&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Hansen&quot;,&quot;given&quot;:&quot;C&quot;,&quot;parse-names&quot;:false,&quot;dropping-particle&quot;:&quot;&quot;,&quot;non-dropping-particle&quot;:&quot;&quot;},{&quot;family&quot;:&quot;Sharpe&quot;,&quot;given&quot;:&quot;M&quot;,&quot;parse-names&quot;:false,&quot;dropping-particle&quot;:&quot;&quot;,&quot;non-dropping-particle&quot;:&quot;&quot;}],&quot;container-title&quot;:&quot;J Neurol Neurosurg Psychiatry&quot;,&quot;DOI&quot;:&quot;10.1136/jnnp.2010.220640&quot;,&quot;ISSN&quot;:&quot;0022-3050&quot;,&quot;PMID&quot;:&quot;21257981&quot;,&quot;issued&quot;:{&quot;date-parts&quot;:[[2011]]},&quot;page&quot;:&quot;810-813&quot;,&quot;language&quot;:&quot;eng&quot;,&quot;abstract&quot;:&quot;OBJECTIVES: To determine the disability, distress and employment status of new neurology outpatients with physical symptoms unexplained by organic disease and to compare them with patients with symptoms explained by organic disease. METHODS: As part of a cohort study (the Scottish Neurological Symptoms Study) neurologists rated the extent to which each new patient's symptoms were explained by organic disease. Patients whose symptoms were rated as 'not at all' or only 'somewhat' explained by disease were considered cases, and those whose symptoms were 'largely' or 'completely' explained by disease were considered controls. All patients completed self-ratings of disability, health status (Medical Outcomes Study Short Form 12-Item Scale (SF-12)) and emotional distress (Hospital Anxiety and Depression Scale) and also reported their employment and state financial benefit status. RESULTS: 3781 patients were recruited: 1144 (30%) cases and 2637 (70%) controls. Cases had worse physical health status (SF-12 score 42 vs 44; difference in means 1.7 (95% CI -2.5 to 0.9)) and worse mental health status (SF-12 score 43 vs 47; difference in means -3.5 (95% CI -4.3 to to 2.7)). Unemployment was similar in cases and controls (50% vs 50%) but cases were more likely not to be working for health reasons (54% vs 37% of the 50% not working; OR 2.0 (95% CI 1.6 to 2.4)) and also more likely to be receiving disability-related state financial benefits (27% vs 22%; (OR 1.3, 95% CI 1.1 to 1.6)). CONCLUSIONS: New neurology patients with symptoms unexplained by organic disease have more disability-, distress- and disability-related state financial benefits than patients with symptoms explained by disease.&quot;,&quot;edition&quot;:&quot;2011/01/25&quot;,&quot;issue&quot;:&quot;7&quot;,&quot;volume&quot;:&quot;82&quot;,&quot;container-title-short&quot;:&quot;&quot;},&quot;isTemporary&quot;:false},{&quot;id&quot;:&quot;015f09d4-1cfe-3d76-9e4a-8824068f16df&quot;,&quot;itemData&quot;:{&quot;type&quot;:&quot;article-journal&quot;,&quot;id&quot;:&quot;015f09d4-1cfe-3d76-9e4a-8824068f16df&quot;,&quot;title&quot;:&quot;Conversion Disorder: Current problems and potential solutions for DSM-5&quot;,&quot;author&quot;:[{&quot;family&quot;:&quot;Stone&quot;,&quot;given&quot;:&quot;Jon&quot;,&quot;parse-names&quot;:false,&quot;dropping-particle&quot;:&quot;&quot;,&quot;non-dropping-particle&quot;:&quot;&quot;},{&quot;family&quot;:&quot;LaFrance&quot;,&quot;given&quot;:&quot;W Curt&quot;,&quot;parse-names&quot;:false,&quot;dropping-particle&quot;:&quot;&quot;,&quot;non-dropping-particle&quot;:&quot;&quot;},{&quot;family&quot;:&quot;Brown&quot;,&quot;given&quot;:&quot;Richard&quot;,&quot;parse-names&quot;:false,&quot;dropping-particle&quot;:&quot;&quot;,&quot;non-dropping-particle&quot;:&quot;&quot;},{&quot;family&quot;:&quot;Spiegel&quot;,&quot;given&quot;:&quot;David&quot;,&quot;parse-names&quot;:false,&quot;dropping-particle&quot;:&quot;&quot;,&quot;non-dropping-particle&quot;:&quot;&quot;},{&quot;family&quot;:&quot;Levenson&quot;,&quot;given&quot;:&quot;James L&quot;,&quot;parse-names&quot;:false,&quot;dropping-particle&quot;:&quot;&quot;,&quot;non-dropping-particle&quot;:&quot;&quot;},{&quot;family&quot;:&quot;Sharpe&quot;,&quot;given&quot;:&quot;Michael&quot;,&quot;parse-names&quot;:false,&quot;dropping-particle&quot;:&quot;&quot;,&quot;non-dropping-particle&quot;:&quot;&quot;}],&quot;container-title&quot;:&quot;Journal of Psychosomatic Research&quot;,&quot;container-title-short&quot;:&quot;J Psychosom Res&quot;,&quot;DOI&quot;:&quot;https://doi.org/10.1016/j.jpsychores.2011.07.005&quot;,&quot;ISSN&quot;:&quot;0022-3999&quot;,&quot;URL&quot;:&quot;http://www.sciencedirect.com/science/article/pii/S0022399911002133&quot;,&quot;issued&quot;:{&quot;date-parts&quot;:[[2011]]},&quot;page&quot;:&quot;369-376&quot;,&quot;abstract&quot;:&quot;Conversion disorder in the Diagnostic and Statistical Manual of Mental Disorders (DSM-IV-TR) describes neurological symptoms, including weakness, numbness and events resembling epilepsy or syncope, which can be positively identified as not being due to recognised neurological disease. This review combines perspectives from psychiatry, psychology and neurology to identify and discuss key problems with the current diagnostic DSM-IV criteria for conversion disorder and to make the following proposals for DSM-5: (a) abandoning the label “conversion disorder” and replacing it with an alternative term that is both theoretically neutral and potentially more acceptable to patients and practitioners; (b) relegating the requirements for “association of psychological factors” and the “exclusion of feigning” to the accompanying text; (c) adding a criterion requiring clinical findings of internal inconsistency or incongruity with recognised neurological or medical disease and altering the current ‘disease exclusion’ criteria to one in which the symptom must not be ‘better explained’ by a disease if present, (d) adding a ‘cognitive symptoms’ subtype. We also discuss whether conversion symptoms are better classified with other somatic symptom disorders or with dissociative disorders and how we might address the potential heterogeneity of conversion symptoms in classification.&quot;,&quot;issue&quot;:&quot;6&quot;,&quot;volume&quot;:&quot;71&quot;},&quot;isTemporary&quot;:false}],&quot;citationTag&quot;:&quot;MENDELEY_CITATION_v3_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&quot;},{&quot;citationID&quot;:&quot;MENDELEY_CITATION_5dea8630-b1ed-44f9-a994-1351af3aa212&quot;,&quot;properties&quot;:{&quot;noteIndex&quot;:0},&quot;isEdited&quot;:false,&quot;manualOverride&quot;:{&quot;isManuallyOverridden&quot;:true,&quot;citeprocText&quot;:&quot;(C. D. Stephen et al., 2021; Williams et al., 2001)&quot;,&quot;manualOverrideText&quot;:&quot;(Stephen et al., 2021; Williams et al., 2001)&quot;},&quot;citationItems&quot;:[{&quot;id&quot;:&quot;27746515-b0a5-3f1d-ae9b-e3d77de6ad21&quot;,&quot;itemData&quot;:{&quot;type&quot;:&quot;article-journal&quot;,&quot;id&quot;:&quot;27746515-b0a5-3f1d-ae9b-e3d77de6ad21&quot;,&quot;title&quot;:&quot;Assessment of Emergency Department and Inpatient Use and Costs in Adult and Pediatric Functional Neurological Disorders&quot;,&quot;author&quot;:[{&quot;family&quot;:&quot;Stephen&quot;,&quot;given&quot;:&quot;Christopher D&quot;,&quot;parse-names&quot;:false,&quot;dropping-particle&quot;:&quot;&quot;,&quot;non-dropping-particle&quot;:&quot;&quot;},{&quot;family&quot;:&quot;Fung&quot;,&quot;given&quot;:&quot;Vicki&quot;,&quot;parse-names&quot;:false,&quot;dropping-particle&quot;:&quot;&quot;,&quot;non-dropping-particle&quot;:&quot;&quot;},{&quot;family&quot;:&quot;Lungu&quot;,&quot;given&quot;:&quot;Codrin I&quot;,&quot;parse-names&quot;:false,&quot;dropping-particle&quot;:&quot;&quot;,&quot;non-dropping-particle&quot;:&quot;&quot;},{&quot;family&quot;:&quot;Espay&quot;,&quot;given&quot;:&quot;Alberto J&quot;,&quot;parse-names&quot;:false,&quot;dropping-particle&quot;:&quot;&quot;,&quot;non-dropping-particle&quot;:&quot;&quot;}],&quot;container-title&quot;:&quot;JAMA Neurology&quot;,&quot;container-title-short&quot;:&quot;JAMA Neurol&quot;,&quot;DOI&quot;:&quot;10.1001/jamaneurol.2020.3753&quot;,&quot;ISSN&quot;:&quot;2168-6149&quot;,&quot;URL&quot;:&quot;https://doi.org/10.1001/jamaneurol.2020.3753&quot;,&quot;issued&quot;:{&quot;date-parts&quot;:[[2021]]},&quot;page&quot;:&quot;88-101&quot;,&quot;abstract&quot;:&quot;There is limited information about health care use and costs in patients with functional neurological disorders (FNDs).To assess US emergency department (ED) and inpatient use and charges for FNDs.This economic evaluation used Healthcare Cost and Utilization Project data to assess all-payer (1) adult (age, ≥18 years) hospitalizations (2008-2017), (2) pediatric (age, 5-17 years) hospitalizations (2003, 2006, 2009, 2012, and 2016), and (3) adult and pediatric ED evaluations (2008-2017). International Classification of Diseases, Ninth Revision, Clinical Modification code 300.11 (conversion disorder) or 306.0 (musculoskeletal malfunction arising from mental factors) and International Statistical Classification of Diseases and Related Health Problems, Tenth Revision, Clinical Modification codes for conversion disorder/functional neurological symptom disorder (F44.4 to F44.7) were used to conservatively define FNDs and to compare them with other neurological disorders that are associated with high levels of health care use. Analysis was performed between January 2019 and July 2020.Admission traits (eg, demographic characteristics of patients, length of stay, and discharge disposition) and hospital charges.Compared with other neurological disorders in 2017, emergency FND evaluations of 36 359 adults (25 807 women [71.0%] and 3800 children (2733 girls [71.9%]) more frequently resulted in inpatient admissions (22 895 adult admissions [69.2% female] and 1264 pediatric admissions [73.4% ]). These FND admissions had a shorter mean (SEM) hospital length of stay (5.21 [0.15] days vs 6.03 [0.03] days, P &amp;lt; .001) but higher workup rates than admissions for comparable neurological diagnoses. Admissions for FNDs had low rates of inpatient physical therapy, occupational therapy, speech and language pathology, and psychiatric consultation. The total annual costs (a proxy for total costs in 2017 US dollars) were $1066 million (95% CI, $971-$1160 million) for adult FND inpatient charges in 2017 compared with $1241 million (95% CI, $1132-$1351 million) for anterior horn cell disease; $75 million (95% CI, $57-$92 million) for pediatric FND inpatient charges in 2012 compared with $86 million (95% CI, $63-$108 million) for demyelinating diseases; and $163 million (95% CI, $144-$182 million) for adult and pediatric ED visits in 2017 compared with $135 million (95% CI $111-$159 million) for refractory epilepsy. Total charges per admission for ED care of FNDs were higher than the other comparison groups in adults. Total costs and costs per admission for FNDs increased from 2008 to 2017 at a higher rate than that of other neurological disorders.This economic evaluation found that the more than $1.2 billion and increasing annual costs for ED and inpatient care of FNDs were similar to other investigation-intensive and pharmacologically demanding neurological disorders. Unnecessary investigations and iatrogenic harm inflate costs at the expense of necessary but neglected psychiatric and rehabilitative treatments.&quot;,&quot;issue&quot;:&quot;1&quot;,&quot;volume&quot;:&quot;78&quot;},&quot;isTemporary&quot;:false},{&quot;id&quot;:&quot;e3603731-1db5-3360-9838-467f094f733b&quot;,&quot;itemData&quot;:{&quot;type&quot;:&quot;article-journal&quot;,&quot;id&quot;:&quot;e3603731-1db5-3360-9838-467f094f733b&quot;,&quot;title&quot;:&quot;Psychiatric status, somatisation, and health care utilization of frequent attenders at the emergency department: a comparison with routine attenders&quot;,&quot;author&quot;:[{&quot;family&quot;:&quot;Williams&quot;,&quot;given&quot;:&quot;Edwina R.L.&quot;,&quot;parse-names&quot;:false,&quot;dropping-particle&quot;:&quot;&quot;,&quot;non-dropping-particle&quot;:&quot;&quot;},{&quot;family&quot;:&quot;Guthrie&quot;,&quot;given&quot;:&quot;Elspeth&quot;,&quot;parse-names&quot;:false,&quot;dropping-particle&quot;:&quot;&quot;,&quot;non-dropping-particle&quot;:&quot;&quot;},{&quot;family&quot;:&quot;Mackway-Jones&quot;,&quot;given&quot;:&quot;Kevin&quot;,&quot;parse-names&quot;:false,&quot;dropping-particle&quot;:&quot;&quot;,&quot;non-dropping-particle&quot;:&quot;&quot;},{&quot;family&quot;:&quot;James&quot;,&quot;given&quot;:&quot;Marilyn&quot;,&quot;parse-names&quot;:false,&quot;dropping-particle&quot;:&quot;&quot;,&quot;non-dropping-particle&quot;:&quot;&quot;},{&quot;family&quot;:&quot;Tomenson&quot;,&quot;given&quot;:&quot;Barbara&quot;,&quot;parse-names&quot;:false,&quot;dropping-particle&quot;:&quot;&quot;,&quot;non-dropping-particle&quot;:&quot;&quot;},{&quot;family&quot;:&quot;Eastham&quot;,&quot;given&quot;:&quot;Joe&quot;,&quot;parse-names&quot;:false,&quot;dropping-particle&quot;:&quot;&quot;,&quot;non-dropping-particle&quot;:&quot;&quot;},{&quot;family&quot;:&quot;McNally&quot;,&quot;given&quot;:&quot;Deborah&quot;,&quot;parse-names&quot;:false,&quot;dropping-particle&quot;:&quot;&quot;,&quot;non-dropping-particle&quot;:&quot;&quot;}],&quot;container-title&quot;:&quot;Journal of psychosomatic research&quot;,&quot;container-title-short&quot;:&quot;J Psychosom Res&quot;,&quot;accessed&quot;:{&quot;date-parts&quot;:[[2023,5,8]]},&quot;DOI&quot;:&quot;10.1016/S0022-3999(00)00228-2&quot;,&quot;ISSN&quot;:&quot;0022-3999&quot;,&quot;PMID&quot;:&quot;11316509&quot;,&quot;URL&quot;:&quot;https://pubmed.ncbi.nlm.nih.gov/11316509/&quot;,&quot;issued&quot;:{&quot;date-parts&quot;:[[2001]]},&quot;page&quot;:&quot;161-167&quot;,&quot;abstract&quot;:&quot;Seventy-seven frequent attenders at an emergency department (ED) in an inner-city hospital in the UK (defined as seven or more visits in the previous 12 months) were compared with 182 patients who were attending the same department on a routine basis. Patients completed the Schedules for Clinical Assessment in Neuropsychiatry (SCAN) and the Short Form (SF)-36. Information was obtained on 64% of the frequent attenders and 45% underwent a detailed psychiatric assessment. Of the frequent attenders, 45% had psychiatric disorder and 49% had some form of an alcohol-related disorder. Compared with routine attenders, frequent attenders reported lower health status, had more psychiatric disorder (odds ratio: OR = 8.2, 95% confidence interval: CI = 3.8-18.1), had more general hospital admissions (OR = 19.9, 95% CI = 8.3-47.8), more psychiatric admissions (OR = 167.5, 95% CI = 9.5-2959.0), and more GP visits (95% CI for difference = - 10.2 to - 5.7). There was no evidence that frequent attenders had more somatisation than routine attenders. Specific treatment and management strategies need to be developed for this group of patients, although a substantial proportion may be difficult to engage in the treatment process. © 2001 Elsevier Science Inc. All rights reserved.&quot;,&quot;publisher&quot;:&quot;J Psychosom Res&quot;,&quot;issue&quot;:&quot;3&quot;,&quot;volume&quot;:&quot;50&quot;},&quot;isTemporary&quot;:false}],&quot;citationTag&quot;:&quot;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&quot;},{&quot;citationID&quot;:&quot;MENDELEY_CITATION_3ab568ac-2345-4cc4-bfb7-cd46eff9aa7a&quot;,&quot;properties&quot;:{&quot;noteIndex&quot;:0},&quot;isEdited&quot;:false,&quot;manualOverride&quot;:{&quot;isManuallyOverridden&quot;:false,&quot;citeprocText&quot;:&quot;(Beharry et al., 2021)&quot;,&quot;manualOverrideText&quot;:&quot;&quot;},&quot;citationItems&quot;:[{&quot;id&quot;:&quot;af86b3d6-9152-311c-a89d-adaa5a0e8083&quot;,&quot;itemData&quot;:{&quot;type&quot;:&quot;article-journal&quot;,&quot;id&quot;:&quot;af86b3d6-9152-311c-a89d-adaa5a0e8083&quot;,&quot;title&quot;:&quot;Functional neurological disorders presenting as emergencies to secondary care&quot;,&quot;author&quot;:[{&quot;family&quot;:&quot;Beharry&quot;,&quot;given&quot;:&quot;James&quot;,&quot;parse-names&quot;:false,&quot;dropping-particle&quot;:&quot;&quot;,&quot;non-dropping-particle&quot;:&quot;&quot;},{&quot;family&quot;:&quot;Palmer&quot;,&quot;given&quot;:&quot;David&quot;,&quot;parse-names&quot;:false,&quot;dropping-particle&quot;:&quot;&quot;,&quot;non-dropping-particle&quot;:&quot;&quot;},{&quot;family&quot;:&quot;Wu&quot;,&quot;given&quot;:&quot;Teddy&quot;,&quot;parse-names&quot;:false,&quot;dropping-particle&quot;:&quot;&quot;,&quot;non-dropping-particle&quot;:&quot;&quot;},{&quot;family&quot;:&quot;Wilson&quot;,&quot;given&quot;:&quot;Duncan&quot;,&quot;parse-names&quot;:false,&quot;dropping-particle&quot;:&quot;&quot;,&quot;non-dropping-particle&quot;:&quot;&quot;},{&quot;family&quot;:&quot;Heron&quot;,&quot;given&quot;:&quot;Campbell&quot;,&quot;parse-names&quot;:false,&quot;dropping-particle&quot;:&quot;&quot;,&quot;non-dropping-particle&quot;:&quot;Le&quot;},{&quot;family&quot;:&quot;Mason&quot;,&quot;given&quot;:&quot;Deborah&quot;,&quot;parse-names&quot;:false,&quot;dropping-particle&quot;:&quot;&quot;,&quot;non-dropping-particle&quot;:&quot;&quot;},{&quot;family&quot;:&quot;Reimers&quot;,&quot;given&quot;:&quot;Jon&quot;,&quot;parse-names&quot;:false,&quot;dropping-particle&quot;:&quot;&quot;,&quot;non-dropping-particle&quot;:&quot;&quot;},{&quot;family&quot;:&quot;Fink&quot;,&quot;given&quot;:&quot;John&quot;,&quot;parse-names&quot;:false,&quot;dropping-particle&quot;:&quot;&quot;,&quot;non-dropping-particle&quot;:&quot;&quot;},{&quot;family&quot;:&quot;Mulder&quot;,&quot;given&quot;:&quot;Roger&quot;,&quot;parse-names&quot;:false,&quot;dropping-particle&quot;:&quot;&quot;,&quot;non-dropping-particle&quot;:&quot;&quot;},{&quot;family&quot;:&quot;Duncan&quot;,&quot;given&quot;:&quot;Roderick&quot;,&quot;parse-names&quot;:false,&quot;dropping-particle&quot;:&quot;&quot;,&quot;non-dropping-particle&quot;:&quot;&quot;}],&quot;container-title&quot;:&quot;European journal of neurology&quot;,&quot;container-title-short&quot;:&quot;Eur J Neurol&quot;,&quot;accessed&quot;:{&quot;date-parts&quot;:[[2023,5,8]]},&quot;DOI&quot;:&quot;10.1111/ENE.14728&quot;,&quot;ISSN&quot;:&quot;1468-1331&quot;,&quot;PMID&quot;:&quot;33426732&quot;,&quot;URL&quot;:&quot;https://pubmed.ncbi.nlm.nih.gov/33426732/&quot;,&quot;issued&quot;:{&quot;date-parts&quot;:[[2021,5,1]]},&quot;page&quot;:&quot;1441-1445&quot;,&quot;abstract&quot;:&quot;Background: Functional neurological disorders (FND) represent a significant proportion of presentations to outpatient adult neurology services. There is little information relating to patients presenting to acute inpatient care. Methods: We identified patients presenting as acute admissions with FND to Christchurch Hospital, Christchurch, New Zealand, from 2016 to 2018. We analyzed relevant demographic and clinical data from electronic records and measured incidence of presentation to secondary care and healthcare utilization. Results: One hundred sixty-two patients presented on 173 occasions with FND, representing 9% of all admissions to the neurology service during the 3-year study period. The mean age was 40 (SD 17) years, 111 (69%) patients were female and the median length of stay was 3 (IQR 2–4) days. A total of 92 computed tomography brain scans, 77 magnetic resonance imaging brain scans and 42 electroencephalograms were carried out. On 22 (13%) occasions, patients were referred for outpatient psychological therapy. In the 3 years prior to each patient's last presentation in the study period, these 162 patients had a total of 671 presentations to the emergency department. Healthcare demand did not decrease after the index admission. The rate of acute inpatient admission for FND was 10 per 100,000 per year for the total Christchurch Hospital catchment, 6/100,000/year in rural areas, and 11/100,000/year in urban areas. Conclusion: FND represented almost 1 in 10 acute neurology admissions with significant inpatient healthcare resource utilization.&quot;,&quot;publisher&quot;:&quot;Eur J Neurol&quot;,&quot;issue&quot;:&quot;5&quot;,&quot;volume&quot;:&quot;28&quot;},&quot;isTemporary&quot;:false}],&quot;citationTag&quot;:&quot;MENDELEY_CITATION_v3_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&quot;},{&quot;citationID&quot;:&quot;MENDELEY_CITATION_6fb93d2a-29ff-4f10-b50e-0a98ce42ab1b&quot;,&quot;properties&quot;:{&quot;noteIndex&quot;:0},&quot;isEdited&quot;:false,&quot;manualOverride&quot;:{&quot;isManuallyOverridden&quot;:true,&quot;citeprocText&quot;:&quot;(Dickson et al., 2017)&quot;,&quot;manualOverrideText&quot;:&quot;(Dickson et al., 2017). Up&quot;},&quot;citationItems&quot;:[{&quot;id&quot;:&quot;0a97872f-ad9f-3518-b8b8-db45384f576f&quot;,&quot;itemData&quot;:{&quot;type&quot;:&quot;article-journal&quot;,&quot;id&quot;:&quot;0a97872f-ad9f-3518-b8b8-db45384f576f&quot;,&quot;title&quot;:&quot;Cross-sectional study of the hospital management of adult patients with a suspected seizure (EPIC2)&quot;,&quot;author&quot;:[{&quot;family&quot;:&quot;Dickson&quot;,&quot;given&quot;:&quot;J M&quot;,&quot;parse-names&quot;:false,&quot;dropping-particle&quot;:&quot;&quot;,&quot;non-dropping-particle&quot;:&quot;&quot;},{&quot;family&quot;:&quot;Dudhill&quot;,&quot;given&quot;:&quot;H&quot;,&quot;parse-names&quot;:false,&quot;dropping-particle&quot;:&quot;&quot;,&quot;non-dropping-particle&quot;:&quot;&quot;},{&quot;family&quot;:&quot;Shewan&quot;,&quot;given&quot;:&quot;J&quot;,&quot;parse-names&quot;:false,&quot;dropping-particle&quot;:&quot;&quot;,&quot;non-dropping-particle&quot;:&quot;&quot;},{&quot;family&quot;:&quot;Mason&quot;,&quot;given&quot;:&quot;S&quot;,&quot;parse-names&quot;:false,&quot;dropping-particle&quot;:&quot;&quot;,&quot;non-dropping-particle&quot;:&quot;&quot;},{&quot;family&quot;:&quot;Grünewald&quot;,&quot;given&quot;:&quot;R A&quot;,&quot;parse-names&quot;:false,&quot;dropping-particle&quot;:&quot;&quot;,&quot;non-dropping-particle&quot;:&quot;&quot;},{&quot;family&quot;:&quot;Reuber&quot;,&quot;given&quot;:&quot;M&quot;,&quot;parse-names&quot;:false,&quot;dropping-particle&quot;:&quot;&quot;,&quot;non-dropping-particle&quot;:&quot;&quot;}],&quot;container-title&quot;:&quot;BMJ Open&quot;,&quot;container-title-short&quot;:&quot;BMJ Open&quot;,&quot;DOI&quot;:&quot;10.1136/bmjopen-2016-015696&quot;,&quot;ISSN&quot;:&quot;2044-6055&quot;,&quot;PMID&quot;:&quot;28706099&quot;,&quot;issued&quot;:{&quot;date-parts&quot;:[[2017]]},&quot;page&quot;:&quot;e015696&quot;,&quot;language&quot;:&quot;eng&quot;,&quot;abstract&quot;:&quot;OBJECTIVE: To determine the clinical characteristics, management and outcomes of patients taken to hospital by emergency ambulance after a suspected seizure. DESIGN: Quantitative cross-sectional retrospective study of a consecutive series of patients. SETTING: An acute hospital trust in a large city in England. PARTICIPANTS: In 2012-2013, the regions' ambulance service managed 605 481 emergency incidents, 74 141/605 481 originated from Sheffield (a large city in the region), 2121/74 141 (2.9%) were suspected seizures and 178/2121 occurred in May 2012. We undertook detailed analysis of the medical records of the 91/178 patients who were transported to the city's acute hospital. After undertaking a retrospective review of the medical records, the best available aetiological explanation for the seizures was determined. RESULTS: The best available aetiological explanation for 74.7% (68/91) of the incidents was an epileptic seizure, 11.0% (10/91) were psychogenic non-epileptic seizures and 9.9% (9/91) were cardiogenic events. The epileptic seizures fall into the following four categories: first epileptic seizure (13.2%, 12/91), epileptic seizure with a historical diagnosis of epilepsy (30.8%, 28/91), recurrent epileptic seizures without a historical diagnosis of epilepsy (20.9%, 19/91) and acute symptomatic seizures (9.9%, 9/91). Of those with seizures (excluding cardiogenic events), 2.4% (2/82) of patients were seizing on arrival in the Emergency Department (ED), 19.5% (16/82) were postictal and 69.5% (57/82) were alert. 63.4% (52/82) were discharged at the end of their ED attendance and 36.5% (19/52) of these had no referral or follow-up. CONCLUSIONS: Most suspected seizures are epileptic seizures but this is a diagnostically heterogeneous group. Only a small minority of patients require emergency medical care but most are transported to hospital. Few patients receive expert review and many are discharged home without referral to a specialist leaving them at risk of further seizures and the associated morbidity, mortality and health services costs of poorly controlled epilepsy.&quot;,&quot;edition&quot;:&quot;2017/07/15&quot;,&quot;issue&quot;:&quot;7&quot;,&quot;volume&quot;:&quot;7&quot;},&quot;isTemporary&quot;:false}],&quot;citationTag&quot;:&quot;MENDELEY_CITATION_v3_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&quot;},{&quot;citationID&quot;:&quot;MENDELEY_CITATION_b5506c11-7e1b-44ac-8843-1e657cd4490f&quot;,&quot;properties&quot;:{&quot;noteIndex&quot;:0},&quot;isEdited&quot;:false,&quot;manualOverride&quot;:{&quot;isManuallyOverridden&quot;:true,&quot;citeprocText&quot;:&quot;(Reuber et al., 2003)&quot;,&quot;manualOverrideText&quot;:&quot;(Reuber, Pukrop, Mitchell, et al., 2003)&quot;},&quot;citationItems&quot;:[{&quot;id&quot;:&quot;696eba6f-779c-375c-a280-fd70311abf47&quot;,&quot;itemData&quot;:{&quot;type&quot;:&quot;article-journal&quot;,&quot;id&quot;:&quot;696eba6f-779c-375c-a280-fd70311abf47&quot;,&quot;title&quot;:&quot;Clinical significance of recurrent psychogenic nonepileptic seizure status&quot;,&quot;author&quot;:[{&quot;family&quot;:&quot;Reuber&quot;,&quot;given&quot;:&quot;Markus&quot;,&quot;parse-names&quot;:false,&quot;dropping-particle&quot;:&quot;&quot;,&quot;non-dropping-particle&quot;:&quot;&quot;},{&quot;family&quot;:&quot;Pukrop&quot;,&quot;given&quot;:&quot;Ralf&quot;,&quot;parse-names&quot;:false,&quot;dropping-particle&quot;:&quot;&quot;,&quot;non-dropping-particle&quot;:&quot;&quot;},{&quot;family&quot;:&quot;Mitchell&quot;,&quot;given&quot;:&quot;Alex J.&quot;,&quot;parse-names&quot;:false,&quot;dropping-particle&quot;:&quot;&quot;,&quot;non-dropping-particle&quot;:&quot;&quot;},{&quot;family&quot;:&quot;Bauer&quot;,&quot;given&quot;:&quot;Jürgen&quot;,&quot;parse-names&quot;:false,&quot;dropping-particle&quot;:&quot;&quot;,&quot;non-dropping-particle&quot;:&quot;&quot;},{&quot;family&quot;:&quot;Elger&quot;,&quot;given&quot;:&quot;Christian E.&quot;,&quot;parse-names&quot;:false,&quot;dropping-particle&quot;:&quot;&quot;,&quot;non-dropping-particle&quot;:&quot;&quot;}],&quot;container-title&quot;:&quot;Journal of neurology&quot;,&quot;container-title-short&quot;:&quot;J Neurol&quot;,&quot;accessed&quot;:{&quot;date-parts&quot;:[[2023,4,28]]},&quot;DOI&quot;:&quot;10.1007/S00415-003-0224-Z&quot;,&quot;ISSN&quot;:&quot;0340-5354&quot;,&quot;PMID&quot;:&quot;14648153&quot;,&quot;URL&quot;:&quot;https://pubmed.ncbi.nlm.nih.gov/14648153/&quot;,&quot;issued&quot;:{&quot;date-parts&quot;:[[2003,11]]},&quot;page&quot;:&quot;1355-1362&quot;,&quot;abstract&quot;:&quot;To explore the clinical significance of a history of recurrent psychogenic nonepileptic seizure status (PNES-status), this study describes the frequency of PNES-status in 85 consecutive PNES patients and examines whether there are relevant differences between patients with a history of recurrent PNES-status and other PNES-patients. PNES patients were also compared with 64 patients with epilepsy. Data were extracted from hospital records and a postal questionnaire (Dimensional Assessment of Personality Pathology-Basic Questionnaire; Screening for Somatoform Symptoms; Dissociative Experience Scale). Of the PNES-patients, 77.6% reported at least one seizure &gt; 30 minutes (PNES-status), 27% admission to intensive care with status. 38.8% reported recurrent hospital admissions with status (PNES-status group), the remaining patients served as PNES-controls. The only clinical difference between the two PNES groups was that status patients were younger than PNES-controls (mean age 20.3 vs. 30.3 years, p = 0.001). Our results suggest that PNES status is common and often unrecognised. There were no substantial psychometric differences between patients with recurrent PNES-status and other PNES patients although both PNES-groups had more abnormal somatisation, dissociation and personality scores than patients with epilepsy.&quot;,&quot;publisher&quot;:&quot;J Neurol&quot;,&quot;issue&quot;:&quot;11&quot;,&quot;volume&quot;:&quot;250&quot;},&quot;isTemporary&quot;:false}],&quot;citationTag&quot;:&quot;MENDELEY_CITATION_v3_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&quot;},{&quot;citationID&quot;:&quot;MENDELEY_CITATION_e0466828-e225-40b7-a4ef-53366dcf081d&quot;,&quot;properties&quot;:{&quot;noteIndex&quot;:0},&quot;isEdited&quot;:false,&quot;manualOverride&quot;:{&quot;isManuallyOverridden&quot;:false,&quot;citeprocText&quot;:&quot;(Barsky et al., 2005; Jones et al., 2020; Popkirov et al., 2020)&quot;,&quot;manualOverrideText&quot;:&quot;&quot;},&quot;citationItems&quot;:[{&quot;id&quot;:&quot;8824e960-0d96-38c9-bfba-888409b9e9dd&quot;,&quot;itemData&quot;:{&quot;type&quot;:&quot;article-journal&quot;,&quot;id&quot;:&quot;8824e960-0d96-38c9-bfba-888409b9e9dd&quot;,&quot;title&quot;:&quot;Functional Neurological Disorder: A Common and Treatable Stroke Mimic&quot;,&quot;author&quot;:[{&quot;family&quot;:&quot;Popkirov&quot;,&quot;given&quot;:&quot;Stoyan&quot;,&quot;parse-names&quot;:false,&quot;dropping-particle&quot;:&quot;&quot;,&quot;non-dropping-particle&quot;:&quot;&quot;},{&quot;family&quot;:&quot;Stone&quot;,&quot;given&quot;:&quot;Jon&quot;,&quot;parse-names&quot;:false,&quot;dropping-particle&quot;:&quot;&quot;,&quot;non-dropping-particle&quot;:&quot;&quot;},{&quot;family&quot;:&quot;Buchan&quot;,&quot;given&quot;:&quot;Alastair M.&quot;,&quot;parse-names&quot;:false,&quot;dropping-particle&quot;:&quot;&quot;,&quot;non-dropping-particle&quot;:&quot;&quot;}],&quot;container-title&quot;:&quot;Stroke&quot;,&quot;container-title-short&quot;:&quot;Stroke&quot;,&quot;accessed&quot;:{&quot;date-parts&quot;:[[2023,5,8]]},&quot;DOI&quot;:&quot;10.1161/STROKEAHA.120.029076&quot;,&quot;ISSN&quot;:&quot;1524-4628&quot;,&quot;PMID&quot;:&quot;32295508&quot;,&quot;URL&quot;:&quot;https://pubmed.ncbi.nlm.nih.gov/32295508/&quot;,&quot;issued&quot;:{&quot;date-parts&quot;:[[2020]]},&quot;page&quot;:&quot;1629-1635&quot;,&quot;publisher&quot;:&quot;Stroke&quot;,&quot;issue&quot;:&quot;5&quot;,&quot;volume&quot;:&quot;51&quot;},&quot;isTemporary&quot;:false},{&quot;id&quot;:&quot;3af66685-63f6-34ac-8b22-61921daa3388&quot;,&quot;itemData&quot;:{&quot;type&quot;:&quot;article-journal&quot;,&quot;id&quot;:&quot;3af66685-63f6-34ac-8b22-61921daa3388&quot;,&quot;title&quot;:&quot;Epidemiology of functional stroke mimic patients: a systematic review and meta-analysis&quot;,&quot;author&quot;:[{&quot;family&quot;:&quot;Jones&quot;,&quot;given&quot;:&quot;A. T.&quot;,&quot;parse-names&quot;:false,&quot;dropping-particle&quot;:&quot;&quot;,&quot;non-dropping-particle&quot;:&quot;&quot;},{&quot;family&quot;:&quot;O'Connell&quot;,&quot;given&quot;:&quot;N. K.&quot;,&quot;parse-names&quot;:false,&quot;dropping-particle&quot;:&quot;&quot;,&quot;non-dropping-particle&quot;:&quot;&quot;},{&quot;family&quot;:&quot;David&quot;,&quot;given&quot;:&quot;A. S.&quot;,&quot;parse-names&quot;:false,&quot;dropping-particle&quot;:&quot;&quot;,&quot;non-dropping-particle&quot;:&quot;&quot;}],&quot;container-title&quot;:&quot;European journal of neurology&quot;,&quot;container-title-short&quot;:&quot;Eur J Neurol&quot;,&quot;accessed&quot;:{&quot;date-parts&quot;:[[2023,5,8]]},&quot;DOI&quot;:&quot;10.1111/ENE.14069&quot;,&quot;ISSN&quot;:&quot;1468-1331&quot;,&quot;PMID&quot;:&quot;31448489&quot;,&quot;URL&quot;:&quot;https://pubmed.ncbi.nlm.nih.gov/31448489/&quot;,&quot;issued&quot;:{&quot;date-parts&quot;:[[2020,1,1]]},&quot;page&quot;:&quot;18-26&quot;,&quot;abstract&quot;:&quot;Stroke mimics form a significant proportion of cases in acute stroke services and some present with functional neurological disorder. Little is known about the prevalence or clinical characteristics of functional stroke mimics (FSMs). A systematic literature search and meta-analysis were carried out on published studies reporting suspected stroke and stroke mimic rates; 114 papers met the inclusion criteria of which 70 provided an FSM rate. Random-effects models estimated prevalence rates across settings and moderators of FSM rate. Pooled proportions indicated that 25% [95% confidence intervals (CI), 22–27%] of suspected stroke cases were stroke mimics. Within the 67 studies providing positive FSM rates, FSMs represented 15% (95% CI, 13–18%) of stroke mimics and 2% (95% CI, 2–3%) of suspected strokes. FSMs were younger and more likely to be female, and presented more with weakness/numbness but less with reduced consciousness or language problems. Stratified analyses suggested higher stroke mimic rates in primary care versus acute settings (38% vs. 12%) but higher FSM rates in stroke units compared with primary care (24% vs. 12%). Functional rates were higher in studies that were descriptive, retrospective and in patients receiving thrombolysis. Several studies reported the proportion of functional stroke patients presenting to stroke services. FSMs have discernible demographic and clinical characteristics, but there is a conspicuous lack of evidence on their presentation or guidance for treatment. The social and psychological mechanisms underlying FSM presentations need more accurate quantification to help inform stroke pathways and improve care for these patients.&quot;,&quot;publisher&quot;:&quot;Eur J Neurol&quot;,&quot;issue&quot;:&quot;1&quot;,&quot;volume&quot;:&quot;27&quot;},&quot;isTemporary&quot;:false},{&quot;id&quot;:&quot;c3c14845-8c91-3fdc-a46a-dfaacd72f3f6&quot;,&quot;itemData&quot;:{&quot;type&quot;:&quot;article-journal&quot;,&quot;id&quot;:&quot;c3c14845-8c91-3fdc-a46a-dfaacd72f3f6&quot;,&quot;title&quot;:&quot;Somatization increases medical utilization and costs independent of psychiatric and medical comorbidity&quot;,&quot;author&quot;:[{&quot;family&quot;:&quot;Barsky&quot;,&quot;given&quot;:&quot;A J&quot;,&quot;parse-names&quot;:false,&quot;dropping-particle&quot;:&quot;&quot;,&quot;non-dropping-particle&quot;:&quot;&quot;},{&quot;family&quot;:&quot;Orav&quot;,&quot;given&quot;:&quot;E J&quot;,&quot;parse-names&quot;:false,&quot;dropping-particle&quot;:&quot;&quot;,&quot;non-dropping-particle&quot;:&quot;&quot;},{&quot;family&quot;:&quot;Bates&quot;,&quot;given&quot;:&quot;D W&quot;,&quot;parse-names&quot;:false,&quot;dropping-particle&quot;:&quot;&quot;,&quot;non-dropping-particle&quot;:&quot;&quot;}],&quot;container-title&quot;:&quot;Arch Gen Psychiatry&quot;,&quot;DOI&quot;:&quot;10.1001/archpsyc.62.8.903&quot;,&quot;ISSN&quot;:&quot;0003-990X (Print)\r0003-990x&quot;,&quot;PMID&quot;:&quot;16061768&quot;,&quot;issued&quot;:{&quot;date-parts&quot;:[[2005]]},&quot;page&quot;:&quot;903-910&quot;,&quot;language&quot;:&quot;eng&quot;,&quot;abstract&quot;:&quot;CONTEXT: Somatoform disorders are an important determinant of medical care utilization, but their independent effect on utilization is difficult to determine because somatizing patients frequently have psychiatric and medical comorbidity. OBJECTIVES: To assess the extent of the overlap of somatization with other psychiatric disorders; to compare the medical utilization of somatizing and nonsomatizing patients; and to determine the independent contribution of somatization alone to utilization. DESIGN: Patients were surveyed with self-report questionnaires assessing somatization and psychiatric disorder. Medical care utilization was obtained from automated encounter data for the year preceding the index visit. Medical morbidity was indexed with a computerized medical record audit. SETTING: Two hospital-affiliated primary care practices. PARTICIPANTS: Consecutive adults making scheduled visits to their primary care physicians on randomly chosen days. In all, 2668 questionnaires were distributed, and 1914 (71.7%) were returned. Of these, 1546 (80.8%) contained complete data and met eligibility criteria. MAIN OUTCOME MEASURES: Medical care utilization and costs within our hospital system in the preceding 12 months. RESULTS: Two hundred ninety-nine patients (20.5%) received a provisional diagnosis of somatization; 42.3% of these patients had no comorbid depressive or anxiety disorder. Somatizing patients, when compared with nonsomatizing patients, had more primary care visits (mean [SE], 4.90 [0.32] vs 3.43 [0.11]; P&lt;.001); more specialty visits (mean [SE], 8.13 [0.55] vs 4.90 [0.21]; P&lt;.001); more emergency department visits (mean [SE], 1.29 [0.15] vs 0.52 [0.036]; P&lt;.001); more hospital admissions (mean [SE], 0.32 [0.051] vs 0.13 [0.014]; P&lt;.001); higher inpatient costs (mean [SE], USD 3146 [USD 380] vs USD 991 [USD 193]; P&lt;.001); and higher outpatient costs (mean [SE], USD 3208 [USD 180] vs USD 1771 [USD 91]; P&lt;.001). When these results were adjusted for the presence of comorbid anxiety and depressive disorders, major medical morbidity, and sociodemographic characteristics, patients with somatoform disorder still had more primary care visits (P = .04), more specialist visits (P = .002), more emergency department visits (P&lt;.001), more hospital admissions (P&lt;.001), more ambulatory procedures (P&lt;.001), higher inpatient costs (P&lt;.001), and higher outpatient costs (P&lt;.001). When these findings are extrapolated to the national level, an estimated USD 256 billion a year in medical care costs are attributable to the incremental effect of somatization alone. CONCLUSIONS: Patients with somatization had approximately twice the outpatient and inpatient medical care utilization and twice the annual medical care costs of nonsomatizing patients. Adjusting the findings for the presence of psychiatric and medical comorbidity had relatively little effect on this association.&quot;,&quot;edition&quot;:&quot;2005/08/03&quot;,&quot;issue&quot;:&quot;8&quot;,&quot;volume&quot;:&quot;62&quot;,&quot;container-title-short&quot;:&quot;&quot;},&quot;isTemporary&quot;:false}],&quot;citationTag&quot;:&quot;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&quot;},{&quot;citationID&quot;:&quot;MENDELEY_CITATION_5e44d549-e853-44a7-9619-796945814f9a&quot;,&quot;properties&quot;:{&quot;noteIndex&quot;:0},&quot;isEdited&quot;:false,&quot;manualOverride&quot;:{&quot;isManuallyOverridden&quot;:true,&quot;citeprocText&quot;:&quot;(Dickson et al., 2017; Finkelstein et al., 2021; C. Stephen et al., 2021)&quot;,&quot;manualOverrideText&quot;:&quot;(Dickson et al., 2017; Finkelstein et al., 2021; Stephen et al., 2021)&quot;},&quot;citationItems&quot;:[{&quot;id&quot;:&quot;0a97872f-ad9f-3518-b8b8-db45384f576f&quot;,&quot;itemData&quot;:{&quot;type&quot;:&quot;article-journal&quot;,&quot;id&quot;:&quot;0a97872f-ad9f-3518-b8b8-db45384f576f&quot;,&quot;title&quot;:&quot;Cross-sectional study of the hospital management of adult patients with a suspected seizure (EPIC2)&quot;,&quot;author&quot;:[{&quot;family&quot;:&quot;Dickson&quot;,&quot;given&quot;:&quot;J M&quot;,&quot;parse-names&quot;:false,&quot;dropping-particle&quot;:&quot;&quot;,&quot;non-dropping-particle&quot;:&quot;&quot;},{&quot;family&quot;:&quot;Dudhill&quot;,&quot;given&quot;:&quot;H&quot;,&quot;parse-names&quot;:false,&quot;dropping-particle&quot;:&quot;&quot;,&quot;non-dropping-particle&quot;:&quot;&quot;},{&quot;family&quot;:&quot;Shewan&quot;,&quot;given&quot;:&quot;J&quot;,&quot;parse-names&quot;:false,&quot;dropping-particle&quot;:&quot;&quot;,&quot;non-dropping-particle&quot;:&quot;&quot;},{&quot;family&quot;:&quot;Mason&quot;,&quot;given&quot;:&quot;S&quot;,&quot;parse-names&quot;:false,&quot;dropping-particle&quot;:&quot;&quot;,&quot;non-dropping-particle&quot;:&quot;&quot;},{&quot;family&quot;:&quot;Grünewald&quot;,&quot;given&quot;:&quot;R A&quot;,&quot;parse-names&quot;:false,&quot;dropping-particle&quot;:&quot;&quot;,&quot;non-dropping-particle&quot;:&quot;&quot;},{&quot;family&quot;:&quot;Reuber&quot;,&quot;given&quot;:&quot;M&quot;,&quot;parse-names&quot;:false,&quot;dropping-particle&quot;:&quot;&quot;,&quot;non-dropping-particle&quot;:&quot;&quot;}],&quot;container-title&quot;:&quot;BMJ Open&quot;,&quot;container-title-short&quot;:&quot;BMJ Open&quot;,&quot;DOI&quot;:&quot;10.1136/bmjopen-2016-015696&quot;,&quot;ISSN&quot;:&quot;2044-6055&quot;,&quot;PMID&quot;:&quot;28706099&quot;,&quot;issued&quot;:{&quot;date-parts&quot;:[[2017]]},&quot;page&quot;:&quot;e015696&quot;,&quot;language&quot;:&quot;eng&quot;,&quot;abstract&quot;:&quot;OBJECTIVE: To determine the clinical characteristics, management and outcomes of patients taken to hospital by emergency ambulance after a suspected seizure. DESIGN: Quantitative cross-sectional retrospective study of a consecutive series of patients. SETTING: An acute hospital trust in a large city in England. PARTICIPANTS: In 2012-2013, the regions' ambulance service managed 605 481 emergency incidents, 74 141/605 481 originated from Sheffield (a large city in the region), 2121/74 141 (2.9%) were suspected seizures and 178/2121 occurred in May 2012. We undertook detailed analysis of the medical records of the 91/178 patients who were transported to the city's acute hospital. After undertaking a retrospective review of the medical records, the best available aetiological explanation for the seizures was determined. RESULTS: The best available aetiological explanation for 74.7% (68/91) of the incidents was an epileptic seizure, 11.0% (10/91) were psychogenic non-epileptic seizures and 9.9% (9/91) were cardiogenic events. The epileptic seizures fall into the following four categories: first epileptic seizure (13.2%, 12/91), epileptic seizure with a historical diagnosis of epilepsy (30.8%, 28/91), recurrent epileptic seizures without a historical diagnosis of epilepsy (20.9%, 19/91) and acute symptomatic seizures (9.9%, 9/91). Of those with seizures (excluding cardiogenic events), 2.4% (2/82) of patients were seizing on arrival in the Emergency Department (ED), 19.5% (16/82) were postictal and 69.5% (57/82) were alert. 63.4% (52/82) were discharged at the end of their ED attendance and 36.5% (19/52) of these had no referral or follow-up. CONCLUSIONS: Most suspected seizures are epileptic seizures but this is a diagnostically heterogeneous group. Only a small minority of patients require emergency medical care but most are transported to hospital. Few patients receive expert review and many are discharged home without referral to a specialist leaving them at risk of further seizures and the associated morbidity, mortality and health services costs of poorly controlled epilepsy.&quot;,&quot;edition&quot;:&quot;2017/07/15&quot;,&quot;issue&quot;:&quot;7&quot;,&quot;volume&quot;:&quot;7&quot;},&quot;isTemporary&quot;:false},{&quot;id&quot;:&quot;0a4b08c4-946b-3725-9749-36d336bc999e&quot;,&quot;itemData&quot;:{&quot;type&quot;:&quot;article-journal&quot;,&quot;id&quot;:&quot;0a4b08c4-946b-3725-9749-36d336bc999e&quot;,&quot;title&quot;:&quot;Functional neurological disorder in the emergency department&quot;,&quot;author&quot;:[{&quot;family&quot;:&quot;Finkelstein&quot;,&quot;given&quot;:&quot;Sara A.&quot;,&quot;parse-names&quot;:false,&quot;dropping-particle&quot;:&quot;&quot;,&quot;non-dropping-particle&quot;:&quot;&quot;},{&quot;family&quot;:&quot;Cortel-LeBlanc&quot;,&quot;given&quot;:&quot;Miguel A.&quot;,&quot;parse-names&quot;:false,&quot;dropping-particle&quot;:&quot;&quot;,&quot;non-dropping-particle&quot;:&quot;&quot;},{&quot;family&quot;:&quot;Cortel-LeBlanc&quot;,&quot;given&quot;:&quot;Achelle&quot;,&quot;parse-names&quot;:false,&quot;dropping-particle&quot;:&quot;&quot;,&quot;non-dropping-particle&quot;:&quot;&quot;},{&quot;family&quot;:&quot;Stone&quot;,&quot;given&quot;:&quot;Jon&quot;,&quot;parse-names&quot;:false,&quot;dropping-particle&quot;:&quot;&quot;,&quot;non-dropping-particle&quot;:&quot;&quot;}],&quot;container-title&quot;:&quot;Academic Emergency Medicine&quot;,&quot;accessed&quot;:{&quot;date-parts&quot;:[[2023,4,14]]},&quot;DOI&quot;:&quot;10.1111/ACEM.14263&quot;,&quot;ISSN&quot;:&quot;1553-2712&quot;,&quot;PMID&quot;:&quot;33866653&quot;,&quot;URL&quot;:&quot;https://onlinelibrary.wiley.com/doi/full/10.1111/acem.14263&quot;,&quot;issued&quot;:{&quot;date-parts&quot;:[[2021,6,1]]},&quot;page&quot;:&quot;685-696&quot;,&quot;abstract&quot;:&quot;We provide a narrative review of functional neurological disorder (FND, or conversion disorder) for the emergency department (ED). Diagnosis of FND has shifted from a “rule-out” disorder to one now based on the recognition of positive clinical signs, allowing the ED physician to make a suspected or likely diagnosis of FND. PubMed, Google Scholar, academic books, and a hand search through review article references were used to conduct a literature review. We review clinical features and diagnostic pitfalls for the most common functional neurologic presentations to the ED, including functional limb weakness, functional (nonepileptic) seizures, and functional movement disorders. We provide practical advice for discussing FND as a possible diagnosis and suggestions for initial steps in workup and management plans.&quot;,&quot;publisher&quot;:&quot;John Wiley &amp; Sons, Ltd&quot;,&quot;issue&quot;:&quot;6&quot;,&quot;volume&quot;:&quot;28&quot;,&quot;container-title-short&quot;:&quot;&quot;},&quot;isTemporary&quot;:false},{&quot;id&quot;:&quot;334b689b-f016-3607-8f90-f1fe5b2be0b2&quot;,&quot;itemData&quot;:{&quot;type&quot;:&quot;article-journal&quot;,&quot;id&quot;:&quot;334b689b-f016-3607-8f90-f1fe5b2be0b2&quot;,&quot;title&quot;:&quot;Healthcare utilization and inpatient/emergency department costs in adult and pediatric functional neurological disorders (1584)&quot;,&quot;author&quot;:[{&quot;family&quot;:&quot;Stephen&quot;,&quot;given&quot;:&quot;Christopher&quot;,&quot;parse-names&quot;:false,&quot;dropping-particle&quot;:&quot;&quot;,&quot;non-dropping-particle&quot;:&quot;&quot;},{&quot;family&quot;:&quot;Fung&quot;,&quot;given&quot;:&quot;Vicki&quot;,&quot;parse-names&quot;:false,&quot;dropping-particle&quot;:&quot;&quot;,&quot;non-dropping-particle&quot;:&quot;&quot;},{&quot;family&quot;:&quot;Lungu&quot;,&quot;given&quot;:&quot;Codrin&quot;,&quot;parse-names&quot;:false,&quot;dropping-particle&quot;:&quot;&quot;,&quot;non-dropping-particle&quot;:&quot;&quot;},{&quot;family&quot;:&quot;Espay&quot;,&quot;given&quot;:&quot;Alberto&quot;,&quot;parse-names&quot;:false,&quot;dropping-particle&quot;:&quot;&quot;,&quot;non-dropping-particle&quot;:&quot;&quot;}],&quot;container-title&quot;:&quot;Neurology&quot;,&quot;container-title-short&quot;:&quot;Neurology&quot;,&quot;accessed&quot;:{&quot;date-parts&quot;:[[2023,4,28]]},&quot;issued&quot;:{&quot;date-parts&quot;:[[2021]]},&quot;issue&quot;:&quot;15 Supplement&quot;,&quot;volume&quot;:&quot;96&quot;},&quot;isTemporary&quot;:false}],&quot;citationTag&quot;:&quot;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&quot;},{&quot;citationID&quot;:&quot;MENDELEY_CITATION_8949a9b5-47a6-497b-a715-42d27ded8ee2&quot;,&quot;properties&quot;:{&quot;noteIndex&quot;:0},&quot;isEdited&quot;:false,&quot;manualOverride&quot;:{&quot;isManuallyOverridden&quot;:true,&quot;citeprocText&quot;:&quot;(Anderson et al., 2019; Russell et al., 2022)&quot;,&quot;manualOverrideText&quot;:&quot;(J. R. Anderson et al., 2019; Russell et al., 2022)&quot;},&quot;citationItems&quot;:[{&quot;id&quot;:&quot;491dac0d-1a2a-3605-922c-5ed61b37ba77&quot;,&quot;itemData&quot;:{&quot;type&quot;:&quot;article-journal&quot;,&quot;id&quot;:&quot;491dac0d-1a2a-3605-922c-5ed61b37ba77&quot;,&quot;title&quot;:&quot;Developing a multidisciplinary pathway for functional neurological disorders in a UK National Health Service: The Exeter model&quot;,&quot;author&quot;:[{&quot;family&quot;:&quot;Russell&quot;,&quot;given&quot;:&quot;Leo&quot;,&quot;parse-names&quot;:false,&quot;dropping-particle&quot;:&quot;&quot;,&quot;non-dropping-particle&quot;:&quot;&quot;},{&quot;family&quot;:&quot;Butler&quot;,&quot;given&quot;:&quot;Lisa&quot;,&quot;parse-names&quot;:false,&quot;dropping-particle&quot;:&quot;&quot;,&quot;non-dropping-particle&quot;:&quot;&quot;},{&quot;family&quot;:&quot;Lovegrove&quot;,&quot;given&quot;:&quot;Chris&quot;,&quot;parse-names&quot;:false,&quot;dropping-particle&quot;:&quot;&quot;,&quot;non-dropping-particle&quot;:&quot;&quot;},{&quot;family&quot;:&quot;Owens&quot;,&quot;given&quot;:&quot;Colm&quot;,&quot;parse-names&quot;:false,&quot;dropping-particle&quot;:&quot;&quot;,&quot;non-dropping-particle&quot;:&quot;&quot;},{&quot;family&quot;:&quot;Roberts&quot;,&quot;given&quot;:&quot;Lisa&quot;,&quot;parse-names&quot;:false,&quot;dropping-particle&quot;:&quot;&quot;,&quot;non-dropping-particle&quot;:&quot;&quot;},{&quot;family&quot;:&quot;Yates&quot;,&quot;given&quot;:&quot;Phil&quot;,&quot;parse-names&quot;:false,&quot;dropping-particle&quot;:&quot;&quot;,&quot;non-dropping-particle&quot;:&quot;&quot;},{&quot;family&quot;:&quot;Carrick&quot;,&quot;given&quot;:&quot;Rachael&quot;,&quot;parse-names&quot;:false,&quot;dropping-particle&quot;:&quot;&quot;,&quot;non-dropping-particle&quot;:&quot;&quot;},{&quot;family&quot;:&quot;Amoako&quot;,&quot;given&quot;:&quot;Annika&quot;,&quot;parse-names&quot;:false,&quot;dropping-particle&quot;:&quot;&quot;,&quot;non-dropping-particle&quot;:&quot;&quot;},{&quot;family&quot;:&quot;Price&quot;,&quot;given&quot;:&quot;Chris&quot;,&quot;parse-names&quot;:false,&quot;dropping-particle&quot;:&quot;&quot;,&quot;non-dropping-particle&quot;:&quot;&quot;}],&quot;container-title&quot;:&quot;Advances in Clinical Neuroscience &amp; Rehabilitation&quot;,&quot;accessed&quot;:{&quot;date-parts&quot;:[[2023,5,29]]},&quot;DOI&quot;:&quot;10.47795/KAZJ3546&quot;,&quot;issued&quot;:{&quot;date-parts&quot;:[[2022,6,14]]},&quot;abstract&quot;:&quot;Functional neurological disorders remain common presentations to both outpatient and inpatient NHS services, but little consensus exists with respect to how such services and clinical pathways for patients should be structured and should function. This article sets out a model for an integrated multidisciplinary approach that takes full account of the number of specialties involved, constraint on resources and time involved, and that has functioned well in the NHS despite a pandemic.&quot;,&quot;publisher&quot;:&quot;Whitehouse Publishing&quot;,&quot;container-title-short&quot;:&quot;&quot;},&quot;isTemporary&quot;:false},{&quot;id&quot;:&quot;d347ed5c-cb8d-3636-bb82-223765ecc2c6&quot;,&quot;itemData&quot;:{&quot;type&quot;:&quot;article-journal&quot;,&quot;id&quot;:&quot;d347ed5c-cb8d-3636-bb82-223765ecc2c6&quot;,&quot;title&quot;:&quot;Functional (Psychogenic) Neurological Disorders: Assessment and Acute Management in the Emergency Department&quot;,&quot;author&quot;:[{&quot;family&quot;:&quot;Anderson&quot;,&quot;given&quot;:&quot;J R&quot;,&quot;parse-names&quot;:false,&quot;dropping-particle&quot;:&quot;&quot;,&quot;non-dropping-particle&quot;:&quot;&quot;},{&quot;family&quot;:&quot;Nakhate&quot;,&quot;given&quot;:&quot;V&quot;,&quot;parse-names&quot;:false,&quot;dropping-particle&quot;:&quot;&quot;,&quot;non-dropping-particle&quot;:&quot;&quot;},{&quot;family&quot;:&quot;Stephen&quot;,&quot;given&quot;:&quot;C D&quot;,&quot;parse-names&quot;:false,&quot;dropping-particle&quot;:&quot;&quot;,&quot;non-dropping-particle&quot;:&quot;&quot;},{&quot;family&quot;:&quot;Perez&quot;,&quot;given&quot;:&quot;D L&quot;,&quot;parse-names&quot;:false,&quot;dropping-particle&quot;:&quot;&quot;,&quot;non-dropping-particle&quot;:&quot;&quot;}],&quot;container-title&quot;:&quot;Semin Neurol&quot;,&quot;DOI&quot;:&quot;10.1055/s-0038-1676844&quot;,&quot;ISSN&quot;:&quot;0271-8235&quot;,&quot;PMID&quot;:&quot;30743296&quot;,&quot;issued&quot;:{&quot;date-parts&quot;:[[2019]]},&quot;page&quot;:&quot;102-114&quot;,&quot;language&quot;:&quot;eng&quot;,&quot;abstract&quot;:&quot;Functional neurological disorders (FND) are complex and prevalent neuropsychiatric conditions. Importantly, some patients with FND develop acute onset symptoms requiring emergency department (ED) evaluations. Historically, FND was a \&quot;rule-out\&quot; diagnosis, making assessment and management in the ED difficult. While the rapid triage of potential neurological emergencies remains the initial task, advancements have altered the approach to FND. FND is now a \&quot;rule-in\&quot; diagnosis based on validated neurological examination signs and semiological features. In this perspective article, we review signs and semiological features that can help guide the initial assessment of FND in the acute setting. Thereafter, we outline potential approaches to introduce a suspected diagnosis of FND to patients in the ED, while emphasizing the need for a comprehensive neurological evaluation. Physical and occupational therapy may be useful adjunct assessments in some individuals. Notably, clinicians in the ED setting are important members of the interdisciplinary approach to FND.&quot;,&quot;edition&quot;:&quot;2019/02/12&quot;,&quot;issue&quot;:&quot;1&quot;,&quot;volume&quot;:&quot;39&quot;,&quot;container-title-short&quot;:&quot;&quot;},&quot;isTemporary&quot;:false}],&quot;citationTag&quot;:&quot;MENDELEY_CITATION_v3_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&quot;},{&quot;citationID&quot;:&quot;MENDELEY_CITATION_eabb2de5-f970-4adb-802c-74f642c42ee0&quot;,&quot;properties&quot;:{&quot;noteIndex&quot;:0},&quot;isEdited&quot;:false,&quot;manualOverride&quot;:{&quot;isManuallyOverridden&quot;:true,&quot;citeprocText&quot;:&quot;(Moeller et al., 2008)&quot;,&quot;manualOverrideText&quot;:&quot;Moeller et al. (2008)&quot;},&quot;citationItems&quot;:[{&quot;id&quot;:&quot;165431f8-7cde-3ff9-bc05-38f10eb46dd4&quot;,&quot;itemData&quot;:{&quot;type&quot;:&quot;article-journal&quot;,&quot;id&quot;:&quot;165431f8-7cde-3ff9-bc05-38f10eb46dd4&quot;,&quot;title&quot;:&quot;Diagnostic accuracy of neurological problems in the emergency department&quot;,&quot;author&quot;:[{&quot;family&quot;:&quot;Moeller&quot;,&quot;given&quot;:&quot;Jeremy J.&quot;,&quot;parse-names&quot;:false,&quot;dropping-particle&quot;:&quot;&quot;,&quot;non-dropping-particle&quot;:&quot;&quot;},{&quot;family&quot;:&quot;Kurniawan&quot;,&quot;given&quot;:&quot;Joelius&quot;,&quot;parse-names&quot;:false,&quot;dropping-particle&quot;:&quot;&quot;,&quot;non-dropping-particle&quot;:&quot;&quot;},{&quot;family&quot;:&quot;Gubitz&quot;,&quot;given&quot;:&quot;Gordon J.&quot;,&quot;parse-names&quot;:false,&quot;dropping-particle&quot;:&quot;&quot;,&quot;non-dropping-particle&quot;:&quot;&quot;},{&quot;family&quot;:&quot;Ross&quot;,&quot;given&quot;:&quot;John A.&quot;,&quot;parse-names&quot;:false,&quot;dropping-particle&quot;:&quot;&quot;,&quot;non-dropping-particle&quot;:&quot;&quot;},{&quot;family&quot;:&quot;Bhan&quot;,&quot;given&quot;:&quot;Virender&quot;,&quot;parse-names&quot;:false,&quot;dropping-particle&quot;:&quot;&quot;,&quot;non-dropping-particle&quot;:&quot;&quot;}],&quot;container-title&quot;:&quot;The Canadian journal of neurological sciences. Le journal canadien des sciences neurologiques&quot;,&quot;container-title-short&quot;:&quot;Can J Neurol Sci&quot;,&quot;accessed&quot;:{&quot;date-parts&quot;:[[2023,5,8]]},&quot;DOI&quot;:&quot;10.1017/S0317167100008921&quot;,&quot;ISSN&quot;:&quot;0317-1671&quot;,&quot;PMID&quot;:&quot;18714802&quot;,&quot;URL&quot;:&quot;https://pubmed.ncbi.nlm.nih.gov/18714802/&quot;,&quot;issued&quot;:{&quot;date-parts&quot;:[[2008]]},&quot;page&quot;:&quot;335-341&quot;,&quot;abstract&quot;:&quot;Background: Previous studies describe significant rates of misdiagnosis of stroke, seizure and other neurological problems, but there are few studies examining diagnostic accuracy of all emergency referrals to a neurology service. This information could be useful in focusing the neurological education of physicians who assess and refer patients with neurological complaints in emergency departments. Methods: All neurological consultations in the emergency department at a tertiary-care teaching hospital were recorded for six months. The initial diagnosis of the requesting physician was recorded for each patient. This was compared to the initial diagnosis of the consulting neurologist and to the final diagnosis, as determined by retrospective chart review. Results: Over a six-month period, 493 neurological consultations were requested. The initial diagnosis of the requesting physician agreed with the final diagnosis in 60.4% (298/493) of cases, and disagreed or was uncertain in 35.7% of cases (19.1% and 16.6% respectively). In 3.9% of cases, the initial diagnosis of both the referring physician and the neurologist disagreed with the final diagnosis. Common misdiagnoses included neurocardiogenic syncope, peripheral vertigo, primary headache and psychogenic syndromes. Often, these were initially diagnosed as stroke or seizure. Conclusions: Our data indicate that misdiagnosis or diagnostic uncertainty occurred in over one-third of all neurological consultations in the emergency department setting. Benign neurological conditions, such as migraine, syncope and peripheral vertigo are frequently mislabeled as seizure or stroke. Educational strategies that emphasize emergent evaluation of these common conditions could improve diagnostic accuracy, and may result in better patient care.&quot;,&quot;publisher&quot;:&quot;Can J Neurol Sci&quot;,&quot;issue&quot;:&quot;3&quot;,&quot;volume&quot;:&quot;35&quot;},&quot;isTemporary&quot;:false}],&quot;citationTag&quot;:&quot;MENDELEY_CITATION_v3_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&quot;},{&quot;citationID&quot;:&quot;MENDELEY_CITATION_3f9e8ebf-06ca-487c-9724-4af034c69bde&quot;,&quot;properties&quot;:{&quot;noteIndex&quot;:0},&quot;isEdited&quot;:false,&quot;manualOverride&quot;:{&quot;isManuallyOverridden&quot;:false,&quot;citeprocText&quot;:&quot;(Barsky et al., 2005; Merkler et al., 2016)&quot;,&quot;manualOverrideText&quot;:&quot;&quot;},&quot;citationItems&quot;:[{&quot;id&quot;:&quot;c3c14845-8c91-3fdc-a46a-dfaacd72f3f6&quot;,&quot;itemData&quot;:{&quot;type&quot;:&quot;article-journal&quot;,&quot;id&quot;:&quot;c3c14845-8c91-3fdc-a46a-dfaacd72f3f6&quot;,&quot;title&quot;:&quot;Somatization increases medical utilization and costs independent of psychiatric and medical comorbidity&quot;,&quot;author&quot;:[{&quot;family&quot;:&quot;Barsky&quot;,&quot;given&quot;:&quot;A J&quot;,&quot;parse-names&quot;:false,&quot;dropping-particle&quot;:&quot;&quot;,&quot;non-dropping-particle&quot;:&quot;&quot;},{&quot;family&quot;:&quot;Orav&quot;,&quot;given&quot;:&quot;E J&quot;,&quot;parse-names&quot;:false,&quot;dropping-particle&quot;:&quot;&quot;,&quot;non-dropping-particle&quot;:&quot;&quot;},{&quot;family&quot;:&quot;Bates&quot;,&quot;given&quot;:&quot;D W&quot;,&quot;parse-names&quot;:false,&quot;dropping-particle&quot;:&quot;&quot;,&quot;non-dropping-particle&quot;:&quot;&quot;}],&quot;container-title&quot;:&quot;Arch Gen Psychiatry&quot;,&quot;DOI&quot;:&quot;10.1001/archpsyc.62.8.903&quot;,&quot;ISSN&quot;:&quot;0003-990X (Print)\r0003-990x&quot;,&quot;PMID&quot;:&quot;16061768&quot;,&quot;issued&quot;:{&quot;date-parts&quot;:[[2005]]},&quot;page&quot;:&quot;903-910&quot;,&quot;language&quot;:&quot;eng&quot;,&quot;abstract&quot;:&quot;CONTEXT: Somatoform disorders are an important determinant of medical care utilization, but their independent effect on utilization is difficult to determine because somatizing patients frequently have psychiatric and medical comorbidity. OBJECTIVES: To assess the extent of the overlap of somatization with other psychiatric disorders; to compare the medical utilization of somatizing and nonsomatizing patients; and to determine the independent contribution of somatization alone to utilization. DESIGN: Patients were surveyed with self-report questionnaires assessing somatization and psychiatric disorder. Medical care utilization was obtained from automated encounter data for the year preceding the index visit. Medical morbidity was indexed with a computerized medical record audit. SETTING: Two hospital-affiliated primary care practices. PARTICIPANTS: Consecutive adults making scheduled visits to their primary care physicians on randomly chosen days. In all, 2668 questionnaires were distributed, and 1914 (71.7%) were returned. Of these, 1546 (80.8%) contained complete data and met eligibility criteria. MAIN OUTCOME MEASURES: Medical care utilization and costs within our hospital system in the preceding 12 months. RESULTS: Two hundred ninety-nine patients (20.5%) received a provisional diagnosis of somatization; 42.3% of these patients had no comorbid depressive or anxiety disorder. Somatizing patients, when compared with nonsomatizing patients, had more primary care visits (mean [SE], 4.90 [0.32] vs 3.43 [0.11]; P&lt;.001); more specialty visits (mean [SE], 8.13 [0.55] vs 4.90 [0.21]; P&lt;.001); more emergency department visits (mean [SE], 1.29 [0.15] vs 0.52 [0.036]; P&lt;.001); more hospital admissions (mean [SE], 0.32 [0.051] vs 0.13 [0.014]; P&lt;.001); higher inpatient costs (mean [SE], USD 3146 [USD 380] vs USD 991 [USD 193]; P&lt;.001); and higher outpatient costs (mean [SE], USD 3208 [USD 180] vs USD 1771 [USD 91]; P&lt;.001). When these results were adjusted for the presence of comorbid anxiety and depressive disorders, major medical morbidity, and sociodemographic characteristics, patients with somatoform disorder still had more primary care visits (P = .04), more specialist visits (P = .002), more emergency department visits (P&lt;.001), more hospital admissions (P&lt;.001), more ambulatory procedures (P&lt;.001), higher inpatient costs (P&lt;.001), and higher outpatient costs (P&lt;.001). When these findings are extrapolated to the national level, an estimated USD 256 billion a year in medical care costs are attributable to the incremental effect of somatization alone. CONCLUSIONS: Patients with somatization had approximately twice the outpatient and inpatient medical care utilization and twice the annual medical care costs of nonsomatizing patients. Adjusting the findings for the presence of psychiatric and medical comorbidity had relatively little effect on this association.&quot;,&quot;edition&quot;:&quot;2005/08/03&quot;,&quot;issue&quot;:&quot;8&quot;,&quot;volume&quot;:&quot;62&quot;,&quot;container-title-short&quot;:&quot;&quot;},&quot;isTemporary&quot;:false},{&quot;id&quot;:&quot;4eac23d5-a047-35ff-8a4d-6893f7df2ef9&quot;,&quot;itemData&quot;:{&quot;type&quot;:&quot;article-journal&quot;,&quot;id&quot;:&quot;4eac23d5-a047-35ff-8a4d-6893f7df2ef9&quot;,&quot;title&quot;:&quot;Hospital revisit rate after a diagnosis of conversion disorder&quot;,&quot;author&quot;:[{&quot;family&quot;:&quot;Merkler&quot;,&quot;given&quot;:&quot;A E&quot;,&quot;parse-names&quot;:false,&quot;dropping-particle&quot;:&quot;&quot;,&quot;non-dropping-particle&quot;:&quot;&quot;},{&quot;family&quot;:&quot;Parikh&quot;,&quot;given&quot;:&quot;N S&quot;,&quot;parse-names&quot;:false,&quot;dropping-particle&quot;:&quot;&quot;,&quot;non-dropping-particle&quot;:&quot;&quot;},{&quot;family&quot;:&quot;Chaudhry&quot;,&quot;given&quot;:&quot;S&quot;,&quot;parse-names&quot;:false,&quot;dropping-particle&quot;:&quot;&quot;,&quot;non-dropping-particle&quot;:&quot;&quot;},{&quot;family&quot;:&quot;Chait&quot;,&quot;given&quot;:&quot;A&quot;,&quot;parse-names&quot;:false,&quot;dropping-particle&quot;:&quot;&quot;,&quot;non-dropping-particle&quot;:&quot;&quot;},{&quot;family&quot;:&quot;Allen&quot;,&quot;given&quot;:&quot;N C&quot;,&quot;parse-names&quot;:false,&quot;dropping-particle&quot;:&quot;&quot;,&quot;non-dropping-particle&quot;:&quot;&quot;},{&quot;family&quot;:&quot;Navi&quot;,&quot;given&quot;:&quot;B B&quot;,&quot;parse-names&quot;:false,&quot;dropping-particle&quot;:&quot;&quot;,&quot;non-dropping-particle&quot;:&quot;&quot;},{&quot;family&quot;:&quot;Kamel&quot;,&quot;given&quot;:&quot;H&quot;,&quot;parse-names&quot;:false,&quot;dropping-particle&quot;:&quot;&quot;,&quot;non-dropping-particle&quot;:&quot;&quot;}],&quot;container-title&quot;:&quot;J Neurol Neurosurg Psychiatry&quot;,&quot;DOI&quot;:&quot;10.1136/jnnp-2014-310181&quot;,&quot;ISSN&quot;:&quot;0022-3050&quot;,&quot;PMID&quot;:&quot;25855400&quot;,&quot;issued&quot;:{&quot;date-parts&quot;:[[2016]]},&quot;page&quot;:&quot;363-366&quot;,&quot;language&quot;:&quot;eng&quot;,&quot;abstract&quot;:&quot;OBJECTIVE: To estimate the hospital revisit rate of patients diagnosed with conversion disorder (CD). METHODS: Using administrative data, we identified all patients discharged from California, Florida and New York emergency departments (EDs) and acute care hospitals between 2005 and 2011 with a primary discharge diagnosis of CD. Patients discharged with a primary diagnosis of seizure or transient global amnesia (TGA) served as control groups. Our primary outcome was the rate of repeat ED visits and hospital admissions after initial presentation. Poisson regression was used to compare rates between diagnosis groups while adjusting for demographic characteristics. RESULTS: We identified 7946 patients discharged with a primary diagnosis of CD. During a mean follow-up of 3.0 (±1.6) years, patients with CD had a median of three (IQR, 1-9) ED or inpatient revisits, compared with 0 (IQR, 0-2) in patients with TGA and 3 (IQR, 1-7) in those with seizures. Revisit rates were 18.25 (95% CI, 18.10 to 18.40) visits per 100 patients per month in those with CD, 3.90 (95% CI, 3.84 to 3.95) in those with TGA and 17.78 (95% CI, 17.75 to 17.81) in those with seizures. As compared to CD, the incidence rate ratio for repeat ED visits or hospitalisations was 0.89 (95% CI, 0.86 to 0.93) for seizure disorder and 0.32 (95% CI 0.31 to 0.34) for TGA. CONCLUSIONS: CD is associated with a substantial hospital revisit rate. Our findings suggest that CD is not an acute, time-limited response to stress, but rather that CD is a manifestation of a broader pattern of chronic neuropsychiatric disease.&quot;,&quot;edition&quot;:&quot;2015/04/10&quot;,&quot;issue&quot;:&quot;4&quot;,&quot;volume&quot;:&quot;87&quot;,&quot;container-title-short&quot;:&quot;&quot;},&quot;isTemporary&quot;:false}],&quot;citationTag&quot;:&quot;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&quot;},{&quot;citationID&quot;:&quot;MENDELEY_CITATION_9e20dc9f-b8b8-4725-87b2-0631e97926ac&quot;,&quot;properties&quot;:{&quot;noteIndex&quot;:0},&quot;isEdited&quot;:false,&quot;manualOverride&quot;:{&quot;isManuallyOverridden&quot;:false,&quot;citeprocText&quot;:&quot;(Gelauff et al., 2014)&quot;,&quot;manualOverrideText&quot;:&quot;&quot;},&quot;citationItems&quot;:[{&quot;id&quot;:&quot;171e35cf-2d20-3410-ac0b-acdccade4d42&quot;,&quot;itemData&quot;:{&quot;type&quot;:&quot;article-journal&quot;,&quot;id&quot;:&quot;171e35cf-2d20-3410-ac0b-acdccade4d42&quot;,&quot;title&quot;:&quot;The prognosis of functional (psychogenic) motor symptoms: a systematic review&quot;,&quot;author&quot;:[{&quot;family&quot;:&quot;Gelauff&quot;,&quot;given&quot;:&quot;Jeannette&quot;,&quot;parse-names&quot;:false,&quot;dropping-particle&quot;:&quot;&quot;,&quot;non-dropping-particle&quot;:&quot;&quot;},{&quot;family&quot;:&quot;Stone&quot;,&quot;given&quot;:&quot;Jon&quot;,&quot;parse-names&quot;:false,&quot;dropping-particle&quot;:&quot;&quot;,&quot;non-dropping-particle&quot;:&quot;&quot;},{&quot;family&quot;:&quot;Edwards&quot;,&quot;given&quot;:&quot;Mark&quot;,&quot;parse-names&quot;:false,&quot;dropping-particle&quot;:&quot;&quot;,&quot;non-dropping-particle&quot;:&quot;&quot;},{&quot;family&quot;:&quot;Carson&quot;,&quot;given&quot;:&quot;Alan&quot;,&quot;parse-names&quot;:false,&quot;dropping-particle&quot;:&quot;&quot;,&quot;non-dropping-particle&quot;:&quot;&quot;}],&quot;container-title&quot;:&quot;Journal of neurology, neurosurgery, and psychiatry&quot;,&quot;container-title-short&quot;:&quot;J Neurol Neurosurg Psychiatry&quot;,&quot;accessed&quot;:{&quot;date-parts&quot;:[[2023,5,7]]},&quot;DOI&quot;:&quot;10.1136/JNNP-2013-305321&quot;,&quot;ISSN&quot;:&quot;1468-330X&quot;,&quot;PMID&quot;:&quot;24029543&quot;,&quot;URL&quot;:&quot;https://pubmed.ncbi.nlm.nih.gov/24029543/&quot;,&quot;issued&quot;:{&quot;date-parts&quot;:[[2014]]},&quot;page&quot;:&quot;220-226&quot;,&quot;abstract&quot;:&quot;Background The prognosis of functional (or psychogenic) motor symptoms (weakness and movement disorder) has not been systematically reviewed. Methods We systematically reviewed PubMed for all studies of eight or more patients with functional motor symptoms reporting follow-up data longer than 6 months (excluding studies reporting specific treatments). We recorded symptom duration, physical and psychiatric comorbidity, disability, occupational functioning at follow-up and prognostic factors. Results 24 studies were included. There was heterogeneity regarding study size (number of patients (n)=10 491), follow-up duration clinical setting and data availability. Most studies (n=15) were retrospective. Reported symptom outcome was highly variable. Mean weighted follow-up duration was 7.4 years (in 13 studies where data was extractable). The mean percentage of patients same or worse at follow-up for all studies was 39%, range 10% to 90%, n=1134. Levels of physical disability and psychological comorbidity at follow-up were high. Short duration of symptoms, early diagnosis and high satisfaction with care predicted positive outcome in two studies. Gender had no effect. Delayed diagnosis and personality disorder were negatively correlated with outcome. Prognostic factors that varied between studies included age, comorbid anxiety and depression, IQ, educational status, marital status and pending litigation. Conclusions Existing follow-up studies of functional motor symptoms give us some insights regarding outcome and prognostic factors but are limited by their largely retrospective and selective nature. Overall, prognosis appears unfavourable. The severity and chronicity of functional motor symptoms argues for larger prospective studies including multiple prognostic factors at baseline in order to better understand their natural history.&quot;,&quot;publisher&quot;:&quot;J Neurol Neurosurg Psychiatry&quot;,&quot;issue&quot;:&quot;2&quot;,&quot;volume&quot;:&quot;85&quot;},&quot;isTemporary&quot;:false}],&quot;citationTag&quot;:&quot;MENDELEY_CITATION_v3_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&quot;},{&quot;citationID&quot;:&quot;MENDELEY_CITATION_d48d0b12-2018-4fb6-ae3a-ab28fae27858&quot;,&quot;properties&quot;:{&quot;noteIndex&quot;:0},&quot;isEdited&quot;:false,&quot;manualOverride&quot;:{&quot;isManuallyOverridden&quot;:false,&quot;citeprocText&quot;:&quot;(Dworetzky et al., 2015; Jungilligens et al., 2021; Mezouar et al., 2021; Walzl et al., 2022)&quot;,&quot;manualOverrideText&quot;:&quot;&quot;},&quot;citationItems&quot;:[{&quot;id&quot;:&quot;26389448-1323-30fb-931f-23ad58f19dc3&quot;,&quot;itemData&quot;:{&quot;type&quot;:&quot;article-journal&quot;,&quot;id&quot;:&quot;26389448-1323-30fb-931f-23ad58f19dc3&quot;,&quot;title&quot;:&quot;A clinically oriented perspective on psychogenic nonepileptic seizure-related emergencies&quot;,&quot;author&quot;:[{&quot;family&quot;:&quot;Dworetzky&quot;,&quot;given&quot;:&quot;Barbara A.&quot;,&quot;parse-names&quot;:false,&quot;dropping-particle&quot;:&quot;&quot;,&quot;non-dropping-particle&quot;:&quot;&quot;},{&quot;family&quot;:&quot;Weisholtz&quot;,&quot;given&quot;:&quot;Daniel S.&quot;,&quot;parse-names&quot;:false,&quot;dropping-particle&quot;:&quot;&quot;,&quot;non-dropping-particle&quot;:&quot;&quot;},{&quot;family&quot;:&quot;Perez&quot;,&quot;given&quot;:&quot;David L.&quot;,&quot;parse-names&quot;:false,&quot;dropping-particle&quot;:&quot;&quot;,&quot;non-dropping-particle&quot;:&quot;&quot;},{&quot;family&quot;:&quot;Baslet&quot;,&quot;given&quot;:&quot;Gaston&quot;,&quot;parse-names&quot;:false,&quot;dropping-particle&quot;:&quot;&quot;,&quot;non-dropping-particle&quot;:&quot;&quot;}],&quot;container-title&quot;:&quot;Clinical EEG and neuroscience&quot;,&quot;container-title-short&quot;:&quot;Clin EEG Neurosci&quot;,&quot;accessed&quot;:{&quot;date-parts&quot;:[[2023,5,10]]},&quot;DOI&quot;:&quot;10.1177/1550059414566880&quot;,&quot;ISSN&quot;:&quot;1550-0594&quot;,&quot;PMID&quot;:&quot;25780265&quot;,&quot;URL&quot;:&quot;https://pubmed.ncbi.nlm.nih.gov/25780265/&quot;,&quot;issued&quot;:{&quot;date-parts&quot;:[[2015,1,19]]},&quot;page&quot;:&quot;26-33&quot;,&quot;abstract&quot;:&quot;Psychogenic nonepileptic seizures (PNES) can present emergently and are often mistaken for epileptic seizures. PNES emergencies have not been well studied, and yet there are associated serious morbidities, particularly when patients are seen in an emergency setting and are misdiagnosed. PNES may be prolonged, mimicking status epilepticus, a condition we refer to as nonepileptic psychogenic status (NEPS), and patients may receive aggressive and unnecessary medical treatments that can lead to serious iatrogenic complications, including death. NEPS is also associated with an increased risk of self-harm, including suicide attempts, and may indicate a serious comorbid psychiatric illness. In addition to iatrogenic complications of PNES, accidents and injuries are an underrecognized source of morbidity. PNES may also present during medical procedures, which may not only interfere with their completion, but may alarm practitioners who, fearing liability, may initiate further medical evaluations and treatments. When PNES occur during pregnancy, patients may be misdiagnosed with eclampsia and their offspring delivered prematurely. They also risk being placed on medications that are harmful to the fetus. Increased awareness of PNES is necessary to prevent iatrogenic harm and to identify underlying psychiatric illnesses that carry their own risks. As yet, data available to guide treatment are scant, and further study is needed.&quot;,&quot;publisher&quot;:&quot;Clin EEG Neurosci&quot;,&quot;issue&quot;:&quot;1&quot;,&quot;volume&quot;:&quot;46&quot;},&quot;isTemporary&quot;:false},{&quot;id&quot;:&quot;8d83a659-69be-3398-9692-0ca864373087&quot;,&quot;itemData&quot;:{&quot;type&quot;:&quot;article-journal&quot;,&quot;id&quot;:&quot;8d83a659-69be-3398-9692-0ca864373087&quot;,&quot;title&quot;:&quot;Original research: Misdiagnosis of prolonged psychogenic non-epileptic seizures as status epilepticus: epidemiology and associated risks&quot;,&quot;author&quot;:[{&quot;family&quot;:&quot;Jungilligens&quot;,&quot;given&quot;:&quot;Johannes&quot;,&quot;parse-names&quot;:false,&quot;dropping-particle&quot;:&quot;&quot;,&quot;non-dropping-particle&quot;:&quot;&quot;},{&quot;family&quot;:&quot;Michaelis&quot;,&quot;given&quot;:&quot;Rosa&quot;,&quot;parse-names&quot;:false,&quot;dropping-particle&quot;:&quot;&quot;,&quot;non-dropping-particle&quot;:&quot;&quot;},{&quot;family&quot;:&quot;Popkirov&quot;,&quot;given&quot;:&quot;Stoyan&quot;,&quot;parse-names&quot;:false,&quot;dropping-particle&quot;:&quot;&quot;,&quot;non-dropping-particle&quot;:&quot;&quot;}],&quot;container-title&quot;:&quot;Journal of Neurology, Neurosurgery, and Psychiatry&quot;,&quot;container-title-short&quot;:&quot;J Neurol Neurosurg Psychiatry&quot;,&quot;accessed&quot;:{&quot;date-parts&quot;:[[2023,4,28]]},&quot;DOI&quot;:&quot;10.1136/JNNP-2021-326443&quot;,&quot;ISSN&quot;:&quot;1468330X&quot;,&quot;PMID&quot;:&quot;34362852&quot;,&quot;URL&quot;:&quot;/pmc/articles/PMC8606439/&quot;,&quot;issued&quot;:{&quot;date-parts&quot;:[[2021]]},&quot;page&quot;:&quot;1341&quot;,&quot;abstract&quot;:&quot;Objective: To determine the epidemiology of prolonged psychogenic non-epileptic seizures (pPNES) misdiagnosed as status epilepticus, as well as the risks associated with non-indicated treatment. Methods: We performed an individual patient data analysis from the Rapid Anticonvulsant Medication Prior to Arrival Trial (RAMPART) and the Established Status Epilepticus Treatment Trial (ESETT) to assess incidence, patient characteristics and clinical course of misdiagnosed pPNES. Results: Among 980 patients aged 8 years or older diagnosed and treated for status epilepticus in RAMPART and ESETT, 79 (8.1%) were discharged with a final diagnosis of pPNES. The relative incidence was highest in adolescents and young adults (20.1%). The typical female preponderance seen in that age bracket was not evident in children and older adults. Adverse effects, including respiratory depression and intubation, were documented in 26% of patients with pPNES receiving benzodiazepines in RAMPART and 33% of patients receiving additional second-line medication in ESETT. In ESETT, patients who were treated with benzodiazepines before hospital admission had higher rates of unresponsiveness and severe adverse effects than those treated after admission, suggesting cumulative effects of accelerated treatment momentum. Across trials, one in five patients with pPNES were admitted to an intensive care unit. Conclusions: Misdiagnosis and treatment of pPNES as status epilepticus are a common and widespread problem with deleterious consequences. Mitigating it will require training of emergency staff in semiological diagnosis. Status epilepticus response protocols should incorporate appropriate diagnostic re-evaluations at each step of treatment escalation, especially in clinical trials.&quot;,&quot;publisher&quot;:&quot;BMJ Publishing Group&quot;,&quot;issue&quot;:&quot;12&quot;,&quot;volume&quot;:&quot;92&quot;},&quot;isTemporary&quot;:false},{&quot;id&quot;:&quot;7577abbb-242f-32d1-97fa-7861d92fa5f7&quot;,&quot;itemData&quot;:{&quot;type&quot;:&quot;article-journal&quot;,&quot;id&quot;:&quot;7577abbb-242f-32d1-97fa-7861d92fa5f7&quot;,&quot;title&quot;:&quot;Psychogenic non-epileptic seizure-status in patients admitted to the intensive care unit&quot;,&quot;author&quot;:[{&quot;family&quot;:&quot;Mezouar&quot;,&quot;given&quot;:&quot;Nicolas&quot;,&quot;parse-names&quot;:false,&quot;dropping-particle&quot;:&quot;&quot;,&quot;non-dropping-particle&quot;:&quot;&quot;},{&quot;family&quot;:&quot;Demeret&quot;,&quot;given&quot;:&quot;Sophie&quot;,&quot;parse-names&quot;:false,&quot;dropping-particle&quot;:&quot;&quot;,&quot;non-dropping-particle&quot;:&quot;&quot;},{&quot;family&quot;:&quot;Rotge&quot;,&quot;given&quot;:&quot;Jean Yves&quot;,&quot;parse-names&quot;:false,&quot;dropping-particle&quot;:&quot;&quot;,&quot;non-dropping-particle&quot;:&quot;&quot;},{&quot;family&quot;:&quot;Dupont&quot;,&quot;given&quot;:&quot;Sophie&quot;,&quot;parse-names&quot;:false,&quot;dropping-particle&quot;:&quot;&quot;,&quot;non-dropping-particle&quot;:&quot;&quot;},{&quot;family&quot;:&quot;Navarro&quot;,&quot;given&quot;:&quot;Vincent&quot;,&quot;parse-names&quot;:false,&quot;dropping-particle&quot;:&quot;&quot;,&quot;non-dropping-particle&quot;:&quot;&quot;}],&quot;container-title&quot;:&quot;European journal of neurology&quot;,&quot;container-title-short&quot;:&quot;Eur J Neurol&quot;,&quot;accessed&quot;:{&quot;date-parts&quot;:[[2023,5,10]]},&quot;DOI&quot;:&quot;10.1111/ENE.14941&quot;,&quot;ISSN&quot;:&quot;1468-1331&quot;,&quot;PMID&quot;:&quot;34033167&quot;,&quot;URL&quot;:&quot;https://pubmed.ncbi.nlm.nih.gov/34033167/&quot;,&quot;issued&quot;:{&quot;date-parts&quot;:[[2021,8,1]]},&quot;page&quot;:&quot;2775-2779&quot;,&quot;abstract&quot;:&quot;Background: Psychogenic non-epileptic seizure-status (PNES-status), defined by psychogenic non-epileptic seizures (PNES) over 30 min, are often misdiagnosed as status epilepticus. We aimed to describe the features of patients who experienced PNES-status, admitted to an intensive care unit (ICU). Methods: We screened the patients hospitalized in our epilepsy unit during a 4-year period, with a diagnosis of PNES-status and ICU admission. Results: Among 171 patients with PNES, we identified 25 patients (15%) who presented 39 episodes of PNES-status leading to ICU admission. Some 76% of the patients were women. The median age at the time of the PNES-status episode was 35 years. Half (48%) alleged a history of epilepsy, but epilepsy was confirmed in only 12%. A history of psychiatric disease was found in 68%. PNES were present in 85% of patients before PNES-status, and semiology of PNES and PNES-status was similar for 79% of the patients, including hyperkinetic movements in 95% of the episodes and suspected loss of consciousness in 87%. Benzodiazepines were administrated in 77% of the episodes, antiepileptic drugs in 87%, and antibiotherapy for a ICU-related infection in 15% of the episodes. Oral intubation was performed in 41% of the episodes. Blood tests showed normal levels of creatine phosphokinase and leucocytes in 90% and 95% of the episodes, respectively. No epileptic activity was found during per-event electroencephalography but interictal epileptic activity was found in 10% of the episodes. Conclusion: Hyperkinetic PNES-status should always be considered as a differential diagnosis of status epilepticus, with a high risk of iatrogenic consequences.&quot;,&quot;publisher&quot;:&quot;Eur J Neurol&quot;,&quot;issue&quot;:&quot;8&quot;,&quot;volume&quot;:&quot;28&quot;},&quot;isTemporary&quot;:false},{&quot;id&quot;:&quot;fef08b3b-edea-35ce-8515-d9cb7aa6e7fb&quot;,&quot;itemData&quot;:{&quot;type&quot;:&quot;article-journal&quot;,&quot;id&quot;:&quot;fef08b3b-edea-35ce-8515-d9cb7aa6e7fb&quot;,&quot;title&quot;:&quot;Functional neurological disorder and multiple sclerosis: a systematic review of misdiagnosis and clinical overlap&quot;,&quot;author&quot;:[{&quot;family&quot;:&quot;Walzl&quot;,&quot;given&quot;:&quot;Dennis&quot;,&quot;parse-names&quot;:false,&quot;dropping-particle&quot;:&quot;&quot;,&quot;non-dropping-particle&quot;:&quot;&quot;},{&quot;family&quot;:&quot;Solomon&quot;,&quot;given&quot;:&quot;Andrew J.&quot;,&quot;parse-names&quot;:false,&quot;dropping-particle&quot;:&quot;&quot;,&quot;non-dropping-particle&quot;:&quot;&quot;},{&quot;family&quot;:&quot;Stone&quot;,&quot;given&quot;:&quot;Jon&quot;,&quot;parse-names&quot;:false,&quot;dropping-particle&quot;:&quot;&quot;,&quot;non-dropping-particle&quot;:&quot;&quot;}],&quot;container-title&quot;:&quot;Journal of Neurology&quot;,&quot;container-title-short&quot;:&quot;J Neurol&quot;,&quot;accessed&quot;:{&quot;date-parts&quot;:[[2023,5,10]]},&quot;DOI&quot;:&quot;10.1007/S00415-021-10436-6/TABLES/3&quot;,&quot;ISSN&quot;:&quot;14321459&quot;,&quot;PMID&quot;:&quot;33611631&quot;,&quot;URL&quot;:&quot;https://link.springer.com/article/10.1007/s00415-021-10436-6&quot;,&quot;issued&quot;:{&quot;date-parts&quot;:[[2022,2,1]]},&quot;page&quot;:&quot;654-663&quot;,&quot;abstract&quot;:&quot;Multiple sclerosis (MS) and functional neurological disorder (FND) are both diagnostically challenging conditions which can present with similar symptoms. We systematically reviewed the literature to identify patients with MS who were misdiagnosed with FND, patients with FND who were misdiagnosed with MS, and reports of patients with both conditions. In addition to FND, we included studies of patients with other functional and psychiatric disorders where these caused symptoms leading to investigation for or a diagnosis of MS, which in a different context would likely have been labeled as FND. Our review suggests that MS is one of the most common causes of misdiagnosis of FND and vice versa. We discuss the clinical errors that appear to result in misdiagnoses, such as over-reliance on psychiatric comorbidity when making a diagnosis of FND or over-reliance on neuroimaging for the diagnosis of MS, and practical ways to avoid them. Comorbidity between these two conditions is also likely common, has been poorly studied, and adds complexity to diagnosis and treatment in patients with both MS and FND. Misdiagnosis and comorbidity in a landscape of emerging evidence-based treatments for both MS and FND are issues not only of clinical importance to the care of these patients, but also to treatment trials, especially of MS, where FND could be a hidden confounder.&quot;,&quot;publisher&quot;:&quot;Springer Science and Business Media Deutschland GmbH&quot;,&quot;issue&quot;:&quot;2&quot;,&quot;volume&quot;:&quot;269&quot;},&quot;isTemporary&quot;:false}],&quot;citationTag&quot;:&quot;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&quot;},{&quot;citationID&quot;:&quot;MENDELEY_CITATION_06c62358-88de-43e9-b32b-0f5b30afe7be&quot;,&quot;properties&quot;:{&quot;noteIndex&quot;:0},&quot;isEdited&quot;:false,&quot;manualOverride&quot;:{&quot;isManuallyOverridden&quot;:true,&quot;citeprocText&quot;:&quot;(Walker et al., 1996)&quot;,&quot;manualOverrideText&quot;:&quot;(M. C. Walker et al., 1996)&quot;},&quot;citationItems&quot;:[{&quot;id&quot;:&quot;dcb929c6-b0cd-32c1-ac5f-a51b6fbea2d7&quot;,&quot;itemData&quot;:{&quot;type&quot;:&quot;article-journal&quot;,&quot;id&quot;:&quot;dcb929c6-b0cd-32c1-ac5f-a51b6fbea2d7&quot;,&quot;title&quot;:&quot;Diagnosis and treatment of status epilepticus on a neurological intensive care unit&quot;,&quot;author&quot;:[{&quot;family&quot;:&quot;Walker&quot;,&quot;given&quot;:&quot;M. C.&quot;,&quot;parse-names&quot;:false,&quot;dropping-particle&quot;:&quot;&quot;,&quot;non-dropping-particle&quot;:&quot;&quot;},{&quot;family&quot;:&quot;Howard&quot;,&quot;given&quot;:&quot;R. S.&quot;,&quot;parse-names&quot;:false,&quot;dropping-particle&quot;:&quot;&quot;,&quot;non-dropping-particle&quot;:&quot;&quot;},{&quot;family&quot;:&quot;Smith&quot;,&quot;given&quot;:&quot;S. J.&quot;,&quot;parse-names&quot;:false,&quot;dropping-particle&quot;:&quot;&quot;,&quot;non-dropping-particle&quot;:&quot;&quot;},{&quot;family&quot;:&quot;Miller&quot;,&quot;given&quot;:&quot;D. H.&quot;,&quot;parse-names&quot;:false,&quot;dropping-particle&quot;:&quot;&quot;,&quot;non-dropping-particle&quot;:&quot;&quot;},{&quot;family&quot;:&quot;Shorvon&quot;,&quot;given&quot;:&quot;S. D.&quot;,&quot;parse-names&quot;:false,&quot;dropping-particle&quot;:&quot;&quot;,&quot;non-dropping-particle&quot;:&quot;&quot;},{&quot;family&quot;:&quot;Hirsch&quot;,&quot;given&quot;:&quot;N. P.&quot;,&quot;parse-names&quot;:false,&quot;dropping-particle&quot;:&quot;&quot;,&quot;non-dropping-particle&quot;:&quot;&quot;}],&quot;container-title&quot;:&quot;QJM : monthly journal of the Association of Physicians&quot;,&quot;container-title-short&quot;:&quot;QJM&quot;,&quot;accessed&quot;:{&quot;date-parts&quot;:[[2023,5,8]]},&quot;DOI&quot;:&quot;10.1093/QJMED/89.12.913&quot;,&quot;ISSN&quot;:&quot;1460-2725&quot;,&quot;PMID&quot;:&quot;9015485&quot;,&quot;URL&quot;:&quot;https://pubmed.ncbi.nlm.nih.gov/9015485/&quot;,&quot;issued&quot;:{&quot;date-parts&quot;:[[1996]]},&quot;page&quot;:&quot;913-920&quot;,&quot;abstract&quot;:&quot;Status epilepticus refractory to first-line therapy is associated with a high morbidity and mortality. Correct diagnosis and adequate treatment of this condition require electrographic monitoring and anaesthetic facilities available in specialist intensive care units (ICUs). We carried out an audit of 26 patients admitted to a neurological ICU with a diagnosis of status epilepticus, to identify deficiencies in diagnosis and management prior to transfer to the ICU, and examine the effectiveness of ICU management. On transfer, only 14 (54%) were in status epilepticus; six were in drug-induced coma or were encephalopathic, and six had pseudostatus epilepticus, of whom four had been intubated. The commonest treatments prior to transfer were benzodiazepines, chlormethiazole and phenytoin; the loading dose of phenytoin was inadequate in at least 7/16 cases. All those in status epilepticus on transfer had their seizures successfully controlled, but ten required general anaesthesia with thiopentone, propofol, ketamine or midazolam. Two died - one had a severe encephalitis and the other had had a cardiac arrest prior to treatment. This study highlights deficiencies in the initial diagnosis and management of status epilepticus, the role of specialist neurological intensive care, and the importance of early referral.&quot;,&quot;publisher&quot;:&quot;QJM&quot;,&quot;issue&quot;:&quot;12&quot;,&quot;volume&quot;:&quot;89&quot;},&quot;isTemporary&quot;:false}],&quot;citationTag&quot;:&quot;MENDELEY_CITATION_v3_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&quot;},{&quot;citationID&quot;:&quot;MENDELEY_CITATION_5135cd5b-1cb1-4b7f-b69a-3ae6a3ea3b5b&quot;,&quot;properties&quot;:{&quot;noteIndex&quot;:0},&quot;isEdited&quot;:false,&quot;manualOverride&quot;:{&quot;isManuallyOverridden&quot;:false,&quot;citeprocText&quot;:&quot;(Stone &amp;#38; Carson, 2015)&quot;,&quot;manualOverrideText&quot;:&quot;&quot;},&quot;citationItems&quot;:[{&quot;id&quot;:&quot;23877810-39bc-3248-814f-2f0bde66d346&quot;,&quot;itemData&quot;:{&quot;type&quot;:&quot;article-journal&quot;,&quot;id&quot;:&quot;23877810-39bc-3248-814f-2f0bde66d346&quot;,&quot;title&quot;:&quot;Functional neurologic disorders&quot;,&quot;author&quot;:[{&quot;family&quot;:&quot;Stone&quot;,&quot;given&quot;:&quot;Jon&quot;,&quot;parse-names&quot;:false,&quot;dropping-particle&quot;:&quot;&quot;,&quot;non-dropping-particle&quot;:&quot;&quot;},{&quot;family&quot;:&quot;Carson&quot;,&quot;given&quot;:&quot;Alan&quot;,&quot;parse-names&quot;:false,&quot;dropping-particle&quot;:&quot;&quot;,&quot;non-dropping-particle&quot;:&quot;&quot;}],&quot;container-title&quot;:&quot;Continuum (Minneapolis, Minn.)&quot;,&quot;container-title-short&quot;:&quot;Continuum (Minneap Minn)&quot;,&quot;accessed&quot;:{&quot;date-parts&quot;:[[2023,5,10]]},&quot;DOI&quot;:&quot;10.1212/01.CON.0000466669.02477.45&quot;,&quot;ISSN&quot;:&quot;1538-6899&quot;,&quot;PMID&quot;:&quot;26039857&quot;,&quot;URL&quot;:&quot;https://pubmed.ncbi.nlm.nih.gov/26039857/&quot;,&quot;issued&quot;:{&quot;date-parts&quot;:[[2015,6,5]]},&quot;page&quot;:&quot;818-837&quot;,&quot;abstract&quot;:&quot;Functional neurologic disorders, also called psychogenic, nonorganic, conversion, and dissociative disorders, are among the most common problems in neurologic practice. This article presents a practical guide to clinical assessment and treatment, incorporating emerging research evidence. This article places an emphasis on encouraging neurologists to use the assessment as treatment, take an active role in educating and treating the patient, and work in a multidisciplinary way with psychiatry, psychology, and physical therapy. Recent Findings: Classification of functional neurologic disorders now emphasizes the importance of positive diagnosis based on physical signs, not psychological features. Studies of mechanism have produced new clinical and neurobiological ways of thinking about these disorders. Evidence has emerged to support the use of physical therapy for functional movement disorders and psychotherapy for dissociative (nonepileptic) attacks. Summary: The diagnosis and management of functional neurologic disorders has entered a new evidence-based era and deserves a standard place in the neurologic curriculum.&quot;,&quot;publisher&quot;:&quot;Continuum (Minneap Minn)&quot;,&quot;issue&quot;:&quot;3 Behavioral Neurology and Neuropsychiatry&quot;,&quot;volume&quot;:&quot;21&quot;},&quot;isTemporary&quot;:false}],&quot;citationTag&quot;:&quot;MENDELEY_CITATION_v3_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&quot;},{&quot;citationID&quot;:&quot;MENDELEY_CITATION_ccc7a098-e20f-4c6d-9428-1ea9d9b6c250&quot;,&quot;properties&quot;:{&quot;noteIndex&quot;:0},&quot;isEdited&quot;:false,&quot;manualOverride&quot;:{&quot;isManuallyOverridden&quot;:false,&quot;citeprocText&quot;:&quot;(Espay et al., 2009)&quot;,&quot;manualOverrideText&quot;:&quot;&quot;},&quot;citationItems&quot;:[{&quot;id&quot;:&quot;a4587114-0496-3aef-a67d-385b737c03c3&quot;,&quot;itemData&quot;:{&quot;type&quot;:&quot;article-journal&quot;,&quot;id&quot;:&quot;a4587114-0496-3aef-a67d-385b737c03c3&quot;,&quot;title&quot;:&quot;Opinions and clinical practices related to diagnosing and managing patients with psychogenic movement disorders: An international survey of movement disorder society members&quot;,&quot;author&quot;:[{&quot;family&quot;:&quot;Espay&quot;,&quot;given&quot;:&quot;Alberto J.&quot;,&quot;parse-names&quot;:false,&quot;dropping-particle&quot;:&quot;&quot;,&quot;non-dropping-particle&quot;:&quot;&quot;},{&quot;family&quot;:&quot;Goldenhar&quot;,&quot;given&quot;:&quot;Linda M.&quot;,&quot;parse-names&quot;:false,&quot;dropping-particle&quot;:&quot;&quot;,&quot;non-dropping-particle&quot;:&quot;&quot;},{&quot;family&quot;:&quot;Voon&quot;,&quot;given&quot;:&quot;Valerie&quot;,&quot;parse-names&quot;:false,&quot;dropping-particle&quot;:&quot;&quot;,&quot;non-dropping-particle&quot;:&quot;&quot;},{&quot;family&quot;:&quot;Schrag&quot;,&quot;given&quot;:&quot;Anette&quot;,&quot;parse-names&quot;:false,&quot;dropping-particle&quot;:&quot;&quot;,&quot;non-dropping-particle&quot;:&quot;&quot;},{&quot;family&quot;:&quot;Burton&quot;,&quot;given&quot;:&quot;Noël&quot;,&quot;parse-names&quot;:false,&quot;dropping-particle&quot;:&quot;&quot;,&quot;non-dropping-particle&quot;:&quot;&quot;},{&quot;family&quot;:&quot;Lang&quot;,&quot;given&quot;:&quot;Anthony E.&quot;,&quot;parse-names&quot;:false,&quot;dropping-particle&quot;:&quot;&quot;,&quot;non-dropping-particle&quot;:&quot;&quot;}],&quot;container-title&quot;:&quot;Movement disorders : official journal of the Movement Disorder Society&quot;,&quot;container-title-short&quot;:&quot;Mov Disord&quot;,&quot;accessed&quot;:{&quot;date-parts&quot;:[[2023,5,10]]},&quot;DOI&quot;:&quot;10.1002/MDS.22618&quot;,&quot;ISSN&quot;:&quot;1531-8257&quot;,&quot;PMID&quot;:&quot;19425106&quot;,&quot;URL&quot;:&quot;https://pubmed.ncbi.nlm.nih.gov/19425106/&quot;,&quot;issued&quot;:{&quot;date-parts&quot;:[[2009,7,15]]},&quot;page&quot;:&quot;1366-1374&quot;,&quot;abstract&quot;:&quot;Five hundred and nineteen members of the Movement Disorder Society completed a 22-item questionnaire probing diagnostic and management issues in psychogenic movement disorders (PMD). When patients showed definite evidence of PMD with no other unexplained clinical features, approximately 20% said they informed patients of the diagnosis and requested no further neurological testing. The 51% who reported conducting standard neurological investigations to rule out organic causes before presenting the diagnosis to such patients had fewer years of fellowship training and fewer PMD patients seen per month. A non-PMD diagnosis was correlated with patients' normal social or personal functioning, little or no employment disruption, lack of non-physiologic findings, and lack of psychiatric history. Ongoing litigation was more predictive of the PMD diagnosis for US compared to non-US respondents. Two thirds of respondents, more commonly younger and academic clinician researchers, refer PMD patients to a psychiatrist or mental health specialist while also providing personal follow up. Physician reimbursement, insurability of PMD patients, and ongoing litigation interfered with managing PMD patients to a greater extent in the US compared to non-US countries. Acceptance of the diagnosis by the patient and identification and management of psychological stressors and concurrent psychiatric disorders were considered most important for predicting a favorable prognosis. These findings suggest that expert opinions and practices related to diagnosing and managing PMD patients differ among movement disorders neurologists. Some of the discrepancies may be accounted for by factors such as training, type of practice, volume of patients, and country of practice, but may also reflect absence of practice guidelines. © 2009 Movement Disorder Society.&quot;,&quot;publisher&quot;:&quot;Mov Disord&quot;,&quot;issue&quot;:&quot;9&quot;,&quot;volume&quot;:&quot;24&quot;},&quot;isTemporary&quot;:false}],&quot;citationTag&quot;:&quot;MENDELEY_CITATION_v3_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&quot;},{&quot;citationID&quot;:&quot;MENDELEY_CITATION_ced612b3-d221-4ffa-a9da-d0c61427ab4b&quot;,&quot;properties&quot;:{&quot;noteIndex&quot;:0},&quot;isEdited&quot;:false,&quot;manualOverride&quot;:{&quot;isManuallyOverridden&quot;:true,&quot;citeprocText&quot;:&quot;(Gallagher et al., 2013; Reid et al., 2002; Stone et al., 2010)&quot;,&quot;manualOverrideText&quot;:&quot;(Gallagher et al., 2013; Reid et al., 2002; Stone et al., 2010),&quot;},&quot;citationItems&quot;:[{&quot;id&quot;:&quot;caf78f84-0567-36cd-83cb-1f7e705c7d43&quot;,&quot;itemData&quot;:{&quot;type&quot;:&quot;article-journal&quot;,&quot;id&quot;:&quot;caf78f84-0567-36cd-83cb-1f7e705c7d43&quot;,&quot;title&quot;:&quot;Who is referred to neurology clinics?--the diagnoses made in 3781 new patients&quot;,&quot;author&quot;:[{&quot;family&quot;:&quot;Stone&quot;,&quot;given&quot;:&quot;J&quot;,&quot;parse-names&quot;:false,&quot;dropping-particle&quot;:&quot;&quot;,&quot;non-dropping-particle&quot;:&quot;&quot;},{&quot;family&quot;:&quot;Carson&quot;,&quot;given&quot;:&quot;A&quot;,&quot;parse-names&quot;:false,&quot;dropping-particle&quot;:&quot;&quot;,&quot;non-dropping-particle&quot;:&quot;&quot;},{&quot;family&quot;:&quot;Duncan&quot;,&quot;given&quot;:&quot;R&quot;,&quot;parse-names&quot;:false,&quot;dropping-particle&quot;:&quot;&quot;,&quot;non-dropping-particle&quot;:&quot;&quot;},{&quot;family&quot;:&quot;Roberts&quot;,&quot;given&quot;:&quot;R&quot;,&quot;parse-names&quot;:false,&quot;dropping-particle&quot;:&quot;&quot;,&quot;non-dropping-particle&quot;:&quot;&quot;},{&quot;family&quot;:&quot;Warlow&quot;,&quot;given&quot;:&quot;C&quot;,&quot;parse-names&quot;:false,&quot;dropping-particle&quot;:&quot;&quot;,&quot;non-dropping-particle&quot;:&quot;&quot;},{&quot;family&quot;:&quot;Hibberd&quot;,&quot;given&quot;:&quot;C&quot;,&quot;parse-names&quot;:false,&quot;dropping-particle&quot;:&quot;&quot;,&quot;non-dropping-particle&quot;:&quot;&quot;},{&quot;family&quot;:&quot;Coleman&quot;,&quot;given&quot;:&quot;R&quot;,&quot;parse-names&quot;:false,&quot;dropping-particle&quot;:&quot;&quot;,&quot;non-dropping-particle&quot;:&quot;&quot;},{&quot;family&quot;:&quot;Cull&quot;,&quot;given&quot;:&quot;R&quot;,&quot;parse-names&quot;:false,&quot;dropping-particle&quot;:&quot;&quot;,&quot;non-dropping-particle&quot;:&quot;&quot;},{&quot;family&quot;:&quot;Murray&quot;,&quot;given&quot;:&quot;G&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Smyth&quot;,&quot;given&quot;:&quot;R&quot;,&quot;parse-names&quot;:false,&quot;dropping-particle&quot;:&quot;&quot;,&quot;non-dropping-particle&quot;:&quot;&quot;},{&quot;family&quot;:&quot;Walker&quot;,&quot;given&quot;:&quot;J&quot;,&quot;parse-names&quot;:false,&quot;dropping-particle&quot;:&quot;&quot;,&quot;non-dropping-particle&quot;:&quot;&quot;},{&quot;family&quot;:&quot;Sharpe&quot;,&quot;given&quot;:&quot;M&quot;,&quot;parse-names&quot;:false,&quot;dropping-particle&quot;:&quot;&quot;,&quot;non-dropping-particle&quot;:&quot;&quot;}],&quot;container-title&quot;:&quot;Clin Neurol Neurosurg&quot;,&quot;DOI&quot;:&quot;10.1016/j.clineuro.2010.05.011&quot;,&quot;ISSN&quot;:&quot;0303-8467&quot;,&quot;PMID&quot;:&quot;20646830&quot;,&quot;issued&quot;:{&quot;date-parts&quot;:[[2010]]},&quot;page&quot;:&quot;747-751&quot;,&quot;language&quot;:&quot;eng&quot;,&quot;abstract&quot;:&quot;OBJECTIVE: Information on the nature and relative frequency of diagnoses made in referrals to neurology outpatient clinics is an important guide to priorities in services, teaching and research. Previous studies of this topic have been limited by being of only single centres or lacking in detail. We aimed to describe the neurological diagnoses made in a large series of referrals to neurology outpatient clinics. METHOD: Newly referred outpatients attending neurology clinics in all the NHS neurological centres in Scotland, UK were recruited over a period of 15 months. The assessing neurologists recorded the initial diagnosis they made. An additional rating of the degree to which the neurologist considered the patient's symptoms to be explained by disease was used to categorise those diagnoses that simply described a symptom such as 'fatigue'. RESULTS: Three thousand seven hundred and eighty-one patients participated (91% of those eligible). The commonest categories of diagnosis made were: headache (19%), functional and psychological symptoms (16%), epilepsy (14%), peripheral nerve disorders (11%), miscellaneous neurological disorders (10%), demyelination (7%), spinal disorders (6%), Parkinson's disease/movement disorders (6%), and syncope (4%). Detailed breakdowns of each category are provided. CONCLUSIONS: Headache, functional/psychological disorders and epilepsy are the most common diagnoses in new patient referral to neurological services. This information should be used to shape priorities for services, teaching and research.&quot;,&quot;edition&quot;:&quot;2010/07/22&quot;,&quot;issue&quot;:&quot;9&quot;,&quot;volume&quot;:&quot;112&quot;,&quot;container-title-short&quot;:&quot;&quot;},&quot;isTemporary&quot;:false},{&quot;id&quot;:&quot;55bd78ff-1a7f-3fe9-884e-3289f7695ea3&quot;,&quot;itemData&quot;:{&quot;type&quot;:&quot;article-journal&quot;,&quot;id&quot;:&quot;55bd78ff-1a7f-3fe9-884e-3289f7695ea3&quot;,&quot;title&quot;:&quot;MEDICALLY UNEXPLAINED NEUROLOGICAL SYMPTOMS ON AN ACUTE NEUROLOGY WARD: HEALTHCARE RESOURCE UTILISATION&quot;,&quot;author&quot;:[{&quot;family&quot;:&quot;Gallagher&quot;,&quot;given&quot;:&quot;Paul&quot;,&quot;parse-names&quot;:false,&quot;dropping-particle&quot;:&quot;&quot;,&quot;non-dropping-particle&quot;:&quot;&quot;},{&quot;family&quot;:&quot;Meldrum&quot;,&quot;given&quot;:&quot;Steven&quot;,&quot;parse-names&quot;:false,&quot;dropping-particle&quot;:&quot;&quot;,&quot;non-dropping-particle&quot;:&quot;&quot;},{&quot;family&quot;:&quot;Copstick&quot;,&quot;given&quot;:&quot;Susan&quot;,&quot;parse-names&quot;:false,&quot;dropping-particle&quot;:&quot;&quot;,&quot;non-dropping-particle&quot;:&quot;&quot;},{&quot;family&quot;:&quot;Burnel&quot;,&quot;given&quot;:&quot;Adam&quot;,&quot;parse-names&quot;:false,&quot;dropping-particle&quot;:&quot;&quot;,&quot;non-dropping-particle&quot;:&quot;&quot;},{&quot;family&quot;:&quot;Matthews&quot;,&quot;given&quot;:&quot;Audrey&quot;,&quot;parse-names&quot;:false,&quot;dropping-particle&quot;:&quot;&quot;,&quot;non-dropping-particle&quot;:&quot;&quot;},{&quot;family&quot;:&quot;Brown&quot;,&quot;given&quot;:&quot;Melanie&quot;,&quot;parse-names&quot;:false,&quot;dropping-particle&quot;:&quot;&quot;,&quot;non-dropping-particle&quot;:&quot;&quot;},{&quot;family&quot;:&quot;Walker&quot;,&quot;given&quot;:&quot;Susan&quot;,&quot;parse-names&quot;:false,&quot;dropping-particle&quot;:&quot;&quot;,&quot;non-dropping-particle&quot;:&quot;&quot;},{&quot;family&quot;:&quot;Shah&quot;,&quot;given&quot;:&quot;Pushkar&quot;,&quot;parse-names&quot;:false,&quot;dropping-particle&quot;:&quot;&quot;,&quot;non-dropping-particle&quot;:&quot;&quot;},{&quot;family&quot;:&quot;Razvi&quot;,&quot;given&quot;:&quot;Saif&quot;,&quot;parse-names&quot;:false,&quot;dropping-particle&quot;:&quot;&quot;,&quot;non-dropping-particle&quot;:&quot;&quot;}],&quot;container-title&quot;:&quot;Journal of Neurology, Neurosurgery &amp;amp;amp; Psychiatry&quot;,&quot;DOI&quot;:&quot;10.1136/jnnp-2013-306573.56&quot;,&quot;URL&quot;:&quot;http://jnnp.bmj.com/content/84/11/e2.174.abstract&quot;,&quot;issued&quot;:{&quot;date-parts&quot;:[[2013]]},&quot;page&quot;:&quot;e2&quot;,&quot;abstract&quot;:&quot;Introduction Medically Unexplained Neurological Symptoms (MUNS) are the second most common diagnosis in neurology outpatient clinics, accounting for up to 16% of all referrals.1 Patients with MUNS are frequently admitted for inpatient investigation and management. We reviewed healthcare resource utilisation of patients with MUNS on an acute neurology ward in a tertiary neuroscience centre. Methods A prospective audit of patients admitted to a 19–bedded acute neurology ward, serving a population of approximately 2.2 million people, was performed. We included those with a clinical diagnosis of MUNS and no associated relevant pathology. Patients with MUNS and co–morbid neurological illness (e.g. epilepsy with non–epileptic attack disorder) or individuals assessed electively on the 20–bedded programmed investigation unit (e.g. for video telemetry) were excluded. Clinical and demographic data were collected using paper and electronic records and the national radiology database. Data were collected with respect to healthcare resource utilisation during the single inpatient stay. This included the duration of admission, neuroimaging, electroencephalography (EEG), electromyography (EMG) performed and time with physiotherapists. Results Fourteen patients (11 female, median age 39 years, range 19–56) were admitted to the acute neurology ward over a 9–month period (1st April to 31st December 2012). Eleven out of fourteen (78.6%) were transferred from other hospitals and 3 were admitted form home. Median duration in hospital prior to transfer was 5 days (range 0–15, total 51 hospital days). Patients were taking a mean of 5.4 medications (SD 3.9). Three (21.4%) had prior contact with mental health services and 1 had learning difficulties. Previous attendance at an emergency department had occurred in 6/14 (42.9%) patients (total 84 attendances; range 2–31). Nine patients (64.3%) had prior hospital admissions (total 49 admissions; mean 3.5 [SD 5.6]). A functional motor disorder was diagnosed in 9/14 (64.2%); 3/14 (21.4%) had non–epileptic attack disorder (NEAD), 1/14 (7.1%) had both a functional motor disorder and NEAD and 1 had purely sensory symptoms. Median duration of admission was 8.5 days (range 3–64 days, IQR 5.5–15). Over the 9–month period, patients with MUNS accounted for 231 bed–days, equating to 4.4% of the acute neurology ward bed capacity over this period. CT scans were performed in 9/14 (64.3%, total 12 scans); 10/14 (71.4%) had an MRI (total 22 scans, 1.6 per patient). Four (28.6%) had EEG and 4/14 also had EMG (total 7 EMGs). All 11 with functional motor and sensory MUNS had physiotherapy sessions, accounting for 118 sessions (median 5.5 sessions per patient) with 0.5–52.75 hours required for individual patients (median 3.75 hours). Conclusion Patients with MUNS accounted for 4.4% of the bed occupancy on an acute neurology ward in a tertiary neuroscience centre, with substantial healthcare resource utilisation. This study likely underestimates the overall burden of functional symptoms on the acute neurology ward as only purely functional symptoms were included. A multi–disciplinary approach is required for management of patients with MUNS and needs further study.&quot;,&quot;issue&quot;:&quot;11&quot;,&quot;volume&quot;:&quot;84&quot;,&quot;container-title-short&quot;:&quot;&quot;},&quot;isTemporary&quot;:false},{&quot;id&quot;:&quot;350044a6-1f0b-3361-83ed-a8b8d1c0501c&quot;,&quot;itemData&quot;:{&quot;type&quot;:&quot;article-journal&quot;,&quot;id&quot;:&quot;350044a6-1f0b-3361-83ed-a8b8d1c0501c&quot;,&quot;title&quot;:&quot;Frequent attenders with medically unexplained symptoms: service use and costs in secondary care&quot;,&quot;author&quot;:[{&quot;family&quot;:&quot;Reid&quot;,&quot;given&quot;:&quot;S&quot;,&quot;parse-names&quot;:false,&quot;dropping-particle&quot;:&quot;&quot;,&quot;non-dropping-particle&quot;:&quot;&quot;},{&quot;family&quot;:&quot;Wessely&quot;,&quot;given&quot;:&quot;S&quot;,&quot;parse-names&quot;:false,&quot;dropping-particle&quot;:&quot;&quot;,&quot;non-dropping-particle&quot;:&quot;&quot;},{&quot;family&quot;:&quot;Crayford&quot;,&quot;given&quot;:&quot;T&quot;,&quot;parse-names&quot;:false,&quot;dropping-particle&quot;:&quot;&quot;,&quot;non-dropping-particle&quot;:&quot;&quot;},{&quot;family&quot;:&quot;Hotopf&quot;,&quot;given&quot;:&quot;M&quot;,&quot;parse-names&quot;:false,&quot;dropping-particle&quot;:&quot;&quot;,&quot;non-dropping-particle&quot;:&quot;&quot;}],&quot;container-title&quot;:&quot;Br J Psychiatry&quot;,&quot;DOI&quot;:&quot;10.1192/bjp.180.3.248&quot;,&quot;ISSN&quot;:&quot;0007-1250 (Print)\r0007-1250&quot;,&quot;PMID&quot;:&quot;11872517&quot;,&quot;issued&quot;:{&quot;date-parts&quot;:[[2002]]},&quot;page&quot;:&quot;248-253&quot;,&quot;language&quot;:&quot;eng&quot;,&quot;abstract&quot;:&quot;BACKGROUND: Frequent attenders in medical settings account for a disproportionate amount of health-care resources. Little is known about service use and costs of secondary care in those frequent attenders presenting with medically unexplained symptoms. AIMS: To compare health-care use and costs of patients with medically unexplained symptoms with other frequent attenders in secondary care. METHOD: In a sample of 400 frequent attenders of secondary care services, those presenting with medically unexplained symptoms were identified by a review of medical records. Their use of health-care resources was compared with that of other frequent attenders. RESULTS: Of the frequent attenders 17% had at least two medically unexplained consultation episodes. These patients had a greater number of referrals to secondary care and were more likely to undergo particular investigations. CONCLUSIONS: Frequent attenders with medically unexplained symptoms account for levels of service use and expenditure that are comparable with other frequent attenders, but the use and cost of medical investigations in this group are significantly greater.&quot;,&quot;edition&quot;:&quot;2002/03/02&quot;,&quot;volume&quot;:&quot;180&quot;,&quot;container-title-short&quot;:&quot;&quot;},&quot;isTemporary&quot;:false}],&quot;citationTag&quot;:&quot;MENDELEY_CITATION_v3_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&quot;},{&quot;citationID&quot;:&quot;MENDELEY_CITATION_86bb0e26-cc19-4cc7-ad85-0faf1019a463&quot;,&quot;properties&quot;:{&quot;noteIndex&quot;:0},&quot;isEdited&quot;:false,&quot;manualOverride&quot;:{&quot;isManuallyOverridden&quot;:true,&quot;citeprocText&quot;:&quot;(Reuber et al., 2003)&quot;,&quot;manualOverrideText&quot;:&quot;Reuber et al. (2003)&quot;},&quot;citationItems&quot;:[{&quot;id&quot;:&quot;696eba6f-779c-375c-a280-fd70311abf47&quot;,&quot;itemData&quot;:{&quot;type&quot;:&quot;article-journal&quot;,&quot;id&quot;:&quot;696eba6f-779c-375c-a280-fd70311abf47&quot;,&quot;title&quot;:&quot;Clinical significance of recurrent psychogenic nonepileptic seizure status&quot;,&quot;author&quot;:[{&quot;family&quot;:&quot;Reuber&quot;,&quot;given&quot;:&quot;Markus&quot;,&quot;parse-names&quot;:false,&quot;dropping-particle&quot;:&quot;&quot;,&quot;non-dropping-particle&quot;:&quot;&quot;},{&quot;family&quot;:&quot;Pukrop&quot;,&quot;given&quot;:&quot;Ralf&quot;,&quot;parse-names&quot;:false,&quot;dropping-particle&quot;:&quot;&quot;,&quot;non-dropping-particle&quot;:&quot;&quot;},{&quot;family&quot;:&quot;Mitchell&quot;,&quot;given&quot;:&quot;Alex J.&quot;,&quot;parse-names&quot;:false,&quot;dropping-particle&quot;:&quot;&quot;,&quot;non-dropping-particle&quot;:&quot;&quot;},{&quot;family&quot;:&quot;Bauer&quot;,&quot;given&quot;:&quot;Jürgen&quot;,&quot;parse-names&quot;:false,&quot;dropping-particle&quot;:&quot;&quot;,&quot;non-dropping-particle&quot;:&quot;&quot;},{&quot;family&quot;:&quot;Elger&quot;,&quot;given&quot;:&quot;Christian E.&quot;,&quot;parse-names&quot;:false,&quot;dropping-particle&quot;:&quot;&quot;,&quot;non-dropping-particle&quot;:&quot;&quot;}],&quot;container-title&quot;:&quot;Journal of neurology&quot;,&quot;container-title-short&quot;:&quot;J Neurol&quot;,&quot;accessed&quot;:{&quot;date-parts&quot;:[[2023,4,28]]},&quot;DOI&quot;:&quot;10.1007/S00415-003-0224-Z&quot;,&quot;ISSN&quot;:&quot;0340-5354&quot;,&quot;PMID&quot;:&quot;14648153&quot;,&quot;URL&quot;:&quot;https://pubmed.ncbi.nlm.nih.gov/14648153/&quot;,&quot;issued&quot;:{&quot;date-parts&quot;:[[2003,11]]},&quot;page&quot;:&quot;1355-1362&quot;,&quot;abstract&quot;:&quot;To explore the clinical significance of a history of recurrent psychogenic nonepileptic seizure status (PNES-status), this study describes the frequency of PNES-status in 85 consecutive PNES patients and examines whether there are relevant differences between patients with a history of recurrent PNES-status and other PNES-patients. PNES patients were also compared with 64 patients with epilepsy. Data were extracted from hospital records and a postal questionnaire (Dimensional Assessment of Personality Pathology-Basic Questionnaire; Screening for Somatoform Symptoms; Dissociative Experience Scale). Of the PNES-patients, 77.6% reported at least one seizure &gt; 30 minutes (PNES-status), 27% admission to intensive care with status. 38.8% reported recurrent hospital admissions with status (PNES-status group), the remaining patients served as PNES-controls. The only clinical difference between the two PNES groups was that status patients were younger than PNES-controls (mean age 20.3 vs. 30.3 years, p = 0.001). Our results suggest that PNES status is common and often unrecognised. There were no substantial psychometric differences between patients with recurrent PNES-status and other PNES patients although both PNES-groups had more abnormal somatisation, dissociation and personality scores than patients with epilepsy.&quot;,&quot;publisher&quot;:&quot;J Neurol&quot;,&quot;issue&quot;:&quot;11&quot;,&quot;volume&quot;:&quot;250&quot;},&quot;isTemporary&quot;:false}],&quot;citationTag&quot;:&quot;MENDELEY_CITATION_v3_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&quot;},{&quot;citationID&quot;:&quot;MENDELEY_CITATION_ab81feff-022f-4dea-9052-ad33e79ff490&quot;,&quot;properties&quot;:{&quot;noteIndex&quot;:0},&quot;isEdited&quot;:false,&quot;manualOverride&quot;:{&quot;isManuallyOverridden&quot;:true,&quot;citeprocText&quot;:&quot;(Reuber et al., 2003)&quot;,&quot;manualOverrideText&quot;:&quot;(Reuber, Pukrop, Mitchell, et al., 2003)&quot;},&quot;citationItems&quot;:[{&quot;id&quot;:&quot;696eba6f-779c-375c-a280-fd70311abf47&quot;,&quot;itemData&quot;:{&quot;type&quot;:&quot;article-journal&quot;,&quot;id&quot;:&quot;696eba6f-779c-375c-a280-fd70311abf47&quot;,&quot;title&quot;:&quot;Clinical significance of recurrent psychogenic nonepileptic seizure status&quot;,&quot;author&quot;:[{&quot;family&quot;:&quot;Reuber&quot;,&quot;given&quot;:&quot;Markus&quot;,&quot;parse-names&quot;:false,&quot;dropping-particle&quot;:&quot;&quot;,&quot;non-dropping-particle&quot;:&quot;&quot;},{&quot;family&quot;:&quot;Pukrop&quot;,&quot;given&quot;:&quot;Ralf&quot;,&quot;parse-names&quot;:false,&quot;dropping-particle&quot;:&quot;&quot;,&quot;non-dropping-particle&quot;:&quot;&quot;},{&quot;family&quot;:&quot;Mitchell&quot;,&quot;given&quot;:&quot;Alex J.&quot;,&quot;parse-names&quot;:false,&quot;dropping-particle&quot;:&quot;&quot;,&quot;non-dropping-particle&quot;:&quot;&quot;},{&quot;family&quot;:&quot;Bauer&quot;,&quot;given&quot;:&quot;Jürgen&quot;,&quot;parse-names&quot;:false,&quot;dropping-particle&quot;:&quot;&quot;,&quot;non-dropping-particle&quot;:&quot;&quot;},{&quot;family&quot;:&quot;Elger&quot;,&quot;given&quot;:&quot;Christian E.&quot;,&quot;parse-names&quot;:false,&quot;dropping-particle&quot;:&quot;&quot;,&quot;non-dropping-particle&quot;:&quot;&quot;}],&quot;container-title&quot;:&quot;Journal of neurology&quot;,&quot;container-title-short&quot;:&quot;J Neurol&quot;,&quot;accessed&quot;:{&quot;date-parts&quot;:[[2023,4,28]]},&quot;DOI&quot;:&quot;10.1007/S00415-003-0224-Z&quot;,&quot;ISSN&quot;:&quot;0340-5354&quot;,&quot;PMID&quot;:&quot;14648153&quot;,&quot;URL&quot;:&quot;https://pubmed.ncbi.nlm.nih.gov/14648153/&quot;,&quot;issued&quot;:{&quot;date-parts&quot;:[[2003,11]]},&quot;page&quot;:&quot;1355-1362&quot;,&quot;abstract&quot;:&quot;To explore the clinical significance of a history of recurrent psychogenic nonepileptic seizure status (PNES-status), this study describes the frequency of PNES-status in 85 consecutive PNES patients and examines whether there are relevant differences between patients with a history of recurrent PNES-status and other PNES-patients. PNES patients were also compared with 64 patients with epilepsy. Data were extracted from hospital records and a postal questionnaire (Dimensional Assessment of Personality Pathology-Basic Questionnaire; Screening for Somatoform Symptoms; Dissociative Experience Scale). Of the PNES-patients, 77.6% reported at least one seizure &gt; 30 minutes (PNES-status), 27% admission to intensive care with status. 38.8% reported recurrent hospital admissions with status (PNES-status group), the remaining patients served as PNES-controls. The only clinical difference between the two PNES groups was that status patients were younger than PNES-controls (mean age 20.3 vs. 30.3 years, p = 0.001). Our results suggest that PNES status is common and often unrecognised. There were no substantial psychometric differences between patients with recurrent PNES-status and other PNES patients although both PNES-groups had more abnormal somatisation, dissociation and personality scores than patients with epilepsy.&quot;,&quot;publisher&quot;:&quot;J Neurol&quot;,&quot;issue&quot;:&quot;11&quot;,&quot;volume&quot;:&quot;250&quot;},&quot;isTemporary&quot;:false}],&quot;citationTag&quot;:&quot;MENDELEY_CITATION_v3_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&quot;},{&quot;citationID&quot;:&quot;MENDELEY_CITATION_79c60657-89d0-47c4-811b-939abd36c268&quot;,&quot;properties&quot;:{&quot;noteIndex&quot;:0},&quot;isEdited&quot;:false,&quot;manualOverride&quot;:{&quot;isManuallyOverridden&quot;:false,&quot;citeprocText&quot;:&quot;(Reuber et al., 2004)&quot;,&quot;manualOverrideText&quot;:&quot;&quot;},&quot;citationItems&quot;:[{&quot;id&quot;:&quot;32f39d0c-8224-3522-acda-8e9ab2322428&quot;,&quot;itemData&quot;:{&quot;type&quot;:&quot;article-journal&quot;,&quot;id&quot;:&quot;32f39d0c-8224-3522-acda-8e9ab2322428&quot;,&quot;title&quot;:&quot;Failure to recognize psychogenic nonepileptic seizures may cause death&quot;,&quot;author&quot;:[{&quot;family&quot;:&quot;Reuber&quot;,&quot;given&quot;:&quot;M&quot;,&quot;parse-names&quot;:false,&quot;dropping-particle&quot;:&quot;&quot;,&quot;non-dropping-particle&quot;:&quot;&quot;},{&quot;family&quot;:&quot;Baker&quot;,&quot;given&quot;:&quot;G A&quot;,&quot;parse-names&quot;:false,&quot;dropping-particle&quot;:&quot;&quot;,&quot;non-dropping-particle&quot;:&quot;&quot;},{&quot;family&quot;:&quot;Gill&quot;,&quot;given&quot;:&quot;R&quot;,&quot;parse-names&quot;:false,&quot;dropping-particle&quot;:&quot;&quot;,&quot;non-dropping-particle&quot;:&quot;&quot;},{&quot;family&quot;:&quot;Smith&quot;,&quot;given&quot;:&quot;D F&quot;,&quot;parse-names&quot;:false,&quot;dropping-particle&quot;:&quot;&quot;,&quot;non-dropping-particle&quot;:&quot;&quot;},{&quot;family&quot;:&quot;Chadwick&quot;,&quot;given&quot;:&quot;D W&quot;,&quot;parse-names&quot;:false,&quot;dropping-particle&quot;:&quot;&quot;,&quot;non-dropping-particle&quot;:&quot;&quot;}],&quot;container-title&quot;:&quot;Neurology&quot;,&quot;container-title-short&quot;:&quot;Neurology&quot;,&quot;DOI&quot;:&quot;10.1212/01.wnl.0000113755.11398.90&quot;,&quot;ISSN&quot;:&quot;0028-3878&quot;,&quot;PMID&quot;:&quot;15007151&quot;,&quot;issued&quot;:{&quot;date-parts&quot;:[[2004]]},&quot;page&quot;:&quot;834-835&quot;,&quot;language&quot;:&quot;eng&quot;,&quot;edition&quot;:&quot;2004/03/10&quot;,&quot;issue&quot;:&quot;5&quot;,&quot;volume&quot;:&quot;62&quot;},&quot;isTemporary&quot;:false}],&quot;citationTag&quot;:&quot;MENDELEY_CITATION_v3_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&quot;},{&quot;citationID&quot;:&quot;MENDELEY_CITATION_ca5ed130-c707-47d2-a49c-e1147fd28fec&quot;,&quot;properties&quot;:{&quot;noteIndex&quot;:0},&quot;isEdited&quot;:false,&quot;manualOverride&quot;:{&quot;isManuallyOverridden&quot;:true,&quot;citeprocText&quot;:&quot;(Carson et al., 2011; Stone et al., 2011)&quot;,&quot;manualOverrideText&quot;:&quot;(A. Carson et al., 2011; Stone et al., 2011)&quot;},&quot;citationItems&quot;:[{&quot;id&quot;:&quot;a477d660-7a6a-30fe-b60b-f04f13c8da1b&quot;,&quot;itemData&quot;:{&quot;type&quot;:&quot;article-journal&quot;,&quot;id&quot;:&quot;a477d660-7a6a-30fe-b60b-f04f13c8da1b&quot;,&quot;title&quot;:&quot;Disability, distress and unemployment in neurology outpatients with symptoms 'unexplained by organic disease'&quot;,&quot;author&quot;:[{&quot;family&quot;:&quot;Carson&quot;,&quot;given&quot;:&quot;A&quot;,&quot;parse-names&quot;:false,&quot;dropping-particle&quot;:&quot;&quot;,&quot;non-dropping-particle&quot;:&quot;&quot;},{&quot;family&quot;:&quot;Stone&quot;,&quot;given&quot;:&quot;J&quot;,&quot;parse-names&quot;:false,&quot;dropping-particle&quot;:&quot;&quot;,&quot;non-dropping-particle&quot;:&quot;&quot;},{&quot;family&quot;:&quot;Hibberd&quot;,&quot;given&quot;:&quot;C&quot;,&quot;parse-names&quot;:false,&quot;dropping-particle&quot;:&quot;&quot;,&quot;non-dropping-particle&quot;:&quot;&quot;},{&quot;family&quot;:&quot;Murray&quot;,&quot;given&quot;:&quot;G&quot;,&quot;parse-names&quot;:false,&quot;dropping-particle&quot;:&quot;&quot;,&quot;non-dropping-particle&quot;:&quot;&quot;},{&quot;family&quot;:&quot;Duncan&quot;,&quot;given&quot;:&quot;R&quot;,&quot;parse-names&quot;:false,&quot;dropping-particle&quot;:&quot;&quot;,&quot;non-dropping-particle&quot;:&quot;&quot;},{&quot;family&quot;:&quot;Coleman&quot;,&quot;given&quot;:&quot;R&quot;,&quot;parse-names&quot;:false,&quot;dropping-particle&quot;:&quot;&quot;,&quot;non-dropping-particle&quot;:&quot;&quot;},{&quot;family&quot;:&quot;Warlow&quot;,&quot;given&quot;:&quot;C&quot;,&quot;parse-names&quot;:false,&quot;dropping-particle&quot;:&quot;&quot;,&quot;non-dropping-particle&quot;:&quot;&quot;},{&quot;family&quot;:&quot;Roberts&quot;,&quot;given&quot;:&quot;R&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Hansen&quot;,&quot;given&quot;:&quot;C&quot;,&quot;parse-names&quot;:false,&quot;dropping-particle&quot;:&quot;&quot;,&quot;non-dropping-particle&quot;:&quot;&quot;},{&quot;family&quot;:&quot;Sharpe&quot;,&quot;given&quot;:&quot;M&quot;,&quot;parse-names&quot;:false,&quot;dropping-particle&quot;:&quot;&quot;,&quot;non-dropping-particle&quot;:&quot;&quot;}],&quot;container-title&quot;:&quot;J Neurol Neurosurg Psychiatry&quot;,&quot;DOI&quot;:&quot;10.1136/jnnp.2010.220640&quot;,&quot;ISSN&quot;:&quot;0022-3050&quot;,&quot;PMID&quot;:&quot;21257981&quot;,&quot;issued&quot;:{&quot;date-parts&quot;:[[2011]]},&quot;page&quot;:&quot;810-813&quot;,&quot;language&quot;:&quot;eng&quot;,&quot;abstract&quot;:&quot;OBJECTIVES: To determine the disability, distress and employment status of new neurology outpatients with physical symptoms unexplained by organic disease and to compare them with patients with symptoms explained by organic disease. METHODS: As part of a cohort study (the Scottish Neurological Symptoms Study) neurologists rated the extent to which each new patient's symptoms were explained by organic disease. Patients whose symptoms were rated as 'not at all' or only 'somewhat' explained by disease were considered cases, and those whose symptoms were 'largely' or 'completely' explained by disease were considered controls. All patients completed self-ratings of disability, health status (Medical Outcomes Study Short Form 12-Item Scale (SF-12)) and emotional distress (Hospital Anxiety and Depression Scale) and also reported their employment and state financial benefit status. RESULTS: 3781 patients were recruited: 1144 (30%) cases and 2637 (70%) controls. Cases had worse physical health status (SF-12 score 42 vs 44; difference in means 1.7 (95% CI -2.5 to 0.9)) and worse mental health status (SF-12 score 43 vs 47; difference in means -3.5 (95% CI -4.3 to to 2.7)). Unemployment was similar in cases and controls (50% vs 50%) but cases were more likely not to be working for health reasons (54% vs 37% of the 50% not working; OR 2.0 (95% CI 1.6 to 2.4)) and also more likely to be receiving disability-related state financial benefits (27% vs 22%; (OR 1.3, 95% CI 1.1 to 1.6)). CONCLUSIONS: New neurology patients with symptoms unexplained by organic disease have more disability-, distress- and disability-related state financial benefits than patients with symptoms explained by disease.&quot;,&quot;edition&quot;:&quot;2011/01/25&quot;,&quot;issue&quot;:&quot;7&quot;,&quot;volume&quot;:&quot;82&quot;,&quot;container-title-short&quot;:&quot;&quot;},&quot;isTemporary&quot;:false},{&quot;id&quot;:&quot;015f09d4-1cfe-3d76-9e4a-8824068f16df&quot;,&quot;itemData&quot;:{&quot;type&quot;:&quot;article-journal&quot;,&quot;id&quot;:&quot;015f09d4-1cfe-3d76-9e4a-8824068f16df&quot;,&quot;title&quot;:&quot;Conversion Disorder: Current problems and potential solutions for DSM-5&quot;,&quot;author&quot;:[{&quot;family&quot;:&quot;Stone&quot;,&quot;given&quot;:&quot;Jon&quot;,&quot;parse-names&quot;:false,&quot;dropping-particle&quot;:&quot;&quot;,&quot;non-dropping-particle&quot;:&quot;&quot;},{&quot;family&quot;:&quot;LaFrance&quot;,&quot;given&quot;:&quot;W Curt&quot;,&quot;parse-names&quot;:false,&quot;dropping-particle&quot;:&quot;&quot;,&quot;non-dropping-particle&quot;:&quot;&quot;},{&quot;family&quot;:&quot;Brown&quot;,&quot;given&quot;:&quot;Richard&quot;,&quot;parse-names&quot;:false,&quot;dropping-particle&quot;:&quot;&quot;,&quot;non-dropping-particle&quot;:&quot;&quot;},{&quot;family&quot;:&quot;Spiegel&quot;,&quot;given&quot;:&quot;David&quot;,&quot;parse-names&quot;:false,&quot;dropping-particle&quot;:&quot;&quot;,&quot;non-dropping-particle&quot;:&quot;&quot;},{&quot;family&quot;:&quot;Levenson&quot;,&quot;given&quot;:&quot;James L&quot;,&quot;parse-names&quot;:false,&quot;dropping-particle&quot;:&quot;&quot;,&quot;non-dropping-particle&quot;:&quot;&quot;},{&quot;family&quot;:&quot;Sharpe&quot;,&quot;given&quot;:&quot;Michael&quot;,&quot;parse-names&quot;:false,&quot;dropping-particle&quot;:&quot;&quot;,&quot;non-dropping-particle&quot;:&quot;&quot;}],&quot;container-title&quot;:&quot;Journal of Psychosomatic Research&quot;,&quot;container-title-short&quot;:&quot;J Psychosom Res&quot;,&quot;DOI&quot;:&quot;https://doi.org/10.1016/j.jpsychores.2011.07.005&quot;,&quot;ISSN&quot;:&quot;0022-3999&quot;,&quot;URL&quot;:&quot;http://www.sciencedirect.com/science/article/pii/S0022399911002133&quot;,&quot;issued&quot;:{&quot;date-parts&quot;:[[2011]]},&quot;page&quot;:&quot;369-376&quot;,&quot;abstract&quot;:&quot;Conversion disorder in the Diagnostic and Statistical Manual of Mental Disorders (DSM-IV-TR) describes neurological symptoms, including weakness, numbness and events resembling epilepsy or syncope, which can be positively identified as not being due to recognised neurological disease. This review combines perspectives from psychiatry, psychology and neurology to identify and discuss key problems with the current diagnostic DSM-IV criteria for conversion disorder and to make the following proposals for DSM-5: (a) abandoning the label “conversion disorder” and replacing it with an alternative term that is both theoretically neutral and potentially more acceptable to patients and practitioners; (b) relegating the requirements for “association of psychological factors” and the “exclusion of feigning” to the accompanying text; (c) adding a criterion requiring clinical findings of internal inconsistency or incongruity with recognised neurological or medical disease and altering the current ‘disease exclusion’ criteria to one in which the symptom must not be ‘better explained’ by a disease if present, (d) adding a ‘cognitive symptoms’ subtype. We also discuss whether conversion symptoms are better classified with other somatic symptom disorders or with dissociative disorders and how we might address the potential heterogeneity of conversion symptoms in classification.&quot;,&quot;issue&quot;:&quot;6&quot;,&quot;volume&quot;:&quot;71&quot;},&quot;isTemporary&quot;:false}],&quot;citationTag&quot;:&quot;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&quot;},{&quot;citationID&quot;:&quot;MENDELEY_CITATION_e56d734a-ba75-4f00-a46a-e651dce7ed8d&quot;,&quot;properties&quot;:{&quot;noteIndex&quot;:0},&quot;isEdited&quot;:false,&quot;manualOverride&quot;:{&quot;isManuallyOverridden&quot;:true,&quot;citeprocText&quot;:&quot;(Espay et al., 2018)&quot;,&quot;manualOverrideText&quot;:&quot;(Espay, Aybek, et al., 2018)&quot;},&quot;citationItems&quot;:[{&quot;id&quot;:&quot;f3bdefe1-16aa-34b9-9eed-68baadfc442b&quot;,&quot;itemData&quot;:{&quot;type&quot;:&quot;article-journal&quot;,&quot;id&quot;:&quot;f3bdefe1-16aa-34b9-9eed-68baadfc442b&quot;,&quot;title&quot;:&quot;Current Concepts in Diagnosis and Treatment of Functional Neurological Disorders&quot;,&quot;author&quot;:[{&quot;family&quot;:&quot;Espay&quot;,&quot;given&quot;:&quot;A J&quot;,&quot;parse-names&quot;:false,&quot;dropping-particle&quot;:&quot;&quot;,&quot;non-dropping-particle&quot;:&quot;&quot;},{&quot;family&quot;:&quot;Aybek&quot;,&quot;given&quot;:&quot;S&quot;,&quot;parse-names&quot;:false,&quot;dropping-particle&quot;:&quot;&quot;,&quot;non-dropping-particle&quot;:&quot;&quot;},{&quot;family&quot;:&quot;Carson&quot;,&quot;given&quot;:&quot;A&quot;,&quot;parse-names&quot;:false,&quot;dropping-particle&quot;:&quot;&quot;,&quot;non-dropping-particle&quot;:&quot;&quot;},{&quot;family&quot;:&quot;Edwards&quot;,&quot;given&quot;:&quot;M J&quot;,&quot;parse-names&quot;:false,&quot;dropping-particle&quot;:&quot;&quot;,&quot;non-dropping-particle&quot;:&quot;&quot;},{&quot;family&quot;:&quot;Goldstein&quot;,&quot;given&quot;:&quot;L H&quot;,&quot;parse-names&quot;:false,&quot;dropping-particle&quot;:&quot;&quot;,&quot;non-dropping-particle&quot;:&quot;&quot;},{&quot;family&quot;:&quot;Hallett&quot;,&quot;given&quot;:&quot;M&quot;,&quot;parse-names&quot;:false,&quot;dropping-particle&quot;:&quot;&quot;,&quot;non-dropping-particle&quot;:&quot;&quot;},{&quot;family&quot;:&quot;LaFaver&quot;,&quot;given&quot;:&quot;K&quot;,&quot;parse-names&quot;:false,&quot;dropping-particle&quot;:&quot;&quot;,&quot;non-dropping-particle&quot;:&quot;&quot;},{&quot;family&quot;:&quot;LaFrance Jr.&quot;,&quot;given&quot;:&quot;W C&quot;,&quot;parse-names&quot;:false,&quot;dropping-particle&quot;:&quot;&quot;,&quot;non-dropping-particle&quot;:&quot;&quot;},{&quot;family&quot;:&quot;Lang&quot;,&quot;given&quot;:&quot;A E&quot;,&quot;parse-names&quot;:false,&quot;dropping-particle&quot;:&quot;&quot;,&quot;non-dropping-particle&quot;:&quot;&quot;},{&quot;family&quot;:&quot;Nicholson&quot;,&quot;given&quot;:&quot;T&quot;,&quot;parse-names&quot;:false,&quot;dropping-particle&quot;:&quot;&quot;,&quot;non-dropping-particle&quot;:&quot;&quot;},{&quot;family&quot;:&quot;Nielsen&quot;,&quot;given&quot;:&quot;G&quot;,&quot;parse-names&quot;:false,&quot;dropping-particle&quot;:&quot;&quot;,&quot;non-dropping-particle&quot;:&quot;&quot;},{&quot;family&quot;:&quot;Reuber&quot;,&quot;given&quot;:&quot;M&quot;,&quot;parse-names&quot;:false,&quot;dropping-particle&quot;:&quot;&quot;,&quot;non-dropping-particle&quot;:&quot;&quot;},{&quot;family&quot;:&quot;Voon&quot;,&quot;given&quot;:&quot;V&quot;,&quot;parse-names&quot;:false,&quot;dropping-particle&quot;:&quot;&quot;,&quot;non-dropping-particle&quot;:&quot;&quot;},{&quot;family&quot;:&quot;Stone&quot;,&quot;given&quot;:&quot;J&quot;,&quot;parse-names&quot;:false,&quot;dropping-particle&quot;:&quot;&quot;,&quot;non-dropping-particle&quot;:&quot;&quot;},{&quot;family&quot;:&quot;Morgante&quot;,&quot;given&quot;:&quot;F&quot;,&quot;parse-names&quot;:false,&quot;dropping-particle&quot;:&quot;&quot;,&quot;non-dropping-particle&quot;:&quot;&quot;}],&quot;container-title&quot;:&quot;JAMA Neurol&quot;,&quot;DOI&quot;:&quot;10.1001/jamaneurol.2018.1264&quot;,&quot;ISSN&quot;:&quot;2168-6149&quot;,&quot;PMID&quot;:&quot;29868890&quot;,&quot;issued&quot;:{&quot;date-parts&quot;:[[2018]]},&quot;page&quot;:&quot;1132-1141&quot;,&quot;language&quot;:&quot;eng&quot;,&quot;abstract&quot;:&quot;IMPORTANCE: Functional neurological disorders (FND) are common sources of disability in medicine. Patients have often been misdiagnosed, correctly diagnosed after lengthy delays, and/or subjected to poorly delivered diagnoses that prevent diagnostic understanding and lead to inappropriate treatments, iatrogenic harm, unnecessary and costly evaluations, and poor outcomes. OBSERVATIONS: Functional Neurological Symptom Disorder/Conversion Disorder was adopted by the Diagnostic and Statistical Manual of Mental Disorders, Fifth Edition, replacing the term psychogenic with functional and removing the criterion of psychological stress as a prerequisite for FND. A diagnosis can now be made in an inclusionary manner by identifying neurological signs that are specific to FNDs without reliance on presence or absence of psychological stressors or suggestive historical clues. The new model highlights a wider range of past sensitizing events, such as physical trauma, medical illness, or physiological/psychophysiological events. In this model, strong ideas and expectations about these events correlate with abnormal predictions of sensory data and body-focused attention. Neurobiological abnormalities include hypoactivation of the supplementary motor area and relative disconnection with areas that select or inhibit movements and are associated with a sense of agency. Promising evidence has accumulated for the benefit of specific physical rehabilitation and psychological interventions alone or in combination, but clinical trial evidence remains limited. CONCLUSIONS AND RELEVANCE: Functional neurological disorders are a neglected but potentially reversible source of disability. Further research is needed to determine the dose and duration of various interventions, the value of combination treatments and multidisciplinary therapy, and the therapeutic modality best suited for each patient.&quot;,&quot;edition&quot;:&quot;2018/06/06&quot;,&quot;issue&quot;:&quot;9&quot;,&quot;volume&quot;:&quot;75&quot;,&quot;container-title-short&quot;:&quot;&quot;},&quot;isTemporary&quot;:false}],&quot;citationTag&quot;:&quot;MENDELEY_CITATION_v3_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&quot;},{&quot;citationID&quot;:&quot;MENDELEY_CITATION_8bc57f14-0d4b-45c1-9462-2f445b50418d&quot;,&quot;properties&quot;:{&quot;noteIndex&quot;:0},&quot;isEdited&quot;:false,&quot;manualOverride&quot;:{&quot;isManuallyOverridden&quot;:false,&quot;citeprocText&quot;:&quot;(Cock &amp;#38; Edwards, 2018)&quot;,&quot;manualOverrideText&quot;:&quot;&quot;},&quot;citationItems&quot;:[{&quot;id&quot;:&quot;dd8216ee-5d41-3664-afbf-15d447dd7d1a&quot;,&quot;itemData&quot;:{&quot;type&quot;:&quot;article-journal&quot;,&quot;id&quot;:&quot;dd8216ee-5d41-3664-afbf-15d447dd7d1a&quot;,&quot;title&quot;:&quot;Functional neurological disorders: acute presentations and management&quot;,&quot;author&quot;:[{&quot;family&quot;:&quot;Cock&quot;,&quot;given&quot;:&quot;Hannah R&quot;,&quot;parse-names&quot;:false,&quot;dropping-particle&quot;:&quot;&quot;,&quot;non-dropping-particle&quot;:&quot;&quot;},{&quot;family&quot;:&quot;Edwards&quot;,&quot;given&quot;:&quot;Mark J&quot;,&quot;parse-names&quot;:false,&quot;dropping-particle&quot;:&quot;&quot;,&quot;non-dropping-particle&quot;:&quot;&quot;}],&quot;container-title&quot;:&quot;Clinical medicine (London, England)&quot;,&quot;container-title-short&quot;:&quot;Clin Med (Lond)&quot;,&quot;DOI&quot;:&quot;10.7861/clinmedicine.18-5-414&quot;,&quot;ISSN&quot;:&quot;1473-4893\r1470-2118&quot;,&quot;PMID&quot;:&quot;30287439&quot;,&quot;URL&quot;:&quot;https://pubmed.ncbi.nlm.nih.gov/30287439&quot;,&quot;issued&quot;:{&quot;date-parts&quot;:[[2018]]},&quot;page&quot;:&quot;414-417&quot;,&quot;language&quot;:&quot;eng&quot;,&quot;abstract&quot;:&quot;Functional neurological disorders (FND) are common and associated with significant morbidity and healthcare costs. Patients with FND often present acutely, particularly with dissociative seizures (resembling epilepsy) or persistent weakness resembling a stroke. History and careful observation and examination are critical to diagnosis, as investigations will often be normal or non-contributory. The nature of convulsive movements in dissociative seizures often differs from that in epilepsy, and long duration of individual events, waxing and waning, closed eyes and high reported frequency in an apparently well individual are all suggestive. In those with stroke-like episodes, demonstration of normal power even briefly (eg Hoover's sign, 'give way' weakness) together with distractability are positive physical features indicating a functional disorder. A positive diagnosis and clear non-judgemental explanation, backed up by reliable information sources associated with prompt onward referral to a neurologist can greatly reduce distress and ultimately improve outcomes.&quot;,&quot;publisher&quot;:&quot;Royal College of Physicians&quot;,&quot;issue&quot;:&quot;5&quot;,&quot;volume&quot;:&quot;18&quot;},&quot;isTemporary&quot;:false}],&quot;citationTag&quot;:&quot;MENDELEY_CITATION_v3_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&quot;},{&quot;citationID&quot;:&quot;MENDELEY_CITATION_2d299ca6-33a5-476c-a715-962fa73a366c&quot;,&quot;properties&quot;:{&quot;noteIndex&quot;:0},&quot;isEdited&quot;:false,&quot;manualOverride&quot;:{&quot;isManuallyOverridden&quot;:false,&quot;citeprocText&quot;:&quot;(Page &amp;#38; Wessely, 2003)&quot;,&quot;manualOverrideText&quot;:&quot;&quot;},&quot;citationItems&quot;:[{&quot;id&quot;:&quot;f23ecad0-9b49-3c83-8f80-79b7e74f2ca4&quot;,&quot;itemData&quot;:{&quot;type&quot;:&quot;article-journal&quot;,&quot;id&quot;:&quot;f23ecad0-9b49-3c83-8f80-79b7e74f2ca4&quot;,&quot;title&quot;:&quot;Medically unexplained symptoms: exacerbating factors in the doctor-patient encounter&quot;,&quot;author&quot;:[{&quot;family&quot;:&quot;Page&quot;,&quot;given&quot;:&quot;L A&quot;,&quot;parse-names&quot;:false,&quot;dropping-particle&quot;:&quot;&quot;,&quot;non-dropping-particle&quot;:&quot;&quot;},{&quot;family&quot;:&quot;Wessely&quot;,&quot;given&quot;:&quot;S&quot;,&quot;parse-names&quot;:false,&quot;dropping-particle&quot;:&quot;&quot;,&quot;non-dropping-particle&quot;:&quot;&quot;}],&quot;container-title&quot;:&quot;J R Soc Med&quot;,&quot;DOI&quot;:&quot;10.1258/jrsm.96.5.223&quot;,&quot;ISSN&quot;:&quot;0141-0768 (Print)\r0141-0768&quot;,&quot;PMID&quot;:&quot;12724431&quot;,&quot;issued&quot;:{&quot;date-parts&quot;:[[2003]]},&quot;page&quot;:&quot;223-227&quot;,&quot;language&quot;:&quot;eng&quot;,&quot;edition&quot;:&quot;2003/05/02&quot;,&quot;issue&quot;:&quot;5&quot;,&quot;volume&quot;:&quot;96&quot;,&quot;container-title-short&quot;:&quot;&quot;},&quot;isTemporary&quot;:false}],&quot;citationTag&quot;:&quot;MENDELEY_CITATION_v3_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&quot;},{&quot;citationID&quot;:&quot;MENDELEY_CITATION_39fc8e49-94bd-4c43-b4f5-62fbdd67a76f&quot;,&quot;properties&quot;:{&quot;noteIndex&quot;:0},&quot;isEdited&quot;:false,&quot;manualOverride&quot;:{&quot;isManuallyOverridden&quot;:false,&quot;citeprocText&quot;:&quot;(Barsky et al., 2005; Cock &amp;#38; Edwards, 2018)&quot;,&quot;manualOverrideText&quot;:&quot;&quot;},&quot;citationItems&quot;:[{&quot;id&quot;:&quot;c3c14845-8c91-3fdc-a46a-dfaacd72f3f6&quot;,&quot;itemData&quot;:{&quot;type&quot;:&quot;article-journal&quot;,&quot;id&quot;:&quot;c3c14845-8c91-3fdc-a46a-dfaacd72f3f6&quot;,&quot;title&quot;:&quot;Somatization increases medical utilization and costs independent of psychiatric and medical comorbidity&quot;,&quot;author&quot;:[{&quot;family&quot;:&quot;Barsky&quot;,&quot;given&quot;:&quot;A J&quot;,&quot;parse-names&quot;:false,&quot;dropping-particle&quot;:&quot;&quot;,&quot;non-dropping-particle&quot;:&quot;&quot;},{&quot;family&quot;:&quot;Orav&quot;,&quot;given&quot;:&quot;E J&quot;,&quot;parse-names&quot;:false,&quot;dropping-particle&quot;:&quot;&quot;,&quot;non-dropping-particle&quot;:&quot;&quot;},{&quot;family&quot;:&quot;Bates&quot;,&quot;given&quot;:&quot;D W&quot;,&quot;parse-names&quot;:false,&quot;dropping-particle&quot;:&quot;&quot;,&quot;non-dropping-particle&quot;:&quot;&quot;}],&quot;container-title&quot;:&quot;Arch Gen Psychiatry&quot;,&quot;DOI&quot;:&quot;10.1001/archpsyc.62.8.903&quot;,&quot;ISSN&quot;:&quot;0003-990X (Print)\r0003-990x&quot;,&quot;PMID&quot;:&quot;16061768&quot;,&quot;issued&quot;:{&quot;date-parts&quot;:[[2005]]},&quot;page&quot;:&quot;903-910&quot;,&quot;language&quot;:&quot;eng&quot;,&quot;abstract&quot;:&quot;CONTEXT: Somatoform disorders are an important determinant of medical care utilization, but their independent effect on utilization is difficult to determine because somatizing patients frequently have psychiatric and medical comorbidity. OBJECTIVES: To assess the extent of the overlap of somatization with other psychiatric disorders; to compare the medical utilization of somatizing and nonsomatizing patients; and to determine the independent contribution of somatization alone to utilization. DESIGN: Patients were surveyed with self-report questionnaires assessing somatization and psychiatric disorder. Medical care utilization was obtained from automated encounter data for the year preceding the index visit. Medical morbidity was indexed with a computerized medical record audit. SETTING: Two hospital-affiliated primary care practices. PARTICIPANTS: Consecutive adults making scheduled visits to their primary care physicians on randomly chosen days. In all, 2668 questionnaires were distributed, and 1914 (71.7%) were returned. Of these, 1546 (80.8%) contained complete data and met eligibility criteria. MAIN OUTCOME MEASURES: Medical care utilization and costs within our hospital system in the preceding 12 months. RESULTS: Two hundred ninety-nine patients (20.5%) received a provisional diagnosis of somatization; 42.3% of these patients had no comorbid depressive or anxiety disorder. Somatizing patients, when compared with nonsomatizing patients, had more primary care visits (mean [SE], 4.90 [0.32] vs 3.43 [0.11]; P&lt;.001); more specialty visits (mean [SE], 8.13 [0.55] vs 4.90 [0.21]; P&lt;.001); more emergency department visits (mean [SE], 1.29 [0.15] vs 0.52 [0.036]; P&lt;.001); more hospital admissions (mean [SE], 0.32 [0.051] vs 0.13 [0.014]; P&lt;.001); higher inpatient costs (mean [SE], USD 3146 [USD 380] vs USD 991 [USD 193]; P&lt;.001); and higher outpatient costs (mean [SE], USD 3208 [USD 180] vs USD 1771 [USD 91]; P&lt;.001). When these results were adjusted for the presence of comorbid anxiety and depressive disorders, major medical morbidity, and sociodemographic characteristics, patients with somatoform disorder still had more primary care visits (P = .04), more specialist visits (P = .002), more emergency department visits (P&lt;.001), more hospital admissions (P&lt;.001), more ambulatory procedures (P&lt;.001), higher inpatient costs (P&lt;.001), and higher outpatient costs (P&lt;.001). When these findings are extrapolated to the national level, an estimated USD 256 billion a year in medical care costs are attributable to the incremental effect of somatization alone. CONCLUSIONS: Patients with somatization had approximately twice the outpatient and inpatient medical care utilization and twice the annual medical care costs of nonsomatizing patients. Adjusting the findings for the presence of psychiatric and medical comorbidity had relatively little effect on this association.&quot;,&quot;edition&quot;:&quot;2005/08/03&quot;,&quot;issue&quot;:&quot;8&quot;,&quot;volume&quot;:&quot;62&quot;,&quot;container-title-short&quot;:&quot;&quot;},&quot;isTemporary&quot;:false},{&quot;id&quot;:&quot;dd8216ee-5d41-3664-afbf-15d447dd7d1a&quot;,&quot;itemData&quot;:{&quot;type&quot;:&quot;article-journal&quot;,&quot;id&quot;:&quot;dd8216ee-5d41-3664-afbf-15d447dd7d1a&quot;,&quot;title&quot;:&quot;Functional neurological disorders: acute presentations and management&quot;,&quot;author&quot;:[{&quot;family&quot;:&quot;Cock&quot;,&quot;given&quot;:&quot;Hannah R&quot;,&quot;parse-names&quot;:false,&quot;dropping-particle&quot;:&quot;&quot;,&quot;non-dropping-particle&quot;:&quot;&quot;},{&quot;family&quot;:&quot;Edwards&quot;,&quot;given&quot;:&quot;Mark J&quot;,&quot;parse-names&quot;:false,&quot;dropping-particle&quot;:&quot;&quot;,&quot;non-dropping-particle&quot;:&quot;&quot;}],&quot;container-title&quot;:&quot;Clinical medicine (London, England)&quot;,&quot;container-title-short&quot;:&quot;Clin Med (Lond)&quot;,&quot;DOI&quot;:&quot;10.7861/clinmedicine.18-5-414&quot;,&quot;ISSN&quot;:&quot;1473-4893\r1470-2118&quot;,&quot;PMID&quot;:&quot;30287439&quot;,&quot;URL&quot;:&quot;https://pubmed.ncbi.nlm.nih.gov/30287439&quot;,&quot;issued&quot;:{&quot;date-parts&quot;:[[2018]]},&quot;page&quot;:&quot;414-417&quot;,&quot;language&quot;:&quot;eng&quot;,&quot;abstract&quot;:&quot;Functional neurological disorders (FND) are common and associated with significant morbidity and healthcare costs. Patients with FND often present acutely, particularly with dissociative seizures (resembling epilepsy) or persistent weakness resembling a stroke. History and careful observation and examination are critical to diagnosis, as investigations will often be normal or non-contributory. The nature of convulsive movements in dissociative seizures often differs from that in epilepsy, and long duration of individual events, waxing and waning, closed eyes and high reported frequency in an apparently well individual are all suggestive. In those with stroke-like episodes, demonstration of normal power even briefly (eg Hoover's sign, 'give way' weakness) together with distractability are positive physical features indicating a functional disorder. A positive diagnosis and clear non-judgemental explanation, backed up by reliable information sources associated with prompt onward referral to a neurologist can greatly reduce distress and ultimately improve outcomes.&quot;,&quot;publisher&quot;:&quot;Royal College of Physicians&quot;,&quot;issue&quot;:&quot;5&quot;,&quot;volume&quot;:&quot;18&quot;},&quot;isTemporary&quot;:false}],&quot;citationTag&quot;:&quot;MENDELEY_CITATION_v3_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&quot;},{&quot;citationID&quot;:&quot;MENDELEY_CITATION_624c31d9-63a9-4627-b89b-e00d3ce8dc37&quot;,&quot;properties&quot;:{&quot;noteIndex&quot;:0},&quot;isEdited&quot;:false,&quot;manualOverride&quot;:{&quot;isManuallyOverridden&quot;:false,&quot;citeprocText&quot;:&quot;(Konnopka et al., 2012)&quot;,&quot;manualOverrideText&quot;:&quot;&quot;},&quot;citationItems&quot;:[{&quot;id&quot;:&quot;e108ac4b-1b28-3c45-a439-70a375e9aa90&quot;,&quot;itemData&quot;:{&quot;type&quot;:&quot;article-journal&quot;,&quot;id&quot;:&quot;e108ac4b-1b28-3c45-a439-70a375e9aa90&quot;,&quot;title&quot;:&quot;Economics of medically unexplained symptoms: a systematic review of the literature&quot;,&quot;author&quot;:[{&quot;family&quot;:&quot;Konnopka&quot;,&quot;given&quot;:&quot;Alexander&quot;,&quot;parse-names&quot;:false,&quot;dropping-particle&quot;:&quot;&quot;,&quot;non-dropping-particle&quot;:&quot;&quot;},{&quot;family&quot;:&quot;Schaefert&quot;,&quot;given&quot;:&quot;Rainer&quot;,&quot;parse-names&quot;:false,&quot;dropping-particle&quot;:&quot;&quot;,&quot;non-dropping-particle&quot;:&quot;&quot;},{&quot;family&quot;:&quot;Heinrich&quot;,&quot;given&quot;:&quot;Sven&quot;,&quot;parse-names&quot;:false,&quot;dropping-particle&quot;:&quot;&quot;,&quot;non-dropping-particle&quot;:&quot;&quot;},{&quot;family&quot;:&quot;Kaufmann&quot;,&quot;given&quot;:&quot;Claudia&quot;,&quot;parse-names&quot;:false,&quot;dropping-particle&quot;:&quot;&quot;,&quot;non-dropping-particle&quot;:&quot;&quot;},{&quot;family&quot;:&quot;Luppa&quot;,&quot;given&quot;:&quot;Melanie&quot;,&quot;parse-names&quot;:false,&quot;dropping-particle&quot;:&quot;&quot;,&quot;non-dropping-particle&quot;:&quot;&quot;},{&quot;family&quot;:&quot;Herzog&quot;,&quot;given&quot;:&quot;Wolfgang&quot;,&quot;parse-names&quot;:false,&quot;dropping-particle&quot;:&quot;&quot;,&quot;non-dropping-particle&quot;:&quot;&quot;},{&quot;family&quot;:&quot;Knig&quot;,&quot;given&quot;:&quot;Hans Helmut&quot;,&quot;parse-names&quot;:false,&quot;dropping-particle&quot;:&quot;&quot;,&quot;non-dropping-particle&quot;:&quot;&quot;}],&quot;container-title&quot;:&quot;Psychotherapy and psychosomatics&quot;,&quot;container-title-short&quot;:&quot;Psychother Psychosom&quot;,&quot;accessed&quot;:{&quot;date-parts&quot;:[[2023,5,10]]},&quot;DOI&quot;:&quot;10.1159/000337349&quot;,&quot;ISSN&quot;:&quot;1423-0348&quot;,&quot;PMID&quot;:&quot;22832397&quot;,&quot;URL&quot;:&quot;https://pubmed.ncbi.nlm.nih.gov/22832397/&quot;,&quot;issued&quot;:{&quot;date-parts&quot;:[[2012,8]]},&quot;page&quot;:&quot;265-275&quot;,&quot;abstract&quot;:&quot;Objective: To review cost-of-illness studies (COI) and economic evaluations (EE) conducted for medically unexplained symptoms and to analyze their methods and results. Methods: We searched the databases PubMed, PsycINFO and National Health Service Economic Evaluations Database of the University of York. Cost data were inflated to 2006 using country-specific gross domestic product inflators and converted to 2006 USD purchasing power parities. Results: We identified 5 COI and 8 EE, of which 6 were cost-minimization analyses and 2 were cost-effectiveness analyses. All studies used patient level data collected between 1980 and 2004 and were predominantly conducted in the USA (n = 10). COI found annual excess health care costs of somatizing patients between 432 and 5,353 USD in 2006 values. Indirect costs were estimated by only one EE and added up to about 18,000 USD per year. In EE, educational interventions for physicians as well as cognitive-behavioral therapy approaches for patients were evaluated. For both types of interventions, effectiveness was either shown within EE or by previous studies. Most EE found (often insignificant) cost reductions resulting from the interventions, but only two studies explicitly combined changes in costs with data on effectiveness to cost-effectiveness ratios (ratio of additional costs to additional effects). Conclusions: Medically unexplained symptoms cause relevant annual excess costs in health care that are comparable to mental health problems like depression or anxiety disorders and which may be reduced by interventions targeting physicians as well as patients. More extensive research on indirect costs and cost-effectiveness is needed. © 2012 S. Karger AG, Basel.&quot;,&quot;publisher&quot;:&quot;Psychother Psychosom&quot;,&quot;issue&quot;:&quot;5&quot;,&quot;volume&quot;:&quot;81&quot;},&quot;isTemporary&quot;:false}],&quot;citationTag&quot;:&quot;MENDELEY_CITATION_v3_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&quot;},{&quot;citationID&quot;:&quot;MENDELEY_CITATION_e6594d11-9cbd-4284-9322-072fdc2e1457&quot;,&quot;properties&quot;:{&quot;noteIndex&quot;:0},&quot;isEdited&quot;:false,&quot;manualOverride&quot;:{&quot;isManuallyOverridden&quot;:false,&quot;citeprocText&quot;:&quot;(Bermingham et al., 2010)&quot;,&quot;manualOverrideText&quot;:&quot;&quot;},&quot;citationItems&quot;:[{&quot;id&quot;:&quot;8ddbded1-8d8c-3e08-ba8c-34765d736604&quot;,&quot;itemData&quot;:{&quot;type&quot;:&quot;article-journal&quot;,&quot;id&quot;:&quot;8ddbded1-8d8c-3e08-ba8c-34765d736604&quot;,&quot;title&quot;:&quot;The cost of somatisation among the working-age population in England for the year 2008-2009&quot;,&quot;author&quot;:[{&quot;family&quot;:&quot;Bermingham&quot;,&quot;given&quot;:&quot;Sarah L&quot;,&quot;parse-names&quot;:false,&quot;dropping-particle&quot;:&quot;&quot;,&quot;non-dropping-particle&quot;:&quot;&quot;},{&quot;family&quot;:&quot;Cohen&quot;,&quot;given&quot;:&quot;Alan&quot;,&quot;parse-names&quot;:false,&quot;dropping-particle&quot;:&quot;&quot;,&quot;non-dropping-particle&quot;:&quot;&quot;},{&quot;family&quot;:&quot;Hague&quot;,&quot;given&quot;:&quot;John&quot;,&quot;parse-names&quot;:false,&quot;dropping-particle&quot;:&quot;&quot;,&quot;non-dropping-particle&quot;:&quot;&quot;},{&quot;family&quot;:&quot;Parsonage&quot;,&quot;given&quot;:&quot;Michael&quot;,&quot;parse-names&quot;:false,&quot;dropping-particle&quot;:&quot;&quot;,&quot;non-dropping-particle&quot;:&quot;&quot;}],&quot;container-title&quot;:&quot;Mental health in family medicine&quot;,&quot;container-title-short&quot;:&quot;Ment Health Fam Med&quot;,&quot;ISSN&quot;:&quot;1756-8358\r1756-834X&quot;,&quot;PMID&quot;:&quot;22477925&quot;,&quot;URL&quot;:&quot;https://pubmed.ncbi.nlm.nih.gov/22477925&quot;,&quot;issued&quot;:{&quot;date-parts&quot;:[[2010]]},&quot;page&quot;:&quot;71-84&quot;,&quot;language&quot;:&quot;eng&quot;,&quot;abstract&quot;:&quot;Medically unexplained symptoms are one of the most commonly encountered symptoms across all healthcare settings. They are also responsible for a large proportion of disability in the workforce and decreased quality of life. These patients represent an important clinical phenomenon with considerable direct and indirect economic consequences.This study aims to calculate the economic burden of somatisation among English adults in 2008-2009.Using existing literature, estimates of prevalence, healthcare use and disability were combined in order to calculate the annual cost of healthcare use and productivity loss associated with these patients in excess of non-somatising patients.Based on the results of our analysis, the incremental health care cost incurred by somatising patients is estimated to be £3 billion. This represents approximately 10% of total NHS expenditure on these services for the working-age population in 2008-2009. The cost of sickness absence and decreased quality of life associated with these patients amounts to over £14 billion.By highlighting the magnitude of this phenomenon at each level of the health system and the considerable impact of non-healthcare costs, this study serves to draw attention to a group of patients who are frequently unrecognised or misdiagnosed by physicians who tend to repeatedly pursue organic possibilities through multiple tests, procedures and operations. As economic perspectives play an increasing role in healthcare planning, the reduction of health care use and improvement of functioning among this group of patients should be a major goal. In order to realise these goals, changed pathways and behaviour in primary and secondary care are needed, along with improved access to psychological therapy services.&quot;,&quot;publisher&quot;:&quot;Radcliffe Publishing Ltd.&quot;,&quot;issue&quot;:&quot;2&quot;,&quot;volume&quot;:&quot;7&quot;},&quot;isTemporary&quot;:false}],&quot;citationTag&quot;:&quot;MENDELEY_CITATION_v3_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&quot;},{&quot;citationID&quot;:&quot;MENDELEY_CITATION_13e0d555-936d-43b5-8d1e-59e8cc0f4a12&quot;,&quot;properties&quot;:{&quot;noteIndex&quot;:0},&quot;isEdited&quot;:false,&quot;manualOverride&quot;:{&quot;isManuallyOverridden&quot;:false,&quot;citeprocText&quot;:&quot;(Bermingham et al., 2010)&quot;,&quot;manualOverrideText&quot;:&quot;&quot;},&quot;citationItems&quot;:[{&quot;id&quot;:&quot;8ddbded1-8d8c-3e08-ba8c-34765d736604&quot;,&quot;itemData&quot;:{&quot;type&quot;:&quot;article-journal&quot;,&quot;id&quot;:&quot;8ddbded1-8d8c-3e08-ba8c-34765d736604&quot;,&quot;title&quot;:&quot;The cost of somatisation among the working-age population in England for the year 2008-2009&quot;,&quot;author&quot;:[{&quot;family&quot;:&quot;Bermingham&quot;,&quot;given&quot;:&quot;Sarah L&quot;,&quot;parse-names&quot;:false,&quot;dropping-particle&quot;:&quot;&quot;,&quot;non-dropping-particle&quot;:&quot;&quot;},{&quot;family&quot;:&quot;Cohen&quot;,&quot;given&quot;:&quot;Alan&quot;,&quot;parse-names&quot;:false,&quot;dropping-particle&quot;:&quot;&quot;,&quot;non-dropping-particle&quot;:&quot;&quot;},{&quot;family&quot;:&quot;Hague&quot;,&quot;given&quot;:&quot;John&quot;,&quot;parse-names&quot;:false,&quot;dropping-particle&quot;:&quot;&quot;,&quot;non-dropping-particle&quot;:&quot;&quot;},{&quot;family&quot;:&quot;Parsonage&quot;,&quot;given&quot;:&quot;Michael&quot;,&quot;parse-names&quot;:false,&quot;dropping-particle&quot;:&quot;&quot;,&quot;non-dropping-particle&quot;:&quot;&quot;}],&quot;container-title&quot;:&quot;Mental health in family medicine&quot;,&quot;container-title-short&quot;:&quot;Ment Health Fam Med&quot;,&quot;ISSN&quot;:&quot;1756-8358\r1756-834X&quot;,&quot;PMID&quot;:&quot;22477925&quot;,&quot;URL&quot;:&quot;https://pubmed.ncbi.nlm.nih.gov/22477925&quot;,&quot;issued&quot;:{&quot;date-parts&quot;:[[2010]]},&quot;page&quot;:&quot;71-84&quot;,&quot;language&quot;:&quot;eng&quot;,&quot;abstract&quot;:&quot;Medically unexplained symptoms are one of the most commonly encountered symptoms across all healthcare settings. They are also responsible for a large proportion of disability in the workforce and decreased quality of life. These patients represent an important clinical phenomenon with considerable direct and indirect economic consequences.This study aims to calculate the economic burden of somatisation among English adults in 2008-2009.Using existing literature, estimates of prevalence, healthcare use and disability were combined in order to calculate the annual cost of healthcare use and productivity loss associated with these patients in excess of non-somatising patients.Based on the results of our analysis, the incremental health care cost incurred by somatising patients is estimated to be £3 billion. This represents approximately 10% of total NHS expenditure on these services for the working-age population in 2008-2009. The cost of sickness absence and decreased quality of life associated with these patients amounts to over £14 billion.By highlighting the magnitude of this phenomenon at each level of the health system and the considerable impact of non-healthcare costs, this study serves to draw attention to a group of patients who are frequently unrecognised or misdiagnosed by physicians who tend to repeatedly pursue organic possibilities through multiple tests, procedures and operations. As economic perspectives play an increasing role in healthcare planning, the reduction of health care use and improvement of functioning among this group of patients should be a major goal. In order to realise these goals, changed pathways and behaviour in primary and secondary care are needed, along with improved access to psychological therapy services.&quot;,&quot;publisher&quot;:&quot;Radcliffe Publishing Ltd.&quot;,&quot;issue&quot;:&quot;2&quot;,&quot;volume&quot;:&quot;7&quot;},&quot;isTemporary&quot;:false}],&quot;citationTag&quot;:&quot;MENDELEY_CITATION_v3_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&quot;},{&quot;citationID&quot;:&quot;MENDELEY_CITATION_d4cf60ed-3e00-4316-9fbd-cb064a811152&quot;,&quot;properties&quot;:{&quot;noteIndex&quot;:0},&quot;isEdited&quot;:false,&quot;manualOverride&quot;:{&quot;isManuallyOverridden&quot;:true,&quot;citeprocText&quot;:&quot;(C. D. Stephen et al., 2021)&quot;,&quot;manualOverrideText&quot;:&quot;(Stephen et al., 2021).&quot;},&quot;citationItems&quot;:[{&quot;id&quot;:&quot;27746515-b0a5-3f1d-ae9b-e3d77de6ad21&quot;,&quot;itemData&quot;:{&quot;type&quot;:&quot;article-journal&quot;,&quot;id&quot;:&quot;27746515-b0a5-3f1d-ae9b-e3d77de6ad21&quot;,&quot;title&quot;:&quot;Assessment of Emergency Department and Inpatient Use and Costs in Adult and Pediatric Functional Neurological Disorders&quot;,&quot;author&quot;:[{&quot;family&quot;:&quot;Stephen&quot;,&quot;given&quot;:&quot;Christopher D&quot;,&quot;parse-names&quot;:false,&quot;dropping-particle&quot;:&quot;&quot;,&quot;non-dropping-particle&quot;:&quot;&quot;},{&quot;family&quot;:&quot;Fung&quot;,&quot;given&quot;:&quot;Vicki&quot;,&quot;parse-names&quot;:false,&quot;dropping-particle&quot;:&quot;&quot;,&quot;non-dropping-particle&quot;:&quot;&quot;},{&quot;family&quot;:&quot;Lungu&quot;,&quot;given&quot;:&quot;Codrin I&quot;,&quot;parse-names&quot;:false,&quot;dropping-particle&quot;:&quot;&quot;,&quot;non-dropping-particle&quot;:&quot;&quot;},{&quot;family&quot;:&quot;Espay&quot;,&quot;given&quot;:&quot;Alberto J&quot;,&quot;parse-names&quot;:false,&quot;dropping-particle&quot;:&quot;&quot;,&quot;non-dropping-particle&quot;:&quot;&quot;}],&quot;container-title&quot;:&quot;JAMA Neurology&quot;,&quot;container-title-short&quot;:&quot;JAMA Neurol&quot;,&quot;DOI&quot;:&quot;10.1001/jamaneurol.2020.3753&quot;,&quot;ISSN&quot;:&quot;2168-6149&quot;,&quot;URL&quot;:&quot;https://doi.org/10.1001/jamaneurol.2020.3753&quot;,&quot;issued&quot;:{&quot;date-parts&quot;:[[2021]]},&quot;page&quot;:&quot;88-101&quot;,&quot;abstract&quot;:&quot;There is limited information about health care use and costs in patients with functional neurological disorders (FNDs).To assess US emergency department (ED) and inpatient use and charges for FNDs.This economic evaluation used Healthcare Cost and Utilization Project data to assess all-payer (1) adult (age, ≥18 years) hospitalizations (2008-2017), (2) pediatric (age, 5-17 years) hospitalizations (2003, 2006, 2009, 2012, and 2016), and (3) adult and pediatric ED evaluations (2008-2017). International Classification of Diseases, Ninth Revision, Clinical Modification code 300.11 (conversion disorder) or 306.0 (musculoskeletal malfunction arising from mental factors) and International Statistical Classification of Diseases and Related Health Problems, Tenth Revision, Clinical Modification codes for conversion disorder/functional neurological symptom disorder (F44.4 to F44.7) were used to conservatively define FNDs and to compare them with other neurological disorders that are associated with high levels of health care use. Analysis was performed between January 2019 and July 2020.Admission traits (eg, demographic characteristics of patients, length of stay, and discharge disposition) and hospital charges.Compared with other neurological disorders in 2017, emergency FND evaluations of 36 359 adults (25 807 women [71.0%] and 3800 children (2733 girls [71.9%]) more frequently resulted in inpatient admissions (22 895 adult admissions [69.2% female] and 1264 pediatric admissions [73.4% ]). These FND admissions had a shorter mean (SEM) hospital length of stay (5.21 [0.15] days vs 6.03 [0.03] days, P &amp;lt; .001) but higher workup rates than admissions for comparable neurological diagnoses. Admissions for FNDs had low rates of inpatient physical therapy, occupational therapy, speech and language pathology, and psychiatric consultation. The total annual costs (a proxy for total costs in 2017 US dollars) were $1066 million (95% CI, $971-$1160 million) for adult FND inpatient charges in 2017 compared with $1241 million (95% CI, $1132-$1351 million) for anterior horn cell disease; $75 million (95% CI, $57-$92 million) for pediatric FND inpatient charges in 2012 compared with $86 million (95% CI, $63-$108 million) for demyelinating diseases; and $163 million (95% CI, $144-$182 million) for adult and pediatric ED visits in 2017 compared with $135 million (95% CI $111-$159 million) for refractory epilepsy. Total charges per admission for ED care of FNDs were higher than the other comparison groups in adults. Total costs and costs per admission for FNDs increased from 2008 to 2017 at a higher rate than that of other neurological disorders.This economic evaluation found that the more than $1.2 billion and increasing annual costs for ED and inpatient care of FNDs were similar to other investigation-intensive and pharmacologically demanding neurological disorders. Unnecessary investigations and iatrogenic harm inflate costs at the expense of necessary but neglected psychiatric and rehabilitative treatments.&quot;,&quot;issue&quot;:&quot;1&quot;,&quot;volume&quot;:&quot;78&quot;},&quot;isTemporary&quot;:false}],&quot;citationTag&quot;:&quot;MENDELEY_CITATION_v3_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&quot;},{&quot;citationID&quot;:&quot;MENDELEY_CITATION_cf24e9f4-9292-4869-b0d6-a50680fea919&quot;,&quot;properties&quot;:{&quot;noteIndex&quot;:0},&quot;isEdited&quot;:false,&quot;manualOverride&quot;:{&quot;isManuallyOverridden&quot;:false,&quot;citeprocText&quot;:&quot;(Goldstein et al., 2010; LaFrance Jr &amp;#38; Friedman, 2009)&quot;,&quot;manualOverrideText&quot;:&quot;&quot;},&quot;citationItems&quot;:[{&quot;id&quot;:&quot;071698e1-5ba0-37d2-82d5-cf5e664c264a&quot;,&quot;itemData&quot;:{&quot;type&quot;:&quot;article-journal&quot;,&quot;id&quot;:&quot;071698e1-5ba0-37d2-82d5-cf5e664c264a&quot;,&quot;title&quot;:&quot;Cognitive-behavioral therapy for psychogenic nonepileptic seizures: a pilot RCT&quot;,&quot;author&quot;:[{&quot;family&quot;:&quot;Goldstein&quot;,&quot;given&quot;:&quot;L H&quot;,&quot;parse-names&quot;:false,&quot;dropping-particle&quot;:&quot;&quot;,&quot;non-dropping-particle&quot;:&quot;&quot;},{&quot;family&quot;:&quot;Chalder&quot;,&quot;given&quot;:&quot;T&quot;,&quot;parse-names&quot;:false,&quot;dropping-particle&quot;:&quot;&quot;,&quot;non-dropping-particle&quot;:&quot;&quot;},{&quot;family&quot;:&quot;Chigwedere&quot;,&quot;given&quot;:&quot;C&quot;,&quot;parse-names&quot;:false,&quot;dropping-particle&quot;:&quot;&quot;,&quot;non-dropping-particle&quot;:&quot;&quot;},{&quot;family&quot;:&quot;Khondoker&quot;,&quot;given&quot;:&quot;M R&quot;,&quot;parse-names&quot;:false,&quot;dropping-particle&quot;:&quot;&quot;,&quot;non-dropping-particle&quot;:&quot;&quot;},{&quot;family&quot;:&quot;Moriarty&quot;,&quot;given&quot;:&quot;J&quot;,&quot;parse-names&quot;:false,&quot;dropping-particle&quot;:&quot;&quot;,&quot;non-dropping-particle&quot;:&quot;&quot;},{&quot;family&quot;:&quot;Toone&quot;,&quot;given&quot;:&quot;B K&quot;,&quot;parse-names&quot;:false,&quot;dropping-particle&quot;:&quot;&quot;,&quot;non-dropping-particle&quot;:&quot;&quot;},{&quot;family&quot;:&quot;Mellers&quot;,&quot;given&quot;:&quot;J D&quot;,&quot;parse-names&quot;:false,&quot;dropping-particle&quot;:&quot;&quot;,&quot;non-dropping-particle&quot;:&quot;&quot;}],&quot;container-title&quot;:&quot;Neurology&quot;,&quot;container-title-short&quot;:&quot;Neurology&quot;,&quot;DOI&quot;:&quot;10.1212/WNL.0b013e3181e39658&quot;,&quot;ISSN&quot;:&quot;0028-3878 (Print)\r0028-3878&quot;,&quot;PMID&quot;:&quot;20548043&quot;,&quot;issued&quot;:{&quot;date-parts&quot;:[[2010]]},&quot;page&quot;:&quot;1986-1994&quot;,&quot;language&quot;:&quot;eng&quot;,&quot;abstract&quot;:&quot;OBJECTIVE: To compare cognitive-behavioral therapy (CBT) and standard medical care (SMC) as treatments for psychogenic nonepileptic seizures (PNES). METHODS: Our randomized controlled trial (RCT) compared CBT with SMC in an outpatient neuropsychiatric setting. Sixty-six PNES patients were randomized to either CBT (plus SMC) or SMC alone, scheduled to occur over 4 months. PNES diagnosis was established by video-EEG telemetry for most patients. Exclusion criteria included comorbid history of epilepsy, &lt;2 PNES/month, and IQ &lt;70. The primary outcome was seizure frequency at end of treatment and at 6-month follow-up. Secondary outcomes included 3 months of seizure freedom at 6-month follow-up, measures of psychosocial functioning, health service use, and employment. RESULTS: In an intention-to-treat analysis, seizure reduction following CBT was superior at treatment end (group x time interaction p &lt; 0.0001; large to medium effect sizes). At follow-up, the CBT group tended to be more likely to have experienced 3 months of seizure freedom (odds ratio 3.125, p = 0.086). Both groups improved in some health service use measures and on the Work and Social Adjustment Scale. Mood and employment status showed no change. CONCLUSIONS: Our findings suggest that cognitive-behavioral therapy is more effective than standard medical care alone in reducing seizure frequency in PNES patients. CLASSIFICATION OF EVIDENCE: This study provides Class III evidence that CBT in addition to SMC, as compared to SMC alone, significantly reduces seizure frequency in patients with PNES (change in median monthly seizure frequency: baseline to 6 months follow-up, CBT group, 12 to 1.5; SMC alone group, 8 to 5).&quot;,&quot;edition&quot;:&quot;2010/06/16&quot;,&quot;issue&quot;:&quot;24&quot;,&quot;volume&quot;:&quot;74&quot;},&quot;isTemporary&quot;:false},{&quot;id&quot;:&quot;af46fa08-7388-397a-8518-7cb70019f7e2&quot;,&quot;itemData&quot;:{&quot;type&quot;:&quot;article-journal&quot;,&quot;id&quot;:&quot;af46fa08-7388-397a-8518-7cb70019f7e2&quot;,&quot;title&quot;:&quot;Cognitive behavioral therapy for psychogenic movement disorder&quot;,&quot;author&quot;:[{&quot;family&quot;:&quot;LaFrance Jr&quot;,&quot;given&quot;:&quot;W Curt&quot;,&quot;parse-names&quot;:false,&quot;dropping-particle&quot;:&quot;&quot;,&quot;non-dropping-particle&quot;:&quot;&quot;},{&quot;family&quot;:&quot;Friedman&quot;,&quot;given&quot;:&quot;Joseph H&quot;,&quot;parse-names&quot;:false,&quot;dropping-particle&quot;:&quot;&quot;,&quot;non-dropping-particle&quot;:&quot;&quot;}],&quot;container-title&quot;:&quot;Movement Disorders&quot;,&quot;DOI&quot;:&quot;10.1002/mds.22683&quot;,&quot;ISSN&quot;:&quot;0885-3185&quot;,&quot;URL&quot;:&quot;https://doi.org/10.1002/mds.22683&quot;,&quot;issued&quot;:{&quot;date-parts&quot;:[[2009]]},&quot;page&quot;:&quot;1856-1857&quot;,&quot;publisher&quot;:&quot;John Wiley &amp; Sons, Ltd&quot;,&quot;issue&quot;:&quot;12&quot;,&quot;volume&quot;:&quot;24&quot;,&quot;container-title-short&quot;:&quot;&quot;},&quot;isTemporary&quot;:false}],&quot;citationTag&quot;:&quot;MENDELEY_CITATION_v3_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&quot;},{&quot;citationID&quot;:&quot;MENDELEY_CITATION_2090286c-2ee8-493f-94b0-ae25427a1d60&quot;,&quot;properties&quot;:{&quot;noteIndex&quot;:0},&quot;isEdited&quot;:false,&quot;manualOverride&quot;:{&quot;isManuallyOverridden&quot;:false,&quot;citeprocText&quot;:&quot;(Deleuran et al., 2019)&quot;,&quot;manualOverrideText&quot;:&quot;&quot;},&quot;citationItems&quot;:[{&quot;id&quot;:&quot;667cd8e9-e20c-30f7-93b6-bff00f399448&quot;,&quot;itemData&quot;:{&quot;type&quot;:&quot;article-journal&quot;,&quot;id&quot;:&quot;667cd8e9-e20c-30f7-93b6-bff00f399448&quot;,&quot;title&quot;:&quot;Psychogenic nonepileptic seizures treated with psychotherapy: Long-term outcome on seizures and healthcare utilization&quot;,&quot;author&quot;:[{&quot;family&quot;:&quot;Deleuran&quot;,&quot;given&quot;:&quot;M&quot;,&quot;parse-names&quot;:false,&quot;dropping-particle&quot;:&quot;&quot;,&quot;non-dropping-particle&quot;:&quot;&quot;},{&quot;family&quot;:&quot;Nørgaard&quot;,&quot;given&quot;:&quot;K&quot;,&quot;parse-names&quot;:false,&quot;dropping-particle&quot;:&quot;&quot;,&quot;non-dropping-particle&quot;:&quot;&quot;},{&quot;family&quot;:&quot;Andersen&quot;,&quot;given&quot;:&quot;N B&quot;,&quot;parse-names&quot;:false,&quot;dropping-particle&quot;:&quot;&quot;,&quot;non-dropping-particle&quot;:&quot;&quot;},{&quot;family&quot;:&quot;Sabers&quot;,&quot;given&quot;:&quot;A&quot;,&quot;parse-names&quot;:false,&quot;dropping-particle&quot;:&quot;&quot;,&quot;non-dropping-particle&quot;:&quot;&quot;}],&quot;container-title&quot;:&quot;Epilepsy Behav&quot;,&quot;DOI&quot;:&quot;10.1016/j.yebeh.2019.05.007&quot;,&quot;ISSN&quot;:&quot;1525-5050&quot;,&quot;PMID&quot;:&quot;31377661&quot;,&quot;issued&quot;:{&quot;date-parts&quot;:[[2019]]},&quot;page&quot;:&quot;195-200&quot;,&quot;language&quot;:&quot;eng&quot;,&quot;abstract&quot;:&quot;Psychogenic nonepileptic seizures (PNES) are known to be associated with significant costs of healthcare services. Here, we report the impact of psychotherapy on behavior surrounding healthcare utilization and the potential economic benefits associated with long-term seizure control. METHODS: This retrospective study describes patients seen between 2010 and 2016 at the epilepsy clinic at Glostrup University Hospital in Denmark and offered a psychotherapeutic treatment program for PNES. Forty-two patients were interviewed about seizure outcome 12-24 months after psychotherapy, and the annual changes in healthcare utilization and associated costs of services provided in a period of 24 months before and up to 24 months after treatment were compared. RESULTS: At 12-month follow-up, 83% of the patients had achieved above 50% reduction in seizures. The 24-month pretreatment costs compared with the 24-month posttreatment costs directly associated with seizures dropped by 95.8%, and total healthcare costs were reduced by 63%. Estimation of annual savings from the program comes to 1060 € per patient. An association was found between seizure rate and number of healthcare contacts. CONCLUSION: This study adds to the evidence that psychotherapy is a cost-effective way of treating PNES. The economic benefits from this form of intervention appear not only to diminish costs directly associated with PNES, but also healthcare utilization in general.&quot;,&quot;edition&quot;:&quot;2019/08/05&quot;,&quot;issue&quot;:&quot;Pt A&quot;,&quot;volume&quot;:&quot;98&quot;,&quot;container-title-short&quot;:&quot;&quot;},&quot;isTemporary&quot;:false}],&quot;citationTag&quot;:&quot;MENDELEY_CITATION_v3_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&quot;},{&quot;citationID&quot;:&quot;MENDELEY_CITATION_d104151d-c2a8-4bb1-bca9-94d0ba64dc02&quot;,&quot;properties&quot;:{&quot;noteIndex&quot;:0},&quot;isEdited&quot;:false,&quot;manualOverride&quot;:{&quot;isManuallyOverridden&quot;:true,&quot;citeprocText&quot;:&quot;(Mayor et al., 2010; Reuber et al., 2007)&quot;,&quot;manualOverrideText&quot;:&quot;(Mayor et al., 2010; Reuber, Burness, et al., 2007)&quot;},&quot;citationItems&quot;:[{&quot;id&quot;:&quot;3bc1970e-f5cd-3f77-8f3d-7bf411161b4d&quot;,&quot;itemData&quot;:{&quot;type&quot;:&quot;article-journal&quot;,&quot;id&quot;:&quot;3bc1970e-f5cd-3f77-8f3d-7bf411161b4d&quot;,&quot;title&quot;:&quot;Tailored psychotherapy for patients with functional neurological symptoms: a pilot study&quot;,&quot;author&quot;:[{&quot;family&quot;:&quot;Reuber&quot;,&quot;given&quot;:&quot;M&quot;,&quot;parse-names&quot;:false,&quot;dropping-particle&quot;:&quot;&quot;,&quot;non-dropping-particle&quot;:&quot;&quot;},{&quot;family&quot;:&quot;Burness&quot;,&quot;given&quot;:&quot;C&quot;,&quot;parse-names&quot;:false,&quot;dropping-particle&quot;:&quot;&quot;,&quot;non-dropping-particle&quot;:&quot;&quot;},{&quot;family&quot;:&quot;Howlett&quot;,&quot;given&quot;:&quot;S&quot;,&quot;parse-names&quot;:false,&quot;dropping-particle&quot;:&quot;&quot;,&quot;non-dropping-particle&quot;:&quot;&quot;},{&quot;family&quot;:&quot;Brazier&quot;,&quot;given&quot;:&quot;J&quot;,&quot;parse-names&quot;:false,&quot;dropping-particle&quot;:&quot;&quot;,&quot;non-dropping-particle&quot;:&quot;&quot;},{&quot;family&quot;:&quot;Grünewald&quot;,&quot;given&quot;:&quot;R&quot;,&quot;parse-names&quot;:false,&quot;dropping-particle&quot;:&quot;&quot;,&quot;non-dropping-particle&quot;:&quot;&quot;}],&quot;container-title&quot;:&quot;J Psychosom Res&quot;,&quot;DOI&quot;:&quot;10.1016/j.jpsychores.2007.06.013&quot;,&quot;ISSN&quot;:&quot;0022-3999 (Print)\r0022-3999&quot;,&quot;PMID&quot;:&quot;18061753&quot;,&quot;issued&quot;:{&quot;date-parts&quot;:[[2007]]},&quot;page&quot;:&quot;625-632&quot;,&quot;language&quot;:&quot;eng&quot;,&quot;abstract&quot;:&quot;OBJECTIVE: The objective of this study was to assess whether individually tailored psychotherapy for patients with functional neurological symptoms is associated with improvements in patient-centered measures of emotional well-being, quality of life, as well as somatic symptoms and whether this treatment modality is likely to be cost-effective. METHODS: We conducted an uncontrolled prospective pilot study of consecutive patients with functional symptoms referred from neurology outpatient clinics to a single psychotherapist using validated questionnaires [Clinical Outcomes in Routine Evaluation Outcome Measure (CORE-OM), Short Function (SF)-36 Health Survey, and Patient Health Questionnaire (PHQ)-15]. Patients had a median of 6 treatment sessions (range=1-24). Ninety-one patients completed questionnaires at referral, 63 did at the end of treatment, and 34 did at follow-up after 6 months. Significant improvements were seen on all measures and were maintained at follow-up (CORE-OM, P=.003; SF-36, P&lt;.001; PHQ-15, P=.001). Significance was not lost in an intention-to-treat analysis. Of all the patients, 49.2% improved by at least 1 S.D. in at least one of the measures. The number of patients needed to be treated to see an improvement of at least 1 S.D. in one of the three outcome measures was 2; that in two measures, 3.9; and that in all measures, 7. The mean cost of the intervention was pound231; the cost per quality-adjusted life year was estimated as pound5,328. RESULTS: Psychotherapy was associated with significant improvements in patient-centered measures, which seemed to be achieved at a comparatively low cost. CONCLUSIONS: The results indicate that psychotherapy may be a cost-effective intervention for patients presenting with functional neurological symptoms. The findings warrant further assessment of this treatment with a randomized and controlled trial.&quot;,&quot;edition&quot;:&quot;2007/12/07&quot;,&quot;issue&quot;:&quot;6&quot;,&quot;volume&quot;:&quot;63&quot;,&quot;container-title-short&quot;:&quot;&quot;},&quot;isTemporary&quot;:false},{&quot;id&quot;:&quot;c919f63b-0b19-34d4-aa90-cf24ee050534&quot;,&quot;itemData&quot;:{&quot;type&quot;:&quot;article-journal&quot;,&quot;id&quot;:&quot;c919f63b-0b19-34d4-aa90-cf24ee050534&quot;,&quot;title&quot;:&quot;Long-term outcome of brief augmented psychodynamic interpersonal therapy for psychogenic nonepileptic seizures: seizure control and health care utilization&quot;,&quot;author&quot;:[{&quot;family&quot;:&quot;Mayor&quot;,&quot;given&quot;:&quot;R&quot;,&quot;parse-names&quot;:false,&quot;dropping-particle&quot;:&quot;&quot;,&quot;non-dropping-particle&quot;:&quot;&quot;},{&quot;family&quot;:&quot;Howlett&quot;,&quot;given&quot;:&quot;S&quot;,&quot;parse-names&quot;:false,&quot;dropping-particle&quot;:&quot;&quot;,&quot;non-dropping-particle&quot;:&quot;&quot;},{&quot;family&quot;:&quot;Grünewald&quot;,&quot;given&quot;:&quot;R&quot;,&quot;parse-names&quot;:false,&quot;dropping-particle&quot;:&quot;&quot;,&quot;non-dropping-particle&quot;:&quot;&quot;},{&quot;family&quot;:&quot;Reuber&quot;,&quot;given&quot;:&quot;M&quot;,&quot;parse-names&quot;:false,&quot;dropping-particle&quot;:&quot;&quot;,&quot;non-dropping-particle&quot;:&quot;&quot;}],&quot;container-title&quot;:&quot;Epilepsia&quot;,&quot;container-title-short&quot;:&quot;Epilepsia&quot;,&quot;DOI&quot;:&quot;10.1111/j.1528-1167.2010.02656.x&quot;,&quot;ISSN&quot;:&quot;0013-9580&quot;,&quot;PMID&quot;:&quot;20561022&quot;,&quot;issued&quot;:{&quot;date-parts&quot;:[[2010]]},&quot;page&quot;:&quot;1169-1176&quot;,&quot;language&quot;:&quot;eng&quot;,&quot;abstract&quot;:&quot;PURPOSE: Most neurologists endorse psychotherapy as the treatment of choice for psychogenic nonepileptic seizures (PNES), but its effectiveness remains unproven, and there are no previous reports of long-term outcome after psychotherapy. This study aimed to establish the outcome of brief augmented psychodynamic interpersonal therapy (PIT) for 47 patients with PNES in terms of seizures and health care utilization 31-65 months (median 50 months) after diagnosis. METHODS: Participants completed questionnaires before starting therapy (Clinical Outcomes in Routine Evaluation Outcome Measure [CORE-OM]; Patient Health Questionnaire [PHQ15]; Short-Form Health Survey [SF-36]). Forty-seven of 66 consecutive patients (71%) also completed a follow-up questionnaire about current seizure frequency, employment status, and health care utilization 42 months after the end of therapy (range 12-61 months). Factors associated with seizure outcome and predictors of seizure cessation were evaluated. RESULTS: At follow-up, 25.5% of patients had become seizure-free; a further 40.4% achieved a seizure reduction of &gt;50%. Logistic regression showed \&quot;economic activity\&quot; status to be the only significant baseline predictor of seizure cessation (p &lt; 0.021). Health care utilization declined significantly from baseline to follow-up (p &lt; 0.039), suggesting minimum expected annual health care expenditure savings of pound245 ($408). DISCUSSION: These results indicate that this intervention is associated with a significant improvement in seizure frequency and health care utilization, suggesting that a randomized controlled study of the intervention is justified.&quot;,&quot;edition&quot;:&quot;2010/06/22&quot;,&quot;issue&quot;:&quot;7&quot;,&quot;volume&quot;:&quot;51&quot;},&quot;isTemporary&quot;:false}],&quot;citationTag&quot;:&quot;MENDELEY_CITATION_v3_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&quot;},{&quot;citationID&quot;:&quot;MENDELEY_CITATION_202c3ba6-4763-4efc-b0ec-c8aa8bee3de7&quot;,&quot;properties&quot;:{&quot;noteIndex&quot;:0},&quot;isEdited&quot;:false,&quot;manualOverride&quot;:{&quot;isManuallyOverridden&quot;:true,&quot;citeprocText&quot;:&quot;(Campbell et al., 2013; Castelnuovo, 2010; Dezetter et al., 2013; Emmelkamp et al., 2014; Mukuria et al., 2013)&quot;,&quot;manualOverrideText&quot;:&quot;(Campbell et al., 2013; Castelnuovo, 2010; Dezetter et al., 2013; Emmelkamp et al., 2014; Mukuria et al., 2013),&quot;},&quot;citationItems&quot;:[{&quot;id&quot;:&quot;22a3eb96-ae70-3db0-8b9d-c459813d65a8&quot;,&quot;itemData&quot;:{&quot;type&quot;:&quot;article-journal&quot;,&quot;id&quot;:&quot;22a3eb96-ae70-3db0-8b9d-c459813d65a8&quot;,&quot;title&quot;:&quot;Recognition of Psychotherapy Effectiveness: The APA Resolution&quot;,&quot;author&quot;:[{&quot;family&quot;:&quot;Campbell&quot;,&quot;given&quot;:&quot;Linda&quot;,&quot;parse-names&quot;:false,&quot;dropping-particle&quot;:&quot;&quot;,&quot;non-dropping-particle&quot;:&quot;&quot;},{&quot;family&quot;:&quot;Norcross&quot;,&quot;given&quot;:&quot;John&quot;,&quot;parse-names&quot;:false,&quot;dropping-particle&quot;:&quot;&quot;,&quot;non-dropping-particle&quot;:&quot;&quot;},{&quot;family&quot;:&quot;Vasquez&quot;,&quot;given&quot;:&quot;Melba&quot;,&quot;parse-names&quot;:false,&quot;dropping-particle&quot;:&quot;&quot;,&quot;non-dropping-particle&quot;:&quot;&quot;},{&quot;family&quot;:&quot;Kaslow&quot;,&quot;given&quot;:&quot;Nadine&quot;,&quot;parse-names&quot;:false,&quot;dropping-particle&quot;:&quot;&quot;,&quot;non-dropping-particle&quot;:&quot;&quot;}],&quot;container-title&quot;:&quot;Psychotherapy (Chicago, Ill.)&quot;,&quot;container-title-short&quot;:&quot;Psychotherapy (Chic)&quot;,&quot;DOI&quot;:&quot;10.1037/a0031817&quot;,&quot;issued&quot;:{&quot;date-parts&quot;:[[2013]]},&quot;page&quot;:&quot;98-101&quot;,&quot;volume&quot;:&quot;50&quot;},&quot;isTemporary&quot;:false},{&quot;id&quot;:&quot;dcfab398-5d2f-3dff-ac95-793f4872fb4d&quot;,&quot;itemData&quot;:{&quot;type&quot;:&quot;article-journal&quot;,&quot;id&quot;:&quot;dcfab398-5d2f-3dff-ac95-793f4872fb4d&quot;,&quot;title&quot;:&quot;Empirically supported treatments in psychotherapy: towards an evidence-based or evidence-biased psychology in clinical settings?&quot;,&quot;author&quot;:[{&quot;family&quot;:&quot;Castelnuovo&quot;,&quot;given&quot;:&quot;Gianluca&quot;,&quot;parse-names&quot;:false,&quot;dropping-particle&quot;:&quot;&quot;,&quot;non-dropping-particle&quot;:&quot;&quot;}],&quot;container-title&quot;:&quot;Frontiers in psychology&quot;,&quot;container-title-short&quot;:&quot;Front Psychol&quot;,&quot;DOI&quot;:&quot;10.3389/fpsyg.2010.00027&quot;,&quot;ISSN&quot;:&quot;1664-1078&quot;,&quot;PMID&quot;:&quot;21833197&quot;,&quot;URL&quot;:&quot;https://pubmed.ncbi.nlm.nih.gov/21833197&quot;,&quot;issued&quot;:{&quot;date-parts&quot;:[[2010]]},&quot;page&quot;:&quot;27&quot;,&quot;language&quot;:&quot;eng&quot;,&quot;abstract&quot;:&quot;THE FIELD OF RESEARCH AND PRACTICE IN PSYCHOTHERAPY HAS BEEN DEEPLY INFLUENCED BY TWO DIFFERENT APPROACHES: the empirically supported treatments (ESTs) movement, linked with the evidence-based medicine (EBM) perspective and the \&quot;Common Factors\&quot; approach, typically connected with the \&quot;Dodo Bird Verdict\&quot;. About the first perspective, since 1998 a list of ESTs has been established in mental health field. Criterions for \&quot;well-established\&quot; and \&quot;probably efficacious\&quot; treatments have arisen. The development of these kinds of paradigms was motivated by the emergence of a \&quot;managerial\&quot; approach and related systems for remuneration also for mental health providers and for insurance companies. In this article ESTs will be presented underlining also some possible criticisms. Finally complementary approaches, that could add different evidence in the psychotherapy research in comparison with traditional EBM approach, are presented.&quot;,&quot;publisher&quot;:&quot;Frontiers Research Foundation&quot;,&quot;volume&quot;:&quot;1&quot;},&quot;isTemporary&quot;:false},{&quot;id&quot;:&quot;bd92a6b3-0b4e-3d68-b5af-97ed933210a7&quot;,&quot;itemData&quot;:{&quot;type&quot;:&quot;article-journal&quot;,&quot;id&quot;:&quot;bd92a6b3-0b4e-3d68-b5af-97ed933210a7&quot;,&quot;title&quot;:&quot;Costs and Benefits of Improving Access to Psychotherapies for Common Mental Disorders&quot;,&quot;author&quot;:[{&quot;family&quot;:&quot;Dezetter&quot;,&quot;given&quot;:&quot;Anne&quot;,&quot;parse-names&quot;:false,&quot;dropping-particle&quot;:&quot;&quot;,&quot;non-dropping-particle&quot;:&quot;&quot;},{&quot;family&quot;:&quot;Briffault&quot;,&quot;given&quot;:&quot;Xavier&quot;,&quot;parse-names&quot;:false,&quot;dropping-particle&quot;:&quot;&quot;,&quot;non-dropping-particle&quot;:&quot;&quot;},{&quot;family&quot;:&quot;Lakhdar&quot;,&quot;given&quot;:&quot;Christian&quot;,&quot;parse-names&quot;:false,&quot;dropping-particle&quot;:&quot;&quot;,&quot;non-dropping-particle&quot;:&quot;Ben&quot;},{&quot;family&quot;:&quot;Kovess-Masfety&quot;,&quot;given&quot;:&quot;Viviane&quot;,&quot;parse-names&quot;:false,&quot;dropping-particle&quot;:&quot;&quot;,&quot;non-dropping-particle&quot;:&quot;&quot;}],&quot;container-title&quot;:&quot;The journal of mental health policy and economics&quot;,&quot;container-title-short&quot;:&quot;J Ment Health Policy Econ&quot;,&quot;issued&quot;:{&quot;date-parts&quot;:[[2013]]},&quot;page&quot;:&quot;161-177&quot;,&quot;volume&quot;:&quot;16&quot;},&quot;isTemporary&quot;:false},{&quot;id&quot;:&quot;3a8ab317-5041-3d98-b5e3-8131c81e10f1&quot;,&quot;itemData&quot;:{&quot;type&quot;:&quot;article-journal&quot;,&quot;id&quot;:&quot;3a8ab317-5041-3d98-b5e3-8131c81e10f1&quot;,&quot;title&quot;:&quot;Cost-effectiveness of an improving access to psychological therapies service&quot;,&quot;author&quot;:[{&quot;family&quot;:&quot;Mukuria&quot;,&quot;given&quot;:&quot;C&quot;,&quot;parse-names&quot;:false,&quot;dropping-particle&quot;:&quot;&quot;,&quot;non-dropping-particle&quot;:&quot;&quot;},{&quot;family&quot;:&quot;Brazier&quot;,&quot;given&quot;:&quot;J&quot;,&quot;parse-names&quot;:false,&quot;dropping-particle&quot;:&quot;&quot;,&quot;non-dropping-particle&quot;:&quot;&quot;},{&quot;family&quot;:&quot;Barkham&quot;,&quot;given&quot;:&quot;M&quot;,&quot;parse-names&quot;:false,&quot;dropping-particle&quot;:&quot;&quot;,&quot;non-dropping-particle&quot;:&quot;&quot;},{&quot;family&quot;:&quot;Connell&quot;,&quot;given&quot;:&quot;J&quot;,&quot;parse-names&quot;:false,&quot;dropping-particle&quot;:&quot;&quot;,&quot;non-dropping-particle&quot;:&quot;&quot;},{&quot;family&quot;:&quot;Hardy&quot;,&quot;given&quot;:&quot;G&quot;,&quot;parse-names&quot;:false,&quot;dropping-particle&quot;:&quot;&quot;,&quot;non-dropping-particle&quot;:&quot;&quot;},{&quot;family&quot;:&quot;Hutten&quot;,&quot;given&quot;:&quot;R&quot;,&quot;parse-names&quot;:false,&quot;dropping-particle&quot;:&quot;&quot;,&quot;non-dropping-particle&quot;:&quot;&quot;},{&quot;family&quot;:&quot;Saxon&quot;,&quot;given&quot;:&quot;D&quot;,&quot;parse-names&quot;:false,&quot;dropping-particle&quot;:&quot;&quot;,&quot;non-dropping-particle&quot;:&quot;&quot;},{&quot;family&quot;:&quot;Dent-Brown&quot;,&quot;given&quot;:&quot;K&quot;,&quot;parse-names&quot;:false,&quot;dropping-particle&quot;:&quot;&quot;,&quot;non-dropping-particle&quot;:&quot;&quot;},{&quot;family&quot;:&quot;Parry&quot;,&quot;given&quot;:&quot;G&quot;,&quot;parse-names&quot;:false,&quot;dropping-particle&quot;:&quot;&quot;,&quot;non-dropping-particle&quot;:&quot;&quot;}],&quot;container-title&quot;:&quot;Br J Psychiatry&quot;,&quot;DOI&quot;:&quot;10.1192/bjp.bp.111.107888&quot;,&quot;ISSN&quot;:&quot;0007-1250&quot;,&quot;PMID&quot;:&quot;23307921&quot;,&quot;issued&quot;:{&quot;date-parts&quot;:[[2013]]},&quot;page&quot;:&quot;220-227&quot;,&quot;language&quot;:&quot;eng&quot;,&quot;abstract&quot;:&quot;BACKGROUND: Effective psychological therapies have been recommended for common mental health problems, such as depression and anxiety, but provision has been poor. Improving Access to Psychological Therapies (IAPT) may provide a cost-effective solution to this problem. AIMS: To determine the cost-effectiveness of IAPT at the Doncaster demonstration site (2007-2009). METHOD: An economic evaluation comparing costs and health outcomes for patients at the IAPT demonstration site with those for comparator sites, including a separate assessment of lost productivity. Sensitivity analyses were undertaken. RESULTS: The IAPT site had higher service costs and was associated with small additional gains in quality-adjusted life-years (QALYs) compared with its comparator sites, resulting in a cost per QALY gained of £29 500 using the Short Form (SF-6D). Sensitivity analysis using predicted EQ-5D scores lowered this to £16 857. Costs per reliable and clinically significant (RCS) improvement were £9440 per participant. CONCLUSIONS: Improving Access to Psychological Therapies provided a service that was probably cost-effective within the usual National Institute for Health and Clinical Excellence (NICE) threshold range of £20 000-30 000, but there was considerable uncertainty surrounding the costs and outcome differences.&quot;,&quot;edition&quot;:&quot;2013/01/12&quot;,&quot;issue&quot;:&quot;3&quot;,&quot;volume&quot;:&quot;202&quot;,&quot;container-title-short&quot;:&quot;&quot;},&quot;isTemporary&quot;:false},{&quot;id&quot;:&quot;ae795130-15dd-38e5-859c-415faa2a576c&quot;,&quot;itemData&quot;:{&quot;type&quot;:&quot;article-journal&quot;,&quot;id&quot;:&quot;ae795130-15dd-38e5-859c-415faa2a576c&quot;,&quot;title&quot;:&quot;Advancing psychotherapy and evidence-based psychological interventions&quot;,&quot;author&quot;:[{&quot;family&quot;:&quot;Emmelkamp&quot;,&quot;given&quot;:&quot;P M&quot;,&quot;parse-names&quot;:false,&quot;dropping-particle&quot;:&quot;&quot;,&quot;non-dropping-particle&quot;:&quot;&quot;},{&quot;family&quot;:&quot;David&quot;,&quot;given&quot;:&quot;D&quot;,&quot;parse-names&quot;:false,&quot;dropping-particle&quot;:&quot;&quot;,&quot;non-dropping-particle&quot;:&quot;&quot;},{&quot;family&quot;:&quot;Beckers&quot;,&quot;given&quot;:&quot;T&quot;,&quot;parse-names&quot;:false,&quot;dropping-particle&quot;:&quot;&quot;,&quot;non-dropping-particle&quot;:&quot;&quot;},{&quot;family&quot;:&quot;Muris&quot;,&quot;given&quot;:&quot;P&quot;,&quot;parse-names&quot;:false,&quot;dropping-particle&quot;:&quot;&quot;,&quot;non-dropping-particle&quot;:&quot;&quot;},{&quot;family&quot;:&quot;Cuijpers&quot;,&quot;given&quot;:&quot;P&quot;,&quot;parse-names&quot;:false,&quot;dropping-particle&quot;:&quot;&quot;,&quot;non-dropping-particle&quot;:&quot;&quot;},{&quot;family&quot;:&quot;Lutz&quot;,&quot;given&quot;:&quot;W&quot;,&quot;parse-names&quot;:false,&quot;dropping-particle&quot;:&quot;&quot;,&quot;non-dropping-particle&quot;:&quot;&quot;},{&quot;family&quot;:&quot;Andersson&quot;,&quot;given&quot;:&quot;G&quot;,&quot;parse-names&quot;:false,&quot;dropping-particle&quot;:&quot;&quot;,&quot;non-dropping-particle&quot;:&quot;&quot;},{&quot;family&quot;:&quot;Araya&quot;,&quot;given&quot;:&quot;R&quot;,&quot;parse-names&quot;:false,&quot;dropping-particle&quot;:&quot;&quot;,&quot;non-dropping-particle&quot;:&quot;&quot;},{&quot;family&quot;:&quot;Banos Rivera&quot;,&quot;given&quot;:&quot;R M&quot;,&quot;parse-names&quot;:false,&quot;dropping-particle&quot;:&quot;&quot;,&quot;non-dropping-particle&quot;:&quot;&quot;},{&quot;family&quot;:&quot;Barkham&quot;,&quot;given&quot;:&quot;M&quot;,&quot;parse-names&quot;:false,&quot;dropping-particle&quot;:&quot;&quot;,&quot;non-dropping-particle&quot;:&quot;&quot;},{&quot;family&quot;:&quot;Berking&quot;,&quot;given&quot;:&quot;M&quot;,&quot;parse-names&quot;:false,&quot;dropping-particle&quot;:&quot;&quot;,&quot;non-dropping-particle&quot;:&quot;&quot;},{&quot;family&quot;:&quot;Berger&quot;,&quot;given&quot;:&quot;T&quot;,&quot;parse-names&quot;:false,&quot;dropping-particle&quot;:&quot;&quot;,&quot;non-dropping-particle&quot;:&quot;&quot;},{&quot;family&quot;:&quot;Botella&quot;,&quot;given&quot;:&quot;C&quot;,&quot;parse-names&quot;:false,&quot;dropping-particle&quot;:&quot;&quot;,&quot;non-dropping-particle&quot;:&quot;&quot;},{&quot;family&quot;:&quot;Carlbring&quot;,&quot;given&quot;:&quot;P&quot;,&quot;parse-names&quot;:false,&quot;dropping-particle&quot;:&quot;&quot;,&quot;non-dropping-particle&quot;:&quot;&quot;},{&quot;family&quot;:&quot;Colom&quot;,&quot;given&quot;:&quot;F&quot;,&quot;parse-names&quot;:false,&quot;dropping-particle&quot;:&quot;&quot;,&quot;non-dropping-particle&quot;:&quot;&quot;},{&quot;family&quot;:&quot;Essau&quot;,&quot;given&quot;:&quot;C&quot;,&quot;parse-names&quot;:false,&quot;dropping-particle&quot;:&quot;&quot;,&quot;non-dropping-particle&quot;:&quot;&quot;},{&quot;family&quot;:&quot;Hermans&quot;,&quot;given&quot;:&quot;D&quot;,&quot;parse-names&quot;:false,&quot;dropping-particle&quot;:&quot;&quot;,&quot;non-dropping-particle&quot;:&quot;&quot;},{&quot;family&quot;:&quot;Hofmann&quot;,&quot;given&quot;:&quot;S G&quot;,&quot;parse-names&quot;:false,&quot;dropping-particle&quot;:&quot;&quot;,&quot;non-dropping-particle&quot;:&quot;&quot;},{&quot;family&quot;:&quot;Knappe&quot;,&quot;given&quot;:&quot;S&quot;,&quot;parse-names&quot;:false,&quot;dropping-particle&quot;:&quot;&quot;,&quot;non-dropping-particle&quot;:&quot;&quot;},{&quot;family&quot;:&quot;Ollendick&quot;,&quot;given&quot;:&quot;T H&quot;,&quot;parse-names&quot;:false,&quot;dropping-particle&quot;:&quot;&quot;,&quot;non-dropping-particle&quot;:&quot;&quot;},{&quot;family&quot;:&quot;Raes&quot;,&quot;given&quot;:&quot;F&quot;,&quot;parse-names&quot;:false,&quot;dropping-particle&quot;:&quot;&quot;,&quot;non-dropping-particle&quot;:&quot;&quot;},{&quot;family&quot;:&quot;Rief&quot;,&quot;given&quot;:&quot;W&quot;,&quot;parse-names&quot;:false,&quot;dropping-particle&quot;:&quot;&quot;,&quot;non-dropping-particle&quot;:&quot;&quot;},{&quot;family&quot;:&quot;Riper&quot;,&quot;given&quot;:&quot;H&quot;,&quot;parse-names&quot;:false,&quot;dropping-particle&quot;:&quot;&quot;,&quot;non-dropping-particle&quot;:&quot;&quot;},{&quot;family&quot;:&quot;Oord&quot;,&quot;given&quot;:&quot;S&quot;,&quot;parse-names&quot;:false,&quot;dropping-particle&quot;:&quot;&quot;,&quot;non-dropping-particle&quot;:&quot;Van Der&quot;},{&quot;family&quot;:&quot;Vervliet&quot;,&quot;given&quot;:&quot;B&quot;,&quot;parse-names&quot;:false,&quot;dropping-particle&quot;:&quot;&quot;,&quot;non-dropping-particle&quot;:&quot;&quot;}],&quot;container-title&quot;:&quot;International journal of methods in psychiatric research&quot;,&quot;container-title-short&quot;:&quot;Int J Methods Psychiatr Res&quot;,&quot;DOI&quot;:&quot;10.1002/mpr.1411&quot;,&quot;ISSN&quot;:&quot;1049-8931 (Print)\r1049-8931&quot;,&quot;PMID&quot;:&quot;24375536&quot;,&quot;issued&quot;:{&quot;date-parts&quot;:[[2014]]},&quot;page&quot;:&quot;58-91&quot;,&quot;language&quot;:&quot;eng&quot;,&quot;abstract&quot;:&quot;Psychological models of mental disorders guide research into psychological and environmental factors that elicit and maintain mental disorders as well as interventions to reduce them. This paper addresses four areas. (1) Psychological models of mental disorders have become increasingly transdiagnostic, focusing on core cognitive endophenotypes of psychopathology from an integrative cognitive psychology perspective rather than offering explanations for unitary mental disorders. It is argued that psychological interventions for mental disorders will increasingly target specific cognitive dysfunctions rather than symptom-based mental disorders as a result. (2) Psychotherapy research still lacks a comprehensive conceptual framework that brings together the wide variety of findings, models and perspectives. Analysing the state-of-the-art in psychotherapy treatment research, \&quot;component analyses\&quot; aiming at an optimal identification of core ingredients and the mechanisms of change is highlighted as the core need towards improved efficacy and effectiveness of psychotherapy, and improved translation to routine care. (3) In order to provide more effective psychological interventions to children and adolescents, there is a need to develop new and/or improved psychotherapeutic interventions on the basis of developmental psychopathology research taking into account knowledge of mediators and moderators. Developmental neuroscience research might be instrumental to uncover associated aberrant brain processes in children and adolescents with mental health problems and to better examine mechanisms of their correction by means of psychotherapy and psychological interventions. (4) Psychotherapy research needs to broaden in terms of adoption of large-scale public health strategies and treatments that can be applied to more patients in a simpler and cost-effective way. Increased research on efficacy and moderators of Internet-based treatments and e-mental health tools (e.g. to support \&quot;real time\&quot; clinical decision-making to prevent treatment failure or relapse) might be one promising way forward.&quot;,&quot;edition&quot;:&quot;2014/01/01&quot;,&quot;issue&quot;:&quot;Suppl 1&quot;,&quot;volume&quot;:&quot;23 Suppl 1&quot;},&quot;isTemporary&quot;:false}],&quot;citationTag&quot;:&quot;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&quot;},{&quot;citationID&quot;:&quot;MENDELEY_CITATION_211791f1-c36f-4dda-8c04-0109182cca34&quot;,&quot;properties&quot;:{&quot;noteIndex&quot;:0},&quot;isEdited&quot;:false,&quot;manualOverride&quot;:{&quot;isManuallyOverridden&quot;:false,&quot;citeprocText&quot;:&quot;(Layard &amp;#38; Clark, 2015)&quot;,&quot;manualOverrideText&quot;:&quot;&quot;},&quot;citationItems&quot;:[{&quot;id&quot;:&quot;55d52ef9-c581-3d03-9be2-e8ea632d7067&quot;,&quot;itemData&quot;:{&quot;type&quot;:&quot;article-journal&quot;,&quot;id&quot;:&quot;55d52ef9-c581-3d03-9be2-e8ea632d7067&quot;,&quot;title&quot;:&quot;Why More Psychological Therapy Would Cost Nothing&quot;,&quot;author&quot;:[{&quot;family&quot;:&quot;Layard&quot;,&quot;given&quot;:&quot;Richard&quot;,&quot;parse-names&quot;:false,&quot;dropping-particle&quot;:&quot;&quot;,&quot;non-dropping-particle&quot;:&quot;&quot;},{&quot;family&quot;:&quot;Clark&quot;,&quot;given&quot;:&quot;David M&quot;,&quot;parse-names&quot;:false,&quot;dropping-particle&quot;:&quot;&quot;,&quot;non-dropping-particle&quot;:&quot;&quot;}],&quot;container-title&quot;:&quot;Frontiers in psychology&quot;,&quot;container-title-short&quot;:&quot;Front Psychol&quot;,&quot;DOI&quot;:&quot;10.3389/fpsyg.2015.01713&quot;,&quot;ISSN&quot;:&quot;1664-1078&quot;,&quot;PMID&quot;:&quot;26635648&quot;,&quot;URL&quot;:&quot;https://pubmed.ncbi.nlm.nih.gov/26635648&quot;,&quot;issued&quot;:{&quot;date-parts&quot;:[[2015]]},&quot;page&quot;:&quot;1713&quot;,&quot;language&quot;:&quot;eng&quot;,&quot;publisher&quot;:&quot;Frontiers Media S.A.&quot;,&quot;volume&quot;:&quot;6&quot;},&quot;isTemporary&quot;:false}],&quot;citationTag&quot;:&quot;MENDELEY_CITATION_v3_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&quot;},{&quot;citationID&quot;:&quot;MENDELEY_CITATION_a3d16a52-55bf-45b8-87a0-e98de3486765&quot;,&quot;properties&quot;:{&quot;noteIndex&quot;:0},&quot;isEdited&quot;:false,&quot;manualOverride&quot;:{&quot;isManuallyOverridden&quot;:false,&quot;citeprocText&quot;:&quot;(CUREd, 2020)&quot;,&quot;manualOverrideText&quot;:&quot;&quot;},&quot;citationItems&quot;:[{&quot;id&quot;:&quot;2ce622b0-c19c-36a7-9e24-c5ca1971df91&quot;,&quot;itemData&quot;:{&quot;type&quot;:&quot;webpage&quot;,&quot;id&quot;:&quot;2ce622b0-c19c-36a7-9e24-c5ca1971df91&quot;,&quot;title&quot;:&quot;CUREd Research Database&quot;,&quot;author&quot;:[{&quot;family&quot;:&quot;CUREd&quot;,&quot;given&quot;:&quot;&quot;,&quot;parse-names&quot;:false,&quot;dropping-particle&quot;:&quot;&quot;,&quot;non-dropping-particle&quot;:&quot;&quot;}],&quot;URL&quot;:&quot;https://www.sheffield.ac.uk/scharr/sections/hsr/cure/projects/cured-rd/home&quot;,&quot;issued&quot;:{&quot;date-parts&quot;:[[2020]]},&quot;publisher-place&quot;:&quot;Sheffield&quot;,&quot;container-title-short&quot;:&quot;&quot;},&quot;isTemporary&quot;:false}],&quot;citationTag&quot;:&quot;MENDELEY_CITATION_v3_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&quot;},{&quot;citationID&quot;:&quot;MENDELEY_CITATION_dc663638-e44b-4853-9754-f2a1f49465a7&quot;,&quot;properties&quot;:{&quot;noteIndex&quot;:0},&quot;isEdited&quot;:false,&quot;manualOverride&quot;:{&quot;isManuallyOverridden&quot;:false,&quot;citeprocText&quot;:&quot;(Black, 1996; Grimshaw et al., 2000; Kontopantelis et al., 2015)&quot;,&quot;manualOverrideText&quot;:&quot;&quot;},&quot;citationItems&quot;:[{&quot;id&quot;:&quot;e548a980-44e3-32ef-b54a-1f4591371ec8&quot;,&quot;itemData&quot;:{&quot;type&quot;:&quot;article-journal&quot;,&quot;id&quot;:&quot;e548a980-44e3-32ef-b54a-1f4591371ec8&quot;,&quot;title&quot;:&quot;Experimental and quasi-experimental designs for evaluating guideline implementation strategies&quot;,&quot;author&quot;:[{&quot;family&quot;:&quot;Grimshaw&quot;,&quot;given&quot;:&quot;Jeremy&quot;,&quot;parse-names&quot;:false,&quot;dropping-particle&quot;:&quot;&quot;,&quot;non-dropping-particle&quot;:&quot;&quot;},{&quot;family&quot;:&quot;Campbell&quot;,&quot;given&quot;:&quot;Marion&quot;,&quot;parse-names&quot;:false,&quot;dropping-particle&quot;:&quot;&quot;,&quot;non-dropping-particle&quot;:&quot;&quot;},{&quot;family&quot;:&quot;Eccles&quot;,&quot;given&quot;:&quot;Martin&quot;,&quot;parse-names&quot;:false,&quot;dropping-particle&quot;:&quot;&quot;,&quot;non-dropping-particle&quot;:&quot;&quot;},{&quot;family&quot;:&quot;Steen&quot;,&quot;given&quot;:&quot;Nick&quot;,&quot;parse-names&quot;:false,&quot;dropping-particle&quot;:&quot;&quot;,&quot;non-dropping-particle&quot;:&quot;&quot;}],&quot;container-title&quot;:&quot;Fam Pract&quot;,&quot;accessed&quot;:{&quot;date-parts&quot;:[[2023,5,11]]},&quot;DOI&quot;:&quot;10.1093/fampra/17.suppl_1.s11&quot;,&quot;ISSN&quot;:&quot;02632136&quot;,&quot;PMID&quot;:&quot;10735262&quot;,&quot;issued&quot;:{&quot;date-parts&quot;:[[2000,2]]},&quot;page&quot;:&quot;S16&quot;,&quot;abstract&quot;:&quot;The choice of study design for guideline implementation studies will determine the confidence with which the observed effects can be attributed to the interventions under study. In general, cluster randomized trials, of which there are different types, provide the most robust design. However, the use of these designs has implications for the power, conduct and analysis of studies. Wherever possible, designs allowing head-to-head comparisons, which incorporate baseline measures of performance, should be used.&quot;,&quot;issue&quot;:&quot;SUPPL. 1&quot;,&quot;volume&quot;:&quot;17&quot;,&quot;container-title-short&quot;:&quot;&quot;},&quot;isTemporary&quot;:false},{&quot;id&quot;:&quot;0d305317-23c5-37ff-8c10-51b1e7b47bab&quot;,&quot;itemData&quot;:{&quot;type&quot;:&quot;article-journal&quot;,&quot;id&quot;:&quot;0d305317-23c5-37ff-8c10-51b1e7b47bab&quot;,&quot;title&quot;:&quot;Why we need observational studies to evaluate the effectiveness of health care&quot;,&quot;author&quot;:[{&quot;family&quot;:&quot;Black&quot;,&quot;given&quot;:&quot;Nick&quot;,&quot;parse-names&quot;:false,&quot;dropping-particle&quot;:&quot;&quot;,&quot;non-dropping-particle&quot;:&quot;&quot;}],&quot;container-title&quot;:&quot;BMJ&quot;,&quot;accessed&quot;:{&quot;date-parts&quot;:[[2023,5,11]]},&quot;DOI&quot;:&quot;10.1136/bmj.312.7040.1215&quot;,&quot;ISSN&quot;:&quot;09598146&quot;,&quot;PMID&quot;:&quot;8634569&quot;,&quot;issued&quot;:{&quot;date-parts&quot;:[[1996,5,11]]},&quot;page&quot;:&quot;1215-1218&quot;,&quot;abstract&quot;:&quot;The view is widely held that experimental methods (randomised controlled trials) are the 'gold standard' for evaluation and that observational methods (cohort and case control studies) have little or no value. This ignores the limitations of randomised trials, which may prove unnecessary, inappropriate, impossible, or inadequate. Many of the problems of conducting randomised trials could often, in theory, be overcome, but the practical implications for researchers and funding bodies mean that this is often not possible. The false conflict between those who advocate randomised trials in all situations and those who believe observational data provide sufficient evidence needs to be replaced with mutual recognition of the complementary roles of the two approaches. Researchers should be united in their quest for scientific rigour in evaluation, regardless of the method used.&quot;,&quot;publisher&quot;:&quot;BMJ Publishing Group&quot;,&quot;issue&quot;:&quot;7040&quot;,&quot;volume&quot;:&quot;312&quot;,&quot;container-title-short&quot;:&quot;&quot;},&quot;isTemporary&quot;:false},{&quot;id&quot;:&quot;e812415b-b7ef-30ba-9343-b1d2cc7baf65&quot;,&quot;itemData&quot;:{&quot;type&quot;:&quot;article-journal&quot;,&quot;id&quot;:&quot;e812415b-b7ef-30ba-9343-b1d2cc7baf65&quot;,&quot;title&quot;:&quot;Regression based quasi-experimental approach when randomisation is not an option: interrupted time series analysis&quot;,&quot;author&quot;:[{&quot;family&quot;:&quot;Kontopantelis&quot;,&quot;given&quot;:&quot;Evangelos&quot;,&quot;parse-names&quot;:false,&quot;dropping-particle&quot;:&quot;&quot;,&quot;non-dropping-particle&quot;:&quot;&quot;},{&quot;family&quot;:&quot;Doran&quot;,&quot;given&quot;:&quot;Tim&quot;,&quot;parse-names&quot;:false,&quot;dropping-particle&quot;:&quot;&quot;,&quot;non-dropping-particle&quot;:&quot;&quot;},{&quot;family&quot;:&quot;Springate&quot;,&quot;given&quot;:&quot;David A.&quot;,&quot;parse-names&quot;:false,&quot;dropping-particle&quot;:&quot;&quot;,&quot;non-dropping-particle&quot;:&quot;&quot;},{&quot;family&quot;:&quot;Buchan&quot;,&quot;given&quot;:&quot;Iain&quot;,&quot;parse-names&quot;:false,&quot;dropping-particle&quot;:&quot;&quot;,&quot;non-dropping-particle&quot;:&quot;&quot;},{&quot;family&quot;:&quot;Reeves&quot;,&quot;given&quot;:&quot;David&quot;,&quot;parse-names&quot;:false,&quot;dropping-particle&quot;:&quot;&quot;,&quot;non-dropping-particle&quot;:&quot;&quot;}],&quot;container-title&quot;:&quot;BMJ (Clinical research ed.)&quot;,&quot;container-title-short&quot;:&quot;BMJ&quot;,&quot;accessed&quot;:{&quot;date-parts&quot;:[[2023,5,11]]},&quot;DOI&quot;:&quot;10.1136/BMJ.H2750&quot;,&quot;ISSN&quot;:&quot;1756-1833&quot;,&quot;PMID&quot;:&quot;26058820&quot;,&quot;URL&quot;:&quot;https://pubmed.ncbi.nlm.nih.gov/26058820/&quot;,&quot;issued&quot;:{&quot;date-parts&quot;:[[2015,6,9]]},&quot;publisher&quot;:&quot;BMJ&quot;,&quot;volume&quot;:&quot;350&quot;},&quot;isTemporary&quot;:false}],&quot;citationTag&quot;:&quot;MENDELEY_CITATION_v3_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&quot;},{&quot;citationID&quot;:&quot;MENDELEY_CITATION_1c2f9053-be5c-423a-a7b2-5e0c2f081867&quot;,&quot;properties&quot;:{&quot;noteIndex&quot;:0},&quot;isEdited&quot;:false,&quot;manualOverride&quot;:{&quot;isManuallyOverridden&quot;:false,&quot;citeprocText&quot;:&quot;(Hudson et al., 2019)&quot;,&quot;manualOverrideText&quot;:&quot;&quot;},&quot;citationItems&quot;:[{&quot;id&quot;:&quot;3260d466-09c1-3ccd-b871-e7e701d3dd8d&quot;,&quot;itemData&quot;:{&quot;type&quot;:&quot;article-journal&quot;,&quot;id&quot;:&quot;3260d466-09c1-3ccd-b871-e7e701d3dd8d&quot;,&quot;title&quot;:&quot;Methodology and reporting characteristics of studies using interrupted time series design in healthcare&quot;,&quot;author&quot;:[{&quot;family&quot;:&quot;Hudson&quot;,&quot;given&quot;:&quot;Jemma&quot;,&quot;parse-names&quot;:false,&quot;dropping-particle&quot;:&quot;&quot;,&quot;non-dropping-particle&quot;:&quot;&quot;},{&quot;family&quot;:&quot;Fielding&quot;,&quot;given&quot;:&quot;Shona&quot;,&quot;parse-names&quot;:false,&quot;dropping-particle&quot;:&quot;&quot;,&quot;non-dropping-particle&quot;:&quot;&quot;},{&quot;family&quot;:&quot;Ramsay&quot;,&quot;given&quot;:&quot;Craig R.&quot;,&quot;parse-names&quot;:false,&quot;dropping-particle&quot;:&quot;&quot;,&quot;non-dropping-particle&quot;:&quot;&quot;}],&quot;container-title&quot;:&quot;BMC Medical Research Methodology&quot;,&quot;container-title-short&quot;:&quot;BMC Med Res Methodol&quot;,&quot;accessed&quot;:{&quot;date-parts&quot;:[[2023,5,11]]},&quot;DOI&quot;:&quot;10.1186/S12874-019-0777-X/TABLES/5&quot;,&quot;ISSN&quot;:&quot;14712288&quot;,&quot;PMID&quot;:&quot;31272382&quot;,&quot;URL&quot;:&quot;https://bmcmedresmethodol.biomedcentral.com/articles/10.1186/s12874-019-0777-x&quot;,&quot;issued&quot;:{&quot;date-parts&quot;:[[2019,7,4]]},&quot;page&quot;:&quot;1-7&quot;,&quot;abstract&quot;:&quot;Background: Randomised controlled trials (RCTs) are considered the gold standard when evaluating the causal effects of healthcare interventions. When RCTs cannot be used (e.g. ethically difficult), the interrupted time series (ITS) design is a possible alternative. ITS is one of the strongest quasi-experimental designs. The aim of this methodological study was to describe how ITS designs were being used, the design characteristics, and reporting in the healthcare setting. Methods: We searched MEDLINE for reports of ITS designs published in 2015 which had a minimum of two data points collected pre-intervention and one post-intervention. There was no restriction on participants, language of study, or type of outcome. Data were summarised using appropriate summary statistics. Results: One hundred and sixteen studies were included in the study. Interventions evaluated were mainly programs 41 (35%) and policies 32 (28%). Data were usually collected at monthly intervals, 74 (64%). Of the 115 studies that reported an analysis, the most common method was segmented regression (78%), 55% considered autocorrelation, and only seven reported a sample size calculation. Estimation of intervention effects were reported as change in slope (84%) and change in level (70%) and 21% reported long-term change in levels. Conclusions: This methodological study identified problems in the reporting of design features and results of ITS studies, and highlights the need for future work in the development of formal reporting guidelines and methodological work.&quot;,&quot;publisher&quot;:&quot;BioMed Central Ltd.&quot;,&quot;issue&quot;:&quot;1&quot;,&quot;volume&quot;:&quot;19&quot;},&quot;isTemporary&quot;:false}],&quot;citationTag&quot;:&quot;MENDELEY_CITATION_v3_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&quot;},{&quot;citationID&quot;:&quot;MENDELEY_CITATION_6d33c6a2-0767-452f-b8d3-94e6ec229f31&quot;,&quot;properties&quot;:{&quot;noteIndex&quot;:0},&quot;isEdited&quot;:false,&quot;manualOverride&quot;:{&quot;isManuallyOverridden&quot;:false,&quot;citeprocText&quot;:&quot;(Ramsay et al., 2003)&quot;,&quot;manualOverrideText&quot;:&quot;&quot;},&quot;citationItems&quot;:[{&quot;id&quot;:&quot;2c335d37-31c0-39d9-afc2-6f9748c8326b&quot;,&quot;itemData&quot;:{&quot;type&quot;:&quot;article-journal&quot;,&quot;id&quot;:&quot;2c335d37-31c0-39d9-afc2-6f9748c8326b&quot;,&quot;title&quot;:&quot;Interrupted time series designs in health technology assessment: lessons from two systematic reviews of behaviour change strategies&quot;,&quot;author&quot;:[{&quot;family&quot;:&quot;Ramsay&quot;,&quot;given&quot;:&quot;Craig R.&quot;,&quot;parse-names&quot;:false,&quot;dropping-particle&quot;:&quot;&quot;,&quot;non-dropping-particle&quot;:&quot;&quot;},{&quot;family&quot;:&quot;Matowe&quot;,&quot;given&quot;:&quot;Lloyd&quot;,&quot;parse-names&quot;:false,&quot;dropping-particle&quot;:&quot;&quot;,&quot;non-dropping-particle&quot;:&quot;&quot;},{&quot;family&quot;:&quot;Grilli&quot;,&quot;given&quot;:&quot;Roberto&quot;,&quot;parse-names&quot;:false,&quot;dropping-particle&quot;:&quot;&quot;,&quot;non-dropping-particle&quot;:&quot;&quot;},{&quot;family&quot;:&quot;Grimshaw&quot;,&quot;given&quot;:&quot;Jeremy M.&quot;,&quot;parse-names&quot;:false,&quot;dropping-particle&quot;:&quot;&quot;,&quot;non-dropping-particle&quot;:&quot;&quot;},{&quot;family&quot;:&quot;Thomas&quot;,&quot;given&quot;:&quot;Ruth E.&quot;,&quot;parse-names&quot;:false,&quot;dropping-particle&quot;:&quot;&quot;,&quot;non-dropping-particle&quot;:&quot;&quot;}],&quot;container-title&quot;:&quot;Int J Technol Assess Health Care&quot;,&quot;accessed&quot;:{&quot;date-parts&quot;:[[2023,5,11]]},&quot;DOI&quot;:&quot;10.1017/s0266462303000576&quot;,&quot;ISSN&quot;:&quot;02664623&quot;,&quot;PMID&quot;:&quot;15095767&quot;,&quot;issued&quot;:{&quot;date-parts&quot;:[[2003]]},&quot;page&quot;:&quot;613-623&quot;,&quot;abstract&quot;:&quot;Objectives: In an interrupted time series (ITS) design, data are collected at multiple instances over time before and after an intervention to detect whether the intervention has an effect significantly greater than the underlying secular trend. We critically reviewed the methodological quality of ITS designs using studies included in two systematic reviews (a review of mass media interventions and a review of guideline dissemination and implementation strategies). Methods: Quality criteria were developed, and data were abstracted from each study. If the primary study analyzed the ITS design inappropriately, we reanalyzed the results by using time series regression. Results: Twenty mass media studies and thirty-eight guideline studies were included. A total of 66% of ITS studies did not rule out the threat that another event could have occurred at the point of intervention. Thirty-three studies were reanalyzed, of which eight had significant preintervention trends. All of the studies were considered \&quot;effective\&quot; in the original report, but approximately half of the reanalyzed studies showed no statistically significant differences. Conclusions: We demonstrated that ITS designs are often analyzed inappropriately, underpowered, and poorly reported in implementation research. We have illustrated a framework for appraising ITS designs, and more widespread adoption of this framework would strengthen reviews that use ITS designs.&quot;,&quot;publisher&quot;:&quot;Cambridge University Press&quot;,&quot;issue&quot;:&quot;4&quot;,&quot;volume&quot;:&quot;19&quot;,&quot;container-title-short&quot;:&quot;&quot;},&quot;isTemporary&quot;:false}],&quot;citationTag&quot;:&quot;MENDELEY_CITATION_v3_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&quot;},{&quot;citationID&quot;:&quot;MENDELEY_CITATION_86eb4e53-1f06-4722-b04e-3dd22023dcdf&quot;,&quot;properties&quot;:{&quot;noteIndex&quot;:0},&quot;isEdited&quot;:false,&quot;manualOverride&quot;:{&quot;isManuallyOverridden&quot;:true,&quot;citeprocText&quot;:&quot;(Mason et al., 2022; University of Sheffield, n.d.)&quot;,&quot;manualOverrideText&quot;:&quot;(CURE Projects: ScHARR, University of Sheffield; Mason et al., 2022)&quot;},&quot;citationItems&quot;:[{&quot;id&quot;:&quot;924309d1-0b16-36d4-b0b9-796f3be013ab&quot;,&quot;itemData&quot;:{&quot;type&quot;:&quot;article-journal&quot;,&quot;id&quot;:&quot;924309d1-0b16-36d4-b0b9-796f3be013ab&quot;,&quot;title&quot;:&quot;Creating a Real-World Linked Research Platform for Analyzing the Urgent and Emergency Care System&quot;,&quot;author&quot;:[{&quot;family&quot;:&quot;Mason&quot;,&quot;given&quot;:&quot;Suzanne&quot;,&quot;parse-names&quot;:false,&quot;dropping-particle&quot;:&quot;&quot;,&quot;non-dropping-particle&quot;:&quot;&quot;},{&quot;family&quot;:&quot;Stone&quot;,&quot;given&quot;:&quot;Tony&quot;,&quot;parse-names&quot;:false,&quot;dropping-particle&quot;:&quot;&quot;,&quot;non-dropping-particle&quot;:&quot;&quot;},{&quot;family&quot;:&quot;Jacques&quot;,&quot;given&quot;:&quot;Richard&quot;,&quot;parse-names&quot;:false,&quot;dropping-particle&quot;:&quot;&quot;,&quot;non-dropping-particle&quot;:&quot;&quot;},{&quot;family&quot;:&quot;Lewis&quot;,&quot;given&quot;:&quot;Jennifer&quot;,&quot;parse-names&quot;:false,&quot;dropping-particle&quot;:&quot;&quot;,&quot;non-dropping-particle&quot;:&quot;&quot;},{&quot;family&quot;:&quot;Simpson&quot;,&quot;given&quot;:&quot;Rebecca&quot;,&quot;parse-names&quot;:false,&quot;dropping-particle&quot;:&quot;&quot;,&quot;non-dropping-particle&quot;:&quot;&quot;},{&quot;family&quot;:&quot;Kuczawski&quot;,&quot;given&quot;:&quot;Maxine&quot;,&quot;parse-names&quot;:false,&quot;dropping-particle&quot;:&quot;&quot;,&quot;non-dropping-particle&quot;:&quot;&quot;},{&quot;family&quot;:&quot;Franklin&quot;,&quot;given&quot;:&quot;Matthew&quot;,&quot;parse-names&quot;:false,&quot;dropping-particle&quot;:&quot;&quot;,&quot;non-dropping-particle&quot;:&quot;&quot;}],&quot;container-title&quot;:&quot;Medical Decision Making&quot;,&quot;accessed&quot;:{&quot;date-parts&quot;:[[2023,5,31]]},&quot;DOI&quot;:&quot;10.1177/0272989X221098699/FORMAT/EPUB&quot;,&quot;ISSN&quot;:&quot;1552681X&quot;,&quot;PMID&quot;:&quot;35574663&quot;,&quot;URL&quot;:&quot;www.sheffield.ac.uk/scharr/&quot;,&quot;issued&quot;:{&quot;date-parts&quot;:[[2022,11,1]]},&quot;page&quot;:&quot;999-1009&quot;,&quot;abstract&quot;:&quot;Background: This article describes the development of a system-based data platform for research developed to provide a detailed picture of the characteristics of the Urgent and Emergency Care system in 1 region of the United Kingdom. Data Set Development: CUREd is an integrated research data platform that describes the urgent and emergency care system in 1 region of the United Kingdom on almost 30 million patient contacts within the system. We describe regulatory approvals required, data acquisition, cleaning, and linkage. Data Set Analyses: The data platform covers 2011 to 2017 for 14 acute National Health Service (NHS) Hospital Trusts, 1 ambulance service, the national telephone advice service (NHS 111), and 19 emergency departments. We describe 3 analyses undertaken: 1) Analyzing triage patterns from the NHS 111 telephone helpline using routine data linked to other urgent care services, we found that the current triage algorithms have high rates of misclassifying calls. 2) Applying an algorithm to consistently identify avoidable attendances for pediatric patients, we identified 21% of pediatric attendances to the emergency department as avoidable. 3) Using complex systems analysis to examine patterns of frequent attendance in urgent care, we found that frequent attendance is stable over time but varies by individual patient. This implies that frequent attendance is more likely to be a function of the system overall. Discussion: We describe the processes necessary to produce research-ready data that link care across the components of the urgent and emergency care system. Making the use of routine data commonplace will require partnership between the collectors, owners, and guardians of the data and researchers and technical teams. This article describes the development of a system-level data platform for research using routine patient-level data from the urgent and emergency care system in 1 region of the United Kingdom. The article describes how the data were acquired, cleaned, and linked and the challenges faced when undertaking analysis with the data. The data set has been used to understand patient use of the system, journeys once in the system, and outcomes following its use, for example, patterns of frequent use within urgent care and accuracy of referral decisions within the system.&quot;,&quot;publisher&quot;:&quot;SAGE Publications Inc.&quot;,&quot;issue&quot;:&quot;8&quot;,&quot;volume&quot;:&quot;42&quot;,&quot;container-title-short&quot;:&quot;&quot;},&quot;isTemporary&quot;:false},{&quot;id&quot;:&quot;83a6dde5-977e-354c-a1de-0bbe9315e8a1&quot;,&quot;itemData&quot;:{&quot;type&quot;:&quot;webpage&quot;,&quot;id&quot;:&quot;83a6dde5-977e-354c-a1de-0bbe9315e8a1&quot;,&quot;title&quot;:&quot;CURE Projects: ScHARR&quot;,&quot;author&quot;:[{&quot;family&quot;:&quot;University of Sheffield&quot;,&quot;given&quot;:&quot;&quot;,&quot;parse-names&quot;:false,&quot;dropping-particle&quot;:&quot;&quot;,&quot;non-dropping-particle&quot;:&quot;&quot;}],&quot;URL&quot;:&quot;https://www.sheffield.ac.uk/scharr/research/centres/cure/projects&quot;,&quot;container-title-short&quot;:&quot;&quot;},&quot;isTemporary&quot;:false}],&quot;citationTag&quot;:&quot;MENDELEY_CITATION_v3_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&quot;},{&quot;citationID&quot;:&quot;MENDELEY_CITATION_c29b12be-fcfa-47dd-8112-5a842c007c93&quot;,&quot;properties&quot;:{&quot;noteIndex&quot;:0},&quot;isEdited&quot;:false,&quot;manualOverride&quot;:{&quot;isManuallyOverridden&quot;:true,&quot;citeprocText&quot;:&quot;(&lt;i&gt;Clinical Commissioning Group Population Estimates (National Statistics) - Office for National Statistics&lt;/i&gt;, n.d.)&quot;,&quot;manualOverrideText&quot;:&quot;(Clinical Commissioning Group Population Estimates (National Statistics) - Office for National Statistics)&quot;},&quot;citationItems&quot;:[{&quot;id&quot;:&quot;f1f7565a-0397-3390-8e55-ef7c0ff5216a&quot;,&quot;itemData&quot;:{&quot;type&quot;:&quot;webpage&quot;,&quot;id&quot;:&quot;f1f7565a-0397-3390-8e55-ef7c0ff5216a&quot;,&quot;title&quot;:&quot;Clinical commissioning group population estimates (National Statistics) - Office for National Statistics&quot;,&quot;accessed&quot;:{&quot;date-parts&quot;:[[2023,5,31]]},&quot;URL&quot;:&quot;https://www.ons.gov.uk/peoplepopulationandcommunity/populationandmigration/populationestimates/datasets/clinicalcommissioninggroupmidyearpopulationestimates&quot;,&quot;container-title-short&quot;:&quot;&quot;},&quot;isTemporary&quot;:false}],&quot;citationTag&quot;:&quot;MENDELEY_CITATION_v3_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&quot;},{&quot;citationID&quot;:&quot;MENDELEY_CITATION_d0209d09-3b3f-4787-8972-5163d3f9f2bd&quot;,&quot;properties&quot;:{&quot;noteIndex&quot;:0},&quot;isEdited&quot;:false,&quot;manualOverride&quot;:{&quot;isManuallyOverridden&quot;:true,&quot;citeprocText&quot;:&quot;(&lt;i&gt;English Indices of Deprivation 2015 - GOV.UK&lt;/i&gt;, n.d.)&quot;,&quot;manualOverrideText&quot;:&quot;(English Indices of Deprivation 2015 - GOV.UK)&quot;},&quot;citationItems&quot;:[{&quot;id&quot;:&quot;7a0dd184-0661-39a2-900e-1526f0b86a21&quot;,&quot;itemData&quot;:{&quot;type&quot;:&quot;webpage&quot;,&quot;id&quot;:&quot;7a0dd184-0661-39a2-900e-1526f0b86a21&quot;,&quot;title&quot;:&quot;English indices of deprivation 2015 - GOV.UK&quot;,&quot;accessed&quot;:{&quot;date-parts&quot;:[[2023,5,31]]},&quot;URL&quot;:&quot;https://www.gov.uk/government/statistics/english-indices-of-deprivation-2015&quot;,&quot;container-title-short&quot;:&quot;&quot;},&quot;isTemporary&quot;:false}],&quot;citationTag&quot;:&quot;MENDELEY_CITATION_v3_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&quot;},{&quot;citationID&quot;:&quot;MENDELEY_CITATION_42873c6c-f453-4433-9ddb-117656208a06&quot;,&quot;properties&quot;:{&quot;noteIndex&quot;:0},&quot;isEdited&quot;:false,&quot;manualOverride&quot;:{&quot;isManuallyOverridden&quot;:true,&quot;citeprocText&quot;:&quot;(Lewis et al., 2023)&quot;,&quot;manualOverrideText&quot;:&quot;Lewis et al. (2023)&quot;},&quot;citationItems&quot;:[{&quot;id&quot;:&quot;c512edc1-3902-38be-91c2-cbe80deae56d&quot;,&quot;itemData&quot;:{&quot;type&quot;:&quot;article-journal&quot;,&quot;id&quot;:&quot;c512edc1-3902-38be-91c2-cbe80deae56d&quot;,&quot;title&quot;:&quot;Use of urgent, emergency and acute care by mental health service users: A record-level cohort study&quot;,&quot;author&quot;:[{&quot;family&quot;:&quot;Lewis&quot;,&quot;given&quot;:&quot;Jen&quot;,&quot;parse-names&quot;:false,&quot;dropping-particle&quot;:&quot;&quot;,&quot;non-dropping-particle&quot;:&quot;&quot;},{&quot;family&quot;:&quot;Weich&quot;,&quot;given&quot;:&quot;Scott&quot;,&quot;parse-names&quot;:false,&quot;dropping-particle&quot;:&quot;&quot;,&quot;non-dropping-particle&quot;:&quot;&quot;},{&quot;family&quot;:&quot;O’Keeffe&quot;,&quot;given&quot;:&quot;Colin&quot;,&quot;parse-names&quot;:false,&quot;dropping-particle&quot;:&quot;&quot;,&quot;non-dropping-particle&quot;:&quot;&quot;},{&quot;family&quot;:&quot;Stone&quot;,&quot;given&quot;:&quot;Tony&quot;,&quot;parse-names&quot;:false,&quot;dropping-particle&quot;:&quot;&quot;,&quot;non-dropping-particle&quot;:&quot;&quot;},{&quot;family&quot;:&quot;Hulin&quot;,&quot;given&quot;:&quot;Joe&quot;,&quot;parse-names&quot;:false,&quot;dropping-particle&quot;:&quot;&quot;,&quot;non-dropping-particle&quot;:&quot;&quot;},{&quot;family&quot;:&quot;Bell&quot;,&quot;given&quot;:&quot;Nicholas&quot;,&quot;parse-names&quot;:false,&quot;dropping-particle&quot;:&quot;&quot;,&quot;non-dropping-particle&quot;:&quot;&quot;},{&quot;family&quot;:&quot;Doyle&quot;,&quot;given&quot;:&quot;Mike&quot;,&quot;parse-names&quot;:false,&quot;dropping-particle&quot;:&quot;&quot;,&quot;non-dropping-particle&quot;:&quot;&quot;},{&quot;family&quot;:&quot;Lucock&quot;,&quot;given&quot;:&quot;Mike&quot;,&quot;parse-names&quot;:false,&quot;dropping-particle&quot;:&quot;&quot;,&quot;non-dropping-particle&quot;:&quot;&quot;},{&quot;family&quot;:&quot;Mason&quot;,&quot;given&quot;:&quot;Suzanne&quot;,&quot;parse-names&quot;:false,&quot;dropping-particle&quot;:&quot;&quot;,&quot;non-dropping-particle&quot;:&quot;&quot;}],&quot;container-title&quot;:&quot;PLOS ONE&quot;,&quot;container-title-short&quot;:&quot;PLoS One&quot;,&quot;accessed&quot;:{&quot;date-parts&quot;:[[2023,6,7]]},&quot;DOI&quot;:&quot;10.1371/JOURNAL.PONE.0281667&quot;,&quot;ISBN&quot;:&quot;1111111111&quot;,&quot;ISSN&quot;:&quot;1932-6203&quot;,&quot;PMID&quot;:&quot;36780483&quot;,&quot;URL&quot;:&quot;https://journals.plos.org/plosone/article?id=10.1371/journal.pone.0281667&quot;,&quot;issued&quot;:{&quot;date-parts&quot;:[[2023,2,1]]},&quot;page&quot;:&quot;e0281667&quot;,&quot;abstract&quot;:&quot;Background People with serious mental illness experience worse physical health and greater mortality than the general population. Crude rates of A&amp;E attendance and acute hospital admission are higher in people with serious mental illness than other hospital users. We aimed to further these findings by undertaking a standardised comparison of urgent and emergency care pathway use among users of mental health services and the general population.   Methods Retrospective cohort analysis using routine data from 2013–2016 from the CUREd dataset for urgent and emergency care contacts (NHS 111, ambulance, A&amp;E and acute admissions) and linked mental health trust data for Sheffield, England. We compared annual age- and sex-standardised usage rates for each urgent and emergency care service between users of mental health services and those without a recent history of mental health service use.   Results We found marked differences in usage rates for all four urgent and emergency care services between the general population and users of mental health services. Usage rates and the proportion of users were 5–6 times and 3–4 times higher in users of mental health services, respectively, for all urgent and emergency care services. Users of mental health services were often more likely to experience the highest or lowest acuity usage characteristics.   Conclusions Current users of mental health services were heavily over-represented among urgent and emergency care users, and they made more contacts per-person. Higher service use among users of mental health services could be addressed by improved community care, more integrated physical and mental health support, and more proactive primary care. A complex pattern of service use among users of mental health services suggests this will need careful targeting to reduce avoidable contacts and optimise patient outcomes.&quot;,&quot;publisher&quot;:&quot;Public Library of Science&quot;,&quot;issue&quot;:&quot;2&quot;,&quot;volume&quot;:&quot;18&quot;},&quot;isTemporary&quot;:false}],&quot;citationTag&quot;:&quot;MENDELEY_CITATION_v3_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&quot;},{&quot;citationID&quot;:&quot;MENDELEY_CITATION_5bfdef13-a592-4d77-ba6f-cec53b1377ff&quot;,&quot;properties&quot;:{&quot;noteIndex&quot;:0},&quot;isEdited&quot;:false,&quot;manualOverride&quot;:{&quot;isManuallyOverridden&quot;:false,&quot;citeprocText&quot;:&quot;(Naing, 2000)&quot;,&quot;manualOverrideText&quot;:&quot;&quot;},&quot;citationItems&quot;:[{&quot;id&quot;:&quot;86473b62-ff27-3bc0-996d-cf47f7815789&quot;,&quot;itemData&quot;:{&quot;type&quot;:&quot;article-journal&quot;,&quot;id&quot;:&quot;86473b62-ff27-3bc0-996d-cf47f7815789&quot;,&quot;title&quot;:&quot;Easy Way to Learn Standardization : Direct and Indirect Methods&quot;,&quot;author&quot;:[{&quot;family&quot;:&quot;Naing&quot;,&quot;given&quot;:&quot;Nyi Nyi&quot;,&quot;parse-names&quot;:false,&quot;dropping-particle&quot;:&quot;&quot;,&quot;non-dropping-particle&quot;:&quot;&quot;}],&quot;container-title&quot;:&quot;The Malaysian Journal of Medical Sciences : MJMS&quot;,&quot;container-title-short&quot;:&quot;Malays J Med Sci&quot;,&quot;accessed&quot;:{&quot;date-parts&quot;:[[2023,6,4]]},&quot;ISSN&quot;:&quot;1394-195X&quot;,&quot;PMID&quot;:&quot;22844209&quot;,&quot;URL&quot;:&quot;/pmc/articles/PMC3406211/&quot;,&quot;issued&quot;:{&quot;date-parts&quot;:[[2000,1]]},&quot;page&quot;:&quot;10&quot;,&quot;abstract&quot;:&quot;In direct age-adjustment, a common age-structured population is used as standard. This population may actually exist (e.g., United States population, 1999) or may be fictitious (e.g., two populations may be combined to create a standard). In indirect age-adjustment, a common set of age-specific rates is applied to the populations whose rates are to be standardized. The simplest and most useful form of indirect adjustment is the standardized mortality ratio (SMR) (5).&quot;,&quot;publisher&quot;:&quot;School of Medical Sciences, Universiti Sains Malaysia&quot;,&quot;issue&quot;:&quot;1&quot;,&quot;volume&quot;:&quot;7&quot;},&quot;isTemporary&quot;:false}],&quot;citationTag&quot;:&quot;MENDELEY_CITATION_v3_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&quot;},{&quot;citationID&quot;:&quot;MENDELEY_CITATION_7d459f36-d4df-4fb8-a901-6b7a735f4ecb&quot;,&quot;properties&quot;:{&quot;noteIndex&quot;:0},&quot;isEdited&quot;:false,&quot;manualOverride&quot;:{&quot;isManuallyOverridden&quot;:false,&quot;citeprocText&quot;:&quot;(&lt;i&gt;Clinical Commissioning Group Population Estimates (National Statistics) - Office for National Statistics&lt;/i&gt;, n.d.)&quot;,&quot;manualOverrideText&quot;:&quot;&quot;},&quot;citationItems&quot;:[{&quot;id&quot;:&quot;f1f7565a-0397-3390-8e55-ef7c0ff5216a&quot;,&quot;itemData&quot;:{&quot;type&quot;:&quot;webpage&quot;,&quot;id&quot;:&quot;f1f7565a-0397-3390-8e55-ef7c0ff5216a&quot;,&quot;title&quot;:&quot;Clinical commissioning group population estimates (National Statistics) - Office for National Statistics&quot;,&quot;accessed&quot;:{&quot;date-parts&quot;:[[2023,5,31]]},&quot;URL&quot;:&quot;https://www.ons.gov.uk/peoplepopulationandcommunity/populationandmigration/populationestimates/datasets/clinicalcommissioninggroupmidyearpopulationestimates&quot;,&quot;container-title-short&quot;:&quot;&quot;},&quot;isTemporary&quot;:false}],&quot;citationTag&quot;:&quot;MENDELEY_CITATION_v3_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&quot;},{&quot;citationID&quot;:&quot;MENDELEY_CITATION_79a9cd68-59fe-41d8-bd27-38aa046e71bb&quot;,&quot;properties&quot;:{&quot;noteIndex&quot;:0},&quot;isEdited&quot;:false,&quot;manualOverride&quot;:{&quot;isManuallyOverridden&quot;:false,&quot;citeprocText&quot;:&quot;(Tripepi et al., 2010)&quot;,&quot;manualOverrideText&quot;:&quot;&quot;},&quot;citationItems&quot;:[{&quot;id&quot;:&quot;67ebd1a3-376b-3651-bc76-6c46c22b0d1a&quot;,&quot;itemData&quot;:{&quot;type&quot;:&quot;article-journal&quot;,&quot;id&quot;:&quot;67ebd1a3-376b-3651-bc76-6c46c22b0d1a&quot;,&quot;title&quot;:&quot;Stratification for Confounding – Part 2: Direct and Indirect Standardization&quot;,&quot;author&quot;:[{&quot;family&quot;:&quot;Tripepi&quot;,&quot;given&quot;:&quot;Giovanni&quot;,&quot;parse-names&quot;:false,&quot;dropping-particle&quot;:&quot;&quot;,&quot;non-dropping-particle&quot;:&quot;&quot;},{&quot;family&quot;:&quot;Jager&quot;,&quot;given&quot;:&quot;Kitty J.&quot;,&quot;parse-names&quot;:false,&quot;dropping-particle&quot;:&quot;&quot;,&quot;non-dropping-particle&quot;:&quot;&quot;},{&quot;family&quot;:&quot;Dekker&quot;,&quot;given&quot;:&quot;Friedo W.&quot;,&quot;parse-names&quot;:false,&quot;dropping-particle&quot;:&quot;&quot;,&quot;non-dropping-particle&quot;:&quot;&quot;},{&quot;family&quot;:&quot;Zoccali&quot;,&quot;given&quot;:&quot;Carmine&quot;,&quot;parse-names&quot;:false,&quot;dropping-particle&quot;:&quot;&quot;,&quot;non-dropping-particle&quot;:&quot;&quot;}],&quot;container-title&quot;:&quot;Nephron Clinical Practice&quot;,&quot;container-title-short&quot;:&quot;Nephron Clin Pract&quot;,&quot;accessed&quot;:{&quot;date-parts&quot;:[[2023,6,4]]},&quot;DOI&quot;:&quot;10.1159/000319591&quot;,&quot;ISSN&quot;:&quot;16602110&quot;,&quot;PMID&quot;:&quot;20664287&quot;,&quot;URL&quot;:&quot;https://karger.com/nec/article/116/4/c322/830515/Stratification-for-Confounding-Part-2-Direct-and&quot;,&quot;issued&quot;:{&quot;date-parts&quot;:[[2010,11,1]]},&quot;page&quot;:&quot;c322-c325&quot;,&quot;abstract&quot;:&quot;Standardization is a method used to compare observed and expected rates of a given disease/outcome by removing the influence of factors that may confound the comparison. There are two major standardization methods: one is used when the 'standard' is the structure of a population (direct method) and the other when the 'standard' is a set of specific event rates (indirect method). The direct standardization is commonly used for large populations while the indirect one is applied to populations of relatively small dimensions. Copyright © 2010 S. Karger AG, Basel.&quot;,&quot;publisher&quot;:&quot;S. Karger AG&quot;,&quot;issue&quot;:&quot;4&quot;,&quot;volume&quot;:&quot;116&quot;},&quot;isTemporary&quot;:false}],&quot;citationTag&quot;:&quot;MENDELEY_CITATION_v3_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&quot;},{&quot;citationID&quot;:&quot;MENDELEY_CITATION_36dcfa0a-db4f-4f68-a962-9b00a5dd9da0&quot;,&quot;properties&quot;:{&quot;noteIndex&quot;:0},&quot;isEdited&quot;:false,&quot;manualOverride&quot;:{&quot;isManuallyOverridden&quot;:false,&quot;citeprocText&quot;:&quot;(Ogden et al., n.d.)&quot;,&quot;manualOverrideText&quot;:&quot;&quot;},&quot;citationItems&quot;:[{&quot;id&quot;:&quot;7bc4ecd4-ea54-3bfd-8c3e-9ad5391c22bb&quot;,&quot;itemData&quot;:{&quot;type&quot;:&quot;article-journal&quot;,&quot;id&quot;:&quot;7bc4ecd4-ea54-3bfd-8c3e-9ad5391c22bb&quot;,&quot;title&quot;:&quot;Sensorimotor psychotherapy : interventions for trauma and attachment&quot;,&quot;author&quot;:[{&quot;family&quot;:&quot;Ogden&quot;,&quot;given&quot;:&quot;Pat&quot;,&quot;parse-names&quot;:false,&quot;dropping-particle&quot;:&quot;&quot;,&quot;non-dropping-particle&quot;:&quot;&quot;},{&quot;family&quot;:&quot;Fisher&quot;,&quot;given&quot;:&quot;Janina&quot;,&quot;parse-names&quot;:false,&quot;dropping-particle&quot;:&quot;&quot;,&quot;non-dropping-particle&quot;:&quot;&quot;},{&quot;family&quot;:&quot;Hierro&quot;,&quot;given&quot;:&quot;Deborah&quot;,&quot;parse-names&quot;:false,&quot;dropping-particle&quot;:&quot;&quot;,&quot;non-dropping-particle&quot;:&quot;Del&quot;},{&quot;family&quot;:&quot;Hierro&quot;,&quot;given&quot;:&quot;Anthony&quot;,&quot;parse-names&quot;:false,&quot;dropping-particle&quot;:&quot;&quot;,&quot;non-dropping-particle&quot;:&quot;Del&quot;}],&quot;accessed&quot;:{&quot;date-parts&quot;:[[2023,6,10]]},&quot;ISBN&quot;:&quot;0393706133&quot;,&quot;page&quot;:&quot;824&quot;,&quot;abstract&quot;:&quot;First edition. This practical manual will help therapists integrate sensorimotor psychotherapy a technique that promotes safe and gradual reconnection with the body into their work with individuals, groups, families, and couples suffering from complex trauma. Getting Started -- Basic Concepts and Skills -- Phase 1: Developing Resources -- Phase 2: Addressing Memory -- Phase 3: Moving Forward.&quot;,&quot;container-title-short&quot;:&quot;&quot;},&quot;isTemporary&quot;:false}],&quot;citationTag&quot;:&quot;MENDELEY_CITATION_v3_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&quot;},{&quot;citationID&quot;:&quot;MENDELEY_CITATION_72f24a8e-1eff-4aef-b4e7-771bcfaad287&quot;,&quot;properties&quot;:{&quot;noteIndex&quot;:0},&quot;isEdited&quot;:false,&quot;manualOverride&quot;:{&quot;isManuallyOverridden&quot;:false,&quot;citeprocText&quot;:&quot;(&lt;i&gt;Lifespan Integration, Connecting Ego States through Time - Lifespan Integration&lt;/i&gt;, n.d.)&quot;,&quot;manualOverrideText&quot;:&quot;&quot;},&quot;citationItems&quot;:[{&quot;id&quot;:&quot;11af6f23-354c-3fa0-915d-202cb72da57f&quot;,&quot;itemData&quot;:{&quot;type&quot;:&quot;webpage&quot;,&quot;id&quot;:&quot;11af6f23-354c-3fa0-915d-202cb72da57f&quot;,&quot;title&quot;:&quot;Lifespan Integration, Connecting Ego States through Time - Lifespan Integration&quot;,&quot;accessed&quot;:{&quot;date-parts&quot;:[[2023,6,10]]},&quot;URL&quot;:&quot;https://lifespanintegration.com/product/lifespan-integration-connecting-ego-states-through-time/&quot;,&quot;container-title-short&quot;:&quot;&quot;},&quot;isTemporary&quot;:false}],&quot;citationTag&quot;:&quot;MENDELEY_CITATION_v3_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&quot;},{&quot;citationID&quot;:&quot;MENDELEY_CITATION_17223dbc-9faa-4c4d-b5ce-2ee804633794&quot;,&quot;properties&quot;:{&quot;noteIndex&quot;:0},&quot;isEdited&quot;:false,&quot;manualOverride&quot;:{&quot;isManuallyOverridden&quot;:false,&quot;citeprocText&quot;:&quot;(Rothschild, 2000)&quot;,&quot;manualOverrideText&quot;:&quot;&quot;},&quot;citationItems&quot;:[{&quot;id&quot;:&quot;bda8c5bc-20e7-3da7-abc9-f922a69983a5&quot;,&quot;itemData&quot;:{&quot;type&quot;:&quot;article-journal&quot;,&quot;id&quot;:&quot;bda8c5bc-20e7-3da7-abc9-f922a69983a5&quot;,&quot;title&quot;:&quot;The body remembers&quot;,&quot;author&quot;:[{&quot;family&quot;:&quot;Rothschild&quot;,&quot;given&quot;:&quot;Babette.&quot;,&quot;parse-names&quot;:false,&quot;dropping-particle&quot;:&quot;&quot;,&quot;non-dropping-particle&quot;:&quot;&quot;}],&quot;accessed&quot;:{&quot;date-parts&quot;:[[2023,6,10]]},&quot;ISBN&quot;:&quot;978-0-393-70327-6&quot;,&quot;issued&quot;:{&quot;date-parts&quot;:[[2000]]},&quot;abstract&quot;:&quot;\&quot;A Norton professional book\&quot;--Volume 1 Overview of posttraumatic stress disorder (PTSD) : the impact of trauma on body and mind -- Development, memory, and the brain -- The body remembers : understanding somatic memory -- Expressions of trauma not yet remembered : dissociation and flashbacks -- First, do no harm -- The body as resource -- Additional somatic techniques for safer trauma therapy -- Somatic memory becomes personal history.&quot;,&quot;publisher&quot;:&quot;Norton&quot;,&quot;container-title-short&quot;:&quot;&quot;},&quot;isTemporary&quot;:false}],&quot;citationTag&quot;:&quot;MENDELEY_CITATION_v3_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&quot;},{&quot;citationID&quot;:&quot;MENDELEY_CITATION_3bff6417-2417-4a4d-aba8-3ec5b13c7960&quot;,&quot;properties&quot;:{&quot;noteIndex&quot;:0},&quot;isEdited&quot;:false,&quot;manualOverride&quot;:{&quot;isManuallyOverridden&quot;:false,&quot;citeprocText&quot;:&quot;(Greenfield et al., 2020)&quot;,&quot;manualOverrideText&quot;:&quot;&quot;},&quot;citationItems&quot;:[{&quot;id&quot;:&quot;9946fef1-6a4e-3856-9e73-fd15e9df504f&quot;,&quot;itemData&quot;:{&quot;type&quot;:&quot;article-journal&quot;,&quot;id&quot;:&quot;9946fef1-6a4e-3856-9e73-fd15e9df504f&quot;,&quot;title&quot;:&quot;Frequent attendances at emergency departments in England&quot;,&quot;author&quot;:[{&quot;family&quot;:&quot;Greenfield&quot;,&quot;given&quot;:&quot;Geva&quot;,&quot;parse-names&quot;:false,&quot;dropping-particle&quot;:&quot;&quot;,&quot;non-dropping-particle&quot;:&quot;&quot;},{&quot;family&quot;:&quot;Blair&quot;,&quot;given&quot;:&quot;Mitch&quot;,&quot;parse-names&quot;:false,&quot;dropping-particle&quot;:&quot;&quot;,&quot;non-dropping-particle&quot;:&quot;&quot;},{&quot;family&quot;:&quot;Aylin&quot;,&quot;given&quot;:&quot;Paul P&quot;,&quot;parse-names&quot;:false,&quot;dropping-particle&quot;:&quot;&quot;,&quot;non-dropping-particle&quot;:&quot;&quot;},{&quot;family&quot;:&quot;Saxena&quot;,&quot;given&quot;:&quot;Sonia&quot;,&quot;parse-names&quot;:false,&quot;dropping-particle&quot;:&quot;&quot;,&quot;non-dropping-particle&quot;:&quot;&quot;},{&quot;family&quot;:&quot;Majeed&quot;,&quot;given&quot;:&quot;Azeem&quot;,&quot;parse-names&quot;:false,&quot;dropping-particle&quot;:&quot;&quot;,&quot;non-dropping-particle&quot;:&quot;&quot;},{&quot;family&quot;:&quot;Hoffman&quot;,&quot;given&quot;:&quot;Maurice&quot;,&quot;parse-names&quot;:false,&quot;dropping-particle&quot;:&quot;&quot;,&quot;non-dropping-particle&quot;:&quot;&quot;},{&quot;family&quot;:&quot;Bottle&quot;,&quot;given&quot;:&quot;Alex&quot;,&quot;parse-names&quot;:false,&quot;dropping-particle&quot;:&quot;&quot;,&quot;non-dropping-particle&quot;:&quot;&quot;}],&quot;container-title&quot;:&quot;Emerg Med J&quot;,&quot;accessed&quot;:{&quot;date-parts&quot;:[[2023,6,7]]},&quot;DOI&quot;:&quot;10.1136/emermed-2018-208189&quot;,&quot;URL&quot;:&quot;https://www.&quot;,&quot;issued&quot;:{&quot;date-parts&quot;:[[2020]]},&quot;page&quot;:&quot;597-599&quot;,&quot;volume&quot;:&quot;37&quot;,&quot;container-title-short&quot;:&quot;&quot;},&quot;isTemporary&quot;:false}],&quot;citationTag&quot;:&quot;MENDELEY_CITATION_v3_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&quot;},{&quot;citationID&quot;:&quot;MENDELEY_CITATION_32846643-346b-458d-8333-9ffc1bdf54e3&quot;,&quot;properties&quot;:{&quot;noteIndex&quot;:0},&quot;isEdited&quot;:false,&quot;manualOverride&quot;:{&quot;isManuallyOverridden&quot;:false,&quot;citeprocText&quot;:&quot;(Jennum et al., 2019; Nightscales et al., 2020; Zhang et al., 2022)&quot;,&quot;manualOverrideText&quot;:&quot;&quot;},&quot;citationItems&quot;:[{&quot;id&quot;:&quot;1f0fd38f-4449-378e-8982-181b64d971fd&quot;,&quot;itemData&quot;:{&quot;type&quot;:&quot;article-journal&quot;,&quot;id&quot;:&quot;1f0fd38f-4449-378e-8982-181b64d971fd&quot;,&quot;title&quot;:&quot;Mortality in patients with psychogenic non-epileptic seizures a population-based cohort study&quot;,&quot;author&quot;:[{&quot;family&quot;:&quot;Zhang&quot;,&quot;given&quot;:&quot;Le&quot;,&quot;parse-names&quot;:false,&quot;dropping-particle&quot;:&quot;&quot;,&quot;non-dropping-particle&quot;:&quot;&quot;},{&quot;family&quot;:&quot;Beghi&quot;,&quot;given&quot;:&quot;Ettore&quot;,&quot;parse-names&quot;:false,&quot;dropping-particle&quot;:&quot;&quot;,&quot;non-dropping-particle&quot;:&quot;&quot;},{&quot;family&quot;:&quot;Tomson&quot;,&quot;given&quot;:&quot;Torbjörn&quot;,&quot;parse-names&quot;:false,&quot;dropping-particle&quot;:&quot;&quot;,&quot;non-dropping-particle&quot;:&quot;&quot;},{&quot;family&quot;:&quot;Beghi&quot;,&quot;given&quot;:&quot;Massimiliano&quot;,&quot;parse-names&quot;:false,&quot;dropping-particle&quot;:&quot;&quot;,&quot;non-dropping-particle&quot;:&quot;&quot;},{&quot;family&quot;:&quot;Erba&quot;,&quot;given&quot;:&quot;Giuseppe&quot;,&quot;parse-names&quot;:false,&quot;dropping-particle&quot;:&quot;&quot;,&quot;non-dropping-particle&quot;:&quot;&quot;},{&quot;family&quot;:&quot;Chang&quot;,&quot;given&quot;:&quot;Zheng&quot;,&quot;parse-names&quot;:false,&quot;dropping-particle&quot;:&quot;&quot;,&quot;non-dropping-particle&quot;:&quot;&quot;}],&quot;container-title&quot;:&quot;Journal of neurology, neurosurgery, and psychiatry&quot;,&quot;container-title-short&quot;:&quot;J Neurol Neurosurg Psychiatry&quot;,&quot;accessed&quot;:{&quot;date-parts&quot;:[[2023,6,9]]},&quot;DOI&quot;:&quot;10.1136/JNNP-2021-328035&quot;,&quot;ISSN&quot;:&quot;1468-330X&quot;,&quot;PMID&quot;:&quot;35086937&quot;,&quot;URL&quot;:&quot;https://pubmed.ncbi.nlm.nih.gov/35086937/&quot;,&quot;issued&quot;:{&quot;date-parts&quot;:[[2022]]},&quot;abstract&quot;:&quot;Objectives: To compare mortality, comorbidities and causes of death in people with psychogenic non-epileptic seizures (PNES), epilepsy and the general population. Methods: Using linkage of multiple Swedish national registers, we identified individuals with incident diagnosis of PNES, epilepsy and conversion disorder with motor symptoms or deficits, and 10 controls for each. Main outcome was all-cause mortality. Causes of death were categorised into non-natural (eg, suicide, injuries) and natural. Conditional Cox regression models were used to estimate HRs and 95% CIs for mortality. HRs were adjusted for socioeconomic factors and psychiatric comorbidities. Results: Included were 885 individuals with PNES, 50 663 with epilepsy and 1057 with conversion disorder and motor symptoms or deficits. We found 32 (3.6%) deaths among individuals with PNES, compared with 46 (0.5%) deaths in controls, giving an adjusted HR of 5.5 (95% CI 2.8 to 10.8). Patients with epilepsy had a 6.7 times higher risk of death (95% CI 6.4 to 7.0) compared with individuals without epilepsy. The association between conversion disorder with motor symptoms or deficits was non-significant after adjusting for psychiatric comorbidities. PNES carried a higher risk of natural (HR 8.1, 95% CI 4.0 to 16.4) and non-natural causes of death (HR 15.3, 95% CI 3.0 to 78.6). Suicide ranked high in patients with PNES (18.8%) and conversion disorder with motor symptoms and deficits. The association between PNES diagnosis and all-cause mortality varied with age and time since diagnosis. Conclusion: Like epilepsy, PNES carries a higher than expected risk of both natural and non-natural causes of death. The high proportion of suicides requires further investigation.&quot;,&quot;publisher&quot;:&quot;J Neurol Neurosurg Psychiatry&quot;,&quot;issue&quot;:&quot;4&quot;,&quot;volume&quot;:&quot;93&quot;},&quot;isTemporary&quot;:false},{&quot;id&quot;:&quot;5e6ef9ae-b4e7-3b9d-b26b-81d5f9af6b1a&quot;,&quot;itemData&quot;:{&quot;type&quot;:&quot;article-journal&quot;,&quot;id&quot;:&quot;5e6ef9ae-b4e7-3b9d-b26b-81d5f9af6b1a&quot;,&quot;title&quot;:&quot;Mortality in patients with psychogenic nonepileptic seizures&quot;,&quot;author&quot;:[{&quot;family&quot;:&quot;Nightscales&quot;,&quot;given&quot;:&quot;Russell&quot;,&quot;parse-names&quot;:false,&quot;dropping-particle&quot;:&quot;&quot;,&quot;non-dropping-particle&quot;:&quot;&quot;},{&quot;family&quot;:&quot;McCartney&quot;,&quot;given&quot;:&quot;Lara&quot;,&quot;parse-names&quot;:false,&quot;dropping-particle&quot;:&quot;&quot;,&quot;non-dropping-particle&quot;:&quot;&quot;},{&quot;family&quot;:&quot;Auvrez&quot;,&quot;given&quot;:&quot;Clarissa&quot;,&quot;parse-names&quot;:false,&quot;dropping-particle&quot;:&quot;&quot;,&quot;non-dropping-particle&quot;:&quot;&quot;},{&quot;family&quot;:&quot;Tao&quot;,&quot;given&quot;:&quot;Gerard&quot;,&quot;parse-names&quot;:false,&quot;dropping-particle&quot;:&quot;&quot;,&quot;non-dropping-particle&quot;:&quot;&quot;},{&quot;family&quot;:&quot;Barnard&quot;,&quot;given&quot;:&quot;Sarah&quot;,&quot;parse-names&quot;:false,&quot;dropping-particle&quot;:&quot;&quot;,&quot;non-dropping-particle&quot;:&quot;&quot;},{&quot;family&quot;:&quot;Malpas&quot;,&quot;given&quot;:&quot;Charles B.&quot;,&quot;parse-names&quot;:false,&quot;dropping-particle&quot;:&quot;&quot;,&quot;non-dropping-particle&quot;:&quot;&quot;},{&quot;family&quot;:&quot;Perucca&quot;,&quot;given&quot;:&quot;Piero&quot;,&quot;parse-names&quot;:false,&quot;dropping-particle&quot;:&quot;&quot;,&quot;non-dropping-particle&quot;:&quot;&quot;},{&quot;family&quot;:&quot;McIntosh&quot;,&quot;given&quot;:&quot;Anne&quot;,&quot;parse-names&quot;:false,&quot;dropping-particle&quot;:&quot;&quot;,&quot;non-dropping-particle&quot;:&quot;&quot;},{&quot;family&quot;:&quot;Chen&quot;,&quot;given&quot;:&quot;Zhibin&quot;,&quot;parse-names&quot;:false,&quot;dropping-particle&quot;:&quot;&quot;,&quot;non-dropping-particle&quot;:&quot;&quot;},{&quot;family&quot;:&quot;Sivathamboo&quot;,&quot;given&quot;:&quot;Shobi&quot;,&quot;parse-names&quot;:false,&quot;dropping-particle&quot;:&quot;&quot;,&quot;non-dropping-particle&quot;:&quot;&quot;},{&quot;family&quot;:&quot;Ignatiadis&quot;,&quot;given&quot;:&quot;Sophia&quot;,&quot;parse-names&quot;:false,&quot;dropping-particle&quot;:&quot;&quot;,&quot;non-dropping-particle&quot;:&quot;&quot;},{&quot;family&quot;:&quot;Jones&quot;,&quot;given&quot;:&quot;Simon&quot;,&quot;parse-names&quot;:false,&quot;dropping-particle&quot;:&quot;&quot;,&quot;non-dropping-particle&quot;:&quot;&quot;},{&quot;family&quot;:&quot;Adams&quot;,&quot;given&quot;:&quot;Sophia&quot;,&quot;parse-names&quot;:false,&quot;dropping-particle&quot;:&quot;&quot;,&quot;non-dropping-particle&quot;:&quot;&quot;},{&quot;family&quot;:&quot;Cook&quot;,&quot;given&quot;:&quot;Mark J.&quot;,&quot;parse-names&quot;:false,&quot;dropping-particle&quot;:&quot;&quot;,&quot;non-dropping-particle&quot;:&quot;&quot;},{&quot;family&quot;:&quot;Kwan&quot;,&quot;given&quot;:&quot;Patrick&quot;,&quot;parse-names&quot;:false,&quot;dropping-particle&quot;:&quot;&quot;,&quot;non-dropping-particle&quot;:&quot;&quot;},{&quot;family&quot;:&quot;Velakoulis&quot;,&quot;given&quot;:&quot;Dennis&quot;,&quot;parse-names&quot;:false,&quot;dropping-particle&quot;:&quot;&quot;,&quot;non-dropping-particle&quot;:&quot;&quot;},{&quot;family&quot;:&quot;D'Souza&quot;,&quot;given&quot;:&quot;Wendyl&quot;,&quot;parse-names&quot;:false,&quot;dropping-particle&quot;:&quot;&quot;,&quot;non-dropping-particle&quot;:&quot;&quot;},{&quot;family&quot;:&quot;Berkovic&quot;,&quot;given&quot;:&quot;Samuel F.&quot;,&quot;parse-names&quot;:false,&quot;dropping-particle&quot;:&quot;&quot;,&quot;non-dropping-particle&quot;:&quot;&quot;},{&quot;family&quot;:&quot;O'Brien&quot;,&quot;given&quot;:&quot;Terence J.&quot;,&quot;parse-names&quot;:false,&quot;dropping-particle&quot;:&quot;&quot;,&quot;non-dropping-particle&quot;:&quot;&quot;}],&quot;container-title&quot;:&quot;Neurology&quot;,&quot;container-title-short&quot;:&quot;Neurology&quot;,&quot;accessed&quot;:{&quot;date-parts&quot;:[[2023,6,9]]},&quot;DOI&quot;:&quot;10.1212/WNL.0000000000009855&quot;,&quot;ISSN&quot;:&quot;1526-632X&quot;,&quot;PMID&quot;:&quot;32690794&quot;,&quot;URL&quot;:&quot;https://pubmed.ncbi.nlm.nih.gov/32690794/&quot;,&quot;issued&quot;:{&quot;date-parts&quot;:[[2020,8,11]]},&quot;page&quot;:&quot;E643-E652&quot;,&quot;abstract&quot;:&quot;Objective To investigate the hypothesis that patients diagnosed with psychogenic nonepileptic seizures (PNES) on video-EEG monitoring (VEM) have increased mortality by comparison to the general population.MethodsThis retrospective cohort study included patients evaluated in VEM units of 3 tertiary hospitals in Melbourne, Australia, between January 1, 1995, and December 31, 2015. Diagnosis was based on consensus opinion of experienced epileptologists and neuropsychiatrists at each hospital. Mortality was determined in patients diagnosed with PNES, epilepsy, or both conditions by linkage to the Australian National Death Index. Lifetime history of psychiatric disorders in PNES was determined from formal neuropsychiatric reports.ResultsA total of 5,508 patients underwent VEM. A total of 674 (12.2%) were diagnosed with PNES, 3064 (55.6%) with epilepsy, 175 (3.2%) with both conditions, and 1,595 (29.0%) received other diagnoses or had no diagnosis made. The standardized mortality ratio (SMR) of patients diagnosed with PNES was 2.5 (95% confidence interval [CI] 2.0-3.3). Those younger than 30 had an 8-fold higher risk of death (95% CI 3.4-19.8). Direct comparison revealed no significant difference in mortality rate between diagnostic groups. Among deaths in patients diagnosed with PNES (n = 55), external causes contributed 18%, with 20% of deaths in those younger than 50 years attributed to suicide, and \&quot;epilepsy\&quot;was recorded as the cause of death in 24%.ConclusionsPatients diagnosed with PNES have a SMR 2.5 times above the general population, dying at a rate comparable to those with drug-resistant epilepsy. This emphasizes the importance of prompt diagnosis, identification of risk factors, and implementation of appropriate strategies to prevent potential avoidable deaths.&quot;,&quot;publisher&quot;:&quot;Neurology&quot;,&quot;issue&quot;:&quot;6&quot;,&quot;volume&quot;:&quot;95&quot;},&quot;isTemporary&quot;:false},{&quot;id&quot;:&quot;177b176e-6cb3-3045-951d-1714cc5d6db2&quot;,&quot;itemData&quot;:{&quot;type&quot;:&quot;article-journal&quot;,&quot;id&quot;:&quot;177b176e-6cb3-3045-951d-1714cc5d6db2&quot;,&quot;title&quot;:&quot;Morbidity and mortality of nonepileptic seizures (NES): A controlled national study&quot;,&quot;author&quot;:[{&quot;family&quot;:&quot;Jennum&quot;,&quot;given&quot;:&quot;Poul&quot;,&quot;parse-names&quot;:false,&quot;dropping-particle&quot;:&quot;&quot;,&quot;non-dropping-particle&quot;:&quot;&quot;},{&quot;family&quot;:&quot;Ibsen&quot;,&quot;given&quot;:&quot;Rikke&quot;,&quot;parse-names&quot;:false,&quot;dropping-particle&quot;:&quot;&quot;,&quot;non-dropping-particle&quot;:&quot;&quot;},{&quot;family&quot;:&quot;Kjellberg&quot;,&quot;given&quot;:&quot;Jakob&quot;,&quot;parse-names&quot;:false,&quot;dropping-particle&quot;:&quot;&quot;,&quot;non-dropping-particle&quot;:&quot;&quot;}],&quot;container-title&quot;:&quot;Epilepsy &amp; behavior : E&amp;B&quot;,&quot;container-title-short&quot;:&quot;Epilepsy Behav&quot;,&quot;accessed&quot;:{&quot;date-parts&quot;:[[2023,6,9]]},&quot;DOI&quot;:&quot;10.1016/J.YEBEH.2019.03.016&quot;,&quot;ISSN&quot;:&quot;1525-5069&quot;,&quot;PMID&quot;:&quot;31181511&quot;,&quot;URL&quot;:&quot;https://pubmed.ncbi.nlm.nih.gov/31181511/&quot;,&quot;issued&quot;:{&quot;date-parts&quot;:[[2019,7,1]]},&quot;page&quot;:&quot;229-233&quot;,&quot;abstract&quot;:&quot;Nonepileptic seizures (NES, psychogenic NES-PNES) are associated with significant morbidities. We evaluated the morbidities and mortality in a national group of children, adolescent, and adult patients before and after a first diagnosis of PNES. Methods: From the Danish National Patient Registry (1998–2013), we identified 1057 people of all ages with a diagnosis of NES and matched them with 2113 control individuals by age, gender, and geography. Comorbidities were calculated three years before and after diagnoses. Results: Patients with PNES showed increased comorbidities 3 years before and after diagnosis in almost all the diagnostic domains. The strongest associations were identified with other neurological diseases (after diagnosis, Hazard Ratio (HR): 38.63; 95% Confidence Interval (CI): 21.58–69.13; P &lt; 0.001), abnormal clinical and laboratory findings (HR: 46.59; 95 CI: 27.30–79.52; P &lt; 0.001), other health-related factors (HR: 12.83; 95%CI: 8.45–19.46; P &lt; 0.001), and psychiatric comorbidities (HR: 15.45; 95% CI: 9.81–24.33). Epilepsy was identified in 8% of the patients with PNES. We found especially frequent comorbidity involving overweight, depression, anxiety, dissociative somatoform condition, other convulsions, lipothymias, reports of pain and other symptoms in several organ systems, and several reports of minimal traumas to the head, trunk, and extremities. Mortality was higher in patients with NES than in controls (HR: 3.21; 95% CI: 1.92–5.34; P &lt; 0.001). Conclusion: Morbidity is more frequent in several domains, including neurological, psychiatric, and other diseases, before and after a diagnosis of NES. Mortality is significantly higher in patients with PNES as compared to controls.&quot;,&quot;publisher&quot;:&quot;Epilepsy Behav&quot;,&quot;volume&quot;:&quot;96&quot;},&quot;isTemporary&quot;:false}],&quot;citationTag&quot;:&quot;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&quot;},{&quot;citationID&quot;:&quot;MENDELEY_CITATION_0b34e329-b46c-41de-bd71-ab4fe6728cb6&quot;,&quot;properties&quot;:{&quot;noteIndex&quot;:0},&quot;isEdited&quot;:false,&quot;manualOverride&quot;:{&quot;isManuallyOverridden&quot;:true,&quot;citeprocText&quot;:&quot;(Ferrari et al., 2008; Norton et al., 2012; Reid et al., 2002)&quot;,&quot;manualOverrideText&quot;:&quot;(Ferrari et al., 2008; Norton et al., 2012; Reid et al., 2002b)&quot;},&quot;citationItems&quot;:[{&quot;id&quot;:&quot;33c8f034-463e-35db-ad05-785846d300f9&quot;,&quot;itemData&quot;:{&quot;type&quot;:&quot;article-journal&quot;,&quot;id&quot;:&quot;33c8f034-463e-35db-ad05-785846d300f9&quot;,&quot;title&quot;:&quot;Frequent attenders with medically unexplained symptoms: service use and costs in secondary care&quot;,&quot;author&quot;:[{&quot;family&quot;:&quot;Reid&quot;,&quot;given&quot;:&quot;Steven&quot;,&quot;parse-names&quot;:false,&quot;dropping-particle&quot;:&quot;&quot;,&quot;non-dropping-particle&quot;:&quot;&quot;},{&quot;family&quot;:&quot;Wessely&quot;,&quot;given&quot;:&quot;Simon&quot;,&quot;parse-names&quot;:false,&quot;dropping-particle&quot;:&quot;&quot;,&quot;non-dropping-particle&quot;:&quot;&quot;},{&quot;family&quot;:&quot;Crayford&quot;,&quot;given&quot;:&quot;Tim&quot;,&quot;parse-names&quot;:false,&quot;dropping-particle&quot;:&quot;&quot;,&quot;non-dropping-particle&quot;:&quot;&quot;},{&quot;family&quot;:&quot;Hotopf&quot;,&quot;given&quot;:&quot;Matthew&quot;,&quot;parse-names&quot;:false,&quot;dropping-particle&quot;:&quot;&quot;,&quot;non-dropping-particle&quot;:&quot;&quot;}],&quot;container-title&quot;:&quot;The British Journal of Psychiatry&quot;,&quot;accessed&quot;:{&quot;date-parts&quot;:[[2023,6,7]]},&quot;DOI&quot;:&quot;10.1192/BJP.180.3.248&quot;,&quot;ISSN&quot;:&quot;0007-1250&quot;,&quot;PMID&quot;:&quot;11872517&quot;,&quot;URL&quot;:&quot;https://www.cambridge.org/core/journals/the-british-journal-of-psychiatry/article/frequent-attenders-with-medically-unexplained-symptoms-service-use-and-costs-in-secondary-care/4DAD09FCBD16CDFFD23CA945ED4C8CBB&quot;,&quot;issued&quot;:{&quot;date-parts&quot;:[[2002]]},&quot;page&quot;:&quot;248-253&quot;,&quot;abstract&quot;:&quot;BackgroundFrequent attenders in medical settings account for a disproportionate amount of health-care resources. Little is known about service use and costs of secondary care in those frequent attenders presenting with medically unexplained symptoms.AimsTo compare health-care use and costs of patients with medically unexplained symptoms with other frequent attenders in secondary care.MethodIn a sample of 400 frequent attenders of secondary care services, those presenting with medically unexplained symptoms were identified by a review of medical records. Their use of health-care resources was compared with that of other frequent attenders.ResultsOf the frequent attenders 17% had at least two medically unexplained consultation episodes. These patients had a greater number of referrals to secondary care and were more likely to undergo particular investigations.ConclusionsFrequent attenders with medically unexplained symptoms account for levels of service use and expenditure that are comparable with other frequent attenders, but the use and cost of medical investigations in this group are significantly greater.&quot;,&quot;publisher&quot;:&quot;Cambridge University Press&quot;,&quot;issue&quot;:&quot;3&quot;,&quot;volume&quot;:&quot;180&quot;,&quot;container-title-short&quot;:&quot;&quot;},&quot;isTemporary&quot;:false},{&quot;id&quot;:&quot;74acc71c-e570-3d6c-964b-9230f20df930&quot;,&quot;itemData&quot;:{&quot;type&quot;:&quot;article-journal&quot;,&quot;id&quot;:&quot;74acc71c-e570-3d6c-964b-9230f20df930&quot;,&quot;title&quot;:&quot;Frequent attendance in family practice and common mental disorders in an open access health care system&quot;,&quot;author&quot;:[{&quot;family&quot;:&quot;Norton&quot;,&quot;given&quot;:&quot;Joanna&quot;,&quot;parse-names&quot;:false,&quot;dropping-particle&quot;:&quot;&quot;,&quot;non-dropping-particle&quot;:&quot;&quot;},{&quot;family&quot;:&quot;David&quot;,&quot;given&quot;:&quot;Michel&quot;,&quot;parse-names&quot;:false,&quot;dropping-particle&quot;:&quot;&quot;,&quot;non-dropping-particle&quot;:&quot;&quot;},{&quot;family&quot;:&quot;Roquefeuil&quot;,&quot;given&quot;:&quot;Guilhem&quot;,&quot;parse-names&quot;:false,&quot;dropping-particle&quot;:&quot;&quot;,&quot;non-dropping-particle&quot;:&quot;De&quot;},{&quot;family&quot;:&quot;Boulenger&quot;,&quot;given&quot;:&quot;Jean Philippe&quot;,&quot;parse-names&quot;:false,&quot;dropping-particle&quot;:&quot;&quot;,&quot;non-dropping-particle&quot;:&quot;&quot;},{&quot;family&quot;:&quot;Car&quot;,&quot;given&quot;:&quot;Josip&quot;,&quot;parse-names&quot;:false,&quot;dropping-particle&quot;:&quot;&quot;,&quot;non-dropping-particle&quot;:&quot;&quot;},{&quot;family&quot;:&quot;Ritchie&quot;,&quot;given&quot;:&quot;Karen&quot;,&quot;parse-names&quot;:false,&quot;dropping-particle&quot;:&quot;&quot;,&quot;non-dropping-particle&quot;:&quot;&quot;},{&quot;family&quot;:&quot;Mann&quot;,&quot;given&quot;:&quot;Anthony&quot;,&quot;parse-names&quot;:false,&quot;dropping-particle&quot;:&quot;&quot;,&quot;non-dropping-particle&quot;:&quot;&quot;}],&quot;container-title&quot;:&quot;Journal of psychosomatic research&quot;,&quot;container-title-short&quot;:&quot;J Psychosom Res&quot;,&quot;accessed&quot;:{&quot;date-parts&quot;:[[2023,6,7]]},&quot;DOI&quot;:&quot;10.1016/J.JPSYCHORES.2012.02.010&quot;,&quot;ISSN&quot;:&quot;1879-1360&quot;,&quot;PMID&quot;:&quot;22656435&quot;,&quot;URL&quot;:&quot;https://pubmed.ncbi.nlm.nih.gov/22656435/&quot;,&quot;issued&quot;:{&quot;date-parts&quot;:[[2012,6]]},&quot;page&quot;:&quot;413-418&quot;,&quot;abstract&quot;:&quot;Frequent attenders in family practice are known to have higher rates of mental disorder. However little is known about specific psychiatric disorders and whether this behavior extends to specialist services, in an open access fee-for-service health care system. Methods: 1060 patients from 46 family practices completed the Patient Health Questionnaire and the Client Service Receipt Inventory. During the consultation, family practitioners blind to the questionnaire responses rated the severity of mental health and physical disorders. The 10% of patients with the highest number of 6-month consultations in six age and sex stratified groups were defined as frequent attenders. Results: After adjustments for sociodemographic variables, physical health and other psychiatric diagnoses, patients with a somatoform disorder were more likely to be frequent attenders, with an odds ratio of 2.3 (95% CI: 1.3-3.8, p. =. .002). Conclusion: When adjusting for confounders, among the four psychiatric diagnoses investigated only somatoform disorders remain significantly associated with frequent attendance. Physical health and chronic disease were no longer associated with frequent attendance which does not support the hypothesis that in an open access fee-for-service system, patients will consult for a wider range of health problems. Greater investigation into unexplained somatic symptoms could help reduce the frequency of attendance in both primary and secondary care, as this behaviour appears to be a general health-seeking drive than extends beyond family practice. © 2012 Elsevier Inc..&quot;,&quot;publisher&quot;:&quot;J Psychosom Res&quot;,&quot;issue&quot;:&quot;6&quot;,&quot;volume&quot;:&quot;72&quot;},&quot;isTemporary&quot;:false},{&quot;id&quot;:&quot;0603760d-c3ce-3f1a-a4cc-76b9a61f19bc&quot;,&quot;itemData&quot;:{&quot;type&quot;:&quot;article-journal&quot;,&quot;id&quot;:&quot;0603760d-c3ce-3f1a-a4cc-76b9a61f19bc&quot;,&quot;title&quot;:&quot;Frequent attenders in primary care: impact of medical, psychiatric and psychosomatic diagnoses&quot;,&quot;author&quot;:[{&quot;family&quot;:&quot;Ferrari&quot;,&quot;given&quot;:&quot;S.&quot;,&quot;parse-names&quot;:false,&quot;dropping-particle&quot;:&quot;&quot;,&quot;non-dropping-particle&quot;:&quot;&quot;},{&quot;family&quot;:&quot;Galeazzi&quot;,&quot;given&quot;:&quot;G. M.&quot;,&quot;parse-names&quot;:false,&quot;dropping-particle&quot;:&quot;&quot;,&quot;non-dropping-particle&quot;:&quot;&quot;},{&quot;family&quot;:&quot;Mackinnon&quot;,&quot;given&quot;:&quot;A.&quot;,&quot;parse-names&quot;:false,&quot;dropping-particle&quot;:&quot;&quot;,&quot;non-dropping-particle&quot;:&quot;&quot;},{&quot;family&quot;:&quot;Rigatelli&quot;,&quot;given&quot;:&quot;M.&quot;,&quot;parse-names&quot;:false,&quot;dropping-particle&quot;:&quot;&quot;,&quot;non-dropping-particle&quot;:&quot;&quot;}],&quot;container-title&quot;:&quot;Psychotherapy and psychosomatics&quot;,&quot;container-title-short&quot;:&quot;Psychother Psychosom&quot;,&quot;accessed&quot;:{&quot;date-parts&quot;:[[2023,6,7]]},&quot;DOI&quot;:&quot;10.1159/000142523&quot;,&quot;ISSN&quot;:&quot;1423-0348&quot;,&quot;PMID&quot;:&quot;18600036&quot;,&quot;URL&quot;:&quot;https://pubmed.ncbi.nlm.nih.gov/18600036/&quot;,&quot;issued&quot;:{&quot;date-parts&quot;:[[2008,8]]},&quot;page&quot;:&quot;306-314&quot;,&quot;abstract&quot;:&quot;Background: Anxiety, mild depression and somatization are common in primary care (PC). Several studies have suggested that they may play a role in causing an excessive use of health care services, especially when combined with medical morbidity. The present case-control study explored how psychiatric and psychosomatic diagnoses and perceived quality of life are associated with the phenomenon of frequent attendance. Method: Fifty most frequent attenders (FAs) in a 1-year period at a PC clinic in Italy were compared with 50 randomly selected average frequency attenders at the same clinic. Sociodemographic and medical data were collected from PC files. The SCID-brief version for research and the Structured Interview for Diagnostic Criteria for Use in Psychosomatic Research (DCPR) were administered to both patient groups. Quality of life was also assessed. Results: FA status was associated with being female, older, less well educated, and living with their spouses and/or children. Medical-psychiatric comorbidity was more frequent in the FA group than in the control group. The median number of psychosomatic-DCPR syndromes per patient was 4 among FAs compared to only 1 in controls. Functional somatic symptoms secondary to a psychiatric disorder, type A behavior, irritable mood, and demoralization were significantly associated with being an FA. Perceived quality of life was significantly lower among FAs, although this was no longer significant after adjusting for sociodemographic variables. Conclusions: The present study confirms the association between medical-psychiatric comorbidity and frequent utilization of PC resources. It suggests a role for DCPR criteria in revealing subthreshold psychiatric comorbidity predicting a pattern of frequent attendance. Copyright © 2008 S. Karger AG.&quot;,&quot;publisher&quot;:&quot;Psychother Psychosom&quot;,&quot;issue&quot;:&quot;5&quot;,&quot;volume&quot;:&quot;77&quot;},&quot;isTemporary&quot;:false}],&quot;citationTag&quot;:&quot;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&quot;},{&quot;citationID&quot;:&quot;MENDELEY_CITATION_061d6b66-4088-4730-999e-48a04d6eed5a&quot;,&quot;properties&quot;:{&quot;noteIndex&quot;:0},&quot;isEdited&quot;:false,&quot;manualOverride&quot;:{&quot;isManuallyOverridden&quot;:true,&quot;citeprocText&quot;:&quot;(Gili et al., 2011; Vedsted &amp;#38; Christensen, 2005)&quot;,&quot;manualOverrideText&quot;:&quot;(Gili et al., P011; Vedsted &amp; Christensen, 2005)&quot;},&quot;citationItems&quot;:[{&quot;id&quot;:&quot;10884a90-787e-3c69-ad16-98e35b0eddc0&quot;,&quot;itemData&quot;:{&quot;type&quot;:&quot;article-journal&quot;,&quot;id&quot;:&quot;10884a90-787e-3c69-ad16-98e35b0eddc0&quot;,&quot;title&quot;:&quot;Mental disorders among frequent attenders in primary care: a comparison with routine attenders&quot;,&quot;author&quot;:[{&quot;family&quot;:&quot;Gili&quot;,&quot;given&quot;:&quot;Margalida&quot;,&quot;parse-names&quot;:false,&quot;dropping-particle&quot;:&quot;&quot;,&quot;non-dropping-particle&quot;:&quot;&quot;},{&quot;family&quot;:&quot;Luciano&quot;,&quot;given&quot;:&quot;Juan&quot;,&quot;parse-names&quot;:false,&quot;dropping-particle&quot;:&quot;V.&quot;,&quot;non-dropping-particle&quot;:&quot;&quot;},{&quot;family&quot;:&quot;Serrano&quot;,&quot;given&quot;:&quot;Maria J.&quot;,&quot;parse-names&quot;:false,&quot;dropping-particle&quot;:&quot;&quot;,&quot;non-dropping-particle&quot;:&quot;&quot;},{&quot;family&quot;:&quot;Jiménez&quot;,&quot;given&quot;:&quot;Rafael&quot;,&quot;parse-names&quot;:false,&quot;dropping-particle&quot;:&quot;&quot;,&quot;non-dropping-particle&quot;:&quot;&quot;},{&quot;family&quot;:&quot;Bauza&quot;,&quot;given&quot;:&quot;Natalia&quot;,&quot;parse-names&quot;:false,&quot;dropping-particle&quot;:&quot;&quot;,&quot;non-dropping-particle&quot;:&quot;&quot;},{&quot;family&quot;:&quot;Roca&quot;,&quot;given&quot;:&quot;Miquel&quot;,&quot;parse-names&quot;:false,&quot;dropping-particle&quot;:&quot;&quot;,&quot;non-dropping-particle&quot;:&quot;&quot;}],&quot;container-title&quot;:&quot;The Journal of nervous and mental disease&quot;,&quot;container-title-short&quot;:&quot;J Nerv Ment Dis&quot;,&quot;accessed&quot;:{&quot;date-parts&quot;:[[2023,6,7]]},&quot;DOI&quot;:&quot;10.1097/NMD.0B013E31822FCD4D&quot;,&quot;ISSN&quot;:&quot;1539-736X&quot;,&quot;PMID&quot;:&quot;21964267&quot;,&quot;URL&quot;:&quot;https://pubmed.ncbi.nlm.nih.gov/21964267/&quot;,&quot;issued&quot;:{&quot;date-parts&quot;:[[2011,10]]},&quot;page&quot;:&quot;744-749&quot;,&quot;abstract&quot;:&quot;Frequent attenders account for a large proportion of primary care (PC) contacts, referrals, and prescriptions. Psychosocial and emotional distress is related to the high use of health services. Few studies have focused on the association between mental disorders assessed using structured interviews and frequent use of PC services.The aim of this study was to determine the factors associated with frequent attendance at primary healthcare units, focusing specifically on mental disorders. A two-phase screening epidemiological study comparing frequent attenders and routine attenders in five primary health care units was designed. Three hundred eighteen frequent attenders and 203 patients who attended the same units on a routine basis were compared. Sociodemographic and clinical data were obtained from statistical records and medical charts. Patients with a total score equal or higher than 7 points on the General Health Questionnaire-28 (GHQ-28) were interviewed using the Schedules for Clinical Assessment in Neuropsychiatry. All the scores obtained on the GHQ were statistically different in the two populations. Frequency of mental disorders also differed significantly between both groups, with somatoform and affective disorders being the most prevalent ICD-10 categories among frequent attenders. The presence of depressive disorders and somatoform disorders is the most powerful predictive factor for frequent attendance. High comorbidity was found among frequent attenders with somatoform disorder. Frequent attendance at primary healthcare units is associated with depressive and somatoform disorders. Psychiatric comorbidity could be a confounder, particularly because affective and somatoform disorders often overlap in PC patients. Copyright © 2011 by Lippincott Williams &amp; Wilkins.&quot;,&quot;publisher&quot;:&quot;J Nerv Ment Dis&quot;,&quot;issue&quot;:&quot;10&quot;,&quot;volume&quot;:&quot;199&quot;},&quot;isTemporary&quot;:false},{&quot;id&quot;:&quot;508891a9-a408-32a7-9b0b-f0fd8de8d160&quot;,&quot;itemData&quot;:{&quot;type&quot;:&quot;article-journal&quot;,&quot;id&quot;:&quot;508891a9-a408-32a7-9b0b-f0fd8de8d160&quot;,&quot;title&quot;:&quot;Frequent attenders in general practice care: A literature review with special reference to methodological considerations&quot;,&quot;author&quot;:[{&quot;family&quot;:&quot;Vedsted&quot;,&quot;given&quot;:&quot;P.&quot;,&quot;parse-names&quot;:false,&quot;dropping-particle&quot;:&quot;&quot;,&quot;non-dropping-particle&quot;:&quot;&quot;},{&quot;family&quot;:&quot;Christensen&quot;,&quot;given&quot;:&quot;M. B.&quot;,&quot;parse-names&quot;:false,&quot;dropping-particle&quot;:&quot;&quot;,&quot;non-dropping-particle&quot;:&quot;&quot;}],&quot;container-title&quot;:&quot;Public Health&quot;,&quot;container-title-short&quot;:&quot;Public Health&quot;,&quot;accessed&quot;:{&quot;date-parts&quot;:[[2023,6,7]]},&quot;DOI&quot;:&quot;10.1016/j.puhe.2004.03.007&quot;,&quot;ISSN&quot;:&quot;00333506&quot;,&quot;PMID&quot;:&quot;15694959&quot;,&quot;issued&quot;:{&quot;date-parts&quot;:[[2005]]},&quot;page&quot;:&quot;118-137&quot;,&quot;abstract&quot;:&quot;Objective. To describe the basis on which our knowledge of frequent attendance in general practice rests and to propose recommendations for further research on frequent attenders (FAs). Design. The literature review (finished February 2004) encompassed peer-reviewed articles in English describing contacts with general practice in terms of frequency. Searches were performed in the Medline, CINAHL, EMBASE, PsycINFO, Social Sciences Expanded Index and ISI Citation databases with additional searches in reference lists and the 'related articles' function in the ISI Citation database and Medline. Setting. General practice. Subjects. Sixty-one articles (54 studies). Measures. The articles were assessed according to the following design variables: setting; definition of FAs; sampling; sample size; control groups; study aim; study design; data sources; effect measure; and main results. Results. There was no generally accepted definition of frequent attendance. Research designs differed substantially. Eight articles gave sufficient information on all design variables. The top 10% of attenders accounted for 30-50% of all contacts, and up to 40% of FAs were still FAs the following year. More than 50% of FAs had a physical disease, more than 50% of FAs suffered from psychological distress, social factors (low social support, unemployment, divorce) were associated with frequent attendance in more than 50% of FAs, multiproblems (physical, psychological and social) were found in one-third of FAs, and frequent attendance was associated with increasing age and female gender. Conclusion. The diversity of designs, definitions and methods in the current literature on FAs in general practice hampers comparison of their precision, validity and generalizability, and calls for cautious interpretation and adoption of a common, generally acceptable definition in future studies. © 2004 The Royal Institute of Public Health. Published by Elsevier Ltd. All rights reserved.&quot;,&quot;publisher&quot;:&quot;Elsevier&quot;,&quot;issue&quot;:&quot;2&quot;,&quot;volume&quot;:&quot;119&quot;},&quot;isTemporary&quot;:false}],&quot;citationTag&quot;:&quot;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&quot;},{&quot;citationID&quot;:&quot;MENDELEY_CITATION_6343be16-8c6d-48b4-bcb1-088b690ef1b5&quot;,&quot;properties&quot;:{&quot;noteIndex&quot;:0},&quot;isEdited&quot;:false,&quot;manualOverride&quot;:{&quot;isManuallyOverridden&quot;:false,&quot;citeprocText&quot;:&quot;(Smits et al., 2014)&quot;,&quot;manualOverrideText&quot;:&quot;&quot;},&quot;citationItems&quot;:[{&quot;id&quot;:&quot;60a74609-e57d-3468-956a-1c919ffd8278&quot;,&quot;itemData&quot;:{&quot;type&quot;:&quot;article-journal&quot;,&quot;id&quot;:&quot;60a74609-e57d-3468-956a-1c919ffd8278&quot;,&quot;title&quot;:&quot;Why do they keep coming back? Psychosocial etiology of persistence of frequent attendance in primary care: a prospective cohort study&quot;,&quot;author&quot;:[{&quot;family&quot;:&quot;Smits&quot;,&quot;given&quot;:&quot;Frans T.&quot;,&quot;parse-names&quot;:false,&quot;dropping-particle&quot;:&quot;&quot;,&quot;non-dropping-particle&quot;:&quot;&quot;},{&quot;family&quot;:&quot;Brouwer&quot;,&quot;given&quot;:&quot;Henk J.&quot;,&quot;parse-names&quot;:false,&quot;dropping-particle&quot;:&quot;&quot;,&quot;non-dropping-particle&quot;:&quot;&quot;},{&quot;family&quot;:&quot;Zwinderman&quot;,&quot;given&quot;:&quot;Aeilko H.&quot;,&quot;parse-names&quot;:false,&quot;dropping-particle&quot;:&quot;&quot;,&quot;non-dropping-particle&quot;:&quot;&quot;},{&quot;family&quot;:&quot;Mohrs&quot;,&quot;given&quot;:&quot;Jacob&quot;,&quot;parse-names&quot;:false,&quot;dropping-particle&quot;:&quot;&quot;,&quot;non-dropping-particle&quot;:&quot;&quot;},{&quot;family&quot;:&quot;Schene&quot;,&quot;given&quot;:&quot;Aart H.&quot;,&quot;parse-names&quot;:false,&quot;dropping-particle&quot;:&quot;&quot;,&quot;non-dropping-particle&quot;:&quot;&quot;},{&quot;family&quot;:&quot;Weert&quot;,&quot;given&quot;:&quot;Henk C.P.M.&quot;,&quot;parse-names&quot;:false,&quot;dropping-particle&quot;:&quot;&quot;,&quot;non-dropping-particle&quot;:&quot;van&quot;},{&quot;family&quot;:&quot;Riet&quot;,&quot;given&quot;:&quot;Gerben&quot;,&quot;parse-names&quot;:false,&quot;dropping-particle&quot;:&quot;&quot;,&quot;non-dropping-particle&quot;:&quot;ter&quot;}],&quot;container-title&quot;:&quot;Journal of psychosomatic research&quot;,&quot;container-title-short&quot;:&quot;J Psychosom Res&quot;,&quot;accessed&quot;:{&quot;date-parts&quot;:[[2023,6,7]]},&quot;DOI&quot;:&quot;10.1016/J.JPSYCHORES.2014.08.003&quot;,&quot;ISSN&quot;:&quot;1879-1360&quot;,&quot;PMID&quot;:&quot;25217448&quot;,&quot;URL&quot;:&quot;https://pubmed.ncbi.nlm.nih.gov/25217448/&quot;,&quot;issued&quot;:{&quot;date-parts&quot;:[[2014,12,1]]},&quot;page&quot;:&quot;492-503&quot;,&quot;abstract&quot;:&quot;Background: Patients who visit their General Practitioner (GP) very frequently over extended periods of time often have multimorbidity and are costly in primary and specialist healthcare. We investigated the impact of patient-level psychosocial and GP-level factors on the persistence of frequent attendance (FA) in primary care. Methods: Two-year prospective cohort study in 623 incident adult frequent attenders (&gt; 90th attendance centile; age and sex-adjusted) in 2009. Information was collected through questionnaires (patients, GPs) and GPs' patient data. We used multilevel, ordinal logistic regression analysis, controlling for somatic illness and demographic factors with FA in 2010 and/or 2011 as the outcome. Results: Other anxiety (odds ratio (OR) 2.00; 95% confidence interval from 1.29 to 3.10) over 3. years and the number of life events in 3. years (OR 1.06; 1.01-1.10 per event; range of 0 to 12) and, at baseline, panic disorder (OR 5.40; 1.67-17.48), other anxiety (OR 2.78; 1.04-7.46), illness behavior (OR 1.13; 1.05-1.20 per point; 28-point scale) and lack of mastery (OR 1.08; 1.01-1.15 per point; 28-point scale) were associated with persistence of FA. We found no evidence of synergistic effects of somatic, psychological and social problems. We found no strong evidence of effects of GP characteristics. Conclusion: Panic disorder, other anxiety, negative life events, illness behavior and lack of mastery are independently associated with persistence of frequent attendance. Effective intervention at these factors, apart from their intrinsic benefits to these patients, may reduce attendance rates, and healthcare expenditures in primary and specialist care.&quot;,&quot;publisher&quot;:&quot;J Psychosom Res&quot;,&quot;issue&quot;:&quot;6&quot;,&quot;volume&quot;:&quot;77&quot;},&quot;isTemporary&quot;:false}],&quot;citationTag&quot;:&quot;MENDELEY_CITATION_v3_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&quot;},{&quot;citationID&quot;:&quot;MENDELEY_CITATION_12f14d3b-0ab6-45a6-9e19-230d30325e61&quot;,&quot;properties&quot;:{&quot;noteIndex&quot;:0},&quot;isEdited&quot;:false,&quot;manualOverride&quot;:{&quot;isManuallyOverridden&quot;:false,&quot;citeprocText&quot;:&quot;(Hughes-Gooding et al., 2020)&quot;,&quot;manualOverrideText&quot;:&quot;&quot;},&quot;citationItems&quot;:[{&quot;id&quot;:&quot;6c28d8d0-9901-303a-8729-1bedd09acc06&quot;,&quot;itemData&quot;:{&quot;type&quot;:&quot;article-journal&quot;,&quot;id&quot;:&quot;6c28d8d0-9901-303a-8729-1bedd09acc06&quot;,&quot;title&quot;:&quot;A data linkage study of suspected seizures in the urgent and emergency care system in the UK&quot;,&quot;author&quot;:[{&quot;family&quot;:&quot;Hughes-Gooding&quot;,&quot;given&quot;:&quot;Thomas&quot;,&quot;parse-names&quot;:false,&quot;dropping-particle&quot;:&quot;&quot;,&quot;non-dropping-particle&quot;:&quot;&quot;},{&quot;family&quot;:&quot;Dickson&quot;,&quot;given&quot;:&quot;Jon M.&quot;,&quot;parse-names&quot;:false,&quot;dropping-particle&quot;:&quot;&quot;,&quot;non-dropping-particle&quot;:&quot;&quot;},{&quot;family&quot;:&quot;O'Keeffe&quot;,&quot;given&quot;:&quot;Colin&quot;,&quot;parse-names&quot;:false,&quot;dropping-particle&quot;:&quot;&quot;,&quot;non-dropping-particle&quot;:&quot;&quot;},{&quot;family&quot;:&quot;Mason&quot;,&quot;given&quot;:&quot;Suzanne M.&quot;,&quot;parse-names&quot;:false,&quot;dropping-particle&quot;:&quot;&quot;,&quot;non-dropping-particle&quot;:&quot;&quot;}],&quot;container-title&quot;:&quot;Emergency Medicine Journal : EMJ&quot;,&quot;container-title-short&quot;:&quot;Emerg Med J&quot;,&quot;accessed&quot;:{&quot;date-parts&quot;:[[2023,6,9]]},&quot;DOI&quot;:&quot;10.1136/EMERMED-2019-208820&quot;,&quot;ISSN&quot;:&quot;14720213&quot;,&quot;PMID&quot;:&quot;32546473&quot;,&quot;URL&quot;:&quot;/pmc/articles/PMC7525779/&quot;,&quot;issued&quot;:{&quot;date-parts&quot;:[[2020,10,1]]},&quot;page&quot;:&quot;605&quot;,&quot;abstract&quot;:&quot;Introduction The urgent and emergency care (UEC) system is struggling with increased demand, some of which is clinically unnecessary. Patients suffering suspected seizures commonly present to EDs, but most seizures are self-limiting and have low risk of short-term adverse outcomes. We aimed to investigate the flow of suspected seizure patients through the UEC system using data linkage to facilitate the development of new models of care. Methods We used a two-stage process of deterministic linking to perform a cross-sectional analysis of data from adults in a large region in England (population 5.4 million) during 2014. The core dataset comprised a total of 739 436 ambulance emergency incidents, 1 033 778 ED attendances and 362 358 admissions. Results A high proportion of cases were successfully linked (86.9% ED-inpatient, 77.7% ED-ambulance). Suspected seizures represented 2.8% of all ambulance service incidents. 61.7% of these incidents led to dispatch of a rapid-response ambulance (8 min) and 72.1% were conveyed to hospital. 37 patients died before being conveyed to hospital and 24 died in the ED (total 61; 0.3%). The inpatient death rate was 0.4%. Suspected seizures represented 0.71% of ED attendances, 89.8% of these arrived by emergency ambulance, 45.4% were admitted and 44.5% of these admissions lasted under 48 hours. Conclusions This study confirms previously published data from smaller unlinked datasets, validating the linkage method, and provides new data for suspected seizures. There are significant barriers to realising the full potential of data linkage. Collaborative action is needed to create facilitative governance frameworks and improve data quality and analytical capacity.&quot;,&quot;publisher&quot;:&quot;BMJ Publishing Group&quot;,&quot;issue&quot;:&quot;10&quot;,&quot;volume&quot;:&quot;37&quot;},&quot;isTemporary&quot;:false}],&quot;citationTag&quot;:&quot;MENDELEY_CITATION_v3_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&quot;},{&quot;citationID&quot;:&quot;MENDELEY_CITATION_9cabe107-74d3-47b8-9319-b67284f09818&quot;,&quot;properties&quot;:{&quot;noteIndex&quot;:0},&quot;isEdited&quot;:false,&quot;manualOverride&quot;:{&quot;isManuallyOverridden&quot;:false,&quot;citeprocText&quot;:&quot;(Hughes-Gooding et al., 2020)&quot;,&quot;manualOverrideText&quot;:&quot;&quot;},&quot;citationItems&quot;:[{&quot;id&quot;:&quot;6c28d8d0-9901-303a-8729-1bedd09acc06&quot;,&quot;itemData&quot;:{&quot;type&quot;:&quot;article-journal&quot;,&quot;id&quot;:&quot;6c28d8d0-9901-303a-8729-1bedd09acc06&quot;,&quot;title&quot;:&quot;A data linkage study of suspected seizures in the urgent and emergency care system in the UK&quot;,&quot;author&quot;:[{&quot;family&quot;:&quot;Hughes-Gooding&quot;,&quot;given&quot;:&quot;Thomas&quot;,&quot;parse-names&quot;:false,&quot;dropping-particle&quot;:&quot;&quot;,&quot;non-dropping-particle&quot;:&quot;&quot;},{&quot;family&quot;:&quot;Dickson&quot;,&quot;given&quot;:&quot;Jon M.&quot;,&quot;parse-names&quot;:false,&quot;dropping-particle&quot;:&quot;&quot;,&quot;non-dropping-particle&quot;:&quot;&quot;},{&quot;family&quot;:&quot;O'Keeffe&quot;,&quot;given&quot;:&quot;Colin&quot;,&quot;parse-names&quot;:false,&quot;dropping-particle&quot;:&quot;&quot;,&quot;non-dropping-particle&quot;:&quot;&quot;},{&quot;family&quot;:&quot;Mason&quot;,&quot;given&quot;:&quot;Suzanne M.&quot;,&quot;parse-names&quot;:false,&quot;dropping-particle&quot;:&quot;&quot;,&quot;non-dropping-particle&quot;:&quot;&quot;}],&quot;container-title&quot;:&quot;Emergency Medicine Journal : EMJ&quot;,&quot;container-title-short&quot;:&quot;Emerg Med J&quot;,&quot;accessed&quot;:{&quot;date-parts&quot;:[[2023,6,9]]},&quot;DOI&quot;:&quot;10.1136/EMERMED-2019-208820&quot;,&quot;ISSN&quot;:&quot;14720213&quot;,&quot;PMID&quot;:&quot;32546473&quot;,&quot;URL&quot;:&quot;/pmc/articles/PMC7525779/&quot;,&quot;issued&quot;:{&quot;date-parts&quot;:[[2020,10,1]]},&quot;page&quot;:&quot;605&quot;,&quot;abstract&quot;:&quot;Introduction The urgent and emergency care (UEC) system is struggling with increased demand, some of which is clinically unnecessary. Patients suffering suspected seizures commonly present to EDs, but most seizures are self-limiting and have low risk of short-term adverse outcomes. We aimed to investigate the flow of suspected seizure patients through the UEC system using data linkage to facilitate the development of new models of care. Methods We used a two-stage process of deterministic linking to perform a cross-sectional analysis of data from adults in a large region in England (population 5.4 million) during 2014. The core dataset comprised a total of 739 436 ambulance emergency incidents, 1 033 778 ED attendances and 362 358 admissions. Results A high proportion of cases were successfully linked (86.9% ED-inpatient, 77.7% ED-ambulance). Suspected seizures represented 2.8% of all ambulance service incidents. 61.7% of these incidents led to dispatch of a rapid-response ambulance (8 min) and 72.1% were conveyed to hospital. 37 patients died before being conveyed to hospital and 24 died in the ED (total 61; 0.3%). The inpatient death rate was 0.4%. Suspected seizures represented 0.71% of ED attendances, 89.8% of these arrived by emergency ambulance, 45.4% were admitted and 44.5% of these admissions lasted under 48 hours. Conclusions This study confirms previously published data from smaller unlinked datasets, validating the linkage method, and provides new data for suspected seizures. There are significant barriers to realising the full potential of data linkage. Collaborative action is needed to create facilitative governance frameworks and improve data quality and analytical capacity.&quot;,&quot;publisher&quot;:&quot;BMJ Publishing Group&quot;,&quot;issue&quot;:&quot;10&quot;,&quot;volume&quot;:&quot;37&quot;},&quot;isTemporary&quot;:false}],&quot;citationTag&quot;:&quot;MENDELEY_CITATION_v3_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&quot;},{&quot;citationID&quot;:&quot;MENDELEY_CITATION_ca26e39e-8592-438d-871d-2fca48b5b322&quot;,&quot;properties&quot;:{&quot;noteIndex&quot;:0},&quot;isEdited&quot;:false,&quot;manualOverride&quot;:{&quot;isManuallyOverridden&quot;:false,&quot;citeprocText&quot;:&quot;(Bennett et al., 2021; Goldstein et al., 2019)&quot;,&quot;manualOverrideText&quot;:&quot;&quot;},&quot;citationItems&quot;:[{&quot;id&quot;:&quot;560a76f3-236c-385f-982d-5873ffd8bc2a&quot;,&quot;itemData&quot;:{&quot;type&quot;:&quot;article-journal&quot;,&quot;id&quot;:&quot;560a76f3-236c-385f-982d-5873ffd8bc2a&quot;,&quot;title&quot;:&quot;Characteristics of 698 patients with dissociative seizures: A UK multicenter study&quot;,&quot;author&quot;:[{&quot;family&quot;:&quot;Goldstein&quot;,&quot;given&quot;:&quot;Laura H.&quot;,&quot;parse-names&quot;:false,&quot;dropping-particle&quot;:&quot;&quot;,&quot;non-dropping-particle&quot;:&quot;&quot;},{&quot;family&quot;:&quot;Robinson&quot;,&quot;given&quot;:&quot;Emily J.&quot;,&quot;parse-names&quot;:false,&quot;dropping-particle&quot;:&quot;&quot;,&quot;non-dropping-particle&quot;:&quot;&quot;},{&quot;family&quot;:&quot;Reuber&quot;,&quot;given&quot;:&quot;Markus&quot;,&quot;parse-names&quot;:false,&quot;dropping-particle&quot;:&quot;&quot;,&quot;non-dropping-particle&quot;:&quot;&quot;},{&quot;family&quot;:&quot;Chalder&quot;,&quot;given&quot;:&quot;Trudie&quot;,&quot;parse-names&quot;:false,&quot;dropping-particle&quot;:&quot;&quot;,&quot;non-dropping-particle&quot;:&quot;&quot;},{&quot;family&quot;:&quot;Callaghan&quot;,&quot;given&quot;:&quot;Hannah&quot;,&quot;parse-names&quot;:false,&quot;dropping-particle&quot;:&quot;&quot;,&quot;non-dropping-particle&quot;:&quot;&quot;},{&quot;family&quot;:&quot;Eastwood&quot;,&quot;given&quot;:&quot;Carole&quot;,&quot;parse-names&quot;:false,&quot;dropping-particle&quot;:&quot;&quot;,&quot;non-dropping-particle&quot;:&quot;&quot;},{&quot;family&quot;:&quot;Landau&quot;,&quot;given&quot;:&quot;Sabine&quot;,&quot;parse-names&quot;:false,&quot;dropping-particle&quot;:&quot;&quot;,&quot;non-dropping-particle&quot;:&quot;&quot;},{&quot;family&quot;:&quot;McCrone&quot;,&quot;given&quot;:&quot;Paul&quot;,&quot;parse-names&quot;:false,&quot;dropping-particle&quot;:&quot;&quot;,&quot;non-dropping-particle&quot;:&quot;&quot;},{&quot;family&quot;:&quot;Medford&quot;,&quot;given&quot;:&quot;Nick&quot;,&quot;parse-names&quot;:false,&quot;dropping-particle&quot;:&quot;&quot;,&quot;non-dropping-particle&quot;:&quot;&quot;},{&quot;family&quot;:&quot;Mellers&quot;,&quot;given&quot;:&quot;John D.C.&quot;,&quot;parse-names&quot;:false,&quot;dropping-particle&quot;:&quot;&quot;,&quot;non-dropping-particle&quot;:&quot;&quot;},{&quot;family&quot;:&quot;Moore&quot;,&quot;given&quot;:&quot;Michele&quot;,&quot;parse-names&quot;:false,&quot;dropping-particle&quot;:&quot;&quot;,&quot;non-dropping-particle&quot;:&quot;&quot;},{&quot;family&quot;:&quot;Mosweu&quot;,&quot;given&quot;:&quot;Iris&quot;,&quot;parse-names&quot;:false,&quot;dropping-particle&quot;:&quot;&quot;,&quot;non-dropping-particle&quot;:&quot;&quot;},{&quot;family&quot;:&quot;Murray&quot;,&quot;given&quot;:&quot;Joanna&quot;,&quot;parse-names&quot;:false,&quot;dropping-particle&quot;:&quot;&quot;,&quot;non-dropping-particle&quot;:&quot;&quot;},{&quot;family&quot;:&quot;Perdue&quot;,&quot;given&quot;:&quot;Iain&quot;,&quot;parse-names&quot;:false,&quot;dropping-particle&quot;:&quot;&quot;,&quot;non-dropping-particle&quot;:&quot;&quot;},{&quot;family&quot;:&quot;Pilecka&quot;,&quot;given&quot;:&quot;Izabela&quot;,&quot;parse-names&quot;:false,&quot;dropping-particle&quot;:&quot;&quot;,&quot;non-dropping-particle&quot;:&quot;&quot;},{&quot;family&quot;:&quot;Richardson&quot;,&quot;given&quot;:&quot;Mark P.&quot;,&quot;parse-names&quot;:false,&quot;dropping-particle&quot;:&quot;&quot;,&quot;non-dropping-particle&quot;:&quot;&quot;},{&quot;family&quot;:&quot;Carson&quot;,&quot;given&quot;:&quot;Alan&quot;,&quot;parse-names&quot;:false,&quot;dropping-particle&quot;:&quot;&quot;,&quot;non-dropping-particle&quot;:&quot;&quot;},{&quot;family&quot;:&quot;Stone&quot;,&quot;given&quot;:&quot;Jon&quot;,&quot;parse-names&quot;:false,&quot;dropping-particle&quot;:&quot;&quot;,&quot;non-dropping-particle&quot;:&quot;&quot;},{&quot;family&quot;:&quot;Abe&quot;,&quot;given&quot;:&quot;Anne Mary&quot;,&quot;parse-names&quot;:false,&quot;dropping-particle&quot;:&quot;&quot;,&quot;non-dropping-particle&quot;:&quot;&quot;},{&quot;family&quot;:&quot;Adab&quot;,&quot;given&quot;:&quot;Naghme&quot;,&quot;parse-names&quot;:false,&quot;dropping-particle&quot;:&quot;&quot;,&quot;non-dropping-particle&quot;:&quot;&quot;},{&quot;family&quot;:&quot;Agrawal&quot;,&quot;given&quot;:&quot;Niruj&quot;,&quot;parse-names&quot;:false,&quot;dropping-particle&quot;:&quot;&quot;,&quot;non-dropping-particle&quot;:&quot;&quot;},{&quot;family&quot;:&quot;Allroggen&quot;,&quot;given&quot;:&quot;Holger&quot;,&quot;parse-names&quot;:false,&quot;dropping-particle&quot;:&quot;&quot;,&quot;non-dropping-particle&quot;:&quot;&quot;},{&quot;family&quot;:&quot;Alvares&quot;,&quot;given&quot;:&quot;Debie&quot;,&quot;parse-names&quot;:false,&quot;dropping-particle&quot;:&quot;&quot;,&quot;non-dropping-particle&quot;:&quot;&quot;},{&quot;family&quot;:&quot;Andrews&quot;,&quot;given&quot;:&quot;Thomasin&quot;,&quot;parse-names&quot;:false,&quot;dropping-particle&quot;:&quot;&quot;,&quot;non-dropping-particle&quot;:&quot;&quot;},{&quot;family&quot;:&quot;Angus-Leppan&quot;,&quot;given&quot;:&quot;Heather&quot;,&quot;parse-names&quot;:false,&quot;dropping-particle&quot;:&quot;&quot;,&quot;non-dropping-particle&quot;:&quot;&quot;},{&quot;family&quot;:&quot;Aram&quot;,&quot;given&quot;:&quot;Julia&quot;,&quot;parse-names&quot;:false,&quot;dropping-particle&quot;:&quot;&quot;,&quot;non-dropping-particle&quot;:&quot;&quot;},{&quot;family&quot;:&quot;Armstrong&quot;,&quot;given&quot;:&quot;Richard&quot;,&quot;parse-names&quot;:false,&quot;dropping-particle&quot;:&quot;&quot;,&quot;non-dropping-particle&quot;:&quot;&quot;},{&quot;family&quot;:&quot;Atalaia&quot;,&quot;given&quot;:&quot;Antonio&quot;,&quot;parse-names&quot;:false,&quot;dropping-particle&quot;:&quot;&quot;,&quot;non-dropping-particle&quot;:&quot;&quot;},{&quot;family&quot;:&quot;Bagary&quot;,&quot;given&quot;:&quot;Manny&quot;,&quot;parse-names&quot;:false,&quot;dropping-particle&quot;:&quot;&quot;,&quot;non-dropping-particle&quot;:&quot;&quot;},{&quot;family&quot;:&quot;Bennett&quot;,&quot;given&quot;:&quot;Masha&quot;,&quot;parse-names&quot;:false,&quot;dropping-particle&quot;:&quot;&quot;,&quot;non-dropping-particle&quot;:&quot;&quot;},{&quot;family&quot;:&quot;Black&quot;,&quot;given&quot;:&quot;Tamsin&quot;,&quot;parse-names&quot;:false,&quot;dropping-particle&quot;:&quot;&quot;,&quot;non-dropping-particle&quot;:&quot;&quot;},{&quot;family&quot;:&quot;Blackburn&quot;,&quot;given&quot;:&quot;Daniel&quot;,&quot;parse-names&quot;:false,&quot;dropping-particle&quot;:&quot;&quot;,&quot;non-dropping-particle&quot;:&quot;&quot;},{&quot;family&quot;:&quot;Bodani&quot;,&quot;given&quot;:&quot;Mayur&quot;,&quot;parse-names&quot;:false,&quot;dropping-particle&quot;:&quot;&quot;,&quot;non-dropping-particle&quot;:&quot;&quot;},{&quot;family&quot;:&quot;Broadhurst&quot;,&quot;given&quot;:&quot;Mark&quot;,&quot;parse-names&quot;:false,&quot;dropping-particle&quot;:&quot;&quot;,&quot;non-dropping-particle&quot;:&quot;&quot;},{&quot;family&quot;:&quot;Brockington&quot;,&quot;given&quot;:&quot;Alice&quot;,&quot;parse-names&quot;:false,&quot;dropping-particle&quot;:&quot;&quot;,&quot;non-dropping-particle&quot;:&quot;&quot;},{&quot;family&quot;:&quot;Bruno&quot;,&quot;given&quot;:&quot;Elisa&quot;,&quot;parse-names&quot;:false,&quot;dropping-particle&quot;:&quot;&quot;,&quot;non-dropping-particle&quot;:&quot;&quot;},{&quot;family&quot;:&quot;Buckley&quot;,&quot;given&quot;:&quot;Mary&quot;,&quot;parse-names&quot;:false,&quot;dropping-particle&quot;:&quot;&quot;,&quot;non-dropping-particle&quot;:&quot;&quot;},{&quot;family&quot;:&quot;Burness&quot;,&quot;given&quot;:&quot;Christine&quot;,&quot;parse-names&quot;:false,&quot;dropping-particle&quot;:&quot;&quot;,&quot;non-dropping-particle&quot;:&quot;&quot;},{&quot;family&quot;:&quot;Chalmers&quot;,&quot;given&quot;:&quot;Richard&quot;,&quot;parse-names&quot;:false,&quot;dropping-particle&quot;:&quot;&quot;,&quot;non-dropping-particle&quot;:&quot;&quot;},{&quot;family&quot;:&quot;Chong&quot;,&quot;given&quot;:&quot;Sam&quot;,&quot;parse-names&quot;:false,&quot;dropping-particle&quot;:&quot;&quot;,&quot;non-dropping-particle&quot;:&quot;&quot;},{&quot;family&quot;:&quot;Chowdhury&quot;,&quot;given&quot;:&quot;Muhammad&quot;,&quot;parse-names&quot;:false,&quot;dropping-particle&quot;:&quot;&quot;,&quot;non-dropping-particle&quot;:&quot;&quot;},{&quot;family&quot;:&quot;Chowdury&quot;,&quot;given&quot;:&quot;Fahmida&quot;,&quot;parse-names&quot;:false,&quot;dropping-particle&quot;:&quot;&quot;,&quot;non-dropping-particle&quot;:&quot;&quot;},{&quot;family&quot;:&quot;Cikurel&quot;,&quot;given&quot;:&quot;Katia&quot;,&quot;parse-names&quot;:false,&quot;dropping-particle&quot;:&quot;&quot;,&quot;non-dropping-particle&quot;:&quot;&quot;},{&quot;family&quot;:&quot;Cocco&quot;,&quot;given&quot;:&quot;Giovanni&quot;,&quot;parse-names&quot;:false,&quot;dropping-particle&quot;:&quot;&quot;,&quot;non-dropping-particle&quot;:&quot;&quot;},{&quot;family&quot;:&quot;Cock&quot;,&quot;given&quot;:&quot;Hannah&quot;,&quot;parse-names&quot;:false,&quot;dropping-particle&quot;:&quot;&quot;,&quot;non-dropping-particle&quot;:&quot;&quot;},{&quot;family&quot;:&quot;Cooper&quot;,&quot;given&quot;:&quot;Sarah&quot;,&quot;parse-names&quot;:false,&quot;dropping-particle&quot;:&quot;&quot;,&quot;non-dropping-particle&quot;:&quot;&quot;},{&quot;family&quot;:&quot;Cope&quot;,&quot;given&quot;:&quot;Sarah&quot;,&quot;parse-names&quot;:false,&quot;dropping-particle&quot;:&quot;&quot;,&quot;non-dropping-particle&quot;:&quot;&quot;},{&quot;family&quot;:&quot;Copping&quot;,&quot;given&quot;:&quot;Amy&quot;,&quot;parse-names&quot;:false,&quot;dropping-particle&quot;:&quot;&quot;,&quot;non-dropping-particle&quot;:&quot;&quot;},{&quot;family&quot;:&quot;Day&quot;,&quot;given&quot;:&quot;Elana&quot;,&quot;parse-names&quot;:false,&quot;dropping-particle&quot;:&quot;&quot;,&quot;non-dropping-particle&quot;:&quot;&quot;},{&quot;family&quot;:&quot;Delamont&quot;,&quot;given&quot;:&quot;Robert&quot;,&quot;parse-names&quot;:false,&quot;dropping-particle&quot;:&quot;&quot;,&quot;non-dropping-particle&quot;:&quot;&quot;},{&quot;family&quot;:&quot;Dennis&quot;,&quot;given&quot;:&quot;Gary&quot;,&quot;parse-names&quot;:false,&quot;dropping-particle&quot;:&quot;&quot;,&quot;non-dropping-particle&quot;:&quot;&quot;},{&quot;family&quot;:&quot;Derry&quot;,&quot;given&quot;:&quot;Christopher&quot;,&quot;parse-names&quot;:false,&quot;dropping-particle&quot;:&quot;&quot;,&quot;non-dropping-particle&quot;:&quot;&quot;},{&quot;family&quot;:&quot;Devlin&quot;,&quot;given&quot;:&quot;Rebecca&quot;,&quot;parse-names&quot;:false,&quot;dropping-particle&quot;:&quot;&quot;,&quot;non-dropping-particle&quot;:&quot;&quot;},{&quot;family&quot;:&quot;Dickson&quot;,&quot;given&quot;:&quot;Jon M.&quot;,&quot;parse-names&quot;:false,&quot;dropping-particle&quot;:&quot;&quot;,&quot;non-dropping-particle&quot;:&quot;&quot;},{&quot;family&quot;:&quot;Diehl&quot;,&quot;given&quot;:&quot;Beate&quot;,&quot;parse-names&quot;:false,&quot;dropping-particle&quot;:&quot;&quot;,&quot;non-dropping-particle&quot;:&quot;&quot;},{&quot;family&quot;:&quot;Donnelly&quot;,&quot;given&quot;:&quot;Clare&quot;,&quot;parse-names&quot;:false,&quot;dropping-particle&quot;:&quot;&quot;,&quot;non-dropping-particle&quot;:&quot;&quot;},{&quot;family&quot;:&quot;Duncan&quot;,&quot;given&quot;:&quot;Susan&quot;,&quot;parse-names&quot;:false,&quot;dropping-particle&quot;:&quot;&quot;,&quot;non-dropping-particle&quot;:&quot;&quot;},{&quot;family&quot;:&quot;Edwards&quot;,&quot;given&quot;:&quot;Mark&quot;,&quot;parse-names&quot;:false,&quot;dropping-particle&quot;:&quot;&quot;,&quot;non-dropping-particle&quot;:&quot;&quot;},{&quot;family&quot;:&quot;Ellawella&quot;,&quot;given&quot;:&quot;Shan&quot;,&quot;parse-names&quot;:false,&quot;dropping-particle&quot;:&quot;&quot;,&quot;non-dropping-particle&quot;:&quot;&quot;},{&quot;family&quot;:&quot;Ellis&quot;,&quot;given&quot;:&quot;Cathy&quot;,&quot;parse-names&quot;:false,&quot;dropping-particle&quot;:&quot;&quot;,&quot;non-dropping-particle&quot;:&quot;&quot;},{&quot;family&quot;:&quot;Elvish&quot;,&quot;given&quot;:&quot;Jennifer&quot;,&quot;parse-names&quot;:false,&quot;dropping-particle&quot;:&quot;&quot;,&quot;non-dropping-particle&quot;:&quot;&quot;},{&quot;family&quot;:&quot;Elwes&quot;,&quot;given&quot;:&quot;Robert&quot;,&quot;parse-names&quot;:false,&quot;dropping-particle&quot;:&quot;&quot;,&quot;non-dropping-particle&quot;:&quot;&quot;},{&quot;family&quot;:&quot;Eriemo&quot;,&quot;given&quot;:&quot;Sandra&quot;,&quot;parse-names&quot;:false,&quot;dropping-particle&quot;:&quot;&quot;,&quot;non-dropping-particle&quot;:&quot;&quot;},{&quot;family&quot;:&quot;Eriksson&quot;,&quot;given&quot;:&quot;Sofia&quot;,&quot;parse-names&quot;:false,&quot;dropping-particle&quot;:&quot;&quot;,&quot;non-dropping-particle&quot;:&quot;&quot;},{&quot;family&quot;:&quot;Evans&quot;,&quot;given&quot;:&quot;Kerry&quot;,&quot;parse-names&quot;:false,&quot;dropping-particle&quot;:&quot;&quot;,&quot;non-dropping-particle&quot;:&quot;&quot;},{&quot;family&quot;:&quot;Faruqui&quot;,&quot;given&quot;:&quot;Rafey&quot;,&quot;parse-names&quot;:false,&quot;dropping-particle&quot;:&quot;&quot;,&quot;non-dropping-particle&quot;:&quot;&quot;},{&quot;family&quot;:&quot;Feehan&quot;,&quot;given&quot;:&quot;Sarah&quot;,&quot;parse-names&quot;:false,&quot;dropping-particle&quot;:&quot;&quot;,&quot;non-dropping-particle&quot;:&quot;&quot;},{&quot;family&quot;:&quot;Finnerty&quot;,&quot;given&quot;:&quot;Gerald&quot;,&quot;parse-names&quot;:false,&quot;dropping-particle&quot;:&quot;&quot;,&quot;non-dropping-particle&quot;:&quot;&quot;},{&quot;family&quot;:&quot;Flores&quot;,&quot;given&quot;:&quot;Lorena&quot;,&quot;parse-names&quot;:false,&quot;dropping-particle&quot;:&quot;&quot;,&quot;non-dropping-particle&quot;:&quot;&quot;},{&quot;family&quot;:&quot;Firth&quot;,&quot;given&quot;:&quot;Nick&quot;,&quot;parse-names&quot;:false,&quot;dropping-particle&quot;:&quot;&quot;,&quot;non-dropping-particle&quot;:&quot;&quot;},{&quot;family&quot;:&quot;Fung&quot;,&quot;given&quot;:&quot;Robert&quot;,&quot;parse-names&quot;:false,&quot;dropping-particle&quot;:&quot;&quot;,&quot;non-dropping-particle&quot;:&quot;&quot;},{&quot;family&quot;:&quot;Gardiner&quot;,&quot;given&quot;:&quot;Paula&quot;,&quot;parse-names&quot;:false,&quot;dropping-particle&quot;:&quot;&quot;,&quot;non-dropping-particle&quot;:&quot;&quot;},{&quot;family&quot;:&quot;Graham&quot;,&quot;given&quot;:&quot;Christopher&quot;,&quot;parse-names&quot;:false,&quot;dropping-particle&quot;:&quot;&quot;,&quot;non-dropping-particle&quot;:&quot;&quot;},{&quot;family&quot;:&quot;Green-Thompson&quot;,&quot;given&quot;:&quot;Zayn&quot;,&quot;parse-names&quot;:false,&quot;dropping-particle&quot;:&quot;&quot;,&quot;non-dropping-particle&quot;:&quot;&quot;},{&quot;family&quot;:&quot;Grunewald&quot;,&quot;given&quot;:&quot;Richard&quot;,&quot;parse-names&quot;:false,&quot;dropping-particle&quot;:&quot;&quot;,&quot;non-dropping-particle&quot;:&quot;&quot;},{&quot;family&quot;:&quot;Hadden&quot;,&quot;given&quot;:&quot;Robert&quot;,&quot;parse-names&quot;:false,&quot;dropping-particle&quot;:&quot;&quot;,&quot;non-dropping-particle&quot;:&quot;&quot;},{&quot;family&quot;:&quot;Hamandi&quot;,&quot;given&quot;:&quot;Khalid&quot;,&quot;parse-names&quot;:false,&quot;dropping-particle&quot;:&quot;&quot;,&quot;non-dropping-particle&quot;:&quot;&quot;},{&quot;family&quot;:&quot;Harding&quot;,&quot;given&quot;:&quot;Rachel&quot;,&quot;parse-names&quot;:false,&quot;dropping-particle&quot;:&quot;&quot;,&quot;non-dropping-particle&quot;:&quot;&quot;},{&quot;family&quot;:&quot;Harikrishnan&quot;,&quot;given&quot;:&quot;Sreedharan&quot;,&quot;parse-names&quot;:false,&quot;dropping-particle&quot;:&quot;&quot;,&quot;non-dropping-particle&quot;:&quot;&quot;},{&quot;family&quot;:&quot;Harrison&quot;,&quot;given&quot;:&quot;Simon&quot;,&quot;parse-names&quot;:false,&quot;dropping-particle&quot;:&quot;&quot;,&quot;non-dropping-particle&quot;:&quot;&quot;},{&quot;family&quot;:&quot;Healy&quot;,&quot;given&quot;:&quot;Helen&quot;,&quot;parse-names&quot;:false,&quot;dropping-particle&quot;:&quot;&quot;,&quot;non-dropping-particle&quot;:&quot;&quot;},{&quot;family&quot;:&quot;Hewamadduma&quot;,&quot;given&quot;:&quot;Channa&quot;,&quot;parse-names&quot;:false,&quot;dropping-particle&quot;:&quot;&quot;,&quot;non-dropping-particle&quot;:&quot;&quot;},{&quot;family&quot;:&quot;Higgins&quot;,&quot;given&quot;:&quot;Stephen&quot;,&quot;parse-names&quot;:false,&quot;dropping-particle&quot;:&quot;&quot;,&quot;non-dropping-particle&quot;:&quot;&quot;},{&quot;family&quot;:&quot;Howell&quot;,&quot;given&quot;:&quot;Stephen&quot;,&quot;parse-names&quot;:false,&quot;dropping-particle&quot;:&quot;&quot;,&quot;non-dropping-particle&quot;:&quot;&quot;},{&quot;family&quot;:&quot;Hunt&quot;,&quot;given&quot;:&quot;Heloise&quot;,&quot;parse-names&quot;:false,&quot;dropping-particle&quot;:&quot;&quot;,&quot;non-dropping-particle&quot;:&quot;&quot;},{&quot;family&quot;:&quot;Hussain&quot;,&quot;given&quot;:&quot;Abrar&quot;,&quot;parse-names&quot;:false,&quot;dropping-particle&quot;:&quot;&quot;,&quot;non-dropping-particle&quot;:&quot;&quot;},{&quot;family&quot;:&quot;Innocente&quot;,&quot;given&quot;:&quot;Motchila&quot;,&quot;parse-names&quot;:false,&quot;dropping-particle&quot;:&quot;&quot;,&quot;non-dropping-particle&quot;:&quot;&quot;},{&quot;family&quot;:&quot;Jensch&quot;,&quot;given&quot;:&quot;Graham&quot;,&quot;parse-names&quot;:false,&quot;dropping-particle&quot;:&quot;&quot;,&quot;non-dropping-particle&quot;:&quot;&quot;},{&quot;family&quot;:&quot;Johnson&quot;,&quot;given&quot;:&quot;Michael&quot;,&quot;parse-names&quot;:false,&quot;dropping-particle&quot;:&quot;&quot;,&quot;non-dropping-particle&quot;:&quot;&quot;},{&quot;family&quot;:&quot;Jordan&quot;,&quot;given&quot;:&quot;Harriet&quot;,&quot;parse-names&quot;:false,&quot;dropping-particle&quot;:&quot;&quot;,&quot;non-dropping-particle&quot;:&quot;&quot;},{&quot;family&quot;:&quot;Karlsson&quot;,&quot;given&quot;:&quot;Joanna&quot;,&quot;parse-names&quot;:false,&quot;dropping-particle&quot;:&quot;&quot;,&quot;non-dropping-particle&quot;:&quot;&quot;},{&quot;family&quot;:&quot;Kelso&quot;,&quot;given&quot;:&quot;Andrew&quot;,&quot;parse-names&quot;:false,&quot;dropping-particle&quot;:&quot;&quot;,&quot;non-dropping-particle&quot;:&quot;&quot;},{&quot;family&quot;:&quot;Kemp&quot;,&quot;given&quot;:&quot;Steven&quot;,&quot;parse-names&quot;:false,&quot;dropping-particle&quot;:&quot;&quot;,&quot;non-dropping-particle&quot;:&quot;&quot;},{&quot;family&quot;:&quot;Knibb&quot;,&quot;given&quot;:&quot;Jonathan&quot;,&quot;parse-names&quot;:false,&quot;dropping-particle&quot;:&quot;&quot;,&quot;non-dropping-particle&quot;:&quot;&quot;},{&quot;family&quot;:&quot;Kock&quot;,&quot;given&quot;:&quot;Norman&quot;,&quot;parse-names&quot;:false,&quot;dropping-particle&quot;:&quot;&quot;,&quot;non-dropping-particle&quot;:&quot;&quot;},{&quot;family&quot;:&quot;Koutroumanidis&quot;,&quot;given&quot;:&quot;Michael&quot;,&quot;parse-names&quot;:false,&quot;dropping-particle&quot;:&quot;&quot;,&quot;non-dropping-particle&quot;:&quot;&quot;},{&quot;family&quot;:&quot;Kovac&quot;,&quot;given&quot;:&quot;Stjepana&quot;,&quot;parse-names&quot;:false,&quot;dropping-particle&quot;:&quot;&quot;,&quot;non-dropping-particle&quot;:&quot;&quot;},{&quot;family&quot;:&quot;Kumar&quot;,&quot;given&quot;:&quot;Guru&quot;,&quot;parse-names&quot;:false,&quot;dropping-particle&quot;:&quot;&quot;,&quot;non-dropping-particle&quot;:&quot;&quot;},{&quot;family&quot;:&quot;Laker&quot;,&quot;given&quot;:&quot;Andy&quot;,&quot;parse-names&quot;:false,&quot;dropping-particle&quot;:&quot;&quot;,&quot;non-dropping-particle&quot;:&quot;&quot;},{&quot;family&quot;:&quot;Leschziner&quot;,&quot;given&quot;:&quot;Guy&quot;,&quot;parse-names&quot;:false,&quot;dropping-particle&quot;:&quot;&quot;,&quot;non-dropping-particle&quot;:&quot;&quot;},{&quot;family&quot;:&quot;Liu&quot;,&quot;given&quot;:&quot;Rebecca&quot;,&quot;parse-names&quot;:false,&quot;dropping-particle&quot;:&quot;&quot;,&quot;non-dropping-particle&quot;:&quot;&quot;},{&quot;family&quot;:&quot;Lozsadi&quot;,&quot;given&quot;:&quot;Dora&quot;,&quot;parse-names&quot;:false,&quot;dropping-particle&quot;:&quot;&quot;,&quot;non-dropping-particle&quot;:&quot;&quot;},{&quot;family&quot;:&quot;Ludwig&quot;,&quot;given&quot;:&quot;Lea&quot;,&quot;parse-names&quot;:false,&quot;dropping-particle&quot;:&quot;&quot;,&quot;non-dropping-particle&quot;:&quot;&quot;},{&quot;family&quot;:&quot;MacDonald&quot;,&quot;given&quot;:&quot;Bridget&quot;,&quot;parse-names&quot;:false,&quot;dropping-particle&quot;:&quot;&quot;,&quot;non-dropping-particle&quot;:&quot;&quot;},{&quot;family&quot;:&quot;MacGregor&quot;,&quot;given&quot;:&quot;Lindsey&quot;,&quot;parse-names&quot;:false,&quot;dropping-particle&quot;:&quot;&quot;,&quot;non-dropping-particle&quot;:&quot;&quot;},{&quot;family&quot;:&quot;Maguire&quot;,&quot;given&quot;:&quot;Melissa&quot;,&quot;parse-names&quot;:false,&quot;dropping-particle&quot;:&quot;&quot;,&quot;non-dropping-particle&quot;:&quot;&quot;},{&quot;family&quot;:&quot;Manford&quot;,&quot;given&quot;:&quot;Mark&quot;,&quot;parse-names&quot;:false,&quot;dropping-particle&quot;:&quot;&quot;,&quot;non-dropping-particle&quot;:&quot;&quot;},{&quot;family&quot;:&quot;Martino&quot;,&quot;given&quot;:&quot;Davide&quot;,&quot;parse-names&quot;:false,&quot;dropping-particle&quot;:&quot;&quot;,&quot;non-dropping-particle&quot;:&quot;&quot;},{&quot;family&quot;:&quot;McCorry&quot;,&quot;given&quot;:&quot;Dougall&quot;,&quot;parse-names&quot;:false,&quot;dropping-particle&quot;:&quot;&quot;,&quot;non-dropping-particle&quot;:&quot;&quot;},{&quot;family&quot;:&quot;McGorlick&quot;,&quot;given&quot;:&quot;Annalisa&quot;,&quot;parse-names&quot;:false,&quot;dropping-particle&quot;:&quot;&quot;,&quot;non-dropping-particle&quot;:&quot;&quot;},{&quot;family&quot;:&quot;McKeown&quot;,&quot;given&quot;:&quot;Kenneth&quot;,&quot;parse-names&quot;:false,&quot;dropping-particle&quot;:&quot;&quot;,&quot;non-dropping-particle&quot;:&quot;&quot;},{&quot;family&quot;:&quot;McKevitt&quot;,&quot;given&quot;:&quot;Fiona&quot;,&quot;parse-names&quot;:false,&quot;dropping-particle&quot;:&quot;&quot;,&quot;non-dropping-particle&quot;:&quot;&quot;},{&quot;family&quot;:&quot;Meadow&quot;,&quot;given&quot;:&quot;Anna&quot;,&quot;parse-names&quot;:false,&quot;dropping-particle&quot;:&quot;&quot;,&quot;non-dropping-particle&quot;:&quot;&quot;},{&quot;family&quot;:&quot;Memon&quot;,&quot;given&quot;:&quot;Shafqat&quot;,&quot;parse-names&quot;:false,&quot;dropping-particle&quot;:&quot;&quot;,&quot;non-dropping-particle&quot;:&quot;&quot;},{&quot;family&quot;:&quot;Miorelli&quot;,&quot;given&quot;:&quot;Ana&quot;,&quot;parse-names&quot;:false,&quot;dropping-particle&quot;:&quot;&quot;,&quot;non-dropping-particle&quot;:&quot;&quot;},{&quot;family&quot;:&quot;Mitchell&quot;,&quot;given&quot;:&quot;Clinton&quot;,&quot;parse-names&quot;:false,&quot;dropping-particle&quot;:&quot;&quot;,&quot;non-dropping-particle&quot;:&quot;&quot;},{&quot;family&quot;:&quot;Mitchell&quot;,&quot;given&quot;:&quot;Tejal N.&quot;,&quot;parse-names&quot;:false,&quot;dropping-particle&quot;:&quot;&quot;,&quot;non-dropping-particle&quot;:&quot;&quot;},{&quot;family&quot;:&quot;Moffitt&quot;,&quot;given&quot;:&quot;Virginia&quot;,&quot;parse-names&quot;:false,&quot;dropping-particle&quot;:&quot;&quot;,&quot;non-dropping-particle&quot;:&quot;&quot;},{&quot;family&quot;:&quot;Moran&quot;,&quot;given&quot;:&quot;Nicholas&quot;,&quot;parse-names&quot;:false,&quot;dropping-particle&quot;:&quot;&quot;,&quot;non-dropping-particle&quot;:&quot;&quot;},{&quot;family&quot;:&quot;Morgan-Boon&quot;,&quot;given&quot;:&quot;Aimee&quot;,&quot;parse-names&quot;:false,&quot;dropping-particle&quot;:&quot;&quot;,&quot;non-dropping-particle&quot;:&quot;&quot;},{&quot;family&quot;:&quot;Moriarty&quot;,&quot;given&quot;:&quot;John&quot;,&quot;parse-names&quot;:false,&quot;dropping-particle&quot;:&quot;&quot;,&quot;non-dropping-particle&quot;:&quot;&quot;},{&quot;family&quot;:&quot;Mula&quot;,&quot;given&quot;:&quot;Marco&quot;,&quot;parse-names&quot;:false,&quot;dropping-particle&quot;:&quot;&quot;,&quot;non-dropping-particle&quot;:&quot;&quot;},{&quot;family&quot;:&quot;Mullatti&quot;,&quot;given&quot;:&quot;Nandini&quot;,&quot;parse-names&quot;:false,&quot;dropping-particle&quot;:&quot;&quot;,&quot;non-dropping-particle&quot;:&quot;&quot;},{&quot;family&quot;:&quot;Nashef&quot;,&quot;given&quot;:&quot;Lina&quot;,&quot;parse-names&quot;:false,&quot;dropping-particle&quot;:&quot;&quot;,&quot;non-dropping-particle&quot;:&quot;&quot;},{&quot;family&quot;:&quot;O'Hara&quot;,&quot;given&quot;:&quot;Daniel&quot;,&quot;parse-names&quot;:false,&quot;dropping-particle&quot;:&quot;&quot;,&quot;non-dropping-particle&quot;:&quot;&quot;},{&quot;family&quot;:&quot;Oakley&quot;,&quot;given&quot;:&quot;Louise&quot;,&quot;parse-names&quot;:false,&quot;dropping-particle&quot;:&quot;&quot;,&quot;non-dropping-particle&quot;:&quot;&quot;},{&quot;family&quot;:&quot;O'Sullivan&quot;,&quot;given&quot;:&quot;Suzanne&quot;,&quot;parse-names&quot;:false,&quot;dropping-particle&quot;:&quot;&quot;,&quot;non-dropping-particle&quot;:&quot;&quot;},{&quot;family&quot;:&quot;Page&quot;,&quot;given&quot;:&quot;Lisa&quot;,&quot;parse-names&quot;:false,&quot;dropping-particle&quot;:&quot;&quot;,&quot;non-dropping-particle&quot;:&quot;&quot;},{&quot;family&quot;:&quot;Patel&quot;,&quot;given&quot;:&quot;Darshna&quot;,&quot;parse-names&quot;:false,&quot;dropping-particle&quot;:&quot;&quot;,&quot;non-dropping-particle&quot;:&quot;&quot;},{&quot;family&quot;:&quot;Petrochilos&quot;,&quot;given&quot;:&quot;Panayiota&quot;,&quot;parse-names&quot;:false,&quot;dropping-particle&quot;:&quot;&quot;,&quot;non-dropping-particle&quot;:&quot;&quot;},{&quot;family&quot;:&quot;Phoenix&quot;,&quot;given&quot;:&quot;Danielle&quot;,&quot;parse-names&quot;:false,&quot;dropping-particle&quot;:&quot;&quot;,&quot;non-dropping-particle&quot;:&quot;&quot;},{&quot;family&quot;:&quot;Pickerell&quot;,&quot;given&quot;:&quot;William&quot;,&quot;parse-names&quot;:false,&quot;dropping-particle&quot;:&quot;&quot;,&quot;non-dropping-particle&quot;:&quot;&quot;},{&quot;family&quot;:&quot;Pieters&quot;,&quot;given&quot;:&quot;Thirza&quot;,&quot;parse-names&quot;:false,&quot;dropping-particle&quot;:&quot;&quot;,&quot;non-dropping-particle&quot;:&quot;&quot;},{&quot;family&quot;:&quot;Poole&quot;,&quot;given&quot;:&quot;Norman&quot;,&quot;parse-names&quot;:false,&quot;dropping-particle&quot;:&quot;&quot;,&quot;non-dropping-particle&quot;:&quot;&quot;},{&quot;family&quot;:&quot;Price&quot;,&quot;given&quot;:&quot;Gary&quot;,&quot;parse-names&quot;:false,&quot;dropping-particle&quot;:&quot;&quot;,&quot;non-dropping-particle&quot;:&quot;&quot;},{&quot;family&quot;:&quot;Protheroe&quot;,&quot;given&quot;:&quot;David&quot;,&quot;parse-names&quot;:false,&quot;dropping-particle&quot;:&quot;&quot;,&quot;non-dropping-particle&quot;:&quot;&quot;},{&quot;family&quot;:&quot;Pullicino&quot;,&quot;given&quot;:&quot;Patrick&quot;,&quot;parse-names&quot;:false,&quot;dropping-particle&quot;:&quot;&quot;,&quot;non-dropping-particle&quot;:&quot;&quot;},{&quot;family&quot;:&quot;Purnell&quot;,&quot;given&quot;:&quot;James&quot;,&quot;parse-names&quot;:false,&quot;dropping-particle&quot;:&quot;&quot;,&quot;non-dropping-particle&quot;:&quot;&quot;},{&quot;family&quot;:&quot;Quirk&quot;,&quot;given&quot;:&quot;Jennifer&quot;,&quot;parse-names&quot;:false,&quot;dropping-particle&quot;:&quot;&quot;,&quot;non-dropping-particle&quot;:&quot;&quot;},{&quot;family&quot;:&quot;Rajakulendran&quot;,&quot;given&quot;:&quot;Sanjeev&quot;,&quot;parse-names&quot;:false,&quot;dropping-particle&quot;:&quot;&quot;,&quot;non-dropping-particle&quot;:&quot;&quot;},{&quot;family&quot;:&quot;Read&quot;,&quot;given&quot;:&quot;Julie&quot;,&quot;parse-names&quot;:false,&quot;dropping-particle&quot;:&quot;&quot;,&quot;non-dropping-particle&quot;:&quot;&quot;},{&quot;family&quot;:&quot;Ridha&quot;,&quot;given&quot;:&quot;Basil&quot;,&quot;parse-names&quot;:false,&quot;dropping-particle&quot;:&quot;&quot;,&quot;non-dropping-particle&quot;:&quot;&quot;},{&quot;family&quot;:&quot;Rockliffe-Fidler&quot;,&quot;given&quot;:&quot;Claire&quot;,&quot;parse-names&quot;:false,&quot;dropping-particle&quot;:&quot;&quot;,&quot;non-dropping-particle&quot;:&quot;&quot;},{&quot;family&quot;:&quot;Rowbottom&quot;,&quot;given&quot;:&quot;Carrie&quot;,&quot;parse-names&quot;:false,&quot;dropping-particle&quot;:&quot;&quot;,&quot;non-dropping-particle&quot;:&quot;&quot;},{&quot;family&quot;:&quot;Rugg-Gunn&quot;,&quot;given&quot;:&quot;Fergus&quot;,&quot;parse-names&quot;:false,&quot;dropping-particle&quot;:&quot;&quot;,&quot;non-dropping-particle&quot;:&quot;&quot;},{&quot;family&quot;:&quot;Sachar&quot;,&quot;given&quot;:&quot;Amrit&quot;,&quot;parse-names&quot;:false,&quot;dropping-particle&quot;:&quot;&quot;,&quot;non-dropping-particle&quot;:&quot;&quot;},{&quot;family&quot;:&quot;Saha&quot;,&quot;given&quot;:&quot;Romi&quot;,&quot;parse-names&quot;:false,&quot;dropping-particle&quot;:&quot;&quot;,&quot;non-dropping-particle&quot;:&quot;&quot;},{&quot;family&quot;:&quot;Saldanha&quot;,&quot;given&quot;:&quot;Gerard&quot;,&quot;parse-names&quot;:false,&quot;dropping-particle&quot;:&quot;&quot;,&quot;non-dropping-particle&quot;:&quot;&quot;},{&quot;family&quot;:&quot;Samarasekera&quot;,&quot;given&quot;:&quot;Shanika&quot;,&quot;parse-names&quot;:false,&quot;dropping-particle&quot;:&quot;&quot;,&quot;non-dropping-particle&quot;:&quot;&quot;},{&quot;family&quot;:&quot;Sanchez Sanchez&quot;,&quot;given&quot;:&quot;Violeta&quot;,&quot;parse-names&quot;:false,&quot;dropping-particle&quot;:&quot;&quot;,&quot;non-dropping-particle&quot;:&quot;&quot;},{&quot;family&quot;:&quot;Santhouse&quot;,&quot;given&quot;:&quot;Alastair&quot;,&quot;parse-names&quot;:false,&quot;dropping-particle&quot;:&quot;&quot;,&quot;non-dropping-particle&quot;:&quot;&quot;},{&quot;family&quot;:&quot;Scholes&quot;,&quot;given&quot;:&quot;Karen&quot;,&quot;parse-names&quot;:false,&quot;dropping-particle&quot;:&quot;&quot;,&quot;non-dropping-particle&quot;:&quot;&quot;},{&quot;family&quot;:&quot;Shetty&quot;,&quot;given&quot;:&quot;Abhijeeth&quot;,&quot;parse-names&quot;:false,&quot;dropping-particle&quot;:&quot;&quot;,&quot;non-dropping-particle&quot;:&quot;&quot;},{&quot;family&quot;:&quot;Shotbolt&quot;,&quot;given&quot;:&quot;Paul&quot;,&quot;parse-names&quot;:false,&quot;dropping-particle&quot;:&quot;&quot;,&quot;non-dropping-particle&quot;:&quot;&quot;},{&quot;family&quot;:&quot;Simkiss&quot;,&quot;given&quot;:&quot;Rachel&quot;,&quot;parse-names&quot;:false,&quot;dropping-particle&quot;:&quot;&quot;,&quot;non-dropping-particle&quot;:&quot;&quot;},{&quot;family&quot;:&quot;Singh&quot;,&quot;given&quot;:&quot;Jasvinder&quot;,&quot;parse-names&quot;:false,&quot;dropping-particle&quot;:&quot;&quot;,&quot;non-dropping-particle&quot;:&quot;&quot;},{&quot;family&quot;:&quot;Sivagnanasundaram&quot;,&quot;given&quot;:&quot;Jananee&quot;,&quot;parse-names&quot;:false,&quot;dropping-particle&quot;:&quot;&quot;,&quot;non-dropping-particle&quot;:&quot;&quot;},{&quot;family&quot;:&quot;Slaght&quot;,&quot;given&quot;:&quot;Sean&quot;,&quot;parse-names&quot;:false,&quot;dropping-particle&quot;:&quot;&quot;,&quot;non-dropping-particle&quot;:&quot;&quot;},{&quot;family&quot;:&quot;Smith&quot;,&quot;given&quot;:&quot;Philip&quot;,&quot;parse-names&quot;:false,&quot;dropping-particle&quot;:&quot;&quot;,&quot;non-dropping-particle&quot;:&quot;&quot;},{&quot;family&quot;:&quot;Sokhi&quot;,&quot;given&quot;:&quot;Dilraj&quot;,&quot;parse-names&quot;:false,&quot;dropping-particle&quot;:&quot;&quot;,&quot;non-dropping-particle&quot;:&quot;&quot;},{&quot;family&quot;:&quot;Stanton&quot;,&quot;given&quot;:&quot;Biba&quot;,&quot;parse-names&quot;:false,&quot;dropping-particle&quot;:&quot;&quot;,&quot;non-dropping-particle&quot;:&quot;&quot;},{&quot;family&quot;:&quot;Suvorova&quot;,&quot;given&quot;:&quot;Liya&quot;,&quot;parse-names&quot;:false,&quot;dropping-particle&quot;:&quot;&quot;,&quot;non-dropping-particle&quot;:&quot;&quot;},{&quot;family&quot;:&quot;Tahir&quot;,&quot;given&quot;:&quot;Tayyeb&quot;,&quot;parse-names&quot;:false,&quot;dropping-particle&quot;:&quot;&quot;,&quot;non-dropping-particle&quot;:&quot;&quot;},{&quot;family&quot;:&quot;Taylor&quot;,&quot;given&quot;:&quot;Ruth&quot;,&quot;parse-names&quot;:false,&quot;dropping-particle&quot;:&quot;&quot;,&quot;non-dropping-particle&quot;:&quot;&quot;},{&quot;family&quot;:&quot;Teare&quot;,&quot;given&quot;:&quot;Lara&quot;,&quot;parse-names&quot;:false,&quot;dropping-particle&quot;:&quot;&quot;,&quot;non-dropping-particle&quot;:&quot;&quot;},{&quot;family&quot;:&quot;Tedesco&quot;,&quot;given&quot;:&quot;Lorenza&quot;,&quot;parse-names&quot;:false,&quot;dropping-particle&quot;:&quot;&quot;,&quot;non-dropping-particle&quot;:&quot;&quot;},{&quot;family&quot;:&quot;Teo&quot;,&quot;given&quot;:&quot;James&quot;,&quot;parse-names&quot;:false,&quot;dropping-particle&quot;:&quot;&quot;,&quot;non-dropping-particle&quot;:&quot;&quot;},{&quot;family&quot;:&quot;Thorpe&quot;,&quot;given&quot;:&quot;John&quot;,&quot;parse-names&quot;:false,&quot;dropping-particle&quot;:&quot;&quot;,&quot;non-dropping-particle&quot;:&quot;&quot;},{&quot;family&quot;:&quot;Toplis&quot;,&quot;given&quot;:&quot;Laura&quot;,&quot;parse-names&quot;:false,&quot;dropping-particle&quot;:&quot;&quot;,&quot;non-dropping-particle&quot;:&quot;&quot;},{&quot;family&quot;:&quot;Tsakopoulou&quot;,&quot;given&quot;:&quot;Myrto&quot;,&quot;parse-names&quot;:false,&quot;dropping-particle&quot;:&quot;&quot;,&quot;non-dropping-particle&quot;:&quot;&quot;},{&quot;family&quot;:&quot;Tylova&quot;,&quot;given&quot;:&quot;Ivona&quot;,&quot;parse-names&quot;:false,&quot;dropping-particle&quot;:&quot;&quot;,&quot;non-dropping-particle&quot;:&quot;&quot;},{&quot;family&quot;:&quot;Vick&quot;,&quot;given&quot;:&quot;Tracey&quot;,&quot;parse-names&quot;:false,&quot;dropping-particle&quot;:&quot;&quot;,&quot;non-dropping-particle&quot;:&quot;&quot;},{&quot;family&quot;:&quot;Vinnicombe&quot;,&quot;given&quot;:&quot;Jane&quot;,&quot;parse-names&quot;:false,&quot;dropping-particle&quot;:&quot;&quot;,&quot;non-dropping-particle&quot;:&quot;&quot;},{&quot;family&quot;:&quot;Walker&quot;,&quot;given&quot;:&quot;Matthew&quot;,&quot;parse-names&quot;:false,&quot;dropping-particle&quot;:&quot;&quot;,&quot;non-dropping-particle&quot;:&quot;&quot;},{&quot;family&quot;:&quot;Walsh&quot;,&quot;given&quot;:&quot;Cathy&quot;,&quot;parse-names&quot;:false,&quot;dropping-particle&quot;:&quot;&quot;,&quot;non-dropping-particle&quot;:&quot;&quot;},{&quot;family&quot;:&quot;Watson&quot;,&quot;given&quot;:&quot;Gillian&quot;,&quot;parse-names&quot;:false,&quot;dropping-particle&quot;:&quot;&quot;,&quot;non-dropping-particle&quot;:&quot;&quot;},{&quot;family&quot;:&quot;Webb&quot;,&quot;given&quot;:&quot;Thomas&quot;,&quot;parse-names&quot;:false,&quot;dropping-particle&quot;:&quot;&quot;,&quot;non-dropping-particle&quot;:&quot;&quot;},{&quot;family&quot;:&quot;Wehner&quot;,&quot;given&quot;:&quot;Tim&quot;,&quot;parse-names&quot;:false,&quot;dropping-particle&quot;:&quot;&quot;,&quot;non-dropping-particle&quot;:&quot;&quot;},{&quot;family&quot;:&quot;Welch&quot;,&quot;given&quot;:&quot;Killian&quot;,&quot;parse-names&quot;:false,&quot;dropping-particle&quot;:&quot;&quot;,&quot;non-dropping-particle&quot;:&quot;&quot;},{&quot;family&quot;:&quot;Weyrich&quot;,&quot;given&quot;:&quot;Kirstin&quot;,&quot;parse-names&quot;:false,&quot;dropping-particle&quot;:&quot;&quot;,&quot;non-dropping-particle&quot;:&quot;&quot;},{&quot;family&quot;:&quot;Whittaker&quot;,&quot;given&quot;:&quot;Margaret&quot;,&quot;parse-names&quot;:false,&quot;dropping-particle&quot;:&quot;&quot;,&quot;non-dropping-particle&quot;:&quot;&quot;},{&quot;family&quot;:&quot;Wickremaratchi&quot;,&quot;given&quot;:&quot;Mirdhu&quot;,&quot;parse-names&quot;:false,&quot;dropping-particle&quot;:&quot;&quot;,&quot;non-dropping-particle&quot;:&quot;&quot;},{&quot;family&quot;:&quot;Wicks&quot;,&quot;given&quot;:&quot;Louise&quot;,&quot;parse-names&quot;:false,&quot;dropping-particle&quot;:&quot;&quot;,&quot;non-dropping-particle&quot;:&quot;&quot;}],&quot;container-title&quot;:&quot;Epilepsia&quot;,&quot;container-title-short&quot;:&quot;Epilepsia&quot;,&quot;accessed&quot;:{&quot;date-parts&quot;:[[2023,4,28]]},&quot;DOI&quot;:&quot;10.1111/EPI.16350&quot;,&quot;ISSN&quot;:&quot;1528-1167&quot;,&quot;PMID&quot;:&quot;31608436&quot;,&quot;URL&quot;:&quot;https://pubmed.ncbi.nlm.nih.gov/31608436/&quot;,&quot;issued&quot;:{&quot;date-parts&quot;:[[2019,11,1]]},&quot;page&quot;:&quot;2182-2193&quot;,&quot;abstract&quot;:&quot;Objective: We aimed to characterize the demographics of adults with dissociative (nonepileptic) seizures, placing emphasis on distribution of age at onset, male:female ratio, levels of deprivation, and dissociative seizure semiology. Methods: We collected demographic and clinical data from 698 adults with dissociative seizures recruited to the screening phase of the CODES (Cognitive Behavioural Therapy vs Standardised Medical Care for Adults With Dissociative Non-Epileptic Seizures) trial from 27 neurology/specialist epilepsy clinics in the UK. We described the cohort in terms of age, age at onset of dissociative seizures, duration of seizure disorder, level of socioeconomic deprivation, and other social and clinical demographic characteristics and their associations. Results: In what is, to date, the largest study of adults with dissociative seizures, the overall modal age at dissociative seizure onset was 19 years; median age at onset was 28 years. Although 74% of the sample was female, importantly the male:female ratio varied with age at onset, with 77% of female but only 59% of male participants developing dissociative seizures by the age of 40 years. The frequency of self-reported previous epilepsy was 27%; nearly half of these epilepsy diagnoses were retrospectively considered erroneous by clinicians. Patients with predominantly hyperkinetic dissociative seizures had a shorter disorder duration prior to diagnosis in this study than patients with hypokinetic seizures (P &lt;.001); dissociative seizure type was not associated with gender. Predominantly hyperkinetic seizures were most commonly seen in patients with symptom onset in their late teens. Thirty percent of the sample reported taking antiepileptic drugs; this was more common in men. More than 50% of the sample lived in areas characterized by the highest levels of deprivation, and more than two-thirds were unemployed. Significance: Females with dissociative seizures were more common at all ages, whereas the proportion of males increased with age at onset. This disorder was associated with socioeconomic deprivation. Those with hypokinetic dissociative seizures may be at risk for delayed diagnosis and treatment.&quot;,&quot;publisher&quot;:&quot;Epilepsia&quot;,&quot;issue&quot;:&quot;11&quot;,&quot;volume&quot;:&quot;60&quot;},&quot;isTemporary&quot;:false},{&quot;id&quot;:&quot;20e3ae60-ab02-325e-8af2-60f33e5374ba&quot;,&quot;itemData&quot;:{&quot;type&quot;:&quot;article-journal&quot;,&quot;id&quot;:&quot;20e3ae60-ab02-325e-8af2-60f33e5374ba&quot;,&quot;title&quot;:&quot;A practical review of functional neurological disorder (FND) for the general physician&quot;,&quot;author&quot;:[{&quot;family&quot;:&quot;Bennett&quot;,&quot;given&quot;:&quot;Karina&quot;,&quot;parse-names&quot;:false,&quot;dropping-particle&quot;:&quot;&quot;,&quot;non-dropping-particle&quot;:&quot;&quot;},{&quot;family&quot;:&quot;Diamond&quot;,&quot;given&quot;:&quot;Clare&quot;,&quot;parse-names&quot;:false,&quot;dropping-particle&quot;:&quot;&quot;,&quot;non-dropping-particle&quot;:&quot;&quot;},{&quot;family&quot;:&quot;Hoeritzauer&quot;,&quot;given&quot;:&quot;Ingrid&quot;,&quot;parse-names&quot;:false,&quot;dropping-particle&quot;:&quot;&quot;,&quot;non-dropping-particle&quot;:&quot;&quot;},{&quot;family&quot;:&quot;Gardiner&quot;,&quot;given&quot;:&quot;Paula&quot;,&quot;parse-names&quot;:false,&quot;dropping-particle&quot;:&quot;&quot;,&quot;non-dropping-particle&quot;:&quot;&quot;},{&quot;family&quot;:&quot;McWhirter&quot;,&quot;given&quot;:&quot;Laura&quot;,&quot;parse-names&quot;:false,&quot;dropping-particle&quot;:&quot;&quot;,&quot;non-dropping-particle&quot;:&quot;&quot;},{&quot;family&quot;:&quot;Carson&quot;,&quot;given&quot;:&quot;Alan&quot;,&quot;parse-names&quot;:false,&quot;dropping-particle&quot;:&quot;&quot;,&quot;non-dropping-particle&quot;:&quot;&quot;},{&quot;family&quot;:&quot;Stone&quot;,&quot;given&quot;:&quot;Jon&quot;,&quot;parse-names&quot;:false,&quot;dropping-particle&quot;:&quot;&quot;,&quot;non-dropping-particle&quot;:&quot;&quot;}],&quot;container-title&quot;:&quot;Clinical Medicine&quot;,&quot;accessed&quot;:{&quot;date-parts&quot;:[[2023,4,13]]},&quot;DOI&quot;:&quot;10.7861/CLINMED.2020-0987&quot;,&quot;ISSN&quot;:&quot;14734893&quot;,&quot;PMID&quot;:&quot;33479065&quot;,&quot;URL&quot;:&quot;/pmc/articles/PMC7850207/&quot;,&quot;issued&quot;:{&quot;date-parts&quot;:[[2021,1,1]]},&quot;page&quot;:&quot;28&quot;,&quot;abstract&quot;:&quot;We present a practical overview of functional neurological disorder (FND), its epidemiology, assessment and diagnosis, diagnostic pitfalls, treatment, aetiology and mechanism. We present an update on functional limb weakness, tremor, dystonia and other abnormal movements, dissociative seizures, functional cognitive symptoms and urinary retention, and 'scan-negative' cauda equina syndrome. The diagnosis of FND should rest on clear positive evidence, typically from a combination of physical signs on examination or the nature of seizures. In treatment of FND, clear communication of the diagnosis and the involvement of the multidisciplinary team is beneficial. We recommend that patients with FND are referred to specialists with expertise in neurological diagnosis. FND is a common presentation in emergency and acute medical settings and there are many practical elements to making a positive diagnosis and communication which are useful for all physicians to be familiar with.&quot;,&quot;publisher&quot;:&quot;Royal College of Physicians&quot;,&quot;issue&quot;:&quot;1&quot;,&quot;volume&quot;:&quot;21&quot;,&quot;container-title-short&quot;:&quot;&quot;},&quot;isTemporary&quot;:false}],&quot;citationTag&quot;:&quot;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&quot;},{&quot;citationID&quot;:&quot;MENDELEY_CITATION_98cf17c5-fdca-489f-831f-751a703b4460&quot;,&quot;properties&quot;:{&quot;noteIndex&quot;:0},&quot;isEdited&quot;:false,&quot;manualOverride&quot;:{&quot;isManuallyOverridden&quot;:true,&quot;citeprocText&quot;:&quot;(&lt;i&gt;Are Hospital Services Used Differently in Deprived Areas? Evidence to Identify Commissioning Challenges - PDF Free Download&lt;/i&gt;, n.d.; Asaria et al., 2016; Cookson et al., 2016; Scantlebury et al., 2015)&quot;,&quot;manualOverrideText&quot;:&quot;(Are Hospital Services Used Differently in Deprived Areas? Evidence to Identify Commissioning Challenges; Asaria et al., 2016; Cookson et al., 2016; Scantlebury et al., 2015)&quot;},&quot;citationItems&quot;:[{&quot;id&quot;:&quot;290367b8-1fda-329d-b1ab-684d4dbe1172&quot;,&quot;itemData&quot;:{&quot;type&quot;:&quot;webpage&quot;,&quot;id&quot;:&quot;290367b8-1fda-329d-b1ab-684d4dbe1172&quot;,&quot;title&quot;:&quot;Are hospital services used differently in deprived areas? Evidence to identify commissioning challenges - PDF Free Download&quot;,&quot;accessed&quot;:{&quot;date-parts&quot;:[[2023,6,7]]},&quot;URL&quot;:&quot;https://docplayer.net/11150695-Are-hospital-services-used-differently-in-deprived-areas-evidence-to-identify-commissioning-challenges.html&quot;,&quot;container-title-short&quot;:&quot;&quot;},&quot;isTemporary&quot;:false},{&quot;id&quot;:&quot;aabadeaa-bfa6-3e47-a4f7-b4d76a958904&quot;,&quot;itemData&quot;:{&quot;type&quot;:&quot;article-journal&quot;,&quot;id&quot;:&quot;aabadeaa-bfa6-3e47-a4f7-b4d76a958904&quot;,&quot;title&quot;:&quot;Socioeconomic deprivation and accident and emergency attendances: cross-sectional analysis of general practices in England&quot;,&quot;author&quot;:[{&quot;family&quot;:&quot;Scantlebury&quot;,&quot;given&quot;:&quot;Rachel&quot;,&quot;parse-names&quot;:false,&quot;dropping-particle&quot;:&quot;&quot;,&quot;non-dropping-particle&quot;:&quot;&quot;},{&quot;family&quot;:&quot;Durbaba&quot;,&quot;given&quot;:&quot;Stevo&quot;,&quot;parse-names&quot;:false,&quot;dropping-particle&quot;:&quot;&quot;,&quot;non-dropping-particle&quot;:&quot;&quot;},{&quot;family&quot;:&quot;Sidhu&quot;,&quot;given&quot;:&quot;Kalwant&quot;,&quot;parse-names&quot;:false,&quot;dropping-particle&quot;:&quot;&quot;,&quot;non-dropping-particle&quot;:&quot;&quot;},{&quot;family&quot;:&quot;Ashworth&quot;,&quot;given&quot;:&quot;Mark&quot;,&quot;parse-names&quot;:false,&quot;dropping-particle&quot;:&quot;&quot;,&quot;non-dropping-particle&quot;:&quot;&quot;},{&quot;family&quot;:&quot;Rowlands&quot;,&quot;given&quot;:&quot;Gillian&quot;,&quot;parse-names&quot;:false,&quot;dropping-particle&quot;:&quot;&quot;,&quot;non-dropping-particle&quot;:&quot;&quot;},{&quot;family&quot;:&quot;Schofield&quot;,&quot;given&quot;:&quot;Peter&quot;,&quot;parse-names&quot;:false,&quot;dropping-particle&quot;:&quot;&quot;,&quot;non-dropping-particle&quot;:&quot;&quot;}],&quot;container-title&quot;:&quot;The British Journal of General Practice&quot;,&quot;accessed&quot;:{&quot;date-parts&quot;:[[2023,6,7]]},&quot;DOI&quot;:&quot;10.3399/BJGP15X686893&quot;,&quot;ISSN&quot;:&quot;09601643&quot;,&quot;PMID&quot;:&quot;26412841&quot;,&quot;URL&quot;:&quot;/pmc/articles/PMC4582877/&quot;,&quot;issued&quot;:{&quot;date-parts&quot;:[[2015,10,1]]},&quot;page&quot;:&quot;e649&quot;,&quot;abstract&quot;:&quot;Background Demand for England's accident and emergency (A&amp;E) services is increasing and is particularly concentrated in areas of high deprivation. The extent to which primary care services, relative to population characteristics, can impact on A&amp;E is not fully understood. Aim To conduct a detailed analysis to identify population and primary care characteristics associated with A&amp;E attendance rates, particularly those that may be amenable to change by primary care services. Design and setting This study used a cross-sectional populationbased design. The setting was general practices in England, in the year 2011'2012. Method Multivariate linear regression analysis was used to create a model to explain the variability in practice A&amp;E attendance rates. Predictor variables included population demographics, practice characteristics, and measures of patient experiences of primary care. Results The strongest predictor of general practice A&amp;E attendance rates was social deprivation: the Index of Multiple Deprivation (IMD-2010) (β = 0.3. B = 1.4 [95% CI =1.3 to 1.6]), followed by population morbidity (GPPS responders reporting a long-standing health condition) (β = 0.2, B = 231.5 [95% CI = 202.1 to 260.8]), and knowledge of how to contact an out-of-hours GP (GPPS question 36) (β = 0.2, B = 128.7 [95% CI =149.3 to 108.2]). Other significant predictors included the practice list size (β = 0.1, B = 0.002 [95% CI = 0.003 to 0.002]) and the proportion of patients aged 04 years (β = 0.1, B = 547.3 [95% CI = 418.6 to 676.0]). The final model explained 34.4% of the variation in A&amp;E attendance rates, mostly due to factors that could not be modified by primary care services. Conclusion Demographic characteristics were the strongest predictors of A&amp;E attendance rates. Primary care variables that may be amenable to change only made a small contribution to higher A&amp;E attendance rates.&quot;,&quot;publisher&quot;:&quot;Royal College of General Practitioners&quot;,&quot;issue&quot;:&quot;639&quot;,&quot;volume&quot;:&quot;65&quot;,&quot;container-title-short&quot;:&quot;&quot;},&quot;isTemporary&quot;:false},{&quot;id&quot;:&quot;2819ceb9-9103-39e6-9cb9-5367ce200a4d&quot;,&quot;itemData&quot;:{&quot;type&quot;:&quot;article-journal&quot;,&quot;id&quot;:&quot;2819ceb9-9103-39e6-9cb9-5367ce200a4d&quot;,&quot;title&quot;:&quot;Health Equity Indicators for the English NHS: a longitudinal whole-population study at the small-area level&quot;,&quot;author&quot;:[{&quot;family&quot;:&quot;Cookson&quot;,&quot;given&quot;:&quot;Richard&quot;,&quot;parse-names&quot;:false,&quot;dropping-particle&quot;:&quot;&quot;,&quot;non-dropping-particle&quot;:&quot;&quot;},{&quot;family&quot;:&quot;Asaria&quot;,&quot;given&quot;:&quot;Miqdad&quot;,&quot;parse-names&quot;:false,&quot;dropping-particle&quot;:&quot;&quot;,&quot;non-dropping-particle&quot;:&quot;&quot;},{&quot;family&quot;:&quot;Ali&quot;,&quot;given&quot;:&quot;Shehzad&quot;,&quot;parse-names&quot;:false,&quot;dropping-particle&quot;:&quot;&quot;,&quot;non-dropping-particle&quot;:&quot;&quot;},{&quot;family&quot;:&quot;Ferguson&quot;,&quot;given&quot;:&quot;Brian&quot;,&quot;parse-names&quot;:false,&quot;dropping-particle&quot;:&quot;&quot;,&quot;non-dropping-particle&quot;:&quot;&quot;},{&quot;family&quot;:&quot;Fleetcroft&quot;,&quot;given&quot;:&quot;Robert&quot;,&quot;parse-names&quot;:false,&quot;dropping-particle&quot;:&quot;&quot;,&quot;non-dropping-particle&quot;:&quot;&quot;},{&quot;family&quot;:&quot;Goddard&quot;,&quot;given&quot;:&quot;Maria&quot;,&quot;parse-names&quot;:false,&quot;dropping-particle&quot;:&quot;&quot;,&quot;non-dropping-particle&quot;:&quot;&quot;},{&quot;family&quot;:&quot;Goldblatt&quot;,&quot;given&quot;:&quot;Peter&quot;,&quot;parse-names&quot;:false,&quot;dropping-particle&quot;:&quot;&quot;,&quot;non-dropping-particle&quot;:&quot;&quot;},{&quot;family&quot;:&quot;Laudicella&quot;,&quot;given&quot;:&quot;Mauro&quot;,&quot;parse-names&quot;:false,&quot;dropping-particle&quot;:&quot;&quot;,&quot;non-dropping-particle&quot;:&quot;&quot;},{&quot;family&quot;:&quot;Raine&quot;,&quot;given&quot;:&quot;Rosalind&quot;,&quot;parse-names&quot;:false,&quot;dropping-particle&quot;:&quot;&quot;,&quot;non-dropping-particle&quot;:&quot;&quot;}],&quot;container-title&quot;:&quot;Health Services and Delivery Research&quot;,&quot;accessed&quot;:{&quot;date-parts&quot;:[[2023,6,7]]},&quot;DOI&quot;:&quot;10.3310/HSDR04260&quot;,&quot;ISSN&quot;:&quot;2050-4349&quot;,&quot;issued&quot;:{&quot;date-parts&quot;:[[2016,9]]},&quot;page&quot;:&quot;1-224&quot;,&quot;abstract&quot;:&quot;BACKGROUND Inequalities in health-care access and outcomes raise concerns about quality of care and justice, and the NHS has a statutory duty to consider reducing them. OBJECTIVES The objectives were to (1) develop indicators of socioeconomic inequality in health-care access and outcomes at different stages of the patient pathway; (2) develop methods for monitoring local NHS equity performance in tackling socioeconomic health-care inequalities; (3) track the evolution of socioeconomic health-care inequalities in the 2000s; and (4) develop ‘equity dashboards’ for communicating equity findings to decision-makers in a clear and concise format. DESIGN Longitudinal whole-population study at the small-area level. SETTING England from 2001/2 to 2011/12. PARTICIPANTS A total of 32,482 small-area neighbourhoods (lower-layer super output areas) of approximately 1500 people. MAIN OUTCOME MEASURES Slope index of inequality gaps between the most and least deprived neighbourhoods in England, adjusted for need or risk, for (1) patients per family doctor, (2) primary care quality, (3) inpatient hospital waiting time, (4) emergency hospitalisation for chronic ambulatory care-sensitive conditions, (5) repeat emergency hospitalisation in the same year, (6) dying in hospital, (7) mortality amenable to health care and (8) overall mortality. DATA SOURCES Practice-level workforce data from the general practice census (indicator 1), practice-level Quality and Outcomes Framework data (indicator 2), inpatient hospital data from Hospital Episode Statistics (indicators 3–6) and mortality data from the Office for National Statistics (indicators 6–8). RESULTS Between 2004/5 and 2011/12, more deprived neighbourhoods gained larger absolute improvements on all indicators except waiting time, repeat hospitalisation and dying in hospital. In 2011/12, there was little measurable inequality in primary care supply and quality, but inequality was associated with 171,119 preventable hospitalisations and 41,123 deaths amenable to health care. In 2011/12, &gt; 20% of Clinical Commissioning Groups performed statistically significantly better or worse than the England equity benchmark. LIMITATIONS General practitioner supply is a limited measure of primary care access, need in deprived neighbourhoods may be underestimated because of a lack of data on multimorbidity, and the quality and outcomes indicators capture only one aspect of primary care quality. Health-care outcomes are adjusted for age and sex but not for other risk factors that contribute to unequal health-care outcomes and may be outside the control of the NHS, so they overestimate the extent of inequality for which the NHS can reasonably be held responsible. CONCLUSIONS NHS actions can have a measurable impact on socioeconomic inequality in both health-care access and outcomes. Reducing inequality in health-care outcomes is more challenging than reducing inequality of access to health care. Local health-care equity monitoring against a national benchmark can be performed using any administrative geography comprising ≥ 100,000 people. FUTURE WORK Exploration of quality improvement lessons from local areas performing well and badly on health-care equity, improved methods including better measures of need and risk and measures of health-care inequality over the life-course, and monitoring of other dimensions of equity. These indicators can also be used to evaluate the health-care equity impacts of interventions and make international health-care equity comparisons. FUNDING The National Institute for Health Research Health Services and Delivery Research programme.&quot;,&quot;publisher&quot;:&quot;National Institute for Health Research&quot;,&quot;issue&quot;:&quot;26&quot;,&quot;volume&quot;:&quot;4&quot;,&quot;container-title-short&quot;:&quot;&quot;},&quot;isTemporary&quot;:false},{&quot;id&quot;:&quot;bd392d1e-ebd6-36e5-b9c2-b592f84ff01e&quot;,&quot;itemData&quot;:{&quot;type&quot;:&quot;article-journal&quot;,&quot;id&quot;:&quot;bd392d1e-ebd6-36e5-b9c2-b592f84ff01e&quot;,&quot;title&quot;:&quot;How a universal health system reduces inequalities: lessons from England&quot;,&quot;author&quot;:[{&quot;family&quot;:&quot;Asaria&quot;,&quot;given&quot;:&quot;Miqdad&quot;,&quot;parse-names&quot;:false,&quot;dropping-particle&quot;:&quot;&quot;,&quot;non-dropping-particle&quot;:&quot;&quot;},{&quot;family&quot;:&quot;Ali&quot;,&quot;given&quot;:&quot;Shehzad&quot;,&quot;parse-names&quot;:false,&quot;dropping-particle&quot;:&quot;&quot;,&quot;non-dropping-particle&quot;:&quot;&quot;},{&quot;family&quot;:&quot;Doran&quot;,&quot;given&quot;:&quot;Tim&quot;,&quot;parse-names&quot;:false,&quot;dropping-particle&quot;:&quot;&quot;,&quot;non-dropping-particle&quot;:&quot;&quot;},{&quot;family&quot;:&quot;Ferguson&quot;,&quot;given&quot;:&quot;Brian&quot;,&quot;parse-names&quot;:false,&quot;dropping-particle&quot;:&quot;&quot;,&quot;non-dropping-particle&quot;:&quot;&quot;},{&quot;family&quot;:&quot;Fleetcroft&quot;,&quot;given&quot;:&quot;Robert&quot;,&quot;parse-names&quot;:false,&quot;dropping-particle&quot;:&quot;&quot;,&quot;non-dropping-particle&quot;:&quot;&quot;},{&quot;family&quot;:&quot;Goddard&quot;,&quot;given&quot;:&quot;Maria&quot;,&quot;parse-names&quot;:false,&quot;dropping-particle&quot;:&quot;&quot;,&quot;non-dropping-particle&quot;:&quot;&quot;},{&quot;family&quot;:&quot;Goldblatt&quot;,&quot;given&quot;:&quot;Peter&quot;,&quot;parse-names&quot;:false,&quot;dropping-particle&quot;:&quot;&quot;,&quot;non-dropping-particle&quot;:&quot;&quot;},{&quot;family&quot;:&quot;Laudicella&quot;,&quot;given&quot;:&quot;Mauro&quot;,&quot;parse-names&quot;:false,&quot;dropping-particle&quot;:&quot;&quot;,&quot;non-dropping-particle&quot;:&quot;&quot;},{&quot;family&quot;:&quot;Raine&quot;,&quot;given&quot;:&quot;Rosalind&quot;,&quot;parse-names&quot;:false,&quot;dropping-particle&quot;:&quot;&quot;,&quot;non-dropping-particle&quot;:&quot;&quot;},{&quot;family&quot;:&quot;Cookson&quot;,&quot;given&quot;:&quot;Richard&quot;,&quot;parse-names&quot;:false,&quot;dropping-particle&quot;:&quot;&quot;,&quot;non-dropping-particle&quot;:&quot;&quot;}],&quot;container-title&quot;:&quot;Journal of epidemiology and community health&quot;,&quot;container-title-short&quot;:&quot;J Epidemiol Community Health (1978)&quot;,&quot;accessed&quot;:{&quot;date-parts&quot;:[[2023,6,7]]},&quot;DOI&quot;:&quot;10.1136/JECH-2015-206742&quot;,&quot;ISSN&quot;:&quot;1470-2738&quot;,&quot;PMID&quot;:&quot;26787198&quot;,&quot;URL&quot;:&quot;https://pubmed.ncbi.nlm.nih.gov/26787198/&quot;,&quot;issued&quot;:{&quot;date-parts&quot;:[[2016,7,1]]},&quot;page&quot;:&quot;637-643&quot;,&quot;abstract&quot;:&quot;Background Provision of universal coverage is essential for achieving equity in healthcare, but inequalities still exist in universal healthcare systems. Between 2004/2005 and 2011/2012, the National Health Service (NHS) in England, which has provided universal coverage since 1948, made sustained efforts to reduce health inequalities by strengthening primary care. We provide the first comprehensive assessment of trends in socioeconomic inequalities of primary care access, quality and outcomes during this period. Methods Whole-population small area longitudinal study based on 32 482 neighbourhoods of approximately 1500 people in England from 2004/2005 to 2011/2012. We measured slope indices of inequality in four indicators: (1) patients per family doctor, (2) primary care quality, (3) preventable emergency hospital admissions and (4) mortality from conditions considered amenable to healthcare. Results Between 2004/2005 and 2011/2012, there were larger absolute improvements on all indicators in more-deprived neighbourhoods. The modelled gap between the most-deprived and least-deprived neighbourhoods in England decreased by: 193 patients per family doctor (95% CI 173 to 213), 3.29 percentage points of primary care quality (3.13 to 3.45), 0.42 preventable hospitalisations per 1000 people (0.29 to 0.55) and 0.23 amenable deaths per 1000 people (0.15 to 0.31). By 2011/2012, inequalities in primary care supply and quality were almost eliminated, but socioeconomic inequality was still associated with 158 396 preventable hospitalisations and 37 983 deaths amenable to healthcare. Conclusions Between 2004/2005 and 2011/2012, the NHS succeeded in substantially reducing socioeconomic inequalities in primary care access and quality, but made only modest reductions in healthcare outcome inequalities.&quot;,&quot;publisher&quot;:&quot;J Epidemiol Community Health&quot;,&quot;issue&quot;:&quot;7&quot;,&quot;volume&quot;:&quot;70&quot;},&quot;isTemporary&quot;:false}],&quot;citationTag&quot;:&quot;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&quot;},{&quot;citationID&quot;:&quot;MENDELEY_CITATION_0189ae73-ebef-4216-ae57-f516e947691c&quot;,&quot;properties&quot;:{&quot;noteIndex&quot;:0},&quot;isEdited&quot;:false,&quot;manualOverride&quot;:{&quot;isManuallyOverridden&quot;:true,&quot;citeprocText&quot;:&quot;(Cookson et al., 2016)&quot;,&quot;manualOverrideText&quot;:&quot;(Cookson et al., 2016; Are Hospital Services Used Differently in Deprived Areas? Evidence to Identify Commissioning Challenges; Cookson et al., 2016)(Are Hospital Services Used Differently in Deprived Areas? Evidence to Identify Commissioning Challenges - PDF Free Download, n.d.; Cookson et al., 2016)&quot;},&quot;citationItems&quot;:[{&quot;id&quot;:&quot;2819ceb9-9103-39e6-9cb9-5367ce200a4d&quot;,&quot;itemData&quot;:{&quot;type&quot;:&quot;article-journal&quot;,&quot;id&quot;:&quot;2819ceb9-9103-39e6-9cb9-5367ce200a4d&quot;,&quot;title&quot;:&quot;Health Equity Indicators for the English NHS: a longitudinal whole-population study at the small-area level&quot;,&quot;author&quot;:[{&quot;family&quot;:&quot;Cookson&quot;,&quot;given&quot;:&quot;Richard&quot;,&quot;parse-names&quot;:false,&quot;dropping-particle&quot;:&quot;&quot;,&quot;non-dropping-particle&quot;:&quot;&quot;},{&quot;family&quot;:&quot;Asaria&quot;,&quot;given&quot;:&quot;Miqdad&quot;,&quot;parse-names&quot;:false,&quot;dropping-particle&quot;:&quot;&quot;,&quot;non-dropping-particle&quot;:&quot;&quot;},{&quot;family&quot;:&quot;Ali&quot;,&quot;given&quot;:&quot;Shehzad&quot;,&quot;parse-names&quot;:false,&quot;dropping-particle&quot;:&quot;&quot;,&quot;non-dropping-particle&quot;:&quot;&quot;},{&quot;family&quot;:&quot;Ferguson&quot;,&quot;given&quot;:&quot;Brian&quot;,&quot;parse-names&quot;:false,&quot;dropping-particle&quot;:&quot;&quot;,&quot;non-dropping-particle&quot;:&quot;&quot;},{&quot;family&quot;:&quot;Fleetcroft&quot;,&quot;given&quot;:&quot;Robert&quot;,&quot;parse-names&quot;:false,&quot;dropping-particle&quot;:&quot;&quot;,&quot;non-dropping-particle&quot;:&quot;&quot;},{&quot;family&quot;:&quot;Goddard&quot;,&quot;given&quot;:&quot;Maria&quot;,&quot;parse-names&quot;:false,&quot;dropping-particle&quot;:&quot;&quot;,&quot;non-dropping-particle&quot;:&quot;&quot;},{&quot;family&quot;:&quot;Goldblatt&quot;,&quot;given&quot;:&quot;Peter&quot;,&quot;parse-names&quot;:false,&quot;dropping-particle&quot;:&quot;&quot;,&quot;non-dropping-particle&quot;:&quot;&quot;},{&quot;family&quot;:&quot;Laudicella&quot;,&quot;given&quot;:&quot;Mauro&quot;,&quot;parse-names&quot;:false,&quot;dropping-particle&quot;:&quot;&quot;,&quot;non-dropping-particle&quot;:&quot;&quot;},{&quot;family&quot;:&quot;Raine&quot;,&quot;given&quot;:&quot;Rosalind&quot;,&quot;parse-names&quot;:false,&quot;dropping-particle&quot;:&quot;&quot;,&quot;non-dropping-particle&quot;:&quot;&quot;}],&quot;container-title&quot;:&quot;Health Services and Delivery Research&quot;,&quot;accessed&quot;:{&quot;date-parts&quot;:[[2023,6,7]]},&quot;DOI&quot;:&quot;10.3310/HSDR04260&quot;,&quot;ISSN&quot;:&quot;2050-4349&quot;,&quot;issued&quot;:{&quot;date-parts&quot;:[[2016,9]]},&quot;page&quot;:&quot;1-224&quot;,&quot;abstract&quot;:&quot;BACKGROUND Inequalities in health-care access and outcomes raise concerns about quality of care and justice, and the NHS has a statutory duty to consider reducing them. OBJECTIVES The objectives were to (1) develop indicators of socioeconomic inequality in health-care access and outcomes at different stages of the patient pathway; (2) develop methods for monitoring local NHS equity performance in tackling socioeconomic health-care inequalities; (3) track the evolution of socioeconomic health-care inequalities in the 2000s; and (4) develop ‘equity dashboards’ for communicating equity findings to decision-makers in a clear and concise format. DESIGN Longitudinal whole-population study at the small-area level. SETTING England from 2001/2 to 2011/12. PARTICIPANTS A total of 32,482 small-area neighbourhoods (lower-layer super output areas) of approximately 1500 people. MAIN OUTCOME MEASURES Slope index of inequality gaps between the most and least deprived neighbourhoods in England, adjusted for need or risk, for (1) patients per family doctor, (2) primary care quality, (3) inpatient hospital waiting time, (4) emergency hospitalisation for chronic ambulatory care-sensitive conditions, (5) repeat emergency hospitalisation in the same year, (6) dying in hospital, (7) mortality amenable to health care and (8) overall mortality. DATA SOURCES Practice-level workforce data from the general practice census (indicator 1), practice-level Quality and Outcomes Framework data (indicator 2), inpatient hospital data from Hospital Episode Statistics (indicators 3–6) and mortality data from the Office for National Statistics (indicators 6–8). RESULTS Between 2004/5 and 2011/12, more deprived neighbourhoods gained larger absolute improvements on all indicators except waiting time, repeat hospitalisation and dying in hospital. In 2011/12, there was little measurable inequality in primary care supply and quality, but inequality was associated with 171,119 preventable hospitalisations and 41,123 deaths amenable to health care. In 2011/12, &gt; 20% of Clinical Commissioning Groups performed statistically significantly better or worse than the England equity benchmark. LIMITATIONS General practitioner supply is a limited measure of primary care access, need in deprived neighbourhoods may be underestimated because of a lack of data on multimorbidity, and the quality and outcomes indicators capture only one aspect of primary care quality. Health-care outcomes are adjusted for age and sex but not for other risk factors that contribute to unequal health-care outcomes and may be outside the control of the NHS, so they overestimate the extent of inequality for which the NHS can reasonably be held responsible. CONCLUSIONS NHS actions can have a measurable impact on socioeconomic inequality in both health-care access and outcomes. Reducing inequality in health-care outcomes is more challenging than reducing inequality of access to health care. Local health-care equity monitoring against a national benchmark can be performed using any administrative geography comprising ≥ 100,000 people. FUTURE WORK Exploration of quality improvement lessons from local areas performing well and badly on health-care equity, improved methods including better measures of need and risk and measures of health-care inequality over the life-course, and monitoring of other dimensions of equity. These indicators can also be used to evaluate the health-care equity impacts of interventions and make international health-care equity comparisons. FUNDING The National Institute for Health Research Health Services and Delivery Research programme.&quot;,&quot;publisher&quot;:&quot;National Institute for Health Research&quot;,&quot;issue&quot;:&quot;26&quot;,&quot;volume&quot;:&quot;4&quot;,&quot;container-title-short&quot;:&quot;&quot;},&quot;isTemporary&quot;:false}],&quot;citationTag&quot;:&quot;MENDELEY_CITATION_v3_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&quot;},{&quot;citationID&quot;:&quot;MENDELEY_CITATION_3f77608a-c120-4f74-bd38-66afe436b0e6&quot;,&quot;properties&quot;:{&quot;noteIndex&quot;:0},&quot;isEdited&quot;:false,&quot;manualOverride&quot;:{&quot;isManuallyOverridden&quot;:false,&quot;citeprocText&quot;:&quot;(Sarah Purdy, 2010; Scantlebury et al., 2015)&quot;,&quot;manualOverrideText&quot;:&quot;&quot;},&quot;citationItems&quot;:[{&quot;id&quot;:&quot;aabadeaa-bfa6-3e47-a4f7-b4d76a958904&quot;,&quot;itemData&quot;:{&quot;type&quot;:&quot;article-journal&quot;,&quot;id&quot;:&quot;aabadeaa-bfa6-3e47-a4f7-b4d76a958904&quot;,&quot;title&quot;:&quot;Socioeconomic deprivation and accident and emergency attendances: cross-sectional analysis of general practices in England&quot;,&quot;author&quot;:[{&quot;family&quot;:&quot;Scantlebury&quot;,&quot;given&quot;:&quot;Rachel&quot;,&quot;parse-names&quot;:false,&quot;dropping-particle&quot;:&quot;&quot;,&quot;non-dropping-particle&quot;:&quot;&quot;},{&quot;family&quot;:&quot;Durbaba&quot;,&quot;given&quot;:&quot;Stevo&quot;,&quot;parse-names&quot;:false,&quot;dropping-particle&quot;:&quot;&quot;,&quot;non-dropping-particle&quot;:&quot;&quot;},{&quot;family&quot;:&quot;Sidhu&quot;,&quot;given&quot;:&quot;Kalwant&quot;,&quot;parse-names&quot;:false,&quot;dropping-particle&quot;:&quot;&quot;,&quot;non-dropping-particle&quot;:&quot;&quot;},{&quot;family&quot;:&quot;Ashworth&quot;,&quot;given&quot;:&quot;Mark&quot;,&quot;parse-names&quot;:false,&quot;dropping-particle&quot;:&quot;&quot;,&quot;non-dropping-particle&quot;:&quot;&quot;},{&quot;family&quot;:&quot;Rowlands&quot;,&quot;given&quot;:&quot;Gillian&quot;,&quot;parse-names&quot;:false,&quot;dropping-particle&quot;:&quot;&quot;,&quot;non-dropping-particle&quot;:&quot;&quot;},{&quot;family&quot;:&quot;Schofield&quot;,&quot;given&quot;:&quot;Peter&quot;,&quot;parse-names&quot;:false,&quot;dropping-particle&quot;:&quot;&quot;,&quot;non-dropping-particle&quot;:&quot;&quot;}],&quot;container-title&quot;:&quot;The British Journal of General Practice&quot;,&quot;accessed&quot;:{&quot;date-parts&quot;:[[2023,6,7]]},&quot;DOI&quot;:&quot;10.3399/BJGP15X686893&quot;,&quot;ISSN&quot;:&quot;09601643&quot;,&quot;PMID&quot;:&quot;26412841&quot;,&quot;URL&quot;:&quot;/pmc/articles/PMC4582877/&quot;,&quot;issued&quot;:{&quot;date-parts&quot;:[[2015,10,1]]},&quot;page&quot;:&quot;e649&quot;,&quot;abstract&quot;:&quot;Background Demand for England's accident and emergency (A&amp;E) services is increasing and is particularly concentrated in areas of high deprivation. The extent to which primary care services, relative to population characteristics, can impact on A&amp;E is not fully understood. Aim To conduct a detailed analysis to identify population and primary care characteristics associated with A&amp;E attendance rates, particularly those that may be amenable to change by primary care services. Design and setting This study used a cross-sectional populationbased design. The setting was general practices in England, in the year 2011'2012. Method Multivariate linear regression analysis was used to create a model to explain the variability in practice A&amp;E attendance rates. Predictor variables included population demographics, practice characteristics, and measures of patient experiences of primary care. Results The strongest predictor of general practice A&amp;E attendance rates was social deprivation: the Index of Multiple Deprivation (IMD-2010) (β = 0.3. B = 1.4 [95% CI =1.3 to 1.6]), followed by population morbidity (GPPS responders reporting a long-standing health condition) (β = 0.2, B = 231.5 [95% CI = 202.1 to 260.8]), and knowledge of how to contact an out-of-hours GP (GPPS question 36) (β = 0.2, B = 128.7 [95% CI =149.3 to 108.2]). Other significant predictors included the practice list size (β = 0.1, B = 0.002 [95% CI = 0.003 to 0.002]) and the proportion of patients aged 04 years (β = 0.1, B = 547.3 [95% CI = 418.6 to 676.0]). The final model explained 34.4% of the variation in A&amp;E attendance rates, mostly due to factors that could not be modified by primary care services. Conclusion Demographic characteristics were the strongest predictors of A&amp;E attendance rates. Primary care variables that may be amenable to change only made a small contribution to higher A&amp;E attendance rates.&quot;,&quot;publisher&quot;:&quot;Royal College of General Practitioners&quot;,&quot;issue&quot;:&quot;639&quot;,&quot;volume&quot;:&quot;65&quot;,&quot;container-title-short&quot;:&quot;&quot;},&quot;isTemporary&quot;:false},{&quot;id&quot;:&quot;2b54cc9e-614b-3c63-b3d8-e9f88d659aa3&quot;,&quot;itemData&quot;:{&quot;type&quot;:&quot;article-journal&quot;,&quot;id&quot;:&quot;2b54cc9e-614b-3c63-b3d8-e9f88d659aa3&quot;,&quot;title&quot;:&quot;Avoiding hospital admissions: What does the research evidence say? The King's Fund, December 2010&quot;,&quot;author&quot;:[{&quot;family&quot;:&quot;Sarah Purdy&quot;,&quot;given&quot;:&quot;Author&quot;,&quot;parse-names&quot;:false,&quot;dropping-particle&quot;:&quot;&quot;,&quot;non-dropping-particle&quot;:&quot;&quot;}],&quot;accessed&quot;:{&quot;date-parts&quot;:[[2023,6,7]]},&quot;editor&quot;:[{&quot;family&quot;:&quot;The King’s Fund&quot;,&quot;given&quot;:&quot;&quot;,&quot;parse-names&quot;:false,&quot;dropping-particle&quot;:&quot;&quot;,&quot;non-dropping-particle&quot;:&quot;&quot;}],&quot;ISBN&quot;:&quot;978 1 85717 607 0&quot;,&quot;URL&quot;:&quot;https://www.kingsfund.org.uk/publications/avoiding-hospital-admissions&quot;,&quot;issued&quot;:{&quot;date-parts&quot;:[[2010]]},&quot;page&quot;:&quot;1-28&quot;,&quot;abstract&quot;:&quot;Executive summary Emergency admissions-that is, admissions that are not predicted and happen at short notice because of perceived clinical need (NHS Connecting for Health 2010)-represent around 65 per cent of hospital bed days in England (34 million bed days and 4.75 million emergency admissions in 2007/8) (Hospital Episode Statistics 2007/8). Avoiding emergency hospital admissions is a major concern for the National Health Service (NHS), not only because of the high and rising unit costs of emergency admission compared with other forms of care, but also because of the disruption it causes to elective health care-most notably inpatient waiting lists-and to the individuals admitted (Audit Commission 2009). Despite considerable efforts to reduce emergency admissions, only a minority of primary care trusts (PCTs) succeeded in doing so between 2007/8 and 2008/9 (Gillam 2010). The average increase in admissions during this time was 5 per cent across all PCTs, ranging from a 12.7 per cent decrease to a 27.3 per cent increase. In order to successfully reduce avoidable emergency admissions, we need to fully understand which interventions are the most effective. This paper considers the research evidence for a range of interventions to avoid emergency or unplanned hospital admissions. In this paper, we aim to address the following questions: n What interventions work in reducing avoidable admissions? n Who is at risk, and how do we identify them? n Which admissions are potentially avoidable? n Which interventions work in:-primary care-social care-emergency care-discharge from hospital.&quot;,&quot;container-title-short&quot;:&quot;&quot;},&quot;isTemporary&quot;:false}],&quot;citationTag&quot;:&quot;MENDELEY_CITATION_v3_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&quot;},{&quot;citationID&quot;:&quot;MENDELEY_CITATION_f2af736c-01f7-46b9-ba9a-72054d74f0dd&quot;,&quot;properties&quot;:{&quot;noteIndex&quot;:0},&quot;isEdited&quot;:false,&quot;manualOverride&quot;:{&quot;isManuallyOverridden&quot;:false,&quot;citeprocText&quot;:&quot;(Saini et al., 2020)&quot;,&quot;manualOverrideText&quot;:&quot;&quot;},&quot;citationItems&quot;:[{&quot;id&quot;:&quot;8b854577-35ac-3ff4-9ab1-6db129f85a2b&quot;,&quot;itemData&quot;:{&quot;type&quot;:&quot;article-journal&quot;,&quot;id&quot;:&quot;8b854577-35ac-3ff4-9ab1-6db129f85a2b&quot;,&quot;title&quot;:&quot;Predictors of emergency department and GP use among patients with mental health conditions: a public health survey&quot;,&quot;author&quot;:[{&quot;family&quot;:&quot;Saini&quot;,&quot;given&quot;:&quot;Pooja&quot;,&quot;parse-names&quot;:false,&quot;dropping-particle&quot;:&quot;&quot;,&quot;non-dropping-particle&quot;:&quot;&quot;},{&quot;family&quot;:&quot;McIntyre&quot;,&quot;given&quot;:&quot;Jason&quot;,&quot;parse-names&quot;:false,&quot;dropping-particle&quot;:&quot;&quot;,&quot;non-dropping-particle&quot;:&quot;&quot;},{&quot;family&quot;:&quot;Corcoran&quot;,&quot;given&quot;:&quot;Rhiannon&quot;,&quot;parse-names&quot;:false,&quot;dropping-particle&quot;:&quot;&quot;,&quot;non-dropping-particle&quot;:&quot;&quot;},{&quot;family&quot;:&quot;Daras&quot;,&quot;given&quot;:&quot;Konstantinos&quot;,&quot;parse-names&quot;:false,&quot;dropping-particle&quot;:&quot;&quot;,&quot;non-dropping-particle&quot;:&quot;&quot;},{&quot;family&quot;:&quot;Giebel&quot;,&quot;given&quot;:&quot;Clarissa&quot;,&quot;parse-names&quot;:false,&quot;dropping-particle&quot;:&quot;&quot;,&quot;non-dropping-particle&quot;:&quot;&quot;},{&quot;family&quot;:&quot;Fuller&quot;,&quot;given&quot;:&quot;Elizabeth&quot;,&quot;parse-names&quot;:false,&quot;dropping-particle&quot;:&quot;&quot;,&quot;non-dropping-particle&quot;:&quot;&quot;},{&quot;family&quot;:&quot;Shelton&quot;,&quot;given&quot;:&quot;Jane&quot;,&quot;parse-names&quot;:false,&quot;dropping-particle&quot;:&quot;&quot;,&quot;non-dropping-particle&quot;:&quot;&quot;},{&quot;family&quot;:&quot;Wilson&quot;,&quot;given&quot;:&quot;Timothy&quot;,&quot;parse-names&quot;:false,&quot;dropping-particle&quot;:&quot;&quot;,&quot;non-dropping-particle&quot;:&quot;&quot;},{&quot;family&quot;:&quot;Comerford&quot;,&quot;given&quot;:&quot;Terence&quot;,&quot;parse-names&quot;:false,&quot;dropping-particle&quot;:&quot;&quot;,&quot;non-dropping-particle&quot;:&quot;&quot;},{&quot;family&quot;:&quot;Nathan&quot;,&quot;given&quot;:&quot;Rajan&quot;,&quot;parse-names&quot;:false,&quot;dropping-particle&quot;:&quot;&quot;,&quot;non-dropping-particle&quot;:&quot;&quot;},{&quot;family&quot;:&quot;Gabbay&quot;,&quot;given&quot;:&quot;Mark&quot;,&quot;parse-names&quot;:false,&quot;dropping-particle&quot;:&quot;&quot;,&quot;non-dropping-particle&quot;:&quot;&quot;}],&quot;container-title&quot;:&quot;The British Journal of General Practice&quot;,&quot;accessed&quot;:{&quot;date-parts&quot;:[[2023,6,7]]},&quot;DOI&quot;:&quot;10.3399/BJGP19X707093&quot;,&quot;ISSN&quot;:&quot;14785242&quot;,&quot;PMID&quot;:&quot;31848197&quot;,&quot;URL&quot;:&quot;/pmc/articles/PMC6917360/&quot;,&quot;issued&quot;:{&quot;date-parts&quot;:[[2020]]},&quot;page&quot;:&quot;e1&quot;,&quot;abstract&quot;:&quot;Background High demand for health services is an issue of current importance in England, in part because of the rapidly increasing use of emergency departments (EDs) and GP practices for mental health conditions and the high cost of these services. Aim To examine the social determinants of health service use in people with mental health issues. Design and setting Twenty-eight neighbourhoods, each with a population of 5000–10 000 people, in the north west coast of England with differing levels of deprivation. Method A comprehensive public health survey was conducted, comprising questions on housing, physical health, mental health, lifestyle, social issues, environment, work, and finances. Poisson regression models assessed the effect of mental health comorbidity, mental and physical health comorbidity, and individual mental health symptoms on ED and general practice attendances, adjusting for relevant socioeconomic and lifestyle factors. Results Participants who had both a physical and mental health condition reported attending the ED (rate ratio [RR] = 4.63, 95% confidence interval [CI] = 2.86 to 7.51) and general practice (RR = 3.82, 95% CI = 3.16 to 4.62) more frequently than all other groups. Having a higher number of mental health condition symptoms was associated with higher general practice and ED service use. Depression was the only mental health condition symptom that was significantly associated with ED attendance (RR = 1.41, 95% CI = 1.05 to 1.90), and anxiety was the only symptom significantly associated with GP attendance (RR = 1.19, 95% CI = 1.03 to 1.38). Conclusion Mental health comorbidities increase the risk of attendances to both EDs and general practice. Further research into the social attributes that contribute to reduced ED and general practice attendance rates is needed.&quot;,&quot;publisher&quot;:&quot;Royal College of General Practitioners&quot;,&quot;issue&quot;:&quot;690&quot;,&quot;volume&quot;:&quot;70&quot;,&quot;container-title-short&quot;:&quot;&quot;},&quot;isTemporary&quot;:false}],&quot;citationTag&quot;:&quot;MENDELEY_CITATION_v3_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&quot;},{&quot;citationID&quot;:&quot;MENDELEY_CITATION_7179445f-ffbf-43dc-855f-c572732c25aa&quot;,&quot;properties&quot;:{&quot;noteIndex&quot;:0},&quot;isEdited&quot;:false,&quot;manualOverride&quot;:{&quot;isManuallyOverridden&quot;:false,&quot;citeprocText&quot;:&quot;(Gray et al., 2020)&quot;,&quot;manualOverrideText&quot;:&quot;&quot;},&quot;citationItems&quot;:[{&quot;id&quot;:&quot;13cdc8b2-f486-3c92-aa2e-745438c6fbbd&quot;,&quot;itemData&quot;:{&quot;type&quot;:&quot;article-journal&quot;,&quot;id&quot;:&quot;13cdc8b2-f486-3c92-aa2e-745438c6fbbd&quot;,&quot;title&quot;:&quot;Symptoms of posttraumatic stress disorder in patients with functional neurological symptom disorder&quot;,&quot;author&quot;:[{&quot;family&quot;:&quot;Gray&quot;,&quot;given&quot;:&quot;C&quot;,&quot;parse-names&quot;:false,&quot;dropping-particle&quot;:&quot;&quot;,&quot;non-dropping-particle&quot;:&quot;&quot;},{&quot;family&quot;:&quot;Calderbank&quot;,&quot;given&quot;:&quot;A&quot;,&quot;parse-names&quot;:false,&quot;dropping-particle&quot;:&quot;&quot;,&quot;non-dropping-particle&quot;:&quot;&quot;},{&quot;family&quot;:&quot;Adewusi&quot;,&quot;given&quot;:&quot;J&quot;,&quot;parse-names&quot;:false,&quot;dropping-particle&quot;:&quot;&quot;,&quot;non-dropping-particle&quot;:&quot;&quot;},{&quot;family&quot;:&quot;Hughes&quot;,&quot;given&quot;:&quot;R&quot;,&quot;parse-names&quot;:false,&quot;dropping-particle&quot;:&quot;&quot;,&quot;non-dropping-particle&quot;:&quot;&quot;},{&quot;family&quot;:&quot;Reuber&quot;,&quot;given&quot;:&quot;M&quot;,&quot;parse-names&quot;:false,&quot;dropping-particle&quot;:&quot;&quot;,&quot;non-dropping-particle&quot;:&quot;&quot;}],&quot;container-title&quot;:&quot;J Psychosom Res&quot;,&quot;DOI&quot;:&quot;10.1016/j.jpsychores.2019.109907&quot;,&quot;ISSN&quot;:&quot;0022-3999&quot;,&quot;PMID&quot;:&quot;31901839&quot;,&quot;issued&quot;:{&quot;date-parts&quot;:[[2020]]},&quot;page&quot;:&quot;109907&quot;,&quot;language&quot;:&quot;eng&quot;,&quot;abstract&quot;:&quot;OBJECTIVE: To describe prevalence and relevance of Post-Traumatic Stress Disorder (PTSD) symptoms in Functional Neurological Symptom Disorder (FNSD) and explore differences in PTSD symptom scores between subgroups with Psychogenic Non-Epileptic Seizures (PNES) or other FNSD. METHODS: This cross-sectional study evaluated data from 430 consecutive patients referred to a specialist psychotherapy service (69.3% female, 56% with PNES/44% with other FNSD). We analysed self-reported symptoms of Post-Traumatic Stress Disorder (PTSD Civilian Checklist, PCLC), depression (PHQ-9), anxiety (GAD-7), physical symptoms (PHQ-15), social functioning (WSAS), and health related quality of life (SF-36). Relationships between PTSD scores, diagnosis and other measures were examined. Independent associations of PTSD scores were identified using multilinear regression. RESULTS: Symptom scores likely to indicate clinical PTSD were reported by 60.7% of patients with no difference between PNES and FNSD subgroups. Those potentially symptomatic of PTSD were less likely to be living with a partner OR 2.95 (95% CI 1.83-4.04), or to be in employment OR 2.23 (95% CI 1.46-3.41) than less symptomatic patients. There were higher levels of anxiety (r = 0.62), depression (r = 0.63) and somatic symptoms (r = 0.45) and lower quality of life scores (r = 0.48) in patients with high PTSD symptom scores (p &lt; .0001 for all comparisons). Anxiety, depression and somatic symptoms made independent contributions to the variance of PTSD symptoms. CONCLUSION: There is a high prevalence of PTSD symptoms in patient with FNSD regardless of whether they have PNES. Trauma and PTSD symptoms are negatively correlated with quality of life. Self-report instruments for anxiety, depression and somatic symptoms may predict the presence of PTSD.&quot;,&quot;edition&quot;:&quot;2020/01/07&quot;,&quot;volume&quot;:&quot;129&quot;,&quot;container-title-short&quot;:&quot;&quot;},&quot;isTemporary&quot;:false}],&quot;citationTag&quot;:&quot;MENDELEY_CITATION_v3_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&quot;},{&quot;citationID&quot;:&quot;MENDELEY_CITATION_cb3daef1-2ff1-42ed-bec4-f9622bb820cb&quot;,&quot;properties&quot;:{&quot;noteIndex&quot;:0},&quot;isEdited&quot;:false,&quot;manualOverride&quot;:{&quot;isManuallyOverridden&quot;:false,&quot;citeprocText&quot;:&quot;(Barsky et al., 2005; Merkler et al., 2016)&quot;,&quot;manualOverrideText&quot;:&quot;&quot;},&quot;citationItems&quot;:[{&quot;id&quot;:&quot;c3c14845-8c91-3fdc-a46a-dfaacd72f3f6&quot;,&quot;itemData&quot;:{&quot;type&quot;:&quot;article-journal&quot;,&quot;id&quot;:&quot;c3c14845-8c91-3fdc-a46a-dfaacd72f3f6&quot;,&quot;title&quot;:&quot;Somatization increases medical utilization and costs independent of psychiatric and medical comorbidity&quot;,&quot;author&quot;:[{&quot;family&quot;:&quot;Barsky&quot;,&quot;given&quot;:&quot;A J&quot;,&quot;parse-names&quot;:false,&quot;dropping-particle&quot;:&quot;&quot;,&quot;non-dropping-particle&quot;:&quot;&quot;},{&quot;family&quot;:&quot;Orav&quot;,&quot;given&quot;:&quot;E J&quot;,&quot;parse-names&quot;:false,&quot;dropping-particle&quot;:&quot;&quot;,&quot;non-dropping-particle&quot;:&quot;&quot;},{&quot;family&quot;:&quot;Bates&quot;,&quot;given&quot;:&quot;D W&quot;,&quot;parse-names&quot;:false,&quot;dropping-particle&quot;:&quot;&quot;,&quot;non-dropping-particle&quot;:&quot;&quot;}],&quot;container-title&quot;:&quot;Arch Gen Psychiatry&quot;,&quot;DOI&quot;:&quot;10.1001/archpsyc.62.8.903&quot;,&quot;ISSN&quot;:&quot;0003-990X (Print)\r0003-990x&quot;,&quot;PMID&quot;:&quot;16061768&quot;,&quot;issued&quot;:{&quot;date-parts&quot;:[[2005]]},&quot;page&quot;:&quot;903-910&quot;,&quot;language&quot;:&quot;eng&quot;,&quot;abstract&quot;:&quot;CONTEXT: Somatoform disorders are an important determinant of medical care utilization, but their independent effect on utilization is difficult to determine because somatizing patients frequently have psychiatric and medical comorbidity. OBJECTIVES: To assess the extent of the overlap of somatization with other psychiatric disorders; to compare the medical utilization of somatizing and nonsomatizing patients; and to determine the independent contribution of somatization alone to utilization. DESIGN: Patients were surveyed with self-report questionnaires assessing somatization and psychiatric disorder. Medical care utilization was obtained from automated encounter data for the year preceding the index visit. Medical morbidity was indexed with a computerized medical record audit. SETTING: Two hospital-affiliated primary care practices. PARTICIPANTS: Consecutive adults making scheduled visits to their primary care physicians on randomly chosen days. In all, 2668 questionnaires were distributed, and 1914 (71.7%) were returned. Of these, 1546 (80.8%) contained complete data and met eligibility criteria. MAIN OUTCOME MEASURES: Medical care utilization and costs within our hospital system in the preceding 12 months. RESULTS: Two hundred ninety-nine patients (20.5%) received a provisional diagnosis of somatization; 42.3% of these patients had no comorbid depressive or anxiety disorder. Somatizing patients, when compared with nonsomatizing patients, had more primary care visits (mean [SE], 4.90 [0.32] vs 3.43 [0.11]; P&lt;.001); more specialty visits (mean [SE], 8.13 [0.55] vs 4.90 [0.21]; P&lt;.001); more emergency department visits (mean [SE], 1.29 [0.15] vs 0.52 [0.036]; P&lt;.001); more hospital admissions (mean [SE], 0.32 [0.051] vs 0.13 [0.014]; P&lt;.001); higher inpatient costs (mean [SE], USD 3146 [USD 380] vs USD 991 [USD 193]; P&lt;.001); and higher outpatient costs (mean [SE], USD 3208 [USD 180] vs USD 1771 [USD 91]; P&lt;.001). When these results were adjusted for the presence of comorbid anxiety and depressive disorders, major medical morbidity, and sociodemographic characteristics, patients with somatoform disorder still had more primary care visits (P = .04), more specialist visits (P = .002), more emergency department visits (P&lt;.001), more hospital admissions (P&lt;.001), more ambulatory procedures (P&lt;.001), higher inpatient costs (P&lt;.001), and higher outpatient costs (P&lt;.001). When these findings are extrapolated to the national level, an estimated USD 256 billion a year in medical care costs are attributable to the incremental effect of somatization alone. CONCLUSIONS: Patients with somatization had approximately twice the outpatient and inpatient medical care utilization and twice the annual medical care costs of nonsomatizing patients. Adjusting the findings for the presence of psychiatric and medical comorbidity had relatively little effect on this association.&quot;,&quot;edition&quot;:&quot;2005/08/03&quot;,&quot;issue&quot;:&quot;8&quot;,&quot;volume&quot;:&quot;62&quot;,&quot;container-title-short&quot;:&quot;&quot;},&quot;isTemporary&quot;:false},{&quot;id&quot;:&quot;4eac23d5-a047-35ff-8a4d-6893f7df2ef9&quot;,&quot;itemData&quot;:{&quot;type&quot;:&quot;article-journal&quot;,&quot;id&quot;:&quot;4eac23d5-a047-35ff-8a4d-6893f7df2ef9&quot;,&quot;title&quot;:&quot;Hospital revisit rate after a diagnosis of conversion disorder&quot;,&quot;author&quot;:[{&quot;family&quot;:&quot;Merkler&quot;,&quot;given&quot;:&quot;A E&quot;,&quot;parse-names&quot;:false,&quot;dropping-particle&quot;:&quot;&quot;,&quot;non-dropping-particle&quot;:&quot;&quot;},{&quot;family&quot;:&quot;Parikh&quot;,&quot;given&quot;:&quot;N S&quot;,&quot;parse-names&quot;:false,&quot;dropping-particle&quot;:&quot;&quot;,&quot;non-dropping-particle&quot;:&quot;&quot;},{&quot;family&quot;:&quot;Chaudhry&quot;,&quot;given&quot;:&quot;S&quot;,&quot;parse-names&quot;:false,&quot;dropping-particle&quot;:&quot;&quot;,&quot;non-dropping-particle&quot;:&quot;&quot;},{&quot;family&quot;:&quot;Chait&quot;,&quot;given&quot;:&quot;A&quot;,&quot;parse-names&quot;:false,&quot;dropping-particle&quot;:&quot;&quot;,&quot;non-dropping-particle&quot;:&quot;&quot;},{&quot;family&quot;:&quot;Allen&quot;,&quot;given&quot;:&quot;N C&quot;,&quot;parse-names&quot;:false,&quot;dropping-particle&quot;:&quot;&quot;,&quot;non-dropping-particle&quot;:&quot;&quot;},{&quot;family&quot;:&quot;Navi&quot;,&quot;given&quot;:&quot;B B&quot;,&quot;parse-names&quot;:false,&quot;dropping-particle&quot;:&quot;&quot;,&quot;non-dropping-particle&quot;:&quot;&quot;},{&quot;family&quot;:&quot;Kamel&quot;,&quot;given&quot;:&quot;H&quot;,&quot;parse-names&quot;:false,&quot;dropping-particle&quot;:&quot;&quot;,&quot;non-dropping-particle&quot;:&quot;&quot;}],&quot;container-title&quot;:&quot;J Neurol Neurosurg Psychiatry&quot;,&quot;DOI&quot;:&quot;10.1136/jnnp-2014-310181&quot;,&quot;ISSN&quot;:&quot;0022-3050&quot;,&quot;PMID&quot;:&quot;25855400&quot;,&quot;issued&quot;:{&quot;date-parts&quot;:[[2016]]},&quot;page&quot;:&quot;363-366&quot;,&quot;language&quot;:&quot;eng&quot;,&quot;abstract&quot;:&quot;OBJECTIVE: To estimate the hospital revisit rate of patients diagnosed with conversion disorder (CD). METHODS: Using administrative data, we identified all patients discharged from California, Florida and New York emergency departments (EDs) and acute care hospitals between 2005 and 2011 with a primary discharge diagnosis of CD. Patients discharged with a primary diagnosis of seizure or transient global amnesia (TGA) served as control groups. Our primary outcome was the rate of repeat ED visits and hospital admissions after initial presentation. Poisson regression was used to compare rates between diagnosis groups while adjusting for demographic characteristics. RESULTS: We identified 7946 patients discharged with a primary diagnosis of CD. During a mean follow-up of 3.0 (±1.6) years, patients with CD had a median of three (IQR, 1-9) ED or inpatient revisits, compared with 0 (IQR, 0-2) in patients with TGA and 3 (IQR, 1-7) in those with seizures. Revisit rates were 18.25 (95% CI, 18.10 to 18.40) visits per 100 patients per month in those with CD, 3.90 (95% CI, 3.84 to 3.95) in those with TGA and 17.78 (95% CI, 17.75 to 17.81) in those with seizures. As compared to CD, the incidence rate ratio for repeat ED visits or hospitalisations was 0.89 (95% CI, 0.86 to 0.93) for seizure disorder and 0.32 (95% CI 0.31 to 0.34) for TGA. CONCLUSIONS: CD is associated with a substantial hospital revisit rate. Our findings suggest that CD is not an acute, time-limited response to stress, but rather that CD is a manifestation of a broader pattern of chronic neuropsychiatric disease.&quot;,&quot;edition&quot;:&quot;2015/04/10&quot;,&quot;issue&quot;:&quot;4&quot;,&quot;volume&quot;:&quot;87&quot;,&quot;container-title-short&quot;:&quot;&quot;},&quot;isTemporary&quot;:false}],&quot;citationTag&quot;:&quot;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&quot;},{&quot;citationID&quot;:&quot;MENDELEY_CITATION_528204c6-58d0-4267-bf26-0bb801633507&quot;,&quot;properties&quot;:{&quot;noteIndex&quot;:0},&quot;isEdited&quot;:false,&quot;manualOverride&quot;:{&quot;isManuallyOverridden&quot;:false,&quot;citeprocText&quot;:&quot;(Turner et al., 2021)&quot;,&quot;manualOverrideText&quot;:&quot;&quot;},&quot;citationItems&quot;:[{&quot;id&quot;:&quot;8e18d8b9-67a9-3706-873e-4fc5fdc7a103&quot;,&quot;itemData&quot;:{&quot;type&quot;:&quot;article-journal&quot;,&quot;id&quot;:&quot;8e18d8b9-67a9-3706-873e-4fc5fdc7a103&quot;,&quot;title&quot;:&quot;Characteristics of the NHS 111 Online and telephone populations&quot;,&quot;author&quot;:[{&quot;family&quot;:&quot;Turner&quot;,&quot;given&quot;:&quot;Janette&quot;,&quot;parse-names&quot;:false,&quot;dropping-particle&quot;:&quot;&quot;,&quot;non-dropping-particle&quot;:&quot;&quot;},{&quot;family&quot;:&quot;Knowles&quot;,&quot;given&quot;:&quot;Emma&quot;,&quot;parse-names&quot;:false,&quot;dropping-particle&quot;:&quot;&quot;,&quot;non-dropping-particle&quot;:&quot;&quot;},{&quot;family&quot;:&quot;Simpson&quot;,&quot;given&quot;:&quot;Rebecca&quot;,&quot;parse-names&quot;:false,&quot;dropping-particle&quot;:&quot;&quot;,&quot;non-dropping-particle&quot;:&quot;&quot;},{&quot;family&quot;:&quot;Sampson&quot;,&quot;given&quot;:&quot;Fiona&quot;,&quot;parse-names&quot;:false,&quot;dropping-particle&quot;:&quot;&quot;,&quot;non-dropping-particle&quot;:&quot;&quot;},{&quot;family&quot;:&quot;Dixon&quot;,&quot;given&quot;:&quot;Simon&quot;,&quot;parse-names&quot;:false,&quot;dropping-particle&quot;:&quot;&quot;,&quot;non-dropping-particle&quot;:&quot;&quot;},{&quot;family&quot;:&quot;Long&quot;,&quot;given&quot;:&quot;Jaqui&quot;,&quot;parse-names&quot;:false,&quot;dropping-particle&quot;:&quot;&quot;,&quot;non-dropping-particle&quot;:&quot;&quot;},{&quot;family&quot;:&quot;Bell-Gorrod&quot;,&quot;given&quot;:&quot;Helen&quot;,&quot;parse-names&quot;:false,&quot;dropping-particle&quot;:&quot;&quot;,&quot;non-dropping-particle&quot;:&quot;&quot;},{&quot;family&quot;:&quot;Jacques&quot;,&quot;given&quot;:&quot;Richard&quot;,&quot;parse-names&quot;:false,&quot;dropping-particle&quot;:&quot;&quot;,&quot;non-dropping-particle&quot;:&quot;&quot;},{&quot;family&quot;:&quot;Coster&quot;,&quot;given&quot;:&quot;Joanne&quot;,&quot;parse-names&quot;:false,&quot;dropping-particle&quot;:&quot;&quot;,&quot;non-dropping-particle&quot;:&quot;&quot;},{&quot;family&quot;:&quot;Yang&quot;,&quot;given&quot;:&quot;Hui&quot;,&quot;parse-names&quot;:false,&quot;dropping-particle&quot;:&quot;&quot;,&quot;non-dropping-particle&quot;:&quot;&quot;},{&quot;family&quot;:&quot;Nicholl&quot;,&quot;given&quot;:&quot;Jon&quot;,&quot;parse-names&quot;:false,&quot;dropping-particle&quot;:&quot;&quot;,&quot;non-dropping-particle&quot;:&quot;&quot;},{&quot;family&quot;:&quot;Bath&quot;,&quot;given&quot;:&quot;Peter&quot;,&quot;parse-names&quot;:false,&quot;dropping-particle&quot;:&quot;&quot;,&quot;non-dropping-particle&quot;:&quot;&quot;},{&quot;family&quot;:&quot;Fall&quot;,&quot;given&quot;:&quot;Daniel&quot;,&quot;parse-names&quot;:false,&quot;dropping-particle&quot;:&quot;&quot;,&quot;non-dropping-particle&quot;:&quot;&quot;},{&quot;family&quot;:&quot;Stone&quot;,&quot;given&quot;:&quot;Tony&quot;,&quot;parse-names&quot;:false,&quot;dropping-particle&quot;:&quot;&quot;,&quot;non-dropping-particle&quot;:&quot;&quot;}],&quot;accessed&quot;:{&quot;date-parts&quot;:[[2023,6,7]]},&quot;URL&quot;:&quot;https://www.ncbi.nlm.nih.gov/books/NBK575175/&quot;,&quot;issued&quot;:{&quot;date-parts&quot;:[[2021]]},&quot;publisher&quot;:&quot;NIHR Journals Library&quot;,&quot;container-title-short&quot;:&quot;&quot;},&quot;isTemporary&quot;:false}],&quot;citationTag&quot;:&quot;MENDELEY_CITATION_v3_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&quot;},{&quot;citationID&quot;:&quot;MENDELEY_CITATION_173b0c32-9d77-4deb-9891-6e10a7d7b51b&quot;,&quot;properties&quot;:{&quot;noteIndex&quot;:0},&quot;isEdited&quot;:false,&quot;manualOverride&quot;:{&quot;isManuallyOverridden&quot;:false,&quot;citeprocText&quot;:&quot;(Schaffer et al., 2021)&quot;,&quot;manualOverrideText&quot;:&quot;&quot;},&quot;citationItems&quot;:[{&quot;id&quot;:&quot;97e24390-1ee1-355a-b841-52304e766e04&quot;,&quot;itemData&quot;:{&quot;type&quot;:&quot;article-journal&quot;,&quot;id&quot;:&quot;97e24390-1ee1-355a-b841-52304e766e04&quot;,&quot;title&quot;:&quot;Interrupted time series analysis using autoregressive integrated moving average (ARIMA) models: a guide for evaluating large-scale health interventions&quot;,&quot;author&quot;:[{&quot;family&quot;:&quot;Schaffer&quot;,&quot;given&quot;:&quot;Andrea L.&quot;,&quot;parse-names&quot;:false,&quot;dropping-particle&quot;:&quot;&quot;,&quot;non-dropping-particle&quot;:&quot;&quot;},{&quot;family&quot;:&quot;Dobbins&quot;,&quot;given&quot;:&quot;Timothy A.&quot;,&quot;parse-names&quot;:false,&quot;dropping-particle&quot;:&quot;&quot;,&quot;non-dropping-particle&quot;:&quot;&quot;},{&quot;family&quot;:&quot;Pearson&quot;,&quot;given&quot;:&quot;Sallie Anne&quot;,&quot;parse-names&quot;:false,&quot;dropping-particle&quot;:&quot;&quot;,&quot;non-dropping-particle&quot;:&quot;&quot;}],&quot;container-title&quot;:&quot;BMC Medical Research Methodology&quot;,&quot;container-title-short&quot;:&quot;BMC Med Res Methodol&quot;,&quot;accessed&quot;:{&quot;date-parts&quot;:[[2023,6,7]]},&quot;DOI&quot;:&quot;10.1186/S12874-021-01235-8/FIGURES/5&quot;,&quot;ISSN&quot;:&quot;14712288&quot;,&quot;PMID&quot;:&quot;33752604&quot;,&quot;URL&quot;:&quot;https://bmcmedresmethodol.biomedcentral.com/articles/10.1186/s12874-021-01235-8&quot;,&quot;issued&quot;:{&quot;date-parts&quot;:[[2021,12,1]]},&quot;page&quot;:&quot;1-12&quot;,&quot;abstract&quot;:&quot;Background: Interrupted time series analysis is increasingly used to evaluate the impact of large-scale health interventions. While segmented regression is a common approach, it is not always adequate, especially in the presence of seasonality and autocorrelation. An Autoregressive Integrated Moving Average (ARIMA) model is an alternative method that can accommodate these issues. Methods: We describe the underlying theory behind ARIMA models and how they can be used to evaluate population-level interventions, such as the introduction of health policies. We discuss how to select the shape of the impact, the model selection process, transfer functions, checking model fit, and interpretation of findings. We also provide R and SAS code to replicate our results. Results: We illustrate ARIMA modelling using the example of a policy intervention to reduce inappropriate prescribing. In January 2014, the Australian government eliminated prescription refills for the 25 mg tablet strength of quetiapine, an antipsychotic, to deter its prescribing for non-approved indications. We examine the impact of this policy intervention on dispensing of quetiapine using dispensing claims data. Conclusions: ARIMA modelling is a useful tool to evaluate the impact of large-scale interventions when other approaches are not suitable, as it can account for underlying trends, autocorrelation and seasonality and allows for flexible modelling of different types of impacts.&quot;,&quot;publisher&quot;:&quot;BioMed Central Ltd&quot;,&quot;issue&quot;:&quot;1&quot;,&quot;volume&quot;:&quot;21&quot;},&quot;isTemporary&quot;:false}],&quot;citationTag&quot;:&quot;MENDELEY_CITATION_v3_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&quot;},{&quot;citationID&quot;:&quot;MENDELEY_CITATION_8043888f-018d-4b0d-a587-c488b2363e8e&quot;,&quot;properties&quot;:{&quot;noteIndex&quot;:0},&quot;isEdited&quot;:false,&quot;manualOverride&quot;:{&quot;isManuallyOverridden&quot;:false,&quot;citeprocText&quot;:&quot;(Royal College of Emergency Medicine, 2017)&quot;,&quot;manualOverrideText&quot;:&quot;&quot;},&quot;citationItems&quot;:[{&quot;id&quot;:&quot;970aeffc-ea15-3f4b-bbbb-7aae649a8637&quot;,&quot;itemData&quot;:{&quot;type&quot;:&quot;article-journal&quot;,&quot;id&quot;:&quot;970aeffc-ea15-3f4b-bbbb-7aae649a8637&quot;,&quot;title&quot;:&quot;Frequent Attenders in the Emergency\nDepartment.&quot;,&quot;author&quot;:[{&quot;family&quot;:&quot;Royal College of Emergency Medicine&quot;,&quot;given&quot;:&quot;&quot;,&quot;parse-names&quot;:false,&quot;dropping-particle&quot;:&quot;&quot;,&quot;non-dropping-particle&quot;:&quot;&quot;}],&quot;accessed&quot;:{&quot;date-parts&quot;:[[2023,5,7]]},&quot;URL&quot;:&quot;https://rcem.ac.uk/wp-content/uploads/2021/10/Frequent_Attenders_in_the_ED_Aug2017.pdf&quot;,&quot;issued&quot;:{&quot;date-parts&quot;:[[2017]]},&quot;container-title-short&quot;:&quot;&quot;},&quot;isTemporary&quot;:false}],&quot;citationTag&quot;:&quot;MENDELEY_CITATION_v3_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&quot;},{&quot;citationID&quot;:&quot;MENDELEY_CITATION_16126611-315f-4c65-b40c-b8d59ac37d5c&quot;,&quot;properties&quot;:{&quot;noteIndex&quot;:0},&quot;isEdited&quot;:false,&quot;manualOverride&quot;:{&quot;isManuallyOverridden&quot;:true,&quot;citeprocText&quot;:&quot;(&lt;i&gt;NHS England » High Intensity Use Programme&lt;/i&gt;, n.d.; &lt;i&gt;NHS England » Next Steps in Increasing Capacity and Operational Resilience in Urgent and Emergency Care Ahead of Winter&lt;/i&gt;, n.d.)&quot;,&quot;manualOverrideText&quot;:&quot;(NHS England » High-Intensity Use Programme, n.d.; NHS England » Next Steps in Increasing Capacity and Operational Resilience in Urgent and Emergency Care Ahead of Winter, n.d.)&quot;},&quot;citationItems&quot;:[{&quot;id&quot;:&quot;a7b4e5d6-84e5-39c9-bd05-3b9472093b7f&quot;,&quot;itemData&quot;:{&quot;type&quot;:&quot;webpage&quot;,&quot;id&quot;:&quot;a7b4e5d6-84e5-39c9-bd05-3b9472093b7f&quot;,&quot;title&quot;:&quot;NHS England » High Intensity Use programme&quot;,&quot;accessed&quot;:{&quot;date-parts&quot;:[[2023,6,7]]},&quot;URL&quot;:&quot;https://www.england.nhs.uk/high-intensity-use-programme/&quot;,&quot;container-title-short&quot;:&quot;&quot;},&quot;isTemporary&quot;:false},{&quot;id&quot;:&quot;ab7c0827-3a71-394a-acd0-27d05c5aac79&quot;,&quot;itemData&quot;:{&quot;type&quot;:&quot;webpage&quot;,&quot;id&quot;:&quot;ab7c0827-3a71-394a-acd0-27d05c5aac79&quot;,&quot;title&quot;:&quot;NHS England » Next steps in increasing capacity and operational resilience in urgent and emergency care ahead of winter&quot;,&quot;accessed&quot;:{&quot;date-parts&quot;:[[2023,6,7]]},&quot;URL&quot;:&quot;https://www.england.nhs.uk/long-read/next-steps-in-increasing-capacity-and-operational-resilience-in-urgent-and-emergency-care-ahead-of-winter/&quot;,&quot;container-title-short&quot;:&quot;&quot;},&quot;isTemporary&quot;:false}],&quot;citationTag&quot;:&quot;MENDELEY_CITATION_v3_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&quot;},{&quot;citationID&quot;:&quot;MENDELEY_CITATION_246162bf-8059-4d97-83bc-f42263a7cde0&quot;,&quot;properties&quot;:{&quot;noteIndex&quot;:0},&quot;isEdited&quot;:false,&quot;manualOverride&quot;:{&quot;isManuallyOverridden&quot;:false,&quot;citeprocText&quot;:&quot;(Hudon et al., 2016; Lloyd-Rees, 2018; Moe et al., 2017; Newton et al., 2011; Soril et al., 2015)&quot;,&quot;manualOverrideText&quot;:&quot;&quot;},&quot;citationItems&quot;:[{&quot;id&quot;:&quot;43fada00-d565-3bbe-8775-3b13fc681759&quot;,&quot;itemData&quot;:{&quot;type&quot;:&quot;article-journal&quot;,&quot;id&quot;:&quot;43fada00-d565-3bbe-8775-3b13fc681759&quot;,&quot;title&quot;:&quot;Effectiveness of Interventions to Decrease Emergency Department Visits by Adult Frequent Users: A Systematic Review&quot;,&quot;author&quot;:[{&quot;family&quot;:&quot;Moe&quot;,&quot;given&quot;:&quot;Jessica&quot;,&quot;parse-names&quot;:false,&quot;dropping-particle&quot;:&quot;&quot;,&quot;non-dropping-particle&quot;:&quot;&quot;},{&quot;family&quot;:&quot;Kirkland&quot;,&quot;given&quot;:&quot;Scott W.&quot;,&quot;parse-names&quot;:false,&quot;dropping-particle&quot;:&quot;&quot;,&quot;non-dropping-particle&quot;:&quot;&quot;},{&quot;family&quot;:&quot;Rawe&quot;,&quot;given&quot;:&quot;Erin&quot;,&quot;parse-names&quot;:false,&quot;dropping-particle&quot;:&quot;&quot;,&quot;non-dropping-particle&quot;:&quot;&quot;},{&quot;family&quot;:&quot;Ospina&quot;,&quot;given&quot;:&quot;Maria B.&quot;,&quot;parse-names&quot;:false,&quot;dropping-particle&quot;:&quot;&quot;,&quot;non-dropping-particle&quot;:&quot;&quot;},{&quot;family&quot;:&quot;Vandermeer&quot;,&quot;given&quot;:&quot;Ben&quot;,&quot;parse-names&quot;:false,&quot;dropping-particle&quot;:&quot;&quot;,&quot;non-dropping-particle&quot;:&quot;&quot;},{&quot;family&quot;:&quot;Campbell&quot;,&quot;given&quot;:&quot;Sandy&quot;,&quot;parse-names&quot;:false,&quot;dropping-particle&quot;:&quot;&quot;,&quot;non-dropping-particle&quot;:&quot;&quot;},{&quot;family&quot;:&quot;Rowe&quot;,&quot;given&quot;:&quot;Brian H.&quot;,&quot;parse-names&quot;:false,&quot;dropping-particle&quot;:&quot;&quot;,&quot;non-dropping-particle&quot;:&quot;&quot;}],&quot;container-title&quot;:&quot;Academic emergency medicine : official journal of the Society for Academic Emergency Medicine&quot;,&quot;container-title-short&quot;:&quot;Acad Emerg Med&quot;,&quot;accessed&quot;:{&quot;date-parts&quot;:[[2023,6,7]]},&quot;DOI&quot;:&quot;10.1111/ACEM.13060&quot;,&quot;ISSN&quot;:&quot;1553-2712&quot;,&quot;PMID&quot;:&quot;27473387&quot;,&quot;URL&quot;:&quot;https://pubmed.ncbi.nlm.nih.gov/27473387/&quot;,&quot;issued&quot;:{&quot;date-parts&quot;:[[2017,1,1]]},&quot;page&quot;:&quot;40-52&quot;,&quot;abstract&quot;:&quot;Objectives: Frequent emergency department (ED) users are high-risk and high-resource-utilizing patients. This systematic review evaluates effectiveness of interventions targeting adult frequent ED users in reducing visit frequency and improving patient outcomes. Methods: An a priori protocol was published in PROSPERO. Two independent reviewers screened, selected, rated quality, and extracted data. Third-party adjudication resolved disagreements. Rate ratios of post- versus pre-intervention ED visits were calculated. Data sources were from a comprehensive search that included seven databases and the gray literature. Eligibility criteria for selecting studies included experimental studies assessing the effect of interventions on frequent users’ ED visits and patient-oriented outcomes. Results: A total of 6,865 citations were identified and 31 studies included. Designs were noncontrolled (n = 21) and controlled (n = 4) before–after studies and randomized controlled trials (n = 6). Frequent user definitions varied considerably and risk of bias was moderate to high. Studies examined general frequent users or those with psychiatric comorbidities, chronic disease, or low socioeconomic status or the elderly. Interventions included case management (n = 18), care plans (n = 8), diversion strategies (n = 3), printout case notes (n = 1), and social work visits (n = 1). Post- versus pre-intervention rate ratios were calculated for 25 studies and indicated a significant visit decrease in 21 (84%) of these studies. The median rate ratio was 0.63 (interquartile range = 0.41 to 0.71), indicating that the general effect of the interventions described was to decrease ED visits post-intervention. Significant visit decreases were found for a majority of studies in subgroup analyses based on 6- or 12-month follow-up, definition thresholds, clinical frequent user subgroups, and intervention types. Studies reporting homelessness found consistent improvements in stable housing. Overall, interstudy heterogeneity was high. Conclusions: Interventions targeting frequent ED users appear to decrease ED visits and may improve stable housing. Future research should examine cost-effectiveness and adopt standardized definitions.&quot;,&quot;publisher&quot;:&quot;Acad Emerg Med&quot;,&quot;issue&quot;:&quot;1&quot;,&quot;volume&quot;:&quot;24&quot;},&quot;isTemporary&quot;:false},{&quot;id&quot;:&quot;7fbe22e0-6f46-31ef-bfa7-7420f4eecd13&quot;,&quot;itemData&quot;:{&quot;type&quot;:&quot;article-journal&quot;,&quot;id&quot;:&quot;7fbe22e0-6f46-31ef-bfa7-7420f4eecd13&quot;,&quot;title&quot;:&quot;Reducing Frequent Visits to the Emergency Department: A Systematic Review of Interventions&quot;,&quot;author&quot;:[{&quot;family&quot;:&quot;Soril&quot;,&quot;given&quot;:&quot;Lesley J.J.&quot;,&quot;parse-names&quot;:false,&quot;dropping-particle&quot;:&quot;&quot;,&quot;non-dropping-particle&quot;:&quot;&quot;},{&quot;family&quot;:&quot;Leggett&quot;,&quot;given&quot;:&quot;Laura E.&quot;,&quot;parse-names&quot;:false,&quot;dropping-particle&quot;:&quot;&quot;,&quot;non-dropping-particle&quot;:&quot;&quot;},{&quot;family&quot;:&quot;Lorenzetti&quot;,&quot;given&quot;:&quot;Diane L.&quot;,&quot;parse-names&quot;:false,&quot;dropping-particle&quot;:&quot;&quot;,&quot;non-dropping-particle&quot;:&quot;&quot;},{&quot;family&quot;:&quot;Noseworthy&quot;,&quot;given&quot;:&quot;Tom W.&quot;,&quot;parse-names&quot;:false,&quot;dropping-particle&quot;:&quot;&quot;,&quot;non-dropping-particle&quot;:&quot;&quot;},{&quot;family&quot;:&quot;Clement&quot;,&quot;given&quot;:&quot;Fiona M.&quot;,&quot;parse-names&quot;:false,&quot;dropping-particle&quot;:&quot;&quot;,&quot;non-dropping-particle&quot;:&quot;&quot;}],&quot;container-title&quot;:&quot;PLOS ONE&quot;,&quot;container-title-short&quot;:&quot;PLoS One&quot;,&quot;accessed&quot;:{&quot;date-parts&quot;:[[2023,6,7]]},&quot;DOI&quot;:&quot;10.1371/JOURNAL.PONE.0123660&quot;,&quot;ISSN&quot;:&quot;1932-6203&quot;,&quot;PMID&quot;:&quot;25874866&quot;,&quot;URL&quot;:&quot;https://journals.plos.org/plosone/article?id=10.1371/journal.pone.0123660&quot;,&quot;issued&quot;:{&quot;date-parts&quot;:[[2015,4,13]]},&quot;page&quot;:&quot;e0123660&quot;,&quot;abstract&quot;:&quot;Objective The objective of this study was to establish the effectiveness of interventions to reduce frequent emergency department (ED) use among a general adult high ED-use population.   Methods Systematic review of the literature from 1950-January 2015. Studies were included if they: had a control group (controlled trials or comparative cohort studies), were set in an ED or acute care facility, and examined the impact of an intervention to reduce frequent ED use in a general adult population. Studies reporting non-original data or focused on a specific patient population were excluded. Study design, patient population, intervention, the frequency of ED visits, and costs of frequent ED use and/or interventions were extracted and narratively synthesized.   Results Among 17 included articles, three intervention categories were identified: case management (n = 12), individualized care plans (n = 3), and information sharing (n = 2). Ten studies examining case management reported reductions in mean (-0.66 to -37) or median (-0.1 to -20) number of ED visits after 12-months; one study reported an increase in mean ED visits (+2.79); and one reported no change. Of these, 6 studies also reported reduced hospital costs. Only 1 study evaluating individualized care plans examined ED utilization and found no change in median ED visits post-intervention. Costs following individualized care plans were also only evaluated in 1 study, which reported savings in hospital costs of $742/patient. Evidence was mixed regarding information sharing: 1 study reported no change in mean ED visits and did not examine costs; whereas the other reported a decrease in mean ED visits (-16.9) and ED cost savings of $15,513/patient.   Conclusions The impact of all three frequent-user interventions was modest. Case management had the most rigorous evidence base, yielded moderate cost savings, but with variable reductions in ED use. Future studies evaluating non-traditional interventions, tailoring to patient subgroups or socio-cultural contexts, are warranted.&quot;,&quot;publisher&quot;:&quot;Public Library of Science&quot;,&quot;issue&quot;:&quot;4&quot;,&quot;volume&quot;:&quot;10&quot;},&quot;isTemporary&quot;:false},{&quot;id&quot;:&quot;60ae2a00-3e26-321b-93ed-bad661f04b37&quot;,&quot;itemData&quot;:{&quot;type&quot;:&quot;article-journal&quot;,&quot;id&quot;:&quot;60ae2a00-3e26-321b-93ed-bad661f04b37&quot;,&quot;title&quot;:&quot;Individual care plans can reduce hospital admission rate for patients who frequently attend the emergency department&quot;,&quot;author&quot;:[{&quot;family&quot;:&quot;Newton&quot;,&quot;given&quot;:&quot;Alastair&quot;,&quot;parse-names&quot;:false,&quot;dropping-particle&quot;:&quot;&quot;,&quot;non-dropping-particle&quot;:&quot;&quot;},{&quot;family&quot;:&quot;Sarker&quot;,&quot;given&quot;:&quot;Shah Jalal&quot;,&quot;parse-names&quot;:false,&quot;dropping-particle&quot;:&quot;&quot;,&quot;non-dropping-particle&quot;:&quot;&quot;},{&quot;family&quot;:&quot;Parfitt&quot;,&quot;given&quot;:&quot;Andy&quot;,&quot;parse-names&quot;:false,&quot;dropping-particle&quot;:&quot;&quot;,&quot;non-dropping-particle&quot;:&quot;&quot;},{&quot;family&quot;:&quot;Henderson&quot;,&quot;given&quot;:&quot;Katherine&quot;,&quot;parse-names&quot;:false,&quot;dropping-particle&quot;:&quot;&quot;,&quot;non-dropping-particle&quot;:&quot;&quot;},{&quot;family&quot;:&quot;Jaye&quot;,&quot;given&quot;:&quot;Peter&quot;,&quot;parse-names&quot;:false,&quot;dropping-particle&quot;:&quot;&quot;,&quot;non-dropping-particle&quot;:&quot;&quot;},{&quot;family&quot;:&quot;Drake&quot;,&quot;given&quot;:&quot;Nicola&quot;,&quot;parse-names&quot;:false,&quot;dropping-particle&quot;:&quot;&quot;,&quot;non-dropping-particle&quot;:&quot;&quot;}],&quot;container-title&quot;:&quot;Emergency medicine journal : EMJ&quot;,&quot;container-title-short&quot;:&quot;Emerg Med J&quot;,&quot;accessed&quot;:{&quot;date-parts&quot;:[[2023,6,7]]},&quot;DOI&quot;:&quot;10.1136/EMJ.2009.085704&quot;,&quot;ISSN&quot;:&quot;1472-0213&quot;,&quot;PMID&quot;:&quot;20515901&quot;,&quot;URL&quot;:&quot;https://pubmed.ncbi.nlm.nih.gov/20515901/&quot;,&quot;issued&quot;:{&quot;date-parts&quot;:[[2011,8]]},&quot;page&quot;:&quot;654-657&quot;,&quot;abstract&quot;:&quot;Aim: To investigate the impact, in terms of hospital admission and investigations, of individual care plans for patients who frequently attend the emergency department (ED). Method: 32 patients who regularly attended the ED at St Thomas' Hospital were included in the study. After review of ED and hospital case records, an individual care plan was prepared for future attendances. The numbers of ED attendances, hospital admissions and investigations were collated from the electronic patient record system and compared for the 12 months prior to and 12 months after introduction of the care plan. Primary outcome measure was reduction in the number of hospital admissions (as a percentage of ED attendance). Secondary outcome measures were a reduction in the number of investigations and ED attendances. Results: In the 12 months prior to introduction of the individual care plans, the 32 patients accounted for 858 ED attendances and 209 admissions to hospital. In 12 months after introduction of the care plans, the number of ED attendances fell to 517, with only 77 hospital admissions. Median number of hospital admissions (as a percentage of ED attendances) fell from 18.8% to 7.1% (p=0.014) after introduction of the care plan. There were also reductions in median number of ED attendances (19 vs 5, p=0.001), median number of radiology tests (4 vs 1, p=0.001) and median number of blood tests (55 vs 12, p&lt;0.001). Conclusions: Individual care plans for a carefully selected group of patients who frequently attend the emergency department can result in a decrease in the number of hospital admissions and number of investigations.&quot;,&quot;publisher&quot;:&quot;Emerg Med J&quot;,&quot;issue&quot;:&quot;8&quot;,&quot;volume&quot;:&quot;28&quot;},&quot;isTemporary&quot;:false},{&quot;id&quot;:&quot;951fe462-0cce-3253-944b-4626a7ef87ab&quot;,&quot;itemData&quot;:{&quot;type&quot;:&quot;article-journal&quot;,&quot;id&quot;:&quot;951fe462-0cce-3253-944b-4626a7ef87ab&quot;,&quot;title&quot;:&quot;Supporting Frequent attenders to reduce their visits to an emergency department&quot;,&quot;author&quot;:[{&quot;family&quot;:&quot;Lloyd-Rees&quot;,&quot;given&quot;:&quot;Johanna&quot;,&quot;parse-names&quot;:false,&quot;dropping-particle&quot;:&quot;&quot;,&quot;non-dropping-particle&quot;:&quot;&quot;}],&quot;container-title&quot;:&quot;Emergency Nurse&quot;,&quot;accessed&quot;:{&quot;date-parts&quot;:[[2023,6,7]]},&quot;DOI&quot;:&quot;10.7748/EN.2018.E1853&quot;,&quot;ISSN&quot;:&quot;13545752&quot;,&quot;PMID&quot;:&quot;31468757&quot;,&quot;issued&quot;:{&quot;date-parts&quot;:[[2018]]},&quot;abstract&quot;:&quot;Frequent attenders to emergency departments (EDs) are a heterogeneous group who have traditionally been patched up and discharged with little support. This makes them vulnerable to over investigation and they often have a poor experience in EDs, which can cause frustration among the staff who work with them. This article reviews the literature on frequent ED attenders and explores the related issues. It also describes how a multidisciplinary team (MDT) was formed to identify people in this group, evaluate their attendances and notes to understand their individual needs and identify strategies to improve their options and care while in the ED. The rationale for the formation of the MDT, the process of selecting patients and the interventions commonly used are discussed, as well as the benefits to patients, staff and the trust.&quot;,&quot;publisher&quot;:&quot;RCN Publishing Company Ltd.&quot;,&quot;issue&quot;:&quot;1&quot;,&quot;volume&quot;:&quot;27&quot;,&quot;container-title-short&quot;:&quot;&quot;},&quot;isTemporary&quot;:false},{&quot;id&quot;:&quot;e2f99e76-11e0-3773-bdab-b76d8084b6a1&quot;,&quot;itemData&quot;:{&quot;type&quot;:&quot;article-journal&quot;,&quot;id&quot;:&quot;e2f99e76-11e0-3773-bdab-b76d8084b6a1&quot;,&quot;title&quot;:&quot;Effectiveness of case management interventions for frequent users of healthcare services: a scoping review&quot;,&quot;author&quot;:[{&quot;family&quot;:&quot;Hudon&quot;,&quot;given&quot;:&quot;Catherine&quot;,&quot;parse-names&quot;:false,&quot;dropping-particle&quot;:&quot;&quot;,&quot;non-dropping-particle&quot;:&quot;&quot;},{&quot;family&quot;:&quot;Chouinard&quot;,&quot;given&quot;:&quot;Maud Christine&quot;,&quot;parse-names&quot;:false,&quot;dropping-particle&quot;:&quot;&quot;,&quot;non-dropping-particle&quot;:&quot;&quot;},{&quot;family&quot;:&quot;Lambert&quot;,&quot;given&quot;:&quot;Mireille&quot;,&quot;parse-names&quot;:false,&quot;dropping-particle&quot;:&quot;&quot;,&quot;non-dropping-particle&quot;:&quot;&quot;},{&quot;family&quot;:&quot;Dufour&quot;,&quot;given&quot;:&quot;Isabelle&quot;,&quot;parse-names&quot;:false,&quot;dropping-particle&quot;:&quot;&quot;,&quot;non-dropping-particle&quot;:&quot;&quot;},{&quot;family&quot;:&quot;Krieg&quot;,&quot;given&quot;:&quot;Cynthia&quot;,&quot;parse-names&quot;:false,&quot;dropping-particle&quot;:&quot;&quot;,&quot;non-dropping-particle&quot;:&quot;&quot;}],&quot;container-title&quot;:&quot;BMJ open&quot;,&quot;container-title-short&quot;:&quot;BMJ Open&quot;,&quot;accessed&quot;:{&quot;date-parts&quot;:[[2023,6,7]]},&quot;DOI&quot;:&quot;10.1136/BMJOPEN-2016-012353&quot;,&quot;ISSN&quot;:&quot;2044-6055&quot;,&quot;PMID&quot;:&quot;27687900&quot;,&quot;URL&quot;:&quot;https://pubmed.ncbi.nlm.nih.gov/27687900/&quot;,&quot;issued&quot;:{&quot;date-parts&quot;:[[2016]]},&quot;abstract&quot;:&quot;Objective: Frequent users of healthcare services are a vulnerable population, often socioeconomically disadvantaged, who can present multiple chronic conditions as well as mental health problems. Case management (CM) is the most frequently performed intervention to reduce healthcare use and cost. This study aimed to examine the evidence of the effectiveness of CM interventions for frequent users of healthcare services. Design: Scoping review. Data sources: An electronic literature search was conducted using the MEDLINE, Scopus and CINAHL databases covering January 2004 to December 2015. A specific search strategy was developed for each database using keywords 'case management' and 'frequent use'. Eligibility criteria for selecting studies: To be included in the review, studies had to report effects of a CM intervention on healthcare use and cost or patient outcomes. Eligible designs included randomised and non-randomised controlled trials and controlled and non-controlled before-after studies. Studies limited to specific groups of patients or targeting a single disease were excluded. Three reviewers screened abstracts, screened each full-text article and extracted data, and discrepancies were resolved by consensus. Results: The final review included 11 articles evaluating the effectiveness of CM interventions among frequent users of healthcare services. Two non-randomised controlled studies and 4 before-after studies reported positives outcomes on healthcare use or cost. Two randomised controlled trials, 2 before-after studies and 1 non-randomised controlled study presented mitigated results. Patient outcomes such as drug and alcohol use, health locus of control, patient satisfaction and psychological functioning were evaluated in 3 studies, but no change was reported. Conclusions: Many studies suggest that CM could reduce emergency department visits and hospitalisations as well as cost. However, pragmatic randomised controlled trials of adequate power that recruit the most frequent users of healthcare services are still needed to clearly confirm its effectiveness.&quot;,&quot;publisher&quot;:&quot;BMJ Open&quot;,&quot;issue&quot;:&quot;9&quot;,&quot;volume&quot;:&quot;6&quot;},&quot;isTemporary&quot;:false}],&quot;citationTag&quot;:&quot;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&quot;},{&quot;citationID&quot;:&quot;MENDELEY_CITATION_0d71adb9-7d8e-4274-9cad-522637239c96&quot;,&quot;properties&quot;:{&quot;noteIndex&quot;:0},&quot;isEdited&quot;:false,&quot;manualOverride&quot;:{&quot;isManuallyOverridden&quot;:true,&quot;citeprocText&quot;:&quot;(Carson et al., 2011; Gelauff et al., 2014)&quot;,&quot;manualOverrideText&quot;:&quot;(A. Carson et al., 2011; Gelauff et al., 2014)&quot;},&quot;citationItems&quot;:[{&quot;id&quot;:&quot;171e35cf-2d20-3410-ac0b-acdccade4d42&quot;,&quot;itemData&quot;:{&quot;type&quot;:&quot;article-journal&quot;,&quot;id&quot;:&quot;171e35cf-2d20-3410-ac0b-acdccade4d42&quot;,&quot;title&quot;:&quot;The prognosis of functional (psychogenic) motor symptoms: a systematic review&quot;,&quot;author&quot;:[{&quot;family&quot;:&quot;Gelauff&quot;,&quot;given&quot;:&quot;Jeannette&quot;,&quot;parse-names&quot;:false,&quot;dropping-particle&quot;:&quot;&quot;,&quot;non-dropping-particle&quot;:&quot;&quot;},{&quot;family&quot;:&quot;Stone&quot;,&quot;given&quot;:&quot;Jon&quot;,&quot;parse-names&quot;:false,&quot;dropping-particle&quot;:&quot;&quot;,&quot;non-dropping-particle&quot;:&quot;&quot;},{&quot;family&quot;:&quot;Edwards&quot;,&quot;given&quot;:&quot;Mark&quot;,&quot;parse-names&quot;:false,&quot;dropping-particle&quot;:&quot;&quot;,&quot;non-dropping-particle&quot;:&quot;&quot;},{&quot;family&quot;:&quot;Carson&quot;,&quot;given&quot;:&quot;Alan&quot;,&quot;parse-names&quot;:false,&quot;dropping-particle&quot;:&quot;&quot;,&quot;non-dropping-particle&quot;:&quot;&quot;}],&quot;container-title&quot;:&quot;Journal of neurology, neurosurgery, and psychiatry&quot;,&quot;container-title-short&quot;:&quot;J Neurol Neurosurg Psychiatry&quot;,&quot;accessed&quot;:{&quot;date-parts&quot;:[[2023,5,7]]},&quot;DOI&quot;:&quot;10.1136/JNNP-2013-305321&quot;,&quot;ISSN&quot;:&quot;1468-330X&quot;,&quot;PMID&quot;:&quot;24029543&quot;,&quot;URL&quot;:&quot;https://pubmed.ncbi.nlm.nih.gov/24029543/&quot;,&quot;issued&quot;:{&quot;date-parts&quot;:[[2014]]},&quot;page&quot;:&quot;220-226&quot;,&quot;abstract&quot;:&quot;Background The prognosis of functional (or psychogenic) motor symptoms (weakness and movement disorder) has not been systematically reviewed. Methods We systematically reviewed PubMed for all studies of eight or more patients with functional motor symptoms reporting follow-up data longer than 6 months (excluding studies reporting specific treatments). We recorded symptom duration, physical and psychiatric comorbidity, disability, occupational functioning at follow-up and prognostic factors. Results 24 studies were included. There was heterogeneity regarding study size (number of patients (n)=10 491), follow-up duration clinical setting and data availability. Most studies (n=15) were retrospective. Reported symptom outcome was highly variable. Mean weighted follow-up duration was 7.4 years (in 13 studies where data was extractable). The mean percentage of patients same or worse at follow-up for all studies was 39%, range 10% to 90%, n=1134. Levels of physical disability and psychological comorbidity at follow-up were high. Short duration of symptoms, early diagnosis and high satisfaction with care predicted positive outcome in two studies. Gender had no effect. Delayed diagnosis and personality disorder were negatively correlated with outcome. Prognostic factors that varied between studies included age, comorbid anxiety and depression, IQ, educational status, marital status and pending litigation. Conclusions Existing follow-up studies of functional motor symptoms give us some insights regarding outcome and prognostic factors but are limited by their largely retrospective and selective nature. Overall, prognosis appears unfavourable. The severity and chronicity of functional motor symptoms argues for larger prospective studies including multiple prognostic factors at baseline in order to better understand their natural history.&quot;,&quot;publisher&quot;:&quot;J Neurol Neurosurg Psychiatry&quot;,&quot;issue&quot;:&quot;2&quot;,&quot;volume&quot;:&quot;85&quot;},&quot;isTemporary&quot;:false},{&quot;id&quot;:&quot;a477d660-7a6a-30fe-b60b-f04f13c8da1b&quot;,&quot;itemData&quot;:{&quot;type&quot;:&quot;article-journal&quot;,&quot;id&quot;:&quot;a477d660-7a6a-30fe-b60b-f04f13c8da1b&quot;,&quot;title&quot;:&quot;Disability, distress and unemployment in neurology outpatients with symptoms 'unexplained by organic disease'&quot;,&quot;author&quot;:[{&quot;family&quot;:&quot;Carson&quot;,&quot;given&quot;:&quot;A&quot;,&quot;parse-names&quot;:false,&quot;dropping-particle&quot;:&quot;&quot;,&quot;non-dropping-particle&quot;:&quot;&quot;},{&quot;family&quot;:&quot;Stone&quot;,&quot;given&quot;:&quot;J&quot;,&quot;parse-names&quot;:false,&quot;dropping-particle&quot;:&quot;&quot;,&quot;non-dropping-particle&quot;:&quot;&quot;},{&quot;family&quot;:&quot;Hibberd&quot;,&quot;given&quot;:&quot;C&quot;,&quot;parse-names&quot;:false,&quot;dropping-particle&quot;:&quot;&quot;,&quot;non-dropping-particle&quot;:&quot;&quot;},{&quot;family&quot;:&quot;Murray&quot;,&quot;given&quot;:&quot;G&quot;,&quot;parse-names&quot;:false,&quot;dropping-particle&quot;:&quot;&quot;,&quot;non-dropping-particle&quot;:&quot;&quot;},{&quot;family&quot;:&quot;Duncan&quot;,&quot;given&quot;:&quot;R&quot;,&quot;parse-names&quot;:false,&quot;dropping-particle&quot;:&quot;&quot;,&quot;non-dropping-particle&quot;:&quot;&quot;},{&quot;family&quot;:&quot;Coleman&quot;,&quot;given&quot;:&quot;R&quot;,&quot;parse-names&quot;:false,&quot;dropping-particle&quot;:&quot;&quot;,&quot;non-dropping-particle&quot;:&quot;&quot;},{&quot;family&quot;:&quot;Warlow&quot;,&quot;given&quot;:&quot;C&quot;,&quot;parse-names&quot;:false,&quot;dropping-particle&quot;:&quot;&quot;,&quot;non-dropping-particle&quot;:&quot;&quot;},{&quot;family&quot;:&quot;Roberts&quot;,&quot;given&quot;:&quot;R&quot;,&quot;parse-names&quot;:false,&quot;dropping-particle&quot;:&quot;&quot;,&quot;non-dropping-particle&quot;:&quot;&quot;},{&quot;family&quot;:&quot;Pelosi&quot;,&quot;given&quot;:&quot;A&quot;,&quot;parse-names&quot;:false,&quot;dropping-particle&quot;:&quot;&quot;,&quot;non-dropping-particle&quot;:&quot;&quot;},{&quot;family&quot;:&quot;Cavanagh&quot;,&quot;given&quot;:&quot;J&quot;,&quot;parse-names&quot;:false,&quot;dropping-particle&quot;:&quot;&quot;,&quot;non-dropping-particle&quot;:&quot;&quot;},{&quot;family&quot;:&quot;Matthews&quot;,&quot;given&quot;:&quot;K&quot;,&quot;parse-names&quot;:false,&quot;dropping-particle&quot;:&quot;&quot;,&quot;non-dropping-particle&quot;:&quot;&quot;},{&quot;family&quot;:&quot;Goldbeck&quot;,&quot;given&quot;:&quot;R&quot;,&quot;parse-names&quot;:false,&quot;dropping-particle&quot;:&quot;&quot;,&quot;non-dropping-particle&quot;:&quot;&quot;},{&quot;family&quot;:&quot;Hansen&quot;,&quot;given&quot;:&quot;C&quot;,&quot;parse-names&quot;:false,&quot;dropping-particle&quot;:&quot;&quot;,&quot;non-dropping-particle&quot;:&quot;&quot;},{&quot;family&quot;:&quot;Sharpe&quot;,&quot;given&quot;:&quot;M&quot;,&quot;parse-names&quot;:false,&quot;dropping-particle&quot;:&quot;&quot;,&quot;non-dropping-particle&quot;:&quot;&quot;}],&quot;container-title&quot;:&quot;J Neurol Neurosurg Psychiatry&quot;,&quot;DOI&quot;:&quot;10.1136/jnnp.2010.220640&quot;,&quot;ISSN&quot;:&quot;0022-3050&quot;,&quot;PMID&quot;:&quot;21257981&quot;,&quot;issued&quot;:{&quot;date-parts&quot;:[[2011]]},&quot;page&quot;:&quot;810-813&quot;,&quot;language&quot;:&quot;eng&quot;,&quot;abstract&quot;:&quot;OBJECTIVES: To determine the disability, distress and employment status of new neurology outpatients with physical symptoms unexplained by organic disease and to compare them with patients with symptoms explained by organic disease. METHODS: As part of a cohort study (the Scottish Neurological Symptoms Study) neurologists rated the extent to which each new patient's symptoms were explained by organic disease. Patients whose symptoms were rated as 'not at all' or only 'somewhat' explained by disease were considered cases, and those whose symptoms were 'largely' or 'completely' explained by disease were considered controls. All patients completed self-ratings of disability, health status (Medical Outcomes Study Short Form 12-Item Scale (SF-12)) and emotional distress (Hospital Anxiety and Depression Scale) and also reported their employment and state financial benefit status. RESULTS: 3781 patients were recruited: 1144 (30%) cases and 2637 (70%) controls. Cases had worse physical health status (SF-12 score 42 vs 44; difference in means 1.7 (95% CI -2.5 to 0.9)) and worse mental health status (SF-12 score 43 vs 47; difference in means -3.5 (95% CI -4.3 to to 2.7)). Unemployment was similar in cases and controls (50% vs 50%) but cases were more likely not to be working for health reasons (54% vs 37% of the 50% not working; OR 2.0 (95% CI 1.6 to 2.4)) and also more likely to be receiving disability-related state financial benefits (27% vs 22%; (OR 1.3, 95% CI 1.1 to 1.6)). CONCLUSIONS: New neurology patients with symptoms unexplained by organic disease have more disability-, distress- and disability-related state financial benefits than patients with symptoms explained by disease.&quot;,&quot;edition&quot;:&quot;2011/01/25&quot;,&quot;issue&quot;:&quot;7&quot;,&quot;volume&quot;:&quot;82&quot;,&quot;container-title-short&quot;:&quot;&quot;},&quot;isTemporary&quot;:false}],&quot;citationTag&quot;:&quot;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&quot;},{&quot;citationID&quot;:&quot;MENDELEY_CITATION_7630c039-43a7-460c-9736-c1eddccfb746&quot;,&quot;properties&quot;:{&quot;noteIndex&quot;:0},&quot;isEdited&quot;:false,&quot;manualOverride&quot;:{&quot;isManuallyOverridden&quot;:false,&quot;citeprocText&quot;:&quot;(&lt;i&gt;Optimum Clinical Pathway for Adults: Functional Neurological Disorder National Neurosciences Advisory Group (NNAG)&lt;/i&gt;, 2023)&quot;,&quot;manualOverrideText&quot;:&quot;&quot;},&quot;citationItems&quot;:[{&quot;id&quot;:&quot;22fd338d-fe4d-329e-9451-44a854218be6&quot;,&quot;itemData&quot;:{&quot;type&quot;:&quot;article-journal&quot;,&quot;id&quot;:&quot;22fd338d-fe4d-329e-9451-44a854218be6&quot;,&quot;title&quot;:&quot;Optimum clinical pathway for adults: Functional Neurological Disorder National Neurosciences Advisory Group (NNAG)&quot;,&quot;accessed&quot;:{&quot;date-parts&quot;:[[2023,6,10]]},&quot;URL&quot;:&quot;www.nnag.org.uk/optimum-clinical-pathways&quot;,&quot;issued&quot;:{&quot;date-parts&quot;:[[2023]]},&quot;container-title-short&quot;:&quot;&quot;},&quot;isTemporary&quot;:false}],&quot;citationTag&quot;:&quot;MENDELEY_CITATION_v3_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&quot;},{&quot;citationID&quot;:&quot;MENDELEY_CITATION_0bc52644-c307-4a92-abfa-7ecf991eb106&quot;,&quot;properties&quot;:{&quot;noteIndex&quot;:0},&quot;isEdited&quot;:false,&quot;manualOverride&quot;:{&quot;isManuallyOverridden&quot;:false,&quot;citeprocText&quot;:&quot;(Mayor et al., 2010)&quot;,&quot;manualOverrideText&quot;:&quot;&quot;},&quot;citationItems&quot;:[{&quot;id&quot;:&quot;c919f63b-0b19-34d4-aa90-cf24ee050534&quot;,&quot;itemData&quot;:{&quot;type&quot;:&quot;article-journal&quot;,&quot;id&quot;:&quot;c919f63b-0b19-34d4-aa90-cf24ee050534&quot;,&quot;title&quot;:&quot;Long-term outcome of brief augmented psychodynamic interpersonal therapy for psychogenic nonepileptic seizures: seizure control and health care utilization&quot;,&quot;author&quot;:[{&quot;family&quot;:&quot;Mayor&quot;,&quot;given&quot;:&quot;R&quot;,&quot;parse-names&quot;:false,&quot;dropping-particle&quot;:&quot;&quot;,&quot;non-dropping-particle&quot;:&quot;&quot;},{&quot;family&quot;:&quot;Howlett&quot;,&quot;given&quot;:&quot;S&quot;,&quot;parse-names&quot;:false,&quot;dropping-particle&quot;:&quot;&quot;,&quot;non-dropping-particle&quot;:&quot;&quot;},{&quot;family&quot;:&quot;Grünewald&quot;,&quot;given&quot;:&quot;R&quot;,&quot;parse-names&quot;:false,&quot;dropping-particle&quot;:&quot;&quot;,&quot;non-dropping-particle&quot;:&quot;&quot;},{&quot;family&quot;:&quot;Reuber&quot;,&quot;given&quot;:&quot;M&quot;,&quot;parse-names&quot;:false,&quot;dropping-particle&quot;:&quot;&quot;,&quot;non-dropping-particle&quot;:&quot;&quot;}],&quot;container-title&quot;:&quot;Epilepsia&quot;,&quot;container-title-short&quot;:&quot;Epilepsia&quot;,&quot;DOI&quot;:&quot;10.1111/j.1528-1167.2010.02656.x&quot;,&quot;ISSN&quot;:&quot;0013-9580&quot;,&quot;PMID&quot;:&quot;20561022&quot;,&quot;issued&quot;:{&quot;date-parts&quot;:[[2010]]},&quot;page&quot;:&quot;1169-1176&quot;,&quot;language&quot;:&quot;eng&quot;,&quot;abstract&quot;:&quot;PURPOSE: Most neurologists endorse psychotherapy as the treatment of choice for psychogenic nonepileptic seizures (PNES), but its effectiveness remains unproven, and there are no previous reports of long-term outcome after psychotherapy. This study aimed to establish the outcome of brief augmented psychodynamic interpersonal therapy (PIT) for 47 patients with PNES in terms of seizures and health care utilization 31-65 months (median 50 months) after diagnosis. METHODS: Participants completed questionnaires before starting therapy (Clinical Outcomes in Routine Evaluation Outcome Measure [CORE-OM]; Patient Health Questionnaire [PHQ15]; Short-Form Health Survey [SF-36]). Forty-seven of 66 consecutive patients (71%) also completed a follow-up questionnaire about current seizure frequency, employment status, and health care utilization 42 months after the end of therapy (range 12-61 months). Factors associated with seizure outcome and predictors of seizure cessation were evaluated. RESULTS: At follow-up, 25.5% of patients had become seizure-free; a further 40.4% achieved a seizure reduction of &gt;50%. Logistic regression showed \&quot;economic activity\&quot; status to be the only significant baseline predictor of seizure cessation (p &lt; 0.021). Health care utilization declined significantly from baseline to follow-up (p &lt; 0.039), suggesting minimum expected annual health care expenditure savings of pound245 ($408). DISCUSSION: These results indicate that this intervention is associated with a significant improvement in seizure frequency and health care utilization, suggesting that a randomized controlled study of the intervention is justified.&quot;,&quot;edition&quot;:&quot;2010/06/22&quot;,&quot;issue&quot;:&quot;7&quot;,&quot;volume&quot;:&quot;51&quot;},&quot;isTemporary&quot;:false}],&quot;citationTag&quot;:&quot;MENDELEY_CITATION_v3_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&quot;},{&quot;citationID&quot;:&quot;MENDELEY_CITATION_398e421c-48a2-46d4-910e-de700a7257f2&quot;,&quot;properties&quot;:{&quot;noteIndex&quot;:0},&quot;isEdited&quot;:false,&quot;manualOverride&quot;:{&quot;isManuallyOverridden&quot;:false,&quot;citeprocText&quot;:&quot;(Myers et al., 2021)&quot;,&quot;manualOverrideText&quot;:&quot;&quot;},&quot;citationItems&quot;:[{&quot;id&quot;:&quot;2a72afee-6ca3-32d3-9087-393dbdaa4ca1&quot;,&quot;itemData&quot;:{&quot;type&quot;:&quot;article-journal&quot;,&quot;id&quot;:&quot;2a72afee-6ca3-32d3-9087-393dbdaa4ca1&quot;,&quot;title&quot;:&quot;Using evidence-based psychotherapy to tailor treatment for patients with functional neurological disorders&quot;,&quot;author&quot;:[{&quot;family&quot;:&quot;Myers&quot;,&quot;given&quot;:&quot;Lorna&quot;,&quot;parse-names&quot;:false,&quot;dropping-particle&quot;:&quot;&quot;,&quot;non-dropping-particle&quot;:&quot;&quot;},{&quot;family&quot;:&quot;Sarudiansky&quot;,&quot;given&quot;:&quot;Mercedes&quot;,&quot;parse-names&quot;:false,&quot;dropping-particle&quot;:&quot;&quot;,&quot;non-dropping-particle&quot;:&quot;&quot;},{&quot;family&quot;:&quot;Korman&quot;,&quot;given&quot;:&quot;Guido&quot;,&quot;parse-names&quot;:false,&quot;dropping-particle&quot;:&quot;&quot;,&quot;non-dropping-particle&quot;:&quot;&quot;},{&quot;family&quot;:&quot;Baslet&quot;,&quot;given&quot;:&quot;Gaston&quot;,&quot;parse-names&quot;:false,&quot;dropping-particle&quot;:&quot;&quot;,&quot;non-dropping-particle&quot;:&quot;&quot;}],&quot;container-title&quot;:&quot;Epilepsy &amp; Behavior Reports&quot;,&quot;container-title-short&quot;:&quot;Epilepsy Behav Rep&quot;,&quot;accessed&quot;:{&quot;date-parts&quot;:[[2023,6,10]]},&quot;DOI&quot;:&quot;10.1016/J.EBR.2021.100478&quot;,&quot;ISSN&quot;:&quot;2589-9864&quot;,&quot;issued&quot;:{&quot;date-parts&quot;:[[2021,1,1]]},&quot;page&quot;:&quot;100478&quot;,&quot;abstract&quot;:&quot;Functional neurological disorder (FND) frequently presents with comorbid psychopathology (e.g., anxiety, depressive, post-traumatic stress disorders (PTSD), somatic symptom and pain syndromes, and dissociative and personality disorders). It can become chronic and lead to unemployment and disability for many patients. Psychosocial factors play an important role in the onset and perpetuation of symptoms. Consequently, psychotherapy is recommended for the treatment of FND in general, and especially for the single symptom-based subtype of functional seizures (FS). Some of the psychotherapy approaches that have been utilized for FND include cognitive-behavioral therapy (CBT), third wave approaches, and psychodynamic psychotherapies as well as group therapeutic and psychoeducational interventions. For patients with FS and PTSD, prolonged exposure therapy, a CBT-based treatment has been implemented. The purpose of this manuscript is to describe and analyze specific elements (e.g., theoretical foundations, tools, targets, definitions of success) of the main psychotherapeutic approaches used in patients with FND. Our premise is that these modalities will overlap considerably in some respects. We will conclude by discussing how discrete differences may render them more suitable for subgroups of patients with FND or for patients at different timepoints of their recovery process.&quot;,&quot;publisher&quot;:&quot;Elsevier&quot;,&quot;volume&quot;:&quot;16&quot;},&quot;isTemporary&quot;:false}],&quot;citationTag&quot;:&quot;MENDELEY_CITATION_v3_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&quot;},{&quot;citationID&quot;:&quot;MENDELEY_CITATION_1af42ec1-39aa-4cdf-9293-cb4bdb77216a&quot;,&quot;properties&quot;:{&quot;noteIndex&quot;:0},&quot;isEdited&quot;:false,&quot;manualOverride&quot;:{&quot;isManuallyOverridden&quot;:true,&quot;citeprocText&quot;:&quot;(Dallocchio et al., 2016; Goldstein et al., 2020; Hubschmid et al., 2015; Kroenke, 2007; LaFrance et al., 2014; Moene et al., 2002; Sharpe et al., 2011)&quot;,&quot;manualOverrideText&quot;:&quot;(Dallocchio et al., 2016; Goldstein et al., 2020a; Hubschmid et al., 2015; Kroenke, 2007; LaFrance et al., 2014; Moene et al., 2002; Sharpe et al., 2011)&quot;},&quot;citationItems&quot;:[{&quot;id&quot;:&quot;b98b397b-bc68-3603-8889-1eaf87e34718&quot;,&quot;itemData&quot;:{&quot;type&quot;:&quot;article-journal&quot;,&quot;id&quot;:&quot;b98b397b-bc68-3603-8889-1eaf87e34718&quot;,&quot;title&quot;:&quot;Multicenter Pilot Treatment Trial for Psychogenic Nonepileptic Seizures: A Randomized Clinical Trial&quot;,&quot;author&quot;:[{&quot;family&quot;:&quot;LaFrance&quot;,&quot;given&quot;:&quot;W. Curt&quot;,&quot;parse-names&quot;:false,&quot;dropping-particle&quot;:&quot;&quot;,&quot;non-dropping-particle&quot;:&quot;&quot;},{&quot;family&quot;:&quot;Baird&quot;,&quot;given&quot;:&quot;Grayson L.&quot;,&quot;parse-names&quot;:false,&quot;dropping-particle&quot;:&quot;&quot;,&quot;non-dropping-particle&quot;:&quot;&quot;},{&quot;family&quot;:&quot;Barry&quot;,&quot;given&quot;:&quot;John J.&quot;,&quot;parse-names&quot;:false,&quot;dropping-particle&quot;:&quot;&quot;,&quot;non-dropping-particle&quot;:&quot;&quot;},{&quot;family&quot;:&quot;Blum&quot;,&quot;given&quot;:&quot;Andrew S.&quot;,&quot;parse-names&quot;:false,&quot;dropping-particle&quot;:&quot;&quot;,&quot;non-dropping-particle&quot;:&quot;&quot;},{&quot;family&quot;:&quot;Webb&quot;,&quot;given&quot;:&quot;Anne Frank&quot;,&quot;parse-names&quot;:false,&quot;dropping-particle&quot;:&quot;&quot;,&quot;non-dropping-particle&quot;:&quot;&quot;},{&quot;family&quot;:&quot;Keitner&quot;,&quot;given&quot;:&quot;Gabor I.&quot;,&quot;parse-names&quot;:false,&quot;dropping-particle&quot;:&quot;&quot;,&quot;non-dropping-particle&quot;:&quot;&quot;},{&quot;family&quot;:&quot;Machan&quot;,&quot;given&quot;:&quot;Jason T.&quot;,&quot;parse-names&quot;:false,&quot;dropping-particle&quot;:&quot;&quot;,&quot;non-dropping-particle&quot;:&quot;&quot;},{&quot;family&quot;:&quot;Miller&quot;,&quot;given&quot;:&quot;Ivan&quot;,&quot;parse-names&quot;:false,&quot;dropping-particle&quot;:&quot;&quot;,&quot;non-dropping-particle&quot;:&quot;&quot;},{&quot;family&quot;:&quot;Szaflarski&quot;,&quot;given&quot;:&quot;Jerzy P.&quot;,&quot;parse-names&quot;:false,&quot;dropping-particle&quot;:&quot;&quot;,&quot;non-dropping-particle&quot;:&quot;&quot;}],&quot;container-title&quot;:&quot;JAMA Psychiatry&quot;,&quot;container-title-short&quot;:&quot;JAMA Psychiatry&quot;,&quot;accessed&quot;:{&quot;date-parts&quot;:[[2023,5,29]]},&quot;DOI&quot;:&quot;10.1001/JAMAPSYCHIATRY.2014.817&quot;,&quot;ISSN&quot;:&quot;2168-622X&quot;,&quot;PMID&quot;:&quot;24989152&quot;,&quot;URL&quot;:&quot;https://jamanetwork.com/journals/jamapsychiatry/fullarticle/1884286&quot;,&quot;issued&quot;:{&quot;date-parts&quot;:[[2014,9,1]]},&quot;page&quot;:&quot;997-1005&quot;,&quot;abstract&quot;:&quot;&lt;h3&gt;Importance&lt;/h3&gt;&lt;p&gt;There is a paucity of controlled treatment trials for the treatment of conversion disorder, seizures type, also known as psychogenic nonepileptic seizures (PNES). Psychogenic nonepileptic seizures, the most common conversion disorder, are as disabling as epilepsy and are not adequately addressed or treated by mental health clinicians.&lt;/p&gt;&lt;h3&gt;Objective&lt;/h3&gt;&lt;p&gt;To evaluate different PNES treatments compared with standard medical care (treatment as usual).&lt;/p&gt;&lt;h3&gt;Design, Setting, and Participants&lt;/h3&gt;&lt;p&gt;Pilot randomized clinical trial at 3 academic medical centers with mental health clinicians trained to administer psychotherapy or psychopharmacology to outpatients with PNES. Thirty-eight participants were randomized in a blocked schedule among 3 sites to 1 of 4 treatment arms and were followed up for 16 weeks between September 2008 and February 2012; 34 were included in the analysis.&lt;/p&gt;&lt;h3&gt;Interventions&lt;/h3&gt;&lt;p&gt;Medication (flexible-dose sertraline hydrochloride) only, cognitive behavioral therapy informed psychotherapy (CBT-ip) only, CBT-ip with medication (sertraline), or treatment as usual.&lt;/p&gt;&lt;h3&gt;Main Outcomes and Measures&lt;/h3&gt;&lt;p&gt;Seizure frequency was the primary outcome; psychosocial and functioning measures, including psychiatric symptoms, social interactions, quality of life, and global functioning, were secondary outcomes. Data were collected prospectively, weekly, and with baseline, week 2, midpoint (week 8), and exit (week 16) batteries. Within-group analyses for each arm were performed on primary (seizure frequency) and secondary outcomes from treatment-blinded raters using an intention-to-treat analysis.&lt;/p&gt;&lt;h3&gt;Results&lt;/h3&gt;&lt;p&gt;The psychotherapy (CBT-ip) arm showed a 51.4% seizure reduction (&lt;i&gt;P&lt;/i&gt; = .01) and significant improvement from baseline in secondary measures including depression, anxiety, quality of life, and global functioning (&lt;i&gt;P&lt;/i&gt; &amp;lt; .001). The combined arm (CBT-ip with sertraline) showed 59.3% seizure reduction (&lt;i&gt;P&lt;/i&gt; = .008) and significant improvements in some secondary measures, including global functioning (&lt;i&gt;P&lt;/i&gt; = .007). The sertraline-only arm did not show a reduction in seizures (&lt;i&gt;P&lt;/i&gt; = .08). The treatment as usual group showed no significant seizure reduction or improvement in secondary outcome measures (&lt;i&gt;P&lt;/i&gt; = .19).&lt;/p&gt;&lt;h3&gt;Conclusions and Relevance&lt;/h3&gt;&lt;p&gt;This pilot randomized clinical trial for PNES revealed significant seizure reduction and improved comorbid symptoms and global functioning with CBT-ip for PNES without and with sertraline. There were no improvements in the sertraline-only or treatment-as-usual arms. This study supports the use of manualized psychotherapy for PNES and successful training of mental health clinicians in the treatment. Future studies could assess larger-scale intervention dissemination.&lt;/p&gt;&lt;h3&gt;Trial Registration&lt;/h3&gt;&lt;p&gt;clinicaltrials.gov Identifier:NCT00835627&lt;/p&gt;&quot;,&quot;publisher&quot;:&quot;American Medical Association&quot;,&quot;issue&quot;:&quot;9&quot;,&quot;volume&quot;:&quot;71&quot;},&quot;isTemporary&quot;:false},{&quot;id&quot;:&quot;2911c45a-3b36-3d4c-82b3-dcb95a2b0cea&quot;,&quot;itemData&quot;:{&quot;type&quot;:&quot;article-journal&quot;,&quot;id&quot;:&quot;2911c45a-3b36-3d4c-82b3-dcb95a2b0cea&quot;,&quot;title&quot;:&quot;Efficacy of brief interdisciplinary psychotherapeutic intervention for motor conversion disorder and nonepileptic attacks&quot;,&quot;author&quot;:[{&quot;family&quot;:&quot;Hubschmid&quot;,&quot;given&quot;:&quot;M.&quot;,&quot;parse-names&quot;:false,&quot;dropping-particle&quot;:&quot;&quot;,&quot;non-dropping-particle&quot;:&quot;&quot;},{&quot;family&quot;:&quot;Aybek&quot;,&quot;given&quot;:&quot;S.&quot;,&quot;parse-names&quot;:false,&quot;dropping-particle&quot;:&quot;&quot;,&quot;non-dropping-particle&quot;:&quot;&quot;},{&quot;family&quot;:&quot;Maccaferri&quot;,&quot;given&quot;:&quot;G. E.&quot;,&quot;parse-names&quot;:false,&quot;dropping-particle&quot;:&quot;&quot;,&quot;non-dropping-particle&quot;:&quot;&quot;},{&quot;family&quot;:&quot;Chocron&quot;,&quot;given&quot;:&quot;O.&quot;,&quot;parse-names&quot;:false,&quot;dropping-particle&quot;:&quot;&quot;,&quot;non-dropping-particle&quot;:&quot;&quot;},{&quot;family&quot;:&quot;Gholamrezaee&quot;,&quot;given&quot;:&quot;M. M.&quot;,&quot;parse-names&quot;:false,&quot;dropping-particle&quot;:&quot;&quot;,&quot;non-dropping-particle&quot;:&quot;&quot;},{&quot;family&quot;:&quot;Rossetti&quot;,&quot;given&quot;:&quot;A. O.&quot;,&quot;parse-names&quot;:false,&quot;dropping-particle&quot;:&quot;&quot;,&quot;non-dropping-particle&quot;:&quot;&quot;},{&quot;family&quot;:&quot;Vingerhoets&quot;,&quot;given&quot;:&quot;F.&quot;,&quot;parse-names&quot;:false,&quot;dropping-particle&quot;:&quot;&quot;,&quot;non-dropping-particle&quot;:&quot;&quot;},{&quot;family&quot;:&quot;Berney&quot;,&quot;given&quot;:&quot;A.&quot;,&quot;parse-names&quot;:false,&quot;dropping-particle&quot;:&quot;&quot;,&quot;non-dropping-particle&quot;:&quot;&quot;}],&quot;container-title&quot;:&quot;General hospital psychiatry&quot;,&quot;container-title-short&quot;:&quot;Gen Hosp Psychiatry&quot;,&quot;accessed&quot;:{&quot;date-parts&quot;:[[2023,6,7]]},&quot;DOI&quot;:&quot;10.1016/J.GENHOSPPSYCH.2015.05.007&quot;,&quot;ISSN&quot;:&quot;1873-7714&quot;,&quot;PMID&quot;:&quot;26099544&quot;,&quot;URL&quot;:&quot;https://pubmed.ncbi.nlm.nih.gov/26099544/&quot;,&quot;issued&quot;:{&quot;date-parts&quot;:[[2015,9,1]]},&quot;page&quot;:&quot;448-455&quot;,&quot;abstract&quot;:&quot;Objective: The objective was to compare a brief interdisciplinary psychotherapeutic intervention to standard care as treatments for patients recently diagnosed with severe motor conversion disorder or nonepileptic attacks. Methods: This randomized controlled trial of 23 consecutive patients compared (a) an interdisciplinary psychotherapeutic intervention group receiving four to six sessions by a consultation liaison psychiatrist, the first and last sessions adding a neurological consultation and a joint psychiatric and neurological consultation, and (b) a standard care group. After intervention, patients were assessed at 2, 6 and 12 months with the Somatoform Dissociation Questionnaire (SDQ-20), Clinical Global Impression scale, Rankin scale, use of medical care, global mental health [Montgomery and Asberg Depression Rating Scale, Beck Depression Inventory, mental health component of Short Form (SF)-36] and quality of life (SF-36). We calculated linear mixed models. Results: Our intervention brought a statistically significant improvement of physical symptoms [as measured by the SDQ-20 (P&lt; .02) and the Clinical Global Impression scale (P = .02)] and psychological symptoms [better scores on the mental health component of the SF-36 (P&lt; .05) and on the Beck Depression Inventory (P&lt; .05)] and a reduction in new hospital stays after intervention (P&lt; .05). Conclusion: A brief psychotherapeutic intervention taking advantage of a close collaboration with neurology consultants in the setting of consultation liaison psychiatry appears effective.&quot;,&quot;publisher&quot;:&quot;Gen Hosp Psychiatry&quot;,&quot;issue&quot;:&quot;5&quot;,&quot;volume&quot;:&quot;37&quot;},&quot;isTemporary&quot;:false},{&quot;id&quot;:&quot;8bf28bf5-a37a-3fe4-a444-a550d1550c5f&quot;,&quot;itemData&quot;:{&quot;type&quot;:&quot;article-journal&quot;,&quot;id&quot;:&quot;8bf28bf5-a37a-3fe4-a444-a550d1550c5f&quot;,&quot;title&quot;:&quot;Guided self-help for functional (psychogenic) symptoms: A randomized controlled efficacy trial&quot;,&quot;author&quot;:[{&quot;family&quot;:&quot;Sharpe&quot;,&quot;given&quot;:&quot;M.&quot;,&quot;parse-names&quot;:false,&quot;dropping-particle&quot;:&quot;&quot;,&quot;non-dropping-particle&quot;:&quot;&quot;},{&quot;family&quot;:&quot;Walker&quot;,&quot;given&quot;:&quot;J.&quot;,&quot;parse-names&quot;:false,&quot;dropping-particle&quot;:&quot;&quot;,&quot;non-dropping-particle&quot;:&quot;&quot;},{&quot;family&quot;:&quot;Williams&quot;,&quot;given&quot;:&quot;C.&quot;,&quot;parse-names&quot;:false,&quot;dropping-particle&quot;:&quot;&quot;,&quot;non-dropping-particle&quot;:&quot;&quot;},{&quot;family&quot;:&quot;Stone&quot;,&quot;given&quot;:&quot;J.&quot;,&quot;parse-names&quot;:false,&quot;dropping-particle&quot;:&quot;&quot;,&quot;non-dropping-particle&quot;:&quot;&quot;},{&quot;family&quot;:&quot;Cavanagh&quot;,&quot;given&quot;:&quot;J.&quot;,&quot;parse-names&quot;:false,&quot;dropping-particle&quot;:&quot;&quot;,&quot;non-dropping-particle&quot;:&quot;&quot;},{&quot;family&quot;:&quot;Murray&quot;,&quot;given&quot;:&quot;G.&quot;,&quot;parse-names&quot;:false,&quot;dropping-particle&quot;:&quot;&quot;,&quot;non-dropping-particle&quot;:&quot;&quot;},{&quot;family&quot;:&quot;Butcher&quot;,&quot;given&quot;:&quot;I.&quot;,&quot;parse-names&quot;:false,&quot;dropping-particle&quot;:&quot;&quot;,&quot;non-dropping-particle&quot;:&quot;&quot;},{&quot;family&quot;:&quot;Duncan&quot;,&quot;given&quot;:&quot;R.&quot;,&quot;parse-names&quot;:false,&quot;dropping-particle&quot;:&quot;&quot;,&quot;non-dropping-particle&quot;:&quot;&quot;},{&quot;family&quot;:&quot;Smith&quot;,&quot;given&quot;:&quot;S.&quot;,&quot;parse-names&quot;:false,&quot;dropping-particle&quot;:&quot;&quot;,&quot;non-dropping-particle&quot;:&quot;&quot;},{&quot;family&quot;:&quot;Carson&quot;,&quot;given&quot;:&quot;A.&quot;,&quot;parse-names&quot;:false,&quot;dropping-particle&quot;:&quot;&quot;,&quot;non-dropping-particle&quot;:&quot;&quot;}],&quot;container-title&quot;:&quot;Neurology&quot;,&quot;container-title-short&quot;:&quot;Neurology&quot;,&quot;accessed&quot;:{&quot;date-parts&quot;:[[2023,6,7]]},&quot;DOI&quot;:&quot;10.1212/WNL.0B013E318228C0C7&quot;,&quot;ISSN&quot;:&quot;1526632X&quot;,&quot;PMID&quot;:&quot;21795652&quot;,&quot;URL&quot;:&quot;/pmc/articles/PMC3149156/&quot;,&quot;issued&quot;:{&quot;date-parts&quot;:[[2011,8,8]]},&quot;page&quot;:&quot;564&quot;,&quot;abstract&quot;:&quot;Objectives: Functional (psychogenic or somatoform) symptoms are common in neurology clinics. Cognitive-behavioral therapy (CBT) can be an effective treatment, but there are major obstacles to its provision in practice. We tested the hypothesis that adding CBT-based guided self-help (GSH) to the usual care (UC) received by patients improves outcomes. Methods: We conducted a randomized trial in 2 neurology services in the United Kingdom. Outpatients with functional symptoms (rated by the neurologist as \&quot;not at all\&quot; or only \&quot;somewhat\&quot; explained by organic disease) were randomly allocated to UC or UC plus GSH. GSH comprised a self-help manual and 4 half-hour guidance sessions. The primary outcome was self-rated health on a 5-point clinica global improvement scale (CGI) at 3 months. Secondary outcomes were measured at 3 and 6 months. Results: In this trial, 127 participants were enrolled, and primary outcome data were collected for 125. Participants allocated to GSH reported greater improvement on the primary outcome (adjusted common odds ratio on the CGI 2.36 [95% confidence interval 1.17-4.74; p = 0.016]). The absolute difference in proportion \&quot;better\&quot; or \&quot;much better\&quot; was 13% (number needed to treat was 8). At 6 months the treatment effect was no longer statistically significant on the CGI but was apparent in symptom improvement and in physical functioning. Conclusions: CBT-based GSH is feasible to implement and efficacious. Further evaluation is ndicated. Classification of evidence: This study provides Class III evidence that CBT-based GSH therapy mproves self-reported general health, as measured by the CGI, in patients with functional neurologic symptoms. Copyright © 2011 by AAN Enterprises, Inc.&quot;,&quot;publisher&quot;:&quot;American Academy of Neurology&quot;,&quot;issue&quot;:&quot;6&quot;,&quot;volume&quot;:&quot;77&quot;},&quot;isTemporary&quot;:false},{&quot;id&quot;:&quot;738d2ecc-8a6b-3290-b6a7-3d332600850e&quot;,&quot;itemData&quot;:{&quot;type&quot;:&quot;article-journal&quot;,&quot;id&quot;:&quot;738d2ecc-8a6b-3290-b6a7-3d332600850e&quot;,&quot;title&quot;:&quot;Cognitive behavioural therapy and adjunctive physical activity for functional movement disorders (Conversion Disorder): A pilot, single-blinded, randomized study&quot;,&quot;author&quot;:[{&quot;family&quot;:&quot;Dallocchio&quot;,&quot;given&quot;:&quot;Carlo&quot;,&quot;parse-names&quot;:false,&quot;dropping-particle&quot;:&quot;&quot;,&quot;non-dropping-particle&quot;:&quot;&quot;},{&quot;family&quot;:&quot;Tinazzi&quot;,&quot;given&quot;:&quot;Michele&quot;,&quot;parse-names&quot;:false,&quot;dropping-particle&quot;:&quot;&quot;,&quot;non-dropping-particle&quot;:&quot;&quot;},{&quot;family&quot;:&quot;Bombieri&quot;,&quot;given&quot;:&quot;Federica&quot;,&quot;parse-names&quot;:false,&quot;dropping-particle&quot;:&quot;&quot;,&quot;non-dropping-particle&quot;:&quot;&quot;},{&quot;family&quot;:&quot;Arnó&quot;,&quot;given&quot;:&quot;Natale&quot;,&quot;parse-names&quot;:false,&quot;dropping-particle&quot;:&quot;&quot;,&quot;non-dropping-particle&quot;:&quot;&quot;},{&quot;family&quot;:&quot;Erro&quot;,&quot;given&quot;:&quot;Roberto&quot;,&quot;parse-names&quot;:false,&quot;dropping-particle&quot;:&quot;&quot;,&quot;non-dropping-particle&quot;:&quot;&quot;}],&quot;container-title&quot;:&quot;Psychotherapy and Psychosomatics&quot;,&quot;container-title-short&quot;:&quot;Psychother Psychosom&quot;,&quot;accessed&quot;:{&quot;date-parts&quot;:[[2023,6,7]]},&quot;DOI&quot;:&quot;10.1159/000446660&quot;,&quot;ISSN&quot;:&quot;14230348&quot;,&quot;PMID&quot;:&quot;27744440&quot;,&quot;issued&quot;:{&quot;date-parts&quot;:[[2016,10,1]]},&quot;page&quot;:&quot;381-383&quot;,&quot;publisher&quot;:&quot;S. Karger AG&quot;,&quot;issue&quot;:&quot;6&quot;,&quot;volume&quot;:&quot;85&quot;},&quot;isTemporary&quot;:false},{&quot;id&quot;:&quot;fe2a9973-a156-34e5-b1c0-4fe23a18433c&quot;,&quot;itemData&quot;:{&quot;type&quot;:&quot;article-journal&quot;,&quot;id&quot;:&quot;fe2a9973-a156-34e5-b1c0-4fe23a18433c&quot;,&quot;title&quot;:&quot;A randomised controlled clinical trial on the additional effect of hypnosis in a comprehensive treatment programme for in-patients with conversion disorder of the motor type&quot;,&quot;author&quot;:[{&quot;family&quot;:&quot;Moene&quot;,&quot;given&quot;:&quot;Franny C.&quot;,&quot;parse-names&quot;:false,&quot;dropping-particle&quot;:&quot;&quot;,&quot;non-dropping-particle&quot;:&quot;&quot;},{&quot;family&quot;:&quot;Spinhoven&quot;,&quot;given&quot;:&quot;Philip&quot;,&quot;parse-names&quot;:false,&quot;dropping-particle&quot;:&quot;&quot;,&quot;non-dropping-particle&quot;:&quot;&quot;},{&quot;family&quot;:&quot;Hoogduin&quot;,&quot;given&quot;:&quot;Kees A.L.&quot;,&quot;parse-names&quot;:false,&quot;dropping-particle&quot;:&quot;&quot;,&quot;non-dropping-particle&quot;:&quot;&quot;},{&quot;family&quot;:&quot;Dyck&quot;,&quot;given&quot;:&quot;Richard&quot;,&quot;parse-names&quot;:false,&quot;dropping-particle&quot;:&quot;&quot;,&quot;non-dropping-particle&quot;:&quot;Van&quot;}],&quot;container-title&quot;:&quot;Psychotherapy and psychosomatics&quot;,&quot;container-title-short&quot;:&quot;Psychother Psychosom&quot;,&quot;accessed&quot;:{&quot;date-parts&quot;:[[2023,6,7]]},&quot;DOI&quot;:&quot;10.1159/000049348&quot;,&quot;ISSN&quot;:&quot;0033-3190&quot;,&quot;PMID&quot;:&quot;11844942&quot;,&quot;URL&quot;:&quot;https://pubmed.ncbi.nlm.nih.gov/11844942/&quot;,&quot;issued&quot;:{&quot;date-parts&quot;:[[2002]]},&quot;page&quot;:&quot;66-76&quot;,&quot;abstract&quot;:&quot;Background: The primary aim of this study was threefold: (1) to examine the additional effects of hypnosis aimed at symptom reduction, using symptom-oriented and expression- and insight-oriented techniques in a comprehensive clinical treatment programme for in-patients with a persistent conversion disorder of the motor type; (2) to assess whether the level of hypnotisability was predictive of treatment outcome, and (3) to explore the efficacy of the total clinical treatment programme. Methods: The study population consisted of 45 in-patients between 18 and 65 years of age meeting the DSM-III-R criteria for conversion disorder of the motor type or somatisation disorder with motor conversion symptoms. A randomised controlled clinical trial was undertaken. The primary outcome measures were the Video Rating Scale for Motor Conversion Symptoms, the D(isabilities) code items from the International Classification of Impairments, Disabilities and Handicaps and the Symptom Checklist-90. Measures of the credibility of treatment and patient expectations of treatment outcome were used as manipulation checks. Hypnotisability was measured using the Stanford Hypnotic Clinical Scale. Results: Significant treatment results for all outcome measures were found for the total sample. These effects proved to be clinically significant. The use of hypnosis had no additional effect on treatment outcome. Hypnotisability was not predictive of treatment outcome. Conclusion: A comprehensive treatment programme, either with or without hypnosis, can be worthwhile for patients with long-standing conversion symptoms. Copyright © 2002 S. Karger AG, Basel.&quot;,&quot;publisher&quot;:&quot;Psychother Psychosom&quot;,&quot;issue&quot;:&quot;2&quot;,&quot;volume&quot;:&quot;71&quot;},&quot;isTemporary&quot;:false},{&quot;id&quot;:&quot;661311f5-8480-3527-97a8-eb81d086bbe5&quot;,&quot;itemData&quot;:{&quot;type&quot;:&quot;article-journal&quot;,&quot;id&quot;:&quot;661311f5-8480-3527-97a8-eb81d086bbe5&quot;,&quot;title&quot;:&quot;Efficacy of treatment for somatoform disorders: a review of randomized controlled trials&quot;,&quot;author&quot;:[{&quot;family&quot;:&quot;Kroenke&quot;,&quot;given&quot;:&quot;Kurt&quot;,&quot;parse-names&quot;:false,&quot;dropping-particle&quot;:&quot;&quot;,&quot;non-dropping-particle&quot;:&quot;&quot;}],&quot;container-title&quot;:&quot;Psychosomatic medicine&quot;,&quot;container-title-short&quot;:&quot;Psychosom Med&quot;,&quot;accessed&quot;:{&quot;date-parts&quot;:[[2023,6,7]]},&quot;DOI&quot;:&quot;10.1097/PSY.0B013E31815B00C4&quot;,&quot;ISSN&quot;:&quot;1534-7796&quot;,&quot;PMID&quot;:&quot;18040099&quot;,&quot;URL&quot;:&quot;https://pubmed.ncbi.nlm.nih.gov/18040099/&quot;,&quot;issued&quot;:{&quot;date-parts&quot;:[[2007]]},&quot;page&quot;:&quot;881-888&quot;,&quot;abstract&quot;:&quot;OBJECTIVE: To review the evidence from randomized clinical trials (RCTs) that have focused on the treatment of patients with Diagnostic and Statistical Manual of Mental Disorders, 4 Edition (DSM-IV) somatoform disorders. Although somatoform disorders are among the most common mental disorders presenting in the general medical setting, the strength of evidence for specific treatments has not been well synthesized. METHODS: MEDLINE search of articles published in English from 1966 to 2006, using the following search terms: randomized clinical trial, somatoform disorders, somatization disorder, undifferentiated somatoform disorder, hypochrondriasis, conversion disorder, pain disorder, and body dysmorphic disorder. RESULTS: A total of 34 RCTs involving 3922 patients were included. Two thirds of the studies involved somatization disorder (n = 4 studies) and lower threshold variants, such as abridged somatization disorder (n = 9) and medically unexplained symptoms (n = 10). Cognitive behavioral therapy (CBT) was effective in most studies (11 of 13), as were antidepressants in a small number (4 of 5) of studies. RCTs examining a variety of other treatments showed benefit in half (8 of 16) of the studies, the most consistent evidence existing for a consultation letter to the primary care physician. Effective treatments have been established for all somatoform disorders except conversion disorder (1 of 3 studies showing benefit) and pain disorder (no studies reported). CONCLUSION: CBT is the best established treatment for a variety of somatoform disorders, with some benefit also demonstrated for a consultation letter to the primary care physician. Preliminary but not yet conclusive evidence exists for antidepressants. Copyright © 2007 by American Psychosomatic Society.&quot;,&quot;publisher&quot;:&quot;Psychosom Med&quot;,&quot;issue&quot;:&quot;9&quot;,&quot;volume&quot;:&quot;69&quot;},&quot;isTemporary&quot;:false},{&quot;id&quot;:&quot;16eec409-f523-3aa0-9798-f2e01d317f4e&quot;,&quot;itemData&quot;:{&quot;type&quot;:&quot;article-journal&quot;,&quot;id&quot;:&quot;16eec409-f523-3aa0-9798-f2e01d317f4e&quot;,&quot;title&quot;:&quot;Cognitive behavioural therapy for adults with dissociative seizures (CODES): a pragmatic, multicentre, randomised controlled trial&quot;,&quot;author&quot;:[{&quot;family&quot;:&quot;Goldstein&quot;,&quot;given&quot;:&quot;Laura H.&quot;,&quot;parse-names&quot;:false,&quot;dropping-particle&quot;:&quot;&quot;,&quot;non-dropping-particle&quot;:&quot;&quot;},{&quot;family&quot;:&quot;Robinson&quot;,&quot;given&quot;:&quot;Emily J.&quot;,&quot;parse-names&quot;:false,&quot;dropping-particle&quot;:&quot;&quot;,&quot;non-dropping-particle&quot;:&quot;&quot;},{&quot;family&quot;:&quot;Mellers&quot;,&quot;given&quot;:&quot;John D.C.&quot;,&quot;parse-names&quot;:false,&quot;dropping-particle&quot;:&quot;&quot;,&quot;non-dropping-particle&quot;:&quot;&quot;},{&quot;family&quot;:&quot;Stone&quot;,&quot;given&quot;:&quot;Jon&quot;,&quot;parse-names&quot;:false,&quot;dropping-particle&quot;:&quot;&quot;,&quot;non-dropping-particle&quot;:&quot;&quot;},{&quot;family&quot;:&quot;Carson&quot;,&quot;given&quot;:&quot;Alan&quot;,&quot;parse-names&quot;:false,&quot;dropping-particle&quot;:&quot;&quot;,&quot;non-dropping-particle&quot;:&quot;&quot;},{&quot;family&quot;:&quot;Reuber&quot;,&quot;given&quot;:&quot;Markus&quot;,&quot;parse-names&quot;:false,&quot;dropping-particle&quot;:&quot;&quot;,&quot;non-dropping-particle&quot;:&quot;&quot;},{&quot;family&quot;:&quot;Medford&quot;,&quot;given&quot;:&quot;Nick&quot;,&quot;parse-names&quot;:false,&quot;dropping-particle&quot;:&quot;&quot;,&quot;non-dropping-particle&quot;:&quot;&quot;},{&quot;family&quot;:&quot;McCrone&quot;,&quot;given&quot;:&quot;Paul&quot;,&quot;parse-names&quot;:false,&quot;dropping-particle&quot;:&quot;&quot;,&quot;non-dropping-particle&quot;:&quot;&quot;},{&quot;family&quot;:&quot;Murray&quot;,&quot;given&quot;:&quot;Joanna&quot;,&quot;parse-names&quot;:false,&quot;dropping-particle&quot;:&quot;&quot;,&quot;non-dropping-particle&quot;:&quot;&quot;},{&quot;family&quot;:&quot;Richardson&quot;,&quot;given&quot;:&quot;Mark P.&quot;,&quot;parse-names&quot;:false,&quot;dropping-particle&quot;:&quot;&quot;,&quot;non-dropping-particle&quot;:&quot;&quot;},{&quot;family&quot;:&quot;Pilecka&quot;,&quot;given&quot;:&quot;Izabela&quot;,&quot;parse-names&quot;:false,&quot;dropping-particle&quot;:&quot;&quot;,&quot;non-dropping-particle&quot;:&quot;&quot;},{&quot;family&quot;:&quot;Eastwood&quot;,&quot;given&quot;:&quot;Carole&quot;,&quot;parse-names&quot;:false,&quot;dropping-particle&quot;:&quot;&quot;,&quot;non-dropping-particle&quot;:&quot;&quot;},{&quot;family&quot;:&quot;Moore&quot;,&quot;given&quot;:&quot;Michele&quot;,&quot;parse-names&quot;:false,&quot;dropping-particle&quot;:&quot;&quot;,&quot;non-dropping-particle&quot;:&quot;&quot;},{&quot;family&quot;:&quot;Mosweu&quot;,&quot;given&quot;:&quot;Iris&quot;,&quot;parse-names&quot;:false,&quot;dropping-particle&quot;:&quot;&quot;,&quot;non-dropping-particle&quot;:&quot;&quot;},{&quot;family&quot;:&quot;Perdue&quot;,&quot;given&quot;:&quot;Iain&quot;,&quot;parse-names&quot;:false,&quot;dropping-particle&quot;:&quot;&quot;,&quot;non-dropping-particle&quot;:&quot;&quot;},{&quot;family&quot;:&quot;Landau&quot;,&quot;given&quot;:&quot;Sabine&quot;,&quot;parse-names&quot;:false,&quot;dropping-particle&quot;:&quot;&quot;,&quot;non-dropping-particle&quot;:&quot;&quot;},{&quot;family&quot;:&quot;Chalder&quot;,&quot;given&quot;:&quot;Trudie&quot;,&quot;parse-names&quot;:false,&quot;dropping-particle&quot;:&quot;&quot;,&quot;non-dropping-particle&quot;:&quot;&quot;},{&quot;family&quot;:&quot;Abe&quot;,&quot;given&quot;:&quot;A. M.&quot;,&quot;parse-names&quot;:false,&quot;dropping-particle&quot;:&quot;&quot;,&quot;non-dropping-particle&quot;:&quot;&quot;},{&quot;family&quot;:&quot;Adab&quot;,&quot;given&quot;:&quot;N.&quot;,&quot;parse-names&quot;:false,&quot;dropping-particle&quot;:&quot;&quot;,&quot;non-dropping-particle&quot;:&quot;&quot;},{&quot;family&quot;:&quot;Agrawal&quot;,&quot;given&quot;:&quot;N.&quot;,&quot;parse-names&quot;:false,&quot;dropping-particle&quot;:&quot;&quot;,&quot;non-dropping-particle&quot;:&quot;&quot;},{&quot;family&quot;:&quot;Allroggen&quot;,&quot;given&quot;:&quot;H.&quot;,&quot;parse-names&quot;:false,&quot;dropping-particle&quot;:&quot;&quot;,&quot;non-dropping-particle&quot;:&quot;&quot;},{&quot;family&quot;:&quot;Alvares&quot;,&quot;given&quot;:&quot;D.&quot;,&quot;parse-names&quot;:false,&quot;dropping-particle&quot;:&quot;&quot;,&quot;non-dropping-particle&quot;:&quot;&quot;},{&quot;family&quot;:&quot;Andrews&quot;,&quot;given&quot;:&quot;T.&quot;,&quot;parse-names&quot;:false,&quot;dropping-particle&quot;:&quot;&quot;,&quot;non-dropping-particle&quot;:&quot;&quot;},{&quot;family&quot;:&quot;Angus-Leppan&quot;,&quot;given&quot;:&quot;H.&quot;,&quot;parse-names&quot;:false,&quot;dropping-particle&quot;:&quot;&quot;,&quot;non-dropping-particle&quot;:&quot;&quot;},{&quot;family&quot;:&quot;Aram&quot;,&quot;given&quot;:&quot;J.&quot;,&quot;parse-names&quot;:false,&quot;dropping-particle&quot;:&quot;&quot;,&quot;non-dropping-particle&quot;:&quot;&quot;},{&quot;family&quot;:&quot;Armstrong&quot;,&quot;given&quot;:&quot;R.&quot;,&quot;parse-names&quot;:false,&quot;dropping-particle&quot;:&quot;&quot;,&quot;non-dropping-particle&quot;:&quot;&quot;},{&quot;family&quot;:&quot;Atalaia&quot;,&quot;given&quot;:&quot;A.&quot;,&quot;parse-names&quot;:false,&quot;dropping-particle&quot;:&quot;&quot;,&quot;non-dropping-particle&quot;:&quot;&quot;},{&quot;family&quot;:&quot;Bagary&quot;,&quot;given&quot;:&quot;M.&quot;,&quot;parse-names&quot;:false,&quot;dropping-particle&quot;:&quot;&quot;,&quot;non-dropping-particle&quot;:&quot;&quot;},{&quot;family&quot;:&quot;Baldellou Lopez&quot;,&quot;given&quot;:&quot;M.&quot;,&quot;parse-names&quot;:false,&quot;dropping-particle&quot;:&quot;&quot;,&quot;non-dropping-particle&quot;:&quot;&quot;},{&quot;family&quot;:&quot;Bennett&quot;,&quot;given&quot;:&quot;M.&quot;,&quot;parse-names&quot;:false,&quot;dropping-particle&quot;:&quot;&quot;,&quot;non-dropping-particle&quot;:&quot;&quot;},{&quot;family&quot;:&quot;Black&quot;,&quot;given&quot;:&quot;T.&quot;,&quot;parse-names&quot;:false,&quot;dropping-particle&quot;:&quot;&quot;,&quot;non-dropping-particle&quot;:&quot;&quot;},{&quot;family&quot;:&quot;Blackburn&quot;,&quot;given&quot;:&quot;D.&quot;,&quot;parse-names&quot;:false,&quot;dropping-particle&quot;:&quot;&quot;,&quot;non-dropping-particle&quot;:&quot;&quot;},{&quot;family&quot;:&quot;Bodani&quot;,&quot;given&quot;:&quot;M.&quot;,&quot;parse-names&quot;:false,&quot;dropping-particle&quot;:&quot;&quot;,&quot;non-dropping-particle&quot;:&quot;&quot;},{&quot;family&quot;:&quot;Broadhurst&quot;,&quot;given&quot;:&quot;M.&quot;,&quot;parse-names&quot;:false,&quot;dropping-particle&quot;:&quot;&quot;,&quot;non-dropping-particle&quot;:&quot;&quot;},{&quot;family&quot;:&quot;Brockington&quot;,&quot;given&quot;:&quot;A.&quot;,&quot;parse-names&quot;:false,&quot;dropping-particle&quot;:&quot;&quot;,&quot;non-dropping-particle&quot;:&quot;&quot;},{&quot;family&quot;:&quot;Bruno&quot;,&quot;given&quot;:&quot;E.&quot;,&quot;parse-names&quot;:false,&quot;dropping-particle&quot;:&quot;&quot;,&quot;non-dropping-particle&quot;:&quot;&quot;},{&quot;family&quot;:&quot;Buckley&quot;,&quot;given&quot;:&quot;M.&quot;,&quot;parse-names&quot;:false,&quot;dropping-particle&quot;:&quot;&quot;,&quot;non-dropping-particle&quot;:&quot;&quot;},{&quot;family&quot;:&quot;Burness&quot;,&quot;given&quot;:&quot;C.&quot;,&quot;parse-names&quot;:false,&quot;dropping-particle&quot;:&quot;&quot;,&quot;non-dropping-particle&quot;:&quot;&quot;},{&quot;family&quot;:&quot;Callaghan&quot;,&quot;given&quot;:&quot;H.&quot;,&quot;parse-names&quot;:false,&quot;dropping-particle&quot;:&quot;&quot;,&quot;non-dropping-particle&quot;:&quot;&quot;},{&quot;family&quot;:&quot;Chalmers&quot;,&quot;given&quot;:&quot;R.&quot;,&quot;parse-names&quot;:false,&quot;dropping-particle&quot;:&quot;&quot;,&quot;non-dropping-particle&quot;:&quot;&quot;},{&quot;family&quot;:&quot;Chong&quot;,&quot;given&quot;:&quot;S.&quot;,&quot;parse-names&quot;:false,&quot;dropping-particle&quot;:&quot;&quot;,&quot;non-dropping-particle&quot;:&quot;&quot;},{&quot;family&quot;:&quot;Chowdhury&quot;,&quot;given&quot;:&quot;M.&quot;,&quot;parse-names&quot;:false,&quot;dropping-particle&quot;:&quot;&quot;,&quot;non-dropping-particle&quot;:&quot;&quot;},{&quot;family&quot;:&quot;Chowdury&quot;,&quot;given&quot;:&quot;F.&quot;,&quot;parse-names&quot;:false,&quot;dropping-particle&quot;:&quot;&quot;,&quot;non-dropping-particle&quot;:&quot;&quot;},{&quot;family&quot;:&quot;Cikurel&quot;,&quot;given&quot;:&quot;K.&quot;,&quot;parse-names&quot;:false,&quot;dropping-particle&quot;:&quot;&quot;,&quot;non-dropping-particle&quot;:&quot;&quot;},{&quot;family&quot;:&quot;Cocco&quot;,&quot;given&quot;:&quot;G.&quot;,&quot;parse-names&quot;:false,&quot;dropping-particle&quot;:&quot;&quot;,&quot;non-dropping-particle&quot;:&quot;&quot;},{&quot;family&quot;:&quot;Cock&quot;,&quot;given&quot;:&quot;H.&quot;,&quot;parse-names&quot;:false,&quot;dropping-particle&quot;:&quot;&quot;,&quot;non-dropping-particle&quot;:&quot;&quot;},{&quot;family&quot;:&quot;Cooper&quot;,&quot;given&quot;:&quot;S.&quot;,&quot;parse-names&quot;:false,&quot;dropping-particle&quot;:&quot;&quot;,&quot;non-dropping-particle&quot;:&quot;&quot;},{&quot;family&quot;:&quot;Cope&quot;,&quot;given&quot;:&quot;S.&quot;,&quot;parse-names&quot;:false,&quot;dropping-particle&quot;:&quot;&quot;,&quot;non-dropping-particle&quot;:&quot;&quot;},{&quot;family&quot;:&quot;Copping&quot;,&quot;given&quot;:&quot;A.&quot;,&quot;parse-names&quot;:false,&quot;dropping-particle&quot;:&quot;&quot;,&quot;non-dropping-particle&quot;:&quot;&quot;},{&quot;family&quot;:&quot;Day&quot;,&quot;given&quot;:&quot;E.&quot;,&quot;parse-names&quot;:false,&quot;dropping-particle&quot;:&quot;&quot;,&quot;non-dropping-particle&quot;:&quot;&quot;},{&quot;family&quot;:&quot;Delamont&quot;,&quot;given&quot;:&quot;R.&quot;,&quot;parse-names&quot;:false,&quot;dropping-particle&quot;:&quot;&quot;,&quot;non-dropping-particle&quot;:&quot;&quot;},{&quot;family&quot;:&quot;Dennis&quot;,&quot;given&quot;:&quot;G.&quot;,&quot;parse-names&quot;:false,&quot;dropping-particle&quot;:&quot;&quot;,&quot;non-dropping-particle&quot;:&quot;&quot;},{&quot;family&quot;:&quot;Derry&quot;,&quot;given&quot;:&quot;C.&quot;,&quot;parse-names&quot;:false,&quot;dropping-particle&quot;:&quot;&quot;,&quot;non-dropping-particle&quot;:&quot;&quot;},{&quot;family&quot;:&quot;Devlin&quot;,&quot;given&quot;:&quot;R.&quot;,&quot;parse-names&quot;:false,&quot;dropping-particle&quot;:&quot;&quot;,&quot;non-dropping-particle&quot;:&quot;&quot;},{&quot;family&quot;:&quot;Dickson&quot;,&quot;given&quot;:&quot;J. M.&quot;,&quot;parse-names&quot;:false,&quot;dropping-particle&quot;:&quot;&quot;,&quot;non-dropping-particle&quot;:&quot;&quot;},{&quot;family&quot;:&quot;Diehl&quot;,&quot;given&quot;:&quot;B.&quot;,&quot;parse-names&quot;:false,&quot;dropping-particle&quot;:&quot;&quot;,&quot;non-dropping-particle&quot;:&quot;&quot;},{&quot;family&quot;:&quot;Donnelly&quot;,&quot;given&quot;:&quot;C.&quot;,&quot;parse-names&quot;:false,&quot;dropping-particle&quot;:&quot;&quot;,&quot;non-dropping-particle&quot;:&quot;&quot;},{&quot;family&quot;:&quot;Duncan&quot;,&quot;given&quot;:&quot;S.&quot;,&quot;parse-names&quot;:false,&quot;dropping-particle&quot;:&quot;&quot;,&quot;non-dropping-particle&quot;:&quot;&quot;},{&quot;family&quot;:&quot;Edwards&quot;,&quot;given&quot;:&quot;M.&quot;,&quot;parse-names&quot;:false,&quot;dropping-particle&quot;:&quot;&quot;,&quot;non-dropping-particle&quot;:&quot;&quot;},{&quot;family&quot;:&quot;Ellawella&quot;,&quot;given&quot;:&quot;S.&quot;,&quot;parse-names&quot;:false,&quot;dropping-particle&quot;:&quot;&quot;,&quot;non-dropping-particle&quot;:&quot;&quot;},{&quot;family&quot;:&quot;Ellis&quot;,&quot;given&quot;:&quot;C.&quot;,&quot;parse-names&quot;:false,&quot;dropping-particle&quot;:&quot;&quot;,&quot;non-dropping-particle&quot;:&quot;&quot;},{&quot;family&quot;:&quot;Elvish&quot;,&quot;given&quot;:&quot;J.&quot;,&quot;parse-names&quot;:false,&quot;dropping-particle&quot;:&quot;&quot;,&quot;non-dropping-particle&quot;:&quot;&quot;},{&quot;family&quot;:&quot;Elwes&quot;,&quot;given&quot;:&quot;R.&quot;,&quot;parse-names&quot;:false,&quot;dropping-particle&quot;:&quot;&quot;,&quot;non-dropping-particle&quot;:&quot;&quot;},{&quot;family&quot;:&quot;Eriemo&quot;,&quot;given&quot;:&quot;S.&quot;,&quot;parse-names&quot;:false,&quot;dropping-particle&quot;:&quot;&quot;,&quot;non-dropping-particle&quot;:&quot;&quot;},{&quot;family&quot;:&quot;Eriksson&quot;,&quot;given&quot;:&quot;S.&quot;,&quot;parse-names&quot;:false,&quot;dropping-particle&quot;:&quot;&quot;,&quot;non-dropping-particle&quot;:&quot;&quot;},{&quot;family&quot;:&quot;Evans&quot;,&quot;given&quot;:&quot;K.&quot;,&quot;parse-names&quot;:false,&quot;dropping-particle&quot;:&quot;&quot;,&quot;non-dropping-particle&quot;:&quot;&quot;},{&quot;family&quot;:&quot;Faruqui&quot;,&quot;given&quot;:&quot;R.&quot;,&quot;parse-names&quot;:false,&quot;dropping-particle&quot;:&quot;&quot;,&quot;non-dropping-particle&quot;:&quot;&quot;},{&quot;family&quot;:&quot;Feehan&quot;,&quot;given&quot;:&quot;S.&quot;,&quot;parse-names&quot;:false,&quot;dropping-particle&quot;:&quot;&quot;,&quot;non-dropping-particle&quot;:&quot;&quot;},{&quot;family&quot;:&quot;Finnerty&quot;,&quot;given&quot;:&quot;G.&quot;,&quot;parse-names&quot;:false,&quot;dropping-particle&quot;:&quot;&quot;,&quot;non-dropping-particle&quot;:&quot;&quot;},{&quot;family&quot;:&quot;Flores&quot;,&quot;given&quot;:&quot;L.&quot;,&quot;parse-names&quot;:false,&quot;dropping-particle&quot;:&quot;&quot;,&quot;non-dropping-particle&quot;:&quot;&quot;},{&quot;family&quot;:&quot;Firth&quot;,&quot;given&quot;:&quot;N.&quot;,&quot;parse-names&quot;:false,&quot;dropping-particle&quot;:&quot;&quot;,&quot;non-dropping-particle&quot;:&quot;&quot;},{&quot;family&quot;:&quot;Fung&quot;,&quot;given&quot;:&quot;R.&quot;,&quot;parse-names&quot;:false,&quot;dropping-particle&quot;:&quot;&quot;,&quot;non-dropping-particle&quot;:&quot;&quot;},{&quot;family&quot;:&quot;Gardiner&quot;,&quot;given&quot;:&quot;P.&quot;,&quot;parse-names&quot;:false,&quot;dropping-particle&quot;:&quot;&quot;,&quot;non-dropping-particle&quot;:&quot;&quot;},{&quot;family&quot;:&quot;Graham&quot;,&quot;given&quot;:&quot;C.&quot;,&quot;parse-names&quot;:false,&quot;dropping-particle&quot;:&quot;&quot;,&quot;non-dropping-particle&quot;:&quot;&quot;},{&quot;family&quot;:&quot;Green-Thompson&quot;,&quot;given&quot;:&quot;Z.&quot;,&quot;parse-names&quot;:false,&quot;dropping-particle&quot;:&quot;&quot;,&quot;non-dropping-particle&quot;:&quot;&quot;},{&quot;family&quot;:&quot;Grunewald&quot;,&quot;given&quot;:&quot;R.&quot;,&quot;parse-names&quot;:false,&quot;dropping-particle&quot;:&quot;&quot;,&quot;non-dropping-particle&quot;:&quot;&quot;},{&quot;family&quot;:&quot;Hadden&quot;,&quot;given&quot;:&quot;R.&quot;,&quot;parse-names&quot;:false,&quot;dropping-particle&quot;:&quot;&quot;,&quot;non-dropping-particle&quot;:&quot;&quot;},{&quot;family&quot;:&quot;Hamandi&quot;,&quot;given&quot;:&quot;K.&quot;,&quot;parse-names&quot;:false,&quot;dropping-particle&quot;:&quot;&quot;,&quot;non-dropping-particle&quot;:&quot;&quot;},{&quot;family&quot;:&quot;Harding&quot;,&quot;given&quot;:&quot;R.&quot;,&quot;parse-names&quot;:false,&quot;dropping-particle&quot;:&quot;&quot;,&quot;non-dropping-particle&quot;:&quot;&quot;},{&quot;family&quot;:&quot;Harikrishnan&quot;,&quot;given&quot;:&quot;S.&quot;,&quot;parse-names&quot;:false,&quot;dropping-particle&quot;:&quot;&quot;,&quot;non-dropping-particle&quot;:&quot;&quot;},{&quot;family&quot;:&quot;Harrison&quot;,&quot;given&quot;:&quot;S.&quot;,&quot;parse-names&quot;:false,&quot;dropping-particle&quot;:&quot;&quot;,&quot;non-dropping-particle&quot;:&quot;&quot;},{&quot;family&quot;:&quot;Healy&quot;,&quot;given&quot;:&quot;H.&quot;,&quot;parse-names&quot;:false,&quot;dropping-particle&quot;:&quot;&quot;,&quot;non-dropping-particle&quot;:&quot;&quot;},{&quot;family&quot;:&quot;Hewamadduma&quot;,&quot;given&quot;:&quot;C.&quot;,&quot;parse-names&quot;:false,&quot;dropping-particle&quot;:&quot;&quot;,&quot;non-dropping-particle&quot;:&quot;&quot;},{&quot;family&quot;:&quot;Higgins&quot;,&quot;given&quot;:&quot;S.&quot;,&quot;parse-names&quot;:false,&quot;dropping-particle&quot;:&quot;&quot;,&quot;non-dropping-particle&quot;:&quot;&quot;},{&quot;family&quot;:&quot;Howell&quot;,&quot;given&quot;:&quot;S.&quot;,&quot;parse-names&quot;:false,&quot;dropping-particle&quot;:&quot;&quot;,&quot;non-dropping-particle&quot;:&quot;&quot;},{&quot;family&quot;:&quot;Hunt&quot;,&quot;given&quot;:&quot;H.&quot;,&quot;parse-names&quot;:false,&quot;dropping-particle&quot;:&quot;&quot;,&quot;non-dropping-particle&quot;:&quot;&quot;},{&quot;family&quot;:&quot;Hussain&quot;,&quot;given&quot;:&quot;A.&quot;,&quot;parse-names&quot;:false,&quot;dropping-particle&quot;:&quot;&quot;,&quot;non-dropping-particle&quot;:&quot;&quot;},{&quot;family&quot;:&quot;Innocente&quot;,&quot;given&quot;:&quot;M.&quot;,&quot;parse-names&quot;:false,&quot;dropping-particle&quot;:&quot;&quot;,&quot;non-dropping-particle&quot;:&quot;&quot;},{&quot;family&quot;:&quot;Jensch&quot;,&quot;given&quot;:&quot;G.&quot;,&quot;parse-names&quot;:false,&quot;dropping-particle&quot;:&quot;&quot;,&quot;non-dropping-particle&quot;:&quot;&quot;},{&quot;family&quot;:&quot;Johnson&quot;,&quot;given&quot;:&quot;M.&quot;,&quot;parse-names&quot;:false,&quot;dropping-particle&quot;:&quot;&quot;,&quot;non-dropping-particle&quot;:&quot;&quot;},{&quot;family&quot;:&quot;Jordan&quot;,&quot;given&quot;:&quot;H.&quot;,&quot;parse-names&quot;:false,&quot;dropping-particle&quot;:&quot;&quot;,&quot;non-dropping-particle&quot;:&quot;&quot;},{&quot;family&quot;:&quot;Karlsson&quot;,&quot;given&quot;:&quot;J.&quot;,&quot;parse-names&quot;:false,&quot;dropping-particle&quot;:&quot;&quot;,&quot;non-dropping-particle&quot;:&quot;&quot;},{&quot;family&quot;:&quot;Kelso&quot;,&quot;given&quot;:&quot;A.&quot;,&quot;parse-names&quot;:false,&quot;dropping-particle&quot;:&quot;&quot;,&quot;non-dropping-particle&quot;:&quot;&quot;},{&quot;family&quot;:&quot;Kemp&quot;,&quot;given&quot;:&quot;S.&quot;,&quot;parse-names&quot;:false,&quot;dropping-particle&quot;:&quot;&quot;,&quot;non-dropping-particle&quot;:&quot;&quot;},{&quot;family&quot;:&quot;Knibb&quot;,&quot;given&quot;:&quot;J.&quot;,&quot;parse-names&quot;:false,&quot;dropping-particle&quot;:&quot;&quot;,&quot;non-dropping-particle&quot;:&quot;&quot;},{&quot;family&quot;:&quot;Kock&quot;,&quot;given&quot;:&quot;N.&quot;,&quot;parse-names&quot;:false,&quot;dropping-particle&quot;:&quot;&quot;,&quot;non-dropping-particle&quot;:&quot;&quot;},{&quot;family&quot;:&quot;Koutroumanidis&quot;,&quot;given&quot;:&quot;M.&quot;,&quot;parse-names&quot;:false,&quot;dropping-particle&quot;:&quot;&quot;,&quot;non-dropping-particle&quot;:&quot;&quot;},{&quot;family&quot;:&quot;Kovac&quot;,&quot;given&quot;:&quot;S.&quot;,&quot;parse-names&quot;:false,&quot;dropping-particle&quot;:&quot;&quot;,&quot;non-dropping-particle&quot;:&quot;&quot;},{&quot;family&quot;:&quot;Kumar&quot;,&quot;given&quot;:&quot;G.&quot;,&quot;parse-names&quot;:false,&quot;dropping-particle&quot;:&quot;&quot;,&quot;non-dropping-particle&quot;:&quot;&quot;},{&quot;family&quot;:&quot;Laker&quot;,&quot;given&quot;:&quot;A.&quot;,&quot;parse-names&quot;:false,&quot;dropping-particle&quot;:&quot;&quot;,&quot;non-dropping-particle&quot;:&quot;&quot;},{&quot;family&quot;:&quot;Leschziner&quot;,&quot;given&quot;:&quot;G.&quot;,&quot;parse-names&quot;:false,&quot;dropping-particle&quot;:&quot;&quot;,&quot;non-dropping-particle&quot;:&quot;&quot;},{&quot;family&quot;:&quot;Liu&quot;,&quot;given&quot;:&quot;R.&quot;,&quot;parse-names&quot;:false,&quot;dropping-particle&quot;:&quot;&quot;,&quot;non-dropping-particle&quot;:&quot;&quot;},{&quot;family&quot;:&quot;Lozsadi&quot;,&quot;given&quot;:&quot;D.&quot;,&quot;parse-names&quot;:false,&quot;dropping-particle&quot;:&quot;&quot;,&quot;non-dropping-particle&quot;:&quot;&quot;},{&quot;family&quot;:&quot;Ludwig&quot;,&quot;given&quot;:&quot;L.&quot;,&quot;parse-names&quot;:false,&quot;dropping-particle&quot;:&quot;&quot;,&quot;non-dropping-particle&quot;:&quot;&quot;},{&quot;family&quot;:&quot;MacDonald&quot;,&quot;given&quot;:&quot;B.&quot;,&quot;parse-names&quot;:false,&quot;dropping-particle&quot;:&quot;&quot;,&quot;non-dropping-particle&quot;:&quot;&quot;},{&quot;family&quot;:&quot;MacGregor&quot;,&quot;given&quot;:&quot;L.&quot;,&quot;parse-names&quot;:false,&quot;dropping-particle&quot;:&quot;&quot;,&quot;non-dropping-particle&quot;:&quot;&quot;},{&quot;family&quot;:&quot;Maguire&quot;,&quot;given&quot;:&quot;M.&quot;,&quot;parse-names&quot;:false,&quot;dropping-particle&quot;:&quot;&quot;,&quot;non-dropping-particle&quot;:&quot;&quot;},{&quot;family&quot;:&quot;Manford&quot;,&quot;given&quot;:&quot;M.&quot;,&quot;parse-names&quot;:false,&quot;dropping-particle&quot;:&quot;&quot;,&quot;non-dropping-particle&quot;:&quot;&quot;},{&quot;family&quot;:&quot;Martino&quot;,&quot;given&quot;:&quot;D.&quot;,&quot;parse-names&quot;:false,&quot;dropping-particle&quot;:&quot;&quot;,&quot;non-dropping-particle&quot;:&quot;&quot;},{&quot;family&quot;:&quot;McCorry&quot;,&quot;given&quot;:&quot;D.&quot;,&quot;parse-names&quot;:false,&quot;dropping-particle&quot;:&quot;&quot;,&quot;non-dropping-particle&quot;:&quot;&quot;},{&quot;family&quot;:&quot;McGorlick&quot;,&quot;given&quot;:&quot;A.&quot;,&quot;parse-names&quot;:false,&quot;dropping-particle&quot;:&quot;&quot;,&quot;non-dropping-particle&quot;:&quot;&quot;},{&quot;family&quot;:&quot;McKeown&quot;,&quot;given&quot;:&quot;K.&quot;,&quot;parse-names&quot;:false,&quot;dropping-particle&quot;:&quot;&quot;,&quot;non-dropping-particle&quot;:&quot;&quot;},{&quot;family&quot;:&quot;McKevitt&quot;,&quot;given&quot;:&quot;F.&quot;,&quot;parse-names&quot;:false,&quot;dropping-particle&quot;:&quot;&quot;,&quot;non-dropping-particle&quot;:&quot;&quot;},{&quot;family&quot;:&quot;Meadow&quot;,&quot;given&quot;:&quot;A.&quot;,&quot;parse-names&quot;:false,&quot;dropping-particle&quot;:&quot;&quot;,&quot;non-dropping-particle&quot;:&quot;&quot;},{&quot;family&quot;:&quot;Memon&quot;,&quot;given&quot;:&quot;S.&quot;,&quot;parse-names&quot;:false,&quot;dropping-particle&quot;:&quot;&quot;,&quot;non-dropping-particle&quot;:&quot;&quot;},{&quot;family&quot;:&quot;Miorelli&quot;,&quot;given&quot;:&quot;A.&quot;,&quot;parse-names&quot;:false,&quot;dropping-particle&quot;:&quot;&quot;,&quot;non-dropping-particle&quot;:&quot;&quot;},{&quot;family&quot;:&quot;Mitchell&quot;,&quot;given&quot;:&quot;C.&quot;,&quot;parse-names&quot;:false,&quot;dropping-particle&quot;:&quot;&quot;,&quot;non-dropping-particle&quot;:&quot;&quot;},{&quot;family&quot;:&quot;Mitchell&quot;,&quot;given&quot;:&quot;T. N.&quot;,&quot;parse-names&quot;:false,&quot;dropping-particle&quot;:&quot;&quot;,&quot;non-dropping-particle&quot;:&quot;&quot;},{&quot;family&quot;:&quot;Moffitt&quot;,&quot;given&quot;:&quot;V.&quot;,&quot;parse-names&quot;:false,&quot;dropping-particle&quot;:&quot;&quot;,&quot;non-dropping-particle&quot;:&quot;&quot;},{&quot;family&quot;:&quot;Moran&quot;,&quot;given&quot;:&quot;N.&quot;,&quot;parse-names&quot;:false,&quot;dropping-particle&quot;:&quot;&quot;,&quot;non-dropping-particle&quot;:&quot;&quot;},{&quot;family&quot;:&quot;Morgan-Boon&quot;,&quot;given&quot;:&quot;A.&quot;,&quot;parse-names&quot;:false,&quot;dropping-particle&quot;:&quot;&quot;,&quot;non-dropping-particle&quot;:&quot;&quot;},{&quot;family&quot;:&quot;Moriarty&quot;,&quot;given&quot;:&quot;J.&quot;,&quot;parse-names&quot;:false,&quot;dropping-particle&quot;:&quot;&quot;,&quot;non-dropping-particle&quot;:&quot;&quot;},{&quot;family&quot;:&quot;Mula&quot;,&quot;given&quot;:&quot;M.&quot;,&quot;parse-names&quot;:false,&quot;dropping-particle&quot;:&quot;&quot;,&quot;non-dropping-particle&quot;:&quot;&quot;},{&quot;family&quot;:&quot;Mullatti&quot;,&quot;given&quot;:&quot;N.&quot;,&quot;parse-names&quot;:false,&quot;dropping-particle&quot;:&quot;&quot;,&quot;non-dropping-particle&quot;:&quot;&quot;},{&quot;family&quot;:&quot;Nashef&quot;,&quot;given&quot;:&quot;L.&quot;,&quot;parse-names&quot;:false,&quot;dropping-particle&quot;:&quot;&quot;,&quot;non-dropping-particle&quot;:&quot;&quot;},{&quot;family&quot;:&quot;O'Hara&quot;,&quot;given&quot;:&quot;D.&quot;,&quot;parse-names&quot;:false,&quot;dropping-particle&quot;:&quot;&quot;,&quot;non-dropping-particle&quot;:&quot;&quot;},{&quot;family&quot;:&quot;Oakley&quot;,&quot;given&quot;:&quot;L.&quot;,&quot;parse-names&quot;:false,&quot;dropping-particle&quot;:&quot;&quot;,&quot;non-dropping-particle&quot;:&quot;&quot;},{&quot;family&quot;:&quot;O'Sullivan&quot;,&quot;given&quot;:&quot;S.&quot;,&quot;parse-names&quot;:false,&quot;dropping-particle&quot;:&quot;&quot;,&quot;non-dropping-particle&quot;:&quot;&quot;},{&quot;family&quot;:&quot;Page&quot;,&quot;given&quot;:&quot;L.&quot;,&quot;parse-names&quot;:false,&quot;dropping-particle&quot;:&quot;&quot;,&quot;non-dropping-particle&quot;:&quot;&quot;},{&quot;family&quot;:&quot;Patel&quot;,&quot;given&quot;:&quot;D.&quot;,&quot;parse-names&quot;:false,&quot;dropping-particle&quot;:&quot;&quot;,&quot;non-dropping-particle&quot;:&quot;&quot;},{&quot;family&quot;:&quot;Petrochilos&quot;,&quot;given&quot;:&quot;P.&quot;,&quot;parse-names&quot;:false,&quot;dropping-particle&quot;:&quot;&quot;,&quot;non-dropping-particle&quot;:&quot;&quot;},{&quot;family&quot;:&quot;Phoenix&quot;,&quot;given&quot;:&quot;D.&quot;,&quot;parse-names&quot;:false,&quot;dropping-particle&quot;:&quot;&quot;,&quot;non-dropping-particle&quot;:&quot;&quot;},{&quot;family&quot;:&quot;Pickerell&quot;,&quot;given&quot;:&quot;W.&quot;,&quot;parse-names&quot;:false,&quot;dropping-particle&quot;:&quot;&quot;,&quot;non-dropping-particle&quot;:&quot;&quot;},{&quot;family&quot;:&quot;Pieters&quot;,&quot;given&quot;:&quot;T.&quot;,&quot;parse-names&quot;:false,&quot;dropping-particle&quot;:&quot;&quot;,&quot;non-dropping-particle&quot;:&quot;&quot;},{&quot;family&quot;:&quot;Poole&quot;,&quot;given&quot;:&quot;N.&quot;,&quot;parse-names&quot;:false,&quot;dropping-particle&quot;:&quot;&quot;,&quot;non-dropping-particle&quot;:&quot;&quot;},{&quot;family&quot;:&quot;Price&quot;,&quot;given&quot;:&quot;G.&quot;,&quot;parse-names&quot;:false,&quot;dropping-particle&quot;:&quot;&quot;,&quot;non-dropping-particle&quot;:&quot;&quot;},{&quot;family&quot;:&quot;Protheroe&quot;,&quot;given&quot;:&quot;D.&quot;,&quot;parse-names&quot;:false,&quot;dropping-particle&quot;:&quot;&quot;,&quot;non-dropping-particle&quot;:&quot;&quot;},{&quot;family&quot;:&quot;Pullicino&quot;,&quot;given&quot;:&quot;P.&quot;,&quot;parse-names&quot;:false,&quot;dropping-particle&quot;:&quot;&quot;,&quot;non-dropping-particle&quot;:&quot;&quot;},{&quot;family&quot;:&quot;Purnell&quot;,&quot;given&quot;:&quot;J.&quot;,&quot;parse-names&quot;:false,&quot;dropping-particle&quot;:&quot;&quot;,&quot;non-dropping-particle&quot;:&quot;&quot;},{&quot;family&quot;:&quot;Quirk&quot;,&quot;given&quot;:&quot;J.&quot;,&quot;parse-names&quot;:false,&quot;dropping-particle&quot;:&quot;&quot;,&quot;non-dropping-particle&quot;:&quot;&quot;},{&quot;family&quot;:&quot;Rajakulendran&quot;,&quot;given&quot;:&quot;S.&quot;,&quot;parse-names&quot;:false,&quot;dropping-particle&quot;:&quot;&quot;,&quot;non-dropping-particle&quot;:&quot;&quot;},{&quot;family&quot;:&quot;Read&quot;,&quot;given&quot;:&quot;J.&quot;,&quot;parse-names&quot;:false,&quot;dropping-particle&quot;:&quot;&quot;,&quot;non-dropping-particle&quot;:&quot;&quot;},{&quot;family&quot;:&quot;Ridha&quot;,&quot;given&quot;:&quot;B.&quot;,&quot;parse-names&quot;:false,&quot;dropping-particle&quot;:&quot;&quot;,&quot;non-dropping-particle&quot;:&quot;&quot;},{&quot;family&quot;:&quot;Rockliffe-Fidler&quot;,&quot;given&quot;:&quot;C.&quot;,&quot;parse-names&quot;:false,&quot;dropping-particle&quot;:&quot;&quot;,&quot;non-dropping-particle&quot;:&quot;&quot;},{&quot;family&quot;:&quot;Rowbottom&quot;,&quot;given&quot;:&quot;C.&quot;,&quot;parse-names&quot;:false,&quot;dropping-particle&quot;:&quot;&quot;,&quot;non-dropping-particle&quot;:&quot;&quot;},{&quot;family&quot;:&quot;Rugg-Gunn&quot;,&quot;given&quot;:&quot;F.&quot;,&quot;parse-names&quot;:false,&quot;dropping-particle&quot;:&quot;&quot;,&quot;non-dropping-particle&quot;:&quot;&quot;},{&quot;family&quot;:&quot;Sachar&quot;,&quot;given&quot;:&quot;A.&quot;,&quot;parse-names&quot;:false,&quot;dropping-particle&quot;:&quot;&quot;,&quot;non-dropping-particle&quot;:&quot;&quot;},{&quot;family&quot;:&quot;Saha&quot;,&quot;given&quot;:&quot;R.&quot;,&quot;parse-names&quot;:false,&quot;dropping-particle&quot;:&quot;&quot;,&quot;non-dropping-particle&quot;:&quot;&quot;},{&quot;family&quot;:&quot;Saldanha&quot;,&quot;given&quot;:&quot;G.&quot;,&quot;parse-names&quot;:false,&quot;dropping-particle&quot;:&quot;&quot;,&quot;non-dropping-particle&quot;:&quot;&quot;},{&quot;family&quot;:&quot;Samarasekera&quot;,&quot;given&quot;:&quot;S.&quot;,&quot;parse-names&quot;:false,&quot;dropping-particle&quot;:&quot;&quot;,&quot;non-dropping-particle&quot;:&quot;&quot;},{&quot;family&quot;:&quot;Sanchez Sanchez&quot;,&quot;given&quot;:&quot;V.&quot;,&quot;parse-names&quot;:false,&quot;dropping-particle&quot;:&quot;&quot;,&quot;non-dropping-particle&quot;:&quot;&quot;},{&quot;family&quot;:&quot;Santhouse&quot;,&quot;given&quot;:&quot;A.&quot;,&quot;parse-names&quot;:false,&quot;dropping-particle&quot;:&quot;&quot;,&quot;non-dropping-particle&quot;:&quot;&quot;},{&quot;family&quot;:&quot;Scholes&quot;,&quot;given&quot;:&quot;K.&quot;,&quot;parse-names&quot;:false,&quot;dropping-particle&quot;:&quot;&quot;,&quot;non-dropping-particle&quot;:&quot;&quot;},{&quot;family&quot;:&quot;Shetty&quot;,&quot;given&quot;:&quot;A.&quot;,&quot;parse-names&quot;:false,&quot;dropping-particle&quot;:&quot;&quot;,&quot;non-dropping-particle&quot;:&quot;&quot;},{&quot;family&quot;:&quot;Shotbolt&quot;,&quot;given&quot;:&quot;P.&quot;,&quot;parse-names&quot;:false,&quot;dropping-particle&quot;:&quot;&quot;,&quot;non-dropping-particle&quot;:&quot;&quot;},{&quot;family&quot;:&quot;Simkiss&quot;,&quot;given&quot;:&quot;R.&quot;,&quot;parse-names&quot;:false,&quot;dropping-particle&quot;:&quot;&quot;,&quot;non-dropping-particle&quot;:&quot;&quot;},{&quot;family&quot;:&quot;Singh&quot;,&quot;given&quot;:&quot;J.&quot;,&quot;parse-names&quot;:false,&quot;dropping-particle&quot;:&quot;&quot;,&quot;non-dropping-particle&quot;:&quot;&quot;},{&quot;family&quot;:&quot;Sivagnanasundaram&quot;,&quot;given&quot;:&quot;J.&quot;,&quot;parse-names&quot;:false,&quot;dropping-particle&quot;:&quot;&quot;,&quot;non-dropping-particle&quot;:&quot;&quot;},{&quot;family&quot;:&quot;Slaght&quot;,&quot;given&quot;:&quot;S.&quot;,&quot;parse-names&quot;:false,&quot;dropping-particle&quot;:&quot;&quot;,&quot;non-dropping-particle&quot;:&quot;&quot;},{&quot;family&quot;:&quot;Smith&quot;,&quot;given&quot;:&quot;P.&quot;,&quot;parse-names&quot;:false,&quot;dropping-particle&quot;:&quot;&quot;,&quot;non-dropping-particle&quot;:&quot;&quot;},{&quot;family&quot;:&quot;Sokhi&quot;,&quot;given&quot;:&quot;D.&quot;,&quot;parse-names&quot;:false,&quot;dropping-particle&quot;:&quot;&quot;,&quot;non-dropping-particle&quot;:&quot;&quot;},{&quot;family&quot;:&quot;Stanton&quot;,&quot;given&quot;:&quot;B.&quot;,&quot;parse-names&quot;:false,&quot;dropping-particle&quot;:&quot;&quot;,&quot;non-dropping-particle&quot;:&quot;&quot;},{&quot;family&quot;:&quot;Suvorova&quot;,&quot;given&quot;:&quot;L.&quot;,&quot;parse-names&quot;:false,&quot;dropping-particle&quot;:&quot;&quot;,&quot;non-dropping-particle&quot;:&quot;&quot;},{&quot;family&quot;:&quot;Tahir&quot;,&quot;given&quot;:&quot;T.&quot;,&quot;parse-names&quot;:false,&quot;dropping-particle&quot;:&quot;&quot;,&quot;non-dropping-particle&quot;:&quot;&quot;},{&quot;family&quot;:&quot;Taylor&quot;,&quot;given&quot;:&quot;R.&quot;,&quot;parse-names&quot;:false,&quot;dropping-particle&quot;:&quot;&quot;,&quot;non-dropping-particle&quot;:&quot;&quot;},{&quot;family&quot;:&quot;Teare&quot;,&quot;given&quot;:&quot;L.&quot;,&quot;parse-names&quot;:false,&quot;dropping-particle&quot;:&quot;&quot;,&quot;non-dropping-particle&quot;:&quot;&quot;},{&quot;family&quot;:&quot;Tedesco&quot;,&quot;given&quot;:&quot;L.&quot;,&quot;parse-names&quot;:false,&quot;dropping-particle&quot;:&quot;&quot;,&quot;non-dropping-particle&quot;:&quot;&quot;},{&quot;family&quot;:&quot;Teo&quot;,&quot;given&quot;:&quot;J.&quot;,&quot;parse-names&quot;:false,&quot;dropping-particle&quot;:&quot;&quot;,&quot;non-dropping-particle&quot;:&quot;&quot;},{&quot;family&quot;:&quot;Thorpe&quot;,&quot;given&quot;:&quot;J.&quot;,&quot;parse-names&quot;:false,&quot;dropping-particle&quot;:&quot;&quot;,&quot;non-dropping-particle&quot;:&quot;&quot;},{&quot;family&quot;:&quot;Toplis&quot;,&quot;given&quot;:&quot;L.&quot;,&quot;parse-names&quot;:false,&quot;dropping-particle&quot;:&quot;&quot;,&quot;non-dropping-particle&quot;:&quot;&quot;},{&quot;family&quot;:&quot;Tsakopoulou&quot;,&quot;given&quot;:&quot;M.&quot;,&quot;parse-names&quot;:false,&quot;dropping-particle&quot;:&quot;&quot;,&quot;non-dropping-particle&quot;:&quot;&quot;},{&quot;family&quot;:&quot;Tylova&quot;,&quot;given&quot;:&quot;I.&quot;,&quot;parse-names&quot;:false,&quot;dropping-particle&quot;:&quot;&quot;,&quot;non-dropping-particle&quot;:&quot;&quot;},{&quot;family&quot;:&quot;Vick&quot;,&quot;given&quot;:&quot;T.&quot;,&quot;parse-names&quot;:false,&quot;dropping-particle&quot;:&quot;&quot;,&quot;non-dropping-particle&quot;:&quot;&quot;},{&quot;family&quot;:&quot;Vinnicombe&quot;,&quot;given&quot;:&quot;J.&quot;,&quot;parse-names&quot;:false,&quot;dropping-particle&quot;:&quot;&quot;,&quot;non-dropping-particle&quot;:&quot;&quot;},{&quot;family&quot;:&quot;Walker&quot;,&quot;given&quot;:&quot;M.&quot;,&quot;parse-names&quot;:false,&quot;dropping-particle&quot;:&quot;&quot;,&quot;non-dropping-particle&quot;:&quot;&quot;},{&quot;family&quot;:&quot;Walsh&quot;,&quot;given&quot;:&quot;C.&quot;,&quot;parse-names&quot;:false,&quot;dropping-particle&quot;:&quot;&quot;,&quot;non-dropping-particle&quot;:&quot;&quot;},{&quot;family&quot;:&quot;Watson&quot;,&quot;given&quot;:&quot;G.&quot;,&quot;parse-names&quot;:false,&quot;dropping-particle&quot;:&quot;&quot;,&quot;non-dropping-particle&quot;:&quot;&quot;},{&quot;family&quot;:&quot;Webb&quot;,&quot;given&quot;:&quot;T.&quot;,&quot;parse-names&quot;:false,&quot;dropping-particle&quot;:&quot;&quot;,&quot;non-dropping-particle&quot;:&quot;&quot;},{&quot;family&quot;:&quot;Wehner&quot;,&quot;given&quot;:&quot;T.&quot;,&quot;parse-names&quot;:false,&quot;dropping-particle&quot;:&quot;&quot;,&quot;non-dropping-particle&quot;:&quot;&quot;},{&quot;family&quot;:&quot;Welch&quot;,&quot;given&quot;:&quot;K.&quot;,&quot;parse-names&quot;:false,&quot;dropping-particle&quot;:&quot;&quot;,&quot;non-dropping-particle&quot;:&quot;&quot;},{&quot;family&quot;:&quot;Weyrich&quot;,&quot;given&quot;:&quot;K.&quot;,&quot;parse-names&quot;:false,&quot;dropping-particle&quot;:&quot;&quot;,&quot;non-dropping-particle&quot;:&quot;&quot;},{&quot;family&quot;:&quot;Whittaker&quot;,&quot;given&quot;:&quot;M.&quot;,&quot;parse-names&quot;:false,&quot;dropping-particle&quot;:&quot;&quot;,&quot;non-dropping-particle&quot;:&quot;&quot;},{&quot;family&quot;:&quot;Wickremaratchi&quot;,&quot;given&quot;:&quot;M.&quot;,&quot;parse-names&quot;:false,&quot;dropping-particle&quot;:&quot;&quot;,&quot;non-dropping-particle&quot;:&quot;&quot;},{&quot;family&quot;:&quot;Wicks&quot;,&quot;given&quot;:&quot;L.&quot;,&quot;parse-names&quot;:false,&quot;dropping-particle&quot;:&quot;&quot;,&quot;non-dropping-particle&quot;:&quot;&quot;},{&quot;family&quot;:&quot;Yogarajah&quot;,&quot;given&quot;:&quot;M.&quot;,&quot;parse-names&quot;:false,&quot;dropping-particle&quot;:&quot;&quot;,&quot;non-dropping-particle&quot;:&quot;&quot;}],&quot;container-title&quot;:&quot;The lancet. Psychiatry&quot;,&quot;container-title-short&quot;:&quot;Lancet Psychiatry&quot;,&quot;accessed&quot;:{&quot;date-parts&quot;:[[2023,5,29]]},&quot;DOI&quot;:&quot;10.1016/S2215-0366(20)30128-0&quot;,&quot;ISSN&quot;:&quot;2215-0374&quot;,&quot;PMID&quot;:&quot;32445688&quot;,&quot;URL&quot;:&quot;https://pubmed.ncbi.nlm.nih.gov/32445688/&quot;,&quot;issued&quot;:{&quot;date-parts&quot;:[[2020,6,1]]},&quot;page&quot;:&quot;491-505&quot;,&quot;abstract&quot;:&quot;Background: Dissociative seizures are paroxysmal events resembling epilepsy or syncope with characteristic features that allow them to be distinguished from other medical conditions. We aimed to compare the effectiveness of cognitive behavioural therapy (CBT) plus standardised medical care with standardised medical care alone for the reduction of dissociative seizure frequency. Methods: In this pragmatic, parallel-arm, multicentre randomised controlled trial, we initially recruited participants at 27 neurology or epilepsy services in England, Scotland, and Wales. Adults (≥18 years) who had dissociative seizures in the previous 8 weeks and no epileptic seizures in the previous 12 months were subsequently randomly assigned (1:1) from 17 liaison or neuropsychiatry services following psychiatric assessment, to receive standardised medical care or CBT plus standardised medical care, using a web-based system. Randomisation was stratified by neuropsychiatry or liaison psychiatry recruitment site. The trial manager, chief investigator, all treating clinicians, and patients were aware of treatment allocation, but outcome data collectors and trial statisticians were unaware of treatment allocation. Patients were followed up 6 months and 12 months after randomisation. The primary outcome was monthly dissociative seizure frequency (ie, frequency in the previous 4 weeks) assessed at 12 months. Secondary outcomes assessed at 12 months were: seizure severity (intensity) and bothersomeness; longest period of seizure freedom in the previous 6 months; complete seizure freedom in the previous 3 months; a greater than 50% reduction in seizure frequency relative to baseline; changes in dissociative seizures (rated by others); health-related quality of life; psychosocial functioning; psychiatric symptoms, psychological distress, and somatic symptom burden; and clinical impression of improvement and satisfaction. p values and statistical significance for outcomes were reported without correction for multiple comparisons as per our protocol. Primary and secondary outcomes were assessed in the intention-to-treat population with multiple imputation for missing observations. This trial is registered with the International Standard Randomised Controlled Trial registry, ISRCTN05681227, and ClinicalTrials.gov, NCT02325544. Findings: Between Jan 16, 2015, and May 31, 2017, we randomly assigned 368 patients to receive CBT plus standardised medical care (n=186) or standardised medical care alone (n=182); of whom 313 had primary outcome data at 12 months (156 [84%] of 186 patients in the CBT plus standardised medical care group and 157 [86%] of 182 patients in the standardised medical care group). At 12 months, no significant difference in monthly dissociative seizure frequency was identified between the groups (median 4 seizures [IQR 0–20] in the CBT plus standardised medical care group vs 7 seizures [1–35] in the standardised medical care group; estimated incidence rate ratio [IRR] 0·78 [95% CI 0·56–1·09]; p=0·144). Dissociative seizures were rated as less bothersome in the CBT plus standardised medical care group than the standardised medical care group (estimated mean difference −0·53 [95% CI −0·97 to −0·08]; p=0·020). The CBT plus standardised medical care group had a longer period of dissociative seizure freedom in the previous 6 months (estimated IRR 1·64 [95% CI 1·22 to 2·20]; p=0·001), reported better health-related quality of life on the EuroQoL-5 Dimensions-5 Level Health Today visual analogue scale (estimated mean difference 6·16 [95% CI 1·48 to 10·84]; p=0·010), less impairment in psychosocial functioning on the Work and Social Adjustment Scale (estimated mean difference −4·12 [95% CI −6·35 to −1·89]; p&lt;0·001), less overall psychological distress than the standardised medical care group on the Clinical Outcomes in Routine Evaluation-10 scale (estimated mean difference −1·65 [95% CI −2·96 to −0·35]; p=0·013), and fewer somatic symptoms on the modified Patient Health Questionnaire-15 scale (estimated mean difference −1·67 [95% CI −2·90 to −0·44]; p=0·008). Clinical improvement at 12 months was greater in the CBT plus standardised medical care group than the standardised medical care alone group as reported by patients (estimated mean difference 0·66 [95% CI 0·26 to 1·04]; p=0·001) and by clinicians (estimated mean difference 0·47 [95% CI 0·21 to 0·73]; p&lt;0·001), and the CBT plus standardised medical care group had greater satisfaction with treatment than did the standardised medical care group (estimated mean difference 0·90 [95% CI 0·48 to 1·31]; p&lt;0·001). No significant differences in patient-reported seizure severity (estimated mean difference −0·11 [95% CI −0·50 to 0·29]; p=0·593) or seizure freedom in the last 3 months of the study (estimated odds ratio [OR] 1·77 [95% CI 0·93 to 3·37]; p=0·083) were identified between the groups. Furthermore, no significant differences were identified in the proportion of patients who had a more than 50% reduction in dissociative seizure frequency compared with baseline (OR 1·27 [95% CI 0·80 to 2·02]; p=0·313). Additionally, the 12-item Short Form survey–version 2 scores (estimated mean difference for the Physical Component Summary score 1·78 [95% CI −0·37 to 3·92]; p=0·105; estimated mean difference for the Mental Component Summary score 2·22 [95% CI −0·30 to 4·75]; p=0·084), the Generalised Anxiety Disorder-7 scale score (estimated mean difference −1·09 [95% CI −2·27 to 0·09]; p=0·069), and the Patient Health Questionnaire-9 scale depression score (estimated mean difference −1·10 [95% CI −2·41 to 0·21]; p=0·099) did not differ significantly between groups. Changes in dissociative seizures (rated by others) could not be assessed due to insufficient data. During the 12-month period, the number of adverse events was similar between the groups: 57 (31%) of 186 participants in the CBT plus standardised medical care group reported 97 adverse events and 53 (29%) of 182 participants in the standardised medical care group reported 79 adverse events. Interpretation: CBT plus standardised medical care had no statistically significant advantage compared with standardised medical care alone for the reduction of monthly seizures. However, improvements were observed in a number of clinically relevant secondary outcomes following CBT plus standardised medical care when compared with standardised medical care alone. Thus, adults with dissociative seizures might benefit from the addition of dissociative seizure-specific CBT to specialist care from neurologists and psychiatrists. Future work is needed to identify patients who would benefit most from a dissociative seizure-specific CBT approach. Funding: National Institute for Health Research, Health Technology Assessment programme.&quot;,&quot;publisher&quot;:&quot;Lancet Psychiatry&quot;,&quot;issue&quot;:&quot;6&quot;,&quot;volume&quot;:&quot;7&quot;},&quot;isTemporary&quot;:false}],&quot;citationTag&quot;:&quot;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&quot;},{&quot;citationID&quot;:&quot;MENDELEY_CITATION_0e41187c-359e-43c3-a71c-afc05e7bd9e9&quot;,&quot;properties&quot;:{&quot;noteIndex&quot;:0},&quot;isEdited&quot;:false,&quot;manualOverride&quot;:{&quot;isManuallyOverridden&quot;:false,&quot;citeprocText&quot;:&quot;(Soril et al., 2015)&quot;,&quot;manualOverrideText&quot;:&quot;&quot;},&quot;citationItems&quot;:[{&quot;id&quot;:&quot;7fbe22e0-6f46-31ef-bfa7-7420f4eecd13&quot;,&quot;itemData&quot;:{&quot;type&quot;:&quot;article-journal&quot;,&quot;id&quot;:&quot;7fbe22e0-6f46-31ef-bfa7-7420f4eecd13&quot;,&quot;title&quot;:&quot;Reducing Frequent Visits to the Emergency Department: A Systematic Review of Interventions&quot;,&quot;author&quot;:[{&quot;family&quot;:&quot;Soril&quot;,&quot;given&quot;:&quot;Lesley J.J.&quot;,&quot;parse-names&quot;:false,&quot;dropping-particle&quot;:&quot;&quot;,&quot;non-dropping-particle&quot;:&quot;&quot;},{&quot;family&quot;:&quot;Leggett&quot;,&quot;given&quot;:&quot;Laura E.&quot;,&quot;parse-names&quot;:false,&quot;dropping-particle&quot;:&quot;&quot;,&quot;non-dropping-particle&quot;:&quot;&quot;},{&quot;family&quot;:&quot;Lorenzetti&quot;,&quot;given&quot;:&quot;Diane L.&quot;,&quot;parse-names&quot;:false,&quot;dropping-particle&quot;:&quot;&quot;,&quot;non-dropping-particle&quot;:&quot;&quot;},{&quot;family&quot;:&quot;Noseworthy&quot;,&quot;given&quot;:&quot;Tom W.&quot;,&quot;parse-names&quot;:false,&quot;dropping-particle&quot;:&quot;&quot;,&quot;non-dropping-particle&quot;:&quot;&quot;},{&quot;family&quot;:&quot;Clement&quot;,&quot;given&quot;:&quot;Fiona M.&quot;,&quot;parse-names&quot;:false,&quot;dropping-particle&quot;:&quot;&quot;,&quot;non-dropping-particle&quot;:&quot;&quot;}],&quot;container-title&quot;:&quot;PLOS ONE&quot;,&quot;container-title-short&quot;:&quot;PLoS One&quot;,&quot;accessed&quot;:{&quot;date-parts&quot;:[[2023,6,7]]},&quot;DOI&quot;:&quot;10.1371/JOURNAL.PONE.0123660&quot;,&quot;ISSN&quot;:&quot;1932-6203&quot;,&quot;PMID&quot;:&quot;25874866&quot;,&quot;URL&quot;:&quot;https://journals.plos.org/plosone/article?id=10.1371/journal.pone.0123660&quot;,&quot;issued&quot;:{&quot;date-parts&quot;:[[2015,4,13]]},&quot;page&quot;:&quot;e0123660&quot;,&quot;abstract&quot;:&quot;Objective The objective of this study was to establish the effectiveness of interventions to reduce frequent emergency department (ED) use among a general adult high ED-use population.   Methods Systematic review of the literature from 1950-January 2015. Studies were included if they: had a control group (controlled trials or comparative cohort studies), were set in an ED or acute care facility, and examined the impact of an intervention to reduce frequent ED use in a general adult population. Studies reporting non-original data or focused on a specific patient population were excluded. Study design, patient population, intervention, the frequency of ED visits, and costs of frequent ED use and/or interventions were extracted and narratively synthesized.   Results Among 17 included articles, three intervention categories were identified: case management (n = 12), individualized care plans (n = 3), and information sharing (n = 2). Ten studies examining case management reported reductions in mean (-0.66 to -37) or median (-0.1 to -20) number of ED visits after 12-months; one study reported an increase in mean ED visits (+2.79); and one reported no change. Of these, 6 studies also reported reduced hospital costs. Only 1 study evaluating individualized care plans examined ED utilization and found no change in median ED visits post-intervention. Costs following individualized care plans were also only evaluated in 1 study, which reported savings in hospital costs of $742/patient. Evidence was mixed regarding information sharing: 1 study reported no change in mean ED visits and did not examine costs; whereas the other reported a decrease in mean ED visits (-16.9) and ED cost savings of $15,513/patient.   Conclusions The impact of all three frequent-user interventions was modest. Case management had the most rigorous evidence base, yielded moderate cost savings, but with variable reductions in ED use. Future studies evaluating non-traditional interventions, tailoring to patient subgroups or socio-cultural contexts, are warranted.&quot;,&quot;publisher&quot;:&quot;Public Library of Science&quot;,&quot;issue&quot;:&quot;4&quot;,&quot;volume&quot;:&quot;10&quot;},&quot;isTemporary&quot;:false}],&quot;citationTag&quot;:&quot;MENDELEY_CITATION_v3_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"/>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08D12-F4CA-C646-A6CD-350F4478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2242</TotalTime>
  <Pages>375</Pages>
  <Words>107417</Words>
  <Characters>612280</Characters>
  <Application>Microsoft Office Word</Application>
  <DocSecurity>0</DocSecurity>
  <Lines>5102</Lines>
  <Paragraphs>1436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Joy Adewusi</cp:lastModifiedBy>
  <cp:revision>4</cp:revision>
  <dcterms:created xsi:type="dcterms:W3CDTF">2023-11-06T11:39:00Z</dcterms:created>
  <dcterms:modified xsi:type="dcterms:W3CDTF">2023-11-30T15:58:00Z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documentId_7479</vt:lpwstr>
  </property>
  <property fmtid="{D5CDD505-2E9C-101B-9397-08002B2CF9AE}" pid="3" name="grammarly_documentContext">
    <vt:lpwstr>{"goals":[],"domain":"general","emotions":[],"dialect":"british"}</vt:lpwstr>
  </property>
</Properties>
</file>